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812.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00.xml" ContentType="application/vnd.openxmlformats-officedocument.wordprocessingml.footer+xml"/>
  <Override PartName="/word/footer658.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وسیله النجاه لایه الله العظمی مع تعالیق آیه الله العظمی الامام الخمینی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64984_3650668749">
            <w:r>
              <w:rPr>
                <w:webHidden/>
                <w:rStyle w:val="IndexLink"/>
                <w:rtl w:val="true"/>
              </w:rPr>
              <w:t>اشارة</w:t>
            </w:r>
            <w:r>
              <w:rPr>
                <w:rStyle w:val="IndexLink"/>
                <w:rtl w:val="true"/>
              </w:rPr>
              <w:tab/>
            </w:r>
            <w:r>
              <w:rPr>
                <w:rStyle w:val="IndexLink"/>
              </w:rPr>
              <w:t>89</w:t>
            </w:r>
          </w:hyperlink>
        </w:p>
        <w:p>
          <w:pPr>
            <w:pStyle w:val="Contents2"/>
            <w:tabs>
              <w:tab w:val="clear" w:pos="8743"/>
              <w:tab w:val="right" w:pos="9026" w:leader="dot"/>
            </w:tabs>
            <w:rPr/>
          </w:pPr>
          <w:hyperlink w:anchor="__RefHeading___Toc2564986_3650668749">
            <w:r>
              <w:rPr>
                <w:webHidden/>
                <w:rStyle w:val="IndexLink"/>
                <w:rtl w:val="true"/>
              </w:rPr>
              <w:t>[</w:t>
            </w:r>
            <w:r>
              <w:rPr>
                <w:rStyle w:val="IndexLink"/>
                <w:rtl w:val="true"/>
              </w:rPr>
              <w:t>مقدمة التحقیق</w:t>
            </w:r>
            <w:r>
              <w:rPr>
                <w:rStyle w:val="IndexLink"/>
                <w:rtl w:val="true"/>
              </w:rPr>
              <w:t>]</w:t>
              <w:tab/>
            </w:r>
            <w:r>
              <w:rPr>
                <w:rStyle w:val="IndexLink"/>
              </w:rPr>
              <w:t>89</w:t>
            </w:r>
          </w:hyperlink>
        </w:p>
        <w:p>
          <w:pPr>
            <w:pStyle w:val="Contents3"/>
            <w:tabs>
              <w:tab w:val="clear" w:pos="8459"/>
              <w:tab w:val="right" w:pos="9026" w:leader="dot"/>
            </w:tabs>
            <w:rPr/>
          </w:pPr>
          <w:hyperlink w:anchor="__RefHeading___Toc2564988_3650668749">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2564990_3650668749">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2564992_3650668749">
            <w:r>
              <w:rPr>
                <w:webHidden/>
                <w:rStyle w:val="IndexLink"/>
                <w:rtl w:val="true"/>
              </w:rPr>
              <w:t>[</w:t>
            </w:r>
            <w:r>
              <w:rPr>
                <w:rStyle w:val="IndexLink"/>
                <w:rtl w:val="true"/>
              </w:rPr>
              <w:t>مقدمة الناشر</w:t>
            </w:r>
            <w:r>
              <w:rPr>
                <w:rStyle w:val="IndexLink"/>
                <w:rtl w:val="true"/>
              </w:rPr>
              <w:t>]</w:t>
              <w:tab/>
            </w:r>
            <w:r>
              <w:rPr>
                <w:rStyle w:val="IndexLink"/>
              </w:rPr>
              <w:t>91</w:t>
            </w:r>
          </w:hyperlink>
        </w:p>
        <w:p>
          <w:pPr>
            <w:pStyle w:val="Contents3"/>
            <w:tabs>
              <w:tab w:val="clear" w:pos="8459"/>
              <w:tab w:val="right" w:pos="9026" w:leader="dot"/>
            </w:tabs>
            <w:rPr/>
          </w:pPr>
          <w:hyperlink w:anchor="__RefHeading___Toc2564994_3650668749">
            <w:r>
              <w:rPr>
                <w:webHidden/>
                <w:rStyle w:val="IndexLink"/>
                <w:rtl w:val="true"/>
              </w:rPr>
              <w:t>[</w:t>
            </w:r>
            <w:r>
              <w:rPr>
                <w:rStyle w:val="IndexLink"/>
                <w:rtl w:val="true"/>
              </w:rPr>
              <w:t>مقدمة المؤلف</w:t>
            </w:r>
            <w:r>
              <w:rPr>
                <w:rStyle w:val="IndexLink"/>
                <w:rtl w:val="true"/>
              </w:rPr>
              <w:t>]</w:t>
              <w:tab/>
            </w:r>
            <w:r>
              <w:rPr>
                <w:rStyle w:val="IndexLink"/>
              </w:rPr>
              <w:t>92</w:t>
            </w:r>
          </w:hyperlink>
        </w:p>
        <w:p>
          <w:pPr>
            <w:pStyle w:val="Contents2"/>
            <w:tabs>
              <w:tab w:val="clear" w:pos="8743"/>
              <w:tab w:val="right" w:pos="9026" w:leader="dot"/>
            </w:tabs>
            <w:rPr/>
          </w:pPr>
          <w:hyperlink w:anchor="__RefHeading___Toc2564996_3650668749">
            <w:r>
              <w:rPr>
                <w:webHidden/>
                <w:rStyle w:val="IndexLink"/>
                <w:rtl w:val="true"/>
              </w:rPr>
              <w:t>[</w:t>
            </w:r>
            <w:r>
              <w:rPr>
                <w:rStyle w:val="IndexLink"/>
                <w:rtl w:val="true"/>
              </w:rPr>
              <w:t>مقدّمة فی الاجتهاد و التقلید</w:t>
            </w:r>
            <w:r>
              <w:rPr>
                <w:rStyle w:val="IndexLink"/>
                <w:rtl w:val="true"/>
              </w:rPr>
              <w:t>]</w:t>
              <w:tab/>
            </w:r>
            <w:r>
              <w:rPr>
                <w:rStyle w:val="IndexLink"/>
              </w:rPr>
              <w:t>93</w:t>
            </w:r>
          </w:hyperlink>
        </w:p>
        <w:p>
          <w:pPr>
            <w:pStyle w:val="Contents3"/>
            <w:tabs>
              <w:tab w:val="clear" w:pos="8459"/>
              <w:tab w:val="right" w:pos="9026" w:leader="dot"/>
            </w:tabs>
            <w:rPr/>
          </w:pPr>
          <w:hyperlink w:anchor="__RefHeading___Toc2564998_3650668749">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256500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یجوز العمل بالاحتیاط</w:t>
            </w:r>
            <w:r>
              <w:rPr>
                <w:rStyle w:val="IndexLink"/>
                <w:rtl w:val="true"/>
              </w:rPr>
              <w:t>]</w:t>
              <w:tab/>
            </w:r>
            <w:r>
              <w:rPr>
                <w:rStyle w:val="IndexLink"/>
              </w:rPr>
              <w:t>93</w:t>
            </w:r>
          </w:hyperlink>
        </w:p>
        <w:p>
          <w:pPr>
            <w:pStyle w:val="Contents3"/>
            <w:tabs>
              <w:tab w:val="clear" w:pos="8459"/>
              <w:tab w:val="right" w:pos="9026" w:leader="dot"/>
            </w:tabs>
            <w:rPr/>
          </w:pPr>
          <w:hyperlink w:anchor="__RefHeading___Toc256500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التقلید المصحّح للعمل هو الالتزام بالعمل بفتویٰ مجتهد معیّن</w:t>
            </w:r>
            <w:r>
              <w:rPr>
                <w:rStyle w:val="IndexLink"/>
                <w:rtl w:val="true"/>
              </w:rPr>
              <w:t>]</w:t>
              <w:tab/>
            </w:r>
            <w:r>
              <w:rPr>
                <w:rStyle w:val="IndexLink"/>
              </w:rPr>
              <w:t>93</w:t>
            </w:r>
          </w:hyperlink>
        </w:p>
        <w:p>
          <w:pPr>
            <w:pStyle w:val="Contents3"/>
            <w:tabs>
              <w:tab w:val="clear" w:pos="8459"/>
              <w:tab w:val="right" w:pos="9026" w:leader="dot"/>
            </w:tabs>
            <w:rPr/>
          </w:pPr>
          <w:hyperlink w:anchor="__RefHeading___Toc256500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یجب أن یکون المرجع للتقلید عالماً مجتهداً عادلًا ورعاً فی دین اللّٰه</w:t>
            </w:r>
            <w:r>
              <w:rPr>
                <w:rStyle w:val="IndexLink"/>
                <w:rtl w:val="true"/>
              </w:rPr>
              <w:t>]</w:t>
              <w:tab/>
            </w:r>
            <w:r>
              <w:rPr>
                <w:rStyle w:val="IndexLink"/>
              </w:rPr>
              <w:t>93</w:t>
            </w:r>
          </w:hyperlink>
        </w:p>
        <w:p>
          <w:pPr>
            <w:pStyle w:val="Contents3"/>
            <w:tabs>
              <w:tab w:val="clear" w:pos="8459"/>
              <w:tab w:val="right" w:pos="9026" w:leader="dot"/>
            </w:tabs>
            <w:rPr/>
          </w:pPr>
          <w:hyperlink w:anchor="__RefHeading___Toc256500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لا یجوز العدول من الحیّ إلی الحیّ فی المسائل التی عمل بها</w:t>
            </w:r>
            <w:r>
              <w:rPr>
                <w:rStyle w:val="IndexLink"/>
                <w:rtl w:val="true"/>
              </w:rPr>
              <w:t>]</w:t>
              <w:tab/>
            </w:r>
            <w:r>
              <w:rPr>
                <w:rStyle w:val="IndexLink"/>
              </w:rPr>
              <w:t>94</w:t>
            </w:r>
          </w:hyperlink>
        </w:p>
        <w:p>
          <w:pPr>
            <w:pStyle w:val="Contents3"/>
            <w:tabs>
              <w:tab w:val="clear" w:pos="8459"/>
              <w:tab w:val="right" w:pos="9026" w:leader="dot"/>
            </w:tabs>
            <w:rPr/>
          </w:pPr>
          <w:hyperlink w:anchor="__RefHeading___Toc256500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یجب تقلید الأعلم مع الإمکان علی الأحوط</w:t>
            </w:r>
            <w:r>
              <w:rPr>
                <w:rStyle w:val="IndexLink"/>
                <w:rtl w:val="true"/>
              </w:rPr>
              <w:t>]</w:t>
              <w:tab/>
            </w:r>
            <w:r>
              <w:rPr>
                <w:rStyle w:val="IndexLink"/>
              </w:rPr>
              <w:t>94</w:t>
            </w:r>
          </w:hyperlink>
        </w:p>
        <w:p>
          <w:pPr>
            <w:pStyle w:val="Contents3"/>
            <w:tabs>
              <w:tab w:val="clear" w:pos="8459"/>
              <w:tab w:val="right" w:pos="9026" w:leader="dot"/>
            </w:tabs>
            <w:rPr/>
          </w:pPr>
          <w:hyperlink w:anchor="__RefHeading___Toc256501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کان الأعلم منحصراً فی شخصین و لم یتمکّن من تعیینه تعیّن الأخذ بالاحتیاط</w:t>
            </w:r>
            <w:r>
              <w:rPr>
                <w:rStyle w:val="IndexLink"/>
                <w:rtl w:val="true"/>
              </w:rPr>
              <w:t>]</w:t>
              <w:tab/>
            </w:r>
            <w:r>
              <w:rPr>
                <w:rStyle w:val="IndexLink"/>
              </w:rPr>
              <w:t>94</w:t>
            </w:r>
          </w:hyperlink>
        </w:p>
        <w:p>
          <w:pPr>
            <w:pStyle w:val="Contents3"/>
            <w:tabs>
              <w:tab w:val="clear" w:pos="8459"/>
              <w:tab w:val="right" w:pos="9026" w:leader="dot"/>
            </w:tabs>
            <w:rPr/>
          </w:pPr>
          <w:hyperlink w:anchor="__RefHeading___Toc256501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یجب علی العامّی أن یقلّد الأعلم فی مسألة وجوب تقلید الأعلم</w:t>
            </w:r>
            <w:r>
              <w:rPr>
                <w:rStyle w:val="IndexLink"/>
                <w:rtl w:val="true"/>
              </w:rPr>
              <w:t>]</w:t>
              <w:tab/>
            </w:r>
            <w:r>
              <w:rPr>
                <w:rStyle w:val="IndexLink"/>
              </w:rPr>
              <w:t>94</w:t>
            </w:r>
          </w:hyperlink>
        </w:p>
        <w:p>
          <w:pPr>
            <w:pStyle w:val="Contents3"/>
            <w:tabs>
              <w:tab w:val="clear" w:pos="8459"/>
              <w:tab w:val="right" w:pos="9026" w:leader="dot"/>
            </w:tabs>
            <w:rPr/>
          </w:pPr>
          <w:hyperlink w:anchor="__RefHeading___Toc256501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کان مجتهدان متساویان فی العلم یتخیّر العامّی فی الرجوع إلیٰ أیّهما</w:t>
            </w:r>
            <w:r>
              <w:rPr>
                <w:rStyle w:val="IndexLink"/>
                <w:rtl w:val="true"/>
              </w:rPr>
              <w:t>]</w:t>
              <w:tab/>
            </w:r>
            <w:r>
              <w:rPr>
                <w:rStyle w:val="IndexLink"/>
              </w:rPr>
              <w:t>94</w:t>
            </w:r>
          </w:hyperlink>
        </w:p>
        <w:p>
          <w:pPr>
            <w:pStyle w:val="Contents3"/>
            <w:tabs>
              <w:tab w:val="clear" w:pos="8459"/>
              <w:tab w:val="right" w:pos="9026" w:leader="dot"/>
            </w:tabs>
            <w:rPr/>
          </w:pPr>
          <w:hyperlink w:anchor="__RefHeading___Toc256501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یجب علی العامّی فی زمان الفحص عن المجتهد أو الأعلم أن یعمل بالاحتیاط</w:t>
            </w:r>
            <w:r>
              <w:rPr>
                <w:rStyle w:val="IndexLink"/>
                <w:rtl w:val="true"/>
              </w:rPr>
              <w:t>]</w:t>
              <w:tab/>
            </w:r>
            <w:r>
              <w:rPr>
                <w:rStyle w:val="IndexLink"/>
              </w:rPr>
              <w:t>94</w:t>
            </w:r>
          </w:hyperlink>
        </w:p>
        <w:p>
          <w:pPr>
            <w:pStyle w:val="Contents3"/>
            <w:tabs>
              <w:tab w:val="clear" w:pos="8459"/>
              <w:tab w:val="right" w:pos="9026" w:leader="dot"/>
            </w:tabs>
            <w:rPr/>
          </w:pPr>
          <w:hyperlink w:anchor="__RefHeading___Toc2565018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یجوز تقلید المفضول فی المسائل التی توافق فتواه فتوی الأفضل فیها</w:t>
            </w:r>
            <w:r>
              <w:rPr>
                <w:rStyle w:val="IndexLink"/>
                <w:rtl w:val="true"/>
              </w:rPr>
              <w:t>]</w:t>
              <w:tab/>
            </w:r>
            <w:r>
              <w:rPr>
                <w:rStyle w:val="IndexLink"/>
              </w:rPr>
              <w:t>94</w:t>
            </w:r>
          </w:hyperlink>
        </w:p>
        <w:p>
          <w:pPr>
            <w:pStyle w:val="Contents3"/>
            <w:tabs>
              <w:tab w:val="clear" w:pos="8459"/>
              <w:tab w:val="right" w:pos="9026" w:leader="dot"/>
            </w:tabs>
            <w:rPr/>
          </w:pPr>
          <w:hyperlink w:anchor="__RefHeading___Toc2565020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إذا لم یکن للأعلم فتوی فی مسألة من المسائل یجوز الرجوع فی تلک المسألة إلیٰ غیره</w:t>
            </w:r>
            <w:r>
              <w:rPr>
                <w:rStyle w:val="IndexLink"/>
                <w:rtl w:val="true"/>
              </w:rPr>
              <w:t>]</w:t>
              <w:tab/>
            </w:r>
            <w:r>
              <w:rPr>
                <w:rStyle w:val="IndexLink"/>
              </w:rPr>
              <w:t>94</w:t>
            </w:r>
          </w:hyperlink>
        </w:p>
        <w:p>
          <w:pPr>
            <w:pStyle w:val="Contents3"/>
            <w:tabs>
              <w:tab w:val="clear" w:pos="8459"/>
              <w:tab w:val="right" w:pos="9026" w:leader="dot"/>
            </w:tabs>
            <w:rPr/>
          </w:pPr>
          <w:hyperlink w:anchor="__RefHeading___Toc2565022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إذا قلّد من لیس له أهلیّة الفتویٰ ثمّ التفت وجب علیه العدول</w:t>
            </w:r>
            <w:r>
              <w:rPr>
                <w:rStyle w:val="IndexLink"/>
                <w:rtl w:val="true"/>
              </w:rPr>
              <w:t>]</w:t>
              <w:tab/>
            </w:r>
            <w:r>
              <w:rPr>
                <w:rStyle w:val="IndexLink"/>
              </w:rPr>
              <w:t>95</w:t>
            </w:r>
          </w:hyperlink>
        </w:p>
        <w:p>
          <w:pPr>
            <w:pStyle w:val="Contents3"/>
            <w:tabs>
              <w:tab w:val="clear" w:pos="8459"/>
              <w:tab w:val="right" w:pos="9026" w:leader="dot"/>
            </w:tabs>
            <w:rPr/>
          </w:pPr>
          <w:hyperlink w:anchor="__RefHeading___Toc2565024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لا یجوز تقلید المیّت ابتداءً</w:t>
            </w:r>
            <w:r>
              <w:rPr>
                <w:rStyle w:val="IndexLink"/>
                <w:rtl w:val="true"/>
              </w:rPr>
              <w:t>]</w:t>
              <w:tab/>
            </w:r>
            <w:r>
              <w:rPr>
                <w:rStyle w:val="IndexLink"/>
              </w:rPr>
              <w:t>95</w:t>
            </w:r>
          </w:hyperlink>
        </w:p>
        <w:p>
          <w:pPr>
            <w:pStyle w:val="Contents3"/>
            <w:tabs>
              <w:tab w:val="clear" w:pos="8459"/>
              <w:tab w:val="right" w:pos="9026" w:leader="dot"/>
            </w:tabs>
            <w:rPr/>
          </w:pPr>
          <w:hyperlink w:anchor="__RefHeading___Toc2565026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إذا قلّد مجتهداً ثمّ مات فقلّد غیره</w:t>
            </w:r>
            <w:r>
              <w:rPr>
                <w:rStyle w:val="IndexLink"/>
                <w:rtl w:val="true"/>
              </w:rPr>
              <w:t>]</w:t>
              <w:tab/>
            </w:r>
            <w:r>
              <w:rPr>
                <w:rStyle w:val="IndexLink"/>
              </w:rPr>
              <w:t>95</w:t>
            </w:r>
          </w:hyperlink>
        </w:p>
        <w:p>
          <w:pPr>
            <w:pStyle w:val="Contents3"/>
            <w:tabs>
              <w:tab w:val="clear" w:pos="8459"/>
              <w:tab w:val="right" w:pos="9026" w:leader="dot"/>
            </w:tabs>
            <w:rPr/>
          </w:pPr>
          <w:hyperlink w:anchor="__RefHeading___Toc2565028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المأذون و الوکیل عن المجتهد فی التصرّف فی الأوقاف أو الوصایا أو فی أموال القصّر ینعزل بموت المجتهد</w:t>
            </w:r>
            <w:r>
              <w:rPr>
                <w:rStyle w:val="IndexLink"/>
                <w:rtl w:val="true"/>
              </w:rPr>
              <w:t>]</w:t>
              <w:tab/>
            </w:r>
            <w:r>
              <w:rPr>
                <w:rStyle w:val="IndexLink"/>
              </w:rPr>
              <w:t>95</w:t>
            </w:r>
          </w:hyperlink>
        </w:p>
        <w:p>
          <w:pPr>
            <w:pStyle w:val="Contents3"/>
            <w:tabs>
              <w:tab w:val="clear" w:pos="8459"/>
              <w:tab w:val="right" w:pos="9026" w:leader="dot"/>
            </w:tabs>
            <w:rPr/>
          </w:pPr>
          <w:hyperlink w:anchor="__RefHeading___Toc2565030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إذا عمل عملًا من عبادة أو عقد أو إیقاع علیٰ طبق فتوی من یقلّده فمات ذلک المجتهد</w:t>
            </w:r>
            <w:r>
              <w:rPr>
                <w:rStyle w:val="IndexLink"/>
                <w:rtl w:val="true"/>
              </w:rPr>
              <w:t>]</w:t>
              <w:tab/>
            </w:r>
            <w:r>
              <w:rPr>
                <w:rStyle w:val="IndexLink"/>
              </w:rPr>
              <w:t>95</w:t>
            </w:r>
          </w:hyperlink>
        </w:p>
        <w:p>
          <w:pPr>
            <w:pStyle w:val="Contents3"/>
            <w:tabs>
              <w:tab w:val="clear" w:pos="8459"/>
              <w:tab w:val="right" w:pos="9026" w:leader="dot"/>
            </w:tabs>
            <w:rPr/>
          </w:pPr>
          <w:hyperlink w:anchor="__RefHeading___Toc2565032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إذا قلّد مجتهداً من غیر فحص عن حاله أو قطع بکونه جامعاً للشرائط</w:t>
            </w:r>
            <w:r>
              <w:rPr>
                <w:rStyle w:val="IndexLink"/>
                <w:rtl w:val="true"/>
              </w:rPr>
              <w:t>]</w:t>
              <w:tab/>
            </w:r>
            <w:r>
              <w:rPr>
                <w:rStyle w:val="IndexLink"/>
              </w:rPr>
              <w:t>95</w:t>
            </w:r>
          </w:hyperlink>
        </w:p>
        <w:p>
          <w:pPr>
            <w:pStyle w:val="Contents3"/>
            <w:tabs>
              <w:tab w:val="clear" w:pos="8459"/>
              <w:tab w:val="right" w:pos="9026" w:leader="dot"/>
            </w:tabs>
            <w:rPr/>
          </w:pPr>
          <w:hyperlink w:anchor="__RefHeading___Toc2565034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إذا عرض للمجتهد ما یوجب فقده للشرائط</w:t>
            </w:r>
            <w:r>
              <w:rPr>
                <w:rStyle w:val="IndexLink"/>
                <w:rtl w:val="true"/>
              </w:rPr>
              <w:t>]</w:t>
              <w:tab/>
            </w:r>
            <w:r>
              <w:rPr>
                <w:rStyle w:val="IndexLink"/>
              </w:rPr>
              <w:t>96</w:t>
            </w:r>
          </w:hyperlink>
        </w:p>
        <w:p>
          <w:pPr>
            <w:pStyle w:val="Contents3"/>
            <w:tabs>
              <w:tab w:val="clear" w:pos="8459"/>
              <w:tab w:val="right" w:pos="9026" w:leader="dot"/>
            </w:tabs>
            <w:rPr/>
          </w:pPr>
          <w:hyperlink w:anchor="__RefHeading___Toc2565036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یثبت الاجتهاد بالاختبار و بالشیاع المفید للعلم</w:t>
            </w:r>
            <w:r>
              <w:rPr>
                <w:rStyle w:val="IndexLink"/>
                <w:rtl w:val="true"/>
              </w:rPr>
              <w:t>]</w:t>
              <w:tab/>
            </w:r>
            <w:r>
              <w:rPr>
                <w:rStyle w:val="IndexLink"/>
              </w:rPr>
              <w:t>96</w:t>
            </w:r>
          </w:hyperlink>
        </w:p>
        <w:p>
          <w:pPr>
            <w:pStyle w:val="Contents3"/>
            <w:tabs>
              <w:tab w:val="clear" w:pos="8459"/>
              <w:tab w:val="right" w:pos="9026" w:leader="dot"/>
            </w:tabs>
            <w:rPr/>
          </w:pPr>
          <w:hyperlink w:anchor="__RefHeading___Toc2565038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عمل الجاهل المقصّر الملتفت من دون تقلید باطل</w:t>
            </w:r>
            <w:r>
              <w:rPr>
                <w:rStyle w:val="IndexLink"/>
                <w:rtl w:val="true"/>
              </w:rPr>
              <w:t>]</w:t>
              <w:tab/>
            </w:r>
            <w:r>
              <w:rPr>
                <w:rStyle w:val="IndexLink"/>
              </w:rPr>
              <w:t>96</w:t>
            </w:r>
          </w:hyperlink>
        </w:p>
        <w:p>
          <w:pPr>
            <w:pStyle w:val="Contents3"/>
            <w:tabs>
              <w:tab w:val="clear" w:pos="8459"/>
              <w:tab w:val="right" w:pos="9026" w:leader="dot"/>
            </w:tabs>
            <w:rPr/>
          </w:pPr>
          <w:hyperlink w:anchor="__RefHeading___Toc2565040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کیفیّة أخذ المسائل من المجتهد علیٰ أنحاء ثلاثة</w:t>
            </w:r>
            <w:r>
              <w:rPr>
                <w:rStyle w:val="IndexLink"/>
                <w:rtl w:val="true"/>
              </w:rPr>
              <w:t>]</w:t>
              <w:tab/>
            </w:r>
            <w:r>
              <w:rPr>
                <w:rStyle w:val="IndexLink"/>
              </w:rPr>
              <w:t>96</w:t>
            </w:r>
          </w:hyperlink>
        </w:p>
        <w:p>
          <w:pPr>
            <w:pStyle w:val="Contents3"/>
            <w:tabs>
              <w:tab w:val="clear" w:pos="8459"/>
              <w:tab w:val="right" w:pos="9026" w:leader="dot"/>
            </w:tabs>
            <w:rPr/>
          </w:pPr>
          <w:hyperlink w:anchor="__RefHeading___Toc2565042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إذا اختلف ناقلان فی نقل فتوی المجتهد یؤخذ بقول أوثقهما</w:t>
            </w:r>
            <w:r>
              <w:rPr>
                <w:rStyle w:val="IndexLink"/>
                <w:rtl w:val="true"/>
              </w:rPr>
              <w:t>]</w:t>
              <w:tab/>
            </w:r>
            <w:r>
              <w:rPr>
                <w:rStyle w:val="IndexLink"/>
              </w:rPr>
              <w:t>96</w:t>
            </w:r>
          </w:hyperlink>
        </w:p>
        <w:p>
          <w:pPr>
            <w:pStyle w:val="Contents3"/>
            <w:tabs>
              <w:tab w:val="clear" w:pos="8459"/>
              <w:tab w:val="right" w:pos="9026" w:leader="dot"/>
            </w:tabs>
            <w:rPr/>
          </w:pPr>
          <w:hyperlink w:anchor="__RefHeading___Toc2565044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یجب تعلّم مسائل الشکّ و السهو و غیرها ممّا هو محلّ الابتلاء غالباً</w:t>
            </w:r>
            <w:r>
              <w:rPr>
                <w:rStyle w:val="IndexLink"/>
                <w:rtl w:val="true"/>
              </w:rPr>
              <w:t>]</w:t>
              <w:tab/>
            </w:r>
            <w:r>
              <w:rPr>
                <w:rStyle w:val="IndexLink"/>
              </w:rPr>
              <w:t>97</w:t>
            </w:r>
          </w:hyperlink>
        </w:p>
        <w:p>
          <w:pPr>
            <w:pStyle w:val="Contents3"/>
            <w:tabs>
              <w:tab w:val="clear" w:pos="8459"/>
              <w:tab w:val="right" w:pos="9026" w:leader="dot"/>
            </w:tabs>
            <w:rPr/>
          </w:pPr>
          <w:hyperlink w:anchor="__RefHeading___Toc2565046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إذا علم أنّه کان فی عباداته بلا تقلید مدّة من الزمان و لم یعلم مقداره</w:t>
            </w:r>
            <w:r>
              <w:rPr>
                <w:rStyle w:val="IndexLink"/>
                <w:rtl w:val="true"/>
              </w:rPr>
              <w:t>]</w:t>
              <w:tab/>
            </w:r>
            <w:r>
              <w:rPr>
                <w:rStyle w:val="IndexLink"/>
              </w:rPr>
              <w:t>97</w:t>
            </w:r>
          </w:hyperlink>
        </w:p>
        <w:p>
          <w:pPr>
            <w:pStyle w:val="Contents3"/>
            <w:tabs>
              <w:tab w:val="clear" w:pos="8459"/>
              <w:tab w:val="right" w:pos="9026" w:leader="dot"/>
            </w:tabs>
            <w:rPr/>
          </w:pPr>
          <w:hyperlink w:anchor="__RefHeading___Toc2565048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إذا کان أعماله السابقة مع التقلید و لا یعلم أنّه کان عن تقلید صحیح أم فاسد</w:t>
            </w:r>
            <w:r>
              <w:rPr>
                <w:rStyle w:val="IndexLink"/>
                <w:rtl w:val="true"/>
              </w:rPr>
              <w:t>]</w:t>
              <w:tab/>
            </w:r>
            <w:r>
              <w:rPr>
                <w:rStyle w:val="IndexLink"/>
              </w:rPr>
              <w:t>97</w:t>
            </w:r>
          </w:hyperlink>
        </w:p>
        <w:p>
          <w:pPr>
            <w:pStyle w:val="Contents3"/>
            <w:tabs>
              <w:tab w:val="clear" w:pos="8459"/>
              <w:tab w:val="right" w:pos="9026" w:leader="dot"/>
            </w:tabs>
            <w:rPr/>
          </w:pPr>
          <w:hyperlink w:anchor="__RefHeading___Toc2565050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إذا مضت مدّة من بلوغه و شکّ بعد ذلک فی أنّ أعماله کانت عن تقلید صحیح أم لا</w:t>
            </w:r>
            <w:r>
              <w:rPr>
                <w:rStyle w:val="IndexLink"/>
                <w:rtl w:val="true"/>
              </w:rPr>
              <w:t>]</w:t>
              <w:tab/>
            </w:r>
            <w:r>
              <w:rPr>
                <w:rStyle w:val="IndexLink"/>
              </w:rPr>
              <w:t>97</w:t>
            </w:r>
          </w:hyperlink>
        </w:p>
        <w:p>
          <w:pPr>
            <w:pStyle w:val="Contents3"/>
            <w:tabs>
              <w:tab w:val="clear" w:pos="8459"/>
              <w:tab w:val="right" w:pos="9026" w:leader="dot"/>
            </w:tabs>
            <w:rPr/>
          </w:pPr>
          <w:hyperlink w:anchor="__RefHeading___Toc2565052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یعتبر فی المفتی و القاضی العدالة</w:t>
            </w:r>
            <w:r>
              <w:rPr>
                <w:rStyle w:val="IndexLink"/>
                <w:rtl w:val="true"/>
              </w:rPr>
              <w:t>]</w:t>
              <w:tab/>
            </w:r>
            <w:r>
              <w:rPr>
                <w:rStyle w:val="IndexLink"/>
              </w:rPr>
              <w:t>97</w:t>
            </w:r>
          </w:hyperlink>
        </w:p>
        <w:p>
          <w:pPr>
            <w:pStyle w:val="Contents3"/>
            <w:tabs>
              <w:tab w:val="clear" w:pos="8459"/>
              <w:tab w:val="right" w:pos="9026" w:leader="dot"/>
            </w:tabs>
            <w:rPr/>
          </w:pPr>
          <w:hyperlink w:anchor="__RefHeading___Toc2565054_3650668749">
            <w:r>
              <w:rPr>
                <w:webHidden/>
                <w:rStyle w:val="IndexLink"/>
                <w:rtl w:val="true"/>
              </w:rPr>
              <w:t>[ (</w:t>
            </w:r>
            <w:r>
              <w:rPr>
                <w:rStyle w:val="IndexLink"/>
                <w:rtl w:val="true"/>
              </w:rPr>
              <w:t xml:space="preserve">مسألة </w:t>
            </w:r>
            <w:r>
              <w:rPr>
                <w:rStyle w:val="IndexLink"/>
              </w:rPr>
              <w:t>28</w:t>
            </w:r>
            <w:r>
              <w:rPr>
                <w:rStyle w:val="IndexLink"/>
                <w:rtl w:val="true"/>
              </w:rPr>
              <w:t xml:space="preserve">): </w:t>
            </w:r>
            <w:r>
              <w:rPr>
                <w:rStyle w:val="IndexLink"/>
                <w:rtl w:val="true"/>
              </w:rPr>
              <w:t>العدالة</w:t>
            </w:r>
            <w:r>
              <w:rPr>
                <w:rStyle w:val="IndexLink"/>
                <w:rtl w:val="true"/>
              </w:rPr>
              <w:t xml:space="preserve">: </w:t>
            </w:r>
            <w:r>
              <w:rPr>
                <w:rStyle w:val="IndexLink"/>
                <w:rtl w:val="true"/>
              </w:rPr>
              <w:t>عبارة عن ملکة راسخة باعثة علیٰ ملازمة التقوی</w:t>
            </w:r>
            <w:r>
              <w:rPr>
                <w:rStyle w:val="IndexLink"/>
                <w:rtl w:val="true"/>
              </w:rPr>
              <w:t>]</w:t>
              <w:tab/>
            </w:r>
            <w:r>
              <w:rPr>
                <w:rStyle w:val="IndexLink"/>
              </w:rPr>
              <w:t>97</w:t>
            </w:r>
          </w:hyperlink>
        </w:p>
        <w:p>
          <w:pPr>
            <w:pStyle w:val="Contents3"/>
            <w:tabs>
              <w:tab w:val="clear" w:pos="8459"/>
              <w:tab w:val="right" w:pos="9026" w:leader="dot"/>
            </w:tabs>
            <w:rPr/>
          </w:pPr>
          <w:hyperlink w:anchor="__RefHeading___Toc2565056_3650668749">
            <w:r>
              <w:rPr>
                <w:webHidden/>
                <w:rStyle w:val="IndexLink"/>
                <w:rtl w:val="true"/>
              </w:rPr>
              <w:t>[ (</w:t>
            </w:r>
            <w:r>
              <w:rPr>
                <w:rStyle w:val="IndexLink"/>
                <w:rtl w:val="true"/>
              </w:rPr>
              <w:t xml:space="preserve">مسألة </w:t>
            </w:r>
            <w:r>
              <w:rPr>
                <w:rStyle w:val="IndexLink"/>
              </w:rPr>
              <w:t>29</w:t>
            </w:r>
            <w:r>
              <w:rPr>
                <w:rStyle w:val="IndexLink"/>
                <w:rtl w:val="true"/>
              </w:rPr>
              <w:t xml:space="preserve">): </w:t>
            </w:r>
            <w:r>
              <w:rPr>
                <w:rStyle w:val="IndexLink"/>
                <w:rtl w:val="true"/>
              </w:rPr>
              <w:t>تزول صفة العدالة بارتکاب الکبائر أو الإصرار علی الصغائر</w:t>
            </w:r>
            <w:r>
              <w:rPr>
                <w:rStyle w:val="IndexLink"/>
                <w:rtl w:val="true"/>
              </w:rPr>
              <w:t>]</w:t>
              <w:tab/>
            </w:r>
            <w:r>
              <w:rPr>
                <w:rStyle w:val="IndexLink"/>
              </w:rPr>
              <w:t>97</w:t>
            </w:r>
          </w:hyperlink>
        </w:p>
        <w:p>
          <w:pPr>
            <w:pStyle w:val="Contents3"/>
            <w:tabs>
              <w:tab w:val="clear" w:pos="8459"/>
              <w:tab w:val="right" w:pos="9026" w:leader="dot"/>
            </w:tabs>
            <w:rPr/>
          </w:pPr>
          <w:hyperlink w:anchor="__RefHeading___Toc2565058_3650668749">
            <w:r>
              <w:rPr>
                <w:webHidden/>
                <w:rStyle w:val="IndexLink"/>
                <w:rtl w:val="true"/>
              </w:rPr>
              <w:t>[ (</w:t>
            </w:r>
            <w:r>
              <w:rPr>
                <w:rStyle w:val="IndexLink"/>
                <w:rtl w:val="true"/>
              </w:rPr>
              <w:t xml:space="preserve">مسألة </w:t>
            </w:r>
            <w:r>
              <w:rPr>
                <w:rStyle w:val="IndexLink"/>
              </w:rPr>
              <w:t>30</w:t>
            </w:r>
            <w:r>
              <w:rPr>
                <w:rStyle w:val="IndexLink"/>
                <w:rtl w:val="true"/>
              </w:rPr>
              <w:t xml:space="preserve">): </w:t>
            </w:r>
            <w:r>
              <w:rPr>
                <w:rStyle w:val="IndexLink"/>
                <w:rtl w:val="true"/>
              </w:rPr>
              <w:t>إذا نقل شخص فتوی المجتهد خطأً یجب علیه إعلام من تعلّم منه</w:t>
            </w:r>
            <w:r>
              <w:rPr>
                <w:rStyle w:val="IndexLink"/>
                <w:rtl w:val="true"/>
              </w:rPr>
              <w:t>]</w:t>
              <w:tab/>
            </w:r>
            <w:r>
              <w:rPr>
                <w:rStyle w:val="IndexLink"/>
              </w:rPr>
              <w:t>97</w:t>
            </w:r>
          </w:hyperlink>
        </w:p>
        <w:p>
          <w:pPr>
            <w:pStyle w:val="Contents3"/>
            <w:tabs>
              <w:tab w:val="clear" w:pos="8459"/>
              <w:tab w:val="right" w:pos="9026" w:leader="dot"/>
            </w:tabs>
            <w:rPr/>
          </w:pPr>
          <w:hyperlink w:anchor="__RefHeading___Toc2565060_3650668749">
            <w:r>
              <w:rPr>
                <w:webHidden/>
                <w:rStyle w:val="IndexLink"/>
                <w:rtl w:val="true"/>
              </w:rPr>
              <w:t>[ (</w:t>
            </w:r>
            <w:r>
              <w:rPr>
                <w:rStyle w:val="IndexLink"/>
                <w:rtl w:val="true"/>
              </w:rPr>
              <w:t xml:space="preserve">مسألة </w:t>
            </w:r>
            <w:r>
              <w:rPr>
                <w:rStyle w:val="IndexLink"/>
              </w:rPr>
              <w:t>31</w:t>
            </w:r>
            <w:r>
              <w:rPr>
                <w:rStyle w:val="IndexLink"/>
                <w:rtl w:val="true"/>
              </w:rPr>
              <w:t xml:space="preserve">): </w:t>
            </w:r>
            <w:r>
              <w:rPr>
                <w:rStyle w:val="IndexLink"/>
                <w:rtl w:val="true"/>
              </w:rPr>
              <w:t>إذا اتّفق فی أثناء الصلاة مسألة لا یعلم حکمها</w:t>
            </w:r>
            <w:r>
              <w:rPr>
                <w:rStyle w:val="IndexLink"/>
                <w:rtl w:val="true"/>
              </w:rPr>
              <w:t>]</w:t>
              <w:tab/>
            </w:r>
            <w:r>
              <w:rPr>
                <w:rStyle w:val="IndexLink"/>
              </w:rPr>
              <w:t>98</w:t>
            </w:r>
          </w:hyperlink>
        </w:p>
        <w:p>
          <w:pPr>
            <w:pStyle w:val="Contents3"/>
            <w:tabs>
              <w:tab w:val="clear" w:pos="8459"/>
              <w:tab w:val="right" w:pos="9026" w:leader="dot"/>
            </w:tabs>
            <w:rPr/>
          </w:pPr>
          <w:hyperlink w:anchor="__RefHeading___Toc2565062_3650668749">
            <w:r>
              <w:rPr>
                <w:webHidden/>
                <w:rStyle w:val="IndexLink"/>
                <w:rtl w:val="true"/>
              </w:rPr>
              <w:t>[ (</w:t>
            </w:r>
            <w:r>
              <w:rPr>
                <w:rStyle w:val="IndexLink"/>
                <w:rtl w:val="true"/>
              </w:rPr>
              <w:t xml:space="preserve">مسألة </w:t>
            </w:r>
            <w:r>
              <w:rPr>
                <w:rStyle w:val="IndexLink"/>
              </w:rPr>
              <w:t>32</w:t>
            </w:r>
            <w:r>
              <w:rPr>
                <w:rStyle w:val="IndexLink"/>
                <w:rtl w:val="true"/>
              </w:rPr>
              <w:t xml:space="preserve">): </w:t>
            </w:r>
            <w:r>
              <w:rPr>
                <w:rStyle w:val="IndexLink"/>
                <w:rtl w:val="true"/>
              </w:rPr>
              <w:t>الوکیل فی عمل عن الغیر</w:t>
            </w:r>
            <w:r>
              <w:rPr>
                <w:rStyle w:val="IndexLink"/>
                <w:rtl w:val="true"/>
              </w:rPr>
              <w:t>]</w:t>
              <w:tab/>
            </w:r>
            <w:r>
              <w:rPr>
                <w:rStyle w:val="IndexLink"/>
              </w:rPr>
              <w:t>98</w:t>
            </w:r>
          </w:hyperlink>
        </w:p>
        <w:p>
          <w:pPr>
            <w:pStyle w:val="Contents3"/>
            <w:tabs>
              <w:tab w:val="clear" w:pos="8459"/>
              <w:tab w:val="right" w:pos="9026" w:leader="dot"/>
            </w:tabs>
            <w:rPr/>
          </w:pPr>
          <w:hyperlink w:anchor="__RefHeading___Toc2565064_3650668749">
            <w:r>
              <w:rPr>
                <w:webHidden/>
                <w:rStyle w:val="IndexLink"/>
                <w:rtl w:val="true"/>
              </w:rPr>
              <w:t>[ (</w:t>
            </w:r>
            <w:r>
              <w:rPr>
                <w:rStyle w:val="IndexLink"/>
                <w:rtl w:val="true"/>
              </w:rPr>
              <w:t xml:space="preserve">مسألة </w:t>
            </w:r>
            <w:r>
              <w:rPr>
                <w:rStyle w:val="IndexLink"/>
              </w:rPr>
              <w:t>33</w:t>
            </w:r>
            <w:r>
              <w:rPr>
                <w:rStyle w:val="IndexLink"/>
                <w:rtl w:val="true"/>
              </w:rPr>
              <w:t xml:space="preserve">): </w:t>
            </w:r>
            <w:r>
              <w:rPr>
                <w:rStyle w:val="IndexLink"/>
                <w:rtl w:val="true"/>
              </w:rPr>
              <w:t>إذا وقعت معاملة بین شخصین و کان أحدهما مقلّداً</w:t>
            </w:r>
            <w:r>
              <w:rPr>
                <w:rStyle w:val="IndexLink"/>
                <w:rtl w:val="true"/>
              </w:rPr>
              <w:t>]</w:t>
              <w:tab/>
            </w:r>
            <w:r>
              <w:rPr>
                <w:rStyle w:val="IndexLink"/>
              </w:rPr>
              <w:t>98</w:t>
            </w:r>
          </w:hyperlink>
        </w:p>
        <w:p>
          <w:pPr>
            <w:pStyle w:val="Contents3"/>
            <w:tabs>
              <w:tab w:val="clear" w:pos="8459"/>
              <w:tab w:val="right" w:pos="9026" w:leader="dot"/>
            </w:tabs>
            <w:rPr/>
          </w:pPr>
          <w:hyperlink w:anchor="__RefHeading___Toc2565066_3650668749">
            <w:r>
              <w:rPr>
                <w:webHidden/>
                <w:rStyle w:val="IndexLink"/>
                <w:rtl w:val="true"/>
              </w:rPr>
              <w:t>[ (</w:t>
            </w:r>
            <w:r>
              <w:rPr>
                <w:rStyle w:val="IndexLink"/>
                <w:rtl w:val="true"/>
              </w:rPr>
              <w:t xml:space="preserve">مسألة </w:t>
            </w:r>
            <w:r>
              <w:rPr>
                <w:rStyle w:val="IndexLink"/>
              </w:rPr>
              <w:t>34</w:t>
            </w:r>
            <w:r>
              <w:rPr>
                <w:rStyle w:val="IndexLink"/>
                <w:rtl w:val="true"/>
              </w:rPr>
              <w:t xml:space="preserve">): </w:t>
            </w:r>
            <w:r>
              <w:rPr>
                <w:rStyle w:val="IndexLink"/>
                <w:rtl w:val="true"/>
              </w:rPr>
              <w:t>الاحتیاط المطلق فی مقام الفتویٰ من غیر سبق فتوی علیٰ خلافه</w:t>
            </w:r>
            <w:r>
              <w:rPr>
                <w:rStyle w:val="IndexLink"/>
                <w:rtl w:val="true"/>
              </w:rPr>
              <w:t>]</w:t>
              <w:tab/>
            </w:r>
            <w:r>
              <w:rPr>
                <w:rStyle w:val="IndexLink"/>
              </w:rPr>
              <w:t>98</w:t>
            </w:r>
          </w:hyperlink>
        </w:p>
        <w:p>
          <w:pPr>
            <w:pStyle w:val="Contents2"/>
            <w:tabs>
              <w:tab w:val="clear" w:pos="8743"/>
              <w:tab w:val="right" w:pos="9026" w:leader="dot"/>
            </w:tabs>
            <w:rPr/>
          </w:pPr>
          <w:hyperlink w:anchor="__RefHeading___Toc2565068_3650668749">
            <w:r>
              <w:rPr>
                <w:webHidden/>
                <w:rStyle w:val="IndexLink"/>
                <w:rtl w:val="true"/>
              </w:rPr>
              <w:t>[</w:t>
            </w:r>
            <w:r>
              <w:rPr>
                <w:rStyle w:val="IndexLink"/>
                <w:rtl w:val="true"/>
              </w:rPr>
              <w:t>کتاب الطهارة</w:t>
            </w:r>
            <w:r>
              <w:rPr>
                <w:rStyle w:val="IndexLink"/>
                <w:rtl w:val="true"/>
              </w:rPr>
              <w:t>]</w:t>
              <w:tab/>
            </w:r>
            <w:r>
              <w:rPr>
                <w:rStyle w:val="IndexLink"/>
              </w:rPr>
              <w:t>99</w:t>
            </w:r>
          </w:hyperlink>
        </w:p>
        <w:p>
          <w:pPr>
            <w:pStyle w:val="Contents3"/>
            <w:tabs>
              <w:tab w:val="clear" w:pos="8459"/>
              <w:tab w:val="right" w:pos="9026" w:leader="dot"/>
            </w:tabs>
            <w:rPr/>
          </w:pPr>
          <w:hyperlink w:anchor="__RefHeading___Toc2565070_3650668749">
            <w:r>
              <w:rPr>
                <w:webHidden/>
                <w:rStyle w:val="IndexLink"/>
                <w:rtl w:val="true"/>
              </w:rPr>
              <w:t>[</w:t>
            </w:r>
            <w:r>
              <w:rPr>
                <w:rStyle w:val="IndexLink"/>
                <w:rtl w:val="true"/>
              </w:rPr>
              <w:t>فصل فی المیاه</w:t>
            </w:r>
            <w:r>
              <w:rPr>
                <w:rStyle w:val="IndexLink"/>
                <w:rtl w:val="true"/>
              </w:rPr>
              <w:t>]</w:t>
              <w:tab/>
            </w:r>
            <w:r>
              <w:rPr>
                <w:rStyle w:val="IndexLink"/>
              </w:rPr>
              <w:t>99</w:t>
            </w:r>
          </w:hyperlink>
        </w:p>
        <w:p>
          <w:pPr>
            <w:pStyle w:val="Contents4"/>
            <w:tabs>
              <w:tab w:val="clear" w:pos="8176"/>
              <w:tab w:val="right" w:pos="9026" w:leader="dot"/>
            </w:tabs>
            <w:rPr/>
          </w:pPr>
          <w:hyperlink w:anchor="__RefHeading___Toc2565072_3650668749">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256507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الماء المضاف طاهر فی نفسه و غیر مطهّر</w:t>
            </w:r>
            <w:r>
              <w:rPr>
                <w:rStyle w:val="IndexLink"/>
                <w:rtl w:val="true"/>
              </w:rPr>
              <w:t>]</w:t>
              <w:tab/>
            </w:r>
            <w:r>
              <w:rPr>
                <w:rStyle w:val="IndexLink"/>
              </w:rPr>
              <w:t>99</w:t>
            </w:r>
          </w:hyperlink>
        </w:p>
        <w:p>
          <w:pPr>
            <w:pStyle w:val="Contents4"/>
            <w:tabs>
              <w:tab w:val="clear" w:pos="8176"/>
              <w:tab w:val="right" w:pos="9026" w:leader="dot"/>
            </w:tabs>
            <w:rPr/>
          </w:pPr>
          <w:hyperlink w:anchor="__RefHeading___Toc256507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الماء المطلق لا یخرج بالتصعید عن الإطلاق</w:t>
            </w:r>
            <w:r>
              <w:rPr>
                <w:rStyle w:val="IndexLink"/>
                <w:rtl w:val="true"/>
              </w:rPr>
              <w:t>]</w:t>
              <w:tab/>
            </w:r>
            <w:r>
              <w:rPr>
                <w:rStyle w:val="IndexLink"/>
              </w:rPr>
              <w:t>99</w:t>
            </w:r>
          </w:hyperlink>
        </w:p>
        <w:p>
          <w:pPr>
            <w:pStyle w:val="Contents4"/>
            <w:tabs>
              <w:tab w:val="clear" w:pos="8176"/>
              <w:tab w:val="right" w:pos="9026" w:leader="dot"/>
            </w:tabs>
            <w:rPr/>
          </w:pPr>
          <w:hyperlink w:anchor="__RefHeading___Toc256507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شکّ فی مائع أنّه مطلق أو مضاف فإن علم حالته السابقة یبنی علیها</w:t>
            </w:r>
            <w:r>
              <w:rPr>
                <w:rStyle w:val="IndexLink"/>
                <w:rtl w:val="true"/>
              </w:rPr>
              <w:t>]</w:t>
              <w:tab/>
            </w:r>
            <w:r>
              <w:rPr>
                <w:rStyle w:val="IndexLink"/>
              </w:rPr>
              <w:t>99</w:t>
            </w:r>
          </w:hyperlink>
        </w:p>
        <w:p>
          <w:pPr>
            <w:pStyle w:val="Contents4"/>
            <w:tabs>
              <w:tab w:val="clear" w:pos="8176"/>
              <w:tab w:val="right" w:pos="9026" w:leader="dot"/>
            </w:tabs>
            <w:rPr/>
          </w:pPr>
          <w:hyperlink w:anchor="__RefHeading___Toc256508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الماء المطلق بجمیع أقسامه یتنجّس فیما إذا تغیّر بسبب ملاقاة النجاسة أحد أوصافه</w:t>
            </w:r>
            <w:r>
              <w:rPr>
                <w:rStyle w:val="IndexLink"/>
                <w:rtl w:val="true"/>
              </w:rPr>
              <w:t>]</w:t>
              <w:tab/>
            </w:r>
            <w:r>
              <w:rPr>
                <w:rStyle w:val="IndexLink"/>
              </w:rPr>
              <w:t>99</w:t>
            </w:r>
          </w:hyperlink>
        </w:p>
        <w:p>
          <w:pPr>
            <w:pStyle w:val="Contents4"/>
            <w:tabs>
              <w:tab w:val="clear" w:pos="8176"/>
              <w:tab w:val="right" w:pos="9026" w:leader="dot"/>
            </w:tabs>
            <w:rPr/>
          </w:pPr>
          <w:hyperlink w:anchor="__RefHeading___Toc256508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المعتبر تأثّر الماء بأوصاف النجاسة لا المتنجّس</w:t>
            </w:r>
            <w:r>
              <w:rPr>
                <w:rStyle w:val="IndexLink"/>
                <w:rtl w:val="true"/>
              </w:rPr>
              <w:t>]</w:t>
              <w:tab/>
            </w:r>
            <w:r>
              <w:rPr>
                <w:rStyle w:val="IndexLink"/>
              </w:rPr>
              <w:t>100</w:t>
            </w:r>
          </w:hyperlink>
        </w:p>
        <w:p>
          <w:pPr>
            <w:pStyle w:val="Contents4"/>
            <w:tabs>
              <w:tab w:val="clear" w:pos="8176"/>
              <w:tab w:val="right" w:pos="9026" w:leader="dot"/>
            </w:tabs>
            <w:rPr/>
          </w:pPr>
          <w:hyperlink w:anchor="__RefHeading___Toc2565084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المناط تغیّر أحد الأوصاف الثلاثة بسبب النجاسة</w:t>
            </w:r>
            <w:r>
              <w:rPr>
                <w:rStyle w:val="IndexLink"/>
                <w:rtl w:val="true"/>
              </w:rPr>
              <w:t>]</w:t>
              <w:tab/>
            </w:r>
            <w:r>
              <w:rPr>
                <w:rStyle w:val="IndexLink"/>
              </w:rPr>
              <w:t>100</w:t>
            </w:r>
          </w:hyperlink>
        </w:p>
        <w:p>
          <w:pPr>
            <w:pStyle w:val="Contents4"/>
            <w:tabs>
              <w:tab w:val="clear" w:pos="8176"/>
              <w:tab w:val="right" w:pos="9026" w:leader="dot"/>
            </w:tabs>
            <w:rPr/>
          </w:pPr>
          <w:hyperlink w:anchor="__RefHeading___Toc2565086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وقع فی الماء المعتصم متنجّس حامل لوصف النجس بوقوعه فیه فغیّره بوصف النجس تنجّس</w:t>
            </w:r>
            <w:r>
              <w:rPr>
                <w:rStyle w:val="IndexLink"/>
                <w:rtl w:val="true"/>
              </w:rPr>
              <w:t>]</w:t>
              <w:tab/>
            </w:r>
            <w:r>
              <w:rPr>
                <w:rStyle w:val="IndexLink"/>
              </w:rPr>
              <w:t>100</w:t>
            </w:r>
          </w:hyperlink>
        </w:p>
        <w:p>
          <w:pPr>
            <w:pStyle w:val="Contents4"/>
            <w:tabs>
              <w:tab w:val="clear" w:pos="8176"/>
              <w:tab w:val="right" w:pos="9026" w:leader="dot"/>
            </w:tabs>
            <w:rPr/>
          </w:pPr>
          <w:hyperlink w:anchor="__RefHeading___Toc2565088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الماء الجاری و هو النابع السائل لا یتنجّس بملاقاة النجس</w:t>
            </w:r>
            <w:r>
              <w:rPr>
                <w:rStyle w:val="IndexLink"/>
                <w:rtl w:val="true"/>
              </w:rPr>
              <w:t>]</w:t>
              <w:tab/>
            </w:r>
            <w:r>
              <w:rPr>
                <w:rStyle w:val="IndexLink"/>
              </w:rPr>
              <w:t>100</w:t>
            </w:r>
          </w:hyperlink>
        </w:p>
        <w:p>
          <w:pPr>
            <w:pStyle w:val="Contents4"/>
            <w:tabs>
              <w:tab w:val="clear" w:pos="8176"/>
              <w:tab w:val="right" w:pos="9026" w:leader="dot"/>
            </w:tabs>
            <w:rPr/>
          </w:pPr>
          <w:hyperlink w:anchor="__RefHeading___Toc2565090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الراکد المتّصل بالجاری حکمه حکم الجاری</w:t>
            </w:r>
            <w:r>
              <w:rPr>
                <w:rStyle w:val="IndexLink"/>
                <w:rtl w:val="true"/>
              </w:rPr>
              <w:t>]</w:t>
              <w:tab/>
            </w:r>
            <w:r>
              <w:rPr>
                <w:rStyle w:val="IndexLink"/>
              </w:rPr>
              <w:t>100</w:t>
            </w:r>
          </w:hyperlink>
        </w:p>
        <w:p>
          <w:pPr>
            <w:pStyle w:val="Contents4"/>
            <w:tabs>
              <w:tab w:val="clear" w:pos="8176"/>
              <w:tab w:val="right" w:pos="9026" w:leader="dot"/>
            </w:tabs>
            <w:rPr/>
          </w:pPr>
          <w:hyperlink w:anchor="__RefHeading___Toc2565092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یطهر الجاری و ما فی حکمه إذا تنجّس بالتغیّر إذا زال تغیّره</w:t>
            </w:r>
            <w:r>
              <w:rPr>
                <w:rStyle w:val="IndexLink"/>
                <w:rtl w:val="true"/>
              </w:rPr>
              <w:t>]</w:t>
              <w:tab/>
            </w:r>
            <w:r>
              <w:rPr>
                <w:rStyle w:val="IndexLink"/>
              </w:rPr>
              <w:t>100</w:t>
            </w:r>
          </w:hyperlink>
        </w:p>
        <w:p>
          <w:pPr>
            <w:pStyle w:val="Contents4"/>
            <w:tabs>
              <w:tab w:val="clear" w:pos="8176"/>
              <w:tab w:val="right" w:pos="9026" w:leader="dot"/>
            </w:tabs>
            <w:rPr/>
          </w:pPr>
          <w:hyperlink w:anchor="__RefHeading___Toc2565094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الراکد بلا مادّة ینجس بملاقاة النجس إذا کان دون الکرّ</w:t>
            </w:r>
            <w:r>
              <w:rPr>
                <w:rStyle w:val="IndexLink"/>
                <w:rtl w:val="true"/>
              </w:rPr>
              <w:t>]</w:t>
              <w:tab/>
            </w:r>
            <w:r>
              <w:rPr>
                <w:rStyle w:val="IndexLink"/>
              </w:rPr>
              <w:t>100</w:t>
            </w:r>
          </w:hyperlink>
        </w:p>
        <w:p>
          <w:pPr>
            <w:pStyle w:val="Contents4"/>
            <w:tabs>
              <w:tab w:val="clear" w:pos="8176"/>
              <w:tab w:val="right" w:pos="9026" w:leader="dot"/>
            </w:tabs>
            <w:rPr/>
          </w:pPr>
          <w:hyperlink w:anchor="__RefHeading___Toc2565096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إذا کان الماء قلیلًا و شکّ فی أنّ له مادّة أم لا</w:t>
            </w:r>
            <w:r>
              <w:rPr>
                <w:rStyle w:val="IndexLink"/>
                <w:rtl w:val="true"/>
              </w:rPr>
              <w:t>]</w:t>
              <w:tab/>
            </w:r>
            <w:r>
              <w:rPr>
                <w:rStyle w:val="IndexLink"/>
              </w:rPr>
              <w:t>100</w:t>
            </w:r>
          </w:hyperlink>
        </w:p>
        <w:p>
          <w:pPr>
            <w:pStyle w:val="Contents4"/>
            <w:tabs>
              <w:tab w:val="clear" w:pos="8176"/>
              <w:tab w:val="right" w:pos="9026" w:leader="dot"/>
            </w:tabs>
            <w:rPr/>
          </w:pPr>
          <w:hyperlink w:anchor="__RefHeading___Toc2565098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الراکد إذا بلغ کرّاً لا ینجس بالملاقاة</w:t>
            </w:r>
            <w:r>
              <w:rPr>
                <w:rStyle w:val="IndexLink"/>
                <w:rtl w:val="true"/>
              </w:rPr>
              <w:t>]</w:t>
              <w:tab/>
            </w:r>
            <w:r>
              <w:rPr>
                <w:rStyle w:val="IndexLink"/>
              </w:rPr>
              <w:t>100</w:t>
            </w:r>
          </w:hyperlink>
        </w:p>
        <w:p>
          <w:pPr>
            <w:pStyle w:val="Contents4"/>
            <w:tabs>
              <w:tab w:val="clear" w:pos="8176"/>
              <w:tab w:val="right" w:pos="9026" w:leader="dot"/>
            </w:tabs>
            <w:rPr/>
          </w:pPr>
          <w:hyperlink w:anchor="__RefHeading___Toc2565100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الکرّ له تقدیران</w:t>
            </w:r>
            <w:r>
              <w:rPr>
                <w:rStyle w:val="IndexLink"/>
                <w:rtl w:val="true"/>
              </w:rPr>
              <w:t xml:space="preserve">: </w:t>
            </w:r>
            <w:r>
              <w:rPr>
                <w:rStyle w:val="IndexLink"/>
                <w:rtl w:val="true"/>
              </w:rPr>
              <w:t>أحدهما بحسب الوزن و الآخر بحسب المساحة</w:t>
            </w:r>
            <w:r>
              <w:rPr>
                <w:rStyle w:val="IndexLink"/>
                <w:rtl w:val="true"/>
              </w:rPr>
              <w:t>]</w:t>
              <w:tab/>
            </w:r>
            <w:r>
              <w:rPr>
                <w:rStyle w:val="IndexLink"/>
              </w:rPr>
              <w:t>101</w:t>
            </w:r>
          </w:hyperlink>
        </w:p>
        <w:p>
          <w:pPr>
            <w:pStyle w:val="Contents4"/>
            <w:tabs>
              <w:tab w:val="clear" w:pos="8176"/>
              <w:tab w:val="right" w:pos="9026" w:leader="dot"/>
            </w:tabs>
            <w:rPr/>
          </w:pPr>
          <w:hyperlink w:anchor="__RefHeading___Toc2565102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الماء المشکوک الکرّیة إن علم حالته السابقة یبنیٰ علیٰ تلک الحالة</w:t>
            </w:r>
            <w:r>
              <w:rPr>
                <w:rStyle w:val="IndexLink"/>
                <w:rtl w:val="true"/>
              </w:rPr>
              <w:t>]</w:t>
              <w:tab/>
            </w:r>
            <w:r>
              <w:rPr>
                <w:rStyle w:val="IndexLink"/>
              </w:rPr>
              <w:t>101</w:t>
            </w:r>
          </w:hyperlink>
        </w:p>
        <w:p>
          <w:pPr>
            <w:pStyle w:val="Contents4"/>
            <w:tabs>
              <w:tab w:val="clear" w:pos="8176"/>
              <w:tab w:val="right" w:pos="9026" w:leader="dot"/>
            </w:tabs>
            <w:rPr/>
          </w:pPr>
          <w:hyperlink w:anchor="__RefHeading___Toc2565104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إذا کان الماء قلیلًا فصار کرّاً و قد علم ملاقاته للنجاسة</w:t>
            </w:r>
            <w:r>
              <w:rPr>
                <w:rStyle w:val="IndexLink"/>
                <w:rtl w:val="true"/>
              </w:rPr>
              <w:t>]</w:t>
              <w:tab/>
            </w:r>
            <w:r>
              <w:rPr>
                <w:rStyle w:val="IndexLink"/>
              </w:rPr>
              <w:t>101</w:t>
            </w:r>
          </w:hyperlink>
        </w:p>
        <w:p>
          <w:pPr>
            <w:pStyle w:val="Contents4"/>
            <w:tabs>
              <w:tab w:val="clear" w:pos="8176"/>
              <w:tab w:val="right" w:pos="9026" w:leader="dot"/>
            </w:tabs>
            <w:rPr/>
          </w:pPr>
          <w:hyperlink w:anchor="__RefHeading___Toc2565106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ماء المطر حال نزوله من السماء کالجاری فلا ینجس ما لم یتغیّر</w:t>
            </w:r>
            <w:r>
              <w:rPr>
                <w:rStyle w:val="IndexLink"/>
                <w:rtl w:val="true"/>
              </w:rPr>
              <w:t>]</w:t>
              <w:tab/>
            </w:r>
            <w:r>
              <w:rPr>
                <w:rStyle w:val="IndexLink"/>
              </w:rPr>
              <w:t>101</w:t>
            </w:r>
          </w:hyperlink>
        </w:p>
        <w:p>
          <w:pPr>
            <w:pStyle w:val="Contents4"/>
            <w:tabs>
              <w:tab w:val="clear" w:pos="8176"/>
              <w:tab w:val="right" w:pos="9026" w:leader="dot"/>
            </w:tabs>
            <w:rPr/>
          </w:pPr>
          <w:hyperlink w:anchor="__RefHeading___Toc2565108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المراد بماء المطر الذی لا یتنجّس إلّا بالتغیّر</w:t>
            </w:r>
            <w:r>
              <w:rPr>
                <w:rStyle w:val="IndexLink"/>
                <w:rtl w:val="true"/>
              </w:rPr>
              <w:t>]</w:t>
              <w:tab/>
            </w:r>
            <w:r>
              <w:rPr>
                <w:rStyle w:val="IndexLink"/>
              </w:rPr>
              <w:t>101</w:t>
            </w:r>
          </w:hyperlink>
        </w:p>
        <w:p>
          <w:pPr>
            <w:pStyle w:val="Contents4"/>
            <w:tabs>
              <w:tab w:val="clear" w:pos="8176"/>
              <w:tab w:val="right" w:pos="9026" w:leader="dot"/>
            </w:tabs>
            <w:rPr/>
          </w:pPr>
          <w:hyperlink w:anchor="__RefHeading___Toc2565110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یُطهّر المطر کلّما أصابه من المتنجّسات القابلة للتطهیر</w:t>
            </w:r>
            <w:r>
              <w:rPr>
                <w:rStyle w:val="IndexLink"/>
                <w:rtl w:val="true"/>
              </w:rPr>
              <w:t>]</w:t>
              <w:tab/>
            </w:r>
            <w:r>
              <w:rPr>
                <w:rStyle w:val="IndexLink"/>
              </w:rPr>
              <w:t>102</w:t>
            </w:r>
          </w:hyperlink>
        </w:p>
        <w:p>
          <w:pPr>
            <w:pStyle w:val="Contents4"/>
            <w:tabs>
              <w:tab w:val="clear" w:pos="8176"/>
              <w:tab w:val="right" w:pos="9026" w:leader="dot"/>
            </w:tabs>
            <w:rPr/>
          </w:pPr>
          <w:hyperlink w:anchor="__RefHeading___Toc2565112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الفراش النجس إذا وصل إلیٰ جمیعه المطر و نفذ فی جمیعه یطهر جمیعه</w:t>
            </w:r>
            <w:r>
              <w:rPr>
                <w:rStyle w:val="IndexLink"/>
                <w:rtl w:val="true"/>
              </w:rPr>
              <w:t>]</w:t>
              <w:tab/>
            </w:r>
            <w:r>
              <w:rPr>
                <w:rStyle w:val="IndexLink"/>
              </w:rPr>
              <w:t>102</w:t>
            </w:r>
          </w:hyperlink>
        </w:p>
        <w:p>
          <w:pPr>
            <w:pStyle w:val="Contents4"/>
            <w:tabs>
              <w:tab w:val="clear" w:pos="8176"/>
              <w:tab w:val="right" w:pos="9026" w:leader="dot"/>
            </w:tabs>
            <w:rPr/>
          </w:pPr>
          <w:hyperlink w:anchor="__RefHeading___Toc2565114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إذا کان السطح نجساً فنفذ فیه الماء و تقاطر حال نزول المطر یکون طاهراً</w:t>
            </w:r>
            <w:r>
              <w:rPr>
                <w:rStyle w:val="IndexLink"/>
                <w:rtl w:val="true"/>
              </w:rPr>
              <w:t>]</w:t>
              <w:tab/>
            </w:r>
            <w:r>
              <w:rPr>
                <w:rStyle w:val="IndexLink"/>
              </w:rPr>
              <w:t>102</w:t>
            </w:r>
          </w:hyperlink>
        </w:p>
        <w:p>
          <w:pPr>
            <w:pStyle w:val="Contents4"/>
            <w:tabs>
              <w:tab w:val="clear" w:pos="8176"/>
              <w:tab w:val="right" w:pos="9026" w:leader="dot"/>
            </w:tabs>
            <w:rPr/>
          </w:pPr>
          <w:hyperlink w:anchor="__RefHeading___Toc2565116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الماء الراکد النجس یطهر بنزول المطر علیه</w:t>
            </w:r>
            <w:r>
              <w:rPr>
                <w:rStyle w:val="IndexLink"/>
                <w:rtl w:val="true"/>
              </w:rPr>
              <w:t>]</w:t>
              <w:tab/>
            </w:r>
            <w:r>
              <w:rPr>
                <w:rStyle w:val="IndexLink"/>
              </w:rPr>
              <w:t>102</w:t>
            </w:r>
          </w:hyperlink>
        </w:p>
        <w:p>
          <w:pPr>
            <w:pStyle w:val="Contents4"/>
            <w:tabs>
              <w:tab w:val="clear" w:pos="8176"/>
              <w:tab w:val="right" w:pos="9026" w:leader="dot"/>
            </w:tabs>
            <w:rPr/>
          </w:pPr>
          <w:hyperlink w:anchor="__RefHeading___Toc2565118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الماء المستعمل فی الوضوء لا إشکال فی کونه طاهراً و مطهّراً</w:t>
            </w:r>
            <w:r>
              <w:rPr>
                <w:rStyle w:val="IndexLink"/>
                <w:rtl w:val="true"/>
              </w:rPr>
              <w:t>]</w:t>
              <w:tab/>
            </w:r>
            <w:r>
              <w:rPr>
                <w:rStyle w:val="IndexLink"/>
              </w:rPr>
              <w:t>102</w:t>
            </w:r>
          </w:hyperlink>
        </w:p>
        <w:p>
          <w:pPr>
            <w:pStyle w:val="Contents4"/>
            <w:tabs>
              <w:tab w:val="clear" w:pos="8176"/>
              <w:tab w:val="right" w:pos="9026" w:leader="dot"/>
            </w:tabs>
            <w:rPr/>
          </w:pPr>
          <w:hyperlink w:anchor="__RefHeading___Toc2565120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الماء المستعمل فی رفع الخبث المسمّی بالغسالة طاهر</w:t>
            </w:r>
            <w:r>
              <w:rPr>
                <w:rStyle w:val="IndexLink"/>
                <w:rtl w:val="true"/>
              </w:rPr>
              <w:t>]</w:t>
              <w:tab/>
            </w:r>
            <w:r>
              <w:rPr>
                <w:rStyle w:val="IndexLink"/>
              </w:rPr>
              <w:t>103</w:t>
            </w:r>
          </w:hyperlink>
        </w:p>
        <w:p>
          <w:pPr>
            <w:pStyle w:val="Contents4"/>
            <w:tabs>
              <w:tab w:val="clear" w:pos="8176"/>
              <w:tab w:val="right" w:pos="9026" w:leader="dot"/>
            </w:tabs>
            <w:rPr/>
          </w:pPr>
          <w:hyperlink w:anchor="__RefHeading___Toc2565122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ماء الاستنجاء سواء کان من البول أو الغائط طاهر</w:t>
            </w:r>
            <w:r>
              <w:rPr>
                <w:rStyle w:val="IndexLink"/>
                <w:rtl w:val="true"/>
              </w:rPr>
              <w:t>]</w:t>
              <w:tab/>
            </w:r>
            <w:r>
              <w:rPr>
                <w:rStyle w:val="IndexLink"/>
              </w:rPr>
              <w:t>103</w:t>
            </w:r>
          </w:hyperlink>
        </w:p>
        <w:p>
          <w:pPr>
            <w:pStyle w:val="Contents4"/>
            <w:tabs>
              <w:tab w:val="clear" w:pos="8176"/>
              <w:tab w:val="right" w:pos="9026" w:leader="dot"/>
            </w:tabs>
            <w:rPr/>
          </w:pPr>
          <w:hyperlink w:anchor="__RefHeading___Toc2565124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لا یشترط فی طهارة ماء الاستنجاء سبق الماء علی الید</w:t>
            </w:r>
            <w:r>
              <w:rPr>
                <w:rStyle w:val="IndexLink"/>
                <w:rtl w:val="true"/>
              </w:rPr>
              <w:t>]</w:t>
              <w:tab/>
            </w:r>
            <w:r>
              <w:rPr>
                <w:rStyle w:val="IndexLink"/>
              </w:rPr>
              <w:t>103</w:t>
            </w:r>
          </w:hyperlink>
        </w:p>
        <w:p>
          <w:pPr>
            <w:pStyle w:val="Contents4"/>
            <w:tabs>
              <w:tab w:val="clear" w:pos="8176"/>
              <w:tab w:val="right" w:pos="9026" w:leader="dot"/>
            </w:tabs>
            <w:rPr/>
          </w:pPr>
          <w:hyperlink w:anchor="__RefHeading___Toc2565126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إذا اشتبه نجس بین أطراف محصورة کإناء فی عشرة یجب الاجتناب عن الجمیع</w:t>
            </w:r>
            <w:r>
              <w:rPr>
                <w:rStyle w:val="IndexLink"/>
                <w:rtl w:val="true"/>
              </w:rPr>
              <w:t>]</w:t>
              <w:tab/>
            </w:r>
            <w:r>
              <w:rPr>
                <w:rStyle w:val="IndexLink"/>
              </w:rPr>
              <w:t>103</w:t>
            </w:r>
          </w:hyperlink>
        </w:p>
        <w:p>
          <w:pPr>
            <w:pStyle w:val="Contents4"/>
            <w:tabs>
              <w:tab w:val="clear" w:pos="8176"/>
              <w:tab w:val="right" w:pos="9026" w:leader="dot"/>
            </w:tabs>
            <w:rPr/>
          </w:pPr>
          <w:hyperlink w:anchor="__RefHeading___Toc2565128_3650668749">
            <w:r>
              <w:rPr>
                <w:webHidden/>
                <w:rStyle w:val="IndexLink"/>
                <w:rtl w:val="true"/>
              </w:rPr>
              <w:t>[ (</w:t>
            </w:r>
            <w:r>
              <w:rPr>
                <w:rStyle w:val="IndexLink"/>
                <w:rtl w:val="true"/>
              </w:rPr>
              <w:t xml:space="preserve">مسألة </w:t>
            </w:r>
            <w:r>
              <w:rPr>
                <w:rStyle w:val="IndexLink"/>
              </w:rPr>
              <w:t>28</w:t>
            </w:r>
            <w:r>
              <w:rPr>
                <w:rStyle w:val="IndexLink"/>
                <w:rtl w:val="true"/>
              </w:rPr>
              <w:t xml:space="preserve">): </w:t>
            </w:r>
            <w:r>
              <w:rPr>
                <w:rStyle w:val="IndexLink"/>
                <w:rtl w:val="true"/>
              </w:rPr>
              <w:t>لو أُریق أحد الإناءین المشتبهین یجب الاجتناب عن الآخر</w:t>
            </w:r>
            <w:r>
              <w:rPr>
                <w:rStyle w:val="IndexLink"/>
                <w:rtl w:val="true"/>
              </w:rPr>
              <w:t>]</w:t>
              <w:tab/>
            </w:r>
            <w:r>
              <w:rPr>
                <w:rStyle w:val="IndexLink"/>
              </w:rPr>
              <w:t>103</w:t>
            </w:r>
          </w:hyperlink>
        </w:p>
        <w:p>
          <w:pPr>
            <w:pStyle w:val="Contents3"/>
            <w:tabs>
              <w:tab w:val="clear" w:pos="8459"/>
              <w:tab w:val="right" w:pos="9026" w:leader="dot"/>
            </w:tabs>
            <w:rPr/>
          </w:pPr>
          <w:hyperlink w:anchor="__RefHeading___Toc2565130_3650668749">
            <w:r>
              <w:rPr>
                <w:webHidden/>
                <w:rStyle w:val="IndexLink"/>
                <w:rtl w:val="true"/>
              </w:rPr>
              <w:t>[</w:t>
            </w:r>
            <w:r>
              <w:rPr>
                <w:rStyle w:val="IndexLink"/>
                <w:rtl w:val="true"/>
              </w:rPr>
              <w:t>فصل فی أحکام التخلّی</w:t>
            </w:r>
            <w:r>
              <w:rPr>
                <w:rStyle w:val="IndexLink"/>
                <w:rtl w:val="true"/>
              </w:rPr>
              <w:t>]</w:t>
              <w:tab/>
            </w:r>
            <w:r>
              <w:rPr>
                <w:rStyle w:val="IndexLink"/>
              </w:rPr>
              <w:t>103</w:t>
            </w:r>
          </w:hyperlink>
        </w:p>
        <w:p>
          <w:pPr>
            <w:pStyle w:val="Contents4"/>
            <w:tabs>
              <w:tab w:val="clear" w:pos="8176"/>
              <w:tab w:val="right" w:pos="9026" w:leader="dot"/>
            </w:tabs>
            <w:rPr/>
          </w:pPr>
          <w:hyperlink w:anchor="__RefHeading___Toc2565132_3650668749">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256513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یجب فی حال التخلّی کسائر الأحوال ستر العورة عن الناظر المحترم</w:t>
            </w:r>
            <w:r>
              <w:rPr>
                <w:rStyle w:val="IndexLink"/>
                <w:rtl w:val="true"/>
              </w:rPr>
              <w:t>]</w:t>
              <w:tab/>
            </w:r>
            <w:r>
              <w:rPr>
                <w:rStyle w:val="IndexLink"/>
              </w:rPr>
              <w:t>103</w:t>
            </w:r>
          </w:hyperlink>
        </w:p>
        <w:p>
          <w:pPr>
            <w:pStyle w:val="Contents4"/>
            <w:tabs>
              <w:tab w:val="clear" w:pos="8176"/>
              <w:tab w:val="right" w:pos="9026" w:leader="dot"/>
            </w:tabs>
            <w:rPr/>
          </w:pPr>
          <w:hyperlink w:anchor="__RefHeading___Toc256513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یکفی الستر بکلّ ما یستر</w:t>
            </w:r>
            <w:r>
              <w:rPr>
                <w:rStyle w:val="IndexLink"/>
                <w:rtl w:val="true"/>
              </w:rPr>
              <w:t>]</w:t>
              <w:tab/>
            </w:r>
            <w:r>
              <w:rPr>
                <w:rStyle w:val="IndexLink"/>
              </w:rPr>
              <w:t>104</w:t>
            </w:r>
          </w:hyperlink>
        </w:p>
        <w:p>
          <w:pPr>
            <w:pStyle w:val="Contents4"/>
            <w:tabs>
              <w:tab w:val="clear" w:pos="8176"/>
              <w:tab w:val="right" w:pos="9026" w:leader="dot"/>
            </w:tabs>
            <w:rPr/>
          </w:pPr>
          <w:hyperlink w:anchor="__RefHeading___Toc256513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یجوز النظر إلیٰ عورة الغیر من وراء الزجاج</w:t>
            </w:r>
            <w:r>
              <w:rPr>
                <w:rStyle w:val="IndexLink"/>
                <w:rtl w:val="true"/>
              </w:rPr>
              <w:t>]</w:t>
              <w:tab/>
            </w:r>
            <w:r>
              <w:rPr>
                <w:rStyle w:val="IndexLink"/>
              </w:rPr>
              <w:t>104</w:t>
            </w:r>
          </w:hyperlink>
        </w:p>
        <w:p>
          <w:pPr>
            <w:pStyle w:val="Contents4"/>
            <w:tabs>
              <w:tab w:val="clear" w:pos="8176"/>
              <w:tab w:val="right" w:pos="9026" w:leader="dot"/>
            </w:tabs>
            <w:rPr/>
          </w:pPr>
          <w:hyperlink w:anchor="__RefHeading___Toc256514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لو اضطرّ إلی النظر إلیٰ عورة الغیر</w:t>
            </w:r>
            <w:r>
              <w:rPr>
                <w:rStyle w:val="IndexLink"/>
                <w:rtl w:val="true"/>
              </w:rPr>
              <w:t>]</w:t>
              <w:tab/>
            </w:r>
            <w:r>
              <w:rPr>
                <w:rStyle w:val="IndexLink"/>
              </w:rPr>
              <w:t>104</w:t>
            </w:r>
          </w:hyperlink>
        </w:p>
        <w:p>
          <w:pPr>
            <w:pStyle w:val="Contents4"/>
            <w:tabs>
              <w:tab w:val="clear" w:pos="8176"/>
              <w:tab w:val="right" w:pos="9026" w:leader="dot"/>
            </w:tabs>
            <w:rPr/>
          </w:pPr>
          <w:hyperlink w:anchor="__RefHeading___Toc256514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یحرم فی حال التخلّی استدبار القبلة و استقبالها بمقادیم بدنه</w:t>
            </w:r>
            <w:r>
              <w:rPr>
                <w:rStyle w:val="IndexLink"/>
                <w:rtl w:val="true"/>
              </w:rPr>
              <w:t>]</w:t>
              <w:tab/>
            </w:r>
            <w:r>
              <w:rPr>
                <w:rStyle w:val="IndexLink"/>
              </w:rPr>
              <w:t>104</w:t>
            </w:r>
          </w:hyperlink>
        </w:p>
        <w:p>
          <w:pPr>
            <w:pStyle w:val="Contents3"/>
            <w:tabs>
              <w:tab w:val="clear" w:pos="8459"/>
              <w:tab w:val="right" w:pos="9026" w:leader="dot"/>
            </w:tabs>
            <w:rPr/>
          </w:pPr>
          <w:hyperlink w:anchor="__RefHeading___Toc2565144_3650668749">
            <w:r>
              <w:rPr>
                <w:webHidden/>
                <w:rStyle w:val="IndexLink"/>
                <w:rtl w:val="true"/>
              </w:rPr>
              <w:t>[</w:t>
            </w:r>
            <w:r>
              <w:rPr>
                <w:rStyle w:val="IndexLink"/>
                <w:rtl w:val="true"/>
              </w:rPr>
              <w:t>فصل فی الاستنجاء</w:t>
            </w:r>
            <w:r>
              <w:rPr>
                <w:rStyle w:val="IndexLink"/>
                <w:rtl w:val="true"/>
              </w:rPr>
              <w:t>]</w:t>
              <w:tab/>
            </w:r>
            <w:r>
              <w:rPr>
                <w:rStyle w:val="IndexLink"/>
              </w:rPr>
              <w:t>104</w:t>
            </w:r>
          </w:hyperlink>
        </w:p>
        <w:p>
          <w:pPr>
            <w:pStyle w:val="Contents4"/>
            <w:tabs>
              <w:tab w:val="clear" w:pos="8176"/>
              <w:tab w:val="right" w:pos="9026" w:leader="dot"/>
            </w:tabs>
            <w:rPr/>
          </w:pPr>
          <w:hyperlink w:anchor="__RefHeading___Toc2565146_3650668749">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256514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یجب غسل مخرج البول بالماء مرّتین علی الأحوط</w:t>
            </w:r>
            <w:r>
              <w:rPr>
                <w:rStyle w:val="IndexLink"/>
                <w:rtl w:val="true"/>
              </w:rPr>
              <w:t>]</w:t>
              <w:tab/>
            </w:r>
            <w:r>
              <w:rPr>
                <w:rStyle w:val="IndexLink"/>
              </w:rPr>
              <w:t>104</w:t>
            </w:r>
          </w:hyperlink>
        </w:p>
        <w:p>
          <w:pPr>
            <w:pStyle w:val="Contents4"/>
            <w:tabs>
              <w:tab w:val="clear" w:pos="8176"/>
              <w:tab w:val="right" w:pos="9026" w:leader="dot"/>
            </w:tabs>
            <w:rPr/>
          </w:pPr>
          <w:hyperlink w:anchor="__RefHeading___Toc256515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یجب فی الغسل بالماء إزالة العین و الأثر</w:t>
            </w:r>
            <w:r>
              <w:rPr>
                <w:rStyle w:val="IndexLink"/>
                <w:rtl w:val="true"/>
              </w:rPr>
              <w:t>]</w:t>
              <w:tab/>
            </w:r>
            <w:r>
              <w:rPr>
                <w:rStyle w:val="IndexLink"/>
              </w:rPr>
              <w:t>105</w:t>
            </w:r>
          </w:hyperlink>
        </w:p>
        <w:p>
          <w:pPr>
            <w:pStyle w:val="Contents4"/>
            <w:tabs>
              <w:tab w:val="clear" w:pos="8176"/>
              <w:tab w:val="right" w:pos="9026" w:leader="dot"/>
            </w:tabs>
            <w:rPr/>
          </w:pPr>
          <w:hyperlink w:anchor="__RefHeading___Toc256515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إنّما یکتفیٰ بالمسح فی الغائط إذا لم یتعدّ المخرج علیٰ وجه لا یصدق علیه الاستنجاء</w:t>
            </w:r>
            <w:r>
              <w:rPr>
                <w:rStyle w:val="IndexLink"/>
                <w:rtl w:val="true"/>
              </w:rPr>
              <w:t>]</w:t>
              <w:tab/>
            </w:r>
            <w:r>
              <w:rPr>
                <w:rStyle w:val="IndexLink"/>
              </w:rPr>
              <w:t>105</w:t>
            </w:r>
          </w:hyperlink>
        </w:p>
        <w:p>
          <w:pPr>
            <w:pStyle w:val="Contents4"/>
            <w:tabs>
              <w:tab w:val="clear" w:pos="8176"/>
              <w:tab w:val="right" w:pos="9026" w:leader="dot"/>
            </w:tabs>
            <w:rPr/>
          </w:pPr>
          <w:hyperlink w:anchor="__RefHeading___Toc256515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یحرم الاستنجاء بالمحترمات</w:t>
            </w:r>
            <w:r>
              <w:rPr>
                <w:rStyle w:val="IndexLink"/>
                <w:rtl w:val="true"/>
              </w:rPr>
              <w:t>]</w:t>
              <w:tab/>
            </w:r>
            <w:r>
              <w:rPr>
                <w:rStyle w:val="IndexLink"/>
              </w:rPr>
              <w:t>105</w:t>
            </w:r>
          </w:hyperlink>
        </w:p>
        <w:p>
          <w:pPr>
            <w:pStyle w:val="Contents4"/>
            <w:tabs>
              <w:tab w:val="clear" w:pos="8176"/>
              <w:tab w:val="right" w:pos="9026" w:leader="dot"/>
            </w:tabs>
            <w:rPr/>
          </w:pPr>
          <w:hyperlink w:anchor="__RefHeading___Toc256515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یجب الدلک بالید فی مخرج البول و إن احتمل خروج المذی معه</w:t>
            </w:r>
            <w:r>
              <w:rPr>
                <w:rStyle w:val="IndexLink"/>
                <w:rtl w:val="true"/>
              </w:rPr>
              <w:t>]</w:t>
              <w:tab/>
            </w:r>
            <w:r>
              <w:rPr>
                <w:rStyle w:val="IndexLink"/>
              </w:rPr>
              <w:t>105</w:t>
            </w:r>
          </w:hyperlink>
        </w:p>
        <w:p>
          <w:pPr>
            <w:pStyle w:val="Contents3"/>
            <w:tabs>
              <w:tab w:val="clear" w:pos="8459"/>
              <w:tab w:val="right" w:pos="9026" w:leader="dot"/>
            </w:tabs>
            <w:rPr/>
          </w:pPr>
          <w:hyperlink w:anchor="__RefHeading___Toc2565158_3650668749">
            <w:r>
              <w:rPr>
                <w:webHidden/>
                <w:rStyle w:val="IndexLink"/>
                <w:rtl w:val="true"/>
              </w:rPr>
              <w:t>[</w:t>
            </w:r>
            <w:r>
              <w:rPr>
                <w:rStyle w:val="IndexLink"/>
                <w:rtl w:val="true"/>
              </w:rPr>
              <w:t>فصل فی الاستبراء</w:t>
            </w:r>
            <w:r>
              <w:rPr>
                <w:rStyle w:val="IndexLink"/>
                <w:rtl w:val="true"/>
              </w:rPr>
              <w:t>]</w:t>
              <w:tab/>
            </w:r>
            <w:r>
              <w:rPr>
                <w:rStyle w:val="IndexLink"/>
              </w:rPr>
              <w:t>105</w:t>
            </w:r>
          </w:hyperlink>
        </w:p>
        <w:p>
          <w:pPr>
            <w:pStyle w:val="Contents4"/>
            <w:tabs>
              <w:tab w:val="clear" w:pos="8176"/>
              <w:tab w:val="right" w:pos="9026" w:leader="dot"/>
            </w:tabs>
            <w:rPr/>
          </w:pPr>
          <w:hyperlink w:anchor="__RefHeading___Toc2565160_3650668749">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256516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یلزم المباشرة فی الاستبراء</w:t>
            </w:r>
            <w:r>
              <w:rPr>
                <w:rStyle w:val="IndexLink"/>
                <w:rtl w:val="true"/>
              </w:rPr>
              <w:t>]</w:t>
              <w:tab/>
            </w:r>
            <w:r>
              <w:rPr>
                <w:rStyle w:val="IndexLink"/>
              </w:rPr>
              <w:t>106</w:t>
            </w:r>
          </w:hyperlink>
        </w:p>
        <w:p>
          <w:pPr>
            <w:pStyle w:val="Contents4"/>
            <w:tabs>
              <w:tab w:val="clear" w:pos="8176"/>
              <w:tab w:val="right" w:pos="9026" w:leader="dot"/>
            </w:tabs>
            <w:rPr/>
          </w:pPr>
          <w:hyperlink w:anchor="__RefHeading___Toc256516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شکّ فی الاستبراء یبنی علیٰ عدمه</w:t>
            </w:r>
            <w:r>
              <w:rPr>
                <w:rStyle w:val="IndexLink"/>
                <w:rtl w:val="true"/>
              </w:rPr>
              <w:t>]</w:t>
              <w:tab/>
            </w:r>
            <w:r>
              <w:rPr>
                <w:rStyle w:val="IndexLink"/>
              </w:rPr>
              <w:t>106</w:t>
            </w:r>
          </w:hyperlink>
        </w:p>
        <w:p>
          <w:pPr>
            <w:pStyle w:val="Contents4"/>
            <w:tabs>
              <w:tab w:val="clear" w:pos="8176"/>
              <w:tab w:val="right" w:pos="9026" w:leader="dot"/>
            </w:tabs>
            <w:rPr/>
          </w:pPr>
          <w:hyperlink w:anchor="__RefHeading___Toc256516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شکّ من لم یستبرئ فی خروج الرطوبة و عدمه</w:t>
            </w:r>
            <w:r>
              <w:rPr>
                <w:rStyle w:val="IndexLink"/>
                <w:rtl w:val="true"/>
              </w:rPr>
              <w:t>]</w:t>
              <w:tab/>
            </w:r>
            <w:r>
              <w:rPr>
                <w:rStyle w:val="IndexLink"/>
              </w:rPr>
              <w:t>106</w:t>
            </w:r>
          </w:hyperlink>
        </w:p>
        <w:p>
          <w:pPr>
            <w:pStyle w:val="Contents4"/>
            <w:tabs>
              <w:tab w:val="clear" w:pos="8176"/>
              <w:tab w:val="right" w:pos="9026" w:leader="dot"/>
            </w:tabs>
            <w:rPr/>
          </w:pPr>
          <w:hyperlink w:anchor="__RefHeading___Toc256516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علم أنّ الخارج منه مذی و لکن شکّ فی أنّه خرج معه بول أم لا</w:t>
            </w:r>
            <w:r>
              <w:rPr>
                <w:rStyle w:val="IndexLink"/>
                <w:rtl w:val="true"/>
              </w:rPr>
              <w:t>]</w:t>
              <w:tab/>
            </w:r>
            <w:r>
              <w:rPr>
                <w:rStyle w:val="IndexLink"/>
              </w:rPr>
              <w:t>106</w:t>
            </w:r>
          </w:hyperlink>
        </w:p>
        <w:p>
          <w:pPr>
            <w:pStyle w:val="Contents4"/>
            <w:tabs>
              <w:tab w:val="clear" w:pos="8176"/>
              <w:tab w:val="right" w:pos="9026" w:leader="dot"/>
            </w:tabs>
            <w:rPr/>
          </w:pPr>
          <w:hyperlink w:anchor="__RefHeading___Toc256517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بال و توضّأ ثمّ خرجت منه رطوبة مشتبهة بین البول و المنیّ</w:t>
            </w:r>
            <w:r>
              <w:rPr>
                <w:rStyle w:val="IndexLink"/>
                <w:rtl w:val="true"/>
              </w:rPr>
              <w:t>]</w:t>
              <w:tab/>
            </w:r>
            <w:r>
              <w:rPr>
                <w:rStyle w:val="IndexLink"/>
              </w:rPr>
              <w:t>106</w:t>
            </w:r>
          </w:hyperlink>
        </w:p>
        <w:p>
          <w:pPr>
            <w:pStyle w:val="Contents3"/>
            <w:tabs>
              <w:tab w:val="clear" w:pos="8459"/>
              <w:tab w:val="right" w:pos="9026" w:leader="dot"/>
            </w:tabs>
            <w:rPr/>
          </w:pPr>
          <w:hyperlink w:anchor="__RefHeading___Toc2565172_3650668749">
            <w:r>
              <w:rPr>
                <w:webHidden/>
                <w:rStyle w:val="IndexLink"/>
                <w:rtl w:val="true"/>
              </w:rPr>
              <w:t>[</w:t>
            </w:r>
            <w:r>
              <w:rPr>
                <w:rStyle w:val="IndexLink"/>
                <w:rtl w:val="true"/>
              </w:rPr>
              <w:t>فصل فی الوضوء</w:t>
            </w:r>
            <w:r>
              <w:rPr>
                <w:rStyle w:val="IndexLink"/>
                <w:rtl w:val="true"/>
              </w:rPr>
              <w:t>]</w:t>
              <w:tab/>
            </w:r>
            <w:r>
              <w:rPr>
                <w:rStyle w:val="IndexLink"/>
              </w:rPr>
              <w:t>106</w:t>
            </w:r>
          </w:hyperlink>
        </w:p>
        <w:p>
          <w:pPr>
            <w:pStyle w:val="Contents4"/>
            <w:tabs>
              <w:tab w:val="clear" w:pos="8176"/>
              <w:tab w:val="right" w:pos="9026" w:leader="dot"/>
            </w:tabs>
            <w:rPr/>
          </w:pPr>
          <w:hyperlink w:anchor="__RefHeading___Toc2565174_3650668749">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2565176_3650668749">
            <w:r>
              <w:rPr>
                <w:webHidden/>
                <w:rStyle w:val="IndexLink"/>
                <w:rtl w:val="true"/>
              </w:rPr>
              <w:t>[</w:t>
            </w:r>
            <w:r>
              <w:rPr>
                <w:rStyle w:val="IndexLink"/>
                <w:rtl w:val="true"/>
              </w:rPr>
              <w:t>القول فی الواجبات</w:t>
            </w:r>
            <w:r>
              <w:rPr>
                <w:rStyle w:val="IndexLink"/>
                <w:rtl w:val="true"/>
              </w:rPr>
              <w:t>]</w:t>
              <w:tab/>
            </w:r>
            <w:r>
              <w:rPr>
                <w:rStyle w:val="IndexLink"/>
              </w:rPr>
              <w:t>106</w:t>
            </w:r>
          </w:hyperlink>
        </w:p>
        <w:p>
          <w:pPr>
            <w:pStyle w:val="Contents5"/>
            <w:tabs>
              <w:tab w:val="clear" w:pos="7892"/>
              <w:tab w:val="right" w:pos="9026" w:leader="dot"/>
            </w:tabs>
            <w:rPr/>
          </w:pPr>
          <w:hyperlink w:anchor="__RefHeading___Toc2565178_3650668749">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256518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الواجب فی الوضوء غسل الوجه و الیدین و مسح الرأس و القدمین</w:t>
            </w:r>
            <w:r>
              <w:rPr>
                <w:rStyle w:val="IndexLink"/>
                <w:rtl w:val="true"/>
              </w:rPr>
              <w:t>]</w:t>
              <w:tab/>
            </w:r>
            <w:r>
              <w:rPr>
                <w:rStyle w:val="IndexLink"/>
              </w:rPr>
              <w:t>106</w:t>
            </w:r>
          </w:hyperlink>
        </w:p>
        <w:p>
          <w:pPr>
            <w:pStyle w:val="Contents5"/>
            <w:tabs>
              <w:tab w:val="clear" w:pos="7892"/>
              <w:tab w:val="right" w:pos="9026" w:leader="dot"/>
            </w:tabs>
            <w:rPr/>
          </w:pPr>
          <w:hyperlink w:anchor="__RefHeading___Toc256518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یجب أن یکون الغسل من أعلی الوجه</w:t>
            </w:r>
            <w:r>
              <w:rPr>
                <w:rStyle w:val="IndexLink"/>
                <w:rtl w:val="true"/>
              </w:rPr>
              <w:t>]</w:t>
              <w:tab/>
            </w:r>
            <w:r>
              <w:rPr>
                <w:rStyle w:val="IndexLink"/>
              </w:rPr>
              <w:t>107</w:t>
            </w:r>
          </w:hyperlink>
        </w:p>
        <w:p>
          <w:pPr>
            <w:pStyle w:val="Contents5"/>
            <w:tabs>
              <w:tab w:val="clear" w:pos="7892"/>
              <w:tab w:val="right" w:pos="9026" w:leader="dot"/>
            </w:tabs>
            <w:rPr/>
          </w:pPr>
          <w:hyperlink w:anchor="__RefHeading___Toc256518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یجب غسل ما استرسل من اللحیة</w:t>
            </w:r>
            <w:r>
              <w:rPr>
                <w:rStyle w:val="IndexLink"/>
                <w:rtl w:val="true"/>
              </w:rPr>
              <w:t>]</w:t>
              <w:tab/>
            </w:r>
            <w:r>
              <w:rPr>
                <w:rStyle w:val="IndexLink"/>
              </w:rPr>
              <w:t>107</w:t>
            </w:r>
          </w:hyperlink>
        </w:p>
        <w:p>
          <w:pPr>
            <w:pStyle w:val="Contents5"/>
            <w:tabs>
              <w:tab w:val="clear" w:pos="7892"/>
              <w:tab w:val="right" w:pos="9026" w:leader="dot"/>
            </w:tabs>
            <w:rPr/>
          </w:pPr>
          <w:hyperlink w:anchor="__RefHeading___Toc256518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لا یجب غسل شی‌ء من البواطن</w:t>
            </w:r>
            <w:r>
              <w:rPr>
                <w:rStyle w:val="IndexLink"/>
                <w:rtl w:val="true"/>
              </w:rPr>
              <w:t>]</w:t>
              <w:tab/>
            </w:r>
            <w:r>
              <w:rPr>
                <w:rStyle w:val="IndexLink"/>
              </w:rPr>
              <w:t>107</w:t>
            </w:r>
          </w:hyperlink>
        </w:p>
        <w:p>
          <w:pPr>
            <w:pStyle w:val="Contents5"/>
            <w:tabs>
              <w:tab w:val="clear" w:pos="7892"/>
              <w:tab w:val="right" w:pos="9026" w:leader="dot"/>
            </w:tabs>
            <w:rPr/>
          </w:pPr>
          <w:hyperlink w:anchor="__RefHeading___Toc256518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الوسخ تحت الأظفار لا یجب إزالته</w:t>
            </w:r>
            <w:r>
              <w:rPr>
                <w:rStyle w:val="IndexLink"/>
                <w:rtl w:val="true"/>
              </w:rPr>
              <w:t>]</w:t>
              <w:tab/>
            </w:r>
            <w:r>
              <w:rPr>
                <w:rStyle w:val="IndexLink"/>
              </w:rPr>
              <w:t>107</w:t>
            </w:r>
          </w:hyperlink>
        </w:p>
        <w:p>
          <w:pPr>
            <w:pStyle w:val="Contents5"/>
            <w:tabs>
              <w:tab w:val="clear" w:pos="7892"/>
              <w:tab w:val="right" w:pos="9026" w:leader="dot"/>
            </w:tabs>
            <w:rPr/>
          </w:pPr>
          <w:hyperlink w:anchor="__RefHeading___Toc256519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انقطع لحم من الیدین أو الوجه وجب غسل ما ظهر بعد القطع</w:t>
            </w:r>
            <w:r>
              <w:rPr>
                <w:rStyle w:val="IndexLink"/>
                <w:rtl w:val="true"/>
              </w:rPr>
              <w:t>]</w:t>
              <w:tab/>
            </w:r>
            <w:r>
              <w:rPr>
                <w:rStyle w:val="IndexLink"/>
              </w:rPr>
              <w:t>107</w:t>
            </w:r>
          </w:hyperlink>
        </w:p>
        <w:p>
          <w:pPr>
            <w:pStyle w:val="Contents5"/>
            <w:tabs>
              <w:tab w:val="clear" w:pos="7892"/>
              <w:tab w:val="right" w:pos="9026" w:leader="dot"/>
            </w:tabs>
            <w:rPr/>
          </w:pPr>
          <w:hyperlink w:anchor="__RefHeading___Toc256519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الشقوق التی تحدث علیٰ ظهر الکفّ من جهة البرد</w:t>
            </w:r>
            <w:r>
              <w:rPr>
                <w:rStyle w:val="IndexLink"/>
                <w:rtl w:val="true"/>
              </w:rPr>
              <w:t>]</w:t>
              <w:tab/>
            </w:r>
            <w:r>
              <w:rPr>
                <w:rStyle w:val="IndexLink"/>
              </w:rPr>
              <w:t>107</w:t>
            </w:r>
          </w:hyperlink>
        </w:p>
        <w:p>
          <w:pPr>
            <w:pStyle w:val="Contents5"/>
            <w:tabs>
              <w:tab w:val="clear" w:pos="7892"/>
              <w:tab w:val="right" w:pos="9026" w:leader="dot"/>
            </w:tabs>
            <w:rPr/>
          </w:pPr>
          <w:hyperlink w:anchor="__RefHeading___Toc256519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ما یعلو البشرة مثل الجُدری عند الاحتراق ما دام باقیاً یکفی غسل ظاهره و إن انخرق</w:t>
            </w:r>
            <w:r>
              <w:rPr>
                <w:rStyle w:val="IndexLink"/>
                <w:rtl w:val="true"/>
              </w:rPr>
              <w:t>]</w:t>
              <w:tab/>
            </w:r>
            <w:r>
              <w:rPr>
                <w:rStyle w:val="IndexLink"/>
              </w:rPr>
              <w:t>107</w:t>
            </w:r>
          </w:hyperlink>
        </w:p>
        <w:p>
          <w:pPr>
            <w:pStyle w:val="Contents5"/>
            <w:tabs>
              <w:tab w:val="clear" w:pos="7892"/>
              <w:tab w:val="right" w:pos="9026" w:leader="dot"/>
            </w:tabs>
            <w:rPr/>
          </w:pPr>
          <w:hyperlink w:anchor="__RefHeading___Toc256519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یصحّ الوضوء بالارتماس مع مراعاة الأعلی فالأعلیٰ</w:t>
            </w:r>
            <w:r>
              <w:rPr>
                <w:rStyle w:val="IndexLink"/>
                <w:rtl w:val="true"/>
              </w:rPr>
              <w:t>]</w:t>
              <w:tab/>
            </w:r>
            <w:r>
              <w:rPr>
                <w:rStyle w:val="IndexLink"/>
              </w:rPr>
              <w:t>108</w:t>
            </w:r>
          </w:hyperlink>
        </w:p>
        <w:p>
          <w:pPr>
            <w:pStyle w:val="Contents5"/>
            <w:tabs>
              <w:tab w:val="clear" w:pos="7892"/>
              <w:tab w:val="right" w:pos="9026" w:leader="dot"/>
            </w:tabs>
            <w:rPr/>
          </w:pPr>
          <w:hyperlink w:anchor="__RefHeading___Toc2565198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یجب رفع ما یمنع وصول الماء أو تحریکه کالخاتم و نحوه</w:t>
            </w:r>
            <w:r>
              <w:rPr>
                <w:rStyle w:val="IndexLink"/>
                <w:rtl w:val="true"/>
              </w:rPr>
              <w:t>]</w:t>
              <w:tab/>
            </w:r>
            <w:r>
              <w:rPr>
                <w:rStyle w:val="IndexLink"/>
              </w:rPr>
              <w:t>108</w:t>
            </w:r>
          </w:hyperlink>
        </w:p>
        <w:p>
          <w:pPr>
            <w:pStyle w:val="Contents5"/>
            <w:tabs>
              <w:tab w:val="clear" w:pos="7892"/>
              <w:tab w:val="right" w:pos="9026" w:leader="dot"/>
            </w:tabs>
            <w:rPr/>
          </w:pPr>
          <w:hyperlink w:anchor="__RefHeading___Toc2565200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ما ینجمد علی الجرح عند البرء و یصیر کالجلدة لا یجب رفعه</w:t>
            </w:r>
            <w:r>
              <w:rPr>
                <w:rStyle w:val="IndexLink"/>
                <w:rtl w:val="true"/>
              </w:rPr>
              <w:t>]</w:t>
              <w:tab/>
            </w:r>
            <w:r>
              <w:rPr>
                <w:rStyle w:val="IndexLink"/>
              </w:rPr>
              <w:t>108</w:t>
            </w:r>
          </w:hyperlink>
        </w:p>
        <w:p>
          <w:pPr>
            <w:pStyle w:val="Contents5"/>
            <w:tabs>
              <w:tab w:val="clear" w:pos="7892"/>
              <w:tab w:val="right" w:pos="9026" w:leader="dot"/>
            </w:tabs>
            <w:rPr/>
          </w:pPr>
          <w:hyperlink w:anchor="__RefHeading___Toc2565202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الوسخ علی البشرة إن لم یکن جرماً مرئیّاً لا یجب إزالته</w:t>
            </w:r>
            <w:r>
              <w:rPr>
                <w:rStyle w:val="IndexLink"/>
                <w:rtl w:val="true"/>
              </w:rPr>
              <w:t>]</w:t>
              <w:tab/>
            </w:r>
            <w:r>
              <w:rPr>
                <w:rStyle w:val="IndexLink"/>
              </w:rPr>
              <w:t>108</w:t>
            </w:r>
          </w:hyperlink>
        </w:p>
        <w:p>
          <w:pPr>
            <w:pStyle w:val="Contents5"/>
            <w:tabs>
              <w:tab w:val="clear" w:pos="7892"/>
              <w:tab w:val="right" w:pos="9026" w:leader="dot"/>
            </w:tabs>
            <w:rPr/>
          </w:pPr>
          <w:hyperlink w:anchor="__RefHeading___Toc2565204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لا یجب کون المسح علی البشرة فیجوز علی الشعر النابت علی المقدّم</w:t>
            </w:r>
            <w:r>
              <w:rPr>
                <w:rStyle w:val="IndexLink"/>
                <w:rtl w:val="true"/>
              </w:rPr>
              <w:t>]</w:t>
              <w:tab/>
            </w:r>
            <w:r>
              <w:rPr>
                <w:rStyle w:val="IndexLink"/>
              </w:rPr>
              <w:t>108</w:t>
            </w:r>
          </w:hyperlink>
        </w:p>
        <w:p>
          <w:pPr>
            <w:pStyle w:val="Contents5"/>
            <w:tabs>
              <w:tab w:val="clear" w:pos="7892"/>
              <w:tab w:val="right" w:pos="9026" w:leader="dot"/>
            </w:tabs>
            <w:rPr/>
          </w:pPr>
          <w:hyperlink w:anchor="__RefHeading___Toc2565206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یجب أن یکون المسح بباطن الکفّ</w:t>
            </w:r>
            <w:r>
              <w:rPr>
                <w:rStyle w:val="IndexLink"/>
                <w:rtl w:val="true"/>
              </w:rPr>
              <w:t>]</w:t>
              <w:tab/>
            </w:r>
            <w:r>
              <w:rPr>
                <w:rStyle w:val="IndexLink"/>
              </w:rPr>
              <w:t>108</w:t>
            </w:r>
          </w:hyperlink>
        </w:p>
        <w:p>
          <w:pPr>
            <w:pStyle w:val="Contents5"/>
            <w:tabs>
              <w:tab w:val="clear" w:pos="7892"/>
              <w:tab w:val="right" w:pos="9026" w:leader="dot"/>
            </w:tabs>
            <w:rPr/>
          </w:pPr>
          <w:hyperlink w:anchor="__RefHeading___Toc2565208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یجب جفاف الممسوح علیٰ وجه لا ینتقل منه أجزاء إلی الماسح</w:t>
            </w:r>
            <w:r>
              <w:rPr>
                <w:rStyle w:val="IndexLink"/>
                <w:rtl w:val="true"/>
              </w:rPr>
              <w:t>]</w:t>
              <w:tab/>
            </w:r>
            <w:r>
              <w:rPr>
                <w:rStyle w:val="IndexLink"/>
              </w:rPr>
              <w:t>109</w:t>
            </w:r>
          </w:hyperlink>
        </w:p>
        <w:p>
          <w:pPr>
            <w:pStyle w:val="Contents5"/>
            <w:tabs>
              <w:tab w:val="clear" w:pos="7892"/>
              <w:tab w:val="right" w:pos="9026" w:leader="dot"/>
            </w:tabs>
            <w:rPr/>
          </w:pPr>
          <w:hyperlink w:anchor="__RefHeading___Toc2565210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إذا تعذّر المسح بباطن الکفّ مسح بظاهرها</w:t>
            </w:r>
            <w:r>
              <w:rPr>
                <w:rStyle w:val="IndexLink"/>
                <w:rtl w:val="true"/>
              </w:rPr>
              <w:t>]</w:t>
              <w:tab/>
            </w:r>
            <w:r>
              <w:rPr>
                <w:rStyle w:val="IndexLink"/>
              </w:rPr>
              <w:t>109</w:t>
            </w:r>
          </w:hyperlink>
        </w:p>
        <w:p>
          <w:pPr>
            <w:pStyle w:val="Contents5"/>
            <w:tabs>
              <w:tab w:val="clear" w:pos="7892"/>
              <w:tab w:val="right" w:pos="9026" w:leader="dot"/>
            </w:tabs>
            <w:rPr/>
          </w:pPr>
          <w:hyperlink w:anchor="__RefHeading___Toc2565212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إذا جفّت رطوبة الکفّ أخذ من سائر مواضع الوضوء</w:t>
            </w:r>
            <w:r>
              <w:rPr>
                <w:rStyle w:val="IndexLink"/>
                <w:rtl w:val="true"/>
              </w:rPr>
              <w:t>]</w:t>
              <w:tab/>
            </w:r>
            <w:r>
              <w:rPr>
                <w:rStyle w:val="IndexLink"/>
              </w:rPr>
              <w:t>109</w:t>
            </w:r>
          </w:hyperlink>
        </w:p>
        <w:p>
          <w:pPr>
            <w:pStyle w:val="Contents5"/>
            <w:tabs>
              <w:tab w:val="clear" w:pos="7892"/>
              <w:tab w:val="right" w:pos="9026" w:leader="dot"/>
            </w:tabs>
            <w:rPr/>
          </w:pPr>
          <w:hyperlink w:anchor="__RefHeading___Toc2565214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لا بدّ فی المسح من إمرار الماسح علی الممسوح</w:t>
            </w:r>
            <w:r>
              <w:rPr>
                <w:rStyle w:val="IndexLink"/>
                <w:rtl w:val="true"/>
              </w:rPr>
              <w:t>]</w:t>
              <w:tab/>
            </w:r>
            <w:r>
              <w:rPr>
                <w:rStyle w:val="IndexLink"/>
              </w:rPr>
              <w:t>109</w:t>
            </w:r>
          </w:hyperlink>
        </w:p>
        <w:p>
          <w:pPr>
            <w:pStyle w:val="Contents5"/>
            <w:tabs>
              <w:tab w:val="clear" w:pos="7892"/>
              <w:tab w:val="right" w:pos="9026" w:leader="dot"/>
            </w:tabs>
            <w:rPr/>
          </w:pPr>
          <w:hyperlink w:anchor="__RefHeading___Toc2565216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لا یجب فی مسح القدمین وضع أصابع الکفّ مثلًا</w:t>
            </w:r>
            <w:r>
              <w:rPr>
                <w:rStyle w:val="IndexLink"/>
                <w:rtl w:val="true"/>
              </w:rPr>
              <w:t>]</w:t>
              <w:tab/>
            </w:r>
            <w:r>
              <w:rPr>
                <w:rStyle w:val="IndexLink"/>
              </w:rPr>
              <w:t>109</w:t>
            </w:r>
          </w:hyperlink>
        </w:p>
        <w:p>
          <w:pPr>
            <w:pStyle w:val="Contents5"/>
            <w:tabs>
              <w:tab w:val="clear" w:pos="7892"/>
              <w:tab w:val="right" w:pos="9026" w:leader="dot"/>
            </w:tabs>
            <w:rPr/>
          </w:pPr>
          <w:hyperlink w:anchor="__RefHeading___Toc2565218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یجوز المسح علی القناع و الخفّ و الجورب و غیرها عند الضرورة</w:t>
            </w:r>
            <w:r>
              <w:rPr>
                <w:rStyle w:val="IndexLink"/>
                <w:rtl w:val="true"/>
              </w:rPr>
              <w:t>]</w:t>
              <w:tab/>
            </w:r>
            <w:r>
              <w:rPr>
                <w:rStyle w:val="IndexLink"/>
              </w:rPr>
              <w:t>109</w:t>
            </w:r>
          </w:hyperlink>
        </w:p>
        <w:p>
          <w:pPr>
            <w:pStyle w:val="Contents4"/>
            <w:tabs>
              <w:tab w:val="clear" w:pos="8176"/>
              <w:tab w:val="right" w:pos="9026" w:leader="dot"/>
            </w:tabs>
            <w:rPr/>
          </w:pPr>
          <w:hyperlink w:anchor="__RefHeading___Toc2565220_3650668749">
            <w:r>
              <w:rPr>
                <w:webHidden/>
                <w:rStyle w:val="IndexLink"/>
                <w:rtl w:val="true"/>
              </w:rPr>
              <w:t>[</w:t>
            </w:r>
            <w:r>
              <w:rPr>
                <w:rStyle w:val="IndexLink"/>
                <w:rtl w:val="true"/>
              </w:rPr>
              <w:t>القول فی شرائط الوضوء</w:t>
            </w:r>
            <w:r>
              <w:rPr>
                <w:rStyle w:val="IndexLink"/>
                <w:rtl w:val="true"/>
              </w:rPr>
              <w:t>]</w:t>
              <w:tab/>
            </w:r>
            <w:r>
              <w:rPr>
                <w:rStyle w:val="IndexLink"/>
              </w:rPr>
              <w:t>109</w:t>
            </w:r>
          </w:hyperlink>
        </w:p>
        <w:p>
          <w:pPr>
            <w:pStyle w:val="Contents5"/>
            <w:tabs>
              <w:tab w:val="clear" w:pos="7892"/>
              <w:tab w:val="right" w:pos="9026" w:leader="dot"/>
            </w:tabs>
            <w:rPr/>
          </w:pPr>
          <w:hyperlink w:anchor="__RefHeading___Toc2565222_3650668749">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2565224_3650668749">
            <w:r>
              <w:rPr>
                <w:webHidden/>
                <w:rStyle w:val="IndexLink"/>
                <w:rtl w:val="true"/>
              </w:rPr>
              <w:t>[</w:t>
            </w:r>
            <w:r>
              <w:rPr>
                <w:rStyle w:val="IndexLink"/>
                <w:rtl w:val="true"/>
              </w:rPr>
              <w:t>منها</w:t>
            </w:r>
            <w:r>
              <w:rPr>
                <w:rStyle w:val="IndexLink"/>
                <w:rtl w:val="true"/>
              </w:rPr>
              <w:t xml:space="preserve">: </w:t>
            </w:r>
            <w:r>
              <w:rPr>
                <w:rStyle w:val="IndexLink"/>
                <w:rtl w:val="true"/>
              </w:rPr>
              <w:t>طهارة الماء و إطلاقه</w:t>
            </w:r>
            <w:r>
              <w:rPr>
                <w:rStyle w:val="IndexLink"/>
                <w:rtl w:val="true"/>
              </w:rPr>
              <w:t>]</w:t>
              <w:tab/>
            </w:r>
            <w:r>
              <w:rPr>
                <w:rStyle w:val="IndexLink"/>
              </w:rPr>
              <w:t>109</w:t>
            </w:r>
          </w:hyperlink>
        </w:p>
        <w:p>
          <w:pPr>
            <w:pStyle w:val="Contents6"/>
            <w:tabs>
              <w:tab w:val="clear" w:pos="7609"/>
              <w:tab w:val="right" w:pos="9026" w:leader="dot"/>
            </w:tabs>
            <w:rPr/>
          </w:pPr>
          <w:hyperlink w:anchor="__RefHeading___Toc2565226_3650668749">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256522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المشتبه بالنجس بالشبهة المحصورة کالنجس</w:t>
            </w:r>
            <w:r>
              <w:rPr>
                <w:rStyle w:val="IndexLink"/>
                <w:rtl w:val="true"/>
              </w:rPr>
              <w:t>]</w:t>
              <w:tab/>
            </w:r>
            <w:r>
              <w:rPr>
                <w:rStyle w:val="IndexLink"/>
              </w:rPr>
              <w:t>110</w:t>
            </w:r>
          </w:hyperlink>
        </w:p>
        <w:p>
          <w:pPr>
            <w:pStyle w:val="Contents6"/>
            <w:tabs>
              <w:tab w:val="clear" w:pos="7609"/>
              <w:tab w:val="right" w:pos="9026" w:leader="dot"/>
            </w:tabs>
            <w:rPr/>
          </w:pPr>
          <w:hyperlink w:anchor="__RefHeading___Toc256523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لم یکن عنده إلّا ماء مشکوک إضافته و إطلاقه</w:t>
            </w:r>
            <w:r>
              <w:rPr>
                <w:rStyle w:val="IndexLink"/>
                <w:rtl w:val="true"/>
              </w:rPr>
              <w:t>]</w:t>
              <w:tab/>
            </w:r>
            <w:r>
              <w:rPr>
                <w:rStyle w:val="IndexLink"/>
              </w:rPr>
              <w:t>110</w:t>
            </w:r>
          </w:hyperlink>
        </w:p>
        <w:p>
          <w:pPr>
            <w:pStyle w:val="Contents6"/>
            <w:tabs>
              <w:tab w:val="clear" w:pos="7609"/>
              <w:tab w:val="right" w:pos="9026" w:leader="dot"/>
            </w:tabs>
            <w:rPr/>
          </w:pPr>
          <w:hyperlink w:anchor="__RefHeading___Toc256523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لو اشتبه مضاف فی محصور و لم یکن عنده ماء آخر یجب علیه الاحتیاط بتکرار الوضوء</w:t>
            </w:r>
            <w:r>
              <w:rPr>
                <w:rStyle w:val="IndexLink"/>
                <w:rtl w:val="true"/>
              </w:rPr>
              <w:t>]</w:t>
              <w:tab/>
            </w:r>
            <w:r>
              <w:rPr>
                <w:rStyle w:val="IndexLink"/>
              </w:rPr>
              <w:t>110</w:t>
            </w:r>
          </w:hyperlink>
        </w:p>
        <w:p>
          <w:pPr>
            <w:pStyle w:val="Contents6"/>
            <w:tabs>
              <w:tab w:val="clear" w:pos="7609"/>
              <w:tab w:val="right" w:pos="9026" w:leader="dot"/>
            </w:tabs>
            <w:rPr/>
          </w:pPr>
          <w:hyperlink w:anchor="__RefHeading___Toc256523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المشتبه بالغصب کالغصب لا یجوز الوضوء به</w:t>
            </w:r>
            <w:r>
              <w:rPr>
                <w:rStyle w:val="IndexLink"/>
                <w:rtl w:val="true"/>
              </w:rPr>
              <w:t>]</w:t>
              <w:tab/>
            </w:r>
            <w:r>
              <w:rPr>
                <w:rStyle w:val="IndexLink"/>
              </w:rPr>
              <w:t>110</w:t>
            </w:r>
          </w:hyperlink>
        </w:p>
        <w:p>
          <w:pPr>
            <w:pStyle w:val="Contents6"/>
            <w:tabs>
              <w:tab w:val="clear" w:pos="7609"/>
              <w:tab w:val="right" w:pos="9026" w:leader="dot"/>
            </w:tabs>
            <w:rPr/>
          </w:pPr>
          <w:hyperlink w:anchor="__RefHeading___Toc2565236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طهارة الماء و إطلاقه شرط واقعی یستوی فیهما العالم و الجاهل</w:t>
            </w:r>
            <w:r>
              <w:rPr>
                <w:rStyle w:val="IndexLink"/>
                <w:rtl w:val="true"/>
              </w:rPr>
              <w:t>]</w:t>
              <w:tab/>
            </w:r>
            <w:r>
              <w:rPr>
                <w:rStyle w:val="IndexLink"/>
              </w:rPr>
              <w:t>110</w:t>
            </w:r>
          </w:hyperlink>
        </w:p>
        <w:p>
          <w:pPr>
            <w:pStyle w:val="Contents6"/>
            <w:tabs>
              <w:tab w:val="clear" w:pos="7609"/>
              <w:tab w:val="right" w:pos="9026" w:leader="dot"/>
            </w:tabs>
            <w:rPr/>
          </w:pPr>
          <w:hyperlink w:anchor="__RefHeading___Toc2565238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یجوز الوضوء و الشرب و سائر التصرّفات الیسیرة ممّا جرت علیه السیرة من الأنهار الکبیرة</w:t>
            </w:r>
            <w:r>
              <w:rPr>
                <w:rStyle w:val="IndexLink"/>
                <w:rtl w:val="true"/>
              </w:rPr>
              <w:t>]</w:t>
              <w:tab/>
            </w:r>
            <w:r>
              <w:rPr>
                <w:rStyle w:val="IndexLink"/>
              </w:rPr>
              <w:t>111</w:t>
            </w:r>
          </w:hyperlink>
        </w:p>
        <w:p>
          <w:pPr>
            <w:pStyle w:val="Contents6"/>
            <w:tabs>
              <w:tab w:val="clear" w:pos="7609"/>
              <w:tab w:val="right" w:pos="9026" w:leader="dot"/>
            </w:tabs>
            <w:rPr/>
          </w:pPr>
          <w:hyperlink w:anchor="__RefHeading___Toc2565240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کان ماء مباح فی إناء مغصوب لا یجوز الوضوء منه بالغمس فیه مطلقاً</w:t>
            </w:r>
            <w:r>
              <w:rPr>
                <w:rStyle w:val="IndexLink"/>
                <w:rtl w:val="true"/>
              </w:rPr>
              <w:t>]</w:t>
              <w:tab/>
            </w:r>
            <w:r>
              <w:rPr>
                <w:rStyle w:val="IndexLink"/>
              </w:rPr>
              <w:t>111</w:t>
            </w:r>
          </w:hyperlink>
        </w:p>
        <w:p>
          <w:pPr>
            <w:pStyle w:val="Contents6"/>
            <w:tabs>
              <w:tab w:val="clear" w:pos="7609"/>
              <w:tab w:val="right" w:pos="9026" w:leader="dot"/>
            </w:tabs>
            <w:rPr/>
          </w:pPr>
          <w:hyperlink w:anchor="__RefHeading___Toc2565242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یصحّ الوضوء تحت الخیمة المغصوبة</w:t>
            </w:r>
            <w:r>
              <w:rPr>
                <w:rStyle w:val="IndexLink"/>
                <w:rtl w:val="true"/>
              </w:rPr>
              <w:t>]</w:t>
              <w:tab/>
            </w:r>
            <w:r>
              <w:rPr>
                <w:rStyle w:val="IndexLink"/>
              </w:rPr>
              <w:t>111</w:t>
            </w:r>
          </w:hyperlink>
        </w:p>
        <w:p>
          <w:pPr>
            <w:pStyle w:val="Contents6"/>
            <w:tabs>
              <w:tab w:val="clear" w:pos="7609"/>
              <w:tab w:val="right" w:pos="9026" w:leader="dot"/>
            </w:tabs>
            <w:rPr/>
          </w:pPr>
          <w:hyperlink w:anchor="__RefHeading___Toc2565244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الظاهر أنّه یجوز الوضوء من حیاض المساجد و المدارس و نحوهما</w:t>
            </w:r>
            <w:r>
              <w:rPr>
                <w:rStyle w:val="IndexLink"/>
                <w:rtl w:val="true"/>
              </w:rPr>
              <w:t>]</w:t>
              <w:tab/>
            </w:r>
            <w:r>
              <w:rPr>
                <w:rStyle w:val="IndexLink"/>
              </w:rPr>
              <w:t>111</w:t>
            </w:r>
          </w:hyperlink>
        </w:p>
        <w:p>
          <w:pPr>
            <w:pStyle w:val="Contents6"/>
            <w:tabs>
              <w:tab w:val="clear" w:pos="7609"/>
              <w:tab w:val="right" w:pos="9026" w:leader="dot"/>
            </w:tabs>
            <w:rPr/>
          </w:pPr>
          <w:hyperlink w:anchor="__RefHeading___Toc2565246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الوضوء من آنیة الذهب و الفضّة کالوضوء من الآنیة المغصوبة</w:t>
            </w:r>
            <w:r>
              <w:rPr>
                <w:rStyle w:val="IndexLink"/>
                <w:rtl w:val="true"/>
              </w:rPr>
              <w:t>]</w:t>
              <w:tab/>
            </w:r>
            <w:r>
              <w:rPr>
                <w:rStyle w:val="IndexLink"/>
              </w:rPr>
              <w:t>111</w:t>
            </w:r>
          </w:hyperlink>
        </w:p>
        <w:p>
          <w:pPr>
            <w:pStyle w:val="Contents6"/>
            <w:tabs>
              <w:tab w:val="clear" w:pos="7609"/>
              <w:tab w:val="right" w:pos="9026" w:leader="dot"/>
            </w:tabs>
            <w:rPr/>
          </w:pPr>
          <w:hyperlink w:anchor="__RefHeading___Toc2565248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إذا شکّ فی وجود الحاجب قبل الشروع فی الوضوء أو فی الأثناء لا یجب الفحص</w:t>
            </w:r>
            <w:r>
              <w:rPr>
                <w:rStyle w:val="IndexLink"/>
                <w:rtl w:val="true"/>
              </w:rPr>
              <w:t>]</w:t>
              <w:tab/>
            </w:r>
            <w:r>
              <w:rPr>
                <w:rStyle w:val="IndexLink"/>
              </w:rPr>
              <w:t>112</w:t>
            </w:r>
          </w:hyperlink>
        </w:p>
        <w:p>
          <w:pPr>
            <w:pStyle w:val="Contents6"/>
            <w:tabs>
              <w:tab w:val="clear" w:pos="7609"/>
              <w:tab w:val="right" w:pos="9026" w:leader="dot"/>
            </w:tabs>
            <w:rPr/>
          </w:pPr>
          <w:hyperlink w:anchor="__RefHeading___Toc2565250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إذا کان بعض محالّ الوضوء نجساً فتوضّأ و شکّ بعده فی أنّه طهّره قبل الوضوء أم لا</w:t>
            </w:r>
            <w:r>
              <w:rPr>
                <w:rStyle w:val="IndexLink"/>
                <w:rtl w:val="true"/>
              </w:rPr>
              <w:t>]</w:t>
              <w:tab/>
            </w:r>
            <w:r>
              <w:rPr>
                <w:rStyle w:val="IndexLink"/>
              </w:rPr>
              <w:t>112</w:t>
            </w:r>
          </w:hyperlink>
        </w:p>
        <w:p>
          <w:pPr>
            <w:pStyle w:val="Contents5"/>
            <w:tabs>
              <w:tab w:val="clear" w:pos="7892"/>
              <w:tab w:val="right" w:pos="9026" w:leader="dot"/>
            </w:tabs>
            <w:rPr/>
          </w:pPr>
          <w:hyperlink w:anchor="__RefHeading___Toc2565252_3650668749">
            <w:r>
              <w:rPr>
                <w:webHidden/>
                <w:rStyle w:val="IndexLink"/>
                <w:rtl w:val="true"/>
              </w:rPr>
              <w:t>[</w:t>
            </w:r>
            <w:r>
              <w:rPr>
                <w:rStyle w:val="IndexLink"/>
                <w:rtl w:val="true"/>
              </w:rPr>
              <w:t>و منها</w:t>
            </w:r>
            <w:r>
              <w:rPr>
                <w:rStyle w:val="IndexLink"/>
                <w:rtl w:val="true"/>
              </w:rPr>
              <w:t xml:space="preserve">: </w:t>
            </w:r>
            <w:r>
              <w:rPr>
                <w:rStyle w:val="IndexLink"/>
                <w:rtl w:val="true"/>
              </w:rPr>
              <w:t>المباشرة اختیاراً</w:t>
            </w:r>
            <w:r>
              <w:rPr>
                <w:rStyle w:val="IndexLink"/>
                <w:rtl w:val="true"/>
              </w:rPr>
              <w:t>]</w:t>
              <w:tab/>
            </w:r>
            <w:r>
              <w:rPr>
                <w:rStyle w:val="IndexLink"/>
              </w:rPr>
              <w:t>112</w:t>
            </w:r>
          </w:hyperlink>
        </w:p>
        <w:p>
          <w:pPr>
            <w:pStyle w:val="Contents5"/>
            <w:tabs>
              <w:tab w:val="clear" w:pos="7892"/>
              <w:tab w:val="right" w:pos="9026" w:leader="dot"/>
            </w:tabs>
            <w:rPr/>
          </w:pPr>
          <w:hyperlink w:anchor="__RefHeading___Toc2565254_3650668749">
            <w:r>
              <w:rPr>
                <w:webHidden/>
                <w:rStyle w:val="IndexLink"/>
                <w:rtl w:val="true"/>
              </w:rPr>
              <w:t>[</w:t>
            </w:r>
            <w:r>
              <w:rPr>
                <w:rStyle w:val="IndexLink"/>
                <w:rtl w:val="true"/>
              </w:rPr>
              <w:t>و منها</w:t>
            </w:r>
            <w:r>
              <w:rPr>
                <w:rStyle w:val="IndexLink"/>
                <w:rtl w:val="true"/>
              </w:rPr>
              <w:t xml:space="preserve">: </w:t>
            </w:r>
            <w:r>
              <w:rPr>
                <w:rStyle w:val="IndexLink"/>
                <w:rtl w:val="true"/>
              </w:rPr>
              <w:t>الترتیب فی الأعضاء</w:t>
            </w:r>
            <w:r>
              <w:rPr>
                <w:rStyle w:val="IndexLink"/>
                <w:rtl w:val="true"/>
              </w:rPr>
              <w:t>]</w:t>
              <w:tab/>
            </w:r>
            <w:r>
              <w:rPr>
                <w:rStyle w:val="IndexLink"/>
              </w:rPr>
              <w:t>112</w:t>
            </w:r>
          </w:hyperlink>
        </w:p>
        <w:p>
          <w:pPr>
            <w:pStyle w:val="Contents5"/>
            <w:tabs>
              <w:tab w:val="clear" w:pos="7892"/>
              <w:tab w:val="right" w:pos="9026" w:leader="dot"/>
            </w:tabs>
            <w:rPr/>
          </w:pPr>
          <w:hyperlink w:anchor="__RefHeading___Toc2565256_3650668749">
            <w:r>
              <w:rPr>
                <w:webHidden/>
                <w:rStyle w:val="IndexLink"/>
                <w:rtl w:val="true"/>
              </w:rPr>
              <w:t>[</w:t>
            </w:r>
            <w:r>
              <w:rPr>
                <w:rStyle w:val="IndexLink"/>
                <w:rtl w:val="true"/>
              </w:rPr>
              <w:t>و منها</w:t>
            </w:r>
            <w:r>
              <w:rPr>
                <w:rStyle w:val="IndexLink"/>
                <w:rtl w:val="true"/>
              </w:rPr>
              <w:t xml:space="preserve">: </w:t>
            </w:r>
            <w:r>
              <w:rPr>
                <w:rStyle w:val="IndexLink"/>
                <w:rtl w:val="true"/>
              </w:rPr>
              <w:t>الموالاة بین الأعضاء</w:t>
            </w:r>
            <w:r>
              <w:rPr>
                <w:rStyle w:val="IndexLink"/>
                <w:rtl w:val="true"/>
              </w:rPr>
              <w:t>]</w:t>
              <w:tab/>
            </w:r>
            <w:r>
              <w:rPr>
                <w:rStyle w:val="IndexLink"/>
              </w:rPr>
              <w:t>112</w:t>
            </w:r>
          </w:hyperlink>
        </w:p>
        <w:p>
          <w:pPr>
            <w:pStyle w:val="Contents6"/>
            <w:tabs>
              <w:tab w:val="clear" w:pos="7609"/>
              <w:tab w:val="right" w:pos="9026" w:leader="dot"/>
            </w:tabs>
            <w:rPr/>
          </w:pPr>
          <w:hyperlink w:anchor="__RefHeading___Toc2565258_3650668749">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2565260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إنّما یضرّ جفاف الأعضاء السابقة إذا کان بسبب التأخیر و طول الزمان</w:t>
            </w:r>
            <w:r>
              <w:rPr>
                <w:rStyle w:val="IndexLink"/>
                <w:rtl w:val="true"/>
              </w:rPr>
              <w:t>]</w:t>
              <w:tab/>
            </w:r>
            <w:r>
              <w:rPr>
                <w:rStyle w:val="IndexLink"/>
              </w:rPr>
              <w:t>113</w:t>
            </w:r>
          </w:hyperlink>
        </w:p>
        <w:p>
          <w:pPr>
            <w:pStyle w:val="Contents6"/>
            <w:tabs>
              <w:tab w:val="clear" w:pos="7609"/>
              <w:tab w:val="right" w:pos="9026" w:leader="dot"/>
            </w:tabs>
            <w:rPr/>
          </w:pPr>
          <w:hyperlink w:anchor="__RefHeading___Toc2565262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لو لم یتابع فی الأفعال و مع ذلک بقی الرطوبة</w:t>
            </w:r>
            <w:r>
              <w:rPr>
                <w:rStyle w:val="IndexLink"/>
                <w:rtl w:val="true"/>
              </w:rPr>
              <w:t>]</w:t>
              <w:tab/>
            </w:r>
            <w:r>
              <w:rPr>
                <w:rStyle w:val="IndexLink"/>
              </w:rPr>
              <w:t>113</w:t>
            </w:r>
          </w:hyperlink>
        </w:p>
        <w:p>
          <w:pPr>
            <w:pStyle w:val="Contents6"/>
            <w:tabs>
              <w:tab w:val="clear" w:pos="7609"/>
              <w:tab w:val="right" w:pos="9026" w:leader="dot"/>
            </w:tabs>
            <w:rPr/>
          </w:pPr>
          <w:hyperlink w:anchor="__RefHeading___Toc2565264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إذا ترک الموالاة نسیاناً بطل وضوؤه</w:t>
            </w:r>
            <w:r>
              <w:rPr>
                <w:rStyle w:val="IndexLink"/>
                <w:rtl w:val="true"/>
              </w:rPr>
              <w:t>]</w:t>
              <w:tab/>
            </w:r>
            <w:r>
              <w:rPr>
                <w:rStyle w:val="IndexLink"/>
              </w:rPr>
              <w:t>113</w:t>
            </w:r>
          </w:hyperlink>
        </w:p>
        <w:p>
          <w:pPr>
            <w:pStyle w:val="Contents6"/>
            <w:tabs>
              <w:tab w:val="clear" w:pos="7609"/>
              <w:tab w:val="right" w:pos="9026" w:leader="dot"/>
            </w:tabs>
            <w:rPr/>
          </w:pPr>
          <w:hyperlink w:anchor="__RefHeading___Toc2565266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لو لم یبق من الرطوبة إلّا فی مسترسل اللحیة</w:t>
            </w:r>
            <w:r>
              <w:rPr>
                <w:rStyle w:val="IndexLink"/>
                <w:rtl w:val="true"/>
              </w:rPr>
              <w:t>]</w:t>
              <w:tab/>
            </w:r>
            <w:r>
              <w:rPr>
                <w:rStyle w:val="IndexLink"/>
              </w:rPr>
              <w:t>113</w:t>
            </w:r>
          </w:hyperlink>
        </w:p>
        <w:p>
          <w:pPr>
            <w:pStyle w:val="Contents5"/>
            <w:tabs>
              <w:tab w:val="clear" w:pos="7892"/>
              <w:tab w:val="right" w:pos="9026" w:leader="dot"/>
            </w:tabs>
            <w:rPr/>
          </w:pPr>
          <w:hyperlink w:anchor="__RefHeading___Toc2565268_3650668749">
            <w:r>
              <w:rPr>
                <w:webHidden/>
                <w:rStyle w:val="IndexLink"/>
                <w:rtl w:val="true"/>
              </w:rPr>
              <w:t>[</w:t>
            </w:r>
            <w:r>
              <w:rPr>
                <w:rStyle w:val="IndexLink"/>
                <w:rtl w:val="true"/>
              </w:rPr>
              <w:t>و منها</w:t>
            </w:r>
            <w:r>
              <w:rPr>
                <w:rStyle w:val="IndexLink"/>
                <w:rtl w:val="true"/>
              </w:rPr>
              <w:t xml:space="preserve">: </w:t>
            </w:r>
            <w:r>
              <w:rPr>
                <w:rStyle w:val="IndexLink"/>
                <w:rtl w:val="true"/>
              </w:rPr>
              <w:t>النیّة</w:t>
            </w:r>
            <w:r>
              <w:rPr>
                <w:rStyle w:val="IndexLink"/>
                <w:rtl w:val="true"/>
              </w:rPr>
              <w:t>]</w:t>
              <w:tab/>
            </w:r>
            <w:r>
              <w:rPr>
                <w:rStyle w:val="IndexLink"/>
              </w:rPr>
              <w:t>113</w:t>
            </w:r>
          </w:hyperlink>
        </w:p>
        <w:p>
          <w:pPr>
            <w:pStyle w:val="Contents6"/>
            <w:tabs>
              <w:tab w:val="clear" w:pos="7609"/>
              <w:tab w:val="right" w:pos="9026" w:leader="dot"/>
            </w:tabs>
            <w:rPr/>
          </w:pPr>
          <w:hyperlink w:anchor="__RefHeading___Toc2565270_3650668749">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2565272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لا یعتبر فی النیّة التلفّظ بها و لا الإخطار بها فی القلب</w:t>
            </w:r>
            <w:r>
              <w:rPr>
                <w:rStyle w:val="IndexLink"/>
                <w:rtl w:val="true"/>
              </w:rPr>
              <w:t>]</w:t>
              <w:tab/>
            </w:r>
            <w:r>
              <w:rPr>
                <w:rStyle w:val="IndexLink"/>
              </w:rPr>
              <w:t>113</w:t>
            </w:r>
          </w:hyperlink>
        </w:p>
        <w:p>
          <w:pPr>
            <w:pStyle w:val="Contents6"/>
            <w:tabs>
              <w:tab w:val="clear" w:pos="7609"/>
              <w:tab w:val="right" w:pos="9026" w:leader="dot"/>
            </w:tabs>
            <w:rPr/>
          </w:pPr>
          <w:hyperlink w:anchor="__RefHeading___Toc2565274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کما یجب النیّة فی أوّل العمل کذلک یجب استدامتها إلیٰ آخره</w:t>
            </w:r>
            <w:r>
              <w:rPr>
                <w:rStyle w:val="IndexLink"/>
                <w:rtl w:val="true"/>
              </w:rPr>
              <w:t>]</w:t>
              <w:tab/>
            </w:r>
            <w:r>
              <w:rPr>
                <w:rStyle w:val="IndexLink"/>
              </w:rPr>
              <w:t>113</w:t>
            </w:r>
          </w:hyperlink>
        </w:p>
        <w:p>
          <w:pPr>
            <w:pStyle w:val="Contents6"/>
            <w:tabs>
              <w:tab w:val="clear" w:pos="7609"/>
              <w:tab w:val="right" w:pos="9026" w:leader="dot"/>
            </w:tabs>
            <w:rPr/>
          </w:pPr>
          <w:hyperlink w:anchor="__RefHeading___Toc2565276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یکفی فی النیّة قصد القربة</w:t>
            </w:r>
            <w:r>
              <w:rPr>
                <w:rStyle w:val="IndexLink"/>
                <w:rtl w:val="true"/>
              </w:rPr>
              <w:t>]</w:t>
              <w:tab/>
            </w:r>
            <w:r>
              <w:rPr>
                <w:rStyle w:val="IndexLink"/>
              </w:rPr>
              <w:t>114</w:t>
            </w:r>
          </w:hyperlink>
        </w:p>
        <w:p>
          <w:pPr>
            <w:pStyle w:val="Contents6"/>
            <w:tabs>
              <w:tab w:val="clear" w:pos="7609"/>
              <w:tab w:val="right" w:pos="9026" w:leader="dot"/>
            </w:tabs>
            <w:rPr/>
          </w:pPr>
          <w:hyperlink w:anchor="__RefHeading___Toc2565278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لا یعتبر فی صحّة الوضوء نیّة رفع الحدث</w:t>
            </w:r>
            <w:r>
              <w:rPr>
                <w:rStyle w:val="IndexLink"/>
                <w:rtl w:val="true"/>
              </w:rPr>
              <w:t>]</w:t>
              <w:tab/>
            </w:r>
            <w:r>
              <w:rPr>
                <w:rStyle w:val="IndexLink"/>
              </w:rPr>
              <w:t>114</w:t>
            </w:r>
          </w:hyperlink>
        </w:p>
        <w:p>
          <w:pPr>
            <w:pStyle w:val="Contents4"/>
            <w:tabs>
              <w:tab w:val="clear" w:pos="8176"/>
              <w:tab w:val="right" w:pos="9026" w:leader="dot"/>
            </w:tabs>
            <w:rPr/>
          </w:pPr>
          <w:hyperlink w:anchor="__RefHeading___Toc2565280_3650668749">
            <w:r>
              <w:rPr>
                <w:webHidden/>
                <w:rStyle w:val="IndexLink"/>
                <w:rtl w:val="true"/>
              </w:rPr>
              <w:t>[</w:t>
            </w:r>
            <w:r>
              <w:rPr>
                <w:rStyle w:val="IndexLink"/>
                <w:rtl w:val="true"/>
              </w:rPr>
              <w:t>فصل فی موجبات الوضوء و غایاته</w:t>
            </w:r>
            <w:r>
              <w:rPr>
                <w:rStyle w:val="IndexLink"/>
                <w:rtl w:val="true"/>
              </w:rPr>
              <w:t>]</w:t>
              <w:tab/>
            </w:r>
            <w:r>
              <w:rPr>
                <w:rStyle w:val="IndexLink"/>
              </w:rPr>
              <w:t>114</w:t>
            </w:r>
          </w:hyperlink>
        </w:p>
        <w:p>
          <w:pPr>
            <w:pStyle w:val="Contents5"/>
            <w:tabs>
              <w:tab w:val="clear" w:pos="7892"/>
              <w:tab w:val="right" w:pos="9026" w:leader="dot"/>
            </w:tabs>
            <w:rPr/>
          </w:pPr>
          <w:hyperlink w:anchor="__RefHeading___Toc2565282_3650668749">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256528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الأحداث الناقضة للوضوء و الموجبة له أُمور</w:t>
            </w:r>
            <w:r>
              <w:rPr>
                <w:rStyle w:val="IndexLink"/>
                <w:rtl w:val="true"/>
              </w:rPr>
              <w:t>]</w:t>
              <w:tab/>
            </w:r>
            <w:r>
              <w:rPr>
                <w:rStyle w:val="IndexLink"/>
              </w:rPr>
              <w:t>114</w:t>
            </w:r>
          </w:hyperlink>
        </w:p>
        <w:p>
          <w:pPr>
            <w:pStyle w:val="Contents5"/>
            <w:tabs>
              <w:tab w:val="clear" w:pos="7892"/>
              <w:tab w:val="right" w:pos="9026" w:leader="dot"/>
            </w:tabs>
            <w:rPr/>
          </w:pPr>
          <w:hyperlink w:anchor="__RefHeading___Toc256528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خرج ماء الاحتقان و لم یکن معه شی‌ء من الغائط لم ینتقض الوضوء</w:t>
            </w:r>
            <w:r>
              <w:rPr>
                <w:rStyle w:val="IndexLink"/>
                <w:rtl w:val="true"/>
              </w:rPr>
              <w:t>]</w:t>
              <w:tab/>
            </w:r>
            <w:r>
              <w:rPr>
                <w:rStyle w:val="IndexLink"/>
              </w:rPr>
              <w:t>114</w:t>
            </w:r>
          </w:hyperlink>
        </w:p>
        <w:p>
          <w:pPr>
            <w:pStyle w:val="Contents5"/>
            <w:tabs>
              <w:tab w:val="clear" w:pos="7892"/>
              <w:tab w:val="right" w:pos="9026" w:leader="dot"/>
            </w:tabs>
            <w:rPr/>
          </w:pPr>
          <w:hyperlink w:anchor="__RefHeading___Toc256528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المسلوس و المبطون إن کانت لهما فترة تسع الطهارة و الصلاة</w:t>
            </w:r>
            <w:r>
              <w:rPr>
                <w:rStyle w:val="IndexLink"/>
                <w:rtl w:val="true"/>
              </w:rPr>
              <w:t>]</w:t>
              <w:tab/>
            </w:r>
            <w:r>
              <w:rPr>
                <w:rStyle w:val="IndexLink"/>
              </w:rPr>
              <w:t>115</w:t>
            </w:r>
          </w:hyperlink>
        </w:p>
        <w:p>
          <w:pPr>
            <w:pStyle w:val="Contents5"/>
            <w:tabs>
              <w:tab w:val="clear" w:pos="7892"/>
              <w:tab w:val="right" w:pos="9026" w:leader="dot"/>
            </w:tabs>
            <w:rPr/>
          </w:pPr>
          <w:hyperlink w:anchor="__RefHeading___Toc256529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یجب علی المسلوس التحفّظ من تعدّی بوله بکیس فیه قطن و نحوه</w:t>
            </w:r>
            <w:r>
              <w:rPr>
                <w:rStyle w:val="IndexLink"/>
                <w:rtl w:val="true"/>
              </w:rPr>
              <w:t>]</w:t>
              <w:tab/>
            </w:r>
            <w:r>
              <w:rPr>
                <w:rStyle w:val="IndexLink"/>
              </w:rPr>
              <w:t>115</w:t>
            </w:r>
          </w:hyperlink>
        </w:p>
        <w:p>
          <w:pPr>
            <w:pStyle w:val="Contents5"/>
            <w:tabs>
              <w:tab w:val="clear" w:pos="7892"/>
              <w:tab w:val="right" w:pos="9026" w:leader="dot"/>
            </w:tabs>
            <w:rPr/>
          </w:pPr>
          <w:hyperlink w:anchor="__RefHeading___Toc256529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یجب علی المسلوس و المبطون قضاء ما مضی من الصلوات بعد برئهما</w:t>
            </w:r>
            <w:r>
              <w:rPr>
                <w:rStyle w:val="IndexLink"/>
                <w:rtl w:val="true"/>
              </w:rPr>
              <w:t>]</w:t>
              <w:tab/>
            </w:r>
            <w:r>
              <w:rPr>
                <w:rStyle w:val="IndexLink"/>
              </w:rPr>
              <w:t>115</w:t>
            </w:r>
          </w:hyperlink>
        </w:p>
        <w:p>
          <w:pPr>
            <w:pStyle w:val="Contents4"/>
            <w:tabs>
              <w:tab w:val="clear" w:pos="8176"/>
              <w:tab w:val="right" w:pos="9026" w:leader="dot"/>
            </w:tabs>
            <w:rPr/>
          </w:pPr>
          <w:hyperlink w:anchor="__RefHeading___Toc2565294_3650668749">
            <w:r>
              <w:rPr>
                <w:webHidden/>
                <w:rStyle w:val="IndexLink"/>
                <w:rtl w:val="true"/>
              </w:rPr>
              <w:t>[</w:t>
            </w:r>
            <w:r>
              <w:rPr>
                <w:rStyle w:val="IndexLink"/>
                <w:rtl w:val="true"/>
              </w:rPr>
              <w:t>فصل غایات الوضوء</w:t>
            </w:r>
            <w:r>
              <w:rPr>
                <w:rStyle w:val="IndexLink"/>
                <w:rtl w:val="true"/>
              </w:rPr>
              <w:t>]</w:t>
              <w:tab/>
            </w:r>
            <w:r>
              <w:rPr>
                <w:rStyle w:val="IndexLink"/>
              </w:rPr>
              <w:t>115</w:t>
            </w:r>
          </w:hyperlink>
        </w:p>
        <w:p>
          <w:pPr>
            <w:pStyle w:val="Contents5"/>
            <w:tabs>
              <w:tab w:val="clear" w:pos="7892"/>
              <w:tab w:val="right" w:pos="9026" w:leader="dot"/>
            </w:tabs>
            <w:rPr/>
          </w:pPr>
          <w:hyperlink w:anchor="__RefHeading___Toc2565296_3650668749">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2565298_3650668749">
            <w:r>
              <w:rPr>
                <w:webHidden/>
                <w:rStyle w:val="IndexLink"/>
                <w:rtl w:val="true"/>
              </w:rPr>
              <w:t>[</w:t>
            </w:r>
            <w:r>
              <w:rPr>
                <w:rStyle w:val="IndexLink"/>
                <w:rtl w:val="true"/>
              </w:rPr>
              <w:t>أمّا الأوّل</w:t>
            </w:r>
            <w:r>
              <w:rPr>
                <w:rStyle w:val="IndexLink"/>
                <w:rtl w:val="true"/>
              </w:rPr>
              <w:t xml:space="preserve">: </w:t>
            </w:r>
            <w:r>
              <w:rPr>
                <w:rStyle w:val="IndexLink"/>
                <w:rtl w:val="true"/>
              </w:rPr>
              <w:t>و هو ما کان الوضوء شرطاً لصحّته</w:t>
            </w:r>
            <w:r>
              <w:rPr>
                <w:rStyle w:val="IndexLink"/>
                <w:rtl w:val="true"/>
              </w:rPr>
              <w:t>]</w:t>
              <w:tab/>
            </w:r>
            <w:r>
              <w:rPr>
                <w:rStyle w:val="IndexLink"/>
              </w:rPr>
              <w:t>116</w:t>
            </w:r>
          </w:hyperlink>
        </w:p>
        <w:p>
          <w:pPr>
            <w:pStyle w:val="Contents5"/>
            <w:tabs>
              <w:tab w:val="clear" w:pos="7892"/>
              <w:tab w:val="right" w:pos="9026" w:leader="dot"/>
            </w:tabs>
            <w:rPr/>
          </w:pPr>
          <w:hyperlink w:anchor="__RefHeading___Toc2565300_3650668749">
            <w:r>
              <w:rPr>
                <w:webHidden/>
                <w:rStyle w:val="IndexLink"/>
                <w:rtl w:val="true"/>
              </w:rPr>
              <w:t>[</w:t>
            </w:r>
            <w:r>
              <w:rPr>
                <w:rStyle w:val="IndexLink"/>
                <w:rtl w:val="true"/>
              </w:rPr>
              <w:t>و أمّا الثانی</w:t>
            </w:r>
            <w:r>
              <w:rPr>
                <w:rStyle w:val="IndexLink"/>
                <w:rtl w:val="true"/>
              </w:rPr>
              <w:t xml:space="preserve">: </w:t>
            </w:r>
            <w:r>
              <w:rPr>
                <w:rStyle w:val="IndexLink"/>
                <w:rtl w:val="true"/>
              </w:rPr>
              <w:t>فهو شرط لجواز مسّ کتابة القرآن</w:t>
            </w:r>
            <w:r>
              <w:rPr>
                <w:rStyle w:val="IndexLink"/>
                <w:rtl w:val="true"/>
              </w:rPr>
              <w:t>]</w:t>
              <w:tab/>
            </w:r>
            <w:r>
              <w:rPr>
                <w:rStyle w:val="IndexLink"/>
              </w:rPr>
              <w:t>116</w:t>
            </w:r>
          </w:hyperlink>
        </w:p>
        <w:p>
          <w:pPr>
            <w:pStyle w:val="Contents6"/>
            <w:tabs>
              <w:tab w:val="clear" w:pos="7609"/>
              <w:tab w:val="right" w:pos="9026" w:leader="dot"/>
            </w:tabs>
            <w:rPr/>
          </w:pPr>
          <w:hyperlink w:anchor="__RefHeading___Toc2565302_3650668749">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256530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فرق فی حرمة المسّ بین أجزاء البدن ظاهراً و باطناً</w:t>
            </w:r>
            <w:r>
              <w:rPr>
                <w:rStyle w:val="IndexLink"/>
                <w:rtl w:val="true"/>
              </w:rPr>
              <w:t>]</w:t>
              <w:tab/>
            </w:r>
            <w:r>
              <w:rPr>
                <w:rStyle w:val="IndexLink"/>
              </w:rPr>
              <w:t>116</w:t>
            </w:r>
          </w:hyperlink>
        </w:p>
        <w:p>
          <w:pPr>
            <w:pStyle w:val="Contents5"/>
            <w:tabs>
              <w:tab w:val="clear" w:pos="7892"/>
              <w:tab w:val="right" w:pos="9026" w:leader="dot"/>
            </w:tabs>
            <w:rPr/>
          </w:pPr>
          <w:hyperlink w:anchor="__RefHeading___Toc2565306_3650668749">
            <w:r>
              <w:rPr>
                <w:webHidden/>
                <w:rStyle w:val="IndexLink"/>
                <w:rtl w:val="true"/>
              </w:rPr>
              <w:t>[</w:t>
            </w:r>
            <w:r>
              <w:rPr>
                <w:rStyle w:val="IndexLink"/>
                <w:rtl w:val="true"/>
              </w:rPr>
              <w:t>و أمّا الثالث</w:t>
            </w:r>
            <w:r>
              <w:rPr>
                <w:rStyle w:val="IndexLink"/>
                <w:rtl w:val="true"/>
              </w:rPr>
              <w:t xml:space="preserve">: </w:t>
            </w:r>
            <w:r>
              <w:rPr>
                <w:rStyle w:val="IndexLink"/>
                <w:rtl w:val="true"/>
              </w:rPr>
              <w:t>فهو أقسام کثیرة</w:t>
            </w:r>
            <w:r>
              <w:rPr>
                <w:rStyle w:val="IndexLink"/>
                <w:rtl w:val="true"/>
              </w:rPr>
              <w:t>]</w:t>
              <w:tab/>
            </w:r>
            <w:r>
              <w:rPr>
                <w:rStyle w:val="IndexLink"/>
              </w:rPr>
              <w:t>116</w:t>
            </w:r>
          </w:hyperlink>
        </w:p>
        <w:p>
          <w:pPr>
            <w:pStyle w:val="Contents6"/>
            <w:tabs>
              <w:tab w:val="clear" w:pos="7609"/>
              <w:tab w:val="right" w:pos="9026" w:leader="dot"/>
            </w:tabs>
            <w:rPr/>
          </w:pPr>
          <w:hyperlink w:anchor="__RefHeading___Toc2565308_3650668749">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256531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یستحبّ للتوضّی أن یجدّد وضوءه</w:t>
            </w:r>
            <w:r>
              <w:rPr>
                <w:rStyle w:val="IndexLink"/>
                <w:rtl w:val="true"/>
              </w:rPr>
              <w:t>]</w:t>
              <w:tab/>
            </w:r>
            <w:r>
              <w:rPr>
                <w:rStyle w:val="IndexLink"/>
              </w:rPr>
              <w:t>116</w:t>
            </w:r>
          </w:hyperlink>
        </w:p>
        <w:p>
          <w:pPr>
            <w:pStyle w:val="Contents4"/>
            <w:tabs>
              <w:tab w:val="clear" w:pos="8176"/>
              <w:tab w:val="right" w:pos="9026" w:leader="dot"/>
            </w:tabs>
            <w:rPr/>
          </w:pPr>
          <w:hyperlink w:anchor="__RefHeading___Toc2565312_3650668749">
            <w:r>
              <w:rPr>
                <w:webHidden/>
                <w:rStyle w:val="IndexLink"/>
                <w:rtl w:val="true"/>
              </w:rPr>
              <w:t>[</w:t>
            </w:r>
            <w:r>
              <w:rPr>
                <w:rStyle w:val="IndexLink"/>
                <w:rtl w:val="true"/>
              </w:rPr>
              <w:t>القول فی أحکام الخلل</w:t>
            </w:r>
            <w:r>
              <w:rPr>
                <w:rStyle w:val="IndexLink"/>
                <w:rtl w:val="true"/>
              </w:rPr>
              <w:t>]</w:t>
              <w:tab/>
            </w:r>
            <w:r>
              <w:rPr>
                <w:rStyle w:val="IndexLink"/>
              </w:rPr>
              <w:t>116</w:t>
            </w:r>
          </w:hyperlink>
        </w:p>
        <w:p>
          <w:pPr>
            <w:pStyle w:val="Contents5"/>
            <w:tabs>
              <w:tab w:val="clear" w:pos="7892"/>
              <w:tab w:val="right" w:pos="9026" w:leader="dot"/>
            </w:tabs>
            <w:rPr/>
          </w:pPr>
          <w:hyperlink w:anchor="__RefHeading___Toc2565314_3650668749">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256531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لو تیقّن الحدث و شکّ فی الطهارة أو ظنّ بها تطهّر</w:t>
            </w:r>
            <w:r>
              <w:rPr>
                <w:rStyle w:val="IndexLink"/>
                <w:rtl w:val="true"/>
              </w:rPr>
              <w:t>]</w:t>
              <w:tab/>
            </w:r>
            <w:r>
              <w:rPr>
                <w:rStyle w:val="IndexLink"/>
              </w:rPr>
              <w:t>116</w:t>
            </w:r>
          </w:hyperlink>
        </w:p>
        <w:p>
          <w:pPr>
            <w:pStyle w:val="Contents5"/>
            <w:tabs>
              <w:tab w:val="clear" w:pos="7892"/>
              <w:tab w:val="right" w:pos="9026" w:leader="dot"/>
            </w:tabs>
            <w:rPr/>
          </w:pPr>
          <w:hyperlink w:anchor="__RefHeading___Toc256531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کان متوضّئاً و توضّأ للتجدید و صلّیٰ ثمّ تیقّن بطلان أحد الوضوءین</w:t>
            </w:r>
            <w:r>
              <w:rPr>
                <w:rStyle w:val="IndexLink"/>
                <w:rtl w:val="true"/>
              </w:rPr>
              <w:t>]</w:t>
              <w:tab/>
            </w:r>
            <w:r>
              <w:rPr>
                <w:rStyle w:val="IndexLink"/>
              </w:rPr>
              <w:t>117</w:t>
            </w:r>
          </w:hyperlink>
        </w:p>
        <w:p>
          <w:pPr>
            <w:pStyle w:val="Contents5"/>
            <w:tabs>
              <w:tab w:val="clear" w:pos="7892"/>
              <w:tab w:val="right" w:pos="9026" w:leader="dot"/>
            </w:tabs>
            <w:rPr/>
          </w:pPr>
          <w:hyperlink w:anchor="__RefHeading___Toc256532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توضّأ وضوءین و صلّیٰ صلاة واحدة</w:t>
            </w:r>
            <w:r>
              <w:rPr>
                <w:rStyle w:val="IndexLink"/>
                <w:rtl w:val="true"/>
              </w:rPr>
              <w:t>]</w:t>
              <w:tab/>
            </w:r>
            <w:r>
              <w:rPr>
                <w:rStyle w:val="IndexLink"/>
              </w:rPr>
              <w:t>117</w:t>
            </w:r>
          </w:hyperlink>
        </w:p>
        <w:p>
          <w:pPr>
            <w:pStyle w:val="Contents4"/>
            <w:tabs>
              <w:tab w:val="clear" w:pos="8176"/>
              <w:tab w:val="right" w:pos="9026" w:leader="dot"/>
            </w:tabs>
            <w:rPr/>
          </w:pPr>
          <w:hyperlink w:anchor="__RefHeading___Toc2565322_3650668749">
            <w:r>
              <w:rPr>
                <w:webHidden/>
                <w:rStyle w:val="IndexLink"/>
                <w:rtl w:val="true"/>
              </w:rPr>
              <w:t>[</w:t>
            </w:r>
            <w:r>
              <w:rPr>
                <w:rStyle w:val="IndexLink"/>
                <w:rtl w:val="true"/>
              </w:rPr>
              <w:t>فصل فی وضوء الجبیرة</w:t>
            </w:r>
            <w:r>
              <w:rPr>
                <w:rStyle w:val="IndexLink"/>
                <w:rtl w:val="true"/>
              </w:rPr>
              <w:t>]</w:t>
              <w:tab/>
            </w:r>
            <w:r>
              <w:rPr>
                <w:rStyle w:val="IndexLink"/>
              </w:rPr>
              <w:t>118</w:t>
            </w:r>
          </w:hyperlink>
        </w:p>
        <w:p>
          <w:pPr>
            <w:pStyle w:val="Contents5"/>
            <w:tabs>
              <w:tab w:val="clear" w:pos="7892"/>
              <w:tab w:val="right" w:pos="9026" w:leader="dot"/>
            </w:tabs>
            <w:rPr/>
          </w:pPr>
          <w:hyperlink w:anchor="__RefHeading___Toc2565324_3650668749">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256532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من کان علیٰ بعض أعضائه جبیرة فإن أمکن نزعها نَزَعها</w:t>
            </w:r>
            <w:r>
              <w:rPr>
                <w:rStyle w:val="IndexLink"/>
                <w:rtl w:val="true"/>
              </w:rPr>
              <w:t>]</w:t>
              <w:tab/>
            </w:r>
            <w:r>
              <w:rPr>
                <w:rStyle w:val="IndexLink"/>
              </w:rPr>
              <w:t>118</w:t>
            </w:r>
          </w:hyperlink>
        </w:p>
        <w:p>
          <w:pPr>
            <w:pStyle w:val="Contents5"/>
            <w:tabs>
              <w:tab w:val="clear" w:pos="7892"/>
              <w:tab w:val="right" w:pos="9026" w:leader="dot"/>
            </w:tabs>
            <w:rPr/>
          </w:pPr>
          <w:hyperlink w:anchor="__RefHeading___Toc256532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یجب استیعاب المسح فی أعضاء الغسل</w:t>
            </w:r>
            <w:r>
              <w:rPr>
                <w:rStyle w:val="IndexLink"/>
                <w:rtl w:val="true"/>
              </w:rPr>
              <w:t>]</w:t>
              <w:tab/>
            </w:r>
            <w:r>
              <w:rPr>
                <w:rStyle w:val="IndexLink"/>
              </w:rPr>
              <w:t>118</w:t>
            </w:r>
          </w:hyperlink>
        </w:p>
        <w:p>
          <w:pPr>
            <w:pStyle w:val="Contents5"/>
            <w:tabs>
              <w:tab w:val="clear" w:pos="7892"/>
              <w:tab w:val="right" w:pos="9026" w:leader="dot"/>
            </w:tabs>
            <w:rPr/>
          </w:pPr>
          <w:hyperlink w:anchor="__RefHeading___Toc256533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کانت الجبیرة مستوعبة لعضو واحد</w:t>
            </w:r>
            <w:r>
              <w:rPr>
                <w:rStyle w:val="IndexLink"/>
                <w:rtl w:val="true"/>
              </w:rPr>
              <w:t>]</w:t>
              <w:tab/>
            </w:r>
            <w:r>
              <w:rPr>
                <w:rStyle w:val="IndexLink"/>
              </w:rPr>
              <w:t>118</w:t>
            </w:r>
          </w:hyperlink>
        </w:p>
        <w:p>
          <w:pPr>
            <w:pStyle w:val="Contents5"/>
            <w:tabs>
              <w:tab w:val="clear" w:pos="7892"/>
              <w:tab w:val="right" w:pos="9026" w:leader="dot"/>
            </w:tabs>
            <w:rPr/>
          </w:pPr>
          <w:hyperlink w:anchor="__RefHeading___Toc256533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وقعت الجبیرة علیٰ بعض الأطراف الصحیحة</w:t>
            </w:r>
            <w:r>
              <w:rPr>
                <w:rStyle w:val="IndexLink"/>
                <w:rtl w:val="true"/>
              </w:rPr>
              <w:t>]</w:t>
              <w:tab/>
            </w:r>
            <w:r>
              <w:rPr>
                <w:rStyle w:val="IndexLink"/>
              </w:rPr>
              <w:t>118</w:t>
            </w:r>
          </w:hyperlink>
        </w:p>
        <w:p>
          <w:pPr>
            <w:pStyle w:val="Contents5"/>
            <w:tabs>
              <w:tab w:val="clear" w:pos="7892"/>
              <w:tab w:val="right" w:pos="9026" w:leader="dot"/>
            </w:tabs>
            <w:rPr/>
          </w:pPr>
          <w:hyperlink w:anchor="__RefHeading___Toc256533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لم یمکن المسح علی الجبیرة من جهة النجاسة وضع خرقة فوقها</w:t>
            </w:r>
            <w:r>
              <w:rPr>
                <w:rStyle w:val="IndexLink"/>
                <w:rtl w:val="true"/>
              </w:rPr>
              <w:t>]</w:t>
              <w:tab/>
            </w:r>
            <w:r>
              <w:rPr>
                <w:rStyle w:val="IndexLink"/>
              </w:rPr>
              <w:t>118</w:t>
            </w:r>
          </w:hyperlink>
        </w:p>
        <w:p>
          <w:pPr>
            <w:pStyle w:val="Contents5"/>
            <w:tabs>
              <w:tab w:val="clear" w:pos="7892"/>
              <w:tab w:val="right" w:pos="9026" w:leader="dot"/>
            </w:tabs>
            <w:rPr/>
          </w:pPr>
          <w:hyperlink w:anchor="__RefHeading___Toc2565336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الأقویٰ أنّ الجرح المکشوف الذی لا یمکن غسله یجوز الاکتفاء بغسل ما حوله</w:t>
            </w:r>
            <w:r>
              <w:rPr>
                <w:rStyle w:val="IndexLink"/>
                <w:rtl w:val="true"/>
              </w:rPr>
              <w:t>]</w:t>
              <w:tab/>
            </w:r>
            <w:r>
              <w:rPr>
                <w:rStyle w:val="IndexLink"/>
              </w:rPr>
              <w:t>119</w:t>
            </w:r>
          </w:hyperlink>
        </w:p>
        <w:p>
          <w:pPr>
            <w:pStyle w:val="Contents5"/>
            <w:tabs>
              <w:tab w:val="clear" w:pos="7892"/>
              <w:tab w:val="right" w:pos="9026" w:leader="dot"/>
            </w:tabs>
            <w:rPr/>
          </w:pPr>
          <w:hyperlink w:anchor="__RefHeading___Toc2565338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أضرّ الماء بالعضو من دون أن یکون جرح أو قرح أو کسر یتعیّن التیمّم</w:t>
            </w:r>
            <w:r>
              <w:rPr>
                <w:rStyle w:val="IndexLink"/>
                <w:rtl w:val="true"/>
              </w:rPr>
              <w:t>]</w:t>
              <w:tab/>
            </w:r>
            <w:r>
              <w:rPr>
                <w:rStyle w:val="IndexLink"/>
              </w:rPr>
              <w:t>119</w:t>
            </w:r>
          </w:hyperlink>
        </w:p>
        <w:p>
          <w:pPr>
            <w:pStyle w:val="Contents5"/>
            <w:tabs>
              <w:tab w:val="clear" w:pos="7892"/>
              <w:tab w:val="right" w:pos="9026" w:leader="dot"/>
            </w:tabs>
            <w:rPr/>
          </w:pPr>
          <w:hyperlink w:anchor="__RefHeading___Toc2565340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فی الرمد الذی یضرّه الوضوء یتعیّن التیمّم</w:t>
            </w:r>
            <w:r>
              <w:rPr>
                <w:rStyle w:val="IndexLink"/>
                <w:rtl w:val="true"/>
              </w:rPr>
              <w:t>]</w:t>
              <w:tab/>
            </w:r>
            <w:r>
              <w:rPr>
                <w:rStyle w:val="IndexLink"/>
              </w:rPr>
              <w:t>119</w:t>
            </w:r>
          </w:hyperlink>
        </w:p>
        <w:p>
          <w:pPr>
            <w:pStyle w:val="Contents5"/>
            <w:tabs>
              <w:tab w:val="clear" w:pos="7892"/>
              <w:tab w:val="right" w:pos="9026" w:leader="dot"/>
            </w:tabs>
            <w:rPr/>
          </w:pPr>
          <w:hyperlink w:anchor="__RefHeading___Toc2565342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إذا کان مانع علی البشرة لا یمکن إزالته</w:t>
            </w:r>
            <w:r>
              <w:rPr>
                <w:rStyle w:val="IndexLink"/>
                <w:rtl w:val="true"/>
              </w:rPr>
              <w:t>]</w:t>
              <w:tab/>
            </w:r>
            <w:r>
              <w:rPr>
                <w:rStyle w:val="IndexLink"/>
              </w:rPr>
              <w:t>119</w:t>
            </w:r>
          </w:hyperlink>
        </w:p>
        <w:p>
          <w:pPr>
            <w:pStyle w:val="Contents5"/>
            <w:tabs>
              <w:tab w:val="clear" w:pos="7892"/>
              <w:tab w:val="right" w:pos="9026" w:leader="dot"/>
            </w:tabs>
            <w:rPr/>
          </w:pPr>
          <w:hyperlink w:anchor="__RefHeading___Toc2565344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الوضوء الجبیریّ رافع للحدث لا مبیح فقط</w:t>
            </w:r>
            <w:r>
              <w:rPr>
                <w:rStyle w:val="IndexLink"/>
                <w:rtl w:val="true"/>
              </w:rPr>
              <w:t>]</w:t>
              <w:tab/>
            </w:r>
            <w:r>
              <w:rPr>
                <w:rStyle w:val="IndexLink"/>
              </w:rPr>
              <w:t>119</w:t>
            </w:r>
          </w:hyperlink>
        </w:p>
        <w:p>
          <w:pPr>
            <w:pStyle w:val="Contents5"/>
            <w:tabs>
              <w:tab w:val="clear" w:pos="7892"/>
              <w:tab w:val="right" w:pos="9026" w:leader="dot"/>
            </w:tabs>
            <w:rPr/>
          </w:pPr>
          <w:hyperlink w:anchor="__RefHeading___Toc2565346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من کان علیٰ بعض أعضائه جبیرة و حصل موجب الغسل مسح علی الجبیرة</w:t>
            </w:r>
            <w:r>
              <w:rPr>
                <w:rStyle w:val="IndexLink"/>
                <w:rtl w:val="true"/>
              </w:rPr>
              <w:t>]</w:t>
              <w:tab/>
            </w:r>
            <w:r>
              <w:rPr>
                <w:rStyle w:val="IndexLink"/>
              </w:rPr>
              <w:t>119</w:t>
            </w:r>
          </w:hyperlink>
        </w:p>
        <w:p>
          <w:pPr>
            <w:pStyle w:val="Contents5"/>
            <w:tabs>
              <w:tab w:val="clear" w:pos="7892"/>
              <w:tab w:val="right" w:pos="9026" w:leader="dot"/>
            </w:tabs>
            <w:rPr/>
          </w:pPr>
          <w:hyperlink w:anchor="__RefHeading___Toc2565348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من کان تکلیفه التیمّم و کان علیٰ أعضائه جبیرة لا یمکن رفعها مسح علیها</w:t>
            </w:r>
            <w:r>
              <w:rPr>
                <w:rStyle w:val="IndexLink"/>
                <w:rtl w:val="true"/>
              </w:rPr>
              <w:t>]</w:t>
              <w:tab/>
            </w:r>
            <w:r>
              <w:rPr>
                <w:rStyle w:val="IndexLink"/>
              </w:rPr>
              <w:t>119</w:t>
            </w:r>
          </w:hyperlink>
        </w:p>
        <w:p>
          <w:pPr>
            <w:pStyle w:val="Contents5"/>
            <w:tabs>
              <w:tab w:val="clear" w:pos="7892"/>
              <w:tab w:val="right" w:pos="9026" w:leader="dot"/>
            </w:tabs>
            <w:rPr/>
          </w:pPr>
          <w:hyperlink w:anchor="__RefHeading___Toc2565350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إذا ارتفع عذر صاحب الجبیرة لا یجب إعادة الصلاة التی صلّاها</w:t>
            </w:r>
            <w:r>
              <w:rPr>
                <w:rStyle w:val="IndexLink"/>
                <w:rtl w:val="true"/>
              </w:rPr>
              <w:t>]</w:t>
              <w:tab/>
            </w:r>
            <w:r>
              <w:rPr>
                <w:rStyle w:val="IndexLink"/>
              </w:rPr>
              <w:t>119</w:t>
            </w:r>
          </w:hyperlink>
        </w:p>
        <w:p>
          <w:pPr>
            <w:pStyle w:val="Contents5"/>
            <w:tabs>
              <w:tab w:val="clear" w:pos="7892"/>
              <w:tab w:val="right" w:pos="9026" w:leader="dot"/>
            </w:tabs>
            <w:rPr/>
          </w:pPr>
          <w:hyperlink w:anchor="__RefHeading___Toc2565352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یجوز أن یصلّی صاحب الجبیرة أوّل الوقت مع الیأس عن زوال العذر إلیٰ آخره</w:t>
            </w:r>
            <w:r>
              <w:rPr>
                <w:rStyle w:val="IndexLink"/>
                <w:rtl w:val="true"/>
              </w:rPr>
              <w:t>]</w:t>
              <w:tab/>
            </w:r>
            <w:r>
              <w:rPr>
                <w:rStyle w:val="IndexLink"/>
              </w:rPr>
              <w:t>119</w:t>
            </w:r>
          </w:hyperlink>
        </w:p>
        <w:p>
          <w:pPr>
            <w:pStyle w:val="Contents3"/>
            <w:tabs>
              <w:tab w:val="clear" w:pos="8459"/>
              <w:tab w:val="right" w:pos="9026" w:leader="dot"/>
            </w:tabs>
            <w:rPr/>
          </w:pPr>
          <w:hyperlink w:anchor="__RefHeading___Toc2565354_3650668749">
            <w:r>
              <w:rPr>
                <w:webHidden/>
                <w:rStyle w:val="IndexLink"/>
                <w:rtl w:val="true"/>
              </w:rPr>
              <w:t>[</w:t>
            </w:r>
            <w:r>
              <w:rPr>
                <w:rStyle w:val="IndexLink"/>
                <w:rtl w:val="true"/>
              </w:rPr>
              <w:t>فصل فی الأغسال</w:t>
            </w:r>
            <w:r>
              <w:rPr>
                <w:rStyle w:val="IndexLink"/>
                <w:rtl w:val="true"/>
              </w:rPr>
              <w:t>]</w:t>
              <w:tab/>
            </w:r>
            <w:r>
              <w:rPr>
                <w:rStyle w:val="IndexLink"/>
              </w:rPr>
              <w:t>120</w:t>
            </w:r>
          </w:hyperlink>
        </w:p>
        <w:p>
          <w:pPr>
            <w:pStyle w:val="Contents4"/>
            <w:tabs>
              <w:tab w:val="clear" w:pos="8176"/>
              <w:tab w:val="right" w:pos="9026" w:leader="dot"/>
            </w:tabs>
            <w:rPr/>
          </w:pPr>
          <w:hyperlink w:anchor="__RefHeading___Toc2565356_3650668749">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2565358_3650668749">
            <w:r>
              <w:rPr>
                <w:webHidden/>
                <w:rStyle w:val="IndexLink"/>
                <w:rtl w:val="true"/>
              </w:rPr>
              <w:t>[</w:t>
            </w:r>
            <w:r>
              <w:rPr>
                <w:rStyle w:val="IndexLink"/>
                <w:rtl w:val="true"/>
              </w:rPr>
              <w:t>و الواجب منها ستّة</w:t>
            </w:r>
            <w:r>
              <w:rPr>
                <w:rStyle w:val="IndexLink"/>
                <w:rtl w:val="true"/>
              </w:rPr>
              <w:t>]</w:t>
              <w:tab/>
            </w:r>
            <w:r>
              <w:rPr>
                <w:rStyle w:val="IndexLink"/>
              </w:rPr>
              <w:t>120</w:t>
            </w:r>
          </w:hyperlink>
        </w:p>
        <w:p>
          <w:pPr>
            <w:pStyle w:val="Contents5"/>
            <w:tabs>
              <w:tab w:val="clear" w:pos="7892"/>
              <w:tab w:val="right" w:pos="9026" w:leader="dot"/>
            </w:tabs>
            <w:rPr/>
          </w:pPr>
          <w:hyperlink w:anchor="__RefHeading___Toc2565360_3650668749">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2565362_3650668749">
            <w:r>
              <w:rPr>
                <w:webHidden/>
                <w:rStyle w:val="IndexLink"/>
                <w:rtl w:val="true"/>
              </w:rPr>
              <w:t>[</w:t>
            </w:r>
            <w:r>
              <w:rPr>
                <w:rStyle w:val="IndexLink"/>
                <w:rtl w:val="true"/>
              </w:rPr>
              <w:t>فصل فی غسل الجنابة</w:t>
            </w:r>
            <w:r>
              <w:rPr>
                <w:rStyle w:val="IndexLink"/>
                <w:rtl w:val="true"/>
              </w:rPr>
              <w:t>]</w:t>
              <w:tab/>
            </w:r>
            <w:r>
              <w:rPr>
                <w:rStyle w:val="IndexLink"/>
              </w:rPr>
              <w:t>120</w:t>
            </w:r>
          </w:hyperlink>
        </w:p>
        <w:p>
          <w:pPr>
            <w:pStyle w:val="Contents6"/>
            <w:tabs>
              <w:tab w:val="clear" w:pos="7609"/>
              <w:tab w:val="right" w:pos="9026" w:leader="dot"/>
            </w:tabs>
            <w:rPr/>
          </w:pPr>
          <w:hyperlink w:anchor="__RefHeading___Toc2565364_3650668749">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2565366_3650668749">
            <w:r>
              <w:rPr>
                <w:webHidden/>
                <w:rStyle w:val="IndexLink"/>
                <w:rtl w:val="true"/>
              </w:rPr>
              <w:t>[</w:t>
            </w:r>
            <w:r>
              <w:rPr>
                <w:rStyle w:val="IndexLink"/>
                <w:rtl w:val="true"/>
              </w:rPr>
              <w:t>فصل فی غسل الجنابة</w:t>
            </w:r>
            <w:r>
              <w:rPr>
                <w:rStyle w:val="IndexLink"/>
                <w:rtl w:val="true"/>
              </w:rPr>
              <w:t>]</w:t>
              <w:tab/>
            </w:r>
            <w:r>
              <w:rPr>
                <w:rStyle w:val="IndexLink"/>
              </w:rPr>
              <w:t>120</w:t>
            </w:r>
          </w:hyperlink>
        </w:p>
        <w:p>
          <w:pPr>
            <w:pStyle w:val="Contents6"/>
            <w:tabs>
              <w:tab w:val="clear" w:pos="7609"/>
              <w:tab w:val="right" w:pos="9026" w:leader="dot"/>
            </w:tabs>
            <w:rPr/>
          </w:pPr>
          <w:hyperlink w:anchor="__RefHeading___Toc2565368_3650668749">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256537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سبب الجنابة أمران</w:t>
            </w:r>
            <w:r>
              <w:rPr>
                <w:rStyle w:val="IndexLink"/>
                <w:rtl w:val="true"/>
              </w:rPr>
              <w:t>]</w:t>
              <w:tab/>
            </w:r>
            <w:r>
              <w:rPr>
                <w:rStyle w:val="IndexLink"/>
              </w:rPr>
              <w:t>120</w:t>
            </w:r>
          </w:hyperlink>
        </w:p>
        <w:p>
          <w:pPr>
            <w:pStyle w:val="Contents6"/>
            <w:tabs>
              <w:tab w:val="clear" w:pos="7609"/>
              <w:tab w:val="right" w:pos="9026" w:leader="dot"/>
            </w:tabs>
            <w:rPr/>
          </w:pPr>
          <w:hyperlink w:anchor="__RefHeading___Toc2565372_3650668749">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2565374_3650668749">
            <w:r>
              <w:rPr>
                <w:webHidden/>
                <w:rStyle w:val="IndexLink"/>
                <w:rtl w:val="true"/>
              </w:rPr>
              <w:t>[</w:t>
            </w:r>
            <w:r>
              <w:rPr>
                <w:rStyle w:val="IndexLink"/>
                <w:rtl w:val="true"/>
              </w:rPr>
              <w:t>أحدهما</w:t>
            </w:r>
            <w:r>
              <w:rPr>
                <w:rStyle w:val="IndexLink"/>
                <w:rtl w:val="true"/>
              </w:rPr>
              <w:t xml:space="preserve">: </w:t>
            </w:r>
            <w:r>
              <w:rPr>
                <w:rStyle w:val="IndexLink"/>
                <w:rtl w:val="true"/>
              </w:rPr>
              <w:t>خروج المنیّ و ما فی حکمه</w:t>
            </w:r>
            <w:r>
              <w:rPr>
                <w:rStyle w:val="IndexLink"/>
                <w:rtl w:val="true"/>
              </w:rPr>
              <w:t>]</w:t>
              <w:tab/>
            </w:r>
            <w:r>
              <w:rPr>
                <w:rStyle w:val="IndexLink"/>
              </w:rPr>
              <w:t>120</w:t>
            </w:r>
          </w:hyperlink>
        </w:p>
        <w:p>
          <w:pPr>
            <w:pStyle w:val="Contents6"/>
            <w:tabs>
              <w:tab w:val="clear" w:pos="7609"/>
              <w:tab w:val="right" w:pos="9026" w:leader="dot"/>
            </w:tabs>
            <w:rPr/>
          </w:pPr>
          <w:hyperlink w:anchor="__RefHeading___Toc2565376_3650668749">
            <w:r>
              <w:rPr>
                <w:webHidden/>
                <w:rStyle w:val="IndexLink"/>
                <w:rtl w:val="true"/>
              </w:rPr>
              <w:t>[</w:t>
            </w:r>
            <w:r>
              <w:rPr>
                <w:rStyle w:val="IndexLink"/>
                <w:rtl w:val="true"/>
              </w:rPr>
              <w:t>ثانیهما</w:t>
            </w:r>
            <w:r>
              <w:rPr>
                <w:rStyle w:val="IndexLink"/>
                <w:rtl w:val="true"/>
              </w:rPr>
              <w:t xml:space="preserve">: </w:t>
            </w:r>
            <w:r>
              <w:rPr>
                <w:rStyle w:val="IndexLink"/>
                <w:rtl w:val="true"/>
              </w:rPr>
              <w:t>الجماع و إن لم ینزل</w:t>
            </w:r>
            <w:r>
              <w:rPr>
                <w:rStyle w:val="IndexLink"/>
                <w:rtl w:val="true"/>
              </w:rPr>
              <w:t>]</w:t>
              <w:tab/>
            </w:r>
            <w:r>
              <w:rPr>
                <w:rStyle w:val="IndexLink"/>
              </w:rPr>
              <w:t>120</w:t>
            </w:r>
          </w:hyperlink>
        </w:p>
        <w:p>
          <w:pPr>
            <w:pStyle w:val="Contents6"/>
            <w:tabs>
              <w:tab w:val="clear" w:pos="7609"/>
              <w:tab w:val="right" w:pos="9026" w:leader="dot"/>
            </w:tabs>
            <w:rPr/>
          </w:pPr>
          <w:hyperlink w:anchor="__RefHeading___Toc256537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رأی فی ثوبه منیّاً و علم أنّه منه و لم یغتسل بعده</w:t>
            </w:r>
            <w:r>
              <w:rPr>
                <w:rStyle w:val="IndexLink"/>
                <w:rtl w:val="true"/>
              </w:rPr>
              <w:t>]</w:t>
              <w:tab/>
            </w:r>
            <w:r>
              <w:rPr>
                <w:rStyle w:val="IndexLink"/>
              </w:rPr>
              <w:t>121</w:t>
            </w:r>
          </w:hyperlink>
        </w:p>
        <w:p>
          <w:pPr>
            <w:pStyle w:val="Contents6"/>
            <w:tabs>
              <w:tab w:val="clear" w:pos="7609"/>
              <w:tab w:val="right" w:pos="9026" w:leader="dot"/>
            </w:tabs>
            <w:rPr/>
          </w:pPr>
          <w:hyperlink w:anchor="__RefHeading___Toc256538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تحرّک المنیّ عن محلّه فی الیقظة أو فی النوم بالاحتلام</w:t>
            </w:r>
            <w:r>
              <w:rPr>
                <w:rStyle w:val="IndexLink"/>
                <w:rtl w:val="true"/>
              </w:rPr>
              <w:t>]</w:t>
              <w:tab/>
            </w:r>
            <w:r>
              <w:rPr>
                <w:rStyle w:val="IndexLink"/>
              </w:rPr>
              <w:t>121</w:t>
            </w:r>
          </w:hyperlink>
        </w:p>
        <w:p>
          <w:pPr>
            <w:pStyle w:val="Contents6"/>
            <w:tabs>
              <w:tab w:val="clear" w:pos="7609"/>
              <w:tab w:val="right" w:pos="9026" w:leader="dot"/>
            </w:tabs>
            <w:rPr/>
          </w:pPr>
          <w:hyperlink w:anchor="__RefHeading___Toc2565382_3650668749">
            <w:r>
              <w:rPr>
                <w:webHidden/>
                <w:rStyle w:val="IndexLink"/>
                <w:rtl w:val="true"/>
              </w:rPr>
              <w:t>[</w:t>
            </w:r>
            <w:r>
              <w:rPr>
                <w:rStyle w:val="IndexLink"/>
                <w:rtl w:val="true"/>
              </w:rPr>
              <w:t>القول فی أحکام الجنب</w:t>
            </w:r>
            <w:r>
              <w:rPr>
                <w:rStyle w:val="IndexLink"/>
                <w:rtl w:val="true"/>
              </w:rPr>
              <w:t>]</w:t>
              <w:tab/>
            </w:r>
            <w:r>
              <w:rPr>
                <w:rStyle w:val="IndexLink"/>
              </w:rPr>
              <w:t>121</w:t>
            </w:r>
          </w:hyperlink>
        </w:p>
        <w:p>
          <w:pPr>
            <w:pStyle w:val="Contents6"/>
            <w:tabs>
              <w:tab w:val="clear" w:pos="7609"/>
              <w:tab w:val="right" w:pos="9026" w:leader="dot"/>
            </w:tabs>
            <w:rPr/>
          </w:pPr>
          <w:hyperlink w:anchor="__RefHeading___Toc2565384_3650668749">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2565386_3650668749">
            <w:r>
              <w:rPr>
                <w:webHidden/>
                <w:rStyle w:val="IndexLink"/>
                <w:rtl w:val="true"/>
              </w:rPr>
              <w:t>[</w:t>
            </w:r>
            <w:r>
              <w:rPr>
                <w:rStyle w:val="IndexLink"/>
                <w:rtl w:val="true"/>
              </w:rPr>
              <w:t>فصل یحرم علی الجنب أُمور</w:t>
            </w:r>
            <w:r>
              <w:rPr>
                <w:rStyle w:val="IndexLink"/>
                <w:rtl w:val="true"/>
              </w:rPr>
              <w:t>]</w:t>
              <w:tab/>
            </w:r>
            <w:r>
              <w:rPr>
                <w:rStyle w:val="IndexLink"/>
              </w:rPr>
              <w:t>122</w:t>
            </w:r>
          </w:hyperlink>
        </w:p>
        <w:p>
          <w:pPr>
            <w:pStyle w:val="Contents6"/>
            <w:tabs>
              <w:tab w:val="clear" w:pos="7609"/>
              <w:tab w:val="right" w:pos="9026" w:leader="dot"/>
            </w:tabs>
            <w:rPr/>
          </w:pPr>
          <w:hyperlink w:anchor="__RefHeading___Toc2565388_3650668749">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2565390_3650668749">
            <w:r>
              <w:rPr>
                <w:webHidden/>
                <w:rStyle w:val="IndexLink"/>
                <w:rtl w:val="true"/>
              </w:rPr>
              <w:t>[</w:t>
            </w:r>
            <w:r>
              <w:rPr>
                <w:rStyle w:val="IndexLink"/>
                <w:rtl w:val="true"/>
              </w:rPr>
              <w:t>الأوّل</w:t>
            </w:r>
            <w:r>
              <w:rPr>
                <w:rStyle w:val="IndexLink"/>
                <w:rtl w:val="true"/>
              </w:rPr>
              <w:t xml:space="preserve">: </w:t>
            </w:r>
            <w:r>
              <w:rPr>
                <w:rStyle w:val="IndexLink"/>
                <w:rtl w:val="true"/>
              </w:rPr>
              <w:t>مسّ کتابة القرآن</w:t>
            </w:r>
            <w:r>
              <w:rPr>
                <w:rStyle w:val="IndexLink"/>
                <w:rtl w:val="true"/>
              </w:rPr>
              <w:t>]</w:t>
              <w:tab/>
            </w:r>
            <w:r>
              <w:rPr>
                <w:rStyle w:val="IndexLink"/>
              </w:rPr>
              <w:t>122</w:t>
            </w:r>
          </w:hyperlink>
        </w:p>
        <w:p>
          <w:pPr>
            <w:pStyle w:val="Contents6"/>
            <w:tabs>
              <w:tab w:val="clear" w:pos="7609"/>
              <w:tab w:val="right" w:pos="9026" w:leader="dot"/>
            </w:tabs>
            <w:rPr/>
          </w:pPr>
          <w:hyperlink w:anchor="__RefHeading___Toc2565392_3650668749">
            <w:r>
              <w:rPr>
                <w:webHidden/>
                <w:rStyle w:val="IndexLink"/>
                <w:rtl w:val="true"/>
              </w:rPr>
              <w:t>[</w:t>
            </w:r>
            <w:r>
              <w:rPr>
                <w:rStyle w:val="IndexLink"/>
                <w:rtl w:val="true"/>
              </w:rPr>
              <w:t>الثانی</w:t>
            </w:r>
            <w:r>
              <w:rPr>
                <w:rStyle w:val="IndexLink"/>
                <w:rtl w:val="true"/>
              </w:rPr>
              <w:t xml:space="preserve">: </w:t>
            </w:r>
            <w:r>
              <w:rPr>
                <w:rStyle w:val="IndexLink"/>
                <w:rtl w:val="true"/>
              </w:rPr>
              <w:t xml:space="preserve">دخول مسجد الحرام و مسجد النبیّ </w:t>
            </w:r>
            <w:r>
              <w:rPr>
                <w:rStyle w:val="IndexLink"/>
                <w:rtl w:val="true"/>
              </w:rPr>
              <w:t>(</w:t>
            </w:r>
            <w:r>
              <w:rPr>
                <w:rStyle w:val="IndexLink"/>
                <w:rtl w:val="true"/>
              </w:rPr>
              <w:t>صلّی اللّٰه علیه و آله و سلّم</w:t>
            </w:r>
            <w:r>
              <w:rPr>
                <w:rStyle w:val="IndexLink"/>
                <w:rtl w:val="true"/>
              </w:rPr>
              <w:t>)]</w:t>
              <w:tab/>
            </w:r>
            <w:r>
              <w:rPr>
                <w:rStyle w:val="IndexLink"/>
              </w:rPr>
              <w:t>122</w:t>
            </w:r>
          </w:hyperlink>
        </w:p>
        <w:p>
          <w:pPr>
            <w:pStyle w:val="Contents6"/>
            <w:tabs>
              <w:tab w:val="clear" w:pos="7609"/>
              <w:tab w:val="right" w:pos="9026" w:leader="dot"/>
            </w:tabs>
            <w:rPr/>
          </w:pPr>
          <w:hyperlink w:anchor="__RefHeading___Toc2565394_3650668749">
            <w:r>
              <w:rPr>
                <w:webHidden/>
                <w:rStyle w:val="IndexLink"/>
                <w:rtl w:val="true"/>
              </w:rPr>
              <w:t>[</w:t>
            </w:r>
            <w:r>
              <w:rPr>
                <w:rStyle w:val="IndexLink"/>
                <w:rtl w:val="true"/>
              </w:rPr>
              <w:t>الثالث</w:t>
            </w:r>
            <w:r>
              <w:rPr>
                <w:rStyle w:val="IndexLink"/>
                <w:rtl w:val="true"/>
              </w:rPr>
              <w:t xml:space="preserve">: </w:t>
            </w:r>
            <w:r>
              <w:rPr>
                <w:rStyle w:val="IndexLink"/>
                <w:rtl w:val="true"/>
              </w:rPr>
              <w:t>المکث فی غیر المسجدین من المساجد</w:t>
            </w:r>
            <w:r>
              <w:rPr>
                <w:rStyle w:val="IndexLink"/>
                <w:rtl w:val="true"/>
              </w:rPr>
              <w:t>]</w:t>
              <w:tab/>
            </w:r>
            <w:r>
              <w:rPr>
                <w:rStyle w:val="IndexLink"/>
              </w:rPr>
              <w:t>122</w:t>
            </w:r>
          </w:hyperlink>
        </w:p>
        <w:p>
          <w:pPr>
            <w:pStyle w:val="Contents6"/>
            <w:tabs>
              <w:tab w:val="clear" w:pos="7609"/>
              <w:tab w:val="right" w:pos="9026" w:leader="dot"/>
            </w:tabs>
            <w:rPr/>
          </w:pPr>
          <w:hyperlink w:anchor="__RefHeading___Toc2565396_3650668749">
            <w:r>
              <w:rPr>
                <w:webHidden/>
                <w:rStyle w:val="IndexLink"/>
                <w:rtl w:val="true"/>
              </w:rPr>
              <w:t>[</w:t>
            </w:r>
            <w:r>
              <w:rPr>
                <w:rStyle w:val="IndexLink"/>
                <w:rtl w:val="true"/>
              </w:rPr>
              <w:t>الرابع</w:t>
            </w:r>
            <w:r>
              <w:rPr>
                <w:rStyle w:val="IndexLink"/>
                <w:rtl w:val="true"/>
              </w:rPr>
              <w:t xml:space="preserve">: </w:t>
            </w:r>
            <w:r>
              <w:rPr>
                <w:rStyle w:val="IndexLink"/>
                <w:rtl w:val="true"/>
              </w:rPr>
              <w:t>وضع شی‌ء فی المساجد</w:t>
            </w:r>
            <w:r>
              <w:rPr>
                <w:rStyle w:val="IndexLink"/>
                <w:rtl w:val="true"/>
              </w:rPr>
              <w:t>]</w:t>
              <w:tab/>
            </w:r>
            <w:r>
              <w:rPr>
                <w:rStyle w:val="IndexLink"/>
              </w:rPr>
              <w:t>122</w:t>
            </w:r>
          </w:hyperlink>
        </w:p>
        <w:p>
          <w:pPr>
            <w:pStyle w:val="Contents6"/>
            <w:tabs>
              <w:tab w:val="clear" w:pos="7609"/>
              <w:tab w:val="right" w:pos="9026" w:leader="dot"/>
            </w:tabs>
            <w:rPr/>
          </w:pPr>
          <w:hyperlink w:anchor="__RefHeading___Toc2565398_3650668749">
            <w:r>
              <w:rPr>
                <w:webHidden/>
                <w:rStyle w:val="IndexLink"/>
                <w:rtl w:val="true"/>
              </w:rPr>
              <w:t>[</w:t>
            </w:r>
            <w:r>
              <w:rPr>
                <w:rStyle w:val="IndexLink"/>
                <w:rtl w:val="true"/>
              </w:rPr>
              <w:t>الخامس</w:t>
            </w:r>
            <w:r>
              <w:rPr>
                <w:rStyle w:val="IndexLink"/>
                <w:rtl w:val="true"/>
              </w:rPr>
              <w:t xml:space="preserve">: </w:t>
            </w:r>
            <w:r>
              <w:rPr>
                <w:rStyle w:val="IndexLink"/>
                <w:rtl w:val="true"/>
              </w:rPr>
              <w:t>قراءة سور العزائم الأربع</w:t>
            </w:r>
            <w:r>
              <w:rPr>
                <w:rStyle w:val="IndexLink"/>
                <w:rtl w:val="true"/>
              </w:rPr>
              <w:t>]</w:t>
              <w:tab/>
            </w:r>
            <w:r>
              <w:rPr>
                <w:rStyle w:val="IndexLink"/>
              </w:rPr>
              <w:t>122</w:t>
            </w:r>
          </w:hyperlink>
        </w:p>
        <w:p>
          <w:pPr>
            <w:pStyle w:val="Contents6"/>
            <w:tabs>
              <w:tab w:val="clear" w:pos="7609"/>
              <w:tab w:val="right" w:pos="9026" w:leader="dot"/>
            </w:tabs>
            <w:rPr/>
          </w:pPr>
          <w:hyperlink w:anchor="__RefHeading___Toc256540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إذا احتلم فی أحد المسجدین أو دخل فیهما جنباً عمداً أو سهواً أو جهلًا</w:t>
            </w:r>
            <w:r>
              <w:rPr>
                <w:rStyle w:val="IndexLink"/>
                <w:rtl w:val="true"/>
              </w:rPr>
              <w:t>]</w:t>
              <w:tab/>
            </w:r>
            <w:r>
              <w:rPr>
                <w:rStyle w:val="IndexLink"/>
              </w:rPr>
              <w:t>122</w:t>
            </w:r>
          </w:hyperlink>
        </w:p>
        <w:p>
          <w:pPr>
            <w:pStyle w:val="Contents6"/>
            <w:tabs>
              <w:tab w:val="clear" w:pos="7609"/>
              <w:tab w:val="right" w:pos="9026" w:leader="dot"/>
            </w:tabs>
            <w:rPr/>
          </w:pPr>
          <w:hyperlink w:anchor="__RefHeading___Toc256540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کان جنباً و کان الماء فی المسجد یجب علیه أن یتیمّم</w:t>
            </w:r>
            <w:r>
              <w:rPr>
                <w:rStyle w:val="IndexLink"/>
                <w:rtl w:val="true"/>
              </w:rPr>
              <w:t>]</w:t>
              <w:tab/>
            </w:r>
            <w:r>
              <w:rPr>
                <w:rStyle w:val="IndexLink"/>
              </w:rPr>
              <w:t>122</w:t>
            </w:r>
          </w:hyperlink>
        </w:p>
        <w:p>
          <w:pPr>
            <w:pStyle w:val="Contents6"/>
            <w:tabs>
              <w:tab w:val="clear" w:pos="7609"/>
              <w:tab w:val="right" w:pos="9026" w:leader="dot"/>
            </w:tabs>
            <w:rPr/>
          </w:pPr>
          <w:hyperlink w:anchor="__RefHeading___Toc2565404_3650668749">
            <w:r>
              <w:rPr>
                <w:webHidden/>
                <w:rStyle w:val="IndexLink"/>
                <w:rtl w:val="true"/>
              </w:rPr>
              <w:t>[</w:t>
            </w:r>
            <w:r>
              <w:rPr>
                <w:rStyle w:val="IndexLink"/>
                <w:rtl w:val="true"/>
              </w:rPr>
              <w:t>فصل یکره علی الجنب أُمور</w:t>
            </w:r>
            <w:r>
              <w:rPr>
                <w:rStyle w:val="IndexLink"/>
                <w:rtl w:val="true"/>
              </w:rPr>
              <w:t>]</w:t>
              <w:tab/>
            </w:r>
            <w:r>
              <w:rPr>
                <w:rStyle w:val="IndexLink"/>
              </w:rPr>
              <w:t>122</w:t>
            </w:r>
          </w:hyperlink>
        </w:p>
        <w:p>
          <w:pPr>
            <w:pStyle w:val="Contents6"/>
            <w:tabs>
              <w:tab w:val="clear" w:pos="7609"/>
              <w:tab w:val="right" w:pos="9026" w:leader="dot"/>
            </w:tabs>
            <w:rPr/>
          </w:pPr>
          <w:hyperlink w:anchor="__RefHeading___Toc2565406_3650668749">
            <w:r>
              <w:rPr>
                <w:webHidden/>
                <w:rStyle w:val="IndexLink"/>
                <w:rtl w:val="true"/>
              </w:rPr>
              <w:t>[</w:t>
            </w:r>
            <w:r>
              <w:rPr>
                <w:rStyle w:val="IndexLink"/>
                <w:rtl w:val="true"/>
              </w:rPr>
              <w:t>القول فی واجبات الغسل</w:t>
            </w:r>
            <w:r>
              <w:rPr>
                <w:rStyle w:val="IndexLink"/>
                <w:rtl w:val="true"/>
              </w:rPr>
              <w:t>]</w:t>
              <w:tab/>
            </w:r>
            <w:r>
              <w:rPr>
                <w:rStyle w:val="IndexLink"/>
              </w:rPr>
              <w:t>123</w:t>
            </w:r>
          </w:hyperlink>
        </w:p>
        <w:p>
          <w:pPr>
            <w:pStyle w:val="Contents6"/>
            <w:tabs>
              <w:tab w:val="clear" w:pos="7609"/>
              <w:tab w:val="right" w:pos="9026" w:leader="dot"/>
            </w:tabs>
            <w:rPr/>
          </w:pPr>
          <w:hyperlink w:anchor="__RefHeading___Toc2565408_3650668749">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2565410_3650668749">
            <w:r>
              <w:rPr>
                <w:webHidden/>
                <w:rStyle w:val="IndexLink"/>
                <w:rtl w:val="true"/>
              </w:rPr>
              <w:t>[</w:t>
            </w:r>
            <w:r>
              <w:rPr>
                <w:rStyle w:val="IndexLink"/>
                <w:rtl w:val="true"/>
              </w:rPr>
              <w:t>الأوّل</w:t>
            </w:r>
            <w:r>
              <w:rPr>
                <w:rStyle w:val="IndexLink"/>
                <w:rtl w:val="true"/>
              </w:rPr>
              <w:t xml:space="preserve">: </w:t>
            </w:r>
            <w:r>
              <w:rPr>
                <w:rStyle w:val="IndexLink"/>
                <w:rtl w:val="true"/>
              </w:rPr>
              <w:t>النیّة</w:t>
            </w:r>
            <w:r>
              <w:rPr>
                <w:rStyle w:val="IndexLink"/>
                <w:rtl w:val="true"/>
              </w:rPr>
              <w:t>]</w:t>
              <w:tab/>
            </w:r>
            <w:r>
              <w:rPr>
                <w:rStyle w:val="IndexLink"/>
              </w:rPr>
              <w:t>123</w:t>
            </w:r>
          </w:hyperlink>
        </w:p>
        <w:p>
          <w:pPr>
            <w:pStyle w:val="Contents6"/>
            <w:tabs>
              <w:tab w:val="clear" w:pos="7609"/>
              <w:tab w:val="right" w:pos="9026" w:leader="dot"/>
            </w:tabs>
            <w:rPr/>
          </w:pPr>
          <w:hyperlink w:anchor="__RefHeading___Toc2565412_3650668749">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256541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دخل الحمّام بنیّة الغسل فإن بقی فی نفسه الداعی الأوّل</w:t>
            </w:r>
            <w:r>
              <w:rPr>
                <w:rStyle w:val="IndexLink"/>
                <w:rtl w:val="true"/>
              </w:rPr>
              <w:t>]</w:t>
              <w:tab/>
            </w:r>
            <w:r>
              <w:rPr>
                <w:rStyle w:val="IndexLink"/>
              </w:rPr>
              <w:t>123</w:t>
            </w:r>
          </w:hyperlink>
        </w:p>
        <w:p>
          <w:pPr>
            <w:pStyle w:val="Contents6"/>
            <w:tabs>
              <w:tab w:val="clear" w:pos="7609"/>
              <w:tab w:val="right" w:pos="9026" w:leader="dot"/>
            </w:tabs>
            <w:rPr/>
          </w:pPr>
          <w:hyperlink w:anchor="__RefHeading___Toc256541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ذهب إلی الحمّام لیغتسل و بعد ما خرج شکّ فی أنّه اغتسل أم لا</w:t>
            </w:r>
            <w:r>
              <w:rPr>
                <w:rStyle w:val="IndexLink"/>
                <w:rtl w:val="true"/>
              </w:rPr>
              <w:t>]</w:t>
              <w:tab/>
            </w:r>
            <w:r>
              <w:rPr>
                <w:rStyle w:val="IndexLink"/>
              </w:rPr>
              <w:t>123</w:t>
            </w:r>
          </w:hyperlink>
        </w:p>
        <w:p>
          <w:pPr>
            <w:pStyle w:val="Contents6"/>
            <w:tabs>
              <w:tab w:val="clear" w:pos="7609"/>
              <w:tab w:val="right" w:pos="9026" w:leader="dot"/>
            </w:tabs>
            <w:rPr/>
          </w:pPr>
          <w:hyperlink w:anchor="__RefHeading___Toc2565418_3650668749">
            <w:r>
              <w:rPr>
                <w:webHidden/>
                <w:rStyle w:val="IndexLink"/>
                <w:rtl w:val="true"/>
              </w:rPr>
              <w:t>[</w:t>
            </w:r>
            <w:r>
              <w:rPr>
                <w:rStyle w:val="IndexLink"/>
                <w:rtl w:val="true"/>
              </w:rPr>
              <w:t>الثانی</w:t>
            </w:r>
            <w:r>
              <w:rPr>
                <w:rStyle w:val="IndexLink"/>
                <w:rtl w:val="true"/>
              </w:rPr>
              <w:t xml:space="preserve">: </w:t>
            </w:r>
            <w:r>
              <w:rPr>
                <w:rStyle w:val="IndexLink"/>
                <w:rtl w:val="true"/>
              </w:rPr>
              <w:t>غسل ظاهر البشرة</w:t>
            </w:r>
            <w:r>
              <w:rPr>
                <w:rStyle w:val="IndexLink"/>
                <w:rtl w:val="true"/>
              </w:rPr>
              <w:t>]</w:t>
              <w:tab/>
            </w:r>
            <w:r>
              <w:rPr>
                <w:rStyle w:val="IndexLink"/>
              </w:rPr>
              <w:t>123</w:t>
            </w:r>
          </w:hyperlink>
        </w:p>
        <w:p>
          <w:pPr>
            <w:pStyle w:val="Contents6"/>
            <w:tabs>
              <w:tab w:val="clear" w:pos="7609"/>
              <w:tab w:val="right" w:pos="9026" w:leader="dot"/>
            </w:tabs>
            <w:rPr/>
          </w:pPr>
          <w:hyperlink w:anchor="__RefHeading___Toc2565420_3650668749">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256542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لا یجب غسل الشعر</w:t>
            </w:r>
            <w:r>
              <w:rPr>
                <w:rStyle w:val="IndexLink"/>
                <w:rtl w:val="true"/>
              </w:rPr>
              <w:t>]</w:t>
              <w:tab/>
            </w:r>
            <w:r>
              <w:rPr>
                <w:rStyle w:val="IndexLink"/>
              </w:rPr>
              <w:t>123</w:t>
            </w:r>
          </w:hyperlink>
        </w:p>
        <w:p>
          <w:pPr>
            <w:pStyle w:val="Contents6"/>
            <w:tabs>
              <w:tab w:val="clear" w:pos="7609"/>
              <w:tab w:val="right" w:pos="9026" w:leader="dot"/>
            </w:tabs>
            <w:rPr/>
          </w:pPr>
          <w:hyperlink w:anchor="__RefHeading___Toc2565424_3650668749">
            <w:r>
              <w:rPr>
                <w:webHidden/>
                <w:rStyle w:val="IndexLink"/>
                <w:rtl w:val="true"/>
              </w:rPr>
              <w:t>[</w:t>
            </w:r>
            <w:r>
              <w:rPr>
                <w:rStyle w:val="IndexLink"/>
                <w:rtl w:val="true"/>
              </w:rPr>
              <w:t>الثالث</w:t>
            </w:r>
            <w:r>
              <w:rPr>
                <w:rStyle w:val="IndexLink"/>
                <w:rtl w:val="true"/>
              </w:rPr>
              <w:t xml:space="preserve">: </w:t>
            </w:r>
            <w:r>
              <w:rPr>
                <w:rStyle w:val="IndexLink"/>
                <w:rtl w:val="true"/>
              </w:rPr>
              <w:t>الترتیب فی الترتیبی</w:t>
            </w:r>
            <w:r>
              <w:rPr>
                <w:rStyle w:val="IndexLink"/>
                <w:rtl w:val="true"/>
              </w:rPr>
              <w:t>]</w:t>
              <w:tab/>
            </w:r>
            <w:r>
              <w:rPr>
                <w:rStyle w:val="IndexLink"/>
              </w:rPr>
              <w:t>124</w:t>
            </w:r>
          </w:hyperlink>
        </w:p>
        <w:p>
          <w:pPr>
            <w:pStyle w:val="Contents6"/>
            <w:tabs>
              <w:tab w:val="clear" w:pos="7609"/>
              <w:tab w:val="right" w:pos="9026" w:leader="dot"/>
            </w:tabs>
            <w:rPr/>
          </w:pPr>
          <w:hyperlink w:anchor="__RefHeading___Toc2565426_3650668749">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256542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ترتیب فی العضو</w:t>
            </w:r>
            <w:r>
              <w:rPr>
                <w:rStyle w:val="IndexLink"/>
                <w:rtl w:val="true"/>
              </w:rPr>
              <w:t>]</w:t>
              <w:tab/>
            </w:r>
            <w:r>
              <w:rPr>
                <w:rStyle w:val="IndexLink"/>
              </w:rPr>
              <w:t>124</w:t>
            </w:r>
          </w:hyperlink>
        </w:p>
        <w:p>
          <w:pPr>
            <w:pStyle w:val="Contents6"/>
            <w:tabs>
              <w:tab w:val="clear" w:pos="7609"/>
              <w:tab w:val="right" w:pos="9026" w:leader="dot"/>
            </w:tabs>
            <w:rPr/>
          </w:pPr>
          <w:hyperlink w:anchor="__RefHeading___Toc256543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اللازم فی الغسل الارتماسی أن یکون تمام البدن فی الماء فی آن واحد</w:t>
            </w:r>
            <w:r>
              <w:rPr>
                <w:rStyle w:val="IndexLink"/>
                <w:rtl w:val="true"/>
              </w:rPr>
              <w:t>]</w:t>
              <w:tab/>
            </w:r>
            <w:r>
              <w:rPr>
                <w:rStyle w:val="IndexLink"/>
              </w:rPr>
              <w:t>124</w:t>
            </w:r>
          </w:hyperlink>
        </w:p>
        <w:p>
          <w:pPr>
            <w:pStyle w:val="Contents6"/>
            <w:tabs>
              <w:tab w:val="clear" w:pos="7609"/>
              <w:tab w:val="right" w:pos="9026" w:leader="dot"/>
            </w:tabs>
            <w:rPr/>
          </w:pPr>
          <w:hyperlink w:anchor="__RefHeading___Toc256543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تیقّن بعد الغسل عدم انغسال جزء من بدنه وجبت إعادة الغسل من رأس فی الارتماسیّ</w:t>
            </w:r>
            <w:r>
              <w:rPr>
                <w:rStyle w:val="IndexLink"/>
                <w:rtl w:val="true"/>
              </w:rPr>
              <w:t>]</w:t>
              <w:tab/>
            </w:r>
            <w:r>
              <w:rPr>
                <w:rStyle w:val="IndexLink"/>
              </w:rPr>
              <w:t>125</w:t>
            </w:r>
          </w:hyperlink>
        </w:p>
        <w:p>
          <w:pPr>
            <w:pStyle w:val="Contents6"/>
            <w:tabs>
              <w:tab w:val="clear" w:pos="7609"/>
              <w:tab w:val="right" w:pos="9026" w:leader="dot"/>
            </w:tabs>
            <w:rPr/>
          </w:pPr>
          <w:hyperlink w:anchor="__RefHeading___Toc256543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لا یجب الموالاة فی الغسل الترتیبی</w:t>
            </w:r>
            <w:r>
              <w:rPr>
                <w:rStyle w:val="IndexLink"/>
                <w:rtl w:val="true"/>
              </w:rPr>
              <w:t>]</w:t>
              <w:tab/>
            </w:r>
            <w:r>
              <w:rPr>
                <w:rStyle w:val="IndexLink"/>
              </w:rPr>
              <w:t>125</w:t>
            </w:r>
          </w:hyperlink>
        </w:p>
        <w:p>
          <w:pPr>
            <w:pStyle w:val="Contents6"/>
            <w:tabs>
              <w:tab w:val="clear" w:pos="7609"/>
              <w:tab w:val="right" w:pos="9026" w:leader="dot"/>
            </w:tabs>
            <w:rPr/>
          </w:pPr>
          <w:hyperlink w:anchor="__RefHeading___Toc256543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یجوز الغسل تحت المطر و تحت المیزاب ترتیباً لا ارتماساً</w:t>
            </w:r>
            <w:r>
              <w:rPr>
                <w:rStyle w:val="IndexLink"/>
                <w:rtl w:val="true"/>
              </w:rPr>
              <w:t>]</w:t>
              <w:tab/>
            </w:r>
            <w:r>
              <w:rPr>
                <w:rStyle w:val="IndexLink"/>
              </w:rPr>
              <w:t>125</w:t>
            </w:r>
          </w:hyperlink>
        </w:p>
        <w:p>
          <w:pPr>
            <w:pStyle w:val="Contents6"/>
            <w:tabs>
              <w:tab w:val="clear" w:pos="7609"/>
              <w:tab w:val="right" w:pos="9026" w:leader="dot"/>
            </w:tabs>
            <w:rPr/>
          </w:pPr>
          <w:hyperlink w:anchor="__RefHeading___Toc2565438_3650668749">
            <w:r>
              <w:rPr>
                <w:webHidden/>
                <w:rStyle w:val="IndexLink"/>
                <w:rtl w:val="true"/>
              </w:rPr>
              <w:t>[</w:t>
            </w:r>
            <w:r>
              <w:rPr>
                <w:rStyle w:val="IndexLink"/>
                <w:rtl w:val="true"/>
              </w:rPr>
              <w:t>الرابع من الواجبات</w:t>
            </w:r>
            <w:r>
              <w:rPr>
                <w:rStyle w:val="IndexLink"/>
                <w:rtl w:val="true"/>
              </w:rPr>
              <w:t xml:space="preserve">: </w:t>
            </w:r>
            <w:r>
              <w:rPr>
                <w:rStyle w:val="IndexLink"/>
                <w:rtl w:val="true"/>
              </w:rPr>
              <w:t>إطلاق الماء و طهارته</w:t>
            </w:r>
            <w:r>
              <w:rPr>
                <w:rStyle w:val="IndexLink"/>
                <w:rtl w:val="true"/>
              </w:rPr>
              <w:t>]</w:t>
              <w:tab/>
            </w:r>
            <w:r>
              <w:rPr>
                <w:rStyle w:val="IndexLink"/>
              </w:rPr>
              <w:t>125</w:t>
            </w:r>
          </w:hyperlink>
        </w:p>
        <w:p>
          <w:pPr>
            <w:pStyle w:val="Contents6"/>
            <w:tabs>
              <w:tab w:val="clear" w:pos="7609"/>
              <w:tab w:val="right" w:pos="9026" w:leader="dot"/>
            </w:tabs>
            <w:rPr/>
          </w:pPr>
          <w:hyperlink w:anchor="__RefHeading___Toc2565440_3650668749">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2565442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إذا کان قاصداً عدم إعطاء الأُجرة للحمّامی</w:t>
            </w:r>
            <w:r>
              <w:rPr>
                <w:rStyle w:val="IndexLink"/>
                <w:rtl w:val="true"/>
              </w:rPr>
              <w:t>]</w:t>
              <w:tab/>
            </w:r>
            <w:r>
              <w:rPr>
                <w:rStyle w:val="IndexLink"/>
              </w:rPr>
              <w:t>125</w:t>
            </w:r>
          </w:hyperlink>
        </w:p>
        <w:p>
          <w:pPr>
            <w:pStyle w:val="Contents6"/>
            <w:tabs>
              <w:tab w:val="clear" w:pos="7609"/>
              <w:tab w:val="right" w:pos="9026" w:leader="dot"/>
            </w:tabs>
            <w:rPr/>
          </w:pPr>
          <w:hyperlink w:anchor="__RefHeading___Toc2565444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یشکل الوضوء و الغسل بالماء المسبّل</w:t>
            </w:r>
            <w:r>
              <w:rPr>
                <w:rStyle w:val="IndexLink"/>
                <w:rtl w:val="true"/>
              </w:rPr>
              <w:t>]</w:t>
              <w:tab/>
            </w:r>
            <w:r>
              <w:rPr>
                <w:rStyle w:val="IndexLink"/>
              </w:rPr>
              <w:t>125</w:t>
            </w:r>
          </w:hyperlink>
        </w:p>
        <w:p>
          <w:pPr>
            <w:pStyle w:val="Contents6"/>
            <w:tabs>
              <w:tab w:val="clear" w:pos="7609"/>
              <w:tab w:val="right" w:pos="9026" w:leader="dot"/>
            </w:tabs>
            <w:rPr/>
          </w:pPr>
          <w:hyperlink w:anchor="__RefHeading___Toc2565446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الظاهر أنّ ماء غسل المرأة من الجنابة و الحیض و النفاس و کذا اجرة تسخینه إذا احتاج إلیه علیٰ زوجها</w:t>
            </w:r>
            <w:r>
              <w:rPr>
                <w:rStyle w:val="IndexLink"/>
                <w:rtl w:val="true"/>
              </w:rPr>
              <w:t>]</w:t>
              <w:tab/>
            </w:r>
            <w:r>
              <w:rPr>
                <w:rStyle w:val="IndexLink"/>
              </w:rPr>
              <w:t>125</w:t>
            </w:r>
          </w:hyperlink>
        </w:p>
        <w:p>
          <w:pPr>
            <w:pStyle w:val="Contents6"/>
            <w:tabs>
              <w:tab w:val="clear" w:pos="7609"/>
              <w:tab w:val="right" w:pos="9026" w:leader="dot"/>
            </w:tabs>
            <w:rPr/>
          </w:pPr>
          <w:hyperlink w:anchor="__RefHeading___Toc2565448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یتعیّن علی المجنب فی نهار شهر رمضان أن یغتسل ترتیباً</w:t>
            </w:r>
            <w:r>
              <w:rPr>
                <w:rStyle w:val="IndexLink"/>
                <w:rtl w:val="true"/>
              </w:rPr>
              <w:t>]</w:t>
              <w:tab/>
            </w:r>
            <w:r>
              <w:rPr>
                <w:rStyle w:val="IndexLink"/>
              </w:rPr>
              <w:t>126</w:t>
            </w:r>
          </w:hyperlink>
        </w:p>
        <w:p>
          <w:pPr>
            <w:pStyle w:val="Contents6"/>
            <w:tabs>
              <w:tab w:val="clear" w:pos="7609"/>
              <w:tab w:val="right" w:pos="9026" w:leader="dot"/>
            </w:tabs>
            <w:rPr/>
          </w:pPr>
          <w:hyperlink w:anchor="__RefHeading___Toc2565450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لو شکّ فی شی‌ء من أجزاء الغسل و قد دخل فی آخر</w:t>
            </w:r>
            <w:r>
              <w:rPr>
                <w:rStyle w:val="IndexLink"/>
                <w:rtl w:val="true"/>
              </w:rPr>
              <w:t>]</w:t>
              <w:tab/>
            </w:r>
            <w:r>
              <w:rPr>
                <w:rStyle w:val="IndexLink"/>
              </w:rPr>
              <w:t>126</w:t>
            </w:r>
          </w:hyperlink>
        </w:p>
        <w:p>
          <w:pPr>
            <w:pStyle w:val="Contents6"/>
            <w:tabs>
              <w:tab w:val="clear" w:pos="7609"/>
              <w:tab w:val="right" w:pos="9026" w:leader="dot"/>
            </w:tabs>
            <w:rPr/>
          </w:pPr>
          <w:hyperlink w:anchor="__RefHeading___Toc2565452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ینبغی الاستبراء بالبول قبل الغسل</w:t>
            </w:r>
            <w:r>
              <w:rPr>
                <w:rStyle w:val="IndexLink"/>
                <w:rtl w:val="true"/>
              </w:rPr>
              <w:t>]</w:t>
              <w:tab/>
            </w:r>
            <w:r>
              <w:rPr>
                <w:rStyle w:val="IndexLink"/>
              </w:rPr>
              <w:t>126</w:t>
            </w:r>
          </w:hyperlink>
        </w:p>
        <w:p>
          <w:pPr>
            <w:pStyle w:val="Contents6"/>
            <w:tabs>
              <w:tab w:val="clear" w:pos="7609"/>
              <w:tab w:val="right" w:pos="9026" w:leader="dot"/>
            </w:tabs>
            <w:rPr/>
          </w:pPr>
          <w:hyperlink w:anchor="__RefHeading___Toc2565454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المجنب بسبب الإنزال لو اغتسل ثمّ خرج منه بلل مشتبه بین المنیّ و البول</w:t>
            </w:r>
            <w:r>
              <w:rPr>
                <w:rStyle w:val="IndexLink"/>
                <w:rtl w:val="true"/>
              </w:rPr>
              <w:t>]</w:t>
              <w:tab/>
            </w:r>
            <w:r>
              <w:rPr>
                <w:rStyle w:val="IndexLink"/>
              </w:rPr>
              <w:t>126</w:t>
            </w:r>
          </w:hyperlink>
        </w:p>
        <w:p>
          <w:pPr>
            <w:pStyle w:val="Contents6"/>
            <w:tabs>
              <w:tab w:val="clear" w:pos="7609"/>
              <w:tab w:val="right" w:pos="9026" w:leader="dot"/>
            </w:tabs>
            <w:rPr/>
          </w:pPr>
          <w:hyperlink w:anchor="__RefHeading___Toc2565456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إذا خرج من المنزل بعد الغسل رطوبة مشتبهة بین المنیّ و غیره</w:t>
            </w:r>
            <w:r>
              <w:rPr>
                <w:rStyle w:val="IndexLink"/>
                <w:rtl w:val="true"/>
              </w:rPr>
              <w:t>]</w:t>
              <w:tab/>
            </w:r>
            <w:r>
              <w:rPr>
                <w:rStyle w:val="IndexLink"/>
              </w:rPr>
              <w:t>126</w:t>
            </w:r>
          </w:hyperlink>
        </w:p>
        <w:p>
          <w:pPr>
            <w:pStyle w:val="Contents6"/>
            <w:tabs>
              <w:tab w:val="clear" w:pos="7609"/>
              <w:tab w:val="right" w:pos="9026" w:leader="dot"/>
            </w:tabs>
            <w:rPr/>
          </w:pPr>
          <w:hyperlink w:anchor="__RefHeading___Toc2565458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یجزی غسل الجنابة عن الوضوء لکلّ ما اشترط به</w:t>
            </w:r>
            <w:r>
              <w:rPr>
                <w:rStyle w:val="IndexLink"/>
                <w:rtl w:val="true"/>
              </w:rPr>
              <w:t>]</w:t>
              <w:tab/>
            </w:r>
            <w:r>
              <w:rPr>
                <w:rStyle w:val="IndexLink"/>
              </w:rPr>
              <w:t>127</w:t>
            </w:r>
          </w:hyperlink>
        </w:p>
        <w:p>
          <w:pPr>
            <w:pStyle w:val="Contents6"/>
            <w:tabs>
              <w:tab w:val="clear" w:pos="7609"/>
              <w:tab w:val="right" w:pos="9026" w:leader="dot"/>
            </w:tabs>
            <w:rPr/>
          </w:pPr>
          <w:hyperlink w:anchor="__RefHeading___Toc2565460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إذا أحدث بالأصغر فی أثناء الغسل لم یبطل علی الأقویٰ</w:t>
            </w:r>
            <w:r>
              <w:rPr>
                <w:rStyle w:val="IndexLink"/>
                <w:rtl w:val="true"/>
              </w:rPr>
              <w:t>]</w:t>
              <w:tab/>
            </w:r>
            <w:r>
              <w:rPr>
                <w:rStyle w:val="IndexLink"/>
              </w:rPr>
              <w:t>127</w:t>
            </w:r>
          </w:hyperlink>
        </w:p>
        <w:p>
          <w:pPr>
            <w:pStyle w:val="Contents6"/>
            <w:tabs>
              <w:tab w:val="clear" w:pos="7609"/>
              <w:tab w:val="right" w:pos="9026" w:leader="dot"/>
            </w:tabs>
            <w:rPr/>
          </w:pPr>
          <w:hyperlink w:anchor="__RefHeading___Toc2565462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إذا ارتمس فی الماء بقصد الاغتسال و شکّ فی أنّه کان ناویاً للغسل الارتماسی</w:t>
            </w:r>
            <w:r>
              <w:rPr>
                <w:rStyle w:val="IndexLink"/>
                <w:rtl w:val="true"/>
              </w:rPr>
              <w:t>]</w:t>
              <w:tab/>
            </w:r>
            <w:r>
              <w:rPr>
                <w:rStyle w:val="IndexLink"/>
              </w:rPr>
              <w:t>127</w:t>
            </w:r>
          </w:hyperlink>
        </w:p>
        <w:p>
          <w:pPr>
            <w:pStyle w:val="Contents6"/>
            <w:tabs>
              <w:tab w:val="clear" w:pos="7609"/>
              <w:tab w:val="right" w:pos="9026" w:leader="dot"/>
            </w:tabs>
            <w:rPr/>
          </w:pPr>
          <w:hyperlink w:anchor="__RefHeading___Toc2565464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إذا صلّی المجنب ثمّ شکّ فی أنّه اغتسل من الجنابة أم لا</w:t>
            </w:r>
            <w:r>
              <w:rPr>
                <w:rStyle w:val="IndexLink"/>
                <w:rtl w:val="true"/>
              </w:rPr>
              <w:t>]</w:t>
              <w:tab/>
            </w:r>
            <w:r>
              <w:rPr>
                <w:rStyle w:val="IndexLink"/>
              </w:rPr>
              <w:t>127</w:t>
            </w:r>
          </w:hyperlink>
        </w:p>
        <w:p>
          <w:pPr>
            <w:pStyle w:val="Contents6"/>
            <w:tabs>
              <w:tab w:val="clear" w:pos="7609"/>
              <w:tab w:val="right" w:pos="9026" w:leader="dot"/>
            </w:tabs>
            <w:rPr/>
          </w:pPr>
          <w:hyperlink w:anchor="__RefHeading___Toc2565466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إذا اجتمع علیه أغسال متعدّدة واجبة أو مستحبّة أو مختلفة</w:t>
            </w:r>
            <w:r>
              <w:rPr>
                <w:rStyle w:val="IndexLink"/>
                <w:rtl w:val="true"/>
              </w:rPr>
              <w:t>]</w:t>
              <w:tab/>
            </w:r>
            <w:r>
              <w:rPr>
                <w:rStyle w:val="IndexLink"/>
              </w:rPr>
              <w:t>127</w:t>
            </w:r>
          </w:hyperlink>
        </w:p>
        <w:p>
          <w:pPr>
            <w:pStyle w:val="Contents5"/>
            <w:tabs>
              <w:tab w:val="clear" w:pos="7892"/>
              <w:tab w:val="right" w:pos="9026" w:leader="dot"/>
            </w:tabs>
            <w:rPr/>
          </w:pPr>
          <w:hyperlink w:anchor="__RefHeading___Toc2565468_3650668749">
            <w:r>
              <w:rPr>
                <w:webHidden/>
                <w:rStyle w:val="IndexLink"/>
                <w:rtl w:val="true"/>
              </w:rPr>
              <w:t>[</w:t>
            </w:r>
            <w:r>
              <w:rPr>
                <w:rStyle w:val="IndexLink"/>
                <w:rtl w:val="true"/>
              </w:rPr>
              <w:t>فصل فی غسل الحیض</w:t>
            </w:r>
            <w:r>
              <w:rPr>
                <w:rStyle w:val="IndexLink"/>
                <w:rtl w:val="true"/>
              </w:rPr>
              <w:t>]</w:t>
              <w:tab/>
            </w:r>
            <w:r>
              <w:rPr>
                <w:rStyle w:val="IndexLink"/>
              </w:rPr>
              <w:t>128</w:t>
            </w:r>
          </w:hyperlink>
        </w:p>
        <w:p>
          <w:pPr>
            <w:pStyle w:val="Contents6"/>
            <w:tabs>
              <w:tab w:val="clear" w:pos="7609"/>
              <w:tab w:val="right" w:pos="9026" w:leader="dot"/>
            </w:tabs>
            <w:rPr/>
          </w:pPr>
          <w:hyperlink w:anchor="__RefHeading___Toc2565470_3650668749">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2565472_3650668749">
            <w:r>
              <w:rPr>
                <w:webHidden/>
                <w:rStyle w:val="IndexLink"/>
                <w:rtl w:val="true"/>
              </w:rPr>
              <w:t>[</w:t>
            </w:r>
            <w:r>
              <w:rPr>
                <w:rStyle w:val="IndexLink"/>
                <w:rtl w:val="true"/>
              </w:rPr>
              <w:t>مسائل</w:t>
            </w:r>
            <w:r>
              <w:rPr>
                <w:rStyle w:val="IndexLink"/>
                <w:rtl w:val="true"/>
              </w:rPr>
              <w:t>]</w:t>
              <w:tab/>
            </w:r>
            <w:r>
              <w:rPr>
                <w:rStyle w:val="IndexLink"/>
              </w:rPr>
              <w:t>128</w:t>
            </w:r>
          </w:hyperlink>
        </w:p>
        <w:p>
          <w:pPr>
            <w:pStyle w:val="Contents6"/>
            <w:tabs>
              <w:tab w:val="clear" w:pos="7609"/>
              <w:tab w:val="right" w:pos="9026" w:leader="dot"/>
            </w:tabs>
            <w:rPr/>
          </w:pPr>
          <w:hyperlink w:anchor="__RefHeading___Toc256547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إذا خرج ممّن شکّ فی بلوغها دم بصفات الحیض</w:t>
            </w:r>
            <w:r>
              <w:rPr>
                <w:rStyle w:val="IndexLink"/>
                <w:rtl w:val="true"/>
              </w:rPr>
              <w:t>]</w:t>
              <w:tab/>
            </w:r>
            <w:r>
              <w:rPr>
                <w:rStyle w:val="IndexLink"/>
              </w:rPr>
              <w:t>128</w:t>
            </w:r>
          </w:hyperlink>
        </w:p>
        <w:p>
          <w:pPr>
            <w:pStyle w:val="Contents6"/>
            <w:tabs>
              <w:tab w:val="clear" w:pos="7609"/>
              <w:tab w:val="right" w:pos="9026" w:leader="dot"/>
            </w:tabs>
            <w:rPr/>
          </w:pPr>
          <w:hyperlink w:anchor="__RefHeading___Toc256547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الحیض یجتمع مع الإرضاع</w:t>
            </w:r>
            <w:r>
              <w:rPr>
                <w:rStyle w:val="IndexLink"/>
                <w:rtl w:val="true"/>
              </w:rPr>
              <w:t>]</w:t>
              <w:tab/>
            </w:r>
            <w:r>
              <w:rPr>
                <w:rStyle w:val="IndexLink"/>
              </w:rPr>
              <w:t>128</w:t>
            </w:r>
          </w:hyperlink>
        </w:p>
        <w:p>
          <w:pPr>
            <w:pStyle w:val="Contents6"/>
            <w:tabs>
              <w:tab w:val="clear" w:pos="7609"/>
              <w:tab w:val="right" w:pos="9026" w:leader="dot"/>
            </w:tabs>
            <w:rPr/>
          </w:pPr>
          <w:hyperlink w:anchor="__RefHeading___Toc256547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إشکال فی حدوث صفة الحیض و ترتّب أحکامه عند خروج دمه إلی الخارج</w:t>
            </w:r>
            <w:r>
              <w:rPr>
                <w:rStyle w:val="IndexLink"/>
                <w:rtl w:val="true"/>
              </w:rPr>
              <w:t>]</w:t>
              <w:tab/>
            </w:r>
            <w:r>
              <w:rPr>
                <w:rStyle w:val="IndexLink"/>
              </w:rPr>
              <w:t>128</w:t>
            </w:r>
          </w:hyperlink>
        </w:p>
        <w:p>
          <w:pPr>
            <w:pStyle w:val="Contents6"/>
            <w:tabs>
              <w:tab w:val="clear" w:pos="7609"/>
              <w:tab w:val="right" w:pos="9026" w:leader="dot"/>
            </w:tabs>
            <w:rPr/>
          </w:pPr>
          <w:hyperlink w:anchor="__RefHeading___Toc256548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لو شکّ فی أصل الخروج حکم بعدمه</w:t>
            </w:r>
            <w:r>
              <w:rPr>
                <w:rStyle w:val="IndexLink"/>
                <w:rtl w:val="true"/>
              </w:rPr>
              <w:t>]</w:t>
              <w:tab/>
            </w:r>
            <w:r>
              <w:rPr>
                <w:rStyle w:val="IndexLink"/>
              </w:rPr>
              <w:t>129</w:t>
            </w:r>
          </w:hyperlink>
        </w:p>
        <w:p>
          <w:pPr>
            <w:pStyle w:val="Contents6"/>
            <w:tabs>
              <w:tab w:val="clear" w:pos="7609"/>
              <w:tab w:val="right" w:pos="9026" w:leader="dot"/>
            </w:tabs>
            <w:rPr/>
          </w:pPr>
          <w:hyperlink w:anchor="__RefHeading___Toc256548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اشتبه دم الحیض بدم البکارة</w:t>
            </w:r>
            <w:r>
              <w:rPr>
                <w:rStyle w:val="IndexLink"/>
                <w:rtl w:val="true"/>
              </w:rPr>
              <w:t>]</w:t>
              <w:tab/>
            </w:r>
            <w:r>
              <w:rPr>
                <w:rStyle w:val="IndexLink"/>
              </w:rPr>
              <w:t>129</w:t>
            </w:r>
          </w:hyperlink>
        </w:p>
        <w:p>
          <w:pPr>
            <w:pStyle w:val="Contents6"/>
            <w:tabs>
              <w:tab w:val="clear" w:pos="7609"/>
              <w:tab w:val="right" w:pos="9026" w:leader="dot"/>
            </w:tabs>
            <w:rPr/>
          </w:pPr>
          <w:hyperlink w:anchor="__RefHeading___Toc2565484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الظاهر أنّ التطویق و الانغماس المذکورین علامتان للبکارة</w:t>
            </w:r>
            <w:r>
              <w:rPr>
                <w:rStyle w:val="IndexLink"/>
                <w:rtl w:val="true"/>
              </w:rPr>
              <w:t>]</w:t>
              <w:tab/>
            </w:r>
            <w:r>
              <w:rPr>
                <w:rStyle w:val="IndexLink"/>
              </w:rPr>
              <w:t>129</w:t>
            </w:r>
          </w:hyperlink>
        </w:p>
        <w:p>
          <w:pPr>
            <w:pStyle w:val="Contents6"/>
            <w:tabs>
              <w:tab w:val="clear" w:pos="7609"/>
              <w:tab w:val="right" w:pos="9026" w:leader="dot"/>
            </w:tabs>
            <w:rPr/>
          </w:pPr>
          <w:hyperlink w:anchor="__RefHeading___Toc2565486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اشتبه دم الحیض بدم القرحة التی فی جوفها ترجع إلی الحالة السابقة</w:t>
            </w:r>
            <w:r>
              <w:rPr>
                <w:rStyle w:val="IndexLink"/>
                <w:rtl w:val="true"/>
              </w:rPr>
              <w:t>]</w:t>
              <w:tab/>
            </w:r>
            <w:r>
              <w:rPr>
                <w:rStyle w:val="IndexLink"/>
              </w:rPr>
              <w:t>129</w:t>
            </w:r>
          </w:hyperlink>
        </w:p>
        <w:p>
          <w:pPr>
            <w:pStyle w:val="Contents6"/>
            <w:tabs>
              <w:tab w:val="clear" w:pos="7609"/>
              <w:tab w:val="right" w:pos="9026" w:leader="dot"/>
            </w:tabs>
            <w:rPr/>
          </w:pPr>
          <w:hyperlink w:anchor="__RefHeading___Toc2565488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أقلّ الحیض ثلاثة أیّام و أکثره کأقلّ الطهر عشرة</w:t>
            </w:r>
            <w:r>
              <w:rPr>
                <w:rStyle w:val="IndexLink"/>
                <w:rtl w:val="true"/>
              </w:rPr>
              <w:t>]</w:t>
              <w:tab/>
            </w:r>
            <w:r>
              <w:rPr>
                <w:rStyle w:val="IndexLink"/>
              </w:rPr>
              <w:t>130</w:t>
            </w:r>
          </w:hyperlink>
        </w:p>
        <w:p>
          <w:pPr>
            <w:pStyle w:val="Contents6"/>
            <w:tabs>
              <w:tab w:val="clear" w:pos="7609"/>
              <w:tab w:val="right" w:pos="9026" w:leader="dot"/>
            </w:tabs>
            <w:rPr/>
          </w:pPr>
          <w:hyperlink w:anchor="__RefHeading___Toc2565490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الأقرب عدم اعتبار التوالی</w:t>
            </w:r>
            <w:r>
              <w:rPr>
                <w:rStyle w:val="IndexLink"/>
                <w:rtl w:val="true"/>
              </w:rPr>
              <w:t>]</w:t>
              <w:tab/>
            </w:r>
            <w:r>
              <w:rPr>
                <w:rStyle w:val="IndexLink"/>
              </w:rPr>
              <w:t>130</w:t>
            </w:r>
          </w:hyperlink>
        </w:p>
        <w:p>
          <w:pPr>
            <w:pStyle w:val="Contents6"/>
            <w:tabs>
              <w:tab w:val="clear" w:pos="7609"/>
              <w:tab w:val="right" w:pos="9026" w:leader="dot"/>
            </w:tabs>
            <w:rPr/>
          </w:pPr>
          <w:hyperlink w:anchor="__RefHeading___Toc2565492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المراد من الیوم النهار</w:t>
            </w:r>
            <w:r>
              <w:rPr>
                <w:rStyle w:val="IndexLink"/>
                <w:rtl w:val="true"/>
              </w:rPr>
              <w:t>]</w:t>
              <w:tab/>
            </w:r>
            <w:r>
              <w:rPr>
                <w:rStyle w:val="IndexLink"/>
              </w:rPr>
              <w:t>130</w:t>
            </w:r>
          </w:hyperlink>
        </w:p>
        <w:p>
          <w:pPr>
            <w:pStyle w:val="Contents6"/>
            <w:tabs>
              <w:tab w:val="clear" w:pos="7609"/>
              <w:tab w:val="right" w:pos="9026" w:leader="dot"/>
            </w:tabs>
            <w:rPr/>
          </w:pPr>
          <w:hyperlink w:anchor="__RefHeading___Toc2565494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الحائض إمّا ذات العادة أو غیرها</w:t>
            </w:r>
            <w:r>
              <w:rPr>
                <w:rStyle w:val="IndexLink"/>
                <w:rtl w:val="true"/>
              </w:rPr>
              <w:t>]</w:t>
              <w:tab/>
            </w:r>
            <w:r>
              <w:rPr>
                <w:rStyle w:val="IndexLink"/>
              </w:rPr>
              <w:t>131</w:t>
            </w:r>
          </w:hyperlink>
        </w:p>
        <w:p>
          <w:pPr>
            <w:pStyle w:val="Contents6"/>
            <w:tabs>
              <w:tab w:val="clear" w:pos="7609"/>
              <w:tab w:val="right" w:pos="9026" w:leader="dot"/>
            </w:tabs>
            <w:rPr/>
          </w:pPr>
          <w:hyperlink w:anchor="__RefHeading___Toc2565496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لا إشکال فی أنّه لا تزول العادة برؤیة الدم علیٰ خلافها مرّة</w:t>
            </w:r>
            <w:r>
              <w:rPr>
                <w:rStyle w:val="IndexLink"/>
                <w:rtl w:val="true"/>
              </w:rPr>
              <w:t>]</w:t>
              <w:tab/>
            </w:r>
            <w:r>
              <w:rPr>
                <w:rStyle w:val="IndexLink"/>
              </w:rPr>
              <w:t>131</w:t>
            </w:r>
          </w:hyperlink>
        </w:p>
        <w:p>
          <w:pPr>
            <w:pStyle w:val="Contents6"/>
            <w:tabs>
              <w:tab w:val="clear" w:pos="7609"/>
              <w:tab w:val="right" w:pos="9026" w:leader="dot"/>
            </w:tabs>
            <w:rPr/>
          </w:pPr>
          <w:hyperlink w:anchor="__RefHeading___Toc2565498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ذات العادة الوقتیّة سواء کانت عددیّة أیضاً أم لا تتحیّض بمجرّد رؤیة الدم فی العادة</w:t>
            </w:r>
            <w:r>
              <w:rPr>
                <w:rStyle w:val="IndexLink"/>
                <w:rtl w:val="true"/>
              </w:rPr>
              <w:t>]</w:t>
              <w:tab/>
            </w:r>
            <w:r>
              <w:rPr>
                <w:rStyle w:val="IndexLink"/>
              </w:rPr>
              <w:t>131</w:t>
            </w:r>
          </w:hyperlink>
        </w:p>
        <w:p>
          <w:pPr>
            <w:pStyle w:val="Contents6"/>
            <w:tabs>
              <w:tab w:val="clear" w:pos="7609"/>
              <w:tab w:val="right" w:pos="9026" w:leader="dot"/>
            </w:tabs>
            <w:rPr/>
          </w:pPr>
          <w:hyperlink w:anchor="__RefHeading___Toc2565500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ذات العادة الوقتیّة إذا رأت فی العادة و قبلها أو رأت فیها و بعدها</w:t>
            </w:r>
            <w:r>
              <w:rPr>
                <w:rStyle w:val="IndexLink"/>
                <w:rtl w:val="true"/>
              </w:rPr>
              <w:t>]</w:t>
              <w:tab/>
            </w:r>
            <w:r>
              <w:rPr>
                <w:rStyle w:val="IndexLink"/>
              </w:rPr>
              <w:t>131</w:t>
            </w:r>
          </w:hyperlink>
        </w:p>
        <w:p>
          <w:pPr>
            <w:pStyle w:val="Contents6"/>
            <w:tabs>
              <w:tab w:val="clear" w:pos="7609"/>
              <w:tab w:val="right" w:pos="9026" w:leader="dot"/>
            </w:tabs>
            <w:rPr/>
          </w:pPr>
          <w:hyperlink w:anchor="__RefHeading___Toc2565502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إذا رأت المرأة ثلاثة أیّام متوالیة و انقطع بأقلّ من عشرة</w:t>
            </w:r>
            <w:r>
              <w:rPr>
                <w:rStyle w:val="IndexLink"/>
                <w:rtl w:val="true"/>
              </w:rPr>
              <w:t>]</w:t>
              <w:tab/>
            </w:r>
            <w:r>
              <w:rPr>
                <w:rStyle w:val="IndexLink"/>
              </w:rPr>
              <w:t>131</w:t>
            </w:r>
          </w:hyperlink>
        </w:p>
        <w:p>
          <w:pPr>
            <w:pStyle w:val="Contents6"/>
            <w:tabs>
              <w:tab w:val="clear" w:pos="7609"/>
              <w:tab w:val="right" w:pos="9026" w:leader="dot"/>
            </w:tabs>
            <w:rPr/>
          </w:pPr>
          <w:hyperlink w:anchor="__RefHeading___Toc2565504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ذات العادة إذا رأت أزید من العادة و لم یتجاوز العشرة فالمجموع حیض</w:t>
            </w:r>
            <w:r>
              <w:rPr>
                <w:rStyle w:val="IndexLink"/>
                <w:rtl w:val="true"/>
              </w:rPr>
              <w:t>]</w:t>
              <w:tab/>
            </w:r>
            <w:r>
              <w:rPr>
                <w:rStyle w:val="IndexLink"/>
              </w:rPr>
              <w:t>132</w:t>
            </w:r>
          </w:hyperlink>
        </w:p>
        <w:p>
          <w:pPr>
            <w:pStyle w:val="Contents6"/>
            <w:tabs>
              <w:tab w:val="clear" w:pos="7609"/>
              <w:tab w:val="right" w:pos="9026" w:leader="dot"/>
            </w:tabs>
            <w:rPr/>
          </w:pPr>
          <w:hyperlink w:anchor="__RefHeading___Toc2565506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إذا کانت عادتها فی کلّ شهر مرّة فرأت فی شهر مرّتین مع فصل</w:t>
            </w:r>
            <w:r>
              <w:rPr>
                <w:rStyle w:val="IndexLink"/>
                <w:rtl w:val="true"/>
              </w:rPr>
              <w:t>]</w:t>
              <w:tab/>
            </w:r>
            <w:r>
              <w:rPr>
                <w:rStyle w:val="IndexLink"/>
              </w:rPr>
              <w:t>132</w:t>
            </w:r>
          </w:hyperlink>
        </w:p>
        <w:p>
          <w:pPr>
            <w:pStyle w:val="Contents6"/>
            <w:tabs>
              <w:tab w:val="clear" w:pos="7609"/>
              <w:tab w:val="right" w:pos="9026" w:leader="dot"/>
            </w:tabs>
            <w:rPr/>
          </w:pPr>
          <w:hyperlink w:anchor="__RefHeading___Toc2565508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المبتدأة و المضطربة و من کانت عادتها عشرة إذا انقطع عنهنّ ظهور الدم قبل العشرة</w:t>
            </w:r>
            <w:r>
              <w:rPr>
                <w:rStyle w:val="IndexLink"/>
                <w:rtl w:val="true"/>
              </w:rPr>
              <w:t>]</w:t>
              <w:tab/>
            </w:r>
            <w:r>
              <w:rPr>
                <w:rStyle w:val="IndexLink"/>
              </w:rPr>
              <w:t>132</w:t>
            </w:r>
          </w:hyperlink>
        </w:p>
        <w:p>
          <w:pPr>
            <w:pStyle w:val="Contents6"/>
            <w:tabs>
              <w:tab w:val="clear" w:pos="7609"/>
              <w:tab w:val="right" w:pos="9026" w:leader="dot"/>
            </w:tabs>
            <w:rPr/>
          </w:pPr>
          <w:hyperlink w:anchor="__RefHeading___Toc2565510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إذا تجاوز الدم عن العشرة قلیلًا کان أو کثیراً فقد اختلط حیضها بطهرها</w:t>
            </w:r>
            <w:r>
              <w:rPr>
                <w:rStyle w:val="IndexLink"/>
                <w:rtl w:val="true"/>
              </w:rPr>
              <w:t>]</w:t>
              <w:tab/>
            </w:r>
            <w:r>
              <w:rPr>
                <w:rStyle w:val="IndexLink"/>
              </w:rPr>
              <w:t>133</w:t>
            </w:r>
          </w:hyperlink>
        </w:p>
        <w:p>
          <w:pPr>
            <w:pStyle w:val="Contents6"/>
            <w:tabs>
              <w:tab w:val="clear" w:pos="7609"/>
              <w:tab w:val="right" w:pos="9026" w:leader="dot"/>
            </w:tabs>
            <w:rPr/>
          </w:pPr>
          <w:hyperlink w:anchor="__RefHeading___Toc2565512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الأحوط لو لم یکن الأقویٰ أن تجعل فاقدة التمیّز سبعة التحیّض فی أوّل رؤیة الدم</w:t>
            </w:r>
            <w:r>
              <w:rPr>
                <w:rStyle w:val="IndexLink"/>
                <w:rtl w:val="true"/>
              </w:rPr>
              <w:t>]</w:t>
              <w:tab/>
            </w:r>
            <w:r>
              <w:rPr>
                <w:rStyle w:val="IndexLink"/>
              </w:rPr>
              <w:t>134</w:t>
            </w:r>
          </w:hyperlink>
        </w:p>
        <w:p>
          <w:pPr>
            <w:pStyle w:val="Contents6"/>
            <w:tabs>
              <w:tab w:val="clear" w:pos="7609"/>
              <w:tab w:val="right" w:pos="9026" w:leader="dot"/>
            </w:tabs>
            <w:rPr/>
          </w:pPr>
          <w:hyperlink w:anchor="__RefHeading___Toc2565514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ذات العادة الوقتیّة فقط إذا تجاوز دمها العشرة ترجع فی الوقت إلیٰ عادتها</w:t>
            </w:r>
            <w:r>
              <w:rPr>
                <w:rStyle w:val="IndexLink"/>
                <w:rtl w:val="true"/>
              </w:rPr>
              <w:t>]</w:t>
              <w:tab/>
            </w:r>
            <w:r>
              <w:rPr>
                <w:rStyle w:val="IndexLink"/>
              </w:rPr>
              <w:t>134</w:t>
            </w:r>
          </w:hyperlink>
        </w:p>
        <w:p>
          <w:pPr>
            <w:pStyle w:val="Contents6"/>
            <w:tabs>
              <w:tab w:val="clear" w:pos="7609"/>
              <w:tab w:val="right" w:pos="9026" w:leader="dot"/>
            </w:tabs>
            <w:rPr/>
          </w:pPr>
          <w:hyperlink w:anchor="__RefHeading___Toc2565516_3650668749">
            <w:r>
              <w:rPr>
                <w:webHidden/>
                <w:rStyle w:val="IndexLink"/>
                <w:rtl w:val="true"/>
              </w:rPr>
              <w:t>[</w:t>
            </w:r>
            <w:r>
              <w:rPr>
                <w:rStyle w:val="IndexLink"/>
                <w:rtl w:val="true"/>
              </w:rPr>
              <w:t>القول فی أحکام الحیض</w:t>
            </w:r>
            <w:r>
              <w:rPr>
                <w:rStyle w:val="IndexLink"/>
                <w:rtl w:val="true"/>
              </w:rPr>
              <w:t>]</w:t>
              <w:tab/>
            </w:r>
            <w:r>
              <w:rPr>
                <w:rStyle w:val="IndexLink"/>
              </w:rPr>
              <w:t>134</w:t>
            </w:r>
          </w:hyperlink>
        </w:p>
        <w:p>
          <w:pPr>
            <w:pStyle w:val="Contents6"/>
            <w:tabs>
              <w:tab w:val="clear" w:pos="7609"/>
              <w:tab w:val="right" w:pos="9026" w:leader="dot"/>
            </w:tabs>
            <w:rPr/>
          </w:pPr>
          <w:hyperlink w:anchor="__RefHeading___Toc2565518_3650668749">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2565520_3650668749">
            <w:r>
              <w:rPr>
                <w:webHidden/>
                <w:rStyle w:val="IndexLink"/>
                <w:rtl w:val="true"/>
              </w:rPr>
              <w:t>[</w:t>
            </w:r>
            <w:r>
              <w:rPr>
                <w:rStyle w:val="IndexLink"/>
                <w:rtl w:val="true"/>
              </w:rPr>
              <w:t>منها</w:t>
            </w:r>
            <w:r>
              <w:rPr>
                <w:rStyle w:val="IndexLink"/>
                <w:rtl w:val="true"/>
              </w:rPr>
              <w:t xml:space="preserve">: </w:t>
            </w:r>
            <w:r>
              <w:rPr>
                <w:rStyle w:val="IndexLink"/>
                <w:rtl w:val="true"/>
              </w:rPr>
              <w:t>عدم جواز الصلاة و الصیام و الطواف و الاعتکاف لها</w:t>
            </w:r>
            <w:r>
              <w:rPr>
                <w:rStyle w:val="IndexLink"/>
                <w:rtl w:val="true"/>
              </w:rPr>
              <w:t>]</w:t>
              <w:tab/>
            </w:r>
            <w:r>
              <w:rPr>
                <w:rStyle w:val="IndexLink"/>
              </w:rPr>
              <w:t>134</w:t>
            </w:r>
          </w:hyperlink>
        </w:p>
        <w:p>
          <w:pPr>
            <w:pStyle w:val="Contents6"/>
            <w:tabs>
              <w:tab w:val="clear" w:pos="7609"/>
              <w:tab w:val="right" w:pos="9026" w:leader="dot"/>
            </w:tabs>
            <w:rPr/>
          </w:pPr>
          <w:hyperlink w:anchor="__RefHeading___Toc2565522_3650668749">
            <w:r>
              <w:rPr>
                <w:webHidden/>
                <w:rStyle w:val="IndexLink"/>
                <w:rtl w:val="true"/>
              </w:rPr>
              <w:t>[</w:t>
            </w:r>
            <w:r>
              <w:rPr>
                <w:rStyle w:val="IndexLink"/>
                <w:rtl w:val="true"/>
              </w:rPr>
              <w:t>و منها</w:t>
            </w:r>
            <w:r>
              <w:rPr>
                <w:rStyle w:val="IndexLink"/>
                <w:rtl w:val="true"/>
              </w:rPr>
              <w:t xml:space="preserve">: </w:t>
            </w:r>
            <w:r>
              <w:rPr>
                <w:rStyle w:val="IndexLink"/>
                <w:rtl w:val="true"/>
              </w:rPr>
              <w:t>حرمة ما یحرم علیٰ مطلق المحدث علیها</w:t>
            </w:r>
            <w:r>
              <w:rPr>
                <w:rStyle w:val="IndexLink"/>
                <w:rtl w:val="true"/>
              </w:rPr>
              <w:t>]</w:t>
              <w:tab/>
            </w:r>
            <w:r>
              <w:rPr>
                <w:rStyle w:val="IndexLink"/>
              </w:rPr>
              <w:t>134</w:t>
            </w:r>
          </w:hyperlink>
        </w:p>
        <w:p>
          <w:pPr>
            <w:pStyle w:val="Contents6"/>
            <w:tabs>
              <w:tab w:val="clear" w:pos="7609"/>
              <w:tab w:val="right" w:pos="9026" w:leader="dot"/>
            </w:tabs>
            <w:rPr/>
          </w:pPr>
          <w:hyperlink w:anchor="__RefHeading___Toc2565524_3650668749">
            <w:r>
              <w:rPr>
                <w:webHidden/>
                <w:rStyle w:val="IndexLink"/>
                <w:rtl w:val="true"/>
              </w:rPr>
              <w:t>[</w:t>
            </w:r>
            <w:r>
              <w:rPr>
                <w:rStyle w:val="IndexLink"/>
                <w:rtl w:val="true"/>
              </w:rPr>
              <w:t>و منها</w:t>
            </w:r>
            <w:r>
              <w:rPr>
                <w:rStyle w:val="IndexLink"/>
                <w:rtl w:val="true"/>
              </w:rPr>
              <w:t xml:space="preserve">: </w:t>
            </w:r>
            <w:r>
              <w:rPr>
                <w:rStyle w:val="IndexLink"/>
                <w:rtl w:val="true"/>
              </w:rPr>
              <w:t>حرمة ما یحرم علی الجنب علیها</w:t>
            </w:r>
            <w:r>
              <w:rPr>
                <w:rStyle w:val="IndexLink"/>
                <w:rtl w:val="true"/>
              </w:rPr>
              <w:t>]</w:t>
              <w:tab/>
            </w:r>
            <w:r>
              <w:rPr>
                <w:rStyle w:val="IndexLink"/>
              </w:rPr>
              <w:t>135</w:t>
            </w:r>
          </w:hyperlink>
        </w:p>
        <w:p>
          <w:pPr>
            <w:pStyle w:val="Contents6"/>
            <w:tabs>
              <w:tab w:val="clear" w:pos="7609"/>
              <w:tab w:val="right" w:pos="9026" w:leader="dot"/>
            </w:tabs>
            <w:rPr/>
          </w:pPr>
          <w:hyperlink w:anchor="__RefHeading___Toc2565526_3650668749">
            <w:r>
              <w:rPr>
                <w:webHidden/>
                <w:rStyle w:val="IndexLink"/>
                <w:rtl w:val="true"/>
              </w:rPr>
              <w:t>[</w:t>
            </w:r>
            <w:r>
              <w:rPr>
                <w:rStyle w:val="IndexLink"/>
                <w:rtl w:val="true"/>
              </w:rPr>
              <w:t>و منها</w:t>
            </w:r>
            <w:r>
              <w:rPr>
                <w:rStyle w:val="IndexLink"/>
                <w:rtl w:val="true"/>
              </w:rPr>
              <w:t xml:space="preserve">: </w:t>
            </w:r>
            <w:r>
              <w:rPr>
                <w:rStyle w:val="IndexLink"/>
                <w:rtl w:val="true"/>
              </w:rPr>
              <w:t>حرمة الوطء بها علی الرجل و علیها</w:t>
            </w:r>
            <w:r>
              <w:rPr>
                <w:rStyle w:val="IndexLink"/>
                <w:rtl w:val="true"/>
              </w:rPr>
              <w:t>]</w:t>
              <w:tab/>
            </w:r>
            <w:r>
              <w:rPr>
                <w:rStyle w:val="IndexLink"/>
              </w:rPr>
              <w:t>135</w:t>
            </w:r>
          </w:hyperlink>
        </w:p>
        <w:p>
          <w:pPr>
            <w:pStyle w:val="Contents6"/>
            <w:tabs>
              <w:tab w:val="clear" w:pos="7609"/>
              <w:tab w:val="right" w:pos="9026" w:leader="dot"/>
            </w:tabs>
            <w:rPr/>
          </w:pPr>
          <w:hyperlink w:anchor="__RefHeading___Toc2565528_3650668749">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256553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فرق فی حرمة وطء الحائض بین الزوجة الدائمة و المنقطعة</w:t>
            </w:r>
            <w:r>
              <w:rPr>
                <w:rStyle w:val="IndexLink"/>
                <w:rtl w:val="true"/>
              </w:rPr>
              <w:t>]</w:t>
              <w:tab/>
            </w:r>
            <w:r>
              <w:rPr>
                <w:rStyle w:val="IndexLink"/>
              </w:rPr>
              <w:t>135</w:t>
            </w:r>
          </w:hyperlink>
        </w:p>
        <w:p>
          <w:pPr>
            <w:pStyle w:val="Contents6"/>
            <w:tabs>
              <w:tab w:val="clear" w:pos="7609"/>
              <w:tab w:val="right" w:pos="9026" w:leader="dot"/>
            </w:tabs>
            <w:rPr/>
          </w:pPr>
          <w:hyperlink w:anchor="__RefHeading___Toc256553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طهرت جاز لزوجها وطؤها قبل الغسل علیٰ کراهیة</w:t>
            </w:r>
            <w:r>
              <w:rPr>
                <w:rStyle w:val="IndexLink"/>
                <w:rtl w:val="true"/>
              </w:rPr>
              <w:t>]</w:t>
              <w:tab/>
            </w:r>
            <w:r>
              <w:rPr>
                <w:rStyle w:val="IndexLink"/>
              </w:rPr>
              <w:t>135</w:t>
            </w:r>
          </w:hyperlink>
        </w:p>
        <w:p>
          <w:pPr>
            <w:pStyle w:val="Contents6"/>
            <w:tabs>
              <w:tab w:val="clear" w:pos="7609"/>
              <w:tab w:val="right" w:pos="9026" w:leader="dot"/>
            </w:tabs>
            <w:rPr/>
          </w:pPr>
          <w:hyperlink w:anchor="__RefHeading___Toc2565534_3650668749">
            <w:r>
              <w:rPr>
                <w:webHidden/>
                <w:rStyle w:val="IndexLink"/>
                <w:rtl w:val="true"/>
              </w:rPr>
              <w:t>[</w:t>
            </w:r>
            <w:r>
              <w:rPr>
                <w:rStyle w:val="IndexLink"/>
                <w:rtl w:val="true"/>
              </w:rPr>
              <w:t>و منها</w:t>
            </w:r>
            <w:r>
              <w:rPr>
                <w:rStyle w:val="IndexLink"/>
                <w:rtl w:val="true"/>
              </w:rPr>
              <w:t xml:space="preserve">: </w:t>
            </w:r>
            <w:r>
              <w:rPr>
                <w:rStyle w:val="IndexLink"/>
                <w:rtl w:val="true"/>
              </w:rPr>
              <w:t>ترتّب الکفّارة علیٰ وطئها علی الأحوط</w:t>
            </w:r>
            <w:r>
              <w:rPr>
                <w:rStyle w:val="IndexLink"/>
                <w:rtl w:val="true"/>
              </w:rPr>
              <w:t>]</w:t>
              <w:tab/>
            </w:r>
            <w:r>
              <w:rPr>
                <w:rStyle w:val="IndexLink"/>
              </w:rPr>
              <w:t>135</w:t>
            </w:r>
          </w:hyperlink>
        </w:p>
        <w:p>
          <w:pPr>
            <w:pStyle w:val="Contents6"/>
            <w:tabs>
              <w:tab w:val="clear" w:pos="7609"/>
              <w:tab w:val="right" w:pos="9026" w:leader="dot"/>
            </w:tabs>
            <w:rPr/>
          </w:pPr>
          <w:hyperlink w:anchor="__RefHeading___Toc2565536_3650668749">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256553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المراد بأوّل الحیض ثلثه الأوّل و بوسطه ثلثه الثانی</w:t>
            </w:r>
            <w:r>
              <w:rPr>
                <w:rStyle w:val="IndexLink"/>
                <w:rtl w:val="true"/>
              </w:rPr>
              <w:t>]</w:t>
              <w:tab/>
            </w:r>
            <w:r>
              <w:rPr>
                <w:rStyle w:val="IndexLink"/>
              </w:rPr>
              <w:t>135</w:t>
            </w:r>
          </w:hyperlink>
        </w:p>
        <w:p>
          <w:pPr>
            <w:pStyle w:val="Contents6"/>
            <w:tabs>
              <w:tab w:val="clear" w:pos="7609"/>
              <w:tab w:val="right" w:pos="9026" w:leader="dot"/>
            </w:tabs>
            <w:rPr/>
          </w:pPr>
          <w:hyperlink w:anchor="__RefHeading___Toc256554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وطئها معتقداً حیضها فبان عدمه</w:t>
            </w:r>
            <w:r>
              <w:rPr>
                <w:rStyle w:val="IndexLink"/>
                <w:rtl w:val="true"/>
              </w:rPr>
              <w:t>]</w:t>
              <w:tab/>
            </w:r>
            <w:r>
              <w:rPr>
                <w:rStyle w:val="IndexLink"/>
              </w:rPr>
              <w:t>136</w:t>
            </w:r>
          </w:hyperlink>
        </w:p>
        <w:p>
          <w:pPr>
            <w:pStyle w:val="Contents6"/>
            <w:tabs>
              <w:tab w:val="clear" w:pos="7609"/>
              <w:tab w:val="right" w:pos="9026" w:leader="dot"/>
            </w:tabs>
            <w:rPr/>
          </w:pPr>
          <w:hyperlink w:anchor="__RefHeading___Toc256554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اتّفق حیضها حال المقاربة</w:t>
            </w:r>
            <w:r>
              <w:rPr>
                <w:rStyle w:val="IndexLink"/>
                <w:rtl w:val="true"/>
              </w:rPr>
              <w:t>]</w:t>
              <w:tab/>
            </w:r>
            <w:r>
              <w:rPr>
                <w:rStyle w:val="IndexLink"/>
              </w:rPr>
              <w:t>136</w:t>
            </w:r>
          </w:hyperlink>
        </w:p>
        <w:p>
          <w:pPr>
            <w:pStyle w:val="Contents6"/>
            <w:tabs>
              <w:tab w:val="clear" w:pos="7609"/>
              <w:tab w:val="right" w:pos="9026" w:leader="dot"/>
            </w:tabs>
            <w:rPr/>
          </w:pPr>
          <w:hyperlink w:anchor="__RefHeading___Toc2565544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یجوز إعطاء قیمة الدینار</w:t>
            </w:r>
            <w:r>
              <w:rPr>
                <w:rStyle w:val="IndexLink"/>
                <w:rtl w:val="true"/>
              </w:rPr>
              <w:t>]</w:t>
              <w:tab/>
            </w:r>
            <w:r>
              <w:rPr>
                <w:rStyle w:val="IndexLink"/>
              </w:rPr>
              <w:t>136</w:t>
            </w:r>
          </w:hyperlink>
        </w:p>
        <w:p>
          <w:pPr>
            <w:pStyle w:val="Contents6"/>
            <w:tabs>
              <w:tab w:val="clear" w:pos="7609"/>
              <w:tab w:val="right" w:pos="9026" w:leader="dot"/>
            </w:tabs>
            <w:rPr/>
          </w:pPr>
          <w:hyperlink w:anchor="__RefHeading___Toc2565546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تعطیٰ کفّارة الأمداد لثلاثة مساکین</w:t>
            </w:r>
            <w:r>
              <w:rPr>
                <w:rStyle w:val="IndexLink"/>
                <w:rtl w:val="true"/>
              </w:rPr>
              <w:t>]</w:t>
              <w:tab/>
            </w:r>
            <w:r>
              <w:rPr>
                <w:rStyle w:val="IndexLink"/>
              </w:rPr>
              <w:t>136</w:t>
            </w:r>
          </w:hyperlink>
        </w:p>
        <w:p>
          <w:pPr>
            <w:pStyle w:val="Contents6"/>
            <w:tabs>
              <w:tab w:val="clear" w:pos="7609"/>
              <w:tab w:val="right" w:pos="9026" w:leader="dot"/>
            </w:tabs>
            <w:rPr/>
          </w:pPr>
          <w:hyperlink w:anchor="__RefHeading___Toc2565548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تتکرّر الکفّارة بتکرّر الوطء إذا وقع فی أوقات مختلفة</w:t>
            </w:r>
            <w:r>
              <w:rPr>
                <w:rStyle w:val="IndexLink"/>
                <w:rtl w:val="true"/>
              </w:rPr>
              <w:t>]</w:t>
              <w:tab/>
            </w:r>
            <w:r>
              <w:rPr>
                <w:rStyle w:val="IndexLink"/>
              </w:rPr>
              <w:t>136</w:t>
            </w:r>
          </w:hyperlink>
        </w:p>
        <w:p>
          <w:pPr>
            <w:pStyle w:val="Contents6"/>
            <w:tabs>
              <w:tab w:val="clear" w:pos="7609"/>
              <w:tab w:val="right" w:pos="9026" w:leader="dot"/>
            </w:tabs>
            <w:rPr/>
          </w:pPr>
          <w:hyperlink w:anchor="__RefHeading___Toc2565550_3650668749">
            <w:r>
              <w:rPr>
                <w:webHidden/>
                <w:rStyle w:val="IndexLink"/>
                <w:rtl w:val="true"/>
              </w:rPr>
              <w:t>[</w:t>
            </w:r>
            <w:r>
              <w:rPr>
                <w:rStyle w:val="IndexLink"/>
                <w:rtl w:val="true"/>
              </w:rPr>
              <w:t>و منها</w:t>
            </w:r>
            <w:r>
              <w:rPr>
                <w:rStyle w:val="IndexLink"/>
                <w:rtl w:val="true"/>
              </w:rPr>
              <w:t xml:space="preserve">: </w:t>
            </w:r>
            <w:r>
              <w:rPr>
                <w:rStyle w:val="IndexLink"/>
                <w:rtl w:val="true"/>
              </w:rPr>
              <w:t>بطلان طلاقها إذا کانت مدخولة و لم تکن حاملًا و کان زوجها حاضراً أو بحکمه</w:t>
            </w:r>
            <w:r>
              <w:rPr>
                <w:rStyle w:val="IndexLink"/>
                <w:rtl w:val="true"/>
              </w:rPr>
              <w:t>]</w:t>
              <w:tab/>
            </w:r>
            <w:r>
              <w:rPr>
                <w:rStyle w:val="IndexLink"/>
              </w:rPr>
              <w:t>136</w:t>
            </w:r>
          </w:hyperlink>
        </w:p>
        <w:p>
          <w:pPr>
            <w:pStyle w:val="Contents6"/>
            <w:tabs>
              <w:tab w:val="clear" w:pos="7609"/>
              <w:tab w:val="right" w:pos="9026" w:leader="dot"/>
            </w:tabs>
            <w:rPr/>
          </w:pPr>
          <w:hyperlink w:anchor="__RefHeading___Toc2565552_3650668749">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2565554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إذا کان الزوج غائباً و وکّل حاضراً متمکّناً من استعلام حالها</w:t>
            </w:r>
            <w:r>
              <w:rPr>
                <w:rStyle w:val="IndexLink"/>
                <w:rtl w:val="true"/>
              </w:rPr>
              <w:t>]</w:t>
              <w:tab/>
            </w:r>
            <w:r>
              <w:rPr>
                <w:rStyle w:val="IndexLink"/>
              </w:rPr>
              <w:t>136</w:t>
            </w:r>
          </w:hyperlink>
        </w:p>
        <w:p>
          <w:pPr>
            <w:pStyle w:val="Contents6"/>
            <w:tabs>
              <w:tab w:val="clear" w:pos="7609"/>
              <w:tab w:val="right" w:pos="9026" w:leader="dot"/>
            </w:tabs>
            <w:rPr/>
          </w:pPr>
          <w:hyperlink w:anchor="__RefHeading___Toc2565556_3650668749">
            <w:r>
              <w:rPr>
                <w:webHidden/>
                <w:rStyle w:val="IndexLink"/>
                <w:rtl w:val="true"/>
              </w:rPr>
              <w:t>[</w:t>
            </w:r>
            <w:r>
              <w:rPr>
                <w:rStyle w:val="IndexLink"/>
                <w:rtl w:val="true"/>
              </w:rPr>
              <w:t>و منها</w:t>
            </w:r>
            <w:r>
              <w:rPr>
                <w:rStyle w:val="IndexLink"/>
                <w:rtl w:val="true"/>
              </w:rPr>
              <w:t xml:space="preserve">: </w:t>
            </w:r>
            <w:r>
              <w:rPr>
                <w:rStyle w:val="IndexLink"/>
                <w:rtl w:val="true"/>
              </w:rPr>
              <w:t>وجوب الغسل عند انقطاع الحیض لکلّ مشروط بالطهارة من الحدث الأکبر</w:t>
            </w:r>
            <w:r>
              <w:rPr>
                <w:rStyle w:val="IndexLink"/>
                <w:rtl w:val="true"/>
              </w:rPr>
              <w:t>]</w:t>
              <w:tab/>
            </w:r>
            <w:r>
              <w:rPr>
                <w:rStyle w:val="IndexLink"/>
              </w:rPr>
              <w:t>136</w:t>
            </w:r>
          </w:hyperlink>
        </w:p>
        <w:p>
          <w:pPr>
            <w:pStyle w:val="Contents6"/>
            <w:tabs>
              <w:tab w:val="clear" w:pos="7609"/>
              <w:tab w:val="right" w:pos="9026" w:leader="dot"/>
            </w:tabs>
            <w:rPr/>
          </w:pPr>
          <w:hyperlink w:anchor="__RefHeading___Toc2565558_3650668749">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256556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لو لم یکن عندها الماء إلّا بقدر أحدهما تقدّم الغسل</w:t>
            </w:r>
            <w:r>
              <w:rPr>
                <w:rStyle w:val="IndexLink"/>
                <w:rtl w:val="true"/>
              </w:rPr>
              <w:t>]</w:t>
              <w:tab/>
            </w:r>
            <w:r>
              <w:rPr>
                <w:rStyle w:val="IndexLink"/>
              </w:rPr>
              <w:t>137</w:t>
            </w:r>
          </w:hyperlink>
        </w:p>
        <w:p>
          <w:pPr>
            <w:pStyle w:val="Contents6"/>
            <w:tabs>
              <w:tab w:val="clear" w:pos="7609"/>
              <w:tab w:val="right" w:pos="9026" w:leader="dot"/>
            </w:tabs>
            <w:rPr/>
          </w:pPr>
          <w:hyperlink w:anchor="__RefHeading___Toc256556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إذا تیمّمت بدلًا عن الغسل ثمّ أحدث بالحدث الأصغر لم یبطل تیمّمها</w:t>
            </w:r>
            <w:r>
              <w:rPr>
                <w:rStyle w:val="IndexLink"/>
                <w:rtl w:val="true"/>
              </w:rPr>
              <w:t>]</w:t>
              <w:tab/>
            </w:r>
            <w:r>
              <w:rPr>
                <w:rStyle w:val="IndexLink"/>
              </w:rPr>
              <w:t>137</w:t>
            </w:r>
          </w:hyperlink>
        </w:p>
        <w:p>
          <w:pPr>
            <w:pStyle w:val="Contents6"/>
            <w:tabs>
              <w:tab w:val="clear" w:pos="7609"/>
              <w:tab w:val="right" w:pos="9026" w:leader="dot"/>
            </w:tabs>
            <w:rPr/>
          </w:pPr>
          <w:hyperlink w:anchor="__RefHeading___Toc2565564_3650668749">
            <w:r>
              <w:rPr>
                <w:webHidden/>
                <w:rStyle w:val="IndexLink"/>
                <w:rtl w:val="true"/>
              </w:rPr>
              <w:t>[</w:t>
            </w:r>
            <w:r>
              <w:rPr>
                <w:rStyle w:val="IndexLink"/>
                <w:rtl w:val="true"/>
              </w:rPr>
              <w:t>و منها</w:t>
            </w:r>
            <w:r>
              <w:rPr>
                <w:rStyle w:val="IndexLink"/>
                <w:rtl w:val="true"/>
              </w:rPr>
              <w:t xml:space="preserve">: </w:t>
            </w:r>
            <w:r>
              <w:rPr>
                <w:rStyle w:val="IndexLink"/>
                <w:rtl w:val="true"/>
              </w:rPr>
              <w:t>وجوب قضاء ما ترکته فی حال الحیض من الصیام الواجب</w:t>
            </w:r>
            <w:r>
              <w:rPr>
                <w:rStyle w:val="IndexLink"/>
                <w:rtl w:val="true"/>
              </w:rPr>
              <w:t>]</w:t>
              <w:tab/>
            </w:r>
            <w:r>
              <w:rPr>
                <w:rStyle w:val="IndexLink"/>
              </w:rPr>
              <w:t>137</w:t>
            </w:r>
          </w:hyperlink>
        </w:p>
        <w:p>
          <w:pPr>
            <w:pStyle w:val="Contents6"/>
            <w:tabs>
              <w:tab w:val="clear" w:pos="7609"/>
              <w:tab w:val="right" w:pos="9026" w:leader="dot"/>
            </w:tabs>
            <w:rPr/>
          </w:pPr>
          <w:hyperlink w:anchor="__RefHeading___Toc2565566_3650668749">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2565568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إذا طهرت من الحیض قبل خروج الوقت</w:t>
            </w:r>
            <w:r>
              <w:rPr>
                <w:rStyle w:val="IndexLink"/>
                <w:rtl w:val="true"/>
              </w:rPr>
              <w:t>]</w:t>
              <w:tab/>
            </w:r>
            <w:r>
              <w:rPr>
                <w:rStyle w:val="IndexLink"/>
              </w:rPr>
              <w:t>137</w:t>
            </w:r>
          </w:hyperlink>
        </w:p>
        <w:p>
          <w:pPr>
            <w:pStyle w:val="Contents6"/>
            <w:tabs>
              <w:tab w:val="clear" w:pos="7609"/>
              <w:tab w:val="right" w:pos="9026" w:leader="dot"/>
            </w:tabs>
            <w:rPr/>
          </w:pPr>
          <w:hyperlink w:anchor="__RefHeading___Toc2565570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إذا ظنّت ضیق الوقت عن أداء رکعة فترکت</w:t>
            </w:r>
            <w:r>
              <w:rPr>
                <w:rStyle w:val="IndexLink"/>
                <w:rtl w:val="true"/>
              </w:rPr>
              <w:t>]</w:t>
              <w:tab/>
            </w:r>
            <w:r>
              <w:rPr>
                <w:rStyle w:val="IndexLink"/>
              </w:rPr>
              <w:t>137</w:t>
            </w:r>
          </w:hyperlink>
        </w:p>
        <w:p>
          <w:pPr>
            <w:pStyle w:val="Contents6"/>
            <w:tabs>
              <w:tab w:val="clear" w:pos="7609"/>
              <w:tab w:val="right" w:pos="9026" w:leader="dot"/>
            </w:tabs>
            <w:rPr/>
          </w:pPr>
          <w:hyperlink w:anchor="__RefHeading___Toc2565572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إذا طهرت فی آخر النهار و أدرکت من الوقت مقدار أربع رکعات فی الحضر</w:t>
            </w:r>
            <w:r>
              <w:rPr>
                <w:rStyle w:val="IndexLink"/>
                <w:rtl w:val="true"/>
              </w:rPr>
              <w:t>]</w:t>
              <w:tab/>
            </w:r>
            <w:r>
              <w:rPr>
                <w:rStyle w:val="IndexLink"/>
              </w:rPr>
              <w:t>137</w:t>
            </w:r>
          </w:hyperlink>
        </w:p>
        <w:p>
          <w:pPr>
            <w:pStyle w:val="Contents6"/>
            <w:tabs>
              <w:tab w:val="clear" w:pos="7609"/>
              <w:tab w:val="right" w:pos="9026" w:leader="dot"/>
            </w:tabs>
            <w:rPr/>
          </w:pPr>
          <w:hyperlink w:anchor="__RefHeading___Toc2565574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إذا اعتقدت سعة الوقت للصلاتین فتبیّن عدمها و أنّ وظیفتها خصوص الثانیة وجب قضاؤها</w:t>
            </w:r>
            <w:r>
              <w:rPr>
                <w:rStyle w:val="IndexLink"/>
                <w:rtl w:val="true"/>
              </w:rPr>
              <w:t>]</w:t>
              <w:tab/>
            </w:r>
            <w:r>
              <w:rPr>
                <w:rStyle w:val="IndexLink"/>
              </w:rPr>
              <w:t>138</w:t>
            </w:r>
          </w:hyperlink>
        </w:p>
        <w:p>
          <w:pPr>
            <w:pStyle w:val="Contents6"/>
            <w:tabs>
              <w:tab w:val="clear" w:pos="7609"/>
              <w:tab w:val="right" w:pos="9026" w:leader="dot"/>
            </w:tabs>
            <w:rPr/>
          </w:pPr>
          <w:hyperlink w:anchor="__RefHeading___Toc2565576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یستحبّ للحائض أن تبدّل القطنة و تتوضّأ وقت کلّ صلاة</w:t>
            </w:r>
            <w:r>
              <w:rPr>
                <w:rStyle w:val="IndexLink"/>
                <w:rtl w:val="true"/>
              </w:rPr>
              <w:t>]</w:t>
              <w:tab/>
            </w:r>
            <w:r>
              <w:rPr>
                <w:rStyle w:val="IndexLink"/>
              </w:rPr>
              <w:t>138</w:t>
            </w:r>
          </w:hyperlink>
        </w:p>
        <w:p>
          <w:pPr>
            <w:pStyle w:val="Contents5"/>
            <w:tabs>
              <w:tab w:val="clear" w:pos="7892"/>
              <w:tab w:val="right" w:pos="9026" w:leader="dot"/>
            </w:tabs>
            <w:rPr/>
          </w:pPr>
          <w:hyperlink w:anchor="__RefHeading___Toc2565578_3650668749">
            <w:r>
              <w:rPr>
                <w:webHidden/>
                <w:rStyle w:val="IndexLink"/>
                <w:rtl w:val="true"/>
              </w:rPr>
              <w:t>[</w:t>
            </w:r>
            <w:r>
              <w:rPr>
                <w:rStyle w:val="IndexLink"/>
                <w:rtl w:val="true"/>
              </w:rPr>
              <w:t>فصل فی الاستحاضة</w:t>
            </w:r>
            <w:r>
              <w:rPr>
                <w:rStyle w:val="IndexLink"/>
                <w:rtl w:val="true"/>
              </w:rPr>
              <w:t>]</w:t>
              <w:tab/>
            </w:r>
            <w:r>
              <w:rPr>
                <w:rStyle w:val="IndexLink"/>
              </w:rPr>
              <w:t>138</w:t>
            </w:r>
          </w:hyperlink>
        </w:p>
        <w:p>
          <w:pPr>
            <w:pStyle w:val="Contents6"/>
            <w:tabs>
              <w:tab w:val="clear" w:pos="7609"/>
              <w:tab w:val="right" w:pos="9026" w:leader="dot"/>
            </w:tabs>
            <w:rPr/>
          </w:pPr>
          <w:hyperlink w:anchor="__RefHeading___Toc2565580_3650668749">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2565582_3650668749">
            <w:r>
              <w:rPr>
                <w:webHidden/>
                <w:rStyle w:val="IndexLink"/>
                <w:rtl w:val="true"/>
              </w:rPr>
              <w:t>[</w:t>
            </w:r>
            <w:r>
              <w:rPr>
                <w:rStyle w:val="IndexLink"/>
                <w:rtl w:val="true"/>
              </w:rPr>
              <w:t>الکلام فی دم الاستحاضة و أحکامها</w:t>
            </w:r>
            <w:r>
              <w:rPr>
                <w:rStyle w:val="IndexLink"/>
                <w:rtl w:val="true"/>
              </w:rPr>
              <w:t>]</w:t>
              <w:tab/>
            </w:r>
            <w:r>
              <w:rPr>
                <w:rStyle w:val="IndexLink"/>
              </w:rPr>
              <w:t>138</w:t>
            </w:r>
          </w:hyperlink>
        </w:p>
        <w:p>
          <w:pPr>
            <w:pStyle w:val="Contents6"/>
            <w:tabs>
              <w:tab w:val="clear" w:pos="7609"/>
              <w:tab w:val="right" w:pos="9026" w:leader="dot"/>
            </w:tabs>
            <w:rPr/>
          </w:pPr>
          <w:hyperlink w:anchor="__RefHeading___Toc2565584_3650668749">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2565586_3650668749">
            <w:r>
              <w:rPr>
                <w:webHidden/>
                <w:rStyle w:val="IndexLink"/>
                <w:rtl w:val="true"/>
              </w:rPr>
              <w:t>[</w:t>
            </w:r>
            <w:r>
              <w:rPr>
                <w:rStyle w:val="IndexLink"/>
                <w:rtl w:val="true"/>
              </w:rPr>
              <w:t>دم الاستحاضة</w:t>
            </w:r>
            <w:r>
              <w:rPr>
                <w:rStyle w:val="IndexLink"/>
                <w:rtl w:val="true"/>
              </w:rPr>
              <w:t>]</w:t>
              <w:tab/>
            </w:r>
            <w:r>
              <w:rPr>
                <w:rStyle w:val="IndexLink"/>
              </w:rPr>
              <w:t>138</w:t>
            </w:r>
          </w:hyperlink>
        </w:p>
        <w:p>
          <w:pPr>
            <w:pStyle w:val="Contents6"/>
            <w:tabs>
              <w:tab w:val="clear" w:pos="7609"/>
              <w:tab w:val="right" w:pos="9026" w:leader="dot"/>
            </w:tabs>
            <w:rPr/>
          </w:pPr>
          <w:hyperlink w:anchor="__RefHeading___Toc2565588_3650668749">
            <w:r>
              <w:rPr>
                <w:webHidden/>
                <w:rStyle w:val="IndexLink"/>
                <w:rtl w:val="true"/>
              </w:rPr>
              <w:t>[</w:t>
            </w:r>
            <w:r>
              <w:rPr>
                <w:rStyle w:val="IndexLink"/>
                <w:rtl w:val="true"/>
              </w:rPr>
              <w:t>و أمّا أحکامها</w:t>
            </w:r>
            <w:r>
              <w:rPr>
                <w:rStyle w:val="IndexLink"/>
                <w:rtl w:val="true"/>
              </w:rPr>
              <w:t>]</w:t>
              <w:tab/>
            </w:r>
            <w:r>
              <w:rPr>
                <w:rStyle w:val="IndexLink"/>
              </w:rPr>
              <w:t>138</w:t>
            </w:r>
          </w:hyperlink>
        </w:p>
        <w:p>
          <w:pPr>
            <w:pStyle w:val="Contents6"/>
            <w:tabs>
              <w:tab w:val="clear" w:pos="7609"/>
              <w:tab w:val="right" w:pos="9026" w:leader="dot"/>
            </w:tabs>
            <w:rPr/>
          </w:pPr>
          <w:hyperlink w:anchor="__RefHeading___Toc2565590_3650668749">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2565592_3650668749">
            <w:r>
              <w:rPr>
                <w:webHidden/>
                <w:rStyle w:val="IndexLink"/>
                <w:rtl w:val="true"/>
              </w:rPr>
              <w:t>[</w:t>
            </w:r>
            <w:r>
              <w:rPr>
                <w:rStyle w:val="IndexLink"/>
                <w:rtl w:val="true"/>
              </w:rPr>
              <w:t>فالأُولیٰ القلیلة</w:t>
            </w:r>
            <w:r>
              <w:rPr>
                <w:rStyle w:val="IndexLink"/>
                <w:rtl w:val="true"/>
              </w:rPr>
              <w:t>]</w:t>
              <w:tab/>
            </w:r>
            <w:r>
              <w:rPr>
                <w:rStyle w:val="IndexLink"/>
              </w:rPr>
              <w:t>138</w:t>
            </w:r>
          </w:hyperlink>
        </w:p>
        <w:p>
          <w:pPr>
            <w:pStyle w:val="Contents6"/>
            <w:tabs>
              <w:tab w:val="clear" w:pos="7609"/>
              <w:tab w:val="right" w:pos="9026" w:leader="dot"/>
            </w:tabs>
            <w:rPr/>
          </w:pPr>
          <w:hyperlink w:anchor="__RefHeading___Toc2565594_3650668749">
            <w:r>
              <w:rPr>
                <w:webHidden/>
                <w:rStyle w:val="IndexLink"/>
                <w:rtl w:val="true"/>
              </w:rPr>
              <w:t>[</w:t>
            </w:r>
            <w:r>
              <w:rPr>
                <w:rStyle w:val="IndexLink"/>
                <w:rtl w:val="true"/>
              </w:rPr>
              <w:t>و الثانیة المتوسطة</w:t>
            </w:r>
            <w:r>
              <w:rPr>
                <w:rStyle w:val="IndexLink"/>
                <w:rtl w:val="true"/>
              </w:rPr>
              <w:t>]</w:t>
              <w:tab/>
            </w:r>
            <w:r>
              <w:rPr>
                <w:rStyle w:val="IndexLink"/>
              </w:rPr>
              <w:t>139</w:t>
            </w:r>
          </w:hyperlink>
        </w:p>
        <w:p>
          <w:pPr>
            <w:pStyle w:val="Contents6"/>
            <w:tabs>
              <w:tab w:val="clear" w:pos="7609"/>
              <w:tab w:val="right" w:pos="9026" w:leader="dot"/>
            </w:tabs>
            <w:rPr/>
          </w:pPr>
          <w:hyperlink w:anchor="__RefHeading___Toc2565596_3650668749">
            <w:r>
              <w:rPr>
                <w:webHidden/>
                <w:rStyle w:val="IndexLink"/>
                <w:rtl w:val="true"/>
              </w:rPr>
              <w:t>[</w:t>
            </w:r>
            <w:r>
              <w:rPr>
                <w:rStyle w:val="IndexLink"/>
                <w:rtl w:val="true"/>
              </w:rPr>
              <w:t>و الثالثة الکثیرة</w:t>
            </w:r>
            <w:r>
              <w:rPr>
                <w:rStyle w:val="IndexLink"/>
                <w:rtl w:val="true"/>
              </w:rPr>
              <w:t>]</w:t>
              <w:tab/>
            </w:r>
            <w:r>
              <w:rPr>
                <w:rStyle w:val="IndexLink"/>
              </w:rPr>
              <w:t>139</w:t>
            </w:r>
          </w:hyperlink>
        </w:p>
        <w:p>
          <w:pPr>
            <w:pStyle w:val="Contents6"/>
            <w:tabs>
              <w:tab w:val="clear" w:pos="7609"/>
              <w:tab w:val="right" w:pos="9026" w:leader="dot"/>
            </w:tabs>
            <w:rPr/>
          </w:pPr>
          <w:hyperlink w:anchor="__RefHeading___Toc2565598_3650668749">
            <w:r>
              <w:rPr>
                <w:webHidden/>
                <w:rStyle w:val="IndexLink"/>
                <w:rtl w:val="true"/>
              </w:rPr>
              <w:t>[</w:t>
            </w:r>
            <w:r>
              <w:rPr>
                <w:rStyle w:val="IndexLink"/>
                <w:rtl w:val="true"/>
              </w:rPr>
              <w:t>مسائل</w:t>
            </w:r>
            <w:r>
              <w:rPr>
                <w:rStyle w:val="IndexLink"/>
                <w:rtl w:val="true"/>
              </w:rPr>
              <w:t>]</w:t>
              <w:tab/>
            </w:r>
            <w:r>
              <w:rPr>
                <w:rStyle w:val="IndexLink"/>
              </w:rPr>
              <w:t>139</w:t>
            </w:r>
          </w:hyperlink>
        </w:p>
        <w:p>
          <w:pPr>
            <w:pStyle w:val="Contents6"/>
            <w:tabs>
              <w:tab w:val="clear" w:pos="7609"/>
              <w:tab w:val="right" w:pos="9026" w:leader="dot"/>
            </w:tabs>
            <w:rPr/>
          </w:pPr>
          <w:hyperlink w:anchor="__RefHeading___Toc256560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یجب علی المستحاضة اختبار حالها فی وقت کلّ صلاة بإدخال قطنة و نحوها</w:t>
            </w:r>
            <w:r>
              <w:rPr>
                <w:rStyle w:val="IndexLink"/>
                <w:rtl w:val="true"/>
              </w:rPr>
              <w:t>]</w:t>
              <w:tab/>
            </w:r>
            <w:r>
              <w:rPr>
                <w:rStyle w:val="IndexLink"/>
              </w:rPr>
              <w:t>139</w:t>
            </w:r>
          </w:hyperlink>
        </w:p>
        <w:p>
          <w:pPr>
            <w:pStyle w:val="Contents6"/>
            <w:tabs>
              <w:tab w:val="clear" w:pos="7609"/>
              <w:tab w:val="right" w:pos="9026" w:leader="dot"/>
            </w:tabs>
            <w:rPr/>
          </w:pPr>
          <w:hyperlink w:anchor="__RefHeading___Toc256560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إنّما یجب تجدید الوضوء لکلّ صلاة و الأعمال المذکورة إذا استمرّ الدم</w:t>
            </w:r>
            <w:r>
              <w:rPr>
                <w:rStyle w:val="IndexLink"/>
                <w:rtl w:val="true"/>
              </w:rPr>
              <w:t>]</w:t>
              <w:tab/>
            </w:r>
            <w:r>
              <w:rPr>
                <w:rStyle w:val="IndexLink"/>
              </w:rPr>
              <w:t>139</w:t>
            </w:r>
          </w:hyperlink>
        </w:p>
        <w:p>
          <w:pPr>
            <w:pStyle w:val="Contents6"/>
            <w:tabs>
              <w:tab w:val="clear" w:pos="7609"/>
              <w:tab w:val="right" w:pos="9026" w:leader="dot"/>
            </w:tabs>
            <w:rPr/>
          </w:pPr>
          <w:hyperlink w:anchor="__RefHeading___Toc256560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یجب بعد الوضوء و الغسل المبادرة إلی الصلاة</w:t>
            </w:r>
            <w:r>
              <w:rPr>
                <w:rStyle w:val="IndexLink"/>
                <w:rtl w:val="true"/>
              </w:rPr>
              <w:t>]</w:t>
              <w:tab/>
            </w:r>
            <w:r>
              <w:rPr>
                <w:rStyle w:val="IndexLink"/>
              </w:rPr>
              <w:t>140</w:t>
            </w:r>
          </w:hyperlink>
        </w:p>
        <w:p>
          <w:pPr>
            <w:pStyle w:val="Contents6"/>
            <w:tabs>
              <w:tab w:val="clear" w:pos="7609"/>
              <w:tab w:val="right" w:pos="9026" w:leader="dot"/>
            </w:tabs>
            <w:rPr/>
          </w:pPr>
          <w:hyperlink w:anchor="__RefHeading___Toc256560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یجب علیها بعد الوضوء و الغسل التحفّظ من خروج الدم</w:t>
            </w:r>
            <w:r>
              <w:rPr>
                <w:rStyle w:val="IndexLink"/>
                <w:rtl w:val="true"/>
              </w:rPr>
              <w:t>]</w:t>
              <w:tab/>
            </w:r>
            <w:r>
              <w:rPr>
                <w:rStyle w:val="IndexLink"/>
              </w:rPr>
              <w:t>140</w:t>
            </w:r>
          </w:hyperlink>
        </w:p>
        <w:p>
          <w:pPr>
            <w:pStyle w:val="Contents6"/>
            <w:tabs>
              <w:tab w:val="clear" w:pos="7609"/>
              <w:tab w:val="right" w:pos="9026" w:leader="dot"/>
            </w:tabs>
            <w:rPr/>
          </w:pPr>
          <w:hyperlink w:anchor="__RefHeading___Toc256560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انتقلت الاستحاضة من الأدنی إلی الأعلی</w:t>
            </w:r>
            <w:r>
              <w:rPr>
                <w:rStyle w:val="IndexLink"/>
                <w:rtl w:val="true"/>
              </w:rPr>
              <w:t>]</w:t>
              <w:tab/>
            </w:r>
            <w:r>
              <w:rPr>
                <w:rStyle w:val="IndexLink"/>
              </w:rPr>
              <w:t>140</w:t>
            </w:r>
          </w:hyperlink>
        </w:p>
        <w:p>
          <w:pPr>
            <w:pStyle w:val="Contents6"/>
            <w:tabs>
              <w:tab w:val="clear" w:pos="7609"/>
              <w:tab w:val="right" w:pos="9026" w:leader="dot"/>
            </w:tabs>
            <w:rPr/>
          </w:pPr>
          <w:hyperlink w:anchor="__RefHeading___Toc256561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یصحّ الصوم من المستحاضة القلیلة</w:t>
            </w:r>
            <w:r>
              <w:rPr>
                <w:rStyle w:val="IndexLink"/>
                <w:rtl w:val="true"/>
              </w:rPr>
              <w:t>]</w:t>
              <w:tab/>
            </w:r>
            <w:r>
              <w:rPr>
                <w:rStyle w:val="IndexLink"/>
              </w:rPr>
              <w:t>140</w:t>
            </w:r>
          </w:hyperlink>
        </w:p>
        <w:p>
          <w:pPr>
            <w:pStyle w:val="Contents6"/>
            <w:tabs>
              <w:tab w:val="clear" w:pos="7609"/>
              <w:tab w:val="right" w:pos="9026" w:leader="dot"/>
            </w:tabs>
            <w:rPr/>
          </w:pPr>
          <w:hyperlink w:anchor="__RefHeading___Toc256561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انقطع دمها فإن کان قبل فعل الطهارة أتت بها و صلّت</w:t>
            </w:r>
            <w:r>
              <w:rPr>
                <w:rStyle w:val="IndexLink"/>
                <w:rtl w:val="true"/>
              </w:rPr>
              <w:t>]</w:t>
              <w:tab/>
            </w:r>
            <w:r>
              <w:rPr>
                <w:rStyle w:val="IndexLink"/>
              </w:rPr>
              <w:t>141</w:t>
            </w:r>
          </w:hyperlink>
        </w:p>
        <w:p>
          <w:pPr>
            <w:pStyle w:val="Contents6"/>
            <w:tabs>
              <w:tab w:val="clear" w:pos="7609"/>
              <w:tab w:val="right" w:pos="9026" w:leader="dot"/>
            </w:tabs>
            <w:rPr/>
          </w:pPr>
          <w:hyperlink w:anchor="__RefHeading___Toc256561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وظیفة المستحاضة بالنسبة إلی غیر الصلاة و الصیام من الأحکام</w:t>
            </w:r>
            <w:r>
              <w:rPr>
                <w:rStyle w:val="IndexLink"/>
                <w:rtl w:val="true"/>
              </w:rPr>
              <w:t>]</w:t>
              <w:tab/>
            </w:r>
            <w:r>
              <w:rPr>
                <w:rStyle w:val="IndexLink"/>
              </w:rPr>
              <w:t>141</w:t>
            </w:r>
          </w:hyperlink>
        </w:p>
        <w:p>
          <w:pPr>
            <w:pStyle w:val="Contents5"/>
            <w:tabs>
              <w:tab w:val="clear" w:pos="7892"/>
              <w:tab w:val="right" w:pos="9026" w:leader="dot"/>
            </w:tabs>
            <w:rPr/>
          </w:pPr>
          <w:hyperlink w:anchor="__RefHeading___Toc2565616_3650668749">
            <w:r>
              <w:rPr>
                <w:webHidden/>
                <w:rStyle w:val="IndexLink"/>
                <w:rtl w:val="true"/>
              </w:rPr>
              <w:t>[</w:t>
            </w:r>
            <w:r>
              <w:rPr>
                <w:rStyle w:val="IndexLink"/>
                <w:rtl w:val="true"/>
              </w:rPr>
              <w:t>فصل فی النفاس</w:t>
            </w:r>
            <w:r>
              <w:rPr>
                <w:rStyle w:val="IndexLink"/>
                <w:rtl w:val="true"/>
              </w:rPr>
              <w:t>]</w:t>
              <w:tab/>
            </w:r>
            <w:r>
              <w:rPr>
                <w:rStyle w:val="IndexLink"/>
              </w:rPr>
              <w:t>142</w:t>
            </w:r>
          </w:hyperlink>
        </w:p>
        <w:p>
          <w:pPr>
            <w:pStyle w:val="Contents6"/>
            <w:tabs>
              <w:tab w:val="clear" w:pos="7609"/>
              <w:tab w:val="right" w:pos="9026" w:leader="dot"/>
            </w:tabs>
            <w:rPr/>
          </w:pPr>
          <w:hyperlink w:anchor="__RefHeading___Toc2565618_3650668749">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256562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إذا انقطع دمها علی العشرة أو قبلها فکلّ ما رأته نفاس</w:t>
            </w:r>
            <w:r>
              <w:rPr>
                <w:rStyle w:val="IndexLink"/>
                <w:rtl w:val="true"/>
              </w:rPr>
              <w:t>]</w:t>
              <w:tab/>
            </w:r>
            <w:r>
              <w:rPr>
                <w:rStyle w:val="IndexLink"/>
              </w:rPr>
              <w:t>142</w:t>
            </w:r>
          </w:hyperlink>
        </w:p>
        <w:p>
          <w:pPr>
            <w:pStyle w:val="Contents6"/>
            <w:tabs>
              <w:tab w:val="clear" w:pos="7609"/>
              <w:tab w:val="right" w:pos="9026" w:leader="dot"/>
            </w:tabs>
            <w:rPr/>
          </w:pPr>
          <w:hyperlink w:anchor="__RefHeading___Toc256562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لو رأت الدم فی تمام العشرة و استمرّ إلیٰ أن تجاوزها</w:t>
            </w:r>
            <w:r>
              <w:rPr>
                <w:rStyle w:val="IndexLink"/>
                <w:rtl w:val="true"/>
              </w:rPr>
              <w:t>]</w:t>
              <w:tab/>
            </w:r>
            <w:r>
              <w:rPr>
                <w:rStyle w:val="IndexLink"/>
              </w:rPr>
              <w:t>143</w:t>
            </w:r>
          </w:hyperlink>
        </w:p>
        <w:p>
          <w:pPr>
            <w:pStyle w:val="Contents6"/>
            <w:tabs>
              <w:tab w:val="clear" w:pos="7609"/>
              <w:tab w:val="right" w:pos="9026" w:leader="dot"/>
            </w:tabs>
            <w:rPr/>
          </w:pPr>
          <w:hyperlink w:anchor="__RefHeading___Toc256562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یعتبر فصل أقلّ الطهر و هو العشرة بین النفاس و الحیض المتأخّر</w:t>
            </w:r>
            <w:r>
              <w:rPr>
                <w:rStyle w:val="IndexLink"/>
                <w:rtl w:val="true"/>
              </w:rPr>
              <w:t>]</w:t>
              <w:tab/>
            </w:r>
            <w:r>
              <w:rPr>
                <w:rStyle w:val="IndexLink"/>
              </w:rPr>
              <w:t>143</w:t>
            </w:r>
          </w:hyperlink>
        </w:p>
        <w:p>
          <w:pPr>
            <w:pStyle w:val="Contents6"/>
            <w:tabs>
              <w:tab w:val="clear" w:pos="7609"/>
              <w:tab w:val="right" w:pos="9026" w:leader="dot"/>
            </w:tabs>
            <w:rPr/>
          </w:pPr>
          <w:hyperlink w:anchor="__RefHeading___Toc256562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استمرّ الدم إلیٰ شهر أو أقلّ أو أزید</w:t>
            </w:r>
            <w:r>
              <w:rPr>
                <w:rStyle w:val="IndexLink"/>
                <w:rtl w:val="true"/>
              </w:rPr>
              <w:t>]</w:t>
              <w:tab/>
            </w:r>
            <w:r>
              <w:rPr>
                <w:rStyle w:val="IndexLink"/>
              </w:rPr>
              <w:t>143</w:t>
            </w:r>
          </w:hyperlink>
        </w:p>
        <w:p>
          <w:pPr>
            <w:pStyle w:val="Contents6"/>
            <w:tabs>
              <w:tab w:val="clear" w:pos="7609"/>
              <w:tab w:val="right" w:pos="9026" w:leader="dot"/>
            </w:tabs>
            <w:rPr/>
          </w:pPr>
          <w:hyperlink w:anchor="__RefHeading___Toc256562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انقطع دم النفساء فی الظاهر یجب علیها الاستظهار</w:t>
            </w:r>
            <w:r>
              <w:rPr>
                <w:rStyle w:val="IndexLink"/>
                <w:rtl w:val="true"/>
              </w:rPr>
              <w:t>]</w:t>
              <w:tab/>
            </w:r>
            <w:r>
              <w:rPr>
                <w:rStyle w:val="IndexLink"/>
              </w:rPr>
              <w:t>143</w:t>
            </w:r>
          </w:hyperlink>
        </w:p>
        <w:p>
          <w:pPr>
            <w:pStyle w:val="Contents5"/>
            <w:tabs>
              <w:tab w:val="clear" w:pos="7892"/>
              <w:tab w:val="right" w:pos="9026" w:leader="dot"/>
            </w:tabs>
            <w:rPr/>
          </w:pPr>
          <w:hyperlink w:anchor="__RefHeading___Toc2565630_3650668749">
            <w:r>
              <w:rPr>
                <w:webHidden/>
                <w:rStyle w:val="IndexLink"/>
                <w:rtl w:val="true"/>
              </w:rPr>
              <w:t>[</w:t>
            </w:r>
            <w:r>
              <w:rPr>
                <w:rStyle w:val="IndexLink"/>
                <w:rtl w:val="true"/>
              </w:rPr>
              <w:t>فصل فی غسل مسّ المیّت</w:t>
            </w:r>
            <w:r>
              <w:rPr>
                <w:rStyle w:val="IndexLink"/>
                <w:rtl w:val="true"/>
              </w:rPr>
              <w:t>]</w:t>
              <w:tab/>
            </w:r>
            <w:r>
              <w:rPr>
                <w:rStyle w:val="IndexLink"/>
              </w:rPr>
              <w:t>144</w:t>
            </w:r>
          </w:hyperlink>
        </w:p>
        <w:p>
          <w:pPr>
            <w:pStyle w:val="Contents6"/>
            <w:tabs>
              <w:tab w:val="clear" w:pos="7609"/>
              <w:tab w:val="right" w:pos="9026" w:leader="dot"/>
            </w:tabs>
            <w:rPr/>
          </w:pPr>
          <w:hyperlink w:anchor="__RefHeading___Toc2565632_3650668749">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256563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القطعة المبانة من الحیّ بحکم المیّت فی وجوب الغسل بمسّها</w:t>
            </w:r>
            <w:r>
              <w:rPr>
                <w:rStyle w:val="IndexLink"/>
                <w:rtl w:val="true"/>
              </w:rPr>
              <w:t>]</w:t>
              <w:tab/>
            </w:r>
            <w:r>
              <w:rPr>
                <w:rStyle w:val="IndexLink"/>
              </w:rPr>
              <w:t>144</w:t>
            </w:r>
          </w:hyperlink>
        </w:p>
        <w:p>
          <w:pPr>
            <w:pStyle w:val="Contents6"/>
            <w:tabs>
              <w:tab w:val="clear" w:pos="7609"/>
              <w:tab w:val="right" w:pos="9026" w:leader="dot"/>
            </w:tabs>
            <w:rPr/>
          </w:pPr>
          <w:hyperlink w:anchor="__RefHeading___Toc256563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الشهید کالمغسّل</w:t>
            </w:r>
            <w:r>
              <w:rPr>
                <w:rStyle w:val="IndexLink"/>
                <w:rtl w:val="true"/>
              </w:rPr>
              <w:t>]</w:t>
              <w:tab/>
            </w:r>
            <w:r>
              <w:rPr>
                <w:rStyle w:val="IndexLink"/>
              </w:rPr>
              <w:t>144</w:t>
            </w:r>
          </w:hyperlink>
        </w:p>
        <w:p>
          <w:pPr>
            <w:pStyle w:val="Contents6"/>
            <w:tabs>
              <w:tab w:val="clear" w:pos="7609"/>
              <w:tab w:val="right" w:pos="9026" w:leader="dot"/>
            </w:tabs>
            <w:rPr/>
          </w:pPr>
          <w:hyperlink w:anchor="__RefHeading___Toc256563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مسّ میّتاً و شکّ فی أنّه قبل برده أو بعده لا یجب الغسل</w:t>
            </w:r>
            <w:r>
              <w:rPr>
                <w:rStyle w:val="IndexLink"/>
                <w:rtl w:val="true"/>
              </w:rPr>
              <w:t>]</w:t>
              <w:tab/>
            </w:r>
            <w:r>
              <w:rPr>
                <w:rStyle w:val="IndexLink"/>
              </w:rPr>
              <w:t>144</w:t>
            </w:r>
          </w:hyperlink>
        </w:p>
        <w:p>
          <w:pPr>
            <w:pStyle w:val="Contents6"/>
            <w:tabs>
              <w:tab w:val="clear" w:pos="7609"/>
              <w:tab w:val="right" w:pos="9026" w:leader="dot"/>
            </w:tabs>
            <w:rPr/>
          </w:pPr>
          <w:hyperlink w:anchor="__RefHeading___Toc256564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یبس عضو من أعضاء الحیّ و خرج منه الروح بالمرّة لا یوجب مسّه الغسل</w:t>
            </w:r>
            <w:r>
              <w:rPr>
                <w:rStyle w:val="IndexLink"/>
                <w:rtl w:val="true"/>
              </w:rPr>
              <w:t>]</w:t>
              <w:tab/>
            </w:r>
            <w:r>
              <w:rPr>
                <w:rStyle w:val="IndexLink"/>
              </w:rPr>
              <w:t>144</w:t>
            </w:r>
          </w:hyperlink>
        </w:p>
        <w:p>
          <w:pPr>
            <w:pStyle w:val="Contents6"/>
            <w:tabs>
              <w:tab w:val="clear" w:pos="7609"/>
              <w:tab w:val="right" w:pos="9026" w:leader="dot"/>
            </w:tabs>
            <w:rPr/>
          </w:pPr>
          <w:hyperlink w:anchor="__RefHeading___Toc256564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مسّ المیّت ینقض الوضوء علی الأحوط</w:t>
            </w:r>
            <w:r>
              <w:rPr>
                <w:rStyle w:val="IndexLink"/>
                <w:rtl w:val="true"/>
              </w:rPr>
              <w:t>]</w:t>
              <w:tab/>
            </w:r>
            <w:r>
              <w:rPr>
                <w:rStyle w:val="IndexLink"/>
              </w:rPr>
              <w:t>145</w:t>
            </w:r>
          </w:hyperlink>
        </w:p>
        <w:p>
          <w:pPr>
            <w:pStyle w:val="Contents6"/>
            <w:tabs>
              <w:tab w:val="clear" w:pos="7609"/>
              <w:tab w:val="right" w:pos="9026" w:leader="dot"/>
            </w:tabs>
            <w:rPr/>
          </w:pPr>
          <w:hyperlink w:anchor="__RefHeading___Toc2565644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یجب غسل المسّ لکلّ واجب مشروط بالطهارة من الحدث الأصغر</w:t>
            </w:r>
            <w:r>
              <w:rPr>
                <w:rStyle w:val="IndexLink"/>
                <w:rtl w:val="true"/>
              </w:rPr>
              <w:t>]</w:t>
              <w:tab/>
            </w:r>
            <w:r>
              <w:rPr>
                <w:rStyle w:val="IndexLink"/>
              </w:rPr>
              <w:t>145</w:t>
            </w:r>
          </w:hyperlink>
        </w:p>
        <w:p>
          <w:pPr>
            <w:pStyle w:val="Contents6"/>
            <w:tabs>
              <w:tab w:val="clear" w:pos="7609"/>
              <w:tab w:val="right" w:pos="9026" w:leader="dot"/>
            </w:tabs>
            <w:rPr/>
          </w:pPr>
          <w:hyperlink w:anchor="__RefHeading___Toc2565646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یجوز للماسّ قبل الغسل دخول المساجد و المشاهد و المکث فیها</w:t>
            </w:r>
            <w:r>
              <w:rPr>
                <w:rStyle w:val="IndexLink"/>
                <w:rtl w:val="true"/>
              </w:rPr>
              <w:t>]</w:t>
              <w:tab/>
            </w:r>
            <w:r>
              <w:rPr>
                <w:rStyle w:val="IndexLink"/>
              </w:rPr>
              <w:t>145</w:t>
            </w:r>
          </w:hyperlink>
        </w:p>
        <w:p>
          <w:pPr>
            <w:pStyle w:val="Contents6"/>
            <w:tabs>
              <w:tab w:val="clear" w:pos="7609"/>
              <w:tab w:val="right" w:pos="9026" w:leader="dot"/>
            </w:tabs>
            <w:rPr/>
          </w:pPr>
          <w:hyperlink w:anchor="__RefHeading___Toc2565648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تکرار المسّ لا یوجب تکرار الغسل کسائر الأحداث</w:t>
            </w:r>
            <w:r>
              <w:rPr>
                <w:rStyle w:val="IndexLink"/>
                <w:rtl w:val="true"/>
              </w:rPr>
              <w:t>]</w:t>
              <w:tab/>
            </w:r>
            <w:r>
              <w:rPr>
                <w:rStyle w:val="IndexLink"/>
              </w:rPr>
              <w:t>145</w:t>
            </w:r>
          </w:hyperlink>
        </w:p>
        <w:p>
          <w:pPr>
            <w:pStyle w:val="Contents5"/>
            <w:tabs>
              <w:tab w:val="clear" w:pos="7892"/>
              <w:tab w:val="right" w:pos="9026" w:leader="dot"/>
            </w:tabs>
            <w:rPr/>
          </w:pPr>
          <w:hyperlink w:anchor="__RefHeading___Toc2565650_3650668749">
            <w:r>
              <w:rPr>
                <w:webHidden/>
                <w:rStyle w:val="IndexLink"/>
                <w:rtl w:val="true"/>
              </w:rPr>
              <w:t>[</w:t>
            </w:r>
            <w:r>
              <w:rPr>
                <w:rStyle w:val="IndexLink"/>
                <w:rtl w:val="true"/>
              </w:rPr>
              <w:t>فصل فی أحکام الأموات</w:t>
            </w:r>
            <w:r>
              <w:rPr>
                <w:rStyle w:val="IndexLink"/>
                <w:rtl w:val="true"/>
              </w:rPr>
              <w:t>]</w:t>
              <w:tab/>
            </w:r>
            <w:r>
              <w:rPr>
                <w:rStyle w:val="IndexLink"/>
              </w:rPr>
              <w:t>145</w:t>
            </w:r>
          </w:hyperlink>
        </w:p>
        <w:p>
          <w:pPr>
            <w:pStyle w:val="Contents6"/>
            <w:tabs>
              <w:tab w:val="clear" w:pos="7609"/>
              <w:tab w:val="right" w:pos="9026" w:leader="dot"/>
            </w:tabs>
            <w:rPr/>
          </w:pPr>
          <w:hyperlink w:anchor="__RefHeading___Toc2565652_3650668749">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2565654_3650668749">
            <w:r>
              <w:rPr>
                <w:webHidden/>
                <w:rStyle w:val="IndexLink"/>
                <w:rtl w:val="true"/>
              </w:rPr>
              <w:t>[</w:t>
            </w:r>
            <w:r>
              <w:rPr>
                <w:rStyle w:val="IndexLink"/>
                <w:rtl w:val="true"/>
              </w:rPr>
              <w:t>یجب علیٰ من ظهر عنده أمارات الموت أداء الحقوق الواجبة خلقیّاً أو خالقیّاً</w:t>
            </w:r>
            <w:r>
              <w:rPr>
                <w:rStyle w:val="IndexLink"/>
                <w:rtl w:val="true"/>
              </w:rPr>
              <w:t>]</w:t>
              <w:tab/>
            </w:r>
            <w:r>
              <w:rPr>
                <w:rStyle w:val="IndexLink"/>
              </w:rPr>
              <w:t>145</w:t>
            </w:r>
          </w:hyperlink>
        </w:p>
        <w:p>
          <w:pPr>
            <w:pStyle w:val="Contents6"/>
            <w:tabs>
              <w:tab w:val="clear" w:pos="7609"/>
              <w:tab w:val="right" w:pos="9026" w:leader="dot"/>
            </w:tabs>
            <w:rPr/>
          </w:pPr>
          <w:hyperlink w:anchor="__RefHeading___Toc2565656_3650668749">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256565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یجب علیه نصب قیّم علیٰ أطفاله الصغار</w:t>
            </w:r>
            <w:r>
              <w:rPr>
                <w:rStyle w:val="IndexLink"/>
                <w:rtl w:val="true"/>
              </w:rPr>
              <w:t>]</w:t>
              <w:tab/>
            </w:r>
            <w:r>
              <w:rPr>
                <w:rStyle w:val="IndexLink"/>
              </w:rPr>
              <w:t>145</w:t>
            </w:r>
          </w:hyperlink>
        </w:p>
        <w:p>
          <w:pPr>
            <w:pStyle w:val="Contents6"/>
            <w:tabs>
              <w:tab w:val="clear" w:pos="7609"/>
              <w:tab w:val="right" w:pos="9026" w:leader="dot"/>
            </w:tabs>
            <w:rPr/>
          </w:pPr>
          <w:hyperlink w:anchor="__RefHeading___Toc2565660_3650668749">
            <w:r>
              <w:rPr>
                <w:webHidden/>
                <w:rStyle w:val="IndexLink"/>
                <w:rtl w:val="true"/>
              </w:rPr>
              <w:t>[</w:t>
            </w:r>
            <w:r>
              <w:rPr>
                <w:rStyle w:val="IndexLink"/>
                <w:rtl w:val="true"/>
              </w:rPr>
              <w:t>القول فیما یتعلّق بحال الاحتضار</w:t>
            </w:r>
            <w:r>
              <w:rPr>
                <w:rStyle w:val="IndexLink"/>
                <w:rtl w:val="true"/>
              </w:rPr>
              <w:t>]</w:t>
              <w:tab/>
            </w:r>
            <w:r>
              <w:rPr>
                <w:rStyle w:val="IndexLink"/>
              </w:rPr>
              <w:t>145</w:t>
            </w:r>
          </w:hyperlink>
        </w:p>
        <w:p>
          <w:pPr>
            <w:pStyle w:val="Contents6"/>
            <w:tabs>
              <w:tab w:val="clear" w:pos="7609"/>
              <w:tab w:val="right" w:pos="9026" w:leader="dot"/>
            </w:tabs>
            <w:rPr/>
          </w:pPr>
          <w:hyperlink w:anchor="__RefHeading___Toc2565662_3650668749">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256566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یجب کفایةً فی حال الاحتضار و النزع توجیه المحتضر المسلم إلی القبلة</w:t>
            </w:r>
            <w:r>
              <w:rPr>
                <w:rStyle w:val="IndexLink"/>
                <w:rtl w:val="true"/>
              </w:rPr>
              <w:t>]</w:t>
              <w:tab/>
            </w:r>
            <w:r>
              <w:rPr>
                <w:rStyle w:val="IndexLink"/>
              </w:rPr>
              <w:t>145</w:t>
            </w:r>
          </w:hyperlink>
        </w:p>
        <w:p>
          <w:pPr>
            <w:pStyle w:val="Contents6"/>
            <w:tabs>
              <w:tab w:val="clear" w:pos="7609"/>
              <w:tab w:val="right" w:pos="9026" w:leader="dot"/>
            </w:tabs>
            <w:rPr/>
          </w:pPr>
          <w:hyperlink w:anchor="__RefHeading___Toc256566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یستحبّ تلقینه الشهادتین و الإقرار بالأئمّة الاثنی عشر و کلمات الفرج</w:t>
            </w:r>
            <w:r>
              <w:rPr>
                <w:rStyle w:val="IndexLink"/>
                <w:rtl w:val="true"/>
              </w:rPr>
              <w:t>]</w:t>
              <w:tab/>
            </w:r>
            <w:r>
              <w:rPr>
                <w:rStyle w:val="IndexLink"/>
              </w:rPr>
              <w:t>146</w:t>
            </w:r>
          </w:hyperlink>
        </w:p>
        <w:p>
          <w:pPr>
            <w:pStyle w:val="Contents6"/>
            <w:tabs>
              <w:tab w:val="clear" w:pos="7609"/>
              <w:tab w:val="right" w:pos="9026" w:leader="dot"/>
            </w:tabs>
            <w:rPr/>
          </w:pPr>
          <w:hyperlink w:anchor="__RefHeading___Toc2565668_3650668749">
            <w:r>
              <w:rPr>
                <w:webHidden/>
                <w:rStyle w:val="IndexLink"/>
                <w:rtl w:val="true"/>
              </w:rPr>
              <w:t>[</w:t>
            </w:r>
            <w:r>
              <w:rPr>
                <w:rStyle w:val="IndexLink"/>
                <w:rtl w:val="true"/>
              </w:rPr>
              <w:t>القول فی غسل المیّت</w:t>
            </w:r>
            <w:r>
              <w:rPr>
                <w:rStyle w:val="IndexLink"/>
                <w:rtl w:val="true"/>
              </w:rPr>
              <w:t>]</w:t>
              <w:tab/>
            </w:r>
            <w:r>
              <w:rPr>
                <w:rStyle w:val="IndexLink"/>
              </w:rPr>
              <w:t>146</w:t>
            </w:r>
          </w:hyperlink>
        </w:p>
        <w:p>
          <w:pPr>
            <w:pStyle w:val="Contents6"/>
            <w:tabs>
              <w:tab w:val="clear" w:pos="7609"/>
              <w:tab w:val="right" w:pos="9026" w:leader="dot"/>
            </w:tabs>
            <w:rPr/>
          </w:pPr>
          <w:hyperlink w:anchor="__RefHeading___Toc2565670_3650668749">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2565672_3650668749">
            <w:r>
              <w:rPr>
                <w:webHidden/>
                <w:rStyle w:val="IndexLink"/>
                <w:rtl w:val="true"/>
              </w:rPr>
              <w:t>[</w:t>
            </w:r>
            <w:r>
              <w:rPr>
                <w:rStyle w:val="IndexLink"/>
                <w:rtl w:val="true"/>
              </w:rPr>
              <w:t>مسائل</w:t>
            </w:r>
            <w:r>
              <w:rPr>
                <w:rStyle w:val="IndexLink"/>
                <w:rtl w:val="true"/>
              </w:rPr>
              <w:t>]</w:t>
              <w:tab/>
            </w:r>
            <w:r>
              <w:rPr>
                <w:rStyle w:val="IndexLink"/>
              </w:rPr>
              <w:t>146</w:t>
            </w:r>
          </w:hyperlink>
        </w:p>
        <w:p>
          <w:pPr>
            <w:pStyle w:val="Contents6"/>
            <w:tabs>
              <w:tab w:val="clear" w:pos="7609"/>
              <w:tab w:val="right" w:pos="9026" w:leader="dot"/>
            </w:tabs>
            <w:rPr/>
          </w:pPr>
          <w:hyperlink w:anchor="__RefHeading___Toc2565674_3650668749">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256567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یسقط الغسل عن الشهید</w:t>
            </w:r>
            <w:r>
              <w:rPr>
                <w:rStyle w:val="IndexLink"/>
                <w:rtl w:val="true"/>
              </w:rPr>
              <w:t>]</w:t>
              <w:tab/>
            </w:r>
            <w:r>
              <w:rPr>
                <w:rStyle w:val="IndexLink"/>
              </w:rPr>
              <w:t>146</w:t>
            </w:r>
          </w:hyperlink>
        </w:p>
        <w:p>
          <w:pPr>
            <w:pStyle w:val="Contents6"/>
            <w:tabs>
              <w:tab w:val="clear" w:pos="7609"/>
              <w:tab w:val="right" w:pos="9026" w:leader="dot"/>
            </w:tabs>
            <w:rPr/>
          </w:pPr>
          <w:hyperlink w:anchor="__RefHeading___Toc256567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القطعة المنفصلة من الحیّ أو المیّت قبل الاغتسال إن لم تشتمل علی العظم لا یجب غسلها</w:t>
            </w:r>
            <w:r>
              <w:rPr>
                <w:rStyle w:val="IndexLink"/>
                <w:rtl w:val="true"/>
              </w:rPr>
              <w:t>]</w:t>
              <w:tab/>
            </w:r>
            <w:r>
              <w:rPr>
                <w:rStyle w:val="IndexLink"/>
              </w:rPr>
              <w:t>147</w:t>
            </w:r>
          </w:hyperlink>
        </w:p>
        <w:p>
          <w:pPr>
            <w:pStyle w:val="Contents6"/>
            <w:tabs>
              <w:tab w:val="clear" w:pos="7609"/>
              <w:tab w:val="right" w:pos="9026" w:leader="dot"/>
            </w:tabs>
            <w:rPr/>
          </w:pPr>
          <w:hyperlink w:anchor="__RefHeading___Toc256568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تغسیل المیّت کتکفینه</w:t>
            </w:r>
            <w:r>
              <w:rPr>
                <w:rStyle w:val="IndexLink"/>
                <w:rtl w:val="true"/>
              </w:rPr>
              <w:t>]</w:t>
              <w:tab/>
            </w:r>
            <w:r>
              <w:rPr>
                <w:rStyle w:val="IndexLink"/>
              </w:rPr>
              <w:t>147</w:t>
            </w:r>
          </w:hyperlink>
        </w:p>
        <w:p>
          <w:pPr>
            <w:pStyle w:val="Contents6"/>
            <w:tabs>
              <w:tab w:val="clear" w:pos="7609"/>
              <w:tab w:val="right" w:pos="9026" w:leader="dot"/>
            </w:tabs>
            <w:rPr/>
          </w:pPr>
          <w:hyperlink w:anchor="__RefHeading___Toc256568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المراد بالولیّ الذی لا یجوز مزاحمته أو یجب الاستئذان منه کلّ من یرثه</w:t>
            </w:r>
            <w:r>
              <w:rPr>
                <w:rStyle w:val="IndexLink"/>
                <w:rtl w:val="true"/>
              </w:rPr>
              <w:t>]</w:t>
              <w:tab/>
            </w:r>
            <w:r>
              <w:rPr>
                <w:rStyle w:val="IndexLink"/>
              </w:rPr>
              <w:t>148</w:t>
            </w:r>
          </w:hyperlink>
        </w:p>
        <w:p>
          <w:pPr>
            <w:pStyle w:val="Contents6"/>
            <w:tabs>
              <w:tab w:val="clear" w:pos="7609"/>
              <w:tab w:val="right" w:pos="9026" w:leader="dot"/>
            </w:tabs>
            <w:rPr/>
          </w:pPr>
          <w:hyperlink w:anchor="__RefHeading___Toc256568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الزوج أولیٰ بزوجته من جمیع أقاربها إلیٰ أن یضعها فی قبرها</w:t>
            </w:r>
            <w:r>
              <w:rPr>
                <w:rStyle w:val="IndexLink"/>
                <w:rtl w:val="true"/>
              </w:rPr>
              <w:t>]</w:t>
              <w:tab/>
            </w:r>
            <w:r>
              <w:rPr>
                <w:rStyle w:val="IndexLink"/>
              </w:rPr>
              <w:t>148</w:t>
            </w:r>
          </w:hyperlink>
        </w:p>
        <w:p>
          <w:pPr>
            <w:pStyle w:val="Contents6"/>
            <w:tabs>
              <w:tab w:val="clear" w:pos="7609"/>
              <w:tab w:val="right" w:pos="9026" w:leader="dot"/>
            </w:tabs>
            <w:rPr/>
          </w:pPr>
          <w:hyperlink w:anchor="__RefHeading___Toc2565686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أوصی المیّت فی تجهیزه إلیٰ غیر الولیّ فالأقویٰ صحّة الوصیّة</w:t>
            </w:r>
            <w:r>
              <w:rPr>
                <w:rStyle w:val="IndexLink"/>
                <w:rtl w:val="true"/>
              </w:rPr>
              <w:t>]</w:t>
              <w:tab/>
            </w:r>
            <w:r>
              <w:rPr>
                <w:rStyle w:val="IndexLink"/>
              </w:rPr>
              <w:t>148</w:t>
            </w:r>
          </w:hyperlink>
        </w:p>
        <w:p>
          <w:pPr>
            <w:pStyle w:val="Contents6"/>
            <w:tabs>
              <w:tab w:val="clear" w:pos="7609"/>
              <w:tab w:val="right" w:pos="9026" w:leader="dot"/>
            </w:tabs>
            <w:rPr/>
          </w:pPr>
          <w:hyperlink w:anchor="__RefHeading___Toc2565688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یشترط المماثلة بین المغسِّل و المیّت فی الذکوریّة و الأُنوثیّة</w:t>
            </w:r>
            <w:r>
              <w:rPr>
                <w:rStyle w:val="IndexLink"/>
                <w:rtl w:val="true"/>
              </w:rPr>
              <w:t>]</w:t>
              <w:tab/>
            </w:r>
            <w:r>
              <w:rPr>
                <w:rStyle w:val="IndexLink"/>
              </w:rPr>
              <w:t>148</w:t>
            </w:r>
          </w:hyperlink>
        </w:p>
        <w:p>
          <w:pPr>
            <w:pStyle w:val="Contents6"/>
            <w:tabs>
              <w:tab w:val="clear" w:pos="7609"/>
              <w:tab w:val="right" w:pos="9026" w:leader="dot"/>
            </w:tabs>
            <w:rPr/>
          </w:pPr>
          <w:hyperlink w:anchor="__RefHeading___Toc2565690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لا إشکال فی جواز تغسیل الرجل محارمه و بالعکس مع فقد المماثل</w:t>
            </w:r>
            <w:r>
              <w:rPr>
                <w:rStyle w:val="IndexLink"/>
                <w:rtl w:val="true"/>
              </w:rPr>
              <w:t>]</w:t>
              <w:tab/>
            </w:r>
            <w:r>
              <w:rPr>
                <w:rStyle w:val="IndexLink"/>
              </w:rPr>
              <w:t>148</w:t>
            </w:r>
          </w:hyperlink>
        </w:p>
        <w:p>
          <w:pPr>
            <w:pStyle w:val="Contents6"/>
            <w:tabs>
              <w:tab w:val="clear" w:pos="7609"/>
              <w:tab w:val="right" w:pos="9026" w:leader="dot"/>
            </w:tabs>
            <w:rPr/>
          </w:pPr>
          <w:hyperlink w:anchor="__RefHeading___Toc2565692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یجوز للمولیٰ تغسیل أمته إذا لم تکن مزوّجة و لا معتدّة</w:t>
            </w:r>
            <w:r>
              <w:rPr>
                <w:rStyle w:val="IndexLink"/>
                <w:rtl w:val="true"/>
              </w:rPr>
              <w:t>]</w:t>
              <w:tab/>
            </w:r>
            <w:r>
              <w:rPr>
                <w:rStyle w:val="IndexLink"/>
              </w:rPr>
              <w:t>149</w:t>
            </w:r>
          </w:hyperlink>
        </w:p>
        <w:p>
          <w:pPr>
            <w:pStyle w:val="Contents6"/>
            <w:tabs>
              <w:tab w:val="clear" w:pos="7609"/>
              <w:tab w:val="right" w:pos="9026" w:leader="dot"/>
            </w:tabs>
            <w:rPr/>
          </w:pPr>
          <w:hyperlink w:anchor="__RefHeading___Toc2565694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المیّت المشتبه بین الذکر و الأُنثیٰ و لو من جهة کونه خنثیٰ</w:t>
            </w:r>
            <w:r>
              <w:rPr>
                <w:rStyle w:val="IndexLink"/>
                <w:rtl w:val="true"/>
              </w:rPr>
              <w:t>]</w:t>
              <w:tab/>
            </w:r>
            <w:r>
              <w:rPr>
                <w:rStyle w:val="IndexLink"/>
              </w:rPr>
              <w:t>149</w:t>
            </w:r>
          </w:hyperlink>
        </w:p>
        <w:p>
          <w:pPr>
            <w:pStyle w:val="Contents6"/>
            <w:tabs>
              <w:tab w:val="clear" w:pos="7609"/>
              <w:tab w:val="right" w:pos="9026" w:leader="dot"/>
            </w:tabs>
            <w:rPr/>
          </w:pPr>
          <w:hyperlink w:anchor="__RefHeading___Toc2565696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یعتبر فی المغسّل الإسلام بل الإیمان فی حال الاختیار</w:t>
            </w:r>
            <w:r>
              <w:rPr>
                <w:rStyle w:val="IndexLink"/>
                <w:rtl w:val="true"/>
              </w:rPr>
              <w:t>]</w:t>
              <w:tab/>
            </w:r>
            <w:r>
              <w:rPr>
                <w:rStyle w:val="IndexLink"/>
              </w:rPr>
              <w:t>149</w:t>
            </w:r>
          </w:hyperlink>
        </w:p>
        <w:p>
          <w:pPr>
            <w:pStyle w:val="Contents6"/>
            <w:tabs>
              <w:tab w:val="clear" w:pos="7609"/>
              <w:tab w:val="right" w:pos="9026" w:leader="dot"/>
            </w:tabs>
            <w:rPr/>
          </w:pPr>
          <w:hyperlink w:anchor="__RefHeading___Toc2565698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لو لم یوجد المماثل حتّی الکتابی سقط الغسل علی الأقویٰ</w:t>
            </w:r>
            <w:r>
              <w:rPr>
                <w:rStyle w:val="IndexLink"/>
                <w:rtl w:val="true"/>
              </w:rPr>
              <w:t>]</w:t>
              <w:tab/>
            </w:r>
            <w:r>
              <w:rPr>
                <w:rStyle w:val="IndexLink"/>
              </w:rPr>
              <w:t>149</w:t>
            </w:r>
          </w:hyperlink>
        </w:p>
        <w:p>
          <w:pPr>
            <w:pStyle w:val="Contents6"/>
            <w:tabs>
              <w:tab w:val="clear" w:pos="7609"/>
              <w:tab w:val="right" w:pos="9026" w:leader="dot"/>
            </w:tabs>
            <w:rPr/>
          </w:pPr>
          <w:hyperlink w:anchor="__RefHeading___Toc2565700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الظاهر عدم اعتبار البلوغ فی المغسِّل</w:t>
            </w:r>
            <w:r>
              <w:rPr>
                <w:rStyle w:val="IndexLink"/>
                <w:rtl w:val="true"/>
              </w:rPr>
              <w:t>]</w:t>
              <w:tab/>
            </w:r>
            <w:r>
              <w:rPr>
                <w:rStyle w:val="IndexLink"/>
              </w:rPr>
              <w:t>149</w:t>
            </w:r>
          </w:hyperlink>
        </w:p>
        <w:p>
          <w:pPr>
            <w:pStyle w:val="Contents6"/>
            <w:tabs>
              <w:tab w:val="clear" w:pos="7609"/>
              <w:tab w:val="right" w:pos="9026" w:leader="dot"/>
            </w:tabs>
            <w:rPr/>
          </w:pPr>
          <w:hyperlink w:anchor="__RefHeading___Toc2565702_3650668749">
            <w:r>
              <w:rPr>
                <w:webHidden/>
                <w:rStyle w:val="IndexLink"/>
                <w:rtl w:val="true"/>
              </w:rPr>
              <w:t>[</w:t>
            </w:r>
            <w:r>
              <w:rPr>
                <w:rStyle w:val="IndexLink"/>
                <w:rtl w:val="true"/>
              </w:rPr>
              <w:t>القول فی کیفیّة غُسل المیّت</w:t>
            </w:r>
            <w:r>
              <w:rPr>
                <w:rStyle w:val="IndexLink"/>
                <w:rtl w:val="true"/>
              </w:rPr>
              <w:t>]</w:t>
              <w:tab/>
            </w:r>
            <w:r>
              <w:rPr>
                <w:rStyle w:val="IndexLink"/>
              </w:rPr>
              <w:t>149</w:t>
            </w:r>
          </w:hyperlink>
        </w:p>
        <w:p>
          <w:pPr>
            <w:pStyle w:val="Contents6"/>
            <w:tabs>
              <w:tab w:val="clear" w:pos="7609"/>
              <w:tab w:val="right" w:pos="9026" w:leader="dot"/>
            </w:tabs>
            <w:rPr/>
          </w:pPr>
          <w:hyperlink w:anchor="__RefHeading___Toc2565704_3650668749">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256570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یعتبر فی کلّ من السدر و الکافور أن یکون بمقدار یصدق أنّه مخلوط بهما</w:t>
            </w:r>
            <w:r>
              <w:rPr>
                <w:rStyle w:val="IndexLink"/>
                <w:rtl w:val="true"/>
              </w:rPr>
              <w:t>]</w:t>
              <w:tab/>
            </w:r>
            <w:r>
              <w:rPr>
                <w:rStyle w:val="IndexLink"/>
              </w:rPr>
              <w:t>150</w:t>
            </w:r>
          </w:hyperlink>
        </w:p>
        <w:p>
          <w:pPr>
            <w:pStyle w:val="Contents6"/>
            <w:tabs>
              <w:tab w:val="clear" w:pos="7609"/>
              <w:tab w:val="right" w:pos="9026" w:leader="dot"/>
            </w:tabs>
            <w:rPr/>
          </w:pPr>
          <w:hyperlink w:anchor="__RefHeading___Toc256570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تعذّر أحد الخلیطین أو کلاهما غسّل بالماء الخالص</w:t>
            </w:r>
            <w:r>
              <w:rPr>
                <w:rStyle w:val="IndexLink"/>
                <w:rtl w:val="true"/>
              </w:rPr>
              <w:t>]</w:t>
              <w:tab/>
            </w:r>
            <w:r>
              <w:rPr>
                <w:rStyle w:val="IndexLink"/>
              </w:rPr>
              <w:t>150</w:t>
            </w:r>
          </w:hyperlink>
        </w:p>
        <w:p>
          <w:pPr>
            <w:pStyle w:val="Contents6"/>
            <w:tabs>
              <w:tab w:val="clear" w:pos="7609"/>
              <w:tab w:val="right" w:pos="9026" w:leader="dot"/>
            </w:tabs>
            <w:rPr/>
          </w:pPr>
          <w:hyperlink w:anchor="__RefHeading___Toc256571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فقد الماء للغسل ییمّم ثلاث تیمّمات بدلًا عن الأغسال الثلاثة</w:t>
            </w:r>
            <w:r>
              <w:rPr>
                <w:rStyle w:val="IndexLink"/>
                <w:rtl w:val="true"/>
              </w:rPr>
              <w:t>]</w:t>
              <w:tab/>
            </w:r>
            <w:r>
              <w:rPr>
                <w:rStyle w:val="IndexLink"/>
              </w:rPr>
              <w:t>150</w:t>
            </w:r>
          </w:hyperlink>
        </w:p>
        <w:p>
          <w:pPr>
            <w:pStyle w:val="Contents6"/>
            <w:tabs>
              <w:tab w:val="clear" w:pos="7609"/>
              <w:tab w:val="right" w:pos="9026" w:leader="dot"/>
            </w:tabs>
            <w:rPr/>
          </w:pPr>
          <w:hyperlink w:anchor="__RefHeading___Toc256571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لم یکن عنده من الماء إلّا بمقدار غسل واحد غسّله غسلًا واحداً</w:t>
            </w:r>
            <w:r>
              <w:rPr>
                <w:rStyle w:val="IndexLink"/>
                <w:rtl w:val="true"/>
              </w:rPr>
              <w:t>]</w:t>
              <w:tab/>
            </w:r>
            <w:r>
              <w:rPr>
                <w:rStyle w:val="IndexLink"/>
              </w:rPr>
              <w:t>150</w:t>
            </w:r>
          </w:hyperlink>
        </w:p>
        <w:p>
          <w:pPr>
            <w:pStyle w:val="Contents6"/>
            <w:tabs>
              <w:tab w:val="clear" w:pos="7609"/>
              <w:tab w:val="right" w:pos="9026" w:leader="dot"/>
            </w:tabs>
            <w:rPr/>
          </w:pPr>
          <w:hyperlink w:anchor="__RefHeading___Toc256571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کان المیّت محرماً یغسّله ثلاثة أغسال کالمحلّ</w:t>
            </w:r>
            <w:r>
              <w:rPr>
                <w:rStyle w:val="IndexLink"/>
                <w:rtl w:val="true"/>
              </w:rPr>
              <w:t>]</w:t>
              <w:tab/>
            </w:r>
            <w:r>
              <w:rPr>
                <w:rStyle w:val="IndexLink"/>
              </w:rPr>
              <w:t>151</w:t>
            </w:r>
          </w:hyperlink>
        </w:p>
        <w:p>
          <w:pPr>
            <w:pStyle w:val="Contents6"/>
            <w:tabs>
              <w:tab w:val="clear" w:pos="7609"/>
              <w:tab w:val="right" w:pos="9026" w:leader="dot"/>
            </w:tabs>
            <w:rPr/>
          </w:pPr>
          <w:hyperlink w:anchor="__RefHeading___Toc2565716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یمّمه عند تعذّر الغسل أو غسّله بالماء الخالص لأجل تعذّر الخلیط ثمّ ارتفع العذر</w:t>
            </w:r>
            <w:r>
              <w:rPr>
                <w:rStyle w:val="IndexLink"/>
                <w:rtl w:val="true"/>
              </w:rPr>
              <w:t>]</w:t>
              <w:tab/>
            </w:r>
            <w:r>
              <w:rPr>
                <w:rStyle w:val="IndexLink"/>
              </w:rPr>
              <w:t>151</w:t>
            </w:r>
          </w:hyperlink>
        </w:p>
        <w:p>
          <w:pPr>
            <w:pStyle w:val="Contents6"/>
            <w:tabs>
              <w:tab w:val="clear" w:pos="7609"/>
              <w:tab w:val="right" w:pos="9026" w:leader="dot"/>
            </w:tabs>
            <w:rPr/>
          </w:pPr>
          <w:hyperlink w:anchor="__RefHeading___Toc2565718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کان علی المیّت غسل جنابة أو حیض أو نحوهما</w:t>
            </w:r>
            <w:r>
              <w:rPr>
                <w:rStyle w:val="IndexLink"/>
                <w:rtl w:val="true"/>
              </w:rPr>
              <w:t>]</w:t>
              <w:tab/>
            </w:r>
            <w:r>
              <w:rPr>
                <w:rStyle w:val="IndexLink"/>
              </w:rPr>
              <w:t>151</w:t>
            </w:r>
          </w:hyperlink>
        </w:p>
        <w:p>
          <w:pPr>
            <w:pStyle w:val="Contents6"/>
            <w:tabs>
              <w:tab w:val="clear" w:pos="7609"/>
              <w:tab w:val="right" w:pos="9026" w:leader="dot"/>
            </w:tabs>
            <w:rPr/>
          </w:pPr>
          <w:hyperlink w:anchor="__RefHeading___Toc2565720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دفن المیّت بلا غسل و لو نسیاناً وجب نبشه</w:t>
            </w:r>
            <w:r>
              <w:rPr>
                <w:rStyle w:val="IndexLink"/>
                <w:rtl w:val="true"/>
              </w:rPr>
              <w:t>]</w:t>
              <w:tab/>
            </w:r>
            <w:r>
              <w:rPr>
                <w:rStyle w:val="IndexLink"/>
              </w:rPr>
              <w:t>151</w:t>
            </w:r>
          </w:hyperlink>
        </w:p>
        <w:p>
          <w:pPr>
            <w:pStyle w:val="Contents6"/>
            <w:tabs>
              <w:tab w:val="clear" w:pos="7609"/>
              <w:tab w:val="right" w:pos="9026" w:leader="dot"/>
            </w:tabs>
            <w:rPr/>
          </w:pPr>
          <w:hyperlink w:anchor="__RefHeading___Toc2565722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لا یجوز أخذ الأُجرة علیٰ تغسیل المیّت</w:t>
            </w:r>
            <w:r>
              <w:rPr>
                <w:rStyle w:val="IndexLink"/>
                <w:rtl w:val="true"/>
              </w:rPr>
              <w:t>]</w:t>
              <w:tab/>
            </w:r>
            <w:r>
              <w:rPr>
                <w:rStyle w:val="IndexLink"/>
              </w:rPr>
              <w:t>152</w:t>
            </w:r>
          </w:hyperlink>
        </w:p>
        <w:p>
          <w:pPr>
            <w:pStyle w:val="Contents6"/>
            <w:tabs>
              <w:tab w:val="clear" w:pos="7609"/>
              <w:tab w:val="right" w:pos="9026" w:leader="dot"/>
            </w:tabs>
            <w:rPr/>
          </w:pPr>
          <w:hyperlink w:anchor="__RefHeading___Toc2565724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إذا تنجّس بدن المیّت بعد الغسل أو فی أثنائه بخروج نجاسة أو نجاسة خارجة</w:t>
            </w:r>
            <w:r>
              <w:rPr>
                <w:rStyle w:val="IndexLink"/>
                <w:rtl w:val="true"/>
              </w:rPr>
              <w:t>]</w:t>
              <w:tab/>
            </w:r>
            <w:r>
              <w:rPr>
                <w:rStyle w:val="IndexLink"/>
              </w:rPr>
              <w:t>152</w:t>
            </w:r>
          </w:hyperlink>
        </w:p>
        <w:p>
          <w:pPr>
            <w:pStyle w:val="Contents6"/>
            <w:tabs>
              <w:tab w:val="clear" w:pos="7609"/>
              <w:tab w:val="right" w:pos="9026" w:leader="dot"/>
            </w:tabs>
            <w:rPr/>
          </w:pPr>
          <w:hyperlink w:anchor="__RefHeading___Toc2565726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اللوح أو السریر الذی یغسّل علیه المیّت لا یجب غسله بعد کلّ غسل من الأغسال الثلاثة</w:t>
            </w:r>
            <w:r>
              <w:rPr>
                <w:rStyle w:val="IndexLink"/>
                <w:rtl w:val="true"/>
              </w:rPr>
              <w:t>]</w:t>
              <w:tab/>
            </w:r>
            <w:r>
              <w:rPr>
                <w:rStyle w:val="IndexLink"/>
              </w:rPr>
              <w:t>152</w:t>
            </w:r>
          </w:hyperlink>
        </w:p>
        <w:p>
          <w:pPr>
            <w:pStyle w:val="Contents6"/>
            <w:tabs>
              <w:tab w:val="clear" w:pos="7609"/>
              <w:tab w:val="right" w:pos="9026" w:leader="dot"/>
            </w:tabs>
            <w:rPr/>
          </w:pPr>
          <w:hyperlink w:anchor="__RefHeading___Toc2565728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الأحوط أن یوضع المیّت حال الغسل مستقبل القبلة علیٰ هیئة المحتضر</w:t>
            </w:r>
            <w:r>
              <w:rPr>
                <w:rStyle w:val="IndexLink"/>
                <w:rtl w:val="true"/>
              </w:rPr>
              <w:t>]</w:t>
              <w:tab/>
            </w:r>
            <w:r>
              <w:rPr>
                <w:rStyle w:val="IndexLink"/>
              </w:rPr>
              <w:t>152</w:t>
            </w:r>
          </w:hyperlink>
        </w:p>
        <w:p>
          <w:pPr>
            <w:pStyle w:val="Contents6"/>
            <w:tabs>
              <w:tab w:val="clear" w:pos="7609"/>
              <w:tab w:val="right" w:pos="9026" w:leader="dot"/>
            </w:tabs>
            <w:rPr/>
          </w:pPr>
          <w:hyperlink w:anchor="__RefHeading___Toc2565730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لا یجب الوضوء للمیّت علی الأصحّ</w:t>
            </w:r>
            <w:r>
              <w:rPr>
                <w:rStyle w:val="IndexLink"/>
                <w:rtl w:val="true"/>
              </w:rPr>
              <w:t>]</w:t>
              <w:tab/>
            </w:r>
            <w:r>
              <w:rPr>
                <w:rStyle w:val="IndexLink"/>
              </w:rPr>
              <w:t>152</w:t>
            </w:r>
          </w:hyperlink>
        </w:p>
        <w:p>
          <w:pPr>
            <w:pStyle w:val="Contents6"/>
            <w:tabs>
              <w:tab w:val="clear" w:pos="7609"/>
              <w:tab w:val="right" w:pos="9026" w:leader="dot"/>
            </w:tabs>
            <w:rPr/>
          </w:pPr>
          <w:hyperlink w:anchor="__RefHeading___Toc2565732_3650668749">
            <w:r>
              <w:rPr>
                <w:webHidden/>
                <w:rStyle w:val="IndexLink"/>
                <w:rtl w:val="true"/>
              </w:rPr>
              <w:t>[</w:t>
            </w:r>
            <w:r>
              <w:rPr>
                <w:rStyle w:val="IndexLink"/>
                <w:rtl w:val="true"/>
              </w:rPr>
              <w:t>القول فی آداب الغُسل</w:t>
            </w:r>
            <w:r>
              <w:rPr>
                <w:rStyle w:val="IndexLink"/>
                <w:rtl w:val="true"/>
              </w:rPr>
              <w:t>]</w:t>
              <w:tab/>
            </w:r>
            <w:r>
              <w:rPr>
                <w:rStyle w:val="IndexLink"/>
              </w:rPr>
              <w:t>152</w:t>
            </w:r>
          </w:hyperlink>
        </w:p>
        <w:p>
          <w:pPr>
            <w:pStyle w:val="Contents6"/>
            <w:tabs>
              <w:tab w:val="clear" w:pos="7609"/>
              <w:tab w:val="right" w:pos="9026" w:leader="dot"/>
            </w:tabs>
            <w:rPr/>
          </w:pPr>
          <w:hyperlink w:anchor="__RefHeading___Toc2565734_3650668749">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2565736_3650668749">
            <w:r>
              <w:rPr>
                <w:webHidden/>
                <w:rStyle w:val="IndexLink"/>
                <w:rtl w:val="true"/>
              </w:rPr>
              <w:t>[ (</w:t>
            </w:r>
            <w:r>
              <w:rPr>
                <w:rStyle w:val="IndexLink"/>
                <w:rtl w:val="true"/>
              </w:rPr>
              <w:t>مسألة</w:t>
            </w:r>
            <w:r>
              <w:rPr>
                <w:rStyle w:val="IndexLink"/>
                <w:rtl w:val="true"/>
              </w:rPr>
              <w:t xml:space="preserve">): </w:t>
            </w:r>
            <w:r>
              <w:rPr>
                <w:rStyle w:val="IndexLink"/>
                <w:rtl w:val="true"/>
              </w:rPr>
              <w:t>إذا سقط من بدن المیّت شی‌ء؛ من جلد أو شعر أو ظفر أو سنّ</w:t>
            </w:r>
            <w:r>
              <w:rPr>
                <w:rStyle w:val="IndexLink"/>
                <w:rtl w:val="true"/>
              </w:rPr>
              <w:t>]</w:t>
              <w:tab/>
            </w:r>
            <w:r>
              <w:rPr>
                <w:rStyle w:val="IndexLink"/>
              </w:rPr>
              <w:t>153</w:t>
            </w:r>
          </w:hyperlink>
        </w:p>
        <w:p>
          <w:pPr>
            <w:pStyle w:val="Contents6"/>
            <w:tabs>
              <w:tab w:val="clear" w:pos="7609"/>
              <w:tab w:val="right" w:pos="9026" w:leader="dot"/>
            </w:tabs>
            <w:rPr/>
          </w:pPr>
          <w:hyperlink w:anchor="__RefHeading___Toc2565738_3650668749">
            <w:r>
              <w:rPr>
                <w:webHidden/>
                <w:rStyle w:val="IndexLink"/>
                <w:rtl w:val="true"/>
              </w:rPr>
              <w:t>[</w:t>
            </w:r>
            <w:r>
              <w:rPr>
                <w:rStyle w:val="IndexLink"/>
                <w:rtl w:val="true"/>
              </w:rPr>
              <w:t>القول فی تکفین المیّت</w:t>
            </w:r>
            <w:r>
              <w:rPr>
                <w:rStyle w:val="IndexLink"/>
                <w:rtl w:val="true"/>
              </w:rPr>
              <w:t>]</w:t>
              <w:tab/>
            </w:r>
            <w:r>
              <w:rPr>
                <w:rStyle w:val="IndexLink"/>
              </w:rPr>
              <w:t>153</w:t>
            </w:r>
          </w:hyperlink>
        </w:p>
        <w:p>
          <w:pPr>
            <w:pStyle w:val="Contents6"/>
            <w:tabs>
              <w:tab w:val="clear" w:pos="7609"/>
              <w:tab w:val="right" w:pos="9026" w:leader="dot"/>
            </w:tabs>
            <w:rPr/>
          </w:pPr>
          <w:hyperlink w:anchor="__RefHeading___Toc2565740_3650668749">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2565742_3650668749">
            <w:r>
              <w:rPr>
                <w:webHidden/>
                <w:rStyle w:val="IndexLink"/>
                <w:rtl w:val="true"/>
              </w:rPr>
              <w:t>[</w:t>
            </w:r>
            <w:r>
              <w:rPr>
                <w:rStyle w:val="IndexLink"/>
                <w:rtl w:val="true"/>
              </w:rPr>
              <w:t>مسائل</w:t>
            </w:r>
            <w:r>
              <w:rPr>
                <w:rStyle w:val="IndexLink"/>
                <w:rtl w:val="true"/>
              </w:rPr>
              <w:t>]</w:t>
              <w:tab/>
            </w:r>
            <w:r>
              <w:rPr>
                <w:rStyle w:val="IndexLink"/>
              </w:rPr>
              <w:t>153</w:t>
            </w:r>
          </w:hyperlink>
        </w:p>
        <w:p>
          <w:pPr>
            <w:pStyle w:val="Contents6"/>
            <w:tabs>
              <w:tab w:val="clear" w:pos="7609"/>
              <w:tab w:val="right" w:pos="9026" w:leader="dot"/>
            </w:tabs>
            <w:rPr/>
          </w:pPr>
          <w:hyperlink w:anchor="__RefHeading___Toc2565744_3650668749">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256574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یجوز التکفین بالمغصوب و لو فی حال الاضطرار و لا بالحریر الخالص</w:t>
            </w:r>
            <w:r>
              <w:rPr>
                <w:rStyle w:val="IndexLink"/>
                <w:rtl w:val="true"/>
              </w:rPr>
              <w:t>]</w:t>
              <w:tab/>
            </w:r>
            <w:r>
              <w:rPr>
                <w:rStyle w:val="IndexLink"/>
              </w:rPr>
              <w:t>153</w:t>
            </w:r>
          </w:hyperlink>
        </w:p>
        <w:p>
          <w:pPr>
            <w:pStyle w:val="Contents6"/>
            <w:tabs>
              <w:tab w:val="clear" w:pos="7609"/>
              <w:tab w:val="right" w:pos="9026" w:leader="dot"/>
            </w:tabs>
            <w:rPr/>
          </w:pPr>
          <w:hyperlink w:anchor="__RefHeading___Toc256574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یختصّ عدم جواز التکفین بما ذکر فیما عدا المغصوب بحال الاختیار</w:t>
            </w:r>
            <w:r>
              <w:rPr>
                <w:rStyle w:val="IndexLink"/>
                <w:rtl w:val="true"/>
              </w:rPr>
              <w:t>]</w:t>
              <w:tab/>
            </w:r>
            <w:r>
              <w:rPr>
                <w:rStyle w:val="IndexLink"/>
              </w:rPr>
              <w:t>153</w:t>
            </w:r>
          </w:hyperlink>
        </w:p>
        <w:p>
          <w:pPr>
            <w:pStyle w:val="Contents6"/>
            <w:tabs>
              <w:tab w:val="clear" w:pos="7609"/>
              <w:tab w:val="right" w:pos="9026" w:leader="dot"/>
            </w:tabs>
            <w:rPr/>
          </w:pPr>
          <w:hyperlink w:anchor="__RefHeading___Toc256575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لو تنجّس الکفن قبل الوضع فی القبر وجب إزالة النجاسة عنه</w:t>
            </w:r>
            <w:r>
              <w:rPr>
                <w:rStyle w:val="IndexLink"/>
                <w:rtl w:val="true"/>
              </w:rPr>
              <w:t>]</w:t>
              <w:tab/>
            </w:r>
            <w:r>
              <w:rPr>
                <w:rStyle w:val="IndexLink"/>
              </w:rPr>
              <w:t>153</w:t>
            </w:r>
          </w:hyperlink>
        </w:p>
        <w:p>
          <w:pPr>
            <w:pStyle w:val="Contents6"/>
            <w:tabs>
              <w:tab w:val="clear" w:pos="7609"/>
              <w:tab w:val="right" w:pos="9026" w:leader="dot"/>
            </w:tabs>
            <w:rPr/>
          </w:pPr>
          <w:hyperlink w:anchor="__RefHeading___Toc256575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یخرج الکفن من أصل الترکة مقدّماً علی الدیون و الوصایا و المیراث</w:t>
            </w:r>
            <w:r>
              <w:rPr>
                <w:rStyle w:val="IndexLink"/>
                <w:rtl w:val="true"/>
              </w:rPr>
              <w:t>]</w:t>
              <w:tab/>
            </w:r>
            <w:r>
              <w:rPr>
                <w:rStyle w:val="IndexLink"/>
              </w:rPr>
              <w:t>154</w:t>
            </w:r>
          </w:hyperlink>
        </w:p>
        <w:p>
          <w:pPr>
            <w:pStyle w:val="Contents6"/>
            <w:tabs>
              <w:tab w:val="clear" w:pos="7609"/>
              <w:tab w:val="right" w:pos="9026" w:leader="dot"/>
            </w:tabs>
            <w:rPr/>
          </w:pPr>
          <w:hyperlink w:anchor="__RefHeading___Toc256575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کفن الزوجة بل و سائر مؤن تجهیزها علیٰ زوجها</w:t>
            </w:r>
            <w:r>
              <w:rPr>
                <w:rStyle w:val="IndexLink"/>
                <w:rtl w:val="true"/>
              </w:rPr>
              <w:t>]</w:t>
              <w:tab/>
            </w:r>
            <w:r>
              <w:rPr>
                <w:rStyle w:val="IndexLink"/>
              </w:rPr>
              <w:t>154</w:t>
            </w:r>
          </w:hyperlink>
        </w:p>
        <w:p>
          <w:pPr>
            <w:pStyle w:val="Contents6"/>
            <w:tabs>
              <w:tab w:val="clear" w:pos="7609"/>
              <w:tab w:val="right" w:pos="9026" w:leader="dot"/>
            </w:tabs>
            <w:rPr/>
          </w:pPr>
          <w:hyperlink w:anchor="__RefHeading___Toc2565756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تبرّع متبرّع بکفنها سقط عن الزوج</w:t>
            </w:r>
            <w:r>
              <w:rPr>
                <w:rStyle w:val="IndexLink"/>
                <w:rtl w:val="true"/>
              </w:rPr>
              <w:t>]</w:t>
              <w:tab/>
            </w:r>
            <w:r>
              <w:rPr>
                <w:rStyle w:val="IndexLink"/>
              </w:rPr>
              <w:t>154</w:t>
            </w:r>
          </w:hyperlink>
        </w:p>
        <w:p>
          <w:pPr>
            <w:pStyle w:val="Contents6"/>
            <w:tabs>
              <w:tab w:val="clear" w:pos="7609"/>
              <w:tab w:val="right" w:pos="9026" w:leader="dot"/>
            </w:tabs>
            <w:rPr/>
          </w:pPr>
          <w:hyperlink w:anchor="__RefHeading___Toc2565758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مات الزوج بعد زوجته و لم یکن له من المال إلّا بمقدار کفن واحد قدّم علیها</w:t>
            </w:r>
            <w:r>
              <w:rPr>
                <w:rStyle w:val="IndexLink"/>
                <w:rtl w:val="true"/>
              </w:rPr>
              <w:t>]</w:t>
              <w:tab/>
            </w:r>
            <w:r>
              <w:rPr>
                <w:rStyle w:val="IndexLink"/>
              </w:rPr>
              <w:t>154</w:t>
            </w:r>
          </w:hyperlink>
        </w:p>
        <w:p>
          <w:pPr>
            <w:pStyle w:val="Contents6"/>
            <w:tabs>
              <w:tab w:val="clear" w:pos="7609"/>
              <w:tab w:val="right" w:pos="9026" w:leader="dot"/>
            </w:tabs>
            <w:rPr/>
          </w:pPr>
          <w:hyperlink w:anchor="__RefHeading___Toc2565760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کان الزوج معسراً فکفّن الزوجة من ترکتها</w:t>
            </w:r>
            <w:r>
              <w:rPr>
                <w:rStyle w:val="IndexLink"/>
                <w:rtl w:val="true"/>
              </w:rPr>
              <w:t>]</w:t>
              <w:tab/>
            </w:r>
            <w:r>
              <w:rPr>
                <w:rStyle w:val="IndexLink"/>
              </w:rPr>
              <w:t>154</w:t>
            </w:r>
          </w:hyperlink>
        </w:p>
        <w:p>
          <w:pPr>
            <w:pStyle w:val="Contents6"/>
            <w:tabs>
              <w:tab w:val="clear" w:pos="7609"/>
              <w:tab w:val="right" w:pos="9026" w:leader="dot"/>
            </w:tabs>
            <w:rPr/>
          </w:pPr>
          <w:hyperlink w:anchor="__RefHeading___Toc2565762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لا یلحق بالزوجة فی وجوب الکفن من وجبت نفقته من الأقارب</w:t>
            </w:r>
            <w:r>
              <w:rPr>
                <w:rStyle w:val="IndexLink"/>
                <w:rtl w:val="true"/>
              </w:rPr>
              <w:t>]</w:t>
              <w:tab/>
            </w:r>
            <w:r>
              <w:rPr>
                <w:rStyle w:val="IndexLink"/>
              </w:rPr>
              <w:t>155</w:t>
            </w:r>
          </w:hyperlink>
        </w:p>
        <w:p>
          <w:pPr>
            <w:pStyle w:val="Contents6"/>
            <w:tabs>
              <w:tab w:val="clear" w:pos="7609"/>
              <w:tab w:val="right" w:pos="9026" w:leader="dot"/>
            </w:tabs>
            <w:rPr/>
          </w:pPr>
          <w:hyperlink w:anchor="__RefHeading___Toc2565764_3650668749">
            <w:r>
              <w:rPr>
                <w:webHidden/>
                <w:rStyle w:val="IndexLink"/>
                <w:rtl w:val="true"/>
              </w:rPr>
              <w:t>[</w:t>
            </w:r>
            <w:r>
              <w:rPr>
                <w:rStyle w:val="IndexLink"/>
                <w:rtl w:val="true"/>
              </w:rPr>
              <w:t>القول فی مستحبّات الکفن و آداب التکفین</w:t>
            </w:r>
            <w:r>
              <w:rPr>
                <w:rStyle w:val="IndexLink"/>
                <w:rtl w:val="true"/>
              </w:rPr>
              <w:t>]</w:t>
              <w:tab/>
            </w:r>
            <w:r>
              <w:rPr>
                <w:rStyle w:val="IndexLink"/>
              </w:rPr>
              <w:t>155</w:t>
            </w:r>
          </w:hyperlink>
        </w:p>
        <w:p>
          <w:pPr>
            <w:pStyle w:val="Contents6"/>
            <w:tabs>
              <w:tab w:val="clear" w:pos="7609"/>
              <w:tab w:val="right" w:pos="9026" w:leader="dot"/>
            </w:tabs>
            <w:rPr/>
          </w:pPr>
          <w:hyperlink w:anchor="__RefHeading___Toc2565766_3650668749">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2565768_3650668749">
            <w:r>
              <w:rPr>
                <w:webHidden/>
                <w:rStyle w:val="IndexLink"/>
                <w:rtl w:val="true"/>
              </w:rPr>
              <w:t>[</w:t>
            </w:r>
            <w:r>
              <w:rPr>
                <w:rStyle w:val="IndexLink"/>
                <w:rtl w:val="true"/>
              </w:rPr>
              <w:t>القول فی الحنوط</w:t>
            </w:r>
            <w:r>
              <w:rPr>
                <w:rStyle w:val="IndexLink"/>
                <w:rtl w:val="true"/>
              </w:rPr>
              <w:t>]</w:t>
              <w:tab/>
            </w:r>
            <w:r>
              <w:rPr>
                <w:rStyle w:val="IndexLink"/>
              </w:rPr>
              <w:t>156</w:t>
            </w:r>
          </w:hyperlink>
        </w:p>
        <w:p>
          <w:pPr>
            <w:pStyle w:val="Contents6"/>
            <w:tabs>
              <w:tab w:val="clear" w:pos="7609"/>
              <w:tab w:val="right" w:pos="9026" w:leader="dot"/>
            </w:tabs>
            <w:rPr/>
          </w:pPr>
          <w:hyperlink w:anchor="__RefHeading___Toc2565770_3650668749">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256577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یجب مقدار معیّن من الکافور فی الحنوط</w:t>
            </w:r>
            <w:r>
              <w:rPr>
                <w:rStyle w:val="IndexLink"/>
                <w:rtl w:val="true"/>
              </w:rPr>
              <w:t>]</w:t>
              <w:tab/>
            </w:r>
            <w:r>
              <w:rPr>
                <w:rStyle w:val="IndexLink"/>
              </w:rPr>
              <w:t>156</w:t>
            </w:r>
          </w:hyperlink>
        </w:p>
        <w:p>
          <w:pPr>
            <w:pStyle w:val="Contents6"/>
            <w:tabs>
              <w:tab w:val="clear" w:pos="7609"/>
              <w:tab w:val="right" w:pos="9026" w:leader="dot"/>
            </w:tabs>
            <w:rPr/>
          </w:pPr>
          <w:hyperlink w:anchor="__RefHeading___Toc256577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یستحبّ خلط کافور الحنوط بشی‌ء من التربة الشریفة</w:t>
            </w:r>
            <w:r>
              <w:rPr>
                <w:rStyle w:val="IndexLink"/>
                <w:rtl w:val="true"/>
              </w:rPr>
              <w:t>]</w:t>
              <w:tab/>
            </w:r>
            <w:r>
              <w:rPr>
                <w:rStyle w:val="IndexLink"/>
              </w:rPr>
              <w:t>156</w:t>
            </w:r>
          </w:hyperlink>
        </w:p>
        <w:p>
          <w:pPr>
            <w:pStyle w:val="Contents6"/>
            <w:tabs>
              <w:tab w:val="clear" w:pos="7609"/>
              <w:tab w:val="right" w:pos="9026" w:leader="dot"/>
            </w:tabs>
            <w:rPr/>
          </w:pPr>
          <w:hyperlink w:anchor="__RefHeading___Toc2565776_3650668749">
            <w:r>
              <w:rPr>
                <w:webHidden/>
                <w:rStyle w:val="IndexLink"/>
                <w:rtl w:val="true"/>
              </w:rPr>
              <w:t>[</w:t>
            </w:r>
            <w:r>
              <w:rPr>
                <w:rStyle w:val="IndexLink"/>
                <w:rtl w:val="true"/>
              </w:rPr>
              <w:t>القول فی الجریدتین</w:t>
            </w:r>
            <w:r>
              <w:rPr>
                <w:rStyle w:val="IndexLink"/>
                <w:rtl w:val="true"/>
              </w:rPr>
              <w:t>]</w:t>
              <w:tab/>
            </w:r>
            <w:r>
              <w:rPr>
                <w:rStyle w:val="IndexLink"/>
              </w:rPr>
              <w:t>156</w:t>
            </w:r>
          </w:hyperlink>
        </w:p>
        <w:p>
          <w:pPr>
            <w:pStyle w:val="Contents6"/>
            <w:tabs>
              <w:tab w:val="clear" w:pos="7609"/>
              <w:tab w:val="right" w:pos="9026" w:leader="dot"/>
            </w:tabs>
            <w:rPr/>
          </w:pPr>
          <w:hyperlink w:anchor="__RefHeading___Toc2565778_3650668749">
            <w:r>
              <w:rPr>
                <w:webHidden/>
                <w:rStyle w:val="IndexLink"/>
                <w:rtl w:val="true"/>
              </w:rPr>
              <w:t>[</w:t>
            </w:r>
            <w:r>
              <w:rPr>
                <w:rStyle w:val="IndexLink"/>
                <w:rtl w:val="true"/>
              </w:rPr>
              <w:t>القول فی تشییع الجنازة</w:t>
            </w:r>
            <w:r>
              <w:rPr>
                <w:rStyle w:val="IndexLink"/>
                <w:rtl w:val="true"/>
              </w:rPr>
              <w:t>]</w:t>
              <w:tab/>
            </w:r>
            <w:r>
              <w:rPr>
                <w:rStyle w:val="IndexLink"/>
              </w:rPr>
              <w:t>157</w:t>
            </w:r>
          </w:hyperlink>
        </w:p>
        <w:p>
          <w:pPr>
            <w:pStyle w:val="Contents6"/>
            <w:tabs>
              <w:tab w:val="clear" w:pos="7609"/>
              <w:tab w:val="right" w:pos="9026" w:leader="dot"/>
            </w:tabs>
            <w:rPr/>
          </w:pPr>
          <w:hyperlink w:anchor="__RefHeading___Toc2565780_3650668749">
            <w:r>
              <w:rPr>
                <w:webHidden/>
                <w:rStyle w:val="IndexLink"/>
                <w:rtl w:val="true"/>
              </w:rPr>
              <w:t>[</w:t>
            </w:r>
            <w:r>
              <w:rPr>
                <w:rStyle w:val="IndexLink"/>
                <w:rtl w:val="true"/>
              </w:rPr>
              <w:t>القول فی الصلاة علی المیّت</w:t>
            </w:r>
            <w:r>
              <w:rPr>
                <w:rStyle w:val="IndexLink"/>
                <w:rtl w:val="true"/>
              </w:rPr>
              <w:t>]</w:t>
              <w:tab/>
            </w:r>
            <w:r>
              <w:rPr>
                <w:rStyle w:val="IndexLink"/>
              </w:rPr>
              <w:t>158</w:t>
            </w:r>
          </w:hyperlink>
        </w:p>
        <w:p>
          <w:pPr>
            <w:pStyle w:val="Contents6"/>
            <w:tabs>
              <w:tab w:val="clear" w:pos="7609"/>
              <w:tab w:val="right" w:pos="9026" w:leader="dot"/>
            </w:tabs>
            <w:rPr/>
          </w:pPr>
          <w:hyperlink w:anchor="__RefHeading___Toc2565782_3650668749">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2565784_3650668749">
            <w:r>
              <w:rPr>
                <w:webHidden/>
                <w:rStyle w:val="IndexLink"/>
                <w:rtl w:val="true"/>
              </w:rPr>
              <w:t>[</w:t>
            </w:r>
            <w:r>
              <w:rPr>
                <w:rStyle w:val="IndexLink"/>
                <w:rtl w:val="true"/>
              </w:rPr>
              <w:t>مسائل</w:t>
            </w:r>
            <w:r>
              <w:rPr>
                <w:rStyle w:val="IndexLink"/>
                <w:rtl w:val="true"/>
              </w:rPr>
              <w:t>]</w:t>
              <w:tab/>
            </w:r>
            <w:r>
              <w:rPr>
                <w:rStyle w:val="IndexLink"/>
              </w:rPr>
              <w:t>158</w:t>
            </w:r>
          </w:hyperlink>
        </w:p>
        <w:p>
          <w:pPr>
            <w:pStyle w:val="Contents6"/>
            <w:tabs>
              <w:tab w:val="clear" w:pos="7609"/>
              <w:tab w:val="right" w:pos="9026" w:leader="dot"/>
            </w:tabs>
            <w:rPr/>
          </w:pPr>
          <w:hyperlink w:anchor="__RefHeading___Toc2565786_3650668749">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256578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محلّ الصلاة بعد الغسل و التکفین فلا تجزی قبلهما</w:t>
            </w:r>
            <w:r>
              <w:rPr>
                <w:rStyle w:val="IndexLink"/>
                <w:rtl w:val="true"/>
              </w:rPr>
              <w:t>]</w:t>
              <w:tab/>
            </w:r>
            <w:r>
              <w:rPr>
                <w:rStyle w:val="IndexLink"/>
              </w:rPr>
              <w:t>159</w:t>
            </w:r>
          </w:hyperlink>
        </w:p>
        <w:p>
          <w:pPr>
            <w:pStyle w:val="Contents6"/>
            <w:tabs>
              <w:tab w:val="clear" w:pos="7609"/>
              <w:tab w:val="right" w:pos="9026" w:leader="dot"/>
            </w:tabs>
            <w:rPr/>
          </w:pPr>
          <w:hyperlink w:anchor="__RefHeading___Toc256579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یعتبر فی المصلّی علی المیّت أن یکون مؤمناً</w:t>
            </w:r>
            <w:r>
              <w:rPr>
                <w:rStyle w:val="IndexLink"/>
                <w:rtl w:val="true"/>
              </w:rPr>
              <w:t>]</w:t>
              <w:tab/>
            </w:r>
            <w:r>
              <w:rPr>
                <w:rStyle w:val="IndexLink"/>
              </w:rPr>
              <w:t>159</w:t>
            </w:r>
          </w:hyperlink>
        </w:p>
        <w:p>
          <w:pPr>
            <w:pStyle w:val="Contents6"/>
            <w:tabs>
              <w:tab w:val="clear" w:pos="7609"/>
              <w:tab w:val="right" w:pos="9026" w:leader="dot"/>
            </w:tabs>
            <w:rPr/>
          </w:pPr>
          <w:hyperlink w:anchor="__RefHeading___Toc256579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الصلاة علی المیّت و إن کان فرضاً علی الکفایة</w:t>
            </w:r>
            <w:r>
              <w:rPr>
                <w:rStyle w:val="IndexLink"/>
                <w:rtl w:val="true"/>
              </w:rPr>
              <w:t>]</w:t>
              <w:tab/>
            </w:r>
            <w:r>
              <w:rPr>
                <w:rStyle w:val="IndexLink"/>
              </w:rPr>
              <w:t>159</w:t>
            </w:r>
          </w:hyperlink>
        </w:p>
        <w:p>
          <w:pPr>
            <w:pStyle w:val="Contents6"/>
            <w:tabs>
              <w:tab w:val="clear" w:pos="7609"/>
              <w:tab w:val="right" w:pos="9026" w:leader="dot"/>
            </w:tabs>
            <w:rPr/>
          </w:pPr>
          <w:hyperlink w:anchor="__RefHeading___Toc256579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تستحبّ فیها الجماعة</w:t>
            </w:r>
            <w:r>
              <w:rPr>
                <w:rStyle w:val="IndexLink"/>
                <w:rtl w:val="true"/>
              </w:rPr>
              <w:t>]</w:t>
              <w:tab/>
            </w:r>
            <w:r>
              <w:rPr>
                <w:rStyle w:val="IndexLink"/>
              </w:rPr>
              <w:t>159</w:t>
            </w:r>
          </w:hyperlink>
        </w:p>
        <w:p>
          <w:pPr>
            <w:pStyle w:val="Contents6"/>
            <w:tabs>
              <w:tab w:val="clear" w:pos="7609"/>
              <w:tab w:val="right" w:pos="9026" w:leader="dot"/>
            </w:tabs>
            <w:rPr/>
          </w:pPr>
          <w:hyperlink w:anchor="__RefHeading___Toc256579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یجوز أن یصلّی علیٰ میّت واحد فی زمان واحد أشخاص متعدّدون فرادی</w:t>
            </w:r>
            <w:r>
              <w:rPr>
                <w:rStyle w:val="IndexLink"/>
                <w:rtl w:val="true"/>
              </w:rPr>
              <w:t>]</w:t>
              <w:tab/>
            </w:r>
            <w:r>
              <w:rPr>
                <w:rStyle w:val="IndexLink"/>
              </w:rPr>
              <w:t>159</w:t>
            </w:r>
          </w:hyperlink>
        </w:p>
        <w:p>
          <w:pPr>
            <w:pStyle w:val="Contents6"/>
            <w:tabs>
              <w:tab w:val="clear" w:pos="7609"/>
              <w:tab w:val="right" w:pos="9026" w:leader="dot"/>
            </w:tabs>
            <w:rPr/>
          </w:pPr>
          <w:hyperlink w:anchor="__RefHeading___Toc256579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یجوز للمأموم نیّة الانفراد فی الأثناء</w:t>
            </w:r>
            <w:r>
              <w:rPr>
                <w:rStyle w:val="IndexLink"/>
                <w:rtl w:val="true"/>
              </w:rPr>
              <w:t>]</w:t>
              <w:tab/>
            </w:r>
            <w:r>
              <w:rPr>
                <w:rStyle w:val="IndexLink"/>
              </w:rPr>
              <w:t>160</w:t>
            </w:r>
          </w:hyperlink>
        </w:p>
        <w:p>
          <w:pPr>
            <w:pStyle w:val="Contents6"/>
            <w:tabs>
              <w:tab w:val="clear" w:pos="7609"/>
              <w:tab w:val="right" w:pos="9026" w:leader="dot"/>
            </w:tabs>
            <w:rPr/>
          </w:pPr>
          <w:hyperlink w:anchor="__RefHeading___Toc2565800_3650668749">
            <w:r>
              <w:rPr>
                <w:webHidden/>
                <w:rStyle w:val="IndexLink"/>
                <w:rtl w:val="true"/>
              </w:rPr>
              <w:t>[</w:t>
            </w:r>
            <w:r>
              <w:rPr>
                <w:rStyle w:val="IndexLink"/>
                <w:rtl w:val="true"/>
              </w:rPr>
              <w:t>القول فی کیفیّة صلاة المیّت</w:t>
            </w:r>
            <w:r>
              <w:rPr>
                <w:rStyle w:val="IndexLink"/>
                <w:rtl w:val="true"/>
              </w:rPr>
              <w:t>]</w:t>
              <w:tab/>
            </w:r>
            <w:r>
              <w:rPr>
                <w:rStyle w:val="IndexLink"/>
              </w:rPr>
              <w:t>160</w:t>
            </w:r>
          </w:hyperlink>
        </w:p>
        <w:p>
          <w:pPr>
            <w:pStyle w:val="Contents6"/>
            <w:tabs>
              <w:tab w:val="clear" w:pos="7609"/>
              <w:tab w:val="right" w:pos="9026" w:leader="dot"/>
            </w:tabs>
            <w:rPr/>
          </w:pPr>
          <w:hyperlink w:anchor="__RefHeading___Toc2565802_3650668749">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256580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فی کلّ من الرجل و المرأة یجوز تذکیر الضمائر باعتبار أنّه میّت أو شخص</w:t>
            </w:r>
            <w:r>
              <w:rPr>
                <w:rStyle w:val="IndexLink"/>
                <w:rtl w:val="true"/>
              </w:rPr>
              <w:t>]</w:t>
              <w:tab/>
            </w:r>
            <w:r>
              <w:rPr>
                <w:rStyle w:val="IndexLink"/>
              </w:rPr>
              <w:t>161</w:t>
            </w:r>
          </w:hyperlink>
        </w:p>
        <w:p>
          <w:pPr>
            <w:pStyle w:val="Contents6"/>
            <w:tabs>
              <w:tab w:val="clear" w:pos="7609"/>
              <w:tab w:val="right" w:pos="9026" w:leader="dot"/>
            </w:tabs>
            <w:rPr/>
          </w:pPr>
          <w:hyperlink w:anchor="__RefHeading___Toc256580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شکّ فی التکبیرات</w:t>
            </w:r>
            <w:r>
              <w:rPr>
                <w:rStyle w:val="IndexLink"/>
                <w:rtl w:val="true"/>
              </w:rPr>
              <w:t>]</w:t>
              <w:tab/>
            </w:r>
            <w:r>
              <w:rPr>
                <w:rStyle w:val="IndexLink"/>
              </w:rPr>
              <w:t>161</w:t>
            </w:r>
          </w:hyperlink>
        </w:p>
        <w:p>
          <w:pPr>
            <w:pStyle w:val="Contents6"/>
            <w:tabs>
              <w:tab w:val="clear" w:pos="7609"/>
              <w:tab w:val="right" w:pos="9026" w:leader="dot"/>
            </w:tabs>
            <w:rPr/>
          </w:pPr>
          <w:hyperlink w:anchor="__RefHeading___Toc2565808_3650668749">
            <w:r>
              <w:rPr>
                <w:webHidden/>
                <w:rStyle w:val="IndexLink"/>
                <w:rtl w:val="true"/>
              </w:rPr>
              <w:t>[</w:t>
            </w:r>
            <w:r>
              <w:rPr>
                <w:rStyle w:val="IndexLink"/>
                <w:rtl w:val="true"/>
              </w:rPr>
              <w:t>القول فی شرائط صلاة المیّت</w:t>
            </w:r>
            <w:r>
              <w:rPr>
                <w:rStyle w:val="IndexLink"/>
                <w:rtl w:val="true"/>
              </w:rPr>
              <w:t>]</w:t>
              <w:tab/>
            </w:r>
            <w:r>
              <w:rPr>
                <w:rStyle w:val="IndexLink"/>
              </w:rPr>
              <w:t>161</w:t>
            </w:r>
          </w:hyperlink>
        </w:p>
        <w:p>
          <w:pPr>
            <w:pStyle w:val="Contents6"/>
            <w:tabs>
              <w:tab w:val="clear" w:pos="7609"/>
              <w:tab w:val="right" w:pos="9026" w:leader="dot"/>
            </w:tabs>
            <w:rPr/>
          </w:pPr>
          <w:hyperlink w:anchor="__RefHeading___Toc2565810_3650668749">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256581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یعتبر فیها الطهارة من الحدث و الخبث و لا سائر شروط الصلاة</w:t>
            </w:r>
            <w:r>
              <w:rPr>
                <w:rStyle w:val="IndexLink"/>
                <w:rtl w:val="true"/>
              </w:rPr>
              <w:t>]</w:t>
              <w:tab/>
            </w:r>
            <w:r>
              <w:rPr>
                <w:rStyle w:val="IndexLink"/>
              </w:rPr>
              <w:t>162</w:t>
            </w:r>
          </w:hyperlink>
        </w:p>
        <w:p>
          <w:pPr>
            <w:pStyle w:val="Contents6"/>
            <w:tabs>
              <w:tab w:val="clear" w:pos="7609"/>
              <w:tab w:val="right" w:pos="9026" w:leader="dot"/>
            </w:tabs>
            <w:rPr/>
          </w:pPr>
          <w:hyperlink w:anchor="__RefHeading___Toc256581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لم یمکن الاستقبال أصلًا سقط</w:t>
            </w:r>
            <w:r>
              <w:rPr>
                <w:rStyle w:val="IndexLink"/>
                <w:rtl w:val="true"/>
              </w:rPr>
              <w:t>]</w:t>
              <w:tab/>
            </w:r>
            <w:r>
              <w:rPr>
                <w:rStyle w:val="IndexLink"/>
              </w:rPr>
              <w:t>162</w:t>
            </w:r>
          </w:hyperlink>
        </w:p>
        <w:p>
          <w:pPr>
            <w:pStyle w:val="Contents6"/>
            <w:tabs>
              <w:tab w:val="clear" w:pos="7609"/>
              <w:tab w:val="right" w:pos="9026" w:leader="dot"/>
            </w:tabs>
            <w:rPr/>
          </w:pPr>
          <w:hyperlink w:anchor="__RefHeading___Toc256581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لم یقدر علی القیام و لم یوجد من یقدر علی الصلاة قائماً</w:t>
            </w:r>
            <w:r>
              <w:rPr>
                <w:rStyle w:val="IndexLink"/>
                <w:rtl w:val="true"/>
              </w:rPr>
              <w:t>]</w:t>
              <w:tab/>
            </w:r>
            <w:r>
              <w:rPr>
                <w:rStyle w:val="IndexLink"/>
              </w:rPr>
              <w:t>162</w:t>
            </w:r>
          </w:hyperlink>
        </w:p>
        <w:p>
          <w:pPr>
            <w:pStyle w:val="Contents6"/>
            <w:tabs>
              <w:tab w:val="clear" w:pos="7609"/>
              <w:tab w:val="right" w:pos="9026" w:leader="dot"/>
            </w:tabs>
            <w:rPr/>
          </w:pPr>
          <w:hyperlink w:anchor="__RefHeading___Toc256581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من أدرک الإمام فی أثناء الصلاة جاز له الدخول معه</w:t>
            </w:r>
            <w:r>
              <w:rPr>
                <w:rStyle w:val="IndexLink"/>
                <w:rtl w:val="true"/>
              </w:rPr>
              <w:t>]</w:t>
              <w:tab/>
            </w:r>
            <w:r>
              <w:rPr>
                <w:rStyle w:val="IndexLink"/>
              </w:rPr>
              <w:t>162</w:t>
            </w:r>
          </w:hyperlink>
        </w:p>
        <w:p>
          <w:pPr>
            <w:pStyle w:val="Contents6"/>
            <w:tabs>
              <w:tab w:val="clear" w:pos="7609"/>
              <w:tab w:val="right" w:pos="9026" w:leader="dot"/>
            </w:tabs>
            <w:rPr/>
          </w:pPr>
          <w:hyperlink w:anchor="__RefHeading___Toc256582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یسقط صلاة المیّت عن المکلّفین ما لم یأت بها بعضهم علیٰ وجه صحیح</w:t>
            </w:r>
            <w:r>
              <w:rPr>
                <w:rStyle w:val="IndexLink"/>
                <w:rtl w:val="true"/>
              </w:rPr>
              <w:t>]</w:t>
              <w:tab/>
            </w:r>
            <w:r>
              <w:rPr>
                <w:rStyle w:val="IndexLink"/>
              </w:rPr>
              <w:t>162</w:t>
            </w:r>
          </w:hyperlink>
        </w:p>
        <w:p>
          <w:pPr>
            <w:pStyle w:val="Contents6"/>
            <w:tabs>
              <w:tab w:val="clear" w:pos="7609"/>
              <w:tab w:val="right" w:pos="9026" w:leader="dot"/>
            </w:tabs>
            <w:rPr/>
          </w:pPr>
          <w:hyperlink w:anchor="__RefHeading___Toc256582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یجب أن یکون الصلاة قبل الدفن لا بعده</w:t>
            </w:r>
            <w:r>
              <w:rPr>
                <w:rStyle w:val="IndexLink"/>
                <w:rtl w:val="true"/>
              </w:rPr>
              <w:t>]</w:t>
              <w:tab/>
            </w:r>
            <w:r>
              <w:rPr>
                <w:rStyle w:val="IndexLink"/>
              </w:rPr>
              <w:t>163</w:t>
            </w:r>
          </w:hyperlink>
        </w:p>
        <w:p>
          <w:pPr>
            <w:pStyle w:val="Contents6"/>
            <w:tabs>
              <w:tab w:val="clear" w:pos="7609"/>
              <w:tab w:val="right" w:pos="9026" w:leader="dot"/>
            </w:tabs>
            <w:rPr/>
          </w:pPr>
          <w:hyperlink w:anchor="__RefHeading___Toc256582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یجوز تکرار الصلاة علی المیّت علیٰ کراهیة</w:t>
            </w:r>
            <w:r>
              <w:rPr>
                <w:rStyle w:val="IndexLink"/>
                <w:rtl w:val="true"/>
              </w:rPr>
              <w:t>]</w:t>
              <w:tab/>
            </w:r>
            <w:r>
              <w:rPr>
                <w:rStyle w:val="IndexLink"/>
              </w:rPr>
              <w:t>163</w:t>
            </w:r>
          </w:hyperlink>
        </w:p>
        <w:p>
          <w:pPr>
            <w:pStyle w:val="Contents6"/>
            <w:tabs>
              <w:tab w:val="clear" w:pos="7609"/>
              <w:tab w:val="right" w:pos="9026" w:leader="dot"/>
            </w:tabs>
            <w:rPr/>
          </w:pPr>
          <w:hyperlink w:anchor="__RefHeading___Toc256582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حضرت جنازة فی وقت الفریضة فإن لم تزاحم الصلاة علیها مع الفریضة</w:t>
            </w:r>
            <w:r>
              <w:rPr>
                <w:rStyle w:val="IndexLink"/>
                <w:rtl w:val="true"/>
              </w:rPr>
              <w:t>]</w:t>
              <w:tab/>
            </w:r>
            <w:r>
              <w:rPr>
                <w:rStyle w:val="IndexLink"/>
              </w:rPr>
              <w:t>163</w:t>
            </w:r>
          </w:hyperlink>
        </w:p>
        <w:p>
          <w:pPr>
            <w:pStyle w:val="Contents6"/>
            <w:tabs>
              <w:tab w:val="clear" w:pos="7609"/>
              <w:tab w:val="right" w:pos="9026" w:leader="dot"/>
            </w:tabs>
            <w:rPr/>
          </w:pPr>
          <w:hyperlink w:anchor="__RefHeading___Toc256582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إذا اجتمعت جنازات متعدّدة فالأولی انفراد کلّ واحدة منها بصلاة</w:t>
            </w:r>
            <w:r>
              <w:rPr>
                <w:rStyle w:val="IndexLink"/>
                <w:rtl w:val="true"/>
              </w:rPr>
              <w:t>]</w:t>
              <w:tab/>
            </w:r>
            <w:r>
              <w:rPr>
                <w:rStyle w:val="IndexLink"/>
              </w:rPr>
              <w:t>163</w:t>
            </w:r>
          </w:hyperlink>
        </w:p>
        <w:p>
          <w:pPr>
            <w:pStyle w:val="Contents6"/>
            <w:tabs>
              <w:tab w:val="clear" w:pos="7609"/>
              <w:tab w:val="right" w:pos="9026" w:leader="dot"/>
            </w:tabs>
            <w:rPr/>
          </w:pPr>
          <w:hyperlink w:anchor="__RefHeading___Toc256583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إذا حضر فی أثناء الصلاة علی الجنازة کما بعد التکبیرة الأُولیٰ جنازة أُخری</w:t>
            </w:r>
            <w:r>
              <w:rPr>
                <w:rStyle w:val="IndexLink"/>
                <w:rtl w:val="true"/>
              </w:rPr>
              <w:t>]</w:t>
              <w:tab/>
            </w:r>
            <w:r>
              <w:rPr>
                <w:rStyle w:val="IndexLink"/>
              </w:rPr>
              <w:t>164</w:t>
            </w:r>
          </w:hyperlink>
        </w:p>
        <w:p>
          <w:pPr>
            <w:pStyle w:val="Contents6"/>
            <w:tabs>
              <w:tab w:val="clear" w:pos="7609"/>
              <w:tab w:val="right" w:pos="9026" w:leader="dot"/>
            </w:tabs>
            <w:rPr/>
          </w:pPr>
          <w:hyperlink w:anchor="__RefHeading___Toc2565832_3650668749">
            <w:r>
              <w:rPr>
                <w:webHidden/>
                <w:rStyle w:val="IndexLink"/>
                <w:rtl w:val="true"/>
              </w:rPr>
              <w:t>[</w:t>
            </w:r>
            <w:r>
              <w:rPr>
                <w:rStyle w:val="IndexLink"/>
                <w:rtl w:val="true"/>
              </w:rPr>
              <w:t>القول فی آداب الصلاة علی المیّت</w:t>
            </w:r>
            <w:r>
              <w:rPr>
                <w:rStyle w:val="IndexLink"/>
                <w:rtl w:val="true"/>
              </w:rPr>
              <w:t>]</w:t>
              <w:tab/>
            </w:r>
            <w:r>
              <w:rPr>
                <w:rStyle w:val="IndexLink"/>
              </w:rPr>
              <w:t>164</w:t>
            </w:r>
          </w:hyperlink>
        </w:p>
        <w:p>
          <w:pPr>
            <w:pStyle w:val="Contents6"/>
            <w:tabs>
              <w:tab w:val="clear" w:pos="7609"/>
              <w:tab w:val="right" w:pos="9026" w:leader="dot"/>
            </w:tabs>
            <w:rPr/>
          </w:pPr>
          <w:hyperlink w:anchor="__RefHeading___Toc2565834_3650668749">
            <w:r>
              <w:rPr>
                <w:webHidden/>
                <w:rStyle w:val="IndexLink"/>
                <w:rtl w:val="true"/>
              </w:rPr>
              <w:t>[</w:t>
            </w:r>
            <w:r>
              <w:rPr>
                <w:rStyle w:val="IndexLink"/>
                <w:rtl w:val="true"/>
              </w:rPr>
              <w:t>القول فی الدفن</w:t>
            </w:r>
            <w:r>
              <w:rPr>
                <w:rStyle w:val="IndexLink"/>
                <w:rtl w:val="true"/>
              </w:rPr>
              <w:t>]</w:t>
              <w:tab/>
            </w:r>
            <w:r>
              <w:rPr>
                <w:rStyle w:val="IndexLink"/>
              </w:rPr>
              <w:t>165</w:t>
            </w:r>
          </w:hyperlink>
        </w:p>
        <w:p>
          <w:pPr>
            <w:pStyle w:val="Contents6"/>
            <w:tabs>
              <w:tab w:val="clear" w:pos="7609"/>
              <w:tab w:val="right" w:pos="9026" w:leader="dot"/>
            </w:tabs>
            <w:rPr/>
          </w:pPr>
          <w:hyperlink w:anchor="__RefHeading___Toc2565836_3650668749">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2565838_3650668749">
            <w:r>
              <w:rPr>
                <w:webHidden/>
                <w:rStyle w:val="IndexLink"/>
                <w:rtl w:val="true"/>
              </w:rPr>
              <w:t>[</w:t>
            </w:r>
            <w:r>
              <w:rPr>
                <w:rStyle w:val="IndexLink"/>
                <w:rtl w:val="true"/>
              </w:rPr>
              <w:t>مسائل</w:t>
            </w:r>
            <w:r>
              <w:rPr>
                <w:rStyle w:val="IndexLink"/>
                <w:rtl w:val="true"/>
              </w:rPr>
              <w:t>]</w:t>
              <w:tab/>
            </w:r>
            <w:r>
              <w:rPr>
                <w:rStyle w:val="IndexLink"/>
              </w:rPr>
              <w:t>165</w:t>
            </w:r>
          </w:hyperlink>
        </w:p>
        <w:p>
          <w:pPr>
            <w:pStyle w:val="Contents6"/>
            <w:tabs>
              <w:tab w:val="clear" w:pos="7609"/>
              <w:tab w:val="right" w:pos="9026" w:leader="dot"/>
            </w:tabs>
            <w:rPr/>
          </w:pPr>
          <w:hyperlink w:anchor="__RefHeading___Toc2565840_3650668749">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256584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راکب البحر مع تعذّر البرّ لخوف فساده لو انتظر أو لمانع آخر أو تعسّره</w:t>
            </w:r>
            <w:r>
              <w:rPr>
                <w:rStyle w:val="IndexLink"/>
                <w:rtl w:val="true"/>
              </w:rPr>
              <w:t>]</w:t>
              <w:tab/>
            </w:r>
            <w:r>
              <w:rPr>
                <w:rStyle w:val="IndexLink"/>
              </w:rPr>
              <w:t>165</w:t>
            </w:r>
          </w:hyperlink>
        </w:p>
        <w:p>
          <w:pPr>
            <w:pStyle w:val="Contents6"/>
            <w:tabs>
              <w:tab w:val="clear" w:pos="7609"/>
              <w:tab w:val="right" w:pos="9026" w:leader="dot"/>
            </w:tabs>
            <w:rPr/>
          </w:pPr>
          <w:hyperlink w:anchor="__RefHeading___Toc256584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یجب کون الدفن مستقبل القبلة</w:t>
            </w:r>
            <w:r>
              <w:rPr>
                <w:rStyle w:val="IndexLink"/>
                <w:rtl w:val="true"/>
              </w:rPr>
              <w:t>]</w:t>
              <w:tab/>
            </w:r>
            <w:r>
              <w:rPr>
                <w:rStyle w:val="IndexLink"/>
              </w:rPr>
              <w:t>165</w:t>
            </w:r>
          </w:hyperlink>
        </w:p>
        <w:p>
          <w:pPr>
            <w:pStyle w:val="Contents6"/>
            <w:tabs>
              <w:tab w:val="clear" w:pos="7609"/>
              <w:tab w:val="right" w:pos="9026" w:leader="dot"/>
            </w:tabs>
            <w:rPr/>
          </w:pPr>
          <w:hyperlink w:anchor="__RefHeading___Toc256584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مئونة الدفن حتّی ما یحتاج إلیه لأجل استحکامه</w:t>
            </w:r>
            <w:r>
              <w:rPr>
                <w:rStyle w:val="IndexLink"/>
                <w:rtl w:val="true"/>
              </w:rPr>
              <w:t>]</w:t>
              <w:tab/>
            </w:r>
            <w:r>
              <w:rPr>
                <w:rStyle w:val="IndexLink"/>
              </w:rPr>
              <w:t>165</w:t>
            </w:r>
          </w:hyperlink>
        </w:p>
        <w:p>
          <w:pPr>
            <w:pStyle w:val="Contents6"/>
            <w:tabs>
              <w:tab w:val="clear" w:pos="7609"/>
              <w:tab w:val="right" w:pos="9026" w:leader="dot"/>
            </w:tabs>
            <w:rPr/>
          </w:pPr>
          <w:hyperlink w:anchor="__RefHeading___Toc256584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اشتبهت القبلة یعمل بالظنّ</w:t>
            </w:r>
            <w:r>
              <w:rPr>
                <w:rStyle w:val="IndexLink"/>
                <w:rtl w:val="true"/>
              </w:rPr>
              <w:t>]</w:t>
              <w:tab/>
            </w:r>
            <w:r>
              <w:rPr>
                <w:rStyle w:val="IndexLink"/>
              </w:rPr>
              <w:t>165</w:t>
            </w:r>
          </w:hyperlink>
        </w:p>
        <w:p>
          <w:pPr>
            <w:pStyle w:val="Contents6"/>
            <w:tabs>
              <w:tab w:val="clear" w:pos="7609"/>
              <w:tab w:val="right" w:pos="9026" w:leader="dot"/>
            </w:tabs>
            <w:rPr/>
          </w:pPr>
          <w:hyperlink w:anchor="__RefHeading___Toc256585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یجب دفن الأجزاء المبانة من المیّت حتّی الشعر و السنّ و الظفر</w:t>
            </w:r>
            <w:r>
              <w:rPr>
                <w:rStyle w:val="IndexLink"/>
                <w:rtl w:val="true"/>
              </w:rPr>
              <w:t>]</w:t>
              <w:tab/>
            </w:r>
            <w:r>
              <w:rPr>
                <w:rStyle w:val="IndexLink"/>
              </w:rPr>
              <w:t>166</w:t>
            </w:r>
          </w:hyperlink>
        </w:p>
        <w:p>
          <w:pPr>
            <w:pStyle w:val="Contents6"/>
            <w:tabs>
              <w:tab w:val="clear" w:pos="7609"/>
              <w:tab w:val="right" w:pos="9026" w:leader="dot"/>
            </w:tabs>
            <w:rPr/>
          </w:pPr>
          <w:hyperlink w:anchor="__RefHeading___Toc256585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مات شخص فی البئر و لم یمکن إخراجه و لا استقباله یخلّیٰ علیٰ حاله</w:t>
            </w:r>
            <w:r>
              <w:rPr>
                <w:rStyle w:val="IndexLink"/>
                <w:rtl w:val="true"/>
              </w:rPr>
              <w:t>]</w:t>
              <w:tab/>
            </w:r>
            <w:r>
              <w:rPr>
                <w:rStyle w:val="IndexLink"/>
              </w:rPr>
              <w:t>166</w:t>
            </w:r>
          </w:hyperlink>
        </w:p>
        <w:p>
          <w:pPr>
            <w:pStyle w:val="Contents6"/>
            <w:tabs>
              <w:tab w:val="clear" w:pos="7609"/>
              <w:tab w:val="right" w:pos="9026" w:leader="dot"/>
            </w:tabs>
            <w:rPr/>
          </w:pPr>
          <w:hyperlink w:anchor="__RefHeading___Toc256585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مات الجنین فی بطن الحامل و خیف علیها من بقائه یجب التوصّل إلیٰ إخراجه</w:t>
            </w:r>
            <w:r>
              <w:rPr>
                <w:rStyle w:val="IndexLink"/>
                <w:rtl w:val="true"/>
              </w:rPr>
              <w:t>]</w:t>
              <w:tab/>
            </w:r>
            <w:r>
              <w:rPr>
                <w:rStyle w:val="IndexLink"/>
              </w:rPr>
              <w:t>166</w:t>
            </w:r>
          </w:hyperlink>
        </w:p>
        <w:p>
          <w:pPr>
            <w:pStyle w:val="Contents6"/>
            <w:tabs>
              <w:tab w:val="clear" w:pos="7609"/>
              <w:tab w:val="right" w:pos="9026" w:leader="dot"/>
            </w:tabs>
            <w:rPr/>
          </w:pPr>
          <w:hyperlink w:anchor="__RefHeading___Toc256585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لا یجوز الدفن فی الأرض المغصوبة عیناً أو منفعةً</w:t>
            </w:r>
            <w:r>
              <w:rPr>
                <w:rStyle w:val="IndexLink"/>
                <w:rtl w:val="true"/>
              </w:rPr>
              <w:t>]</w:t>
              <w:tab/>
            </w:r>
            <w:r>
              <w:rPr>
                <w:rStyle w:val="IndexLink"/>
              </w:rPr>
              <w:t>166</w:t>
            </w:r>
          </w:hyperlink>
        </w:p>
        <w:p>
          <w:pPr>
            <w:pStyle w:val="Contents6"/>
            <w:tabs>
              <w:tab w:val="clear" w:pos="7609"/>
              <w:tab w:val="right" w:pos="9026" w:leader="dot"/>
            </w:tabs>
            <w:rPr/>
          </w:pPr>
          <w:hyperlink w:anchor="__RefHeading___Toc256585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لا یجوز أن یدفن الکفّار و أولادهم فی مقبرة المسلمین</w:t>
            </w:r>
            <w:r>
              <w:rPr>
                <w:rStyle w:val="IndexLink"/>
                <w:rtl w:val="true"/>
              </w:rPr>
              <w:t>]</w:t>
              <w:tab/>
            </w:r>
            <w:r>
              <w:rPr>
                <w:rStyle w:val="IndexLink"/>
              </w:rPr>
              <w:t>166</w:t>
            </w:r>
          </w:hyperlink>
        </w:p>
        <w:p>
          <w:pPr>
            <w:pStyle w:val="Contents6"/>
            <w:tabs>
              <w:tab w:val="clear" w:pos="7609"/>
              <w:tab w:val="right" w:pos="9026" w:leader="dot"/>
            </w:tabs>
            <w:rPr/>
          </w:pPr>
          <w:hyperlink w:anchor="__RefHeading___Toc2565860_3650668749">
            <w:r>
              <w:rPr>
                <w:webHidden/>
                <w:rStyle w:val="IndexLink"/>
                <w:rtl w:val="true"/>
              </w:rPr>
              <w:t>[</w:t>
            </w:r>
            <w:r>
              <w:rPr>
                <w:rStyle w:val="IndexLink"/>
                <w:rtl w:val="true"/>
              </w:rPr>
              <w:t>القول فی مستحبّات الدفن و مکروهاته</w:t>
            </w:r>
            <w:r>
              <w:rPr>
                <w:rStyle w:val="IndexLink"/>
                <w:rtl w:val="true"/>
              </w:rPr>
              <w:t>]</w:t>
              <w:tab/>
            </w:r>
            <w:r>
              <w:rPr>
                <w:rStyle w:val="IndexLink"/>
              </w:rPr>
              <w:t>167</w:t>
            </w:r>
          </w:hyperlink>
        </w:p>
        <w:p>
          <w:pPr>
            <w:pStyle w:val="Contents6"/>
            <w:tabs>
              <w:tab w:val="clear" w:pos="7609"/>
              <w:tab w:val="right" w:pos="9026" w:leader="dot"/>
            </w:tabs>
            <w:rPr/>
          </w:pPr>
          <w:hyperlink w:anchor="__RefHeading___Toc2565862_3650668749">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2565864_3650668749">
            <w:r>
              <w:rPr>
                <w:webHidden/>
                <w:rStyle w:val="IndexLink"/>
                <w:rtl w:val="true"/>
              </w:rPr>
              <w:t>[</w:t>
            </w:r>
            <w:r>
              <w:rPr>
                <w:rStyle w:val="IndexLink"/>
                <w:rtl w:val="true"/>
              </w:rPr>
              <w:t>أمّا المستحبّات فهی أُمور</w:t>
            </w:r>
            <w:r>
              <w:rPr>
                <w:rStyle w:val="IndexLink"/>
                <w:rtl w:val="true"/>
              </w:rPr>
              <w:t>]</w:t>
              <w:tab/>
            </w:r>
            <w:r>
              <w:rPr>
                <w:rStyle w:val="IndexLink"/>
              </w:rPr>
              <w:t>167</w:t>
            </w:r>
          </w:hyperlink>
        </w:p>
        <w:p>
          <w:pPr>
            <w:pStyle w:val="Contents6"/>
            <w:tabs>
              <w:tab w:val="clear" w:pos="7609"/>
              <w:tab w:val="right" w:pos="9026" w:leader="dot"/>
            </w:tabs>
            <w:rPr/>
          </w:pPr>
          <w:hyperlink w:anchor="__RefHeading___Toc2565866_3650668749">
            <w:r>
              <w:rPr>
                <w:webHidden/>
                <w:rStyle w:val="IndexLink"/>
                <w:rtl w:val="true"/>
              </w:rPr>
              <w:t>[</w:t>
            </w:r>
            <w:r>
              <w:rPr>
                <w:rStyle w:val="IndexLink"/>
                <w:rtl w:val="true"/>
              </w:rPr>
              <w:t>و أمّا المکروهات</w:t>
            </w:r>
            <w:r>
              <w:rPr>
                <w:rStyle w:val="IndexLink"/>
                <w:rtl w:val="true"/>
              </w:rPr>
              <w:t>]</w:t>
              <w:tab/>
            </w:r>
            <w:r>
              <w:rPr>
                <w:rStyle w:val="IndexLink"/>
              </w:rPr>
              <w:t>169</w:t>
            </w:r>
          </w:hyperlink>
        </w:p>
        <w:p>
          <w:pPr>
            <w:pStyle w:val="Contents6"/>
            <w:tabs>
              <w:tab w:val="clear" w:pos="7609"/>
              <w:tab w:val="right" w:pos="9026" w:leader="dot"/>
            </w:tabs>
            <w:rPr/>
          </w:pPr>
          <w:hyperlink w:anchor="__RefHeading___Toc2565868_3650668749">
            <w:r>
              <w:rPr>
                <w:webHidden/>
                <w:rStyle w:val="IndexLink"/>
                <w:rtl w:val="true"/>
              </w:rPr>
              <w:t>[</w:t>
            </w:r>
            <w:r>
              <w:rPr>
                <w:rStyle w:val="IndexLink"/>
                <w:rtl w:val="true"/>
              </w:rPr>
              <w:t>خاتمة تشتمل علیٰ مسائل</w:t>
            </w:r>
            <w:r>
              <w:rPr>
                <w:rStyle w:val="IndexLink"/>
                <w:rtl w:val="true"/>
              </w:rPr>
              <w:t>]</w:t>
              <w:tab/>
            </w:r>
            <w:r>
              <w:rPr>
                <w:rStyle w:val="IndexLink"/>
              </w:rPr>
              <w:t>169</w:t>
            </w:r>
          </w:hyperlink>
        </w:p>
        <w:p>
          <w:pPr>
            <w:pStyle w:val="Contents6"/>
            <w:tabs>
              <w:tab w:val="clear" w:pos="7609"/>
              <w:tab w:val="right" w:pos="9026" w:leader="dot"/>
            </w:tabs>
            <w:rPr/>
          </w:pPr>
          <w:hyperlink w:anchor="__RefHeading___Toc2565870_3650668749">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256587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یجوز نقل المیّت من بلد موته إلیٰ بلد آخر قبل دفنه علیٰ کراهیة</w:t>
            </w:r>
            <w:r>
              <w:rPr>
                <w:rStyle w:val="IndexLink"/>
                <w:rtl w:val="true"/>
              </w:rPr>
              <w:t>]</w:t>
              <w:tab/>
            </w:r>
            <w:r>
              <w:rPr>
                <w:rStyle w:val="IndexLink"/>
              </w:rPr>
              <w:t>169</w:t>
            </w:r>
          </w:hyperlink>
        </w:p>
        <w:p>
          <w:pPr>
            <w:pStyle w:val="Contents6"/>
            <w:tabs>
              <w:tab w:val="clear" w:pos="7609"/>
              <w:tab w:val="right" w:pos="9026" w:leader="dot"/>
            </w:tabs>
            <w:rPr/>
          </w:pPr>
          <w:hyperlink w:anchor="__RefHeading___Toc256587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یجوز البکاء علی المیّت</w:t>
            </w:r>
            <w:r>
              <w:rPr>
                <w:rStyle w:val="IndexLink"/>
                <w:rtl w:val="true"/>
              </w:rPr>
              <w:t>]</w:t>
              <w:tab/>
            </w:r>
            <w:r>
              <w:rPr>
                <w:rStyle w:val="IndexLink"/>
              </w:rPr>
              <w:t>170</w:t>
            </w:r>
          </w:hyperlink>
        </w:p>
        <w:p>
          <w:pPr>
            <w:pStyle w:val="Contents6"/>
            <w:tabs>
              <w:tab w:val="clear" w:pos="7609"/>
              <w:tab w:val="right" w:pos="9026" w:leader="dot"/>
            </w:tabs>
            <w:rPr/>
          </w:pPr>
          <w:hyperlink w:anchor="__RefHeading___Toc2565876_3650668749">
            <w:r>
              <w:rPr>
                <w:webHidden/>
                <w:rStyle w:val="IndexLink"/>
                <w:rtl w:val="true"/>
              </w:rPr>
              <w:t>[ (</w:t>
            </w:r>
            <w:r>
              <w:rPr>
                <w:rStyle w:val="IndexLink"/>
                <w:rtl w:val="true"/>
              </w:rPr>
              <w:t xml:space="preserve">مسألة </w:t>
            </w:r>
            <w:r>
              <w:rPr>
                <w:rStyle w:val="IndexLink"/>
              </w:rPr>
              <w:t>3</w:t>
            </w:r>
            <w:r>
              <w:rPr>
                <w:rStyle w:val="IndexLink"/>
                <w:rtl w:val="true"/>
              </w:rPr>
              <w:t>)]</w:t>
              <w:tab/>
            </w:r>
            <w:r>
              <w:rPr>
                <w:rStyle w:val="IndexLink"/>
              </w:rPr>
              <w:t>170</w:t>
            </w:r>
          </w:hyperlink>
        </w:p>
        <w:p>
          <w:pPr>
            <w:pStyle w:val="Contents6"/>
            <w:tabs>
              <w:tab w:val="clear" w:pos="7609"/>
              <w:tab w:val="right" w:pos="9026" w:leader="dot"/>
            </w:tabs>
            <w:rPr/>
          </w:pPr>
          <w:hyperlink w:anchor="__RefHeading___Toc2565878_3650668749">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2565880_3650668749">
            <w:r>
              <w:rPr>
                <w:webHidden/>
                <w:rStyle w:val="IndexLink"/>
                <w:rtl w:val="true"/>
              </w:rPr>
              <w:t>[</w:t>
            </w:r>
            <w:r>
              <w:rPr>
                <w:rStyle w:val="IndexLink"/>
                <w:rtl w:val="true"/>
              </w:rPr>
              <w:t>یحرم نبش قبر المسلم و من بحکمه</w:t>
            </w:r>
            <w:r>
              <w:rPr>
                <w:rStyle w:val="IndexLink"/>
                <w:rtl w:val="true"/>
              </w:rPr>
              <w:t>]</w:t>
              <w:tab/>
            </w:r>
            <w:r>
              <w:rPr>
                <w:rStyle w:val="IndexLink"/>
              </w:rPr>
              <w:t>170</w:t>
            </w:r>
          </w:hyperlink>
        </w:p>
        <w:p>
          <w:pPr>
            <w:pStyle w:val="Contents6"/>
            <w:tabs>
              <w:tab w:val="clear" w:pos="7609"/>
              <w:tab w:val="right" w:pos="9026" w:leader="dot"/>
            </w:tabs>
            <w:rPr/>
          </w:pPr>
          <w:hyperlink w:anchor="__RefHeading___Toc2565882_3650668749">
            <w:r>
              <w:rPr>
                <w:webHidden/>
                <w:rStyle w:val="IndexLink"/>
                <w:rtl w:val="true"/>
              </w:rPr>
              <w:t>[</w:t>
            </w:r>
            <w:r>
              <w:rPr>
                <w:rStyle w:val="IndexLink"/>
                <w:rtl w:val="true"/>
              </w:rPr>
              <w:t>و یجوز النبش فی موارد</w:t>
            </w:r>
            <w:r>
              <w:rPr>
                <w:rStyle w:val="IndexLink"/>
                <w:rtl w:val="true"/>
              </w:rPr>
              <w:t>]</w:t>
              <w:tab/>
            </w:r>
            <w:r>
              <w:rPr>
                <w:rStyle w:val="IndexLink"/>
              </w:rPr>
              <w:t>171</w:t>
            </w:r>
          </w:hyperlink>
        </w:p>
        <w:p>
          <w:pPr>
            <w:pStyle w:val="Contents6"/>
            <w:tabs>
              <w:tab w:val="clear" w:pos="7609"/>
              <w:tab w:val="right" w:pos="9026" w:leader="dot"/>
            </w:tabs>
            <w:rPr/>
          </w:pPr>
          <w:hyperlink w:anchor="__RefHeading___Toc256588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یجوز محو آثار القبور التی علم اندراس میّتها</w:t>
            </w:r>
            <w:r>
              <w:rPr>
                <w:rStyle w:val="IndexLink"/>
                <w:rtl w:val="true"/>
              </w:rPr>
              <w:t>]</w:t>
              <w:tab/>
            </w:r>
            <w:r>
              <w:rPr>
                <w:rStyle w:val="IndexLink"/>
              </w:rPr>
              <w:t>172</w:t>
            </w:r>
          </w:hyperlink>
        </w:p>
        <w:p>
          <w:pPr>
            <w:pStyle w:val="Contents6"/>
            <w:tabs>
              <w:tab w:val="clear" w:pos="7609"/>
              <w:tab w:val="right" w:pos="9026" w:leader="dot"/>
            </w:tabs>
            <w:rPr/>
          </w:pPr>
          <w:hyperlink w:anchor="__RefHeading___Toc256588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أُخرج المیّت عن قبره فی مکان مباح عصیاناً أو بنحو مباح</w:t>
            </w:r>
            <w:r>
              <w:rPr>
                <w:rStyle w:val="IndexLink"/>
                <w:rtl w:val="true"/>
              </w:rPr>
              <w:t>]</w:t>
              <w:tab/>
            </w:r>
            <w:r>
              <w:rPr>
                <w:rStyle w:val="IndexLink"/>
              </w:rPr>
              <w:t>172</w:t>
            </w:r>
          </w:hyperlink>
        </w:p>
        <w:p>
          <w:pPr>
            <w:pStyle w:val="Contents6"/>
            <w:tabs>
              <w:tab w:val="clear" w:pos="7609"/>
              <w:tab w:val="right" w:pos="9026" w:leader="dot"/>
            </w:tabs>
            <w:rPr/>
          </w:pPr>
          <w:hyperlink w:anchor="__RefHeading___Toc2565888_3650668749">
            <w:r>
              <w:rPr>
                <w:webHidden/>
                <w:rStyle w:val="IndexLink"/>
                <w:rtl w:val="true"/>
              </w:rPr>
              <w:t>[</w:t>
            </w:r>
            <w:r>
              <w:rPr>
                <w:rStyle w:val="IndexLink"/>
                <w:rtl w:val="true"/>
              </w:rPr>
              <w:t>ختامٌ فیه أمران</w:t>
            </w:r>
            <w:r>
              <w:rPr>
                <w:rStyle w:val="IndexLink"/>
                <w:rtl w:val="true"/>
              </w:rPr>
              <w:t>]</w:t>
              <w:tab/>
            </w:r>
            <w:r>
              <w:rPr>
                <w:rStyle w:val="IndexLink"/>
              </w:rPr>
              <w:t>172</w:t>
            </w:r>
          </w:hyperlink>
        </w:p>
        <w:p>
          <w:pPr>
            <w:pStyle w:val="Contents6"/>
            <w:tabs>
              <w:tab w:val="clear" w:pos="7609"/>
              <w:tab w:val="right" w:pos="9026" w:leader="dot"/>
            </w:tabs>
            <w:rPr/>
          </w:pPr>
          <w:hyperlink w:anchor="__RefHeading___Toc2565890_3650668749">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2565892_3650668749">
            <w:r>
              <w:rPr>
                <w:webHidden/>
                <w:rStyle w:val="IndexLink"/>
                <w:rtl w:val="true"/>
              </w:rPr>
              <w:t>[</w:t>
            </w:r>
            <w:r>
              <w:rPr>
                <w:rStyle w:val="IndexLink"/>
                <w:rtl w:val="true"/>
              </w:rPr>
              <w:t>أحدهما</w:t>
            </w:r>
            <w:r>
              <w:rPr>
                <w:rStyle w:val="IndexLink"/>
                <w:rtl w:val="true"/>
              </w:rPr>
              <w:t xml:space="preserve">: </w:t>
            </w:r>
            <w:r>
              <w:rPr>
                <w:rStyle w:val="IndexLink"/>
                <w:rtl w:val="true"/>
              </w:rPr>
              <w:t>من المستحبّات الأکیدة التعزیة لأهل المصیبة و تسلیتهم</w:t>
            </w:r>
            <w:r>
              <w:rPr>
                <w:rStyle w:val="IndexLink"/>
                <w:rtl w:val="true"/>
              </w:rPr>
              <w:t>]</w:t>
              <w:tab/>
            </w:r>
            <w:r>
              <w:rPr>
                <w:rStyle w:val="IndexLink"/>
              </w:rPr>
              <w:t>172</w:t>
            </w:r>
          </w:hyperlink>
        </w:p>
        <w:p>
          <w:pPr>
            <w:pStyle w:val="Contents6"/>
            <w:tabs>
              <w:tab w:val="clear" w:pos="7609"/>
              <w:tab w:val="right" w:pos="9026" w:leader="dot"/>
            </w:tabs>
            <w:rPr/>
          </w:pPr>
          <w:hyperlink w:anchor="__RefHeading___Toc2565894_3650668749">
            <w:r>
              <w:rPr>
                <w:webHidden/>
                <w:rStyle w:val="IndexLink"/>
                <w:rtl w:val="true"/>
              </w:rPr>
              <w:t>[</w:t>
            </w:r>
            <w:r>
              <w:rPr>
                <w:rStyle w:val="IndexLink"/>
                <w:rtl w:val="true"/>
              </w:rPr>
              <w:t>ثانیهما</w:t>
            </w:r>
            <w:r>
              <w:rPr>
                <w:rStyle w:val="IndexLink"/>
                <w:rtl w:val="true"/>
              </w:rPr>
              <w:t xml:space="preserve">: </w:t>
            </w:r>
            <w:r>
              <w:rPr>
                <w:rStyle w:val="IndexLink"/>
                <w:rtl w:val="true"/>
              </w:rPr>
              <w:t>یستحبّ لیلة الدفن صلاة الهدیّة للمیّت</w:t>
            </w:r>
            <w:r>
              <w:rPr>
                <w:rStyle w:val="IndexLink"/>
                <w:rtl w:val="true"/>
              </w:rPr>
              <w:t>]</w:t>
              <w:tab/>
            </w:r>
            <w:r>
              <w:rPr>
                <w:rStyle w:val="IndexLink"/>
              </w:rPr>
              <w:t>173</w:t>
            </w:r>
          </w:hyperlink>
        </w:p>
        <w:p>
          <w:pPr>
            <w:pStyle w:val="Contents4"/>
            <w:tabs>
              <w:tab w:val="clear" w:pos="8176"/>
              <w:tab w:val="right" w:pos="9026" w:leader="dot"/>
            </w:tabs>
            <w:rPr/>
          </w:pPr>
          <w:hyperlink w:anchor="__RefHeading___Toc2565896_3650668749">
            <w:r>
              <w:rPr>
                <w:webHidden/>
                <w:rStyle w:val="IndexLink"/>
                <w:rtl w:val="true"/>
              </w:rPr>
              <w:t>[</w:t>
            </w:r>
            <w:r>
              <w:rPr>
                <w:rStyle w:val="IndexLink"/>
                <w:rtl w:val="true"/>
              </w:rPr>
              <w:t>القول فی الأغسال المندوبة</w:t>
            </w:r>
            <w:r>
              <w:rPr>
                <w:rStyle w:val="IndexLink"/>
                <w:rtl w:val="true"/>
              </w:rPr>
              <w:t>]</w:t>
              <w:tab/>
            </w:r>
            <w:r>
              <w:rPr>
                <w:rStyle w:val="IndexLink"/>
              </w:rPr>
              <w:t>173</w:t>
            </w:r>
          </w:hyperlink>
        </w:p>
        <w:p>
          <w:pPr>
            <w:pStyle w:val="Contents5"/>
            <w:tabs>
              <w:tab w:val="clear" w:pos="7892"/>
              <w:tab w:val="right" w:pos="9026" w:leader="dot"/>
            </w:tabs>
            <w:rPr/>
          </w:pPr>
          <w:hyperlink w:anchor="__RefHeading___Toc2565898_3650668749">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2565900_3650668749">
            <w:r>
              <w:rPr>
                <w:webHidden/>
                <w:rStyle w:val="IndexLink"/>
                <w:rtl w:val="true"/>
              </w:rPr>
              <w:t>[</w:t>
            </w:r>
            <w:r>
              <w:rPr>
                <w:rStyle w:val="IndexLink"/>
                <w:rtl w:val="true"/>
              </w:rPr>
              <w:t>أمّا الزمانیّة</w:t>
            </w:r>
            <w:r>
              <w:rPr>
                <w:rStyle w:val="IndexLink"/>
                <w:rtl w:val="true"/>
              </w:rPr>
              <w:t>]</w:t>
              <w:tab/>
            </w:r>
            <w:r>
              <w:rPr>
                <w:rStyle w:val="IndexLink"/>
              </w:rPr>
              <w:t>173</w:t>
            </w:r>
          </w:hyperlink>
        </w:p>
        <w:p>
          <w:pPr>
            <w:pStyle w:val="Contents5"/>
            <w:tabs>
              <w:tab w:val="clear" w:pos="7892"/>
              <w:tab w:val="right" w:pos="9026" w:leader="dot"/>
            </w:tabs>
            <w:rPr/>
          </w:pPr>
          <w:hyperlink w:anchor="__RefHeading___Toc2565902_3650668749">
            <w:r>
              <w:rPr>
                <w:webHidden/>
                <w:rStyle w:val="IndexLink"/>
                <w:rtl w:val="true"/>
              </w:rPr>
              <w:t>[</w:t>
            </w:r>
            <w:r>
              <w:rPr>
                <w:rStyle w:val="IndexLink"/>
                <w:rtl w:val="true"/>
              </w:rPr>
              <w:t>و أمّا المکانیّة</w:t>
            </w:r>
            <w:r>
              <w:rPr>
                <w:rStyle w:val="IndexLink"/>
                <w:rtl w:val="true"/>
              </w:rPr>
              <w:t>]</w:t>
              <w:tab/>
            </w:r>
            <w:r>
              <w:rPr>
                <w:rStyle w:val="IndexLink"/>
              </w:rPr>
              <w:t>175</w:t>
            </w:r>
          </w:hyperlink>
        </w:p>
        <w:p>
          <w:pPr>
            <w:pStyle w:val="Contents5"/>
            <w:tabs>
              <w:tab w:val="clear" w:pos="7892"/>
              <w:tab w:val="right" w:pos="9026" w:leader="dot"/>
            </w:tabs>
            <w:rPr/>
          </w:pPr>
          <w:hyperlink w:anchor="__RefHeading___Toc2565904_3650668749">
            <w:r>
              <w:rPr>
                <w:webHidden/>
                <w:rStyle w:val="IndexLink"/>
                <w:rtl w:val="true"/>
              </w:rPr>
              <w:t>[</w:t>
            </w:r>
            <w:r>
              <w:rPr>
                <w:rStyle w:val="IndexLink"/>
                <w:rtl w:val="true"/>
              </w:rPr>
              <w:t>و أمّا الفعلیّة</w:t>
            </w:r>
            <w:r>
              <w:rPr>
                <w:rStyle w:val="IndexLink"/>
                <w:rtl w:val="true"/>
              </w:rPr>
              <w:t>]</w:t>
              <w:tab/>
            </w:r>
            <w:r>
              <w:rPr>
                <w:rStyle w:val="IndexLink"/>
              </w:rPr>
              <w:t>175</w:t>
            </w:r>
          </w:hyperlink>
        </w:p>
        <w:p>
          <w:pPr>
            <w:pStyle w:val="Contents6"/>
            <w:tabs>
              <w:tab w:val="clear" w:pos="7609"/>
              <w:tab w:val="right" w:pos="9026" w:leader="dot"/>
            </w:tabs>
            <w:rPr/>
          </w:pPr>
          <w:hyperlink w:anchor="__RefHeading___Toc2565906_3650668749">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2565908_3650668749">
            <w:r>
              <w:rPr>
                <w:webHidden/>
                <w:rStyle w:val="IndexLink"/>
                <w:rtl w:val="true"/>
              </w:rPr>
              <w:t>[</w:t>
            </w:r>
            <w:r>
              <w:rPr>
                <w:rStyle w:val="IndexLink"/>
                <w:rtl w:val="true"/>
              </w:rPr>
              <w:t>أحدهما</w:t>
            </w:r>
            <w:r>
              <w:rPr>
                <w:rStyle w:val="IndexLink"/>
                <w:rtl w:val="true"/>
              </w:rPr>
              <w:t xml:space="preserve">: </w:t>
            </w:r>
            <w:r>
              <w:rPr>
                <w:rStyle w:val="IndexLink"/>
                <w:rtl w:val="true"/>
              </w:rPr>
              <w:t>ما یکون لأجل الفعل الذی یرید إیقاعه</w:t>
            </w:r>
            <w:r>
              <w:rPr>
                <w:rStyle w:val="IndexLink"/>
                <w:rtl w:val="true"/>
              </w:rPr>
              <w:t>]</w:t>
              <w:tab/>
            </w:r>
            <w:r>
              <w:rPr>
                <w:rStyle w:val="IndexLink"/>
              </w:rPr>
              <w:t>175</w:t>
            </w:r>
          </w:hyperlink>
        </w:p>
        <w:p>
          <w:pPr>
            <w:pStyle w:val="Contents6"/>
            <w:tabs>
              <w:tab w:val="clear" w:pos="7609"/>
              <w:tab w:val="right" w:pos="9026" w:leader="dot"/>
            </w:tabs>
            <w:rPr/>
          </w:pPr>
          <w:hyperlink w:anchor="__RefHeading___Toc2565910_3650668749">
            <w:r>
              <w:rPr>
                <w:webHidden/>
                <w:rStyle w:val="IndexLink"/>
                <w:rtl w:val="true"/>
              </w:rPr>
              <w:t>[</w:t>
            </w:r>
            <w:r>
              <w:rPr>
                <w:rStyle w:val="IndexLink"/>
                <w:rtl w:val="true"/>
              </w:rPr>
              <w:t>ثانیهما</w:t>
            </w:r>
            <w:r>
              <w:rPr>
                <w:rStyle w:val="IndexLink"/>
                <w:rtl w:val="true"/>
              </w:rPr>
              <w:t xml:space="preserve">: </w:t>
            </w:r>
            <w:r>
              <w:rPr>
                <w:rStyle w:val="IndexLink"/>
                <w:rtl w:val="true"/>
              </w:rPr>
              <w:t>ما یکون لأجل الفعل الذی فعله</w:t>
            </w:r>
            <w:r>
              <w:rPr>
                <w:rStyle w:val="IndexLink"/>
                <w:rtl w:val="true"/>
              </w:rPr>
              <w:t>]</w:t>
              <w:tab/>
            </w:r>
            <w:r>
              <w:rPr>
                <w:rStyle w:val="IndexLink"/>
              </w:rPr>
              <w:t>176</w:t>
            </w:r>
          </w:hyperlink>
        </w:p>
        <w:p>
          <w:pPr>
            <w:pStyle w:val="Contents5"/>
            <w:tabs>
              <w:tab w:val="clear" w:pos="7892"/>
              <w:tab w:val="right" w:pos="9026" w:leader="dot"/>
            </w:tabs>
            <w:rPr/>
          </w:pPr>
          <w:hyperlink w:anchor="__RefHeading___Toc2565912_3650668749">
            <w:r>
              <w:rPr>
                <w:webHidden/>
                <w:rStyle w:val="IndexLink"/>
                <w:rtl w:val="true"/>
              </w:rPr>
              <w:t>[</w:t>
            </w:r>
            <w:r>
              <w:rPr>
                <w:rStyle w:val="IndexLink"/>
                <w:rtl w:val="true"/>
              </w:rPr>
              <w:t>مسائل</w:t>
            </w:r>
            <w:r>
              <w:rPr>
                <w:rStyle w:val="IndexLink"/>
                <w:rtl w:val="true"/>
              </w:rPr>
              <w:t>]</w:t>
              <w:tab/>
            </w:r>
            <w:r>
              <w:rPr>
                <w:rStyle w:val="IndexLink"/>
              </w:rPr>
              <w:t>176</w:t>
            </w:r>
          </w:hyperlink>
        </w:p>
        <w:p>
          <w:pPr>
            <w:pStyle w:val="Contents6"/>
            <w:tabs>
              <w:tab w:val="clear" w:pos="7609"/>
              <w:tab w:val="right" w:pos="9026" w:leader="dot"/>
            </w:tabs>
            <w:rPr/>
          </w:pPr>
          <w:hyperlink w:anchor="__RefHeading___Toc256591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وقت إیقاع الأغسال المکانیّة</w:t>
            </w:r>
            <w:r>
              <w:rPr>
                <w:rStyle w:val="IndexLink"/>
                <w:rtl w:val="true"/>
              </w:rPr>
              <w:t>]</w:t>
              <w:tab/>
            </w:r>
            <w:r>
              <w:rPr>
                <w:rStyle w:val="IndexLink"/>
              </w:rPr>
              <w:t>176</w:t>
            </w:r>
          </w:hyperlink>
        </w:p>
        <w:p>
          <w:pPr>
            <w:pStyle w:val="Contents6"/>
            <w:tabs>
              <w:tab w:val="clear" w:pos="7609"/>
              <w:tab w:val="right" w:pos="9026" w:leader="dot"/>
            </w:tabs>
            <w:rPr/>
          </w:pPr>
          <w:hyperlink w:anchor="__RefHeading___Toc256591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ینتقض الأغسال الزمانیّة</w:t>
            </w:r>
            <w:r>
              <w:rPr>
                <w:rStyle w:val="IndexLink"/>
                <w:rtl w:val="true"/>
              </w:rPr>
              <w:t>]</w:t>
              <w:tab/>
            </w:r>
            <w:r>
              <w:rPr>
                <w:rStyle w:val="IndexLink"/>
              </w:rPr>
              <w:t>176</w:t>
            </w:r>
          </w:hyperlink>
        </w:p>
        <w:p>
          <w:pPr>
            <w:pStyle w:val="Contents6"/>
            <w:tabs>
              <w:tab w:val="clear" w:pos="7609"/>
              <w:tab w:val="right" w:pos="9026" w:leader="dot"/>
            </w:tabs>
            <w:rPr/>
          </w:pPr>
          <w:hyperlink w:anchor="__RefHeading___Toc256591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کان علیه أغسال متعدّدة زمانیّة أو مکانیّة أو فعلیّة أو مختلفة</w:t>
            </w:r>
            <w:r>
              <w:rPr>
                <w:rStyle w:val="IndexLink"/>
                <w:rtl w:val="true"/>
              </w:rPr>
              <w:t>]</w:t>
              <w:tab/>
            </w:r>
            <w:r>
              <w:rPr>
                <w:rStyle w:val="IndexLink"/>
              </w:rPr>
              <w:t>176</w:t>
            </w:r>
          </w:hyperlink>
        </w:p>
        <w:p>
          <w:pPr>
            <w:pStyle w:val="Contents6"/>
            <w:tabs>
              <w:tab w:val="clear" w:pos="7609"/>
              <w:tab w:val="right" w:pos="9026" w:leader="dot"/>
            </w:tabs>
            <w:rPr/>
          </w:pPr>
          <w:hyperlink w:anchor="__RefHeading___Toc256592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فی قیام التیمّم عند التعذّر مقام تلک الأغسال تأمّل و إشکال</w:t>
            </w:r>
            <w:r>
              <w:rPr>
                <w:rStyle w:val="IndexLink"/>
                <w:rtl w:val="true"/>
              </w:rPr>
              <w:t>]</w:t>
              <w:tab/>
            </w:r>
            <w:r>
              <w:rPr>
                <w:rStyle w:val="IndexLink"/>
              </w:rPr>
              <w:t>176</w:t>
            </w:r>
          </w:hyperlink>
        </w:p>
        <w:p>
          <w:pPr>
            <w:pStyle w:val="Contents3"/>
            <w:tabs>
              <w:tab w:val="clear" w:pos="8459"/>
              <w:tab w:val="right" w:pos="9026" w:leader="dot"/>
            </w:tabs>
            <w:rPr/>
          </w:pPr>
          <w:hyperlink w:anchor="__RefHeading___Toc2565922_3650668749">
            <w:r>
              <w:rPr>
                <w:webHidden/>
                <w:rStyle w:val="IndexLink"/>
                <w:rtl w:val="true"/>
              </w:rPr>
              <w:t>[</w:t>
            </w:r>
            <w:r>
              <w:rPr>
                <w:rStyle w:val="IndexLink"/>
                <w:rtl w:val="true"/>
              </w:rPr>
              <w:t>فصل فی التیمّم</w:t>
            </w:r>
            <w:r>
              <w:rPr>
                <w:rStyle w:val="IndexLink"/>
                <w:rtl w:val="true"/>
              </w:rPr>
              <w:t>]</w:t>
              <w:tab/>
            </w:r>
            <w:r>
              <w:rPr>
                <w:rStyle w:val="IndexLink"/>
              </w:rPr>
              <w:t>177</w:t>
            </w:r>
          </w:hyperlink>
        </w:p>
        <w:p>
          <w:pPr>
            <w:pStyle w:val="Contents4"/>
            <w:tabs>
              <w:tab w:val="clear" w:pos="8176"/>
              <w:tab w:val="right" w:pos="9026" w:leader="dot"/>
            </w:tabs>
            <w:rPr/>
          </w:pPr>
          <w:hyperlink w:anchor="__RefHeading___Toc2565924_3650668749">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2565926_3650668749">
            <w:r>
              <w:rPr>
                <w:webHidden/>
                <w:rStyle w:val="IndexLink"/>
                <w:rtl w:val="true"/>
              </w:rPr>
              <w:t>[</w:t>
            </w:r>
            <w:r>
              <w:rPr>
                <w:rStyle w:val="IndexLink"/>
                <w:rtl w:val="true"/>
              </w:rPr>
              <w:t>القول فی مسوّغاته</w:t>
            </w:r>
            <w:r>
              <w:rPr>
                <w:rStyle w:val="IndexLink"/>
                <w:rtl w:val="true"/>
              </w:rPr>
              <w:t>]</w:t>
              <w:tab/>
            </w:r>
            <w:r>
              <w:rPr>
                <w:rStyle w:val="IndexLink"/>
              </w:rPr>
              <w:t>177</w:t>
            </w:r>
          </w:hyperlink>
        </w:p>
        <w:p>
          <w:pPr>
            <w:pStyle w:val="Contents5"/>
            <w:tabs>
              <w:tab w:val="clear" w:pos="7892"/>
              <w:tab w:val="right" w:pos="9026" w:leader="dot"/>
            </w:tabs>
            <w:rPr/>
          </w:pPr>
          <w:hyperlink w:anchor="__RefHeading___Toc2565928_3650668749">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2565930_3650668749">
            <w:r>
              <w:rPr>
                <w:webHidden/>
                <w:rStyle w:val="IndexLink"/>
                <w:rtl w:val="true"/>
              </w:rPr>
              <w:t>[</w:t>
            </w:r>
            <w:r>
              <w:rPr>
                <w:rStyle w:val="IndexLink"/>
                <w:rtl w:val="true"/>
              </w:rPr>
              <w:t>منها</w:t>
            </w:r>
            <w:r>
              <w:rPr>
                <w:rStyle w:val="IndexLink"/>
                <w:rtl w:val="true"/>
              </w:rPr>
              <w:t xml:space="preserve">: </w:t>
            </w:r>
            <w:r>
              <w:rPr>
                <w:rStyle w:val="IndexLink"/>
                <w:rtl w:val="true"/>
              </w:rPr>
              <w:t>عدم وجدان ما یکفیه من الماء لطهارته</w:t>
            </w:r>
            <w:r>
              <w:rPr>
                <w:rStyle w:val="IndexLink"/>
                <w:rtl w:val="true"/>
              </w:rPr>
              <w:t>]</w:t>
              <w:tab/>
            </w:r>
            <w:r>
              <w:rPr>
                <w:rStyle w:val="IndexLink"/>
              </w:rPr>
              <w:t>177</w:t>
            </w:r>
          </w:hyperlink>
        </w:p>
        <w:p>
          <w:pPr>
            <w:pStyle w:val="Contents6"/>
            <w:tabs>
              <w:tab w:val="clear" w:pos="7609"/>
              <w:tab w:val="right" w:pos="9026" w:leader="dot"/>
            </w:tabs>
            <w:rPr/>
          </w:pPr>
          <w:hyperlink w:anchor="__RefHeading___Toc2565932_3650668749">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256593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الظاهر عدم وجوب المباشرة فی الطلب</w:t>
            </w:r>
            <w:r>
              <w:rPr>
                <w:rStyle w:val="IndexLink"/>
                <w:rtl w:val="true"/>
              </w:rPr>
              <w:t>]</w:t>
              <w:tab/>
            </w:r>
            <w:r>
              <w:rPr>
                <w:rStyle w:val="IndexLink"/>
              </w:rPr>
              <w:t>177</w:t>
            </w:r>
          </w:hyperlink>
        </w:p>
        <w:p>
          <w:pPr>
            <w:pStyle w:val="Contents6"/>
            <w:tabs>
              <w:tab w:val="clear" w:pos="7609"/>
              <w:tab w:val="right" w:pos="9026" w:leader="dot"/>
            </w:tabs>
            <w:rPr/>
          </w:pPr>
          <w:hyperlink w:anchor="__RefHeading___Toc256593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کانت الأرض فی بعض الجوانب حزنة و فی بعضها سهلة</w:t>
            </w:r>
            <w:r>
              <w:rPr>
                <w:rStyle w:val="IndexLink"/>
                <w:rtl w:val="true"/>
              </w:rPr>
              <w:t>]</w:t>
              <w:tab/>
            </w:r>
            <w:r>
              <w:rPr>
                <w:rStyle w:val="IndexLink"/>
              </w:rPr>
              <w:t>177</w:t>
            </w:r>
          </w:hyperlink>
        </w:p>
        <w:p>
          <w:pPr>
            <w:pStyle w:val="Contents6"/>
            <w:tabs>
              <w:tab w:val="clear" w:pos="7609"/>
              <w:tab w:val="right" w:pos="9026" w:leader="dot"/>
            </w:tabs>
            <w:rPr/>
          </w:pPr>
          <w:hyperlink w:anchor="__RefHeading___Toc256593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المناط فی السهم و الرمی و القوس و الهواء و الرامی هو المتعارف المعتدل</w:t>
            </w:r>
            <w:r>
              <w:rPr>
                <w:rStyle w:val="IndexLink"/>
                <w:rtl w:val="true"/>
              </w:rPr>
              <w:t>]</w:t>
              <w:tab/>
            </w:r>
            <w:r>
              <w:rPr>
                <w:rStyle w:val="IndexLink"/>
              </w:rPr>
              <w:t>177</w:t>
            </w:r>
          </w:hyperlink>
        </w:p>
        <w:p>
          <w:pPr>
            <w:pStyle w:val="Contents6"/>
            <w:tabs>
              <w:tab w:val="clear" w:pos="7609"/>
              <w:tab w:val="right" w:pos="9026" w:leader="dot"/>
            </w:tabs>
            <w:rPr/>
          </w:pPr>
          <w:hyperlink w:anchor="__RefHeading___Toc256594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ترک الطلب حتّی ضاق الوقت تیمّم و صلّیٰ و صحّت صلاته</w:t>
            </w:r>
            <w:r>
              <w:rPr>
                <w:rStyle w:val="IndexLink"/>
                <w:rtl w:val="true"/>
              </w:rPr>
              <w:t>]</w:t>
              <w:tab/>
            </w:r>
            <w:r>
              <w:rPr>
                <w:rStyle w:val="IndexLink"/>
              </w:rPr>
              <w:t>177</w:t>
            </w:r>
          </w:hyperlink>
        </w:p>
        <w:p>
          <w:pPr>
            <w:pStyle w:val="Contents6"/>
            <w:tabs>
              <w:tab w:val="clear" w:pos="7609"/>
              <w:tab w:val="right" w:pos="9026" w:leader="dot"/>
            </w:tabs>
            <w:rPr/>
          </w:pPr>
          <w:hyperlink w:anchor="__RefHeading___Toc256594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طلب بالمقدار اللازم فلم یجده فتیمّم و صلّیٰ، ثمّ ظفر بالماء</w:t>
            </w:r>
            <w:r>
              <w:rPr>
                <w:rStyle w:val="IndexLink"/>
                <w:rtl w:val="true"/>
              </w:rPr>
              <w:t>]</w:t>
              <w:tab/>
            </w:r>
            <w:r>
              <w:rPr>
                <w:rStyle w:val="IndexLink"/>
              </w:rPr>
              <w:t>177</w:t>
            </w:r>
          </w:hyperlink>
        </w:p>
        <w:p>
          <w:pPr>
            <w:pStyle w:val="Contents6"/>
            <w:tabs>
              <w:tab w:val="clear" w:pos="7609"/>
              <w:tab w:val="right" w:pos="9026" w:leader="dot"/>
            </w:tabs>
            <w:rPr/>
          </w:pPr>
          <w:hyperlink w:anchor="__RefHeading___Toc256594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یسقط وجوب الطلب مع الخوف علیٰ نفسه أو عرضه أو ماله</w:t>
            </w:r>
            <w:r>
              <w:rPr>
                <w:rStyle w:val="IndexLink"/>
                <w:rtl w:val="true"/>
              </w:rPr>
              <w:t>]</w:t>
              <w:tab/>
            </w:r>
            <w:r>
              <w:rPr>
                <w:rStyle w:val="IndexLink"/>
              </w:rPr>
              <w:t>178</w:t>
            </w:r>
          </w:hyperlink>
        </w:p>
        <w:p>
          <w:pPr>
            <w:pStyle w:val="Contents6"/>
            <w:tabs>
              <w:tab w:val="clear" w:pos="7609"/>
              <w:tab w:val="right" w:pos="9026" w:leader="dot"/>
            </w:tabs>
            <w:rPr/>
          </w:pPr>
          <w:hyperlink w:anchor="__RefHeading___Toc256594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الظاهر عدم اعتبار کون الطلب فی وقت الصلاة</w:t>
            </w:r>
            <w:r>
              <w:rPr>
                <w:rStyle w:val="IndexLink"/>
                <w:rtl w:val="true"/>
              </w:rPr>
              <w:t>]</w:t>
              <w:tab/>
            </w:r>
            <w:r>
              <w:rPr>
                <w:rStyle w:val="IndexLink"/>
              </w:rPr>
              <w:t>178</w:t>
            </w:r>
          </w:hyperlink>
        </w:p>
        <w:p>
          <w:pPr>
            <w:pStyle w:val="Contents6"/>
            <w:tabs>
              <w:tab w:val="clear" w:pos="7609"/>
              <w:tab w:val="right" w:pos="9026" w:leader="dot"/>
            </w:tabs>
            <w:rPr/>
          </w:pPr>
          <w:hyperlink w:anchor="__RefHeading___Toc256594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إذا لم یکن عنده إلّا ماء واحد یکفی الطهارة لا یجوز إراقته بعد دخول الوقت</w:t>
            </w:r>
            <w:r>
              <w:rPr>
                <w:rStyle w:val="IndexLink"/>
                <w:rtl w:val="true"/>
              </w:rPr>
              <w:t>]</w:t>
              <w:tab/>
            </w:r>
            <w:r>
              <w:rPr>
                <w:rStyle w:val="IndexLink"/>
              </w:rPr>
              <w:t>178</w:t>
            </w:r>
          </w:hyperlink>
        </w:p>
        <w:p>
          <w:pPr>
            <w:pStyle w:val="Contents6"/>
            <w:tabs>
              <w:tab w:val="clear" w:pos="7609"/>
              <w:tab w:val="right" w:pos="9026" w:leader="dot"/>
            </w:tabs>
            <w:rPr/>
          </w:pPr>
          <w:hyperlink w:anchor="__RefHeading___Toc256595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لو تمکّن من حفر البئر بلا حرج وجب علی الأحوط</w:t>
            </w:r>
            <w:r>
              <w:rPr>
                <w:rStyle w:val="IndexLink"/>
                <w:rtl w:val="true"/>
              </w:rPr>
              <w:t>]</w:t>
              <w:tab/>
            </w:r>
            <w:r>
              <w:rPr>
                <w:rStyle w:val="IndexLink"/>
              </w:rPr>
              <w:t>178</w:t>
            </w:r>
          </w:hyperlink>
        </w:p>
        <w:p>
          <w:pPr>
            <w:pStyle w:val="Contents5"/>
            <w:tabs>
              <w:tab w:val="clear" w:pos="7892"/>
              <w:tab w:val="right" w:pos="9026" w:leader="dot"/>
            </w:tabs>
            <w:rPr/>
          </w:pPr>
          <w:hyperlink w:anchor="__RefHeading___Toc2565952_3650668749">
            <w:r>
              <w:rPr>
                <w:webHidden/>
                <w:rStyle w:val="IndexLink"/>
                <w:rtl w:val="true"/>
              </w:rPr>
              <w:t>[</w:t>
            </w:r>
            <w:r>
              <w:rPr>
                <w:rStyle w:val="IndexLink"/>
                <w:rtl w:val="true"/>
              </w:rPr>
              <w:t>و منها</w:t>
            </w:r>
            <w:r>
              <w:rPr>
                <w:rStyle w:val="IndexLink"/>
                <w:rtl w:val="true"/>
              </w:rPr>
              <w:t xml:space="preserve">: </w:t>
            </w:r>
            <w:r>
              <w:rPr>
                <w:rStyle w:val="IndexLink"/>
                <w:rtl w:val="true"/>
              </w:rPr>
              <w:t>الخوف من الوصول إلیه</w:t>
            </w:r>
            <w:r>
              <w:rPr>
                <w:rStyle w:val="IndexLink"/>
                <w:rtl w:val="true"/>
              </w:rPr>
              <w:t>]</w:t>
              <w:tab/>
            </w:r>
            <w:r>
              <w:rPr>
                <w:rStyle w:val="IndexLink"/>
              </w:rPr>
              <w:t>178</w:t>
            </w:r>
          </w:hyperlink>
        </w:p>
        <w:p>
          <w:pPr>
            <w:pStyle w:val="Contents5"/>
            <w:tabs>
              <w:tab w:val="clear" w:pos="7892"/>
              <w:tab w:val="right" w:pos="9026" w:leader="dot"/>
            </w:tabs>
            <w:rPr/>
          </w:pPr>
          <w:hyperlink w:anchor="__RefHeading___Toc2565954_3650668749">
            <w:r>
              <w:rPr>
                <w:webHidden/>
                <w:rStyle w:val="IndexLink"/>
                <w:rtl w:val="true"/>
              </w:rPr>
              <w:t>[</w:t>
            </w:r>
            <w:r>
              <w:rPr>
                <w:rStyle w:val="IndexLink"/>
                <w:rtl w:val="true"/>
              </w:rPr>
              <w:t>و منها</w:t>
            </w:r>
            <w:r>
              <w:rPr>
                <w:rStyle w:val="IndexLink"/>
                <w:rtl w:val="true"/>
              </w:rPr>
              <w:t xml:space="preserve">: </w:t>
            </w:r>
            <w:r>
              <w:rPr>
                <w:rStyle w:val="IndexLink"/>
                <w:rtl w:val="true"/>
              </w:rPr>
              <w:t>خوف الضرر المانع من استعماله</w:t>
            </w:r>
            <w:r>
              <w:rPr>
                <w:rStyle w:val="IndexLink"/>
                <w:rtl w:val="true"/>
              </w:rPr>
              <w:t>]</w:t>
              <w:tab/>
            </w:r>
            <w:r>
              <w:rPr>
                <w:rStyle w:val="IndexLink"/>
              </w:rPr>
              <w:t>178</w:t>
            </w:r>
          </w:hyperlink>
        </w:p>
        <w:p>
          <w:pPr>
            <w:pStyle w:val="Contents5"/>
            <w:tabs>
              <w:tab w:val="clear" w:pos="7892"/>
              <w:tab w:val="right" w:pos="9026" w:leader="dot"/>
            </w:tabs>
            <w:rPr/>
          </w:pPr>
          <w:hyperlink w:anchor="__RefHeading___Toc2565956_3650668749">
            <w:r>
              <w:rPr>
                <w:webHidden/>
                <w:rStyle w:val="IndexLink"/>
                <w:rtl w:val="true"/>
              </w:rPr>
              <w:t>[</w:t>
            </w:r>
            <w:r>
              <w:rPr>
                <w:rStyle w:val="IndexLink"/>
                <w:rtl w:val="true"/>
              </w:rPr>
              <w:t>و منها</w:t>
            </w:r>
            <w:r>
              <w:rPr>
                <w:rStyle w:val="IndexLink"/>
                <w:rtl w:val="true"/>
              </w:rPr>
              <w:t xml:space="preserve">: </w:t>
            </w:r>
            <w:r>
              <w:rPr>
                <w:rStyle w:val="IndexLink"/>
                <w:rtl w:val="true"/>
              </w:rPr>
              <w:t>الخوف باستعماله من العطش للحیوان المحترم</w:t>
            </w:r>
            <w:r>
              <w:rPr>
                <w:rStyle w:val="IndexLink"/>
                <w:rtl w:val="true"/>
              </w:rPr>
              <w:t>]</w:t>
              <w:tab/>
            </w:r>
            <w:r>
              <w:rPr>
                <w:rStyle w:val="IndexLink"/>
              </w:rPr>
              <w:t>179</w:t>
            </w:r>
          </w:hyperlink>
        </w:p>
        <w:p>
          <w:pPr>
            <w:pStyle w:val="Contents5"/>
            <w:tabs>
              <w:tab w:val="clear" w:pos="7892"/>
              <w:tab w:val="right" w:pos="9026" w:leader="dot"/>
            </w:tabs>
            <w:rPr/>
          </w:pPr>
          <w:hyperlink w:anchor="__RefHeading___Toc2565958_3650668749">
            <w:r>
              <w:rPr>
                <w:webHidden/>
                <w:rStyle w:val="IndexLink"/>
                <w:rtl w:val="true"/>
              </w:rPr>
              <w:t>[</w:t>
            </w:r>
            <w:r>
              <w:rPr>
                <w:rStyle w:val="IndexLink"/>
                <w:rtl w:val="true"/>
              </w:rPr>
              <w:t>و منها</w:t>
            </w:r>
            <w:r>
              <w:rPr>
                <w:rStyle w:val="IndexLink"/>
                <w:rtl w:val="true"/>
              </w:rPr>
              <w:t xml:space="preserve">: </w:t>
            </w:r>
            <w:r>
              <w:rPr>
                <w:rStyle w:val="IndexLink"/>
                <w:rtl w:val="true"/>
              </w:rPr>
              <w:t>الحرج و المشقّة الشدیدة التی لا تتحمّل عادة فی تحصیل الماء</w:t>
            </w:r>
            <w:r>
              <w:rPr>
                <w:rStyle w:val="IndexLink"/>
                <w:rtl w:val="true"/>
              </w:rPr>
              <w:t>]</w:t>
              <w:tab/>
            </w:r>
            <w:r>
              <w:rPr>
                <w:rStyle w:val="IndexLink"/>
              </w:rPr>
              <w:t>179</w:t>
            </w:r>
          </w:hyperlink>
        </w:p>
        <w:p>
          <w:pPr>
            <w:pStyle w:val="Contents5"/>
            <w:tabs>
              <w:tab w:val="clear" w:pos="7892"/>
              <w:tab w:val="right" w:pos="9026" w:leader="dot"/>
            </w:tabs>
            <w:rPr/>
          </w:pPr>
          <w:hyperlink w:anchor="__RefHeading___Toc2565960_3650668749">
            <w:r>
              <w:rPr>
                <w:webHidden/>
                <w:rStyle w:val="IndexLink"/>
                <w:rtl w:val="true"/>
              </w:rPr>
              <w:t>[</w:t>
            </w:r>
            <w:r>
              <w:rPr>
                <w:rStyle w:val="IndexLink"/>
                <w:rtl w:val="true"/>
              </w:rPr>
              <w:t>و منها</w:t>
            </w:r>
            <w:r>
              <w:rPr>
                <w:rStyle w:val="IndexLink"/>
                <w:rtl w:val="true"/>
              </w:rPr>
              <w:t xml:space="preserve">: </w:t>
            </w:r>
            <w:r>
              <w:rPr>
                <w:rStyle w:val="IndexLink"/>
                <w:rtl w:val="true"/>
              </w:rPr>
              <w:t>توقّف حصوله علیٰ دفع جمیع ما عنده</w:t>
            </w:r>
            <w:r>
              <w:rPr>
                <w:rStyle w:val="IndexLink"/>
                <w:rtl w:val="true"/>
              </w:rPr>
              <w:t>]</w:t>
              <w:tab/>
            </w:r>
            <w:r>
              <w:rPr>
                <w:rStyle w:val="IndexLink"/>
              </w:rPr>
              <w:t>179</w:t>
            </w:r>
          </w:hyperlink>
        </w:p>
        <w:p>
          <w:pPr>
            <w:pStyle w:val="Contents5"/>
            <w:tabs>
              <w:tab w:val="clear" w:pos="7892"/>
              <w:tab w:val="right" w:pos="9026" w:leader="dot"/>
            </w:tabs>
            <w:rPr/>
          </w:pPr>
          <w:hyperlink w:anchor="__RefHeading___Toc2565962_3650668749">
            <w:r>
              <w:rPr>
                <w:webHidden/>
                <w:rStyle w:val="IndexLink"/>
                <w:rtl w:val="true"/>
              </w:rPr>
              <w:t>[</w:t>
            </w:r>
            <w:r>
              <w:rPr>
                <w:rStyle w:val="IndexLink"/>
                <w:rtl w:val="true"/>
              </w:rPr>
              <w:t>و منها</w:t>
            </w:r>
            <w:r>
              <w:rPr>
                <w:rStyle w:val="IndexLink"/>
                <w:rtl w:val="true"/>
              </w:rPr>
              <w:t xml:space="preserve">: </w:t>
            </w:r>
            <w:r>
              <w:rPr>
                <w:rStyle w:val="IndexLink"/>
                <w:rtl w:val="true"/>
              </w:rPr>
              <w:t>ضیق الوقت عن تحصیله أو عن استعماله</w:t>
            </w:r>
            <w:r>
              <w:rPr>
                <w:rStyle w:val="IndexLink"/>
                <w:rtl w:val="true"/>
              </w:rPr>
              <w:t>]</w:t>
              <w:tab/>
            </w:r>
            <w:r>
              <w:rPr>
                <w:rStyle w:val="IndexLink"/>
              </w:rPr>
              <w:t>179</w:t>
            </w:r>
          </w:hyperlink>
        </w:p>
        <w:p>
          <w:pPr>
            <w:pStyle w:val="Contents5"/>
            <w:tabs>
              <w:tab w:val="clear" w:pos="7892"/>
              <w:tab w:val="right" w:pos="9026" w:leader="dot"/>
            </w:tabs>
            <w:rPr/>
          </w:pPr>
          <w:hyperlink w:anchor="__RefHeading___Toc2565964_3650668749">
            <w:r>
              <w:rPr>
                <w:webHidden/>
                <w:rStyle w:val="IndexLink"/>
                <w:rtl w:val="true"/>
              </w:rPr>
              <w:t>[</w:t>
            </w:r>
            <w:r>
              <w:rPr>
                <w:rStyle w:val="IndexLink"/>
                <w:rtl w:val="true"/>
              </w:rPr>
              <w:t>و منها</w:t>
            </w:r>
            <w:r>
              <w:rPr>
                <w:rStyle w:val="IndexLink"/>
                <w:rtl w:val="true"/>
              </w:rPr>
              <w:t xml:space="preserve">: </w:t>
            </w:r>
            <w:r>
              <w:rPr>
                <w:rStyle w:val="IndexLink"/>
                <w:rtl w:val="true"/>
              </w:rPr>
              <w:t>وجوب استعمال الموجود من الماء فی غسل نجاسة و نحوه ممّا لا یقوم غیر الماء مقامه</w:t>
            </w:r>
            <w:r>
              <w:rPr>
                <w:rStyle w:val="IndexLink"/>
                <w:rtl w:val="true"/>
              </w:rPr>
              <w:t>]</w:t>
              <w:tab/>
            </w:r>
            <w:r>
              <w:rPr>
                <w:rStyle w:val="IndexLink"/>
              </w:rPr>
              <w:t>179</w:t>
            </w:r>
          </w:hyperlink>
        </w:p>
        <w:p>
          <w:pPr>
            <w:pStyle w:val="Contents5"/>
            <w:tabs>
              <w:tab w:val="clear" w:pos="7892"/>
              <w:tab w:val="right" w:pos="9026" w:leader="dot"/>
            </w:tabs>
            <w:rPr/>
          </w:pPr>
          <w:hyperlink w:anchor="__RefHeading___Toc2565966_3650668749">
            <w:r>
              <w:rPr>
                <w:webHidden/>
                <w:rStyle w:val="IndexLink"/>
                <w:rtl w:val="true"/>
              </w:rPr>
              <w:t>[</w:t>
            </w:r>
            <w:r>
              <w:rPr>
                <w:rStyle w:val="IndexLink"/>
                <w:rtl w:val="true"/>
              </w:rPr>
              <w:t>مسائل</w:t>
            </w:r>
            <w:r>
              <w:rPr>
                <w:rStyle w:val="IndexLink"/>
                <w:rtl w:val="true"/>
              </w:rPr>
              <w:t>]</w:t>
              <w:tab/>
            </w:r>
            <w:r>
              <w:rPr>
                <w:rStyle w:val="IndexLink"/>
              </w:rPr>
              <w:t>179</w:t>
            </w:r>
          </w:hyperlink>
        </w:p>
        <w:p>
          <w:pPr>
            <w:pStyle w:val="Contents6"/>
            <w:tabs>
              <w:tab w:val="clear" w:pos="7609"/>
              <w:tab w:val="right" w:pos="9026" w:leader="dot"/>
            </w:tabs>
            <w:rPr/>
          </w:pPr>
          <w:hyperlink w:anchor="__RefHeading___Toc2565968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لا فرق فی العطش الذی یسوغ معه التیمّم بین المؤدّی إلی الهلاک أو المرض</w:t>
            </w:r>
            <w:r>
              <w:rPr>
                <w:rStyle w:val="IndexLink"/>
                <w:rtl w:val="true"/>
              </w:rPr>
              <w:t>]</w:t>
              <w:tab/>
            </w:r>
            <w:r>
              <w:rPr>
                <w:rStyle w:val="IndexLink"/>
              </w:rPr>
              <w:t>179</w:t>
            </w:r>
          </w:hyperlink>
        </w:p>
        <w:p>
          <w:pPr>
            <w:pStyle w:val="Contents6"/>
            <w:tabs>
              <w:tab w:val="clear" w:pos="7609"/>
              <w:tab w:val="right" w:pos="9026" w:leader="dot"/>
            </w:tabs>
            <w:rPr/>
          </w:pPr>
          <w:hyperlink w:anchor="__RefHeading___Toc2565970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إذا کان متمکّناً من الصلاة مع الطهارة المائیّة، فأخّر حتّی ضاق الوقت</w:t>
            </w:r>
            <w:r>
              <w:rPr>
                <w:rStyle w:val="IndexLink"/>
                <w:rtl w:val="true"/>
              </w:rPr>
              <w:t>]</w:t>
              <w:tab/>
            </w:r>
            <w:r>
              <w:rPr>
                <w:rStyle w:val="IndexLink"/>
              </w:rPr>
              <w:t>179</w:t>
            </w:r>
          </w:hyperlink>
        </w:p>
        <w:p>
          <w:pPr>
            <w:pStyle w:val="Contents6"/>
            <w:tabs>
              <w:tab w:val="clear" w:pos="7609"/>
              <w:tab w:val="right" w:pos="9026" w:leader="dot"/>
            </w:tabs>
            <w:rPr/>
          </w:pPr>
          <w:hyperlink w:anchor="__RefHeading___Toc2565972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إذا شکّ فی مقدار ما بقی من الوقت فتردّد بین ضیقه حتّی یتیمّم أو سعته حتّی یتوضّأ أو یغتسل</w:t>
            </w:r>
            <w:r>
              <w:rPr>
                <w:rStyle w:val="IndexLink"/>
                <w:rtl w:val="true"/>
              </w:rPr>
              <w:t>]</w:t>
              <w:tab/>
            </w:r>
            <w:r>
              <w:rPr>
                <w:rStyle w:val="IndexLink"/>
              </w:rPr>
              <w:t>179</w:t>
            </w:r>
          </w:hyperlink>
        </w:p>
        <w:p>
          <w:pPr>
            <w:pStyle w:val="Contents6"/>
            <w:tabs>
              <w:tab w:val="clear" w:pos="7609"/>
              <w:tab w:val="right" w:pos="9026" w:leader="dot"/>
            </w:tabs>
            <w:rPr/>
          </w:pPr>
          <w:hyperlink w:anchor="__RefHeading___Toc2565974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إذا دار الأمر بین إیقاع تمام الصلاة فی الوقت مع التیمّم و إیقاع رکعة منها مع الوضوء</w:t>
            </w:r>
            <w:r>
              <w:rPr>
                <w:rStyle w:val="IndexLink"/>
                <w:rtl w:val="true"/>
              </w:rPr>
              <w:t>]</w:t>
              <w:tab/>
            </w:r>
            <w:r>
              <w:rPr>
                <w:rStyle w:val="IndexLink"/>
              </w:rPr>
              <w:t>180</w:t>
            </w:r>
          </w:hyperlink>
        </w:p>
        <w:p>
          <w:pPr>
            <w:pStyle w:val="Contents6"/>
            <w:tabs>
              <w:tab w:val="clear" w:pos="7609"/>
              <w:tab w:val="right" w:pos="9026" w:leader="dot"/>
            </w:tabs>
            <w:rPr/>
          </w:pPr>
          <w:hyperlink w:anchor="__RefHeading___Toc2565976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التیمّم لأجل ضیق الوقت مع وجدان الماء لا یستباح به</w:t>
            </w:r>
            <w:r>
              <w:rPr>
                <w:rStyle w:val="IndexLink"/>
                <w:rtl w:val="true"/>
              </w:rPr>
              <w:t>]</w:t>
              <w:tab/>
            </w:r>
            <w:r>
              <w:rPr>
                <w:rStyle w:val="IndexLink"/>
              </w:rPr>
              <w:t>180</w:t>
            </w:r>
          </w:hyperlink>
        </w:p>
        <w:p>
          <w:pPr>
            <w:pStyle w:val="Contents6"/>
            <w:tabs>
              <w:tab w:val="clear" w:pos="7609"/>
              <w:tab w:val="right" w:pos="9026" w:leader="dot"/>
            </w:tabs>
            <w:rPr/>
          </w:pPr>
          <w:hyperlink w:anchor="__RefHeading___Toc2565978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لا فرق بین عدم الماء أصلًا و وجود ما لا یکفیه لتمام الأعضاء</w:t>
            </w:r>
            <w:r>
              <w:rPr>
                <w:rStyle w:val="IndexLink"/>
                <w:rtl w:val="true"/>
              </w:rPr>
              <w:t>]</w:t>
              <w:tab/>
            </w:r>
            <w:r>
              <w:rPr>
                <w:rStyle w:val="IndexLink"/>
              </w:rPr>
              <w:t>180</w:t>
            </w:r>
          </w:hyperlink>
        </w:p>
        <w:p>
          <w:pPr>
            <w:pStyle w:val="Contents6"/>
            <w:tabs>
              <w:tab w:val="clear" w:pos="7609"/>
              <w:tab w:val="right" w:pos="9026" w:leader="dot"/>
            </w:tabs>
            <w:rPr/>
          </w:pPr>
          <w:hyperlink w:anchor="__RefHeading___Toc2565980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لو خالف من کان فرضه التیمّم فتوضّأ أو اغتسل فطهارته باطلة</w:t>
            </w:r>
            <w:r>
              <w:rPr>
                <w:rStyle w:val="IndexLink"/>
                <w:rtl w:val="true"/>
              </w:rPr>
              <w:t>]</w:t>
              <w:tab/>
            </w:r>
            <w:r>
              <w:rPr>
                <w:rStyle w:val="IndexLink"/>
              </w:rPr>
              <w:t>180</w:t>
            </w:r>
          </w:hyperlink>
        </w:p>
        <w:p>
          <w:pPr>
            <w:pStyle w:val="Contents6"/>
            <w:tabs>
              <w:tab w:val="clear" w:pos="7609"/>
              <w:tab w:val="right" w:pos="9026" w:leader="dot"/>
            </w:tabs>
            <w:rPr/>
          </w:pPr>
          <w:hyperlink w:anchor="__RefHeading___Toc2565982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یجوز التیمّم لصلاة الجنازة و النوم مع التمکّن من الماء</w:t>
            </w:r>
            <w:r>
              <w:rPr>
                <w:rStyle w:val="IndexLink"/>
                <w:rtl w:val="true"/>
              </w:rPr>
              <w:t>]</w:t>
              <w:tab/>
            </w:r>
            <w:r>
              <w:rPr>
                <w:rStyle w:val="IndexLink"/>
              </w:rPr>
              <w:t>180</w:t>
            </w:r>
          </w:hyperlink>
        </w:p>
        <w:p>
          <w:pPr>
            <w:pStyle w:val="Contents4"/>
            <w:tabs>
              <w:tab w:val="clear" w:pos="8176"/>
              <w:tab w:val="right" w:pos="9026" w:leader="dot"/>
            </w:tabs>
            <w:rPr/>
          </w:pPr>
          <w:hyperlink w:anchor="__RefHeading___Toc2565984_3650668749">
            <w:r>
              <w:rPr>
                <w:webHidden/>
                <w:rStyle w:val="IndexLink"/>
                <w:rtl w:val="true"/>
              </w:rPr>
              <w:t>[</w:t>
            </w:r>
            <w:r>
              <w:rPr>
                <w:rStyle w:val="IndexLink"/>
                <w:rtl w:val="true"/>
              </w:rPr>
              <w:t>القول فیما یتیمّم به</w:t>
            </w:r>
            <w:r>
              <w:rPr>
                <w:rStyle w:val="IndexLink"/>
                <w:rtl w:val="true"/>
              </w:rPr>
              <w:t>]</w:t>
              <w:tab/>
            </w:r>
            <w:r>
              <w:rPr>
                <w:rStyle w:val="IndexLink"/>
              </w:rPr>
              <w:t>181</w:t>
            </w:r>
          </w:hyperlink>
        </w:p>
        <w:p>
          <w:pPr>
            <w:pStyle w:val="Contents5"/>
            <w:tabs>
              <w:tab w:val="clear" w:pos="7892"/>
              <w:tab w:val="right" w:pos="9026" w:leader="dot"/>
            </w:tabs>
            <w:rPr/>
          </w:pPr>
          <w:hyperlink w:anchor="__RefHeading___Toc2565986_3650668749">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256598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یعتبر فیما یتیمّم به أن یکون صعیداً</w:t>
            </w:r>
            <w:r>
              <w:rPr>
                <w:rStyle w:val="IndexLink"/>
                <w:rtl w:val="true"/>
              </w:rPr>
              <w:t>]</w:t>
              <w:tab/>
            </w:r>
            <w:r>
              <w:rPr>
                <w:rStyle w:val="IndexLink"/>
              </w:rPr>
              <w:t>181</w:t>
            </w:r>
          </w:hyperlink>
        </w:p>
        <w:p>
          <w:pPr>
            <w:pStyle w:val="Contents5"/>
            <w:tabs>
              <w:tab w:val="clear" w:pos="7892"/>
              <w:tab w:val="right" w:pos="9026" w:leader="dot"/>
            </w:tabs>
            <w:rPr/>
          </w:pPr>
          <w:hyperlink w:anchor="__RefHeading___Toc256599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شکّ فی کون شی‌ء تراباً أو غیره ممّا لا یتیمّم به</w:t>
            </w:r>
            <w:r>
              <w:rPr>
                <w:rStyle w:val="IndexLink"/>
                <w:rtl w:val="true"/>
              </w:rPr>
              <w:t>]</w:t>
              <w:tab/>
            </w:r>
            <w:r>
              <w:rPr>
                <w:rStyle w:val="IndexLink"/>
              </w:rPr>
              <w:t>181</w:t>
            </w:r>
          </w:hyperlink>
        </w:p>
        <w:p>
          <w:pPr>
            <w:pStyle w:val="Contents5"/>
            <w:tabs>
              <w:tab w:val="clear" w:pos="7892"/>
              <w:tab w:val="right" w:pos="9026" w:leader="dot"/>
            </w:tabs>
            <w:rPr/>
          </w:pPr>
          <w:hyperlink w:anchor="__RefHeading___Toc256599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یجوز التیمّم بالخزف و الجصّ و النورة</w:t>
            </w:r>
            <w:r>
              <w:rPr>
                <w:rStyle w:val="IndexLink"/>
                <w:rtl w:val="true"/>
              </w:rPr>
              <w:t>]</w:t>
              <w:tab/>
            </w:r>
            <w:r>
              <w:rPr>
                <w:rStyle w:val="IndexLink"/>
              </w:rPr>
              <w:t>181</w:t>
            </w:r>
          </w:hyperlink>
        </w:p>
        <w:p>
          <w:pPr>
            <w:pStyle w:val="Contents5"/>
            <w:tabs>
              <w:tab w:val="clear" w:pos="7892"/>
              <w:tab w:val="right" w:pos="9026" w:leader="dot"/>
            </w:tabs>
            <w:rPr/>
          </w:pPr>
          <w:hyperlink w:anchor="__RefHeading___Toc256599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لا یصحّ التیمّم بالصعید النجس و إن کان جاهلًا بنجاسته</w:t>
            </w:r>
            <w:r>
              <w:rPr>
                <w:rStyle w:val="IndexLink"/>
                <w:rtl w:val="true"/>
              </w:rPr>
              <w:t>]</w:t>
              <w:tab/>
            </w:r>
            <w:r>
              <w:rPr>
                <w:rStyle w:val="IndexLink"/>
              </w:rPr>
              <w:t>181</w:t>
            </w:r>
          </w:hyperlink>
        </w:p>
        <w:p>
          <w:pPr>
            <w:pStyle w:val="Contents5"/>
            <w:tabs>
              <w:tab w:val="clear" w:pos="7892"/>
              <w:tab w:val="right" w:pos="9026" w:leader="dot"/>
            </w:tabs>
            <w:rPr/>
          </w:pPr>
          <w:hyperlink w:anchor="__RefHeading___Toc256599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المحبوس فی مکان مغصوب یجوز أن یتیمّم فیه بلا إشکال</w:t>
            </w:r>
            <w:r>
              <w:rPr>
                <w:rStyle w:val="IndexLink"/>
                <w:rtl w:val="true"/>
              </w:rPr>
              <w:t>]</w:t>
              <w:tab/>
            </w:r>
            <w:r>
              <w:rPr>
                <w:rStyle w:val="IndexLink"/>
              </w:rPr>
              <w:t>182</w:t>
            </w:r>
          </w:hyperlink>
        </w:p>
        <w:p>
          <w:pPr>
            <w:pStyle w:val="Contents5"/>
            <w:tabs>
              <w:tab w:val="clear" w:pos="7892"/>
              <w:tab w:val="right" w:pos="9026" w:leader="dot"/>
            </w:tabs>
            <w:rPr/>
          </w:pPr>
          <w:hyperlink w:anchor="__RefHeading___Toc256599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فقد الصعید تیمّم بغبار ثوبه أو لبد سرجه أو عرف دابّته</w:t>
            </w:r>
            <w:r>
              <w:rPr>
                <w:rStyle w:val="IndexLink"/>
                <w:rtl w:val="true"/>
              </w:rPr>
              <w:t>]</w:t>
              <w:tab/>
            </w:r>
            <w:r>
              <w:rPr>
                <w:rStyle w:val="IndexLink"/>
              </w:rPr>
              <w:t>182</w:t>
            </w:r>
          </w:hyperlink>
        </w:p>
        <w:p>
          <w:pPr>
            <w:pStyle w:val="Contents5"/>
            <w:tabs>
              <w:tab w:val="clear" w:pos="7892"/>
              <w:tab w:val="right" w:pos="9026" w:leader="dot"/>
            </w:tabs>
            <w:rPr/>
          </w:pPr>
          <w:hyperlink w:anchor="__RefHeading___Toc2566000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لا یصحّ التیمّم بالثلج</w:t>
            </w:r>
            <w:r>
              <w:rPr>
                <w:rStyle w:val="IndexLink"/>
                <w:rtl w:val="true"/>
              </w:rPr>
              <w:t>]</w:t>
              <w:tab/>
            </w:r>
            <w:r>
              <w:rPr>
                <w:rStyle w:val="IndexLink"/>
              </w:rPr>
              <w:t>182</w:t>
            </w:r>
          </w:hyperlink>
        </w:p>
        <w:p>
          <w:pPr>
            <w:pStyle w:val="Contents5"/>
            <w:tabs>
              <w:tab w:val="clear" w:pos="7892"/>
              <w:tab w:val="right" w:pos="9026" w:leader="dot"/>
            </w:tabs>
            <w:rPr/>
          </w:pPr>
          <w:hyperlink w:anchor="__RefHeading___Toc2566002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یکره التیمّم بالرمل و کذا بالسبخة</w:t>
            </w:r>
            <w:r>
              <w:rPr>
                <w:rStyle w:val="IndexLink"/>
                <w:rtl w:val="true"/>
              </w:rPr>
              <w:t>]</w:t>
              <w:tab/>
            </w:r>
            <w:r>
              <w:rPr>
                <w:rStyle w:val="IndexLink"/>
              </w:rPr>
              <w:t>182</w:t>
            </w:r>
          </w:hyperlink>
        </w:p>
        <w:p>
          <w:pPr>
            <w:pStyle w:val="Contents4"/>
            <w:tabs>
              <w:tab w:val="clear" w:pos="8176"/>
              <w:tab w:val="right" w:pos="9026" w:leader="dot"/>
            </w:tabs>
            <w:rPr/>
          </w:pPr>
          <w:hyperlink w:anchor="__RefHeading___Toc2566004_3650668749">
            <w:r>
              <w:rPr>
                <w:webHidden/>
                <w:rStyle w:val="IndexLink"/>
                <w:rtl w:val="true"/>
              </w:rPr>
              <w:t>[</w:t>
            </w:r>
            <w:r>
              <w:rPr>
                <w:rStyle w:val="IndexLink"/>
                <w:rtl w:val="true"/>
              </w:rPr>
              <w:t>القول فی کیفیّة التیمّم</w:t>
            </w:r>
            <w:r>
              <w:rPr>
                <w:rStyle w:val="IndexLink"/>
                <w:rtl w:val="true"/>
              </w:rPr>
              <w:t>]</w:t>
              <w:tab/>
            </w:r>
            <w:r>
              <w:rPr>
                <w:rStyle w:val="IndexLink"/>
              </w:rPr>
              <w:t>183</w:t>
            </w:r>
          </w:hyperlink>
        </w:p>
        <w:p>
          <w:pPr>
            <w:pStyle w:val="Contents5"/>
            <w:tabs>
              <w:tab w:val="clear" w:pos="7892"/>
              <w:tab w:val="right" w:pos="9026" w:leader="dot"/>
            </w:tabs>
            <w:rPr/>
          </w:pPr>
          <w:hyperlink w:anchor="__RefHeading___Toc2566006_3650668749">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256600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کیفیّة التیمّم مع الاختیار</w:t>
            </w:r>
            <w:r>
              <w:rPr>
                <w:rStyle w:val="IndexLink"/>
                <w:rtl w:val="true"/>
              </w:rPr>
              <w:t>]</w:t>
              <w:tab/>
            </w:r>
            <w:r>
              <w:rPr>
                <w:rStyle w:val="IndexLink"/>
              </w:rPr>
              <w:t>183</w:t>
            </w:r>
          </w:hyperlink>
        </w:p>
        <w:p>
          <w:pPr>
            <w:pStyle w:val="Contents5"/>
            <w:tabs>
              <w:tab w:val="clear" w:pos="7892"/>
              <w:tab w:val="right" w:pos="9026" w:leader="dot"/>
            </w:tabs>
            <w:rPr/>
          </w:pPr>
          <w:hyperlink w:anchor="__RefHeading___Toc256601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لو تعذّر الضرب و المسح بالباطن انتقل إلی الظاهر</w:t>
            </w:r>
            <w:r>
              <w:rPr>
                <w:rStyle w:val="IndexLink"/>
                <w:rtl w:val="true"/>
              </w:rPr>
              <w:t>]</w:t>
              <w:tab/>
            </w:r>
            <w:r>
              <w:rPr>
                <w:rStyle w:val="IndexLink"/>
              </w:rPr>
              <w:t>183</w:t>
            </w:r>
          </w:hyperlink>
        </w:p>
        <w:p>
          <w:pPr>
            <w:pStyle w:val="Contents4"/>
            <w:tabs>
              <w:tab w:val="clear" w:pos="8176"/>
              <w:tab w:val="right" w:pos="9026" w:leader="dot"/>
            </w:tabs>
            <w:rPr/>
          </w:pPr>
          <w:hyperlink w:anchor="__RefHeading___Toc2566012_3650668749">
            <w:r>
              <w:rPr>
                <w:webHidden/>
                <w:rStyle w:val="IndexLink"/>
                <w:rtl w:val="true"/>
              </w:rPr>
              <w:t>[</w:t>
            </w:r>
            <w:r>
              <w:rPr>
                <w:rStyle w:val="IndexLink"/>
                <w:rtl w:val="true"/>
              </w:rPr>
              <w:t>القول فیما یعتبر فی التیمّم</w:t>
            </w:r>
            <w:r>
              <w:rPr>
                <w:rStyle w:val="IndexLink"/>
                <w:rtl w:val="true"/>
              </w:rPr>
              <w:t>]</w:t>
              <w:tab/>
            </w:r>
            <w:r>
              <w:rPr>
                <w:rStyle w:val="IndexLink"/>
              </w:rPr>
              <w:t>184</w:t>
            </w:r>
          </w:hyperlink>
        </w:p>
        <w:p>
          <w:pPr>
            <w:pStyle w:val="Contents5"/>
            <w:tabs>
              <w:tab w:val="clear" w:pos="7892"/>
              <w:tab w:val="right" w:pos="9026" w:leader="dot"/>
            </w:tabs>
            <w:rPr/>
          </w:pPr>
          <w:hyperlink w:anchor="__RefHeading___Toc2566014_3650668749">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256601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یعتبر النیّة فی التیمّم علیٰ نحو ما سمعته فی الوضوء</w:t>
            </w:r>
            <w:r>
              <w:rPr>
                <w:rStyle w:val="IndexLink"/>
                <w:rtl w:val="true"/>
              </w:rPr>
              <w:t>]</w:t>
              <w:tab/>
            </w:r>
            <w:r>
              <w:rPr>
                <w:rStyle w:val="IndexLink"/>
              </w:rPr>
              <w:t>184</w:t>
            </w:r>
          </w:hyperlink>
        </w:p>
        <w:p>
          <w:pPr>
            <w:pStyle w:val="Contents5"/>
            <w:tabs>
              <w:tab w:val="clear" w:pos="7892"/>
              <w:tab w:val="right" w:pos="9026" w:leader="dot"/>
            </w:tabs>
            <w:rPr/>
          </w:pPr>
          <w:hyperlink w:anchor="__RefHeading___Toc256601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یکفی ضربة واحدة للوجه و الیدین فی بدل الوضوء و الغسل</w:t>
            </w:r>
            <w:r>
              <w:rPr>
                <w:rStyle w:val="IndexLink"/>
                <w:rtl w:val="true"/>
              </w:rPr>
              <w:t>]</w:t>
              <w:tab/>
            </w:r>
            <w:r>
              <w:rPr>
                <w:rStyle w:val="IndexLink"/>
              </w:rPr>
              <w:t>184</w:t>
            </w:r>
          </w:hyperlink>
        </w:p>
        <w:p>
          <w:pPr>
            <w:pStyle w:val="Contents5"/>
            <w:tabs>
              <w:tab w:val="clear" w:pos="7892"/>
              <w:tab w:val="right" w:pos="9026" w:leader="dot"/>
            </w:tabs>
            <w:rPr/>
          </w:pPr>
          <w:hyperlink w:anchor="__RefHeading___Toc256602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العاجز ییمّمه غیره</w:t>
            </w:r>
            <w:r>
              <w:rPr>
                <w:rStyle w:val="IndexLink"/>
                <w:rtl w:val="true"/>
              </w:rPr>
              <w:t>]</w:t>
              <w:tab/>
            </w:r>
            <w:r>
              <w:rPr>
                <w:rStyle w:val="IndexLink"/>
              </w:rPr>
              <w:t>184</w:t>
            </w:r>
          </w:hyperlink>
        </w:p>
        <w:p>
          <w:pPr>
            <w:pStyle w:val="Contents5"/>
            <w:tabs>
              <w:tab w:val="clear" w:pos="7892"/>
              <w:tab w:val="right" w:pos="9026" w:leader="dot"/>
            </w:tabs>
            <w:rPr/>
          </w:pPr>
          <w:hyperlink w:anchor="__RefHeading___Toc256602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من قطعت إحدیٰ یدیه ضرب الأرض بالموجودة</w:t>
            </w:r>
            <w:r>
              <w:rPr>
                <w:rStyle w:val="IndexLink"/>
                <w:rtl w:val="true"/>
              </w:rPr>
              <w:t>]</w:t>
              <w:tab/>
            </w:r>
            <w:r>
              <w:rPr>
                <w:rStyle w:val="IndexLink"/>
              </w:rPr>
              <w:t>184</w:t>
            </w:r>
          </w:hyperlink>
        </w:p>
        <w:p>
          <w:pPr>
            <w:pStyle w:val="Contents5"/>
            <w:tabs>
              <w:tab w:val="clear" w:pos="7892"/>
              <w:tab w:val="right" w:pos="9026" w:leader="dot"/>
            </w:tabs>
            <w:rPr/>
          </w:pPr>
          <w:hyperlink w:anchor="__RefHeading___Toc256602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فی مسح الجبهة و الیدین یجب إمرار الماسح علی الممسوح</w:t>
            </w:r>
            <w:r>
              <w:rPr>
                <w:rStyle w:val="IndexLink"/>
                <w:rtl w:val="true"/>
              </w:rPr>
              <w:t>]</w:t>
              <w:tab/>
            </w:r>
            <w:r>
              <w:rPr>
                <w:rStyle w:val="IndexLink"/>
              </w:rPr>
              <w:t>185</w:t>
            </w:r>
          </w:hyperlink>
        </w:p>
        <w:p>
          <w:pPr>
            <w:pStyle w:val="Contents4"/>
            <w:tabs>
              <w:tab w:val="clear" w:pos="8176"/>
              <w:tab w:val="right" w:pos="9026" w:leader="dot"/>
            </w:tabs>
            <w:rPr/>
          </w:pPr>
          <w:hyperlink w:anchor="__RefHeading___Toc2566026_3650668749">
            <w:r>
              <w:rPr>
                <w:webHidden/>
                <w:rStyle w:val="IndexLink"/>
                <w:rtl w:val="true"/>
              </w:rPr>
              <w:t>[</w:t>
            </w:r>
            <w:r>
              <w:rPr>
                <w:rStyle w:val="IndexLink"/>
                <w:rtl w:val="true"/>
              </w:rPr>
              <w:t>القول فی أحکام التیمّم</w:t>
            </w:r>
            <w:r>
              <w:rPr>
                <w:rStyle w:val="IndexLink"/>
                <w:rtl w:val="true"/>
              </w:rPr>
              <w:t>]</w:t>
              <w:tab/>
            </w:r>
            <w:r>
              <w:rPr>
                <w:rStyle w:val="IndexLink"/>
              </w:rPr>
              <w:t>185</w:t>
            </w:r>
          </w:hyperlink>
        </w:p>
        <w:p>
          <w:pPr>
            <w:pStyle w:val="Contents5"/>
            <w:tabs>
              <w:tab w:val="clear" w:pos="7892"/>
              <w:tab w:val="right" w:pos="9026" w:leader="dot"/>
            </w:tabs>
            <w:rPr/>
          </w:pPr>
          <w:hyperlink w:anchor="__RefHeading___Toc2566028_3650668749">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256603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یصحّ التیمّم للفریضة قبل دخول وقتها</w:t>
            </w:r>
            <w:r>
              <w:rPr>
                <w:rStyle w:val="IndexLink"/>
                <w:rtl w:val="true"/>
              </w:rPr>
              <w:t>]</w:t>
              <w:tab/>
            </w:r>
            <w:r>
              <w:rPr>
                <w:rStyle w:val="IndexLink"/>
              </w:rPr>
              <w:t>185</w:t>
            </w:r>
          </w:hyperlink>
        </w:p>
        <w:p>
          <w:pPr>
            <w:pStyle w:val="Contents5"/>
            <w:tabs>
              <w:tab w:val="clear" w:pos="7892"/>
              <w:tab w:val="right" w:pos="9026" w:leader="dot"/>
            </w:tabs>
            <w:rPr/>
          </w:pPr>
          <w:hyperlink w:anchor="__RefHeading___Toc256603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لو تیمّم لصلاة قد حضر وقتها و لم ینتقض و لم یرتفع العذر حتّی دخل وقت صلاة أُخری</w:t>
            </w:r>
            <w:r>
              <w:rPr>
                <w:rStyle w:val="IndexLink"/>
                <w:rtl w:val="true"/>
              </w:rPr>
              <w:t>]</w:t>
              <w:tab/>
            </w:r>
            <w:r>
              <w:rPr>
                <w:rStyle w:val="IndexLink"/>
              </w:rPr>
              <w:t>185</w:t>
            </w:r>
          </w:hyperlink>
        </w:p>
        <w:p>
          <w:pPr>
            <w:pStyle w:val="Contents5"/>
            <w:tabs>
              <w:tab w:val="clear" w:pos="7892"/>
              <w:tab w:val="right" w:pos="9026" w:leader="dot"/>
            </w:tabs>
            <w:rPr/>
          </w:pPr>
          <w:hyperlink w:anchor="__RefHeading___Toc256603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المحدث بالأکبر غیر الجنابة یتیمّم تیمّمین</w:t>
            </w:r>
            <w:r>
              <w:rPr>
                <w:rStyle w:val="IndexLink"/>
                <w:rtl w:val="true"/>
              </w:rPr>
              <w:t>]</w:t>
              <w:tab/>
            </w:r>
            <w:r>
              <w:rPr>
                <w:rStyle w:val="IndexLink"/>
              </w:rPr>
              <w:t>186</w:t>
            </w:r>
          </w:hyperlink>
        </w:p>
        <w:p>
          <w:pPr>
            <w:pStyle w:val="Contents5"/>
            <w:tabs>
              <w:tab w:val="clear" w:pos="7892"/>
              <w:tab w:val="right" w:pos="9026" w:leader="dot"/>
            </w:tabs>
            <w:rPr/>
          </w:pPr>
          <w:hyperlink w:anchor="__RefHeading___Toc256603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لو اجتمعت أسباب مختلفة للحدث الأکبر کفاه</w:t>
            </w:r>
            <w:r>
              <w:rPr>
                <w:rStyle w:val="IndexLink"/>
                <w:rtl w:val="true"/>
              </w:rPr>
              <w:t>]</w:t>
              <w:tab/>
            </w:r>
            <w:r>
              <w:rPr>
                <w:rStyle w:val="IndexLink"/>
              </w:rPr>
              <w:t>186</w:t>
            </w:r>
          </w:hyperlink>
        </w:p>
        <w:p>
          <w:pPr>
            <w:pStyle w:val="Contents5"/>
            <w:tabs>
              <w:tab w:val="clear" w:pos="7892"/>
              <w:tab w:val="right" w:pos="9026" w:leader="dot"/>
            </w:tabs>
            <w:rPr/>
          </w:pPr>
          <w:hyperlink w:anchor="__RefHeading___Toc256603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ینتقض التیمّم الواقع عن الوضوء بالحدث الأصغر فضلًا عن الأکبر</w:t>
            </w:r>
            <w:r>
              <w:rPr>
                <w:rStyle w:val="IndexLink"/>
                <w:rtl w:val="true"/>
              </w:rPr>
              <w:t>]</w:t>
              <w:tab/>
            </w:r>
            <w:r>
              <w:rPr>
                <w:rStyle w:val="IndexLink"/>
              </w:rPr>
              <w:t>186</w:t>
            </w:r>
          </w:hyperlink>
        </w:p>
        <w:p>
          <w:pPr>
            <w:pStyle w:val="Contents5"/>
            <w:tabs>
              <w:tab w:val="clear" w:pos="7892"/>
              <w:tab w:val="right" w:pos="9026" w:leader="dot"/>
            </w:tabs>
            <w:rPr/>
          </w:pPr>
          <w:hyperlink w:anchor="__RefHeading___Toc256604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وجد الماء أو زال عذره قبل الصلاة انتقض تیمّمه</w:t>
            </w:r>
            <w:r>
              <w:rPr>
                <w:rStyle w:val="IndexLink"/>
                <w:rtl w:val="true"/>
              </w:rPr>
              <w:t>]</w:t>
              <w:tab/>
            </w:r>
            <w:r>
              <w:rPr>
                <w:rStyle w:val="IndexLink"/>
              </w:rPr>
              <w:t>186</w:t>
            </w:r>
          </w:hyperlink>
        </w:p>
        <w:p>
          <w:pPr>
            <w:pStyle w:val="Contents5"/>
            <w:tabs>
              <w:tab w:val="clear" w:pos="7892"/>
              <w:tab w:val="right" w:pos="9026" w:leader="dot"/>
            </w:tabs>
            <w:rPr/>
          </w:pPr>
          <w:hyperlink w:anchor="__RefHeading___Toc256604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المجنب المتیمّم إذا وجد ماء بقدر کفایة وضوئه لا یبطل تیمّمه</w:t>
            </w:r>
            <w:r>
              <w:rPr>
                <w:rStyle w:val="IndexLink"/>
                <w:rtl w:val="true"/>
              </w:rPr>
              <w:t>]</w:t>
              <w:tab/>
            </w:r>
            <w:r>
              <w:rPr>
                <w:rStyle w:val="IndexLink"/>
              </w:rPr>
              <w:t>187</w:t>
            </w:r>
          </w:hyperlink>
        </w:p>
        <w:p>
          <w:pPr>
            <w:pStyle w:val="Contents5"/>
            <w:tabs>
              <w:tab w:val="clear" w:pos="7892"/>
              <w:tab w:val="right" w:pos="9026" w:leader="dot"/>
            </w:tabs>
            <w:rPr/>
          </w:pPr>
          <w:hyperlink w:anchor="__RefHeading___Toc256604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وجد الماء بعد الصلاة لا یجب إعادتها بل تمّت و صحّت</w:t>
            </w:r>
            <w:r>
              <w:rPr>
                <w:rStyle w:val="IndexLink"/>
                <w:rtl w:val="true"/>
              </w:rPr>
              <w:t>]</w:t>
              <w:tab/>
            </w:r>
            <w:r>
              <w:rPr>
                <w:rStyle w:val="IndexLink"/>
              </w:rPr>
              <w:t>187</w:t>
            </w:r>
          </w:hyperlink>
        </w:p>
        <w:p>
          <w:pPr>
            <w:pStyle w:val="Contents5"/>
            <w:tabs>
              <w:tab w:val="clear" w:pos="7892"/>
              <w:tab w:val="right" w:pos="9026" w:leader="dot"/>
            </w:tabs>
            <w:rPr/>
          </w:pPr>
          <w:hyperlink w:anchor="__RefHeading___Toc256604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إذا شکّ فی بعض أجزاء التیمّم بعد الفراغ منه لم یعتن و بنیٰ علی الصحّة</w:t>
            </w:r>
            <w:r>
              <w:rPr>
                <w:rStyle w:val="IndexLink"/>
                <w:rtl w:val="true"/>
              </w:rPr>
              <w:t>]</w:t>
              <w:tab/>
            </w:r>
            <w:r>
              <w:rPr>
                <w:rStyle w:val="IndexLink"/>
              </w:rPr>
              <w:t>187</w:t>
            </w:r>
          </w:hyperlink>
        </w:p>
        <w:p>
          <w:pPr>
            <w:pStyle w:val="Contents3"/>
            <w:tabs>
              <w:tab w:val="clear" w:pos="8459"/>
              <w:tab w:val="right" w:pos="9026" w:leader="dot"/>
            </w:tabs>
            <w:rPr/>
          </w:pPr>
          <w:hyperlink w:anchor="__RefHeading___Toc2566048_3650668749">
            <w:r>
              <w:rPr>
                <w:webHidden/>
                <w:rStyle w:val="IndexLink"/>
                <w:rtl w:val="true"/>
              </w:rPr>
              <w:t>[</w:t>
            </w:r>
            <w:r>
              <w:rPr>
                <w:rStyle w:val="IndexLink"/>
                <w:rtl w:val="true"/>
              </w:rPr>
              <w:t>فصل فی النجاسات</w:t>
            </w:r>
            <w:r>
              <w:rPr>
                <w:rStyle w:val="IndexLink"/>
                <w:rtl w:val="true"/>
              </w:rPr>
              <w:t>]</w:t>
              <w:tab/>
            </w:r>
            <w:r>
              <w:rPr>
                <w:rStyle w:val="IndexLink"/>
              </w:rPr>
              <w:t>187</w:t>
            </w:r>
          </w:hyperlink>
        </w:p>
        <w:p>
          <w:pPr>
            <w:pStyle w:val="Contents4"/>
            <w:tabs>
              <w:tab w:val="clear" w:pos="8176"/>
              <w:tab w:val="right" w:pos="9026" w:leader="dot"/>
            </w:tabs>
            <w:rPr/>
          </w:pPr>
          <w:hyperlink w:anchor="__RefHeading___Toc2566050_3650668749">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2566052_3650668749">
            <w:r>
              <w:rPr>
                <w:webHidden/>
                <w:rStyle w:val="IndexLink"/>
                <w:rtl w:val="true"/>
              </w:rPr>
              <w:t>[</w:t>
            </w:r>
            <w:r>
              <w:rPr>
                <w:rStyle w:val="IndexLink"/>
                <w:rtl w:val="true"/>
              </w:rPr>
              <w:t>القول فی النجاسات</w:t>
            </w:r>
            <w:r>
              <w:rPr>
                <w:rStyle w:val="IndexLink"/>
                <w:rtl w:val="true"/>
              </w:rPr>
              <w:t>]</w:t>
              <w:tab/>
            </w:r>
            <w:r>
              <w:rPr>
                <w:rStyle w:val="IndexLink"/>
              </w:rPr>
              <w:t>187</w:t>
            </w:r>
          </w:hyperlink>
        </w:p>
        <w:p>
          <w:pPr>
            <w:pStyle w:val="Contents5"/>
            <w:tabs>
              <w:tab w:val="clear" w:pos="7892"/>
              <w:tab w:val="right" w:pos="9026" w:leader="dot"/>
            </w:tabs>
            <w:rPr/>
          </w:pPr>
          <w:hyperlink w:anchor="__RefHeading___Toc2566054_3650668749">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2566056_3650668749">
            <w:r>
              <w:rPr>
                <w:webHidden/>
                <w:rStyle w:val="IndexLink"/>
                <w:rtl w:val="true"/>
              </w:rPr>
              <w:t>[</w:t>
            </w:r>
            <w:r>
              <w:rPr>
                <w:rStyle w:val="IndexLink"/>
                <w:rtl w:val="true"/>
              </w:rPr>
              <w:t>الأوّل و الثانی</w:t>
            </w:r>
            <w:r>
              <w:rPr>
                <w:rStyle w:val="IndexLink"/>
                <w:rtl w:val="true"/>
              </w:rPr>
              <w:t xml:space="preserve">: </w:t>
            </w:r>
            <w:r>
              <w:rPr>
                <w:rStyle w:val="IndexLink"/>
                <w:rtl w:val="true"/>
              </w:rPr>
              <w:t>البول و الخرء</w:t>
            </w:r>
            <w:r>
              <w:rPr>
                <w:rStyle w:val="IndexLink"/>
                <w:rtl w:val="true"/>
              </w:rPr>
              <w:t>]</w:t>
              <w:tab/>
            </w:r>
            <w:r>
              <w:rPr>
                <w:rStyle w:val="IndexLink"/>
              </w:rPr>
              <w:t>187</w:t>
            </w:r>
          </w:hyperlink>
        </w:p>
        <w:p>
          <w:pPr>
            <w:pStyle w:val="Contents6"/>
            <w:tabs>
              <w:tab w:val="clear" w:pos="7609"/>
              <w:tab w:val="right" w:pos="9026" w:leader="dot"/>
            </w:tabs>
            <w:rPr/>
          </w:pPr>
          <w:hyperlink w:anchor="__RefHeading___Toc2566058_3650668749">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256606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کان خرء حیوان و شکّ فی کونه من مأکول اللحم أو من محرّمة</w:t>
            </w:r>
            <w:r>
              <w:rPr>
                <w:rStyle w:val="IndexLink"/>
                <w:rtl w:val="true"/>
              </w:rPr>
              <w:t>]</w:t>
              <w:tab/>
            </w:r>
            <w:r>
              <w:rPr>
                <w:rStyle w:val="IndexLink"/>
              </w:rPr>
              <w:t>188</w:t>
            </w:r>
          </w:hyperlink>
        </w:p>
        <w:p>
          <w:pPr>
            <w:pStyle w:val="Contents5"/>
            <w:tabs>
              <w:tab w:val="clear" w:pos="7892"/>
              <w:tab w:val="right" w:pos="9026" w:leader="dot"/>
            </w:tabs>
            <w:rPr/>
          </w:pPr>
          <w:hyperlink w:anchor="__RefHeading___Toc2566062_3650668749">
            <w:r>
              <w:rPr>
                <w:webHidden/>
                <w:rStyle w:val="IndexLink"/>
                <w:rtl w:val="true"/>
              </w:rPr>
              <w:t>[</w:t>
            </w:r>
            <w:r>
              <w:rPr>
                <w:rStyle w:val="IndexLink"/>
                <w:rtl w:val="true"/>
              </w:rPr>
              <w:t>الثالث</w:t>
            </w:r>
            <w:r>
              <w:rPr>
                <w:rStyle w:val="IndexLink"/>
                <w:rtl w:val="true"/>
              </w:rPr>
              <w:t xml:space="preserve">: </w:t>
            </w:r>
            <w:r>
              <w:rPr>
                <w:rStyle w:val="IndexLink"/>
                <w:rtl w:val="true"/>
              </w:rPr>
              <w:t>المنیّ من کلّ حیوان ذی نفس حلّ أکله أو حرم</w:t>
            </w:r>
            <w:r>
              <w:rPr>
                <w:rStyle w:val="IndexLink"/>
                <w:rtl w:val="true"/>
              </w:rPr>
              <w:t>]</w:t>
              <w:tab/>
            </w:r>
            <w:r>
              <w:rPr>
                <w:rStyle w:val="IndexLink"/>
              </w:rPr>
              <w:t>188</w:t>
            </w:r>
          </w:hyperlink>
        </w:p>
        <w:p>
          <w:pPr>
            <w:pStyle w:val="Contents5"/>
            <w:tabs>
              <w:tab w:val="clear" w:pos="7892"/>
              <w:tab w:val="right" w:pos="9026" w:leader="dot"/>
            </w:tabs>
            <w:rPr/>
          </w:pPr>
          <w:hyperlink w:anchor="__RefHeading___Toc2566064_3650668749">
            <w:r>
              <w:rPr>
                <w:webHidden/>
                <w:rStyle w:val="IndexLink"/>
                <w:rtl w:val="true"/>
              </w:rPr>
              <w:t>[</w:t>
            </w:r>
            <w:r>
              <w:rPr>
                <w:rStyle w:val="IndexLink"/>
                <w:rtl w:val="true"/>
              </w:rPr>
              <w:t>الرابع</w:t>
            </w:r>
            <w:r>
              <w:rPr>
                <w:rStyle w:val="IndexLink"/>
                <w:rtl w:val="true"/>
              </w:rPr>
              <w:t xml:space="preserve">: </w:t>
            </w:r>
            <w:r>
              <w:rPr>
                <w:rStyle w:val="IndexLink"/>
                <w:rtl w:val="true"/>
              </w:rPr>
              <w:t>میتة ذی النفس من الحیوان ممّا تحلّه الحیاة</w:t>
            </w:r>
            <w:r>
              <w:rPr>
                <w:rStyle w:val="IndexLink"/>
                <w:rtl w:val="true"/>
              </w:rPr>
              <w:t>]</w:t>
              <w:tab/>
            </w:r>
            <w:r>
              <w:rPr>
                <w:rStyle w:val="IndexLink"/>
              </w:rPr>
              <w:t>188</w:t>
            </w:r>
          </w:hyperlink>
        </w:p>
        <w:p>
          <w:pPr>
            <w:pStyle w:val="Contents6"/>
            <w:tabs>
              <w:tab w:val="clear" w:pos="7609"/>
              <w:tab w:val="right" w:pos="9026" w:leader="dot"/>
            </w:tabs>
            <w:rPr/>
          </w:pPr>
          <w:hyperlink w:anchor="__RefHeading___Toc2566066_3650668749">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256606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فأرة المسک المبانة من الحیّ طاهر بلا إشکال</w:t>
            </w:r>
            <w:r>
              <w:rPr>
                <w:rStyle w:val="IndexLink"/>
                <w:rtl w:val="true"/>
              </w:rPr>
              <w:t>]</w:t>
              <w:tab/>
            </w:r>
            <w:r>
              <w:rPr>
                <w:rStyle w:val="IndexLink"/>
              </w:rPr>
              <w:t>189</w:t>
            </w:r>
          </w:hyperlink>
        </w:p>
        <w:p>
          <w:pPr>
            <w:pStyle w:val="Contents6"/>
            <w:tabs>
              <w:tab w:val="clear" w:pos="7609"/>
              <w:tab w:val="right" w:pos="9026" w:leader="dot"/>
            </w:tabs>
            <w:rPr/>
          </w:pPr>
          <w:hyperlink w:anchor="__RefHeading___Toc256607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ما یؤخذ من ید المسلم و سوق المسلمین من اللحم أو الشحم أو الجلد</w:t>
            </w:r>
            <w:r>
              <w:rPr>
                <w:rStyle w:val="IndexLink"/>
                <w:rtl w:val="true"/>
              </w:rPr>
              <w:t>]</w:t>
              <w:tab/>
            </w:r>
            <w:r>
              <w:rPr>
                <w:rStyle w:val="IndexLink"/>
              </w:rPr>
              <w:t>189</w:t>
            </w:r>
          </w:hyperlink>
        </w:p>
        <w:p>
          <w:pPr>
            <w:pStyle w:val="Contents6"/>
            <w:tabs>
              <w:tab w:val="clear" w:pos="7609"/>
              <w:tab w:val="right" w:pos="9026" w:leader="dot"/>
            </w:tabs>
            <w:rPr/>
          </w:pPr>
          <w:hyperlink w:anchor="__RefHeading___Toc256607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أخذ لحماً أو شحماً أو جلداً من الکافر أو من سوق الکفّار</w:t>
            </w:r>
            <w:r>
              <w:rPr>
                <w:rStyle w:val="IndexLink"/>
                <w:rtl w:val="true"/>
              </w:rPr>
              <w:t>]</w:t>
              <w:tab/>
            </w:r>
            <w:r>
              <w:rPr>
                <w:rStyle w:val="IndexLink"/>
              </w:rPr>
              <w:t>189</w:t>
            </w:r>
          </w:hyperlink>
        </w:p>
        <w:p>
          <w:pPr>
            <w:pStyle w:val="Contents6"/>
            <w:tabs>
              <w:tab w:val="clear" w:pos="7609"/>
              <w:tab w:val="right" w:pos="9026" w:leader="dot"/>
            </w:tabs>
            <w:rPr/>
          </w:pPr>
          <w:hyperlink w:anchor="__RefHeading___Toc2566074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أُخذ شی‌ء من الکفّار أو من سوقهم و لم یعلم أنّه من أجزاء الحیوان أو غیره</w:t>
            </w:r>
            <w:r>
              <w:rPr>
                <w:rStyle w:val="IndexLink"/>
                <w:rtl w:val="true"/>
              </w:rPr>
              <w:t>]</w:t>
              <w:tab/>
            </w:r>
            <w:r>
              <w:rPr>
                <w:rStyle w:val="IndexLink"/>
              </w:rPr>
              <w:t>189</w:t>
            </w:r>
          </w:hyperlink>
        </w:p>
        <w:p>
          <w:pPr>
            <w:pStyle w:val="Contents5"/>
            <w:tabs>
              <w:tab w:val="clear" w:pos="7892"/>
              <w:tab w:val="right" w:pos="9026" w:leader="dot"/>
            </w:tabs>
            <w:rPr/>
          </w:pPr>
          <w:hyperlink w:anchor="__RefHeading___Toc2566076_3650668749">
            <w:r>
              <w:rPr>
                <w:webHidden/>
                <w:rStyle w:val="IndexLink"/>
                <w:rtl w:val="true"/>
              </w:rPr>
              <w:t>[</w:t>
            </w:r>
            <w:r>
              <w:rPr>
                <w:rStyle w:val="IndexLink"/>
                <w:rtl w:val="true"/>
              </w:rPr>
              <w:t>الخامس</w:t>
            </w:r>
            <w:r>
              <w:rPr>
                <w:rStyle w:val="IndexLink"/>
                <w:rtl w:val="true"/>
              </w:rPr>
              <w:t xml:space="preserve">: </w:t>
            </w:r>
            <w:r>
              <w:rPr>
                <w:rStyle w:val="IndexLink"/>
                <w:rtl w:val="true"/>
              </w:rPr>
              <w:t>دم ذی النفس السائلة</w:t>
            </w:r>
            <w:r>
              <w:rPr>
                <w:rStyle w:val="IndexLink"/>
                <w:rtl w:val="true"/>
              </w:rPr>
              <w:t>]</w:t>
              <w:tab/>
            </w:r>
            <w:r>
              <w:rPr>
                <w:rStyle w:val="IndexLink"/>
              </w:rPr>
              <w:t>189</w:t>
            </w:r>
          </w:hyperlink>
        </w:p>
        <w:p>
          <w:pPr>
            <w:pStyle w:val="Contents6"/>
            <w:tabs>
              <w:tab w:val="clear" w:pos="7609"/>
              <w:tab w:val="right" w:pos="9026" w:leader="dot"/>
            </w:tabs>
            <w:rPr/>
          </w:pPr>
          <w:hyperlink w:anchor="__RefHeading___Toc2566078_3650668749">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2566080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الدم المتخلّف فی الذبیحة طاهر</w:t>
            </w:r>
            <w:r>
              <w:rPr>
                <w:rStyle w:val="IndexLink"/>
                <w:rtl w:val="true"/>
              </w:rPr>
              <w:t>]</w:t>
              <w:tab/>
            </w:r>
            <w:r>
              <w:rPr>
                <w:rStyle w:val="IndexLink"/>
              </w:rPr>
              <w:t>190</w:t>
            </w:r>
          </w:hyperlink>
        </w:p>
        <w:p>
          <w:pPr>
            <w:pStyle w:val="Contents6"/>
            <w:tabs>
              <w:tab w:val="clear" w:pos="7609"/>
              <w:tab w:val="right" w:pos="9026" w:leader="dot"/>
            </w:tabs>
            <w:rPr/>
          </w:pPr>
          <w:hyperlink w:anchor="__RefHeading___Toc2566082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ما شکّ فی أنّه دم أو غیره طاهر</w:t>
            </w:r>
            <w:r>
              <w:rPr>
                <w:rStyle w:val="IndexLink"/>
                <w:rtl w:val="true"/>
              </w:rPr>
              <w:t>]</w:t>
              <w:tab/>
            </w:r>
            <w:r>
              <w:rPr>
                <w:rStyle w:val="IndexLink"/>
              </w:rPr>
              <w:t>190</w:t>
            </w:r>
          </w:hyperlink>
        </w:p>
        <w:p>
          <w:pPr>
            <w:pStyle w:val="Contents6"/>
            <w:tabs>
              <w:tab w:val="clear" w:pos="7609"/>
              <w:tab w:val="right" w:pos="9026" w:leader="dot"/>
            </w:tabs>
            <w:rPr/>
          </w:pPr>
          <w:hyperlink w:anchor="__RefHeading___Toc2566084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الدم الخارج من بین الأسنان نجس و حرام لا یجوز بلعه</w:t>
            </w:r>
            <w:r>
              <w:rPr>
                <w:rStyle w:val="IndexLink"/>
                <w:rtl w:val="true"/>
              </w:rPr>
              <w:t>]</w:t>
              <w:tab/>
            </w:r>
            <w:r>
              <w:rPr>
                <w:rStyle w:val="IndexLink"/>
              </w:rPr>
              <w:t>190</w:t>
            </w:r>
          </w:hyperlink>
        </w:p>
        <w:p>
          <w:pPr>
            <w:pStyle w:val="Contents6"/>
            <w:tabs>
              <w:tab w:val="clear" w:pos="7609"/>
              <w:tab w:val="right" w:pos="9026" w:leader="dot"/>
            </w:tabs>
            <w:rPr/>
          </w:pPr>
          <w:hyperlink w:anchor="__RefHeading___Toc2566086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الدم المنجمد تحت الأظفار أو الجلد بسبب الرضّ نجس</w:t>
            </w:r>
            <w:r>
              <w:rPr>
                <w:rStyle w:val="IndexLink"/>
                <w:rtl w:val="true"/>
              </w:rPr>
              <w:t>]</w:t>
              <w:tab/>
            </w:r>
            <w:r>
              <w:rPr>
                <w:rStyle w:val="IndexLink"/>
              </w:rPr>
              <w:t>190</w:t>
            </w:r>
          </w:hyperlink>
        </w:p>
        <w:p>
          <w:pPr>
            <w:pStyle w:val="Contents5"/>
            <w:tabs>
              <w:tab w:val="clear" w:pos="7892"/>
              <w:tab w:val="right" w:pos="9026" w:leader="dot"/>
            </w:tabs>
            <w:rPr/>
          </w:pPr>
          <w:hyperlink w:anchor="__RefHeading___Toc2566088_3650668749">
            <w:r>
              <w:rPr>
                <w:webHidden/>
                <w:rStyle w:val="IndexLink"/>
                <w:rtl w:val="true"/>
              </w:rPr>
              <w:t>[</w:t>
            </w:r>
            <w:r>
              <w:rPr>
                <w:rStyle w:val="IndexLink"/>
                <w:rtl w:val="true"/>
              </w:rPr>
              <w:t>السادس و السابع</w:t>
            </w:r>
            <w:r>
              <w:rPr>
                <w:rStyle w:val="IndexLink"/>
                <w:rtl w:val="true"/>
              </w:rPr>
              <w:t xml:space="preserve">: </w:t>
            </w:r>
            <w:r>
              <w:rPr>
                <w:rStyle w:val="IndexLink"/>
                <w:rtl w:val="true"/>
              </w:rPr>
              <w:t>الکلب و الخنزیر البرّیان عیناً و لعاباً و جمیع أجزائهما</w:t>
            </w:r>
            <w:r>
              <w:rPr>
                <w:rStyle w:val="IndexLink"/>
                <w:rtl w:val="true"/>
              </w:rPr>
              <w:t>]</w:t>
              <w:tab/>
            </w:r>
            <w:r>
              <w:rPr>
                <w:rStyle w:val="IndexLink"/>
              </w:rPr>
              <w:t>191</w:t>
            </w:r>
          </w:hyperlink>
        </w:p>
        <w:p>
          <w:pPr>
            <w:pStyle w:val="Contents5"/>
            <w:tabs>
              <w:tab w:val="clear" w:pos="7892"/>
              <w:tab w:val="right" w:pos="9026" w:leader="dot"/>
            </w:tabs>
            <w:rPr/>
          </w:pPr>
          <w:hyperlink w:anchor="__RefHeading___Toc2566090_3650668749">
            <w:r>
              <w:rPr>
                <w:webHidden/>
                <w:rStyle w:val="IndexLink"/>
                <w:rtl w:val="true"/>
              </w:rPr>
              <w:t>[</w:t>
            </w:r>
            <w:r>
              <w:rPr>
                <w:rStyle w:val="IndexLink"/>
                <w:rtl w:val="true"/>
              </w:rPr>
              <w:t>الثامن</w:t>
            </w:r>
            <w:r>
              <w:rPr>
                <w:rStyle w:val="IndexLink"/>
                <w:rtl w:val="true"/>
              </w:rPr>
              <w:t xml:space="preserve">: </w:t>
            </w:r>
            <w:r>
              <w:rPr>
                <w:rStyle w:val="IndexLink"/>
                <w:rtl w:val="true"/>
              </w:rPr>
              <w:t>المسکر المائع بالأصل دون الجامد</w:t>
            </w:r>
            <w:r>
              <w:rPr>
                <w:rStyle w:val="IndexLink"/>
                <w:rtl w:val="true"/>
              </w:rPr>
              <w:t>]</w:t>
              <w:tab/>
            </w:r>
            <w:r>
              <w:rPr>
                <w:rStyle w:val="IndexLink"/>
              </w:rPr>
              <w:t>191</w:t>
            </w:r>
          </w:hyperlink>
        </w:p>
        <w:p>
          <w:pPr>
            <w:pStyle w:val="Contents6"/>
            <w:tabs>
              <w:tab w:val="clear" w:pos="7609"/>
              <w:tab w:val="right" w:pos="9026" w:leader="dot"/>
            </w:tabs>
            <w:rPr/>
          </w:pPr>
          <w:hyperlink w:anchor="__RefHeading___Toc2566092_3650668749">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2566094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لا بأس بأکل الزبیب و الکشمش إذا غلیا فی الدهن</w:t>
            </w:r>
            <w:r>
              <w:rPr>
                <w:rStyle w:val="IndexLink"/>
                <w:rtl w:val="true"/>
              </w:rPr>
              <w:t>]</w:t>
              <w:tab/>
            </w:r>
            <w:r>
              <w:rPr>
                <w:rStyle w:val="IndexLink"/>
              </w:rPr>
              <w:t>191</w:t>
            </w:r>
          </w:hyperlink>
        </w:p>
        <w:p>
          <w:pPr>
            <w:pStyle w:val="Contents5"/>
            <w:tabs>
              <w:tab w:val="clear" w:pos="7892"/>
              <w:tab w:val="right" w:pos="9026" w:leader="dot"/>
            </w:tabs>
            <w:rPr/>
          </w:pPr>
          <w:hyperlink w:anchor="__RefHeading___Toc2566096_3650668749">
            <w:r>
              <w:rPr>
                <w:webHidden/>
                <w:rStyle w:val="IndexLink"/>
                <w:rtl w:val="true"/>
              </w:rPr>
              <w:t>[</w:t>
            </w:r>
            <w:r>
              <w:rPr>
                <w:rStyle w:val="IndexLink"/>
                <w:rtl w:val="true"/>
              </w:rPr>
              <w:t>التاسع</w:t>
            </w:r>
            <w:r>
              <w:rPr>
                <w:rStyle w:val="IndexLink"/>
                <w:rtl w:val="true"/>
              </w:rPr>
              <w:t xml:space="preserve">: </w:t>
            </w:r>
            <w:r>
              <w:rPr>
                <w:rStyle w:val="IndexLink"/>
                <w:rtl w:val="true"/>
              </w:rPr>
              <w:t>الفقّاع</w:t>
            </w:r>
            <w:r>
              <w:rPr>
                <w:rStyle w:val="IndexLink"/>
                <w:rtl w:val="true"/>
              </w:rPr>
              <w:t>]</w:t>
              <w:tab/>
            </w:r>
            <w:r>
              <w:rPr>
                <w:rStyle w:val="IndexLink"/>
              </w:rPr>
              <w:t>191</w:t>
            </w:r>
          </w:hyperlink>
        </w:p>
        <w:p>
          <w:pPr>
            <w:pStyle w:val="Contents5"/>
            <w:tabs>
              <w:tab w:val="clear" w:pos="7892"/>
              <w:tab w:val="right" w:pos="9026" w:leader="dot"/>
            </w:tabs>
            <w:rPr/>
          </w:pPr>
          <w:hyperlink w:anchor="__RefHeading___Toc2566098_3650668749">
            <w:r>
              <w:rPr>
                <w:webHidden/>
                <w:rStyle w:val="IndexLink"/>
                <w:rtl w:val="true"/>
              </w:rPr>
              <w:t>[</w:t>
            </w:r>
            <w:r>
              <w:rPr>
                <w:rStyle w:val="IndexLink"/>
                <w:rtl w:val="true"/>
              </w:rPr>
              <w:t>العاشر</w:t>
            </w:r>
            <w:r>
              <w:rPr>
                <w:rStyle w:val="IndexLink"/>
                <w:rtl w:val="true"/>
              </w:rPr>
              <w:t xml:space="preserve">: </w:t>
            </w:r>
            <w:r>
              <w:rPr>
                <w:rStyle w:val="IndexLink"/>
                <w:rtl w:val="true"/>
              </w:rPr>
              <w:t>الکافر</w:t>
            </w:r>
            <w:r>
              <w:rPr>
                <w:rStyle w:val="IndexLink"/>
                <w:rtl w:val="true"/>
              </w:rPr>
              <w:t>]</w:t>
              <w:tab/>
            </w:r>
            <w:r>
              <w:rPr>
                <w:rStyle w:val="IndexLink"/>
              </w:rPr>
              <w:t>191</w:t>
            </w:r>
          </w:hyperlink>
        </w:p>
        <w:p>
          <w:pPr>
            <w:pStyle w:val="Contents6"/>
            <w:tabs>
              <w:tab w:val="clear" w:pos="7609"/>
              <w:tab w:val="right" w:pos="9026" w:leader="dot"/>
            </w:tabs>
            <w:rPr/>
          </w:pPr>
          <w:hyperlink w:anchor="__RefHeading___Toc2566100_3650668749">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2566102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غیر الاثنی عشریة من فرق الشیعة إذا لم یظهر منهم نصب و معاداة و سبّ</w:t>
            </w:r>
            <w:r>
              <w:rPr>
                <w:rStyle w:val="IndexLink"/>
                <w:rtl w:val="true"/>
              </w:rPr>
              <w:t>]</w:t>
              <w:tab/>
            </w:r>
            <w:r>
              <w:rPr>
                <w:rStyle w:val="IndexLink"/>
              </w:rPr>
              <w:t>191</w:t>
            </w:r>
          </w:hyperlink>
        </w:p>
        <w:p>
          <w:pPr>
            <w:pStyle w:val="Contents5"/>
            <w:tabs>
              <w:tab w:val="clear" w:pos="7892"/>
              <w:tab w:val="right" w:pos="9026" w:leader="dot"/>
            </w:tabs>
            <w:rPr/>
          </w:pPr>
          <w:hyperlink w:anchor="__RefHeading___Toc2566104_3650668749">
            <w:r>
              <w:rPr>
                <w:webHidden/>
                <w:rStyle w:val="IndexLink"/>
                <w:rtl w:val="true"/>
              </w:rPr>
              <w:t>[</w:t>
            </w:r>
            <w:r>
              <w:rPr>
                <w:rStyle w:val="IndexLink"/>
                <w:rtl w:val="true"/>
              </w:rPr>
              <w:t>الحادی عشر</w:t>
            </w:r>
            <w:r>
              <w:rPr>
                <w:rStyle w:val="IndexLink"/>
                <w:rtl w:val="true"/>
              </w:rPr>
              <w:t xml:space="preserve">: </w:t>
            </w:r>
            <w:r>
              <w:rPr>
                <w:rStyle w:val="IndexLink"/>
                <w:rtl w:val="true"/>
              </w:rPr>
              <w:t>عرق الإبل الجلّالة</w:t>
            </w:r>
            <w:r>
              <w:rPr>
                <w:rStyle w:val="IndexLink"/>
                <w:rtl w:val="true"/>
              </w:rPr>
              <w:t>]</w:t>
              <w:tab/>
            </w:r>
            <w:r>
              <w:rPr>
                <w:rStyle w:val="IndexLink"/>
              </w:rPr>
              <w:t>192</w:t>
            </w:r>
          </w:hyperlink>
        </w:p>
        <w:p>
          <w:pPr>
            <w:pStyle w:val="Contents4"/>
            <w:tabs>
              <w:tab w:val="clear" w:pos="8176"/>
              <w:tab w:val="right" w:pos="9026" w:leader="dot"/>
            </w:tabs>
            <w:rPr/>
          </w:pPr>
          <w:hyperlink w:anchor="__RefHeading___Toc2566106_3650668749">
            <w:r>
              <w:rPr>
                <w:webHidden/>
                <w:rStyle w:val="IndexLink"/>
                <w:rtl w:val="true"/>
              </w:rPr>
              <w:t>[</w:t>
            </w:r>
            <w:r>
              <w:rPr>
                <w:rStyle w:val="IndexLink"/>
                <w:rtl w:val="true"/>
              </w:rPr>
              <w:t>القول فی أحکام النجاسات</w:t>
            </w:r>
            <w:r>
              <w:rPr>
                <w:rStyle w:val="IndexLink"/>
                <w:rtl w:val="true"/>
              </w:rPr>
              <w:t>]</w:t>
              <w:tab/>
            </w:r>
            <w:r>
              <w:rPr>
                <w:rStyle w:val="IndexLink"/>
              </w:rPr>
              <w:t>192</w:t>
            </w:r>
          </w:hyperlink>
        </w:p>
        <w:p>
          <w:pPr>
            <w:pStyle w:val="Contents5"/>
            <w:tabs>
              <w:tab w:val="clear" w:pos="7892"/>
              <w:tab w:val="right" w:pos="9026" w:leader="dot"/>
            </w:tabs>
            <w:rPr/>
          </w:pPr>
          <w:hyperlink w:anchor="__RefHeading___Toc2566108_3650668749">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256611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یشترط فی صحّة الصلاة و الطواف واجبهما و مندوبهما طهارة البدن</w:t>
            </w:r>
            <w:r>
              <w:rPr>
                <w:rStyle w:val="IndexLink"/>
                <w:rtl w:val="true"/>
              </w:rPr>
              <w:t>]</w:t>
              <w:tab/>
            </w:r>
            <w:r>
              <w:rPr>
                <w:rStyle w:val="IndexLink"/>
              </w:rPr>
              <w:t>192</w:t>
            </w:r>
          </w:hyperlink>
        </w:p>
        <w:p>
          <w:pPr>
            <w:pStyle w:val="Contents5"/>
            <w:tabs>
              <w:tab w:val="clear" w:pos="7892"/>
              <w:tab w:val="right" w:pos="9026" w:leader="dot"/>
            </w:tabs>
            <w:rPr/>
          </w:pPr>
          <w:hyperlink w:anchor="__RefHeading___Toc256611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حصیر المسجد و فرشه کنفس المسجد فی حرمة تلویثه</w:t>
            </w:r>
            <w:r>
              <w:rPr>
                <w:rStyle w:val="IndexLink"/>
                <w:rtl w:val="true"/>
              </w:rPr>
              <w:t>]</w:t>
              <w:tab/>
            </w:r>
            <w:r>
              <w:rPr>
                <w:rStyle w:val="IndexLink"/>
              </w:rPr>
              <w:t>193</w:t>
            </w:r>
          </w:hyperlink>
        </w:p>
        <w:p>
          <w:pPr>
            <w:pStyle w:val="Contents5"/>
            <w:tabs>
              <w:tab w:val="clear" w:pos="7892"/>
              <w:tab w:val="right" w:pos="9026" w:leader="dot"/>
            </w:tabs>
            <w:rPr/>
          </w:pPr>
          <w:hyperlink w:anchor="__RefHeading___Toc256611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فرق فی المساجد بین المعمورة و المخروبة</w:t>
            </w:r>
            <w:r>
              <w:rPr>
                <w:rStyle w:val="IndexLink"/>
                <w:rtl w:val="true"/>
              </w:rPr>
              <w:t>]</w:t>
              <w:tab/>
            </w:r>
            <w:r>
              <w:rPr>
                <w:rStyle w:val="IndexLink"/>
              </w:rPr>
              <w:t>193</w:t>
            </w:r>
          </w:hyperlink>
        </w:p>
        <w:p>
          <w:pPr>
            <w:pStyle w:val="Contents5"/>
            <w:tabs>
              <w:tab w:val="clear" w:pos="7892"/>
              <w:tab w:val="right" w:pos="9026" w:leader="dot"/>
            </w:tabs>
            <w:rPr/>
          </w:pPr>
          <w:hyperlink w:anchor="__RefHeading___Toc256611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علم إخراج الواقف بعض أجزاء المسجد عن المسجد</w:t>
            </w:r>
            <w:r>
              <w:rPr>
                <w:rStyle w:val="IndexLink"/>
                <w:rtl w:val="true"/>
              </w:rPr>
              <w:t>]</w:t>
              <w:tab/>
            </w:r>
            <w:r>
              <w:rPr>
                <w:rStyle w:val="IndexLink"/>
              </w:rPr>
              <w:t>193</w:t>
            </w:r>
          </w:hyperlink>
        </w:p>
        <w:p>
          <w:pPr>
            <w:pStyle w:val="Contents5"/>
            <w:tabs>
              <w:tab w:val="clear" w:pos="7892"/>
              <w:tab w:val="right" w:pos="9026" w:leader="dot"/>
            </w:tabs>
            <w:rPr/>
          </w:pPr>
          <w:hyperlink w:anchor="__RefHeading___Toc256611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کما یحرم تنجیس المصحف یحرم کتابته بالمداد النجس</w:t>
            </w:r>
            <w:r>
              <w:rPr>
                <w:rStyle w:val="IndexLink"/>
                <w:rtl w:val="true"/>
              </w:rPr>
              <w:t>]</w:t>
              <w:tab/>
            </w:r>
            <w:r>
              <w:rPr>
                <w:rStyle w:val="IndexLink"/>
              </w:rPr>
              <w:t>193</w:t>
            </w:r>
          </w:hyperlink>
        </w:p>
        <w:p>
          <w:pPr>
            <w:pStyle w:val="Contents5"/>
            <w:tabs>
              <w:tab w:val="clear" w:pos="7892"/>
              <w:tab w:val="right" w:pos="9026" w:leader="dot"/>
            </w:tabs>
            <w:rPr/>
          </w:pPr>
          <w:hyperlink w:anchor="__RefHeading___Toc256612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من صلّیٰ بالنجاسة متعمّداً بطلت صلاته و وجبت إعادتها</w:t>
            </w:r>
            <w:r>
              <w:rPr>
                <w:rStyle w:val="IndexLink"/>
                <w:rtl w:val="true"/>
              </w:rPr>
              <w:t>]</w:t>
              <w:tab/>
            </w:r>
            <w:r>
              <w:rPr>
                <w:rStyle w:val="IndexLink"/>
              </w:rPr>
              <w:t>193</w:t>
            </w:r>
          </w:hyperlink>
        </w:p>
        <w:p>
          <w:pPr>
            <w:pStyle w:val="Contents5"/>
            <w:tabs>
              <w:tab w:val="clear" w:pos="7892"/>
              <w:tab w:val="right" w:pos="9026" w:leader="dot"/>
            </w:tabs>
            <w:rPr/>
          </w:pPr>
          <w:hyperlink w:anchor="__RefHeading___Toc256612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انحصر الساتر فی النجس فإن لم یقدر علیٰ نزعه لبرد و نحوه صلّیٰ</w:t>
            </w:r>
            <w:r>
              <w:rPr>
                <w:rStyle w:val="IndexLink"/>
                <w:rtl w:val="true"/>
              </w:rPr>
              <w:t>]</w:t>
              <w:tab/>
            </w:r>
            <w:r>
              <w:rPr>
                <w:rStyle w:val="IndexLink"/>
              </w:rPr>
              <w:t>193</w:t>
            </w:r>
          </w:hyperlink>
        </w:p>
        <w:p>
          <w:pPr>
            <w:pStyle w:val="Contents5"/>
            <w:tabs>
              <w:tab w:val="clear" w:pos="7892"/>
              <w:tab w:val="right" w:pos="9026" w:leader="dot"/>
            </w:tabs>
            <w:rPr/>
          </w:pPr>
          <w:hyperlink w:anchor="__RefHeading___Toc256612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اشتبه الثوب الطاهر بالنجس یکرّر الصلاة فیهما مع الانحصار بهما</w:t>
            </w:r>
            <w:r>
              <w:rPr>
                <w:rStyle w:val="IndexLink"/>
                <w:rtl w:val="true"/>
              </w:rPr>
              <w:t>]</w:t>
              <w:tab/>
            </w:r>
            <w:r>
              <w:rPr>
                <w:rStyle w:val="IndexLink"/>
              </w:rPr>
              <w:t>194</w:t>
            </w:r>
          </w:hyperlink>
        </w:p>
        <w:p>
          <w:pPr>
            <w:pStyle w:val="Contents4"/>
            <w:tabs>
              <w:tab w:val="clear" w:pos="8176"/>
              <w:tab w:val="right" w:pos="9026" w:leader="dot"/>
            </w:tabs>
            <w:rPr/>
          </w:pPr>
          <w:hyperlink w:anchor="__RefHeading___Toc2566126_3650668749">
            <w:r>
              <w:rPr>
                <w:webHidden/>
                <w:rStyle w:val="IndexLink"/>
                <w:rtl w:val="true"/>
              </w:rPr>
              <w:t>[</w:t>
            </w:r>
            <w:r>
              <w:rPr>
                <w:rStyle w:val="IndexLink"/>
                <w:rtl w:val="true"/>
              </w:rPr>
              <w:t>القول فی کیفیّة التنجیس بها</w:t>
            </w:r>
            <w:r>
              <w:rPr>
                <w:rStyle w:val="IndexLink"/>
                <w:rtl w:val="true"/>
              </w:rPr>
              <w:t>]</w:t>
              <w:tab/>
            </w:r>
            <w:r>
              <w:rPr>
                <w:rStyle w:val="IndexLink"/>
              </w:rPr>
              <w:t>194</w:t>
            </w:r>
          </w:hyperlink>
        </w:p>
        <w:p>
          <w:pPr>
            <w:pStyle w:val="Contents5"/>
            <w:tabs>
              <w:tab w:val="clear" w:pos="7892"/>
              <w:tab w:val="right" w:pos="9026" w:leader="dot"/>
            </w:tabs>
            <w:rPr/>
          </w:pPr>
          <w:hyperlink w:anchor="__RefHeading___Toc2566128_3650668749">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256613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ینجّس الملاقی لها مع الیبوسة فی کلّ منهما</w:t>
            </w:r>
            <w:r>
              <w:rPr>
                <w:rStyle w:val="IndexLink"/>
                <w:rtl w:val="true"/>
              </w:rPr>
              <w:t>]</w:t>
              <w:tab/>
            </w:r>
            <w:r>
              <w:rPr>
                <w:rStyle w:val="IndexLink"/>
              </w:rPr>
              <w:t>194</w:t>
            </w:r>
          </w:hyperlink>
        </w:p>
        <w:p>
          <w:pPr>
            <w:pStyle w:val="Contents5"/>
            <w:tabs>
              <w:tab w:val="clear" w:pos="7892"/>
              <w:tab w:val="right" w:pos="9026" w:leader="dot"/>
            </w:tabs>
            <w:rPr/>
          </w:pPr>
          <w:hyperlink w:anchor="__RefHeading___Toc256613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مع الشکّ فی الرطوبة أو السرایة یحکم بعدم التنجیس</w:t>
            </w:r>
            <w:r>
              <w:rPr>
                <w:rStyle w:val="IndexLink"/>
                <w:rtl w:val="true"/>
              </w:rPr>
              <w:t>]</w:t>
              <w:tab/>
            </w:r>
            <w:r>
              <w:rPr>
                <w:rStyle w:val="IndexLink"/>
              </w:rPr>
              <w:t>194</w:t>
            </w:r>
          </w:hyperlink>
        </w:p>
        <w:p>
          <w:pPr>
            <w:pStyle w:val="Contents5"/>
            <w:tabs>
              <w:tab w:val="clear" w:pos="7892"/>
              <w:tab w:val="right" w:pos="9026" w:leader="dot"/>
            </w:tabs>
            <w:rPr/>
          </w:pPr>
          <w:hyperlink w:anchor="__RefHeading___Toc256613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یحکم بنجاسة الشی‌ء و لا بطهارة ما ثبتت نجاسته إلّا بالیقین</w:t>
            </w:r>
            <w:r>
              <w:rPr>
                <w:rStyle w:val="IndexLink"/>
                <w:rtl w:val="true"/>
              </w:rPr>
              <w:t>]</w:t>
              <w:tab/>
            </w:r>
            <w:r>
              <w:rPr>
                <w:rStyle w:val="IndexLink"/>
              </w:rPr>
              <w:t>194</w:t>
            </w:r>
          </w:hyperlink>
        </w:p>
        <w:p>
          <w:pPr>
            <w:pStyle w:val="Contents5"/>
            <w:tabs>
              <w:tab w:val="clear" w:pos="7892"/>
              <w:tab w:val="right" w:pos="9026" w:leader="dot"/>
            </w:tabs>
            <w:rPr/>
          </w:pPr>
          <w:hyperlink w:anchor="__RefHeading___Toc256613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العلم الإجمالی کالتفصیلی</w:t>
            </w:r>
            <w:r>
              <w:rPr>
                <w:rStyle w:val="IndexLink"/>
                <w:rtl w:val="true"/>
              </w:rPr>
              <w:t>]</w:t>
              <w:tab/>
            </w:r>
            <w:r>
              <w:rPr>
                <w:rStyle w:val="IndexLink"/>
              </w:rPr>
              <w:t>195</w:t>
            </w:r>
          </w:hyperlink>
        </w:p>
        <w:p>
          <w:pPr>
            <w:pStyle w:val="Contents5"/>
            <w:tabs>
              <w:tab w:val="clear" w:pos="7892"/>
              <w:tab w:val="right" w:pos="9026" w:leader="dot"/>
            </w:tabs>
            <w:rPr/>
          </w:pPr>
          <w:hyperlink w:anchor="__RefHeading___Toc256613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شهد الشاهدان بالنجاسة السابقة مع الشکّ فی زوالها</w:t>
            </w:r>
            <w:r>
              <w:rPr>
                <w:rStyle w:val="IndexLink"/>
                <w:rtl w:val="true"/>
              </w:rPr>
              <w:t>]</w:t>
              <w:tab/>
            </w:r>
            <w:r>
              <w:rPr>
                <w:rStyle w:val="IndexLink"/>
              </w:rPr>
              <w:t>195</w:t>
            </w:r>
          </w:hyperlink>
        </w:p>
        <w:p>
          <w:pPr>
            <w:pStyle w:val="Contents5"/>
            <w:tabs>
              <w:tab w:val="clear" w:pos="7892"/>
              <w:tab w:val="right" w:pos="9026" w:leader="dot"/>
            </w:tabs>
            <w:rPr/>
          </w:pPr>
          <w:hyperlink w:anchor="__RefHeading___Toc256614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المراد بذی الید کلّ من کان مستولیاً علیه</w:t>
            </w:r>
            <w:r>
              <w:rPr>
                <w:rStyle w:val="IndexLink"/>
                <w:rtl w:val="true"/>
              </w:rPr>
              <w:t>]</w:t>
              <w:tab/>
            </w:r>
            <w:r>
              <w:rPr>
                <w:rStyle w:val="IndexLink"/>
              </w:rPr>
              <w:t>195</w:t>
            </w:r>
          </w:hyperlink>
        </w:p>
        <w:p>
          <w:pPr>
            <w:pStyle w:val="Contents5"/>
            <w:tabs>
              <w:tab w:val="clear" w:pos="7892"/>
              <w:tab w:val="right" w:pos="9026" w:leader="dot"/>
            </w:tabs>
            <w:rPr/>
          </w:pPr>
          <w:hyperlink w:anchor="__RefHeading___Toc256614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کان الشی‌ء بید شخصین کالشریکین یسمع قول کلّ منهما فی نجاسته</w:t>
            </w:r>
            <w:r>
              <w:rPr>
                <w:rStyle w:val="IndexLink"/>
                <w:rtl w:val="true"/>
              </w:rPr>
              <w:t>]</w:t>
              <w:tab/>
            </w:r>
            <w:r>
              <w:rPr>
                <w:rStyle w:val="IndexLink"/>
              </w:rPr>
              <w:t>195</w:t>
            </w:r>
          </w:hyperlink>
        </w:p>
        <w:p>
          <w:pPr>
            <w:pStyle w:val="Contents5"/>
            <w:tabs>
              <w:tab w:val="clear" w:pos="7892"/>
              <w:tab w:val="right" w:pos="9026" w:leader="dot"/>
            </w:tabs>
            <w:rPr/>
          </w:pPr>
          <w:hyperlink w:anchor="__RefHeading___Toc256614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لا فرق فی ذی الید بین کونه عادلًا أو فاسقاً</w:t>
            </w:r>
            <w:r>
              <w:rPr>
                <w:rStyle w:val="IndexLink"/>
                <w:rtl w:val="true"/>
              </w:rPr>
              <w:t>]</w:t>
              <w:tab/>
            </w:r>
            <w:r>
              <w:rPr>
                <w:rStyle w:val="IndexLink"/>
              </w:rPr>
              <w:t>195</w:t>
            </w:r>
          </w:hyperlink>
        </w:p>
        <w:p>
          <w:pPr>
            <w:pStyle w:val="Contents5"/>
            <w:tabs>
              <w:tab w:val="clear" w:pos="7892"/>
              <w:tab w:val="right" w:pos="9026" w:leader="dot"/>
            </w:tabs>
            <w:rPr/>
          </w:pPr>
          <w:hyperlink w:anchor="__RefHeading___Toc256614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المتنجّس منجّس علی الأقویٰ</w:t>
            </w:r>
            <w:r>
              <w:rPr>
                <w:rStyle w:val="IndexLink"/>
                <w:rtl w:val="true"/>
              </w:rPr>
              <w:t>]</w:t>
              <w:tab/>
            </w:r>
            <w:r>
              <w:rPr>
                <w:rStyle w:val="IndexLink"/>
              </w:rPr>
              <w:t>196</w:t>
            </w:r>
          </w:hyperlink>
        </w:p>
        <w:p>
          <w:pPr>
            <w:pStyle w:val="Contents5"/>
            <w:tabs>
              <w:tab w:val="clear" w:pos="7892"/>
              <w:tab w:val="right" w:pos="9026" w:leader="dot"/>
            </w:tabs>
            <w:rPr/>
          </w:pPr>
          <w:hyperlink w:anchor="__RefHeading___Toc2566148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ملاقاة ما فی الباطن بالنجاسة التی فی الباطن لا ینجّسه</w:t>
            </w:r>
            <w:r>
              <w:rPr>
                <w:rStyle w:val="IndexLink"/>
                <w:rtl w:val="true"/>
              </w:rPr>
              <w:t>]</w:t>
              <w:tab/>
            </w:r>
            <w:r>
              <w:rPr>
                <w:rStyle w:val="IndexLink"/>
              </w:rPr>
              <w:t>196</w:t>
            </w:r>
          </w:hyperlink>
        </w:p>
        <w:p>
          <w:pPr>
            <w:pStyle w:val="Contents4"/>
            <w:tabs>
              <w:tab w:val="clear" w:pos="8176"/>
              <w:tab w:val="right" w:pos="9026" w:leader="dot"/>
            </w:tabs>
            <w:rPr/>
          </w:pPr>
          <w:hyperlink w:anchor="__RefHeading___Toc2566150_3650668749">
            <w:r>
              <w:rPr>
                <w:webHidden/>
                <w:rStyle w:val="IndexLink"/>
                <w:rtl w:val="true"/>
              </w:rPr>
              <w:t>[</w:t>
            </w:r>
            <w:r>
              <w:rPr>
                <w:rStyle w:val="IndexLink"/>
                <w:rtl w:val="true"/>
              </w:rPr>
              <w:t>القول فیما یعفیٰ عنه منها فی الصلاة</w:t>
            </w:r>
            <w:r>
              <w:rPr>
                <w:rStyle w:val="IndexLink"/>
                <w:rtl w:val="true"/>
              </w:rPr>
              <w:t>]</w:t>
              <w:tab/>
            </w:r>
            <w:r>
              <w:rPr>
                <w:rStyle w:val="IndexLink"/>
              </w:rPr>
              <w:t>196</w:t>
            </w:r>
          </w:hyperlink>
        </w:p>
        <w:p>
          <w:pPr>
            <w:pStyle w:val="Contents5"/>
            <w:tabs>
              <w:tab w:val="clear" w:pos="7892"/>
              <w:tab w:val="right" w:pos="9026" w:leader="dot"/>
            </w:tabs>
            <w:rPr/>
          </w:pPr>
          <w:hyperlink w:anchor="__RefHeading___Toc2566152_3650668749">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2566154_3650668749">
            <w:r>
              <w:rPr>
                <w:webHidden/>
                <w:rStyle w:val="IndexLink"/>
                <w:rtl w:val="true"/>
              </w:rPr>
              <w:t>[</w:t>
            </w:r>
            <w:r>
              <w:rPr>
                <w:rStyle w:val="IndexLink"/>
                <w:rtl w:val="true"/>
              </w:rPr>
              <w:t>الأوّل</w:t>
            </w:r>
            <w:r>
              <w:rPr>
                <w:rStyle w:val="IndexLink"/>
                <w:rtl w:val="true"/>
              </w:rPr>
              <w:t xml:space="preserve">: </w:t>
            </w:r>
            <w:r>
              <w:rPr>
                <w:rStyle w:val="IndexLink"/>
                <w:rtl w:val="true"/>
              </w:rPr>
              <w:t>دم الجروح و القروح فی البدن و اللباس</w:t>
            </w:r>
            <w:r>
              <w:rPr>
                <w:rStyle w:val="IndexLink"/>
                <w:rtl w:val="true"/>
              </w:rPr>
              <w:t>]</w:t>
              <w:tab/>
            </w:r>
            <w:r>
              <w:rPr>
                <w:rStyle w:val="IndexLink"/>
              </w:rPr>
              <w:t>196</w:t>
            </w:r>
          </w:hyperlink>
        </w:p>
        <w:p>
          <w:pPr>
            <w:pStyle w:val="Contents5"/>
            <w:tabs>
              <w:tab w:val="clear" w:pos="7892"/>
              <w:tab w:val="right" w:pos="9026" w:leader="dot"/>
            </w:tabs>
            <w:rPr/>
          </w:pPr>
          <w:hyperlink w:anchor="__RefHeading___Toc2566156_3650668749">
            <w:r>
              <w:rPr>
                <w:webHidden/>
                <w:rStyle w:val="IndexLink"/>
                <w:rtl w:val="true"/>
              </w:rPr>
              <w:t>[</w:t>
            </w:r>
            <w:r>
              <w:rPr>
                <w:rStyle w:val="IndexLink"/>
                <w:rtl w:val="true"/>
              </w:rPr>
              <w:t>الثانی</w:t>
            </w:r>
            <w:r>
              <w:rPr>
                <w:rStyle w:val="IndexLink"/>
                <w:rtl w:val="true"/>
              </w:rPr>
              <w:t xml:space="preserve">: </w:t>
            </w:r>
            <w:r>
              <w:rPr>
                <w:rStyle w:val="IndexLink"/>
                <w:rtl w:val="true"/>
              </w:rPr>
              <w:t>الدم فی البدن و اللباس إذا کان سعته أقلّ من الدرهم البغلی</w:t>
            </w:r>
            <w:r>
              <w:rPr>
                <w:rStyle w:val="IndexLink"/>
                <w:rtl w:val="true"/>
              </w:rPr>
              <w:t>]</w:t>
              <w:tab/>
            </w:r>
            <w:r>
              <w:rPr>
                <w:rStyle w:val="IndexLink"/>
              </w:rPr>
              <w:t>197</w:t>
            </w:r>
          </w:hyperlink>
        </w:p>
        <w:p>
          <w:pPr>
            <w:pStyle w:val="Contents6"/>
            <w:tabs>
              <w:tab w:val="clear" w:pos="7609"/>
              <w:tab w:val="right" w:pos="9026" w:leader="dot"/>
            </w:tabs>
            <w:rPr/>
          </w:pPr>
          <w:hyperlink w:anchor="__RefHeading___Toc2566158_3650668749">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256616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لو کان الدم متفرّقاً فی الثیاب و البدن لوحظ التقدیر علیٰ فرض اجتماعه</w:t>
            </w:r>
            <w:r>
              <w:rPr>
                <w:rStyle w:val="IndexLink"/>
                <w:rtl w:val="true"/>
              </w:rPr>
              <w:t>]</w:t>
              <w:tab/>
            </w:r>
            <w:r>
              <w:rPr>
                <w:rStyle w:val="IndexLink"/>
              </w:rPr>
              <w:t>197</w:t>
            </w:r>
          </w:hyperlink>
        </w:p>
        <w:p>
          <w:pPr>
            <w:pStyle w:val="Contents6"/>
            <w:tabs>
              <w:tab w:val="clear" w:pos="7609"/>
              <w:tab w:val="right" w:pos="9026" w:leader="dot"/>
            </w:tabs>
            <w:rPr/>
          </w:pPr>
          <w:hyperlink w:anchor="__RefHeading___Toc256616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لو اشتبه الدم الذی یکون أقلّ من الدرهم أنّه من المستثنیات</w:t>
            </w:r>
            <w:r>
              <w:rPr>
                <w:rStyle w:val="IndexLink"/>
                <w:rtl w:val="true"/>
              </w:rPr>
              <w:t>]</w:t>
              <w:tab/>
            </w:r>
            <w:r>
              <w:rPr>
                <w:rStyle w:val="IndexLink"/>
              </w:rPr>
              <w:t>197</w:t>
            </w:r>
          </w:hyperlink>
        </w:p>
        <w:p>
          <w:pPr>
            <w:pStyle w:val="Contents6"/>
            <w:tabs>
              <w:tab w:val="clear" w:pos="7609"/>
              <w:tab w:val="right" w:pos="9026" w:leader="dot"/>
            </w:tabs>
            <w:rPr/>
          </w:pPr>
          <w:hyperlink w:anchor="__RefHeading___Toc256616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المتنجّس بالدم لیس کالدم فی العفو عنه إذا کان أقلّ من الدرهم</w:t>
            </w:r>
            <w:r>
              <w:rPr>
                <w:rStyle w:val="IndexLink"/>
                <w:rtl w:val="true"/>
              </w:rPr>
              <w:t>]</w:t>
              <w:tab/>
            </w:r>
            <w:r>
              <w:rPr>
                <w:rStyle w:val="IndexLink"/>
              </w:rPr>
              <w:t>197</w:t>
            </w:r>
          </w:hyperlink>
        </w:p>
        <w:p>
          <w:pPr>
            <w:pStyle w:val="Contents5"/>
            <w:tabs>
              <w:tab w:val="clear" w:pos="7892"/>
              <w:tab w:val="right" w:pos="9026" w:leader="dot"/>
            </w:tabs>
            <w:rPr/>
          </w:pPr>
          <w:hyperlink w:anchor="__RefHeading___Toc2566166_3650668749">
            <w:r>
              <w:rPr>
                <w:webHidden/>
                <w:rStyle w:val="IndexLink"/>
                <w:rtl w:val="true"/>
              </w:rPr>
              <w:t>[</w:t>
            </w:r>
            <w:r>
              <w:rPr>
                <w:rStyle w:val="IndexLink"/>
                <w:rtl w:val="true"/>
              </w:rPr>
              <w:t>الثالث</w:t>
            </w:r>
            <w:r>
              <w:rPr>
                <w:rStyle w:val="IndexLink"/>
                <w:rtl w:val="true"/>
              </w:rPr>
              <w:t xml:space="preserve">: </w:t>
            </w:r>
            <w:r>
              <w:rPr>
                <w:rStyle w:val="IndexLink"/>
                <w:rtl w:val="true"/>
              </w:rPr>
              <w:t>کلّ ما لا تتمّ به الصلاة منفرداً کالتکّة و الجورب و نحوهما فإنّه معفوّ عنه</w:t>
            </w:r>
            <w:r>
              <w:rPr>
                <w:rStyle w:val="IndexLink"/>
                <w:rtl w:val="true"/>
              </w:rPr>
              <w:t>]</w:t>
              <w:tab/>
            </w:r>
            <w:r>
              <w:rPr>
                <w:rStyle w:val="IndexLink"/>
              </w:rPr>
              <w:t>197</w:t>
            </w:r>
          </w:hyperlink>
        </w:p>
        <w:p>
          <w:pPr>
            <w:pStyle w:val="Contents5"/>
            <w:tabs>
              <w:tab w:val="clear" w:pos="7892"/>
              <w:tab w:val="right" w:pos="9026" w:leader="dot"/>
            </w:tabs>
            <w:rPr/>
          </w:pPr>
          <w:hyperlink w:anchor="__RefHeading___Toc2566168_3650668749">
            <w:r>
              <w:rPr>
                <w:webHidden/>
                <w:rStyle w:val="IndexLink"/>
                <w:rtl w:val="true"/>
              </w:rPr>
              <w:t>[</w:t>
            </w:r>
            <w:r>
              <w:rPr>
                <w:rStyle w:val="IndexLink"/>
                <w:rtl w:val="true"/>
              </w:rPr>
              <w:t>الرابع</w:t>
            </w:r>
            <w:r>
              <w:rPr>
                <w:rStyle w:val="IndexLink"/>
                <w:rtl w:val="true"/>
              </w:rPr>
              <w:t xml:space="preserve">: </w:t>
            </w:r>
            <w:r>
              <w:rPr>
                <w:rStyle w:val="IndexLink"/>
                <w:rtl w:val="true"/>
              </w:rPr>
              <w:t>ما صار من البواطن و التوابع</w:t>
            </w:r>
            <w:r>
              <w:rPr>
                <w:rStyle w:val="IndexLink"/>
                <w:rtl w:val="true"/>
              </w:rPr>
              <w:t>]</w:t>
              <w:tab/>
            </w:r>
            <w:r>
              <w:rPr>
                <w:rStyle w:val="IndexLink"/>
              </w:rPr>
              <w:t>197</w:t>
            </w:r>
          </w:hyperlink>
        </w:p>
        <w:p>
          <w:pPr>
            <w:pStyle w:val="Contents5"/>
            <w:tabs>
              <w:tab w:val="clear" w:pos="7892"/>
              <w:tab w:val="right" w:pos="9026" w:leader="dot"/>
            </w:tabs>
            <w:rPr/>
          </w:pPr>
          <w:hyperlink w:anchor="__RefHeading___Toc2566170_3650668749">
            <w:r>
              <w:rPr>
                <w:webHidden/>
                <w:rStyle w:val="IndexLink"/>
                <w:rtl w:val="true"/>
              </w:rPr>
              <w:t>[</w:t>
            </w:r>
            <w:r>
              <w:rPr>
                <w:rStyle w:val="IndexLink"/>
                <w:rtl w:val="true"/>
              </w:rPr>
              <w:t>الخامس</w:t>
            </w:r>
            <w:r>
              <w:rPr>
                <w:rStyle w:val="IndexLink"/>
                <w:rtl w:val="true"/>
              </w:rPr>
              <w:t xml:space="preserve">: </w:t>
            </w:r>
            <w:r>
              <w:rPr>
                <w:rStyle w:val="IndexLink"/>
                <w:rtl w:val="true"/>
              </w:rPr>
              <w:t>ثوب المربّیة للطفل</w:t>
            </w:r>
            <w:r>
              <w:rPr>
                <w:rStyle w:val="IndexLink"/>
                <w:rtl w:val="true"/>
              </w:rPr>
              <w:t>]</w:t>
              <w:tab/>
            </w:r>
            <w:r>
              <w:rPr>
                <w:rStyle w:val="IndexLink"/>
              </w:rPr>
              <w:t>198</w:t>
            </w:r>
          </w:hyperlink>
        </w:p>
        <w:p>
          <w:pPr>
            <w:pStyle w:val="Contents3"/>
            <w:tabs>
              <w:tab w:val="clear" w:pos="8459"/>
              <w:tab w:val="right" w:pos="9026" w:leader="dot"/>
            </w:tabs>
            <w:rPr/>
          </w:pPr>
          <w:hyperlink w:anchor="__RefHeading___Toc2566172_3650668749">
            <w:r>
              <w:rPr>
                <w:webHidden/>
                <w:rStyle w:val="IndexLink"/>
                <w:rtl w:val="true"/>
              </w:rPr>
              <w:t>[</w:t>
            </w:r>
            <w:r>
              <w:rPr>
                <w:rStyle w:val="IndexLink"/>
                <w:rtl w:val="true"/>
              </w:rPr>
              <w:t>القول فی المطهّرات</w:t>
            </w:r>
            <w:r>
              <w:rPr>
                <w:rStyle w:val="IndexLink"/>
                <w:rtl w:val="true"/>
              </w:rPr>
              <w:t>]</w:t>
              <w:tab/>
            </w:r>
            <w:r>
              <w:rPr>
                <w:rStyle w:val="IndexLink"/>
              </w:rPr>
              <w:t>198</w:t>
            </w:r>
          </w:hyperlink>
        </w:p>
        <w:p>
          <w:pPr>
            <w:pStyle w:val="Contents4"/>
            <w:tabs>
              <w:tab w:val="clear" w:pos="8176"/>
              <w:tab w:val="right" w:pos="9026" w:leader="dot"/>
            </w:tabs>
            <w:rPr/>
          </w:pPr>
          <w:hyperlink w:anchor="__RefHeading___Toc2566174_3650668749">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2566176_3650668749">
            <w:r>
              <w:rPr>
                <w:webHidden/>
                <w:rStyle w:val="IndexLink"/>
                <w:rtl w:val="true"/>
              </w:rPr>
              <w:t>[</w:t>
            </w:r>
            <w:r>
              <w:rPr>
                <w:rStyle w:val="IndexLink"/>
                <w:rtl w:val="true"/>
              </w:rPr>
              <w:t>أوّلها</w:t>
            </w:r>
            <w:r>
              <w:rPr>
                <w:rStyle w:val="IndexLink"/>
                <w:rtl w:val="true"/>
              </w:rPr>
              <w:t xml:space="preserve">: </w:t>
            </w:r>
            <w:r>
              <w:rPr>
                <w:rStyle w:val="IndexLink"/>
                <w:rtl w:val="true"/>
              </w:rPr>
              <w:t>الماء</w:t>
            </w:r>
            <w:r>
              <w:rPr>
                <w:rStyle w:val="IndexLink"/>
                <w:rtl w:val="true"/>
              </w:rPr>
              <w:t>]</w:t>
              <w:tab/>
            </w:r>
            <w:r>
              <w:rPr>
                <w:rStyle w:val="IndexLink"/>
              </w:rPr>
              <w:t>198</w:t>
            </w:r>
          </w:hyperlink>
        </w:p>
        <w:p>
          <w:pPr>
            <w:pStyle w:val="Contents5"/>
            <w:tabs>
              <w:tab w:val="clear" w:pos="7892"/>
              <w:tab w:val="right" w:pos="9026" w:leader="dot"/>
            </w:tabs>
            <w:rPr/>
          </w:pPr>
          <w:hyperlink w:anchor="__RefHeading___Toc2566178_3650668749">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256618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لو کانت الآنیة المتنجّسة بالولوغ ممّا یتعذّر تعفیرها بالتراب</w:t>
            </w:r>
            <w:r>
              <w:rPr>
                <w:rStyle w:val="IndexLink"/>
                <w:rtl w:val="true"/>
              </w:rPr>
              <w:t>]</w:t>
              <w:tab/>
            </w:r>
            <w:r>
              <w:rPr>
                <w:rStyle w:val="IndexLink"/>
              </w:rPr>
              <w:t>200</w:t>
            </w:r>
          </w:hyperlink>
        </w:p>
        <w:p>
          <w:pPr>
            <w:pStyle w:val="Contents5"/>
            <w:tabs>
              <w:tab w:val="clear" w:pos="7892"/>
              <w:tab w:val="right" w:pos="9026" w:leader="dot"/>
            </w:tabs>
            <w:rPr/>
          </w:pPr>
          <w:hyperlink w:anchor="__RefHeading___Toc256618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یجب غسل الإناء سبعاً لموت الجرذ و لشرب الخنزیر</w:t>
            </w:r>
            <w:r>
              <w:rPr>
                <w:rStyle w:val="IndexLink"/>
                <w:rtl w:val="true"/>
              </w:rPr>
              <w:t>]</w:t>
              <w:tab/>
            </w:r>
            <w:r>
              <w:rPr>
                <w:rStyle w:val="IndexLink"/>
              </w:rPr>
              <w:t>200</w:t>
            </w:r>
          </w:hyperlink>
        </w:p>
        <w:p>
          <w:pPr>
            <w:pStyle w:val="Contents5"/>
            <w:tabs>
              <w:tab w:val="clear" w:pos="7892"/>
              <w:tab w:val="right" w:pos="9026" w:leader="dot"/>
            </w:tabs>
            <w:rPr/>
          </w:pPr>
          <w:hyperlink w:anchor="__RefHeading___Toc256618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تطهیر الأوانی الصغیرة و الکبیرة ضیّقة الرأس و واسعته بالکثیر و الجاری واضح</w:t>
            </w:r>
            <w:r>
              <w:rPr>
                <w:rStyle w:val="IndexLink"/>
                <w:rtl w:val="true"/>
              </w:rPr>
              <w:t>]</w:t>
              <w:tab/>
            </w:r>
            <w:r>
              <w:rPr>
                <w:rStyle w:val="IndexLink"/>
              </w:rPr>
              <w:t>200</w:t>
            </w:r>
          </w:hyperlink>
        </w:p>
        <w:p>
          <w:pPr>
            <w:pStyle w:val="Contents5"/>
            <w:tabs>
              <w:tab w:val="clear" w:pos="7892"/>
              <w:tab w:val="right" w:pos="9026" w:leader="dot"/>
            </w:tabs>
            <w:rPr/>
          </w:pPr>
          <w:hyperlink w:anchor="__RefHeading___Toc256618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تنجّس التنّور یطهر بصبّ الماء فی الموضع النجس من فوق إلیٰ تحت</w:t>
            </w:r>
            <w:r>
              <w:rPr>
                <w:rStyle w:val="IndexLink"/>
                <w:rtl w:val="true"/>
              </w:rPr>
              <w:t>]</w:t>
              <w:tab/>
            </w:r>
            <w:r>
              <w:rPr>
                <w:rStyle w:val="IndexLink"/>
              </w:rPr>
              <w:t>201</w:t>
            </w:r>
          </w:hyperlink>
        </w:p>
        <w:p>
          <w:pPr>
            <w:pStyle w:val="Contents5"/>
            <w:tabs>
              <w:tab w:val="clear" w:pos="7892"/>
              <w:tab w:val="right" w:pos="9026" w:leader="dot"/>
            </w:tabs>
            <w:rPr/>
          </w:pPr>
          <w:hyperlink w:anchor="__RefHeading___Toc256618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تنجّس الأرز أو الماش و نحوهما یجعل فی و صلة و یغمس فی الکرّ أو الجاری فیطهر</w:t>
            </w:r>
            <w:r>
              <w:rPr>
                <w:rStyle w:val="IndexLink"/>
                <w:rtl w:val="true"/>
              </w:rPr>
              <w:t>]</w:t>
              <w:tab/>
            </w:r>
            <w:r>
              <w:rPr>
                <w:rStyle w:val="IndexLink"/>
              </w:rPr>
              <w:t>201</w:t>
            </w:r>
          </w:hyperlink>
        </w:p>
        <w:p>
          <w:pPr>
            <w:pStyle w:val="Contents5"/>
            <w:tabs>
              <w:tab w:val="clear" w:pos="7892"/>
              <w:tab w:val="right" w:pos="9026" w:leader="dot"/>
            </w:tabs>
            <w:rPr/>
          </w:pPr>
          <w:hyperlink w:anchor="__RefHeading___Toc256619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اللحم المطبوخ بالماء النجس یمکن تطهیره فی الکثیر بل و القلیل</w:t>
            </w:r>
            <w:r>
              <w:rPr>
                <w:rStyle w:val="IndexLink"/>
                <w:rtl w:val="true"/>
              </w:rPr>
              <w:t>]</w:t>
              <w:tab/>
            </w:r>
            <w:r>
              <w:rPr>
                <w:rStyle w:val="IndexLink"/>
              </w:rPr>
              <w:t>201</w:t>
            </w:r>
          </w:hyperlink>
        </w:p>
        <w:p>
          <w:pPr>
            <w:pStyle w:val="Contents5"/>
            <w:tabs>
              <w:tab w:val="clear" w:pos="7892"/>
              <w:tab w:val="right" w:pos="9026" w:leader="dot"/>
            </w:tabs>
            <w:rPr/>
          </w:pPr>
          <w:hyperlink w:anchor="__RefHeading___Toc256619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غسل ثوبه المتنجّس ثمّ رأی فیه شیئاً من الطین أو الأُشنان لا یضرّ</w:t>
            </w:r>
            <w:r>
              <w:rPr>
                <w:rStyle w:val="IndexLink"/>
                <w:rtl w:val="true"/>
              </w:rPr>
              <w:t>]</w:t>
              <w:tab/>
            </w:r>
            <w:r>
              <w:rPr>
                <w:rStyle w:val="IndexLink"/>
              </w:rPr>
              <w:t>201</w:t>
            </w:r>
          </w:hyperlink>
        </w:p>
        <w:p>
          <w:pPr>
            <w:pStyle w:val="Contents5"/>
            <w:tabs>
              <w:tab w:val="clear" w:pos="7892"/>
              <w:tab w:val="right" w:pos="9026" w:leader="dot"/>
            </w:tabs>
            <w:rPr/>
          </w:pPr>
          <w:hyperlink w:anchor="__RefHeading___Toc256619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أکل طعاماً نجساً فما یبقیٰ منه بین أسنانه باقٍ علیٰ نجاسته</w:t>
            </w:r>
            <w:r>
              <w:rPr>
                <w:rStyle w:val="IndexLink"/>
                <w:rtl w:val="true"/>
              </w:rPr>
              <w:t>]</w:t>
              <w:tab/>
            </w:r>
            <w:r>
              <w:rPr>
                <w:rStyle w:val="IndexLink"/>
              </w:rPr>
              <w:t>201</w:t>
            </w:r>
          </w:hyperlink>
        </w:p>
        <w:p>
          <w:pPr>
            <w:pStyle w:val="Contents4"/>
            <w:tabs>
              <w:tab w:val="clear" w:pos="8176"/>
              <w:tab w:val="right" w:pos="9026" w:leader="dot"/>
            </w:tabs>
            <w:rPr/>
          </w:pPr>
          <w:hyperlink w:anchor="__RefHeading___Toc2566196_3650668749">
            <w:r>
              <w:rPr>
                <w:webHidden/>
                <w:rStyle w:val="IndexLink"/>
                <w:rtl w:val="true"/>
              </w:rPr>
              <w:t>[</w:t>
            </w:r>
            <w:r>
              <w:rPr>
                <w:rStyle w:val="IndexLink"/>
                <w:rtl w:val="true"/>
              </w:rPr>
              <w:t>ثانیها</w:t>
            </w:r>
            <w:r>
              <w:rPr>
                <w:rStyle w:val="IndexLink"/>
                <w:rtl w:val="true"/>
              </w:rPr>
              <w:t xml:space="preserve">: </w:t>
            </w:r>
            <w:r>
              <w:rPr>
                <w:rStyle w:val="IndexLink"/>
                <w:rtl w:val="true"/>
              </w:rPr>
              <w:t>الأرض</w:t>
            </w:r>
            <w:r>
              <w:rPr>
                <w:rStyle w:val="IndexLink"/>
                <w:rtl w:val="true"/>
              </w:rPr>
              <w:t>]</w:t>
              <w:tab/>
            </w:r>
            <w:r>
              <w:rPr>
                <w:rStyle w:val="IndexLink"/>
              </w:rPr>
              <w:t>202</w:t>
            </w:r>
          </w:hyperlink>
        </w:p>
        <w:p>
          <w:pPr>
            <w:pStyle w:val="Contents4"/>
            <w:tabs>
              <w:tab w:val="clear" w:pos="8176"/>
              <w:tab w:val="right" w:pos="9026" w:leader="dot"/>
            </w:tabs>
            <w:rPr/>
          </w:pPr>
          <w:hyperlink w:anchor="__RefHeading___Toc2566198_3650668749">
            <w:r>
              <w:rPr>
                <w:webHidden/>
                <w:rStyle w:val="IndexLink"/>
                <w:rtl w:val="true"/>
              </w:rPr>
              <w:t>[</w:t>
            </w:r>
            <w:r>
              <w:rPr>
                <w:rStyle w:val="IndexLink"/>
                <w:rtl w:val="true"/>
              </w:rPr>
              <w:t>ثالثها</w:t>
            </w:r>
            <w:r>
              <w:rPr>
                <w:rStyle w:val="IndexLink"/>
                <w:rtl w:val="true"/>
              </w:rPr>
              <w:t xml:space="preserve">: </w:t>
            </w:r>
            <w:r>
              <w:rPr>
                <w:rStyle w:val="IndexLink"/>
                <w:rtl w:val="true"/>
              </w:rPr>
              <w:t>الشمس</w:t>
            </w:r>
            <w:r>
              <w:rPr>
                <w:rStyle w:val="IndexLink"/>
                <w:rtl w:val="true"/>
              </w:rPr>
              <w:t>]</w:t>
              <w:tab/>
            </w:r>
            <w:r>
              <w:rPr>
                <w:rStyle w:val="IndexLink"/>
              </w:rPr>
              <w:t>202</w:t>
            </w:r>
          </w:hyperlink>
        </w:p>
        <w:p>
          <w:pPr>
            <w:pStyle w:val="Contents5"/>
            <w:tabs>
              <w:tab w:val="clear" w:pos="7892"/>
              <w:tab w:val="right" w:pos="9026" w:leader="dot"/>
            </w:tabs>
            <w:rPr/>
          </w:pPr>
          <w:hyperlink w:anchor="__RefHeading___Toc2566200_3650668749">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2566202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إذا کانت الأرض أو نحوها جافّة و أُرید تطهیرها بالشمس</w:t>
            </w:r>
            <w:r>
              <w:rPr>
                <w:rStyle w:val="IndexLink"/>
                <w:rtl w:val="true"/>
              </w:rPr>
              <w:t>]</w:t>
              <w:tab/>
            </w:r>
            <w:r>
              <w:rPr>
                <w:rStyle w:val="IndexLink"/>
              </w:rPr>
              <w:t>202</w:t>
            </w:r>
          </w:hyperlink>
        </w:p>
        <w:p>
          <w:pPr>
            <w:pStyle w:val="Contents5"/>
            <w:tabs>
              <w:tab w:val="clear" w:pos="7892"/>
              <w:tab w:val="right" w:pos="9026" w:leader="dot"/>
            </w:tabs>
            <w:rPr/>
          </w:pPr>
          <w:hyperlink w:anchor="__RefHeading___Toc2566204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الحصیٰ و التراب و الطین و الأحجار ما دامت واقعة علی الأرض</w:t>
            </w:r>
            <w:r>
              <w:rPr>
                <w:rStyle w:val="IndexLink"/>
                <w:rtl w:val="true"/>
              </w:rPr>
              <w:t>]</w:t>
              <w:tab/>
            </w:r>
            <w:r>
              <w:rPr>
                <w:rStyle w:val="IndexLink"/>
              </w:rPr>
              <w:t>203</w:t>
            </w:r>
          </w:hyperlink>
        </w:p>
        <w:p>
          <w:pPr>
            <w:pStyle w:val="Contents4"/>
            <w:tabs>
              <w:tab w:val="clear" w:pos="8176"/>
              <w:tab w:val="right" w:pos="9026" w:leader="dot"/>
            </w:tabs>
            <w:rPr/>
          </w:pPr>
          <w:hyperlink w:anchor="__RefHeading___Toc2566206_3650668749">
            <w:r>
              <w:rPr>
                <w:webHidden/>
                <w:rStyle w:val="IndexLink"/>
                <w:rtl w:val="true"/>
              </w:rPr>
              <w:t>[</w:t>
            </w:r>
            <w:r>
              <w:rPr>
                <w:rStyle w:val="IndexLink"/>
                <w:rtl w:val="true"/>
              </w:rPr>
              <w:t>رابعها</w:t>
            </w:r>
            <w:r>
              <w:rPr>
                <w:rStyle w:val="IndexLink"/>
                <w:rtl w:val="true"/>
              </w:rPr>
              <w:t xml:space="preserve">: </w:t>
            </w:r>
            <w:r>
              <w:rPr>
                <w:rStyle w:val="IndexLink"/>
                <w:rtl w:val="true"/>
              </w:rPr>
              <w:t>الاستحالة إلیٰ جسم آخر</w:t>
            </w:r>
            <w:r>
              <w:rPr>
                <w:rStyle w:val="IndexLink"/>
                <w:rtl w:val="true"/>
              </w:rPr>
              <w:t>]</w:t>
              <w:tab/>
            </w:r>
            <w:r>
              <w:rPr>
                <w:rStyle w:val="IndexLink"/>
              </w:rPr>
              <w:t>203</w:t>
            </w:r>
          </w:hyperlink>
        </w:p>
        <w:p>
          <w:pPr>
            <w:pStyle w:val="Contents4"/>
            <w:tabs>
              <w:tab w:val="clear" w:pos="8176"/>
              <w:tab w:val="right" w:pos="9026" w:leader="dot"/>
            </w:tabs>
            <w:rPr/>
          </w:pPr>
          <w:hyperlink w:anchor="__RefHeading___Toc2566208_3650668749">
            <w:r>
              <w:rPr>
                <w:webHidden/>
                <w:rStyle w:val="IndexLink"/>
                <w:rtl w:val="true"/>
              </w:rPr>
              <w:t>[</w:t>
            </w:r>
            <w:r>
              <w:rPr>
                <w:rStyle w:val="IndexLink"/>
                <w:rtl w:val="true"/>
              </w:rPr>
              <w:t>خامسها</w:t>
            </w:r>
            <w:r>
              <w:rPr>
                <w:rStyle w:val="IndexLink"/>
                <w:rtl w:val="true"/>
              </w:rPr>
              <w:t xml:space="preserve">: </w:t>
            </w:r>
            <w:r>
              <w:rPr>
                <w:rStyle w:val="IndexLink"/>
                <w:rtl w:val="true"/>
              </w:rPr>
              <w:t>ذهاب الثلثین فی العصیر بالنار أو بالشمس إذا غلیٰ بأحدهما</w:t>
            </w:r>
            <w:r>
              <w:rPr>
                <w:rStyle w:val="IndexLink"/>
                <w:rtl w:val="true"/>
              </w:rPr>
              <w:t>]</w:t>
              <w:tab/>
            </w:r>
            <w:r>
              <w:rPr>
                <w:rStyle w:val="IndexLink"/>
              </w:rPr>
              <w:t>203</w:t>
            </w:r>
          </w:hyperlink>
        </w:p>
        <w:p>
          <w:pPr>
            <w:pStyle w:val="Contents4"/>
            <w:tabs>
              <w:tab w:val="clear" w:pos="8176"/>
              <w:tab w:val="right" w:pos="9026" w:leader="dot"/>
            </w:tabs>
            <w:rPr/>
          </w:pPr>
          <w:hyperlink w:anchor="__RefHeading___Toc2566210_3650668749">
            <w:r>
              <w:rPr>
                <w:webHidden/>
                <w:rStyle w:val="IndexLink"/>
                <w:rtl w:val="true"/>
              </w:rPr>
              <w:t>[</w:t>
            </w:r>
            <w:r>
              <w:rPr>
                <w:rStyle w:val="IndexLink"/>
                <w:rtl w:val="true"/>
              </w:rPr>
              <w:t>سادسها</w:t>
            </w:r>
            <w:r>
              <w:rPr>
                <w:rStyle w:val="IndexLink"/>
                <w:rtl w:val="true"/>
              </w:rPr>
              <w:t xml:space="preserve">: </w:t>
            </w:r>
            <w:r>
              <w:rPr>
                <w:rStyle w:val="IndexLink"/>
                <w:rtl w:val="true"/>
              </w:rPr>
              <w:t>الانتقال</w:t>
            </w:r>
            <w:r>
              <w:rPr>
                <w:rStyle w:val="IndexLink"/>
                <w:rtl w:val="true"/>
              </w:rPr>
              <w:t>]</w:t>
              <w:tab/>
            </w:r>
            <w:r>
              <w:rPr>
                <w:rStyle w:val="IndexLink"/>
              </w:rPr>
              <w:t>203</w:t>
            </w:r>
          </w:hyperlink>
        </w:p>
        <w:p>
          <w:pPr>
            <w:pStyle w:val="Contents4"/>
            <w:tabs>
              <w:tab w:val="clear" w:pos="8176"/>
              <w:tab w:val="right" w:pos="9026" w:leader="dot"/>
            </w:tabs>
            <w:rPr/>
          </w:pPr>
          <w:hyperlink w:anchor="__RefHeading___Toc2566212_3650668749">
            <w:r>
              <w:rPr>
                <w:webHidden/>
                <w:rStyle w:val="IndexLink"/>
                <w:rtl w:val="true"/>
              </w:rPr>
              <w:t>[</w:t>
            </w:r>
            <w:r>
              <w:rPr>
                <w:rStyle w:val="IndexLink"/>
                <w:rtl w:val="true"/>
              </w:rPr>
              <w:t>سابعها</w:t>
            </w:r>
            <w:r>
              <w:rPr>
                <w:rStyle w:val="IndexLink"/>
                <w:rtl w:val="true"/>
              </w:rPr>
              <w:t xml:space="preserve">: </w:t>
            </w:r>
            <w:r>
              <w:rPr>
                <w:rStyle w:val="IndexLink"/>
                <w:rtl w:val="true"/>
              </w:rPr>
              <w:t>الإسلام</w:t>
            </w:r>
            <w:r>
              <w:rPr>
                <w:rStyle w:val="IndexLink"/>
                <w:rtl w:val="true"/>
              </w:rPr>
              <w:t>]</w:t>
              <w:tab/>
            </w:r>
            <w:r>
              <w:rPr>
                <w:rStyle w:val="IndexLink"/>
              </w:rPr>
              <w:t>204</w:t>
            </w:r>
          </w:hyperlink>
        </w:p>
        <w:p>
          <w:pPr>
            <w:pStyle w:val="Contents4"/>
            <w:tabs>
              <w:tab w:val="clear" w:pos="8176"/>
              <w:tab w:val="right" w:pos="9026" w:leader="dot"/>
            </w:tabs>
            <w:rPr/>
          </w:pPr>
          <w:hyperlink w:anchor="__RefHeading___Toc2566214_3650668749">
            <w:r>
              <w:rPr>
                <w:webHidden/>
                <w:rStyle w:val="IndexLink"/>
                <w:rtl w:val="true"/>
              </w:rPr>
              <w:t>[</w:t>
            </w:r>
            <w:r>
              <w:rPr>
                <w:rStyle w:val="IndexLink"/>
                <w:rtl w:val="true"/>
              </w:rPr>
              <w:t>ثامنها</w:t>
            </w:r>
            <w:r>
              <w:rPr>
                <w:rStyle w:val="IndexLink"/>
                <w:rtl w:val="true"/>
              </w:rPr>
              <w:t xml:space="preserve">: </w:t>
            </w:r>
            <w:r>
              <w:rPr>
                <w:rStyle w:val="IndexLink"/>
                <w:rtl w:val="true"/>
              </w:rPr>
              <w:t>التبعیّة</w:t>
            </w:r>
            <w:r>
              <w:rPr>
                <w:rStyle w:val="IndexLink"/>
                <w:rtl w:val="true"/>
              </w:rPr>
              <w:t>]</w:t>
              <w:tab/>
            </w:r>
            <w:r>
              <w:rPr>
                <w:rStyle w:val="IndexLink"/>
              </w:rPr>
              <w:t>204</w:t>
            </w:r>
          </w:hyperlink>
        </w:p>
        <w:p>
          <w:pPr>
            <w:pStyle w:val="Contents4"/>
            <w:tabs>
              <w:tab w:val="clear" w:pos="8176"/>
              <w:tab w:val="right" w:pos="9026" w:leader="dot"/>
            </w:tabs>
            <w:rPr/>
          </w:pPr>
          <w:hyperlink w:anchor="__RefHeading___Toc2566216_3650668749">
            <w:r>
              <w:rPr>
                <w:webHidden/>
                <w:rStyle w:val="IndexLink"/>
                <w:rtl w:val="true"/>
              </w:rPr>
              <w:t>[</w:t>
            </w:r>
            <w:r>
              <w:rPr>
                <w:rStyle w:val="IndexLink"/>
                <w:rtl w:val="true"/>
              </w:rPr>
              <w:t>تاسعها</w:t>
            </w:r>
            <w:r>
              <w:rPr>
                <w:rStyle w:val="IndexLink"/>
                <w:rtl w:val="true"/>
              </w:rPr>
              <w:t xml:space="preserve">: </w:t>
            </w:r>
            <w:r>
              <w:rPr>
                <w:rStyle w:val="IndexLink"/>
                <w:rtl w:val="true"/>
              </w:rPr>
              <w:t>زوال عین النجاسة</w:t>
            </w:r>
            <w:r>
              <w:rPr>
                <w:rStyle w:val="IndexLink"/>
                <w:rtl w:val="true"/>
              </w:rPr>
              <w:t>]</w:t>
              <w:tab/>
            </w:r>
            <w:r>
              <w:rPr>
                <w:rStyle w:val="IndexLink"/>
              </w:rPr>
              <w:t>204</w:t>
            </w:r>
          </w:hyperlink>
        </w:p>
        <w:p>
          <w:pPr>
            <w:pStyle w:val="Contents4"/>
            <w:tabs>
              <w:tab w:val="clear" w:pos="8176"/>
              <w:tab w:val="right" w:pos="9026" w:leader="dot"/>
            </w:tabs>
            <w:rPr/>
          </w:pPr>
          <w:hyperlink w:anchor="__RefHeading___Toc2566218_3650668749">
            <w:r>
              <w:rPr>
                <w:webHidden/>
                <w:rStyle w:val="IndexLink"/>
                <w:rtl w:val="true"/>
              </w:rPr>
              <w:t>[</w:t>
            </w:r>
            <w:r>
              <w:rPr>
                <w:rStyle w:val="IndexLink"/>
                <w:rtl w:val="true"/>
              </w:rPr>
              <w:t>عاشرها</w:t>
            </w:r>
            <w:r>
              <w:rPr>
                <w:rStyle w:val="IndexLink"/>
                <w:rtl w:val="true"/>
              </w:rPr>
              <w:t xml:space="preserve">: </w:t>
            </w:r>
            <w:r>
              <w:rPr>
                <w:rStyle w:val="IndexLink"/>
                <w:rtl w:val="true"/>
              </w:rPr>
              <w:t>الغیبة</w:t>
            </w:r>
            <w:r>
              <w:rPr>
                <w:rStyle w:val="IndexLink"/>
                <w:rtl w:val="true"/>
              </w:rPr>
              <w:t>]</w:t>
              <w:tab/>
            </w:r>
            <w:r>
              <w:rPr>
                <w:rStyle w:val="IndexLink"/>
              </w:rPr>
              <w:t>204</w:t>
            </w:r>
          </w:hyperlink>
        </w:p>
        <w:p>
          <w:pPr>
            <w:pStyle w:val="Contents4"/>
            <w:tabs>
              <w:tab w:val="clear" w:pos="8176"/>
              <w:tab w:val="right" w:pos="9026" w:leader="dot"/>
            </w:tabs>
            <w:rPr/>
          </w:pPr>
          <w:hyperlink w:anchor="__RefHeading___Toc2566220_3650668749">
            <w:r>
              <w:rPr>
                <w:webHidden/>
                <w:rStyle w:val="IndexLink"/>
                <w:rtl w:val="true"/>
              </w:rPr>
              <w:t>[</w:t>
            </w:r>
            <w:r>
              <w:rPr>
                <w:rStyle w:val="IndexLink"/>
                <w:rtl w:val="true"/>
              </w:rPr>
              <w:t>حادی عشرها</w:t>
            </w:r>
            <w:r>
              <w:rPr>
                <w:rStyle w:val="IndexLink"/>
                <w:rtl w:val="true"/>
              </w:rPr>
              <w:t xml:space="preserve">: </w:t>
            </w:r>
            <w:r>
              <w:rPr>
                <w:rStyle w:val="IndexLink"/>
                <w:rtl w:val="true"/>
              </w:rPr>
              <w:t>استبراء الجلّال من الحیوان المحلّل</w:t>
            </w:r>
            <w:r>
              <w:rPr>
                <w:rStyle w:val="IndexLink"/>
                <w:rtl w:val="true"/>
              </w:rPr>
              <w:t>]</w:t>
              <w:tab/>
            </w:r>
            <w:r>
              <w:rPr>
                <w:rStyle w:val="IndexLink"/>
              </w:rPr>
              <w:t>204</w:t>
            </w:r>
          </w:hyperlink>
        </w:p>
        <w:p>
          <w:pPr>
            <w:pStyle w:val="Contents3"/>
            <w:tabs>
              <w:tab w:val="clear" w:pos="8459"/>
              <w:tab w:val="right" w:pos="9026" w:leader="dot"/>
            </w:tabs>
            <w:rPr/>
          </w:pPr>
          <w:hyperlink w:anchor="__RefHeading___Toc2566222_3650668749">
            <w:r>
              <w:rPr>
                <w:webHidden/>
                <w:rStyle w:val="IndexLink"/>
                <w:rtl w:val="true"/>
              </w:rPr>
              <w:t>[</w:t>
            </w:r>
            <w:r>
              <w:rPr>
                <w:rStyle w:val="IndexLink"/>
                <w:rtl w:val="true"/>
              </w:rPr>
              <w:t>القول فی الأوانی</w:t>
            </w:r>
            <w:r>
              <w:rPr>
                <w:rStyle w:val="IndexLink"/>
                <w:rtl w:val="true"/>
              </w:rPr>
              <w:t>]</w:t>
              <w:tab/>
            </w:r>
            <w:r>
              <w:rPr>
                <w:rStyle w:val="IndexLink"/>
              </w:rPr>
              <w:t>205</w:t>
            </w:r>
          </w:hyperlink>
        </w:p>
        <w:p>
          <w:pPr>
            <w:pStyle w:val="Contents4"/>
            <w:tabs>
              <w:tab w:val="clear" w:pos="8176"/>
              <w:tab w:val="right" w:pos="9026" w:leader="dot"/>
            </w:tabs>
            <w:rPr/>
          </w:pPr>
          <w:hyperlink w:anchor="__RefHeading___Toc2566224_3650668749">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256622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أوانی الکفّار کأوانی غیرهم محکومة بالطهارة</w:t>
            </w:r>
            <w:r>
              <w:rPr>
                <w:rStyle w:val="IndexLink"/>
                <w:rtl w:val="true"/>
              </w:rPr>
              <w:t>]</w:t>
              <w:tab/>
            </w:r>
            <w:r>
              <w:rPr>
                <w:rStyle w:val="IndexLink"/>
              </w:rPr>
              <w:t>205</w:t>
            </w:r>
          </w:hyperlink>
        </w:p>
        <w:p>
          <w:pPr>
            <w:pStyle w:val="Contents4"/>
            <w:tabs>
              <w:tab w:val="clear" w:pos="8176"/>
              <w:tab w:val="right" w:pos="9026" w:leader="dot"/>
            </w:tabs>
            <w:rPr/>
          </w:pPr>
          <w:hyperlink w:anchor="__RefHeading___Toc256622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یحرم استعمال أوانی الذهب و الفضّة فی الأکل و الشرب و الطهارة</w:t>
            </w:r>
            <w:r>
              <w:rPr>
                <w:rStyle w:val="IndexLink"/>
                <w:rtl w:val="true"/>
              </w:rPr>
              <w:t>]</w:t>
              <w:tab/>
            </w:r>
            <w:r>
              <w:rPr>
                <w:rStyle w:val="IndexLink"/>
              </w:rPr>
              <w:t>205</w:t>
            </w:r>
          </w:hyperlink>
        </w:p>
        <w:p>
          <w:pPr>
            <w:pStyle w:val="Contents4"/>
            <w:tabs>
              <w:tab w:val="clear" w:pos="8176"/>
              <w:tab w:val="right" w:pos="9026" w:leader="dot"/>
            </w:tabs>
            <w:rPr/>
          </w:pPr>
          <w:hyperlink w:anchor="__RefHeading___Toc256623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الظاهر أنّ المراد من الأوانی ما یستعمل فی الأکل و الشرب و الطبخ و الغسل أو العجن</w:t>
            </w:r>
            <w:r>
              <w:rPr>
                <w:rStyle w:val="IndexLink"/>
                <w:rtl w:val="true"/>
              </w:rPr>
              <w:t>]</w:t>
              <w:tab/>
            </w:r>
            <w:r>
              <w:rPr>
                <w:rStyle w:val="IndexLink"/>
              </w:rPr>
              <w:t>206</w:t>
            </w:r>
          </w:hyperlink>
        </w:p>
        <w:p>
          <w:pPr>
            <w:pStyle w:val="Contents4"/>
            <w:tabs>
              <w:tab w:val="clear" w:pos="8176"/>
              <w:tab w:val="right" w:pos="9026" w:leader="dot"/>
            </w:tabs>
            <w:rPr/>
          </w:pPr>
          <w:hyperlink w:anchor="__RefHeading___Toc256623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کما یحرم الأکل و الشرب من آنیة الذهب و الفضّة بوضعها علیٰ فمه</w:t>
            </w:r>
            <w:r>
              <w:rPr>
                <w:rStyle w:val="IndexLink"/>
                <w:rtl w:val="true"/>
              </w:rPr>
              <w:t>]</w:t>
              <w:tab/>
            </w:r>
            <w:r>
              <w:rPr>
                <w:rStyle w:val="IndexLink"/>
              </w:rPr>
              <w:t>206</w:t>
            </w:r>
          </w:hyperlink>
        </w:p>
        <w:p>
          <w:pPr>
            <w:pStyle w:val="Contents4"/>
            <w:tabs>
              <w:tab w:val="clear" w:pos="8176"/>
              <w:tab w:val="right" w:pos="9026" w:leader="dot"/>
            </w:tabs>
            <w:rPr/>
          </w:pPr>
          <w:hyperlink w:anchor="__RefHeading___Toc256623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الظاهر أنّ الوضوء من آنیة الذهب و الفضّة کالوضوء من الآنیة المغصوبة یبطل</w:t>
            </w:r>
            <w:r>
              <w:rPr>
                <w:rStyle w:val="IndexLink"/>
                <w:rtl w:val="true"/>
              </w:rPr>
              <w:t>]</w:t>
              <w:tab/>
            </w:r>
            <w:r>
              <w:rPr>
                <w:rStyle w:val="IndexLink"/>
              </w:rPr>
              <w:t>206</w:t>
            </w:r>
          </w:hyperlink>
        </w:p>
        <w:p>
          <w:pPr>
            <w:pStyle w:val="Contents2"/>
            <w:tabs>
              <w:tab w:val="clear" w:pos="8743"/>
              <w:tab w:val="right" w:pos="9026" w:leader="dot"/>
            </w:tabs>
            <w:rPr/>
          </w:pPr>
          <w:hyperlink w:anchor="__RefHeading___Toc2566236_3650668749">
            <w:r>
              <w:rPr>
                <w:webHidden/>
                <w:rStyle w:val="IndexLink"/>
                <w:rtl w:val="true"/>
              </w:rPr>
              <w:t>[</w:t>
            </w:r>
            <w:r>
              <w:rPr>
                <w:rStyle w:val="IndexLink"/>
                <w:rtl w:val="true"/>
              </w:rPr>
              <w:t>کتاب الصلاة</w:t>
            </w:r>
            <w:r>
              <w:rPr>
                <w:rStyle w:val="IndexLink"/>
                <w:rtl w:val="true"/>
              </w:rPr>
              <w:t>]</w:t>
              <w:tab/>
            </w:r>
            <w:r>
              <w:rPr>
                <w:rStyle w:val="IndexLink"/>
              </w:rPr>
              <w:t>207</w:t>
            </w:r>
          </w:hyperlink>
        </w:p>
        <w:p>
          <w:pPr>
            <w:pStyle w:val="Contents3"/>
            <w:tabs>
              <w:tab w:val="clear" w:pos="8459"/>
              <w:tab w:val="right" w:pos="9026" w:leader="dot"/>
            </w:tabs>
            <w:rPr/>
          </w:pPr>
          <w:hyperlink w:anchor="__RefHeading___Toc2566238_3650668749">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2566240_3650668749">
            <w:r>
              <w:rPr>
                <w:webHidden/>
                <w:rStyle w:val="IndexLink"/>
                <w:rtl w:val="true"/>
              </w:rPr>
              <w:t>[</w:t>
            </w:r>
            <w:r>
              <w:rPr>
                <w:rStyle w:val="IndexLink"/>
                <w:rtl w:val="true"/>
              </w:rPr>
              <w:t>فصل فی مقدّمات الصلاة</w:t>
            </w:r>
            <w:r>
              <w:rPr>
                <w:rStyle w:val="IndexLink"/>
                <w:rtl w:val="true"/>
              </w:rPr>
              <w:t>]</w:t>
              <w:tab/>
            </w:r>
            <w:r>
              <w:rPr>
                <w:rStyle w:val="IndexLink"/>
              </w:rPr>
              <w:t>207</w:t>
            </w:r>
          </w:hyperlink>
        </w:p>
        <w:p>
          <w:pPr>
            <w:pStyle w:val="Contents4"/>
            <w:tabs>
              <w:tab w:val="clear" w:pos="8176"/>
              <w:tab w:val="right" w:pos="9026" w:leader="dot"/>
            </w:tabs>
            <w:rPr/>
          </w:pPr>
          <w:hyperlink w:anchor="__RefHeading___Toc2566242_3650668749">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2566244_3650668749">
            <w:r>
              <w:rPr>
                <w:webHidden/>
                <w:rStyle w:val="IndexLink"/>
                <w:rtl w:val="true"/>
              </w:rPr>
              <w:t>[</w:t>
            </w:r>
            <w:r>
              <w:rPr>
                <w:rStyle w:val="IndexLink"/>
                <w:rtl w:val="true"/>
              </w:rPr>
              <w:t>المقدّمة الاولیٰ</w:t>
            </w:r>
            <w:r>
              <w:rPr>
                <w:rStyle w:val="IndexLink"/>
                <w:rtl w:val="true"/>
              </w:rPr>
              <w:t xml:space="preserve">: </w:t>
            </w:r>
            <w:r>
              <w:rPr>
                <w:rStyle w:val="IndexLink"/>
                <w:rtl w:val="true"/>
              </w:rPr>
              <w:t>فی أعداد الفرائض و مواقیت الیومیّة و نوافلها</w:t>
            </w:r>
            <w:r>
              <w:rPr>
                <w:rStyle w:val="IndexLink"/>
                <w:rtl w:val="true"/>
              </w:rPr>
              <w:t>]</w:t>
              <w:tab/>
            </w:r>
            <w:r>
              <w:rPr>
                <w:rStyle w:val="IndexLink"/>
              </w:rPr>
              <w:t>207</w:t>
            </w:r>
          </w:hyperlink>
        </w:p>
        <w:p>
          <w:pPr>
            <w:pStyle w:val="Contents5"/>
            <w:tabs>
              <w:tab w:val="clear" w:pos="7892"/>
              <w:tab w:val="right" w:pos="9026" w:leader="dot"/>
            </w:tabs>
            <w:rPr/>
          </w:pPr>
          <w:hyperlink w:anchor="__RefHeading___Toc2566246_3650668749">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256624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الصلاة واجبة و مندوبة</w:t>
            </w:r>
            <w:r>
              <w:rPr>
                <w:rStyle w:val="IndexLink"/>
                <w:rtl w:val="true"/>
              </w:rPr>
              <w:t>]</w:t>
              <w:tab/>
            </w:r>
            <w:r>
              <w:rPr>
                <w:rStyle w:val="IndexLink"/>
              </w:rPr>
              <w:t>207</w:t>
            </w:r>
          </w:hyperlink>
        </w:p>
        <w:p>
          <w:pPr>
            <w:pStyle w:val="Contents5"/>
            <w:tabs>
              <w:tab w:val="clear" w:pos="7892"/>
              <w:tab w:val="right" w:pos="9026" w:leader="dot"/>
            </w:tabs>
            <w:rPr/>
          </w:pPr>
          <w:hyperlink w:anchor="__RefHeading___Toc256625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الأقویٰ ثبوت صلاة الغفیلة و لیست من الرواتب</w:t>
            </w:r>
            <w:r>
              <w:rPr>
                <w:rStyle w:val="IndexLink"/>
                <w:rtl w:val="true"/>
              </w:rPr>
              <w:t>]</w:t>
              <w:tab/>
            </w:r>
            <w:r>
              <w:rPr>
                <w:rStyle w:val="IndexLink"/>
              </w:rPr>
              <w:t>208</w:t>
            </w:r>
          </w:hyperlink>
        </w:p>
        <w:p>
          <w:pPr>
            <w:pStyle w:val="Contents5"/>
            <w:tabs>
              <w:tab w:val="clear" w:pos="7892"/>
              <w:tab w:val="right" w:pos="9026" w:leader="dot"/>
            </w:tabs>
            <w:rPr/>
          </w:pPr>
          <w:hyperlink w:anchor="__RefHeading___Toc256625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یجوز إتیان النوافل الرواتب و غیرها جالساً حتّی فی حال الاختیار</w:t>
            </w:r>
            <w:r>
              <w:rPr>
                <w:rStyle w:val="IndexLink"/>
                <w:rtl w:val="true"/>
              </w:rPr>
              <w:t>]</w:t>
              <w:tab/>
            </w:r>
            <w:r>
              <w:rPr>
                <w:rStyle w:val="IndexLink"/>
              </w:rPr>
              <w:t>208</w:t>
            </w:r>
          </w:hyperlink>
        </w:p>
        <w:p>
          <w:pPr>
            <w:pStyle w:val="Contents5"/>
            <w:tabs>
              <w:tab w:val="clear" w:pos="7892"/>
              <w:tab w:val="right" w:pos="9026" w:leader="dot"/>
            </w:tabs>
            <w:rPr/>
          </w:pPr>
          <w:hyperlink w:anchor="__RefHeading___Toc256625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وقت نافلة الظهر من الزوال إلی الذراع</w:t>
            </w:r>
            <w:r>
              <w:rPr>
                <w:rStyle w:val="IndexLink"/>
                <w:rtl w:val="true"/>
              </w:rPr>
              <w:t>]</w:t>
              <w:tab/>
            </w:r>
            <w:r>
              <w:rPr>
                <w:rStyle w:val="IndexLink"/>
              </w:rPr>
              <w:t>208</w:t>
            </w:r>
          </w:hyperlink>
        </w:p>
        <w:p>
          <w:pPr>
            <w:pStyle w:val="Contents5"/>
            <w:tabs>
              <w:tab w:val="clear" w:pos="7892"/>
              <w:tab w:val="right" w:pos="9026" w:leader="dot"/>
            </w:tabs>
            <w:rPr/>
          </w:pPr>
          <w:hyperlink w:anchor="__RefHeading___Toc256625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إشکال فی جواز تقدیم نافلتی الظهر و العصر علی الزوال فی یوم الجمعة</w:t>
            </w:r>
            <w:r>
              <w:rPr>
                <w:rStyle w:val="IndexLink"/>
                <w:rtl w:val="true"/>
              </w:rPr>
              <w:t>]</w:t>
              <w:tab/>
            </w:r>
            <w:r>
              <w:rPr>
                <w:rStyle w:val="IndexLink"/>
              </w:rPr>
              <w:t>208</w:t>
            </w:r>
          </w:hyperlink>
        </w:p>
        <w:p>
          <w:pPr>
            <w:pStyle w:val="Contents5"/>
            <w:tabs>
              <w:tab w:val="clear" w:pos="7892"/>
              <w:tab w:val="right" w:pos="9026" w:leader="dot"/>
            </w:tabs>
            <w:rPr/>
          </w:pPr>
          <w:hyperlink w:anchor="__RefHeading___Toc256625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وقت الظهرین من الزوال إلی المغرب</w:t>
            </w:r>
            <w:r>
              <w:rPr>
                <w:rStyle w:val="IndexLink"/>
                <w:rtl w:val="true"/>
              </w:rPr>
              <w:t>]</w:t>
              <w:tab/>
            </w:r>
            <w:r>
              <w:rPr>
                <w:rStyle w:val="IndexLink"/>
              </w:rPr>
              <w:t>209</w:t>
            </w:r>
          </w:hyperlink>
        </w:p>
        <w:p>
          <w:pPr>
            <w:pStyle w:val="Contents5"/>
            <w:tabs>
              <w:tab w:val="clear" w:pos="7892"/>
              <w:tab w:val="right" w:pos="9026" w:leader="dot"/>
            </w:tabs>
            <w:rPr/>
          </w:pPr>
          <w:hyperlink w:anchor="__RefHeading___Toc2566260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المراد باختصاص الوقت</w:t>
            </w:r>
            <w:r>
              <w:rPr>
                <w:rStyle w:val="IndexLink"/>
                <w:rtl w:val="true"/>
              </w:rPr>
              <w:t xml:space="preserve">: </w:t>
            </w:r>
            <w:r>
              <w:rPr>
                <w:rStyle w:val="IndexLink"/>
                <w:rtl w:val="true"/>
              </w:rPr>
              <w:t>عدم صحّة الشریکة فیه مع عدم أداء صاحبتها بوجه صحیح</w:t>
            </w:r>
            <w:r>
              <w:rPr>
                <w:rStyle w:val="IndexLink"/>
                <w:rtl w:val="true"/>
              </w:rPr>
              <w:t>]</w:t>
              <w:tab/>
            </w:r>
            <w:r>
              <w:rPr>
                <w:rStyle w:val="IndexLink"/>
              </w:rPr>
              <w:t>209</w:t>
            </w:r>
          </w:hyperlink>
        </w:p>
        <w:p>
          <w:pPr>
            <w:pStyle w:val="Contents5"/>
            <w:tabs>
              <w:tab w:val="clear" w:pos="7892"/>
              <w:tab w:val="right" w:pos="9026" w:leader="dot"/>
            </w:tabs>
            <w:rPr/>
          </w:pPr>
          <w:hyperlink w:anchor="__RefHeading___Toc2566262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لو قدّم العصر علی الظهر أو العشاء علی المغرب عمداً بطل ما قدّمه</w:t>
            </w:r>
            <w:r>
              <w:rPr>
                <w:rStyle w:val="IndexLink"/>
                <w:rtl w:val="true"/>
              </w:rPr>
              <w:t>]</w:t>
              <w:tab/>
            </w:r>
            <w:r>
              <w:rPr>
                <w:rStyle w:val="IndexLink"/>
              </w:rPr>
              <w:t>210</w:t>
            </w:r>
          </w:hyperlink>
        </w:p>
        <w:p>
          <w:pPr>
            <w:pStyle w:val="Contents5"/>
            <w:tabs>
              <w:tab w:val="clear" w:pos="7892"/>
              <w:tab w:val="right" w:pos="9026" w:leader="dot"/>
            </w:tabs>
            <w:rPr/>
          </w:pPr>
          <w:hyperlink w:anchor="__RefHeading___Toc2566264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إذا بقی للحاضر مقدار خمس رکعات إلی الغروب و للمسافر ثلاث أو أکثر قدّم الظهر</w:t>
            </w:r>
            <w:r>
              <w:rPr>
                <w:rStyle w:val="IndexLink"/>
                <w:rtl w:val="true"/>
              </w:rPr>
              <w:t>]</w:t>
              <w:tab/>
            </w:r>
            <w:r>
              <w:rPr>
                <w:rStyle w:val="IndexLink"/>
              </w:rPr>
              <w:t>210</w:t>
            </w:r>
          </w:hyperlink>
        </w:p>
        <w:p>
          <w:pPr>
            <w:pStyle w:val="Contents5"/>
            <w:tabs>
              <w:tab w:val="clear" w:pos="7892"/>
              <w:tab w:val="right" w:pos="9026" w:leader="dot"/>
            </w:tabs>
            <w:rPr/>
          </w:pPr>
          <w:hyperlink w:anchor="__RefHeading___Toc2566266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یجوز العدول من اللاحقة إلی السابقة</w:t>
            </w:r>
            <w:r>
              <w:rPr>
                <w:rStyle w:val="IndexLink"/>
                <w:rtl w:val="true"/>
              </w:rPr>
              <w:t>]</w:t>
              <w:tab/>
            </w:r>
            <w:r>
              <w:rPr>
                <w:rStyle w:val="IndexLink"/>
              </w:rPr>
              <w:t>210</w:t>
            </w:r>
          </w:hyperlink>
        </w:p>
        <w:p>
          <w:pPr>
            <w:pStyle w:val="Contents5"/>
            <w:tabs>
              <w:tab w:val="clear" w:pos="7892"/>
              <w:tab w:val="right" w:pos="9026" w:leader="dot"/>
            </w:tabs>
            <w:rPr/>
          </w:pPr>
          <w:hyperlink w:anchor="__RefHeading___Toc2566268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إذا کان مسافراً و بقی من الوقت مقدار أربع رکعات فنوی الظهر مثلًا</w:t>
            </w:r>
            <w:r>
              <w:rPr>
                <w:rStyle w:val="IndexLink"/>
                <w:rtl w:val="true"/>
              </w:rPr>
              <w:t>]</w:t>
              <w:tab/>
            </w:r>
            <w:r>
              <w:rPr>
                <w:rStyle w:val="IndexLink"/>
              </w:rPr>
              <w:t>210</w:t>
            </w:r>
          </w:hyperlink>
        </w:p>
        <w:p>
          <w:pPr>
            <w:pStyle w:val="Contents5"/>
            <w:tabs>
              <w:tab w:val="clear" w:pos="7892"/>
              <w:tab w:val="right" w:pos="9026" w:leader="dot"/>
            </w:tabs>
            <w:rPr/>
          </w:pPr>
          <w:hyperlink w:anchor="__RefHeading___Toc2566270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یجب تأخیر الصلاة عن أوّل وقتها لذوی الأعذار مع رجاء زوالها فی آخر الوقت</w:t>
            </w:r>
            <w:r>
              <w:rPr>
                <w:rStyle w:val="IndexLink"/>
                <w:rtl w:val="true"/>
              </w:rPr>
              <w:t>]</w:t>
              <w:tab/>
            </w:r>
            <w:r>
              <w:rPr>
                <w:rStyle w:val="IndexLink"/>
              </w:rPr>
              <w:t>211</w:t>
            </w:r>
          </w:hyperlink>
        </w:p>
        <w:p>
          <w:pPr>
            <w:pStyle w:val="Contents5"/>
            <w:tabs>
              <w:tab w:val="clear" w:pos="7892"/>
              <w:tab w:val="right" w:pos="9026" w:leader="dot"/>
            </w:tabs>
            <w:rPr/>
          </w:pPr>
          <w:hyperlink w:anchor="__RefHeading___Toc2566272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الأقویٰ جواز التطوّع فی وقت الفریضة ما لم تتضیّق</w:t>
            </w:r>
            <w:r>
              <w:rPr>
                <w:rStyle w:val="IndexLink"/>
                <w:rtl w:val="true"/>
              </w:rPr>
              <w:t>]</w:t>
              <w:tab/>
            </w:r>
            <w:r>
              <w:rPr>
                <w:rStyle w:val="IndexLink"/>
              </w:rPr>
              <w:t>211</w:t>
            </w:r>
          </w:hyperlink>
        </w:p>
        <w:p>
          <w:pPr>
            <w:pStyle w:val="Contents5"/>
            <w:tabs>
              <w:tab w:val="clear" w:pos="7892"/>
              <w:tab w:val="right" w:pos="9026" w:leader="dot"/>
            </w:tabs>
            <w:rPr/>
          </w:pPr>
          <w:hyperlink w:anchor="__RefHeading___Toc2566274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إذا تیقّن بدخول الوقت فصلّی أو عوّل علی الظنّ المعتبر کشهادة العدلین</w:t>
            </w:r>
            <w:r>
              <w:rPr>
                <w:rStyle w:val="IndexLink"/>
                <w:rtl w:val="true"/>
              </w:rPr>
              <w:t>]</w:t>
              <w:tab/>
            </w:r>
            <w:r>
              <w:rPr>
                <w:rStyle w:val="IndexLink"/>
              </w:rPr>
              <w:t>211</w:t>
            </w:r>
          </w:hyperlink>
        </w:p>
        <w:p>
          <w:pPr>
            <w:pStyle w:val="Contents5"/>
            <w:tabs>
              <w:tab w:val="clear" w:pos="7892"/>
              <w:tab w:val="right" w:pos="9026" w:leader="dot"/>
            </w:tabs>
            <w:rPr/>
          </w:pPr>
          <w:hyperlink w:anchor="__RefHeading___Toc2566276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إذا مضی من أوّل الوقت مقدار أداء الصلاة بحسب حاله ثمّ حصل أحد الأعذار کالجنون و الحیض</w:t>
            </w:r>
            <w:r>
              <w:rPr>
                <w:rStyle w:val="IndexLink"/>
                <w:rtl w:val="true"/>
              </w:rPr>
              <w:t>]</w:t>
              <w:tab/>
            </w:r>
            <w:r>
              <w:rPr>
                <w:rStyle w:val="IndexLink"/>
              </w:rPr>
              <w:t>211</w:t>
            </w:r>
          </w:hyperlink>
        </w:p>
        <w:p>
          <w:pPr>
            <w:pStyle w:val="Contents5"/>
            <w:tabs>
              <w:tab w:val="clear" w:pos="7892"/>
              <w:tab w:val="right" w:pos="9026" w:leader="dot"/>
            </w:tabs>
            <w:rPr/>
          </w:pPr>
          <w:hyperlink w:anchor="__RefHeading___Toc2566278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یعتبر لغیر ذی العذر العلم بدخول الوقت حین الشروع فی الصلاة</w:t>
            </w:r>
            <w:r>
              <w:rPr>
                <w:rStyle w:val="IndexLink"/>
                <w:rtl w:val="true"/>
              </w:rPr>
              <w:t>]</w:t>
              <w:tab/>
            </w:r>
            <w:r>
              <w:rPr>
                <w:rStyle w:val="IndexLink"/>
              </w:rPr>
              <w:t>211</w:t>
            </w:r>
          </w:hyperlink>
        </w:p>
        <w:p>
          <w:pPr>
            <w:pStyle w:val="Contents4"/>
            <w:tabs>
              <w:tab w:val="clear" w:pos="8176"/>
              <w:tab w:val="right" w:pos="9026" w:leader="dot"/>
            </w:tabs>
            <w:rPr/>
          </w:pPr>
          <w:hyperlink w:anchor="__RefHeading___Toc2566280_3650668749">
            <w:r>
              <w:rPr>
                <w:webHidden/>
                <w:rStyle w:val="IndexLink"/>
                <w:rtl w:val="true"/>
              </w:rPr>
              <w:t>[</w:t>
            </w:r>
            <w:r>
              <w:rPr>
                <w:rStyle w:val="IndexLink"/>
                <w:rtl w:val="true"/>
              </w:rPr>
              <w:t>المقدّمة الثانیة</w:t>
            </w:r>
            <w:r>
              <w:rPr>
                <w:rStyle w:val="IndexLink"/>
                <w:rtl w:val="true"/>
              </w:rPr>
              <w:t xml:space="preserve">: </w:t>
            </w:r>
            <w:r>
              <w:rPr>
                <w:rStyle w:val="IndexLink"/>
                <w:rtl w:val="true"/>
              </w:rPr>
              <w:t>فی القبلة</w:t>
            </w:r>
            <w:r>
              <w:rPr>
                <w:rStyle w:val="IndexLink"/>
                <w:rtl w:val="true"/>
              </w:rPr>
              <w:t>]</w:t>
              <w:tab/>
            </w:r>
            <w:r>
              <w:rPr>
                <w:rStyle w:val="IndexLink"/>
              </w:rPr>
              <w:t>212</w:t>
            </w:r>
          </w:hyperlink>
        </w:p>
        <w:p>
          <w:pPr>
            <w:pStyle w:val="Contents5"/>
            <w:tabs>
              <w:tab w:val="clear" w:pos="7892"/>
              <w:tab w:val="right" w:pos="9026" w:leader="dot"/>
            </w:tabs>
            <w:rPr/>
          </w:pPr>
          <w:hyperlink w:anchor="__RefHeading___Toc2566282_3650668749">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256628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یجب الاستقبال مع الإمکان فی الفرائض الیومیّة و غیرها من الفرائض حتّی صلاة الجنائز</w:t>
            </w:r>
            <w:r>
              <w:rPr>
                <w:rStyle w:val="IndexLink"/>
                <w:rtl w:val="true"/>
              </w:rPr>
              <w:t>]</w:t>
              <w:tab/>
            </w:r>
            <w:r>
              <w:rPr>
                <w:rStyle w:val="IndexLink"/>
              </w:rPr>
              <w:t>212</w:t>
            </w:r>
          </w:hyperlink>
        </w:p>
        <w:p>
          <w:pPr>
            <w:pStyle w:val="Contents5"/>
            <w:tabs>
              <w:tab w:val="clear" w:pos="7892"/>
              <w:tab w:val="right" w:pos="9026" w:leader="dot"/>
            </w:tabs>
            <w:rPr/>
          </w:pPr>
          <w:hyperlink w:anchor="__RefHeading___Toc256628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یعتبر العلم بالتوجّه إلی القبلة حال الصلاة</w:t>
            </w:r>
            <w:r>
              <w:rPr>
                <w:rStyle w:val="IndexLink"/>
                <w:rtl w:val="true"/>
              </w:rPr>
              <w:t>]</w:t>
              <w:tab/>
            </w:r>
            <w:r>
              <w:rPr>
                <w:rStyle w:val="IndexLink"/>
              </w:rPr>
              <w:t>212</w:t>
            </w:r>
          </w:hyperlink>
        </w:p>
        <w:p>
          <w:pPr>
            <w:pStyle w:val="Contents5"/>
            <w:tabs>
              <w:tab w:val="clear" w:pos="7892"/>
              <w:tab w:val="right" w:pos="9026" w:leader="dot"/>
            </w:tabs>
            <w:rPr/>
          </w:pPr>
          <w:hyperlink w:anchor="__RefHeading___Toc256628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المتحیّر الذی یجب علیه الصلاة إلیٰ أزید من جهة واحدة لو کان علیه صلاتان</w:t>
            </w:r>
            <w:r>
              <w:rPr>
                <w:rStyle w:val="IndexLink"/>
                <w:rtl w:val="true"/>
              </w:rPr>
              <w:t>]</w:t>
              <w:tab/>
            </w:r>
            <w:r>
              <w:rPr>
                <w:rStyle w:val="IndexLink"/>
              </w:rPr>
              <w:t>212</w:t>
            </w:r>
          </w:hyperlink>
        </w:p>
        <w:p>
          <w:pPr>
            <w:pStyle w:val="Contents5"/>
            <w:tabs>
              <w:tab w:val="clear" w:pos="7892"/>
              <w:tab w:val="right" w:pos="9026" w:leader="dot"/>
            </w:tabs>
            <w:rPr/>
          </w:pPr>
          <w:hyperlink w:anchor="__RefHeading___Toc256629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من صلّیٰ إلیٰ جهة؛ قطع أو ظنّ بها فی مقام الاکتفاء بالظنّ</w:t>
            </w:r>
            <w:r>
              <w:rPr>
                <w:rStyle w:val="IndexLink"/>
                <w:rtl w:val="true"/>
              </w:rPr>
              <w:t>]</w:t>
              <w:tab/>
            </w:r>
            <w:r>
              <w:rPr>
                <w:rStyle w:val="IndexLink"/>
              </w:rPr>
              <w:t>212</w:t>
            </w:r>
          </w:hyperlink>
        </w:p>
        <w:p>
          <w:pPr>
            <w:pStyle w:val="Contents4"/>
            <w:tabs>
              <w:tab w:val="clear" w:pos="8176"/>
              <w:tab w:val="right" w:pos="9026" w:leader="dot"/>
            </w:tabs>
            <w:rPr/>
          </w:pPr>
          <w:hyperlink w:anchor="__RefHeading___Toc2566292_3650668749">
            <w:r>
              <w:rPr>
                <w:webHidden/>
                <w:rStyle w:val="IndexLink"/>
                <w:rtl w:val="true"/>
              </w:rPr>
              <w:t>[</w:t>
            </w:r>
            <w:r>
              <w:rPr>
                <w:rStyle w:val="IndexLink"/>
                <w:rtl w:val="true"/>
              </w:rPr>
              <w:t>المقدّمة الثالثة</w:t>
            </w:r>
            <w:r>
              <w:rPr>
                <w:rStyle w:val="IndexLink"/>
                <w:rtl w:val="true"/>
              </w:rPr>
              <w:t xml:space="preserve">: </w:t>
            </w:r>
            <w:r>
              <w:rPr>
                <w:rStyle w:val="IndexLink"/>
                <w:rtl w:val="true"/>
              </w:rPr>
              <w:t>فی الستر و الساتر</w:t>
            </w:r>
            <w:r>
              <w:rPr>
                <w:rStyle w:val="IndexLink"/>
                <w:rtl w:val="true"/>
              </w:rPr>
              <w:t>]</w:t>
              <w:tab/>
            </w:r>
            <w:r>
              <w:rPr>
                <w:rStyle w:val="IndexLink"/>
              </w:rPr>
              <w:t>213</w:t>
            </w:r>
          </w:hyperlink>
        </w:p>
        <w:p>
          <w:pPr>
            <w:pStyle w:val="Contents5"/>
            <w:tabs>
              <w:tab w:val="clear" w:pos="7892"/>
              <w:tab w:val="right" w:pos="9026" w:leader="dot"/>
            </w:tabs>
            <w:rPr/>
          </w:pPr>
          <w:hyperlink w:anchor="__RefHeading___Toc2566294_3650668749">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256629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یجب مع الاختیار ستر العورة فی الصلاة و توابعها</w:t>
            </w:r>
            <w:r>
              <w:rPr>
                <w:rStyle w:val="IndexLink"/>
                <w:rtl w:val="true"/>
              </w:rPr>
              <w:t>]</w:t>
              <w:tab/>
            </w:r>
            <w:r>
              <w:rPr>
                <w:rStyle w:val="IndexLink"/>
              </w:rPr>
              <w:t>213</w:t>
            </w:r>
          </w:hyperlink>
        </w:p>
        <w:p>
          <w:pPr>
            <w:pStyle w:val="Contents5"/>
            <w:tabs>
              <w:tab w:val="clear" w:pos="7892"/>
              <w:tab w:val="right" w:pos="9026" w:leader="dot"/>
            </w:tabs>
            <w:rPr/>
          </w:pPr>
          <w:hyperlink w:anchor="__RefHeading___Toc256629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لو بدت العورة لریح أو غفلة أو کانت خارجة من أوّل الأمر و هو لا یعلم بها</w:t>
            </w:r>
            <w:r>
              <w:rPr>
                <w:rStyle w:val="IndexLink"/>
                <w:rtl w:val="true"/>
              </w:rPr>
              <w:t>]</w:t>
              <w:tab/>
            </w:r>
            <w:r>
              <w:rPr>
                <w:rStyle w:val="IndexLink"/>
              </w:rPr>
              <w:t>213</w:t>
            </w:r>
          </w:hyperlink>
        </w:p>
        <w:p>
          <w:pPr>
            <w:pStyle w:val="Contents5"/>
            <w:tabs>
              <w:tab w:val="clear" w:pos="7892"/>
              <w:tab w:val="right" w:pos="9026" w:leader="dot"/>
            </w:tabs>
            <w:rPr/>
          </w:pPr>
          <w:hyperlink w:anchor="__RefHeading___Toc256630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عورة الرجل فی الصلاة عورته فی النظر</w:t>
            </w:r>
            <w:r>
              <w:rPr>
                <w:rStyle w:val="IndexLink"/>
                <w:rtl w:val="true"/>
              </w:rPr>
              <w:t>]</w:t>
              <w:tab/>
            </w:r>
            <w:r>
              <w:rPr>
                <w:rStyle w:val="IndexLink"/>
              </w:rPr>
              <w:t>213</w:t>
            </w:r>
          </w:hyperlink>
        </w:p>
        <w:p>
          <w:pPr>
            <w:pStyle w:val="Contents5"/>
            <w:tabs>
              <w:tab w:val="clear" w:pos="7892"/>
              <w:tab w:val="right" w:pos="9026" w:leader="dot"/>
            </w:tabs>
            <w:rPr/>
          </w:pPr>
          <w:hyperlink w:anchor="__RefHeading___Toc256630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یجب علی المرأة ستر رقبتها و تحت ذقنها</w:t>
            </w:r>
            <w:r>
              <w:rPr>
                <w:rStyle w:val="IndexLink"/>
                <w:rtl w:val="true"/>
              </w:rPr>
              <w:t>]</w:t>
              <w:tab/>
            </w:r>
            <w:r>
              <w:rPr>
                <w:rStyle w:val="IndexLink"/>
              </w:rPr>
              <w:t>213</w:t>
            </w:r>
          </w:hyperlink>
        </w:p>
        <w:p>
          <w:pPr>
            <w:pStyle w:val="Contents5"/>
            <w:tabs>
              <w:tab w:val="clear" w:pos="7892"/>
              <w:tab w:val="right" w:pos="9026" w:leader="dot"/>
            </w:tabs>
            <w:rPr/>
          </w:pPr>
          <w:hyperlink w:anchor="__RefHeading___Toc256630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الأمة و الصبیّة کالحرّة و البالغة</w:t>
            </w:r>
            <w:r>
              <w:rPr>
                <w:rStyle w:val="IndexLink"/>
                <w:rtl w:val="true"/>
              </w:rPr>
              <w:t>]</w:t>
              <w:tab/>
            </w:r>
            <w:r>
              <w:rPr>
                <w:rStyle w:val="IndexLink"/>
              </w:rPr>
              <w:t>214</w:t>
            </w:r>
          </w:hyperlink>
        </w:p>
        <w:p>
          <w:pPr>
            <w:pStyle w:val="Contents5"/>
            <w:tabs>
              <w:tab w:val="clear" w:pos="7892"/>
              <w:tab w:val="right" w:pos="9026" w:leader="dot"/>
            </w:tabs>
            <w:rPr/>
          </w:pPr>
          <w:hyperlink w:anchor="__RefHeading___Toc2566306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لا یجب التستّر من جهة التحت</w:t>
            </w:r>
            <w:r>
              <w:rPr>
                <w:rStyle w:val="IndexLink"/>
                <w:rtl w:val="true"/>
              </w:rPr>
              <w:t>]</w:t>
              <w:tab/>
            </w:r>
            <w:r>
              <w:rPr>
                <w:rStyle w:val="IndexLink"/>
              </w:rPr>
              <w:t>214</w:t>
            </w:r>
          </w:hyperlink>
        </w:p>
        <w:p>
          <w:pPr>
            <w:pStyle w:val="Contents5"/>
            <w:tabs>
              <w:tab w:val="clear" w:pos="7892"/>
              <w:tab w:val="right" w:pos="9026" w:leader="dot"/>
            </w:tabs>
            <w:rPr/>
          </w:pPr>
          <w:hyperlink w:anchor="__RefHeading___Toc2566308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الستر عن النظر یحصل بکلّ ما یمنع عن النظر</w:t>
            </w:r>
            <w:r>
              <w:rPr>
                <w:rStyle w:val="IndexLink"/>
                <w:rtl w:val="true"/>
              </w:rPr>
              <w:t>]</w:t>
              <w:tab/>
            </w:r>
            <w:r>
              <w:rPr>
                <w:rStyle w:val="IndexLink"/>
              </w:rPr>
              <w:t>214</w:t>
            </w:r>
          </w:hyperlink>
        </w:p>
        <w:p>
          <w:pPr>
            <w:pStyle w:val="Contents5"/>
            <w:tabs>
              <w:tab w:val="clear" w:pos="7892"/>
              <w:tab w:val="right" w:pos="9026" w:leader="dot"/>
            </w:tabs>
            <w:rPr/>
          </w:pPr>
          <w:hyperlink w:anchor="__RefHeading___Toc2566310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یعتبر فی الساتر بل فی مطلق لباس المصلّی أُمور</w:t>
            </w:r>
            <w:r>
              <w:rPr>
                <w:rStyle w:val="IndexLink"/>
                <w:rtl w:val="true"/>
              </w:rPr>
              <w:t>]</w:t>
              <w:tab/>
            </w:r>
            <w:r>
              <w:rPr>
                <w:rStyle w:val="IndexLink"/>
              </w:rPr>
              <w:t>214</w:t>
            </w:r>
          </w:hyperlink>
        </w:p>
        <w:p>
          <w:pPr>
            <w:pStyle w:val="Contents6"/>
            <w:tabs>
              <w:tab w:val="clear" w:pos="7609"/>
              <w:tab w:val="right" w:pos="9026" w:leader="dot"/>
            </w:tabs>
            <w:rPr/>
          </w:pPr>
          <w:hyperlink w:anchor="__RefHeading___Toc2566312_3650668749">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2566314_3650668749">
            <w:r>
              <w:rPr>
                <w:webHidden/>
                <w:rStyle w:val="IndexLink"/>
                <w:rtl w:val="true"/>
              </w:rPr>
              <w:t>[</w:t>
            </w:r>
            <w:r>
              <w:rPr>
                <w:rStyle w:val="IndexLink"/>
                <w:rtl w:val="true"/>
              </w:rPr>
              <w:t>الأوّل</w:t>
            </w:r>
            <w:r>
              <w:rPr>
                <w:rStyle w:val="IndexLink"/>
                <w:rtl w:val="true"/>
              </w:rPr>
              <w:t xml:space="preserve">: </w:t>
            </w:r>
            <w:r>
              <w:rPr>
                <w:rStyle w:val="IndexLink"/>
                <w:rtl w:val="true"/>
              </w:rPr>
              <w:t>الطهارة</w:t>
            </w:r>
            <w:r>
              <w:rPr>
                <w:rStyle w:val="IndexLink"/>
                <w:rtl w:val="true"/>
              </w:rPr>
              <w:t>]</w:t>
              <w:tab/>
            </w:r>
            <w:r>
              <w:rPr>
                <w:rStyle w:val="IndexLink"/>
              </w:rPr>
              <w:t>214</w:t>
            </w:r>
          </w:hyperlink>
        </w:p>
        <w:p>
          <w:pPr>
            <w:pStyle w:val="Contents6"/>
            <w:tabs>
              <w:tab w:val="clear" w:pos="7609"/>
              <w:tab w:val="right" w:pos="9026" w:leader="dot"/>
            </w:tabs>
            <w:rPr/>
          </w:pPr>
          <w:hyperlink w:anchor="__RefHeading___Toc2566316_3650668749">
            <w:r>
              <w:rPr>
                <w:webHidden/>
                <w:rStyle w:val="IndexLink"/>
                <w:rtl w:val="true"/>
              </w:rPr>
              <w:t>[</w:t>
            </w:r>
            <w:r>
              <w:rPr>
                <w:rStyle w:val="IndexLink"/>
                <w:rtl w:val="true"/>
              </w:rPr>
              <w:t>الثانی</w:t>
            </w:r>
            <w:r>
              <w:rPr>
                <w:rStyle w:val="IndexLink"/>
                <w:rtl w:val="true"/>
              </w:rPr>
              <w:t xml:space="preserve">: </w:t>
            </w:r>
            <w:r>
              <w:rPr>
                <w:rStyle w:val="IndexLink"/>
                <w:rtl w:val="true"/>
              </w:rPr>
              <w:t>الإباحة</w:t>
            </w:r>
            <w:r>
              <w:rPr>
                <w:rStyle w:val="IndexLink"/>
                <w:rtl w:val="true"/>
              </w:rPr>
              <w:t>]</w:t>
              <w:tab/>
            </w:r>
            <w:r>
              <w:rPr>
                <w:rStyle w:val="IndexLink"/>
              </w:rPr>
              <w:t>214</w:t>
            </w:r>
          </w:hyperlink>
        </w:p>
        <w:p>
          <w:pPr>
            <w:pStyle w:val="Contents6"/>
            <w:tabs>
              <w:tab w:val="clear" w:pos="7609"/>
              <w:tab w:val="right" w:pos="9026" w:leader="dot"/>
            </w:tabs>
            <w:rPr/>
          </w:pPr>
          <w:hyperlink w:anchor="__RefHeading___Toc2566318_3650668749">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2566320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لا فرق فی الغصب بین أن یکون عینه مال الغیر أو منفعته أو یکون متعلّقاً لحقّ الغیر</w:t>
            </w:r>
            <w:r>
              <w:rPr>
                <w:rStyle w:val="IndexLink"/>
                <w:rtl w:val="true"/>
              </w:rPr>
              <w:t>]</w:t>
              <w:tab/>
            </w:r>
            <w:r>
              <w:rPr>
                <w:rStyle w:val="IndexLink"/>
              </w:rPr>
              <w:t>214</w:t>
            </w:r>
          </w:hyperlink>
        </w:p>
        <w:p>
          <w:pPr>
            <w:pStyle w:val="Contents6"/>
            <w:tabs>
              <w:tab w:val="clear" w:pos="7609"/>
              <w:tab w:val="right" w:pos="9026" w:leader="dot"/>
            </w:tabs>
            <w:rPr/>
          </w:pPr>
          <w:hyperlink w:anchor="__RefHeading___Toc2566322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إذا صبغ الثوب بصبغ مغصوب أو خیط بخیط مغصوب</w:t>
            </w:r>
            <w:r>
              <w:rPr>
                <w:rStyle w:val="IndexLink"/>
                <w:rtl w:val="true"/>
              </w:rPr>
              <w:t>]</w:t>
              <w:tab/>
            </w:r>
            <w:r>
              <w:rPr>
                <w:rStyle w:val="IndexLink"/>
              </w:rPr>
              <w:t>214</w:t>
            </w:r>
          </w:hyperlink>
        </w:p>
        <w:p>
          <w:pPr>
            <w:pStyle w:val="Contents6"/>
            <w:tabs>
              <w:tab w:val="clear" w:pos="7609"/>
              <w:tab w:val="right" w:pos="9026" w:leader="dot"/>
            </w:tabs>
            <w:rPr/>
          </w:pPr>
          <w:hyperlink w:anchor="__RefHeading___Toc2566324_3650668749">
            <w:r>
              <w:rPr>
                <w:webHidden/>
                <w:rStyle w:val="IndexLink"/>
                <w:rtl w:val="true"/>
              </w:rPr>
              <w:t>[</w:t>
            </w:r>
            <w:r>
              <w:rPr>
                <w:rStyle w:val="IndexLink"/>
                <w:rtl w:val="true"/>
              </w:rPr>
              <w:t>الثالث</w:t>
            </w:r>
            <w:r>
              <w:rPr>
                <w:rStyle w:val="IndexLink"/>
                <w:rtl w:val="true"/>
              </w:rPr>
              <w:t xml:space="preserve">: </w:t>
            </w:r>
            <w:r>
              <w:rPr>
                <w:rStyle w:val="IndexLink"/>
                <w:rtl w:val="true"/>
              </w:rPr>
              <w:t>أن یکون مذکّی مأکول اللحم</w:t>
            </w:r>
            <w:r>
              <w:rPr>
                <w:rStyle w:val="IndexLink"/>
                <w:rtl w:val="true"/>
              </w:rPr>
              <w:t>]</w:t>
              <w:tab/>
            </w:r>
            <w:r>
              <w:rPr>
                <w:rStyle w:val="IndexLink"/>
              </w:rPr>
              <w:t>215</w:t>
            </w:r>
          </w:hyperlink>
        </w:p>
        <w:p>
          <w:pPr>
            <w:pStyle w:val="Contents6"/>
            <w:tabs>
              <w:tab w:val="clear" w:pos="7609"/>
              <w:tab w:val="right" w:pos="9026" w:leader="dot"/>
            </w:tabs>
            <w:rPr/>
          </w:pPr>
          <w:hyperlink w:anchor="__RefHeading___Toc2566326_3650668749">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2566328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لا بأس بالشمع و العسل و الحریر الممتزج و أجزاء مثل البقّ</w:t>
            </w:r>
            <w:r>
              <w:rPr>
                <w:rStyle w:val="IndexLink"/>
                <w:rtl w:val="true"/>
              </w:rPr>
              <w:t>]</w:t>
              <w:tab/>
            </w:r>
            <w:r>
              <w:rPr>
                <w:rStyle w:val="IndexLink"/>
              </w:rPr>
              <w:t>215</w:t>
            </w:r>
          </w:hyperlink>
        </w:p>
        <w:p>
          <w:pPr>
            <w:pStyle w:val="Contents6"/>
            <w:tabs>
              <w:tab w:val="clear" w:pos="7609"/>
              <w:tab w:val="right" w:pos="9026" w:leader="dot"/>
            </w:tabs>
            <w:rPr/>
          </w:pPr>
          <w:hyperlink w:anchor="__RefHeading___Toc2566330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استثنی ممّا لا یؤکل</w:t>
            </w:r>
            <w:r>
              <w:rPr>
                <w:rStyle w:val="IndexLink"/>
                <w:rtl w:val="true"/>
              </w:rPr>
              <w:t xml:space="preserve">: </w:t>
            </w:r>
            <w:r>
              <w:rPr>
                <w:rStyle w:val="IndexLink"/>
                <w:rtl w:val="true"/>
              </w:rPr>
              <w:t>الخزّ و السنجاب</w:t>
            </w:r>
            <w:r>
              <w:rPr>
                <w:rStyle w:val="IndexLink"/>
                <w:rtl w:val="true"/>
              </w:rPr>
              <w:t>]</w:t>
              <w:tab/>
            </w:r>
            <w:r>
              <w:rPr>
                <w:rStyle w:val="IndexLink"/>
              </w:rPr>
              <w:t>215</w:t>
            </w:r>
          </w:hyperlink>
        </w:p>
        <w:p>
          <w:pPr>
            <w:pStyle w:val="Contents6"/>
            <w:tabs>
              <w:tab w:val="clear" w:pos="7609"/>
              <w:tab w:val="right" w:pos="9026" w:leader="dot"/>
            </w:tabs>
            <w:rPr/>
          </w:pPr>
          <w:hyperlink w:anchor="__RefHeading___Toc2566332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لا بأس بفضلات الإنسان کشعره و ریقه و لبنه</w:t>
            </w:r>
            <w:r>
              <w:rPr>
                <w:rStyle w:val="IndexLink"/>
                <w:rtl w:val="true"/>
              </w:rPr>
              <w:t>]</w:t>
              <w:tab/>
            </w:r>
            <w:r>
              <w:rPr>
                <w:rStyle w:val="IndexLink"/>
              </w:rPr>
              <w:t>216</w:t>
            </w:r>
          </w:hyperlink>
        </w:p>
        <w:p>
          <w:pPr>
            <w:pStyle w:val="Contents6"/>
            <w:tabs>
              <w:tab w:val="clear" w:pos="7609"/>
              <w:tab w:val="right" w:pos="9026" w:leader="dot"/>
            </w:tabs>
            <w:rPr/>
          </w:pPr>
          <w:hyperlink w:anchor="__RefHeading___Toc2566334_3650668749">
            <w:r>
              <w:rPr>
                <w:webHidden/>
                <w:rStyle w:val="IndexLink"/>
                <w:rtl w:val="true"/>
              </w:rPr>
              <w:t>[</w:t>
            </w:r>
            <w:r>
              <w:rPr>
                <w:rStyle w:val="IndexLink"/>
                <w:rtl w:val="true"/>
              </w:rPr>
              <w:t>الرابع</w:t>
            </w:r>
            <w:r>
              <w:rPr>
                <w:rStyle w:val="IndexLink"/>
                <w:rtl w:val="true"/>
              </w:rPr>
              <w:t xml:space="preserve">: </w:t>
            </w:r>
            <w:r>
              <w:rPr>
                <w:rStyle w:val="IndexLink"/>
                <w:rtl w:val="true"/>
              </w:rPr>
              <w:t>أن لا یکون الساتر بل مطلق اللباس من الذهب للرجال فی الصلاة</w:t>
            </w:r>
            <w:r>
              <w:rPr>
                <w:rStyle w:val="IndexLink"/>
                <w:rtl w:val="true"/>
              </w:rPr>
              <w:t>]</w:t>
              <w:tab/>
            </w:r>
            <w:r>
              <w:rPr>
                <w:rStyle w:val="IndexLink"/>
              </w:rPr>
              <w:t>216</w:t>
            </w:r>
          </w:hyperlink>
        </w:p>
        <w:p>
          <w:pPr>
            <w:pStyle w:val="Contents6"/>
            <w:tabs>
              <w:tab w:val="clear" w:pos="7609"/>
              <w:tab w:val="right" w:pos="9026" w:leader="dot"/>
            </w:tabs>
            <w:rPr/>
          </w:pPr>
          <w:hyperlink w:anchor="__RefHeading___Toc2566336_3650668749">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2566338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لا بأس بشدّ الأسنان بالذهب</w:t>
            </w:r>
            <w:r>
              <w:rPr>
                <w:rStyle w:val="IndexLink"/>
                <w:rtl w:val="true"/>
              </w:rPr>
              <w:t>]</w:t>
              <w:tab/>
            </w:r>
            <w:r>
              <w:rPr>
                <w:rStyle w:val="IndexLink"/>
              </w:rPr>
              <w:t>216</w:t>
            </w:r>
          </w:hyperlink>
        </w:p>
        <w:p>
          <w:pPr>
            <w:pStyle w:val="Contents6"/>
            <w:tabs>
              <w:tab w:val="clear" w:pos="7609"/>
              <w:tab w:val="right" w:pos="9026" w:leader="dot"/>
            </w:tabs>
            <w:rPr/>
          </w:pPr>
          <w:hyperlink w:anchor="__RefHeading___Toc2566340_3650668749">
            <w:r>
              <w:rPr>
                <w:webHidden/>
                <w:rStyle w:val="IndexLink"/>
                <w:rtl w:val="true"/>
              </w:rPr>
              <w:t>[</w:t>
            </w:r>
            <w:r>
              <w:rPr>
                <w:rStyle w:val="IndexLink"/>
                <w:rtl w:val="true"/>
              </w:rPr>
              <w:t>الخامس</w:t>
            </w:r>
            <w:r>
              <w:rPr>
                <w:rStyle w:val="IndexLink"/>
                <w:rtl w:val="true"/>
              </w:rPr>
              <w:t xml:space="preserve">: </w:t>
            </w:r>
            <w:r>
              <w:rPr>
                <w:rStyle w:val="IndexLink"/>
                <w:rtl w:val="true"/>
              </w:rPr>
              <w:t>أن لا یکون حریراً محضاً للرجال</w:t>
            </w:r>
            <w:r>
              <w:rPr>
                <w:rStyle w:val="IndexLink"/>
                <w:rtl w:val="true"/>
              </w:rPr>
              <w:t>]</w:t>
              <w:tab/>
            </w:r>
            <w:r>
              <w:rPr>
                <w:rStyle w:val="IndexLink"/>
              </w:rPr>
              <w:t>216</w:t>
            </w:r>
          </w:hyperlink>
        </w:p>
        <w:p>
          <w:pPr>
            <w:pStyle w:val="Contents6"/>
            <w:tabs>
              <w:tab w:val="clear" w:pos="7609"/>
              <w:tab w:val="right" w:pos="9026" w:leader="dot"/>
            </w:tabs>
            <w:rPr/>
          </w:pPr>
          <w:hyperlink w:anchor="__RefHeading___Toc2566342_3650668749">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2566344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الذی یحرم علی الرجال خصوص لبس الحریر، فلا بأس بالافتراش و الرکوب علیه</w:t>
            </w:r>
            <w:r>
              <w:rPr>
                <w:rStyle w:val="IndexLink"/>
                <w:rtl w:val="true"/>
              </w:rPr>
              <w:t>]</w:t>
              <w:tab/>
            </w:r>
            <w:r>
              <w:rPr>
                <w:rStyle w:val="IndexLink"/>
              </w:rPr>
              <w:t>216</w:t>
            </w:r>
          </w:hyperlink>
        </w:p>
        <w:p>
          <w:pPr>
            <w:pStyle w:val="Contents6"/>
            <w:tabs>
              <w:tab w:val="clear" w:pos="7609"/>
              <w:tab w:val="right" w:pos="9026" w:leader="dot"/>
            </w:tabs>
            <w:rPr/>
          </w:pPr>
          <w:hyperlink w:anchor="__RefHeading___Toc2566346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قد عرفت أنّ المحرّم لبس الحریر المحض</w:t>
            </w:r>
            <w:r>
              <w:rPr>
                <w:rStyle w:val="IndexLink"/>
                <w:rtl w:val="true"/>
              </w:rPr>
              <w:t>]</w:t>
              <w:tab/>
            </w:r>
            <w:r>
              <w:rPr>
                <w:rStyle w:val="IndexLink"/>
              </w:rPr>
              <w:t>216</w:t>
            </w:r>
          </w:hyperlink>
        </w:p>
        <w:p>
          <w:pPr>
            <w:pStyle w:val="Contents6"/>
            <w:tabs>
              <w:tab w:val="clear" w:pos="7609"/>
              <w:tab w:val="right" w:pos="9026" w:leader="dot"/>
            </w:tabs>
            <w:rPr/>
          </w:pPr>
          <w:hyperlink w:anchor="__RefHeading___Toc2566348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لبس لباس الشهرة و إن کان حراماً</w:t>
            </w:r>
            <w:r>
              <w:rPr>
                <w:rStyle w:val="IndexLink"/>
                <w:rtl w:val="true"/>
              </w:rPr>
              <w:t>]</w:t>
              <w:tab/>
            </w:r>
            <w:r>
              <w:rPr>
                <w:rStyle w:val="IndexLink"/>
              </w:rPr>
              <w:t>217</w:t>
            </w:r>
          </w:hyperlink>
        </w:p>
        <w:p>
          <w:pPr>
            <w:pStyle w:val="Contents6"/>
            <w:tabs>
              <w:tab w:val="clear" w:pos="7609"/>
              <w:tab w:val="right" w:pos="9026" w:leader="dot"/>
            </w:tabs>
            <w:rPr/>
          </w:pPr>
          <w:hyperlink w:anchor="__RefHeading___Toc2566350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لو شکّ فی أنّ اللباس أو الخاتم ذهب أو غیره</w:t>
            </w:r>
            <w:r>
              <w:rPr>
                <w:rStyle w:val="IndexLink"/>
                <w:rtl w:val="true"/>
              </w:rPr>
              <w:t>]</w:t>
              <w:tab/>
            </w:r>
            <w:r>
              <w:rPr>
                <w:rStyle w:val="IndexLink"/>
              </w:rPr>
              <w:t>217</w:t>
            </w:r>
          </w:hyperlink>
        </w:p>
        <w:p>
          <w:pPr>
            <w:pStyle w:val="Contents6"/>
            <w:tabs>
              <w:tab w:val="clear" w:pos="7609"/>
              <w:tab w:val="right" w:pos="9026" w:leader="dot"/>
            </w:tabs>
            <w:rPr/>
          </w:pPr>
          <w:hyperlink w:anchor="__RefHeading___Toc2566352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لا بأس بلبس الصبیّ الحریر</w:t>
            </w:r>
            <w:r>
              <w:rPr>
                <w:rStyle w:val="IndexLink"/>
                <w:rtl w:val="true"/>
              </w:rPr>
              <w:t>]</w:t>
              <w:tab/>
            </w:r>
            <w:r>
              <w:rPr>
                <w:rStyle w:val="IndexLink"/>
              </w:rPr>
              <w:t>217</w:t>
            </w:r>
          </w:hyperlink>
        </w:p>
        <w:p>
          <w:pPr>
            <w:pStyle w:val="Contents5"/>
            <w:tabs>
              <w:tab w:val="clear" w:pos="7892"/>
              <w:tab w:val="right" w:pos="9026" w:leader="dot"/>
            </w:tabs>
            <w:rPr/>
          </w:pPr>
          <w:hyperlink w:anchor="__RefHeading___Toc2566354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إذا لم یجد المصلّی ساتراً حتّی الورق و الحشیش</w:t>
            </w:r>
            <w:r>
              <w:rPr>
                <w:rStyle w:val="IndexLink"/>
                <w:rtl w:val="true"/>
              </w:rPr>
              <w:t>]</w:t>
              <w:tab/>
            </w:r>
            <w:r>
              <w:rPr>
                <w:rStyle w:val="IndexLink"/>
              </w:rPr>
              <w:t>217</w:t>
            </w:r>
          </w:hyperlink>
        </w:p>
        <w:p>
          <w:pPr>
            <w:pStyle w:val="Contents5"/>
            <w:tabs>
              <w:tab w:val="clear" w:pos="7892"/>
              <w:tab w:val="right" w:pos="9026" w:leader="dot"/>
            </w:tabs>
            <w:rPr/>
          </w:pPr>
          <w:hyperlink w:anchor="__RefHeading___Toc2566356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یجب تأخیر الصلاة عن أوّل الوقت إذا لم یکن عنده ساتر</w:t>
            </w:r>
            <w:r>
              <w:rPr>
                <w:rStyle w:val="IndexLink"/>
                <w:rtl w:val="true"/>
              </w:rPr>
              <w:t>]</w:t>
              <w:tab/>
            </w:r>
            <w:r>
              <w:rPr>
                <w:rStyle w:val="IndexLink"/>
              </w:rPr>
              <w:t>217</w:t>
            </w:r>
          </w:hyperlink>
        </w:p>
        <w:p>
          <w:pPr>
            <w:pStyle w:val="Contents4"/>
            <w:tabs>
              <w:tab w:val="clear" w:pos="8176"/>
              <w:tab w:val="right" w:pos="9026" w:leader="dot"/>
            </w:tabs>
            <w:rPr/>
          </w:pPr>
          <w:hyperlink w:anchor="__RefHeading___Toc2566358_3650668749">
            <w:r>
              <w:rPr>
                <w:webHidden/>
                <w:rStyle w:val="IndexLink"/>
                <w:rtl w:val="true"/>
              </w:rPr>
              <w:t>[</w:t>
            </w:r>
            <w:r>
              <w:rPr>
                <w:rStyle w:val="IndexLink"/>
                <w:rtl w:val="true"/>
              </w:rPr>
              <w:t>المقدّمة الرابعة</w:t>
            </w:r>
            <w:r>
              <w:rPr>
                <w:rStyle w:val="IndexLink"/>
                <w:rtl w:val="true"/>
              </w:rPr>
              <w:t xml:space="preserve">: </w:t>
            </w:r>
            <w:r>
              <w:rPr>
                <w:rStyle w:val="IndexLink"/>
                <w:rtl w:val="true"/>
              </w:rPr>
              <w:t>المکان</w:t>
            </w:r>
            <w:r>
              <w:rPr>
                <w:rStyle w:val="IndexLink"/>
                <w:rtl w:val="true"/>
              </w:rPr>
              <w:t>]</w:t>
              <w:tab/>
            </w:r>
            <w:r>
              <w:rPr>
                <w:rStyle w:val="IndexLink"/>
              </w:rPr>
              <w:t>218</w:t>
            </w:r>
          </w:hyperlink>
        </w:p>
        <w:p>
          <w:pPr>
            <w:pStyle w:val="Contents5"/>
            <w:tabs>
              <w:tab w:val="clear" w:pos="7892"/>
              <w:tab w:val="right" w:pos="9026" w:leader="dot"/>
            </w:tabs>
            <w:rPr/>
          </w:pPr>
          <w:hyperlink w:anchor="__RefHeading___Toc2566360_3650668749">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256636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کلّ مکان یجوز الصلاة فیه إلّا المغصوب عیناً أو منفعة</w:t>
            </w:r>
            <w:r>
              <w:rPr>
                <w:rStyle w:val="IndexLink"/>
                <w:rtl w:val="true"/>
              </w:rPr>
              <w:t>]</w:t>
              <w:tab/>
            </w:r>
            <w:r>
              <w:rPr>
                <w:rStyle w:val="IndexLink"/>
              </w:rPr>
              <w:t>218</w:t>
            </w:r>
          </w:hyperlink>
        </w:p>
        <w:p>
          <w:pPr>
            <w:pStyle w:val="Contents5"/>
            <w:tabs>
              <w:tab w:val="clear" w:pos="7892"/>
              <w:tab w:val="right" w:pos="9026" w:leader="dot"/>
            </w:tabs>
            <w:rPr/>
          </w:pPr>
          <w:hyperlink w:anchor="__RefHeading___Toc256636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الأرض المغصوبة المجهول مالکها لا یجوز الصلاة فیها</w:t>
            </w:r>
            <w:r>
              <w:rPr>
                <w:rStyle w:val="IndexLink"/>
                <w:rtl w:val="true"/>
              </w:rPr>
              <w:t>]</w:t>
              <w:tab/>
            </w:r>
            <w:r>
              <w:rPr>
                <w:rStyle w:val="IndexLink"/>
              </w:rPr>
              <w:t>218</w:t>
            </w:r>
          </w:hyperlink>
        </w:p>
        <w:p>
          <w:pPr>
            <w:pStyle w:val="Contents5"/>
            <w:tabs>
              <w:tab w:val="clear" w:pos="7892"/>
              <w:tab w:val="right" w:pos="9026" w:leader="dot"/>
            </w:tabs>
            <w:rPr/>
          </w:pPr>
          <w:hyperlink w:anchor="__RefHeading___Toc256636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تبطل الصلاة تحت السقف المغصوب</w:t>
            </w:r>
            <w:r>
              <w:rPr>
                <w:rStyle w:val="IndexLink"/>
                <w:rtl w:val="true"/>
              </w:rPr>
              <w:t>]</w:t>
              <w:tab/>
            </w:r>
            <w:r>
              <w:rPr>
                <w:rStyle w:val="IndexLink"/>
              </w:rPr>
              <w:t>218</w:t>
            </w:r>
          </w:hyperlink>
        </w:p>
        <w:p>
          <w:pPr>
            <w:pStyle w:val="Contents5"/>
            <w:tabs>
              <w:tab w:val="clear" w:pos="7892"/>
              <w:tab w:val="right" w:pos="9026" w:leader="dot"/>
            </w:tabs>
            <w:rPr/>
          </w:pPr>
          <w:hyperlink w:anchor="__RefHeading___Toc256636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اشتریٰ داراً بعین المال الذی تعلّق به الخمس أو الزکاة</w:t>
            </w:r>
            <w:r>
              <w:rPr>
                <w:rStyle w:val="IndexLink"/>
                <w:rtl w:val="true"/>
              </w:rPr>
              <w:t>]</w:t>
              <w:tab/>
            </w:r>
            <w:r>
              <w:rPr>
                <w:rStyle w:val="IndexLink"/>
              </w:rPr>
              <w:t>218</w:t>
            </w:r>
          </w:hyperlink>
        </w:p>
        <w:p>
          <w:pPr>
            <w:pStyle w:val="Contents5"/>
            <w:tabs>
              <w:tab w:val="clear" w:pos="7892"/>
              <w:tab w:val="right" w:pos="9026" w:leader="dot"/>
            </w:tabs>
            <w:rPr/>
          </w:pPr>
          <w:hyperlink w:anchor="__RefHeading___Toc256637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المدار فی جواز التصرّف و الصلاة فی ملک الغیر علیٰ إحراز رضائه</w:t>
            </w:r>
            <w:r>
              <w:rPr>
                <w:rStyle w:val="IndexLink"/>
                <w:rtl w:val="true"/>
              </w:rPr>
              <w:t>]</w:t>
              <w:tab/>
            </w:r>
            <w:r>
              <w:rPr>
                <w:rStyle w:val="IndexLink"/>
              </w:rPr>
              <w:t>218</w:t>
            </w:r>
          </w:hyperlink>
        </w:p>
        <w:p>
          <w:pPr>
            <w:pStyle w:val="Contents5"/>
            <w:tabs>
              <w:tab w:val="clear" w:pos="7892"/>
              <w:tab w:val="right" w:pos="9026" w:leader="dot"/>
            </w:tabs>
            <w:rPr/>
          </w:pPr>
          <w:hyperlink w:anchor="__RefHeading___Toc256637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یجوز الصلاة فی الأراضی المتّسعة</w:t>
            </w:r>
            <w:r>
              <w:rPr>
                <w:rStyle w:val="IndexLink"/>
                <w:rtl w:val="true"/>
              </w:rPr>
              <w:t>]</w:t>
              <w:tab/>
            </w:r>
            <w:r>
              <w:rPr>
                <w:rStyle w:val="IndexLink"/>
              </w:rPr>
              <w:t>219</w:t>
            </w:r>
          </w:hyperlink>
        </w:p>
        <w:p>
          <w:pPr>
            <w:pStyle w:val="Contents5"/>
            <w:tabs>
              <w:tab w:val="clear" w:pos="7892"/>
              <w:tab w:val="right" w:pos="9026" w:leader="dot"/>
            </w:tabs>
            <w:rPr/>
          </w:pPr>
          <w:hyperlink w:anchor="__RefHeading___Toc256637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المراد بالمکان الذی تبطل الصلاة بغصبه ما استقرّ علیه المصلّی</w:t>
            </w:r>
            <w:r>
              <w:rPr>
                <w:rStyle w:val="IndexLink"/>
                <w:rtl w:val="true"/>
              </w:rPr>
              <w:t>]</w:t>
              <w:tab/>
            </w:r>
            <w:r>
              <w:rPr>
                <w:rStyle w:val="IndexLink"/>
              </w:rPr>
              <w:t>219</w:t>
            </w:r>
          </w:hyperlink>
        </w:p>
        <w:p>
          <w:pPr>
            <w:pStyle w:val="Contents5"/>
            <w:tabs>
              <w:tab w:val="clear" w:pos="7892"/>
              <w:tab w:val="right" w:pos="9026" w:leader="dot"/>
            </w:tabs>
            <w:rPr/>
          </w:pPr>
          <w:hyperlink w:anchor="__RefHeading___Toc256637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الأقویٰ صحّة صلاة کلّ من الرجل و المرأة مع المحاذاة أو تقدّم المرأة</w:t>
            </w:r>
            <w:r>
              <w:rPr>
                <w:rStyle w:val="IndexLink"/>
                <w:rtl w:val="true"/>
              </w:rPr>
              <w:t>]</w:t>
              <w:tab/>
            </w:r>
            <w:r>
              <w:rPr>
                <w:rStyle w:val="IndexLink"/>
              </w:rPr>
              <w:t>219</w:t>
            </w:r>
          </w:hyperlink>
        </w:p>
        <w:p>
          <w:pPr>
            <w:pStyle w:val="Contents5"/>
            <w:tabs>
              <w:tab w:val="clear" w:pos="7892"/>
              <w:tab w:val="right" w:pos="9026" w:leader="dot"/>
            </w:tabs>
            <w:rPr/>
          </w:pPr>
          <w:hyperlink w:anchor="__RefHeading___Toc256637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الأحوط أن لا یتقدّم فی الصلاة علیٰ قبر المعصوم</w:t>
            </w:r>
            <w:r>
              <w:rPr>
                <w:rStyle w:val="IndexLink"/>
                <w:rtl w:val="true"/>
              </w:rPr>
              <w:t>]</w:t>
              <w:tab/>
            </w:r>
            <w:r>
              <w:rPr>
                <w:rStyle w:val="IndexLink"/>
              </w:rPr>
              <w:t>220</w:t>
            </w:r>
          </w:hyperlink>
        </w:p>
        <w:p>
          <w:pPr>
            <w:pStyle w:val="Contents5"/>
            <w:tabs>
              <w:tab w:val="clear" w:pos="7892"/>
              <w:tab w:val="right" w:pos="9026" w:leader="dot"/>
            </w:tabs>
            <w:rPr/>
          </w:pPr>
          <w:hyperlink w:anchor="__RefHeading___Toc256638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لا تعتبر الطهارة فی مکان المصلّی إلّا مع تعدّی النجاسة</w:t>
            </w:r>
            <w:r>
              <w:rPr>
                <w:rStyle w:val="IndexLink"/>
                <w:rtl w:val="true"/>
              </w:rPr>
              <w:t>]</w:t>
              <w:tab/>
            </w:r>
            <w:r>
              <w:rPr>
                <w:rStyle w:val="IndexLink"/>
              </w:rPr>
              <w:t>220</w:t>
            </w:r>
          </w:hyperlink>
        </w:p>
        <w:p>
          <w:pPr>
            <w:pStyle w:val="Contents5"/>
            <w:tabs>
              <w:tab w:val="clear" w:pos="7892"/>
              <w:tab w:val="right" w:pos="9026" w:leader="dot"/>
            </w:tabs>
            <w:rPr/>
          </w:pPr>
          <w:hyperlink w:anchor="__RefHeading___Toc256638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یعتبر فیما یسجد علیه مع الاختیار کونه بحیث یمکن تمکین الجبهة علیه</w:t>
            </w:r>
            <w:r>
              <w:rPr>
                <w:rStyle w:val="IndexLink"/>
                <w:rtl w:val="true"/>
              </w:rPr>
              <w:t>]</w:t>
              <w:tab/>
            </w:r>
            <w:r>
              <w:rPr>
                <w:rStyle w:val="IndexLink"/>
              </w:rPr>
              <w:t>221</w:t>
            </w:r>
          </w:hyperlink>
        </w:p>
        <w:p>
          <w:pPr>
            <w:pStyle w:val="Contents5"/>
            <w:tabs>
              <w:tab w:val="clear" w:pos="7892"/>
              <w:tab w:val="right" w:pos="9026" w:leader="dot"/>
            </w:tabs>
            <w:rPr/>
          </w:pPr>
          <w:hyperlink w:anchor="__RefHeading___Toc256638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إذا کان فی الأرض ذات الطین و الوحل بحیث لو جلس للسجود و التشهّد یتلطّخ به بدنه و ثیابه</w:t>
            </w:r>
            <w:r>
              <w:rPr>
                <w:rStyle w:val="IndexLink"/>
                <w:rtl w:val="true"/>
              </w:rPr>
              <w:t>]</w:t>
              <w:tab/>
            </w:r>
            <w:r>
              <w:rPr>
                <w:rStyle w:val="IndexLink"/>
              </w:rPr>
              <w:t>221</w:t>
            </w:r>
          </w:hyperlink>
        </w:p>
        <w:p>
          <w:pPr>
            <w:pStyle w:val="Contents5"/>
            <w:tabs>
              <w:tab w:val="clear" w:pos="7892"/>
              <w:tab w:val="right" w:pos="9026" w:leader="dot"/>
            </w:tabs>
            <w:rPr/>
          </w:pPr>
          <w:hyperlink w:anchor="__RefHeading___Toc2566386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إذا لم یکن عنده ما یصحّ السجود علیه أو کان و لم یتمکّن من السجود علیه</w:t>
            </w:r>
            <w:r>
              <w:rPr>
                <w:rStyle w:val="IndexLink"/>
                <w:rtl w:val="true"/>
              </w:rPr>
              <w:t>]</w:t>
              <w:tab/>
            </w:r>
            <w:r>
              <w:rPr>
                <w:rStyle w:val="IndexLink"/>
              </w:rPr>
              <w:t>221</w:t>
            </w:r>
          </w:hyperlink>
        </w:p>
        <w:p>
          <w:pPr>
            <w:pStyle w:val="Contents5"/>
            <w:tabs>
              <w:tab w:val="clear" w:pos="7892"/>
              <w:tab w:val="right" w:pos="9026" w:leader="dot"/>
            </w:tabs>
            <w:rPr/>
          </w:pPr>
          <w:hyperlink w:anchor="__RefHeading___Toc2566388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إذا فقد ما یصحّ السجود علیه فی أثناء الصلاة</w:t>
            </w:r>
            <w:r>
              <w:rPr>
                <w:rStyle w:val="IndexLink"/>
                <w:rtl w:val="true"/>
              </w:rPr>
              <w:t>]</w:t>
              <w:tab/>
            </w:r>
            <w:r>
              <w:rPr>
                <w:rStyle w:val="IndexLink"/>
              </w:rPr>
              <w:t>222</w:t>
            </w:r>
          </w:hyperlink>
        </w:p>
        <w:p>
          <w:pPr>
            <w:pStyle w:val="Contents5"/>
            <w:tabs>
              <w:tab w:val="clear" w:pos="7892"/>
              <w:tab w:val="right" w:pos="9026" w:leader="dot"/>
            </w:tabs>
            <w:rPr/>
          </w:pPr>
          <w:hyperlink w:anchor="__RefHeading___Toc2566390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یعتبر فی المکان الذی یصلّی فیه الفریضة أن یکون قارّاً غیر مضطرب</w:t>
            </w:r>
            <w:r>
              <w:rPr>
                <w:rStyle w:val="IndexLink"/>
                <w:rtl w:val="true"/>
              </w:rPr>
              <w:t>]</w:t>
              <w:tab/>
            </w:r>
            <w:r>
              <w:rPr>
                <w:rStyle w:val="IndexLink"/>
              </w:rPr>
              <w:t>222</w:t>
            </w:r>
          </w:hyperlink>
        </w:p>
        <w:p>
          <w:pPr>
            <w:pStyle w:val="Contents5"/>
            <w:tabs>
              <w:tab w:val="clear" w:pos="7892"/>
              <w:tab w:val="right" w:pos="9026" w:leader="dot"/>
            </w:tabs>
            <w:rPr/>
          </w:pPr>
          <w:hyperlink w:anchor="__RefHeading___Toc2566392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یستحبّ الصلاة فی المساجد</w:t>
            </w:r>
            <w:r>
              <w:rPr>
                <w:rStyle w:val="IndexLink"/>
                <w:rtl w:val="true"/>
              </w:rPr>
              <w:t>]</w:t>
              <w:tab/>
            </w:r>
            <w:r>
              <w:rPr>
                <w:rStyle w:val="IndexLink"/>
              </w:rPr>
              <w:t>222</w:t>
            </w:r>
          </w:hyperlink>
        </w:p>
        <w:p>
          <w:pPr>
            <w:pStyle w:val="Contents5"/>
            <w:tabs>
              <w:tab w:val="clear" w:pos="7892"/>
              <w:tab w:val="right" w:pos="9026" w:leader="dot"/>
            </w:tabs>
            <w:rPr/>
          </w:pPr>
          <w:hyperlink w:anchor="__RefHeading___Toc2566394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یکره تعطیل المسجد</w:t>
            </w:r>
            <w:r>
              <w:rPr>
                <w:rStyle w:val="IndexLink"/>
                <w:rtl w:val="true"/>
              </w:rPr>
              <w:t>]</w:t>
              <w:tab/>
            </w:r>
            <w:r>
              <w:rPr>
                <w:rStyle w:val="IndexLink"/>
              </w:rPr>
              <w:t>222</w:t>
            </w:r>
          </w:hyperlink>
        </w:p>
        <w:p>
          <w:pPr>
            <w:pStyle w:val="Contents5"/>
            <w:tabs>
              <w:tab w:val="clear" w:pos="7892"/>
              <w:tab w:val="right" w:pos="9026" w:leader="dot"/>
            </w:tabs>
            <w:rPr/>
          </w:pPr>
          <w:hyperlink w:anchor="__RefHeading___Toc2566396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من المستحبّات الأکیدة بناء المسجد</w:t>
            </w:r>
            <w:r>
              <w:rPr>
                <w:rStyle w:val="IndexLink"/>
                <w:rtl w:val="true"/>
              </w:rPr>
              <w:t>]</w:t>
              <w:tab/>
            </w:r>
            <w:r>
              <w:rPr>
                <w:rStyle w:val="IndexLink"/>
              </w:rPr>
              <w:t>223</w:t>
            </w:r>
          </w:hyperlink>
        </w:p>
        <w:p>
          <w:pPr>
            <w:pStyle w:val="Contents5"/>
            <w:tabs>
              <w:tab w:val="clear" w:pos="7892"/>
              <w:tab w:val="right" w:pos="9026" w:leader="dot"/>
            </w:tabs>
            <w:rPr/>
          </w:pPr>
          <w:hyperlink w:anchor="__RefHeading___Toc2566398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المشهور اعتبار إجراء صیغة الوقف فی صیرورة الأرض مسجداً</w:t>
            </w:r>
            <w:r>
              <w:rPr>
                <w:rStyle w:val="IndexLink"/>
                <w:rtl w:val="true"/>
              </w:rPr>
              <w:t>]</w:t>
              <w:tab/>
            </w:r>
            <w:r>
              <w:rPr>
                <w:rStyle w:val="IndexLink"/>
              </w:rPr>
              <w:t>223</w:t>
            </w:r>
          </w:hyperlink>
        </w:p>
        <w:p>
          <w:pPr>
            <w:pStyle w:val="Contents5"/>
            <w:tabs>
              <w:tab w:val="clear" w:pos="7892"/>
              <w:tab w:val="right" w:pos="9026" w:leader="dot"/>
            </w:tabs>
            <w:rPr/>
          </w:pPr>
          <w:hyperlink w:anchor="__RefHeading___Toc2566400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تکره الصلاة فی الحمّام حتّی المسلخ منه</w:t>
            </w:r>
            <w:r>
              <w:rPr>
                <w:rStyle w:val="IndexLink"/>
                <w:rtl w:val="true"/>
              </w:rPr>
              <w:t>]</w:t>
              <w:tab/>
            </w:r>
            <w:r>
              <w:rPr>
                <w:rStyle w:val="IndexLink"/>
              </w:rPr>
              <w:t>223</w:t>
            </w:r>
          </w:hyperlink>
        </w:p>
        <w:p>
          <w:pPr>
            <w:pStyle w:val="Contents4"/>
            <w:tabs>
              <w:tab w:val="clear" w:pos="8176"/>
              <w:tab w:val="right" w:pos="9026" w:leader="dot"/>
            </w:tabs>
            <w:rPr/>
          </w:pPr>
          <w:hyperlink w:anchor="__RefHeading___Toc2566402_3650668749">
            <w:r>
              <w:rPr>
                <w:webHidden/>
                <w:rStyle w:val="IndexLink"/>
                <w:rtl w:val="true"/>
              </w:rPr>
              <w:t>[</w:t>
            </w:r>
            <w:r>
              <w:rPr>
                <w:rStyle w:val="IndexLink"/>
                <w:rtl w:val="true"/>
              </w:rPr>
              <w:t>المقدّمة الخامسة</w:t>
            </w:r>
            <w:r>
              <w:rPr>
                <w:rStyle w:val="IndexLink"/>
                <w:rtl w:val="true"/>
              </w:rPr>
              <w:t xml:space="preserve">: </w:t>
            </w:r>
            <w:r>
              <w:rPr>
                <w:rStyle w:val="IndexLink"/>
                <w:rtl w:val="true"/>
              </w:rPr>
              <w:t>فی الأذان و الإقامة</w:t>
            </w:r>
            <w:r>
              <w:rPr>
                <w:rStyle w:val="IndexLink"/>
                <w:rtl w:val="true"/>
              </w:rPr>
              <w:t>]</w:t>
              <w:tab/>
            </w:r>
            <w:r>
              <w:rPr>
                <w:rStyle w:val="IndexLink"/>
              </w:rPr>
              <w:t>224</w:t>
            </w:r>
          </w:hyperlink>
        </w:p>
        <w:p>
          <w:pPr>
            <w:pStyle w:val="Contents5"/>
            <w:tabs>
              <w:tab w:val="clear" w:pos="7892"/>
              <w:tab w:val="right" w:pos="9026" w:leader="dot"/>
            </w:tabs>
            <w:rPr/>
          </w:pPr>
          <w:hyperlink w:anchor="__RefHeading___Toc2566404_3650668749">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256640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الأذان و الإقامة لا إشکال فی تأکّد رجحانهما للصلوات الخمس</w:t>
            </w:r>
            <w:r>
              <w:rPr>
                <w:rStyle w:val="IndexLink"/>
                <w:rtl w:val="true"/>
              </w:rPr>
              <w:t>]</w:t>
              <w:tab/>
            </w:r>
            <w:r>
              <w:rPr>
                <w:rStyle w:val="IndexLink"/>
              </w:rPr>
              <w:t>224</w:t>
            </w:r>
          </w:hyperlink>
        </w:p>
        <w:p>
          <w:pPr>
            <w:pStyle w:val="Contents5"/>
            <w:tabs>
              <w:tab w:val="clear" w:pos="7892"/>
              <w:tab w:val="right" w:pos="9026" w:leader="dot"/>
            </w:tabs>
            <w:rPr/>
          </w:pPr>
          <w:hyperlink w:anchor="__RefHeading___Toc256640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یسقط الأذان فی العصر و العشاء إذا جمع بینهما و بین الظهر و المغرب</w:t>
            </w:r>
            <w:r>
              <w:rPr>
                <w:rStyle w:val="IndexLink"/>
                <w:rtl w:val="true"/>
              </w:rPr>
              <w:t>]</w:t>
              <w:tab/>
            </w:r>
            <w:r>
              <w:rPr>
                <w:rStyle w:val="IndexLink"/>
              </w:rPr>
              <w:t>224</w:t>
            </w:r>
          </w:hyperlink>
        </w:p>
        <w:p>
          <w:pPr>
            <w:pStyle w:val="Contents5"/>
            <w:tabs>
              <w:tab w:val="clear" w:pos="7892"/>
              <w:tab w:val="right" w:pos="9026" w:leader="dot"/>
            </w:tabs>
            <w:rPr/>
          </w:pPr>
          <w:hyperlink w:anchor="__RefHeading___Toc256641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یسقط الأذان مع الإقامة فی مواضع</w:t>
            </w:r>
            <w:r>
              <w:rPr>
                <w:rStyle w:val="IndexLink"/>
                <w:rtl w:val="true"/>
              </w:rPr>
              <w:t>]</w:t>
              <w:tab/>
            </w:r>
            <w:r>
              <w:rPr>
                <w:rStyle w:val="IndexLink"/>
              </w:rPr>
              <w:t>224</w:t>
            </w:r>
          </w:hyperlink>
        </w:p>
        <w:p>
          <w:pPr>
            <w:pStyle w:val="Contents4"/>
            <w:tabs>
              <w:tab w:val="clear" w:pos="8176"/>
              <w:tab w:val="right" w:pos="9026" w:leader="dot"/>
            </w:tabs>
            <w:rPr/>
          </w:pPr>
          <w:hyperlink w:anchor="__RefHeading___Toc2566412_3650668749">
            <w:r>
              <w:rPr>
                <w:webHidden/>
                <w:rStyle w:val="IndexLink"/>
                <w:rtl w:val="true"/>
              </w:rPr>
              <w:t>[</w:t>
            </w:r>
            <w:r>
              <w:rPr>
                <w:rStyle w:val="IndexLink"/>
                <w:rtl w:val="true"/>
              </w:rPr>
              <w:t>المقدّمة السادسة</w:t>
            </w:r>
            <w:r>
              <w:rPr>
                <w:rStyle w:val="IndexLink"/>
                <w:rtl w:val="true"/>
              </w:rPr>
              <w:t xml:space="preserve">: </w:t>
            </w:r>
            <w:r>
              <w:rPr>
                <w:rStyle w:val="IndexLink"/>
                <w:rtl w:val="true"/>
              </w:rPr>
              <w:t>إحضار القلب فی الصلاة</w:t>
            </w:r>
            <w:r>
              <w:rPr>
                <w:rStyle w:val="IndexLink"/>
                <w:rtl w:val="true"/>
              </w:rPr>
              <w:t>]</w:t>
              <w:tab/>
            </w:r>
            <w:r>
              <w:rPr>
                <w:rStyle w:val="IndexLink"/>
              </w:rPr>
              <w:t>225</w:t>
            </w:r>
          </w:hyperlink>
        </w:p>
        <w:p>
          <w:pPr>
            <w:pStyle w:val="Contents5"/>
            <w:tabs>
              <w:tab w:val="clear" w:pos="7892"/>
              <w:tab w:val="right" w:pos="9026" w:leader="dot"/>
            </w:tabs>
            <w:rPr/>
          </w:pPr>
          <w:hyperlink w:anchor="__RefHeading___Toc2566414_3650668749">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256641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ینبغی للمصلّی إحضار قلبه فی تمام الصلاة فی أقوالها و أفعالها</w:t>
            </w:r>
            <w:r>
              <w:rPr>
                <w:rStyle w:val="IndexLink"/>
                <w:rtl w:val="true"/>
              </w:rPr>
              <w:t>]</w:t>
              <w:tab/>
            </w:r>
            <w:r>
              <w:rPr>
                <w:rStyle w:val="IndexLink"/>
              </w:rPr>
              <w:t>225</w:t>
            </w:r>
          </w:hyperlink>
        </w:p>
        <w:p>
          <w:pPr>
            <w:pStyle w:val="Contents3"/>
            <w:tabs>
              <w:tab w:val="clear" w:pos="8459"/>
              <w:tab w:val="right" w:pos="9026" w:leader="dot"/>
            </w:tabs>
            <w:rPr/>
          </w:pPr>
          <w:hyperlink w:anchor="__RefHeading___Toc2566418_3650668749">
            <w:r>
              <w:rPr>
                <w:webHidden/>
                <w:rStyle w:val="IndexLink"/>
                <w:rtl w:val="true"/>
              </w:rPr>
              <w:t>[</w:t>
            </w:r>
            <w:r>
              <w:rPr>
                <w:rStyle w:val="IndexLink"/>
                <w:rtl w:val="true"/>
              </w:rPr>
              <w:t>فصل فی أفعال الصلاة</w:t>
            </w:r>
            <w:r>
              <w:rPr>
                <w:rStyle w:val="IndexLink"/>
                <w:rtl w:val="true"/>
              </w:rPr>
              <w:t>]</w:t>
              <w:tab/>
            </w:r>
            <w:r>
              <w:rPr>
                <w:rStyle w:val="IndexLink"/>
              </w:rPr>
              <w:t>226</w:t>
            </w:r>
          </w:hyperlink>
        </w:p>
        <w:p>
          <w:pPr>
            <w:pStyle w:val="Contents4"/>
            <w:tabs>
              <w:tab w:val="clear" w:pos="8176"/>
              <w:tab w:val="right" w:pos="9026" w:leader="dot"/>
            </w:tabs>
            <w:rPr/>
          </w:pPr>
          <w:hyperlink w:anchor="__RefHeading___Toc2566420_3650668749">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2566422_3650668749">
            <w:r>
              <w:rPr>
                <w:webHidden/>
                <w:rStyle w:val="IndexLink"/>
                <w:rtl w:val="true"/>
              </w:rPr>
              <w:t>[</w:t>
            </w:r>
            <w:r>
              <w:rPr>
                <w:rStyle w:val="IndexLink"/>
                <w:rtl w:val="true"/>
              </w:rPr>
              <w:t>القول فی النیّة</w:t>
            </w:r>
            <w:r>
              <w:rPr>
                <w:rStyle w:val="IndexLink"/>
                <w:rtl w:val="true"/>
              </w:rPr>
              <w:t>]</w:t>
              <w:tab/>
            </w:r>
            <w:r>
              <w:rPr>
                <w:rStyle w:val="IndexLink"/>
              </w:rPr>
              <w:t>226</w:t>
            </w:r>
          </w:hyperlink>
        </w:p>
        <w:p>
          <w:pPr>
            <w:pStyle w:val="Contents5"/>
            <w:tabs>
              <w:tab w:val="clear" w:pos="7892"/>
              <w:tab w:val="right" w:pos="9026" w:leader="dot"/>
            </w:tabs>
            <w:rPr/>
          </w:pPr>
          <w:hyperlink w:anchor="__RefHeading___Toc2566424_3650668749">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256642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النیّة عبارة عن قصد الفعل قربة إلی اللّٰه تعالیٰ و امتثالًا لأمره</w:t>
            </w:r>
            <w:r>
              <w:rPr>
                <w:rStyle w:val="IndexLink"/>
                <w:rtl w:val="true"/>
              </w:rPr>
              <w:t>]</w:t>
              <w:tab/>
            </w:r>
            <w:r>
              <w:rPr>
                <w:rStyle w:val="IndexLink"/>
              </w:rPr>
              <w:t>226</w:t>
            </w:r>
          </w:hyperlink>
        </w:p>
        <w:p>
          <w:pPr>
            <w:pStyle w:val="Contents5"/>
            <w:tabs>
              <w:tab w:val="clear" w:pos="7892"/>
              <w:tab w:val="right" w:pos="9026" w:leader="dot"/>
            </w:tabs>
            <w:rPr/>
          </w:pPr>
          <w:hyperlink w:anchor="__RefHeading___Toc256642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یعتبر الإخلاص فی النیّة</w:t>
            </w:r>
            <w:r>
              <w:rPr>
                <w:rStyle w:val="IndexLink"/>
                <w:rtl w:val="true"/>
              </w:rPr>
              <w:t>]</w:t>
              <w:tab/>
            </w:r>
            <w:r>
              <w:rPr>
                <w:rStyle w:val="IndexLink"/>
              </w:rPr>
              <w:t>226</w:t>
            </w:r>
          </w:hyperlink>
        </w:p>
        <w:p>
          <w:pPr>
            <w:pStyle w:val="Contents6"/>
            <w:tabs>
              <w:tab w:val="clear" w:pos="7609"/>
              <w:tab w:val="right" w:pos="9026" w:leader="dot"/>
            </w:tabs>
            <w:rPr/>
          </w:pPr>
          <w:hyperlink w:anchor="__RefHeading___Toc2566430_3650668749">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2566432_3650668749">
            <w:r>
              <w:rPr>
                <w:webHidden/>
                <w:rStyle w:val="IndexLink"/>
                <w:rtl w:val="true"/>
              </w:rPr>
              <w:t>[</w:t>
            </w:r>
            <w:r>
              <w:rPr>
                <w:rStyle w:val="IndexLink"/>
                <w:rtl w:val="true"/>
              </w:rPr>
              <w:t>فائدة</w:t>
            </w:r>
            <w:r>
              <w:rPr>
                <w:rStyle w:val="IndexLink"/>
                <w:rtl w:val="true"/>
              </w:rPr>
              <w:t>]</w:t>
              <w:tab/>
            </w:r>
            <w:r>
              <w:rPr>
                <w:rStyle w:val="IndexLink"/>
              </w:rPr>
              <w:t>227</w:t>
            </w:r>
          </w:hyperlink>
        </w:p>
        <w:p>
          <w:pPr>
            <w:pStyle w:val="Contents5"/>
            <w:tabs>
              <w:tab w:val="clear" w:pos="7892"/>
              <w:tab w:val="right" w:pos="9026" w:leader="dot"/>
            </w:tabs>
            <w:rPr/>
          </w:pPr>
          <w:hyperlink w:anchor="__RefHeading___Toc256643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غیر الریاء من الضمائم المباحة أو الراجحة إن کانت مقصودة تبعاً و کان الداعی و الغرض الأصلی امتثال الأمر الصلاتی</w:t>
            </w:r>
            <w:r>
              <w:rPr>
                <w:rStyle w:val="IndexLink"/>
                <w:rtl w:val="true"/>
              </w:rPr>
              <w:t>]</w:t>
              <w:tab/>
            </w:r>
            <w:r>
              <w:rPr>
                <w:rStyle w:val="IndexLink"/>
              </w:rPr>
              <w:t>227</w:t>
            </w:r>
          </w:hyperlink>
        </w:p>
        <w:p>
          <w:pPr>
            <w:pStyle w:val="Contents5"/>
            <w:tabs>
              <w:tab w:val="clear" w:pos="7892"/>
              <w:tab w:val="right" w:pos="9026" w:leader="dot"/>
            </w:tabs>
            <w:rPr/>
          </w:pPr>
          <w:hyperlink w:anchor="__RefHeading___Toc256643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رفع صوته بالذکر أو القراءة لإعلام الغیر</w:t>
            </w:r>
            <w:r>
              <w:rPr>
                <w:rStyle w:val="IndexLink"/>
                <w:rtl w:val="true"/>
              </w:rPr>
              <w:t>]</w:t>
              <w:tab/>
            </w:r>
            <w:r>
              <w:rPr>
                <w:rStyle w:val="IndexLink"/>
              </w:rPr>
              <w:t>227</w:t>
            </w:r>
          </w:hyperlink>
        </w:p>
        <w:p>
          <w:pPr>
            <w:pStyle w:val="Contents5"/>
            <w:tabs>
              <w:tab w:val="clear" w:pos="7892"/>
              <w:tab w:val="right" w:pos="9026" w:leader="dot"/>
            </w:tabs>
            <w:rPr/>
          </w:pPr>
          <w:hyperlink w:anchor="__RefHeading___Toc256643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یجب تعیین نوع الصلاة التی یأتی بها فی القصد و لو إجمالًا</w:t>
            </w:r>
            <w:r>
              <w:rPr>
                <w:rStyle w:val="IndexLink"/>
                <w:rtl w:val="true"/>
              </w:rPr>
              <w:t>]</w:t>
              <w:tab/>
            </w:r>
            <w:r>
              <w:rPr>
                <w:rStyle w:val="IndexLink"/>
              </w:rPr>
              <w:t>227</w:t>
            </w:r>
          </w:hyperlink>
        </w:p>
        <w:p>
          <w:pPr>
            <w:pStyle w:val="Contents5"/>
            <w:tabs>
              <w:tab w:val="clear" w:pos="7892"/>
              <w:tab w:val="right" w:pos="9026" w:leader="dot"/>
            </w:tabs>
            <w:rPr/>
          </w:pPr>
          <w:hyperlink w:anchor="__RefHeading___Toc256644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لا یجب قصد الأداء و القضاء بعد قصد العنوان الذی یتّصف بصفتی القضاء و الأداء</w:t>
            </w:r>
            <w:r>
              <w:rPr>
                <w:rStyle w:val="IndexLink"/>
                <w:rtl w:val="true"/>
              </w:rPr>
              <w:t>]</w:t>
              <w:tab/>
            </w:r>
            <w:r>
              <w:rPr>
                <w:rStyle w:val="IndexLink"/>
              </w:rPr>
              <w:t>227</w:t>
            </w:r>
          </w:hyperlink>
        </w:p>
        <w:p>
          <w:pPr>
            <w:pStyle w:val="Contents5"/>
            <w:tabs>
              <w:tab w:val="clear" w:pos="7892"/>
              <w:tab w:val="right" w:pos="9026" w:leader="dot"/>
            </w:tabs>
            <w:rPr/>
          </w:pPr>
          <w:hyperlink w:anchor="__RefHeading___Toc256644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لا یجب نیّة القصر و الإتمام فی موضع تعیّنهما</w:t>
            </w:r>
            <w:r>
              <w:rPr>
                <w:rStyle w:val="IndexLink"/>
                <w:rtl w:val="true"/>
              </w:rPr>
              <w:t>]</w:t>
              <w:tab/>
            </w:r>
            <w:r>
              <w:rPr>
                <w:rStyle w:val="IndexLink"/>
              </w:rPr>
              <w:t>228</w:t>
            </w:r>
          </w:hyperlink>
        </w:p>
        <w:p>
          <w:pPr>
            <w:pStyle w:val="Contents5"/>
            <w:tabs>
              <w:tab w:val="clear" w:pos="7892"/>
              <w:tab w:val="right" w:pos="9026" w:leader="dot"/>
            </w:tabs>
            <w:rPr/>
          </w:pPr>
          <w:hyperlink w:anchor="__RefHeading___Toc256644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لا یجب قصد الوجوب و الندب</w:t>
            </w:r>
            <w:r>
              <w:rPr>
                <w:rStyle w:val="IndexLink"/>
                <w:rtl w:val="true"/>
              </w:rPr>
              <w:t>]</w:t>
              <w:tab/>
            </w:r>
            <w:r>
              <w:rPr>
                <w:rStyle w:val="IndexLink"/>
              </w:rPr>
              <w:t>228</w:t>
            </w:r>
          </w:hyperlink>
        </w:p>
        <w:p>
          <w:pPr>
            <w:pStyle w:val="Contents5"/>
            <w:tabs>
              <w:tab w:val="clear" w:pos="7892"/>
              <w:tab w:val="right" w:pos="9026" w:leader="dot"/>
            </w:tabs>
            <w:rPr/>
          </w:pPr>
          <w:hyperlink w:anchor="__RefHeading___Toc256644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لا یجب حین النیّة تصوّر الصلاة تفصیلًا بل یکفی الإجمال</w:t>
            </w:r>
            <w:r>
              <w:rPr>
                <w:rStyle w:val="IndexLink"/>
                <w:rtl w:val="true"/>
              </w:rPr>
              <w:t>]</w:t>
              <w:tab/>
            </w:r>
            <w:r>
              <w:rPr>
                <w:rStyle w:val="IndexLink"/>
              </w:rPr>
              <w:t>228</w:t>
            </w:r>
          </w:hyperlink>
        </w:p>
        <w:p>
          <w:pPr>
            <w:pStyle w:val="Contents5"/>
            <w:tabs>
              <w:tab w:val="clear" w:pos="7892"/>
              <w:tab w:val="right" w:pos="9026" w:leader="dot"/>
            </w:tabs>
            <w:rPr/>
          </w:pPr>
          <w:hyperlink w:anchor="__RefHeading___Toc2566448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لو نویٰ فی أثناء الصلاة قطعها أو الإتیان بالقاطع</w:t>
            </w:r>
            <w:r>
              <w:rPr>
                <w:rStyle w:val="IndexLink"/>
                <w:rtl w:val="true"/>
              </w:rPr>
              <w:t>]</w:t>
              <w:tab/>
            </w:r>
            <w:r>
              <w:rPr>
                <w:rStyle w:val="IndexLink"/>
              </w:rPr>
              <w:t>228</w:t>
            </w:r>
          </w:hyperlink>
        </w:p>
        <w:p>
          <w:pPr>
            <w:pStyle w:val="Contents5"/>
            <w:tabs>
              <w:tab w:val="clear" w:pos="7892"/>
              <w:tab w:val="right" w:pos="9026" w:leader="dot"/>
            </w:tabs>
            <w:rPr/>
          </w:pPr>
          <w:hyperlink w:anchor="__RefHeading___Toc2566450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لو شکّ فیما بیده أنّه عیّنها ظهراً أو عصراً و یدری أنّه لم یأت بالظهر قبل ذلک</w:t>
            </w:r>
            <w:r>
              <w:rPr>
                <w:rStyle w:val="IndexLink"/>
                <w:rtl w:val="true"/>
              </w:rPr>
              <w:t>]</w:t>
              <w:tab/>
            </w:r>
            <w:r>
              <w:rPr>
                <w:rStyle w:val="IndexLink"/>
              </w:rPr>
              <w:t>229</w:t>
            </w:r>
          </w:hyperlink>
        </w:p>
        <w:p>
          <w:pPr>
            <w:pStyle w:val="Contents5"/>
            <w:tabs>
              <w:tab w:val="clear" w:pos="7892"/>
              <w:tab w:val="right" w:pos="9026" w:leader="dot"/>
            </w:tabs>
            <w:rPr/>
          </w:pPr>
          <w:hyperlink w:anchor="__RefHeading___Toc2566452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یجوز العدول من صلاة إلیٰ أُخری فی مواضع</w:t>
            </w:r>
            <w:r>
              <w:rPr>
                <w:rStyle w:val="IndexLink"/>
                <w:rtl w:val="true"/>
              </w:rPr>
              <w:t>]</w:t>
              <w:tab/>
            </w:r>
            <w:r>
              <w:rPr>
                <w:rStyle w:val="IndexLink"/>
              </w:rPr>
              <w:t>229</w:t>
            </w:r>
          </w:hyperlink>
        </w:p>
        <w:p>
          <w:pPr>
            <w:pStyle w:val="Contents5"/>
            <w:tabs>
              <w:tab w:val="clear" w:pos="7892"/>
              <w:tab w:val="right" w:pos="9026" w:leader="dot"/>
            </w:tabs>
            <w:rPr/>
          </w:pPr>
          <w:hyperlink w:anchor="__RefHeading___Toc2566454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لا یجوز العدول من النفل إلی الفرض</w:t>
            </w:r>
            <w:r>
              <w:rPr>
                <w:rStyle w:val="IndexLink"/>
                <w:rtl w:val="true"/>
              </w:rPr>
              <w:t>]</w:t>
              <w:tab/>
            </w:r>
            <w:r>
              <w:rPr>
                <w:rStyle w:val="IndexLink"/>
              </w:rPr>
              <w:t>230</w:t>
            </w:r>
          </w:hyperlink>
        </w:p>
        <w:p>
          <w:pPr>
            <w:pStyle w:val="Contents5"/>
            <w:tabs>
              <w:tab w:val="clear" w:pos="7892"/>
              <w:tab w:val="right" w:pos="9026" w:leader="dot"/>
            </w:tabs>
            <w:rPr/>
          </w:pPr>
          <w:hyperlink w:anchor="__RefHeading___Toc2566456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إذا دخل فی رکعتین من صلاة اللیل مثلًا بقصد الرکعتین الثانیتین فتبیّن أنّه لم یصلّ الأوّلتین</w:t>
            </w:r>
            <w:r>
              <w:rPr>
                <w:rStyle w:val="IndexLink"/>
                <w:rtl w:val="true"/>
              </w:rPr>
              <w:t>]</w:t>
              <w:tab/>
            </w:r>
            <w:r>
              <w:rPr>
                <w:rStyle w:val="IndexLink"/>
              </w:rPr>
              <w:t>230</w:t>
            </w:r>
          </w:hyperlink>
        </w:p>
        <w:p>
          <w:pPr>
            <w:pStyle w:val="Contents4"/>
            <w:tabs>
              <w:tab w:val="clear" w:pos="8176"/>
              <w:tab w:val="right" w:pos="9026" w:leader="dot"/>
            </w:tabs>
            <w:rPr/>
          </w:pPr>
          <w:hyperlink w:anchor="__RefHeading___Toc2566458_3650668749">
            <w:r>
              <w:rPr>
                <w:webHidden/>
                <w:rStyle w:val="IndexLink"/>
                <w:rtl w:val="true"/>
              </w:rPr>
              <w:t>[</w:t>
            </w:r>
            <w:r>
              <w:rPr>
                <w:rStyle w:val="IndexLink"/>
                <w:rtl w:val="true"/>
              </w:rPr>
              <w:t>القول فی تکبیرة الإحرام</w:t>
            </w:r>
            <w:r>
              <w:rPr>
                <w:rStyle w:val="IndexLink"/>
                <w:rtl w:val="true"/>
              </w:rPr>
              <w:t>]</w:t>
              <w:tab/>
            </w:r>
            <w:r>
              <w:rPr>
                <w:rStyle w:val="IndexLink"/>
              </w:rPr>
              <w:t>230</w:t>
            </w:r>
          </w:hyperlink>
        </w:p>
        <w:p>
          <w:pPr>
            <w:pStyle w:val="Contents5"/>
            <w:tabs>
              <w:tab w:val="clear" w:pos="7892"/>
              <w:tab w:val="right" w:pos="9026" w:leader="dot"/>
            </w:tabs>
            <w:rPr/>
          </w:pPr>
          <w:hyperlink w:anchor="__RefHeading___Toc2566460_3650668749">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256646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الظاهر جواز وصلها بما قبلها من الدعاء</w:t>
            </w:r>
            <w:r>
              <w:rPr>
                <w:rStyle w:val="IndexLink"/>
                <w:rtl w:val="true"/>
              </w:rPr>
              <w:t>]</w:t>
              <w:tab/>
            </w:r>
            <w:r>
              <w:rPr>
                <w:rStyle w:val="IndexLink"/>
              </w:rPr>
              <w:t>231</w:t>
            </w:r>
          </w:hyperlink>
        </w:p>
        <w:p>
          <w:pPr>
            <w:pStyle w:val="Contents5"/>
            <w:tabs>
              <w:tab w:val="clear" w:pos="7892"/>
              <w:tab w:val="right" w:pos="9026" w:leader="dot"/>
            </w:tabs>
            <w:rPr/>
          </w:pPr>
          <w:hyperlink w:anchor="__RefHeading___Toc256646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یستحبّ زیادة ستّ تکبیرات علیٰ تکبیرة الإحرام قبلها أو بعدها أو بالتوزیع</w:t>
            </w:r>
            <w:r>
              <w:rPr>
                <w:rStyle w:val="IndexLink"/>
                <w:rtl w:val="true"/>
              </w:rPr>
              <w:t>]</w:t>
              <w:tab/>
            </w:r>
            <w:r>
              <w:rPr>
                <w:rStyle w:val="IndexLink"/>
              </w:rPr>
              <w:t>231</w:t>
            </w:r>
          </w:hyperlink>
        </w:p>
        <w:p>
          <w:pPr>
            <w:pStyle w:val="Contents5"/>
            <w:tabs>
              <w:tab w:val="clear" w:pos="7892"/>
              <w:tab w:val="right" w:pos="9026" w:leader="dot"/>
            </w:tabs>
            <w:rPr/>
          </w:pPr>
          <w:hyperlink w:anchor="__RefHeading___Toc256646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یستحبّ للإمام الجهر بتکبیرة الإحرام</w:t>
            </w:r>
            <w:r>
              <w:rPr>
                <w:rStyle w:val="IndexLink"/>
                <w:rtl w:val="true"/>
              </w:rPr>
              <w:t>]</w:t>
              <w:tab/>
            </w:r>
            <w:r>
              <w:rPr>
                <w:rStyle w:val="IndexLink"/>
              </w:rPr>
              <w:t>231</w:t>
            </w:r>
          </w:hyperlink>
        </w:p>
        <w:p>
          <w:pPr>
            <w:pStyle w:val="Contents5"/>
            <w:tabs>
              <w:tab w:val="clear" w:pos="7892"/>
              <w:tab w:val="right" w:pos="9026" w:leader="dot"/>
            </w:tabs>
            <w:rPr/>
          </w:pPr>
          <w:hyperlink w:anchor="__RefHeading___Toc256646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یستحبّ رفع الیدین عند التکبیر إلی الأُذنین أو إلیٰ حیال وجهه مبتدئاً بالتکبیر</w:t>
            </w:r>
            <w:r>
              <w:rPr>
                <w:rStyle w:val="IndexLink"/>
                <w:rtl w:val="true"/>
              </w:rPr>
              <w:t>]</w:t>
              <w:tab/>
            </w:r>
            <w:r>
              <w:rPr>
                <w:rStyle w:val="IndexLink"/>
              </w:rPr>
              <w:t>231</w:t>
            </w:r>
          </w:hyperlink>
        </w:p>
        <w:p>
          <w:pPr>
            <w:pStyle w:val="Contents5"/>
            <w:tabs>
              <w:tab w:val="clear" w:pos="7892"/>
              <w:tab w:val="right" w:pos="9026" w:leader="dot"/>
            </w:tabs>
            <w:rPr/>
          </w:pPr>
          <w:hyperlink w:anchor="__RefHeading___Toc256647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کبّر ثمّ شکّ فی کونه تکبیرة الإحرام أو الرکوع</w:t>
            </w:r>
            <w:r>
              <w:rPr>
                <w:rStyle w:val="IndexLink"/>
                <w:rtl w:val="true"/>
              </w:rPr>
              <w:t>]</w:t>
              <w:tab/>
            </w:r>
            <w:r>
              <w:rPr>
                <w:rStyle w:val="IndexLink"/>
              </w:rPr>
              <w:t>231</w:t>
            </w:r>
          </w:hyperlink>
        </w:p>
        <w:p>
          <w:pPr>
            <w:pStyle w:val="Contents4"/>
            <w:tabs>
              <w:tab w:val="clear" w:pos="8176"/>
              <w:tab w:val="right" w:pos="9026" w:leader="dot"/>
            </w:tabs>
            <w:rPr/>
          </w:pPr>
          <w:hyperlink w:anchor="__RefHeading___Toc2566472_3650668749">
            <w:r>
              <w:rPr>
                <w:webHidden/>
                <w:rStyle w:val="IndexLink"/>
                <w:rtl w:val="true"/>
              </w:rPr>
              <w:t>[</w:t>
            </w:r>
            <w:r>
              <w:rPr>
                <w:rStyle w:val="IndexLink"/>
                <w:rtl w:val="true"/>
              </w:rPr>
              <w:t>القول فی القیام</w:t>
            </w:r>
            <w:r>
              <w:rPr>
                <w:rStyle w:val="IndexLink"/>
                <w:rtl w:val="true"/>
              </w:rPr>
              <w:t>]</w:t>
              <w:tab/>
            </w:r>
            <w:r>
              <w:rPr>
                <w:rStyle w:val="IndexLink"/>
              </w:rPr>
              <w:t>231</w:t>
            </w:r>
          </w:hyperlink>
        </w:p>
        <w:p>
          <w:pPr>
            <w:pStyle w:val="Contents5"/>
            <w:tabs>
              <w:tab w:val="clear" w:pos="7892"/>
              <w:tab w:val="right" w:pos="9026" w:leader="dot"/>
            </w:tabs>
            <w:rPr/>
          </w:pPr>
          <w:hyperlink w:anchor="__RefHeading___Toc2566474_3650668749">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256647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القیام رکن فی تکبیرة الإحرام التی تقارنها النیّة</w:t>
            </w:r>
            <w:r>
              <w:rPr>
                <w:rStyle w:val="IndexLink"/>
                <w:rtl w:val="true"/>
              </w:rPr>
              <w:t>]</w:t>
              <w:tab/>
            </w:r>
            <w:r>
              <w:rPr>
                <w:rStyle w:val="IndexLink"/>
              </w:rPr>
              <w:t>231</w:t>
            </w:r>
          </w:hyperlink>
        </w:p>
        <w:p>
          <w:pPr>
            <w:pStyle w:val="Contents5"/>
            <w:tabs>
              <w:tab w:val="clear" w:pos="7892"/>
              <w:tab w:val="right" w:pos="9026" w:leader="dot"/>
            </w:tabs>
            <w:rPr/>
          </w:pPr>
          <w:hyperlink w:anchor="__RefHeading___Toc256647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یجب مع الإمکان الاعتدال فی القیام و الانتصاب بحسب حال المصلّی</w:t>
            </w:r>
            <w:r>
              <w:rPr>
                <w:rStyle w:val="IndexLink"/>
                <w:rtl w:val="true"/>
              </w:rPr>
              <w:t>]</w:t>
              <w:tab/>
            </w:r>
            <w:r>
              <w:rPr>
                <w:rStyle w:val="IndexLink"/>
              </w:rPr>
              <w:t>232</w:t>
            </w:r>
          </w:hyperlink>
        </w:p>
        <w:p>
          <w:pPr>
            <w:pStyle w:val="Contents5"/>
            <w:tabs>
              <w:tab w:val="clear" w:pos="7892"/>
              <w:tab w:val="right" w:pos="9026" w:leader="dot"/>
            </w:tabs>
            <w:rPr/>
          </w:pPr>
          <w:hyperlink w:anchor="__RefHeading___Toc256648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یعتبر فی القیام عدم التفریج الفاحش بین الرجلین</w:t>
            </w:r>
            <w:r>
              <w:rPr>
                <w:rStyle w:val="IndexLink"/>
                <w:rtl w:val="true"/>
              </w:rPr>
              <w:t>]</w:t>
              <w:tab/>
            </w:r>
            <w:r>
              <w:rPr>
                <w:rStyle w:val="IndexLink"/>
              </w:rPr>
              <w:t>232</w:t>
            </w:r>
          </w:hyperlink>
        </w:p>
        <w:p>
          <w:pPr>
            <w:pStyle w:val="Contents5"/>
            <w:tabs>
              <w:tab w:val="clear" w:pos="7892"/>
              <w:tab w:val="right" w:pos="9026" w:leader="dot"/>
            </w:tabs>
            <w:rPr/>
          </w:pPr>
          <w:hyperlink w:anchor="__RefHeading___Toc256648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لا یجب التسویة بین الرجلین فی الاعتماد</w:t>
            </w:r>
            <w:r>
              <w:rPr>
                <w:rStyle w:val="IndexLink"/>
                <w:rtl w:val="true"/>
              </w:rPr>
              <w:t>]</w:t>
              <w:tab/>
            </w:r>
            <w:r>
              <w:rPr>
                <w:rStyle w:val="IndexLink"/>
              </w:rPr>
              <w:t>232</w:t>
            </w:r>
          </w:hyperlink>
        </w:p>
        <w:p>
          <w:pPr>
            <w:pStyle w:val="Contents5"/>
            <w:tabs>
              <w:tab w:val="clear" w:pos="7892"/>
              <w:tab w:val="right" w:pos="9026" w:leader="dot"/>
            </w:tabs>
            <w:rPr/>
          </w:pPr>
          <w:hyperlink w:anchor="__RefHeading___Toc256648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لم یقدر علی القیام أصلًا و لو مستنداً أو منحنیاً أو متفرّجاً</w:t>
            </w:r>
            <w:r>
              <w:rPr>
                <w:rStyle w:val="IndexLink"/>
                <w:rtl w:val="true"/>
              </w:rPr>
              <w:t>]</w:t>
              <w:tab/>
            </w:r>
            <w:r>
              <w:rPr>
                <w:rStyle w:val="IndexLink"/>
              </w:rPr>
              <w:t>232</w:t>
            </w:r>
          </w:hyperlink>
        </w:p>
        <w:p>
          <w:pPr>
            <w:pStyle w:val="Contents5"/>
            <w:tabs>
              <w:tab w:val="clear" w:pos="7892"/>
              <w:tab w:val="right" w:pos="9026" w:leader="dot"/>
            </w:tabs>
            <w:rPr/>
          </w:pPr>
          <w:hyperlink w:anchor="__RefHeading___Toc2566486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تمکّن من القیام و لم یتمکّن من الرکوع قائماً</w:t>
            </w:r>
            <w:r>
              <w:rPr>
                <w:rStyle w:val="IndexLink"/>
                <w:rtl w:val="true"/>
              </w:rPr>
              <w:t>]</w:t>
              <w:tab/>
            </w:r>
            <w:r>
              <w:rPr>
                <w:rStyle w:val="IndexLink"/>
              </w:rPr>
              <w:t>232</w:t>
            </w:r>
          </w:hyperlink>
        </w:p>
        <w:p>
          <w:pPr>
            <w:pStyle w:val="Contents5"/>
            <w:tabs>
              <w:tab w:val="clear" w:pos="7892"/>
              <w:tab w:val="right" w:pos="9026" w:leader="dot"/>
            </w:tabs>
            <w:rPr/>
          </w:pPr>
          <w:hyperlink w:anchor="__RefHeading___Toc2566488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قدر علی القیام فی بعض الرکعات دون الجمیع</w:t>
            </w:r>
            <w:r>
              <w:rPr>
                <w:rStyle w:val="IndexLink"/>
                <w:rtl w:val="true"/>
              </w:rPr>
              <w:t>]</w:t>
              <w:tab/>
            </w:r>
            <w:r>
              <w:rPr>
                <w:rStyle w:val="IndexLink"/>
              </w:rPr>
              <w:t>233</w:t>
            </w:r>
          </w:hyperlink>
        </w:p>
        <w:p>
          <w:pPr>
            <w:pStyle w:val="Contents5"/>
            <w:tabs>
              <w:tab w:val="clear" w:pos="7892"/>
              <w:tab w:val="right" w:pos="9026" w:leader="dot"/>
            </w:tabs>
            <w:rPr/>
          </w:pPr>
          <w:hyperlink w:anchor="__RefHeading___Toc2566490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یجب الاستقرار فی القیام و غیره من أفعال الفریضة</w:t>
            </w:r>
            <w:r>
              <w:rPr>
                <w:rStyle w:val="IndexLink"/>
                <w:rtl w:val="true"/>
              </w:rPr>
              <w:t>]</w:t>
              <w:tab/>
            </w:r>
            <w:r>
              <w:rPr>
                <w:rStyle w:val="IndexLink"/>
              </w:rPr>
              <w:t>233</w:t>
            </w:r>
          </w:hyperlink>
        </w:p>
        <w:p>
          <w:pPr>
            <w:pStyle w:val="Contents4"/>
            <w:tabs>
              <w:tab w:val="clear" w:pos="8176"/>
              <w:tab w:val="right" w:pos="9026" w:leader="dot"/>
            </w:tabs>
            <w:rPr/>
          </w:pPr>
          <w:hyperlink w:anchor="__RefHeading___Toc2566492_3650668749">
            <w:r>
              <w:rPr>
                <w:webHidden/>
                <w:rStyle w:val="IndexLink"/>
                <w:rtl w:val="true"/>
              </w:rPr>
              <w:t>[</w:t>
            </w:r>
            <w:r>
              <w:rPr>
                <w:rStyle w:val="IndexLink"/>
                <w:rtl w:val="true"/>
              </w:rPr>
              <w:t>القول فی القراءة و الذکر</w:t>
            </w:r>
            <w:r>
              <w:rPr>
                <w:rStyle w:val="IndexLink"/>
                <w:rtl w:val="true"/>
              </w:rPr>
              <w:t>]</w:t>
              <w:tab/>
            </w:r>
            <w:r>
              <w:rPr>
                <w:rStyle w:val="IndexLink"/>
              </w:rPr>
              <w:t>233</w:t>
            </w:r>
          </w:hyperlink>
        </w:p>
        <w:p>
          <w:pPr>
            <w:pStyle w:val="Contents5"/>
            <w:tabs>
              <w:tab w:val="clear" w:pos="7892"/>
              <w:tab w:val="right" w:pos="9026" w:leader="dot"/>
            </w:tabs>
            <w:rPr/>
          </w:pPr>
          <w:hyperlink w:anchor="__RefHeading___Toc2566494_3650668749">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256649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یجب فی الرکعة الاولیٰ و الثانیة من الفرائض قراءة الحمد و سورة کاملة عقیبها</w:t>
            </w:r>
            <w:r>
              <w:rPr>
                <w:rStyle w:val="IndexLink"/>
                <w:rtl w:val="true"/>
              </w:rPr>
              <w:t>]</w:t>
              <w:tab/>
            </w:r>
            <w:r>
              <w:rPr>
                <w:rStyle w:val="IndexLink"/>
              </w:rPr>
              <w:t>233</w:t>
            </w:r>
          </w:hyperlink>
        </w:p>
        <w:p>
          <w:pPr>
            <w:pStyle w:val="Contents5"/>
            <w:tabs>
              <w:tab w:val="clear" w:pos="7892"/>
              <w:tab w:val="right" w:pos="9026" w:leader="dot"/>
            </w:tabs>
            <w:rPr/>
          </w:pPr>
          <w:hyperlink w:anchor="__RefHeading___Toc256649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یجب قراءة الحمد فی النوافل کالفرائض</w:t>
            </w:r>
            <w:r>
              <w:rPr>
                <w:rStyle w:val="IndexLink"/>
                <w:rtl w:val="true"/>
              </w:rPr>
              <w:t>]</w:t>
              <w:tab/>
            </w:r>
            <w:r>
              <w:rPr>
                <w:rStyle w:val="IndexLink"/>
              </w:rPr>
              <w:t>233</w:t>
            </w:r>
          </w:hyperlink>
        </w:p>
        <w:p>
          <w:pPr>
            <w:pStyle w:val="Contents5"/>
            <w:tabs>
              <w:tab w:val="clear" w:pos="7892"/>
              <w:tab w:val="right" w:pos="9026" w:leader="dot"/>
            </w:tabs>
            <w:rPr/>
          </w:pPr>
          <w:hyperlink w:anchor="__RefHeading___Toc256650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الأقویٰ جواز قراءة أزید من سورة واحدة فی رکعة فی الفریضة</w:t>
            </w:r>
            <w:r>
              <w:rPr>
                <w:rStyle w:val="IndexLink"/>
                <w:rtl w:val="true"/>
              </w:rPr>
              <w:t>]</w:t>
              <w:tab/>
            </w:r>
            <w:r>
              <w:rPr>
                <w:rStyle w:val="IndexLink"/>
              </w:rPr>
              <w:t>233</w:t>
            </w:r>
          </w:hyperlink>
        </w:p>
        <w:p>
          <w:pPr>
            <w:pStyle w:val="Contents5"/>
            <w:tabs>
              <w:tab w:val="clear" w:pos="7892"/>
              <w:tab w:val="right" w:pos="9026" w:leader="dot"/>
            </w:tabs>
            <w:rPr/>
          </w:pPr>
          <w:hyperlink w:anchor="__RefHeading___Toc256650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البسملة جزء من کلّ سورة</w:t>
            </w:r>
            <w:r>
              <w:rPr>
                <w:rStyle w:val="IndexLink"/>
                <w:rtl w:val="true"/>
              </w:rPr>
              <w:t>]</w:t>
              <w:tab/>
            </w:r>
            <w:r>
              <w:rPr>
                <w:rStyle w:val="IndexLink"/>
              </w:rPr>
              <w:t>234</w:t>
            </w:r>
          </w:hyperlink>
        </w:p>
        <w:p>
          <w:pPr>
            <w:pStyle w:val="Contents5"/>
            <w:tabs>
              <w:tab w:val="clear" w:pos="7892"/>
              <w:tab w:val="right" w:pos="9026" w:leader="dot"/>
            </w:tabs>
            <w:rPr/>
          </w:pPr>
          <w:hyperlink w:anchor="__RefHeading___Toc2566504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 xml:space="preserve">سورتا </w:t>
            </w:r>
            <w:r>
              <w:rPr>
                <w:rStyle w:val="IndexLink"/>
                <w:rtl w:val="true"/>
              </w:rPr>
              <w:t>«</w:t>
            </w:r>
            <w:r>
              <w:rPr>
                <w:rStyle w:val="IndexLink"/>
                <w:rtl w:val="true"/>
              </w:rPr>
              <w:t>الفیل</w:t>
            </w:r>
            <w:r>
              <w:rPr>
                <w:rStyle w:val="IndexLink"/>
                <w:rtl w:val="true"/>
              </w:rPr>
              <w:t xml:space="preserve">» </w:t>
            </w:r>
            <w:r>
              <w:rPr>
                <w:rStyle w:val="IndexLink"/>
                <w:rtl w:val="true"/>
              </w:rPr>
              <w:t xml:space="preserve">و </w:t>
            </w:r>
            <w:r>
              <w:rPr>
                <w:rStyle w:val="IndexLink"/>
                <w:rtl w:val="true"/>
              </w:rPr>
              <w:t>«</w:t>
            </w:r>
            <w:r>
              <w:rPr>
                <w:rStyle w:val="IndexLink"/>
                <w:rtl w:val="true"/>
              </w:rPr>
              <w:t>لإیلاف</w:t>
            </w:r>
            <w:r>
              <w:rPr>
                <w:rStyle w:val="IndexLink"/>
                <w:rtl w:val="true"/>
              </w:rPr>
              <w:t xml:space="preserve">» </w:t>
            </w:r>
            <w:r>
              <w:rPr>
                <w:rStyle w:val="IndexLink"/>
                <w:rtl w:val="true"/>
              </w:rPr>
              <w:t>سورة واحدة</w:t>
            </w:r>
            <w:r>
              <w:rPr>
                <w:rStyle w:val="IndexLink"/>
                <w:rtl w:val="true"/>
              </w:rPr>
              <w:t>]</w:t>
              <w:tab/>
            </w:r>
            <w:r>
              <w:rPr>
                <w:rStyle w:val="IndexLink"/>
              </w:rPr>
              <w:t>234</w:t>
            </w:r>
          </w:hyperlink>
        </w:p>
        <w:p>
          <w:pPr>
            <w:pStyle w:val="Contents5"/>
            <w:tabs>
              <w:tab w:val="clear" w:pos="7892"/>
              <w:tab w:val="right" w:pos="9026" w:leader="dot"/>
            </w:tabs>
            <w:rPr/>
          </w:pPr>
          <w:hyperlink w:anchor="__RefHeading___Toc2566506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یجب تعیین السورة عند الشروع فی البسملة علی الأحوط</w:t>
            </w:r>
            <w:r>
              <w:rPr>
                <w:rStyle w:val="IndexLink"/>
                <w:rtl w:val="true"/>
              </w:rPr>
              <w:t>]</w:t>
              <w:tab/>
            </w:r>
            <w:r>
              <w:rPr>
                <w:rStyle w:val="IndexLink"/>
              </w:rPr>
              <w:t>234</w:t>
            </w:r>
          </w:hyperlink>
        </w:p>
        <w:p>
          <w:pPr>
            <w:pStyle w:val="Contents5"/>
            <w:tabs>
              <w:tab w:val="clear" w:pos="7892"/>
              <w:tab w:val="right" w:pos="9026" w:leader="dot"/>
            </w:tabs>
            <w:rPr/>
          </w:pPr>
          <w:hyperlink w:anchor="__RefHeading___Toc2566508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یجوز العدول اختیاراً من سورة إلیٰ غیرها ما لم یبلغ النصف</w:t>
            </w:r>
            <w:r>
              <w:rPr>
                <w:rStyle w:val="IndexLink"/>
                <w:rtl w:val="true"/>
              </w:rPr>
              <w:t>]</w:t>
              <w:tab/>
            </w:r>
            <w:r>
              <w:rPr>
                <w:rStyle w:val="IndexLink"/>
              </w:rPr>
              <w:t>234</w:t>
            </w:r>
          </w:hyperlink>
        </w:p>
        <w:p>
          <w:pPr>
            <w:pStyle w:val="Contents5"/>
            <w:tabs>
              <w:tab w:val="clear" w:pos="7892"/>
              <w:tab w:val="right" w:pos="9026" w:leader="dot"/>
            </w:tabs>
            <w:rPr/>
          </w:pPr>
          <w:hyperlink w:anchor="__RefHeading___Toc2566510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یجب الإخفات بالقراءة عدا البسملة فی الظهر و العصر</w:t>
            </w:r>
            <w:r>
              <w:rPr>
                <w:rStyle w:val="IndexLink"/>
                <w:rtl w:val="true"/>
              </w:rPr>
              <w:t>]</w:t>
              <w:tab/>
            </w:r>
            <w:r>
              <w:rPr>
                <w:rStyle w:val="IndexLink"/>
              </w:rPr>
              <w:t>234</w:t>
            </w:r>
          </w:hyperlink>
        </w:p>
        <w:p>
          <w:pPr>
            <w:pStyle w:val="Contents5"/>
            <w:tabs>
              <w:tab w:val="clear" w:pos="7892"/>
              <w:tab w:val="right" w:pos="9026" w:leader="dot"/>
            </w:tabs>
            <w:rPr/>
          </w:pPr>
          <w:hyperlink w:anchor="__RefHeading___Toc2566512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یستحبّ للرجال الجهر بالبسملة فی الظهرین للحمد و السورة</w:t>
            </w:r>
            <w:r>
              <w:rPr>
                <w:rStyle w:val="IndexLink"/>
                <w:rtl w:val="true"/>
              </w:rPr>
              <w:t>]</w:t>
              <w:tab/>
            </w:r>
            <w:r>
              <w:rPr>
                <w:rStyle w:val="IndexLink"/>
              </w:rPr>
              <w:t>235</w:t>
            </w:r>
          </w:hyperlink>
        </w:p>
        <w:p>
          <w:pPr>
            <w:pStyle w:val="Contents5"/>
            <w:tabs>
              <w:tab w:val="clear" w:pos="7892"/>
              <w:tab w:val="right" w:pos="9026" w:leader="dot"/>
            </w:tabs>
            <w:rPr/>
          </w:pPr>
          <w:hyperlink w:anchor="__RefHeading___Toc2566514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مناط الجهر و الإخفات ظهور جوهر الصوت و عدمه</w:t>
            </w:r>
            <w:r>
              <w:rPr>
                <w:rStyle w:val="IndexLink"/>
                <w:rtl w:val="true"/>
              </w:rPr>
              <w:t>]</w:t>
              <w:tab/>
            </w:r>
            <w:r>
              <w:rPr>
                <w:rStyle w:val="IndexLink"/>
              </w:rPr>
              <w:t>235</w:t>
            </w:r>
          </w:hyperlink>
        </w:p>
        <w:p>
          <w:pPr>
            <w:pStyle w:val="Contents5"/>
            <w:tabs>
              <w:tab w:val="clear" w:pos="7892"/>
              <w:tab w:val="right" w:pos="9026" w:leader="dot"/>
            </w:tabs>
            <w:rPr/>
          </w:pPr>
          <w:hyperlink w:anchor="__RefHeading___Toc2566516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یجب القراءة الصحیحة</w:t>
            </w:r>
            <w:r>
              <w:rPr>
                <w:rStyle w:val="IndexLink"/>
                <w:rtl w:val="true"/>
              </w:rPr>
              <w:t>]</w:t>
              <w:tab/>
            </w:r>
            <w:r>
              <w:rPr>
                <w:rStyle w:val="IndexLink"/>
              </w:rPr>
              <w:t>235</w:t>
            </w:r>
          </w:hyperlink>
        </w:p>
        <w:p>
          <w:pPr>
            <w:pStyle w:val="Contents5"/>
            <w:tabs>
              <w:tab w:val="clear" w:pos="7892"/>
              <w:tab w:val="right" w:pos="9026" w:leader="dot"/>
            </w:tabs>
            <w:rPr/>
          </w:pPr>
          <w:hyperlink w:anchor="__RefHeading___Toc2566518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المدار فی صحّة القراءة علیٰ أداء الحروف من مخارجها</w:t>
            </w:r>
            <w:r>
              <w:rPr>
                <w:rStyle w:val="IndexLink"/>
                <w:rtl w:val="true"/>
              </w:rPr>
              <w:t>]</w:t>
              <w:tab/>
            </w:r>
            <w:r>
              <w:rPr>
                <w:rStyle w:val="IndexLink"/>
              </w:rPr>
              <w:t>235</w:t>
            </w:r>
          </w:hyperlink>
        </w:p>
        <w:p>
          <w:pPr>
            <w:pStyle w:val="Contents5"/>
            <w:tabs>
              <w:tab w:val="clear" w:pos="7892"/>
              <w:tab w:val="right" w:pos="9026" w:leader="dot"/>
            </w:tabs>
            <w:rPr/>
          </w:pPr>
          <w:hyperlink w:anchor="__RefHeading___Toc2566520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الأحوط القراءة بإحدی القراءات السبع</w:t>
            </w:r>
            <w:r>
              <w:rPr>
                <w:rStyle w:val="IndexLink"/>
                <w:rtl w:val="true"/>
              </w:rPr>
              <w:t>]</w:t>
              <w:tab/>
            </w:r>
            <w:r>
              <w:rPr>
                <w:rStyle w:val="IndexLink"/>
              </w:rPr>
              <w:t>236</w:t>
            </w:r>
          </w:hyperlink>
        </w:p>
        <w:p>
          <w:pPr>
            <w:pStyle w:val="Contents5"/>
            <w:tabs>
              <w:tab w:val="clear" w:pos="7892"/>
              <w:tab w:val="right" w:pos="9026" w:leader="dot"/>
            </w:tabs>
            <w:rPr/>
          </w:pPr>
          <w:hyperlink w:anchor="__RefHeading___Toc2566522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 xml:space="preserve">یجوز قراءة </w:t>
            </w:r>
            <w:r>
              <w:rPr>
                <w:rStyle w:val="IndexLink"/>
                <w:rtl w:val="true"/>
              </w:rPr>
              <w:t>«</w:t>
            </w:r>
            <w:r>
              <w:rPr>
                <w:rStyle w:val="IndexLink"/>
                <w:rtl w:val="true"/>
              </w:rPr>
              <w:t>مَالِکِ یَوْمِ الدِّینِ</w:t>
            </w:r>
            <w:r>
              <w:rPr>
                <w:rStyle w:val="IndexLink"/>
                <w:rtl w:val="true"/>
              </w:rPr>
              <w:t xml:space="preserve">» </w:t>
            </w:r>
            <w:r>
              <w:rPr>
                <w:rStyle w:val="IndexLink"/>
                <w:rtl w:val="true"/>
              </w:rPr>
              <w:t xml:space="preserve">و </w:t>
            </w:r>
            <w:r>
              <w:rPr>
                <w:rStyle w:val="IndexLink"/>
                <w:rtl w:val="true"/>
              </w:rPr>
              <w:t>«</w:t>
            </w:r>
            <w:r>
              <w:rPr>
                <w:rStyle w:val="IndexLink"/>
                <w:rtl w:val="true"/>
              </w:rPr>
              <w:t>مَلِکِ یَوْمِ الدِّینِ</w:t>
            </w:r>
            <w:r>
              <w:rPr>
                <w:rStyle w:val="IndexLink"/>
                <w:rtl w:val="true"/>
              </w:rPr>
              <w:t>»]</w:t>
              <w:tab/>
            </w:r>
            <w:r>
              <w:rPr>
                <w:rStyle w:val="IndexLink"/>
              </w:rPr>
              <w:t>236</w:t>
            </w:r>
          </w:hyperlink>
        </w:p>
        <w:p>
          <w:pPr>
            <w:pStyle w:val="Contents5"/>
            <w:tabs>
              <w:tab w:val="clear" w:pos="7892"/>
              <w:tab w:val="right" w:pos="9026" w:leader="dot"/>
            </w:tabs>
            <w:rPr/>
          </w:pPr>
          <w:hyperlink w:anchor="__RefHeading___Toc2566524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من لا یقدر إلّا علی الملحون أو تبدیل بعض الحروف و لا یستطیع أن یتعلّم أجزأه ذلک</w:t>
            </w:r>
            <w:r>
              <w:rPr>
                <w:rStyle w:val="IndexLink"/>
                <w:rtl w:val="true"/>
              </w:rPr>
              <w:t>]</w:t>
              <w:tab/>
            </w:r>
            <w:r>
              <w:rPr>
                <w:rStyle w:val="IndexLink"/>
              </w:rPr>
              <w:t>236</w:t>
            </w:r>
          </w:hyperlink>
        </w:p>
        <w:p>
          <w:pPr>
            <w:pStyle w:val="Contents5"/>
            <w:tabs>
              <w:tab w:val="clear" w:pos="7892"/>
              <w:tab w:val="right" w:pos="9026" w:leader="dot"/>
            </w:tabs>
            <w:rPr/>
          </w:pPr>
          <w:hyperlink w:anchor="__RefHeading___Toc2566526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یتخیّر فیما عدا الرکعتین الأُولیین من فرائضه بین الذکر و الفاتحة</w:t>
            </w:r>
            <w:r>
              <w:rPr>
                <w:rStyle w:val="IndexLink"/>
                <w:rtl w:val="true"/>
              </w:rPr>
              <w:t>]</w:t>
              <w:tab/>
            </w:r>
            <w:r>
              <w:rPr>
                <w:rStyle w:val="IndexLink"/>
              </w:rPr>
              <w:t>236</w:t>
            </w:r>
          </w:hyperlink>
        </w:p>
        <w:p>
          <w:pPr>
            <w:pStyle w:val="Contents5"/>
            <w:tabs>
              <w:tab w:val="clear" w:pos="7892"/>
              <w:tab w:val="right" w:pos="9026" w:leader="dot"/>
            </w:tabs>
            <w:rPr/>
          </w:pPr>
          <w:hyperlink w:anchor="__RefHeading___Toc2566528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لو قصد التسبیح مثلًا فسبق لسانه إلی القراءة</w:t>
            </w:r>
            <w:r>
              <w:rPr>
                <w:rStyle w:val="IndexLink"/>
                <w:rtl w:val="true"/>
              </w:rPr>
              <w:t>]</w:t>
              <w:tab/>
            </w:r>
            <w:r>
              <w:rPr>
                <w:rStyle w:val="IndexLink"/>
              </w:rPr>
              <w:t>236</w:t>
            </w:r>
          </w:hyperlink>
        </w:p>
        <w:p>
          <w:pPr>
            <w:pStyle w:val="Contents5"/>
            <w:tabs>
              <w:tab w:val="clear" w:pos="7892"/>
              <w:tab w:val="right" w:pos="9026" w:leader="dot"/>
            </w:tabs>
            <w:rPr/>
          </w:pPr>
          <w:hyperlink w:anchor="__RefHeading___Toc2566530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إذا قرأ الفاتحة بتخیّل أنّه فی الأُولیین فتبیّن کونه فی الأخیرتین</w:t>
            </w:r>
            <w:r>
              <w:rPr>
                <w:rStyle w:val="IndexLink"/>
                <w:rtl w:val="true"/>
              </w:rPr>
              <w:t>]</w:t>
              <w:tab/>
            </w:r>
            <w:r>
              <w:rPr>
                <w:rStyle w:val="IndexLink"/>
              </w:rPr>
              <w:t>237</w:t>
            </w:r>
          </w:hyperlink>
        </w:p>
        <w:p>
          <w:pPr>
            <w:pStyle w:val="Contents5"/>
            <w:tabs>
              <w:tab w:val="clear" w:pos="7892"/>
              <w:tab w:val="right" w:pos="9026" w:leader="dot"/>
            </w:tabs>
            <w:rPr/>
          </w:pPr>
          <w:hyperlink w:anchor="__RefHeading___Toc2566532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الأحوط أن لا یزید علیٰ ثلاث تسبیحات إلّا بقصد الذکر المطلق</w:t>
            </w:r>
            <w:r>
              <w:rPr>
                <w:rStyle w:val="IndexLink"/>
                <w:rtl w:val="true"/>
              </w:rPr>
              <w:t>]</w:t>
              <w:tab/>
            </w:r>
            <w:r>
              <w:rPr>
                <w:rStyle w:val="IndexLink"/>
              </w:rPr>
              <w:t>237</w:t>
            </w:r>
          </w:hyperlink>
        </w:p>
        <w:p>
          <w:pPr>
            <w:pStyle w:val="Contents5"/>
            <w:tabs>
              <w:tab w:val="clear" w:pos="7892"/>
              <w:tab w:val="right" w:pos="9026" w:leader="dot"/>
            </w:tabs>
            <w:rPr/>
          </w:pPr>
          <w:hyperlink w:anchor="__RefHeading___Toc2566534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 xml:space="preserve">یستحبّ قراءة </w:t>
            </w:r>
            <w:r>
              <w:rPr>
                <w:rStyle w:val="IndexLink"/>
                <w:rtl w:val="true"/>
              </w:rPr>
              <w:t>«</w:t>
            </w:r>
            <w:r>
              <w:rPr>
                <w:rStyle w:val="IndexLink"/>
                <w:rtl w:val="true"/>
              </w:rPr>
              <w:t>عَمَّ یَتسائَلُون</w:t>
            </w:r>
            <w:r>
              <w:rPr>
                <w:rStyle w:val="IndexLink"/>
                <w:rtl w:val="true"/>
              </w:rPr>
              <w:t xml:space="preserve">» </w:t>
            </w:r>
            <w:r>
              <w:rPr>
                <w:rStyle w:val="IndexLink"/>
                <w:rtl w:val="true"/>
              </w:rPr>
              <w:t xml:space="preserve">أو </w:t>
            </w:r>
            <w:r>
              <w:rPr>
                <w:rStyle w:val="IndexLink"/>
                <w:rtl w:val="true"/>
              </w:rPr>
              <w:t>«</w:t>
            </w:r>
            <w:r>
              <w:rPr>
                <w:rStyle w:val="IndexLink"/>
                <w:rtl w:val="true"/>
              </w:rPr>
              <w:t>هَلْ أتی</w:t>
            </w:r>
            <w:r>
              <w:rPr>
                <w:rStyle w:val="IndexLink"/>
                <w:rtl w:val="true"/>
              </w:rPr>
              <w:t xml:space="preserve">» </w:t>
            </w:r>
            <w:r>
              <w:rPr>
                <w:rStyle w:val="IndexLink"/>
                <w:rtl w:val="true"/>
              </w:rPr>
              <w:t xml:space="preserve">أو </w:t>
            </w:r>
            <w:r>
              <w:rPr>
                <w:rStyle w:val="IndexLink"/>
                <w:rtl w:val="true"/>
              </w:rPr>
              <w:t>«</w:t>
            </w:r>
            <w:r>
              <w:rPr>
                <w:rStyle w:val="IndexLink"/>
                <w:rtl w:val="true"/>
              </w:rPr>
              <w:t>الغاشیة</w:t>
            </w:r>
            <w:r>
              <w:rPr>
                <w:rStyle w:val="IndexLink"/>
                <w:rtl w:val="true"/>
              </w:rPr>
              <w:t xml:space="preserve">» </w:t>
            </w:r>
            <w:r>
              <w:rPr>
                <w:rStyle w:val="IndexLink"/>
                <w:rtl w:val="true"/>
              </w:rPr>
              <w:t xml:space="preserve">أو </w:t>
            </w:r>
            <w:r>
              <w:rPr>
                <w:rStyle w:val="IndexLink"/>
                <w:rtl w:val="true"/>
              </w:rPr>
              <w:t>«</w:t>
            </w:r>
            <w:r>
              <w:rPr>
                <w:rStyle w:val="IndexLink"/>
                <w:rtl w:val="true"/>
              </w:rPr>
              <w:t>القیامة</w:t>
            </w:r>
            <w:r>
              <w:rPr>
                <w:rStyle w:val="IndexLink"/>
                <w:rtl w:val="true"/>
              </w:rPr>
              <w:t xml:space="preserve">» </w:t>
            </w:r>
            <w:r>
              <w:rPr>
                <w:rStyle w:val="IndexLink"/>
                <w:rtl w:val="true"/>
              </w:rPr>
              <w:t>و أشباهها فی صلاة الصبح</w:t>
            </w:r>
            <w:r>
              <w:rPr>
                <w:rStyle w:val="IndexLink"/>
                <w:rtl w:val="true"/>
              </w:rPr>
              <w:t>]</w:t>
              <w:tab/>
            </w:r>
            <w:r>
              <w:rPr>
                <w:rStyle w:val="IndexLink"/>
              </w:rPr>
              <w:t>237</w:t>
            </w:r>
          </w:hyperlink>
        </w:p>
        <w:p>
          <w:pPr>
            <w:pStyle w:val="Contents5"/>
            <w:tabs>
              <w:tab w:val="clear" w:pos="7892"/>
              <w:tab w:val="right" w:pos="9026" w:leader="dot"/>
            </w:tabs>
            <w:rPr/>
          </w:pPr>
          <w:hyperlink w:anchor="__RefHeading___Toc2566536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قد عرفت أنّه یجب الاستقرار حال القراءة و الأذکار</w:t>
            </w:r>
            <w:r>
              <w:rPr>
                <w:rStyle w:val="IndexLink"/>
                <w:rtl w:val="true"/>
              </w:rPr>
              <w:t>]</w:t>
              <w:tab/>
            </w:r>
            <w:r>
              <w:rPr>
                <w:rStyle w:val="IndexLink"/>
              </w:rPr>
              <w:t>237</w:t>
            </w:r>
          </w:hyperlink>
        </w:p>
        <w:p>
          <w:pPr>
            <w:pStyle w:val="Contents5"/>
            <w:tabs>
              <w:tab w:val="clear" w:pos="7892"/>
              <w:tab w:val="right" w:pos="9026" w:leader="dot"/>
            </w:tabs>
            <w:rPr/>
          </w:pPr>
          <w:hyperlink w:anchor="__RefHeading___Toc2566538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إذا شکّ فی صحّة قراءة آیة أو کلمة یجب إعادتها إذا لم یتجاوز</w:t>
            </w:r>
            <w:r>
              <w:rPr>
                <w:rStyle w:val="IndexLink"/>
                <w:rtl w:val="true"/>
              </w:rPr>
              <w:t>]</w:t>
              <w:tab/>
            </w:r>
            <w:r>
              <w:rPr>
                <w:rStyle w:val="IndexLink"/>
              </w:rPr>
              <w:t>237</w:t>
            </w:r>
          </w:hyperlink>
        </w:p>
        <w:p>
          <w:pPr>
            <w:pStyle w:val="Contents4"/>
            <w:tabs>
              <w:tab w:val="clear" w:pos="8176"/>
              <w:tab w:val="right" w:pos="9026" w:leader="dot"/>
            </w:tabs>
            <w:rPr/>
          </w:pPr>
          <w:hyperlink w:anchor="__RefHeading___Toc2566540_3650668749">
            <w:r>
              <w:rPr>
                <w:webHidden/>
                <w:rStyle w:val="IndexLink"/>
                <w:rtl w:val="true"/>
              </w:rPr>
              <w:t>[</w:t>
            </w:r>
            <w:r>
              <w:rPr>
                <w:rStyle w:val="IndexLink"/>
                <w:rtl w:val="true"/>
              </w:rPr>
              <w:t>القول فی الرکوع</w:t>
            </w:r>
            <w:r>
              <w:rPr>
                <w:rStyle w:val="IndexLink"/>
                <w:rtl w:val="true"/>
              </w:rPr>
              <w:t>]</w:t>
              <w:tab/>
            </w:r>
            <w:r>
              <w:rPr>
                <w:rStyle w:val="IndexLink"/>
              </w:rPr>
              <w:t>237</w:t>
            </w:r>
          </w:hyperlink>
        </w:p>
        <w:p>
          <w:pPr>
            <w:pStyle w:val="Contents5"/>
            <w:tabs>
              <w:tab w:val="clear" w:pos="7892"/>
              <w:tab w:val="right" w:pos="9026" w:leader="dot"/>
            </w:tabs>
            <w:rPr/>
          </w:pPr>
          <w:hyperlink w:anchor="__RefHeading___Toc2566542_3650668749">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256654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یجب فی کلّ رکعة من الفرائض الیومیّة رکوع واحد</w:t>
            </w:r>
            <w:r>
              <w:rPr>
                <w:rStyle w:val="IndexLink"/>
                <w:rtl w:val="true"/>
              </w:rPr>
              <w:t>]</w:t>
              <w:tab/>
            </w:r>
            <w:r>
              <w:rPr>
                <w:rStyle w:val="IndexLink"/>
              </w:rPr>
              <w:t>237</w:t>
            </w:r>
          </w:hyperlink>
        </w:p>
        <w:p>
          <w:pPr>
            <w:pStyle w:val="Contents5"/>
            <w:tabs>
              <w:tab w:val="clear" w:pos="7892"/>
              <w:tab w:val="right" w:pos="9026" w:leader="dot"/>
            </w:tabs>
            <w:rPr/>
          </w:pPr>
          <w:hyperlink w:anchor="__RefHeading___Toc256654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من لم یتمکّن من الانحناء المزبور اعتمد</w:t>
            </w:r>
            <w:r>
              <w:rPr>
                <w:rStyle w:val="IndexLink"/>
                <w:rtl w:val="true"/>
              </w:rPr>
              <w:t>]</w:t>
              <w:tab/>
            </w:r>
            <w:r>
              <w:rPr>
                <w:rStyle w:val="IndexLink"/>
              </w:rPr>
              <w:t>238</w:t>
            </w:r>
          </w:hyperlink>
        </w:p>
        <w:p>
          <w:pPr>
            <w:pStyle w:val="Contents5"/>
            <w:tabs>
              <w:tab w:val="clear" w:pos="7892"/>
              <w:tab w:val="right" w:pos="9026" w:leader="dot"/>
            </w:tabs>
            <w:rPr/>
          </w:pPr>
          <w:hyperlink w:anchor="__RefHeading___Toc256654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یعتبر فی الانحناء أن یکون بقصد الرکوع</w:t>
            </w:r>
            <w:r>
              <w:rPr>
                <w:rStyle w:val="IndexLink"/>
                <w:rtl w:val="true"/>
              </w:rPr>
              <w:t>]</w:t>
              <w:tab/>
            </w:r>
            <w:r>
              <w:rPr>
                <w:rStyle w:val="IndexLink"/>
              </w:rPr>
              <w:t>238</w:t>
            </w:r>
          </w:hyperlink>
        </w:p>
        <w:p>
          <w:pPr>
            <w:pStyle w:val="Contents5"/>
            <w:tabs>
              <w:tab w:val="clear" w:pos="7892"/>
              <w:tab w:val="right" w:pos="9026" w:leader="dot"/>
            </w:tabs>
            <w:rPr/>
          </w:pPr>
          <w:hyperlink w:anchor="__RefHeading___Toc256655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من کان کالراکع خلقةً أو لعارض إن تمکّن من الانتصاب و لو بالاعتماد</w:t>
            </w:r>
            <w:r>
              <w:rPr>
                <w:rStyle w:val="IndexLink"/>
                <w:rtl w:val="true"/>
              </w:rPr>
              <w:t>]</w:t>
              <w:tab/>
            </w:r>
            <w:r>
              <w:rPr>
                <w:rStyle w:val="IndexLink"/>
              </w:rPr>
              <w:t>238</w:t>
            </w:r>
          </w:hyperlink>
        </w:p>
        <w:p>
          <w:pPr>
            <w:pStyle w:val="Contents5"/>
            <w:tabs>
              <w:tab w:val="clear" w:pos="7892"/>
              <w:tab w:val="right" w:pos="9026" w:leader="dot"/>
            </w:tabs>
            <w:rPr/>
          </w:pPr>
          <w:hyperlink w:anchor="__RefHeading___Toc256655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نسی الرکوع فهویٰ إلی السجود و تذکّر قبل وضع جبهته علی الأرض</w:t>
            </w:r>
            <w:r>
              <w:rPr>
                <w:rStyle w:val="IndexLink"/>
                <w:rtl w:val="true"/>
              </w:rPr>
              <w:t>]</w:t>
              <w:tab/>
            </w:r>
            <w:r>
              <w:rPr>
                <w:rStyle w:val="IndexLink"/>
              </w:rPr>
              <w:t>238</w:t>
            </w:r>
          </w:hyperlink>
        </w:p>
        <w:p>
          <w:pPr>
            <w:pStyle w:val="Contents5"/>
            <w:tabs>
              <w:tab w:val="clear" w:pos="7892"/>
              <w:tab w:val="right" w:pos="9026" w:leader="dot"/>
            </w:tabs>
            <w:rPr/>
          </w:pPr>
          <w:hyperlink w:anchor="__RefHeading___Toc256655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یجب الذکر فی الرکوع</w:t>
            </w:r>
            <w:r>
              <w:rPr>
                <w:rStyle w:val="IndexLink"/>
                <w:rtl w:val="true"/>
              </w:rPr>
              <w:t>]</w:t>
              <w:tab/>
            </w:r>
            <w:r>
              <w:rPr>
                <w:rStyle w:val="IndexLink"/>
              </w:rPr>
              <w:t>239</w:t>
            </w:r>
          </w:hyperlink>
        </w:p>
        <w:p>
          <w:pPr>
            <w:pStyle w:val="Contents5"/>
            <w:tabs>
              <w:tab w:val="clear" w:pos="7892"/>
              <w:tab w:val="right" w:pos="9026" w:leader="dot"/>
            </w:tabs>
            <w:rPr/>
          </w:pPr>
          <w:hyperlink w:anchor="__RefHeading___Toc256655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تجب الطمأنینة حال الذکر الواجب</w:t>
            </w:r>
            <w:r>
              <w:rPr>
                <w:rStyle w:val="IndexLink"/>
                <w:rtl w:val="true"/>
              </w:rPr>
              <w:t>]</w:t>
              <w:tab/>
            </w:r>
            <w:r>
              <w:rPr>
                <w:rStyle w:val="IndexLink"/>
              </w:rPr>
              <w:t>239</w:t>
            </w:r>
          </w:hyperlink>
        </w:p>
        <w:p>
          <w:pPr>
            <w:pStyle w:val="Contents5"/>
            <w:tabs>
              <w:tab w:val="clear" w:pos="7892"/>
              <w:tab w:val="right" w:pos="9026" w:leader="dot"/>
            </w:tabs>
            <w:rPr/>
          </w:pPr>
          <w:hyperlink w:anchor="__RefHeading___Toc256655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یستحبّ التکبیر للرکوع و هو قائم منتصب</w:t>
            </w:r>
            <w:r>
              <w:rPr>
                <w:rStyle w:val="IndexLink"/>
                <w:rtl w:val="true"/>
              </w:rPr>
              <w:t>]</w:t>
              <w:tab/>
            </w:r>
            <w:r>
              <w:rPr>
                <w:rStyle w:val="IndexLink"/>
              </w:rPr>
              <w:t>239</w:t>
            </w:r>
          </w:hyperlink>
        </w:p>
        <w:p>
          <w:pPr>
            <w:pStyle w:val="Contents4"/>
            <w:tabs>
              <w:tab w:val="clear" w:pos="8176"/>
              <w:tab w:val="right" w:pos="9026" w:leader="dot"/>
            </w:tabs>
            <w:rPr/>
          </w:pPr>
          <w:hyperlink w:anchor="__RefHeading___Toc2566560_3650668749">
            <w:r>
              <w:rPr>
                <w:webHidden/>
                <w:rStyle w:val="IndexLink"/>
                <w:rtl w:val="true"/>
              </w:rPr>
              <w:t>[</w:t>
            </w:r>
            <w:r>
              <w:rPr>
                <w:rStyle w:val="IndexLink"/>
                <w:rtl w:val="true"/>
              </w:rPr>
              <w:t>القول فی السجود</w:t>
            </w:r>
            <w:r>
              <w:rPr>
                <w:rStyle w:val="IndexLink"/>
                <w:rtl w:val="true"/>
              </w:rPr>
              <w:t>]</w:t>
              <w:tab/>
            </w:r>
            <w:r>
              <w:rPr>
                <w:rStyle w:val="IndexLink"/>
              </w:rPr>
              <w:t>240</w:t>
            </w:r>
          </w:hyperlink>
        </w:p>
        <w:p>
          <w:pPr>
            <w:pStyle w:val="Contents5"/>
            <w:tabs>
              <w:tab w:val="clear" w:pos="7892"/>
              <w:tab w:val="right" w:pos="9026" w:leader="dot"/>
            </w:tabs>
            <w:rPr/>
          </w:pPr>
          <w:hyperlink w:anchor="__RefHeading___Toc2566562_3650668749">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2566564_3650668749">
            <w:r>
              <w:rPr>
                <w:webHidden/>
                <w:rStyle w:val="IndexLink"/>
                <w:rtl w:val="true"/>
              </w:rPr>
              <w:t>[</w:t>
            </w:r>
            <w:r>
              <w:rPr>
                <w:rStyle w:val="IndexLink"/>
                <w:rtl w:val="true"/>
              </w:rPr>
              <w:t>مسائل</w:t>
            </w:r>
            <w:r>
              <w:rPr>
                <w:rStyle w:val="IndexLink"/>
                <w:rtl w:val="true"/>
              </w:rPr>
              <w:t>]</w:t>
              <w:tab/>
            </w:r>
            <w:r>
              <w:rPr>
                <w:rStyle w:val="IndexLink"/>
              </w:rPr>
              <w:t>240</w:t>
            </w:r>
          </w:hyperlink>
        </w:p>
        <w:p>
          <w:pPr>
            <w:pStyle w:val="Contents6"/>
            <w:tabs>
              <w:tab w:val="clear" w:pos="7609"/>
              <w:tab w:val="right" w:pos="9026" w:leader="dot"/>
            </w:tabs>
            <w:rPr/>
          </w:pPr>
          <w:hyperlink w:anchor="__RefHeading___Toc256656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یجب فی کلّ رکعة سجدتان</w:t>
            </w:r>
            <w:r>
              <w:rPr>
                <w:rStyle w:val="IndexLink"/>
                <w:rtl w:val="true"/>
              </w:rPr>
              <w:t>]</w:t>
              <w:tab/>
            </w:r>
            <w:r>
              <w:rPr>
                <w:rStyle w:val="IndexLink"/>
              </w:rPr>
              <w:t>240</w:t>
            </w:r>
          </w:hyperlink>
        </w:p>
        <w:p>
          <w:pPr>
            <w:pStyle w:val="Contents6"/>
            <w:tabs>
              <w:tab w:val="clear" w:pos="7609"/>
              <w:tab w:val="right" w:pos="9026" w:leader="dot"/>
            </w:tabs>
            <w:rPr/>
          </w:pPr>
          <w:hyperlink w:anchor="__RefHeading___Toc256656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الأحوط الاعتماد علی الأعضاء السبعة فلا یجزی مجرّد المماسّة</w:t>
            </w:r>
            <w:r>
              <w:rPr>
                <w:rStyle w:val="IndexLink"/>
                <w:rtl w:val="true"/>
              </w:rPr>
              <w:t>]</w:t>
              <w:tab/>
            </w:r>
            <w:r>
              <w:rPr>
                <w:rStyle w:val="IndexLink"/>
              </w:rPr>
              <w:t>241</w:t>
            </w:r>
          </w:hyperlink>
        </w:p>
        <w:p>
          <w:pPr>
            <w:pStyle w:val="Contents6"/>
            <w:tabs>
              <w:tab w:val="clear" w:pos="7609"/>
              <w:tab w:val="right" w:pos="9026" w:leader="dot"/>
            </w:tabs>
            <w:rPr/>
          </w:pPr>
          <w:hyperlink w:anchor="__RefHeading___Toc256657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المراد بالموقف الذی یجب عدم التفاوت بینه و بین موضع الجبهة</w:t>
            </w:r>
            <w:r>
              <w:rPr>
                <w:rStyle w:val="IndexLink"/>
                <w:rtl w:val="true"/>
              </w:rPr>
              <w:t>]</w:t>
              <w:tab/>
            </w:r>
            <w:r>
              <w:rPr>
                <w:rStyle w:val="IndexLink"/>
              </w:rPr>
              <w:t>241</w:t>
            </w:r>
          </w:hyperlink>
        </w:p>
        <w:p>
          <w:pPr>
            <w:pStyle w:val="Contents6"/>
            <w:tabs>
              <w:tab w:val="clear" w:pos="7609"/>
              <w:tab w:val="right" w:pos="9026" w:leader="dot"/>
            </w:tabs>
            <w:rPr/>
          </w:pPr>
          <w:hyperlink w:anchor="__RefHeading___Toc256657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لو وقعت جبهته علیٰ مکان مرتفع أزید من المقدار المغتفر</w:t>
            </w:r>
            <w:r>
              <w:rPr>
                <w:rStyle w:val="IndexLink"/>
                <w:rtl w:val="true"/>
              </w:rPr>
              <w:t>]</w:t>
              <w:tab/>
            </w:r>
            <w:r>
              <w:rPr>
                <w:rStyle w:val="IndexLink"/>
              </w:rPr>
              <w:t>242</w:t>
            </w:r>
          </w:hyperlink>
        </w:p>
        <w:p>
          <w:pPr>
            <w:pStyle w:val="Contents6"/>
            <w:tabs>
              <w:tab w:val="clear" w:pos="7609"/>
              <w:tab w:val="right" w:pos="9026" w:leader="dot"/>
            </w:tabs>
            <w:rPr/>
          </w:pPr>
          <w:hyperlink w:anchor="__RefHeading___Toc256657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وضع جبهته علی الممنوع من السجود علیه جرّها عنه جرّاً إلیٰ ما یجوز السجود علیه</w:t>
            </w:r>
            <w:r>
              <w:rPr>
                <w:rStyle w:val="IndexLink"/>
                <w:rtl w:val="true"/>
              </w:rPr>
              <w:t>]</w:t>
              <w:tab/>
            </w:r>
            <w:r>
              <w:rPr>
                <w:rStyle w:val="IndexLink"/>
              </w:rPr>
              <w:t>242</w:t>
            </w:r>
          </w:hyperlink>
        </w:p>
        <w:p>
          <w:pPr>
            <w:pStyle w:val="Contents6"/>
            <w:tabs>
              <w:tab w:val="clear" w:pos="7609"/>
              <w:tab w:val="right" w:pos="9026" w:leader="dot"/>
            </w:tabs>
            <w:rPr/>
          </w:pPr>
          <w:hyperlink w:anchor="__RefHeading___Toc2566576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من کان بجبهته علّة کالدمل</w:t>
            </w:r>
            <w:r>
              <w:rPr>
                <w:rStyle w:val="IndexLink"/>
                <w:rtl w:val="true"/>
              </w:rPr>
              <w:t>]</w:t>
              <w:tab/>
            </w:r>
            <w:r>
              <w:rPr>
                <w:rStyle w:val="IndexLink"/>
              </w:rPr>
              <w:t>242</w:t>
            </w:r>
          </w:hyperlink>
        </w:p>
        <w:p>
          <w:pPr>
            <w:pStyle w:val="Contents6"/>
            <w:tabs>
              <w:tab w:val="clear" w:pos="7609"/>
              <w:tab w:val="right" w:pos="9026" w:leader="dot"/>
            </w:tabs>
            <w:rPr/>
          </w:pPr>
          <w:hyperlink w:anchor="__RefHeading___Toc2566578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ارتفعت الجبهة من الأرض قهراً و عادت إلیها قهراً لم یتکرّر السجدة</w:t>
            </w:r>
            <w:r>
              <w:rPr>
                <w:rStyle w:val="IndexLink"/>
                <w:rtl w:val="true"/>
              </w:rPr>
              <w:t>]</w:t>
              <w:tab/>
            </w:r>
            <w:r>
              <w:rPr>
                <w:rStyle w:val="IndexLink"/>
              </w:rPr>
              <w:t>242</w:t>
            </w:r>
          </w:hyperlink>
        </w:p>
        <w:p>
          <w:pPr>
            <w:pStyle w:val="Contents6"/>
            <w:tabs>
              <w:tab w:val="clear" w:pos="7609"/>
              <w:tab w:val="right" w:pos="9026" w:leader="dot"/>
            </w:tabs>
            <w:rPr/>
          </w:pPr>
          <w:hyperlink w:anchor="__RefHeading___Toc2566580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من عجز عن السجود انحنیٰ بقدر ما یتمکّن</w:t>
            </w:r>
            <w:r>
              <w:rPr>
                <w:rStyle w:val="IndexLink"/>
                <w:rtl w:val="true"/>
              </w:rPr>
              <w:t>]</w:t>
              <w:tab/>
            </w:r>
            <w:r>
              <w:rPr>
                <w:rStyle w:val="IndexLink"/>
              </w:rPr>
              <w:t>243</w:t>
            </w:r>
          </w:hyperlink>
        </w:p>
        <w:p>
          <w:pPr>
            <w:pStyle w:val="Contents6"/>
            <w:tabs>
              <w:tab w:val="clear" w:pos="7609"/>
              <w:tab w:val="right" w:pos="9026" w:leader="dot"/>
            </w:tabs>
            <w:rPr/>
          </w:pPr>
          <w:hyperlink w:anchor="__RefHeading___Toc2566582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یستحبّ التکبیر حال الانتصاب من الرکوع للأخذ فی السجود و للرفع منه</w:t>
            </w:r>
            <w:r>
              <w:rPr>
                <w:rStyle w:val="IndexLink"/>
                <w:rtl w:val="true"/>
              </w:rPr>
              <w:t>]</w:t>
              <w:tab/>
            </w:r>
            <w:r>
              <w:rPr>
                <w:rStyle w:val="IndexLink"/>
              </w:rPr>
              <w:t>243</w:t>
            </w:r>
          </w:hyperlink>
        </w:p>
        <w:p>
          <w:pPr>
            <w:pStyle w:val="Contents5"/>
            <w:tabs>
              <w:tab w:val="clear" w:pos="7892"/>
              <w:tab w:val="right" w:pos="9026" w:leader="dot"/>
            </w:tabs>
            <w:rPr/>
          </w:pPr>
          <w:hyperlink w:anchor="__RefHeading___Toc2566584_3650668749">
            <w:r>
              <w:rPr>
                <w:webHidden/>
                <w:rStyle w:val="IndexLink"/>
                <w:rtl w:val="true"/>
              </w:rPr>
              <w:t>[</w:t>
            </w:r>
            <w:r>
              <w:rPr>
                <w:rStyle w:val="IndexLink"/>
                <w:rtl w:val="true"/>
              </w:rPr>
              <w:t>القول فی سجدتی التلاوة و الشکر</w:t>
            </w:r>
            <w:r>
              <w:rPr>
                <w:rStyle w:val="IndexLink"/>
                <w:rtl w:val="true"/>
              </w:rPr>
              <w:t>]</w:t>
              <w:tab/>
            </w:r>
            <w:r>
              <w:rPr>
                <w:rStyle w:val="IndexLink"/>
              </w:rPr>
              <w:t>244</w:t>
            </w:r>
          </w:hyperlink>
        </w:p>
        <w:p>
          <w:pPr>
            <w:pStyle w:val="Contents6"/>
            <w:tabs>
              <w:tab w:val="clear" w:pos="7609"/>
              <w:tab w:val="right" w:pos="9026" w:leader="dot"/>
            </w:tabs>
            <w:rPr/>
          </w:pPr>
          <w:hyperlink w:anchor="__RefHeading___Toc2566586_3650668749">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256658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یجب السجود عند تلاوة آیات أربع فی السور الأربع</w:t>
            </w:r>
            <w:r>
              <w:rPr>
                <w:rStyle w:val="IndexLink"/>
                <w:rtl w:val="true"/>
              </w:rPr>
              <w:t>]</w:t>
              <w:tab/>
            </w:r>
            <w:r>
              <w:rPr>
                <w:rStyle w:val="IndexLink"/>
              </w:rPr>
              <w:t>244</w:t>
            </w:r>
          </w:hyperlink>
        </w:p>
        <w:p>
          <w:pPr>
            <w:pStyle w:val="Contents6"/>
            <w:tabs>
              <w:tab w:val="clear" w:pos="7609"/>
              <w:tab w:val="right" w:pos="9026" w:leader="dot"/>
            </w:tabs>
            <w:rPr/>
          </w:pPr>
          <w:hyperlink w:anchor="__RefHeading___Toc256659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یتکرّر السجود مع تکرّر السبب مع التعاقب و تخلّل السجود قطعاً</w:t>
            </w:r>
            <w:r>
              <w:rPr>
                <w:rStyle w:val="IndexLink"/>
                <w:rtl w:val="true"/>
              </w:rPr>
              <w:t>]</w:t>
              <w:tab/>
            </w:r>
            <w:r>
              <w:rPr>
                <w:rStyle w:val="IndexLink"/>
              </w:rPr>
              <w:t>244</w:t>
            </w:r>
          </w:hyperlink>
        </w:p>
        <w:p>
          <w:pPr>
            <w:pStyle w:val="Contents6"/>
            <w:tabs>
              <w:tab w:val="clear" w:pos="7609"/>
              <w:tab w:val="right" w:pos="9026" w:leader="dot"/>
            </w:tabs>
            <w:rPr/>
          </w:pPr>
          <w:hyperlink w:anchor="__RefHeading___Toc256659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قرأها أو استمعها فی حال السجود یجب رفع الرأس منه ثمّ الوضع</w:t>
            </w:r>
            <w:r>
              <w:rPr>
                <w:rStyle w:val="IndexLink"/>
                <w:rtl w:val="true"/>
              </w:rPr>
              <w:t>]</w:t>
              <w:tab/>
            </w:r>
            <w:r>
              <w:rPr>
                <w:rStyle w:val="IndexLink"/>
              </w:rPr>
              <w:t>244</w:t>
            </w:r>
          </w:hyperlink>
        </w:p>
        <w:p>
          <w:pPr>
            <w:pStyle w:val="Contents6"/>
            <w:tabs>
              <w:tab w:val="clear" w:pos="7609"/>
              <w:tab w:val="right" w:pos="9026" w:leader="dot"/>
            </w:tabs>
            <w:rPr/>
          </w:pPr>
          <w:hyperlink w:anchor="__RefHeading___Toc256659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الظاهر أنّه یعتبر فی وجوب السجدة علی المستمع کون المسموع صادراً بعنوان التلاوة و قصد القرآنیّة</w:t>
            </w:r>
            <w:r>
              <w:rPr>
                <w:rStyle w:val="IndexLink"/>
                <w:rtl w:val="true"/>
              </w:rPr>
              <w:t>]</w:t>
              <w:tab/>
            </w:r>
            <w:r>
              <w:rPr>
                <w:rStyle w:val="IndexLink"/>
              </w:rPr>
              <w:t>245</w:t>
            </w:r>
          </w:hyperlink>
        </w:p>
        <w:p>
          <w:pPr>
            <w:pStyle w:val="Contents6"/>
            <w:tabs>
              <w:tab w:val="clear" w:pos="7609"/>
              <w:tab w:val="right" w:pos="9026" w:leader="dot"/>
            </w:tabs>
            <w:rPr/>
          </w:pPr>
          <w:hyperlink w:anchor="__RefHeading___Toc256659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یعتبر فی السماع تمییز الحروف و الکلمات</w:t>
            </w:r>
            <w:r>
              <w:rPr>
                <w:rStyle w:val="IndexLink"/>
                <w:rtl w:val="true"/>
              </w:rPr>
              <w:t>]</w:t>
              <w:tab/>
            </w:r>
            <w:r>
              <w:rPr>
                <w:rStyle w:val="IndexLink"/>
              </w:rPr>
              <w:t>245</w:t>
            </w:r>
          </w:hyperlink>
        </w:p>
        <w:p>
          <w:pPr>
            <w:pStyle w:val="Contents6"/>
            <w:tabs>
              <w:tab w:val="clear" w:pos="7609"/>
              <w:tab w:val="right" w:pos="9026" w:leader="dot"/>
            </w:tabs>
            <w:rPr/>
          </w:pPr>
          <w:hyperlink w:anchor="__RefHeading___Toc256659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یعتبر فی هذا السجود بعد تحقّق مسمّاه النیّة و إباحة المکان</w:t>
            </w:r>
            <w:r>
              <w:rPr>
                <w:rStyle w:val="IndexLink"/>
                <w:rtl w:val="true"/>
              </w:rPr>
              <w:t>]</w:t>
              <w:tab/>
            </w:r>
            <w:r>
              <w:rPr>
                <w:rStyle w:val="IndexLink"/>
              </w:rPr>
              <w:t>245</w:t>
            </w:r>
          </w:hyperlink>
        </w:p>
        <w:p>
          <w:pPr>
            <w:pStyle w:val="Contents6"/>
            <w:tabs>
              <w:tab w:val="clear" w:pos="7609"/>
              <w:tab w:val="right" w:pos="9026" w:leader="dot"/>
            </w:tabs>
            <w:rPr/>
          </w:pPr>
          <w:hyperlink w:anchor="__RefHeading___Toc2566600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لیس فی هذا السجود تشهّد و لا تسلیم</w:t>
            </w:r>
            <w:r>
              <w:rPr>
                <w:rStyle w:val="IndexLink"/>
                <w:rtl w:val="true"/>
              </w:rPr>
              <w:t>]</w:t>
              <w:tab/>
            </w:r>
            <w:r>
              <w:rPr>
                <w:rStyle w:val="IndexLink"/>
              </w:rPr>
              <w:t>245</w:t>
            </w:r>
          </w:hyperlink>
        </w:p>
        <w:p>
          <w:pPr>
            <w:pStyle w:val="Contents6"/>
            <w:tabs>
              <w:tab w:val="clear" w:pos="7609"/>
              <w:tab w:val="right" w:pos="9026" w:leader="dot"/>
            </w:tabs>
            <w:rPr/>
          </w:pPr>
          <w:hyperlink w:anchor="__RefHeading___Toc2566602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السجود للّٰه عزّ و جلّ فی نفسه من أعظم العبادات</w:t>
            </w:r>
            <w:r>
              <w:rPr>
                <w:rStyle w:val="IndexLink"/>
                <w:rtl w:val="true"/>
              </w:rPr>
              <w:t>]</w:t>
              <w:tab/>
            </w:r>
            <w:r>
              <w:rPr>
                <w:rStyle w:val="IndexLink"/>
              </w:rPr>
              <w:t>245</w:t>
            </w:r>
          </w:hyperlink>
        </w:p>
        <w:p>
          <w:pPr>
            <w:pStyle w:val="Contents4"/>
            <w:tabs>
              <w:tab w:val="clear" w:pos="8176"/>
              <w:tab w:val="right" w:pos="9026" w:leader="dot"/>
            </w:tabs>
            <w:rPr/>
          </w:pPr>
          <w:hyperlink w:anchor="__RefHeading___Toc2566604_3650668749">
            <w:r>
              <w:rPr>
                <w:webHidden/>
                <w:rStyle w:val="IndexLink"/>
                <w:rtl w:val="true"/>
              </w:rPr>
              <w:t>[</w:t>
            </w:r>
            <w:r>
              <w:rPr>
                <w:rStyle w:val="IndexLink"/>
                <w:rtl w:val="true"/>
              </w:rPr>
              <w:t>القول فی التشهّد</w:t>
            </w:r>
            <w:r>
              <w:rPr>
                <w:rStyle w:val="IndexLink"/>
                <w:rtl w:val="true"/>
              </w:rPr>
              <w:t>]</w:t>
              <w:tab/>
            </w:r>
            <w:r>
              <w:rPr>
                <w:rStyle w:val="IndexLink"/>
              </w:rPr>
              <w:t>246</w:t>
            </w:r>
          </w:hyperlink>
        </w:p>
        <w:p>
          <w:pPr>
            <w:pStyle w:val="Contents5"/>
            <w:tabs>
              <w:tab w:val="clear" w:pos="7892"/>
              <w:tab w:val="right" w:pos="9026" w:leader="dot"/>
            </w:tabs>
            <w:rPr/>
          </w:pPr>
          <w:hyperlink w:anchor="__RefHeading___Toc2566606_3650668749">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256660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یجب التشهّد فی الثنائیّة مرّة بعد رفع الرأس من السجدة الأخیرة</w:t>
            </w:r>
            <w:r>
              <w:rPr>
                <w:rStyle w:val="IndexLink"/>
                <w:rtl w:val="true"/>
              </w:rPr>
              <w:t>]</w:t>
              <w:tab/>
            </w:r>
            <w:r>
              <w:rPr>
                <w:rStyle w:val="IndexLink"/>
              </w:rPr>
              <w:t>246</w:t>
            </w:r>
          </w:hyperlink>
        </w:p>
        <w:p>
          <w:pPr>
            <w:pStyle w:val="Contents5"/>
            <w:tabs>
              <w:tab w:val="clear" w:pos="7892"/>
              <w:tab w:val="right" w:pos="9026" w:leader="dot"/>
            </w:tabs>
            <w:rPr/>
          </w:pPr>
          <w:hyperlink w:anchor="__RefHeading___Toc256661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یجب الجلوس مطمئنّاً حال التشهّد بأیّ کیفیّة کان</w:t>
            </w:r>
            <w:r>
              <w:rPr>
                <w:rStyle w:val="IndexLink"/>
                <w:rtl w:val="true"/>
              </w:rPr>
              <w:t>]</w:t>
              <w:tab/>
            </w:r>
            <w:r>
              <w:rPr>
                <w:rStyle w:val="IndexLink"/>
              </w:rPr>
              <w:t>247</w:t>
            </w:r>
          </w:hyperlink>
        </w:p>
        <w:p>
          <w:pPr>
            <w:pStyle w:val="Contents4"/>
            <w:tabs>
              <w:tab w:val="clear" w:pos="8176"/>
              <w:tab w:val="right" w:pos="9026" w:leader="dot"/>
            </w:tabs>
            <w:rPr/>
          </w:pPr>
          <w:hyperlink w:anchor="__RefHeading___Toc2566612_3650668749">
            <w:r>
              <w:rPr>
                <w:webHidden/>
                <w:rStyle w:val="IndexLink"/>
                <w:rtl w:val="true"/>
              </w:rPr>
              <w:t>[</w:t>
            </w:r>
            <w:r>
              <w:rPr>
                <w:rStyle w:val="IndexLink"/>
                <w:rtl w:val="true"/>
              </w:rPr>
              <w:t>القول فی التسلیم</w:t>
            </w:r>
            <w:r>
              <w:rPr>
                <w:rStyle w:val="IndexLink"/>
                <w:rtl w:val="true"/>
              </w:rPr>
              <w:t>]</w:t>
              <w:tab/>
            </w:r>
            <w:r>
              <w:rPr>
                <w:rStyle w:val="IndexLink"/>
              </w:rPr>
              <w:t>247</w:t>
            </w:r>
          </w:hyperlink>
        </w:p>
        <w:p>
          <w:pPr>
            <w:pStyle w:val="Contents5"/>
            <w:tabs>
              <w:tab w:val="clear" w:pos="7892"/>
              <w:tab w:val="right" w:pos="9026" w:leader="dot"/>
            </w:tabs>
            <w:rPr/>
          </w:pPr>
          <w:hyperlink w:anchor="__RefHeading___Toc2566614_3650668749">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256661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التسلیم واجب فی الصلاة و جزء منها علیٰ إشکال</w:t>
            </w:r>
            <w:r>
              <w:rPr>
                <w:rStyle w:val="IndexLink"/>
                <w:rtl w:val="true"/>
              </w:rPr>
              <w:t>]</w:t>
              <w:tab/>
            </w:r>
            <w:r>
              <w:rPr>
                <w:rStyle w:val="IndexLink"/>
              </w:rPr>
              <w:t>247</w:t>
            </w:r>
          </w:hyperlink>
        </w:p>
        <w:p>
          <w:pPr>
            <w:pStyle w:val="Contents5"/>
            <w:tabs>
              <w:tab w:val="clear" w:pos="7892"/>
              <w:tab w:val="right" w:pos="9026" w:leader="dot"/>
            </w:tabs>
            <w:rPr/>
          </w:pPr>
          <w:hyperlink w:anchor="__RefHeading___Toc256661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یجب فی التسلیم بکلّ من الصیغتین العربیّة و الإعراب</w:t>
            </w:r>
            <w:r>
              <w:rPr>
                <w:rStyle w:val="IndexLink"/>
                <w:rtl w:val="true"/>
              </w:rPr>
              <w:t>]</w:t>
              <w:tab/>
            </w:r>
            <w:r>
              <w:rPr>
                <w:rStyle w:val="IndexLink"/>
              </w:rPr>
              <w:t>247</w:t>
            </w:r>
          </w:hyperlink>
        </w:p>
        <w:p>
          <w:pPr>
            <w:pStyle w:val="Contents4"/>
            <w:tabs>
              <w:tab w:val="clear" w:pos="8176"/>
              <w:tab w:val="right" w:pos="9026" w:leader="dot"/>
            </w:tabs>
            <w:rPr/>
          </w:pPr>
          <w:hyperlink w:anchor="__RefHeading___Toc2566620_3650668749">
            <w:r>
              <w:rPr>
                <w:webHidden/>
                <w:rStyle w:val="IndexLink"/>
                <w:rtl w:val="true"/>
              </w:rPr>
              <w:t>[</w:t>
            </w:r>
            <w:r>
              <w:rPr>
                <w:rStyle w:val="IndexLink"/>
                <w:rtl w:val="true"/>
              </w:rPr>
              <w:t>القول فی الترتیب</w:t>
            </w:r>
            <w:r>
              <w:rPr>
                <w:rStyle w:val="IndexLink"/>
                <w:rtl w:val="true"/>
              </w:rPr>
              <w:t>]</w:t>
              <w:tab/>
            </w:r>
            <w:r>
              <w:rPr>
                <w:rStyle w:val="IndexLink"/>
              </w:rPr>
              <w:t>248</w:t>
            </w:r>
          </w:hyperlink>
        </w:p>
        <w:p>
          <w:pPr>
            <w:pStyle w:val="Contents5"/>
            <w:tabs>
              <w:tab w:val="clear" w:pos="7892"/>
              <w:tab w:val="right" w:pos="9026" w:leader="dot"/>
            </w:tabs>
            <w:rPr/>
          </w:pPr>
          <w:hyperlink w:anchor="__RefHeading___Toc2566622_3650668749">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256662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یجب الترتیب فی أفعال الصلاة</w:t>
            </w:r>
            <w:r>
              <w:rPr>
                <w:rStyle w:val="IndexLink"/>
                <w:rtl w:val="true"/>
              </w:rPr>
              <w:t>]</w:t>
              <w:tab/>
            </w:r>
            <w:r>
              <w:rPr>
                <w:rStyle w:val="IndexLink"/>
              </w:rPr>
              <w:t>248</w:t>
            </w:r>
          </w:hyperlink>
        </w:p>
        <w:p>
          <w:pPr>
            <w:pStyle w:val="Contents4"/>
            <w:tabs>
              <w:tab w:val="clear" w:pos="8176"/>
              <w:tab w:val="right" w:pos="9026" w:leader="dot"/>
            </w:tabs>
            <w:rPr/>
          </w:pPr>
          <w:hyperlink w:anchor="__RefHeading___Toc2566626_3650668749">
            <w:r>
              <w:rPr>
                <w:webHidden/>
                <w:rStyle w:val="IndexLink"/>
                <w:rtl w:val="true"/>
              </w:rPr>
              <w:t>[</w:t>
            </w:r>
            <w:r>
              <w:rPr>
                <w:rStyle w:val="IndexLink"/>
                <w:rtl w:val="true"/>
              </w:rPr>
              <w:t>القول فی الموالاة</w:t>
            </w:r>
            <w:r>
              <w:rPr>
                <w:rStyle w:val="IndexLink"/>
                <w:rtl w:val="true"/>
              </w:rPr>
              <w:t>]</w:t>
              <w:tab/>
            </w:r>
            <w:r>
              <w:rPr>
                <w:rStyle w:val="IndexLink"/>
              </w:rPr>
              <w:t>248</w:t>
            </w:r>
          </w:hyperlink>
        </w:p>
        <w:p>
          <w:pPr>
            <w:pStyle w:val="Contents5"/>
            <w:tabs>
              <w:tab w:val="clear" w:pos="7892"/>
              <w:tab w:val="right" w:pos="9026" w:leader="dot"/>
            </w:tabs>
            <w:rPr/>
          </w:pPr>
          <w:hyperlink w:anchor="__RefHeading___Toc2566628_3650668749">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256663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یجب الموالاة فی أفعال الصلاة</w:t>
            </w:r>
            <w:r>
              <w:rPr>
                <w:rStyle w:val="IndexLink"/>
                <w:rtl w:val="true"/>
              </w:rPr>
              <w:t>]</w:t>
              <w:tab/>
            </w:r>
            <w:r>
              <w:rPr>
                <w:rStyle w:val="IndexLink"/>
              </w:rPr>
              <w:t>248</w:t>
            </w:r>
          </w:hyperlink>
        </w:p>
        <w:p>
          <w:pPr>
            <w:pStyle w:val="Contents5"/>
            <w:tabs>
              <w:tab w:val="clear" w:pos="7892"/>
              <w:tab w:val="right" w:pos="9026" w:leader="dot"/>
            </w:tabs>
            <w:rPr/>
          </w:pPr>
          <w:hyperlink w:anchor="__RefHeading___Toc256663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کما یجب الموالاة فی أفعال الصلاة بالنسبة إلیٰ بعضها مع بعض یجب الموالاة فی القراءة</w:t>
            </w:r>
            <w:r>
              <w:rPr>
                <w:rStyle w:val="IndexLink"/>
                <w:rtl w:val="true"/>
              </w:rPr>
              <w:t>]</w:t>
              <w:tab/>
            </w:r>
            <w:r>
              <w:rPr>
                <w:rStyle w:val="IndexLink"/>
              </w:rPr>
              <w:t>248</w:t>
            </w:r>
          </w:hyperlink>
        </w:p>
        <w:p>
          <w:pPr>
            <w:pStyle w:val="Contents4"/>
            <w:tabs>
              <w:tab w:val="clear" w:pos="8176"/>
              <w:tab w:val="right" w:pos="9026" w:leader="dot"/>
            </w:tabs>
            <w:rPr/>
          </w:pPr>
          <w:hyperlink w:anchor="__RefHeading___Toc2566634_3650668749">
            <w:r>
              <w:rPr>
                <w:webHidden/>
                <w:rStyle w:val="IndexLink"/>
                <w:rtl w:val="true"/>
              </w:rPr>
              <w:t>[</w:t>
            </w:r>
            <w:r>
              <w:rPr>
                <w:rStyle w:val="IndexLink"/>
                <w:rtl w:val="true"/>
              </w:rPr>
              <w:t>بقی أمران</w:t>
            </w:r>
            <w:r>
              <w:rPr>
                <w:rStyle w:val="IndexLink"/>
                <w:rtl w:val="true"/>
              </w:rPr>
              <w:t xml:space="preserve">: </w:t>
            </w:r>
            <w:r>
              <w:rPr>
                <w:rStyle w:val="IndexLink"/>
                <w:rtl w:val="true"/>
              </w:rPr>
              <w:t>القنوت و التعقیب</w:t>
            </w:r>
            <w:r>
              <w:rPr>
                <w:rStyle w:val="IndexLink"/>
                <w:rtl w:val="true"/>
              </w:rPr>
              <w:t>]</w:t>
              <w:tab/>
            </w:r>
            <w:r>
              <w:rPr>
                <w:rStyle w:val="IndexLink"/>
              </w:rPr>
              <w:t>249</w:t>
            </w:r>
          </w:hyperlink>
        </w:p>
        <w:p>
          <w:pPr>
            <w:pStyle w:val="Contents5"/>
            <w:tabs>
              <w:tab w:val="clear" w:pos="7892"/>
              <w:tab w:val="right" w:pos="9026" w:leader="dot"/>
            </w:tabs>
            <w:rPr/>
          </w:pPr>
          <w:hyperlink w:anchor="__RefHeading___Toc2566636_3650668749">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2566638_3650668749">
            <w:r>
              <w:rPr>
                <w:webHidden/>
                <w:rStyle w:val="IndexLink"/>
                <w:rtl w:val="true"/>
              </w:rPr>
              <w:t>[</w:t>
            </w:r>
            <w:r>
              <w:rPr>
                <w:rStyle w:val="IndexLink"/>
                <w:rtl w:val="true"/>
              </w:rPr>
              <w:t>القول فی القنوت</w:t>
            </w:r>
            <w:r>
              <w:rPr>
                <w:rStyle w:val="IndexLink"/>
                <w:rtl w:val="true"/>
              </w:rPr>
              <w:t>]</w:t>
              <w:tab/>
            </w:r>
            <w:r>
              <w:rPr>
                <w:rStyle w:val="IndexLink"/>
              </w:rPr>
              <w:t>249</w:t>
            </w:r>
          </w:hyperlink>
        </w:p>
        <w:p>
          <w:pPr>
            <w:pStyle w:val="Contents6"/>
            <w:tabs>
              <w:tab w:val="clear" w:pos="7609"/>
              <w:tab w:val="right" w:pos="9026" w:leader="dot"/>
            </w:tabs>
            <w:rPr/>
          </w:pPr>
          <w:hyperlink w:anchor="__RefHeading___Toc2566640_3650668749">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256664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یستحبّ القنوت فی الفرائض الیومیّة</w:t>
            </w:r>
            <w:r>
              <w:rPr>
                <w:rStyle w:val="IndexLink"/>
                <w:rtl w:val="true"/>
              </w:rPr>
              <w:t>]</w:t>
              <w:tab/>
            </w:r>
            <w:r>
              <w:rPr>
                <w:rStyle w:val="IndexLink"/>
              </w:rPr>
              <w:t>249</w:t>
            </w:r>
          </w:hyperlink>
        </w:p>
        <w:p>
          <w:pPr>
            <w:pStyle w:val="Contents6"/>
            <w:tabs>
              <w:tab w:val="clear" w:pos="7609"/>
              <w:tab w:val="right" w:pos="9026" w:leader="dot"/>
            </w:tabs>
            <w:rPr/>
          </w:pPr>
          <w:hyperlink w:anchor="__RefHeading___Toc256664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یعتبر فی القنوت قول مخصوص</w:t>
            </w:r>
            <w:r>
              <w:rPr>
                <w:rStyle w:val="IndexLink"/>
                <w:rtl w:val="true"/>
              </w:rPr>
              <w:t>]</w:t>
              <w:tab/>
            </w:r>
            <w:r>
              <w:rPr>
                <w:rStyle w:val="IndexLink"/>
              </w:rPr>
              <w:t>249</w:t>
            </w:r>
          </w:hyperlink>
        </w:p>
        <w:p>
          <w:pPr>
            <w:pStyle w:val="Contents6"/>
            <w:tabs>
              <w:tab w:val="clear" w:pos="7609"/>
              <w:tab w:val="right" w:pos="9026" w:leader="dot"/>
            </w:tabs>
            <w:rPr/>
          </w:pPr>
          <w:hyperlink w:anchor="__RefHeading___Toc256664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یعتبر رفع الیدین فی القنوت علیٰ إشکال</w:t>
            </w:r>
            <w:r>
              <w:rPr>
                <w:rStyle w:val="IndexLink"/>
                <w:rtl w:val="true"/>
              </w:rPr>
              <w:t>]</w:t>
              <w:tab/>
            </w:r>
            <w:r>
              <w:rPr>
                <w:rStyle w:val="IndexLink"/>
              </w:rPr>
              <w:t>249</w:t>
            </w:r>
          </w:hyperlink>
        </w:p>
        <w:p>
          <w:pPr>
            <w:pStyle w:val="Contents6"/>
            <w:tabs>
              <w:tab w:val="clear" w:pos="7609"/>
              <w:tab w:val="right" w:pos="9026" w:leader="dot"/>
            </w:tabs>
            <w:rPr/>
          </w:pPr>
          <w:hyperlink w:anchor="__RefHeading___Toc256664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یجوز الدعاء فی القنوت و فی غیره بالملحون مادّة أو إعراباً</w:t>
            </w:r>
            <w:r>
              <w:rPr>
                <w:rStyle w:val="IndexLink"/>
                <w:rtl w:val="true"/>
              </w:rPr>
              <w:t>]</w:t>
              <w:tab/>
            </w:r>
            <w:r>
              <w:rPr>
                <w:rStyle w:val="IndexLink"/>
              </w:rPr>
              <w:t>249</w:t>
            </w:r>
          </w:hyperlink>
        </w:p>
        <w:p>
          <w:pPr>
            <w:pStyle w:val="Contents5"/>
            <w:tabs>
              <w:tab w:val="clear" w:pos="7892"/>
              <w:tab w:val="right" w:pos="9026" w:leader="dot"/>
            </w:tabs>
            <w:rPr/>
          </w:pPr>
          <w:hyperlink w:anchor="__RefHeading___Toc2566650_3650668749">
            <w:r>
              <w:rPr>
                <w:webHidden/>
                <w:rStyle w:val="IndexLink"/>
                <w:rtl w:val="true"/>
              </w:rPr>
              <w:t>[</w:t>
            </w:r>
            <w:r>
              <w:rPr>
                <w:rStyle w:val="IndexLink"/>
                <w:rtl w:val="true"/>
              </w:rPr>
              <w:t>القول فی التعقیب</w:t>
            </w:r>
            <w:r>
              <w:rPr>
                <w:rStyle w:val="IndexLink"/>
                <w:rtl w:val="true"/>
              </w:rPr>
              <w:t>]</w:t>
              <w:tab/>
            </w:r>
            <w:r>
              <w:rPr>
                <w:rStyle w:val="IndexLink"/>
              </w:rPr>
              <w:t>250</w:t>
            </w:r>
          </w:hyperlink>
        </w:p>
        <w:p>
          <w:pPr>
            <w:pStyle w:val="Contents6"/>
            <w:tabs>
              <w:tab w:val="clear" w:pos="7609"/>
              <w:tab w:val="right" w:pos="9026" w:leader="dot"/>
            </w:tabs>
            <w:rPr/>
          </w:pPr>
          <w:hyperlink w:anchor="__RefHeading___Toc2566652_3650668749">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256665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یستحبّ التعقیب بعد الفراغ من الصلاة</w:t>
            </w:r>
            <w:r>
              <w:rPr>
                <w:rStyle w:val="IndexLink"/>
                <w:rtl w:val="true"/>
              </w:rPr>
              <w:t>]</w:t>
              <w:tab/>
            </w:r>
            <w:r>
              <w:rPr>
                <w:rStyle w:val="IndexLink"/>
              </w:rPr>
              <w:t>250</w:t>
            </w:r>
          </w:hyperlink>
        </w:p>
        <w:p>
          <w:pPr>
            <w:pStyle w:val="Contents6"/>
            <w:tabs>
              <w:tab w:val="clear" w:pos="7609"/>
              <w:tab w:val="right" w:pos="9026" w:leader="dot"/>
            </w:tabs>
            <w:rPr/>
          </w:pPr>
          <w:hyperlink w:anchor="__RefHeading___Toc256665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یعتبر فی التعقیب أن یکون متّصلًا بالفراغ من الصلاة علیٰ وجه لا یشارکه الاشتغال بشی‌ء آخر</w:t>
            </w:r>
            <w:r>
              <w:rPr>
                <w:rStyle w:val="IndexLink"/>
                <w:rtl w:val="true"/>
              </w:rPr>
              <w:t>]</w:t>
              <w:tab/>
            </w:r>
            <w:r>
              <w:rPr>
                <w:rStyle w:val="IndexLink"/>
              </w:rPr>
              <w:t>250</w:t>
            </w:r>
          </w:hyperlink>
        </w:p>
        <w:p>
          <w:pPr>
            <w:pStyle w:val="Contents6"/>
            <w:tabs>
              <w:tab w:val="clear" w:pos="7609"/>
              <w:tab w:val="right" w:pos="9026" w:leader="dot"/>
            </w:tabs>
            <w:rPr/>
          </w:pPr>
          <w:hyperlink w:anchor="__RefHeading___Toc2566658_3650668749">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2566660_3650668749">
            <w:r>
              <w:rPr>
                <w:webHidden/>
                <w:rStyle w:val="IndexLink"/>
                <w:rtl w:val="true"/>
              </w:rPr>
              <w:t>[</w:t>
            </w:r>
            <w:r>
              <w:rPr>
                <w:rStyle w:val="IndexLink"/>
                <w:rtl w:val="true"/>
              </w:rPr>
              <w:t>و منها</w:t>
            </w:r>
            <w:r>
              <w:rPr>
                <w:rStyle w:val="IndexLink"/>
                <w:rtl w:val="true"/>
              </w:rPr>
              <w:t>:]</w:t>
              <w:tab/>
            </w:r>
            <w:r>
              <w:rPr>
                <w:rStyle w:val="IndexLink"/>
              </w:rPr>
              <w:t>251</w:t>
            </w:r>
          </w:hyperlink>
        </w:p>
        <w:p>
          <w:pPr>
            <w:pStyle w:val="Contents6"/>
            <w:tabs>
              <w:tab w:val="clear" w:pos="7609"/>
              <w:tab w:val="right" w:pos="9026" w:leader="dot"/>
            </w:tabs>
            <w:rPr/>
          </w:pPr>
          <w:hyperlink w:anchor="__RefHeading___Toc2566662_3650668749">
            <w:r>
              <w:rPr>
                <w:webHidden/>
                <w:rStyle w:val="IndexLink"/>
                <w:rtl w:val="true"/>
              </w:rPr>
              <w:t>[</w:t>
            </w:r>
            <w:r>
              <w:rPr>
                <w:rStyle w:val="IndexLink"/>
                <w:rtl w:val="true"/>
              </w:rPr>
              <w:t>و منها</w:t>
            </w:r>
            <w:r>
              <w:rPr>
                <w:rStyle w:val="IndexLink"/>
                <w:rtl w:val="true"/>
              </w:rPr>
              <w:t>]</w:t>
              <w:tab/>
            </w:r>
            <w:r>
              <w:rPr>
                <w:rStyle w:val="IndexLink"/>
              </w:rPr>
              <w:t>251</w:t>
            </w:r>
          </w:hyperlink>
        </w:p>
        <w:p>
          <w:pPr>
            <w:pStyle w:val="Contents6"/>
            <w:tabs>
              <w:tab w:val="clear" w:pos="7609"/>
              <w:tab w:val="right" w:pos="9026" w:leader="dot"/>
            </w:tabs>
            <w:rPr/>
          </w:pPr>
          <w:hyperlink w:anchor="__RefHeading___Toc2566664_3650668749">
            <w:r>
              <w:rPr>
                <w:webHidden/>
                <w:rStyle w:val="IndexLink"/>
                <w:rtl w:val="true"/>
              </w:rPr>
              <w:t>[</w:t>
            </w:r>
            <w:r>
              <w:rPr>
                <w:rStyle w:val="IndexLink"/>
                <w:rtl w:val="true"/>
              </w:rPr>
              <w:t>و منها</w:t>
            </w:r>
            <w:r>
              <w:rPr>
                <w:rStyle w:val="IndexLink"/>
                <w:rtl w:val="true"/>
              </w:rPr>
              <w:t>:]</w:t>
              <w:tab/>
            </w:r>
            <w:r>
              <w:rPr>
                <w:rStyle w:val="IndexLink"/>
              </w:rPr>
              <w:t>251</w:t>
            </w:r>
          </w:hyperlink>
        </w:p>
        <w:p>
          <w:pPr>
            <w:pStyle w:val="Contents6"/>
            <w:tabs>
              <w:tab w:val="clear" w:pos="7609"/>
              <w:tab w:val="right" w:pos="9026" w:leader="dot"/>
            </w:tabs>
            <w:rPr/>
          </w:pPr>
          <w:hyperlink w:anchor="__RefHeading___Toc2566666_3650668749">
            <w:r>
              <w:rPr>
                <w:webHidden/>
                <w:rStyle w:val="IndexLink"/>
                <w:rtl w:val="true"/>
              </w:rPr>
              <w:t>[</w:t>
            </w:r>
            <w:r>
              <w:rPr>
                <w:rStyle w:val="IndexLink"/>
                <w:rtl w:val="true"/>
              </w:rPr>
              <w:t>و منها</w:t>
            </w:r>
            <w:r>
              <w:rPr>
                <w:rStyle w:val="IndexLink"/>
                <w:rtl w:val="true"/>
              </w:rPr>
              <w:t>]</w:t>
              <w:tab/>
            </w:r>
            <w:r>
              <w:rPr>
                <w:rStyle w:val="IndexLink"/>
              </w:rPr>
              <w:t>251</w:t>
            </w:r>
          </w:hyperlink>
        </w:p>
        <w:p>
          <w:pPr>
            <w:pStyle w:val="Contents6"/>
            <w:tabs>
              <w:tab w:val="clear" w:pos="7609"/>
              <w:tab w:val="right" w:pos="9026" w:leader="dot"/>
            </w:tabs>
            <w:rPr/>
          </w:pPr>
          <w:hyperlink w:anchor="__RefHeading___Toc2566668_3650668749">
            <w:r>
              <w:rPr>
                <w:webHidden/>
                <w:rStyle w:val="IndexLink"/>
                <w:rtl w:val="true"/>
              </w:rPr>
              <w:t>[</w:t>
            </w:r>
            <w:r>
              <w:rPr>
                <w:rStyle w:val="IndexLink"/>
                <w:rtl w:val="true"/>
              </w:rPr>
              <w:t>و منها</w:t>
            </w:r>
            <w:r>
              <w:rPr>
                <w:rStyle w:val="IndexLink"/>
                <w:rtl w:val="true"/>
              </w:rPr>
              <w:t>]</w:t>
              <w:tab/>
            </w:r>
            <w:r>
              <w:rPr>
                <w:rStyle w:val="IndexLink"/>
              </w:rPr>
              <w:t>251</w:t>
            </w:r>
          </w:hyperlink>
        </w:p>
        <w:p>
          <w:pPr>
            <w:pStyle w:val="Contents6"/>
            <w:tabs>
              <w:tab w:val="clear" w:pos="7609"/>
              <w:tab w:val="right" w:pos="9026" w:leader="dot"/>
            </w:tabs>
            <w:rPr/>
          </w:pPr>
          <w:hyperlink w:anchor="__RefHeading___Toc2566670_3650668749">
            <w:r>
              <w:rPr>
                <w:webHidden/>
                <w:rStyle w:val="IndexLink"/>
                <w:rtl w:val="true"/>
              </w:rPr>
              <w:t>[</w:t>
            </w:r>
            <w:r>
              <w:rPr>
                <w:rStyle w:val="IndexLink"/>
                <w:rtl w:val="true"/>
              </w:rPr>
              <w:t>و منها</w:t>
            </w:r>
            <w:r>
              <w:rPr>
                <w:rStyle w:val="IndexLink"/>
                <w:rtl w:val="true"/>
              </w:rPr>
              <w:t>]</w:t>
              <w:tab/>
            </w:r>
            <w:r>
              <w:rPr>
                <w:rStyle w:val="IndexLink"/>
              </w:rPr>
              <w:t>251</w:t>
            </w:r>
          </w:hyperlink>
        </w:p>
        <w:p>
          <w:pPr>
            <w:pStyle w:val="Contents6"/>
            <w:tabs>
              <w:tab w:val="clear" w:pos="7609"/>
              <w:tab w:val="right" w:pos="9026" w:leader="dot"/>
            </w:tabs>
            <w:rPr/>
          </w:pPr>
          <w:hyperlink w:anchor="__RefHeading___Toc2566672_3650668749">
            <w:r>
              <w:rPr>
                <w:webHidden/>
                <w:rStyle w:val="IndexLink"/>
                <w:rtl w:val="true"/>
              </w:rPr>
              <w:t>[</w:t>
            </w:r>
            <w:r>
              <w:rPr>
                <w:rStyle w:val="IndexLink"/>
                <w:rtl w:val="true"/>
              </w:rPr>
              <w:t>و منها</w:t>
            </w:r>
            <w:r>
              <w:rPr>
                <w:rStyle w:val="IndexLink"/>
                <w:rtl w:val="true"/>
              </w:rPr>
              <w:t>]</w:t>
              <w:tab/>
            </w:r>
            <w:r>
              <w:rPr>
                <w:rStyle w:val="IndexLink"/>
              </w:rPr>
              <w:t>251</w:t>
            </w:r>
          </w:hyperlink>
        </w:p>
        <w:p>
          <w:pPr>
            <w:pStyle w:val="Contents6"/>
            <w:tabs>
              <w:tab w:val="clear" w:pos="7609"/>
              <w:tab w:val="right" w:pos="9026" w:leader="dot"/>
            </w:tabs>
            <w:rPr/>
          </w:pPr>
          <w:hyperlink w:anchor="__RefHeading___Toc256667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تختصّ المرأة فی الصلاة بآداب</w:t>
            </w:r>
            <w:r>
              <w:rPr>
                <w:rStyle w:val="IndexLink"/>
                <w:rtl w:val="true"/>
              </w:rPr>
              <w:t>]</w:t>
              <w:tab/>
            </w:r>
            <w:r>
              <w:rPr>
                <w:rStyle w:val="IndexLink"/>
              </w:rPr>
              <w:t>251</w:t>
            </w:r>
          </w:hyperlink>
        </w:p>
        <w:p>
          <w:pPr>
            <w:pStyle w:val="Contents3"/>
            <w:tabs>
              <w:tab w:val="clear" w:pos="8459"/>
              <w:tab w:val="right" w:pos="9026" w:leader="dot"/>
            </w:tabs>
            <w:rPr/>
          </w:pPr>
          <w:hyperlink w:anchor="__RefHeading___Toc2566676_3650668749">
            <w:r>
              <w:rPr>
                <w:webHidden/>
                <w:rStyle w:val="IndexLink"/>
                <w:rtl w:val="true"/>
              </w:rPr>
              <w:t>[</w:t>
            </w:r>
            <w:r>
              <w:rPr>
                <w:rStyle w:val="IndexLink"/>
                <w:rtl w:val="true"/>
              </w:rPr>
              <w:t>القول فی مبطلات الصلاة</w:t>
            </w:r>
            <w:r>
              <w:rPr>
                <w:rStyle w:val="IndexLink"/>
                <w:rtl w:val="true"/>
              </w:rPr>
              <w:t>]</w:t>
              <w:tab/>
            </w:r>
            <w:r>
              <w:rPr>
                <w:rStyle w:val="IndexLink"/>
              </w:rPr>
              <w:t>251</w:t>
            </w:r>
          </w:hyperlink>
        </w:p>
        <w:p>
          <w:pPr>
            <w:pStyle w:val="Contents4"/>
            <w:tabs>
              <w:tab w:val="clear" w:pos="8176"/>
              <w:tab w:val="right" w:pos="9026" w:leader="dot"/>
            </w:tabs>
            <w:rPr/>
          </w:pPr>
          <w:hyperlink w:anchor="__RefHeading___Toc2566678_3650668749">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2566680_3650668749">
            <w:r>
              <w:rPr>
                <w:webHidden/>
                <w:rStyle w:val="IndexLink"/>
                <w:rtl w:val="true"/>
              </w:rPr>
              <w:t>[</w:t>
            </w:r>
            <w:r>
              <w:rPr>
                <w:rStyle w:val="IndexLink"/>
                <w:rtl w:val="true"/>
              </w:rPr>
              <w:t>أحدها</w:t>
            </w:r>
            <w:r>
              <w:rPr>
                <w:rStyle w:val="IndexLink"/>
                <w:rtl w:val="true"/>
              </w:rPr>
              <w:t xml:space="preserve">: </w:t>
            </w:r>
            <w:r>
              <w:rPr>
                <w:rStyle w:val="IndexLink"/>
                <w:rtl w:val="true"/>
              </w:rPr>
              <w:t>الحدث الأصغر و الأکبر</w:t>
            </w:r>
            <w:r>
              <w:rPr>
                <w:rStyle w:val="IndexLink"/>
                <w:rtl w:val="true"/>
              </w:rPr>
              <w:t>]</w:t>
              <w:tab/>
            </w:r>
            <w:r>
              <w:rPr>
                <w:rStyle w:val="IndexLink"/>
              </w:rPr>
              <w:t>251</w:t>
            </w:r>
          </w:hyperlink>
        </w:p>
        <w:p>
          <w:pPr>
            <w:pStyle w:val="Contents4"/>
            <w:tabs>
              <w:tab w:val="clear" w:pos="8176"/>
              <w:tab w:val="right" w:pos="9026" w:leader="dot"/>
            </w:tabs>
            <w:rPr/>
          </w:pPr>
          <w:hyperlink w:anchor="__RefHeading___Toc2566682_3650668749">
            <w:r>
              <w:rPr>
                <w:webHidden/>
                <w:rStyle w:val="IndexLink"/>
                <w:rtl w:val="true"/>
              </w:rPr>
              <w:t>[</w:t>
            </w:r>
            <w:r>
              <w:rPr>
                <w:rStyle w:val="IndexLink"/>
                <w:rtl w:val="true"/>
              </w:rPr>
              <w:t>ثانیها</w:t>
            </w:r>
            <w:r>
              <w:rPr>
                <w:rStyle w:val="IndexLink"/>
                <w:rtl w:val="true"/>
              </w:rPr>
              <w:t xml:space="preserve">: </w:t>
            </w:r>
            <w:r>
              <w:rPr>
                <w:rStyle w:val="IndexLink"/>
                <w:rtl w:val="true"/>
              </w:rPr>
              <w:t>التکفیر</w:t>
            </w:r>
            <w:r>
              <w:rPr>
                <w:rStyle w:val="IndexLink"/>
                <w:rtl w:val="true"/>
              </w:rPr>
              <w:t>]</w:t>
              <w:tab/>
            </w:r>
            <w:r>
              <w:rPr>
                <w:rStyle w:val="IndexLink"/>
              </w:rPr>
              <w:t>252</w:t>
            </w:r>
          </w:hyperlink>
        </w:p>
        <w:p>
          <w:pPr>
            <w:pStyle w:val="Contents4"/>
            <w:tabs>
              <w:tab w:val="clear" w:pos="8176"/>
              <w:tab w:val="right" w:pos="9026" w:leader="dot"/>
            </w:tabs>
            <w:rPr/>
          </w:pPr>
          <w:hyperlink w:anchor="__RefHeading___Toc2566684_3650668749">
            <w:r>
              <w:rPr>
                <w:webHidden/>
                <w:rStyle w:val="IndexLink"/>
                <w:rtl w:val="true"/>
              </w:rPr>
              <w:t>[</w:t>
            </w:r>
            <w:r>
              <w:rPr>
                <w:rStyle w:val="IndexLink"/>
                <w:rtl w:val="true"/>
              </w:rPr>
              <w:t>ثالثها</w:t>
            </w:r>
            <w:r>
              <w:rPr>
                <w:rStyle w:val="IndexLink"/>
                <w:rtl w:val="true"/>
              </w:rPr>
              <w:t xml:space="preserve">: </w:t>
            </w:r>
            <w:r>
              <w:rPr>
                <w:rStyle w:val="IndexLink"/>
                <w:rtl w:val="true"/>
              </w:rPr>
              <w:t>الالتفات بکلّ البدن إلی الخلف أو إلی الیمین أو الشمال</w:t>
            </w:r>
            <w:r>
              <w:rPr>
                <w:rStyle w:val="IndexLink"/>
                <w:rtl w:val="true"/>
              </w:rPr>
              <w:t>]</w:t>
              <w:tab/>
            </w:r>
            <w:r>
              <w:rPr>
                <w:rStyle w:val="IndexLink"/>
              </w:rPr>
              <w:t>252</w:t>
            </w:r>
          </w:hyperlink>
        </w:p>
        <w:p>
          <w:pPr>
            <w:pStyle w:val="Contents4"/>
            <w:tabs>
              <w:tab w:val="clear" w:pos="8176"/>
              <w:tab w:val="right" w:pos="9026" w:leader="dot"/>
            </w:tabs>
            <w:rPr/>
          </w:pPr>
          <w:hyperlink w:anchor="__RefHeading___Toc2566686_3650668749">
            <w:r>
              <w:rPr>
                <w:webHidden/>
                <w:rStyle w:val="IndexLink"/>
                <w:rtl w:val="true"/>
              </w:rPr>
              <w:t>[</w:t>
            </w:r>
            <w:r>
              <w:rPr>
                <w:rStyle w:val="IndexLink"/>
                <w:rtl w:val="true"/>
              </w:rPr>
              <w:t>رابعها</w:t>
            </w:r>
            <w:r>
              <w:rPr>
                <w:rStyle w:val="IndexLink"/>
                <w:rtl w:val="true"/>
              </w:rPr>
              <w:t xml:space="preserve">: </w:t>
            </w:r>
            <w:r>
              <w:rPr>
                <w:rStyle w:val="IndexLink"/>
                <w:rtl w:val="true"/>
              </w:rPr>
              <w:t>تعمّد الکلام و لو بحرفین مهملین</w:t>
            </w:r>
            <w:r>
              <w:rPr>
                <w:rStyle w:val="IndexLink"/>
                <w:rtl w:val="true"/>
              </w:rPr>
              <w:t>]</w:t>
              <w:tab/>
            </w:r>
            <w:r>
              <w:rPr>
                <w:rStyle w:val="IndexLink"/>
              </w:rPr>
              <w:t>252</w:t>
            </w:r>
          </w:hyperlink>
        </w:p>
        <w:p>
          <w:pPr>
            <w:pStyle w:val="Contents5"/>
            <w:tabs>
              <w:tab w:val="clear" w:pos="7892"/>
              <w:tab w:val="right" w:pos="9026" w:leader="dot"/>
            </w:tabs>
            <w:rPr/>
          </w:pPr>
          <w:hyperlink w:anchor="__RefHeading___Toc2566688_3650668749">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256669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بأس بالذکر و الدعاء و قراءة القرآن</w:t>
            </w:r>
            <w:r>
              <w:rPr>
                <w:rStyle w:val="IndexLink"/>
                <w:rtl w:val="true"/>
              </w:rPr>
              <w:t>]</w:t>
              <w:tab/>
            </w:r>
            <w:r>
              <w:rPr>
                <w:rStyle w:val="IndexLink"/>
              </w:rPr>
              <w:t>252</w:t>
            </w:r>
          </w:hyperlink>
        </w:p>
        <w:p>
          <w:pPr>
            <w:pStyle w:val="Contents5"/>
            <w:tabs>
              <w:tab w:val="clear" w:pos="7892"/>
              <w:tab w:val="right" w:pos="9026" w:leader="dot"/>
            </w:tabs>
            <w:rPr/>
          </w:pPr>
          <w:hyperlink w:anchor="__RefHeading___Toc256669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یجب أن یکون ردّ السلام فی أثناء الصلاة</w:t>
            </w:r>
            <w:r>
              <w:rPr>
                <w:rStyle w:val="IndexLink"/>
                <w:rtl w:val="true"/>
              </w:rPr>
              <w:t>]</w:t>
              <w:tab/>
            </w:r>
            <w:r>
              <w:rPr>
                <w:rStyle w:val="IndexLink"/>
              </w:rPr>
              <w:t>253</w:t>
            </w:r>
          </w:hyperlink>
        </w:p>
        <w:p>
          <w:pPr>
            <w:pStyle w:val="Contents5"/>
            <w:tabs>
              <w:tab w:val="clear" w:pos="7892"/>
              <w:tab w:val="right" w:pos="9026" w:leader="dot"/>
            </w:tabs>
            <w:rPr/>
          </w:pPr>
          <w:hyperlink w:anchor="__RefHeading___Toc256669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لو سلّم بالملحون وجب الجواب صحیحاً</w:t>
            </w:r>
            <w:r>
              <w:rPr>
                <w:rStyle w:val="IndexLink"/>
                <w:rtl w:val="true"/>
              </w:rPr>
              <w:t>]</w:t>
              <w:tab/>
            </w:r>
            <w:r>
              <w:rPr>
                <w:rStyle w:val="IndexLink"/>
              </w:rPr>
              <w:t>253</w:t>
            </w:r>
          </w:hyperlink>
        </w:p>
        <w:p>
          <w:pPr>
            <w:pStyle w:val="Contents5"/>
            <w:tabs>
              <w:tab w:val="clear" w:pos="7892"/>
              <w:tab w:val="right" w:pos="9026" w:leader="dot"/>
            </w:tabs>
            <w:rPr/>
          </w:pPr>
          <w:hyperlink w:anchor="__RefHeading___Toc256669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لو کان المسلّم صبیّاً ممیّزاً یجوز بل یجب الردّ</w:t>
            </w:r>
            <w:r>
              <w:rPr>
                <w:rStyle w:val="IndexLink"/>
                <w:rtl w:val="true"/>
              </w:rPr>
              <w:t>]</w:t>
              <w:tab/>
            </w:r>
            <w:r>
              <w:rPr>
                <w:rStyle w:val="IndexLink"/>
              </w:rPr>
              <w:t>253</w:t>
            </w:r>
          </w:hyperlink>
        </w:p>
        <w:p>
          <w:pPr>
            <w:pStyle w:val="Contents5"/>
            <w:tabs>
              <w:tab w:val="clear" w:pos="7892"/>
              <w:tab w:val="right" w:pos="9026" w:leader="dot"/>
            </w:tabs>
            <w:rPr/>
          </w:pPr>
          <w:hyperlink w:anchor="__RefHeading___Toc256669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سلّم علیٰ جماعة کان المصلّی أحدهم فردّ الجواب غیره لم یجز له الردّ</w:t>
            </w:r>
            <w:r>
              <w:rPr>
                <w:rStyle w:val="IndexLink"/>
                <w:rtl w:val="true"/>
              </w:rPr>
              <w:t>]</w:t>
              <w:tab/>
            </w:r>
            <w:r>
              <w:rPr>
                <w:rStyle w:val="IndexLink"/>
              </w:rPr>
              <w:t>253</w:t>
            </w:r>
          </w:hyperlink>
        </w:p>
        <w:p>
          <w:pPr>
            <w:pStyle w:val="Contents5"/>
            <w:tabs>
              <w:tab w:val="clear" w:pos="7892"/>
              <w:tab w:val="right" w:pos="9026" w:leader="dot"/>
            </w:tabs>
            <w:rPr/>
          </w:pPr>
          <w:hyperlink w:anchor="__RefHeading___Toc256670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یجب إسماع ردّ السلام فی حال الصلاة و غیرها</w:t>
            </w:r>
            <w:r>
              <w:rPr>
                <w:rStyle w:val="IndexLink"/>
                <w:rtl w:val="true"/>
              </w:rPr>
              <w:t>]</w:t>
              <w:tab/>
            </w:r>
            <w:r>
              <w:rPr>
                <w:rStyle w:val="IndexLink"/>
              </w:rPr>
              <w:t>253</w:t>
            </w:r>
          </w:hyperlink>
        </w:p>
        <w:p>
          <w:pPr>
            <w:pStyle w:val="Contents5"/>
            <w:tabs>
              <w:tab w:val="clear" w:pos="7892"/>
              <w:tab w:val="right" w:pos="9026" w:leader="dot"/>
            </w:tabs>
            <w:rPr/>
          </w:pPr>
          <w:hyperlink w:anchor="__RefHeading___Toc256670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یجب الفوریّة العرفیّة فی الجواب</w:t>
            </w:r>
            <w:r>
              <w:rPr>
                <w:rStyle w:val="IndexLink"/>
                <w:rtl w:val="true"/>
              </w:rPr>
              <w:t>]</w:t>
              <w:tab/>
            </w:r>
            <w:r>
              <w:rPr>
                <w:rStyle w:val="IndexLink"/>
              </w:rPr>
              <w:t>254</w:t>
            </w:r>
          </w:hyperlink>
        </w:p>
        <w:p>
          <w:pPr>
            <w:pStyle w:val="Contents5"/>
            <w:tabs>
              <w:tab w:val="clear" w:pos="7892"/>
              <w:tab w:val="right" w:pos="9026" w:leader="dot"/>
            </w:tabs>
            <w:rPr/>
          </w:pPr>
          <w:hyperlink w:anchor="__RefHeading___Toc256670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الابتداء بالسلام مستحبّ کفائیّ</w:t>
            </w:r>
            <w:r>
              <w:rPr>
                <w:rStyle w:val="IndexLink"/>
                <w:rtl w:val="true"/>
              </w:rPr>
              <w:t>]</w:t>
              <w:tab/>
            </w:r>
            <w:r>
              <w:rPr>
                <w:rStyle w:val="IndexLink"/>
              </w:rPr>
              <w:t>254</w:t>
            </w:r>
          </w:hyperlink>
        </w:p>
        <w:p>
          <w:pPr>
            <w:pStyle w:val="Contents5"/>
            <w:tabs>
              <w:tab w:val="clear" w:pos="7892"/>
              <w:tab w:val="right" w:pos="9026" w:leader="dot"/>
            </w:tabs>
            <w:rPr/>
          </w:pPr>
          <w:hyperlink w:anchor="__RefHeading___Toc256670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إذا سلّم أحد علیٰ أحد شخصین و لم یعلما أنّه أیّهما أراد</w:t>
            </w:r>
            <w:r>
              <w:rPr>
                <w:rStyle w:val="IndexLink"/>
                <w:rtl w:val="true"/>
              </w:rPr>
              <w:t>]</w:t>
              <w:tab/>
            </w:r>
            <w:r>
              <w:rPr>
                <w:rStyle w:val="IndexLink"/>
              </w:rPr>
              <w:t>254</w:t>
            </w:r>
          </w:hyperlink>
        </w:p>
        <w:p>
          <w:pPr>
            <w:pStyle w:val="Contents5"/>
            <w:tabs>
              <w:tab w:val="clear" w:pos="7892"/>
              <w:tab w:val="right" w:pos="9026" w:leader="dot"/>
            </w:tabs>
            <w:rPr/>
          </w:pPr>
          <w:hyperlink w:anchor="__RefHeading___Toc2566708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إذا سلّم شخصان کلّ علی الآخر یجب علیٰ کلّ منهما ردّ سلام الآخر</w:t>
            </w:r>
            <w:r>
              <w:rPr>
                <w:rStyle w:val="IndexLink"/>
                <w:rtl w:val="true"/>
              </w:rPr>
              <w:t>]</w:t>
              <w:tab/>
            </w:r>
            <w:r>
              <w:rPr>
                <w:rStyle w:val="IndexLink"/>
              </w:rPr>
              <w:t>254</w:t>
            </w:r>
          </w:hyperlink>
        </w:p>
        <w:p>
          <w:pPr>
            <w:pStyle w:val="Contents4"/>
            <w:tabs>
              <w:tab w:val="clear" w:pos="8176"/>
              <w:tab w:val="right" w:pos="9026" w:leader="dot"/>
            </w:tabs>
            <w:rPr/>
          </w:pPr>
          <w:hyperlink w:anchor="__RefHeading___Toc2566710_3650668749">
            <w:r>
              <w:rPr>
                <w:webHidden/>
                <w:rStyle w:val="IndexLink"/>
                <w:rtl w:val="true"/>
              </w:rPr>
              <w:t>[</w:t>
            </w:r>
            <w:r>
              <w:rPr>
                <w:rStyle w:val="IndexLink"/>
                <w:rtl w:val="true"/>
              </w:rPr>
              <w:t>خامسها</w:t>
            </w:r>
            <w:r>
              <w:rPr>
                <w:rStyle w:val="IndexLink"/>
                <w:rtl w:val="true"/>
              </w:rPr>
              <w:t xml:space="preserve">: </w:t>
            </w:r>
            <w:r>
              <w:rPr>
                <w:rStyle w:val="IndexLink"/>
                <w:rtl w:val="true"/>
              </w:rPr>
              <w:t>القهقهة و لو اضطراراً</w:t>
            </w:r>
            <w:r>
              <w:rPr>
                <w:rStyle w:val="IndexLink"/>
                <w:rtl w:val="true"/>
              </w:rPr>
              <w:t>]</w:t>
              <w:tab/>
            </w:r>
            <w:r>
              <w:rPr>
                <w:rStyle w:val="IndexLink"/>
              </w:rPr>
              <w:t>254</w:t>
            </w:r>
          </w:hyperlink>
        </w:p>
        <w:p>
          <w:pPr>
            <w:pStyle w:val="Contents4"/>
            <w:tabs>
              <w:tab w:val="clear" w:pos="8176"/>
              <w:tab w:val="right" w:pos="9026" w:leader="dot"/>
            </w:tabs>
            <w:rPr/>
          </w:pPr>
          <w:hyperlink w:anchor="__RefHeading___Toc2566712_3650668749">
            <w:r>
              <w:rPr>
                <w:webHidden/>
                <w:rStyle w:val="IndexLink"/>
                <w:rtl w:val="true"/>
              </w:rPr>
              <w:t>[</w:t>
            </w:r>
            <w:r>
              <w:rPr>
                <w:rStyle w:val="IndexLink"/>
                <w:rtl w:val="true"/>
              </w:rPr>
              <w:t>سابعها</w:t>
            </w:r>
            <w:r>
              <w:rPr>
                <w:rStyle w:val="IndexLink"/>
                <w:rtl w:val="true"/>
              </w:rPr>
              <w:t xml:space="preserve">: </w:t>
            </w:r>
            <w:r>
              <w:rPr>
                <w:rStyle w:val="IndexLink"/>
                <w:rtl w:val="true"/>
              </w:rPr>
              <w:t>کلّ فعل ماحٍ لها مُذهِب لصورتها علیٰ وجه یصحّ سلب الاسم عنها</w:t>
            </w:r>
            <w:r>
              <w:rPr>
                <w:rStyle w:val="IndexLink"/>
                <w:rtl w:val="true"/>
              </w:rPr>
              <w:t>]</w:t>
              <w:tab/>
            </w:r>
            <w:r>
              <w:rPr>
                <w:rStyle w:val="IndexLink"/>
              </w:rPr>
              <w:t>255</w:t>
            </w:r>
          </w:hyperlink>
        </w:p>
        <w:p>
          <w:pPr>
            <w:pStyle w:val="Contents4"/>
            <w:tabs>
              <w:tab w:val="clear" w:pos="8176"/>
              <w:tab w:val="right" w:pos="9026" w:leader="dot"/>
            </w:tabs>
            <w:rPr/>
          </w:pPr>
          <w:hyperlink w:anchor="__RefHeading___Toc2566714_3650668749">
            <w:r>
              <w:rPr>
                <w:webHidden/>
                <w:rStyle w:val="IndexLink"/>
                <w:rtl w:val="true"/>
              </w:rPr>
              <w:t>[</w:t>
            </w:r>
            <w:r>
              <w:rPr>
                <w:rStyle w:val="IndexLink"/>
                <w:rtl w:val="true"/>
              </w:rPr>
              <w:t>ثامنها</w:t>
            </w:r>
            <w:r>
              <w:rPr>
                <w:rStyle w:val="IndexLink"/>
                <w:rtl w:val="true"/>
              </w:rPr>
              <w:t xml:space="preserve">: </w:t>
            </w:r>
            <w:r>
              <w:rPr>
                <w:rStyle w:val="IndexLink"/>
                <w:rtl w:val="true"/>
              </w:rPr>
              <w:t>الأکل و الشرب و إن کانا قلیلین</w:t>
            </w:r>
            <w:r>
              <w:rPr>
                <w:rStyle w:val="IndexLink"/>
                <w:rtl w:val="true"/>
              </w:rPr>
              <w:t>]</w:t>
              <w:tab/>
            </w:r>
            <w:r>
              <w:rPr>
                <w:rStyle w:val="IndexLink"/>
              </w:rPr>
              <w:t>255</w:t>
            </w:r>
          </w:hyperlink>
        </w:p>
        <w:p>
          <w:pPr>
            <w:pStyle w:val="Contents4"/>
            <w:tabs>
              <w:tab w:val="clear" w:pos="8176"/>
              <w:tab w:val="right" w:pos="9026" w:leader="dot"/>
            </w:tabs>
            <w:rPr/>
          </w:pPr>
          <w:hyperlink w:anchor="__RefHeading___Toc2566716_3650668749">
            <w:r>
              <w:rPr>
                <w:webHidden/>
                <w:rStyle w:val="IndexLink"/>
                <w:rtl w:val="true"/>
              </w:rPr>
              <w:t>[</w:t>
            </w:r>
            <w:r>
              <w:rPr>
                <w:rStyle w:val="IndexLink"/>
                <w:rtl w:val="true"/>
              </w:rPr>
              <w:t>تاسعها</w:t>
            </w:r>
            <w:r>
              <w:rPr>
                <w:rStyle w:val="IndexLink"/>
                <w:rtl w:val="true"/>
              </w:rPr>
              <w:t xml:space="preserve">: </w:t>
            </w:r>
            <w:r>
              <w:rPr>
                <w:rStyle w:val="IndexLink"/>
                <w:rtl w:val="true"/>
              </w:rPr>
              <w:t xml:space="preserve">تعمّد قول </w:t>
            </w:r>
            <w:r>
              <w:rPr>
                <w:rStyle w:val="IndexLink"/>
                <w:rtl w:val="true"/>
              </w:rPr>
              <w:t>«</w:t>
            </w:r>
            <w:r>
              <w:rPr>
                <w:rStyle w:val="IndexLink"/>
                <w:rtl w:val="true"/>
              </w:rPr>
              <w:t>آمّین</w:t>
            </w:r>
            <w:r>
              <w:rPr>
                <w:rStyle w:val="IndexLink"/>
                <w:rtl w:val="true"/>
              </w:rPr>
              <w:t xml:space="preserve">» </w:t>
            </w:r>
            <w:r>
              <w:rPr>
                <w:rStyle w:val="IndexLink"/>
                <w:rtl w:val="true"/>
              </w:rPr>
              <w:t>بعد تمام الفاتحة لغیر تقیّة</w:t>
            </w:r>
            <w:r>
              <w:rPr>
                <w:rStyle w:val="IndexLink"/>
                <w:rtl w:val="true"/>
              </w:rPr>
              <w:t>]</w:t>
              <w:tab/>
            </w:r>
            <w:r>
              <w:rPr>
                <w:rStyle w:val="IndexLink"/>
              </w:rPr>
              <w:t>256</w:t>
            </w:r>
          </w:hyperlink>
        </w:p>
        <w:p>
          <w:pPr>
            <w:pStyle w:val="Contents4"/>
            <w:tabs>
              <w:tab w:val="clear" w:pos="8176"/>
              <w:tab w:val="right" w:pos="9026" w:leader="dot"/>
            </w:tabs>
            <w:rPr/>
          </w:pPr>
          <w:hyperlink w:anchor="__RefHeading___Toc2566718_3650668749">
            <w:r>
              <w:rPr>
                <w:webHidden/>
                <w:rStyle w:val="IndexLink"/>
                <w:rtl w:val="true"/>
              </w:rPr>
              <w:t>[</w:t>
            </w:r>
            <w:r>
              <w:rPr>
                <w:rStyle w:val="IndexLink"/>
                <w:rtl w:val="true"/>
              </w:rPr>
              <w:t>عاشرها</w:t>
            </w:r>
            <w:r>
              <w:rPr>
                <w:rStyle w:val="IndexLink"/>
                <w:rtl w:val="true"/>
              </w:rPr>
              <w:t xml:space="preserve">: </w:t>
            </w:r>
            <w:r>
              <w:rPr>
                <w:rStyle w:val="IndexLink"/>
                <w:rtl w:val="true"/>
              </w:rPr>
              <w:t>الشکّ فی عدد غیر الرباعیّة من الفرائض</w:t>
            </w:r>
            <w:r>
              <w:rPr>
                <w:rStyle w:val="IndexLink"/>
                <w:rtl w:val="true"/>
              </w:rPr>
              <w:t>]</w:t>
              <w:tab/>
            </w:r>
            <w:r>
              <w:rPr>
                <w:rStyle w:val="IndexLink"/>
              </w:rPr>
              <w:t>256</w:t>
            </w:r>
          </w:hyperlink>
        </w:p>
        <w:p>
          <w:pPr>
            <w:pStyle w:val="Contents4"/>
            <w:tabs>
              <w:tab w:val="clear" w:pos="8176"/>
              <w:tab w:val="right" w:pos="9026" w:leader="dot"/>
            </w:tabs>
            <w:rPr/>
          </w:pPr>
          <w:hyperlink w:anchor="__RefHeading___Toc2566720_3650668749">
            <w:r>
              <w:rPr>
                <w:webHidden/>
                <w:rStyle w:val="IndexLink"/>
                <w:rtl w:val="true"/>
              </w:rPr>
              <w:t>[</w:t>
            </w:r>
            <w:r>
              <w:rPr>
                <w:rStyle w:val="IndexLink"/>
                <w:rtl w:val="true"/>
              </w:rPr>
              <w:t>حادی عشرها</w:t>
            </w:r>
            <w:r>
              <w:rPr>
                <w:rStyle w:val="IndexLink"/>
                <w:rtl w:val="true"/>
              </w:rPr>
              <w:t xml:space="preserve">: </w:t>
            </w:r>
            <w:r>
              <w:rPr>
                <w:rStyle w:val="IndexLink"/>
                <w:rtl w:val="true"/>
              </w:rPr>
              <w:t>زیادة جزء فیها أو نقصانه</w:t>
            </w:r>
            <w:r>
              <w:rPr>
                <w:rStyle w:val="IndexLink"/>
                <w:rtl w:val="true"/>
              </w:rPr>
              <w:t>]</w:t>
              <w:tab/>
            </w:r>
            <w:r>
              <w:rPr>
                <w:rStyle w:val="IndexLink"/>
              </w:rPr>
              <w:t>256</w:t>
            </w:r>
          </w:hyperlink>
        </w:p>
        <w:p>
          <w:pPr>
            <w:pStyle w:val="Contents4"/>
            <w:tabs>
              <w:tab w:val="clear" w:pos="8176"/>
              <w:tab w:val="right" w:pos="9026" w:leader="dot"/>
            </w:tabs>
            <w:rPr/>
          </w:pPr>
          <w:hyperlink w:anchor="__RefHeading___Toc256672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یکره فی الصلاة مضافاً إلیٰ ما سمعته سابقاً نفخ موضع السجود و العبث و البصاق</w:t>
            </w:r>
            <w:r>
              <w:rPr>
                <w:rStyle w:val="IndexLink"/>
                <w:rtl w:val="true"/>
              </w:rPr>
              <w:t>]</w:t>
              <w:tab/>
            </w:r>
            <w:r>
              <w:rPr>
                <w:rStyle w:val="IndexLink"/>
              </w:rPr>
              <w:t>256</w:t>
            </w:r>
          </w:hyperlink>
        </w:p>
        <w:p>
          <w:pPr>
            <w:pStyle w:val="Contents4"/>
            <w:tabs>
              <w:tab w:val="clear" w:pos="8176"/>
              <w:tab w:val="right" w:pos="9026" w:leader="dot"/>
            </w:tabs>
            <w:rPr/>
          </w:pPr>
          <w:hyperlink w:anchor="__RefHeading___Toc256672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لا یجوز قطع الفریضة اختیاراً</w:t>
            </w:r>
            <w:r>
              <w:rPr>
                <w:rStyle w:val="IndexLink"/>
                <w:rtl w:val="true"/>
              </w:rPr>
              <w:t>]</w:t>
              <w:tab/>
            </w:r>
            <w:r>
              <w:rPr>
                <w:rStyle w:val="IndexLink"/>
              </w:rPr>
              <w:t>256</w:t>
            </w:r>
          </w:hyperlink>
        </w:p>
        <w:p>
          <w:pPr>
            <w:pStyle w:val="Contents3"/>
            <w:tabs>
              <w:tab w:val="clear" w:pos="8459"/>
              <w:tab w:val="right" w:pos="9026" w:leader="dot"/>
            </w:tabs>
            <w:rPr/>
          </w:pPr>
          <w:hyperlink w:anchor="__RefHeading___Toc2566726_3650668749">
            <w:r>
              <w:rPr>
                <w:webHidden/>
                <w:rStyle w:val="IndexLink"/>
                <w:rtl w:val="true"/>
              </w:rPr>
              <w:t>[</w:t>
            </w:r>
            <w:r>
              <w:rPr>
                <w:rStyle w:val="IndexLink"/>
                <w:rtl w:val="true"/>
              </w:rPr>
              <w:t>القول فی صلاة الآیات</w:t>
            </w:r>
            <w:r>
              <w:rPr>
                <w:rStyle w:val="IndexLink"/>
                <w:rtl w:val="true"/>
              </w:rPr>
              <w:t>]</w:t>
              <w:tab/>
            </w:r>
            <w:r>
              <w:rPr>
                <w:rStyle w:val="IndexLink"/>
              </w:rPr>
              <w:t>256</w:t>
            </w:r>
          </w:hyperlink>
        </w:p>
        <w:p>
          <w:pPr>
            <w:pStyle w:val="Contents4"/>
            <w:tabs>
              <w:tab w:val="clear" w:pos="8176"/>
              <w:tab w:val="right" w:pos="9026" w:leader="dot"/>
            </w:tabs>
            <w:rPr/>
          </w:pPr>
          <w:hyperlink w:anchor="__RefHeading___Toc2566728_3650668749">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256673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سبب هذه الصلاة کسوف الشمس و خسوف القمر</w:t>
            </w:r>
            <w:r>
              <w:rPr>
                <w:rStyle w:val="IndexLink"/>
                <w:rtl w:val="true"/>
              </w:rPr>
              <w:t>]</w:t>
              <w:tab/>
            </w:r>
            <w:r>
              <w:rPr>
                <w:rStyle w:val="IndexLink"/>
              </w:rPr>
              <w:t>256</w:t>
            </w:r>
          </w:hyperlink>
        </w:p>
        <w:p>
          <w:pPr>
            <w:pStyle w:val="Contents4"/>
            <w:tabs>
              <w:tab w:val="clear" w:pos="8176"/>
              <w:tab w:val="right" w:pos="9026" w:leader="dot"/>
            </w:tabs>
            <w:rPr/>
          </w:pPr>
          <w:hyperlink w:anchor="__RefHeading___Toc256673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الظاهر أنّ المدار فی کسوف النیّرین صدق اسمه</w:t>
            </w:r>
            <w:r>
              <w:rPr>
                <w:rStyle w:val="IndexLink"/>
                <w:rtl w:val="true"/>
              </w:rPr>
              <w:t>]</w:t>
              <w:tab/>
            </w:r>
            <w:r>
              <w:rPr>
                <w:rStyle w:val="IndexLink"/>
              </w:rPr>
              <w:t>257</w:t>
            </w:r>
          </w:hyperlink>
        </w:p>
        <w:p>
          <w:pPr>
            <w:pStyle w:val="Contents4"/>
            <w:tabs>
              <w:tab w:val="clear" w:pos="8176"/>
              <w:tab w:val="right" w:pos="9026" w:leader="dot"/>
            </w:tabs>
            <w:rPr/>
          </w:pPr>
          <w:hyperlink w:anchor="__RefHeading___Toc256673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وقت أداء صلاة الکسوفین من حین الشروع إلیٰ تمام الانجلاء</w:t>
            </w:r>
            <w:r>
              <w:rPr>
                <w:rStyle w:val="IndexLink"/>
                <w:rtl w:val="true"/>
              </w:rPr>
              <w:t>]</w:t>
              <w:tab/>
            </w:r>
            <w:r>
              <w:rPr>
                <w:rStyle w:val="IndexLink"/>
              </w:rPr>
              <w:t>257</w:t>
            </w:r>
          </w:hyperlink>
        </w:p>
        <w:p>
          <w:pPr>
            <w:pStyle w:val="Contents4"/>
            <w:tabs>
              <w:tab w:val="clear" w:pos="8176"/>
              <w:tab w:val="right" w:pos="9026" w:leader="dot"/>
            </w:tabs>
            <w:rPr/>
          </w:pPr>
          <w:hyperlink w:anchor="__RefHeading___Toc256673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یختصّ الوجوب بمن فی بلد الآیة</w:t>
            </w:r>
            <w:r>
              <w:rPr>
                <w:rStyle w:val="IndexLink"/>
                <w:rtl w:val="true"/>
              </w:rPr>
              <w:t>]</w:t>
              <w:tab/>
            </w:r>
            <w:r>
              <w:rPr>
                <w:rStyle w:val="IndexLink"/>
              </w:rPr>
              <w:t>257</w:t>
            </w:r>
          </w:hyperlink>
        </w:p>
        <w:p>
          <w:pPr>
            <w:pStyle w:val="Contents4"/>
            <w:tabs>
              <w:tab w:val="clear" w:pos="8176"/>
              <w:tab w:val="right" w:pos="9026" w:leader="dot"/>
            </w:tabs>
            <w:rPr/>
          </w:pPr>
          <w:hyperlink w:anchor="__RefHeading___Toc256673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تثبت الآیة و کذا وقتها و مقدار مکثها بالعلم</w:t>
            </w:r>
            <w:r>
              <w:rPr>
                <w:rStyle w:val="IndexLink"/>
                <w:rtl w:val="true"/>
              </w:rPr>
              <w:t>]</w:t>
              <w:tab/>
            </w:r>
            <w:r>
              <w:rPr>
                <w:rStyle w:val="IndexLink"/>
              </w:rPr>
              <w:t>257</w:t>
            </w:r>
          </w:hyperlink>
        </w:p>
        <w:p>
          <w:pPr>
            <w:pStyle w:val="Contents4"/>
            <w:tabs>
              <w:tab w:val="clear" w:pos="8176"/>
              <w:tab w:val="right" w:pos="9026" w:leader="dot"/>
            </w:tabs>
            <w:rPr/>
          </w:pPr>
          <w:hyperlink w:anchor="__RefHeading___Toc256674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تجب هذه الصلاة علیٰ کلّ مکلّف</w:t>
            </w:r>
            <w:r>
              <w:rPr>
                <w:rStyle w:val="IndexLink"/>
                <w:rtl w:val="true"/>
              </w:rPr>
              <w:t>]</w:t>
              <w:tab/>
            </w:r>
            <w:r>
              <w:rPr>
                <w:rStyle w:val="IndexLink"/>
              </w:rPr>
              <w:t>257</w:t>
            </w:r>
          </w:hyperlink>
        </w:p>
        <w:p>
          <w:pPr>
            <w:pStyle w:val="Contents4"/>
            <w:tabs>
              <w:tab w:val="clear" w:pos="8176"/>
              <w:tab w:val="right" w:pos="9026" w:leader="dot"/>
            </w:tabs>
            <w:rPr/>
          </w:pPr>
          <w:hyperlink w:anchor="__RefHeading___Toc256674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من لم یعلم بالکسوف حتّی خرج الوقت الذی هو تمام الانجلاء و لم یحترق جمیع القرص</w:t>
            </w:r>
            <w:r>
              <w:rPr>
                <w:rStyle w:val="IndexLink"/>
                <w:rtl w:val="true"/>
              </w:rPr>
              <w:t>]</w:t>
              <w:tab/>
            </w:r>
            <w:r>
              <w:rPr>
                <w:rStyle w:val="IndexLink"/>
              </w:rPr>
              <w:t>258</w:t>
            </w:r>
          </w:hyperlink>
        </w:p>
        <w:p>
          <w:pPr>
            <w:pStyle w:val="Contents4"/>
            <w:tabs>
              <w:tab w:val="clear" w:pos="8176"/>
              <w:tab w:val="right" w:pos="9026" w:leader="dot"/>
            </w:tabs>
            <w:rPr/>
          </w:pPr>
          <w:hyperlink w:anchor="__RefHeading___Toc256674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أخبر جماعة غیر عدول بالکسوف</w:t>
            </w:r>
            <w:r>
              <w:rPr>
                <w:rStyle w:val="IndexLink"/>
                <w:rtl w:val="true"/>
              </w:rPr>
              <w:t>]</w:t>
              <w:tab/>
            </w:r>
            <w:r>
              <w:rPr>
                <w:rStyle w:val="IndexLink"/>
              </w:rPr>
              <w:t>258</w:t>
            </w:r>
          </w:hyperlink>
        </w:p>
        <w:p>
          <w:pPr>
            <w:pStyle w:val="Contents4"/>
            <w:tabs>
              <w:tab w:val="clear" w:pos="8176"/>
              <w:tab w:val="right" w:pos="9026" w:leader="dot"/>
            </w:tabs>
            <w:rPr/>
          </w:pPr>
          <w:hyperlink w:anchor="__RefHeading___Toc256674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صلاة الآیات رکعتان فی کلّ واحدة منهما خمس رکوعات</w:t>
            </w:r>
            <w:r>
              <w:rPr>
                <w:rStyle w:val="IndexLink"/>
                <w:rtl w:val="true"/>
              </w:rPr>
              <w:t>]</w:t>
              <w:tab/>
            </w:r>
            <w:r>
              <w:rPr>
                <w:rStyle w:val="IndexLink"/>
              </w:rPr>
              <w:t>258</w:t>
            </w:r>
          </w:hyperlink>
        </w:p>
        <w:p>
          <w:pPr>
            <w:pStyle w:val="Contents4"/>
            <w:tabs>
              <w:tab w:val="clear" w:pos="8176"/>
              <w:tab w:val="right" w:pos="9026" w:leader="dot"/>
            </w:tabs>
            <w:rPr/>
          </w:pPr>
          <w:hyperlink w:anchor="__RefHeading___Toc2566748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یعتبر فی الصلاة هاهنا ما یعتبر فی الفریضة من الشرائط و غیرها</w:t>
            </w:r>
            <w:r>
              <w:rPr>
                <w:rStyle w:val="IndexLink"/>
                <w:rtl w:val="true"/>
              </w:rPr>
              <w:t>]</w:t>
              <w:tab/>
            </w:r>
            <w:r>
              <w:rPr>
                <w:rStyle w:val="IndexLink"/>
              </w:rPr>
              <w:t>259</w:t>
            </w:r>
          </w:hyperlink>
        </w:p>
        <w:p>
          <w:pPr>
            <w:pStyle w:val="Contents4"/>
            <w:tabs>
              <w:tab w:val="clear" w:pos="8176"/>
              <w:tab w:val="right" w:pos="9026" w:leader="dot"/>
            </w:tabs>
            <w:rPr/>
          </w:pPr>
          <w:hyperlink w:anchor="__RefHeading___Toc2566750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یستحبّ فیها الجهر بالقراءة لیلًا أو نهاراً</w:t>
            </w:r>
            <w:r>
              <w:rPr>
                <w:rStyle w:val="IndexLink"/>
                <w:rtl w:val="true"/>
              </w:rPr>
              <w:t>]</w:t>
              <w:tab/>
            </w:r>
            <w:r>
              <w:rPr>
                <w:rStyle w:val="IndexLink"/>
              </w:rPr>
              <w:t>259</w:t>
            </w:r>
          </w:hyperlink>
        </w:p>
        <w:p>
          <w:pPr>
            <w:pStyle w:val="Contents4"/>
            <w:tabs>
              <w:tab w:val="clear" w:pos="8176"/>
              <w:tab w:val="right" w:pos="9026" w:leader="dot"/>
            </w:tabs>
            <w:rPr/>
          </w:pPr>
          <w:hyperlink w:anchor="__RefHeading___Toc2566752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یستحبّ فیها الجماعة</w:t>
            </w:r>
            <w:r>
              <w:rPr>
                <w:rStyle w:val="IndexLink"/>
                <w:rtl w:val="true"/>
              </w:rPr>
              <w:t>]</w:t>
              <w:tab/>
            </w:r>
            <w:r>
              <w:rPr>
                <w:rStyle w:val="IndexLink"/>
              </w:rPr>
              <w:t>260</w:t>
            </w:r>
          </w:hyperlink>
        </w:p>
        <w:p>
          <w:pPr>
            <w:pStyle w:val="Contents3"/>
            <w:tabs>
              <w:tab w:val="clear" w:pos="8459"/>
              <w:tab w:val="right" w:pos="9026" w:leader="dot"/>
            </w:tabs>
            <w:rPr/>
          </w:pPr>
          <w:hyperlink w:anchor="__RefHeading___Toc2566754_3650668749">
            <w:r>
              <w:rPr>
                <w:webHidden/>
                <w:rStyle w:val="IndexLink"/>
                <w:rtl w:val="true"/>
              </w:rPr>
              <w:t>[</w:t>
            </w:r>
            <w:r>
              <w:rPr>
                <w:rStyle w:val="IndexLink"/>
                <w:rtl w:val="true"/>
              </w:rPr>
              <w:t>القول فی الخلل الواقع فی الصلاة</w:t>
            </w:r>
            <w:r>
              <w:rPr>
                <w:rStyle w:val="IndexLink"/>
                <w:rtl w:val="true"/>
              </w:rPr>
              <w:t>]</w:t>
              <w:tab/>
            </w:r>
            <w:r>
              <w:rPr>
                <w:rStyle w:val="IndexLink"/>
              </w:rPr>
              <w:t>260</w:t>
            </w:r>
          </w:hyperlink>
        </w:p>
        <w:p>
          <w:pPr>
            <w:pStyle w:val="Contents4"/>
            <w:tabs>
              <w:tab w:val="clear" w:pos="8176"/>
              <w:tab w:val="right" w:pos="9026" w:leader="dot"/>
            </w:tabs>
            <w:rPr/>
          </w:pPr>
          <w:hyperlink w:anchor="__RefHeading___Toc2566756_3650668749">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2566758_3650668749">
            <w:r>
              <w:rPr>
                <w:webHidden/>
                <w:rStyle w:val="IndexLink"/>
                <w:rtl w:val="true"/>
              </w:rPr>
              <w:t>[</w:t>
            </w:r>
            <w:r>
              <w:rPr>
                <w:rStyle w:val="IndexLink"/>
                <w:rtl w:val="true"/>
              </w:rPr>
              <w:t>مسائل</w:t>
            </w:r>
            <w:r>
              <w:rPr>
                <w:rStyle w:val="IndexLink"/>
                <w:rtl w:val="true"/>
              </w:rPr>
              <w:t>]</w:t>
              <w:tab/>
            </w:r>
            <w:r>
              <w:rPr>
                <w:rStyle w:val="IndexLink"/>
              </w:rPr>
              <w:t>260</w:t>
            </w:r>
          </w:hyperlink>
        </w:p>
        <w:p>
          <w:pPr>
            <w:pStyle w:val="Contents5"/>
            <w:tabs>
              <w:tab w:val="clear" w:pos="7892"/>
              <w:tab w:val="right" w:pos="9026" w:leader="dot"/>
            </w:tabs>
            <w:rPr/>
          </w:pPr>
          <w:hyperlink w:anchor="__RefHeading___Toc256676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من أخلّ بالطهارة من الحدث بطلت صلاته مع العمد و السهو و العلم و الجهل</w:t>
            </w:r>
            <w:r>
              <w:rPr>
                <w:rStyle w:val="IndexLink"/>
                <w:rtl w:val="true"/>
              </w:rPr>
              <w:t>]</w:t>
              <w:tab/>
            </w:r>
            <w:r>
              <w:rPr>
                <w:rStyle w:val="IndexLink"/>
              </w:rPr>
              <w:t>260</w:t>
            </w:r>
          </w:hyperlink>
        </w:p>
        <w:p>
          <w:pPr>
            <w:pStyle w:val="Contents5"/>
            <w:tabs>
              <w:tab w:val="clear" w:pos="7892"/>
              <w:tab w:val="right" w:pos="9026" w:leader="dot"/>
            </w:tabs>
            <w:rPr/>
          </w:pPr>
          <w:hyperlink w:anchor="__RefHeading___Toc256676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من نقص شیئاً من واجبات صلاته سهواً و لم یذکره إلّا بعد تجاوز محلّه</w:t>
            </w:r>
            <w:r>
              <w:rPr>
                <w:rStyle w:val="IndexLink"/>
                <w:rtl w:val="true"/>
              </w:rPr>
              <w:t>]</w:t>
              <w:tab/>
            </w:r>
            <w:r>
              <w:rPr>
                <w:rStyle w:val="IndexLink"/>
              </w:rPr>
              <w:t>260</w:t>
            </w:r>
          </w:hyperlink>
        </w:p>
        <w:p>
          <w:pPr>
            <w:pStyle w:val="Contents5"/>
            <w:tabs>
              <w:tab w:val="clear" w:pos="7892"/>
              <w:tab w:val="right" w:pos="9026" w:leader="dot"/>
            </w:tabs>
            <w:rPr/>
          </w:pPr>
          <w:hyperlink w:anchor="__RefHeading___Toc256676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من نسی الرکعة الأخیرة مثلًا فذکرها بعد التشهّد قبل التسلیم قام و أتی بها</w:t>
            </w:r>
            <w:r>
              <w:rPr>
                <w:rStyle w:val="IndexLink"/>
                <w:rtl w:val="true"/>
              </w:rPr>
              <w:t>]</w:t>
              <w:tab/>
            </w:r>
            <w:r>
              <w:rPr>
                <w:rStyle w:val="IndexLink"/>
              </w:rPr>
              <w:t>262</w:t>
            </w:r>
          </w:hyperlink>
        </w:p>
        <w:p>
          <w:pPr>
            <w:pStyle w:val="Contents5"/>
            <w:tabs>
              <w:tab w:val="clear" w:pos="7892"/>
              <w:tab w:val="right" w:pos="9026" w:leader="dot"/>
            </w:tabs>
            <w:rPr/>
          </w:pPr>
          <w:hyperlink w:anchor="__RefHeading___Toc256676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لو علم إجمالًا قبل أن یدخل فی الرکوع</w:t>
            </w:r>
            <w:r>
              <w:rPr>
                <w:rStyle w:val="IndexLink"/>
                <w:rtl w:val="true"/>
              </w:rPr>
              <w:t>]</w:t>
              <w:tab/>
            </w:r>
            <w:r>
              <w:rPr>
                <w:rStyle w:val="IndexLink"/>
              </w:rPr>
              <w:t>262</w:t>
            </w:r>
          </w:hyperlink>
        </w:p>
        <w:p>
          <w:pPr>
            <w:pStyle w:val="Contents5"/>
            <w:tabs>
              <w:tab w:val="clear" w:pos="7892"/>
              <w:tab w:val="right" w:pos="9026" w:leader="dot"/>
            </w:tabs>
            <w:rPr/>
          </w:pPr>
          <w:hyperlink w:anchor="__RefHeading___Toc256676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علم بعد الفراغ أنّه ترک سجدتین و لم یدر أنّهما من رکعة أو رکعتین</w:t>
            </w:r>
            <w:r>
              <w:rPr>
                <w:rStyle w:val="IndexLink"/>
                <w:rtl w:val="true"/>
              </w:rPr>
              <w:t>]</w:t>
              <w:tab/>
            </w:r>
            <w:r>
              <w:rPr>
                <w:rStyle w:val="IndexLink"/>
              </w:rPr>
              <w:t>262</w:t>
            </w:r>
          </w:hyperlink>
        </w:p>
        <w:p>
          <w:pPr>
            <w:pStyle w:val="Contents5"/>
            <w:tabs>
              <w:tab w:val="clear" w:pos="7892"/>
              <w:tab w:val="right" w:pos="9026" w:leader="dot"/>
            </w:tabs>
            <w:rPr/>
          </w:pPr>
          <w:hyperlink w:anchor="__RefHeading___Toc256677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علم بعد القیام إلی الثالثة أنّه ترک التشهّد، و لا یدری أنّه ترک السجدة أیضاً أم لا</w:t>
            </w:r>
            <w:r>
              <w:rPr>
                <w:rStyle w:val="IndexLink"/>
                <w:rtl w:val="true"/>
              </w:rPr>
              <w:t>]</w:t>
              <w:tab/>
            </w:r>
            <w:r>
              <w:rPr>
                <w:rStyle w:val="IndexLink"/>
              </w:rPr>
              <w:t>263</w:t>
            </w:r>
          </w:hyperlink>
        </w:p>
        <w:p>
          <w:pPr>
            <w:pStyle w:val="Contents4"/>
            <w:tabs>
              <w:tab w:val="clear" w:pos="8176"/>
              <w:tab w:val="right" w:pos="9026" w:leader="dot"/>
            </w:tabs>
            <w:rPr/>
          </w:pPr>
          <w:hyperlink w:anchor="__RefHeading___Toc2566772_3650668749">
            <w:r>
              <w:rPr>
                <w:webHidden/>
                <w:rStyle w:val="IndexLink"/>
                <w:rtl w:val="true"/>
              </w:rPr>
              <w:t>[</w:t>
            </w:r>
            <w:r>
              <w:rPr>
                <w:rStyle w:val="IndexLink"/>
                <w:rtl w:val="true"/>
              </w:rPr>
              <w:t>القول فی الشکّ</w:t>
            </w:r>
            <w:r>
              <w:rPr>
                <w:rStyle w:val="IndexLink"/>
                <w:rtl w:val="true"/>
              </w:rPr>
              <w:t>]</w:t>
              <w:tab/>
            </w:r>
            <w:r>
              <w:rPr>
                <w:rStyle w:val="IndexLink"/>
              </w:rPr>
              <w:t>263</w:t>
            </w:r>
          </w:hyperlink>
        </w:p>
        <w:p>
          <w:pPr>
            <w:pStyle w:val="Contents5"/>
            <w:tabs>
              <w:tab w:val="clear" w:pos="7892"/>
              <w:tab w:val="right" w:pos="9026" w:leader="dot"/>
            </w:tabs>
            <w:rPr/>
          </w:pPr>
          <w:hyperlink w:anchor="__RefHeading___Toc2566774_3650668749">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2566776_3650668749">
            <w:r>
              <w:rPr>
                <w:webHidden/>
                <w:rStyle w:val="IndexLink"/>
                <w:rtl w:val="true"/>
              </w:rPr>
              <w:t>[</w:t>
            </w:r>
            <w:r>
              <w:rPr>
                <w:rStyle w:val="IndexLink"/>
                <w:rtl w:val="true"/>
              </w:rPr>
              <w:t>مسائل</w:t>
            </w:r>
            <w:r>
              <w:rPr>
                <w:rStyle w:val="IndexLink"/>
                <w:rtl w:val="true"/>
              </w:rPr>
              <w:t>]</w:t>
              <w:tab/>
            </w:r>
            <w:r>
              <w:rPr>
                <w:rStyle w:val="IndexLink"/>
              </w:rPr>
              <w:t>263</w:t>
            </w:r>
          </w:hyperlink>
        </w:p>
        <w:p>
          <w:pPr>
            <w:pStyle w:val="Contents6"/>
            <w:tabs>
              <w:tab w:val="clear" w:pos="7609"/>
              <w:tab w:val="right" w:pos="9026" w:leader="dot"/>
            </w:tabs>
            <w:rPr/>
          </w:pPr>
          <w:hyperlink w:anchor="__RefHeading___Toc2566778_3650668749">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256678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من شکّ فی الصلاة فلم یدر أنّه صلّیٰ أم لا</w:t>
            </w:r>
            <w:r>
              <w:rPr>
                <w:rStyle w:val="IndexLink"/>
                <w:rtl w:val="true"/>
              </w:rPr>
              <w:t>]</w:t>
              <w:tab/>
            </w:r>
            <w:r>
              <w:rPr>
                <w:rStyle w:val="IndexLink"/>
              </w:rPr>
              <w:t>263</w:t>
            </w:r>
          </w:hyperlink>
        </w:p>
        <w:p>
          <w:pPr>
            <w:pStyle w:val="Contents6"/>
            <w:tabs>
              <w:tab w:val="clear" w:pos="7609"/>
              <w:tab w:val="right" w:pos="9026" w:leader="dot"/>
            </w:tabs>
            <w:rPr/>
          </w:pPr>
          <w:hyperlink w:anchor="__RefHeading___Toc256678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لو علم أنّه صلّی العصر و لم یدر أنّه صلّی الظهر أیضاً أم لا</w:t>
            </w:r>
            <w:r>
              <w:rPr>
                <w:rStyle w:val="IndexLink"/>
                <w:rtl w:val="true"/>
              </w:rPr>
              <w:t>]</w:t>
              <w:tab/>
            </w:r>
            <w:r>
              <w:rPr>
                <w:rStyle w:val="IndexLink"/>
              </w:rPr>
              <w:t>263</w:t>
            </w:r>
          </w:hyperlink>
        </w:p>
        <w:p>
          <w:pPr>
            <w:pStyle w:val="Contents6"/>
            <w:tabs>
              <w:tab w:val="clear" w:pos="7609"/>
              <w:tab w:val="right" w:pos="9026" w:leader="dot"/>
            </w:tabs>
            <w:rPr/>
          </w:pPr>
          <w:hyperlink w:anchor="__RefHeading___Toc256678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شکّ فی بقاء الوقت و عدمه یلحقه حکم البقاء</w:t>
            </w:r>
            <w:r>
              <w:rPr>
                <w:rStyle w:val="IndexLink"/>
                <w:rtl w:val="true"/>
              </w:rPr>
              <w:t>]</w:t>
              <w:tab/>
            </w:r>
            <w:r>
              <w:rPr>
                <w:rStyle w:val="IndexLink"/>
              </w:rPr>
              <w:t>263</w:t>
            </w:r>
          </w:hyperlink>
        </w:p>
        <w:p>
          <w:pPr>
            <w:pStyle w:val="Contents6"/>
            <w:tabs>
              <w:tab w:val="clear" w:pos="7609"/>
              <w:tab w:val="right" w:pos="9026" w:leader="dot"/>
            </w:tabs>
            <w:rPr/>
          </w:pPr>
          <w:hyperlink w:anchor="__RefHeading___Toc256678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لو شکّ فی أثناء صلاة العصر فی أنّه صلّی الظهر أم لا</w:t>
            </w:r>
            <w:r>
              <w:rPr>
                <w:rStyle w:val="IndexLink"/>
                <w:rtl w:val="true"/>
              </w:rPr>
              <w:t>]</w:t>
              <w:tab/>
            </w:r>
            <w:r>
              <w:rPr>
                <w:rStyle w:val="IndexLink"/>
              </w:rPr>
              <w:t>263</w:t>
            </w:r>
          </w:hyperlink>
        </w:p>
        <w:p>
          <w:pPr>
            <w:pStyle w:val="Contents6"/>
            <w:tabs>
              <w:tab w:val="clear" w:pos="7609"/>
              <w:tab w:val="right" w:pos="9026" w:leader="dot"/>
            </w:tabs>
            <w:rPr/>
          </w:pPr>
          <w:hyperlink w:anchor="__RefHeading___Toc256678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علم أنّه صلّیٰ إحدی الصلاتین من الظهر أو العصر و لم یدر المعیّن منهما</w:t>
            </w:r>
            <w:r>
              <w:rPr>
                <w:rStyle w:val="IndexLink"/>
                <w:rtl w:val="true"/>
              </w:rPr>
              <w:t>]</w:t>
              <w:tab/>
            </w:r>
            <w:r>
              <w:rPr>
                <w:rStyle w:val="IndexLink"/>
              </w:rPr>
              <w:t>263</w:t>
            </w:r>
          </w:hyperlink>
        </w:p>
        <w:p>
          <w:pPr>
            <w:pStyle w:val="Contents6"/>
            <w:tabs>
              <w:tab w:val="clear" w:pos="7609"/>
              <w:tab w:val="right" w:pos="9026" w:leader="dot"/>
            </w:tabs>
            <w:rPr/>
          </w:pPr>
          <w:hyperlink w:anchor="__RefHeading___Toc256679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إنّما لا یلتفت بالشکّ فی الصلاة بعد الوقت و یبنی علیٰ إتیانها فیما إذا کان حدوثه بعده</w:t>
            </w:r>
            <w:r>
              <w:rPr>
                <w:rStyle w:val="IndexLink"/>
                <w:rtl w:val="true"/>
              </w:rPr>
              <w:t>]</w:t>
              <w:tab/>
            </w:r>
            <w:r>
              <w:rPr>
                <w:rStyle w:val="IndexLink"/>
              </w:rPr>
              <w:t>264</w:t>
            </w:r>
          </w:hyperlink>
        </w:p>
        <w:p>
          <w:pPr>
            <w:pStyle w:val="Contents6"/>
            <w:tabs>
              <w:tab w:val="clear" w:pos="7609"/>
              <w:tab w:val="right" w:pos="9026" w:leader="dot"/>
            </w:tabs>
            <w:rPr/>
          </w:pPr>
          <w:hyperlink w:anchor="__RefHeading___Toc256679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شکّ و اعتقد أنّه خارج الوقت ثمّ تبیّن بعد الوقت أنّ شکّه کان فی أثناء الوقت</w:t>
            </w:r>
            <w:r>
              <w:rPr>
                <w:rStyle w:val="IndexLink"/>
                <w:rtl w:val="true"/>
              </w:rPr>
              <w:t>]</w:t>
              <w:tab/>
            </w:r>
            <w:r>
              <w:rPr>
                <w:rStyle w:val="IndexLink"/>
              </w:rPr>
              <w:t>264</w:t>
            </w:r>
          </w:hyperlink>
        </w:p>
        <w:p>
          <w:pPr>
            <w:pStyle w:val="Contents6"/>
            <w:tabs>
              <w:tab w:val="clear" w:pos="7609"/>
              <w:tab w:val="right" w:pos="9026" w:leader="dot"/>
            </w:tabs>
            <w:rPr/>
          </w:pPr>
          <w:hyperlink w:anchor="__RefHeading___Toc256679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حکم کثیر الشکّ فی الإتیان بالصلاة و عدمه حکم غیره</w:t>
            </w:r>
            <w:r>
              <w:rPr>
                <w:rStyle w:val="IndexLink"/>
                <w:rtl w:val="true"/>
              </w:rPr>
              <w:t>]</w:t>
              <w:tab/>
            </w:r>
            <w:r>
              <w:rPr>
                <w:rStyle w:val="IndexLink"/>
              </w:rPr>
              <w:t>264</w:t>
            </w:r>
          </w:hyperlink>
        </w:p>
        <w:p>
          <w:pPr>
            <w:pStyle w:val="Contents5"/>
            <w:tabs>
              <w:tab w:val="clear" w:pos="7892"/>
              <w:tab w:val="right" w:pos="9026" w:leader="dot"/>
            </w:tabs>
            <w:rPr/>
          </w:pPr>
          <w:hyperlink w:anchor="__RefHeading___Toc2566796_3650668749">
            <w:r>
              <w:rPr>
                <w:webHidden/>
                <w:rStyle w:val="IndexLink"/>
                <w:rtl w:val="true"/>
              </w:rPr>
              <w:t>[</w:t>
            </w:r>
            <w:r>
              <w:rPr>
                <w:rStyle w:val="IndexLink"/>
                <w:rtl w:val="true"/>
              </w:rPr>
              <w:t>القول فی الشکّ فی شی‌ء من أفعال الصلاة</w:t>
            </w:r>
            <w:r>
              <w:rPr>
                <w:rStyle w:val="IndexLink"/>
                <w:rtl w:val="true"/>
              </w:rPr>
              <w:t>]</w:t>
              <w:tab/>
            </w:r>
            <w:r>
              <w:rPr>
                <w:rStyle w:val="IndexLink"/>
              </w:rPr>
              <w:t>264</w:t>
            </w:r>
          </w:hyperlink>
        </w:p>
        <w:p>
          <w:pPr>
            <w:pStyle w:val="Contents6"/>
            <w:tabs>
              <w:tab w:val="clear" w:pos="7609"/>
              <w:tab w:val="right" w:pos="9026" w:leader="dot"/>
            </w:tabs>
            <w:rPr/>
          </w:pPr>
          <w:hyperlink w:anchor="__RefHeading___Toc2566798_3650668749">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256680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من شکّ فی شی‌ء من أفعال الصلاة فإن کان قبل الدخول فی غیره ممّا هو مترتّب علیه</w:t>
            </w:r>
            <w:r>
              <w:rPr>
                <w:rStyle w:val="IndexLink"/>
                <w:rtl w:val="true"/>
              </w:rPr>
              <w:t>]</w:t>
              <w:tab/>
            </w:r>
            <w:r>
              <w:rPr>
                <w:rStyle w:val="IndexLink"/>
              </w:rPr>
              <w:t>264</w:t>
            </w:r>
          </w:hyperlink>
        </w:p>
        <w:p>
          <w:pPr>
            <w:pStyle w:val="Contents6"/>
            <w:tabs>
              <w:tab w:val="clear" w:pos="7609"/>
              <w:tab w:val="right" w:pos="9026" w:leader="dot"/>
            </w:tabs>
            <w:rPr/>
          </w:pPr>
          <w:hyperlink w:anchor="__RefHeading___Toc256680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لو شکّ فی صحّة الواقع و فساده لا فی أصل الوقوع لم یلتفت</w:t>
            </w:r>
            <w:r>
              <w:rPr>
                <w:rStyle w:val="IndexLink"/>
                <w:rtl w:val="true"/>
              </w:rPr>
              <w:t>]</w:t>
              <w:tab/>
            </w:r>
            <w:r>
              <w:rPr>
                <w:rStyle w:val="IndexLink"/>
              </w:rPr>
              <w:t>265</w:t>
            </w:r>
          </w:hyperlink>
        </w:p>
        <w:p>
          <w:pPr>
            <w:pStyle w:val="Contents6"/>
            <w:tabs>
              <w:tab w:val="clear" w:pos="7609"/>
              <w:tab w:val="right" w:pos="9026" w:leader="dot"/>
            </w:tabs>
            <w:rPr/>
          </w:pPr>
          <w:hyperlink w:anchor="__RefHeading___Toc256680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لو شکّ فی التسلیم لم یلتفت إذا کان قد دخل فیما هو مترتّب علی الفراغ من التعقیب</w:t>
            </w:r>
            <w:r>
              <w:rPr>
                <w:rStyle w:val="IndexLink"/>
                <w:rtl w:val="true"/>
              </w:rPr>
              <w:t>]</w:t>
              <w:tab/>
            </w:r>
            <w:r>
              <w:rPr>
                <w:rStyle w:val="IndexLink"/>
              </w:rPr>
              <w:t>265</w:t>
            </w:r>
          </w:hyperlink>
        </w:p>
        <w:p>
          <w:pPr>
            <w:pStyle w:val="Contents6"/>
            <w:tabs>
              <w:tab w:val="clear" w:pos="7609"/>
              <w:tab w:val="right" w:pos="9026" w:leader="dot"/>
            </w:tabs>
            <w:rPr/>
          </w:pPr>
          <w:hyperlink w:anchor="__RefHeading___Toc256680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کلّ مشکوک أتی به لأنّه فی المحلّ ثمّ ذکر أنّه فعله</w:t>
            </w:r>
            <w:r>
              <w:rPr>
                <w:rStyle w:val="IndexLink"/>
                <w:rtl w:val="true"/>
              </w:rPr>
              <w:t>]</w:t>
              <w:tab/>
            </w:r>
            <w:r>
              <w:rPr>
                <w:rStyle w:val="IndexLink"/>
              </w:rPr>
              <w:t>265</w:t>
            </w:r>
          </w:hyperlink>
        </w:p>
        <w:p>
          <w:pPr>
            <w:pStyle w:val="Contents6"/>
            <w:tabs>
              <w:tab w:val="clear" w:pos="7609"/>
              <w:tab w:val="right" w:pos="9026" w:leader="dot"/>
            </w:tabs>
            <w:rPr/>
          </w:pPr>
          <w:hyperlink w:anchor="__RefHeading___Toc256680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شکّ و هو فی فعل أنّه هل شکّ فی بعض الأفعال المتقدّمة علیه سابقاً أم لا</w:t>
            </w:r>
            <w:r>
              <w:rPr>
                <w:rStyle w:val="IndexLink"/>
                <w:rtl w:val="true"/>
              </w:rPr>
              <w:t>]</w:t>
              <w:tab/>
            </w:r>
            <w:r>
              <w:rPr>
                <w:rStyle w:val="IndexLink"/>
              </w:rPr>
              <w:t>265</w:t>
            </w:r>
          </w:hyperlink>
        </w:p>
        <w:p>
          <w:pPr>
            <w:pStyle w:val="Contents5"/>
            <w:tabs>
              <w:tab w:val="clear" w:pos="7892"/>
              <w:tab w:val="right" w:pos="9026" w:leader="dot"/>
            </w:tabs>
            <w:rPr/>
          </w:pPr>
          <w:hyperlink w:anchor="__RefHeading___Toc2566810_3650668749">
            <w:r>
              <w:rPr>
                <w:webHidden/>
                <w:rStyle w:val="IndexLink"/>
                <w:rtl w:val="true"/>
              </w:rPr>
              <w:t>[</w:t>
            </w:r>
            <w:r>
              <w:rPr>
                <w:rStyle w:val="IndexLink"/>
                <w:rtl w:val="true"/>
              </w:rPr>
              <w:t>القول فی الشکّ فی عدد رکعات الفریضة</w:t>
            </w:r>
            <w:r>
              <w:rPr>
                <w:rStyle w:val="IndexLink"/>
                <w:rtl w:val="true"/>
              </w:rPr>
              <w:t>]</w:t>
              <w:tab/>
            </w:r>
            <w:r>
              <w:rPr>
                <w:rStyle w:val="IndexLink"/>
              </w:rPr>
              <w:t>265</w:t>
            </w:r>
          </w:hyperlink>
        </w:p>
        <w:p>
          <w:pPr>
            <w:pStyle w:val="Contents6"/>
            <w:tabs>
              <w:tab w:val="clear" w:pos="7609"/>
              <w:tab w:val="right" w:pos="9026" w:leader="dot"/>
            </w:tabs>
            <w:rPr/>
          </w:pPr>
          <w:hyperlink w:anchor="__RefHeading___Toc2566812_3650668749">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256681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حکم للشکّ المزبور بمجرّد حصوله إن زال بعد ذلک</w:t>
            </w:r>
            <w:r>
              <w:rPr>
                <w:rStyle w:val="IndexLink"/>
                <w:rtl w:val="true"/>
              </w:rPr>
              <w:t>]</w:t>
              <w:tab/>
            </w:r>
            <w:r>
              <w:rPr>
                <w:rStyle w:val="IndexLink"/>
              </w:rPr>
              <w:t>265</w:t>
            </w:r>
          </w:hyperlink>
        </w:p>
        <w:p>
          <w:pPr>
            <w:pStyle w:val="Contents6"/>
            <w:tabs>
              <w:tab w:val="clear" w:pos="7609"/>
              <w:tab w:val="right" w:pos="9026" w:leader="dot"/>
            </w:tabs>
            <w:rPr/>
          </w:pPr>
          <w:hyperlink w:anchor="__RefHeading___Toc256681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شکّ بین الثلاث و الأربع، أو بین الثلاث و الخمس</w:t>
            </w:r>
            <w:r>
              <w:rPr>
                <w:rStyle w:val="IndexLink"/>
                <w:rtl w:val="true"/>
              </w:rPr>
              <w:t>]</w:t>
              <w:tab/>
            </w:r>
            <w:r>
              <w:rPr>
                <w:rStyle w:val="IndexLink"/>
              </w:rPr>
              <w:t>267</w:t>
            </w:r>
          </w:hyperlink>
        </w:p>
        <w:p>
          <w:pPr>
            <w:pStyle w:val="Contents6"/>
            <w:tabs>
              <w:tab w:val="clear" w:pos="7609"/>
              <w:tab w:val="right" w:pos="9026" w:leader="dot"/>
            </w:tabs>
            <w:rPr/>
          </w:pPr>
          <w:hyperlink w:anchor="__RefHeading___Toc256681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فی الشکوک المعتبر فیها إکمال السجدتین إذا شکّ فی الإکمال و عدمه</w:t>
            </w:r>
            <w:r>
              <w:rPr>
                <w:rStyle w:val="IndexLink"/>
                <w:rtl w:val="true"/>
              </w:rPr>
              <w:t>]</w:t>
              <w:tab/>
            </w:r>
            <w:r>
              <w:rPr>
                <w:rStyle w:val="IndexLink"/>
              </w:rPr>
              <w:t>267</w:t>
            </w:r>
          </w:hyperlink>
        </w:p>
        <w:p>
          <w:pPr>
            <w:pStyle w:val="Contents6"/>
            <w:tabs>
              <w:tab w:val="clear" w:pos="7609"/>
              <w:tab w:val="right" w:pos="9026" w:leader="dot"/>
            </w:tabs>
            <w:rPr/>
          </w:pPr>
          <w:hyperlink w:anchor="__RefHeading___Toc256682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الشکّ فی الرکعات ما عدا الصور المزبورة موجب للبطلان</w:t>
            </w:r>
            <w:r>
              <w:rPr>
                <w:rStyle w:val="IndexLink"/>
                <w:rtl w:val="true"/>
              </w:rPr>
              <w:t>]</w:t>
              <w:tab/>
            </w:r>
            <w:r>
              <w:rPr>
                <w:rStyle w:val="IndexLink"/>
              </w:rPr>
              <w:t>267</w:t>
            </w:r>
          </w:hyperlink>
        </w:p>
        <w:p>
          <w:pPr>
            <w:pStyle w:val="Contents6"/>
            <w:tabs>
              <w:tab w:val="clear" w:pos="7609"/>
              <w:tab w:val="right" w:pos="9026" w:leader="dot"/>
            </w:tabs>
            <w:rPr/>
          </w:pPr>
          <w:hyperlink w:anchor="__RefHeading___Toc256682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علم و هو فی الصلاة أنّه شکّ سابقاً بین الاثنتین و الثلاث</w:t>
            </w:r>
            <w:r>
              <w:rPr>
                <w:rStyle w:val="IndexLink"/>
                <w:rtl w:val="true"/>
              </w:rPr>
              <w:t>]</w:t>
              <w:tab/>
            </w:r>
            <w:r>
              <w:rPr>
                <w:rStyle w:val="IndexLink"/>
              </w:rPr>
              <w:t>267</w:t>
            </w:r>
          </w:hyperlink>
        </w:p>
        <w:p>
          <w:pPr>
            <w:pStyle w:val="Contents6"/>
            <w:tabs>
              <w:tab w:val="clear" w:pos="7609"/>
              <w:tab w:val="right" w:pos="9026" w:leader="dot"/>
            </w:tabs>
            <w:rPr/>
          </w:pPr>
          <w:hyperlink w:anchor="__RefHeading___Toc2566824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شکّ بعد الفراغ أنّ شکّه کان موجباً لرکعة أو رکعتین</w:t>
            </w:r>
            <w:r>
              <w:rPr>
                <w:rStyle w:val="IndexLink"/>
                <w:rtl w:val="true"/>
              </w:rPr>
              <w:t>]</w:t>
              <w:tab/>
            </w:r>
            <w:r>
              <w:rPr>
                <w:rStyle w:val="IndexLink"/>
              </w:rPr>
              <w:t>268</w:t>
            </w:r>
          </w:hyperlink>
        </w:p>
        <w:p>
          <w:pPr>
            <w:pStyle w:val="Contents6"/>
            <w:tabs>
              <w:tab w:val="clear" w:pos="7609"/>
              <w:tab w:val="right" w:pos="9026" w:leader="dot"/>
            </w:tabs>
            <w:rPr/>
          </w:pPr>
          <w:hyperlink w:anchor="__RefHeading___Toc2566826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عرض له أحد الشکوک و لم یعلم الوظیفة</w:t>
            </w:r>
            <w:r>
              <w:rPr>
                <w:rStyle w:val="IndexLink"/>
                <w:rtl w:val="true"/>
              </w:rPr>
              <w:t>]</w:t>
              <w:tab/>
            </w:r>
            <w:r>
              <w:rPr>
                <w:rStyle w:val="IndexLink"/>
              </w:rPr>
              <w:t>268</w:t>
            </w:r>
          </w:hyperlink>
        </w:p>
        <w:p>
          <w:pPr>
            <w:pStyle w:val="Contents6"/>
            <w:tabs>
              <w:tab w:val="clear" w:pos="7609"/>
              <w:tab w:val="right" w:pos="9026" w:leader="dot"/>
            </w:tabs>
            <w:rPr/>
          </w:pPr>
          <w:hyperlink w:anchor="__RefHeading___Toc2566828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لو انقلب شکّه بعد الفراغ إلیٰ شکّ آخر</w:t>
            </w:r>
            <w:r>
              <w:rPr>
                <w:rStyle w:val="IndexLink"/>
                <w:rtl w:val="true"/>
              </w:rPr>
              <w:t>]</w:t>
              <w:tab/>
            </w:r>
            <w:r>
              <w:rPr>
                <w:rStyle w:val="IndexLink"/>
              </w:rPr>
              <w:t>268</w:t>
            </w:r>
          </w:hyperlink>
        </w:p>
        <w:p>
          <w:pPr>
            <w:pStyle w:val="Contents6"/>
            <w:tabs>
              <w:tab w:val="clear" w:pos="7609"/>
              <w:tab w:val="right" w:pos="9026" w:leader="dot"/>
            </w:tabs>
            <w:rPr/>
          </w:pPr>
          <w:hyperlink w:anchor="__RefHeading___Toc2566830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إذا شکّ بین الاثنتین و الثلاث فبنیٰ علی الثلاث ثمّ شکّ</w:t>
            </w:r>
            <w:r>
              <w:rPr>
                <w:rStyle w:val="IndexLink"/>
                <w:rtl w:val="true"/>
              </w:rPr>
              <w:t>]</w:t>
              <w:tab/>
            </w:r>
            <w:r>
              <w:rPr>
                <w:rStyle w:val="IndexLink"/>
              </w:rPr>
              <w:t>269</w:t>
            </w:r>
          </w:hyperlink>
        </w:p>
        <w:p>
          <w:pPr>
            <w:pStyle w:val="Contents6"/>
            <w:tabs>
              <w:tab w:val="clear" w:pos="7609"/>
              <w:tab w:val="right" w:pos="9026" w:leader="dot"/>
            </w:tabs>
            <w:rPr/>
          </w:pPr>
          <w:hyperlink w:anchor="__RefHeading___Toc2566832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لو شکّ بین الاثنتین و الثلاث فبنیٰ علی الثلاث</w:t>
            </w:r>
            <w:r>
              <w:rPr>
                <w:rStyle w:val="IndexLink"/>
                <w:rtl w:val="true"/>
              </w:rPr>
              <w:t>]</w:t>
              <w:tab/>
            </w:r>
            <w:r>
              <w:rPr>
                <w:rStyle w:val="IndexLink"/>
              </w:rPr>
              <w:t>269</w:t>
            </w:r>
          </w:hyperlink>
        </w:p>
        <w:p>
          <w:pPr>
            <w:pStyle w:val="Contents6"/>
            <w:tabs>
              <w:tab w:val="clear" w:pos="7609"/>
              <w:tab w:val="right" w:pos="9026" w:leader="dot"/>
            </w:tabs>
            <w:rPr/>
          </w:pPr>
          <w:hyperlink w:anchor="__RefHeading___Toc2566834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من کان عاجزاً عن القیام و عرض له أحد الشکوک الصحیحة</w:t>
            </w:r>
            <w:r>
              <w:rPr>
                <w:rStyle w:val="IndexLink"/>
                <w:rtl w:val="true"/>
              </w:rPr>
              <w:t>]</w:t>
              <w:tab/>
            </w:r>
            <w:r>
              <w:rPr>
                <w:rStyle w:val="IndexLink"/>
              </w:rPr>
              <w:t>269</w:t>
            </w:r>
          </w:hyperlink>
        </w:p>
        <w:p>
          <w:pPr>
            <w:pStyle w:val="Contents6"/>
            <w:tabs>
              <w:tab w:val="clear" w:pos="7609"/>
              <w:tab w:val="right" w:pos="9026" w:leader="dot"/>
            </w:tabs>
            <w:rPr/>
          </w:pPr>
          <w:hyperlink w:anchor="__RefHeading___Toc2566836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لا یجوز فی الشکوک الصحیحة قطع الصلاة و استئنافها</w:t>
            </w:r>
            <w:r>
              <w:rPr>
                <w:rStyle w:val="IndexLink"/>
                <w:rtl w:val="true"/>
              </w:rPr>
              <w:t>]</w:t>
              <w:tab/>
            </w:r>
            <w:r>
              <w:rPr>
                <w:rStyle w:val="IndexLink"/>
              </w:rPr>
              <w:t>269</w:t>
            </w:r>
          </w:hyperlink>
        </w:p>
        <w:p>
          <w:pPr>
            <w:pStyle w:val="Contents6"/>
            <w:tabs>
              <w:tab w:val="clear" w:pos="7609"/>
              <w:tab w:val="right" w:pos="9026" w:leader="dot"/>
            </w:tabs>
            <w:rPr/>
          </w:pPr>
          <w:hyperlink w:anchor="__RefHeading___Toc2566838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فی الشکوک الباطلة إذا غفل عن شکّه و أتمّ الصلاة ثمّ تبیّن له الموافقة للواقع</w:t>
            </w:r>
            <w:r>
              <w:rPr>
                <w:rStyle w:val="IndexLink"/>
                <w:rtl w:val="true"/>
              </w:rPr>
              <w:t>]</w:t>
              <w:tab/>
            </w:r>
            <w:r>
              <w:rPr>
                <w:rStyle w:val="IndexLink"/>
              </w:rPr>
              <w:t>269</w:t>
            </w:r>
          </w:hyperlink>
        </w:p>
        <w:p>
          <w:pPr>
            <w:pStyle w:val="Contents6"/>
            <w:tabs>
              <w:tab w:val="clear" w:pos="7609"/>
              <w:tab w:val="right" w:pos="9026" w:leader="dot"/>
            </w:tabs>
            <w:rPr/>
          </w:pPr>
          <w:hyperlink w:anchor="__RefHeading___Toc2566840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لو کان المسافر فی أحد مواطن التخییر فنویٰ بصلاته القصر و شکّ فی الرکعات بطلت</w:t>
            </w:r>
            <w:r>
              <w:rPr>
                <w:rStyle w:val="IndexLink"/>
                <w:rtl w:val="true"/>
              </w:rPr>
              <w:t>]</w:t>
              <w:tab/>
            </w:r>
            <w:r>
              <w:rPr>
                <w:rStyle w:val="IndexLink"/>
              </w:rPr>
              <w:t>269</w:t>
            </w:r>
          </w:hyperlink>
        </w:p>
        <w:p>
          <w:pPr>
            <w:pStyle w:val="Contents5"/>
            <w:tabs>
              <w:tab w:val="clear" w:pos="7892"/>
              <w:tab w:val="right" w:pos="9026" w:leader="dot"/>
            </w:tabs>
            <w:rPr/>
          </w:pPr>
          <w:hyperlink w:anchor="__RefHeading___Toc2566842_3650668749">
            <w:r>
              <w:rPr>
                <w:webHidden/>
                <w:rStyle w:val="IndexLink"/>
                <w:rtl w:val="true"/>
              </w:rPr>
              <w:t>[</w:t>
            </w:r>
            <w:r>
              <w:rPr>
                <w:rStyle w:val="IndexLink"/>
                <w:rtl w:val="true"/>
              </w:rPr>
              <w:t>القول فی الشکوک التی لا اعتبار بها</w:t>
            </w:r>
            <w:r>
              <w:rPr>
                <w:rStyle w:val="IndexLink"/>
                <w:rtl w:val="true"/>
              </w:rPr>
              <w:t>]</w:t>
              <w:tab/>
            </w:r>
            <w:r>
              <w:rPr>
                <w:rStyle w:val="IndexLink"/>
              </w:rPr>
              <w:t>270</w:t>
            </w:r>
          </w:hyperlink>
        </w:p>
        <w:p>
          <w:pPr>
            <w:pStyle w:val="Contents6"/>
            <w:tabs>
              <w:tab w:val="clear" w:pos="7609"/>
              <w:tab w:val="right" w:pos="9026" w:leader="dot"/>
            </w:tabs>
            <w:rPr/>
          </w:pPr>
          <w:hyperlink w:anchor="__RefHeading___Toc2566844_3650668749">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2566846_3650668749">
            <w:r>
              <w:rPr>
                <w:webHidden/>
                <w:rStyle w:val="IndexLink"/>
                <w:rtl w:val="true"/>
              </w:rPr>
              <w:t>[</w:t>
            </w:r>
            <w:r>
              <w:rPr>
                <w:rStyle w:val="IndexLink"/>
                <w:rtl w:val="true"/>
              </w:rPr>
              <w:t>منها</w:t>
            </w:r>
            <w:r>
              <w:rPr>
                <w:rStyle w:val="IndexLink"/>
                <w:rtl w:val="true"/>
              </w:rPr>
              <w:t xml:space="preserve">: </w:t>
            </w:r>
            <w:r>
              <w:rPr>
                <w:rStyle w:val="IndexLink"/>
                <w:rtl w:val="true"/>
              </w:rPr>
              <w:t>الشکّ بعد تجاوز المحلّ</w:t>
            </w:r>
            <w:r>
              <w:rPr>
                <w:rStyle w:val="IndexLink"/>
                <w:rtl w:val="true"/>
              </w:rPr>
              <w:t>]</w:t>
              <w:tab/>
            </w:r>
            <w:r>
              <w:rPr>
                <w:rStyle w:val="IndexLink"/>
              </w:rPr>
              <w:t>270</w:t>
            </w:r>
          </w:hyperlink>
        </w:p>
        <w:p>
          <w:pPr>
            <w:pStyle w:val="Contents6"/>
            <w:tabs>
              <w:tab w:val="clear" w:pos="7609"/>
              <w:tab w:val="right" w:pos="9026" w:leader="dot"/>
            </w:tabs>
            <w:rPr/>
          </w:pPr>
          <w:hyperlink w:anchor="__RefHeading___Toc2566848_3650668749">
            <w:r>
              <w:rPr>
                <w:webHidden/>
                <w:rStyle w:val="IndexLink"/>
                <w:rtl w:val="true"/>
              </w:rPr>
              <w:t>[</w:t>
            </w:r>
            <w:r>
              <w:rPr>
                <w:rStyle w:val="IndexLink"/>
                <w:rtl w:val="true"/>
              </w:rPr>
              <w:t>و منها</w:t>
            </w:r>
            <w:r>
              <w:rPr>
                <w:rStyle w:val="IndexLink"/>
                <w:rtl w:val="true"/>
              </w:rPr>
              <w:t xml:space="preserve">: </w:t>
            </w:r>
            <w:r>
              <w:rPr>
                <w:rStyle w:val="IndexLink"/>
                <w:rtl w:val="true"/>
              </w:rPr>
              <w:t>الشکّ فی الصلاة بعد الوقت</w:t>
            </w:r>
            <w:r>
              <w:rPr>
                <w:rStyle w:val="IndexLink"/>
                <w:rtl w:val="true"/>
              </w:rPr>
              <w:t>]</w:t>
              <w:tab/>
            </w:r>
            <w:r>
              <w:rPr>
                <w:rStyle w:val="IndexLink"/>
              </w:rPr>
              <w:t>270</w:t>
            </w:r>
          </w:hyperlink>
        </w:p>
        <w:p>
          <w:pPr>
            <w:pStyle w:val="Contents6"/>
            <w:tabs>
              <w:tab w:val="clear" w:pos="7609"/>
              <w:tab w:val="right" w:pos="9026" w:leader="dot"/>
            </w:tabs>
            <w:rPr/>
          </w:pPr>
          <w:hyperlink w:anchor="__RefHeading___Toc2566850_3650668749">
            <w:r>
              <w:rPr>
                <w:webHidden/>
                <w:rStyle w:val="IndexLink"/>
                <w:rtl w:val="true"/>
              </w:rPr>
              <w:t>[</w:t>
            </w:r>
            <w:r>
              <w:rPr>
                <w:rStyle w:val="IndexLink"/>
                <w:rtl w:val="true"/>
              </w:rPr>
              <w:t>و منها</w:t>
            </w:r>
            <w:r>
              <w:rPr>
                <w:rStyle w:val="IndexLink"/>
                <w:rtl w:val="true"/>
              </w:rPr>
              <w:t xml:space="preserve">: </w:t>
            </w:r>
            <w:r>
              <w:rPr>
                <w:rStyle w:val="IndexLink"/>
                <w:rtl w:val="true"/>
              </w:rPr>
              <w:t>الشکّ بعد الفراغ من الصلاة</w:t>
            </w:r>
            <w:r>
              <w:rPr>
                <w:rStyle w:val="IndexLink"/>
                <w:rtl w:val="true"/>
              </w:rPr>
              <w:t>]</w:t>
              <w:tab/>
            </w:r>
            <w:r>
              <w:rPr>
                <w:rStyle w:val="IndexLink"/>
              </w:rPr>
              <w:t>270</w:t>
            </w:r>
          </w:hyperlink>
        </w:p>
        <w:p>
          <w:pPr>
            <w:pStyle w:val="Contents6"/>
            <w:tabs>
              <w:tab w:val="clear" w:pos="7609"/>
              <w:tab w:val="right" w:pos="9026" w:leader="dot"/>
            </w:tabs>
            <w:rPr/>
          </w:pPr>
          <w:hyperlink w:anchor="__RefHeading___Toc2566852_3650668749">
            <w:r>
              <w:rPr>
                <w:webHidden/>
                <w:rStyle w:val="IndexLink"/>
                <w:rtl w:val="true"/>
              </w:rPr>
              <w:t>[</w:t>
            </w:r>
            <w:r>
              <w:rPr>
                <w:rStyle w:val="IndexLink"/>
                <w:rtl w:val="true"/>
              </w:rPr>
              <w:t>و منها</w:t>
            </w:r>
            <w:r>
              <w:rPr>
                <w:rStyle w:val="IndexLink"/>
                <w:rtl w:val="true"/>
              </w:rPr>
              <w:t xml:space="preserve">: </w:t>
            </w:r>
            <w:r>
              <w:rPr>
                <w:rStyle w:val="IndexLink"/>
                <w:rtl w:val="true"/>
              </w:rPr>
              <w:t>شکّ کثیر الشکّ</w:t>
            </w:r>
            <w:r>
              <w:rPr>
                <w:rStyle w:val="IndexLink"/>
                <w:rtl w:val="true"/>
              </w:rPr>
              <w:t>]</w:t>
              <w:tab/>
            </w:r>
            <w:r>
              <w:rPr>
                <w:rStyle w:val="IndexLink"/>
              </w:rPr>
              <w:t>270</w:t>
            </w:r>
          </w:hyperlink>
        </w:p>
        <w:p>
          <w:pPr>
            <w:pStyle w:val="Contents6"/>
            <w:tabs>
              <w:tab w:val="clear" w:pos="7609"/>
              <w:tab w:val="right" w:pos="9026" w:leader="dot"/>
            </w:tabs>
            <w:rPr/>
          </w:pPr>
          <w:hyperlink w:anchor="__RefHeading___Toc2566854_3650668749">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256685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المرجع فی کثرة الشکّ إلی العرف</w:t>
            </w:r>
            <w:r>
              <w:rPr>
                <w:rStyle w:val="IndexLink"/>
                <w:rtl w:val="true"/>
              </w:rPr>
              <w:t>]</w:t>
              <w:tab/>
            </w:r>
            <w:r>
              <w:rPr>
                <w:rStyle w:val="IndexLink"/>
              </w:rPr>
              <w:t>270</w:t>
            </w:r>
          </w:hyperlink>
        </w:p>
        <w:p>
          <w:pPr>
            <w:pStyle w:val="Contents6"/>
            <w:tabs>
              <w:tab w:val="clear" w:pos="7609"/>
              <w:tab w:val="right" w:pos="9026" w:leader="dot"/>
            </w:tabs>
            <w:rPr/>
          </w:pPr>
          <w:hyperlink w:anchor="__RefHeading___Toc256685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لو شکّ فی أنّه حصل له حالة کثرة الشکّ أم لا</w:t>
            </w:r>
            <w:r>
              <w:rPr>
                <w:rStyle w:val="IndexLink"/>
                <w:rtl w:val="true"/>
              </w:rPr>
              <w:t>]</w:t>
              <w:tab/>
            </w:r>
            <w:r>
              <w:rPr>
                <w:rStyle w:val="IndexLink"/>
              </w:rPr>
              <w:t>270</w:t>
            </w:r>
          </w:hyperlink>
        </w:p>
        <w:p>
          <w:pPr>
            <w:pStyle w:val="Contents6"/>
            <w:tabs>
              <w:tab w:val="clear" w:pos="7609"/>
              <w:tab w:val="right" w:pos="9026" w:leader="dot"/>
            </w:tabs>
            <w:rPr/>
          </w:pPr>
          <w:hyperlink w:anchor="__RefHeading___Toc256686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یجوز لکثیر الشکّ الاعتناء بشکّه</w:t>
            </w:r>
            <w:r>
              <w:rPr>
                <w:rStyle w:val="IndexLink"/>
                <w:rtl w:val="true"/>
              </w:rPr>
              <w:t>]</w:t>
              <w:tab/>
            </w:r>
            <w:r>
              <w:rPr>
                <w:rStyle w:val="IndexLink"/>
              </w:rPr>
              <w:t>271</w:t>
            </w:r>
          </w:hyperlink>
        </w:p>
        <w:p>
          <w:pPr>
            <w:pStyle w:val="Contents6"/>
            <w:tabs>
              <w:tab w:val="clear" w:pos="7609"/>
              <w:tab w:val="right" w:pos="9026" w:leader="dot"/>
            </w:tabs>
            <w:rPr/>
          </w:pPr>
          <w:hyperlink w:anchor="__RefHeading___Toc2566862_3650668749">
            <w:r>
              <w:rPr>
                <w:webHidden/>
                <w:rStyle w:val="IndexLink"/>
                <w:rtl w:val="true"/>
              </w:rPr>
              <w:t>[</w:t>
            </w:r>
            <w:r>
              <w:rPr>
                <w:rStyle w:val="IndexLink"/>
                <w:rtl w:val="true"/>
              </w:rPr>
              <w:t>و منها</w:t>
            </w:r>
            <w:r>
              <w:rPr>
                <w:rStyle w:val="IndexLink"/>
                <w:rtl w:val="true"/>
              </w:rPr>
              <w:t xml:space="preserve">: </w:t>
            </w:r>
            <w:r>
              <w:rPr>
                <w:rStyle w:val="IndexLink"/>
                <w:rtl w:val="true"/>
              </w:rPr>
              <w:t>شکّ کلّ من الإمام و المأموم فی الرکعات مع حفظ الآخر</w:t>
            </w:r>
            <w:r>
              <w:rPr>
                <w:rStyle w:val="IndexLink"/>
                <w:rtl w:val="true"/>
              </w:rPr>
              <w:t>]</w:t>
              <w:tab/>
            </w:r>
            <w:r>
              <w:rPr>
                <w:rStyle w:val="IndexLink"/>
              </w:rPr>
              <w:t>271</w:t>
            </w:r>
          </w:hyperlink>
        </w:p>
        <w:p>
          <w:pPr>
            <w:pStyle w:val="Contents6"/>
            <w:tabs>
              <w:tab w:val="clear" w:pos="7609"/>
              <w:tab w:val="right" w:pos="9026" w:leader="dot"/>
            </w:tabs>
            <w:rPr/>
          </w:pPr>
          <w:hyperlink w:anchor="__RefHeading___Toc2566864_3650668749">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256686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عرض الشکّ لکلّ من الإمام و المأموم فإن اتّحد شکّهما</w:t>
            </w:r>
            <w:r>
              <w:rPr>
                <w:rStyle w:val="IndexLink"/>
                <w:rtl w:val="true"/>
              </w:rPr>
              <w:t>]</w:t>
              <w:tab/>
            </w:r>
            <w:r>
              <w:rPr>
                <w:rStyle w:val="IndexLink"/>
              </w:rPr>
              <w:t>271</w:t>
            </w:r>
          </w:hyperlink>
        </w:p>
        <w:p>
          <w:pPr>
            <w:pStyle w:val="Contents6"/>
            <w:tabs>
              <w:tab w:val="clear" w:pos="7609"/>
              <w:tab w:val="right" w:pos="9026" w:leader="dot"/>
            </w:tabs>
            <w:rPr/>
          </w:pPr>
          <w:hyperlink w:anchor="__RefHeading___Toc2566868_3650668749">
            <w:r>
              <w:rPr>
                <w:webHidden/>
                <w:rStyle w:val="IndexLink"/>
                <w:rtl w:val="true"/>
              </w:rPr>
              <w:t>[</w:t>
            </w:r>
            <w:r>
              <w:rPr>
                <w:rStyle w:val="IndexLink"/>
                <w:rtl w:val="true"/>
              </w:rPr>
              <w:t>و منها</w:t>
            </w:r>
            <w:r>
              <w:rPr>
                <w:rStyle w:val="IndexLink"/>
                <w:rtl w:val="true"/>
              </w:rPr>
              <w:t xml:space="preserve">: </w:t>
            </w:r>
            <w:r>
              <w:rPr>
                <w:rStyle w:val="IndexLink"/>
                <w:rtl w:val="true"/>
              </w:rPr>
              <w:t>الشکّ فی رکعات النافلة</w:t>
            </w:r>
            <w:r>
              <w:rPr>
                <w:rStyle w:val="IndexLink"/>
                <w:rtl w:val="true"/>
              </w:rPr>
              <w:t>]</w:t>
              <w:tab/>
            </w:r>
            <w:r>
              <w:rPr>
                <w:rStyle w:val="IndexLink"/>
              </w:rPr>
              <w:t>271</w:t>
            </w:r>
          </w:hyperlink>
        </w:p>
        <w:p>
          <w:pPr>
            <w:pStyle w:val="Contents6"/>
            <w:tabs>
              <w:tab w:val="clear" w:pos="7609"/>
              <w:tab w:val="right" w:pos="9026" w:leader="dot"/>
            </w:tabs>
            <w:rPr/>
          </w:pPr>
          <w:hyperlink w:anchor="__RefHeading___Toc2566870_3650668749">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256687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النوافل التی لها کیفیّة خاصّة أو سورة مخصوصة</w:t>
            </w:r>
            <w:r>
              <w:rPr>
                <w:rStyle w:val="IndexLink"/>
                <w:rtl w:val="true"/>
              </w:rPr>
              <w:t>]</w:t>
              <w:tab/>
            </w:r>
            <w:r>
              <w:rPr>
                <w:rStyle w:val="IndexLink"/>
              </w:rPr>
              <w:t>272</w:t>
            </w:r>
          </w:hyperlink>
        </w:p>
        <w:p>
          <w:pPr>
            <w:pStyle w:val="Contents5"/>
            <w:tabs>
              <w:tab w:val="clear" w:pos="7892"/>
              <w:tab w:val="right" w:pos="9026" w:leader="dot"/>
            </w:tabs>
            <w:rPr/>
          </w:pPr>
          <w:hyperlink w:anchor="__RefHeading___Toc2566874_3650668749">
            <w:r>
              <w:rPr>
                <w:webHidden/>
                <w:rStyle w:val="IndexLink"/>
                <w:rtl w:val="true"/>
              </w:rPr>
              <w:t>[</w:t>
            </w:r>
            <w:r>
              <w:rPr>
                <w:rStyle w:val="IndexLink"/>
                <w:rtl w:val="true"/>
              </w:rPr>
              <w:t>القول فی حکم الظنّ فی أفعال الصلاة و رکعاتها</w:t>
            </w:r>
            <w:r>
              <w:rPr>
                <w:rStyle w:val="IndexLink"/>
                <w:rtl w:val="true"/>
              </w:rPr>
              <w:t>]</w:t>
              <w:tab/>
            </w:r>
            <w:r>
              <w:rPr>
                <w:rStyle w:val="IndexLink"/>
              </w:rPr>
              <w:t>272</w:t>
            </w:r>
          </w:hyperlink>
        </w:p>
        <w:p>
          <w:pPr>
            <w:pStyle w:val="Contents6"/>
            <w:tabs>
              <w:tab w:val="clear" w:pos="7609"/>
              <w:tab w:val="right" w:pos="9026" w:leader="dot"/>
            </w:tabs>
            <w:rPr/>
          </w:pPr>
          <w:hyperlink w:anchor="__RefHeading___Toc2566876_3650668749">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256687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الظنّ فی عدد الرکعات إذا کان متعلّقاً بالرکعتین الأخیرتین من الرباعیة کالیقین</w:t>
            </w:r>
            <w:r>
              <w:rPr>
                <w:rStyle w:val="IndexLink"/>
                <w:rtl w:val="true"/>
              </w:rPr>
              <w:t>]</w:t>
              <w:tab/>
            </w:r>
            <w:r>
              <w:rPr>
                <w:rStyle w:val="IndexLink"/>
              </w:rPr>
              <w:t>272</w:t>
            </w:r>
          </w:hyperlink>
        </w:p>
        <w:p>
          <w:pPr>
            <w:pStyle w:val="Contents6"/>
            <w:tabs>
              <w:tab w:val="clear" w:pos="7609"/>
              <w:tab w:val="right" w:pos="9026" w:leader="dot"/>
            </w:tabs>
            <w:rPr/>
          </w:pPr>
          <w:hyperlink w:anchor="__RefHeading___Toc256688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لو تردّد فی أنّ الحاصل له ظنّ أو شکّ کما یتّفق کثیراً لبعض الناس کان ذلک شکّاً</w:t>
            </w:r>
            <w:r>
              <w:rPr>
                <w:rStyle w:val="IndexLink"/>
                <w:rtl w:val="true"/>
              </w:rPr>
              <w:t>]</w:t>
              <w:tab/>
            </w:r>
            <w:r>
              <w:rPr>
                <w:rStyle w:val="IndexLink"/>
              </w:rPr>
              <w:t>272</w:t>
            </w:r>
          </w:hyperlink>
        </w:p>
        <w:p>
          <w:pPr>
            <w:pStyle w:val="Contents5"/>
            <w:tabs>
              <w:tab w:val="clear" w:pos="7892"/>
              <w:tab w:val="right" w:pos="9026" w:leader="dot"/>
            </w:tabs>
            <w:rPr/>
          </w:pPr>
          <w:hyperlink w:anchor="__RefHeading___Toc2566882_3650668749">
            <w:r>
              <w:rPr>
                <w:webHidden/>
                <w:rStyle w:val="IndexLink"/>
                <w:rtl w:val="true"/>
              </w:rPr>
              <w:t>[</w:t>
            </w:r>
            <w:r>
              <w:rPr>
                <w:rStyle w:val="IndexLink"/>
                <w:rtl w:val="true"/>
              </w:rPr>
              <w:t>القول فی رکعات الاحتیاط</w:t>
            </w:r>
            <w:r>
              <w:rPr>
                <w:rStyle w:val="IndexLink"/>
                <w:rtl w:val="true"/>
              </w:rPr>
              <w:t>]</w:t>
              <w:tab/>
            </w:r>
            <w:r>
              <w:rPr>
                <w:rStyle w:val="IndexLink"/>
              </w:rPr>
              <w:t>273</w:t>
            </w:r>
          </w:hyperlink>
        </w:p>
        <w:p>
          <w:pPr>
            <w:pStyle w:val="Contents6"/>
            <w:tabs>
              <w:tab w:val="clear" w:pos="7609"/>
              <w:tab w:val="right" w:pos="9026" w:leader="dot"/>
            </w:tabs>
            <w:rPr/>
          </w:pPr>
          <w:hyperlink w:anchor="__RefHeading___Toc2566884_3650668749">
            <w:r>
              <w:rPr>
                <w:webHidden/>
                <w:rStyle w:val="IndexLink"/>
                <w:rtl w:val="true"/>
              </w:rPr>
              <w:t>اشارة</w:t>
            </w:r>
            <w:r>
              <w:rPr>
                <w:rStyle w:val="IndexLink"/>
                <w:rtl w:val="true"/>
              </w:rPr>
              <w:tab/>
            </w:r>
            <w:r>
              <w:rPr>
                <w:rStyle w:val="IndexLink"/>
              </w:rPr>
              <w:t>273</w:t>
            </w:r>
          </w:hyperlink>
        </w:p>
        <w:p>
          <w:pPr>
            <w:pStyle w:val="Contents6"/>
            <w:tabs>
              <w:tab w:val="clear" w:pos="7609"/>
              <w:tab w:val="right" w:pos="9026" w:leader="dot"/>
            </w:tabs>
            <w:rPr/>
          </w:pPr>
          <w:hyperlink w:anchor="__RefHeading___Toc256688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رکعات الاحتیاط واجبة</w:t>
            </w:r>
            <w:r>
              <w:rPr>
                <w:rStyle w:val="IndexLink"/>
                <w:rtl w:val="true"/>
              </w:rPr>
              <w:t>]</w:t>
              <w:tab/>
            </w:r>
            <w:r>
              <w:rPr>
                <w:rStyle w:val="IndexLink"/>
              </w:rPr>
              <w:t>273</w:t>
            </w:r>
          </w:hyperlink>
        </w:p>
        <w:p>
          <w:pPr>
            <w:pStyle w:val="Contents6"/>
            <w:tabs>
              <w:tab w:val="clear" w:pos="7609"/>
              <w:tab w:val="right" w:pos="9026" w:leader="dot"/>
            </w:tabs>
            <w:rPr/>
          </w:pPr>
          <w:hyperlink w:anchor="__RefHeading___Toc256688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بدّ فی صلاة الاحتیاط من النیّة و تکبیرة الإحرام و قراءة الفاتحة سرّاً</w:t>
            </w:r>
            <w:r>
              <w:rPr>
                <w:rStyle w:val="IndexLink"/>
                <w:rtl w:val="true"/>
              </w:rPr>
              <w:t>]</w:t>
              <w:tab/>
            </w:r>
            <w:r>
              <w:rPr>
                <w:rStyle w:val="IndexLink"/>
              </w:rPr>
              <w:t>273</w:t>
            </w:r>
          </w:hyperlink>
        </w:p>
        <w:p>
          <w:pPr>
            <w:pStyle w:val="Contents6"/>
            <w:tabs>
              <w:tab w:val="clear" w:pos="7609"/>
              <w:tab w:val="right" w:pos="9026" w:leader="dot"/>
            </w:tabs>
            <w:rPr/>
          </w:pPr>
          <w:hyperlink w:anchor="__RefHeading___Toc256689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لو نسی رکناً فی رکعات الاحتیاط أو زاده فیها بطلت</w:t>
            </w:r>
            <w:r>
              <w:rPr>
                <w:rStyle w:val="IndexLink"/>
                <w:rtl w:val="true"/>
              </w:rPr>
              <w:t>]</w:t>
              <w:tab/>
            </w:r>
            <w:r>
              <w:rPr>
                <w:rStyle w:val="IndexLink"/>
              </w:rPr>
              <w:t>273</w:t>
            </w:r>
          </w:hyperlink>
        </w:p>
        <w:p>
          <w:pPr>
            <w:pStyle w:val="Contents6"/>
            <w:tabs>
              <w:tab w:val="clear" w:pos="7609"/>
              <w:tab w:val="right" w:pos="9026" w:leader="dot"/>
            </w:tabs>
            <w:rPr/>
          </w:pPr>
          <w:hyperlink w:anchor="__RefHeading___Toc256689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لو بان الاستغناء عن صلاة الاحتیاط قبل الشروع فیها</w:t>
            </w:r>
            <w:r>
              <w:rPr>
                <w:rStyle w:val="IndexLink"/>
                <w:rtl w:val="true"/>
              </w:rPr>
              <w:t>]</w:t>
              <w:tab/>
            </w:r>
            <w:r>
              <w:rPr>
                <w:rStyle w:val="IndexLink"/>
              </w:rPr>
              <w:t>273</w:t>
            </w:r>
          </w:hyperlink>
        </w:p>
        <w:p>
          <w:pPr>
            <w:pStyle w:val="Contents6"/>
            <w:tabs>
              <w:tab w:val="clear" w:pos="7609"/>
              <w:tab w:val="right" w:pos="9026" w:leader="dot"/>
            </w:tabs>
            <w:rPr/>
          </w:pPr>
          <w:hyperlink w:anchor="__RefHeading___Toc256689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شکّ فی إتیان صلاة الاحتیاط</w:t>
            </w:r>
            <w:r>
              <w:rPr>
                <w:rStyle w:val="IndexLink"/>
                <w:rtl w:val="true"/>
              </w:rPr>
              <w:t>]</w:t>
              <w:tab/>
            </w:r>
            <w:r>
              <w:rPr>
                <w:rStyle w:val="IndexLink"/>
              </w:rPr>
              <w:t>274</w:t>
            </w:r>
          </w:hyperlink>
        </w:p>
        <w:p>
          <w:pPr>
            <w:pStyle w:val="Contents6"/>
            <w:tabs>
              <w:tab w:val="clear" w:pos="7609"/>
              <w:tab w:val="right" w:pos="9026" w:leader="dot"/>
            </w:tabs>
            <w:rPr/>
          </w:pPr>
          <w:hyperlink w:anchor="__RefHeading___Toc2566896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شکّ فی فعل من أفعالها أتی به لو کان فی المحلّ</w:t>
            </w:r>
            <w:r>
              <w:rPr>
                <w:rStyle w:val="IndexLink"/>
                <w:rtl w:val="true"/>
              </w:rPr>
              <w:t>]</w:t>
              <w:tab/>
            </w:r>
            <w:r>
              <w:rPr>
                <w:rStyle w:val="IndexLink"/>
              </w:rPr>
              <w:t>274</w:t>
            </w:r>
          </w:hyperlink>
        </w:p>
        <w:p>
          <w:pPr>
            <w:pStyle w:val="Contents6"/>
            <w:tabs>
              <w:tab w:val="clear" w:pos="7609"/>
              <w:tab w:val="right" w:pos="9026" w:leader="dot"/>
            </w:tabs>
            <w:rPr/>
          </w:pPr>
          <w:hyperlink w:anchor="__RefHeading___Toc2566898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نسیها و دخل فی صلاة أُخری من نافلة أو فریضة قطعها</w:t>
            </w:r>
            <w:r>
              <w:rPr>
                <w:rStyle w:val="IndexLink"/>
                <w:rtl w:val="true"/>
              </w:rPr>
              <w:t>]</w:t>
              <w:tab/>
            </w:r>
            <w:r>
              <w:rPr>
                <w:rStyle w:val="IndexLink"/>
              </w:rPr>
              <w:t>274</w:t>
            </w:r>
          </w:hyperlink>
        </w:p>
        <w:p>
          <w:pPr>
            <w:pStyle w:val="Contents4"/>
            <w:tabs>
              <w:tab w:val="clear" w:pos="8176"/>
              <w:tab w:val="right" w:pos="9026" w:leader="dot"/>
            </w:tabs>
            <w:rPr/>
          </w:pPr>
          <w:hyperlink w:anchor="__RefHeading___Toc2566900_3650668749">
            <w:r>
              <w:rPr>
                <w:webHidden/>
                <w:rStyle w:val="IndexLink"/>
                <w:rtl w:val="true"/>
              </w:rPr>
              <w:t>[</w:t>
            </w:r>
            <w:r>
              <w:rPr>
                <w:rStyle w:val="IndexLink"/>
                <w:rtl w:val="true"/>
              </w:rPr>
              <w:t>القول فی الأجزاء المنسیّة</w:t>
            </w:r>
            <w:r>
              <w:rPr>
                <w:rStyle w:val="IndexLink"/>
                <w:rtl w:val="true"/>
              </w:rPr>
              <w:t>]</w:t>
              <w:tab/>
            </w:r>
            <w:r>
              <w:rPr>
                <w:rStyle w:val="IndexLink"/>
              </w:rPr>
              <w:t>275</w:t>
            </w:r>
          </w:hyperlink>
        </w:p>
        <w:p>
          <w:pPr>
            <w:pStyle w:val="Contents5"/>
            <w:tabs>
              <w:tab w:val="clear" w:pos="7892"/>
              <w:tab w:val="right" w:pos="9026" w:leader="dot"/>
            </w:tabs>
            <w:rPr/>
          </w:pPr>
          <w:hyperlink w:anchor="__RefHeading___Toc2566902_3650668749">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256690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قد عرفت أنّه لا یقضیٰ من الأجزاء المنسیّة فی الصلاة غیر السجود و التشهّد</w:t>
            </w:r>
            <w:r>
              <w:rPr>
                <w:rStyle w:val="IndexLink"/>
                <w:rtl w:val="true"/>
              </w:rPr>
              <w:t>]</w:t>
              <w:tab/>
            </w:r>
            <w:r>
              <w:rPr>
                <w:rStyle w:val="IndexLink"/>
              </w:rPr>
              <w:t>275</w:t>
            </w:r>
          </w:hyperlink>
        </w:p>
        <w:p>
          <w:pPr>
            <w:pStyle w:val="Contents5"/>
            <w:tabs>
              <w:tab w:val="clear" w:pos="7892"/>
              <w:tab w:val="right" w:pos="9026" w:leader="dot"/>
            </w:tabs>
            <w:rPr/>
          </w:pPr>
          <w:hyperlink w:anchor="__RefHeading___Toc256690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لو تکرّر نسیان السجدة أو التشهّد یتکرّر قضاؤهما بعدد المنسیّ</w:t>
            </w:r>
            <w:r>
              <w:rPr>
                <w:rStyle w:val="IndexLink"/>
                <w:rtl w:val="true"/>
              </w:rPr>
              <w:t>]</w:t>
              <w:tab/>
            </w:r>
            <w:r>
              <w:rPr>
                <w:rStyle w:val="IndexLink"/>
              </w:rPr>
              <w:t>275</w:t>
            </w:r>
          </w:hyperlink>
        </w:p>
        <w:p>
          <w:pPr>
            <w:pStyle w:val="Contents5"/>
            <w:tabs>
              <w:tab w:val="clear" w:pos="7892"/>
              <w:tab w:val="right" w:pos="9026" w:leader="dot"/>
            </w:tabs>
            <w:rPr/>
          </w:pPr>
          <w:hyperlink w:anchor="__RefHeading___Toc256690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یجب التسلیم فی التشهّد القضائی</w:t>
            </w:r>
            <w:r>
              <w:rPr>
                <w:rStyle w:val="IndexLink"/>
                <w:rtl w:val="true"/>
              </w:rPr>
              <w:t>]</w:t>
              <w:tab/>
            </w:r>
            <w:r>
              <w:rPr>
                <w:rStyle w:val="IndexLink"/>
              </w:rPr>
              <w:t>275</w:t>
            </w:r>
          </w:hyperlink>
        </w:p>
        <w:p>
          <w:pPr>
            <w:pStyle w:val="Contents5"/>
            <w:tabs>
              <w:tab w:val="clear" w:pos="7892"/>
              <w:tab w:val="right" w:pos="9026" w:leader="dot"/>
            </w:tabs>
            <w:rPr/>
          </w:pPr>
          <w:hyperlink w:anchor="__RefHeading___Toc256691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لو اعتقد نسیان السجدة أو التشهّد مع فوات محلّ تدارکهما</w:t>
            </w:r>
            <w:r>
              <w:rPr>
                <w:rStyle w:val="IndexLink"/>
                <w:rtl w:val="true"/>
              </w:rPr>
              <w:t>]</w:t>
              <w:tab/>
            </w:r>
            <w:r>
              <w:rPr>
                <w:rStyle w:val="IndexLink"/>
              </w:rPr>
              <w:t>275</w:t>
            </w:r>
          </w:hyperlink>
        </w:p>
        <w:p>
          <w:pPr>
            <w:pStyle w:val="Contents5"/>
            <w:tabs>
              <w:tab w:val="clear" w:pos="7892"/>
              <w:tab w:val="right" w:pos="9026" w:leader="dot"/>
            </w:tabs>
            <w:rPr/>
          </w:pPr>
          <w:hyperlink w:anchor="__RefHeading___Toc256691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شکّ فی أنّ الفائت سجدة واحدة أو سجدتان من رکعتین بنیٰ علی الأقلّ</w:t>
            </w:r>
            <w:r>
              <w:rPr>
                <w:rStyle w:val="IndexLink"/>
                <w:rtl w:val="true"/>
              </w:rPr>
              <w:t>]</w:t>
              <w:tab/>
            </w:r>
            <w:r>
              <w:rPr>
                <w:rStyle w:val="IndexLink"/>
              </w:rPr>
              <w:t>275</w:t>
            </w:r>
          </w:hyperlink>
        </w:p>
        <w:p>
          <w:pPr>
            <w:pStyle w:val="Contents5"/>
            <w:tabs>
              <w:tab w:val="clear" w:pos="7892"/>
              <w:tab w:val="right" w:pos="9026" w:leader="dot"/>
            </w:tabs>
            <w:rPr/>
          </w:pPr>
          <w:hyperlink w:anchor="__RefHeading___Toc2566914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نسی قضاء السجدة أو التشهّد و تذکّر بعد الدخول فی صلاة أُخری</w:t>
            </w:r>
            <w:r>
              <w:rPr>
                <w:rStyle w:val="IndexLink"/>
                <w:rtl w:val="true"/>
              </w:rPr>
              <w:t>]</w:t>
              <w:tab/>
            </w:r>
            <w:r>
              <w:rPr>
                <w:rStyle w:val="IndexLink"/>
              </w:rPr>
              <w:t>276</w:t>
            </w:r>
          </w:hyperlink>
        </w:p>
        <w:p>
          <w:pPr>
            <w:pStyle w:val="Contents5"/>
            <w:tabs>
              <w:tab w:val="clear" w:pos="7892"/>
              <w:tab w:val="right" w:pos="9026" w:leader="dot"/>
            </w:tabs>
            <w:rPr/>
          </w:pPr>
          <w:hyperlink w:anchor="__RefHeading___Toc2566916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کان علیه قضاء أحدهما فی صلاة الظهر و ضاق وقت العصر</w:t>
            </w:r>
            <w:r>
              <w:rPr>
                <w:rStyle w:val="IndexLink"/>
                <w:rtl w:val="true"/>
              </w:rPr>
              <w:t>]</w:t>
              <w:tab/>
            </w:r>
            <w:r>
              <w:rPr>
                <w:rStyle w:val="IndexLink"/>
              </w:rPr>
              <w:t>276</w:t>
            </w:r>
          </w:hyperlink>
        </w:p>
        <w:p>
          <w:pPr>
            <w:pStyle w:val="Contents4"/>
            <w:tabs>
              <w:tab w:val="clear" w:pos="8176"/>
              <w:tab w:val="right" w:pos="9026" w:leader="dot"/>
            </w:tabs>
            <w:rPr/>
          </w:pPr>
          <w:hyperlink w:anchor="__RefHeading___Toc2566918_3650668749">
            <w:r>
              <w:rPr>
                <w:webHidden/>
                <w:rStyle w:val="IndexLink"/>
                <w:rtl w:val="true"/>
              </w:rPr>
              <w:t>[</w:t>
            </w:r>
            <w:r>
              <w:rPr>
                <w:rStyle w:val="IndexLink"/>
                <w:rtl w:val="true"/>
              </w:rPr>
              <w:t>القول فی سجود السهو</w:t>
            </w:r>
            <w:r>
              <w:rPr>
                <w:rStyle w:val="IndexLink"/>
                <w:rtl w:val="true"/>
              </w:rPr>
              <w:t>]</w:t>
              <w:tab/>
            </w:r>
            <w:r>
              <w:rPr>
                <w:rStyle w:val="IndexLink"/>
              </w:rPr>
              <w:t>276</w:t>
            </w:r>
          </w:hyperlink>
        </w:p>
        <w:p>
          <w:pPr>
            <w:pStyle w:val="Contents5"/>
            <w:tabs>
              <w:tab w:val="clear" w:pos="7892"/>
              <w:tab w:val="right" w:pos="9026" w:leader="dot"/>
            </w:tabs>
            <w:rPr/>
          </w:pPr>
          <w:hyperlink w:anchor="__RefHeading___Toc2566920_3650668749">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256692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یجب سجود السهو للکلام ساهیاً و لو لظنّ الخروج</w:t>
            </w:r>
            <w:r>
              <w:rPr>
                <w:rStyle w:val="IndexLink"/>
                <w:rtl w:val="true"/>
              </w:rPr>
              <w:t>]</w:t>
              <w:tab/>
            </w:r>
            <w:r>
              <w:rPr>
                <w:rStyle w:val="IndexLink"/>
              </w:rPr>
              <w:t>276</w:t>
            </w:r>
          </w:hyperlink>
        </w:p>
        <w:p>
          <w:pPr>
            <w:pStyle w:val="Contents5"/>
            <w:tabs>
              <w:tab w:val="clear" w:pos="7892"/>
              <w:tab w:val="right" w:pos="9026" w:leader="dot"/>
            </w:tabs>
            <w:rPr/>
          </w:pPr>
          <w:hyperlink w:anchor="__RefHeading___Toc256692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التسلیم الزائد لو وقع مرّة واحدة و لو بجمیع صیغه</w:t>
            </w:r>
            <w:r>
              <w:rPr>
                <w:rStyle w:val="IndexLink"/>
                <w:rtl w:val="true"/>
              </w:rPr>
              <w:t>]</w:t>
              <w:tab/>
            </w:r>
            <w:r>
              <w:rPr>
                <w:rStyle w:val="IndexLink"/>
              </w:rPr>
              <w:t>276</w:t>
            </w:r>
          </w:hyperlink>
        </w:p>
        <w:p>
          <w:pPr>
            <w:pStyle w:val="Contents5"/>
            <w:tabs>
              <w:tab w:val="clear" w:pos="7892"/>
              <w:tab w:val="right" w:pos="9026" w:leader="dot"/>
            </w:tabs>
            <w:rPr/>
          </w:pPr>
          <w:hyperlink w:anchor="__RefHeading___Toc256692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لو کان علیه سجود سهو و أجزاء منسیّة و رکعات احتیاطیّة أخّر السجود عنهما</w:t>
            </w:r>
            <w:r>
              <w:rPr>
                <w:rStyle w:val="IndexLink"/>
                <w:rtl w:val="true"/>
              </w:rPr>
              <w:t>]</w:t>
              <w:tab/>
            </w:r>
            <w:r>
              <w:rPr>
                <w:rStyle w:val="IndexLink"/>
              </w:rPr>
              <w:t>276</w:t>
            </w:r>
          </w:hyperlink>
        </w:p>
        <w:p>
          <w:pPr>
            <w:pStyle w:val="Contents5"/>
            <w:tabs>
              <w:tab w:val="clear" w:pos="7892"/>
              <w:tab w:val="right" w:pos="9026" w:leader="dot"/>
            </w:tabs>
            <w:rPr/>
          </w:pPr>
          <w:hyperlink w:anchor="__RefHeading___Toc256692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یجب المبادرة إلیٰ سجود السهو بعد الصلاة</w:t>
            </w:r>
            <w:r>
              <w:rPr>
                <w:rStyle w:val="IndexLink"/>
                <w:rtl w:val="true"/>
              </w:rPr>
              <w:t>]</w:t>
              <w:tab/>
            </w:r>
            <w:r>
              <w:rPr>
                <w:rStyle w:val="IndexLink"/>
              </w:rPr>
              <w:t>276</w:t>
            </w:r>
          </w:hyperlink>
        </w:p>
        <w:p>
          <w:pPr>
            <w:pStyle w:val="Contents5"/>
            <w:tabs>
              <w:tab w:val="clear" w:pos="7892"/>
              <w:tab w:val="right" w:pos="9026" w:leader="dot"/>
            </w:tabs>
            <w:rPr/>
          </w:pPr>
          <w:hyperlink w:anchor="__RefHeading___Toc256693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یجب فی السجود المزبور النیّة مقارناً لأوّل مسمّاه</w:t>
            </w:r>
            <w:r>
              <w:rPr>
                <w:rStyle w:val="IndexLink"/>
                <w:rtl w:val="true"/>
              </w:rPr>
              <w:t>]</w:t>
              <w:tab/>
            </w:r>
            <w:r>
              <w:rPr>
                <w:rStyle w:val="IndexLink"/>
              </w:rPr>
              <w:t>277</w:t>
            </w:r>
          </w:hyperlink>
        </w:p>
        <w:p>
          <w:pPr>
            <w:pStyle w:val="Contents5"/>
            <w:tabs>
              <w:tab w:val="clear" w:pos="7892"/>
              <w:tab w:val="right" w:pos="9026" w:leader="dot"/>
            </w:tabs>
            <w:rPr/>
          </w:pPr>
          <w:hyperlink w:anchor="__RefHeading___Toc256693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شکّ فی تحقّق موجبه بنیٰ علیٰ عدمه</w:t>
            </w:r>
            <w:r>
              <w:rPr>
                <w:rStyle w:val="IndexLink"/>
                <w:rtl w:val="true"/>
              </w:rPr>
              <w:t>]</w:t>
              <w:tab/>
            </w:r>
            <w:r>
              <w:rPr>
                <w:rStyle w:val="IndexLink"/>
              </w:rPr>
              <w:t>277</w:t>
            </w:r>
          </w:hyperlink>
        </w:p>
        <w:p>
          <w:pPr>
            <w:pStyle w:val="Contents3"/>
            <w:tabs>
              <w:tab w:val="clear" w:pos="8459"/>
              <w:tab w:val="right" w:pos="9026" w:leader="dot"/>
            </w:tabs>
            <w:rPr/>
          </w:pPr>
          <w:hyperlink w:anchor="__RefHeading___Toc2566934_3650668749">
            <w:r>
              <w:rPr>
                <w:webHidden/>
                <w:rStyle w:val="IndexLink"/>
                <w:rtl w:val="true"/>
              </w:rPr>
              <w:t>[</w:t>
            </w:r>
            <w:r>
              <w:rPr>
                <w:rStyle w:val="IndexLink"/>
                <w:rtl w:val="true"/>
              </w:rPr>
              <w:t>القول فی صلاة القضاء</w:t>
            </w:r>
            <w:r>
              <w:rPr>
                <w:rStyle w:val="IndexLink"/>
                <w:rtl w:val="true"/>
              </w:rPr>
              <w:t>]</w:t>
              <w:tab/>
            </w:r>
            <w:r>
              <w:rPr>
                <w:rStyle w:val="IndexLink"/>
              </w:rPr>
              <w:t>277</w:t>
            </w:r>
          </w:hyperlink>
        </w:p>
        <w:p>
          <w:pPr>
            <w:pStyle w:val="Contents4"/>
            <w:tabs>
              <w:tab w:val="clear" w:pos="8176"/>
              <w:tab w:val="right" w:pos="9026" w:leader="dot"/>
            </w:tabs>
            <w:rPr/>
          </w:pPr>
          <w:hyperlink w:anchor="__RefHeading___Toc2566936_3650668749">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2566938_3650668749">
            <w:r>
              <w:rPr>
                <w:webHidden/>
                <w:rStyle w:val="IndexLink"/>
                <w:rtl w:val="true"/>
              </w:rPr>
              <w:t>[</w:t>
            </w:r>
            <w:r>
              <w:rPr>
                <w:rStyle w:val="IndexLink"/>
                <w:rtl w:val="true"/>
              </w:rPr>
              <w:t>مسائل</w:t>
            </w:r>
            <w:r>
              <w:rPr>
                <w:rStyle w:val="IndexLink"/>
                <w:rtl w:val="true"/>
              </w:rPr>
              <w:t>]</w:t>
              <w:tab/>
            </w:r>
            <w:r>
              <w:rPr>
                <w:rStyle w:val="IndexLink"/>
              </w:rPr>
              <w:t>277</w:t>
            </w:r>
          </w:hyperlink>
        </w:p>
        <w:p>
          <w:pPr>
            <w:pStyle w:val="Contents5"/>
            <w:tabs>
              <w:tab w:val="clear" w:pos="7892"/>
              <w:tab w:val="right" w:pos="9026" w:leader="dot"/>
            </w:tabs>
            <w:rPr/>
          </w:pPr>
          <w:hyperlink w:anchor="__RefHeading___Toc2566940_3650668749">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256694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یجب علی المخالف بعد استبصاره قضاء ما فات منه</w:t>
            </w:r>
            <w:r>
              <w:rPr>
                <w:rStyle w:val="IndexLink"/>
                <w:rtl w:val="true"/>
              </w:rPr>
              <w:t>]</w:t>
              <w:tab/>
            </w:r>
            <w:r>
              <w:rPr>
                <w:rStyle w:val="IndexLink"/>
              </w:rPr>
              <w:t>278</w:t>
            </w:r>
          </w:hyperlink>
        </w:p>
        <w:p>
          <w:pPr>
            <w:pStyle w:val="Contents5"/>
            <w:tabs>
              <w:tab w:val="clear" w:pos="7892"/>
              <w:tab w:val="right" w:pos="9026" w:leader="dot"/>
            </w:tabs>
            <w:rPr/>
          </w:pPr>
          <w:hyperlink w:anchor="__RefHeading___Toc256694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بلغ الصبیّ أو أفاق المجنون أو المغمیٰ علیه فی الوقت وجب علیهم الأداء</w:t>
            </w:r>
            <w:r>
              <w:rPr>
                <w:rStyle w:val="IndexLink"/>
                <w:rtl w:val="true"/>
              </w:rPr>
              <w:t>]</w:t>
              <w:tab/>
            </w:r>
            <w:r>
              <w:rPr>
                <w:rStyle w:val="IndexLink"/>
              </w:rPr>
              <w:t>278</w:t>
            </w:r>
          </w:hyperlink>
        </w:p>
        <w:p>
          <w:pPr>
            <w:pStyle w:val="Contents5"/>
            <w:tabs>
              <w:tab w:val="clear" w:pos="7892"/>
              <w:tab w:val="right" w:pos="9026" w:leader="dot"/>
            </w:tabs>
            <w:rPr/>
          </w:pPr>
          <w:hyperlink w:anchor="__RefHeading___Toc256694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فاقد الطهورین یجب علیه القضاء</w:t>
            </w:r>
            <w:r>
              <w:rPr>
                <w:rStyle w:val="IndexLink"/>
                <w:rtl w:val="true"/>
              </w:rPr>
              <w:t>]</w:t>
              <w:tab/>
            </w:r>
            <w:r>
              <w:rPr>
                <w:rStyle w:val="IndexLink"/>
              </w:rPr>
              <w:t>278</w:t>
            </w:r>
          </w:hyperlink>
        </w:p>
        <w:p>
          <w:pPr>
            <w:pStyle w:val="Contents5"/>
            <w:tabs>
              <w:tab w:val="clear" w:pos="7892"/>
              <w:tab w:val="right" w:pos="9026" w:leader="dot"/>
            </w:tabs>
            <w:rPr/>
          </w:pPr>
          <w:hyperlink w:anchor="__RefHeading___Toc256694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یجب قضاء غیر الیومیّة سوی العیدین</w:t>
            </w:r>
            <w:r>
              <w:rPr>
                <w:rStyle w:val="IndexLink"/>
                <w:rtl w:val="true"/>
              </w:rPr>
              <w:t>]</w:t>
              <w:tab/>
            </w:r>
            <w:r>
              <w:rPr>
                <w:rStyle w:val="IndexLink"/>
              </w:rPr>
              <w:t>278</w:t>
            </w:r>
          </w:hyperlink>
        </w:p>
        <w:p>
          <w:pPr>
            <w:pStyle w:val="Contents5"/>
            <w:tabs>
              <w:tab w:val="clear" w:pos="7892"/>
              <w:tab w:val="right" w:pos="9026" w:leader="dot"/>
            </w:tabs>
            <w:rPr/>
          </w:pPr>
          <w:hyperlink w:anchor="__RefHeading___Toc256695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یجوز قضاء الفرائض فی کلّ وقت من لیل أو نهار أو سفر أو حضر</w:t>
            </w:r>
            <w:r>
              <w:rPr>
                <w:rStyle w:val="IndexLink"/>
                <w:rtl w:val="true"/>
              </w:rPr>
              <w:t>]</w:t>
              <w:tab/>
            </w:r>
            <w:r>
              <w:rPr>
                <w:rStyle w:val="IndexLink"/>
              </w:rPr>
              <w:t>278</w:t>
            </w:r>
          </w:hyperlink>
        </w:p>
        <w:p>
          <w:pPr>
            <w:pStyle w:val="Contents5"/>
            <w:tabs>
              <w:tab w:val="clear" w:pos="7892"/>
              <w:tab w:val="right" w:pos="9026" w:leader="dot"/>
            </w:tabs>
            <w:rPr/>
          </w:pPr>
          <w:hyperlink w:anchor="__RefHeading___Toc256695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فاتت الصلاة فی أماکن التخییر</w:t>
            </w:r>
            <w:r>
              <w:rPr>
                <w:rStyle w:val="IndexLink"/>
                <w:rtl w:val="true"/>
              </w:rPr>
              <w:t>]</w:t>
              <w:tab/>
            </w:r>
            <w:r>
              <w:rPr>
                <w:rStyle w:val="IndexLink"/>
              </w:rPr>
              <w:t>279</w:t>
            </w:r>
          </w:hyperlink>
        </w:p>
        <w:p>
          <w:pPr>
            <w:pStyle w:val="Contents5"/>
            <w:tabs>
              <w:tab w:val="clear" w:pos="7892"/>
              <w:tab w:val="right" w:pos="9026" w:leader="dot"/>
            </w:tabs>
            <w:rPr/>
          </w:pPr>
          <w:hyperlink w:anchor="__RefHeading___Toc256695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یستحبّ قضاء النوافل الرواتب</w:t>
            </w:r>
            <w:r>
              <w:rPr>
                <w:rStyle w:val="IndexLink"/>
                <w:rtl w:val="true"/>
              </w:rPr>
              <w:t>]</w:t>
              <w:tab/>
            </w:r>
            <w:r>
              <w:rPr>
                <w:rStyle w:val="IndexLink"/>
              </w:rPr>
              <w:t>279</w:t>
            </w:r>
          </w:hyperlink>
        </w:p>
        <w:p>
          <w:pPr>
            <w:pStyle w:val="Contents5"/>
            <w:tabs>
              <w:tab w:val="clear" w:pos="7892"/>
              <w:tab w:val="right" w:pos="9026" w:leader="dot"/>
            </w:tabs>
            <w:rPr/>
          </w:pPr>
          <w:hyperlink w:anchor="__RefHeading___Toc256695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تعدّدت الفوائت فالأقویٰ عدم وجوب الترتیب فی قضائها</w:t>
            </w:r>
            <w:r>
              <w:rPr>
                <w:rStyle w:val="IndexLink"/>
                <w:rtl w:val="true"/>
              </w:rPr>
              <w:t>]</w:t>
              <w:tab/>
            </w:r>
            <w:r>
              <w:rPr>
                <w:rStyle w:val="IndexLink"/>
              </w:rPr>
              <w:t>279</w:t>
            </w:r>
          </w:hyperlink>
        </w:p>
        <w:p>
          <w:pPr>
            <w:pStyle w:val="Contents5"/>
            <w:tabs>
              <w:tab w:val="clear" w:pos="7892"/>
              <w:tab w:val="right" w:pos="9026" w:leader="dot"/>
            </w:tabs>
            <w:rPr/>
          </w:pPr>
          <w:hyperlink w:anchor="__RefHeading___Toc256695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لو علم أنّ علیه إحدی الصلوات الخمس من غیر تعیین</w:t>
            </w:r>
            <w:r>
              <w:rPr>
                <w:rStyle w:val="IndexLink"/>
                <w:rtl w:val="true"/>
              </w:rPr>
              <w:t>]</w:t>
              <w:tab/>
            </w:r>
            <w:r>
              <w:rPr>
                <w:rStyle w:val="IndexLink"/>
              </w:rPr>
              <w:t>279</w:t>
            </w:r>
          </w:hyperlink>
        </w:p>
        <w:p>
          <w:pPr>
            <w:pStyle w:val="Contents5"/>
            <w:tabs>
              <w:tab w:val="clear" w:pos="7892"/>
              <w:tab w:val="right" w:pos="9026" w:leader="dot"/>
            </w:tabs>
            <w:rPr/>
          </w:pPr>
          <w:hyperlink w:anchor="__RefHeading___Toc256696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إذا علم بفوات صلاة معیّنة کالصبح مثلًا مرّات و لم یعلم عددها</w:t>
            </w:r>
            <w:r>
              <w:rPr>
                <w:rStyle w:val="IndexLink"/>
                <w:rtl w:val="true"/>
              </w:rPr>
              <w:t>]</w:t>
              <w:tab/>
            </w:r>
            <w:r>
              <w:rPr>
                <w:rStyle w:val="IndexLink"/>
              </w:rPr>
              <w:t>281</w:t>
            </w:r>
          </w:hyperlink>
        </w:p>
        <w:p>
          <w:pPr>
            <w:pStyle w:val="Contents5"/>
            <w:tabs>
              <w:tab w:val="clear" w:pos="7892"/>
              <w:tab w:val="right" w:pos="9026" w:leader="dot"/>
            </w:tabs>
            <w:rPr/>
          </w:pPr>
          <w:hyperlink w:anchor="__RefHeading___Toc256696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لا یجب الفور فی القضاء</w:t>
            </w:r>
            <w:r>
              <w:rPr>
                <w:rStyle w:val="IndexLink"/>
                <w:rtl w:val="true"/>
              </w:rPr>
              <w:t>]</w:t>
              <w:tab/>
            </w:r>
            <w:r>
              <w:rPr>
                <w:rStyle w:val="IndexLink"/>
              </w:rPr>
              <w:t>281</w:t>
            </w:r>
          </w:hyperlink>
        </w:p>
        <w:p>
          <w:pPr>
            <w:pStyle w:val="Contents5"/>
            <w:tabs>
              <w:tab w:val="clear" w:pos="7892"/>
              <w:tab w:val="right" w:pos="9026" w:leader="dot"/>
            </w:tabs>
            <w:rPr/>
          </w:pPr>
          <w:hyperlink w:anchor="__RefHeading___Toc256696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الأحوط لذوی الأعذار تأخیر القضاء إلیٰ زمان رفع العذر</w:t>
            </w:r>
            <w:r>
              <w:rPr>
                <w:rStyle w:val="IndexLink"/>
                <w:rtl w:val="true"/>
              </w:rPr>
              <w:t>]</w:t>
              <w:tab/>
            </w:r>
            <w:r>
              <w:rPr>
                <w:rStyle w:val="IndexLink"/>
              </w:rPr>
              <w:t>281</w:t>
            </w:r>
          </w:hyperlink>
        </w:p>
        <w:p>
          <w:pPr>
            <w:pStyle w:val="Contents5"/>
            <w:tabs>
              <w:tab w:val="clear" w:pos="7892"/>
              <w:tab w:val="right" w:pos="9026" w:leader="dot"/>
            </w:tabs>
            <w:rPr/>
          </w:pPr>
          <w:hyperlink w:anchor="__RefHeading___Toc2566966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لا یجب تقدیم الفائتة علی الحاضرة</w:t>
            </w:r>
            <w:r>
              <w:rPr>
                <w:rStyle w:val="IndexLink"/>
                <w:rtl w:val="true"/>
              </w:rPr>
              <w:t>]</w:t>
              <w:tab/>
            </w:r>
            <w:r>
              <w:rPr>
                <w:rStyle w:val="IndexLink"/>
              </w:rPr>
              <w:t>281</w:t>
            </w:r>
          </w:hyperlink>
        </w:p>
        <w:p>
          <w:pPr>
            <w:pStyle w:val="Contents5"/>
            <w:tabs>
              <w:tab w:val="clear" w:pos="7892"/>
              <w:tab w:val="right" w:pos="9026" w:leader="dot"/>
            </w:tabs>
            <w:rPr/>
          </w:pPr>
          <w:hyperlink w:anchor="__RefHeading___Toc2566968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یجوز لمن علیه القضاء الإتیان بالنوافل علی الأقویٰ</w:t>
            </w:r>
            <w:r>
              <w:rPr>
                <w:rStyle w:val="IndexLink"/>
                <w:rtl w:val="true"/>
              </w:rPr>
              <w:t>]</w:t>
              <w:tab/>
            </w:r>
            <w:r>
              <w:rPr>
                <w:rStyle w:val="IndexLink"/>
              </w:rPr>
              <w:t>281</w:t>
            </w:r>
          </w:hyperlink>
        </w:p>
        <w:p>
          <w:pPr>
            <w:pStyle w:val="Contents5"/>
            <w:tabs>
              <w:tab w:val="clear" w:pos="7892"/>
              <w:tab w:val="right" w:pos="9026" w:leader="dot"/>
            </w:tabs>
            <w:rPr/>
          </w:pPr>
          <w:hyperlink w:anchor="__RefHeading___Toc2566970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یجوز الإتیان بالقضاء جماعة</w:t>
            </w:r>
            <w:r>
              <w:rPr>
                <w:rStyle w:val="IndexLink"/>
                <w:rtl w:val="true"/>
              </w:rPr>
              <w:t>]</w:t>
              <w:tab/>
            </w:r>
            <w:r>
              <w:rPr>
                <w:rStyle w:val="IndexLink"/>
              </w:rPr>
              <w:t>281</w:t>
            </w:r>
          </w:hyperlink>
        </w:p>
        <w:p>
          <w:pPr>
            <w:pStyle w:val="Contents5"/>
            <w:tabs>
              <w:tab w:val="clear" w:pos="7892"/>
              <w:tab w:val="right" w:pos="9026" w:leader="dot"/>
            </w:tabs>
            <w:rPr/>
          </w:pPr>
          <w:hyperlink w:anchor="__RefHeading___Toc2566972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یجب علی الولیّ و هو الولد الأکبر قضاء ما فات عن والده من الصلاة</w:t>
            </w:r>
            <w:r>
              <w:rPr>
                <w:rStyle w:val="IndexLink"/>
                <w:rtl w:val="true"/>
              </w:rPr>
              <w:t>]</w:t>
              <w:tab/>
            </w:r>
            <w:r>
              <w:rPr>
                <w:rStyle w:val="IndexLink"/>
              </w:rPr>
              <w:t>281</w:t>
            </w:r>
          </w:hyperlink>
        </w:p>
        <w:p>
          <w:pPr>
            <w:pStyle w:val="Contents4"/>
            <w:tabs>
              <w:tab w:val="clear" w:pos="8176"/>
              <w:tab w:val="right" w:pos="9026" w:leader="dot"/>
            </w:tabs>
            <w:rPr/>
          </w:pPr>
          <w:hyperlink w:anchor="__RefHeading___Toc2566974_3650668749">
            <w:r>
              <w:rPr>
                <w:webHidden/>
                <w:rStyle w:val="IndexLink"/>
                <w:rtl w:val="true"/>
              </w:rPr>
              <w:t>[</w:t>
            </w:r>
            <w:r>
              <w:rPr>
                <w:rStyle w:val="IndexLink"/>
                <w:rtl w:val="true"/>
              </w:rPr>
              <w:t>القول فی صلاة الاستئجار</w:t>
            </w:r>
            <w:r>
              <w:rPr>
                <w:rStyle w:val="IndexLink"/>
                <w:rtl w:val="true"/>
              </w:rPr>
              <w:t>]</w:t>
              <w:tab/>
            </w:r>
            <w:r>
              <w:rPr>
                <w:rStyle w:val="IndexLink"/>
              </w:rPr>
              <w:t>282</w:t>
            </w:r>
          </w:hyperlink>
        </w:p>
        <w:p>
          <w:pPr>
            <w:pStyle w:val="Contents5"/>
            <w:tabs>
              <w:tab w:val="clear" w:pos="7892"/>
              <w:tab w:val="right" w:pos="9026" w:leader="dot"/>
            </w:tabs>
            <w:rPr/>
          </w:pPr>
          <w:hyperlink w:anchor="__RefHeading___Toc2566976_3650668749">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256697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یجب علیٰ من علیه واجب من الصلاة و الصیام الإیصاء باستئجاره</w:t>
            </w:r>
            <w:r>
              <w:rPr>
                <w:rStyle w:val="IndexLink"/>
                <w:rtl w:val="true"/>
              </w:rPr>
              <w:t>]</w:t>
              <w:tab/>
            </w:r>
            <w:r>
              <w:rPr>
                <w:rStyle w:val="IndexLink"/>
              </w:rPr>
              <w:t>283</w:t>
            </w:r>
          </w:hyperlink>
        </w:p>
        <w:p>
          <w:pPr>
            <w:pStyle w:val="Contents5"/>
            <w:tabs>
              <w:tab w:val="clear" w:pos="7892"/>
              <w:tab w:val="right" w:pos="9026" w:leader="dot"/>
            </w:tabs>
            <w:rPr/>
          </w:pPr>
          <w:hyperlink w:anchor="__RefHeading___Toc256698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آجر نفسه لصلاة أو صوم أو حجّ فمات قبل الإتیان به</w:t>
            </w:r>
            <w:r>
              <w:rPr>
                <w:rStyle w:val="IndexLink"/>
                <w:rtl w:val="true"/>
              </w:rPr>
              <w:t>]</w:t>
              <w:tab/>
            </w:r>
            <w:r>
              <w:rPr>
                <w:rStyle w:val="IndexLink"/>
              </w:rPr>
              <w:t>283</w:t>
            </w:r>
          </w:hyperlink>
        </w:p>
        <w:p>
          <w:pPr>
            <w:pStyle w:val="Contents5"/>
            <w:tabs>
              <w:tab w:val="clear" w:pos="7892"/>
              <w:tab w:val="right" w:pos="9026" w:leader="dot"/>
            </w:tabs>
            <w:rPr/>
          </w:pPr>
          <w:hyperlink w:anchor="__RefHeading___Toc256698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یشترط فی الأجیر أن یکون عارفاً بأجزاء الصلاة و شرائطها و منافیاتها و أحکام الخلل</w:t>
            </w:r>
            <w:r>
              <w:rPr>
                <w:rStyle w:val="IndexLink"/>
                <w:rtl w:val="true"/>
              </w:rPr>
              <w:t>]</w:t>
              <w:tab/>
            </w:r>
            <w:r>
              <w:rPr>
                <w:rStyle w:val="IndexLink"/>
              </w:rPr>
              <w:t>283</w:t>
            </w:r>
          </w:hyperlink>
        </w:p>
        <w:p>
          <w:pPr>
            <w:pStyle w:val="Contents5"/>
            <w:tabs>
              <w:tab w:val="clear" w:pos="7892"/>
              <w:tab w:val="right" w:pos="9026" w:leader="dot"/>
            </w:tabs>
            <w:rPr/>
          </w:pPr>
          <w:hyperlink w:anchor="__RefHeading___Toc256698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لا یشترط عدالة الأجیر بل یکفی کونه أمیناً</w:t>
            </w:r>
            <w:r>
              <w:rPr>
                <w:rStyle w:val="IndexLink"/>
                <w:rtl w:val="true"/>
              </w:rPr>
              <w:t>]</w:t>
              <w:tab/>
            </w:r>
            <w:r>
              <w:rPr>
                <w:rStyle w:val="IndexLink"/>
              </w:rPr>
              <w:t>283</w:t>
            </w:r>
          </w:hyperlink>
        </w:p>
        <w:p>
          <w:pPr>
            <w:pStyle w:val="Contents5"/>
            <w:tabs>
              <w:tab w:val="clear" w:pos="7892"/>
              <w:tab w:val="right" w:pos="9026" w:leader="dot"/>
            </w:tabs>
            <w:rPr/>
          </w:pPr>
          <w:hyperlink w:anchor="__RefHeading___Toc256698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یجوز استئجار ذوی الأعذار</w:t>
            </w:r>
            <w:r>
              <w:rPr>
                <w:rStyle w:val="IndexLink"/>
                <w:rtl w:val="true"/>
              </w:rPr>
              <w:t>]</w:t>
              <w:tab/>
            </w:r>
            <w:r>
              <w:rPr>
                <w:rStyle w:val="IndexLink"/>
              </w:rPr>
              <w:t>283</w:t>
            </w:r>
          </w:hyperlink>
        </w:p>
        <w:p>
          <w:pPr>
            <w:pStyle w:val="Contents5"/>
            <w:tabs>
              <w:tab w:val="clear" w:pos="7892"/>
              <w:tab w:val="right" w:pos="9026" w:leader="dot"/>
            </w:tabs>
            <w:rPr/>
          </w:pPr>
          <w:hyperlink w:anchor="__RefHeading___Toc256698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حصل للأجیر سهو أو شکّ یعمل بحکمه علیٰ طبق اجتهاده أو تقلیده</w:t>
            </w:r>
            <w:r>
              <w:rPr>
                <w:rStyle w:val="IndexLink"/>
                <w:rtl w:val="true"/>
              </w:rPr>
              <w:t>]</w:t>
              <w:tab/>
            </w:r>
            <w:r>
              <w:rPr>
                <w:rStyle w:val="IndexLink"/>
              </w:rPr>
              <w:t>283</w:t>
            </w:r>
          </w:hyperlink>
        </w:p>
        <w:p>
          <w:pPr>
            <w:pStyle w:val="Contents5"/>
            <w:tabs>
              <w:tab w:val="clear" w:pos="7892"/>
              <w:tab w:val="right" w:pos="9026" w:leader="dot"/>
            </w:tabs>
            <w:rPr/>
          </w:pPr>
          <w:hyperlink w:anchor="__RefHeading___Toc2566990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یجوز استئجار کلّ من الرجل و المرأة للآخر</w:t>
            </w:r>
            <w:r>
              <w:rPr>
                <w:rStyle w:val="IndexLink"/>
                <w:rtl w:val="true"/>
              </w:rPr>
              <w:t>]</w:t>
              <w:tab/>
            </w:r>
            <w:r>
              <w:rPr>
                <w:rStyle w:val="IndexLink"/>
              </w:rPr>
              <w:t>284</w:t>
            </w:r>
          </w:hyperlink>
        </w:p>
        <w:p>
          <w:pPr>
            <w:pStyle w:val="Contents5"/>
            <w:tabs>
              <w:tab w:val="clear" w:pos="7892"/>
              <w:tab w:val="right" w:pos="9026" w:leader="dot"/>
            </w:tabs>
            <w:rPr/>
          </w:pPr>
          <w:hyperlink w:anchor="__RefHeading___Toc2566992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أنّه لا یجب الترتیب فی القضاء</w:t>
            </w:r>
            <w:r>
              <w:rPr>
                <w:rStyle w:val="IndexLink"/>
                <w:rtl w:val="true"/>
              </w:rPr>
              <w:t>]</w:t>
              <w:tab/>
            </w:r>
            <w:r>
              <w:rPr>
                <w:rStyle w:val="IndexLink"/>
              </w:rPr>
              <w:t>284</w:t>
            </w:r>
          </w:hyperlink>
        </w:p>
        <w:p>
          <w:pPr>
            <w:pStyle w:val="Contents5"/>
            <w:tabs>
              <w:tab w:val="clear" w:pos="7892"/>
              <w:tab w:val="right" w:pos="9026" w:leader="dot"/>
            </w:tabs>
            <w:rPr/>
          </w:pPr>
          <w:hyperlink w:anchor="__RefHeading___Toc2566994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لا یجوز للأجیر أن یستأجر غیره للعمل بلا إذن من المستأجر</w:t>
            </w:r>
            <w:r>
              <w:rPr>
                <w:rStyle w:val="IndexLink"/>
                <w:rtl w:val="true"/>
              </w:rPr>
              <w:t>]</w:t>
              <w:tab/>
            </w:r>
            <w:r>
              <w:rPr>
                <w:rStyle w:val="IndexLink"/>
              </w:rPr>
              <w:t>284</w:t>
            </w:r>
          </w:hyperlink>
        </w:p>
        <w:p>
          <w:pPr>
            <w:pStyle w:val="Contents5"/>
            <w:tabs>
              <w:tab w:val="clear" w:pos="7892"/>
              <w:tab w:val="right" w:pos="9026" w:leader="dot"/>
            </w:tabs>
            <w:rPr/>
          </w:pPr>
          <w:hyperlink w:anchor="__RefHeading___Toc2566996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إذا عیّن للأجیر وقتاً أو مدّة و لم یأت بالعمل أو تمامه فی تلک المدّة لیس له أن یأتی به بعدها</w:t>
            </w:r>
            <w:r>
              <w:rPr>
                <w:rStyle w:val="IndexLink"/>
                <w:rtl w:val="true"/>
              </w:rPr>
              <w:t>]</w:t>
              <w:tab/>
            </w:r>
            <w:r>
              <w:rPr>
                <w:rStyle w:val="IndexLink"/>
              </w:rPr>
              <w:t>284</w:t>
            </w:r>
          </w:hyperlink>
        </w:p>
        <w:p>
          <w:pPr>
            <w:pStyle w:val="Contents5"/>
            <w:tabs>
              <w:tab w:val="clear" w:pos="7892"/>
              <w:tab w:val="right" w:pos="9026" w:leader="dot"/>
            </w:tabs>
            <w:rPr/>
          </w:pPr>
          <w:hyperlink w:anchor="__RefHeading___Toc2566998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إذا تبیّن بعد العمل بطلان الإجارة استحقّ الأجیر اجرة المثل بعمله</w:t>
            </w:r>
            <w:r>
              <w:rPr>
                <w:rStyle w:val="IndexLink"/>
                <w:rtl w:val="true"/>
              </w:rPr>
              <w:t>]</w:t>
              <w:tab/>
            </w:r>
            <w:r>
              <w:rPr>
                <w:rStyle w:val="IndexLink"/>
              </w:rPr>
              <w:t>285</w:t>
            </w:r>
          </w:hyperlink>
        </w:p>
        <w:p>
          <w:pPr>
            <w:pStyle w:val="Contents5"/>
            <w:tabs>
              <w:tab w:val="clear" w:pos="7892"/>
              <w:tab w:val="right" w:pos="9026" w:leader="dot"/>
            </w:tabs>
            <w:rPr/>
          </w:pPr>
          <w:hyperlink w:anchor="__RefHeading___Toc2567000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إذا لم یعیّن کیفیّة العمل من حیث الإتیان بالمستحبّات یجب الإتیان بالمستحبّات المتعارفة</w:t>
            </w:r>
            <w:r>
              <w:rPr>
                <w:rStyle w:val="IndexLink"/>
                <w:rtl w:val="true"/>
              </w:rPr>
              <w:t>]</w:t>
              <w:tab/>
            </w:r>
            <w:r>
              <w:rPr>
                <w:rStyle w:val="IndexLink"/>
              </w:rPr>
              <w:t>285</w:t>
            </w:r>
          </w:hyperlink>
        </w:p>
        <w:p>
          <w:pPr>
            <w:pStyle w:val="Contents3"/>
            <w:tabs>
              <w:tab w:val="clear" w:pos="8459"/>
              <w:tab w:val="right" w:pos="9026" w:leader="dot"/>
            </w:tabs>
            <w:rPr/>
          </w:pPr>
          <w:hyperlink w:anchor="__RefHeading___Toc2567002_3650668749">
            <w:r>
              <w:rPr>
                <w:webHidden/>
                <w:rStyle w:val="IndexLink"/>
                <w:rtl w:val="true"/>
              </w:rPr>
              <w:t>[</w:t>
            </w:r>
            <w:r>
              <w:rPr>
                <w:rStyle w:val="IndexLink"/>
                <w:rtl w:val="true"/>
              </w:rPr>
              <w:t>القول فی صلاة العیدین</w:t>
            </w:r>
            <w:r>
              <w:rPr>
                <w:rStyle w:val="IndexLink"/>
                <w:rtl w:val="true"/>
              </w:rPr>
              <w:t xml:space="preserve">: </w:t>
            </w:r>
            <w:r>
              <w:rPr>
                <w:rStyle w:val="IndexLink"/>
                <w:rtl w:val="true"/>
              </w:rPr>
              <w:t>الفطر و الأضحیٰ</w:t>
            </w:r>
            <w:r>
              <w:rPr>
                <w:rStyle w:val="IndexLink"/>
                <w:rtl w:val="true"/>
              </w:rPr>
              <w:t>]</w:t>
              <w:tab/>
            </w:r>
            <w:r>
              <w:rPr>
                <w:rStyle w:val="IndexLink"/>
              </w:rPr>
              <w:t>285</w:t>
            </w:r>
          </w:hyperlink>
        </w:p>
        <w:p>
          <w:pPr>
            <w:pStyle w:val="Contents4"/>
            <w:tabs>
              <w:tab w:val="clear" w:pos="8176"/>
              <w:tab w:val="right" w:pos="9026" w:leader="dot"/>
            </w:tabs>
            <w:rPr/>
          </w:pPr>
          <w:hyperlink w:anchor="__RefHeading___Toc2567004_3650668749">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256700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یتحمّل الإمام فی هذه الصلاة ما عدا القراءة</w:t>
            </w:r>
            <w:r>
              <w:rPr>
                <w:rStyle w:val="IndexLink"/>
                <w:rtl w:val="true"/>
              </w:rPr>
              <w:t>]</w:t>
              <w:tab/>
            </w:r>
            <w:r>
              <w:rPr>
                <w:rStyle w:val="IndexLink"/>
              </w:rPr>
              <w:t>286</w:t>
            </w:r>
          </w:hyperlink>
        </w:p>
        <w:p>
          <w:pPr>
            <w:pStyle w:val="Contents4"/>
            <w:tabs>
              <w:tab w:val="clear" w:pos="8176"/>
              <w:tab w:val="right" w:pos="9026" w:leader="dot"/>
            </w:tabs>
            <w:rPr/>
          </w:pPr>
          <w:hyperlink w:anchor="__RefHeading___Toc256700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شکّ فی التکبیرات أو القنوتات بنیٰ علی الأقلّ</w:t>
            </w:r>
            <w:r>
              <w:rPr>
                <w:rStyle w:val="IndexLink"/>
                <w:rtl w:val="true"/>
              </w:rPr>
              <w:t>]</w:t>
              <w:tab/>
            </w:r>
            <w:r>
              <w:rPr>
                <w:rStyle w:val="IndexLink"/>
              </w:rPr>
              <w:t>286</w:t>
            </w:r>
          </w:hyperlink>
        </w:p>
        <w:p>
          <w:pPr>
            <w:pStyle w:val="Contents4"/>
            <w:tabs>
              <w:tab w:val="clear" w:pos="8176"/>
              <w:tab w:val="right" w:pos="9026" w:leader="dot"/>
            </w:tabs>
            <w:rPr/>
          </w:pPr>
          <w:hyperlink w:anchor="__RefHeading___Toc256701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أتی بموجب سجود السهو فیها فالأحوط إتیانه</w:t>
            </w:r>
            <w:r>
              <w:rPr>
                <w:rStyle w:val="IndexLink"/>
                <w:rtl w:val="true"/>
              </w:rPr>
              <w:t>]</w:t>
              <w:tab/>
            </w:r>
            <w:r>
              <w:rPr>
                <w:rStyle w:val="IndexLink"/>
              </w:rPr>
              <w:t>286</w:t>
            </w:r>
          </w:hyperlink>
        </w:p>
        <w:p>
          <w:pPr>
            <w:pStyle w:val="Contents4"/>
            <w:tabs>
              <w:tab w:val="clear" w:pos="8176"/>
              <w:tab w:val="right" w:pos="9026" w:leader="dot"/>
            </w:tabs>
            <w:rPr/>
          </w:pPr>
          <w:hyperlink w:anchor="__RefHeading___Toc256701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 xml:space="preserve">لیس فی هذه الصلاة أذان و لا إقامة، نعم یستحبّ أن یقول المؤذّن </w:t>
            </w:r>
            <w:r>
              <w:rPr>
                <w:rStyle w:val="IndexLink"/>
                <w:rtl w:val="true"/>
              </w:rPr>
              <w:t>«</w:t>
            </w:r>
            <w:r>
              <w:rPr>
                <w:rStyle w:val="IndexLink"/>
                <w:rtl w:val="true"/>
              </w:rPr>
              <w:t>الصلاة</w:t>
            </w:r>
            <w:r>
              <w:rPr>
                <w:rStyle w:val="IndexLink"/>
                <w:rtl w:val="true"/>
              </w:rPr>
              <w:t xml:space="preserve">» </w:t>
            </w:r>
            <w:r>
              <w:rPr>
                <w:rStyle w:val="IndexLink"/>
                <w:rtl w:val="true"/>
              </w:rPr>
              <w:t>ثلاثاً</w:t>
            </w:r>
            <w:r>
              <w:rPr>
                <w:rStyle w:val="IndexLink"/>
                <w:rtl w:val="true"/>
              </w:rPr>
              <w:t>]</w:t>
              <w:tab/>
            </w:r>
            <w:r>
              <w:rPr>
                <w:rStyle w:val="IndexLink"/>
              </w:rPr>
              <w:t>286</w:t>
            </w:r>
          </w:hyperlink>
        </w:p>
        <w:p>
          <w:pPr>
            <w:pStyle w:val="Contents3"/>
            <w:tabs>
              <w:tab w:val="clear" w:pos="8459"/>
              <w:tab w:val="right" w:pos="9026" w:leader="dot"/>
            </w:tabs>
            <w:rPr/>
          </w:pPr>
          <w:hyperlink w:anchor="__RefHeading___Toc2567014_3650668749">
            <w:r>
              <w:rPr>
                <w:webHidden/>
                <w:rStyle w:val="IndexLink"/>
                <w:rtl w:val="true"/>
              </w:rPr>
              <w:t>[</w:t>
            </w:r>
            <w:r>
              <w:rPr>
                <w:rStyle w:val="IndexLink"/>
                <w:rtl w:val="true"/>
              </w:rPr>
              <w:t>القول فی بعض الصلوات المندوبة</w:t>
            </w:r>
            <w:r>
              <w:rPr>
                <w:rStyle w:val="IndexLink"/>
                <w:rtl w:val="true"/>
              </w:rPr>
              <w:t>]</w:t>
              <w:tab/>
            </w:r>
            <w:r>
              <w:rPr>
                <w:rStyle w:val="IndexLink"/>
              </w:rPr>
              <w:t>286</w:t>
            </w:r>
          </w:hyperlink>
        </w:p>
        <w:p>
          <w:pPr>
            <w:pStyle w:val="Contents4"/>
            <w:tabs>
              <w:tab w:val="clear" w:pos="8176"/>
              <w:tab w:val="right" w:pos="9026" w:leader="dot"/>
            </w:tabs>
            <w:rPr/>
          </w:pPr>
          <w:hyperlink w:anchor="__RefHeading___Toc2567016_3650668749">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2567018_3650668749">
            <w:r>
              <w:rPr>
                <w:webHidden/>
                <w:rStyle w:val="IndexLink"/>
                <w:rtl w:val="true"/>
              </w:rPr>
              <w:t>[</w:t>
            </w:r>
            <w:r>
              <w:rPr>
                <w:rStyle w:val="IndexLink"/>
                <w:rtl w:val="true"/>
              </w:rPr>
              <w:t>فمنها</w:t>
            </w:r>
            <w:r>
              <w:rPr>
                <w:rStyle w:val="IndexLink"/>
                <w:rtl w:val="true"/>
              </w:rPr>
              <w:t xml:space="preserve">: </w:t>
            </w:r>
            <w:r>
              <w:rPr>
                <w:rStyle w:val="IndexLink"/>
                <w:rtl w:val="true"/>
              </w:rPr>
              <w:t>صلاة جعفر بن أبی طالب</w:t>
            </w:r>
            <w:r>
              <w:rPr>
                <w:rStyle w:val="IndexLink"/>
                <w:rtl w:val="true"/>
              </w:rPr>
              <w:t>]</w:t>
              <w:tab/>
            </w:r>
            <w:r>
              <w:rPr>
                <w:rStyle w:val="IndexLink"/>
              </w:rPr>
              <w:t>286</w:t>
            </w:r>
          </w:hyperlink>
        </w:p>
        <w:p>
          <w:pPr>
            <w:pStyle w:val="Contents5"/>
            <w:tabs>
              <w:tab w:val="clear" w:pos="7892"/>
              <w:tab w:val="right" w:pos="9026" w:leader="dot"/>
            </w:tabs>
            <w:rPr/>
          </w:pPr>
          <w:hyperlink w:anchor="__RefHeading___Toc2567020_3650668749">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256702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یجوز تأخیر التسبیحات إلیٰ ما بعد الصلاة إذا کان مستعجلًا</w:t>
            </w:r>
            <w:r>
              <w:rPr>
                <w:rStyle w:val="IndexLink"/>
                <w:rtl w:val="true"/>
              </w:rPr>
              <w:t>]</w:t>
              <w:tab/>
            </w:r>
            <w:r>
              <w:rPr>
                <w:rStyle w:val="IndexLink"/>
              </w:rPr>
              <w:t>287</w:t>
            </w:r>
          </w:hyperlink>
        </w:p>
        <w:p>
          <w:pPr>
            <w:pStyle w:val="Contents5"/>
            <w:tabs>
              <w:tab w:val="clear" w:pos="7892"/>
              <w:tab w:val="right" w:pos="9026" w:leader="dot"/>
            </w:tabs>
            <w:rPr/>
          </w:pPr>
          <w:hyperlink w:anchor="__RefHeading___Toc256702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لو سها عن بعض التسبیحات فی محلّها فإن تذکّرها فی بعض المحالّ الأُخر</w:t>
            </w:r>
            <w:r>
              <w:rPr>
                <w:rStyle w:val="IndexLink"/>
                <w:rtl w:val="true"/>
              </w:rPr>
              <w:t>]</w:t>
              <w:tab/>
            </w:r>
            <w:r>
              <w:rPr>
                <w:rStyle w:val="IndexLink"/>
              </w:rPr>
              <w:t>287</w:t>
            </w:r>
          </w:hyperlink>
        </w:p>
        <w:p>
          <w:pPr>
            <w:pStyle w:val="Contents5"/>
            <w:tabs>
              <w:tab w:val="clear" w:pos="7892"/>
              <w:tab w:val="right" w:pos="9026" w:leader="dot"/>
            </w:tabs>
            <w:rPr/>
          </w:pPr>
          <w:hyperlink w:anchor="__RefHeading___Toc256702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یستحبّ أن یقول فی السجدة الثانیة من الرکعة الرابعة بعد التسبیحات</w:t>
            </w:r>
            <w:r>
              <w:rPr>
                <w:rStyle w:val="IndexLink"/>
                <w:rtl w:val="true"/>
              </w:rPr>
              <w:t>]</w:t>
              <w:tab/>
            </w:r>
            <w:r>
              <w:rPr>
                <w:rStyle w:val="IndexLink"/>
              </w:rPr>
              <w:t>287</w:t>
            </w:r>
          </w:hyperlink>
        </w:p>
        <w:p>
          <w:pPr>
            <w:pStyle w:val="Contents4"/>
            <w:tabs>
              <w:tab w:val="clear" w:pos="8176"/>
              <w:tab w:val="right" w:pos="9026" w:leader="dot"/>
            </w:tabs>
            <w:rPr/>
          </w:pPr>
          <w:hyperlink w:anchor="__RefHeading___Toc2567028_3650668749">
            <w:r>
              <w:rPr>
                <w:webHidden/>
                <w:rStyle w:val="IndexLink"/>
                <w:rtl w:val="true"/>
              </w:rPr>
              <w:t>[</w:t>
            </w:r>
            <w:r>
              <w:rPr>
                <w:rStyle w:val="IndexLink"/>
                <w:rtl w:val="true"/>
              </w:rPr>
              <w:t>و منها</w:t>
            </w:r>
            <w:r>
              <w:rPr>
                <w:rStyle w:val="IndexLink"/>
                <w:rtl w:val="true"/>
              </w:rPr>
              <w:t xml:space="preserve">: </w:t>
            </w:r>
            <w:r>
              <w:rPr>
                <w:rStyle w:val="IndexLink"/>
                <w:rtl w:val="true"/>
              </w:rPr>
              <w:t>صلاة الغفیلة</w:t>
            </w:r>
            <w:r>
              <w:rPr>
                <w:rStyle w:val="IndexLink"/>
                <w:rtl w:val="true"/>
              </w:rPr>
              <w:t>]</w:t>
              <w:tab/>
            </w:r>
            <w:r>
              <w:rPr>
                <w:rStyle w:val="IndexLink"/>
              </w:rPr>
              <w:t>288</w:t>
            </w:r>
          </w:hyperlink>
        </w:p>
        <w:p>
          <w:pPr>
            <w:pStyle w:val="Contents4"/>
            <w:tabs>
              <w:tab w:val="clear" w:pos="8176"/>
              <w:tab w:val="right" w:pos="9026" w:leader="dot"/>
            </w:tabs>
            <w:rPr/>
          </w:pPr>
          <w:hyperlink w:anchor="__RefHeading___Toc2567030_3650668749">
            <w:r>
              <w:rPr>
                <w:webHidden/>
                <w:rStyle w:val="IndexLink"/>
                <w:rtl w:val="true"/>
              </w:rPr>
              <w:t>[</w:t>
            </w:r>
            <w:r>
              <w:rPr>
                <w:rStyle w:val="IndexLink"/>
                <w:rtl w:val="true"/>
              </w:rPr>
              <w:t>و منها</w:t>
            </w:r>
            <w:r>
              <w:rPr>
                <w:rStyle w:val="IndexLink"/>
                <w:rtl w:val="true"/>
              </w:rPr>
              <w:t xml:space="preserve">: </w:t>
            </w:r>
            <w:r>
              <w:rPr>
                <w:rStyle w:val="IndexLink"/>
                <w:rtl w:val="true"/>
              </w:rPr>
              <w:t>صلاة أوّل کلّ شهر</w:t>
            </w:r>
            <w:r>
              <w:rPr>
                <w:rStyle w:val="IndexLink"/>
                <w:rtl w:val="true"/>
              </w:rPr>
              <w:t>]</w:t>
              <w:tab/>
            </w:r>
            <w:r>
              <w:rPr>
                <w:rStyle w:val="IndexLink"/>
              </w:rPr>
              <w:t>288</w:t>
            </w:r>
          </w:hyperlink>
        </w:p>
        <w:p>
          <w:pPr>
            <w:pStyle w:val="Contents4"/>
            <w:tabs>
              <w:tab w:val="clear" w:pos="8176"/>
              <w:tab w:val="right" w:pos="9026" w:leader="dot"/>
            </w:tabs>
            <w:rPr/>
          </w:pPr>
          <w:hyperlink w:anchor="__RefHeading___Toc2567032_3650668749">
            <w:r>
              <w:rPr>
                <w:webHidden/>
                <w:rStyle w:val="IndexLink"/>
                <w:rtl w:val="true"/>
              </w:rPr>
              <w:t>[</w:t>
            </w:r>
            <w:r>
              <w:rPr>
                <w:rStyle w:val="IndexLink"/>
                <w:rtl w:val="true"/>
              </w:rPr>
              <w:t>و منها</w:t>
            </w:r>
            <w:r>
              <w:rPr>
                <w:rStyle w:val="IndexLink"/>
                <w:rtl w:val="true"/>
              </w:rPr>
              <w:t xml:space="preserve">: </w:t>
            </w:r>
            <w:r>
              <w:rPr>
                <w:rStyle w:val="IndexLink"/>
                <w:rtl w:val="true"/>
              </w:rPr>
              <w:t>صلاة لیلة الدفن</w:t>
            </w:r>
            <w:r>
              <w:rPr>
                <w:rStyle w:val="IndexLink"/>
                <w:rtl w:val="true"/>
              </w:rPr>
              <w:t>]</w:t>
              <w:tab/>
            </w:r>
            <w:r>
              <w:rPr>
                <w:rStyle w:val="IndexLink"/>
              </w:rPr>
              <w:t>289</w:t>
            </w:r>
          </w:hyperlink>
        </w:p>
        <w:p>
          <w:pPr>
            <w:pStyle w:val="Contents4"/>
            <w:tabs>
              <w:tab w:val="clear" w:pos="8176"/>
              <w:tab w:val="right" w:pos="9026" w:leader="dot"/>
            </w:tabs>
            <w:rPr/>
          </w:pPr>
          <w:hyperlink w:anchor="__RefHeading___Toc2567034_3650668749">
            <w:r>
              <w:rPr>
                <w:webHidden/>
                <w:rStyle w:val="IndexLink"/>
                <w:rtl w:val="true"/>
              </w:rPr>
              <w:t>[</w:t>
            </w:r>
            <w:r>
              <w:rPr>
                <w:rStyle w:val="IndexLink"/>
                <w:rtl w:val="true"/>
              </w:rPr>
              <w:t>و منها</w:t>
            </w:r>
            <w:r>
              <w:rPr>
                <w:rStyle w:val="IndexLink"/>
                <w:rtl w:val="true"/>
              </w:rPr>
              <w:t xml:space="preserve">: </w:t>
            </w:r>
            <w:r>
              <w:rPr>
                <w:rStyle w:val="IndexLink"/>
                <w:rtl w:val="true"/>
              </w:rPr>
              <w:t>صلاة الحاجة</w:t>
            </w:r>
            <w:r>
              <w:rPr>
                <w:rStyle w:val="IndexLink"/>
                <w:rtl w:val="true"/>
              </w:rPr>
              <w:t>]</w:t>
              <w:tab/>
            </w:r>
            <w:r>
              <w:rPr>
                <w:rStyle w:val="IndexLink"/>
              </w:rPr>
              <w:t>289</w:t>
            </w:r>
          </w:hyperlink>
        </w:p>
        <w:p>
          <w:pPr>
            <w:pStyle w:val="Contents4"/>
            <w:tabs>
              <w:tab w:val="clear" w:pos="8176"/>
              <w:tab w:val="right" w:pos="9026" w:leader="dot"/>
            </w:tabs>
            <w:rPr/>
          </w:pPr>
          <w:hyperlink w:anchor="__RefHeading___Toc2567036_3650668749">
            <w:r>
              <w:rPr>
                <w:webHidden/>
                <w:rStyle w:val="IndexLink"/>
                <w:rtl w:val="true"/>
              </w:rPr>
              <w:t>[</w:t>
            </w:r>
            <w:r>
              <w:rPr>
                <w:rStyle w:val="IndexLink"/>
                <w:rtl w:val="true"/>
              </w:rPr>
              <w:t>و منها</w:t>
            </w:r>
            <w:r>
              <w:rPr>
                <w:rStyle w:val="IndexLink"/>
                <w:rtl w:val="true"/>
              </w:rPr>
              <w:t xml:space="preserve">: </w:t>
            </w:r>
            <w:r>
              <w:rPr>
                <w:rStyle w:val="IndexLink"/>
                <w:rtl w:val="true"/>
              </w:rPr>
              <w:t xml:space="preserve">ما عن </w:t>
            </w:r>
            <w:r>
              <w:rPr>
                <w:rStyle w:val="IndexLink"/>
                <w:rtl w:val="true"/>
              </w:rPr>
              <w:t>«</w:t>
            </w:r>
            <w:r>
              <w:rPr>
                <w:rStyle w:val="IndexLink"/>
                <w:rtl w:val="true"/>
              </w:rPr>
              <w:t>الأمالی</w:t>
            </w:r>
            <w:r>
              <w:rPr>
                <w:rStyle w:val="IndexLink"/>
                <w:rtl w:val="true"/>
              </w:rPr>
              <w:t xml:space="preserve">» </w:t>
            </w:r>
            <w:r>
              <w:rPr>
                <w:rStyle w:val="IndexLink"/>
                <w:rtl w:val="true"/>
              </w:rPr>
              <w:t>بإسناده إلی الحذّاء</w:t>
            </w:r>
            <w:r>
              <w:rPr>
                <w:rStyle w:val="IndexLink"/>
                <w:rtl w:val="true"/>
              </w:rPr>
              <w:t>]</w:t>
              <w:tab/>
            </w:r>
            <w:r>
              <w:rPr>
                <w:rStyle w:val="IndexLink"/>
              </w:rPr>
              <w:t>290</w:t>
            </w:r>
          </w:hyperlink>
        </w:p>
        <w:p>
          <w:pPr>
            <w:pStyle w:val="Contents4"/>
            <w:tabs>
              <w:tab w:val="clear" w:pos="8176"/>
              <w:tab w:val="right" w:pos="9026" w:leader="dot"/>
            </w:tabs>
            <w:rPr/>
          </w:pPr>
          <w:hyperlink w:anchor="__RefHeading___Toc256703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یجوز إتیان الصلوات المندوبة جالساً اختیاراً</w:t>
            </w:r>
            <w:r>
              <w:rPr>
                <w:rStyle w:val="IndexLink"/>
                <w:rtl w:val="true"/>
              </w:rPr>
              <w:t>]</w:t>
              <w:tab/>
            </w:r>
            <w:r>
              <w:rPr>
                <w:rStyle w:val="IndexLink"/>
              </w:rPr>
              <w:t>290</w:t>
            </w:r>
          </w:hyperlink>
        </w:p>
        <w:p>
          <w:pPr>
            <w:pStyle w:val="Contents3"/>
            <w:tabs>
              <w:tab w:val="clear" w:pos="8459"/>
              <w:tab w:val="right" w:pos="9026" w:leader="dot"/>
            </w:tabs>
            <w:rPr/>
          </w:pPr>
          <w:hyperlink w:anchor="__RefHeading___Toc2567040_3650668749">
            <w:r>
              <w:rPr>
                <w:webHidden/>
                <w:rStyle w:val="IndexLink"/>
                <w:rtl w:val="true"/>
              </w:rPr>
              <w:t>[</w:t>
            </w:r>
            <w:r>
              <w:rPr>
                <w:rStyle w:val="IndexLink"/>
                <w:rtl w:val="true"/>
              </w:rPr>
              <w:t>فصل فی صلاة المسافر</w:t>
            </w:r>
            <w:r>
              <w:rPr>
                <w:rStyle w:val="IndexLink"/>
                <w:rtl w:val="true"/>
              </w:rPr>
              <w:t>]</w:t>
              <w:tab/>
            </w:r>
            <w:r>
              <w:rPr>
                <w:rStyle w:val="IndexLink"/>
              </w:rPr>
              <w:t>290</w:t>
            </w:r>
          </w:hyperlink>
        </w:p>
        <w:p>
          <w:pPr>
            <w:pStyle w:val="Contents4"/>
            <w:tabs>
              <w:tab w:val="clear" w:pos="8176"/>
              <w:tab w:val="right" w:pos="9026" w:leader="dot"/>
            </w:tabs>
            <w:rPr/>
          </w:pPr>
          <w:hyperlink w:anchor="__RefHeading___Toc2567042_3650668749">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2567044_3650668749">
            <w:r>
              <w:rPr>
                <w:webHidden/>
                <w:rStyle w:val="IndexLink"/>
                <w:rtl w:val="true"/>
              </w:rPr>
              <w:t>[</w:t>
            </w:r>
            <w:r>
              <w:rPr>
                <w:rStyle w:val="IndexLink"/>
                <w:rtl w:val="true"/>
              </w:rPr>
              <w:t>و یشترط فی التقصیر للمسافر أُمور</w:t>
            </w:r>
            <w:r>
              <w:rPr>
                <w:rStyle w:val="IndexLink"/>
                <w:rtl w:val="true"/>
              </w:rPr>
              <w:t>]</w:t>
              <w:tab/>
            </w:r>
            <w:r>
              <w:rPr>
                <w:rStyle w:val="IndexLink"/>
              </w:rPr>
              <w:t>290</w:t>
            </w:r>
          </w:hyperlink>
        </w:p>
        <w:p>
          <w:pPr>
            <w:pStyle w:val="Contents5"/>
            <w:tabs>
              <w:tab w:val="clear" w:pos="7892"/>
              <w:tab w:val="right" w:pos="9026" w:leader="dot"/>
            </w:tabs>
            <w:rPr/>
          </w:pPr>
          <w:hyperlink w:anchor="__RefHeading___Toc2567046_3650668749">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2567048_3650668749">
            <w:r>
              <w:rPr>
                <w:webHidden/>
                <w:rStyle w:val="IndexLink"/>
                <w:rtl w:val="true"/>
              </w:rPr>
              <w:t>[</w:t>
            </w:r>
            <w:r>
              <w:rPr>
                <w:rStyle w:val="IndexLink"/>
                <w:rtl w:val="true"/>
              </w:rPr>
              <w:t>أحدها</w:t>
            </w:r>
            <w:r>
              <w:rPr>
                <w:rStyle w:val="IndexLink"/>
                <w:rtl w:val="true"/>
              </w:rPr>
              <w:t xml:space="preserve">: </w:t>
            </w:r>
            <w:r>
              <w:rPr>
                <w:rStyle w:val="IndexLink"/>
                <w:rtl w:val="true"/>
              </w:rPr>
              <w:t>المسافة</w:t>
            </w:r>
            <w:r>
              <w:rPr>
                <w:rStyle w:val="IndexLink"/>
                <w:rtl w:val="true"/>
              </w:rPr>
              <w:t>]</w:t>
              <w:tab/>
            </w:r>
            <w:r>
              <w:rPr>
                <w:rStyle w:val="IndexLink"/>
              </w:rPr>
              <w:t>290</w:t>
            </w:r>
          </w:hyperlink>
        </w:p>
        <w:p>
          <w:pPr>
            <w:pStyle w:val="Contents6"/>
            <w:tabs>
              <w:tab w:val="clear" w:pos="7609"/>
              <w:tab w:val="right" w:pos="9026" w:leader="dot"/>
            </w:tabs>
            <w:rPr/>
          </w:pPr>
          <w:hyperlink w:anchor="__RefHeading___Toc2567050_3650668749">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256705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الفرسخ ثلاثة أمیال، و المیل أربعة آلاف ذراع بذراع الید</w:t>
            </w:r>
            <w:r>
              <w:rPr>
                <w:rStyle w:val="IndexLink"/>
                <w:rtl w:val="true"/>
              </w:rPr>
              <w:t>]</w:t>
              <w:tab/>
            </w:r>
            <w:r>
              <w:rPr>
                <w:rStyle w:val="IndexLink"/>
              </w:rPr>
              <w:t>290</w:t>
            </w:r>
          </w:hyperlink>
        </w:p>
        <w:p>
          <w:pPr>
            <w:pStyle w:val="Contents6"/>
            <w:tabs>
              <w:tab w:val="clear" w:pos="7609"/>
              <w:tab w:val="right" w:pos="9026" w:leader="dot"/>
            </w:tabs>
            <w:rPr/>
          </w:pPr>
          <w:hyperlink w:anchor="__RefHeading___Toc256705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کان الذهاب خمسة فراسخ و الإیاب ثلاثة وجب القصر</w:t>
            </w:r>
            <w:r>
              <w:rPr>
                <w:rStyle w:val="IndexLink"/>
                <w:rtl w:val="true"/>
              </w:rPr>
              <w:t>]</w:t>
              <w:tab/>
            </w:r>
            <w:r>
              <w:rPr>
                <w:rStyle w:val="IndexLink"/>
              </w:rPr>
              <w:t>290</w:t>
            </w:r>
          </w:hyperlink>
        </w:p>
        <w:p>
          <w:pPr>
            <w:pStyle w:val="Contents6"/>
            <w:tabs>
              <w:tab w:val="clear" w:pos="7609"/>
              <w:tab w:val="right" w:pos="9026" w:leader="dot"/>
            </w:tabs>
            <w:rPr/>
          </w:pPr>
          <w:hyperlink w:anchor="__RefHeading___Toc256705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لو کان للبلد طریقان و الأبعد منهما مسافة دون الأقرب</w:t>
            </w:r>
            <w:r>
              <w:rPr>
                <w:rStyle w:val="IndexLink"/>
                <w:rtl w:val="true"/>
              </w:rPr>
              <w:t>]</w:t>
              <w:tab/>
            </w:r>
            <w:r>
              <w:rPr>
                <w:rStyle w:val="IndexLink"/>
              </w:rPr>
              <w:t>291</w:t>
            </w:r>
          </w:hyperlink>
        </w:p>
        <w:p>
          <w:pPr>
            <w:pStyle w:val="Contents6"/>
            <w:tabs>
              <w:tab w:val="clear" w:pos="7609"/>
              <w:tab w:val="right" w:pos="9026" w:leader="dot"/>
            </w:tabs>
            <w:rPr/>
          </w:pPr>
          <w:hyperlink w:anchor="__RefHeading___Toc256705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مبدأ حساب المسافة سور البلد</w:t>
            </w:r>
            <w:r>
              <w:rPr>
                <w:rStyle w:val="IndexLink"/>
                <w:rtl w:val="true"/>
              </w:rPr>
              <w:t>]</w:t>
              <w:tab/>
            </w:r>
            <w:r>
              <w:rPr>
                <w:rStyle w:val="IndexLink"/>
              </w:rPr>
              <w:t>291</w:t>
            </w:r>
          </w:hyperlink>
        </w:p>
        <w:p>
          <w:pPr>
            <w:pStyle w:val="Contents6"/>
            <w:tabs>
              <w:tab w:val="clear" w:pos="7609"/>
              <w:tab w:val="right" w:pos="9026" w:leader="dot"/>
            </w:tabs>
            <w:rPr/>
          </w:pPr>
          <w:hyperlink w:anchor="__RefHeading___Toc256706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کان قاصداً للرواح إلیٰ بلد، و کان شاکّاً فی کونه مسافة أو معتقداً للعدم</w:t>
            </w:r>
            <w:r>
              <w:rPr>
                <w:rStyle w:val="IndexLink"/>
                <w:rtl w:val="true"/>
              </w:rPr>
              <w:t>]</w:t>
              <w:tab/>
            </w:r>
            <w:r>
              <w:rPr>
                <w:rStyle w:val="IndexLink"/>
              </w:rPr>
              <w:t>291</w:t>
            </w:r>
          </w:hyperlink>
        </w:p>
        <w:p>
          <w:pPr>
            <w:pStyle w:val="Contents6"/>
            <w:tabs>
              <w:tab w:val="clear" w:pos="7609"/>
              <w:tab w:val="right" w:pos="9026" w:leader="dot"/>
            </w:tabs>
            <w:rPr/>
          </w:pPr>
          <w:hyperlink w:anchor="__RefHeading___Toc256706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تثبت المسافة بالعلم و بالبیّنة</w:t>
            </w:r>
            <w:r>
              <w:rPr>
                <w:rStyle w:val="IndexLink"/>
                <w:rtl w:val="true"/>
              </w:rPr>
              <w:t>]</w:t>
              <w:tab/>
            </w:r>
            <w:r>
              <w:rPr>
                <w:rStyle w:val="IndexLink"/>
              </w:rPr>
              <w:t>291</w:t>
            </w:r>
          </w:hyperlink>
        </w:p>
        <w:p>
          <w:pPr>
            <w:pStyle w:val="Contents6"/>
            <w:tabs>
              <w:tab w:val="clear" w:pos="7609"/>
              <w:tab w:val="right" w:pos="9026" w:leader="dot"/>
            </w:tabs>
            <w:rPr/>
          </w:pPr>
          <w:hyperlink w:anchor="__RefHeading___Toc256706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اعتقد کونه مسافة فقصّر</w:t>
            </w:r>
            <w:r>
              <w:rPr>
                <w:rStyle w:val="IndexLink"/>
                <w:rtl w:val="true"/>
              </w:rPr>
              <w:t>]</w:t>
              <w:tab/>
            </w:r>
            <w:r>
              <w:rPr>
                <w:rStyle w:val="IndexLink"/>
              </w:rPr>
              <w:t>291</w:t>
            </w:r>
          </w:hyperlink>
        </w:p>
        <w:p>
          <w:pPr>
            <w:pStyle w:val="Contents6"/>
            <w:tabs>
              <w:tab w:val="clear" w:pos="7609"/>
              <w:tab w:val="right" w:pos="9026" w:leader="dot"/>
            </w:tabs>
            <w:rPr/>
          </w:pPr>
          <w:hyperlink w:anchor="__RefHeading___Toc256706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فی المسافة المستدیرة الذهاب هو السیر إلی المقصد</w:t>
            </w:r>
            <w:r>
              <w:rPr>
                <w:rStyle w:val="IndexLink"/>
                <w:rtl w:val="true"/>
              </w:rPr>
              <w:t>]</w:t>
              <w:tab/>
            </w:r>
            <w:r>
              <w:rPr>
                <w:rStyle w:val="IndexLink"/>
              </w:rPr>
              <w:t>291</w:t>
            </w:r>
          </w:hyperlink>
        </w:p>
        <w:p>
          <w:pPr>
            <w:pStyle w:val="Contents5"/>
            <w:tabs>
              <w:tab w:val="clear" w:pos="7892"/>
              <w:tab w:val="right" w:pos="9026" w:leader="dot"/>
            </w:tabs>
            <w:rPr/>
          </w:pPr>
          <w:hyperlink w:anchor="__RefHeading___Toc2567068_3650668749">
            <w:r>
              <w:rPr>
                <w:webHidden/>
                <w:rStyle w:val="IndexLink"/>
                <w:rtl w:val="true"/>
              </w:rPr>
              <w:t>[</w:t>
            </w:r>
            <w:r>
              <w:rPr>
                <w:rStyle w:val="IndexLink"/>
                <w:rtl w:val="true"/>
              </w:rPr>
              <w:t>ثانیها</w:t>
            </w:r>
            <w:r>
              <w:rPr>
                <w:rStyle w:val="IndexLink"/>
                <w:rtl w:val="true"/>
              </w:rPr>
              <w:t xml:space="preserve">: </w:t>
            </w:r>
            <w:r>
              <w:rPr>
                <w:rStyle w:val="IndexLink"/>
                <w:rtl w:val="true"/>
              </w:rPr>
              <w:t>قصد قطع المسافة من حین الخروج</w:t>
            </w:r>
            <w:r>
              <w:rPr>
                <w:rStyle w:val="IndexLink"/>
                <w:rtl w:val="true"/>
              </w:rPr>
              <w:t>]</w:t>
              <w:tab/>
            </w:r>
            <w:r>
              <w:rPr>
                <w:rStyle w:val="IndexLink"/>
              </w:rPr>
              <w:t>292</w:t>
            </w:r>
          </w:hyperlink>
        </w:p>
        <w:p>
          <w:pPr>
            <w:pStyle w:val="Contents6"/>
            <w:tabs>
              <w:tab w:val="clear" w:pos="7609"/>
              <w:tab w:val="right" w:pos="9026" w:leader="dot"/>
            </w:tabs>
            <w:rPr/>
          </w:pPr>
          <w:hyperlink w:anchor="__RefHeading___Toc2567070_3650668749">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2567072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المدار علیٰ قصد قطع المسافة</w:t>
            </w:r>
            <w:r>
              <w:rPr>
                <w:rStyle w:val="IndexLink"/>
                <w:rtl w:val="true"/>
              </w:rPr>
              <w:t>]</w:t>
              <w:tab/>
            </w:r>
            <w:r>
              <w:rPr>
                <w:rStyle w:val="IndexLink"/>
              </w:rPr>
              <w:t>292</w:t>
            </w:r>
          </w:hyperlink>
        </w:p>
        <w:p>
          <w:pPr>
            <w:pStyle w:val="Contents6"/>
            <w:tabs>
              <w:tab w:val="clear" w:pos="7609"/>
              <w:tab w:val="right" w:pos="9026" w:leader="dot"/>
            </w:tabs>
            <w:rPr/>
          </w:pPr>
          <w:hyperlink w:anchor="__RefHeading___Toc2567074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لا یعتبر فی قصد المسافة أن یکون مستقلا</w:t>
            </w:r>
            <w:r>
              <w:rPr>
                <w:rStyle w:val="IndexLink"/>
                <w:rtl w:val="true"/>
              </w:rPr>
              <w:t>]</w:t>
              <w:tab/>
            </w:r>
            <w:r>
              <w:rPr>
                <w:rStyle w:val="IndexLink"/>
              </w:rPr>
              <w:t>292</w:t>
            </w:r>
          </w:hyperlink>
        </w:p>
        <w:p>
          <w:pPr>
            <w:pStyle w:val="Contents6"/>
            <w:tabs>
              <w:tab w:val="clear" w:pos="7609"/>
              <w:tab w:val="right" w:pos="9026" w:leader="dot"/>
            </w:tabs>
            <w:rPr/>
          </w:pPr>
          <w:hyperlink w:anchor="__RefHeading___Toc2567076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إذا اعتقد التابع أنّ متبوعه لم یقصد المسافة أو شکّ فی ذلک</w:t>
            </w:r>
            <w:r>
              <w:rPr>
                <w:rStyle w:val="IndexLink"/>
                <w:rtl w:val="true"/>
              </w:rPr>
              <w:t>]</w:t>
              <w:tab/>
            </w:r>
            <w:r>
              <w:rPr>
                <w:rStyle w:val="IndexLink"/>
              </w:rPr>
              <w:t>292</w:t>
            </w:r>
          </w:hyperlink>
        </w:p>
        <w:p>
          <w:pPr>
            <w:pStyle w:val="Contents5"/>
            <w:tabs>
              <w:tab w:val="clear" w:pos="7892"/>
              <w:tab w:val="right" w:pos="9026" w:leader="dot"/>
            </w:tabs>
            <w:rPr/>
          </w:pPr>
          <w:hyperlink w:anchor="__RefHeading___Toc2567078_3650668749">
            <w:r>
              <w:rPr>
                <w:webHidden/>
                <w:rStyle w:val="IndexLink"/>
                <w:rtl w:val="true"/>
              </w:rPr>
              <w:t>[</w:t>
            </w:r>
            <w:r>
              <w:rPr>
                <w:rStyle w:val="IndexLink"/>
                <w:rtl w:val="true"/>
              </w:rPr>
              <w:t>ثالثها</w:t>
            </w:r>
            <w:r>
              <w:rPr>
                <w:rStyle w:val="IndexLink"/>
                <w:rtl w:val="true"/>
              </w:rPr>
              <w:t xml:space="preserve">: </w:t>
            </w:r>
            <w:r>
              <w:rPr>
                <w:rStyle w:val="IndexLink"/>
                <w:rtl w:val="true"/>
              </w:rPr>
              <w:t>استمرار القصد</w:t>
            </w:r>
            <w:r>
              <w:rPr>
                <w:rStyle w:val="IndexLink"/>
                <w:rtl w:val="true"/>
              </w:rPr>
              <w:t>]</w:t>
              <w:tab/>
            </w:r>
            <w:r>
              <w:rPr>
                <w:rStyle w:val="IndexLink"/>
              </w:rPr>
              <w:t>292</w:t>
            </w:r>
          </w:hyperlink>
        </w:p>
        <w:p>
          <w:pPr>
            <w:pStyle w:val="Contents6"/>
            <w:tabs>
              <w:tab w:val="clear" w:pos="7609"/>
              <w:tab w:val="right" w:pos="9026" w:leader="dot"/>
            </w:tabs>
            <w:rPr/>
          </w:pPr>
          <w:hyperlink w:anchor="__RefHeading___Toc2567080_3650668749">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2567082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یکفی فی استمرار القصد بقاء قصد النوع</w:t>
            </w:r>
            <w:r>
              <w:rPr>
                <w:rStyle w:val="IndexLink"/>
                <w:rtl w:val="true"/>
              </w:rPr>
              <w:t>]</w:t>
              <w:tab/>
            </w:r>
            <w:r>
              <w:rPr>
                <w:rStyle w:val="IndexLink"/>
              </w:rPr>
              <w:t>293</w:t>
            </w:r>
          </w:hyperlink>
        </w:p>
        <w:p>
          <w:pPr>
            <w:pStyle w:val="Contents6"/>
            <w:tabs>
              <w:tab w:val="clear" w:pos="7609"/>
              <w:tab w:val="right" w:pos="9026" w:leader="dot"/>
            </w:tabs>
            <w:rPr/>
          </w:pPr>
          <w:hyperlink w:anchor="__RefHeading___Toc2567084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لو تردّد فی الأثناء قبل بلوغ أربعة فراسخ ثمّ عاد إلی الجزم</w:t>
            </w:r>
            <w:r>
              <w:rPr>
                <w:rStyle w:val="IndexLink"/>
                <w:rtl w:val="true"/>
              </w:rPr>
              <w:t>]</w:t>
              <w:tab/>
            </w:r>
            <w:r>
              <w:rPr>
                <w:rStyle w:val="IndexLink"/>
              </w:rPr>
              <w:t>293</w:t>
            </w:r>
          </w:hyperlink>
        </w:p>
        <w:p>
          <w:pPr>
            <w:pStyle w:val="Contents5"/>
            <w:tabs>
              <w:tab w:val="clear" w:pos="7892"/>
              <w:tab w:val="right" w:pos="9026" w:leader="dot"/>
            </w:tabs>
            <w:rPr/>
          </w:pPr>
          <w:hyperlink w:anchor="__RefHeading___Toc2567086_3650668749">
            <w:r>
              <w:rPr>
                <w:webHidden/>
                <w:rStyle w:val="IndexLink"/>
                <w:rtl w:val="true"/>
              </w:rPr>
              <w:t>[</w:t>
            </w:r>
            <w:r>
              <w:rPr>
                <w:rStyle w:val="IndexLink"/>
                <w:rtl w:val="true"/>
              </w:rPr>
              <w:t>رابعها</w:t>
            </w:r>
            <w:r>
              <w:rPr>
                <w:rStyle w:val="IndexLink"/>
                <w:rtl w:val="true"/>
              </w:rPr>
              <w:t xml:space="preserve">: </w:t>
            </w:r>
            <w:r>
              <w:rPr>
                <w:rStyle w:val="IndexLink"/>
                <w:rtl w:val="true"/>
              </w:rPr>
              <w:t>أن لا ینوی قطع المسافة بإقامة عشرة أیّام فصاعداً فی أثنائها</w:t>
            </w:r>
            <w:r>
              <w:rPr>
                <w:rStyle w:val="IndexLink"/>
                <w:rtl w:val="true"/>
              </w:rPr>
              <w:t>]</w:t>
              <w:tab/>
            </w:r>
            <w:r>
              <w:rPr>
                <w:rStyle w:val="IndexLink"/>
              </w:rPr>
              <w:t>293</w:t>
            </w:r>
          </w:hyperlink>
        </w:p>
        <w:p>
          <w:pPr>
            <w:pStyle w:val="Contents6"/>
            <w:tabs>
              <w:tab w:val="clear" w:pos="7609"/>
              <w:tab w:val="right" w:pos="9026" w:leader="dot"/>
            </w:tabs>
            <w:rPr/>
          </w:pPr>
          <w:hyperlink w:anchor="__RefHeading___Toc2567088_3650668749">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2567090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لو کان حین الشروع قاصداً للإقامة أو المرور علی الوطن</w:t>
            </w:r>
            <w:r>
              <w:rPr>
                <w:rStyle w:val="IndexLink"/>
                <w:rtl w:val="true"/>
              </w:rPr>
              <w:t>]</w:t>
              <w:tab/>
            </w:r>
            <w:r>
              <w:rPr>
                <w:rStyle w:val="IndexLink"/>
              </w:rPr>
              <w:t>293</w:t>
            </w:r>
          </w:hyperlink>
        </w:p>
        <w:p>
          <w:pPr>
            <w:pStyle w:val="Contents6"/>
            <w:tabs>
              <w:tab w:val="clear" w:pos="7609"/>
              <w:tab w:val="right" w:pos="9026" w:leader="dot"/>
            </w:tabs>
            <w:rPr/>
          </w:pPr>
          <w:hyperlink w:anchor="__RefHeading___Toc2567092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لو لم یکن من نیّته الإقامة و قطع مقداراً من المسافة</w:t>
            </w:r>
            <w:r>
              <w:rPr>
                <w:rStyle w:val="IndexLink"/>
                <w:rtl w:val="true"/>
              </w:rPr>
              <w:t>]</w:t>
              <w:tab/>
            </w:r>
            <w:r>
              <w:rPr>
                <w:rStyle w:val="IndexLink"/>
              </w:rPr>
              <w:t>294</w:t>
            </w:r>
          </w:hyperlink>
        </w:p>
        <w:p>
          <w:pPr>
            <w:pStyle w:val="Contents5"/>
            <w:tabs>
              <w:tab w:val="clear" w:pos="7892"/>
              <w:tab w:val="right" w:pos="9026" w:leader="dot"/>
            </w:tabs>
            <w:rPr/>
          </w:pPr>
          <w:hyperlink w:anchor="__RefHeading___Toc2567094_3650668749">
            <w:r>
              <w:rPr>
                <w:webHidden/>
                <w:rStyle w:val="IndexLink"/>
                <w:rtl w:val="true"/>
              </w:rPr>
              <w:t>[</w:t>
            </w:r>
            <w:r>
              <w:rPr>
                <w:rStyle w:val="IndexLink"/>
                <w:rtl w:val="true"/>
              </w:rPr>
              <w:t>خامسها</w:t>
            </w:r>
            <w:r>
              <w:rPr>
                <w:rStyle w:val="IndexLink"/>
                <w:rtl w:val="true"/>
              </w:rPr>
              <w:t xml:space="preserve">: </w:t>
            </w:r>
            <w:r>
              <w:rPr>
                <w:rStyle w:val="IndexLink"/>
                <w:rtl w:val="true"/>
              </w:rPr>
              <w:t>أن یکون السفر سائغاً</w:t>
            </w:r>
            <w:r>
              <w:rPr>
                <w:rStyle w:val="IndexLink"/>
                <w:rtl w:val="true"/>
              </w:rPr>
              <w:t>]</w:t>
              <w:tab/>
            </w:r>
            <w:r>
              <w:rPr>
                <w:rStyle w:val="IndexLink"/>
              </w:rPr>
              <w:t>294</w:t>
            </w:r>
          </w:hyperlink>
        </w:p>
        <w:p>
          <w:pPr>
            <w:pStyle w:val="Contents6"/>
            <w:tabs>
              <w:tab w:val="clear" w:pos="7609"/>
              <w:tab w:val="right" w:pos="9026" w:leader="dot"/>
            </w:tabs>
            <w:rPr/>
          </w:pPr>
          <w:hyperlink w:anchor="__RefHeading___Toc2567096_3650668749">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2567098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التابع للجائر یقصّر إذا کان مجبوراً فی سفره</w:t>
            </w:r>
            <w:r>
              <w:rPr>
                <w:rStyle w:val="IndexLink"/>
                <w:rtl w:val="true"/>
              </w:rPr>
              <w:t>]</w:t>
              <w:tab/>
            </w:r>
            <w:r>
              <w:rPr>
                <w:rStyle w:val="IndexLink"/>
              </w:rPr>
              <w:t>294</w:t>
            </w:r>
          </w:hyperlink>
        </w:p>
        <w:p>
          <w:pPr>
            <w:pStyle w:val="Contents6"/>
            <w:tabs>
              <w:tab w:val="clear" w:pos="7609"/>
              <w:tab w:val="right" w:pos="9026" w:leader="dot"/>
            </w:tabs>
            <w:rPr/>
          </w:pPr>
          <w:hyperlink w:anchor="__RefHeading___Toc2567100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لو کانت غایة السفر طاعة و معصیة معاً یقصّر</w:t>
            </w:r>
            <w:r>
              <w:rPr>
                <w:rStyle w:val="IndexLink"/>
                <w:rtl w:val="true"/>
              </w:rPr>
              <w:t>]</w:t>
              <w:tab/>
            </w:r>
            <w:r>
              <w:rPr>
                <w:rStyle w:val="IndexLink"/>
              </w:rPr>
              <w:t>294</w:t>
            </w:r>
          </w:hyperlink>
        </w:p>
        <w:p>
          <w:pPr>
            <w:pStyle w:val="Contents6"/>
            <w:tabs>
              <w:tab w:val="clear" w:pos="7609"/>
              <w:tab w:val="right" w:pos="9026" w:leader="dot"/>
            </w:tabs>
            <w:rPr/>
          </w:pPr>
          <w:hyperlink w:anchor="__RefHeading___Toc2567102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لو کان ابتداء سفره طاعة ثمّ قصد المعصیة فی الأثناء انقطع ترخّصه</w:t>
            </w:r>
            <w:r>
              <w:rPr>
                <w:rStyle w:val="IndexLink"/>
                <w:rtl w:val="true"/>
              </w:rPr>
              <w:t>]</w:t>
              <w:tab/>
            </w:r>
            <w:r>
              <w:rPr>
                <w:rStyle w:val="IndexLink"/>
              </w:rPr>
              <w:t>295</w:t>
            </w:r>
          </w:hyperlink>
        </w:p>
        <w:p>
          <w:pPr>
            <w:pStyle w:val="Contents6"/>
            <w:tabs>
              <w:tab w:val="clear" w:pos="7609"/>
              <w:tab w:val="right" w:pos="9026" w:leader="dot"/>
            </w:tabs>
            <w:rPr/>
          </w:pPr>
          <w:hyperlink w:anchor="__RefHeading___Toc2567104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لو کان ابتداء سفره معصیة فنوی الصوم</w:t>
            </w:r>
            <w:r>
              <w:rPr>
                <w:rStyle w:val="IndexLink"/>
                <w:rtl w:val="true"/>
              </w:rPr>
              <w:t>]</w:t>
              <w:tab/>
            </w:r>
            <w:r>
              <w:rPr>
                <w:rStyle w:val="IndexLink"/>
              </w:rPr>
              <w:t>295</w:t>
            </w:r>
          </w:hyperlink>
        </w:p>
        <w:p>
          <w:pPr>
            <w:pStyle w:val="Contents6"/>
            <w:tabs>
              <w:tab w:val="clear" w:pos="7609"/>
              <w:tab w:val="right" w:pos="9026" w:leader="dot"/>
            </w:tabs>
            <w:rPr/>
          </w:pPr>
          <w:hyperlink w:anchor="__RefHeading___Toc2567106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الراجع من سفر المعصیة إن کان بعد التوبة</w:t>
            </w:r>
            <w:r>
              <w:rPr>
                <w:rStyle w:val="IndexLink"/>
                <w:rtl w:val="true"/>
              </w:rPr>
              <w:t>]</w:t>
              <w:tab/>
            </w:r>
            <w:r>
              <w:rPr>
                <w:rStyle w:val="IndexLink"/>
              </w:rPr>
              <w:t>295</w:t>
            </w:r>
          </w:hyperlink>
        </w:p>
        <w:p>
          <w:pPr>
            <w:pStyle w:val="Contents5"/>
            <w:tabs>
              <w:tab w:val="clear" w:pos="7892"/>
              <w:tab w:val="right" w:pos="9026" w:leader="dot"/>
            </w:tabs>
            <w:rPr/>
          </w:pPr>
          <w:hyperlink w:anchor="__RefHeading___Toc2567108_3650668749">
            <w:r>
              <w:rPr>
                <w:webHidden/>
                <w:rStyle w:val="IndexLink"/>
                <w:rtl w:val="true"/>
              </w:rPr>
              <w:t>[</w:t>
            </w:r>
            <w:r>
              <w:rPr>
                <w:rStyle w:val="IndexLink"/>
                <w:rtl w:val="true"/>
              </w:rPr>
              <w:t>سادسها</w:t>
            </w:r>
            <w:r>
              <w:rPr>
                <w:rStyle w:val="IndexLink"/>
                <w:rtl w:val="true"/>
              </w:rPr>
              <w:t xml:space="preserve">: </w:t>
            </w:r>
            <w:r>
              <w:rPr>
                <w:rStyle w:val="IndexLink"/>
                <w:rtl w:val="true"/>
              </w:rPr>
              <w:t>أن لا یکون کبعض أهل البوادی</w:t>
            </w:r>
            <w:r>
              <w:rPr>
                <w:rStyle w:val="IndexLink"/>
                <w:rtl w:val="true"/>
              </w:rPr>
              <w:t>]</w:t>
              <w:tab/>
            </w:r>
            <w:r>
              <w:rPr>
                <w:rStyle w:val="IndexLink"/>
              </w:rPr>
              <w:t>296</w:t>
            </w:r>
          </w:hyperlink>
        </w:p>
        <w:p>
          <w:pPr>
            <w:pStyle w:val="Contents5"/>
            <w:tabs>
              <w:tab w:val="clear" w:pos="7892"/>
              <w:tab w:val="right" w:pos="9026" w:leader="dot"/>
            </w:tabs>
            <w:rPr/>
          </w:pPr>
          <w:hyperlink w:anchor="__RefHeading___Toc2567110_3650668749">
            <w:r>
              <w:rPr>
                <w:webHidden/>
                <w:rStyle w:val="IndexLink"/>
                <w:rtl w:val="true"/>
              </w:rPr>
              <w:t>[</w:t>
            </w:r>
            <w:r>
              <w:rPr>
                <w:rStyle w:val="IndexLink"/>
                <w:rtl w:val="true"/>
              </w:rPr>
              <w:t>سابعها</w:t>
            </w:r>
            <w:r>
              <w:rPr>
                <w:rStyle w:val="IndexLink"/>
                <w:rtl w:val="true"/>
              </w:rPr>
              <w:t xml:space="preserve">: </w:t>
            </w:r>
            <w:r>
              <w:rPr>
                <w:rStyle w:val="IndexLink"/>
                <w:rtl w:val="true"/>
              </w:rPr>
              <w:t>أن لا یتّخذ السفر عملًا له</w:t>
            </w:r>
            <w:r>
              <w:rPr>
                <w:rStyle w:val="IndexLink"/>
                <w:rtl w:val="true"/>
              </w:rPr>
              <w:t>]</w:t>
              <w:tab/>
            </w:r>
            <w:r>
              <w:rPr>
                <w:rStyle w:val="IndexLink"/>
              </w:rPr>
              <w:t>296</w:t>
            </w:r>
          </w:hyperlink>
        </w:p>
        <w:p>
          <w:pPr>
            <w:pStyle w:val="Contents6"/>
            <w:tabs>
              <w:tab w:val="clear" w:pos="7609"/>
              <w:tab w:val="right" w:pos="9026" w:leader="dot"/>
            </w:tabs>
            <w:rPr/>
          </w:pPr>
          <w:hyperlink w:anchor="__RefHeading___Toc2567112_3650668749">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2567114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من کان شغله المکاراة فی الصیف دون الشتاء أو بالعکس</w:t>
            </w:r>
            <w:r>
              <w:rPr>
                <w:rStyle w:val="IndexLink"/>
                <w:rtl w:val="true"/>
              </w:rPr>
              <w:t>]</w:t>
              <w:tab/>
            </w:r>
            <w:r>
              <w:rPr>
                <w:rStyle w:val="IndexLink"/>
              </w:rPr>
              <w:t>296</w:t>
            </w:r>
          </w:hyperlink>
        </w:p>
        <w:p>
          <w:pPr>
            <w:pStyle w:val="Contents6"/>
            <w:tabs>
              <w:tab w:val="clear" w:pos="7609"/>
              <w:tab w:val="right" w:pos="9026" w:leader="dot"/>
            </w:tabs>
            <w:rPr/>
          </w:pPr>
          <w:hyperlink w:anchor="__RefHeading___Toc2567116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یعتبر فی استمرار من عمله السفر علی التمام</w:t>
            </w:r>
            <w:r>
              <w:rPr>
                <w:rStyle w:val="IndexLink"/>
                <w:rtl w:val="true"/>
              </w:rPr>
              <w:t>]</w:t>
              <w:tab/>
            </w:r>
            <w:r>
              <w:rPr>
                <w:rStyle w:val="IndexLink"/>
              </w:rPr>
              <w:t>297</w:t>
            </w:r>
          </w:hyperlink>
        </w:p>
        <w:p>
          <w:pPr>
            <w:pStyle w:val="Contents6"/>
            <w:tabs>
              <w:tab w:val="clear" w:pos="7609"/>
              <w:tab w:val="right" w:pos="9026" w:leader="dot"/>
            </w:tabs>
            <w:rPr/>
          </w:pPr>
          <w:hyperlink w:anchor="__RefHeading___Toc2567118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إذا لم یکن شغله السفر لکن عرض له عارض فسافر أسفاراً عدیدة یقصّر</w:t>
            </w:r>
            <w:r>
              <w:rPr>
                <w:rStyle w:val="IndexLink"/>
                <w:rtl w:val="true"/>
              </w:rPr>
              <w:t>]</w:t>
              <w:tab/>
            </w:r>
            <w:r>
              <w:rPr>
                <w:rStyle w:val="IndexLink"/>
              </w:rPr>
              <w:t>297</w:t>
            </w:r>
          </w:hyperlink>
        </w:p>
        <w:p>
          <w:pPr>
            <w:pStyle w:val="Contents6"/>
            <w:tabs>
              <w:tab w:val="clear" w:pos="7609"/>
              <w:tab w:val="right" w:pos="9026" w:leader="dot"/>
            </w:tabs>
            <w:rPr/>
          </w:pPr>
          <w:hyperlink w:anchor="__RefHeading___Toc2567120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و ممّن شغله السفر الراعی الذی لیس له مکان مخصوص</w:t>
            </w:r>
            <w:r>
              <w:rPr>
                <w:rStyle w:val="IndexLink"/>
                <w:rtl w:val="true"/>
              </w:rPr>
              <w:t>]</w:t>
              <w:tab/>
            </w:r>
            <w:r>
              <w:rPr>
                <w:rStyle w:val="IndexLink"/>
              </w:rPr>
              <w:t>297</w:t>
            </w:r>
          </w:hyperlink>
        </w:p>
        <w:p>
          <w:pPr>
            <w:pStyle w:val="Contents5"/>
            <w:tabs>
              <w:tab w:val="clear" w:pos="7892"/>
              <w:tab w:val="right" w:pos="9026" w:leader="dot"/>
            </w:tabs>
            <w:rPr/>
          </w:pPr>
          <w:hyperlink w:anchor="__RefHeading___Toc2567122_3650668749">
            <w:r>
              <w:rPr>
                <w:webHidden/>
                <w:rStyle w:val="IndexLink"/>
                <w:rtl w:val="true"/>
              </w:rPr>
              <w:t>[</w:t>
            </w:r>
            <w:r>
              <w:rPr>
                <w:rStyle w:val="IndexLink"/>
                <w:rtl w:val="true"/>
              </w:rPr>
              <w:t>ثامنها</w:t>
            </w:r>
            <w:r>
              <w:rPr>
                <w:rStyle w:val="IndexLink"/>
                <w:rtl w:val="true"/>
              </w:rPr>
              <w:t xml:space="preserve">: </w:t>
            </w:r>
            <w:r>
              <w:rPr>
                <w:rStyle w:val="IndexLink"/>
                <w:rtl w:val="true"/>
              </w:rPr>
              <w:t>أن یضرب فی الأرض حتّی یصل إلیٰ محلّ الترخّص فلا یقصّر قبله</w:t>
            </w:r>
            <w:r>
              <w:rPr>
                <w:rStyle w:val="IndexLink"/>
                <w:rtl w:val="true"/>
              </w:rPr>
              <w:t>]</w:t>
              <w:tab/>
            </w:r>
            <w:r>
              <w:rPr>
                <w:rStyle w:val="IndexLink"/>
              </w:rPr>
              <w:t>297</w:t>
            </w:r>
          </w:hyperlink>
        </w:p>
        <w:p>
          <w:pPr>
            <w:pStyle w:val="Contents6"/>
            <w:tabs>
              <w:tab w:val="clear" w:pos="7609"/>
              <w:tab w:val="right" w:pos="9026" w:leader="dot"/>
            </w:tabs>
            <w:rPr/>
          </w:pPr>
          <w:hyperlink w:anchor="__RefHeading___Toc2567124_3650668749">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2567126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کما یعتبر فی التقصیر الوصول إلیٰ محلّ الترخّص إذا سافر من بلده</w:t>
            </w:r>
            <w:r>
              <w:rPr>
                <w:rStyle w:val="IndexLink"/>
                <w:rtl w:val="true"/>
              </w:rPr>
              <w:t>]</w:t>
              <w:tab/>
            </w:r>
            <w:r>
              <w:rPr>
                <w:rStyle w:val="IndexLink"/>
              </w:rPr>
              <w:t>297</w:t>
            </w:r>
          </w:hyperlink>
        </w:p>
        <w:p>
          <w:pPr>
            <w:pStyle w:val="Contents6"/>
            <w:tabs>
              <w:tab w:val="clear" w:pos="7609"/>
              <w:tab w:val="right" w:pos="9026" w:leader="dot"/>
            </w:tabs>
            <w:rPr/>
          </w:pPr>
          <w:hyperlink w:anchor="__RefHeading___Toc2567128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کما أنّه من شروط القصر فی ابتداء السفر الوصول إلیٰ حدّ الترخّص</w:t>
            </w:r>
            <w:r>
              <w:rPr>
                <w:rStyle w:val="IndexLink"/>
                <w:rtl w:val="true"/>
              </w:rPr>
              <w:t>]</w:t>
              <w:tab/>
            </w:r>
            <w:r>
              <w:rPr>
                <w:rStyle w:val="IndexLink"/>
              </w:rPr>
              <w:t>297</w:t>
            </w:r>
          </w:hyperlink>
        </w:p>
        <w:p>
          <w:pPr>
            <w:pStyle w:val="Contents6"/>
            <w:tabs>
              <w:tab w:val="clear" w:pos="7609"/>
              <w:tab w:val="right" w:pos="9026" w:leader="dot"/>
            </w:tabs>
            <w:rPr/>
          </w:pPr>
          <w:hyperlink w:anchor="__RefHeading___Toc2567130_3650668749">
            <w:r>
              <w:rPr>
                <w:webHidden/>
                <w:rStyle w:val="IndexLink"/>
                <w:rtl w:val="true"/>
              </w:rPr>
              <w:t>[ (</w:t>
            </w:r>
            <w:r>
              <w:rPr>
                <w:rStyle w:val="IndexLink"/>
                <w:rtl w:val="true"/>
              </w:rPr>
              <w:t xml:space="preserve">مسألة </w:t>
            </w:r>
            <w:r>
              <w:rPr>
                <w:rStyle w:val="IndexLink"/>
              </w:rPr>
              <w:t>28</w:t>
            </w:r>
            <w:r>
              <w:rPr>
                <w:rStyle w:val="IndexLink"/>
                <w:rtl w:val="true"/>
              </w:rPr>
              <w:t xml:space="preserve">): </w:t>
            </w:r>
            <w:r>
              <w:rPr>
                <w:rStyle w:val="IndexLink"/>
                <w:rtl w:val="true"/>
              </w:rPr>
              <w:t>المدار فی عین الرائی و اذُن السامع و صوت المؤذّن</w:t>
            </w:r>
            <w:r>
              <w:rPr>
                <w:rStyle w:val="IndexLink"/>
                <w:rtl w:val="true"/>
              </w:rPr>
              <w:t>]</w:t>
              <w:tab/>
            </w:r>
            <w:r>
              <w:rPr>
                <w:rStyle w:val="IndexLink"/>
              </w:rPr>
              <w:t>298</w:t>
            </w:r>
          </w:hyperlink>
        </w:p>
        <w:p>
          <w:pPr>
            <w:pStyle w:val="Contents6"/>
            <w:tabs>
              <w:tab w:val="clear" w:pos="7609"/>
              <w:tab w:val="right" w:pos="9026" w:leader="dot"/>
            </w:tabs>
            <w:rPr/>
          </w:pPr>
          <w:hyperlink w:anchor="__RefHeading___Toc2567132_3650668749">
            <w:r>
              <w:rPr>
                <w:webHidden/>
                <w:rStyle w:val="IndexLink"/>
                <w:rtl w:val="true"/>
              </w:rPr>
              <w:t>[ (</w:t>
            </w:r>
            <w:r>
              <w:rPr>
                <w:rStyle w:val="IndexLink"/>
                <w:rtl w:val="true"/>
              </w:rPr>
              <w:t xml:space="preserve">مسألة </w:t>
            </w:r>
            <w:r>
              <w:rPr>
                <w:rStyle w:val="IndexLink"/>
              </w:rPr>
              <w:t>29</w:t>
            </w:r>
            <w:r>
              <w:rPr>
                <w:rStyle w:val="IndexLink"/>
                <w:rtl w:val="true"/>
              </w:rPr>
              <w:t xml:space="preserve">): </w:t>
            </w:r>
            <w:r>
              <w:rPr>
                <w:rStyle w:val="IndexLink"/>
                <w:rtl w:val="true"/>
              </w:rPr>
              <w:t>یکفی فی خفاء الأذان عدم تمیّز فصوله</w:t>
            </w:r>
            <w:r>
              <w:rPr>
                <w:rStyle w:val="IndexLink"/>
                <w:rtl w:val="true"/>
              </w:rPr>
              <w:t>]</w:t>
              <w:tab/>
            </w:r>
            <w:r>
              <w:rPr>
                <w:rStyle w:val="IndexLink"/>
              </w:rPr>
              <w:t>298</w:t>
            </w:r>
          </w:hyperlink>
        </w:p>
        <w:p>
          <w:pPr>
            <w:pStyle w:val="Contents6"/>
            <w:tabs>
              <w:tab w:val="clear" w:pos="7609"/>
              <w:tab w:val="right" w:pos="9026" w:leader="dot"/>
            </w:tabs>
            <w:rPr/>
          </w:pPr>
          <w:hyperlink w:anchor="__RefHeading___Toc2567134_3650668749">
            <w:r>
              <w:rPr>
                <w:webHidden/>
                <w:rStyle w:val="IndexLink"/>
                <w:rtl w:val="true"/>
              </w:rPr>
              <w:t>[ (</w:t>
            </w:r>
            <w:r>
              <w:rPr>
                <w:rStyle w:val="IndexLink"/>
                <w:rtl w:val="true"/>
              </w:rPr>
              <w:t xml:space="preserve">مسألة </w:t>
            </w:r>
            <w:r>
              <w:rPr>
                <w:rStyle w:val="IndexLink"/>
              </w:rPr>
              <w:t>30</w:t>
            </w:r>
            <w:r>
              <w:rPr>
                <w:rStyle w:val="IndexLink"/>
                <w:rtl w:val="true"/>
              </w:rPr>
              <w:t xml:space="preserve">): </w:t>
            </w:r>
            <w:r>
              <w:rPr>
                <w:rStyle w:val="IndexLink"/>
                <w:rtl w:val="true"/>
              </w:rPr>
              <w:t>إذا لم یکن هناک بیوت و لا جدران یعتبر التقدیر</w:t>
            </w:r>
            <w:r>
              <w:rPr>
                <w:rStyle w:val="IndexLink"/>
                <w:rtl w:val="true"/>
              </w:rPr>
              <w:t>]</w:t>
              <w:tab/>
            </w:r>
            <w:r>
              <w:rPr>
                <w:rStyle w:val="IndexLink"/>
              </w:rPr>
              <w:t>298</w:t>
            </w:r>
          </w:hyperlink>
        </w:p>
        <w:p>
          <w:pPr>
            <w:pStyle w:val="Contents6"/>
            <w:tabs>
              <w:tab w:val="clear" w:pos="7609"/>
              <w:tab w:val="right" w:pos="9026" w:leader="dot"/>
            </w:tabs>
            <w:rPr/>
          </w:pPr>
          <w:hyperlink w:anchor="__RefHeading___Toc2567136_3650668749">
            <w:r>
              <w:rPr>
                <w:webHidden/>
                <w:rStyle w:val="IndexLink"/>
                <w:rtl w:val="true"/>
              </w:rPr>
              <w:t>[ (</w:t>
            </w:r>
            <w:r>
              <w:rPr>
                <w:rStyle w:val="IndexLink"/>
                <w:rtl w:val="true"/>
              </w:rPr>
              <w:t xml:space="preserve">مسألة </w:t>
            </w:r>
            <w:r>
              <w:rPr>
                <w:rStyle w:val="IndexLink"/>
              </w:rPr>
              <w:t>31</w:t>
            </w:r>
            <w:r>
              <w:rPr>
                <w:rStyle w:val="IndexLink"/>
                <w:rtl w:val="true"/>
              </w:rPr>
              <w:t xml:space="preserve">): </w:t>
            </w:r>
            <w:r>
              <w:rPr>
                <w:rStyle w:val="IndexLink"/>
                <w:rtl w:val="true"/>
              </w:rPr>
              <w:t>إذا شکّ فی البلوغ إلیٰ حدّ الترخّص بنیٰ علیٰ عدمه</w:t>
            </w:r>
            <w:r>
              <w:rPr>
                <w:rStyle w:val="IndexLink"/>
                <w:rtl w:val="true"/>
              </w:rPr>
              <w:t>]</w:t>
              <w:tab/>
            </w:r>
            <w:r>
              <w:rPr>
                <w:rStyle w:val="IndexLink"/>
              </w:rPr>
              <w:t>298</w:t>
            </w:r>
          </w:hyperlink>
        </w:p>
        <w:p>
          <w:pPr>
            <w:pStyle w:val="Contents6"/>
            <w:tabs>
              <w:tab w:val="clear" w:pos="7609"/>
              <w:tab w:val="right" w:pos="9026" w:leader="dot"/>
            </w:tabs>
            <w:rPr/>
          </w:pPr>
          <w:hyperlink w:anchor="__RefHeading___Toc2567138_3650668749">
            <w:r>
              <w:rPr>
                <w:webHidden/>
                <w:rStyle w:val="IndexLink"/>
                <w:rtl w:val="true"/>
              </w:rPr>
              <w:t>[ (</w:t>
            </w:r>
            <w:r>
              <w:rPr>
                <w:rStyle w:val="IndexLink"/>
                <w:rtl w:val="true"/>
              </w:rPr>
              <w:t xml:space="preserve">مسألة </w:t>
            </w:r>
            <w:r>
              <w:rPr>
                <w:rStyle w:val="IndexLink"/>
              </w:rPr>
              <w:t>32</w:t>
            </w:r>
            <w:r>
              <w:rPr>
                <w:rStyle w:val="IndexLink"/>
                <w:rtl w:val="true"/>
              </w:rPr>
              <w:t xml:space="preserve">): </w:t>
            </w:r>
            <w:r>
              <w:rPr>
                <w:rStyle w:val="IndexLink"/>
                <w:rtl w:val="true"/>
              </w:rPr>
              <w:t>إذا کان فی السفینة و نحوها، فشرع فی الصلاة قبل حدّ الترخّص بنیّة التمام، ثمّ وصل إلیه فی الأثناء</w:t>
            </w:r>
            <w:r>
              <w:rPr>
                <w:rStyle w:val="IndexLink"/>
                <w:rtl w:val="true"/>
              </w:rPr>
              <w:t>]</w:t>
              <w:tab/>
            </w:r>
            <w:r>
              <w:rPr>
                <w:rStyle w:val="IndexLink"/>
              </w:rPr>
              <w:t>298</w:t>
            </w:r>
          </w:hyperlink>
        </w:p>
        <w:p>
          <w:pPr>
            <w:pStyle w:val="Contents4"/>
            <w:tabs>
              <w:tab w:val="clear" w:pos="8176"/>
              <w:tab w:val="right" w:pos="9026" w:leader="dot"/>
            </w:tabs>
            <w:rPr/>
          </w:pPr>
          <w:hyperlink w:anchor="__RefHeading___Toc2567140_3650668749">
            <w:r>
              <w:rPr>
                <w:webHidden/>
                <w:rStyle w:val="IndexLink"/>
                <w:rtl w:val="true"/>
              </w:rPr>
              <w:t>[</w:t>
            </w:r>
            <w:r>
              <w:rPr>
                <w:rStyle w:val="IndexLink"/>
                <w:rtl w:val="true"/>
              </w:rPr>
              <w:t>القول فی قواطع السفر</w:t>
            </w:r>
            <w:r>
              <w:rPr>
                <w:rStyle w:val="IndexLink"/>
                <w:rtl w:val="true"/>
              </w:rPr>
              <w:t>]</w:t>
              <w:tab/>
            </w:r>
            <w:r>
              <w:rPr>
                <w:rStyle w:val="IndexLink"/>
              </w:rPr>
              <w:t>299</w:t>
            </w:r>
          </w:hyperlink>
        </w:p>
        <w:p>
          <w:pPr>
            <w:pStyle w:val="Contents5"/>
            <w:tabs>
              <w:tab w:val="clear" w:pos="7892"/>
              <w:tab w:val="right" w:pos="9026" w:leader="dot"/>
            </w:tabs>
            <w:rPr/>
          </w:pPr>
          <w:hyperlink w:anchor="__RefHeading___Toc2567142_3650668749">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2567144_3650668749">
            <w:r>
              <w:rPr>
                <w:webHidden/>
                <w:rStyle w:val="IndexLink"/>
                <w:rtl w:val="true"/>
              </w:rPr>
              <w:t>[</w:t>
            </w:r>
            <w:r>
              <w:rPr>
                <w:rStyle w:val="IndexLink"/>
                <w:rtl w:val="true"/>
              </w:rPr>
              <w:t>أحدها</w:t>
            </w:r>
            <w:r>
              <w:rPr>
                <w:rStyle w:val="IndexLink"/>
                <w:rtl w:val="true"/>
              </w:rPr>
              <w:t xml:space="preserve">: </w:t>
            </w:r>
            <w:r>
              <w:rPr>
                <w:rStyle w:val="IndexLink"/>
                <w:rtl w:val="true"/>
              </w:rPr>
              <w:t>الوطن</w:t>
            </w:r>
            <w:r>
              <w:rPr>
                <w:rStyle w:val="IndexLink"/>
                <w:rtl w:val="true"/>
              </w:rPr>
              <w:t>]</w:t>
              <w:tab/>
            </w:r>
            <w:r>
              <w:rPr>
                <w:rStyle w:val="IndexLink"/>
              </w:rPr>
              <w:t>299</w:t>
            </w:r>
          </w:hyperlink>
        </w:p>
        <w:p>
          <w:pPr>
            <w:pStyle w:val="Contents6"/>
            <w:tabs>
              <w:tab w:val="clear" w:pos="7609"/>
              <w:tab w:val="right" w:pos="9026" w:leader="dot"/>
            </w:tabs>
            <w:rPr/>
          </w:pPr>
          <w:hyperlink w:anchor="__RefHeading___Toc2567146_3650668749">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256714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إذا أعرض عن وطنه الأصلی أو المستجدّ و توطّن فی غیره</w:t>
            </w:r>
            <w:r>
              <w:rPr>
                <w:rStyle w:val="IndexLink"/>
                <w:rtl w:val="true"/>
              </w:rPr>
              <w:t>]</w:t>
              <w:tab/>
            </w:r>
            <w:r>
              <w:rPr>
                <w:rStyle w:val="IndexLink"/>
              </w:rPr>
              <w:t>299</w:t>
            </w:r>
          </w:hyperlink>
        </w:p>
        <w:p>
          <w:pPr>
            <w:pStyle w:val="Contents6"/>
            <w:tabs>
              <w:tab w:val="clear" w:pos="7609"/>
              <w:tab w:val="right" w:pos="9026" w:leader="dot"/>
            </w:tabs>
            <w:rPr/>
          </w:pPr>
          <w:hyperlink w:anchor="__RefHeading___Toc256715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یمکن أن یکون للإنسان وطنان فعلیّان فی زمان واحد</w:t>
            </w:r>
            <w:r>
              <w:rPr>
                <w:rStyle w:val="IndexLink"/>
                <w:rtl w:val="true"/>
              </w:rPr>
              <w:t>]</w:t>
              <w:tab/>
            </w:r>
            <w:r>
              <w:rPr>
                <w:rStyle w:val="IndexLink"/>
              </w:rPr>
              <w:t>299</w:t>
            </w:r>
          </w:hyperlink>
        </w:p>
        <w:p>
          <w:pPr>
            <w:pStyle w:val="Contents6"/>
            <w:tabs>
              <w:tab w:val="clear" w:pos="7609"/>
              <w:tab w:val="right" w:pos="9026" w:leader="dot"/>
            </w:tabs>
            <w:rPr/>
          </w:pPr>
          <w:hyperlink w:anchor="__RefHeading___Toc256715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الظاهر أنّ الأولاد الصغار تابعون لأبویهم</w:t>
            </w:r>
            <w:r>
              <w:rPr>
                <w:rStyle w:val="IndexLink"/>
                <w:rtl w:val="true"/>
              </w:rPr>
              <w:t>]</w:t>
              <w:tab/>
            </w:r>
            <w:r>
              <w:rPr>
                <w:rStyle w:val="IndexLink"/>
              </w:rPr>
              <w:t>300</w:t>
            </w:r>
          </w:hyperlink>
        </w:p>
        <w:p>
          <w:pPr>
            <w:pStyle w:val="Contents6"/>
            <w:tabs>
              <w:tab w:val="clear" w:pos="7609"/>
              <w:tab w:val="right" w:pos="9026" w:leader="dot"/>
            </w:tabs>
            <w:rPr/>
          </w:pPr>
          <w:hyperlink w:anchor="__RefHeading___Toc256715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حصل له التردّد فی المهاجرة عن الوطن الأصلی فالظاهر بقاؤه علی الوطنیّة</w:t>
            </w:r>
            <w:r>
              <w:rPr>
                <w:rStyle w:val="IndexLink"/>
                <w:rtl w:val="true"/>
              </w:rPr>
              <w:t>]</w:t>
              <w:tab/>
            </w:r>
            <w:r>
              <w:rPr>
                <w:rStyle w:val="IndexLink"/>
              </w:rPr>
              <w:t>300</w:t>
            </w:r>
          </w:hyperlink>
        </w:p>
        <w:p>
          <w:pPr>
            <w:pStyle w:val="Contents5"/>
            <w:tabs>
              <w:tab w:val="clear" w:pos="7892"/>
              <w:tab w:val="right" w:pos="9026" w:leader="dot"/>
            </w:tabs>
            <w:rPr/>
          </w:pPr>
          <w:hyperlink w:anchor="__RefHeading___Toc2567156_3650668749">
            <w:r>
              <w:rPr>
                <w:webHidden/>
                <w:rStyle w:val="IndexLink"/>
                <w:rtl w:val="true"/>
              </w:rPr>
              <w:t>[</w:t>
            </w:r>
            <w:r>
              <w:rPr>
                <w:rStyle w:val="IndexLink"/>
                <w:rtl w:val="true"/>
              </w:rPr>
              <w:t>الثانی من قواطع السفر</w:t>
            </w:r>
            <w:r>
              <w:rPr>
                <w:rStyle w:val="IndexLink"/>
                <w:rtl w:val="true"/>
              </w:rPr>
              <w:t xml:space="preserve">: </w:t>
            </w:r>
            <w:r>
              <w:rPr>
                <w:rStyle w:val="IndexLink"/>
                <w:rtl w:val="true"/>
              </w:rPr>
              <w:t>العزم علیٰ إقامة عشرة أیّام متوالیات</w:t>
            </w:r>
            <w:r>
              <w:rPr>
                <w:rStyle w:val="IndexLink"/>
                <w:rtl w:val="true"/>
              </w:rPr>
              <w:t>]</w:t>
              <w:tab/>
            </w:r>
            <w:r>
              <w:rPr>
                <w:rStyle w:val="IndexLink"/>
              </w:rPr>
              <w:t>300</w:t>
            </w:r>
          </w:hyperlink>
        </w:p>
        <w:p>
          <w:pPr>
            <w:pStyle w:val="Contents6"/>
            <w:tabs>
              <w:tab w:val="clear" w:pos="7609"/>
              <w:tab w:val="right" w:pos="9026" w:leader="dot"/>
            </w:tabs>
            <w:rPr/>
          </w:pPr>
          <w:hyperlink w:anchor="__RefHeading___Toc2567158_3650668749">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256716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اللیالی المتوسّطة داخلة دون اللیلة الاولیٰ و الأخیرة</w:t>
            </w:r>
            <w:r>
              <w:rPr>
                <w:rStyle w:val="IndexLink"/>
                <w:rtl w:val="true"/>
              </w:rPr>
              <w:t>]</w:t>
              <w:tab/>
            </w:r>
            <w:r>
              <w:rPr>
                <w:rStyle w:val="IndexLink"/>
              </w:rPr>
              <w:t>300</w:t>
            </w:r>
          </w:hyperlink>
        </w:p>
        <w:p>
          <w:pPr>
            <w:pStyle w:val="Contents6"/>
            <w:tabs>
              <w:tab w:val="clear" w:pos="7609"/>
              <w:tab w:val="right" w:pos="9026" w:leader="dot"/>
            </w:tabs>
            <w:rPr/>
          </w:pPr>
          <w:hyperlink w:anchor="__RefHeading___Toc256716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لا یعتبر فی نیّة الإقامة قصد عدم الخروج عن خطّة سور البلد</w:t>
            </w:r>
            <w:r>
              <w:rPr>
                <w:rStyle w:val="IndexLink"/>
                <w:rtl w:val="true"/>
              </w:rPr>
              <w:t>]</w:t>
              <w:tab/>
            </w:r>
            <w:r>
              <w:rPr>
                <w:rStyle w:val="IndexLink"/>
              </w:rPr>
              <w:t>301</w:t>
            </w:r>
          </w:hyperlink>
        </w:p>
        <w:p>
          <w:pPr>
            <w:pStyle w:val="Contents6"/>
            <w:tabs>
              <w:tab w:val="clear" w:pos="7609"/>
              <w:tab w:val="right" w:pos="9026" w:leader="dot"/>
            </w:tabs>
            <w:rPr/>
          </w:pPr>
          <w:hyperlink w:anchor="__RefHeading___Toc256716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لا یکفی القصد الإجمالی فی تحقّق الإقامة</w:t>
            </w:r>
            <w:r>
              <w:rPr>
                <w:rStyle w:val="IndexLink"/>
                <w:rtl w:val="true"/>
              </w:rPr>
              <w:t>]</w:t>
              <w:tab/>
            </w:r>
            <w:r>
              <w:rPr>
                <w:rStyle w:val="IndexLink"/>
              </w:rPr>
              <w:t>301</w:t>
            </w:r>
          </w:hyperlink>
        </w:p>
        <w:p>
          <w:pPr>
            <w:pStyle w:val="Contents6"/>
            <w:tabs>
              <w:tab w:val="clear" w:pos="7609"/>
              <w:tab w:val="right" w:pos="9026" w:leader="dot"/>
            </w:tabs>
            <w:rPr/>
          </w:pPr>
          <w:hyperlink w:anchor="__RefHeading___Toc256716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إذا عزم علی الإقامة ثمّ عدل عن قصده فإن صلّیٰ مع العزم المذکور رباعیّة بتمام</w:t>
            </w:r>
            <w:r>
              <w:rPr>
                <w:rStyle w:val="IndexLink"/>
                <w:rtl w:val="true"/>
              </w:rPr>
              <w:t>]</w:t>
              <w:tab/>
            </w:r>
            <w:r>
              <w:rPr>
                <w:rStyle w:val="IndexLink"/>
              </w:rPr>
              <w:t>301</w:t>
            </w:r>
          </w:hyperlink>
        </w:p>
        <w:p>
          <w:pPr>
            <w:pStyle w:val="Contents6"/>
            <w:tabs>
              <w:tab w:val="clear" w:pos="7609"/>
              <w:tab w:val="right" w:pos="9026" w:leader="dot"/>
            </w:tabs>
            <w:rPr/>
          </w:pPr>
          <w:hyperlink w:anchor="__RefHeading___Toc2567168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لو فاتته الصلاة علیٰ وجه یجب علیه قضاؤها</w:t>
            </w:r>
            <w:r>
              <w:rPr>
                <w:rStyle w:val="IndexLink"/>
                <w:rtl w:val="true"/>
              </w:rPr>
              <w:t>]</w:t>
              <w:tab/>
            </w:r>
            <w:r>
              <w:rPr>
                <w:rStyle w:val="IndexLink"/>
              </w:rPr>
              <w:t>301</w:t>
            </w:r>
          </w:hyperlink>
        </w:p>
        <w:p>
          <w:pPr>
            <w:pStyle w:val="Contents6"/>
            <w:tabs>
              <w:tab w:val="clear" w:pos="7609"/>
              <w:tab w:val="right" w:pos="9026" w:leader="dot"/>
            </w:tabs>
            <w:rPr/>
          </w:pPr>
          <w:hyperlink w:anchor="__RefHeading___Toc2567170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إذا عزم علی الإقامة فنوی الصوم</w:t>
            </w:r>
            <w:r>
              <w:rPr>
                <w:rStyle w:val="IndexLink"/>
                <w:rtl w:val="true"/>
              </w:rPr>
              <w:t>]</w:t>
              <w:tab/>
            </w:r>
            <w:r>
              <w:rPr>
                <w:rStyle w:val="IndexLink"/>
              </w:rPr>
              <w:t>302</w:t>
            </w:r>
          </w:hyperlink>
        </w:p>
        <w:p>
          <w:pPr>
            <w:pStyle w:val="Contents6"/>
            <w:tabs>
              <w:tab w:val="clear" w:pos="7609"/>
              <w:tab w:val="right" w:pos="9026" w:leader="dot"/>
            </w:tabs>
            <w:rPr/>
          </w:pPr>
          <w:hyperlink w:anchor="__RefHeading___Toc2567172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لا فرق فی العدول عن قصد الإقامة بین أن یعزم علیٰ عدمها أو یتردّد فیها</w:t>
            </w:r>
            <w:r>
              <w:rPr>
                <w:rStyle w:val="IndexLink"/>
                <w:rtl w:val="true"/>
              </w:rPr>
              <w:t>]</w:t>
              <w:tab/>
            </w:r>
            <w:r>
              <w:rPr>
                <w:rStyle w:val="IndexLink"/>
              </w:rPr>
              <w:t>302</w:t>
            </w:r>
          </w:hyperlink>
        </w:p>
        <w:p>
          <w:pPr>
            <w:pStyle w:val="Contents6"/>
            <w:tabs>
              <w:tab w:val="clear" w:pos="7609"/>
              <w:tab w:val="right" w:pos="9026" w:leader="dot"/>
            </w:tabs>
            <w:rPr/>
          </w:pPr>
          <w:hyperlink w:anchor="__RefHeading___Toc2567174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إذا تمّت العشرة لا یحتاج فی البقاء علی التمام إلیٰ إقامة جدیدة</w:t>
            </w:r>
            <w:r>
              <w:rPr>
                <w:rStyle w:val="IndexLink"/>
                <w:rtl w:val="true"/>
              </w:rPr>
              <w:t>]</w:t>
              <w:tab/>
            </w:r>
            <w:r>
              <w:rPr>
                <w:rStyle w:val="IndexLink"/>
              </w:rPr>
              <w:t>302</w:t>
            </w:r>
          </w:hyperlink>
        </w:p>
        <w:p>
          <w:pPr>
            <w:pStyle w:val="Contents6"/>
            <w:tabs>
              <w:tab w:val="clear" w:pos="7609"/>
              <w:tab w:val="right" w:pos="9026" w:leader="dot"/>
            </w:tabs>
            <w:rPr/>
          </w:pPr>
          <w:hyperlink w:anchor="__RefHeading___Toc2567176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إذا قصد الإقامة و استقرّ حکم التمام</w:t>
            </w:r>
            <w:r>
              <w:rPr>
                <w:rStyle w:val="IndexLink"/>
                <w:rtl w:val="true"/>
              </w:rPr>
              <w:t>]</w:t>
              <w:tab/>
            </w:r>
            <w:r>
              <w:rPr>
                <w:rStyle w:val="IndexLink"/>
              </w:rPr>
              <w:t>302</w:t>
            </w:r>
          </w:hyperlink>
        </w:p>
        <w:p>
          <w:pPr>
            <w:pStyle w:val="Contents6"/>
            <w:tabs>
              <w:tab w:val="clear" w:pos="7609"/>
              <w:tab w:val="right" w:pos="9026" w:leader="dot"/>
            </w:tabs>
            <w:rPr/>
          </w:pPr>
          <w:hyperlink w:anchor="__RefHeading___Toc2567178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إذا بدا للمقیم السفر ثمّ بدا له العود إلیٰ محلّ الإقامة و البقاء عشرة أیّام</w:t>
            </w:r>
            <w:r>
              <w:rPr>
                <w:rStyle w:val="IndexLink"/>
                <w:rtl w:val="true"/>
              </w:rPr>
              <w:t>]</w:t>
              <w:tab/>
            </w:r>
            <w:r>
              <w:rPr>
                <w:rStyle w:val="IndexLink"/>
              </w:rPr>
              <w:t>303</w:t>
            </w:r>
          </w:hyperlink>
        </w:p>
        <w:p>
          <w:pPr>
            <w:pStyle w:val="Contents6"/>
            <w:tabs>
              <w:tab w:val="clear" w:pos="7609"/>
              <w:tab w:val="right" w:pos="9026" w:leader="dot"/>
            </w:tabs>
            <w:rPr/>
          </w:pPr>
          <w:hyperlink w:anchor="__RefHeading___Toc2567180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لو دخل فی الصلاة بنیّة القصر، ثمّ بدا له الإقامة فی أثنائها أتمّها</w:t>
            </w:r>
            <w:r>
              <w:rPr>
                <w:rStyle w:val="IndexLink"/>
                <w:rtl w:val="true"/>
              </w:rPr>
              <w:t>]</w:t>
              <w:tab/>
            </w:r>
            <w:r>
              <w:rPr>
                <w:rStyle w:val="IndexLink"/>
              </w:rPr>
              <w:t>303</w:t>
            </w:r>
          </w:hyperlink>
        </w:p>
        <w:p>
          <w:pPr>
            <w:pStyle w:val="Contents5"/>
            <w:tabs>
              <w:tab w:val="clear" w:pos="7892"/>
              <w:tab w:val="right" w:pos="9026" w:leader="dot"/>
            </w:tabs>
            <w:rPr/>
          </w:pPr>
          <w:hyperlink w:anchor="__RefHeading___Toc2567182_3650668749">
            <w:r>
              <w:rPr>
                <w:webHidden/>
                <w:rStyle w:val="IndexLink"/>
                <w:rtl w:val="true"/>
              </w:rPr>
              <w:t>[</w:t>
            </w:r>
            <w:r>
              <w:rPr>
                <w:rStyle w:val="IndexLink"/>
                <w:rtl w:val="true"/>
              </w:rPr>
              <w:t>الثالث من القواطع</w:t>
            </w:r>
            <w:r>
              <w:rPr>
                <w:rStyle w:val="IndexLink"/>
                <w:rtl w:val="true"/>
              </w:rPr>
              <w:t xml:space="preserve">: </w:t>
            </w:r>
            <w:r>
              <w:rPr>
                <w:rStyle w:val="IndexLink"/>
                <w:rtl w:val="true"/>
              </w:rPr>
              <w:t>البقاء ثلاثین یوماً فی مکان متردّداً</w:t>
            </w:r>
            <w:r>
              <w:rPr>
                <w:rStyle w:val="IndexLink"/>
                <w:rtl w:val="true"/>
              </w:rPr>
              <w:t>]</w:t>
              <w:tab/>
            </w:r>
            <w:r>
              <w:rPr>
                <w:rStyle w:val="IndexLink"/>
              </w:rPr>
              <w:t>303</w:t>
            </w:r>
          </w:hyperlink>
        </w:p>
        <w:p>
          <w:pPr>
            <w:pStyle w:val="Contents6"/>
            <w:tabs>
              <w:tab w:val="clear" w:pos="7609"/>
              <w:tab w:val="right" w:pos="9026" w:leader="dot"/>
            </w:tabs>
            <w:rPr/>
          </w:pPr>
          <w:hyperlink w:anchor="__RefHeading___Toc2567184_3650668749">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2567186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الظاهر إلحاق الشهر الهلالی بثلاثین یوماً</w:t>
            </w:r>
            <w:r>
              <w:rPr>
                <w:rStyle w:val="IndexLink"/>
                <w:rtl w:val="true"/>
              </w:rPr>
              <w:t>]</w:t>
              <w:tab/>
            </w:r>
            <w:r>
              <w:rPr>
                <w:rStyle w:val="IndexLink"/>
              </w:rPr>
              <w:t>303</w:t>
            </w:r>
          </w:hyperlink>
        </w:p>
        <w:p>
          <w:pPr>
            <w:pStyle w:val="Contents6"/>
            <w:tabs>
              <w:tab w:val="clear" w:pos="7609"/>
              <w:tab w:val="right" w:pos="9026" w:leader="dot"/>
            </w:tabs>
            <w:rPr/>
          </w:pPr>
          <w:hyperlink w:anchor="__RefHeading___Toc2567188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یشترط اتّحاد مکان التردّد کمحلّ الإقامة</w:t>
            </w:r>
            <w:r>
              <w:rPr>
                <w:rStyle w:val="IndexLink"/>
                <w:rtl w:val="true"/>
              </w:rPr>
              <w:t>]</w:t>
              <w:tab/>
            </w:r>
            <w:r>
              <w:rPr>
                <w:rStyle w:val="IndexLink"/>
              </w:rPr>
              <w:t>303</w:t>
            </w:r>
          </w:hyperlink>
        </w:p>
        <w:p>
          <w:pPr>
            <w:pStyle w:val="Contents6"/>
            <w:tabs>
              <w:tab w:val="clear" w:pos="7609"/>
              <w:tab w:val="right" w:pos="9026" w:leader="dot"/>
            </w:tabs>
            <w:rPr/>
          </w:pPr>
          <w:hyperlink w:anchor="__RefHeading___Toc2567190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حکم المتردّد ثلاثین یوماً</w:t>
            </w:r>
            <w:r>
              <w:rPr>
                <w:rStyle w:val="IndexLink"/>
                <w:rtl w:val="true"/>
              </w:rPr>
              <w:t>]</w:t>
              <w:tab/>
            </w:r>
            <w:r>
              <w:rPr>
                <w:rStyle w:val="IndexLink"/>
              </w:rPr>
              <w:t>303</w:t>
            </w:r>
          </w:hyperlink>
        </w:p>
        <w:p>
          <w:pPr>
            <w:pStyle w:val="Contents6"/>
            <w:tabs>
              <w:tab w:val="clear" w:pos="7609"/>
              <w:tab w:val="right" w:pos="9026" w:leader="dot"/>
            </w:tabs>
            <w:rPr/>
          </w:pPr>
          <w:hyperlink w:anchor="__RefHeading___Toc2567192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لو تردّد فی مکان تسعة و عشرین مثلًا أو أقلّ ثمّ سافر إلیٰ مکان آخر و بقی متردّداً فیه</w:t>
            </w:r>
            <w:r>
              <w:rPr>
                <w:rStyle w:val="IndexLink"/>
                <w:rtl w:val="true"/>
              </w:rPr>
              <w:t>]</w:t>
              <w:tab/>
            </w:r>
            <w:r>
              <w:rPr>
                <w:rStyle w:val="IndexLink"/>
              </w:rPr>
              <w:t>303</w:t>
            </w:r>
          </w:hyperlink>
        </w:p>
        <w:p>
          <w:pPr>
            <w:pStyle w:val="Contents4"/>
            <w:tabs>
              <w:tab w:val="clear" w:pos="8176"/>
              <w:tab w:val="right" w:pos="9026" w:leader="dot"/>
            </w:tabs>
            <w:rPr/>
          </w:pPr>
          <w:hyperlink w:anchor="__RefHeading___Toc2567194_3650668749">
            <w:r>
              <w:rPr>
                <w:webHidden/>
                <w:rStyle w:val="IndexLink"/>
                <w:rtl w:val="true"/>
              </w:rPr>
              <w:t>[</w:t>
            </w:r>
            <w:r>
              <w:rPr>
                <w:rStyle w:val="IndexLink"/>
                <w:rtl w:val="true"/>
              </w:rPr>
              <w:t>القول فی أحکام المسافر</w:t>
            </w:r>
            <w:r>
              <w:rPr>
                <w:rStyle w:val="IndexLink"/>
                <w:rtl w:val="true"/>
              </w:rPr>
              <w:t>]</w:t>
              <w:tab/>
            </w:r>
            <w:r>
              <w:rPr>
                <w:rStyle w:val="IndexLink"/>
              </w:rPr>
              <w:t>304</w:t>
            </w:r>
          </w:hyperlink>
        </w:p>
        <w:p>
          <w:pPr>
            <w:pStyle w:val="Contents5"/>
            <w:tabs>
              <w:tab w:val="clear" w:pos="7892"/>
              <w:tab w:val="right" w:pos="9026" w:leader="dot"/>
            </w:tabs>
            <w:rPr/>
          </w:pPr>
          <w:hyperlink w:anchor="__RefHeading___Toc2567196_3650668749">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256719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لو صلّی المسافر بعد تحقّق شرائط القصر تماماً</w:t>
            </w:r>
            <w:r>
              <w:rPr>
                <w:rStyle w:val="IndexLink"/>
                <w:rtl w:val="true"/>
              </w:rPr>
              <w:t>]</w:t>
              <w:tab/>
            </w:r>
            <w:r>
              <w:rPr>
                <w:rStyle w:val="IndexLink"/>
              </w:rPr>
              <w:t>304</w:t>
            </w:r>
          </w:hyperlink>
        </w:p>
        <w:p>
          <w:pPr>
            <w:pStyle w:val="Contents5"/>
            <w:tabs>
              <w:tab w:val="clear" w:pos="7892"/>
              <w:tab w:val="right" w:pos="9026" w:leader="dot"/>
            </w:tabs>
            <w:rPr/>
          </w:pPr>
          <w:hyperlink w:anchor="__RefHeading___Toc256720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یلحق الصوم بالصلاة فیما ذکر</w:t>
            </w:r>
            <w:r>
              <w:rPr>
                <w:rStyle w:val="IndexLink"/>
                <w:rtl w:val="true"/>
              </w:rPr>
              <w:t>]</w:t>
              <w:tab/>
            </w:r>
            <w:r>
              <w:rPr>
                <w:rStyle w:val="IndexLink"/>
              </w:rPr>
              <w:t>304</w:t>
            </w:r>
          </w:hyperlink>
        </w:p>
        <w:p>
          <w:pPr>
            <w:pStyle w:val="Contents5"/>
            <w:tabs>
              <w:tab w:val="clear" w:pos="7892"/>
              <w:tab w:val="right" w:pos="9026" w:leader="dot"/>
            </w:tabs>
            <w:rPr/>
          </w:pPr>
          <w:hyperlink w:anchor="__RefHeading___Toc256720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لو قصّر من کانت وظیفته التمام بطلت صلاته مطلقاً</w:t>
            </w:r>
            <w:r>
              <w:rPr>
                <w:rStyle w:val="IndexLink"/>
                <w:rtl w:val="true"/>
              </w:rPr>
              <w:t>]</w:t>
              <w:tab/>
            </w:r>
            <w:r>
              <w:rPr>
                <w:rStyle w:val="IndexLink"/>
              </w:rPr>
              <w:t>304</w:t>
            </w:r>
          </w:hyperlink>
        </w:p>
        <w:p>
          <w:pPr>
            <w:pStyle w:val="Contents5"/>
            <w:tabs>
              <w:tab w:val="clear" w:pos="7892"/>
              <w:tab w:val="right" w:pos="9026" w:leader="dot"/>
            </w:tabs>
            <w:rPr/>
          </w:pPr>
          <w:hyperlink w:anchor="__RefHeading___Toc256720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تذکّر الناسی للسفر فی أثناء الصلاة</w:t>
            </w:r>
            <w:r>
              <w:rPr>
                <w:rStyle w:val="IndexLink"/>
                <w:rtl w:val="true"/>
              </w:rPr>
              <w:t>]</w:t>
              <w:tab/>
            </w:r>
            <w:r>
              <w:rPr>
                <w:rStyle w:val="IndexLink"/>
              </w:rPr>
              <w:t>304</w:t>
            </w:r>
          </w:hyperlink>
        </w:p>
        <w:p>
          <w:pPr>
            <w:pStyle w:val="Contents5"/>
            <w:tabs>
              <w:tab w:val="clear" w:pos="7892"/>
              <w:tab w:val="right" w:pos="9026" w:leader="dot"/>
            </w:tabs>
            <w:rPr/>
          </w:pPr>
          <w:hyperlink w:anchor="__RefHeading___Toc256720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دخل الوقت و هو حاضر متمکّن من فعل الصلاة ثمّ سافر قبل أن یصلّی</w:t>
            </w:r>
            <w:r>
              <w:rPr>
                <w:rStyle w:val="IndexLink"/>
                <w:rtl w:val="true"/>
              </w:rPr>
              <w:t>]</w:t>
              <w:tab/>
            </w:r>
            <w:r>
              <w:rPr>
                <w:rStyle w:val="IndexLink"/>
              </w:rPr>
              <w:t>304</w:t>
            </w:r>
          </w:hyperlink>
        </w:p>
        <w:p>
          <w:pPr>
            <w:pStyle w:val="Contents5"/>
            <w:tabs>
              <w:tab w:val="clear" w:pos="7892"/>
              <w:tab w:val="right" w:pos="9026" w:leader="dot"/>
            </w:tabs>
            <w:rPr/>
          </w:pPr>
          <w:hyperlink w:anchor="__RefHeading___Toc256720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فاتت منه الصلاة فی الحضر یجب علیه قضاؤها تماماً</w:t>
            </w:r>
            <w:r>
              <w:rPr>
                <w:rStyle w:val="IndexLink"/>
                <w:rtl w:val="true"/>
              </w:rPr>
              <w:t>]</w:t>
              <w:tab/>
            </w:r>
            <w:r>
              <w:rPr>
                <w:rStyle w:val="IndexLink"/>
              </w:rPr>
              <w:t>305</w:t>
            </w:r>
          </w:hyperlink>
        </w:p>
        <w:p>
          <w:pPr>
            <w:pStyle w:val="Contents5"/>
            <w:tabs>
              <w:tab w:val="clear" w:pos="7892"/>
              <w:tab w:val="right" w:pos="9026" w:leader="dot"/>
            </w:tabs>
            <w:rPr/>
          </w:pPr>
          <w:hyperlink w:anchor="__RefHeading___Toc2567210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فاتت منه الصلاة و کان فی أوّل الوقت حاضراً و فی آخره مسافراً</w:t>
            </w:r>
            <w:r>
              <w:rPr>
                <w:rStyle w:val="IndexLink"/>
                <w:rtl w:val="true"/>
              </w:rPr>
              <w:t>]</w:t>
              <w:tab/>
            </w:r>
            <w:r>
              <w:rPr>
                <w:rStyle w:val="IndexLink"/>
              </w:rPr>
              <w:t>305</w:t>
            </w:r>
          </w:hyperlink>
        </w:p>
        <w:p>
          <w:pPr>
            <w:pStyle w:val="Contents5"/>
            <w:tabs>
              <w:tab w:val="clear" w:pos="7892"/>
              <w:tab w:val="right" w:pos="9026" w:leader="dot"/>
            </w:tabs>
            <w:rPr/>
          </w:pPr>
          <w:hyperlink w:anchor="__RefHeading___Toc2567212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یتخیّر المسافر مع عدم قصد الإقامة بین القصر و الإتمام فی الأماکن الأربعة</w:t>
            </w:r>
            <w:r>
              <w:rPr>
                <w:rStyle w:val="IndexLink"/>
                <w:rtl w:val="true"/>
              </w:rPr>
              <w:t>]</w:t>
              <w:tab/>
            </w:r>
            <w:r>
              <w:rPr>
                <w:rStyle w:val="IndexLink"/>
              </w:rPr>
              <w:t>305</w:t>
            </w:r>
          </w:hyperlink>
        </w:p>
        <w:p>
          <w:pPr>
            <w:pStyle w:val="Contents5"/>
            <w:tabs>
              <w:tab w:val="clear" w:pos="7892"/>
              <w:tab w:val="right" w:pos="9026" w:leader="dot"/>
            </w:tabs>
            <w:rPr/>
          </w:pPr>
          <w:hyperlink w:anchor="__RefHeading___Toc2567214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التخییر فی هذه الأماکن استمراریّ</w:t>
            </w:r>
            <w:r>
              <w:rPr>
                <w:rStyle w:val="IndexLink"/>
                <w:rtl w:val="true"/>
              </w:rPr>
              <w:t>]</w:t>
              <w:tab/>
            </w:r>
            <w:r>
              <w:rPr>
                <w:rStyle w:val="IndexLink"/>
              </w:rPr>
              <w:t>305</w:t>
            </w:r>
          </w:hyperlink>
        </w:p>
        <w:p>
          <w:pPr>
            <w:pStyle w:val="Contents5"/>
            <w:tabs>
              <w:tab w:val="clear" w:pos="7892"/>
              <w:tab w:val="right" w:pos="9026" w:leader="dot"/>
            </w:tabs>
            <w:rPr/>
          </w:pPr>
          <w:hyperlink w:anchor="__RefHeading___Toc2567216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لا یلحق الصوم بالصلاة فی التخییر المزبور</w:t>
            </w:r>
            <w:r>
              <w:rPr>
                <w:rStyle w:val="IndexLink"/>
                <w:rtl w:val="true"/>
              </w:rPr>
              <w:t>]</w:t>
              <w:tab/>
            </w:r>
            <w:r>
              <w:rPr>
                <w:rStyle w:val="IndexLink"/>
              </w:rPr>
              <w:t>305</w:t>
            </w:r>
          </w:hyperlink>
        </w:p>
        <w:p>
          <w:pPr>
            <w:pStyle w:val="Contents5"/>
            <w:tabs>
              <w:tab w:val="clear" w:pos="7892"/>
              <w:tab w:val="right" w:pos="9026" w:leader="dot"/>
            </w:tabs>
            <w:rPr/>
          </w:pPr>
          <w:hyperlink w:anchor="__RefHeading___Toc2567218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یستحبّ أن یقول عقیب کلّ صلاة مقصورة ثلاثین مرّة</w:t>
            </w:r>
            <w:r>
              <w:rPr>
                <w:rStyle w:val="IndexLink"/>
                <w:rtl w:val="true"/>
              </w:rPr>
              <w:t>]</w:t>
              <w:tab/>
            </w:r>
            <w:r>
              <w:rPr>
                <w:rStyle w:val="IndexLink"/>
              </w:rPr>
              <w:t>305</w:t>
            </w:r>
          </w:hyperlink>
        </w:p>
        <w:p>
          <w:pPr>
            <w:pStyle w:val="Contents3"/>
            <w:tabs>
              <w:tab w:val="clear" w:pos="8459"/>
              <w:tab w:val="right" w:pos="9026" w:leader="dot"/>
            </w:tabs>
            <w:rPr/>
          </w:pPr>
          <w:hyperlink w:anchor="__RefHeading___Toc2567220_3650668749">
            <w:r>
              <w:rPr>
                <w:webHidden/>
                <w:rStyle w:val="IndexLink"/>
                <w:rtl w:val="true"/>
              </w:rPr>
              <w:t>[</w:t>
            </w:r>
            <w:r>
              <w:rPr>
                <w:rStyle w:val="IndexLink"/>
                <w:rtl w:val="true"/>
              </w:rPr>
              <w:t>فصل فی صلاة الجماعة</w:t>
            </w:r>
            <w:r>
              <w:rPr>
                <w:rStyle w:val="IndexLink"/>
                <w:rtl w:val="true"/>
              </w:rPr>
              <w:t>]</w:t>
              <w:tab/>
            </w:r>
            <w:r>
              <w:rPr>
                <w:rStyle w:val="IndexLink"/>
              </w:rPr>
              <w:t>306</w:t>
            </w:r>
          </w:hyperlink>
        </w:p>
        <w:p>
          <w:pPr>
            <w:pStyle w:val="Contents4"/>
            <w:tabs>
              <w:tab w:val="clear" w:pos="8176"/>
              <w:tab w:val="right" w:pos="9026" w:leader="dot"/>
            </w:tabs>
            <w:rPr/>
          </w:pPr>
          <w:hyperlink w:anchor="__RefHeading___Toc2567222_3650668749">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2567224_3650668749">
            <w:r>
              <w:rPr>
                <w:webHidden/>
                <w:rStyle w:val="IndexLink"/>
                <w:rtl w:val="true"/>
              </w:rPr>
              <w:t>[</w:t>
            </w:r>
            <w:r>
              <w:rPr>
                <w:rStyle w:val="IndexLink"/>
                <w:rtl w:val="true"/>
              </w:rPr>
              <w:t>مسائل</w:t>
            </w:r>
            <w:r>
              <w:rPr>
                <w:rStyle w:val="IndexLink"/>
                <w:rtl w:val="true"/>
              </w:rPr>
              <w:t>]</w:t>
              <w:tab/>
            </w:r>
            <w:r>
              <w:rPr>
                <w:rStyle w:val="IndexLink"/>
              </w:rPr>
              <w:t>306</w:t>
            </w:r>
          </w:hyperlink>
        </w:p>
        <w:p>
          <w:pPr>
            <w:pStyle w:val="Contents5"/>
            <w:tabs>
              <w:tab w:val="clear" w:pos="7892"/>
              <w:tab w:val="right" w:pos="9026" w:leader="dot"/>
            </w:tabs>
            <w:rPr/>
          </w:pPr>
          <w:hyperlink w:anchor="__RefHeading___Toc2567226_3650668749">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256722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یشترط فی صحّة الجماعة اتّحاد صلاة الإمام و المأموم نوعاً أو کیفیّة</w:t>
            </w:r>
            <w:r>
              <w:rPr>
                <w:rStyle w:val="IndexLink"/>
                <w:rtl w:val="true"/>
              </w:rPr>
              <w:t>]</w:t>
              <w:tab/>
            </w:r>
            <w:r>
              <w:rPr>
                <w:rStyle w:val="IndexLink"/>
              </w:rPr>
              <w:t>306</w:t>
            </w:r>
          </w:hyperlink>
        </w:p>
        <w:p>
          <w:pPr>
            <w:pStyle w:val="Contents5"/>
            <w:tabs>
              <w:tab w:val="clear" w:pos="7892"/>
              <w:tab w:val="right" w:pos="9026" w:leader="dot"/>
            </w:tabs>
            <w:rPr/>
          </w:pPr>
          <w:hyperlink w:anchor="__RefHeading___Toc256723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أقلّ عدد تنعقد به الجماعة فی غیر الجمعة و العیدین اثنان</w:t>
            </w:r>
            <w:r>
              <w:rPr>
                <w:rStyle w:val="IndexLink"/>
                <w:rtl w:val="true"/>
              </w:rPr>
              <w:t>]</w:t>
              <w:tab/>
            </w:r>
            <w:r>
              <w:rPr>
                <w:rStyle w:val="IndexLink"/>
              </w:rPr>
              <w:t>306</w:t>
            </w:r>
          </w:hyperlink>
        </w:p>
        <w:p>
          <w:pPr>
            <w:pStyle w:val="Contents5"/>
            <w:tabs>
              <w:tab w:val="clear" w:pos="7892"/>
              <w:tab w:val="right" w:pos="9026" w:leader="dot"/>
            </w:tabs>
            <w:rPr/>
          </w:pPr>
          <w:hyperlink w:anchor="__RefHeading___Toc256723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یشترط فی انعقاد الجماعة فی غیر الجمعة و العیدین</w:t>
            </w:r>
            <w:r>
              <w:rPr>
                <w:rStyle w:val="IndexLink"/>
                <w:rtl w:val="true"/>
              </w:rPr>
              <w:t>]</w:t>
              <w:tab/>
            </w:r>
            <w:r>
              <w:rPr>
                <w:rStyle w:val="IndexLink"/>
              </w:rPr>
              <w:t>306</w:t>
            </w:r>
          </w:hyperlink>
        </w:p>
        <w:p>
          <w:pPr>
            <w:pStyle w:val="Contents5"/>
            <w:tabs>
              <w:tab w:val="clear" w:pos="7892"/>
              <w:tab w:val="right" w:pos="9026" w:leader="dot"/>
            </w:tabs>
            <w:rPr/>
          </w:pPr>
          <w:hyperlink w:anchor="__RefHeading___Toc256723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لو شکّ فی أنّه نوی الائتمام أم لا، بنیٰ علی العدم</w:t>
            </w:r>
            <w:r>
              <w:rPr>
                <w:rStyle w:val="IndexLink"/>
                <w:rtl w:val="true"/>
              </w:rPr>
              <w:t>]</w:t>
              <w:tab/>
            </w:r>
            <w:r>
              <w:rPr>
                <w:rStyle w:val="IndexLink"/>
              </w:rPr>
              <w:t>307</w:t>
            </w:r>
          </w:hyperlink>
        </w:p>
        <w:p>
          <w:pPr>
            <w:pStyle w:val="Contents5"/>
            <w:tabs>
              <w:tab w:val="clear" w:pos="7892"/>
              <w:tab w:val="right" w:pos="9026" w:leader="dot"/>
            </w:tabs>
            <w:rPr/>
          </w:pPr>
          <w:hyperlink w:anchor="__RefHeading___Toc256723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نوی الاقتداء بشخص علیٰ أنّه زید فبان أنّه عمرو</w:t>
            </w:r>
            <w:r>
              <w:rPr>
                <w:rStyle w:val="IndexLink"/>
                <w:rtl w:val="true"/>
              </w:rPr>
              <w:t>]</w:t>
              <w:tab/>
            </w:r>
            <w:r>
              <w:rPr>
                <w:rStyle w:val="IndexLink"/>
              </w:rPr>
              <w:t>307</w:t>
            </w:r>
          </w:hyperlink>
        </w:p>
        <w:p>
          <w:pPr>
            <w:pStyle w:val="Contents5"/>
            <w:tabs>
              <w:tab w:val="clear" w:pos="7892"/>
              <w:tab w:val="right" w:pos="9026" w:leader="dot"/>
            </w:tabs>
            <w:rPr/>
          </w:pPr>
          <w:hyperlink w:anchor="__RefHeading___Toc256723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لا یجوز للمنفرد العدول إلی الائتمام فی الأثناء</w:t>
            </w:r>
            <w:r>
              <w:rPr>
                <w:rStyle w:val="IndexLink"/>
                <w:rtl w:val="true"/>
              </w:rPr>
              <w:t>]</w:t>
              <w:tab/>
            </w:r>
            <w:r>
              <w:rPr>
                <w:rStyle w:val="IndexLink"/>
              </w:rPr>
              <w:t>307</w:t>
            </w:r>
          </w:hyperlink>
        </w:p>
        <w:p>
          <w:pPr>
            <w:pStyle w:val="Contents5"/>
            <w:tabs>
              <w:tab w:val="clear" w:pos="7892"/>
              <w:tab w:val="right" w:pos="9026" w:leader="dot"/>
            </w:tabs>
            <w:rPr/>
          </w:pPr>
          <w:hyperlink w:anchor="__RefHeading___Toc2567240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یجوز العدول من الائتمام إلی الانفراد و لو اختیاراً فی جمیع أحوال الصلاة</w:t>
            </w:r>
            <w:r>
              <w:rPr>
                <w:rStyle w:val="IndexLink"/>
                <w:rtl w:val="true"/>
              </w:rPr>
              <w:t>]</w:t>
              <w:tab/>
            </w:r>
            <w:r>
              <w:rPr>
                <w:rStyle w:val="IndexLink"/>
              </w:rPr>
              <w:t>307</w:t>
            </w:r>
          </w:hyperlink>
        </w:p>
        <w:p>
          <w:pPr>
            <w:pStyle w:val="Contents5"/>
            <w:tabs>
              <w:tab w:val="clear" w:pos="7892"/>
              <w:tab w:val="right" w:pos="9026" w:leader="dot"/>
            </w:tabs>
            <w:rPr/>
          </w:pPr>
          <w:hyperlink w:anchor="__RefHeading___Toc2567242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نوی الانفراد بعد قراءة الإمام قبل الرکوع لا یجب علیه القراءة</w:t>
            </w:r>
            <w:r>
              <w:rPr>
                <w:rStyle w:val="IndexLink"/>
                <w:rtl w:val="true"/>
              </w:rPr>
              <w:t>]</w:t>
              <w:tab/>
            </w:r>
            <w:r>
              <w:rPr>
                <w:rStyle w:val="IndexLink"/>
              </w:rPr>
              <w:t>307</w:t>
            </w:r>
          </w:hyperlink>
        </w:p>
        <w:p>
          <w:pPr>
            <w:pStyle w:val="Contents5"/>
            <w:tabs>
              <w:tab w:val="clear" w:pos="7892"/>
              <w:tab w:val="right" w:pos="9026" w:leader="dot"/>
            </w:tabs>
            <w:rPr/>
          </w:pPr>
          <w:hyperlink w:anchor="__RefHeading___Toc2567244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لو نوی الانفراد فی الأثناء لا یجوز له العود إلی الائتمام</w:t>
            </w:r>
            <w:r>
              <w:rPr>
                <w:rStyle w:val="IndexLink"/>
                <w:rtl w:val="true"/>
              </w:rPr>
              <w:t>]</w:t>
              <w:tab/>
            </w:r>
            <w:r>
              <w:rPr>
                <w:rStyle w:val="IndexLink"/>
              </w:rPr>
              <w:t>307</w:t>
            </w:r>
          </w:hyperlink>
        </w:p>
        <w:p>
          <w:pPr>
            <w:pStyle w:val="Contents5"/>
            <w:tabs>
              <w:tab w:val="clear" w:pos="7892"/>
              <w:tab w:val="right" w:pos="9026" w:leader="dot"/>
            </w:tabs>
            <w:rPr/>
          </w:pPr>
          <w:hyperlink w:anchor="__RefHeading___Toc2567246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إذا لم یدرک الإمام إلّا فی الرکوع قبل أن یرفع رأسه منه و لو بعد الذکر</w:t>
            </w:r>
            <w:r>
              <w:rPr>
                <w:rStyle w:val="IndexLink"/>
                <w:rtl w:val="true"/>
              </w:rPr>
              <w:t>]</w:t>
              <w:tab/>
            </w:r>
            <w:r>
              <w:rPr>
                <w:rStyle w:val="IndexLink"/>
              </w:rPr>
              <w:t>307</w:t>
            </w:r>
          </w:hyperlink>
        </w:p>
        <w:p>
          <w:pPr>
            <w:pStyle w:val="Contents5"/>
            <w:tabs>
              <w:tab w:val="clear" w:pos="7892"/>
              <w:tab w:val="right" w:pos="9026" w:leader="dot"/>
            </w:tabs>
            <w:rPr/>
          </w:pPr>
          <w:hyperlink w:anchor="__RefHeading___Toc2567248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الظاهر أنّه إذا دخل فی الجماعة فی أوّل الرکعة أو فی أثناء القراءة</w:t>
            </w:r>
            <w:r>
              <w:rPr>
                <w:rStyle w:val="IndexLink"/>
                <w:rtl w:val="true"/>
              </w:rPr>
              <w:t>]</w:t>
              <w:tab/>
            </w:r>
            <w:r>
              <w:rPr>
                <w:rStyle w:val="IndexLink"/>
              </w:rPr>
              <w:t>308</w:t>
            </w:r>
          </w:hyperlink>
        </w:p>
        <w:p>
          <w:pPr>
            <w:pStyle w:val="Contents5"/>
            <w:tabs>
              <w:tab w:val="clear" w:pos="7892"/>
              <w:tab w:val="right" w:pos="9026" w:leader="dot"/>
            </w:tabs>
            <w:rPr/>
          </w:pPr>
          <w:hyperlink w:anchor="__RefHeading___Toc2567250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لو رکع بتخیّل أنّه یدرک الإمام راکعاً</w:t>
            </w:r>
            <w:r>
              <w:rPr>
                <w:rStyle w:val="IndexLink"/>
                <w:rtl w:val="true"/>
              </w:rPr>
              <w:t>]</w:t>
              <w:tab/>
            </w:r>
            <w:r>
              <w:rPr>
                <w:rStyle w:val="IndexLink"/>
              </w:rPr>
              <w:t>308</w:t>
            </w:r>
          </w:hyperlink>
        </w:p>
        <w:p>
          <w:pPr>
            <w:pStyle w:val="Contents5"/>
            <w:tabs>
              <w:tab w:val="clear" w:pos="7892"/>
              <w:tab w:val="right" w:pos="9026" w:leader="dot"/>
            </w:tabs>
            <w:rPr/>
          </w:pPr>
          <w:hyperlink w:anchor="__RefHeading___Toc2567252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الأحوط عدم الدخول فی الجماعة بقصد الرکوع مع الإمام إلّا مع الاطمئنان بإدراکه</w:t>
            </w:r>
            <w:r>
              <w:rPr>
                <w:rStyle w:val="IndexLink"/>
                <w:rtl w:val="true"/>
              </w:rPr>
              <w:t>]</w:t>
              <w:tab/>
            </w:r>
            <w:r>
              <w:rPr>
                <w:rStyle w:val="IndexLink"/>
              </w:rPr>
              <w:t>308</w:t>
            </w:r>
          </w:hyperlink>
        </w:p>
        <w:p>
          <w:pPr>
            <w:pStyle w:val="Contents5"/>
            <w:tabs>
              <w:tab w:val="clear" w:pos="7892"/>
              <w:tab w:val="right" w:pos="9026" w:leader="dot"/>
            </w:tabs>
            <w:rPr/>
          </w:pPr>
          <w:hyperlink w:anchor="__RefHeading___Toc2567254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لو نوی الائتمام و کبّر فرفع الإمام رأسه قبل أن یرکع</w:t>
            </w:r>
            <w:r>
              <w:rPr>
                <w:rStyle w:val="IndexLink"/>
                <w:rtl w:val="true"/>
              </w:rPr>
              <w:t>]</w:t>
              <w:tab/>
            </w:r>
            <w:r>
              <w:rPr>
                <w:rStyle w:val="IndexLink"/>
              </w:rPr>
              <w:t>308</w:t>
            </w:r>
          </w:hyperlink>
        </w:p>
        <w:p>
          <w:pPr>
            <w:pStyle w:val="Contents5"/>
            <w:tabs>
              <w:tab w:val="clear" w:pos="7892"/>
              <w:tab w:val="right" w:pos="9026" w:leader="dot"/>
            </w:tabs>
            <w:rPr/>
          </w:pPr>
          <w:hyperlink w:anchor="__RefHeading___Toc2567256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إذا أدرک الإمام فی السجدة الأُولیٰ أو الثانیة من الرکعة الأخیرة و أراد إدراک فضل الجماعة نویٰ و کبّر</w:t>
            </w:r>
            <w:r>
              <w:rPr>
                <w:rStyle w:val="IndexLink"/>
                <w:rtl w:val="true"/>
              </w:rPr>
              <w:t>]</w:t>
              <w:tab/>
            </w:r>
            <w:r>
              <w:rPr>
                <w:rStyle w:val="IndexLink"/>
              </w:rPr>
              <w:t>308</w:t>
            </w:r>
          </w:hyperlink>
        </w:p>
        <w:p>
          <w:pPr>
            <w:pStyle w:val="Contents4"/>
            <w:tabs>
              <w:tab w:val="clear" w:pos="8176"/>
              <w:tab w:val="right" w:pos="9026" w:leader="dot"/>
            </w:tabs>
            <w:rPr/>
          </w:pPr>
          <w:hyperlink w:anchor="__RefHeading___Toc2567258_3650668749">
            <w:r>
              <w:rPr>
                <w:webHidden/>
                <w:rStyle w:val="IndexLink"/>
                <w:rtl w:val="true"/>
              </w:rPr>
              <w:t>[</w:t>
            </w:r>
            <w:r>
              <w:rPr>
                <w:rStyle w:val="IndexLink"/>
                <w:rtl w:val="true"/>
              </w:rPr>
              <w:t>القول فی شرائط الجماعة</w:t>
            </w:r>
            <w:r>
              <w:rPr>
                <w:rStyle w:val="IndexLink"/>
                <w:rtl w:val="true"/>
              </w:rPr>
              <w:t>]</w:t>
              <w:tab/>
            </w:r>
            <w:r>
              <w:rPr>
                <w:rStyle w:val="IndexLink"/>
              </w:rPr>
              <w:t>309</w:t>
            </w:r>
          </w:hyperlink>
        </w:p>
        <w:p>
          <w:pPr>
            <w:pStyle w:val="Contents5"/>
            <w:tabs>
              <w:tab w:val="clear" w:pos="7892"/>
              <w:tab w:val="right" w:pos="9026" w:leader="dot"/>
            </w:tabs>
            <w:rPr/>
          </w:pPr>
          <w:hyperlink w:anchor="__RefHeading___Toc2567260_3650668749">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256726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لیس من الحائل الظلمة و الغبار المانعان من المشاهدة</w:t>
            </w:r>
            <w:r>
              <w:rPr>
                <w:rStyle w:val="IndexLink"/>
                <w:rtl w:val="true"/>
              </w:rPr>
              <w:t>]</w:t>
              <w:tab/>
            </w:r>
            <w:r>
              <w:rPr>
                <w:rStyle w:val="IndexLink"/>
              </w:rPr>
              <w:t>309</w:t>
            </w:r>
          </w:hyperlink>
        </w:p>
        <w:p>
          <w:pPr>
            <w:pStyle w:val="Contents5"/>
            <w:tabs>
              <w:tab w:val="clear" w:pos="7892"/>
              <w:tab w:val="right" w:pos="9026" w:leader="dot"/>
            </w:tabs>
            <w:rPr/>
          </w:pPr>
          <w:hyperlink w:anchor="__RefHeading___Toc256726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بأس بالحائل القصیر الذی لا یمنع المشاهدة فی أحوال الصلاة</w:t>
            </w:r>
            <w:r>
              <w:rPr>
                <w:rStyle w:val="IndexLink"/>
                <w:rtl w:val="true"/>
              </w:rPr>
              <w:t>]</w:t>
              <w:tab/>
            </w:r>
            <w:r>
              <w:rPr>
                <w:rStyle w:val="IndexLink"/>
              </w:rPr>
              <w:t>310</w:t>
            </w:r>
          </w:hyperlink>
        </w:p>
        <w:p>
          <w:pPr>
            <w:pStyle w:val="Contents5"/>
            <w:tabs>
              <w:tab w:val="clear" w:pos="7892"/>
              <w:tab w:val="right" w:pos="9026" w:leader="dot"/>
            </w:tabs>
            <w:rPr/>
          </w:pPr>
          <w:hyperlink w:anchor="__RefHeading___Toc256726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یقدح حیلولة المأمومین المتقدّمین و إن لم یدخلوا فی الصلاة إذا کانوا متهیّئین له</w:t>
            </w:r>
            <w:r>
              <w:rPr>
                <w:rStyle w:val="IndexLink"/>
                <w:rtl w:val="true"/>
              </w:rPr>
              <w:t>]</w:t>
              <w:tab/>
            </w:r>
            <w:r>
              <w:rPr>
                <w:rStyle w:val="IndexLink"/>
              </w:rPr>
              <w:t>310</w:t>
            </w:r>
          </w:hyperlink>
        </w:p>
        <w:p>
          <w:pPr>
            <w:pStyle w:val="Contents5"/>
            <w:tabs>
              <w:tab w:val="clear" w:pos="7892"/>
              <w:tab w:val="right" w:pos="9026" w:leader="dot"/>
            </w:tabs>
            <w:rPr/>
          </w:pPr>
          <w:hyperlink w:anchor="__RefHeading___Toc256726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وصلت الصفوف إلیٰ باب المسجد مثلًا و وقف صفّ فی خارج المسجد</w:t>
            </w:r>
            <w:r>
              <w:rPr>
                <w:rStyle w:val="IndexLink"/>
                <w:rtl w:val="true"/>
              </w:rPr>
              <w:t>]</w:t>
              <w:tab/>
            </w:r>
            <w:r>
              <w:rPr>
                <w:rStyle w:val="IndexLink"/>
              </w:rPr>
              <w:t>310</w:t>
            </w:r>
          </w:hyperlink>
        </w:p>
        <w:p>
          <w:pPr>
            <w:pStyle w:val="Contents5"/>
            <w:tabs>
              <w:tab w:val="clear" w:pos="7892"/>
              <w:tab w:val="right" w:pos="9026" w:leader="dot"/>
            </w:tabs>
            <w:rPr/>
          </w:pPr>
          <w:hyperlink w:anchor="__RefHeading___Toc256727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تجدّد الحائل أو البعد فی الأثناء فالأقویٰ کونه کالابتداء</w:t>
            </w:r>
            <w:r>
              <w:rPr>
                <w:rStyle w:val="IndexLink"/>
                <w:rtl w:val="true"/>
              </w:rPr>
              <w:t>]</w:t>
              <w:tab/>
            </w:r>
            <w:r>
              <w:rPr>
                <w:rStyle w:val="IndexLink"/>
              </w:rPr>
              <w:t>310</w:t>
            </w:r>
          </w:hyperlink>
        </w:p>
        <w:p>
          <w:pPr>
            <w:pStyle w:val="Contents5"/>
            <w:tabs>
              <w:tab w:val="clear" w:pos="7892"/>
              <w:tab w:val="right" w:pos="9026" w:leader="dot"/>
            </w:tabs>
            <w:rPr/>
          </w:pPr>
          <w:hyperlink w:anchor="__RefHeading___Toc256727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لا بأس بالحائل الغیر المستقرّ کمرور إنسان أو حیوان</w:t>
            </w:r>
            <w:r>
              <w:rPr>
                <w:rStyle w:val="IndexLink"/>
                <w:rtl w:val="true"/>
              </w:rPr>
              <w:t>]</w:t>
              <w:tab/>
            </w:r>
            <w:r>
              <w:rPr>
                <w:rStyle w:val="IndexLink"/>
              </w:rPr>
              <w:t>310</w:t>
            </w:r>
          </w:hyperlink>
        </w:p>
        <w:p>
          <w:pPr>
            <w:pStyle w:val="Contents5"/>
            <w:tabs>
              <w:tab w:val="clear" w:pos="7892"/>
              <w:tab w:val="right" w:pos="9026" w:leader="dot"/>
            </w:tabs>
            <w:rPr/>
          </w:pPr>
          <w:hyperlink w:anchor="__RefHeading___Toc256727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انتهت صلاة الصفّ المتقدّم یشکل اقتداء المتأخّر</w:t>
            </w:r>
            <w:r>
              <w:rPr>
                <w:rStyle w:val="IndexLink"/>
                <w:rtl w:val="true"/>
              </w:rPr>
              <w:t>]</w:t>
              <w:tab/>
            </w:r>
            <w:r>
              <w:rPr>
                <w:rStyle w:val="IndexLink"/>
              </w:rPr>
              <w:t>310</w:t>
            </w:r>
          </w:hyperlink>
        </w:p>
        <w:p>
          <w:pPr>
            <w:pStyle w:val="Contents5"/>
            <w:tabs>
              <w:tab w:val="clear" w:pos="7892"/>
              <w:tab w:val="right" w:pos="9026" w:leader="dot"/>
            </w:tabs>
            <w:rPr/>
          </w:pPr>
          <w:hyperlink w:anchor="__RefHeading___Toc256727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علم ببطلان الصفّ المتقدّم تبطل جماعة المتأخّر من جهة الفصل</w:t>
            </w:r>
            <w:r>
              <w:rPr>
                <w:rStyle w:val="IndexLink"/>
                <w:rtl w:val="true"/>
              </w:rPr>
              <w:t>]</w:t>
              <w:tab/>
            </w:r>
            <w:r>
              <w:rPr>
                <w:rStyle w:val="IndexLink"/>
              </w:rPr>
              <w:t>310</w:t>
            </w:r>
          </w:hyperlink>
        </w:p>
        <w:p>
          <w:pPr>
            <w:pStyle w:val="Contents5"/>
            <w:tabs>
              <w:tab w:val="clear" w:pos="7892"/>
              <w:tab w:val="right" w:pos="9026" w:leader="dot"/>
            </w:tabs>
            <w:rPr/>
          </w:pPr>
          <w:hyperlink w:anchor="__RefHeading___Toc256727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یجوز لأهل الصفّ المتأخّر الإحرام قبل إحرام المتقدّم إذا کانوا قائمین متهیّئین</w:t>
            </w:r>
            <w:r>
              <w:rPr>
                <w:rStyle w:val="IndexLink"/>
                <w:rtl w:val="true"/>
              </w:rPr>
              <w:t>]</w:t>
              <w:tab/>
            </w:r>
            <w:r>
              <w:rPr>
                <w:rStyle w:val="IndexLink"/>
              </w:rPr>
              <w:t>311</w:t>
            </w:r>
          </w:hyperlink>
        </w:p>
        <w:p>
          <w:pPr>
            <w:pStyle w:val="Contents4"/>
            <w:tabs>
              <w:tab w:val="clear" w:pos="8176"/>
              <w:tab w:val="right" w:pos="9026" w:leader="dot"/>
            </w:tabs>
            <w:rPr/>
          </w:pPr>
          <w:hyperlink w:anchor="__RefHeading___Toc2567280_3650668749">
            <w:r>
              <w:rPr>
                <w:webHidden/>
                <w:rStyle w:val="IndexLink"/>
                <w:rtl w:val="true"/>
              </w:rPr>
              <w:t>[</w:t>
            </w:r>
            <w:r>
              <w:rPr>
                <w:rStyle w:val="IndexLink"/>
                <w:rtl w:val="true"/>
              </w:rPr>
              <w:t>القول فی أحکام الجماعة</w:t>
            </w:r>
            <w:r>
              <w:rPr>
                <w:rStyle w:val="IndexLink"/>
                <w:rtl w:val="true"/>
              </w:rPr>
              <w:t>]</w:t>
              <w:tab/>
            </w:r>
            <w:r>
              <w:rPr>
                <w:rStyle w:val="IndexLink"/>
              </w:rPr>
              <w:t>311</w:t>
            </w:r>
          </w:hyperlink>
        </w:p>
        <w:p>
          <w:pPr>
            <w:pStyle w:val="Contents5"/>
            <w:tabs>
              <w:tab w:val="clear" w:pos="7892"/>
              <w:tab w:val="right" w:pos="9026" w:leader="dot"/>
            </w:tabs>
            <w:rPr/>
          </w:pPr>
          <w:hyperlink w:anchor="__RefHeading___Toc2567282_3650668749">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256728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فرق بین کون عدم السماع للبعد أو لکثرة الأصوات أو للصمم أو لغیر ذلک</w:t>
            </w:r>
            <w:r>
              <w:rPr>
                <w:rStyle w:val="IndexLink"/>
                <w:rtl w:val="true"/>
              </w:rPr>
              <w:t>]</w:t>
              <w:tab/>
            </w:r>
            <w:r>
              <w:rPr>
                <w:rStyle w:val="IndexLink"/>
              </w:rPr>
              <w:t>311</w:t>
            </w:r>
          </w:hyperlink>
        </w:p>
        <w:p>
          <w:pPr>
            <w:pStyle w:val="Contents5"/>
            <w:tabs>
              <w:tab w:val="clear" w:pos="7892"/>
              <w:tab w:val="right" w:pos="9026" w:leader="dot"/>
            </w:tabs>
            <w:rPr/>
          </w:pPr>
          <w:hyperlink w:anchor="__RefHeading___Toc256728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سمع بعض قراءة الإمام دون البعض فالأحوط ترک القراءة مطلقاً</w:t>
            </w:r>
            <w:r>
              <w:rPr>
                <w:rStyle w:val="IndexLink"/>
                <w:rtl w:val="true"/>
              </w:rPr>
              <w:t>]</w:t>
              <w:tab/>
            </w:r>
            <w:r>
              <w:rPr>
                <w:rStyle w:val="IndexLink"/>
              </w:rPr>
              <w:t>311</w:t>
            </w:r>
          </w:hyperlink>
        </w:p>
        <w:p>
          <w:pPr>
            <w:pStyle w:val="Contents5"/>
            <w:tabs>
              <w:tab w:val="clear" w:pos="7892"/>
              <w:tab w:val="right" w:pos="9026" w:leader="dot"/>
            </w:tabs>
            <w:rPr/>
          </w:pPr>
          <w:hyperlink w:anchor="__RefHeading___Toc256728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شکّ فی السماع و عدمه أو أنّ المسموع صوت الإمام أو غیره</w:t>
            </w:r>
            <w:r>
              <w:rPr>
                <w:rStyle w:val="IndexLink"/>
                <w:rtl w:val="true"/>
              </w:rPr>
              <w:t>]</w:t>
              <w:tab/>
            </w:r>
            <w:r>
              <w:rPr>
                <w:rStyle w:val="IndexLink"/>
              </w:rPr>
              <w:t>311</w:t>
            </w:r>
          </w:hyperlink>
        </w:p>
        <w:p>
          <w:pPr>
            <w:pStyle w:val="Contents5"/>
            <w:tabs>
              <w:tab w:val="clear" w:pos="7892"/>
              <w:tab w:val="right" w:pos="9026" w:leader="dot"/>
            </w:tabs>
            <w:rPr/>
          </w:pPr>
          <w:hyperlink w:anchor="__RefHeading___Toc256729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لا یجب علی المأموم الطمأنینة حال قراءة الإمام و إن کان الأحوط ذلک</w:t>
            </w:r>
            <w:r>
              <w:rPr>
                <w:rStyle w:val="IndexLink"/>
                <w:rtl w:val="true"/>
              </w:rPr>
              <w:t>]</w:t>
              <w:tab/>
            </w:r>
            <w:r>
              <w:rPr>
                <w:rStyle w:val="IndexLink"/>
              </w:rPr>
              <w:t>311</w:t>
            </w:r>
          </w:hyperlink>
        </w:p>
        <w:p>
          <w:pPr>
            <w:pStyle w:val="Contents5"/>
            <w:tabs>
              <w:tab w:val="clear" w:pos="7892"/>
              <w:tab w:val="right" w:pos="9026" w:leader="dot"/>
            </w:tabs>
            <w:rPr/>
          </w:pPr>
          <w:hyperlink w:anchor="__RefHeading___Toc256729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یتحمّل الإمام عن المأموم شیئاً غیر القراءة فی الأُولیین إذا ائتمّ به فیهما</w:t>
            </w:r>
            <w:r>
              <w:rPr>
                <w:rStyle w:val="IndexLink"/>
                <w:rtl w:val="true"/>
              </w:rPr>
              <w:t>]</w:t>
              <w:tab/>
            </w:r>
            <w:r>
              <w:rPr>
                <w:rStyle w:val="IndexLink"/>
              </w:rPr>
              <w:t>311</w:t>
            </w:r>
          </w:hyperlink>
        </w:p>
        <w:p>
          <w:pPr>
            <w:pStyle w:val="Contents5"/>
            <w:tabs>
              <w:tab w:val="clear" w:pos="7892"/>
              <w:tab w:val="right" w:pos="9026" w:leader="dot"/>
            </w:tabs>
            <w:rPr/>
          </w:pPr>
          <w:hyperlink w:anchor="__RefHeading___Toc2567294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أدرک الإمام فی الرکعة الثانیة، تحمّل عنه القراءة فیها و یتابع الإمام فی القنوت و التشهّد</w:t>
            </w:r>
            <w:r>
              <w:rPr>
                <w:rStyle w:val="IndexLink"/>
                <w:rtl w:val="true"/>
              </w:rPr>
              <w:t>]</w:t>
              <w:tab/>
            </w:r>
            <w:r>
              <w:rPr>
                <w:rStyle w:val="IndexLink"/>
              </w:rPr>
              <w:t>312</w:t>
            </w:r>
          </w:hyperlink>
        </w:p>
        <w:p>
          <w:pPr>
            <w:pStyle w:val="Contents5"/>
            <w:tabs>
              <w:tab w:val="clear" w:pos="7892"/>
              <w:tab w:val="right" w:pos="9026" w:leader="dot"/>
            </w:tabs>
            <w:rPr/>
          </w:pPr>
          <w:hyperlink w:anchor="__RefHeading___Toc2567296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قرأ المأموم خلف الإمام وجوباً کما إذا کان مسبوقاً برکعة أو رکعتین، أو استحباباً</w:t>
            </w:r>
            <w:r>
              <w:rPr>
                <w:rStyle w:val="IndexLink"/>
                <w:rtl w:val="true"/>
              </w:rPr>
              <w:t>]</w:t>
              <w:tab/>
            </w:r>
            <w:r>
              <w:rPr>
                <w:rStyle w:val="IndexLink"/>
              </w:rPr>
              <w:t>312</w:t>
            </w:r>
          </w:hyperlink>
        </w:p>
        <w:p>
          <w:pPr>
            <w:pStyle w:val="Contents5"/>
            <w:tabs>
              <w:tab w:val="clear" w:pos="7892"/>
              <w:tab w:val="right" w:pos="9026" w:leader="dot"/>
            </w:tabs>
            <w:rPr/>
          </w:pPr>
          <w:hyperlink w:anchor="__RefHeading___Toc2567298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أدرک الإمام فی الأخیرتین فدخل فی الصلاة معه قبل رکوعه وجب علیه القراءة</w:t>
            </w:r>
            <w:r>
              <w:rPr>
                <w:rStyle w:val="IndexLink"/>
                <w:rtl w:val="true"/>
              </w:rPr>
              <w:t>]</w:t>
              <w:tab/>
            </w:r>
            <w:r>
              <w:rPr>
                <w:rStyle w:val="IndexLink"/>
              </w:rPr>
              <w:t>312</w:t>
            </w:r>
          </w:hyperlink>
        </w:p>
        <w:p>
          <w:pPr>
            <w:pStyle w:val="Contents5"/>
            <w:tabs>
              <w:tab w:val="clear" w:pos="7892"/>
              <w:tab w:val="right" w:pos="9026" w:leader="dot"/>
            </w:tabs>
            <w:rPr/>
          </w:pPr>
          <w:hyperlink w:anchor="__RefHeading___Toc2567300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یجب متابعة المأموم للإمام فی الأفعال</w:t>
            </w:r>
            <w:r>
              <w:rPr>
                <w:rStyle w:val="IndexLink"/>
                <w:rtl w:val="true"/>
              </w:rPr>
              <w:t>]</w:t>
              <w:tab/>
            </w:r>
            <w:r>
              <w:rPr>
                <w:rStyle w:val="IndexLink"/>
              </w:rPr>
              <w:t>312</w:t>
            </w:r>
          </w:hyperlink>
        </w:p>
        <w:p>
          <w:pPr>
            <w:pStyle w:val="Contents5"/>
            <w:tabs>
              <w:tab w:val="clear" w:pos="7892"/>
              <w:tab w:val="right" w:pos="9026" w:leader="dot"/>
            </w:tabs>
            <w:rPr/>
          </w:pPr>
          <w:hyperlink w:anchor="__RefHeading___Toc2567302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لو أحرم قبل الإمام سهواً أو بزعم أنّه قد کبّر کان منفرداً</w:t>
            </w:r>
            <w:r>
              <w:rPr>
                <w:rStyle w:val="IndexLink"/>
                <w:rtl w:val="true"/>
              </w:rPr>
              <w:t>]</w:t>
              <w:tab/>
            </w:r>
            <w:r>
              <w:rPr>
                <w:rStyle w:val="IndexLink"/>
              </w:rPr>
              <w:t>312</w:t>
            </w:r>
          </w:hyperlink>
        </w:p>
        <w:p>
          <w:pPr>
            <w:pStyle w:val="Contents5"/>
            <w:tabs>
              <w:tab w:val="clear" w:pos="7892"/>
              <w:tab w:val="right" w:pos="9026" w:leader="dot"/>
            </w:tabs>
            <w:rPr/>
          </w:pPr>
          <w:hyperlink w:anchor="__RefHeading___Toc2567304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إذا رفع رأسه من الرکوع أو السجود قبل الإمام سهواً</w:t>
            </w:r>
            <w:r>
              <w:rPr>
                <w:rStyle w:val="IndexLink"/>
                <w:rtl w:val="true"/>
              </w:rPr>
              <w:t>]</w:t>
              <w:tab/>
            </w:r>
            <w:r>
              <w:rPr>
                <w:rStyle w:val="IndexLink"/>
              </w:rPr>
              <w:t>312</w:t>
            </w:r>
          </w:hyperlink>
        </w:p>
        <w:p>
          <w:pPr>
            <w:pStyle w:val="Contents5"/>
            <w:tabs>
              <w:tab w:val="clear" w:pos="7892"/>
              <w:tab w:val="right" w:pos="9026" w:leader="dot"/>
            </w:tabs>
            <w:rPr/>
          </w:pPr>
          <w:hyperlink w:anchor="__RefHeading___Toc2567306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لو رفع رأسه من الرکوع قبل الإمام سهواً ثمّ عاد إلیه للمتابعة</w:t>
            </w:r>
            <w:r>
              <w:rPr>
                <w:rStyle w:val="IndexLink"/>
                <w:rtl w:val="true"/>
              </w:rPr>
              <w:t>]</w:t>
              <w:tab/>
            </w:r>
            <w:r>
              <w:rPr>
                <w:rStyle w:val="IndexLink"/>
              </w:rPr>
              <w:t>313</w:t>
            </w:r>
          </w:hyperlink>
        </w:p>
        <w:p>
          <w:pPr>
            <w:pStyle w:val="Contents5"/>
            <w:tabs>
              <w:tab w:val="clear" w:pos="7892"/>
              <w:tab w:val="right" w:pos="9026" w:leader="dot"/>
            </w:tabs>
            <w:rPr/>
          </w:pPr>
          <w:hyperlink w:anchor="__RefHeading___Toc2567308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لو رفع رأسه من السجود فرأی الإمام فی السجدة فتخیّل أنّها الاولیٰ فعاد إلیها بقصد المتابعة فبان کونها الثانیة</w:t>
            </w:r>
            <w:r>
              <w:rPr>
                <w:rStyle w:val="IndexLink"/>
                <w:rtl w:val="true"/>
              </w:rPr>
              <w:t>]</w:t>
              <w:tab/>
            </w:r>
            <w:r>
              <w:rPr>
                <w:rStyle w:val="IndexLink"/>
              </w:rPr>
              <w:t>313</w:t>
            </w:r>
          </w:hyperlink>
        </w:p>
        <w:p>
          <w:pPr>
            <w:pStyle w:val="Contents5"/>
            <w:tabs>
              <w:tab w:val="clear" w:pos="7892"/>
              <w:tab w:val="right" w:pos="9026" w:leader="dot"/>
            </w:tabs>
            <w:rPr/>
          </w:pPr>
          <w:hyperlink w:anchor="__RefHeading___Toc2567310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إذا رکع أو سجد قبل الإمام عمداً لا یجوز له المتابعة</w:t>
            </w:r>
            <w:r>
              <w:rPr>
                <w:rStyle w:val="IndexLink"/>
                <w:rtl w:val="true"/>
              </w:rPr>
              <w:t>]</w:t>
              <w:tab/>
            </w:r>
            <w:r>
              <w:rPr>
                <w:rStyle w:val="IndexLink"/>
              </w:rPr>
              <w:t>313</w:t>
            </w:r>
          </w:hyperlink>
        </w:p>
        <w:p>
          <w:pPr>
            <w:pStyle w:val="Contents5"/>
            <w:tabs>
              <w:tab w:val="clear" w:pos="7892"/>
              <w:tab w:val="right" w:pos="9026" w:leader="dot"/>
            </w:tabs>
            <w:rPr/>
          </w:pPr>
          <w:hyperlink w:anchor="__RefHeading___Toc2567312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إذا کان مشتغلًا بالنافلة فأُقیمت الجماعة و خاف عدم إدراکها جاز</w:t>
            </w:r>
            <w:r>
              <w:rPr>
                <w:rStyle w:val="IndexLink"/>
                <w:rtl w:val="true"/>
              </w:rPr>
              <w:t>]</w:t>
              <w:tab/>
            </w:r>
            <w:r>
              <w:rPr>
                <w:rStyle w:val="IndexLink"/>
              </w:rPr>
              <w:t>313</w:t>
            </w:r>
          </w:hyperlink>
        </w:p>
        <w:p>
          <w:pPr>
            <w:pStyle w:val="Contents4"/>
            <w:tabs>
              <w:tab w:val="clear" w:pos="8176"/>
              <w:tab w:val="right" w:pos="9026" w:leader="dot"/>
            </w:tabs>
            <w:rPr/>
          </w:pPr>
          <w:hyperlink w:anchor="__RefHeading___Toc2567314_3650668749">
            <w:r>
              <w:rPr>
                <w:webHidden/>
                <w:rStyle w:val="IndexLink"/>
                <w:rtl w:val="true"/>
              </w:rPr>
              <w:t>[</w:t>
            </w:r>
            <w:r>
              <w:rPr>
                <w:rStyle w:val="IndexLink"/>
                <w:rtl w:val="true"/>
              </w:rPr>
              <w:t>القول فی شرائط إمام الجماعة</w:t>
            </w:r>
            <w:r>
              <w:rPr>
                <w:rStyle w:val="IndexLink"/>
                <w:rtl w:val="true"/>
              </w:rPr>
              <w:t>]</w:t>
              <w:tab/>
            </w:r>
            <w:r>
              <w:rPr>
                <w:rStyle w:val="IndexLink"/>
              </w:rPr>
              <w:t>314</w:t>
            </w:r>
          </w:hyperlink>
        </w:p>
        <w:p>
          <w:pPr>
            <w:pStyle w:val="Contents5"/>
            <w:tabs>
              <w:tab w:val="clear" w:pos="7892"/>
              <w:tab w:val="right" w:pos="9026" w:leader="dot"/>
            </w:tabs>
            <w:rPr/>
          </w:pPr>
          <w:hyperlink w:anchor="__RefHeading___Toc2567316_3650668749">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256731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الإصرار الموجب لدخول الصغیرة فی الکبیرة هو المداومة و الملازمة علی المعصیة من دون تخلّل التوبة</w:t>
            </w:r>
            <w:r>
              <w:rPr>
                <w:rStyle w:val="IndexLink"/>
                <w:rtl w:val="true"/>
              </w:rPr>
              <w:t>]</w:t>
              <w:tab/>
            </w:r>
            <w:r>
              <w:rPr>
                <w:rStyle w:val="IndexLink"/>
              </w:rPr>
              <w:t>315</w:t>
            </w:r>
          </w:hyperlink>
        </w:p>
        <w:p>
          <w:pPr>
            <w:pStyle w:val="Contents5"/>
            <w:tabs>
              <w:tab w:val="clear" w:pos="7892"/>
              <w:tab w:val="right" w:pos="9026" w:leader="dot"/>
            </w:tabs>
            <w:rPr/>
          </w:pPr>
          <w:hyperlink w:anchor="__RefHeading___Toc256732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الأقویٰ جواز تصدّی الإمامة لمن یعرف نفسه بعدم العدالة مع اعتقاد المأمومین عدالته</w:t>
            </w:r>
            <w:r>
              <w:rPr>
                <w:rStyle w:val="IndexLink"/>
                <w:rtl w:val="true"/>
              </w:rPr>
              <w:t>]</w:t>
              <w:tab/>
            </w:r>
            <w:r>
              <w:rPr>
                <w:rStyle w:val="IndexLink"/>
              </w:rPr>
              <w:t>315</w:t>
            </w:r>
          </w:hyperlink>
        </w:p>
        <w:p>
          <w:pPr>
            <w:pStyle w:val="Contents5"/>
            <w:tabs>
              <w:tab w:val="clear" w:pos="7892"/>
              <w:tab w:val="right" w:pos="9026" w:leader="dot"/>
            </w:tabs>
            <w:rPr/>
          </w:pPr>
          <w:hyperlink w:anchor="__RefHeading___Toc256732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تثبت عدالة الإمام بالبیّنة و الشیاع الموجب للاطمئنان</w:t>
            </w:r>
            <w:r>
              <w:rPr>
                <w:rStyle w:val="IndexLink"/>
                <w:rtl w:val="true"/>
              </w:rPr>
              <w:t>]</w:t>
              <w:tab/>
            </w:r>
            <w:r>
              <w:rPr>
                <w:rStyle w:val="IndexLink"/>
              </w:rPr>
              <w:t>315</w:t>
            </w:r>
          </w:hyperlink>
        </w:p>
        <w:p>
          <w:pPr>
            <w:pStyle w:val="Contents5"/>
            <w:tabs>
              <w:tab w:val="clear" w:pos="7892"/>
              <w:tab w:val="right" w:pos="9026" w:leader="dot"/>
            </w:tabs>
            <w:rPr/>
          </w:pPr>
          <w:hyperlink w:anchor="__RefHeading___Toc256732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لا یجوز إمامة القاعد للقائمین و لا المضطجع للقاعدین</w:t>
            </w:r>
            <w:r>
              <w:rPr>
                <w:rStyle w:val="IndexLink"/>
                <w:rtl w:val="true"/>
              </w:rPr>
              <w:t>]</w:t>
              <w:tab/>
            </w:r>
            <w:r>
              <w:rPr>
                <w:rStyle w:val="IndexLink"/>
              </w:rPr>
              <w:t>315</w:t>
            </w:r>
          </w:hyperlink>
        </w:p>
        <w:p>
          <w:pPr>
            <w:pStyle w:val="Contents5"/>
            <w:tabs>
              <w:tab w:val="clear" w:pos="7892"/>
              <w:tab w:val="right" w:pos="9026" w:leader="dot"/>
            </w:tabs>
            <w:rPr/>
          </w:pPr>
          <w:hyperlink w:anchor="__RefHeading___Toc256732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بأس بإمامة القاعد للقاعد و المضطجع لمثله</w:t>
            </w:r>
            <w:r>
              <w:rPr>
                <w:rStyle w:val="IndexLink"/>
                <w:rtl w:val="true"/>
              </w:rPr>
              <w:t>]</w:t>
              <w:tab/>
            </w:r>
            <w:r>
              <w:rPr>
                <w:rStyle w:val="IndexLink"/>
              </w:rPr>
              <w:t>315</w:t>
            </w:r>
          </w:hyperlink>
        </w:p>
        <w:p>
          <w:pPr>
            <w:pStyle w:val="Contents5"/>
            <w:tabs>
              <w:tab w:val="clear" w:pos="7892"/>
              <w:tab w:val="right" w:pos="9026" w:leader="dot"/>
            </w:tabs>
            <w:rPr/>
          </w:pPr>
          <w:hyperlink w:anchor="__RefHeading___Toc256732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اختلف الإمام مع المأموم فی المسائل المتعلّقة بالصلاة</w:t>
            </w:r>
            <w:r>
              <w:rPr>
                <w:rStyle w:val="IndexLink"/>
                <w:rtl w:val="true"/>
              </w:rPr>
              <w:t>]</w:t>
              <w:tab/>
            </w:r>
            <w:r>
              <w:rPr>
                <w:rStyle w:val="IndexLink"/>
              </w:rPr>
              <w:t>316</w:t>
            </w:r>
          </w:hyperlink>
        </w:p>
        <w:p>
          <w:pPr>
            <w:pStyle w:val="Contents5"/>
            <w:tabs>
              <w:tab w:val="clear" w:pos="7892"/>
              <w:tab w:val="right" w:pos="9026" w:leader="dot"/>
            </w:tabs>
            <w:rPr/>
          </w:pPr>
          <w:hyperlink w:anchor="__RefHeading___Toc2567330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دخل الإمام فی الصلاة معتقداً دخول الوقت و المأموم معتقد عدمه أو شاکّ فیه</w:t>
            </w:r>
            <w:r>
              <w:rPr>
                <w:rStyle w:val="IndexLink"/>
                <w:rtl w:val="true"/>
              </w:rPr>
              <w:t>]</w:t>
              <w:tab/>
            </w:r>
            <w:r>
              <w:rPr>
                <w:rStyle w:val="IndexLink"/>
              </w:rPr>
              <w:t>316</w:t>
            </w:r>
          </w:hyperlink>
        </w:p>
        <w:p>
          <w:pPr>
            <w:pStyle w:val="Contents5"/>
            <w:tabs>
              <w:tab w:val="clear" w:pos="7892"/>
              <w:tab w:val="right" w:pos="9026" w:leader="dot"/>
            </w:tabs>
            <w:rPr/>
          </w:pPr>
          <w:hyperlink w:anchor="__RefHeading___Toc2567332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تشاحّ الأئمّة لا لغرض دنیوی یقدح فی العدالة یرجّح من قدّمه المأمومون</w:t>
            </w:r>
            <w:r>
              <w:rPr>
                <w:rStyle w:val="IndexLink"/>
                <w:rtl w:val="true"/>
              </w:rPr>
              <w:t>]</w:t>
              <w:tab/>
            </w:r>
            <w:r>
              <w:rPr>
                <w:rStyle w:val="IndexLink"/>
              </w:rPr>
              <w:t>316</w:t>
            </w:r>
          </w:hyperlink>
        </w:p>
        <w:p>
          <w:pPr>
            <w:pStyle w:val="Contents5"/>
            <w:tabs>
              <w:tab w:val="clear" w:pos="7892"/>
              <w:tab w:val="right" w:pos="9026" w:leader="dot"/>
            </w:tabs>
            <w:rPr/>
          </w:pPr>
          <w:hyperlink w:anchor="__RefHeading___Toc2567334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یکره إمامة الأجذم و الأبرص</w:t>
            </w:r>
            <w:r>
              <w:rPr>
                <w:rStyle w:val="IndexLink"/>
                <w:rtl w:val="true"/>
              </w:rPr>
              <w:t>]</w:t>
              <w:tab/>
            </w:r>
            <w:r>
              <w:rPr>
                <w:rStyle w:val="IndexLink"/>
              </w:rPr>
              <w:t>317</w:t>
            </w:r>
          </w:hyperlink>
        </w:p>
        <w:p>
          <w:pPr>
            <w:pStyle w:val="Contents5"/>
            <w:tabs>
              <w:tab w:val="clear" w:pos="7892"/>
              <w:tab w:val="right" w:pos="9026" w:leader="dot"/>
            </w:tabs>
            <w:rPr/>
          </w:pPr>
          <w:hyperlink w:anchor="__RefHeading___Toc2567336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إذا علم المأموم بطلان صلاة الإمام من جهة کونه محدثاً</w:t>
            </w:r>
            <w:r>
              <w:rPr>
                <w:rStyle w:val="IndexLink"/>
                <w:rtl w:val="true"/>
              </w:rPr>
              <w:t>]</w:t>
              <w:tab/>
            </w:r>
            <w:r>
              <w:rPr>
                <w:rStyle w:val="IndexLink"/>
              </w:rPr>
              <w:t>317</w:t>
            </w:r>
          </w:hyperlink>
        </w:p>
        <w:p>
          <w:pPr>
            <w:pStyle w:val="Contents5"/>
            <w:tabs>
              <w:tab w:val="clear" w:pos="7892"/>
              <w:tab w:val="right" w:pos="9026" w:leader="dot"/>
            </w:tabs>
            <w:rPr/>
          </w:pPr>
          <w:hyperlink w:anchor="__RefHeading___Toc2567338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إذا رأی المأموم فی ثوب الإمام نجاسة غیر معفوّ عنها</w:t>
            </w:r>
            <w:r>
              <w:rPr>
                <w:rStyle w:val="IndexLink"/>
                <w:rtl w:val="true"/>
              </w:rPr>
              <w:t>]</w:t>
              <w:tab/>
            </w:r>
            <w:r>
              <w:rPr>
                <w:rStyle w:val="IndexLink"/>
              </w:rPr>
              <w:t>317</w:t>
            </w:r>
          </w:hyperlink>
        </w:p>
        <w:p>
          <w:pPr>
            <w:pStyle w:val="Contents5"/>
            <w:tabs>
              <w:tab w:val="clear" w:pos="7892"/>
              <w:tab w:val="right" w:pos="9026" w:leader="dot"/>
            </w:tabs>
            <w:rPr/>
          </w:pPr>
          <w:hyperlink w:anchor="__RefHeading___Toc2567340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إذا تبیّن بعد الصلاة کون الإمام فاسقاً أو محدثاً مثلًا</w:t>
            </w:r>
            <w:r>
              <w:rPr>
                <w:rStyle w:val="IndexLink"/>
                <w:rtl w:val="true"/>
              </w:rPr>
              <w:t>]</w:t>
              <w:tab/>
            </w:r>
            <w:r>
              <w:rPr>
                <w:rStyle w:val="IndexLink"/>
              </w:rPr>
              <w:t>317</w:t>
            </w:r>
          </w:hyperlink>
        </w:p>
        <w:p>
          <w:pPr>
            <w:pStyle w:val="Contents2"/>
            <w:tabs>
              <w:tab w:val="clear" w:pos="8743"/>
              <w:tab w:val="right" w:pos="9026" w:leader="dot"/>
            </w:tabs>
            <w:rPr/>
          </w:pPr>
          <w:hyperlink w:anchor="__RefHeading___Toc2567342_3650668749">
            <w:r>
              <w:rPr>
                <w:webHidden/>
                <w:rStyle w:val="IndexLink"/>
                <w:rtl w:val="true"/>
              </w:rPr>
              <w:t>[</w:t>
            </w:r>
            <w:r>
              <w:rPr>
                <w:rStyle w:val="IndexLink"/>
                <w:rtl w:val="true"/>
              </w:rPr>
              <w:t>کتاب الصوم</w:t>
            </w:r>
            <w:r>
              <w:rPr>
                <w:rStyle w:val="IndexLink"/>
                <w:rtl w:val="true"/>
              </w:rPr>
              <w:t>]</w:t>
              <w:tab/>
            </w:r>
            <w:r>
              <w:rPr>
                <w:rStyle w:val="IndexLink"/>
              </w:rPr>
              <w:t>318</w:t>
            </w:r>
          </w:hyperlink>
        </w:p>
        <w:p>
          <w:pPr>
            <w:pStyle w:val="Contents3"/>
            <w:tabs>
              <w:tab w:val="clear" w:pos="8459"/>
              <w:tab w:val="right" w:pos="9026" w:leader="dot"/>
            </w:tabs>
            <w:rPr/>
          </w:pPr>
          <w:hyperlink w:anchor="__RefHeading___Toc2567344_3650668749">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2567346_3650668749">
            <w:r>
              <w:rPr>
                <w:webHidden/>
                <w:rStyle w:val="IndexLink"/>
                <w:rtl w:val="true"/>
              </w:rPr>
              <w:t>[</w:t>
            </w:r>
            <w:r>
              <w:rPr>
                <w:rStyle w:val="IndexLink"/>
                <w:rtl w:val="true"/>
              </w:rPr>
              <w:t>فصل فی النیّة</w:t>
            </w:r>
            <w:r>
              <w:rPr>
                <w:rStyle w:val="IndexLink"/>
                <w:rtl w:val="true"/>
              </w:rPr>
              <w:t>]</w:t>
              <w:tab/>
            </w:r>
            <w:r>
              <w:rPr>
                <w:rStyle w:val="IndexLink"/>
              </w:rPr>
              <w:t>318</w:t>
            </w:r>
          </w:hyperlink>
        </w:p>
        <w:p>
          <w:pPr>
            <w:pStyle w:val="Contents4"/>
            <w:tabs>
              <w:tab w:val="clear" w:pos="8176"/>
              <w:tab w:val="right" w:pos="9026" w:leader="dot"/>
            </w:tabs>
            <w:rPr/>
          </w:pPr>
          <w:hyperlink w:anchor="__RefHeading___Toc2567348_3650668749">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256735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یشترط فی الصوم النیّة</w:t>
            </w:r>
            <w:r>
              <w:rPr>
                <w:rStyle w:val="IndexLink"/>
                <w:rtl w:val="true"/>
              </w:rPr>
              <w:t>]</w:t>
              <w:tab/>
            </w:r>
            <w:r>
              <w:rPr>
                <w:rStyle w:val="IndexLink"/>
              </w:rPr>
              <w:t>318</w:t>
            </w:r>
          </w:hyperlink>
        </w:p>
        <w:p>
          <w:pPr>
            <w:pStyle w:val="Contents4"/>
            <w:tabs>
              <w:tab w:val="clear" w:pos="8176"/>
              <w:tab w:val="right" w:pos="9026" w:leader="dot"/>
            </w:tabs>
            <w:rPr/>
          </w:pPr>
          <w:hyperlink w:anchor="__RefHeading___Toc256735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یعتبر فی القضاء عن الغیر نیّة النیابة و لو لم یکن فی ذمّته صوم آخر لنفسه</w:t>
            </w:r>
            <w:r>
              <w:rPr>
                <w:rStyle w:val="IndexLink"/>
                <w:rtl w:val="true"/>
              </w:rPr>
              <w:t>]</w:t>
              <w:tab/>
            </w:r>
            <w:r>
              <w:rPr>
                <w:rStyle w:val="IndexLink"/>
              </w:rPr>
              <w:t>318</w:t>
            </w:r>
          </w:hyperlink>
        </w:p>
        <w:p>
          <w:pPr>
            <w:pStyle w:val="Contents4"/>
            <w:tabs>
              <w:tab w:val="clear" w:pos="8176"/>
              <w:tab w:val="right" w:pos="9026" w:leader="dot"/>
            </w:tabs>
            <w:rPr/>
          </w:pPr>
          <w:hyperlink w:anchor="__RefHeading___Toc256735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یقع فی شهر رمضان صوم غیره واجباً کان أو ندباً</w:t>
            </w:r>
            <w:r>
              <w:rPr>
                <w:rStyle w:val="IndexLink"/>
                <w:rtl w:val="true"/>
              </w:rPr>
              <w:t>]</w:t>
              <w:tab/>
            </w:r>
            <w:r>
              <w:rPr>
                <w:rStyle w:val="IndexLink"/>
              </w:rPr>
              <w:t>318</w:t>
            </w:r>
          </w:hyperlink>
        </w:p>
        <w:p>
          <w:pPr>
            <w:pStyle w:val="Contents4"/>
            <w:tabs>
              <w:tab w:val="clear" w:pos="8176"/>
              <w:tab w:val="right" w:pos="9026" w:leader="dot"/>
            </w:tabs>
            <w:rPr/>
          </w:pPr>
          <w:hyperlink w:anchor="__RefHeading___Toc256735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محلّ النیّة فی الواجب المعیّن رمضاناً کان أو غیره مع التنبّه المقارنة لطلوع الفجر الصادق</w:t>
            </w:r>
            <w:r>
              <w:rPr>
                <w:rStyle w:val="IndexLink"/>
                <w:rtl w:val="true"/>
              </w:rPr>
              <w:t>]</w:t>
              <w:tab/>
            </w:r>
            <w:r>
              <w:rPr>
                <w:rStyle w:val="IndexLink"/>
              </w:rPr>
              <w:t>319</w:t>
            </w:r>
          </w:hyperlink>
        </w:p>
        <w:p>
          <w:pPr>
            <w:pStyle w:val="Contents4"/>
            <w:tabs>
              <w:tab w:val="clear" w:pos="8176"/>
              <w:tab w:val="right" w:pos="9026" w:leader="dot"/>
            </w:tabs>
            <w:rPr/>
          </w:pPr>
          <w:hyperlink w:anchor="__RefHeading___Toc256735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یوم الشکّ فی أنّه من شعبان أو رمضان یبنیٰ علیٰ أنّه من شعبان فلا یجب صومه</w:t>
            </w:r>
            <w:r>
              <w:rPr>
                <w:rStyle w:val="IndexLink"/>
                <w:rtl w:val="true"/>
              </w:rPr>
              <w:t>]</w:t>
              <w:tab/>
            </w:r>
            <w:r>
              <w:rPr>
                <w:rStyle w:val="IndexLink"/>
              </w:rPr>
              <w:t>319</w:t>
            </w:r>
          </w:hyperlink>
        </w:p>
        <w:p>
          <w:pPr>
            <w:pStyle w:val="Contents4"/>
            <w:tabs>
              <w:tab w:val="clear" w:pos="8176"/>
              <w:tab w:val="right" w:pos="9026" w:leader="dot"/>
            </w:tabs>
            <w:rPr/>
          </w:pPr>
          <w:hyperlink w:anchor="__RefHeading___Toc256736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کان فی یوم الشکّ بانیاً علی الإفطار، ثمّ ظهر فی أثناء النهار أنّه من شهر رمضان</w:t>
            </w:r>
            <w:r>
              <w:rPr>
                <w:rStyle w:val="IndexLink"/>
                <w:rtl w:val="true"/>
              </w:rPr>
              <w:t>]</w:t>
              <w:tab/>
            </w:r>
            <w:r>
              <w:rPr>
                <w:rStyle w:val="IndexLink"/>
              </w:rPr>
              <w:t>319</w:t>
            </w:r>
          </w:hyperlink>
        </w:p>
        <w:p>
          <w:pPr>
            <w:pStyle w:val="Contents4"/>
            <w:tabs>
              <w:tab w:val="clear" w:pos="8176"/>
              <w:tab w:val="right" w:pos="9026" w:leader="dot"/>
            </w:tabs>
            <w:rPr/>
          </w:pPr>
          <w:hyperlink w:anchor="__RefHeading___Toc256736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صام یوم الشکّ بنیّة أنّه من شعبان ثمّ تناول المفطر نسیاناً و تبیّن بعد ذلک</w:t>
            </w:r>
            <w:r>
              <w:rPr>
                <w:rStyle w:val="IndexLink"/>
                <w:rtl w:val="true"/>
              </w:rPr>
              <w:t>]</w:t>
              <w:tab/>
            </w:r>
            <w:r>
              <w:rPr>
                <w:rStyle w:val="IndexLink"/>
              </w:rPr>
              <w:t>320</w:t>
            </w:r>
          </w:hyperlink>
        </w:p>
        <w:p>
          <w:pPr>
            <w:pStyle w:val="Contents4"/>
            <w:tabs>
              <w:tab w:val="clear" w:pos="8176"/>
              <w:tab w:val="right" w:pos="9026" w:leader="dot"/>
            </w:tabs>
            <w:rPr/>
          </w:pPr>
          <w:hyperlink w:anchor="__RefHeading___Toc256736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کما یجب النیّة فی ابتداء الصوم یجب الاستدامة علیٰ مقتضاها فی أثنائه</w:t>
            </w:r>
            <w:r>
              <w:rPr>
                <w:rStyle w:val="IndexLink"/>
                <w:rtl w:val="true"/>
              </w:rPr>
              <w:t>]</w:t>
              <w:tab/>
            </w:r>
            <w:r>
              <w:rPr>
                <w:rStyle w:val="IndexLink"/>
              </w:rPr>
              <w:t>320</w:t>
            </w:r>
          </w:hyperlink>
        </w:p>
        <w:p>
          <w:pPr>
            <w:pStyle w:val="Contents3"/>
            <w:tabs>
              <w:tab w:val="clear" w:pos="8459"/>
              <w:tab w:val="right" w:pos="9026" w:leader="dot"/>
            </w:tabs>
            <w:rPr/>
          </w:pPr>
          <w:hyperlink w:anchor="__RefHeading___Toc2567366_3650668749">
            <w:r>
              <w:rPr>
                <w:webHidden/>
                <w:rStyle w:val="IndexLink"/>
                <w:rtl w:val="true"/>
              </w:rPr>
              <w:t>[</w:t>
            </w:r>
            <w:r>
              <w:rPr>
                <w:rStyle w:val="IndexLink"/>
                <w:rtl w:val="true"/>
              </w:rPr>
              <w:t>القول فیما یجب الإمساک عنه</w:t>
            </w:r>
            <w:r>
              <w:rPr>
                <w:rStyle w:val="IndexLink"/>
                <w:rtl w:val="true"/>
              </w:rPr>
              <w:t>]</w:t>
              <w:tab/>
            </w:r>
            <w:r>
              <w:rPr>
                <w:rStyle w:val="IndexLink"/>
              </w:rPr>
              <w:t>320</w:t>
            </w:r>
          </w:hyperlink>
        </w:p>
        <w:p>
          <w:pPr>
            <w:pStyle w:val="Contents4"/>
            <w:tabs>
              <w:tab w:val="clear" w:pos="8176"/>
              <w:tab w:val="right" w:pos="9026" w:leader="dot"/>
            </w:tabs>
            <w:rPr/>
          </w:pPr>
          <w:hyperlink w:anchor="__RefHeading___Toc2567368_3650668749">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2567370_3650668749">
            <w:r>
              <w:rPr>
                <w:webHidden/>
                <w:rStyle w:val="IndexLink"/>
                <w:rtl w:val="true"/>
              </w:rPr>
              <w:t>[</w:t>
            </w:r>
            <w:r>
              <w:rPr>
                <w:rStyle w:val="IndexLink"/>
                <w:rtl w:val="true"/>
              </w:rPr>
              <w:t>الأوّل و الثانی</w:t>
            </w:r>
            <w:r>
              <w:rPr>
                <w:rStyle w:val="IndexLink"/>
                <w:rtl w:val="true"/>
              </w:rPr>
              <w:t xml:space="preserve">: </w:t>
            </w:r>
            <w:r>
              <w:rPr>
                <w:rStyle w:val="IndexLink"/>
                <w:rtl w:val="true"/>
              </w:rPr>
              <w:t>الأکل و الشرب المعتاد</w:t>
            </w:r>
            <w:r>
              <w:rPr>
                <w:rStyle w:val="IndexLink"/>
                <w:rtl w:val="true"/>
              </w:rPr>
              <w:t>]</w:t>
              <w:tab/>
            </w:r>
            <w:r>
              <w:rPr>
                <w:rStyle w:val="IndexLink"/>
              </w:rPr>
              <w:t>320</w:t>
            </w:r>
          </w:hyperlink>
        </w:p>
        <w:p>
          <w:pPr>
            <w:pStyle w:val="Contents5"/>
            <w:tabs>
              <w:tab w:val="clear" w:pos="7892"/>
              <w:tab w:val="right" w:pos="9026" w:leader="dot"/>
            </w:tabs>
            <w:rPr/>
          </w:pPr>
          <w:hyperlink w:anchor="__RefHeading___Toc2567372_3650668749">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256737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المدار علیٰ صدق الأکل و الشرب و لو کان علی النحو الغیر المتعارف</w:t>
            </w:r>
            <w:r>
              <w:rPr>
                <w:rStyle w:val="IndexLink"/>
                <w:rtl w:val="true"/>
              </w:rPr>
              <w:t>]</w:t>
              <w:tab/>
            </w:r>
            <w:r>
              <w:rPr>
                <w:rStyle w:val="IndexLink"/>
              </w:rPr>
              <w:t>320</w:t>
            </w:r>
          </w:hyperlink>
        </w:p>
        <w:p>
          <w:pPr>
            <w:pStyle w:val="Contents4"/>
            <w:tabs>
              <w:tab w:val="clear" w:pos="8176"/>
              <w:tab w:val="right" w:pos="9026" w:leader="dot"/>
            </w:tabs>
            <w:rPr/>
          </w:pPr>
          <w:hyperlink w:anchor="__RefHeading___Toc2567376_3650668749">
            <w:r>
              <w:rPr>
                <w:webHidden/>
                <w:rStyle w:val="IndexLink"/>
                <w:rtl w:val="true"/>
              </w:rPr>
              <w:t>[</w:t>
            </w:r>
            <w:r>
              <w:rPr>
                <w:rStyle w:val="IndexLink"/>
                <w:rtl w:val="true"/>
              </w:rPr>
              <w:t>الثالث</w:t>
            </w:r>
            <w:r>
              <w:rPr>
                <w:rStyle w:val="IndexLink"/>
                <w:rtl w:val="true"/>
              </w:rPr>
              <w:t xml:space="preserve">: </w:t>
            </w:r>
            <w:r>
              <w:rPr>
                <w:rStyle w:val="IndexLink"/>
                <w:rtl w:val="true"/>
              </w:rPr>
              <w:t>الجماع</w:t>
            </w:r>
            <w:r>
              <w:rPr>
                <w:rStyle w:val="IndexLink"/>
                <w:rtl w:val="true"/>
              </w:rPr>
              <w:t>]</w:t>
              <w:tab/>
            </w:r>
            <w:r>
              <w:rPr>
                <w:rStyle w:val="IndexLink"/>
              </w:rPr>
              <w:t>320</w:t>
            </w:r>
          </w:hyperlink>
        </w:p>
        <w:p>
          <w:pPr>
            <w:pStyle w:val="Contents4"/>
            <w:tabs>
              <w:tab w:val="clear" w:pos="8176"/>
              <w:tab w:val="right" w:pos="9026" w:leader="dot"/>
            </w:tabs>
            <w:rPr/>
          </w:pPr>
          <w:hyperlink w:anchor="__RefHeading___Toc2567378_3650668749">
            <w:r>
              <w:rPr>
                <w:webHidden/>
                <w:rStyle w:val="IndexLink"/>
                <w:rtl w:val="true"/>
              </w:rPr>
              <w:t>[</w:t>
            </w:r>
            <w:r>
              <w:rPr>
                <w:rStyle w:val="IndexLink"/>
                <w:rtl w:val="true"/>
              </w:rPr>
              <w:t>الرابع</w:t>
            </w:r>
            <w:r>
              <w:rPr>
                <w:rStyle w:val="IndexLink"/>
                <w:rtl w:val="true"/>
              </w:rPr>
              <w:t xml:space="preserve">: </w:t>
            </w:r>
            <w:r>
              <w:rPr>
                <w:rStyle w:val="IndexLink"/>
                <w:rtl w:val="true"/>
              </w:rPr>
              <w:t>إنزال المنیّ باستمناء</w:t>
            </w:r>
            <w:r>
              <w:rPr>
                <w:rStyle w:val="IndexLink"/>
                <w:rtl w:val="true"/>
              </w:rPr>
              <w:t>]</w:t>
              <w:tab/>
            </w:r>
            <w:r>
              <w:rPr>
                <w:rStyle w:val="IndexLink"/>
              </w:rPr>
              <w:t>321</w:t>
            </w:r>
          </w:hyperlink>
        </w:p>
        <w:p>
          <w:pPr>
            <w:pStyle w:val="Contents5"/>
            <w:tabs>
              <w:tab w:val="clear" w:pos="7892"/>
              <w:tab w:val="right" w:pos="9026" w:leader="dot"/>
            </w:tabs>
            <w:rPr/>
          </w:pPr>
          <w:hyperlink w:anchor="__RefHeading___Toc2567380_3650668749">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256738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بأس بالاستبراء</w:t>
            </w:r>
            <w:r>
              <w:rPr>
                <w:rStyle w:val="IndexLink"/>
                <w:rtl w:val="true"/>
              </w:rPr>
              <w:t>]</w:t>
              <w:tab/>
            </w:r>
            <w:r>
              <w:rPr>
                <w:rStyle w:val="IndexLink"/>
              </w:rPr>
              <w:t>321</w:t>
            </w:r>
          </w:hyperlink>
        </w:p>
        <w:p>
          <w:pPr>
            <w:pStyle w:val="Contents4"/>
            <w:tabs>
              <w:tab w:val="clear" w:pos="8176"/>
              <w:tab w:val="right" w:pos="9026" w:leader="dot"/>
            </w:tabs>
            <w:rPr/>
          </w:pPr>
          <w:hyperlink w:anchor="__RefHeading___Toc2567384_3650668749">
            <w:r>
              <w:rPr>
                <w:webHidden/>
                <w:rStyle w:val="IndexLink"/>
                <w:rtl w:val="true"/>
              </w:rPr>
              <w:t>[</w:t>
            </w:r>
            <w:r>
              <w:rPr>
                <w:rStyle w:val="IndexLink"/>
                <w:rtl w:val="true"/>
              </w:rPr>
              <w:t>الخامس</w:t>
            </w:r>
            <w:r>
              <w:rPr>
                <w:rStyle w:val="IndexLink"/>
                <w:rtl w:val="true"/>
              </w:rPr>
              <w:t xml:space="preserve">: </w:t>
            </w:r>
            <w:r>
              <w:rPr>
                <w:rStyle w:val="IndexLink"/>
                <w:rtl w:val="true"/>
              </w:rPr>
              <w:t>تعمّد البقاء علی الجنابة إلی الفجر فی شهر رمضان و قضائه</w:t>
            </w:r>
            <w:r>
              <w:rPr>
                <w:rStyle w:val="IndexLink"/>
                <w:rtl w:val="true"/>
              </w:rPr>
              <w:t>]</w:t>
              <w:tab/>
            </w:r>
            <w:r>
              <w:rPr>
                <w:rStyle w:val="IndexLink"/>
              </w:rPr>
              <w:t>321</w:t>
            </w:r>
          </w:hyperlink>
        </w:p>
        <w:p>
          <w:pPr>
            <w:pStyle w:val="Contents5"/>
            <w:tabs>
              <w:tab w:val="clear" w:pos="7892"/>
              <w:tab w:val="right" w:pos="9026" w:leader="dot"/>
            </w:tabs>
            <w:rPr/>
          </w:pPr>
          <w:hyperlink w:anchor="__RefHeading___Toc2567386_3650668749">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256738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من أحدث سبب الجنابة فی وقت لا یسع الغسل و لا التیمّم</w:t>
            </w:r>
            <w:r>
              <w:rPr>
                <w:rStyle w:val="IndexLink"/>
                <w:rtl w:val="true"/>
              </w:rPr>
              <w:t>]</w:t>
              <w:tab/>
            </w:r>
            <w:r>
              <w:rPr>
                <w:rStyle w:val="IndexLink"/>
              </w:rPr>
              <w:t>321</w:t>
            </w:r>
          </w:hyperlink>
        </w:p>
        <w:p>
          <w:pPr>
            <w:pStyle w:val="Contents5"/>
            <w:tabs>
              <w:tab w:val="clear" w:pos="7892"/>
              <w:tab w:val="right" w:pos="9026" w:leader="dot"/>
            </w:tabs>
            <w:rPr/>
          </w:pPr>
          <w:hyperlink w:anchor="__RefHeading___Toc256739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ظنّ السعة و أجنب فبان الخلاف لم یکن علیه شی‌ء إذا کان مع المراعاة</w:t>
            </w:r>
            <w:r>
              <w:rPr>
                <w:rStyle w:val="IndexLink"/>
                <w:rtl w:val="true"/>
              </w:rPr>
              <w:t>]</w:t>
              <w:tab/>
            </w:r>
            <w:r>
              <w:rPr>
                <w:rStyle w:val="IndexLink"/>
              </w:rPr>
              <w:t>322</w:t>
            </w:r>
          </w:hyperlink>
        </w:p>
        <w:p>
          <w:pPr>
            <w:pStyle w:val="Contents5"/>
            <w:tabs>
              <w:tab w:val="clear" w:pos="7892"/>
              <w:tab w:val="right" w:pos="9026" w:leader="dot"/>
            </w:tabs>
            <w:rPr/>
          </w:pPr>
          <w:hyperlink w:anchor="__RefHeading___Toc256739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کما یبطل الصوم بالبقاء علی الجنابة متعمّداً کذا یبطل بالبقاء علیٰ حدث الحیض و النفاس إلیٰ طلوع الفجر</w:t>
            </w:r>
            <w:r>
              <w:rPr>
                <w:rStyle w:val="IndexLink"/>
                <w:rtl w:val="true"/>
              </w:rPr>
              <w:t>]</w:t>
              <w:tab/>
            </w:r>
            <w:r>
              <w:rPr>
                <w:rStyle w:val="IndexLink"/>
              </w:rPr>
              <w:t>322</w:t>
            </w:r>
          </w:hyperlink>
        </w:p>
        <w:p>
          <w:pPr>
            <w:pStyle w:val="Contents5"/>
            <w:tabs>
              <w:tab w:val="clear" w:pos="7892"/>
              <w:tab w:val="right" w:pos="9026" w:leader="dot"/>
            </w:tabs>
            <w:rPr/>
          </w:pPr>
          <w:hyperlink w:anchor="__RefHeading___Toc256739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فاقد الطهورین یسقط عنه اشتراط رفع الحدث لصحّة صومه</w:t>
            </w:r>
            <w:r>
              <w:rPr>
                <w:rStyle w:val="IndexLink"/>
                <w:rtl w:val="true"/>
              </w:rPr>
              <w:t>]</w:t>
              <w:tab/>
            </w:r>
            <w:r>
              <w:rPr>
                <w:rStyle w:val="IndexLink"/>
              </w:rPr>
              <w:t>322</w:t>
            </w:r>
          </w:hyperlink>
        </w:p>
        <w:p>
          <w:pPr>
            <w:pStyle w:val="Contents5"/>
            <w:tabs>
              <w:tab w:val="clear" w:pos="7892"/>
              <w:tab w:val="right" w:pos="9026" w:leader="dot"/>
            </w:tabs>
            <w:rPr/>
          </w:pPr>
          <w:hyperlink w:anchor="__RefHeading___Toc256739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لا یشترط فی صحّة الصوم الغسل لمسّ المیّت</w:t>
            </w:r>
            <w:r>
              <w:rPr>
                <w:rStyle w:val="IndexLink"/>
                <w:rtl w:val="true"/>
              </w:rPr>
              <w:t>]</w:t>
              <w:tab/>
            </w:r>
            <w:r>
              <w:rPr>
                <w:rStyle w:val="IndexLink"/>
              </w:rPr>
              <w:t>322</w:t>
            </w:r>
          </w:hyperlink>
        </w:p>
        <w:p>
          <w:pPr>
            <w:pStyle w:val="Contents5"/>
            <w:tabs>
              <w:tab w:val="clear" w:pos="7892"/>
              <w:tab w:val="right" w:pos="9026" w:leader="dot"/>
            </w:tabs>
            <w:rPr/>
          </w:pPr>
          <w:hyperlink w:anchor="__RefHeading___Toc256739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من لم یتمکّن من الغسل لفقد الماء أو لغیره من أسباب التیمّم و لو لضیق الوقت</w:t>
            </w:r>
            <w:r>
              <w:rPr>
                <w:rStyle w:val="IndexLink"/>
                <w:rtl w:val="true"/>
              </w:rPr>
              <w:t>]</w:t>
              <w:tab/>
            </w:r>
            <w:r>
              <w:rPr>
                <w:rStyle w:val="IndexLink"/>
              </w:rPr>
              <w:t>322</w:t>
            </w:r>
          </w:hyperlink>
        </w:p>
        <w:p>
          <w:pPr>
            <w:pStyle w:val="Contents5"/>
            <w:tabs>
              <w:tab w:val="clear" w:pos="7892"/>
              <w:tab w:val="right" w:pos="9026" w:leader="dot"/>
            </w:tabs>
            <w:rPr/>
          </w:pPr>
          <w:hyperlink w:anchor="__RefHeading___Toc2567400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من أجنب فی اللیل فی شهر رمضان جاز له أن ینام قبل الاغتسال</w:t>
            </w:r>
            <w:r>
              <w:rPr>
                <w:rStyle w:val="IndexLink"/>
                <w:rtl w:val="true"/>
              </w:rPr>
              <w:t>]</w:t>
              <w:tab/>
            </w:r>
            <w:r>
              <w:rPr>
                <w:rStyle w:val="IndexLink"/>
              </w:rPr>
              <w:t>323</w:t>
            </w:r>
          </w:hyperlink>
        </w:p>
        <w:p>
          <w:pPr>
            <w:pStyle w:val="Contents4"/>
            <w:tabs>
              <w:tab w:val="clear" w:pos="8176"/>
              <w:tab w:val="right" w:pos="9026" w:leader="dot"/>
            </w:tabs>
            <w:rPr/>
          </w:pPr>
          <w:hyperlink w:anchor="__RefHeading___Toc2567402_3650668749">
            <w:r>
              <w:rPr>
                <w:webHidden/>
                <w:rStyle w:val="IndexLink"/>
                <w:rtl w:val="true"/>
              </w:rPr>
              <w:t>[</w:t>
            </w:r>
            <w:r>
              <w:rPr>
                <w:rStyle w:val="IndexLink"/>
                <w:rtl w:val="true"/>
              </w:rPr>
              <w:t>السادس</w:t>
            </w:r>
            <w:r>
              <w:rPr>
                <w:rStyle w:val="IndexLink"/>
                <w:rtl w:val="true"/>
              </w:rPr>
              <w:t xml:space="preserve">: </w:t>
            </w:r>
            <w:r>
              <w:rPr>
                <w:rStyle w:val="IndexLink"/>
                <w:rtl w:val="true"/>
              </w:rPr>
              <w:t xml:space="preserve">تعمّد الکذب علی اللّٰه و رسوله و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و کذا باقی الأنبیاء و الأوصیاء علی الأحوط</w:t>
            </w:r>
            <w:r>
              <w:rPr>
                <w:rStyle w:val="IndexLink"/>
                <w:rtl w:val="true"/>
              </w:rPr>
              <w:t>]</w:t>
              <w:tab/>
            </w:r>
            <w:r>
              <w:rPr>
                <w:rStyle w:val="IndexLink"/>
              </w:rPr>
              <w:t>323</w:t>
            </w:r>
          </w:hyperlink>
        </w:p>
        <w:p>
          <w:pPr>
            <w:pStyle w:val="Contents5"/>
            <w:tabs>
              <w:tab w:val="clear" w:pos="7892"/>
              <w:tab w:val="right" w:pos="9026" w:leader="dot"/>
            </w:tabs>
            <w:rPr/>
          </w:pPr>
          <w:hyperlink w:anchor="__RefHeading___Toc2567404_3650668749">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2567406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إذا قصد الصدق فبان کذباً لم یضرّ</w:t>
            </w:r>
            <w:r>
              <w:rPr>
                <w:rStyle w:val="IndexLink"/>
                <w:rtl w:val="true"/>
              </w:rPr>
              <w:t>]</w:t>
              <w:tab/>
            </w:r>
            <w:r>
              <w:rPr>
                <w:rStyle w:val="IndexLink"/>
              </w:rPr>
              <w:t>324</w:t>
            </w:r>
          </w:hyperlink>
        </w:p>
        <w:p>
          <w:pPr>
            <w:pStyle w:val="Contents5"/>
            <w:tabs>
              <w:tab w:val="clear" w:pos="7892"/>
              <w:tab w:val="right" w:pos="9026" w:leader="dot"/>
            </w:tabs>
            <w:rPr/>
          </w:pPr>
          <w:hyperlink w:anchor="__RefHeading___Toc2567408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لا فرق بین أن یکون الکذب مجعولًا له أو لغیره</w:t>
            </w:r>
            <w:r>
              <w:rPr>
                <w:rStyle w:val="IndexLink"/>
                <w:rtl w:val="true"/>
              </w:rPr>
              <w:t>]</w:t>
              <w:tab/>
            </w:r>
            <w:r>
              <w:rPr>
                <w:rStyle w:val="IndexLink"/>
              </w:rPr>
              <w:t>324</w:t>
            </w:r>
          </w:hyperlink>
        </w:p>
        <w:p>
          <w:pPr>
            <w:pStyle w:val="Contents4"/>
            <w:tabs>
              <w:tab w:val="clear" w:pos="8176"/>
              <w:tab w:val="right" w:pos="9026" w:leader="dot"/>
            </w:tabs>
            <w:rPr/>
          </w:pPr>
          <w:hyperlink w:anchor="__RefHeading___Toc2567410_3650668749">
            <w:r>
              <w:rPr>
                <w:webHidden/>
                <w:rStyle w:val="IndexLink"/>
                <w:rtl w:val="true"/>
              </w:rPr>
              <w:t>[</w:t>
            </w:r>
            <w:r>
              <w:rPr>
                <w:rStyle w:val="IndexLink"/>
                <w:rtl w:val="true"/>
              </w:rPr>
              <w:t>السابع</w:t>
            </w:r>
            <w:r>
              <w:rPr>
                <w:rStyle w:val="IndexLink"/>
                <w:rtl w:val="true"/>
              </w:rPr>
              <w:t xml:space="preserve">: </w:t>
            </w:r>
            <w:r>
              <w:rPr>
                <w:rStyle w:val="IndexLink"/>
                <w:rtl w:val="true"/>
              </w:rPr>
              <w:t>رمس الرأس فی الماء علی الأحوط و لو مع خروج البدن</w:t>
            </w:r>
            <w:r>
              <w:rPr>
                <w:rStyle w:val="IndexLink"/>
                <w:rtl w:val="true"/>
              </w:rPr>
              <w:t>]</w:t>
              <w:tab/>
            </w:r>
            <w:r>
              <w:rPr>
                <w:rStyle w:val="IndexLink"/>
              </w:rPr>
              <w:t>324</w:t>
            </w:r>
          </w:hyperlink>
        </w:p>
        <w:p>
          <w:pPr>
            <w:pStyle w:val="Contents5"/>
            <w:tabs>
              <w:tab w:val="clear" w:pos="7892"/>
              <w:tab w:val="right" w:pos="9026" w:leader="dot"/>
            </w:tabs>
            <w:rPr/>
          </w:pPr>
          <w:hyperlink w:anchor="__RefHeading___Toc2567412_3650668749">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2567414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إذا ألقیٰ نفسه فی الماء بتخیّل عدم الرمس فحصل</w:t>
            </w:r>
            <w:r>
              <w:rPr>
                <w:rStyle w:val="IndexLink"/>
                <w:rtl w:val="true"/>
              </w:rPr>
              <w:t>]</w:t>
              <w:tab/>
            </w:r>
            <w:r>
              <w:rPr>
                <w:rStyle w:val="IndexLink"/>
              </w:rPr>
              <w:t>324</w:t>
            </w:r>
          </w:hyperlink>
        </w:p>
        <w:p>
          <w:pPr>
            <w:pStyle w:val="Contents5"/>
            <w:tabs>
              <w:tab w:val="clear" w:pos="7892"/>
              <w:tab w:val="right" w:pos="9026" w:leader="dot"/>
            </w:tabs>
            <w:rPr/>
          </w:pPr>
          <w:hyperlink w:anchor="__RefHeading___Toc2567416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لو ارتمس الصائم مغتسلًا</w:t>
            </w:r>
            <w:r>
              <w:rPr>
                <w:rStyle w:val="IndexLink"/>
                <w:rtl w:val="true"/>
              </w:rPr>
              <w:t>]</w:t>
              <w:tab/>
            </w:r>
            <w:r>
              <w:rPr>
                <w:rStyle w:val="IndexLink"/>
              </w:rPr>
              <w:t>324</w:t>
            </w:r>
          </w:hyperlink>
        </w:p>
        <w:p>
          <w:pPr>
            <w:pStyle w:val="Contents4"/>
            <w:tabs>
              <w:tab w:val="clear" w:pos="8176"/>
              <w:tab w:val="right" w:pos="9026" w:leader="dot"/>
            </w:tabs>
            <w:rPr/>
          </w:pPr>
          <w:hyperlink w:anchor="__RefHeading___Toc2567418_3650668749">
            <w:r>
              <w:rPr>
                <w:webHidden/>
                <w:rStyle w:val="IndexLink"/>
                <w:rtl w:val="true"/>
              </w:rPr>
              <w:t>[</w:t>
            </w:r>
            <w:r>
              <w:rPr>
                <w:rStyle w:val="IndexLink"/>
                <w:rtl w:val="true"/>
              </w:rPr>
              <w:t>الثامن</w:t>
            </w:r>
            <w:r>
              <w:rPr>
                <w:rStyle w:val="IndexLink"/>
                <w:rtl w:val="true"/>
              </w:rPr>
              <w:t xml:space="preserve">: </w:t>
            </w:r>
            <w:r>
              <w:rPr>
                <w:rStyle w:val="IndexLink"/>
                <w:rtl w:val="true"/>
              </w:rPr>
              <w:t>إیصال الغبار الغلیظ إلی الحلق</w:t>
            </w:r>
            <w:r>
              <w:rPr>
                <w:rStyle w:val="IndexLink"/>
                <w:rtl w:val="true"/>
              </w:rPr>
              <w:t>]</w:t>
              <w:tab/>
            </w:r>
            <w:r>
              <w:rPr>
                <w:rStyle w:val="IndexLink"/>
              </w:rPr>
              <w:t>325</w:t>
            </w:r>
          </w:hyperlink>
        </w:p>
        <w:p>
          <w:pPr>
            <w:pStyle w:val="Contents4"/>
            <w:tabs>
              <w:tab w:val="clear" w:pos="8176"/>
              <w:tab w:val="right" w:pos="9026" w:leader="dot"/>
            </w:tabs>
            <w:rPr/>
          </w:pPr>
          <w:hyperlink w:anchor="__RefHeading___Toc2567420_3650668749">
            <w:r>
              <w:rPr>
                <w:webHidden/>
                <w:rStyle w:val="IndexLink"/>
                <w:rtl w:val="true"/>
              </w:rPr>
              <w:t>[</w:t>
            </w:r>
            <w:r>
              <w:rPr>
                <w:rStyle w:val="IndexLink"/>
                <w:rtl w:val="true"/>
              </w:rPr>
              <w:t>التاسع</w:t>
            </w:r>
            <w:r>
              <w:rPr>
                <w:rStyle w:val="IndexLink"/>
                <w:rtl w:val="true"/>
              </w:rPr>
              <w:t xml:space="preserve">: </w:t>
            </w:r>
            <w:r>
              <w:rPr>
                <w:rStyle w:val="IndexLink"/>
                <w:rtl w:val="true"/>
              </w:rPr>
              <w:t>الحقنة بالمائع</w:t>
            </w:r>
            <w:r>
              <w:rPr>
                <w:rStyle w:val="IndexLink"/>
                <w:rtl w:val="true"/>
              </w:rPr>
              <w:t>]</w:t>
              <w:tab/>
            </w:r>
            <w:r>
              <w:rPr>
                <w:rStyle w:val="IndexLink"/>
              </w:rPr>
              <w:t>325</w:t>
            </w:r>
          </w:hyperlink>
        </w:p>
        <w:p>
          <w:pPr>
            <w:pStyle w:val="Contents4"/>
            <w:tabs>
              <w:tab w:val="clear" w:pos="8176"/>
              <w:tab w:val="right" w:pos="9026" w:leader="dot"/>
            </w:tabs>
            <w:rPr/>
          </w:pPr>
          <w:hyperlink w:anchor="__RefHeading___Toc2567422_3650668749">
            <w:r>
              <w:rPr>
                <w:webHidden/>
                <w:rStyle w:val="IndexLink"/>
                <w:rtl w:val="true"/>
              </w:rPr>
              <w:t>[</w:t>
            </w:r>
            <w:r>
              <w:rPr>
                <w:rStyle w:val="IndexLink"/>
                <w:rtl w:val="true"/>
              </w:rPr>
              <w:t>العاشر</w:t>
            </w:r>
            <w:r>
              <w:rPr>
                <w:rStyle w:val="IndexLink"/>
                <w:rtl w:val="true"/>
              </w:rPr>
              <w:t xml:space="preserve">: </w:t>
            </w:r>
            <w:r>
              <w:rPr>
                <w:rStyle w:val="IndexLink"/>
                <w:rtl w:val="true"/>
              </w:rPr>
              <w:t>تعمّد القی‌ء</w:t>
            </w:r>
            <w:r>
              <w:rPr>
                <w:rStyle w:val="IndexLink"/>
                <w:rtl w:val="true"/>
              </w:rPr>
              <w:t>]</w:t>
              <w:tab/>
            </w:r>
            <w:r>
              <w:rPr>
                <w:rStyle w:val="IndexLink"/>
              </w:rPr>
              <w:t>325</w:t>
            </w:r>
          </w:hyperlink>
        </w:p>
        <w:p>
          <w:pPr>
            <w:pStyle w:val="Contents5"/>
            <w:tabs>
              <w:tab w:val="clear" w:pos="7892"/>
              <w:tab w:val="right" w:pos="9026" w:leader="dot"/>
            </w:tabs>
            <w:rPr/>
          </w:pPr>
          <w:hyperlink w:anchor="__RefHeading___Toc2567424_3650668749">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2567426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لو خرج بالتجشّؤ شی‌ء و وصل إلیٰ فضاء الفم</w:t>
            </w:r>
            <w:r>
              <w:rPr>
                <w:rStyle w:val="IndexLink"/>
                <w:rtl w:val="true"/>
              </w:rPr>
              <w:t>]</w:t>
              <w:tab/>
            </w:r>
            <w:r>
              <w:rPr>
                <w:rStyle w:val="IndexLink"/>
              </w:rPr>
              <w:t>325</w:t>
            </w:r>
          </w:hyperlink>
        </w:p>
        <w:p>
          <w:pPr>
            <w:pStyle w:val="Contents5"/>
            <w:tabs>
              <w:tab w:val="clear" w:pos="7892"/>
              <w:tab w:val="right" w:pos="9026" w:leader="dot"/>
            </w:tabs>
            <w:rPr/>
          </w:pPr>
          <w:hyperlink w:anchor="__RefHeading___Toc2567428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لا یفسد الصوم بابتلاع البصاق المجتمع فی الفم</w:t>
            </w:r>
            <w:r>
              <w:rPr>
                <w:rStyle w:val="IndexLink"/>
                <w:rtl w:val="true"/>
              </w:rPr>
              <w:t>]</w:t>
              <w:tab/>
            </w:r>
            <w:r>
              <w:rPr>
                <w:rStyle w:val="IndexLink"/>
              </w:rPr>
              <w:t>326</w:t>
            </w:r>
          </w:hyperlink>
        </w:p>
        <w:p>
          <w:pPr>
            <w:pStyle w:val="Contents5"/>
            <w:tabs>
              <w:tab w:val="clear" w:pos="7892"/>
              <w:tab w:val="right" w:pos="9026" w:leader="dot"/>
            </w:tabs>
            <w:rPr/>
          </w:pPr>
          <w:hyperlink w:anchor="__RefHeading___Toc2567430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کلّ ما عرفت أنّه یفسد الصوم ما عدا البقاء علی الجنابة الذی مرّ تفصیل الکلام فیه إنّما یفسده إذا وقع عن عمد</w:t>
            </w:r>
            <w:r>
              <w:rPr>
                <w:rStyle w:val="IndexLink"/>
                <w:rtl w:val="true"/>
              </w:rPr>
              <w:t>]</w:t>
              <w:tab/>
            </w:r>
            <w:r>
              <w:rPr>
                <w:rStyle w:val="IndexLink"/>
              </w:rPr>
              <w:t>326</w:t>
            </w:r>
          </w:hyperlink>
        </w:p>
        <w:p>
          <w:pPr>
            <w:pStyle w:val="Contents3"/>
            <w:tabs>
              <w:tab w:val="clear" w:pos="8459"/>
              <w:tab w:val="right" w:pos="9026" w:leader="dot"/>
            </w:tabs>
            <w:rPr/>
          </w:pPr>
          <w:hyperlink w:anchor="__RefHeading___Toc2567432_3650668749">
            <w:r>
              <w:rPr>
                <w:webHidden/>
                <w:rStyle w:val="IndexLink"/>
                <w:rtl w:val="true"/>
              </w:rPr>
              <w:t>[</w:t>
            </w:r>
            <w:r>
              <w:rPr>
                <w:rStyle w:val="IndexLink"/>
                <w:rtl w:val="true"/>
              </w:rPr>
              <w:t>القول فیما یکره للصائم ارتکابه</w:t>
            </w:r>
            <w:r>
              <w:rPr>
                <w:rStyle w:val="IndexLink"/>
                <w:rtl w:val="true"/>
              </w:rPr>
              <w:t>]</w:t>
              <w:tab/>
            </w:r>
            <w:r>
              <w:rPr>
                <w:rStyle w:val="IndexLink"/>
              </w:rPr>
              <w:t>327</w:t>
            </w:r>
          </w:hyperlink>
        </w:p>
        <w:p>
          <w:pPr>
            <w:pStyle w:val="Contents4"/>
            <w:tabs>
              <w:tab w:val="clear" w:pos="8176"/>
              <w:tab w:val="right" w:pos="9026" w:leader="dot"/>
            </w:tabs>
            <w:rPr/>
          </w:pPr>
          <w:hyperlink w:anchor="__RefHeading___Toc2567434_3650668749">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256743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یکره للصائم أُمور</w:t>
            </w:r>
            <w:r>
              <w:rPr>
                <w:rStyle w:val="IndexLink"/>
                <w:rtl w:val="true"/>
              </w:rPr>
              <w:t>]</w:t>
              <w:tab/>
            </w:r>
            <w:r>
              <w:rPr>
                <w:rStyle w:val="IndexLink"/>
              </w:rPr>
              <w:t>327</w:t>
            </w:r>
          </w:hyperlink>
        </w:p>
        <w:p>
          <w:pPr>
            <w:pStyle w:val="Contents5"/>
            <w:tabs>
              <w:tab w:val="clear" w:pos="7892"/>
              <w:tab w:val="right" w:pos="9026" w:leader="dot"/>
            </w:tabs>
            <w:rPr/>
          </w:pPr>
          <w:hyperlink w:anchor="__RefHeading___Toc2567438_3650668749">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2567440_3650668749">
            <w:r>
              <w:rPr>
                <w:webHidden/>
                <w:rStyle w:val="IndexLink"/>
                <w:rtl w:val="true"/>
              </w:rPr>
              <w:t>[</w:t>
            </w:r>
            <w:r>
              <w:rPr>
                <w:rStyle w:val="IndexLink"/>
                <w:rtl w:val="true"/>
              </w:rPr>
              <w:t>منها</w:t>
            </w:r>
            <w:r>
              <w:rPr>
                <w:rStyle w:val="IndexLink"/>
                <w:rtl w:val="true"/>
              </w:rPr>
              <w:t xml:space="preserve">: </w:t>
            </w:r>
            <w:r>
              <w:rPr>
                <w:rStyle w:val="IndexLink"/>
                <w:rtl w:val="true"/>
              </w:rPr>
              <w:t>مباشرة النساء</w:t>
            </w:r>
            <w:r>
              <w:rPr>
                <w:rStyle w:val="IndexLink"/>
                <w:rtl w:val="true"/>
              </w:rPr>
              <w:t>]</w:t>
              <w:tab/>
            </w:r>
            <w:r>
              <w:rPr>
                <w:rStyle w:val="IndexLink"/>
              </w:rPr>
              <w:t>327</w:t>
            </w:r>
          </w:hyperlink>
        </w:p>
        <w:p>
          <w:pPr>
            <w:pStyle w:val="Contents5"/>
            <w:tabs>
              <w:tab w:val="clear" w:pos="7892"/>
              <w:tab w:val="right" w:pos="9026" w:leader="dot"/>
            </w:tabs>
            <w:rPr/>
          </w:pPr>
          <w:hyperlink w:anchor="__RefHeading___Toc2567442_3650668749">
            <w:r>
              <w:rPr>
                <w:webHidden/>
                <w:rStyle w:val="IndexLink"/>
                <w:rtl w:val="true"/>
              </w:rPr>
              <w:t>[</w:t>
            </w:r>
            <w:r>
              <w:rPr>
                <w:rStyle w:val="IndexLink"/>
                <w:rtl w:val="true"/>
              </w:rPr>
              <w:t>و منها</w:t>
            </w:r>
            <w:r>
              <w:rPr>
                <w:rStyle w:val="IndexLink"/>
                <w:rtl w:val="true"/>
              </w:rPr>
              <w:t xml:space="preserve">: </w:t>
            </w:r>
            <w:r>
              <w:rPr>
                <w:rStyle w:val="IndexLink"/>
                <w:rtl w:val="true"/>
              </w:rPr>
              <w:t>الاکتحال</w:t>
            </w:r>
            <w:r>
              <w:rPr>
                <w:rStyle w:val="IndexLink"/>
                <w:rtl w:val="true"/>
              </w:rPr>
              <w:t>]</w:t>
              <w:tab/>
            </w:r>
            <w:r>
              <w:rPr>
                <w:rStyle w:val="IndexLink"/>
              </w:rPr>
              <w:t>327</w:t>
            </w:r>
          </w:hyperlink>
        </w:p>
        <w:p>
          <w:pPr>
            <w:pStyle w:val="Contents5"/>
            <w:tabs>
              <w:tab w:val="clear" w:pos="7892"/>
              <w:tab w:val="right" w:pos="9026" w:leader="dot"/>
            </w:tabs>
            <w:rPr/>
          </w:pPr>
          <w:hyperlink w:anchor="__RefHeading___Toc2567444_3650668749">
            <w:r>
              <w:rPr>
                <w:webHidden/>
                <w:rStyle w:val="IndexLink"/>
                <w:rtl w:val="true"/>
              </w:rPr>
              <w:t>[</w:t>
            </w:r>
            <w:r>
              <w:rPr>
                <w:rStyle w:val="IndexLink"/>
                <w:rtl w:val="true"/>
              </w:rPr>
              <w:t>و منها</w:t>
            </w:r>
            <w:r>
              <w:rPr>
                <w:rStyle w:val="IndexLink"/>
                <w:rtl w:val="true"/>
              </w:rPr>
              <w:t xml:space="preserve">: </w:t>
            </w:r>
            <w:r>
              <w:rPr>
                <w:rStyle w:val="IndexLink"/>
                <w:rtl w:val="true"/>
              </w:rPr>
              <w:t>إخراج الدم المضعف</w:t>
            </w:r>
            <w:r>
              <w:rPr>
                <w:rStyle w:val="IndexLink"/>
                <w:rtl w:val="true"/>
              </w:rPr>
              <w:t>]</w:t>
              <w:tab/>
            </w:r>
            <w:r>
              <w:rPr>
                <w:rStyle w:val="IndexLink"/>
              </w:rPr>
              <w:t>327</w:t>
            </w:r>
          </w:hyperlink>
        </w:p>
        <w:p>
          <w:pPr>
            <w:pStyle w:val="Contents5"/>
            <w:tabs>
              <w:tab w:val="clear" w:pos="7892"/>
              <w:tab w:val="right" w:pos="9026" w:leader="dot"/>
            </w:tabs>
            <w:rPr/>
          </w:pPr>
          <w:hyperlink w:anchor="__RefHeading___Toc2567446_3650668749">
            <w:r>
              <w:rPr>
                <w:webHidden/>
                <w:rStyle w:val="IndexLink"/>
                <w:rtl w:val="true"/>
              </w:rPr>
              <w:t>[</w:t>
            </w:r>
            <w:r>
              <w:rPr>
                <w:rStyle w:val="IndexLink"/>
                <w:rtl w:val="true"/>
              </w:rPr>
              <w:t>و منها</w:t>
            </w:r>
            <w:r>
              <w:rPr>
                <w:rStyle w:val="IndexLink"/>
                <w:rtl w:val="true"/>
              </w:rPr>
              <w:t xml:space="preserve">: </w:t>
            </w:r>
            <w:r>
              <w:rPr>
                <w:rStyle w:val="IndexLink"/>
                <w:rtl w:val="true"/>
              </w:rPr>
              <w:t>دخول الحمّام</w:t>
            </w:r>
            <w:r>
              <w:rPr>
                <w:rStyle w:val="IndexLink"/>
                <w:rtl w:val="true"/>
              </w:rPr>
              <w:t>]</w:t>
              <w:tab/>
            </w:r>
            <w:r>
              <w:rPr>
                <w:rStyle w:val="IndexLink"/>
              </w:rPr>
              <w:t>327</w:t>
            </w:r>
          </w:hyperlink>
        </w:p>
        <w:p>
          <w:pPr>
            <w:pStyle w:val="Contents5"/>
            <w:tabs>
              <w:tab w:val="clear" w:pos="7892"/>
              <w:tab w:val="right" w:pos="9026" w:leader="dot"/>
            </w:tabs>
            <w:rPr/>
          </w:pPr>
          <w:hyperlink w:anchor="__RefHeading___Toc2567448_3650668749">
            <w:r>
              <w:rPr>
                <w:webHidden/>
                <w:rStyle w:val="IndexLink"/>
                <w:rtl w:val="true"/>
              </w:rPr>
              <w:t>[</w:t>
            </w:r>
            <w:r>
              <w:rPr>
                <w:rStyle w:val="IndexLink"/>
                <w:rtl w:val="true"/>
              </w:rPr>
              <w:t>و منها</w:t>
            </w:r>
            <w:r>
              <w:rPr>
                <w:rStyle w:val="IndexLink"/>
                <w:rtl w:val="true"/>
              </w:rPr>
              <w:t xml:space="preserve">: </w:t>
            </w:r>
            <w:r>
              <w:rPr>
                <w:rStyle w:val="IndexLink"/>
                <w:rtl w:val="true"/>
              </w:rPr>
              <w:t>السعوط</w:t>
            </w:r>
            <w:r>
              <w:rPr>
                <w:rStyle w:val="IndexLink"/>
                <w:rtl w:val="true"/>
              </w:rPr>
              <w:t>]</w:t>
              <w:tab/>
            </w:r>
            <w:r>
              <w:rPr>
                <w:rStyle w:val="IndexLink"/>
              </w:rPr>
              <w:t>327</w:t>
            </w:r>
          </w:hyperlink>
        </w:p>
        <w:p>
          <w:pPr>
            <w:pStyle w:val="Contents5"/>
            <w:tabs>
              <w:tab w:val="clear" w:pos="7892"/>
              <w:tab w:val="right" w:pos="9026" w:leader="dot"/>
            </w:tabs>
            <w:rPr/>
          </w:pPr>
          <w:hyperlink w:anchor="__RefHeading___Toc2567450_3650668749">
            <w:r>
              <w:rPr>
                <w:webHidden/>
                <w:rStyle w:val="IndexLink"/>
                <w:rtl w:val="true"/>
              </w:rPr>
              <w:t>[</w:t>
            </w:r>
            <w:r>
              <w:rPr>
                <w:rStyle w:val="IndexLink"/>
                <w:rtl w:val="true"/>
              </w:rPr>
              <w:t>و منها</w:t>
            </w:r>
            <w:r>
              <w:rPr>
                <w:rStyle w:val="IndexLink"/>
                <w:rtl w:val="true"/>
              </w:rPr>
              <w:t xml:space="preserve">: </w:t>
            </w:r>
            <w:r>
              <w:rPr>
                <w:rStyle w:val="IndexLink"/>
                <w:rtl w:val="true"/>
              </w:rPr>
              <w:t>شمّ الریاحین</w:t>
            </w:r>
            <w:r>
              <w:rPr>
                <w:rStyle w:val="IndexLink"/>
                <w:rtl w:val="true"/>
              </w:rPr>
              <w:t>]</w:t>
              <w:tab/>
            </w:r>
            <w:r>
              <w:rPr>
                <w:rStyle w:val="IndexLink"/>
              </w:rPr>
              <w:t>327</w:t>
            </w:r>
          </w:hyperlink>
        </w:p>
        <w:p>
          <w:pPr>
            <w:pStyle w:val="Contents4"/>
            <w:tabs>
              <w:tab w:val="clear" w:pos="8176"/>
              <w:tab w:val="right" w:pos="9026" w:leader="dot"/>
            </w:tabs>
            <w:rPr/>
          </w:pPr>
          <w:hyperlink w:anchor="__RefHeading___Toc256745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بأس باستنقاع الرجل فی الماء</w:t>
            </w:r>
            <w:r>
              <w:rPr>
                <w:rStyle w:val="IndexLink"/>
                <w:rtl w:val="true"/>
              </w:rPr>
              <w:t>]</w:t>
              <w:tab/>
            </w:r>
            <w:r>
              <w:rPr>
                <w:rStyle w:val="IndexLink"/>
              </w:rPr>
              <w:t>327</w:t>
            </w:r>
          </w:hyperlink>
        </w:p>
        <w:p>
          <w:pPr>
            <w:pStyle w:val="Contents3"/>
            <w:tabs>
              <w:tab w:val="clear" w:pos="8459"/>
              <w:tab w:val="right" w:pos="9026" w:leader="dot"/>
            </w:tabs>
            <w:rPr/>
          </w:pPr>
          <w:hyperlink w:anchor="__RefHeading___Toc2567454_3650668749">
            <w:r>
              <w:rPr>
                <w:webHidden/>
                <w:rStyle w:val="IndexLink"/>
                <w:rtl w:val="true"/>
              </w:rPr>
              <w:t>[</w:t>
            </w:r>
            <w:r>
              <w:rPr>
                <w:rStyle w:val="IndexLink"/>
                <w:rtl w:val="true"/>
              </w:rPr>
              <w:t>القول فیما یترتّب علی الإفطار</w:t>
            </w:r>
            <w:r>
              <w:rPr>
                <w:rStyle w:val="IndexLink"/>
                <w:rtl w:val="true"/>
              </w:rPr>
              <w:t>]</w:t>
              <w:tab/>
            </w:r>
            <w:r>
              <w:rPr>
                <w:rStyle w:val="IndexLink"/>
              </w:rPr>
              <w:t>328</w:t>
            </w:r>
          </w:hyperlink>
        </w:p>
        <w:p>
          <w:pPr>
            <w:pStyle w:val="Contents4"/>
            <w:tabs>
              <w:tab w:val="clear" w:pos="8176"/>
              <w:tab w:val="right" w:pos="9026" w:leader="dot"/>
            </w:tabs>
            <w:rPr/>
          </w:pPr>
          <w:hyperlink w:anchor="__RefHeading___Toc2567456_3650668749">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256745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الإتیان بالمفطرات المذکورة کما أنّه موجب للقضاء یوجب الکفّارة</w:t>
            </w:r>
            <w:r>
              <w:rPr>
                <w:rStyle w:val="IndexLink"/>
                <w:rtl w:val="true"/>
              </w:rPr>
              <w:t>]</w:t>
              <w:tab/>
            </w:r>
            <w:r>
              <w:rPr>
                <w:rStyle w:val="IndexLink"/>
              </w:rPr>
              <w:t>328</w:t>
            </w:r>
          </w:hyperlink>
        </w:p>
        <w:p>
          <w:pPr>
            <w:pStyle w:val="Contents4"/>
            <w:tabs>
              <w:tab w:val="clear" w:pos="8176"/>
              <w:tab w:val="right" w:pos="9026" w:leader="dot"/>
            </w:tabs>
            <w:rPr/>
          </w:pPr>
          <w:hyperlink w:anchor="__RefHeading___Toc256746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کفّارة إفطار صوم شهر رمضان أُمور ثلاثة</w:t>
            </w:r>
            <w:r>
              <w:rPr>
                <w:rStyle w:val="IndexLink"/>
                <w:rtl w:val="true"/>
              </w:rPr>
              <w:t>]</w:t>
              <w:tab/>
            </w:r>
            <w:r>
              <w:rPr>
                <w:rStyle w:val="IndexLink"/>
              </w:rPr>
              <w:t>328</w:t>
            </w:r>
          </w:hyperlink>
        </w:p>
        <w:p>
          <w:pPr>
            <w:pStyle w:val="Contents4"/>
            <w:tabs>
              <w:tab w:val="clear" w:pos="8176"/>
              <w:tab w:val="right" w:pos="9026" w:leader="dot"/>
            </w:tabs>
            <w:rPr/>
          </w:pPr>
          <w:hyperlink w:anchor="__RefHeading___Toc256746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الأقویٰ أنّه لا تتکرّر الکفّارة بتکرّر الموجب فی یوم واحد فی غیر الجماع</w:t>
            </w:r>
            <w:r>
              <w:rPr>
                <w:rStyle w:val="IndexLink"/>
                <w:rtl w:val="true"/>
              </w:rPr>
              <w:t>]</w:t>
              <w:tab/>
            </w:r>
            <w:r>
              <w:rPr>
                <w:rStyle w:val="IndexLink"/>
              </w:rPr>
              <w:t>328</w:t>
            </w:r>
          </w:hyperlink>
        </w:p>
        <w:p>
          <w:pPr>
            <w:pStyle w:val="Contents4"/>
            <w:tabs>
              <w:tab w:val="clear" w:pos="8176"/>
              <w:tab w:val="right" w:pos="9026" w:leader="dot"/>
            </w:tabs>
            <w:rPr/>
          </w:pPr>
          <w:hyperlink w:anchor="__RefHeading___Toc256746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لا تجب الکفّارة إلّا فی إفطار صوم شهر رمضان و قضائه بعد الزوال و النذر المعیّن</w:t>
            </w:r>
            <w:r>
              <w:rPr>
                <w:rStyle w:val="IndexLink"/>
                <w:rtl w:val="true"/>
              </w:rPr>
              <w:t>]</w:t>
              <w:tab/>
            </w:r>
            <w:r>
              <w:rPr>
                <w:rStyle w:val="IndexLink"/>
              </w:rPr>
              <w:t>328</w:t>
            </w:r>
          </w:hyperlink>
        </w:p>
        <w:p>
          <w:pPr>
            <w:pStyle w:val="Contents4"/>
            <w:tabs>
              <w:tab w:val="clear" w:pos="8176"/>
              <w:tab w:val="right" w:pos="9026" w:leader="dot"/>
            </w:tabs>
            <w:rPr/>
          </w:pPr>
          <w:hyperlink w:anchor="__RefHeading___Toc256746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أفطر متعمّداً ثمّ سافر لم تسقط عنه الکفّارة</w:t>
            </w:r>
            <w:r>
              <w:rPr>
                <w:rStyle w:val="IndexLink"/>
                <w:rtl w:val="true"/>
              </w:rPr>
              <w:t>]</w:t>
              <w:tab/>
            </w:r>
            <w:r>
              <w:rPr>
                <w:rStyle w:val="IndexLink"/>
              </w:rPr>
              <w:t>328</w:t>
            </w:r>
          </w:hyperlink>
        </w:p>
        <w:p>
          <w:pPr>
            <w:pStyle w:val="Contents4"/>
            <w:tabs>
              <w:tab w:val="clear" w:pos="8176"/>
              <w:tab w:val="right" w:pos="9026" w:leader="dot"/>
            </w:tabs>
            <w:rPr/>
          </w:pPr>
          <w:hyperlink w:anchor="__RefHeading___Toc256746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جامع زوجته فی شهر رمضان و هما صائمان</w:t>
            </w:r>
            <w:r>
              <w:rPr>
                <w:rStyle w:val="IndexLink"/>
                <w:rtl w:val="true"/>
              </w:rPr>
              <w:t>]</w:t>
              <w:tab/>
            </w:r>
            <w:r>
              <w:rPr>
                <w:rStyle w:val="IndexLink"/>
              </w:rPr>
              <w:t>329</w:t>
            </w:r>
          </w:hyperlink>
        </w:p>
        <w:p>
          <w:pPr>
            <w:pStyle w:val="Contents4"/>
            <w:tabs>
              <w:tab w:val="clear" w:pos="8176"/>
              <w:tab w:val="right" w:pos="9026" w:leader="dot"/>
            </w:tabs>
            <w:rPr/>
          </w:pPr>
          <w:hyperlink w:anchor="__RefHeading___Toc2567470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کان مفطراً لکونه مسافراً أو مریضاً مثلًا و کانت زوجته صائمة</w:t>
            </w:r>
            <w:r>
              <w:rPr>
                <w:rStyle w:val="IndexLink"/>
                <w:rtl w:val="true"/>
              </w:rPr>
              <w:t>]</w:t>
              <w:tab/>
            </w:r>
            <w:r>
              <w:rPr>
                <w:rStyle w:val="IndexLink"/>
              </w:rPr>
              <w:t>329</w:t>
            </w:r>
          </w:hyperlink>
        </w:p>
        <w:p>
          <w:pPr>
            <w:pStyle w:val="Contents4"/>
            <w:tabs>
              <w:tab w:val="clear" w:pos="8176"/>
              <w:tab w:val="right" w:pos="9026" w:leader="dot"/>
            </w:tabs>
            <w:rPr/>
          </w:pPr>
          <w:hyperlink w:anchor="__RefHeading___Toc2567472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مصرف کفّارة إطعام الفقراء</w:t>
            </w:r>
            <w:r>
              <w:rPr>
                <w:rStyle w:val="IndexLink"/>
                <w:rtl w:val="true"/>
              </w:rPr>
              <w:t>]</w:t>
              <w:tab/>
            </w:r>
            <w:r>
              <w:rPr>
                <w:rStyle w:val="IndexLink"/>
              </w:rPr>
              <w:t>329</w:t>
            </w:r>
          </w:hyperlink>
        </w:p>
        <w:p>
          <w:pPr>
            <w:pStyle w:val="Contents4"/>
            <w:tabs>
              <w:tab w:val="clear" w:pos="8176"/>
              <w:tab w:val="right" w:pos="9026" w:leader="dot"/>
            </w:tabs>
            <w:rPr/>
          </w:pPr>
          <w:hyperlink w:anchor="__RefHeading___Toc2567474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یجوز التبرّع بالکفّارة عن المیّت</w:t>
            </w:r>
            <w:r>
              <w:rPr>
                <w:rStyle w:val="IndexLink"/>
                <w:rtl w:val="true"/>
              </w:rPr>
              <w:t>]</w:t>
              <w:tab/>
            </w:r>
            <w:r>
              <w:rPr>
                <w:rStyle w:val="IndexLink"/>
              </w:rPr>
              <w:t>330</w:t>
            </w:r>
          </w:hyperlink>
        </w:p>
        <w:p>
          <w:pPr>
            <w:pStyle w:val="Contents4"/>
            <w:tabs>
              <w:tab w:val="clear" w:pos="8176"/>
              <w:tab w:val="right" w:pos="9026" w:leader="dot"/>
            </w:tabs>
            <w:rPr/>
          </w:pPr>
          <w:hyperlink w:anchor="__RefHeading___Toc2567476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یکفی فی حصول التتابع فی الشهرین صوم الشهر الأوّل و یوم من الشهر الثانی</w:t>
            </w:r>
            <w:r>
              <w:rPr>
                <w:rStyle w:val="IndexLink"/>
                <w:rtl w:val="true"/>
              </w:rPr>
              <w:t>]</w:t>
              <w:tab/>
            </w:r>
            <w:r>
              <w:rPr>
                <w:rStyle w:val="IndexLink"/>
              </w:rPr>
              <w:t>330</w:t>
            </w:r>
          </w:hyperlink>
        </w:p>
        <w:p>
          <w:pPr>
            <w:pStyle w:val="Contents4"/>
            <w:tabs>
              <w:tab w:val="clear" w:pos="8176"/>
              <w:tab w:val="right" w:pos="9026" w:leader="dot"/>
            </w:tabs>
            <w:rPr/>
          </w:pPr>
          <w:hyperlink w:anchor="__RefHeading___Toc2567478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من عجز عن الخصال الثلاث فی کفّارة شهر رمضان</w:t>
            </w:r>
            <w:r>
              <w:rPr>
                <w:rStyle w:val="IndexLink"/>
                <w:rtl w:val="true"/>
              </w:rPr>
              <w:t>]</w:t>
              <w:tab/>
            </w:r>
            <w:r>
              <w:rPr>
                <w:rStyle w:val="IndexLink"/>
              </w:rPr>
              <w:t>330</w:t>
            </w:r>
          </w:hyperlink>
        </w:p>
        <w:p>
          <w:pPr>
            <w:pStyle w:val="Contents4"/>
            <w:tabs>
              <w:tab w:val="clear" w:pos="8176"/>
              <w:tab w:val="right" w:pos="9026" w:leader="dot"/>
            </w:tabs>
            <w:rPr/>
          </w:pPr>
          <w:hyperlink w:anchor="__RefHeading___Toc2567480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یجب القضاء دون الکفّارة فی موارد</w:t>
            </w:r>
            <w:r>
              <w:rPr>
                <w:rStyle w:val="IndexLink"/>
                <w:rtl w:val="true"/>
              </w:rPr>
              <w:t>]</w:t>
              <w:tab/>
            </w:r>
            <w:r>
              <w:rPr>
                <w:rStyle w:val="IndexLink"/>
              </w:rPr>
              <w:t>330</w:t>
            </w:r>
          </w:hyperlink>
        </w:p>
        <w:p>
          <w:pPr>
            <w:pStyle w:val="Contents5"/>
            <w:tabs>
              <w:tab w:val="clear" w:pos="7892"/>
              <w:tab w:val="right" w:pos="9026" w:leader="dot"/>
            </w:tabs>
            <w:rPr/>
          </w:pPr>
          <w:hyperlink w:anchor="__RefHeading___Toc2567482_3650668749">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2567484_3650668749">
            <w:r>
              <w:rPr>
                <w:webHidden/>
                <w:rStyle w:val="IndexLink"/>
                <w:rtl w:val="true"/>
              </w:rPr>
              <w:t>[</w:t>
            </w:r>
            <w:r>
              <w:rPr>
                <w:rStyle w:val="IndexLink"/>
                <w:rtl w:val="true"/>
              </w:rPr>
              <w:t>أحدها</w:t>
            </w:r>
            <w:r>
              <w:rPr>
                <w:rStyle w:val="IndexLink"/>
                <w:rtl w:val="true"/>
              </w:rPr>
              <w:t xml:space="preserve">: </w:t>
            </w:r>
            <w:r>
              <w:rPr>
                <w:rStyle w:val="IndexLink"/>
                <w:rtl w:val="true"/>
              </w:rPr>
              <w:t>فیما إذا نام المجنب فی اللیل ثانیاً بعد انتباهه من النوم</w:t>
            </w:r>
            <w:r>
              <w:rPr>
                <w:rStyle w:val="IndexLink"/>
                <w:rtl w:val="true"/>
              </w:rPr>
              <w:t>]</w:t>
              <w:tab/>
            </w:r>
            <w:r>
              <w:rPr>
                <w:rStyle w:val="IndexLink"/>
              </w:rPr>
              <w:t>330</w:t>
            </w:r>
          </w:hyperlink>
        </w:p>
        <w:p>
          <w:pPr>
            <w:pStyle w:val="Contents5"/>
            <w:tabs>
              <w:tab w:val="clear" w:pos="7892"/>
              <w:tab w:val="right" w:pos="9026" w:leader="dot"/>
            </w:tabs>
            <w:rPr/>
          </w:pPr>
          <w:hyperlink w:anchor="__RefHeading___Toc2567486_3650668749">
            <w:r>
              <w:rPr>
                <w:webHidden/>
                <w:rStyle w:val="IndexLink"/>
                <w:rtl w:val="true"/>
              </w:rPr>
              <w:t>[</w:t>
            </w:r>
            <w:r>
              <w:rPr>
                <w:rStyle w:val="IndexLink"/>
                <w:rtl w:val="true"/>
              </w:rPr>
              <w:t>الثانی</w:t>
            </w:r>
            <w:r>
              <w:rPr>
                <w:rStyle w:val="IndexLink"/>
                <w:rtl w:val="true"/>
              </w:rPr>
              <w:t xml:space="preserve">: </w:t>
            </w:r>
            <w:r>
              <w:rPr>
                <w:rStyle w:val="IndexLink"/>
                <w:rtl w:val="true"/>
              </w:rPr>
              <w:t>إذا أبطل صومه لمجرّد عدم النیّة</w:t>
            </w:r>
            <w:r>
              <w:rPr>
                <w:rStyle w:val="IndexLink"/>
                <w:rtl w:val="true"/>
              </w:rPr>
              <w:t>]</w:t>
              <w:tab/>
            </w:r>
            <w:r>
              <w:rPr>
                <w:rStyle w:val="IndexLink"/>
              </w:rPr>
              <w:t>330</w:t>
            </w:r>
          </w:hyperlink>
        </w:p>
        <w:p>
          <w:pPr>
            <w:pStyle w:val="Contents5"/>
            <w:tabs>
              <w:tab w:val="clear" w:pos="7892"/>
              <w:tab w:val="right" w:pos="9026" w:leader="dot"/>
            </w:tabs>
            <w:rPr/>
          </w:pPr>
          <w:hyperlink w:anchor="__RefHeading___Toc2567488_3650668749">
            <w:r>
              <w:rPr>
                <w:webHidden/>
                <w:rStyle w:val="IndexLink"/>
                <w:rtl w:val="true"/>
              </w:rPr>
              <w:t>[</w:t>
            </w:r>
            <w:r>
              <w:rPr>
                <w:rStyle w:val="IndexLink"/>
                <w:rtl w:val="true"/>
              </w:rPr>
              <w:t>الثالث</w:t>
            </w:r>
            <w:r>
              <w:rPr>
                <w:rStyle w:val="IndexLink"/>
                <w:rtl w:val="true"/>
              </w:rPr>
              <w:t xml:space="preserve">: </w:t>
            </w:r>
            <w:r>
              <w:rPr>
                <w:rStyle w:val="IndexLink"/>
                <w:rtl w:val="true"/>
              </w:rPr>
              <w:t>إذا نسی غسل الجنابة</w:t>
            </w:r>
            <w:r>
              <w:rPr>
                <w:rStyle w:val="IndexLink"/>
                <w:rtl w:val="true"/>
              </w:rPr>
              <w:t>]</w:t>
              <w:tab/>
            </w:r>
            <w:r>
              <w:rPr>
                <w:rStyle w:val="IndexLink"/>
              </w:rPr>
              <w:t>330</w:t>
            </w:r>
          </w:hyperlink>
        </w:p>
        <w:p>
          <w:pPr>
            <w:pStyle w:val="Contents5"/>
            <w:tabs>
              <w:tab w:val="clear" w:pos="7892"/>
              <w:tab w:val="right" w:pos="9026" w:leader="dot"/>
            </w:tabs>
            <w:rPr/>
          </w:pPr>
          <w:hyperlink w:anchor="__RefHeading___Toc2567490_3650668749">
            <w:r>
              <w:rPr>
                <w:webHidden/>
                <w:rStyle w:val="IndexLink"/>
                <w:rtl w:val="true"/>
              </w:rPr>
              <w:t>[</w:t>
            </w:r>
            <w:r>
              <w:rPr>
                <w:rStyle w:val="IndexLink"/>
                <w:rtl w:val="true"/>
              </w:rPr>
              <w:t>الرابع</w:t>
            </w:r>
            <w:r>
              <w:rPr>
                <w:rStyle w:val="IndexLink"/>
                <w:rtl w:val="true"/>
              </w:rPr>
              <w:t xml:space="preserve">: </w:t>
            </w:r>
            <w:r>
              <w:rPr>
                <w:rStyle w:val="IndexLink"/>
                <w:rtl w:val="true"/>
              </w:rPr>
              <w:t>إذا أتی بالمفطر قبل مراعاة الفجر ثمّ ظهر سبق طلوعه</w:t>
            </w:r>
            <w:r>
              <w:rPr>
                <w:rStyle w:val="IndexLink"/>
                <w:rtl w:val="true"/>
              </w:rPr>
              <w:t>]</w:t>
              <w:tab/>
            </w:r>
            <w:r>
              <w:rPr>
                <w:rStyle w:val="IndexLink"/>
              </w:rPr>
              <w:t>330</w:t>
            </w:r>
          </w:hyperlink>
        </w:p>
        <w:p>
          <w:pPr>
            <w:pStyle w:val="Contents5"/>
            <w:tabs>
              <w:tab w:val="clear" w:pos="7892"/>
              <w:tab w:val="right" w:pos="9026" w:leader="dot"/>
            </w:tabs>
            <w:rPr/>
          </w:pPr>
          <w:hyperlink w:anchor="__RefHeading___Toc2567492_3650668749">
            <w:r>
              <w:rPr>
                <w:webHidden/>
                <w:rStyle w:val="IndexLink"/>
                <w:rtl w:val="true"/>
              </w:rPr>
              <w:t>[</w:t>
            </w:r>
            <w:r>
              <w:rPr>
                <w:rStyle w:val="IndexLink"/>
                <w:rtl w:val="true"/>
              </w:rPr>
              <w:t>الخامس</w:t>
            </w:r>
            <w:r>
              <w:rPr>
                <w:rStyle w:val="IndexLink"/>
                <w:rtl w:val="true"/>
              </w:rPr>
              <w:t xml:space="preserve">: </w:t>
            </w:r>
            <w:r>
              <w:rPr>
                <w:rStyle w:val="IndexLink"/>
                <w:rtl w:val="true"/>
              </w:rPr>
              <w:t>الأکل تعویلًا علیٰ من أخبر ببقاء اللیل</w:t>
            </w:r>
            <w:r>
              <w:rPr>
                <w:rStyle w:val="IndexLink"/>
                <w:rtl w:val="true"/>
              </w:rPr>
              <w:t>]</w:t>
              <w:tab/>
            </w:r>
            <w:r>
              <w:rPr>
                <w:rStyle w:val="IndexLink"/>
              </w:rPr>
              <w:t>331</w:t>
            </w:r>
          </w:hyperlink>
        </w:p>
        <w:p>
          <w:pPr>
            <w:pStyle w:val="Contents5"/>
            <w:tabs>
              <w:tab w:val="clear" w:pos="7892"/>
              <w:tab w:val="right" w:pos="9026" w:leader="dot"/>
            </w:tabs>
            <w:rPr/>
          </w:pPr>
          <w:hyperlink w:anchor="__RefHeading___Toc2567494_3650668749">
            <w:r>
              <w:rPr>
                <w:webHidden/>
                <w:rStyle w:val="IndexLink"/>
                <w:rtl w:val="true"/>
              </w:rPr>
              <w:t>[</w:t>
            </w:r>
            <w:r>
              <w:rPr>
                <w:rStyle w:val="IndexLink"/>
                <w:rtl w:val="true"/>
              </w:rPr>
              <w:t>السادس</w:t>
            </w:r>
            <w:r>
              <w:rPr>
                <w:rStyle w:val="IndexLink"/>
                <w:rtl w:val="true"/>
              </w:rPr>
              <w:t xml:space="preserve">: </w:t>
            </w:r>
            <w:r>
              <w:rPr>
                <w:rStyle w:val="IndexLink"/>
                <w:rtl w:val="true"/>
              </w:rPr>
              <w:t>الأکل إذا أخبره مخبر بطلوع الفجر</w:t>
            </w:r>
            <w:r>
              <w:rPr>
                <w:rStyle w:val="IndexLink"/>
                <w:rtl w:val="true"/>
              </w:rPr>
              <w:t>]</w:t>
              <w:tab/>
            </w:r>
            <w:r>
              <w:rPr>
                <w:rStyle w:val="IndexLink"/>
              </w:rPr>
              <w:t>331</w:t>
            </w:r>
          </w:hyperlink>
        </w:p>
        <w:p>
          <w:pPr>
            <w:pStyle w:val="Contents6"/>
            <w:tabs>
              <w:tab w:val="clear" w:pos="7609"/>
              <w:tab w:val="right" w:pos="9026" w:leader="dot"/>
            </w:tabs>
            <w:rPr/>
          </w:pPr>
          <w:hyperlink w:anchor="__RefHeading___Toc2567496_3650668749">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2567498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یجوز لمن لم یتیقّن بطلوع الفجر تناول المفطر من دون فحص</w:t>
            </w:r>
            <w:r>
              <w:rPr>
                <w:rStyle w:val="IndexLink"/>
                <w:rtl w:val="true"/>
              </w:rPr>
              <w:t>]</w:t>
              <w:tab/>
            </w:r>
            <w:r>
              <w:rPr>
                <w:rStyle w:val="IndexLink"/>
              </w:rPr>
              <w:t>331</w:t>
            </w:r>
          </w:hyperlink>
        </w:p>
        <w:p>
          <w:pPr>
            <w:pStyle w:val="Contents5"/>
            <w:tabs>
              <w:tab w:val="clear" w:pos="7892"/>
              <w:tab w:val="right" w:pos="9026" w:leader="dot"/>
            </w:tabs>
            <w:rPr/>
          </w:pPr>
          <w:hyperlink w:anchor="__RefHeading___Toc2567500_3650668749">
            <w:r>
              <w:rPr>
                <w:webHidden/>
                <w:rStyle w:val="IndexLink"/>
                <w:rtl w:val="true"/>
              </w:rPr>
              <w:t>[</w:t>
            </w:r>
            <w:r>
              <w:rPr>
                <w:rStyle w:val="IndexLink"/>
                <w:rtl w:val="true"/>
              </w:rPr>
              <w:t>السابع</w:t>
            </w:r>
            <w:r>
              <w:rPr>
                <w:rStyle w:val="IndexLink"/>
                <w:rtl w:val="true"/>
              </w:rPr>
              <w:t xml:space="preserve">: </w:t>
            </w:r>
            <w:r>
              <w:rPr>
                <w:rStyle w:val="IndexLink"/>
                <w:rtl w:val="true"/>
              </w:rPr>
              <w:t>الإفطار تقلیداً لمن أخبر بدخول اللیل</w:t>
            </w:r>
            <w:r>
              <w:rPr>
                <w:rStyle w:val="IndexLink"/>
                <w:rtl w:val="true"/>
              </w:rPr>
              <w:t>]</w:t>
              <w:tab/>
            </w:r>
            <w:r>
              <w:rPr>
                <w:rStyle w:val="IndexLink"/>
              </w:rPr>
              <w:t>331</w:t>
            </w:r>
          </w:hyperlink>
        </w:p>
        <w:p>
          <w:pPr>
            <w:pStyle w:val="Contents5"/>
            <w:tabs>
              <w:tab w:val="clear" w:pos="7892"/>
              <w:tab w:val="right" w:pos="9026" w:leader="dot"/>
            </w:tabs>
            <w:rPr/>
          </w:pPr>
          <w:hyperlink w:anchor="__RefHeading___Toc2567502_3650668749">
            <w:r>
              <w:rPr>
                <w:webHidden/>
                <w:rStyle w:val="IndexLink"/>
                <w:rtl w:val="true"/>
              </w:rPr>
              <w:t>[</w:t>
            </w:r>
            <w:r>
              <w:rPr>
                <w:rStyle w:val="IndexLink"/>
                <w:rtl w:val="true"/>
              </w:rPr>
              <w:t>الثامن</w:t>
            </w:r>
            <w:r>
              <w:rPr>
                <w:rStyle w:val="IndexLink"/>
                <w:rtl w:val="true"/>
              </w:rPr>
              <w:t xml:space="preserve">: </w:t>
            </w:r>
            <w:r>
              <w:rPr>
                <w:rStyle w:val="IndexLink"/>
                <w:rtl w:val="true"/>
              </w:rPr>
              <w:t>الإفطار لظلمة قطع بدخول اللیل منها و لم یدخل</w:t>
            </w:r>
            <w:r>
              <w:rPr>
                <w:rStyle w:val="IndexLink"/>
                <w:rtl w:val="true"/>
              </w:rPr>
              <w:t>]</w:t>
              <w:tab/>
            </w:r>
            <w:r>
              <w:rPr>
                <w:rStyle w:val="IndexLink"/>
              </w:rPr>
              <w:t>331</w:t>
            </w:r>
          </w:hyperlink>
        </w:p>
        <w:p>
          <w:pPr>
            <w:pStyle w:val="Contents5"/>
            <w:tabs>
              <w:tab w:val="clear" w:pos="7892"/>
              <w:tab w:val="right" w:pos="9026" w:leader="dot"/>
            </w:tabs>
            <w:rPr/>
          </w:pPr>
          <w:hyperlink w:anchor="__RefHeading___Toc2567504_3650668749">
            <w:r>
              <w:rPr>
                <w:webHidden/>
                <w:rStyle w:val="IndexLink"/>
                <w:rtl w:val="true"/>
              </w:rPr>
              <w:t>[</w:t>
            </w:r>
            <w:r>
              <w:rPr>
                <w:rStyle w:val="IndexLink"/>
                <w:rtl w:val="true"/>
              </w:rPr>
              <w:t>التاسع</w:t>
            </w:r>
            <w:r>
              <w:rPr>
                <w:rStyle w:val="IndexLink"/>
                <w:rtl w:val="true"/>
              </w:rPr>
              <w:t xml:space="preserve">: </w:t>
            </w:r>
            <w:r>
              <w:rPr>
                <w:rStyle w:val="IndexLink"/>
                <w:rtl w:val="true"/>
              </w:rPr>
              <w:t>إدخال الماء فی الفم للتبرّد بمضمضة أو غیرها فسبقه و دخل الحلق</w:t>
            </w:r>
            <w:r>
              <w:rPr>
                <w:rStyle w:val="IndexLink"/>
                <w:rtl w:val="true"/>
              </w:rPr>
              <w:t>]</w:t>
              <w:tab/>
            </w:r>
            <w:r>
              <w:rPr>
                <w:rStyle w:val="IndexLink"/>
              </w:rPr>
              <w:t>331</w:t>
            </w:r>
          </w:hyperlink>
        </w:p>
        <w:p>
          <w:pPr>
            <w:pStyle w:val="Contents3"/>
            <w:tabs>
              <w:tab w:val="clear" w:pos="8459"/>
              <w:tab w:val="right" w:pos="9026" w:leader="dot"/>
            </w:tabs>
            <w:rPr/>
          </w:pPr>
          <w:hyperlink w:anchor="__RefHeading___Toc2567506_3650668749">
            <w:r>
              <w:rPr>
                <w:webHidden/>
                <w:rStyle w:val="IndexLink"/>
                <w:rtl w:val="true"/>
              </w:rPr>
              <w:t>[</w:t>
            </w:r>
            <w:r>
              <w:rPr>
                <w:rStyle w:val="IndexLink"/>
                <w:rtl w:val="true"/>
              </w:rPr>
              <w:t>القول فی شرائط صحّة الصوم و وجوبه</w:t>
            </w:r>
            <w:r>
              <w:rPr>
                <w:rStyle w:val="IndexLink"/>
                <w:rtl w:val="true"/>
              </w:rPr>
              <w:t>]</w:t>
              <w:tab/>
            </w:r>
            <w:r>
              <w:rPr>
                <w:rStyle w:val="IndexLink"/>
              </w:rPr>
              <w:t>332</w:t>
            </w:r>
          </w:hyperlink>
        </w:p>
        <w:p>
          <w:pPr>
            <w:pStyle w:val="Contents4"/>
            <w:tabs>
              <w:tab w:val="clear" w:pos="8176"/>
              <w:tab w:val="right" w:pos="9026" w:leader="dot"/>
            </w:tabs>
            <w:rPr/>
          </w:pPr>
          <w:hyperlink w:anchor="__RefHeading___Toc2567508_3650668749">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256751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شرائط صحّة الصوم أُمور</w:t>
            </w:r>
            <w:r>
              <w:rPr>
                <w:rStyle w:val="IndexLink"/>
                <w:rtl w:val="true"/>
              </w:rPr>
              <w:t xml:space="preserve">: </w:t>
            </w:r>
            <w:r>
              <w:rPr>
                <w:rStyle w:val="IndexLink"/>
                <w:rtl w:val="true"/>
              </w:rPr>
              <w:t>الإسلام، و الإیمان، و العقل، و الخلوّ من الحیض و النفاس</w:t>
            </w:r>
            <w:r>
              <w:rPr>
                <w:rStyle w:val="IndexLink"/>
                <w:rtl w:val="true"/>
              </w:rPr>
              <w:t>]</w:t>
              <w:tab/>
            </w:r>
            <w:r>
              <w:rPr>
                <w:rStyle w:val="IndexLink"/>
              </w:rPr>
              <w:t>332</w:t>
            </w:r>
          </w:hyperlink>
        </w:p>
        <w:p>
          <w:pPr>
            <w:pStyle w:val="Contents4"/>
            <w:tabs>
              <w:tab w:val="clear" w:pos="8176"/>
              <w:tab w:val="right" w:pos="9026" w:leader="dot"/>
            </w:tabs>
            <w:rPr/>
          </w:pPr>
          <w:hyperlink w:anchor="__RefHeading___Toc256751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کلّ ما ذکرنا من أنّه شرط للصحّة شرط للوجوب أیضاً غیر الإسلام و الإیمان</w:t>
            </w:r>
            <w:r>
              <w:rPr>
                <w:rStyle w:val="IndexLink"/>
                <w:rtl w:val="true"/>
              </w:rPr>
              <w:t>]</w:t>
              <w:tab/>
            </w:r>
            <w:r>
              <w:rPr>
                <w:rStyle w:val="IndexLink"/>
              </w:rPr>
              <w:t>333</w:t>
            </w:r>
          </w:hyperlink>
        </w:p>
        <w:p>
          <w:pPr>
            <w:pStyle w:val="Contents4"/>
            <w:tabs>
              <w:tab w:val="clear" w:pos="8176"/>
              <w:tab w:val="right" w:pos="9026" w:leader="dot"/>
            </w:tabs>
            <w:rPr/>
          </w:pPr>
          <w:hyperlink w:anchor="__RefHeading___Toc256751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کان حاضراً فخرج إلی السفر فإن کان قبل الزوال وجب علیه الإفطار</w:t>
            </w:r>
            <w:r>
              <w:rPr>
                <w:rStyle w:val="IndexLink"/>
                <w:rtl w:val="true"/>
              </w:rPr>
              <w:t>]</w:t>
              <w:tab/>
            </w:r>
            <w:r>
              <w:rPr>
                <w:rStyle w:val="IndexLink"/>
              </w:rPr>
              <w:t>333</w:t>
            </w:r>
          </w:hyperlink>
        </w:p>
        <w:p>
          <w:pPr>
            <w:pStyle w:val="Contents4"/>
            <w:tabs>
              <w:tab w:val="clear" w:pos="8176"/>
              <w:tab w:val="right" w:pos="9026" w:leader="dot"/>
            </w:tabs>
            <w:rPr/>
          </w:pPr>
          <w:hyperlink w:anchor="__RefHeading___Toc256751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المسافر الجاهل بالحکم لو صام صحّ صومه</w:t>
            </w:r>
            <w:r>
              <w:rPr>
                <w:rStyle w:val="IndexLink"/>
                <w:rtl w:val="true"/>
              </w:rPr>
              <w:t>]</w:t>
              <w:tab/>
            </w:r>
            <w:r>
              <w:rPr>
                <w:rStyle w:val="IndexLink"/>
              </w:rPr>
              <w:t>333</w:t>
            </w:r>
          </w:hyperlink>
        </w:p>
        <w:p>
          <w:pPr>
            <w:pStyle w:val="Contents4"/>
            <w:tabs>
              <w:tab w:val="clear" w:pos="8176"/>
              <w:tab w:val="right" w:pos="9026" w:leader="dot"/>
            </w:tabs>
            <w:rPr/>
          </w:pPr>
          <w:hyperlink w:anchor="__RefHeading___Toc256751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یجوز علی الأصحّ السفر اختیاراً فی شهر رمضان</w:t>
            </w:r>
            <w:r>
              <w:rPr>
                <w:rStyle w:val="IndexLink"/>
                <w:rtl w:val="true"/>
              </w:rPr>
              <w:t>]</w:t>
              <w:tab/>
            </w:r>
            <w:r>
              <w:rPr>
                <w:rStyle w:val="IndexLink"/>
              </w:rPr>
              <w:t>333</w:t>
            </w:r>
          </w:hyperlink>
        </w:p>
        <w:p>
          <w:pPr>
            <w:pStyle w:val="Contents4"/>
            <w:tabs>
              <w:tab w:val="clear" w:pos="8176"/>
              <w:tab w:val="right" w:pos="9026" w:leader="dot"/>
            </w:tabs>
            <w:rPr/>
          </w:pPr>
          <w:hyperlink w:anchor="__RefHeading___Toc2567520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یکره للمسافر فی شهر رمضان بل کلّ من یجوز له الإفطار</w:t>
            </w:r>
            <w:r>
              <w:rPr>
                <w:rStyle w:val="IndexLink"/>
                <w:rtl w:val="true"/>
              </w:rPr>
              <w:t>]</w:t>
              <w:tab/>
            </w:r>
            <w:r>
              <w:rPr>
                <w:rStyle w:val="IndexLink"/>
              </w:rPr>
              <w:t>334</w:t>
            </w:r>
          </w:hyperlink>
        </w:p>
        <w:p>
          <w:pPr>
            <w:pStyle w:val="Contents4"/>
            <w:tabs>
              <w:tab w:val="clear" w:pos="8176"/>
              <w:tab w:val="right" w:pos="9026" w:leader="dot"/>
            </w:tabs>
            <w:rPr/>
          </w:pPr>
          <w:hyperlink w:anchor="__RefHeading___Toc2567522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یجوز الإفطار فی شهر رمضان لأشخاص</w:t>
            </w:r>
            <w:r>
              <w:rPr>
                <w:rStyle w:val="IndexLink"/>
                <w:rtl w:val="true"/>
              </w:rPr>
              <w:t xml:space="preserve">: </w:t>
            </w:r>
            <w:r>
              <w:rPr>
                <w:rStyle w:val="IndexLink"/>
                <w:rtl w:val="true"/>
              </w:rPr>
              <w:t>الشیخ و الشیخة إذا تعذّر أو تعسّر علیهما الصوم</w:t>
            </w:r>
            <w:r>
              <w:rPr>
                <w:rStyle w:val="IndexLink"/>
                <w:rtl w:val="true"/>
              </w:rPr>
              <w:t>]</w:t>
              <w:tab/>
            </w:r>
            <w:r>
              <w:rPr>
                <w:rStyle w:val="IndexLink"/>
              </w:rPr>
              <w:t>334</w:t>
            </w:r>
          </w:hyperlink>
        </w:p>
        <w:p>
          <w:pPr>
            <w:pStyle w:val="Contents4"/>
            <w:tabs>
              <w:tab w:val="clear" w:pos="8176"/>
              <w:tab w:val="right" w:pos="9026" w:leader="dot"/>
            </w:tabs>
            <w:rPr/>
          </w:pPr>
          <w:hyperlink w:anchor="__RefHeading___Toc2567524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لا فرق فی المرضعة بین أن یکون الولد لها أو متبرّعة برضاعه أو مستأجرة</w:t>
            </w:r>
            <w:r>
              <w:rPr>
                <w:rStyle w:val="IndexLink"/>
                <w:rtl w:val="true"/>
              </w:rPr>
              <w:t>]</w:t>
              <w:tab/>
            </w:r>
            <w:r>
              <w:rPr>
                <w:rStyle w:val="IndexLink"/>
              </w:rPr>
              <w:t>334</w:t>
            </w:r>
          </w:hyperlink>
        </w:p>
        <w:p>
          <w:pPr>
            <w:pStyle w:val="Contents4"/>
            <w:tabs>
              <w:tab w:val="clear" w:pos="8176"/>
              <w:tab w:val="right" w:pos="9026" w:leader="dot"/>
            </w:tabs>
            <w:rPr/>
          </w:pPr>
          <w:hyperlink w:anchor="__RefHeading___Toc2567526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یجب علی الحامل و المرضعة القضاء بعد ذلک</w:t>
            </w:r>
            <w:r>
              <w:rPr>
                <w:rStyle w:val="IndexLink"/>
                <w:rtl w:val="true"/>
              </w:rPr>
              <w:t>]</w:t>
              <w:tab/>
            </w:r>
            <w:r>
              <w:rPr>
                <w:rStyle w:val="IndexLink"/>
              </w:rPr>
              <w:t>334</w:t>
            </w:r>
          </w:hyperlink>
        </w:p>
        <w:p>
          <w:pPr>
            <w:pStyle w:val="Contents3"/>
            <w:tabs>
              <w:tab w:val="clear" w:pos="8459"/>
              <w:tab w:val="right" w:pos="9026" w:leader="dot"/>
            </w:tabs>
            <w:rPr/>
          </w:pPr>
          <w:hyperlink w:anchor="__RefHeading___Toc2567528_3650668749">
            <w:r>
              <w:rPr>
                <w:webHidden/>
                <w:rStyle w:val="IndexLink"/>
                <w:rtl w:val="true"/>
              </w:rPr>
              <w:t>[</w:t>
            </w:r>
            <w:r>
              <w:rPr>
                <w:rStyle w:val="IndexLink"/>
                <w:rtl w:val="true"/>
              </w:rPr>
              <w:t>القول فی طریق ثبوت هلال شهر رمضان و شوال</w:t>
            </w:r>
            <w:r>
              <w:rPr>
                <w:rStyle w:val="IndexLink"/>
                <w:rtl w:val="true"/>
              </w:rPr>
              <w:t>]</w:t>
              <w:tab/>
            </w:r>
            <w:r>
              <w:rPr>
                <w:rStyle w:val="IndexLink"/>
              </w:rPr>
              <w:t>334</w:t>
            </w:r>
          </w:hyperlink>
        </w:p>
        <w:p>
          <w:pPr>
            <w:pStyle w:val="Contents4"/>
            <w:tabs>
              <w:tab w:val="clear" w:pos="8176"/>
              <w:tab w:val="right" w:pos="9026" w:leader="dot"/>
            </w:tabs>
            <w:rPr/>
          </w:pPr>
          <w:hyperlink w:anchor="__RefHeading___Toc2567530_3650668749">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256753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بدّ فی قبول شهادة البیّنة أن تشهد بالرؤیة</w:t>
            </w:r>
            <w:r>
              <w:rPr>
                <w:rStyle w:val="IndexLink"/>
                <w:rtl w:val="true"/>
              </w:rPr>
              <w:t>]</w:t>
              <w:tab/>
            </w:r>
            <w:r>
              <w:rPr>
                <w:rStyle w:val="IndexLink"/>
              </w:rPr>
              <w:t>335</w:t>
            </w:r>
          </w:hyperlink>
        </w:p>
        <w:p>
          <w:pPr>
            <w:pStyle w:val="Contents4"/>
            <w:tabs>
              <w:tab w:val="clear" w:pos="8176"/>
              <w:tab w:val="right" w:pos="9026" w:leader="dot"/>
            </w:tabs>
            <w:rPr/>
          </w:pPr>
          <w:hyperlink w:anchor="__RefHeading___Toc256753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یعتبر فی حجّیة البیّنة قیامها عند الحاکم الشرعیّ</w:t>
            </w:r>
            <w:r>
              <w:rPr>
                <w:rStyle w:val="IndexLink"/>
                <w:rtl w:val="true"/>
              </w:rPr>
              <w:t>]</w:t>
              <w:tab/>
            </w:r>
            <w:r>
              <w:rPr>
                <w:rStyle w:val="IndexLink"/>
              </w:rPr>
              <w:t>335</w:t>
            </w:r>
          </w:hyperlink>
        </w:p>
        <w:p>
          <w:pPr>
            <w:pStyle w:val="Contents4"/>
            <w:tabs>
              <w:tab w:val="clear" w:pos="8176"/>
              <w:tab w:val="right" w:pos="9026" w:leader="dot"/>
            </w:tabs>
            <w:rPr/>
          </w:pPr>
          <w:hyperlink w:anchor="__RefHeading___Toc256753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اعتبار فی ثبوت الهلال بشهادة أربع من النساء</w:t>
            </w:r>
            <w:r>
              <w:rPr>
                <w:rStyle w:val="IndexLink"/>
                <w:rtl w:val="true"/>
              </w:rPr>
              <w:t>]</w:t>
              <w:tab/>
            </w:r>
            <w:r>
              <w:rPr>
                <w:rStyle w:val="IndexLink"/>
              </w:rPr>
              <w:t>335</w:t>
            </w:r>
          </w:hyperlink>
        </w:p>
        <w:p>
          <w:pPr>
            <w:pStyle w:val="Contents4"/>
            <w:tabs>
              <w:tab w:val="clear" w:pos="8176"/>
              <w:tab w:val="right" w:pos="9026" w:leader="dot"/>
            </w:tabs>
            <w:rPr/>
          </w:pPr>
          <w:hyperlink w:anchor="__RefHeading___Toc256753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لا فرق أن تکون البیّنة من البلد أو خارجه إذا کان فی السماء علّة</w:t>
            </w:r>
            <w:r>
              <w:rPr>
                <w:rStyle w:val="IndexLink"/>
                <w:rtl w:val="true"/>
              </w:rPr>
              <w:t>]</w:t>
              <w:tab/>
            </w:r>
            <w:r>
              <w:rPr>
                <w:rStyle w:val="IndexLink"/>
              </w:rPr>
              <w:t>335</w:t>
            </w:r>
          </w:hyperlink>
        </w:p>
        <w:p>
          <w:pPr>
            <w:pStyle w:val="Contents4"/>
            <w:tabs>
              <w:tab w:val="clear" w:pos="8176"/>
              <w:tab w:val="right" w:pos="9026" w:leader="dot"/>
            </w:tabs>
            <w:rPr/>
          </w:pPr>
          <w:hyperlink w:anchor="__RefHeading___Toc256754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یختصّ حجّیة حکم الحاکم بمقلّدیه</w:t>
            </w:r>
            <w:r>
              <w:rPr>
                <w:rStyle w:val="IndexLink"/>
                <w:rtl w:val="true"/>
              </w:rPr>
              <w:t>]</w:t>
              <w:tab/>
            </w:r>
            <w:r>
              <w:rPr>
                <w:rStyle w:val="IndexLink"/>
              </w:rPr>
              <w:t>335</w:t>
            </w:r>
          </w:hyperlink>
        </w:p>
        <w:p>
          <w:pPr>
            <w:pStyle w:val="Contents4"/>
            <w:tabs>
              <w:tab w:val="clear" w:pos="8176"/>
              <w:tab w:val="right" w:pos="9026" w:leader="dot"/>
            </w:tabs>
            <w:rPr/>
          </w:pPr>
          <w:hyperlink w:anchor="__RefHeading___Toc256754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ثبتت الرؤیة فی بلد آخر و لم تثبت فی بلده فإن کانا متقاربین أو علم توافق افقهما کفیٰ</w:t>
            </w:r>
            <w:r>
              <w:rPr>
                <w:rStyle w:val="IndexLink"/>
                <w:rtl w:val="true"/>
              </w:rPr>
              <w:t>]</w:t>
              <w:tab/>
            </w:r>
            <w:r>
              <w:rPr>
                <w:rStyle w:val="IndexLink"/>
              </w:rPr>
              <w:t>335</w:t>
            </w:r>
          </w:hyperlink>
        </w:p>
        <w:p>
          <w:pPr>
            <w:pStyle w:val="Contents4"/>
            <w:tabs>
              <w:tab w:val="clear" w:pos="8176"/>
              <w:tab w:val="right" w:pos="9026" w:leader="dot"/>
            </w:tabs>
            <w:rPr/>
          </w:pPr>
          <w:hyperlink w:anchor="__RefHeading___Toc256754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لا یجوز الاعتماد علی التلغراف فی الإخبار عن الرؤیة</w:t>
            </w:r>
            <w:r>
              <w:rPr>
                <w:rStyle w:val="IndexLink"/>
                <w:rtl w:val="true"/>
              </w:rPr>
              <w:t>]</w:t>
              <w:tab/>
            </w:r>
            <w:r>
              <w:rPr>
                <w:rStyle w:val="IndexLink"/>
              </w:rPr>
              <w:t>336</w:t>
            </w:r>
          </w:hyperlink>
        </w:p>
        <w:p>
          <w:pPr>
            <w:pStyle w:val="Contents3"/>
            <w:tabs>
              <w:tab w:val="clear" w:pos="8459"/>
              <w:tab w:val="right" w:pos="9026" w:leader="dot"/>
            </w:tabs>
            <w:rPr/>
          </w:pPr>
          <w:hyperlink w:anchor="__RefHeading___Toc2567546_3650668749">
            <w:r>
              <w:rPr>
                <w:webHidden/>
                <w:rStyle w:val="IndexLink"/>
                <w:rtl w:val="true"/>
              </w:rPr>
              <w:t>[</w:t>
            </w:r>
            <w:r>
              <w:rPr>
                <w:rStyle w:val="IndexLink"/>
                <w:rtl w:val="true"/>
              </w:rPr>
              <w:t>القول فی قضاء صوم شهر رمضان</w:t>
            </w:r>
            <w:r>
              <w:rPr>
                <w:rStyle w:val="IndexLink"/>
                <w:rtl w:val="true"/>
              </w:rPr>
              <w:t>]</w:t>
              <w:tab/>
            </w:r>
            <w:r>
              <w:rPr>
                <w:rStyle w:val="IndexLink"/>
              </w:rPr>
              <w:t>336</w:t>
            </w:r>
          </w:hyperlink>
        </w:p>
        <w:p>
          <w:pPr>
            <w:pStyle w:val="Contents4"/>
            <w:tabs>
              <w:tab w:val="clear" w:pos="8176"/>
              <w:tab w:val="right" w:pos="9026" w:leader="dot"/>
            </w:tabs>
            <w:rPr/>
          </w:pPr>
          <w:hyperlink w:anchor="__RefHeading___Toc2567548_3650668749">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256755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قد عرفت سابقاً وجوب الصوم علیٰ من بلغ قبل الزوال و لم یتناول شیئاً</w:t>
            </w:r>
            <w:r>
              <w:rPr>
                <w:rStyle w:val="IndexLink"/>
                <w:rtl w:val="true"/>
              </w:rPr>
              <w:t>]</w:t>
              <w:tab/>
            </w:r>
            <w:r>
              <w:rPr>
                <w:rStyle w:val="IndexLink"/>
              </w:rPr>
              <w:t>336</w:t>
            </w:r>
          </w:hyperlink>
        </w:p>
        <w:p>
          <w:pPr>
            <w:pStyle w:val="Contents4"/>
            <w:tabs>
              <w:tab w:val="clear" w:pos="8176"/>
              <w:tab w:val="right" w:pos="9026" w:leader="dot"/>
            </w:tabs>
            <w:rPr/>
          </w:pPr>
          <w:hyperlink w:anchor="__RefHeading___Toc256755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یجب القضاء علیٰ من فاته الصوم لسکر</w:t>
            </w:r>
            <w:r>
              <w:rPr>
                <w:rStyle w:val="IndexLink"/>
                <w:rtl w:val="true"/>
              </w:rPr>
              <w:t>]</w:t>
              <w:tab/>
            </w:r>
            <w:r>
              <w:rPr>
                <w:rStyle w:val="IndexLink"/>
              </w:rPr>
              <w:t>336</w:t>
            </w:r>
          </w:hyperlink>
        </w:p>
        <w:p>
          <w:pPr>
            <w:pStyle w:val="Contents4"/>
            <w:tabs>
              <w:tab w:val="clear" w:pos="8176"/>
              <w:tab w:val="right" w:pos="9026" w:leader="dot"/>
            </w:tabs>
            <w:rPr/>
          </w:pPr>
          <w:hyperlink w:anchor="__RefHeading___Toc256755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المخالف إذا استبصر لا یقضی ما أتی به علیٰ وفق مذهبه</w:t>
            </w:r>
            <w:r>
              <w:rPr>
                <w:rStyle w:val="IndexLink"/>
                <w:rtl w:val="true"/>
              </w:rPr>
              <w:t>]</w:t>
              <w:tab/>
            </w:r>
            <w:r>
              <w:rPr>
                <w:rStyle w:val="IndexLink"/>
              </w:rPr>
              <w:t>336</w:t>
            </w:r>
          </w:hyperlink>
        </w:p>
        <w:p>
          <w:pPr>
            <w:pStyle w:val="Contents4"/>
            <w:tabs>
              <w:tab w:val="clear" w:pos="8176"/>
              <w:tab w:val="right" w:pos="9026" w:leader="dot"/>
            </w:tabs>
            <w:rPr/>
          </w:pPr>
          <w:hyperlink w:anchor="__RefHeading___Toc256755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لا یجب الفور فی القضاء</w:t>
            </w:r>
            <w:r>
              <w:rPr>
                <w:rStyle w:val="IndexLink"/>
                <w:rtl w:val="true"/>
              </w:rPr>
              <w:t>]</w:t>
              <w:tab/>
            </w:r>
            <w:r>
              <w:rPr>
                <w:rStyle w:val="IndexLink"/>
              </w:rPr>
              <w:t>336</w:t>
            </w:r>
          </w:hyperlink>
        </w:p>
        <w:p>
          <w:pPr>
            <w:pStyle w:val="Contents4"/>
            <w:tabs>
              <w:tab w:val="clear" w:pos="8176"/>
              <w:tab w:val="right" w:pos="9026" w:leader="dot"/>
            </w:tabs>
            <w:rPr/>
          </w:pPr>
          <w:hyperlink w:anchor="__RefHeading___Toc256755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یجب الترتیب فی القضاء و لا تعیین الأیّام</w:t>
            </w:r>
            <w:r>
              <w:rPr>
                <w:rStyle w:val="IndexLink"/>
                <w:rtl w:val="true"/>
              </w:rPr>
              <w:t>]</w:t>
              <w:tab/>
            </w:r>
            <w:r>
              <w:rPr>
                <w:rStyle w:val="IndexLink"/>
              </w:rPr>
              <w:t>336</w:t>
            </w:r>
          </w:hyperlink>
        </w:p>
        <w:p>
          <w:pPr>
            <w:pStyle w:val="Contents4"/>
            <w:tabs>
              <w:tab w:val="clear" w:pos="8176"/>
              <w:tab w:val="right" w:pos="9026" w:leader="dot"/>
            </w:tabs>
            <w:rPr/>
          </w:pPr>
          <w:hyperlink w:anchor="__RefHeading___Toc256756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کان علیه قضاء رمضانین أو أکثر یتخیّر بین تقدیم السابق و تأخیره</w:t>
            </w:r>
            <w:r>
              <w:rPr>
                <w:rStyle w:val="IndexLink"/>
                <w:rtl w:val="true"/>
              </w:rPr>
              <w:t>]</w:t>
              <w:tab/>
            </w:r>
            <w:r>
              <w:rPr>
                <w:rStyle w:val="IndexLink"/>
              </w:rPr>
              <w:t>336</w:t>
            </w:r>
          </w:hyperlink>
        </w:p>
        <w:p>
          <w:pPr>
            <w:pStyle w:val="Contents4"/>
            <w:tabs>
              <w:tab w:val="clear" w:pos="8176"/>
              <w:tab w:val="right" w:pos="9026" w:leader="dot"/>
            </w:tabs>
            <w:rPr/>
          </w:pPr>
          <w:hyperlink w:anchor="__RefHeading___Toc256756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فاته صوم رمضان بمرض أو حیض أو نفاس و مات قبل أن یخرج منه</w:t>
            </w:r>
            <w:r>
              <w:rPr>
                <w:rStyle w:val="IndexLink"/>
                <w:rtl w:val="true"/>
              </w:rPr>
              <w:t>]</w:t>
              <w:tab/>
            </w:r>
            <w:r>
              <w:rPr>
                <w:rStyle w:val="IndexLink"/>
              </w:rPr>
              <w:t>337</w:t>
            </w:r>
          </w:hyperlink>
        </w:p>
        <w:p>
          <w:pPr>
            <w:pStyle w:val="Contents4"/>
            <w:tabs>
              <w:tab w:val="clear" w:pos="8176"/>
              <w:tab w:val="right" w:pos="9026" w:leader="dot"/>
            </w:tabs>
            <w:rPr/>
          </w:pPr>
          <w:hyperlink w:anchor="__RefHeading___Toc256756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فاته شهر رمضان أو بعضه لعذر و استمرّ إلیٰ رمضان آخر</w:t>
            </w:r>
            <w:r>
              <w:rPr>
                <w:rStyle w:val="IndexLink"/>
                <w:rtl w:val="true"/>
              </w:rPr>
              <w:t>]</w:t>
              <w:tab/>
            </w:r>
            <w:r>
              <w:rPr>
                <w:rStyle w:val="IndexLink"/>
              </w:rPr>
              <w:t>337</w:t>
            </w:r>
          </w:hyperlink>
        </w:p>
        <w:p>
          <w:pPr>
            <w:pStyle w:val="Contents4"/>
            <w:tabs>
              <w:tab w:val="clear" w:pos="8176"/>
              <w:tab w:val="right" w:pos="9026" w:leader="dot"/>
            </w:tabs>
            <w:rPr/>
          </w:pPr>
          <w:hyperlink w:anchor="__RefHeading___Toc256756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إذا فاته شهر رمضان أو بعضه لا لعذر بل متعمّداً و لم یأت بالقضاء إلیٰ رمضان آخر</w:t>
            </w:r>
            <w:r>
              <w:rPr>
                <w:rStyle w:val="IndexLink"/>
                <w:rtl w:val="true"/>
              </w:rPr>
              <w:t>]</w:t>
              <w:tab/>
            </w:r>
            <w:r>
              <w:rPr>
                <w:rStyle w:val="IndexLink"/>
              </w:rPr>
              <w:t>337</w:t>
            </w:r>
          </w:hyperlink>
        </w:p>
        <w:p>
          <w:pPr>
            <w:pStyle w:val="Contents4"/>
            <w:tabs>
              <w:tab w:val="clear" w:pos="8176"/>
              <w:tab w:val="right" w:pos="9026" w:leader="dot"/>
            </w:tabs>
            <w:rPr/>
          </w:pPr>
          <w:hyperlink w:anchor="__RefHeading___Toc2567568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لا تتکرّر کفّارة التأخیر بتکرّر السنین</w:t>
            </w:r>
            <w:r>
              <w:rPr>
                <w:rStyle w:val="IndexLink"/>
                <w:rtl w:val="true"/>
              </w:rPr>
              <w:t>]</w:t>
              <w:tab/>
            </w:r>
            <w:r>
              <w:rPr>
                <w:rStyle w:val="IndexLink"/>
              </w:rPr>
              <w:t>337</w:t>
            </w:r>
          </w:hyperlink>
        </w:p>
        <w:p>
          <w:pPr>
            <w:pStyle w:val="Contents4"/>
            <w:tabs>
              <w:tab w:val="clear" w:pos="8176"/>
              <w:tab w:val="right" w:pos="9026" w:leader="dot"/>
            </w:tabs>
            <w:rPr/>
          </w:pPr>
          <w:hyperlink w:anchor="__RefHeading___Toc2567570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یجوز إعطاء کفّارة أیّام عدیدة من رمضان واحد أو أزید لفقیر واحد</w:t>
            </w:r>
            <w:r>
              <w:rPr>
                <w:rStyle w:val="IndexLink"/>
                <w:rtl w:val="true"/>
              </w:rPr>
              <w:t>]</w:t>
              <w:tab/>
            </w:r>
            <w:r>
              <w:rPr>
                <w:rStyle w:val="IndexLink"/>
              </w:rPr>
              <w:t>337</w:t>
            </w:r>
          </w:hyperlink>
        </w:p>
        <w:p>
          <w:pPr>
            <w:pStyle w:val="Contents4"/>
            <w:tabs>
              <w:tab w:val="clear" w:pos="8176"/>
              <w:tab w:val="right" w:pos="9026" w:leader="dot"/>
            </w:tabs>
            <w:rPr/>
          </w:pPr>
          <w:hyperlink w:anchor="__RefHeading___Toc2567572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یجوز الإفطار قبل الزوال فی قضاء شهر رمضان ما لم یتضیّق</w:t>
            </w:r>
            <w:r>
              <w:rPr>
                <w:rStyle w:val="IndexLink"/>
                <w:rtl w:val="true"/>
              </w:rPr>
              <w:t>]</w:t>
              <w:tab/>
            </w:r>
            <w:r>
              <w:rPr>
                <w:rStyle w:val="IndexLink"/>
              </w:rPr>
              <w:t>337</w:t>
            </w:r>
          </w:hyperlink>
        </w:p>
        <w:p>
          <w:pPr>
            <w:pStyle w:val="Contents4"/>
            <w:tabs>
              <w:tab w:val="clear" w:pos="8176"/>
              <w:tab w:val="right" w:pos="9026" w:leader="dot"/>
            </w:tabs>
            <w:rPr/>
          </w:pPr>
          <w:hyperlink w:anchor="__RefHeading___Toc2567574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الصوم کالصلاة فی أنّه یجب علی الولیّ قضاء ما فات عنه لعذر</w:t>
            </w:r>
            <w:r>
              <w:rPr>
                <w:rStyle w:val="IndexLink"/>
                <w:rtl w:val="true"/>
              </w:rPr>
              <w:t>]</w:t>
              <w:tab/>
            </w:r>
            <w:r>
              <w:rPr>
                <w:rStyle w:val="IndexLink"/>
              </w:rPr>
              <w:t>338</w:t>
            </w:r>
          </w:hyperlink>
        </w:p>
        <w:p>
          <w:pPr>
            <w:pStyle w:val="Contents3"/>
            <w:tabs>
              <w:tab w:val="clear" w:pos="8459"/>
              <w:tab w:val="right" w:pos="9026" w:leader="dot"/>
            </w:tabs>
            <w:rPr/>
          </w:pPr>
          <w:hyperlink w:anchor="__RefHeading___Toc2567576_3650668749">
            <w:r>
              <w:rPr>
                <w:webHidden/>
                <w:rStyle w:val="IndexLink"/>
                <w:rtl w:val="true"/>
              </w:rPr>
              <w:t>[</w:t>
            </w:r>
            <w:r>
              <w:rPr>
                <w:rStyle w:val="IndexLink"/>
                <w:rtl w:val="true"/>
              </w:rPr>
              <w:t>القول فی أقسام الصوم</w:t>
            </w:r>
            <w:r>
              <w:rPr>
                <w:rStyle w:val="IndexLink"/>
                <w:rtl w:val="true"/>
              </w:rPr>
              <w:t>]</w:t>
              <w:tab/>
            </w:r>
            <w:r>
              <w:rPr>
                <w:rStyle w:val="IndexLink"/>
              </w:rPr>
              <w:t>338</w:t>
            </w:r>
          </w:hyperlink>
        </w:p>
        <w:p>
          <w:pPr>
            <w:pStyle w:val="Contents4"/>
            <w:tabs>
              <w:tab w:val="clear" w:pos="8176"/>
              <w:tab w:val="right" w:pos="9026" w:leader="dot"/>
            </w:tabs>
            <w:rPr/>
          </w:pPr>
          <w:hyperlink w:anchor="__RefHeading___Toc2567578_3650668749">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2567580_3650668749">
            <w:r>
              <w:rPr>
                <w:webHidden/>
                <w:rStyle w:val="IndexLink"/>
                <w:rtl w:val="true"/>
              </w:rPr>
              <w:t>[</w:t>
            </w:r>
            <w:r>
              <w:rPr>
                <w:rStyle w:val="IndexLink"/>
                <w:rtl w:val="true"/>
              </w:rPr>
              <w:t>القول فی صوم الکفّارة</w:t>
            </w:r>
            <w:r>
              <w:rPr>
                <w:rStyle w:val="IndexLink"/>
                <w:rtl w:val="true"/>
              </w:rPr>
              <w:t>]</w:t>
              <w:tab/>
            </w:r>
            <w:r>
              <w:rPr>
                <w:rStyle w:val="IndexLink"/>
              </w:rPr>
              <w:t>338</w:t>
            </w:r>
          </w:hyperlink>
        </w:p>
        <w:p>
          <w:pPr>
            <w:pStyle w:val="Contents5"/>
            <w:tabs>
              <w:tab w:val="clear" w:pos="7892"/>
              <w:tab w:val="right" w:pos="9026" w:leader="dot"/>
            </w:tabs>
            <w:rPr/>
          </w:pPr>
          <w:hyperlink w:anchor="__RefHeading___Toc2567582_3650668749">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2567584_3650668749">
            <w:r>
              <w:rPr>
                <w:webHidden/>
                <w:rStyle w:val="IndexLink"/>
                <w:rtl w:val="true"/>
              </w:rPr>
              <w:t>[</w:t>
            </w:r>
            <w:r>
              <w:rPr>
                <w:rStyle w:val="IndexLink"/>
                <w:rtl w:val="true"/>
              </w:rPr>
              <w:t>منها</w:t>
            </w:r>
            <w:r>
              <w:rPr>
                <w:rStyle w:val="IndexLink"/>
                <w:rtl w:val="true"/>
              </w:rPr>
              <w:t xml:space="preserve">: </w:t>
            </w:r>
            <w:r>
              <w:rPr>
                <w:rStyle w:val="IndexLink"/>
                <w:rtl w:val="true"/>
              </w:rPr>
              <w:t>ما یجب مع غیره</w:t>
            </w:r>
            <w:r>
              <w:rPr>
                <w:rStyle w:val="IndexLink"/>
                <w:rtl w:val="true"/>
              </w:rPr>
              <w:t>]</w:t>
              <w:tab/>
            </w:r>
            <w:r>
              <w:rPr>
                <w:rStyle w:val="IndexLink"/>
              </w:rPr>
              <w:t>338</w:t>
            </w:r>
          </w:hyperlink>
        </w:p>
        <w:p>
          <w:pPr>
            <w:pStyle w:val="Contents5"/>
            <w:tabs>
              <w:tab w:val="clear" w:pos="7892"/>
              <w:tab w:val="right" w:pos="9026" w:leader="dot"/>
            </w:tabs>
            <w:rPr/>
          </w:pPr>
          <w:hyperlink w:anchor="__RefHeading___Toc2567586_3650668749">
            <w:r>
              <w:rPr>
                <w:webHidden/>
                <w:rStyle w:val="IndexLink"/>
                <w:rtl w:val="true"/>
              </w:rPr>
              <w:t>[</w:t>
            </w:r>
            <w:r>
              <w:rPr>
                <w:rStyle w:val="IndexLink"/>
                <w:rtl w:val="true"/>
              </w:rPr>
              <w:t>و منها</w:t>
            </w:r>
            <w:r>
              <w:rPr>
                <w:rStyle w:val="IndexLink"/>
                <w:rtl w:val="true"/>
              </w:rPr>
              <w:t xml:space="preserve">: </w:t>
            </w:r>
            <w:r>
              <w:rPr>
                <w:rStyle w:val="IndexLink"/>
                <w:rtl w:val="true"/>
              </w:rPr>
              <w:t>ما یجب فیه الصوم بعد العجز عن غیره</w:t>
            </w:r>
            <w:r>
              <w:rPr>
                <w:rStyle w:val="IndexLink"/>
                <w:rtl w:val="true"/>
              </w:rPr>
              <w:t>]</w:t>
              <w:tab/>
            </w:r>
            <w:r>
              <w:rPr>
                <w:rStyle w:val="IndexLink"/>
              </w:rPr>
              <w:t>338</w:t>
            </w:r>
          </w:hyperlink>
        </w:p>
        <w:p>
          <w:pPr>
            <w:pStyle w:val="Contents5"/>
            <w:tabs>
              <w:tab w:val="clear" w:pos="7892"/>
              <w:tab w:val="right" w:pos="9026" w:leader="dot"/>
            </w:tabs>
            <w:rPr/>
          </w:pPr>
          <w:hyperlink w:anchor="__RefHeading___Toc2567588_3650668749">
            <w:r>
              <w:rPr>
                <w:webHidden/>
                <w:rStyle w:val="IndexLink"/>
                <w:rtl w:val="true"/>
              </w:rPr>
              <w:t>[</w:t>
            </w:r>
            <w:r>
              <w:rPr>
                <w:rStyle w:val="IndexLink"/>
                <w:rtl w:val="true"/>
              </w:rPr>
              <w:t>و منها</w:t>
            </w:r>
            <w:r>
              <w:rPr>
                <w:rStyle w:val="IndexLink"/>
                <w:rtl w:val="true"/>
              </w:rPr>
              <w:t xml:space="preserve">: </w:t>
            </w:r>
            <w:r>
              <w:rPr>
                <w:rStyle w:val="IndexLink"/>
                <w:rtl w:val="true"/>
              </w:rPr>
              <w:t>ما یجب فیه الصوم مخیّراً بینه و بین غیره</w:t>
            </w:r>
            <w:r>
              <w:rPr>
                <w:rStyle w:val="IndexLink"/>
                <w:rtl w:val="true"/>
              </w:rPr>
              <w:t>]</w:t>
              <w:tab/>
            </w:r>
            <w:r>
              <w:rPr>
                <w:rStyle w:val="IndexLink"/>
              </w:rPr>
              <w:t>339</w:t>
            </w:r>
          </w:hyperlink>
        </w:p>
        <w:p>
          <w:pPr>
            <w:pStyle w:val="Contents6"/>
            <w:tabs>
              <w:tab w:val="clear" w:pos="7609"/>
              <w:tab w:val="right" w:pos="9026" w:leader="dot"/>
            </w:tabs>
            <w:rPr/>
          </w:pPr>
          <w:hyperlink w:anchor="__RefHeading___Toc2567590_3650668749">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256759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یجب التتابع فی صوم شهرین من کفّارة الجمع أو کفّارة التخییر</w:t>
            </w:r>
            <w:r>
              <w:rPr>
                <w:rStyle w:val="IndexLink"/>
                <w:rtl w:val="true"/>
              </w:rPr>
              <w:t>]</w:t>
              <w:tab/>
            </w:r>
            <w:r>
              <w:rPr>
                <w:rStyle w:val="IndexLink"/>
              </w:rPr>
              <w:t>340</w:t>
            </w:r>
          </w:hyperlink>
        </w:p>
        <w:p>
          <w:pPr>
            <w:pStyle w:val="Contents4"/>
            <w:tabs>
              <w:tab w:val="clear" w:pos="8176"/>
              <w:tab w:val="right" w:pos="9026" w:leader="dot"/>
            </w:tabs>
            <w:rPr/>
          </w:pPr>
          <w:hyperlink w:anchor="__RefHeading___Toc2567594_3650668749">
            <w:r>
              <w:rPr>
                <w:webHidden/>
                <w:rStyle w:val="IndexLink"/>
                <w:rtl w:val="true"/>
              </w:rPr>
              <w:t>[</w:t>
            </w:r>
            <w:r>
              <w:rPr>
                <w:rStyle w:val="IndexLink"/>
                <w:rtl w:val="true"/>
              </w:rPr>
              <w:t>و أمّا المندوب من الصوم</w:t>
            </w:r>
            <w:r>
              <w:rPr>
                <w:rStyle w:val="IndexLink"/>
                <w:rtl w:val="true"/>
              </w:rPr>
              <w:t>]</w:t>
              <w:tab/>
            </w:r>
            <w:r>
              <w:rPr>
                <w:rStyle w:val="IndexLink"/>
              </w:rPr>
              <w:t>340</w:t>
            </w:r>
          </w:hyperlink>
        </w:p>
        <w:p>
          <w:pPr>
            <w:pStyle w:val="Contents4"/>
            <w:tabs>
              <w:tab w:val="clear" w:pos="8176"/>
              <w:tab w:val="right" w:pos="9026" w:leader="dot"/>
            </w:tabs>
            <w:rPr/>
          </w:pPr>
          <w:hyperlink w:anchor="__RefHeading___Toc2567596_3650668749">
            <w:r>
              <w:rPr>
                <w:webHidden/>
                <w:rStyle w:val="IndexLink"/>
                <w:rtl w:val="true"/>
              </w:rPr>
              <w:t>[</w:t>
            </w:r>
            <w:r>
              <w:rPr>
                <w:rStyle w:val="IndexLink"/>
                <w:rtl w:val="true"/>
              </w:rPr>
              <w:t>و أمّا المکروه</w:t>
            </w:r>
            <w:r>
              <w:rPr>
                <w:rStyle w:val="IndexLink"/>
                <w:rtl w:val="true"/>
              </w:rPr>
              <w:t>]</w:t>
              <w:tab/>
            </w:r>
            <w:r>
              <w:rPr>
                <w:rStyle w:val="IndexLink"/>
              </w:rPr>
              <w:t>341</w:t>
            </w:r>
          </w:hyperlink>
        </w:p>
        <w:p>
          <w:pPr>
            <w:pStyle w:val="Contents5"/>
            <w:tabs>
              <w:tab w:val="clear" w:pos="7892"/>
              <w:tab w:val="right" w:pos="9026" w:leader="dot"/>
            </w:tabs>
            <w:rPr/>
          </w:pPr>
          <w:hyperlink w:anchor="__RefHeading___Toc2567598_3650668749">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256760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یستحبّ للصائم ندباً أو موسّعاً الإفطار</w:t>
            </w:r>
            <w:r>
              <w:rPr>
                <w:rStyle w:val="IndexLink"/>
                <w:rtl w:val="true"/>
              </w:rPr>
              <w:t>]</w:t>
              <w:tab/>
            </w:r>
            <w:r>
              <w:rPr>
                <w:rStyle w:val="IndexLink"/>
              </w:rPr>
              <w:t>341</w:t>
            </w:r>
          </w:hyperlink>
        </w:p>
        <w:p>
          <w:pPr>
            <w:pStyle w:val="Contents4"/>
            <w:tabs>
              <w:tab w:val="clear" w:pos="8176"/>
              <w:tab w:val="right" w:pos="9026" w:leader="dot"/>
            </w:tabs>
            <w:rPr/>
          </w:pPr>
          <w:hyperlink w:anchor="__RefHeading___Toc2567602_3650668749">
            <w:r>
              <w:rPr>
                <w:webHidden/>
                <w:rStyle w:val="IndexLink"/>
                <w:rtl w:val="true"/>
              </w:rPr>
              <w:t>[</w:t>
            </w:r>
            <w:r>
              <w:rPr>
                <w:rStyle w:val="IndexLink"/>
                <w:rtl w:val="true"/>
              </w:rPr>
              <w:t>و أمّا المحظور</w:t>
            </w:r>
            <w:r>
              <w:rPr>
                <w:rStyle w:val="IndexLink"/>
                <w:rtl w:val="true"/>
              </w:rPr>
              <w:t>]</w:t>
              <w:tab/>
            </w:r>
            <w:r>
              <w:rPr>
                <w:rStyle w:val="IndexLink"/>
              </w:rPr>
              <w:t>341</w:t>
            </w:r>
          </w:hyperlink>
        </w:p>
        <w:p>
          <w:pPr>
            <w:pStyle w:val="Contents3"/>
            <w:tabs>
              <w:tab w:val="clear" w:pos="8459"/>
              <w:tab w:val="right" w:pos="9026" w:leader="dot"/>
            </w:tabs>
            <w:rPr/>
          </w:pPr>
          <w:hyperlink w:anchor="__RefHeading___Toc2567604_3650668749">
            <w:r>
              <w:rPr>
                <w:webHidden/>
                <w:rStyle w:val="IndexLink"/>
                <w:rtl w:val="true"/>
              </w:rPr>
              <w:t>[</w:t>
            </w:r>
            <w:r>
              <w:rPr>
                <w:rStyle w:val="IndexLink"/>
                <w:rtl w:val="true"/>
              </w:rPr>
              <w:t>خاتمة فی الاعتکاف</w:t>
            </w:r>
            <w:r>
              <w:rPr>
                <w:rStyle w:val="IndexLink"/>
                <w:rtl w:val="true"/>
              </w:rPr>
              <w:t>]</w:t>
              <w:tab/>
            </w:r>
            <w:r>
              <w:rPr>
                <w:rStyle w:val="IndexLink"/>
              </w:rPr>
              <w:t>342</w:t>
            </w:r>
          </w:hyperlink>
        </w:p>
        <w:p>
          <w:pPr>
            <w:pStyle w:val="Contents4"/>
            <w:tabs>
              <w:tab w:val="clear" w:pos="8176"/>
              <w:tab w:val="right" w:pos="9026" w:leader="dot"/>
            </w:tabs>
            <w:rPr/>
          </w:pPr>
          <w:hyperlink w:anchor="__RefHeading___Toc2567606_3650668749">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2567608_3650668749">
            <w:r>
              <w:rPr>
                <w:webHidden/>
                <w:rStyle w:val="IndexLink"/>
                <w:rtl w:val="true"/>
              </w:rPr>
              <w:t>[</w:t>
            </w:r>
            <w:r>
              <w:rPr>
                <w:rStyle w:val="IndexLink"/>
                <w:rtl w:val="true"/>
              </w:rPr>
              <w:t>القول فی شروطه</w:t>
            </w:r>
            <w:r>
              <w:rPr>
                <w:rStyle w:val="IndexLink"/>
                <w:rtl w:val="true"/>
              </w:rPr>
              <w:t>]</w:t>
              <w:tab/>
            </w:r>
            <w:r>
              <w:rPr>
                <w:rStyle w:val="IndexLink"/>
              </w:rPr>
              <w:t>342</w:t>
            </w:r>
          </w:hyperlink>
        </w:p>
        <w:p>
          <w:pPr>
            <w:pStyle w:val="Contents5"/>
            <w:tabs>
              <w:tab w:val="clear" w:pos="7892"/>
              <w:tab w:val="right" w:pos="9026" w:leader="dot"/>
            </w:tabs>
            <w:rPr/>
          </w:pPr>
          <w:hyperlink w:anchor="__RefHeading___Toc2567610_3650668749">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2567612_3650668749">
            <w:r>
              <w:rPr>
                <w:webHidden/>
                <w:rStyle w:val="IndexLink"/>
                <w:rtl w:val="true"/>
              </w:rPr>
              <w:t>[</w:t>
            </w:r>
            <w:r>
              <w:rPr>
                <w:rStyle w:val="IndexLink"/>
                <w:rtl w:val="true"/>
              </w:rPr>
              <w:t>یشترط فی صحّته أُمور</w:t>
            </w:r>
            <w:r>
              <w:rPr>
                <w:rStyle w:val="IndexLink"/>
                <w:rtl w:val="true"/>
              </w:rPr>
              <w:t>]</w:t>
              <w:tab/>
            </w:r>
            <w:r>
              <w:rPr>
                <w:rStyle w:val="IndexLink"/>
              </w:rPr>
              <w:t>342</w:t>
            </w:r>
          </w:hyperlink>
        </w:p>
        <w:p>
          <w:pPr>
            <w:pStyle w:val="Contents6"/>
            <w:tabs>
              <w:tab w:val="clear" w:pos="7609"/>
              <w:tab w:val="right" w:pos="9026" w:leader="dot"/>
            </w:tabs>
            <w:rPr/>
          </w:pPr>
          <w:hyperlink w:anchor="__RefHeading___Toc2567614_3650668749">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2567616_3650668749">
            <w:r>
              <w:rPr>
                <w:webHidden/>
                <w:rStyle w:val="IndexLink"/>
                <w:rtl w:val="true"/>
              </w:rPr>
              <w:t>[</w:t>
            </w:r>
            <w:r>
              <w:rPr>
                <w:rStyle w:val="IndexLink"/>
                <w:rtl w:val="true"/>
              </w:rPr>
              <w:t>الأوّل</w:t>
            </w:r>
            <w:r>
              <w:rPr>
                <w:rStyle w:val="IndexLink"/>
                <w:rtl w:val="true"/>
              </w:rPr>
              <w:t xml:space="preserve">: </w:t>
            </w:r>
            <w:r>
              <w:rPr>
                <w:rStyle w:val="IndexLink"/>
                <w:rtl w:val="true"/>
              </w:rPr>
              <w:t>العقل</w:t>
            </w:r>
            <w:r>
              <w:rPr>
                <w:rStyle w:val="IndexLink"/>
                <w:rtl w:val="true"/>
              </w:rPr>
              <w:t>]</w:t>
              <w:tab/>
            </w:r>
            <w:r>
              <w:rPr>
                <w:rStyle w:val="IndexLink"/>
              </w:rPr>
              <w:t>342</w:t>
            </w:r>
          </w:hyperlink>
        </w:p>
        <w:p>
          <w:pPr>
            <w:pStyle w:val="Contents6"/>
            <w:tabs>
              <w:tab w:val="clear" w:pos="7609"/>
              <w:tab w:val="right" w:pos="9026" w:leader="dot"/>
            </w:tabs>
            <w:rPr/>
          </w:pPr>
          <w:hyperlink w:anchor="__RefHeading___Toc2567618_3650668749">
            <w:r>
              <w:rPr>
                <w:webHidden/>
                <w:rStyle w:val="IndexLink"/>
                <w:rtl w:val="true"/>
              </w:rPr>
              <w:t>[</w:t>
            </w:r>
            <w:r>
              <w:rPr>
                <w:rStyle w:val="IndexLink"/>
                <w:rtl w:val="true"/>
              </w:rPr>
              <w:t>الثانی</w:t>
            </w:r>
            <w:r>
              <w:rPr>
                <w:rStyle w:val="IndexLink"/>
                <w:rtl w:val="true"/>
              </w:rPr>
              <w:t xml:space="preserve">: </w:t>
            </w:r>
            <w:r>
              <w:rPr>
                <w:rStyle w:val="IndexLink"/>
                <w:rtl w:val="true"/>
              </w:rPr>
              <w:t>النیّة</w:t>
            </w:r>
            <w:r>
              <w:rPr>
                <w:rStyle w:val="IndexLink"/>
                <w:rtl w:val="true"/>
              </w:rPr>
              <w:t>]</w:t>
              <w:tab/>
            </w:r>
            <w:r>
              <w:rPr>
                <w:rStyle w:val="IndexLink"/>
              </w:rPr>
              <w:t>342</w:t>
            </w:r>
          </w:hyperlink>
        </w:p>
        <w:p>
          <w:pPr>
            <w:pStyle w:val="Contents6"/>
            <w:tabs>
              <w:tab w:val="clear" w:pos="7609"/>
              <w:tab w:val="right" w:pos="9026" w:leader="dot"/>
            </w:tabs>
            <w:rPr/>
          </w:pPr>
          <w:hyperlink w:anchor="__RefHeading___Toc2567620_3650668749">
            <w:r>
              <w:rPr>
                <w:webHidden/>
                <w:rStyle w:val="IndexLink"/>
                <w:rtl w:val="true"/>
              </w:rPr>
              <w:t>[</w:t>
            </w:r>
            <w:r>
              <w:rPr>
                <w:rStyle w:val="IndexLink"/>
                <w:rtl w:val="true"/>
              </w:rPr>
              <w:t>الثالث</w:t>
            </w:r>
            <w:r>
              <w:rPr>
                <w:rStyle w:val="IndexLink"/>
                <w:rtl w:val="true"/>
              </w:rPr>
              <w:t xml:space="preserve">: </w:t>
            </w:r>
            <w:r>
              <w:rPr>
                <w:rStyle w:val="IndexLink"/>
                <w:rtl w:val="true"/>
              </w:rPr>
              <w:t>الصوم</w:t>
            </w:r>
            <w:r>
              <w:rPr>
                <w:rStyle w:val="IndexLink"/>
                <w:rtl w:val="true"/>
              </w:rPr>
              <w:t>]</w:t>
              <w:tab/>
            </w:r>
            <w:r>
              <w:rPr>
                <w:rStyle w:val="IndexLink"/>
              </w:rPr>
              <w:t>342</w:t>
            </w:r>
          </w:hyperlink>
        </w:p>
        <w:p>
          <w:pPr>
            <w:pStyle w:val="Contents6"/>
            <w:tabs>
              <w:tab w:val="clear" w:pos="7609"/>
              <w:tab w:val="right" w:pos="9026" w:leader="dot"/>
            </w:tabs>
            <w:rPr/>
          </w:pPr>
          <w:hyperlink w:anchor="__RefHeading___Toc2567622_3650668749">
            <w:r>
              <w:rPr>
                <w:webHidden/>
                <w:rStyle w:val="IndexLink"/>
                <w:rtl w:val="true"/>
              </w:rPr>
              <w:t>[</w:t>
            </w:r>
            <w:r>
              <w:rPr>
                <w:rStyle w:val="IndexLink"/>
                <w:rtl w:val="true"/>
              </w:rPr>
              <w:t>الرابع</w:t>
            </w:r>
            <w:r>
              <w:rPr>
                <w:rStyle w:val="IndexLink"/>
                <w:rtl w:val="true"/>
              </w:rPr>
              <w:t xml:space="preserve">: </w:t>
            </w:r>
            <w:r>
              <w:rPr>
                <w:rStyle w:val="IndexLink"/>
                <w:rtl w:val="true"/>
              </w:rPr>
              <w:t>أن لا یکون أقلّ من ثلاثة أیّام بلیالیها المتوسّطة</w:t>
            </w:r>
            <w:r>
              <w:rPr>
                <w:rStyle w:val="IndexLink"/>
                <w:rtl w:val="true"/>
              </w:rPr>
              <w:t>]</w:t>
              <w:tab/>
            </w:r>
            <w:r>
              <w:rPr>
                <w:rStyle w:val="IndexLink"/>
              </w:rPr>
              <w:t>342</w:t>
            </w:r>
          </w:hyperlink>
        </w:p>
        <w:p>
          <w:pPr>
            <w:pStyle w:val="Contents6"/>
            <w:tabs>
              <w:tab w:val="clear" w:pos="7609"/>
              <w:tab w:val="right" w:pos="9026" w:leader="dot"/>
            </w:tabs>
            <w:rPr/>
          </w:pPr>
          <w:hyperlink w:anchor="__RefHeading___Toc2567624_3650668749">
            <w:r>
              <w:rPr>
                <w:webHidden/>
                <w:rStyle w:val="IndexLink"/>
                <w:rtl w:val="true"/>
              </w:rPr>
              <w:t>[</w:t>
            </w:r>
            <w:r>
              <w:rPr>
                <w:rStyle w:val="IndexLink"/>
                <w:rtl w:val="true"/>
              </w:rPr>
              <w:t>الخامس</w:t>
            </w:r>
            <w:r>
              <w:rPr>
                <w:rStyle w:val="IndexLink"/>
                <w:rtl w:val="true"/>
              </w:rPr>
              <w:t xml:space="preserve">: </w:t>
            </w:r>
            <w:r>
              <w:rPr>
                <w:rStyle w:val="IndexLink"/>
                <w:rtl w:val="true"/>
              </w:rPr>
              <w:t>أن یکون فی مسجد جامع</w:t>
            </w:r>
            <w:r>
              <w:rPr>
                <w:rStyle w:val="IndexLink"/>
                <w:rtl w:val="true"/>
              </w:rPr>
              <w:t>]</w:t>
              <w:tab/>
            </w:r>
            <w:r>
              <w:rPr>
                <w:rStyle w:val="IndexLink"/>
              </w:rPr>
              <w:t>343</w:t>
            </w:r>
          </w:hyperlink>
        </w:p>
        <w:p>
          <w:pPr>
            <w:pStyle w:val="Contents6"/>
            <w:tabs>
              <w:tab w:val="clear" w:pos="7609"/>
              <w:tab w:val="right" w:pos="9026" w:leader="dot"/>
            </w:tabs>
            <w:rPr/>
          </w:pPr>
          <w:hyperlink w:anchor="__RefHeading___Toc2567626_3650668749">
            <w:r>
              <w:rPr>
                <w:webHidden/>
                <w:rStyle w:val="IndexLink"/>
                <w:rtl w:val="true"/>
              </w:rPr>
              <w:t>[</w:t>
            </w:r>
            <w:r>
              <w:rPr>
                <w:rStyle w:val="IndexLink"/>
                <w:rtl w:val="true"/>
              </w:rPr>
              <w:t>السادس</w:t>
            </w:r>
            <w:r>
              <w:rPr>
                <w:rStyle w:val="IndexLink"/>
                <w:rtl w:val="true"/>
              </w:rPr>
              <w:t xml:space="preserve">: </w:t>
            </w:r>
            <w:r>
              <w:rPr>
                <w:rStyle w:val="IndexLink"/>
                <w:rtl w:val="true"/>
              </w:rPr>
              <w:t>إذن من یعتبر إذنه کالسیّد بالنسبة إلیٰ مملوکه مطلقاً</w:t>
            </w:r>
            <w:r>
              <w:rPr>
                <w:rStyle w:val="IndexLink"/>
                <w:rtl w:val="true"/>
              </w:rPr>
              <w:t>]</w:t>
              <w:tab/>
            </w:r>
            <w:r>
              <w:rPr>
                <w:rStyle w:val="IndexLink"/>
              </w:rPr>
              <w:t>343</w:t>
            </w:r>
          </w:hyperlink>
        </w:p>
        <w:p>
          <w:pPr>
            <w:pStyle w:val="Contents6"/>
            <w:tabs>
              <w:tab w:val="clear" w:pos="7609"/>
              <w:tab w:val="right" w:pos="9026" w:leader="dot"/>
            </w:tabs>
            <w:rPr/>
          </w:pPr>
          <w:hyperlink w:anchor="__RefHeading___Toc2567628_3650668749">
            <w:r>
              <w:rPr>
                <w:webHidden/>
                <w:rStyle w:val="IndexLink"/>
                <w:rtl w:val="true"/>
              </w:rPr>
              <w:t>[</w:t>
            </w:r>
            <w:r>
              <w:rPr>
                <w:rStyle w:val="IndexLink"/>
                <w:rtl w:val="true"/>
              </w:rPr>
              <w:t>السابع</w:t>
            </w:r>
            <w:r>
              <w:rPr>
                <w:rStyle w:val="IndexLink"/>
                <w:rtl w:val="true"/>
              </w:rPr>
              <w:t xml:space="preserve">: </w:t>
            </w:r>
            <w:r>
              <w:rPr>
                <w:rStyle w:val="IndexLink"/>
                <w:rtl w:val="true"/>
              </w:rPr>
              <w:t>استدامة اللبث فی المسجد</w:t>
            </w:r>
            <w:r>
              <w:rPr>
                <w:rStyle w:val="IndexLink"/>
                <w:rtl w:val="true"/>
              </w:rPr>
              <w:t>]</w:t>
              <w:tab/>
            </w:r>
            <w:r>
              <w:rPr>
                <w:rStyle w:val="IndexLink"/>
              </w:rPr>
              <w:t>343</w:t>
            </w:r>
          </w:hyperlink>
        </w:p>
        <w:p>
          <w:pPr>
            <w:pStyle w:val="Contents5"/>
            <w:tabs>
              <w:tab w:val="clear" w:pos="7892"/>
              <w:tab w:val="right" w:pos="9026" w:leader="dot"/>
            </w:tabs>
            <w:rPr/>
          </w:pPr>
          <w:hyperlink w:anchor="__RefHeading___Toc256763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یشترط فی صحّة الاعتکاف البلوغ</w:t>
            </w:r>
            <w:r>
              <w:rPr>
                <w:rStyle w:val="IndexLink"/>
                <w:rtl w:val="true"/>
              </w:rPr>
              <w:t>]</w:t>
              <w:tab/>
            </w:r>
            <w:r>
              <w:rPr>
                <w:rStyle w:val="IndexLink"/>
              </w:rPr>
              <w:t>343</w:t>
            </w:r>
          </w:hyperlink>
        </w:p>
        <w:p>
          <w:pPr>
            <w:pStyle w:val="Contents5"/>
            <w:tabs>
              <w:tab w:val="clear" w:pos="7892"/>
              <w:tab w:val="right" w:pos="9026" w:leader="dot"/>
            </w:tabs>
            <w:rPr/>
          </w:pPr>
          <w:hyperlink w:anchor="__RefHeading___Toc256763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یجوز العدول من اعتکاف إلی اعتکاف آخر</w:t>
            </w:r>
            <w:r>
              <w:rPr>
                <w:rStyle w:val="IndexLink"/>
                <w:rtl w:val="true"/>
              </w:rPr>
              <w:t>]</w:t>
              <w:tab/>
            </w:r>
            <w:r>
              <w:rPr>
                <w:rStyle w:val="IndexLink"/>
              </w:rPr>
              <w:t>343</w:t>
            </w:r>
          </w:hyperlink>
        </w:p>
        <w:p>
          <w:pPr>
            <w:pStyle w:val="Contents5"/>
            <w:tabs>
              <w:tab w:val="clear" w:pos="7892"/>
              <w:tab w:val="right" w:pos="9026" w:leader="dot"/>
            </w:tabs>
            <w:rPr/>
          </w:pPr>
          <w:hyperlink w:anchor="__RefHeading___Toc256763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یجوز قطع الاعتکاف المندوب فی الیومین الأوّلین</w:t>
            </w:r>
            <w:r>
              <w:rPr>
                <w:rStyle w:val="IndexLink"/>
                <w:rtl w:val="true"/>
              </w:rPr>
              <w:t>]</w:t>
              <w:tab/>
            </w:r>
            <w:r>
              <w:rPr>
                <w:rStyle w:val="IndexLink"/>
              </w:rPr>
              <w:t>344</w:t>
            </w:r>
          </w:hyperlink>
        </w:p>
        <w:p>
          <w:pPr>
            <w:pStyle w:val="Contents5"/>
            <w:tabs>
              <w:tab w:val="clear" w:pos="7892"/>
              <w:tab w:val="right" w:pos="9026" w:leader="dot"/>
            </w:tabs>
            <w:rPr/>
          </w:pPr>
          <w:hyperlink w:anchor="__RefHeading___Toc256763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لا بدّ من کون الأیّام الثلاثة متّصلة</w:t>
            </w:r>
            <w:r>
              <w:rPr>
                <w:rStyle w:val="IndexLink"/>
                <w:rtl w:val="true"/>
              </w:rPr>
              <w:t>]</w:t>
              <w:tab/>
            </w:r>
            <w:r>
              <w:rPr>
                <w:rStyle w:val="IndexLink"/>
              </w:rPr>
              <w:t>344</w:t>
            </w:r>
          </w:hyperlink>
        </w:p>
        <w:p>
          <w:pPr>
            <w:pStyle w:val="Contents5"/>
            <w:tabs>
              <w:tab w:val="clear" w:pos="7892"/>
              <w:tab w:val="right" w:pos="9026" w:leader="dot"/>
            </w:tabs>
            <w:rPr/>
          </w:pPr>
          <w:hyperlink w:anchor="__RefHeading___Toc256763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نذر اعتکاف شهر یجزیه ما بین الهلالین و إن کان ناقصاً</w:t>
            </w:r>
            <w:r>
              <w:rPr>
                <w:rStyle w:val="IndexLink"/>
                <w:rtl w:val="true"/>
              </w:rPr>
              <w:t>]</w:t>
              <w:tab/>
            </w:r>
            <w:r>
              <w:rPr>
                <w:rStyle w:val="IndexLink"/>
              </w:rPr>
              <w:t>344</w:t>
            </w:r>
          </w:hyperlink>
        </w:p>
        <w:p>
          <w:pPr>
            <w:pStyle w:val="Contents5"/>
            <w:tabs>
              <w:tab w:val="clear" w:pos="7892"/>
              <w:tab w:val="right" w:pos="9026" w:leader="dot"/>
            </w:tabs>
            <w:rPr/>
          </w:pPr>
          <w:hyperlink w:anchor="__RefHeading___Toc256764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یعتبر فی الاعتکاف الواحد وحدة المسجد</w:t>
            </w:r>
            <w:r>
              <w:rPr>
                <w:rStyle w:val="IndexLink"/>
                <w:rtl w:val="true"/>
              </w:rPr>
              <w:t>]</w:t>
              <w:tab/>
            </w:r>
            <w:r>
              <w:rPr>
                <w:rStyle w:val="IndexLink"/>
              </w:rPr>
              <w:t>344</w:t>
            </w:r>
          </w:hyperlink>
        </w:p>
        <w:p>
          <w:pPr>
            <w:pStyle w:val="Contents5"/>
            <w:tabs>
              <w:tab w:val="clear" w:pos="7892"/>
              <w:tab w:val="right" w:pos="9026" w:leader="dot"/>
            </w:tabs>
            <w:rPr/>
          </w:pPr>
          <w:hyperlink w:anchor="__RefHeading___Toc256764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سطوح المساجد و سرادیبها و محاریبها من المساجد</w:t>
            </w:r>
            <w:r>
              <w:rPr>
                <w:rStyle w:val="IndexLink"/>
                <w:rtl w:val="true"/>
              </w:rPr>
              <w:t>]</w:t>
              <w:tab/>
            </w:r>
            <w:r>
              <w:rPr>
                <w:rStyle w:val="IndexLink"/>
              </w:rPr>
              <w:t>344</w:t>
            </w:r>
          </w:hyperlink>
        </w:p>
        <w:p>
          <w:pPr>
            <w:pStyle w:val="Contents5"/>
            <w:tabs>
              <w:tab w:val="clear" w:pos="7892"/>
              <w:tab w:val="right" w:pos="9026" w:leader="dot"/>
            </w:tabs>
            <w:rPr/>
          </w:pPr>
          <w:hyperlink w:anchor="__RefHeading___Toc256764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عیّن موضعاً خاصّاً من المسجد محلّا لاعتکافه لم یتعیّن</w:t>
            </w:r>
            <w:r>
              <w:rPr>
                <w:rStyle w:val="IndexLink"/>
                <w:rtl w:val="true"/>
              </w:rPr>
              <w:t>]</w:t>
              <w:tab/>
            </w:r>
            <w:r>
              <w:rPr>
                <w:rStyle w:val="IndexLink"/>
              </w:rPr>
              <w:t>344</w:t>
            </w:r>
          </w:hyperlink>
        </w:p>
        <w:p>
          <w:pPr>
            <w:pStyle w:val="Contents5"/>
            <w:tabs>
              <w:tab w:val="clear" w:pos="7892"/>
              <w:tab w:val="right" w:pos="9026" w:leader="dot"/>
            </w:tabs>
            <w:rPr/>
          </w:pPr>
          <w:hyperlink w:anchor="__RefHeading___Toc256764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من الضرورات المبیحة للخروج</w:t>
            </w:r>
            <w:r>
              <w:rPr>
                <w:rStyle w:val="IndexLink"/>
                <w:rtl w:val="true"/>
              </w:rPr>
              <w:t xml:space="preserve">: </w:t>
            </w:r>
            <w:r>
              <w:rPr>
                <w:rStyle w:val="IndexLink"/>
                <w:rtl w:val="true"/>
              </w:rPr>
              <w:t>إقامة الشهادة، و حضور الجماعة</w:t>
            </w:r>
            <w:r>
              <w:rPr>
                <w:rStyle w:val="IndexLink"/>
                <w:rtl w:val="true"/>
              </w:rPr>
              <w:t>]</w:t>
              <w:tab/>
            </w:r>
            <w:r>
              <w:rPr>
                <w:rStyle w:val="IndexLink"/>
              </w:rPr>
              <w:t>344</w:t>
            </w:r>
          </w:hyperlink>
        </w:p>
        <w:p>
          <w:pPr>
            <w:pStyle w:val="Contents5"/>
            <w:tabs>
              <w:tab w:val="clear" w:pos="7892"/>
              <w:tab w:val="right" w:pos="9026" w:leader="dot"/>
            </w:tabs>
            <w:rPr/>
          </w:pPr>
          <w:hyperlink w:anchor="__RefHeading___Toc2567648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لو أجنب فی المسجد وجب علیه الخروج للاغتسال إذا لم یمکن إیقاعه فیه</w:t>
            </w:r>
            <w:r>
              <w:rPr>
                <w:rStyle w:val="IndexLink"/>
                <w:rtl w:val="true"/>
              </w:rPr>
              <w:t>]</w:t>
              <w:tab/>
            </w:r>
            <w:r>
              <w:rPr>
                <w:rStyle w:val="IndexLink"/>
              </w:rPr>
              <w:t>345</w:t>
            </w:r>
          </w:hyperlink>
        </w:p>
        <w:p>
          <w:pPr>
            <w:pStyle w:val="Contents5"/>
            <w:tabs>
              <w:tab w:val="clear" w:pos="7892"/>
              <w:tab w:val="right" w:pos="9026" w:leader="dot"/>
            </w:tabs>
            <w:rPr/>
          </w:pPr>
          <w:hyperlink w:anchor="__RefHeading___Toc2567650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لو غصب مکاناً فی المسجد بأن دفع من سبق إلیه و جلس فیه بطل</w:t>
            </w:r>
            <w:r>
              <w:rPr>
                <w:rStyle w:val="IndexLink"/>
                <w:rtl w:val="true"/>
              </w:rPr>
              <w:t>]</w:t>
              <w:tab/>
            </w:r>
            <w:r>
              <w:rPr>
                <w:rStyle w:val="IndexLink"/>
              </w:rPr>
              <w:t>345</w:t>
            </w:r>
          </w:hyperlink>
        </w:p>
        <w:p>
          <w:pPr>
            <w:pStyle w:val="Contents5"/>
            <w:tabs>
              <w:tab w:val="clear" w:pos="7892"/>
              <w:tab w:val="right" w:pos="9026" w:leader="dot"/>
            </w:tabs>
            <w:rPr/>
          </w:pPr>
          <w:hyperlink w:anchor="__RefHeading___Toc2567652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لو طال الخروج فی مورد الضرورة بحیث انمحت صورة الاعتکاف بطل</w:t>
            </w:r>
            <w:r>
              <w:rPr>
                <w:rStyle w:val="IndexLink"/>
                <w:rtl w:val="true"/>
              </w:rPr>
              <w:t>]</w:t>
              <w:tab/>
            </w:r>
            <w:r>
              <w:rPr>
                <w:rStyle w:val="IndexLink"/>
              </w:rPr>
              <w:t>345</w:t>
            </w:r>
          </w:hyperlink>
        </w:p>
        <w:p>
          <w:pPr>
            <w:pStyle w:val="Contents5"/>
            <w:tabs>
              <w:tab w:val="clear" w:pos="7892"/>
              <w:tab w:val="right" w:pos="9026" w:leader="dot"/>
            </w:tabs>
            <w:rPr/>
          </w:pPr>
          <w:hyperlink w:anchor="__RefHeading___Toc2567654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یجوز للمعتکف أن یشترط حین النیّة الرجوع عن اعتکافه متی شاء حتّی الیوم الثالث</w:t>
            </w:r>
            <w:r>
              <w:rPr>
                <w:rStyle w:val="IndexLink"/>
                <w:rtl w:val="true"/>
              </w:rPr>
              <w:t>]</w:t>
              <w:tab/>
            </w:r>
            <w:r>
              <w:rPr>
                <w:rStyle w:val="IndexLink"/>
              </w:rPr>
              <w:t>345</w:t>
            </w:r>
          </w:hyperlink>
        </w:p>
        <w:p>
          <w:pPr>
            <w:pStyle w:val="Contents4"/>
            <w:tabs>
              <w:tab w:val="clear" w:pos="8176"/>
              <w:tab w:val="right" w:pos="9026" w:leader="dot"/>
            </w:tabs>
            <w:rPr/>
          </w:pPr>
          <w:hyperlink w:anchor="__RefHeading___Toc2567656_3650668749">
            <w:r>
              <w:rPr>
                <w:webHidden/>
                <w:rStyle w:val="IndexLink"/>
                <w:rtl w:val="true"/>
              </w:rPr>
              <w:t>[</w:t>
            </w:r>
            <w:r>
              <w:rPr>
                <w:rStyle w:val="IndexLink"/>
                <w:rtl w:val="true"/>
              </w:rPr>
              <w:t>القول فی أحکام الاعتکاف</w:t>
            </w:r>
            <w:r>
              <w:rPr>
                <w:rStyle w:val="IndexLink"/>
                <w:rtl w:val="true"/>
              </w:rPr>
              <w:t>]</w:t>
              <w:tab/>
            </w:r>
            <w:r>
              <w:rPr>
                <w:rStyle w:val="IndexLink"/>
              </w:rPr>
              <w:t>346</w:t>
            </w:r>
          </w:hyperlink>
        </w:p>
        <w:p>
          <w:pPr>
            <w:pStyle w:val="Contents5"/>
            <w:tabs>
              <w:tab w:val="clear" w:pos="7892"/>
              <w:tab w:val="right" w:pos="9026" w:leader="dot"/>
            </w:tabs>
            <w:rPr/>
          </w:pPr>
          <w:hyperlink w:anchor="__RefHeading___Toc2567658_3650668749">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2567660_3650668749">
            <w:r>
              <w:rPr>
                <w:webHidden/>
                <w:rStyle w:val="IndexLink"/>
                <w:rtl w:val="true"/>
              </w:rPr>
              <w:t>[</w:t>
            </w:r>
            <w:r>
              <w:rPr>
                <w:rStyle w:val="IndexLink"/>
                <w:rtl w:val="true"/>
              </w:rPr>
              <w:t>یحرم علی المعتکف أُمور</w:t>
            </w:r>
            <w:r>
              <w:rPr>
                <w:rStyle w:val="IndexLink"/>
                <w:rtl w:val="true"/>
              </w:rPr>
              <w:t>]</w:t>
              <w:tab/>
            </w:r>
            <w:r>
              <w:rPr>
                <w:rStyle w:val="IndexLink"/>
              </w:rPr>
              <w:t>346</w:t>
            </w:r>
          </w:hyperlink>
        </w:p>
        <w:p>
          <w:pPr>
            <w:pStyle w:val="Contents6"/>
            <w:tabs>
              <w:tab w:val="clear" w:pos="7609"/>
              <w:tab w:val="right" w:pos="9026" w:leader="dot"/>
            </w:tabs>
            <w:rPr/>
          </w:pPr>
          <w:hyperlink w:anchor="__RefHeading___Toc2567662_3650668749">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2567664_3650668749">
            <w:r>
              <w:rPr>
                <w:webHidden/>
                <w:rStyle w:val="IndexLink"/>
                <w:rtl w:val="true"/>
              </w:rPr>
              <w:t>[</w:t>
            </w:r>
            <w:r>
              <w:rPr>
                <w:rStyle w:val="IndexLink"/>
                <w:rtl w:val="true"/>
              </w:rPr>
              <w:t>منها</w:t>
            </w:r>
            <w:r>
              <w:rPr>
                <w:rStyle w:val="IndexLink"/>
                <w:rtl w:val="true"/>
              </w:rPr>
              <w:t xml:space="preserve">: </w:t>
            </w:r>
            <w:r>
              <w:rPr>
                <w:rStyle w:val="IndexLink"/>
                <w:rtl w:val="true"/>
              </w:rPr>
              <w:t>مباشرة النساء</w:t>
            </w:r>
            <w:r>
              <w:rPr>
                <w:rStyle w:val="IndexLink"/>
                <w:rtl w:val="true"/>
              </w:rPr>
              <w:t>]</w:t>
              <w:tab/>
            </w:r>
            <w:r>
              <w:rPr>
                <w:rStyle w:val="IndexLink"/>
              </w:rPr>
              <w:t>346</w:t>
            </w:r>
          </w:hyperlink>
        </w:p>
        <w:p>
          <w:pPr>
            <w:pStyle w:val="Contents6"/>
            <w:tabs>
              <w:tab w:val="clear" w:pos="7609"/>
              <w:tab w:val="right" w:pos="9026" w:leader="dot"/>
            </w:tabs>
            <w:rPr/>
          </w:pPr>
          <w:hyperlink w:anchor="__RefHeading___Toc2567666_3650668749">
            <w:r>
              <w:rPr>
                <w:webHidden/>
                <w:rStyle w:val="IndexLink"/>
                <w:rtl w:val="true"/>
              </w:rPr>
              <w:t>[</w:t>
            </w:r>
            <w:r>
              <w:rPr>
                <w:rStyle w:val="IndexLink"/>
                <w:rtl w:val="true"/>
              </w:rPr>
              <w:t>و منها</w:t>
            </w:r>
            <w:r>
              <w:rPr>
                <w:rStyle w:val="IndexLink"/>
                <w:rtl w:val="true"/>
              </w:rPr>
              <w:t xml:space="preserve">: </w:t>
            </w:r>
            <w:r>
              <w:rPr>
                <w:rStyle w:val="IndexLink"/>
                <w:rtl w:val="true"/>
              </w:rPr>
              <w:t>الاستمناء</w:t>
            </w:r>
            <w:r>
              <w:rPr>
                <w:rStyle w:val="IndexLink"/>
                <w:rtl w:val="true"/>
              </w:rPr>
              <w:t>]</w:t>
              <w:tab/>
            </w:r>
            <w:r>
              <w:rPr>
                <w:rStyle w:val="IndexLink"/>
              </w:rPr>
              <w:t>346</w:t>
            </w:r>
          </w:hyperlink>
        </w:p>
        <w:p>
          <w:pPr>
            <w:pStyle w:val="Contents6"/>
            <w:tabs>
              <w:tab w:val="clear" w:pos="7609"/>
              <w:tab w:val="right" w:pos="9026" w:leader="dot"/>
            </w:tabs>
            <w:rPr/>
          </w:pPr>
          <w:hyperlink w:anchor="__RefHeading___Toc2567668_3650668749">
            <w:r>
              <w:rPr>
                <w:webHidden/>
                <w:rStyle w:val="IndexLink"/>
                <w:rtl w:val="true"/>
              </w:rPr>
              <w:t>[</w:t>
            </w:r>
            <w:r>
              <w:rPr>
                <w:rStyle w:val="IndexLink"/>
                <w:rtl w:val="true"/>
              </w:rPr>
              <w:t>و منها</w:t>
            </w:r>
            <w:r>
              <w:rPr>
                <w:rStyle w:val="IndexLink"/>
                <w:rtl w:val="true"/>
              </w:rPr>
              <w:t xml:space="preserve">: </w:t>
            </w:r>
            <w:r>
              <w:rPr>
                <w:rStyle w:val="IndexLink"/>
                <w:rtl w:val="true"/>
              </w:rPr>
              <w:t>شمّ الطیب و الریحان متلذّذاً</w:t>
            </w:r>
            <w:r>
              <w:rPr>
                <w:rStyle w:val="IndexLink"/>
                <w:rtl w:val="true"/>
              </w:rPr>
              <w:t>]</w:t>
              <w:tab/>
            </w:r>
            <w:r>
              <w:rPr>
                <w:rStyle w:val="IndexLink"/>
              </w:rPr>
              <w:t>346</w:t>
            </w:r>
          </w:hyperlink>
        </w:p>
        <w:p>
          <w:pPr>
            <w:pStyle w:val="Contents6"/>
            <w:tabs>
              <w:tab w:val="clear" w:pos="7609"/>
              <w:tab w:val="right" w:pos="9026" w:leader="dot"/>
            </w:tabs>
            <w:rPr/>
          </w:pPr>
          <w:hyperlink w:anchor="__RefHeading___Toc2567670_3650668749">
            <w:r>
              <w:rPr>
                <w:webHidden/>
                <w:rStyle w:val="IndexLink"/>
                <w:rtl w:val="true"/>
              </w:rPr>
              <w:t>[</w:t>
            </w:r>
            <w:r>
              <w:rPr>
                <w:rStyle w:val="IndexLink"/>
                <w:rtl w:val="true"/>
              </w:rPr>
              <w:t>و منها</w:t>
            </w:r>
            <w:r>
              <w:rPr>
                <w:rStyle w:val="IndexLink"/>
                <w:rtl w:val="true"/>
              </w:rPr>
              <w:t xml:space="preserve">: </w:t>
            </w:r>
            <w:r>
              <w:rPr>
                <w:rStyle w:val="IndexLink"/>
                <w:rtl w:val="true"/>
              </w:rPr>
              <w:t>البیع و الشراء</w:t>
            </w:r>
            <w:r>
              <w:rPr>
                <w:rStyle w:val="IndexLink"/>
                <w:rtl w:val="true"/>
              </w:rPr>
              <w:t>]</w:t>
              <w:tab/>
            </w:r>
            <w:r>
              <w:rPr>
                <w:rStyle w:val="IndexLink"/>
              </w:rPr>
              <w:t>346</w:t>
            </w:r>
          </w:hyperlink>
        </w:p>
        <w:p>
          <w:pPr>
            <w:pStyle w:val="Contents6"/>
            <w:tabs>
              <w:tab w:val="clear" w:pos="7609"/>
              <w:tab w:val="right" w:pos="9026" w:leader="dot"/>
            </w:tabs>
            <w:rPr/>
          </w:pPr>
          <w:hyperlink w:anchor="__RefHeading___Toc2567672_3650668749">
            <w:r>
              <w:rPr>
                <w:webHidden/>
                <w:rStyle w:val="IndexLink"/>
                <w:rtl w:val="true"/>
              </w:rPr>
              <w:t>[</w:t>
            </w:r>
            <w:r>
              <w:rPr>
                <w:rStyle w:val="IndexLink"/>
                <w:rtl w:val="true"/>
              </w:rPr>
              <w:t>و منها</w:t>
            </w:r>
            <w:r>
              <w:rPr>
                <w:rStyle w:val="IndexLink"/>
                <w:rtl w:val="true"/>
              </w:rPr>
              <w:t xml:space="preserve">: </w:t>
            </w:r>
            <w:r>
              <w:rPr>
                <w:rStyle w:val="IndexLink"/>
                <w:rtl w:val="true"/>
              </w:rPr>
              <w:t>المجادلة علیٰ أمر دنیوی أو دینی إذا کانت لأجل الغلبة و إظهار الفضیلة</w:t>
            </w:r>
            <w:r>
              <w:rPr>
                <w:rStyle w:val="IndexLink"/>
                <w:rtl w:val="true"/>
              </w:rPr>
              <w:t>]</w:t>
              <w:tab/>
            </w:r>
            <w:r>
              <w:rPr>
                <w:rStyle w:val="IndexLink"/>
              </w:rPr>
              <w:t>346</w:t>
            </w:r>
          </w:hyperlink>
        </w:p>
        <w:p>
          <w:pPr>
            <w:pStyle w:val="Contents5"/>
            <w:tabs>
              <w:tab w:val="clear" w:pos="7892"/>
              <w:tab w:val="right" w:pos="9026" w:leader="dot"/>
            </w:tabs>
            <w:rPr/>
          </w:pPr>
          <w:hyperlink w:anchor="__RefHeading___Toc256767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فرق فی حرمة ما سمعته علی المعتکف</w:t>
            </w:r>
            <w:r>
              <w:rPr>
                <w:rStyle w:val="IndexLink"/>
                <w:rtl w:val="true"/>
              </w:rPr>
              <w:t>]</w:t>
              <w:tab/>
            </w:r>
            <w:r>
              <w:rPr>
                <w:rStyle w:val="IndexLink"/>
              </w:rPr>
              <w:t>347</w:t>
            </w:r>
          </w:hyperlink>
        </w:p>
        <w:p>
          <w:pPr>
            <w:pStyle w:val="Contents5"/>
            <w:tabs>
              <w:tab w:val="clear" w:pos="7892"/>
              <w:tab w:val="right" w:pos="9026" w:leader="dot"/>
            </w:tabs>
            <w:rPr/>
          </w:pPr>
          <w:hyperlink w:anchor="__RefHeading___Toc256767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یفسد الاعتکاف کلّما یفسد الصوم من حیث اشتراطه به فبطلانه یوجب بطلانه</w:t>
            </w:r>
            <w:r>
              <w:rPr>
                <w:rStyle w:val="IndexLink"/>
                <w:rtl w:val="true"/>
              </w:rPr>
              <w:t>]</w:t>
              <w:tab/>
            </w:r>
            <w:r>
              <w:rPr>
                <w:rStyle w:val="IndexLink"/>
              </w:rPr>
              <w:t>347</w:t>
            </w:r>
          </w:hyperlink>
        </w:p>
        <w:p>
          <w:pPr>
            <w:pStyle w:val="Contents5"/>
            <w:tabs>
              <w:tab w:val="clear" w:pos="7892"/>
              <w:tab w:val="right" w:pos="9026" w:leader="dot"/>
            </w:tabs>
            <w:rPr/>
          </w:pPr>
          <w:hyperlink w:anchor="__RefHeading___Toc256767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أفسد الاعتکاف الواجب بالجماع و لو لیلًا وجبت الکفّارة</w:t>
            </w:r>
            <w:r>
              <w:rPr>
                <w:rStyle w:val="IndexLink"/>
                <w:rtl w:val="true"/>
              </w:rPr>
              <w:t>]</w:t>
              <w:tab/>
            </w:r>
            <w:r>
              <w:rPr>
                <w:rStyle w:val="IndexLink"/>
              </w:rPr>
              <w:t>347</w:t>
            </w:r>
          </w:hyperlink>
        </w:p>
        <w:p>
          <w:pPr>
            <w:pStyle w:val="Contents5"/>
            <w:tabs>
              <w:tab w:val="clear" w:pos="7892"/>
              <w:tab w:val="right" w:pos="9026" w:leader="dot"/>
            </w:tabs>
            <w:rPr/>
          </w:pPr>
          <w:hyperlink w:anchor="__RefHeading___Toc256768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أفسد الاعتکاف الواجب بالجماع فی نهار شهر رمضان فعلیه کفّارتان</w:t>
            </w:r>
            <w:r>
              <w:rPr>
                <w:rStyle w:val="IndexLink"/>
                <w:rtl w:val="true"/>
              </w:rPr>
              <w:t>]</w:t>
              <w:tab/>
            </w:r>
            <w:r>
              <w:rPr>
                <w:rStyle w:val="IndexLink"/>
              </w:rPr>
              <w:t>347</w:t>
            </w:r>
          </w:hyperlink>
        </w:p>
        <w:p>
          <w:pPr>
            <w:pStyle w:val="Contents2"/>
            <w:tabs>
              <w:tab w:val="clear" w:pos="8743"/>
              <w:tab w:val="right" w:pos="9026" w:leader="dot"/>
            </w:tabs>
            <w:rPr/>
          </w:pPr>
          <w:hyperlink w:anchor="__RefHeading___Toc2567682_3650668749">
            <w:r>
              <w:rPr>
                <w:webHidden/>
                <w:rStyle w:val="IndexLink"/>
                <w:rtl w:val="true"/>
              </w:rPr>
              <w:t>[</w:t>
            </w:r>
            <w:r>
              <w:rPr>
                <w:rStyle w:val="IndexLink"/>
                <w:rtl w:val="true"/>
              </w:rPr>
              <w:t>کتاب الزکاة</w:t>
            </w:r>
            <w:r>
              <w:rPr>
                <w:rStyle w:val="IndexLink"/>
                <w:rtl w:val="true"/>
              </w:rPr>
              <w:t>]</w:t>
              <w:tab/>
            </w:r>
            <w:r>
              <w:rPr>
                <w:rStyle w:val="IndexLink"/>
              </w:rPr>
              <w:t>348</w:t>
            </w:r>
          </w:hyperlink>
        </w:p>
        <w:p>
          <w:pPr>
            <w:pStyle w:val="Contents3"/>
            <w:tabs>
              <w:tab w:val="clear" w:pos="8459"/>
              <w:tab w:val="right" w:pos="9026" w:leader="dot"/>
            </w:tabs>
            <w:rPr/>
          </w:pPr>
          <w:hyperlink w:anchor="__RefHeading___Toc2567684_3650668749">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2567686_3650668749">
            <w:r>
              <w:rPr>
                <w:webHidden/>
                <w:rStyle w:val="IndexLink"/>
                <w:rtl w:val="true"/>
              </w:rPr>
              <w:t>[</w:t>
            </w:r>
            <w:r>
              <w:rPr>
                <w:rStyle w:val="IndexLink"/>
                <w:rtl w:val="true"/>
              </w:rPr>
              <w:t>المقصد الأوّل</w:t>
            </w:r>
            <w:r>
              <w:rPr>
                <w:rStyle w:val="IndexLink"/>
                <w:rtl w:val="true"/>
              </w:rPr>
              <w:t xml:space="preserve">: </w:t>
            </w:r>
            <w:r>
              <w:rPr>
                <w:rStyle w:val="IndexLink"/>
                <w:rtl w:val="true"/>
              </w:rPr>
              <w:t>فی زکاة المال</w:t>
            </w:r>
            <w:r>
              <w:rPr>
                <w:rStyle w:val="IndexLink"/>
                <w:rtl w:val="true"/>
              </w:rPr>
              <w:t>]</w:t>
              <w:tab/>
            </w:r>
            <w:r>
              <w:rPr>
                <w:rStyle w:val="IndexLink"/>
              </w:rPr>
              <w:t>348</w:t>
            </w:r>
          </w:hyperlink>
        </w:p>
        <w:p>
          <w:pPr>
            <w:pStyle w:val="Contents4"/>
            <w:tabs>
              <w:tab w:val="clear" w:pos="8176"/>
              <w:tab w:val="right" w:pos="9026" w:leader="dot"/>
            </w:tabs>
            <w:rPr/>
          </w:pPr>
          <w:hyperlink w:anchor="__RefHeading___Toc2567688_3650668749">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2567690_3650668749">
            <w:r>
              <w:rPr>
                <w:webHidden/>
                <w:rStyle w:val="IndexLink"/>
                <w:rtl w:val="true"/>
              </w:rPr>
              <w:t>[</w:t>
            </w:r>
            <w:r>
              <w:rPr>
                <w:rStyle w:val="IndexLink"/>
                <w:rtl w:val="true"/>
              </w:rPr>
              <w:t>القول فیمن تجبُ علیه الزکاة</w:t>
            </w:r>
            <w:r>
              <w:rPr>
                <w:rStyle w:val="IndexLink"/>
                <w:rtl w:val="true"/>
              </w:rPr>
              <w:t>]</w:t>
              <w:tab/>
            </w:r>
            <w:r>
              <w:rPr>
                <w:rStyle w:val="IndexLink"/>
              </w:rPr>
              <w:t>349</w:t>
            </w:r>
          </w:hyperlink>
        </w:p>
        <w:p>
          <w:pPr>
            <w:pStyle w:val="Contents5"/>
            <w:tabs>
              <w:tab w:val="clear" w:pos="7892"/>
              <w:tab w:val="right" w:pos="9026" w:leader="dot"/>
            </w:tabs>
            <w:rPr/>
          </w:pPr>
          <w:hyperlink w:anchor="__RefHeading___Toc2567692_3650668749">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256769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یشترط فیمن تجب علیه الزکاة أُمور</w:t>
            </w:r>
            <w:r>
              <w:rPr>
                <w:rStyle w:val="IndexLink"/>
                <w:rtl w:val="true"/>
              </w:rPr>
              <w:t>]</w:t>
              <w:tab/>
            </w:r>
            <w:r>
              <w:rPr>
                <w:rStyle w:val="IndexLink"/>
              </w:rPr>
              <w:t>349</w:t>
            </w:r>
          </w:hyperlink>
        </w:p>
        <w:p>
          <w:pPr>
            <w:pStyle w:val="Contents6"/>
            <w:tabs>
              <w:tab w:val="clear" w:pos="7609"/>
              <w:tab w:val="right" w:pos="9026" w:leader="dot"/>
            </w:tabs>
            <w:rPr/>
          </w:pPr>
          <w:hyperlink w:anchor="__RefHeading___Toc2567696_3650668749">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2567698_3650668749">
            <w:r>
              <w:rPr>
                <w:webHidden/>
                <w:rStyle w:val="IndexLink"/>
                <w:rtl w:val="true"/>
              </w:rPr>
              <w:t>[</w:t>
            </w:r>
            <w:r>
              <w:rPr>
                <w:rStyle w:val="IndexLink"/>
                <w:rtl w:val="true"/>
              </w:rPr>
              <w:t>أحدها</w:t>
            </w:r>
            <w:r>
              <w:rPr>
                <w:rStyle w:val="IndexLink"/>
                <w:rtl w:val="true"/>
              </w:rPr>
              <w:t xml:space="preserve">: </w:t>
            </w:r>
            <w:r>
              <w:rPr>
                <w:rStyle w:val="IndexLink"/>
                <w:rtl w:val="true"/>
              </w:rPr>
              <w:t>البلوغ</w:t>
            </w:r>
            <w:r>
              <w:rPr>
                <w:rStyle w:val="IndexLink"/>
                <w:rtl w:val="true"/>
              </w:rPr>
              <w:t>]</w:t>
              <w:tab/>
            </w:r>
            <w:r>
              <w:rPr>
                <w:rStyle w:val="IndexLink"/>
              </w:rPr>
              <w:t>349</w:t>
            </w:r>
          </w:hyperlink>
        </w:p>
        <w:p>
          <w:pPr>
            <w:pStyle w:val="Contents6"/>
            <w:tabs>
              <w:tab w:val="clear" w:pos="7609"/>
              <w:tab w:val="right" w:pos="9026" w:leader="dot"/>
            </w:tabs>
            <w:rPr/>
          </w:pPr>
          <w:hyperlink w:anchor="__RefHeading___Toc2567700_3650668749">
            <w:r>
              <w:rPr>
                <w:webHidden/>
                <w:rStyle w:val="IndexLink"/>
                <w:rtl w:val="true"/>
              </w:rPr>
              <w:t>[</w:t>
            </w:r>
            <w:r>
              <w:rPr>
                <w:rStyle w:val="IndexLink"/>
                <w:rtl w:val="true"/>
              </w:rPr>
              <w:t>ثانیها</w:t>
            </w:r>
            <w:r>
              <w:rPr>
                <w:rStyle w:val="IndexLink"/>
                <w:rtl w:val="true"/>
              </w:rPr>
              <w:t xml:space="preserve">: </w:t>
            </w:r>
            <w:r>
              <w:rPr>
                <w:rStyle w:val="IndexLink"/>
                <w:rtl w:val="true"/>
              </w:rPr>
              <w:t>العقل</w:t>
            </w:r>
            <w:r>
              <w:rPr>
                <w:rStyle w:val="IndexLink"/>
                <w:rtl w:val="true"/>
              </w:rPr>
              <w:t>]</w:t>
              <w:tab/>
            </w:r>
            <w:r>
              <w:rPr>
                <w:rStyle w:val="IndexLink"/>
              </w:rPr>
              <w:t>349</w:t>
            </w:r>
          </w:hyperlink>
        </w:p>
        <w:p>
          <w:pPr>
            <w:pStyle w:val="Contents6"/>
            <w:tabs>
              <w:tab w:val="clear" w:pos="7609"/>
              <w:tab w:val="right" w:pos="9026" w:leader="dot"/>
            </w:tabs>
            <w:rPr/>
          </w:pPr>
          <w:hyperlink w:anchor="__RefHeading___Toc2567702_3650668749">
            <w:r>
              <w:rPr>
                <w:webHidden/>
                <w:rStyle w:val="IndexLink"/>
                <w:rtl w:val="true"/>
              </w:rPr>
              <w:t>[</w:t>
            </w:r>
            <w:r>
              <w:rPr>
                <w:rStyle w:val="IndexLink"/>
                <w:rtl w:val="true"/>
              </w:rPr>
              <w:t>ثالثها</w:t>
            </w:r>
            <w:r>
              <w:rPr>
                <w:rStyle w:val="IndexLink"/>
                <w:rtl w:val="true"/>
              </w:rPr>
              <w:t xml:space="preserve">: </w:t>
            </w:r>
            <w:r>
              <w:rPr>
                <w:rStyle w:val="IndexLink"/>
                <w:rtl w:val="true"/>
              </w:rPr>
              <w:t>الحرّیّة</w:t>
            </w:r>
            <w:r>
              <w:rPr>
                <w:rStyle w:val="IndexLink"/>
                <w:rtl w:val="true"/>
              </w:rPr>
              <w:t>]</w:t>
              <w:tab/>
            </w:r>
            <w:r>
              <w:rPr>
                <w:rStyle w:val="IndexLink"/>
              </w:rPr>
              <w:t>349</w:t>
            </w:r>
          </w:hyperlink>
        </w:p>
        <w:p>
          <w:pPr>
            <w:pStyle w:val="Contents6"/>
            <w:tabs>
              <w:tab w:val="clear" w:pos="7609"/>
              <w:tab w:val="right" w:pos="9026" w:leader="dot"/>
            </w:tabs>
            <w:rPr/>
          </w:pPr>
          <w:hyperlink w:anchor="__RefHeading___Toc2567704_3650668749">
            <w:r>
              <w:rPr>
                <w:webHidden/>
                <w:rStyle w:val="IndexLink"/>
                <w:rtl w:val="true"/>
              </w:rPr>
              <w:t>[</w:t>
            </w:r>
            <w:r>
              <w:rPr>
                <w:rStyle w:val="IndexLink"/>
                <w:rtl w:val="true"/>
              </w:rPr>
              <w:t>رابعها</w:t>
            </w:r>
            <w:r>
              <w:rPr>
                <w:rStyle w:val="IndexLink"/>
                <w:rtl w:val="true"/>
              </w:rPr>
              <w:t xml:space="preserve">: </w:t>
            </w:r>
            <w:r>
              <w:rPr>
                <w:rStyle w:val="IndexLink"/>
                <w:rtl w:val="true"/>
              </w:rPr>
              <w:t>الملک</w:t>
            </w:r>
            <w:r>
              <w:rPr>
                <w:rStyle w:val="IndexLink"/>
                <w:rtl w:val="true"/>
              </w:rPr>
              <w:t>]</w:t>
              <w:tab/>
            </w:r>
            <w:r>
              <w:rPr>
                <w:rStyle w:val="IndexLink"/>
              </w:rPr>
              <w:t>349</w:t>
            </w:r>
          </w:hyperlink>
        </w:p>
        <w:p>
          <w:pPr>
            <w:pStyle w:val="Contents6"/>
            <w:tabs>
              <w:tab w:val="clear" w:pos="7609"/>
              <w:tab w:val="right" w:pos="9026" w:leader="dot"/>
            </w:tabs>
            <w:rPr/>
          </w:pPr>
          <w:hyperlink w:anchor="__RefHeading___Toc2567706_3650668749">
            <w:r>
              <w:rPr>
                <w:webHidden/>
                <w:rStyle w:val="IndexLink"/>
                <w:rtl w:val="true"/>
              </w:rPr>
              <w:t>[</w:t>
            </w:r>
            <w:r>
              <w:rPr>
                <w:rStyle w:val="IndexLink"/>
                <w:rtl w:val="true"/>
              </w:rPr>
              <w:t>خامسها</w:t>
            </w:r>
            <w:r>
              <w:rPr>
                <w:rStyle w:val="IndexLink"/>
                <w:rtl w:val="true"/>
              </w:rPr>
              <w:t xml:space="preserve">: </w:t>
            </w:r>
            <w:r>
              <w:rPr>
                <w:rStyle w:val="IndexLink"/>
                <w:rtl w:val="true"/>
              </w:rPr>
              <w:t>تمام التمکّن من التصرّف</w:t>
            </w:r>
            <w:r>
              <w:rPr>
                <w:rStyle w:val="IndexLink"/>
                <w:rtl w:val="true"/>
              </w:rPr>
              <w:t>]</w:t>
              <w:tab/>
            </w:r>
            <w:r>
              <w:rPr>
                <w:rStyle w:val="IndexLink"/>
              </w:rPr>
              <w:t>349</w:t>
            </w:r>
          </w:hyperlink>
        </w:p>
        <w:p>
          <w:pPr>
            <w:pStyle w:val="Contents6"/>
            <w:tabs>
              <w:tab w:val="clear" w:pos="7609"/>
              <w:tab w:val="right" w:pos="9026" w:leader="dot"/>
            </w:tabs>
            <w:rPr/>
          </w:pPr>
          <w:hyperlink w:anchor="__RefHeading___Toc2567708_3650668749">
            <w:r>
              <w:rPr>
                <w:webHidden/>
                <w:rStyle w:val="IndexLink"/>
                <w:rtl w:val="true"/>
              </w:rPr>
              <w:t>[</w:t>
            </w:r>
            <w:r>
              <w:rPr>
                <w:rStyle w:val="IndexLink"/>
                <w:rtl w:val="true"/>
              </w:rPr>
              <w:t>سادسها</w:t>
            </w:r>
            <w:r>
              <w:rPr>
                <w:rStyle w:val="IndexLink"/>
                <w:rtl w:val="true"/>
              </w:rPr>
              <w:t xml:space="preserve">: </w:t>
            </w:r>
            <w:r>
              <w:rPr>
                <w:rStyle w:val="IndexLink"/>
                <w:rtl w:val="true"/>
              </w:rPr>
              <w:t>بلوغ النصاب</w:t>
            </w:r>
            <w:r>
              <w:rPr>
                <w:rStyle w:val="IndexLink"/>
                <w:rtl w:val="true"/>
              </w:rPr>
              <w:t>]</w:t>
              <w:tab/>
            </w:r>
            <w:r>
              <w:rPr>
                <w:rStyle w:val="IndexLink"/>
              </w:rPr>
              <w:t>350</w:t>
            </w:r>
          </w:hyperlink>
        </w:p>
        <w:p>
          <w:pPr>
            <w:pStyle w:val="Contents5"/>
            <w:tabs>
              <w:tab w:val="clear" w:pos="7892"/>
              <w:tab w:val="right" w:pos="9026" w:leader="dot"/>
            </w:tabs>
            <w:rPr/>
          </w:pPr>
          <w:hyperlink w:anchor="__RefHeading___Toc256771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لو شکّ فی البلوغ حین التعلّق أو فی التعلّق حین البلوغ لم یجب الإخراج</w:t>
            </w:r>
            <w:r>
              <w:rPr>
                <w:rStyle w:val="IndexLink"/>
                <w:rtl w:val="true"/>
              </w:rPr>
              <w:t>]</w:t>
              <w:tab/>
            </w:r>
            <w:r>
              <w:rPr>
                <w:rStyle w:val="IndexLink"/>
              </w:rPr>
              <w:t>350</w:t>
            </w:r>
          </w:hyperlink>
        </w:p>
        <w:p>
          <w:pPr>
            <w:pStyle w:val="Contents5"/>
            <w:tabs>
              <w:tab w:val="clear" w:pos="7892"/>
              <w:tab w:val="right" w:pos="9026" w:leader="dot"/>
            </w:tabs>
            <w:rPr/>
          </w:pPr>
          <w:hyperlink w:anchor="__RefHeading___Toc256771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یعتبر تمام التمکّن من التصرّف فیما یعتبر فیه الحول فی تمام الحول</w:t>
            </w:r>
            <w:r>
              <w:rPr>
                <w:rStyle w:val="IndexLink"/>
                <w:rtl w:val="true"/>
              </w:rPr>
              <w:t>]</w:t>
              <w:tab/>
            </w:r>
            <w:r>
              <w:rPr>
                <w:rStyle w:val="IndexLink"/>
              </w:rPr>
              <w:t>350</w:t>
            </w:r>
          </w:hyperlink>
        </w:p>
        <w:p>
          <w:pPr>
            <w:pStyle w:val="Contents5"/>
            <w:tabs>
              <w:tab w:val="clear" w:pos="7892"/>
              <w:tab w:val="right" w:pos="9026" w:leader="dot"/>
            </w:tabs>
            <w:rPr/>
          </w:pPr>
          <w:hyperlink w:anchor="__RefHeading___Toc256771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ثبوت الخیار لغیر المالک لا یمنع من تعلّق الزکاة</w:t>
            </w:r>
            <w:r>
              <w:rPr>
                <w:rStyle w:val="IndexLink"/>
                <w:rtl w:val="true"/>
              </w:rPr>
              <w:t>]</w:t>
              <w:tab/>
            </w:r>
            <w:r>
              <w:rPr>
                <w:rStyle w:val="IndexLink"/>
              </w:rPr>
              <w:t>350</w:t>
            </w:r>
          </w:hyperlink>
        </w:p>
        <w:p>
          <w:pPr>
            <w:pStyle w:val="Contents5"/>
            <w:tabs>
              <w:tab w:val="clear" w:pos="7892"/>
              <w:tab w:val="right" w:pos="9026" w:leader="dot"/>
            </w:tabs>
            <w:rPr/>
          </w:pPr>
          <w:hyperlink w:anchor="__RefHeading___Toc256771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إنّما لا تتعلّق الزکاة بنماء الوقف العامّ قبل أن یقبضه من ینطبق علیه عنوان الموقوف علیه</w:t>
            </w:r>
            <w:r>
              <w:rPr>
                <w:rStyle w:val="IndexLink"/>
                <w:rtl w:val="true"/>
              </w:rPr>
              <w:t>]</w:t>
              <w:tab/>
            </w:r>
            <w:r>
              <w:rPr>
                <w:rStyle w:val="IndexLink"/>
              </w:rPr>
              <w:t>350</w:t>
            </w:r>
          </w:hyperlink>
        </w:p>
        <w:p>
          <w:pPr>
            <w:pStyle w:val="Contents5"/>
            <w:tabs>
              <w:tab w:val="clear" w:pos="7892"/>
              <w:tab w:val="right" w:pos="9026" w:leader="dot"/>
            </w:tabs>
            <w:rPr/>
          </w:pPr>
          <w:hyperlink w:anchor="__RefHeading___Toc256771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زکاة القرض علی المقترض بعد القبض و جریان الحول عنده</w:t>
            </w:r>
            <w:r>
              <w:rPr>
                <w:rStyle w:val="IndexLink"/>
                <w:rtl w:val="true"/>
              </w:rPr>
              <w:t>]</w:t>
              <w:tab/>
            </w:r>
            <w:r>
              <w:rPr>
                <w:rStyle w:val="IndexLink"/>
              </w:rPr>
              <w:t>350</w:t>
            </w:r>
          </w:hyperlink>
        </w:p>
        <w:p>
          <w:pPr>
            <w:pStyle w:val="Contents5"/>
            <w:tabs>
              <w:tab w:val="clear" w:pos="7892"/>
              <w:tab w:val="right" w:pos="9026" w:leader="dot"/>
            </w:tabs>
            <w:rPr/>
          </w:pPr>
          <w:hyperlink w:anchor="__RefHeading___Toc2567720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کان المال الزکوی مشترکاً بین اثنین أو أزید یعتبر النصاب بالنسبة إلی الحصص لا المجموع</w:t>
            </w:r>
            <w:r>
              <w:rPr>
                <w:rStyle w:val="IndexLink"/>
                <w:rtl w:val="true"/>
              </w:rPr>
              <w:t>]</w:t>
              <w:tab/>
            </w:r>
            <w:r>
              <w:rPr>
                <w:rStyle w:val="IndexLink"/>
              </w:rPr>
              <w:t>351</w:t>
            </w:r>
          </w:hyperlink>
        </w:p>
        <w:p>
          <w:pPr>
            <w:pStyle w:val="Contents5"/>
            <w:tabs>
              <w:tab w:val="clear" w:pos="7892"/>
              <w:tab w:val="right" w:pos="9026" w:leader="dot"/>
            </w:tabs>
            <w:rPr/>
          </w:pPr>
          <w:hyperlink w:anchor="__RefHeading___Toc2567722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لو استطاع الحجّ بالنصاب فإن تمّ الحول أو تعلّق الوجوب قبل سیر القافلة و التمکّن من الذهاب</w:t>
            </w:r>
            <w:r>
              <w:rPr>
                <w:rStyle w:val="IndexLink"/>
                <w:rtl w:val="true"/>
              </w:rPr>
              <w:t>]</w:t>
              <w:tab/>
            </w:r>
            <w:r>
              <w:rPr>
                <w:rStyle w:val="IndexLink"/>
              </w:rPr>
              <w:t>351</w:t>
            </w:r>
          </w:hyperlink>
        </w:p>
        <w:p>
          <w:pPr>
            <w:pStyle w:val="Contents5"/>
            <w:tabs>
              <w:tab w:val="clear" w:pos="7892"/>
              <w:tab w:val="right" w:pos="9026" w:leader="dot"/>
            </w:tabs>
            <w:rPr/>
          </w:pPr>
          <w:hyperlink w:anchor="__RefHeading___Toc2567724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الکافر تجب علیه الزکاة و إن لم تصحّ منه لو أدّاها</w:t>
            </w:r>
            <w:r>
              <w:rPr>
                <w:rStyle w:val="IndexLink"/>
                <w:rtl w:val="true"/>
              </w:rPr>
              <w:t>]</w:t>
              <w:tab/>
            </w:r>
            <w:r>
              <w:rPr>
                <w:rStyle w:val="IndexLink"/>
              </w:rPr>
              <w:t>351</w:t>
            </w:r>
          </w:hyperlink>
        </w:p>
        <w:p>
          <w:pPr>
            <w:pStyle w:val="Contents4"/>
            <w:tabs>
              <w:tab w:val="clear" w:pos="8176"/>
              <w:tab w:val="right" w:pos="9026" w:leader="dot"/>
            </w:tabs>
            <w:rPr/>
          </w:pPr>
          <w:hyperlink w:anchor="__RefHeading___Toc2567726_3650668749">
            <w:r>
              <w:rPr>
                <w:webHidden/>
                <w:rStyle w:val="IndexLink"/>
                <w:rtl w:val="true"/>
              </w:rPr>
              <w:t>[</w:t>
            </w:r>
            <w:r>
              <w:rPr>
                <w:rStyle w:val="IndexLink"/>
                <w:rtl w:val="true"/>
              </w:rPr>
              <w:t>القول فیما یجب فیه الزکاة و ما یستحبّ</w:t>
            </w:r>
            <w:r>
              <w:rPr>
                <w:rStyle w:val="IndexLink"/>
                <w:rtl w:val="true"/>
              </w:rPr>
              <w:t>]</w:t>
              <w:tab/>
            </w:r>
            <w:r>
              <w:rPr>
                <w:rStyle w:val="IndexLink"/>
              </w:rPr>
              <w:t>351</w:t>
            </w:r>
          </w:hyperlink>
        </w:p>
        <w:p>
          <w:pPr>
            <w:pStyle w:val="Contents5"/>
            <w:tabs>
              <w:tab w:val="clear" w:pos="7892"/>
              <w:tab w:val="right" w:pos="9026" w:leader="dot"/>
            </w:tabs>
            <w:rPr/>
          </w:pPr>
          <w:hyperlink w:anchor="__RefHeading___Toc2567728_3650668749">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2567730_3650668749">
            <w:r>
              <w:rPr>
                <w:webHidden/>
                <w:rStyle w:val="IndexLink"/>
                <w:rtl w:val="true"/>
              </w:rPr>
              <w:t>[</w:t>
            </w:r>
            <w:r>
              <w:rPr>
                <w:rStyle w:val="IndexLink"/>
                <w:rtl w:val="true"/>
              </w:rPr>
              <w:t>و الکلام فی التسعة المزبورة التی یجب فیها الزکاة یقع فی ثلاثة فصول</w:t>
            </w:r>
            <w:r>
              <w:rPr>
                <w:rStyle w:val="IndexLink"/>
                <w:rtl w:val="true"/>
              </w:rPr>
              <w:t>]</w:t>
              <w:tab/>
            </w:r>
            <w:r>
              <w:rPr>
                <w:rStyle w:val="IndexLink"/>
              </w:rPr>
              <w:t>352</w:t>
            </w:r>
          </w:hyperlink>
        </w:p>
        <w:p>
          <w:pPr>
            <w:pStyle w:val="Contents6"/>
            <w:tabs>
              <w:tab w:val="clear" w:pos="7609"/>
              <w:tab w:val="right" w:pos="9026" w:leader="dot"/>
            </w:tabs>
            <w:rPr/>
          </w:pPr>
          <w:hyperlink w:anchor="__RefHeading___Toc2567732_3650668749">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2567734_3650668749">
            <w:r>
              <w:rPr>
                <w:webHidden/>
                <w:rStyle w:val="IndexLink"/>
                <w:rtl w:val="true"/>
              </w:rPr>
              <w:t>[</w:t>
            </w:r>
            <w:r>
              <w:rPr>
                <w:rStyle w:val="IndexLink"/>
                <w:rtl w:val="true"/>
              </w:rPr>
              <w:t>الفصل الأوّل</w:t>
            </w:r>
            <w:r>
              <w:rPr>
                <w:rStyle w:val="IndexLink"/>
                <w:rtl w:val="true"/>
              </w:rPr>
              <w:t xml:space="preserve">: </w:t>
            </w:r>
            <w:r>
              <w:rPr>
                <w:rStyle w:val="IndexLink"/>
                <w:rtl w:val="true"/>
              </w:rPr>
              <w:t>فی زکاة الأنعام</w:t>
            </w:r>
            <w:r>
              <w:rPr>
                <w:rStyle w:val="IndexLink"/>
                <w:rtl w:val="true"/>
              </w:rPr>
              <w:t>]</w:t>
              <w:tab/>
            </w:r>
            <w:r>
              <w:rPr>
                <w:rStyle w:val="IndexLink"/>
              </w:rPr>
              <w:t>352</w:t>
            </w:r>
          </w:hyperlink>
        </w:p>
        <w:p>
          <w:pPr>
            <w:pStyle w:val="Contents6"/>
            <w:tabs>
              <w:tab w:val="clear" w:pos="7609"/>
              <w:tab w:val="right" w:pos="9026" w:leader="dot"/>
            </w:tabs>
            <w:rPr/>
          </w:pPr>
          <w:hyperlink w:anchor="__RefHeading___Toc2567736_3650668749">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2567738_3650668749">
            <w:r>
              <w:rPr>
                <w:webHidden/>
                <w:rStyle w:val="IndexLink"/>
                <w:rtl w:val="true"/>
              </w:rPr>
              <w:t>[</w:t>
            </w:r>
            <w:r>
              <w:rPr>
                <w:rStyle w:val="IndexLink"/>
                <w:rtl w:val="true"/>
              </w:rPr>
              <w:t>القول فی النصاب</w:t>
            </w:r>
            <w:r>
              <w:rPr>
                <w:rStyle w:val="IndexLink"/>
                <w:rtl w:val="true"/>
              </w:rPr>
              <w:t>]</w:t>
              <w:tab/>
            </w:r>
            <w:r>
              <w:rPr>
                <w:rStyle w:val="IndexLink"/>
              </w:rPr>
              <w:t>352</w:t>
            </w:r>
          </w:hyperlink>
        </w:p>
        <w:p>
          <w:pPr>
            <w:pStyle w:val="Contents6"/>
            <w:tabs>
              <w:tab w:val="clear" w:pos="7609"/>
              <w:tab w:val="right" w:pos="9026" w:leader="dot"/>
            </w:tabs>
            <w:rPr/>
          </w:pPr>
          <w:hyperlink w:anchor="__RefHeading___Toc2567740_3650668749">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256774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فی الإبل اثنا عشر نصاباً</w:t>
            </w:r>
            <w:r>
              <w:rPr>
                <w:rStyle w:val="IndexLink"/>
                <w:rtl w:val="true"/>
              </w:rPr>
              <w:t>]</w:t>
              <w:tab/>
            </w:r>
            <w:r>
              <w:rPr>
                <w:rStyle w:val="IndexLink"/>
              </w:rPr>
              <w:t>352</w:t>
            </w:r>
          </w:hyperlink>
        </w:p>
        <w:p>
          <w:pPr>
            <w:pStyle w:val="Contents6"/>
            <w:tabs>
              <w:tab w:val="clear" w:pos="7609"/>
              <w:tab w:val="right" w:pos="9026" w:leader="dot"/>
            </w:tabs>
            <w:rPr/>
          </w:pPr>
          <w:hyperlink w:anchor="__RefHeading___Toc256774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تجب الزکاة فی کلّ نصاب من نصب هذه الأجناس</w:t>
            </w:r>
            <w:r>
              <w:rPr>
                <w:rStyle w:val="IndexLink"/>
                <w:rtl w:val="true"/>
              </w:rPr>
              <w:t>]</w:t>
              <w:tab/>
            </w:r>
            <w:r>
              <w:rPr>
                <w:rStyle w:val="IndexLink"/>
              </w:rPr>
              <w:t>353</w:t>
            </w:r>
          </w:hyperlink>
        </w:p>
        <w:p>
          <w:pPr>
            <w:pStyle w:val="Contents6"/>
            <w:tabs>
              <w:tab w:val="clear" w:pos="7609"/>
              <w:tab w:val="right" w:pos="9026" w:leader="dot"/>
            </w:tabs>
            <w:rPr/>
          </w:pPr>
          <w:hyperlink w:anchor="__RefHeading___Toc256774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بنت المخاض</w:t>
            </w:r>
            <w:r>
              <w:rPr>
                <w:rStyle w:val="IndexLink"/>
                <w:rtl w:val="true"/>
              </w:rPr>
              <w:t xml:space="preserve">: </w:t>
            </w:r>
            <w:r>
              <w:rPr>
                <w:rStyle w:val="IndexLink"/>
                <w:rtl w:val="true"/>
              </w:rPr>
              <w:t>ما دخلت فی السنة الثانیة و کذا التبیع و التبیعة</w:t>
            </w:r>
            <w:r>
              <w:rPr>
                <w:rStyle w:val="IndexLink"/>
                <w:rtl w:val="true"/>
              </w:rPr>
              <w:t>]</w:t>
              <w:tab/>
            </w:r>
            <w:r>
              <w:rPr>
                <w:rStyle w:val="IndexLink"/>
              </w:rPr>
              <w:t>353</w:t>
            </w:r>
          </w:hyperlink>
        </w:p>
        <w:p>
          <w:pPr>
            <w:pStyle w:val="Contents6"/>
            <w:tabs>
              <w:tab w:val="clear" w:pos="7609"/>
              <w:tab w:val="right" w:pos="9026" w:leader="dot"/>
            </w:tabs>
            <w:rPr/>
          </w:pPr>
          <w:hyperlink w:anchor="__RefHeading___Toc256774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من وجب علیه سنّ من الإبل کبنت المخاض مثلًا و لم تکن عنده و کان عنده أعلیٰ منها بسنّ</w:t>
            </w:r>
            <w:r>
              <w:rPr>
                <w:rStyle w:val="IndexLink"/>
                <w:rtl w:val="true"/>
              </w:rPr>
              <w:t>]</w:t>
              <w:tab/>
            </w:r>
            <w:r>
              <w:rPr>
                <w:rStyle w:val="IndexLink"/>
              </w:rPr>
              <w:t>353</w:t>
            </w:r>
          </w:hyperlink>
        </w:p>
        <w:p>
          <w:pPr>
            <w:pStyle w:val="Contents6"/>
            <w:tabs>
              <w:tab w:val="clear" w:pos="7609"/>
              <w:tab w:val="right" w:pos="9026" w:leader="dot"/>
            </w:tabs>
            <w:rPr/>
          </w:pPr>
          <w:hyperlink w:anchor="__RefHeading___Toc256775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یضمّ مال إنسان إلیٰ غیره و إن کان مشترکاً أو مختلطاً</w:t>
            </w:r>
            <w:r>
              <w:rPr>
                <w:rStyle w:val="IndexLink"/>
                <w:rtl w:val="true"/>
              </w:rPr>
              <w:t>]</w:t>
              <w:tab/>
            </w:r>
            <w:r>
              <w:rPr>
                <w:rStyle w:val="IndexLink"/>
              </w:rPr>
              <w:t>354</w:t>
            </w:r>
          </w:hyperlink>
        </w:p>
        <w:p>
          <w:pPr>
            <w:pStyle w:val="Contents6"/>
            <w:tabs>
              <w:tab w:val="clear" w:pos="7609"/>
              <w:tab w:val="right" w:pos="9026" w:leader="dot"/>
            </w:tabs>
            <w:rPr/>
          </w:pPr>
          <w:hyperlink w:anchor="__RefHeading___Toc2567752_3650668749">
            <w:r>
              <w:rPr>
                <w:webHidden/>
                <w:rStyle w:val="IndexLink"/>
                <w:rtl w:val="true"/>
              </w:rPr>
              <w:t>[</w:t>
            </w:r>
            <w:r>
              <w:rPr>
                <w:rStyle w:val="IndexLink"/>
                <w:rtl w:val="true"/>
              </w:rPr>
              <w:t>القول فی السوم؛ أی الرعی</w:t>
            </w:r>
            <w:r>
              <w:rPr>
                <w:rStyle w:val="IndexLink"/>
                <w:rtl w:val="true"/>
              </w:rPr>
              <w:t>]</w:t>
              <w:tab/>
            </w:r>
            <w:r>
              <w:rPr>
                <w:rStyle w:val="IndexLink"/>
              </w:rPr>
              <w:t>354</w:t>
            </w:r>
          </w:hyperlink>
        </w:p>
        <w:p>
          <w:pPr>
            <w:pStyle w:val="Contents6"/>
            <w:tabs>
              <w:tab w:val="clear" w:pos="7609"/>
              <w:tab w:val="right" w:pos="9026" w:leader="dot"/>
            </w:tabs>
            <w:rPr/>
          </w:pPr>
          <w:hyperlink w:anchor="__RefHeading___Toc2567754_3650668749">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256775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یعتبر السوم تمام الحول</w:t>
            </w:r>
            <w:r>
              <w:rPr>
                <w:rStyle w:val="IndexLink"/>
                <w:rtl w:val="true"/>
              </w:rPr>
              <w:t>]</w:t>
              <w:tab/>
            </w:r>
            <w:r>
              <w:rPr>
                <w:rStyle w:val="IndexLink"/>
              </w:rPr>
              <w:t>354</w:t>
            </w:r>
          </w:hyperlink>
        </w:p>
        <w:p>
          <w:pPr>
            <w:pStyle w:val="Contents6"/>
            <w:tabs>
              <w:tab w:val="clear" w:pos="7609"/>
              <w:tab w:val="right" w:pos="9026" w:leader="dot"/>
            </w:tabs>
            <w:rPr/>
          </w:pPr>
          <w:hyperlink w:anchor="__RefHeading___Toc256775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فرق فی سقوط الزکاة فی المعلوفة بین أن یکون العَلْفُ بنفسها أو علّفها مالکها أو غیره</w:t>
            </w:r>
            <w:r>
              <w:rPr>
                <w:rStyle w:val="IndexLink"/>
                <w:rtl w:val="true"/>
              </w:rPr>
              <w:t>]</w:t>
              <w:tab/>
            </w:r>
            <w:r>
              <w:rPr>
                <w:rStyle w:val="IndexLink"/>
              </w:rPr>
              <w:t>354</w:t>
            </w:r>
          </w:hyperlink>
        </w:p>
        <w:p>
          <w:pPr>
            <w:pStyle w:val="Contents6"/>
            <w:tabs>
              <w:tab w:val="clear" w:pos="7609"/>
              <w:tab w:val="right" w:pos="9026" w:leader="dot"/>
            </w:tabs>
            <w:rPr/>
          </w:pPr>
          <w:hyperlink w:anchor="__RefHeading___Toc2567760_3650668749">
            <w:r>
              <w:rPr>
                <w:webHidden/>
                <w:rStyle w:val="IndexLink"/>
                <w:rtl w:val="true"/>
              </w:rPr>
              <w:t>[</w:t>
            </w:r>
            <w:r>
              <w:rPr>
                <w:rStyle w:val="IndexLink"/>
                <w:rtl w:val="true"/>
              </w:rPr>
              <w:t>القول فی الحول</w:t>
            </w:r>
            <w:r>
              <w:rPr>
                <w:rStyle w:val="IndexLink"/>
                <w:rtl w:val="true"/>
              </w:rPr>
              <w:t>]</w:t>
              <w:tab/>
            </w:r>
            <w:r>
              <w:rPr>
                <w:rStyle w:val="IndexLink"/>
              </w:rPr>
              <w:t>355</w:t>
            </w:r>
          </w:hyperlink>
        </w:p>
        <w:p>
          <w:pPr>
            <w:pStyle w:val="Contents6"/>
            <w:tabs>
              <w:tab w:val="clear" w:pos="7609"/>
              <w:tab w:val="right" w:pos="9026" w:leader="dot"/>
            </w:tabs>
            <w:rPr/>
          </w:pPr>
          <w:hyperlink w:anchor="__RefHeading___Toc2567762_3650668749">
            <w:r>
              <w:rPr>
                <w:webHidden/>
                <w:rStyle w:val="IndexLink"/>
                <w:rtl w:val="true"/>
              </w:rPr>
              <w:t>اشارة</w:t>
            </w:r>
            <w:r>
              <w:rPr>
                <w:rStyle w:val="IndexLink"/>
                <w:rtl w:val="true"/>
              </w:rPr>
              <w:tab/>
            </w:r>
            <w:r>
              <w:rPr>
                <w:rStyle w:val="IndexLink"/>
              </w:rPr>
              <w:t>355</w:t>
            </w:r>
          </w:hyperlink>
        </w:p>
        <w:p>
          <w:pPr>
            <w:pStyle w:val="Contents6"/>
            <w:tabs>
              <w:tab w:val="clear" w:pos="7609"/>
              <w:tab w:val="right" w:pos="9026" w:leader="dot"/>
            </w:tabs>
            <w:rPr/>
          </w:pPr>
          <w:hyperlink w:anchor="__RefHeading___Toc256776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یتحقّق الحول بتمام الأحد عشر شهراً</w:t>
            </w:r>
            <w:r>
              <w:rPr>
                <w:rStyle w:val="IndexLink"/>
                <w:rtl w:val="true"/>
              </w:rPr>
              <w:t>]</w:t>
              <w:tab/>
            </w:r>
            <w:r>
              <w:rPr>
                <w:rStyle w:val="IndexLink"/>
              </w:rPr>
              <w:t>355</w:t>
            </w:r>
          </w:hyperlink>
        </w:p>
        <w:p>
          <w:pPr>
            <w:pStyle w:val="Contents6"/>
            <w:tabs>
              <w:tab w:val="clear" w:pos="7609"/>
              <w:tab w:val="right" w:pos="9026" w:leader="dot"/>
            </w:tabs>
            <w:rPr/>
          </w:pPr>
          <w:hyperlink w:anchor="__RefHeading___Toc256776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لو کان مالکاً للنصاب لا أزید فحال علیه أحوال</w:t>
            </w:r>
            <w:r>
              <w:rPr>
                <w:rStyle w:val="IndexLink"/>
                <w:rtl w:val="true"/>
              </w:rPr>
              <w:t>]</w:t>
              <w:tab/>
            </w:r>
            <w:r>
              <w:rPr>
                <w:rStyle w:val="IndexLink"/>
              </w:rPr>
              <w:t>355</w:t>
            </w:r>
          </w:hyperlink>
        </w:p>
        <w:p>
          <w:pPr>
            <w:pStyle w:val="Contents6"/>
            <w:tabs>
              <w:tab w:val="clear" w:pos="7609"/>
              <w:tab w:val="right" w:pos="9026" w:leader="dot"/>
            </w:tabs>
            <w:rPr/>
          </w:pPr>
          <w:hyperlink w:anchor="__RefHeading___Toc256776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مالک النصاب إذا حصل له فی أثناء الحول ملک جدید</w:t>
            </w:r>
            <w:r>
              <w:rPr>
                <w:rStyle w:val="IndexLink"/>
                <w:rtl w:val="true"/>
              </w:rPr>
              <w:t>]</w:t>
              <w:tab/>
            </w:r>
            <w:r>
              <w:rPr>
                <w:rStyle w:val="IndexLink"/>
              </w:rPr>
              <w:t>356</w:t>
            </w:r>
          </w:hyperlink>
        </w:p>
        <w:p>
          <w:pPr>
            <w:pStyle w:val="Contents6"/>
            <w:tabs>
              <w:tab w:val="clear" w:pos="7609"/>
              <w:tab w:val="right" w:pos="9026" w:leader="dot"/>
            </w:tabs>
            <w:rPr/>
          </w:pPr>
          <w:hyperlink w:anchor="__RefHeading___Toc2567770_3650668749">
            <w:r>
              <w:rPr>
                <w:webHidden/>
                <w:rStyle w:val="IndexLink"/>
                <w:rtl w:val="true"/>
              </w:rPr>
              <w:t>[</w:t>
            </w:r>
            <w:r>
              <w:rPr>
                <w:rStyle w:val="IndexLink"/>
                <w:rtl w:val="true"/>
              </w:rPr>
              <w:t>القول فی الشرط الرابع؛ أی عدم کونها عوامل</w:t>
            </w:r>
            <w:r>
              <w:rPr>
                <w:rStyle w:val="IndexLink"/>
                <w:rtl w:val="true"/>
              </w:rPr>
              <w:t>]</w:t>
              <w:tab/>
            </w:r>
            <w:r>
              <w:rPr>
                <w:rStyle w:val="IndexLink"/>
              </w:rPr>
              <w:t>356</w:t>
            </w:r>
          </w:hyperlink>
        </w:p>
        <w:p>
          <w:pPr>
            <w:pStyle w:val="Contents6"/>
            <w:tabs>
              <w:tab w:val="clear" w:pos="7609"/>
              <w:tab w:val="right" w:pos="9026" w:leader="dot"/>
            </w:tabs>
            <w:rPr/>
          </w:pPr>
          <w:hyperlink w:anchor="__RefHeading___Toc2567772_3650668749">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256777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یعتبر فیها أن لا تکون عوامل فی تمام الحول</w:t>
            </w:r>
            <w:r>
              <w:rPr>
                <w:rStyle w:val="IndexLink"/>
                <w:rtl w:val="true"/>
              </w:rPr>
              <w:t>]</w:t>
              <w:tab/>
            </w:r>
            <w:r>
              <w:rPr>
                <w:rStyle w:val="IndexLink"/>
              </w:rPr>
              <w:t>356</w:t>
            </w:r>
          </w:hyperlink>
        </w:p>
        <w:p>
          <w:pPr>
            <w:pStyle w:val="Contents6"/>
            <w:tabs>
              <w:tab w:val="clear" w:pos="7609"/>
              <w:tab w:val="right" w:pos="9026" w:leader="dot"/>
            </w:tabs>
            <w:rPr/>
          </w:pPr>
          <w:hyperlink w:anchor="__RefHeading___Toc2567776_3650668749">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256777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تؤخذ المریضة من نصاب السلیم</w:t>
            </w:r>
            <w:r>
              <w:rPr>
                <w:rStyle w:val="IndexLink"/>
                <w:rtl w:val="true"/>
              </w:rPr>
              <w:t>]</w:t>
              <w:tab/>
            </w:r>
            <w:r>
              <w:rPr>
                <w:rStyle w:val="IndexLink"/>
              </w:rPr>
              <w:t>357</w:t>
            </w:r>
          </w:hyperlink>
        </w:p>
        <w:p>
          <w:pPr>
            <w:pStyle w:val="Contents6"/>
            <w:tabs>
              <w:tab w:val="clear" w:pos="7609"/>
              <w:tab w:val="right" w:pos="9026" w:leader="dot"/>
            </w:tabs>
            <w:rPr/>
          </w:pPr>
          <w:hyperlink w:anchor="__RefHeading___Toc256778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الشاة المأخوذة فی الزکاة فی الغنم و الإبل و فی الجبر</w:t>
            </w:r>
            <w:r>
              <w:rPr>
                <w:rStyle w:val="IndexLink"/>
                <w:rtl w:val="true"/>
              </w:rPr>
              <w:t>]</w:t>
              <w:tab/>
            </w:r>
            <w:r>
              <w:rPr>
                <w:rStyle w:val="IndexLink"/>
              </w:rPr>
              <w:t>357</w:t>
            </w:r>
          </w:hyperlink>
        </w:p>
        <w:p>
          <w:pPr>
            <w:pStyle w:val="Contents6"/>
            <w:tabs>
              <w:tab w:val="clear" w:pos="7609"/>
              <w:tab w:val="right" w:pos="9026" w:leader="dot"/>
            </w:tabs>
            <w:rPr/>
          </w:pPr>
          <w:hyperlink w:anchor="__RefHeading___Toc256778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کان للمالک أموال متفرّقة فی أماکن مختلفة</w:t>
            </w:r>
            <w:r>
              <w:rPr>
                <w:rStyle w:val="IndexLink"/>
                <w:rtl w:val="true"/>
              </w:rPr>
              <w:t>]</w:t>
              <w:tab/>
            </w:r>
            <w:r>
              <w:rPr>
                <w:rStyle w:val="IndexLink"/>
              </w:rPr>
              <w:t>357</w:t>
            </w:r>
          </w:hyperlink>
        </w:p>
        <w:p>
          <w:pPr>
            <w:pStyle w:val="Contents6"/>
            <w:tabs>
              <w:tab w:val="clear" w:pos="7609"/>
              <w:tab w:val="right" w:pos="9026" w:leader="dot"/>
            </w:tabs>
            <w:rPr/>
          </w:pPr>
          <w:hyperlink w:anchor="__RefHeading___Toc2567784_3650668749">
            <w:r>
              <w:rPr>
                <w:webHidden/>
                <w:rStyle w:val="IndexLink"/>
                <w:rtl w:val="true"/>
              </w:rPr>
              <w:t>[</w:t>
            </w:r>
            <w:r>
              <w:rPr>
                <w:rStyle w:val="IndexLink"/>
                <w:rtl w:val="true"/>
              </w:rPr>
              <w:t>الفصل الثانی</w:t>
            </w:r>
            <w:r>
              <w:rPr>
                <w:rStyle w:val="IndexLink"/>
                <w:rtl w:val="true"/>
              </w:rPr>
              <w:t xml:space="preserve">: </w:t>
            </w:r>
            <w:r>
              <w:rPr>
                <w:rStyle w:val="IndexLink"/>
                <w:rtl w:val="true"/>
              </w:rPr>
              <w:t>فی زکاة النقدین</w:t>
            </w:r>
            <w:r>
              <w:rPr>
                <w:rStyle w:val="IndexLink"/>
                <w:rtl w:val="true"/>
              </w:rPr>
              <w:t>]</w:t>
              <w:tab/>
            </w:r>
            <w:r>
              <w:rPr>
                <w:rStyle w:val="IndexLink"/>
              </w:rPr>
              <w:t>357</w:t>
            </w:r>
          </w:hyperlink>
        </w:p>
        <w:p>
          <w:pPr>
            <w:pStyle w:val="Contents6"/>
            <w:tabs>
              <w:tab w:val="clear" w:pos="7609"/>
              <w:tab w:val="right" w:pos="9026" w:leader="dot"/>
            </w:tabs>
            <w:rPr/>
          </w:pPr>
          <w:hyperlink w:anchor="__RefHeading___Toc2567786_3650668749">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2567788_3650668749">
            <w:r>
              <w:rPr>
                <w:webHidden/>
                <w:rStyle w:val="IndexLink"/>
                <w:rtl w:val="true"/>
              </w:rPr>
              <w:t>[</w:t>
            </w:r>
            <w:r>
              <w:rPr>
                <w:rStyle w:val="IndexLink"/>
                <w:rtl w:val="true"/>
              </w:rPr>
              <w:t>و یعتبر فیها مضافاً إلیٰ ما عرفت من الشرائط العامّة أُمور</w:t>
            </w:r>
            <w:r>
              <w:rPr>
                <w:rStyle w:val="IndexLink"/>
                <w:rtl w:val="true"/>
              </w:rPr>
              <w:t>]</w:t>
              <w:tab/>
            </w:r>
            <w:r>
              <w:rPr>
                <w:rStyle w:val="IndexLink"/>
              </w:rPr>
              <w:t>357</w:t>
            </w:r>
          </w:hyperlink>
        </w:p>
        <w:p>
          <w:pPr>
            <w:pStyle w:val="Contents6"/>
            <w:tabs>
              <w:tab w:val="clear" w:pos="7609"/>
              <w:tab w:val="right" w:pos="9026" w:leader="dot"/>
            </w:tabs>
            <w:rPr/>
          </w:pPr>
          <w:hyperlink w:anchor="__RefHeading___Toc2567790_3650668749">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2567792_3650668749">
            <w:r>
              <w:rPr>
                <w:webHidden/>
                <w:rStyle w:val="IndexLink"/>
                <w:rtl w:val="true"/>
              </w:rPr>
              <w:t>[</w:t>
            </w:r>
            <w:r>
              <w:rPr>
                <w:rStyle w:val="IndexLink"/>
                <w:rtl w:val="true"/>
              </w:rPr>
              <w:t>الأوّل</w:t>
            </w:r>
            <w:r>
              <w:rPr>
                <w:rStyle w:val="IndexLink"/>
                <w:rtl w:val="true"/>
              </w:rPr>
              <w:t xml:space="preserve">: </w:t>
            </w:r>
            <w:r>
              <w:rPr>
                <w:rStyle w:val="IndexLink"/>
                <w:rtl w:val="true"/>
              </w:rPr>
              <w:t>النصاب</w:t>
            </w:r>
            <w:r>
              <w:rPr>
                <w:rStyle w:val="IndexLink"/>
                <w:rtl w:val="true"/>
              </w:rPr>
              <w:t>]</w:t>
              <w:tab/>
            </w:r>
            <w:r>
              <w:rPr>
                <w:rStyle w:val="IndexLink"/>
              </w:rPr>
              <w:t>357</w:t>
            </w:r>
          </w:hyperlink>
        </w:p>
        <w:p>
          <w:pPr>
            <w:pStyle w:val="Contents6"/>
            <w:tabs>
              <w:tab w:val="clear" w:pos="7609"/>
              <w:tab w:val="right" w:pos="9026" w:leader="dot"/>
            </w:tabs>
            <w:rPr/>
          </w:pPr>
          <w:hyperlink w:anchor="__RefHeading___Toc2567794_3650668749">
            <w:r>
              <w:rPr>
                <w:webHidden/>
                <w:rStyle w:val="IndexLink"/>
                <w:rtl w:val="true"/>
              </w:rPr>
              <w:t>[</w:t>
            </w:r>
            <w:r>
              <w:rPr>
                <w:rStyle w:val="IndexLink"/>
                <w:rtl w:val="true"/>
              </w:rPr>
              <w:t>الثانی</w:t>
            </w:r>
            <w:r>
              <w:rPr>
                <w:rStyle w:val="IndexLink"/>
                <w:rtl w:val="true"/>
              </w:rPr>
              <w:t xml:space="preserve">: </w:t>
            </w:r>
            <w:r>
              <w:rPr>
                <w:rStyle w:val="IndexLink"/>
                <w:rtl w:val="true"/>
              </w:rPr>
              <w:t>کونهما منقوشین بسکّة المعاملة</w:t>
            </w:r>
            <w:r>
              <w:rPr>
                <w:rStyle w:val="IndexLink"/>
                <w:rtl w:val="true"/>
              </w:rPr>
              <w:t>]</w:t>
              <w:tab/>
            </w:r>
            <w:r>
              <w:rPr>
                <w:rStyle w:val="IndexLink"/>
              </w:rPr>
              <w:t>358</w:t>
            </w:r>
          </w:hyperlink>
        </w:p>
        <w:p>
          <w:pPr>
            <w:pStyle w:val="Contents6"/>
            <w:tabs>
              <w:tab w:val="clear" w:pos="7609"/>
              <w:tab w:val="right" w:pos="9026" w:leader="dot"/>
            </w:tabs>
            <w:rPr/>
          </w:pPr>
          <w:hyperlink w:anchor="__RefHeading___Toc2567796_3650668749">
            <w:r>
              <w:rPr>
                <w:webHidden/>
                <w:rStyle w:val="IndexLink"/>
                <w:rtl w:val="true"/>
              </w:rPr>
              <w:t>[</w:t>
            </w:r>
            <w:r>
              <w:rPr>
                <w:rStyle w:val="IndexLink"/>
                <w:rtl w:val="true"/>
              </w:rPr>
              <w:t>الثالث</w:t>
            </w:r>
            <w:r>
              <w:rPr>
                <w:rStyle w:val="IndexLink"/>
                <w:rtl w:val="true"/>
              </w:rPr>
              <w:t xml:space="preserve">: </w:t>
            </w:r>
            <w:r>
              <w:rPr>
                <w:rStyle w:val="IndexLink"/>
                <w:rtl w:val="true"/>
              </w:rPr>
              <w:t>الحول</w:t>
            </w:r>
            <w:r>
              <w:rPr>
                <w:rStyle w:val="IndexLink"/>
                <w:rtl w:val="true"/>
              </w:rPr>
              <w:t>]</w:t>
              <w:tab/>
            </w:r>
            <w:r>
              <w:rPr>
                <w:rStyle w:val="IndexLink"/>
              </w:rPr>
              <w:t>358</w:t>
            </w:r>
          </w:hyperlink>
        </w:p>
        <w:p>
          <w:pPr>
            <w:pStyle w:val="Contents6"/>
            <w:tabs>
              <w:tab w:val="clear" w:pos="7609"/>
              <w:tab w:val="right" w:pos="9026" w:leader="dot"/>
            </w:tabs>
            <w:rPr/>
          </w:pPr>
          <w:hyperlink w:anchor="__RefHeading___Toc256779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تضمّ الدراهم و الدنانیر بعضها إلیٰ بعض بالنسبة إلیٰ تحقّق النصاب</w:t>
            </w:r>
            <w:r>
              <w:rPr>
                <w:rStyle w:val="IndexLink"/>
                <w:rtl w:val="true"/>
              </w:rPr>
              <w:t>]</w:t>
              <w:tab/>
            </w:r>
            <w:r>
              <w:rPr>
                <w:rStyle w:val="IndexLink"/>
              </w:rPr>
              <w:t>358</w:t>
            </w:r>
          </w:hyperlink>
        </w:p>
        <w:p>
          <w:pPr>
            <w:pStyle w:val="Contents6"/>
            <w:tabs>
              <w:tab w:val="clear" w:pos="7609"/>
              <w:tab w:val="right" w:pos="9026" w:leader="dot"/>
            </w:tabs>
            <w:rPr/>
          </w:pPr>
          <w:hyperlink w:anchor="__RefHeading___Toc256780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الدراهم المغشوشة بما یخرجها عن اسم الفضّة الخالصة و لو الردیئة</w:t>
            </w:r>
            <w:r>
              <w:rPr>
                <w:rStyle w:val="IndexLink"/>
                <w:rtl w:val="true"/>
              </w:rPr>
              <w:t>]</w:t>
              <w:tab/>
            </w:r>
            <w:r>
              <w:rPr>
                <w:rStyle w:val="IndexLink"/>
              </w:rPr>
              <w:t>359</w:t>
            </w:r>
          </w:hyperlink>
        </w:p>
        <w:p>
          <w:pPr>
            <w:pStyle w:val="Contents6"/>
            <w:tabs>
              <w:tab w:val="clear" w:pos="7609"/>
              <w:tab w:val="right" w:pos="9026" w:leader="dot"/>
            </w:tabs>
            <w:rPr/>
          </w:pPr>
          <w:hyperlink w:anchor="__RefHeading___Toc256780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لو أخرج المغشوشة زکاة عن الخالصة أو المغشوشة</w:t>
            </w:r>
            <w:r>
              <w:rPr>
                <w:rStyle w:val="IndexLink"/>
                <w:rtl w:val="true"/>
              </w:rPr>
              <w:t>]</w:t>
              <w:tab/>
            </w:r>
            <w:r>
              <w:rPr>
                <w:rStyle w:val="IndexLink"/>
              </w:rPr>
              <w:t>359</w:t>
            </w:r>
          </w:hyperlink>
        </w:p>
        <w:p>
          <w:pPr>
            <w:pStyle w:val="Contents6"/>
            <w:tabs>
              <w:tab w:val="clear" w:pos="7609"/>
              <w:tab w:val="right" w:pos="9026" w:leader="dot"/>
            </w:tabs>
            <w:rPr/>
          </w:pPr>
          <w:hyperlink w:anchor="__RefHeading___Toc256780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لو ملک النصاب و لم یعلم هل فیه غشّ أم لا؟</w:t>
            </w:r>
            <w:r>
              <w:rPr>
                <w:rStyle w:val="IndexLink"/>
                <w:rtl w:val="true"/>
              </w:rPr>
              <w:t>]</w:t>
              <w:tab/>
            </w:r>
            <w:r>
              <w:rPr>
                <w:rStyle w:val="IndexLink"/>
              </w:rPr>
              <w:t>359</w:t>
            </w:r>
          </w:hyperlink>
        </w:p>
        <w:p>
          <w:pPr>
            <w:pStyle w:val="Contents6"/>
            <w:tabs>
              <w:tab w:val="clear" w:pos="7609"/>
              <w:tab w:val="right" w:pos="9026" w:leader="dot"/>
            </w:tabs>
            <w:rPr/>
          </w:pPr>
          <w:hyperlink w:anchor="__RefHeading___Toc256780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اقترض النصاب و ترکه بحاله عنده حتّی حال علیه الحول</w:t>
            </w:r>
            <w:r>
              <w:rPr>
                <w:rStyle w:val="IndexLink"/>
                <w:rtl w:val="true"/>
              </w:rPr>
              <w:t>]</w:t>
              <w:tab/>
            </w:r>
            <w:r>
              <w:rPr>
                <w:rStyle w:val="IndexLink"/>
              </w:rPr>
              <w:t>359</w:t>
            </w:r>
          </w:hyperlink>
        </w:p>
        <w:p>
          <w:pPr>
            <w:pStyle w:val="Contents6"/>
            <w:tabs>
              <w:tab w:val="clear" w:pos="7609"/>
              <w:tab w:val="right" w:pos="9026" w:leader="dot"/>
            </w:tabs>
            <w:rPr/>
          </w:pPr>
          <w:hyperlink w:anchor="__RefHeading___Toc2567808_3650668749">
            <w:r>
              <w:rPr>
                <w:webHidden/>
                <w:rStyle w:val="IndexLink"/>
                <w:rtl w:val="true"/>
              </w:rPr>
              <w:t>[</w:t>
            </w:r>
            <w:r>
              <w:rPr>
                <w:rStyle w:val="IndexLink"/>
                <w:rtl w:val="true"/>
              </w:rPr>
              <w:t>الفصل الثالث</w:t>
            </w:r>
            <w:r>
              <w:rPr>
                <w:rStyle w:val="IndexLink"/>
                <w:rtl w:val="true"/>
              </w:rPr>
              <w:t xml:space="preserve">: </w:t>
            </w:r>
            <w:r>
              <w:rPr>
                <w:rStyle w:val="IndexLink"/>
                <w:rtl w:val="true"/>
              </w:rPr>
              <w:t>فی زکاة الغلّات</w:t>
            </w:r>
            <w:r>
              <w:rPr>
                <w:rStyle w:val="IndexLink"/>
                <w:rtl w:val="true"/>
              </w:rPr>
              <w:t>]</w:t>
              <w:tab/>
            </w:r>
            <w:r>
              <w:rPr>
                <w:rStyle w:val="IndexLink"/>
              </w:rPr>
              <w:t>359</w:t>
            </w:r>
          </w:hyperlink>
        </w:p>
        <w:p>
          <w:pPr>
            <w:pStyle w:val="Contents6"/>
            <w:tabs>
              <w:tab w:val="clear" w:pos="7609"/>
              <w:tab w:val="right" w:pos="9026" w:leader="dot"/>
            </w:tabs>
            <w:rPr/>
          </w:pPr>
          <w:hyperlink w:anchor="__RefHeading___Toc2567810_3650668749">
            <w:r>
              <w:rPr>
                <w:webHidden/>
                <w:rStyle w:val="IndexLink"/>
                <w:rtl w:val="true"/>
              </w:rPr>
              <w:t>اشارة</w:t>
            </w:r>
            <w:r>
              <w:rPr>
                <w:rStyle w:val="IndexLink"/>
                <w:rtl w:val="true"/>
              </w:rPr>
              <w:tab/>
            </w:r>
            <w:r>
              <w:rPr>
                <w:rStyle w:val="IndexLink"/>
              </w:rPr>
              <w:t>359</w:t>
            </w:r>
          </w:hyperlink>
        </w:p>
        <w:p>
          <w:pPr>
            <w:pStyle w:val="Contents6"/>
            <w:tabs>
              <w:tab w:val="clear" w:pos="7609"/>
              <w:tab w:val="right" w:pos="9026" w:leader="dot"/>
            </w:tabs>
            <w:rPr/>
          </w:pPr>
          <w:hyperlink w:anchor="__RefHeading___Toc2567812_3650668749">
            <w:r>
              <w:rPr>
                <w:webHidden/>
                <w:rStyle w:val="IndexLink"/>
                <w:rtl w:val="true"/>
              </w:rPr>
              <w:t>[</w:t>
            </w:r>
            <w:r>
              <w:rPr>
                <w:rStyle w:val="IndexLink"/>
                <w:rtl w:val="true"/>
              </w:rPr>
              <w:t>المطلب الأوّل</w:t>
            </w:r>
            <w:r>
              <w:rPr>
                <w:rStyle w:val="IndexLink"/>
                <w:rtl w:val="true"/>
              </w:rPr>
              <w:t xml:space="preserve">: </w:t>
            </w:r>
            <w:r>
              <w:rPr>
                <w:rStyle w:val="IndexLink"/>
                <w:rtl w:val="true"/>
              </w:rPr>
              <w:t>یعتبر فی الزکاة أمران</w:t>
            </w:r>
            <w:r>
              <w:rPr>
                <w:rStyle w:val="IndexLink"/>
                <w:rtl w:val="true"/>
              </w:rPr>
              <w:t>]</w:t>
              <w:tab/>
            </w:r>
            <w:r>
              <w:rPr>
                <w:rStyle w:val="IndexLink"/>
              </w:rPr>
              <w:t>360</w:t>
            </w:r>
          </w:hyperlink>
        </w:p>
        <w:p>
          <w:pPr>
            <w:pStyle w:val="Contents6"/>
            <w:tabs>
              <w:tab w:val="clear" w:pos="7609"/>
              <w:tab w:val="right" w:pos="9026" w:leader="dot"/>
            </w:tabs>
            <w:rPr/>
          </w:pPr>
          <w:hyperlink w:anchor="__RefHeading___Toc2567814_3650668749">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2567816_3650668749">
            <w:r>
              <w:rPr>
                <w:webHidden/>
                <w:rStyle w:val="IndexLink"/>
                <w:rtl w:val="true"/>
              </w:rPr>
              <w:t>[</w:t>
            </w:r>
            <w:r>
              <w:rPr>
                <w:rStyle w:val="IndexLink"/>
                <w:rtl w:val="true"/>
              </w:rPr>
              <w:t>الأوّل</w:t>
            </w:r>
            <w:r>
              <w:rPr>
                <w:rStyle w:val="IndexLink"/>
                <w:rtl w:val="true"/>
              </w:rPr>
              <w:t xml:space="preserve">: </w:t>
            </w:r>
            <w:r>
              <w:rPr>
                <w:rStyle w:val="IndexLink"/>
                <w:rtl w:val="true"/>
              </w:rPr>
              <w:t>بلوغ النصاب</w:t>
            </w:r>
            <w:r>
              <w:rPr>
                <w:rStyle w:val="IndexLink"/>
                <w:rtl w:val="true"/>
              </w:rPr>
              <w:t>]</w:t>
              <w:tab/>
            </w:r>
            <w:r>
              <w:rPr>
                <w:rStyle w:val="IndexLink"/>
              </w:rPr>
              <w:t>360</w:t>
            </w:r>
          </w:hyperlink>
        </w:p>
        <w:p>
          <w:pPr>
            <w:pStyle w:val="Contents6"/>
            <w:tabs>
              <w:tab w:val="clear" w:pos="7609"/>
              <w:tab w:val="right" w:pos="9026" w:leader="dot"/>
            </w:tabs>
            <w:rPr/>
          </w:pPr>
          <w:hyperlink w:anchor="__RefHeading___Toc2567818_3650668749">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256782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المدار فی بلوغ النصاب ملاحظة حال الجفاف</w:t>
            </w:r>
            <w:r>
              <w:rPr>
                <w:rStyle w:val="IndexLink"/>
                <w:rtl w:val="true"/>
              </w:rPr>
              <w:t>]</w:t>
              <w:tab/>
            </w:r>
            <w:r>
              <w:rPr>
                <w:rStyle w:val="IndexLink"/>
              </w:rPr>
              <w:t>360</w:t>
            </w:r>
          </w:hyperlink>
        </w:p>
        <w:p>
          <w:pPr>
            <w:pStyle w:val="Contents6"/>
            <w:tabs>
              <w:tab w:val="clear" w:pos="7609"/>
              <w:tab w:val="right" w:pos="9026" w:leader="dot"/>
            </w:tabs>
            <w:rPr/>
          </w:pPr>
          <w:hyperlink w:anchor="__RefHeading___Toc256782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کان له نخیل أو کروم أو زروع فی بلاد متباعدة یدرک بعضها قبل بعض</w:t>
            </w:r>
            <w:r>
              <w:rPr>
                <w:rStyle w:val="IndexLink"/>
                <w:rtl w:val="true"/>
              </w:rPr>
              <w:t>]</w:t>
              <w:tab/>
            </w:r>
            <w:r>
              <w:rPr>
                <w:rStyle w:val="IndexLink"/>
              </w:rPr>
              <w:t>361</w:t>
            </w:r>
          </w:hyperlink>
        </w:p>
        <w:p>
          <w:pPr>
            <w:pStyle w:val="Contents6"/>
            <w:tabs>
              <w:tab w:val="clear" w:pos="7609"/>
              <w:tab w:val="right" w:pos="9026" w:leader="dot"/>
            </w:tabs>
            <w:rPr/>
          </w:pPr>
          <w:hyperlink w:anchor="__RefHeading___Toc2567824_3650668749">
            <w:r>
              <w:rPr>
                <w:webHidden/>
                <w:rStyle w:val="IndexLink"/>
                <w:rtl w:val="true"/>
              </w:rPr>
              <w:t>[</w:t>
            </w:r>
            <w:r>
              <w:rPr>
                <w:rStyle w:val="IndexLink"/>
                <w:rtl w:val="true"/>
              </w:rPr>
              <w:t>الأمر الثانی</w:t>
            </w:r>
            <w:r>
              <w:rPr>
                <w:rStyle w:val="IndexLink"/>
                <w:rtl w:val="true"/>
              </w:rPr>
              <w:t xml:space="preserve">: </w:t>
            </w:r>
            <w:r>
              <w:rPr>
                <w:rStyle w:val="IndexLink"/>
                <w:rtl w:val="true"/>
              </w:rPr>
              <w:t>التملّک بالزراعة إن کان ممّا یزرع</w:t>
            </w:r>
            <w:r>
              <w:rPr>
                <w:rStyle w:val="IndexLink"/>
                <w:rtl w:val="true"/>
              </w:rPr>
              <w:t>]</w:t>
              <w:tab/>
            </w:r>
            <w:r>
              <w:rPr>
                <w:rStyle w:val="IndexLink"/>
              </w:rPr>
              <w:t>361</w:t>
            </w:r>
          </w:hyperlink>
        </w:p>
        <w:p>
          <w:pPr>
            <w:pStyle w:val="Contents6"/>
            <w:tabs>
              <w:tab w:val="clear" w:pos="7609"/>
              <w:tab w:val="right" w:pos="9026" w:leader="dot"/>
            </w:tabs>
            <w:rPr/>
          </w:pPr>
          <w:hyperlink w:anchor="__RefHeading___Toc2567826_3650668749">
            <w:r>
              <w:rPr>
                <w:webHidden/>
                <w:rStyle w:val="IndexLink"/>
                <w:rtl w:val="true"/>
              </w:rPr>
              <w:t>اشارة</w:t>
            </w:r>
            <w:r>
              <w:rPr>
                <w:rStyle w:val="IndexLink"/>
                <w:rtl w:val="true"/>
              </w:rPr>
              <w:tab/>
            </w:r>
            <w:r>
              <w:rPr>
                <w:rStyle w:val="IndexLink"/>
              </w:rPr>
              <w:t>361</w:t>
            </w:r>
          </w:hyperlink>
        </w:p>
        <w:p>
          <w:pPr>
            <w:pStyle w:val="Contents6"/>
            <w:tabs>
              <w:tab w:val="clear" w:pos="7609"/>
              <w:tab w:val="right" w:pos="9026" w:leader="dot"/>
            </w:tabs>
            <w:rPr/>
          </w:pPr>
          <w:hyperlink w:anchor="__RefHeading___Toc256782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المشهور أنّ وقت تعلّق الزکاة عند اشتداد الحبّ فی الزرع</w:t>
            </w:r>
            <w:r>
              <w:rPr>
                <w:rStyle w:val="IndexLink"/>
                <w:rtl w:val="true"/>
              </w:rPr>
              <w:t>]</w:t>
              <w:tab/>
            </w:r>
            <w:r>
              <w:rPr>
                <w:rStyle w:val="IndexLink"/>
              </w:rPr>
              <w:t>361</w:t>
            </w:r>
          </w:hyperlink>
        </w:p>
        <w:p>
          <w:pPr>
            <w:pStyle w:val="Contents6"/>
            <w:tabs>
              <w:tab w:val="clear" w:pos="7609"/>
              <w:tab w:val="right" w:pos="9026" w:leader="dot"/>
            </w:tabs>
            <w:rPr/>
          </w:pPr>
          <w:hyperlink w:anchor="__RefHeading___Toc256783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وقت وجوب الإخراج حین تصفیة الغلّة و اجتذاذ التمر و اقتطاف الزبیب</w:t>
            </w:r>
            <w:r>
              <w:rPr>
                <w:rStyle w:val="IndexLink"/>
                <w:rtl w:val="true"/>
              </w:rPr>
              <w:t>]</w:t>
              <w:tab/>
            </w:r>
            <w:r>
              <w:rPr>
                <w:rStyle w:val="IndexLink"/>
              </w:rPr>
              <w:t>361</w:t>
            </w:r>
          </w:hyperlink>
        </w:p>
        <w:p>
          <w:pPr>
            <w:pStyle w:val="Contents6"/>
            <w:tabs>
              <w:tab w:val="clear" w:pos="7609"/>
              <w:tab w:val="right" w:pos="9026" w:leader="dot"/>
            </w:tabs>
            <w:rPr/>
          </w:pPr>
          <w:hyperlink w:anchor="__RefHeading___Toc256783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أراد المالک الاقتطاف حصرماً أو عنباً أو بسراً أو رطباً</w:t>
            </w:r>
            <w:r>
              <w:rPr>
                <w:rStyle w:val="IndexLink"/>
                <w:rtl w:val="true"/>
              </w:rPr>
              <w:t>]</w:t>
              <w:tab/>
            </w:r>
            <w:r>
              <w:rPr>
                <w:rStyle w:val="IndexLink"/>
              </w:rPr>
              <w:t>361</w:t>
            </w:r>
          </w:hyperlink>
        </w:p>
        <w:p>
          <w:pPr>
            <w:pStyle w:val="Contents6"/>
            <w:tabs>
              <w:tab w:val="clear" w:pos="7609"/>
              <w:tab w:val="right" w:pos="9026" w:leader="dot"/>
            </w:tabs>
            <w:rPr/>
          </w:pPr>
          <w:hyperlink w:anchor="__RefHeading___Toc2567834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یجوز للمالک دفع الزکاة و الثمر علی الشجر</w:t>
            </w:r>
            <w:r>
              <w:rPr>
                <w:rStyle w:val="IndexLink"/>
                <w:rtl w:val="true"/>
              </w:rPr>
              <w:t>]</w:t>
              <w:tab/>
            </w:r>
            <w:r>
              <w:rPr>
                <w:rStyle w:val="IndexLink"/>
              </w:rPr>
              <w:t>362</w:t>
            </w:r>
          </w:hyperlink>
        </w:p>
        <w:p>
          <w:pPr>
            <w:pStyle w:val="Contents6"/>
            <w:tabs>
              <w:tab w:val="clear" w:pos="7609"/>
              <w:tab w:val="right" w:pos="9026" w:leader="dot"/>
            </w:tabs>
            <w:rPr/>
          </w:pPr>
          <w:hyperlink w:anchor="__RefHeading___Toc2567836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ملک نخلًا مثلًا قبل أن یبدو صلاح ثمرته</w:t>
            </w:r>
            <w:r>
              <w:rPr>
                <w:rStyle w:val="IndexLink"/>
                <w:rtl w:val="true"/>
              </w:rPr>
              <w:t>]</w:t>
              <w:tab/>
            </w:r>
            <w:r>
              <w:rPr>
                <w:rStyle w:val="IndexLink"/>
              </w:rPr>
              <w:t>362</w:t>
            </w:r>
          </w:hyperlink>
        </w:p>
        <w:p>
          <w:pPr>
            <w:pStyle w:val="Contents6"/>
            <w:tabs>
              <w:tab w:val="clear" w:pos="7609"/>
              <w:tab w:val="right" w:pos="9026" w:leader="dot"/>
            </w:tabs>
            <w:rPr/>
          </w:pPr>
          <w:hyperlink w:anchor="__RefHeading___Toc2567838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باع الزرع أو الثمر و شکّ فی أنّ البیع کان بعد زمان التعلّق</w:t>
            </w:r>
            <w:r>
              <w:rPr>
                <w:rStyle w:val="IndexLink"/>
                <w:rtl w:val="true"/>
              </w:rPr>
              <w:t>]</w:t>
              <w:tab/>
            </w:r>
            <w:r>
              <w:rPr>
                <w:rStyle w:val="IndexLink"/>
              </w:rPr>
              <w:t>362</w:t>
            </w:r>
          </w:hyperlink>
        </w:p>
        <w:p>
          <w:pPr>
            <w:pStyle w:val="Contents6"/>
            <w:tabs>
              <w:tab w:val="clear" w:pos="7609"/>
              <w:tab w:val="right" w:pos="9026" w:leader="dot"/>
            </w:tabs>
            <w:rPr/>
          </w:pPr>
          <w:hyperlink w:anchor="__RefHeading___Toc2567840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إذا مات المالک بعد تعلّق الزکاة و قبل إخراجها تخرج من ترکته</w:t>
            </w:r>
            <w:r>
              <w:rPr>
                <w:rStyle w:val="IndexLink"/>
                <w:rtl w:val="true"/>
              </w:rPr>
              <w:t>]</w:t>
              <w:tab/>
            </w:r>
            <w:r>
              <w:rPr>
                <w:rStyle w:val="IndexLink"/>
              </w:rPr>
              <w:t>362</w:t>
            </w:r>
          </w:hyperlink>
        </w:p>
        <w:p>
          <w:pPr>
            <w:pStyle w:val="Contents6"/>
            <w:tabs>
              <w:tab w:val="clear" w:pos="7609"/>
              <w:tab w:val="right" w:pos="9026" w:leader="dot"/>
            </w:tabs>
            <w:rPr/>
          </w:pPr>
          <w:hyperlink w:anchor="__RefHeading___Toc2567842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لو مات الزارع أو مالک النخل أو الکرم و کان علیه دین</w:t>
            </w:r>
            <w:r>
              <w:rPr>
                <w:rStyle w:val="IndexLink"/>
                <w:rtl w:val="true"/>
              </w:rPr>
              <w:t>]</w:t>
              <w:tab/>
            </w:r>
            <w:r>
              <w:rPr>
                <w:rStyle w:val="IndexLink"/>
              </w:rPr>
              <w:t>363</w:t>
            </w:r>
          </w:hyperlink>
        </w:p>
        <w:p>
          <w:pPr>
            <w:pStyle w:val="Contents6"/>
            <w:tabs>
              <w:tab w:val="clear" w:pos="7609"/>
              <w:tab w:val="right" w:pos="9026" w:leader="dot"/>
            </w:tabs>
            <w:rPr/>
          </w:pPr>
          <w:hyperlink w:anchor="__RefHeading___Toc2567844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فی المزارعة و المساقاة الصحیحتین حیث إنّ الحاصل مشترک بین المالک و العامل</w:t>
            </w:r>
            <w:r>
              <w:rPr>
                <w:rStyle w:val="IndexLink"/>
                <w:rtl w:val="true"/>
              </w:rPr>
              <w:t>]</w:t>
              <w:tab/>
            </w:r>
            <w:r>
              <w:rPr>
                <w:rStyle w:val="IndexLink"/>
              </w:rPr>
              <w:t>364</w:t>
            </w:r>
          </w:hyperlink>
        </w:p>
        <w:p>
          <w:pPr>
            <w:pStyle w:val="Contents6"/>
            <w:tabs>
              <w:tab w:val="clear" w:pos="7609"/>
              <w:tab w:val="right" w:pos="9026" w:leader="dot"/>
            </w:tabs>
            <w:rPr/>
          </w:pPr>
          <w:hyperlink w:anchor="__RefHeading___Toc2567846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فی المزارعة الفاسدة یکون الزکاة علیٰ صاحب البذر و یکون أُجرة الأرض و العامل من المؤن</w:t>
            </w:r>
            <w:r>
              <w:rPr>
                <w:rStyle w:val="IndexLink"/>
                <w:rtl w:val="true"/>
              </w:rPr>
              <w:t>]</w:t>
              <w:tab/>
            </w:r>
            <w:r>
              <w:rPr>
                <w:rStyle w:val="IndexLink"/>
              </w:rPr>
              <w:t>364</w:t>
            </w:r>
          </w:hyperlink>
        </w:p>
        <w:p>
          <w:pPr>
            <w:pStyle w:val="Contents6"/>
            <w:tabs>
              <w:tab w:val="clear" w:pos="7609"/>
              <w:tab w:val="right" w:pos="9026" w:leader="dot"/>
            </w:tabs>
            <w:rPr/>
          </w:pPr>
          <w:hyperlink w:anchor="__RefHeading___Toc2567848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إذا کان عنده أنواع من التمر کالزاهدی و الخستاوی و القنطار و غیر ذلک</w:t>
            </w:r>
            <w:r>
              <w:rPr>
                <w:rStyle w:val="IndexLink"/>
                <w:rtl w:val="true"/>
              </w:rPr>
              <w:t>]</w:t>
              <w:tab/>
            </w:r>
            <w:r>
              <w:rPr>
                <w:rStyle w:val="IndexLink"/>
              </w:rPr>
              <w:t>364</w:t>
            </w:r>
          </w:hyperlink>
        </w:p>
        <w:p>
          <w:pPr>
            <w:pStyle w:val="Contents6"/>
            <w:tabs>
              <w:tab w:val="clear" w:pos="7609"/>
              <w:tab w:val="right" w:pos="9026" w:leader="dot"/>
            </w:tabs>
            <w:rPr/>
          </w:pPr>
          <w:hyperlink w:anchor="__RefHeading___Toc2567850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یجوز تعیین مقدار ثمر النخل و الکرم و تقدیر ما یجی‌ء منهما</w:t>
            </w:r>
            <w:r>
              <w:rPr>
                <w:rStyle w:val="IndexLink"/>
                <w:rtl w:val="true"/>
              </w:rPr>
              <w:t>]</w:t>
              <w:tab/>
            </w:r>
            <w:r>
              <w:rPr>
                <w:rStyle w:val="IndexLink"/>
              </w:rPr>
              <w:t>364</w:t>
            </w:r>
          </w:hyperlink>
        </w:p>
        <w:p>
          <w:pPr>
            <w:pStyle w:val="Contents6"/>
            <w:tabs>
              <w:tab w:val="clear" w:pos="7609"/>
              <w:tab w:val="right" w:pos="9026" w:leader="dot"/>
            </w:tabs>
            <w:rPr/>
          </w:pPr>
          <w:hyperlink w:anchor="__RefHeading___Toc2567852_3650668749">
            <w:r>
              <w:rPr>
                <w:webHidden/>
                <w:rStyle w:val="IndexLink"/>
                <w:rtl w:val="true"/>
              </w:rPr>
              <w:t>[</w:t>
            </w:r>
            <w:r>
              <w:rPr>
                <w:rStyle w:val="IndexLink"/>
                <w:rtl w:val="true"/>
              </w:rPr>
              <w:t>المطلب الثانی</w:t>
            </w:r>
            <w:r>
              <w:rPr>
                <w:rStyle w:val="IndexLink"/>
                <w:rtl w:val="true"/>
              </w:rPr>
              <w:t xml:space="preserve">: </w:t>
            </w:r>
            <w:r>
              <w:rPr>
                <w:rStyle w:val="IndexLink"/>
                <w:rtl w:val="true"/>
              </w:rPr>
              <w:t>إنّما تجب الزکاة بعد إخراج ما یأخذه السلطان من عین الحاصل بعنوان المقاسمة</w:t>
            </w:r>
            <w:r>
              <w:rPr>
                <w:rStyle w:val="IndexLink"/>
                <w:rtl w:val="true"/>
              </w:rPr>
              <w:t>]</w:t>
              <w:tab/>
            </w:r>
            <w:r>
              <w:rPr>
                <w:rStyle w:val="IndexLink"/>
              </w:rPr>
              <w:t>365</w:t>
            </w:r>
          </w:hyperlink>
        </w:p>
        <w:p>
          <w:pPr>
            <w:pStyle w:val="Contents6"/>
            <w:tabs>
              <w:tab w:val="clear" w:pos="7609"/>
              <w:tab w:val="right" w:pos="9026" w:leader="dot"/>
            </w:tabs>
            <w:rPr/>
          </w:pPr>
          <w:hyperlink w:anchor="__RefHeading___Toc2567854_3650668749">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2567856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الظاهر عدم اختصاص حکم الخراج بما یأخذه السلطان المخالف المدّعی للخلافة و الولایة</w:t>
            </w:r>
            <w:r>
              <w:rPr>
                <w:rStyle w:val="IndexLink"/>
                <w:rtl w:val="true"/>
              </w:rPr>
              <w:t>]</w:t>
              <w:tab/>
            </w:r>
            <w:r>
              <w:rPr>
                <w:rStyle w:val="IndexLink"/>
              </w:rPr>
              <w:t>365</w:t>
            </w:r>
          </w:hyperlink>
        </w:p>
        <w:p>
          <w:pPr>
            <w:pStyle w:val="Contents6"/>
            <w:tabs>
              <w:tab w:val="clear" w:pos="7609"/>
              <w:tab w:val="right" w:pos="9026" w:leader="dot"/>
            </w:tabs>
            <w:rPr/>
          </w:pPr>
          <w:hyperlink w:anchor="__RefHeading___Toc2567858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الأقوی اعتبار خروج المؤن جمیعها من غیر فرق بین السابقة علیٰ زمان التعلّق و اللاحقة</w:t>
            </w:r>
            <w:r>
              <w:rPr>
                <w:rStyle w:val="IndexLink"/>
                <w:rtl w:val="true"/>
              </w:rPr>
              <w:t>]</w:t>
              <w:tab/>
            </w:r>
            <w:r>
              <w:rPr>
                <w:rStyle w:val="IndexLink"/>
              </w:rPr>
              <w:t>366</w:t>
            </w:r>
          </w:hyperlink>
        </w:p>
        <w:p>
          <w:pPr>
            <w:pStyle w:val="Contents6"/>
            <w:tabs>
              <w:tab w:val="clear" w:pos="7609"/>
              <w:tab w:val="right" w:pos="9026" w:leader="dot"/>
            </w:tabs>
            <w:rPr/>
          </w:pPr>
          <w:hyperlink w:anchor="__RefHeading___Toc2567860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الظاهر أنّه یلاحظ فی البذر قیمته یوم الزرع لا مثله</w:t>
            </w:r>
            <w:r>
              <w:rPr>
                <w:rStyle w:val="IndexLink"/>
                <w:rtl w:val="true"/>
              </w:rPr>
              <w:t>]</w:t>
              <w:tab/>
            </w:r>
            <w:r>
              <w:rPr>
                <w:rStyle w:val="IndexLink"/>
              </w:rPr>
              <w:t>366</w:t>
            </w:r>
          </w:hyperlink>
        </w:p>
        <w:p>
          <w:pPr>
            <w:pStyle w:val="Contents6"/>
            <w:tabs>
              <w:tab w:val="clear" w:pos="7609"/>
              <w:tab w:val="right" w:pos="9026" w:leader="dot"/>
            </w:tabs>
            <w:rPr/>
          </w:pPr>
          <w:hyperlink w:anchor="__RefHeading___Toc2567862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لو کان مع الزکوی غیره وزّعت المئونة علیهما</w:t>
            </w:r>
            <w:r>
              <w:rPr>
                <w:rStyle w:val="IndexLink"/>
                <w:rtl w:val="true"/>
              </w:rPr>
              <w:t>]</w:t>
              <w:tab/>
            </w:r>
            <w:r>
              <w:rPr>
                <w:rStyle w:val="IndexLink"/>
              </w:rPr>
              <w:t>367</w:t>
            </w:r>
          </w:hyperlink>
        </w:p>
        <w:p>
          <w:pPr>
            <w:pStyle w:val="Contents6"/>
            <w:tabs>
              <w:tab w:val="clear" w:pos="7609"/>
              <w:tab w:val="right" w:pos="9026" w:leader="dot"/>
            </w:tabs>
            <w:rPr/>
          </w:pPr>
          <w:hyperlink w:anchor="__RefHeading___Toc2567864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إذا کان للعمل مدخلیّة فی ثمر سنین عدیدة</w:t>
            </w:r>
            <w:r>
              <w:rPr>
                <w:rStyle w:val="IndexLink"/>
                <w:rtl w:val="true"/>
              </w:rPr>
              <w:t>]</w:t>
              <w:tab/>
            </w:r>
            <w:r>
              <w:rPr>
                <w:rStyle w:val="IndexLink"/>
              </w:rPr>
              <w:t>367</w:t>
            </w:r>
          </w:hyperlink>
        </w:p>
        <w:p>
          <w:pPr>
            <w:pStyle w:val="Contents6"/>
            <w:tabs>
              <w:tab w:val="clear" w:pos="7609"/>
              <w:tab w:val="right" w:pos="9026" w:leader="dot"/>
            </w:tabs>
            <w:rPr/>
          </w:pPr>
          <w:hyperlink w:anchor="__RefHeading___Toc2567866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إذا شکّ فی کون شی‌ء من المؤن أو لا</w:t>
            </w:r>
            <w:r>
              <w:rPr>
                <w:rStyle w:val="IndexLink"/>
                <w:rtl w:val="true"/>
              </w:rPr>
              <w:t>]</w:t>
              <w:tab/>
            </w:r>
            <w:r>
              <w:rPr>
                <w:rStyle w:val="IndexLink"/>
              </w:rPr>
              <w:t>367</w:t>
            </w:r>
          </w:hyperlink>
        </w:p>
        <w:p>
          <w:pPr>
            <w:pStyle w:val="Contents6"/>
            <w:tabs>
              <w:tab w:val="clear" w:pos="7609"/>
              <w:tab w:val="right" w:pos="9026" w:leader="dot"/>
            </w:tabs>
            <w:rPr/>
          </w:pPr>
          <w:hyperlink w:anchor="__RefHeading___Toc2567868_3650668749">
            <w:r>
              <w:rPr>
                <w:webHidden/>
                <w:rStyle w:val="IndexLink"/>
                <w:rtl w:val="true"/>
              </w:rPr>
              <w:t>[</w:t>
            </w:r>
            <w:r>
              <w:rPr>
                <w:rStyle w:val="IndexLink"/>
                <w:rtl w:val="true"/>
              </w:rPr>
              <w:t>المطلب الثالث</w:t>
            </w:r>
            <w:r>
              <w:rPr>
                <w:rStyle w:val="IndexLink"/>
                <w:rtl w:val="true"/>
              </w:rPr>
              <w:t xml:space="preserve">: </w:t>
            </w:r>
            <w:r>
              <w:rPr>
                <w:rStyle w:val="IndexLink"/>
                <w:rtl w:val="true"/>
              </w:rPr>
              <w:t>کلّما سقی سیحاً و لو بحفر نهر و نحوه أو بعلًا</w:t>
            </w:r>
            <w:r>
              <w:rPr>
                <w:rStyle w:val="IndexLink"/>
                <w:rtl w:val="true"/>
              </w:rPr>
              <w:t>]</w:t>
              <w:tab/>
            </w:r>
            <w:r>
              <w:rPr>
                <w:rStyle w:val="IndexLink"/>
              </w:rPr>
              <w:t>367</w:t>
            </w:r>
          </w:hyperlink>
        </w:p>
        <w:p>
          <w:pPr>
            <w:pStyle w:val="Contents6"/>
            <w:tabs>
              <w:tab w:val="clear" w:pos="7609"/>
              <w:tab w:val="right" w:pos="9026" w:leader="dot"/>
            </w:tabs>
            <w:rPr/>
          </w:pPr>
          <w:hyperlink w:anchor="__RefHeading___Toc2567870_3650668749">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2567872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الأمطار العادیة فی أیّام السنة لا تخرج ما یسقیٰ بالدوالی عن حکمه</w:t>
            </w:r>
            <w:r>
              <w:rPr>
                <w:rStyle w:val="IndexLink"/>
                <w:rtl w:val="true"/>
              </w:rPr>
              <w:t>]</w:t>
              <w:tab/>
            </w:r>
            <w:r>
              <w:rPr>
                <w:rStyle w:val="IndexLink"/>
              </w:rPr>
              <w:t>367</w:t>
            </w:r>
          </w:hyperlink>
        </w:p>
        <w:p>
          <w:pPr>
            <w:pStyle w:val="Contents6"/>
            <w:tabs>
              <w:tab w:val="clear" w:pos="7609"/>
              <w:tab w:val="right" w:pos="9026" w:leader="dot"/>
            </w:tabs>
            <w:rPr/>
          </w:pPr>
          <w:hyperlink w:anchor="__RefHeading___Toc2567874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لو أخرج شخص الماء بالدوالی علیٰ أرض مباحة مثلًا عبثاً أو لغرض، فزرعها آخر و شرب الزرع بعروقه</w:t>
            </w:r>
            <w:r>
              <w:rPr>
                <w:rStyle w:val="IndexLink"/>
                <w:rtl w:val="true"/>
              </w:rPr>
              <w:t>]</w:t>
              <w:tab/>
            </w:r>
            <w:r>
              <w:rPr>
                <w:rStyle w:val="IndexLink"/>
              </w:rPr>
              <w:t>367</w:t>
            </w:r>
          </w:hyperlink>
        </w:p>
        <w:p>
          <w:pPr>
            <w:pStyle w:val="Contents5"/>
            <w:tabs>
              <w:tab w:val="clear" w:pos="7892"/>
              <w:tab w:val="right" w:pos="9026" w:leader="dot"/>
            </w:tabs>
            <w:rPr/>
          </w:pPr>
          <w:hyperlink w:anchor="__RefHeading___Toc2567876_3650668749">
            <w:r>
              <w:rPr>
                <w:webHidden/>
                <w:rStyle w:val="IndexLink"/>
                <w:rtl w:val="true"/>
              </w:rPr>
              <w:t>[</w:t>
            </w:r>
            <w:r>
              <w:rPr>
                <w:rStyle w:val="IndexLink"/>
                <w:rtl w:val="true"/>
              </w:rPr>
              <w:t>القول فیما یستحبّ فیه الزکاة</w:t>
            </w:r>
            <w:r>
              <w:rPr>
                <w:rStyle w:val="IndexLink"/>
                <w:rtl w:val="true"/>
              </w:rPr>
              <w:t>]</w:t>
              <w:tab/>
            </w:r>
            <w:r>
              <w:rPr>
                <w:rStyle w:val="IndexLink"/>
              </w:rPr>
              <w:t>368</w:t>
            </w:r>
          </w:hyperlink>
        </w:p>
        <w:p>
          <w:pPr>
            <w:pStyle w:val="Contents6"/>
            <w:tabs>
              <w:tab w:val="clear" w:pos="7609"/>
              <w:tab w:val="right" w:pos="9026" w:leader="dot"/>
            </w:tabs>
            <w:rPr/>
          </w:pPr>
          <w:hyperlink w:anchor="__RefHeading___Toc2567878_3650668749">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2567880_3650668749">
            <w:r>
              <w:rPr>
                <w:webHidden/>
                <w:rStyle w:val="IndexLink"/>
                <w:rtl w:val="true"/>
              </w:rPr>
              <w:t>[</w:t>
            </w:r>
            <w:r>
              <w:rPr>
                <w:rStyle w:val="IndexLink"/>
                <w:rtl w:val="true"/>
              </w:rPr>
              <w:t>الأوّل</w:t>
            </w:r>
            <w:r>
              <w:rPr>
                <w:rStyle w:val="IndexLink"/>
                <w:rtl w:val="true"/>
              </w:rPr>
              <w:t xml:space="preserve">: </w:t>
            </w:r>
            <w:r>
              <w:rPr>
                <w:rStyle w:val="IndexLink"/>
                <w:rtl w:val="true"/>
              </w:rPr>
              <w:t>مال التجارة</w:t>
            </w:r>
            <w:r>
              <w:rPr>
                <w:rStyle w:val="IndexLink"/>
                <w:rtl w:val="true"/>
              </w:rPr>
              <w:t>]</w:t>
              <w:tab/>
            </w:r>
            <w:r>
              <w:rPr>
                <w:rStyle w:val="IndexLink"/>
              </w:rPr>
              <w:t>368</w:t>
            </w:r>
          </w:hyperlink>
        </w:p>
        <w:p>
          <w:pPr>
            <w:pStyle w:val="Contents6"/>
            <w:tabs>
              <w:tab w:val="clear" w:pos="7609"/>
              <w:tab w:val="right" w:pos="9026" w:leader="dot"/>
            </w:tabs>
            <w:rPr/>
          </w:pPr>
          <w:hyperlink w:anchor="__RefHeading___Toc2567882_3650668749">
            <w:r>
              <w:rPr>
                <w:webHidden/>
                <w:rStyle w:val="IndexLink"/>
                <w:rtl w:val="true"/>
              </w:rPr>
              <w:t>[</w:t>
            </w:r>
            <w:r>
              <w:rPr>
                <w:rStyle w:val="IndexLink"/>
                <w:rtl w:val="true"/>
              </w:rPr>
              <w:t>الثانی ممّا تستحبّ فیه الزکاة</w:t>
            </w:r>
            <w:r>
              <w:rPr>
                <w:rStyle w:val="IndexLink"/>
                <w:rtl w:val="true"/>
              </w:rPr>
              <w:t xml:space="preserve">: </w:t>
            </w:r>
            <w:r>
              <w:rPr>
                <w:rStyle w:val="IndexLink"/>
                <w:rtl w:val="true"/>
              </w:rPr>
              <w:t>کلّ ما یکال أو یوزن</w:t>
            </w:r>
            <w:r>
              <w:rPr>
                <w:rStyle w:val="IndexLink"/>
                <w:rtl w:val="true"/>
              </w:rPr>
              <w:t>]</w:t>
              <w:tab/>
            </w:r>
            <w:r>
              <w:rPr>
                <w:rStyle w:val="IndexLink"/>
              </w:rPr>
              <w:t>369</w:t>
            </w:r>
          </w:hyperlink>
        </w:p>
        <w:p>
          <w:pPr>
            <w:pStyle w:val="Contents6"/>
            <w:tabs>
              <w:tab w:val="clear" w:pos="7609"/>
              <w:tab w:val="right" w:pos="9026" w:leader="dot"/>
            </w:tabs>
            <w:rPr/>
          </w:pPr>
          <w:hyperlink w:anchor="__RefHeading___Toc2567884_3650668749">
            <w:r>
              <w:rPr>
                <w:webHidden/>
                <w:rStyle w:val="IndexLink"/>
                <w:rtl w:val="true"/>
              </w:rPr>
              <w:t>[</w:t>
            </w:r>
            <w:r>
              <w:rPr>
                <w:rStyle w:val="IndexLink"/>
                <w:rtl w:val="true"/>
              </w:rPr>
              <w:t>الثالث</w:t>
            </w:r>
            <w:r>
              <w:rPr>
                <w:rStyle w:val="IndexLink"/>
                <w:rtl w:val="true"/>
              </w:rPr>
              <w:t xml:space="preserve">: </w:t>
            </w:r>
            <w:r>
              <w:rPr>
                <w:rStyle w:val="IndexLink"/>
                <w:rtl w:val="true"/>
              </w:rPr>
              <w:t>الخیل الإناث بشرط کونها سائمة و حال علیها الحول</w:t>
            </w:r>
            <w:r>
              <w:rPr>
                <w:rStyle w:val="IndexLink"/>
                <w:rtl w:val="true"/>
              </w:rPr>
              <w:t>]</w:t>
              <w:tab/>
            </w:r>
            <w:r>
              <w:rPr>
                <w:rStyle w:val="IndexLink"/>
              </w:rPr>
              <w:t>369</w:t>
            </w:r>
          </w:hyperlink>
        </w:p>
        <w:p>
          <w:pPr>
            <w:pStyle w:val="Contents6"/>
            <w:tabs>
              <w:tab w:val="clear" w:pos="7609"/>
              <w:tab w:val="right" w:pos="9026" w:leader="dot"/>
            </w:tabs>
            <w:rPr/>
          </w:pPr>
          <w:hyperlink w:anchor="__RefHeading___Toc2567886_3650668749">
            <w:r>
              <w:rPr>
                <w:webHidden/>
                <w:rStyle w:val="IndexLink"/>
                <w:rtl w:val="true"/>
              </w:rPr>
              <w:t>[</w:t>
            </w:r>
            <w:r>
              <w:rPr>
                <w:rStyle w:val="IndexLink"/>
                <w:rtl w:val="true"/>
              </w:rPr>
              <w:t>الرابع</w:t>
            </w:r>
            <w:r>
              <w:rPr>
                <w:rStyle w:val="IndexLink"/>
                <w:rtl w:val="true"/>
              </w:rPr>
              <w:t xml:space="preserve">: </w:t>
            </w:r>
            <w:r>
              <w:rPr>
                <w:rStyle w:val="IndexLink"/>
                <w:rtl w:val="true"/>
              </w:rPr>
              <w:t>حاصل العقار المتّخذة للنماء</w:t>
            </w:r>
            <w:r>
              <w:rPr>
                <w:rStyle w:val="IndexLink"/>
                <w:rtl w:val="true"/>
              </w:rPr>
              <w:t>]</w:t>
              <w:tab/>
            </w:r>
            <w:r>
              <w:rPr>
                <w:rStyle w:val="IndexLink"/>
              </w:rPr>
              <w:t>369</w:t>
            </w:r>
          </w:hyperlink>
        </w:p>
        <w:p>
          <w:pPr>
            <w:pStyle w:val="Contents6"/>
            <w:tabs>
              <w:tab w:val="clear" w:pos="7609"/>
              <w:tab w:val="right" w:pos="9026" w:leader="dot"/>
            </w:tabs>
            <w:rPr/>
          </w:pPr>
          <w:hyperlink w:anchor="__RefHeading___Toc2567888_3650668749">
            <w:r>
              <w:rPr>
                <w:webHidden/>
                <w:rStyle w:val="IndexLink"/>
                <w:rtl w:val="true"/>
              </w:rPr>
              <w:t>[</w:t>
            </w:r>
            <w:r>
              <w:rPr>
                <w:rStyle w:val="IndexLink"/>
                <w:rtl w:val="true"/>
              </w:rPr>
              <w:t>الخامس</w:t>
            </w:r>
            <w:r>
              <w:rPr>
                <w:rStyle w:val="IndexLink"/>
                <w:rtl w:val="true"/>
              </w:rPr>
              <w:t xml:space="preserve">: </w:t>
            </w:r>
            <w:r>
              <w:rPr>
                <w:rStyle w:val="IndexLink"/>
                <w:rtl w:val="true"/>
              </w:rPr>
              <w:t>الحلیّ</w:t>
            </w:r>
            <w:r>
              <w:rPr>
                <w:rStyle w:val="IndexLink"/>
                <w:rtl w:val="true"/>
              </w:rPr>
              <w:t>]</w:t>
              <w:tab/>
            </w:r>
            <w:r>
              <w:rPr>
                <w:rStyle w:val="IndexLink"/>
              </w:rPr>
              <w:t>369</w:t>
            </w:r>
          </w:hyperlink>
        </w:p>
        <w:p>
          <w:pPr>
            <w:pStyle w:val="Contents4"/>
            <w:tabs>
              <w:tab w:val="clear" w:pos="8176"/>
              <w:tab w:val="right" w:pos="9026" w:leader="dot"/>
            </w:tabs>
            <w:rPr/>
          </w:pPr>
          <w:hyperlink w:anchor="__RefHeading___Toc2567890_3650668749">
            <w:r>
              <w:rPr>
                <w:webHidden/>
                <w:rStyle w:val="IndexLink"/>
                <w:rtl w:val="true"/>
              </w:rPr>
              <w:t>[</w:t>
            </w:r>
            <w:r>
              <w:rPr>
                <w:rStyle w:val="IndexLink"/>
                <w:rtl w:val="true"/>
              </w:rPr>
              <w:t>القول فی أصناف المستحقّین للزکاة و مصارفها</w:t>
            </w:r>
            <w:r>
              <w:rPr>
                <w:rStyle w:val="IndexLink"/>
                <w:rtl w:val="true"/>
              </w:rPr>
              <w:t>]</w:t>
              <w:tab/>
            </w:r>
            <w:r>
              <w:rPr>
                <w:rStyle w:val="IndexLink"/>
              </w:rPr>
              <w:t>369</w:t>
            </w:r>
          </w:hyperlink>
        </w:p>
        <w:p>
          <w:pPr>
            <w:pStyle w:val="Contents5"/>
            <w:tabs>
              <w:tab w:val="clear" w:pos="7892"/>
              <w:tab w:val="right" w:pos="9026" w:leader="dot"/>
            </w:tabs>
            <w:rPr/>
          </w:pPr>
          <w:hyperlink w:anchor="__RefHeading___Toc2567892_3650668749">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2567894_3650668749">
            <w:r>
              <w:rPr>
                <w:webHidden/>
                <w:rStyle w:val="IndexLink"/>
                <w:rtl w:val="true"/>
              </w:rPr>
              <w:t>[</w:t>
            </w:r>
            <w:r>
              <w:rPr>
                <w:rStyle w:val="IndexLink"/>
                <w:rtl w:val="true"/>
              </w:rPr>
              <w:t>الأوّل و الثانی</w:t>
            </w:r>
            <w:r>
              <w:rPr>
                <w:rStyle w:val="IndexLink"/>
                <w:rtl w:val="true"/>
              </w:rPr>
              <w:t xml:space="preserve">: </w:t>
            </w:r>
            <w:r>
              <w:rPr>
                <w:rStyle w:val="IndexLink"/>
                <w:rtl w:val="true"/>
              </w:rPr>
              <w:t>الفقراء و المساکین</w:t>
            </w:r>
            <w:r>
              <w:rPr>
                <w:rStyle w:val="IndexLink"/>
                <w:rtl w:val="true"/>
              </w:rPr>
              <w:t>]</w:t>
              <w:tab/>
            </w:r>
            <w:r>
              <w:rPr>
                <w:rStyle w:val="IndexLink"/>
              </w:rPr>
              <w:t>369</w:t>
            </w:r>
          </w:hyperlink>
        </w:p>
        <w:p>
          <w:pPr>
            <w:pStyle w:val="Contents6"/>
            <w:tabs>
              <w:tab w:val="clear" w:pos="7609"/>
              <w:tab w:val="right" w:pos="9026" w:leader="dot"/>
            </w:tabs>
            <w:rPr/>
          </w:pPr>
          <w:hyperlink w:anchor="__RefHeading___Toc2567896_3650668749">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256789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مبدأ السنة التی تدور صفتا الفقر و الغنیٰ مدار مالکیّة مئونتها و عدمها هو زمان إعطاء الزکاة</w:t>
            </w:r>
            <w:r>
              <w:rPr>
                <w:rStyle w:val="IndexLink"/>
                <w:rtl w:val="true"/>
              </w:rPr>
              <w:t>]</w:t>
              <w:tab/>
            </w:r>
            <w:r>
              <w:rPr>
                <w:rStyle w:val="IndexLink"/>
              </w:rPr>
              <w:t>369</w:t>
            </w:r>
          </w:hyperlink>
        </w:p>
        <w:p>
          <w:pPr>
            <w:pStyle w:val="Contents6"/>
            <w:tabs>
              <w:tab w:val="clear" w:pos="7609"/>
              <w:tab w:val="right" w:pos="9026" w:leader="dot"/>
            </w:tabs>
            <w:rPr/>
          </w:pPr>
          <w:hyperlink w:anchor="__RefHeading___Toc256790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لو کان له رأس مال یکفی لمئونة سنته لکن لم یکفه ربحه</w:t>
            </w:r>
            <w:r>
              <w:rPr>
                <w:rStyle w:val="IndexLink"/>
                <w:rtl w:val="true"/>
              </w:rPr>
              <w:t>]</w:t>
              <w:tab/>
            </w:r>
            <w:r>
              <w:rPr>
                <w:rStyle w:val="IndexLink"/>
              </w:rPr>
              <w:t>370</w:t>
            </w:r>
          </w:hyperlink>
        </w:p>
        <w:p>
          <w:pPr>
            <w:pStyle w:val="Contents6"/>
            <w:tabs>
              <w:tab w:val="clear" w:pos="7609"/>
              <w:tab w:val="right" w:pos="9026" w:leader="dot"/>
            </w:tabs>
            <w:rPr/>
          </w:pPr>
          <w:hyperlink w:anchor="__RefHeading___Toc256790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یجوز إعطاء الفقیر أزید من مقدار مئونة سنته</w:t>
            </w:r>
            <w:r>
              <w:rPr>
                <w:rStyle w:val="IndexLink"/>
                <w:rtl w:val="true"/>
              </w:rPr>
              <w:t>]</w:t>
              <w:tab/>
            </w:r>
            <w:r>
              <w:rPr>
                <w:rStyle w:val="IndexLink"/>
              </w:rPr>
              <w:t>370</w:t>
            </w:r>
          </w:hyperlink>
        </w:p>
        <w:p>
          <w:pPr>
            <w:pStyle w:val="Contents6"/>
            <w:tabs>
              <w:tab w:val="clear" w:pos="7609"/>
              <w:tab w:val="right" w:pos="9026" w:leader="dot"/>
            </w:tabs>
            <w:rPr/>
          </w:pPr>
          <w:hyperlink w:anchor="__RefHeading___Toc256790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دار السکنی و الخادم و فرس الرکوب المحتاج إلیها بحسب حاله</w:t>
            </w:r>
            <w:r>
              <w:rPr>
                <w:rStyle w:val="IndexLink"/>
                <w:rtl w:val="true"/>
              </w:rPr>
              <w:t>]</w:t>
              <w:tab/>
            </w:r>
            <w:r>
              <w:rPr>
                <w:rStyle w:val="IndexLink"/>
              </w:rPr>
              <w:t>370</w:t>
            </w:r>
          </w:hyperlink>
        </w:p>
        <w:p>
          <w:pPr>
            <w:pStyle w:val="Contents6"/>
            <w:tabs>
              <w:tab w:val="clear" w:pos="7609"/>
              <w:tab w:val="right" w:pos="9026" w:leader="dot"/>
            </w:tabs>
            <w:rPr/>
          </w:pPr>
          <w:hyperlink w:anchor="__RefHeading___Toc256790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کان قادراً علی التکسّب و لو بالاحتطاب و الاحتشاش لکن ینافی شأنه</w:t>
            </w:r>
            <w:r>
              <w:rPr>
                <w:rStyle w:val="IndexLink"/>
                <w:rtl w:val="true"/>
              </w:rPr>
              <w:t>]</w:t>
              <w:tab/>
            </w:r>
            <w:r>
              <w:rPr>
                <w:rStyle w:val="IndexLink"/>
              </w:rPr>
              <w:t>370</w:t>
            </w:r>
          </w:hyperlink>
        </w:p>
        <w:p>
          <w:pPr>
            <w:pStyle w:val="Contents6"/>
            <w:tabs>
              <w:tab w:val="clear" w:pos="7609"/>
              <w:tab w:val="right" w:pos="9026" w:leader="dot"/>
            </w:tabs>
            <w:rPr/>
          </w:pPr>
          <w:hyperlink w:anchor="__RefHeading___Toc256790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لم یکن له حرفة و صنعة لائقة بشأنه فعلًا</w:t>
            </w:r>
            <w:r>
              <w:rPr>
                <w:rStyle w:val="IndexLink"/>
                <w:rtl w:val="true"/>
              </w:rPr>
              <w:t>]</w:t>
              <w:tab/>
            </w:r>
            <w:r>
              <w:rPr>
                <w:rStyle w:val="IndexLink"/>
              </w:rPr>
              <w:t>370</w:t>
            </w:r>
          </w:hyperlink>
        </w:p>
        <w:p>
          <w:pPr>
            <w:pStyle w:val="Contents6"/>
            <w:tabs>
              <w:tab w:val="clear" w:pos="7609"/>
              <w:tab w:val="right" w:pos="9026" w:leader="dot"/>
            </w:tabs>
            <w:rPr/>
          </w:pPr>
          <w:hyperlink w:anchor="__RefHeading___Toc2567910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یجوز لطالب العلم القادر علی التکسّب اللائق بشأنه أخذ الزکاة</w:t>
            </w:r>
            <w:r>
              <w:rPr>
                <w:rStyle w:val="IndexLink"/>
                <w:rtl w:val="true"/>
              </w:rPr>
              <w:t>]</w:t>
              <w:tab/>
            </w:r>
            <w:r>
              <w:rPr>
                <w:rStyle w:val="IndexLink"/>
              </w:rPr>
              <w:t>370</w:t>
            </w:r>
          </w:hyperlink>
        </w:p>
        <w:p>
          <w:pPr>
            <w:pStyle w:val="Contents6"/>
            <w:tabs>
              <w:tab w:val="clear" w:pos="7609"/>
              <w:tab w:val="right" w:pos="9026" w:leader="dot"/>
            </w:tabs>
            <w:rPr/>
          </w:pPr>
          <w:hyperlink w:anchor="__RefHeading___Toc2567912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لو شکّ أنّ ما فی یده کافٍ لمئونة سنته لا یجوز له أخذ الزکاة</w:t>
            </w:r>
            <w:r>
              <w:rPr>
                <w:rStyle w:val="IndexLink"/>
                <w:rtl w:val="true"/>
              </w:rPr>
              <w:t>]</w:t>
              <w:tab/>
            </w:r>
            <w:r>
              <w:rPr>
                <w:rStyle w:val="IndexLink"/>
              </w:rPr>
              <w:t>370</w:t>
            </w:r>
          </w:hyperlink>
        </w:p>
        <w:p>
          <w:pPr>
            <w:pStyle w:val="Contents6"/>
            <w:tabs>
              <w:tab w:val="clear" w:pos="7609"/>
              <w:tab w:val="right" w:pos="9026" w:leader="dot"/>
            </w:tabs>
            <w:rPr/>
          </w:pPr>
          <w:hyperlink w:anchor="__RefHeading___Toc2567914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لو کان له دین علی الفقیر جاز احتسابه زکاة</w:t>
            </w:r>
            <w:r>
              <w:rPr>
                <w:rStyle w:val="IndexLink"/>
                <w:rtl w:val="true"/>
              </w:rPr>
              <w:t>]</w:t>
              <w:tab/>
            </w:r>
            <w:r>
              <w:rPr>
                <w:rStyle w:val="IndexLink"/>
              </w:rPr>
              <w:t>370</w:t>
            </w:r>
          </w:hyperlink>
        </w:p>
        <w:p>
          <w:pPr>
            <w:pStyle w:val="Contents6"/>
            <w:tabs>
              <w:tab w:val="clear" w:pos="7609"/>
              <w:tab w:val="right" w:pos="9026" w:leader="dot"/>
            </w:tabs>
            <w:rPr/>
          </w:pPr>
          <w:hyperlink w:anchor="__RefHeading___Toc2567916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لو ادّعی الفقر فإن عرف صدقه أو کذبه عومل به</w:t>
            </w:r>
            <w:r>
              <w:rPr>
                <w:rStyle w:val="IndexLink"/>
                <w:rtl w:val="true"/>
              </w:rPr>
              <w:t>]</w:t>
              <w:tab/>
            </w:r>
            <w:r>
              <w:rPr>
                <w:rStyle w:val="IndexLink"/>
              </w:rPr>
              <w:t>371</w:t>
            </w:r>
          </w:hyperlink>
        </w:p>
        <w:p>
          <w:pPr>
            <w:pStyle w:val="Contents6"/>
            <w:tabs>
              <w:tab w:val="clear" w:pos="7609"/>
              <w:tab w:val="right" w:pos="9026" w:leader="dot"/>
            </w:tabs>
            <w:rPr/>
          </w:pPr>
          <w:hyperlink w:anchor="__RefHeading___Toc2567918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لا یجب إعلام الفقیر أنّ المدفوع إلیه زکاة</w:t>
            </w:r>
            <w:r>
              <w:rPr>
                <w:rStyle w:val="IndexLink"/>
                <w:rtl w:val="true"/>
              </w:rPr>
              <w:t>]</w:t>
              <w:tab/>
            </w:r>
            <w:r>
              <w:rPr>
                <w:rStyle w:val="IndexLink"/>
              </w:rPr>
              <w:t>371</w:t>
            </w:r>
          </w:hyperlink>
        </w:p>
        <w:p>
          <w:pPr>
            <w:pStyle w:val="Contents6"/>
            <w:tabs>
              <w:tab w:val="clear" w:pos="7609"/>
              <w:tab w:val="right" w:pos="9026" w:leader="dot"/>
            </w:tabs>
            <w:rPr/>
          </w:pPr>
          <w:hyperlink w:anchor="__RefHeading___Toc2567920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لو دفع الزکاة إلیٰ شخص علیٰ أنّه فقیر فبان غنیّاً ارتجعت منه مع بقاء العین</w:t>
            </w:r>
            <w:r>
              <w:rPr>
                <w:rStyle w:val="IndexLink"/>
                <w:rtl w:val="true"/>
              </w:rPr>
              <w:t>]</w:t>
              <w:tab/>
            </w:r>
            <w:r>
              <w:rPr>
                <w:rStyle w:val="IndexLink"/>
              </w:rPr>
              <w:t>371</w:t>
            </w:r>
          </w:hyperlink>
        </w:p>
        <w:p>
          <w:pPr>
            <w:pStyle w:val="Contents5"/>
            <w:tabs>
              <w:tab w:val="clear" w:pos="7892"/>
              <w:tab w:val="right" w:pos="9026" w:leader="dot"/>
            </w:tabs>
            <w:rPr/>
          </w:pPr>
          <w:hyperlink w:anchor="__RefHeading___Toc2567922_3650668749">
            <w:r>
              <w:rPr>
                <w:webHidden/>
                <w:rStyle w:val="IndexLink"/>
                <w:rtl w:val="true"/>
              </w:rPr>
              <w:t>[</w:t>
            </w:r>
            <w:r>
              <w:rPr>
                <w:rStyle w:val="IndexLink"/>
                <w:rtl w:val="true"/>
              </w:rPr>
              <w:t>الثالث</w:t>
            </w:r>
            <w:r>
              <w:rPr>
                <w:rStyle w:val="IndexLink"/>
                <w:rtl w:val="true"/>
              </w:rPr>
              <w:t xml:space="preserve">: </w:t>
            </w:r>
            <w:r>
              <w:rPr>
                <w:rStyle w:val="IndexLink"/>
                <w:rtl w:val="true"/>
              </w:rPr>
              <w:t>العاملون علیها</w:t>
            </w:r>
            <w:r>
              <w:rPr>
                <w:rStyle w:val="IndexLink"/>
                <w:rtl w:val="true"/>
              </w:rPr>
              <w:t>]</w:t>
              <w:tab/>
            </w:r>
            <w:r>
              <w:rPr>
                <w:rStyle w:val="IndexLink"/>
              </w:rPr>
              <w:t>371</w:t>
            </w:r>
          </w:hyperlink>
        </w:p>
        <w:p>
          <w:pPr>
            <w:pStyle w:val="Contents5"/>
            <w:tabs>
              <w:tab w:val="clear" w:pos="7892"/>
              <w:tab w:val="right" w:pos="9026" w:leader="dot"/>
            </w:tabs>
            <w:rPr/>
          </w:pPr>
          <w:hyperlink w:anchor="__RefHeading___Toc2567924_3650668749">
            <w:r>
              <w:rPr>
                <w:webHidden/>
                <w:rStyle w:val="IndexLink"/>
                <w:rtl w:val="true"/>
              </w:rPr>
              <w:t>[</w:t>
            </w:r>
            <w:r>
              <w:rPr>
                <w:rStyle w:val="IndexLink"/>
                <w:rtl w:val="true"/>
              </w:rPr>
              <w:t>الرابع</w:t>
            </w:r>
            <w:r>
              <w:rPr>
                <w:rStyle w:val="IndexLink"/>
                <w:rtl w:val="true"/>
              </w:rPr>
              <w:t xml:space="preserve">: </w:t>
            </w:r>
            <w:r>
              <w:rPr>
                <w:rStyle w:val="IndexLink"/>
                <w:rtl w:val="true"/>
              </w:rPr>
              <w:t>المؤلّفة قلوبهم</w:t>
            </w:r>
            <w:r>
              <w:rPr>
                <w:rStyle w:val="IndexLink"/>
                <w:rtl w:val="true"/>
              </w:rPr>
              <w:t>]</w:t>
              <w:tab/>
            </w:r>
            <w:r>
              <w:rPr>
                <w:rStyle w:val="IndexLink"/>
              </w:rPr>
              <w:t>371</w:t>
            </w:r>
          </w:hyperlink>
        </w:p>
        <w:p>
          <w:pPr>
            <w:pStyle w:val="Contents5"/>
            <w:tabs>
              <w:tab w:val="clear" w:pos="7892"/>
              <w:tab w:val="right" w:pos="9026" w:leader="dot"/>
            </w:tabs>
            <w:rPr/>
          </w:pPr>
          <w:hyperlink w:anchor="__RefHeading___Toc2567926_3650668749">
            <w:r>
              <w:rPr>
                <w:webHidden/>
                <w:rStyle w:val="IndexLink"/>
                <w:rtl w:val="true"/>
              </w:rPr>
              <w:t>[</w:t>
            </w:r>
            <w:r>
              <w:rPr>
                <w:rStyle w:val="IndexLink"/>
                <w:rtl w:val="true"/>
              </w:rPr>
              <w:t>الخامس</w:t>
            </w:r>
            <w:r>
              <w:rPr>
                <w:rStyle w:val="IndexLink"/>
                <w:rtl w:val="true"/>
              </w:rPr>
              <w:t xml:space="preserve">: </w:t>
            </w:r>
            <w:r>
              <w:rPr>
                <w:rStyle w:val="IndexLink"/>
                <w:rtl w:val="true"/>
              </w:rPr>
              <w:t>فی الرقاب</w:t>
            </w:r>
            <w:r>
              <w:rPr>
                <w:rStyle w:val="IndexLink"/>
                <w:rtl w:val="true"/>
              </w:rPr>
              <w:t>]</w:t>
              <w:tab/>
            </w:r>
            <w:r>
              <w:rPr>
                <w:rStyle w:val="IndexLink"/>
              </w:rPr>
              <w:t>372</w:t>
            </w:r>
          </w:hyperlink>
        </w:p>
        <w:p>
          <w:pPr>
            <w:pStyle w:val="Contents5"/>
            <w:tabs>
              <w:tab w:val="clear" w:pos="7892"/>
              <w:tab w:val="right" w:pos="9026" w:leader="dot"/>
            </w:tabs>
            <w:rPr/>
          </w:pPr>
          <w:hyperlink w:anchor="__RefHeading___Toc2567928_3650668749">
            <w:r>
              <w:rPr>
                <w:webHidden/>
                <w:rStyle w:val="IndexLink"/>
                <w:rtl w:val="true"/>
              </w:rPr>
              <w:t>[</w:t>
            </w:r>
            <w:r>
              <w:rPr>
                <w:rStyle w:val="IndexLink"/>
                <w:rtl w:val="true"/>
              </w:rPr>
              <w:t>السادس</w:t>
            </w:r>
            <w:r>
              <w:rPr>
                <w:rStyle w:val="IndexLink"/>
                <w:rtl w:val="true"/>
              </w:rPr>
              <w:t xml:space="preserve">: </w:t>
            </w:r>
            <w:r>
              <w:rPr>
                <w:rStyle w:val="IndexLink"/>
                <w:rtl w:val="true"/>
              </w:rPr>
              <w:t>الغارمون</w:t>
            </w:r>
            <w:r>
              <w:rPr>
                <w:rStyle w:val="IndexLink"/>
                <w:rtl w:val="true"/>
              </w:rPr>
              <w:t>]</w:t>
              <w:tab/>
            </w:r>
            <w:r>
              <w:rPr>
                <w:rStyle w:val="IndexLink"/>
              </w:rPr>
              <w:t>372</w:t>
            </w:r>
          </w:hyperlink>
        </w:p>
        <w:p>
          <w:pPr>
            <w:pStyle w:val="Contents6"/>
            <w:tabs>
              <w:tab w:val="clear" w:pos="7609"/>
              <w:tab w:val="right" w:pos="9026" w:leader="dot"/>
            </w:tabs>
            <w:rPr/>
          </w:pPr>
          <w:hyperlink w:anchor="__RefHeading___Toc2567930_3650668749">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2567932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المراد بالدین کلّ ما اشتغلت به الذمّة</w:t>
            </w:r>
            <w:r>
              <w:rPr>
                <w:rStyle w:val="IndexLink"/>
                <w:rtl w:val="true"/>
              </w:rPr>
              <w:t>]</w:t>
              <w:tab/>
            </w:r>
            <w:r>
              <w:rPr>
                <w:rStyle w:val="IndexLink"/>
              </w:rPr>
              <w:t>372</w:t>
            </w:r>
          </w:hyperlink>
        </w:p>
        <w:p>
          <w:pPr>
            <w:pStyle w:val="Contents6"/>
            <w:tabs>
              <w:tab w:val="clear" w:pos="7609"/>
              <w:tab w:val="right" w:pos="9026" w:leader="dot"/>
            </w:tabs>
            <w:rPr/>
          </w:pPr>
          <w:hyperlink w:anchor="__RefHeading___Toc2567934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لو کان المدیون کسوباً یتمکّن من قضاء الدین تدریجاً</w:t>
            </w:r>
            <w:r>
              <w:rPr>
                <w:rStyle w:val="IndexLink"/>
                <w:rtl w:val="true"/>
              </w:rPr>
              <w:t>]</w:t>
              <w:tab/>
            </w:r>
            <w:r>
              <w:rPr>
                <w:rStyle w:val="IndexLink"/>
              </w:rPr>
              <w:t>372</w:t>
            </w:r>
          </w:hyperlink>
        </w:p>
        <w:p>
          <w:pPr>
            <w:pStyle w:val="Contents6"/>
            <w:tabs>
              <w:tab w:val="clear" w:pos="7609"/>
              <w:tab w:val="right" w:pos="9026" w:leader="dot"/>
            </w:tabs>
            <w:rPr/>
          </w:pPr>
          <w:hyperlink w:anchor="__RefHeading___Toc2567936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لو کان المدیون ممّن تجب نفقته علیٰ من علیه الزکاة جاز له إعطاؤه</w:t>
            </w:r>
            <w:r>
              <w:rPr>
                <w:rStyle w:val="IndexLink"/>
                <w:rtl w:val="true"/>
              </w:rPr>
              <w:t>]</w:t>
              <w:tab/>
            </w:r>
            <w:r>
              <w:rPr>
                <w:rStyle w:val="IndexLink"/>
              </w:rPr>
              <w:t>372</w:t>
            </w:r>
          </w:hyperlink>
        </w:p>
        <w:p>
          <w:pPr>
            <w:pStyle w:val="Contents6"/>
            <w:tabs>
              <w:tab w:val="clear" w:pos="7609"/>
              <w:tab w:val="right" w:pos="9026" w:leader="dot"/>
            </w:tabs>
            <w:rPr/>
          </w:pPr>
          <w:hyperlink w:anchor="__RefHeading___Toc2567938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کیفیّة صرف الزکاة فی هذا المصرف</w:t>
            </w:r>
            <w:r>
              <w:rPr>
                <w:rStyle w:val="IndexLink"/>
                <w:rtl w:val="true"/>
              </w:rPr>
              <w:t>]</w:t>
              <w:tab/>
            </w:r>
            <w:r>
              <w:rPr>
                <w:rStyle w:val="IndexLink"/>
              </w:rPr>
              <w:t>372</w:t>
            </w:r>
          </w:hyperlink>
        </w:p>
        <w:p>
          <w:pPr>
            <w:pStyle w:val="Contents6"/>
            <w:tabs>
              <w:tab w:val="clear" w:pos="7609"/>
              <w:tab w:val="right" w:pos="9026" w:leader="dot"/>
            </w:tabs>
            <w:rPr/>
          </w:pPr>
          <w:hyperlink w:anchor="__RefHeading___Toc2567940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إذا کان لمن علیه الزکاة دین علیٰ شخص، و کان لذلک الشخص دین علیٰ فقیر</w:t>
            </w:r>
            <w:r>
              <w:rPr>
                <w:rStyle w:val="IndexLink"/>
                <w:rtl w:val="true"/>
              </w:rPr>
              <w:t>]</w:t>
              <w:tab/>
            </w:r>
            <w:r>
              <w:rPr>
                <w:rStyle w:val="IndexLink"/>
              </w:rPr>
              <w:t>372</w:t>
            </w:r>
          </w:hyperlink>
        </w:p>
        <w:p>
          <w:pPr>
            <w:pStyle w:val="Contents6"/>
            <w:tabs>
              <w:tab w:val="clear" w:pos="7609"/>
              <w:tab w:val="right" w:pos="9026" w:leader="dot"/>
            </w:tabs>
            <w:rPr/>
          </w:pPr>
          <w:hyperlink w:anchor="__RefHeading___Toc2567942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قد عرفت اعتبار کون الدین فی غیر معصیة</w:t>
            </w:r>
            <w:r>
              <w:rPr>
                <w:rStyle w:val="IndexLink"/>
                <w:rtl w:val="true"/>
              </w:rPr>
              <w:t>]</w:t>
              <w:tab/>
            </w:r>
            <w:r>
              <w:rPr>
                <w:rStyle w:val="IndexLink"/>
              </w:rPr>
              <w:t>373</w:t>
            </w:r>
          </w:hyperlink>
        </w:p>
        <w:p>
          <w:pPr>
            <w:pStyle w:val="Contents5"/>
            <w:tabs>
              <w:tab w:val="clear" w:pos="7892"/>
              <w:tab w:val="right" w:pos="9026" w:leader="dot"/>
            </w:tabs>
            <w:rPr/>
          </w:pPr>
          <w:hyperlink w:anchor="__RefHeading___Toc2567944_3650668749">
            <w:r>
              <w:rPr>
                <w:webHidden/>
                <w:rStyle w:val="IndexLink"/>
                <w:rtl w:val="true"/>
              </w:rPr>
              <w:t>[</w:t>
            </w:r>
            <w:r>
              <w:rPr>
                <w:rStyle w:val="IndexLink"/>
                <w:rtl w:val="true"/>
              </w:rPr>
              <w:t>السابع</w:t>
            </w:r>
            <w:r>
              <w:rPr>
                <w:rStyle w:val="IndexLink"/>
                <w:rtl w:val="true"/>
              </w:rPr>
              <w:t xml:space="preserve">: </w:t>
            </w:r>
            <w:r>
              <w:rPr>
                <w:rStyle w:val="IndexLink"/>
                <w:rtl w:val="true"/>
              </w:rPr>
              <w:t>فی سبیل اللّٰه</w:t>
            </w:r>
            <w:r>
              <w:rPr>
                <w:rStyle w:val="IndexLink"/>
                <w:rtl w:val="true"/>
              </w:rPr>
              <w:t>]</w:t>
              <w:tab/>
            </w:r>
            <w:r>
              <w:rPr>
                <w:rStyle w:val="IndexLink"/>
              </w:rPr>
              <w:t>373</w:t>
            </w:r>
          </w:hyperlink>
        </w:p>
        <w:p>
          <w:pPr>
            <w:pStyle w:val="Contents5"/>
            <w:tabs>
              <w:tab w:val="clear" w:pos="7892"/>
              <w:tab w:val="right" w:pos="9026" w:leader="dot"/>
            </w:tabs>
            <w:rPr/>
          </w:pPr>
          <w:hyperlink w:anchor="__RefHeading___Toc2567946_3650668749">
            <w:r>
              <w:rPr>
                <w:webHidden/>
                <w:rStyle w:val="IndexLink"/>
                <w:rtl w:val="true"/>
              </w:rPr>
              <w:t>[</w:t>
            </w:r>
            <w:r>
              <w:rPr>
                <w:rStyle w:val="IndexLink"/>
                <w:rtl w:val="true"/>
              </w:rPr>
              <w:t>الثامن</w:t>
            </w:r>
            <w:r>
              <w:rPr>
                <w:rStyle w:val="IndexLink"/>
                <w:rtl w:val="true"/>
              </w:rPr>
              <w:t xml:space="preserve">: </w:t>
            </w:r>
            <w:r>
              <w:rPr>
                <w:rStyle w:val="IndexLink"/>
                <w:rtl w:val="true"/>
              </w:rPr>
              <w:t>ابن السبیل</w:t>
            </w:r>
            <w:r>
              <w:rPr>
                <w:rStyle w:val="IndexLink"/>
                <w:rtl w:val="true"/>
              </w:rPr>
              <w:t>]</w:t>
              <w:tab/>
            </w:r>
            <w:r>
              <w:rPr>
                <w:rStyle w:val="IndexLink"/>
              </w:rPr>
              <w:t>373</w:t>
            </w:r>
          </w:hyperlink>
        </w:p>
        <w:p>
          <w:pPr>
            <w:pStyle w:val="Contents6"/>
            <w:tabs>
              <w:tab w:val="clear" w:pos="7609"/>
              <w:tab w:val="right" w:pos="9026" w:leader="dot"/>
            </w:tabs>
            <w:rPr/>
          </w:pPr>
          <w:hyperlink w:anchor="__RefHeading___Toc2567948_3650668749">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2567950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إذا التزم بنذر أو شبهه أن یعطی زکاته فقیراً معیّناً یتعیّن</w:t>
            </w:r>
            <w:r>
              <w:rPr>
                <w:rStyle w:val="IndexLink"/>
                <w:rtl w:val="true"/>
              </w:rPr>
              <w:t>]</w:t>
              <w:tab/>
            </w:r>
            <w:r>
              <w:rPr>
                <w:rStyle w:val="IndexLink"/>
              </w:rPr>
              <w:t>373</w:t>
            </w:r>
          </w:hyperlink>
        </w:p>
        <w:p>
          <w:pPr>
            <w:pStyle w:val="Contents4"/>
            <w:tabs>
              <w:tab w:val="clear" w:pos="8176"/>
              <w:tab w:val="right" w:pos="9026" w:leader="dot"/>
            </w:tabs>
            <w:rPr/>
          </w:pPr>
          <w:hyperlink w:anchor="__RefHeading___Toc2567952_3650668749">
            <w:r>
              <w:rPr>
                <w:webHidden/>
                <w:rStyle w:val="IndexLink"/>
                <w:rtl w:val="true"/>
              </w:rPr>
              <w:t>[</w:t>
            </w:r>
            <w:r>
              <w:rPr>
                <w:rStyle w:val="IndexLink"/>
                <w:rtl w:val="true"/>
              </w:rPr>
              <w:t>القول فی أوصاف المستحقّین للزکاة</w:t>
            </w:r>
            <w:r>
              <w:rPr>
                <w:rStyle w:val="IndexLink"/>
                <w:rtl w:val="true"/>
              </w:rPr>
              <w:t>]</w:t>
              <w:tab/>
            </w:r>
            <w:r>
              <w:rPr>
                <w:rStyle w:val="IndexLink"/>
              </w:rPr>
              <w:t>374</w:t>
            </w:r>
          </w:hyperlink>
        </w:p>
        <w:p>
          <w:pPr>
            <w:pStyle w:val="Contents5"/>
            <w:tabs>
              <w:tab w:val="clear" w:pos="7892"/>
              <w:tab w:val="right" w:pos="9026" w:leader="dot"/>
            </w:tabs>
            <w:rPr/>
          </w:pPr>
          <w:hyperlink w:anchor="__RefHeading___Toc2567954_3650668749">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2567956_3650668749">
            <w:r>
              <w:rPr>
                <w:webHidden/>
                <w:rStyle w:val="IndexLink"/>
                <w:rtl w:val="true"/>
              </w:rPr>
              <w:t>[</w:t>
            </w:r>
            <w:r>
              <w:rPr>
                <w:rStyle w:val="IndexLink"/>
                <w:rtl w:val="true"/>
              </w:rPr>
              <w:t>الأوّل</w:t>
            </w:r>
            <w:r>
              <w:rPr>
                <w:rStyle w:val="IndexLink"/>
                <w:rtl w:val="true"/>
              </w:rPr>
              <w:t xml:space="preserve">: </w:t>
            </w:r>
            <w:r>
              <w:rPr>
                <w:rStyle w:val="IndexLink"/>
                <w:rtl w:val="true"/>
              </w:rPr>
              <w:t>الإیمان</w:t>
            </w:r>
            <w:r>
              <w:rPr>
                <w:rStyle w:val="IndexLink"/>
                <w:rtl w:val="true"/>
              </w:rPr>
              <w:t>]</w:t>
              <w:tab/>
            </w:r>
            <w:r>
              <w:rPr>
                <w:rStyle w:val="IndexLink"/>
              </w:rPr>
              <w:t>374</w:t>
            </w:r>
          </w:hyperlink>
        </w:p>
        <w:p>
          <w:pPr>
            <w:pStyle w:val="Contents5"/>
            <w:tabs>
              <w:tab w:val="clear" w:pos="7892"/>
              <w:tab w:val="right" w:pos="9026" w:leader="dot"/>
            </w:tabs>
            <w:rPr/>
          </w:pPr>
          <w:hyperlink w:anchor="__RefHeading___Toc2567958_3650668749">
            <w:r>
              <w:rPr>
                <w:webHidden/>
                <w:rStyle w:val="IndexLink"/>
                <w:rtl w:val="true"/>
              </w:rPr>
              <w:t>[</w:t>
            </w:r>
            <w:r>
              <w:rPr>
                <w:rStyle w:val="IndexLink"/>
                <w:rtl w:val="true"/>
              </w:rPr>
              <w:t>الثانی</w:t>
            </w:r>
            <w:r>
              <w:rPr>
                <w:rStyle w:val="IndexLink"/>
                <w:rtl w:val="true"/>
              </w:rPr>
              <w:t xml:space="preserve">: </w:t>
            </w:r>
            <w:r>
              <w:rPr>
                <w:rStyle w:val="IndexLink"/>
                <w:rtl w:val="true"/>
              </w:rPr>
              <w:t>العدالة علی الأحوط</w:t>
            </w:r>
            <w:r>
              <w:rPr>
                <w:rStyle w:val="IndexLink"/>
                <w:rtl w:val="true"/>
              </w:rPr>
              <w:t>]</w:t>
              <w:tab/>
            </w:r>
            <w:r>
              <w:rPr>
                <w:rStyle w:val="IndexLink"/>
              </w:rPr>
              <w:t>374</w:t>
            </w:r>
          </w:hyperlink>
        </w:p>
        <w:p>
          <w:pPr>
            <w:pStyle w:val="Contents5"/>
            <w:tabs>
              <w:tab w:val="clear" w:pos="7892"/>
              <w:tab w:val="right" w:pos="9026" w:leader="dot"/>
            </w:tabs>
            <w:rPr/>
          </w:pPr>
          <w:hyperlink w:anchor="__RefHeading___Toc2567960_3650668749">
            <w:r>
              <w:rPr>
                <w:webHidden/>
                <w:rStyle w:val="IndexLink"/>
                <w:rtl w:val="true"/>
              </w:rPr>
              <w:t>[</w:t>
            </w:r>
            <w:r>
              <w:rPr>
                <w:rStyle w:val="IndexLink"/>
                <w:rtl w:val="true"/>
              </w:rPr>
              <w:t>الوصف الثالث</w:t>
            </w:r>
            <w:r>
              <w:rPr>
                <w:rStyle w:val="IndexLink"/>
                <w:rtl w:val="true"/>
              </w:rPr>
              <w:t xml:space="preserve">: </w:t>
            </w:r>
            <w:r>
              <w:rPr>
                <w:rStyle w:val="IndexLink"/>
                <w:rtl w:val="true"/>
              </w:rPr>
              <w:t>أن لا یکون ممّن تجب نفقته علی المالک</w:t>
            </w:r>
            <w:r>
              <w:rPr>
                <w:rStyle w:val="IndexLink"/>
                <w:rtl w:val="true"/>
              </w:rPr>
              <w:t>]</w:t>
              <w:tab/>
            </w:r>
            <w:r>
              <w:rPr>
                <w:rStyle w:val="IndexLink"/>
              </w:rPr>
              <w:t>374</w:t>
            </w:r>
          </w:hyperlink>
        </w:p>
        <w:p>
          <w:pPr>
            <w:pStyle w:val="Contents6"/>
            <w:tabs>
              <w:tab w:val="clear" w:pos="7609"/>
              <w:tab w:val="right" w:pos="9026" w:leader="dot"/>
            </w:tabs>
            <w:rPr/>
          </w:pPr>
          <w:hyperlink w:anchor="__RefHeading___Toc2567962_3650668749">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256796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الممنوع إعطاؤه لواجبی النفقة هو ما کان من سهم الفقراء و لأجل فقرهم</w:t>
            </w:r>
            <w:r>
              <w:rPr>
                <w:rStyle w:val="IndexLink"/>
                <w:rtl w:val="true"/>
              </w:rPr>
              <w:t>]</w:t>
              <w:tab/>
            </w:r>
            <w:r>
              <w:rPr>
                <w:rStyle w:val="IndexLink"/>
              </w:rPr>
              <w:t>375</w:t>
            </w:r>
          </w:hyperlink>
        </w:p>
        <w:p>
          <w:pPr>
            <w:pStyle w:val="Contents6"/>
            <w:tabs>
              <w:tab w:val="clear" w:pos="7609"/>
              <w:tab w:val="right" w:pos="9026" w:leader="dot"/>
            </w:tabs>
            <w:rPr/>
          </w:pPr>
          <w:hyperlink w:anchor="__RefHeading___Toc256796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یجوز دفع الزکاة إلی الزوجة الدائمة التی سقط وجوب نفقتها بالشرط و نحوه</w:t>
            </w:r>
            <w:r>
              <w:rPr>
                <w:rStyle w:val="IndexLink"/>
                <w:rtl w:val="true"/>
              </w:rPr>
              <w:t>]</w:t>
              <w:tab/>
            </w:r>
            <w:r>
              <w:rPr>
                <w:rStyle w:val="IndexLink"/>
              </w:rPr>
              <w:t>375</w:t>
            </w:r>
          </w:hyperlink>
        </w:p>
        <w:p>
          <w:pPr>
            <w:pStyle w:val="Contents5"/>
            <w:tabs>
              <w:tab w:val="clear" w:pos="7892"/>
              <w:tab w:val="right" w:pos="9026" w:leader="dot"/>
            </w:tabs>
            <w:rPr/>
          </w:pPr>
          <w:hyperlink w:anchor="__RefHeading___Toc2567968_3650668749">
            <w:r>
              <w:rPr>
                <w:webHidden/>
                <w:rStyle w:val="IndexLink"/>
                <w:rtl w:val="true"/>
              </w:rPr>
              <w:t>[</w:t>
            </w:r>
            <w:r>
              <w:rPr>
                <w:rStyle w:val="IndexLink"/>
                <w:rtl w:val="true"/>
              </w:rPr>
              <w:t>الوصف الرابع</w:t>
            </w:r>
            <w:r>
              <w:rPr>
                <w:rStyle w:val="IndexLink"/>
                <w:rtl w:val="true"/>
              </w:rPr>
              <w:t xml:space="preserve">: </w:t>
            </w:r>
            <w:r>
              <w:rPr>
                <w:rStyle w:val="IndexLink"/>
                <w:rtl w:val="true"/>
              </w:rPr>
              <w:t>أن لا یکون هاشمیّاً إذا کانت الزکاة من غیره</w:t>
            </w:r>
            <w:r>
              <w:rPr>
                <w:rStyle w:val="IndexLink"/>
                <w:rtl w:val="true"/>
              </w:rPr>
              <w:t>]</w:t>
              <w:tab/>
            </w:r>
            <w:r>
              <w:rPr>
                <w:rStyle w:val="IndexLink"/>
              </w:rPr>
              <w:t>375</w:t>
            </w:r>
          </w:hyperlink>
        </w:p>
        <w:p>
          <w:pPr>
            <w:pStyle w:val="Contents4"/>
            <w:tabs>
              <w:tab w:val="clear" w:pos="8176"/>
              <w:tab w:val="right" w:pos="9026" w:leader="dot"/>
            </w:tabs>
            <w:rPr/>
          </w:pPr>
          <w:hyperlink w:anchor="__RefHeading___Toc2567970_3650668749">
            <w:r>
              <w:rPr>
                <w:webHidden/>
                <w:rStyle w:val="IndexLink"/>
                <w:rtl w:val="true"/>
              </w:rPr>
              <w:t>[</w:t>
            </w:r>
            <w:r>
              <w:rPr>
                <w:rStyle w:val="IndexLink"/>
                <w:rtl w:val="true"/>
              </w:rPr>
              <w:t>القول فی بقیّة أحکام الزکاة</w:t>
            </w:r>
            <w:r>
              <w:rPr>
                <w:rStyle w:val="IndexLink"/>
                <w:rtl w:val="true"/>
              </w:rPr>
              <w:t>]</w:t>
              <w:tab/>
            </w:r>
            <w:r>
              <w:rPr>
                <w:rStyle w:val="IndexLink"/>
              </w:rPr>
              <w:t>376</w:t>
            </w:r>
          </w:hyperlink>
        </w:p>
        <w:p>
          <w:pPr>
            <w:pStyle w:val="Contents5"/>
            <w:tabs>
              <w:tab w:val="clear" w:pos="7892"/>
              <w:tab w:val="right" w:pos="9026" w:leader="dot"/>
            </w:tabs>
            <w:rPr/>
          </w:pPr>
          <w:hyperlink w:anchor="__RefHeading___Toc2567972_3650668749">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256797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یجب بسط الزکاة علی الأصناف الثمانیة</w:t>
            </w:r>
            <w:r>
              <w:rPr>
                <w:rStyle w:val="IndexLink"/>
                <w:rtl w:val="true"/>
              </w:rPr>
              <w:t>]</w:t>
              <w:tab/>
            </w:r>
            <w:r>
              <w:rPr>
                <w:rStyle w:val="IndexLink"/>
              </w:rPr>
              <w:t>376</w:t>
            </w:r>
          </w:hyperlink>
        </w:p>
        <w:p>
          <w:pPr>
            <w:pStyle w:val="Contents5"/>
            <w:tabs>
              <w:tab w:val="clear" w:pos="7892"/>
              <w:tab w:val="right" w:pos="9026" w:leader="dot"/>
            </w:tabs>
            <w:rPr/>
          </w:pPr>
          <w:hyperlink w:anchor="__RefHeading___Toc256797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تجب النیّة فی الزکاة و لا تجب فیها أزید من القربة و التعیین</w:t>
            </w:r>
            <w:r>
              <w:rPr>
                <w:rStyle w:val="IndexLink"/>
                <w:rtl w:val="true"/>
              </w:rPr>
              <w:t>]</w:t>
              <w:tab/>
            </w:r>
            <w:r>
              <w:rPr>
                <w:rStyle w:val="IndexLink"/>
              </w:rPr>
              <w:t>376</w:t>
            </w:r>
          </w:hyperlink>
        </w:p>
        <w:p>
          <w:pPr>
            <w:pStyle w:val="Contents5"/>
            <w:tabs>
              <w:tab w:val="clear" w:pos="7892"/>
              <w:tab w:val="right" w:pos="9026" w:leader="dot"/>
            </w:tabs>
            <w:rPr/>
          </w:pPr>
          <w:hyperlink w:anchor="__RefHeading___Toc256797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لو کان له مال غائب و دفع إلی الفقیر مقدار زکاته و نویٰ أنّه إن کان باقیاً فهذا زکاته</w:t>
            </w:r>
            <w:r>
              <w:rPr>
                <w:rStyle w:val="IndexLink"/>
                <w:rtl w:val="true"/>
              </w:rPr>
              <w:t>]</w:t>
              <w:tab/>
            </w:r>
            <w:r>
              <w:rPr>
                <w:rStyle w:val="IndexLink"/>
              </w:rPr>
              <w:t>377</w:t>
            </w:r>
          </w:hyperlink>
        </w:p>
        <w:p>
          <w:pPr>
            <w:pStyle w:val="Contents5"/>
            <w:tabs>
              <w:tab w:val="clear" w:pos="7892"/>
              <w:tab w:val="right" w:pos="9026" w:leader="dot"/>
            </w:tabs>
            <w:rPr/>
          </w:pPr>
          <w:hyperlink w:anchor="__RefHeading___Toc256798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الأحوط لو لم یکن الأقویٰ عدم تأخیر إخراج الزکاة</w:t>
            </w:r>
            <w:r>
              <w:rPr>
                <w:rStyle w:val="IndexLink"/>
                <w:rtl w:val="true"/>
              </w:rPr>
              <w:t>]</w:t>
              <w:tab/>
            </w:r>
            <w:r>
              <w:rPr>
                <w:rStyle w:val="IndexLink"/>
              </w:rPr>
              <w:t>377</w:t>
            </w:r>
          </w:hyperlink>
        </w:p>
        <w:p>
          <w:pPr>
            <w:pStyle w:val="Contents5"/>
            <w:tabs>
              <w:tab w:val="clear" w:pos="7892"/>
              <w:tab w:val="right" w:pos="9026" w:leader="dot"/>
            </w:tabs>
            <w:rPr/>
          </w:pPr>
          <w:hyperlink w:anchor="__RefHeading___Toc256798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الأفضل بل الأحوط دفع الزکاة إلی الفقیه فی زمن الغیبة</w:t>
            </w:r>
            <w:r>
              <w:rPr>
                <w:rStyle w:val="IndexLink"/>
                <w:rtl w:val="true"/>
              </w:rPr>
              <w:t>]</w:t>
              <w:tab/>
            </w:r>
            <w:r>
              <w:rPr>
                <w:rStyle w:val="IndexLink"/>
              </w:rPr>
              <w:t>377</w:t>
            </w:r>
          </w:hyperlink>
        </w:p>
        <w:p>
          <w:pPr>
            <w:pStyle w:val="Contents5"/>
            <w:tabs>
              <w:tab w:val="clear" w:pos="7892"/>
              <w:tab w:val="right" w:pos="9026" w:leader="dot"/>
            </w:tabs>
            <w:rPr/>
          </w:pPr>
          <w:hyperlink w:anchor="__RefHeading___Toc2567984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یستحبّ ترجیح الأقارب علی الأجانب</w:t>
            </w:r>
            <w:r>
              <w:rPr>
                <w:rStyle w:val="IndexLink"/>
                <w:rtl w:val="true"/>
              </w:rPr>
              <w:t>]</w:t>
              <w:tab/>
            </w:r>
            <w:r>
              <w:rPr>
                <w:rStyle w:val="IndexLink"/>
              </w:rPr>
              <w:t>377</w:t>
            </w:r>
          </w:hyperlink>
        </w:p>
        <w:p>
          <w:pPr>
            <w:pStyle w:val="Contents5"/>
            <w:tabs>
              <w:tab w:val="clear" w:pos="7892"/>
              <w:tab w:val="right" w:pos="9026" w:leader="dot"/>
            </w:tabs>
            <w:rPr/>
          </w:pPr>
          <w:hyperlink w:anchor="__RefHeading___Toc2567986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یجوز عزل الزکاة و تعیینها فی مال مخصوص</w:t>
            </w:r>
            <w:r>
              <w:rPr>
                <w:rStyle w:val="IndexLink"/>
                <w:rtl w:val="true"/>
              </w:rPr>
              <w:t>]</w:t>
              <w:tab/>
            </w:r>
            <w:r>
              <w:rPr>
                <w:rStyle w:val="IndexLink"/>
              </w:rPr>
              <w:t>378</w:t>
            </w:r>
          </w:hyperlink>
        </w:p>
        <w:p>
          <w:pPr>
            <w:pStyle w:val="Contents5"/>
            <w:tabs>
              <w:tab w:val="clear" w:pos="7892"/>
              <w:tab w:val="right" w:pos="9026" w:leader="dot"/>
            </w:tabs>
            <w:rPr/>
          </w:pPr>
          <w:hyperlink w:anchor="__RefHeading___Toc2567988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لو أتلف الزکاة المعزولة متلف</w:t>
            </w:r>
            <w:r>
              <w:rPr>
                <w:rStyle w:val="IndexLink"/>
                <w:rtl w:val="true"/>
              </w:rPr>
              <w:t>]</w:t>
              <w:tab/>
            </w:r>
            <w:r>
              <w:rPr>
                <w:rStyle w:val="IndexLink"/>
              </w:rPr>
              <w:t>378</w:t>
            </w:r>
          </w:hyperlink>
        </w:p>
        <w:p>
          <w:pPr>
            <w:pStyle w:val="Contents5"/>
            <w:tabs>
              <w:tab w:val="clear" w:pos="7892"/>
              <w:tab w:val="right" w:pos="9026" w:leader="dot"/>
            </w:tabs>
            <w:rPr/>
          </w:pPr>
          <w:hyperlink w:anchor="__RefHeading___Toc2567990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إذا اتّجر بما عزله یکون الخسارة علیه و الربح للفقیر</w:t>
            </w:r>
            <w:r>
              <w:rPr>
                <w:rStyle w:val="IndexLink"/>
                <w:rtl w:val="true"/>
              </w:rPr>
              <w:t>]</w:t>
              <w:tab/>
            </w:r>
            <w:r>
              <w:rPr>
                <w:rStyle w:val="IndexLink"/>
              </w:rPr>
              <w:t>378</w:t>
            </w:r>
          </w:hyperlink>
        </w:p>
        <w:p>
          <w:pPr>
            <w:pStyle w:val="Contents5"/>
            <w:tabs>
              <w:tab w:val="clear" w:pos="7892"/>
              <w:tab w:val="right" w:pos="9026" w:leader="dot"/>
            </w:tabs>
            <w:rPr/>
          </w:pPr>
          <w:hyperlink w:anchor="__RefHeading___Toc2567992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یجوز نقل الزکاة من بلده؛ سواء وجد المستحقّ فی البلد أو لم یوجد</w:t>
            </w:r>
            <w:r>
              <w:rPr>
                <w:rStyle w:val="IndexLink"/>
                <w:rtl w:val="true"/>
              </w:rPr>
              <w:t>]</w:t>
              <w:tab/>
            </w:r>
            <w:r>
              <w:rPr>
                <w:rStyle w:val="IndexLink"/>
              </w:rPr>
              <w:t>378</w:t>
            </w:r>
          </w:hyperlink>
        </w:p>
        <w:p>
          <w:pPr>
            <w:pStyle w:val="Contents5"/>
            <w:tabs>
              <w:tab w:val="clear" w:pos="7892"/>
              <w:tab w:val="right" w:pos="9026" w:leader="dot"/>
            </w:tabs>
            <w:rPr/>
          </w:pPr>
          <w:hyperlink w:anchor="__RefHeading___Toc2567994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إذا قبض الفقیه الزکاة بعنوان الولایة علی الفقیر برئت ذمّة المالک</w:t>
            </w:r>
            <w:r>
              <w:rPr>
                <w:rStyle w:val="IndexLink"/>
                <w:rtl w:val="true"/>
              </w:rPr>
              <w:t>]</w:t>
              <w:tab/>
            </w:r>
            <w:r>
              <w:rPr>
                <w:rStyle w:val="IndexLink"/>
              </w:rPr>
              <w:t>378</w:t>
            </w:r>
          </w:hyperlink>
        </w:p>
        <w:p>
          <w:pPr>
            <w:pStyle w:val="Contents5"/>
            <w:tabs>
              <w:tab w:val="clear" w:pos="7892"/>
              <w:tab w:val="right" w:pos="9026" w:leader="dot"/>
            </w:tabs>
            <w:rPr/>
          </w:pPr>
          <w:hyperlink w:anchor="__RefHeading___Toc2567996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إذا احتاجت الزکاة إلیٰ کیل أو وزن کانت اجرة الکیّال و الوزّان علی المالک</w:t>
            </w:r>
            <w:r>
              <w:rPr>
                <w:rStyle w:val="IndexLink"/>
                <w:rtl w:val="true"/>
              </w:rPr>
              <w:t>]</w:t>
              <w:tab/>
            </w:r>
            <w:r>
              <w:rPr>
                <w:rStyle w:val="IndexLink"/>
              </w:rPr>
              <w:t>378</w:t>
            </w:r>
          </w:hyperlink>
        </w:p>
        <w:p>
          <w:pPr>
            <w:pStyle w:val="Contents5"/>
            <w:tabs>
              <w:tab w:val="clear" w:pos="7892"/>
              <w:tab w:val="right" w:pos="9026" w:leader="dot"/>
            </w:tabs>
            <w:rPr/>
          </w:pPr>
          <w:hyperlink w:anchor="__RefHeading___Toc2567998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من کانت علیه الزکاة و أدرکته الوفاة</w:t>
            </w:r>
            <w:r>
              <w:rPr>
                <w:rStyle w:val="IndexLink"/>
                <w:rtl w:val="true"/>
              </w:rPr>
              <w:t>]</w:t>
              <w:tab/>
            </w:r>
            <w:r>
              <w:rPr>
                <w:rStyle w:val="IndexLink"/>
              </w:rPr>
              <w:t>378</w:t>
            </w:r>
          </w:hyperlink>
        </w:p>
        <w:p>
          <w:pPr>
            <w:pStyle w:val="Contents5"/>
            <w:tabs>
              <w:tab w:val="clear" w:pos="7892"/>
              <w:tab w:val="right" w:pos="9026" w:leader="dot"/>
            </w:tabs>
            <w:rPr/>
          </w:pPr>
          <w:hyperlink w:anchor="__RefHeading___Toc2568000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یکره لربّ المال أن یطلب من الفقیر تملّک ما دفعه إلیه صدقة و لو مندوبة</w:t>
            </w:r>
            <w:r>
              <w:rPr>
                <w:rStyle w:val="IndexLink"/>
                <w:rtl w:val="true"/>
              </w:rPr>
              <w:t>]</w:t>
              <w:tab/>
            </w:r>
            <w:r>
              <w:rPr>
                <w:rStyle w:val="IndexLink"/>
              </w:rPr>
              <w:t>379</w:t>
            </w:r>
          </w:hyperlink>
        </w:p>
        <w:p>
          <w:pPr>
            <w:pStyle w:val="Contents3"/>
            <w:tabs>
              <w:tab w:val="clear" w:pos="8459"/>
              <w:tab w:val="right" w:pos="9026" w:leader="dot"/>
            </w:tabs>
            <w:rPr/>
          </w:pPr>
          <w:hyperlink w:anchor="__RefHeading___Toc2568002_3650668749">
            <w:r>
              <w:rPr>
                <w:webHidden/>
                <w:rStyle w:val="IndexLink"/>
                <w:rtl w:val="true"/>
              </w:rPr>
              <w:t>[</w:t>
            </w:r>
            <w:r>
              <w:rPr>
                <w:rStyle w:val="IndexLink"/>
                <w:rtl w:val="true"/>
              </w:rPr>
              <w:t>المقصد الثانی</w:t>
            </w:r>
            <w:r>
              <w:rPr>
                <w:rStyle w:val="IndexLink"/>
                <w:rtl w:val="true"/>
              </w:rPr>
              <w:t xml:space="preserve">: </w:t>
            </w:r>
            <w:r>
              <w:rPr>
                <w:rStyle w:val="IndexLink"/>
                <w:rtl w:val="true"/>
              </w:rPr>
              <w:t>فی زکاة الأبدان</w:t>
            </w:r>
            <w:r>
              <w:rPr>
                <w:rStyle w:val="IndexLink"/>
                <w:rtl w:val="true"/>
              </w:rPr>
              <w:t>]</w:t>
              <w:tab/>
            </w:r>
            <w:r>
              <w:rPr>
                <w:rStyle w:val="IndexLink"/>
              </w:rPr>
              <w:t>379</w:t>
            </w:r>
          </w:hyperlink>
        </w:p>
        <w:p>
          <w:pPr>
            <w:pStyle w:val="Contents4"/>
            <w:tabs>
              <w:tab w:val="clear" w:pos="8176"/>
              <w:tab w:val="right" w:pos="9026" w:leader="dot"/>
            </w:tabs>
            <w:rPr/>
          </w:pPr>
          <w:hyperlink w:anchor="__RefHeading___Toc2568004_3650668749">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2568006_3650668749">
            <w:r>
              <w:rPr>
                <w:webHidden/>
                <w:rStyle w:val="IndexLink"/>
                <w:rtl w:val="true"/>
              </w:rPr>
              <w:t>[</w:t>
            </w:r>
            <w:r>
              <w:rPr>
                <w:rStyle w:val="IndexLink"/>
                <w:rtl w:val="true"/>
              </w:rPr>
              <w:t>القول فیمن تجب علیه</w:t>
            </w:r>
            <w:r>
              <w:rPr>
                <w:rStyle w:val="IndexLink"/>
                <w:rtl w:val="true"/>
              </w:rPr>
              <w:t>]</w:t>
              <w:tab/>
            </w:r>
            <w:r>
              <w:rPr>
                <w:rStyle w:val="IndexLink"/>
              </w:rPr>
              <w:t>379</w:t>
            </w:r>
          </w:hyperlink>
        </w:p>
        <w:p>
          <w:pPr>
            <w:pStyle w:val="Contents5"/>
            <w:tabs>
              <w:tab w:val="clear" w:pos="7892"/>
              <w:tab w:val="right" w:pos="9026" w:leader="dot"/>
            </w:tabs>
            <w:rPr/>
          </w:pPr>
          <w:hyperlink w:anchor="__RefHeading___Toc2568008_3650668749">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256801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تجب زکاة الفطرة علی المکلّف الحرّ الغنیّ فعلًا أو قوّةً</w:t>
            </w:r>
            <w:r>
              <w:rPr>
                <w:rStyle w:val="IndexLink"/>
                <w:rtl w:val="true"/>
              </w:rPr>
              <w:t>]</w:t>
              <w:tab/>
            </w:r>
            <w:r>
              <w:rPr>
                <w:rStyle w:val="IndexLink"/>
              </w:rPr>
              <w:t>379</w:t>
            </w:r>
          </w:hyperlink>
        </w:p>
        <w:p>
          <w:pPr>
            <w:pStyle w:val="Contents5"/>
            <w:tabs>
              <w:tab w:val="clear" w:pos="7892"/>
              <w:tab w:val="right" w:pos="9026" w:leader="dot"/>
            </w:tabs>
            <w:rPr/>
          </w:pPr>
          <w:hyperlink w:anchor="__RefHeading___Toc256801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إنّما یعتبر وجود الشرائط المزبورة عند دخول لیلة العید</w:t>
            </w:r>
            <w:r>
              <w:rPr>
                <w:rStyle w:val="IndexLink"/>
                <w:rtl w:val="true"/>
              </w:rPr>
              <w:t>]</w:t>
              <w:tab/>
            </w:r>
            <w:r>
              <w:rPr>
                <w:rStyle w:val="IndexLink"/>
              </w:rPr>
              <w:t>380</w:t>
            </w:r>
          </w:hyperlink>
        </w:p>
        <w:p>
          <w:pPr>
            <w:pStyle w:val="Contents5"/>
            <w:tabs>
              <w:tab w:val="clear" w:pos="7892"/>
              <w:tab w:val="right" w:pos="9026" w:leader="dot"/>
            </w:tabs>
            <w:rPr/>
          </w:pPr>
          <w:hyperlink w:anchor="__RefHeading___Toc256801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یجب علیٰ من استکمل الشرائط المزبورة إخراجها عن نفسه و عمّن یعول به</w:t>
            </w:r>
            <w:r>
              <w:rPr>
                <w:rStyle w:val="IndexLink"/>
                <w:rtl w:val="true"/>
              </w:rPr>
              <w:t>]</w:t>
              <w:tab/>
            </w:r>
            <w:r>
              <w:rPr>
                <w:rStyle w:val="IndexLink"/>
              </w:rPr>
              <w:t>380</w:t>
            </w:r>
          </w:hyperlink>
        </w:p>
        <w:p>
          <w:pPr>
            <w:pStyle w:val="Contents5"/>
            <w:tabs>
              <w:tab w:val="clear" w:pos="7892"/>
              <w:tab w:val="right" w:pos="9026" w:leader="dot"/>
            </w:tabs>
            <w:rPr/>
          </w:pPr>
          <w:hyperlink w:anchor="__RefHeading___Toc256801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کلّ من وجبت فطرته علیٰ غیره لضیافة أو عیلولة سقطت عنه</w:t>
            </w:r>
            <w:r>
              <w:rPr>
                <w:rStyle w:val="IndexLink"/>
                <w:rtl w:val="true"/>
              </w:rPr>
              <w:t>]</w:t>
              <w:tab/>
            </w:r>
            <w:r>
              <w:rPr>
                <w:rStyle w:val="IndexLink"/>
              </w:rPr>
              <w:t>380</w:t>
            </w:r>
          </w:hyperlink>
        </w:p>
        <w:p>
          <w:pPr>
            <w:pStyle w:val="Contents5"/>
            <w:tabs>
              <w:tab w:val="clear" w:pos="7892"/>
              <w:tab w:val="right" w:pos="9026" w:leader="dot"/>
            </w:tabs>
            <w:rPr/>
          </w:pPr>
          <w:hyperlink w:anchor="__RefHeading___Toc256801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الغائب عن عیالاته یجب علیه أن یخرجها عنهم</w:t>
            </w:r>
            <w:r>
              <w:rPr>
                <w:rStyle w:val="IndexLink"/>
                <w:rtl w:val="true"/>
              </w:rPr>
              <w:t>]</w:t>
              <w:tab/>
            </w:r>
            <w:r>
              <w:rPr>
                <w:rStyle w:val="IndexLink"/>
              </w:rPr>
              <w:t>381</w:t>
            </w:r>
          </w:hyperlink>
        </w:p>
        <w:p>
          <w:pPr>
            <w:pStyle w:val="Contents5"/>
            <w:tabs>
              <w:tab w:val="clear" w:pos="7892"/>
              <w:tab w:val="right" w:pos="9026" w:leader="dot"/>
            </w:tabs>
            <w:rPr/>
          </w:pPr>
          <w:hyperlink w:anchor="__RefHeading___Toc256802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الظاهر أنّ المدار فی العیال علی العیلولة الفعلیّة لا علیٰ وجوب النفقة</w:t>
            </w:r>
            <w:r>
              <w:rPr>
                <w:rStyle w:val="IndexLink"/>
                <w:rtl w:val="true"/>
              </w:rPr>
              <w:t>]</w:t>
              <w:tab/>
            </w:r>
            <w:r>
              <w:rPr>
                <w:rStyle w:val="IndexLink"/>
              </w:rPr>
              <w:t>381</w:t>
            </w:r>
          </w:hyperlink>
        </w:p>
        <w:p>
          <w:pPr>
            <w:pStyle w:val="Contents5"/>
            <w:tabs>
              <w:tab w:val="clear" w:pos="7892"/>
              <w:tab w:val="right" w:pos="9026" w:leader="dot"/>
            </w:tabs>
            <w:rPr/>
          </w:pPr>
          <w:hyperlink w:anchor="__RefHeading___Toc256802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کان شخص فی عیال اثنین یجب فطرته علیهما مع یسارهما</w:t>
            </w:r>
            <w:r>
              <w:rPr>
                <w:rStyle w:val="IndexLink"/>
                <w:rtl w:val="true"/>
              </w:rPr>
              <w:t>]</w:t>
              <w:tab/>
            </w:r>
            <w:r>
              <w:rPr>
                <w:rStyle w:val="IndexLink"/>
              </w:rPr>
              <w:t>381</w:t>
            </w:r>
          </w:hyperlink>
        </w:p>
        <w:p>
          <w:pPr>
            <w:pStyle w:val="Contents5"/>
            <w:tabs>
              <w:tab w:val="clear" w:pos="7892"/>
              <w:tab w:val="right" w:pos="9026" w:leader="dot"/>
            </w:tabs>
            <w:rPr/>
          </w:pPr>
          <w:hyperlink w:anchor="__RefHeading___Toc256802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یحرم فطرة غیر الهاشمیّ علی الهاشمیّ</w:t>
            </w:r>
            <w:r>
              <w:rPr>
                <w:rStyle w:val="IndexLink"/>
                <w:rtl w:val="true"/>
              </w:rPr>
              <w:t>]</w:t>
              <w:tab/>
            </w:r>
            <w:r>
              <w:rPr>
                <w:rStyle w:val="IndexLink"/>
              </w:rPr>
              <w:t>381</w:t>
            </w:r>
          </w:hyperlink>
        </w:p>
        <w:p>
          <w:pPr>
            <w:pStyle w:val="Contents5"/>
            <w:tabs>
              <w:tab w:val="clear" w:pos="7892"/>
              <w:tab w:val="right" w:pos="9026" w:leader="dot"/>
            </w:tabs>
            <w:rPr/>
          </w:pPr>
          <w:hyperlink w:anchor="__RefHeading___Toc256802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یجب فیها النیّة کغیرها من العبادات</w:t>
            </w:r>
            <w:r>
              <w:rPr>
                <w:rStyle w:val="IndexLink"/>
                <w:rtl w:val="true"/>
              </w:rPr>
              <w:t>]</w:t>
              <w:tab/>
            </w:r>
            <w:r>
              <w:rPr>
                <w:rStyle w:val="IndexLink"/>
              </w:rPr>
              <w:t>381</w:t>
            </w:r>
          </w:hyperlink>
        </w:p>
        <w:p>
          <w:pPr>
            <w:pStyle w:val="Contents4"/>
            <w:tabs>
              <w:tab w:val="clear" w:pos="8176"/>
              <w:tab w:val="right" w:pos="9026" w:leader="dot"/>
            </w:tabs>
            <w:rPr/>
          </w:pPr>
          <w:hyperlink w:anchor="__RefHeading___Toc2568028_3650668749">
            <w:r>
              <w:rPr>
                <w:webHidden/>
                <w:rStyle w:val="IndexLink"/>
                <w:rtl w:val="true"/>
              </w:rPr>
              <w:t>[</w:t>
            </w:r>
            <w:r>
              <w:rPr>
                <w:rStyle w:val="IndexLink"/>
                <w:rtl w:val="true"/>
              </w:rPr>
              <w:t>القول فی جنسها</w:t>
            </w:r>
            <w:r>
              <w:rPr>
                <w:rStyle w:val="IndexLink"/>
                <w:rtl w:val="true"/>
              </w:rPr>
              <w:t>]</w:t>
              <w:tab/>
            </w:r>
            <w:r>
              <w:rPr>
                <w:rStyle w:val="IndexLink"/>
              </w:rPr>
              <w:t>382</w:t>
            </w:r>
          </w:hyperlink>
        </w:p>
        <w:p>
          <w:pPr>
            <w:pStyle w:val="Contents5"/>
            <w:tabs>
              <w:tab w:val="clear" w:pos="7892"/>
              <w:tab w:val="right" w:pos="9026" w:leader="dot"/>
            </w:tabs>
            <w:rPr/>
          </w:pPr>
          <w:hyperlink w:anchor="__RefHeading___Toc2568030_3650668749">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256803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الضابط فی جنسها ما غلب فی القوت لغالب الناس</w:t>
            </w:r>
            <w:r>
              <w:rPr>
                <w:rStyle w:val="IndexLink"/>
                <w:rtl w:val="true"/>
              </w:rPr>
              <w:t>]</w:t>
              <w:tab/>
            </w:r>
            <w:r>
              <w:rPr>
                <w:rStyle w:val="IndexLink"/>
              </w:rPr>
              <w:t>382</w:t>
            </w:r>
          </w:hyperlink>
        </w:p>
        <w:p>
          <w:pPr>
            <w:pStyle w:val="Contents5"/>
            <w:tabs>
              <w:tab w:val="clear" w:pos="7892"/>
              <w:tab w:val="right" w:pos="9026" w:leader="dot"/>
            </w:tabs>
            <w:rPr/>
          </w:pPr>
          <w:hyperlink w:anchor="__RefHeading___Toc256803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یعتبر فی المدفوع فطرة أن یکون صحیحاً</w:t>
            </w:r>
            <w:r>
              <w:rPr>
                <w:rStyle w:val="IndexLink"/>
                <w:rtl w:val="true"/>
              </w:rPr>
              <w:t>]</w:t>
              <w:tab/>
            </w:r>
            <w:r>
              <w:rPr>
                <w:rStyle w:val="IndexLink"/>
              </w:rPr>
              <w:t>382</w:t>
            </w:r>
          </w:hyperlink>
        </w:p>
        <w:p>
          <w:pPr>
            <w:pStyle w:val="Contents5"/>
            <w:tabs>
              <w:tab w:val="clear" w:pos="7892"/>
              <w:tab w:val="right" w:pos="9026" w:leader="dot"/>
            </w:tabs>
            <w:rPr/>
          </w:pPr>
          <w:hyperlink w:anchor="__RefHeading___Toc256803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الأفضل إخراج التمر ثمّ الزبیب ثمّ غالب قوت البلد</w:t>
            </w:r>
            <w:r>
              <w:rPr>
                <w:rStyle w:val="IndexLink"/>
                <w:rtl w:val="true"/>
              </w:rPr>
              <w:t>]</w:t>
              <w:tab/>
            </w:r>
            <w:r>
              <w:rPr>
                <w:rStyle w:val="IndexLink"/>
              </w:rPr>
              <w:t>382</w:t>
            </w:r>
          </w:hyperlink>
        </w:p>
        <w:p>
          <w:pPr>
            <w:pStyle w:val="Contents4"/>
            <w:tabs>
              <w:tab w:val="clear" w:pos="8176"/>
              <w:tab w:val="right" w:pos="9026" w:leader="dot"/>
            </w:tabs>
            <w:rPr/>
          </w:pPr>
          <w:hyperlink w:anchor="__RefHeading___Toc2568038_3650668749">
            <w:r>
              <w:rPr>
                <w:webHidden/>
                <w:rStyle w:val="IndexLink"/>
                <w:rtl w:val="true"/>
              </w:rPr>
              <w:t>[</w:t>
            </w:r>
            <w:r>
              <w:rPr>
                <w:rStyle w:val="IndexLink"/>
                <w:rtl w:val="true"/>
              </w:rPr>
              <w:t>القول فی قدرها</w:t>
            </w:r>
            <w:r>
              <w:rPr>
                <w:rStyle w:val="IndexLink"/>
                <w:rtl w:val="true"/>
              </w:rPr>
              <w:t>]</w:t>
              <w:tab/>
            </w:r>
            <w:r>
              <w:rPr>
                <w:rStyle w:val="IndexLink"/>
              </w:rPr>
              <w:t>383</w:t>
            </w:r>
          </w:hyperlink>
        </w:p>
        <w:p>
          <w:pPr>
            <w:pStyle w:val="Contents4"/>
            <w:tabs>
              <w:tab w:val="clear" w:pos="8176"/>
              <w:tab w:val="right" w:pos="9026" w:leader="dot"/>
            </w:tabs>
            <w:rPr/>
          </w:pPr>
          <w:hyperlink w:anchor="__RefHeading___Toc2568040_3650668749">
            <w:r>
              <w:rPr>
                <w:webHidden/>
                <w:rStyle w:val="IndexLink"/>
                <w:rtl w:val="true"/>
              </w:rPr>
              <w:t>[</w:t>
            </w:r>
            <w:r>
              <w:rPr>
                <w:rStyle w:val="IndexLink"/>
                <w:rtl w:val="true"/>
              </w:rPr>
              <w:t>القول فی وقت وجوبها</w:t>
            </w:r>
            <w:r>
              <w:rPr>
                <w:rStyle w:val="IndexLink"/>
                <w:rtl w:val="true"/>
              </w:rPr>
              <w:t>]</w:t>
              <w:tab/>
            </w:r>
            <w:r>
              <w:rPr>
                <w:rStyle w:val="IndexLink"/>
              </w:rPr>
              <w:t>383</w:t>
            </w:r>
          </w:hyperlink>
        </w:p>
        <w:p>
          <w:pPr>
            <w:pStyle w:val="Contents5"/>
            <w:tabs>
              <w:tab w:val="clear" w:pos="7892"/>
              <w:tab w:val="right" w:pos="9026" w:leader="dot"/>
            </w:tabs>
            <w:rPr/>
          </w:pPr>
          <w:hyperlink w:anchor="__RefHeading___Toc2568042_3650668749">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256804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یجوز تقدیمها علیٰ وقتها فی غیر شهر رمضان</w:t>
            </w:r>
            <w:r>
              <w:rPr>
                <w:rStyle w:val="IndexLink"/>
                <w:rtl w:val="true"/>
              </w:rPr>
              <w:t>]</w:t>
              <w:tab/>
            </w:r>
            <w:r>
              <w:rPr>
                <w:rStyle w:val="IndexLink"/>
              </w:rPr>
              <w:t>383</w:t>
            </w:r>
          </w:hyperlink>
        </w:p>
        <w:p>
          <w:pPr>
            <w:pStyle w:val="Contents5"/>
            <w:tabs>
              <w:tab w:val="clear" w:pos="7892"/>
              <w:tab w:val="right" w:pos="9026" w:leader="dot"/>
            </w:tabs>
            <w:rPr/>
          </w:pPr>
          <w:hyperlink w:anchor="__RefHeading___Toc256804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یجوز عزل الفطرة و تعیینها فی مال مخصوص من الأجناس أو غیرها</w:t>
            </w:r>
            <w:r>
              <w:rPr>
                <w:rStyle w:val="IndexLink"/>
                <w:rtl w:val="true"/>
              </w:rPr>
              <w:t>]</w:t>
              <w:tab/>
            </w:r>
            <w:r>
              <w:rPr>
                <w:rStyle w:val="IndexLink"/>
              </w:rPr>
              <w:t>383</w:t>
            </w:r>
          </w:hyperlink>
        </w:p>
        <w:p>
          <w:pPr>
            <w:pStyle w:val="Contents5"/>
            <w:tabs>
              <w:tab w:val="clear" w:pos="7892"/>
              <w:tab w:val="right" w:pos="9026" w:leader="dot"/>
            </w:tabs>
            <w:rPr/>
          </w:pPr>
          <w:hyperlink w:anchor="__RefHeading___Toc256804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الأحوط عدم نقلها بعد العزل إلیٰ بلد آخر مع وجود المستحقّ و عدم تأخیرها کذلک</w:t>
            </w:r>
            <w:r>
              <w:rPr>
                <w:rStyle w:val="IndexLink"/>
                <w:rtl w:val="true"/>
              </w:rPr>
              <w:t>]</w:t>
              <w:tab/>
            </w:r>
            <w:r>
              <w:rPr>
                <w:rStyle w:val="IndexLink"/>
              </w:rPr>
              <w:t>384</w:t>
            </w:r>
          </w:hyperlink>
        </w:p>
        <w:p>
          <w:pPr>
            <w:pStyle w:val="Contents4"/>
            <w:tabs>
              <w:tab w:val="clear" w:pos="8176"/>
              <w:tab w:val="right" w:pos="9026" w:leader="dot"/>
            </w:tabs>
            <w:rPr/>
          </w:pPr>
          <w:hyperlink w:anchor="__RefHeading___Toc2568050_3650668749">
            <w:r>
              <w:rPr>
                <w:webHidden/>
                <w:rStyle w:val="IndexLink"/>
                <w:rtl w:val="true"/>
              </w:rPr>
              <w:t>[</w:t>
            </w:r>
            <w:r>
              <w:rPr>
                <w:rStyle w:val="IndexLink"/>
                <w:rtl w:val="true"/>
              </w:rPr>
              <w:t>القول فی مصرفها</w:t>
            </w:r>
            <w:r>
              <w:rPr>
                <w:rStyle w:val="IndexLink"/>
                <w:rtl w:val="true"/>
              </w:rPr>
              <w:t>]</w:t>
              <w:tab/>
            </w:r>
            <w:r>
              <w:rPr>
                <w:rStyle w:val="IndexLink"/>
              </w:rPr>
              <w:t>384</w:t>
            </w:r>
          </w:hyperlink>
        </w:p>
        <w:p>
          <w:pPr>
            <w:pStyle w:val="Contents2"/>
            <w:tabs>
              <w:tab w:val="clear" w:pos="8743"/>
              <w:tab w:val="right" w:pos="9026" w:leader="dot"/>
            </w:tabs>
            <w:rPr/>
          </w:pPr>
          <w:hyperlink w:anchor="__RefHeading___Toc2568052_3650668749">
            <w:r>
              <w:rPr>
                <w:webHidden/>
                <w:rStyle w:val="IndexLink"/>
                <w:rtl w:val="true"/>
              </w:rPr>
              <w:t>[</w:t>
            </w:r>
            <w:r>
              <w:rPr>
                <w:rStyle w:val="IndexLink"/>
                <w:rtl w:val="true"/>
              </w:rPr>
              <w:t>کتاب الخمس</w:t>
            </w:r>
            <w:r>
              <w:rPr>
                <w:rStyle w:val="IndexLink"/>
                <w:rtl w:val="true"/>
              </w:rPr>
              <w:t>]</w:t>
              <w:tab/>
            </w:r>
            <w:r>
              <w:rPr>
                <w:rStyle w:val="IndexLink"/>
              </w:rPr>
              <w:t>385</w:t>
            </w:r>
          </w:hyperlink>
        </w:p>
        <w:p>
          <w:pPr>
            <w:pStyle w:val="Contents3"/>
            <w:tabs>
              <w:tab w:val="clear" w:pos="8459"/>
              <w:tab w:val="right" w:pos="9026" w:leader="dot"/>
            </w:tabs>
            <w:rPr/>
          </w:pPr>
          <w:hyperlink w:anchor="__RefHeading___Toc2568054_3650668749">
            <w:r>
              <w:rPr>
                <w:webHidden/>
                <w:rStyle w:val="IndexLink"/>
                <w:rtl w:val="true"/>
              </w:rPr>
              <w:t>اشارة</w:t>
            </w:r>
            <w:r>
              <w:rPr>
                <w:rStyle w:val="IndexLink"/>
                <w:rtl w:val="true"/>
              </w:rPr>
              <w:tab/>
            </w:r>
            <w:r>
              <w:rPr>
                <w:rStyle w:val="IndexLink"/>
              </w:rPr>
              <w:t>385</w:t>
            </w:r>
          </w:hyperlink>
        </w:p>
        <w:p>
          <w:pPr>
            <w:pStyle w:val="Contents3"/>
            <w:tabs>
              <w:tab w:val="clear" w:pos="8459"/>
              <w:tab w:val="right" w:pos="9026" w:leader="dot"/>
            </w:tabs>
            <w:rPr/>
          </w:pPr>
          <w:hyperlink w:anchor="__RefHeading___Toc2568056_3650668749">
            <w:r>
              <w:rPr>
                <w:webHidden/>
                <w:rStyle w:val="IndexLink"/>
                <w:rtl w:val="true"/>
              </w:rPr>
              <w:t>[</w:t>
            </w:r>
            <w:r>
              <w:rPr>
                <w:rStyle w:val="IndexLink"/>
                <w:rtl w:val="true"/>
              </w:rPr>
              <w:t>القول فیما یجب فیه الخمس</w:t>
            </w:r>
            <w:r>
              <w:rPr>
                <w:rStyle w:val="IndexLink"/>
                <w:rtl w:val="true"/>
              </w:rPr>
              <w:t>]</w:t>
              <w:tab/>
            </w:r>
            <w:r>
              <w:rPr>
                <w:rStyle w:val="IndexLink"/>
              </w:rPr>
              <w:t>385</w:t>
            </w:r>
          </w:hyperlink>
        </w:p>
        <w:p>
          <w:pPr>
            <w:pStyle w:val="Contents4"/>
            <w:tabs>
              <w:tab w:val="clear" w:pos="8176"/>
              <w:tab w:val="right" w:pos="9026" w:leader="dot"/>
            </w:tabs>
            <w:rPr/>
          </w:pPr>
          <w:hyperlink w:anchor="__RefHeading___Toc2568058_3650668749">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2568060_3650668749">
            <w:r>
              <w:rPr>
                <w:webHidden/>
                <w:rStyle w:val="IndexLink"/>
                <w:rtl w:val="true"/>
              </w:rPr>
              <w:t>[</w:t>
            </w:r>
            <w:r>
              <w:rPr>
                <w:rStyle w:val="IndexLink"/>
                <w:rtl w:val="true"/>
              </w:rPr>
              <w:t>الأوّل</w:t>
            </w:r>
            <w:r>
              <w:rPr>
                <w:rStyle w:val="IndexLink"/>
                <w:rtl w:val="true"/>
              </w:rPr>
              <w:t xml:space="preserve">: </w:t>
            </w:r>
            <w:r>
              <w:rPr>
                <w:rStyle w:val="IndexLink"/>
                <w:rtl w:val="true"/>
              </w:rPr>
              <w:t>ما یغتنم قهراً من أهل الحرب</w:t>
            </w:r>
            <w:r>
              <w:rPr>
                <w:rStyle w:val="IndexLink"/>
                <w:rtl w:val="true"/>
              </w:rPr>
              <w:t>]</w:t>
              <w:tab/>
            </w:r>
            <w:r>
              <w:rPr>
                <w:rStyle w:val="IndexLink"/>
              </w:rPr>
              <w:t>385</w:t>
            </w:r>
          </w:hyperlink>
        </w:p>
        <w:p>
          <w:pPr>
            <w:pStyle w:val="Contents4"/>
            <w:tabs>
              <w:tab w:val="clear" w:pos="8176"/>
              <w:tab w:val="right" w:pos="9026" w:leader="dot"/>
            </w:tabs>
            <w:rPr/>
          </w:pPr>
          <w:hyperlink w:anchor="__RefHeading___Toc2568062_3650668749">
            <w:r>
              <w:rPr>
                <w:webHidden/>
                <w:rStyle w:val="IndexLink"/>
                <w:rtl w:val="true"/>
              </w:rPr>
              <w:t>[</w:t>
            </w:r>
            <w:r>
              <w:rPr>
                <w:rStyle w:val="IndexLink"/>
                <w:rtl w:val="true"/>
              </w:rPr>
              <w:t>الثانی</w:t>
            </w:r>
            <w:r>
              <w:rPr>
                <w:rStyle w:val="IndexLink"/>
                <w:rtl w:val="true"/>
              </w:rPr>
              <w:t xml:space="preserve">: </w:t>
            </w:r>
            <w:r>
              <w:rPr>
                <w:rStyle w:val="IndexLink"/>
                <w:rtl w:val="true"/>
              </w:rPr>
              <w:t>المعدِن</w:t>
            </w:r>
            <w:r>
              <w:rPr>
                <w:rStyle w:val="IndexLink"/>
                <w:rtl w:val="true"/>
              </w:rPr>
              <w:t>]</w:t>
              <w:tab/>
            </w:r>
            <w:r>
              <w:rPr>
                <w:rStyle w:val="IndexLink"/>
              </w:rPr>
              <w:t>386</w:t>
            </w:r>
          </w:hyperlink>
        </w:p>
        <w:p>
          <w:pPr>
            <w:pStyle w:val="Contents5"/>
            <w:tabs>
              <w:tab w:val="clear" w:pos="7892"/>
              <w:tab w:val="right" w:pos="9026" w:leader="dot"/>
            </w:tabs>
            <w:rPr/>
          </w:pPr>
          <w:hyperlink w:anchor="__RefHeading___Toc2568064_3650668749">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256806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فرق فی وجوب إخراج خمس المعدن بین کونه فی أرض مباحة أو مملوکة</w:t>
            </w:r>
            <w:r>
              <w:rPr>
                <w:rStyle w:val="IndexLink"/>
                <w:rtl w:val="true"/>
              </w:rPr>
              <w:t>]</w:t>
              <w:tab/>
            </w:r>
            <w:r>
              <w:rPr>
                <w:rStyle w:val="IndexLink"/>
              </w:rPr>
              <w:t>387</w:t>
            </w:r>
          </w:hyperlink>
        </w:p>
        <w:p>
          <w:pPr>
            <w:pStyle w:val="Contents5"/>
            <w:tabs>
              <w:tab w:val="clear" w:pos="7892"/>
              <w:tab w:val="right" w:pos="9026" w:leader="dot"/>
            </w:tabs>
            <w:rPr/>
          </w:pPr>
          <w:hyperlink w:anchor="__RefHeading___Toc256806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قد عرفت أنّه لا فرق فی تعلّق الخمس بما خرج من المعدن بین کون المخرج مسلماً أو کافراً</w:t>
            </w:r>
            <w:r>
              <w:rPr>
                <w:rStyle w:val="IndexLink"/>
                <w:rtl w:val="true"/>
              </w:rPr>
              <w:t>]</w:t>
              <w:tab/>
            </w:r>
            <w:r>
              <w:rPr>
                <w:rStyle w:val="IndexLink"/>
              </w:rPr>
              <w:t>387</w:t>
            </w:r>
          </w:hyperlink>
        </w:p>
        <w:p>
          <w:pPr>
            <w:pStyle w:val="Contents4"/>
            <w:tabs>
              <w:tab w:val="clear" w:pos="8176"/>
              <w:tab w:val="right" w:pos="9026" w:leader="dot"/>
            </w:tabs>
            <w:rPr/>
          </w:pPr>
          <w:hyperlink w:anchor="__RefHeading___Toc2568070_3650668749">
            <w:r>
              <w:rPr>
                <w:webHidden/>
                <w:rStyle w:val="IndexLink"/>
                <w:rtl w:val="true"/>
              </w:rPr>
              <w:t>[</w:t>
            </w:r>
            <w:r>
              <w:rPr>
                <w:rStyle w:val="IndexLink"/>
                <w:rtl w:val="true"/>
              </w:rPr>
              <w:t>الثالث</w:t>
            </w:r>
            <w:r>
              <w:rPr>
                <w:rStyle w:val="IndexLink"/>
                <w:rtl w:val="true"/>
              </w:rPr>
              <w:t xml:space="preserve">: </w:t>
            </w:r>
            <w:r>
              <w:rPr>
                <w:rStyle w:val="IndexLink"/>
                <w:rtl w:val="true"/>
              </w:rPr>
              <w:t>الکنز الذی یرجع فی مسمّاه إلی العرف إذا لم یعرف صاحبه</w:t>
            </w:r>
            <w:r>
              <w:rPr>
                <w:rStyle w:val="IndexLink"/>
                <w:rtl w:val="true"/>
              </w:rPr>
              <w:t>]</w:t>
              <w:tab/>
            </w:r>
            <w:r>
              <w:rPr>
                <w:rStyle w:val="IndexLink"/>
              </w:rPr>
              <w:t>388</w:t>
            </w:r>
          </w:hyperlink>
        </w:p>
        <w:p>
          <w:pPr>
            <w:pStyle w:val="Contents4"/>
            <w:tabs>
              <w:tab w:val="clear" w:pos="8176"/>
              <w:tab w:val="right" w:pos="9026" w:leader="dot"/>
            </w:tabs>
            <w:rPr/>
          </w:pPr>
          <w:hyperlink w:anchor="__RefHeading___Toc2568072_3650668749">
            <w:r>
              <w:rPr>
                <w:webHidden/>
                <w:rStyle w:val="IndexLink"/>
                <w:rtl w:val="true"/>
              </w:rPr>
              <w:t>[</w:t>
            </w:r>
            <w:r>
              <w:rPr>
                <w:rStyle w:val="IndexLink"/>
                <w:rtl w:val="true"/>
              </w:rPr>
              <w:t>الرابع</w:t>
            </w:r>
            <w:r>
              <w:rPr>
                <w:rStyle w:val="IndexLink"/>
                <w:rtl w:val="true"/>
              </w:rPr>
              <w:t xml:space="preserve">: </w:t>
            </w:r>
            <w:r>
              <w:rPr>
                <w:rStyle w:val="IndexLink"/>
                <w:rtl w:val="true"/>
              </w:rPr>
              <w:t>الغوص</w:t>
            </w:r>
            <w:r>
              <w:rPr>
                <w:rStyle w:val="IndexLink"/>
                <w:rtl w:val="true"/>
              </w:rPr>
              <w:t>]</w:t>
              <w:tab/>
            </w:r>
            <w:r>
              <w:rPr>
                <w:rStyle w:val="IndexLink"/>
              </w:rPr>
              <w:t>388</w:t>
            </w:r>
          </w:hyperlink>
        </w:p>
        <w:p>
          <w:pPr>
            <w:pStyle w:val="Contents5"/>
            <w:tabs>
              <w:tab w:val="clear" w:pos="7892"/>
              <w:tab w:val="right" w:pos="9026" w:leader="dot"/>
            </w:tabs>
            <w:rPr/>
          </w:pPr>
          <w:hyperlink w:anchor="__RefHeading___Toc2568074_3650668749">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256807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إذا أخرج الجواهر من البحر ببعض الآلات من دون غوص یکون بحکم الغوص علی الأحوط</w:t>
            </w:r>
            <w:r>
              <w:rPr>
                <w:rStyle w:val="IndexLink"/>
                <w:rtl w:val="true"/>
              </w:rPr>
              <w:t>]</w:t>
              <w:tab/>
            </w:r>
            <w:r>
              <w:rPr>
                <w:rStyle w:val="IndexLink"/>
              </w:rPr>
              <w:t>388</w:t>
            </w:r>
          </w:hyperlink>
        </w:p>
        <w:p>
          <w:pPr>
            <w:pStyle w:val="Contents5"/>
            <w:tabs>
              <w:tab w:val="clear" w:pos="7892"/>
              <w:tab w:val="right" w:pos="9026" w:leader="dot"/>
            </w:tabs>
            <w:rPr/>
          </w:pPr>
          <w:hyperlink w:anchor="__RefHeading___Toc256807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فرق بین ما یخرج من البحر بالغوص و بین ما یخرج من الأنهار الکبیرة</w:t>
            </w:r>
            <w:r>
              <w:rPr>
                <w:rStyle w:val="IndexLink"/>
                <w:rtl w:val="true"/>
              </w:rPr>
              <w:t>]</w:t>
              <w:tab/>
            </w:r>
            <w:r>
              <w:rPr>
                <w:rStyle w:val="IndexLink"/>
              </w:rPr>
              <w:t>388</w:t>
            </w:r>
          </w:hyperlink>
        </w:p>
        <w:p>
          <w:pPr>
            <w:pStyle w:val="Contents5"/>
            <w:tabs>
              <w:tab w:val="clear" w:pos="7892"/>
              <w:tab w:val="right" w:pos="9026" w:leader="dot"/>
            </w:tabs>
            <w:rPr/>
          </w:pPr>
          <w:hyperlink w:anchor="__RefHeading___Toc256808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غرق شی‌ء فی البحر و أعرض عنه مالکه فأخرجه الغوّاص ملکه</w:t>
            </w:r>
            <w:r>
              <w:rPr>
                <w:rStyle w:val="IndexLink"/>
                <w:rtl w:val="true"/>
              </w:rPr>
              <w:t>]</w:t>
              <w:tab/>
            </w:r>
            <w:r>
              <w:rPr>
                <w:rStyle w:val="IndexLink"/>
              </w:rPr>
              <w:t>389</w:t>
            </w:r>
          </w:hyperlink>
        </w:p>
        <w:p>
          <w:pPr>
            <w:pStyle w:val="Contents5"/>
            <w:tabs>
              <w:tab w:val="clear" w:pos="7892"/>
              <w:tab w:val="right" w:pos="9026" w:leader="dot"/>
            </w:tabs>
            <w:rPr/>
          </w:pPr>
          <w:hyperlink w:anchor="__RefHeading___Toc256808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العنبر</w:t>
            </w:r>
            <w:r>
              <w:rPr>
                <w:rStyle w:val="IndexLink"/>
                <w:rtl w:val="true"/>
              </w:rPr>
              <w:t>]</w:t>
              <w:tab/>
            </w:r>
            <w:r>
              <w:rPr>
                <w:rStyle w:val="IndexLink"/>
              </w:rPr>
              <w:t>389</w:t>
            </w:r>
          </w:hyperlink>
        </w:p>
        <w:p>
          <w:pPr>
            <w:pStyle w:val="Contents5"/>
            <w:tabs>
              <w:tab w:val="clear" w:pos="7892"/>
              <w:tab w:val="right" w:pos="9026" w:leader="dot"/>
            </w:tabs>
            <w:rPr/>
          </w:pPr>
          <w:hyperlink w:anchor="__RefHeading___Toc256808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إنّما یجب الخمس فی الغوص و المعدن و الکنز بعد إخراج ما یغرمه</w:t>
            </w:r>
            <w:r>
              <w:rPr>
                <w:rStyle w:val="IndexLink"/>
                <w:rtl w:val="true"/>
              </w:rPr>
              <w:t>]</w:t>
              <w:tab/>
            </w:r>
            <w:r>
              <w:rPr>
                <w:rStyle w:val="IndexLink"/>
              </w:rPr>
              <w:t>389</w:t>
            </w:r>
          </w:hyperlink>
        </w:p>
        <w:p>
          <w:pPr>
            <w:pStyle w:val="Contents4"/>
            <w:tabs>
              <w:tab w:val="clear" w:pos="8176"/>
              <w:tab w:val="right" w:pos="9026" w:leader="dot"/>
            </w:tabs>
            <w:rPr/>
          </w:pPr>
          <w:hyperlink w:anchor="__RefHeading___Toc2568086_3650668749">
            <w:r>
              <w:rPr>
                <w:webHidden/>
                <w:rStyle w:val="IndexLink"/>
                <w:rtl w:val="true"/>
              </w:rPr>
              <w:t>[</w:t>
            </w:r>
            <w:r>
              <w:rPr>
                <w:rStyle w:val="IndexLink"/>
                <w:rtl w:val="true"/>
              </w:rPr>
              <w:t>الخامس</w:t>
            </w:r>
            <w:r>
              <w:rPr>
                <w:rStyle w:val="IndexLink"/>
                <w:rtl w:val="true"/>
              </w:rPr>
              <w:t xml:space="preserve">: </w:t>
            </w:r>
            <w:r>
              <w:rPr>
                <w:rStyle w:val="IndexLink"/>
                <w:rtl w:val="true"/>
              </w:rPr>
              <w:t>ما یفضل عن مئونته له و لعیاله من الصناعات و الزراعات و أرباح التجارات</w:t>
            </w:r>
            <w:r>
              <w:rPr>
                <w:rStyle w:val="IndexLink"/>
                <w:rtl w:val="true"/>
              </w:rPr>
              <w:t>]</w:t>
              <w:tab/>
            </w:r>
            <w:r>
              <w:rPr>
                <w:rStyle w:val="IndexLink"/>
              </w:rPr>
              <w:t>389</w:t>
            </w:r>
          </w:hyperlink>
        </w:p>
        <w:p>
          <w:pPr>
            <w:pStyle w:val="Contents5"/>
            <w:tabs>
              <w:tab w:val="clear" w:pos="7892"/>
              <w:tab w:val="right" w:pos="9026" w:leader="dot"/>
            </w:tabs>
            <w:rPr/>
          </w:pPr>
          <w:hyperlink w:anchor="__RefHeading___Toc2568088_3650668749">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256809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إذا کان عنده من الأعیان التی لم یتعلّق بها الخمس أو أدّی خمسها و ارتفعت قیمتها السوقیّة</w:t>
            </w:r>
            <w:r>
              <w:rPr>
                <w:rStyle w:val="IndexLink"/>
                <w:rtl w:val="true"/>
              </w:rPr>
              <w:t>]</w:t>
              <w:tab/>
            </w:r>
            <w:r>
              <w:rPr>
                <w:rStyle w:val="IndexLink"/>
              </w:rPr>
              <w:t>389</w:t>
            </w:r>
          </w:hyperlink>
        </w:p>
        <w:p>
          <w:pPr>
            <w:pStyle w:val="Contents5"/>
            <w:tabs>
              <w:tab w:val="clear" w:pos="7892"/>
              <w:tab w:val="right" w:pos="9026" w:leader="dot"/>
            </w:tabs>
            <w:rPr/>
          </w:pPr>
          <w:hyperlink w:anchor="__RefHeading___Toc256809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کانت بعض الأموال التی یتّجر بها و ارتفعت قیمتها موجودة عنده فی آخر السنة و بعضها دیناً علی الناس</w:t>
            </w:r>
            <w:r>
              <w:rPr>
                <w:rStyle w:val="IndexLink"/>
                <w:rtl w:val="true"/>
              </w:rPr>
              <w:t>]</w:t>
              <w:tab/>
            </w:r>
            <w:r>
              <w:rPr>
                <w:rStyle w:val="IndexLink"/>
              </w:rPr>
              <w:t>390</w:t>
            </w:r>
          </w:hyperlink>
        </w:p>
        <w:p>
          <w:pPr>
            <w:pStyle w:val="Contents5"/>
            <w:tabs>
              <w:tab w:val="clear" w:pos="7892"/>
              <w:tab w:val="right" w:pos="9026" w:leader="dot"/>
            </w:tabs>
            <w:rPr/>
          </w:pPr>
          <w:hyperlink w:anchor="__RefHeading___Toc256809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الخمس فی هذا القسم بعد إخراج الغرامات و المصارف التی تصرف فی تحصیل النماء و الربح</w:t>
            </w:r>
            <w:r>
              <w:rPr>
                <w:rStyle w:val="IndexLink"/>
                <w:rtl w:val="true"/>
              </w:rPr>
              <w:t>]</w:t>
              <w:tab/>
            </w:r>
            <w:r>
              <w:rPr>
                <w:rStyle w:val="IndexLink"/>
              </w:rPr>
              <w:t>390</w:t>
            </w:r>
          </w:hyperlink>
        </w:p>
        <w:p>
          <w:pPr>
            <w:pStyle w:val="Contents5"/>
            <w:tabs>
              <w:tab w:val="clear" w:pos="7892"/>
              <w:tab w:val="right" w:pos="9026" w:leader="dot"/>
            </w:tabs>
            <w:rPr/>
          </w:pPr>
          <w:hyperlink w:anchor="__RefHeading___Toc256809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المراد بالمئونة ما ینفقه علیٰ نفسه و عیاله الواجبی النفقة و غیرهم</w:t>
            </w:r>
            <w:r>
              <w:rPr>
                <w:rStyle w:val="IndexLink"/>
                <w:rtl w:val="true"/>
              </w:rPr>
              <w:t>]</w:t>
              <w:tab/>
            </w:r>
            <w:r>
              <w:rPr>
                <w:rStyle w:val="IndexLink"/>
              </w:rPr>
              <w:t>390</w:t>
            </w:r>
          </w:hyperlink>
        </w:p>
        <w:p>
          <w:pPr>
            <w:pStyle w:val="Contents5"/>
            <w:tabs>
              <w:tab w:val="clear" w:pos="7892"/>
              <w:tab w:val="right" w:pos="9026" w:leader="dot"/>
            </w:tabs>
            <w:rPr/>
          </w:pPr>
          <w:hyperlink w:anchor="__RefHeading___Toc256809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کان له أنواع من الاستفادات من التجارة و الزرع و عمل الید</w:t>
            </w:r>
            <w:r>
              <w:rPr>
                <w:rStyle w:val="IndexLink"/>
                <w:rtl w:val="true"/>
              </w:rPr>
              <w:t>]</w:t>
              <w:tab/>
            </w:r>
            <w:r>
              <w:rPr>
                <w:rStyle w:val="IndexLink"/>
              </w:rPr>
              <w:t>391</w:t>
            </w:r>
          </w:hyperlink>
        </w:p>
        <w:p>
          <w:pPr>
            <w:pStyle w:val="Contents5"/>
            <w:tabs>
              <w:tab w:val="clear" w:pos="7892"/>
              <w:tab w:val="right" w:pos="9026" w:leader="dot"/>
            </w:tabs>
            <w:rPr/>
          </w:pPr>
          <w:hyperlink w:anchor="__RefHeading___Toc256810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الأحوط بل الأقویٰ عدم احتساب رأس المال مع الحاجة إلیه من المئونة</w:t>
            </w:r>
            <w:r>
              <w:rPr>
                <w:rStyle w:val="IndexLink"/>
                <w:rtl w:val="true"/>
              </w:rPr>
              <w:t>]</w:t>
              <w:tab/>
            </w:r>
            <w:r>
              <w:rPr>
                <w:rStyle w:val="IndexLink"/>
              </w:rPr>
              <w:t>391</w:t>
            </w:r>
          </w:hyperlink>
        </w:p>
        <w:p>
          <w:pPr>
            <w:pStyle w:val="Contents5"/>
            <w:tabs>
              <w:tab w:val="clear" w:pos="7892"/>
              <w:tab w:val="right" w:pos="9026" w:leader="dot"/>
            </w:tabs>
            <w:rPr/>
          </w:pPr>
          <w:hyperlink w:anchor="__RefHeading___Toc256810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کان عنده أعیان من بستان أو حیوان مثلًا و لم یتعلّق بها الخمس</w:t>
            </w:r>
            <w:r>
              <w:rPr>
                <w:rStyle w:val="IndexLink"/>
                <w:rtl w:val="true"/>
              </w:rPr>
              <w:t>]</w:t>
              <w:tab/>
            </w:r>
            <w:r>
              <w:rPr>
                <w:rStyle w:val="IndexLink"/>
              </w:rPr>
              <w:t>391</w:t>
            </w:r>
          </w:hyperlink>
        </w:p>
        <w:p>
          <w:pPr>
            <w:pStyle w:val="Contents5"/>
            <w:tabs>
              <w:tab w:val="clear" w:pos="7892"/>
              <w:tab w:val="right" w:pos="9026" w:leader="dot"/>
            </w:tabs>
            <w:rPr/>
          </w:pPr>
          <w:hyperlink w:anchor="__RefHeading___Toc256810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لو اتّجر برأس ماله فی السنة فی نوع واحد من التجارة فباع و اشتریٰ مراراً</w:t>
            </w:r>
            <w:r>
              <w:rPr>
                <w:rStyle w:val="IndexLink"/>
                <w:rtl w:val="true"/>
              </w:rPr>
              <w:t>]</w:t>
              <w:tab/>
            </w:r>
            <w:r>
              <w:rPr>
                <w:rStyle w:val="IndexLink"/>
              </w:rPr>
              <w:t>391</w:t>
            </w:r>
          </w:hyperlink>
        </w:p>
        <w:p>
          <w:pPr>
            <w:pStyle w:val="Contents5"/>
            <w:tabs>
              <w:tab w:val="clear" w:pos="7892"/>
              <w:tab w:val="right" w:pos="9026" w:leader="dot"/>
            </w:tabs>
            <w:rPr/>
          </w:pPr>
          <w:hyperlink w:anchor="__RefHeading___Toc256810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إذا اشتریٰ لمئونة سنته من أرباحه بعض الأشیاء کالحنطة و الشعیر و الدهن و الفحم و غیر ذلک و زاد منها مقدار فی آخر السنة</w:t>
            </w:r>
            <w:r>
              <w:rPr>
                <w:rStyle w:val="IndexLink"/>
                <w:rtl w:val="true"/>
              </w:rPr>
              <w:t>]</w:t>
              <w:tab/>
            </w:r>
            <w:r>
              <w:rPr>
                <w:rStyle w:val="IndexLink"/>
              </w:rPr>
              <w:t>392</w:t>
            </w:r>
          </w:hyperlink>
        </w:p>
        <w:p>
          <w:pPr>
            <w:pStyle w:val="Contents5"/>
            <w:tabs>
              <w:tab w:val="clear" w:pos="7892"/>
              <w:tab w:val="right" w:pos="9026" w:leader="dot"/>
            </w:tabs>
            <w:rPr/>
          </w:pPr>
          <w:hyperlink w:anchor="__RefHeading___Toc2568108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إذا احتاج إلیٰ دار لسکناه مثلًا و لا یمکن شراؤها إلّا بإبقاء فضلة سنین متعدّدة</w:t>
            </w:r>
            <w:r>
              <w:rPr>
                <w:rStyle w:val="IndexLink"/>
                <w:rtl w:val="true"/>
              </w:rPr>
              <w:t>]</w:t>
              <w:tab/>
            </w:r>
            <w:r>
              <w:rPr>
                <w:rStyle w:val="IndexLink"/>
              </w:rPr>
              <w:t>392</w:t>
            </w:r>
          </w:hyperlink>
        </w:p>
        <w:p>
          <w:pPr>
            <w:pStyle w:val="Contents5"/>
            <w:tabs>
              <w:tab w:val="clear" w:pos="7892"/>
              <w:tab w:val="right" w:pos="9026" w:leader="dot"/>
            </w:tabs>
            <w:rPr/>
          </w:pPr>
          <w:hyperlink w:anchor="__RefHeading___Toc2568110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لو مات فی أثناء حول الربح سقط اعتبار إخراج مئونة بقیّة السنة علیٰ فرض حیاته</w:t>
            </w:r>
            <w:r>
              <w:rPr>
                <w:rStyle w:val="IndexLink"/>
                <w:rtl w:val="true"/>
              </w:rPr>
              <w:t>]</w:t>
              <w:tab/>
            </w:r>
            <w:r>
              <w:rPr>
                <w:rStyle w:val="IndexLink"/>
              </w:rPr>
              <w:t>393</w:t>
            </w:r>
          </w:hyperlink>
        </w:p>
        <w:p>
          <w:pPr>
            <w:pStyle w:val="Contents5"/>
            <w:tabs>
              <w:tab w:val="clear" w:pos="7892"/>
              <w:tab w:val="right" w:pos="9026" w:leader="dot"/>
            </w:tabs>
            <w:rPr/>
          </w:pPr>
          <w:hyperlink w:anchor="__RefHeading___Toc2568112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لو کان عنده مال آخر لا خمس فیه، فالأقویٰ جواز إخراج المئونة من الربح دون المخمّس خاصّة</w:t>
            </w:r>
            <w:r>
              <w:rPr>
                <w:rStyle w:val="IndexLink"/>
                <w:rtl w:val="true"/>
              </w:rPr>
              <w:t>]</w:t>
              <w:tab/>
            </w:r>
            <w:r>
              <w:rPr>
                <w:rStyle w:val="IndexLink"/>
              </w:rPr>
              <w:t>393</w:t>
            </w:r>
          </w:hyperlink>
        </w:p>
        <w:p>
          <w:pPr>
            <w:pStyle w:val="Contents5"/>
            <w:tabs>
              <w:tab w:val="clear" w:pos="7892"/>
              <w:tab w:val="right" w:pos="9026" w:leader="dot"/>
            </w:tabs>
            <w:rPr/>
          </w:pPr>
          <w:hyperlink w:anchor="__RefHeading___Toc2568114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إذا استقرض من ابتداء سنته لمئونته أو اشتریٰ لها بعض الأشیاء فی الذمّة</w:t>
            </w:r>
            <w:r>
              <w:rPr>
                <w:rStyle w:val="IndexLink"/>
                <w:rtl w:val="true"/>
              </w:rPr>
              <w:t>]</w:t>
              <w:tab/>
            </w:r>
            <w:r>
              <w:rPr>
                <w:rStyle w:val="IndexLink"/>
              </w:rPr>
              <w:t>393</w:t>
            </w:r>
          </w:hyperlink>
        </w:p>
        <w:p>
          <w:pPr>
            <w:pStyle w:val="Contents5"/>
            <w:tabs>
              <w:tab w:val="clear" w:pos="7892"/>
              <w:tab w:val="right" w:pos="9026" w:leader="dot"/>
            </w:tabs>
            <w:rPr/>
          </w:pPr>
          <w:hyperlink w:anchor="__RefHeading___Toc2568116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الدین الحاصل قهراً مثل قیم المتلفات و أُروش الجنایات و یلحق بها النذور و الکفّارات</w:t>
            </w:r>
            <w:r>
              <w:rPr>
                <w:rStyle w:val="IndexLink"/>
                <w:rtl w:val="true"/>
              </w:rPr>
              <w:t>]</w:t>
              <w:tab/>
            </w:r>
            <w:r>
              <w:rPr>
                <w:rStyle w:val="IndexLink"/>
              </w:rPr>
              <w:t>393</w:t>
            </w:r>
          </w:hyperlink>
        </w:p>
        <w:p>
          <w:pPr>
            <w:pStyle w:val="Contents5"/>
            <w:tabs>
              <w:tab w:val="clear" w:pos="7892"/>
              <w:tab w:val="right" w:pos="9026" w:leader="dot"/>
            </w:tabs>
            <w:rPr/>
          </w:pPr>
          <w:hyperlink w:anchor="__RefHeading___Toc2568118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إذا استطاع فی عام الربح فإذا مشیٰ إلی الحجّ فی تلک السنة یکون مصارفه من المئونة</w:t>
            </w:r>
            <w:r>
              <w:rPr>
                <w:rStyle w:val="IndexLink"/>
                <w:rtl w:val="true"/>
              </w:rPr>
              <w:t>]</w:t>
              <w:tab/>
            </w:r>
            <w:r>
              <w:rPr>
                <w:rStyle w:val="IndexLink"/>
              </w:rPr>
              <w:t>393</w:t>
            </w:r>
          </w:hyperlink>
        </w:p>
        <w:p>
          <w:pPr>
            <w:pStyle w:val="Contents5"/>
            <w:tabs>
              <w:tab w:val="clear" w:pos="7892"/>
              <w:tab w:val="right" w:pos="9026" w:leader="dot"/>
            </w:tabs>
            <w:rPr/>
          </w:pPr>
          <w:hyperlink w:anchor="__RefHeading___Toc2568120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الخمس متعلّق بالعین</w:t>
            </w:r>
            <w:r>
              <w:rPr>
                <w:rStyle w:val="IndexLink"/>
                <w:rtl w:val="true"/>
              </w:rPr>
              <w:t>]</w:t>
              <w:tab/>
            </w:r>
            <w:r>
              <w:rPr>
                <w:rStyle w:val="IndexLink"/>
              </w:rPr>
              <w:t>394</w:t>
            </w:r>
          </w:hyperlink>
        </w:p>
        <w:p>
          <w:pPr>
            <w:pStyle w:val="Contents5"/>
            <w:tabs>
              <w:tab w:val="clear" w:pos="7892"/>
              <w:tab w:val="right" w:pos="9026" w:leader="dot"/>
            </w:tabs>
            <w:rPr/>
          </w:pPr>
          <w:hyperlink w:anchor="__RefHeading___Toc2568122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لا یعتبر الحول فی وجوب الخمس فی الأرباح و غیرها</w:t>
            </w:r>
            <w:r>
              <w:rPr>
                <w:rStyle w:val="IndexLink"/>
                <w:rtl w:val="true"/>
              </w:rPr>
              <w:t>]</w:t>
              <w:tab/>
            </w:r>
            <w:r>
              <w:rPr>
                <w:rStyle w:val="IndexLink"/>
              </w:rPr>
              <w:t>394</w:t>
            </w:r>
          </w:hyperlink>
        </w:p>
        <w:p>
          <w:pPr>
            <w:pStyle w:val="Contents4"/>
            <w:tabs>
              <w:tab w:val="clear" w:pos="8176"/>
              <w:tab w:val="right" w:pos="9026" w:leader="dot"/>
            </w:tabs>
            <w:rPr/>
          </w:pPr>
          <w:hyperlink w:anchor="__RefHeading___Toc2568124_3650668749">
            <w:r>
              <w:rPr>
                <w:webHidden/>
                <w:rStyle w:val="IndexLink"/>
                <w:rtl w:val="true"/>
              </w:rPr>
              <w:t>[</w:t>
            </w:r>
            <w:r>
              <w:rPr>
                <w:rStyle w:val="IndexLink"/>
                <w:rtl w:val="true"/>
              </w:rPr>
              <w:t>السادس</w:t>
            </w:r>
            <w:r>
              <w:rPr>
                <w:rStyle w:val="IndexLink"/>
                <w:rtl w:val="true"/>
              </w:rPr>
              <w:t xml:space="preserve">: </w:t>
            </w:r>
            <w:r>
              <w:rPr>
                <w:rStyle w:val="IndexLink"/>
                <w:rtl w:val="true"/>
              </w:rPr>
              <w:t>الأرض التی اشتراها الذمّی من مسلم</w:t>
            </w:r>
            <w:r>
              <w:rPr>
                <w:rStyle w:val="IndexLink"/>
                <w:rtl w:val="true"/>
              </w:rPr>
              <w:t>]</w:t>
              <w:tab/>
            </w:r>
            <w:r>
              <w:rPr>
                <w:rStyle w:val="IndexLink"/>
              </w:rPr>
              <w:t>394</w:t>
            </w:r>
          </w:hyperlink>
        </w:p>
        <w:p>
          <w:pPr>
            <w:pStyle w:val="Contents5"/>
            <w:tabs>
              <w:tab w:val="clear" w:pos="7892"/>
              <w:tab w:val="right" w:pos="9026" w:leader="dot"/>
            </w:tabs>
            <w:rPr/>
          </w:pPr>
          <w:hyperlink w:anchor="__RefHeading___Toc2568126_3650668749">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256812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إنّما یتعلّق الخمس برقبة الأرض</w:t>
            </w:r>
            <w:r>
              <w:rPr>
                <w:rStyle w:val="IndexLink"/>
                <w:rtl w:val="true"/>
              </w:rPr>
              <w:t>]</w:t>
              <w:tab/>
            </w:r>
            <w:r>
              <w:rPr>
                <w:rStyle w:val="IndexLink"/>
              </w:rPr>
              <w:t>395</w:t>
            </w:r>
          </w:hyperlink>
        </w:p>
        <w:p>
          <w:pPr>
            <w:pStyle w:val="Contents5"/>
            <w:tabs>
              <w:tab w:val="clear" w:pos="7892"/>
              <w:tab w:val="right" w:pos="9026" w:leader="dot"/>
            </w:tabs>
            <w:rPr/>
          </w:pPr>
          <w:hyperlink w:anchor="__RefHeading___Toc256813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لو اشتری الذمّی الأرض المفتوحة عنوة</w:t>
            </w:r>
            <w:r>
              <w:rPr>
                <w:rStyle w:val="IndexLink"/>
                <w:rtl w:val="true"/>
              </w:rPr>
              <w:t>]</w:t>
              <w:tab/>
            </w:r>
            <w:r>
              <w:rPr>
                <w:rStyle w:val="IndexLink"/>
              </w:rPr>
              <w:t>395</w:t>
            </w:r>
          </w:hyperlink>
        </w:p>
        <w:p>
          <w:pPr>
            <w:pStyle w:val="Contents5"/>
            <w:tabs>
              <w:tab w:val="clear" w:pos="7892"/>
              <w:tab w:val="right" w:pos="9026" w:leader="dot"/>
            </w:tabs>
            <w:rPr/>
          </w:pPr>
          <w:hyperlink w:anchor="__RefHeading___Toc256813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اشتری الذمّی من ولیّ الخمس الخمس الذی وجب علیه</w:t>
            </w:r>
            <w:r>
              <w:rPr>
                <w:rStyle w:val="IndexLink"/>
                <w:rtl w:val="true"/>
              </w:rPr>
              <w:t>]</w:t>
              <w:tab/>
            </w:r>
            <w:r>
              <w:rPr>
                <w:rStyle w:val="IndexLink"/>
              </w:rPr>
              <w:t>395</w:t>
            </w:r>
          </w:hyperlink>
        </w:p>
        <w:p>
          <w:pPr>
            <w:pStyle w:val="Contents4"/>
            <w:tabs>
              <w:tab w:val="clear" w:pos="8176"/>
              <w:tab w:val="right" w:pos="9026" w:leader="dot"/>
            </w:tabs>
            <w:rPr/>
          </w:pPr>
          <w:hyperlink w:anchor="__RefHeading___Toc2568134_3650668749">
            <w:r>
              <w:rPr>
                <w:webHidden/>
                <w:rStyle w:val="IndexLink"/>
                <w:rtl w:val="true"/>
              </w:rPr>
              <w:t>[</w:t>
            </w:r>
            <w:r>
              <w:rPr>
                <w:rStyle w:val="IndexLink"/>
                <w:rtl w:val="true"/>
              </w:rPr>
              <w:t>السابع</w:t>
            </w:r>
            <w:r>
              <w:rPr>
                <w:rStyle w:val="IndexLink"/>
                <w:rtl w:val="true"/>
              </w:rPr>
              <w:t xml:space="preserve">: </w:t>
            </w:r>
            <w:r>
              <w:rPr>
                <w:rStyle w:val="IndexLink"/>
                <w:rtl w:val="true"/>
              </w:rPr>
              <w:t>الحلال المختلط بالحرام مع عدم تمیّز صاحبه أصلًا</w:t>
            </w:r>
            <w:r>
              <w:rPr>
                <w:rStyle w:val="IndexLink"/>
                <w:rtl w:val="true"/>
              </w:rPr>
              <w:t>]</w:t>
              <w:tab/>
            </w:r>
            <w:r>
              <w:rPr>
                <w:rStyle w:val="IndexLink"/>
              </w:rPr>
              <w:t>395</w:t>
            </w:r>
          </w:hyperlink>
        </w:p>
        <w:p>
          <w:pPr>
            <w:pStyle w:val="Contents5"/>
            <w:tabs>
              <w:tab w:val="clear" w:pos="7892"/>
              <w:tab w:val="right" w:pos="9026" w:leader="dot"/>
            </w:tabs>
            <w:rPr/>
          </w:pPr>
          <w:hyperlink w:anchor="__RefHeading___Toc2568136_3650668749">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256813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لو علم أنّ مقدار الحرام أزید من الخمس و إن لم یعلم مقداره</w:t>
            </w:r>
            <w:r>
              <w:rPr>
                <w:rStyle w:val="IndexLink"/>
                <w:rtl w:val="true"/>
              </w:rPr>
              <w:t>]</w:t>
              <w:tab/>
            </w:r>
            <w:r>
              <w:rPr>
                <w:rStyle w:val="IndexLink"/>
              </w:rPr>
              <w:t>396</w:t>
            </w:r>
          </w:hyperlink>
        </w:p>
        <w:p>
          <w:pPr>
            <w:pStyle w:val="Contents5"/>
            <w:tabs>
              <w:tab w:val="clear" w:pos="7892"/>
              <w:tab w:val="right" w:pos="9026" w:leader="dot"/>
            </w:tabs>
            <w:rPr/>
          </w:pPr>
          <w:hyperlink w:anchor="__RefHeading___Toc256814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کان حقّ الغیر فی ذمّته لا فی عین ماله لا محلّ للخمس</w:t>
            </w:r>
            <w:r>
              <w:rPr>
                <w:rStyle w:val="IndexLink"/>
                <w:rtl w:val="true"/>
              </w:rPr>
              <w:t>]</w:t>
              <w:tab/>
            </w:r>
            <w:r>
              <w:rPr>
                <w:rStyle w:val="IndexLink"/>
              </w:rPr>
              <w:t>396</w:t>
            </w:r>
          </w:hyperlink>
        </w:p>
        <w:p>
          <w:pPr>
            <w:pStyle w:val="Contents5"/>
            <w:tabs>
              <w:tab w:val="clear" w:pos="7892"/>
              <w:tab w:val="right" w:pos="9026" w:leader="dot"/>
            </w:tabs>
            <w:rPr/>
          </w:pPr>
          <w:hyperlink w:anchor="__RefHeading___Toc256814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لو کان الحرام المختلط بالحلال من الخمس أو الزکاة أو الوقف الخاصّ أو العامّ</w:t>
            </w:r>
            <w:r>
              <w:rPr>
                <w:rStyle w:val="IndexLink"/>
                <w:rtl w:val="true"/>
              </w:rPr>
              <w:t>]</w:t>
              <w:tab/>
            </w:r>
            <w:r>
              <w:rPr>
                <w:rStyle w:val="IndexLink"/>
              </w:rPr>
              <w:t>396</w:t>
            </w:r>
          </w:hyperlink>
        </w:p>
        <w:p>
          <w:pPr>
            <w:pStyle w:val="Contents5"/>
            <w:tabs>
              <w:tab w:val="clear" w:pos="7892"/>
              <w:tab w:val="right" w:pos="9026" w:leader="dot"/>
            </w:tabs>
            <w:rPr/>
          </w:pPr>
          <w:hyperlink w:anchor="__RefHeading___Toc256814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لو کان الحلال الذی فی المختلط ممّا تعلّق به الخمس</w:t>
            </w:r>
            <w:r>
              <w:rPr>
                <w:rStyle w:val="IndexLink"/>
                <w:rtl w:val="true"/>
              </w:rPr>
              <w:t>]</w:t>
              <w:tab/>
            </w:r>
            <w:r>
              <w:rPr>
                <w:rStyle w:val="IndexLink"/>
              </w:rPr>
              <w:t>396</w:t>
            </w:r>
          </w:hyperlink>
        </w:p>
        <w:p>
          <w:pPr>
            <w:pStyle w:val="Contents5"/>
            <w:tabs>
              <w:tab w:val="clear" w:pos="7892"/>
              <w:tab w:val="right" w:pos="9026" w:leader="dot"/>
            </w:tabs>
            <w:rPr/>
          </w:pPr>
          <w:hyperlink w:anchor="__RefHeading___Toc256814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تبیّن المالک بعد إخراج الخمس ضمنه</w:t>
            </w:r>
            <w:r>
              <w:rPr>
                <w:rStyle w:val="IndexLink"/>
                <w:rtl w:val="true"/>
              </w:rPr>
              <w:t>]</w:t>
              <w:tab/>
            </w:r>
            <w:r>
              <w:rPr>
                <w:rStyle w:val="IndexLink"/>
              </w:rPr>
              <w:t>397</w:t>
            </w:r>
          </w:hyperlink>
        </w:p>
        <w:p>
          <w:pPr>
            <w:pStyle w:val="Contents5"/>
            <w:tabs>
              <w:tab w:val="clear" w:pos="7892"/>
              <w:tab w:val="right" w:pos="9026" w:leader="dot"/>
            </w:tabs>
            <w:rPr/>
          </w:pPr>
          <w:hyperlink w:anchor="__RefHeading___Toc256814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تصرّف فی المال المختلط بالحرام بالإتلاف قبل إخراج الخمس صار الحرام فی ذمّته</w:t>
            </w:r>
            <w:r>
              <w:rPr>
                <w:rStyle w:val="IndexLink"/>
                <w:rtl w:val="true"/>
              </w:rPr>
              <w:t>]</w:t>
              <w:tab/>
            </w:r>
            <w:r>
              <w:rPr>
                <w:rStyle w:val="IndexLink"/>
              </w:rPr>
              <w:t>397</w:t>
            </w:r>
          </w:hyperlink>
        </w:p>
        <w:p>
          <w:pPr>
            <w:pStyle w:val="Contents3"/>
            <w:tabs>
              <w:tab w:val="clear" w:pos="8459"/>
              <w:tab w:val="right" w:pos="9026" w:leader="dot"/>
            </w:tabs>
            <w:rPr/>
          </w:pPr>
          <w:hyperlink w:anchor="__RefHeading___Toc2568150_3650668749">
            <w:r>
              <w:rPr>
                <w:webHidden/>
                <w:rStyle w:val="IndexLink"/>
                <w:rtl w:val="true"/>
              </w:rPr>
              <w:t>[</w:t>
            </w:r>
            <w:r>
              <w:rPr>
                <w:rStyle w:val="IndexLink"/>
                <w:rtl w:val="true"/>
              </w:rPr>
              <w:t>القول فی قسمته و مستحقّه</w:t>
            </w:r>
            <w:r>
              <w:rPr>
                <w:rStyle w:val="IndexLink"/>
                <w:rtl w:val="true"/>
              </w:rPr>
              <w:t>]</w:t>
              <w:tab/>
            </w:r>
            <w:r>
              <w:rPr>
                <w:rStyle w:val="IndexLink"/>
              </w:rPr>
              <w:t>398</w:t>
            </w:r>
          </w:hyperlink>
        </w:p>
        <w:p>
          <w:pPr>
            <w:pStyle w:val="Contents4"/>
            <w:tabs>
              <w:tab w:val="clear" w:pos="8176"/>
              <w:tab w:val="right" w:pos="9026" w:leader="dot"/>
            </w:tabs>
            <w:rPr/>
          </w:pPr>
          <w:hyperlink w:anchor="__RefHeading___Toc2568152_3650668749">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256815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یقسّم الخمس ستّة أسهم</w:t>
            </w:r>
            <w:r>
              <w:rPr>
                <w:rStyle w:val="IndexLink"/>
                <w:rtl w:val="true"/>
              </w:rPr>
              <w:t>]</w:t>
              <w:tab/>
            </w:r>
            <w:r>
              <w:rPr>
                <w:rStyle w:val="IndexLink"/>
              </w:rPr>
              <w:t>398</w:t>
            </w:r>
          </w:hyperlink>
        </w:p>
        <w:p>
          <w:pPr>
            <w:pStyle w:val="Contents4"/>
            <w:tabs>
              <w:tab w:val="clear" w:pos="8176"/>
              <w:tab w:val="right" w:pos="9026" w:leader="dot"/>
            </w:tabs>
            <w:rPr/>
          </w:pPr>
          <w:hyperlink w:anchor="__RefHeading___Toc256815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یعتبر الإیمان أو ما فی حکمه فی جمیع مستحقّی الخمس</w:t>
            </w:r>
            <w:r>
              <w:rPr>
                <w:rStyle w:val="IndexLink"/>
                <w:rtl w:val="true"/>
              </w:rPr>
              <w:t>]</w:t>
              <w:tab/>
            </w:r>
            <w:r>
              <w:rPr>
                <w:rStyle w:val="IndexLink"/>
              </w:rPr>
              <w:t>398</w:t>
            </w:r>
          </w:hyperlink>
        </w:p>
        <w:p>
          <w:pPr>
            <w:pStyle w:val="Contents4"/>
            <w:tabs>
              <w:tab w:val="clear" w:pos="8176"/>
              <w:tab w:val="right" w:pos="9026" w:leader="dot"/>
            </w:tabs>
            <w:rPr/>
          </w:pPr>
          <w:hyperlink w:anchor="__RefHeading___Toc256815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الأقوی اعتبار الفقر فی الیتامیٰ</w:t>
            </w:r>
            <w:r>
              <w:rPr>
                <w:rStyle w:val="IndexLink"/>
                <w:rtl w:val="true"/>
              </w:rPr>
              <w:t>]</w:t>
              <w:tab/>
            </w:r>
            <w:r>
              <w:rPr>
                <w:rStyle w:val="IndexLink"/>
              </w:rPr>
              <w:t>398</w:t>
            </w:r>
          </w:hyperlink>
        </w:p>
        <w:p>
          <w:pPr>
            <w:pStyle w:val="Contents4"/>
            <w:tabs>
              <w:tab w:val="clear" w:pos="8176"/>
              <w:tab w:val="right" w:pos="9026" w:leader="dot"/>
            </w:tabs>
            <w:rPr/>
          </w:pPr>
          <w:hyperlink w:anchor="__RefHeading___Toc256816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الأحوط إن لم یکن أقوی عدم دفع من علیه الخمس لمن تجب نفقته علیه</w:t>
            </w:r>
            <w:r>
              <w:rPr>
                <w:rStyle w:val="IndexLink"/>
                <w:rtl w:val="true"/>
              </w:rPr>
              <w:t>]</w:t>
              <w:tab/>
            </w:r>
            <w:r>
              <w:rPr>
                <w:rStyle w:val="IndexLink"/>
              </w:rPr>
              <w:t>398</w:t>
            </w:r>
          </w:hyperlink>
        </w:p>
        <w:p>
          <w:pPr>
            <w:pStyle w:val="Contents4"/>
            <w:tabs>
              <w:tab w:val="clear" w:pos="8176"/>
              <w:tab w:val="right" w:pos="9026" w:leader="dot"/>
            </w:tabs>
            <w:rPr/>
          </w:pPr>
          <w:hyperlink w:anchor="__RefHeading___Toc256816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یصدّق مدّعی السیادة بمجرّد دعواه</w:t>
            </w:r>
            <w:r>
              <w:rPr>
                <w:rStyle w:val="IndexLink"/>
                <w:rtl w:val="true"/>
              </w:rPr>
              <w:t>]</w:t>
              <w:tab/>
            </w:r>
            <w:r>
              <w:rPr>
                <w:rStyle w:val="IndexLink"/>
              </w:rPr>
              <w:t>398</w:t>
            </w:r>
          </w:hyperlink>
        </w:p>
        <w:p>
          <w:pPr>
            <w:pStyle w:val="Contents4"/>
            <w:tabs>
              <w:tab w:val="clear" w:pos="8176"/>
              <w:tab w:val="right" w:pos="9026" w:leader="dot"/>
            </w:tabs>
            <w:rPr/>
          </w:pPr>
          <w:hyperlink w:anchor="__RefHeading___Toc2568164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الأحوط عدم دفع الخمس إلی المستحقّ أزید من مئونة سنة و لو دفعة</w:t>
            </w:r>
            <w:r>
              <w:rPr>
                <w:rStyle w:val="IndexLink"/>
                <w:rtl w:val="true"/>
              </w:rPr>
              <w:t>]</w:t>
              <w:tab/>
            </w:r>
            <w:r>
              <w:rPr>
                <w:rStyle w:val="IndexLink"/>
              </w:rPr>
              <w:t>398</w:t>
            </w:r>
          </w:hyperlink>
        </w:p>
        <w:p>
          <w:pPr>
            <w:pStyle w:val="Contents4"/>
            <w:tabs>
              <w:tab w:val="clear" w:pos="8176"/>
              <w:tab w:val="right" w:pos="9026" w:leader="dot"/>
            </w:tabs>
            <w:rPr/>
          </w:pPr>
          <w:hyperlink w:anchor="__RefHeading___Toc2568166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النصف من الخمس الذی للأصناف الثلاثة أمره بید المالک</w:t>
            </w:r>
            <w:r>
              <w:rPr>
                <w:rStyle w:val="IndexLink"/>
                <w:rtl w:val="true"/>
              </w:rPr>
              <w:t>]</w:t>
              <w:tab/>
            </w:r>
            <w:r>
              <w:rPr>
                <w:rStyle w:val="IndexLink"/>
              </w:rPr>
              <w:t>399</w:t>
            </w:r>
          </w:hyperlink>
        </w:p>
        <w:p>
          <w:pPr>
            <w:pStyle w:val="Contents4"/>
            <w:tabs>
              <w:tab w:val="clear" w:pos="8176"/>
              <w:tab w:val="right" w:pos="9026" w:leader="dot"/>
            </w:tabs>
            <w:rPr/>
          </w:pPr>
          <w:hyperlink w:anchor="__RefHeading___Toc2568168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الأقویٰ جواز نقل الخمس إلیٰ بلد آخر</w:t>
            </w:r>
            <w:r>
              <w:rPr>
                <w:rStyle w:val="IndexLink"/>
                <w:rtl w:val="true"/>
              </w:rPr>
              <w:t>]</w:t>
              <w:tab/>
            </w:r>
            <w:r>
              <w:rPr>
                <w:rStyle w:val="IndexLink"/>
              </w:rPr>
              <w:t>399</w:t>
            </w:r>
          </w:hyperlink>
        </w:p>
        <w:p>
          <w:pPr>
            <w:pStyle w:val="Contents4"/>
            <w:tabs>
              <w:tab w:val="clear" w:pos="8176"/>
              <w:tab w:val="right" w:pos="9026" w:leader="dot"/>
            </w:tabs>
            <w:rPr/>
          </w:pPr>
          <w:hyperlink w:anchor="__RefHeading___Toc2568170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 xml:space="preserve">لو کان المجتهد الجامع للشرائط فی غیر بلده یتعیّن نقل حصّة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إلیه</w:t>
            </w:r>
            <w:r>
              <w:rPr>
                <w:rStyle w:val="IndexLink"/>
                <w:rtl w:val="true"/>
              </w:rPr>
              <w:t>]</w:t>
              <w:tab/>
            </w:r>
            <w:r>
              <w:rPr>
                <w:rStyle w:val="IndexLink"/>
              </w:rPr>
              <w:t>399</w:t>
            </w:r>
          </w:hyperlink>
        </w:p>
        <w:p>
          <w:pPr>
            <w:pStyle w:val="Contents4"/>
            <w:tabs>
              <w:tab w:val="clear" w:pos="8176"/>
              <w:tab w:val="right" w:pos="9026" w:leader="dot"/>
            </w:tabs>
            <w:rPr/>
          </w:pPr>
          <w:hyperlink w:anchor="__RefHeading___Toc2568172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یجوز للمالک أن یدفع الخمس من مال آخر</w:t>
            </w:r>
            <w:r>
              <w:rPr>
                <w:rStyle w:val="IndexLink"/>
                <w:rtl w:val="true"/>
              </w:rPr>
              <w:t>]</w:t>
              <w:tab/>
            </w:r>
            <w:r>
              <w:rPr>
                <w:rStyle w:val="IndexLink"/>
              </w:rPr>
              <w:t>399</w:t>
            </w:r>
          </w:hyperlink>
        </w:p>
        <w:p>
          <w:pPr>
            <w:pStyle w:val="Contents4"/>
            <w:tabs>
              <w:tab w:val="clear" w:pos="8176"/>
              <w:tab w:val="right" w:pos="9026" w:leader="dot"/>
            </w:tabs>
            <w:rPr/>
          </w:pPr>
          <w:hyperlink w:anchor="__RefHeading___Toc2568174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إذا کان له فی ذمّة المستحقّ دین جاز له احتسابه خمساً</w:t>
            </w:r>
            <w:r>
              <w:rPr>
                <w:rStyle w:val="IndexLink"/>
                <w:rtl w:val="true"/>
              </w:rPr>
              <w:t>]</w:t>
              <w:tab/>
            </w:r>
            <w:r>
              <w:rPr>
                <w:rStyle w:val="IndexLink"/>
              </w:rPr>
              <w:t>400</w:t>
            </w:r>
          </w:hyperlink>
        </w:p>
        <w:p>
          <w:pPr>
            <w:pStyle w:val="Contents4"/>
            <w:tabs>
              <w:tab w:val="clear" w:pos="8176"/>
              <w:tab w:val="right" w:pos="9026" w:leader="dot"/>
            </w:tabs>
            <w:rPr/>
          </w:pPr>
          <w:hyperlink w:anchor="__RefHeading___Toc2568176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لا یجوز للمستحقّ أن یأخذ من باب الخمس و یردّه علی المالک إلّا فی بعض الأحوال</w:t>
            </w:r>
            <w:r>
              <w:rPr>
                <w:rStyle w:val="IndexLink"/>
                <w:rtl w:val="true"/>
              </w:rPr>
              <w:t>]</w:t>
              <w:tab/>
            </w:r>
            <w:r>
              <w:rPr>
                <w:rStyle w:val="IndexLink"/>
              </w:rPr>
              <w:t>400</w:t>
            </w:r>
          </w:hyperlink>
        </w:p>
        <w:p>
          <w:pPr>
            <w:pStyle w:val="Contents4"/>
            <w:tabs>
              <w:tab w:val="clear" w:pos="8176"/>
              <w:tab w:val="right" w:pos="9026" w:leader="dot"/>
            </w:tabs>
            <w:rPr/>
          </w:pPr>
          <w:hyperlink w:anchor="__RefHeading___Toc2568178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إذا انتقل إلیٰ شخص مال فیه الخمس ممّن لا یعتقد وجوبه کالکفّار</w:t>
            </w:r>
            <w:r>
              <w:rPr>
                <w:rStyle w:val="IndexLink"/>
                <w:rtl w:val="true"/>
              </w:rPr>
              <w:t>]</w:t>
              <w:tab/>
            </w:r>
            <w:r>
              <w:rPr>
                <w:rStyle w:val="IndexLink"/>
              </w:rPr>
              <w:t>400</w:t>
            </w:r>
          </w:hyperlink>
        </w:p>
        <w:p>
          <w:pPr>
            <w:pStyle w:val="Contents3"/>
            <w:tabs>
              <w:tab w:val="clear" w:pos="8459"/>
              <w:tab w:val="right" w:pos="9026" w:leader="dot"/>
            </w:tabs>
            <w:rPr/>
          </w:pPr>
          <w:hyperlink w:anchor="__RefHeading___Toc2568180_3650668749">
            <w:r>
              <w:rPr>
                <w:webHidden/>
                <w:rStyle w:val="IndexLink"/>
                <w:rtl w:val="true"/>
              </w:rPr>
              <w:t>[</w:t>
            </w:r>
            <w:r>
              <w:rPr>
                <w:rStyle w:val="IndexLink"/>
                <w:rtl w:val="true"/>
              </w:rPr>
              <w:t>القول فی الأنفال</w:t>
            </w:r>
            <w:r>
              <w:rPr>
                <w:rStyle w:val="IndexLink"/>
                <w:rtl w:val="true"/>
              </w:rPr>
              <w:t>]</w:t>
              <w:tab/>
            </w:r>
            <w:r>
              <w:rPr>
                <w:rStyle w:val="IndexLink"/>
              </w:rPr>
              <w:t>400</w:t>
            </w:r>
          </w:hyperlink>
        </w:p>
        <w:p>
          <w:pPr>
            <w:pStyle w:val="Contents4"/>
            <w:tabs>
              <w:tab w:val="clear" w:pos="8176"/>
              <w:tab w:val="right" w:pos="9026" w:leader="dot"/>
            </w:tabs>
            <w:rPr/>
          </w:pPr>
          <w:hyperlink w:anchor="__RefHeading___Toc2568182_3650668749">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2568184_3650668749">
            <w:r>
              <w:rPr>
                <w:webHidden/>
                <w:rStyle w:val="IndexLink"/>
                <w:rtl w:val="true"/>
              </w:rPr>
              <w:t>[</w:t>
            </w:r>
            <w:r>
              <w:rPr>
                <w:rStyle w:val="IndexLink"/>
                <w:rtl w:val="true"/>
              </w:rPr>
              <w:t>و هی أُمور</w:t>
            </w:r>
            <w:r>
              <w:rPr>
                <w:rStyle w:val="IndexLink"/>
                <w:rtl w:val="true"/>
              </w:rPr>
              <w:t>]</w:t>
              <w:tab/>
            </w:r>
            <w:r>
              <w:rPr>
                <w:rStyle w:val="IndexLink"/>
              </w:rPr>
              <w:t>400</w:t>
            </w:r>
          </w:hyperlink>
        </w:p>
        <w:p>
          <w:pPr>
            <w:pStyle w:val="Contents5"/>
            <w:tabs>
              <w:tab w:val="clear" w:pos="7892"/>
              <w:tab w:val="right" w:pos="9026" w:leader="dot"/>
            </w:tabs>
            <w:rPr/>
          </w:pPr>
          <w:hyperlink w:anchor="__RefHeading___Toc2568186_3650668749">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2568188_3650668749">
            <w:r>
              <w:rPr>
                <w:webHidden/>
                <w:rStyle w:val="IndexLink"/>
                <w:rtl w:val="true"/>
              </w:rPr>
              <w:t>[</w:t>
            </w:r>
            <w:r>
              <w:rPr>
                <w:rStyle w:val="IndexLink"/>
                <w:rtl w:val="true"/>
              </w:rPr>
              <w:t>منها</w:t>
            </w:r>
            <w:r>
              <w:rPr>
                <w:rStyle w:val="IndexLink"/>
                <w:rtl w:val="true"/>
              </w:rPr>
              <w:t xml:space="preserve">: </w:t>
            </w:r>
            <w:r>
              <w:rPr>
                <w:rStyle w:val="IndexLink"/>
                <w:rtl w:val="true"/>
              </w:rPr>
              <w:t>الأرض التی لم یوجف علیها بخیل و لا رکاب</w:t>
            </w:r>
            <w:r>
              <w:rPr>
                <w:rStyle w:val="IndexLink"/>
                <w:rtl w:val="true"/>
              </w:rPr>
              <w:t>]</w:t>
              <w:tab/>
            </w:r>
            <w:r>
              <w:rPr>
                <w:rStyle w:val="IndexLink"/>
              </w:rPr>
              <w:t>400</w:t>
            </w:r>
          </w:hyperlink>
        </w:p>
        <w:p>
          <w:pPr>
            <w:pStyle w:val="Contents5"/>
            <w:tabs>
              <w:tab w:val="clear" w:pos="7892"/>
              <w:tab w:val="right" w:pos="9026" w:leader="dot"/>
            </w:tabs>
            <w:rPr/>
          </w:pPr>
          <w:hyperlink w:anchor="__RefHeading___Toc2568190_3650668749">
            <w:r>
              <w:rPr>
                <w:webHidden/>
                <w:rStyle w:val="IndexLink"/>
                <w:rtl w:val="true"/>
              </w:rPr>
              <w:t>[</w:t>
            </w:r>
            <w:r>
              <w:rPr>
                <w:rStyle w:val="IndexLink"/>
                <w:rtl w:val="true"/>
              </w:rPr>
              <w:t>و منها</w:t>
            </w:r>
            <w:r>
              <w:rPr>
                <w:rStyle w:val="IndexLink"/>
                <w:rtl w:val="true"/>
              </w:rPr>
              <w:t xml:space="preserve">: </w:t>
            </w:r>
            <w:r>
              <w:rPr>
                <w:rStyle w:val="IndexLink"/>
                <w:rtl w:val="true"/>
              </w:rPr>
              <w:t>الأرض الموات التی لا ینتفع بها إلّا بتعمیرها</w:t>
            </w:r>
            <w:r>
              <w:rPr>
                <w:rStyle w:val="IndexLink"/>
                <w:rtl w:val="true"/>
              </w:rPr>
              <w:t>]</w:t>
              <w:tab/>
            </w:r>
            <w:r>
              <w:rPr>
                <w:rStyle w:val="IndexLink"/>
              </w:rPr>
              <w:t>400</w:t>
            </w:r>
          </w:hyperlink>
        </w:p>
        <w:p>
          <w:pPr>
            <w:pStyle w:val="Contents5"/>
            <w:tabs>
              <w:tab w:val="clear" w:pos="7892"/>
              <w:tab w:val="right" w:pos="9026" w:leader="dot"/>
            </w:tabs>
            <w:rPr/>
          </w:pPr>
          <w:hyperlink w:anchor="__RefHeading___Toc2568192_3650668749">
            <w:r>
              <w:rPr>
                <w:webHidden/>
                <w:rStyle w:val="IndexLink"/>
                <w:rtl w:val="true"/>
              </w:rPr>
              <w:t>[</w:t>
            </w:r>
            <w:r>
              <w:rPr>
                <w:rStyle w:val="IndexLink"/>
                <w:rtl w:val="true"/>
              </w:rPr>
              <w:t>و منها</w:t>
            </w:r>
            <w:r>
              <w:rPr>
                <w:rStyle w:val="IndexLink"/>
                <w:rtl w:val="true"/>
              </w:rPr>
              <w:t xml:space="preserve">: </w:t>
            </w:r>
            <w:r>
              <w:rPr>
                <w:rStyle w:val="IndexLink"/>
                <w:rtl w:val="true"/>
              </w:rPr>
              <w:t>سیف البحار و شطوط الأنهار</w:t>
            </w:r>
            <w:r>
              <w:rPr>
                <w:rStyle w:val="IndexLink"/>
                <w:rtl w:val="true"/>
              </w:rPr>
              <w:t>]</w:t>
              <w:tab/>
            </w:r>
            <w:r>
              <w:rPr>
                <w:rStyle w:val="IndexLink"/>
              </w:rPr>
              <w:t>401</w:t>
            </w:r>
          </w:hyperlink>
        </w:p>
        <w:p>
          <w:pPr>
            <w:pStyle w:val="Contents5"/>
            <w:tabs>
              <w:tab w:val="clear" w:pos="7892"/>
              <w:tab w:val="right" w:pos="9026" w:leader="dot"/>
            </w:tabs>
            <w:rPr/>
          </w:pPr>
          <w:hyperlink w:anchor="__RefHeading___Toc2568194_3650668749">
            <w:r>
              <w:rPr>
                <w:webHidden/>
                <w:rStyle w:val="IndexLink"/>
                <w:rtl w:val="true"/>
              </w:rPr>
              <w:t>[</w:t>
            </w:r>
            <w:r>
              <w:rPr>
                <w:rStyle w:val="IndexLink"/>
                <w:rtl w:val="true"/>
              </w:rPr>
              <w:t>و منها</w:t>
            </w:r>
            <w:r>
              <w:rPr>
                <w:rStyle w:val="IndexLink"/>
                <w:rtl w:val="true"/>
              </w:rPr>
              <w:t xml:space="preserve">: </w:t>
            </w:r>
            <w:r>
              <w:rPr>
                <w:rStyle w:val="IndexLink"/>
                <w:rtl w:val="true"/>
              </w:rPr>
              <w:t>رؤوس الجبال</w:t>
            </w:r>
            <w:r>
              <w:rPr>
                <w:rStyle w:val="IndexLink"/>
                <w:rtl w:val="true"/>
              </w:rPr>
              <w:t>]</w:t>
              <w:tab/>
            </w:r>
            <w:r>
              <w:rPr>
                <w:rStyle w:val="IndexLink"/>
              </w:rPr>
              <w:t>401</w:t>
            </w:r>
          </w:hyperlink>
        </w:p>
        <w:p>
          <w:pPr>
            <w:pStyle w:val="Contents5"/>
            <w:tabs>
              <w:tab w:val="clear" w:pos="7892"/>
              <w:tab w:val="right" w:pos="9026" w:leader="dot"/>
            </w:tabs>
            <w:rPr/>
          </w:pPr>
          <w:hyperlink w:anchor="__RefHeading___Toc2568196_3650668749">
            <w:r>
              <w:rPr>
                <w:webHidden/>
                <w:rStyle w:val="IndexLink"/>
                <w:rtl w:val="true"/>
              </w:rPr>
              <w:t>[</w:t>
            </w:r>
            <w:r>
              <w:rPr>
                <w:rStyle w:val="IndexLink"/>
                <w:rtl w:val="true"/>
              </w:rPr>
              <w:t>و منها</w:t>
            </w:r>
            <w:r>
              <w:rPr>
                <w:rStyle w:val="IndexLink"/>
                <w:rtl w:val="true"/>
              </w:rPr>
              <w:t xml:space="preserve">: </w:t>
            </w:r>
            <w:r>
              <w:rPr>
                <w:rStyle w:val="IndexLink"/>
                <w:rtl w:val="true"/>
              </w:rPr>
              <w:t>ما کان للملوک من قطائع و صفایا</w:t>
            </w:r>
            <w:r>
              <w:rPr>
                <w:rStyle w:val="IndexLink"/>
                <w:rtl w:val="true"/>
              </w:rPr>
              <w:t>]</w:t>
              <w:tab/>
            </w:r>
            <w:r>
              <w:rPr>
                <w:rStyle w:val="IndexLink"/>
              </w:rPr>
              <w:t>401</w:t>
            </w:r>
          </w:hyperlink>
        </w:p>
        <w:p>
          <w:pPr>
            <w:pStyle w:val="Contents5"/>
            <w:tabs>
              <w:tab w:val="clear" w:pos="7892"/>
              <w:tab w:val="right" w:pos="9026" w:leader="dot"/>
            </w:tabs>
            <w:rPr/>
          </w:pPr>
          <w:hyperlink w:anchor="__RefHeading___Toc2568198_3650668749">
            <w:r>
              <w:rPr>
                <w:webHidden/>
                <w:rStyle w:val="IndexLink"/>
                <w:rtl w:val="true"/>
              </w:rPr>
              <w:t>[</w:t>
            </w:r>
            <w:r>
              <w:rPr>
                <w:rStyle w:val="IndexLink"/>
                <w:rtl w:val="true"/>
              </w:rPr>
              <w:t>و منها</w:t>
            </w:r>
            <w:r>
              <w:rPr>
                <w:rStyle w:val="IndexLink"/>
                <w:rtl w:val="true"/>
              </w:rPr>
              <w:t xml:space="preserve">: </w:t>
            </w:r>
            <w:r>
              <w:rPr>
                <w:rStyle w:val="IndexLink"/>
                <w:rtl w:val="true"/>
              </w:rPr>
              <w:t>صفو الغنیمة</w:t>
            </w:r>
            <w:r>
              <w:rPr>
                <w:rStyle w:val="IndexLink"/>
                <w:rtl w:val="true"/>
              </w:rPr>
              <w:t>]</w:t>
              <w:tab/>
            </w:r>
            <w:r>
              <w:rPr>
                <w:rStyle w:val="IndexLink"/>
              </w:rPr>
              <w:t>401</w:t>
            </w:r>
          </w:hyperlink>
        </w:p>
        <w:p>
          <w:pPr>
            <w:pStyle w:val="Contents5"/>
            <w:tabs>
              <w:tab w:val="clear" w:pos="7892"/>
              <w:tab w:val="right" w:pos="9026" w:leader="dot"/>
            </w:tabs>
            <w:rPr/>
          </w:pPr>
          <w:hyperlink w:anchor="__RefHeading___Toc2568200_3650668749">
            <w:r>
              <w:rPr>
                <w:webHidden/>
                <w:rStyle w:val="IndexLink"/>
                <w:rtl w:val="true"/>
              </w:rPr>
              <w:t>[</w:t>
            </w:r>
            <w:r>
              <w:rPr>
                <w:rStyle w:val="IndexLink"/>
                <w:rtl w:val="true"/>
              </w:rPr>
              <w:t>و منها</w:t>
            </w:r>
            <w:r>
              <w:rPr>
                <w:rStyle w:val="IndexLink"/>
                <w:rtl w:val="true"/>
              </w:rPr>
              <w:t xml:space="preserve">: </w:t>
            </w:r>
            <w:r>
              <w:rPr>
                <w:rStyle w:val="IndexLink"/>
                <w:rtl w:val="true"/>
              </w:rPr>
              <w:t>الغنائم</w:t>
            </w:r>
            <w:r>
              <w:rPr>
                <w:rStyle w:val="IndexLink"/>
                <w:rtl w:val="true"/>
              </w:rPr>
              <w:t>]</w:t>
              <w:tab/>
            </w:r>
            <w:r>
              <w:rPr>
                <w:rStyle w:val="IndexLink"/>
              </w:rPr>
              <w:t>401</w:t>
            </w:r>
          </w:hyperlink>
        </w:p>
        <w:p>
          <w:pPr>
            <w:pStyle w:val="Contents5"/>
            <w:tabs>
              <w:tab w:val="clear" w:pos="7892"/>
              <w:tab w:val="right" w:pos="9026" w:leader="dot"/>
            </w:tabs>
            <w:rPr/>
          </w:pPr>
          <w:hyperlink w:anchor="__RefHeading___Toc2568202_3650668749">
            <w:r>
              <w:rPr>
                <w:webHidden/>
                <w:rStyle w:val="IndexLink"/>
                <w:rtl w:val="true"/>
              </w:rPr>
              <w:t>[</w:t>
            </w:r>
            <w:r>
              <w:rPr>
                <w:rStyle w:val="IndexLink"/>
                <w:rtl w:val="true"/>
              </w:rPr>
              <w:t>و منها</w:t>
            </w:r>
            <w:r>
              <w:rPr>
                <w:rStyle w:val="IndexLink"/>
                <w:rtl w:val="true"/>
              </w:rPr>
              <w:t xml:space="preserve">: </w:t>
            </w:r>
            <w:r>
              <w:rPr>
                <w:rStyle w:val="IndexLink"/>
                <w:rtl w:val="true"/>
              </w:rPr>
              <w:t>إرث من لا وارث له</w:t>
            </w:r>
            <w:r>
              <w:rPr>
                <w:rStyle w:val="IndexLink"/>
                <w:rtl w:val="true"/>
              </w:rPr>
              <w:t>]</w:t>
              <w:tab/>
            </w:r>
            <w:r>
              <w:rPr>
                <w:rStyle w:val="IndexLink"/>
              </w:rPr>
              <w:t>401</w:t>
            </w:r>
          </w:hyperlink>
        </w:p>
        <w:p>
          <w:pPr>
            <w:pStyle w:val="Contents5"/>
            <w:tabs>
              <w:tab w:val="clear" w:pos="7892"/>
              <w:tab w:val="right" w:pos="9026" w:leader="dot"/>
            </w:tabs>
            <w:rPr/>
          </w:pPr>
          <w:hyperlink w:anchor="__RefHeading___Toc2568204_3650668749">
            <w:r>
              <w:rPr>
                <w:webHidden/>
                <w:rStyle w:val="IndexLink"/>
                <w:rtl w:val="true"/>
              </w:rPr>
              <w:t>[</w:t>
            </w:r>
            <w:r>
              <w:rPr>
                <w:rStyle w:val="IndexLink"/>
                <w:rtl w:val="true"/>
              </w:rPr>
              <w:t>و منها</w:t>
            </w:r>
            <w:r>
              <w:rPr>
                <w:rStyle w:val="IndexLink"/>
                <w:rtl w:val="true"/>
              </w:rPr>
              <w:t xml:space="preserve">: </w:t>
            </w:r>
            <w:r>
              <w:rPr>
                <w:rStyle w:val="IndexLink"/>
                <w:rtl w:val="true"/>
              </w:rPr>
              <w:t>المعادن</w:t>
            </w:r>
            <w:r>
              <w:rPr>
                <w:rStyle w:val="IndexLink"/>
                <w:rtl w:val="true"/>
              </w:rPr>
              <w:t>]</w:t>
              <w:tab/>
            </w:r>
            <w:r>
              <w:rPr>
                <w:rStyle w:val="IndexLink"/>
              </w:rPr>
              <w:t>401</w:t>
            </w:r>
          </w:hyperlink>
        </w:p>
        <w:p>
          <w:pPr>
            <w:pStyle w:val="Contents4"/>
            <w:tabs>
              <w:tab w:val="clear" w:pos="8176"/>
              <w:tab w:val="right" w:pos="9026" w:leader="dot"/>
            </w:tabs>
            <w:rPr/>
          </w:pPr>
          <w:hyperlink w:anchor="__RefHeading___Toc256820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الظاهر إباحة جمیع الأنفال للشیعة فی زمن الغیبة</w:t>
            </w:r>
            <w:r>
              <w:rPr>
                <w:rStyle w:val="IndexLink"/>
                <w:rtl w:val="true"/>
              </w:rPr>
              <w:t>]</w:t>
              <w:tab/>
            </w:r>
            <w:r>
              <w:rPr>
                <w:rStyle w:val="IndexLink"/>
              </w:rPr>
              <w:t>401</w:t>
            </w:r>
          </w:hyperlink>
        </w:p>
        <w:p>
          <w:pPr>
            <w:pStyle w:val="Contents2"/>
            <w:tabs>
              <w:tab w:val="clear" w:pos="8743"/>
              <w:tab w:val="right" w:pos="9026" w:leader="dot"/>
            </w:tabs>
            <w:rPr/>
          </w:pPr>
          <w:hyperlink w:anchor="__RefHeading___Toc2568208_3650668749">
            <w:r>
              <w:rPr>
                <w:webHidden/>
                <w:rStyle w:val="IndexLink"/>
                <w:rtl w:val="true"/>
              </w:rPr>
              <w:t>[</w:t>
            </w:r>
            <w:r>
              <w:rPr>
                <w:rStyle w:val="IndexLink"/>
                <w:rtl w:val="true"/>
              </w:rPr>
              <w:t>کتاب المکاسب و المتاجِر</w:t>
            </w:r>
            <w:r>
              <w:rPr>
                <w:rStyle w:val="IndexLink"/>
                <w:rtl w:val="true"/>
              </w:rPr>
              <w:t>]</w:t>
              <w:tab/>
            </w:r>
            <w:r>
              <w:rPr>
                <w:rStyle w:val="IndexLink"/>
              </w:rPr>
              <w:t>402</w:t>
            </w:r>
          </w:hyperlink>
        </w:p>
        <w:p>
          <w:pPr>
            <w:pStyle w:val="Contents3"/>
            <w:tabs>
              <w:tab w:val="clear" w:pos="8459"/>
              <w:tab w:val="right" w:pos="9026" w:leader="dot"/>
            </w:tabs>
            <w:rPr/>
          </w:pPr>
          <w:hyperlink w:anchor="__RefHeading___Toc2568210_3650668749">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256821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یجوز التکسّب بالأعیان النجسة بجمیع أنواعها</w:t>
            </w:r>
            <w:r>
              <w:rPr>
                <w:rStyle w:val="IndexLink"/>
                <w:rtl w:val="true"/>
              </w:rPr>
              <w:t>]</w:t>
              <w:tab/>
            </w:r>
            <w:r>
              <w:rPr>
                <w:rStyle w:val="IndexLink"/>
              </w:rPr>
              <w:t>402</w:t>
            </w:r>
          </w:hyperlink>
        </w:p>
        <w:p>
          <w:pPr>
            <w:pStyle w:val="Contents3"/>
            <w:tabs>
              <w:tab w:val="clear" w:pos="8459"/>
              <w:tab w:val="right" w:pos="9026" w:leader="dot"/>
            </w:tabs>
            <w:rPr/>
          </w:pPr>
          <w:hyperlink w:anchor="__RefHeading___Toc256821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الأعیان النجسة عدا ما استثنی</w:t>
            </w:r>
            <w:r>
              <w:rPr>
                <w:rStyle w:val="IndexLink"/>
                <w:rtl w:val="true"/>
              </w:rPr>
              <w:t>]</w:t>
              <w:tab/>
            </w:r>
            <w:r>
              <w:rPr>
                <w:rStyle w:val="IndexLink"/>
              </w:rPr>
              <w:t>402</w:t>
            </w:r>
          </w:hyperlink>
        </w:p>
        <w:p>
          <w:pPr>
            <w:pStyle w:val="Contents3"/>
            <w:tabs>
              <w:tab w:val="clear" w:pos="8459"/>
              <w:tab w:val="right" w:pos="9026" w:leader="dot"/>
            </w:tabs>
            <w:rPr/>
          </w:pPr>
          <w:hyperlink w:anchor="__RefHeading___Toc256821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إشکال فی جواز بیع ما لا تحلّه الحیاة من أجزاء المیتة</w:t>
            </w:r>
            <w:r>
              <w:rPr>
                <w:rStyle w:val="IndexLink"/>
                <w:rtl w:val="true"/>
              </w:rPr>
              <w:t>]</w:t>
              <w:tab/>
            </w:r>
            <w:r>
              <w:rPr>
                <w:rStyle w:val="IndexLink"/>
              </w:rPr>
              <w:t>403</w:t>
            </w:r>
          </w:hyperlink>
        </w:p>
        <w:p>
          <w:pPr>
            <w:pStyle w:val="Contents3"/>
            <w:tabs>
              <w:tab w:val="clear" w:pos="8459"/>
              <w:tab w:val="right" w:pos="9026" w:leader="dot"/>
            </w:tabs>
            <w:rPr/>
          </w:pPr>
          <w:hyperlink w:anchor="__RefHeading___Toc256821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لا إشکال فی جواز بیع الأرواث الطاهرة إذا کانت لها منفعة</w:t>
            </w:r>
            <w:r>
              <w:rPr>
                <w:rStyle w:val="IndexLink"/>
                <w:rtl w:val="true"/>
              </w:rPr>
              <w:t>]</w:t>
              <w:tab/>
            </w:r>
            <w:r>
              <w:rPr>
                <w:rStyle w:val="IndexLink"/>
              </w:rPr>
              <w:t>403</w:t>
            </w:r>
          </w:hyperlink>
        </w:p>
        <w:p>
          <w:pPr>
            <w:pStyle w:val="Contents3"/>
            <w:tabs>
              <w:tab w:val="clear" w:pos="8459"/>
              <w:tab w:val="right" w:pos="9026" w:leader="dot"/>
            </w:tabs>
            <w:rPr/>
          </w:pPr>
          <w:hyperlink w:anchor="__RefHeading___Toc256822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إشکال فی جواز بیع المتنجّس الذی یقبل التطهیر</w:t>
            </w:r>
            <w:r>
              <w:rPr>
                <w:rStyle w:val="IndexLink"/>
                <w:rtl w:val="true"/>
              </w:rPr>
              <w:t>]</w:t>
              <w:tab/>
            </w:r>
            <w:r>
              <w:rPr>
                <w:rStyle w:val="IndexLink"/>
              </w:rPr>
              <w:t>403</w:t>
            </w:r>
          </w:hyperlink>
        </w:p>
        <w:p>
          <w:pPr>
            <w:pStyle w:val="Contents3"/>
            <w:tabs>
              <w:tab w:val="clear" w:pos="8459"/>
              <w:tab w:val="right" w:pos="9026" w:leader="dot"/>
            </w:tabs>
            <w:rPr/>
          </w:pPr>
          <w:hyperlink w:anchor="__RefHeading___Toc256822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لا بأس ببیع التریاق المشتمل علیٰ لحوم الأفاعی</w:t>
            </w:r>
            <w:r>
              <w:rPr>
                <w:rStyle w:val="IndexLink"/>
                <w:rtl w:val="true"/>
              </w:rPr>
              <w:t>]</w:t>
              <w:tab/>
            </w:r>
            <w:r>
              <w:rPr>
                <w:rStyle w:val="IndexLink"/>
              </w:rPr>
              <w:t>403</w:t>
            </w:r>
          </w:hyperlink>
        </w:p>
        <w:p>
          <w:pPr>
            <w:pStyle w:val="Contents3"/>
            <w:tabs>
              <w:tab w:val="clear" w:pos="8459"/>
              <w:tab w:val="right" w:pos="9026" w:leader="dot"/>
            </w:tabs>
            <w:rPr/>
          </w:pPr>
          <w:hyperlink w:anchor="__RefHeading___Toc256822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یجوز بیع الهرّة و یحلّ ثمنها بلا إشکال</w:t>
            </w:r>
            <w:r>
              <w:rPr>
                <w:rStyle w:val="IndexLink"/>
                <w:rtl w:val="true"/>
              </w:rPr>
              <w:t>]</w:t>
              <w:tab/>
            </w:r>
            <w:r>
              <w:rPr>
                <w:rStyle w:val="IndexLink"/>
              </w:rPr>
              <w:t>404</w:t>
            </w:r>
          </w:hyperlink>
        </w:p>
        <w:p>
          <w:pPr>
            <w:pStyle w:val="Contents3"/>
            <w:tabs>
              <w:tab w:val="clear" w:pos="8459"/>
              <w:tab w:val="right" w:pos="9026" w:leader="dot"/>
            </w:tabs>
            <w:rPr/>
          </w:pPr>
          <w:hyperlink w:anchor="__RefHeading___Toc256822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یحرم بیع کلّ ما کان آلةً للحرام بحیث کانت منفعته المقصودة منحصرة فیه</w:t>
            </w:r>
            <w:r>
              <w:rPr>
                <w:rStyle w:val="IndexLink"/>
                <w:rtl w:val="true"/>
              </w:rPr>
              <w:t>]</w:t>
              <w:tab/>
            </w:r>
            <w:r>
              <w:rPr>
                <w:rStyle w:val="IndexLink"/>
              </w:rPr>
              <w:t>404</w:t>
            </w:r>
          </w:hyperlink>
        </w:p>
        <w:p>
          <w:pPr>
            <w:pStyle w:val="Contents3"/>
            <w:tabs>
              <w:tab w:val="clear" w:pos="8459"/>
              <w:tab w:val="right" w:pos="9026" w:leader="dot"/>
            </w:tabs>
            <w:rPr/>
          </w:pPr>
          <w:hyperlink w:anchor="__RefHeading___Toc256822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الدراهم الخارجة و المغشوشة المعمولة لأجل غشّ الناس تحرم المعاملة بها</w:t>
            </w:r>
            <w:r>
              <w:rPr>
                <w:rStyle w:val="IndexLink"/>
                <w:rtl w:val="true"/>
              </w:rPr>
              <w:t>]</w:t>
              <w:tab/>
            </w:r>
            <w:r>
              <w:rPr>
                <w:rStyle w:val="IndexLink"/>
              </w:rPr>
              <w:t>404</w:t>
            </w:r>
          </w:hyperlink>
        </w:p>
        <w:p>
          <w:pPr>
            <w:pStyle w:val="Contents3"/>
            <w:tabs>
              <w:tab w:val="clear" w:pos="8459"/>
              <w:tab w:val="right" w:pos="9026" w:leader="dot"/>
            </w:tabs>
            <w:rPr/>
          </w:pPr>
          <w:hyperlink w:anchor="__RefHeading___Toc256823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یحرم بیع العنب أو التمر لیعمل خمراً أو الخشب مثلًا لیعمل صنماً</w:t>
            </w:r>
            <w:r>
              <w:rPr>
                <w:rStyle w:val="IndexLink"/>
                <w:rtl w:val="true"/>
              </w:rPr>
              <w:t>]</w:t>
              <w:tab/>
            </w:r>
            <w:r>
              <w:rPr>
                <w:rStyle w:val="IndexLink"/>
              </w:rPr>
              <w:t>404</w:t>
            </w:r>
          </w:hyperlink>
        </w:p>
        <w:p>
          <w:pPr>
            <w:pStyle w:val="Contents3"/>
            <w:tabs>
              <w:tab w:val="clear" w:pos="8459"/>
              <w:tab w:val="right" w:pos="9026" w:leader="dot"/>
            </w:tabs>
            <w:rPr/>
          </w:pPr>
          <w:hyperlink w:anchor="__RefHeading___Toc256823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یحرم بیع السلاح لأعداء الدین حال مقاتلتهم مع المسلمین</w:t>
            </w:r>
            <w:r>
              <w:rPr>
                <w:rStyle w:val="IndexLink"/>
                <w:rtl w:val="true"/>
              </w:rPr>
              <w:t>]</w:t>
              <w:tab/>
            </w:r>
            <w:r>
              <w:rPr>
                <w:rStyle w:val="IndexLink"/>
              </w:rPr>
              <w:t>405</w:t>
            </w:r>
          </w:hyperlink>
        </w:p>
        <w:p>
          <w:pPr>
            <w:pStyle w:val="Contents3"/>
            <w:tabs>
              <w:tab w:val="clear" w:pos="8459"/>
              <w:tab w:val="right" w:pos="9026" w:leader="dot"/>
            </w:tabs>
            <w:rPr/>
          </w:pPr>
          <w:hyperlink w:anchor="__RefHeading___Toc256823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یحرم تصویر ذوات الأرواح من الإنسان و الحیوان إذا کانت الصورة مجسّمة</w:t>
            </w:r>
            <w:r>
              <w:rPr>
                <w:rStyle w:val="IndexLink"/>
                <w:rtl w:val="true"/>
              </w:rPr>
              <w:t>]</w:t>
              <w:tab/>
            </w:r>
            <w:r>
              <w:rPr>
                <w:rStyle w:val="IndexLink"/>
              </w:rPr>
              <w:t>405</w:t>
            </w:r>
          </w:hyperlink>
        </w:p>
        <w:p>
          <w:pPr>
            <w:pStyle w:val="Contents3"/>
            <w:tabs>
              <w:tab w:val="clear" w:pos="8459"/>
              <w:tab w:val="right" w:pos="9026" w:leader="dot"/>
            </w:tabs>
            <w:rPr/>
          </w:pPr>
          <w:hyperlink w:anchor="__RefHeading___Toc2568236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الغناء حرام فعله و سماعه و التکسّب به</w:t>
            </w:r>
            <w:r>
              <w:rPr>
                <w:rStyle w:val="IndexLink"/>
                <w:rtl w:val="true"/>
              </w:rPr>
              <w:t>]</w:t>
              <w:tab/>
            </w:r>
            <w:r>
              <w:rPr>
                <w:rStyle w:val="IndexLink"/>
              </w:rPr>
              <w:t>406</w:t>
            </w:r>
          </w:hyperlink>
        </w:p>
        <w:p>
          <w:pPr>
            <w:pStyle w:val="Contents3"/>
            <w:tabs>
              <w:tab w:val="clear" w:pos="8459"/>
              <w:tab w:val="right" w:pos="9026" w:leader="dot"/>
            </w:tabs>
            <w:rPr/>
          </w:pPr>
          <w:hyperlink w:anchor="__RefHeading___Toc2568238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معونة الظالمین فی ظلمهم</w:t>
            </w:r>
            <w:r>
              <w:rPr>
                <w:rStyle w:val="IndexLink"/>
                <w:rtl w:val="true"/>
              </w:rPr>
              <w:t>]</w:t>
              <w:tab/>
            </w:r>
            <w:r>
              <w:rPr>
                <w:rStyle w:val="IndexLink"/>
              </w:rPr>
              <w:t>406</w:t>
            </w:r>
          </w:hyperlink>
        </w:p>
        <w:p>
          <w:pPr>
            <w:pStyle w:val="Contents3"/>
            <w:tabs>
              <w:tab w:val="clear" w:pos="8459"/>
              <w:tab w:val="right" w:pos="9026" w:leader="dot"/>
            </w:tabs>
            <w:rPr/>
          </w:pPr>
          <w:hyperlink w:anchor="__RefHeading___Toc2568240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یحرم حفظ کتب الضلال و نسخها و قراءتها و النظر فیها و درسها و تدریسها</w:t>
            </w:r>
            <w:r>
              <w:rPr>
                <w:rStyle w:val="IndexLink"/>
                <w:rtl w:val="true"/>
              </w:rPr>
              <w:t>]</w:t>
              <w:tab/>
            </w:r>
            <w:r>
              <w:rPr>
                <w:rStyle w:val="IndexLink"/>
              </w:rPr>
              <w:t>406</w:t>
            </w:r>
          </w:hyperlink>
        </w:p>
        <w:p>
          <w:pPr>
            <w:pStyle w:val="Contents3"/>
            <w:tabs>
              <w:tab w:val="clear" w:pos="8459"/>
              <w:tab w:val="right" w:pos="9026" w:leader="dot"/>
            </w:tabs>
            <w:rPr/>
          </w:pPr>
          <w:hyperlink w:anchor="__RefHeading___Toc2568242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عمل السحر و تعلیمه و تعلّمه و التکسّب به حرام</w:t>
            </w:r>
            <w:r>
              <w:rPr>
                <w:rStyle w:val="IndexLink"/>
                <w:rtl w:val="true"/>
              </w:rPr>
              <w:t>]</w:t>
              <w:tab/>
            </w:r>
            <w:r>
              <w:rPr>
                <w:rStyle w:val="IndexLink"/>
              </w:rPr>
              <w:t>407</w:t>
            </w:r>
          </w:hyperlink>
        </w:p>
        <w:p>
          <w:pPr>
            <w:pStyle w:val="Contents3"/>
            <w:tabs>
              <w:tab w:val="clear" w:pos="8459"/>
              <w:tab w:val="right" w:pos="9026" w:leader="dot"/>
            </w:tabs>
            <w:rPr/>
          </w:pPr>
          <w:hyperlink w:anchor="__RefHeading___Toc2568244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یحرم الغشّ بما یخفیٰ فی البیع و الشراء</w:t>
            </w:r>
            <w:r>
              <w:rPr>
                <w:rStyle w:val="IndexLink"/>
                <w:rtl w:val="true"/>
              </w:rPr>
              <w:t>]</w:t>
              <w:tab/>
            </w:r>
            <w:r>
              <w:rPr>
                <w:rStyle w:val="IndexLink"/>
              </w:rPr>
              <w:t>407</w:t>
            </w:r>
          </w:hyperlink>
        </w:p>
        <w:p>
          <w:pPr>
            <w:pStyle w:val="Contents3"/>
            <w:tabs>
              <w:tab w:val="clear" w:pos="8459"/>
              <w:tab w:val="right" w:pos="9026" w:leader="dot"/>
            </w:tabs>
            <w:rPr/>
          </w:pPr>
          <w:hyperlink w:anchor="__RefHeading___Toc2568246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یحرم أخذ الأُجرة علیٰ ما یجب علیه فعله و لو کفائیّاً کتغسیل الموتی و تکفینهم و دفنهم</w:t>
            </w:r>
            <w:r>
              <w:rPr>
                <w:rStyle w:val="IndexLink"/>
                <w:rtl w:val="true"/>
              </w:rPr>
              <w:t>]</w:t>
              <w:tab/>
            </w:r>
            <w:r>
              <w:rPr>
                <w:rStyle w:val="IndexLink"/>
              </w:rPr>
              <w:t>408</w:t>
            </w:r>
          </w:hyperlink>
        </w:p>
        <w:p>
          <w:pPr>
            <w:pStyle w:val="Contents3"/>
            <w:tabs>
              <w:tab w:val="clear" w:pos="8459"/>
              <w:tab w:val="right" w:pos="9026" w:leader="dot"/>
            </w:tabs>
            <w:rPr/>
          </w:pPr>
          <w:hyperlink w:anchor="__RefHeading___Toc2568248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کما أنّ فی الشرع معاملات و مکاسب محرّمة یجب الاجتناب عنها</w:t>
            </w:r>
            <w:r>
              <w:rPr>
                <w:rStyle w:val="IndexLink"/>
                <w:rtl w:val="true"/>
              </w:rPr>
              <w:t>]</w:t>
              <w:tab/>
            </w:r>
            <w:r>
              <w:rPr>
                <w:rStyle w:val="IndexLink"/>
              </w:rPr>
              <w:t>408</w:t>
            </w:r>
          </w:hyperlink>
        </w:p>
        <w:p>
          <w:pPr>
            <w:pStyle w:val="Contents3"/>
            <w:tabs>
              <w:tab w:val="clear" w:pos="8459"/>
              <w:tab w:val="right" w:pos="9026" w:leader="dot"/>
            </w:tabs>
            <w:rPr/>
          </w:pPr>
          <w:hyperlink w:anchor="__RefHeading___Toc2568250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لا ریب أنّ التکسّب و تحصیل المعیشة بالکدّ و التعب محبوب عند الربّ</w:t>
            </w:r>
            <w:r>
              <w:rPr>
                <w:rStyle w:val="IndexLink"/>
                <w:rtl w:val="true"/>
              </w:rPr>
              <w:t>]</w:t>
              <w:tab/>
            </w:r>
            <w:r>
              <w:rPr>
                <w:rStyle w:val="IndexLink"/>
              </w:rPr>
              <w:t>409</w:t>
            </w:r>
          </w:hyperlink>
        </w:p>
        <w:p>
          <w:pPr>
            <w:pStyle w:val="Contents3"/>
            <w:tabs>
              <w:tab w:val="clear" w:pos="8459"/>
              <w:tab w:val="right" w:pos="9026" w:leader="dot"/>
            </w:tabs>
            <w:rPr/>
          </w:pPr>
          <w:hyperlink w:anchor="__RefHeading___Toc2568252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یجب علیٰ کلّ من یباشر التجارة و سائر أنواع التکسّب</w:t>
            </w:r>
            <w:r>
              <w:rPr>
                <w:rStyle w:val="IndexLink"/>
                <w:rtl w:val="true"/>
              </w:rPr>
              <w:t>]</w:t>
              <w:tab/>
            </w:r>
            <w:r>
              <w:rPr>
                <w:rStyle w:val="IndexLink"/>
              </w:rPr>
              <w:t>410</w:t>
            </w:r>
          </w:hyperlink>
        </w:p>
        <w:p>
          <w:pPr>
            <w:pStyle w:val="Contents3"/>
            <w:tabs>
              <w:tab w:val="clear" w:pos="8459"/>
              <w:tab w:val="right" w:pos="9026" w:leader="dot"/>
            </w:tabs>
            <w:rPr/>
          </w:pPr>
          <w:hyperlink w:anchor="__RefHeading___Toc2568254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للتجارة و التکسّب آداب مستحبّة و مکروهة</w:t>
            </w:r>
            <w:r>
              <w:rPr>
                <w:rStyle w:val="IndexLink"/>
                <w:rtl w:val="true"/>
              </w:rPr>
              <w:t>]</w:t>
              <w:tab/>
            </w:r>
            <w:r>
              <w:rPr>
                <w:rStyle w:val="IndexLink"/>
              </w:rPr>
              <w:t>410</w:t>
            </w:r>
          </w:hyperlink>
        </w:p>
        <w:p>
          <w:pPr>
            <w:pStyle w:val="Contents4"/>
            <w:tabs>
              <w:tab w:val="clear" w:pos="8176"/>
              <w:tab w:val="right" w:pos="9026" w:leader="dot"/>
            </w:tabs>
            <w:rPr/>
          </w:pPr>
          <w:hyperlink w:anchor="__RefHeading___Toc2568256_3650668749">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2568258_3650668749">
            <w:r>
              <w:rPr>
                <w:webHidden/>
                <w:rStyle w:val="IndexLink"/>
                <w:rtl w:val="true"/>
              </w:rPr>
              <w:t>[</w:t>
            </w:r>
            <w:r>
              <w:rPr>
                <w:rStyle w:val="IndexLink"/>
                <w:rtl w:val="true"/>
              </w:rPr>
              <w:t>أمّا المستحبّة</w:t>
            </w:r>
            <w:r>
              <w:rPr>
                <w:rStyle w:val="IndexLink"/>
                <w:rtl w:val="true"/>
              </w:rPr>
              <w:t>]</w:t>
              <w:tab/>
            </w:r>
            <w:r>
              <w:rPr>
                <w:rStyle w:val="IndexLink"/>
              </w:rPr>
              <w:t>410</w:t>
            </w:r>
          </w:hyperlink>
        </w:p>
        <w:p>
          <w:pPr>
            <w:pStyle w:val="Contents4"/>
            <w:tabs>
              <w:tab w:val="clear" w:pos="8176"/>
              <w:tab w:val="right" w:pos="9026" w:leader="dot"/>
            </w:tabs>
            <w:rPr/>
          </w:pPr>
          <w:hyperlink w:anchor="__RefHeading___Toc2568260_3650668749">
            <w:r>
              <w:rPr>
                <w:webHidden/>
                <w:rStyle w:val="IndexLink"/>
                <w:rtl w:val="true"/>
              </w:rPr>
              <w:t>[</w:t>
            </w:r>
            <w:r>
              <w:rPr>
                <w:rStyle w:val="IndexLink"/>
                <w:rtl w:val="true"/>
              </w:rPr>
              <w:t>و أمّا المکروهة</w:t>
            </w:r>
            <w:r>
              <w:rPr>
                <w:rStyle w:val="IndexLink"/>
                <w:rtl w:val="true"/>
              </w:rPr>
              <w:t>]</w:t>
              <w:tab/>
            </w:r>
            <w:r>
              <w:rPr>
                <w:rStyle w:val="IndexLink"/>
              </w:rPr>
              <w:t>411</w:t>
            </w:r>
          </w:hyperlink>
        </w:p>
        <w:p>
          <w:pPr>
            <w:pStyle w:val="Contents3"/>
            <w:tabs>
              <w:tab w:val="clear" w:pos="8459"/>
              <w:tab w:val="right" w:pos="9026" w:leader="dot"/>
            </w:tabs>
            <w:rPr/>
          </w:pPr>
          <w:hyperlink w:anchor="__RefHeading___Toc2568262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الاحتکار</w:t>
            </w:r>
            <w:r>
              <w:rPr>
                <w:rStyle w:val="IndexLink"/>
                <w:rtl w:val="true"/>
              </w:rPr>
              <w:t>]</w:t>
              <w:tab/>
            </w:r>
            <w:r>
              <w:rPr>
                <w:rStyle w:val="IndexLink"/>
              </w:rPr>
              <w:t>412</w:t>
            </w:r>
          </w:hyperlink>
        </w:p>
        <w:p>
          <w:pPr>
            <w:pStyle w:val="Contents3"/>
            <w:tabs>
              <w:tab w:val="clear" w:pos="8459"/>
              <w:tab w:val="right" w:pos="9026" w:leader="dot"/>
            </w:tabs>
            <w:rPr/>
          </w:pPr>
          <w:hyperlink w:anchor="__RefHeading___Toc2568264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لا یجوز مع الاختیار الدخول فی الولایات و المناصب و الأشغال من قبل الجائر</w:t>
            </w:r>
            <w:r>
              <w:rPr>
                <w:rStyle w:val="IndexLink"/>
                <w:rtl w:val="true"/>
              </w:rPr>
              <w:t>]</w:t>
              <w:tab/>
            </w:r>
            <w:r>
              <w:rPr>
                <w:rStyle w:val="IndexLink"/>
              </w:rPr>
              <w:t>413</w:t>
            </w:r>
          </w:hyperlink>
        </w:p>
        <w:p>
          <w:pPr>
            <w:pStyle w:val="Contents3"/>
            <w:tabs>
              <w:tab w:val="clear" w:pos="8459"/>
              <w:tab w:val="right" w:pos="9026" w:leader="dot"/>
            </w:tabs>
            <w:rPr/>
          </w:pPr>
          <w:hyperlink w:anchor="__RefHeading___Toc2568266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ما تأخذه الحکومة من الضریبة علی الأراضی</w:t>
            </w:r>
            <w:r>
              <w:rPr>
                <w:rStyle w:val="IndexLink"/>
                <w:rtl w:val="true"/>
              </w:rPr>
              <w:t>]</w:t>
              <w:tab/>
            </w:r>
            <w:r>
              <w:rPr>
                <w:rStyle w:val="IndexLink"/>
              </w:rPr>
              <w:t>414</w:t>
            </w:r>
          </w:hyperlink>
        </w:p>
        <w:p>
          <w:pPr>
            <w:pStyle w:val="Contents3"/>
            <w:tabs>
              <w:tab w:val="clear" w:pos="8459"/>
              <w:tab w:val="right" w:pos="9026" w:leader="dot"/>
            </w:tabs>
            <w:rPr/>
          </w:pPr>
          <w:hyperlink w:anchor="__RefHeading___Toc2568268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یجوز لکلّ أحد أن یتقبّل الأراضی الخراجیّة</w:t>
            </w:r>
            <w:r>
              <w:rPr>
                <w:rStyle w:val="IndexLink"/>
                <w:rtl w:val="true"/>
              </w:rPr>
              <w:t>]</w:t>
              <w:tab/>
            </w:r>
            <w:r>
              <w:rPr>
                <w:rStyle w:val="IndexLink"/>
              </w:rPr>
              <w:t>415</w:t>
            </w:r>
          </w:hyperlink>
        </w:p>
        <w:p>
          <w:pPr>
            <w:pStyle w:val="Contents3"/>
            <w:tabs>
              <w:tab w:val="clear" w:pos="8459"/>
              <w:tab w:val="right" w:pos="9026" w:leader="dot"/>
            </w:tabs>
            <w:rPr/>
          </w:pPr>
          <w:hyperlink w:anchor="__RefHeading___Toc2568270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إذا دفع إنسان مالًا إلیٰ أحد لیصرفه فی طائفة و کان المدفوع إلیه بصفتهم</w:t>
            </w:r>
            <w:r>
              <w:rPr>
                <w:rStyle w:val="IndexLink"/>
                <w:rtl w:val="true"/>
              </w:rPr>
              <w:t>]</w:t>
              <w:tab/>
            </w:r>
            <w:r>
              <w:rPr>
                <w:rStyle w:val="IndexLink"/>
              </w:rPr>
              <w:t>415</w:t>
            </w:r>
          </w:hyperlink>
        </w:p>
        <w:p>
          <w:pPr>
            <w:pStyle w:val="Contents2"/>
            <w:tabs>
              <w:tab w:val="clear" w:pos="8743"/>
              <w:tab w:val="right" w:pos="9026" w:leader="dot"/>
            </w:tabs>
            <w:rPr/>
          </w:pPr>
          <w:hyperlink w:anchor="__RefHeading___Toc2568272_3650668749">
            <w:r>
              <w:rPr>
                <w:webHidden/>
                <w:rStyle w:val="IndexLink"/>
                <w:rtl w:val="true"/>
              </w:rPr>
              <w:t>[</w:t>
            </w:r>
            <w:r>
              <w:rPr>
                <w:rStyle w:val="IndexLink"/>
                <w:rtl w:val="true"/>
              </w:rPr>
              <w:t>کتاب البیع</w:t>
            </w:r>
            <w:r>
              <w:rPr>
                <w:rStyle w:val="IndexLink"/>
                <w:rtl w:val="true"/>
              </w:rPr>
              <w:t>]</w:t>
              <w:tab/>
            </w:r>
            <w:r>
              <w:rPr>
                <w:rStyle w:val="IndexLink"/>
              </w:rPr>
              <w:t>416</w:t>
            </w:r>
          </w:hyperlink>
        </w:p>
        <w:p>
          <w:pPr>
            <w:pStyle w:val="Contents3"/>
            <w:tabs>
              <w:tab w:val="clear" w:pos="8459"/>
              <w:tab w:val="right" w:pos="9026" w:leader="dot"/>
            </w:tabs>
            <w:rPr/>
          </w:pPr>
          <w:hyperlink w:anchor="__RefHeading___Toc2568274_3650668749">
            <w:r>
              <w:rPr>
                <w:webHidden/>
                <w:rStyle w:val="IndexLink"/>
                <w:rtl w:val="true"/>
              </w:rPr>
              <w:t>اشارة</w:t>
            </w:r>
            <w:r>
              <w:rPr>
                <w:rStyle w:val="IndexLink"/>
                <w:rtl w:val="true"/>
              </w:rPr>
              <w:tab/>
            </w:r>
            <w:r>
              <w:rPr>
                <w:rStyle w:val="IndexLink"/>
              </w:rPr>
              <w:t>416</w:t>
            </w:r>
          </w:hyperlink>
        </w:p>
        <w:p>
          <w:pPr>
            <w:pStyle w:val="Contents3"/>
            <w:tabs>
              <w:tab w:val="clear" w:pos="8459"/>
              <w:tab w:val="right" w:pos="9026" w:leader="dot"/>
            </w:tabs>
            <w:rPr/>
          </w:pPr>
          <w:hyperlink w:anchor="__RefHeading___Toc2568276_3650668749">
            <w:r>
              <w:rPr>
                <w:webHidden/>
                <w:rStyle w:val="IndexLink"/>
                <w:rtl w:val="true"/>
              </w:rPr>
              <w:t>[</w:t>
            </w:r>
            <w:r>
              <w:rPr>
                <w:rStyle w:val="IndexLink"/>
                <w:rtl w:val="true"/>
              </w:rPr>
              <w:t>مسائل</w:t>
            </w:r>
            <w:r>
              <w:rPr>
                <w:rStyle w:val="IndexLink"/>
                <w:rtl w:val="true"/>
              </w:rPr>
              <w:t>]</w:t>
              <w:tab/>
            </w:r>
            <w:r>
              <w:rPr>
                <w:rStyle w:val="IndexLink"/>
              </w:rPr>
              <w:t>416</w:t>
            </w:r>
          </w:hyperlink>
        </w:p>
        <w:p>
          <w:pPr>
            <w:pStyle w:val="Contents4"/>
            <w:tabs>
              <w:tab w:val="clear" w:pos="8176"/>
              <w:tab w:val="right" w:pos="9026" w:leader="dot"/>
            </w:tabs>
            <w:rPr/>
          </w:pPr>
          <w:hyperlink w:anchor="__RefHeading___Toc256827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عقد البیع یحتاج إلیٰ إیجاب و قبول</w:t>
            </w:r>
            <w:r>
              <w:rPr>
                <w:rStyle w:val="IndexLink"/>
                <w:rtl w:val="true"/>
              </w:rPr>
              <w:t>]</w:t>
              <w:tab/>
            </w:r>
            <w:r>
              <w:rPr>
                <w:rStyle w:val="IndexLink"/>
              </w:rPr>
              <w:t>416</w:t>
            </w:r>
          </w:hyperlink>
        </w:p>
        <w:p>
          <w:pPr>
            <w:pStyle w:val="Contents4"/>
            <w:tabs>
              <w:tab w:val="clear" w:pos="8176"/>
              <w:tab w:val="right" w:pos="9026" w:leader="dot"/>
            </w:tabs>
            <w:rPr/>
          </w:pPr>
          <w:hyperlink w:anchor="__RefHeading___Toc256828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 xml:space="preserve">الظاهر جواز تقدیم القبول علی الإیجاب إذا کان بمثل </w:t>
            </w:r>
            <w:r>
              <w:rPr>
                <w:rStyle w:val="IndexLink"/>
                <w:rtl w:val="true"/>
              </w:rPr>
              <w:t>«</w:t>
            </w:r>
            <w:r>
              <w:rPr>
                <w:rStyle w:val="IndexLink"/>
                <w:rtl w:val="true"/>
              </w:rPr>
              <w:t>اشتریتُ</w:t>
            </w:r>
            <w:r>
              <w:rPr>
                <w:rStyle w:val="IndexLink"/>
                <w:rtl w:val="true"/>
              </w:rPr>
              <w:t>»]</w:t>
              <w:tab/>
            </w:r>
            <w:r>
              <w:rPr>
                <w:rStyle w:val="IndexLink"/>
              </w:rPr>
              <w:t>416</w:t>
            </w:r>
          </w:hyperlink>
        </w:p>
        <w:p>
          <w:pPr>
            <w:pStyle w:val="Contents4"/>
            <w:tabs>
              <w:tab w:val="clear" w:pos="8176"/>
              <w:tab w:val="right" w:pos="9026" w:leader="dot"/>
            </w:tabs>
            <w:rPr/>
          </w:pPr>
          <w:hyperlink w:anchor="__RefHeading___Toc256828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یعتبر الموالاة بین الإیجاب و القبول</w:t>
            </w:r>
            <w:r>
              <w:rPr>
                <w:rStyle w:val="IndexLink"/>
                <w:rtl w:val="true"/>
              </w:rPr>
              <w:t>]</w:t>
              <w:tab/>
            </w:r>
            <w:r>
              <w:rPr>
                <w:rStyle w:val="IndexLink"/>
              </w:rPr>
              <w:t>416</w:t>
            </w:r>
          </w:hyperlink>
        </w:p>
        <w:p>
          <w:pPr>
            <w:pStyle w:val="Contents4"/>
            <w:tabs>
              <w:tab w:val="clear" w:pos="8176"/>
              <w:tab w:val="right" w:pos="9026" w:leader="dot"/>
            </w:tabs>
            <w:rPr/>
          </w:pPr>
          <w:hyperlink w:anchor="__RefHeading___Toc256828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یعتبر فی العقد التطابق بین الإیجاب و القبول</w:t>
            </w:r>
            <w:r>
              <w:rPr>
                <w:rStyle w:val="IndexLink"/>
                <w:rtl w:val="true"/>
              </w:rPr>
              <w:t>]</w:t>
              <w:tab/>
            </w:r>
            <w:r>
              <w:rPr>
                <w:rStyle w:val="IndexLink"/>
              </w:rPr>
              <w:t>416</w:t>
            </w:r>
          </w:hyperlink>
        </w:p>
        <w:p>
          <w:pPr>
            <w:pStyle w:val="Contents4"/>
            <w:tabs>
              <w:tab w:val="clear" w:pos="8176"/>
              <w:tab w:val="right" w:pos="9026" w:leader="dot"/>
            </w:tabs>
            <w:rPr/>
          </w:pPr>
          <w:hyperlink w:anchor="__RefHeading___Toc256828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یقوم مقام اللفظ مع التعذّر لخرس و نحوه</w:t>
            </w:r>
            <w:r>
              <w:rPr>
                <w:rStyle w:val="IndexLink"/>
                <w:rtl w:val="true"/>
              </w:rPr>
              <w:t>]</w:t>
              <w:tab/>
            </w:r>
            <w:r>
              <w:rPr>
                <w:rStyle w:val="IndexLink"/>
              </w:rPr>
              <w:t>417</w:t>
            </w:r>
          </w:hyperlink>
        </w:p>
        <w:p>
          <w:pPr>
            <w:pStyle w:val="Contents4"/>
            <w:tabs>
              <w:tab w:val="clear" w:pos="8176"/>
              <w:tab w:val="right" w:pos="9026" w:leader="dot"/>
            </w:tabs>
            <w:rPr/>
          </w:pPr>
          <w:hyperlink w:anchor="__RefHeading___Toc256828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الأقویٰ وقوع البیع بالمعاطاة</w:t>
            </w:r>
            <w:r>
              <w:rPr>
                <w:rStyle w:val="IndexLink"/>
                <w:rtl w:val="true"/>
              </w:rPr>
              <w:t>]</w:t>
              <w:tab/>
            </w:r>
            <w:r>
              <w:rPr>
                <w:rStyle w:val="IndexLink"/>
              </w:rPr>
              <w:t>417</w:t>
            </w:r>
          </w:hyperlink>
        </w:p>
        <w:p>
          <w:pPr>
            <w:pStyle w:val="Contents4"/>
            <w:tabs>
              <w:tab w:val="clear" w:pos="8176"/>
              <w:tab w:val="right" w:pos="9026" w:leader="dot"/>
            </w:tabs>
            <w:rPr/>
          </w:pPr>
          <w:hyperlink w:anchor="__RefHeading___Toc2568290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الأقویٰ أنّه یعتبر فی المعاطاة جمیع ما اعتبر فی البیع العقدی</w:t>
            </w:r>
            <w:r>
              <w:rPr>
                <w:rStyle w:val="IndexLink"/>
                <w:rtl w:val="true"/>
              </w:rPr>
              <w:t>]</w:t>
              <w:tab/>
            </w:r>
            <w:r>
              <w:rPr>
                <w:rStyle w:val="IndexLink"/>
              </w:rPr>
              <w:t>418</w:t>
            </w:r>
          </w:hyperlink>
        </w:p>
        <w:p>
          <w:pPr>
            <w:pStyle w:val="Contents4"/>
            <w:tabs>
              <w:tab w:val="clear" w:pos="8176"/>
              <w:tab w:val="right" w:pos="9026" w:leader="dot"/>
            </w:tabs>
            <w:rPr/>
          </w:pPr>
          <w:hyperlink w:anchor="__RefHeading___Toc2568292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البیع العقدی لازم من الطرفین إلّا مع وجود أحد الخیارات الآتیة</w:t>
            </w:r>
            <w:r>
              <w:rPr>
                <w:rStyle w:val="IndexLink"/>
                <w:rtl w:val="true"/>
              </w:rPr>
              <w:t>]</w:t>
              <w:tab/>
            </w:r>
            <w:r>
              <w:rPr>
                <w:rStyle w:val="IndexLink"/>
              </w:rPr>
              <w:t>418</w:t>
            </w:r>
          </w:hyperlink>
        </w:p>
        <w:p>
          <w:pPr>
            <w:pStyle w:val="Contents4"/>
            <w:tabs>
              <w:tab w:val="clear" w:pos="8176"/>
              <w:tab w:val="right" w:pos="9026" w:leader="dot"/>
            </w:tabs>
            <w:rPr/>
          </w:pPr>
          <w:hyperlink w:anchor="__RefHeading___Toc2568294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البیع المعاطاتی لیس قابلًا للشروط</w:t>
            </w:r>
            <w:r>
              <w:rPr>
                <w:rStyle w:val="IndexLink"/>
                <w:rtl w:val="true"/>
              </w:rPr>
              <w:t>]</w:t>
              <w:tab/>
            </w:r>
            <w:r>
              <w:rPr>
                <w:rStyle w:val="IndexLink"/>
              </w:rPr>
              <w:t>418</w:t>
            </w:r>
          </w:hyperlink>
        </w:p>
        <w:p>
          <w:pPr>
            <w:pStyle w:val="Contents4"/>
            <w:tabs>
              <w:tab w:val="clear" w:pos="8176"/>
              <w:tab w:val="right" w:pos="9026" w:leader="dot"/>
            </w:tabs>
            <w:rPr/>
          </w:pPr>
          <w:hyperlink w:anchor="__RefHeading___Toc2568296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هل تجری المعاطاة فی غیر البیع من سائر المعاملات</w:t>
            </w:r>
            <w:r>
              <w:rPr>
                <w:rStyle w:val="IndexLink"/>
                <w:rtl w:val="true"/>
              </w:rPr>
              <w:t>]</w:t>
              <w:tab/>
            </w:r>
            <w:r>
              <w:rPr>
                <w:rStyle w:val="IndexLink"/>
              </w:rPr>
              <w:t>418</w:t>
            </w:r>
          </w:hyperlink>
        </w:p>
        <w:p>
          <w:pPr>
            <w:pStyle w:val="Contents4"/>
            <w:tabs>
              <w:tab w:val="clear" w:pos="8176"/>
              <w:tab w:val="right" w:pos="9026" w:leader="dot"/>
            </w:tabs>
            <w:rPr/>
          </w:pPr>
          <w:hyperlink w:anchor="__RefHeading___Toc2568298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کما یقع البیع و الشراء بمباشرة المالک یقع بالتوکیل أو الولایة من طرف واحد أو من الطرفین</w:t>
            </w:r>
            <w:r>
              <w:rPr>
                <w:rStyle w:val="IndexLink"/>
                <w:rtl w:val="true"/>
              </w:rPr>
              <w:t>]</w:t>
              <w:tab/>
            </w:r>
            <w:r>
              <w:rPr>
                <w:rStyle w:val="IndexLink"/>
              </w:rPr>
              <w:t>418</w:t>
            </w:r>
          </w:hyperlink>
        </w:p>
        <w:p>
          <w:pPr>
            <w:pStyle w:val="Contents4"/>
            <w:tabs>
              <w:tab w:val="clear" w:pos="8176"/>
              <w:tab w:val="right" w:pos="9026" w:leader="dot"/>
            </w:tabs>
            <w:rPr/>
          </w:pPr>
          <w:hyperlink w:anchor="__RefHeading___Toc2568300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لا یجوز تعلیق البیع علیٰ شی‌ء غیر حاصل حین العقد</w:t>
            </w:r>
            <w:r>
              <w:rPr>
                <w:rStyle w:val="IndexLink"/>
                <w:rtl w:val="true"/>
              </w:rPr>
              <w:t>]</w:t>
              <w:tab/>
            </w:r>
            <w:r>
              <w:rPr>
                <w:rStyle w:val="IndexLink"/>
              </w:rPr>
              <w:t>419</w:t>
            </w:r>
          </w:hyperlink>
        </w:p>
        <w:p>
          <w:pPr>
            <w:pStyle w:val="Contents4"/>
            <w:tabs>
              <w:tab w:val="clear" w:pos="8176"/>
              <w:tab w:val="right" w:pos="9026" w:leader="dot"/>
            </w:tabs>
            <w:rPr/>
          </w:pPr>
          <w:hyperlink w:anchor="__RefHeading___Toc2568302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لو قبض المشتری ما ابتاعه بالعقد الفاسد لم یملکه و کان مضموناً علیه</w:t>
            </w:r>
            <w:r>
              <w:rPr>
                <w:rStyle w:val="IndexLink"/>
                <w:rtl w:val="true"/>
              </w:rPr>
              <w:t>]</w:t>
              <w:tab/>
            </w:r>
            <w:r>
              <w:rPr>
                <w:rStyle w:val="IndexLink"/>
              </w:rPr>
              <w:t>419</w:t>
            </w:r>
          </w:hyperlink>
        </w:p>
        <w:p>
          <w:pPr>
            <w:pStyle w:val="Contents3"/>
            <w:tabs>
              <w:tab w:val="clear" w:pos="8459"/>
              <w:tab w:val="right" w:pos="9026" w:leader="dot"/>
            </w:tabs>
            <w:rPr/>
          </w:pPr>
          <w:hyperlink w:anchor="__RefHeading___Toc2568304_3650668749">
            <w:r>
              <w:rPr>
                <w:webHidden/>
                <w:rStyle w:val="IndexLink"/>
                <w:rtl w:val="true"/>
              </w:rPr>
              <w:t>[</w:t>
            </w:r>
            <w:r>
              <w:rPr>
                <w:rStyle w:val="IndexLink"/>
                <w:rtl w:val="true"/>
              </w:rPr>
              <w:t>القول فی شروط البیع</w:t>
            </w:r>
            <w:r>
              <w:rPr>
                <w:rStyle w:val="IndexLink"/>
                <w:rtl w:val="true"/>
              </w:rPr>
              <w:t>]</w:t>
              <w:tab/>
            </w:r>
            <w:r>
              <w:rPr>
                <w:rStyle w:val="IndexLink"/>
              </w:rPr>
              <w:t>419</w:t>
            </w:r>
          </w:hyperlink>
        </w:p>
        <w:p>
          <w:pPr>
            <w:pStyle w:val="Contents4"/>
            <w:tabs>
              <w:tab w:val="clear" w:pos="8176"/>
              <w:tab w:val="right" w:pos="9026" w:leader="dot"/>
            </w:tabs>
            <w:rPr/>
          </w:pPr>
          <w:hyperlink w:anchor="__RefHeading___Toc2568306_3650668749">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2568308_3650668749">
            <w:r>
              <w:rPr>
                <w:webHidden/>
                <w:rStyle w:val="IndexLink"/>
                <w:rtl w:val="true"/>
              </w:rPr>
              <w:t>[</w:t>
            </w:r>
            <w:r>
              <w:rPr>
                <w:rStyle w:val="IndexLink"/>
                <w:rtl w:val="true"/>
              </w:rPr>
              <w:t>القول فی شرائط المتعاقدین</w:t>
            </w:r>
            <w:r>
              <w:rPr>
                <w:rStyle w:val="IndexLink"/>
                <w:rtl w:val="true"/>
              </w:rPr>
              <w:t>]</w:t>
              <w:tab/>
            </w:r>
            <w:r>
              <w:rPr>
                <w:rStyle w:val="IndexLink"/>
              </w:rPr>
              <w:t>419</w:t>
            </w:r>
          </w:hyperlink>
        </w:p>
        <w:p>
          <w:pPr>
            <w:pStyle w:val="Contents5"/>
            <w:tabs>
              <w:tab w:val="clear" w:pos="7892"/>
              <w:tab w:val="right" w:pos="9026" w:leader="dot"/>
            </w:tabs>
            <w:rPr/>
          </w:pPr>
          <w:hyperlink w:anchor="__RefHeading___Toc2568310_3650668749">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2568312_3650668749">
            <w:r>
              <w:rPr>
                <w:webHidden/>
                <w:rStyle w:val="IndexLink"/>
                <w:rtl w:val="true"/>
              </w:rPr>
              <w:t>[</w:t>
            </w:r>
            <w:r>
              <w:rPr>
                <w:rStyle w:val="IndexLink"/>
                <w:rtl w:val="true"/>
              </w:rPr>
              <w:t>الأوّل</w:t>
            </w:r>
            <w:r>
              <w:rPr>
                <w:rStyle w:val="IndexLink"/>
                <w:rtl w:val="true"/>
              </w:rPr>
              <w:t xml:space="preserve">: </w:t>
            </w:r>
            <w:r>
              <w:rPr>
                <w:rStyle w:val="IndexLink"/>
                <w:rtl w:val="true"/>
              </w:rPr>
              <w:t>البلوغ</w:t>
            </w:r>
            <w:r>
              <w:rPr>
                <w:rStyle w:val="IndexLink"/>
                <w:rtl w:val="true"/>
              </w:rPr>
              <w:t>]</w:t>
              <w:tab/>
            </w:r>
            <w:r>
              <w:rPr>
                <w:rStyle w:val="IndexLink"/>
              </w:rPr>
              <w:t>419</w:t>
            </w:r>
          </w:hyperlink>
        </w:p>
        <w:p>
          <w:pPr>
            <w:pStyle w:val="Contents6"/>
            <w:tabs>
              <w:tab w:val="clear" w:pos="7609"/>
              <w:tab w:val="right" w:pos="9026" w:leader="dot"/>
            </w:tabs>
            <w:rPr/>
          </w:pPr>
          <w:hyperlink w:anchor="__RefHeading___Toc2568314_3650668749">
            <w:r>
              <w:rPr>
                <w:webHidden/>
                <w:rStyle w:val="IndexLink"/>
                <w:rtl w:val="true"/>
              </w:rPr>
              <w:t>اشارة</w:t>
            </w:r>
            <w:r>
              <w:rPr>
                <w:rStyle w:val="IndexLink"/>
                <w:rtl w:val="true"/>
              </w:rPr>
              <w:tab/>
            </w:r>
            <w:r>
              <w:rPr>
                <w:rStyle w:val="IndexLink"/>
              </w:rPr>
              <w:t>419</w:t>
            </w:r>
          </w:hyperlink>
        </w:p>
        <w:p>
          <w:pPr>
            <w:pStyle w:val="Contents6"/>
            <w:tabs>
              <w:tab w:val="clear" w:pos="7609"/>
              <w:tab w:val="right" w:pos="9026" w:leader="dot"/>
            </w:tabs>
            <w:rPr/>
          </w:pPr>
          <w:hyperlink w:anchor="__RefHeading___Toc256831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ظاهر المشهور أنّه کما لا تصحّ معاملة الصبیّ لنفسه کذلک لا تصحّ لغیره أیضاً إذا کان وکیلًا عنه</w:t>
            </w:r>
            <w:r>
              <w:rPr>
                <w:rStyle w:val="IndexLink"/>
                <w:rtl w:val="true"/>
              </w:rPr>
              <w:t>]</w:t>
              <w:tab/>
            </w:r>
            <w:r>
              <w:rPr>
                <w:rStyle w:val="IndexLink"/>
              </w:rPr>
              <w:t>419</w:t>
            </w:r>
          </w:hyperlink>
        </w:p>
        <w:p>
          <w:pPr>
            <w:pStyle w:val="Contents5"/>
            <w:tabs>
              <w:tab w:val="clear" w:pos="7892"/>
              <w:tab w:val="right" w:pos="9026" w:leader="dot"/>
            </w:tabs>
            <w:rPr/>
          </w:pPr>
          <w:hyperlink w:anchor="__RefHeading___Toc2568318_3650668749">
            <w:r>
              <w:rPr>
                <w:webHidden/>
                <w:rStyle w:val="IndexLink"/>
                <w:rtl w:val="true"/>
              </w:rPr>
              <w:t>[</w:t>
            </w:r>
            <w:r>
              <w:rPr>
                <w:rStyle w:val="IndexLink"/>
                <w:rtl w:val="true"/>
              </w:rPr>
              <w:t>الثانی</w:t>
            </w:r>
            <w:r>
              <w:rPr>
                <w:rStyle w:val="IndexLink"/>
                <w:rtl w:val="true"/>
              </w:rPr>
              <w:t xml:space="preserve">: </w:t>
            </w:r>
            <w:r>
              <w:rPr>
                <w:rStyle w:val="IndexLink"/>
                <w:rtl w:val="true"/>
              </w:rPr>
              <w:t>العقل</w:t>
            </w:r>
            <w:r>
              <w:rPr>
                <w:rStyle w:val="IndexLink"/>
                <w:rtl w:val="true"/>
              </w:rPr>
              <w:t>]</w:t>
              <w:tab/>
            </w:r>
            <w:r>
              <w:rPr>
                <w:rStyle w:val="IndexLink"/>
              </w:rPr>
              <w:t>420</w:t>
            </w:r>
          </w:hyperlink>
        </w:p>
        <w:p>
          <w:pPr>
            <w:pStyle w:val="Contents5"/>
            <w:tabs>
              <w:tab w:val="clear" w:pos="7892"/>
              <w:tab w:val="right" w:pos="9026" w:leader="dot"/>
            </w:tabs>
            <w:rPr/>
          </w:pPr>
          <w:hyperlink w:anchor="__RefHeading___Toc2568320_3650668749">
            <w:r>
              <w:rPr>
                <w:webHidden/>
                <w:rStyle w:val="IndexLink"/>
                <w:rtl w:val="true"/>
              </w:rPr>
              <w:t>[</w:t>
            </w:r>
            <w:r>
              <w:rPr>
                <w:rStyle w:val="IndexLink"/>
                <w:rtl w:val="true"/>
              </w:rPr>
              <w:t>الثالث</w:t>
            </w:r>
            <w:r>
              <w:rPr>
                <w:rStyle w:val="IndexLink"/>
                <w:rtl w:val="true"/>
              </w:rPr>
              <w:t xml:space="preserve">: </w:t>
            </w:r>
            <w:r>
              <w:rPr>
                <w:rStyle w:val="IndexLink"/>
                <w:rtl w:val="true"/>
              </w:rPr>
              <w:t>القصد</w:t>
            </w:r>
            <w:r>
              <w:rPr>
                <w:rStyle w:val="IndexLink"/>
                <w:rtl w:val="true"/>
              </w:rPr>
              <w:t>]</w:t>
              <w:tab/>
            </w:r>
            <w:r>
              <w:rPr>
                <w:rStyle w:val="IndexLink"/>
              </w:rPr>
              <w:t>420</w:t>
            </w:r>
          </w:hyperlink>
        </w:p>
        <w:p>
          <w:pPr>
            <w:pStyle w:val="Contents5"/>
            <w:tabs>
              <w:tab w:val="clear" w:pos="7892"/>
              <w:tab w:val="right" w:pos="9026" w:leader="dot"/>
            </w:tabs>
            <w:rPr/>
          </w:pPr>
          <w:hyperlink w:anchor="__RefHeading___Toc2568322_3650668749">
            <w:r>
              <w:rPr>
                <w:webHidden/>
                <w:rStyle w:val="IndexLink"/>
                <w:rtl w:val="true"/>
              </w:rPr>
              <w:t>[</w:t>
            </w:r>
            <w:r>
              <w:rPr>
                <w:rStyle w:val="IndexLink"/>
                <w:rtl w:val="true"/>
              </w:rPr>
              <w:t>الرابع</w:t>
            </w:r>
            <w:r>
              <w:rPr>
                <w:rStyle w:val="IndexLink"/>
                <w:rtl w:val="true"/>
              </w:rPr>
              <w:t xml:space="preserve">: </w:t>
            </w:r>
            <w:r>
              <w:rPr>
                <w:rStyle w:val="IndexLink"/>
                <w:rtl w:val="true"/>
              </w:rPr>
              <w:t>الاختیار</w:t>
            </w:r>
            <w:r>
              <w:rPr>
                <w:rStyle w:val="IndexLink"/>
                <w:rtl w:val="true"/>
              </w:rPr>
              <w:t>]</w:t>
              <w:tab/>
            </w:r>
            <w:r>
              <w:rPr>
                <w:rStyle w:val="IndexLink"/>
              </w:rPr>
              <w:t>420</w:t>
            </w:r>
          </w:hyperlink>
        </w:p>
        <w:p>
          <w:pPr>
            <w:pStyle w:val="Contents6"/>
            <w:tabs>
              <w:tab w:val="clear" w:pos="7609"/>
              <w:tab w:val="right" w:pos="9026" w:leader="dot"/>
            </w:tabs>
            <w:rPr/>
          </w:pPr>
          <w:hyperlink w:anchor="__RefHeading___Toc2568324_3650668749">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256832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الظاهر أنّه لا یعتبر فی صدق الإکراه عدم إمکان التفصّی بالتوریة</w:t>
            </w:r>
            <w:r>
              <w:rPr>
                <w:rStyle w:val="IndexLink"/>
                <w:rtl w:val="true"/>
              </w:rPr>
              <w:t>]</w:t>
              <w:tab/>
            </w:r>
            <w:r>
              <w:rPr>
                <w:rStyle w:val="IndexLink"/>
              </w:rPr>
              <w:t>420</w:t>
            </w:r>
          </w:hyperlink>
        </w:p>
        <w:p>
          <w:pPr>
            <w:pStyle w:val="Contents6"/>
            <w:tabs>
              <w:tab w:val="clear" w:pos="7609"/>
              <w:tab w:val="right" w:pos="9026" w:leader="dot"/>
            </w:tabs>
            <w:rPr/>
          </w:pPr>
          <w:hyperlink w:anchor="__RefHeading___Toc256832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لو أکرهه علیٰ أحد أمرین</w:t>
            </w:r>
            <w:r>
              <w:rPr>
                <w:rStyle w:val="IndexLink"/>
                <w:rtl w:val="true"/>
              </w:rPr>
              <w:t xml:space="preserve">: </w:t>
            </w:r>
            <w:r>
              <w:rPr>
                <w:rStyle w:val="IndexLink"/>
                <w:rtl w:val="true"/>
              </w:rPr>
              <w:t>إمّا بیع داره أو عمل آخر، فباع داره</w:t>
            </w:r>
            <w:r>
              <w:rPr>
                <w:rStyle w:val="IndexLink"/>
                <w:rtl w:val="true"/>
              </w:rPr>
              <w:t>]</w:t>
              <w:tab/>
            </w:r>
            <w:r>
              <w:rPr>
                <w:rStyle w:val="IndexLink"/>
              </w:rPr>
              <w:t>420</w:t>
            </w:r>
          </w:hyperlink>
        </w:p>
        <w:p>
          <w:pPr>
            <w:pStyle w:val="Contents6"/>
            <w:tabs>
              <w:tab w:val="clear" w:pos="7609"/>
              <w:tab w:val="right" w:pos="9026" w:leader="dot"/>
            </w:tabs>
            <w:rPr/>
          </w:pPr>
          <w:hyperlink w:anchor="__RefHeading___Toc256833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لو أکرهه علیٰ بیع أحد الشیئین علی التخییر فکلّ ما وقع منه یقع مکرَهاً علیه</w:t>
            </w:r>
            <w:r>
              <w:rPr>
                <w:rStyle w:val="IndexLink"/>
                <w:rtl w:val="true"/>
              </w:rPr>
              <w:t>]</w:t>
              <w:tab/>
            </w:r>
            <w:r>
              <w:rPr>
                <w:rStyle w:val="IndexLink"/>
              </w:rPr>
              <w:t>420</w:t>
            </w:r>
          </w:hyperlink>
        </w:p>
        <w:p>
          <w:pPr>
            <w:pStyle w:val="Contents5"/>
            <w:tabs>
              <w:tab w:val="clear" w:pos="7892"/>
              <w:tab w:val="right" w:pos="9026" w:leader="dot"/>
            </w:tabs>
            <w:rPr/>
          </w:pPr>
          <w:hyperlink w:anchor="__RefHeading___Toc2568332_3650668749">
            <w:r>
              <w:rPr>
                <w:webHidden/>
                <w:rStyle w:val="IndexLink"/>
                <w:rtl w:val="true"/>
              </w:rPr>
              <w:t>[</w:t>
            </w:r>
            <w:r>
              <w:rPr>
                <w:rStyle w:val="IndexLink"/>
                <w:rtl w:val="true"/>
              </w:rPr>
              <w:t>الخامس</w:t>
            </w:r>
            <w:r>
              <w:rPr>
                <w:rStyle w:val="IndexLink"/>
                <w:rtl w:val="true"/>
              </w:rPr>
              <w:t xml:space="preserve">: </w:t>
            </w:r>
            <w:r>
              <w:rPr>
                <w:rStyle w:val="IndexLink"/>
                <w:rtl w:val="true"/>
              </w:rPr>
              <w:t>کونهما مالکین للتصرّف</w:t>
            </w:r>
            <w:r>
              <w:rPr>
                <w:rStyle w:val="IndexLink"/>
                <w:rtl w:val="true"/>
              </w:rPr>
              <w:t>]</w:t>
              <w:tab/>
            </w:r>
            <w:r>
              <w:rPr>
                <w:rStyle w:val="IndexLink"/>
              </w:rPr>
              <w:t>421</w:t>
            </w:r>
          </w:hyperlink>
        </w:p>
        <w:p>
          <w:pPr>
            <w:pStyle w:val="Contents6"/>
            <w:tabs>
              <w:tab w:val="clear" w:pos="7609"/>
              <w:tab w:val="right" w:pos="9026" w:leader="dot"/>
            </w:tabs>
            <w:rPr/>
          </w:pPr>
          <w:hyperlink w:anchor="__RefHeading___Toc2568334_3650668749">
            <w:r>
              <w:rPr>
                <w:webHidden/>
                <w:rStyle w:val="IndexLink"/>
                <w:rtl w:val="true"/>
              </w:rPr>
              <w:t>اشارة</w:t>
            </w:r>
            <w:r>
              <w:rPr>
                <w:rStyle w:val="IndexLink"/>
                <w:rtl w:val="true"/>
              </w:rPr>
              <w:tab/>
            </w:r>
            <w:r>
              <w:rPr>
                <w:rStyle w:val="IndexLink"/>
              </w:rPr>
              <w:t>421</w:t>
            </w:r>
          </w:hyperlink>
        </w:p>
        <w:p>
          <w:pPr>
            <w:pStyle w:val="Contents6"/>
            <w:tabs>
              <w:tab w:val="clear" w:pos="7609"/>
              <w:tab w:val="right" w:pos="9026" w:leader="dot"/>
            </w:tabs>
            <w:rPr/>
          </w:pPr>
          <w:hyperlink w:anchor="__RefHeading___Toc256833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معنیٰ عدم الوقوع من غیر المالک من المسمّی بالفضولی أو المحجور علیه</w:t>
            </w:r>
            <w:r>
              <w:rPr>
                <w:rStyle w:val="IndexLink"/>
                <w:rtl w:val="true"/>
              </w:rPr>
              <w:t>]</w:t>
              <w:tab/>
            </w:r>
            <w:r>
              <w:rPr>
                <w:rStyle w:val="IndexLink"/>
              </w:rPr>
              <w:t>421</w:t>
            </w:r>
          </w:hyperlink>
        </w:p>
        <w:p>
          <w:pPr>
            <w:pStyle w:val="Contents6"/>
            <w:tabs>
              <w:tab w:val="clear" w:pos="7609"/>
              <w:tab w:val="right" w:pos="9026" w:leader="dot"/>
            </w:tabs>
            <w:rPr/>
          </w:pPr>
          <w:hyperlink w:anchor="__RefHeading___Toc256833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لا فرق فی صحّة البیع الصادر من غیر المالک مع إجازة المالک</w:t>
            </w:r>
            <w:r>
              <w:rPr>
                <w:rStyle w:val="IndexLink"/>
                <w:rtl w:val="true"/>
              </w:rPr>
              <w:t>]</w:t>
              <w:tab/>
            </w:r>
            <w:r>
              <w:rPr>
                <w:rStyle w:val="IndexLink"/>
              </w:rPr>
              <w:t>421</w:t>
            </w:r>
          </w:hyperlink>
        </w:p>
        <w:p>
          <w:pPr>
            <w:pStyle w:val="Contents6"/>
            <w:tabs>
              <w:tab w:val="clear" w:pos="7609"/>
              <w:tab w:val="right" w:pos="9026" w:leader="dot"/>
            </w:tabs>
            <w:rPr/>
          </w:pPr>
          <w:hyperlink w:anchor="__RefHeading___Toc2568340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الإجازة من المالک کما تقع باللفظ الدالّ علی الرضا بالبیع بحسب متفاهم العرف</w:t>
            </w:r>
            <w:r>
              <w:rPr>
                <w:rStyle w:val="IndexLink"/>
                <w:rtl w:val="true"/>
              </w:rPr>
              <w:t>]</w:t>
              <w:tab/>
            </w:r>
            <w:r>
              <w:rPr>
                <w:rStyle w:val="IndexLink"/>
              </w:rPr>
              <w:t>421</w:t>
            </w:r>
          </w:hyperlink>
        </w:p>
        <w:p>
          <w:pPr>
            <w:pStyle w:val="Contents6"/>
            <w:tabs>
              <w:tab w:val="clear" w:pos="7609"/>
              <w:tab w:val="right" w:pos="9026" w:leader="dot"/>
            </w:tabs>
            <w:rPr/>
          </w:pPr>
          <w:hyperlink w:anchor="__RefHeading___Toc2568342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هل الإجازة کاشفة عن صحّة العقد الصادر من الفضولی من حین وقوعه</w:t>
            </w:r>
            <w:r>
              <w:rPr>
                <w:rStyle w:val="IndexLink"/>
                <w:rtl w:val="true"/>
              </w:rPr>
              <w:t>]</w:t>
              <w:tab/>
            </w:r>
            <w:r>
              <w:rPr>
                <w:rStyle w:val="IndexLink"/>
              </w:rPr>
              <w:t>421</w:t>
            </w:r>
          </w:hyperlink>
        </w:p>
        <w:p>
          <w:pPr>
            <w:pStyle w:val="Contents6"/>
            <w:tabs>
              <w:tab w:val="clear" w:pos="7609"/>
              <w:tab w:val="right" w:pos="9026" w:leader="dot"/>
            </w:tabs>
            <w:rPr/>
          </w:pPr>
          <w:hyperlink w:anchor="__RefHeading___Toc2568344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إذا کان المالک راضیاً بالبیع باطناً</w:t>
            </w:r>
            <w:r>
              <w:rPr>
                <w:rStyle w:val="IndexLink"/>
                <w:rtl w:val="true"/>
              </w:rPr>
              <w:t>]</w:t>
              <w:tab/>
            </w:r>
            <w:r>
              <w:rPr>
                <w:rStyle w:val="IndexLink"/>
              </w:rPr>
              <w:t>422</w:t>
            </w:r>
          </w:hyperlink>
        </w:p>
        <w:p>
          <w:pPr>
            <w:pStyle w:val="Contents6"/>
            <w:tabs>
              <w:tab w:val="clear" w:pos="7609"/>
              <w:tab w:val="right" w:pos="9026" w:leader="dot"/>
            </w:tabs>
            <w:rPr/>
          </w:pPr>
          <w:hyperlink w:anchor="__RefHeading___Toc2568346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لا یشترط فی الفضولی قصد الفضولیّة</w:t>
            </w:r>
            <w:r>
              <w:rPr>
                <w:rStyle w:val="IndexLink"/>
                <w:rtl w:val="true"/>
              </w:rPr>
              <w:t>]</w:t>
              <w:tab/>
            </w:r>
            <w:r>
              <w:rPr>
                <w:rStyle w:val="IndexLink"/>
              </w:rPr>
              <w:t>422</w:t>
            </w:r>
          </w:hyperlink>
        </w:p>
        <w:p>
          <w:pPr>
            <w:pStyle w:val="Contents6"/>
            <w:tabs>
              <w:tab w:val="clear" w:pos="7609"/>
              <w:tab w:val="right" w:pos="9026" w:leader="dot"/>
            </w:tabs>
            <w:rPr/>
          </w:pPr>
          <w:hyperlink w:anchor="__RefHeading___Toc2568348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لو باع شیئاً فضولًا ثمّ ملکه إمّا باختیاره کالشراء أو بغیر اختیاره کالإرث صحّ بإجازته</w:t>
            </w:r>
            <w:r>
              <w:rPr>
                <w:rStyle w:val="IndexLink"/>
                <w:rtl w:val="true"/>
              </w:rPr>
              <w:t>]</w:t>
              <w:tab/>
            </w:r>
            <w:r>
              <w:rPr>
                <w:rStyle w:val="IndexLink"/>
              </w:rPr>
              <w:t>422</w:t>
            </w:r>
          </w:hyperlink>
        </w:p>
        <w:p>
          <w:pPr>
            <w:pStyle w:val="Contents6"/>
            <w:tabs>
              <w:tab w:val="clear" w:pos="7609"/>
              <w:tab w:val="right" w:pos="9026" w:leader="dot"/>
            </w:tabs>
            <w:rPr/>
          </w:pPr>
          <w:hyperlink w:anchor="__RefHeading___Toc2568350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لا یعتبر فی المجیز أن یکون مالکاً حین العقد</w:t>
            </w:r>
            <w:r>
              <w:rPr>
                <w:rStyle w:val="IndexLink"/>
                <w:rtl w:val="true"/>
              </w:rPr>
              <w:t>]</w:t>
              <w:tab/>
            </w:r>
            <w:r>
              <w:rPr>
                <w:rStyle w:val="IndexLink"/>
              </w:rPr>
              <w:t>422</w:t>
            </w:r>
          </w:hyperlink>
        </w:p>
        <w:p>
          <w:pPr>
            <w:pStyle w:val="Contents6"/>
            <w:tabs>
              <w:tab w:val="clear" w:pos="7609"/>
              <w:tab w:val="right" w:pos="9026" w:leader="dot"/>
            </w:tabs>
            <w:rPr/>
          </w:pPr>
          <w:hyperlink w:anchor="__RefHeading___Toc2568352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لو وقعت بیوع متعدّدة علیٰ مال الغیر، فإمّا أن تقع علیٰ نفس مال الغیر، أو علیٰ عوضه</w:t>
            </w:r>
            <w:r>
              <w:rPr>
                <w:rStyle w:val="IndexLink"/>
                <w:rtl w:val="true"/>
              </w:rPr>
              <w:t>]</w:t>
              <w:tab/>
            </w:r>
            <w:r>
              <w:rPr>
                <w:rStyle w:val="IndexLink"/>
              </w:rPr>
              <w:t>422</w:t>
            </w:r>
          </w:hyperlink>
        </w:p>
        <w:p>
          <w:pPr>
            <w:pStyle w:val="Contents6"/>
            <w:tabs>
              <w:tab w:val="clear" w:pos="7609"/>
              <w:tab w:val="right" w:pos="9026" w:leader="dot"/>
            </w:tabs>
            <w:rPr/>
          </w:pPr>
          <w:hyperlink w:anchor="__RefHeading___Toc2568354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الردّ الذی یکون مانعاً عن تأثیر الإجازة</w:t>
            </w:r>
            <w:r>
              <w:rPr>
                <w:rStyle w:val="IndexLink"/>
                <w:rtl w:val="true"/>
              </w:rPr>
              <w:t>]</w:t>
              <w:tab/>
            </w:r>
            <w:r>
              <w:rPr>
                <w:rStyle w:val="IndexLink"/>
              </w:rPr>
              <w:t>423</w:t>
            </w:r>
          </w:hyperlink>
        </w:p>
        <w:p>
          <w:pPr>
            <w:pStyle w:val="Contents6"/>
            <w:tabs>
              <w:tab w:val="clear" w:pos="7609"/>
              <w:tab w:val="right" w:pos="9026" w:leader="dot"/>
            </w:tabs>
            <w:rPr/>
          </w:pPr>
          <w:hyperlink w:anchor="__RefHeading___Toc2568356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حیثما لم تتحقّق الإجازة من المالک سواء تحقّق منه الردّ أم لا کالمتردّد له انتزاع عین ماله مع بقائه</w:t>
            </w:r>
            <w:r>
              <w:rPr>
                <w:rStyle w:val="IndexLink"/>
                <w:rtl w:val="true"/>
              </w:rPr>
              <w:t>]</w:t>
              <w:tab/>
            </w:r>
            <w:r>
              <w:rPr>
                <w:rStyle w:val="IndexLink"/>
              </w:rPr>
              <w:t>423</w:t>
            </w:r>
          </w:hyperlink>
        </w:p>
        <w:p>
          <w:pPr>
            <w:pStyle w:val="Contents6"/>
            <w:tabs>
              <w:tab w:val="clear" w:pos="7609"/>
              <w:tab w:val="right" w:pos="9026" w:leader="dot"/>
            </w:tabs>
            <w:rPr/>
          </w:pPr>
          <w:hyperlink w:anchor="__RefHeading___Toc2568358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لو أحدث المشتری لمال الغیر فیما اشتراه بناءً أو غرساً أو زرعاً</w:t>
            </w:r>
            <w:r>
              <w:rPr>
                <w:rStyle w:val="IndexLink"/>
                <w:rtl w:val="true"/>
              </w:rPr>
              <w:t>]</w:t>
              <w:tab/>
            </w:r>
            <w:r>
              <w:rPr>
                <w:rStyle w:val="IndexLink"/>
              </w:rPr>
              <w:t>424</w:t>
            </w:r>
          </w:hyperlink>
        </w:p>
        <w:p>
          <w:pPr>
            <w:pStyle w:val="Contents6"/>
            <w:tabs>
              <w:tab w:val="clear" w:pos="7609"/>
              <w:tab w:val="right" w:pos="9026" w:leader="dot"/>
            </w:tabs>
            <w:rPr/>
          </w:pPr>
          <w:hyperlink w:anchor="__RefHeading___Toc2568360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لو جمع البائع بین ملکه و ملک غیره</w:t>
            </w:r>
            <w:r>
              <w:rPr>
                <w:rStyle w:val="IndexLink"/>
                <w:rtl w:val="true"/>
              </w:rPr>
              <w:t>]</w:t>
              <w:tab/>
            </w:r>
            <w:r>
              <w:rPr>
                <w:rStyle w:val="IndexLink"/>
              </w:rPr>
              <w:t>425</w:t>
            </w:r>
          </w:hyperlink>
        </w:p>
        <w:p>
          <w:pPr>
            <w:pStyle w:val="Contents6"/>
            <w:tabs>
              <w:tab w:val="clear" w:pos="7609"/>
              <w:tab w:val="right" w:pos="9026" w:leader="dot"/>
            </w:tabs>
            <w:rPr/>
          </w:pPr>
          <w:hyperlink w:anchor="__RefHeading___Toc2568362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طریق معرفة حصّة کلّ منهما من الثمن أن یقوّم کلّ منهما بقیمته الواقعیّة</w:t>
            </w:r>
            <w:r>
              <w:rPr>
                <w:rStyle w:val="IndexLink"/>
                <w:rtl w:val="true"/>
              </w:rPr>
              <w:t>]</w:t>
              <w:tab/>
            </w:r>
            <w:r>
              <w:rPr>
                <w:rStyle w:val="IndexLink"/>
              </w:rPr>
              <w:t>425</w:t>
            </w:r>
          </w:hyperlink>
        </w:p>
        <w:p>
          <w:pPr>
            <w:pStyle w:val="Contents6"/>
            <w:tabs>
              <w:tab w:val="clear" w:pos="7609"/>
              <w:tab w:val="right" w:pos="9026" w:leader="dot"/>
            </w:tabs>
            <w:rPr/>
          </w:pPr>
          <w:hyperlink w:anchor="__RefHeading___Toc2568364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یجوز للأب و الجدّ للأب و إن علا أن یتصرّفا فی مال الصغیر بالبیع و الشراء و الإجارة و غیرها</w:t>
            </w:r>
            <w:r>
              <w:rPr>
                <w:rStyle w:val="IndexLink"/>
                <w:rtl w:val="true"/>
              </w:rPr>
              <w:t>]</w:t>
              <w:tab/>
            </w:r>
            <w:r>
              <w:rPr>
                <w:rStyle w:val="IndexLink"/>
              </w:rPr>
              <w:t>425</w:t>
            </w:r>
          </w:hyperlink>
        </w:p>
        <w:p>
          <w:pPr>
            <w:pStyle w:val="Contents6"/>
            <w:tabs>
              <w:tab w:val="clear" w:pos="7609"/>
              <w:tab w:val="right" w:pos="9026" w:leader="dot"/>
            </w:tabs>
            <w:rPr/>
          </w:pPr>
          <w:hyperlink w:anchor="__RefHeading___Toc2568366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و کما للأب و الجدّ الولایة علی الصغیر فی زمان حیاتهما کذلک لهما نصب القیّم علیه بعد وفاتهما</w:t>
            </w:r>
            <w:r>
              <w:rPr>
                <w:rStyle w:val="IndexLink"/>
                <w:rtl w:val="true"/>
              </w:rPr>
              <w:t>]</w:t>
              <w:tab/>
            </w:r>
            <w:r>
              <w:rPr>
                <w:rStyle w:val="IndexLink"/>
              </w:rPr>
              <w:t>425</w:t>
            </w:r>
          </w:hyperlink>
        </w:p>
        <w:p>
          <w:pPr>
            <w:pStyle w:val="Contents6"/>
            <w:tabs>
              <w:tab w:val="clear" w:pos="7609"/>
              <w:tab w:val="right" w:pos="9026" w:leader="dot"/>
            </w:tabs>
            <w:rPr/>
          </w:pPr>
          <w:hyperlink w:anchor="__RefHeading___Toc2568368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إذا فقد الأب و الجدّ و الوصیّ عنهما یکون للحاکم الشرعی</w:t>
            </w:r>
            <w:r>
              <w:rPr>
                <w:rStyle w:val="IndexLink"/>
                <w:rtl w:val="true"/>
              </w:rPr>
              <w:t>]</w:t>
              <w:tab/>
            </w:r>
            <w:r>
              <w:rPr>
                <w:rStyle w:val="IndexLink"/>
              </w:rPr>
              <w:t>426</w:t>
            </w:r>
          </w:hyperlink>
        </w:p>
        <w:p>
          <w:pPr>
            <w:pStyle w:val="Contents4"/>
            <w:tabs>
              <w:tab w:val="clear" w:pos="8176"/>
              <w:tab w:val="right" w:pos="9026" w:leader="dot"/>
            </w:tabs>
            <w:rPr/>
          </w:pPr>
          <w:hyperlink w:anchor="__RefHeading___Toc2568370_3650668749">
            <w:r>
              <w:rPr>
                <w:webHidden/>
                <w:rStyle w:val="IndexLink"/>
                <w:rtl w:val="true"/>
              </w:rPr>
              <w:t>[</w:t>
            </w:r>
            <w:r>
              <w:rPr>
                <w:rStyle w:val="IndexLink"/>
                <w:rtl w:val="true"/>
              </w:rPr>
              <w:t>القول فی شروط العوضین</w:t>
            </w:r>
            <w:r>
              <w:rPr>
                <w:rStyle w:val="IndexLink"/>
                <w:rtl w:val="true"/>
              </w:rPr>
              <w:t>]</w:t>
              <w:tab/>
            </w:r>
            <w:r>
              <w:rPr>
                <w:rStyle w:val="IndexLink"/>
              </w:rPr>
              <w:t>426</w:t>
            </w:r>
          </w:hyperlink>
        </w:p>
        <w:p>
          <w:pPr>
            <w:pStyle w:val="Contents5"/>
            <w:tabs>
              <w:tab w:val="clear" w:pos="7892"/>
              <w:tab w:val="right" w:pos="9026" w:leader="dot"/>
            </w:tabs>
            <w:rPr/>
          </w:pPr>
          <w:hyperlink w:anchor="__RefHeading___Toc2568372_3650668749">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2568374_3650668749">
            <w:r>
              <w:rPr>
                <w:webHidden/>
                <w:rStyle w:val="IndexLink"/>
                <w:rtl w:val="true"/>
              </w:rPr>
              <w:t>[</w:t>
            </w:r>
            <w:r>
              <w:rPr>
                <w:rStyle w:val="IndexLink"/>
                <w:rtl w:val="true"/>
              </w:rPr>
              <w:t>الأوّل</w:t>
            </w:r>
            <w:r>
              <w:rPr>
                <w:rStyle w:val="IndexLink"/>
                <w:rtl w:val="true"/>
              </w:rPr>
              <w:t xml:space="preserve">: </w:t>
            </w:r>
            <w:r>
              <w:rPr>
                <w:rStyle w:val="IndexLink"/>
                <w:rtl w:val="true"/>
              </w:rPr>
              <w:t>یشترط فی المبیع أن یکون عیناً متموّلًا</w:t>
            </w:r>
            <w:r>
              <w:rPr>
                <w:rStyle w:val="IndexLink"/>
                <w:rtl w:val="true"/>
              </w:rPr>
              <w:t>]</w:t>
              <w:tab/>
            </w:r>
            <w:r>
              <w:rPr>
                <w:rStyle w:val="IndexLink"/>
              </w:rPr>
              <w:t>426</w:t>
            </w:r>
          </w:hyperlink>
        </w:p>
        <w:p>
          <w:pPr>
            <w:pStyle w:val="Contents5"/>
            <w:tabs>
              <w:tab w:val="clear" w:pos="7892"/>
              <w:tab w:val="right" w:pos="9026" w:leader="dot"/>
            </w:tabs>
            <w:rPr/>
          </w:pPr>
          <w:hyperlink w:anchor="__RefHeading___Toc2568376_3650668749">
            <w:r>
              <w:rPr>
                <w:webHidden/>
                <w:rStyle w:val="IndexLink"/>
                <w:rtl w:val="true"/>
              </w:rPr>
              <w:t>[</w:t>
            </w:r>
            <w:r>
              <w:rPr>
                <w:rStyle w:val="IndexLink"/>
                <w:rtl w:val="true"/>
              </w:rPr>
              <w:t>الثانی</w:t>
            </w:r>
            <w:r>
              <w:rPr>
                <w:rStyle w:val="IndexLink"/>
                <w:rtl w:val="true"/>
              </w:rPr>
              <w:t xml:space="preserve">: </w:t>
            </w:r>
            <w:r>
              <w:rPr>
                <w:rStyle w:val="IndexLink"/>
                <w:rtl w:val="true"/>
              </w:rPr>
              <w:t>تعیین مقدار ما کان مقدّراً بالکیل أو الوزن</w:t>
            </w:r>
            <w:r>
              <w:rPr>
                <w:rStyle w:val="IndexLink"/>
                <w:rtl w:val="true"/>
              </w:rPr>
              <w:t>]</w:t>
              <w:tab/>
            </w:r>
            <w:r>
              <w:rPr>
                <w:rStyle w:val="IndexLink"/>
              </w:rPr>
              <w:t>426</w:t>
            </w:r>
          </w:hyperlink>
        </w:p>
        <w:p>
          <w:pPr>
            <w:pStyle w:val="Contents6"/>
            <w:tabs>
              <w:tab w:val="clear" w:pos="7609"/>
              <w:tab w:val="right" w:pos="9026" w:leader="dot"/>
            </w:tabs>
            <w:rPr/>
          </w:pPr>
          <w:hyperlink w:anchor="__RefHeading___Toc2568378_3650668749">
            <w:r>
              <w:rPr>
                <w:webHidden/>
                <w:rStyle w:val="IndexLink"/>
                <w:rtl w:val="true"/>
              </w:rPr>
              <w:t>اشارة</w:t>
            </w:r>
            <w:r>
              <w:rPr>
                <w:rStyle w:val="IndexLink"/>
                <w:rtl w:val="true"/>
              </w:rPr>
              <w:tab/>
            </w:r>
            <w:r>
              <w:rPr>
                <w:rStyle w:val="IndexLink"/>
              </w:rPr>
              <w:t>426</w:t>
            </w:r>
          </w:hyperlink>
        </w:p>
        <w:p>
          <w:pPr>
            <w:pStyle w:val="Contents6"/>
            <w:tabs>
              <w:tab w:val="clear" w:pos="7609"/>
              <w:tab w:val="right" w:pos="9026" w:leader="dot"/>
            </w:tabs>
            <w:rPr/>
          </w:pPr>
          <w:hyperlink w:anchor="__RefHeading___Toc256838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یجوز الاعتماد علیٰ إخبار البائع بمقدار المبیع فیشتریه مبنیّاً علیٰ ما أخبر به</w:t>
            </w:r>
            <w:r>
              <w:rPr>
                <w:rStyle w:val="IndexLink"/>
                <w:rtl w:val="true"/>
              </w:rPr>
              <w:t>]</w:t>
              <w:tab/>
            </w:r>
            <w:r>
              <w:rPr>
                <w:rStyle w:val="IndexLink"/>
              </w:rPr>
              <w:t>426</w:t>
            </w:r>
          </w:hyperlink>
        </w:p>
        <w:p>
          <w:pPr>
            <w:pStyle w:val="Contents6"/>
            <w:tabs>
              <w:tab w:val="clear" w:pos="7609"/>
              <w:tab w:val="right" w:pos="9026" w:leader="dot"/>
            </w:tabs>
            <w:rPr/>
          </w:pPr>
          <w:hyperlink w:anchor="__RefHeading___Toc256838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الظاهر أنّه یکفی المشاهدة فی بیع الحطب قبل أن یحلّ حمله و صار کومة منه</w:t>
            </w:r>
            <w:r>
              <w:rPr>
                <w:rStyle w:val="IndexLink"/>
                <w:rtl w:val="true"/>
              </w:rPr>
              <w:t>]</w:t>
              <w:tab/>
            </w:r>
            <w:r>
              <w:rPr>
                <w:rStyle w:val="IndexLink"/>
              </w:rPr>
              <w:t>427</w:t>
            </w:r>
          </w:hyperlink>
        </w:p>
        <w:p>
          <w:pPr>
            <w:pStyle w:val="Contents6"/>
            <w:tabs>
              <w:tab w:val="clear" w:pos="7609"/>
              <w:tab w:val="right" w:pos="9026" w:leader="dot"/>
            </w:tabs>
            <w:rPr/>
          </w:pPr>
          <w:hyperlink w:anchor="__RefHeading___Toc256838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الظاهر عدم کفایة المشاهدة فی بیع الأراضی التی یقدّر مالیّتها</w:t>
            </w:r>
            <w:r>
              <w:rPr>
                <w:rStyle w:val="IndexLink"/>
                <w:rtl w:val="true"/>
              </w:rPr>
              <w:t>]</w:t>
              <w:tab/>
            </w:r>
            <w:r>
              <w:rPr>
                <w:rStyle w:val="IndexLink"/>
              </w:rPr>
              <w:t>427</w:t>
            </w:r>
          </w:hyperlink>
        </w:p>
        <w:p>
          <w:pPr>
            <w:pStyle w:val="Contents6"/>
            <w:tabs>
              <w:tab w:val="clear" w:pos="7609"/>
              <w:tab w:val="right" w:pos="9026" w:leader="dot"/>
            </w:tabs>
            <w:rPr/>
          </w:pPr>
          <w:hyperlink w:anchor="__RefHeading___Toc256838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اختلفت البلدان فی شی‌ء؛ بأن کان موزوناً فی بلد مثلًا و معدوداً فی آخر</w:t>
            </w:r>
            <w:r>
              <w:rPr>
                <w:rStyle w:val="IndexLink"/>
                <w:rtl w:val="true"/>
              </w:rPr>
              <w:t>]</w:t>
              <w:tab/>
            </w:r>
            <w:r>
              <w:rPr>
                <w:rStyle w:val="IndexLink"/>
              </w:rPr>
              <w:t>427</w:t>
            </w:r>
          </w:hyperlink>
        </w:p>
        <w:p>
          <w:pPr>
            <w:pStyle w:val="Contents5"/>
            <w:tabs>
              <w:tab w:val="clear" w:pos="7892"/>
              <w:tab w:val="right" w:pos="9026" w:leader="dot"/>
            </w:tabs>
            <w:rPr/>
          </w:pPr>
          <w:hyperlink w:anchor="__RefHeading___Toc2568388_3650668749">
            <w:r>
              <w:rPr>
                <w:webHidden/>
                <w:rStyle w:val="IndexLink"/>
                <w:rtl w:val="true"/>
              </w:rPr>
              <w:t>[</w:t>
            </w:r>
            <w:r>
              <w:rPr>
                <w:rStyle w:val="IndexLink"/>
                <w:rtl w:val="true"/>
              </w:rPr>
              <w:t>الثالث</w:t>
            </w:r>
            <w:r>
              <w:rPr>
                <w:rStyle w:val="IndexLink"/>
                <w:rtl w:val="true"/>
              </w:rPr>
              <w:t xml:space="preserve">: </w:t>
            </w:r>
            <w:r>
              <w:rPr>
                <w:rStyle w:val="IndexLink"/>
                <w:rtl w:val="true"/>
              </w:rPr>
              <w:t>معرفة جنس العوضین و أوصافهما التی تتفاوت بها القیمة و تختلف لها الرغبات</w:t>
            </w:r>
            <w:r>
              <w:rPr>
                <w:rStyle w:val="IndexLink"/>
                <w:rtl w:val="true"/>
              </w:rPr>
              <w:t>]</w:t>
              <w:tab/>
            </w:r>
            <w:r>
              <w:rPr>
                <w:rStyle w:val="IndexLink"/>
              </w:rPr>
              <w:t>427</w:t>
            </w:r>
          </w:hyperlink>
        </w:p>
        <w:p>
          <w:pPr>
            <w:pStyle w:val="Contents5"/>
            <w:tabs>
              <w:tab w:val="clear" w:pos="7892"/>
              <w:tab w:val="right" w:pos="9026" w:leader="dot"/>
            </w:tabs>
            <w:rPr/>
          </w:pPr>
          <w:hyperlink w:anchor="__RefHeading___Toc2568390_3650668749">
            <w:r>
              <w:rPr>
                <w:webHidden/>
                <w:rStyle w:val="IndexLink"/>
                <w:rtl w:val="true"/>
              </w:rPr>
              <w:t>[</w:t>
            </w:r>
            <w:r>
              <w:rPr>
                <w:rStyle w:val="IndexLink"/>
                <w:rtl w:val="true"/>
              </w:rPr>
              <w:t>الرابع</w:t>
            </w:r>
            <w:r>
              <w:rPr>
                <w:rStyle w:val="IndexLink"/>
                <w:rtl w:val="true"/>
              </w:rPr>
              <w:t xml:space="preserve">: </w:t>
            </w:r>
            <w:r>
              <w:rPr>
                <w:rStyle w:val="IndexLink"/>
                <w:rtl w:val="true"/>
              </w:rPr>
              <w:t>کون العوضین ملکاً طلقاً</w:t>
            </w:r>
            <w:r>
              <w:rPr>
                <w:rStyle w:val="IndexLink"/>
                <w:rtl w:val="true"/>
              </w:rPr>
              <w:t>]</w:t>
              <w:tab/>
            </w:r>
            <w:r>
              <w:rPr>
                <w:rStyle w:val="IndexLink"/>
              </w:rPr>
              <w:t>427</w:t>
            </w:r>
          </w:hyperlink>
        </w:p>
        <w:p>
          <w:pPr>
            <w:pStyle w:val="Contents6"/>
            <w:tabs>
              <w:tab w:val="clear" w:pos="7609"/>
              <w:tab w:val="right" w:pos="9026" w:leader="dot"/>
            </w:tabs>
            <w:rPr/>
          </w:pPr>
          <w:hyperlink w:anchor="__RefHeading___Toc2568392_3650668749">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256839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یجوز بیع الوقف فی مواضع</w:t>
            </w:r>
            <w:r>
              <w:rPr>
                <w:rStyle w:val="IndexLink"/>
                <w:rtl w:val="true"/>
              </w:rPr>
              <w:t>]</w:t>
              <w:tab/>
            </w:r>
            <w:r>
              <w:rPr>
                <w:rStyle w:val="IndexLink"/>
              </w:rPr>
              <w:t>428</w:t>
            </w:r>
          </w:hyperlink>
        </w:p>
        <w:p>
          <w:pPr>
            <w:pStyle w:val="Contents6"/>
            <w:tabs>
              <w:tab w:val="clear" w:pos="7609"/>
              <w:tab w:val="right" w:pos="9026" w:leader="dot"/>
            </w:tabs>
            <w:rPr/>
          </w:pPr>
          <w:hyperlink w:anchor="__RefHeading___Toc2568396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إنّما لا یجوز بیع أُمّ الولد إذا لم یمت ولدها فی حیاة سیّدها</w:t>
            </w:r>
            <w:r>
              <w:rPr>
                <w:rStyle w:val="IndexLink"/>
                <w:rtl w:val="true"/>
              </w:rPr>
              <w:t>]</w:t>
              <w:tab/>
            </w:r>
            <w:r>
              <w:rPr>
                <w:rStyle w:val="IndexLink"/>
              </w:rPr>
              <w:t>428</w:t>
            </w:r>
          </w:hyperlink>
        </w:p>
        <w:p>
          <w:pPr>
            <w:pStyle w:val="Contents6"/>
            <w:tabs>
              <w:tab w:val="clear" w:pos="7609"/>
              <w:tab w:val="right" w:pos="9026" w:leader="dot"/>
            </w:tabs>
            <w:rPr/>
          </w:pPr>
          <w:hyperlink w:anchor="__RefHeading___Toc2568398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لا یجوز بیع الأرض المفتوحة عنوة</w:t>
            </w:r>
            <w:r>
              <w:rPr>
                <w:rStyle w:val="IndexLink"/>
                <w:rtl w:val="true"/>
              </w:rPr>
              <w:t>]</w:t>
              <w:tab/>
            </w:r>
            <w:r>
              <w:rPr>
                <w:rStyle w:val="IndexLink"/>
              </w:rPr>
              <w:t>428</w:t>
            </w:r>
          </w:hyperlink>
        </w:p>
        <w:p>
          <w:pPr>
            <w:pStyle w:val="Contents5"/>
            <w:tabs>
              <w:tab w:val="clear" w:pos="7892"/>
              <w:tab w:val="right" w:pos="9026" w:leader="dot"/>
            </w:tabs>
            <w:rPr/>
          </w:pPr>
          <w:hyperlink w:anchor="__RefHeading___Toc2568400_3650668749">
            <w:r>
              <w:rPr>
                <w:webHidden/>
                <w:rStyle w:val="IndexLink"/>
                <w:rtl w:val="true"/>
              </w:rPr>
              <w:t>[</w:t>
            </w:r>
            <w:r>
              <w:rPr>
                <w:rStyle w:val="IndexLink"/>
                <w:rtl w:val="true"/>
              </w:rPr>
              <w:t>الخامس</w:t>
            </w:r>
            <w:r>
              <w:rPr>
                <w:rStyle w:val="IndexLink"/>
                <w:rtl w:val="true"/>
              </w:rPr>
              <w:t xml:space="preserve">: </w:t>
            </w:r>
            <w:r>
              <w:rPr>
                <w:rStyle w:val="IndexLink"/>
                <w:rtl w:val="true"/>
              </w:rPr>
              <w:t>القدرة علی التسلیم</w:t>
            </w:r>
            <w:r>
              <w:rPr>
                <w:rStyle w:val="IndexLink"/>
                <w:rtl w:val="true"/>
              </w:rPr>
              <w:t>]</w:t>
              <w:tab/>
            </w:r>
            <w:r>
              <w:rPr>
                <w:rStyle w:val="IndexLink"/>
              </w:rPr>
              <w:t>429</w:t>
            </w:r>
          </w:hyperlink>
        </w:p>
        <w:p>
          <w:pPr>
            <w:pStyle w:val="Contents3"/>
            <w:tabs>
              <w:tab w:val="clear" w:pos="8459"/>
              <w:tab w:val="right" w:pos="9026" w:leader="dot"/>
            </w:tabs>
            <w:rPr/>
          </w:pPr>
          <w:hyperlink w:anchor="__RefHeading___Toc2568402_3650668749">
            <w:r>
              <w:rPr>
                <w:webHidden/>
                <w:rStyle w:val="IndexLink"/>
                <w:rtl w:val="true"/>
              </w:rPr>
              <w:t>[</w:t>
            </w:r>
            <w:r>
              <w:rPr>
                <w:rStyle w:val="IndexLink"/>
                <w:rtl w:val="true"/>
              </w:rPr>
              <w:t>القول فی الخیارات</w:t>
            </w:r>
            <w:r>
              <w:rPr>
                <w:rStyle w:val="IndexLink"/>
                <w:rtl w:val="true"/>
              </w:rPr>
              <w:t>]</w:t>
              <w:tab/>
            </w:r>
            <w:r>
              <w:rPr>
                <w:rStyle w:val="IndexLink"/>
              </w:rPr>
              <w:t>429</w:t>
            </w:r>
          </w:hyperlink>
        </w:p>
        <w:p>
          <w:pPr>
            <w:pStyle w:val="Contents4"/>
            <w:tabs>
              <w:tab w:val="clear" w:pos="8176"/>
              <w:tab w:val="right" w:pos="9026" w:leader="dot"/>
            </w:tabs>
            <w:rPr/>
          </w:pPr>
          <w:hyperlink w:anchor="__RefHeading___Toc2568404_3650668749">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2568406_3650668749">
            <w:r>
              <w:rPr>
                <w:webHidden/>
                <w:rStyle w:val="IndexLink"/>
                <w:rtl w:val="true"/>
              </w:rPr>
              <w:t>[</w:t>
            </w:r>
            <w:r>
              <w:rPr>
                <w:rStyle w:val="IndexLink"/>
                <w:rtl w:val="true"/>
              </w:rPr>
              <w:t>و هی أقسام</w:t>
            </w:r>
            <w:r>
              <w:rPr>
                <w:rStyle w:val="IndexLink"/>
                <w:rtl w:val="true"/>
              </w:rPr>
              <w:t>]</w:t>
              <w:tab/>
            </w:r>
            <w:r>
              <w:rPr>
                <w:rStyle w:val="IndexLink"/>
              </w:rPr>
              <w:t>429</w:t>
            </w:r>
          </w:hyperlink>
        </w:p>
        <w:p>
          <w:pPr>
            <w:pStyle w:val="Contents5"/>
            <w:tabs>
              <w:tab w:val="clear" w:pos="7892"/>
              <w:tab w:val="right" w:pos="9026" w:leader="dot"/>
            </w:tabs>
            <w:rPr/>
          </w:pPr>
          <w:hyperlink w:anchor="__RefHeading___Toc2568408_3650668749">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2568410_3650668749">
            <w:r>
              <w:rPr>
                <w:webHidden/>
                <w:rStyle w:val="IndexLink"/>
                <w:rtl w:val="true"/>
              </w:rPr>
              <w:t>[</w:t>
            </w:r>
            <w:r>
              <w:rPr>
                <w:rStyle w:val="IndexLink"/>
                <w:rtl w:val="true"/>
              </w:rPr>
              <w:t>الأوّل</w:t>
            </w:r>
            <w:r>
              <w:rPr>
                <w:rStyle w:val="IndexLink"/>
                <w:rtl w:val="true"/>
              </w:rPr>
              <w:t xml:space="preserve">: </w:t>
            </w:r>
            <w:r>
              <w:rPr>
                <w:rStyle w:val="IndexLink"/>
                <w:rtl w:val="true"/>
              </w:rPr>
              <w:t>خیار المجلس</w:t>
            </w:r>
            <w:r>
              <w:rPr>
                <w:rStyle w:val="IndexLink"/>
                <w:rtl w:val="true"/>
              </w:rPr>
              <w:t>]</w:t>
              <w:tab/>
            </w:r>
            <w:r>
              <w:rPr>
                <w:rStyle w:val="IndexLink"/>
              </w:rPr>
              <w:t>429</w:t>
            </w:r>
          </w:hyperlink>
        </w:p>
        <w:p>
          <w:pPr>
            <w:pStyle w:val="Contents5"/>
            <w:tabs>
              <w:tab w:val="clear" w:pos="7892"/>
              <w:tab w:val="right" w:pos="9026" w:leader="dot"/>
            </w:tabs>
            <w:rPr/>
          </w:pPr>
          <w:hyperlink w:anchor="__RefHeading___Toc2568412_3650668749">
            <w:r>
              <w:rPr>
                <w:webHidden/>
                <w:rStyle w:val="IndexLink"/>
                <w:rtl w:val="true"/>
              </w:rPr>
              <w:t>[</w:t>
            </w:r>
            <w:r>
              <w:rPr>
                <w:rStyle w:val="IndexLink"/>
                <w:rtl w:val="true"/>
              </w:rPr>
              <w:t>الثانی</w:t>
            </w:r>
            <w:r>
              <w:rPr>
                <w:rStyle w:val="IndexLink"/>
                <w:rtl w:val="true"/>
              </w:rPr>
              <w:t xml:space="preserve">: </w:t>
            </w:r>
            <w:r>
              <w:rPr>
                <w:rStyle w:val="IndexLink"/>
                <w:rtl w:val="true"/>
              </w:rPr>
              <w:t>خیار الحیوان</w:t>
            </w:r>
            <w:r>
              <w:rPr>
                <w:rStyle w:val="IndexLink"/>
                <w:rtl w:val="true"/>
              </w:rPr>
              <w:t>]</w:t>
              <w:tab/>
            </w:r>
            <w:r>
              <w:rPr>
                <w:rStyle w:val="IndexLink"/>
              </w:rPr>
              <w:t>429</w:t>
            </w:r>
          </w:hyperlink>
        </w:p>
        <w:p>
          <w:pPr>
            <w:pStyle w:val="Contents6"/>
            <w:tabs>
              <w:tab w:val="clear" w:pos="7609"/>
              <w:tab w:val="right" w:pos="9026" w:leader="dot"/>
            </w:tabs>
            <w:rPr/>
          </w:pPr>
          <w:hyperlink w:anchor="__RefHeading___Toc2568414_3650668749">
            <w:r>
              <w:rPr>
                <w:webHidden/>
                <w:rStyle w:val="IndexLink"/>
                <w:rtl w:val="true"/>
              </w:rPr>
              <w:t>اشارة</w:t>
            </w:r>
            <w:r>
              <w:rPr>
                <w:rStyle w:val="IndexLink"/>
                <w:rtl w:val="true"/>
              </w:rPr>
              <w:tab/>
            </w:r>
            <w:r>
              <w:rPr>
                <w:rStyle w:val="IndexLink"/>
              </w:rPr>
              <w:t>429</w:t>
            </w:r>
          </w:hyperlink>
        </w:p>
        <w:p>
          <w:pPr>
            <w:pStyle w:val="Contents6"/>
            <w:tabs>
              <w:tab w:val="clear" w:pos="7609"/>
              <w:tab w:val="right" w:pos="9026" w:leader="dot"/>
            </w:tabs>
            <w:rPr/>
          </w:pPr>
          <w:hyperlink w:anchor="__RefHeading___Toc256841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لو تصرّف المشتری فی الحیوان تصرّفاً یدلّ علی الرضا</w:t>
            </w:r>
            <w:r>
              <w:rPr>
                <w:rStyle w:val="IndexLink"/>
                <w:rtl w:val="true"/>
              </w:rPr>
              <w:t>]</w:t>
              <w:tab/>
            </w:r>
            <w:r>
              <w:rPr>
                <w:rStyle w:val="IndexLink"/>
              </w:rPr>
              <w:t>429</w:t>
            </w:r>
          </w:hyperlink>
        </w:p>
        <w:p>
          <w:pPr>
            <w:pStyle w:val="Contents6"/>
            <w:tabs>
              <w:tab w:val="clear" w:pos="7609"/>
              <w:tab w:val="right" w:pos="9026" w:leader="dot"/>
            </w:tabs>
            <w:rPr/>
          </w:pPr>
          <w:hyperlink w:anchor="__RefHeading___Toc256841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لو تلف الحیوان فی مدّة الخیار کان من مال البائع</w:t>
            </w:r>
            <w:r>
              <w:rPr>
                <w:rStyle w:val="IndexLink"/>
                <w:rtl w:val="true"/>
              </w:rPr>
              <w:t>]</w:t>
              <w:tab/>
            </w:r>
            <w:r>
              <w:rPr>
                <w:rStyle w:val="IndexLink"/>
              </w:rPr>
              <w:t>430</w:t>
            </w:r>
          </w:hyperlink>
        </w:p>
        <w:p>
          <w:pPr>
            <w:pStyle w:val="Contents6"/>
            <w:tabs>
              <w:tab w:val="clear" w:pos="7609"/>
              <w:tab w:val="right" w:pos="9026" w:leader="dot"/>
            </w:tabs>
            <w:rPr/>
          </w:pPr>
          <w:hyperlink w:anchor="__RefHeading___Toc256842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العیب الحادث فی الثلاثة من غیر تفریط من المشتری لا یمنع عن الفسخ و الردّ</w:t>
            </w:r>
            <w:r>
              <w:rPr>
                <w:rStyle w:val="IndexLink"/>
                <w:rtl w:val="true"/>
              </w:rPr>
              <w:t>]</w:t>
              <w:tab/>
            </w:r>
            <w:r>
              <w:rPr>
                <w:rStyle w:val="IndexLink"/>
              </w:rPr>
              <w:t>430</w:t>
            </w:r>
          </w:hyperlink>
        </w:p>
        <w:p>
          <w:pPr>
            <w:pStyle w:val="Contents5"/>
            <w:tabs>
              <w:tab w:val="clear" w:pos="7892"/>
              <w:tab w:val="right" w:pos="9026" w:leader="dot"/>
            </w:tabs>
            <w:rPr/>
          </w:pPr>
          <w:hyperlink w:anchor="__RefHeading___Toc2568422_3650668749">
            <w:r>
              <w:rPr>
                <w:webHidden/>
                <w:rStyle w:val="IndexLink"/>
                <w:rtl w:val="true"/>
              </w:rPr>
              <w:t>[</w:t>
            </w:r>
            <w:r>
              <w:rPr>
                <w:rStyle w:val="IndexLink"/>
                <w:rtl w:val="true"/>
              </w:rPr>
              <w:t>الثالث</w:t>
            </w:r>
            <w:r>
              <w:rPr>
                <w:rStyle w:val="IndexLink"/>
                <w:rtl w:val="true"/>
              </w:rPr>
              <w:t xml:space="preserve">: </w:t>
            </w:r>
            <w:r>
              <w:rPr>
                <w:rStyle w:val="IndexLink"/>
                <w:rtl w:val="true"/>
              </w:rPr>
              <w:t>خیار الشرط</w:t>
            </w:r>
            <w:r>
              <w:rPr>
                <w:rStyle w:val="IndexLink"/>
                <w:rtl w:val="true"/>
              </w:rPr>
              <w:t>]</w:t>
              <w:tab/>
            </w:r>
            <w:r>
              <w:rPr>
                <w:rStyle w:val="IndexLink"/>
              </w:rPr>
              <w:t>430</w:t>
            </w:r>
          </w:hyperlink>
        </w:p>
        <w:p>
          <w:pPr>
            <w:pStyle w:val="Contents6"/>
            <w:tabs>
              <w:tab w:val="clear" w:pos="7609"/>
              <w:tab w:val="right" w:pos="9026" w:leader="dot"/>
            </w:tabs>
            <w:rPr/>
          </w:pPr>
          <w:hyperlink w:anchor="__RefHeading___Toc2568424_3650668749">
            <w:r>
              <w:rPr>
                <w:webHidden/>
                <w:rStyle w:val="IndexLink"/>
                <w:rtl w:val="true"/>
              </w:rPr>
              <w:t>اشارة</w:t>
            </w:r>
            <w:r>
              <w:rPr>
                <w:rStyle w:val="IndexLink"/>
                <w:rtl w:val="true"/>
              </w:rPr>
              <w:tab/>
            </w:r>
            <w:r>
              <w:rPr>
                <w:rStyle w:val="IndexLink"/>
              </w:rPr>
              <w:t>430</w:t>
            </w:r>
          </w:hyperlink>
        </w:p>
        <w:p>
          <w:pPr>
            <w:pStyle w:val="Contents6"/>
            <w:tabs>
              <w:tab w:val="clear" w:pos="7609"/>
              <w:tab w:val="right" w:pos="9026" w:leader="dot"/>
            </w:tabs>
            <w:rPr/>
          </w:pPr>
          <w:hyperlink w:anchor="__RefHeading___Toc256842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یجوز أن یشترط لأحدهما أو لهما الخیار بعد الاستئمار و الاستشارة</w:t>
            </w:r>
            <w:r>
              <w:rPr>
                <w:rStyle w:val="IndexLink"/>
                <w:rtl w:val="true"/>
              </w:rPr>
              <w:t>]</w:t>
              <w:tab/>
            </w:r>
            <w:r>
              <w:rPr>
                <w:rStyle w:val="IndexLink"/>
              </w:rPr>
              <w:t>430</w:t>
            </w:r>
          </w:hyperlink>
        </w:p>
        <w:p>
          <w:pPr>
            <w:pStyle w:val="Contents6"/>
            <w:tabs>
              <w:tab w:val="clear" w:pos="7609"/>
              <w:tab w:val="right" w:pos="9026" w:leader="dot"/>
            </w:tabs>
            <w:rPr/>
          </w:pPr>
          <w:hyperlink w:anchor="__RefHeading___Toc256842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إشکال فی عدم اختصاص خیار الشرط بالبیع و جریانه فی کلّ عقد لازم</w:t>
            </w:r>
            <w:r>
              <w:rPr>
                <w:rStyle w:val="IndexLink"/>
                <w:rtl w:val="true"/>
              </w:rPr>
              <w:t>]</w:t>
              <w:tab/>
            </w:r>
            <w:r>
              <w:rPr>
                <w:rStyle w:val="IndexLink"/>
              </w:rPr>
              <w:t>430</w:t>
            </w:r>
          </w:hyperlink>
        </w:p>
        <w:p>
          <w:pPr>
            <w:pStyle w:val="Contents6"/>
            <w:tabs>
              <w:tab w:val="clear" w:pos="7609"/>
              <w:tab w:val="right" w:pos="9026" w:leader="dot"/>
            </w:tabs>
            <w:rPr/>
          </w:pPr>
          <w:hyperlink w:anchor="__RefHeading___Toc256843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یجوز اشتراط الخیار للبائع إذا ردّ الثمن بعینه أو ما یعمّ مثله إلیٰ مدّة معیّنة</w:t>
            </w:r>
            <w:r>
              <w:rPr>
                <w:rStyle w:val="IndexLink"/>
                <w:rtl w:val="true"/>
              </w:rPr>
              <w:t>]</w:t>
              <w:tab/>
            </w:r>
            <w:r>
              <w:rPr>
                <w:rStyle w:val="IndexLink"/>
              </w:rPr>
              <w:t>430</w:t>
            </w:r>
          </w:hyperlink>
        </w:p>
        <w:p>
          <w:pPr>
            <w:pStyle w:val="Contents6"/>
            <w:tabs>
              <w:tab w:val="clear" w:pos="7609"/>
              <w:tab w:val="right" w:pos="9026" w:leader="dot"/>
            </w:tabs>
            <w:rPr/>
          </w:pPr>
          <w:hyperlink w:anchor="__RefHeading___Toc256843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نماء المبیع و منافعه فی هذه المدّة للمشتری</w:t>
            </w:r>
            <w:r>
              <w:rPr>
                <w:rStyle w:val="IndexLink"/>
                <w:rtl w:val="true"/>
              </w:rPr>
              <w:t>]</w:t>
              <w:tab/>
            </w:r>
            <w:r>
              <w:rPr>
                <w:rStyle w:val="IndexLink"/>
              </w:rPr>
              <w:t>431</w:t>
            </w:r>
          </w:hyperlink>
        </w:p>
        <w:p>
          <w:pPr>
            <w:pStyle w:val="Contents6"/>
            <w:tabs>
              <w:tab w:val="clear" w:pos="7609"/>
              <w:tab w:val="right" w:pos="9026" w:leader="dot"/>
            </w:tabs>
            <w:rPr/>
          </w:pPr>
          <w:hyperlink w:anchor="__RefHeading___Toc256843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الثمن المشروط ردّه إذا کان کلّیّاً فی ذمّة البائع</w:t>
            </w:r>
            <w:r>
              <w:rPr>
                <w:rStyle w:val="IndexLink"/>
                <w:rtl w:val="true"/>
              </w:rPr>
              <w:t>]</w:t>
              <w:tab/>
            </w:r>
            <w:r>
              <w:rPr>
                <w:rStyle w:val="IndexLink"/>
              </w:rPr>
              <w:t>431</w:t>
            </w:r>
          </w:hyperlink>
        </w:p>
        <w:p>
          <w:pPr>
            <w:pStyle w:val="Contents6"/>
            <w:tabs>
              <w:tab w:val="clear" w:pos="7609"/>
              <w:tab w:val="right" w:pos="9026" w:leader="dot"/>
            </w:tabs>
            <w:rPr/>
          </w:pPr>
          <w:hyperlink w:anchor="__RefHeading___Toc256843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إذا لم یقبض البائع الثمن أصلًا سواءً کان کلّیّاً فی ذمّة المشتری أو عیناً موجوداً عنده فهل له هذا الخیار</w:t>
            </w:r>
            <w:r>
              <w:rPr>
                <w:rStyle w:val="IndexLink"/>
                <w:rtl w:val="true"/>
              </w:rPr>
              <w:t>]</w:t>
              <w:tab/>
            </w:r>
            <w:r>
              <w:rPr>
                <w:rStyle w:val="IndexLink"/>
              </w:rPr>
              <w:t>431</w:t>
            </w:r>
          </w:hyperlink>
        </w:p>
        <w:p>
          <w:pPr>
            <w:pStyle w:val="Contents6"/>
            <w:tabs>
              <w:tab w:val="clear" w:pos="7609"/>
              <w:tab w:val="right" w:pos="9026" w:leader="dot"/>
            </w:tabs>
            <w:rPr/>
          </w:pPr>
          <w:hyperlink w:anchor="__RefHeading___Toc2568438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کما أنّه یتحقّق ردّ الثمن بردّه إلیٰ نفس المشتری یتحقّق أیضاً بإیصاله إلیٰ وکیله فی خصوص ذلک</w:t>
            </w:r>
            <w:r>
              <w:rPr>
                <w:rStyle w:val="IndexLink"/>
                <w:rtl w:val="true"/>
              </w:rPr>
              <w:t>]</w:t>
              <w:tab/>
            </w:r>
            <w:r>
              <w:rPr>
                <w:rStyle w:val="IndexLink"/>
              </w:rPr>
              <w:t>431</w:t>
            </w:r>
          </w:hyperlink>
        </w:p>
        <w:p>
          <w:pPr>
            <w:pStyle w:val="Contents6"/>
            <w:tabs>
              <w:tab w:val="clear" w:pos="7609"/>
              <w:tab w:val="right" w:pos="9026" w:leader="dot"/>
            </w:tabs>
            <w:rPr/>
          </w:pPr>
          <w:hyperlink w:anchor="__RefHeading___Toc2568440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لو اشتری الولیّ شیئاً للمولّیٰ علیه ببیع الخیار فارتفع حجره</w:t>
            </w:r>
            <w:r>
              <w:rPr>
                <w:rStyle w:val="IndexLink"/>
                <w:rtl w:val="true"/>
              </w:rPr>
              <w:t>]</w:t>
              <w:tab/>
            </w:r>
            <w:r>
              <w:rPr>
                <w:rStyle w:val="IndexLink"/>
              </w:rPr>
              <w:t>431</w:t>
            </w:r>
          </w:hyperlink>
        </w:p>
        <w:p>
          <w:pPr>
            <w:pStyle w:val="Contents6"/>
            <w:tabs>
              <w:tab w:val="clear" w:pos="7609"/>
              <w:tab w:val="right" w:pos="9026" w:leader="dot"/>
            </w:tabs>
            <w:rPr/>
          </w:pPr>
          <w:hyperlink w:anchor="__RefHeading___Toc2568442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إذا مات البائع ینتقل هذا الخیار کسائر الخیارات إلیٰ ورثته</w:t>
            </w:r>
            <w:r>
              <w:rPr>
                <w:rStyle w:val="IndexLink"/>
                <w:rtl w:val="true"/>
              </w:rPr>
              <w:t>]</w:t>
              <w:tab/>
            </w:r>
            <w:r>
              <w:rPr>
                <w:rStyle w:val="IndexLink"/>
              </w:rPr>
              <w:t>432</w:t>
            </w:r>
          </w:hyperlink>
        </w:p>
        <w:p>
          <w:pPr>
            <w:pStyle w:val="Contents6"/>
            <w:tabs>
              <w:tab w:val="clear" w:pos="7609"/>
              <w:tab w:val="right" w:pos="9026" w:leader="dot"/>
            </w:tabs>
            <w:rPr/>
          </w:pPr>
          <w:hyperlink w:anchor="__RefHeading___Toc2568444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کما یجوز للبائع اشتراط الخیار له بردّ الثمن کذا یجوز للمشتری اشتراط الفسخ له عند ردّ المثمن</w:t>
            </w:r>
            <w:r>
              <w:rPr>
                <w:rStyle w:val="IndexLink"/>
                <w:rtl w:val="true"/>
              </w:rPr>
              <w:t>]</w:t>
              <w:tab/>
            </w:r>
            <w:r>
              <w:rPr>
                <w:rStyle w:val="IndexLink"/>
              </w:rPr>
              <w:t>432</w:t>
            </w:r>
          </w:hyperlink>
        </w:p>
        <w:p>
          <w:pPr>
            <w:pStyle w:val="Contents5"/>
            <w:tabs>
              <w:tab w:val="clear" w:pos="7892"/>
              <w:tab w:val="right" w:pos="9026" w:leader="dot"/>
            </w:tabs>
            <w:rPr/>
          </w:pPr>
          <w:hyperlink w:anchor="__RefHeading___Toc2568446_3650668749">
            <w:r>
              <w:rPr>
                <w:webHidden/>
                <w:rStyle w:val="IndexLink"/>
                <w:rtl w:val="true"/>
              </w:rPr>
              <w:t>[</w:t>
            </w:r>
            <w:r>
              <w:rPr>
                <w:rStyle w:val="IndexLink"/>
                <w:rtl w:val="true"/>
              </w:rPr>
              <w:t>الرابع</w:t>
            </w:r>
            <w:r>
              <w:rPr>
                <w:rStyle w:val="IndexLink"/>
                <w:rtl w:val="true"/>
              </w:rPr>
              <w:t xml:space="preserve">: </w:t>
            </w:r>
            <w:r>
              <w:rPr>
                <w:rStyle w:val="IndexLink"/>
                <w:rtl w:val="true"/>
              </w:rPr>
              <w:t>خیار الغبن</w:t>
            </w:r>
            <w:r>
              <w:rPr>
                <w:rStyle w:val="IndexLink"/>
                <w:rtl w:val="true"/>
              </w:rPr>
              <w:t>]</w:t>
              <w:tab/>
            </w:r>
            <w:r>
              <w:rPr>
                <w:rStyle w:val="IndexLink"/>
              </w:rPr>
              <w:t>432</w:t>
            </w:r>
          </w:hyperlink>
        </w:p>
        <w:p>
          <w:pPr>
            <w:pStyle w:val="Contents6"/>
            <w:tabs>
              <w:tab w:val="clear" w:pos="7609"/>
              <w:tab w:val="right" w:pos="9026" w:leader="dot"/>
            </w:tabs>
            <w:rPr/>
          </w:pPr>
          <w:hyperlink w:anchor="__RefHeading___Toc2568448_3650668749">
            <w:r>
              <w:rPr>
                <w:webHidden/>
                <w:rStyle w:val="IndexLink"/>
                <w:rtl w:val="true"/>
              </w:rPr>
              <w:t>اشارة</w:t>
            </w:r>
            <w:r>
              <w:rPr>
                <w:rStyle w:val="IndexLink"/>
                <w:rtl w:val="true"/>
              </w:rPr>
              <w:tab/>
            </w:r>
            <w:r>
              <w:rPr>
                <w:rStyle w:val="IndexLink"/>
              </w:rPr>
              <w:t>432</w:t>
            </w:r>
          </w:hyperlink>
        </w:p>
        <w:p>
          <w:pPr>
            <w:pStyle w:val="Contents6"/>
            <w:tabs>
              <w:tab w:val="clear" w:pos="7609"/>
              <w:tab w:val="right" w:pos="9026" w:leader="dot"/>
            </w:tabs>
            <w:rPr/>
          </w:pPr>
          <w:hyperlink w:anchor="__RefHeading___Toc2568450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لیس للمغبون مطالبة الغابن بتفاوت القیمة</w:t>
            </w:r>
            <w:r>
              <w:rPr>
                <w:rStyle w:val="IndexLink"/>
                <w:rtl w:val="true"/>
              </w:rPr>
              <w:t>]</w:t>
              <w:tab/>
            </w:r>
            <w:r>
              <w:rPr>
                <w:rStyle w:val="IndexLink"/>
              </w:rPr>
              <w:t>433</w:t>
            </w:r>
          </w:hyperlink>
        </w:p>
        <w:p>
          <w:pPr>
            <w:pStyle w:val="Contents6"/>
            <w:tabs>
              <w:tab w:val="clear" w:pos="7609"/>
              <w:tab w:val="right" w:pos="9026" w:leader="dot"/>
            </w:tabs>
            <w:rPr/>
          </w:pPr>
          <w:hyperlink w:anchor="__RefHeading___Toc2568452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الخیار ثابت للمغبون من حین العقد</w:t>
            </w:r>
            <w:r>
              <w:rPr>
                <w:rStyle w:val="IndexLink"/>
                <w:rtl w:val="true"/>
              </w:rPr>
              <w:t>]</w:t>
              <w:tab/>
            </w:r>
            <w:r>
              <w:rPr>
                <w:rStyle w:val="IndexLink"/>
              </w:rPr>
              <w:t>433</w:t>
            </w:r>
          </w:hyperlink>
        </w:p>
        <w:p>
          <w:pPr>
            <w:pStyle w:val="Contents6"/>
            <w:tabs>
              <w:tab w:val="clear" w:pos="7609"/>
              <w:tab w:val="right" w:pos="9026" w:leader="dot"/>
            </w:tabs>
            <w:rPr/>
          </w:pPr>
          <w:hyperlink w:anchor="__RefHeading___Toc2568454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إذا اطّلع علی الغبن و لم یبادر بالفسخ فإن کان لأجل جهله بحکم الخیار فلا إشکال فی بقاء خیاره</w:t>
            </w:r>
            <w:r>
              <w:rPr>
                <w:rStyle w:val="IndexLink"/>
                <w:rtl w:val="true"/>
              </w:rPr>
              <w:t>]</w:t>
              <w:tab/>
            </w:r>
            <w:r>
              <w:rPr>
                <w:rStyle w:val="IndexLink"/>
              </w:rPr>
              <w:t>433</w:t>
            </w:r>
          </w:hyperlink>
        </w:p>
        <w:p>
          <w:pPr>
            <w:pStyle w:val="Contents6"/>
            <w:tabs>
              <w:tab w:val="clear" w:pos="7609"/>
              <w:tab w:val="right" w:pos="9026" w:leader="dot"/>
            </w:tabs>
            <w:rPr/>
          </w:pPr>
          <w:hyperlink w:anchor="__RefHeading___Toc2568456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المدار فی الغبن علی القیمة حال العقد</w:t>
            </w:r>
            <w:r>
              <w:rPr>
                <w:rStyle w:val="IndexLink"/>
                <w:rtl w:val="true"/>
              </w:rPr>
              <w:t>]</w:t>
              <w:tab/>
            </w:r>
            <w:r>
              <w:rPr>
                <w:rStyle w:val="IndexLink"/>
              </w:rPr>
              <w:t>433</w:t>
            </w:r>
          </w:hyperlink>
        </w:p>
        <w:p>
          <w:pPr>
            <w:pStyle w:val="Contents6"/>
            <w:tabs>
              <w:tab w:val="clear" w:pos="7609"/>
              <w:tab w:val="right" w:pos="9026" w:leader="dot"/>
            </w:tabs>
            <w:rPr/>
          </w:pPr>
          <w:hyperlink w:anchor="__RefHeading___Toc2568458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یسقط هذا الخیار بأُمور</w:t>
            </w:r>
            <w:r>
              <w:rPr>
                <w:rStyle w:val="IndexLink"/>
                <w:rtl w:val="true"/>
              </w:rPr>
              <w:t>]</w:t>
              <w:tab/>
            </w:r>
            <w:r>
              <w:rPr>
                <w:rStyle w:val="IndexLink"/>
              </w:rPr>
              <w:t>433</w:t>
            </w:r>
          </w:hyperlink>
        </w:p>
        <w:p>
          <w:pPr>
            <w:pStyle w:val="Contents6"/>
            <w:tabs>
              <w:tab w:val="clear" w:pos="7609"/>
              <w:tab w:val="right" w:pos="9026" w:leader="dot"/>
            </w:tabs>
            <w:rPr/>
          </w:pPr>
          <w:hyperlink w:anchor="__RefHeading___Toc2568460_3650668749">
            <w:r>
              <w:rPr>
                <w:webHidden/>
                <w:rStyle w:val="IndexLink"/>
                <w:rtl w:val="true"/>
              </w:rPr>
              <w:t>اشارة</w:t>
            </w:r>
            <w:r>
              <w:rPr>
                <w:rStyle w:val="IndexLink"/>
                <w:rtl w:val="true"/>
              </w:rPr>
              <w:tab/>
            </w:r>
            <w:r>
              <w:rPr>
                <w:rStyle w:val="IndexLink"/>
              </w:rPr>
              <w:t>433</w:t>
            </w:r>
          </w:hyperlink>
        </w:p>
        <w:p>
          <w:pPr>
            <w:pStyle w:val="Contents6"/>
            <w:tabs>
              <w:tab w:val="clear" w:pos="7609"/>
              <w:tab w:val="right" w:pos="9026" w:leader="dot"/>
            </w:tabs>
            <w:rPr/>
          </w:pPr>
          <w:hyperlink w:anchor="__RefHeading___Toc2568462_3650668749">
            <w:r>
              <w:rPr>
                <w:webHidden/>
                <w:rStyle w:val="IndexLink"/>
                <w:rtl w:val="true"/>
              </w:rPr>
              <w:t>[</w:t>
            </w:r>
            <w:r>
              <w:rPr>
                <w:rStyle w:val="IndexLink"/>
                <w:rtl w:val="true"/>
              </w:rPr>
              <w:t>أحدها</w:t>
            </w:r>
            <w:r>
              <w:rPr>
                <w:rStyle w:val="IndexLink"/>
                <w:rtl w:val="true"/>
              </w:rPr>
              <w:t xml:space="preserve">: </w:t>
            </w:r>
            <w:r>
              <w:rPr>
                <w:rStyle w:val="IndexLink"/>
                <w:rtl w:val="true"/>
              </w:rPr>
              <w:t>اشتراط سقوطه و عدمه فی ضمن العقد</w:t>
            </w:r>
            <w:r>
              <w:rPr>
                <w:rStyle w:val="IndexLink"/>
                <w:rtl w:val="true"/>
              </w:rPr>
              <w:t>]</w:t>
              <w:tab/>
            </w:r>
            <w:r>
              <w:rPr>
                <w:rStyle w:val="IndexLink"/>
              </w:rPr>
              <w:t>433</w:t>
            </w:r>
          </w:hyperlink>
        </w:p>
        <w:p>
          <w:pPr>
            <w:pStyle w:val="Contents6"/>
            <w:tabs>
              <w:tab w:val="clear" w:pos="7609"/>
              <w:tab w:val="right" w:pos="9026" w:leader="dot"/>
            </w:tabs>
            <w:rPr/>
          </w:pPr>
          <w:hyperlink w:anchor="__RefHeading___Toc2568464_3650668749">
            <w:r>
              <w:rPr>
                <w:webHidden/>
                <w:rStyle w:val="IndexLink"/>
                <w:rtl w:val="true"/>
              </w:rPr>
              <w:t>[</w:t>
            </w:r>
            <w:r>
              <w:rPr>
                <w:rStyle w:val="IndexLink"/>
                <w:rtl w:val="true"/>
              </w:rPr>
              <w:t>الثانی</w:t>
            </w:r>
            <w:r>
              <w:rPr>
                <w:rStyle w:val="IndexLink"/>
                <w:rtl w:val="true"/>
              </w:rPr>
              <w:t xml:space="preserve">: </w:t>
            </w:r>
            <w:r>
              <w:rPr>
                <w:rStyle w:val="IndexLink"/>
                <w:rtl w:val="true"/>
              </w:rPr>
              <w:t>إسقاطه بعد العقد و لو قبل ظهور الغبن إذا أسقطه علیٰ تقدیر ثبوته</w:t>
            </w:r>
            <w:r>
              <w:rPr>
                <w:rStyle w:val="IndexLink"/>
                <w:rtl w:val="true"/>
              </w:rPr>
              <w:t>]</w:t>
              <w:tab/>
            </w:r>
            <w:r>
              <w:rPr>
                <w:rStyle w:val="IndexLink"/>
              </w:rPr>
              <w:t>434</w:t>
            </w:r>
          </w:hyperlink>
        </w:p>
        <w:p>
          <w:pPr>
            <w:pStyle w:val="Contents6"/>
            <w:tabs>
              <w:tab w:val="clear" w:pos="7609"/>
              <w:tab w:val="right" w:pos="9026" w:leader="dot"/>
            </w:tabs>
            <w:rPr/>
          </w:pPr>
          <w:hyperlink w:anchor="__RefHeading___Toc2568466_3650668749">
            <w:r>
              <w:rPr>
                <w:webHidden/>
                <w:rStyle w:val="IndexLink"/>
                <w:rtl w:val="true"/>
              </w:rPr>
              <w:t>[</w:t>
            </w:r>
            <w:r>
              <w:rPr>
                <w:rStyle w:val="IndexLink"/>
                <w:rtl w:val="true"/>
              </w:rPr>
              <w:t>الثالث</w:t>
            </w:r>
            <w:r>
              <w:rPr>
                <w:rStyle w:val="IndexLink"/>
                <w:rtl w:val="true"/>
              </w:rPr>
              <w:t xml:space="preserve">: </w:t>
            </w:r>
            <w:r>
              <w:rPr>
                <w:rStyle w:val="IndexLink"/>
                <w:rtl w:val="true"/>
              </w:rPr>
              <w:t>تصرّف المغبون بعد العلم بالغبن فیما انتقل إلیه</w:t>
            </w:r>
            <w:r>
              <w:rPr>
                <w:rStyle w:val="IndexLink"/>
                <w:rtl w:val="true"/>
              </w:rPr>
              <w:t>]</w:t>
              <w:tab/>
            </w:r>
            <w:r>
              <w:rPr>
                <w:rStyle w:val="IndexLink"/>
              </w:rPr>
              <w:t>434</w:t>
            </w:r>
          </w:hyperlink>
        </w:p>
        <w:p>
          <w:pPr>
            <w:pStyle w:val="Contents6"/>
            <w:tabs>
              <w:tab w:val="clear" w:pos="7609"/>
              <w:tab w:val="right" w:pos="9026" w:leader="dot"/>
            </w:tabs>
            <w:rPr/>
          </w:pPr>
          <w:hyperlink w:anchor="__RefHeading___Toc2568468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إذا اطّلع البائع المغبون علی الغبن و فسخ البیع</w:t>
            </w:r>
            <w:r>
              <w:rPr>
                <w:rStyle w:val="IndexLink"/>
                <w:rtl w:val="true"/>
              </w:rPr>
              <w:t>]</w:t>
              <w:tab/>
            </w:r>
            <w:r>
              <w:rPr>
                <w:rStyle w:val="IndexLink"/>
              </w:rPr>
              <w:t>435</w:t>
            </w:r>
          </w:hyperlink>
        </w:p>
        <w:p>
          <w:pPr>
            <w:pStyle w:val="Contents6"/>
            <w:tabs>
              <w:tab w:val="clear" w:pos="7609"/>
              <w:tab w:val="right" w:pos="9026" w:leader="dot"/>
            </w:tabs>
            <w:rPr/>
          </w:pPr>
          <w:hyperlink w:anchor="__RefHeading___Toc2568470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بعد ما فسخ البائع المغبون لو کان المبیع موجوداً عند المشتری لکن تصرّف فیه تصرّفاً مغیّراً له</w:t>
            </w:r>
            <w:r>
              <w:rPr>
                <w:rStyle w:val="IndexLink"/>
                <w:rtl w:val="true"/>
              </w:rPr>
              <w:t>]</w:t>
              <w:tab/>
            </w:r>
            <w:r>
              <w:rPr>
                <w:rStyle w:val="IndexLink"/>
              </w:rPr>
              <w:t>435</w:t>
            </w:r>
          </w:hyperlink>
        </w:p>
        <w:p>
          <w:pPr>
            <w:pStyle w:val="Contents6"/>
            <w:tabs>
              <w:tab w:val="clear" w:pos="7609"/>
              <w:tab w:val="right" w:pos="9026" w:leader="dot"/>
            </w:tabs>
            <w:rPr/>
          </w:pPr>
          <w:hyperlink w:anchor="__RefHeading___Toc2568472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إذا باع أو اشتریٰ شیئین صفقة واحدة و کان مغبوناً فی أحدهما دون الآخر</w:t>
            </w:r>
            <w:r>
              <w:rPr>
                <w:rStyle w:val="IndexLink"/>
                <w:rtl w:val="true"/>
              </w:rPr>
              <w:t>]</w:t>
              <w:tab/>
            </w:r>
            <w:r>
              <w:rPr>
                <w:rStyle w:val="IndexLink"/>
              </w:rPr>
              <w:t>436</w:t>
            </w:r>
          </w:hyperlink>
        </w:p>
        <w:p>
          <w:pPr>
            <w:pStyle w:val="Contents5"/>
            <w:tabs>
              <w:tab w:val="clear" w:pos="7892"/>
              <w:tab w:val="right" w:pos="9026" w:leader="dot"/>
            </w:tabs>
            <w:rPr/>
          </w:pPr>
          <w:hyperlink w:anchor="__RefHeading___Toc2568474_3650668749">
            <w:r>
              <w:rPr>
                <w:webHidden/>
                <w:rStyle w:val="IndexLink"/>
                <w:rtl w:val="true"/>
              </w:rPr>
              <w:t>[</w:t>
            </w:r>
            <w:r>
              <w:rPr>
                <w:rStyle w:val="IndexLink"/>
                <w:rtl w:val="true"/>
              </w:rPr>
              <w:t>الخامس</w:t>
            </w:r>
            <w:r>
              <w:rPr>
                <w:rStyle w:val="IndexLink"/>
                <w:rtl w:val="true"/>
              </w:rPr>
              <w:t xml:space="preserve">: </w:t>
            </w:r>
            <w:r>
              <w:rPr>
                <w:rStyle w:val="IndexLink"/>
                <w:rtl w:val="true"/>
              </w:rPr>
              <w:t>خیار التأخیر</w:t>
            </w:r>
            <w:r>
              <w:rPr>
                <w:rStyle w:val="IndexLink"/>
                <w:rtl w:val="true"/>
              </w:rPr>
              <w:t>]</w:t>
              <w:tab/>
            </w:r>
            <w:r>
              <w:rPr>
                <w:rStyle w:val="IndexLink"/>
              </w:rPr>
              <w:t>436</w:t>
            </w:r>
          </w:hyperlink>
        </w:p>
        <w:p>
          <w:pPr>
            <w:pStyle w:val="Contents6"/>
            <w:tabs>
              <w:tab w:val="clear" w:pos="7609"/>
              <w:tab w:val="right" w:pos="9026" w:leader="dot"/>
            </w:tabs>
            <w:rPr/>
          </w:pPr>
          <w:hyperlink w:anchor="__RefHeading___Toc2568476_3650668749">
            <w:r>
              <w:rPr>
                <w:webHidden/>
                <w:rStyle w:val="IndexLink"/>
                <w:rtl w:val="true"/>
              </w:rPr>
              <w:t>اشارة</w:t>
            </w:r>
            <w:r>
              <w:rPr>
                <w:rStyle w:val="IndexLink"/>
                <w:rtl w:val="true"/>
              </w:rPr>
              <w:tab/>
            </w:r>
            <w:r>
              <w:rPr>
                <w:rStyle w:val="IndexLink"/>
              </w:rPr>
              <w:t>436</w:t>
            </w:r>
          </w:hyperlink>
        </w:p>
        <w:p>
          <w:pPr>
            <w:pStyle w:val="Contents6"/>
            <w:tabs>
              <w:tab w:val="clear" w:pos="7609"/>
              <w:tab w:val="right" w:pos="9026" w:leader="dot"/>
            </w:tabs>
            <w:rPr/>
          </w:pPr>
          <w:hyperlink w:anchor="__RefHeading___Toc2568478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لا إشکال فی ثبوت هذا الخیار إذا کان المبیع عیناً شخصیّاً</w:t>
            </w:r>
            <w:r>
              <w:rPr>
                <w:rStyle w:val="IndexLink"/>
                <w:rtl w:val="true"/>
              </w:rPr>
              <w:t>]</w:t>
              <w:tab/>
            </w:r>
            <w:r>
              <w:rPr>
                <w:rStyle w:val="IndexLink"/>
              </w:rPr>
              <w:t>437</w:t>
            </w:r>
          </w:hyperlink>
        </w:p>
        <w:p>
          <w:pPr>
            <w:pStyle w:val="Contents6"/>
            <w:tabs>
              <w:tab w:val="clear" w:pos="7609"/>
              <w:tab w:val="right" w:pos="9026" w:leader="dot"/>
            </w:tabs>
            <w:rPr/>
          </w:pPr>
          <w:hyperlink w:anchor="__RefHeading___Toc2568480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الظاهر أنّ هذا الخیار لیس علی الفور</w:t>
            </w:r>
            <w:r>
              <w:rPr>
                <w:rStyle w:val="IndexLink"/>
                <w:rtl w:val="true"/>
              </w:rPr>
              <w:t>]</w:t>
              <w:tab/>
            </w:r>
            <w:r>
              <w:rPr>
                <w:rStyle w:val="IndexLink"/>
              </w:rPr>
              <w:t>437</w:t>
            </w:r>
          </w:hyperlink>
        </w:p>
        <w:p>
          <w:pPr>
            <w:pStyle w:val="Contents6"/>
            <w:tabs>
              <w:tab w:val="clear" w:pos="7609"/>
              <w:tab w:val="right" w:pos="9026" w:leader="dot"/>
            </w:tabs>
            <w:rPr/>
          </w:pPr>
          <w:hyperlink w:anchor="__RefHeading___Toc2568482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یسقط هذا الخیار باشتراط سقوطه فی ضمن العقد و بإسقاطه بعد الثلاثة</w:t>
            </w:r>
            <w:r>
              <w:rPr>
                <w:rStyle w:val="IndexLink"/>
                <w:rtl w:val="true"/>
              </w:rPr>
              <w:t>]</w:t>
              <w:tab/>
            </w:r>
            <w:r>
              <w:rPr>
                <w:rStyle w:val="IndexLink"/>
              </w:rPr>
              <w:t>437</w:t>
            </w:r>
          </w:hyperlink>
        </w:p>
        <w:p>
          <w:pPr>
            <w:pStyle w:val="Contents6"/>
            <w:tabs>
              <w:tab w:val="clear" w:pos="7609"/>
              <w:tab w:val="right" w:pos="9026" w:leader="dot"/>
            </w:tabs>
            <w:rPr/>
          </w:pPr>
          <w:hyperlink w:anchor="__RefHeading___Toc2568484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المراد بثلاثة أیّام هو بیاض الیوم</w:t>
            </w:r>
            <w:r>
              <w:rPr>
                <w:rStyle w:val="IndexLink"/>
                <w:rtl w:val="true"/>
              </w:rPr>
              <w:t>]</w:t>
              <w:tab/>
            </w:r>
            <w:r>
              <w:rPr>
                <w:rStyle w:val="IndexLink"/>
              </w:rPr>
              <w:t>437</w:t>
            </w:r>
          </w:hyperlink>
        </w:p>
        <w:p>
          <w:pPr>
            <w:pStyle w:val="Contents6"/>
            <w:tabs>
              <w:tab w:val="clear" w:pos="7609"/>
              <w:tab w:val="right" w:pos="9026" w:leader="dot"/>
            </w:tabs>
            <w:rPr/>
          </w:pPr>
          <w:hyperlink w:anchor="__RefHeading___Toc2568486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لا یجری هذا الخیار فی غیر البیع من سائر المعاملات</w:t>
            </w:r>
            <w:r>
              <w:rPr>
                <w:rStyle w:val="IndexLink"/>
                <w:rtl w:val="true"/>
              </w:rPr>
              <w:t>]</w:t>
              <w:tab/>
            </w:r>
            <w:r>
              <w:rPr>
                <w:rStyle w:val="IndexLink"/>
              </w:rPr>
              <w:t>437</w:t>
            </w:r>
          </w:hyperlink>
        </w:p>
        <w:p>
          <w:pPr>
            <w:pStyle w:val="Contents6"/>
            <w:tabs>
              <w:tab w:val="clear" w:pos="7609"/>
              <w:tab w:val="right" w:pos="9026" w:leader="dot"/>
            </w:tabs>
            <w:rPr/>
          </w:pPr>
          <w:hyperlink w:anchor="__RefHeading___Toc2568488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لو تلف المبیع کان من مال البائع فی الثلاثة</w:t>
            </w:r>
            <w:r>
              <w:rPr>
                <w:rStyle w:val="IndexLink"/>
                <w:rtl w:val="true"/>
              </w:rPr>
              <w:t>]</w:t>
              <w:tab/>
            </w:r>
            <w:r>
              <w:rPr>
                <w:rStyle w:val="IndexLink"/>
              </w:rPr>
              <w:t>437</w:t>
            </w:r>
          </w:hyperlink>
        </w:p>
        <w:p>
          <w:pPr>
            <w:pStyle w:val="Contents6"/>
            <w:tabs>
              <w:tab w:val="clear" w:pos="7609"/>
              <w:tab w:val="right" w:pos="9026" w:leader="dot"/>
            </w:tabs>
            <w:rPr/>
          </w:pPr>
          <w:hyperlink w:anchor="__RefHeading___Toc2568490_3650668749">
            <w:r>
              <w:rPr>
                <w:webHidden/>
                <w:rStyle w:val="IndexLink"/>
                <w:rtl w:val="true"/>
              </w:rPr>
              <w:t>[ (</w:t>
            </w:r>
            <w:r>
              <w:rPr>
                <w:rStyle w:val="IndexLink"/>
                <w:rtl w:val="true"/>
              </w:rPr>
              <w:t xml:space="preserve">مسألة </w:t>
            </w:r>
            <w:r>
              <w:rPr>
                <w:rStyle w:val="IndexLink"/>
              </w:rPr>
              <w:t>28</w:t>
            </w:r>
            <w:r>
              <w:rPr>
                <w:rStyle w:val="IndexLink"/>
                <w:rtl w:val="true"/>
              </w:rPr>
              <w:t xml:space="preserve">): </w:t>
            </w:r>
            <w:r>
              <w:rPr>
                <w:rStyle w:val="IndexLink"/>
                <w:rtl w:val="true"/>
              </w:rPr>
              <w:t>إذا باع ما یتسارع إلیه الفساد بحیث یفسد لو صار بائتاً</w:t>
            </w:r>
            <w:r>
              <w:rPr>
                <w:rStyle w:val="IndexLink"/>
                <w:rtl w:val="true"/>
              </w:rPr>
              <w:t>]</w:t>
              <w:tab/>
            </w:r>
            <w:r>
              <w:rPr>
                <w:rStyle w:val="IndexLink"/>
              </w:rPr>
              <w:t>437</w:t>
            </w:r>
          </w:hyperlink>
        </w:p>
        <w:p>
          <w:pPr>
            <w:pStyle w:val="Contents5"/>
            <w:tabs>
              <w:tab w:val="clear" w:pos="7892"/>
              <w:tab w:val="right" w:pos="9026" w:leader="dot"/>
            </w:tabs>
            <w:rPr/>
          </w:pPr>
          <w:hyperlink w:anchor="__RefHeading___Toc2568492_3650668749">
            <w:r>
              <w:rPr>
                <w:webHidden/>
                <w:rStyle w:val="IndexLink"/>
                <w:rtl w:val="true"/>
              </w:rPr>
              <w:t>[</w:t>
            </w:r>
            <w:r>
              <w:rPr>
                <w:rStyle w:val="IndexLink"/>
                <w:rtl w:val="true"/>
              </w:rPr>
              <w:t>السادس</w:t>
            </w:r>
            <w:r>
              <w:rPr>
                <w:rStyle w:val="IndexLink"/>
                <w:rtl w:val="true"/>
              </w:rPr>
              <w:t xml:space="preserve">: </w:t>
            </w:r>
            <w:r>
              <w:rPr>
                <w:rStyle w:val="IndexLink"/>
                <w:rtl w:val="true"/>
              </w:rPr>
              <w:t>خیار الرؤیة</w:t>
            </w:r>
            <w:r>
              <w:rPr>
                <w:rStyle w:val="IndexLink"/>
                <w:rtl w:val="true"/>
              </w:rPr>
              <w:t>]</w:t>
              <w:tab/>
            </w:r>
            <w:r>
              <w:rPr>
                <w:rStyle w:val="IndexLink"/>
              </w:rPr>
              <w:t>437</w:t>
            </w:r>
          </w:hyperlink>
        </w:p>
        <w:p>
          <w:pPr>
            <w:pStyle w:val="Contents6"/>
            <w:tabs>
              <w:tab w:val="clear" w:pos="7609"/>
              <w:tab w:val="right" w:pos="9026" w:leader="dot"/>
            </w:tabs>
            <w:rPr/>
          </w:pPr>
          <w:hyperlink w:anchor="__RefHeading___Toc2568494_3650668749">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2568496_3650668749">
            <w:r>
              <w:rPr>
                <w:webHidden/>
                <w:rStyle w:val="IndexLink"/>
                <w:rtl w:val="true"/>
              </w:rPr>
              <w:t>[ (</w:t>
            </w:r>
            <w:r>
              <w:rPr>
                <w:rStyle w:val="IndexLink"/>
                <w:rtl w:val="true"/>
              </w:rPr>
              <w:t xml:space="preserve">مسألة </w:t>
            </w:r>
            <w:r>
              <w:rPr>
                <w:rStyle w:val="IndexLink"/>
              </w:rPr>
              <w:t>29</w:t>
            </w:r>
            <w:r>
              <w:rPr>
                <w:rStyle w:val="IndexLink"/>
                <w:rtl w:val="true"/>
              </w:rPr>
              <w:t xml:space="preserve">): </w:t>
            </w:r>
            <w:r>
              <w:rPr>
                <w:rStyle w:val="IndexLink"/>
                <w:rtl w:val="true"/>
              </w:rPr>
              <w:t>الخیار هنا بین الردّ و الإمساک مجّاناً</w:t>
            </w:r>
            <w:r>
              <w:rPr>
                <w:rStyle w:val="IndexLink"/>
                <w:rtl w:val="true"/>
              </w:rPr>
              <w:t>]</w:t>
              <w:tab/>
            </w:r>
            <w:r>
              <w:rPr>
                <w:rStyle w:val="IndexLink"/>
              </w:rPr>
              <w:t>438</w:t>
            </w:r>
          </w:hyperlink>
        </w:p>
        <w:p>
          <w:pPr>
            <w:pStyle w:val="Contents6"/>
            <w:tabs>
              <w:tab w:val="clear" w:pos="7609"/>
              <w:tab w:val="right" w:pos="9026" w:leader="dot"/>
            </w:tabs>
            <w:rPr/>
          </w:pPr>
          <w:hyperlink w:anchor="__RefHeading___Toc2568498_3650668749">
            <w:r>
              <w:rPr>
                <w:webHidden/>
                <w:rStyle w:val="IndexLink"/>
                <w:rtl w:val="true"/>
              </w:rPr>
              <w:t>[ (</w:t>
            </w:r>
            <w:r>
              <w:rPr>
                <w:rStyle w:val="IndexLink"/>
                <w:rtl w:val="true"/>
              </w:rPr>
              <w:t xml:space="preserve">مسألة </w:t>
            </w:r>
            <w:r>
              <w:rPr>
                <w:rStyle w:val="IndexLink"/>
              </w:rPr>
              <w:t>30</w:t>
            </w:r>
            <w:r>
              <w:rPr>
                <w:rStyle w:val="IndexLink"/>
                <w:rtl w:val="true"/>
              </w:rPr>
              <w:t xml:space="preserve">): </w:t>
            </w:r>
            <w:r>
              <w:rPr>
                <w:rStyle w:val="IndexLink"/>
                <w:rtl w:val="true"/>
              </w:rPr>
              <w:t>مورد هذا الخیار بیع العین الشخصیّة الغائبة حین المبایعة</w:t>
            </w:r>
            <w:r>
              <w:rPr>
                <w:rStyle w:val="IndexLink"/>
                <w:rtl w:val="true"/>
              </w:rPr>
              <w:t>]</w:t>
              <w:tab/>
            </w:r>
            <w:r>
              <w:rPr>
                <w:rStyle w:val="IndexLink"/>
              </w:rPr>
              <w:t>438</w:t>
            </w:r>
          </w:hyperlink>
        </w:p>
        <w:p>
          <w:pPr>
            <w:pStyle w:val="Contents6"/>
            <w:tabs>
              <w:tab w:val="clear" w:pos="7609"/>
              <w:tab w:val="right" w:pos="9026" w:leader="dot"/>
            </w:tabs>
            <w:rPr/>
          </w:pPr>
          <w:hyperlink w:anchor="__RefHeading___Toc2568500_3650668749">
            <w:r>
              <w:rPr>
                <w:webHidden/>
                <w:rStyle w:val="IndexLink"/>
                <w:rtl w:val="true"/>
              </w:rPr>
              <w:t>[ (</w:t>
            </w:r>
            <w:r>
              <w:rPr>
                <w:rStyle w:val="IndexLink"/>
                <w:rtl w:val="true"/>
              </w:rPr>
              <w:t xml:space="preserve">مسألة </w:t>
            </w:r>
            <w:r>
              <w:rPr>
                <w:rStyle w:val="IndexLink"/>
              </w:rPr>
              <w:t>31</w:t>
            </w:r>
            <w:r>
              <w:rPr>
                <w:rStyle w:val="IndexLink"/>
                <w:rtl w:val="true"/>
              </w:rPr>
              <w:t xml:space="preserve">): </w:t>
            </w:r>
            <w:r>
              <w:rPr>
                <w:rStyle w:val="IndexLink"/>
                <w:rtl w:val="true"/>
              </w:rPr>
              <w:t>هذا الخیار فوریّ عند الرؤیة علی المشهور</w:t>
            </w:r>
            <w:r>
              <w:rPr>
                <w:rStyle w:val="IndexLink"/>
                <w:rtl w:val="true"/>
              </w:rPr>
              <w:t>]</w:t>
              <w:tab/>
            </w:r>
            <w:r>
              <w:rPr>
                <w:rStyle w:val="IndexLink"/>
              </w:rPr>
              <w:t>438</w:t>
            </w:r>
          </w:hyperlink>
        </w:p>
        <w:p>
          <w:pPr>
            <w:pStyle w:val="Contents6"/>
            <w:tabs>
              <w:tab w:val="clear" w:pos="7609"/>
              <w:tab w:val="right" w:pos="9026" w:leader="dot"/>
            </w:tabs>
            <w:rPr/>
          </w:pPr>
          <w:hyperlink w:anchor="__RefHeading___Toc2568502_3650668749">
            <w:r>
              <w:rPr>
                <w:webHidden/>
                <w:rStyle w:val="IndexLink"/>
                <w:rtl w:val="true"/>
              </w:rPr>
              <w:t>[ (</w:t>
            </w:r>
            <w:r>
              <w:rPr>
                <w:rStyle w:val="IndexLink"/>
                <w:rtl w:val="true"/>
              </w:rPr>
              <w:t xml:space="preserve">مسألة </w:t>
            </w:r>
            <w:r>
              <w:rPr>
                <w:rStyle w:val="IndexLink"/>
              </w:rPr>
              <w:t>32</w:t>
            </w:r>
            <w:r>
              <w:rPr>
                <w:rStyle w:val="IndexLink"/>
                <w:rtl w:val="true"/>
              </w:rPr>
              <w:t xml:space="preserve">): </w:t>
            </w:r>
            <w:r>
              <w:rPr>
                <w:rStyle w:val="IndexLink"/>
                <w:rtl w:val="true"/>
              </w:rPr>
              <w:t>یسقط هذا الخیار باشتراط سقوطه فی ضمن العقد</w:t>
            </w:r>
            <w:r>
              <w:rPr>
                <w:rStyle w:val="IndexLink"/>
                <w:rtl w:val="true"/>
              </w:rPr>
              <w:t>]</w:t>
              <w:tab/>
            </w:r>
            <w:r>
              <w:rPr>
                <w:rStyle w:val="IndexLink"/>
              </w:rPr>
              <w:t>438</w:t>
            </w:r>
          </w:hyperlink>
        </w:p>
        <w:p>
          <w:pPr>
            <w:pStyle w:val="Contents5"/>
            <w:tabs>
              <w:tab w:val="clear" w:pos="7892"/>
              <w:tab w:val="right" w:pos="9026" w:leader="dot"/>
            </w:tabs>
            <w:rPr/>
          </w:pPr>
          <w:hyperlink w:anchor="__RefHeading___Toc2568504_3650668749">
            <w:r>
              <w:rPr>
                <w:webHidden/>
                <w:rStyle w:val="IndexLink"/>
                <w:rtl w:val="true"/>
              </w:rPr>
              <w:t>[</w:t>
            </w:r>
            <w:r>
              <w:rPr>
                <w:rStyle w:val="IndexLink"/>
                <w:rtl w:val="true"/>
              </w:rPr>
              <w:t>السابع</w:t>
            </w:r>
            <w:r>
              <w:rPr>
                <w:rStyle w:val="IndexLink"/>
                <w:rtl w:val="true"/>
              </w:rPr>
              <w:t xml:space="preserve">: </w:t>
            </w:r>
            <w:r>
              <w:rPr>
                <w:rStyle w:val="IndexLink"/>
                <w:rtl w:val="true"/>
              </w:rPr>
              <w:t>خیار العیب</w:t>
            </w:r>
            <w:r>
              <w:rPr>
                <w:rStyle w:val="IndexLink"/>
                <w:rtl w:val="true"/>
              </w:rPr>
              <w:t>]</w:t>
              <w:tab/>
            </w:r>
            <w:r>
              <w:rPr>
                <w:rStyle w:val="IndexLink"/>
              </w:rPr>
              <w:t>438</w:t>
            </w:r>
          </w:hyperlink>
        </w:p>
        <w:p>
          <w:pPr>
            <w:pStyle w:val="Contents6"/>
            <w:tabs>
              <w:tab w:val="clear" w:pos="7609"/>
              <w:tab w:val="right" w:pos="9026" w:leader="dot"/>
            </w:tabs>
            <w:rPr/>
          </w:pPr>
          <w:hyperlink w:anchor="__RefHeading___Toc2568506_3650668749">
            <w:r>
              <w:rPr>
                <w:webHidden/>
                <w:rStyle w:val="IndexLink"/>
                <w:rtl w:val="true"/>
              </w:rPr>
              <w:t>اشارة</w:t>
            </w:r>
            <w:r>
              <w:rPr>
                <w:rStyle w:val="IndexLink"/>
                <w:rtl w:val="true"/>
              </w:rPr>
              <w:tab/>
            </w:r>
            <w:r>
              <w:rPr>
                <w:rStyle w:val="IndexLink"/>
              </w:rPr>
              <w:t>438</w:t>
            </w:r>
          </w:hyperlink>
        </w:p>
        <w:p>
          <w:pPr>
            <w:pStyle w:val="Contents6"/>
            <w:tabs>
              <w:tab w:val="clear" w:pos="7609"/>
              <w:tab w:val="right" w:pos="9026" w:leader="dot"/>
            </w:tabs>
            <w:rPr/>
          </w:pPr>
          <w:hyperlink w:anchor="__RefHeading___Toc2568508_3650668749">
            <w:r>
              <w:rPr>
                <w:webHidden/>
                <w:rStyle w:val="IndexLink"/>
                <w:rtl w:val="true"/>
              </w:rPr>
              <w:t>[ (</w:t>
            </w:r>
            <w:r>
              <w:rPr>
                <w:rStyle w:val="IndexLink"/>
                <w:rtl w:val="true"/>
              </w:rPr>
              <w:t xml:space="preserve">مسألة </w:t>
            </w:r>
            <w:r>
              <w:rPr>
                <w:rStyle w:val="IndexLink"/>
              </w:rPr>
              <w:t>33</w:t>
            </w:r>
            <w:r>
              <w:rPr>
                <w:rStyle w:val="IndexLink"/>
                <w:rtl w:val="true"/>
              </w:rPr>
              <w:t xml:space="preserve">): </w:t>
            </w:r>
            <w:r>
              <w:rPr>
                <w:rStyle w:val="IndexLink"/>
                <w:rtl w:val="true"/>
              </w:rPr>
              <w:t>یثبت الخیار بمجرّد وجود العیب واقعاً حین العقد</w:t>
            </w:r>
            <w:r>
              <w:rPr>
                <w:rStyle w:val="IndexLink"/>
                <w:rtl w:val="true"/>
              </w:rPr>
              <w:t>]</w:t>
              <w:tab/>
            </w:r>
            <w:r>
              <w:rPr>
                <w:rStyle w:val="IndexLink"/>
              </w:rPr>
              <w:t>439</w:t>
            </w:r>
          </w:hyperlink>
        </w:p>
        <w:p>
          <w:pPr>
            <w:pStyle w:val="Contents6"/>
            <w:tabs>
              <w:tab w:val="clear" w:pos="7609"/>
              <w:tab w:val="right" w:pos="9026" w:leader="dot"/>
            </w:tabs>
            <w:rPr/>
          </w:pPr>
          <w:hyperlink w:anchor="__RefHeading___Toc2568510_3650668749">
            <w:r>
              <w:rPr>
                <w:webHidden/>
                <w:rStyle w:val="IndexLink"/>
                <w:rtl w:val="true"/>
              </w:rPr>
              <w:t>[ (</w:t>
            </w:r>
            <w:r>
              <w:rPr>
                <w:rStyle w:val="IndexLink"/>
                <w:rtl w:val="true"/>
              </w:rPr>
              <w:t xml:space="preserve">مسألة </w:t>
            </w:r>
            <w:r>
              <w:rPr>
                <w:rStyle w:val="IndexLink"/>
              </w:rPr>
              <w:t>34</w:t>
            </w:r>
            <w:r>
              <w:rPr>
                <w:rStyle w:val="IndexLink"/>
                <w:rtl w:val="true"/>
              </w:rPr>
              <w:t xml:space="preserve">): </w:t>
            </w:r>
            <w:r>
              <w:rPr>
                <w:rStyle w:val="IndexLink"/>
                <w:rtl w:val="true"/>
              </w:rPr>
              <w:t>کما یثبت الخیار بوجود العیب عند العقد کذلک یثبت بحدوثه بعده قبل القبض</w:t>
            </w:r>
            <w:r>
              <w:rPr>
                <w:rStyle w:val="IndexLink"/>
                <w:rtl w:val="true"/>
              </w:rPr>
              <w:t>]</w:t>
              <w:tab/>
            </w:r>
            <w:r>
              <w:rPr>
                <w:rStyle w:val="IndexLink"/>
              </w:rPr>
              <w:t>439</w:t>
            </w:r>
          </w:hyperlink>
        </w:p>
        <w:p>
          <w:pPr>
            <w:pStyle w:val="Contents6"/>
            <w:tabs>
              <w:tab w:val="clear" w:pos="7609"/>
              <w:tab w:val="right" w:pos="9026" w:leader="dot"/>
            </w:tabs>
            <w:rPr/>
          </w:pPr>
          <w:hyperlink w:anchor="__RefHeading___Toc2568512_3650668749">
            <w:r>
              <w:rPr>
                <w:webHidden/>
                <w:rStyle w:val="IndexLink"/>
                <w:rtl w:val="true"/>
              </w:rPr>
              <w:t>[ (</w:t>
            </w:r>
            <w:r>
              <w:rPr>
                <w:rStyle w:val="IndexLink"/>
                <w:rtl w:val="true"/>
              </w:rPr>
              <w:t xml:space="preserve">مسألة </w:t>
            </w:r>
            <w:r>
              <w:rPr>
                <w:rStyle w:val="IndexLink"/>
              </w:rPr>
              <w:t>35</w:t>
            </w:r>
            <w:r>
              <w:rPr>
                <w:rStyle w:val="IndexLink"/>
                <w:rtl w:val="true"/>
              </w:rPr>
              <w:t xml:space="preserve">): </w:t>
            </w:r>
            <w:r>
              <w:rPr>
                <w:rStyle w:val="IndexLink"/>
                <w:rtl w:val="true"/>
              </w:rPr>
              <w:t>لو کان معیوباً عند العقد و زال العیب قبل ظهوره</w:t>
            </w:r>
            <w:r>
              <w:rPr>
                <w:rStyle w:val="IndexLink"/>
                <w:rtl w:val="true"/>
              </w:rPr>
              <w:t>]</w:t>
              <w:tab/>
            </w:r>
            <w:r>
              <w:rPr>
                <w:rStyle w:val="IndexLink"/>
              </w:rPr>
              <w:t>439</w:t>
            </w:r>
          </w:hyperlink>
        </w:p>
        <w:p>
          <w:pPr>
            <w:pStyle w:val="Contents6"/>
            <w:tabs>
              <w:tab w:val="clear" w:pos="7609"/>
              <w:tab w:val="right" w:pos="9026" w:leader="dot"/>
            </w:tabs>
            <w:rPr/>
          </w:pPr>
          <w:hyperlink w:anchor="__RefHeading___Toc2568514_3650668749">
            <w:r>
              <w:rPr>
                <w:webHidden/>
                <w:rStyle w:val="IndexLink"/>
                <w:rtl w:val="true"/>
              </w:rPr>
              <w:t>[ (</w:t>
            </w:r>
            <w:r>
              <w:rPr>
                <w:rStyle w:val="IndexLink"/>
                <w:rtl w:val="true"/>
              </w:rPr>
              <w:t xml:space="preserve">مسألة </w:t>
            </w:r>
            <w:r>
              <w:rPr>
                <w:rStyle w:val="IndexLink"/>
              </w:rPr>
              <w:t>36</w:t>
            </w:r>
            <w:r>
              <w:rPr>
                <w:rStyle w:val="IndexLink"/>
                <w:rtl w:val="true"/>
              </w:rPr>
              <w:t xml:space="preserve">): </w:t>
            </w:r>
            <w:r>
              <w:rPr>
                <w:rStyle w:val="IndexLink"/>
                <w:rtl w:val="true"/>
              </w:rPr>
              <w:t>کیفیّة أخذ الأرش</w:t>
            </w:r>
            <w:r>
              <w:rPr>
                <w:rStyle w:val="IndexLink"/>
                <w:rtl w:val="true"/>
              </w:rPr>
              <w:t>]</w:t>
              <w:tab/>
            </w:r>
            <w:r>
              <w:rPr>
                <w:rStyle w:val="IndexLink"/>
              </w:rPr>
              <w:t>439</w:t>
            </w:r>
          </w:hyperlink>
        </w:p>
        <w:p>
          <w:pPr>
            <w:pStyle w:val="Contents6"/>
            <w:tabs>
              <w:tab w:val="clear" w:pos="7609"/>
              <w:tab w:val="right" w:pos="9026" w:leader="dot"/>
            </w:tabs>
            <w:rPr/>
          </w:pPr>
          <w:hyperlink w:anchor="__RefHeading___Toc2568516_3650668749">
            <w:r>
              <w:rPr>
                <w:webHidden/>
                <w:rStyle w:val="IndexLink"/>
                <w:rtl w:val="true"/>
              </w:rPr>
              <w:t>[ (</w:t>
            </w:r>
            <w:r>
              <w:rPr>
                <w:rStyle w:val="IndexLink"/>
                <w:rtl w:val="true"/>
              </w:rPr>
              <w:t xml:space="preserve">مسألة </w:t>
            </w:r>
            <w:r>
              <w:rPr>
                <w:rStyle w:val="IndexLink"/>
              </w:rPr>
              <w:t>37</w:t>
            </w:r>
            <w:r>
              <w:rPr>
                <w:rStyle w:val="IndexLink"/>
                <w:rtl w:val="true"/>
              </w:rPr>
              <w:t xml:space="preserve">): </w:t>
            </w:r>
            <w:r>
              <w:rPr>
                <w:rStyle w:val="IndexLink"/>
                <w:rtl w:val="true"/>
              </w:rPr>
              <w:t>لو تعارض المقوّمون فی تقویم الصحیح أو المعیب أو کلیهما</w:t>
            </w:r>
            <w:r>
              <w:rPr>
                <w:rStyle w:val="IndexLink"/>
                <w:rtl w:val="true"/>
              </w:rPr>
              <w:t>]</w:t>
              <w:tab/>
            </w:r>
            <w:r>
              <w:rPr>
                <w:rStyle w:val="IndexLink"/>
              </w:rPr>
              <w:t>439</w:t>
            </w:r>
          </w:hyperlink>
        </w:p>
        <w:p>
          <w:pPr>
            <w:pStyle w:val="Contents6"/>
            <w:tabs>
              <w:tab w:val="clear" w:pos="7609"/>
              <w:tab w:val="right" w:pos="9026" w:leader="dot"/>
            </w:tabs>
            <w:rPr/>
          </w:pPr>
          <w:hyperlink w:anchor="__RefHeading___Toc2568518_3650668749">
            <w:r>
              <w:rPr>
                <w:webHidden/>
                <w:rStyle w:val="IndexLink"/>
                <w:rtl w:val="true"/>
              </w:rPr>
              <w:t>[ (</w:t>
            </w:r>
            <w:r>
              <w:rPr>
                <w:rStyle w:val="IndexLink"/>
                <w:rtl w:val="true"/>
              </w:rPr>
              <w:t xml:space="preserve">مسألة </w:t>
            </w:r>
            <w:r>
              <w:rPr>
                <w:rStyle w:val="IndexLink"/>
              </w:rPr>
              <w:t>38</w:t>
            </w:r>
            <w:r>
              <w:rPr>
                <w:rStyle w:val="IndexLink"/>
                <w:rtl w:val="true"/>
              </w:rPr>
              <w:t xml:space="preserve">): </w:t>
            </w:r>
            <w:r>
              <w:rPr>
                <w:rStyle w:val="IndexLink"/>
                <w:rtl w:val="true"/>
              </w:rPr>
              <w:t>لو باع شیئین صفقة واحدة فظهر العیب فی أحدهما کان للمشتری أخذ الأرش أو ردّ الجمیع</w:t>
            </w:r>
            <w:r>
              <w:rPr>
                <w:rStyle w:val="IndexLink"/>
                <w:rtl w:val="true"/>
              </w:rPr>
              <w:t>]</w:t>
              <w:tab/>
            </w:r>
            <w:r>
              <w:rPr>
                <w:rStyle w:val="IndexLink"/>
              </w:rPr>
              <w:t>440</w:t>
            </w:r>
          </w:hyperlink>
        </w:p>
        <w:p>
          <w:pPr>
            <w:pStyle w:val="Contents6"/>
            <w:tabs>
              <w:tab w:val="clear" w:pos="7609"/>
              <w:tab w:val="right" w:pos="9026" w:leader="dot"/>
            </w:tabs>
            <w:rPr/>
          </w:pPr>
          <w:hyperlink w:anchor="__RefHeading___Toc2568520_3650668749">
            <w:r>
              <w:rPr>
                <w:webHidden/>
                <w:rStyle w:val="IndexLink"/>
                <w:rtl w:val="true"/>
              </w:rPr>
              <w:t>[ (</w:t>
            </w:r>
            <w:r>
              <w:rPr>
                <w:rStyle w:val="IndexLink"/>
                <w:rtl w:val="true"/>
              </w:rPr>
              <w:t xml:space="preserve">مسألة </w:t>
            </w:r>
            <w:r>
              <w:rPr>
                <w:rStyle w:val="IndexLink"/>
              </w:rPr>
              <w:t>39</w:t>
            </w:r>
            <w:r>
              <w:rPr>
                <w:rStyle w:val="IndexLink"/>
                <w:rtl w:val="true"/>
              </w:rPr>
              <w:t xml:space="preserve">): </w:t>
            </w:r>
            <w:r>
              <w:rPr>
                <w:rStyle w:val="IndexLink"/>
                <w:rtl w:val="true"/>
              </w:rPr>
              <w:t>قد عرفت أنّ العیب الموجب للخیار ما کان موجوداً حال العقد أو حدث بعده قبل القبض</w:t>
            </w:r>
            <w:r>
              <w:rPr>
                <w:rStyle w:val="IndexLink"/>
                <w:rtl w:val="true"/>
              </w:rPr>
              <w:t>]</w:t>
              <w:tab/>
            </w:r>
            <w:r>
              <w:rPr>
                <w:rStyle w:val="IndexLink"/>
              </w:rPr>
              <w:t>440</w:t>
            </w:r>
          </w:hyperlink>
        </w:p>
        <w:p>
          <w:pPr>
            <w:pStyle w:val="Contents4"/>
            <w:tabs>
              <w:tab w:val="clear" w:pos="8176"/>
              <w:tab w:val="right" w:pos="9026" w:leader="dot"/>
            </w:tabs>
            <w:rPr/>
          </w:pPr>
          <w:hyperlink w:anchor="__RefHeading___Toc2568522_3650668749">
            <w:r>
              <w:rPr>
                <w:webHidden/>
                <w:rStyle w:val="IndexLink"/>
                <w:rtl w:val="true"/>
              </w:rPr>
              <w:t>[</w:t>
            </w:r>
            <w:r>
              <w:rPr>
                <w:rStyle w:val="IndexLink"/>
                <w:rtl w:val="true"/>
              </w:rPr>
              <w:t>خاتمة فی أحکام الخیار</w:t>
            </w:r>
            <w:r>
              <w:rPr>
                <w:rStyle w:val="IndexLink"/>
                <w:rtl w:val="true"/>
              </w:rPr>
              <w:t>]</w:t>
              <w:tab/>
            </w:r>
            <w:r>
              <w:rPr>
                <w:rStyle w:val="IndexLink"/>
              </w:rPr>
              <w:t>440</w:t>
            </w:r>
          </w:hyperlink>
        </w:p>
        <w:p>
          <w:pPr>
            <w:pStyle w:val="Contents5"/>
            <w:tabs>
              <w:tab w:val="clear" w:pos="7892"/>
              <w:tab w:val="right" w:pos="9026" w:leader="dot"/>
            </w:tabs>
            <w:rPr/>
          </w:pPr>
          <w:hyperlink w:anchor="__RefHeading___Toc2568524_3650668749">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256852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إشکال فیما إذا کان الوارث واحداً، و أمّا إذا تعدّد</w:t>
            </w:r>
            <w:r>
              <w:rPr>
                <w:rStyle w:val="IndexLink"/>
                <w:rtl w:val="true"/>
              </w:rPr>
              <w:t>]</w:t>
              <w:tab/>
            </w:r>
            <w:r>
              <w:rPr>
                <w:rStyle w:val="IndexLink"/>
              </w:rPr>
              <w:t>441</w:t>
            </w:r>
          </w:hyperlink>
        </w:p>
        <w:p>
          <w:pPr>
            <w:pStyle w:val="Contents5"/>
            <w:tabs>
              <w:tab w:val="clear" w:pos="7892"/>
              <w:tab w:val="right" w:pos="9026" w:leader="dot"/>
            </w:tabs>
            <w:rPr/>
          </w:pPr>
          <w:hyperlink w:anchor="__RefHeading___Toc256852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اجتمع الورثة علی الفسخ فیما باعه مورّثهم</w:t>
            </w:r>
            <w:r>
              <w:rPr>
                <w:rStyle w:val="IndexLink"/>
                <w:rtl w:val="true"/>
              </w:rPr>
              <w:t>]</w:t>
              <w:tab/>
            </w:r>
            <w:r>
              <w:rPr>
                <w:rStyle w:val="IndexLink"/>
              </w:rPr>
              <w:t>441</w:t>
            </w:r>
          </w:hyperlink>
        </w:p>
        <w:p>
          <w:pPr>
            <w:pStyle w:val="Contents3"/>
            <w:tabs>
              <w:tab w:val="clear" w:pos="8459"/>
              <w:tab w:val="right" w:pos="9026" w:leader="dot"/>
            </w:tabs>
            <w:rPr/>
          </w:pPr>
          <w:hyperlink w:anchor="__RefHeading___Toc2568530_3650668749">
            <w:r>
              <w:rPr>
                <w:webHidden/>
                <w:rStyle w:val="IndexLink"/>
                <w:rtl w:val="true"/>
              </w:rPr>
              <w:t>[</w:t>
            </w:r>
            <w:r>
              <w:rPr>
                <w:rStyle w:val="IndexLink"/>
                <w:rtl w:val="true"/>
              </w:rPr>
              <w:t>القول فیما یدخل فی المبیع عند الإطلاق</w:t>
            </w:r>
            <w:r>
              <w:rPr>
                <w:rStyle w:val="IndexLink"/>
                <w:rtl w:val="true"/>
              </w:rPr>
              <w:t>]</w:t>
              <w:tab/>
            </w:r>
            <w:r>
              <w:rPr>
                <w:rStyle w:val="IndexLink"/>
              </w:rPr>
              <w:t>441</w:t>
            </w:r>
          </w:hyperlink>
        </w:p>
        <w:p>
          <w:pPr>
            <w:pStyle w:val="Contents4"/>
            <w:tabs>
              <w:tab w:val="clear" w:pos="8176"/>
              <w:tab w:val="right" w:pos="9026" w:leader="dot"/>
            </w:tabs>
            <w:rPr/>
          </w:pPr>
          <w:hyperlink w:anchor="__RefHeading___Toc2568532_3650668749">
            <w:r>
              <w:rPr>
                <w:webHidden/>
                <w:rStyle w:val="IndexLink"/>
                <w:rtl w:val="true"/>
              </w:rPr>
              <w:t>اشارة</w:t>
            </w:r>
            <w:r>
              <w:rPr>
                <w:rStyle w:val="IndexLink"/>
                <w:rtl w:val="true"/>
              </w:rPr>
              <w:tab/>
            </w:r>
            <w:r>
              <w:rPr>
                <w:rStyle w:val="IndexLink"/>
              </w:rPr>
              <w:t>441</w:t>
            </w:r>
          </w:hyperlink>
        </w:p>
        <w:p>
          <w:pPr>
            <w:pStyle w:val="Contents4"/>
            <w:tabs>
              <w:tab w:val="clear" w:pos="8176"/>
              <w:tab w:val="right" w:pos="9026" w:leader="dot"/>
            </w:tabs>
            <w:rPr/>
          </w:pPr>
          <w:hyperlink w:anchor="__RefHeading___Toc256853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من باع بستاناً دخل فیه الأرض و الشجر و النخل</w:t>
            </w:r>
            <w:r>
              <w:rPr>
                <w:rStyle w:val="IndexLink"/>
                <w:rtl w:val="true"/>
              </w:rPr>
              <w:t>]</w:t>
              <w:tab/>
            </w:r>
            <w:r>
              <w:rPr>
                <w:rStyle w:val="IndexLink"/>
              </w:rPr>
              <w:t>441</w:t>
            </w:r>
          </w:hyperlink>
        </w:p>
        <w:p>
          <w:pPr>
            <w:pStyle w:val="Contents4"/>
            <w:tabs>
              <w:tab w:val="clear" w:pos="8176"/>
              <w:tab w:val="right" w:pos="9026" w:leader="dot"/>
            </w:tabs>
            <w:rPr/>
          </w:pPr>
          <w:hyperlink w:anchor="__RefHeading___Toc256853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باع الأُصول و بقیت الثمرة للبائع و احتاجت الثمرة إلی السقی</w:t>
            </w:r>
            <w:r>
              <w:rPr>
                <w:rStyle w:val="IndexLink"/>
                <w:rtl w:val="true"/>
              </w:rPr>
              <w:t>]</w:t>
              <w:tab/>
            </w:r>
            <w:r>
              <w:rPr>
                <w:rStyle w:val="IndexLink"/>
              </w:rPr>
              <w:t>442</w:t>
            </w:r>
          </w:hyperlink>
        </w:p>
        <w:p>
          <w:pPr>
            <w:pStyle w:val="Contents4"/>
            <w:tabs>
              <w:tab w:val="clear" w:pos="8176"/>
              <w:tab w:val="right" w:pos="9026" w:leader="dot"/>
            </w:tabs>
            <w:rPr/>
          </w:pPr>
          <w:hyperlink w:anchor="__RefHeading___Toc256853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باع بستاناً و استثنیٰ نخلة مثلًا فله الممرّ إلیها</w:t>
            </w:r>
            <w:r>
              <w:rPr>
                <w:rStyle w:val="IndexLink"/>
                <w:rtl w:val="true"/>
              </w:rPr>
              <w:t>]</w:t>
              <w:tab/>
            </w:r>
            <w:r>
              <w:rPr>
                <w:rStyle w:val="IndexLink"/>
              </w:rPr>
              <w:t>442</w:t>
            </w:r>
          </w:hyperlink>
        </w:p>
        <w:p>
          <w:pPr>
            <w:pStyle w:val="Contents4"/>
            <w:tabs>
              <w:tab w:val="clear" w:pos="8176"/>
              <w:tab w:val="right" w:pos="9026" w:leader="dot"/>
            </w:tabs>
            <w:rPr/>
          </w:pPr>
          <w:hyperlink w:anchor="__RefHeading___Toc256854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الأحجار المخلوقة فی الأرض و المعادن المتکوّنة فیها تدخل فی بیعها</w:t>
            </w:r>
            <w:r>
              <w:rPr>
                <w:rStyle w:val="IndexLink"/>
                <w:rtl w:val="true"/>
              </w:rPr>
              <w:t>]</w:t>
              <w:tab/>
            </w:r>
            <w:r>
              <w:rPr>
                <w:rStyle w:val="IndexLink"/>
              </w:rPr>
              <w:t>442</w:t>
            </w:r>
          </w:hyperlink>
        </w:p>
        <w:p>
          <w:pPr>
            <w:pStyle w:val="Contents3"/>
            <w:tabs>
              <w:tab w:val="clear" w:pos="8459"/>
              <w:tab w:val="right" w:pos="9026" w:leader="dot"/>
            </w:tabs>
            <w:rPr/>
          </w:pPr>
          <w:hyperlink w:anchor="__RefHeading___Toc2568542_3650668749">
            <w:r>
              <w:rPr>
                <w:webHidden/>
                <w:rStyle w:val="IndexLink"/>
                <w:rtl w:val="true"/>
              </w:rPr>
              <w:t>[</w:t>
            </w:r>
            <w:r>
              <w:rPr>
                <w:rStyle w:val="IndexLink"/>
                <w:rtl w:val="true"/>
              </w:rPr>
              <w:t>القول فی القبض و التسلیم</w:t>
            </w:r>
            <w:r>
              <w:rPr>
                <w:rStyle w:val="IndexLink"/>
                <w:rtl w:val="true"/>
              </w:rPr>
              <w:t>]</w:t>
              <w:tab/>
            </w:r>
            <w:r>
              <w:rPr>
                <w:rStyle w:val="IndexLink"/>
              </w:rPr>
              <w:t>443</w:t>
            </w:r>
          </w:hyperlink>
        </w:p>
        <w:p>
          <w:pPr>
            <w:pStyle w:val="Contents4"/>
            <w:tabs>
              <w:tab w:val="clear" w:pos="8176"/>
              <w:tab w:val="right" w:pos="9026" w:leader="dot"/>
            </w:tabs>
            <w:rPr/>
          </w:pPr>
          <w:hyperlink w:anchor="__RefHeading___Toc2568544_3650668749">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256854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یجب علی المتبایعین تسلیم العوضین بعد العقد</w:t>
            </w:r>
            <w:r>
              <w:rPr>
                <w:rStyle w:val="IndexLink"/>
                <w:rtl w:val="true"/>
              </w:rPr>
              <w:t>]</w:t>
              <w:tab/>
            </w:r>
            <w:r>
              <w:rPr>
                <w:rStyle w:val="IndexLink"/>
              </w:rPr>
              <w:t>443</w:t>
            </w:r>
          </w:hyperlink>
        </w:p>
        <w:p>
          <w:pPr>
            <w:pStyle w:val="Contents4"/>
            <w:tabs>
              <w:tab w:val="clear" w:pos="8176"/>
              <w:tab w:val="right" w:pos="9026" w:leader="dot"/>
            </w:tabs>
            <w:rPr/>
          </w:pPr>
          <w:hyperlink w:anchor="__RefHeading___Toc256854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تلف المبیع قبل تسلیمه إلی المشتری کان من مال البائع</w:t>
            </w:r>
            <w:r>
              <w:rPr>
                <w:rStyle w:val="IndexLink"/>
                <w:rtl w:val="true"/>
              </w:rPr>
              <w:t>]</w:t>
              <w:tab/>
            </w:r>
            <w:r>
              <w:rPr>
                <w:rStyle w:val="IndexLink"/>
              </w:rPr>
              <w:t>443</w:t>
            </w:r>
          </w:hyperlink>
        </w:p>
        <w:p>
          <w:pPr>
            <w:pStyle w:val="Contents4"/>
            <w:tabs>
              <w:tab w:val="clear" w:pos="8176"/>
              <w:tab w:val="right" w:pos="9026" w:leader="dot"/>
            </w:tabs>
            <w:rPr/>
          </w:pPr>
          <w:hyperlink w:anchor="__RefHeading___Toc256855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لو باع جملة فتلف بعضها انفسخ البیع بالنسبة إلی التالف</w:t>
            </w:r>
            <w:r>
              <w:rPr>
                <w:rStyle w:val="IndexLink"/>
                <w:rtl w:val="true"/>
              </w:rPr>
              <w:t>]</w:t>
              <w:tab/>
            </w:r>
            <w:r>
              <w:rPr>
                <w:rStyle w:val="IndexLink"/>
              </w:rPr>
              <w:t>443</w:t>
            </w:r>
          </w:hyperlink>
        </w:p>
        <w:p>
          <w:pPr>
            <w:pStyle w:val="Contents4"/>
            <w:tabs>
              <w:tab w:val="clear" w:pos="8176"/>
              <w:tab w:val="right" w:pos="9026" w:leader="dot"/>
            </w:tabs>
            <w:rPr/>
          </w:pPr>
          <w:hyperlink w:anchor="__RefHeading___Toc256855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یجب علی البائع مضافاً إلیٰ تسلیم المبیع تفریغه عمّا کان فیه من أمتعة</w:t>
            </w:r>
            <w:r>
              <w:rPr>
                <w:rStyle w:val="IndexLink"/>
                <w:rtl w:val="true"/>
              </w:rPr>
              <w:t>]</w:t>
              <w:tab/>
            </w:r>
            <w:r>
              <w:rPr>
                <w:rStyle w:val="IndexLink"/>
              </w:rPr>
              <w:t>443</w:t>
            </w:r>
          </w:hyperlink>
        </w:p>
        <w:p>
          <w:pPr>
            <w:pStyle w:val="Contents4"/>
            <w:tabs>
              <w:tab w:val="clear" w:pos="8176"/>
              <w:tab w:val="right" w:pos="9026" w:leader="dot"/>
            </w:tabs>
            <w:rPr/>
          </w:pPr>
          <w:hyperlink w:anchor="__RefHeading___Toc256855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من اشتریٰ شیئاً و لم یقبضه فإن کان ممّا لا یکال أو یوزن</w:t>
            </w:r>
            <w:r>
              <w:rPr>
                <w:rStyle w:val="IndexLink"/>
                <w:rtl w:val="true"/>
              </w:rPr>
              <w:t>]</w:t>
              <w:tab/>
            </w:r>
            <w:r>
              <w:rPr>
                <w:rStyle w:val="IndexLink"/>
              </w:rPr>
              <w:t>444</w:t>
            </w:r>
          </w:hyperlink>
        </w:p>
        <w:p>
          <w:pPr>
            <w:pStyle w:val="Contents3"/>
            <w:tabs>
              <w:tab w:val="clear" w:pos="8459"/>
              <w:tab w:val="right" w:pos="9026" w:leader="dot"/>
            </w:tabs>
            <w:rPr/>
          </w:pPr>
          <w:hyperlink w:anchor="__RefHeading___Toc2568556_3650668749">
            <w:r>
              <w:rPr>
                <w:webHidden/>
                <w:rStyle w:val="IndexLink"/>
                <w:rtl w:val="true"/>
              </w:rPr>
              <w:t>[</w:t>
            </w:r>
            <w:r>
              <w:rPr>
                <w:rStyle w:val="IndexLink"/>
                <w:rtl w:val="true"/>
              </w:rPr>
              <w:t>القول فی النقد و النسیئة</w:t>
            </w:r>
            <w:r>
              <w:rPr>
                <w:rStyle w:val="IndexLink"/>
                <w:rtl w:val="true"/>
              </w:rPr>
              <w:t>]</w:t>
              <w:tab/>
            </w:r>
            <w:r>
              <w:rPr>
                <w:rStyle w:val="IndexLink"/>
              </w:rPr>
              <w:t>444</w:t>
            </w:r>
          </w:hyperlink>
        </w:p>
        <w:p>
          <w:pPr>
            <w:pStyle w:val="Contents4"/>
            <w:tabs>
              <w:tab w:val="clear" w:pos="8176"/>
              <w:tab w:val="right" w:pos="9026" w:leader="dot"/>
            </w:tabs>
            <w:rPr/>
          </w:pPr>
          <w:hyperlink w:anchor="__RefHeading___Toc2568558_3650668749">
            <w:r>
              <w:rPr>
                <w:webHidden/>
                <w:rStyle w:val="IndexLink"/>
                <w:rtl w:val="true"/>
              </w:rPr>
              <w:t>اشارة</w:t>
            </w:r>
            <w:r>
              <w:rPr>
                <w:rStyle w:val="IndexLink"/>
                <w:rtl w:val="true"/>
              </w:rPr>
              <w:tab/>
            </w:r>
            <w:r>
              <w:rPr>
                <w:rStyle w:val="IndexLink"/>
              </w:rPr>
              <w:t>444</w:t>
            </w:r>
          </w:hyperlink>
        </w:p>
        <w:p>
          <w:pPr>
            <w:pStyle w:val="Contents4"/>
            <w:tabs>
              <w:tab w:val="clear" w:pos="8176"/>
              <w:tab w:val="right" w:pos="9026" w:leader="dot"/>
            </w:tabs>
            <w:rPr/>
          </w:pPr>
          <w:hyperlink w:anchor="__RefHeading___Toc256856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من باع شیئاً و لم یشترط فیه تأجیل الثمن یکون نقداً و حالًا</w:t>
            </w:r>
            <w:r>
              <w:rPr>
                <w:rStyle w:val="IndexLink"/>
                <w:rtl w:val="true"/>
              </w:rPr>
              <w:t>]</w:t>
              <w:tab/>
            </w:r>
            <w:r>
              <w:rPr>
                <w:rStyle w:val="IndexLink"/>
              </w:rPr>
              <w:t>444</w:t>
            </w:r>
          </w:hyperlink>
        </w:p>
        <w:p>
          <w:pPr>
            <w:pStyle w:val="Contents4"/>
            <w:tabs>
              <w:tab w:val="clear" w:pos="8176"/>
              <w:tab w:val="right" w:pos="9026" w:leader="dot"/>
            </w:tabs>
            <w:rPr/>
          </w:pPr>
          <w:hyperlink w:anchor="__RefHeading___Toc256856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لو باع شیئاً بثمن حالّا و بأزید منه إلیٰ أجل</w:t>
            </w:r>
            <w:r>
              <w:rPr>
                <w:rStyle w:val="IndexLink"/>
                <w:rtl w:val="true"/>
              </w:rPr>
              <w:t>]</w:t>
              <w:tab/>
            </w:r>
            <w:r>
              <w:rPr>
                <w:rStyle w:val="IndexLink"/>
              </w:rPr>
              <w:t>444</w:t>
            </w:r>
          </w:hyperlink>
        </w:p>
        <w:p>
          <w:pPr>
            <w:pStyle w:val="Contents4"/>
            <w:tabs>
              <w:tab w:val="clear" w:pos="8176"/>
              <w:tab w:val="right" w:pos="9026" w:leader="dot"/>
            </w:tabs>
            <w:rPr/>
          </w:pPr>
          <w:hyperlink w:anchor="__RefHeading___Toc256856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یجوز تأجیل الثمن الحالّ</w:t>
            </w:r>
            <w:r>
              <w:rPr>
                <w:rStyle w:val="IndexLink"/>
                <w:rtl w:val="true"/>
              </w:rPr>
              <w:t>]</w:t>
              <w:tab/>
            </w:r>
            <w:r>
              <w:rPr>
                <w:rStyle w:val="IndexLink"/>
              </w:rPr>
              <w:t>445</w:t>
            </w:r>
          </w:hyperlink>
        </w:p>
        <w:p>
          <w:pPr>
            <w:pStyle w:val="Contents4"/>
            <w:tabs>
              <w:tab w:val="clear" w:pos="8176"/>
              <w:tab w:val="right" w:pos="9026" w:leader="dot"/>
            </w:tabs>
            <w:rPr/>
          </w:pPr>
          <w:hyperlink w:anchor="__RefHeading___Toc256856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باع شیئاً نسیئة یجوز شراؤه منه قبل حلول الأجل و بعده بجنس الثمن</w:t>
            </w:r>
            <w:r>
              <w:rPr>
                <w:rStyle w:val="IndexLink"/>
                <w:rtl w:val="true"/>
              </w:rPr>
              <w:t>]</w:t>
              <w:tab/>
            </w:r>
            <w:r>
              <w:rPr>
                <w:rStyle w:val="IndexLink"/>
              </w:rPr>
              <w:t>445</w:t>
            </w:r>
          </w:hyperlink>
        </w:p>
        <w:p>
          <w:pPr>
            <w:pStyle w:val="Contents3"/>
            <w:tabs>
              <w:tab w:val="clear" w:pos="8459"/>
              <w:tab w:val="right" w:pos="9026" w:leader="dot"/>
            </w:tabs>
            <w:rPr/>
          </w:pPr>
          <w:hyperlink w:anchor="__RefHeading___Toc2568568_3650668749">
            <w:r>
              <w:rPr>
                <w:webHidden/>
                <w:rStyle w:val="IndexLink"/>
                <w:rtl w:val="true"/>
              </w:rPr>
              <w:t>[</w:t>
            </w:r>
            <w:r>
              <w:rPr>
                <w:rStyle w:val="IndexLink"/>
                <w:rtl w:val="true"/>
              </w:rPr>
              <w:t>القول فی الربا</w:t>
            </w:r>
            <w:r>
              <w:rPr>
                <w:rStyle w:val="IndexLink"/>
                <w:rtl w:val="true"/>
              </w:rPr>
              <w:t>]</w:t>
              <w:tab/>
            </w:r>
            <w:r>
              <w:rPr>
                <w:rStyle w:val="IndexLink"/>
              </w:rPr>
              <w:t>445</w:t>
            </w:r>
          </w:hyperlink>
        </w:p>
        <w:p>
          <w:pPr>
            <w:pStyle w:val="Contents4"/>
            <w:tabs>
              <w:tab w:val="clear" w:pos="8176"/>
              <w:tab w:val="right" w:pos="9026" w:leader="dot"/>
            </w:tabs>
            <w:rPr/>
          </w:pPr>
          <w:hyperlink w:anchor="__RefHeading___Toc2568570_3650668749">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2568572_3650668749">
            <w:r>
              <w:rPr>
                <w:webHidden/>
                <w:rStyle w:val="IndexLink"/>
                <w:rtl w:val="true"/>
              </w:rPr>
              <w:t>[</w:t>
            </w:r>
            <w:r>
              <w:rPr>
                <w:rStyle w:val="IndexLink"/>
                <w:rtl w:val="true"/>
              </w:rPr>
              <w:t>و کیف کان شرطه أمران</w:t>
            </w:r>
            <w:r>
              <w:rPr>
                <w:rStyle w:val="IndexLink"/>
                <w:rtl w:val="true"/>
              </w:rPr>
              <w:t>]</w:t>
              <w:tab/>
            </w:r>
            <w:r>
              <w:rPr>
                <w:rStyle w:val="IndexLink"/>
              </w:rPr>
              <w:t>446</w:t>
            </w:r>
          </w:hyperlink>
        </w:p>
        <w:p>
          <w:pPr>
            <w:pStyle w:val="Contents5"/>
            <w:tabs>
              <w:tab w:val="clear" w:pos="7892"/>
              <w:tab w:val="right" w:pos="9026" w:leader="dot"/>
            </w:tabs>
            <w:rPr/>
          </w:pPr>
          <w:hyperlink w:anchor="__RefHeading___Toc2568574_3650668749">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2568576_3650668749">
            <w:r>
              <w:rPr>
                <w:webHidden/>
                <w:rStyle w:val="IndexLink"/>
                <w:rtl w:val="true"/>
              </w:rPr>
              <w:t>[</w:t>
            </w:r>
            <w:r>
              <w:rPr>
                <w:rStyle w:val="IndexLink"/>
                <w:rtl w:val="true"/>
              </w:rPr>
              <w:t>أحدهما</w:t>
            </w:r>
            <w:r>
              <w:rPr>
                <w:rStyle w:val="IndexLink"/>
                <w:rtl w:val="true"/>
              </w:rPr>
              <w:t xml:space="preserve">: </w:t>
            </w:r>
            <w:r>
              <w:rPr>
                <w:rStyle w:val="IndexLink"/>
                <w:rtl w:val="true"/>
              </w:rPr>
              <w:t>اتّحاد الجنس</w:t>
            </w:r>
            <w:r>
              <w:rPr>
                <w:rStyle w:val="IndexLink"/>
                <w:rtl w:val="true"/>
              </w:rPr>
              <w:t>]</w:t>
              <w:tab/>
            </w:r>
            <w:r>
              <w:rPr>
                <w:rStyle w:val="IndexLink"/>
              </w:rPr>
              <w:t>446</w:t>
            </w:r>
          </w:hyperlink>
        </w:p>
        <w:p>
          <w:pPr>
            <w:pStyle w:val="Contents5"/>
            <w:tabs>
              <w:tab w:val="clear" w:pos="7892"/>
              <w:tab w:val="right" w:pos="9026" w:leader="dot"/>
            </w:tabs>
            <w:rPr/>
          </w:pPr>
          <w:hyperlink w:anchor="__RefHeading___Toc2568578_3650668749">
            <w:r>
              <w:rPr>
                <w:webHidden/>
                <w:rStyle w:val="IndexLink"/>
                <w:rtl w:val="true"/>
              </w:rPr>
              <w:t>[</w:t>
            </w:r>
            <w:r>
              <w:rPr>
                <w:rStyle w:val="IndexLink"/>
                <w:rtl w:val="true"/>
              </w:rPr>
              <w:t>الثانی</w:t>
            </w:r>
            <w:r>
              <w:rPr>
                <w:rStyle w:val="IndexLink"/>
                <w:rtl w:val="true"/>
              </w:rPr>
              <w:t xml:space="preserve">: </w:t>
            </w:r>
            <w:r>
              <w:rPr>
                <w:rStyle w:val="IndexLink"/>
                <w:rtl w:val="true"/>
              </w:rPr>
              <w:t>کون العوضین من المکیل أو الموزون</w:t>
            </w:r>
            <w:r>
              <w:rPr>
                <w:rStyle w:val="IndexLink"/>
                <w:rtl w:val="true"/>
              </w:rPr>
              <w:t>]</w:t>
              <w:tab/>
            </w:r>
            <w:r>
              <w:rPr>
                <w:rStyle w:val="IndexLink"/>
              </w:rPr>
              <w:t>446</w:t>
            </w:r>
          </w:hyperlink>
        </w:p>
        <w:p>
          <w:pPr>
            <w:pStyle w:val="Contents4"/>
            <w:tabs>
              <w:tab w:val="clear" w:pos="8176"/>
              <w:tab w:val="right" w:pos="9026" w:leader="dot"/>
            </w:tabs>
            <w:rPr/>
          </w:pPr>
          <w:hyperlink w:anchor="__RefHeading___Toc256858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الشعیر و الحنطة فی باب الربا بحکم جنس واحد</w:t>
            </w:r>
            <w:r>
              <w:rPr>
                <w:rStyle w:val="IndexLink"/>
                <w:rtl w:val="true"/>
              </w:rPr>
              <w:t>]</w:t>
              <w:tab/>
            </w:r>
            <w:r>
              <w:rPr>
                <w:rStyle w:val="IndexLink"/>
              </w:rPr>
              <w:t>446</w:t>
            </w:r>
          </w:hyperlink>
        </w:p>
        <w:p>
          <w:pPr>
            <w:pStyle w:val="Contents4"/>
            <w:tabs>
              <w:tab w:val="clear" w:pos="8176"/>
              <w:tab w:val="right" w:pos="9026" w:leader="dot"/>
            </w:tabs>
            <w:rPr/>
          </w:pPr>
          <w:hyperlink w:anchor="__RefHeading___Toc256858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کلّ شی‌ء مع أصله بحکم جنس واحد و إن اختلفا فی الاسم کالسمسم و الشیرج</w:t>
            </w:r>
            <w:r>
              <w:rPr>
                <w:rStyle w:val="IndexLink"/>
                <w:rtl w:val="true"/>
              </w:rPr>
              <w:t>]</w:t>
              <w:tab/>
            </w:r>
            <w:r>
              <w:rPr>
                <w:rStyle w:val="IndexLink"/>
              </w:rPr>
              <w:t>447</w:t>
            </w:r>
          </w:hyperlink>
        </w:p>
        <w:p>
          <w:pPr>
            <w:pStyle w:val="Contents4"/>
            <w:tabs>
              <w:tab w:val="clear" w:pos="8176"/>
              <w:tab w:val="right" w:pos="9026" w:leader="dot"/>
            </w:tabs>
            <w:rPr/>
          </w:pPr>
          <w:hyperlink w:anchor="__RefHeading___Toc256858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اللحوم و الألبان و الأدهان تختلف باختلاف الحیوان</w:t>
            </w:r>
            <w:r>
              <w:rPr>
                <w:rStyle w:val="IndexLink"/>
                <w:rtl w:val="true"/>
              </w:rPr>
              <w:t>]</w:t>
              <w:tab/>
            </w:r>
            <w:r>
              <w:rPr>
                <w:rStyle w:val="IndexLink"/>
              </w:rPr>
              <w:t>447</w:t>
            </w:r>
          </w:hyperlink>
        </w:p>
        <w:p>
          <w:pPr>
            <w:pStyle w:val="Contents4"/>
            <w:tabs>
              <w:tab w:val="clear" w:pos="8176"/>
              <w:tab w:val="right" w:pos="9026" w:leader="dot"/>
            </w:tabs>
            <w:rPr/>
          </w:pPr>
          <w:hyperlink w:anchor="__RefHeading___Toc256858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لا تجری تبعیّة الفرع للأصل فی المکیلیّة و الموزونیّة</w:t>
            </w:r>
            <w:r>
              <w:rPr>
                <w:rStyle w:val="IndexLink"/>
                <w:rtl w:val="true"/>
              </w:rPr>
              <w:t>]</w:t>
              <w:tab/>
            </w:r>
            <w:r>
              <w:rPr>
                <w:rStyle w:val="IndexLink"/>
              </w:rPr>
              <w:t>447</w:t>
            </w:r>
          </w:hyperlink>
        </w:p>
        <w:p>
          <w:pPr>
            <w:pStyle w:val="Contents4"/>
            <w:tabs>
              <w:tab w:val="clear" w:pos="8176"/>
              <w:tab w:val="right" w:pos="9026" w:leader="dot"/>
            </w:tabs>
            <w:rPr/>
          </w:pPr>
          <w:hyperlink w:anchor="__RefHeading___Toc256858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کان لشی‌ء حالتان</w:t>
            </w:r>
            <w:r>
              <w:rPr>
                <w:rStyle w:val="IndexLink"/>
                <w:rtl w:val="true"/>
              </w:rPr>
              <w:t xml:space="preserve">: </w:t>
            </w:r>
            <w:r>
              <w:rPr>
                <w:rStyle w:val="IndexLink"/>
                <w:rtl w:val="true"/>
              </w:rPr>
              <w:t>حالة رطوبة و حالة جفاف</w:t>
            </w:r>
            <w:r>
              <w:rPr>
                <w:rStyle w:val="IndexLink"/>
                <w:rtl w:val="true"/>
              </w:rPr>
              <w:t>]</w:t>
              <w:tab/>
            </w:r>
            <w:r>
              <w:rPr>
                <w:rStyle w:val="IndexLink"/>
              </w:rPr>
              <w:t>447</w:t>
            </w:r>
          </w:hyperlink>
        </w:p>
        <w:p>
          <w:pPr>
            <w:pStyle w:val="Contents4"/>
            <w:tabs>
              <w:tab w:val="clear" w:pos="8176"/>
              <w:tab w:val="right" w:pos="9026" w:leader="dot"/>
            </w:tabs>
            <w:rPr/>
          </w:pPr>
          <w:hyperlink w:anchor="__RefHeading___Toc256859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التفاوت بالجودة و الرداءة لا یوجب جواز التفاضل فی المقدار</w:t>
            </w:r>
            <w:r>
              <w:rPr>
                <w:rStyle w:val="IndexLink"/>
                <w:rtl w:val="true"/>
              </w:rPr>
              <w:t>]</w:t>
              <w:tab/>
            </w:r>
            <w:r>
              <w:rPr>
                <w:rStyle w:val="IndexLink"/>
              </w:rPr>
              <w:t>447</w:t>
            </w:r>
          </w:hyperlink>
        </w:p>
        <w:p>
          <w:pPr>
            <w:pStyle w:val="Contents4"/>
            <w:tabs>
              <w:tab w:val="clear" w:pos="8176"/>
              <w:tab w:val="right" w:pos="9026" w:leader="dot"/>
            </w:tabs>
            <w:rPr/>
          </w:pPr>
          <w:hyperlink w:anchor="__RefHeading___Toc256859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یتخلّص من الربا بضمّ غیر الجنس بالطرفین</w:t>
            </w:r>
            <w:r>
              <w:rPr>
                <w:rStyle w:val="IndexLink"/>
                <w:rtl w:val="true"/>
              </w:rPr>
              <w:t>]</w:t>
              <w:tab/>
            </w:r>
            <w:r>
              <w:rPr>
                <w:rStyle w:val="IndexLink"/>
              </w:rPr>
              <w:t>447</w:t>
            </w:r>
          </w:hyperlink>
        </w:p>
        <w:p>
          <w:pPr>
            <w:pStyle w:val="Contents4"/>
            <w:tabs>
              <w:tab w:val="clear" w:pos="8176"/>
              <w:tab w:val="right" w:pos="9026" w:leader="dot"/>
            </w:tabs>
            <w:rPr/>
          </w:pPr>
          <w:hyperlink w:anchor="__RefHeading___Toc256859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لو کان شی‌ء یباع جزافاً فی بلد و موزوناً فی آخر</w:t>
            </w:r>
            <w:r>
              <w:rPr>
                <w:rStyle w:val="IndexLink"/>
                <w:rtl w:val="true"/>
              </w:rPr>
              <w:t>]</w:t>
              <w:tab/>
            </w:r>
            <w:r>
              <w:rPr>
                <w:rStyle w:val="IndexLink"/>
              </w:rPr>
              <w:t>448</w:t>
            </w:r>
          </w:hyperlink>
        </w:p>
        <w:p>
          <w:pPr>
            <w:pStyle w:val="Contents4"/>
            <w:tabs>
              <w:tab w:val="clear" w:pos="8176"/>
              <w:tab w:val="right" w:pos="9026" w:leader="dot"/>
            </w:tabs>
            <w:rPr/>
          </w:pPr>
          <w:hyperlink w:anchor="__RefHeading___Toc256859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لا ربا بین الوالد و ولده، و لا بین السیّد و عبده، و لا بین الرجل و زوجته، و لا بین المسلم و الحربی</w:t>
            </w:r>
            <w:r>
              <w:rPr>
                <w:rStyle w:val="IndexLink"/>
                <w:rtl w:val="true"/>
              </w:rPr>
              <w:t>]</w:t>
              <w:tab/>
            </w:r>
            <w:r>
              <w:rPr>
                <w:rStyle w:val="IndexLink"/>
              </w:rPr>
              <w:t>448</w:t>
            </w:r>
          </w:hyperlink>
        </w:p>
        <w:p>
          <w:pPr>
            <w:pStyle w:val="Contents3"/>
            <w:tabs>
              <w:tab w:val="clear" w:pos="8459"/>
              <w:tab w:val="right" w:pos="9026" w:leader="dot"/>
            </w:tabs>
            <w:rPr/>
          </w:pPr>
          <w:hyperlink w:anchor="__RefHeading___Toc2568598_3650668749">
            <w:r>
              <w:rPr>
                <w:webHidden/>
                <w:rStyle w:val="IndexLink"/>
                <w:rtl w:val="true"/>
              </w:rPr>
              <w:t>[</w:t>
            </w:r>
            <w:r>
              <w:rPr>
                <w:rStyle w:val="IndexLink"/>
                <w:rtl w:val="true"/>
              </w:rPr>
              <w:t>القول فی بیع الصرف</w:t>
            </w:r>
            <w:r>
              <w:rPr>
                <w:rStyle w:val="IndexLink"/>
                <w:rtl w:val="true"/>
              </w:rPr>
              <w:t>]</w:t>
              <w:tab/>
            </w:r>
            <w:r>
              <w:rPr>
                <w:rStyle w:val="IndexLink"/>
              </w:rPr>
              <w:t>448</w:t>
            </w:r>
          </w:hyperlink>
        </w:p>
        <w:p>
          <w:pPr>
            <w:pStyle w:val="Contents4"/>
            <w:tabs>
              <w:tab w:val="clear" w:pos="8176"/>
              <w:tab w:val="right" w:pos="9026" w:leader="dot"/>
            </w:tabs>
            <w:rPr/>
          </w:pPr>
          <w:hyperlink w:anchor="__RefHeading___Toc2568600_3650668749">
            <w:r>
              <w:rPr>
                <w:webHidden/>
                <w:rStyle w:val="IndexLink"/>
                <w:rtl w:val="true"/>
              </w:rPr>
              <w:t>اشارة</w:t>
            </w:r>
            <w:r>
              <w:rPr>
                <w:rStyle w:val="IndexLink"/>
                <w:rtl w:val="true"/>
              </w:rPr>
              <w:tab/>
            </w:r>
            <w:r>
              <w:rPr>
                <w:rStyle w:val="IndexLink"/>
              </w:rPr>
              <w:t>448</w:t>
            </w:r>
          </w:hyperlink>
        </w:p>
        <w:p>
          <w:pPr>
            <w:pStyle w:val="Contents4"/>
            <w:tabs>
              <w:tab w:val="clear" w:pos="8176"/>
              <w:tab w:val="right" w:pos="9026" w:leader="dot"/>
            </w:tabs>
            <w:rPr/>
          </w:pPr>
          <w:hyperlink w:anchor="__RefHeading___Toc256860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لو فارقا المجلس مصطحبین لم یبطل البیع</w:t>
            </w:r>
            <w:r>
              <w:rPr>
                <w:rStyle w:val="IndexLink"/>
                <w:rtl w:val="true"/>
              </w:rPr>
              <w:t>]</w:t>
              <w:tab/>
            </w:r>
            <w:r>
              <w:rPr>
                <w:rStyle w:val="IndexLink"/>
              </w:rPr>
              <w:t>448</w:t>
            </w:r>
          </w:hyperlink>
        </w:p>
        <w:p>
          <w:pPr>
            <w:pStyle w:val="Contents4"/>
            <w:tabs>
              <w:tab w:val="clear" w:pos="8176"/>
              <w:tab w:val="right" w:pos="9026" w:leader="dot"/>
            </w:tabs>
            <w:rPr/>
          </w:pPr>
          <w:hyperlink w:anchor="__RefHeading___Toc256860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إنّما یشترط التقابض فی معاوضة النقدین إذا کانت بالبیع</w:t>
            </w:r>
            <w:r>
              <w:rPr>
                <w:rStyle w:val="IndexLink"/>
                <w:rtl w:val="true"/>
              </w:rPr>
              <w:t>]</w:t>
              <w:tab/>
            </w:r>
            <w:r>
              <w:rPr>
                <w:rStyle w:val="IndexLink"/>
              </w:rPr>
              <w:t>448</w:t>
            </w:r>
          </w:hyperlink>
        </w:p>
        <w:p>
          <w:pPr>
            <w:pStyle w:val="Contents4"/>
            <w:tabs>
              <w:tab w:val="clear" w:pos="8176"/>
              <w:tab w:val="right" w:pos="9026" w:leader="dot"/>
            </w:tabs>
            <w:rPr/>
          </w:pPr>
          <w:hyperlink w:anchor="__RefHeading___Toc256860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وقعت المعاملة علی النوت و المنات و الإسکناس المتعارفة فی زماننا من طرف واحد أو من الطرفین</w:t>
            </w:r>
            <w:r>
              <w:rPr>
                <w:rStyle w:val="IndexLink"/>
                <w:rtl w:val="true"/>
              </w:rPr>
              <w:t>]</w:t>
              <w:tab/>
            </w:r>
            <w:r>
              <w:rPr>
                <w:rStyle w:val="IndexLink"/>
              </w:rPr>
              <w:t>448</w:t>
            </w:r>
          </w:hyperlink>
        </w:p>
        <w:p>
          <w:pPr>
            <w:pStyle w:val="Contents4"/>
            <w:tabs>
              <w:tab w:val="clear" w:pos="8176"/>
              <w:tab w:val="right" w:pos="9026" w:leader="dot"/>
            </w:tabs>
            <w:rPr/>
          </w:pPr>
          <w:hyperlink w:anchor="__RefHeading___Toc256860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الظاهر أنّه یکفی فی القبض کونه فی الذمّة و لا یحتاج إلیٰ قبض آخر</w:t>
            </w:r>
            <w:r>
              <w:rPr>
                <w:rStyle w:val="IndexLink"/>
                <w:rtl w:val="true"/>
              </w:rPr>
              <w:t>]</w:t>
              <w:tab/>
            </w:r>
            <w:r>
              <w:rPr>
                <w:rStyle w:val="IndexLink"/>
              </w:rPr>
              <w:t>449</w:t>
            </w:r>
          </w:hyperlink>
        </w:p>
        <w:p>
          <w:pPr>
            <w:pStyle w:val="Contents4"/>
            <w:tabs>
              <w:tab w:val="clear" w:pos="8176"/>
              <w:tab w:val="right" w:pos="9026" w:leader="dot"/>
            </w:tabs>
            <w:rPr/>
          </w:pPr>
          <w:hyperlink w:anchor="__RefHeading___Toc256861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اشتریٰ منه دراهم ببیع الصرف ثمّ اشتریٰ بها منه دنانیر</w:t>
            </w:r>
            <w:r>
              <w:rPr>
                <w:rStyle w:val="IndexLink"/>
                <w:rtl w:val="true"/>
              </w:rPr>
              <w:t>]</w:t>
              <w:tab/>
            </w:r>
            <w:r>
              <w:rPr>
                <w:rStyle w:val="IndexLink"/>
              </w:rPr>
              <w:t>449</w:t>
            </w:r>
          </w:hyperlink>
        </w:p>
        <w:p>
          <w:pPr>
            <w:pStyle w:val="Contents4"/>
            <w:tabs>
              <w:tab w:val="clear" w:pos="8176"/>
              <w:tab w:val="right" w:pos="9026" w:leader="dot"/>
            </w:tabs>
            <w:rPr/>
          </w:pPr>
          <w:hyperlink w:anchor="__RefHeading___Toc256861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کان له علیه دراهم</w:t>
            </w:r>
            <w:r>
              <w:rPr>
                <w:rStyle w:val="IndexLink"/>
                <w:rtl w:val="true"/>
              </w:rPr>
              <w:t>]</w:t>
              <w:tab/>
            </w:r>
            <w:r>
              <w:rPr>
                <w:rStyle w:val="IndexLink"/>
              </w:rPr>
              <w:t>449</w:t>
            </w:r>
          </w:hyperlink>
        </w:p>
        <w:p>
          <w:pPr>
            <w:pStyle w:val="Contents4"/>
            <w:tabs>
              <w:tab w:val="clear" w:pos="8176"/>
              <w:tab w:val="right" w:pos="9026" w:leader="dot"/>
            </w:tabs>
            <w:rPr/>
          </w:pPr>
          <w:hyperlink w:anchor="__RefHeading___Toc256861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الدراهم و الدنانیر المغشوشة إن کانت رائجة بین عامّة الناس مع علمهم</w:t>
            </w:r>
            <w:r>
              <w:rPr>
                <w:rStyle w:val="IndexLink"/>
                <w:rtl w:val="true"/>
              </w:rPr>
              <w:t>]</w:t>
              <w:tab/>
            </w:r>
            <w:r>
              <w:rPr>
                <w:rStyle w:val="IndexLink"/>
              </w:rPr>
              <w:t>450</w:t>
            </w:r>
          </w:hyperlink>
        </w:p>
        <w:p>
          <w:pPr>
            <w:pStyle w:val="Contents4"/>
            <w:tabs>
              <w:tab w:val="clear" w:pos="8176"/>
              <w:tab w:val="right" w:pos="9026" w:leader="dot"/>
            </w:tabs>
            <w:rPr/>
          </w:pPr>
          <w:hyperlink w:anchor="__RefHeading___Toc256861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حیث إنّ الذهب و الفضّة من الربوی فإذا بیع کلّ منهما بجنسه</w:t>
            </w:r>
            <w:r>
              <w:rPr>
                <w:rStyle w:val="IndexLink"/>
                <w:rtl w:val="true"/>
              </w:rPr>
              <w:t>]</w:t>
              <w:tab/>
            </w:r>
            <w:r>
              <w:rPr>
                <w:rStyle w:val="IndexLink"/>
              </w:rPr>
              <w:t>450</w:t>
            </w:r>
          </w:hyperlink>
        </w:p>
        <w:p>
          <w:pPr>
            <w:pStyle w:val="Contents4"/>
            <w:tabs>
              <w:tab w:val="clear" w:pos="8176"/>
              <w:tab w:val="right" w:pos="9026" w:leader="dot"/>
            </w:tabs>
            <w:rPr/>
          </w:pPr>
          <w:hyperlink w:anchor="__RefHeading___Toc256861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یکفی فی الضمیمة وجود الغشّ فی الذهب أو الفضّة</w:t>
            </w:r>
            <w:r>
              <w:rPr>
                <w:rStyle w:val="IndexLink"/>
                <w:rtl w:val="true"/>
              </w:rPr>
              <w:t>]</w:t>
              <w:tab/>
            </w:r>
            <w:r>
              <w:rPr>
                <w:rStyle w:val="IndexLink"/>
              </w:rPr>
              <w:t>450</w:t>
            </w:r>
          </w:hyperlink>
        </w:p>
        <w:p>
          <w:pPr>
            <w:pStyle w:val="Contents4"/>
            <w:tabs>
              <w:tab w:val="clear" w:pos="8176"/>
              <w:tab w:val="right" w:pos="9026" w:leader="dot"/>
            </w:tabs>
            <w:rPr/>
          </w:pPr>
          <w:hyperlink w:anchor="__RefHeading___Toc2568620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لا یجوز أن یشتری من الصائغ خاتماً أو قرطاً مثلًا من فضّة أو ذهب بجنسه مع زیادة</w:t>
            </w:r>
            <w:r>
              <w:rPr>
                <w:rStyle w:val="IndexLink"/>
                <w:rtl w:val="true"/>
              </w:rPr>
              <w:t>]</w:t>
              <w:tab/>
            </w:r>
            <w:r>
              <w:rPr>
                <w:rStyle w:val="IndexLink"/>
              </w:rPr>
              <w:t>451</w:t>
            </w:r>
          </w:hyperlink>
        </w:p>
        <w:p>
          <w:pPr>
            <w:pStyle w:val="Contents4"/>
            <w:tabs>
              <w:tab w:val="clear" w:pos="8176"/>
              <w:tab w:val="right" w:pos="9026" w:leader="dot"/>
            </w:tabs>
            <w:rPr/>
          </w:pPr>
          <w:hyperlink w:anchor="__RefHeading___Toc2568622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لو کان له علیٰ زید دنانیر کاللیرات و أخذ منه بعوضها دراهم کالروبیّات شیئاً فشیئاً</w:t>
            </w:r>
            <w:r>
              <w:rPr>
                <w:rStyle w:val="IndexLink"/>
                <w:rtl w:val="true"/>
              </w:rPr>
              <w:t>]</w:t>
              <w:tab/>
            </w:r>
            <w:r>
              <w:rPr>
                <w:rStyle w:val="IndexLink"/>
              </w:rPr>
              <w:t>452</w:t>
            </w:r>
          </w:hyperlink>
        </w:p>
        <w:p>
          <w:pPr>
            <w:pStyle w:val="Contents4"/>
            <w:tabs>
              <w:tab w:val="clear" w:pos="8176"/>
              <w:tab w:val="right" w:pos="9026" w:leader="dot"/>
            </w:tabs>
            <w:rPr/>
          </w:pPr>
          <w:hyperlink w:anchor="__RefHeading___Toc2568624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إذا أقرض زیداً نقداً معیّناً، أو باعه شیئاً بنقد معیّن کاللیرة إلیٰ أجل معلوم</w:t>
            </w:r>
            <w:r>
              <w:rPr>
                <w:rStyle w:val="IndexLink"/>
                <w:rtl w:val="true"/>
              </w:rPr>
              <w:t>]</w:t>
              <w:tab/>
            </w:r>
            <w:r>
              <w:rPr>
                <w:rStyle w:val="IndexLink"/>
              </w:rPr>
              <w:t>452</w:t>
            </w:r>
          </w:hyperlink>
        </w:p>
        <w:p>
          <w:pPr>
            <w:pStyle w:val="Contents4"/>
            <w:tabs>
              <w:tab w:val="clear" w:pos="8176"/>
              <w:tab w:val="right" w:pos="9026" w:leader="dot"/>
            </w:tabs>
            <w:rPr/>
          </w:pPr>
          <w:hyperlink w:anchor="__RefHeading___Toc2568626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یجوز أن یبیع مثقالًا من فضّة خالصة من الصائغ مثلًا بمثقال من فضّة فیها غشّ متموّل</w:t>
            </w:r>
            <w:r>
              <w:rPr>
                <w:rStyle w:val="IndexLink"/>
                <w:rtl w:val="true"/>
              </w:rPr>
              <w:t>]</w:t>
              <w:tab/>
            </w:r>
            <w:r>
              <w:rPr>
                <w:rStyle w:val="IndexLink"/>
              </w:rPr>
              <w:t>452</w:t>
            </w:r>
          </w:hyperlink>
        </w:p>
        <w:p>
          <w:pPr>
            <w:pStyle w:val="Contents4"/>
            <w:tabs>
              <w:tab w:val="clear" w:pos="8176"/>
              <w:tab w:val="right" w:pos="9026" w:leader="dot"/>
            </w:tabs>
            <w:rPr/>
          </w:pPr>
          <w:hyperlink w:anchor="__RefHeading___Toc2568628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لو باع عشر روبیّات مثلًا بلیرة واحدة إلّا روبیّة واحدة صحّ</w:t>
            </w:r>
            <w:r>
              <w:rPr>
                <w:rStyle w:val="IndexLink"/>
                <w:rtl w:val="true"/>
              </w:rPr>
              <w:t>]</w:t>
              <w:tab/>
            </w:r>
            <w:r>
              <w:rPr>
                <w:rStyle w:val="IndexLink"/>
              </w:rPr>
              <w:t>453</w:t>
            </w:r>
          </w:hyperlink>
        </w:p>
        <w:p>
          <w:pPr>
            <w:pStyle w:val="Contents3"/>
            <w:tabs>
              <w:tab w:val="clear" w:pos="8459"/>
              <w:tab w:val="right" w:pos="9026" w:leader="dot"/>
            </w:tabs>
            <w:rPr/>
          </w:pPr>
          <w:hyperlink w:anchor="__RefHeading___Toc2568630_3650668749">
            <w:r>
              <w:rPr>
                <w:webHidden/>
                <w:rStyle w:val="IndexLink"/>
                <w:rtl w:val="true"/>
              </w:rPr>
              <w:t>[</w:t>
            </w:r>
            <w:r>
              <w:rPr>
                <w:rStyle w:val="IndexLink"/>
                <w:rtl w:val="true"/>
              </w:rPr>
              <w:t>القول فی السلف</w:t>
            </w:r>
            <w:r>
              <w:rPr>
                <w:rStyle w:val="IndexLink"/>
                <w:rtl w:val="true"/>
              </w:rPr>
              <w:t>]</w:t>
              <w:tab/>
            </w:r>
            <w:r>
              <w:rPr>
                <w:rStyle w:val="IndexLink"/>
              </w:rPr>
              <w:t>453</w:t>
            </w:r>
          </w:hyperlink>
        </w:p>
        <w:p>
          <w:pPr>
            <w:pStyle w:val="Contents4"/>
            <w:tabs>
              <w:tab w:val="clear" w:pos="8176"/>
              <w:tab w:val="right" w:pos="9026" w:leader="dot"/>
            </w:tabs>
            <w:rPr/>
          </w:pPr>
          <w:hyperlink w:anchor="__RefHeading___Toc2568632_3650668749">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2568634_3650668749">
            <w:r>
              <w:rPr>
                <w:webHidden/>
                <w:rStyle w:val="IndexLink"/>
                <w:rtl w:val="true"/>
              </w:rPr>
              <w:t>[</w:t>
            </w:r>
            <w:r>
              <w:rPr>
                <w:rStyle w:val="IndexLink"/>
                <w:rtl w:val="true"/>
              </w:rPr>
              <w:t>و یشترط فیه أُمور</w:t>
            </w:r>
            <w:r>
              <w:rPr>
                <w:rStyle w:val="IndexLink"/>
                <w:rtl w:val="true"/>
              </w:rPr>
              <w:t>]</w:t>
              <w:tab/>
            </w:r>
            <w:r>
              <w:rPr>
                <w:rStyle w:val="IndexLink"/>
              </w:rPr>
              <w:t>453</w:t>
            </w:r>
          </w:hyperlink>
        </w:p>
        <w:p>
          <w:pPr>
            <w:pStyle w:val="Contents5"/>
            <w:tabs>
              <w:tab w:val="clear" w:pos="7892"/>
              <w:tab w:val="right" w:pos="9026" w:leader="dot"/>
            </w:tabs>
            <w:rPr/>
          </w:pPr>
          <w:hyperlink w:anchor="__RefHeading___Toc2568636_3650668749">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2568638_3650668749">
            <w:r>
              <w:rPr>
                <w:webHidden/>
                <w:rStyle w:val="IndexLink"/>
                <w:rtl w:val="true"/>
              </w:rPr>
              <w:t>[</w:t>
            </w:r>
            <w:r>
              <w:rPr>
                <w:rStyle w:val="IndexLink"/>
                <w:rtl w:val="true"/>
              </w:rPr>
              <w:t>الأوّل</w:t>
            </w:r>
            <w:r>
              <w:rPr>
                <w:rStyle w:val="IndexLink"/>
                <w:rtl w:val="true"/>
              </w:rPr>
              <w:t xml:space="preserve">: </w:t>
            </w:r>
            <w:r>
              <w:rPr>
                <w:rStyle w:val="IndexLink"/>
                <w:rtl w:val="true"/>
              </w:rPr>
              <w:t>ذکر الجنس و الوصف الرافع للجهالة</w:t>
            </w:r>
            <w:r>
              <w:rPr>
                <w:rStyle w:val="IndexLink"/>
                <w:rtl w:val="true"/>
              </w:rPr>
              <w:t>]</w:t>
              <w:tab/>
            </w:r>
            <w:r>
              <w:rPr>
                <w:rStyle w:val="IndexLink"/>
              </w:rPr>
              <w:t>453</w:t>
            </w:r>
          </w:hyperlink>
        </w:p>
        <w:p>
          <w:pPr>
            <w:pStyle w:val="Contents5"/>
            <w:tabs>
              <w:tab w:val="clear" w:pos="7892"/>
              <w:tab w:val="right" w:pos="9026" w:leader="dot"/>
            </w:tabs>
            <w:rPr/>
          </w:pPr>
          <w:hyperlink w:anchor="__RefHeading___Toc2568640_3650668749">
            <w:r>
              <w:rPr>
                <w:webHidden/>
                <w:rStyle w:val="IndexLink"/>
                <w:rtl w:val="true"/>
              </w:rPr>
              <w:t>[</w:t>
            </w:r>
            <w:r>
              <w:rPr>
                <w:rStyle w:val="IndexLink"/>
                <w:rtl w:val="true"/>
              </w:rPr>
              <w:t>الثانی</w:t>
            </w:r>
            <w:r>
              <w:rPr>
                <w:rStyle w:val="IndexLink"/>
                <w:rtl w:val="true"/>
              </w:rPr>
              <w:t xml:space="preserve">: </w:t>
            </w:r>
            <w:r>
              <w:rPr>
                <w:rStyle w:val="IndexLink"/>
                <w:rtl w:val="true"/>
              </w:rPr>
              <w:t>قبض الثمن قبل التفرّق من مجلس العقد</w:t>
            </w:r>
            <w:r>
              <w:rPr>
                <w:rStyle w:val="IndexLink"/>
                <w:rtl w:val="true"/>
              </w:rPr>
              <w:t>]</w:t>
              <w:tab/>
            </w:r>
            <w:r>
              <w:rPr>
                <w:rStyle w:val="IndexLink"/>
              </w:rPr>
              <w:t>454</w:t>
            </w:r>
          </w:hyperlink>
        </w:p>
        <w:p>
          <w:pPr>
            <w:pStyle w:val="Contents5"/>
            <w:tabs>
              <w:tab w:val="clear" w:pos="7892"/>
              <w:tab w:val="right" w:pos="9026" w:leader="dot"/>
            </w:tabs>
            <w:rPr/>
          </w:pPr>
          <w:hyperlink w:anchor="__RefHeading___Toc2568642_3650668749">
            <w:r>
              <w:rPr>
                <w:webHidden/>
                <w:rStyle w:val="IndexLink"/>
                <w:rtl w:val="true"/>
              </w:rPr>
              <w:t>[</w:t>
            </w:r>
            <w:r>
              <w:rPr>
                <w:rStyle w:val="IndexLink"/>
                <w:rtl w:val="true"/>
              </w:rPr>
              <w:t>الثالث</w:t>
            </w:r>
            <w:r>
              <w:rPr>
                <w:rStyle w:val="IndexLink"/>
                <w:rtl w:val="true"/>
              </w:rPr>
              <w:t xml:space="preserve">: </w:t>
            </w:r>
            <w:r>
              <w:rPr>
                <w:rStyle w:val="IndexLink"/>
                <w:rtl w:val="true"/>
              </w:rPr>
              <w:t>تقدیر المبیع</w:t>
            </w:r>
            <w:r>
              <w:rPr>
                <w:rStyle w:val="IndexLink"/>
                <w:rtl w:val="true"/>
              </w:rPr>
              <w:t>]</w:t>
              <w:tab/>
            </w:r>
            <w:r>
              <w:rPr>
                <w:rStyle w:val="IndexLink"/>
              </w:rPr>
              <w:t>454</w:t>
            </w:r>
          </w:hyperlink>
        </w:p>
        <w:p>
          <w:pPr>
            <w:pStyle w:val="Contents5"/>
            <w:tabs>
              <w:tab w:val="clear" w:pos="7892"/>
              <w:tab w:val="right" w:pos="9026" w:leader="dot"/>
            </w:tabs>
            <w:rPr/>
          </w:pPr>
          <w:hyperlink w:anchor="__RefHeading___Toc2568644_3650668749">
            <w:r>
              <w:rPr>
                <w:webHidden/>
                <w:rStyle w:val="IndexLink"/>
                <w:rtl w:val="true"/>
              </w:rPr>
              <w:t>[</w:t>
            </w:r>
            <w:r>
              <w:rPr>
                <w:rStyle w:val="IndexLink"/>
                <w:rtl w:val="true"/>
              </w:rPr>
              <w:t>الرابع</w:t>
            </w:r>
            <w:r>
              <w:rPr>
                <w:rStyle w:val="IndexLink"/>
                <w:rtl w:val="true"/>
              </w:rPr>
              <w:t xml:space="preserve">: </w:t>
            </w:r>
            <w:r>
              <w:rPr>
                <w:rStyle w:val="IndexLink"/>
                <w:rtl w:val="true"/>
              </w:rPr>
              <w:t>تعیین أجل مضبوط للمسلم فیه بالأیّام، أو الشهور، أو السنین و نحو ذلک</w:t>
            </w:r>
            <w:r>
              <w:rPr>
                <w:rStyle w:val="IndexLink"/>
                <w:rtl w:val="true"/>
              </w:rPr>
              <w:t>]</w:t>
              <w:tab/>
            </w:r>
            <w:r>
              <w:rPr>
                <w:rStyle w:val="IndexLink"/>
              </w:rPr>
              <w:t>454</w:t>
            </w:r>
          </w:hyperlink>
        </w:p>
        <w:p>
          <w:pPr>
            <w:pStyle w:val="Contents5"/>
            <w:tabs>
              <w:tab w:val="clear" w:pos="7892"/>
              <w:tab w:val="right" w:pos="9026" w:leader="dot"/>
            </w:tabs>
            <w:rPr/>
          </w:pPr>
          <w:hyperlink w:anchor="__RefHeading___Toc2568646_3650668749">
            <w:r>
              <w:rPr>
                <w:webHidden/>
                <w:rStyle w:val="IndexLink"/>
                <w:rtl w:val="true"/>
              </w:rPr>
              <w:t>[</w:t>
            </w:r>
            <w:r>
              <w:rPr>
                <w:rStyle w:val="IndexLink"/>
                <w:rtl w:val="true"/>
              </w:rPr>
              <w:t>الخامس</w:t>
            </w:r>
            <w:r>
              <w:rPr>
                <w:rStyle w:val="IndexLink"/>
                <w:rtl w:val="true"/>
              </w:rPr>
              <w:t xml:space="preserve">: </w:t>
            </w:r>
            <w:r>
              <w:rPr>
                <w:rStyle w:val="IndexLink"/>
                <w:rtl w:val="true"/>
              </w:rPr>
              <w:t>إمکان وجوده وقت الحلول</w:t>
            </w:r>
            <w:r>
              <w:rPr>
                <w:rStyle w:val="IndexLink"/>
                <w:rtl w:val="true"/>
              </w:rPr>
              <w:t>]</w:t>
              <w:tab/>
            </w:r>
            <w:r>
              <w:rPr>
                <w:rStyle w:val="IndexLink"/>
              </w:rPr>
              <w:t>454</w:t>
            </w:r>
          </w:hyperlink>
        </w:p>
        <w:p>
          <w:pPr>
            <w:pStyle w:val="Contents4"/>
            <w:tabs>
              <w:tab w:val="clear" w:pos="8176"/>
              <w:tab w:val="right" w:pos="9026" w:leader="dot"/>
            </w:tabs>
            <w:rPr/>
          </w:pPr>
          <w:hyperlink w:anchor="__RefHeading___Toc256864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هل یجب تعیین بلد التسلیم؟ الأحوط ذلک</w:t>
            </w:r>
            <w:r>
              <w:rPr>
                <w:rStyle w:val="IndexLink"/>
                <w:rtl w:val="true"/>
              </w:rPr>
              <w:t>]</w:t>
              <w:tab/>
            </w:r>
            <w:r>
              <w:rPr>
                <w:rStyle w:val="IndexLink"/>
              </w:rPr>
              <w:t>454</w:t>
            </w:r>
          </w:hyperlink>
        </w:p>
        <w:p>
          <w:pPr>
            <w:pStyle w:val="Contents4"/>
            <w:tabs>
              <w:tab w:val="clear" w:pos="8176"/>
              <w:tab w:val="right" w:pos="9026" w:leader="dot"/>
            </w:tabs>
            <w:rPr/>
          </w:pPr>
          <w:hyperlink w:anchor="__RefHeading___Toc256865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جعل الأجل شهراً، أو شهرین فإن کان وقوع المعاملة فی أوّل الشهر عدّ شهراً هلالیّاً، أو شهرین هلالیّین</w:t>
            </w:r>
            <w:r>
              <w:rPr>
                <w:rStyle w:val="IndexLink"/>
                <w:rtl w:val="true"/>
              </w:rPr>
              <w:t>]</w:t>
              <w:tab/>
            </w:r>
            <w:r>
              <w:rPr>
                <w:rStyle w:val="IndexLink"/>
              </w:rPr>
              <w:t>454</w:t>
            </w:r>
          </w:hyperlink>
        </w:p>
        <w:p>
          <w:pPr>
            <w:pStyle w:val="Contents4"/>
            <w:tabs>
              <w:tab w:val="clear" w:pos="8176"/>
              <w:tab w:val="right" w:pos="9026" w:leader="dot"/>
            </w:tabs>
            <w:rPr/>
          </w:pPr>
          <w:hyperlink w:anchor="__RefHeading___Toc256865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جعلا الأجل إلیٰ جمادی أو الربیع حمل علیٰ أقربهما</w:t>
            </w:r>
            <w:r>
              <w:rPr>
                <w:rStyle w:val="IndexLink"/>
                <w:rtl w:val="true"/>
              </w:rPr>
              <w:t>]</w:t>
              <w:tab/>
            </w:r>
            <w:r>
              <w:rPr>
                <w:rStyle w:val="IndexLink"/>
              </w:rPr>
              <w:t>454</w:t>
            </w:r>
          </w:hyperlink>
        </w:p>
        <w:p>
          <w:pPr>
            <w:pStyle w:val="Contents4"/>
            <w:tabs>
              <w:tab w:val="clear" w:pos="8176"/>
              <w:tab w:val="right" w:pos="9026" w:leader="dot"/>
            </w:tabs>
            <w:rPr/>
          </w:pPr>
          <w:hyperlink w:anchor="__RefHeading___Toc256865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اشتریٰ شیئاً سلفاً لم یجز بیعه قبل حلول الأجل</w:t>
            </w:r>
            <w:r>
              <w:rPr>
                <w:rStyle w:val="IndexLink"/>
                <w:rtl w:val="true"/>
              </w:rPr>
              <w:t>]</w:t>
              <w:tab/>
            </w:r>
            <w:r>
              <w:rPr>
                <w:rStyle w:val="IndexLink"/>
              </w:rPr>
              <w:t>454</w:t>
            </w:r>
          </w:hyperlink>
        </w:p>
        <w:p>
          <w:pPr>
            <w:pStyle w:val="Contents4"/>
            <w:tabs>
              <w:tab w:val="clear" w:pos="8176"/>
              <w:tab w:val="right" w:pos="9026" w:leader="dot"/>
            </w:tabs>
            <w:rPr/>
          </w:pPr>
          <w:hyperlink w:anchor="__RefHeading___Toc256865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دفع المسلم إلیه إلی المشتری بعد الحلول الجنس الذی أسلم فیه و کان دونه من حیث الصفة أو المقدار</w:t>
            </w:r>
            <w:r>
              <w:rPr>
                <w:rStyle w:val="IndexLink"/>
                <w:rtl w:val="true"/>
              </w:rPr>
              <w:t>]</w:t>
              <w:tab/>
            </w:r>
            <w:r>
              <w:rPr>
                <w:rStyle w:val="IndexLink"/>
              </w:rPr>
              <w:t>455</w:t>
            </w:r>
          </w:hyperlink>
        </w:p>
        <w:p>
          <w:pPr>
            <w:pStyle w:val="Contents4"/>
            <w:tabs>
              <w:tab w:val="clear" w:pos="8176"/>
              <w:tab w:val="right" w:pos="9026" w:leader="dot"/>
            </w:tabs>
            <w:rPr/>
          </w:pPr>
          <w:hyperlink w:anchor="__RefHeading___Toc256865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حلّ الأجل و لم یتمکّن البائع علیٰ أداء المسلم فیه لعارض</w:t>
            </w:r>
            <w:r>
              <w:rPr>
                <w:rStyle w:val="IndexLink"/>
                <w:rtl w:val="true"/>
              </w:rPr>
              <w:t>]</w:t>
              <w:tab/>
            </w:r>
            <w:r>
              <w:rPr>
                <w:rStyle w:val="IndexLink"/>
              </w:rPr>
              <w:t>455</w:t>
            </w:r>
          </w:hyperlink>
        </w:p>
        <w:p>
          <w:pPr>
            <w:pStyle w:val="Contents3"/>
            <w:tabs>
              <w:tab w:val="clear" w:pos="8459"/>
              <w:tab w:val="right" w:pos="9026" w:leader="dot"/>
            </w:tabs>
            <w:rPr/>
          </w:pPr>
          <w:hyperlink w:anchor="__RefHeading___Toc2568660_3650668749">
            <w:r>
              <w:rPr>
                <w:webHidden/>
                <w:rStyle w:val="IndexLink"/>
                <w:rtl w:val="true"/>
              </w:rPr>
              <w:t>[</w:t>
            </w:r>
            <w:r>
              <w:rPr>
                <w:rStyle w:val="IndexLink"/>
                <w:rtl w:val="true"/>
              </w:rPr>
              <w:t>القول فی المرابحة و المواضعة و التولیة</w:t>
            </w:r>
            <w:r>
              <w:rPr>
                <w:rStyle w:val="IndexLink"/>
                <w:rtl w:val="true"/>
              </w:rPr>
              <w:t>]</w:t>
              <w:tab/>
            </w:r>
            <w:r>
              <w:rPr>
                <w:rStyle w:val="IndexLink"/>
              </w:rPr>
              <w:t>455</w:t>
            </w:r>
          </w:hyperlink>
        </w:p>
        <w:p>
          <w:pPr>
            <w:pStyle w:val="Contents4"/>
            <w:tabs>
              <w:tab w:val="clear" w:pos="8176"/>
              <w:tab w:val="right" w:pos="9026" w:leader="dot"/>
            </w:tabs>
            <w:rPr/>
          </w:pPr>
          <w:hyperlink w:anchor="__RefHeading___Toc2568662_3650668749">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256866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إذا قال البائع فی المرابحة</w:t>
            </w:r>
            <w:r>
              <w:rPr>
                <w:rStyle w:val="IndexLink"/>
                <w:rtl w:val="true"/>
              </w:rPr>
              <w:t xml:space="preserve">: </w:t>
            </w:r>
            <w:r>
              <w:rPr>
                <w:rStyle w:val="IndexLink"/>
                <w:rtl w:val="true"/>
              </w:rPr>
              <w:t>بعتک هذا بمائة و ربح درهم فی کلّ عشرة مثلًا</w:t>
            </w:r>
            <w:r>
              <w:rPr>
                <w:rStyle w:val="IndexLink"/>
                <w:rtl w:val="true"/>
              </w:rPr>
              <w:t>]</w:t>
              <w:tab/>
            </w:r>
            <w:r>
              <w:rPr>
                <w:rStyle w:val="IndexLink"/>
              </w:rPr>
              <w:t>456</w:t>
            </w:r>
          </w:hyperlink>
        </w:p>
        <w:p>
          <w:pPr>
            <w:pStyle w:val="Contents4"/>
            <w:tabs>
              <w:tab w:val="clear" w:pos="8176"/>
              <w:tab w:val="right" w:pos="9026" w:leader="dot"/>
            </w:tabs>
            <w:rPr/>
          </w:pPr>
          <w:hyperlink w:anchor="__RefHeading___Toc256866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تعدّدت النقود و اختلف سعرها و صرفها لا بدّ من ذکر النقد و الصرف</w:t>
            </w:r>
            <w:r>
              <w:rPr>
                <w:rStyle w:val="IndexLink"/>
                <w:rtl w:val="true"/>
              </w:rPr>
              <w:t>]</w:t>
              <w:tab/>
            </w:r>
            <w:r>
              <w:rPr>
                <w:rStyle w:val="IndexLink"/>
              </w:rPr>
              <w:t>456</w:t>
            </w:r>
          </w:hyperlink>
        </w:p>
        <w:p>
          <w:pPr>
            <w:pStyle w:val="Contents4"/>
            <w:tabs>
              <w:tab w:val="clear" w:pos="8176"/>
              <w:tab w:val="right" w:pos="9026" w:leader="dot"/>
            </w:tabs>
            <w:rPr/>
          </w:pPr>
          <w:hyperlink w:anchor="__RefHeading___Toc256866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اشتریٰ متاعاً بثمن معیّن و لم یحدث فیه ما یوجب زیادة قیمته فرأس ماله ذلک الثمن</w:t>
            </w:r>
            <w:r>
              <w:rPr>
                <w:rStyle w:val="IndexLink"/>
                <w:rtl w:val="true"/>
              </w:rPr>
              <w:t>]</w:t>
              <w:tab/>
            </w:r>
            <w:r>
              <w:rPr>
                <w:rStyle w:val="IndexLink"/>
              </w:rPr>
              <w:t>456</w:t>
            </w:r>
          </w:hyperlink>
        </w:p>
        <w:p>
          <w:pPr>
            <w:pStyle w:val="Contents4"/>
            <w:tabs>
              <w:tab w:val="clear" w:pos="8176"/>
              <w:tab w:val="right" w:pos="9026" w:leader="dot"/>
            </w:tabs>
            <w:rPr/>
          </w:pPr>
          <w:hyperlink w:anchor="__RefHeading___Toc256867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یجوز أن یبیع متاعاً ثمّ یشتریه بزیادة أو نقیصة إذا لم یشترط علی المشتری بیعه منه</w:t>
            </w:r>
            <w:r>
              <w:rPr>
                <w:rStyle w:val="IndexLink"/>
                <w:rtl w:val="true"/>
              </w:rPr>
              <w:t>]</w:t>
              <w:tab/>
            </w:r>
            <w:r>
              <w:rPr>
                <w:rStyle w:val="IndexLink"/>
              </w:rPr>
              <w:t>457</w:t>
            </w:r>
          </w:hyperlink>
        </w:p>
        <w:p>
          <w:pPr>
            <w:pStyle w:val="Contents4"/>
            <w:tabs>
              <w:tab w:val="clear" w:pos="8176"/>
              <w:tab w:val="right" w:pos="9026" w:leader="dot"/>
            </w:tabs>
            <w:rPr/>
          </w:pPr>
          <w:hyperlink w:anchor="__RefHeading___Toc256867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ظهر کذب البائع فی إخباره برأس المال کما إذا أخبر بأنّ رأس المال مائة و باعه بربح عشرة فظهر أنّه کان تسعین</w:t>
            </w:r>
            <w:r>
              <w:rPr>
                <w:rStyle w:val="IndexLink"/>
                <w:rtl w:val="true"/>
              </w:rPr>
              <w:t>]</w:t>
              <w:tab/>
            </w:r>
            <w:r>
              <w:rPr>
                <w:rStyle w:val="IndexLink"/>
              </w:rPr>
              <w:t>457</w:t>
            </w:r>
          </w:hyperlink>
        </w:p>
        <w:p>
          <w:pPr>
            <w:pStyle w:val="Contents4"/>
            <w:tabs>
              <w:tab w:val="clear" w:pos="8176"/>
              <w:tab w:val="right" w:pos="9026" w:leader="dot"/>
            </w:tabs>
            <w:rPr/>
          </w:pPr>
          <w:hyperlink w:anchor="__RefHeading___Toc2568674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سلّم التاجر متاعاً إلی الدلّال لیبیعه له فقوّمه علیه بثمن معیّن</w:t>
            </w:r>
            <w:r>
              <w:rPr>
                <w:rStyle w:val="IndexLink"/>
                <w:rtl w:val="true"/>
              </w:rPr>
              <w:t>]</w:t>
              <w:tab/>
            </w:r>
            <w:r>
              <w:rPr>
                <w:rStyle w:val="IndexLink"/>
              </w:rPr>
              <w:t>457</w:t>
            </w:r>
          </w:hyperlink>
        </w:p>
        <w:p>
          <w:pPr>
            <w:pStyle w:val="Contents4"/>
            <w:tabs>
              <w:tab w:val="clear" w:pos="8176"/>
              <w:tab w:val="right" w:pos="9026" w:leader="dot"/>
            </w:tabs>
            <w:rPr/>
          </w:pPr>
          <w:hyperlink w:anchor="__RefHeading___Toc2568676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اشتریٰ شخص متاعاً أو داراً أو عقاراً أو غیرها جاز أن یشرک فیه غیره بما اشتراه</w:t>
            </w:r>
            <w:r>
              <w:rPr>
                <w:rStyle w:val="IndexLink"/>
                <w:rtl w:val="true"/>
              </w:rPr>
              <w:t>]</w:t>
              <w:tab/>
            </w:r>
            <w:r>
              <w:rPr>
                <w:rStyle w:val="IndexLink"/>
              </w:rPr>
              <w:t>458</w:t>
            </w:r>
          </w:hyperlink>
        </w:p>
        <w:p>
          <w:pPr>
            <w:pStyle w:val="Contents3"/>
            <w:tabs>
              <w:tab w:val="clear" w:pos="8459"/>
              <w:tab w:val="right" w:pos="9026" w:leader="dot"/>
            </w:tabs>
            <w:rPr/>
          </w:pPr>
          <w:hyperlink w:anchor="__RefHeading___Toc2568678_3650668749">
            <w:r>
              <w:rPr>
                <w:webHidden/>
                <w:rStyle w:val="IndexLink"/>
                <w:rtl w:val="true"/>
              </w:rPr>
              <w:t>[</w:t>
            </w:r>
            <w:r>
              <w:rPr>
                <w:rStyle w:val="IndexLink"/>
                <w:rtl w:val="true"/>
              </w:rPr>
              <w:t>القول فی بیع الثمار</w:t>
            </w:r>
            <w:r>
              <w:rPr>
                <w:rStyle w:val="IndexLink"/>
                <w:rtl w:val="true"/>
              </w:rPr>
              <w:t>]</w:t>
              <w:tab/>
            </w:r>
            <w:r>
              <w:rPr>
                <w:rStyle w:val="IndexLink"/>
              </w:rPr>
              <w:t>458</w:t>
            </w:r>
          </w:hyperlink>
        </w:p>
        <w:p>
          <w:pPr>
            <w:pStyle w:val="Contents4"/>
            <w:tabs>
              <w:tab w:val="clear" w:pos="8176"/>
              <w:tab w:val="right" w:pos="9026" w:leader="dot"/>
            </w:tabs>
            <w:rPr/>
          </w:pPr>
          <w:hyperlink w:anchor="__RefHeading___Toc2568680_3650668749">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256868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یجوز بیع الثمار فی النخیل و الأشجار قبل بروزها</w:t>
            </w:r>
            <w:r>
              <w:rPr>
                <w:rStyle w:val="IndexLink"/>
                <w:rtl w:val="true"/>
              </w:rPr>
              <w:t>]</w:t>
              <w:tab/>
            </w:r>
            <w:r>
              <w:rPr>
                <w:rStyle w:val="IndexLink"/>
              </w:rPr>
              <w:t>458</w:t>
            </w:r>
          </w:hyperlink>
        </w:p>
        <w:p>
          <w:pPr>
            <w:pStyle w:val="Contents4"/>
            <w:tabs>
              <w:tab w:val="clear" w:pos="8176"/>
              <w:tab w:val="right" w:pos="9026" w:leader="dot"/>
            </w:tabs>
            <w:rPr/>
          </w:pPr>
          <w:hyperlink w:anchor="__RefHeading___Toc256868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بدوّ الصلاح فی التمر احمراره أو اصفراره</w:t>
            </w:r>
            <w:r>
              <w:rPr>
                <w:rStyle w:val="IndexLink"/>
                <w:rtl w:val="true"/>
              </w:rPr>
              <w:t>]</w:t>
              <w:tab/>
            </w:r>
            <w:r>
              <w:rPr>
                <w:rStyle w:val="IndexLink"/>
              </w:rPr>
              <w:t>458</w:t>
            </w:r>
          </w:hyperlink>
        </w:p>
        <w:p>
          <w:pPr>
            <w:pStyle w:val="Contents4"/>
            <w:tabs>
              <w:tab w:val="clear" w:pos="8176"/>
              <w:tab w:val="right" w:pos="9026" w:leader="dot"/>
            </w:tabs>
            <w:rPr/>
          </w:pPr>
          <w:hyperlink w:anchor="__RefHeading___Toc256868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یعتبر فی الضمیمة فی مورد الاحتیاج إلیها کونها ممّا یجوز بیعها منفردة و کونها مملوکة للمالک</w:t>
            </w:r>
            <w:r>
              <w:rPr>
                <w:rStyle w:val="IndexLink"/>
                <w:rtl w:val="true"/>
              </w:rPr>
              <w:t>]</w:t>
              <w:tab/>
            </w:r>
            <w:r>
              <w:rPr>
                <w:rStyle w:val="IndexLink"/>
              </w:rPr>
              <w:t>458</w:t>
            </w:r>
          </w:hyperlink>
        </w:p>
        <w:p>
          <w:pPr>
            <w:pStyle w:val="Contents4"/>
            <w:tabs>
              <w:tab w:val="clear" w:pos="8176"/>
              <w:tab w:val="right" w:pos="9026" w:leader="dot"/>
            </w:tabs>
            <w:rPr/>
          </w:pPr>
          <w:hyperlink w:anchor="__RefHeading___Toc256868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ظهرت بعض ثمرة البستان جاز له بیع ثمرته أجمع</w:t>
            </w:r>
            <w:r>
              <w:rPr>
                <w:rStyle w:val="IndexLink"/>
                <w:rtl w:val="true"/>
              </w:rPr>
              <w:t>]</w:t>
              <w:tab/>
            </w:r>
            <w:r>
              <w:rPr>
                <w:rStyle w:val="IndexLink"/>
              </w:rPr>
              <w:t>459</w:t>
            </w:r>
          </w:hyperlink>
        </w:p>
        <w:p>
          <w:pPr>
            <w:pStyle w:val="Contents4"/>
            <w:tabs>
              <w:tab w:val="clear" w:pos="8176"/>
              <w:tab w:val="right" w:pos="9026" w:leader="dot"/>
            </w:tabs>
            <w:rPr/>
          </w:pPr>
          <w:hyperlink w:anchor="__RefHeading___Toc256869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کانت الشجرة تثمر فی سنة واحدة مرّتین، الظاهر أنّه یکون المرّتان بمنزلة عامین</w:t>
            </w:r>
            <w:r>
              <w:rPr>
                <w:rStyle w:val="IndexLink"/>
                <w:rtl w:val="true"/>
              </w:rPr>
              <w:t>]</w:t>
              <w:tab/>
            </w:r>
            <w:r>
              <w:rPr>
                <w:rStyle w:val="IndexLink"/>
              </w:rPr>
              <w:t>459</w:t>
            </w:r>
          </w:hyperlink>
        </w:p>
        <w:p>
          <w:pPr>
            <w:pStyle w:val="Contents4"/>
            <w:tabs>
              <w:tab w:val="clear" w:pos="8176"/>
              <w:tab w:val="right" w:pos="9026" w:leader="dot"/>
            </w:tabs>
            <w:rPr/>
          </w:pPr>
          <w:hyperlink w:anchor="__RefHeading___Toc256869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باع الثمرة سنة أو سنتین أو أزید، ثمّ باع الأُصول من شخص آخر لم یبطل بیع الثمرة</w:t>
            </w:r>
            <w:r>
              <w:rPr>
                <w:rStyle w:val="IndexLink"/>
                <w:rtl w:val="true"/>
              </w:rPr>
              <w:t>]</w:t>
              <w:tab/>
            </w:r>
            <w:r>
              <w:rPr>
                <w:rStyle w:val="IndexLink"/>
              </w:rPr>
              <w:t>459</w:t>
            </w:r>
          </w:hyperlink>
        </w:p>
        <w:p>
          <w:pPr>
            <w:pStyle w:val="Contents4"/>
            <w:tabs>
              <w:tab w:val="clear" w:pos="8176"/>
              <w:tab w:val="right" w:pos="9026" w:leader="dot"/>
            </w:tabs>
            <w:rPr/>
          </w:pPr>
          <w:hyperlink w:anchor="__RefHeading___Toc256869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باع الثمرة بعد ظهورها أو بدوّ صلاحها فاصیبت بآفة سماویّة أو أرضیّة قبل قبضها الذی هو التخلیة</w:t>
            </w:r>
            <w:r>
              <w:rPr>
                <w:rStyle w:val="IndexLink"/>
                <w:rtl w:val="true"/>
              </w:rPr>
              <w:t>]</w:t>
              <w:tab/>
            </w:r>
            <w:r>
              <w:rPr>
                <w:rStyle w:val="IndexLink"/>
              </w:rPr>
              <w:t>459</w:t>
            </w:r>
          </w:hyperlink>
        </w:p>
        <w:p>
          <w:pPr>
            <w:pStyle w:val="Contents4"/>
            <w:tabs>
              <w:tab w:val="clear" w:pos="8176"/>
              <w:tab w:val="right" w:pos="9026" w:leader="dot"/>
            </w:tabs>
            <w:rPr/>
          </w:pPr>
          <w:hyperlink w:anchor="__RefHeading___Toc256869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یجوز أن یستثنی البائع لنفسه حصّة مشاعة من الثمرة کالثلث و الربع أو مقداراً معیّناً</w:t>
            </w:r>
            <w:r>
              <w:rPr>
                <w:rStyle w:val="IndexLink"/>
                <w:rtl w:val="true"/>
              </w:rPr>
              <w:t>]</w:t>
              <w:tab/>
            </w:r>
            <w:r>
              <w:rPr>
                <w:rStyle w:val="IndexLink"/>
              </w:rPr>
              <w:t>459</w:t>
            </w:r>
          </w:hyperlink>
        </w:p>
        <w:p>
          <w:pPr>
            <w:pStyle w:val="Contents4"/>
            <w:tabs>
              <w:tab w:val="clear" w:pos="8176"/>
              <w:tab w:val="right" w:pos="9026" w:leader="dot"/>
            </w:tabs>
            <w:rPr/>
          </w:pPr>
          <w:hyperlink w:anchor="__RefHeading___Toc256869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یجوز بیع الثمرة علی النخل و الشجر بکلّ شی‌ء یصحّ أن یجعل ثمناً فی أنواع البیوع من النقود</w:t>
            </w:r>
            <w:r>
              <w:rPr>
                <w:rStyle w:val="IndexLink"/>
                <w:rtl w:val="true"/>
              </w:rPr>
              <w:t>]</w:t>
              <w:tab/>
            </w:r>
            <w:r>
              <w:rPr>
                <w:rStyle w:val="IndexLink"/>
              </w:rPr>
              <w:t>459</w:t>
            </w:r>
          </w:hyperlink>
        </w:p>
        <w:p>
          <w:pPr>
            <w:pStyle w:val="Contents4"/>
            <w:tabs>
              <w:tab w:val="clear" w:pos="8176"/>
              <w:tab w:val="right" w:pos="9026" w:leader="dot"/>
            </w:tabs>
            <w:rPr/>
          </w:pPr>
          <w:hyperlink w:anchor="__RefHeading___Toc256870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یجوز أن یبیع ما اشتراه من الثمرة بزیادة عمّا ابتاعه به أو نقصان</w:t>
            </w:r>
            <w:r>
              <w:rPr>
                <w:rStyle w:val="IndexLink"/>
                <w:rtl w:val="true"/>
              </w:rPr>
              <w:t>]</w:t>
              <w:tab/>
            </w:r>
            <w:r>
              <w:rPr>
                <w:rStyle w:val="IndexLink"/>
              </w:rPr>
              <w:t>460</w:t>
            </w:r>
          </w:hyperlink>
        </w:p>
        <w:p>
          <w:pPr>
            <w:pStyle w:val="Contents4"/>
            <w:tabs>
              <w:tab w:val="clear" w:pos="8176"/>
              <w:tab w:val="right" w:pos="9026" w:leader="dot"/>
            </w:tabs>
            <w:rPr/>
          </w:pPr>
          <w:hyperlink w:anchor="__RefHeading___Toc256870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لا یجوز بیع الزرع بذراً قبل ظهوره</w:t>
            </w:r>
            <w:r>
              <w:rPr>
                <w:rStyle w:val="IndexLink"/>
                <w:rtl w:val="true"/>
              </w:rPr>
              <w:t>]</w:t>
              <w:tab/>
            </w:r>
            <w:r>
              <w:rPr>
                <w:rStyle w:val="IndexLink"/>
              </w:rPr>
              <w:t>460</w:t>
            </w:r>
          </w:hyperlink>
        </w:p>
        <w:p>
          <w:pPr>
            <w:pStyle w:val="Contents4"/>
            <w:tabs>
              <w:tab w:val="clear" w:pos="8176"/>
              <w:tab w:val="right" w:pos="9026" w:leader="dot"/>
            </w:tabs>
            <w:rPr/>
          </w:pPr>
          <w:hyperlink w:anchor="__RefHeading___Toc256870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لا یجوز بیع السنبل قبل ظهوره و انعقاد حبّه</w:t>
            </w:r>
            <w:r>
              <w:rPr>
                <w:rStyle w:val="IndexLink"/>
                <w:rtl w:val="true"/>
              </w:rPr>
              <w:t>]</w:t>
              <w:tab/>
            </w:r>
            <w:r>
              <w:rPr>
                <w:rStyle w:val="IndexLink"/>
              </w:rPr>
              <w:t>460</w:t>
            </w:r>
          </w:hyperlink>
        </w:p>
        <w:p>
          <w:pPr>
            <w:pStyle w:val="Contents4"/>
            <w:tabs>
              <w:tab w:val="clear" w:pos="8176"/>
              <w:tab w:val="right" w:pos="9026" w:leader="dot"/>
            </w:tabs>
            <w:rPr/>
          </w:pPr>
          <w:hyperlink w:anchor="__RefHeading___Toc2568706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لا یجوز بیع الخضر کالخیار و الباذنجان و البطّیخ و نحوها قبل ظهورها</w:t>
            </w:r>
            <w:r>
              <w:rPr>
                <w:rStyle w:val="IndexLink"/>
                <w:rtl w:val="true"/>
              </w:rPr>
              <w:t>]</w:t>
              <w:tab/>
            </w:r>
            <w:r>
              <w:rPr>
                <w:rStyle w:val="IndexLink"/>
              </w:rPr>
              <w:t>461</w:t>
            </w:r>
          </w:hyperlink>
        </w:p>
        <w:p>
          <w:pPr>
            <w:pStyle w:val="Contents4"/>
            <w:tabs>
              <w:tab w:val="clear" w:pos="8176"/>
              <w:tab w:val="right" w:pos="9026" w:leader="dot"/>
            </w:tabs>
            <w:rPr/>
          </w:pPr>
          <w:hyperlink w:anchor="__RefHeading___Toc2568708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إنّما یجوز بیع الخضر کالخیار و البطّیخ مع مشاهدة ما یمکن مشاهدته فی خلال الأوراق</w:t>
            </w:r>
            <w:r>
              <w:rPr>
                <w:rStyle w:val="IndexLink"/>
                <w:rtl w:val="true"/>
              </w:rPr>
              <w:t>]</w:t>
              <w:tab/>
            </w:r>
            <w:r>
              <w:rPr>
                <w:rStyle w:val="IndexLink"/>
              </w:rPr>
              <w:t>461</w:t>
            </w:r>
          </w:hyperlink>
        </w:p>
        <w:p>
          <w:pPr>
            <w:pStyle w:val="Contents4"/>
            <w:tabs>
              <w:tab w:val="clear" w:pos="8176"/>
              <w:tab w:val="right" w:pos="9026" w:leader="dot"/>
            </w:tabs>
            <w:rPr/>
          </w:pPr>
          <w:hyperlink w:anchor="__RefHeading___Toc2568710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إذا کان الخضر ممّا کان المقصود منه مستوراً فی الأرض کالجزر و الشلجم و الثوم یشکل جواز بیعها قبل قلعها</w:t>
            </w:r>
            <w:r>
              <w:rPr>
                <w:rStyle w:val="IndexLink"/>
                <w:rtl w:val="true"/>
              </w:rPr>
              <w:t>]</w:t>
              <w:tab/>
            </w:r>
            <w:r>
              <w:rPr>
                <w:rStyle w:val="IndexLink"/>
              </w:rPr>
              <w:t>461</w:t>
            </w:r>
          </w:hyperlink>
        </w:p>
        <w:p>
          <w:pPr>
            <w:pStyle w:val="Contents4"/>
            <w:tabs>
              <w:tab w:val="clear" w:pos="8176"/>
              <w:tab w:val="right" w:pos="9026" w:leader="dot"/>
            </w:tabs>
            <w:rPr/>
          </w:pPr>
          <w:hyperlink w:anchor="__RefHeading___Toc2568712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یجوز بعد الظهور بیع ما یجزّ ثمّ ینمو کالرطبة و الکرّاث و النعناع جزّة و جزّات معیّنة</w:t>
            </w:r>
            <w:r>
              <w:rPr>
                <w:rStyle w:val="IndexLink"/>
                <w:rtl w:val="true"/>
              </w:rPr>
              <w:t>]</w:t>
              <w:tab/>
            </w:r>
            <w:r>
              <w:rPr>
                <w:rStyle w:val="IndexLink"/>
              </w:rPr>
              <w:t>461</w:t>
            </w:r>
          </w:hyperlink>
        </w:p>
        <w:p>
          <w:pPr>
            <w:pStyle w:val="Contents4"/>
            <w:tabs>
              <w:tab w:val="clear" w:pos="8176"/>
              <w:tab w:val="right" w:pos="9026" w:leader="dot"/>
            </w:tabs>
            <w:rPr/>
          </w:pPr>
          <w:hyperlink w:anchor="__RefHeading___Toc2568714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إذا کان نخل أو شجر أو زرع بین اثنین مثلًا بالمناصفة</w:t>
            </w:r>
            <w:r>
              <w:rPr>
                <w:rStyle w:val="IndexLink"/>
                <w:rtl w:val="true"/>
              </w:rPr>
              <w:t>]</w:t>
              <w:tab/>
            </w:r>
            <w:r>
              <w:rPr>
                <w:rStyle w:val="IndexLink"/>
              </w:rPr>
              <w:t>461</w:t>
            </w:r>
          </w:hyperlink>
        </w:p>
        <w:p>
          <w:pPr>
            <w:pStyle w:val="Contents4"/>
            <w:tabs>
              <w:tab w:val="clear" w:pos="8176"/>
              <w:tab w:val="right" w:pos="9026" w:leader="dot"/>
            </w:tabs>
            <w:rPr/>
          </w:pPr>
          <w:hyperlink w:anchor="__RefHeading___Toc2568716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من مرّ بثمرة نخل أو شجر أو زرع‌مارّاً مجتازاً لا قاصداً إلیها لأجل الأکل</w:t>
            </w:r>
            <w:r>
              <w:rPr>
                <w:rStyle w:val="IndexLink"/>
                <w:rtl w:val="true"/>
              </w:rPr>
              <w:t>]</w:t>
              <w:tab/>
            </w:r>
            <w:r>
              <w:rPr>
                <w:rStyle w:val="IndexLink"/>
              </w:rPr>
              <w:t>461</w:t>
            </w:r>
          </w:hyperlink>
        </w:p>
        <w:p>
          <w:pPr>
            <w:pStyle w:val="Contents3"/>
            <w:tabs>
              <w:tab w:val="clear" w:pos="8459"/>
              <w:tab w:val="right" w:pos="9026" w:leader="dot"/>
            </w:tabs>
            <w:rPr/>
          </w:pPr>
          <w:hyperlink w:anchor="__RefHeading___Toc2568718_3650668749">
            <w:r>
              <w:rPr>
                <w:webHidden/>
                <w:rStyle w:val="IndexLink"/>
                <w:rtl w:val="true"/>
              </w:rPr>
              <w:t>[</w:t>
            </w:r>
            <w:r>
              <w:rPr>
                <w:rStyle w:val="IndexLink"/>
                <w:rtl w:val="true"/>
              </w:rPr>
              <w:t>القول فی بیع الحیوان ناطقة و صامته</w:t>
            </w:r>
            <w:r>
              <w:rPr>
                <w:rStyle w:val="IndexLink"/>
                <w:rtl w:val="true"/>
              </w:rPr>
              <w:t>]</w:t>
              <w:tab/>
            </w:r>
            <w:r>
              <w:rPr>
                <w:rStyle w:val="IndexLink"/>
              </w:rPr>
              <w:t>462</w:t>
            </w:r>
          </w:hyperlink>
        </w:p>
        <w:p>
          <w:pPr>
            <w:pStyle w:val="Contents4"/>
            <w:tabs>
              <w:tab w:val="clear" w:pos="8176"/>
              <w:tab w:val="right" w:pos="9026" w:leader="dot"/>
            </w:tabs>
            <w:rPr/>
          </w:pPr>
          <w:hyperlink w:anchor="__RefHeading___Toc2568720_3650668749">
            <w:r>
              <w:rPr>
                <w:webHidden/>
                <w:rStyle w:val="IndexLink"/>
                <w:rtl w:val="true"/>
              </w:rPr>
              <w:t>اشارة</w:t>
            </w:r>
            <w:r>
              <w:rPr>
                <w:rStyle w:val="IndexLink"/>
                <w:rtl w:val="true"/>
              </w:rPr>
              <w:tab/>
            </w:r>
            <w:r>
              <w:rPr>
                <w:rStyle w:val="IndexLink"/>
              </w:rPr>
              <w:t>462</w:t>
            </w:r>
          </w:hyperlink>
        </w:p>
        <w:p>
          <w:pPr>
            <w:pStyle w:val="Contents4"/>
            <w:tabs>
              <w:tab w:val="clear" w:pos="8176"/>
              <w:tab w:val="right" w:pos="9026" w:leader="dot"/>
            </w:tabs>
            <w:rPr/>
          </w:pPr>
          <w:hyperlink w:anchor="__RefHeading___Toc256872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یجوز استرقاق الحربی؛ أعنی الکافر الأصلی إذا لم یکن معتصماً بعهد أو ذمام</w:t>
            </w:r>
            <w:r>
              <w:rPr>
                <w:rStyle w:val="IndexLink"/>
                <w:rtl w:val="true"/>
              </w:rPr>
              <w:t>]</w:t>
              <w:tab/>
            </w:r>
            <w:r>
              <w:rPr>
                <w:rStyle w:val="IndexLink"/>
              </w:rPr>
              <w:t>462</w:t>
            </w:r>
          </w:hyperlink>
        </w:p>
        <w:p>
          <w:pPr>
            <w:pStyle w:val="Contents4"/>
            <w:tabs>
              <w:tab w:val="clear" w:pos="8176"/>
              <w:tab w:val="right" w:pos="9026" w:leader="dot"/>
            </w:tabs>
            <w:rPr/>
          </w:pPr>
          <w:hyperlink w:anchor="__RefHeading___Toc256872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یملک الرجل کلّ أحد عدا أحد عشر</w:t>
            </w:r>
            <w:r>
              <w:rPr>
                <w:rStyle w:val="IndexLink"/>
                <w:rtl w:val="true"/>
              </w:rPr>
              <w:t xml:space="preserve">: </w:t>
            </w:r>
            <w:r>
              <w:rPr>
                <w:rStyle w:val="IndexLink"/>
                <w:rtl w:val="true"/>
              </w:rPr>
              <w:t>الأب و الامّ و الأجداد و الجدّات و إن علوا</w:t>
            </w:r>
            <w:r>
              <w:rPr>
                <w:rStyle w:val="IndexLink"/>
                <w:rtl w:val="true"/>
              </w:rPr>
              <w:t>]</w:t>
              <w:tab/>
            </w:r>
            <w:r>
              <w:rPr>
                <w:rStyle w:val="IndexLink"/>
              </w:rPr>
              <w:t>462</w:t>
            </w:r>
          </w:hyperlink>
        </w:p>
        <w:p>
          <w:pPr>
            <w:pStyle w:val="Contents4"/>
            <w:tabs>
              <w:tab w:val="clear" w:pos="8176"/>
              <w:tab w:val="right" w:pos="9026" w:leader="dot"/>
            </w:tabs>
            <w:rPr/>
          </w:pPr>
          <w:hyperlink w:anchor="__RefHeading___Toc256872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الکافر لا یملک المسلم ابتداءً</w:t>
            </w:r>
            <w:r>
              <w:rPr>
                <w:rStyle w:val="IndexLink"/>
                <w:rtl w:val="true"/>
              </w:rPr>
              <w:t>]</w:t>
              <w:tab/>
            </w:r>
            <w:r>
              <w:rPr>
                <w:rStyle w:val="IndexLink"/>
              </w:rPr>
              <w:t>462</w:t>
            </w:r>
          </w:hyperlink>
        </w:p>
        <w:p>
          <w:pPr>
            <w:pStyle w:val="Contents4"/>
            <w:tabs>
              <w:tab w:val="clear" w:pos="8176"/>
              <w:tab w:val="right" w:pos="9026" w:leader="dot"/>
            </w:tabs>
            <w:rPr/>
          </w:pPr>
          <w:hyperlink w:anchor="__RefHeading___Toc256872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کلّ من أقرّ علیٰ نفسه بالعبودیّة حکم علیه بها مع شرائط الإقرار</w:t>
            </w:r>
            <w:r>
              <w:rPr>
                <w:rStyle w:val="IndexLink"/>
                <w:rtl w:val="true"/>
              </w:rPr>
              <w:t>]</w:t>
              <w:tab/>
            </w:r>
            <w:r>
              <w:rPr>
                <w:rStyle w:val="IndexLink"/>
              </w:rPr>
              <w:t>462</w:t>
            </w:r>
          </w:hyperlink>
        </w:p>
        <w:p>
          <w:pPr>
            <w:pStyle w:val="Contents4"/>
            <w:tabs>
              <w:tab w:val="clear" w:pos="8176"/>
              <w:tab w:val="right" w:pos="9026" w:leader="dot"/>
            </w:tabs>
            <w:rPr/>
          </w:pPr>
          <w:hyperlink w:anchor="__RefHeading___Toc256873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اشتریٰ عبداً فادّعی الحرّیة لم یقبل قوله إلّا بالبیّنة</w:t>
            </w:r>
            <w:r>
              <w:rPr>
                <w:rStyle w:val="IndexLink"/>
                <w:rtl w:val="true"/>
              </w:rPr>
              <w:t>]</w:t>
              <w:tab/>
            </w:r>
            <w:r>
              <w:rPr>
                <w:rStyle w:val="IndexLink"/>
              </w:rPr>
              <w:t>462</w:t>
            </w:r>
          </w:hyperlink>
        </w:p>
        <w:p>
          <w:pPr>
            <w:pStyle w:val="Contents4"/>
            <w:tabs>
              <w:tab w:val="clear" w:pos="8176"/>
              <w:tab w:val="right" w:pos="9026" w:leader="dot"/>
            </w:tabs>
            <w:rPr/>
          </w:pPr>
          <w:hyperlink w:anchor="__RefHeading___Toc256873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أراد مالک الجاریة أن یبیعها و قد وطئها یجب علیه أن یستبرئها</w:t>
            </w:r>
            <w:r>
              <w:rPr>
                <w:rStyle w:val="IndexLink"/>
                <w:rtl w:val="true"/>
              </w:rPr>
              <w:t>]</w:t>
              <w:tab/>
            </w:r>
            <w:r>
              <w:rPr>
                <w:rStyle w:val="IndexLink"/>
              </w:rPr>
              <w:t>462</w:t>
            </w:r>
          </w:hyperlink>
        </w:p>
        <w:p>
          <w:pPr>
            <w:pStyle w:val="Contents4"/>
            <w:tabs>
              <w:tab w:val="clear" w:pos="8176"/>
              <w:tab w:val="right" w:pos="9026" w:leader="dot"/>
            </w:tabs>
            <w:rPr/>
          </w:pPr>
          <w:hyperlink w:anchor="__RefHeading___Toc256873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لا یختصّ وجوب الاستبراء بالبیع و الشراء</w:t>
            </w:r>
            <w:r>
              <w:rPr>
                <w:rStyle w:val="IndexLink"/>
                <w:rtl w:val="true"/>
              </w:rPr>
              <w:t>]</w:t>
              <w:tab/>
            </w:r>
            <w:r>
              <w:rPr>
                <w:rStyle w:val="IndexLink"/>
              </w:rPr>
              <w:t>463</w:t>
            </w:r>
          </w:hyperlink>
        </w:p>
        <w:p>
          <w:pPr>
            <w:pStyle w:val="Contents4"/>
            <w:tabs>
              <w:tab w:val="clear" w:pos="8176"/>
              <w:tab w:val="right" w:pos="9026" w:leader="dot"/>
            </w:tabs>
            <w:rPr/>
          </w:pPr>
          <w:hyperlink w:anchor="__RefHeading___Toc256873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باع جاریة حبلیٰ لم یجب علی البائع استبراؤها</w:t>
            </w:r>
            <w:r>
              <w:rPr>
                <w:rStyle w:val="IndexLink"/>
                <w:rtl w:val="true"/>
              </w:rPr>
              <w:t>]</w:t>
              <w:tab/>
            </w:r>
            <w:r>
              <w:rPr>
                <w:rStyle w:val="IndexLink"/>
              </w:rPr>
              <w:t>463</w:t>
            </w:r>
          </w:hyperlink>
        </w:p>
        <w:p>
          <w:pPr>
            <w:pStyle w:val="Contents4"/>
            <w:tabs>
              <w:tab w:val="clear" w:pos="8176"/>
              <w:tab w:val="right" w:pos="9026" w:leader="dot"/>
            </w:tabs>
            <w:rPr/>
          </w:pPr>
          <w:hyperlink w:anchor="__RefHeading___Toc256873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الأقویٰ أنّ العبد یملک و إن کان محجوراً علیه لا ینفذ تصرّفاته فیما ملکه بدون إذن مولاه</w:t>
            </w:r>
            <w:r>
              <w:rPr>
                <w:rStyle w:val="IndexLink"/>
                <w:rtl w:val="true"/>
              </w:rPr>
              <w:t>]</w:t>
              <w:tab/>
            </w:r>
            <w:r>
              <w:rPr>
                <w:rStyle w:val="IndexLink"/>
              </w:rPr>
              <w:t>463</w:t>
            </w:r>
          </w:hyperlink>
        </w:p>
        <w:p>
          <w:pPr>
            <w:pStyle w:val="Contents4"/>
            <w:tabs>
              <w:tab w:val="clear" w:pos="8176"/>
              <w:tab w:val="right" w:pos="9026" w:leader="dot"/>
            </w:tabs>
            <w:rPr/>
          </w:pPr>
          <w:hyperlink w:anchor="__RefHeading___Toc256874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کلّ حیوان مملوک کما یجوز بیع جمیعه یجوز بیع بعضه المشاع کالنصف و الربع</w:t>
            </w:r>
            <w:r>
              <w:rPr>
                <w:rStyle w:val="IndexLink"/>
                <w:rtl w:val="true"/>
              </w:rPr>
              <w:t>]</w:t>
              <w:tab/>
            </w:r>
            <w:r>
              <w:rPr>
                <w:rStyle w:val="IndexLink"/>
              </w:rPr>
              <w:t>463</w:t>
            </w:r>
          </w:hyperlink>
        </w:p>
        <w:p>
          <w:pPr>
            <w:pStyle w:val="Contents4"/>
            <w:tabs>
              <w:tab w:val="clear" w:pos="8176"/>
              <w:tab w:val="right" w:pos="9026" w:leader="dot"/>
            </w:tabs>
            <w:rPr/>
          </w:pPr>
          <w:hyperlink w:anchor="__RefHeading___Toc256874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لو قال شخص لآخر</w:t>
            </w:r>
            <w:r>
              <w:rPr>
                <w:rStyle w:val="IndexLink"/>
                <w:rtl w:val="true"/>
              </w:rPr>
              <w:t xml:space="preserve">: </w:t>
            </w:r>
            <w:r>
              <w:rPr>
                <w:rStyle w:val="IndexLink"/>
                <w:rtl w:val="true"/>
              </w:rPr>
              <w:t>اشتر حیواناً مثلًا بشرکتی</w:t>
            </w:r>
            <w:r>
              <w:rPr>
                <w:rStyle w:val="IndexLink"/>
                <w:rtl w:val="true"/>
              </w:rPr>
              <w:t>]</w:t>
              <w:tab/>
            </w:r>
            <w:r>
              <w:rPr>
                <w:rStyle w:val="IndexLink"/>
              </w:rPr>
              <w:t>464</w:t>
            </w:r>
          </w:hyperlink>
        </w:p>
        <w:p>
          <w:pPr>
            <w:pStyle w:val="Contents3"/>
            <w:tabs>
              <w:tab w:val="clear" w:pos="8459"/>
              <w:tab w:val="right" w:pos="9026" w:leader="dot"/>
            </w:tabs>
            <w:rPr/>
          </w:pPr>
          <w:hyperlink w:anchor="__RefHeading___Toc2568744_3650668749">
            <w:r>
              <w:rPr>
                <w:webHidden/>
                <w:rStyle w:val="IndexLink"/>
                <w:rtl w:val="true"/>
              </w:rPr>
              <w:t>[</w:t>
            </w:r>
            <w:r>
              <w:rPr>
                <w:rStyle w:val="IndexLink"/>
                <w:rtl w:val="true"/>
              </w:rPr>
              <w:t>القول فی الإقالة</w:t>
            </w:r>
            <w:r>
              <w:rPr>
                <w:rStyle w:val="IndexLink"/>
                <w:rtl w:val="true"/>
              </w:rPr>
              <w:t>]</w:t>
              <w:tab/>
            </w:r>
            <w:r>
              <w:rPr>
                <w:rStyle w:val="IndexLink"/>
              </w:rPr>
              <w:t>464</w:t>
            </w:r>
          </w:hyperlink>
        </w:p>
        <w:p>
          <w:pPr>
            <w:pStyle w:val="Contents4"/>
            <w:tabs>
              <w:tab w:val="clear" w:pos="8176"/>
              <w:tab w:val="right" w:pos="9026" w:leader="dot"/>
            </w:tabs>
            <w:rPr/>
          </w:pPr>
          <w:hyperlink w:anchor="__RefHeading___Toc2568746_3650668749">
            <w:r>
              <w:rPr>
                <w:webHidden/>
                <w:rStyle w:val="IndexLink"/>
                <w:rtl w:val="true"/>
              </w:rPr>
              <w:t>اشارة</w:t>
            </w:r>
            <w:r>
              <w:rPr>
                <w:rStyle w:val="IndexLink"/>
                <w:rtl w:val="true"/>
              </w:rPr>
              <w:tab/>
            </w:r>
            <w:r>
              <w:rPr>
                <w:rStyle w:val="IndexLink"/>
              </w:rPr>
              <w:t>464</w:t>
            </w:r>
          </w:hyperlink>
        </w:p>
        <w:p>
          <w:pPr>
            <w:pStyle w:val="Contents4"/>
            <w:tabs>
              <w:tab w:val="clear" w:pos="8176"/>
              <w:tab w:val="right" w:pos="9026" w:leader="dot"/>
            </w:tabs>
            <w:rPr/>
          </w:pPr>
          <w:hyperlink w:anchor="__RefHeading___Toc256874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یجوز الإقالة بزیادة عن الثمن و لا نقصان</w:t>
            </w:r>
            <w:r>
              <w:rPr>
                <w:rStyle w:val="IndexLink"/>
                <w:rtl w:val="true"/>
              </w:rPr>
              <w:t>]</w:t>
              <w:tab/>
            </w:r>
            <w:r>
              <w:rPr>
                <w:rStyle w:val="IndexLink"/>
              </w:rPr>
              <w:t>465</w:t>
            </w:r>
          </w:hyperlink>
        </w:p>
        <w:p>
          <w:pPr>
            <w:pStyle w:val="Contents4"/>
            <w:tabs>
              <w:tab w:val="clear" w:pos="8176"/>
              <w:tab w:val="right" w:pos="9026" w:leader="dot"/>
            </w:tabs>
            <w:rPr/>
          </w:pPr>
          <w:hyperlink w:anchor="__RefHeading___Toc256875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یجری فی الإقالة الفسخ و الإقالة</w:t>
            </w:r>
            <w:r>
              <w:rPr>
                <w:rStyle w:val="IndexLink"/>
                <w:rtl w:val="true"/>
              </w:rPr>
              <w:t>]</w:t>
              <w:tab/>
            </w:r>
            <w:r>
              <w:rPr>
                <w:rStyle w:val="IndexLink"/>
              </w:rPr>
              <w:t>465</w:t>
            </w:r>
          </w:hyperlink>
        </w:p>
        <w:p>
          <w:pPr>
            <w:pStyle w:val="Contents4"/>
            <w:tabs>
              <w:tab w:val="clear" w:pos="8176"/>
              <w:tab w:val="right" w:pos="9026" w:leader="dot"/>
            </w:tabs>
            <w:rPr/>
          </w:pPr>
          <w:hyperlink w:anchor="__RefHeading___Toc256875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تصحّ الإقالة فی جمیع ما وقع علیه العقد و فی بعضه و یتقسّط الثمن حینئذٍ علی النسبة</w:t>
            </w:r>
            <w:r>
              <w:rPr>
                <w:rStyle w:val="IndexLink"/>
                <w:rtl w:val="true"/>
              </w:rPr>
              <w:t>]</w:t>
              <w:tab/>
            </w:r>
            <w:r>
              <w:rPr>
                <w:rStyle w:val="IndexLink"/>
              </w:rPr>
              <w:t>465</w:t>
            </w:r>
          </w:hyperlink>
        </w:p>
        <w:p>
          <w:pPr>
            <w:pStyle w:val="Contents4"/>
            <w:tabs>
              <w:tab w:val="clear" w:pos="8176"/>
              <w:tab w:val="right" w:pos="9026" w:leader="dot"/>
            </w:tabs>
            <w:rPr/>
          </w:pPr>
          <w:hyperlink w:anchor="__RefHeading___Toc256875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التلف غیر مانع عن صحّة الإقالة کالفسخ</w:t>
            </w:r>
            <w:r>
              <w:rPr>
                <w:rStyle w:val="IndexLink"/>
                <w:rtl w:val="true"/>
              </w:rPr>
              <w:t>]</w:t>
              <w:tab/>
            </w:r>
            <w:r>
              <w:rPr>
                <w:rStyle w:val="IndexLink"/>
              </w:rPr>
              <w:t>465</w:t>
            </w:r>
          </w:hyperlink>
        </w:p>
        <w:p>
          <w:pPr>
            <w:pStyle w:val="Contents2"/>
            <w:tabs>
              <w:tab w:val="clear" w:pos="8743"/>
              <w:tab w:val="right" w:pos="9026" w:leader="dot"/>
            </w:tabs>
            <w:rPr/>
          </w:pPr>
          <w:hyperlink w:anchor="__RefHeading___Toc2568756_3650668749">
            <w:r>
              <w:rPr>
                <w:webHidden/>
                <w:rStyle w:val="IndexLink"/>
                <w:rtl w:val="true"/>
              </w:rPr>
              <w:t>[</w:t>
            </w:r>
            <w:r>
              <w:rPr>
                <w:rStyle w:val="IndexLink"/>
                <w:rtl w:val="true"/>
              </w:rPr>
              <w:t>کتاب الشفعة</w:t>
            </w:r>
            <w:r>
              <w:rPr>
                <w:rStyle w:val="IndexLink"/>
                <w:rtl w:val="true"/>
              </w:rPr>
              <w:t>]</w:t>
              <w:tab/>
            </w:r>
            <w:r>
              <w:rPr>
                <w:rStyle w:val="IndexLink"/>
              </w:rPr>
              <w:t>466</w:t>
            </w:r>
          </w:hyperlink>
        </w:p>
        <w:p>
          <w:pPr>
            <w:pStyle w:val="Contents3"/>
            <w:tabs>
              <w:tab w:val="clear" w:pos="8459"/>
              <w:tab w:val="right" w:pos="9026" w:leader="dot"/>
            </w:tabs>
            <w:rPr/>
          </w:pPr>
          <w:hyperlink w:anchor="__RefHeading___Toc2568758_3650668749">
            <w:r>
              <w:rPr>
                <w:webHidden/>
                <w:rStyle w:val="IndexLink"/>
                <w:rtl w:val="true"/>
              </w:rPr>
              <w:t>اشارة</w:t>
            </w:r>
            <w:r>
              <w:rPr>
                <w:rStyle w:val="IndexLink"/>
                <w:rtl w:val="true"/>
              </w:rPr>
              <w:tab/>
            </w:r>
            <w:r>
              <w:rPr>
                <w:rStyle w:val="IndexLink"/>
              </w:rPr>
              <w:t>466</w:t>
            </w:r>
          </w:hyperlink>
        </w:p>
        <w:p>
          <w:pPr>
            <w:pStyle w:val="Contents3"/>
            <w:tabs>
              <w:tab w:val="clear" w:pos="8459"/>
              <w:tab w:val="right" w:pos="9026" w:leader="dot"/>
            </w:tabs>
            <w:rPr/>
          </w:pPr>
          <w:hyperlink w:anchor="__RefHeading___Toc256876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إذا باع أحد الشریکین حصّته من شخص أجنبیّ فللشریک الآخر مع اجتماع الشروط الآتیة حقّ أن یتملّکها</w:t>
            </w:r>
            <w:r>
              <w:rPr>
                <w:rStyle w:val="IndexLink"/>
                <w:rtl w:val="true"/>
              </w:rPr>
              <w:t>]</w:t>
              <w:tab/>
            </w:r>
            <w:r>
              <w:rPr>
                <w:rStyle w:val="IndexLink"/>
              </w:rPr>
              <w:t>466</w:t>
            </w:r>
          </w:hyperlink>
        </w:p>
        <w:p>
          <w:pPr>
            <w:pStyle w:val="Contents3"/>
            <w:tabs>
              <w:tab w:val="clear" w:pos="8459"/>
              <w:tab w:val="right" w:pos="9026" w:leader="dot"/>
            </w:tabs>
            <w:rPr/>
          </w:pPr>
          <w:hyperlink w:anchor="__RefHeading___Toc256876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إشکال فی ثبوت الشفعة فی کلّ ما لا ینقل إذا کان قابلًا للقسمة</w:t>
            </w:r>
            <w:r>
              <w:rPr>
                <w:rStyle w:val="IndexLink"/>
                <w:rtl w:val="true"/>
              </w:rPr>
              <w:t>]</w:t>
              <w:tab/>
            </w:r>
            <w:r>
              <w:rPr>
                <w:rStyle w:val="IndexLink"/>
              </w:rPr>
              <w:t>466</w:t>
            </w:r>
          </w:hyperlink>
        </w:p>
        <w:p>
          <w:pPr>
            <w:pStyle w:val="Contents3"/>
            <w:tabs>
              <w:tab w:val="clear" w:pos="8459"/>
              <w:tab w:val="right" w:pos="9026" w:leader="dot"/>
            </w:tabs>
            <w:rPr/>
          </w:pPr>
          <w:hyperlink w:anchor="__RefHeading___Toc256876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إنّما تثبت الشفعة فی بیع حصّة مشاعة من العین المشترکة فلا شفعة بالجوار</w:t>
            </w:r>
            <w:r>
              <w:rPr>
                <w:rStyle w:val="IndexLink"/>
                <w:rtl w:val="true"/>
              </w:rPr>
              <w:t>]</w:t>
              <w:tab/>
            </w:r>
            <w:r>
              <w:rPr>
                <w:rStyle w:val="IndexLink"/>
              </w:rPr>
              <w:t>466</w:t>
            </w:r>
          </w:hyperlink>
        </w:p>
        <w:p>
          <w:pPr>
            <w:pStyle w:val="Contents3"/>
            <w:tabs>
              <w:tab w:val="clear" w:pos="8459"/>
              <w:tab w:val="right" w:pos="9026" w:leader="dot"/>
            </w:tabs>
            <w:rPr/>
          </w:pPr>
          <w:hyperlink w:anchor="__RefHeading___Toc256876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لو باع عرضاً و شقصاً من دار</w:t>
            </w:r>
            <w:r>
              <w:rPr>
                <w:rStyle w:val="IndexLink"/>
                <w:rtl w:val="true"/>
              </w:rPr>
              <w:t>]</w:t>
              <w:tab/>
            </w:r>
            <w:r>
              <w:rPr>
                <w:rStyle w:val="IndexLink"/>
              </w:rPr>
              <w:t>467</w:t>
            </w:r>
          </w:hyperlink>
        </w:p>
        <w:p>
          <w:pPr>
            <w:pStyle w:val="Contents3"/>
            <w:tabs>
              <w:tab w:val="clear" w:pos="8459"/>
              <w:tab w:val="right" w:pos="9026" w:leader="dot"/>
            </w:tabs>
            <w:rPr/>
          </w:pPr>
          <w:hyperlink w:anchor="__RefHeading___Toc256876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یشترط فی ثبوت الشفعة انتقال الحصّة إلی الأجنبی بالبیع</w:t>
            </w:r>
            <w:r>
              <w:rPr>
                <w:rStyle w:val="IndexLink"/>
                <w:rtl w:val="true"/>
              </w:rPr>
              <w:t>]</w:t>
              <w:tab/>
            </w:r>
            <w:r>
              <w:rPr>
                <w:rStyle w:val="IndexLink"/>
              </w:rPr>
              <w:t>467</w:t>
            </w:r>
          </w:hyperlink>
        </w:p>
        <w:p>
          <w:pPr>
            <w:pStyle w:val="Contents3"/>
            <w:tabs>
              <w:tab w:val="clear" w:pos="8459"/>
              <w:tab w:val="right" w:pos="9026" w:leader="dot"/>
            </w:tabs>
            <w:rPr/>
          </w:pPr>
          <w:hyperlink w:anchor="__RefHeading___Toc256877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إنّما تثبت الشفعة إذا کانت العین بین شریکین فلا شفعة فیما إذا کانت بین ثلاثة و ما فوقها</w:t>
            </w:r>
            <w:r>
              <w:rPr>
                <w:rStyle w:val="IndexLink"/>
                <w:rtl w:val="true"/>
              </w:rPr>
              <w:t>]</w:t>
              <w:tab/>
            </w:r>
            <w:r>
              <w:rPr>
                <w:rStyle w:val="IndexLink"/>
              </w:rPr>
              <w:t>467</w:t>
            </w:r>
          </w:hyperlink>
        </w:p>
        <w:p>
          <w:pPr>
            <w:pStyle w:val="Contents3"/>
            <w:tabs>
              <w:tab w:val="clear" w:pos="8459"/>
              <w:tab w:val="right" w:pos="9026" w:leader="dot"/>
            </w:tabs>
            <w:rPr/>
          </w:pPr>
          <w:hyperlink w:anchor="__RefHeading___Toc256877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کانت الدار مشترکة بین الطلق و الوقف، و بیع الطلق</w:t>
            </w:r>
            <w:r>
              <w:rPr>
                <w:rStyle w:val="IndexLink"/>
                <w:rtl w:val="true"/>
              </w:rPr>
              <w:t>]</w:t>
              <w:tab/>
            </w:r>
            <w:r>
              <w:rPr>
                <w:rStyle w:val="IndexLink"/>
              </w:rPr>
              <w:t>467</w:t>
            </w:r>
          </w:hyperlink>
        </w:p>
        <w:p>
          <w:pPr>
            <w:pStyle w:val="Contents3"/>
            <w:tabs>
              <w:tab w:val="clear" w:pos="8459"/>
              <w:tab w:val="right" w:pos="9026" w:leader="dot"/>
            </w:tabs>
            <w:rPr/>
          </w:pPr>
          <w:hyperlink w:anchor="__RefHeading___Toc256877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یعتبر فی ثبوت الشفعة کون الشفیع قادراً علیٰ أداء الثمن</w:t>
            </w:r>
            <w:r>
              <w:rPr>
                <w:rStyle w:val="IndexLink"/>
                <w:rtl w:val="true"/>
              </w:rPr>
              <w:t>]</w:t>
              <w:tab/>
            </w:r>
            <w:r>
              <w:rPr>
                <w:rStyle w:val="IndexLink"/>
              </w:rPr>
              <w:t>468</w:t>
            </w:r>
          </w:hyperlink>
        </w:p>
        <w:p>
          <w:pPr>
            <w:pStyle w:val="Contents3"/>
            <w:tabs>
              <w:tab w:val="clear" w:pos="8459"/>
              <w:tab w:val="right" w:pos="9026" w:leader="dot"/>
            </w:tabs>
            <w:rPr/>
          </w:pPr>
          <w:hyperlink w:anchor="__RefHeading___Toc256877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یشترط فی الشفیع الإسلام إذا کان المشتری مسلماً</w:t>
            </w:r>
            <w:r>
              <w:rPr>
                <w:rStyle w:val="IndexLink"/>
                <w:rtl w:val="true"/>
              </w:rPr>
              <w:t>]</w:t>
              <w:tab/>
            </w:r>
            <w:r>
              <w:rPr>
                <w:rStyle w:val="IndexLink"/>
              </w:rPr>
              <w:t>468</w:t>
            </w:r>
          </w:hyperlink>
        </w:p>
        <w:p>
          <w:pPr>
            <w:pStyle w:val="Contents3"/>
            <w:tabs>
              <w:tab w:val="clear" w:pos="8459"/>
              <w:tab w:val="right" w:pos="9026" w:leader="dot"/>
            </w:tabs>
            <w:rPr/>
          </w:pPr>
          <w:hyperlink w:anchor="__RefHeading___Toc2568778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تثبت الشفعة للغائب، فله الأخذ بها بعد اطّلاعه علی البیع</w:t>
            </w:r>
            <w:r>
              <w:rPr>
                <w:rStyle w:val="IndexLink"/>
                <w:rtl w:val="true"/>
              </w:rPr>
              <w:t>]</w:t>
              <w:tab/>
            </w:r>
            <w:r>
              <w:rPr>
                <w:rStyle w:val="IndexLink"/>
              </w:rPr>
              <w:t>468</w:t>
            </w:r>
          </w:hyperlink>
        </w:p>
        <w:p>
          <w:pPr>
            <w:pStyle w:val="Contents3"/>
            <w:tabs>
              <w:tab w:val="clear" w:pos="8459"/>
              <w:tab w:val="right" w:pos="9026" w:leader="dot"/>
            </w:tabs>
            <w:rPr/>
          </w:pPr>
          <w:hyperlink w:anchor="__RefHeading___Toc2568780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تثبت الشفعة للسفیه و إن لم ینفذ أخذه بها إلّا بإذن الولیّ أو إجازته</w:t>
            </w:r>
            <w:r>
              <w:rPr>
                <w:rStyle w:val="IndexLink"/>
                <w:rtl w:val="true"/>
              </w:rPr>
              <w:t>]</w:t>
              <w:tab/>
            </w:r>
            <w:r>
              <w:rPr>
                <w:rStyle w:val="IndexLink"/>
              </w:rPr>
              <w:t>468</w:t>
            </w:r>
          </w:hyperlink>
        </w:p>
        <w:p>
          <w:pPr>
            <w:pStyle w:val="Contents3"/>
            <w:tabs>
              <w:tab w:val="clear" w:pos="8459"/>
              <w:tab w:val="right" w:pos="9026" w:leader="dot"/>
            </w:tabs>
            <w:rPr/>
          </w:pPr>
          <w:hyperlink w:anchor="__RefHeading___Toc2568782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إذا کان الولیّ شریکاً مع المولّی علیه، فباع حصّته من أجنبی</w:t>
            </w:r>
            <w:r>
              <w:rPr>
                <w:rStyle w:val="IndexLink"/>
                <w:rtl w:val="true"/>
              </w:rPr>
              <w:t>]</w:t>
              <w:tab/>
            </w:r>
            <w:r>
              <w:rPr>
                <w:rStyle w:val="IndexLink"/>
              </w:rPr>
              <w:t>468</w:t>
            </w:r>
          </w:hyperlink>
        </w:p>
        <w:p>
          <w:pPr>
            <w:pStyle w:val="Contents3"/>
            <w:tabs>
              <w:tab w:val="clear" w:pos="8459"/>
              <w:tab w:val="right" w:pos="9026" w:leader="dot"/>
            </w:tabs>
            <w:rPr/>
          </w:pPr>
          <w:hyperlink w:anchor="__RefHeading___Toc2568784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الأخذ بالشفعة إمّا بالقول کأن یقول</w:t>
            </w:r>
            <w:r>
              <w:rPr>
                <w:rStyle w:val="IndexLink"/>
                <w:rtl w:val="true"/>
              </w:rPr>
              <w:t xml:space="preserve">: </w:t>
            </w:r>
            <w:r>
              <w:rPr>
                <w:rStyle w:val="IndexLink"/>
                <w:rtl w:val="true"/>
              </w:rPr>
              <w:t>أخذت بالشفعة، أو تملّکت الحصّة</w:t>
            </w:r>
            <w:r>
              <w:rPr>
                <w:rStyle w:val="IndexLink"/>
                <w:rtl w:val="true"/>
              </w:rPr>
              <w:t>]</w:t>
              <w:tab/>
            </w:r>
            <w:r>
              <w:rPr>
                <w:rStyle w:val="IndexLink"/>
              </w:rPr>
              <w:t>468</w:t>
            </w:r>
          </w:hyperlink>
        </w:p>
        <w:p>
          <w:pPr>
            <w:pStyle w:val="Contents3"/>
            <w:tabs>
              <w:tab w:val="clear" w:pos="8459"/>
              <w:tab w:val="right" w:pos="9026" w:leader="dot"/>
            </w:tabs>
            <w:rPr/>
          </w:pPr>
          <w:hyperlink w:anchor="__RefHeading___Toc2568786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لیس للشفیع تبعیض حقّه</w:t>
            </w:r>
            <w:r>
              <w:rPr>
                <w:rStyle w:val="IndexLink"/>
                <w:rtl w:val="true"/>
              </w:rPr>
              <w:t>]</w:t>
              <w:tab/>
            </w:r>
            <w:r>
              <w:rPr>
                <w:rStyle w:val="IndexLink"/>
              </w:rPr>
              <w:t>469</w:t>
            </w:r>
          </w:hyperlink>
        </w:p>
        <w:p>
          <w:pPr>
            <w:pStyle w:val="Contents3"/>
            <w:tabs>
              <w:tab w:val="clear" w:pos="8459"/>
              <w:tab w:val="right" w:pos="9026" w:leader="dot"/>
            </w:tabs>
            <w:rPr/>
          </w:pPr>
          <w:hyperlink w:anchor="__RefHeading___Toc2568788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الذی یلزم علی الشفیع عند أخذه بالشفعة دفع مثل الثمن الذی وقع علیه العقد</w:t>
            </w:r>
            <w:r>
              <w:rPr>
                <w:rStyle w:val="IndexLink"/>
                <w:rtl w:val="true"/>
              </w:rPr>
              <w:t>]</w:t>
              <w:tab/>
            </w:r>
            <w:r>
              <w:rPr>
                <w:rStyle w:val="IndexLink"/>
              </w:rPr>
              <w:t>469</w:t>
            </w:r>
          </w:hyperlink>
        </w:p>
        <w:p>
          <w:pPr>
            <w:pStyle w:val="Contents3"/>
            <w:tabs>
              <w:tab w:val="clear" w:pos="8459"/>
              <w:tab w:val="right" w:pos="9026" w:leader="dot"/>
            </w:tabs>
            <w:rPr/>
          </w:pPr>
          <w:hyperlink w:anchor="__RefHeading___Toc2568790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لو کان الثمن مثلیّا کالذهب و الفضّة و نحوهما یلزم علی الشفیع دفع مثله</w:t>
            </w:r>
            <w:r>
              <w:rPr>
                <w:rStyle w:val="IndexLink"/>
                <w:rtl w:val="true"/>
              </w:rPr>
              <w:t>]</w:t>
              <w:tab/>
            </w:r>
            <w:r>
              <w:rPr>
                <w:rStyle w:val="IndexLink"/>
              </w:rPr>
              <w:t>469</w:t>
            </w:r>
          </w:hyperlink>
        </w:p>
        <w:p>
          <w:pPr>
            <w:pStyle w:val="Contents3"/>
            <w:tabs>
              <w:tab w:val="clear" w:pos="8459"/>
              <w:tab w:val="right" w:pos="9026" w:leader="dot"/>
            </w:tabs>
            <w:rPr/>
          </w:pPr>
          <w:hyperlink w:anchor="__RefHeading___Toc2568792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إذا اطّلع الشفیع علی البیع فله المطالبة فی الحال</w:t>
            </w:r>
            <w:r>
              <w:rPr>
                <w:rStyle w:val="IndexLink"/>
                <w:rtl w:val="true"/>
              </w:rPr>
              <w:t>]</w:t>
              <w:tab/>
            </w:r>
            <w:r>
              <w:rPr>
                <w:rStyle w:val="IndexLink"/>
              </w:rPr>
              <w:t>469</w:t>
            </w:r>
          </w:hyperlink>
        </w:p>
        <w:p>
          <w:pPr>
            <w:pStyle w:val="Contents3"/>
            <w:tabs>
              <w:tab w:val="clear" w:pos="8459"/>
              <w:tab w:val="right" w:pos="9026" w:leader="dot"/>
            </w:tabs>
            <w:rPr/>
          </w:pPr>
          <w:hyperlink w:anchor="__RefHeading___Toc2568794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لمّا کانت الشفعة من الحقوق تسقط بإسقاط الشفیع لها</w:t>
            </w:r>
            <w:r>
              <w:rPr>
                <w:rStyle w:val="IndexLink"/>
                <w:rtl w:val="true"/>
              </w:rPr>
              <w:t>]</w:t>
              <w:tab/>
            </w:r>
            <w:r>
              <w:rPr>
                <w:rStyle w:val="IndexLink"/>
              </w:rPr>
              <w:t>469</w:t>
            </w:r>
          </w:hyperlink>
        </w:p>
        <w:p>
          <w:pPr>
            <w:pStyle w:val="Contents3"/>
            <w:tabs>
              <w:tab w:val="clear" w:pos="8459"/>
              <w:tab w:val="right" w:pos="9026" w:leader="dot"/>
            </w:tabs>
            <w:rPr/>
          </w:pPr>
          <w:hyperlink w:anchor="__RefHeading___Toc2568796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لو تصرّف المشتری فیما اشتراه فإن کان بالبیع کان للشفیع الأخذ من المشتری الأوّل</w:t>
            </w:r>
            <w:r>
              <w:rPr>
                <w:rStyle w:val="IndexLink"/>
                <w:rtl w:val="true"/>
              </w:rPr>
              <w:t>]</w:t>
              <w:tab/>
            </w:r>
            <w:r>
              <w:rPr>
                <w:rStyle w:val="IndexLink"/>
              </w:rPr>
              <w:t>470</w:t>
            </w:r>
          </w:hyperlink>
        </w:p>
        <w:p>
          <w:pPr>
            <w:pStyle w:val="Contents3"/>
            <w:tabs>
              <w:tab w:val="clear" w:pos="8459"/>
              <w:tab w:val="right" w:pos="9026" w:leader="dot"/>
            </w:tabs>
            <w:rPr/>
          </w:pPr>
          <w:hyperlink w:anchor="__RefHeading___Toc2568798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لو تلفت الحصّة المشتراة بالمرّة بحیث لم یبق منها شی‌ء أصلًا سقطت الشفعة</w:t>
            </w:r>
            <w:r>
              <w:rPr>
                <w:rStyle w:val="IndexLink"/>
                <w:rtl w:val="true"/>
              </w:rPr>
              <w:t>]</w:t>
              <w:tab/>
            </w:r>
            <w:r>
              <w:rPr>
                <w:rStyle w:val="IndexLink"/>
              </w:rPr>
              <w:t>470</w:t>
            </w:r>
          </w:hyperlink>
        </w:p>
        <w:p>
          <w:pPr>
            <w:pStyle w:val="Contents3"/>
            <w:tabs>
              <w:tab w:val="clear" w:pos="8459"/>
              <w:tab w:val="right" w:pos="9026" w:leader="dot"/>
            </w:tabs>
            <w:rPr/>
          </w:pPr>
          <w:hyperlink w:anchor="__RefHeading___Toc2568800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یشترط فی الأخذ بالشفعة علم الشفیع بالثمن حین الأخذ علی الأحوط</w:t>
            </w:r>
            <w:r>
              <w:rPr>
                <w:rStyle w:val="IndexLink"/>
                <w:rtl w:val="true"/>
              </w:rPr>
              <w:t>]</w:t>
              <w:tab/>
            </w:r>
            <w:r>
              <w:rPr>
                <w:rStyle w:val="IndexLink"/>
              </w:rPr>
              <w:t>470</w:t>
            </w:r>
          </w:hyperlink>
        </w:p>
        <w:p>
          <w:pPr>
            <w:pStyle w:val="Contents3"/>
            <w:tabs>
              <w:tab w:val="clear" w:pos="8459"/>
              <w:tab w:val="right" w:pos="9026" w:leader="dot"/>
            </w:tabs>
            <w:rPr/>
          </w:pPr>
          <w:hyperlink w:anchor="__RefHeading___Toc2568802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الشفعة موروث علیٰ إشکال</w:t>
            </w:r>
            <w:r>
              <w:rPr>
                <w:rStyle w:val="IndexLink"/>
                <w:rtl w:val="true"/>
              </w:rPr>
              <w:t>]</w:t>
              <w:tab/>
            </w:r>
            <w:r>
              <w:rPr>
                <w:rStyle w:val="IndexLink"/>
              </w:rPr>
              <w:t>470</w:t>
            </w:r>
          </w:hyperlink>
        </w:p>
        <w:p>
          <w:pPr>
            <w:pStyle w:val="Contents3"/>
            <w:tabs>
              <w:tab w:val="clear" w:pos="8459"/>
              <w:tab w:val="right" w:pos="9026" w:leader="dot"/>
            </w:tabs>
            <w:rPr/>
          </w:pPr>
          <w:hyperlink w:anchor="__RefHeading___Toc2568804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إذا باع الشفیع نصیبه قبل أن یأخذ بالشفعة</w:t>
            </w:r>
            <w:r>
              <w:rPr>
                <w:rStyle w:val="IndexLink"/>
                <w:rtl w:val="true"/>
              </w:rPr>
              <w:t>]</w:t>
              <w:tab/>
            </w:r>
            <w:r>
              <w:rPr>
                <w:rStyle w:val="IndexLink"/>
              </w:rPr>
              <w:t>471</w:t>
            </w:r>
          </w:hyperlink>
        </w:p>
        <w:p>
          <w:pPr>
            <w:pStyle w:val="Contents3"/>
            <w:tabs>
              <w:tab w:val="clear" w:pos="8459"/>
              <w:tab w:val="right" w:pos="9026" w:leader="dot"/>
            </w:tabs>
            <w:rPr/>
          </w:pPr>
          <w:hyperlink w:anchor="__RefHeading___Toc2568806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یصحّ أن یصالح الشفیع مع المشتری عن شفعته بعوض و بدونه</w:t>
            </w:r>
            <w:r>
              <w:rPr>
                <w:rStyle w:val="IndexLink"/>
                <w:rtl w:val="true"/>
              </w:rPr>
              <w:t>]</w:t>
              <w:tab/>
            </w:r>
            <w:r>
              <w:rPr>
                <w:rStyle w:val="IndexLink"/>
              </w:rPr>
              <w:t>471</w:t>
            </w:r>
          </w:hyperlink>
        </w:p>
        <w:p>
          <w:pPr>
            <w:pStyle w:val="Contents3"/>
            <w:tabs>
              <w:tab w:val="clear" w:pos="8459"/>
              <w:tab w:val="right" w:pos="9026" w:leader="dot"/>
            </w:tabs>
            <w:rPr/>
          </w:pPr>
          <w:hyperlink w:anchor="__RefHeading___Toc2568808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لو کانت دار مثلًا بین حاضر و غائب و کانت حصّة الغائب بید آخر فباعها بدعوی الوکالة عنه</w:t>
            </w:r>
            <w:r>
              <w:rPr>
                <w:rStyle w:val="IndexLink"/>
                <w:rtl w:val="true"/>
              </w:rPr>
              <w:t>]</w:t>
              <w:tab/>
            </w:r>
            <w:r>
              <w:rPr>
                <w:rStyle w:val="IndexLink"/>
              </w:rPr>
              <w:t>471</w:t>
            </w:r>
          </w:hyperlink>
        </w:p>
        <w:p>
          <w:pPr>
            <w:pStyle w:val="Contents2"/>
            <w:tabs>
              <w:tab w:val="clear" w:pos="8743"/>
              <w:tab w:val="right" w:pos="9026" w:leader="dot"/>
            </w:tabs>
            <w:rPr/>
          </w:pPr>
          <w:hyperlink w:anchor="__RefHeading___Toc2568810_3650668749">
            <w:r>
              <w:rPr>
                <w:webHidden/>
                <w:rStyle w:val="IndexLink"/>
                <w:rtl w:val="true"/>
              </w:rPr>
              <w:t>[</w:t>
            </w:r>
            <w:r>
              <w:rPr>
                <w:rStyle w:val="IndexLink"/>
                <w:rtl w:val="true"/>
              </w:rPr>
              <w:t>کتاب الصلح</w:t>
            </w:r>
            <w:r>
              <w:rPr>
                <w:rStyle w:val="IndexLink"/>
                <w:rtl w:val="true"/>
              </w:rPr>
              <w:t>]</w:t>
              <w:tab/>
            </w:r>
            <w:r>
              <w:rPr>
                <w:rStyle w:val="IndexLink"/>
              </w:rPr>
              <w:t>472</w:t>
            </w:r>
          </w:hyperlink>
        </w:p>
        <w:p>
          <w:pPr>
            <w:pStyle w:val="Contents3"/>
            <w:tabs>
              <w:tab w:val="clear" w:pos="8459"/>
              <w:tab w:val="right" w:pos="9026" w:leader="dot"/>
            </w:tabs>
            <w:rPr/>
          </w:pPr>
          <w:hyperlink w:anchor="__RefHeading___Toc2568812_3650668749">
            <w:r>
              <w:rPr>
                <w:webHidden/>
                <w:rStyle w:val="IndexLink"/>
                <w:rtl w:val="true"/>
              </w:rPr>
              <w:t>اشارة</w:t>
            </w:r>
            <w:r>
              <w:rPr>
                <w:rStyle w:val="IndexLink"/>
                <w:rtl w:val="true"/>
              </w:rPr>
              <w:tab/>
            </w:r>
            <w:r>
              <w:rPr>
                <w:rStyle w:val="IndexLink"/>
              </w:rPr>
              <w:t>472</w:t>
            </w:r>
          </w:hyperlink>
        </w:p>
        <w:p>
          <w:pPr>
            <w:pStyle w:val="Contents3"/>
            <w:tabs>
              <w:tab w:val="clear" w:pos="8459"/>
              <w:tab w:val="right" w:pos="9026" w:leader="dot"/>
            </w:tabs>
            <w:rPr/>
          </w:pPr>
          <w:hyperlink w:anchor="__RefHeading___Toc256881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الحقّ أنّ الصلح عقد مستقلّ بنفسه و عنوان برأسه و لیس کما قیل راجعاً إلیٰ سائر العقود</w:t>
            </w:r>
            <w:r>
              <w:rPr>
                <w:rStyle w:val="IndexLink"/>
                <w:rtl w:val="true"/>
              </w:rPr>
              <w:t>]</w:t>
              <w:tab/>
            </w:r>
            <w:r>
              <w:rPr>
                <w:rStyle w:val="IndexLink"/>
              </w:rPr>
              <w:t>472</w:t>
            </w:r>
          </w:hyperlink>
        </w:p>
        <w:p>
          <w:pPr>
            <w:pStyle w:val="Contents3"/>
            <w:tabs>
              <w:tab w:val="clear" w:pos="8459"/>
              <w:tab w:val="right" w:pos="9026" w:leader="dot"/>
            </w:tabs>
            <w:rPr/>
          </w:pPr>
          <w:hyperlink w:anchor="__RefHeading___Toc256881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لمّا کان الصلح عقداً من العقود یحتاج إلی الإیجاب و القبول مطلقاً</w:t>
            </w:r>
            <w:r>
              <w:rPr>
                <w:rStyle w:val="IndexLink"/>
                <w:rtl w:val="true"/>
              </w:rPr>
              <w:t>]</w:t>
              <w:tab/>
            </w:r>
            <w:r>
              <w:rPr>
                <w:rStyle w:val="IndexLink"/>
              </w:rPr>
              <w:t>472</w:t>
            </w:r>
          </w:hyperlink>
        </w:p>
        <w:p>
          <w:pPr>
            <w:pStyle w:val="Contents3"/>
            <w:tabs>
              <w:tab w:val="clear" w:pos="8459"/>
              <w:tab w:val="right" w:pos="9026" w:leader="dot"/>
            </w:tabs>
            <w:rPr/>
          </w:pPr>
          <w:hyperlink w:anchor="__RefHeading___Toc256881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عقد الصلح لازم من الطرفین لا یفسخ إلّا بإقالة المتصالحین أو بوجود خیار فی البین</w:t>
            </w:r>
            <w:r>
              <w:rPr>
                <w:rStyle w:val="IndexLink"/>
                <w:rtl w:val="true"/>
              </w:rPr>
              <w:t>]</w:t>
              <w:tab/>
            </w:r>
            <w:r>
              <w:rPr>
                <w:rStyle w:val="IndexLink"/>
              </w:rPr>
              <w:t>473</w:t>
            </w:r>
          </w:hyperlink>
        </w:p>
        <w:p>
          <w:pPr>
            <w:pStyle w:val="Contents3"/>
            <w:tabs>
              <w:tab w:val="clear" w:pos="8459"/>
              <w:tab w:val="right" w:pos="9026" w:leader="dot"/>
            </w:tabs>
            <w:rPr/>
          </w:pPr>
          <w:hyperlink w:anchor="__RefHeading___Toc256882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متعلّق الصلح</w:t>
            </w:r>
            <w:r>
              <w:rPr>
                <w:rStyle w:val="IndexLink"/>
                <w:rtl w:val="true"/>
              </w:rPr>
              <w:t xml:space="preserve">: </w:t>
            </w:r>
            <w:r>
              <w:rPr>
                <w:rStyle w:val="IndexLink"/>
                <w:rtl w:val="true"/>
              </w:rPr>
              <w:t>إمّا عین أو منفعة أو دین أو حقّ</w:t>
            </w:r>
            <w:r>
              <w:rPr>
                <w:rStyle w:val="IndexLink"/>
                <w:rtl w:val="true"/>
              </w:rPr>
              <w:t>]</w:t>
              <w:tab/>
            </w:r>
            <w:r>
              <w:rPr>
                <w:rStyle w:val="IndexLink"/>
              </w:rPr>
              <w:t>473</w:t>
            </w:r>
          </w:hyperlink>
        </w:p>
        <w:p>
          <w:pPr>
            <w:pStyle w:val="Contents3"/>
            <w:tabs>
              <w:tab w:val="clear" w:pos="8459"/>
              <w:tab w:val="right" w:pos="9026" w:leader="dot"/>
            </w:tabs>
            <w:rPr/>
          </w:pPr>
          <w:hyperlink w:anchor="__RefHeading___Toc256882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الصلح إذا تعلّق بعین أو منفعة أفاد انتقالهما إلی المتصالح</w:t>
            </w:r>
            <w:r>
              <w:rPr>
                <w:rStyle w:val="IndexLink"/>
                <w:rtl w:val="true"/>
              </w:rPr>
              <w:t>]</w:t>
              <w:tab/>
            </w:r>
            <w:r>
              <w:rPr>
                <w:rStyle w:val="IndexLink"/>
              </w:rPr>
              <w:t>473</w:t>
            </w:r>
          </w:hyperlink>
        </w:p>
        <w:p>
          <w:pPr>
            <w:pStyle w:val="Contents3"/>
            <w:tabs>
              <w:tab w:val="clear" w:pos="8459"/>
              <w:tab w:val="right" w:pos="9026" w:leader="dot"/>
            </w:tabs>
            <w:rPr/>
          </w:pPr>
          <w:hyperlink w:anchor="__RefHeading___Toc256882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یصحّ الصلح علیٰ مجرّد الانتفاع بعین أو فضاء</w:t>
            </w:r>
            <w:r>
              <w:rPr>
                <w:rStyle w:val="IndexLink"/>
                <w:rtl w:val="true"/>
              </w:rPr>
              <w:t>]</w:t>
              <w:tab/>
            </w:r>
            <w:r>
              <w:rPr>
                <w:rStyle w:val="IndexLink"/>
              </w:rPr>
              <w:t>473</w:t>
            </w:r>
          </w:hyperlink>
        </w:p>
        <w:p>
          <w:pPr>
            <w:pStyle w:val="Contents3"/>
            <w:tabs>
              <w:tab w:val="clear" w:pos="8459"/>
              <w:tab w:val="right" w:pos="9026" w:leader="dot"/>
            </w:tabs>
            <w:rPr/>
          </w:pPr>
          <w:hyperlink w:anchor="__RefHeading___Toc256882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إنّما یصحّ الصلح عن الحقوق التی تسقط بالإسقاط کحقّی الشفعة و الخیار</w:t>
            </w:r>
            <w:r>
              <w:rPr>
                <w:rStyle w:val="IndexLink"/>
                <w:rtl w:val="true"/>
              </w:rPr>
              <w:t>]</w:t>
              <w:tab/>
            </w:r>
            <w:r>
              <w:rPr>
                <w:rStyle w:val="IndexLink"/>
              </w:rPr>
              <w:t>473</w:t>
            </w:r>
          </w:hyperlink>
        </w:p>
        <w:p>
          <w:pPr>
            <w:pStyle w:val="Contents3"/>
            <w:tabs>
              <w:tab w:val="clear" w:pos="8459"/>
              <w:tab w:val="right" w:pos="9026" w:leader="dot"/>
            </w:tabs>
            <w:rPr/>
          </w:pPr>
          <w:hyperlink w:anchor="__RefHeading___Toc256882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یشترط فی المتصالحین ما یشترط فی المتبایعین</w:t>
            </w:r>
            <w:r>
              <w:rPr>
                <w:rStyle w:val="IndexLink"/>
                <w:rtl w:val="true"/>
              </w:rPr>
              <w:t>]</w:t>
              <w:tab/>
            </w:r>
            <w:r>
              <w:rPr>
                <w:rStyle w:val="IndexLink"/>
              </w:rPr>
              <w:t>474</w:t>
            </w:r>
          </w:hyperlink>
        </w:p>
        <w:p>
          <w:pPr>
            <w:pStyle w:val="Contents3"/>
            <w:tabs>
              <w:tab w:val="clear" w:pos="8459"/>
              <w:tab w:val="right" w:pos="9026" w:leader="dot"/>
            </w:tabs>
            <w:rPr/>
          </w:pPr>
          <w:hyperlink w:anchor="__RefHeading___Toc256883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الظاهر أنّه تجری الفضولیّة فی الصلح کما تجری فی البیع</w:t>
            </w:r>
            <w:r>
              <w:rPr>
                <w:rStyle w:val="IndexLink"/>
                <w:rtl w:val="true"/>
              </w:rPr>
              <w:t>]</w:t>
              <w:tab/>
            </w:r>
            <w:r>
              <w:rPr>
                <w:rStyle w:val="IndexLink"/>
              </w:rPr>
              <w:t>474</w:t>
            </w:r>
          </w:hyperlink>
        </w:p>
        <w:p>
          <w:pPr>
            <w:pStyle w:val="Contents3"/>
            <w:tabs>
              <w:tab w:val="clear" w:pos="8459"/>
              <w:tab w:val="right" w:pos="9026" w:leader="dot"/>
            </w:tabs>
            <w:rPr/>
          </w:pPr>
          <w:hyperlink w:anchor="__RefHeading___Toc256883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یجوز الصلح عن الثمار و الخضر و غیرها قبل وجودها و لو فی عام واحد و بلا ضمیمة</w:t>
            </w:r>
            <w:r>
              <w:rPr>
                <w:rStyle w:val="IndexLink"/>
                <w:rtl w:val="true"/>
              </w:rPr>
              <w:t>]</w:t>
              <w:tab/>
            </w:r>
            <w:r>
              <w:rPr>
                <w:rStyle w:val="IndexLink"/>
              </w:rPr>
              <w:t>474</w:t>
            </w:r>
          </w:hyperlink>
        </w:p>
        <w:p>
          <w:pPr>
            <w:pStyle w:val="Contents3"/>
            <w:tabs>
              <w:tab w:val="clear" w:pos="8459"/>
              <w:tab w:val="right" w:pos="9026" w:leader="dot"/>
            </w:tabs>
            <w:rPr/>
          </w:pPr>
          <w:hyperlink w:anchor="__RefHeading___Toc256883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لا إشکال فی أنّه یغتفر الجهالة فی الصلح فیما إذا تعذّر للمتصالحین معرفة المصالح عنه</w:t>
            </w:r>
            <w:r>
              <w:rPr>
                <w:rStyle w:val="IndexLink"/>
                <w:rtl w:val="true"/>
              </w:rPr>
              <w:t>]</w:t>
              <w:tab/>
            </w:r>
            <w:r>
              <w:rPr>
                <w:rStyle w:val="IndexLink"/>
              </w:rPr>
              <w:t>474</w:t>
            </w:r>
          </w:hyperlink>
        </w:p>
        <w:p>
          <w:pPr>
            <w:pStyle w:val="Contents3"/>
            <w:tabs>
              <w:tab w:val="clear" w:pos="8459"/>
              <w:tab w:val="right" w:pos="9026" w:leader="dot"/>
            </w:tabs>
            <w:rPr/>
          </w:pPr>
          <w:hyperlink w:anchor="__RefHeading___Toc2568836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إذا کان لغیره علیه دین، أو کان منه عنده عین</w:t>
            </w:r>
            <w:r>
              <w:rPr>
                <w:rStyle w:val="IndexLink"/>
                <w:rtl w:val="true"/>
              </w:rPr>
              <w:t>]</w:t>
              <w:tab/>
            </w:r>
            <w:r>
              <w:rPr>
                <w:rStyle w:val="IndexLink"/>
              </w:rPr>
              <w:t>474</w:t>
            </w:r>
          </w:hyperlink>
        </w:p>
        <w:p>
          <w:pPr>
            <w:pStyle w:val="Contents3"/>
            <w:tabs>
              <w:tab w:val="clear" w:pos="8459"/>
              <w:tab w:val="right" w:pos="9026" w:leader="dot"/>
            </w:tabs>
            <w:rPr/>
          </w:pPr>
          <w:hyperlink w:anchor="__RefHeading___Toc2568838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إذا صولح عن الربوی بجنسه بالتفاضل ففی جریان حکم الربا فیه تأمّل</w:t>
            </w:r>
            <w:r>
              <w:rPr>
                <w:rStyle w:val="IndexLink"/>
                <w:rtl w:val="true"/>
              </w:rPr>
              <w:t>]</w:t>
              <w:tab/>
            </w:r>
            <w:r>
              <w:rPr>
                <w:rStyle w:val="IndexLink"/>
              </w:rPr>
              <w:t>474</w:t>
            </w:r>
          </w:hyperlink>
        </w:p>
        <w:p>
          <w:pPr>
            <w:pStyle w:val="Contents3"/>
            <w:tabs>
              <w:tab w:val="clear" w:pos="8459"/>
              <w:tab w:val="right" w:pos="9026" w:leader="dot"/>
            </w:tabs>
            <w:rPr/>
          </w:pPr>
          <w:hyperlink w:anchor="__RefHeading___Toc2568840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یصحّ الصلح عن دین بدین؛ حالّین أو مؤجّلین أو بالاختلاف</w:t>
            </w:r>
            <w:r>
              <w:rPr>
                <w:rStyle w:val="IndexLink"/>
                <w:rtl w:val="true"/>
              </w:rPr>
              <w:t>]</w:t>
              <w:tab/>
            </w:r>
            <w:r>
              <w:rPr>
                <w:rStyle w:val="IndexLink"/>
              </w:rPr>
              <w:t>475</w:t>
            </w:r>
          </w:hyperlink>
        </w:p>
        <w:p>
          <w:pPr>
            <w:pStyle w:val="Contents3"/>
            <w:tabs>
              <w:tab w:val="clear" w:pos="8459"/>
              <w:tab w:val="right" w:pos="9026" w:leader="dot"/>
            </w:tabs>
            <w:rPr/>
          </w:pPr>
          <w:hyperlink w:anchor="__RefHeading___Toc2568842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یجوز أن یصطلح الشریکان علیٰ أن یکون لأحدهما رأس المال و الربح للآخر و الخسران علیه</w:t>
            </w:r>
            <w:r>
              <w:rPr>
                <w:rStyle w:val="IndexLink"/>
                <w:rtl w:val="true"/>
              </w:rPr>
              <w:t>]</w:t>
              <w:tab/>
            </w:r>
            <w:r>
              <w:rPr>
                <w:rStyle w:val="IndexLink"/>
              </w:rPr>
              <w:t>475</w:t>
            </w:r>
          </w:hyperlink>
        </w:p>
        <w:p>
          <w:pPr>
            <w:pStyle w:val="Contents3"/>
            <w:tabs>
              <w:tab w:val="clear" w:pos="8459"/>
              <w:tab w:val="right" w:pos="9026" w:leader="dot"/>
            </w:tabs>
            <w:rPr/>
          </w:pPr>
          <w:hyperlink w:anchor="__RefHeading___Toc2568844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یجوز للمتداعیین فی دین أو عین أو منفعة أن یتصالحا بشی‌ء من المدّعیٰ به أو بشی‌ء آخر</w:t>
            </w:r>
            <w:r>
              <w:rPr>
                <w:rStyle w:val="IndexLink"/>
                <w:rtl w:val="true"/>
              </w:rPr>
              <w:t>]</w:t>
              <w:tab/>
            </w:r>
            <w:r>
              <w:rPr>
                <w:rStyle w:val="IndexLink"/>
              </w:rPr>
              <w:t>475</w:t>
            </w:r>
          </w:hyperlink>
        </w:p>
        <w:p>
          <w:pPr>
            <w:pStyle w:val="Contents3"/>
            <w:tabs>
              <w:tab w:val="clear" w:pos="8459"/>
              <w:tab w:val="right" w:pos="9026" w:leader="dot"/>
            </w:tabs>
            <w:rPr/>
          </w:pPr>
          <w:hyperlink w:anchor="__RefHeading___Toc2568846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إذا قال المدّعیٰ علیه للمدّعی</w:t>
            </w:r>
            <w:r>
              <w:rPr>
                <w:rStyle w:val="IndexLink"/>
                <w:rtl w:val="true"/>
              </w:rPr>
              <w:t xml:space="preserve">: </w:t>
            </w:r>
            <w:r>
              <w:rPr>
                <w:rStyle w:val="IndexLink"/>
                <w:rtl w:val="true"/>
              </w:rPr>
              <w:t>صالحنی</w:t>
            </w:r>
            <w:r>
              <w:rPr>
                <w:rStyle w:val="IndexLink"/>
                <w:rtl w:val="true"/>
              </w:rPr>
              <w:t>]</w:t>
              <w:tab/>
            </w:r>
            <w:r>
              <w:rPr>
                <w:rStyle w:val="IndexLink"/>
              </w:rPr>
              <w:t>476</w:t>
            </w:r>
          </w:hyperlink>
        </w:p>
        <w:p>
          <w:pPr>
            <w:pStyle w:val="Contents3"/>
            <w:tabs>
              <w:tab w:val="clear" w:pos="8459"/>
              <w:tab w:val="right" w:pos="9026" w:leader="dot"/>
            </w:tabs>
            <w:rPr/>
          </w:pPr>
          <w:hyperlink w:anchor="__RefHeading___Toc2568848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إذا کان لواحد ثوب بعشرین درهماً مثلًا و لآخر ثوب بثلاثین و اشتبها</w:t>
            </w:r>
            <w:r>
              <w:rPr>
                <w:rStyle w:val="IndexLink"/>
                <w:rtl w:val="true"/>
              </w:rPr>
              <w:t>]</w:t>
              <w:tab/>
            </w:r>
            <w:r>
              <w:rPr>
                <w:rStyle w:val="IndexLink"/>
              </w:rPr>
              <w:t>476</w:t>
            </w:r>
          </w:hyperlink>
        </w:p>
        <w:p>
          <w:pPr>
            <w:pStyle w:val="Contents3"/>
            <w:tabs>
              <w:tab w:val="clear" w:pos="8459"/>
              <w:tab w:val="right" w:pos="9026" w:leader="dot"/>
            </w:tabs>
            <w:rPr/>
          </w:pPr>
          <w:hyperlink w:anchor="__RefHeading___Toc2568850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لو کان لأحد مقدار من الدراهم و لآخر مقدار منها عند ودعیّ أو غیره</w:t>
            </w:r>
            <w:r>
              <w:rPr>
                <w:rStyle w:val="IndexLink"/>
                <w:rtl w:val="true"/>
              </w:rPr>
              <w:t>]</w:t>
              <w:tab/>
            </w:r>
            <w:r>
              <w:rPr>
                <w:rStyle w:val="IndexLink"/>
              </w:rPr>
              <w:t>476</w:t>
            </w:r>
          </w:hyperlink>
        </w:p>
        <w:p>
          <w:pPr>
            <w:pStyle w:val="Contents3"/>
            <w:tabs>
              <w:tab w:val="clear" w:pos="8459"/>
              <w:tab w:val="right" w:pos="9026" w:leader="dot"/>
            </w:tabs>
            <w:rPr/>
          </w:pPr>
          <w:hyperlink w:anchor="__RefHeading___Toc2568852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یجوز إحداث الروشن المسمّی فی العرف الحاضر بالشناشیل علی الطرق النافذة</w:t>
            </w:r>
            <w:r>
              <w:rPr>
                <w:rStyle w:val="IndexLink"/>
                <w:rtl w:val="true"/>
              </w:rPr>
              <w:t>]</w:t>
              <w:tab/>
            </w:r>
            <w:r>
              <w:rPr>
                <w:rStyle w:val="IndexLink"/>
              </w:rPr>
              <w:t>477</w:t>
            </w:r>
          </w:hyperlink>
        </w:p>
        <w:p>
          <w:pPr>
            <w:pStyle w:val="Contents3"/>
            <w:tabs>
              <w:tab w:val="clear" w:pos="8459"/>
              <w:tab w:val="right" w:pos="9026" w:leader="dot"/>
            </w:tabs>
            <w:rPr/>
          </w:pPr>
          <w:hyperlink w:anchor="__RefHeading___Toc2568854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لو بنیٰ روشناً علی الجادّة ثمّ انهدم أو هدم</w:t>
            </w:r>
            <w:r>
              <w:rPr>
                <w:rStyle w:val="IndexLink"/>
                <w:rtl w:val="true"/>
              </w:rPr>
              <w:t>]</w:t>
              <w:tab/>
            </w:r>
            <w:r>
              <w:rPr>
                <w:rStyle w:val="IndexLink"/>
              </w:rPr>
              <w:t>477</w:t>
            </w:r>
          </w:hyperlink>
        </w:p>
        <w:p>
          <w:pPr>
            <w:pStyle w:val="Contents3"/>
            <w:tabs>
              <w:tab w:val="clear" w:pos="8459"/>
              <w:tab w:val="right" w:pos="9026" w:leader="dot"/>
            </w:tabs>
            <w:rPr/>
          </w:pPr>
          <w:hyperlink w:anchor="__RefHeading___Toc2568856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لو أحدث شخص روشناً علی الجادّة فهل للطرف المقابل إحداث روشن آخر فوقه أو تحته بدون إذنه؟</w:t>
            </w:r>
            <w:r>
              <w:rPr>
                <w:rStyle w:val="IndexLink"/>
                <w:rtl w:val="true"/>
              </w:rPr>
              <w:t>]</w:t>
              <w:tab/>
            </w:r>
            <w:r>
              <w:rPr>
                <w:rStyle w:val="IndexLink"/>
              </w:rPr>
              <w:t>477</w:t>
            </w:r>
          </w:hyperlink>
        </w:p>
        <w:p>
          <w:pPr>
            <w:pStyle w:val="Contents3"/>
            <w:tabs>
              <w:tab w:val="clear" w:pos="8459"/>
              <w:tab w:val="right" w:pos="9026" w:leader="dot"/>
            </w:tabs>
            <w:rPr/>
          </w:pPr>
          <w:hyperlink w:anchor="__RefHeading___Toc2568858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کما یجوز إحداث الرواشن علی الجادّة یجوز فتح الأبواب المستجدّة فیها</w:t>
            </w:r>
            <w:r>
              <w:rPr>
                <w:rStyle w:val="IndexLink"/>
                <w:rtl w:val="true"/>
              </w:rPr>
              <w:t>]</w:t>
              <w:tab/>
            </w:r>
            <w:r>
              <w:rPr>
                <w:rStyle w:val="IndexLink"/>
              </w:rPr>
              <w:t>477</w:t>
            </w:r>
          </w:hyperlink>
        </w:p>
        <w:p>
          <w:pPr>
            <w:pStyle w:val="Contents3"/>
            <w:tabs>
              <w:tab w:val="clear" w:pos="8459"/>
              <w:tab w:val="right" w:pos="9026" w:leader="dot"/>
            </w:tabs>
            <w:rPr/>
          </w:pPr>
          <w:hyperlink w:anchor="__RefHeading___Toc2568860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لا یجوز لأحد إحداث شی‌ء من روشن أو جناح أو بناء ساباط</w:t>
            </w:r>
            <w:r>
              <w:rPr>
                <w:rStyle w:val="IndexLink"/>
                <w:rtl w:val="true"/>
              </w:rPr>
              <w:t>]</w:t>
              <w:tab/>
            </w:r>
            <w:r>
              <w:rPr>
                <w:rStyle w:val="IndexLink"/>
              </w:rPr>
              <w:t>478</w:t>
            </w:r>
          </w:hyperlink>
        </w:p>
        <w:p>
          <w:pPr>
            <w:pStyle w:val="Contents3"/>
            <w:tabs>
              <w:tab w:val="clear" w:pos="8459"/>
              <w:tab w:val="right" w:pos="9026" w:leader="dot"/>
            </w:tabs>
            <w:rPr/>
          </w:pPr>
          <w:hyperlink w:anchor="__RefHeading___Toc2568862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لا یجوز لأحد أن یبنی بناءً، أو یضع جذوع سقفه علیٰ حائط جاره إلّا بإذنه و رضاه</w:t>
            </w:r>
            <w:r>
              <w:rPr>
                <w:rStyle w:val="IndexLink"/>
                <w:rtl w:val="true"/>
              </w:rPr>
              <w:t>]</w:t>
              <w:tab/>
            </w:r>
            <w:r>
              <w:rPr>
                <w:rStyle w:val="IndexLink"/>
              </w:rPr>
              <w:t>478</w:t>
            </w:r>
          </w:hyperlink>
        </w:p>
        <w:p>
          <w:pPr>
            <w:pStyle w:val="Contents3"/>
            <w:tabs>
              <w:tab w:val="clear" w:pos="8459"/>
              <w:tab w:val="right" w:pos="9026" w:leader="dot"/>
            </w:tabs>
            <w:rPr/>
          </w:pPr>
          <w:hyperlink w:anchor="__RefHeading___Toc2568864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لا یجوز للشریک فی الحائط التصرّف فیه ببناء و لا تسقیف و لا إدخال خشبة أو وتد</w:t>
            </w:r>
            <w:r>
              <w:rPr>
                <w:rStyle w:val="IndexLink"/>
                <w:rtl w:val="true"/>
              </w:rPr>
              <w:t>]</w:t>
              <w:tab/>
            </w:r>
            <w:r>
              <w:rPr>
                <w:rStyle w:val="IndexLink"/>
              </w:rPr>
              <w:t>478</w:t>
            </w:r>
          </w:hyperlink>
        </w:p>
        <w:p>
          <w:pPr>
            <w:pStyle w:val="Contents3"/>
            <w:tabs>
              <w:tab w:val="clear" w:pos="8459"/>
              <w:tab w:val="right" w:pos="9026" w:leader="dot"/>
            </w:tabs>
            <w:rPr/>
          </w:pPr>
          <w:hyperlink w:anchor="__RefHeading___Toc2568866_3650668749">
            <w:r>
              <w:rPr>
                <w:webHidden/>
                <w:rStyle w:val="IndexLink"/>
                <w:rtl w:val="true"/>
              </w:rPr>
              <w:t>[ (</w:t>
            </w:r>
            <w:r>
              <w:rPr>
                <w:rStyle w:val="IndexLink"/>
                <w:rtl w:val="true"/>
              </w:rPr>
              <w:t xml:space="preserve">مسألة </w:t>
            </w:r>
            <w:r>
              <w:rPr>
                <w:rStyle w:val="IndexLink"/>
              </w:rPr>
              <w:t>28</w:t>
            </w:r>
            <w:r>
              <w:rPr>
                <w:rStyle w:val="IndexLink"/>
                <w:rtl w:val="true"/>
              </w:rPr>
              <w:t xml:space="preserve">): </w:t>
            </w:r>
            <w:r>
              <w:rPr>
                <w:rStyle w:val="IndexLink"/>
                <w:rtl w:val="true"/>
              </w:rPr>
              <w:t>لو انهدم الجدار المشترک و أراد أحد الشریکین تعمیره</w:t>
            </w:r>
            <w:r>
              <w:rPr>
                <w:rStyle w:val="IndexLink"/>
                <w:rtl w:val="true"/>
              </w:rPr>
              <w:t>]</w:t>
              <w:tab/>
            </w:r>
            <w:r>
              <w:rPr>
                <w:rStyle w:val="IndexLink"/>
              </w:rPr>
              <w:t>479</w:t>
            </w:r>
          </w:hyperlink>
        </w:p>
        <w:p>
          <w:pPr>
            <w:pStyle w:val="Contents3"/>
            <w:tabs>
              <w:tab w:val="clear" w:pos="8459"/>
              <w:tab w:val="right" w:pos="9026" w:leader="dot"/>
            </w:tabs>
            <w:rPr/>
          </w:pPr>
          <w:hyperlink w:anchor="__RefHeading___Toc2568868_3650668749">
            <w:r>
              <w:rPr>
                <w:webHidden/>
                <w:rStyle w:val="IndexLink"/>
                <w:rtl w:val="true"/>
              </w:rPr>
              <w:t>[ (</w:t>
            </w:r>
            <w:r>
              <w:rPr>
                <w:rStyle w:val="IndexLink"/>
                <w:rtl w:val="true"/>
              </w:rPr>
              <w:t xml:space="preserve">مسألة </w:t>
            </w:r>
            <w:r>
              <w:rPr>
                <w:rStyle w:val="IndexLink"/>
              </w:rPr>
              <w:t>29</w:t>
            </w:r>
            <w:r>
              <w:rPr>
                <w:rStyle w:val="IndexLink"/>
                <w:rtl w:val="true"/>
              </w:rPr>
              <w:t xml:space="preserve">): </w:t>
            </w:r>
            <w:r>
              <w:rPr>
                <w:rStyle w:val="IndexLink"/>
                <w:rtl w:val="true"/>
              </w:rPr>
              <w:t>لو کانت جذوع دار أحد موضوعة علیٰ حائط جاره، و لم یعلم علیٰ أیّ وجه وضعت</w:t>
            </w:r>
            <w:r>
              <w:rPr>
                <w:rStyle w:val="IndexLink"/>
                <w:rtl w:val="true"/>
              </w:rPr>
              <w:t>]</w:t>
              <w:tab/>
            </w:r>
            <w:r>
              <w:rPr>
                <w:rStyle w:val="IndexLink"/>
              </w:rPr>
              <w:t>479</w:t>
            </w:r>
          </w:hyperlink>
        </w:p>
        <w:p>
          <w:pPr>
            <w:pStyle w:val="Contents3"/>
            <w:tabs>
              <w:tab w:val="clear" w:pos="8459"/>
              <w:tab w:val="right" w:pos="9026" w:leader="dot"/>
            </w:tabs>
            <w:rPr/>
          </w:pPr>
          <w:hyperlink w:anchor="__RefHeading___Toc2568870_3650668749">
            <w:r>
              <w:rPr>
                <w:webHidden/>
                <w:rStyle w:val="IndexLink"/>
                <w:rtl w:val="true"/>
              </w:rPr>
              <w:t>[ (</w:t>
            </w:r>
            <w:r>
              <w:rPr>
                <w:rStyle w:val="IndexLink"/>
                <w:rtl w:val="true"/>
              </w:rPr>
              <w:t xml:space="preserve">مسألة </w:t>
            </w:r>
            <w:r>
              <w:rPr>
                <w:rStyle w:val="IndexLink"/>
              </w:rPr>
              <w:t>30</w:t>
            </w:r>
            <w:r>
              <w:rPr>
                <w:rStyle w:val="IndexLink"/>
                <w:rtl w:val="true"/>
              </w:rPr>
              <w:t xml:space="preserve">): </w:t>
            </w:r>
            <w:r>
              <w:rPr>
                <w:rStyle w:val="IndexLink"/>
                <w:rtl w:val="true"/>
              </w:rPr>
              <w:t>إذا خرجت أغصان شجرة إلیٰ فضاء ملک الجار من غیر استحقاق</w:t>
            </w:r>
            <w:r>
              <w:rPr>
                <w:rStyle w:val="IndexLink"/>
                <w:rtl w:val="true"/>
              </w:rPr>
              <w:t>]</w:t>
              <w:tab/>
            </w:r>
            <w:r>
              <w:rPr>
                <w:rStyle w:val="IndexLink"/>
              </w:rPr>
              <w:t>479</w:t>
            </w:r>
          </w:hyperlink>
        </w:p>
        <w:p>
          <w:pPr>
            <w:pStyle w:val="Contents2"/>
            <w:tabs>
              <w:tab w:val="clear" w:pos="8743"/>
              <w:tab w:val="right" w:pos="9026" w:leader="dot"/>
            </w:tabs>
            <w:rPr/>
          </w:pPr>
          <w:hyperlink w:anchor="__RefHeading___Toc2568872_3650668749">
            <w:r>
              <w:rPr>
                <w:webHidden/>
                <w:rStyle w:val="IndexLink"/>
                <w:rtl w:val="true"/>
              </w:rPr>
              <w:t>[</w:t>
            </w:r>
            <w:r>
              <w:rPr>
                <w:rStyle w:val="IndexLink"/>
                <w:rtl w:val="true"/>
              </w:rPr>
              <w:t>کتاب الإجارة</w:t>
            </w:r>
            <w:r>
              <w:rPr>
                <w:rStyle w:val="IndexLink"/>
                <w:rtl w:val="true"/>
              </w:rPr>
              <w:t>]</w:t>
              <w:tab/>
            </w:r>
            <w:r>
              <w:rPr>
                <w:rStyle w:val="IndexLink"/>
              </w:rPr>
              <w:t>480</w:t>
            </w:r>
          </w:hyperlink>
        </w:p>
        <w:p>
          <w:pPr>
            <w:pStyle w:val="Contents3"/>
            <w:tabs>
              <w:tab w:val="clear" w:pos="8459"/>
              <w:tab w:val="right" w:pos="9026" w:leader="dot"/>
            </w:tabs>
            <w:rPr/>
          </w:pPr>
          <w:hyperlink w:anchor="__RefHeading___Toc2568874_3650668749">
            <w:r>
              <w:rPr>
                <w:webHidden/>
                <w:rStyle w:val="IndexLink"/>
                <w:rtl w:val="true"/>
              </w:rPr>
              <w:t>اشارة</w:t>
            </w:r>
            <w:r>
              <w:rPr>
                <w:rStyle w:val="IndexLink"/>
                <w:rtl w:val="true"/>
              </w:rPr>
              <w:tab/>
            </w:r>
            <w:r>
              <w:rPr>
                <w:rStyle w:val="IndexLink"/>
              </w:rPr>
              <w:t>480</w:t>
            </w:r>
          </w:hyperlink>
        </w:p>
        <w:p>
          <w:pPr>
            <w:pStyle w:val="Contents3"/>
            <w:tabs>
              <w:tab w:val="clear" w:pos="8459"/>
              <w:tab w:val="right" w:pos="9026" w:leader="dot"/>
            </w:tabs>
            <w:rPr/>
          </w:pPr>
          <w:hyperlink w:anchor="__RefHeading___Toc256887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عقد الإجارة هو اللفظ المشتمل علی الإیجاب الدالّ بالظهور العرفی علیٰ تملیک</w:t>
            </w:r>
            <w:r>
              <w:rPr>
                <w:rStyle w:val="IndexLink"/>
                <w:rtl w:val="true"/>
              </w:rPr>
              <w:t>]</w:t>
              <w:tab/>
            </w:r>
            <w:r>
              <w:rPr>
                <w:rStyle w:val="IndexLink"/>
              </w:rPr>
              <w:t>480</w:t>
            </w:r>
          </w:hyperlink>
        </w:p>
        <w:p>
          <w:pPr>
            <w:pStyle w:val="Contents3"/>
            <w:tabs>
              <w:tab w:val="clear" w:pos="8459"/>
              <w:tab w:val="right" w:pos="9026" w:leader="dot"/>
            </w:tabs>
            <w:rPr/>
          </w:pPr>
          <w:hyperlink w:anchor="__RefHeading___Toc256887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یشترط فی صحّة الإجارة أُمور</w:t>
            </w:r>
            <w:r>
              <w:rPr>
                <w:rStyle w:val="IndexLink"/>
                <w:rtl w:val="true"/>
              </w:rPr>
              <w:t>]</w:t>
              <w:tab/>
            </w:r>
            <w:r>
              <w:rPr>
                <w:rStyle w:val="IndexLink"/>
              </w:rPr>
              <w:t>481</w:t>
            </w:r>
          </w:hyperlink>
        </w:p>
        <w:p>
          <w:pPr>
            <w:pStyle w:val="Contents3"/>
            <w:tabs>
              <w:tab w:val="clear" w:pos="8459"/>
              <w:tab w:val="right" w:pos="9026" w:leader="dot"/>
            </w:tabs>
            <w:rPr/>
          </w:pPr>
          <w:hyperlink w:anchor="__RefHeading___Toc256888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استأجر دابّة للحمل، فلا بدّ من تعیین جنس ما یحمل علیها</w:t>
            </w:r>
            <w:r>
              <w:rPr>
                <w:rStyle w:val="IndexLink"/>
                <w:rtl w:val="true"/>
              </w:rPr>
              <w:t>]</w:t>
              <w:tab/>
            </w:r>
            <w:r>
              <w:rPr>
                <w:rStyle w:val="IndexLink"/>
              </w:rPr>
              <w:t>482</w:t>
            </w:r>
          </w:hyperlink>
        </w:p>
        <w:p>
          <w:pPr>
            <w:pStyle w:val="Contents3"/>
            <w:tabs>
              <w:tab w:val="clear" w:pos="8459"/>
              <w:tab w:val="right" w:pos="9026" w:leader="dot"/>
            </w:tabs>
            <w:rPr/>
          </w:pPr>
          <w:hyperlink w:anchor="__RefHeading___Toc256888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ما کانت معلومیّة المنفعة بحسب الزمان لا بدّ من تعیینه یوماً أو شهراً أو سنة</w:t>
            </w:r>
            <w:r>
              <w:rPr>
                <w:rStyle w:val="IndexLink"/>
                <w:rtl w:val="true"/>
              </w:rPr>
              <w:t>]</w:t>
              <w:tab/>
            </w:r>
            <w:r>
              <w:rPr>
                <w:rStyle w:val="IndexLink"/>
              </w:rPr>
              <w:t>482</w:t>
            </w:r>
          </w:hyperlink>
        </w:p>
        <w:p>
          <w:pPr>
            <w:pStyle w:val="Contents3"/>
            <w:tabs>
              <w:tab w:val="clear" w:pos="8459"/>
              <w:tab w:val="right" w:pos="9026" w:leader="dot"/>
            </w:tabs>
            <w:rPr/>
          </w:pPr>
          <w:hyperlink w:anchor="__RefHeading___Toc256888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قال</w:t>
            </w:r>
            <w:r>
              <w:rPr>
                <w:rStyle w:val="IndexLink"/>
                <w:rtl w:val="true"/>
              </w:rPr>
              <w:t xml:space="preserve">: </w:t>
            </w:r>
            <w:r>
              <w:rPr>
                <w:rStyle w:val="IndexLink"/>
                <w:rtl w:val="true"/>
              </w:rPr>
              <w:t>کلّما سکنت هذه الدار فکلّ شهر بدینار مثلًا بطل</w:t>
            </w:r>
            <w:r>
              <w:rPr>
                <w:rStyle w:val="IndexLink"/>
                <w:rtl w:val="true"/>
              </w:rPr>
              <w:t>]</w:t>
              <w:tab/>
            </w:r>
            <w:r>
              <w:rPr>
                <w:rStyle w:val="IndexLink"/>
              </w:rPr>
              <w:t>482</w:t>
            </w:r>
          </w:hyperlink>
        </w:p>
        <w:p>
          <w:pPr>
            <w:pStyle w:val="Contents3"/>
            <w:tabs>
              <w:tab w:val="clear" w:pos="8459"/>
              <w:tab w:val="right" w:pos="9026" w:leader="dot"/>
            </w:tabs>
            <w:rPr/>
          </w:pPr>
          <w:hyperlink w:anchor="__RefHeading___Toc2568886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استأجر دابّة لتحمله أو تحمل متاعه إلیٰ مکان فی وقت معیّن</w:t>
            </w:r>
            <w:r>
              <w:rPr>
                <w:rStyle w:val="IndexLink"/>
                <w:rtl w:val="true"/>
              </w:rPr>
              <w:t>]</w:t>
              <w:tab/>
            </w:r>
            <w:r>
              <w:rPr>
                <w:rStyle w:val="IndexLink"/>
              </w:rPr>
              <w:t>482</w:t>
            </w:r>
          </w:hyperlink>
        </w:p>
        <w:p>
          <w:pPr>
            <w:pStyle w:val="Contents3"/>
            <w:tabs>
              <w:tab w:val="clear" w:pos="8459"/>
              <w:tab w:val="right" w:pos="9026" w:leader="dot"/>
            </w:tabs>
            <w:rPr/>
          </w:pPr>
          <w:hyperlink w:anchor="__RefHeading___Toc2568888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کان وقت زیارة عرفة، و استأجر دابّة للزیارة فلم یصل و فاتت منه الزیارة</w:t>
            </w:r>
            <w:r>
              <w:rPr>
                <w:rStyle w:val="IndexLink"/>
                <w:rtl w:val="true"/>
              </w:rPr>
              <w:t>]</w:t>
              <w:tab/>
            </w:r>
            <w:r>
              <w:rPr>
                <w:rStyle w:val="IndexLink"/>
              </w:rPr>
              <w:t>483</w:t>
            </w:r>
          </w:hyperlink>
        </w:p>
        <w:p>
          <w:pPr>
            <w:pStyle w:val="Contents3"/>
            <w:tabs>
              <w:tab w:val="clear" w:pos="8459"/>
              <w:tab w:val="right" w:pos="9026" w:leader="dot"/>
            </w:tabs>
            <w:rPr/>
          </w:pPr>
          <w:hyperlink w:anchor="__RefHeading___Toc2568890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لا یشترط اتّصال مدّة الإجارة بالعقد فلو آجر داره فی شهر مستقبل صحّ</w:t>
            </w:r>
            <w:r>
              <w:rPr>
                <w:rStyle w:val="IndexLink"/>
                <w:rtl w:val="true"/>
              </w:rPr>
              <w:t>]</w:t>
              <w:tab/>
            </w:r>
            <w:r>
              <w:rPr>
                <w:rStyle w:val="IndexLink"/>
              </w:rPr>
              <w:t>483</w:t>
            </w:r>
          </w:hyperlink>
        </w:p>
        <w:p>
          <w:pPr>
            <w:pStyle w:val="Contents3"/>
            <w:tabs>
              <w:tab w:val="clear" w:pos="8459"/>
              <w:tab w:val="right" w:pos="9026" w:leader="dot"/>
            </w:tabs>
            <w:rPr/>
          </w:pPr>
          <w:hyperlink w:anchor="__RefHeading___Toc2568892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عقد الإجارة لازم من الطرفین لا ینفسخ إلّا بالتقایل أو بالفسخ مع وجود خیار فی البین</w:t>
            </w:r>
            <w:r>
              <w:rPr>
                <w:rStyle w:val="IndexLink"/>
                <w:rtl w:val="true"/>
              </w:rPr>
              <w:t>]</w:t>
              <w:tab/>
            </w:r>
            <w:r>
              <w:rPr>
                <w:rStyle w:val="IndexLink"/>
              </w:rPr>
              <w:t>483</w:t>
            </w:r>
          </w:hyperlink>
        </w:p>
        <w:p>
          <w:pPr>
            <w:pStyle w:val="Contents3"/>
            <w:tabs>
              <w:tab w:val="clear" w:pos="8459"/>
              <w:tab w:val="right" w:pos="9026" w:leader="dot"/>
            </w:tabs>
            <w:rPr/>
          </w:pPr>
          <w:hyperlink w:anchor="__RefHeading___Toc2568894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لا تبطل الإجارة بالبیع و لا یکون فسخاً لها</w:t>
            </w:r>
            <w:r>
              <w:rPr>
                <w:rStyle w:val="IndexLink"/>
                <w:rtl w:val="true"/>
              </w:rPr>
              <w:t>]</w:t>
              <w:tab/>
            </w:r>
            <w:r>
              <w:rPr>
                <w:rStyle w:val="IndexLink"/>
              </w:rPr>
              <w:t>483</w:t>
            </w:r>
          </w:hyperlink>
        </w:p>
        <w:p>
          <w:pPr>
            <w:pStyle w:val="Contents3"/>
            <w:tabs>
              <w:tab w:val="clear" w:pos="8459"/>
              <w:tab w:val="right" w:pos="9026" w:leader="dot"/>
            </w:tabs>
            <w:rPr/>
          </w:pPr>
          <w:hyperlink w:anchor="__RefHeading___Toc2568896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الظاهر أنّه لا تبطل إجارة الأعیان بموت المؤجر و لا بموت المستأجر</w:t>
            </w:r>
            <w:r>
              <w:rPr>
                <w:rStyle w:val="IndexLink"/>
                <w:rtl w:val="true"/>
              </w:rPr>
              <w:t>]</w:t>
              <w:tab/>
            </w:r>
            <w:r>
              <w:rPr>
                <w:rStyle w:val="IndexLink"/>
              </w:rPr>
              <w:t>483</w:t>
            </w:r>
          </w:hyperlink>
        </w:p>
        <w:p>
          <w:pPr>
            <w:pStyle w:val="Contents3"/>
            <w:tabs>
              <w:tab w:val="clear" w:pos="8459"/>
              <w:tab w:val="right" w:pos="9026" w:leader="dot"/>
            </w:tabs>
            <w:rPr/>
          </w:pPr>
          <w:hyperlink w:anchor="__RefHeading___Toc2568898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لو آجر الولیّ الصبیّ المولّی علیه أو ملّکه مدّة مع مراعاة المصلحة و الغبطة فبلغ الرشد قبل انقضاء المدّة</w:t>
            </w:r>
            <w:r>
              <w:rPr>
                <w:rStyle w:val="IndexLink"/>
                <w:rtl w:val="true"/>
              </w:rPr>
              <w:t>]</w:t>
              <w:tab/>
            </w:r>
            <w:r>
              <w:rPr>
                <w:rStyle w:val="IndexLink"/>
              </w:rPr>
              <w:t>484</w:t>
            </w:r>
          </w:hyperlink>
        </w:p>
        <w:p>
          <w:pPr>
            <w:pStyle w:val="Contents3"/>
            <w:tabs>
              <w:tab w:val="clear" w:pos="8459"/>
              <w:tab w:val="right" w:pos="9026" w:leader="dot"/>
            </w:tabs>
            <w:rPr/>
          </w:pPr>
          <w:hyperlink w:anchor="__RefHeading___Toc2568900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إذا وجد المستأجر بالعین المستأجرة عیباً سابقاً، کان له فسخ الإجارة إذا کان ذلک العیب موجباً لنقص المنفعة</w:t>
            </w:r>
            <w:r>
              <w:rPr>
                <w:rStyle w:val="IndexLink"/>
                <w:rtl w:val="true"/>
              </w:rPr>
              <w:t>]</w:t>
              <w:tab/>
            </w:r>
            <w:r>
              <w:rPr>
                <w:rStyle w:val="IndexLink"/>
              </w:rPr>
              <w:t>484</w:t>
            </w:r>
          </w:hyperlink>
        </w:p>
        <w:p>
          <w:pPr>
            <w:pStyle w:val="Contents3"/>
            <w:tabs>
              <w:tab w:val="clear" w:pos="8459"/>
              <w:tab w:val="right" w:pos="9026" w:leader="dot"/>
            </w:tabs>
            <w:rPr/>
          </w:pPr>
          <w:hyperlink w:anchor="__RefHeading___Toc2568902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إذا ظهر الغبن للمؤجر أو المستأجر، فله خیار الغبن إلّا إذا شرطا سقوطه</w:t>
            </w:r>
            <w:r>
              <w:rPr>
                <w:rStyle w:val="IndexLink"/>
                <w:rtl w:val="true"/>
              </w:rPr>
              <w:t>]</w:t>
              <w:tab/>
            </w:r>
            <w:r>
              <w:rPr>
                <w:rStyle w:val="IndexLink"/>
              </w:rPr>
              <w:t>485</w:t>
            </w:r>
          </w:hyperlink>
        </w:p>
        <w:p>
          <w:pPr>
            <w:pStyle w:val="Contents3"/>
            <w:tabs>
              <w:tab w:val="clear" w:pos="8459"/>
              <w:tab w:val="right" w:pos="9026" w:leader="dot"/>
            </w:tabs>
            <w:rPr/>
          </w:pPr>
          <w:hyperlink w:anchor="__RefHeading___Toc2568904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یملک المستأجر المنفعة فی إجارة الأعیان و العمل فی إجارة النفس علی الأعمال</w:t>
            </w:r>
            <w:r>
              <w:rPr>
                <w:rStyle w:val="IndexLink"/>
                <w:rtl w:val="true"/>
              </w:rPr>
              <w:t>]</w:t>
              <w:tab/>
            </w:r>
            <w:r>
              <w:rPr>
                <w:rStyle w:val="IndexLink"/>
              </w:rPr>
              <w:t>485</w:t>
            </w:r>
          </w:hyperlink>
        </w:p>
        <w:p>
          <w:pPr>
            <w:pStyle w:val="Contents3"/>
            <w:tabs>
              <w:tab w:val="clear" w:pos="8459"/>
              <w:tab w:val="right" w:pos="9026" w:leader="dot"/>
            </w:tabs>
            <w:rPr/>
          </w:pPr>
          <w:hyperlink w:anchor="__RefHeading___Toc2568906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إذا تعلّقت الإجارة بالعین، فتسلیم منفعتها بتسلیم تلک العین</w:t>
            </w:r>
            <w:r>
              <w:rPr>
                <w:rStyle w:val="IndexLink"/>
                <w:rtl w:val="true"/>
              </w:rPr>
              <w:t>]</w:t>
              <w:tab/>
            </w:r>
            <w:r>
              <w:rPr>
                <w:rStyle w:val="IndexLink"/>
              </w:rPr>
              <w:t>485</w:t>
            </w:r>
          </w:hyperlink>
        </w:p>
        <w:p>
          <w:pPr>
            <w:pStyle w:val="Contents3"/>
            <w:tabs>
              <w:tab w:val="clear" w:pos="8459"/>
              <w:tab w:val="right" w:pos="9026" w:leader="dot"/>
            </w:tabs>
            <w:rPr/>
          </w:pPr>
          <w:hyperlink w:anchor="__RefHeading___Toc2568908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إذا بذل المستأجر الأُجرة، أو کان له حقّ أن یؤخّرها بموجب شرطهما و امتنع المؤجر من تسلیم العین المستأجرة</w:t>
            </w:r>
            <w:r>
              <w:rPr>
                <w:rStyle w:val="IndexLink"/>
                <w:rtl w:val="true"/>
              </w:rPr>
              <w:t>]</w:t>
              <w:tab/>
            </w:r>
            <w:r>
              <w:rPr>
                <w:rStyle w:val="IndexLink"/>
              </w:rPr>
              <w:t>485</w:t>
            </w:r>
          </w:hyperlink>
        </w:p>
        <w:p>
          <w:pPr>
            <w:pStyle w:val="Contents3"/>
            <w:tabs>
              <w:tab w:val="clear" w:pos="8459"/>
              <w:tab w:val="right" w:pos="9026" w:leader="dot"/>
            </w:tabs>
            <w:rPr/>
          </w:pPr>
          <w:hyperlink w:anchor="__RefHeading___Toc2568910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لو آجر دابّة من زید فشردت بطلت الإجارة</w:t>
            </w:r>
            <w:r>
              <w:rPr>
                <w:rStyle w:val="IndexLink"/>
                <w:rtl w:val="true"/>
              </w:rPr>
              <w:t>]</w:t>
              <w:tab/>
            </w:r>
            <w:r>
              <w:rPr>
                <w:rStyle w:val="IndexLink"/>
              </w:rPr>
              <w:t>486</w:t>
            </w:r>
          </w:hyperlink>
        </w:p>
        <w:p>
          <w:pPr>
            <w:pStyle w:val="Contents3"/>
            <w:tabs>
              <w:tab w:val="clear" w:pos="8459"/>
              <w:tab w:val="right" w:pos="9026" w:leader="dot"/>
            </w:tabs>
            <w:rPr/>
          </w:pPr>
          <w:hyperlink w:anchor="__RefHeading___Toc2568912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إذا تسلّم المستأجر العین المستأجرة و لم یستوف المنفعة حتّی انقضت مدّة الإجارة</w:t>
            </w:r>
            <w:r>
              <w:rPr>
                <w:rStyle w:val="IndexLink"/>
                <w:rtl w:val="true"/>
              </w:rPr>
              <w:t>]</w:t>
              <w:tab/>
            </w:r>
            <w:r>
              <w:rPr>
                <w:rStyle w:val="IndexLink"/>
              </w:rPr>
              <w:t>486</w:t>
            </w:r>
          </w:hyperlink>
        </w:p>
        <w:p>
          <w:pPr>
            <w:pStyle w:val="Contents3"/>
            <w:tabs>
              <w:tab w:val="clear" w:pos="8459"/>
              <w:tab w:val="right" w:pos="9026" w:leader="dot"/>
            </w:tabs>
            <w:rPr/>
          </w:pPr>
          <w:hyperlink w:anchor="__RefHeading___Toc2568914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إذا غصب العین المستأجرة غاصب و منع المستأجر عن استیفاء المنفعة</w:t>
            </w:r>
            <w:r>
              <w:rPr>
                <w:rStyle w:val="IndexLink"/>
                <w:rtl w:val="true"/>
              </w:rPr>
              <w:t>]</w:t>
              <w:tab/>
            </w:r>
            <w:r>
              <w:rPr>
                <w:rStyle w:val="IndexLink"/>
              </w:rPr>
              <w:t>486</w:t>
            </w:r>
          </w:hyperlink>
        </w:p>
        <w:p>
          <w:pPr>
            <w:pStyle w:val="Contents3"/>
            <w:tabs>
              <w:tab w:val="clear" w:pos="8459"/>
              <w:tab w:val="right" w:pos="9026" w:leader="dot"/>
            </w:tabs>
            <w:rPr/>
          </w:pPr>
          <w:hyperlink w:anchor="__RefHeading___Toc2568916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إذا تلفت العین المستأجرة قبل قبض المستأجر بطلت الإجارة</w:t>
            </w:r>
            <w:r>
              <w:rPr>
                <w:rStyle w:val="IndexLink"/>
                <w:rtl w:val="true"/>
              </w:rPr>
              <w:t>]</w:t>
              <w:tab/>
            </w:r>
            <w:r>
              <w:rPr>
                <w:rStyle w:val="IndexLink"/>
              </w:rPr>
              <w:t>486</w:t>
            </w:r>
          </w:hyperlink>
        </w:p>
        <w:p>
          <w:pPr>
            <w:pStyle w:val="Contents3"/>
            <w:tabs>
              <w:tab w:val="clear" w:pos="8459"/>
              <w:tab w:val="right" w:pos="9026" w:leader="dot"/>
            </w:tabs>
            <w:rPr/>
          </w:pPr>
          <w:hyperlink w:anchor="__RefHeading___Toc2568918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إذا آجر داراً فانهدمت بطلت الإجارة إن خرجت عن الانتفاع بالمرّة</w:t>
            </w:r>
            <w:r>
              <w:rPr>
                <w:rStyle w:val="IndexLink"/>
                <w:rtl w:val="true"/>
              </w:rPr>
              <w:t>]</w:t>
              <w:tab/>
            </w:r>
            <w:r>
              <w:rPr>
                <w:rStyle w:val="IndexLink"/>
              </w:rPr>
              <w:t>487</w:t>
            </w:r>
          </w:hyperlink>
        </w:p>
        <w:p>
          <w:pPr>
            <w:pStyle w:val="Contents3"/>
            <w:tabs>
              <w:tab w:val="clear" w:pos="8459"/>
              <w:tab w:val="right" w:pos="9026" w:leader="dot"/>
            </w:tabs>
            <w:rPr/>
          </w:pPr>
          <w:hyperlink w:anchor="__RefHeading___Toc2568920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کلّ موضع کانت الإجارة فاسدة، ثبت للمؤجر اجرة المثل بمقدار ما استوفاه</w:t>
            </w:r>
            <w:r>
              <w:rPr>
                <w:rStyle w:val="IndexLink"/>
                <w:rtl w:val="true"/>
              </w:rPr>
              <w:t>]</w:t>
              <w:tab/>
            </w:r>
            <w:r>
              <w:rPr>
                <w:rStyle w:val="IndexLink"/>
              </w:rPr>
              <w:t>487</w:t>
            </w:r>
          </w:hyperlink>
        </w:p>
        <w:p>
          <w:pPr>
            <w:pStyle w:val="Contents3"/>
            <w:tabs>
              <w:tab w:val="clear" w:pos="8459"/>
              <w:tab w:val="right" w:pos="9026" w:leader="dot"/>
            </w:tabs>
            <w:rPr/>
          </w:pPr>
          <w:hyperlink w:anchor="__RefHeading___Toc2568922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یجوز إجارة المشاع؛ سواء کان للمؤجر جزء مشاع من عین فآجره</w:t>
            </w:r>
            <w:r>
              <w:rPr>
                <w:rStyle w:val="IndexLink"/>
                <w:rtl w:val="true"/>
              </w:rPr>
              <w:t>]</w:t>
              <w:tab/>
            </w:r>
            <w:r>
              <w:rPr>
                <w:rStyle w:val="IndexLink"/>
              </w:rPr>
              <w:t>488</w:t>
            </w:r>
          </w:hyperlink>
        </w:p>
        <w:p>
          <w:pPr>
            <w:pStyle w:val="Contents3"/>
            <w:tabs>
              <w:tab w:val="clear" w:pos="8459"/>
              <w:tab w:val="right" w:pos="9026" w:leader="dot"/>
            </w:tabs>
            <w:rPr/>
          </w:pPr>
          <w:hyperlink w:anchor="__RefHeading___Toc2568924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إذا استأجر عیناً و لم یشترط علیه استیفاء منفعتها بالمباشرة</w:t>
            </w:r>
            <w:r>
              <w:rPr>
                <w:rStyle w:val="IndexLink"/>
                <w:rtl w:val="true"/>
              </w:rPr>
              <w:t>]</w:t>
              <w:tab/>
            </w:r>
            <w:r>
              <w:rPr>
                <w:rStyle w:val="IndexLink"/>
              </w:rPr>
              <w:t>488</w:t>
            </w:r>
          </w:hyperlink>
        </w:p>
        <w:p>
          <w:pPr>
            <w:pStyle w:val="Contents3"/>
            <w:tabs>
              <w:tab w:val="clear" w:pos="8459"/>
              <w:tab w:val="right" w:pos="9026" w:leader="dot"/>
            </w:tabs>
            <w:rPr/>
          </w:pPr>
          <w:hyperlink w:anchor="__RefHeading___Toc2568926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إذا تقبّل عملًا من غیر اشتراط المباشرة و لا مع الانصراف إلیها</w:t>
            </w:r>
            <w:r>
              <w:rPr>
                <w:rStyle w:val="IndexLink"/>
                <w:rtl w:val="true"/>
              </w:rPr>
              <w:t>]</w:t>
              <w:tab/>
            </w:r>
            <w:r>
              <w:rPr>
                <w:rStyle w:val="IndexLink"/>
              </w:rPr>
              <w:t>488</w:t>
            </w:r>
          </w:hyperlink>
        </w:p>
        <w:p>
          <w:pPr>
            <w:pStyle w:val="Contents3"/>
            <w:tabs>
              <w:tab w:val="clear" w:pos="8459"/>
              <w:tab w:val="right" w:pos="9026" w:leader="dot"/>
            </w:tabs>
            <w:rPr/>
          </w:pPr>
          <w:hyperlink w:anchor="__RefHeading___Toc2568928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الأجیر عن الغیر إذا آجر نفسه علیٰ وجه یکون جمیع منافعه للمستأجر فی مدّة معیّنة</w:t>
            </w:r>
            <w:r>
              <w:rPr>
                <w:rStyle w:val="IndexLink"/>
                <w:rtl w:val="true"/>
              </w:rPr>
              <w:t>]</w:t>
              <w:tab/>
            </w:r>
            <w:r>
              <w:rPr>
                <w:rStyle w:val="IndexLink"/>
              </w:rPr>
              <w:t>489</w:t>
            </w:r>
          </w:hyperlink>
        </w:p>
        <w:p>
          <w:pPr>
            <w:pStyle w:val="Contents3"/>
            <w:tabs>
              <w:tab w:val="clear" w:pos="8459"/>
              <w:tab w:val="right" w:pos="9026" w:leader="dot"/>
            </w:tabs>
            <w:rPr/>
          </w:pPr>
          <w:hyperlink w:anchor="__RefHeading___Toc2568930_3650668749">
            <w:r>
              <w:rPr>
                <w:webHidden/>
                <w:rStyle w:val="IndexLink"/>
                <w:rtl w:val="true"/>
              </w:rPr>
              <w:t>[ (</w:t>
            </w:r>
            <w:r>
              <w:rPr>
                <w:rStyle w:val="IndexLink"/>
                <w:rtl w:val="true"/>
              </w:rPr>
              <w:t xml:space="preserve">مسألة </w:t>
            </w:r>
            <w:r>
              <w:rPr>
                <w:rStyle w:val="IndexLink"/>
              </w:rPr>
              <w:t>28</w:t>
            </w:r>
            <w:r>
              <w:rPr>
                <w:rStyle w:val="IndexLink"/>
                <w:rtl w:val="true"/>
              </w:rPr>
              <w:t xml:space="preserve">): </w:t>
            </w:r>
            <w:r>
              <w:rPr>
                <w:rStyle w:val="IndexLink"/>
                <w:rtl w:val="true"/>
              </w:rPr>
              <w:t>إذا آجر نفسه لعمل مخصوص بالمباشرة فی وقت معیّن لا مانع من أن یعمل لنفسه أو لغیره فی ذلک الوقت</w:t>
            </w:r>
            <w:r>
              <w:rPr>
                <w:rStyle w:val="IndexLink"/>
                <w:rtl w:val="true"/>
              </w:rPr>
              <w:t>]</w:t>
              <w:tab/>
            </w:r>
            <w:r>
              <w:rPr>
                <w:rStyle w:val="IndexLink"/>
              </w:rPr>
              <w:t>489</w:t>
            </w:r>
          </w:hyperlink>
        </w:p>
        <w:p>
          <w:pPr>
            <w:pStyle w:val="Contents3"/>
            <w:tabs>
              <w:tab w:val="clear" w:pos="8459"/>
              <w:tab w:val="right" w:pos="9026" w:leader="dot"/>
            </w:tabs>
            <w:rPr/>
          </w:pPr>
          <w:hyperlink w:anchor="__RefHeading___Toc2568932_3650668749">
            <w:r>
              <w:rPr>
                <w:webHidden/>
                <w:rStyle w:val="IndexLink"/>
                <w:rtl w:val="true"/>
              </w:rPr>
              <w:t>[ (</w:t>
            </w:r>
            <w:r>
              <w:rPr>
                <w:rStyle w:val="IndexLink"/>
                <w:rtl w:val="true"/>
              </w:rPr>
              <w:t xml:space="preserve">مسألة </w:t>
            </w:r>
            <w:r>
              <w:rPr>
                <w:rStyle w:val="IndexLink"/>
              </w:rPr>
              <w:t>29</w:t>
            </w:r>
            <w:r>
              <w:rPr>
                <w:rStyle w:val="IndexLink"/>
                <w:rtl w:val="true"/>
              </w:rPr>
              <w:t xml:space="preserve">): </w:t>
            </w:r>
            <w:r>
              <w:rPr>
                <w:rStyle w:val="IndexLink"/>
                <w:rtl w:val="true"/>
              </w:rPr>
              <w:t>إذا آجر نفسه لعمل من غیر اعتبار المباشرة و لو فی وقت معیّن</w:t>
            </w:r>
            <w:r>
              <w:rPr>
                <w:rStyle w:val="IndexLink"/>
                <w:rtl w:val="true"/>
              </w:rPr>
              <w:t>]</w:t>
              <w:tab/>
            </w:r>
            <w:r>
              <w:rPr>
                <w:rStyle w:val="IndexLink"/>
              </w:rPr>
              <w:t>489</w:t>
            </w:r>
          </w:hyperlink>
        </w:p>
        <w:p>
          <w:pPr>
            <w:pStyle w:val="Contents3"/>
            <w:tabs>
              <w:tab w:val="clear" w:pos="8459"/>
              <w:tab w:val="right" w:pos="9026" w:leader="dot"/>
            </w:tabs>
            <w:rPr/>
          </w:pPr>
          <w:hyperlink w:anchor="__RefHeading___Toc2568934_3650668749">
            <w:r>
              <w:rPr>
                <w:webHidden/>
                <w:rStyle w:val="IndexLink"/>
                <w:rtl w:val="true"/>
              </w:rPr>
              <w:t>[ (</w:t>
            </w:r>
            <w:r>
              <w:rPr>
                <w:rStyle w:val="IndexLink"/>
                <w:rtl w:val="true"/>
              </w:rPr>
              <w:t xml:space="preserve">مسألة </w:t>
            </w:r>
            <w:r>
              <w:rPr>
                <w:rStyle w:val="IndexLink"/>
              </w:rPr>
              <w:t>30</w:t>
            </w:r>
            <w:r>
              <w:rPr>
                <w:rStyle w:val="IndexLink"/>
                <w:rtl w:val="true"/>
              </w:rPr>
              <w:t xml:space="preserve">): </w:t>
            </w:r>
            <w:r>
              <w:rPr>
                <w:rStyle w:val="IndexLink"/>
                <w:rtl w:val="true"/>
              </w:rPr>
              <w:t>إذا استأجر دابّة للحمل إلیٰ بلد</w:t>
            </w:r>
            <w:r>
              <w:rPr>
                <w:rStyle w:val="IndexLink"/>
                <w:rtl w:val="true"/>
              </w:rPr>
              <w:t>]</w:t>
              <w:tab/>
            </w:r>
            <w:r>
              <w:rPr>
                <w:rStyle w:val="IndexLink"/>
              </w:rPr>
              <w:t>490</w:t>
            </w:r>
          </w:hyperlink>
        </w:p>
        <w:p>
          <w:pPr>
            <w:pStyle w:val="Contents3"/>
            <w:tabs>
              <w:tab w:val="clear" w:pos="8459"/>
              <w:tab w:val="right" w:pos="9026" w:leader="dot"/>
            </w:tabs>
            <w:rPr/>
          </w:pPr>
          <w:hyperlink w:anchor="__RefHeading___Toc2568936_3650668749">
            <w:r>
              <w:rPr>
                <w:webHidden/>
                <w:rStyle w:val="IndexLink"/>
                <w:rtl w:val="true"/>
              </w:rPr>
              <w:t>[ (</w:t>
            </w:r>
            <w:r>
              <w:rPr>
                <w:rStyle w:val="IndexLink"/>
                <w:rtl w:val="true"/>
              </w:rPr>
              <w:t xml:space="preserve">مسألة </w:t>
            </w:r>
            <w:r>
              <w:rPr>
                <w:rStyle w:val="IndexLink"/>
              </w:rPr>
              <w:t>31</w:t>
            </w:r>
            <w:r>
              <w:rPr>
                <w:rStyle w:val="IndexLink"/>
                <w:rtl w:val="true"/>
              </w:rPr>
              <w:t xml:space="preserve">): </w:t>
            </w:r>
            <w:r>
              <w:rPr>
                <w:rStyle w:val="IndexLink"/>
                <w:rtl w:val="true"/>
              </w:rPr>
              <w:t>لو آجر نفسه لعمل فعمل للمستأجر غیر ذلک العمل بغیر أمر منه</w:t>
            </w:r>
            <w:r>
              <w:rPr>
                <w:rStyle w:val="IndexLink"/>
                <w:rtl w:val="true"/>
              </w:rPr>
              <w:t>]</w:t>
              <w:tab/>
            </w:r>
            <w:r>
              <w:rPr>
                <w:rStyle w:val="IndexLink"/>
              </w:rPr>
              <w:t>490</w:t>
            </w:r>
          </w:hyperlink>
        </w:p>
        <w:p>
          <w:pPr>
            <w:pStyle w:val="Contents3"/>
            <w:tabs>
              <w:tab w:val="clear" w:pos="8459"/>
              <w:tab w:val="right" w:pos="9026" w:leader="dot"/>
            </w:tabs>
            <w:rPr/>
          </w:pPr>
          <w:hyperlink w:anchor="__RefHeading___Toc2568938_3650668749">
            <w:r>
              <w:rPr>
                <w:webHidden/>
                <w:rStyle w:val="IndexLink"/>
                <w:rtl w:val="true"/>
              </w:rPr>
              <w:t>[ (</w:t>
            </w:r>
            <w:r>
              <w:rPr>
                <w:rStyle w:val="IndexLink"/>
                <w:rtl w:val="true"/>
              </w:rPr>
              <w:t xml:space="preserve">مسألة </w:t>
            </w:r>
            <w:r>
              <w:rPr>
                <w:rStyle w:val="IndexLink"/>
              </w:rPr>
              <w:t>32</w:t>
            </w:r>
            <w:r>
              <w:rPr>
                <w:rStyle w:val="IndexLink"/>
                <w:rtl w:val="true"/>
              </w:rPr>
              <w:t xml:space="preserve">): </w:t>
            </w:r>
            <w:r>
              <w:rPr>
                <w:rStyle w:val="IndexLink"/>
                <w:rtl w:val="true"/>
              </w:rPr>
              <w:t>یجوز استئجار المرأة للإرضاع، بل للرضاع أیضاً</w:t>
            </w:r>
            <w:r>
              <w:rPr>
                <w:rStyle w:val="IndexLink"/>
                <w:rtl w:val="true"/>
              </w:rPr>
              <w:t>]</w:t>
              <w:tab/>
            </w:r>
            <w:r>
              <w:rPr>
                <w:rStyle w:val="IndexLink"/>
              </w:rPr>
              <w:t>490</w:t>
            </w:r>
          </w:hyperlink>
        </w:p>
        <w:p>
          <w:pPr>
            <w:pStyle w:val="Contents3"/>
            <w:tabs>
              <w:tab w:val="clear" w:pos="8459"/>
              <w:tab w:val="right" w:pos="9026" w:leader="dot"/>
            </w:tabs>
            <w:rPr/>
          </w:pPr>
          <w:hyperlink w:anchor="__RefHeading___Toc2568940_3650668749">
            <w:r>
              <w:rPr>
                <w:webHidden/>
                <w:rStyle w:val="IndexLink"/>
                <w:rtl w:val="true"/>
              </w:rPr>
              <w:t>[ (</w:t>
            </w:r>
            <w:r>
              <w:rPr>
                <w:rStyle w:val="IndexLink"/>
                <w:rtl w:val="true"/>
              </w:rPr>
              <w:t xml:space="preserve">مسألة </w:t>
            </w:r>
            <w:r>
              <w:rPr>
                <w:rStyle w:val="IndexLink"/>
              </w:rPr>
              <w:t>33</w:t>
            </w:r>
            <w:r>
              <w:rPr>
                <w:rStyle w:val="IndexLink"/>
                <w:rtl w:val="true"/>
              </w:rPr>
              <w:t xml:space="preserve">): </w:t>
            </w:r>
            <w:r>
              <w:rPr>
                <w:rStyle w:val="IndexLink"/>
                <w:rtl w:val="true"/>
              </w:rPr>
              <w:t>إذا استؤجر لعمل من بناء أو خیاطة ثوب معیّن أو غیر ذلک لا بقید المباشرة</w:t>
            </w:r>
            <w:r>
              <w:rPr>
                <w:rStyle w:val="IndexLink"/>
                <w:rtl w:val="true"/>
              </w:rPr>
              <w:t>]</w:t>
              <w:tab/>
            </w:r>
            <w:r>
              <w:rPr>
                <w:rStyle w:val="IndexLink"/>
              </w:rPr>
              <w:t>490</w:t>
            </w:r>
          </w:hyperlink>
        </w:p>
        <w:p>
          <w:pPr>
            <w:pStyle w:val="Contents3"/>
            <w:tabs>
              <w:tab w:val="clear" w:pos="8459"/>
              <w:tab w:val="right" w:pos="9026" w:leader="dot"/>
            </w:tabs>
            <w:rPr/>
          </w:pPr>
          <w:hyperlink w:anchor="__RefHeading___Toc2568942_3650668749">
            <w:r>
              <w:rPr>
                <w:webHidden/>
                <w:rStyle w:val="IndexLink"/>
                <w:rtl w:val="true"/>
              </w:rPr>
              <w:t>[ (</w:t>
            </w:r>
            <w:r>
              <w:rPr>
                <w:rStyle w:val="IndexLink"/>
                <w:rtl w:val="true"/>
              </w:rPr>
              <w:t xml:space="preserve">مسألة </w:t>
            </w:r>
            <w:r>
              <w:rPr>
                <w:rStyle w:val="IndexLink"/>
              </w:rPr>
              <w:t>34</w:t>
            </w:r>
            <w:r>
              <w:rPr>
                <w:rStyle w:val="IndexLink"/>
                <w:rtl w:val="true"/>
              </w:rPr>
              <w:t xml:space="preserve">): </w:t>
            </w:r>
            <w:r>
              <w:rPr>
                <w:rStyle w:val="IndexLink"/>
                <w:rtl w:val="true"/>
              </w:rPr>
              <w:t>لا یجوز للإنسان أن یؤجر نفسه للإتیان بما وجب علیه عیناً</w:t>
            </w:r>
            <w:r>
              <w:rPr>
                <w:rStyle w:val="IndexLink"/>
                <w:rtl w:val="true"/>
              </w:rPr>
              <w:t>]</w:t>
              <w:tab/>
            </w:r>
            <w:r>
              <w:rPr>
                <w:rStyle w:val="IndexLink"/>
              </w:rPr>
              <w:t>491</w:t>
            </w:r>
          </w:hyperlink>
        </w:p>
        <w:p>
          <w:pPr>
            <w:pStyle w:val="Contents3"/>
            <w:tabs>
              <w:tab w:val="clear" w:pos="8459"/>
              <w:tab w:val="right" w:pos="9026" w:leader="dot"/>
            </w:tabs>
            <w:rPr/>
          </w:pPr>
          <w:hyperlink w:anchor="__RefHeading___Toc2568944_3650668749">
            <w:r>
              <w:rPr>
                <w:webHidden/>
                <w:rStyle w:val="IndexLink"/>
                <w:rtl w:val="true"/>
              </w:rPr>
              <w:t>[ (</w:t>
            </w:r>
            <w:r>
              <w:rPr>
                <w:rStyle w:val="IndexLink"/>
                <w:rtl w:val="true"/>
              </w:rPr>
              <w:t xml:space="preserve">مسألة </w:t>
            </w:r>
            <w:r>
              <w:rPr>
                <w:rStyle w:val="IndexLink"/>
              </w:rPr>
              <w:t>35</w:t>
            </w:r>
            <w:r>
              <w:rPr>
                <w:rStyle w:val="IndexLink"/>
                <w:rtl w:val="true"/>
              </w:rPr>
              <w:t xml:space="preserve">): </w:t>
            </w:r>
            <w:r>
              <w:rPr>
                <w:rStyle w:val="IndexLink"/>
                <w:rtl w:val="true"/>
              </w:rPr>
              <w:t>یجوز الإجارة لحفظ المتاع عن الضیاع و حراسة الدور و البساتین</w:t>
            </w:r>
            <w:r>
              <w:rPr>
                <w:rStyle w:val="IndexLink"/>
                <w:rtl w:val="true"/>
              </w:rPr>
              <w:t>]</w:t>
              <w:tab/>
            </w:r>
            <w:r>
              <w:rPr>
                <w:rStyle w:val="IndexLink"/>
              </w:rPr>
              <w:t>491</w:t>
            </w:r>
          </w:hyperlink>
        </w:p>
        <w:p>
          <w:pPr>
            <w:pStyle w:val="Contents3"/>
            <w:tabs>
              <w:tab w:val="clear" w:pos="8459"/>
              <w:tab w:val="right" w:pos="9026" w:leader="dot"/>
            </w:tabs>
            <w:rPr/>
          </w:pPr>
          <w:hyperlink w:anchor="__RefHeading___Toc2568946_3650668749">
            <w:r>
              <w:rPr>
                <w:webHidden/>
                <w:rStyle w:val="IndexLink"/>
                <w:rtl w:val="true"/>
              </w:rPr>
              <w:t>[ (</w:t>
            </w:r>
            <w:r>
              <w:rPr>
                <w:rStyle w:val="IndexLink"/>
                <w:rtl w:val="true"/>
              </w:rPr>
              <w:t xml:space="preserve">مسألة </w:t>
            </w:r>
            <w:r>
              <w:rPr>
                <w:rStyle w:val="IndexLink"/>
              </w:rPr>
              <w:t>36</w:t>
            </w:r>
            <w:r>
              <w:rPr>
                <w:rStyle w:val="IndexLink"/>
                <w:rtl w:val="true"/>
              </w:rPr>
              <w:t xml:space="preserve">): </w:t>
            </w:r>
            <w:r>
              <w:rPr>
                <w:rStyle w:val="IndexLink"/>
                <w:rtl w:val="true"/>
              </w:rPr>
              <w:t>إذا طلب من أحد أن یعمل له عملًا فعمل، استحقّ علیه اجرة مثل عمله</w:t>
            </w:r>
            <w:r>
              <w:rPr>
                <w:rStyle w:val="IndexLink"/>
                <w:rtl w:val="true"/>
              </w:rPr>
              <w:t>]</w:t>
              <w:tab/>
            </w:r>
            <w:r>
              <w:rPr>
                <w:rStyle w:val="IndexLink"/>
              </w:rPr>
              <w:t>491</w:t>
            </w:r>
          </w:hyperlink>
        </w:p>
        <w:p>
          <w:pPr>
            <w:pStyle w:val="Contents3"/>
            <w:tabs>
              <w:tab w:val="clear" w:pos="8459"/>
              <w:tab w:val="right" w:pos="9026" w:leader="dot"/>
            </w:tabs>
            <w:rPr/>
          </w:pPr>
          <w:hyperlink w:anchor="__RefHeading___Toc2568948_3650668749">
            <w:r>
              <w:rPr>
                <w:webHidden/>
                <w:rStyle w:val="IndexLink"/>
                <w:rtl w:val="true"/>
              </w:rPr>
              <w:t>[ (</w:t>
            </w:r>
            <w:r>
              <w:rPr>
                <w:rStyle w:val="IndexLink"/>
                <w:rtl w:val="true"/>
              </w:rPr>
              <w:t xml:space="preserve">مسألة </w:t>
            </w:r>
            <w:r>
              <w:rPr>
                <w:rStyle w:val="IndexLink"/>
              </w:rPr>
              <w:t>37</w:t>
            </w:r>
            <w:r>
              <w:rPr>
                <w:rStyle w:val="IndexLink"/>
                <w:rtl w:val="true"/>
              </w:rPr>
              <w:t xml:space="preserve">): </w:t>
            </w:r>
            <w:r>
              <w:rPr>
                <w:rStyle w:val="IndexLink"/>
                <w:rtl w:val="true"/>
              </w:rPr>
              <w:t>لو استأجر أحداً فی مدّة معیّنة لحیازة المباحات کما إذا استأجره شهراً للاحتطاب</w:t>
            </w:r>
            <w:r>
              <w:rPr>
                <w:rStyle w:val="IndexLink"/>
                <w:rtl w:val="true"/>
              </w:rPr>
              <w:t>]</w:t>
              <w:tab/>
            </w:r>
            <w:r>
              <w:rPr>
                <w:rStyle w:val="IndexLink"/>
              </w:rPr>
              <w:t>491</w:t>
            </w:r>
          </w:hyperlink>
        </w:p>
        <w:p>
          <w:pPr>
            <w:pStyle w:val="Contents3"/>
            <w:tabs>
              <w:tab w:val="clear" w:pos="8459"/>
              <w:tab w:val="right" w:pos="9026" w:leader="dot"/>
            </w:tabs>
            <w:rPr/>
          </w:pPr>
          <w:hyperlink w:anchor="__RefHeading___Toc2568950_3650668749">
            <w:r>
              <w:rPr>
                <w:webHidden/>
                <w:rStyle w:val="IndexLink"/>
                <w:rtl w:val="true"/>
              </w:rPr>
              <w:t>[ (</w:t>
            </w:r>
            <w:r>
              <w:rPr>
                <w:rStyle w:val="IndexLink"/>
                <w:rtl w:val="true"/>
              </w:rPr>
              <w:t xml:space="preserve">مسألة </w:t>
            </w:r>
            <w:r>
              <w:rPr>
                <w:rStyle w:val="IndexLink"/>
              </w:rPr>
              <w:t>38</w:t>
            </w:r>
            <w:r>
              <w:rPr>
                <w:rStyle w:val="IndexLink"/>
                <w:rtl w:val="true"/>
              </w:rPr>
              <w:t xml:space="preserve">): </w:t>
            </w:r>
            <w:r>
              <w:rPr>
                <w:rStyle w:val="IndexLink"/>
                <w:rtl w:val="true"/>
              </w:rPr>
              <w:t>لا یجوز إجارة الأرض لزرع الحنطة</w:t>
            </w:r>
            <w:r>
              <w:rPr>
                <w:rStyle w:val="IndexLink"/>
                <w:rtl w:val="true"/>
              </w:rPr>
              <w:t>]</w:t>
              <w:tab/>
            </w:r>
            <w:r>
              <w:rPr>
                <w:rStyle w:val="IndexLink"/>
              </w:rPr>
              <w:t>492</w:t>
            </w:r>
          </w:hyperlink>
        </w:p>
        <w:p>
          <w:pPr>
            <w:pStyle w:val="Contents3"/>
            <w:tabs>
              <w:tab w:val="clear" w:pos="8459"/>
              <w:tab w:val="right" w:pos="9026" w:leader="dot"/>
            </w:tabs>
            <w:rPr/>
          </w:pPr>
          <w:hyperlink w:anchor="__RefHeading___Toc2568952_3650668749">
            <w:r>
              <w:rPr>
                <w:webHidden/>
                <w:rStyle w:val="IndexLink"/>
                <w:rtl w:val="true"/>
              </w:rPr>
              <w:t>[ (</w:t>
            </w:r>
            <w:r>
              <w:rPr>
                <w:rStyle w:val="IndexLink"/>
                <w:rtl w:val="true"/>
              </w:rPr>
              <w:t xml:space="preserve">مسألة </w:t>
            </w:r>
            <w:r>
              <w:rPr>
                <w:rStyle w:val="IndexLink"/>
              </w:rPr>
              <w:t>39</w:t>
            </w:r>
            <w:r>
              <w:rPr>
                <w:rStyle w:val="IndexLink"/>
                <w:rtl w:val="true"/>
              </w:rPr>
              <w:t xml:space="preserve">): </w:t>
            </w:r>
            <w:r>
              <w:rPr>
                <w:rStyle w:val="IndexLink"/>
                <w:rtl w:val="true"/>
              </w:rPr>
              <w:t>العین المستأجرة أمانة فی ید المستأجر فی مدّة الإجارة</w:t>
            </w:r>
            <w:r>
              <w:rPr>
                <w:rStyle w:val="IndexLink"/>
                <w:rtl w:val="true"/>
              </w:rPr>
              <w:t>]</w:t>
              <w:tab/>
            </w:r>
            <w:r>
              <w:rPr>
                <w:rStyle w:val="IndexLink"/>
              </w:rPr>
              <w:t>492</w:t>
            </w:r>
          </w:hyperlink>
        </w:p>
        <w:p>
          <w:pPr>
            <w:pStyle w:val="Contents3"/>
            <w:tabs>
              <w:tab w:val="clear" w:pos="8459"/>
              <w:tab w:val="right" w:pos="9026" w:leader="dot"/>
            </w:tabs>
            <w:rPr/>
          </w:pPr>
          <w:hyperlink w:anchor="__RefHeading___Toc2568954_3650668749">
            <w:r>
              <w:rPr>
                <w:webHidden/>
                <w:rStyle w:val="IndexLink"/>
                <w:rtl w:val="true"/>
              </w:rPr>
              <w:t>[ (</w:t>
            </w:r>
            <w:r>
              <w:rPr>
                <w:rStyle w:val="IndexLink"/>
                <w:rtl w:val="true"/>
              </w:rPr>
              <w:t xml:space="preserve">مسألة </w:t>
            </w:r>
            <w:r>
              <w:rPr>
                <w:rStyle w:val="IndexLink"/>
              </w:rPr>
              <w:t>40</w:t>
            </w:r>
            <w:r>
              <w:rPr>
                <w:rStyle w:val="IndexLink"/>
                <w:rtl w:val="true"/>
              </w:rPr>
              <w:t xml:space="preserve">): </w:t>
            </w:r>
            <w:r>
              <w:rPr>
                <w:rStyle w:val="IndexLink"/>
                <w:rtl w:val="true"/>
              </w:rPr>
              <w:t>الختّان ضامن إذا تجاوز الحدّ و إن کان حاذقاً</w:t>
            </w:r>
            <w:r>
              <w:rPr>
                <w:rStyle w:val="IndexLink"/>
                <w:rtl w:val="true"/>
              </w:rPr>
              <w:t>]</w:t>
              <w:tab/>
            </w:r>
            <w:r>
              <w:rPr>
                <w:rStyle w:val="IndexLink"/>
              </w:rPr>
              <w:t>492</w:t>
            </w:r>
          </w:hyperlink>
        </w:p>
        <w:p>
          <w:pPr>
            <w:pStyle w:val="Contents3"/>
            <w:tabs>
              <w:tab w:val="clear" w:pos="8459"/>
              <w:tab w:val="right" w:pos="9026" w:leader="dot"/>
            </w:tabs>
            <w:rPr/>
          </w:pPr>
          <w:hyperlink w:anchor="__RefHeading___Toc2568956_3650668749">
            <w:r>
              <w:rPr>
                <w:webHidden/>
                <w:rStyle w:val="IndexLink"/>
                <w:rtl w:val="true"/>
              </w:rPr>
              <w:t>[ (</w:t>
            </w:r>
            <w:r>
              <w:rPr>
                <w:rStyle w:val="IndexLink"/>
                <w:rtl w:val="true"/>
              </w:rPr>
              <w:t xml:space="preserve">مسألة </w:t>
            </w:r>
            <w:r>
              <w:rPr>
                <w:rStyle w:val="IndexLink"/>
              </w:rPr>
              <w:t>41</w:t>
            </w:r>
            <w:r>
              <w:rPr>
                <w:rStyle w:val="IndexLink"/>
                <w:rtl w:val="true"/>
              </w:rPr>
              <w:t xml:space="preserve">): </w:t>
            </w:r>
            <w:r>
              <w:rPr>
                <w:rStyle w:val="IndexLink"/>
                <w:rtl w:val="true"/>
              </w:rPr>
              <w:t>الطبیب ضامن إذا باشر بنفسه العلاج</w:t>
            </w:r>
            <w:r>
              <w:rPr>
                <w:rStyle w:val="IndexLink"/>
                <w:rtl w:val="true"/>
              </w:rPr>
              <w:t>]</w:t>
              <w:tab/>
            </w:r>
            <w:r>
              <w:rPr>
                <w:rStyle w:val="IndexLink"/>
              </w:rPr>
              <w:t>492</w:t>
            </w:r>
          </w:hyperlink>
        </w:p>
        <w:p>
          <w:pPr>
            <w:pStyle w:val="Contents3"/>
            <w:tabs>
              <w:tab w:val="clear" w:pos="8459"/>
              <w:tab w:val="right" w:pos="9026" w:leader="dot"/>
            </w:tabs>
            <w:rPr/>
          </w:pPr>
          <w:hyperlink w:anchor="__RefHeading___Toc2568958_3650668749">
            <w:r>
              <w:rPr>
                <w:webHidden/>
                <w:rStyle w:val="IndexLink"/>
                <w:rtl w:val="true"/>
              </w:rPr>
              <w:t>[ (</w:t>
            </w:r>
            <w:r>
              <w:rPr>
                <w:rStyle w:val="IndexLink"/>
                <w:rtl w:val="true"/>
              </w:rPr>
              <w:t xml:space="preserve">مسألة </w:t>
            </w:r>
            <w:r>
              <w:rPr>
                <w:rStyle w:val="IndexLink"/>
              </w:rPr>
              <w:t>42</w:t>
            </w:r>
            <w:r>
              <w:rPr>
                <w:rStyle w:val="IndexLink"/>
                <w:rtl w:val="true"/>
              </w:rPr>
              <w:t xml:space="preserve">): </w:t>
            </w:r>
            <w:r>
              <w:rPr>
                <w:rStyle w:val="IndexLink"/>
                <w:rtl w:val="true"/>
              </w:rPr>
              <w:t>إذا عثر الحمّال فانکسر ما کان علیٰ ظهره أو رأسه مثلًا ضمن</w:t>
            </w:r>
            <w:r>
              <w:rPr>
                <w:rStyle w:val="IndexLink"/>
                <w:rtl w:val="true"/>
              </w:rPr>
              <w:t>]</w:t>
              <w:tab/>
            </w:r>
            <w:r>
              <w:rPr>
                <w:rStyle w:val="IndexLink"/>
              </w:rPr>
              <w:t>492</w:t>
            </w:r>
          </w:hyperlink>
        </w:p>
        <w:p>
          <w:pPr>
            <w:pStyle w:val="Contents3"/>
            <w:tabs>
              <w:tab w:val="clear" w:pos="8459"/>
              <w:tab w:val="right" w:pos="9026" w:leader="dot"/>
            </w:tabs>
            <w:rPr/>
          </w:pPr>
          <w:hyperlink w:anchor="__RefHeading___Toc2568960_3650668749">
            <w:r>
              <w:rPr>
                <w:webHidden/>
                <w:rStyle w:val="IndexLink"/>
                <w:rtl w:val="true"/>
              </w:rPr>
              <w:t>[ (</w:t>
            </w:r>
            <w:r>
              <w:rPr>
                <w:rStyle w:val="IndexLink"/>
                <w:rtl w:val="true"/>
              </w:rPr>
              <w:t xml:space="preserve">مسألة </w:t>
            </w:r>
            <w:r>
              <w:rPr>
                <w:rStyle w:val="IndexLink"/>
              </w:rPr>
              <w:t>43</w:t>
            </w:r>
            <w:r>
              <w:rPr>
                <w:rStyle w:val="IndexLink"/>
                <w:rtl w:val="true"/>
              </w:rPr>
              <w:t xml:space="preserve">): </w:t>
            </w:r>
            <w:r>
              <w:rPr>
                <w:rStyle w:val="IndexLink"/>
                <w:rtl w:val="true"/>
              </w:rPr>
              <w:t>إذا استأجر دابّة للحمل لم یجز أن یحمّلها أزید ممّا اشترط</w:t>
            </w:r>
            <w:r>
              <w:rPr>
                <w:rStyle w:val="IndexLink"/>
                <w:rtl w:val="true"/>
              </w:rPr>
              <w:t>]</w:t>
              <w:tab/>
            </w:r>
            <w:r>
              <w:rPr>
                <w:rStyle w:val="IndexLink"/>
              </w:rPr>
              <w:t>492</w:t>
            </w:r>
          </w:hyperlink>
        </w:p>
        <w:p>
          <w:pPr>
            <w:pStyle w:val="Contents3"/>
            <w:tabs>
              <w:tab w:val="clear" w:pos="8459"/>
              <w:tab w:val="right" w:pos="9026" w:leader="dot"/>
            </w:tabs>
            <w:rPr/>
          </w:pPr>
          <w:hyperlink w:anchor="__RefHeading___Toc2568962_3650668749">
            <w:r>
              <w:rPr>
                <w:webHidden/>
                <w:rStyle w:val="IndexLink"/>
                <w:rtl w:val="true"/>
              </w:rPr>
              <w:t>[ (</w:t>
            </w:r>
            <w:r>
              <w:rPr>
                <w:rStyle w:val="IndexLink"/>
                <w:rtl w:val="true"/>
              </w:rPr>
              <w:t xml:space="preserve">مسألة </w:t>
            </w:r>
            <w:r>
              <w:rPr>
                <w:rStyle w:val="IndexLink"/>
              </w:rPr>
              <w:t>44</w:t>
            </w:r>
            <w:r>
              <w:rPr>
                <w:rStyle w:val="IndexLink"/>
                <w:rtl w:val="true"/>
              </w:rPr>
              <w:t xml:space="preserve">): </w:t>
            </w:r>
            <w:r>
              <w:rPr>
                <w:rStyle w:val="IndexLink"/>
                <w:rtl w:val="true"/>
              </w:rPr>
              <w:t>إذا استؤجر لحفظ متاع فسرق لم یضمن إلّا مع التقصیر</w:t>
            </w:r>
            <w:r>
              <w:rPr>
                <w:rStyle w:val="IndexLink"/>
                <w:rtl w:val="true"/>
              </w:rPr>
              <w:t>]</w:t>
              <w:tab/>
            </w:r>
            <w:r>
              <w:rPr>
                <w:rStyle w:val="IndexLink"/>
              </w:rPr>
              <w:t>493</w:t>
            </w:r>
          </w:hyperlink>
        </w:p>
        <w:p>
          <w:pPr>
            <w:pStyle w:val="Contents3"/>
            <w:tabs>
              <w:tab w:val="clear" w:pos="8459"/>
              <w:tab w:val="right" w:pos="9026" w:leader="dot"/>
            </w:tabs>
            <w:rPr/>
          </w:pPr>
          <w:hyperlink w:anchor="__RefHeading___Toc2568964_3650668749">
            <w:r>
              <w:rPr>
                <w:webHidden/>
                <w:rStyle w:val="IndexLink"/>
                <w:rtl w:val="true"/>
              </w:rPr>
              <w:t>[ (</w:t>
            </w:r>
            <w:r>
              <w:rPr>
                <w:rStyle w:val="IndexLink"/>
                <w:rtl w:val="true"/>
              </w:rPr>
              <w:t xml:space="preserve">مسألة </w:t>
            </w:r>
            <w:r>
              <w:rPr>
                <w:rStyle w:val="IndexLink"/>
              </w:rPr>
              <w:t>45</w:t>
            </w:r>
            <w:r>
              <w:rPr>
                <w:rStyle w:val="IndexLink"/>
                <w:rtl w:val="true"/>
              </w:rPr>
              <w:t xml:space="preserve">): </w:t>
            </w:r>
            <w:r>
              <w:rPr>
                <w:rStyle w:val="IndexLink"/>
                <w:rtl w:val="true"/>
              </w:rPr>
              <w:t>صاحب الحمّام لا یضمن الثیاب و غیرها إذا سرقت</w:t>
            </w:r>
            <w:r>
              <w:rPr>
                <w:rStyle w:val="IndexLink"/>
                <w:rtl w:val="true"/>
              </w:rPr>
              <w:t>]</w:t>
              <w:tab/>
            </w:r>
            <w:r>
              <w:rPr>
                <w:rStyle w:val="IndexLink"/>
              </w:rPr>
              <w:t>493</w:t>
            </w:r>
          </w:hyperlink>
        </w:p>
        <w:p>
          <w:pPr>
            <w:pStyle w:val="Contents3"/>
            <w:tabs>
              <w:tab w:val="clear" w:pos="8459"/>
              <w:tab w:val="right" w:pos="9026" w:leader="dot"/>
            </w:tabs>
            <w:rPr/>
          </w:pPr>
          <w:hyperlink w:anchor="__RefHeading___Toc2568966_3650668749">
            <w:r>
              <w:rPr>
                <w:webHidden/>
                <w:rStyle w:val="IndexLink"/>
                <w:rtl w:val="true"/>
              </w:rPr>
              <w:t>[ (</w:t>
            </w:r>
            <w:r>
              <w:rPr>
                <w:rStyle w:val="IndexLink"/>
                <w:rtl w:val="true"/>
              </w:rPr>
              <w:t xml:space="preserve">مسألة </w:t>
            </w:r>
            <w:r>
              <w:rPr>
                <w:rStyle w:val="IndexLink"/>
              </w:rPr>
              <w:t>46</w:t>
            </w:r>
            <w:r>
              <w:rPr>
                <w:rStyle w:val="IndexLink"/>
                <w:rtl w:val="true"/>
              </w:rPr>
              <w:t xml:space="preserve">): </w:t>
            </w:r>
            <w:r>
              <w:rPr>
                <w:rStyle w:val="IndexLink"/>
                <w:rtl w:val="true"/>
              </w:rPr>
              <w:t>إذا استأجر أرضاً للزراعة، فحصلت آفة أفسدت الحاصل لم تبطل الإجارة</w:t>
            </w:r>
            <w:r>
              <w:rPr>
                <w:rStyle w:val="IndexLink"/>
                <w:rtl w:val="true"/>
              </w:rPr>
              <w:t>]</w:t>
              <w:tab/>
            </w:r>
            <w:r>
              <w:rPr>
                <w:rStyle w:val="IndexLink"/>
              </w:rPr>
              <w:t>493</w:t>
            </w:r>
          </w:hyperlink>
        </w:p>
        <w:p>
          <w:pPr>
            <w:pStyle w:val="Contents3"/>
            <w:tabs>
              <w:tab w:val="clear" w:pos="8459"/>
              <w:tab w:val="right" w:pos="9026" w:leader="dot"/>
            </w:tabs>
            <w:rPr/>
          </w:pPr>
          <w:hyperlink w:anchor="__RefHeading___Toc2568968_3650668749">
            <w:r>
              <w:rPr>
                <w:webHidden/>
                <w:rStyle w:val="IndexLink"/>
                <w:rtl w:val="true"/>
              </w:rPr>
              <w:t>[ (</w:t>
            </w:r>
            <w:r>
              <w:rPr>
                <w:rStyle w:val="IndexLink"/>
                <w:rtl w:val="true"/>
              </w:rPr>
              <w:t xml:space="preserve">مسألة </w:t>
            </w:r>
            <w:r>
              <w:rPr>
                <w:rStyle w:val="IndexLink"/>
              </w:rPr>
              <w:t>47</w:t>
            </w:r>
            <w:r>
              <w:rPr>
                <w:rStyle w:val="IndexLink"/>
                <w:rtl w:val="true"/>
              </w:rPr>
              <w:t xml:space="preserve">): </w:t>
            </w:r>
            <w:r>
              <w:rPr>
                <w:rStyle w:val="IndexLink"/>
                <w:rtl w:val="true"/>
              </w:rPr>
              <w:t>یجوز إجارة الأرض للانتفاع بها بالزرع و غیره مدّة معلومة</w:t>
            </w:r>
            <w:r>
              <w:rPr>
                <w:rStyle w:val="IndexLink"/>
                <w:rtl w:val="true"/>
              </w:rPr>
              <w:t>]</w:t>
              <w:tab/>
            </w:r>
            <w:r>
              <w:rPr>
                <w:rStyle w:val="IndexLink"/>
              </w:rPr>
              <w:t>493</w:t>
            </w:r>
          </w:hyperlink>
        </w:p>
        <w:p>
          <w:pPr>
            <w:pStyle w:val="Contents2"/>
            <w:tabs>
              <w:tab w:val="clear" w:pos="8743"/>
              <w:tab w:val="right" w:pos="9026" w:leader="dot"/>
            </w:tabs>
            <w:rPr/>
          </w:pPr>
          <w:hyperlink w:anchor="__RefHeading___Toc2568970_3650668749">
            <w:r>
              <w:rPr>
                <w:webHidden/>
                <w:rStyle w:val="IndexLink"/>
                <w:rtl w:val="true"/>
              </w:rPr>
              <w:t>[</w:t>
            </w:r>
            <w:r>
              <w:rPr>
                <w:rStyle w:val="IndexLink"/>
                <w:rtl w:val="true"/>
              </w:rPr>
              <w:t>کتاب الجعالة</w:t>
            </w:r>
            <w:r>
              <w:rPr>
                <w:rStyle w:val="IndexLink"/>
                <w:rtl w:val="true"/>
              </w:rPr>
              <w:t>]</w:t>
              <w:tab/>
            </w:r>
            <w:r>
              <w:rPr>
                <w:rStyle w:val="IndexLink"/>
              </w:rPr>
              <w:t>494</w:t>
            </w:r>
          </w:hyperlink>
        </w:p>
        <w:p>
          <w:pPr>
            <w:pStyle w:val="Contents3"/>
            <w:tabs>
              <w:tab w:val="clear" w:pos="8459"/>
              <w:tab w:val="right" w:pos="9026" w:leader="dot"/>
            </w:tabs>
            <w:rPr/>
          </w:pPr>
          <w:hyperlink w:anchor="__RefHeading___Toc2568972_3650668749">
            <w:r>
              <w:rPr>
                <w:webHidden/>
                <w:rStyle w:val="IndexLink"/>
                <w:rtl w:val="true"/>
              </w:rPr>
              <w:t>اشارة</w:t>
            </w:r>
            <w:r>
              <w:rPr>
                <w:rStyle w:val="IndexLink"/>
                <w:rtl w:val="true"/>
              </w:rPr>
              <w:tab/>
            </w:r>
            <w:r>
              <w:rPr>
                <w:rStyle w:val="IndexLink"/>
              </w:rPr>
              <w:t>494</w:t>
            </w:r>
          </w:hyperlink>
        </w:p>
        <w:p>
          <w:pPr>
            <w:pStyle w:val="Contents3"/>
            <w:tabs>
              <w:tab w:val="clear" w:pos="8459"/>
              <w:tab w:val="right" w:pos="9026" w:leader="dot"/>
            </w:tabs>
            <w:rPr/>
          </w:pPr>
          <w:hyperlink w:anchor="__RefHeading___Toc256897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الفرق بین الإجارة علی العمل و الجعالة</w:t>
            </w:r>
            <w:r>
              <w:rPr>
                <w:rStyle w:val="IndexLink"/>
                <w:rtl w:val="true"/>
              </w:rPr>
              <w:t>]</w:t>
              <w:tab/>
            </w:r>
            <w:r>
              <w:rPr>
                <w:rStyle w:val="IndexLink"/>
              </w:rPr>
              <w:t>494</w:t>
            </w:r>
          </w:hyperlink>
        </w:p>
        <w:p>
          <w:pPr>
            <w:pStyle w:val="Contents3"/>
            <w:tabs>
              <w:tab w:val="clear" w:pos="8459"/>
              <w:tab w:val="right" w:pos="9026" w:leader="dot"/>
            </w:tabs>
            <w:rPr/>
          </w:pPr>
          <w:hyperlink w:anchor="__RefHeading___Toc256897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إنّما تصحّ الجعالة علیٰ کلّ عمل محلّل مقصود فی نظر العقلاء کالإجارة</w:t>
            </w:r>
            <w:r>
              <w:rPr>
                <w:rStyle w:val="IndexLink"/>
                <w:rtl w:val="true"/>
              </w:rPr>
              <w:t>]</w:t>
              <w:tab/>
            </w:r>
            <w:r>
              <w:rPr>
                <w:rStyle w:val="IndexLink"/>
              </w:rPr>
              <w:t>494</w:t>
            </w:r>
          </w:hyperlink>
        </w:p>
        <w:p>
          <w:pPr>
            <w:pStyle w:val="Contents3"/>
            <w:tabs>
              <w:tab w:val="clear" w:pos="8459"/>
              <w:tab w:val="right" w:pos="9026" w:leader="dot"/>
            </w:tabs>
            <w:rPr/>
          </w:pPr>
          <w:hyperlink w:anchor="__RefHeading___Toc256897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کما لا تصحّ الإجارة علی الواجبات العینیّة و الکفائیّة</w:t>
            </w:r>
            <w:r>
              <w:rPr>
                <w:rStyle w:val="IndexLink"/>
                <w:rtl w:val="true"/>
              </w:rPr>
              <w:t>]</w:t>
              <w:tab/>
            </w:r>
            <w:r>
              <w:rPr>
                <w:rStyle w:val="IndexLink"/>
              </w:rPr>
              <w:t>494</w:t>
            </w:r>
          </w:hyperlink>
        </w:p>
        <w:p>
          <w:pPr>
            <w:pStyle w:val="Contents3"/>
            <w:tabs>
              <w:tab w:val="clear" w:pos="8459"/>
              <w:tab w:val="right" w:pos="9026" w:leader="dot"/>
            </w:tabs>
            <w:rPr/>
          </w:pPr>
          <w:hyperlink w:anchor="__RefHeading___Toc256898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یعتبر فی الجاعل أهلیّة الاستئجار</w:t>
            </w:r>
            <w:r>
              <w:rPr>
                <w:rStyle w:val="IndexLink"/>
                <w:rtl w:val="true"/>
              </w:rPr>
              <w:t>]</w:t>
              <w:tab/>
            </w:r>
            <w:r>
              <w:rPr>
                <w:rStyle w:val="IndexLink"/>
              </w:rPr>
              <w:t>495</w:t>
            </w:r>
          </w:hyperlink>
        </w:p>
        <w:p>
          <w:pPr>
            <w:pStyle w:val="Contents3"/>
            <w:tabs>
              <w:tab w:val="clear" w:pos="8459"/>
              <w:tab w:val="right" w:pos="9026" w:leader="dot"/>
            </w:tabs>
            <w:rPr/>
          </w:pPr>
          <w:hyperlink w:anchor="__RefHeading___Toc256898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یجوز أن یکون العمل مجهولًا فی الجعالة بما لا یغتفر فی الإجارة</w:t>
            </w:r>
            <w:r>
              <w:rPr>
                <w:rStyle w:val="IndexLink"/>
                <w:rtl w:val="true"/>
              </w:rPr>
              <w:t>]</w:t>
              <w:tab/>
            </w:r>
            <w:r>
              <w:rPr>
                <w:rStyle w:val="IndexLink"/>
              </w:rPr>
              <w:t>495</w:t>
            </w:r>
          </w:hyperlink>
        </w:p>
        <w:p>
          <w:pPr>
            <w:pStyle w:val="Contents3"/>
            <w:tabs>
              <w:tab w:val="clear" w:pos="8459"/>
              <w:tab w:val="right" w:pos="9026" w:leader="dot"/>
            </w:tabs>
            <w:rPr/>
          </w:pPr>
          <w:hyperlink w:anchor="__RefHeading___Toc2568984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کلّ مورد بطلت الجعالة للجهالة استحقّ العامل اجرة المثل</w:t>
            </w:r>
            <w:r>
              <w:rPr>
                <w:rStyle w:val="IndexLink"/>
                <w:rtl w:val="true"/>
              </w:rPr>
              <w:t>]</w:t>
              <w:tab/>
            </w:r>
            <w:r>
              <w:rPr>
                <w:rStyle w:val="IndexLink"/>
              </w:rPr>
              <w:t>495</w:t>
            </w:r>
          </w:hyperlink>
        </w:p>
        <w:p>
          <w:pPr>
            <w:pStyle w:val="Contents3"/>
            <w:tabs>
              <w:tab w:val="clear" w:pos="8459"/>
              <w:tab w:val="right" w:pos="9026" w:leader="dot"/>
            </w:tabs>
            <w:rPr/>
          </w:pPr>
          <w:hyperlink w:anchor="__RefHeading___Toc2568986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لا یعتبر أن یکون الجعل ممّن له العمل</w:t>
            </w:r>
            <w:r>
              <w:rPr>
                <w:rStyle w:val="IndexLink"/>
                <w:rtl w:val="true"/>
              </w:rPr>
              <w:t>]</w:t>
              <w:tab/>
            </w:r>
            <w:r>
              <w:rPr>
                <w:rStyle w:val="IndexLink"/>
              </w:rPr>
              <w:t>496</w:t>
            </w:r>
          </w:hyperlink>
        </w:p>
        <w:p>
          <w:pPr>
            <w:pStyle w:val="Contents3"/>
            <w:tabs>
              <w:tab w:val="clear" w:pos="8459"/>
              <w:tab w:val="right" w:pos="9026" w:leader="dot"/>
            </w:tabs>
            <w:rPr/>
          </w:pPr>
          <w:hyperlink w:anchor="__RefHeading___Toc2568988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لو عیّن الجعالة لشخص و أتی بالعمل غیره لم یستحقّ الجعل ذلک الشخص لعدم العمل</w:t>
            </w:r>
            <w:r>
              <w:rPr>
                <w:rStyle w:val="IndexLink"/>
                <w:rtl w:val="true"/>
              </w:rPr>
              <w:t>]</w:t>
              <w:tab/>
            </w:r>
            <w:r>
              <w:rPr>
                <w:rStyle w:val="IndexLink"/>
              </w:rPr>
              <w:t>496</w:t>
            </w:r>
          </w:hyperlink>
        </w:p>
        <w:p>
          <w:pPr>
            <w:pStyle w:val="Contents3"/>
            <w:tabs>
              <w:tab w:val="clear" w:pos="8459"/>
              <w:tab w:val="right" w:pos="9026" w:leader="dot"/>
            </w:tabs>
            <w:rPr/>
          </w:pPr>
          <w:hyperlink w:anchor="__RefHeading___Toc2568990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إذا جعل الجعل علیٰ عمل، و قد عمله شخص قبل إیقاع الجعالة أو بقصد التبرّع و عدم أخذ العوض</w:t>
            </w:r>
            <w:r>
              <w:rPr>
                <w:rStyle w:val="IndexLink"/>
                <w:rtl w:val="true"/>
              </w:rPr>
              <w:t>]</w:t>
              <w:tab/>
            </w:r>
            <w:r>
              <w:rPr>
                <w:rStyle w:val="IndexLink"/>
              </w:rPr>
              <w:t>496</w:t>
            </w:r>
          </w:hyperlink>
        </w:p>
        <w:p>
          <w:pPr>
            <w:pStyle w:val="Contents3"/>
            <w:tabs>
              <w:tab w:val="clear" w:pos="8459"/>
              <w:tab w:val="right" w:pos="9026" w:leader="dot"/>
            </w:tabs>
            <w:rPr/>
          </w:pPr>
          <w:hyperlink w:anchor="__RefHeading___Toc2568992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إنّما یستحقّ العامل الجعل المقرّر لو کان عمله لأجل ذلک</w:t>
            </w:r>
            <w:r>
              <w:rPr>
                <w:rStyle w:val="IndexLink"/>
                <w:rtl w:val="true"/>
              </w:rPr>
              <w:t>]</w:t>
              <w:tab/>
            </w:r>
            <w:r>
              <w:rPr>
                <w:rStyle w:val="IndexLink"/>
              </w:rPr>
              <w:t>496</w:t>
            </w:r>
          </w:hyperlink>
        </w:p>
        <w:p>
          <w:pPr>
            <w:pStyle w:val="Contents3"/>
            <w:tabs>
              <w:tab w:val="clear" w:pos="8459"/>
              <w:tab w:val="right" w:pos="9026" w:leader="dot"/>
            </w:tabs>
            <w:rPr/>
          </w:pPr>
          <w:hyperlink w:anchor="__RefHeading___Toc2568994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لو قال</w:t>
            </w:r>
            <w:r>
              <w:rPr>
                <w:rStyle w:val="IndexLink"/>
                <w:rtl w:val="true"/>
              </w:rPr>
              <w:t xml:space="preserve">: </w:t>
            </w:r>
            <w:r>
              <w:rPr>
                <w:rStyle w:val="IndexLink"/>
                <w:rtl w:val="true"/>
              </w:rPr>
              <w:t>من دلّنی علیٰ مالی فله کذا</w:t>
            </w:r>
            <w:r>
              <w:rPr>
                <w:rStyle w:val="IndexLink"/>
                <w:rtl w:val="true"/>
              </w:rPr>
              <w:t>]</w:t>
              <w:tab/>
            </w:r>
            <w:r>
              <w:rPr>
                <w:rStyle w:val="IndexLink"/>
              </w:rPr>
              <w:t>496</w:t>
            </w:r>
          </w:hyperlink>
        </w:p>
        <w:p>
          <w:pPr>
            <w:pStyle w:val="Contents3"/>
            <w:tabs>
              <w:tab w:val="clear" w:pos="8459"/>
              <w:tab w:val="right" w:pos="9026" w:leader="dot"/>
            </w:tabs>
            <w:rPr/>
          </w:pPr>
          <w:hyperlink w:anchor="__RefHeading___Toc2568996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إنّما یستحقّ العامل الجعل بتسلیم العمل</w:t>
            </w:r>
            <w:r>
              <w:rPr>
                <w:rStyle w:val="IndexLink"/>
                <w:rtl w:val="true"/>
              </w:rPr>
              <w:t>]</w:t>
              <w:tab/>
            </w:r>
            <w:r>
              <w:rPr>
                <w:rStyle w:val="IndexLink"/>
              </w:rPr>
              <w:t>496</w:t>
            </w:r>
          </w:hyperlink>
        </w:p>
        <w:p>
          <w:pPr>
            <w:pStyle w:val="Contents3"/>
            <w:tabs>
              <w:tab w:val="clear" w:pos="8459"/>
              <w:tab w:val="right" w:pos="9026" w:leader="dot"/>
            </w:tabs>
            <w:rPr/>
          </w:pPr>
          <w:hyperlink w:anchor="__RefHeading___Toc2568998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لو قال</w:t>
            </w:r>
            <w:r>
              <w:rPr>
                <w:rStyle w:val="IndexLink"/>
                <w:rtl w:val="true"/>
              </w:rPr>
              <w:t xml:space="preserve">: </w:t>
            </w:r>
            <w:r>
              <w:rPr>
                <w:rStyle w:val="IndexLink"/>
                <w:rtl w:val="true"/>
              </w:rPr>
              <w:t>من ردّ دابّتی مثلًا فله کذا، فردّها جماعة، اشترکوا فی الجعل المقرّر بالسویة</w:t>
            </w:r>
            <w:r>
              <w:rPr>
                <w:rStyle w:val="IndexLink"/>
                <w:rtl w:val="true"/>
              </w:rPr>
              <w:t>]</w:t>
              <w:tab/>
            </w:r>
            <w:r>
              <w:rPr>
                <w:rStyle w:val="IndexLink"/>
              </w:rPr>
              <w:t>497</w:t>
            </w:r>
          </w:hyperlink>
        </w:p>
        <w:p>
          <w:pPr>
            <w:pStyle w:val="Contents3"/>
            <w:tabs>
              <w:tab w:val="clear" w:pos="8459"/>
              <w:tab w:val="right" w:pos="9026" w:leader="dot"/>
            </w:tabs>
            <w:rPr/>
          </w:pPr>
          <w:hyperlink w:anchor="__RefHeading___Toc2569000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لو جعل جعلًا لشخص علیٰ عمل کبناء حائط أو خیاطة ثوب فشارکه غیره فی ذلک العمل</w:t>
            </w:r>
            <w:r>
              <w:rPr>
                <w:rStyle w:val="IndexLink"/>
                <w:rtl w:val="true"/>
              </w:rPr>
              <w:t>]</w:t>
              <w:tab/>
            </w:r>
            <w:r>
              <w:rPr>
                <w:rStyle w:val="IndexLink"/>
              </w:rPr>
              <w:t>497</w:t>
            </w:r>
          </w:hyperlink>
        </w:p>
        <w:p>
          <w:pPr>
            <w:pStyle w:val="Contents3"/>
            <w:tabs>
              <w:tab w:val="clear" w:pos="8459"/>
              <w:tab w:val="right" w:pos="9026" w:leader="dot"/>
            </w:tabs>
            <w:rPr/>
          </w:pPr>
          <w:hyperlink w:anchor="__RefHeading___Toc2569002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الجعالة قبل تمامیّة العمل جائزة من الطرفین</w:t>
            </w:r>
            <w:r>
              <w:rPr>
                <w:rStyle w:val="IndexLink"/>
                <w:rtl w:val="true"/>
              </w:rPr>
              <w:t>]</w:t>
              <w:tab/>
            </w:r>
            <w:r>
              <w:rPr>
                <w:rStyle w:val="IndexLink"/>
              </w:rPr>
              <w:t>497</w:t>
            </w:r>
          </w:hyperlink>
        </w:p>
        <w:p>
          <w:pPr>
            <w:pStyle w:val="Contents3"/>
            <w:tabs>
              <w:tab w:val="clear" w:pos="8459"/>
              <w:tab w:val="right" w:pos="9026" w:leader="dot"/>
            </w:tabs>
            <w:rPr/>
          </w:pPr>
          <w:hyperlink w:anchor="__RefHeading___Toc2569004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ما ذکرنا من أنّ للعامل الرجوع عن عمله علیٰ کلّ حال</w:t>
            </w:r>
            <w:r>
              <w:rPr>
                <w:rStyle w:val="IndexLink"/>
                <w:rtl w:val="true"/>
              </w:rPr>
              <w:t>]</w:t>
              <w:tab/>
            </w:r>
            <w:r>
              <w:rPr>
                <w:rStyle w:val="IndexLink"/>
              </w:rPr>
              <w:t>497</w:t>
            </w:r>
          </w:hyperlink>
        </w:p>
        <w:p>
          <w:pPr>
            <w:pStyle w:val="Contents2"/>
            <w:tabs>
              <w:tab w:val="clear" w:pos="8743"/>
              <w:tab w:val="right" w:pos="9026" w:leader="dot"/>
            </w:tabs>
            <w:rPr/>
          </w:pPr>
          <w:hyperlink w:anchor="__RefHeading___Toc2569006_3650668749">
            <w:r>
              <w:rPr>
                <w:webHidden/>
                <w:rStyle w:val="IndexLink"/>
                <w:rtl w:val="true"/>
              </w:rPr>
              <w:t>[</w:t>
            </w:r>
            <w:r>
              <w:rPr>
                <w:rStyle w:val="IndexLink"/>
                <w:rtl w:val="true"/>
              </w:rPr>
              <w:t>کتاب العاریة</w:t>
            </w:r>
            <w:r>
              <w:rPr>
                <w:rStyle w:val="IndexLink"/>
                <w:rtl w:val="true"/>
              </w:rPr>
              <w:t>]</w:t>
              <w:tab/>
            </w:r>
            <w:r>
              <w:rPr>
                <w:rStyle w:val="IndexLink"/>
              </w:rPr>
              <w:t>499</w:t>
            </w:r>
          </w:hyperlink>
        </w:p>
        <w:p>
          <w:pPr>
            <w:pStyle w:val="Contents3"/>
            <w:tabs>
              <w:tab w:val="clear" w:pos="8459"/>
              <w:tab w:val="right" w:pos="9026" w:leader="dot"/>
            </w:tabs>
            <w:rPr/>
          </w:pPr>
          <w:hyperlink w:anchor="__RefHeading___Toc2569008_3650668749">
            <w:r>
              <w:rPr>
                <w:webHidden/>
                <w:rStyle w:val="IndexLink"/>
                <w:rtl w:val="true"/>
              </w:rPr>
              <w:t>اشارة</w:t>
            </w:r>
            <w:r>
              <w:rPr>
                <w:rStyle w:val="IndexLink"/>
                <w:rtl w:val="true"/>
              </w:rPr>
              <w:tab/>
            </w:r>
            <w:r>
              <w:rPr>
                <w:rStyle w:val="IndexLink"/>
              </w:rPr>
              <w:t>499</w:t>
            </w:r>
          </w:hyperlink>
        </w:p>
        <w:p>
          <w:pPr>
            <w:pStyle w:val="Contents3"/>
            <w:tabs>
              <w:tab w:val="clear" w:pos="8459"/>
              <w:tab w:val="right" w:pos="9026" w:leader="dot"/>
            </w:tabs>
            <w:rPr/>
          </w:pPr>
          <w:hyperlink w:anchor="__RefHeading___Toc256901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یعتبر فی المعیر أن یکون مالکاً للمنفعة</w:t>
            </w:r>
            <w:r>
              <w:rPr>
                <w:rStyle w:val="IndexLink"/>
                <w:rtl w:val="true"/>
              </w:rPr>
              <w:t>]</w:t>
              <w:tab/>
            </w:r>
            <w:r>
              <w:rPr>
                <w:rStyle w:val="IndexLink"/>
              </w:rPr>
              <w:t>499</w:t>
            </w:r>
          </w:hyperlink>
        </w:p>
        <w:p>
          <w:pPr>
            <w:pStyle w:val="Contents3"/>
            <w:tabs>
              <w:tab w:val="clear" w:pos="8459"/>
              <w:tab w:val="right" w:pos="9026" w:leader="dot"/>
            </w:tabs>
            <w:rPr/>
          </w:pPr>
          <w:hyperlink w:anchor="__RefHeading___Toc256901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یشترط فی المعیر ملکیّة العین</w:t>
            </w:r>
            <w:r>
              <w:rPr>
                <w:rStyle w:val="IndexLink"/>
                <w:rtl w:val="true"/>
              </w:rPr>
              <w:t>]</w:t>
              <w:tab/>
            </w:r>
            <w:r>
              <w:rPr>
                <w:rStyle w:val="IndexLink"/>
              </w:rPr>
              <w:t>499</w:t>
            </w:r>
          </w:hyperlink>
        </w:p>
        <w:p>
          <w:pPr>
            <w:pStyle w:val="Contents3"/>
            <w:tabs>
              <w:tab w:val="clear" w:pos="8459"/>
              <w:tab w:val="right" w:pos="9026" w:leader="dot"/>
            </w:tabs>
            <w:rPr/>
          </w:pPr>
          <w:hyperlink w:anchor="__RefHeading___Toc256901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یعتبر فی المستعیر أن یکون أهلًا للانتفاع بالعین</w:t>
            </w:r>
            <w:r>
              <w:rPr>
                <w:rStyle w:val="IndexLink"/>
                <w:rtl w:val="true"/>
              </w:rPr>
              <w:t>]</w:t>
              <w:tab/>
            </w:r>
            <w:r>
              <w:rPr>
                <w:rStyle w:val="IndexLink"/>
              </w:rPr>
              <w:t>499</w:t>
            </w:r>
          </w:hyperlink>
        </w:p>
        <w:p>
          <w:pPr>
            <w:pStyle w:val="Contents3"/>
            <w:tabs>
              <w:tab w:val="clear" w:pos="8459"/>
              <w:tab w:val="right" w:pos="9026" w:leader="dot"/>
            </w:tabs>
            <w:rPr/>
          </w:pPr>
          <w:hyperlink w:anchor="__RefHeading___Toc256901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یعتبر فی العین المستعارة کونها ممّا یمکن الانتفاع بها منفعة محلّلة مع بقاء عینها</w:t>
            </w:r>
            <w:r>
              <w:rPr>
                <w:rStyle w:val="IndexLink"/>
                <w:rtl w:val="true"/>
              </w:rPr>
              <w:t>]</w:t>
              <w:tab/>
            </w:r>
            <w:r>
              <w:rPr>
                <w:rStyle w:val="IndexLink"/>
              </w:rPr>
              <w:t>500</w:t>
            </w:r>
          </w:hyperlink>
        </w:p>
        <w:p>
          <w:pPr>
            <w:pStyle w:val="Contents3"/>
            <w:tabs>
              <w:tab w:val="clear" w:pos="8459"/>
              <w:tab w:val="right" w:pos="9026" w:leader="dot"/>
            </w:tabs>
            <w:rPr/>
          </w:pPr>
          <w:hyperlink w:anchor="__RefHeading___Toc256901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یجوز إعارة الشاة للانتفاع بلبنها و صوفها</w:t>
            </w:r>
            <w:r>
              <w:rPr>
                <w:rStyle w:val="IndexLink"/>
                <w:rtl w:val="true"/>
              </w:rPr>
              <w:t>]</w:t>
              <w:tab/>
            </w:r>
            <w:r>
              <w:rPr>
                <w:rStyle w:val="IndexLink"/>
              </w:rPr>
              <w:t>500</w:t>
            </w:r>
          </w:hyperlink>
        </w:p>
        <w:p>
          <w:pPr>
            <w:pStyle w:val="Contents3"/>
            <w:tabs>
              <w:tab w:val="clear" w:pos="8459"/>
              <w:tab w:val="right" w:pos="9026" w:leader="dot"/>
            </w:tabs>
            <w:rPr/>
          </w:pPr>
          <w:hyperlink w:anchor="__RefHeading___Toc256902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لا یجوز استعارة الجواری للاستمتاع بها</w:t>
            </w:r>
            <w:r>
              <w:rPr>
                <w:rStyle w:val="IndexLink"/>
                <w:rtl w:val="true"/>
              </w:rPr>
              <w:t>]</w:t>
              <w:tab/>
            </w:r>
            <w:r>
              <w:rPr>
                <w:rStyle w:val="IndexLink"/>
              </w:rPr>
              <w:t>500</w:t>
            </w:r>
          </w:hyperlink>
        </w:p>
        <w:p>
          <w:pPr>
            <w:pStyle w:val="Contents3"/>
            <w:tabs>
              <w:tab w:val="clear" w:pos="8459"/>
              <w:tab w:val="right" w:pos="9026" w:leader="dot"/>
            </w:tabs>
            <w:rPr/>
          </w:pPr>
          <w:hyperlink w:anchor="__RefHeading___Toc256902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لا یشترط تعیین العین المستعارة عند الإعارة</w:t>
            </w:r>
            <w:r>
              <w:rPr>
                <w:rStyle w:val="IndexLink"/>
                <w:rtl w:val="true"/>
              </w:rPr>
              <w:t>]</w:t>
              <w:tab/>
            </w:r>
            <w:r>
              <w:rPr>
                <w:rStyle w:val="IndexLink"/>
              </w:rPr>
              <w:t>500</w:t>
            </w:r>
          </w:hyperlink>
        </w:p>
        <w:p>
          <w:pPr>
            <w:pStyle w:val="Contents3"/>
            <w:tabs>
              <w:tab w:val="clear" w:pos="8459"/>
              <w:tab w:val="right" w:pos="9026" w:leader="dot"/>
            </w:tabs>
            <w:rPr/>
          </w:pPr>
          <w:hyperlink w:anchor="__RefHeading___Toc256902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العین التی تعلّقت بها العاریة إن انحصرت جهة الانتفاع بها فی منفعة خاصّة</w:t>
            </w:r>
            <w:r>
              <w:rPr>
                <w:rStyle w:val="IndexLink"/>
                <w:rtl w:val="true"/>
              </w:rPr>
              <w:t>]</w:t>
              <w:tab/>
            </w:r>
            <w:r>
              <w:rPr>
                <w:rStyle w:val="IndexLink"/>
              </w:rPr>
              <w:t>500</w:t>
            </w:r>
          </w:hyperlink>
        </w:p>
        <w:p>
          <w:pPr>
            <w:pStyle w:val="Contents3"/>
            <w:tabs>
              <w:tab w:val="clear" w:pos="8459"/>
              <w:tab w:val="right" w:pos="9026" w:leader="dot"/>
            </w:tabs>
            <w:rPr/>
          </w:pPr>
          <w:hyperlink w:anchor="__RefHeading___Toc256902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العاریة جائزة من الطرفین</w:t>
            </w:r>
            <w:r>
              <w:rPr>
                <w:rStyle w:val="IndexLink"/>
                <w:rtl w:val="true"/>
              </w:rPr>
              <w:t>]</w:t>
              <w:tab/>
            </w:r>
            <w:r>
              <w:rPr>
                <w:rStyle w:val="IndexLink"/>
              </w:rPr>
              <w:t>501</w:t>
            </w:r>
          </w:hyperlink>
        </w:p>
        <w:p>
          <w:pPr>
            <w:pStyle w:val="Contents3"/>
            <w:tabs>
              <w:tab w:val="clear" w:pos="8459"/>
              <w:tab w:val="right" w:pos="9026" w:leader="dot"/>
            </w:tabs>
            <w:rPr/>
          </w:pPr>
          <w:hyperlink w:anchor="__RefHeading___Toc2569028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تبطل العاریة بموت المعیر، بل بزوال سلطنته بجنون و نحوه</w:t>
            </w:r>
            <w:r>
              <w:rPr>
                <w:rStyle w:val="IndexLink"/>
                <w:rtl w:val="true"/>
              </w:rPr>
              <w:t>]</w:t>
              <w:tab/>
            </w:r>
            <w:r>
              <w:rPr>
                <w:rStyle w:val="IndexLink"/>
              </w:rPr>
              <w:t>501</w:t>
            </w:r>
          </w:hyperlink>
        </w:p>
        <w:p>
          <w:pPr>
            <w:pStyle w:val="Contents3"/>
            <w:tabs>
              <w:tab w:val="clear" w:pos="8459"/>
              <w:tab w:val="right" w:pos="9026" w:leader="dot"/>
            </w:tabs>
            <w:rPr/>
          </w:pPr>
          <w:hyperlink w:anchor="__RefHeading___Toc2569030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یجب علی المستعیر الاقتصار فی نوع المنفعة علیٰ ما عیّنها المعیر</w:t>
            </w:r>
            <w:r>
              <w:rPr>
                <w:rStyle w:val="IndexLink"/>
                <w:rtl w:val="true"/>
              </w:rPr>
              <w:t>]</w:t>
              <w:tab/>
            </w:r>
            <w:r>
              <w:rPr>
                <w:rStyle w:val="IndexLink"/>
              </w:rPr>
              <w:t>501</w:t>
            </w:r>
          </w:hyperlink>
        </w:p>
        <w:p>
          <w:pPr>
            <w:pStyle w:val="Contents3"/>
            <w:tabs>
              <w:tab w:val="clear" w:pos="8459"/>
              <w:tab w:val="right" w:pos="9026" w:leader="dot"/>
            </w:tabs>
            <w:rPr/>
          </w:pPr>
          <w:hyperlink w:anchor="__RefHeading___Toc2569032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لو أعاره أرضاً للبناء أو الغرس جاز له الرجوع</w:t>
            </w:r>
            <w:r>
              <w:rPr>
                <w:rStyle w:val="IndexLink"/>
                <w:rtl w:val="true"/>
              </w:rPr>
              <w:t>]</w:t>
              <w:tab/>
            </w:r>
            <w:r>
              <w:rPr>
                <w:rStyle w:val="IndexLink"/>
              </w:rPr>
              <w:t>501</w:t>
            </w:r>
          </w:hyperlink>
        </w:p>
        <w:p>
          <w:pPr>
            <w:pStyle w:val="Contents3"/>
            <w:tabs>
              <w:tab w:val="clear" w:pos="8459"/>
              <w:tab w:val="right" w:pos="9026" w:leader="dot"/>
            </w:tabs>
            <w:rPr/>
          </w:pPr>
          <w:hyperlink w:anchor="__RefHeading___Toc2569034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العاریة أمانة بید المستعیر</w:t>
            </w:r>
            <w:r>
              <w:rPr>
                <w:rStyle w:val="IndexLink"/>
                <w:rtl w:val="true"/>
              </w:rPr>
              <w:t>]</w:t>
              <w:tab/>
            </w:r>
            <w:r>
              <w:rPr>
                <w:rStyle w:val="IndexLink"/>
              </w:rPr>
              <w:t>502</w:t>
            </w:r>
          </w:hyperlink>
        </w:p>
        <w:p>
          <w:pPr>
            <w:pStyle w:val="Contents3"/>
            <w:tabs>
              <w:tab w:val="clear" w:pos="8459"/>
              <w:tab w:val="right" w:pos="9026" w:leader="dot"/>
            </w:tabs>
            <w:rPr/>
          </w:pPr>
          <w:hyperlink w:anchor="__RefHeading___Toc2569036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لا یجوز للمستعیر إعارة العین المستعارة و لا إجارتها إلّا بإذن المالک</w:t>
            </w:r>
            <w:r>
              <w:rPr>
                <w:rStyle w:val="IndexLink"/>
                <w:rtl w:val="true"/>
              </w:rPr>
              <w:t>]</w:t>
              <w:tab/>
            </w:r>
            <w:r>
              <w:rPr>
                <w:rStyle w:val="IndexLink"/>
              </w:rPr>
              <w:t>502</w:t>
            </w:r>
          </w:hyperlink>
        </w:p>
        <w:p>
          <w:pPr>
            <w:pStyle w:val="Contents3"/>
            <w:tabs>
              <w:tab w:val="clear" w:pos="8459"/>
              <w:tab w:val="right" w:pos="9026" w:leader="dot"/>
            </w:tabs>
            <w:rPr/>
          </w:pPr>
          <w:hyperlink w:anchor="__RefHeading___Toc2569038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إذا تلفت العاریة بفعل المستعیر</w:t>
            </w:r>
            <w:r>
              <w:rPr>
                <w:rStyle w:val="IndexLink"/>
                <w:rtl w:val="true"/>
              </w:rPr>
              <w:t>]</w:t>
              <w:tab/>
            </w:r>
            <w:r>
              <w:rPr>
                <w:rStyle w:val="IndexLink"/>
              </w:rPr>
              <w:t>502</w:t>
            </w:r>
          </w:hyperlink>
        </w:p>
        <w:p>
          <w:pPr>
            <w:pStyle w:val="Contents3"/>
            <w:tabs>
              <w:tab w:val="clear" w:pos="8459"/>
              <w:tab w:val="right" w:pos="9026" w:leader="dot"/>
            </w:tabs>
            <w:rPr/>
          </w:pPr>
          <w:hyperlink w:anchor="__RefHeading___Toc2569040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إنّما یبرأ المستعیر عن عهدة العین المستعارة بردّها إلیٰ مالکها</w:t>
            </w:r>
            <w:r>
              <w:rPr>
                <w:rStyle w:val="IndexLink"/>
                <w:rtl w:val="true"/>
              </w:rPr>
              <w:t>]</w:t>
              <w:tab/>
            </w:r>
            <w:r>
              <w:rPr>
                <w:rStyle w:val="IndexLink"/>
              </w:rPr>
              <w:t>502</w:t>
            </w:r>
          </w:hyperlink>
        </w:p>
        <w:p>
          <w:pPr>
            <w:pStyle w:val="Contents3"/>
            <w:tabs>
              <w:tab w:val="clear" w:pos="8459"/>
              <w:tab w:val="right" w:pos="9026" w:leader="dot"/>
            </w:tabs>
            <w:rPr/>
          </w:pPr>
          <w:hyperlink w:anchor="__RefHeading___Toc2569042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إذا استعار عیناً من الغاصب، فإن لم یعلم بغصبه کان قرار الضمان علی الغاصب</w:t>
            </w:r>
            <w:r>
              <w:rPr>
                <w:rStyle w:val="IndexLink"/>
                <w:rtl w:val="true"/>
              </w:rPr>
              <w:t>]</w:t>
              <w:tab/>
            </w:r>
            <w:r>
              <w:rPr>
                <w:rStyle w:val="IndexLink"/>
              </w:rPr>
              <w:t>502</w:t>
            </w:r>
          </w:hyperlink>
        </w:p>
        <w:p>
          <w:pPr>
            <w:pStyle w:val="Contents2"/>
            <w:tabs>
              <w:tab w:val="clear" w:pos="8743"/>
              <w:tab w:val="right" w:pos="9026" w:leader="dot"/>
            </w:tabs>
            <w:rPr/>
          </w:pPr>
          <w:hyperlink w:anchor="__RefHeading___Toc2569044_3650668749">
            <w:r>
              <w:rPr>
                <w:webHidden/>
                <w:rStyle w:val="IndexLink"/>
                <w:rtl w:val="true"/>
              </w:rPr>
              <w:t>[</w:t>
            </w:r>
            <w:r>
              <w:rPr>
                <w:rStyle w:val="IndexLink"/>
                <w:rtl w:val="true"/>
              </w:rPr>
              <w:t>کتاب الودیعة</w:t>
            </w:r>
            <w:r>
              <w:rPr>
                <w:rStyle w:val="IndexLink"/>
                <w:rtl w:val="true"/>
              </w:rPr>
              <w:t>]</w:t>
              <w:tab/>
            </w:r>
            <w:r>
              <w:rPr>
                <w:rStyle w:val="IndexLink"/>
              </w:rPr>
              <w:t>503</w:t>
            </w:r>
          </w:hyperlink>
        </w:p>
        <w:p>
          <w:pPr>
            <w:pStyle w:val="Contents3"/>
            <w:tabs>
              <w:tab w:val="clear" w:pos="8459"/>
              <w:tab w:val="right" w:pos="9026" w:leader="dot"/>
            </w:tabs>
            <w:rPr/>
          </w:pPr>
          <w:hyperlink w:anchor="__RefHeading___Toc2569046_3650668749">
            <w:r>
              <w:rPr>
                <w:webHidden/>
                <w:rStyle w:val="IndexLink"/>
                <w:rtl w:val="true"/>
              </w:rPr>
              <w:t>اشارة</w:t>
            </w:r>
            <w:r>
              <w:rPr>
                <w:rStyle w:val="IndexLink"/>
                <w:rtl w:val="true"/>
              </w:rPr>
              <w:tab/>
            </w:r>
            <w:r>
              <w:rPr>
                <w:rStyle w:val="IndexLink"/>
              </w:rPr>
              <w:t>503</w:t>
            </w:r>
          </w:hyperlink>
        </w:p>
        <w:p>
          <w:pPr>
            <w:pStyle w:val="Contents3"/>
            <w:tabs>
              <w:tab w:val="clear" w:pos="8459"/>
              <w:tab w:val="right" w:pos="9026" w:leader="dot"/>
            </w:tabs>
            <w:rPr/>
          </w:pPr>
          <w:hyperlink w:anchor="__RefHeading___Toc2569048_3650668749">
            <w:r>
              <w:rPr>
                <w:webHidden/>
                <w:rStyle w:val="IndexLink"/>
                <w:rtl w:val="true"/>
              </w:rPr>
              <w:t>[</w:t>
            </w:r>
            <w:r>
              <w:rPr>
                <w:rStyle w:val="IndexLink"/>
                <w:rtl w:val="true"/>
              </w:rPr>
              <w:t>مسائل</w:t>
            </w:r>
            <w:r>
              <w:rPr>
                <w:rStyle w:val="IndexLink"/>
                <w:rtl w:val="true"/>
              </w:rPr>
              <w:t>]</w:t>
              <w:tab/>
            </w:r>
            <w:r>
              <w:rPr>
                <w:rStyle w:val="IndexLink"/>
              </w:rPr>
              <w:t>503</w:t>
            </w:r>
          </w:hyperlink>
        </w:p>
        <w:p>
          <w:pPr>
            <w:pStyle w:val="Contents4"/>
            <w:tabs>
              <w:tab w:val="clear" w:pos="8176"/>
              <w:tab w:val="right" w:pos="9026" w:leader="dot"/>
            </w:tabs>
            <w:rPr/>
          </w:pPr>
          <w:hyperlink w:anchor="__RefHeading___Toc2569050_3650668749">
            <w:r>
              <w:rPr>
                <w:webHidden/>
                <w:rStyle w:val="IndexLink"/>
                <w:rtl w:val="true"/>
              </w:rPr>
              <w:t>اشارة</w:t>
            </w:r>
            <w:r>
              <w:rPr>
                <w:rStyle w:val="IndexLink"/>
                <w:rtl w:val="true"/>
              </w:rPr>
              <w:tab/>
            </w:r>
            <w:r>
              <w:rPr>
                <w:rStyle w:val="IndexLink"/>
              </w:rPr>
              <w:t>503</w:t>
            </w:r>
          </w:hyperlink>
        </w:p>
        <w:p>
          <w:pPr>
            <w:pStyle w:val="Contents4"/>
            <w:tabs>
              <w:tab w:val="clear" w:pos="8176"/>
              <w:tab w:val="right" w:pos="9026" w:leader="dot"/>
            </w:tabs>
            <w:rPr/>
          </w:pPr>
          <w:hyperlink w:anchor="__RefHeading___Toc256905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لو طرح ثوباً مثلًا عند أحد</w:t>
            </w:r>
            <w:r>
              <w:rPr>
                <w:rStyle w:val="IndexLink"/>
                <w:rtl w:val="true"/>
              </w:rPr>
              <w:t>]</w:t>
              <w:tab/>
            </w:r>
            <w:r>
              <w:rPr>
                <w:rStyle w:val="IndexLink"/>
              </w:rPr>
              <w:t>503</w:t>
            </w:r>
          </w:hyperlink>
        </w:p>
        <w:p>
          <w:pPr>
            <w:pStyle w:val="Contents4"/>
            <w:tabs>
              <w:tab w:val="clear" w:pos="8176"/>
              <w:tab w:val="right" w:pos="9026" w:leader="dot"/>
            </w:tabs>
            <w:rPr/>
          </w:pPr>
          <w:hyperlink w:anchor="__RefHeading___Toc256905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إنّما یجوز قبول الودیعة لمن کان قادراً علیٰ حفظها</w:t>
            </w:r>
            <w:r>
              <w:rPr>
                <w:rStyle w:val="IndexLink"/>
                <w:rtl w:val="true"/>
              </w:rPr>
              <w:t>]</w:t>
              <w:tab/>
            </w:r>
            <w:r>
              <w:rPr>
                <w:rStyle w:val="IndexLink"/>
              </w:rPr>
              <w:t>503</w:t>
            </w:r>
          </w:hyperlink>
        </w:p>
        <w:p>
          <w:pPr>
            <w:pStyle w:val="Contents4"/>
            <w:tabs>
              <w:tab w:val="clear" w:pos="8176"/>
              <w:tab w:val="right" w:pos="9026" w:leader="dot"/>
            </w:tabs>
            <w:rPr/>
          </w:pPr>
          <w:hyperlink w:anchor="__RefHeading___Toc256905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الودیعة جائزة من الطرفین</w:t>
            </w:r>
            <w:r>
              <w:rPr>
                <w:rStyle w:val="IndexLink"/>
                <w:rtl w:val="true"/>
              </w:rPr>
              <w:t>]</w:t>
              <w:tab/>
            </w:r>
            <w:r>
              <w:rPr>
                <w:rStyle w:val="IndexLink"/>
              </w:rPr>
              <w:t>503</w:t>
            </w:r>
          </w:hyperlink>
        </w:p>
        <w:p>
          <w:pPr>
            <w:pStyle w:val="Contents4"/>
            <w:tabs>
              <w:tab w:val="clear" w:pos="8176"/>
              <w:tab w:val="right" w:pos="9026" w:leader="dot"/>
            </w:tabs>
            <w:rPr/>
          </w:pPr>
          <w:hyperlink w:anchor="__RefHeading___Toc256905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یعتبر فی کلّ من المستودع و المودع</w:t>
            </w:r>
            <w:r>
              <w:rPr>
                <w:rStyle w:val="IndexLink"/>
                <w:rtl w:val="true"/>
              </w:rPr>
              <w:t xml:space="preserve">: </w:t>
            </w:r>
            <w:r>
              <w:rPr>
                <w:rStyle w:val="IndexLink"/>
                <w:rtl w:val="true"/>
              </w:rPr>
              <w:t>البلوغ و العقل</w:t>
            </w:r>
            <w:r>
              <w:rPr>
                <w:rStyle w:val="IndexLink"/>
                <w:rtl w:val="true"/>
              </w:rPr>
              <w:t>]</w:t>
              <w:tab/>
            </w:r>
            <w:r>
              <w:rPr>
                <w:rStyle w:val="IndexLink"/>
              </w:rPr>
              <w:t>504</w:t>
            </w:r>
          </w:hyperlink>
        </w:p>
        <w:p>
          <w:pPr>
            <w:pStyle w:val="Contents4"/>
            <w:tabs>
              <w:tab w:val="clear" w:pos="8176"/>
              <w:tab w:val="right" w:pos="9026" w:leader="dot"/>
            </w:tabs>
            <w:rPr/>
          </w:pPr>
          <w:hyperlink w:anchor="__RefHeading___Toc256906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أرسل شخص کامل مالًا بواسطة الصبیّ أو المجنون إلیٰ شخص</w:t>
            </w:r>
            <w:r>
              <w:rPr>
                <w:rStyle w:val="IndexLink"/>
                <w:rtl w:val="true"/>
              </w:rPr>
              <w:t>]</w:t>
              <w:tab/>
            </w:r>
            <w:r>
              <w:rPr>
                <w:rStyle w:val="IndexLink"/>
              </w:rPr>
              <w:t>504</w:t>
            </w:r>
          </w:hyperlink>
        </w:p>
        <w:p>
          <w:pPr>
            <w:pStyle w:val="Contents4"/>
            <w:tabs>
              <w:tab w:val="clear" w:pos="8176"/>
              <w:tab w:val="right" w:pos="9026" w:leader="dot"/>
            </w:tabs>
            <w:rPr/>
          </w:pPr>
          <w:hyperlink w:anchor="__RefHeading___Toc256906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أودع عند الصبیّ و المجنون مالًا لم یضمناه بالتلف</w:t>
            </w:r>
            <w:r>
              <w:rPr>
                <w:rStyle w:val="IndexLink"/>
                <w:rtl w:val="true"/>
              </w:rPr>
              <w:t>]</w:t>
              <w:tab/>
            </w:r>
            <w:r>
              <w:rPr>
                <w:rStyle w:val="IndexLink"/>
              </w:rPr>
              <w:t>504</w:t>
            </w:r>
          </w:hyperlink>
        </w:p>
        <w:p>
          <w:pPr>
            <w:pStyle w:val="Contents4"/>
            <w:tabs>
              <w:tab w:val="clear" w:pos="8176"/>
              <w:tab w:val="right" w:pos="9026" w:leader="dot"/>
            </w:tabs>
            <w:rPr/>
          </w:pPr>
          <w:hyperlink w:anchor="__RefHeading___Toc256906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یجب علی المستودع حفظ الودیعة بما جرت العادة بحفظها به</w:t>
            </w:r>
            <w:r>
              <w:rPr>
                <w:rStyle w:val="IndexLink"/>
                <w:rtl w:val="true"/>
              </w:rPr>
              <w:t>]</w:t>
              <w:tab/>
            </w:r>
            <w:r>
              <w:rPr>
                <w:rStyle w:val="IndexLink"/>
              </w:rPr>
              <w:t>504</w:t>
            </w:r>
          </w:hyperlink>
        </w:p>
        <w:p>
          <w:pPr>
            <w:pStyle w:val="Contents4"/>
            <w:tabs>
              <w:tab w:val="clear" w:pos="8176"/>
              <w:tab w:val="right" w:pos="9026" w:leader="dot"/>
            </w:tabs>
            <w:rPr/>
          </w:pPr>
          <w:hyperlink w:anchor="__RefHeading___Toc256906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لو عیّن المودع موضعاً خاصّاً لحفظ الودیعة اقتصر علیه</w:t>
            </w:r>
            <w:r>
              <w:rPr>
                <w:rStyle w:val="IndexLink"/>
                <w:rtl w:val="true"/>
              </w:rPr>
              <w:t>]</w:t>
              <w:tab/>
            </w:r>
            <w:r>
              <w:rPr>
                <w:rStyle w:val="IndexLink"/>
              </w:rPr>
              <w:t>505</w:t>
            </w:r>
          </w:hyperlink>
        </w:p>
        <w:p>
          <w:pPr>
            <w:pStyle w:val="Contents4"/>
            <w:tabs>
              <w:tab w:val="clear" w:pos="8176"/>
              <w:tab w:val="right" w:pos="9026" w:leader="dot"/>
            </w:tabs>
            <w:rPr/>
          </w:pPr>
          <w:hyperlink w:anchor="__RefHeading___Toc256906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لو تلفت الودیعة فی ید المستودع من دون تعدٍّ منه و لا تفریط لم یضمنها</w:t>
            </w:r>
            <w:r>
              <w:rPr>
                <w:rStyle w:val="IndexLink"/>
                <w:rtl w:val="true"/>
              </w:rPr>
              <w:t>]</w:t>
              <w:tab/>
            </w:r>
            <w:r>
              <w:rPr>
                <w:rStyle w:val="IndexLink"/>
              </w:rPr>
              <w:t>505</w:t>
            </w:r>
          </w:hyperlink>
        </w:p>
        <w:p>
          <w:pPr>
            <w:pStyle w:val="Contents4"/>
            <w:tabs>
              <w:tab w:val="clear" w:pos="8176"/>
              <w:tab w:val="right" w:pos="9026" w:leader="dot"/>
            </w:tabs>
            <w:rPr/>
          </w:pPr>
          <w:hyperlink w:anchor="__RefHeading___Toc256907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لو تمکّن من دفع الظالم بالوسائل الموجبة لسلامة الودیعة وجب</w:t>
            </w:r>
            <w:r>
              <w:rPr>
                <w:rStyle w:val="IndexLink"/>
                <w:rtl w:val="true"/>
              </w:rPr>
              <w:t>]</w:t>
              <w:tab/>
            </w:r>
            <w:r>
              <w:rPr>
                <w:rStyle w:val="IndexLink"/>
              </w:rPr>
              <w:t>505</w:t>
            </w:r>
          </w:hyperlink>
        </w:p>
        <w:p>
          <w:pPr>
            <w:pStyle w:val="Contents4"/>
            <w:tabs>
              <w:tab w:val="clear" w:pos="8176"/>
              <w:tab w:val="right" w:pos="9026" w:leader="dot"/>
            </w:tabs>
            <w:rPr/>
          </w:pPr>
          <w:hyperlink w:anchor="__RefHeading___Toc256907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إذا کانت مدافعته عن الظالم مؤدّیة إلی الضرر علیٰ بدنه من جرح</w:t>
            </w:r>
            <w:r>
              <w:rPr>
                <w:rStyle w:val="IndexLink"/>
                <w:rtl w:val="true"/>
              </w:rPr>
              <w:t>]</w:t>
              <w:tab/>
            </w:r>
            <w:r>
              <w:rPr>
                <w:rStyle w:val="IndexLink"/>
              </w:rPr>
              <w:t>505</w:t>
            </w:r>
          </w:hyperlink>
        </w:p>
        <w:p>
          <w:pPr>
            <w:pStyle w:val="Contents4"/>
            <w:tabs>
              <w:tab w:val="clear" w:pos="8176"/>
              <w:tab w:val="right" w:pos="9026" w:leader="dot"/>
            </w:tabs>
            <w:rPr/>
          </w:pPr>
          <w:hyperlink w:anchor="__RefHeading___Toc256907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لو توقّف دفع الظالم عن الودیعة علیٰ بذل مال له أو لغیره</w:t>
            </w:r>
            <w:r>
              <w:rPr>
                <w:rStyle w:val="IndexLink"/>
                <w:rtl w:val="true"/>
              </w:rPr>
              <w:t>]</w:t>
              <w:tab/>
            </w:r>
            <w:r>
              <w:rPr>
                <w:rStyle w:val="IndexLink"/>
              </w:rPr>
              <w:t>505</w:t>
            </w:r>
          </w:hyperlink>
        </w:p>
        <w:p>
          <w:pPr>
            <w:pStyle w:val="Contents4"/>
            <w:tabs>
              <w:tab w:val="clear" w:pos="8176"/>
              <w:tab w:val="right" w:pos="9026" w:leader="dot"/>
            </w:tabs>
            <w:rPr/>
          </w:pPr>
          <w:hyperlink w:anchor="__RefHeading___Toc2569076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لو کانت الودیعة دابّة یجب علیه سقیها و علفها</w:t>
            </w:r>
            <w:r>
              <w:rPr>
                <w:rStyle w:val="IndexLink"/>
                <w:rtl w:val="true"/>
              </w:rPr>
              <w:t>]</w:t>
              <w:tab/>
            </w:r>
            <w:r>
              <w:rPr>
                <w:rStyle w:val="IndexLink"/>
              </w:rPr>
              <w:t>506</w:t>
            </w:r>
          </w:hyperlink>
        </w:p>
        <w:p>
          <w:pPr>
            <w:pStyle w:val="Contents4"/>
            <w:tabs>
              <w:tab w:val="clear" w:pos="8176"/>
              <w:tab w:val="right" w:pos="9026" w:leader="dot"/>
            </w:tabs>
            <w:rPr/>
          </w:pPr>
          <w:hyperlink w:anchor="__RefHeading___Toc2569078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تبطل الودیعة بموت کلّ واحد من المودع و المستودع أو جنونه</w:t>
            </w:r>
            <w:r>
              <w:rPr>
                <w:rStyle w:val="IndexLink"/>
                <w:rtl w:val="true"/>
              </w:rPr>
              <w:t>]</w:t>
              <w:tab/>
            </w:r>
            <w:r>
              <w:rPr>
                <w:rStyle w:val="IndexLink"/>
              </w:rPr>
              <w:t>506</w:t>
            </w:r>
          </w:hyperlink>
        </w:p>
        <w:p>
          <w:pPr>
            <w:pStyle w:val="Contents4"/>
            <w:tabs>
              <w:tab w:val="clear" w:pos="8176"/>
              <w:tab w:val="right" w:pos="9026" w:leader="dot"/>
            </w:tabs>
            <w:rPr/>
          </w:pPr>
          <w:hyperlink w:anchor="__RefHeading___Toc2569080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یجب ردّ الودیعة عند المطالبة فی أوّل وقت الإمکان و إن کان المودع کافراً محترم المال</w:t>
            </w:r>
            <w:r>
              <w:rPr>
                <w:rStyle w:val="IndexLink"/>
                <w:rtl w:val="true"/>
              </w:rPr>
              <w:t>]</w:t>
              <w:tab/>
            </w:r>
            <w:r>
              <w:rPr>
                <w:rStyle w:val="IndexLink"/>
              </w:rPr>
              <w:t>507</w:t>
            </w:r>
          </w:hyperlink>
        </w:p>
        <w:p>
          <w:pPr>
            <w:pStyle w:val="Contents4"/>
            <w:tabs>
              <w:tab w:val="clear" w:pos="8176"/>
              <w:tab w:val="right" w:pos="9026" w:leader="dot"/>
            </w:tabs>
            <w:rPr/>
          </w:pPr>
          <w:hyperlink w:anchor="__RefHeading___Toc2569082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لو أودع اللصّ ما سرقه عند أحد لا یجوز له ردّه علیه</w:t>
            </w:r>
            <w:r>
              <w:rPr>
                <w:rStyle w:val="IndexLink"/>
                <w:rtl w:val="true"/>
              </w:rPr>
              <w:t>]</w:t>
              <w:tab/>
            </w:r>
            <w:r>
              <w:rPr>
                <w:rStyle w:val="IndexLink"/>
              </w:rPr>
              <w:t>507</w:t>
            </w:r>
          </w:hyperlink>
        </w:p>
        <w:p>
          <w:pPr>
            <w:pStyle w:val="Contents4"/>
            <w:tabs>
              <w:tab w:val="clear" w:pos="8176"/>
              <w:tab w:val="right" w:pos="9026" w:leader="dot"/>
            </w:tabs>
            <w:rPr/>
          </w:pPr>
          <w:hyperlink w:anchor="__RefHeading___Toc2569084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و کما یجب ردّ الودیعة عند مطالبة المالک</w:t>
            </w:r>
            <w:r>
              <w:rPr>
                <w:rStyle w:val="IndexLink"/>
                <w:rtl w:val="true"/>
              </w:rPr>
              <w:t>]</w:t>
              <w:tab/>
            </w:r>
            <w:r>
              <w:rPr>
                <w:rStyle w:val="IndexLink"/>
              </w:rPr>
              <w:t>507</w:t>
            </w:r>
          </w:hyperlink>
        </w:p>
        <w:p>
          <w:pPr>
            <w:pStyle w:val="Contents4"/>
            <w:tabs>
              <w:tab w:val="clear" w:pos="8176"/>
              <w:tab w:val="right" w:pos="9026" w:leader="dot"/>
            </w:tabs>
            <w:rPr/>
          </w:pPr>
          <w:hyperlink w:anchor="__RefHeading___Toc2569086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إذا ظهر للمستودع أمارة الموت بسبب المرض المخوف أو غیره</w:t>
            </w:r>
            <w:r>
              <w:rPr>
                <w:rStyle w:val="IndexLink"/>
                <w:rtl w:val="true"/>
              </w:rPr>
              <w:t>]</w:t>
              <w:tab/>
            </w:r>
            <w:r>
              <w:rPr>
                <w:rStyle w:val="IndexLink"/>
              </w:rPr>
              <w:t>507</w:t>
            </w:r>
          </w:hyperlink>
        </w:p>
        <w:p>
          <w:pPr>
            <w:pStyle w:val="Contents4"/>
            <w:tabs>
              <w:tab w:val="clear" w:pos="8176"/>
              <w:tab w:val="right" w:pos="9026" w:leader="dot"/>
            </w:tabs>
            <w:rPr/>
          </w:pPr>
          <w:hyperlink w:anchor="__RefHeading___Toc2569088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یجوز للمستودع أن یسافر و یبقی الودیعة فی حرزها السابق عند أهله و عیاله</w:t>
            </w:r>
            <w:r>
              <w:rPr>
                <w:rStyle w:val="IndexLink"/>
                <w:rtl w:val="true"/>
              </w:rPr>
              <w:t>]</w:t>
              <w:tab/>
            </w:r>
            <w:r>
              <w:rPr>
                <w:rStyle w:val="IndexLink"/>
              </w:rPr>
              <w:t>508</w:t>
            </w:r>
          </w:hyperlink>
        </w:p>
        <w:p>
          <w:pPr>
            <w:pStyle w:val="Contents4"/>
            <w:tabs>
              <w:tab w:val="clear" w:pos="8176"/>
              <w:tab w:val="right" w:pos="9026" w:leader="dot"/>
            </w:tabs>
            <w:rPr/>
          </w:pPr>
          <w:hyperlink w:anchor="__RefHeading___Toc2569090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المستودع أمین لیس علیه ضمان لو تلفت الودیعة أو تعیّبت بیده</w:t>
            </w:r>
            <w:r>
              <w:rPr>
                <w:rStyle w:val="IndexLink"/>
                <w:rtl w:val="true"/>
              </w:rPr>
              <w:t>]</w:t>
              <w:tab/>
            </w:r>
            <w:r>
              <w:rPr>
                <w:rStyle w:val="IndexLink"/>
              </w:rPr>
              <w:t>508</w:t>
            </w:r>
          </w:hyperlink>
        </w:p>
        <w:p>
          <w:pPr>
            <w:pStyle w:val="Contents4"/>
            <w:tabs>
              <w:tab w:val="clear" w:pos="8176"/>
              <w:tab w:val="right" w:pos="9026" w:leader="dot"/>
            </w:tabs>
            <w:rPr/>
          </w:pPr>
          <w:hyperlink w:anchor="__RefHeading___Toc2569092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معنیٰ کونها مضمونة بالتفریط و التعدّی، کون ضمانها علیه لو تلفت</w:t>
            </w:r>
            <w:r>
              <w:rPr>
                <w:rStyle w:val="IndexLink"/>
                <w:rtl w:val="true"/>
              </w:rPr>
              <w:t>]</w:t>
              <w:tab/>
            </w:r>
            <w:r>
              <w:rPr>
                <w:rStyle w:val="IndexLink"/>
              </w:rPr>
              <w:t>509</w:t>
            </w:r>
          </w:hyperlink>
        </w:p>
        <w:p>
          <w:pPr>
            <w:pStyle w:val="Contents4"/>
            <w:tabs>
              <w:tab w:val="clear" w:pos="8176"/>
              <w:tab w:val="right" w:pos="9026" w:leader="dot"/>
            </w:tabs>
            <w:rPr/>
          </w:pPr>
          <w:hyperlink w:anchor="__RefHeading___Toc2569094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لو نوی التصرّف فی الودیعة و لم یتصرّف فیها، لم یضمن بمجرّد النیّة</w:t>
            </w:r>
            <w:r>
              <w:rPr>
                <w:rStyle w:val="IndexLink"/>
                <w:rtl w:val="true"/>
              </w:rPr>
              <w:t>]</w:t>
              <w:tab/>
            </w:r>
            <w:r>
              <w:rPr>
                <w:rStyle w:val="IndexLink"/>
              </w:rPr>
              <w:t>509</w:t>
            </w:r>
          </w:hyperlink>
        </w:p>
        <w:p>
          <w:pPr>
            <w:pStyle w:val="Contents4"/>
            <w:tabs>
              <w:tab w:val="clear" w:pos="8176"/>
              <w:tab w:val="right" w:pos="9026" w:leader="dot"/>
            </w:tabs>
            <w:rPr/>
          </w:pPr>
          <w:hyperlink w:anchor="__RefHeading___Toc2569096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لو کانت الودیعة فی کیس مختوم مثلًا ففتحها و أخذ بعضها ضمن الجمیع</w:t>
            </w:r>
            <w:r>
              <w:rPr>
                <w:rStyle w:val="IndexLink"/>
                <w:rtl w:val="true"/>
              </w:rPr>
              <w:t>]</w:t>
              <w:tab/>
            </w:r>
            <w:r>
              <w:rPr>
                <w:rStyle w:val="IndexLink"/>
              </w:rPr>
              <w:t>509</w:t>
            </w:r>
          </w:hyperlink>
        </w:p>
        <w:p>
          <w:pPr>
            <w:pStyle w:val="Contents4"/>
            <w:tabs>
              <w:tab w:val="clear" w:pos="8176"/>
              <w:tab w:val="right" w:pos="9026" w:leader="dot"/>
            </w:tabs>
            <w:rPr/>
          </w:pPr>
          <w:hyperlink w:anchor="__RefHeading___Toc2569098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لو سلّمها إلیٰ زوجته أو ولده أو خادمه لیحرزوها ضمن، إلّا أن یکونوا کالآلة</w:t>
            </w:r>
            <w:r>
              <w:rPr>
                <w:rStyle w:val="IndexLink"/>
                <w:rtl w:val="true"/>
              </w:rPr>
              <w:t>]</w:t>
              <w:tab/>
            </w:r>
            <w:r>
              <w:rPr>
                <w:rStyle w:val="IndexLink"/>
              </w:rPr>
              <w:t>510</w:t>
            </w:r>
          </w:hyperlink>
        </w:p>
        <w:p>
          <w:pPr>
            <w:pStyle w:val="Contents4"/>
            <w:tabs>
              <w:tab w:val="clear" w:pos="8176"/>
              <w:tab w:val="right" w:pos="9026" w:leader="dot"/>
            </w:tabs>
            <w:rPr/>
          </w:pPr>
          <w:hyperlink w:anchor="__RefHeading___Toc2569100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إذا فرّط فی الودیعة ثمّ رجع عن تفریطه؛ بأن جعلها فی الحرز المضبوط و قام بما یوجب حفظها</w:t>
            </w:r>
            <w:r>
              <w:rPr>
                <w:rStyle w:val="IndexLink"/>
                <w:rtl w:val="true"/>
              </w:rPr>
              <w:t>]</w:t>
              <w:tab/>
            </w:r>
            <w:r>
              <w:rPr>
                <w:rStyle w:val="IndexLink"/>
              </w:rPr>
              <w:t>510</w:t>
            </w:r>
          </w:hyperlink>
        </w:p>
        <w:p>
          <w:pPr>
            <w:pStyle w:val="Contents4"/>
            <w:tabs>
              <w:tab w:val="clear" w:pos="8176"/>
              <w:tab w:val="right" w:pos="9026" w:leader="dot"/>
            </w:tabs>
            <w:rPr/>
          </w:pPr>
          <w:hyperlink w:anchor="__RefHeading___Toc2569102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لو أنکر الودیعة، أو اعترف بها و ادّعی التلف أو الردّ و لا بیّنة، فالقول قوله بیمینه</w:t>
            </w:r>
            <w:r>
              <w:rPr>
                <w:rStyle w:val="IndexLink"/>
                <w:rtl w:val="true"/>
              </w:rPr>
              <w:t>]</w:t>
              <w:tab/>
            </w:r>
            <w:r>
              <w:rPr>
                <w:rStyle w:val="IndexLink"/>
              </w:rPr>
              <w:t>510</w:t>
            </w:r>
          </w:hyperlink>
        </w:p>
        <w:p>
          <w:pPr>
            <w:pStyle w:val="Contents4"/>
            <w:tabs>
              <w:tab w:val="clear" w:pos="8176"/>
              <w:tab w:val="right" w:pos="9026" w:leader="dot"/>
            </w:tabs>
            <w:rPr/>
          </w:pPr>
          <w:hyperlink w:anchor="__RefHeading___Toc2569104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لو دفعها إلیٰ غیر المالک و ادّعی الإذن من المالک فأنکر المالک و لا بیّنة</w:t>
            </w:r>
            <w:r>
              <w:rPr>
                <w:rStyle w:val="IndexLink"/>
                <w:rtl w:val="true"/>
              </w:rPr>
              <w:t>]</w:t>
              <w:tab/>
            </w:r>
            <w:r>
              <w:rPr>
                <w:rStyle w:val="IndexLink"/>
              </w:rPr>
              <w:t>510</w:t>
            </w:r>
          </w:hyperlink>
        </w:p>
        <w:p>
          <w:pPr>
            <w:pStyle w:val="Contents4"/>
            <w:tabs>
              <w:tab w:val="clear" w:pos="8176"/>
              <w:tab w:val="right" w:pos="9026" w:leader="dot"/>
            </w:tabs>
            <w:rPr/>
          </w:pPr>
          <w:hyperlink w:anchor="__RefHeading___Toc2569106_3650668749">
            <w:r>
              <w:rPr>
                <w:webHidden/>
                <w:rStyle w:val="IndexLink"/>
                <w:rtl w:val="true"/>
              </w:rPr>
              <w:t>[ (</w:t>
            </w:r>
            <w:r>
              <w:rPr>
                <w:rStyle w:val="IndexLink"/>
                <w:rtl w:val="true"/>
              </w:rPr>
              <w:t xml:space="preserve">مسألة </w:t>
            </w:r>
            <w:r>
              <w:rPr>
                <w:rStyle w:val="IndexLink"/>
              </w:rPr>
              <w:t>28</w:t>
            </w:r>
            <w:r>
              <w:rPr>
                <w:rStyle w:val="IndexLink"/>
                <w:rtl w:val="true"/>
              </w:rPr>
              <w:t xml:space="preserve">): </w:t>
            </w:r>
            <w:r>
              <w:rPr>
                <w:rStyle w:val="IndexLink"/>
                <w:rtl w:val="true"/>
              </w:rPr>
              <w:t>إذا أنکر الودیعة، فلمّا أقام المالک البیّنة علیها صدّقها لکن ادّعیٰ کونها تالفة</w:t>
            </w:r>
            <w:r>
              <w:rPr>
                <w:rStyle w:val="IndexLink"/>
                <w:rtl w:val="true"/>
              </w:rPr>
              <w:t>]</w:t>
              <w:tab/>
            </w:r>
            <w:r>
              <w:rPr>
                <w:rStyle w:val="IndexLink"/>
              </w:rPr>
              <w:t>510</w:t>
            </w:r>
          </w:hyperlink>
        </w:p>
        <w:p>
          <w:pPr>
            <w:pStyle w:val="Contents4"/>
            <w:tabs>
              <w:tab w:val="clear" w:pos="8176"/>
              <w:tab w:val="right" w:pos="9026" w:leader="dot"/>
            </w:tabs>
            <w:rPr/>
          </w:pPr>
          <w:hyperlink w:anchor="__RefHeading___Toc2569108_3650668749">
            <w:r>
              <w:rPr>
                <w:webHidden/>
                <w:rStyle w:val="IndexLink"/>
                <w:rtl w:val="true"/>
              </w:rPr>
              <w:t>[ (</w:t>
            </w:r>
            <w:r>
              <w:rPr>
                <w:rStyle w:val="IndexLink"/>
                <w:rtl w:val="true"/>
              </w:rPr>
              <w:t xml:space="preserve">مسألة </w:t>
            </w:r>
            <w:r>
              <w:rPr>
                <w:rStyle w:val="IndexLink"/>
              </w:rPr>
              <w:t>29</w:t>
            </w:r>
            <w:r>
              <w:rPr>
                <w:rStyle w:val="IndexLink"/>
                <w:rtl w:val="true"/>
              </w:rPr>
              <w:t xml:space="preserve">): </w:t>
            </w:r>
            <w:r>
              <w:rPr>
                <w:rStyle w:val="IndexLink"/>
                <w:rtl w:val="true"/>
              </w:rPr>
              <w:t>إذا أقرّ بالودیعة ثمّ مات، فإن عیّنها فی عین شخصیّة معیّنة موجودة حال موته أُخرجت من الترکة</w:t>
            </w:r>
            <w:r>
              <w:rPr>
                <w:rStyle w:val="IndexLink"/>
                <w:rtl w:val="true"/>
              </w:rPr>
              <w:t>]</w:t>
              <w:tab/>
            </w:r>
            <w:r>
              <w:rPr>
                <w:rStyle w:val="IndexLink"/>
              </w:rPr>
              <w:t>510</w:t>
            </w:r>
          </w:hyperlink>
        </w:p>
        <w:p>
          <w:pPr>
            <w:pStyle w:val="Contents3"/>
            <w:tabs>
              <w:tab w:val="clear" w:pos="8459"/>
              <w:tab w:val="right" w:pos="9026" w:leader="dot"/>
            </w:tabs>
            <w:rPr/>
          </w:pPr>
          <w:hyperlink w:anchor="__RefHeading___Toc2569110_3650668749">
            <w:r>
              <w:rPr>
                <w:webHidden/>
                <w:rStyle w:val="IndexLink"/>
                <w:rtl w:val="true"/>
              </w:rPr>
              <w:t>[</w:t>
            </w:r>
            <w:r>
              <w:rPr>
                <w:rStyle w:val="IndexLink"/>
                <w:rtl w:val="true"/>
              </w:rPr>
              <w:t>خاتمة الأمانة علیٰ قسمین</w:t>
            </w:r>
            <w:r>
              <w:rPr>
                <w:rStyle w:val="IndexLink"/>
                <w:rtl w:val="true"/>
              </w:rPr>
              <w:t xml:space="preserve">: </w:t>
            </w:r>
            <w:r>
              <w:rPr>
                <w:rStyle w:val="IndexLink"/>
                <w:rtl w:val="true"/>
              </w:rPr>
              <w:t>مالکیّة و شرعیّة</w:t>
            </w:r>
            <w:r>
              <w:rPr>
                <w:rStyle w:val="IndexLink"/>
                <w:rtl w:val="true"/>
              </w:rPr>
              <w:t>]</w:t>
              <w:tab/>
            </w:r>
            <w:r>
              <w:rPr>
                <w:rStyle w:val="IndexLink"/>
              </w:rPr>
              <w:t>511</w:t>
            </w:r>
          </w:hyperlink>
        </w:p>
        <w:p>
          <w:pPr>
            <w:pStyle w:val="Contents4"/>
            <w:tabs>
              <w:tab w:val="clear" w:pos="8176"/>
              <w:tab w:val="right" w:pos="9026" w:leader="dot"/>
            </w:tabs>
            <w:rPr/>
          </w:pPr>
          <w:hyperlink w:anchor="__RefHeading___Toc2569112_3650668749">
            <w:r>
              <w:rPr>
                <w:webHidden/>
                <w:rStyle w:val="IndexLink"/>
                <w:rtl w:val="true"/>
              </w:rPr>
              <w:t>اشارة</w:t>
            </w:r>
            <w:r>
              <w:rPr>
                <w:rStyle w:val="IndexLink"/>
                <w:rtl w:val="true"/>
              </w:rPr>
              <w:tab/>
            </w:r>
            <w:r>
              <w:rPr>
                <w:rStyle w:val="IndexLink"/>
              </w:rPr>
              <w:t>511</w:t>
            </w:r>
          </w:hyperlink>
        </w:p>
        <w:p>
          <w:pPr>
            <w:pStyle w:val="Contents4"/>
            <w:tabs>
              <w:tab w:val="clear" w:pos="8176"/>
              <w:tab w:val="right" w:pos="9026" w:leader="dot"/>
            </w:tabs>
            <w:rPr/>
          </w:pPr>
          <w:hyperlink w:anchor="__RefHeading___Toc2569114_3650668749">
            <w:r>
              <w:rPr>
                <w:webHidden/>
                <w:rStyle w:val="IndexLink"/>
                <w:rtl w:val="true"/>
              </w:rPr>
              <w:t>[</w:t>
            </w:r>
            <w:r>
              <w:rPr>
                <w:rStyle w:val="IndexLink"/>
                <w:rtl w:val="true"/>
              </w:rPr>
              <w:t>أمّا الأوّل</w:t>
            </w:r>
            <w:r>
              <w:rPr>
                <w:rStyle w:val="IndexLink"/>
                <w:rtl w:val="true"/>
              </w:rPr>
              <w:t xml:space="preserve">: </w:t>
            </w:r>
            <w:r>
              <w:rPr>
                <w:rStyle w:val="IndexLink"/>
                <w:rtl w:val="true"/>
              </w:rPr>
              <w:t>فهو ما کان باستئمان من المالک و إذنه</w:t>
            </w:r>
            <w:r>
              <w:rPr>
                <w:rStyle w:val="IndexLink"/>
                <w:rtl w:val="true"/>
              </w:rPr>
              <w:t>]</w:t>
              <w:tab/>
            </w:r>
            <w:r>
              <w:rPr>
                <w:rStyle w:val="IndexLink"/>
              </w:rPr>
              <w:t>511</w:t>
            </w:r>
          </w:hyperlink>
        </w:p>
        <w:p>
          <w:pPr>
            <w:pStyle w:val="Contents4"/>
            <w:tabs>
              <w:tab w:val="clear" w:pos="8176"/>
              <w:tab w:val="right" w:pos="9026" w:leader="dot"/>
            </w:tabs>
            <w:rPr/>
          </w:pPr>
          <w:hyperlink w:anchor="__RefHeading___Toc2569116_3650668749">
            <w:r>
              <w:rPr>
                <w:webHidden/>
                <w:rStyle w:val="IndexLink"/>
                <w:rtl w:val="true"/>
              </w:rPr>
              <w:t>[</w:t>
            </w:r>
            <w:r>
              <w:rPr>
                <w:rStyle w:val="IndexLink"/>
                <w:rtl w:val="true"/>
              </w:rPr>
              <w:t>و أمّا الثانی</w:t>
            </w:r>
            <w:r>
              <w:rPr>
                <w:rStyle w:val="IndexLink"/>
                <w:rtl w:val="true"/>
              </w:rPr>
              <w:t xml:space="preserve">: </w:t>
            </w:r>
            <w:r>
              <w:rPr>
                <w:rStyle w:val="IndexLink"/>
                <w:rtl w:val="true"/>
              </w:rPr>
              <w:t>فهو ما لم یکن الاستیلاء علی العین</w:t>
            </w:r>
            <w:r>
              <w:rPr>
                <w:rStyle w:val="IndexLink"/>
                <w:rtl w:val="true"/>
              </w:rPr>
              <w:t>]</w:t>
              <w:tab/>
            </w:r>
            <w:r>
              <w:rPr>
                <w:rStyle w:val="IndexLink"/>
              </w:rPr>
              <w:t>511</w:t>
            </w:r>
          </w:hyperlink>
        </w:p>
        <w:p>
          <w:pPr>
            <w:pStyle w:val="Contents2"/>
            <w:tabs>
              <w:tab w:val="clear" w:pos="8743"/>
              <w:tab w:val="right" w:pos="9026" w:leader="dot"/>
            </w:tabs>
            <w:rPr/>
          </w:pPr>
          <w:hyperlink w:anchor="__RefHeading___Toc2569118_3650668749">
            <w:r>
              <w:rPr>
                <w:webHidden/>
                <w:rStyle w:val="IndexLink"/>
                <w:rtl w:val="true"/>
              </w:rPr>
              <w:t>[</w:t>
            </w:r>
            <w:r>
              <w:rPr>
                <w:rStyle w:val="IndexLink"/>
                <w:rtl w:val="true"/>
              </w:rPr>
              <w:t>کتاب المضاربة</w:t>
            </w:r>
            <w:r>
              <w:rPr>
                <w:rStyle w:val="IndexLink"/>
                <w:rtl w:val="true"/>
              </w:rPr>
              <w:t>]</w:t>
              <w:tab/>
            </w:r>
            <w:r>
              <w:rPr>
                <w:rStyle w:val="IndexLink"/>
              </w:rPr>
              <w:t>513</w:t>
            </w:r>
          </w:hyperlink>
        </w:p>
        <w:p>
          <w:pPr>
            <w:pStyle w:val="Contents3"/>
            <w:tabs>
              <w:tab w:val="clear" w:pos="8459"/>
              <w:tab w:val="right" w:pos="9026" w:leader="dot"/>
            </w:tabs>
            <w:rPr/>
          </w:pPr>
          <w:hyperlink w:anchor="__RefHeading___Toc2569120_3650668749">
            <w:r>
              <w:rPr>
                <w:webHidden/>
                <w:rStyle w:val="IndexLink"/>
                <w:rtl w:val="true"/>
              </w:rPr>
              <w:t>اشارة</w:t>
            </w:r>
            <w:r>
              <w:rPr>
                <w:rStyle w:val="IndexLink"/>
                <w:rtl w:val="true"/>
              </w:rPr>
              <w:tab/>
            </w:r>
            <w:r>
              <w:rPr>
                <w:rStyle w:val="IndexLink"/>
              </w:rPr>
              <w:t>513</w:t>
            </w:r>
          </w:hyperlink>
        </w:p>
        <w:p>
          <w:pPr>
            <w:pStyle w:val="Contents3"/>
            <w:tabs>
              <w:tab w:val="clear" w:pos="8459"/>
              <w:tab w:val="right" w:pos="9026" w:leader="dot"/>
            </w:tabs>
            <w:rPr/>
          </w:pPr>
          <w:hyperlink w:anchor="__RefHeading___Toc256912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یشترط فی المتعاقدین</w:t>
            </w:r>
            <w:r>
              <w:rPr>
                <w:rStyle w:val="IndexLink"/>
                <w:rtl w:val="true"/>
              </w:rPr>
              <w:t xml:space="preserve">: </w:t>
            </w:r>
            <w:r>
              <w:rPr>
                <w:rStyle w:val="IndexLink"/>
                <w:rtl w:val="true"/>
              </w:rPr>
              <w:t>البلوغ و العقل و الاختیار</w:t>
            </w:r>
            <w:r>
              <w:rPr>
                <w:rStyle w:val="IndexLink"/>
                <w:rtl w:val="true"/>
              </w:rPr>
              <w:t>]</w:t>
              <w:tab/>
            </w:r>
            <w:r>
              <w:rPr>
                <w:rStyle w:val="IndexLink"/>
              </w:rPr>
              <w:t>513</w:t>
            </w:r>
          </w:hyperlink>
        </w:p>
        <w:p>
          <w:pPr>
            <w:pStyle w:val="Contents3"/>
            <w:tabs>
              <w:tab w:val="clear" w:pos="8459"/>
              <w:tab w:val="right" w:pos="9026" w:leader="dot"/>
            </w:tabs>
            <w:rPr/>
          </w:pPr>
          <w:hyperlink w:anchor="__RefHeading___Toc256912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یشترط فی المضاربة أن یکون الاسترباح بالتجارة</w:t>
            </w:r>
            <w:r>
              <w:rPr>
                <w:rStyle w:val="IndexLink"/>
                <w:rtl w:val="true"/>
              </w:rPr>
              <w:t>]</w:t>
              <w:tab/>
            </w:r>
            <w:r>
              <w:rPr>
                <w:rStyle w:val="IndexLink"/>
              </w:rPr>
              <w:t>514</w:t>
            </w:r>
          </w:hyperlink>
        </w:p>
        <w:p>
          <w:pPr>
            <w:pStyle w:val="Contents3"/>
            <w:tabs>
              <w:tab w:val="clear" w:pos="8459"/>
              <w:tab w:val="right" w:pos="9026" w:leader="dot"/>
            </w:tabs>
            <w:rPr/>
          </w:pPr>
          <w:hyperlink w:anchor="__RefHeading___Toc256912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الدراهم المغشوشة إن کانت رائجة مع وصف کونها مغشوشة</w:t>
            </w:r>
            <w:r>
              <w:rPr>
                <w:rStyle w:val="IndexLink"/>
                <w:rtl w:val="true"/>
              </w:rPr>
              <w:t>]</w:t>
              <w:tab/>
            </w:r>
            <w:r>
              <w:rPr>
                <w:rStyle w:val="IndexLink"/>
              </w:rPr>
              <w:t>514</w:t>
            </w:r>
          </w:hyperlink>
        </w:p>
        <w:p>
          <w:pPr>
            <w:pStyle w:val="Contents3"/>
            <w:tabs>
              <w:tab w:val="clear" w:pos="8459"/>
              <w:tab w:val="right" w:pos="9026" w:leader="dot"/>
            </w:tabs>
            <w:rPr/>
          </w:pPr>
          <w:hyperlink w:anchor="__RefHeading___Toc256912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کان له دین علیٰ أحد یجوز أن یوکّل أحداً فی استیفائه</w:t>
            </w:r>
            <w:r>
              <w:rPr>
                <w:rStyle w:val="IndexLink"/>
                <w:rtl w:val="true"/>
              </w:rPr>
              <w:t>]</w:t>
              <w:tab/>
            </w:r>
            <w:r>
              <w:rPr>
                <w:rStyle w:val="IndexLink"/>
              </w:rPr>
              <w:t>514</w:t>
            </w:r>
          </w:hyperlink>
        </w:p>
        <w:p>
          <w:pPr>
            <w:pStyle w:val="Contents3"/>
            <w:tabs>
              <w:tab w:val="clear" w:pos="8459"/>
              <w:tab w:val="right" w:pos="9026" w:leader="dot"/>
            </w:tabs>
            <w:rPr/>
          </w:pPr>
          <w:hyperlink w:anchor="__RefHeading___Toc256913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دفع إلیه عروضاً و قال</w:t>
            </w:r>
            <w:r>
              <w:rPr>
                <w:rStyle w:val="IndexLink"/>
                <w:rtl w:val="true"/>
              </w:rPr>
              <w:t xml:space="preserve">: </w:t>
            </w:r>
            <w:r>
              <w:rPr>
                <w:rStyle w:val="IndexLink"/>
                <w:rtl w:val="true"/>
              </w:rPr>
              <w:t>بعها و یکون ثمنها مضاربة، لم یصحّ</w:t>
            </w:r>
            <w:r>
              <w:rPr>
                <w:rStyle w:val="IndexLink"/>
                <w:rtl w:val="true"/>
              </w:rPr>
              <w:t>]</w:t>
              <w:tab/>
            </w:r>
            <w:r>
              <w:rPr>
                <w:rStyle w:val="IndexLink"/>
              </w:rPr>
              <w:t>514</w:t>
            </w:r>
          </w:hyperlink>
        </w:p>
        <w:p>
          <w:pPr>
            <w:pStyle w:val="Contents3"/>
            <w:tabs>
              <w:tab w:val="clear" w:pos="8459"/>
              <w:tab w:val="right" w:pos="9026" w:leader="dot"/>
            </w:tabs>
            <w:rPr/>
          </w:pPr>
          <w:hyperlink w:anchor="__RefHeading___Toc256913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دفع إلیه شبکة مثلًا علیٰ أن یکون ما وقع فیها من السمک بینهما بالتنصیف أو التثلیث</w:t>
            </w:r>
            <w:r>
              <w:rPr>
                <w:rStyle w:val="IndexLink"/>
                <w:rtl w:val="true"/>
              </w:rPr>
              <w:t>]</w:t>
              <w:tab/>
            </w:r>
            <w:r>
              <w:rPr>
                <w:rStyle w:val="IndexLink"/>
              </w:rPr>
              <w:t>514</w:t>
            </w:r>
          </w:hyperlink>
        </w:p>
        <w:p>
          <w:pPr>
            <w:pStyle w:val="Contents3"/>
            <w:tabs>
              <w:tab w:val="clear" w:pos="8459"/>
              <w:tab w:val="right" w:pos="9026" w:leader="dot"/>
            </w:tabs>
            <w:rPr/>
          </w:pPr>
          <w:hyperlink w:anchor="__RefHeading___Toc256913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دفع إلیه مالًا لیشتری نخیلًا أو أغناماً علیٰ أن تکون الثمرة و النتاج بینهما</w:t>
            </w:r>
            <w:r>
              <w:rPr>
                <w:rStyle w:val="IndexLink"/>
                <w:rtl w:val="true"/>
              </w:rPr>
              <w:t>]</w:t>
              <w:tab/>
            </w:r>
            <w:r>
              <w:rPr>
                <w:rStyle w:val="IndexLink"/>
              </w:rPr>
              <w:t>514</w:t>
            </w:r>
          </w:hyperlink>
        </w:p>
        <w:p>
          <w:pPr>
            <w:pStyle w:val="Contents3"/>
            <w:tabs>
              <w:tab w:val="clear" w:pos="8459"/>
              <w:tab w:val="right" w:pos="9026" w:leader="dot"/>
            </w:tabs>
            <w:rPr/>
          </w:pPr>
          <w:hyperlink w:anchor="__RefHeading___Toc256913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یصحّ المضاربة علی المشاع کالمفروز</w:t>
            </w:r>
            <w:r>
              <w:rPr>
                <w:rStyle w:val="IndexLink"/>
                <w:rtl w:val="true"/>
              </w:rPr>
              <w:t>]</w:t>
              <w:tab/>
            </w:r>
            <w:r>
              <w:rPr>
                <w:rStyle w:val="IndexLink"/>
              </w:rPr>
              <w:t>514</w:t>
            </w:r>
          </w:hyperlink>
        </w:p>
        <w:p>
          <w:pPr>
            <w:pStyle w:val="Contents3"/>
            <w:tabs>
              <w:tab w:val="clear" w:pos="8459"/>
              <w:tab w:val="right" w:pos="9026" w:leader="dot"/>
            </w:tabs>
            <w:rPr/>
          </w:pPr>
          <w:hyperlink w:anchor="__RefHeading___Toc256913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لا فرق بین أن یقول</w:t>
            </w:r>
            <w:r>
              <w:rPr>
                <w:rStyle w:val="IndexLink"/>
                <w:rtl w:val="true"/>
              </w:rPr>
              <w:t xml:space="preserve">: </w:t>
            </w:r>
            <w:r>
              <w:rPr>
                <w:rStyle w:val="IndexLink"/>
                <w:rtl w:val="true"/>
              </w:rPr>
              <w:t>خذ هذا المال قرضاً و لکلّ منّا نصف الربح</w:t>
            </w:r>
            <w:r>
              <w:rPr>
                <w:rStyle w:val="IndexLink"/>
                <w:rtl w:val="true"/>
              </w:rPr>
              <w:t>]</w:t>
              <w:tab/>
            </w:r>
            <w:r>
              <w:rPr>
                <w:rStyle w:val="IndexLink"/>
              </w:rPr>
              <w:t>515</w:t>
            </w:r>
          </w:hyperlink>
        </w:p>
        <w:p>
          <w:pPr>
            <w:pStyle w:val="Contents3"/>
            <w:tabs>
              <w:tab w:val="clear" w:pos="8459"/>
              <w:tab w:val="right" w:pos="9026" w:leader="dot"/>
            </w:tabs>
            <w:rPr/>
          </w:pPr>
          <w:hyperlink w:anchor="__RefHeading___Toc256914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یجوز اتّحاد المالک و تعدّد العامل فی مال واحد</w:t>
            </w:r>
            <w:r>
              <w:rPr>
                <w:rStyle w:val="IndexLink"/>
                <w:rtl w:val="true"/>
              </w:rPr>
              <w:t>]</w:t>
              <w:tab/>
            </w:r>
            <w:r>
              <w:rPr>
                <w:rStyle w:val="IndexLink"/>
              </w:rPr>
              <w:t>515</w:t>
            </w:r>
          </w:hyperlink>
        </w:p>
        <w:p>
          <w:pPr>
            <w:pStyle w:val="Contents3"/>
            <w:tabs>
              <w:tab w:val="clear" w:pos="8459"/>
              <w:tab w:val="right" w:pos="9026" w:leader="dot"/>
            </w:tabs>
            <w:rPr/>
          </w:pPr>
          <w:hyperlink w:anchor="__RefHeading___Toc256914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المضاربة جائزة من الطرفین</w:t>
            </w:r>
            <w:r>
              <w:rPr>
                <w:rStyle w:val="IndexLink"/>
                <w:rtl w:val="true"/>
              </w:rPr>
              <w:t>]</w:t>
              <w:tab/>
            </w:r>
            <w:r>
              <w:rPr>
                <w:rStyle w:val="IndexLink"/>
              </w:rPr>
              <w:t>515</w:t>
            </w:r>
          </w:hyperlink>
        </w:p>
        <w:p>
          <w:pPr>
            <w:pStyle w:val="Contents3"/>
            <w:tabs>
              <w:tab w:val="clear" w:pos="8459"/>
              <w:tab w:val="right" w:pos="9026" w:leader="dot"/>
            </w:tabs>
            <w:rPr/>
          </w:pPr>
          <w:hyperlink w:anchor="__RefHeading___Toc256914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الظاهر جریان المعاطاة و الفضولیّة فی المضاربة فتصحّ بالمعاطاة</w:t>
            </w:r>
            <w:r>
              <w:rPr>
                <w:rStyle w:val="IndexLink"/>
                <w:rtl w:val="true"/>
              </w:rPr>
              <w:t>]</w:t>
              <w:tab/>
            </w:r>
            <w:r>
              <w:rPr>
                <w:rStyle w:val="IndexLink"/>
              </w:rPr>
              <w:t>516</w:t>
            </w:r>
          </w:hyperlink>
        </w:p>
        <w:p>
          <w:pPr>
            <w:pStyle w:val="Contents3"/>
            <w:tabs>
              <w:tab w:val="clear" w:pos="8459"/>
              <w:tab w:val="right" w:pos="9026" w:leader="dot"/>
            </w:tabs>
            <w:rPr/>
          </w:pPr>
          <w:hyperlink w:anchor="__RefHeading___Toc2569146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تبطل المضاربة بموت کلّ من المالک و العامل</w:t>
            </w:r>
            <w:r>
              <w:rPr>
                <w:rStyle w:val="IndexLink"/>
                <w:rtl w:val="true"/>
              </w:rPr>
              <w:t>]</w:t>
              <w:tab/>
            </w:r>
            <w:r>
              <w:rPr>
                <w:rStyle w:val="IndexLink"/>
              </w:rPr>
              <w:t>516</w:t>
            </w:r>
          </w:hyperlink>
        </w:p>
        <w:p>
          <w:pPr>
            <w:pStyle w:val="Contents3"/>
            <w:tabs>
              <w:tab w:val="clear" w:pos="8459"/>
              <w:tab w:val="right" w:pos="9026" w:leader="dot"/>
            </w:tabs>
            <w:rPr/>
          </w:pPr>
          <w:hyperlink w:anchor="__RefHeading___Toc2569148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العامل أمین فلا ضمان علیه لو تلف المال أو تعیّب تحت یده إلّا مع التعدّی أو التفریط</w:t>
            </w:r>
            <w:r>
              <w:rPr>
                <w:rStyle w:val="IndexLink"/>
                <w:rtl w:val="true"/>
              </w:rPr>
              <w:t>]</w:t>
              <w:tab/>
            </w:r>
            <w:r>
              <w:rPr>
                <w:rStyle w:val="IndexLink"/>
              </w:rPr>
              <w:t>516</w:t>
            </w:r>
          </w:hyperlink>
        </w:p>
        <w:p>
          <w:pPr>
            <w:pStyle w:val="Contents3"/>
            <w:tabs>
              <w:tab w:val="clear" w:pos="8459"/>
              <w:tab w:val="right" w:pos="9026" w:leader="dot"/>
            </w:tabs>
            <w:rPr/>
          </w:pPr>
          <w:hyperlink w:anchor="__RefHeading___Toc2569150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یجب علی العامل بعد عقد المضاربة القیام بوظیفته</w:t>
            </w:r>
            <w:r>
              <w:rPr>
                <w:rStyle w:val="IndexLink"/>
                <w:rtl w:val="true"/>
              </w:rPr>
              <w:t>]</w:t>
              <w:tab/>
            </w:r>
            <w:r>
              <w:rPr>
                <w:rStyle w:val="IndexLink"/>
              </w:rPr>
              <w:t>516</w:t>
            </w:r>
          </w:hyperlink>
        </w:p>
        <w:p>
          <w:pPr>
            <w:pStyle w:val="Contents3"/>
            <w:tabs>
              <w:tab w:val="clear" w:pos="8459"/>
              <w:tab w:val="right" w:pos="9026" w:leader="dot"/>
            </w:tabs>
            <w:rPr/>
          </w:pPr>
          <w:hyperlink w:anchor="__RefHeading___Toc2569152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مع إطلاق عقد المضاربة یجوز للعامل الاتّجار بالمال علیٰ حسب ما یراه من المصلحة</w:t>
            </w:r>
            <w:r>
              <w:rPr>
                <w:rStyle w:val="IndexLink"/>
                <w:rtl w:val="true"/>
              </w:rPr>
              <w:t>]</w:t>
              <w:tab/>
            </w:r>
            <w:r>
              <w:rPr>
                <w:rStyle w:val="IndexLink"/>
              </w:rPr>
              <w:t>516</w:t>
            </w:r>
          </w:hyperlink>
        </w:p>
        <w:p>
          <w:pPr>
            <w:pStyle w:val="Contents3"/>
            <w:tabs>
              <w:tab w:val="clear" w:pos="8459"/>
              <w:tab w:val="right" w:pos="9026" w:leader="dot"/>
            </w:tabs>
            <w:rPr/>
          </w:pPr>
          <w:hyperlink w:anchor="__RefHeading___Toc2569154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لا یجوز للعامل خلط رأس المال بمال آخر لنفسه أو لغیره إلّا بإذن المالک</w:t>
            </w:r>
            <w:r>
              <w:rPr>
                <w:rStyle w:val="IndexLink"/>
                <w:rtl w:val="true"/>
              </w:rPr>
              <w:t>]</w:t>
              <w:tab/>
            </w:r>
            <w:r>
              <w:rPr>
                <w:rStyle w:val="IndexLink"/>
              </w:rPr>
              <w:t>517</w:t>
            </w:r>
          </w:hyperlink>
        </w:p>
        <w:p>
          <w:pPr>
            <w:pStyle w:val="Contents3"/>
            <w:tabs>
              <w:tab w:val="clear" w:pos="8459"/>
              <w:tab w:val="right" w:pos="9026" w:leader="dot"/>
            </w:tabs>
            <w:rPr/>
          </w:pPr>
          <w:hyperlink w:anchor="__RefHeading___Toc2569156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لا یجوز مع الإطلاق أن یبیع نسیئة</w:t>
            </w:r>
            <w:r>
              <w:rPr>
                <w:rStyle w:val="IndexLink"/>
                <w:rtl w:val="true"/>
              </w:rPr>
              <w:t>]</w:t>
              <w:tab/>
            </w:r>
            <w:r>
              <w:rPr>
                <w:rStyle w:val="IndexLink"/>
              </w:rPr>
              <w:t>517</w:t>
            </w:r>
          </w:hyperlink>
        </w:p>
        <w:p>
          <w:pPr>
            <w:pStyle w:val="Contents3"/>
            <w:tabs>
              <w:tab w:val="clear" w:pos="8459"/>
              <w:tab w:val="right" w:pos="9026" w:leader="dot"/>
            </w:tabs>
            <w:rPr/>
          </w:pPr>
          <w:hyperlink w:anchor="__RefHeading___Toc2569158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لیس للعامل أن یسافر بالمال برّاً و بحراً و الاتّجار به فی بلاد أُخر</w:t>
            </w:r>
            <w:r>
              <w:rPr>
                <w:rStyle w:val="IndexLink"/>
                <w:rtl w:val="true"/>
              </w:rPr>
              <w:t>]</w:t>
              <w:tab/>
            </w:r>
            <w:r>
              <w:rPr>
                <w:rStyle w:val="IndexLink"/>
              </w:rPr>
              <w:t>517</w:t>
            </w:r>
          </w:hyperlink>
        </w:p>
        <w:p>
          <w:pPr>
            <w:pStyle w:val="Contents3"/>
            <w:tabs>
              <w:tab w:val="clear" w:pos="8459"/>
              <w:tab w:val="right" w:pos="9026" w:leader="dot"/>
            </w:tabs>
            <w:rPr/>
          </w:pPr>
          <w:hyperlink w:anchor="__RefHeading___Toc2569160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لیس للعامل أن ینفق فی الحضر من مال القراض شیئاً و إن قلّ</w:t>
            </w:r>
            <w:r>
              <w:rPr>
                <w:rStyle w:val="IndexLink"/>
                <w:rtl w:val="true"/>
              </w:rPr>
              <w:t>]</w:t>
              <w:tab/>
            </w:r>
            <w:r>
              <w:rPr>
                <w:rStyle w:val="IndexLink"/>
              </w:rPr>
              <w:t>517</w:t>
            </w:r>
          </w:hyperlink>
        </w:p>
        <w:p>
          <w:pPr>
            <w:pStyle w:val="Contents3"/>
            <w:tabs>
              <w:tab w:val="clear" w:pos="8459"/>
              <w:tab w:val="right" w:pos="9026" w:leader="dot"/>
            </w:tabs>
            <w:rPr/>
          </w:pPr>
          <w:hyperlink w:anchor="__RefHeading___Toc2569162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المراد بالسفر المجوّز للإنفاق من المال هو العرفی لا الشرعی</w:t>
            </w:r>
            <w:r>
              <w:rPr>
                <w:rStyle w:val="IndexLink"/>
                <w:rtl w:val="true"/>
              </w:rPr>
              <w:t>]</w:t>
              <w:tab/>
            </w:r>
            <w:r>
              <w:rPr>
                <w:rStyle w:val="IndexLink"/>
              </w:rPr>
              <w:t>517</w:t>
            </w:r>
          </w:hyperlink>
        </w:p>
        <w:p>
          <w:pPr>
            <w:pStyle w:val="Contents3"/>
            <w:tabs>
              <w:tab w:val="clear" w:pos="8459"/>
              <w:tab w:val="right" w:pos="9026" w:leader="dot"/>
            </w:tabs>
            <w:rPr/>
          </w:pPr>
          <w:hyperlink w:anchor="__RefHeading___Toc2569164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لو کان عاملًا لاثنین أو أزید، أو عاملًا لنفسه و غیره توزّع النفقة</w:t>
            </w:r>
            <w:r>
              <w:rPr>
                <w:rStyle w:val="IndexLink"/>
                <w:rtl w:val="true"/>
              </w:rPr>
              <w:t>]</w:t>
              <w:tab/>
            </w:r>
            <w:r>
              <w:rPr>
                <w:rStyle w:val="IndexLink"/>
              </w:rPr>
              <w:t>518</w:t>
            </w:r>
          </w:hyperlink>
        </w:p>
        <w:p>
          <w:pPr>
            <w:pStyle w:val="Contents3"/>
            <w:tabs>
              <w:tab w:val="clear" w:pos="8459"/>
              <w:tab w:val="right" w:pos="9026" w:leader="dot"/>
            </w:tabs>
            <w:rPr/>
          </w:pPr>
          <w:hyperlink w:anchor="__RefHeading___Toc2569166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لا یعتبر ظهور الربح فی استحقاق النفقة، بل ینفق من أصل المال و إن لم یکن ربح</w:t>
            </w:r>
            <w:r>
              <w:rPr>
                <w:rStyle w:val="IndexLink"/>
                <w:rtl w:val="true"/>
              </w:rPr>
              <w:t>]</w:t>
              <w:tab/>
            </w:r>
            <w:r>
              <w:rPr>
                <w:rStyle w:val="IndexLink"/>
              </w:rPr>
              <w:t>518</w:t>
            </w:r>
          </w:hyperlink>
        </w:p>
        <w:p>
          <w:pPr>
            <w:pStyle w:val="Contents3"/>
            <w:tabs>
              <w:tab w:val="clear" w:pos="8459"/>
              <w:tab w:val="right" w:pos="9026" w:leader="dot"/>
            </w:tabs>
            <w:rPr/>
          </w:pPr>
          <w:hyperlink w:anchor="__RefHeading___Toc2569168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الظاهر أنّه کما یجوز للعامل الشراء بعین مال المضاربة بأن یعیّن دراهم شخصیّة</w:t>
            </w:r>
            <w:r>
              <w:rPr>
                <w:rStyle w:val="IndexLink"/>
                <w:rtl w:val="true"/>
              </w:rPr>
              <w:t>]</w:t>
              <w:tab/>
            </w:r>
            <w:r>
              <w:rPr>
                <w:rStyle w:val="IndexLink"/>
              </w:rPr>
              <w:t>518</w:t>
            </w:r>
          </w:hyperlink>
        </w:p>
        <w:p>
          <w:pPr>
            <w:pStyle w:val="Contents3"/>
            <w:tabs>
              <w:tab w:val="clear" w:pos="8459"/>
              <w:tab w:val="right" w:pos="9026" w:leader="dot"/>
            </w:tabs>
            <w:rPr/>
          </w:pPr>
          <w:hyperlink w:anchor="__RefHeading___Toc2569170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لا یجوز للعامل أن یوکّل وکیلًا فی الاتّجار</w:t>
            </w:r>
            <w:r>
              <w:rPr>
                <w:rStyle w:val="IndexLink"/>
                <w:rtl w:val="true"/>
              </w:rPr>
              <w:t>]</w:t>
              <w:tab/>
            </w:r>
            <w:r>
              <w:rPr>
                <w:rStyle w:val="IndexLink"/>
              </w:rPr>
              <w:t>519</w:t>
            </w:r>
          </w:hyperlink>
        </w:p>
        <w:p>
          <w:pPr>
            <w:pStyle w:val="Contents3"/>
            <w:tabs>
              <w:tab w:val="clear" w:pos="8459"/>
              <w:tab w:val="right" w:pos="9026" w:leader="dot"/>
            </w:tabs>
            <w:rPr/>
          </w:pPr>
          <w:hyperlink w:anchor="__RefHeading___Toc2569172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الظاهر أنّه یصحّ أن یشترط أحدهما علی الآخر فی ضمن عقد المضاربة مالًا أو عملًا</w:t>
            </w:r>
            <w:r>
              <w:rPr>
                <w:rStyle w:val="IndexLink"/>
                <w:rtl w:val="true"/>
              </w:rPr>
              <w:t>]</w:t>
              <w:tab/>
            </w:r>
            <w:r>
              <w:rPr>
                <w:rStyle w:val="IndexLink"/>
              </w:rPr>
              <w:t>519</w:t>
            </w:r>
          </w:hyperlink>
        </w:p>
        <w:p>
          <w:pPr>
            <w:pStyle w:val="Contents3"/>
            <w:tabs>
              <w:tab w:val="clear" w:pos="8459"/>
              <w:tab w:val="right" w:pos="9026" w:leader="dot"/>
            </w:tabs>
            <w:rPr/>
          </w:pPr>
          <w:hyperlink w:anchor="__RefHeading___Toc2569174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الظاهر أنّه یملک العامل حصّته من الربح بمجرّد ظهوره</w:t>
            </w:r>
            <w:r>
              <w:rPr>
                <w:rStyle w:val="IndexLink"/>
                <w:rtl w:val="true"/>
              </w:rPr>
              <w:t>]</w:t>
              <w:tab/>
            </w:r>
            <w:r>
              <w:rPr>
                <w:rStyle w:val="IndexLink"/>
              </w:rPr>
              <w:t>519</w:t>
            </w:r>
          </w:hyperlink>
        </w:p>
        <w:p>
          <w:pPr>
            <w:pStyle w:val="Contents3"/>
            <w:tabs>
              <w:tab w:val="clear" w:pos="8459"/>
              <w:tab w:val="right" w:pos="9026" w:leader="dot"/>
            </w:tabs>
            <w:rPr/>
          </w:pPr>
          <w:hyperlink w:anchor="__RefHeading___Toc2569176_3650668749">
            <w:r>
              <w:rPr>
                <w:webHidden/>
                <w:rStyle w:val="IndexLink"/>
                <w:rtl w:val="true"/>
              </w:rPr>
              <w:t>[ (</w:t>
            </w:r>
            <w:r>
              <w:rPr>
                <w:rStyle w:val="IndexLink"/>
                <w:rtl w:val="true"/>
              </w:rPr>
              <w:t xml:space="preserve">مسألة </w:t>
            </w:r>
            <w:r>
              <w:rPr>
                <w:rStyle w:val="IndexLink"/>
              </w:rPr>
              <w:t>28</w:t>
            </w:r>
            <w:r>
              <w:rPr>
                <w:rStyle w:val="IndexLink"/>
                <w:rtl w:val="true"/>
              </w:rPr>
              <w:t xml:space="preserve">): </w:t>
            </w:r>
            <w:r>
              <w:rPr>
                <w:rStyle w:val="IndexLink"/>
                <w:rtl w:val="true"/>
              </w:rPr>
              <w:t>لا إشکال فی أنّ الخسارة الواردة علیٰ مال المضاربة تجبر بالربح ما دامت المضاربة باقیة</w:t>
            </w:r>
            <w:r>
              <w:rPr>
                <w:rStyle w:val="IndexLink"/>
                <w:rtl w:val="true"/>
              </w:rPr>
              <w:t>]</w:t>
              <w:tab/>
            </w:r>
            <w:r>
              <w:rPr>
                <w:rStyle w:val="IndexLink"/>
              </w:rPr>
              <w:t>519</w:t>
            </w:r>
          </w:hyperlink>
        </w:p>
        <w:p>
          <w:pPr>
            <w:pStyle w:val="Contents3"/>
            <w:tabs>
              <w:tab w:val="clear" w:pos="8459"/>
              <w:tab w:val="right" w:pos="9026" w:leader="dot"/>
            </w:tabs>
            <w:rPr/>
          </w:pPr>
          <w:hyperlink w:anchor="__RefHeading___Toc2569178_3650668749">
            <w:r>
              <w:rPr>
                <w:webHidden/>
                <w:rStyle w:val="IndexLink"/>
                <w:rtl w:val="true"/>
              </w:rPr>
              <w:t>[ (</w:t>
            </w:r>
            <w:r>
              <w:rPr>
                <w:rStyle w:val="IndexLink"/>
                <w:rtl w:val="true"/>
              </w:rPr>
              <w:t xml:space="preserve">مسألة </w:t>
            </w:r>
            <w:r>
              <w:rPr>
                <w:rStyle w:val="IndexLink"/>
              </w:rPr>
              <w:t>29</w:t>
            </w:r>
            <w:r>
              <w:rPr>
                <w:rStyle w:val="IndexLink"/>
                <w:rtl w:val="true"/>
              </w:rPr>
              <w:t xml:space="preserve">): </w:t>
            </w:r>
            <w:r>
              <w:rPr>
                <w:rStyle w:val="IndexLink"/>
                <w:rtl w:val="true"/>
              </w:rPr>
              <w:t>و کما یجبر الخسران فی التجارة بالربح کذلک یجبر به التلف</w:t>
            </w:r>
            <w:r>
              <w:rPr>
                <w:rStyle w:val="IndexLink"/>
                <w:rtl w:val="true"/>
              </w:rPr>
              <w:t>]</w:t>
              <w:tab/>
            </w:r>
            <w:r>
              <w:rPr>
                <w:rStyle w:val="IndexLink"/>
              </w:rPr>
              <w:t>520</w:t>
            </w:r>
          </w:hyperlink>
        </w:p>
        <w:p>
          <w:pPr>
            <w:pStyle w:val="Contents3"/>
            <w:tabs>
              <w:tab w:val="clear" w:pos="8459"/>
              <w:tab w:val="right" w:pos="9026" w:leader="dot"/>
            </w:tabs>
            <w:rPr/>
          </w:pPr>
          <w:hyperlink w:anchor="__RefHeading___Toc2569180_3650668749">
            <w:r>
              <w:rPr>
                <w:webHidden/>
                <w:rStyle w:val="IndexLink"/>
                <w:rtl w:val="true"/>
              </w:rPr>
              <w:t>[ (</w:t>
            </w:r>
            <w:r>
              <w:rPr>
                <w:rStyle w:val="IndexLink"/>
                <w:rtl w:val="true"/>
              </w:rPr>
              <w:t xml:space="preserve">مسألة </w:t>
            </w:r>
            <w:r>
              <w:rPr>
                <w:rStyle w:val="IndexLink"/>
              </w:rPr>
              <w:t>30</w:t>
            </w:r>
            <w:r>
              <w:rPr>
                <w:rStyle w:val="IndexLink"/>
                <w:rtl w:val="true"/>
              </w:rPr>
              <w:t xml:space="preserve">): </w:t>
            </w:r>
            <w:r>
              <w:rPr>
                <w:rStyle w:val="IndexLink"/>
                <w:rtl w:val="true"/>
              </w:rPr>
              <w:t>إذا حصل فسخ أو انفساخ فی المضاربة، فإن کان قبل الشروع فی العمل و مقدّماته فلا إشکال</w:t>
            </w:r>
            <w:r>
              <w:rPr>
                <w:rStyle w:val="IndexLink"/>
                <w:rtl w:val="true"/>
              </w:rPr>
              <w:t>]</w:t>
              <w:tab/>
            </w:r>
            <w:r>
              <w:rPr>
                <w:rStyle w:val="IndexLink"/>
              </w:rPr>
              <w:t>520</w:t>
            </w:r>
          </w:hyperlink>
        </w:p>
        <w:p>
          <w:pPr>
            <w:pStyle w:val="Contents3"/>
            <w:tabs>
              <w:tab w:val="clear" w:pos="8459"/>
              <w:tab w:val="right" w:pos="9026" w:leader="dot"/>
            </w:tabs>
            <w:rPr/>
          </w:pPr>
          <w:hyperlink w:anchor="__RefHeading___Toc2569182_3650668749">
            <w:r>
              <w:rPr>
                <w:webHidden/>
                <w:rStyle w:val="IndexLink"/>
                <w:rtl w:val="true"/>
              </w:rPr>
              <w:t>[ (</w:t>
            </w:r>
            <w:r>
              <w:rPr>
                <w:rStyle w:val="IndexLink"/>
                <w:rtl w:val="true"/>
              </w:rPr>
              <w:t xml:space="preserve">مسألة </w:t>
            </w:r>
            <w:r>
              <w:rPr>
                <w:rStyle w:val="IndexLink"/>
              </w:rPr>
              <w:t>31</w:t>
            </w:r>
            <w:r>
              <w:rPr>
                <w:rStyle w:val="IndexLink"/>
                <w:rtl w:val="true"/>
              </w:rPr>
              <w:t xml:space="preserve">): </w:t>
            </w:r>
            <w:r>
              <w:rPr>
                <w:rStyle w:val="IndexLink"/>
                <w:rtl w:val="true"/>
              </w:rPr>
              <w:t>لو کان فی المال دیون علی الناس، فهل یجب علی العامل أخذها و جمعها</w:t>
            </w:r>
            <w:r>
              <w:rPr>
                <w:rStyle w:val="IndexLink"/>
                <w:rtl w:val="true"/>
              </w:rPr>
              <w:t>]</w:t>
              <w:tab/>
            </w:r>
            <w:r>
              <w:rPr>
                <w:rStyle w:val="IndexLink"/>
              </w:rPr>
              <w:t>520</w:t>
            </w:r>
          </w:hyperlink>
        </w:p>
        <w:p>
          <w:pPr>
            <w:pStyle w:val="Contents3"/>
            <w:tabs>
              <w:tab w:val="clear" w:pos="8459"/>
              <w:tab w:val="right" w:pos="9026" w:leader="dot"/>
            </w:tabs>
            <w:rPr/>
          </w:pPr>
          <w:hyperlink w:anchor="__RefHeading___Toc2569184_3650668749">
            <w:r>
              <w:rPr>
                <w:webHidden/>
                <w:rStyle w:val="IndexLink"/>
                <w:rtl w:val="true"/>
              </w:rPr>
              <w:t>[ (</w:t>
            </w:r>
            <w:r>
              <w:rPr>
                <w:rStyle w:val="IndexLink"/>
                <w:rtl w:val="true"/>
              </w:rPr>
              <w:t xml:space="preserve">مسألة </w:t>
            </w:r>
            <w:r>
              <w:rPr>
                <w:rStyle w:val="IndexLink"/>
              </w:rPr>
              <w:t>32</w:t>
            </w:r>
            <w:r>
              <w:rPr>
                <w:rStyle w:val="IndexLink"/>
                <w:rtl w:val="true"/>
              </w:rPr>
              <w:t xml:space="preserve">): </w:t>
            </w:r>
            <w:r>
              <w:rPr>
                <w:rStyle w:val="IndexLink"/>
                <w:rtl w:val="true"/>
              </w:rPr>
              <w:t>لا یجب علی العامل بعد حصول الفسخ أو الانفساخ أزید من التخلیة بین المالک و ماله</w:t>
            </w:r>
            <w:r>
              <w:rPr>
                <w:rStyle w:val="IndexLink"/>
                <w:rtl w:val="true"/>
              </w:rPr>
              <w:t>]</w:t>
              <w:tab/>
            </w:r>
            <w:r>
              <w:rPr>
                <w:rStyle w:val="IndexLink"/>
              </w:rPr>
              <w:t>521</w:t>
            </w:r>
          </w:hyperlink>
        </w:p>
        <w:p>
          <w:pPr>
            <w:pStyle w:val="Contents3"/>
            <w:tabs>
              <w:tab w:val="clear" w:pos="8459"/>
              <w:tab w:val="right" w:pos="9026" w:leader="dot"/>
            </w:tabs>
            <w:rPr/>
          </w:pPr>
          <w:hyperlink w:anchor="__RefHeading___Toc2569186_3650668749">
            <w:r>
              <w:rPr>
                <w:webHidden/>
                <w:rStyle w:val="IndexLink"/>
                <w:rtl w:val="true"/>
              </w:rPr>
              <w:t>[ (</w:t>
            </w:r>
            <w:r>
              <w:rPr>
                <w:rStyle w:val="IndexLink"/>
                <w:rtl w:val="true"/>
              </w:rPr>
              <w:t xml:space="preserve">مسألة </w:t>
            </w:r>
            <w:r>
              <w:rPr>
                <w:rStyle w:val="IndexLink"/>
              </w:rPr>
              <w:t>33</w:t>
            </w:r>
            <w:r>
              <w:rPr>
                <w:rStyle w:val="IndexLink"/>
                <w:rtl w:val="true"/>
              </w:rPr>
              <w:t xml:space="preserve">): </w:t>
            </w:r>
            <w:r>
              <w:rPr>
                <w:rStyle w:val="IndexLink"/>
                <w:rtl w:val="true"/>
              </w:rPr>
              <w:t>إذا کانت المضاربة فاسدة کان الربح بتمامه للمالک</w:t>
            </w:r>
            <w:r>
              <w:rPr>
                <w:rStyle w:val="IndexLink"/>
                <w:rtl w:val="true"/>
              </w:rPr>
              <w:t>]</w:t>
              <w:tab/>
            </w:r>
            <w:r>
              <w:rPr>
                <w:rStyle w:val="IndexLink"/>
              </w:rPr>
              <w:t>521</w:t>
            </w:r>
          </w:hyperlink>
        </w:p>
        <w:p>
          <w:pPr>
            <w:pStyle w:val="Contents3"/>
            <w:tabs>
              <w:tab w:val="clear" w:pos="8459"/>
              <w:tab w:val="right" w:pos="9026" w:leader="dot"/>
            </w:tabs>
            <w:rPr/>
          </w:pPr>
          <w:hyperlink w:anchor="__RefHeading___Toc2569188_3650668749">
            <w:r>
              <w:rPr>
                <w:webHidden/>
                <w:rStyle w:val="IndexLink"/>
                <w:rtl w:val="true"/>
              </w:rPr>
              <w:t>[ (</w:t>
            </w:r>
            <w:r>
              <w:rPr>
                <w:rStyle w:val="IndexLink"/>
                <w:rtl w:val="true"/>
              </w:rPr>
              <w:t xml:space="preserve">مسألة </w:t>
            </w:r>
            <w:r>
              <w:rPr>
                <w:rStyle w:val="IndexLink"/>
              </w:rPr>
              <w:t>34</w:t>
            </w:r>
            <w:r>
              <w:rPr>
                <w:rStyle w:val="IndexLink"/>
                <w:rtl w:val="true"/>
              </w:rPr>
              <w:t xml:space="preserve">): </w:t>
            </w:r>
            <w:r>
              <w:rPr>
                <w:rStyle w:val="IndexLink"/>
                <w:rtl w:val="true"/>
              </w:rPr>
              <w:t>لو ضارب مع الغیر بمال الغیر من دون ولایة و لا وکالة وقع فضولیّاً</w:t>
            </w:r>
            <w:r>
              <w:rPr>
                <w:rStyle w:val="IndexLink"/>
                <w:rtl w:val="true"/>
              </w:rPr>
              <w:t>]</w:t>
              <w:tab/>
            </w:r>
            <w:r>
              <w:rPr>
                <w:rStyle w:val="IndexLink"/>
              </w:rPr>
              <w:t>521</w:t>
            </w:r>
          </w:hyperlink>
        </w:p>
        <w:p>
          <w:pPr>
            <w:pStyle w:val="Contents3"/>
            <w:tabs>
              <w:tab w:val="clear" w:pos="8459"/>
              <w:tab w:val="right" w:pos="9026" w:leader="dot"/>
            </w:tabs>
            <w:rPr/>
          </w:pPr>
          <w:hyperlink w:anchor="__RefHeading___Toc2569190_3650668749">
            <w:r>
              <w:rPr>
                <w:webHidden/>
                <w:rStyle w:val="IndexLink"/>
                <w:rtl w:val="true"/>
              </w:rPr>
              <w:t>[ (</w:t>
            </w:r>
            <w:r>
              <w:rPr>
                <w:rStyle w:val="IndexLink"/>
                <w:rtl w:val="true"/>
              </w:rPr>
              <w:t xml:space="preserve">مسألة </w:t>
            </w:r>
            <w:r>
              <w:rPr>
                <w:rStyle w:val="IndexLink"/>
              </w:rPr>
              <w:t>35</w:t>
            </w:r>
            <w:r>
              <w:rPr>
                <w:rStyle w:val="IndexLink"/>
                <w:rtl w:val="true"/>
              </w:rPr>
              <w:t xml:space="preserve">): </w:t>
            </w:r>
            <w:r>
              <w:rPr>
                <w:rStyle w:val="IndexLink"/>
                <w:rtl w:val="true"/>
              </w:rPr>
              <w:t>إذا أخذ العامل رأس المال، لیس له ترک الاتّجار به</w:t>
            </w:r>
            <w:r>
              <w:rPr>
                <w:rStyle w:val="IndexLink"/>
                <w:rtl w:val="true"/>
              </w:rPr>
              <w:t>]</w:t>
              <w:tab/>
            </w:r>
            <w:r>
              <w:rPr>
                <w:rStyle w:val="IndexLink"/>
              </w:rPr>
              <w:t>522</w:t>
            </w:r>
          </w:hyperlink>
        </w:p>
        <w:p>
          <w:pPr>
            <w:pStyle w:val="Contents3"/>
            <w:tabs>
              <w:tab w:val="clear" w:pos="8459"/>
              <w:tab w:val="right" w:pos="9026" w:leader="dot"/>
            </w:tabs>
            <w:rPr/>
          </w:pPr>
          <w:hyperlink w:anchor="__RefHeading___Toc2569192_3650668749">
            <w:r>
              <w:rPr>
                <w:webHidden/>
                <w:rStyle w:val="IndexLink"/>
                <w:rtl w:val="true"/>
              </w:rPr>
              <w:t>[ (</w:t>
            </w:r>
            <w:r>
              <w:rPr>
                <w:rStyle w:val="IndexLink"/>
                <w:rtl w:val="true"/>
              </w:rPr>
              <w:t xml:space="preserve">مسألة </w:t>
            </w:r>
            <w:r>
              <w:rPr>
                <w:rStyle w:val="IndexLink"/>
              </w:rPr>
              <w:t>36</w:t>
            </w:r>
            <w:r>
              <w:rPr>
                <w:rStyle w:val="IndexLink"/>
                <w:rtl w:val="true"/>
              </w:rPr>
              <w:t xml:space="preserve">): </w:t>
            </w:r>
            <w:r>
              <w:rPr>
                <w:rStyle w:val="IndexLink"/>
                <w:rtl w:val="true"/>
              </w:rPr>
              <w:t>إذا اشتریٰ نسیئة بإذن المالک کان الدین فی ذمّة المالک</w:t>
            </w:r>
            <w:r>
              <w:rPr>
                <w:rStyle w:val="IndexLink"/>
                <w:rtl w:val="true"/>
              </w:rPr>
              <w:t>]</w:t>
              <w:tab/>
            </w:r>
            <w:r>
              <w:rPr>
                <w:rStyle w:val="IndexLink"/>
              </w:rPr>
              <w:t>522</w:t>
            </w:r>
          </w:hyperlink>
        </w:p>
        <w:p>
          <w:pPr>
            <w:pStyle w:val="Contents3"/>
            <w:tabs>
              <w:tab w:val="clear" w:pos="8459"/>
              <w:tab w:val="right" w:pos="9026" w:leader="dot"/>
            </w:tabs>
            <w:rPr/>
          </w:pPr>
          <w:hyperlink w:anchor="__RefHeading___Toc2569194_3650668749">
            <w:r>
              <w:rPr>
                <w:webHidden/>
                <w:rStyle w:val="IndexLink"/>
                <w:rtl w:val="true"/>
              </w:rPr>
              <w:t>[ (</w:t>
            </w:r>
            <w:r>
              <w:rPr>
                <w:rStyle w:val="IndexLink"/>
                <w:rtl w:val="true"/>
              </w:rPr>
              <w:t xml:space="preserve">مسألة </w:t>
            </w:r>
            <w:r>
              <w:rPr>
                <w:rStyle w:val="IndexLink"/>
              </w:rPr>
              <w:t>37</w:t>
            </w:r>
            <w:r>
              <w:rPr>
                <w:rStyle w:val="IndexLink"/>
                <w:rtl w:val="true"/>
              </w:rPr>
              <w:t xml:space="preserve">): </w:t>
            </w:r>
            <w:r>
              <w:rPr>
                <w:rStyle w:val="IndexLink"/>
                <w:rtl w:val="true"/>
              </w:rPr>
              <w:t>لو ضاربه علیٰ خمسمائة مثلًا فدفعها إلیه و عامل بها و فی أثناء التجارة دفع إلیه خمسمائة اخریٰ للمضاربة</w:t>
            </w:r>
            <w:r>
              <w:rPr>
                <w:rStyle w:val="IndexLink"/>
                <w:rtl w:val="true"/>
              </w:rPr>
              <w:t>]</w:t>
              <w:tab/>
            </w:r>
            <w:r>
              <w:rPr>
                <w:rStyle w:val="IndexLink"/>
              </w:rPr>
              <w:t>522</w:t>
            </w:r>
          </w:hyperlink>
        </w:p>
        <w:p>
          <w:pPr>
            <w:pStyle w:val="Contents3"/>
            <w:tabs>
              <w:tab w:val="clear" w:pos="8459"/>
              <w:tab w:val="right" w:pos="9026" w:leader="dot"/>
            </w:tabs>
            <w:rPr/>
          </w:pPr>
          <w:hyperlink w:anchor="__RefHeading___Toc2569196_3650668749">
            <w:r>
              <w:rPr>
                <w:webHidden/>
                <w:rStyle w:val="IndexLink"/>
                <w:rtl w:val="true"/>
              </w:rPr>
              <w:t>[ (</w:t>
            </w:r>
            <w:r>
              <w:rPr>
                <w:rStyle w:val="IndexLink"/>
                <w:rtl w:val="true"/>
              </w:rPr>
              <w:t xml:space="preserve">مسألة </w:t>
            </w:r>
            <w:r>
              <w:rPr>
                <w:rStyle w:val="IndexLink"/>
              </w:rPr>
              <w:t>38</w:t>
            </w:r>
            <w:r>
              <w:rPr>
                <w:rStyle w:val="IndexLink"/>
                <w:rtl w:val="true"/>
              </w:rPr>
              <w:t xml:space="preserve">): </w:t>
            </w:r>
            <w:r>
              <w:rPr>
                <w:rStyle w:val="IndexLink"/>
                <w:rtl w:val="true"/>
              </w:rPr>
              <w:t>إذا کان رأس المال مشترکاً بین اثنین فضاربا واحداً، ثمّ فسخ أحد الشریکین</w:t>
            </w:r>
            <w:r>
              <w:rPr>
                <w:rStyle w:val="IndexLink"/>
                <w:rtl w:val="true"/>
              </w:rPr>
              <w:t>]</w:t>
              <w:tab/>
            </w:r>
            <w:r>
              <w:rPr>
                <w:rStyle w:val="IndexLink"/>
              </w:rPr>
              <w:t>522</w:t>
            </w:r>
          </w:hyperlink>
        </w:p>
        <w:p>
          <w:pPr>
            <w:pStyle w:val="Contents3"/>
            <w:tabs>
              <w:tab w:val="clear" w:pos="8459"/>
              <w:tab w:val="right" w:pos="9026" w:leader="dot"/>
            </w:tabs>
            <w:rPr/>
          </w:pPr>
          <w:hyperlink w:anchor="__RefHeading___Toc2569198_3650668749">
            <w:r>
              <w:rPr>
                <w:webHidden/>
                <w:rStyle w:val="IndexLink"/>
                <w:rtl w:val="true"/>
              </w:rPr>
              <w:t>[ (</w:t>
            </w:r>
            <w:r>
              <w:rPr>
                <w:rStyle w:val="IndexLink"/>
                <w:rtl w:val="true"/>
              </w:rPr>
              <w:t xml:space="preserve">مسألة </w:t>
            </w:r>
            <w:r>
              <w:rPr>
                <w:rStyle w:val="IndexLink"/>
              </w:rPr>
              <w:t>39</w:t>
            </w:r>
            <w:r>
              <w:rPr>
                <w:rStyle w:val="IndexLink"/>
                <w:rtl w:val="true"/>
              </w:rPr>
              <w:t xml:space="preserve">): </w:t>
            </w:r>
            <w:r>
              <w:rPr>
                <w:rStyle w:val="IndexLink"/>
                <w:rtl w:val="true"/>
              </w:rPr>
              <w:t>إذا تنازع المالک مع العامل فی مقدار رأس المال و لم یکن بیّنة</w:t>
            </w:r>
            <w:r>
              <w:rPr>
                <w:rStyle w:val="IndexLink"/>
                <w:rtl w:val="true"/>
              </w:rPr>
              <w:t>]</w:t>
              <w:tab/>
            </w:r>
            <w:r>
              <w:rPr>
                <w:rStyle w:val="IndexLink"/>
              </w:rPr>
              <w:t>522</w:t>
            </w:r>
          </w:hyperlink>
        </w:p>
        <w:p>
          <w:pPr>
            <w:pStyle w:val="Contents3"/>
            <w:tabs>
              <w:tab w:val="clear" w:pos="8459"/>
              <w:tab w:val="right" w:pos="9026" w:leader="dot"/>
            </w:tabs>
            <w:rPr/>
          </w:pPr>
          <w:hyperlink w:anchor="__RefHeading___Toc2569200_3650668749">
            <w:r>
              <w:rPr>
                <w:webHidden/>
                <w:rStyle w:val="IndexLink"/>
                <w:rtl w:val="true"/>
              </w:rPr>
              <w:t>[ (</w:t>
            </w:r>
            <w:r>
              <w:rPr>
                <w:rStyle w:val="IndexLink"/>
                <w:rtl w:val="true"/>
              </w:rPr>
              <w:t xml:space="preserve">مسألة </w:t>
            </w:r>
            <w:r>
              <w:rPr>
                <w:rStyle w:val="IndexLink"/>
              </w:rPr>
              <w:t>40</w:t>
            </w:r>
            <w:r>
              <w:rPr>
                <w:rStyle w:val="IndexLink"/>
                <w:rtl w:val="true"/>
              </w:rPr>
              <w:t xml:space="preserve">): </w:t>
            </w:r>
            <w:r>
              <w:rPr>
                <w:rStyle w:val="IndexLink"/>
                <w:rtl w:val="true"/>
              </w:rPr>
              <w:t>لو ادّعی العامل التلف أو الخسارة أو عدم حصول المطالبات التی عند الناس مع عدم کونه مضموناً علیه</w:t>
            </w:r>
            <w:r>
              <w:rPr>
                <w:rStyle w:val="IndexLink"/>
                <w:rtl w:val="true"/>
              </w:rPr>
              <w:t>]</w:t>
              <w:tab/>
            </w:r>
            <w:r>
              <w:rPr>
                <w:rStyle w:val="IndexLink"/>
              </w:rPr>
              <w:t>523</w:t>
            </w:r>
          </w:hyperlink>
        </w:p>
        <w:p>
          <w:pPr>
            <w:pStyle w:val="Contents3"/>
            <w:tabs>
              <w:tab w:val="clear" w:pos="8459"/>
              <w:tab w:val="right" w:pos="9026" w:leader="dot"/>
            </w:tabs>
            <w:rPr/>
          </w:pPr>
          <w:hyperlink w:anchor="__RefHeading___Toc2569202_3650668749">
            <w:r>
              <w:rPr>
                <w:webHidden/>
                <w:rStyle w:val="IndexLink"/>
                <w:rtl w:val="true"/>
              </w:rPr>
              <w:t>[ (</w:t>
            </w:r>
            <w:r>
              <w:rPr>
                <w:rStyle w:val="IndexLink"/>
                <w:rtl w:val="true"/>
              </w:rPr>
              <w:t xml:space="preserve">مسألة </w:t>
            </w:r>
            <w:r>
              <w:rPr>
                <w:rStyle w:val="IndexLink"/>
              </w:rPr>
              <w:t>41</w:t>
            </w:r>
            <w:r>
              <w:rPr>
                <w:rStyle w:val="IndexLink"/>
                <w:rtl w:val="true"/>
              </w:rPr>
              <w:t xml:space="preserve">): </w:t>
            </w:r>
            <w:r>
              <w:rPr>
                <w:rStyle w:val="IndexLink"/>
                <w:rtl w:val="true"/>
              </w:rPr>
              <w:t>لو اختلفا فی الربح و لم یکن بیّنة قدّم قول العامل</w:t>
            </w:r>
            <w:r>
              <w:rPr>
                <w:rStyle w:val="IndexLink"/>
                <w:rtl w:val="true"/>
              </w:rPr>
              <w:t>]</w:t>
              <w:tab/>
            </w:r>
            <w:r>
              <w:rPr>
                <w:rStyle w:val="IndexLink"/>
              </w:rPr>
              <w:t>523</w:t>
            </w:r>
          </w:hyperlink>
        </w:p>
        <w:p>
          <w:pPr>
            <w:pStyle w:val="Contents3"/>
            <w:tabs>
              <w:tab w:val="clear" w:pos="8459"/>
              <w:tab w:val="right" w:pos="9026" w:leader="dot"/>
            </w:tabs>
            <w:rPr/>
          </w:pPr>
          <w:hyperlink w:anchor="__RefHeading___Toc2569204_3650668749">
            <w:r>
              <w:rPr>
                <w:webHidden/>
                <w:rStyle w:val="IndexLink"/>
                <w:rtl w:val="true"/>
              </w:rPr>
              <w:t>[ (</w:t>
            </w:r>
            <w:r>
              <w:rPr>
                <w:rStyle w:val="IndexLink"/>
                <w:rtl w:val="true"/>
              </w:rPr>
              <w:t xml:space="preserve">مسألة </w:t>
            </w:r>
            <w:r>
              <w:rPr>
                <w:rStyle w:val="IndexLink"/>
              </w:rPr>
              <w:t>42</w:t>
            </w:r>
            <w:r>
              <w:rPr>
                <w:rStyle w:val="IndexLink"/>
                <w:rtl w:val="true"/>
              </w:rPr>
              <w:t xml:space="preserve">): </w:t>
            </w:r>
            <w:r>
              <w:rPr>
                <w:rStyle w:val="IndexLink"/>
                <w:rtl w:val="true"/>
              </w:rPr>
              <w:t>لو اختلفا فی نصیب العامل من الربح و أنّه النصف مثلًا أو الثلث و لم یکن بیّنة</w:t>
            </w:r>
            <w:r>
              <w:rPr>
                <w:rStyle w:val="IndexLink"/>
                <w:rtl w:val="true"/>
              </w:rPr>
              <w:t>]</w:t>
              <w:tab/>
            </w:r>
            <w:r>
              <w:rPr>
                <w:rStyle w:val="IndexLink"/>
              </w:rPr>
              <w:t>523</w:t>
            </w:r>
          </w:hyperlink>
        </w:p>
        <w:p>
          <w:pPr>
            <w:pStyle w:val="Contents3"/>
            <w:tabs>
              <w:tab w:val="clear" w:pos="8459"/>
              <w:tab w:val="right" w:pos="9026" w:leader="dot"/>
            </w:tabs>
            <w:rPr/>
          </w:pPr>
          <w:hyperlink w:anchor="__RefHeading___Toc2569206_3650668749">
            <w:r>
              <w:rPr>
                <w:webHidden/>
                <w:rStyle w:val="IndexLink"/>
                <w:rtl w:val="true"/>
              </w:rPr>
              <w:t>[ (</w:t>
            </w:r>
            <w:r>
              <w:rPr>
                <w:rStyle w:val="IndexLink"/>
                <w:rtl w:val="true"/>
              </w:rPr>
              <w:t xml:space="preserve">مسألة </w:t>
            </w:r>
            <w:r>
              <w:rPr>
                <w:rStyle w:val="IndexLink"/>
              </w:rPr>
              <w:t>43</w:t>
            </w:r>
            <w:r>
              <w:rPr>
                <w:rStyle w:val="IndexLink"/>
                <w:rtl w:val="true"/>
              </w:rPr>
              <w:t xml:space="preserve">): </w:t>
            </w:r>
            <w:r>
              <w:rPr>
                <w:rStyle w:val="IndexLink"/>
                <w:rtl w:val="true"/>
              </w:rPr>
              <w:t>إذا تلف المال أو وقع خسران، فادّعی المالک علی العامل الخیانة</w:t>
            </w:r>
            <w:r>
              <w:rPr>
                <w:rStyle w:val="IndexLink"/>
                <w:rtl w:val="true"/>
              </w:rPr>
              <w:t>]</w:t>
              <w:tab/>
            </w:r>
            <w:r>
              <w:rPr>
                <w:rStyle w:val="IndexLink"/>
              </w:rPr>
              <w:t>523</w:t>
            </w:r>
          </w:hyperlink>
        </w:p>
        <w:p>
          <w:pPr>
            <w:pStyle w:val="Contents3"/>
            <w:tabs>
              <w:tab w:val="clear" w:pos="8459"/>
              <w:tab w:val="right" w:pos="9026" w:leader="dot"/>
            </w:tabs>
            <w:rPr/>
          </w:pPr>
          <w:hyperlink w:anchor="__RefHeading___Toc2569208_3650668749">
            <w:r>
              <w:rPr>
                <w:webHidden/>
                <w:rStyle w:val="IndexLink"/>
                <w:rtl w:val="true"/>
              </w:rPr>
              <w:t>[ (</w:t>
            </w:r>
            <w:r>
              <w:rPr>
                <w:rStyle w:val="IndexLink"/>
                <w:rtl w:val="true"/>
              </w:rPr>
              <w:t xml:space="preserve">مسألة </w:t>
            </w:r>
            <w:r>
              <w:rPr>
                <w:rStyle w:val="IndexLink"/>
              </w:rPr>
              <w:t>44</w:t>
            </w:r>
            <w:r>
              <w:rPr>
                <w:rStyle w:val="IndexLink"/>
                <w:rtl w:val="true"/>
              </w:rPr>
              <w:t xml:space="preserve">): </w:t>
            </w:r>
            <w:r>
              <w:rPr>
                <w:rStyle w:val="IndexLink"/>
                <w:rtl w:val="true"/>
              </w:rPr>
              <w:t>إذا ادّعیٰ ردّ المال إلی المالک و أنکره قدّم قول المالک</w:t>
            </w:r>
            <w:r>
              <w:rPr>
                <w:rStyle w:val="IndexLink"/>
                <w:rtl w:val="true"/>
              </w:rPr>
              <w:t>]</w:t>
              <w:tab/>
            </w:r>
            <w:r>
              <w:rPr>
                <w:rStyle w:val="IndexLink"/>
              </w:rPr>
              <w:t>523</w:t>
            </w:r>
          </w:hyperlink>
        </w:p>
        <w:p>
          <w:pPr>
            <w:pStyle w:val="Contents3"/>
            <w:tabs>
              <w:tab w:val="clear" w:pos="8459"/>
              <w:tab w:val="right" w:pos="9026" w:leader="dot"/>
            </w:tabs>
            <w:rPr/>
          </w:pPr>
          <w:hyperlink w:anchor="__RefHeading___Toc2569210_3650668749">
            <w:r>
              <w:rPr>
                <w:webHidden/>
                <w:rStyle w:val="IndexLink"/>
                <w:rtl w:val="true"/>
              </w:rPr>
              <w:t>[ (</w:t>
            </w:r>
            <w:r>
              <w:rPr>
                <w:rStyle w:val="IndexLink"/>
                <w:rtl w:val="true"/>
              </w:rPr>
              <w:t xml:space="preserve">مسألة </w:t>
            </w:r>
            <w:r>
              <w:rPr>
                <w:rStyle w:val="IndexLink"/>
              </w:rPr>
              <w:t>45</w:t>
            </w:r>
            <w:r>
              <w:rPr>
                <w:rStyle w:val="IndexLink"/>
                <w:rtl w:val="true"/>
              </w:rPr>
              <w:t xml:space="preserve">): </w:t>
            </w:r>
            <w:r>
              <w:rPr>
                <w:rStyle w:val="IndexLink"/>
                <w:rtl w:val="true"/>
              </w:rPr>
              <w:t>إذا اشتری العامل سلعة، فظهر فیها ربح</w:t>
            </w:r>
            <w:r>
              <w:rPr>
                <w:rStyle w:val="IndexLink"/>
                <w:rtl w:val="true"/>
              </w:rPr>
              <w:t>]</w:t>
              <w:tab/>
            </w:r>
            <w:r>
              <w:rPr>
                <w:rStyle w:val="IndexLink"/>
              </w:rPr>
              <w:t>523</w:t>
            </w:r>
          </w:hyperlink>
        </w:p>
        <w:p>
          <w:pPr>
            <w:pStyle w:val="Contents3"/>
            <w:tabs>
              <w:tab w:val="clear" w:pos="8459"/>
              <w:tab w:val="right" w:pos="9026" w:leader="dot"/>
            </w:tabs>
            <w:rPr/>
          </w:pPr>
          <w:hyperlink w:anchor="__RefHeading___Toc2569212_3650668749">
            <w:r>
              <w:rPr>
                <w:webHidden/>
                <w:rStyle w:val="IndexLink"/>
                <w:rtl w:val="true"/>
              </w:rPr>
              <w:t>[ (</w:t>
            </w:r>
            <w:r>
              <w:rPr>
                <w:rStyle w:val="IndexLink"/>
                <w:rtl w:val="true"/>
              </w:rPr>
              <w:t xml:space="preserve">مسألة </w:t>
            </w:r>
            <w:r>
              <w:rPr>
                <w:rStyle w:val="IndexLink"/>
              </w:rPr>
              <w:t>46</w:t>
            </w:r>
            <w:r>
              <w:rPr>
                <w:rStyle w:val="IndexLink"/>
                <w:rtl w:val="true"/>
              </w:rPr>
              <w:t xml:space="preserve">): </w:t>
            </w:r>
            <w:r>
              <w:rPr>
                <w:rStyle w:val="IndexLink"/>
                <w:rtl w:val="true"/>
              </w:rPr>
              <w:t>إذا حصل تلف أو خسارة فادّعی المالک أنّه أقرضه، و ادّعی العامل أنّه قارضه</w:t>
            </w:r>
            <w:r>
              <w:rPr>
                <w:rStyle w:val="IndexLink"/>
                <w:rtl w:val="true"/>
              </w:rPr>
              <w:t>]</w:t>
              <w:tab/>
            </w:r>
            <w:r>
              <w:rPr>
                <w:rStyle w:val="IndexLink"/>
              </w:rPr>
              <w:t>523</w:t>
            </w:r>
          </w:hyperlink>
        </w:p>
        <w:p>
          <w:pPr>
            <w:pStyle w:val="Contents3"/>
            <w:tabs>
              <w:tab w:val="clear" w:pos="8459"/>
              <w:tab w:val="right" w:pos="9026" w:leader="dot"/>
            </w:tabs>
            <w:rPr/>
          </w:pPr>
          <w:hyperlink w:anchor="__RefHeading___Toc2569214_3650668749">
            <w:r>
              <w:rPr>
                <w:webHidden/>
                <w:rStyle w:val="IndexLink"/>
                <w:rtl w:val="true"/>
              </w:rPr>
              <w:t>[ (</w:t>
            </w:r>
            <w:r>
              <w:rPr>
                <w:rStyle w:val="IndexLink"/>
                <w:rtl w:val="true"/>
              </w:rPr>
              <w:t xml:space="preserve">مسألة </w:t>
            </w:r>
            <w:r>
              <w:rPr>
                <w:rStyle w:val="IndexLink"/>
              </w:rPr>
              <w:t>47</w:t>
            </w:r>
            <w:r>
              <w:rPr>
                <w:rStyle w:val="IndexLink"/>
                <w:rtl w:val="true"/>
              </w:rPr>
              <w:t xml:space="preserve">): </w:t>
            </w:r>
            <w:r>
              <w:rPr>
                <w:rStyle w:val="IndexLink"/>
                <w:rtl w:val="true"/>
              </w:rPr>
              <w:t>لو ادّعی المالک أنّه أعطاه المال بعنوان البضاعة فلا یستحقّ العامل شیئاً من الربح، و ادّعی العامل المضاربة</w:t>
            </w:r>
            <w:r>
              <w:rPr>
                <w:rStyle w:val="IndexLink"/>
                <w:rtl w:val="true"/>
              </w:rPr>
              <w:t>]</w:t>
              <w:tab/>
            </w:r>
            <w:r>
              <w:rPr>
                <w:rStyle w:val="IndexLink"/>
              </w:rPr>
              <w:t>524</w:t>
            </w:r>
          </w:hyperlink>
        </w:p>
        <w:p>
          <w:pPr>
            <w:pStyle w:val="Contents3"/>
            <w:tabs>
              <w:tab w:val="clear" w:pos="8459"/>
              <w:tab w:val="right" w:pos="9026" w:leader="dot"/>
            </w:tabs>
            <w:rPr/>
          </w:pPr>
          <w:hyperlink w:anchor="__RefHeading___Toc2569216_3650668749">
            <w:r>
              <w:rPr>
                <w:webHidden/>
                <w:rStyle w:val="IndexLink"/>
                <w:rtl w:val="true"/>
              </w:rPr>
              <w:t>[ (</w:t>
            </w:r>
            <w:r>
              <w:rPr>
                <w:rStyle w:val="IndexLink"/>
                <w:rtl w:val="true"/>
              </w:rPr>
              <w:t xml:space="preserve">مسألة </w:t>
            </w:r>
            <w:r>
              <w:rPr>
                <w:rStyle w:val="IndexLink"/>
              </w:rPr>
              <w:t>48</w:t>
            </w:r>
            <w:r>
              <w:rPr>
                <w:rStyle w:val="IndexLink"/>
                <w:rtl w:val="true"/>
              </w:rPr>
              <w:t xml:space="preserve">): </w:t>
            </w:r>
            <w:r>
              <w:rPr>
                <w:rStyle w:val="IndexLink"/>
                <w:rtl w:val="true"/>
              </w:rPr>
              <w:t>یجوز إیقاع الجعالة علی الاتّجار بمال و جعل الجعل حصّة من الربح</w:t>
            </w:r>
            <w:r>
              <w:rPr>
                <w:rStyle w:val="IndexLink"/>
                <w:rtl w:val="true"/>
              </w:rPr>
              <w:t>]</w:t>
              <w:tab/>
            </w:r>
            <w:r>
              <w:rPr>
                <w:rStyle w:val="IndexLink"/>
              </w:rPr>
              <w:t>524</w:t>
            </w:r>
          </w:hyperlink>
        </w:p>
        <w:p>
          <w:pPr>
            <w:pStyle w:val="Contents3"/>
            <w:tabs>
              <w:tab w:val="clear" w:pos="8459"/>
              <w:tab w:val="right" w:pos="9026" w:leader="dot"/>
            </w:tabs>
            <w:rPr/>
          </w:pPr>
          <w:hyperlink w:anchor="__RefHeading___Toc2569218_3650668749">
            <w:r>
              <w:rPr>
                <w:webHidden/>
                <w:rStyle w:val="IndexLink"/>
                <w:rtl w:val="true"/>
              </w:rPr>
              <w:t>[ (</w:t>
            </w:r>
            <w:r>
              <w:rPr>
                <w:rStyle w:val="IndexLink"/>
                <w:rtl w:val="true"/>
              </w:rPr>
              <w:t xml:space="preserve">مسألة </w:t>
            </w:r>
            <w:r>
              <w:rPr>
                <w:rStyle w:val="IndexLink"/>
              </w:rPr>
              <w:t>49</w:t>
            </w:r>
            <w:r>
              <w:rPr>
                <w:rStyle w:val="IndexLink"/>
                <w:rtl w:val="true"/>
              </w:rPr>
              <w:t xml:space="preserve">): </w:t>
            </w:r>
            <w:r>
              <w:rPr>
                <w:rStyle w:val="IndexLink"/>
                <w:rtl w:val="true"/>
              </w:rPr>
              <w:t>یجوز للأب و الجدّ المضاربة بمال الصغیر مع عدم المفسدة</w:t>
            </w:r>
            <w:r>
              <w:rPr>
                <w:rStyle w:val="IndexLink"/>
                <w:rtl w:val="true"/>
              </w:rPr>
              <w:t>]</w:t>
              <w:tab/>
            </w:r>
            <w:r>
              <w:rPr>
                <w:rStyle w:val="IndexLink"/>
              </w:rPr>
              <w:t>524</w:t>
            </w:r>
          </w:hyperlink>
        </w:p>
        <w:p>
          <w:pPr>
            <w:pStyle w:val="Contents3"/>
            <w:tabs>
              <w:tab w:val="clear" w:pos="8459"/>
              <w:tab w:val="right" w:pos="9026" w:leader="dot"/>
            </w:tabs>
            <w:rPr/>
          </w:pPr>
          <w:hyperlink w:anchor="__RefHeading___Toc2569220_3650668749">
            <w:r>
              <w:rPr>
                <w:webHidden/>
                <w:rStyle w:val="IndexLink"/>
                <w:rtl w:val="true"/>
              </w:rPr>
              <w:t>[ (</w:t>
            </w:r>
            <w:r>
              <w:rPr>
                <w:rStyle w:val="IndexLink"/>
                <w:rtl w:val="true"/>
              </w:rPr>
              <w:t xml:space="preserve">مسألة </w:t>
            </w:r>
            <w:r>
              <w:rPr>
                <w:rStyle w:val="IndexLink"/>
              </w:rPr>
              <w:t>50</w:t>
            </w:r>
            <w:r>
              <w:rPr>
                <w:rStyle w:val="IndexLink"/>
                <w:rtl w:val="true"/>
              </w:rPr>
              <w:t xml:space="preserve">): </w:t>
            </w:r>
            <w:r>
              <w:rPr>
                <w:rStyle w:val="IndexLink"/>
                <w:rtl w:val="true"/>
              </w:rPr>
              <w:t>إذا مات العامل و کان عنده مال المضاربة، فإن علم بوجوده فیما ترکه بعینه فلا إشکال</w:t>
            </w:r>
            <w:r>
              <w:rPr>
                <w:rStyle w:val="IndexLink"/>
                <w:rtl w:val="true"/>
              </w:rPr>
              <w:t>]</w:t>
              <w:tab/>
            </w:r>
            <w:r>
              <w:rPr>
                <w:rStyle w:val="IndexLink"/>
              </w:rPr>
              <w:t>524</w:t>
            </w:r>
          </w:hyperlink>
        </w:p>
        <w:p>
          <w:pPr>
            <w:pStyle w:val="Contents2"/>
            <w:tabs>
              <w:tab w:val="clear" w:pos="8743"/>
              <w:tab w:val="right" w:pos="9026" w:leader="dot"/>
            </w:tabs>
            <w:rPr/>
          </w:pPr>
          <w:hyperlink w:anchor="__RefHeading___Toc2569222_3650668749">
            <w:r>
              <w:rPr>
                <w:webHidden/>
                <w:rStyle w:val="IndexLink"/>
                <w:rtl w:val="true"/>
              </w:rPr>
              <w:t>[</w:t>
            </w:r>
            <w:r>
              <w:rPr>
                <w:rStyle w:val="IndexLink"/>
                <w:rtl w:val="true"/>
              </w:rPr>
              <w:t>کتاب الشرکة</w:t>
            </w:r>
            <w:r>
              <w:rPr>
                <w:rStyle w:val="IndexLink"/>
                <w:rtl w:val="true"/>
              </w:rPr>
              <w:t>]</w:t>
              <w:tab/>
            </w:r>
            <w:r>
              <w:rPr>
                <w:rStyle w:val="IndexLink"/>
              </w:rPr>
              <w:t>526</w:t>
            </w:r>
          </w:hyperlink>
        </w:p>
        <w:p>
          <w:pPr>
            <w:pStyle w:val="Contents3"/>
            <w:tabs>
              <w:tab w:val="clear" w:pos="8459"/>
              <w:tab w:val="right" w:pos="9026" w:leader="dot"/>
            </w:tabs>
            <w:rPr/>
          </w:pPr>
          <w:hyperlink w:anchor="__RefHeading___Toc2569224_3650668749">
            <w:r>
              <w:rPr>
                <w:webHidden/>
                <w:rStyle w:val="IndexLink"/>
                <w:rtl w:val="true"/>
              </w:rPr>
              <w:t>اشارة</w:t>
            </w:r>
            <w:r>
              <w:rPr>
                <w:rStyle w:val="IndexLink"/>
                <w:rtl w:val="true"/>
              </w:rPr>
              <w:tab/>
            </w:r>
            <w:r>
              <w:rPr>
                <w:rStyle w:val="IndexLink"/>
              </w:rPr>
              <w:t>526</w:t>
            </w:r>
          </w:hyperlink>
        </w:p>
        <w:p>
          <w:pPr>
            <w:pStyle w:val="Contents3"/>
            <w:tabs>
              <w:tab w:val="clear" w:pos="8459"/>
              <w:tab w:val="right" w:pos="9026" w:leader="dot"/>
            </w:tabs>
            <w:rPr/>
          </w:pPr>
          <w:hyperlink w:anchor="__RefHeading___Toc2569226_3650668749">
            <w:r>
              <w:rPr>
                <w:webHidden/>
                <w:rStyle w:val="IndexLink"/>
                <w:rtl w:val="true"/>
              </w:rPr>
              <w:t>[</w:t>
            </w:r>
            <w:r>
              <w:rPr>
                <w:rStyle w:val="IndexLink"/>
                <w:rtl w:val="true"/>
              </w:rPr>
              <w:t>مسائل</w:t>
            </w:r>
            <w:r>
              <w:rPr>
                <w:rStyle w:val="IndexLink"/>
                <w:rtl w:val="true"/>
              </w:rPr>
              <w:t>]</w:t>
              <w:tab/>
            </w:r>
            <w:r>
              <w:rPr>
                <w:rStyle w:val="IndexLink"/>
              </w:rPr>
              <w:t>526</w:t>
            </w:r>
          </w:hyperlink>
        </w:p>
        <w:p>
          <w:pPr>
            <w:pStyle w:val="Contents4"/>
            <w:tabs>
              <w:tab w:val="clear" w:pos="8176"/>
              <w:tab w:val="right" w:pos="9026" w:leader="dot"/>
            </w:tabs>
            <w:rPr/>
          </w:pPr>
          <w:hyperlink w:anchor="__RefHeading___Toc256922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الامتزاج قد یوجب الشرکة الواقعیّة الحقیقیّة</w:t>
            </w:r>
            <w:r>
              <w:rPr>
                <w:rStyle w:val="IndexLink"/>
                <w:rtl w:val="true"/>
              </w:rPr>
              <w:t>]</w:t>
              <w:tab/>
            </w:r>
            <w:r>
              <w:rPr>
                <w:rStyle w:val="IndexLink"/>
              </w:rPr>
              <w:t>526</w:t>
            </w:r>
          </w:hyperlink>
        </w:p>
        <w:p>
          <w:pPr>
            <w:pStyle w:val="Contents4"/>
            <w:tabs>
              <w:tab w:val="clear" w:pos="8176"/>
              <w:tab w:val="right" w:pos="9026" w:leader="dot"/>
            </w:tabs>
            <w:rPr/>
          </w:pPr>
          <w:hyperlink w:anchor="__RefHeading___Toc256923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یجوز لبعض الشرکاء التصرّف فی المال المشترک إلّا برضا الباقین</w:t>
            </w:r>
            <w:r>
              <w:rPr>
                <w:rStyle w:val="IndexLink"/>
                <w:rtl w:val="true"/>
              </w:rPr>
              <w:t>]</w:t>
              <w:tab/>
            </w:r>
            <w:r>
              <w:rPr>
                <w:rStyle w:val="IndexLink"/>
              </w:rPr>
              <w:t>527</w:t>
            </w:r>
          </w:hyperlink>
        </w:p>
        <w:p>
          <w:pPr>
            <w:pStyle w:val="Contents4"/>
            <w:tabs>
              <w:tab w:val="clear" w:pos="8176"/>
              <w:tab w:val="right" w:pos="9026" w:leader="dot"/>
            </w:tabs>
            <w:rPr/>
          </w:pPr>
          <w:hyperlink w:anchor="__RefHeading___Toc256923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کما تطلق الشرکة علی المعنی المتقدّم و هو کون شی‌ء واحد لاثنین أو أزید</w:t>
            </w:r>
            <w:r>
              <w:rPr>
                <w:rStyle w:val="IndexLink"/>
                <w:rtl w:val="true"/>
              </w:rPr>
              <w:t>]</w:t>
              <w:tab/>
            </w:r>
            <w:r>
              <w:rPr>
                <w:rStyle w:val="IndexLink"/>
              </w:rPr>
              <w:t>527</w:t>
            </w:r>
          </w:hyperlink>
        </w:p>
        <w:p>
          <w:pPr>
            <w:pStyle w:val="Contents4"/>
            <w:tabs>
              <w:tab w:val="clear" w:pos="8176"/>
              <w:tab w:val="right" w:pos="9026" w:leader="dot"/>
            </w:tabs>
            <w:rPr/>
          </w:pPr>
          <w:hyperlink w:anchor="__RefHeading___Toc256923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یعتبر فی الشرکة العقدیّة کلّ ما اعتبر فی العقود المالیّة</w:t>
            </w:r>
            <w:r>
              <w:rPr>
                <w:rStyle w:val="IndexLink"/>
                <w:rtl w:val="true"/>
              </w:rPr>
              <w:t>]</w:t>
              <w:tab/>
            </w:r>
            <w:r>
              <w:rPr>
                <w:rStyle w:val="IndexLink"/>
              </w:rPr>
              <w:t>527</w:t>
            </w:r>
          </w:hyperlink>
        </w:p>
        <w:p>
          <w:pPr>
            <w:pStyle w:val="Contents4"/>
            <w:tabs>
              <w:tab w:val="clear" w:pos="8176"/>
              <w:tab w:val="right" w:pos="9026" w:leader="dot"/>
            </w:tabs>
            <w:rPr/>
          </w:pPr>
          <w:hyperlink w:anchor="__RefHeading___Toc256923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تصحّ الشرکة العقدیّة إلّا فی الأموال</w:t>
            </w:r>
            <w:r>
              <w:rPr>
                <w:rStyle w:val="IndexLink"/>
                <w:rtl w:val="true"/>
              </w:rPr>
              <w:t>]</w:t>
              <w:tab/>
            </w:r>
            <w:r>
              <w:rPr>
                <w:rStyle w:val="IndexLink"/>
              </w:rPr>
              <w:t>528</w:t>
            </w:r>
          </w:hyperlink>
        </w:p>
        <w:p>
          <w:pPr>
            <w:pStyle w:val="Contents4"/>
            <w:tabs>
              <w:tab w:val="clear" w:pos="8176"/>
              <w:tab w:val="right" w:pos="9026" w:leader="dot"/>
            </w:tabs>
            <w:rPr/>
          </w:pPr>
          <w:hyperlink w:anchor="__RefHeading___Toc256923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آجر اثنان نفسهما بعقد واحد لعمل واحد بأُجرة معیّنة، کانت الأُجرة مشترکة بینهما</w:t>
            </w:r>
            <w:r>
              <w:rPr>
                <w:rStyle w:val="IndexLink"/>
                <w:rtl w:val="true"/>
              </w:rPr>
              <w:t>]</w:t>
              <w:tab/>
            </w:r>
            <w:r>
              <w:rPr>
                <w:rStyle w:val="IndexLink"/>
              </w:rPr>
              <w:t>528</w:t>
            </w:r>
          </w:hyperlink>
        </w:p>
        <w:p>
          <w:pPr>
            <w:pStyle w:val="Contents4"/>
            <w:tabs>
              <w:tab w:val="clear" w:pos="8176"/>
              <w:tab w:val="right" w:pos="9026" w:leader="dot"/>
            </w:tabs>
            <w:rPr/>
          </w:pPr>
          <w:hyperlink w:anchor="__RefHeading___Toc2569240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حیث إنّ الشرکة العنانیّة هی العقد علی المعاملة و التکسّب بالمال</w:t>
            </w:r>
            <w:r>
              <w:rPr>
                <w:rStyle w:val="IndexLink"/>
                <w:rtl w:val="true"/>
              </w:rPr>
              <w:t>]</w:t>
              <w:tab/>
            </w:r>
            <w:r>
              <w:rPr>
                <w:rStyle w:val="IndexLink"/>
              </w:rPr>
              <w:t>528</w:t>
            </w:r>
          </w:hyperlink>
        </w:p>
        <w:p>
          <w:pPr>
            <w:pStyle w:val="Contents4"/>
            <w:tabs>
              <w:tab w:val="clear" w:pos="8176"/>
              <w:tab w:val="right" w:pos="9026" w:leader="dot"/>
            </w:tabs>
            <w:rPr/>
          </w:pPr>
          <w:hyperlink w:anchor="__RefHeading___Toc2569242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إطلاق عقد الشرکة یقتضی جواز تصرّف کلّ منهما بالتکسّب برأس المال</w:t>
            </w:r>
            <w:r>
              <w:rPr>
                <w:rStyle w:val="IndexLink"/>
                <w:rtl w:val="true"/>
              </w:rPr>
              <w:t>]</w:t>
              <w:tab/>
            </w:r>
            <w:r>
              <w:rPr>
                <w:rStyle w:val="IndexLink"/>
              </w:rPr>
              <w:t>529</w:t>
            </w:r>
          </w:hyperlink>
        </w:p>
        <w:p>
          <w:pPr>
            <w:pStyle w:val="Contents4"/>
            <w:tabs>
              <w:tab w:val="clear" w:pos="8176"/>
              <w:tab w:val="right" w:pos="9026" w:leader="dot"/>
            </w:tabs>
            <w:rPr/>
          </w:pPr>
          <w:hyperlink w:anchor="__RefHeading___Toc2569244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حیث إنّ کلّ واحد من الشریکین کالوکیل و العامل عن الآخر</w:t>
            </w:r>
            <w:r>
              <w:rPr>
                <w:rStyle w:val="IndexLink"/>
                <w:rtl w:val="true"/>
              </w:rPr>
              <w:t>]</w:t>
              <w:tab/>
            </w:r>
            <w:r>
              <w:rPr>
                <w:rStyle w:val="IndexLink"/>
              </w:rPr>
              <w:t>530</w:t>
            </w:r>
          </w:hyperlink>
        </w:p>
        <w:p>
          <w:pPr>
            <w:pStyle w:val="Contents4"/>
            <w:tabs>
              <w:tab w:val="clear" w:pos="8176"/>
              <w:tab w:val="right" w:pos="9026" w:leader="dot"/>
            </w:tabs>
            <w:rPr/>
          </w:pPr>
          <w:hyperlink w:anchor="__RefHeading___Toc2569246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إطلاق الشرکة یقتضی بسط الربح و الخسران علی الشریکین علیٰ نسبة مالهما</w:t>
            </w:r>
            <w:r>
              <w:rPr>
                <w:rStyle w:val="IndexLink"/>
                <w:rtl w:val="true"/>
              </w:rPr>
              <w:t>]</w:t>
              <w:tab/>
            </w:r>
            <w:r>
              <w:rPr>
                <w:rStyle w:val="IndexLink"/>
              </w:rPr>
              <w:t>530</w:t>
            </w:r>
          </w:hyperlink>
        </w:p>
        <w:p>
          <w:pPr>
            <w:pStyle w:val="Contents4"/>
            <w:tabs>
              <w:tab w:val="clear" w:pos="8176"/>
              <w:tab w:val="right" w:pos="9026" w:leader="dot"/>
            </w:tabs>
            <w:rPr/>
          </w:pPr>
          <w:hyperlink w:anchor="__RefHeading___Toc2569248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العامل من الشریکین أمین، فلا یضمن التلف إذا لم یکن تعدٍّ منه و لا تفریط</w:t>
            </w:r>
            <w:r>
              <w:rPr>
                <w:rStyle w:val="IndexLink"/>
                <w:rtl w:val="true"/>
              </w:rPr>
              <w:t>]</w:t>
              <w:tab/>
            </w:r>
            <w:r>
              <w:rPr>
                <w:rStyle w:val="IndexLink"/>
              </w:rPr>
              <w:t>530</w:t>
            </w:r>
          </w:hyperlink>
        </w:p>
        <w:p>
          <w:pPr>
            <w:pStyle w:val="Contents4"/>
            <w:tabs>
              <w:tab w:val="clear" w:pos="8176"/>
              <w:tab w:val="right" w:pos="9026" w:leader="dot"/>
            </w:tabs>
            <w:rPr/>
          </w:pPr>
          <w:hyperlink w:anchor="__RefHeading___Toc2569250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عقد الشرکة جائز من الطرفین</w:t>
            </w:r>
            <w:r>
              <w:rPr>
                <w:rStyle w:val="IndexLink"/>
                <w:rtl w:val="true"/>
              </w:rPr>
              <w:t>]</w:t>
              <w:tab/>
            </w:r>
            <w:r>
              <w:rPr>
                <w:rStyle w:val="IndexLink"/>
              </w:rPr>
              <w:t>530</w:t>
            </w:r>
          </w:hyperlink>
        </w:p>
        <w:p>
          <w:pPr>
            <w:pStyle w:val="Contents4"/>
            <w:tabs>
              <w:tab w:val="clear" w:pos="8176"/>
              <w:tab w:val="right" w:pos="9026" w:leader="dot"/>
            </w:tabs>
            <w:rPr/>
          </w:pPr>
          <w:hyperlink w:anchor="__RefHeading___Toc2569252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لو جعلا للشرکة أجلًا لم یلزم، فیجوز لکلّ منهما الرجوع قبل انقضائه</w:t>
            </w:r>
            <w:r>
              <w:rPr>
                <w:rStyle w:val="IndexLink"/>
                <w:rtl w:val="true"/>
              </w:rPr>
              <w:t>]</w:t>
              <w:tab/>
            </w:r>
            <w:r>
              <w:rPr>
                <w:rStyle w:val="IndexLink"/>
              </w:rPr>
              <w:t>531</w:t>
            </w:r>
          </w:hyperlink>
        </w:p>
        <w:p>
          <w:pPr>
            <w:pStyle w:val="Contents4"/>
            <w:tabs>
              <w:tab w:val="clear" w:pos="8176"/>
              <w:tab w:val="right" w:pos="9026" w:leader="dot"/>
            </w:tabs>
            <w:rPr/>
          </w:pPr>
          <w:hyperlink w:anchor="__RefHeading___Toc2569254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إذا تبیّن بطلان عقد الشرکة کانت المعاملات الواقعة قبله محکومة بالصحّة</w:t>
            </w:r>
            <w:r>
              <w:rPr>
                <w:rStyle w:val="IndexLink"/>
                <w:rtl w:val="true"/>
              </w:rPr>
              <w:t>]</w:t>
              <w:tab/>
            </w:r>
            <w:r>
              <w:rPr>
                <w:rStyle w:val="IndexLink"/>
              </w:rPr>
              <w:t>531</w:t>
            </w:r>
          </w:hyperlink>
        </w:p>
        <w:p>
          <w:pPr>
            <w:pStyle w:val="Contents3"/>
            <w:tabs>
              <w:tab w:val="clear" w:pos="8459"/>
              <w:tab w:val="right" w:pos="9026" w:leader="dot"/>
            </w:tabs>
            <w:rPr/>
          </w:pPr>
          <w:hyperlink w:anchor="__RefHeading___Toc2569256_3650668749">
            <w:r>
              <w:rPr>
                <w:webHidden/>
                <w:rStyle w:val="IndexLink"/>
                <w:rtl w:val="true"/>
              </w:rPr>
              <w:t>[</w:t>
            </w:r>
            <w:r>
              <w:rPr>
                <w:rStyle w:val="IndexLink"/>
                <w:rtl w:val="true"/>
              </w:rPr>
              <w:t>القول فی القسمة</w:t>
            </w:r>
            <w:r>
              <w:rPr>
                <w:rStyle w:val="IndexLink"/>
                <w:rtl w:val="true"/>
              </w:rPr>
              <w:t>]</w:t>
              <w:tab/>
            </w:r>
            <w:r>
              <w:rPr>
                <w:rStyle w:val="IndexLink"/>
              </w:rPr>
              <w:t>531</w:t>
            </w:r>
          </w:hyperlink>
        </w:p>
        <w:p>
          <w:pPr>
            <w:pStyle w:val="Contents4"/>
            <w:tabs>
              <w:tab w:val="clear" w:pos="8176"/>
              <w:tab w:val="right" w:pos="9026" w:leader="dot"/>
            </w:tabs>
            <w:rPr/>
          </w:pPr>
          <w:hyperlink w:anchor="__RefHeading___Toc2569258_3650668749">
            <w:r>
              <w:rPr>
                <w:webHidden/>
                <w:rStyle w:val="IndexLink"/>
                <w:rtl w:val="true"/>
              </w:rPr>
              <w:t>اشارة</w:t>
            </w:r>
            <w:r>
              <w:rPr>
                <w:rStyle w:val="IndexLink"/>
                <w:rtl w:val="true"/>
              </w:rPr>
              <w:tab/>
            </w:r>
            <w:r>
              <w:rPr>
                <w:rStyle w:val="IndexLink"/>
              </w:rPr>
              <w:t>531</w:t>
            </w:r>
          </w:hyperlink>
        </w:p>
        <w:p>
          <w:pPr>
            <w:pStyle w:val="Contents4"/>
            <w:tabs>
              <w:tab w:val="clear" w:pos="8176"/>
              <w:tab w:val="right" w:pos="9026" w:leader="dot"/>
            </w:tabs>
            <w:rPr/>
          </w:pPr>
          <w:hyperlink w:anchor="__RefHeading___Toc256926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بدّ فی القسمة من تعدیل السهام</w:t>
            </w:r>
            <w:r>
              <w:rPr>
                <w:rStyle w:val="IndexLink"/>
                <w:rtl w:val="true"/>
              </w:rPr>
              <w:t>]</w:t>
              <w:tab/>
            </w:r>
            <w:r>
              <w:rPr>
                <w:rStyle w:val="IndexLink"/>
              </w:rPr>
              <w:t>531</w:t>
            </w:r>
          </w:hyperlink>
        </w:p>
        <w:p>
          <w:pPr>
            <w:pStyle w:val="Contents4"/>
            <w:tabs>
              <w:tab w:val="clear" w:pos="8176"/>
              <w:tab w:val="right" w:pos="9026" w:leader="dot"/>
            </w:tabs>
            <w:rPr/>
          </w:pPr>
          <w:hyperlink w:anchor="__RefHeading___Toc256926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الأموال المشترکة قد لا یتأتّیٰ فیها إلّا قسمة الإفراز</w:t>
            </w:r>
            <w:r>
              <w:rPr>
                <w:rStyle w:val="IndexLink"/>
                <w:rtl w:val="true"/>
              </w:rPr>
              <w:t>]</w:t>
              <w:tab/>
            </w:r>
            <w:r>
              <w:rPr>
                <w:rStyle w:val="IndexLink"/>
              </w:rPr>
              <w:t>532</w:t>
            </w:r>
          </w:hyperlink>
        </w:p>
        <w:p>
          <w:pPr>
            <w:pStyle w:val="Contents4"/>
            <w:tabs>
              <w:tab w:val="clear" w:pos="8176"/>
              <w:tab w:val="right" w:pos="9026" w:leader="dot"/>
            </w:tabs>
            <w:rPr/>
          </w:pPr>
          <w:hyperlink w:anchor="__RefHeading___Toc256926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یعتبر فی القسمة تعیین مقدار السهام بعد أن کانت معدّلة</w:t>
            </w:r>
            <w:r>
              <w:rPr>
                <w:rStyle w:val="IndexLink"/>
                <w:rtl w:val="true"/>
              </w:rPr>
              <w:t>]</w:t>
              <w:tab/>
            </w:r>
            <w:r>
              <w:rPr>
                <w:rStyle w:val="IndexLink"/>
              </w:rPr>
              <w:t>533</w:t>
            </w:r>
          </w:hyperlink>
        </w:p>
        <w:p>
          <w:pPr>
            <w:pStyle w:val="Contents4"/>
            <w:tabs>
              <w:tab w:val="clear" w:pos="8176"/>
              <w:tab w:val="right" w:pos="9026" w:leader="dot"/>
            </w:tabs>
            <w:rPr/>
          </w:pPr>
          <w:hyperlink w:anchor="__RefHeading___Toc256926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طلب أحد الشریکین القسمة بأحد أقسامها</w:t>
            </w:r>
            <w:r>
              <w:rPr>
                <w:rStyle w:val="IndexLink"/>
                <w:rtl w:val="true"/>
              </w:rPr>
              <w:t>]</w:t>
              <w:tab/>
            </w:r>
            <w:r>
              <w:rPr>
                <w:rStyle w:val="IndexLink"/>
              </w:rPr>
              <w:t>533</w:t>
            </w:r>
          </w:hyperlink>
        </w:p>
        <w:p>
          <w:pPr>
            <w:pStyle w:val="Contents4"/>
            <w:tabs>
              <w:tab w:val="clear" w:pos="8176"/>
              <w:tab w:val="right" w:pos="9026" w:leader="dot"/>
            </w:tabs>
            <w:rPr/>
          </w:pPr>
          <w:hyperlink w:anchor="__RefHeading___Toc256926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اشترک اثنان فی دار ذات علو و سفل</w:t>
            </w:r>
            <w:r>
              <w:rPr>
                <w:rStyle w:val="IndexLink"/>
                <w:rtl w:val="true"/>
              </w:rPr>
              <w:t>]</w:t>
              <w:tab/>
            </w:r>
            <w:r>
              <w:rPr>
                <w:rStyle w:val="IndexLink"/>
              </w:rPr>
              <w:t>534</w:t>
            </w:r>
          </w:hyperlink>
        </w:p>
        <w:p>
          <w:pPr>
            <w:pStyle w:val="Contents4"/>
            <w:tabs>
              <w:tab w:val="clear" w:pos="8176"/>
              <w:tab w:val="right" w:pos="9026" w:leader="dot"/>
            </w:tabs>
            <w:rPr/>
          </w:pPr>
          <w:hyperlink w:anchor="__RefHeading___Toc256927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کانت دار ذات بیوت، أو خان ذات حجر بین جماعة، و طلب بعض الشرکاء القسمة</w:t>
            </w:r>
            <w:r>
              <w:rPr>
                <w:rStyle w:val="IndexLink"/>
                <w:rtl w:val="true"/>
              </w:rPr>
              <w:t>]</w:t>
              <w:tab/>
            </w:r>
            <w:r>
              <w:rPr>
                <w:rStyle w:val="IndexLink"/>
              </w:rPr>
              <w:t>534</w:t>
            </w:r>
          </w:hyperlink>
        </w:p>
        <w:p>
          <w:pPr>
            <w:pStyle w:val="Contents4"/>
            <w:tabs>
              <w:tab w:val="clear" w:pos="8176"/>
              <w:tab w:val="right" w:pos="9026" w:leader="dot"/>
            </w:tabs>
            <w:rPr/>
          </w:pPr>
          <w:hyperlink w:anchor="__RefHeading___Toc256927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کانت بینهما بستان مشتملة علیٰ نخیل و أشجار، فقسمتها بأشجارها و نخیلها بالتعدیل قسمة إجبار</w:t>
            </w:r>
            <w:r>
              <w:rPr>
                <w:rStyle w:val="IndexLink"/>
                <w:rtl w:val="true"/>
              </w:rPr>
              <w:t>]</w:t>
              <w:tab/>
            </w:r>
            <w:r>
              <w:rPr>
                <w:rStyle w:val="IndexLink"/>
              </w:rPr>
              <w:t>534</w:t>
            </w:r>
          </w:hyperlink>
        </w:p>
        <w:p>
          <w:pPr>
            <w:pStyle w:val="Contents4"/>
            <w:tabs>
              <w:tab w:val="clear" w:pos="8176"/>
              <w:tab w:val="right" w:pos="9026" w:leader="dot"/>
            </w:tabs>
            <w:rPr/>
          </w:pPr>
          <w:hyperlink w:anchor="__RefHeading___Toc256927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کانت بینهما أرض مزروعة، یجوز قسمة کلّ من الأرض و الزرع قصیلًا کان أو سنبلًا علیٰ حدة</w:t>
            </w:r>
            <w:r>
              <w:rPr>
                <w:rStyle w:val="IndexLink"/>
                <w:rtl w:val="true"/>
              </w:rPr>
              <w:t>]</w:t>
              <w:tab/>
            </w:r>
            <w:r>
              <w:rPr>
                <w:rStyle w:val="IndexLink"/>
              </w:rPr>
              <w:t>534</w:t>
            </w:r>
          </w:hyperlink>
        </w:p>
        <w:p>
          <w:pPr>
            <w:pStyle w:val="Contents4"/>
            <w:tabs>
              <w:tab w:val="clear" w:pos="8176"/>
              <w:tab w:val="right" w:pos="9026" w:leader="dot"/>
            </w:tabs>
            <w:rPr/>
          </w:pPr>
          <w:hyperlink w:anchor="__RefHeading___Toc256927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إذا کانت بینهم دکاکین متعدّدة متجاورة أو منفصلة</w:t>
            </w:r>
            <w:r>
              <w:rPr>
                <w:rStyle w:val="IndexLink"/>
                <w:rtl w:val="true"/>
              </w:rPr>
              <w:t>]</w:t>
              <w:tab/>
            </w:r>
            <w:r>
              <w:rPr>
                <w:rStyle w:val="IndexLink"/>
              </w:rPr>
              <w:t>534</w:t>
            </w:r>
          </w:hyperlink>
        </w:p>
        <w:p>
          <w:pPr>
            <w:pStyle w:val="Contents4"/>
            <w:tabs>
              <w:tab w:val="clear" w:pos="8176"/>
              <w:tab w:val="right" w:pos="9026" w:leader="dot"/>
            </w:tabs>
            <w:rPr/>
          </w:pPr>
          <w:hyperlink w:anchor="__RefHeading___Toc2569278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إذا کان بینهما حمّام و شبهه ممّا لم یقبل القسمة الخالیة عن الضرر</w:t>
            </w:r>
            <w:r>
              <w:rPr>
                <w:rStyle w:val="IndexLink"/>
                <w:rtl w:val="true"/>
              </w:rPr>
              <w:t>]</w:t>
              <w:tab/>
            </w:r>
            <w:r>
              <w:rPr>
                <w:rStyle w:val="IndexLink"/>
              </w:rPr>
              <w:t>535</w:t>
            </w:r>
          </w:hyperlink>
        </w:p>
        <w:p>
          <w:pPr>
            <w:pStyle w:val="Contents4"/>
            <w:tabs>
              <w:tab w:val="clear" w:pos="8176"/>
              <w:tab w:val="right" w:pos="9026" w:leader="dot"/>
            </w:tabs>
            <w:rPr/>
          </w:pPr>
          <w:hyperlink w:anchor="__RefHeading___Toc2569280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لو کان لأحد الشریکین عشر من دار مثلًا</w:t>
            </w:r>
            <w:r>
              <w:rPr>
                <w:rStyle w:val="IndexLink"/>
                <w:rtl w:val="true"/>
              </w:rPr>
              <w:t>]</w:t>
              <w:tab/>
            </w:r>
            <w:r>
              <w:rPr>
                <w:rStyle w:val="IndexLink"/>
              </w:rPr>
              <w:t>535</w:t>
            </w:r>
          </w:hyperlink>
        </w:p>
        <w:p>
          <w:pPr>
            <w:pStyle w:val="Contents4"/>
            <w:tabs>
              <w:tab w:val="clear" w:pos="8176"/>
              <w:tab w:val="right" w:pos="9026" w:leader="dot"/>
            </w:tabs>
            <w:rPr/>
          </w:pPr>
          <w:hyperlink w:anchor="__RefHeading___Toc2569282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یکفی فی الضرر المانع عن الإجبار</w:t>
            </w:r>
            <w:r>
              <w:rPr>
                <w:rStyle w:val="IndexLink"/>
                <w:rtl w:val="true"/>
              </w:rPr>
              <w:t>]</w:t>
              <w:tab/>
            </w:r>
            <w:r>
              <w:rPr>
                <w:rStyle w:val="IndexLink"/>
              </w:rPr>
              <w:t>535</w:t>
            </w:r>
          </w:hyperlink>
        </w:p>
        <w:p>
          <w:pPr>
            <w:pStyle w:val="Contents4"/>
            <w:tabs>
              <w:tab w:val="clear" w:pos="8176"/>
              <w:tab w:val="right" w:pos="9026" w:leader="dot"/>
            </w:tabs>
            <w:rPr/>
          </w:pPr>
          <w:hyperlink w:anchor="__RefHeading___Toc2569284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لا بدّ فی القسمة من تعدیل السهام ثمّ القرعة</w:t>
            </w:r>
            <w:r>
              <w:rPr>
                <w:rStyle w:val="IndexLink"/>
                <w:rtl w:val="true"/>
              </w:rPr>
              <w:t>]</w:t>
              <w:tab/>
            </w:r>
            <w:r>
              <w:rPr>
                <w:rStyle w:val="IndexLink"/>
              </w:rPr>
              <w:t>535</w:t>
            </w:r>
          </w:hyperlink>
        </w:p>
        <w:p>
          <w:pPr>
            <w:pStyle w:val="Contents4"/>
            <w:tabs>
              <w:tab w:val="clear" w:pos="8176"/>
              <w:tab w:val="right" w:pos="9026" w:leader="dot"/>
            </w:tabs>
            <w:rPr/>
          </w:pPr>
          <w:hyperlink w:anchor="__RefHeading___Toc2569286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الظاهر أنّه لیست للقرعة کیفیّة خاصّة</w:t>
            </w:r>
            <w:r>
              <w:rPr>
                <w:rStyle w:val="IndexLink"/>
                <w:rtl w:val="true"/>
              </w:rPr>
              <w:t>]</w:t>
              <w:tab/>
            </w:r>
            <w:r>
              <w:rPr>
                <w:rStyle w:val="IndexLink"/>
              </w:rPr>
              <w:t>536</w:t>
            </w:r>
          </w:hyperlink>
        </w:p>
        <w:p>
          <w:pPr>
            <w:pStyle w:val="Contents4"/>
            <w:tabs>
              <w:tab w:val="clear" w:pos="8176"/>
              <w:tab w:val="right" w:pos="9026" w:leader="dot"/>
            </w:tabs>
            <w:rPr/>
          </w:pPr>
          <w:hyperlink w:anchor="__RefHeading___Toc2569288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الأقویٰ أنّه إذا بنوا علی التقسیم و عدّلوا السهام و أوقعوا القرعة</w:t>
            </w:r>
            <w:r>
              <w:rPr>
                <w:rStyle w:val="IndexLink"/>
                <w:rtl w:val="true"/>
              </w:rPr>
              <w:t>]</w:t>
              <w:tab/>
            </w:r>
            <w:r>
              <w:rPr>
                <w:rStyle w:val="IndexLink"/>
              </w:rPr>
              <w:t>536</w:t>
            </w:r>
          </w:hyperlink>
        </w:p>
        <w:p>
          <w:pPr>
            <w:pStyle w:val="Contents4"/>
            <w:tabs>
              <w:tab w:val="clear" w:pos="8176"/>
              <w:tab w:val="right" w:pos="9026" w:leader="dot"/>
            </w:tabs>
            <w:rPr/>
          </w:pPr>
          <w:hyperlink w:anchor="__RefHeading___Toc2569290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إذا طلب بعض الشرکاء المهایاة فی الانتفاع بالعین المشترکة إمّا بحسب الزمان</w:t>
            </w:r>
            <w:r>
              <w:rPr>
                <w:rStyle w:val="IndexLink"/>
                <w:rtl w:val="true"/>
              </w:rPr>
              <w:t>]</w:t>
              <w:tab/>
            </w:r>
            <w:r>
              <w:rPr>
                <w:rStyle w:val="IndexLink"/>
              </w:rPr>
              <w:t>537</w:t>
            </w:r>
          </w:hyperlink>
        </w:p>
        <w:p>
          <w:pPr>
            <w:pStyle w:val="Contents4"/>
            <w:tabs>
              <w:tab w:val="clear" w:pos="8176"/>
              <w:tab w:val="right" w:pos="9026" w:leader="dot"/>
            </w:tabs>
            <w:rPr/>
          </w:pPr>
          <w:hyperlink w:anchor="__RefHeading___Toc2569292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القسمة فی الأعیان إذا وقعت و تمّت لزمت</w:t>
            </w:r>
            <w:r>
              <w:rPr>
                <w:rStyle w:val="IndexLink"/>
                <w:rtl w:val="true"/>
              </w:rPr>
              <w:t>]</w:t>
              <w:tab/>
            </w:r>
            <w:r>
              <w:rPr>
                <w:rStyle w:val="IndexLink"/>
              </w:rPr>
              <w:t>537</w:t>
            </w:r>
          </w:hyperlink>
        </w:p>
        <w:p>
          <w:pPr>
            <w:pStyle w:val="Contents4"/>
            <w:tabs>
              <w:tab w:val="clear" w:pos="8176"/>
              <w:tab w:val="right" w:pos="9026" w:leader="dot"/>
            </w:tabs>
            <w:rPr/>
          </w:pPr>
          <w:hyperlink w:anchor="__RefHeading___Toc2569294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لا تشرع القسمة فی الدیون المشترکة</w:t>
            </w:r>
            <w:r>
              <w:rPr>
                <w:rStyle w:val="IndexLink"/>
                <w:rtl w:val="true"/>
              </w:rPr>
              <w:t>]</w:t>
              <w:tab/>
            </w:r>
            <w:r>
              <w:rPr>
                <w:rStyle w:val="IndexLink"/>
              </w:rPr>
              <w:t>537</w:t>
            </w:r>
          </w:hyperlink>
        </w:p>
        <w:p>
          <w:pPr>
            <w:pStyle w:val="Contents4"/>
            <w:tabs>
              <w:tab w:val="clear" w:pos="8176"/>
              <w:tab w:val="right" w:pos="9026" w:leader="dot"/>
            </w:tabs>
            <w:rPr/>
          </w:pPr>
          <w:hyperlink w:anchor="__RefHeading___Toc2569296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لو ادّعیٰ أحد الشریکین الغلط فی القسمة أو عدم التعدیل فیها و أنکر الآخر</w:t>
            </w:r>
            <w:r>
              <w:rPr>
                <w:rStyle w:val="IndexLink"/>
                <w:rtl w:val="true"/>
              </w:rPr>
              <w:t>]</w:t>
              <w:tab/>
            </w:r>
            <w:r>
              <w:rPr>
                <w:rStyle w:val="IndexLink"/>
              </w:rPr>
              <w:t>537</w:t>
            </w:r>
          </w:hyperlink>
        </w:p>
        <w:p>
          <w:pPr>
            <w:pStyle w:val="Contents4"/>
            <w:tabs>
              <w:tab w:val="clear" w:pos="8176"/>
              <w:tab w:val="right" w:pos="9026" w:leader="dot"/>
            </w:tabs>
            <w:rPr/>
          </w:pPr>
          <w:hyperlink w:anchor="__RefHeading___Toc2569298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إذا قسّم الشریکان فصار فی حصّة هذا بیت و فی حصّة الآخر بیت آخر</w:t>
            </w:r>
            <w:r>
              <w:rPr>
                <w:rStyle w:val="IndexLink"/>
                <w:rtl w:val="true"/>
              </w:rPr>
              <w:t>]</w:t>
              <w:tab/>
            </w:r>
            <w:r>
              <w:rPr>
                <w:rStyle w:val="IndexLink"/>
              </w:rPr>
              <w:t>537</w:t>
            </w:r>
          </w:hyperlink>
        </w:p>
        <w:p>
          <w:pPr>
            <w:pStyle w:val="Contents4"/>
            <w:tabs>
              <w:tab w:val="clear" w:pos="8176"/>
              <w:tab w:val="right" w:pos="9026" w:leader="dot"/>
            </w:tabs>
            <w:rPr/>
          </w:pPr>
          <w:hyperlink w:anchor="__RefHeading___Toc2569300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لا یجوز قسمة الوقف بین الموقوف علیهم</w:t>
            </w:r>
            <w:r>
              <w:rPr>
                <w:rStyle w:val="IndexLink"/>
                <w:rtl w:val="true"/>
              </w:rPr>
              <w:t>]</w:t>
              <w:tab/>
            </w:r>
            <w:r>
              <w:rPr>
                <w:rStyle w:val="IndexLink"/>
              </w:rPr>
              <w:t>538</w:t>
            </w:r>
          </w:hyperlink>
        </w:p>
        <w:p>
          <w:pPr>
            <w:pStyle w:val="Contents2"/>
            <w:tabs>
              <w:tab w:val="clear" w:pos="8743"/>
              <w:tab w:val="right" w:pos="9026" w:leader="dot"/>
            </w:tabs>
            <w:rPr/>
          </w:pPr>
          <w:hyperlink w:anchor="__RefHeading___Toc2569302_3650668749">
            <w:r>
              <w:rPr>
                <w:webHidden/>
                <w:rStyle w:val="IndexLink"/>
                <w:rtl w:val="true"/>
              </w:rPr>
              <w:t>[</w:t>
            </w:r>
            <w:r>
              <w:rPr>
                <w:rStyle w:val="IndexLink"/>
                <w:rtl w:val="true"/>
              </w:rPr>
              <w:t>کتاب المزارعة</w:t>
            </w:r>
            <w:r>
              <w:rPr>
                <w:rStyle w:val="IndexLink"/>
                <w:rtl w:val="true"/>
              </w:rPr>
              <w:t>]</w:t>
              <w:tab/>
            </w:r>
            <w:r>
              <w:rPr>
                <w:rStyle w:val="IndexLink"/>
              </w:rPr>
              <w:t>539</w:t>
            </w:r>
          </w:hyperlink>
        </w:p>
        <w:p>
          <w:pPr>
            <w:pStyle w:val="Contents3"/>
            <w:tabs>
              <w:tab w:val="clear" w:pos="8459"/>
              <w:tab w:val="right" w:pos="9026" w:leader="dot"/>
            </w:tabs>
            <w:rPr/>
          </w:pPr>
          <w:hyperlink w:anchor="__RefHeading___Toc2569304_3650668749">
            <w:r>
              <w:rPr>
                <w:webHidden/>
                <w:rStyle w:val="IndexLink"/>
                <w:rtl w:val="true"/>
              </w:rPr>
              <w:t>اشارة</w:t>
            </w:r>
            <w:r>
              <w:rPr>
                <w:rStyle w:val="IndexLink"/>
                <w:rtl w:val="true"/>
              </w:rPr>
              <w:tab/>
            </w:r>
            <w:r>
              <w:rPr>
                <w:rStyle w:val="IndexLink"/>
              </w:rPr>
              <w:t>539</w:t>
            </w:r>
          </w:hyperlink>
        </w:p>
        <w:p>
          <w:pPr>
            <w:pStyle w:val="Contents3"/>
            <w:tabs>
              <w:tab w:val="clear" w:pos="8459"/>
              <w:tab w:val="right" w:pos="9026" w:leader="dot"/>
            </w:tabs>
            <w:rPr/>
          </w:pPr>
          <w:hyperlink w:anchor="__RefHeading___Toc256930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یعتبر فیها زائداً علیٰ ما اعتبر فی المتعاقدین فی سائر العقود من البلوغ و العقل و القصد و الاختیار و الرشد أُمور</w:t>
            </w:r>
            <w:r>
              <w:rPr>
                <w:rStyle w:val="IndexLink"/>
                <w:rtl w:val="true"/>
              </w:rPr>
              <w:t>]</w:t>
              <w:tab/>
            </w:r>
            <w:r>
              <w:rPr>
                <w:rStyle w:val="IndexLink"/>
              </w:rPr>
              <w:t>539</w:t>
            </w:r>
          </w:hyperlink>
        </w:p>
        <w:p>
          <w:pPr>
            <w:pStyle w:val="Contents4"/>
            <w:tabs>
              <w:tab w:val="clear" w:pos="8176"/>
              <w:tab w:val="right" w:pos="9026" w:leader="dot"/>
            </w:tabs>
            <w:rPr/>
          </w:pPr>
          <w:hyperlink w:anchor="__RefHeading___Toc2569308_3650668749">
            <w:r>
              <w:rPr>
                <w:webHidden/>
                <w:rStyle w:val="IndexLink"/>
                <w:rtl w:val="true"/>
              </w:rPr>
              <w:t>اشارة</w:t>
            </w:r>
            <w:r>
              <w:rPr>
                <w:rStyle w:val="IndexLink"/>
                <w:rtl w:val="true"/>
              </w:rPr>
              <w:tab/>
            </w:r>
            <w:r>
              <w:rPr>
                <w:rStyle w:val="IndexLink"/>
              </w:rPr>
              <w:t>539</w:t>
            </w:r>
          </w:hyperlink>
        </w:p>
        <w:p>
          <w:pPr>
            <w:pStyle w:val="Contents4"/>
            <w:tabs>
              <w:tab w:val="clear" w:pos="8176"/>
              <w:tab w:val="right" w:pos="9026" w:leader="dot"/>
            </w:tabs>
            <w:rPr/>
          </w:pPr>
          <w:hyperlink w:anchor="__RefHeading___Toc2569310_3650668749">
            <w:r>
              <w:rPr>
                <w:webHidden/>
                <w:rStyle w:val="IndexLink"/>
                <w:rtl w:val="true"/>
              </w:rPr>
              <w:t>[</w:t>
            </w:r>
            <w:r>
              <w:rPr>
                <w:rStyle w:val="IndexLink"/>
                <w:rtl w:val="true"/>
              </w:rPr>
              <w:t>أحدها</w:t>
            </w:r>
            <w:r>
              <w:rPr>
                <w:rStyle w:val="IndexLink"/>
                <w:rtl w:val="true"/>
              </w:rPr>
              <w:t xml:space="preserve">: </w:t>
            </w:r>
            <w:r>
              <w:rPr>
                <w:rStyle w:val="IndexLink"/>
                <w:rtl w:val="true"/>
              </w:rPr>
              <w:t>جعل الحاصل مشاعاً بینهما</w:t>
            </w:r>
            <w:r>
              <w:rPr>
                <w:rStyle w:val="IndexLink"/>
                <w:rtl w:val="true"/>
              </w:rPr>
              <w:t>]</w:t>
              <w:tab/>
            </w:r>
            <w:r>
              <w:rPr>
                <w:rStyle w:val="IndexLink"/>
              </w:rPr>
              <w:t>539</w:t>
            </w:r>
          </w:hyperlink>
        </w:p>
        <w:p>
          <w:pPr>
            <w:pStyle w:val="Contents4"/>
            <w:tabs>
              <w:tab w:val="clear" w:pos="8176"/>
              <w:tab w:val="right" w:pos="9026" w:leader="dot"/>
            </w:tabs>
            <w:rPr/>
          </w:pPr>
          <w:hyperlink w:anchor="__RefHeading___Toc2569312_3650668749">
            <w:r>
              <w:rPr>
                <w:webHidden/>
                <w:rStyle w:val="IndexLink"/>
                <w:rtl w:val="true"/>
              </w:rPr>
              <w:t>[</w:t>
            </w:r>
            <w:r>
              <w:rPr>
                <w:rStyle w:val="IndexLink"/>
                <w:rtl w:val="true"/>
              </w:rPr>
              <w:t>ثانیها</w:t>
            </w:r>
            <w:r>
              <w:rPr>
                <w:rStyle w:val="IndexLink"/>
                <w:rtl w:val="true"/>
              </w:rPr>
              <w:t xml:space="preserve">: </w:t>
            </w:r>
            <w:r>
              <w:rPr>
                <w:rStyle w:val="IndexLink"/>
                <w:rtl w:val="true"/>
              </w:rPr>
              <w:t>تعیین حصّة الزارع</w:t>
            </w:r>
            <w:r>
              <w:rPr>
                <w:rStyle w:val="IndexLink"/>
                <w:rtl w:val="true"/>
              </w:rPr>
              <w:t>]</w:t>
              <w:tab/>
            </w:r>
            <w:r>
              <w:rPr>
                <w:rStyle w:val="IndexLink"/>
              </w:rPr>
              <w:t>539</w:t>
            </w:r>
          </w:hyperlink>
        </w:p>
        <w:p>
          <w:pPr>
            <w:pStyle w:val="Contents4"/>
            <w:tabs>
              <w:tab w:val="clear" w:pos="8176"/>
              <w:tab w:val="right" w:pos="9026" w:leader="dot"/>
            </w:tabs>
            <w:rPr/>
          </w:pPr>
          <w:hyperlink w:anchor="__RefHeading___Toc2569314_3650668749">
            <w:r>
              <w:rPr>
                <w:webHidden/>
                <w:rStyle w:val="IndexLink"/>
                <w:rtl w:val="true"/>
              </w:rPr>
              <w:t>[</w:t>
            </w:r>
            <w:r>
              <w:rPr>
                <w:rStyle w:val="IndexLink"/>
                <w:rtl w:val="true"/>
              </w:rPr>
              <w:t>ثالثها</w:t>
            </w:r>
            <w:r>
              <w:rPr>
                <w:rStyle w:val="IndexLink"/>
                <w:rtl w:val="true"/>
              </w:rPr>
              <w:t xml:space="preserve">: </w:t>
            </w:r>
            <w:r>
              <w:rPr>
                <w:rStyle w:val="IndexLink"/>
                <w:rtl w:val="true"/>
              </w:rPr>
              <w:t>تعیین المدّة بالأشهر أو السنین</w:t>
            </w:r>
            <w:r>
              <w:rPr>
                <w:rStyle w:val="IndexLink"/>
                <w:rtl w:val="true"/>
              </w:rPr>
              <w:t>]</w:t>
              <w:tab/>
            </w:r>
            <w:r>
              <w:rPr>
                <w:rStyle w:val="IndexLink"/>
              </w:rPr>
              <w:t>539</w:t>
            </w:r>
          </w:hyperlink>
        </w:p>
        <w:p>
          <w:pPr>
            <w:pStyle w:val="Contents4"/>
            <w:tabs>
              <w:tab w:val="clear" w:pos="8176"/>
              <w:tab w:val="right" w:pos="9026" w:leader="dot"/>
            </w:tabs>
            <w:rPr/>
          </w:pPr>
          <w:hyperlink w:anchor="__RefHeading___Toc2569316_3650668749">
            <w:r>
              <w:rPr>
                <w:webHidden/>
                <w:rStyle w:val="IndexLink"/>
                <w:rtl w:val="true"/>
              </w:rPr>
              <w:t>[</w:t>
            </w:r>
            <w:r>
              <w:rPr>
                <w:rStyle w:val="IndexLink"/>
                <w:rtl w:val="true"/>
              </w:rPr>
              <w:t>رابعها</w:t>
            </w:r>
            <w:r>
              <w:rPr>
                <w:rStyle w:val="IndexLink"/>
                <w:rtl w:val="true"/>
              </w:rPr>
              <w:t xml:space="preserve">: </w:t>
            </w:r>
            <w:r>
              <w:rPr>
                <w:rStyle w:val="IndexLink"/>
                <w:rtl w:val="true"/>
              </w:rPr>
              <w:t>أن تکون الأرض قابلة للزرع</w:t>
            </w:r>
            <w:r>
              <w:rPr>
                <w:rStyle w:val="IndexLink"/>
                <w:rtl w:val="true"/>
              </w:rPr>
              <w:t>]</w:t>
              <w:tab/>
            </w:r>
            <w:r>
              <w:rPr>
                <w:rStyle w:val="IndexLink"/>
              </w:rPr>
              <w:t>539</w:t>
            </w:r>
          </w:hyperlink>
        </w:p>
        <w:p>
          <w:pPr>
            <w:pStyle w:val="Contents4"/>
            <w:tabs>
              <w:tab w:val="clear" w:pos="8176"/>
              <w:tab w:val="right" w:pos="9026" w:leader="dot"/>
            </w:tabs>
            <w:rPr/>
          </w:pPr>
          <w:hyperlink w:anchor="__RefHeading___Toc2569318_3650668749">
            <w:r>
              <w:rPr>
                <w:webHidden/>
                <w:rStyle w:val="IndexLink"/>
                <w:rtl w:val="true"/>
              </w:rPr>
              <w:t>[</w:t>
            </w:r>
            <w:r>
              <w:rPr>
                <w:rStyle w:val="IndexLink"/>
                <w:rtl w:val="true"/>
              </w:rPr>
              <w:t>خامسها</w:t>
            </w:r>
            <w:r>
              <w:rPr>
                <w:rStyle w:val="IndexLink"/>
                <w:rtl w:val="true"/>
              </w:rPr>
              <w:t xml:space="preserve">: </w:t>
            </w:r>
            <w:r>
              <w:rPr>
                <w:rStyle w:val="IndexLink"/>
                <w:rtl w:val="true"/>
              </w:rPr>
              <w:t>تعیین المزروع</w:t>
            </w:r>
            <w:r>
              <w:rPr>
                <w:rStyle w:val="IndexLink"/>
                <w:rtl w:val="true"/>
              </w:rPr>
              <w:t>]</w:t>
              <w:tab/>
            </w:r>
            <w:r>
              <w:rPr>
                <w:rStyle w:val="IndexLink"/>
              </w:rPr>
              <w:t>540</w:t>
            </w:r>
          </w:hyperlink>
        </w:p>
        <w:p>
          <w:pPr>
            <w:pStyle w:val="Contents4"/>
            <w:tabs>
              <w:tab w:val="clear" w:pos="8176"/>
              <w:tab w:val="right" w:pos="9026" w:leader="dot"/>
            </w:tabs>
            <w:rPr/>
          </w:pPr>
          <w:hyperlink w:anchor="__RefHeading___Toc2569320_3650668749">
            <w:r>
              <w:rPr>
                <w:webHidden/>
                <w:rStyle w:val="IndexLink"/>
                <w:rtl w:val="true"/>
              </w:rPr>
              <w:t>[</w:t>
            </w:r>
            <w:r>
              <w:rPr>
                <w:rStyle w:val="IndexLink"/>
                <w:rtl w:val="true"/>
              </w:rPr>
              <w:t>سادسها</w:t>
            </w:r>
            <w:r>
              <w:rPr>
                <w:rStyle w:val="IndexLink"/>
                <w:rtl w:val="true"/>
              </w:rPr>
              <w:t xml:space="preserve">: </w:t>
            </w:r>
            <w:r>
              <w:rPr>
                <w:rStyle w:val="IndexLink"/>
                <w:rtl w:val="true"/>
              </w:rPr>
              <w:t>تعیین الأرض</w:t>
            </w:r>
            <w:r>
              <w:rPr>
                <w:rStyle w:val="IndexLink"/>
                <w:rtl w:val="true"/>
              </w:rPr>
              <w:t>]</w:t>
              <w:tab/>
            </w:r>
            <w:r>
              <w:rPr>
                <w:rStyle w:val="IndexLink"/>
              </w:rPr>
              <w:t>540</w:t>
            </w:r>
          </w:hyperlink>
        </w:p>
        <w:p>
          <w:pPr>
            <w:pStyle w:val="Contents4"/>
            <w:tabs>
              <w:tab w:val="clear" w:pos="8176"/>
              <w:tab w:val="right" w:pos="9026" w:leader="dot"/>
            </w:tabs>
            <w:rPr/>
          </w:pPr>
          <w:hyperlink w:anchor="__RefHeading___Toc2569322_3650668749">
            <w:r>
              <w:rPr>
                <w:webHidden/>
                <w:rStyle w:val="IndexLink"/>
                <w:rtl w:val="true"/>
              </w:rPr>
              <w:t>[</w:t>
            </w:r>
            <w:r>
              <w:rPr>
                <w:rStyle w:val="IndexLink"/>
                <w:rtl w:val="true"/>
              </w:rPr>
              <w:t>سابعها</w:t>
            </w:r>
            <w:r>
              <w:rPr>
                <w:rStyle w:val="IndexLink"/>
                <w:rtl w:val="true"/>
              </w:rPr>
              <w:t xml:space="preserve">: </w:t>
            </w:r>
            <w:r>
              <w:rPr>
                <w:rStyle w:val="IndexLink"/>
                <w:rtl w:val="true"/>
              </w:rPr>
              <w:t>أن یعیّنا کون البذر و سائر المصارف</w:t>
            </w:r>
            <w:r>
              <w:rPr>
                <w:rStyle w:val="IndexLink"/>
                <w:rtl w:val="true"/>
              </w:rPr>
              <w:t>]</w:t>
              <w:tab/>
            </w:r>
            <w:r>
              <w:rPr>
                <w:rStyle w:val="IndexLink"/>
              </w:rPr>
              <w:t>540</w:t>
            </w:r>
          </w:hyperlink>
        </w:p>
        <w:p>
          <w:pPr>
            <w:pStyle w:val="Contents3"/>
            <w:tabs>
              <w:tab w:val="clear" w:pos="8459"/>
              <w:tab w:val="right" w:pos="9026" w:leader="dot"/>
            </w:tabs>
            <w:rPr/>
          </w:pPr>
          <w:hyperlink w:anchor="__RefHeading___Toc256932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یعتبر فی المزارعة کون الأرض ملکاً للمزارع</w:t>
            </w:r>
            <w:r>
              <w:rPr>
                <w:rStyle w:val="IndexLink"/>
                <w:rtl w:val="true"/>
              </w:rPr>
              <w:t>]</w:t>
              <w:tab/>
            </w:r>
            <w:r>
              <w:rPr>
                <w:rStyle w:val="IndexLink"/>
              </w:rPr>
              <w:t>540</w:t>
            </w:r>
          </w:hyperlink>
        </w:p>
        <w:p>
          <w:pPr>
            <w:pStyle w:val="Contents3"/>
            <w:tabs>
              <w:tab w:val="clear" w:pos="8459"/>
              <w:tab w:val="right" w:pos="9026" w:leader="dot"/>
            </w:tabs>
            <w:rPr/>
          </w:pPr>
          <w:hyperlink w:anchor="__RefHeading___Toc256932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أذن مالک الأرض أو المزرعة إذناً عامّاً</w:t>
            </w:r>
            <w:r>
              <w:rPr>
                <w:rStyle w:val="IndexLink"/>
                <w:rtl w:val="true"/>
              </w:rPr>
              <w:t>]</w:t>
              <w:tab/>
            </w:r>
            <w:r>
              <w:rPr>
                <w:rStyle w:val="IndexLink"/>
              </w:rPr>
              <w:t>540</w:t>
            </w:r>
          </w:hyperlink>
        </w:p>
        <w:p>
          <w:pPr>
            <w:pStyle w:val="Contents3"/>
            <w:tabs>
              <w:tab w:val="clear" w:pos="8459"/>
              <w:tab w:val="right" w:pos="9026" w:leader="dot"/>
            </w:tabs>
            <w:rPr/>
          </w:pPr>
          <w:hyperlink w:anchor="__RefHeading___Toc256932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اشترطا أن یکون الحاصل بینهما بعد إخراج الخراج</w:t>
            </w:r>
            <w:r>
              <w:rPr>
                <w:rStyle w:val="IndexLink"/>
                <w:rtl w:val="true"/>
              </w:rPr>
              <w:t>]</w:t>
              <w:tab/>
            </w:r>
            <w:r>
              <w:rPr>
                <w:rStyle w:val="IndexLink"/>
              </w:rPr>
              <w:t>540</w:t>
            </w:r>
          </w:hyperlink>
        </w:p>
        <w:p>
          <w:pPr>
            <w:pStyle w:val="Contents3"/>
            <w:tabs>
              <w:tab w:val="clear" w:pos="8459"/>
              <w:tab w:val="right" w:pos="9026" w:leader="dot"/>
            </w:tabs>
            <w:rPr/>
          </w:pPr>
          <w:hyperlink w:anchor="__RefHeading___Toc256933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انقضت المدّة المعیّنة و لم یدرک الزرع لم یستحقّ الزارع إبقاءه</w:t>
            </w:r>
            <w:r>
              <w:rPr>
                <w:rStyle w:val="IndexLink"/>
                <w:rtl w:val="true"/>
              </w:rPr>
              <w:t>]</w:t>
              <w:tab/>
            </w:r>
            <w:r>
              <w:rPr>
                <w:rStyle w:val="IndexLink"/>
              </w:rPr>
              <w:t>540</w:t>
            </w:r>
          </w:hyperlink>
        </w:p>
        <w:p>
          <w:pPr>
            <w:pStyle w:val="Contents3"/>
            <w:tabs>
              <w:tab w:val="clear" w:pos="8459"/>
              <w:tab w:val="right" w:pos="9026" w:leader="dot"/>
            </w:tabs>
            <w:rPr/>
          </w:pPr>
          <w:hyperlink w:anchor="__RefHeading___Toc256933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ترک الزارع الزرع حتّی انقضت المدّة</w:t>
            </w:r>
            <w:r>
              <w:rPr>
                <w:rStyle w:val="IndexLink"/>
                <w:rtl w:val="true"/>
              </w:rPr>
              <w:t>]</w:t>
              <w:tab/>
            </w:r>
            <w:r>
              <w:rPr>
                <w:rStyle w:val="IndexLink"/>
              </w:rPr>
              <w:t>540</w:t>
            </w:r>
          </w:hyperlink>
        </w:p>
        <w:p>
          <w:pPr>
            <w:pStyle w:val="Contents3"/>
            <w:tabs>
              <w:tab w:val="clear" w:pos="8459"/>
              <w:tab w:val="right" w:pos="9026" w:leader="dot"/>
            </w:tabs>
            <w:rPr/>
          </w:pPr>
          <w:hyperlink w:anchor="__RefHeading___Toc256933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زارع علیٰ أرض ثمّ تبیّن للزارع أنّه لا ماء لها فعلًا لکن أمکن تحصیله بحفر بئر</w:t>
            </w:r>
            <w:r>
              <w:rPr>
                <w:rStyle w:val="IndexLink"/>
                <w:rtl w:val="true"/>
              </w:rPr>
              <w:t>]</w:t>
              <w:tab/>
            </w:r>
            <w:r>
              <w:rPr>
                <w:rStyle w:val="IndexLink"/>
              </w:rPr>
              <w:t>541</w:t>
            </w:r>
          </w:hyperlink>
        </w:p>
        <w:p>
          <w:pPr>
            <w:pStyle w:val="Contents3"/>
            <w:tabs>
              <w:tab w:val="clear" w:pos="8459"/>
              <w:tab w:val="right" w:pos="9026" w:leader="dot"/>
            </w:tabs>
            <w:rPr/>
          </w:pPr>
          <w:hyperlink w:anchor="__RefHeading___Toc256933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عیّن المالک له نوعاً من الزرع کالحنطة أو الشعیر أو غیرهما فزرع غیره ببذره</w:t>
            </w:r>
            <w:r>
              <w:rPr>
                <w:rStyle w:val="IndexLink"/>
                <w:rtl w:val="true"/>
              </w:rPr>
              <w:t>]</w:t>
              <w:tab/>
            </w:r>
            <w:r>
              <w:rPr>
                <w:rStyle w:val="IndexLink"/>
              </w:rPr>
              <w:t>541</w:t>
            </w:r>
          </w:hyperlink>
        </w:p>
        <w:p>
          <w:pPr>
            <w:pStyle w:val="Contents3"/>
            <w:tabs>
              <w:tab w:val="clear" w:pos="8459"/>
              <w:tab w:val="right" w:pos="9026" w:leader="dot"/>
            </w:tabs>
            <w:rPr/>
          </w:pPr>
          <w:hyperlink w:anchor="__RefHeading___Toc256933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الظاهر أنّه یعتبر فی حقیقة المزارعة کون الأرض من أحدهما و العمل من الآخر</w:t>
            </w:r>
            <w:r>
              <w:rPr>
                <w:rStyle w:val="IndexLink"/>
                <w:rtl w:val="true"/>
              </w:rPr>
              <w:t>]</w:t>
              <w:tab/>
            </w:r>
            <w:r>
              <w:rPr>
                <w:rStyle w:val="IndexLink"/>
              </w:rPr>
              <w:t>541</w:t>
            </w:r>
          </w:hyperlink>
        </w:p>
        <w:p>
          <w:pPr>
            <w:pStyle w:val="Contents3"/>
            <w:tabs>
              <w:tab w:val="clear" w:pos="8459"/>
              <w:tab w:val="right" w:pos="9026" w:leader="dot"/>
            </w:tabs>
            <w:rPr/>
          </w:pPr>
          <w:hyperlink w:anchor="__RefHeading___Toc256934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یجوز للزارع أن یشارک غیره فی مزارعته</w:t>
            </w:r>
            <w:r>
              <w:rPr>
                <w:rStyle w:val="IndexLink"/>
                <w:rtl w:val="true"/>
              </w:rPr>
              <w:t>]</w:t>
              <w:tab/>
            </w:r>
            <w:r>
              <w:rPr>
                <w:rStyle w:val="IndexLink"/>
              </w:rPr>
              <w:t>541</w:t>
            </w:r>
          </w:hyperlink>
        </w:p>
        <w:p>
          <w:pPr>
            <w:pStyle w:val="Contents3"/>
            <w:tabs>
              <w:tab w:val="clear" w:pos="8459"/>
              <w:tab w:val="right" w:pos="9026" w:leader="dot"/>
            </w:tabs>
            <w:rPr/>
          </w:pPr>
          <w:hyperlink w:anchor="__RefHeading___Toc256934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المزارعة عقد لازم من الطرفین</w:t>
            </w:r>
            <w:r>
              <w:rPr>
                <w:rStyle w:val="IndexLink"/>
                <w:rtl w:val="true"/>
              </w:rPr>
              <w:t>]</w:t>
              <w:tab/>
            </w:r>
            <w:r>
              <w:rPr>
                <w:rStyle w:val="IndexLink"/>
              </w:rPr>
              <w:t>542</w:t>
            </w:r>
          </w:hyperlink>
        </w:p>
        <w:p>
          <w:pPr>
            <w:pStyle w:val="Contents3"/>
            <w:tabs>
              <w:tab w:val="clear" w:pos="8459"/>
              <w:tab w:val="right" w:pos="9026" w:leader="dot"/>
            </w:tabs>
            <w:rPr/>
          </w:pPr>
          <w:hyperlink w:anchor="__RefHeading___Toc256934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لا تبطل المزارعة بموت أحد المتعاقدین</w:t>
            </w:r>
            <w:r>
              <w:rPr>
                <w:rStyle w:val="IndexLink"/>
                <w:rtl w:val="true"/>
              </w:rPr>
              <w:t>]</w:t>
              <w:tab/>
            </w:r>
            <w:r>
              <w:rPr>
                <w:rStyle w:val="IndexLink"/>
              </w:rPr>
              <w:t>542</w:t>
            </w:r>
          </w:hyperlink>
        </w:p>
        <w:p>
          <w:pPr>
            <w:pStyle w:val="Contents3"/>
            <w:tabs>
              <w:tab w:val="clear" w:pos="8459"/>
              <w:tab w:val="right" w:pos="9026" w:leader="dot"/>
            </w:tabs>
            <w:rPr/>
          </w:pPr>
          <w:hyperlink w:anchor="__RefHeading___Toc2569346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إذا تبیّن بطلان المزارعة بعد ما زرع الأرض</w:t>
            </w:r>
            <w:r>
              <w:rPr>
                <w:rStyle w:val="IndexLink"/>
                <w:rtl w:val="true"/>
              </w:rPr>
              <w:t>]</w:t>
              <w:tab/>
            </w:r>
            <w:r>
              <w:rPr>
                <w:rStyle w:val="IndexLink"/>
              </w:rPr>
              <w:t>542</w:t>
            </w:r>
          </w:hyperlink>
        </w:p>
        <w:p>
          <w:pPr>
            <w:pStyle w:val="Contents3"/>
            <w:tabs>
              <w:tab w:val="clear" w:pos="8459"/>
              <w:tab w:val="right" w:pos="9026" w:leader="dot"/>
            </w:tabs>
            <w:rPr/>
          </w:pPr>
          <w:hyperlink w:anchor="__RefHeading___Toc2569348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کیفیّة اشتراک العامل مع المالک فی الحاصل تابعة للجعل و القرار الواقع بینهما</w:t>
            </w:r>
            <w:r>
              <w:rPr>
                <w:rStyle w:val="IndexLink"/>
                <w:rtl w:val="true"/>
              </w:rPr>
              <w:t>]</w:t>
              <w:tab/>
            </w:r>
            <w:r>
              <w:rPr>
                <w:rStyle w:val="IndexLink"/>
              </w:rPr>
              <w:t>543</w:t>
            </w:r>
          </w:hyperlink>
        </w:p>
        <w:p>
          <w:pPr>
            <w:pStyle w:val="Contents3"/>
            <w:tabs>
              <w:tab w:val="clear" w:pos="8459"/>
              <w:tab w:val="right" w:pos="9026" w:leader="dot"/>
            </w:tabs>
            <w:rPr/>
          </w:pPr>
          <w:hyperlink w:anchor="__RefHeading___Toc2569350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خراج الأرض و مال الإجارة للأرض المستأجرة علی المزارع</w:t>
            </w:r>
            <w:r>
              <w:rPr>
                <w:rStyle w:val="IndexLink"/>
                <w:rtl w:val="true"/>
              </w:rPr>
              <w:t>]</w:t>
              <w:tab/>
            </w:r>
            <w:r>
              <w:rPr>
                <w:rStyle w:val="IndexLink"/>
              </w:rPr>
              <w:t>543</w:t>
            </w:r>
          </w:hyperlink>
        </w:p>
        <w:p>
          <w:pPr>
            <w:pStyle w:val="Contents3"/>
            <w:tabs>
              <w:tab w:val="clear" w:pos="8459"/>
              <w:tab w:val="right" w:pos="9026" w:leader="dot"/>
            </w:tabs>
            <w:rPr/>
          </w:pPr>
          <w:hyperlink w:anchor="__RefHeading___Toc2569352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یجوز لکلّ من المالک و الزارع عند بلوغ الحاصل تقبّل حصّة الآخر بحسب الخرص بمقدار معیّن</w:t>
            </w:r>
            <w:r>
              <w:rPr>
                <w:rStyle w:val="IndexLink"/>
                <w:rtl w:val="true"/>
              </w:rPr>
              <w:t>]</w:t>
              <w:tab/>
            </w:r>
            <w:r>
              <w:rPr>
                <w:rStyle w:val="IndexLink"/>
              </w:rPr>
              <w:t>544</w:t>
            </w:r>
          </w:hyperlink>
        </w:p>
        <w:p>
          <w:pPr>
            <w:pStyle w:val="Contents3"/>
            <w:tabs>
              <w:tab w:val="clear" w:pos="8459"/>
              <w:tab w:val="right" w:pos="9026" w:leader="dot"/>
            </w:tabs>
            <w:rPr/>
          </w:pPr>
          <w:hyperlink w:anchor="__RefHeading___Toc2569354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إذا بقیت فی الأرض أُصول الزرع بعد جمع الحاصل و انقضاء المدّة</w:t>
            </w:r>
            <w:r>
              <w:rPr>
                <w:rStyle w:val="IndexLink"/>
                <w:rtl w:val="true"/>
              </w:rPr>
              <w:t>]</w:t>
              <w:tab/>
            </w:r>
            <w:r>
              <w:rPr>
                <w:rStyle w:val="IndexLink"/>
              </w:rPr>
              <w:t>544</w:t>
            </w:r>
          </w:hyperlink>
        </w:p>
        <w:p>
          <w:pPr>
            <w:pStyle w:val="Contents3"/>
            <w:tabs>
              <w:tab w:val="clear" w:pos="8459"/>
              <w:tab w:val="right" w:pos="9026" w:leader="dot"/>
            </w:tabs>
            <w:rPr/>
          </w:pPr>
          <w:hyperlink w:anchor="__RefHeading___Toc2569356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یجوز المزارعة علیٰ أرض بائرة لا یمکن زرعها إلّا بعد إصلاحها و تعمیرها</w:t>
            </w:r>
            <w:r>
              <w:rPr>
                <w:rStyle w:val="IndexLink"/>
                <w:rtl w:val="true"/>
              </w:rPr>
              <w:t>]</w:t>
              <w:tab/>
            </w:r>
            <w:r>
              <w:rPr>
                <w:rStyle w:val="IndexLink"/>
              </w:rPr>
              <w:t>544</w:t>
            </w:r>
          </w:hyperlink>
        </w:p>
        <w:p>
          <w:pPr>
            <w:pStyle w:val="Contents2"/>
            <w:tabs>
              <w:tab w:val="clear" w:pos="8743"/>
              <w:tab w:val="right" w:pos="9026" w:leader="dot"/>
            </w:tabs>
            <w:rPr/>
          </w:pPr>
          <w:hyperlink w:anchor="__RefHeading___Toc2569358_3650668749">
            <w:r>
              <w:rPr>
                <w:webHidden/>
                <w:rStyle w:val="IndexLink"/>
                <w:rtl w:val="true"/>
              </w:rPr>
              <w:t>[</w:t>
            </w:r>
            <w:r>
              <w:rPr>
                <w:rStyle w:val="IndexLink"/>
                <w:rtl w:val="true"/>
              </w:rPr>
              <w:t>کتاب المساقاة</w:t>
            </w:r>
            <w:r>
              <w:rPr>
                <w:rStyle w:val="IndexLink"/>
                <w:rtl w:val="true"/>
              </w:rPr>
              <w:t>]</w:t>
              <w:tab/>
            </w:r>
            <w:r>
              <w:rPr>
                <w:rStyle w:val="IndexLink"/>
              </w:rPr>
              <w:t>545</w:t>
            </w:r>
          </w:hyperlink>
        </w:p>
        <w:p>
          <w:pPr>
            <w:pStyle w:val="Contents3"/>
            <w:tabs>
              <w:tab w:val="clear" w:pos="8459"/>
              <w:tab w:val="right" w:pos="9026" w:leader="dot"/>
            </w:tabs>
            <w:rPr/>
          </w:pPr>
          <w:hyperlink w:anchor="__RefHeading___Toc2569360_3650668749">
            <w:r>
              <w:rPr>
                <w:webHidden/>
                <w:rStyle w:val="IndexLink"/>
                <w:rtl w:val="true"/>
              </w:rPr>
              <w:t>اشارة</w:t>
            </w:r>
            <w:r>
              <w:rPr>
                <w:rStyle w:val="IndexLink"/>
                <w:rtl w:val="true"/>
              </w:rPr>
              <w:tab/>
            </w:r>
            <w:r>
              <w:rPr>
                <w:rStyle w:val="IndexLink"/>
              </w:rPr>
              <w:t>545</w:t>
            </w:r>
          </w:hyperlink>
        </w:p>
        <w:p>
          <w:pPr>
            <w:pStyle w:val="Contents3"/>
            <w:tabs>
              <w:tab w:val="clear" w:pos="8459"/>
              <w:tab w:val="right" w:pos="9026" w:leader="dot"/>
            </w:tabs>
            <w:rPr/>
          </w:pPr>
          <w:hyperlink w:anchor="__RefHeading___Toc256936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إشکال فی صحّة المساقاة قبل ظهور الثمر</w:t>
            </w:r>
            <w:r>
              <w:rPr>
                <w:rStyle w:val="IndexLink"/>
                <w:rtl w:val="true"/>
              </w:rPr>
              <w:t>]</w:t>
              <w:tab/>
            </w:r>
            <w:r>
              <w:rPr>
                <w:rStyle w:val="IndexLink"/>
              </w:rPr>
              <w:t>546</w:t>
            </w:r>
          </w:hyperlink>
        </w:p>
        <w:p>
          <w:pPr>
            <w:pStyle w:val="Contents3"/>
            <w:tabs>
              <w:tab w:val="clear" w:pos="8459"/>
              <w:tab w:val="right" w:pos="9026" w:leader="dot"/>
            </w:tabs>
            <w:rPr/>
          </w:pPr>
          <w:hyperlink w:anchor="__RefHeading___Toc256936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یجوز المساقاة علی الأشجار الغیر المثمرة کالخلاف و نحوه</w:t>
            </w:r>
            <w:r>
              <w:rPr>
                <w:rStyle w:val="IndexLink"/>
                <w:rtl w:val="true"/>
              </w:rPr>
              <w:t>]</w:t>
              <w:tab/>
            </w:r>
            <w:r>
              <w:rPr>
                <w:rStyle w:val="IndexLink"/>
              </w:rPr>
              <w:t>546</w:t>
            </w:r>
          </w:hyperlink>
        </w:p>
        <w:p>
          <w:pPr>
            <w:pStyle w:val="Contents3"/>
            <w:tabs>
              <w:tab w:val="clear" w:pos="8459"/>
              <w:tab w:val="right" w:pos="9026" w:leader="dot"/>
            </w:tabs>
            <w:rPr/>
          </w:pPr>
          <w:hyperlink w:anchor="__RefHeading___Toc256936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یجوز المساقاة علیٰ فسلان مغروسة قبل أن صارت مثمرة</w:t>
            </w:r>
            <w:r>
              <w:rPr>
                <w:rStyle w:val="IndexLink"/>
                <w:rtl w:val="true"/>
              </w:rPr>
              <w:t>]</w:t>
              <w:tab/>
            </w:r>
            <w:r>
              <w:rPr>
                <w:rStyle w:val="IndexLink"/>
              </w:rPr>
              <w:t>546</w:t>
            </w:r>
          </w:hyperlink>
        </w:p>
        <w:p>
          <w:pPr>
            <w:pStyle w:val="Contents3"/>
            <w:tabs>
              <w:tab w:val="clear" w:pos="8459"/>
              <w:tab w:val="right" w:pos="9026" w:leader="dot"/>
            </w:tabs>
            <w:rPr/>
          </w:pPr>
          <w:hyperlink w:anchor="__RefHeading___Toc256936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کانت الأشجار لا تحتاج إلی السقی لاستغنائها بماء السماء</w:t>
            </w:r>
            <w:r>
              <w:rPr>
                <w:rStyle w:val="IndexLink"/>
                <w:rtl w:val="true"/>
              </w:rPr>
              <w:t>]</w:t>
              <w:tab/>
            </w:r>
            <w:r>
              <w:rPr>
                <w:rStyle w:val="IndexLink"/>
              </w:rPr>
              <w:t>546</w:t>
            </w:r>
          </w:hyperlink>
        </w:p>
        <w:p>
          <w:pPr>
            <w:pStyle w:val="Contents3"/>
            <w:tabs>
              <w:tab w:val="clear" w:pos="8459"/>
              <w:tab w:val="right" w:pos="9026" w:leader="dot"/>
            </w:tabs>
            <w:rPr/>
          </w:pPr>
          <w:hyperlink w:anchor="__RefHeading___Toc256937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اشتملت البستان علیٰ أنواع من الشجر و النخیل</w:t>
            </w:r>
            <w:r>
              <w:rPr>
                <w:rStyle w:val="IndexLink"/>
                <w:rtl w:val="true"/>
              </w:rPr>
              <w:t>]</w:t>
              <w:tab/>
            </w:r>
            <w:r>
              <w:rPr>
                <w:rStyle w:val="IndexLink"/>
              </w:rPr>
              <w:t>546</w:t>
            </w:r>
          </w:hyperlink>
        </w:p>
        <w:p>
          <w:pPr>
            <w:pStyle w:val="Contents3"/>
            <w:tabs>
              <w:tab w:val="clear" w:pos="8459"/>
              <w:tab w:val="right" w:pos="9026" w:leader="dot"/>
            </w:tabs>
            <w:rPr/>
          </w:pPr>
          <w:hyperlink w:anchor="__RefHeading___Toc256937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من المعلوم أنّ ما یحتاج إلیه البساتین و النخیل</w:t>
            </w:r>
            <w:r>
              <w:rPr>
                <w:rStyle w:val="IndexLink"/>
                <w:rtl w:val="true"/>
              </w:rPr>
              <w:t>]</w:t>
              <w:tab/>
            </w:r>
            <w:r>
              <w:rPr>
                <w:rStyle w:val="IndexLink"/>
              </w:rPr>
              <w:t>546</w:t>
            </w:r>
          </w:hyperlink>
        </w:p>
        <w:p>
          <w:pPr>
            <w:pStyle w:val="Contents3"/>
            <w:tabs>
              <w:tab w:val="clear" w:pos="8459"/>
              <w:tab w:val="right" w:pos="9026" w:leader="dot"/>
            </w:tabs>
            <w:rPr/>
          </w:pPr>
          <w:hyperlink w:anchor="__RefHeading___Toc256937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المساقاة لازمة من الطرفین</w:t>
            </w:r>
            <w:r>
              <w:rPr>
                <w:rStyle w:val="IndexLink"/>
                <w:rtl w:val="true"/>
              </w:rPr>
              <w:t>]</w:t>
              <w:tab/>
            </w:r>
            <w:r>
              <w:rPr>
                <w:rStyle w:val="IndexLink"/>
              </w:rPr>
              <w:t>547</w:t>
            </w:r>
          </w:hyperlink>
        </w:p>
        <w:p>
          <w:pPr>
            <w:pStyle w:val="Contents3"/>
            <w:tabs>
              <w:tab w:val="clear" w:pos="8459"/>
              <w:tab w:val="right" w:pos="9026" w:leader="dot"/>
            </w:tabs>
            <w:rPr/>
          </w:pPr>
          <w:hyperlink w:anchor="__RefHeading___Toc256937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لا یشترط فی المساقاة أن یکون العامل مباشراً للعمل بنفسه</w:t>
            </w:r>
            <w:r>
              <w:rPr>
                <w:rStyle w:val="IndexLink"/>
                <w:rtl w:val="true"/>
              </w:rPr>
              <w:t>]</w:t>
              <w:tab/>
            </w:r>
            <w:r>
              <w:rPr>
                <w:rStyle w:val="IndexLink"/>
              </w:rPr>
              <w:t>547</w:t>
            </w:r>
          </w:hyperlink>
        </w:p>
        <w:p>
          <w:pPr>
            <w:pStyle w:val="Contents3"/>
            <w:tabs>
              <w:tab w:val="clear" w:pos="8459"/>
              <w:tab w:val="right" w:pos="9026" w:leader="dot"/>
            </w:tabs>
            <w:rPr/>
          </w:pPr>
          <w:hyperlink w:anchor="__RefHeading___Toc256937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یجوز أن یشترط للعامل مع الحصّة من الثمر شیئاً آخر من ذهب أو فضّة أو غیرهما</w:t>
            </w:r>
            <w:r>
              <w:rPr>
                <w:rStyle w:val="IndexLink"/>
                <w:rtl w:val="true"/>
              </w:rPr>
              <w:t>]</w:t>
              <w:tab/>
            </w:r>
            <w:r>
              <w:rPr>
                <w:rStyle w:val="IndexLink"/>
              </w:rPr>
              <w:t>547</w:t>
            </w:r>
          </w:hyperlink>
        </w:p>
        <w:p>
          <w:pPr>
            <w:pStyle w:val="Contents3"/>
            <w:tabs>
              <w:tab w:val="clear" w:pos="8459"/>
              <w:tab w:val="right" w:pos="9026" w:leader="dot"/>
            </w:tabs>
            <w:rPr/>
          </w:pPr>
          <w:hyperlink w:anchor="__RefHeading___Toc256938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کلّ موضع بطل فیه عقد المساقاة یکون الثمر للمالک و للعامل اجرة مثل عمله</w:t>
            </w:r>
            <w:r>
              <w:rPr>
                <w:rStyle w:val="IndexLink"/>
                <w:rtl w:val="true"/>
              </w:rPr>
              <w:t>]</w:t>
              <w:tab/>
            </w:r>
            <w:r>
              <w:rPr>
                <w:rStyle w:val="IndexLink"/>
              </w:rPr>
              <w:t>547</w:t>
            </w:r>
          </w:hyperlink>
        </w:p>
        <w:p>
          <w:pPr>
            <w:pStyle w:val="Contents3"/>
            <w:tabs>
              <w:tab w:val="clear" w:pos="8459"/>
              <w:tab w:val="right" w:pos="9026" w:leader="dot"/>
            </w:tabs>
            <w:rPr/>
          </w:pPr>
          <w:hyperlink w:anchor="__RefHeading___Toc256938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یملک العامل الحصّة من الثمر حین ظهوره</w:t>
            </w:r>
            <w:r>
              <w:rPr>
                <w:rStyle w:val="IndexLink"/>
                <w:rtl w:val="true"/>
              </w:rPr>
              <w:t>]</w:t>
              <w:tab/>
            </w:r>
            <w:r>
              <w:rPr>
                <w:rStyle w:val="IndexLink"/>
              </w:rPr>
              <w:t>547</w:t>
            </w:r>
          </w:hyperlink>
        </w:p>
        <w:p>
          <w:pPr>
            <w:pStyle w:val="Contents3"/>
            <w:tabs>
              <w:tab w:val="clear" w:pos="8459"/>
              <w:tab w:val="right" w:pos="9026" w:leader="dot"/>
            </w:tabs>
            <w:rPr/>
          </w:pPr>
          <w:hyperlink w:anchor="__RefHeading___Toc256938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المغارسة باطلة</w:t>
            </w:r>
            <w:r>
              <w:rPr>
                <w:rStyle w:val="IndexLink"/>
                <w:rtl w:val="true"/>
              </w:rPr>
              <w:t>]</w:t>
              <w:tab/>
            </w:r>
            <w:r>
              <w:rPr>
                <w:rStyle w:val="IndexLink"/>
              </w:rPr>
              <w:t>547</w:t>
            </w:r>
          </w:hyperlink>
        </w:p>
        <w:p>
          <w:pPr>
            <w:pStyle w:val="Contents3"/>
            <w:tabs>
              <w:tab w:val="clear" w:pos="8459"/>
              <w:tab w:val="right" w:pos="9026" w:leader="dot"/>
            </w:tabs>
            <w:rPr/>
          </w:pPr>
          <w:hyperlink w:anchor="__RefHeading___Toc2569386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بعد بطلان المغارسة یمکن أن یتوصّل إلیٰ نتیجتها بإدخالها تحت عنوان آخر مشروع</w:t>
            </w:r>
            <w:r>
              <w:rPr>
                <w:rStyle w:val="IndexLink"/>
                <w:rtl w:val="true"/>
              </w:rPr>
              <w:t>]</w:t>
              <w:tab/>
            </w:r>
            <w:r>
              <w:rPr>
                <w:rStyle w:val="IndexLink"/>
              </w:rPr>
              <w:t>548</w:t>
            </w:r>
          </w:hyperlink>
        </w:p>
        <w:p>
          <w:pPr>
            <w:pStyle w:val="Contents3"/>
            <w:tabs>
              <w:tab w:val="clear" w:pos="8459"/>
              <w:tab w:val="right" w:pos="9026" w:leader="dot"/>
            </w:tabs>
            <w:rPr/>
          </w:pPr>
          <w:hyperlink w:anchor="__RefHeading___Toc2569388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الخراج الذی یأخذه السلطان من النخیل و الأشجار فی الأراضی الخراجیّة علی المالک</w:t>
            </w:r>
            <w:r>
              <w:rPr>
                <w:rStyle w:val="IndexLink"/>
                <w:rtl w:val="true"/>
              </w:rPr>
              <w:t>]</w:t>
              <w:tab/>
            </w:r>
            <w:r>
              <w:rPr>
                <w:rStyle w:val="IndexLink"/>
              </w:rPr>
              <w:t>548</w:t>
            </w:r>
          </w:hyperlink>
        </w:p>
        <w:p>
          <w:pPr>
            <w:pStyle w:val="Contents3"/>
            <w:tabs>
              <w:tab w:val="clear" w:pos="8459"/>
              <w:tab w:val="right" w:pos="9026" w:leader="dot"/>
            </w:tabs>
            <w:rPr/>
          </w:pPr>
          <w:hyperlink w:anchor="__RefHeading___Toc2569390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لا یجوز للعامل فی المساقاة أن یساقی غیره</w:t>
            </w:r>
            <w:r>
              <w:rPr>
                <w:rStyle w:val="IndexLink"/>
                <w:rtl w:val="true"/>
              </w:rPr>
              <w:t>]</w:t>
              <w:tab/>
            </w:r>
            <w:r>
              <w:rPr>
                <w:rStyle w:val="IndexLink"/>
              </w:rPr>
              <w:t>548</w:t>
            </w:r>
          </w:hyperlink>
        </w:p>
        <w:p>
          <w:pPr>
            <w:pStyle w:val="Contents2"/>
            <w:tabs>
              <w:tab w:val="clear" w:pos="8743"/>
              <w:tab w:val="right" w:pos="9026" w:leader="dot"/>
            </w:tabs>
            <w:rPr/>
          </w:pPr>
          <w:hyperlink w:anchor="__RefHeading___Toc2569392_3650668749">
            <w:r>
              <w:rPr>
                <w:webHidden/>
                <w:rStyle w:val="IndexLink"/>
                <w:rtl w:val="true"/>
              </w:rPr>
              <w:t>[</w:t>
            </w:r>
            <w:r>
              <w:rPr>
                <w:rStyle w:val="IndexLink"/>
                <w:rtl w:val="true"/>
              </w:rPr>
              <w:t>کتاب الدین و القرض</w:t>
            </w:r>
            <w:r>
              <w:rPr>
                <w:rStyle w:val="IndexLink"/>
                <w:rtl w:val="true"/>
              </w:rPr>
              <w:t>]</w:t>
              <w:tab/>
            </w:r>
            <w:r>
              <w:rPr>
                <w:rStyle w:val="IndexLink"/>
              </w:rPr>
              <w:t>549</w:t>
            </w:r>
          </w:hyperlink>
        </w:p>
        <w:p>
          <w:pPr>
            <w:pStyle w:val="Contents3"/>
            <w:tabs>
              <w:tab w:val="clear" w:pos="8459"/>
              <w:tab w:val="right" w:pos="9026" w:leader="dot"/>
            </w:tabs>
            <w:rPr/>
          </w:pPr>
          <w:hyperlink w:anchor="__RefHeading___Toc2569394_3650668749">
            <w:r>
              <w:rPr>
                <w:webHidden/>
                <w:rStyle w:val="IndexLink"/>
                <w:rtl w:val="true"/>
              </w:rPr>
              <w:t>اشارة</w:t>
            </w:r>
            <w:r>
              <w:rPr>
                <w:rStyle w:val="IndexLink"/>
                <w:rtl w:val="true"/>
              </w:rPr>
              <w:tab/>
            </w:r>
            <w:r>
              <w:rPr>
                <w:rStyle w:val="IndexLink"/>
              </w:rPr>
              <w:t>549</w:t>
            </w:r>
          </w:hyperlink>
        </w:p>
        <w:p>
          <w:pPr>
            <w:pStyle w:val="Contents3"/>
            <w:tabs>
              <w:tab w:val="clear" w:pos="8459"/>
              <w:tab w:val="right" w:pos="9026" w:leader="dot"/>
            </w:tabs>
            <w:rPr/>
          </w:pPr>
          <w:hyperlink w:anchor="__RefHeading___Toc2569396_3650668749">
            <w:r>
              <w:rPr>
                <w:webHidden/>
                <w:rStyle w:val="IndexLink"/>
                <w:rtl w:val="true"/>
              </w:rPr>
              <w:t>[</w:t>
            </w:r>
            <w:r>
              <w:rPr>
                <w:rStyle w:val="IndexLink"/>
                <w:rtl w:val="true"/>
              </w:rPr>
              <w:t>القول فی أحکام الدین</w:t>
            </w:r>
            <w:r>
              <w:rPr>
                <w:rStyle w:val="IndexLink"/>
                <w:rtl w:val="true"/>
              </w:rPr>
              <w:t>]</w:t>
              <w:tab/>
            </w:r>
            <w:r>
              <w:rPr>
                <w:rStyle w:val="IndexLink"/>
              </w:rPr>
              <w:t>549</w:t>
            </w:r>
          </w:hyperlink>
        </w:p>
        <w:p>
          <w:pPr>
            <w:pStyle w:val="Contents4"/>
            <w:tabs>
              <w:tab w:val="clear" w:pos="8176"/>
              <w:tab w:val="right" w:pos="9026" w:leader="dot"/>
            </w:tabs>
            <w:rPr/>
          </w:pPr>
          <w:hyperlink w:anchor="__RefHeading___Toc2569398_3650668749">
            <w:r>
              <w:rPr>
                <w:webHidden/>
                <w:rStyle w:val="IndexLink"/>
                <w:rtl w:val="true"/>
              </w:rPr>
              <w:t>اشارة</w:t>
            </w:r>
            <w:r>
              <w:rPr>
                <w:rStyle w:val="IndexLink"/>
                <w:rtl w:val="true"/>
              </w:rPr>
              <w:tab/>
            </w:r>
            <w:r>
              <w:rPr>
                <w:rStyle w:val="IndexLink"/>
              </w:rPr>
              <w:t>549</w:t>
            </w:r>
          </w:hyperlink>
        </w:p>
        <w:p>
          <w:pPr>
            <w:pStyle w:val="Contents4"/>
            <w:tabs>
              <w:tab w:val="clear" w:pos="8176"/>
              <w:tab w:val="right" w:pos="9026" w:leader="dot"/>
            </w:tabs>
            <w:rPr/>
          </w:pPr>
          <w:hyperlink w:anchor="__RefHeading___Toc256940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الدین إمّا حالّ</w:t>
            </w:r>
            <w:r>
              <w:rPr>
                <w:rStyle w:val="IndexLink"/>
                <w:rtl w:val="true"/>
              </w:rPr>
              <w:t>]</w:t>
              <w:tab/>
            </w:r>
            <w:r>
              <w:rPr>
                <w:rStyle w:val="IndexLink"/>
              </w:rPr>
              <w:t>549</w:t>
            </w:r>
          </w:hyperlink>
        </w:p>
        <w:p>
          <w:pPr>
            <w:pStyle w:val="Contents4"/>
            <w:tabs>
              <w:tab w:val="clear" w:pos="8176"/>
              <w:tab w:val="right" w:pos="9026" w:leader="dot"/>
            </w:tabs>
            <w:rPr/>
          </w:pPr>
          <w:hyperlink w:anchor="__RefHeading___Toc256940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کان الدین حالّا أو مؤجّلًا و قد حلّ الأجل</w:t>
            </w:r>
            <w:r>
              <w:rPr>
                <w:rStyle w:val="IndexLink"/>
                <w:rtl w:val="true"/>
              </w:rPr>
              <w:t>]</w:t>
              <w:tab/>
            </w:r>
            <w:r>
              <w:rPr>
                <w:rStyle w:val="IndexLink"/>
              </w:rPr>
              <w:t>549</w:t>
            </w:r>
          </w:hyperlink>
        </w:p>
        <w:p>
          <w:pPr>
            <w:pStyle w:val="Contents4"/>
            <w:tabs>
              <w:tab w:val="clear" w:pos="8176"/>
              <w:tab w:val="right" w:pos="9026" w:leader="dot"/>
            </w:tabs>
            <w:rPr/>
          </w:pPr>
          <w:hyperlink w:anchor="__RefHeading___Toc256940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قد عرفت أنّه إذا أدّی المدیون الدین عند حلوله یجب علی الدائن أخذه</w:t>
            </w:r>
            <w:r>
              <w:rPr>
                <w:rStyle w:val="IndexLink"/>
                <w:rtl w:val="true"/>
              </w:rPr>
              <w:t>]</w:t>
              <w:tab/>
            </w:r>
            <w:r>
              <w:rPr>
                <w:rStyle w:val="IndexLink"/>
              </w:rPr>
              <w:t>550</w:t>
            </w:r>
          </w:hyperlink>
        </w:p>
        <w:p>
          <w:pPr>
            <w:pStyle w:val="Contents4"/>
            <w:tabs>
              <w:tab w:val="clear" w:pos="8176"/>
              <w:tab w:val="right" w:pos="9026" w:leader="dot"/>
            </w:tabs>
            <w:rPr/>
          </w:pPr>
          <w:hyperlink w:anchor="__RefHeading___Toc256940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یجوز التبرّع بأداء دین الغیر حیّاً کان أو میّتاً</w:t>
            </w:r>
            <w:r>
              <w:rPr>
                <w:rStyle w:val="IndexLink"/>
                <w:rtl w:val="true"/>
              </w:rPr>
              <w:t>]</w:t>
              <w:tab/>
            </w:r>
            <w:r>
              <w:rPr>
                <w:rStyle w:val="IndexLink"/>
              </w:rPr>
              <w:t>550</w:t>
            </w:r>
          </w:hyperlink>
        </w:p>
        <w:p>
          <w:pPr>
            <w:pStyle w:val="Contents4"/>
            <w:tabs>
              <w:tab w:val="clear" w:pos="8176"/>
              <w:tab w:val="right" w:pos="9026" w:leader="dot"/>
            </w:tabs>
            <w:rPr/>
          </w:pPr>
          <w:hyperlink w:anchor="__RefHeading___Toc256940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یتعیّن الدین فیما عیّنه المدین و لا یصیر ملکاً للدائن ما لم یقبضه</w:t>
            </w:r>
            <w:r>
              <w:rPr>
                <w:rStyle w:val="IndexLink"/>
                <w:rtl w:val="true"/>
              </w:rPr>
              <w:t>]</w:t>
              <w:tab/>
            </w:r>
            <w:r>
              <w:rPr>
                <w:rStyle w:val="IndexLink"/>
              </w:rPr>
              <w:t>550</w:t>
            </w:r>
          </w:hyperlink>
        </w:p>
        <w:p>
          <w:pPr>
            <w:pStyle w:val="Contents4"/>
            <w:tabs>
              <w:tab w:val="clear" w:pos="8176"/>
              <w:tab w:val="right" w:pos="9026" w:leader="dot"/>
            </w:tabs>
            <w:rPr/>
          </w:pPr>
          <w:hyperlink w:anchor="__RefHeading___Toc256941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یحلّ الدین المؤجّل إذا مات المدیون قبل حلول الأجل</w:t>
            </w:r>
            <w:r>
              <w:rPr>
                <w:rStyle w:val="IndexLink"/>
                <w:rtl w:val="true"/>
              </w:rPr>
              <w:t>]</w:t>
              <w:tab/>
            </w:r>
            <w:r>
              <w:rPr>
                <w:rStyle w:val="IndexLink"/>
              </w:rPr>
              <w:t>550</w:t>
            </w:r>
          </w:hyperlink>
        </w:p>
        <w:p>
          <w:pPr>
            <w:pStyle w:val="Contents4"/>
            <w:tabs>
              <w:tab w:val="clear" w:pos="8176"/>
              <w:tab w:val="right" w:pos="9026" w:leader="dot"/>
            </w:tabs>
            <w:rPr/>
          </w:pPr>
          <w:hyperlink w:anchor="__RefHeading___Toc256941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لا یجوز بیع الدین بالدین</w:t>
            </w:r>
            <w:r>
              <w:rPr>
                <w:rStyle w:val="IndexLink"/>
                <w:rtl w:val="true"/>
              </w:rPr>
              <w:t>]</w:t>
              <w:tab/>
            </w:r>
            <w:r>
              <w:rPr>
                <w:rStyle w:val="IndexLink"/>
              </w:rPr>
              <w:t>551</w:t>
            </w:r>
          </w:hyperlink>
        </w:p>
        <w:p>
          <w:pPr>
            <w:pStyle w:val="Contents4"/>
            <w:tabs>
              <w:tab w:val="clear" w:pos="8176"/>
              <w:tab w:val="right" w:pos="9026" w:leader="dot"/>
            </w:tabs>
            <w:rPr/>
          </w:pPr>
          <w:hyperlink w:anchor="__RefHeading___Toc256941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یجوز تعجیل الدین المؤجّل بنقصان مع التراضی</w:t>
            </w:r>
            <w:r>
              <w:rPr>
                <w:rStyle w:val="IndexLink"/>
                <w:rtl w:val="true"/>
              </w:rPr>
              <w:t>]</w:t>
              <w:tab/>
            </w:r>
            <w:r>
              <w:rPr>
                <w:rStyle w:val="IndexLink"/>
              </w:rPr>
              <w:t>551</w:t>
            </w:r>
          </w:hyperlink>
        </w:p>
        <w:p>
          <w:pPr>
            <w:pStyle w:val="Contents4"/>
            <w:tabs>
              <w:tab w:val="clear" w:pos="8176"/>
              <w:tab w:val="right" w:pos="9026" w:leader="dot"/>
            </w:tabs>
            <w:rPr/>
          </w:pPr>
          <w:hyperlink w:anchor="__RefHeading___Toc256941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لا یجوز قسمة الدین</w:t>
            </w:r>
            <w:r>
              <w:rPr>
                <w:rStyle w:val="IndexLink"/>
                <w:rtl w:val="true"/>
              </w:rPr>
              <w:t>]</w:t>
              <w:tab/>
            </w:r>
            <w:r>
              <w:rPr>
                <w:rStyle w:val="IndexLink"/>
              </w:rPr>
              <w:t>551</w:t>
            </w:r>
          </w:hyperlink>
        </w:p>
        <w:p>
          <w:pPr>
            <w:pStyle w:val="Contents4"/>
            <w:tabs>
              <w:tab w:val="clear" w:pos="8176"/>
              <w:tab w:val="right" w:pos="9026" w:leader="dot"/>
            </w:tabs>
            <w:rPr/>
          </w:pPr>
          <w:hyperlink w:anchor="__RefHeading___Toc2569418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یجب علی المدیون عند حلول الدین و مطالبة الدائن السعی فی أدائه بکلّ وسیلة</w:t>
            </w:r>
            <w:r>
              <w:rPr>
                <w:rStyle w:val="IndexLink"/>
                <w:rtl w:val="true"/>
              </w:rPr>
              <w:t>]</w:t>
              <w:tab/>
            </w:r>
            <w:r>
              <w:rPr>
                <w:rStyle w:val="IndexLink"/>
              </w:rPr>
              <w:t>552</w:t>
            </w:r>
          </w:hyperlink>
        </w:p>
        <w:p>
          <w:pPr>
            <w:pStyle w:val="Contents4"/>
            <w:tabs>
              <w:tab w:val="clear" w:pos="8176"/>
              <w:tab w:val="right" w:pos="9026" w:leader="dot"/>
            </w:tabs>
            <w:rPr/>
          </w:pPr>
          <w:hyperlink w:anchor="__RefHeading___Toc2569420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لو کانت دار سکناه أزید عمّا یحتاجه</w:t>
            </w:r>
            <w:r>
              <w:rPr>
                <w:rStyle w:val="IndexLink"/>
                <w:rtl w:val="true"/>
              </w:rPr>
              <w:t>]</w:t>
              <w:tab/>
            </w:r>
            <w:r>
              <w:rPr>
                <w:rStyle w:val="IndexLink"/>
              </w:rPr>
              <w:t>552</w:t>
            </w:r>
          </w:hyperlink>
        </w:p>
        <w:p>
          <w:pPr>
            <w:pStyle w:val="Contents4"/>
            <w:tabs>
              <w:tab w:val="clear" w:pos="8176"/>
              <w:tab w:val="right" w:pos="9026" w:leader="dot"/>
            </w:tabs>
            <w:rPr/>
          </w:pPr>
          <w:hyperlink w:anchor="__RefHeading___Toc2569422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لو کانت عنده دار موقوفة علیه تکفی</w:t>
            </w:r>
            <w:r>
              <w:rPr>
                <w:rStyle w:val="IndexLink"/>
                <w:rtl w:val="true"/>
              </w:rPr>
              <w:t>]</w:t>
              <w:tab/>
            </w:r>
            <w:r>
              <w:rPr>
                <w:rStyle w:val="IndexLink"/>
              </w:rPr>
              <w:t>552</w:t>
            </w:r>
          </w:hyperlink>
        </w:p>
        <w:p>
          <w:pPr>
            <w:pStyle w:val="Contents4"/>
            <w:tabs>
              <w:tab w:val="clear" w:pos="8176"/>
              <w:tab w:val="right" w:pos="9026" w:leader="dot"/>
            </w:tabs>
            <w:rPr/>
          </w:pPr>
          <w:hyperlink w:anchor="__RefHeading___Toc2569424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إنّما لا تباع دار السکنی فی أداء الدین ما دام المدیون حیّاً</w:t>
            </w:r>
            <w:r>
              <w:rPr>
                <w:rStyle w:val="IndexLink"/>
                <w:rtl w:val="true"/>
              </w:rPr>
              <w:t>]</w:t>
              <w:tab/>
            </w:r>
            <w:r>
              <w:rPr>
                <w:rStyle w:val="IndexLink"/>
              </w:rPr>
              <w:t>552</w:t>
            </w:r>
          </w:hyperlink>
        </w:p>
        <w:p>
          <w:pPr>
            <w:pStyle w:val="Contents4"/>
            <w:tabs>
              <w:tab w:val="clear" w:pos="8176"/>
              <w:tab w:val="right" w:pos="9026" w:leader="dot"/>
            </w:tabs>
            <w:rPr/>
          </w:pPr>
          <w:hyperlink w:anchor="__RefHeading___Toc2569426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معنیٰ کون الدار و نحوها من مستثنیات الدین أنّه لا یجبر علیٰ بیعها لأجل أدائه</w:t>
            </w:r>
            <w:r>
              <w:rPr>
                <w:rStyle w:val="IndexLink"/>
                <w:rtl w:val="true"/>
              </w:rPr>
              <w:t>]</w:t>
              <w:tab/>
            </w:r>
            <w:r>
              <w:rPr>
                <w:rStyle w:val="IndexLink"/>
              </w:rPr>
              <w:t>552</w:t>
            </w:r>
          </w:hyperlink>
        </w:p>
        <w:p>
          <w:pPr>
            <w:pStyle w:val="Contents4"/>
            <w:tabs>
              <w:tab w:val="clear" w:pos="8176"/>
              <w:tab w:val="right" w:pos="9026" w:leader="dot"/>
            </w:tabs>
            <w:rPr/>
          </w:pPr>
          <w:hyperlink w:anchor="__RefHeading___Toc2569428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لو کان عنده متاع أو سلعة أو عقار زائداً علی المستثنیات لا تباع إلّا بأقلّ من قیمتها</w:t>
            </w:r>
            <w:r>
              <w:rPr>
                <w:rStyle w:val="IndexLink"/>
                <w:rtl w:val="true"/>
              </w:rPr>
              <w:t>]</w:t>
              <w:tab/>
            </w:r>
            <w:r>
              <w:rPr>
                <w:rStyle w:val="IndexLink"/>
              </w:rPr>
              <w:t>553</w:t>
            </w:r>
          </w:hyperlink>
        </w:p>
        <w:p>
          <w:pPr>
            <w:pStyle w:val="Contents4"/>
            <w:tabs>
              <w:tab w:val="clear" w:pos="8176"/>
              <w:tab w:val="right" w:pos="9026" w:leader="dot"/>
            </w:tabs>
            <w:rPr/>
          </w:pPr>
          <w:hyperlink w:anchor="__RefHeading___Toc2569430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و کما لا یجب علی المُعسر الأداء و القضاء، یحرم علی الدائن إعساره بالمطالبة و الاقتضاء</w:t>
            </w:r>
            <w:r>
              <w:rPr>
                <w:rStyle w:val="IndexLink"/>
                <w:rtl w:val="true"/>
              </w:rPr>
              <w:t>]</w:t>
              <w:tab/>
            </w:r>
            <w:r>
              <w:rPr>
                <w:rStyle w:val="IndexLink"/>
              </w:rPr>
              <w:t>553</w:t>
            </w:r>
          </w:hyperlink>
        </w:p>
        <w:p>
          <w:pPr>
            <w:pStyle w:val="Contents4"/>
            <w:tabs>
              <w:tab w:val="clear" w:pos="8176"/>
              <w:tab w:val="right" w:pos="9026" w:leader="dot"/>
            </w:tabs>
            <w:rPr/>
          </w:pPr>
          <w:hyperlink w:anchor="__RefHeading___Toc2569432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مماطلة الدائن مع القدرة معصیة کبیرة</w:t>
            </w:r>
            <w:r>
              <w:rPr>
                <w:rStyle w:val="IndexLink"/>
                <w:rtl w:val="true"/>
              </w:rPr>
              <w:t>]</w:t>
              <w:tab/>
            </w:r>
            <w:r>
              <w:rPr>
                <w:rStyle w:val="IndexLink"/>
              </w:rPr>
              <w:t>553</w:t>
            </w:r>
          </w:hyperlink>
        </w:p>
        <w:p>
          <w:pPr>
            <w:pStyle w:val="Contents3"/>
            <w:tabs>
              <w:tab w:val="clear" w:pos="8459"/>
              <w:tab w:val="right" w:pos="9026" w:leader="dot"/>
            </w:tabs>
            <w:rPr/>
          </w:pPr>
          <w:hyperlink w:anchor="__RefHeading___Toc2569434_3650668749">
            <w:r>
              <w:rPr>
                <w:webHidden/>
                <w:rStyle w:val="IndexLink"/>
                <w:rtl w:val="true"/>
              </w:rPr>
              <w:t>[</w:t>
            </w:r>
            <w:r>
              <w:rPr>
                <w:rStyle w:val="IndexLink"/>
                <w:rtl w:val="true"/>
              </w:rPr>
              <w:t>القول فی القرض</w:t>
            </w:r>
            <w:r>
              <w:rPr>
                <w:rStyle w:val="IndexLink"/>
                <w:rtl w:val="true"/>
              </w:rPr>
              <w:t>]</w:t>
              <w:tab/>
            </w:r>
            <w:r>
              <w:rPr>
                <w:rStyle w:val="IndexLink"/>
              </w:rPr>
              <w:t>554</w:t>
            </w:r>
          </w:hyperlink>
        </w:p>
        <w:p>
          <w:pPr>
            <w:pStyle w:val="Contents4"/>
            <w:tabs>
              <w:tab w:val="clear" w:pos="8176"/>
              <w:tab w:val="right" w:pos="9026" w:leader="dot"/>
            </w:tabs>
            <w:rPr/>
          </w:pPr>
          <w:hyperlink w:anchor="__RefHeading___Toc2569436_3650668749">
            <w:r>
              <w:rPr>
                <w:webHidden/>
                <w:rStyle w:val="IndexLink"/>
                <w:rtl w:val="true"/>
              </w:rPr>
              <w:t>اشارة</w:t>
            </w:r>
            <w:r>
              <w:rPr>
                <w:rStyle w:val="IndexLink"/>
                <w:rtl w:val="true"/>
              </w:rPr>
              <w:tab/>
            </w:r>
            <w:r>
              <w:rPr>
                <w:rStyle w:val="IndexLink"/>
              </w:rPr>
              <w:t>554</w:t>
            </w:r>
          </w:hyperlink>
        </w:p>
        <w:p>
          <w:pPr>
            <w:pStyle w:val="Contents4"/>
            <w:tabs>
              <w:tab w:val="clear" w:pos="8176"/>
              <w:tab w:val="right" w:pos="9026" w:leader="dot"/>
            </w:tabs>
            <w:rPr/>
          </w:pPr>
          <w:hyperlink w:anchor="__RefHeading___Toc256943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یکره الاقتراض مع عدم الحاجة</w:t>
            </w:r>
            <w:r>
              <w:rPr>
                <w:rStyle w:val="IndexLink"/>
                <w:rtl w:val="true"/>
              </w:rPr>
              <w:t>]</w:t>
              <w:tab/>
            </w:r>
            <w:r>
              <w:rPr>
                <w:rStyle w:val="IndexLink"/>
              </w:rPr>
              <w:t>554</w:t>
            </w:r>
          </w:hyperlink>
        </w:p>
        <w:p>
          <w:pPr>
            <w:pStyle w:val="Contents4"/>
            <w:tabs>
              <w:tab w:val="clear" w:pos="8176"/>
              <w:tab w:val="right" w:pos="9026" w:leader="dot"/>
            </w:tabs>
            <w:rPr/>
          </w:pPr>
          <w:hyperlink w:anchor="__RefHeading___Toc256944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إقراض المؤمن من المستحبّات الأکیدة</w:t>
            </w:r>
            <w:r>
              <w:rPr>
                <w:rStyle w:val="IndexLink"/>
                <w:rtl w:val="true"/>
              </w:rPr>
              <w:t>]</w:t>
              <w:tab/>
            </w:r>
            <w:r>
              <w:rPr>
                <w:rStyle w:val="IndexLink"/>
              </w:rPr>
              <w:t>554</w:t>
            </w:r>
          </w:hyperlink>
        </w:p>
        <w:p>
          <w:pPr>
            <w:pStyle w:val="Contents4"/>
            <w:tabs>
              <w:tab w:val="clear" w:pos="8176"/>
              <w:tab w:val="right" w:pos="9026" w:leader="dot"/>
            </w:tabs>
            <w:rPr/>
          </w:pPr>
          <w:hyperlink w:anchor="__RefHeading___Toc256944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حیث إنّ القرض عقد من العقود یحتاج إلیٰ إیجاب</w:t>
            </w:r>
            <w:r>
              <w:rPr>
                <w:rStyle w:val="IndexLink"/>
                <w:rtl w:val="true"/>
              </w:rPr>
              <w:t>]</w:t>
              <w:tab/>
            </w:r>
            <w:r>
              <w:rPr>
                <w:rStyle w:val="IndexLink"/>
              </w:rPr>
              <w:t>554</w:t>
            </w:r>
          </w:hyperlink>
        </w:p>
        <w:p>
          <w:pPr>
            <w:pStyle w:val="Contents4"/>
            <w:tabs>
              <w:tab w:val="clear" w:pos="8176"/>
              <w:tab w:val="right" w:pos="9026" w:leader="dot"/>
            </w:tabs>
            <w:rPr/>
          </w:pPr>
          <w:hyperlink w:anchor="__RefHeading___Toc256944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یعتبر فی المال أن یکون عیناً</w:t>
            </w:r>
            <w:r>
              <w:rPr>
                <w:rStyle w:val="IndexLink"/>
                <w:rtl w:val="true"/>
              </w:rPr>
              <w:tab/>
            </w:r>
            <w:r>
              <w:rPr>
                <w:rStyle w:val="IndexLink"/>
              </w:rPr>
              <w:t>555</w:t>
            </w:r>
          </w:hyperlink>
        </w:p>
        <w:p>
          <w:pPr>
            <w:pStyle w:val="Contents4"/>
            <w:tabs>
              <w:tab w:val="clear" w:pos="8176"/>
              <w:tab w:val="right" w:pos="9026" w:leader="dot"/>
            </w:tabs>
            <w:rPr/>
          </w:pPr>
          <w:hyperlink w:anchor="__RefHeading___Toc256944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بدّ من أن یقع القرض علیٰ معیّن</w:t>
            </w:r>
            <w:r>
              <w:rPr>
                <w:rStyle w:val="IndexLink"/>
                <w:rtl w:val="true"/>
              </w:rPr>
              <w:t>]</w:t>
              <w:tab/>
            </w:r>
            <w:r>
              <w:rPr>
                <w:rStyle w:val="IndexLink"/>
              </w:rPr>
              <w:t>555</w:t>
            </w:r>
          </w:hyperlink>
        </w:p>
        <w:p>
          <w:pPr>
            <w:pStyle w:val="Contents4"/>
            <w:tabs>
              <w:tab w:val="clear" w:pos="8176"/>
              <w:tab w:val="right" w:pos="9026" w:leader="dot"/>
            </w:tabs>
            <w:rPr/>
          </w:pPr>
          <w:hyperlink w:anchor="__RefHeading___Toc256944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یشترط فی صحّة القرض القبض و الإقباض</w:t>
            </w:r>
            <w:r>
              <w:rPr>
                <w:rStyle w:val="IndexLink"/>
                <w:rtl w:val="true"/>
              </w:rPr>
              <w:t>]</w:t>
              <w:tab/>
            </w:r>
            <w:r>
              <w:rPr>
                <w:rStyle w:val="IndexLink"/>
              </w:rPr>
              <w:t>555</w:t>
            </w:r>
          </w:hyperlink>
        </w:p>
        <w:p>
          <w:pPr>
            <w:pStyle w:val="Contents4"/>
            <w:tabs>
              <w:tab w:val="clear" w:pos="8176"/>
              <w:tab w:val="right" w:pos="9026" w:leader="dot"/>
            </w:tabs>
            <w:rPr/>
          </w:pPr>
          <w:hyperlink w:anchor="__RefHeading___Toc2569450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الأقویٰ أنّ القرض عقد لازم</w:t>
            </w:r>
            <w:r>
              <w:rPr>
                <w:rStyle w:val="IndexLink"/>
                <w:rtl w:val="true"/>
              </w:rPr>
              <w:t>]</w:t>
              <w:tab/>
            </w:r>
            <w:r>
              <w:rPr>
                <w:rStyle w:val="IndexLink"/>
              </w:rPr>
              <w:t>555</w:t>
            </w:r>
          </w:hyperlink>
        </w:p>
        <w:p>
          <w:pPr>
            <w:pStyle w:val="Contents4"/>
            <w:tabs>
              <w:tab w:val="clear" w:pos="8176"/>
              <w:tab w:val="right" w:pos="9026" w:leader="dot"/>
            </w:tabs>
            <w:rPr/>
          </w:pPr>
          <w:hyperlink w:anchor="__RefHeading___Toc2569452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لو کان المال المقترض مثلیّا</w:t>
            </w:r>
            <w:r>
              <w:rPr>
                <w:rStyle w:val="IndexLink"/>
                <w:rtl w:val="true"/>
              </w:rPr>
              <w:t>]</w:t>
              <w:tab/>
            </w:r>
            <w:r>
              <w:rPr>
                <w:rStyle w:val="IndexLink"/>
              </w:rPr>
              <w:t>555</w:t>
            </w:r>
          </w:hyperlink>
        </w:p>
        <w:p>
          <w:pPr>
            <w:pStyle w:val="Contents4"/>
            <w:tabs>
              <w:tab w:val="clear" w:pos="8176"/>
              <w:tab w:val="right" w:pos="9026" w:leader="dot"/>
            </w:tabs>
            <w:rPr/>
          </w:pPr>
          <w:hyperlink w:anchor="__RefHeading___Toc2569454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لا یجوز شرط الزیادة؛ بأن یقرض مالًا علیٰ أن یؤدّی المقترض أزید ممّا اقترضه</w:t>
            </w:r>
            <w:r>
              <w:rPr>
                <w:rStyle w:val="IndexLink"/>
                <w:rtl w:val="true"/>
              </w:rPr>
              <w:t>]</w:t>
              <w:tab/>
            </w:r>
            <w:r>
              <w:rPr>
                <w:rStyle w:val="IndexLink"/>
              </w:rPr>
              <w:t>556</w:t>
            </w:r>
          </w:hyperlink>
        </w:p>
        <w:p>
          <w:pPr>
            <w:pStyle w:val="Contents4"/>
            <w:tabs>
              <w:tab w:val="clear" w:pos="8176"/>
              <w:tab w:val="right" w:pos="9026" w:leader="dot"/>
            </w:tabs>
            <w:rPr/>
          </w:pPr>
          <w:hyperlink w:anchor="__RefHeading___Toc2569456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إذا أقرضه شیئاً و شرط علیه أن یبیع منه شیئاً بأقلّ من قیمته</w:t>
            </w:r>
            <w:r>
              <w:rPr>
                <w:rStyle w:val="IndexLink"/>
                <w:rtl w:val="true"/>
              </w:rPr>
              <w:t>]</w:t>
              <w:tab/>
            </w:r>
            <w:r>
              <w:rPr>
                <w:rStyle w:val="IndexLink"/>
              </w:rPr>
              <w:t>556</w:t>
            </w:r>
          </w:hyperlink>
        </w:p>
        <w:p>
          <w:pPr>
            <w:pStyle w:val="Contents4"/>
            <w:tabs>
              <w:tab w:val="clear" w:pos="8176"/>
              <w:tab w:val="right" w:pos="9026" w:leader="dot"/>
            </w:tabs>
            <w:rPr/>
          </w:pPr>
          <w:hyperlink w:anchor="__RefHeading___Toc2569458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إنّما تحرم الزیادة مع الشرط</w:t>
            </w:r>
            <w:r>
              <w:rPr>
                <w:rStyle w:val="IndexLink"/>
                <w:rtl w:val="true"/>
              </w:rPr>
              <w:t>]</w:t>
              <w:tab/>
            </w:r>
            <w:r>
              <w:rPr>
                <w:rStyle w:val="IndexLink"/>
              </w:rPr>
              <w:t>556</w:t>
            </w:r>
          </w:hyperlink>
        </w:p>
        <w:p>
          <w:pPr>
            <w:pStyle w:val="Contents4"/>
            <w:tabs>
              <w:tab w:val="clear" w:pos="8176"/>
              <w:tab w:val="right" w:pos="9026" w:leader="dot"/>
            </w:tabs>
            <w:rPr/>
          </w:pPr>
          <w:hyperlink w:anchor="__RefHeading___Toc2569460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إنّما یحرم شرط الزیادة للمقرض علی المقترض</w:t>
            </w:r>
            <w:r>
              <w:rPr>
                <w:rStyle w:val="IndexLink"/>
                <w:rtl w:val="true"/>
              </w:rPr>
              <w:t>]</w:t>
              <w:tab/>
            </w:r>
            <w:r>
              <w:rPr>
                <w:rStyle w:val="IndexLink"/>
              </w:rPr>
              <w:t>556</w:t>
            </w:r>
          </w:hyperlink>
        </w:p>
        <w:p>
          <w:pPr>
            <w:pStyle w:val="Contents4"/>
            <w:tabs>
              <w:tab w:val="clear" w:pos="8176"/>
              <w:tab w:val="right" w:pos="9026" w:leader="dot"/>
            </w:tabs>
            <w:rPr/>
          </w:pPr>
          <w:hyperlink w:anchor="__RefHeading___Toc2569462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المال المقترض إن کان مثلیّا کالدراهم و الدنانیر و الحنطة و الشعیر کان وفاؤه و أداؤه</w:t>
            </w:r>
            <w:r>
              <w:rPr>
                <w:rStyle w:val="IndexLink"/>
                <w:rtl w:val="true"/>
              </w:rPr>
              <w:t>]</w:t>
              <w:tab/>
            </w:r>
            <w:r>
              <w:rPr>
                <w:rStyle w:val="IndexLink"/>
              </w:rPr>
              <w:t>557</w:t>
            </w:r>
          </w:hyperlink>
        </w:p>
        <w:p>
          <w:pPr>
            <w:pStyle w:val="Contents4"/>
            <w:tabs>
              <w:tab w:val="clear" w:pos="8176"/>
              <w:tab w:val="right" w:pos="9026" w:leader="dot"/>
            </w:tabs>
            <w:rPr/>
          </w:pPr>
          <w:hyperlink w:anchor="__RefHeading___Toc2569464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یجوز فی قرض المثلی أن یشترط المقرض علی المقترض</w:t>
            </w:r>
            <w:r>
              <w:rPr>
                <w:rStyle w:val="IndexLink"/>
                <w:rtl w:val="true"/>
              </w:rPr>
              <w:t>]</w:t>
              <w:tab/>
            </w:r>
            <w:r>
              <w:rPr>
                <w:rStyle w:val="IndexLink"/>
              </w:rPr>
              <w:t>557</w:t>
            </w:r>
          </w:hyperlink>
        </w:p>
        <w:p>
          <w:pPr>
            <w:pStyle w:val="Contents4"/>
            <w:tabs>
              <w:tab w:val="clear" w:pos="8176"/>
              <w:tab w:val="right" w:pos="9026" w:leader="dot"/>
            </w:tabs>
            <w:rPr/>
          </w:pPr>
          <w:hyperlink w:anchor="__RefHeading___Toc2569466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الأقویٰ أنّه لو شرط التأجیل فی القرض صحّ و لزم العمل به</w:t>
            </w:r>
            <w:r>
              <w:rPr>
                <w:rStyle w:val="IndexLink"/>
                <w:rtl w:val="true"/>
              </w:rPr>
              <w:t>]</w:t>
              <w:tab/>
            </w:r>
            <w:r>
              <w:rPr>
                <w:rStyle w:val="IndexLink"/>
              </w:rPr>
              <w:t>558</w:t>
            </w:r>
          </w:hyperlink>
        </w:p>
        <w:p>
          <w:pPr>
            <w:pStyle w:val="Contents4"/>
            <w:tabs>
              <w:tab w:val="clear" w:pos="8176"/>
              <w:tab w:val="right" w:pos="9026" w:leader="dot"/>
            </w:tabs>
            <w:rPr/>
          </w:pPr>
          <w:hyperlink w:anchor="__RefHeading___Toc2569468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لو شرط علی المقترض أداء القرض و تسلیمه فی بلد معیّن صحّ</w:t>
            </w:r>
            <w:r>
              <w:rPr>
                <w:rStyle w:val="IndexLink"/>
                <w:rtl w:val="true"/>
              </w:rPr>
              <w:t>]</w:t>
              <w:tab/>
            </w:r>
            <w:r>
              <w:rPr>
                <w:rStyle w:val="IndexLink"/>
              </w:rPr>
              <w:t>558</w:t>
            </w:r>
          </w:hyperlink>
        </w:p>
        <w:p>
          <w:pPr>
            <w:pStyle w:val="Contents4"/>
            <w:tabs>
              <w:tab w:val="clear" w:pos="8176"/>
              <w:tab w:val="right" w:pos="9026" w:leader="dot"/>
            </w:tabs>
            <w:rPr/>
          </w:pPr>
          <w:hyperlink w:anchor="__RefHeading___Toc2569470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یجوز أن یشترط فی القرض إعطاء الرهن أو الضامن أو الکفیل</w:t>
            </w:r>
            <w:r>
              <w:rPr>
                <w:rStyle w:val="IndexLink"/>
                <w:rtl w:val="true"/>
              </w:rPr>
              <w:t>]</w:t>
              <w:tab/>
            </w:r>
            <w:r>
              <w:rPr>
                <w:rStyle w:val="IndexLink"/>
              </w:rPr>
              <w:t>558</w:t>
            </w:r>
          </w:hyperlink>
        </w:p>
        <w:p>
          <w:pPr>
            <w:pStyle w:val="Contents4"/>
            <w:tabs>
              <w:tab w:val="clear" w:pos="8176"/>
              <w:tab w:val="right" w:pos="9026" w:leader="dot"/>
            </w:tabs>
            <w:rPr/>
          </w:pPr>
          <w:hyperlink w:anchor="__RefHeading___Toc2569472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لو اقترض دراهم ثمّ أسقطها السلطان و جاء بدراهم غیرها</w:t>
            </w:r>
            <w:r>
              <w:rPr>
                <w:rStyle w:val="IndexLink"/>
                <w:rtl w:val="true"/>
              </w:rPr>
              <w:t>]</w:t>
              <w:tab/>
            </w:r>
            <w:r>
              <w:rPr>
                <w:rStyle w:val="IndexLink"/>
              </w:rPr>
              <w:t>558</w:t>
            </w:r>
          </w:hyperlink>
        </w:p>
        <w:p>
          <w:pPr>
            <w:pStyle w:val="Contents2"/>
            <w:tabs>
              <w:tab w:val="clear" w:pos="8743"/>
              <w:tab w:val="right" w:pos="9026" w:leader="dot"/>
            </w:tabs>
            <w:rPr/>
          </w:pPr>
          <w:hyperlink w:anchor="__RefHeading___Toc2569474_3650668749">
            <w:r>
              <w:rPr>
                <w:webHidden/>
                <w:rStyle w:val="IndexLink"/>
                <w:rtl w:val="true"/>
              </w:rPr>
              <w:t>[</w:t>
            </w:r>
            <w:r>
              <w:rPr>
                <w:rStyle w:val="IndexLink"/>
                <w:rtl w:val="true"/>
              </w:rPr>
              <w:t>کتاب الرهن</w:t>
            </w:r>
            <w:r>
              <w:rPr>
                <w:rStyle w:val="IndexLink"/>
                <w:rtl w:val="true"/>
              </w:rPr>
              <w:t>]</w:t>
              <w:tab/>
            </w:r>
            <w:r>
              <w:rPr>
                <w:rStyle w:val="IndexLink"/>
              </w:rPr>
              <w:t>559</w:t>
            </w:r>
          </w:hyperlink>
        </w:p>
        <w:p>
          <w:pPr>
            <w:pStyle w:val="Contents3"/>
            <w:tabs>
              <w:tab w:val="clear" w:pos="8459"/>
              <w:tab w:val="right" w:pos="9026" w:leader="dot"/>
            </w:tabs>
            <w:rPr/>
          </w:pPr>
          <w:hyperlink w:anchor="__RefHeading___Toc2569476_3650668749">
            <w:r>
              <w:rPr>
                <w:webHidden/>
                <w:rStyle w:val="IndexLink"/>
                <w:rtl w:val="true"/>
              </w:rPr>
              <w:t>اشارة</w:t>
            </w:r>
            <w:r>
              <w:rPr>
                <w:rStyle w:val="IndexLink"/>
                <w:rtl w:val="true"/>
              </w:rPr>
              <w:tab/>
            </w:r>
            <w:r>
              <w:rPr>
                <w:rStyle w:val="IndexLink"/>
              </w:rPr>
              <w:t>559</w:t>
            </w:r>
          </w:hyperlink>
        </w:p>
        <w:p>
          <w:pPr>
            <w:pStyle w:val="Contents3"/>
            <w:tabs>
              <w:tab w:val="clear" w:pos="8459"/>
              <w:tab w:val="right" w:pos="9026" w:leader="dot"/>
            </w:tabs>
            <w:rPr/>
          </w:pPr>
          <w:hyperlink w:anchor="__RefHeading___Toc256947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یشترط فی الراهن و المرتهن</w:t>
            </w:r>
            <w:r>
              <w:rPr>
                <w:rStyle w:val="IndexLink"/>
                <w:rtl w:val="true"/>
              </w:rPr>
              <w:t xml:space="preserve">: </w:t>
            </w:r>
            <w:r>
              <w:rPr>
                <w:rStyle w:val="IndexLink"/>
                <w:rtl w:val="true"/>
              </w:rPr>
              <w:t>البلوغ و العقل و القصد و الاختیار</w:t>
            </w:r>
            <w:r>
              <w:rPr>
                <w:rStyle w:val="IndexLink"/>
                <w:rtl w:val="true"/>
              </w:rPr>
              <w:t>]</w:t>
              <w:tab/>
            </w:r>
            <w:r>
              <w:rPr>
                <w:rStyle w:val="IndexLink"/>
              </w:rPr>
              <w:t>559</w:t>
            </w:r>
          </w:hyperlink>
        </w:p>
        <w:p>
          <w:pPr>
            <w:pStyle w:val="Contents3"/>
            <w:tabs>
              <w:tab w:val="clear" w:pos="8459"/>
              <w:tab w:val="right" w:pos="9026" w:leader="dot"/>
            </w:tabs>
            <w:rPr/>
          </w:pPr>
          <w:hyperlink w:anchor="__RefHeading___Toc256948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یشترط فی صحّة الرهن القبض من المرتهن بإقباض من الراهن أو بإذن منه</w:t>
            </w:r>
            <w:r>
              <w:rPr>
                <w:rStyle w:val="IndexLink"/>
                <w:rtl w:val="true"/>
              </w:rPr>
              <w:t>]</w:t>
              <w:tab/>
            </w:r>
            <w:r>
              <w:rPr>
                <w:rStyle w:val="IndexLink"/>
              </w:rPr>
              <w:t>559</w:t>
            </w:r>
          </w:hyperlink>
        </w:p>
        <w:p>
          <w:pPr>
            <w:pStyle w:val="Contents3"/>
            <w:tabs>
              <w:tab w:val="clear" w:pos="8459"/>
              <w:tab w:val="right" w:pos="9026" w:leader="dot"/>
            </w:tabs>
            <w:rPr/>
          </w:pPr>
          <w:hyperlink w:anchor="__RefHeading___Toc256948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إنّما یعتبر القبض فی الابتداء و لا یعتبر استدامته</w:t>
            </w:r>
            <w:r>
              <w:rPr>
                <w:rStyle w:val="IndexLink"/>
                <w:rtl w:val="true"/>
              </w:rPr>
              <w:t>]</w:t>
              <w:tab/>
            </w:r>
            <w:r>
              <w:rPr>
                <w:rStyle w:val="IndexLink"/>
              </w:rPr>
              <w:t>559</w:t>
            </w:r>
          </w:hyperlink>
        </w:p>
        <w:p>
          <w:pPr>
            <w:pStyle w:val="Contents3"/>
            <w:tabs>
              <w:tab w:val="clear" w:pos="8459"/>
              <w:tab w:val="right" w:pos="9026" w:leader="dot"/>
            </w:tabs>
            <w:rPr/>
          </w:pPr>
          <w:hyperlink w:anchor="__RefHeading___Toc256948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یشترط فی المرهون أن یکون عیناً مملوکاً یمکن قبضه و یصحّ بیعه</w:t>
            </w:r>
            <w:r>
              <w:rPr>
                <w:rStyle w:val="IndexLink"/>
                <w:rtl w:val="true"/>
              </w:rPr>
              <w:t>]</w:t>
              <w:tab/>
            </w:r>
            <w:r>
              <w:rPr>
                <w:rStyle w:val="IndexLink"/>
              </w:rPr>
              <w:t>560</w:t>
            </w:r>
          </w:hyperlink>
        </w:p>
        <w:p>
          <w:pPr>
            <w:pStyle w:val="Contents3"/>
            <w:tabs>
              <w:tab w:val="clear" w:pos="8459"/>
              <w:tab w:val="right" w:pos="9026" w:leader="dot"/>
            </w:tabs>
            <w:rPr/>
          </w:pPr>
          <w:hyperlink w:anchor="__RefHeading___Toc256948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رهن ما یملک و ما لا یملک فی عقد واحد، صحّ فی ملکه</w:t>
            </w:r>
            <w:r>
              <w:rPr>
                <w:rStyle w:val="IndexLink"/>
                <w:rtl w:val="true"/>
              </w:rPr>
              <w:t>]</w:t>
              <w:tab/>
            </w:r>
            <w:r>
              <w:rPr>
                <w:rStyle w:val="IndexLink"/>
              </w:rPr>
              <w:t>560</w:t>
            </w:r>
          </w:hyperlink>
        </w:p>
        <w:p>
          <w:pPr>
            <w:pStyle w:val="Contents3"/>
            <w:tabs>
              <w:tab w:val="clear" w:pos="8459"/>
              <w:tab w:val="right" w:pos="9026" w:leader="dot"/>
            </w:tabs>
            <w:rPr/>
          </w:pPr>
          <w:hyperlink w:anchor="__RefHeading___Toc256948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کان له غرس أو بناء فی الأرض الخراجیّة لا إشکال فی صحّة رهن ما فیها مستقلا</w:t>
            </w:r>
            <w:r>
              <w:rPr>
                <w:rStyle w:val="IndexLink"/>
                <w:rtl w:val="true"/>
              </w:rPr>
              <w:t>]</w:t>
              <w:tab/>
            </w:r>
            <w:r>
              <w:rPr>
                <w:rStyle w:val="IndexLink"/>
              </w:rPr>
              <w:t>560</w:t>
            </w:r>
          </w:hyperlink>
        </w:p>
        <w:p>
          <w:pPr>
            <w:pStyle w:val="Contents3"/>
            <w:tabs>
              <w:tab w:val="clear" w:pos="8459"/>
              <w:tab w:val="right" w:pos="9026" w:leader="dot"/>
            </w:tabs>
            <w:rPr/>
          </w:pPr>
          <w:hyperlink w:anchor="__RefHeading___Toc2569490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لا یعتبر أن یکون الرهن ملکاً لمن علیه الدین</w:t>
            </w:r>
            <w:r>
              <w:rPr>
                <w:rStyle w:val="IndexLink"/>
                <w:rtl w:val="true"/>
              </w:rPr>
              <w:t>]</w:t>
              <w:tab/>
            </w:r>
            <w:r>
              <w:rPr>
                <w:rStyle w:val="IndexLink"/>
              </w:rPr>
              <w:t>560</w:t>
            </w:r>
          </w:hyperlink>
        </w:p>
        <w:p>
          <w:pPr>
            <w:pStyle w:val="Contents3"/>
            <w:tabs>
              <w:tab w:val="clear" w:pos="8459"/>
              <w:tab w:val="right" w:pos="9026" w:leader="dot"/>
            </w:tabs>
            <w:rPr/>
          </w:pPr>
          <w:hyperlink w:anchor="__RefHeading___Toc2569492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لو کان الرهن علی الدین المؤجّل و کان ممّا یسرع إلیه الفساد قبل الأجل</w:t>
            </w:r>
            <w:r>
              <w:rPr>
                <w:rStyle w:val="IndexLink"/>
                <w:rtl w:val="true"/>
              </w:rPr>
              <w:t>]</w:t>
              <w:tab/>
            </w:r>
            <w:r>
              <w:rPr>
                <w:rStyle w:val="IndexLink"/>
              </w:rPr>
              <w:t>560</w:t>
            </w:r>
          </w:hyperlink>
        </w:p>
        <w:p>
          <w:pPr>
            <w:pStyle w:val="Contents3"/>
            <w:tabs>
              <w:tab w:val="clear" w:pos="8459"/>
              <w:tab w:val="right" w:pos="9026" w:leader="dot"/>
            </w:tabs>
            <w:rPr/>
          </w:pPr>
          <w:hyperlink w:anchor="__RefHeading___Toc2569494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لا إشکال فی أنّه یعتبر فی المرهون کونه معیّناً</w:t>
            </w:r>
            <w:r>
              <w:rPr>
                <w:rStyle w:val="IndexLink"/>
                <w:rtl w:val="true"/>
              </w:rPr>
              <w:t>]</w:t>
              <w:tab/>
            </w:r>
            <w:r>
              <w:rPr>
                <w:rStyle w:val="IndexLink"/>
              </w:rPr>
              <w:t>561</w:t>
            </w:r>
          </w:hyperlink>
        </w:p>
        <w:p>
          <w:pPr>
            <w:pStyle w:val="Contents3"/>
            <w:tabs>
              <w:tab w:val="clear" w:pos="8459"/>
              <w:tab w:val="right" w:pos="9026" w:leader="dot"/>
            </w:tabs>
            <w:rPr/>
          </w:pPr>
          <w:hyperlink w:anchor="__RefHeading___Toc2569496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یشترط فیما یرهن علیه أن یکون دیناً ثابتاً فی الذمّة</w:t>
            </w:r>
            <w:r>
              <w:rPr>
                <w:rStyle w:val="IndexLink"/>
                <w:rtl w:val="true"/>
              </w:rPr>
              <w:t>]</w:t>
              <w:tab/>
            </w:r>
            <w:r>
              <w:rPr>
                <w:rStyle w:val="IndexLink"/>
              </w:rPr>
              <w:t>561</w:t>
            </w:r>
          </w:hyperlink>
        </w:p>
        <w:p>
          <w:pPr>
            <w:pStyle w:val="Contents3"/>
            <w:tabs>
              <w:tab w:val="clear" w:pos="8459"/>
              <w:tab w:val="right" w:pos="9026" w:leader="dot"/>
            </w:tabs>
            <w:rPr/>
          </w:pPr>
          <w:hyperlink w:anchor="__RefHeading___Toc2569498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کما یصحّ فی الإجارة أن یأخذ المؤجر الرهن علی الأُجرة التی فی ذمّة المستأجر</w:t>
            </w:r>
            <w:r>
              <w:rPr>
                <w:rStyle w:val="IndexLink"/>
                <w:rtl w:val="true"/>
              </w:rPr>
              <w:t>]</w:t>
              <w:tab/>
            </w:r>
            <w:r>
              <w:rPr>
                <w:rStyle w:val="IndexLink"/>
              </w:rPr>
              <w:t>561</w:t>
            </w:r>
          </w:hyperlink>
        </w:p>
        <w:p>
          <w:pPr>
            <w:pStyle w:val="Contents3"/>
            <w:tabs>
              <w:tab w:val="clear" w:pos="8459"/>
              <w:tab w:val="right" w:pos="9026" w:leader="dot"/>
            </w:tabs>
            <w:rPr/>
          </w:pPr>
          <w:hyperlink w:anchor="__RefHeading___Toc2569500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الظاهر أنّه یصحّ الرهن علی الأعیان المضمونة</w:t>
            </w:r>
            <w:r>
              <w:rPr>
                <w:rStyle w:val="IndexLink"/>
                <w:rtl w:val="true"/>
              </w:rPr>
              <w:t>]</w:t>
              <w:tab/>
            </w:r>
            <w:r>
              <w:rPr>
                <w:rStyle w:val="IndexLink"/>
              </w:rPr>
              <w:t>561</w:t>
            </w:r>
          </w:hyperlink>
        </w:p>
        <w:p>
          <w:pPr>
            <w:pStyle w:val="Contents3"/>
            <w:tabs>
              <w:tab w:val="clear" w:pos="8459"/>
              <w:tab w:val="right" w:pos="9026" w:leader="dot"/>
            </w:tabs>
            <w:rPr/>
          </w:pPr>
          <w:hyperlink w:anchor="__RefHeading___Toc2569502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لو اشتریٰ شیئاً بثمن فی الذمّة جاز جعل المبیع رهناً علی الثمن</w:t>
            </w:r>
            <w:r>
              <w:rPr>
                <w:rStyle w:val="IndexLink"/>
                <w:rtl w:val="true"/>
              </w:rPr>
              <w:t>]</w:t>
              <w:tab/>
            </w:r>
            <w:r>
              <w:rPr>
                <w:rStyle w:val="IndexLink"/>
              </w:rPr>
              <w:t>562</w:t>
            </w:r>
          </w:hyperlink>
        </w:p>
        <w:p>
          <w:pPr>
            <w:pStyle w:val="Contents3"/>
            <w:tabs>
              <w:tab w:val="clear" w:pos="8459"/>
              <w:tab w:val="right" w:pos="9026" w:leader="dot"/>
            </w:tabs>
            <w:rPr/>
          </w:pPr>
          <w:hyperlink w:anchor="__RefHeading___Toc2569504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لو رهن علیٰ دینه رهناً ثمّ استدان مالًا آخر من المرتهن جاز جعل ذلک الرهن رهناً علی الثانی أیضاً</w:t>
            </w:r>
            <w:r>
              <w:rPr>
                <w:rStyle w:val="IndexLink"/>
                <w:rtl w:val="true"/>
              </w:rPr>
              <w:t>]</w:t>
              <w:tab/>
            </w:r>
            <w:r>
              <w:rPr>
                <w:rStyle w:val="IndexLink"/>
              </w:rPr>
              <w:t>562</w:t>
            </w:r>
          </w:hyperlink>
        </w:p>
        <w:p>
          <w:pPr>
            <w:pStyle w:val="Contents3"/>
            <w:tabs>
              <w:tab w:val="clear" w:pos="8459"/>
              <w:tab w:val="right" w:pos="9026" w:leader="dot"/>
            </w:tabs>
            <w:rPr/>
          </w:pPr>
          <w:hyperlink w:anchor="__RefHeading___Toc2569506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لو رهن شیئاً عند زید، ثمّ رهنه عند آخر أیضاً باتّفاق من المرتهنین، کان رهناً علی الحقّین</w:t>
            </w:r>
            <w:r>
              <w:rPr>
                <w:rStyle w:val="IndexLink"/>
                <w:rtl w:val="true"/>
              </w:rPr>
              <w:t>]</w:t>
              <w:tab/>
            </w:r>
            <w:r>
              <w:rPr>
                <w:rStyle w:val="IndexLink"/>
              </w:rPr>
              <w:t>562</w:t>
            </w:r>
          </w:hyperlink>
        </w:p>
        <w:p>
          <w:pPr>
            <w:pStyle w:val="Contents3"/>
            <w:tabs>
              <w:tab w:val="clear" w:pos="8459"/>
              <w:tab w:val="right" w:pos="9026" w:leader="dot"/>
            </w:tabs>
            <w:rPr/>
          </w:pPr>
          <w:hyperlink w:anchor="__RefHeading___Toc2569508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لو استدان اثنان من واحد کلّ منهما دیناً، ثمّ رهنا عنده مالًا مشترکاً بینهما و لو بعقد واحد</w:t>
            </w:r>
            <w:r>
              <w:rPr>
                <w:rStyle w:val="IndexLink"/>
                <w:rtl w:val="true"/>
              </w:rPr>
              <w:t>]</w:t>
              <w:tab/>
            </w:r>
            <w:r>
              <w:rPr>
                <w:rStyle w:val="IndexLink"/>
              </w:rPr>
              <w:t>562</w:t>
            </w:r>
          </w:hyperlink>
        </w:p>
        <w:p>
          <w:pPr>
            <w:pStyle w:val="Contents3"/>
            <w:tabs>
              <w:tab w:val="clear" w:pos="8459"/>
              <w:tab w:val="right" w:pos="9026" w:leader="dot"/>
            </w:tabs>
            <w:rPr/>
          </w:pPr>
          <w:hyperlink w:anchor="__RefHeading___Toc2569510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لا یدخل الحمل الموجود فی رهن الحامل</w:t>
            </w:r>
            <w:r>
              <w:rPr>
                <w:rStyle w:val="IndexLink"/>
                <w:rtl w:val="true"/>
              </w:rPr>
              <w:t>]</w:t>
              <w:tab/>
            </w:r>
            <w:r>
              <w:rPr>
                <w:rStyle w:val="IndexLink"/>
              </w:rPr>
              <w:t>562</w:t>
            </w:r>
          </w:hyperlink>
        </w:p>
        <w:p>
          <w:pPr>
            <w:pStyle w:val="Contents3"/>
            <w:tabs>
              <w:tab w:val="clear" w:pos="8459"/>
              <w:tab w:val="right" w:pos="9026" w:leader="dot"/>
            </w:tabs>
            <w:rPr/>
          </w:pPr>
          <w:hyperlink w:anchor="__RefHeading___Toc2569512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الرهن لازم من جهة الراهن، جائز من طرف المرتهن</w:t>
            </w:r>
            <w:r>
              <w:rPr>
                <w:rStyle w:val="IndexLink"/>
                <w:rtl w:val="true"/>
              </w:rPr>
              <w:t>]</w:t>
              <w:tab/>
            </w:r>
            <w:r>
              <w:rPr>
                <w:rStyle w:val="IndexLink"/>
              </w:rPr>
              <w:t>563</w:t>
            </w:r>
          </w:hyperlink>
        </w:p>
        <w:p>
          <w:pPr>
            <w:pStyle w:val="Contents3"/>
            <w:tabs>
              <w:tab w:val="clear" w:pos="8459"/>
              <w:tab w:val="right" w:pos="9026" w:leader="dot"/>
            </w:tabs>
            <w:rPr/>
          </w:pPr>
          <w:hyperlink w:anchor="__RefHeading___Toc2569514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لا یجوز للراهن التصرّف فی الرهن إلّا بإذن المرتهن</w:t>
            </w:r>
            <w:r>
              <w:rPr>
                <w:rStyle w:val="IndexLink"/>
                <w:rtl w:val="true"/>
              </w:rPr>
              <w:t>]</w:t>
              <w:tab/>
            </w:r>
            <w:r>
              <w:rPr>
                <w:rStyle w:val="IndexLink"/>
              </w:rPr>
              <w:t>563</w:t>
            </w:r>
          </w:hyperlink>
        </w:p>
        <w:p>
          <w:pPr>
            <w:pStyle w:val="Contents3"/>
            <w:tabs>
              <w:tab w:val="clear" w:pos="8459"/>
              <w:tab w:val="right" w:pos="9026" w:leader="dot"/>
            </w:tabs>
            <w:rPr/>
          </w:pPr>
          <w:hyperlink w:anchor="__RefHeading___Toc2569516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لا یجوز للمرتهن التصرّف فی الرهن بدون إذن الراهن</w:t>
            </w:r>
            <w:r>
              <w:rPr>
                <w:rStyle w:val="IndexLink"/>
                <w:rtl w:val="true"/>
              </w:rPr>
              <w:t>]</w:t>
              <w:tab/>
            </w:r>
            <w:r>
              <w:rPr>
                <w:rStyle w:val="IndexLink"/>
              </w:rPr>
              <w:t>563</w:t>
            </w:r>
          </w:hyperlink>
        </w:p>
        <w:p>
          <w:pPr>
            <w:pStyle w:val="Contents3"/>
            <w:tabs>
              <w:tab w:val="clear" w:pos="8459"/>
              <w:tab w:val="right" w:pos="9026" w:leader="dot"/>
            </w:tabs>
            <w:rPr/>
          </w:pPr>
          <w:hyperlink w:anchor="__RefHeading___Toc2569518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منافع الرهن کالسکنیٰ و الخدمة و کذا نماءاته المنفصلة</w:t>
            </w:r>
            <w:r>
              <w:rPr>
                <w:rStyle w:val="IndexLink"/>
                <w:rtl w:val="true"/>
              </w:rPr>
              <w:t>]</w:t>
              <w:tab/>
            </w:r>
            <w:r>
              <w:rPr>
                <w:rStyle w:val="IndexLink"/>
              </w:rPr>
              <w:t>563</w:t>
            </w:r>
          </w:hyperlink>
        </w:p>
        <w:p>
          <w:pPr>
            <w:pStyle w:val="Contents3"/>
            <w:tabs>
              <w:tab w:val="clear" w:pos="8459"/>
              <w:tab w:val="right" w:pos="9026" w:leader="dot"/>
            </w:tabs>
            <w:rPr/>
          </w:pPr>
          <w:hyperlink w:anchor="__RefHeading___Toc2569520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لو رهن الأصل و الثمرة، أو الثمرة منفردة صحّ</w:t>
            </w:r>
            <w:r>
              <w:rPr>
                <w:rStyle w:val="IndexLink"/>
                <w:rtl w:val="true"/>
              </w:rPr>
              <w:t>]</w:t>
              <w:tab/>
            </w:r>
            <w:r>
              <w:rPr>
                <w:rStyle w:val="IndexLink"/>
              </w:rPr>
              <w:t>563</w:t>
            </w:r>
          </w:hyperlink>
        </w:p>
        <w:p>
          <w:pPr>
            <w:pStyle w:val="Contents3"/>
            <w:tabs>
              <w:tab w:val="clear" w:pos="8459"/>
              <w:tab w:val="right" w:pos="9026" w:leader="dot"/>
            </w:tabs>
            <w:rPr/>
          </w:pPr>
          <w:hyperlink w:anchor="__RefHeading___Toc2569522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إذا کان الدین حالّا أو حلّ و أراد المرتهن استیفاء حقّه</w:t>
            </w:r>
            <w:r>
              <w:rPr>
                <w:rStyle w:val="IndexLink"/>
                <w:rtl w:val="true"/>
              </w:rPr>
              <w:t>]</w:t>
              <w:tab/>
            </w:r>
            <w:r>
              <w:rPr>
                <w:rStyle w:val="IndexLink"/>
              </w:rPr>
              <w:t>564</w:t>
            </w:r>
          </w:hyperlink>
        </w:p>
        <w:p>
          <w:pPr>
            <w:pStyle w:val="Contents3"/>
            <w:tabs>
              <w:tab w:val="clear" w:pos="8459"/>
              <w:tab w:val="right" w:pos="9026" w:leader="dot"/>
            </w:tabs>
            <w:rPr/>
          </w:pPr>
          <w:hyperlink w:anchor="__RefHeading___Toc2569524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إذا لم یکن عند المرتهن بیّنة مقبولة لإثبات دینه</w:t>
            </w:r>
            <w:r>
              <w:rPr>
                <w:rStyle w:val="IndexLink"/>
                <w:rtl w:val="true"/>
              </w:rPr>
              <w:t>]</w:t>
              <w:tab/>
            </w:r>
            <w:r>
              <w:rPr>
                <w:rStyle w:val="IndexLink"/>
              </w:rPr>
              <w:t>564</w:t>
            </w:r>
          </w:hyperlink>
        </w:p>
        <w:p>
          <w:pPr>
            <w:pStyle w:val="Contents3"/>
            <w:tabs>
              <w:tab w:val="clear" w:pos="8459"/>
              <w:tab w:val="right" w:pos="9026" w:leader="dot"/>
            </w:tabs>
            <w:rPr/>
          </w:pPr>
          <w:hyperlink w:anchor="__RefHeading___Toc2569526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لو وفیٰ بیع بعض الرهن بالدین، اقتصر علیه علی الأحوط</w:t>
            </w:r>
            <w:r>
              <w:rPr>
                <w:rStyle w:val="IndexLink"/>
                <w:rtl w:val="true"/>
              </w:rPr>
              <w:t>]</w:t>
              <w:tab/>
            </w:r>
            <w:r>
              <w:rPr>
                <w:rStyle w:val="IndexLink"/>
              </w:rPr>
              <w:t>564</w:t>
            </w:r>
          </w:hyperlink>
        </w:p>
        <w:p>
          <w:pPr>
            <w:pStyle w:val="Contents3"/>
            <w:tabs>
              <w:tab w:val="clear" w:pos="8459"/>
              <w:tab w:val="right" w:pos="9026" w:leader="dot"/>
            </w:tabs>
            <w:rPr/>
          </w:pPr>
          <w:hyperlink w:anchor="__RefHeading___Toc2569528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إذا کان الرهن من مستثنیات الدین کدار سکناه و دابّة رکوبه جاز</w:t>
            </w:r>
            <w:r>
              <w:rPr>
                <w:rStyle w:val="IndexLink"/>
                <w:rtl w:val="true"/>
              </w:rPr>
              <w:t>]</w:t>
              <w:tab/>
            </w:r>
            <w:r>
              <w:rPr>
                <w:rStyle w:val="IndexLink"/>
              </w:rPr>
              <w:t>564</w:t>
            </w:r>
          </w:hyperlink>
        </w:p>
        <w:p>
          <w:pPr>
            <w:pStyle w:val="Contents3"/>
            <w:tabs>
              <w:tab w:val="clear" w:pos="8459"/>
              <w:tab w:val="right" w:pos="9026" w:leader="dot"/>
            </w:tabs>
            <w:rPr/>
          </w:pPr>
          <w:hyperlink w:anchor="__RefHeading___Toc2569530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إذا کان الراهن مفلّساً أو مات و علیه دیون للناس</w:t>
            </w:r>
            <w:r>
              <w:rPr>
                <w:rStyle w:val="IndexLink"/>
                <w:rtl w:val="true"/>
              </w:rPr>
              <w:t>]</w:t>
              <w:tab/>
            </w:r>
            <w:r>
              <w:rPr>
                <w:rStyle w:val="IndexLink"/>
              </w:rPr>
              <w:t>564</w:t>
            </w:r>
          </w:hyperlink>
        </w:p>
        <w:p>
          <w:pPr>
            <w:pStyle w:val="Contents3"/>
            <w:tabs>
              <w:tab w:val="clear" w:pos="8459"/>
              <w:tab w:val="right" w:pos="9026" w:leader="dot"/>
            </w:tabs>
            <w:rPr/>
          </w:pPr>
          <w:hyperlink w:anchor="__RefHeading___Toc2569532_3650668749">
            <w:r>
              <w:rPr>
                <w:webHidden/>
                <w:rStyle w:val="IndexLink"/>
                <w:rtl w:val="true"/>
              </w:rPr>
              <w:t>[ (</w:t>
            </w:r>
            <w:r>
              <w:rPr>
                <w:rStyle w:val="IndexLink"/>
                <w:rtl w:val="true"/>
              </w:rPr>
              <w:t xml:space="preserve">مسألة </w:t>
            </w:r>
            <w:r>
              <w:rPr>
                <w:rStyle w:val="IndexLink"/>
              </w:rPr>
              <w:t>28</w:t>
            </w:r>
            <w:r>
              <w:rPr>
                <w:rStyle w:val="IndexLink"/>
                <w:rtl w:val="true"/>
              </w:rPr>
              <w:t xml:space="preserve">): </w:t>
            </w:r>
            <w:r>
              <w:rPr>
                <w:rStyle w:val="IndexLink"/>
                <w:rtl w:val="true"/>
              </w:rPr>
              <w:t>الرهن أمانة فی ید المرتهن، لا یضمنه لو تلف أو تعیّب من دون تعدّ أو تفریط</w:t>
            </w:r>
            <w:r>
              <w:rPr>
                <w:rStyle w:val="IndexLink"/>
                <w:rtl w:val="true"/>
              </w:rPr>
              <w:t>]</w:t>
              <w:tab/>
            </w:r>
            <w:r>
              <w:rPr>
                <w:rStyle w:val="IndexLink"/>
              </w:rPr>
              <w:t>565</w:t>
            </w:r>
          </w:hyperlink>
        </w:p>
        <w:p>
          <w:pPr>
            <w:pStyle w:val="Contents3"/>
            <w:tabs>
              <w:tab w:val="clear" w:pos="8459"/>
              <w:tab w:val="right" w:pos="9026" w:leader="dot"/>
            </w:tabs>
            <w:rPr/>
          </w:pPr>
          <w:hyperlink w:anchor="__RefHeading___Toc2569534_3650668749">
            <w:r>
              <w:rPr>
                <w:webHidden/>
                <w:rStyle w:val="IndexLink"/>
                <w:rtl w:val="true"/>
              </w:rPr>
              <w:t>[ (</w:t>
            </w:r>
            <w:r>
              <w:rPr>
                <w:rStyle w:val="IndexLink"/>
                <w:rtl w:val="true"/>
              </w:rPr>
              <w:t xml:space="preserve">مسألة </w:t>
            </w:r>
            <w:r>
              <w:rPr>
                <w:rStyle w:val="IndexLink"/>
              </w:rPr>
              <w:t>29</w:t>
            </w:r>
            <w:r>
              <w:rPr>
                <w:rStyle w:val="IndexLink"/>
                <w:rtl w:val="true"/>
              </w:rPr>
              <w:t xml:space="preserve">): </w:t>
            </w:r>
            <w:r>
              <w:rPr>
                <w:rStyle w:val="IndexLink"/>
                <w:rtl w:val="true"/>
              </w:rPr>
              <w:t>لا تبطل الرهانة بموت الراهن و لا بموت المرتهن</w:t>
            </w:r>
            <w:r>
              <w:rPr>
                <w:rStyle w:val="IndexLink"/>
                <w:rtl w:val="true"/>
              </w:rPr>
              <w:t>]</w:t>
              <w:tab/>
            </w:r>
            <w:r>
              <w:rPr>
                <w:rStyle w:val="IndexLink"/>
              </w:rPr>
              <w:t>565</w:t>
            </w:r>
          </w:hyperlink>
        </w:p>
        <w:p>
          <w:pPr>
            <w:pStyle w:val="Contents3"/>
            <w:tabs>
              <w:tab w:val="clear" w:pos="8459"/>
              <w:tab w:val="right" w:pos="9026" w:leader="dot"/>
            </w:tabs>
            <w:rPr/>
          </w:pPr>
          <w:hyperlink w:anchor="__RefHeading___Toc2569536_3650668749">
            <w:r>
              <w:rPr>
                <w:webHidden/>
                <w:rStyle w:val="IndexLink"/>
                <w:rtl w:val="true"/>
              </w:rPr>
              <w:t>[ (</w:t>
            </w:r>
            <w:r>
              <w:rPr>
                <w:rStyle w:val="IndexLink"/>
                <w:rtl w:val="true"/>
              </w:rPr>
              <w:t xml:space="preserve">مسألة </w:t>
            </w:r>
            <w:r>
              <w:rPr>
                <w:rStyle w:val="IndexLink"/>
              </w:rPr>
              <w:t>30</w:t>
            </w:r>
            <w:r>
              <w:rPr>
                <w:rStyle w:val="IndexLink"/>
                <w:rtl w:val="true"/>
              </w:rPr>
              <w:t xml:space="preserve">): </w:t>
            </w:r>
            <w:r>
              <w:rPr>
                <w:rStyle w:val="IndexLink"/>
                <w:rtl w:val="true"/>
              </w:rPr>
              <w:t>إذا ظهر للمرتهن أمارات الموت یجب علیه الوصیّة بالرهن</w:t>
            </w:r>
            <w:r>
              <w:rPr>
                <w:rStyle w:val="IndexLink"/>
                <w:rtl w:val="true"/>
              </w:rPr>
              <w:t>]</w:t>
              <w:tab/>
            </w:r>
            <w:r>
              <w:rPr>
                <w:rStyle w:val="IndexLink"/>
              </w:rPr>
              <w:t>565</w:t>
            </w:r>
          </w:hyperlink>
        </w:p>
        <w:p>
          <w:pPr>
            <w:pStyle w:val="Contents3"/>
            <w:tabs>
              <w:tab w:val="clear" w:pos="8459"/>
              <w:tab w:val="right" w:pos="9026" w:leader="dot"/>
            </w:tabs>
            <w:rPr/>
          </w:pPr>
          <w:hyperlink w:anchor="__RefHeading___Toc2569538_3650668749">
            <w:r>
              <w:rPr>
                <w:webHidden/>
                <w:rStyle w:val="IndexLink"/>
                <w:rtl w:val="true"/>
              </w:rPr>
              <w:t>[ (</w:t>
            </w:r>
            <w:r>
              <w:rPr>
                <w:rStyle w:val="IndexLink"/>
                <w:rtl w:val="true"/>
              </w:rPr>
              <w:t xml:space="preserve">مسألة </w:t>
            </w:r>
            <w:r>
              <w:rPr>
                <w:rStyle w:val="IndexLink"/>
              </w:rPr>
              <w:t>31</w:t>
            </w:r>
            <w:r>
              <w:rPr>
                <w:rStyle w:val="IndexLink"/>
                <w:rtl w:val="true"/>
              </w:rPr>
              <w:t xml:space="preserve">): </w:t>
            </w:r>
            <w:r>
              <w:rPr>
                <w:rStyle w:val="IndexLink"/>
                <w:rtl w:val="true"/>
              </w:rPr>
              <w:t>لو کان عنده الرهن قبل موته ثمّ مات و لم یعلم بوجوده فی ترکته</w:t>
            </w:r>
            <w:r>
              <w:rPr>
                <w:rStyle w:val="IndexLink"/>
                <w:rtl w:val="true"/>
              </w:rPr>
              <w:t>]</w:t>
              <w:tab/>
            </w:r>
            <w:r>
              <w:rPr>
                <w:rStyle w:val="IndexLink"/>
              </w:rPr>
              <w:t>565</w:t>
            </w:r>
          </w:hyperlink>
        </w:p>
        <w:p>
          <w:pPr>
            <w:pStyle w:val="Contents3"/>
            <w:tabs>
              <w:tab w:val="clear" w:pos="8459"/>
              <w:tab w:val="right" w:pos="9026" w:leader="dot"/>
            </w:tabs>
            <w:rPr/>
          </w:pPr>
          <w:hyperlink w:anchor="__RefHeading___Toc2569540_3650668749">
            <w:r>
              <w:rPr>
                <w:webHidden/>
                <w:rStyle w:val="IndexLink"/>
                <w:rtl w:val="true"/>
              </w:rPr>
              <w:t>[ (</w:t>
            </w:r>
            <w:r>
              <w:rPr>
                <w:rStyle w:val="IndexLink"/>
                <w:rtl w:val="true"/>
              </w:rPr>
              <w:t xml:space="preserve">مسألة </w:t>
            </w:r>
            <w:r>
              <w:rPr>
                <w:rStyle w:val="IndexLink"/>
              </w:rPr>
              <w:t>32</w:t>
            </w:r>
            <w:r>
              <w:rPr>
                <w:rStyle w:val="IndexLink"/>
                <w:rtl w:val="true"/>
              </w:rPr>
              <w:t xml:space="preserve">): </w:t>
            </w:r>
            <w:r>
              <w:rPr>
                <w:rStyle w:val="IndexLink"/>
                <w:rtl w:val="true"/>
              </w:rPr>
              <w:t>لو اقترض من شخص دیناراً مثلًا برهن و دیناراً آخر منه بلا رهن</w:t>
            </w:r>
            <w:r>
              <w:rPr>
                <w:rStyle w:val="IndexLink"/>
                <w:rtl w:val="true"/>
              </w:rPr>
              <w:t>]</w:t>
              <w:tab/>
            </w:r>
            <w:r>
              <w:rPr>
                <w:rStyle w:val="IndexLink"/>
              </w:rPr>
              <w:t>566</w:t>
            </w:r>
          </w:hyperlink>
        </w:p>
        <w:p>
          <w:pPr>
            <w:pStyle w:val="Contents2"/>
            <w:tabs>
              <w:tab w:val="clear" w:pos="8743"/>
              <w:tab w:val="right" w:pos="9026" w:leader="dot"/>
            </w:tabs>
            <w:rPr/>
          </w:pPr>
          <w:hyperlink w:anchor="__RefHeading___Toc2569542_3650668749">
            <w:r>
              <w:rPr>
                <w:webHidden/>
                <w:rStyle w:val="IndexLink"/>
                <w:rtl w:val="true"/>
              </w:rPr>
              <w:t>[</w:t>
            </w:r>
            <w:r>
              <w:rPr>
                <w:rStyle w:val="IndexLink"/>
                <w:rtl w:val="true"/>
              </w:rPr>
              <w:t>کتاب الحجر</w:t>
            </w:r>
            <w:r>
              <w:rPr>
                <w:rStyle w:val="IndexLink"/>
                <w:rtl w:val="true"/>
              </w:rPr>
              <w:t>]</w:t>
              <w:tab/>
            </w:r>
            <w:r>
              <w:rPr>
                <w:rStyle w:val="IndexLink"/>
              </w:rPr>
              <w:t>567</w:t>
            </w:r>
          </w:hyperlink>
        </w:p>
        <w:p>
          <w:pPr>
            <w:pStyle w:val="Contents3"/>
            <w:tabs>
              <w:tab w:val="clear" w:pos="8459"/>
              <w:tab w:val="right" w:pos="9026" w:leader="dot"/>
            </w:tabs>
            <w:rPr/>
          </w:pPr>
          <w:hyperlink w:anchor="__RefHeading___Toc2569544_3650668749">
            <w:r>
              <w:rPr>
                <w:webHidden/>
                <w:rStyle w:val="IndexLink"/>
                <w:rtl w:val="true"/>
              </w:rPr>
              <w:t>اشارة</w:t>
            </w:r>
            <w:r>
              <w:rPr>
                <w:rStyle w:val="IndexLink"/>
                <w:rtl w:val="true"/>
              </w:rPr>
              <w:tab/>
            </w:r>
            <w:r>
              <w:rPr>
                <w:rStyle w:val="IndexLink"/>
              </w:rPr>
              <w:t>567</w:t>
            </w:r>
          </w:hyperlink>
        </w:p>
        <w:p>
          <w:pPr>
            <w:pStyle w:val="Contents3"/>
            <w:tabs>
              <w:tab w:val="clear" w:pos="8459"/>
              <w:tab w:val="right" w:pos="9026" w:leader="dot"/>
            </w:tabs>
            <w:rPr/>
          </w:pPr>
          <w:hyperlink w:anchor="__RefHeading___Toc2569546_3650668749">
            <w:r>
              <w:rPr>
                <w:webHidden/>
                <w:rStyle w:val="IndexLink"/>
                <w:rtl w:val="true"/>
              </w:rPr>
              <w:t>[</w:t>
            </w:r>
            <w:r>
              <w:rPr>
                <w:rStyle w:val="IndexLink"/>
                <w:rtl w:val="true"/>
              </w:rPr>
              <w:t>القول فی الصغر</w:t>
            </w:r>
            <w:r>
              <w:rPr>
                <w:rStyle w:val="IndexLink"/>
                <w:rtl w:val="true"/>
              </w:rPr>
              <w:t>]</w:t>
              <w:tab/>
            </w:r>
            <w:r>
              <w:rPr>
                <w:rStyle w:val="IndexLink"/>
              </w:rPr>
              <w:t>567</w:t>
            </w:r>
          </w:hyperlink>
        </w:p>
        <w:p>
          <w:pPr>
            <w:pStyle w:val="Contents4"/>
            <w:tabs>
              <w:tab w:val="clear" w:pos="8176"/>
              <w:tab w:val="right" w:pos="9026" w:leader="dot"/>
            </w:tabs>
            <w:rPr/>
          </w:pPr>
          <w:hyperlink w:anchor="__RefHeading___Toc2569548_3650668749">
            <w:r>
              <w:rPr>
                <w:webHidden/>
                <w:rStyle w:val="IndexLink"/>
                <w:rtl w:val="true"/>
              </w:rPr>
              <w:t>اشارة</w:t>
            </w:r>
            <w:r>
              <w:rPr>
                <w:rStyle w:val="IndexLink"/>
                <w:rtl w:val="true"/>
              </w:rPr>
              <w:tab/>
            </w:r>
            <w:r>
              <w:rPr>
                <w:rStyle w:val="IndexLink"/>
              </w:rPr>
              <w:t>567</w:t>
            </w:r>
          </w:hyperlink>
        </w:p>
        <w:p>
          <w:pPr>
            <w:pStyle w:val="Contents4"/>
            <w:tabs>
              <w:tab w:val="clear" w:pos="8176"/>
              <w:tab w:val="right" w:pos="9026" w:leader="dot"/>
            </w:tabs>
            <w:rPr/>
          </w:pPr>
          <w:hyperlink w:anchor="__RefHeading___Toc256955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الصغیر و هو الذی لم یبلغ حدّ البلوغ محجور علیه شرعاً</w:t>
            </w:r>
            <w:r>
              <w:rPr>
                <w:rStyle w:val="IndexLink"/>
                <w:rtl w:val="true"/>
              </w:rPr>
              <w:t>]</w:t>
              <w:tab/>
            </w:r>
            <w:r>
              <w:rPr>
                <w:rStyle w:val="IndexLink"/>
              </w:rPr>
              <w:t>567</w:t>
            </w:r>
          </w:hyperlink>
        </w:p>
        <w:p>
          <w:pPr>
            <w:pStyle w:val="Contents4"/>
            <w:tabs>
              <w:tab w:val="clear" w:pos="8176"/>
              <w:tab w:val="right" w:pos="9026" w:leader="dot"/>
            </w:tabs>
            <w:rPr/>
          </w:pPr>
          <w:hyperlink w:anchor="__RefHeading___Toc256955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کما أنّ الصبیّ محجور علیه بالنسبة إلیٰ ماله، کذلک محجور بالنسبة إلیٰ ذمّته</w:t>
            </w:r>
            <w:r>
              <w:rPr>
                <w:rStyle w:val="IndexLink"/>
                <w:rtl w:val="true"/>
              </w:rPr>
              <w:t>]</w:t>
              <w:tab/>
            </w:r>
            <w:r>
              <w:rPr>
                <w:rStyle w:val="IndexLink"/>
              </w:rPr>
              <w:t>567</w:t>
            </w:r>
          </w:hyperlink>
        </w:p>
        <w:p>
          <w:pPr>
            <w:pStyle w:val="Contents4"/>
            <w:tabs>
              <w:tab w:val="clear" w:pos="8176"/>
              <w:tab w:val="right" w:pos="9026" w:leader="dot"/>
            </w:tabs>
            <w:rPr/>
          </w:pPr>
          <w:hyperlink w:anchor="__RefHeading___Toc256955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یعرف البلوغ فی الذکر و الأُنثیٰ بأحد أُمور ثلاثة</w:t>
            </w:r>
            <w:r>
              <w:rPr>
                <w:rStyle w:val="IndexLink"/>
                <w:rtl w:val="true"/>
              </w:rPr>
              <w:t>]</w:t>
              <w:tab/>
            </w:r>
            <w:r>
              <w:rPr>
                <w:rStyle w:val="IndexLink"/>
              </w:rPr>
              <w:t>567</w:t>
            </w:r>
          </w:hyperlink>
        </w:p>
        <w:p>
          <w:pPr>
            <w:pStyle w:val="Contents4"/>
            <w:tabs>
              <w:tab w:val="clear" w:pos="8176"/>
              <w:tab w:val="right" w:pos="9026" w:leader="dot"/>
            </w:tabs>
            <w:rPr/>
          </w:pPr>
          <w:hyperlink w:anchor="__RefHeading___Toc256955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لا یکفی البلوغ فی زوال الحجر عن الصبیّ</w:t>
            </w:r>
            <w:r>
              <w:rPr>
                <w:rStyle w:val="IndexLink"/>
                <w:rtl w:val="true"/>
              </w:rPr>
              <w:t>]</w:t>
              <w:tab/>
            </w:r>
            <w:r>
              <w:rPr>
                <w:rStyle w:val="IndexLink"/>
              </w:rPr>
              <w:t>568</w:t>
            </w:r>
          </w:hyperlink>
        </w:p>
        <w:p>
          <w:pPr>
            <w:pStyle w:val="Contents4"/>
            <w:tabs>
              <w:tab w:val="clear" w:pos="8176"/>
              <w:tab w:val="right" w:pos="9026" w:leader="dot"/>
            </w:tabs>
            <w:rPr/>
          </w:pPr>
          <w:hyperlink w:anchor="__RefHeading___Toc256955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ولایة التصرّف فی مال الطفل و النظر فی مصالحه و شؤونه لأبیه و جدّه لأبیه</w:t>
            </w:r>
            <w:r>
              <w:rPr>
                <w:rStyle w:val="IndexLink"/>
                <w:rtl w:val="true"/>
              </w:rPr>
              <w:t>]</w:t>
              <w:tab/>
            </w:r>
            <w:r>
              <w:rPr>
                <w:rStyle w:val="IndexLink"/>
              </w:rPr>
              <w:t>568</w:t>
            </w:r>
          </w:hyperlink>
        </w:p>
        <w:p>
          <w:pPr>
            <w:pStyle w:val="Contents4"/>
            <w:tabs>
              <w:tab w:val="clear" w:pos="8176"/>
              <w:tab w:val="right" w:pos="9026" w:leader="dot"/>
            </w:tabs>
            <w:rPr/>
          </w:pPr>
          <w:hyperlink w:anchor="__RefHeading___Toc256956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الظاهر أنّه لا یشترط العدالة فی ولایة الأب و الجدّ، فلا ولایة للحاکم مع فسقهما</w:t>
            </w:r>
            <w:r>
              <w:rPr>
                <w:rStyle w:val="IndexLink"/>
                <w:rtl w:val="true"/>
              </w:rPr>
              <w:t>]</w:t>
              <w:tab/>
            </w:r>
            <w:r>
              <w:rPr>
                <w:rStyle w:val="IndexLink"/>
              </w:rPr>
              <w:t>568</w:t>
            </w:r>
          </w:hyperlink>
        </w:p>
        <w:p>
          <w:pPr>
            <w:pStyle w:val="Contents4"/>
            <w:tabs>
              <w:tab w:val="clear" w:pos="8176"/>
              <w:tab w:val="right" w:pos="9026" w:leader="dot"/>
            </w:tabs>
            <w:rPr/>
          </w:pPr>
          <w:hyperlink w:anchor="__RefHeading___Toc256956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الأب و الجدّ مشترکان فی الولایة</w:t>
            </w:r>
            <w:r>
              <w:rPr>
                <w:rStyle w:val="IndexLink"/>
                <w:rtl w:val="true"/>
              </w:rPr>
              <w:t>]</w:t>
              <w:tab/>
            </w:r>
            <w:r>
              <w:rPr>
                <w:rStyle w:val="IndexLink"/>
              </w:rPr>
              <w:t>568</w:t>
            </w:r>
          </w:hyperlink>
        </w:p>
        <w:p>
          <w:pPr>
            <w:pStyle w:val="Contents4"/>
            <w:tabs>
              <w:tab w:val="clear" w:pos="8176"/>
              <w:tab w:val="right" w:pos="9026" w:leader="dot"/>
            </w:tabs>
            <w:rPr/>
          </w:pPr>
          <w:hyperlink w:anchor="__RefHeading___Toc256956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الظاهر أنّه لا فرق بین الجدّ القریب و البعید</w:t>
            </w:r>
            <w:r>
              <w:rPr>
                <w:rStyle w:val="IndexLink"/>
                <w:rtl w:val="true"/>
              </w:rPr>
              <w:t>]</w:t>
              <w:tab/>
            </w:r>
            <w:r>
              <w:rPr>
                <w:rStyle w:val="IndexLink"/>
              </w:rPr>
              <w:t>568</w:t>
            </w:r>
          </w:hyperlink>
        </w:p>
        <w:p>
          <w:pPr>
            <w:pStyle w:val="Contents4"/>
            <w:tabs>
              <w:tab w:val="clear" w:pos="8176"/>
              <w:tab w:val="right" w:pos="9026" w:leader="dot"/>
            </w:tabs>
            <w:rPr/>
          </w:pPr>
          <w:hyperlink w:anchor="__RefHeading___Toc256956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یجوز للولیّ بیع عقار الصبیّ مع الحاجة و اقتضاء المصلحة</w:t>
            </w:r>
            <w:r>
              <w:rPr>
                <w:rStyle w:val="IndexLink"/>
                <w:rtl w:val="true"/>
              </w:rPr>
              <w:t>]</w:t>
              <w:tab/>
            </w:r>
            <w:r>
              <w:rPr>
                <w:rStyle w:val="IndexLink"/>
              </w:rPr>
              <w:t>568</w:t>
            </w:r>
          </w:hyperlink>
        </w:p>
        <w:p>
          <w:pPr>
            <w:pStyle w:val="Contents4"/>
            <w:tabs>
              <w:tab w:val="clear" w:pos="8176"/>
              <w:tab w:val="right" w:pos="9026" w:leader="dot"/>
            </w:tabs>
            <w:rPr/>
          </w:pPr>
          <w:hyperlink w:anchor="__RefHeading___Toc2569568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یجوز للولیّ المضاربة بمال الطفل و إبضاعه بشرط وثاقة العامل و أمانته</w:t>
            </w:r>
            <w:r>
              <w:rPr>
                <w:rStyle w:val="IndexLink"/>
                <w:rtl w:val="true"/>
              </w:rPr>
              <w:t>]</w:t>
              <w:tab/>
            </w:r>
            <w:r>
              <w:rPr>
                <w:rStyle w:val="IndexLink"/>
              </w:rPr>
              <w:t>568</w:t>
            </w:r>
          </w:hyperlink>
        </w:p>
        <w:p>
          <w:pPr>
            <w:pStyle w:val="Contents4"/>
            <w:tabs>
              <w:tab w:val="clear" w:pos="8176"/>
              <w:tab w:val="right" w:pos="9026" w:leader="dot"/>
            </w:tabs>
            <w:rPr/>
          </w:pPr>
          <w:hyperlink w:anchor="__RefHeading___Toc2569570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یجوز للولیّ تسلیم الصبیّ إلیٰ أمین یعلّمه الصنعة</w:t>
            </w:r>
            <w:r>
              <w:rPr>
                <w:rStyle w:val="IndexLink"/>
                <w:rtl w:val="true"/>
              </w:rPr>
              <w:t>]</w:t>
              <w:tab/>
            </w:r>
            <w:r>
              <w:rPr>
                <w:rStyle w:val="IndexLink"/>
              </w:rPr>
              <w:t>569</w:t>
            </w:r>
          </w:hyperlink>
        </w:p>
        <w:p>
          <w:pPr>
            <w:pStyle w:val="Contents4"/>
            <w:tabs>
              <w:tab w:val="clear" w:pos="8176"/>
              <w:tab w:val="right" w:pos="9026" w:leader="dot"/>
            </w:tabs>
            <w:rPr/>
          </w:pPr>
          <w:hyperlink w:anchor="__RefHeading___Toc2569572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یجوز لولیّ الیتیم إفراده بالمأکول و الملبوس من ماله</w:t>
            </w:r>
            <w:r>
              <w:rPr>
                <w:rStyle w:val="IndexLink"/>
                <w:rtl w:val="true"/>
              </w:rPr>
              <w:t>]</w:t>
              <w:tab/>
            </w:r>
            <w:r>
              <w:rPr>
                <w:rStyle w:val="IndexLink"/>
              </w:rPr>
              <w:t>569</w:t>
            </w:r>
          </w:hyperlink>
        </w:p>
        <w:p>
          <w:pPr>
            <w:pStyle w:val="Contents4"/>
            <w:tabs>
              <w:tab w:val="clear" w:pos="8176"/>
              <w:tab w:val="right" w:pos="9026" w:leader="dot"/>
            </w:tabs>
            <w:rPr/>
          </w:pPr>
          <w:hyperlink w:anchor="__RefHeading___Toc2569574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إذا کان للصغیر مال علیٰ غیره، جاز للولیّ أن یصالحه عنه ببعضه مع المصلحة</w:t>
            </w:r>
            <w:r>
              <w:rPr>
                <w:rStyle w:val="IndexLink"/>
                <w:rtl w:val="true"/>
              </w:rPr>
              <w:t>]</w:t>
              <w:tab/>
            </w:r>
            <w:r>
              <w:rPr>
                <w:rStyle w:val="IndexLink"/>
              </w:rPr>
              <w:t>569</w:t>
            </w:r>
          </w:hyperlink>
        </w:p>
        <w:p>
          <w:pPr>
            <w:pStyle w:val="Contents4"/>
            <w:tabs>
              <w:tab w:val="clear" w:pos="8176"/>
              <w:tab w:val="right" w:pos="9026" w:leader="dot"/>
            </w:tabs>
            <w:rPr/>
          </w:pPr>
          <w:hyperlink w:anchor="__RefHeading___Toc2569576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المجنون کالصغیر فی جمیع ما ذکر</w:t>
            </w:r>
            <w:r>
              <w:rPr>
                <w:rStyle w:val="IndexLink"/>
                <w:rtl w:val="true"/>
              </w:rPr>
              <w:t>]</w:t>
              <w:tab/>
            </w:r>
            <w:r>
              <w:rPr>
                <w:rStyle w:val="IndexLink"/>
              </w:rPr>
              <w:t>569</w:t>
            </w:r>
          </w:hyperlink>
        </w:p>
        <w:p>
          <w:pPr>
            <w:pStyle w:val="Contents4"/>
            <w:tabs>
              <w:tab w:val="clear" w:pos="8176"/>
              <w:tab w:val="right" w:pos="9026" w:leader="dot"/>
            </w:tabs>
            <w:rPr/>
          </w:pPr>
          <w:hyperlink w:anchor="__RefHeading___Toc2569578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ینفق الولیّ علی الصبیّ بالاقتصاد</w:t>
            </w:r>
            <w:r>
              <w:rPr>
                <w:rStyle w:val="IndexLink"/>
                <w:rtl w:val="true"/>
              </w:rPr>
              <w:t>]</w:t>
              <w:tab/>
            </w:r>
            <w:r>
              <w:rPr>
                <w:rStyle w:val="IndexLink"/>
              </w:rPr>
              <w:t>569</w:t>
            </w:r>
          </w:hyperlink>
        </w:p>
        <w:p>
          <w:pPr>
            <w:pStyle w:val="Contents4"/>
            <w:tabs>
              <w:tab w:val="clear" w:pos="8176"/>
              <w:tab w:val="right" w:pos="9026" w:leader="dot"/>
            </w:tabs>
            <w:rPr/>
          </w:pPr>
          <w:hyperlink w:anchor="__RefHeading___Toc2569580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لو ادّعی الولیّ الإنفاق علی الصبیّ أو علیٰ ماله أو دوابّه بالمقدار اللائق</w:t>
            </w:r>
            <w:r>
              <w:rPr>
                <w:rStyle w:val="IndexLink"/>
                <w:rtl w:val="true"/>
              </w:rPr>
              <w:t>]</w:t>
              <w:tab/>
            </w:r>
            <w:r>
              <w:rPr>
                <w:rStyle w:val="IndexLink"/>
              </w:rPr>
              <w:t>569</w:t>
            </w:r>
          </w:hyperlink>
        </w:p>
        <w:p>
          <w:pPr>
            <w:pStyle w:val="Contents3"/>
            <w:tabs>
              <w:tab w:val="clear" w:pos="8459"/>
              <w:tab w:val="right" w:pos="9026" w:leader="dot"/>
            </w:tabs>
            <w:rPr/>
          </w:pPr>
          <w:hyperlink w:anchor="__RefHeading___Toc2569582_3650668749">
            <w:r>
              <w:rPr>
                <w:webHidden/>
                <w:rStyle w:val="IndexLink"/>
                <w:rtl w:val="true"/>
              </w:rPr>
              <w:t>[</w:t>
            </w:r>
            <w:r>
              <w:rPr>
                <w:rStyle w:val="IndexLink"/>
                <w:rtl w:val="true"/>
              </w:rPr>
              <w:t>القول فی السفه</w:t>
            </w:r>
            <w:r>
              <w:rPr>
                <w:rStyle w:val="IndexLink"/>
                <w:rtl w:val="true"/>
              </w:rPr>
              <w:t>]</w:t>
              <w:tab/>
            </w:r>
            <w:r>
              <w:rPr>
                <w:rStyle w:val="IndexLink"/>
              </w:rPr>
              <w:t>569</w:t>
            </w:r>
          </w:hyperlink>
        </w:p>
        <w:p>
          <w:pPr>
            <w:pStyle w:val="Contents4"/>
            <w:tabs>
              <w:tab w:val="clear" w:pos="8176"/>
              <w:tab w:val="right" w:pos="9026" w:leader="dot"/>
            </w:tabs>
            <w:rPr/>
          </w:pPr>
          <w:hyperlink w:anchor="__RefHeading___Toc2569584_3650668749">
            <w:r>
              <w:rPr>
                <w:webHidden/>
                <w:rStyle w:val="IndexLink"/>
                <w:rtl w:val="true"/>
              </w:rPr>
              <w:t>اشارة</w:t>
            </w:r>
            <w:r>
              <w:rPr>
                <w:rStyle w:val="IndexLink"/>
                <w:rtl w:val="true"/>
              </w:rPr>
              <w:tab/>
            </w:r>
            <w:r>
              <w:rPr>
                <w:rStyle w:val="IndexLink"/>
              </w:rPr>
              <w:t>569</w:t>
            </w:r>
          </w:hyperlink>
        </w:p>
        <w:p>
          <w:pPr>
            <w:pStyle w:val="Contents4"/>
            <w:tabs>
              <w:tab w:val="clear" w:pos="8176"/>
              <w:tab w:val="right" w:pos="9026" w:leader="dot"/>
            </w:tabs>
            <w:rPr/>
          </w:pPr>
          <w:hyperlink w:anchor="__RefHeading___Toc256958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ولایة السفیه للأب و الجدّ و وصیّهما إذا بلغ سفیهاً</w:t>
            </w:r>
            <w:r>
              <w:rPr>
                <w:rStyle w:val="IndexLink"/>
                <w:rtl w:val="true"/>
              </w:rPr>
              <w:t>]</w:t>
              <w:tab/>
            </w:r>
            <w:r>
              <w:rPr>
                <w:rStyle w:val="IndexLink"/>
              </w:rPr>
              <w:t>570</w:t>
            </w:r>
          </w:hyperlink>
        </w:p>
        <w:p>
          <w:pPr>
            <w:pStyle w:val="Contents4"/>
            <w:tabs>
              <w:tab w:val="clear" w:pos="8176"/>
              <w:tab w:val="right" w:pos="9026" w:leader="dot"/>
            </w:tabs>
            <w:rPr/>
          </w:pPr>
          <w:hyperlink w:anchor="__RefHeading___Toc256958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کما أنّ السفیه محجور علیه فی أمواله، کذلک فی ذمّته بأن یتعهّد مالًا أو عملًا</w:t>
            </w:r>
            <w:r>
              <w:rPr>
                <w:rStyle w:val="IndexLink"/>
                <w:rtl w:val="true"/>
              </w:rPr>
              <w:t>]</w:t>
              <w:tab/>
            </w:r>
            <w:r>
              <w:rPr>
                <w:rStyle w:val="IndexLink"/>
              </w:rPr>
              <w:t>570</w:t>
            </w:r>
          </w:hyperlink>
        </w:p>
        <w:p>
          <w:pPr>
            <w:pStyle w:val="Contents4"/>
            <w:tabs>
              <w:tab w:val="clear" w:pos="8176"/>
              <w:tab w:val="right" w:pos="9026" w:leader="dot"/>
            </w:tabs>
            <w:rPr/>
          </w:pPr>
          <w:hyperlink w:anchor="__RefHeading___Toc256959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معنیٰ عدم نفوذ تصرّفات السفیه عدم استقلاله</w:t>
            </w:r>
            <w:r>
              <w:rPr>
                <w:rStyle w:val="IndexLink"/>
                <w:rtl w:val="true"/>
              </w:rPr>
              <w:t>]</w:t>
              <w:tab/>
            </w:r>
            <w:r>
              <w:rPr>
                <w:rStyle w:val="IndexLink"/>
              </w:rPr>
              <w:t>570</w:t>
            </w:r>
          </w:hyperlink>
        </w:p>
        <w:p>
          <w:pPr>
            <w:pStyle w:val="Contents4"/>
            <w:tabs>
              <w:tab w:val="clear" w:pos="8176"/>
              <w:tab w:val="right" w:pos="9026" w:leader="dot"/>
            </w:tabs>
            <w:rPr/>
          </w:pPr>
          <w:hyperlink w:anchor="__RefHeading___Toc256959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لا یصحّ زواج السفیه بدون إذن الولیّ أو إجازته</w:t>
            </w:r>
            <w:r>
              <w:rPr>
                <w:rStyle w:val="IndexLink"/>
                <w:rtl w:val="true"/>
              </w:rPr>
              <w:t>]</w:t>
              <w:tab/>
            </w:r>
            <w:r>
              <w:rPr>
                <w:rStyle w:val="IndexLink"/>
              </w:rPr>
              <w:t>570</w:t>
            </w:r>
          </w:hyperlink>
        </w:p>
        <w:p>
          <w:pPr>
            <w:pStyle w:val="Contents4"/>
            <w:tabs>
              <w:tab w:val="clear" w:pos="8176"/>
              <w:tab w:val="right" w:pos="9026" w:leader="dot"/>
            </w:tabs>
            <w:rPr/>
          </w:pPr>
          <w:hyperlink w:anchor="__RefHeading___Toc256959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وکّل السفیه أجنبیّ فی بیع أو هبة أو إجارة مثلًا جاز و لو کان وکیلًا فی أصل المعاملة</w:t>
            </w:r>
            <w:r>
              <w:rPr>
                <w:rStyle w:val="IndexLink"/>
                <w:rtl w:val="true"/>
              </w:rPr>
              <w:t>]</w:t>
              <w:tab/>
            </w:r>
            <w:r>
              <w:rPr>
                <w:rStyle w:val="IndexLink"/>
              </w:rPr>
              <w:t>570</w:t>
            </w:r>
          </w:hyperlink>
        </w:p>
        <w:p>
          <w:pPr>
            <w:pStyle w:val="Contents4"/>
            <w:tabs>
              <w:tab w:val="clear" w:pos="8176"/>
              <w:tab w:val="right" w:pos="9026" w:leader="dot"/>
            </w:tabs>
            <w:rPr/>
          </w:pPr>
          <w:hyperlink w:anchor="__RefHeading___Toc2569596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حلف السفیه أو نذر علیٰ فعل شی‌ء أو ترکه ممّا لا یتعلّق بماله</w:t>
            </w:r>
            <w:r>
              <w:rPr>
                <w:rStyle w:val="IndexLink"/>
                <w:rtl w:val="true"/>
              </w:rPr>
              <w:t>]</w:t>
              <w:tab/>
            </w:r>
            <w:r>
              <w:rPr>
                <w:rStyle w:val="IndexLink"/>
              </w:rPr>
              <w:t>570</w:t>
            </w:r>
          </w:hyperlink>
        </w:p>
        <w:p>
          <w:pPr>
            <w:pStyle w:val="Contents4"/>
            <w:tabs>
              <w:tab w:val="clear" w:pos="8176"/>
              <w:tab w:val="right" w:pos="9026" w:leader="dot"/>
            </w:tabs>
            <w:rPr/>
          </w:pPr>
          <w:hyperlink w:anchor="__RefHeading___Toc2569598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کان للسفیه حقّ القصاص جاز أن یعفو عنه</w:t>
            </w:r>
            <w:r>
              <w:rPr>
                <w:rStyle w:val="IndexLink"/>
                <w:rtl w:val="true"/>
              </w:rPr>
              <w:t>]</w:t>
              <w:tab/>
            </w:r>
            <w:r>
              <w:rPr>
                <w:rStyle w:val="IndexLink"/>
              </w:rPr>
              <w:t>571</w:t>
            </w:r>
          </w:hyperlink>
        </w:p>
        <w:p>
          <w:pPr>
            <w:pStyle w:val="Contents4"/>
            <w:tabs>
              <w:tab w:val="clear" w:pos="8176"/>
              <w:tab w:val="right" w:pos="9026" w:leader="dot"/>
            </w:tabs>
            <w:rPr/>
          </w:pPr>
          <w:hyperlink w:anchor="__RefHeading___Toc2569600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اطّلع الولیّ علیٰ بیع أو شراء مثلًا من السفیه و لم یر المصلحة فی إجازته</w:t>
            </w:r>
            <w:r>
              <w:rPr>
                <w:rStyle w:val="IndexLink"/>
                <w:rtl w:val="true"/>
              </w:rPr>
              <w:t>]</w:t>
              <w:tab/>
            </w:r>
            <w:r>
              <w:rPr>
                <w:rStyle w:val="IndexLink"/>
              </w:rPr>
              <w:t>571</w:t>
            </w:r>
          </w:hyperlink>
        </w:p>
        <w:p>
          <w:pPr>
            <w:pStyle w:val="Contents4"/>
            <w:tabs>
              <w:tab w:val="clear" w:pos="8176"/>
              <w:tab w:val="right" w:pos="9026" w:leader="dot"/>
            </w:tabs>
            <w:rPr/>
          </w:pPr>
          <w:hyperlink w:anchor="__RefHeading___Toc2569602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لو أودع إنسان ودیعة عند السفیه، فأتلفها ضمنها علی الأقویٰ</w:t>
            </w:r>
            <w:r>
              <w:rPr>
                <w:rStyle w:val="IndexLink"/>
                <w:rtl w:val="true"/>
              </w:rPr>
              <w:t>]</w:t>
              <w:tab/>
            </w:r>
            <w:r>
              <w:rPr>
                <w:rStyle w:val="IndexLink"/>
              </w:rPr>
              <w:t>571</w:t>
            </w:r>
          </w:hyperlink>
        </w:p>
        <w:p>
          <w:pPr>
            <w:pStyle w:val="Contents4"/>
            <w:tabs>
              <w:tab w:val="clear" w:pos="8176"/>
              <w:tab w:val="right" w:pos="9026" w:leader="dot"/>
            </w:tabs>
            <w:rPr/>
          </w:pPr>
          <w:hyperlink w:anchor="__RefHeading___Toc2569604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لا یسلّم إلی السفیه ماله ما لم یحرز رشده</w:t>
            </w:r>
            <w:r>
              <w:rPr>
                <w:rStyle w:val="IndexLink"/>
                <w:rtl w:val="true"/>
              </w:rPr>
              <w:t>]</w:t>
              <w:tab/>
            </w:r>
            <w:r>
              <w:rPr>
                <w:rStyle w:val="IndexLink"/>
              </w:rPr>
              <w:t>571</w:t>
            </w:r>
          </w:hyperlink>
        </w:p>
        <w:p>
          <w:pPr>
            <w:pStyle w:val="Contents4"/>
            <w:tabs>
              <w:tab w:val="clear" w:pos="8176"/>
              <w:tab w:val="right" w:pos="9026" w:leader="dot"/>
            </w:tabs>
            <w:rPr/>
          </w:pPr>
          <w:hyperlink w:anchor="__RefHeading___Toc2569606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الصبیّ إذا احتمل حصول الرشد له قبل البلوغ، یجب اختباره قبله</w:t>
            </w:r>
            <w:r>
              <w:rPr>
                <w:rStyle w:val="IndexLink"/>
                <w:rtl w:val="true"/>
              </w:rPr>
              <w:t>]</w:t>
              <w:tab/>
            </w:r>
            <w:r>
              <w:rPr>
                <w:rStyle w:val="IndexLink"/>
              </w:rPr>
              <w:t>572</w:t>
            </w:r>
          </w:hyperlink>
        </w:p>
        <w:p>
          <w:pPr>
            <w:pStyle w:val="Contents3"/>
            <w:tabs>
              <w:tab w:val="clear" w:pos="8459"/>
              <w:tab w:val="right" w:pos="9026" w:leader="dot"/>
            </w:tabs>
            <w:rPr/>
          </w:pPr>
          <w:hyperlink w:anchor="__RefHeading___Toc2569608_3650668749">
            <w:r>
              <w:rPr>
                <w:webHidden/>
                <w:rStyle w:val="IndexLink"/>
                <w:rtl w:val="true"/>
              </w:rPr>
              <w:t>[</w:t>
            </w:r>
            <w:r>
              <w:rPr>
                <w:rStyle w:val="IndexLink"/>
                <w:rtl w:val="true"/>
              </w:rPr>
              <w:t>القول فی المفلّس</w:t>
            </w:r>
            <w:r>
              <w:rPr>
                <w:rStyle w:val="IndexLink"/>
                <w:rtl w:val="true"/>
              </w:rPr>
              <w:t>]</w:t>
              <w:tab/>
            </w:r>
            <w:r>
              <w:rPr>
                <w:rStyle w:val="IndexLink"/>
              </w:rPr>
              <w:t>572</w:t>
            </w:r>
          </w:hyperlink>
        </w:p>
        <w:p>
          <w:pPr>
            <w:pStyle w:val="Contents4"/>
            <w:tabs>
              <w:tab w:val="clear" w:pos="8176"/>
              <w:tab w:val="right" w:pos="9026" w:leader="dot"/>
            </w:tabs>
            <w:rPr/>
          </w:pPr>
          <w:hyperlink w:anchor="__RefHeading___Toc2569610_3650668749">
            <w:r>
              <w:rPr>
                <w:webHidden/>
                <w:rStyle w:val="IndexLink"/>
                <w:rtl w:val="true"/>
              </w:rPr>
              <w:t>اشارة</w:t>
            </w:r>
            <w:r>
              <w:rPr>
                <w:rStyle w:val="IndexLink"/>
                <w:rtl w:val="true"/>
              </w:rPr>
              <w:tab/>
            </w:r>
            <w:r>
              <w:rPr>
                <w:rStyle w:val="IndexLink"/>
              </w:rPr>
              <w:t>572</w:t>
            </w:r>
          </w:hyperlink>
        </w:p>
        <w:p>
          <w:pPr>
            <w:pStyle w:val="Contents4"/>
            <w:tabs>
              <w:tab w:val="clear" w:pos="8176"/>
              <w:tab w:val="right" w:pos="9026" w:leader="dot"/>
            </w:tabs>
            <w:rPr/>
          </w:pPr>
          <w:hyperlink w:anchor="__RefHeading___Toc256961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من کثرت علیه الدیون و لو کانت أضعاف أمواله، یجوز له التصرّف فیها بأنواعه</w:t>
            </w:r>
            <w:r>
              <w:rPr>
                <w:rStyle w:val="IndexLink"/>
                <w:rtl w:val="true"/>
              </w:rPr>
              <w:t>]</w:t>
              <w:tab/>
            </w:r>
            <w:r>
              <w:rPr>
                <w:rStyle w:val="IndexLink"/>
              </w:rPr>
              <w:t>572</w:t>
            </w:r>
          </w:hyperlink>
        </w:p>
        <w:p>
          <w:pPr>
            <w:pStyle w:val="Contents4"/>
            <w:tabs>
              <w:tab w:val="clear" w:pos="8176"/>
              <w:tab w:val="right" w:pos="9026" w:leader="dot"/>
            </w:tabs>
            <w:rPr/>
          </w:pPr>
          <w:hyperlink w:anchor="__RefHeading___Toc256961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یجوز الحجر علی المفلس إلّا بشروط أربعة</w:t>
            </w:r>
            <w:r>
              <w:rPr>
                <w:rStyle w:val="IndexLink"/>
                <w:rtl w:val="true"/>
              </w:rPr>
              <w:t>]</w:t>
              <w:tab/>
            </w:r>
            <w:r>
              <w:rPr>
                <w:rStyle w:val="IndexLink"/>
              </w:rPr>
              <w:t>572</w:t>
            </w:r>
          </w:hyperlink>
        </w:p>
        <w:p>
          <w:pPr>
            <w:pStyle w:val="Contents4"/>
            <w:tabs>
              <w:tab w:val="clear" w:pos="8176"/>
              <w:tab w:val="right" w:pos="9026" w:leader="dot"/>
            </w:tabs>
            <w:rPr/>
          </w:pPr>
          <w:hyperlink w:anchor="__RefHeading___Toc256961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بعد ما تمّت الشرائط الأربعة و حجر علیه الحاکم و حکم بذلک</w:t>
            </w:r>
            <w:r>
              <w:rPr>
                <w:rStyle w:val="IndexLink"/>
                <w:rtl w:val="true"/>
              </w:rPr>
              <w:t>]</w:t>
              <w:tab/>
            </w:r>
            <w:r>
              <w:rPr>
                <w:rStyle w:val="IndexLink"/>
              </w:rPr>
              <w:t>572</w:t>
            </w:r>
          </w:hyperlink>
        </w:p>
        <w:p>
          <w:pPr>
            <w:pStyle w:val="Contents4"/>
            <w:tabs>
              <w:tab w:val="clear" w:pos="8176"/>
              <w:tab w:val="right" w:pos="9026" w:leader="dot"/>
            </w:tabs>
            <w:rPr/>
          </w:pPr>
          <w:hyperlink w:anchor="__RefHeading___Toc256961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إنّما یمنع عن التصرّف فی أمواله الموجودة فی زمان الحجر علیه</w:t>
            </w:r>
            <w:r>
              <w:rPr>
                <w:rStyle w:val="IndexLink"/>
                <w:rtl w:val="true"/>
              </w:rPr>
              <w:t>]</w:t>
              <w:tab/>
            </w:r>
            <w:r>
              <w:rPr>
                <w:rStyle w:val="IndexLink"/>
              </w:rPr>
              <w:t>573</w:t>
            </w:r>
          </w:hyperlink>
        </w:p>
        <w:p>
          <w:pPr>
            <w:pStyle w:val="Contents4"/>
            <w:tabs>
              <w:tab w:val="clear" w:pos="8176"/>
              <w:tab w:val="right" w:pos="9026" w:leader="dot"/>
            </w:tabs>
            <w:rPr/>
          </w:pPr>
          <w:hyperlink w:anchor="__RefHeading___Toc256962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أقرّ بعد الحجر بدین سابق صحّ</w:t>
            </w:r>
            <w:r>
              <w:rPr>
                <w:rStyle w:val="IndexLink"/>
                <w:rtl w:val="true"/>
              </w:rPr>
              <w:t>]</w:t>
              <w:tab/>
            </w:r>
            <w:r>
              <w:rPr>
                <w:rStyle w:val="IndexLink"/>
              </w:rPr>
              <w:t>573</w:t>
            </w:r>
          </w:hyperlink>
        </w:p>
        <w:p>
          <w:pPr>
            <w:pStyle w:val="Contents4"/>
            <w:tabs>
              <w:tab w:val="clear" w:pos="8176"/>
              <w:tab w:val="right" w:pos="9026" w:leader="dot"/>
            </w:tabs>
            <w:rPr/>
          </w:pPr>
          <w:hyperlink w:anchor="__RefHeading___Toc256962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أقرّ بعین من الأعیان التی تحت یده لشخص، لا إشکال فی نفوذ إقراره فی حقّه</w:t>
            </w:r>
            <w:r>
              <w:rPr>
                <w:rStyle w:val="IndexLink"/>
                <w:rtl w:val="true"/>
              </w:rPr>
              <w:t>]</w:t>
              <w:tab/>
            </w:r>
            <w:r>
              <w:rPr>
                <w:rStyle w:val="IndexLink"/>
              </w:rPr>
              <w:t>573</w:t>
            </w:r>
          </w:hyperlink>
        </w:p>
        <w:p>
          <w:pPr>
            <w:pStyle w:val="Contents4"/>
            <w:tabs>
              <w:tab w:val="clear" w:pos="8176"/>
              <w:tab w:val="right" w:pos="9026" w:leader="dot"/>
            </w:tabs>
            <w:rPr/>
          </w:pPr>
          <w:hyperlink w:anchor="__RefHeading___Toc256962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بعد ما حکم الحاکم بحجر المفلّس و منعه عن التصرّف فی أمواله یشرع فی بیعها و قسمتها بین الغرماء بالحصص</w:t>
            </w:r>
            <w:r>
              <w:rPr>
                <w:rStyle w:val="IndexLink"/>
                <w:rtl w:val="true"/>
              </w:rPr>
              <w:t>]</w:t>
              <w:tab/>
            </w:r>
            <w:r>
              <w:rPr>
                <w:rStyle w:val="IndexLink"/>
              </w:rPr>
              <w:t>573</w:t>
            </w:r>
          </w:hyperlink>
        </w:p>
        <w:p>
          <w:pPr>
            <w:pStyle w:val="Contents4"/>
            <w:tabs>
              <w:tab w:val="clear" w:pos="8176"/>
              <w:tab w:val="right" w:pos="9026" w:leader="dot"/>
            </w:tabs>
            <w:rPr/>
          </w:pPr>
          <w:hyperlink w:anchor="__RefHeading___Toc256962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إن کان من جملة مال المفلّس عین اشتراها</w:t>
            </w:r>
            <w:r>
              <w:rPr>
                <w:rStyle w:val="IndexLink"/>
                <w:rtl w:val="true"/>
              </w:rPr>
              <w:t>]</w:t>
              <w:tab/>
            </w:r>
            <w:r>
              <w:rPr>
                <w:rStyle w:val="IndexLink"/>
              </w:rPr>
              <w:t>573</w:t>
            </w:r>
          </w:hyperlink>
        </w:p>
        <w:p>
          <w:pPr>
            <w:pStyle w:val="Contents4"/>
            <w:tabs>
              <w:tab w:val="clear" w:pos="8176"/>
              <w:tab w:val="right" w:pos="9026" w:leader="dot"/>
            </w:tabs>
            <w:rPr/>
          </w:pPr>
          <w:hyperlink w:anchor="__RefHeading___Toc256962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قیل</w:t>
            </w:r>
            <w:r>
              <w:rPr>
                <w:rStyle w:val="IndexLink"/>
                <w:rtl w:val="true"/>
              </w:rPr>
              <w:t xml:space="preserve">: </w:t>
            </w:r>
            <w:r>
              <w:rPr>
                <w:rStyle w:val="IndexLink"/>
                <w:rtl w:val="true"/>
              </w:rPr>
              <w:t>هذا الخیار علی الفور</w:t>
            </w:r>
            <w:r>
              <w:rPr>
                <w:rStyle w:val="IndexLink"/>
                <w:rtl w:val="true"/>
              </w:rPr>
              <w:t>]</w:t>
              <w:tab/>
            </w:r>
            <w:r>
              <w:rPr>
                <w:rStyle w:val="IndexLink"/>
              </w:rPr>
              <w:t>573</w:t>
            </w:r>
          </w:hyperlink>
        </w:p>
        <w:p>
          <w:pPr>
            <w:pStyle w:val="Contents4"/>
            <w:tabs>
              <w:tab w:val="clear" w:pos="8176"/>
              <w:tab w:val="right" w:pos="9026" w:leader="dot"/>
            </w:tabs>
            <w:rPr/>
          </w:pPr>
          <w:hyperlink w:anchor="__RefHeading___Toc256963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یعتبر فی جواز رجوع البائع بالعین حلول الدین، فلا رجوع</w:t>
            </w:r>
            <w:r>
              <w:rPr>
                <w:rStyle w:val="IndexLink"/>
                <w:rtl w:val="true"/>
              </w:rPr>
              <w:t>]</w:t>
              <w:tab/>
            </w:r>
            <w:r>
              <w:rPr>
                <w:rStyle w:val="IndexLink"/>
              </w:rPr>
              <w:t>574</w:t>
            </w:r>
          </w:hyperlink>
        </w:p>
        <w:p>
          <w:pPr>
            <w:pStyle w:val="Contents4"/>
            <w:tabs>
              <w:tab w:val="clear" w:pos="8176"/>
              <w:tab w:val="right" w:pos="9026" w:leader="dot"/>
            </w:tabs>
            <w:rPr/>
          </w:pPr>
          <w:hyperlink w:anchor="__RefHeading___Toc256963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لو کانت العین من مستثنیات الدین لیس للبائع أن یرجع إلیها علی الأظهر</w:t>
            </w:r>
            <w:r>
              <w:rPr>
                <w:rStyle w:val="IndexLink"/>
                <w:rtl w:val="true"/>
              </w:rPr>
              <w:t>]</w:t>
              <w:tab/>
            </w:r>
            <w:r>
              <w:rPr>
                <w:rStyle w:val="IndexLink"/>
              </w:rPr>
              <w:t>574</w:t>
            </w:r>
          </w:hyperlink>
        </w:p>
        <w:p>
          <w:pPr>
            <w:pStyle w:val="Contents4"/>
            <w:tabs>
              <w:tab w:val="clear" w:pos="8176"/>
              <w:tab w:val="right" w:pos="9026" w:leader="dot"/>
            </w:tabs>
            <w:rPr/>
          </w:pPr>
          <w:hyperlink w:anchor="__RefHeading___Toc256963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المقرض کالبائع فی أنّ له الرجوع فی العین المقترضة لو وجدها عند المقترض</w:t>
            </w:r>
            <w:r>
              <w:rPr>
                <w:rStyle w:val="IndexLink"/>
                <w:rtl w:val="true"/>
              </w:rPr>
              <w:t>]</w:t>
              <w:tab/>
            </w:r>
            <w:r>
              <w:rPr>
                <w:rStyle w:val="IndexLink"/>
              </w:rPr>
              <w:t>574</w:t>
            </w:r>
          </w:hyperlink>
        </w:p>
        <w:p>
          <w:pPr>
            <w:pStyle w:val="Contents4"/>
            <w:tabs>
              <w:tab w:val="clear" w:pos="8176"/>
              <w:tab w:val="right" w:pos="9026" w:leader="dot"/>
            </w:tabs>
            <w:rPr/>
          </w:pPr>
          <w:hyperlink w:anchor="__RefHeading___Toc2569636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لو وجد البائع أو المقرض بعض العین المبیعة أو المقترضة، کان لهما الرجوع إلی الموجود بحصّته من الدین</w:t>
            </w:r>
            <w:r>
              <w:rPr>
                <w:rStyle w:val="IndexLink"/>
                <w:rtl w:val="true"/>
              </w:rPr>
              <w:t>]</w:t>
              <w:tab/>
            </w:r>
            <w:r>
              <w:rPr>
                <w:rStyle w:val="IndexLink"/>
              </w:rPr>
              <w:t>574</w:t>
            </w:r>
          </w:hyperlink>
        </w:p>
        <w:p>
          <w:pPr>
            <w:pStyle w:val="Contents4"/>
            <w:tabs>
              <w:tab w:val="clear" w:pos="8176"/>
              <w:tab w:val="right" w:pos="9026" w:leader="dot"/>
            </w:tabs>
            <w:rPr/>
          </w:pPr>
          <w:hyperlink w:anchor="__RefHeading___Toc2569638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لو زادت فی العین المبیعة أو المقترضة زیادة متّصلة کالسمن تتبع الأصل</w:t>
            </w:r>
            <w:r>
              <w:rPr>
                <w:rStyle w:val="IndexLink"/>
                <w:rtl w:val="true"/>
              </w:rPr>
              <w:t>]</w:t>
              <w:tab/>
            </w:r>
            <w:r>
              <w:rPr>
                <w:rStyle w:val="IndexLink"/>
              </w:rPr>
              <w:t>574</w:t>
            </w:r>
          </w:hyperlink>
        </w:p>
        <w:p>
          <w:pPr>
            <w:pStyle w:val="Contents4"/>
            <w:tabs>
              <w:tab w:val="clear" w:pos="8176"/>
              <w:tab w:val="right" w:pos="9026" w:leader="dot"/>
            </w:tabs>
            <w:rPr/>
          </w:pPr>
          <w:hyperlink w:anchor="__RefHeading___Toc2569640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لو تعیّبت العین عند المشتری مثلًا فإن کان بآفة سماویّة أو بفعل المشتری فللبائع أن یأخذها</w:t>
            </w:r>
            <w:r>
              <w:rPr>
                <w:rStyle w:val="IndexLink"/>
                <w:rtl w:val="true"/>
              </w:rPr>
              <w:t>]</w:t>
              <w:tab/>
            </w:r>
            <w:r>
              <w:rPr>
                <w:rStyle w:val="IndexLink"/>
              </w:rPr>
              <w:t>574</w:t>
            </w:r>
          </w:hyperlink>
        </w:p>
        <w:p>
          <w:pPr>
            <w:pStyle w:val="Contents4"/>
            <w:tabs>
              <w:tab w:val="clear" w:pos="8176"/>
              <w:tab w:val="right" w:pos="9026" w:leader="dot"/>
            </w:tabs>
            <w:rPr/>
          </w:pPr>
          <w:hyperlink w:anchor="__RefHeading___Toc2569642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لو اشتریٰ أرضاً فأحدث فیها بناءً أو غرساً ثمّ فلس کان للبائع الرجوع إلیٰ أرضه</w:t>
            </w:r>
            <w:r>
              <w:rPr>
                <w:rStyle w:val="IndexLink"/>
                <w:rtl w:val="true"/>
              </w:rPr>
              <w:t>]</w:t>
              <w:tab/>
            </w:r>
            <w:r>
              <w:rPr>
                <w:rStyle w:val="IndexLink"/>
              </w:rPr>
              <w:t>575</w:t>
            </w:r>
          </w:hyperlink>
        </w:p>
        <w:p>
          <w:pPr>
            <w:pStyle w:val="Contents4"/>
            <w:tabs>
              <w:tab w:val="clear" w:pos="8176"/>
              <w:tab w:val="right" w:pos="9026" w:leader="dot"/>
            </w:tabs>
            <w:rPr/>
          </w:pPr>
          <w:hyperlink w:anchor="__RefHeading___Toc2569644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لو خلط المشتری مثلًا ما اشتراه بماله، فإن کان بغیر جنسه لیس للبائع الرجوع فی ماله و بطل</w:t>
            </w:r>
            <w:r>
              <w:rPr>
                <w:rStyle w:val="IndexLink"/>
                <w:rtl w:val="true"/>
              </w:rPr>
              <w:t>]</w:t>
              <w:tab/>
            </w:r>
            <w:r>
              <w:rPr>
                <w:rStyle w:val="IndexLink"/>
              </w:rPr>
              <w:t>575</w:t>
            </w:r>
          </w:hyperlink>
        </w:p>
        <w:p>
          <w:pPr>
            <w:pStyle w:val="Contents4"/>
            <w:tabs>
              <w:tab w:val="clear" w:pos="8176"/>
              <w:tab w:val="right" w:pos="9026" w:leader="dot"/>
            </w:tabs>
            <w:rPr/>
          </w:pPr>
          <w:hyperlink w:anchor="__RefHeading___Toc2569646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لو اشتریٰ غزلًا فنسجه، أو دقیقاً فخبزه</w:t>
            </w:r>
            <w:r>
              <w:rPr>
                <w:rStyle w:val="IndexLink"/>
                <w:rtl w:val="true"/>
              </w:rPr>
              <w:t>]</w:t>
              <w:tab/>
            </w:r>
            <w:r>
              <w:rPr>
                <w:rStyle w:val="IndexLink"/>
              </w:rPr>
              <w:t>575</w:t>
            </w:r>
          </w:hyperlink>
        </w:p>
        <w:p>
          <w:pPr>
            <w:pStyle w:val="Contents4"/>
            <w:tabs>
              <w:tab w:val="clear" w:pos="8176"/>
              <w:tab w:val="right" w:pos="9026" w:leader="dot"/>
            </w:tabs>
            <w:rPr/>
          </w:pPr>
          <w:hyperlink w:anchor="__RefHeading___Toc2569648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غریم المیّت کغریم المفلّس</w:t>
            </w:r>
            <w:r>
              <w:rPr>
                <w:rStyle w:val="IndexLink"/>
                <w:rtl w:val="true"/>
              </w:rPr>
              <w:t>]</w:t>
              <w:tab/>
            </w:r>
            <w:r>
              <w:rPr>
                <w:rStyle w:val="IndexLink"/>
              </w:rPr>
              <w:t>576</w:t>
            </w:r>
          </w:hyperlink>
        </w:p>
        <w:p>
          <w:pPr>
            <w:pStyle w:val="Contents4"/>
            <w:tabs>
              <w:tab w:val="clear" w:pos="8176"/>
              <w:tab w:val="right" w:pos="9026" w:leader="dot"/>
            </w:tabs>
            <w:rPr/>
          </w:pPr>
          <w:hyperlink w:anchor="__RefHeading___Toc2569650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یجری علی المفلّس إلیٰ یوم قسمة ماله نفقته و کسوته</w:t>
            </w:r>
            <w:r>
              <w:rPr>
                <w:rStyle w:val="IndexLink"/>
                <w:rtl w:val="true"/>
              </w:rPr>
              <w:t>]</w:t>
              <w:tab/>
            </w:r>
            <w:r>
              <w:rPr>
                <w:rStyle w:val="IndexLink"/>
              </w:rPr>
              <w:t>576</w:t>
            </w:r>
          </w:hyperlink>
        </w:p>
        <w:p>
          <w:pPr>
            <w:pStyle w:val="Contents4"/>
            <w:tabs>
              <w:tab w:val="clear" w:pos="8176"/>
              <w:tab w:val="right" w:pos="9026" w:leader="dot"/>
            </w:tabs>
            <w:rPr/>
          </w:pPr>
          <w:hyperlink w:anchor="__RefHeading___Toc2569652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لو قسّم الحاکم مال المفلّس بین غرمائه، ثمّ ظهر غریم آخر لم ینتقض</w:t>
            </w:r>
            <w:r>
              <w:rPr>
                <w:rStyle w:val="IndexLink"/>
                <w:rtl w:val="true"/>
              </w:rPr>
              <w:t>]</w:t>
              <w:tab/>
            </w:r>
            <w:r>
              <w:rPr>
                <w:rStyle w:val="IndexLink"/>
              </w:rPr>
              <w:t>576</w:t>
            </w:r>
          </w:hyperlink>
        </w:p>
        <w:p>
          <w:pPr>
            <w:pStyle w:val="Contents3"/>
            <w:tabs>
              <w:tab w:val="clear" w:pos="8459"/>
              <w:tab w:val="right" w:pos="9026" w:leader="dot"/>
            </w:tabs>
            <w:rPr/>
          </w:pPr>
          <w:hyperlink w:anchor="__RefHeading___Toc2569654_3650668749">
            <w:r>
              <w:rPr>
                <w:webHidden/>
                <w:rStyle w:val="IndexLink"/>
                <w:rtl w:val="true"/>
              </w:rPr>
              <w:t>[</w:t>
            </w:r>
            <w:r>
              <w:rPr>
                <w:rStyle w:val="IndexLink"/>
                <w:rtl w:val="true"/>
              </w:rPr>
              <w:t>القول فی المرض</w:t>
            </w:r>
            <w:r>
              <w:rPr>
                <w:rStyle w:val="IndexLink"/>
                <w:rtl w:val="true"/>
              </w:rPr>
              <w:t>]</w:t>
              <w:tab/>
            </w:r>
            <w:r>
              <w:rPr>
                <w:rStyle w:val="IndexLink"/>
              </w:rPr>
              <w:t>576</w:t>
            </w:r>
          </w:hyperlink>
        </w:p>
        <w:p>
          <w:pPr>
            <w:pStyle w:val="Contents4"/>
            <w:tabs>
              <w:tab w:val="clear" w:pos="8176"/>
              <w:tab w:val="right" w:pos="9026" w:leader="dot"/>
            </w:tabs>
            <w:rPr/>
          </w:pPr>
          <w:hyperlink w:anchor="__RefHeading___Toc2569656_3650668749">
            <w:r>
              <w:rPr>
                <w:webHidden/>
                <w:rStyle w:val="IndexLink"/>
                <w:rtl w:val="true"/>
              </w:rPr>
              <w:t>اشارة</w:t>
            </w:r>
            <w:r>
              <w:rPr>
                <w:rStyle w:val="IndexLink"/>
                <w:rtl w:val="true"/>
              </w:rPr>
              <w:tab/>
            </w:r>
            <w:r>
              <w:rPr>
                <w:rStyle w:val="IndexLink"/>
              </w:rPr>
              <w:t>576</w:t>
            </w:r>
          </w:hyperlink>
        </w:p>
        <w:p>
          <w:pPr>
            <w:pStyle w:val="Contents4"/>
            <w:tabs>
              <w:tab w:val="clear" w:pos="8176"/>
              <w:tab w:val="right" w:pos="9026" w:leader="dot"/>
            </w:tabs>
            <w:rPr/>
          </w:pPr>
          <w:hyperlink w:anchor="__RefHeading___Toc256965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إشکال و لا خلاف فی أنّ الواجبات المالیّة التی یؤدّیها المریض فی مرض موته</w:t>
            </w:r>
            <w:r>
              <w:rPr>
                <w:rStyle w:val="IndexLink"/>
                <w:rtl w:val="true"/>
              </w:rPr>
              <w:t>]</w:t>
              <w:tab/>
            </w:r>
            <w:r>
              <w:rPr>
                <w:rStyle w:val="IndexLink"/>
              </w:rPr>
              <w:t>577</w:t>
            </w:r>
          </w:hyperlink>
        </w:p>
        <w:p>
          <w:pPr>
            <w:pStyle w:val="Contents4"/>
            <w:tabs>
              <w:tab w:val="clear" w:pos="8176"/>
              <w:tab w:val="right" w:pos="9026" w:leader="dot"/>
            </w:tabs>
            <w:rPr/>
          </w:pPr>
          <w:hyperlink w:anchor="__RefHeading___Toc256966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البیع و الإجارة المحاباتیان کالهبة بالنسبة إلیٰ ما حاباه</w:t>
            </w:r>
            <w:r>
              <w:rPr>
                <w:rStyle w:val="IndexLink"/>
                <w:rtl w:val="true"/>
              </w:rPr>
              <w:t>]</w:t>
              <w:tab/>
            </w:r>
            <w:r>
              <w:rPr>
                <w:rStyle w:val="IndexLink"/>
              </w:rPr>
              <w:t>577</w:t>
            </w:r>
          </w:hyperlink>
        </w:p>
        <w:p>
          <w:pPr>
            <w:pStyle w:val="Contents4"/>
            <w:tabs>
              <w:tab w:val="clear" w:pos="8176"/>
              <w:tab w:val="right" w:pos="9026" w:leader="dot"/>
            </w:tabs>
            <w:rPr/>
          </w:pPr>
          <w:hyperlink w:anchor="__RefHeading___Toc256966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و إن کانت الصدقة من المنجّزات کما أشرنا إلیه</w:t>
            </w:r>
            <w:r>
              <w:rPr>
                <w:rStyle w:val="IndexLink"/>
                <w:rtl w:val="true"/>
              </w:rPr>
              <w:t>]</w:t>
              <w:tab/>
            </w:r>
            <w:r>
              <w:rPr>
                <w:rStyle w:val="IndexLink"/>
              </w:rPr>
              <w:t>577</w:t>
            </w:r>
          </w:hyperlink>
        </w:p>
        <w:p>
          <w:pPr>
            <w:pStyle w:val="Contents4"/>
            <w:tabs>
              <w:tab w:val="clear" w:pos="8176"/>
              <w:tab w:val="right" w:pos="9026" w:leader="dot"/>
            </w:tabs>
            <w:rPr/>
          </w:pPr>
          <w:hyperlink w:anchor="__RefHeading___Toc256966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لو قلنا بکون المنجّزات تنفذ من الثلث، یشکل القول به فی المرض</w:t>
            </w:r>
            <w:r>
              <w:rPr>
                <w:rStyle w:val="IndexLink"/>
                <w:rtl w:val="true"/>
              </w:rPr>
              <w:t>]</w:t>
              <w:tab/>
            </w:r>
            <w:r>
              <w:rPr>
                <w:rStyle w:val="IndexLink"/>
              </w:rPr>
              <w:t>577</w:t>
            </w:r>
          </w:hyperlink>
        </w:p>
        <w:p>
          <w:pPr>
            <w:pStyle w:val="Contents4"/>
            <w:tabs>
              <w:tab w:val="clear" w:pos="8176"/>
              <w:tab w:val="right" w:pos="9026" w:leader="dot"/>
            </w:tabs>
            <w:rPr/>
          </w:pPr>
          <w:hyperlink w:anchor="__RefHeading___Toc256966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یبعد أن یلحق بالمرض حال کونه معرض الخطر و الهلاک</w:t>
            </w:r>
            <w:r>
              <w:rPr>
                <w:rStyle w:val="IndexLink"/>
                <w:rtl w:val="true"/>
              </w:rPr>
              <w:t>]</w:t>
              <w:tab/>
            </w:r>
            <w:r>
              <w:rPr>
                <w:rStyle w:val="IndexLink"/>
              </w:rPr>
              <w:t>577</w:t>
            </w:r>
          </w:hyperlink>
        </w:p>
        <w:p>
          <w:pPr>
            <w:pStyle w:val="Contents4"/>
            <w:tabs>
              <w:tab w:val="clear" w:pos="8176"/>
              <w:tab w:val="right" w:pos="9026" w:leader="dot"/>
            </w:tabs>
            <w:rPr/>
          </w:pPr>
          <w:hyperlink w:anchor="__RefHeading___Toc256966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أقرّ بدین أو عین من ماله فی مرض موته لوارث أو أجنبیّ</w:t>
            </w:r>
            <w:r>
              <w:rPr>
                <w:rStyle w:val="IndexLink"/>
                <w:rtl w:val="true"/>
              </w:rPr>
              <w:t>]</w:t>
              <w:tab/>
            </w:r>
            <w:r>
              <w:rPr>
                <w:rStyle w:val="IndexLink"/>
              </w:rPr>
              <w:t>578</w:t>
            </w:r>
          </w:hyperlink>
        </w:p>
        <w:p>
          <w:pPr>
            <w:pStyle w:val="Contents4"/>
            <w:tabs>
              <w:tab w:val="clear" w:pos="8176"/>
              <w:tab w:val="right" w:pos="9026" w:leader="dot"/>
            </w:tabs>
            <w:rPr/>
          </w:pPr>
          <w:hyperlink w:anchor="__RefHeading___Toc2569670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لم یعلم حال المقرّ و أنّه کان متّهماً أو مأموناً</w:t>
            </w:r>
            <w:r>
              <w:rPr>
                <w:rStyle w:val="IndexLink"/>
                <w:rtl w:val="true"/>
              </w:rPr>
              <w:t>]</w:t>
              <w:tab/>
            </w:r>
            <w:r>
              <w:rPr>
                <w:rStyle w:val="IndexLink"/>
              </w:rPr>
              <w:t>578</w:t>
            </w:r>
          </w:hyperlink>
        </w:p>
        <w:p>
          <w:pPr>
            <w:pStyle w:val="Contents4"/>
            <w:tabs>
              <w:tab w:val="clear" w:pos="8176"/>
              <w:tab w:val="right" w:pos="9026" w:leader="dot"/>
            </w:tabs>
            <w:rPr/>
          </w:pPr>
          <w:hyperlink w:anchor="__RefHeading___Toc2569672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إنّما یحسب الثلث فی مسألتی المنجّزات و الإقرار بالنسبة إلیٰ مجموع ما یترکه فی زمان موته</w:t>
            </w:r>
            <w:r>
              <w:rPr>
                <w:rStyle w:val="IndexLink"/>
                <w:rtl w:val="true"/>
              </w:rPr>
              <w:t>]</w:t>
              <w:tab/>
            </w:r>
            <w:r>
              <w:rPr>
                <w:rStyle w:val="IndexLink"/>
              </w:rPr>
              <w:t>578</w:t>
            </w:r>
          </w:hyperlink>
        </w:p>
        <w:p>
          <w:pPr>
            <w:pStyle w:val="Contents4"/>
            <w:tabs>
              <w:tab w:val="clear" w:pos="8176"/>
              <w:tab w:val="right" w:pos="9026" w:leader="dot"/>
            </w:tabs>
            <w:rPr/>
          </w:pPr>
          <w:hyperlink w:anchor="__RefHeading___Toc2569674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ما ذکرنا من عدم النفوذ فیما زاد علی الثلث فی الوصیّة و فی المنجّزات علی القول به</w:t>
            </w:r>
            <w:r>
              <w:rPr>
                <w:rStyle w:val="IndexLink"/>
                <w:rtl w:val="true"/>
              </w:rPr>
              <w:t>]</w:t>
              <w:tab/>
            </w:r>
            <w:r>
              <w:rPr>
                <w:rStyle w:val="IndexLink"/>
              </w:rPr>
              <w:t>578</w:t>
            </w:r>
          </w:hyperlink>
        </w:p>
        <w:p>
          <w:pPr>
            <w:pStyle w:val="Contents4"/>
            <w:tabs>
              <w:tab w:val="clear" w:pos="8176"/>
              <w:tab w:val="right" w:pos="9026" w:leader="dot"/>
            </w:tabs>
            <w:rPr/>
          </w:pPr>
          <w:hyperlink w:anchor="__RefHeading___Toc2569676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لا إشکال فی صحّة إجازة الوارث بعد موت المورّث</w:t>
            </w:r>
            <w:r>
              <w:rPr>
                <w:rStyle w:val="IndexLink"/>
                <w:rtl w:val="true"/>
              </w:rPr>
              <w:t>]</w:t>
              <w:tab/>
            </w:r>
            <w:r>
              <w:rPr>
                <w:rStyle w:val="IndexLink"/>
              </w:rPr>
              <w:t>578</w:t>
            </w:r>
          </w:hyperlink>
        </w:p>
        <w:p>
          <w:pPr>
            <w:pStyle w:val="Contents2"/>
            <w:tabs>
              <w:tab w:val="clear" w:pos="8743"/>
              <w:tab w:val="right" w:pos="9026" w:leader="dot"/>
            </w:tabs>
            <w:rPr/>
          </w:pPr>
          <w:hyperlink w:anchor="__RefHeading___Toc2569678_3650668749">
            <w:r>
              <w:rPr>
                <w:webHidden/>
                <w:rStyle w:val="IndexLink"/>
                <w:rtl w:val="true"/>
              </w:rPr>
              <w:t>[</w:t>
            </w:r>
            <w:r>
              <w:rPr>
                <w:rStyle w:val="IndexLink"/>
                <w:rtl w:val="true"/>
              </w:rPr>
              <w:t>کتاب الضمان</w:t>
            </w:r>
            <w:r>
              <w:rPr>
                <w:rStyle w:val="IndexLink"/>
                <w:rtl w:val="true"/>
              </w:rPr>
              <w:t>]</w:t>
              <w:tab/>
            </w:r>
            <w:r>
              <w:rPr>
                <w:rStyle w:val="IndexLink"/>
              </w:rPr>
              <w:t>579</w:t>
            </w:r>
          </w:hyperlink>
        </w:p>
        <w:p>
          <w:pPr>
            <w:pStyle w:val="Contents3"/>
            <w:tabs>
              <w:tab w:val="clear" w:pos="8459"/>
              <w:tab w:val="right" w:pos="9026" w:leader="dot"/>
            </w:tabs>
            <w:rPr/>
          </w:pPr>
          <w:hyperlink w:anchor="__RefHeading___Toc2569680_3650668749">
            <w:r>
              <w:rPr>
                <w:webHidden/>
                <w:rStyle w:val="IndexLink"/>
                <w:rtl w:val="true"/>
              </w:rPr>
              <w:t>اشارة</w:t>
            </w:r>
            <w:r>
              <w:rPr>
                <w:rStyle w:val="IndexLink"/>
                <w:rtl w:val="true"/>
              </w:rPr>
              <w:tab/>
            </w:r>
            <w:r>
              <w:rPr>
                <w:rStyle w:val="IndexLink"/>
              </w:rPr>
              <w:t>579</w:t>
            </w:r>
          </w:hyperlink>
        </w:p>
        <w:p>
          <w:pPr>
            <w:pStyle w:val="Contents3"/>
            <w:tabs>
              <w:tab w:val="clear" w:pos="8459"/>
              <w:tab w:val="right" w:pos="9026" w:leader="dot"/>
            </w:tabs>
            <w:rPr/>
          </w:pPr>
          <w:hyperlink w:anchor="__RefHeading___Toc256968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یشترط فی کلّ من الضامن و المضمون له أن یکون بالغاً عاقلًا رشیداً مختاراً</w:t>
            </w:r>
            <w:r>
              <w:rPr>
                <w:rStyle w:val="IndexLink"/>
                <w:rtl w:val="true"/>
              </w:rPr>
              <w:t>]</w:t>
              <w:tab/>
            </w:r>
            <w:r>
              <w:rPr>
                <w:rStyle w:val="IndexLink"/>
              </w:rPr>
              <w:t>579</w:t>
            </w:r>
          </w:hyperlink>
        </w:p>
        <w:p>
          <w:pPr>
            <w:pStyle w:val="Contents3"/>
            <w:tabs>
              <w:tab w:val="clear" w:pos="8459"/>
              <w:tab w:val="right" w:pos="9026" w:leader="dot"/>
            </w:tabs>
            <w:rPr/>
          </w:pPr>
          <w:hyperlink w:anchor="__RefHeading___Toc256968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یشترط فی صحّة الضمان أُمور</w:t>
            </w:r>
            <w:r>
              <w:rPr>
                <w:rStyle w:val="IndexLink"/>
                <w:rtl w:val="true"/>
              </w:rPr>
              <w:t>:]</w:t>
              <w:tab/>
            </w:r>
            <w:r>
              <w:rPr>
                <w:rStyle w:val="IndexLink"/>
              </w:rPr>
              <w:t>579</w:t>
            </w:r>
          </w:hyperlink>
        </w:p>
        <w:p>
          <w:pPr>
            <w:pStyle w:val="Contents3"/>
            <w:tabs>
              <w:tab w:val="clear" w:pos="8459"/>
              <w:tab w:val="right" w:pos="9026" w:leader="dot"/>
            </w:tabs>
            <w:rPr/>
          </w:pPr>
          <w:hyperlink w:anchor="__RefHeading___Toc256968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تحقّق الضمان الجامع للشرائط انتقل الحقّ من ذمّة المضمون عنه إلیٰ ذمّة الضامن</w:t>
            </w:r>
            <w:r>
              <w:rPr>
                <w:rStyle w:val="IndexLink"/>
                <w:rtl w:val="true"/>
              </w:rPr>
              <w:t>]</w:t>
              <w:tab/>
            </w:r>
            <w:r>
              <w:rPr>
                <w:rStyle w:val="IndexLink"/>
              </w:rPr>
              <w:t>580</w:t>
            </w:r>
          </w:hyperlink>
        </w:p>
        <w:p>
          <w:pPr>
            <w:pStyle w:val="Contents3"/>
            <w:tabs>
              <w:tab w:val="clear" w:pos="8459"/>
              <w:tab w:val="right" w:pos="9026" w:leader="dot"/>
            </w:tabs>
            <w:rPr/>
          </w:pPr>
          <w:hyperlink w:anchor="__RefHeading___Toc256968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الضمان لازم من طرف الضامن، فلیس له فسخه بعد وقوعه مطلقاً</w:t>
            </w:r>
            <w:r>
              <w:rPr>
                <w:rStyle w:val="IndexLink"/>
                <w:rtl w:val="true"/>
              </w:rPr>
              <w:t>]</w:t>
              <w:tab/>
            </w:r>
            <w:r>
              <w:rPr>
                <w:rStyle w:val="IndexLink"/>
              </w:rPr>
              <w:t>580</w:t>
            </w:r>
          </w:hyperlink>
        </w:p>
        <w:p>
          <w:pPr>
            <w:pStyle w:val="Contents3"/>
            <w:tabs>
              <w:tab w:val="clear" w:pos="8459"/>
              <w:tab w:val="right" w:pos="9026" w:leader="dot"/>
            </w:tabs>
            <w:rPr/>
          </w:pPr>
          <w:hyperlink w:anchor="__RefHeading___Toc256969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یجوز اشتراط الخیار لکلّ من الضامن و المضمون له علی الأقویٰ</w:t>
            </w:r>
            <w:r>
              <w:rPr>
                <w:rStyle w:val="IndexLink"/>
                <w:rtl w:val="true"/>
              </w:rPr>
              <w:t>]</w:t>
              <w:tab/>
            </w:r>
            <w:r>
              <w:rPr>
                <w:rStyle w:val="IndexLink"/>
              </w:rPr>
              <w:t>580</w:t>
            </w:r>
          </w:hyperlink>
        </w:p>
        <w:p>
          <w:pPr>
            <w:pStyle w:val="Contents3"/>
            <w:tabs>
              <w:tab w:val="clear" w:pos="8459"/>
              <w:tab w:val="right" w:pos="9026" w:leader="dot"/>
            </w:tabs>
            <w:rPr/>
          </w:pPr>
          <w:hyperlink w:anchor="__RefHeading___Toc256969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یجوز ضمان الدین الحالّ حالّا و مؤجّلًا</w:t>
            </w:r>
            <w:r>
              <w:rPr>
                <w:rStyle w:val="IndexLink"/>
                <w:rtl w:val="true"/>
              </w:rPr>
              <w:t>]</w:t>
              <w:tab/>
            </w:r>
            <w:r>
              <w:rPr>
                <w:rStyle w:val="IndexLink"/>
              </w:rPr>
              <w:t>580</w:t>
            </w:r>
          </w:hyperlink>
        </w:p>
        <w:p>
          <w:pPr>
            <w:pStyle w:val="Contents3"/>
            <w:tabs>
              <w:tab w:val="clear" w:pos="8459"/>
              <w:tab w:val="right" w:pos="9026" w:leader="dot"/>
            </w:tabs>
            <w:rPr/>
          </w:pPr>
          <w:hyperlink w:anchor="__RefHeading___Toc256969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ضمن من دون إذن المضمون عنه لیس له الرجوع علیه</w:t>
            </w:r>
            <w:r>
              <w:rPr>
                <w:rStyle w:val="IndexLink"/>
                <w:rtl w:val="true"/>
              </w:rPr>
              <w:t>]</w:t>
              <w:tab/>
            </w:r>
            <w:r>
              <w:rPr>
                <w:rStyle w:val="IndexLink"/>
              </w:rPr>
              <w:t>580</w:t>
            </w:r>
          </w:hyperlink>
        </w:p>
        <w:p>
          <w:pPr>
            <w:pStyle w:val="Contents3"/>
            <w:tabs>
              <w:tab w:val="clear" w:pos="8459"/>
              <w:tab w:val="right" w:pos="9026" w:leader="dot"/>
            </w:tabs>
            <w:rPr/>
          </w:pPr>
          <w:hyperlink w:anchor="__RefHeading___Toc256969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کان الضمان بإذن المضمون عنه</w:t>
            </w:r>
            <w:r>
              <w:rPr>
                <w:rStyle w:val="IndexLink"/>
                <w:rtl w:val="true"/>
              </w:rPr>
              <w:t>]</w:t>
              <w:tab/>
            </w:r>
            <w:r>
              <w:rPr>
                <w:rStyle w:val="IndexLink"/>
              </w:rPr>
              <w:t>580</w:t>
            </w:r>
          </w:hyperlink>
        </w:p>
        <w:p>
          <w:pPr>
            <w:pStyle w:val="Contents3"/>
            <w:tabs>
              <w:tab w:val="clear" w:pos="8459"/>
              <w:tab w:val="right" w:pos="9026" w:leader="dot"/>
            </w:tabs>
            <w:rPr/>
          </w:pPr>
          <w:hyperlink w:anchor="__RefHeading___Toc256969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لو ضمن بالإذن الدین المؤجّل مؤجّلًا، فمات قبل انقضاء الأجلین و حلّ ما علیه</w:t>
            </w:r>
            <w:r>
              <w:rPr>
                <w:rStyle w:val="IndexLink"/>
                <w:rtl w:val="true"/>
              </w:rPr>
              <w:t>]</w:t>
              <w:tab/>
            </w:r>
            <w:r>
              <w:rPr>
                <w:rStyle w:val="IndexLink"/>
              </w:rPr>
              <w:t>581</w:t>
            </w:r>
          </w:hyperlink>
        </w:p>
        <w:p>
          <w:pPr>
            <w:pStyle w:val="Contents3"/>
            <w:tabs>
              <w:tab w:val="clear" w:pos="8459"/>
              <w:tab w:val="right" w:pos="9026" w:leader="dot"/>
            </w:tabs>
            <w:rPr/>
          </w:pPr>
          <w:hyperlink w:anchor="__RefHeading___Toc256970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لو دفع المضمون عنه الدین إلی المضمون له من دون إذن الضامن برئت ذمّته</w:t>
            </w:r>
            <w:r>
              <w:rPr>
                <w:rStyle w:val="IndexLink"/>
                <w:rtl w:val="true"/>
              </w:rPr>
              <w:t>]</w:t>
              <w:tab/>
            </w:r>
            <w:r>
              <w:rPr>
                <w:rStyle w:val="IndexLink"/>
              </w:rPr>
              <w:t>581</w:t>
            </w:r>
          </w:hyperlink>
        </w:p>
        <w:p>
          <w:pPr>
            <w:pStyle w:val="Contents3"/>
            <w:tabs>
              <w:tab w:val="clear" w:pos="8459"/>
              <w:tab w:val="right" w:pos="9026" w:leader="dot"/>
            </w:tabs>
            <w:rPr/>
          </w:pPr>
          <w:hyperlink w:anchor="__RefHeading___Toc256970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یجوز الترامی فی الضمان</w:t>
            </w:r>
            <w:r>
              <w:rPr>
                <w:rStyle w:val="IndexLink"/>
                <w:rtl w:val="true"/>
              </w:rPr>
              <w:t>]</w:t>
              <w:tab/>
            </w:r>
            <w:r>
              <w:rPr>
                <w:rStyle w:val="IndexLink"/>
              </w:rPr>
              <w:t>581</w:t>
            </w:r>
          </w:hyperlink>
        </w:p>
        <w:p>
          <w:pPr>
            <w:pStyle w:val="Contents3"/>
            <w:tabs>
              <w:tab w:val="clear" w:pos="8459"/>
              <w:tab w:val="right" w:pos="9026" w:leader="dot"/>
            </w:tabs>
            <w:rPr/>
          </w:pPr>
          <w:hyperlink w:anchor="__RefHeading___Toc256970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لا إشکال فی جواز ضمان اثنین عن واحد بالاشتراک</w:t>
            </w:r>
            <w:r>
              <w:rPr>
                <w:rStyle w:val="IndexLink"/>
                <w:rtl w:val="true"/>
              </w:rPr>
              <w:t>]</w:t>
              <w:tab/>
            </w:r>
            <w:r>
              <w:rPr>
                <w:rStyle w:val="IndexLink"/>
              </w:rPr>
              <w:t>581</w:t>
            </w:r>
          </w:hyperlink>
        </w:p>
        <w:p>
          <w:pPr>
            <w:pStyle w:val="Contents3"/>
            <w:tabs>
              <w:tab w:val="clear" w:pos="8459"/>
              <w:tab w:val="right" w:pos="9026" w:leader="dot"/>
            </w:tabs>
            <w:rPr/>
          </w:pPr>
          <w:hyperlink w:anchor="__RefHeading___Toc2569706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ضمان اثنین عن واحد بالاستقلال لا یمکن إلّا بإیقاع الضمانین دفعة</w:t>
            </w:r>
            <w:r>
              <w:rPr>
                <w:rStyle w:val="IndexLink"/>
                <w:rtl w:val="true"/>
              </w:rPr>
              <w:t>]</w:t>
              <w:tab/>
            </w:r>
            <w:r>
              <w:rPr>
                <w:rStyle w:val="IndexLink"/>
              </w:rPr>
              <w:t>582</w:t>
            </w:r>
          </w:hyperlink>
        </w:p>
        <w:p>
          <w:pPr>
            <w:pStyle w:val="Contents3"/>
            <w:tabs>
              <w:tab w:val="clear" w:pos="8459"/>
              <w:tab w:val="right" w:pos="9026" w:leader="dot"/>
            </w:tabs>
            <w:rPr/>
          </w:pPr>
          <w:hyperlink w:anchor="__RefHeading___Toc2569708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یجوز الضمان بغیر جنس الدین</w:t>
            </w:r>
            <w:r>
              <w:rPr>
                <w:rStyle w:val="IndexLink"/>
                <w:rtl w:val="true"/>
              </w:rPr>
              <w:t>]</w:t>
              <w:tab/>
            </w:r>
            <w:r>
              <w:rPr>
                <w:rStyle w:val="IndexLink"/>
              </w:rPr>
              <w:t>582</w:t>
            </w:r>
          </w:hyperlink>
        </w:p>
        <w:p>
          <w:pPr>
            <w:pStyle w:val="Contents3"/>
            <w:tabs>
              <w:tab w:val="clear" w:pos="8459"/>
              <w:tab w:val="right" w:pos="9026" w:leader="dot"/>
            </w:tabs>
            <w:rPr/>
          </w:pPr>
          <w:hyperlink w:anchor="__RefHeading___Toc2569710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کما یجوز الضمان عن الأعیان الثابتة فی الذمم</w:t>
            </w:r>
            <w:r>
              <w:rPr>
                <w:rStyle w:val="IndexLink"/>
                <w:rtl w:val="true"/>
              </w:rPr>
              <w:t>]</w:t>
              <w:tab/>
            </w:r>
            <w:r>
              <w:rPr>
                <w:rStyle w:val="IndexLink"/>
              </w:rPr>
              <w:t>582</w:t>
            </w:r>
          </w:hyperlink>
        </w:p>
        <w:p>
          <w:pPr>
            <w:pStyle w:val="Contents3"/>
            <w:tabs>
              <w:tab w:val="clear" w:pos="8459"/>
              <w:tab w:val="right" w:pos="9026" w:leader="dot"/>
            </w:tabs>
            <w:rPr/>
          </w:pPr>
          <w:hyperlink w:anchor="__RefHeading___Toc2569712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لو ادّعیٰ شخص علیٰ شخص دیناً، فقال ثالث للمدّعی</w:t>
            </w:r>
            <w:r>
              <w:rPr>
                <w:rStyle w:val="IndexLink"/>
                <w:rtl w:val="true"/>
              </w:rPr>
              <w:t xml:space="preserve">: </w:t>
            </w:r>
            <w:r>
              <w:rPr>
                <w:rStyle w:val="IndexLink"/>
                <w:rtl w:val="true"/>
              </w:rPr>
              <w:t>علیّ ما علیه، فرضی به المدّعی صحّ الضمان</w:t>
            </w:r>
            <w:r>
              <w:rPr>
                <w:rStyle w:val="IndexLink"/>
                <w:rtl w:val="true"/>
              </w:rPr>
              <w:t>]</w:t>
              <w:tab/>
            </w:r>
            <w:r>
              <w:rPr>
                <w:rStyle w:val="IndexLink"/>
              </w:rPr>
              <w:t>583</w:t>
            </w:r>
          </w:hyperlink>
        </w:p>
        <w:p>
          <w:pPr>
            <w:pStyle w:val="Contents3"/>
            <w:tabs>
              <w:tab w:val="clear" w:pos="8459"/>
              <w:tab w:val="right" w:pos="9026" w:leader="dot"/>
            </w:tabs>
            <w:rPr/>
          </w:pPr>
          <w:hyperlink w:anchor="__RefHeading___Toc2569714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الأقویٰ عدم جواز ضمان الأعیان المضمونة</w:t>
            </w:r>
            <w:r>
              <w:rPr>
                <w:rStyle w:val="IndexLink"/>
                <w:rtl w:val="true"/>
              </w:rPr>
              <w:t>]</w:t>
              <w:tab/>
            </w:r>
            <w:r>
              <w:rPr>
                <w:rStyle w:val="IndexLink"/>
              </w:rPr>
              <w:t>583</w:t>
            </w:r>
          </w:hyperlink>
        </w:p>
        <w:p>
          <w:pPr>
            <w:pStyle w:val="Contents3"/>
            <w:tabs>
              <w:tab w:val="clear" w:pos="8459"/>
              <w:tab w:val="right" w:pos="9026" w:leader="dot"/>
            </w:tabs>
            <w:rPr/>
          </w:pPr>
          <w:hyperlink w:anchor="__RefHeading___Toc2569716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لا إشکال فی جواز ضمان عهدة الثمن للمشتری عن البائع</w:t>
            </w:r>
            <w:r>
              <w:rPr>
                <w:rStyle w:val="IndexLink"/>
                <w:rtl w:val="true"/>
              </w:rPr>
              <w:t>]</w:t>
              <w:tab/>
            </w:r>
            <w:r>
              <w:rPr>
                <w:rStyle w:val="IndexLink"/>
              </w:rPr>
              <w:t>583</w:t>
            </w:r>
          </w:hyperlink>
        </w:p>
        <w:p>
          <w:pPr>
            <w:pStyle w:val="Contents3"/>
            <w:tabs>
              <w:tab w:val="clear" w:pos="8459"/>
              <w:tab w:val="right" w:pos="9026" w:leader="dot"/>
            </w:tabs>
            <w:rPr/>
          </w:pPr>
          <w:hyperlink w:anchor="__RefHeading___Toc2569718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إذا کان علی الدین الذی علی المضمون عنه رهن ینفکّ بالضمان علیٰ إشکال</w:t>
            </w:r>
            <w:r>
              <w:rPr>
                <w:rStyle w:val="IndexLink"/>
                <w:rtl w:val="true"/>
              </w:rPr>
              <w:t>]</w:t>
              <w:tab/>
            </w:r>
            <w:r>
              <w:rPr>
                <w:rStyle w:val="IndexLink"/>
              </w:rPr>
              <w:t>583</w:t>
            </w:r>
          </w:hyperlink>
        </w:p>
        <w:p>
          <w:pPr>
            <w:pStyle w:val="Contents3"/>
            <w:tabs>
              <w:tab w:val="clear" w:pos="8459"/>
              <w:tab w:val="right" w:pos="9026" w:leader="dot"/>
            </w:tabs>
            <w:rPr/>
          </w:pPr>
          <w:hyperlink w:anchor="__RefHeading___Toc2569720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لو کان علیٰ أحد دین</w:t>
            </w:r>
            <w:r>
              <w:rPr>
                <w:rStyle w:val="IndexLink"/>
                <w:rtl w:val="true"/>
              </w:rPr>
              <w:t>]</w:t>
              <w:tab/>
            </w:r>
            <w:r>
              <w:rPr>
                <w:rStyle w:val="IndexLink"/>
              </w:rPr>
              <w:t>583</w:t>
            </w:r>
          </w:hyperlink>
        </w:p>
        <w:p>
          <w:pPr>
            <w:pStyle w:val="Contents2"/>
            <w:tabs>
              <w:tab w:val="clear" w:pos="8743"/>
              <w:tab w:val="right" w:pos="9026" w:leader="dot"/>
            </w:tabs>
            <w:rPr/>
          </w:pPr>
          <w:hyperlink w:anchor="__RefHeading___Toc2569722_3650668749">
            <w:r>
              <w:rPr>
                <w:webHidden/>
                <w:rStyle w:val="IndexLink"/>
                <w:rtl w:val="true"/>
              </w:rPr>
              <w:t>[</w:t>
            </w:r>
            <w:r>
              <w:rPr>
                <w:rStyle w:val="IndexLink"/>
                <w:rtl w:val="true"/>
              </w:rPr>
              <w:t>کتاب الحوالة و الکفالة</w:t>
            </w:r>
            <w:r>
              <w:rPr>
                <w:rStyle w:val="IndexLink"/>
                <w:rtl w:val="true"/>
              </w:rPr>
              <w:t>]</w:t>
              <w:tab/>
            </w:r>
            <w:r>
              <w:rPr>
                <w:rStyle w:val="IndexLink"/>
              </w:rPr>
              <w:t>584</w:t>
            </w:r>
          </w:hyperlink>
        </w:p>
        <w:p>
          <w:pPr>
            <w:pStyle w:val="Contents3"/>
            <w:tabs>
              <w:tab w:val="clear" w:pos="8459"/>
              <w:tab w:val="right" w:pos="9026" w:leader="dot"/>
            </w:tabs>
            <w:rPr/>
          </w:pPr>
          <w:hyperlink w:anchor="__RefHeading___Toc2569724_3650668749">
            <w:r>
              <w:rPr>
                <w:webHidden/>
                <w:rStyle w:val="IndexLink"/>
                <w:rtl w:val="true"/>
              </w:rPr>
              <w:t>اشارة</w:t>
            </w:r>
            <w:r>
              <w:rPr>
                <w:rStyle w:val="IndexLink"/>
                <w:rtl w:val="true"/>
              </w:rPr>
              <w:tab/>
            </w:r>
            <w:r>
              <w:rPr>
                <w:rStyle w:val="IndexLink"/>
              </w:rPr>
              <w:t>584</w:t>
            </w:r>
          </w:hyperlink>
        </w:p>
        <w:p>
          <w:pPr>
            <w:pStyle w:val="Contents3"/>
            <w:tabs>
              <w:tab w:val="clear" w:pos="8459"/>
              <w:tab w:val="right" w:pos="9026" w:leader="dot"/>
            </w:tabs>
            <w:rPr/>
          </w:pPr>
          <w:hyperlink w:anchor="__RefHeading___Toc2569726_3650668749">
            <w:r>
              <w:rPr>
                <w:webHidden/>
                <w:rStyle w:val="IndexLink"/>
                <w:rtl w:val="true"/>
              </w:rPr>
              <w:t>[</w:t>
            </w:r>
            <w:r>
              <w:rPr>
                <w:rStyle w:val="IndexLink"/>
                <w:rtl w:val="true"/>
              </w:rPr>
              <w:t>أمّا الحوالة</w:t>
            </w:r>
            <w:r>
              <w:rPr>
                <w:rStyle w:val="IndexLink"/>
                <w:rtl w:val="true"/>
              </w:rPr>
              <w:t>]</w:t>
              <w:tab/>
            </w:r>
            <w:r>
              <w:rPr>
                <w:rStyle w:val="IndexLink"/>
              </w:rPr>
              <w:t>584</w:t>
            </w:r>
          </w:hyperlink>
        </w:p>
        <w:p>
          <w:pPr>
            <w:pStyle w:val="Contents4"/>
            <w:tabs>
              <w:tab w:val="clear" w:pos="8176"/>
              <w:tab w:val="right" w:pos="9026" w:leader="dot"/>
            </w:tabs>
            <w:rPr/>
          </w:pPr>
          <w:hyperlink w:anchor="__RefHeading___Toc2569728_3650668749">
            <w:r>
              <w:rPr>
                <w:webHidden/>
                <w:rStyle w:val="IndexLink"/>
                <w:rtl w:val="true"/>
              </w:rPr>
              <w:t>اشارة</w:t>
            </w:r>
            <w:r>
              <w:rPr>
                <w:rStyle w:val="IndexLink"/>
                <w:rtl w:val="true"/>
              </w:rPr>
              <w:tab/>
            </w:r>
            <w:r>
              <w:rPr>
                <w:rStyle w:val="IndexLink"/>
              </w:rPr>
              <w:t>584</w:t>
            </w:r>
          </w:hyperlink>
        </w:p>
        <w:p>
          <w:pPr>
            <w:pStyle w:val="Contents4"/>
            <w:tabs>
              <w:tab w:val="clear" w:pos="8176"/>
              <w:tab w:val="right" w:pos="9026" w:leader="dot"/>
            </w:tabs>
            <w:rPr/>
          </w:pPr>
          <w:hyperlink w:anchor="__RefHeading___Toc256973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یشترط فی صحّة الحوالة مضافاً إلیٰ ما اعتبر فی المحیل و المحتال و المحال علیه</w:t>
            </w:r>
            <w:r>
              <w:rPr>
                <w:rStyle w:val="IndexLink"/>
                <w:rtl w:val="true"/>
              </w:rPr>
              <w:t>]</w:t>
              <w:tab/>
            </w:r>
            <w:r>
              <w:rPr>
                <w:rStyle w:val="IndexLink"/>
              </w:rPr>
              <w:t>584</w:t>
            </w:r>
          </w:hyperlink>
        </w:p>
        <w:p>
          <w:pPr>
            <w:pStyle w:val="Contents4"/>
            <w:tabs>
              <w:tab w:val="clear" w:pos="8176"/>
              <w:tab w:val="right" w:pos="9026" w:leader="dot"/>
            </w:tabs>
            <w:rPr/>
          </w:pPr>
          <w:hyperlink w:anchor="__RefHeading___Toc256973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یعتبر فی صحّة الحوالة اشتغال ذمّة المحال علیه بالدین للمحیل</w:t>
            </w:r>
            <w:r>
              <w:rPr>
                <w:rStyle w:val="IndexLink"/>
                <w:rtl w:val="true"/>
              </w:rPr>
              <w:t>]</w:t>
              <w:tab/>
            </w:r>
            <w:r>
              <w:rPr>
                <w:rStyle w:val="IndexLink"/>
              </w:rPr>
              <w:t>585</w:t>
            </w:r>
          </w:hyperlink>
        </w:p>
        <w:p>
          <w:pPr>
            <w:pStyle w:val="Contents4"/>
            <w:tabs>
              <w:tab w:val="clear" w:pos="8176"/>
              <w:tab w:val="right" w:pos="9026" w:leader="dot"/>
            </w:tabs>
            <w:rPr/>
          </w:pPr>
          <w:hyperlink w:anchor="__RefHeading___Toc256973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فرق فی المحال به بین کونه عیناً ثابتاً فی ذمّة المحیل، و بین کونه منفعة أو عملًا لا یعتبر فیه المباشرة</w:t>
            </w:r>
            <w:r>
              <w:rPr>
                <w:rStyle w:val="IndexLink"/>
                <w:rtl w:val="true"/>
              </w:rPr>
              <w:t>]</w:t>
              <w:tab/>
            </w:r>
            <w:r>
              <w:rPr>
                <w:rStyle w:val="IndexLink"/>
              </w:rPr>
              <w:t>585</w:t>
            </w:r>
          </w:hyperlink>
        </w:p>
        <w:p>
          <w:pPr>
            <w:pStyle w:val="Contents4"/>
            <w:tabs>
              <w:tab w:val="clear" w:pos="8176"/>
              <w:tab w:val="right" w:pos="9026" w:leader="dot"/>
            </w:tabs>
            <w:rPr/>
          </w:pPr>
          <w:hyperlink w:anchor="__RefHeading___Toc256973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لا إشکال فی صحّة الحوالة مع اتّحاد الدین المحال به مع الدین الذی علی المحال علیه</w:t>
            </w:r>
            <w:r>
              <w:rPr>
                <w:rStyle w:val="IndexLink"/>
                <w:rtl w:val="true"/>
              </w:rPr>
              <w:t>]</w:t>
              <w:tab/>
            </w:r>
            <w:r>
              <w:rPr>
                <w:rStyle w:val="IndexLink"/>
              </w:rPr>
              <w:t>585</w:t>
            </w:r>
          </w:hyperlink>
        </w:p>
        <w:p>
          <w:pPr>
            <w:pStyle w:val="Contents4"/>
            <w:tabs>
              <w:tab w:val="clear" w:pos="8176"/>
              <w:tab w:val="right" w:pos="9026" w:leader="dot"/>
            </w:tabs>
            <w:rPr/>
          </w:pPr>
          <w:hyperlink w:anchor="__RefHeading___Toc256973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تحقّقت الحوالة جامعة للشرائط برئت ذمّة المحیل عن الدین</w:t>
            </w:r>
            <w:r>
              <w:rPr>
                <w:rStyle w:val="IndexLink"/>
                <w:rtl w:val="true"/>
              </w:rPr>
              <w:t>]</w:t>
              <w:tab/>
            </w:r>
            <w:r>
              <w:rPr>
                <w:rStyle w:val="IndexLink"/>
              </w:rPr>
              <w:t>585</w:t>
            </w:r>
          </w:hyperlink>
        </w:p>
        <w:p>
          <w:pPr>
            <w:pStyle w:val="Contents4"/>
            <w:tabs>
              <w:tab w:val="clear" w:pos="8176"/>
              <w:tab w:val="right" w:pos="9026" w:leader="dot"/>
            </w:tabs>
            <w:rPr/>
          </w:pPr>
          <w:hyperlink w:anchor="__RefHeading___Toc256974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لا یجب علی المحتال قبول الحوالة و إن کان علیٰ غنیّ غیر مماطلٍ</w:t>
            </w:r>
            <w:r>
              <w:rPr>
                <w:rStyle w:val="IndexLink"/>
                <w:rtl w:val="true"/>
              </w:rPr>
              <w:t>]</w:t>
              <w:tab/>
            </w:r>
            <w:r>
              <w:rPr>
                <w:rStyle w:val="IndexLink"/>
              </w:rPr>
              <w:t>586</w:t>
            </w:r>
          </w:hyperlink>
        </w:p>
        <w:p>
          <w:pPr>
            <w:pStyle w:val="Contents4"/>
            <w:tabs>
              <w:tab w:val="clear" w:pos="8176"/>
              <w:tab w:val="right" w:pos="9026" w:leader="dot"/>
            </w:tabs>
            <w:rPr/>
          </w:pPr>
          <w:hyperlink w:anchor="__RefHeading___Toc256974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الحوالة لازمة بالنسبة إلیٰ کلّ من الثلاثة</w:t>
            </w:r>
            <w:r>
              <w:rPr>
                <w:rStyle w:val="IndexLink"/>
                <w:rtl w:val="true"/>
              </w:rPr>
              <w:t>]</w:t>
              <w:tab/>
            </w:r>
            <w:r>
              <w:rPr>
                <w:rStyle w:val="IndexLink"/>
              </w:rPr>
              <w:t>586</w:t>
            </w:r>
          </w:hyperlink>
        </w:p>
        <w:p>
          <w:pPr>
            <w:pStyle w:val="Contents4"/>
            <w:tabs>
              <w:tab w:val="clear" w:pos="8176"/>
              <w:tab w:val="right" w:pos="9026" w:leader="dot"/>
            </w:tabs>
            <w:rPr/>
          </w:pPr>
          <w:hyperlink w:anchor="__RefHeading___Toc256974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یجوز الترامی فی الحوالة بتعدّد المحال علیه و اتّحاد المحتال</w:t>
            </w:r>
            <w:r>
              <w:rPr>
                <w:rStyle w:val="IndexLink"/>
                <w:rtl w:val="true"/>
              </w:rPr>
              <w:t>]</w:t>
              <w:tab/>
            </w:r>
            <w:r>
              <w:rPr>
                <w:rStyle w:val="IndexLink"/>
              </w:rPr>
              <w:t>586</w:t>
            </w:r>
          </w:hyperlink>
        </w:p>
        <w:p>
          <w:pPr>
            <w:pStyle w:val="Contents4"/>
            <w:tabs>
              <w:tab w:val="clear" w:pos="8176"/>
              <w:tab w:val="right" w:pos="9026" w:leader="dot"/>
            </w:tabs>
            <w:rPr/>
          </w:pPr>
          <w:hyperlink w:anchor="__RefHeading___Toc256974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إذا قضی المحیل الدین بعد الحوالة برئت ذمّة المحال علیه</w:t>
            </w:r>
            <w:r>
              <w:rPr>
                <w:rStyle w:val="IndexLink"/>
                <w:rtl w:val="true"/>
              </w:rPr>
              <w:t>]</w:t>
              <w:tab/>
            </w:r>
            <w:r>
              <w:rPr>
                <w:rStyle w:val="IndexLink"/>
              </w:rPr>
              <w:t>586</w:t>
            </w:r>
          </w:hyperlink>
        </w:p>
        <w:p>
          <w:pPr>
            <w:pStyle w:val="Contents4"/>
            <w:tabs>
              <w:tab w:val="clear" w:pos="8176"/>
              <w:tab w:val="right" w:pos="9026" w:leader="dot"/>
            </w:tabs>
            <w:rPr/>
          </w:pPr>
          <w:hyperlink w:anchor="__RefHeading___Toc2569748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إذا أحال علیٰ بری‌ء و قبل المحال علیه، فهل له الرجوع علی المحیل بمجرّد القبول</w:t>
            </w:r>
            <w:r>
              <w:rPr>
                <w:rStyle w:val="IndexLink"/>
                <w:rtl w:val="true"/>
              </w:rPr>
              <w:t>]</w:t>
              <w:tab/>
            </w:r>
            <w:r>
              <w:rPr>
                <w:rStyle w:val="IndexLink"/>
              </w:rPr>
              <w:t>586</w:t>
            </w:r>
          </w:hyperlink>
        </w:p>
        <w:p>
          <w:pPr>
            <w:pStyle w:val="Contents4"/>
            <w:tabs>
              <w:tab w:val="clear" w:pos="8176"/>
              <w:tab w:val="right" w:pos="9026" w:leader="dot"/>
            </w:tabs>
            <w:rPr/>
          </w:pPr>
          <w:hyperlink w:anchor="__RefHeading___Toc2569750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إذا أحال البائع من له علیه دین علی المشتری</w:t>
            </w:r>
            <w:r>
              <w:rPr>
                <w:rStyle w:val="IndexLink"/>
                <w:rtl w:val="true"/>
              </w:rPr>
              <w:t>]</w:t>
              <w:tab/>
            </w:r>
            <w:r>
              <w:rPr>
                <w:rStyle w:val="IndexLink"/>
              </w:rPr>
              <w:t>586</w:t>
            </w:r>
          </w:hyperlink>
        </w:p>
        <w:p>
          <w:pPr>
            <w:pStyle w:val="Contents4"/>
            <w:tabs>
              <w:tab w:val="clear" w:pos="8176"/>
              <w:tab w:val="right" w:pos="9026" w:leader="dot"/>
            </w:tabs>
            <w:rPr/>
          </w:pPr>
          <w:hyperlink w:anchor="__RefHeading___Toc2569752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إذا کان له عند وکیله أو أمینه مال معیّن خارجی، فأحال دائنه علیه لیدفع إلیه و قبل المحتال</w:t>
            </w:r>
            <w:r>
              <w:rPr>
                <w:rStyle w:val="IndexLink"/>
                <w:rtl w:val="true"/>
              </w:rPr>
              <w:t>]</w:t>
              <w:tab/>
            </w:r>
            <w:r>
              <w:rPr>
                <w:rStyle w:val="IndexLink"/>
              </w:rPr>
              <w:t>587</w:t>
            </w:r>
          </w:hyperlink>
        </w:p>
        <w:p>
          <w:pPr>
            <w:pStyle w:val="Contents3"/>
            <w:tabs>
              <w:tab w:val="clear" w:pos="8459"/>
              <w:tab w:val="right" w:pos="9026" w:leader="dot"/>
            </w:tabs>
            <w:rPr/>
          </w:pPr>
          <w:hyperlink w:anchor="__RefHeading___Toc2569754_3650668749">
            <w:r>
              <w:rPr>
                <w:webHidden/>
                <w:rStyle w:val="IndexLink"/>
                <w:rtl w:val="true"/>
              </w:rPr>
              <w:t>[</w:t>
            </w:r>
            <w:r>
              <w:rPr>
                <w:rStyle w:val="IndexLink"/>
                <w:rtl w:val="true"/>
              </w:rPr>
              <w:t>القول فی الکفالة</w:t>
            </w:r>
            <w:r>
              <w:rPr>
                <w:rStyle w:val="IndexLink"/>
                <w:rtl w:val="true"/>
              </w:rPr>
              <w:t>]</w:t>
              <w:tab/>
            </w:r>
            <w:r>
              <w:rPr>
                <w:rStyle w:val="IndexLink"/>
              </w:rPr>
              <w:t>587</w:t>
            </w:r>
          </w:hyperlink>
        </w:p>
        <w:p>
          <w:pPr>
            <w:pStyle w:val="Contents4"/>
            <w:tabs>
              <w:tab w:val="clear" w:pos="8176"/>
              <w:tab w:val="right" w:pos="9026" w:leader="dot"/>
            </w:tabs>
            <w:rPr/>
          </w:pPr>
          <w:hyperlink w:anchor="__RefHeading___Toc2569756_3650668749">
            <w:r>
              <w:rPr>
                <w:webHidden/>
                <w:rStyle w:val="IndexLink"/>
                <w:rtl w:val="true"/>
              </w:rPr>
              <w:t>اشارة</w:t>
            </w:r>
            <w:r>
              <w:rPr>
                <w:rStyle w:val="IndexLink"/>
                <w:rtl w:val="true"/>
              </w:rPr>
              <w:tab/>
            </w:r>
            <w:r>
              <w:rPr>
                <w:rStyle w:val="IndexLink"/>
              </w:rPr>
              <w:t>587</w:t>
            </w:r>
          </w:hyperlink>
        </w:p>
        <w:p>
          <w:pPr>
            <w:pStyle w:val="Contents4"/>
            <w:tabs>
              <w:tab w:val="clear" w:pos="8176"/>
              <w:tab w:val="right" w:pos="9026" w:leader="dot"/>
            </w:tabs>
            <w:rPr/>
          </w:pPr>
          <w:hyperlink w:anchor="__RefHeading___Toc256975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یعتبر فی الکفیل</w:t>
            </w:r>
            <w:r>
              <w:rPr>
                <w:rStyle w:val="IndexLink"/>
                <w:rtl w:val="true"/>
              </w:rPr>
              <w:t xml:space="preserve">: </w:t>
            </w:r>
            <w:r>
              <w:rPr>
                <w:rStyle w:val="IndexLink"/>
                <w:rtl w:val="true"/>
              </w:rPr>
              <w:t>البلوغ و العقل و الاختیار و التمکّن من الإحضار</w:t>
            </w:r>
            <w:r>
              <w:rPr>
                <w:rStyle w:val="IndexLink"/>
                <w:rtl w:val="true"/>
              </w:rPr>
              <w:t>]</w:t>
              <w:tab/>
            </w:r>
            <w:r>
              <w:rPr>
                <w:rStyle w:val="IndexLink"/>
              </w:rPr>
              <w:t>587</w:t>
            </w:r>
          </w:hyperlink>
        </w:p>
        <w:p>
          <w:pPr>
            <w:pStyle w:val="Contents4"/>
            <w:tabs>
              <w:tab w:val="clear" w:pos="8176"/>
              <w:tab w:val="right" w:pos="9026" w:leader="dot"/>
            </w:tabs>
            <w:rPr/>
          </w:pPr>
          <w:hyperlink w:anchor="__RefHeading___Toc256976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إشکال فی اعتبار رضا الکفیل و المکفول له</w:t>
            </w:r>
            <w:r>
              <w:rPr>
                <w:rStyle w:val="IndexLink"/>
                <w:rtl w:val="true"/>
              </w:rPr>
              <w:t>]</w:t>
              <w:tab/>
            </w:r>
            <w:r>
              <w:rPr>
                <w:rStyle w:val="IndexLink"/>
              </w:rPr>
              <w:t>587</w:t>
            </w:r>
          </w:hyperlink>
        </w:p>
        <w:p>
          <w:pPr>
            <w:pStyle w:val="Contents4"/>
            <w:tabs>
              <w:tab w:val="clear" w:pos="8176"/>
              <w:tab w:val="right" w:pos="9026" w:leader="dot"/>
            </w:tabs>
            <w:rPr/>
          </w:pPr>
          <w:hyperlink w:anchor="__RefHeading___Toc256976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کلّ من علیه حقّ مالیّ صحّت الکفالة ببدنه، و لا یشترط العلم بمبلغ ذلک المال</w:t>
            </w:r>
            <w:r>
              <w:rPr>
                <w:rStyle w:val="IndexLink"/>
                <w:rtl w:val="true"/>
              </w:rPr>
              <w:t>]</w:t>
              <w:tab/>
            </w:r>
            <w:r>
              <w:rPr>
                <w:rStyle w:val="IndexLink"/>
              </w:rPr>
              <w:t>587</w:t>
            </w:r>
          </w:hyperlink>
        </w:p>
        <w:p>
          <w:pPr>
            <w:pStyle w:val="Contents4"/>
            <w:tabs>
              <w:tab w:val="clear" w:pos="8176"/>
              <w:tab w:val="right" w:pos="9026" w:leader="dot"/>
            </w:tabs>
            <w:rPr/>
          </w:pPr>
          <w:hyperlink w:anchor="__RefHeading___Toc256976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یصحّ إیقاع الکفالة حالّة</w:t>
            </w:r>
            <w:r>
              <w:rPr>
                <w:rStyle w:val="IndexLink"/>
                <w:rtl w:val="true"/>
              </w:rPr>
              <w:t>]</w:t>
              <w:tab/>
            </w:r>
            <w:r>
              <w:rPr>
                <w:rStyle w:val="IndexLink"/>
              </w:rPr>
              <w:t>588</w:t>
            </w:r>
          </w:hyperlink>
        </w:p>
        <w:p>
          <w:pPr>
            <w:pStyle w:val="Contents4"/>
            <w:tabs>
              <w:tab w:val="clear" w:pos="8176"/>
              <w:tab w:val="right" w:pos="9026" w:leader="dot"/>
            </w:tabs>
            <w:rPr/>
          </w:pPr>
          <w:hyperlink w:anchor="__RefHeading___Toc256976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عقد الکفالة لازم لا یجوز فسخه إلّا بالإقالة</w:t>
            </w:r>
            <w:r>
              <w:rPr>
                <w:rStyle w:val="IndexLink"/>
                <w:rtl w:val="true"/>
              </w:rPr>
              <w:t>]</w:t>
              <w:tab/>
            </w:r>
            <w:r>
              <w:rPr>
                <w:rStyle w:val="IndexLink"/>
              </w:rPr>
              <w:t>588</w:t>
            </w:r>
          </w:hyperlink>
        </w:p>
        <w:p>
          <w:pPr>
            <w:pStyle w:val="Contents4"/>
            <w:tabs>
              <w:tab w:val="clear" w:pos="8176"/>
              <w:tab w:val="right" w:pos="9026" w:leader="dot"/>
            </w:tabs>
            <w:rPr/>
          </w:pPr>
          <w:hyperlink w:anchor="__RefHeading___Toc256976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تحقّقت الکفالة جامعة للشرائط، جازت مطالبة المکفول له الکفیل بالمکفول عاجلًا</w:t>
            </w:r>
            <w:r>
              <w:rPr>
                <w:rStyle w:val="IndexLink"/>
                <w:rtl w:val="true"/>
              </w:rPr>
              <w:t>]</w:t>
              <w:tab/>
            </w:r>
            <w:r>
              <w:rPr>
                <w:rStyle w:val="IndexLink"/>
              </w:rPr>
              <w:t>588</w:t>
            </w:r>
          </w:hyperlink>
        </w:p>
        <w:p>
          <w:pPr>
            <w:pStyle w:val="Contents4"/>
            <w:tabs>
              <w:tab w:val="clear" w:pos="8176"/>
              <w:tab w:val="right" w:pos="9026" w:leader="dot"/>
            </w:tabs>
            <w:rPr/>
          </w:pPr>
          <w:hyperlink w:anchor="__RefHeading___Toc2569770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لم یحضر الکفیل المکفول فأُخذ منه المال</w:t>
            </w:r>
            <w:r>
              <w:rPr>
                <w:rStyle w:val="IndexLink"/>
                <w:rtl w:val="true"/>
              </w:rPr>
              <w:t>]</w:t>
              <w:tab/>
            </w:r>
            <w:r>
              <w:rPr>
                <w:rStyle w:val="IndexLink"/>
              </w:rPr>
              <w:t>589</w:t>
            </w:r>
          </w:hyperlink>
        </w:p>
        <w:p>
          <w:pPr>
            <w:pStyle w:val="Contents4"/>
            <w:tabs>
              <w:tab w:val="clear" w:pos="8176"/>
              <w:tab w:val="right" w:pos="9026" w:leader="dot"/>
            </w:tabs>
            <w:rPr/>
          </w:pPr>
          <w:hyperlink w:anchor="__RefHeading___Toc2569772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عیّن الکفیل فی الکفالة مکان التسلیم تعیّن</w:t>
            </w:r>
            <w:r>
              <w:rPr>
                <w:rStyle w:val="IndexLink"/>
                <w:rtl w:val="true"/>
              </w:rPr>
              <w:t>]</w:t>
              <w:tab/>
            </w:r>
            <w:r>
              <w:rPr>
                <w:rStyle w:val="IndexLink"/>
              </w:rPr>
              <w:t>589</w:t>
            </w:r>
          </w:hyperlink>
        </w:p>
        <w:p>
          <w:pPr>
            <w:pStyle w:val="Contents4"/>
            <w:tabs>
              <w:tab w:val="clear" w:pos="8176"/>
              <w:tab w:val="right" w:pos="9026" w:leader="dot"/>
            </w:tabs>
            <w:rPr/>
          </w:pPr>
          <w:hyperlink w:anchor="__RefHeading___Toc2569774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یجب علی الکفیل التوسّل بکلّ وسیلة مشروعة لإحضار المکفول</w:t>
            </w:r>
            <w:r>
              <w:rPr>
                <w:rStyle w:val="IndexLink"/>
                <w:rtl w:val="true"/>
              </w:rPr>
              <w:t>]</w:t>
              <w:tab/>
            </w:r>
            <w:r>
              <w:rPr>
                <w:rStyle w:val="IndexLink"/>
              </w:rPr>
              <w:t>589</w:t>
            </w:r>
          </w:hyperlink>
        </w:p>
        <w:p>
          <w:pPr>
            <w:pStyle w:val="Contents4"/>
            <w:tabs>
              <w:tab w:val="clear" w:pos="8176"/>
              <w:tab w:val="right" w:pos="9026" w:leader="dot"/>
            </w:tabs>
            <w:rPr/>
          </w:pPr>
          <w:hyperlink w:anchor="__RefHeading___Toc2569776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تبرأ ذمّة الکفیل بإحضار المکفول أو حضوره</w:t>
            </w:r>
            <w:r>
              <w:rPr>
                <w:rStyle w:val="IndexLink"/>
                <w:rtl w:val="true"/>
              </w:rPr>
              <w:t>]</w:t>
              <w:tab/>
            </w:r>
            <w:r>
              <w:rPr>
                <w:rStyle w:val="IndexLink"/>
              </w:rPr>
              <w:t>589</w:t>
            </w:r>
          </w:hyperlink>
        </w:p>
        <w:p>
          <w:pPr>
            <w:pStyle w:val="Contents4"/>
            <w:tabs>
              <w:tab w:val="clear" w:pos="8176"/>
              <w:tab w:val="right" w:pos="9026" w:leader="dot"/>
            </w:tabs>
            <w:rPr/>
          </w:pPr>
          <w:hyperlink w:anchor="__RefHeading___Toc2569778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إذا مات الکفیل أو المکفول بطلت الکفالة</w:t>
            </w:r>
            <w:r>
              <w:rPr>
                <w:rStyle w:val="IndexLink"/>
                <w:rtl w:val="true"/>
              </w:rPr>
              <w:t>]</w:t>
              <w:tab/>
            </w:r>
            <w:r>
              <w:rPr>
                <w:rStyle w:val="IndexLink"/>
              </w:rPr>
              <w:t>589</w:t>
            </w:r>
          </w:hyperlink>
        </w:p>
        <w:p>
          <w:pPr>
            <w:pStyle w:val="Contents4"/>
            <w:tabs>
              <w:tab w:val="clear" w:pos="8176"/>
              <w:tab w:val="right" w:pos="9026" w:leader="dot"/>
            </w:tabs>
            <w:rPr/>
          </w:pPr>
          <w:hyperlink w:anchor="__RefHeading___Toc2569780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لو نقل المکفول له الحقّ الذی له علی المکفول إلیٰ غیره</w:t>
            </w:r>
            <w:r>
              <w:rPr>
                <w:rStyle w:val="IndexLink"/>
                <w:rtl w:val="true"/>
              </w:rPr>
              <w:t>]</w:t>
              <w:tab/>
            </w:r>
            <w:r>
              <w:rPr>
                <w:rStyle w:val="IndexLink"/>
              </w:rPr>
              <w:t>590</w:t>
            </w:r>
          </w:hyperlink>
        </w:p>
        <w:p>
          <w:pPr>
            <w:pStyle w:val="Contents4"/>
            <w:tabs>
              <w:tab w:val="clear" w:pos="8176"/>
              <w:tab w:val="right" w:pos="9026" w:leader="dot"/>
            </w:tabs>
            <w:rPr/>
          </w:pPr>
          <w:hyperlink w:anchor="__RefHeading___Toc2569782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من خلّیٰ غریماً من ید صاحبه قهراً و إجباراً</w:t>
            </w:r>
            <w:r>
              <w:rPr>
                <w:rStyle w:val="IndexLink"/>
                <w:rtl w:val="true"/>
              </w:rPr>
              <w:t>]</w:t>
              <w:tab/>
            </w:r>
            <w:r>
              <w:rPr>
                <w:rStyle w:val="IndexLink"/>
              </w:rPr>
              <w:t>590</w:t>
            </w:r>
          </w:hyperlink>
        </w:p>
        <w:p>
          <w:pPr>
            <w:pStyle w:val="Contents4"/>
            <w:tabs>
              <w:tab w:val="clear" w:pos="8176"/>
              <w:tab w:val="right" w:pos="9026" w:leader="dot"/>
            </w:tabs>
            <w:rPr/>
          </w:pPr>
          <w:hyperlink w:anchor="__RefHeading___Toc2569784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یجوز ترامی الکفالات</w:t>
            </w:r>
            <w:r>
              <w:rPr>
                <w:rStyle w:val="IndexLink"/>
                <w:rtl w:val="true"/>
              </w:rPr>
              <w:t>]</w:t>
              <w:tab/>
            </w:r>
            <w:r>
              <w:rPr>
                <w:rStyle w:val="IndexLink"/>
              </w:rPr>
              <w:t>590</w:t>
            </w:r>
          </w:hyperlink>
        </w:p>
        <w:p>
          <w:pPr>
            <w:pStyle w:val="Contents4"/>
            <w:tabs>
              <w:tab w:val="clear" w:pos="8176"/>
              <w:tab w:val="right" w:pos="9026" w:leader="dot"/>
            </w:tabs>
            <w:rPr/>
          </w:pPr>
          <w:hyperlink w:anchor="__RefHeading___Toc2569786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یکره التعرّض للکفالات</w:t>
            </w:r>
            <w:r>
              <w:rPr>
                <w:rStyle w:val="IndexLink"/>
                <w:rtl w:val="true"/>
              </w:rPr>
              <w:t>]</w:t>
              <w:tab/>
            </w:r>
            <w:r>
              <w:rPr>
                <w:rStyle w:val="IndexLink"/>
              </w:rPr>
              <w:t>590</w:t>
            </w:r>
          </w:hyperlink>
        </w:p>
        <w:p>
          <w:pPr>
            <w:pStyle w:val="Contents2"/>
            <w:tabs>
              <w:tab w:val="clear" w:pos="8743"/>
              <w:tab w:val="right" w:pos="9026" w:leader="dot"/>
            </w:tabs>
            <w:rPr/>
          </w:pPr>
          <w:hyperlink w:anchor="__RefHeading___Toc2569788_3650668749">
            <w:r>
              <w:rPr>
                <w:webHidden/>
                <w:rStyle w:val="IndexLink"/>
                <w:rtl w:val="true"/>
              </w:rPr>
              <w:t>[</w:t>
            </w:r>
            <w:r>
              <w:rPr>
                <w:rStyle w:val="IndexLink"/>
                <w:rtl w:val="true"/>
              </w:rPr>
              <w:t>کتاب الوکالة</w:t>
            </w:r>
            <w:r>
              <w:rPr>
                <w:rStyle w:val="IndexLink"/>
                <w:rtl w:val="true"/>
              </w:rPr>
              <w:t>]</w:t>
              <w:tab/>
            </w:r>
            <w:r>
              <w:rPr>
                <w:rStyle w:val="IndexLink"/>
              </w:rPr>
              <w:t>591</w:t>
            </w:r>
          </w:hyperlink>
        </w:p>
        <w:p>
          <w:pPr>
            <w:pStyle w:val="Contents3"/>
            <w:tabs>
              <w:tab w:val="clear" w:pos="8459"/>
              <w:tab w:val="right" w:pos="9026" w:leader="dot"/>
            </w:tabs>
            <w:rPr/>
          </w:pPr>
          <w:hyperlink w:anchor="__RefHeading___Toc2569790_3650668749">
            <w:r>
              <w:rPr>
                <w:webHidden/>
                <w:rStyle w:val="IndexLink"/>
                <w:rtl w:val="true"/>
              </w:rPr>
              <w:t>اشارة</w:t>
            </w:r>
            <w:r>
              <w:rPr>
                <w:rStyle w:val="IndexLink"/>
                <w:rtl w:val="true"/>
              </w:rPr>
              <w:tab/>
            </w:r>
            <w:r>
              <w:rPr>
                <w:rStyle w:val="IndexLink"/>
              </w:rPr>
              <w:t>591</w:t>
            </w:r>
          </w:hyperlink>
        </w:p>
        <w:p>
          <w:pPr>
            <w:pStyle w:val="Contents3"/>
            <w:tabs>
              <w:tab w:val="clear" w:pos="8459"/>
              <w:tab w:val="right" w:pos="9026" w:leader="dot"/>
            </w:tabs>
            <w:rPr/>
          </w:pPr>
          <w:hyperlink w:anchor="__RefHeading___Toc256979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یشترط فیها التنجیز</w:t>
            </w:r>
            <w:r>
              <w:rPr>
                <w:rStyle w:val="IndexLink"/>
                <w:rtl w:val="true"/>
              </w:rPr>
              <w:t>]</w:t>
              <w:tab/>
            </w:r>
            <w:r>
              <w:rPr>
                <w:rStyle w:val="IndexLink"/>
              </w:rPr>
              <w:t>591</w:t>
            </w:r>
          </w:hyperlink>
        </w:p>
        <w:p>
          <w:pPr>
            <w:pStyle w:val="Contents3"/>
            <w:tabs>
              <w:tab w:val="clear" w:pos="8459"/>
              <w:tab w:val="right" w:pos="9026" w:leader="dot"/>
            </w:tabs>
            <w:rPr/>
          </w:pPr>
          <w:hyperlink w:anchor="__RefHeading___Toc256979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یشترط فی کلّ من الموکّل و الوکیل البلوغ</w:t>
            </w:r>
            <w:r>
              <w:rPr>
                <w:rStyle w:val="IndexLink"/>
                <w:rtl w:val="true"/>
              </w:rPr>
              <w:t>]</w:t>
              <w:tab/>
            </w:r>
            <w:r>
              <w:rPr>
                <w:rStyle w:val="IndexLink"/>
              </w:rPr>
              <w:t>591</w:t>
            </w:r>
          </w:hyperlink>
        </w:p>
        <w:p>
          <w:pPr>
            <w:pStyle w:val="Contents3"/>
            <w:tabs>
              <w:tab w:val="clear" w:pos="8459"/>
              <w:tab w:val="right" w:pos="9026" w:leader="dot"/>
            </w:tabs>
            <w:rPr/>
          </w:pPr>
          <w:hyperlink w:anchor="__RefHeading___Toc256979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یشترط فی الوکیل الإسلام</w:t>
            </w:r>
            <w:r>
              <w:rPr>
                <w:rStyle w:val="IndexLink"/>
                <w:rtl w:val="true"/>
              </w:rPr>
              <w:t>]</w:t>
              <w:tab/>
            </w:r>
            <w:r>
              <w:rPr>
                <w:rStyle w:val="IndexLink"/>
              </w:rPr>
              <w:t>592</w:t>
            </w:r>
          </w:hyperlink>
        </w:p>
        <w:p>
          <w:pPr>
            <w:pStyle w:val="Contents3"/>
            <w:tabs>
              <w:tab w:val="clear" w:pos="8459"/>
              <w:tab w:val="right" w:pos="9026" w:leader="dot"/>
            </w:tabs>
            <w:rPr/>
          </w:pPr>
          <w:hyperlink w:anchor="__RefHeading___Toc256979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تصحّ وکالة المحجور علیه لسفه أو فلس عن غیرهما ممّن لا حجر علیه</w:t>
            </w:r>
            <w:r>
              <w:rPr>
                <w:rStyle w:val="IndexLink"/>
                <w:rtl w:val="true"/>
              </w:rPr>
              <w:t>]</w:t>
              <w:tab/>
            </w:r>
            <w:r>
              <w:rPr>
                <w:rStyle w:val="IndexLink"/>
              </w:rPr>
              <w:t>592</w:t>
            </w:r>
          </w:hyperlink>
        </w:p>
        <w:p>
          <w:pPr>
            <w:pStyle w:val="Contents3"/>
            <w:tabs>
              <w:tab w:val="clear" w:pos="8459"/>
              <w:tab w:val="right" w:pos="9026" w:leader="dot"/>
            </w:tabs>
            <w:rPr/>
          </w:pPr>
          <w:hyperlink w:anchor="__RefHeading___Toc256980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جوّزنا للصبیّ بعض التصرّفات فی ماله</w:t>
            </w:r>
            <w:r>
              <w:rPr>
                <w:rStyle w:val="IndexLink"/>
                <w:rtl w:val="true"/>
              </w:rPr>
              <w:t>]</w:t>
              <w:tab/>
            </w:r>
            <w:r>
              <w:rPr>
                <w:rStyle w:val="IndexLink"/>
              </w:rPr>
              <w:t>592</w:t>
            </w:r>
          </w:hyperlink>
        </w:p>
        <w:p>
          <w:pPr>
            <w:pStyle w:val="Contents3"/>
            <w:tabs>
              <w:tab w:val="clear" w:pos="8459"/>
              <w:tab w:val="right" w:pos="9026" w:leader="dot"/>
            </w:tabs>
            <w:rPr/>
          </w:pPr>
          <w:hyperlink w:anchor="__RefHeading___Toc256980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ما کان شرطاً فی الموکّل و الوکیل ابتداءً شرط فیهما استدامة</w:t>
            </w:r>
            <w:r>
              <w:rPr>
                <w:rStyle w:val="IndexLink"/>
                <w:rtl w:val="true"/>
              </w:rPr>
              <w:t>]</w:t>
              <w:tab/>
            </w:r>
            <w:r>
              <w:rPr>
                <w:rStyle w:val="IndexLink"/>
              </w:rPr>
              <w:t>592</w:t>
            </w:r>
          </w:hyperlink>
        </w:p>
        <w:p>
          <w:pPr>
            <w:pStyle w:val="Contents3"/>
            <w:tabs>
              <w:tab w:val="clear" w:pos="8459"/>
              <w:tab w:val="right" w:pos="9026" w:leader="dot"/>
            </w:tabs>
            <w:rPr/>
          </w:pPr>
          <w:hyperlink w:anchor="__RefHeading___Toc256980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یشترط فیما وکّل فیه أن یکون سائغاً فی نفسه</w:t>
            </w:r>
            <w:r>
              <w:rPr>
                <w:rStyle w:val="IndexLink"/>
                <w:rtl w:val="true"/>
              </w:rPr>
              <w:t>]</w:t>
              <w:tab/>
            </w:r>
            <w:r>
              <w:rPr>
                <w:rStyle w:val="IndexLink"/>
              </w:rPr>
              <w:t>592</w:t>
            </w:r>
          </w:hyperlink>
        </w:p>
        <w:p>
          <w:pPr>
            <w:pStyle w:val="Contents3"/>
            <w:tabs>
              <w:tab w:val="clear" w:pos="8459"/>
              <w:tab w:val="right" w:pos="9026" w:leader="dot"/>
            </w:tabs>
            <w:rPr/>
          </w:pPr>
          <w:hyperlink w:anchor="__RefHeading___Toc256980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لم یتمکّن شرعاً أو عقلًا من إیقاع أمر إلّا بعد حصول أمر غیر حاصل حین التوکیل</w:t>
            </w:r>
            <w:r>
              <w:rPr>
                <w:rStyle w:val="IndexLink"/>
                <w:rtl w:val="true"/>
              </w:rPr>
              <w:t>]</w:t>
              <w:tab/>
            </w:r>
            <w:r>
              <w:rPr>
                <w:rStyle w:val="IndexLink"/>
              </w:rPr>
              <w:t>593</w:t>
            </w:r>
          </w:hyperlink>
        </w:p>
        <w:p>
          <w:pPr>
            <w:pStyle w:val="Contents3"/>
            <w:tabs>
              <w:tab w:val="clear" w:pos="8459"/>
              <w:tab w:val="right" w:pos="9026" w:leader="dot"/>
            </w:tabs>
            <w:rPr/>
          </w:pPr>
          <w:hyperlink w:anchor="__RefHeading___Toc256980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یشترط فی الموکّل فیه أن یکون قابلًا للنیابة</w:t>
            </w:r>
            <w:r>
              <w:rPr>
                <w:rStyle w:val="IndexLink"/>
                <w:rtl w:val="true"/>
              </w:rPr>
              <w:t>]</w:t>
              <w:tab/>
            </w:r>
            <w:r>
              <w:rPr>
                <w:rStyle w:val="IndexLink"/>
              </w:rPr>
              <w:t>593</w:t>
            </w:r>
          </w:hyperlink>
        </w:p>
        <w:p>
          <w:pPr>
            <w:pStyle w:val="Contents3"/>
            <w:tabs>
              <w:tab w:val="clear" w:pos="8459"/>
              <w:tab w:val="right" w:pos="9026" w:leader="dot"/>
            </w:tabs>
            <w:rPr/>
          </w:pPr>
          <w:hyperlink w:anchor="__RefHeading___Toc256981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یصحّ التوکیل فی جمیع العقود</w:t>
            </w:r>
            <w:r>
              <w:rPr>
                <w:rStyle w:val="IndexLink"/>
                <w:rtl w:val="true"/>
              </w:rPr>
              <w:t>]</w:t>
              <w:tab/>
            </w:r>
            <w:r>
              <w:rPr>
                <w:rStyle w:val="IndexLink"/>
              </w:rPr>
              <w:t>593</w:t>
            </w:r>
          </w:hyperlink>
        </w:p>
        <w:p>
          <w:pPr>
            <w:pStyle w:val="Contents3"/>
            <w:tabs>
              <w:tab w:val="clear" w:pos="8459"/>
              <w:tab w:val="right" w:pos="9026" w:leader="dot"/>
            </w:tabs>
            <w:rPr/>
          </w:pPr>
          <w:hyperlink w:anchor="__RefHeading___Toc256981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یصحّ التوکیل فی القبض و الإقباض فی موارد لزومهما</w:t>
            </w:r>
            <w:r>
              <w:rPr>
                <w:rStyle w:val="IndexLink"/>
                <w:rtl w:val="true"/>
              </w:rPr>
              <w:t>]</w:t>
              <w:tab/>
            </w:r>
            <w:r>
              <w:rPr>
                <w:rStyle w:val="IndexLink"/>
              </w:rPr>
              <w:t>594</w:t>
            </w:r>
          </w:hyperlink>
        </w:p>
        <w:p>
          <w:pPr>
            <w:pStyle w:val="Contents3"/>
            <w:tabs>
              <w:tab w:val="clear" w:pos="8459"/>
              <w:tab w:val="right" w:pos="9026" w:leader="dot"/>
            </w:tabs>
            <w:rPr/>
          </w:pPr>
          <w:hyperlink w:anchor="__RefHeading___Toc256981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یجوز التوکیل فی الطلاق غائباً کان الزوج أم حاضراً</w:t>
            </w:r>
            <w:r>
              <w:rPr>
                <w:rStyle w:val="IndexLink"/>
                <w:rtl w:val="true"/>
              </w:rPr>
              <w:t>]</w:t>
              <w:tab/>
            </w:r>
            <w:r>
              <w:rPr>
                <w:rStyle w:val="IndexLink"/>
              </w:rPr>
              <w:t>594</w:t>
            </w:r>
          </w:hyperlink>
        </w:p>
        <w:p>
          <w:pPr>
            <w:pStyle w:val="Contents3"/>
            <w:tabs>
              <w:tab w:val="clear" w:pos="8459"/>
              <w:tab w:val="right" w:pos="9026" w:leader="dot"/>
            </w:tabs>
            <w:rPr/>
          </w:pPr>
          <w:hyperlink w:anchor="__RefHeading___Toc2569816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یجوز الوکالة و النیابة فی حیازة المباح</w:t>
            </w:r>
            <w:r>
              <w:rPr>
                <w:rStyle w:val="IndexLink"/>
                <w:rtl w:val="true"/>
              </w:rPr>
              <w:t>]</w:t>
              <w:tab/>
            </w:r>
            <w:r>
              <w:rPr>
                <w:rStyle w:val="IndexLink"/>
              </w:rPr>
              <w:t>594</w:t>
            </w:r>
          </w:hyperlink>
        </w:p>
        <w:p>
          <w:pPr>
            <w:pStyle w:val="Contents3"/>
            <w:tabs>
              <w:tab w:val="clear" w:pos="8459"/>
              <w:tab w:val="right" w:pos="9026" w:leader="dot"/>
            </w:tabs>
            <w:rPr/>
          </w:pPr>
          <w:hyperlink w:anchor="__RefHeading___Toc2569818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یشترط فی الموکّل فیه التعیین</w:t>
            </w:r>
            <w:r>
              <w:rPr>
                <w:rStyle w:val="IndexLink"/>
                <w:rtl w:val="true"/>
              </w:rPr>
              <w:t>]</w:t>
              <w:tab/>
            </w:r>
            <w:r>
              <w:rPr>
                <w:rStyle w:val="IndexLink"/>
              </w:rPr>
              <w:t>594</w:t>
            </w:r>
          </w:hyperlink>
        </w:p>
        <w:p>
          <w:pPr>
            <w:pStyle w:val="Contents3"/>
            <w:tabs>
              <w:tab w:val="clear" w:pos="8459"/>
              <w:tab w:val="right" w:pos="9026" w:leader="dot"/>
            </w:tabs>
            <w:rPr/>
          </w:pPr>
          <w:hyperlink w:anchor="__RefHeading___Toc2569820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الوکالة</w:t>
            </w:r>
            <w:r>
              <w:rPr>
                <w:rStyle w:val="IndexLink"/>
                <w:rtl w:val="true"/>
              </w:rPr>
              <w:t xml:space="preserve">: </w:t>
            </w:r>
            <w:r>
              <w:rPr>
                <w:rStyle w:val="IndexLink"/>
                <w:rtl w:val="true"/>
              </w:rPr>
              <w:t>إمّا خاصّة و إمّا عامّة و إمّا مطلقة</w:t>
            </w:r>
            <w:r>
              <w:rPr>
                <w:rStyle w:val="IndexLink"/>
                <w:rtl w:val="true"/>
              </w:rPr>
              <w:t>]</w:t>
              <w:tab/>
            </w:r>
            <w:r>
              <w:rPr>
                <w:rStyle w:val="IndexLink"/>
              </w:rPr>
              <w:t>594</w:t>
            </w:r>
          </w:hyperlink>
        </w:p>
        <w:p>
          <w:pPr>
            <w:pStyle w:val="Contents3"/>
            <w:tabs>
              <w:tab w:val="clear" w:pos="8459"/>
              <w:tab w:val="right" w:pos="9026" w:leader="dot"/>
            </w:tabs>
            <w:rPr/>
          </w:pPr>
          <w:hyperlink w:anchor="__RefHeading___Toc2569822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قد مرّ أنّه یعتبر فی الموکّل فیه التعیین و لو بالإطلاق أو التعمیم</w:t>
            </w:r>
            <w:r>
              <w:rPr>
                <w:rStyle w:val="IndexLink"/>
                <w:rtl w:val="true"/>
              </w:rPr>
              <w:t>]</w:t>
              <w:tab/>
            </w:r>
            <w:r>
              <w:rPr>
                <w:rStyle w:val="IndexLink"/>
              </w:rPr>
              <w:t>595</w:t>
            </w:r>
          </w:hyperlink>
        </w:p>
        <w:p>
          <w:pPr>
            <w:pStyle w:val="Contents3"/>
            <w:tabs>
              <w:tab w:val="clear" w:pos="8459"/>
              <w:tab w:val="right" w:pos="9026" w:leader="dot"/>
            </w:tabs>
            <w:rPr/>
          </w:pPr>
          <w:hyperlink w:anchor="__RefHeading___Toc2569824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لو خالف الوکیل عمّا عیّن له و أتی بالعمل علیٰ نحو لم یشمله عقد الوکالة</w:t>
            </w:r>
            <w:r>
              <w:rPr>
                <w:rStyle w:val="IndexLink"/>
                <w:rtl w:val="true"/>
              </w:rPr>
              <w:t>]</w:t>
              <w:tab/>
            </w:r>
            <w:r>
              <w:rPr>
                <w:rStyle w:val="IndexLink"/>
              </w:rPr>
              <w:t>595</w:t>
            </w:r>
          </w:hyperlink>
        </w:p>
        <w:p>
          <w:pPr>
            <w:pStyle w:val="Contents3"/>
            <w:tabs>
              <w:tab w:val="clear" w:pos="8459"/>
              <w:tab w:val="right" w:pos="9026" w:leader="dot"/>
            </w:tabs>
            <w:rPr/>
          </w:pPr>
          <w:hyperlink w:anchor="__RefHeading___Toc2569826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یجوز للولیّ کالأب و الجدّ للصغیر أن یوکّل غیره فیما یتعلّق بالمولّی علیه</w:t>
            </w:r>
            <w:r>
              <w:rPr>
                <w:rStyle w:val="IndexLink"/>
                <w:rtl w:val="true"/>
              </w:rPr>
              <w:t>]</w:t>
              <w:tab/>
            </w:r>
            <w:r>
              <w:rPr>
                <w:rStyle w:val="IndexLink"/>
              </w:rPr>
              <w:t>596</w:t>
            </w:r>
          </w:hyperlink>
        </w:p>
        <w:p>
          <w:pPr>
            <w:pStyle w:val="Contents3"/>
            <w:tabs>
              <w:tab w:val="clear" w:pos="8459"/>
              <w:tab w:val="right" w:pos="9026" w:leader="dot"/>
            </w:tabs>
            <w:rPr/>
          </w:pPr>
          <w:hyperlink w:anchor="__RefHeading___Toc2569828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لا یجوز للوکیل أن یوکّل غیره فی إیقاع ما توکّل فیه لا عن نفسه</w:t>
            </w:r>
            <w:r>
              <w:rPr>
                <w:rStyle w:val="IndexLink"/>
                <w:rtl w:val="true"/>
              </w:rPr>
              <w:t>]</w:t>
              <w:tab/>
            </w:r>
            <w:r>
              <w:rPr>
                <w:rStyle w:val="IndexLink"/>
              </w:rPr>
              <w:t>596</w:t>
            </w:r>
          </w:hyperlink>
        </w:p>
        <w:p>
          <w:pPr>
            <w:pStyle w:val="Contents3"/>
            <w:tabs>
              <w:tab w:val="clear" w:pos="8459"/>
              <w:tab w:val="right" w:pos="9026" w:leader="dot"/>
            </w:tabs>
            <w:rPr/>
          </w:pPr>
          <w:hyperlink w:anchor="__RefHeading___Toc2569830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لو کان الوکیل الثانی وکیلًا عن الموکّل</w:t>
            </w:r>
            <w:r>
              <w:rPr>
                <w:rStyle w:val="IndexLink"/>
                <w:rtl w:val="true"/>
              </w:rPr>
              <w:t>]</w:t>
              <w:tab/>
            </w:r>
            <w:r>
              <w:rPr>
                <w:rStyle w:val="IndexLink"/>
              </w:rPr>
              <w:t>596</w:t>
            </w:r>
          </w:hyperlink>
        </w:p>
        <w:p>
          <w:pPr>
            <w:pStyle w:val="Contents3"/>
            <w:tabs>
              <w:tab w:val="clear" w:pos="8459"/>
              <w:tab w:val="right" w:pos="9026" w:leader="dot"/>
            </w:tabs>
            <w:rPr/>
          </w:pPr>
          <w:hyperlink w:anchor="__RefHeading___Toc2569832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یجوز أن یتوکّل اثنان فصاعداً عن واحد فی أمر واحد</w:t>
            </w:r>
            <w:r>
              <w:rPr>
                <w:rStyle w:val="IndexLink"/>
                <w:rtl w:val="true"/>
              </w:rPr>
              <w:t>]</w:t>
              <w:tab/>
            </w:r>
            <w:r>
              <w:rPr>
                <w:rStyle w:val="IndexLink"/>
              </w:rPr>
              <w:t>596</w:t>
            </w:r>
          </w:hyperlink>
        </w:p>
        <w:p>
          <w:pPr>
            <w:pStyle w:val="Contents3"/>
            <w:tabs>
              <w:tab w:val="clear" w:pos="8459"/>
              <w:tab w:val="right" w:pos="9026" w:leader="dot"/>
            </w:tabs>
            <w:rPr/>
          </w:pPr>
          <w:hyperlink w:anchor="__RefHeading___Toc2569834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الوکالة عقد جائز من الطرفین</w:t>
            </w:r>
            <w:r>
              <w:rPr>
                <w:rStyle w:val="IndexLink"/>
                <w:rtl w:val="true"/>
              </w:rPr>
              <w:t>]</w:t>
              <w:tab/>
            </w:r>
            <w:r>
              <w:rPr>
                <w:rStyle w:val="IndexLink"/>
              </w:rPr>
              <w:t>596</w:t>
            </w:r>
          </w:hyperlink>
        </w:p>
        <w:p>
          <w:pPr>
            <w:pStyle w:val="Contents3"/>
            <w:tabs>
              <w:tab w:val="clear" w:pos="8459"/>
              <w:tab w:val="right" w:pos="9026" w:leader="dot"/>
            </w:tabs>
            <w:rPr/>
          </w:pPr>
          <w:hyperlink w:anchor="__RefHeading___Toc2569836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تبطل الوکالة بموت الوکیل، و کذا بموت الموکّل</w:t>
            </w:r>
            <w:r>
              <w:rPr>
                <w:rStyle w:val="IndexLink"/>
                <w:rtl w:val="true"/>
              </w:rPr>
              <w:t>]</w:t>
              <w:tab/>
            </w:r>
            <w:r>
              <w:rPr>
                <w:rStyle w:val="IndexLink"/>
              </w:rPr>
              <w:t>597</w:t>
            </w:r>
          </w:hyperlink>
        </w:p>
        <w:p>
          <w:pPr>
            <w:pStyle w:val="Contents3"/>
            <w:tabs>
              <w:tab w:val="clear" w:pos="8459"/>
              <w:tab w:val="right" w:pos="9026" w:leader="dot"/>
            </w:tabs>
            <w:rPr/>
          </w:pPr>
          <w:hyperlink w:anchor="__RefHeading___Toc2569838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یجوز التوکیل فی الخصومة و المرافعة</w:t>
            </w:r>
            <w:r>
              <w:rPr>
                <w:rStyle w:val="IndexLink"/>
                <w:rtl w:val="true"/>
              </w:rPr>
              <w:t>]</w:t>
              <w:tab/>
            </w:r>
            <w:r>
              <w:rPr>
                <w:rStyle w:val="IndexLink"/>
              </w:rPr>
              <w:t>597</w:t>
            </w:r>
          </w:hyperlink>
        </w:p>
        <w:p>
          <w:pPr>
            <w:pStyle w:val="Contents3"/>
            <w:tabs>
              <w:tab w:val="clear" w:pos="8459"/>
              <w:tab w:val="right" w:pos="9026" w:leader="dot"/>
            </w:tabs>
            <w:rPr/>
          </w:pPr>
          <w:hyperlink w:anchor="__RefHeading___Toc2569840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الوکیل بالخصومة إن کان وکیلًا عن المدّعی کان وظیفته بثّ الدعویٰ علی المدّعیٰ علیه عند الحاکم</w:t>
            </w:r>
            <w:r>
              <w:rPr>
                <w:rStyle w:val="IndexLink"/>
                <w:rtl w:val="true"/>
              </w:rPr>
              <w:t>]</w:t>
              <w:tab/>
            </w:r>
            <w:r>
              <w:rPr>
                <w:rStyle w:val="IndexLink"/>
              </w:rPr>
              <w:t>597</w:t>
            </w:r>
          </w:hyperlink>
        </w:p>
        <w:p>
          <w:pPr>
            <w:pStyle w:val="Contents3"/>
            <w:tabs>
              <w:tab w:val="clear" w:pos="8459"/>
              <w:tab w:val="right" w:pos="9026" w:leader="dot"/>
            </w:tabs>
            <w:rPr/>
          </w:pPr>
          <w:hyperlink w:anchor="__RefHeading___Toc2569842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لو ادّعیٰ منکر الدین مثلًا فی أثناء مرافعة وکیله و مدافعته عنه الأداء أو الإبراء</w:t>
            </w:r>
            <w:r>
              <w:rPr>
                <w:rStyle w:val="IndexLink"/>
                <w:rtl w:val="true"/>
              </w:rPr>
              <w:t>]</w:t>
              <w:tab/>
            </w:r>
            <w:r>
              <w:rPr>
                <w:rStyle w:val="IndexLink"/>
              </w:rPr>
              <w:t>597</w:t>
            </w:r>
          </w:hyperlink>
        </w:p>
        <w:p>
          <w:pPr>
            <w:pStyle w:val="Contents3"/>
            <w:tabs>
              <w:tab w:val="clear" w:pos="8459"/>
              <w:tab w:val="right" w:pos="9026" w:leader="dot"/>
            </w:tabs>
            <w:rPr/>
          </w:pPr>
          <w:hyperlink w:anchor="__RefHeading___Toc2569844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لا یقبل إقرار الوکیل فی الخصومة علیٰ موکّله</w:t>
            </w:r>
            <w:r>
              <w:rPr>
                <w:rStyle w:val="IndexLink"/>
                <w:rtl w:val="true"/>
              </w:rPr>
              <w:t>]</w:t>
              <w:tab/>
            </w:r>
            <w:r>
              <w:rPr>
                <w:rStyle w:val="IndexLink"/>
              </w:rPr>
              <w:t>597</w:t>
            </w:r>
          </w:hyperlink>
        </w:p>
        <w:p>
          <w:pPr>
            <w:pStyle w:val="Contents3"/>
            <w:tabs>
              <w:tab w:val="clear" w:pos="8459"/>
              <w:tab w:val="right" w:pos="9026" w:leader="dot"/>
            </w:tabs>
            <w:rPr/>
          </w:pPr>
          <w:hyperlink w:anchor="__RefHeading___Toc2569846_3650668749">
            <w:r>
              <w:rPr>
                <w:webHidden/>
                <w:rStyle w:val="IndexLink"/>
                <w:rtl w:val="true"/>
              </w:rPr>
              <w:t>[ (</w:t>
            </w:r>
            <w:r>
              <w:rPr>
                <w:rStyle w:val="IndexLink"/>
                <w:rtl w:val="true"/>
              </w:rPr>
              <w:t xml:space="preserve">مسألة </w:t>
            </w:r>
            <w:r>
              <w:rPr>
                <w:rStyle w:val="IndexLink"/>
              </w:rPr>
              <w:t>28</w:t>
            </w:r>
            <w:r>
              <w:rPr>
                <w:rStyle w:val="IndexLink"/>
                <w:rtl w:val="true"/>
              </w:rPr>
              <w:t xml:space="preserve">): </w:t>
            </w:r>
            <w:r>
              <w:rPr>
                <w:rStyle w:val="IndexLink"/>
                <w:rtl w:val="true"/>
              </w:rPr>
              <w:t>الوکیل بالخصومة لا یملک الصلح عن الحقّ و لا الإبراء منه</w:t>
            </w:r>
            <w:r>
              <w:rPr>
                <w:rStyle w:val="IndexLink"/>
                <w:rtl w:val="true"/>
              </w:rPr>
              <w:t>]</w:t>
              <w:tab/>
            </w:r>
            <w:r>
              <w:rPr>
                <w:rStyle w:val="IndexLink"/>
              </w:rPr>
              <w:t>598</w:t>
            </w:r>
          </w:hyperlink>
        </w:p>
        <w:p>
          <w:pPr>
            <w:pStyle w:val="Contents3"/>
            <w:tabs>
              <w:tab w:val="clear" w:pos="8459"/>
              <w:tab w:val="right" w:pos="9026" w:leader="dot"/>
            </w:tabs>
            <w:rPr/>
          </w:pPr>
          <w:hyperlink w:anchor="__RefHeading___Toc2569848_3650668749">
            <w:r>
              <w:rPr>
                <w:webHidden/>
                <w:rStyle w:val="IndexLink"/>
                <w:rtl w:val="true"/>
              </w:rPr>
              <w:t>[ (</w:t>
            </w:r>
            <w:r>
              <w:rPr>
                <w:rStyle w:val="IndexLink"/>
                <w:rtl w:val="true"/>
              </w:rPr>
              <w:t xml:space="preserve">مسألة </w:t>
            </w:r>
            <w:r>
              <w:rPr>
                <w:rStyle w:val="IndexLink"/>
              </w:rPr>
              <w:t>29</w:t>
            </w:r>
            <w:r>
              <w:rPr>
                <w:rStyle w:val="IndexLink"/>
                <w:rtl w:val="true"/>
              </w:rPr>
              <w:t xml:space="preserve">): </w:t>
            </w:r>
            <w:r>
              <w:rPr>
                <w:rStyle w:val="IndexLink"/>
                <w:rtl w:val="true"/>
              </w:rPr>
              <w:t>یجوز أن یوکّل اثنین فصاعداً بالخصومة کسائر الأُمور</w:t>
            </w:r>
            <w:r>
              <w:rPr>
                <w:rStyle w:val="IndexLink"/>
                <w:rtl w:val="true"/>
              </w:rPr>
              <w:t>]</w:t>
              <w:tab/>
            </w:r>
            <w:r>
              <w:rPr>
                <w:rStyle w:val="IndexLink"/>
              </w:rPr>
              <w:t>598</w:t>
            </w:r>
          </w:hyperlink>
        </w:p>
        <w:p>
          <w:pPr>
            <w:pStyle w:val="Contents3"/>
            <w:tabs>
              <w:tab w:val="clear" w:pos="8459"/>
              <w:tab w:val="right" w:pos="9026" w:leader="dot"/>
            </w:tabs>
            <w:rPr/>
          </w:pPr>
          <w:hyperlink w:anchor="__RefHeading___Toc2569850_3650668749">
            <w:r>
              <w:rPr>
                <w:webHidden/>
                <w:rStyle w:val="IndexLink"/>
                <w:rtl w:val="true"/>
              </w:rPr>
              <w:t>[ (</w:t>
            </w:r>
            <w:r>
              <w:rPr>
                <w:rStyle w:val="IndexLink"/>
                <w:rtl w:val="true"/>
              </w:rPr>
              <w:t xml:space="preserve">مسألة </w:t>
            </w:r>
            <w:r>
              <w:rPr>
                <w:rStyle w:val="IndexLink"/>
              </w:rPr>
              <w:t>30</w:t>
            </w:r>
            <w:r>
              <w:rPr>
                <w:rStyle w:val="IndexLink"/>
                <w:rtl w:val="true"/>
              </w:rPr>
              <w:t xml:space="preserve">): </w:t>
            </w:r>
            <w:r>
              <w:rPr>
                <w:rStyle w:val="IndexLink"/>
                <w:rtl w:val="true"/>
              </w:rPr>
              <w:t>إذا وکّل الرجل وکیلًا بحضور الحاکم فی خصوماته و استیفاء حقوقه مطلقاً أو فی خصومة شخصیّة</w:t>
            </w:r>
            <w:r>
              <w:rPr>
                <w:rStyle w:val="IndexLink"/>
                <w:rtl w:val="true"/>
              </w:rPr>
              <w:t>]</w:t>
              <w:tab/>
            </w:r>
            <w:r>
              <w:rPr>
                <w:rStyle w:val="IndexLink"/>
              </w:rPr>
              <w:t>598</w:t>
            </w:r>
          </w:hyperlink>
        </w:p>
        <w:p>
          <w:pPr>
            <w:pStyle w:val="Contents3"/>
            <w:tabs>
              <w:tab w:val="clear" w:pos="8459"/>
              <w:tab w:val="right" w:pos="9026" w:leader="dot"/>
            </w:tabs>
            <w:rPr/>
          </w:pPr>
          <w:hyperlink w:anchor="__RefHeading___Toc2569852_3650668749">
            <w:r>
              <w:rPr>
                <w:webHidden/>
                <w:rStyle w:val="IndexLink"/>
                <w:rtl w:val="true"/>
              </w:rPr>
              <w:t>[ (</w:t>
            </w:r>
            <w:r>
              <w:rPr>
                <w:rStyle w:val="IndexLink"/>
                <w:rtl w:val="true"/>
              </w:rPr>
              <w:t xml:space="preserve">مسألة </w:t>
            </w:r>
            <w:r>
              <w:rPr>
                <w:rStyle w:val="IndexLink"/>
              </w:rPr>
              <w:t>31</w:t>
            </w:r>
            <w:r>
              <w:rPr>
                <w:rStyle w:val="IndexLink"/>
                <w:rtl w:val="true"/>
              </w:rPr>
              <w:t xml:space="preserve">): </w:t>
            </w:r>
            <w:r>
              <w:rPr>
                <w:rStyle w:val="IndexLink"/>
                <w:rtl w:val="true"/>
              </w:rPr>
              <w:t>إذا وکّله فی الدعویٰ و تثبیت حقّه علیٰ خصمه و ثبّته</w:t>
            </w:r>
            <w:r>
              <w:rPr>
                <w:rStyle w:val="IndexLink"/>
                <w:rtl w:val="true"/>
              </w:rPr>
              <w:t>]</w:t>
              <w:tab/>
            </w:r>
            <w:r>
              <w:rPr>
                <w:rStyle w:val="IndexLink"/>
              </w:rPr>
              <w:t>598</w:t>
            </w:r>
          </w:hyperlink>
        </w:p>
        <w:p>
          <w:pPr>
            <w:pStyle w:val="Contents3"/>
            <w:tabs>
              <w:tab w:val="clear" w:pos="8459"/>
              <w:tab w:val="right" w:pos="9026" w:leader="dot"/>
            </w:tabs>
            <w:rPr/>
          </w:pPr>
          <w:hyperlink w:anchor="__RefHeading___Toc2569854_3650668749">
            <w:r>
              <w:rPr>
                <w:webHidden/>
                <w:rStyle w:val="IndexLink"/>
                <w:rtl w:val="true"/>
              </w:rPr>
              <w:t>[ (</w:t>
            </w:r>
            <w:r>
              <w:rPr>
                <w:rStyle w:val="IndexLink"/>
                <w:rtl w:val="true"/>
              </w:rPr>
              <w:t xml:space="preserve">مسألة </w:t>
            </w:r>
            <w:r>
              <w:rPr>
                <w:rStyle w:val="IndexLink"/>
              </w:rPr>
              <w:t>32</w:t>
            </w:r>
            <w:r>
              <w:rPr>
                <w:rStyle w:val="IndexLink"/>
                <w:rtl w:val="true"/>
              </w:rPr>
              <w:t xml:space="preserve">): </w:t>
            </w:r>
            <w:r>
              <w:rPr>
                <w:rStyle w:val="IndexLink"/>
                <w:rtl w:val="true"/>
              </w:rPr>
              <w:t>لو وکّله فی استیفاء حقّ له علیٰ غیره، فجحده من علیه الحقّ</w:t>
            </w:r>
            <w:r>
              <w:rPr>
                <w:rStyle w:val="IndexLink"/>
                <w:rtl w:val="true"/>
              </w:rPr>
              <w:t>]</w:t>
              <w:tab/>
            </w:r>
            <w:r>
              <w:rPr>
                <w:rStyle w:val="IndexLink"/>
              </w:rPr>
              <w:t>598</w:t>
            </w:r>
          </w:hyperlink>
        </w:p>
        <w:p>
          <w:pPr>
            <w:pStyle w:val="Contents3"/>
            <w:tabs>
              <w:tab w:val="clear" w:pos="8459"/>
              <w:tab w:val="right" w:pos="9026" w:leader="dot"/>
            </w:tabs>
            <w:rPr/>
          </w:pPr>
          <w:hyperlink w:anchor="__RefHeading___Toc2569856_3650668749">
            <w:r>
              <w:rPr>
                <w:webHidden/>
                <w:rStyle w:val="IndexLink"/>
                <w:rtl w:val="true"/>
              </w:rPr>
              <w:t>[ (</w:t>
            </w:r>
            <w:r>
              <w:rPr>
                <w:rStyle w:val="IndexLink"/>
                <w:rtl w:val="true"/>
              </w:rPr>
              <w:t xml:space="preserve">مسألة </w:t>
            </w:r>
            <w:r>
              <w:rPr>
                <w:rStyle w:val="IndexLink"/>
              </w:rPr>
              <w:t>33</w:t>
            </w:r>
            <w:r>
              <w:rPr>
                <w:rStyle w:val="IndexLink"/>
                <w:rtl w:val="true"/>
              </w:rPr>
              <w:t xml:space="preserve">): </w:t>
            </w:r>
            <w:r>
              <w:rPr>
                <w:rStyle w:val="IndexLink"/>
                <w:rtl w:val="true"/>
              </w:rPr>
              <w:t>یجوز التوکیل بجعل و بغیر جعل، و إنّما یستحقّ الجعل فیما جعل له الجعل بتسلیم العمل الموکّل فیه</w:t>
            </w:r>
            <w:r>
              <w:rPr>
                <w:rStyle w:val="IndexLink"/>
                <w:rtl w:val="true"/>
              </w:rPr>
              <w:t>]</w:t>
              <w:tab/>
            </w:r>
            <w:r>
              <w:rPr>
                <w:rStyle w:val="IndexLink"/>
              </w:rPr>
              <w:t>598</w:t>
            </w:r>
          </w:hyperlink>
        </w:p>
        <w:p>
          <w:pPr>
            <w:pStyle w:val="Contents3"/>
            <w:tabs>
              <w:tab w:val="clear" w:pos="8459"/>
              <w:tab w:val="right" w:pos="9026" w:leader="dot"/>
            </w:tabs>
            <w:rPr/>
          </w:pPr>
          <w:hyperlink w:anchor="__RefHeading___Toc2569858_3650668749">
            <w:r>
              <w:rPr>
                <w:webHidden/>
                <w:rStyle w:val="IndexLink"/>
                <w:rtl w:val="true"/>
              </w:rPr>
              <w:t>[ (</w:t>
            </w:r>
            <w:r>
              <w:rPr>
                <w:rStyle w:val="IndexLink"/>
                <w:rtl w:val="true"/>
              </w:rPr>
              <w:t xml:space="preserve">مسألة </w:t>
            </w:r>
            <w:r>
              <w:rPr>
                <w:rStyle w:val="IndexLink"/>
              </w:rPr>
              <w:t>34</w:t>
            </w:r>
            <w:r>
              <w:rPr>
                <w:rStyle w:val="IndexLink"/>
                <w:rtl w:val="true"/>
              </w:rPr>
              <w:t xml:space="preserve">): </w:t>
            </w:r>
            <w:r>
              <w:rPr>
                <w:rStyle w:val="IndexLink"/>
                <w:rtl w:val="true"/>
              </w:rPr>
              <w:t>لو وکّله فی قبض دینه من شخص، فمات قبل الأداء لم یکن له مطالبة وارثه</w:t>
            </w:r>
            <w:r>
              <w:rPr>
                <w:rStyle w:val="IndexLink"/>
                <w:rtl w:val="true"/>
              </w:rPr>
              <w:t>]</w:t>
              <w:tab/>
            </w:r>
            <w:r>
              <w:rPr>
                <w:rStyle w:val="IndexLink"/>
              </w:rPr>
              <w:t>599</w:t>
            </w:r>
          </w:hyperlink>
        </w:p>
        <w:p>
          <w:pPr>
            <w:pStyle w:val="Contents3"/>
            <w:tabs>
              <w:tab w:val="clear" w:pos="8459"/>
              <w:tab w:val="right" w:pos="9026" w:leader="dot"/>
            </w:tabs>
            <w:rPr/>
          </w:pPr>
          <w:hyperlink w:anchor="__RefHeading___Toc2569860_3650668749">
            <w:r>
              <w:rPr>
                <w:webHidden/>
                <w:rStyle w:val="IndexLink"/>
                <w:rtl w:val="true"/>
              </w:rPr>
              <w:t>[ (</w:t>
            </w:r>
            <w:r>
              <w:rPr>
                <w:rStyle w:val="IndexLink"/>
                <w:rtl w:val="true"/>
              </w:rPr>
              <w:t xml:space="preserve">مسألة </w:t>
            </w:r>
            <w:r>
              <w:rPr>
                <w:rStyle w:val="IndexLink"/>
              </w:rPr>
              <w:t>35</w:t>
            </w:r>
            <w:r>
              <w:rPr>
                <w:rStyle w:val="IndexLink"/>
                <w:rtl w:val="true"/>
              </w:rPr>
              <w:t xml:space="preserve">): </w:t>
            </w:r>
            <w:r>
              <w:rPr>
                <w:rStyle w:val="IndexLink"/>
                <w:rtl w:val="true"/>
              </w:rPr>
              <w:t>لو وکّله فی استیفاء دینه من زید، فجاء إلیٰ زید للمطالبة فقال زید للوکیل</w:t>
            </w:r>
            <w:r>
              <w:rPr>
                <w:rStyle w:val="IndexLink"/>
                <w:rtl w:val="true"/>
              </w:rPr>
              <w:t>]</w:t>
              <w:tab/>
            </w:r>
            <w:r>
              <w:rPr>
                <w:rStyle w:val="IndexLink"/>
              </w:rPr>
              <w:t>599</w:t>
            </w:r>
          </w:hyperlink>
        </w:p>
        <w:p>
          <w:pPr>
            <w:pStyle w:val="Contents3"/>
            <w:tabs>
              <w:tab w:val="clear" w:pos="8459"/>
              <w:tab w:val="right" w:pos="9026" w:leader="dot"/>
            </w:tabs>
            <w:rPr/>
          </w:pPr>
          <w:hyperlink w:anchor="__RefHeading___Toc2569862_3650668749">
            <w:r>
              <w:rPr>
                <w:webHidden/>
                <w:rStyle w:val="IndexLink"/>
                <w:rtl w:val="true"/>
              </w:rPr>
              <w:t>[ (</w:t>
            </w:r>
            <w:r>
              <w:rPr>
                <w:rStyle w:val="IndexLink"/>
                <w:rtl w:val="true"/>
              </w:rPr>
              <w:t xml:space="preserve">مسألة </w:t>
            </w:r>
            <w:r>
              <w:rPr>
                <w:rStyle w:val="IndexLink"/>
              </w:rPr>
              <w:t>36</w:t>
            </w:r>
            <w:r>
              <w:rPr>
                <w:rStyle w:val="IndexLink"/>
                <w:rtl w:val="true"/>
              </w:rPr>
              <w:t xml:space="preserve">): </w:t>
            </w:r>
            <w:r>
              <w:rPr>
                <w:rStyle w:val="IndexLink"/>
                <w:rtl w:val="true"/>
              </w:rPr>
              <w:t>الوکیل أمین بالنسبة إلیٰ ما فی یده لا یضمنه إلّا مع التفریط أو التعدّی</w:t>
            </w:r>
            <w:r>
              <w:rPr>
                <w:rStyle w:val="IndexLink"/>
                <w:rtl w:val="true"/>
              </w:rPr>
              <w:t>]</w:t>
              <w:tab/>
            </w:r>
            <w:r>
              <w:rPr>
                <w:rStyle w:val="IndexLink"/>
              </w:rPr>
              <w:t>599</w:t>
            </w:r>
          </w:hyperlink>
        </w:p>
        <w:p>
          <w:pPr>
            <w:pStyle w:val="Contents3"/>
            <w:tabs>
              <w:tab w:val="clear" w:pos="8459"/>
              <w:tab w:val="right" w:pos="9026" w:leader="dot"/>
            </w:tabs>
            <w:rPr/>
          </w:pPr>
          <w:hyperlink w:anchor="__RefHeading___Toc2569864_3650668749">
            <w:r>
              <w:rPr>
                <w:webHidden/>
                <w:rStyle w:val="IndexLink"/>
                <w:rtl w:val="true"/>
              </w:rPr>
              <w:t>[ (</w:t>
            </w:r>
            <w:r>
              <w:rPr>
                <w:rStyle w:val="IndexLink"/>
                <w:rtl w:val="true"/>
              </w:rPr>
              <w:t xml:space="preserve">مسألة </w:t>
            </w:r>
            <w:r>
              <w:rPr>
                <w:rStyle w:val="IndexLink"/>
              </w:rPr>
              <w:t>37</w:t>
            </w:r>
            <w:r>
              <w:rPr>
                <w:rStyle w:val="IndexLink"/>
                <w:rtl w:val="true"/>
              </w:rPr>
              <w:t xml:space="preserve">): </w:t>
            </w:r>
            <w:r>
              <w:rPr>
                <w:rStyle w:val="IndexLink"/>
                <w:rtl w:val="true"/>
              </w:rPr>
              <w:t>لو وکّله فی إیداع مال، فأودعه بلا إشهاد فجحد الودعی لم یضمنه الوکیل</w:t>
            </w:r>
            <w:r>
              <w:rPr>
                <w:rStyle w:val="IndexLink"/>
                <w:rtl w:val="true"/>
              </w:rPr>
              <w:t>]</w:t>
              <w:tab/>
            </w:r>
            <w:r>
              <w:rPr>
                <w:rStyle w:val="IndexLink"/>
              </w:rPr>
              <w:t>599</w:t>
            </w:r>
          </w:hyperlink>
        </w:p>
        <w:p>
          <w:pPr>
            <w:pStyle w:val="Contents3"/>
            <w:tabs>
              <w:tab w:val="clear" w:pos="8459"/>
              <w:tab w:val="right" w:pos="9026" w:leader="dot"/>
            </w:tabs>
            <w:rPr/>
          </w:pPr>
          <w:hyperlink w:anchor="__RefHeading___Toc2569866_3650668749">
            <w:r>
              <w:rPr>
                <w:webHidden/>
                <w:rStyle w:val="IndexLink"/>
                <w:rtl w:val="true"/>
              </w:rPr>
              <w:t>[ (</w:t>
            </w:r>
            <w:r>
              <w:rPr>
                <w:rStyle w:val="IndexLink"/>
                <w:rtl w:val="true"/>
              </w:rPr>
              <w:t xml:space="preserve">مسألة </w:t>
            </w:r>
            <w:r>
              <w:rPr>
                <w:rStyle w:val="IndexLink"/>
              </w:rPr>
              <w:t>38</w:t>
            </w:r>
            <w:r>
              <w:rPr>
                <w:rStyle w:val="IndexLink"/>
                <w:rtl w:val="true"/>
              </w:rPr>
              <w:t xml:space="preserve">): </w:t>
            </w:r>
            <w:r>
              <w:rPr>
                <w:rStyle w:val="IndexLink"/>
                <w:rtl w:val="true"/>
              </w:rPr>
              <w:t>إذا وکّله فی بیع سلعة أو شراء متاع، فإن صرّح بکون البیع أو الشراء من غیره أو بما یعمّ نفسه فلا إشکال</w:t>
            </w:r>
            <w:r>
              <w:rPr>
                <w:rStyle w:val="IndexLink"/>
                <w:rtl w:val="true"/>
              </w:rPr>
              <w:t>]</w:t>
              <w:tab/>
            </w:r>
            <w:r>
              <w:rPr>
                <w:rStyle w:val="IndexLink"/>
              </w:rPr>
              <w:t>599</w:t>
            </w:r>
          </w:hyperlink>
        </w:p>
        <w:p>
          <w:pPr>
            <w:pStyle w:val="Contents3"/>
            <w:tabs>
              <w:tab w:val="clear" w:pos="8459"/>
              <w:tab w:val="right" w:pos="9026" w:leader="dot"/>
            </w:tabs>
            <w:rPr/>
          </w:pPr>
          <w:hyperlink w:anchor="__RefHeading___Toc2569868_3650668749">
            <w:r>
              <w:rPr>
                <w:webHidden/>
                <w:rStyle w:val="IndexLink"/>
                <w:rtl w:val="true"/>
              </w:rPr>
              <w:t>[ (</w:t>
            </w:r>
            <w:r>
              <w:rPr>
                <w:rStyle w:val="IndexLink"/>
                <w:rtl w:val="true"/>
              </w:rPr>
              <w:t xml:space="preserve">مسألة </w:t>
            </w:r>
            <w:r>
              <w:rPr>
                <w:rStyle w:val="IndexLink"/>
              </w:rPr>
              <w:t>39</w:t>
            </w:r>
            <w:r>
              <w:rPr>
                <w:rStyle w:val="IndexLink"/>
                <w:rtl w:val="true"/>
              </w:rPr>
              <w:t xml:space="preserve">): </w:t>
            </w:r>
            <w:r>
              <w:rPr>
                <w:rStyle w:val="IndexLink"/>
                <w:rtl w:val="true"/>
              </w:rPr>
              <w:t>إذا اختلفا فی الوکالة فالقول قول منکرها</w:t>
            </w:r>
            <w:r>
              <w:rPr>
                <w:rStyle w:val="IndexLink"/>
                <w:rtl w:val="true"/>
              </w:rPr>
              <w:t>]</w:t>
              <w:tab/>
            </w:r>
            <w:r>
              <w:rPr>
                <w:rStyle w:val="IndexLink"/>
              </w:rPr>
              <w:t>599</w:t>
            </w:r>
          </w:hyperlink>
        </w:p>
        <w:p>
          <w:pPr>
            <w:pStyle w:val="Contents2"/>
            <w:tabs>
              <w:tab w:val="clear" w:pos="8743"/>
              <w:tab w:val="right" w:pos="9026" w:leader="dot"/>
            </w:tabs>
            <w:rPr/>
          </w:pPr>
          <w:hyperlink w:anchor="__RefHeading___Toc2569870_3650668749">
            <w:r>
              <w:rPr>
                <w:webHidden/>
                <w:rStyle w:val="IndexLink"/>
                <w:rtl w:val="true"/>
              </w:rPr>
              <w:t>[</w:t>
            </w:r>
            <w:r>
              <w:rPr>
                <w:rStyle w:val="IndexLink"/>
                <w:rtl w:val="true"/>
              </w:rPr>
              <w:t>کتاب الإقرار</w:t>
            </w:r>
            <w:r>
              <w:rPr>
                <w:rStyle w:val="IndexLink"/>
                <w:rtl w:val="true"/>
              </w:rPr>
              <w:t>]</w:t>
              <w:tab/>
            </w:r>
            <w:r>
              <w:rPr>
                <w:rStyle w:val="IndexLink"/>
              </w:rPr>
              <w:t>601</w:t>
            </w:r>
          </w:hyperlink>
        </w:p>
        <w:p>
          <w:pPr>
            <w:pStyle w:val="Contents3"/>
            <w:tabs>
              <w:tab w:val="clear" w:pos="8459"/>
              <w:tab w:val="right" w:pos="9026" w:leader="dot"/>
            </w:tabs>
            <w:rPr/>
          </w:pPr>
          <w:hyperlink w:anchor="__RefHeading___Toc2569872_3650668749">
            <w:r>
              <w:rPr>
                <w:webHidden/>
                <w:rStyle w:val="IndexLink"/>
                <w:rtl w:val="true"/>
              </w:rPr>
              <w:t>اشارة</w:t>
            </w:r>
            <w:r>
              <w:rPr>
                <w:rStyle w:val="IndexLink"/>
                <w:rtl w:val="true"/>
              </w:rPr>
              <w:tab/>
            </w:r>
            <w:r>
              <w:rPr>
                <w:rStyle w:val="IndexLink"/>
              </w:rPr>
              <w:t>601</w:t>
            </w:r>
          </w:hyperlink>
        </w:p>
        <w:p>
          <w:pPr>
            <w:pStyle w:val="Contents3"/>
            <w:tabs>
              <w:tab w:val="clear" w:pos="8459"/>
              <w:tab w:val="right" w:pos="9026" w:leader="dot"/>
            </w:tabs>
            <w:rPr/>
          </w:pPr>
          <w:hyperlink w:anchor="__RefHeading___Toc256987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یعتبر فی صحّة الإقرار بل فی حقیقته و أخذ المقرّ بإقراره کونه دالّاً علی الإخبار المزبور</w:t>
            </w:r>
            <w:r>
              <w:rPr>
                <w:rStyle w:val="IndexLink"/>
                <w:rtl w:val="true"/>
              </w:rPr>
              <w:t>]</w:t>
              <w:tab/>
            </w:r>
            <w:r>
              <w:rPr>
                <w:rStyle w:val="IndexLink"/>
              </w:rPr>
              <w:t>601</w:t>
            </w:r>
          </w:hyperlink>
        </w:p>
        <w:p>
          <w:pPr>
            <w:pStyle w:val="Contents3"/>
            <w:tabs>
              <w:tab w:val="clear" w:pos="8459"/>
              <w:tab w:val="right" w:pos="9026" w:leader="dot"/>
            </w:tabs>
            <w:rPr/>
          </w:pPr>
          <w:hyperlink w:anchor="__RefHeading___Toc256987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یعتبر فی الإقرار صدوره من المقرّ ابتداءً و کونه مقصوداً بالإفادة</w:t>
            </w:r>
            <w:r>
              <w:rPr>
                <w:rStyle w:val="IndexLink"/>
                <w:rtl w:val="true"/>
              </w:rPr>
              <w:t>]</w:t>
              <w:tab/>
            </w:r>
            <w:r>
              <w:rPr>
                <w:rStyle w:val="IndexLink"/>
              </w:rPr>
              <w:t>601</w:t>
            </w:r>
          </w:hyperlink>
        </w:p>
        <w:p>
          <w:pPr>
            <w:pStyle w:val="Contents3"/>
            <w:tabs>
              <w:tab w:val="clear" w:pos="8459"/>
              <w:tab w:val="right" w:pos="9026" w:leader="dot"/>
            </w:tabs>
            <w:rPr/>
          </w:pPr>
          <w:hyperlink w:anchor="__RefHeading___Toc256987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یشترط فی المقرّ به أن یکون أمراً لو کان المقرّ صادقاً فی إخباره</w:t>
            </w:r>
            <w:r>
              <w:rPr>
                <w:rStyle w:val="IndexLink"/>
                <w:rtl w:val="true"/>
              </w:rPr>
              <w:t>]</w:t>
              <w:tab/>
            </w:r>
            <w:r>
              <w:rPr>
                <w:rStyle w:val="IndexLink"/>
              </w:rPr>
              <w:t>602</w:t>
            </w:r>
          </w:hyperlink>
        </w:p>
        <w:p>
          <w:pPr>
            <w:pStyle w:val="Contents3"/>
            <w:tabs>
              <w:tab w:val="clear" w:pos="8459"/>
              <w:tab w:val="right" w:pos="9026" w:leader="dot"/>
            </w:tabs>
            <w:rPr/>
          </w:pPr>
          <w:hyperlink w:anchor="__RefHeading___Toc256988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إنّما ینفذ الإقرار بالنسبة إلی المقرّ و یمضیٰ علیه فیما یکون ضرراً علیه</w:t>
            </w:r>
            <w:r>
              <w:rPr>
                <w:rStyle w:val="IndexLink"/>
                <w:rtl w:val="true"/>
              </w:rPr>
              <w:t>]</w:t>
              <w:tab/>
            </w:r>
            <w:r>
              <w:rPr>
                <w:rStyle w:val="IndexLink"/>
              </w:rPr>
              <w:t>602</w:t>
            </w:r>
          </w:hyperlink>
        </w:p>
        <w:p>
          <w:pPr>
            <w:pStyle w:val="Contents3"/>
            <w:tabs>
              <w:tab w:val="clear" w:pos="8459"/>
              <w:tab w:val="right" w:pos="9026" w:leader="dot"/>
            </w:tabs>
            <w:rPr/>
          </w:pPr>
          <w:hyperlink w:anchor="__RefHeading___Toc256988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یصحّ الإقرار بالمجهول و المبهم و یقبل من المقرّ و یلزم و یطالب بالتفسیر و البیان و رفع الإبهام</w:t>
            </w:r>
            <w:r>
              <w:rPr>
                <w:rStyle w:val="IndexLink"/>
                <w:rtl w:val="true"/>
              </w:rPr>
              <w:t>]</w:t>
              <w:tab/>
            </w:r>
            <w:r>
              <w:rPr>
                <w:rStyle w:val="IndexLink"/>
              </w:rPr>
              <w:t>602</w:t>
            </w:r>
          </w:hyperlink>
        </w:p>
        <w:p>
          <w:pPr>
            <w:pStyle w:val="Contents3"/>
            <w:tabs>
              <w:tab w:val="clear" w:pos="8459"/>
              <w:tab w:val="right" w:pos="9026" w:leader="dot"/>
            </w:tabs>
            <w:rPr/>
          </w:pPr>
          <w:hyperlink w:anchor="__RefHeading___Toc2569884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قال</w:t>
            </w:r>
            <w:r>
              <w:rPr>
                <w:rStyle w:val="IndexLink"/>
                <w:rtl w:val="true"/>
              </w:rPr>
              <w:t xml:space="preserve">: </w:t>
            </w:r>
            <w:r>
              <w:rPr>
                <w:rStyle w:val="IndexLink"/>
                <w:rtl w:val="true"/>
              </w:rPr>
              <w:t>لک علیّ أحد هذین، ممّا کان تحت یده، أو لک علیّ إمّا وزنة من حنطة أو شعیر</w:t>
            </w:r>
            <w:r>
              <w:rPr>
                <w:rStyle w:val="IndexLink"/>
                <w:rtl w:val="true"/>
              </w:rPr>
              <w:t>]</w:t>
              <w:tab/>
            </w:r>
            <w:r>
              <w:rPr>
                <w:rStyle w:val="IndexLink"/>
              </w:rPr>
              <w:t>602</w:t>
            </w:r>
          </w:hyperlink>
        </w:p>
        <w:p>
          <w:pPr>
            <w:pStyle w:val="Contents3"/>
            <w:tabs>
              <w:tab w:val="clear" w:pos="8459"/>
              <w:tab w:val="right" w:pos="9026" w:leader="dot"/>
            </w:tabs>
            <w:rPr/>
          </w:pPr>
          <w:hyperlink w:anchor="__RefHeading___Toc2569886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و کما لا یضرّ الإبهام و الجهالة فی المقرّ به، لا یضرّان فی المقرّ له</w:t>
            </w:r>
            <w:r>
              <w:rPr>
                <w:rStyle w:val="IndexLink"/>
                <w:rtl w:val="true"/>
              </w:rPr>
              <w:t>]</w:t>
              <w:tab/>
            </w:r>
            <w:r>
              <w:rPr>
                <w:rStyle w:val="IndexLink"/>
              </w:rPr>
              <w:t>603</w:t>
            </w:r>
          </w:hyperlink>
        </w:p>
        <w:p>
          <w:pPr>
            <w:pStyle w:val="Contents3"/>
            <w:tabs>
              <w:tab w:val="clear" w:pos="8459"/>
              <w:tab w:val="right" w:pos="9026" w:leader="dot"/>
            </w:tabs>
            <w:rPr/>
          </w:pPr>
          <w:hyperlink w:anchor="__RefHeading___Toc2569888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یعتبر فی المقرّ</w:t>
            </w:r>
            <w:r>
              <w:rPr>
                <w:rStyle w:val="IndexLink"/>
                <w:rtl w:val="true"/>
              </w:rPr>
              <w:t xml:space="preserve">: </w:t>
            </w:r>
            <w:r>
              <w:rPr>
                <w:rStyle w:val="IndexLink"/>
                <w:rtl w:val="true"/>
              </w:rPr>
              <w:t>البلوغ و العقل و القصد و الاختیار</w:t>
            </w:r>
            <w:r>
              <w:rPr>
                <w:rStyle w:val="IndexLink"/>
                <w:rtl w:val="true"/>
              </w:rPr>
              <w:t>]</w:t>
              <w:tab/>
            </w:r>
            <w:r>
              <w:rPr>
                <w:rStyle w:val="IndexLink"/>
              </w:rPr>
              <w:t>603</w:t>
            </w:r>
          </w:hyperlink>
        </w:p>
        <w:p>
          <w:pPr>
            <w:pStyle w:val="Contents3"/>
            <w:tabs>
              <w:tab w:val="clear" w:pos="8459"/>
              <w:tab w:val="right" w:pos="9026" w:leader="dot"/>
            </w:tabs>
            <w:rPr/>
          </w:pPr>
          <w:hyperlink w:anchor="__RefHeading___Toc2569890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السفیه إن أقرّ بمال فی ذمّته أو تحت یده لم یقبل</w:t>
            </w:r>
            <w:r>
              <w:rPr>
                <w:rStyle w:val="IndexLink"/>
                <w:rtl w:val="true"/>
              </w:rPr>
              <w:t>]</w:t>
              <w:tab/>
            </w:r>
            <w:r>
              <w:rPr>
                <w:rStyle w:val="IndexLink"/>
              </w:rPr>
              <w:t>603</w:t>
            </w:r>
          </w:hyperlink>
        </w:p>
        <w:p>
          <w:pPr>
            <w:pStyle w:val="Contents3"/>
            <w:tabs>
              <w:tab w:val="clear" w:pos="8459"/>
              <w:tab w:val="right" w:pos="9026" w:leader="dot"/>
            </w:tabs>
            <w:rPr/>
          </w:pPr>
          <w:hyperlink w:anchor="__RefHeading___Toc2569892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المملوک لا یقبل إقراره بما یوجب حدّا علیه</w:t>
            </w:r>
            <w:r>
              <w:rPr>
                <w:rStyle w:val="IndexLink"/>
                <w:rtl w:val="true"/>
              </w:rPr>
              <w:t>]</w:t>
              <w:tab/>
            </w:r>
            <w:r>
              <w:rPr>
                <w:rStyle w:val="IndexLink"/>
              </w:rPr>
              <w:t>603</w:t>
            </w:r>
          </w:hyperlink>
        </w:p>
        <w:p>
          <w:pPr>
            <w:pStyle w:val="Contents3"/>
            <w:tabs>
              <w:tab w:val="clear" w:pos="8459"/>
              <w:tab w:val="right" w:pos="9026" w:leader="dot"/>
            </w:tabs>
            <w:rPr/>
          </w:pPr>
          <w:hyperlink w:anchor="__RefHeading___Toc2569894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یقبل إقرار المفلّس بالدین سابقاً و لاحقاً و یشارک المقرّ له مع الغرماء</w:t>
            </w:r>
            <w:r>
              <w:rPr>
                <w:rStyle w:val="IndexLink"/>
                <w:rtl w:val="true"/>
              </w:rPr>
              <w:t>]</w:t>
              <w:tab/>
            </w:r>
            <w:r>
              <w:rPr>
                <w:rStyle w:val="IndexLink"/>
              </w:rPr>
              <w:t>604</w:t>
            </w:r>
          </w:hyperlink>
        </w:p>
        <w:p>
          <w:pPr>
            <w:pStyle w:val="Contents3"/>
            <w:tabs>
              <w:tab w:val="clear" w:pos="8459"/>
              <w:tab w:val="right" w:pos="9026" w:leader="dot"/>
            </w:tabs>
            <w:rPr/>
          </w:pPr>
          <w:hyperlink w:anchor="__RefHeading___Toc2569896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إذا ادّعی الصبیّ البلوغ، فإن ادّعاه بالإنبات اعتبر و لا یثبت بمجرّد دعواه</w:t>
            </w:r>
            <w:r>
              <w:rPr>
                <w:rStyle w:val="IndexLink"/>
                <w:rtl w:val="true"/>
              </w:rPr>
              <w:t>]</w:t>
              <w:tab/>
            </w:r>
            <w:r>
              <w:rPr>
                <w:rStyle w:val="IndexLink"/>
              </w:rPr>
              <w:t>604</w:t>
            </w:r>
          </w:hyperlink>
        </w:p>
        <w:p>
          <w:pPr>
            <w:pStyle w:val="Contents3"/>
            <w:tabs>
              <w:tab w:val="clear" w:pos="8459"/>
              <w:tab w:val="right" w:pos="9026" w:leader="dot"/>
            </w:tabs>
            <w:rPr/>
          </w:pPr>
          <w:hyperlink w:anchor="__RefHeading___Toc2569898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یعتبر فی المقرّ له أن یکون له أهلیّة الاستحقاق</w:t>
            </w:r>
            <w:r>
              <w:rPr>
                <w:rStyle w:val="IndexLink"/>
                <w:rtl w:val="true"/>
              </w:rPr>
              <w:t>]</w:t>
              <w:tab/>
            </w:r>
            <w:r>
              <w:rPr>
                <w:rStyle w:val="IndexLink"/>
              </w:rPr>
              <w:t>604</w:t>
            </w:r>
          </w:hyperlink>
        </w:p>
        <w:p>
          <w:pPr>
            <w:pStyle w:val="Contents3"/>
            <w:tabs>
              <w:tab w:val="clear" w:pos="8459"/>
              <w:tab w:val="right" w:pos="9026" w:leader="dot"/>
            </w:tabs>
            <w:rPr/>
          </w:pPr>
          <w:hyperlink w:anchor="__RefHeading___Toc2569900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إذا کذّب المقرّ له المقرّ فی إقراره، فإن کان المقرّ به دیناً أو حقّا لم یطالب به المقرّ</w:t>
            </w:r>
            <w:r>
              <w:rPr>
                <w:rStyle w:val="IndexLink"/>
                <w:rtl w:val="true"/>
              </w:rPr>
              <w:t>]</w:t>
              <w:tab/>
            </w:r>
            <w:r>
              <w:rPr>
                <w:rStyle w:val="IndexLink"/>
              </w:rPr>
              <w:t>604</w:t>
            </w:r>
          </w:hyperlink>
        </w:p>
        <w:p>
          <w:pPr>
            <w:pStyle w:val="Contents3"/>
            <w:tabs>
              <w:tab w:val="clear" w:pos="8459"/>
              <w:tab w:val="right" w:pos="9026" w:leader="dot"/>
            </w:tabs>
            <w:rPr/>
          </w:pPr>
          <w:hyperlink w:anchor="__RefHeading___Toc2569902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إذا أقرّ بشی‌ء ثمّ عقّبه بما یضادّه و ینافیه یؤخذ بإقراره</w:t>
            </w:r>
            <w:r>
              <w:rPr>
                <w:rStyle w:val="IndexLink"/>
                <w:rtl w:val="true"/>
              </w:rPr>
              <w:t>]</w:t>
              <w:tab/>
            </w:r>
            <w:r>
              <w:rPr>
                <w:rStyle w:val="IndexLink"/>
              </w:rPr>
              <w:t>604</w:t>
            </w:r>
          </w:hyperlink>
        </w:p>
        <w:p>
          <w:pPr>
            <w:pStyle w:val="Contents3"/>
            <w:tabs>
              <w:tab w:val="clear" w:pos="8459"/>
              <w:tab w:val="right" w:pos="9026" w:leader="dot"/>
            </w:tabs>
            <w:rPr/>
          </w:pPr>
          <w:hyperlink w:anchor="__RefHeading___Toc2569904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لیس الاستثناء من التعقیب بالمنافی</w:t>
            </w:r>
            <w:r>
              <w:rPr>
                <w:rStyle w:val="IndexLink"/>
                <w:rtl w:val="true"/>
              </w:rPr>
              <w:t>]</w:t>
              <w:tab/>
            </w:r>
            <w:r>
              <w:rPr>
                <w:rStyle w:val="IndexLink"/>
              </w:rPr>
              <w:t>605</w:t>
            </w:r>
          </w:hyperlink>
        </w:p>
        <w:p>
          <w:pPr>
            <w:pStyle w:val="Contents3"/>
            <w:tabs>
              <w:tab w:val="clear" w:pos="8459"/>
              <w:tab w:val="right" w:pos="9026" w:leader="dot"/>
            </w:tabs>
            <w:rPr/>
          </w:pPr>
          <w:hyperlink w:anchor="__RefHeading___Toc2569906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لو أقرّ بعین لشخص، ثمّ أقرّ بها لشخص آخر کما إذا قال</w:t>
            </w:r>
            <w:r>
              <w:rPr>
                <w:rStyle w:val="IndexLink"/>
                <w:rtl w:val="true"/>
              </w:rPr>
              <w:t xml:space="preserve">: </w:t>
            </w:r>
            <w:r>
              <w:rPr>
                <w:rStyle w:val="IndexLink"/>
                <w:rtl w:val="true"/>
              </w:rPr>
              <w:t>هذه الدار لزید</w:t>
            </w:r>
            <w:r>
              <w:rPr>
                <w:rStyle w:val="IndexLink"/>
                <w:rtl w:val="true"/>
              </w:rPr>
              <w:t>]</w:t>
              <w:tab/>
            </w:r>
            <w:r>
              <w:rPr>
                <w:rStyle w:val="IndexLink"/>
              </w:rPr>
              <w:t>605</w:t>
            </w:r>
          </w:hyperlink>
        </w:p>
        <w:p>
          <w:pPr>
            <w:pStyle w:val="Contents3"/>
            <w:tabs>
              <w:tab w:val="clear" w:pos="8459"/>
              <w:tab w:val="right" w:pos="9026" w:leader="dot"/>
            </w:tabs>
            <w:rPr/>
          </w:pPr>
          <w:hyperlink w:anchor="__RefHeading___Toc2569908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من الأقاریر النافذة الإقرار بالنسب کالبنوّة و الاخوّة و غیرهما</w:t>
            </w:r>
            <w:r>
              <w:rPr>
                <w:rStyle w:val="IndexLink"/>
                <w:rtl w:val="true"/>
              </w:rPr>
              <w:t>]</w:t>
              <w:tab/>
            </w:r>
            <w:r>
              <w:rPr>
                <w:rStyle w:val="IndexLink"/>
              </w:rPr>
              <w:t>605</w:t>
            </w:r>
          </w:hyperlink>
        </w:p>
        <w:p>
          <w:pPr>
            <w:pStyle w:val="Contents3"/>
            <w:tabs>
              <w:tab w:val="clear" w:pos="8459"/>
              <w:tab w:val="right" w:pos="9026" w:leader="dot"/>
            </w:tabs>
            <w:rPr/>
          </w:pPr>
          <w:hyperlink w:anchor="__RefHeading___Toc2569910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إذا أقرّ بولد صغیر، فثبت نسبه، ثمّ بلغ فأنکر لم یلتفت إلیٰ إنکاره</w:t>
            </w:r>
            <w:r>
              <w:rPr>
                <w:rStyle w:val="IndexLink"/>
                <w:rtl w:val="true"/>
              </w:rPr>
              <w:t>]</w:t>
              <w:tab/>
            </w:r>
            <w:r>
              <w:rPr>
                <w:rStyle w:val="IndexLink"/>
              </w:rPr>
              <w:t>606</w:t>
            </w:r>
          </w:hyperlink>
        </w:p>
        <w:p>
          <w:pPr>
            <w:pStyle w:val="Contents3"/>
            <w:tabs>
              <w:tab w:val="clear" w:pos="8459"/>
              <w:tab w:val="right" w:pos="9026" w:leader="dot"/>
            </w:tabs>
            <w:rPr/>
          </w:pPr>
          <w:hyperlink w:anchor="__RefHeading___Toc2569912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إذا أقرّ أحد ولدی المیّت بولد آخر له و أنکر الآخر لم یثبت نسب المقرّ به</w:t>
            </w:r>
            <w:r>
              <w:rPr>
                <w:rStyle w:val="IndexLink"/>
                <w:rtl w:val="true"/>
              </w:rPr>
              <w:t>]</w:t>
              <w:tab/>
            </w:r>
            <w:r>
              <w:rPr>
                <w:rStyle w:val="IndexLink"/>
              </w:rPr>
              <w:t>606</w:t>
            </w:r>
          </w:hyperlink>
        </w:p>
        <w:p>
          <w:pPr>
            <w:pStyle w:val="Contents3"/>
            <w:tabs>
              <w:tab w:val="clear" w:pos="8459"/>
              <w:tab w:val="right" w:pos="9026" w:leader="dot"/>
            </w:tabs>
            <w:rPr/>
          </w:pPr>
          <w:hyperlink w:anchor="__RefHeading___Toc2569914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لو کان للمیّت إخوة و زوجة فأقرّت بولد له، کان لها الثمن</w:t>
            </w:r>
            <w:r>
              <w:rPr>
                <w:rStyle w:val="IndexLink"/>
                <w:rtl w:val="true"/>
              </w:rPr>
              <w:t>]</w:t>
              <w:tab/>
            </w:r>
            <w:r>
              <w:rPr>
                <w:rStyle w:val="IndexLink"/>
              </w:rPr>
              <w:t>606</w:t>
            </w:r>
          </w:hyperlink>
        </w:p>
        <w:p>
          <w:pPr>
            <w:pStyle w:val="Contents3"/>
            <w:tabs>
              <w:tab w:val="clear" w:pos="8459"/>
              <w:tab w:val="right" w:pos="9026" w:leader="dot"/>
            </w:tabs>
            <w:rPr/>
          </w:pPr>
          <w:hyperlink w:anchor="__RefHeading___Toc2569916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إذا مات صبیّ مجهول النسب</w:t>
            </w:r>
            <w:r>
              <w:rPr>
                <w:rStyle w:val="IndexLink"/>
                <w:rtl w:val="true"/>
              </w:rPr>
              <w:t>]</w:t>
              <w:tab/>
            </w:r>
            <w:r>
              <w:rPr>
                <w:rStyle w:val="IndexLink"/>
              </w:rPr>
              <w:t>606</w:t>
            </w:r>
          </w:hyperlink>
        </w:p>
        <w:p>
          <w:pPr>
            <w:pStyle w:val="Contents3"/>
            <w:tabs>
              <w:tab w:val="clear" w:pos="8459"/>
              <w:tab w:val="right" w:pos="9026" w:leader="dot"/>
            </w:tabs>
            <w:rPr/>
          </w:pPr>
          <w:hyperlink w:anchor="__RefHeading___Toc2569918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ینفذ إقرار المریض کالصحیح</w:t>
            </w:r>
            <w:r>
              <w:rPr>
                <w:rStyle w:val="IndexLink"/>
                <w:rtl w:val="true"/>
              </w:rPr>
              <w:t>]</w:t>
              <w:tab/>
            </w:r>
            <w:r>
              <w:rPr>
                <w:rStyle w:val="IndexLink"/>
              </w:rPr>
              <w:t>606</w:t>
            </w:r>
          </w:hyperlink>
        </w:p>
        <w:p>
          <w:pPr>
            <w:pStyle w:val="Contents3"/>
            <w:tabs>
              <w:tab w:val="clear" w:pos="8459"/>
              <w:tab w:val="right" w:pos="9026" w:leader="dot"/>
            </w:tabs>
            <w:rPr/>
          </w:pPr>
          <w:hyperlink w:anchor="__RefHeading___Toc2569920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لو أقرّ الورثة بأسرهم بدین علی المیّت</w:t>
            </w:r>
            <w:r>
              <w:rPr>
                <w:rStyle w:val="IndexLink"/>
                <w:rtl w:val="true"/>
              </w:rPr>
              <w:t>]</w:t>
              <w:tab/>
            </w:r>
            <w:r>
              <w:rPr>
                <w:rStyle w:val="IndexLink"/>
              </w:rPr>
              <w:t>606</w:t>
            </w:r>
          </w:hyperlink>
        </w:p>
        <w:p>
          <w:pPr>
            <w:pStyle w:val="Contents2"/>
            <w:tabs>
              <w:tab w:val="clear" w:pos="8743"/>
              <w:tab w:val="right" w:pos="9026" w:leader="dot"/>
            </w:tabs>
            <w:rPr/>
          </w:pPr>
          <w:hyperlink w:anchor="__RefHeading___Toc2569922_3650668749">
            <w:r>
              <w:rPr>
                <w:webHidden/>
                <w:rStyle w:val="IndexLink"/>
                <w:rtl w:val="true"/>
              </w:rPr>
              <w:t>[</w:t>
            </w:r>
            <w:r>
              <w:rPr>
                <w:rStyle w:val="IndexLink"/>
                <w:rtl w:val="true"/>
              </w:rPr>
              <w:t>کتاب الهبة</w:t>
            </w:r>
            <w:r>
              <w:rPr>
                <w:rStyle w:val="IndexLink"/>
                <w:rtl w:val="true"/>
              </w:rPr>
              <w:t>]</w:t>
              <w:tab/>
            </w:r>
            <w:r>
              <w:rPr>
                <w:rStyle w:val="IndexLink"/>
              </w:rPr>
              <w:t>607</w:t>
            </w:r>
          </w:hyperlink>
        </w:p>
        <w:p>
          <w:pPr>
            <w:pStyle w:val="Contents3"/>
            <w:tabs>
              <w:tab w:val="clear" w:pos="8459"/>
              <w:tab w:val="right" w:pos="9026" w:leader="dot"/>
            </w:tabs>
            <w:rPr/>
          </w:pPr>
          <w:hyperlink w:anchor="__RefHeading___Toc2569924_3650668749">
            <w:r>
              <w:rPr>
                <w:webHidden/>
                <w:rStyle w:val="IndexLink"/>
                <w:rtl w:val="true"/>
              </w:rPr>
              <w:t>اشارة</w:t>
            </w:r>
            <w:r>
              <w:rPr>
                <w:rStyle w:val="IndexLink"/>
                <w:rtl w:val="true"/>
              </w:rPr>
              <w:tab/>
            </w:r>
            <w:r>
              <w:rPr>
                <w:rStyle w:val="IndexLink"/>
              </w:rPr>
              <w:t>607</w:t>
            </w:r>
          </w:hyperlink>
        </w:p>
        <w:p>
          <w:pPr>
            <w:pStyle w:val="Contents3"/>
            <w:tabs>
              <w:tab w:val="clear" w:pos="8459"/>
              <w:tab w:val="right" w:pos="9026" w:leader="dot"/>
            </w:tabs>
            <w:rPr/>
          </w:pPr>
          <w:hyperlink w:anchor="__RefHeading___Toc256992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یعتبر فی کلّ من الواهب و الموهوب له</w:t>
            </w:r>
            <w:r>
              <w:rPr>
                <w:rStyle w:val="IndexLink"/>
                <w:rtl w:val="true"/>
              </w:rPr>
              <w:t xml:space="preserve">: </w:t>
            </w:r>
            <w:r>
              <w:rPr>
                <w:rStyle w:val="IndexLink"/>
                <w:rtl w:val="true"/>
              </w:rPr>
              <w:t>البلوغ و العقل و القصد و الاختیار</w:t>
            </w:r>
            <w:r>
              <w:rPr>
                <w:rStyle w:val="IndexLink"/>
                <w:rtl w:val="true"/>
              </w:rPr>
              <w:t>]</w:t>
              <w:tab/>
            </w:r>
            <w:r>
              <w:rPr>
                <w:rStyle w:val="IndexLink"/>
              </w:rPr>
              <w:t>607</w:t>
            </w:r>
          </w:hyperlink>
        </w:p>
        <w:p>
          <w:pPr>
            <w:pStyle w:val="Contents3"/>
            <w:tabs>
              <w:tab w:val="clear" w:pos="8459"/>
              <w:tab w:val="right" w:pos="9026" w:leader="dot"/>
            </w:tabs>
            <w:rPr/>
          </w:pPr>
          <w:hyperlink w:anchor="__RefHeading___Toc256992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یشترط فی الموهوب أن یکون عیناً</w:t>
            </w:r>
            <w:r>
              <w:rPr>
                <w:rStyle w:val="IndexLink"/>
                <w:rtl w:val="true"/>
              </w:rPr>
              <w:t>]</w:t>
              <w:tab/>
            </w:r>
            <w:r>
              <w:rPr>
                <w:rStyle w:val="IndexLink"/>
              </w:rPr>
              <w:t>607</w:t>
            </w:r>
          </w:hyperlink>
        </w:p>
        <w:p>
          <w:pPr>
            <w:pStyle w:val="Contents3"/>
            <w:tabs>
              <w:tab w:val="clear" w:pos="8459"/>
              <w:tab w:val="right" w:pos="9026" w:leader="dot"/>
            </w:tabs>
            <w:rPr/>
          </w:pPr>
          <w:hyperlink w:anchor="__RefHeading___Toc256993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یشترط فی صحّة الهبة قبض الموهوب له</w:t>
            </w:r>
            <w:r>
              <w:rPr>
                <w:rStyle w:val="IndexLink"/>
                <w:rtl w:val="true"/>
              </w:rPr>
              <w:t>]</w:t>
              <w:tab/>
            </w:r>
            <w:r>
              <w:rPr>
                <w:rStyle w:val="IndexLink"/>
              </w:rPr>
              <w:t>608</w:t>
            </w:r>
          </w:hyperlink>
        </w:p>
        <w:p>
          <w:pPr>
            <w:pStyle w:val="Contents3"/>
            <w:tabs>
              <w:tab w:val="clear" w:pos="8459"/>
              <w:tab w:val="right" w:pos="9026" w:leader="dot"/>
            </w:tabs>
            <w:rPr/>
          </w:pPr>
          <w:hyperlink w:anchor="__RefHeading___Toc256993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القبض فی الهبة کالقبض فی البیع</w:t>
            </w:r>
            <w:r>
              <w:rPr>
                <w:rStyle w:val="IndexLink"/>
                <w:rtl w:val="true"/>
              </w:rPr>
              <w:t>]</w:t>
              <w:tab/>
            </w:r>
            <w:r>
              <w:rPr>
                <w:rStyle w:val="IndexLink"/>
              </w:rPr>
              <w:t>608</w:t>
            </w:r>
          </w:hyperlink>
        </w:p>
        <w:p>
          <w:pPr>
            <w:pStyle w:val="Contents3"/>
            <w:tabs>
              <w:tab w:val="clear" w:pos="8459"/>
              <w:tab w:val="right" w:pos="9026" w:leader="dot"/>
            </w:tabs>
            <w:rPr/>
          </w:pPr>
          <w:hyperlink w:anchor="__RefHeading___Toc256993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یجوز هبة المشاع</w:t>
            </w:r>
            <w:r>
              <w:rPr>
                <w:rStyle w:val="IndexLink"/>
                <w:rtl w:val="true"/>
              </w:rPr>
              <w:t>]</w:t>
              <w:tab/>
            </w:r>
            <w:r>
              <w:rPr>
                <w:rStyle w:val="IndexLink"/>
              </w:rPr>
              <w:t>608</w:t>
            </w:r>
          </w:hyperlink>
        </w:p>
        <w:p>
          <w:pPr>
            <w:pStyle w:val="Contents3"/>
            <w:tabs>
              <w:tab w:val="clear" w:pos="8459"/>
              <w:tab w:val="right" w:pos="9026" w:leader="dot"/>
            </w:tabs>
            <w:rPr/>
          </w:pPr>
          <w:hyperlink w:anchor="__RefHeading___Toc2569936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لا یعتبر الفوریّة فی القبض و لا کونه فی مجلس العقد</w:t>
            </w:r>
            <w:r>
              <w:rPr>
                <w:rStyle w:val="IndexLink"/>
                <w:rtl w:val="true"/>
              </w:rPr>
              <w:t>]</w:t>
              <w:tab/>
            </w:r>
            <w:r>
              <w:rPr>
                <w:rStyle w:val="IndexLink"/>
              </w:rPr>
              <w:t>608</w:t>
            </w:r>
          </w:hyperlink>
        </w:p>
        <w:p>
          <w:pPr>
            <w:pStyle w:val="Contents3"/>
            <w:tabs>
              <w:tab w:val="clear" w:pos="8459"/>
              <w:tab w:val="right" w:pos="9026" w:leader="dot"/>
            </w:tabs>
            <w:rPr/>
          </w:pPr>
          <w:hyperlink w:anchor="__RefHeading___Toc2569938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مات الواهب بعد العقد و قبل القبض بطل العقد و انفسخ و انتقل الموهوب إلیٰ ورثته</w:t>
            </w:r>
            <w:r>
              <w:rPr>
                <w:rStyle w:val="IndexLink"/>
                <w:rtl w:val="true"/>
              </w:rPr>
              <w:t>]</w:t>
              <w:tab/>
            </w:r>
            <w:r>
              <w:rPr>
                <w:rStyle w:val="IndexLink"/>
              </w:rPr>
              <w:t>608</w:t>
            </w:r>
          </w:hyperlink>
        </w:p>
        <w:p>
          <w:pPr>
            <w:pStyle w:val="Contents3"/>
            <w:tabs>
              <w:tab w:val="clear" w:pos="8459"/>
              <w:tab w:val="right" w:pos="9026" w:leader="dot"/>
            </w:tabs>
            <w:rPr/>
          </w:pPr>
          <w:hyperlink w:anchor="__RefHeading___Toc2569940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تمّت الهبة بالقبض</w:t>
            </w:r>
            <w:r>
              <w:rPr>
                <w:rStyle w:val="IndexLink"/>
                <w:rtl w:val="true"/>
              </w:rPr>
              <w:t>]</w:t>
              <w:tab/>
            </w:r>
            <w:r>
              <w:rPr>
                <w:rStyle w:val="IndexLink"/>
              </w:rPr>
              <w:t>608</w:t>
            </w:r>
          </w:hyperlink>
        </w:p>
        <w:p>
          <w:pPr>
            <w:pStyle w:val="Contents3"/>
            <w:tabs>
              <w:tab w:val="clear" w:pos="8459"/>
              <w:tab w:val="right" w:pos="9026" w:leader="dot"/>
            </w:tabs>
            <w:rPr/>
          </w:pPr>
          <w:hyperlink w:anchor="__RefHeading___Toc2569942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یلحق بالتلف التصرّف الناقل کالبیع و الهبة أو المغیّر للعین</w:t>
            </w:r>
            <w:r>
              <w:rPr>
                <w:rStyle w:val="IndexLink"/>
                <w:rtl w:val="true"/>
              </w:rPr>
              <w:t>]</w:t>
              <w:tab/>
            </w:r>
            <w:r>
              <w:rPr>
                <w:rStyle w:val="IndexLink"/>
              </w:rPr>
              <w:t>609</w:t>
            </w:r>
          </w:hyperlink>
        </w:p>
        <w:p>
          <w:pPr>
            <w:pStyle w:val="Contents3"/>
            <w:tabs>
              <w:tab w:val="clear" w:pos="8459"/>
              <w:tab w:val="right" w:pos="9026" w:leader="dot"/>
            </w:tabs>
            <w:rPr/>
          </w:pPr>
          <w:hyperlink w:anchor="__RefHeading___Toc2569944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فیما جاز للواهب الرجوع فی هبته لا فرق بین الکلّ و البعض</w:t>
            </w:r>
            <w:r>
              <w:rPr>
                <w:rStyle w:val="IndexLink"/>
                <w:rtl w:val="true"/>
              </w:rPr>
              <w:t>]</w:t>
              <w:tab/>
            </w:r>
            <w:r>
              <w:rPr>
                <w:rStyle w:val="IndexLink"/>
              </w:rPr>
              <w:t>609</w:t>
            </w:r>
          </w:hyperlink>
        </w:p>
        <w:p>
          <w:pPr>
            <w:pStyle w:val="Contents3"/>
            <w:tabs>
              <w:tab w:val="clear" w:pos="8459"/>
              <w:tab w:val="right" w:pos="9026" w:leader="dot"/>
            </w:tabs>
            <w:rPr/>
          </w:pPr>
          <w:hyperlink w:anchor="__RefHeading___Toc2569946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الهبة</w:t>
            </w:r>
            <w:r>
              <w:rPr>
                <w:rStyle w:val="IndexLink"/>
                <w:rtl w:val="true"/>
              </w:rPr>
              <w:t xml:space="preserve">: </w:t>
            </w:r>
            <w:r>
              <w:rPr>
                <w:rStyle w:val="IndexLink"/>
                <w:rtl w:val="true"/>
              </w:rPr>
              <w:t>إمّا معوّضة أو غیر معوّضة</w:t>
            </w:r>
            <w:r>
              <w:rPr>
                <w:rStyle w:val="IndexLink"/>
                <w:rtl w:val="true"/>
              </w:rPr>
              <w:t>]</w:t>
              <w:tab/>
            </w:r>
            <w:r>
              <w:rPr>
                <w:rStyle w:val="IndexLink"/>
              </w:rPr>
              <w:t>609</w:t>
            </w:r>
          </w:hyperlink>
        </w:p>
        <w:p>
          <w:pPr>
            <w:pStyle w:val="Contents3"/>
            <w:tabs>
              <w:tab w:val="clear" w:pos="8459"/>
              <w:tab w:val="right" w:pos="9026" w:leader="dot"/>
            </w:tabs>
            <w:rPr/>
          </w:pPr>
          <w:hyperlink w:anchor="__RefHeading___Toc2569948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إذا وهب و أطلق لم یلزم علی المتّهب إعطاء الثواب و العوض</w:t>
            </w:r>
            <w:r>
              <w:rPr>
                <w:rStyle w:val="IndexLink"/>
                <w:rtl w:val="true"/>
              </w:rPr>
              <w:t>]</w:t>
              <w:tab/>
            </w:r>
            <w:r>
              <w:rPr>
                <w:rStyle w:val="IndexLink"/>
              </w:rPr>
              <w:t>609</w:t>
            </w:r>
          </w:hyperlink>
        </w:p>
        <w:p>
          <w:pPr>
            <w:pStyle w:val="Contents3"/>
            <w:tabs>
              <w:tab w:val="clear" w:pos="8459"/>
              <w:tab w:val="right" w:pos="9026" w:leader="dot"/>
            </w:tabs>
            <w:rPr/>
          </w:pPr>
          <w:hyperlink w:anchor="__RefHeading___Toc2569950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إذا شرط الواهب فی هبته علی المتّهب إعطاء العوض</w:t>
            </w:r>
            <w:r>
              <w:rPr>
                <w:rStyle w:val="IndexLink"/>
                <w:rtl w:val="true"/>
              </w:rPr>
              <w:t>]</w:t>
              <w:tab/>
            </w:r>
            <w:r>
              <w:rPr>
                <w:rStyle w:val="IndexLink"/>
              </w:rPr>
              <w:t>609</w:t>
            </w:r>
          </w:hyperlink>
        </w:p>
        <w:p>
          <w:pPr>
            <w:pStyle w:val="Contents3"/>
            <w:tabs>
              <w:tab w:val="clear" w:pos="8459"/>
              <w:tab w:val="right" w:pos="9026" w:leader="dot"/>
            </w:tabs>
            <w:rPr/>
          </w:pPr>
          <w:hyperlink w:anchor="__RefHeading___Toc2569952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لو عیّن العوض فی الهبة المشروط فیها العوض تعیّن</w:t>
            </w:r>
            <w:r>
              <w:rPr>
                <w:rStyle w:val="IndexLink"/>
                <w:rtl w:val="true"/>
              </w:rPr>
              <w:t>]</w:t>
              <w:tab/>
            </w:r>
            <w:r>
              <w:rPr>
                <w:rStyle w:val="IndexLink"/>
              </w:rPr>
              <w:t>610</w:t>
            </w:r>
          </w:hyperlink>
        </w:p>
        <w:p>
          <w:pPr>
            <w:pStyle w:val="Contents3"/>
            <w:tabs>
              <w:tab w:val="clear" w:pos="8459"/>
              <w:tab w:val="right" w:pos="9026" w:leader="dot"/>
            </w:tabs>
            <w:rPr/>
          </w:pPr>
          <w:hyperlink w:anchor="__RefHeading___Toc2569954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الظاهر أنّه لا یعتبر فی الهبة المشروط فیها العوض</w:t>
            </w:r>
            <w:r>
              <w:rPr>
                <w:rStyle w:val="IndexLink"/>
                <w:rtl w:val="true"/>
              </w:rPr>
              <w:t>]</w:t>
              <w:tab/>
            </w:r>
            <w:r>
              <w:rPr>
                <w:rStyle w:val="IndexLink"/>
              </w:rPr>
              <w:t>610</w:t>
            </w:r>
          </w:hyperlink>
        </w:p>
        <w:p>
          <w:pPr>
            <w:pStyle w:val="Contents3"/>
            <w:tabs>
              <w:tab w:val="clear" w:pos="8459"/>
              <w:tab w:val="right" w:pos="9026" w:leader="dot"/>
            </w:tabs>
            <w:rPr/>
          </w:pPr>
          <w:hyperlink w:anchor="__RefHeading___Toc2569956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لو رجع الواهب فی هبته فیما جاز له الرجوع و کان فی الموهوب نماء منفصل حدث بعد العقد و القبض</w:t>
            </w:r>
            <w:r>
              <w:rPr>
                <w:rStyle w:val="IndexLink"/>
                <w:rtl w:val="true"/>
              </w:rPr>
              <w:t>]</w:t>
              <w:tab/>
            </w:r>
            <w:r>
              <w:rPr>
                <w:rStyle w:val="IndexLink"/>
              </w:rPr>
              <w:t>610</w:t>
            </w:r>
          </w:hyperlink>
        </w:p>
        <w:p>
          <w:pPr>
            <w:pStyle w:val="Contents3"/>
            <w:tabs>
              <w:tab w:val="clear" w:pos="8459"/>
              <w:tab w:val="right" w:pos="9026" w:leader="dot"/>
            </w:tabs>
            <w:rPr/>
          </w:pPr>
          <w:hyperlink w:anchor="__RefHeading___Toc2569958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لو مات الواهب بعد إقباض الموهوب، لزمت الهبة و إن کانت لأجنبیّ</w:t>
            </w:r>
            <w:r>
              <w:rPr>
                <w:rStyle w:val="IndexLink"/>
                <w:rtl w:val="true"/>
              </w:rPr>
              <w:t>]</w:t>
              <w:tab/>
            </w:r>
            <w:r>
              <w:rPr>
                <w:rStyle w:val="IndexLink"/>
              </w:rPr>
              <w:t>610</w:t>
            </w:r>
          </w:hyperlink>
        </w:p>
        <w:p>
          <w:pPr>
            <w:pStyle w:val="Contents3"/>
            <w:tabs>
              <w:tab w:val="clear" w:pos="8459"/>
              <w:tab w:val="right" w:pos="9026" w:leader="dot"/>
            </w:tabs>
            <w:rPr/>
          </w:pPr>
          <w:hyperlink w:anchor="__RefHeading___Toc2569960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لو باع الواهب العین الموهوبة، فإن کانت الهبة لازمة بأن کانت لذی رحم أو معوّضة</w:t>
            </w:r>
            <w:r>
              <w:rPr>
                <w:rStyle w:val="IndexLink"/>
                <w:rtl w:val="true"/>
              </w:rPr>
              <w:t>]</w:t>
              <w:tab/>
            </w:r>
            <w:r>
              <w:rPr>
                <w:rStyle w:val="IndexLink"/>
              </w:rPr>
              <w:t>610</w:t>
            </w:r>
          </w:hyperlink>
        </w:p>
        <w:p>
          <w:pPr>
            <w:pStyle w:val="Contents3"/>
            <w:tabs>
              <w:tab w:val="clear" w:pos="8459"/>
              <w:tab w:val="right" w:pos="9026" w:leader="dot"/>
            </w:tabs>
            <w:rPr/>
          </w:pPr>
          <w:hyperlink w:anchor="__RefHeading___Toc2569962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الرجوع</w:t>
            </w:r>
            <w:r>
              <w:rPr>
                <w:rStyle w:val="IndexLink"/>
                <w:rtl w:val="true"/>
              </w:rPr>
              <w:t xml:space="preserve">: </w:t>
            </w:r>
            <w:r>
              <w:rPr>
                <w:rStyle w:val="IndexLink"/>
                <w:rtl w:val="true"/>
              </w:rPr>
              <w:t>إمّا بالقول کأن یقول</w:t>
            </w:r>
            <w:r>
              <w:rPr>
                <w:rStyle w:val="IndexLink"/>
                <w:rtl w:val="true"/>
              </w:rPr>
              <w:t xml:space="preserve">: </w:t>
            </w:r>
            <w:r>
              <w:rPr>
                <w:rStyle w:val="IndexLink"/>
                <w:rtl w:val="true"/>
              </w:rPr>
              <w:t>رجعت، و ما یفید معناه و إمّا بالفعل کاسترداد العین</w:t>
            </w:r>
            <w:r>
              <w:rPr>
                <w:rStyle w:val="IndexLink"/>
                <w:rtl w:val="true"/>
              </w:rPr>
              <w:t>]</w:t>
              <w:tab/>
            </w:r>
            <w:r>
              <w:rPr>
                <w:rStyle w:val="IndexLink"/>
              </w:rPr>
              <w:t>611</w:t>
            </w:r>
          </w:hyperlink>
        </w:p>
        <w:p>
          <w:pPr>
            <w:pStyle w:val="Contents3"/>
            <w:tabs>
              <w:tab w:val="clear" w:pos="8459"/>
              <w:tab w:val="right" w:pos="9026" w:leader="dot"/>
            </w:tabs>
            <w:rPr/>
          </w:pPr>
          <w:hyperlink w:anchor="__RefHeading___Toc2569964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لا یشترط فی الرجوع اطّلاع المتّهب</w:t>
            </w:r>
            <w:r>
              <w:rPr>
                <w:rStyle w:val="IndexLink"/>
                <w:rtl w:val="true"/>
              </w:rPr>
              <w:t>]</w:t>
              <w:tab/>
            </w:r>
            <w:r>
              <w:rPr>
                <w:rStyle w:val="IndexLink"/>
              </w:rPr>
              <w:t>611</w:t>
            </w:r>
          </w:hyperlink>
        </w:p>
        <w:p>
          <w:pPr>
            <w:pStyle w:val="Contents3"/>
            <w:tabs>
              <w:tab w:val="clear" w:pos="8459"/>
              <w:tab w:val="right" w:pos="9026" w:leader="dot"/>
            </w:tabs>
            <w:rPr/>
          </w:pPr>
          <w:hyperlink w:anchor="__RefHeading___Toc2569966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یستحبّ العطیّة للأرحام الذین أمر اللّٰه تعالیٰ أکیداً بصلتهم</w:t>
            </w:r>
            <w:r>
              <w:rPr>
                <w:rStyle w:val="IndexLink"/>
                <w:rtl w:val="true"/>
              </w:rPr>
              <w:t>]</w:t>
              <w:tab/>
            </w:r>
            <w:r>
              <w:rPr>
                <w:rStyle w:val="IndexLink"/>
              </w:rPr>
              <w:t>611</w:t>
            </w:r>
          </w:hyperlink>
        </w:p>
        <w:p>
          <w:pPr>
            <w:pStyle w:val="Contents3"/>
            <w:tabs>
              <w:tab w:val="clear" w:pos="8459"/>
              <w:tab w:val="right" w:pos="9026" w:leader="dot"/>
            </w:tabs>
            <w:rPr/>
          </w:pPr>
          <w:hyperlink w:anchor="__RefHeading___Toc2569968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یجوز تفضیل بعض الولد علیٰ بعض فی العطیّة علیٰ کراهیة</w:t>
            </w:r>
            <w:r>
              <w:rPr>
                <w:rStyle w:val="IndexLink"/>
                <w:rtl w:val="true"/>
              </w:rPr>
              <w:t>]</w:t>
              <w:tab/>
            </w:r>
            <w:r>
              <w:rPr>
                <w:rStyle w:val="IndexLink"/>
              </w:rPr>
              <w:t>611</w:t>
            </w:r>
          </w:hyperlink>
        </w:p>
        <w:p>
          <w:pPr>
            <w:pStyle w:val="Contents2"/>
            <w:tabs>
              <w:tab w:val="clear" w:pos="8743"/>
              <w:tab w:val="right" w:pos="9026" w:leader="dot"/>
            </w:tabs>
            <w:rPr/>
          </w:pPr>
          <w:hyperlink w:anchor="__RefHeading___Toc2569970_3650668749">
            <w:r>
              <w:rPr>
                <w:webHidden/>
                <w:rStyle w:val="IndexLink"/>
                <w:rtl w:val="true"/>
              </w:rPr>
              <w:t>[</w:t>
            </w:r>
            <w:r>
              <w:rPr>
                <w:rStyle w:val="IndexLink"/>
                <w:rtl w:val="true"/>
              </w:rPr>
              <w:t>کتاب الوقف و أخواته</w:t>
            </w:r>
            <w:r>
              <w:rPr>
                <w:rStyle w:val="IndexLink"/>
                <w:rtl w:val="true"/>
              </w:rPr>
              <w:t>]</w:t>
              <w:tab/>
            </w:r>
            <w:r>
              <w:rPr>
                <w:rStyle w:val="IndexLink"/>
              </w:rPr>
              <w:t>612</w:t>
            </w:r>
          </w:hyperlink>
        </w:p>
        <w:p>
          <w:pPr>
            <w:pStyle w:val="Contents3"/>
            <w:tabs>
              <w:tab w:val="clear" w:pos="8459"/>
              <w:tab w:val="right" w:pos="9026" w:leader="dot"/>
            </w:tabs>
            <w:rPr/>
          </w:pPr>
          <w:hyperlink w:anchor="__RefHeading___Toc2569972_3650668749">
            <w:r>
              <w:rPr>
                <w:webHidden/>
                <w:rStyle w:val="IndexLink"/>
                <w:rtl w:val="true"/>
              </w:rPr>
              <w:t>اشارة</w:t>
            </w:r>
            <w:r>
              <w:rPr>
                <w:rStyle w:val="IndexLink"/>
                <w:rtl w:val="true"/>
              </w:rPr>
              <w:tab/>
            </w:r>
            <w:r>
              <w:rPr>
                <w:rStyle w:val="IndexLink"/>
              </w:rPr>
              <w:t>612</w:t>
            </w:r>
          </w:hyperlink>
        </w:p>
        <w:p>
          <w:pPr>
            <w:pStyle w:val="Contents3"/>
            <w:tabs>
              <w:tab w:val="clear" w:pos="8459"/>
              <w:tab w:val="right" w:pos="9026" w:leader="dot"/>
            </w:tabs>
            <w:rPr/>
          </w:pPr>
          <w:hyperlink w:anchor="__RefHeading___Toc2569974_3650668749">
            <w:r>
              <w:rPr>
                <w:webHidden/>
                <w:rStyle w:val="IndexLink"/>
                <w:rtl w:val="true"/>
              </w:rPr>
              <w:t>[</w:t>
            </w:r>
            <w:r>
              <w:rPr>
                <w:rStyle w:val="IndexLink"/>
                <w:rtl w:val="true"/>
              </w:rPr>
              <w:t>القول فی الوقف</w:t>
            </w:r>
            <w:r>
              <w:rPr>
                <w:rStyle w:val="IndexLink"/>
                <w:rtl w:val="true"/>
              </w:rPr>
              <w:t>]</w:t>
              <w:tab/>
            </w:r>
            <w:r>
              <w:rPr>
                <w:rStyle w:val="IndexLink"/>
              </w:rPr>
              <w:t>612</w:t>
            </w:r>
          </w:hyperlink>
        </w:p>
        <w:p>
          <w:pPr>
            <w:pStyle w:val="Contents4"/>
            <w:tabs>
              <w:tab w:val="clear" w:pos="8176"/>
              <w:tab w:val="right" w:pos="9026" w:leader="dot"/>
            </w:tabs>
            <w:rPr/>
          </w:pPr>
          <w:hyperlink w:anchor="__RefHeading___Toc2569976_3650668749">
            <w:r>
              <w:rPr>
                <w:webHidden/>
                <w:rStyle w:val="IndexLink"/>
                <w:rtl w:val="true"/>
              </w:rPr>
              <w:t>اشارة</w:t>
            </w:r>
            <w:r>
              <w:rPr>
                <w:rStyle w:val="IndexLink"/>
                <w:rtl w:val="true"/>
              </w:rPr>
              <w:tab/>
            </w:r>
            <w:r>
              <w:rPr>
                <w:rStyle w:val="IndexLink"/>
              </w:rPr>
              <w:t>612</w:t>
            </w:r>
          </w:hyperlink>
        </w:p>
        <w:p>
          <w:pPr>
            <w:pStyle w:val="Contents4"/>
            <w:tabs>
              <w:tab w:val="clear" w:pos="8176"/>
              <w:tab w:val="right" w:pos="9026" w:leader="dot"/>
            </w:tabs>
            <w:rPr/>
          </w:pPr>
          <w:hyperlink w:anchor="__RefHeading___Toc256997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یعتبر فی الوقف الصیغة</w:t>
            </w:r>
            <w:r>
              <w:rPr>
                <w:rStyle w:val="IndexLink"/>
                <w:rtl w:val="true"/>
              </w:rPr>
              <w:t>]</w:t>
              <w:tab/>
            </w:r>
            <w:r>
              <w:rPr>
                <w:rStyle w:val="IndexLink"/>
              </w:rPr>
              <w:t>612</w:t>
            </w:r>
          </w:hyperlink>
        </w:p>
        <w:p>
          <w:pPr>
            <w:pStyle w:val="Contents4"/>
            <w:tabs>
              <w:tab w:val="clear" w:pos="8176"/>
              <w:tab w:val="right" w:pos="9026" w:leader="dot"/>
            </w:tabs>
            <w:rPr/>
          </w:pPr>
          <w:hyperlink w:anchor="__RefHeading___Toc256998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بدّ فی وقف المسجد قصد عنوان المسجدیّة</w:t>
            </w:r>
            <w:r>
              <w:rPr>
                <w:rStyle w:val="IndexLink"/>
                <w:rtl w:val="true"/>
              </w:rPr>
              <w:t>]</w:t>
              <w:tab/>
            </w:r>
            <w:r>
              <w:rPr>
                <w:rStyle w:val="IndexLink"/>
              </w:rPr>
              <w:t>612</w:t>
            </w:r>
          </w:hyperlink>
        </w:p>
        <w:p>
          <w:pPr>
            <w:pStyle w:val="Contents4"/>
            <w:tabs>
              <w:tab w:val="clear" w:pos="8176"/>
              <w:tab w:val="right" w:pos="9026" w:leader="dot"/>
            </w:tabs>
            <w:rPr/>
          </w:pPr>
          <w:hyperlink w:anchor="__RefHeading___Toc256998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الظاهر کفایة المعاطاة فی مثل المساجد و المقابر</w:t>
            </w:r>
            <w:r>
              <w:rPr>
                <w:rStyle w:val="IndexLink"/>
                <w:rtl w:val="true"/>
              </w:rPr>
              <w:t>]</w:t>
              <w:tab/>
            </w:r>
            <w:r>
              <w:rPr>
                <w:rStyle w:val="IndexLink"/>
              </w:rPr>
              <w:t>612</w:t>
            </w:r>
          </w:hyperlink>
        </w:p>
        <w:p>
          <w:pPr>
            <w:pStyle w:val="Contents4"/>
            <w:tabs>
              <w:tab w:val="clear" w:pos="8176"/>
              <w:tab w:val="right" w:pos="9026" w:leader="dot"/>
            </w:tabs>
            <w:rPr/>
          </w:pPr>
          <w:hyperlink w:anchor="__RefHeading___Toc256998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ما ذکرنا من کفایة المعاطاة فی المسجد، إنّما هو فیما إذا کان أصل البناء و التعمیر فی المسجد بقصد المسجدیّة</w:t>
            </w:r>
            <w:r>
              <w:rPr>
                <w:rStyle w:val="IndexLink"/>
                <w:rtl w:val="true"/>
              </w:rPr>
              <w:t>]</w:t>
              <w:tab/>
            </w:r>
            <w:r>
              <w:rPr>
                <w:rStyle w:val="IndexLink"/>
              </w:rPr>
              <w:t>613</w:t>
            </w:r>
          </w:hyperlink>
        </w:p>
        <w:p>
          <w:pPr>
            <w:pStyle w:val="Contents4"/>
            <w:tabs>
              <w:tab w:val="clear" w:pos="8176"/>
              <w:tab w:val="right" w:pos="9026" w:leader="dot"/>
            </w:tabs>
            <w:rPr/>
          </w:pPr>
          <w:hyperlink w:anchor="__RefHeading___Toc256998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إشکال فی جواز التوکیل فی الوقف</w:t>
            </w:r>
            <w:r>
              <w:rPr>
                <w:rStyle w:val="IndexLink"/>
                <w:rtl w:val="true"/>
              </w:rPr>
              <w:t>]</w:t>
              <w:tab/>
            </w:r>
            <w:r>
              <w:rPr>
                <w:rStyle w:val="IndexLink"/>
              </w:rPr>
              <w:t>613</w:t>
            </w:r>
          </w:hyperlink>
        </w:p>
        <w:p>
          <w:pPr>
            <w:pStyle w:val="Contents4"/>
            <w:tabs>
              <w:tab w:val="clear" w:pos="8176"/>
              <w:tab w:val="right" w:pos="9026" w:leader="dot"/>
            </w:tabs>
            <w:rPr/>
          </w:pPr>
          <w:hyperlink w:anchor="__RefHeading___Toc256998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الأقویٰ عدم اعتبار القبول فی الوقف علی الجهات العامّة</w:t>
            </w:r>
            <w:r>
              <w:rPr>
                <w:rStyle w:val="IndexLink"/>
                <w:rtl w:val="true"/>
              </w:rPr>
              <w:t>]</w:t>
              <w:tab/>
            </w:r>
            <w:r>
              <w:rPr>
                <w:rStyle w:val="IndexLink"/>
              </w:rPr>
              <w:t>613</w:t>
            </w:r>
          </w:hyperlink>
        </w:p>
        <w:p>
          <w:pPr>
            <w:pStyle w:val="Contents4"/>
            <w:tabs>
              <w:tab w:val="clear" w:pos="8176"/>
              <w:tab w:val="right" w:pos="9026" w:leader="dot"/>
            </w:tabs>
            <w:rPr/>
          </w:pPr>
          <w:hyperlink w:anchor="__RefHeading___Toc2569990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الأحوط قصد القربة فی الوقف</w:t>
            </w:r>
            <w:r>
              <w:rPr>
                <w:rStyle w:val="IndexLink"/>
                <w:rtl w:val="true"/>
              </w:rPr>
              <w:t>]</w:t>
              <w:tab/>
            </w:r>
            <w:r>
              <w:rPr>
                <w:rStyle w:val="IndexLink"/>
              </w:rPr>
              <w:t>614</w:t>
            </w:r>
          </w:hyperlink>
        </w:p>
        <w:p>
          <w:pPr>
            <w:pStyle w:val="Contents4"/>
            <w:tabs>
              <w:tab w:val="clear" w:pos="8176"/>
              <w:tab w:val="right" w:pos="9026" w:leader="dot"/>
            </w:tabs>
            <w:rPr/>
          </w:pPr>
          <w:hyperlink w:anchor="__RefHeading___Toc2569992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یشترط فی صحّة الوقف القبض</w:t>
            </w:r>
            <w:r>
              <w:rPr>
                <w:rStyle w:val="IndexLink"/>
                <w:rtl w:val="true"/>
              </w:rPr>
              <w:t>]</w:t>
              <w:tab/>
            </w:r>
            <w:r>
              <w:rPr>
                <w:rStyle w:val="IndexLink"/>
              </w:rPr>
              <w:t>614</w:t>
            </w:r>
          </w:hyperlink>
        </w:p>
        <w:p>
          <w:pPr>
            <w:pStyle w:val="Contents4"/>
            <w:tabs>
              <w:tab w:val="clear" w:pos="8176"/>
              <w:tab w:val="right" w:pos="9026" w:leader="dot"/>
            </w:tabs>
            <w:rPr/>
          </w:pPr>
          <w:hyperlink w:anchor="__RefHeading___Toc2569994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لو وقف مسجداً أو مقبرة، کفیٰ فی قبضها صلاة واحدة فی المسجد</w:t>
            </w:r>
            <w:r>
              <w:rPr>
                <w:rStyle w:val="IndexLink"/>
                <w:rtl w:val="true"/>
              </w:rPr>
              <w:t>]</w:t>
              <w:tab/>
            </w:r>
            <w:r>
              <w:rPr>
                <w:rStyle w:val="IndexLink"/>
              </w:rPr>
              <w:t>614</w:t>
            </w:r>
          </w:hyperlink>
        </w:p>
        <w:p>
          <w:pPr>
            <w:pStyle w:val="Contents4"/>
            <w:tabs>
              <w:tab w:val="clear" w:pos="8176"/>
              <w:tab w:val="right" w:pos="9026" w:leader="dot"/>
            </w:tabs>
            <w:rPr/>
          </w:pPr>
          <w:hyperlink w:anchor="__RefHeading___Toc2569996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لو وقف الأب علیٰ أولاده الصغار، لم یحتج إلیٰ قبض جدید</w:t>
            </w:r>
            <w:r>
              <w:rPr>
                <w:rStyle w:val="IndexLink"/>
                <w:rtl w:val="true"/>
              </w:rPr>
              <w:t>]</w:t>
              <w:tab/>
            </w:r>
            <w:r>
              <w:rPr>
                <w:rStyle w:val="IndexLink"/>
              </w:rPr>
              <w:t>614</w:t>
            </w:r>
          </w:hyperlink>
        </w:p>
        <w:p>
          <w:pPr>
            <w:pStyle w:val="Contents4"/>
            <w:tabs>
              <w:tab w:val="clear" w:pos="8176"/>
              <w:tab w:val="right" w:pos="9026" w:leader="dot"/>
            </w:tabs>
            <w:rPr/>
          </w:pPr>
          <w:hyperlink w:anchor="__RefHeading___Toc2569998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فیما یعتبر أو یکفی قبض المتولّی</w:t>
            </w:r>
            <w:r>
              <w:rPr>
                <w:rStyle w:val="IndexLink"/>
                <w:rtl w:val="true"/>
              </w:rPr>
              <w:t>]</w:t>
              <w:tab/>
            </w:r>
            <w:r>
              <w:rPr>
                <w:rStyle w:val="IndexLink"/>
              </w:rPr>
              <w:t>615</w:t>
            </w:r>
          </w:hyperlink>
        </w:p>
        <w:p>
          <w:pPr>
            <w:pStyle w:val="Contents4"/>
            <w:tabs>
              <w:tab w:val="clear" w:pos="8176"/>
              <w:tab w:val="right" w:pos="9026" w:leader="dot"/>
            </w:tabs>
            <w:rPr/>
          </w:pPr>
          <w:hyperlink w:anchor="__RefHeading___Toc2570000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لو کانت العین الموقوفة بید الموقوف علیه قبل الوقف بعنوان الودیعة أو العاریة</w:t>
            </w:r>
            <w:r>
              <w:rPr>
                <w:rStyle w:val="IndexLink"/>
                <w:rtl w:val="true"/>
              </w:rPr>
              <w:t>]</w:t>
              <w:tab/>
            </w:r>
            <w:r>
              <w:rPr>
                <w:rStyle w:val="IndexLink"/>
              </w:rPr>
              <w:t>615</w:t>
            </w:r>
          </w:hyperlink>
        </w:p>
        <w:p>
          <w:pPr>
            <w:pStyle w:val="Contents4"/>
            <w:tabs>
              <w:tab w:val="clear" w:pos="8176"/>
              <w:tab w:val="right" w:pos="9026" w:leader="dot"/>
            </w:tabs>
            <w:rPr/>
          </w:pPr>
          <w:hyperlink w:anchor="__RefHeading___Toc2570002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لا یشترط فی القبض الفوریّة</w:t>
            </w:r>
            <w:r>
              <w:rPr>
                <w:rStyle w:val="IndexLink"/>
                <w:rtl w:val="true"/>
              </w:rPr>
              <w:t>]</w:t>
              <w:tab/>
            </w:r>
            <w:r>
              <w:rPr>
                <w:rStyle w:val="IndexLink"/>
              </w:rPr>
              <w:t>615</w:t>
            </w:r>
          </w:hyperlink>
        </w:p>
        <w:p>
          <w:pPr>
            <w:pStyle w:val="Contents4"/>
            <w:tabs>
              <w:tab w:val="clear" w:pos="8176"/>
              <w:tab w:val="right" w:pos="9026" w:leader="dot"/>
            </w:tabs>
            <w:rPr/>
          </w:pPr>
          <w:hyperlink w:anchor="__RefHeading___Toc2570004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لو مات الواقف قبل القبض بطل الوقف</w:t>
            </w:r>
            <w:r>
              <w:rPr>
                <w:rStyle w:val="IndexLink"/>
                <w:rtl w:val="true"/>
              </w:rPr>
              <w:t>]</w:t>
              <w:tab/>
            </w:r>
            <w:r>
              <w:rPr>
                <w:rStyle w:val="IndexLink"/>
              </w:rPr>
              <w:t>615</w:t>
            </w:r>
          </w:hyperlink>
        </w:p>
        <w:p>
          <w:pPr>
            <w:pStyle w:val="Contents4"/>
            <w:tabs>
              <w:tab w:val="clear" w:pos="8176"/>
              <w:tab w:val="right" w:pos="9026" w:leader="dot"/>
            </w:tabs>
            <w:rPr/>
          </w:pPr>
          <w:hyperlink w:anchor="__RefHeading___Toc2570006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یشترط فی الوقف الدوام</w:t>
            </w:r>
            <w:r>
              <w:rPr>
                <w:rStyle w:val="IndexLink"/>
                <w:rtl w:val="true"/>
              </w:rPr>
              <w:t>]</w:t>
              <w:tab/>
            </w:r>
            <w:r>
              <w:rPr>
                <w:rStyle w:val="IndexLink"/>
              </w:rPr>
              <w:t>615</w:t>
            </w:r>
          </w:hyperlink>
        </w:p>
        <w:p>
          <w:pPr>
            <w:pStyle w:val="Contents4"/>
            <w:tabs>
              <w:tab w:val="clear" w:pos="8176"/>
              <w:tab w:val="right" w:pos="9026" w:leader="dot"/>
            </w:tabs>
            <w:rPr/>
          </w:pPr>
          <w:hyperlink w:anchor="__RefHeading___Toc2570008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إذا وقف علیٰ من ینقرض کما إذا وقف علیٰ أولاده و اقتصر علیٰ بطن أو بطون ممّن ینقرض غالباً</w:t>
            </w:r>
            <w:r>
              <w:rPr>
                <w:rStyle w:val="IndexLink"/>
                <w:rtl w:val="true"/>
              </w:rPr>
              <w:t>]</w:t>
              <w:tab/>
            </w:r>
            <w:r>
              <w:rPr>
                <w:rStyle w:val="IndexLink"/>
              </w:rPr>
              <w:t>615</w:t>
            </w:r>
          </w:hyperlink>
        </w:p>
        <w:p>
          <w:pPr>
            <w:pStyle w:val="Contents4"/>
            <w:tabs>
              <w:tab w:val="clear" w:pos="8176"/>
              <w:tab w:val="right" w:pos="9026" w:leader="dot"/>
            </w:tabs>
            <w:rPr/>
          </w:pPr>
          <w:hyperlink w:anchor="__RefHeading___Toc2570010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الفرق بین الوقف و الحبس</w:t>
            </w:r>
            <w:r>
              <w:rPr>
                <w:rStyle w:val="IndexLink"/>
                <w:rtl w:val="true"/>
              </w:rPr>
              <w:t>]</w:t>
              <w:tab/>
            </w:r>
            <w:r>
              <w:rPr>
                <w:rStyle w:val="IndexLink"/>
              </w:rPr>
              <w:t>615</w:t>
            </w:r>
          </w:hyperlink>
        </w:p>
        <w:p>
          <w:pPr>
            <w:pStyle w:val="Contents4"/>
            <w:tabs>
              <w:tab w:val="clear" w:pos="8176"/>
              <w:tab w:val="right" w:pos="9026" w:leader="dot"/>
            </w:tabs>
            <w:rPr/>
          </w:pPr>
          <w:hyperlink w:anchor="__RefHeading___Toc2570012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إذا انقرض الموقوف علیه و رجع إلیٰ ورثة الواقف، فهل یرجع إلیٰ ورثته حین الموت</w:t>
            </w:r>
            <w:r>
              <w:rPr>
                <w:rStyle w:val="IndexLink"/>
                <w:rtl w:val="true"/>
              </w:rPr>
              <w:t>]</w:t>
              <w:tab/>
            </w:r>
            <w:r>
              <w:rPr>
                <w:rStyle w:val="IndexLink"/>
              </w:rPr>
              <w:t>616</w:t>
            </w:r>
          </w:hyperlink>
        </w:p>
        <w:p>
          <w:pPr>
            <w:pStyle w:val="Contents4"/>
            <w:tabs>
              <w:tab w:val="clear" w:pos="8176"/>
              <w:tab w:val="right" w:pos="9026" w:leader="dot"/>
            </w:tabs>
            <w:rPr/>
          </w:pPr>
          <w:hyperlink w:anchor="__RefHeading___Toc2570014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و من الوقف المنقطع الآخر ما کان الوقف مبنیّاً علی الدوام</w:t>
            </w:r>
            <w:r>
              <w:rPr>
                <w:rStyle w:val="IndexLink"/>
                <w:rtl w:val="true"/>
              </w:rPr>
              <w:t>]</w:t>
              <w:tab/>
            </w:r>
            <w:r>
              <w:rPr>
                <w:rStyle w:val="IndexLink"/>
              </w:rPr>
              <w:t>616</w:t>
            </w:r>
          </w:hyperlink>
        </w:p>
        <w:p>
          <w:pPr>
            <w:pStyle w:val="Contents4"/>
            <w:tabs>
              <w:tab w:val="clear" w:pos="8176"/>
              <w:tab w:val="right" w:pos="9026" w:leader="dot"/>
            </w:tabs>
            <w:rPr/>
          </w:pPr>
          <w:hyperlink w:anchor="__RefHeading___Toc2570016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الوقف المنقطع الأوّل</w:t>
            </w:r>
            <w:r>
              <w:rPr>
                <w:rStyle w:val="IndexLink"/>
                <w:rtl w:val="true"/>
              </w:rPr>
              <w:t xml:space="preserve">: </w:t>
            </w:r>
            <w:r>
              <w:rPr>
                <w:rStyle w:val="IndexLink"/>
                <w:rtl w:val="true"/>
              </w:rPr>
              <w:t>إمّا بجعل الواقف</w:t>
            </w:r>
            <w:r>
              <w:rPr>
                <w:rStyle w:val="IndexLink"/>
                <w:rtl w:val="true"/>
              </w:rPr>
              <w:t>]</w:t>
              <w:tab/>
            </w:r>
            <w:r>
              <w:rPr>
                <w:rStyle w:val="IndexLink"/>
              </w:rPr>
              <w:t>616</w:t>
            </w:r>
          </w:hyperlink>
        </w:p>
        <w:p>
          <w:pPr>
            <w:pStyle w:val="Contents4"/>
            <w:tabs>
              <w:tab w:val="clear" w:pos="8176"/>
              <w:tab w:val="right" w:pos="9026" w:leader="dot"/>
            </w:tabs>
            <w:rPr/>
          </w:pPr>
          <w:hyperlink w:anchor="__RefHeading___Toc2570018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إذا وقف علیٰ غیره أو علیٰ جهة و شرط عوده إلیه عند حاجته صحّ</w:t>
            </w:r>
            <w:r>
              <w:rPr>
                <w:rStyle w:val="IndexLink"/>
                <w:rtl w:val="true"/>
              </w:rPr>
              <w:t>]</w:t>
              <w:tab/>
            </w:r>
            <w:r>
              <w:rPr>
                <w:rStyle w:val="IndexLink"/>
              </w:rPr>
              <w:t>617</w:t>
            </w:r>
          </w:hyperlink>
        </w:p>
        <w:p>
          <w:pPr>
            <w:pStyle w:val="Contents4"/>
            <w:tabs>
              <w:tab w:val="clear" w:pos="8176"/>
              <w:tab w:val="right" w:pos="9026" w:leader="dot"/>
            </w:tabs>
            <w:rPr/>
          </w:pPr>
          <w:hyperlink w:anchor="__RefHeading___Toc2570020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یشترط فی صحّة الوقف التنجیز</w:t>
            </w:r>
            <w:r>
              <w:rPr>
                <w:rStyle w:val="IndexLink"/>
                <w:rtl w:val="true"/>
              </w:rPr>
              <w:t>]</w:t>
              <w:tab/>
            </w:r>
            <w:r>
              <w:rPr>
                <w:rStyle w:val="IndexLink"/>
              </w:rPr>
              <w:t>617</w:t>
            </w:r>
          </w:hyperlink>
        </w:p>
        <w:p>
          <w:pPr>
            <w:pStyle w:val="Contents4"/>
            <w:tabs>
              <w:tab w:val="clear" w:pos="8176"/>
              <w:tab w:val="right" w:pos="9026" w:leader="dot"/>
            </w:tabs>
            <w:rPr/>
          </w:pPr>
          <w:hyperlink w:anchor="__RefHeading___Toc2570022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لو قال</w:t>
            </w:r>
            <w:r>
              <w:rPr>
                <w:rStyle w:val="IndexLink"/>
                <w:rtl w:val="true"/>
              </w:rPr>
              <w:t>: «</w:t>
            </w:r>
            <w:r>
              <w:rPr>
                <w:rStyle w:val="IndexLink"/>
                <w:rtl w:val="true"/>
              </w:rPr>
              <w:t>هو وقف بعد موتی</w:t>
            </w:r>
            <w:r>
              <w:rPr>
                <w:rStyle w:val="IndexLink"/>
                <w:rtl w:val="true"/>
              </w:rPr>
              <w:t xml:space="preserve">» </w:t>
            </w:r>
            <w:r>
              <w:rPr>
                <w:rStyle w:val="IndexLink"/>
                <w:rtl w:val="true"/>
              </w:rPr>
              <w:t>فإن فهم منه فی متفاهم العرف أنّه وصیّة بالوقف صحّ</w:t>
            </w:r>
            <w:r>
              <w:rPr>
                <w:rStyle w:val="IndexLink"/>
                <w:rtl w:val="true"/>
              </w:rPr>
              <w:t>]</w:t>
              <w:tab/>
            </w:r>
            <w:r>
              <w:rPr>
                <w:rStyle w:val="IndexLink"/>
              </w:rPr>
              <w:t>617</w:t>
            </w:r>
          </w:hyperlink>
        </w:p>
        <w:p>
          <w:pPr>
            <w:pStyle w:val="Contents4"/>
            <w:tabs>
              <w:tab w:val="clear" w:pos="8176"/>
              <w:tab w:val="right" w:pos="9026" w:leader="dot"/>
            </w:tabs>
            <w:rPr/>
          </w:pPr>
          <w:hyperlink w:anchor="__RefHeading___Toc2570024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و من شرائط صحّة الوقف إخراج نفسه عن الوقف</w:t>
            </w:r>
            <w:r>
              <w:rPr>
                <w:rStyle w:val="IndexLink"/>
                <w:rtl w:val="true"/>
              </w:rPr>
              <w:t>]</w:t>
              <w:tab/>
            </w:r>
            <w:r>
              <w:rPr>
                <w:rStyle w:val="IndexLink"/>
              </w:rPr>
              <w:t>617</w:t>
            </w:r>
          </w:hyperlink>
        </w:p>
        <w:p>
          <w:pPr>
            <w:pStyle w:val="Contents4"/>
            <w:tabs>
              <w:tab w:val="clear" w:pos="8176"/>
              <w:tab w:val="right" w:pos="9026" w:leader="dot"/>
            </w:tabs>
            <w:rPr/>
          </w:pPr>
          <w:hyperlink w:anchor="__RefHeading___Toc2570026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لو وقف علیٰ غیره کأولاده أو الفقراء مثلًا</w:t>
            </w:r>
            <w:r>
              <w:rPr>
                <w:rStyle w:val="IndexLink"/>
                <w:rtl w:val="true"/>
              </w:rPr>
              <w:t>]</w:t>
              <w:tab/>
            </w:r>
            <w:r>
              <w:rPr>
                <w:rStyle w:val="IndexLink"/>
              </w:rPr>
              <w:t>617</w:t>
            </w:r>
          </w:hyperlink>
        </w:p>
        <w:p>
          <w:pPr>
            <w:pStyle w:val="Contents4"/>
            <w:tabs>
              <w:tab w:val="clear" w:pos="8176"/>
              <w:tab w:val="right" w:pos="9026" w:leader="dot"/>
            </w:tabs>
            <w:rPr/>
          </w:pPr>
          <w:hyperlink w:anchor="__RefHeading___Toc2570028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لو شرط أکل أضیافه و من یمرّ علیه من ثمرة الوقف جاز</w:t>
            </w:r>
            <w:r>
              <w:rPr>
                <w:rStyle w:val="IndexLink"/>
                <w:rtl w:val="true"/>
              </w:rPr>
              <w:t>]</w:t>
              <w:tab/>
            </w:r>
            <w:r>
              <w:rPr>
                <w:rStyle w:val="IndexLink"/>
              </w:rPr>
              <w:t>618</w:t>
            </w:r>
          </w:hyperlink>
        </w:p>
        <w:p>
          <w:pPr>
            <w:pStyle w:val="Contents4"/>
            <w:tabs>
              <w:tab w:val="clear" w:pos="8176"/>
              <w:tab w:val="right" w:pos="9026" w:leader="dot"/>
            </w:tabs>
            <w:rPr/>
          </w:pPr>
          <w:hyperlink w:anchor="__RefHeading___Toc2570030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إذا آجر عیناً ثمّ وقفها، صحّ الوقف و بقیت الإجارة علیٰ حالها</w:t>
            </w:r>
            <w:r>
              <w:rPr>
                <w:rStyle w:val="IndexLink"/>
                <w:rtl w:val="true"/>
              </w:rPr>
              <w:t>]</w:t>
              <w:tab/>
            </w:r>
            <w:r>
              <w:rPr>
                <w:rStyle w:val="IndexLink"/>
              </w:rPr>
              <w:t>618</w:t>
            </w:r>
          </w:hyperlink>
        </w:p>
        <w:p>
          <w:pPr>
            <w:pStyle w:val="Contents4"/>
            <w:tabs>
              <w:tab w:val="clear" w:pos="8176"/>
              <w:tab w:val="right" w:pos="9026" w:leader="dot"/>
            </w:tabs>
            <w:rPr/>
          </w:pPr>
          <w:hyperlink w:anchor="__RefHeading___Toc2570032_3650668749">
            <w:r>
              <w:rPr>
                <w:webHidden/>
                <w:rStyle w:val="IndexLink"/>
                <w:rtl w:val="true"/>
              </w:rPr>
              <w:t>[ (</w:t>
            </w:r>
            <w:r>
              <w:rPr>
                <w:rStyle w:val="IndexLink"/>
                <w:rtl w:val="true"/>
              </w:rPr>
              <w:t xml:space="preserve">مسألة </w:t>
            </w:r>
            <w:r>
              <w:rPr>
                <w:rStyle w:val="IndexLink"/>
              </w:rPr>
              <w:t>28</w:t>
            </w:r>
            <w:r>
              <w:rPr>
                <w:rStyle w:val="IndexLink"/>
                <w:rtl w:val="true"/>
              </w:rPr>
              <w:t xml:space="preserve">): </w:t>
            </w:r>
            <w:r>
              <w:rPr>
                <w:rStyle w:val="IndexLink"/>
                <w:rtl w:val="true"/>
              </w:rPr>
              <w:t>لا إشکال فی جواز انتفاع الواقف بالأوقاف علی الجهات العامّة</w:t>
            </w:r>
            <w:r>
              <w:rPr>
                <w:rStyle w:val="IndexLink"/>
                <w:rtl w:val="true"/>
              </w:rPr>
              <w:t>]</w:t>
              <w:tab/>
            </w:r>
            <w:r>
              <w:rPr>
                <w:rStyle w:val="IndexLink"/>
              </w:rPr>
              <w:t>618</w:t>
            </w:r>
          </w:hyperlink>
        </w:p>
        <w:p>
          <w:pPr>
            <w:pStyle w:val="Contents4"/>
            <w:tabs>
              <w:tab w:val="clear" w:pos="8176"/>
              <w:tab w:val="right" w:pos="9026" w:leader="dot"/>
            </w:tabs>
            <w:rPr/>
          </w:pPr>
          <w:hyperlink w:anchor="__RefHeading___Toc2570034_3650668749">
            <w:r>
              <w:rPr>
                <w:webHidden/>
                <w:rStyle w:val="IndexLink"/>
                <w:rtl w:val="true"/>
              </w:rPr>
              <w:t>[ (</w:t>
            </w:r>
            <w:r>
              <w:rPr>
                <w:rStyle w:val="IndexLink"/>
                <w:rtl w:val="true"/>
              </w:rPr>
              <w:t xml:space="preserve">مسألة </w:t>
            </w:r>
            <w:r>
              <w:rPr>
                <w:rStyle w:val="IndexLink"/>
              </w:rPr>
              <w:t>29</w:t>
            </w:r>
            <w:r>
              <w:rPr>
                <w:rStyle w:val="IndexLink"/>
                <w:rtl w:val="true"/>
              </w:rPr>
              <w:t xml:space="preserve">): </w:t>
            </w:r>
            <w:r>
              <w:rPr>
                <w:rStyle w:val="IndexLink"/>
                <w:rtl w:val="true"/>
              </w:rPr>
              <w:t>یعتبر فی الواقف</w:t>
            </w:r>
            <w:r>
              <w:rPr>
                <w:rStyle w:val="IndexLink"/>
                <w:rtl w:val="true"/>
              </w:rPr>
              <w:t xml:space="preserve">: </w:t>
            </w:r>
            <w:r>
              <w:rPr>
                <w:rStyle w:val="IndexLink"/>
                <w:rtl w:val="true"/>
              </w:rPr>
              <w:t>البلوغ و العقل و الاختیار و عدم الحجر لفلس أو سفه فلا یصحّ وقف الصبیّ</w:t>
            </w:r>
            <w:r>
              <w:rPr>
                <w:rStyle w:val="IndexLink"/>
                <w:rtl w:val="true"/>
              </w:rPr>
              <w:t>]</w:t>
              <w:tab/>
            </w:r>
            <w:r>
              <w:rPr>
                <w:rStyle w:val="IndexLink"/>
              </w:rPr>
              <w:t>619</w:t>
            </w:r>
          </w:hyperlink>
        </w:p>
        <w:p>
          <w:pPr>
            <w:pStyle w:val="Contents4"/>
            <w:tabs>
              <w:tab w:val="clear" w:pos="8176"/>
              <w:tab w:val="right" w:pos="9026" w:leader="dot"/>
            </w:tabs>
            <w:rPr/>
          </w:pPr>
          <w:hyperlink w:anchor="__RefHeading___Toc2570036_3650668749">
            <w:r>
              <w:rPr>
                <w:webHidden/>
                <w:rStyle w:val="IndexLink"/>
                <w:rtl w:val="true"/>
              </w:rPr>
              <w:t>[ (</w:t>
            </w:r>
            <w:r>
              <w:rPr>
                <w:rStyle w:val="IndexLink"/>
                <w:rtl w:val="true"/>
              </w:rPr>
              <w:t xml:space="preserve">مسألة </w:t>
            </w:r>
            <w:r>
              <w:rPr>
                <w:rStyle w:val="IndexLink"/>
              </w:rPr>
              <w:t>30</w:t>
            </w:r>
            <w:r>
              <w:rPr>
                <w:rStyle w:val="IndexLink"/>
                <w:rtl w:val="true"/>
              </w:rPr>
              <w:t xml:space="preserve">): </w:t>
            </w:r>
            <w:r>
              <w:rPr>
                <w:rStyle w:val="IndexLink"/>
                <w:rtl w:val="true"/>
              </w:rPr>
              <w:t>لا یعتبر فی الواقف أن یکون مسلماً</w:t>
            </w:r>
            <w:r>
              <w:rPr>
                <w:rStyle w:val="IndexLink"/>
                <w:rtl w:val="true"/>
              </w:rPr>
              <w:t>]</w:t>
              <w:tab/>
            </w:r>
            <w:r>
              <w:rPr>
                <w:rStyle w:val="IndexLink"/>
              </w:rPr>
              <w:t>619</w:t>
            </w:r>
          </w:hyperlink>
        </w:p>
        <w:p>
          <w:pPr>
            <w:pStyle w:val="Contents4"/>
            <w:tabs>
              <w:tab w:val="clear" w:pos="8176"/>
              <w:tab w:val="right" w:pos="9026" w:leader="dot"/>
            </w:tabs>
            <w:rPr/>
          </w:pPr>
          <w:hyperlink w:anchor="__RefHeading___Toc2570038_3650668749">
            <w:r>
              <w:rPr>
                <w:webHidden/>
                <w:rStyle w:val="IndexLink"/>
                <w:rtl w:val="true"/>
              </w:rPr>
              <w:t>[ (</w:t>
            </w:r>
            <w:r>
              <w:rPr>
                <w:rStyle w:val="IndexLink"/>
                <w:rtl w:val="true"/>
              </w:rPr>
              <w:t xml:space="preserve">مسألة </w:t>
            </w:r>
            <w:r>
              <w:rPr>
                <w:rStyle w:val="IndexLink"/>
              </w:rPr>
              <w:t>31</w:t>
            </w:r>
            <w:r>
              <w:rPr>
                <w:rStyle w:val="IndexLink"/>
                <w:rtl w:val="true"/>
              </w:rPr>
              <w:t xml:space="preserve">): </w:t>
            </w:r>
            <w:r>
              <w:rPr>
                <w:rStyle w:val="IndexLink"/>
                <w:rtl w:val="true"/>
              </w:rPr>
              <w:t>یعتبر فی الموقوف</w:t>
            </w:r>
            <w:r>
              <w:rPr>
                <w:rStyle w:val="IndexLink"/>
                <w:rtl w:val="true"/>
              </w:rPr>
              <w:t xml:space="preserve">: </w:t>
            </w:r>
            <w:r>
              <w:rPr>
                <w:rStyle w:val="IndexLink"/>
                <w:rtl w:val="true"/>
              </w:rPr>
              <w:t>أن یکون عیناً مملوکاً</w:t>
            </w:r>
            <w:r>
              <w:rPr>
                <w:rStyle w:val="IndexLink"/>
                <w:rtl w:val="true"/>
              </w:rPr>
              <w:t>]</w:t>
              <w:tab/>
            </w:r>
            <w:r>
              <w:rPr>
                <w:rStyle w:val="IndexLink"/>
              </w:rPr>
              <w:t>619</w:t>
            </w:r>
          </w:hyperlink>
        </w:p>
        <w:p>
          <w:pPr>
            <w:pStyle w:val="Contents4"/>
            <w:tabs>
              <w:tab w:val="clear" w:pos="8176"/>
              <w:tab w:val="right" w:pos="9026" w:leader="dot"/>
            </w:tabs>
            <w:rPr/>
          </w:pPr>
          <w:hyperlink w:anchor="__RefHeading___Toc2570040_3650668749">
            <w:r>
              <w:rPr>
                <w:webHidden/>
                <w:rStyle w:val="IndexLink"/>
                <w:rtl w:val="true"/>
              </w:rPr>
              <w:t>[ (</w:t>
            </w:r>
            <w:r>
              <w:rPr>
                <w:rStyle w:val="IndexLink"/>
                <w:rtl w:val="true"/>
              </w:rPr>
              <w:t xml:space="preserve">مسألة </w:t>
            </w:r>
            <w:r>
              <w:rPr>
                <w:rStyle w:val="IndexLink"/>
              </w:rPr>
              <w:t>32</w:t>
            </w:r>
            <w:r>
              <w:rPr>
                <w:rStyle w:val="IndexLink"/>
                <w:rtl w:val="true"/>
              </w:rPr>
              <w:t xml:space="preserve">): </w:t>
            </w:r>
            <w:r>
              <w:rPr>
                <w:rStyle w:val="IndexLink"/>
                <w:rtl w:val="true"/>
              </w:rPr>
              <w:t>لا یعتبر فی العین الموقوفة کونها ممّا ینتفع بها فعلًا</w:t>
            </w:r>
            <w:r>
              <w:rPr>
                <w:rStyle w:val="IndexLink"/>
                <w:rtl w:val="true"/>
              </w:rPr>
              <w:t>]</w:t>
              <w:tab/>
            </w:r>
            <w:r>
              <w:rPr>
                <w:rStyle w:val="IndexLink"/>
              </w:rPr>
              <w:t>619</w:t>
            </w:r>
          </w:hyperlink>
        </w:p>
        <w:p>
          <w:pPr>
            <w:pStyle w:val="Contents4"/>
            <w:tabs>
              <w:tab w:val="clear" w:pos="8176"/>
              <w:tab w:val="right" w:pos="9026" w:leader="dot"/>
            </w:tabs>
            <w:rPr/>
          </w:pPr>
          <w:hyperlink w:anchor="__RefHeading___Toc2570042_3650668749">
            <w:r>
              <w:rPr>
                <w:webHidden/>
                <w:rStyle w:val="IndexLink"/>
                <w:rtl w:val="true"/>
              </w:rPr>
              <w:t>[ (</w:t>
            </w:r>
            <w:r>
              <w:rPr>
                <w:rStyle w:val="IndexLink"/>
                <w:rtl w:val="true"/>
              </w:rPr>
              <w:t xml:space="preserve">مسألة </w:t>
            </w:r>
            <w:r>
              <w:rPr>
                <w:rStyle w:val="IndexLink"/>
              </w:rPr>
              <w:t>33</w:t>
            </w:r>
            <w:r>
              <w:rPr>
                <w:rStyle w:val="IndexLink"/>
                <w:rtl w:val="true"/>
              </w:rPr>
              <w:t xml:space="preserve">): </w:t>
            </w:r>
            <w:r>
              <w:rPr>
                <w:rStyle w:val="IndexLink"/>
                <w:rtl w:val="true"/>
              </w:rPr>
              <w:t>المنفعة المقصودة فی الوقف أعمّ من المنفعة المقصودة فی العاریة و الإجارة</w:t>
            </w:r>
            <w:r>
              <w:rPr>
                <w:rStyle w:val="IndexLink"/>
                <w:rtl w:val="true"/>
              </w:rPr>
              <w:t>]</w:t>
              <w:tab/>
            </w:r>
            <w:r>
              <w:rPr>
                <w:rStyle w:val="IndexLink"/>
              </w:rPr>
              <w:t>619</w:t>
            </w:r>
          </w:hyperlink>
        </w:p>
        <w:p>
          <w:pPr>
            <w:pStyle w:val="Contents4"/>
            <w:tabs>
              <w:tab w:val="clear" w:pos="8176"/>
              <w:tab w:val="right" w:pos="9026" w:leader="dot"/>
            </w:tabs>
            <w:rPr/>
          </w:pPr>
          <w:hyperlink w:anchor="__RefHeading___Toc2570044_3650668749">
            <w:r>
              <w:rPr>
                <w:webHidden/>
                <w:rStyle w:val="IndexLink"/>
                <w:rtl w:val="true"/>
              </w:rPr>
              <w:t>[ (</w:t>
            </w:r>
            <w:r>
              <w:rPr>
                <w:rStyle w:val="IndexLink"/>
                <w:rtl w:val="true"/>
              </w:rPr>
              <w:t xml:space="preserve">مسألة </w:t>
            </w:r>
            <w:r>
              <w:rPr>
                <w:rStyle w:val="IndexLink"/>
              </w:rPr>
              <w:t>34</w:t>
            </w:r>
            <w:r>
              <w:rPr>
                <w:rStyle w:val="IndexLink"/>
                <w:rtl w:val="true"/>
              </w:rPr>
              <w:t xml:space="preserve">): </w:t>
            </w:r>
            <w:r>
              <w:rPr>
                <w:rStyle w:val="IndexLink"/>
                <w:rtl w:val="true"/>
              </w:rPr>
              <w:t>ینقسم الوقف باعتبار الموقوف علیه علیٰ قسمین</w:t>
            </w:r>
            <w:r>
              <w:rPr>
                <w:rStyle w:val="IndexLink"/>
                <w:rtl w:val="true"/>
              </w:rPr>
              <w:t>]</w:t>
              <w:tab/>
            </w:r>
            <w:r>
              <w:rPr>
                <w:rStyle w:val="IndexLink"/>
              </w:rPr>
              <w:t>619</w:t>
            </w:r>
          </w:hyperlink>
        </w:p>
        <w:p>
          <w:pPr>
            <w:pStyle w:val="Contents4"/>
            <w:tabs>
              <w:tab w:val="clear" w:pos="8176"/>
              <w:tab w:val="right" w:pos="9026" w:leader="dot"/>
            </w:tabs>
            <w:rPr/>
          </w:pPr>
          <w:hyperlink w:anchor="__RefHeading___Toc2570046_3650668749">
            <w:r>
              <w:rPr>
                <w:webHidden/>
                <w:rStyle w:val="IndexLink"/>
                <w:rtl w:val="true"/>
              </w:rPr>
              <w:t>[ (</w:t>
            </w:r>
            <w:r>
              <w:rPr>
                <w:rStyle w:val="IndexLink"/>
                <w:rtl w:val="true"/>
              </w:rPr>
              <w:t xml:space="preserve">مسألة </w:t>
            </w:r>
            <w:r>
              <w:rPr>
                <w:rStyle w:val="IndexLink"/>
              </w:rPr>
              <w:t>35</w:t>
            </w:r>
            <w:r>
              <w:rPr>
                <w:rStyle w:val="IndexLink"/>
                <w:rtl w:val="true"/>
              </w:rPr>
              <w:t xml:space="preserve">): </w:t>
            </w:r>
            <w:r>
              <w:rPr>
                <w:rStyle w:val="IndexLink"/>
                <w:rtl w:val="true"/>
              </w:rPr>
              <w:t>یعتبر فی الوقف الخاصّ وجود الموقوف علیه حین الوقف</w:t>
            </w:r>
            <w:r>
              <w:rPr>
                <w:rStyle w:val="IndexLink"/>
                <w:rtl w:val="true"/>
              </w:rPr>
              <w:t>]</w:t>
              <w:tab/>
            </w:r>
            <w:r>
              <w:rPr>
                <w:rStyle w:val="IndexLink"/>
              </w:rPr>
              <w:t>620</w:t>
            </w:r>
          </w:hyperlink>
        </w:p>
        <w:p>
          <w:pPr>
            <w:pStyle w:val="Contents4"/>
            <w:tabs>
              <w:tab w:val="clear" w:pos="8176"/>
              <w:tab w:val="right" w:pos="9026" w:leader="dot"/>
            </w:tabs>
            <w:rPr/>
          </w:pPr>
          <w:hyperlink w:anchor="__RefHeading___Toc2570048_3650668749">
            <w:r>
              <w:rPr>
                <w:webHidden/>
                <w:rStyle w:val="IndexLink"/>
                <w:rtl w:val="true"/>
              </w:rPr>
              <w:t>[ (</w:t>
            </w:r>
            <w:r>
              <w:rPr>
                <w:rStyle w:val="IndexLink"/>
                <w:rtl w:val="true"/>
              </w:rPr>
              <w:t xml:space="preserve">مسألة </w:t>
            </w:r>
            <w:r>
              <w:rPr>
                <w:rStyle w:val="IndexLink"/>
              </w:rPr>
              <w:t>36</w:t>
            </w:r>
            <w:r>
              <w:rPr>
                <w:rStyle w:val="IndexLink"/>
                <w:rtl w:val="true"/>
              </w:rPr>
              <w:t xml:space="preserve">): </w:t>
            </w:r>
            <w:r>
              <w:rPr>
                <w:rStyle w:val="IndexLink"/>
                <w:rtl w:val="true"/>
              </w:rPr>
              <w:t>لا یعتبر فی الوقف علی العنوان العامّ وجوده فی کلّ زمان</w:t>
            </w:r>
            <w:r>
              <w:rPr>
                <w:rStyle w:val="IndexLink"/>
                <w:rtl w:val="true"/>
              </w:rPr>
              <w:t>]</w:t>
              <w:tab/>
            </w:r>
            <w:r>
              <w:rPr>
                <w:rStyle w:val="IndexLink"/>
              </w:rPr>
              <w:t>620</w:t>
            </w:r>
          </w:hyperlink>
        </w:p>
        <w:p>
          <w:pPr>
            <w:pStyle w:val="Contents4"/>
            <w:tabs>
              <w:tab w:val="clear" w:pos="8176"/>
              <w:tab w:val="right" w:pos="9026" w:leader="dot"/>
            </w:tabs>
            <w:rPr/>
          </w:pPr>
          <w:hyperlink w:anchor="__RefHeading___Toc2570050_3650668749">
            <w:r>
              <w:rPr>
                <w:webHidden/>
                <w:rStyle w:val="IndexLink"/>
                <w:rtl w:val="true"/>
              </w:rPr>
              <w:t>[ (</w:t>
            </w:r>
            <w:r>
              <w:rPr>
                <w:rStyle w:val="IndexLink"/>
                <w:rtl w:val="true"/>
              </w:rPr>
              <w:t xml:space="preserve">مسألة </w:t>
            </w:r>
            <w:r>
              <w:rPr>
                <w:rStyle w:val="IndexLink"/>
              </w:rPr>
              <w:t>37</w:t>
            </w:r>
            <w:r>
              <w:rPr>
                <w:rStyle w:val="IndexLink"/>
                <w:rtl w:val="true"/>
              </w:rPr>
              <w:t xml:space="preserve">): </w:t>
            </w:r>
            <w:r>
              <w:rPr>
                <w:rStyle w:val="IndexLink"/>
                <w:rtl w:val="true"/>
              </w:rPr>
              <w:t>یشترط فی الموقوف علیه التعیین</w:t>
            </w:r>
            <w:r>
              <w:rPr>
                <w:rStyle w:val="IndexLink"/>
                <w:rtl w:val="true"/>
              </w:rPr>
              <w:t>]</w:t>
              <w:tab/>
            </w:r>
            <w:r>
              <w:rPr>
                <w:rStyle w:val="IndexLink"/>
              </w:rPr>
              <w:t>621</w:t>
            </w:r>
          </w:hyperlink>
        </w:p>
        <w:p>
          <w:pPr>
            <w:pStyle w:val="Contents4"/>
            <w:tabs>
              <w:tab w:val="clear" w:pos="8176"/>
              <w:tab w:val="right" w:pos="9026" w:leader="dot"/>
            </w:tabs>
            <w:rPr/>
          </w:pPr>
          <w:hyperlink w:anchor="__RefHeading___Toc2570052_3650668749">
            <w:r>
              <w:rPr>
                <w:webHidden/>
                <w:rStyle w:val="IndexLink"/>
                <w:rtl w:val="true"/>
              </w:rPr>
              <w:t>[ (</w:t>
            </w:r>
            <w:r>
              <w:rPr>
                <w:rStyle w:val="IndexLink"/>
                <w:rtl w:val="true"/>
              </w:rPr>
              <w:t xml:space="preserve">مسألة </w:t>
            </w:r>
            <w:r>
              <w:rPr>
                <w:rStyle w:val="IndexLink"/>
              </w:rPr>
              <w:t>38</w:t>
            </w:r>
            <w:r>
              <w:rPr>
                <w:rStyle w:val="IndexLink"/>
                <w:rtl w:val="true"/>
              </w:rPr>
              <w:t xml:space="preserve">): </w:t>
            </w:r>
            <w:r>
              <w:rPr>
                <w:rStyle w:val="IndexLink"/>
                <w:rtl w:val="true"/>
              </w:rPr>
              <w:t>لا یصحّ الوقف علی الکافر الحربی و المرتدّ عن فطرة</w:t>
            </w:r>
            <w:r>
              <w:rPr>
                <w:rStyle w:val="IndexLink"/>
                <w:rtl w:val="true"/>
              </w:rPr>
              <w:t>]</w:t>
              <w:tab/>
            </w:r>
            <w:r>
              <w:rPr>
                <w:rStyle w:val="IndexLink"/>
              </w:rPr>
              <w:t>621</w:t>
            </w:r>
          </w:hyperlink>
        </w:p>
        <w:p>
          <w:pPr>
            <w:pStyle w:val="Contents4"/>
            <w:tabs>
              <w:tab w:val="clear" w:pos="8176"/>
              <w:tab w:val="right" w:pos="9026" w:leader="dot"/>
            </w:tabs>
            <w:rPr/>
          </w:pPr>
          <w:hyperlink w:anchor="__RefHeading___Toc2570054_3650668749">
            <w:r>
              <w:rPr>
                <w:webHidden/>
                <w:rStyle w:val="IndexLink"/>
                <w:rtl w:val="true"/>
              </w:rPr>
              <w:t>[ (</w:t>
            </w:r>
            <w:r>
              <w:rPr>
                <w:rStyle w:val="IndexLink"/>
                <w:rtl w:val="true"/>
              </w:rPr>
              <w:t xml:space="preserve">مسألة </w:t>
            </w:r>
            <w:r>
              <w:rPr>
                <w:rStyle w:val="IndexLink"/>
              </w:rPr>
              <w:t>39</w:t>
            </w:r>
            <w:r>
              <w:rPr>
                <w:rStyle w:val="IndexLink"/>
                <w:rtl w:val="true"/>
              </w:rPr>
              <w:t xml:space="preserve">): </w:t>
            </w:r>
            <w:r>
              <w:rPr>
                <w:rStyle w:val="IndexLink"/>
                <w:rtl w:val="true"/>
              </w:rPr>
              <w:t>لا یصحّ الوقف علی الجهات المحرّمة و ما فیه إعانة علی المعصیة</w:t>
            </w:r>
            <w:r>
              <w:rPr>
                <w:rStyle w:val="IndexLink"/>
                <w:rtl w:val="true"/>
              </w:rPr>
              <w:t>]</w:t>
              <w:tab/>
            </w:r>
            <w:r>
              <w:rPr>
                <w:rStyle w:val="IndexLink"/>
              </w:rPr>
              <w:t>621</w:t>
            </w:r>
          </w:hyperlink>
        </w:p>
        <w:p>
          <w:pPr>
            <w:pStyle w:val="Contents4"/>
            <w:tabs>
              <w:tab w:val="clear" w:pos="8176"/>
              <w:tab w:val="right" w:pos="9026" w:leader="dot"/>
            </w:tabs>
            <w:rPr/>
          </w:pPr>
          <w:hyperlink w:anchor="__RefHeading___Toc2570056_3650668749">
            <w:r>
              <w:rPr>
                <w:webHidden/>
                <w:rStyle w:val="IndexLink"/>
                <w:rtl w:val="true"/>
              </w:rPr>
              <w:t>[ (</w:t>
            </w:r>
            <w:r>
              <w:rPr>
                <w:rStyle w:val="IndexLink"/>
                <w:rtl w:val="true"/>
              </w:rPr>
              <w:t xml:space="preserve">مسألة </w:t>
            </w:r>
            <w:r>
              <w:rPr>
                <w:rStyle w:val="IndexLink"/>
              </w:rPr>
              <w:t>40</w:t>
            </w:r>
            <w:r>
              <w:rPr>
                <w:rStyle w:val="IndexLink"/>
                <w:rtl w:val="true"/>
              </w:rPr>
              <w:t xml:space="preserve">): </w:t>
            </w:r>
            <w:r>
              <w:rPr>
                <w:rStyle w:val="IndexLink"/>
                <w:rtl w:val="true"/>
              </w:rPr>
              <w:t>إذا وقف مسلم علی الفقراء أو فقراء البلد انصرف إلیٰ فقراء المسلمین</w:t>
            </w:r>
            <w:r>
              <w:rPr>
                <w:rStyle w:val="IndexLink"/>
                <w:rtl w:val="true"/>
              </w:rPr>
              <w:t>]</w:t>
              <w:tab/>
            </w:r>
            <w:r>
              <w:rPr>
                <w:rStyle w:val="IndexLink"/>
              </w:rPr>
              <w:t>621</w:t>
            </w:r>
          </w:hyperlink>
        </w:p>
        <w:p>
          <w:pPr>
            <w:pStyle w:val="Contents4"/>
            <w:tabs>
              <w:tab w:val="clear" w:pos="8176"/>
              <w:tab w:val="right" w:pos="9026" w:leader="dot"/>
            </w:tabs>
            <w:rPr/>
          </w:pPr>
          <w:hyperlink w:anchor="__RefHeading___Toc2570058_3650668749">
            <w:r>
              <w:rPr>
                <w:webHidden/>
                <w:rStyle w:val="IndexLink"/>
                <w:rtl w:val="true"/>
              </w:rPr>
              <w:t>[ (</w:t>
            </w:r>
            <w:r>
              <w:rPr>
                <w:rStyle w:val="IndexLink"/>
                <w:rtl w:val="true"/>
              </w:rPr>
              <w:t xml:space="preserve">مسألة </w:t>
            </w:r>
            <w:r>
              <w:rPr>
                <w:rStyle w:val="IndexLink"/>
              </w:rPr>
              <w:t>41</w:t>
            </w:r>
            <w:r>
              <w:rPr>
                <w:rStyle w:val="IndexLink"/>
                <w:rtl w:val="true"/>
              </w:rPr>
              <w:t xml:space="preserve">): </w:t>
            </w:r>
            <w:r>
              <w:rPr>
                <w:rStyle w:val="IndexLink"/>
                <w:rtl w:val="true"/>
              </w:rPr>
              <w:t>إذا کان أفراد عنوان الموقوف علیه منحصرة فی أفراد محصورة</w:t>
            </w:r>
            <w:r>
              <w:rPr>
                <w:rStyle w:val="IndexLink"/>
                <w:rtl w:val="true"/>
              </w:rPr>
              <w:t>]</w:t>
              <w:tab/>
            </w:r>
            <w:r>
              <w:rPr>
                <w:rStyle w:val="IndexLink"/>
              </w:rPr>
              <w:t>621</w:t>
            </w:r>
          </w:hyperlink>
        </w:p>
        <w:p>
          <w:pPr>
            <w:pStyle w:val="Contents4"/>
            <w:tabs>
              <w:tab w:val="clear" w:pos="8176"/>
              <w:tab w:val="right" w:pos="9026" w:leader="dot"/>
            </w:tabs>
            <w:rPr/>
          </w:pPr>
          <w:hyperlink w:anchor="__RefHeading___Toc2570060_3650668749">
            <w:r>
              <w:rPr>
                <w:webHidden/>
                <w:rStyle w:val="IndexLink"/>
                <w:rtl w:val="true"/>
              </w:rPr>
              <w:t>[ (</w:t>
            </w:r>
            <w:r>
              <w:rPr>
                <w:rStyle w:val="IndexLink"/>
                <w:rtl w:val="true"/>
              </w:rPr>
              <w:t xml:space="preserve">مسألة </w:t>
            </w:r>
            <w:r>
              <w:rPr>
                <w:rStyle w:val="IndexLink"/>
              </w:rPr>
              <w:t>42</w:t>
            </w:r>
            <w:r>
              <w:rPr>
                <w:rStyle w:val="IndexLink"/>
                <w:rtl w:val="true"/>
              </w:rPr>
              <w:t xml:space="preserve">): </w:t>
            </w:r>
            <w:r>
              <w:rPr>
                <w:rStyle w:val="IndexLink"/>
                <w:rtl w:val="true"/>
              </w:rPr>
              <w:t>إذا وقف علیٰ فقراء قبیلة کبنی فلان و کانوا متفرّقین لم یقتصر علی الحاضرین</w:t>
            </w:r>
            <w:r>
              <w:rPr>
                <w:rStyle w:val="IndexLink"/>
                <w:rtl w:val="true"/>
              </w:rPr>
              <w:t>]</w:t>
              <w:tab/>
            </w:r>
            <w:r>
              <w:rPr>
                <w:rStyle w:val="IndexLink"/>
              </w:rPr>
              <w:t>621</w:t>
            </w:r>
          </w:hyperlink>
        </w:p>
        <w:p>
          <w:pPr>
            <w:pStyle w:val="Contents4"/>
            <w:tabs>
              <w:tab w:val="clear" w:pos="8176"/>
              <w:tab w:val="right" w:pos="9026" w:leader="dot"/>
            </w:tabs>
            <w:rPr/>
          </w:pPr>
          <w:hyperlink w:anchor="__RefHeading___Toc2570062_3650668749">
            <w:r>
              <w:rPr>
                <w:webHidden/>
                <w:rStyle w:val="IndexLink"/>
                <w:rtl w:val="true"/>
              </w:rPr>
              <w:t>[ (</w:t>
            </w:r>
            <w:r>
              <w:rPr>
                <w:rStyle w:val="IndexLink"/>
                <w:rtl w:val="true"/>
              </w:rPr>
              <w:t xml:space="preserve">مسألة </w:t>
            </w:r>
            <w:r>
              <w:rPr>
                <w:rStyle w:val="IndexLink"/>
              </w:rPr>
              <w:t>43</w:t>
            </w:r>
            <w:r>
              <w:rPr>
                <w:rStyle w:val="IndexLink"/>
                <w:rtl w:val="true"/>
              </w:rPr>
              <w:t xml:space="preserve">): </w:t>
            </w:r>
            <w:r>
              <w:rPr>
                <w:rStyle w:val="IndexLink"/>
                <w:rtl w:val="true"/>
              </w:rPr>
              <w:t>إذا وقف علی المسلمین کان لکلّ من أقرّ بالشهادتین</w:t>
            </w:r>
            <w:r>
              <w:rPr>
                <w:rStyle w:val="IndexLink"/>
                <w:rtl w:val="true"/>
              </w:rPr>
              <w:t>]</w:t>
              <w:tab/>
            </w:r>
            <w:r>
              <w:rPr>
                <w:rStyle w:val="IndexLink"/>
              </w:rPr>
              <w:t>622</w:t>
            </w:r>
          </w:hyperlink>
        </w:p>
        <w:p>
          <w:pPr>
            <w:pStyle w:val="Contents4"/>
            <w:tabs>
              <w:tab w:val="clear" w:pos="8176"/>
              <w:tab w:val="right" w:pos="9026" w:leader="dot"/>
            </w:tabs>
            <w:rPr/>
          </w:pPr>
          <w:hyperlink w:anchor="__RefHeading___Toc2570064_3650668749">
            <w:r>
              <w:rPr>
                <w:webHidden/>
                <w:rStyle w:val="IndexLink"/>
                <w:rtl w:val="true"/>
              </w:rPr>
              <w:t>[ (</w:t>
            </w:r>
            <w:r>
              <w:rPr>
                <w:rStyle w:val="IndexLink"/>
                <w:rtl w:val="true"/>
              </w:rPr>
              <w:t xml:space="preserve">مسألة </w:t>
            </w:r>
            <w:r>
              <w:rPr>
                <w:rStyle w:val="IndexLink"/>
              </w:rPr>
              <w:t>44</w:t>
            </w:r>
            <w:r>
              <w:rPr>
                <w:rStyle w:val="IndexLink"/>
                <w:rtl w:val="true"/>
              </w:rPr>
              <w:t xml:space="preserve">): </w:t>
            </w:r>
            <w:r>
              <w:rPr>
                <w:rStyle w:val="IndexLink"/>
                <w:rtl w:val="true"/>
              </w:rPr>
              <w:t>إذا وقف فی سبیل اللّٰه یصرف فی کلّ ما یکون و صلة إلی الثواب</w:t>
            </w:r>
            <w:r>
              <w:rPr>
                <w:rStyle w:val="IndexLink"/>
                <w:rtl w:val="true"/>
              </w:rPr>
              <w:t>]</w:t>
              <w:tab/>
            </w:r>
            <w:r>
              <w:rPr>
                <w:rStyle w:val="IndexLink"/>
              </w:rPr>
              <w:t>622</w:t>
            </w:r>
          </w:hyperlink>
        </w:p>
        <w:p>
          <w:pPr>
            <w:pStyle w:val="Contents4"/>
            <w:tabs>
              <w:tab w:val="clear" w:pos="8176"/>
              <w:tab w:val="right" w:pos="9026" w:leader="dot"/>
            </w:tabs>
            <w:rPr/>
          </w:pPr>
          <w:hyperlink w:anchor="__RefHeading___Toc2570066_3650668749">
            <w:r>
              <w:rPr>
                <w:webHidden/>
                <w:rStyle w:val="IndexLink"/>
                <w:rtl w:val="true"/>
              </w:rPr>
              <w:t>[ (</w:t>
            </w:r>
            <w:r>
              <w:rPr>
                <w:rStyle w:val="IndexLink"/>
                <w:rtl w:val="true"/>
              </w:rPr>
              <w:t xml:space="preserve">مسألة </w:t>
            </w:r>
            <w:r>
              <w:rPr>
                <w:rStyle w:val="IndexLink"/>
              </w:rPr>
              <w:t>45</w:t>
            </w:r>
            <w:r>
              <w:rPr>
                <w:rStyle w:val="IndexLink"/>
                <w:rtl w:val="true"/>
              </w:rPr>
              <w:t xml:space="preserve">): </w:t>
            </w:r>
            <w:r>
              <w:rPr>
                <w:rStyle w:val="IndexLink"/>
                <w:rtl w:val="true"/>
              </w:rPr>
              <w:t>إذا وقف علیٰ أرحامه أو أقاربه فالمرجع العرف</w:t>
            </w:r>
            <w:r>
              <w:rPr>
                <w:rStyle w:val="IndexLink"/>
                <w:rtl w:val="true"/>
              </w:rPr>
              <w:t>]</w:t>
              <w:tab/>
            </w:r>
            <w:r>
              <w:rPr>
                <w:rStyle w:val="IndexLink"/>
              </w:rPr>
              <w:t>622</w:t>
            </w:r>
          </w:hyperlink>
        </w:p>
        <w:p>
          <w:pPr>
            <w:pStyle w:val="Contents4"/>
            <w:tabs>
              <w:tab w:val="clear" w:pos="8176"/>
              <w:tab w:val="right" w:pos="9026" w:leader="dot"/>
            </w:tabs>
            <w:rPr/>
          </w:pPr>
          <w:hyperlink w:anchor="__RefHeading___Toc2570068_3650668749">
            <w:r>
              <w:rPr>
                <w:webHidden/>
                <w:rStyle w:val="IndexLink"/>
                <w:rtl w:val="true"/>
              </w:rPr>
              <w:t>[ (</w:t>
            </w:r>
            <w:r>
              <w:rPr>
                <w:rStyle w:val="IndexLink"/>
                <w:rtl w:val="true"/>
              </w:rPr>
              <w:t xml:space="preserve">مسألة </w:t>
            </w:r>
            <w:r>
              <w:rPr>
                <w:rStyle w:val="IndexLink"/>
              </w:rPr>
              <w:t>46</w:t>
            </w:r>
            <w:r>
              <w:rPr>
                <w:rStyle w:val="IndexLink"/>
                <w:rtl w:val="true"/>
              </w:rPr>
              <w:t xml:space="preserve">): </w:t>
            </w:r>
            <w:r>
              <w:rPr>
                <w:rStyle w:val="IndexLink"/>
                <w:rtl w:val="true"/>
              </w:rPr>
              <w:t>إذا وقف علیٰ أولاده اشترک الذکر و الأُنثیٰ و الخنثیٰ و یکون التقسیم بینهم علی السواء</w:t>
            </w:r>
            <w:r>
              <w:rPr>
                <w:rStyle w:val="IndexLink"/>
                <w:rtl w:val="true"/>
              </w:rPr>
              <w:t>]</w:t>
              <w:tab/>
            </w:r>
            <w:r>
              <w:rPr>
                <w:rStyle w:val="IndexLink"/>
              </w:rPr>
              <w:t>622</w:t>
            </w:r>
          </w:hyperlink>
        </w:p>
        <w:p>
          <w:pPr>
            <w:pStyle w:val="Contents4"/>
            <w:tabs>
              <w:tab w:val="clear" w:pos="8176"/>
              <w:tab w:val="right" w:pos="9026" w:leader="dot"/>
            </w:tabs>
            <w:rPr/>
          </w:pPr>
          <w:hyperlink w:anchor="__RefHeading___Toc2570070_3650668749">
            <w:r>
              <w:rPr>
                <w:webHidden/>
                <w:rStyle w:val="IndexLink"/>
                <w:rtl w:val="true"/>
              </w:rPr>
              <w:t>[ (</w:t>
            </w:r>
            <w:r>
              <w:rPr>
                <w:rStyle w:val="IndexLink"/>
                <w:rtl w:val="true"/>
              </w:rPr>
              <w:t xml:space="preserve">مسألة </w:t>
            </w:r>
            <w:r>
              <w:rPr>
                <w:rStyle w:val="IndexLink"/>
              </w:rPr>
              <w:t>47</w:t>
            </w:r>
            <w:r>
              <w:rPr>
                <w:rStyle w:val="IndexLink"/>
                <w:rtl w:val="true"/>
              </w:rPr>
              <w:t xml:space="preserve">): </w:t>
            </w:r>
            <w:r>
              <w:rPr>
                <w:rStyle w:val="IndexLink"/>
                <w:rtl w:val="true"/>
              </w:rPr>
              <w:t>إذا قال</w:t>
            </w:r>
            <w:r>
              <w:rPr>
                <w:rStyle w:val="IndexLink"/>
                <w:rtl w:val="true"/>
              </w:rPr>
              <w:t>: «</w:t>
            </w:r>
            <w:r>
              <w:rPr>
                <w:rStyle w:val="IndexLink"/>
                <w:rtl w:val="true"/>
              </w:rPr>
              <w:t>وقفت علیٰ ذرّیّتی</w:t>
            </w:r>
            <w:r>
              <w:rPr>
                <w:rStyle w:val="IndexLink"/>
                <w:rtl w:val="true"/>
              </w:rPr>
              <w:t xml:space="preserve">» </w:t>
            </w:r>
            <w:r>
              <w:rPr>
                <w:rStyle w:val="IndexLink"/>
                <w:rtl w:val="true"/>
              </w:rPr>
              <w:t>عمّ الأولاد بنین و بنات و أولادهم بلا واسطة و معها ذکوراً و إناثاً</w:t>
            </w:r>
            <w:r>
              <w:rPr>
                <w:rStyle w:val="IndexLink"/>
                <w:rtl w:val="true"/>
              </w:rPr>
              <w:t>]</w:t>
              <w:tab/>
            </w:r>
            <w:r>
              <w:rPr>
                <w:rStyle w:val="IndexLink"/>
              </w:rPr>
              <w:t>622</w:t>
            </w:r>
          </w:hyperlink>
        </w:p>
        <w:p>
          <w:pPr>
            <w:pStyle w:val="Contents4"/>
            <w:tabs>
              <w:tab w:val="clear" w:pos="8176"/>
              <w:tab w:val="right" w:pos="9026" w:leader="dot"/>
            </w:tabs>
            <w:rPr/>
          </w:pPr>
          <w:hyperlink w:anchor="__RefHeading___Toc2570072_3650668749">
            <w:r>
              <w:rPr>
                <w:webHidden/>
                <w:rStyle w:val="IndexLink"/>
                <w:rtl w:val="true"/>
              </w:rPr>
              <w:t>[ (</w:t>
            </w:r>
            <w:r>
              <w:rPr>
                <w:rStyle w:val="IndexLink"/>
                <w:rtl w:val="true"/>
              </w:rPr>
              <w:t xml:space="preserve">مسألة </w:t>
            </w:r>
            <w:r>
              <w:rPr>
                <w:rStyle w:val="IndexLink"/>
              </w:rPr>
              <w:t>48</w:t>
            </w:r>
            <w:r>
              <w:rPr>
                <w:rStyle w:val="IndexLink"/>
                <w:rtl w:val="true"/>
              </w:rPr>
              <w:t xml:space="preserve">): </w:t>
            </w:r>
            <w:r>
              <w:rPr>
                <w:rStyle w:val="IndexLink"/>
                <w:rtl w:val="true"/>
              </w:rPr>
              <w:t>إذا قال</w:t>
            </w:r>
            <w:r>
              <w:rPr>
                <w:rStyle w:val="IndexLink"/>
                <w:rtl w:val="true"/>
              </w:rPr>
              <w:t>: «</w:t>
            </w:r>
            <w:r>
              <w:rPr>
                <w:rStyle w:val="IndexLink"/>
                <w:rtl w:val="true"/>
              </w:rPr>
              <w:t>وقفت علیٰ أولادی نسلًا بعد نسل و بطناً بعد بطن</w:t>
            </w:r>
            <w:r>
              <w:rPr>
                <w:rStyle w:val="IndexLink"/>
                <w:rtl w:val="true"/>
              </w:rPr>
              <w:t xml:space="preserve">» </w:t>
            </w:r>
            <w:r>
              <w:rPr>
                <w:rStyle w:val="IndexLink"/>
                <w:rtl w:val="true"/>
              </w:rPr>
              <w:t>الظاهر المتبادر منه عند العرف أنّه وقف ترتیب</w:t>
            </w:r>
            <w:r>
              <w:rPr>
                <w:rStyle w:val="IndexLink"/>
                <w:rtl w:val="true"/>
              </w:rPr>
              <w:t>]</w:t>
              <w:tab/>
            </w:r>
            <w:r>
              <w:rPr>
                <w:rStyle w:val="IndexLink"/>
              </w:rPr>
              <w:t>622</w:t>
            </w:r>
          </w:hyperlink>
        </w:p>
        <w:p>
          <w:pPr>
            <w:pStyle w:val="Contents4"/>
            <w:tabs>
              <w:tab w:val="clear" w:pos="8176"/>
              <w:tab w:val="right" w:pos="9026" w:leader="dot"/>
            </w:tabs>
            <w:rPr/>
          </w:pPr>
          <w:hyperlink w:anchor="__RefHeading___Toc2570074_3650668749">
            <w:r>
              <w:rPr>
                <w:webHidden/>
                <w:rStyle w:val="IndexLink"/>
                <w:rtl w:val="true"/>
              </w:rPr>
              <w:t>[ (</w:t>
            </w:r>
            <w:r>
              <w:rPr>
                <w:rStyle w:val="IndexLink"/>
                <w:rtl w:val="true"/>
              </w:rPr>
              <w:t xml:space="preserve">مسألة </w:t>
            </w:r>
            <w:r>
              <w:rPr>
                <w:rStyle w:val="IndexLink"/>
              </w:rPr>
              <w:t>49</w:t>
            </w:r>
            <w:r>
              <w:rPr>
                <w:rStyle w:val="IndexLink"/>
                <w:rtl w:val="true"/>
              </w:rPr>
              <w:t xml:space="preserve">): </w:t>
            </w:r>
            <w:r>
              <w:rPr>
                <w:rStyle w:val="IndexLink"/>
                <w:rtl w:val="true"/>
              </w:rPr>
              <w:t>إذا قال</w:t>
            </w:r>
            <w:r>
              <w:rPr>
                <w:rStyle w:val="IndexLink"/>
                <w:rtl w:val="true"/>
              </w:rPr>
              <w:t>: «</w:t>
            </w:r>
            <w:r>
              <w:rPr>
                <w:rStyle w:val="IndexLink"/>
                <w:rtl w:val="true"/>
              </w:rPr>
              <w:t>وقفت علیٰ ذرّیّتی</w:t>
            </w:r>
            <w:r>
              <w:rPr>
                <w:rStyle w:val="IndexLink"/>
                <w:rtl w:val="true"/>
              </w:rPr>
              <w:t xml:space="preserve">» </w:t>
            </w:r>
            <w:r>
              <w:rPr>
                <w:rStyle w:val="IndexLink"/>
                <w:rtl w:val="true"/>
              </w:rPr>
              <w:t>أو قال</w:t>
            </w:r>
            <w:r>
              <w:rPr>
                <w:rStyle w:val="IndexLink"/>
                <w:rtl w:val="true"/>
              </w:rPr>
              <w:t>: «</w:t>
            </w:r>
            <w:r>
              <w:rPr>
                <w:rStyle w:val="IndexLink"/>
                <w:rtl w:val="true"/>
              </w:rPr>
              <w:t>علیٰ أولادی و أولاد أولادی</w:t>
            </w:r>
            <w:r>
              <w:rPr>
                <w:rStyle w:val="IndexLink"/>
                <w:rtl w:val="true"/>
              </w:rPr>
              <w:t xml:space="preserve">» </w:t>
            </w:r>
            <w:r>
              <w:rPr>
                <w:rStyle w:val="IndexLink"/>
                <w:rtl w:val="true"/>
              </w:rPr>
              <w:t>و لم یذکر أنّه وقف تشریک أو وقف ترتیب</w:t>
            </w:r>
            <w:r>
              <w:rPr>
                <w:rStyle w:val="IndexLink"/>
                <w:rtl w:val="true"/>
              </w:rPr>
              <w:t>]</w:t>
              <w:tab/>
            </w:r>
            <w:r>
              <w:rPr>
                <w:rStyle w:val="IndexLink"/>
              </w:rPr>
              <w:t>622</w:t>
            </w:r>
          </w:hyperlink>
        </w:p>
        <w:p>
          <w:pPr>
            <w:pStyle w:val="Contents4"/>
            <w:tabs>
              <w:tab w:val="clear" w:pos="8176"/>
              <w:tab w:val="right" w:pos="9026" w:leader="dot"/>
            </w:tabs>
            <w:rPr/>
          </w:pPr>
          <w:hyperlink w:anchor="__RefHeading___Toc2570076_3650668749">
            <w:r>
              <w:rPr>
                <w:webHidden/>
                <w:rStyle w:val="IndexLink"/>
                <w:rtl w:val="true"/>
              </w:rPr>
              <w:t>[ (</w:t>
            </w:r>
            <w:r>
              <w:rPr>
                <w:rStyle w:val="IndexLink"/>
                <w:rtl w:val="true"/>
              </w:rPr>
              <w:t xml:space="preserve">مسألة </w:t>
            </w:r>
            <w:r>
              <w:rPr>
                <w:rStyle w:val="IndexLink"/>
              </w:rPr>
              <w:t>50</w:t>
            </w:r>
            <w:r>
              <w:rPr>
                <w:rStyle w:val="IndexLink"/>
                <w:rtl w:val="true"/>
              </w:rPr>
              <w:t xml:space="preserve">): </w:t>
            </w:r>
            <w:r>
              <w:rPr>
                <w:rStyle w:val="IndexLink"/>
                <w:rtl w:val="true"/>
              </w:rPr>
              <w:t>لو قال</w:t>
            </w:r>
            <w:r>
              <w:rPr>
                <w:rStyle w:val="IndexLink"/>
                <w:rtl w:val="true"/>
              </w:rPr>
              <w:t>: «</w:t>
            </w:r>
            <w:r>
              <w:rPr>
                <w:rStyle w:val="IndexLink"/>
                <w:rtl w:val="true"/>
              </w:rPr>
              <w:t>وقفت علیٰ أولادی الذکور نسلًا بعد نسل</w:t>
            </w:r>
            <w:r>
              <w:rPr>
                <w:rStyle w:val="IndexLink"/>
                <w:rtl w:val="true"/>
              </w:rPr>
              <w:t xml:space="preserve">» </w:t>
            </w:r>
            <w:r>
              <w:rPr>
                <w:rStyle w:val="IndexLink"/>
                <w:rtl w:val="true"/>
              </w:rPr>
              <w:t>یختصّ بالذکور من الذکور فی جمیع الطبقات</w:t>
            </w:r>
            <w:r>
              <w:rPr>
                <w:rStyle w:val="IndexLink"/>
                <w:rtl w:val="true"/>
              </w:rPr>
              <w:t>]</w:t>
              <w:tab/>
            </w:r>
            <w:r>
              <w:rPr>
                <w:rStyle w:val="IndexLink"/>
              </w:rPr>
              <w:t>623</w:t>
            </w:r>
          </w:hyperlink>
        </w:p>
        <w:p>
          <w:pPr>
            <w:pStyle w:val="Contents4"/>
            <w:tabs>
              <w:tab w:val="clear" w:pos="8176"/>
              <w:tab w:val="right" w:pos="9026" w:leader="dot"/>
            </w:tabs>
            <w:rPr/>
          </w:pPr>
          <w:hyperlink w:anchor="__RefHeading___Toc2570078_3650668749">
            <w:r>
              <w:rPr>
                <w:webHidden/>
                <w:rStyle w:val="IndexLink"/>
                <w:rtl w:val="true"/>
              </w:rPr>
              <w:t>[ (</w:t>
            </w:r>
            <w:r>
              <w:rPr>
                <w:rStyle w:val="IndexLink"/>
                <w:rtl w:val="true"/>
              </w:rPr>
              <w:t xml:space="preserve">مسألة </w:t>
            </w:r>
            <w:r>
              <w:rPr>
                <w:rStyle w:val="IndexLink"/>
              </w:rPr>
              <w:t>51</w:t>
            </w:r>
            <w:r>
              <w:rPr>
                <w:rStyle w:val="IndexLink"/>
                <w:rtl w:val="true"/>
              </w:rPr>
              <w:t xml:space="preserve">): </w:t>
            </w:r>
            <w:r>
              <w:rPr>
                <w:rStyle w:val="IndexLink"/>
                <w:rtl w:val="true"/>
              </w:rPr>
              <w:t>إذا کان الوقف ترتیبیّاً کانت الکیفیّة تابعة لجعل الواقف</w:t>
            </w:r>
            <w:r>
              <w:rPr>
                <w:rStyle w:val="IndexLink"/>
                <w:rtl w:val="true"/>
              </w:rPr>
              <w:t>]</w:t>
              <w:tab/>
            </w:r>
            <w:r>
              <w:rPr>
                <w:rStyle w:val="IndexLink"/>
              </w:rPr>
              <w:t>623</w:t>
            </w:r>
          </w:hyperlink>
        </w:p>
        <w:p>
          <w:pPr>
            <w:pStyle w:val="Contents4"/>
            <w:tabs>
              <w:tab w:val="clear" w:pos="8176"/>
              <w:tab w:val="right" w:pos="9026" w:leader="dot"/>
            </w:tabs>
            <w:rPr/>
          </w:pPr>
          <w:hyperlink w:anchor="__RefHeading___Toc2570080_3650668749">
            <w:r>
              <w:rPr>
                <w:webHidden/>
                <w:rStyle w:val="IndexLink"/>
                <w:rtl w:val="true"/>
              </w:rPr>
              <w:t>[ (</w:t>
            </w:r>
            <w:r>
              <w:rPr>
                <w:rStyle w:val="IndexLink"/>
                <w:rtl w:val="true"/>
              </w:rPr>
              <w:t xml:space="preserve">مسألة </w:t>
            </w:r>
            <w:r>
              <w:rPr>
                <w:rStyle w:val="IndexLink"/>
              </w:rPr>
              <w:t>52</w:t>
            </w:r>
            <w:r>
              <w:rPr>
                <w:rStyle w:val="IndexLink"/>
                <w:rtl w:val="true"/>
              </w:rPr>
              <w:t xml:space="preserve">): </w:t>
            </w:r>
            <w:r>
              <w:rPr>
                <w:rStyle w:val="IndexLink"/>
                <w:rtl w:val="true"/>
              </w:rPr>
              <w:t>لو قال</w:t>
            </w:r>
            <w:r>
              <w:rPr>
                <w:rStyle w:val="IndexLink"/>
                <w:rtl w:val="true"/>
              </w:rPr>
              <w:t>: «</w:t>
            </w:r>
            <w:r>
              <w:rPr>
                <w:rStyle w:val="IndexLink"/>
                <w:rtl w:val="true"/>
              </w:rPr>
              <w:t>وقفت علیٰ أولادی طبقة بعد طبقة و إذا مات أحدهم و کان له ولد فنصیبه لولده</w:t>
            </w:r>
            <w:r>
              <w:rPr>
                <w:rStyle w:val="IndexLink"/>
                <w:rtl w:val="true"/>
              </w:rPr>
              <w:t>»]</w:t>
              <w:tab/>
            </w:r>
            <w:r>
              <w:rPr>
                <w:rStyle w:val="IndexLink"/>
              </w:rPr>
              <w:t>623</w:t>
            </w:r>
          </w:hyperlink>
        </w:p>
        <w:p>
          <w:pPr>
            <w:pStyle w:val="Contents4"/>
            <w:tabs>
              <w:tab w:val="clear" w:pos="8176"/>
              <w:tab w:val="right" w:pos="9026" w:leader="dot"/>
            </w:tabs>
            <w:rPr/>
          </w:pPr>
          <w:hyperlink w:anchor="__RefHeading___Toc2570082_3650668749">
            <w:r>
              <w:rPr>
                <w:webHidden/>
                <w:rStyle w:val="IndexLink"/>
                <w:rtl w:val="true"/>
              </w:rPr>
              <w:t>[ (</w:t>
            </w:r>
            <w:r>
              <w:rPr>
                <w:rStyle w:val="IndexLink"/>
                <w:rtl w:val="true"/>
              </w:rPr>
              <w:t xml:space="preserve">مسألة </w:t>
            </w:r>
            <w:r>
              <w:rPr>
                <w:rStyle w:val="IndexLink"/>
              </w:rPr>
              <w:t>53</w:t>
            </w:r>
            <w:r>
              <w:rPr>
                <w:rStyle w:val="IndexLink"/>
                <w:rtl w:val="true"/>
              </w:rPr>
              <w:t xml:space="preserve">): </w:t>
            </w:r>
            <w:r>
              <w:rPr>
                <w:rStyle w:val="IndexLink"/>
                <w:rtl w:val="true"/>
              </w:rPr>
              <w:t>لو وقف علی العلماء انصرف إلیٰ علماء الشریعة</w:t>
            </w:r>
            <w:r>
              <w:rPr>
                <w:rStyle w:val="IndexLink"/>
                <w:rtl w:val="true"/>
              </w:rPr>
              <w:t>]</w:t>
              <w:tab/>
            </w:r>
            <w:r>
              <w:rPr>
                <w:rStyle w:val="IndexLink"/>
              </w:rPr>
              <w:t>623</w:t>
            </w:r>
          </w:hyperlink>
        </w:p>
        <w:p>
          <w:pPr>
            <w:pStyle w:val="Contents4"/>
            <w:tabs>
              <w:tab w:val="clear" w:pos="8176"/>
              <w:tab w:val="right" w:pos="9026" w:leader="dot"/>
            </w:tabs>
            <w:rPr/>
          </w:pPr>
          <w:hyperlink w:anchor="__RefHeading___Toc2570084_3650668749">
            <w:r>
              <w:rPr>
                <w:webHidden/>
                <w:rStyle w:val="IndexLink"/>
                <w:rtl w:val="true"/>
              </w:rPr>
              <w:t>[ (</w:t>
            </w:r>
            <w:r>
              <w:rPr>
                <w:rStyle w:val="IndexLink"/>
                <w:rtl w:val="true"/>
              </w:rPr>
              <w:t xml:space="preserve">مسألة </w:t>
            </w:r>
            <w:r>
              <w:rPr>
                <w:rStyle w:val="IndexLink"/>
              </w:rPr>
              <w:t>54</w:t>
            </w:r>
            <w:r>
              <w:rPr>
                <w:rStyle w:val="IndexLink"/>
                <w:rtl w:val="true"/>
              </w:rPr>
              <w:t xml:space="preserve">): </w:t>
            </w:r>
            <w:r>
              <w:rPr>
                <w:rStyle w:val="IndexLink"/>
                <w:rtl w:val="true"/>
              </w:rPr>
              <w:t>لو وقف علیٰ أهل مشهدٍ کالنجف مثلًا اختصّ بالمتوطّنین و المجاورین</w:t>
            </w:r>
            <w:r>
              <w:rPr>
                <w:rStyle w:val="IndexLink"/>
                <w:rtl w:val="true"/>
              </w:rPr>
              <w:t>]</w:t>
              <w:tab/>
            </w:r>
            <w:r>
              <w:rPr>
                <w:rStyle w:val="IndexLink"/>
              </w:rPr>
              <w:t>623</w:t>
            </w:r>
          </w:hyperlink>
        </w:p>
        <w:p>
          <w:pPr>
            <w:pStyle w:val="Contents4"/>
            <w:tabs>
              <w:tab w:val="clear" w:pos="8176"/>
              <w:tab w:val="right" w:pos="9026" w:leader="dot"/>
            </w:tabs>
            <w:rPr/>
          </w:pPr>
          <w:hyperlink w:anchor="__RefHeading___Toc2570086_3650668749">
            <w:r>
              <w:rPr>
                <w:webHidden/>
                <w:rStyle w:val="IndexLink"/>
                <w:rtl w:val="true"/>
              </w:rPr>
              <w:t>[ (</w:t>
            </w:r>
            <w:r>
              <w:rPr>
                <w:rStyle w:val="IndexLink"/>
                <w:rtl w:val="true"/>
              </w:rPr>
              <w:t xml:space="preserve">مسألة </w:t>
            </w:r>
            <w:r>
              <w:rPr>
                <w:rStyle w:val="IndexLink"/>
              </w:rPr>
              <w:t>55</w:t>
            </w:r>
            <w:r>
              <w:rPr>
                <w:rStyle w:val="IndexLink"/>
                <w:rtl w:val="true"/>
              </w:rPr>
              <w:t xml:space="preserve">): </w:t>
            </w:r>
            <w:r>
              <w:rPr>
                <w:rStyle w:val="IndexLink"/>
                <w:rtl w:val="true"/>
              </w:rPr>
              <w:t>لو وقف علی المشتغلین فی النجف</w:t>
            </w:r>
            <w:r>
              <w:rPr>
                <w:rStyle w:val="IndexLink"/>
                <w:rtl w:val="true"/>
              </w:rPr>
              <w:t>]</w:t>
              <w:tab/>
            </w:r>
            <w:r>
              <w:rPr>
                <w:rStyle w:val="IndexLink"/>
              </w:rPr>
              <w:t>623</w:t>
            </w:r>
          </w:hyperlink>
        </w:p>
        <w:p>
          <w:pPr>
            <w:pStyle w:val="Contents4"/>
            <w:tabs>
              <w:tab w:val="clear" w:pos="8176"/>
              <w:tab w:val="right" w:pos="9026" w:leader="dot"/>
            </w:tabs>
            <w:rPr/>
          </w:pPr>
          <w:hyperlink w:anchor="__RefHeading___Toc2570088_3650668749">
            <w:r>
              <w:rPr>
                <w:webHidden/>
                <w:rStyle w:val="IndexLink"/>
                <w:rtl w:val="true"/>
              </w:rPr>
              <w:t>[ (</w:t>
            </w:r>
            <w:r>
              <w:rPr>
                <w:rStyle w:val="IndexLink"/>
                <w:rtl w:val="true"/>
              </w:rPr>
              <w:t xml:space="preserve">مسألة </w:t>
            </w:r>
            <w:r>
              <w:rPr>
                <w:rStyle w:val="IndexLink"/>
              </w:rPr>
              <w:t>56</w:t>
            </w:r>
            <w:r>
              <w:rPr>
                <w:rStyle w:val="IndexLink"/>
                <w:rtl w:val="true"/>
              </w:rPr>
              <w:t xml:space="preserve">): </w:t>
            </w:r>
            <w:r>
              <w:rPr>
                <w:rStyle w:val="IndexLink"/>
                <w:rtl w:val="true"/>
              </w:rPr>
              <w:t>لو وقف علیٰ مسجد صرفت منافعه مع الإطلاق فی تعمیره وضوئه و فرشه و خادمه</w:t>
            </w:r>
            <w:r>
              <w:rPr>
                <w:rStyle w:val="IndexLink"/>
                <w:rtl w:val="true"/>
              </w:rPr>
              <w:t>]</w:t>
              <w:tab/>
            </w:r>
            <w:r>
              <w:rPr>
                <w:rStyle w:val="IndexLink"/>
              </w:rPr>
              <w:t>623</w:t>
            </w:r>
          </w:hyperlink>
        </w:p>
        <w:p>
          <w:pPr>
            <w:pStyle w:val="Contents4"/>
            <w:tabs>
              <w:tab w:val="clear" w:pos="8176"/>
              <w:tab w:val="right" w:pos="9026" w:leader="dot"/>
            </w:tabs>
            <w:rPr/>
          </w:pPr>
          <w:hyperlink w:anchor="__RefHeading___Toc2570090_3650668749">
            <w:r>
              <w:rPr>
                <w:webHidden/>
                <w:rStyle w:val="IndexLink"/>
                <w:rtl w:val="true"/>
              </w:rPr>
              <w:t>[ (</w:t>
            </w:r>
            <w:r>
              <w:rPr>
                <w:rStyle w:val="IndexLink"/>
                <w:rtl w:val="true"/>
              </w:rPr>
              <w:t xml:space="preserve">مسألة </w:t>
            </w:r>
            <w:r>
              <w:rPr>
                <w:rStyle w:val="IndexLink"/>
              </w:rPr>
              <w:t>57</w:t>
            </w:r>
            <w:r>
              <w:rPr>
                <w:rStyle w:val="IndexLink"/>
                <w:rtl w:val="true"/>
              </w:rPr>
              <w:t xml:space="preserve">): </w:t>
            </w:r>
            <w:r>
              <w:rPr>
                <w:rStyle w:val="IndexLink"/>
                <w:rtl w:val="true"/>
              </w:rPr>
              <w:t>لو وقف علیٰ مشهد یصرف فی تعمیره وضوئه و خدّامه</w:t>
            </w:r>
            <w:r>
              <w:rPr>
                <w:rStyle w:val="IndexLink"/>
                <w:rtl w:val="true"/>
              </w:rPr>
              <w:t>]</w:t>
              <w:tab/>
            </w:r>
            <w:r>
              <w:rPr>
                <w:rStyle w:val="IndexLink"/>
              </w:rPr>
              <w:t>623</w:t>
            </w:r>
          </w:hyperlink>
        </w:p>
        <w:p>
          <w:pPr>
            <w:pStyle w:val="Contents4"/>
            <w:tabs>
              <w:tab w:val="clear" w:pos="8176"/>
              <w:tab w:val="right" w:pos="9026" w:leader="dot"/>
            </w:tabs>
            <w:rPr/>
          </w:pPr>
          <w:hyperlink w:anchor="__RefHeading___Toc2570092_3650668749">
            <w:r>
              <w:rPr>
                <w:webHidden/>
                <w:rStyle w:val="IndexLink"/>
                <w:rtl w:val="true"/>
              </w:rPr>
              <w:t>[ (</w:t>
            </w:r>
            <w:r>
              <w:rPr>
                <w:rStyle w:val="IndexLink"/>
                <w:rtl w:val="true"/>
              </w:rPr>
              <w:t xml:space="preserve">مسألة </w:t>
            </w:r>
            <w:r>
              <w:rPr>
                <w:rStyle w:val="IndexLink"/>
              </w:rPr>
              <w:t>58</w:t>
            </w:r>
            <w:r>
              <w:rPr>
                <w:rStyle w:val="IndexLink"/>
                <w:rtl w:val="true"/>
              </w:rPr>
              <w:t xml:space="preserve">): </w:t>
            </w:r>
            <w:r>
              <w:rPr>
                <w:rStyle w:val="IndexLink"/>
                <w:rtl w:val="true"/>
              </w:rPr>
              <w:t xml:space="preserve">لو وقف علی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یصرف فی إقامة تعزیته من اجرة القارئ</w:t>
            </w:r>
            <w:r>
              <w:rPr>
                <w:rStyle w:val="IndexLink"/>
                <w:rtl w:val="true"/>
              </w:rPr>
              <w:t>]</w:t>
              <w:tab/>
            </w:r>
            <w:r>
              <w:rPr>
                <w:rStyle w:val="IndexLink"/>
              </w:rPr>
              <w:t>623</w:t>
            </w:r>
          </w:hyperlink>
        </w:p>
        <w:p>
          <w:pPr>
            <w:pStyle w:val="Contents4"/>
            <w:tabs>
              <w:tab w:val="clear" w:pos="8176"/>
              <w:tab w:val="right" w:pos="9026" w:leader="dot"/>
            </w:tabs>
            <w:rPr/>
          </w:pPr>
          <w:hyperlink w:anchor="__RefHeading___Toc2570094_3650668749">
            <w:r>
              <w:rPr>
                <w:webHidden/>
                <w:rStyle w:val="IndexLink"/>
                <w:rtl w:val="true"/>
              </w:rPr>
              <w:t>[ (</w:t>
            </w:r>
            <w:r>
              <w:rPr>
                <w:rStyle w:val="IndexLink"/>
                <w:rtl w:val="true"/>
              </w:rPr>
              <w:t xml:space="preserve">مسألة </w:t>
            </w:r>
            <w:r>
              <w:rPr>
                <w:rStyle w:val="IndexLink"/>
              </w:rPr>
              <w:t>59</w:t>
            </w:r>
            <w:r>
              <w:rPr>
                <w:rStyle w:val="IndexLink"/>
                <w:rtl w:val="true"/>
              </w:rPr>
              <w:t xml:space="preserve">): </w:t>
            </w:r>
            <w:r>
              <w:rPr>
                <w:rStyle w:val="IndexLink"/>
                <w:rtl w:val="true"/>
              </w:rPr>
              <w:t>لا إشکال فی أنّه بعد تمام الوقف لیس للواقف التغییر فی الموقوف علیه</w:t>
            </w:r>
            <w:r>
              <w:rPr>
                <w:rStyle w:val="IndexLink"/>
                <w:rtl w:val="true"/>
              </w:rPr>
              <w:t>]</w:t>
              <w:tab/>
            </w:r>
            <w:r>
              <w:rPr>
                <w:rStyle w:val="IndexLink"/>
              </w:rPr>
              <w:t>624</w:t>
            </w:r>
          </w:hyperlink>
        </w:p>
        <w:p>
          <w:pPr>
            <w:pStyle w:val="Contents4"/>
            <w:tabs>
              <w:tab w:val="clear" w:pos="8176"/>
              <w:tab w:val="right" w:pos="9026" w:leader="dot"/>
            </w:tabs>
            <w:rPr/>
          </w:pPr>
          <w:hyperlink w:anchor="__RefHeading___Toc2570096_3650668749">
            <w:r>
              <w:rPr>
                <w:webHidden/>
                <w:rStyle w:val="IndexLink"/>
                <w:rtl w:val="true"/>
              </w:rPr>
              <w:t>[ (</w:t>
            </w:r>
            <w:r>
              <w:rPr>
                <w:rStyle w:val="IndexLink"/>
                <w:rtl w:val="true"/>
              </w:rPr>
              <w:t xml:space="preserve">مسألة </w:t>
            </w:r>
            <w:r>
              <w:rPr>
                <w:rStyle w:val="IndexLink"/>
              </w:rPr>
              <w:t>60</w:t>
            </w:r>
            <w:r>
              <w:rPr>
                <w:rStyle w:val="IndexLink"/>
                <w:rtl w:val="true"/>
              </w:rPr>
              <w:t xml:space="preserve">): </w:t>
            </w:r>
            <w:r>
              <w:rPr>
                <w:rStyle w:val="IndexLink"/>
                <w:rtl w:val="true"/>
              </w:rPr>
              <w:t>إذا علم وقفیّة شی‌ء و لم یعلم مصرفه</w:t>
            </w:r>
            <w:r>
              <w:rPr>
                <w:rStyle w:val="IndexLink"/>
                <w:rtl w:val="true"/>
              </w:rPr>
              <w:t>]</w:t>
              <w:tab/>
            </w:r>
            <w:r>
              <w:rPr>
                <w:rStyle w:val="IndexLink"/>
              </w:rPr>
              <w:t>624</w:t>
            </w:r>
          </w:hyperlink>
        </w:p>
        <w:p>
          <w:pPr>
            <w:pStyle w:val="Contents4"/>
            <w:tabs>
              <w:tab w:val="clear" w:pos="8176"/>
              <w:tab w:val="right" w:pos="9026" w:leader="dot"/>
            </w:tabs>
            <w:rPr/>
          </w:pPr>
          <w:hyperlink w:anchor="__RefHeading___Toc2570098_3650668749">
            <w:r>
              <w:rPr>
                <w:webHidden/>
                <w:rStyle w:val="IndexLink"/>
                <w:rtl w:val="true"/>
              </w:rPr>
              <w:t>[ (</w:t>
            </w:r>
            <w:r>
              <w:rPr>
                <w:rStyle w:val="IndexLink"/>
                <w:rtl w:val="true"/>
              </w:rPr>
              <w:t xml:space="preserve">مسألة </w:t>
            </w:r>
            <w:r>
              <w:rPr>
                <w:rStyle w:val="IndexLink"/>
              </w:rPr>
              <w:t>61</w:t>
            </w:r>
            <w:r>
              <w:rPr>
                <w:rStyle w:val="IndexLink"/>
                <w:rtl w:val="true"/>
              </w:rPr>
              <w:t xml:space="preserve">): </w:t>
            </w:r>
            <w:r>
              <w:rPr>
                <w:rStyle w:val="IndexLink"/>
                <w:rtl w:val="true"/>
              </w:rPr>
              <w:t>إذا کانت للعین الموقوفة منافع متجدّدة و ثمرات متنوّعة</w:t>
            </w:r>
            <w:r>
              <w:rPr>
                <w:rStyle w:val="IndexLink"/>
                <w:rtl w:val="true"/>
              </w:rPr>
              <w:t>]</w:t>
              <w:tab/>
            </w:r>
            <w:r>
              <w:rPr>
                <w:rStyle w:val="IndexLink"/>
              </w:rPr>
              <w:t>624</w:t>
            </w:r>
          </w:hyperlink>
        </w:p>
        <w:p>
          <w:pPr>
            <w:pStyle w:val="Contents4"/>
            <w:tabs>
              <w:tab w:val="clear" w:pos="8176"/>
              <w:tab w:val="right" w:pos="9026" w:leader="dot"/>
            </w:tabs>
            <w:rPr/>
          </w:pPr>
          <w:hyperlink w:anchor="__RefHeading___Toc2570100_3650668749">
            <w:r>
              <w:rPr>
                <w:webHidden/>
                <w:rStyle w:val="IndexLink"/>
                <w:rtl w:val="true"/>
              </w:rPr>
              <w:t>[ (</w:t>
            </w:r>
            <w:r>
              <w:rPr>
                <w:rStyle w:val="IndexLink"/>
                <w:rtl w:val="true"/>
              </w:rPr>
              <w:t xml:space="preserve">مسألة </w:t>
            </w:r>
            <w:r>
              <w:rPr>
                <w:rStyle w:val="IndexLink"/>
              </w:rPr>
              <w:t>62</w:t>
            </w:r>
            <w:r>
              <w:rPr>
                <w:rStyle w:val="IndexLink"/>
                <w:rtl w:val="true"/>
              </w:rPr>
              <w:t xml:space="preserve">): </w:t>
            </w:r>
            <w:r>
              <w:rPr>
                <w:rStyle w:val="IndexLink"/>
                <w:rtl w:val="true"/>
              </w:rPr>
              <w:t>لو وقف علیٰ مصلحة فبطل رسمها</w:t>
            </w:r>
            <w:r>
              <w:rPr>
                <w:rStyle w:val="IndexLink"/>
                <w:rtl w:val="true"/>
              </w:rPr>
              <w:t>]</w:t>
              <w:tab/>
            </w:r>
            <w:r>
              <w:rPr>
                <w:rStyle w:val="IndexLink"/>
              </w:rPr>
              <w:t>625</w:t>
            </w:r>
          </w:hyperlink>
        </w:p>
        <w:p>
          <w:pPr>
            <w:pStyle w:val="Contents4"/>
            <w:tabs>
              <w:tab w:val="clear" w:pos="8176"/>
              <w:tab w:val="right" w:pos="9026" w:leader="dot"/>
            </w:tabs>
            <w:rPr/>
          </w:pPr>
          <w:hyperlink w:anchor="__RefHeading___Toc2570102_3650668749">
            <w:r>
              <w:rPr>
                <w:webHidden/>
                <w:rStyle w:val="IndexLink"/>
                <w:rtl w:val="true"/>
              </w:rPr>
              <w:t>[ (</w:t>
            </w:r>
            <w:r>
              <w:rPr>
                <w:rStyle w:val="IndexLink"/>
                <w:rtl w:val="true"/>
              </w:rPr>
              <w:t xml:space="preserve">مسألة </w:t>
            </w:r>
            <w:r>
              <w:rPr>
                <w:rStyle w:val="IndexLink"/>
              </w:rPr>
              <w:t>63</w:t>
            </w:r>
            <w:r>
              <w:rPr>
                <w:rStyle w:val="IndexLink"/>
                <w:rtl w:val="true"/>
              </w:rPr>
              <w:t xml:space="preserve">): </w:t>
            </w:r>
            <w:r>
              <w:rPr>
                <w:rStyle w:val="IndexLink"/>
                <w:rtl w:val="true"/>
              </w:rPr>
              <w:t>إذا خرب المسجد لم تخرج عرصته عن المسجدیّة</w:t>
            </w:r>
            <w:r>
              <w:rPr>
                <w:rStyle w:val="IndexLink"/>
                <w:rtl w:val="true"/>
              </w:rPr>
              <w:t>]</w:t>
              <w:tab/>
            </w:r>
            <w:r>
              <w:rPr>
                <w:rStyle w:val="IndexLink"/>
              </w:rPr>
              <w:t>625</w:t>
            </w:r>
          </w:hyperlink>
        </w:p>
        <w:p>
          <w:pPr>
            <w:pStyle w:val="Contents4"/>
            <w:tabs>
              <w:tab w:val="clear" w:pos="8176"/>
              <w:tab w:val="right" w:pos="9026" w:leader="dot"/>
            </w:tabs>
            <w:rPr/>
          </w:pPr>
          <w:hyperlink w:anchor="__RefHeading___Toc2570104_3650668749">
            <w:r>
              <w:rPr>
                <w:webHidden/>
                <w:rStyle w:val="IndexLink"/>
                <w:rtl w:val="true"/>
              </w:rPr>
              <w:t>[ (</w:t>
            </w:r>
            <w:r>
              <w:rPr>
                <w:rStyle w:val="IndexLink"/>
                <w:rtl w:val="true"/>
              </w:rPr>
              <w:t xml:space="preserve">مسألة </w:t>
            </w:r>
            <w:r>
              <w:rPr>
                <w:rStyle w:val="IndexLink"/>
              </w:rPr>
              <w:t>64</w:t>
            </w:r>
            <w:r>
              <w:rPr>
                <w:rStyle w:val="IndexLink"/>
                <w:rtl w:val="true"/>
              </w:rPr>
              <w:t xml:space="preserve">): </w:t>
            </w:r>
            <w:r>
              <w:rPr>
                <w:rStyle w:val="IndexLink"/>
                <w:rtl w:val="true"/>
              </w:rPr>
              <w:t>لو وقف داراً علیٰ أولاده أو علی المحتاجین منهم فإن أطلق فهو وقف منفعة</w:t>
            </w:r>
            <w:r>
              <w:rPr>
                <w:rStyle w:val="IndexLink"/>
                <w:rtl w:val="true"/>
              </w:rPr>
              <w:t>]</w:t>
              <w:tab/>
            </w:r>
            <w:r>
              <w:rPr>
                <w:rStyle w:val="IndexLink"/>
              </w:rPr>
              <w:t>625</w:t>
            </w:r>
          </w:hyperlink>
        </w:p>
        <w:p>
          <w:pPr>
            <w:pStyle w:val="Contents4"/>
            <w:tabs>
              <w:tab w:val="clear" w:pos="8176"/>
              <w:tab w:val="right" w:pos="9026" w:leader="dot"/>
            </w:tabs>
            <w:rPr/>
          </w:pPr>
          <w:hyperlink w:anchor="__RefHeading___Toc2570106_3650668749">
            <w:r>
              <w:rPr>
                <w:webHidden/>
                <w:rStyle w:val="IndexLink"/>
                <w:rtl w:val="true"/>
              </w:rPr>
              <w:t>[ (</w:t>
            </w:r>
            <w:r>
              <w:rPr>
                <w:rStyle w:val="IndexLink"/>
                <w:rtl w:val="true"/>
              </w:rPr>
              <w:t xml:space="preserve">مسألة </w:t>
            </w:r>
            <w:r>
              <w:rPr>
                <w:rStyle w:val="IndexLink"/>
              </w:rPr>
              <w:t>65</w:t>
            </w:r>
            <w:r>
              <w:rPr>
                <w:rStyle w:val="IndexLink"/>
                <w:rtl w:val="true"/>
              </w:rPr>
              <w:t xml:space="preserve">): </w:t>
            </w:r>
            <w:r>
              <w:rPr>
                <w:rStyle w:val="IndexLink"/>
                <w:rtl w:val="true"/>
              </w:rPr>
              <w:t>الثمر الموجود حال الوقف علی النخل و الشجر لا یکون للموقوف علیهم</w:t>
            </w:r>
            <w:r>
              <w:rPr>
                <w:rStyle w:val="IndexLink"/>
                <w:rtl w:val="true"/>
              </w:rPr>
              <w:t>]</w:t>
              <w:tab/>
            </w:r>
            <w:r>
              <w:rPr>
                <w:rStyle w:val="IndexLink"/>
              </w:rPr>
              <w:t>626</w:t>
            </w:r>
          </w:hyperlink>
        </w:p>
        <w:p>
          <w:pPr>
            <w:pStyle w:val="Contents4"/>
            <w:tabs>
              <w:tab w:val="clear" w:pos="8176"/>
              <w:tab w:val="right" w:pos="9026" w:leader="dot"/>
            </w:tabs>
            <w:rPr/>
          </w:pPr>
          <w:hyperlink w:anchor="__RefHeading___Toc2570108_3650668749">
            <w:r>
              <w:rPr>
                <w:webHidden/>
                <w:rStyle w:val="IndexLink"/>
                <w:rtl w:val="true"/>
              </w:rPr>
              <w:t>[ (</w:t>
            </w:r>
            <w:r>
              <w:rPr>
                <w:rStyle w:val="IndexLink"/>
                <w:rtl w:val="true"/>
              </w:rPr>
              <w:t xml:space="preserve">مسألة </w:t>
            </w:r>
            <w:r>
              <w:rPr>
                <w:rStyle w:val="IndexLink"/>
              </w:rPr>
              <w:t>66</w:t>
            </w:r>
            <w:r>
              <w:rPr>
                <w:rStyle w:val="IndexLink"/>
                <w:rtl w:val="true"/>
              </w:rPr>
              <w:t xml:space="preserve">): </w:t>
            </w:r>
            <w:r>
              <w:rPr>
                <w:rStyle w:val="IndexLink"/>
                <w:rtl w:val="true"/>
              </w:rPr>
              <w:t>لو قال</w:t>
            </w:r>
            <w:r>
              <w:rPr>
                <w:rStyle w:val="IndexLink"/>
                <w:rtl w:val="true"/>
              </w:rPr>
              <w:t>: «</w:t>
            </w:r>
            <w:r>
              <w:rPr>
                <w:rStyle w:val="IndexLink"/>
                <w:rtl w:val="true"/>
              </w:rPr>
              <w:t>وقفت علیٰ أولادی و أولاد أولادی</w:t>
            </w:r>
            <w:r>
              <w:rPr>
                <w:rStyle w:val="IndexLink"/>
                <w:rtl w:val="true"/>
              </w:rPr>
              <w:t xml:space="preserve">» </w:t>
            </w:r>
            <w:r>
              <w:rPr>
                <w:rStyle w:val="IndexLink"/>
                <w:rtl w:val="true"/>
              </w:rPr>
              <w:t>شمل جمیع البطون</w:t>
            </w:r>
            <w:r>
              <w:rPr>
                <w:rStyle w:val="IndexLink"/>
                <w:rtl w:val="true"/>
              </w:rPr>
              <w:t>]</w:t>
              <w:tab/>
            </w:r>
            <w:r>
              <w:rPr>
                <w:rStyle w:val="IndexLink"/>
              </w:rPr>
              <w:t>626</w:t>
            </w:r>
          </w:hyperlink>
        </w:p>
        <w:p>
          <w:pPr>
            <w:pStyle w:val="Contents4"/>
            <w:tabs>
              <w:tab w:val="clear" w:pos="8176"/>
              <w:tab w:val="right" w:pos="9026" w:leader="dot"/>
            </w:tabs>
            <w:rPr/>
          </w:pPr>
          <w:hyperlink w:anchor="__RefHeading___Toc2570110_3650668749">
            <w:r>
              <w:rPr>
                <w:webHidden/>
                <w:rStyle w:val="IndexLink"/>
                <w:rtl w:val="true"/>
              </w:rPr>
              <w:t>[ (</w:t>
            </w:r>
            <w:r>
              <w:rPr>
                <w:rStyle w:val="IndexLink"/>
                <w:rtl w:val="true"/>
              </w:rPr>
              <w:t xml:space="preserve">مسألة </w:t>
            </w:r>
            <w:r>
              <w:rPr>
                <w:rStyle w:val="IndexLink"/>
              </w:rPr>
              <w:t>67</w:t>
            </w:r>
            <w:r>
              <w:rPr>
                <w:rStyle w:val="IndexLink"/>
                <w:rtl w:val="true"/>
              </w:rPr>
              <w:t xml:space="preserve">): </w:t>
            </w:r>
            <w:r>
              <w:rPr>
                <w:rStyle w:val="IndexLink"/>
                <w:rtl w:val="true"/>
              </w:rPr>
              <w:t>لا ینبغی الإشکال فی أنّ الوقف بعد ما تمّ یوجب زوال ملک الواقف عن العین الموقوفة</w:t>
            </w:r>
            <w:r>
              <w:rPr>
                <w:rStyle w:val="IndexLink"/>
                <w:rtl w:val="true"/>
              </w:rPr>
              <w:t>]</w:t>
              <w:tab/>
            </w:r>
            <w:r>
              <w:rPr>
                <w:rStyle w:val="IndexLink"/>
              </w:rPr>
              <w:t>626</w:t>
            </w:r>
          </w:hyperlink>
        </w:p>
        <w:p>
          <w:pPr>
            <w:pStyle w:val="Contents4"/>
            <w:tabs>
              <w:tab w:val="clear" w:pos="8176"/>
              <w:tab w:val="right" w:pos="9026" w:leader="dot"/>
            </w:tabs>
            <w:rPr/>
          </w:pPr>
          <w:hyperlink w:anchor="__RefHeading___Toc2570112_3650668749">
            <w:r>
              <w:rPr>
                <w:webHidden/>
                <w:rStyle w:val="IndexLink"/>
                <w:rtl w:val="true"/>
              </w:rPr>
              <w:t>[ (</w:t>
            </w:r>
            <w:r>
              <w:rPr>
                <w:rStyle w:val="IndexLink"/>
                <w:rtl w:val="true"/>
              </w:rPr>
              <w:t xml:space="preserve">مسألة </w:t>
            </w:r>
            <w:r>
              <w:rPr>
                <w:rStyle w:val="IndexLink"/>
              </w:rPr>
              <w:t>68</w:t>
            </w:r>
            <w:r>
              <w:rPr>
                <w:rStyle w:val="IndexLink"/>
                <w:rtl w:val="true"/>
              </w:rPr>
              <w:t xml:space="preserve">): </w:t>
            </w:r>
            <w:r>
              <w:rPr>
                <w:rStyle w:val="IndexLink"/>
                <w:rtl w:val="true"/>
              </w:rPr>
              <w:t>لا یجوز تغییر الوقف و إبطال رسمه و إزالة عنوانه و لو إلیٰ عنوان آخر</w:t>
            </w:r>
            <w:r>
              <w:rPr>
                <w:rStyle w:val="IndexLink"/>
                <w:rtl w:val="true"/>
              </w:rPr>
              <w:t>]</w:t>
              <w:tab/>
            </w:r>
            <w:r>
              <w:rPr>
                <w:rStyle w:val="IndexLink"/>
              </w:rPr>
              <w:t>627</w:t>
            </w:r>
          </w:hyperlink>
        </w:p>
        <w:p>
          <w:pPr>
            <w:pStyle w:val="Contents4"/>
            <w:tabs>
              <w:tab w:val="clear" w:pos="8176"/>
              <w:tab w:val="right" w:pos="9026" w:leader="dot"/>
            </w:tabs>
            <w:rPr/>
          </w:pPr>
          <w:hyperlink w:anchor="__RefHeading___Toc2570114_3650668749">
            <w:r>
              <w:rPr>
                <w:webHidden/>
                <w:rStyle w:val="IndexLink"/>
                <w:rtl w:val="true"/>
              </w:rPr>
              <w:t>[ (</w:t>
            </w:r>
            <w:r>
              <w:rPr>
                <w:rStyle w:val="IndexLink"/>
                <w:rtl w:val="true"/>
              </w:rPr>
              <w:t xml:space="preserve">مسألة </w:t>
            </w:r>
            <w:r>
              <w:rPr>
                <w:rStyle w:val="IndexLink"/>
              </w:rPr>
              <w:t>69</w:t>
            </w:r>
            <w:r>
              <w:rPr>
                <w:rStyle w:val="IndexLink"/>
                <w:rtl w:val="true"/>
              </w:rPr>
              <w:t xml:space="preserve">): </w:t>
            </w:r>
            <w:r>
              <w:rPr>
                <w:rStyle w:val="IndexLink"/>
                <w:rtl w:val="true"/>
              </w:rPr>
              <w:t>لو خرب الوقف و انهدم و زال عنوانه</w:t>
            </w:r>
            <w:r>
              <w:rPr>
                <w:rStyle w:val="IndexLink"/>
                <w:rtl w:val="true"/>
              </w:rPr>
              <w:t>]</w:t>
              <w:tab/>
            </w:r>
            <w:r>
              <w:rPr>
                <w:rStyle w:val="IndexLink"/>
              </w:rPr>
              <w:t>627</w:t>
            </w:r>
          </w:hyperlink>
        </w:p>
        <w:p>
          <w:pPr>
            <w:pStyle w:val="Contents4"/>
            <w:tabs>
              <w:tab w:val="clear" w:pos="8176"/>
              <w:tab w:val="right" w:pos="9026" w:leader="dot"/>
            </w:tabs>
            <w:rPr/>
          </w:pPr>
          <w:hyperlink w:anchor="__RefHeading___Toc2570116_3650668749">
            <w:r>
              <w:rPr>
                <w:webHidden/>
                <w:rStyle w:val="IndexLink"/>
                <w:rtl w:val="true"/>
              </w:rPr>
              <w:t>[ (</w:t>
            </w:r>
            <w:r>
              <w:rPr>
                <w:rStyle w:val="IndexLink"/>
                <w:rtl w:val="true"/>
              </w:rPr>
              <w:t xml:space="preserve">مسألة </w:t>
            </w:r>
            <w:r>
              <w:rPr>
                <w:rStyle w:val="IndexLink"/>
              </w:rPr>
              <w:t>70</w:t>
            </w:r>
            <w:r>
              <w:rPr>
                <w:rStyle w:val="IndexLink"/>
                <w:rtl w:val="true"/>
              </w:rPr>
              <w:t xml:space="preserve">): </w:t>
            </w:r>
            <w:r>
              <w:rPr>
                <w:rStyle w:val="IndexLink"/>
                <w:rtl w:val="true"/>
              </w:rPr>
              <w:t>إذا احتاجت الأملاک الموقوفة إلیٰ تعمیر و ترمیم و إصلاح لبقائها و الاستنماء بها</w:t>
            </w:r>
            <w:r>
              <w:rPr>
                <w:rStyle w:val="IndexLink"/>
                <w:rtl w:val="true"/>
              </w:rPr>
              <w:t>]</w:t>
              <w:tab/>
            </w:r>
            <w:r>
              <w:rPr>
                <w:rStyle w:val="IndexLink"/>
              </w:rPr>
              <w:t>627</w:t>
            </w:r>
          </w:hyperlink>
        </w:p>
        <w:p>
          <w:pPr>
            <w:pStyle w:val="Contents4"/>
            <w:tabs>
              <w:tab w:val="clear" w:pos="8176"/>
              <w:tab w:val="right" w:pos="9026" w:leader="dot"/>
            </w:tabs>
            <w:rPr/>
          </w:pPr>
          <w:hyperlink w:anchor="__RefHeading___Toc2570118_3650668749">
            <w:r>
              <w:rPr>
                <w:webHidden/>
                <w:rStyle w:val="IndexLink"/>
                <w:rtl w:val="true"/>
              </w:rPr>
              <w:t>[ (</w:t>
            </w:r>
            <w:r>
              <w:rPr>
                <w:rStyle w:val="IndexLink"/>
                <w:rtl w:val="true"/>
              </w:rPr>
              <w:t xml:space="preserve">مسألة </w:t>
            </w:r>
            <w:r>
              <w:rPr>
                <w:rStyle w:val="IndexLink"/>
              </w:rPr>
              <w:t>71</w:t>
            </w:r>
            <w:r>
              <w:rPr>
                <w:rStyle w:val="IndexLink"/>
                <w:rtl w:val="true"/>
              </w:rPr>
              <w:t xml:space="preserve">): </w:t>
            </w:r>
            <w:r>
              <w:rPr>
                <w:rStyle w:val="IndexLink"/>
                <w:rtl w:val="true"/>
              </w:rPr>
              <w:t>الأوقاف علی الجهات العامّة التی قد مرّ أنّه لا یملکها أحد</w:t>
            </w:r>
            <w:r>
              <w:rPr>
                <w:rStyle w:val="IndexLink"/>
                <w:rtl w:val="true"/>
              </w:rPr>
              <w:t>]</w:t>
              <w:tab/>
            </w:r>
            <w:r>
              <w:rPr>
                <w:rStyle w:val="IndexLink"/>
              </w:rPr>
              <w:t>627</w:t>
            </w:r>
          </w:hyperlink>
        </w:p>
        <w:p>
          <w:pPr>
            <w:pStyle w:val="Contents4"/>
            <w:tabs>
              <w:tab w:val="clear" w:pos="8176"/>
              <w:tab w:val="right" w:pos="9026" w:leader="dot"/>
            </w:tabs>
            <w:rPr/>
          </w:pPr>
          <w:hyperlink w:anchor="__RefHeading___Toc2570120_3650668749">
            <w:r>
              <w:rPr>
                <w:webHidden/>
                <w:rStyle w:val="IndexLink"/>
                <w:rtl w:val="true"/>
              </w:rPr>
              <w:t>[ (</w:t>
            </w:r>
            <w:r>
              <w:rPr>
                <w:rStyle w:val="IndexLink"/>
                <w:rtl w:val="true"/>
              </w:rPr>
              <w:t xml:space="preserve">مسألة </w:t>
            </w:r>
            <w:r>
              <w:rPr>
                <w:rStyle w:val="IndexLink"/>
              </w:rPr>
              <w:t>72</w:t>
            </w:r>
            <w:r>
              <w:rPr>
                <w:rStyle w:val="IndexLink"/>
                <w:rtl w:val="true"/>
              </w:rPr>
              <w:t xml:space="preserve">): </w:t>
            </w:r>
            <w:r>
              <w:rPr>
                <w:rStyle w:val="IndexLink"/>
                <w:rtl w:val="true"/>
              </w:rPr>
              <w:t>کما لا یجوز بیع تلک الأوقاف، الظاهر أنّه لا یجوز إجارتها</w:t>
            </w:r>
            <w:r>
              <w:rPr>
                <w:rStyle w:val="IndexLink"/>
                <w:rtl w:val="true"/>
              </w:rPr>
              <w:t>]</w:t>
              <w:tab/>
            </w:r>
            <w:r>
              <w:rPr>
                <w:rStyle w:val="IndexLink"/>
              </w:rPr>
              <w:t>628</w:t>
            </w:r>
          </w:hyperlink>
        </w:p>
        <w:p>
          <w:pPr>
            <w:pStyle w:val="Contents4"/>
            <w:tabs>
              <w:tab w:val="clear" w:pos="8176"/>
              <w:tab w:val="right" w:pos="9026" w:leader="dot"/>
            </w:tabs>
            <w:rPr/>
          </w:pPr>
          <w:hyperlink w:anchor="__RefHeading___Toc2570122_3650668749">
            <w:r>
              <w:rPr>
                <w:webHidden/>
                <w:rStyle w:val="IndexLink"/>
                <w:rtl w:val="true"/>
              </w:rPr>
              <w:t>[ (</w:t>
            </w:r>
            <w:r>
              <w:rPr>
                <w:rStyle w:val="IndexLink"/>
                <w:rtl w:val="true"/>
              </w:rPr>
              <w:t xml:space="preserve">مسألة </w:t>
            </w:r>
            <w:r>
              <w:rPr>
                <w:rStyle w:val="IndexLink"/>
              </w:rPr>
              <w:t>73</w:t>
            </w:r>
            <w:r>
              <w:rPr>
                <w:rStyle w:val="IndexLink"/>
                <w:rtl w:val="true"/>
              </w:rPr>
              <w:t xml:space="preserve">): </w:t>
            </w:r>
            <w:r>
              <w:rPr>
                <w:rStyle w:val="IndexLink"/>
                <w:rtl w:val="true"/>
              </w:rPr>
              <w:t>الأوقاف الخاصّة کالوقف علی الأولاد</w:t>
            </w:r>
            <w:r>
              <w:rPr>
                <w:rStyle w:val="IndexLink"/>
                <w:rtl w:val="true"/>
              </w:rPr>
              <w:t>]</w:t>
              <w:tab/>
            </w:r>
            <w:r>
              <w:rPr>
                <w:rStyle w:val="IndexLink"/>
              </w:rPr>
              <w:t>628</w:t>
            </w:r>
          </w:hyperlink>
        </w:p>
        <w:p>
          <w:pPr>
            <w:pStyle w:val="Contents4"/>
            <w:tabs>
              <w:tab w:val="clear" w:pos="8176"/>
              <w:tab w:val="right" w:pos="9026" w:leader="dot"/>
            </w:tabs>
            <w:rPr/>
          </w:pPr>
          <w:hyperlink w:anchor="__RefHeading___Toc2570124_3650668749">
            <w:r>
              <w:rPr>
                <w:webHidden/>
                <w:rStyle w:val="IndexLink"/>
                <w:rtl w:val="true"/>
              </w:rPr>
              <w:t>[ (</w:t>
            </w:r>
            <w:r>
              <w:rPr>
                <w:rStyle w:val="IndexLink"/>
                <w:rtl w:val="true"/>
              </w:rPr>
              <w:t xml:space="preserve">مسألة </w:t>
            </w:r>
            <w:r>
              <w:rPr>
                <w:rStyle w:val="IndexLink"/>
              </w:rPr>
              <w:t>74</w:t>
            </w:r>
            <w:r>
              <w:rPr>
                <w:rStyle w:val="IndexLink"/>
                <w:rtl w:val="true"/>
              </w:rPr>
              <w:t xml:space="preserve">): </w:t>
            </w:r>
            <w:r>
              <w:rPr>
                <w:rStyle w:val="IndexLink"/>
                <w:rtl w:val="true"/>
              </w:rPr>
              <w:t>لا إشکال فی جواز إجارة ما وقف وقف منفعة</w:t>
            </w:r>
            <w:r>
              <w:rPr>
                <w:rStyle w:val="IndexLink"/>
                <w:rtl w:val="true"/>
              </w:rPr>
              <w:t>]</w:t>
              <w:tab/>
            </w:r>
            <w:r>
              <w:rPr>
                <w:rStyle w:val="IndexLink"/>
              </w:rPr>
              <w:t>629</w:t>
            </w:r>
          </w:hyperlink>
        </w:p>
        <w:p>
          <w:pPr>
            <w:pStyle w:val="Contents4"/>
            <w:tabs>
              <w:tab w:val="clear" w:pos="8176"/>
              <w:tab w:val="right" w:pos="9026" w:leader="dot"/>
            </w:tabs>
            <w:rPr/>
          </w:pPr>
          <w:hyperlink w:anchor="__RefHeading___Toc2570126_3650668749">
            <w:r>
              <w:rPr>
                <w:webHidden/>
                <w:rStyle w:val="IndexLink"/>
                <w:rtl w:val="true"/>
              </w:rPr>
              <w:t>[ (</w:t>
            </w:r>
            <w:r>
              <w:rPr>
                <w:rStyle w:val="IndexLink"/>
                <w:rtl w:val="true"/>
              </w:rPr>
              <w:t xml:space="preserve">مسألة </w:t>
            </w:r>
            <w:r>
              <w:rPr>
                <w:rStyle w:val="IndexLink"/>
              </w:rPr>
              <w:t>75</w:t>
            </w:r>
            <w:r>
              <w:rPr>
                <w:rStyle w:val="IndexLink"/>
                <w:rtl w:val="true"/>
              </w:rPr>
              <w:t xml:space="preserve">): </w:t>
            </w:r>
            <w:r>
              <w:rPr>
                <w:rStyle w:val="IndexLink"/>
                <w:rtl w:val="true"/>
              </w:rPr>
              <w:t>إذا خرب بعض الوقف بحیث جاز بیعه</w:t>
            </w:r>
            <w:r>
              <w:rPr>
                <w:rStyle w:val="IndexLink"/>
                <w:rtl w:val="true"/>
              </w:rPr>
              <w:t>]</w:t>
              <w:tab/>
            </w:r>
            <w:r>
              <w:rPr>
                <w:rStyle w:val="IndexLink"/>
              </w:rPr>
              <w:t>630</w:t>
            </w:r>
          </w:hyperlink>
        </w:p>
        <w:p>
          <w:pPr>
            <w:pStyle w:val="Contents4"/>
            <w:tabs>
              <w:tab w:val="clear" w:pos="8176"/>
              <w:tab w:val="right" w:pos="9026" w:leader="dot"/>
            </w:tabs>
            <w:rPr/>
          </w:pPr>
          <w:hyperlink w:anchor="__RefHeading___Toc2570128_3650668749">
            <w:r>
              <w:rPr>
                <w:webHidden/>
                <w:rStyle w:val="IndexLink"/>
                <w:rtl w:val="true"/>
              </w:rPr>
              <w:t>[ (</w:t>
            </w:r>
            <w:r>
              <w:rPr>
                <w:rStyle w:val="IndexLink"/>
                <w:rtl w:val="true"/>
              </w:rPr>
              <w:t xml:space="preserve">مسألة </w:t>
            </w:r>
            <w:r>
              <w:rPr>
                <w:rStyle w:val="IndexLink"/>
              </w:rPr>
              <w:t>76</w:t>
            </w:r>
            <w:r>
              <w:rPr>
                <w:rStyle w:val="IndexLink"/>
                <w:rtl w:val="true"/>
              </w:rPr>
              <w:t xml:space="preserve">): </w:t>
            </w:r>
            <w:r>
              <w:rPr>
                <w:rStyle w:val="IndexLink"/>
                <w:rtl w:val="true"/>
              </w:rPr>
              <w:t>لا إشکال فی جواز قسمة الوقف عن الملک الطلق فیما إذا کانت العین مشترکة بین الوقف و الطلق</w:t>
            </w:r>
            <w:r>
              <w:rPr>
                <w:rStyle w:val="IndexLink"/>
                <w:rtl w:val="true"/>
              </w:rPr>
              <w:t>]</w:t>
              <w:tab/>
            </w:r>
            <w:r>
              <w:rPr>
                <w:rStyle w:val="IndexLink"/>
              </w:rPr>
              <w:t>630</w:t>
            </w:r>
          </w:hyperlink>
        </w:p>
        <w:p>
          <w:pPr>
            <w:pStyle w:val="Contents4"/>
            <w:tabs>
              <w:tab w:val="clear" w:pos="8176"/>
              <w:tab w:val="right" w:pos="9026" w:leader="dot"/>
            </w:tabs>
            <w:rPr/>
          </w:pPr>
          <w:hyperlink w:anchor="__RefHeading___Toc2570130_3650668749">
            <w:r>
              <w:rPr>
                <w:webHidden/>
                <w:rStyle w:val="IndexLink"/>
                <w:rtl w:val="true"/>
              </w:rPr>
              <w:t>[ (</w:t>
            </w:r>
            <w:r>
              <w:rPr>
                <w:rStyle w:val="IndexLink"/>
                <w:rtl w:val="true"/>
              </w:rPr>
              <w:t xml:space="preserve">مسألة </w:t>
            </w:r>
            <w:r>
              <w:rPr>
                <w:rStyle w:val="IndexLink"/>
              </w:rPr>
              <w:t>77</w:t>
            </w:r>
            <w:r>
              <w:rPr>
                <w:rStyle w:val="IndexLink"/>
                <w:rtl w:val="true"/>
              </w:rPr>
              <w:t xml:space="preserve">): </w:t>
            </w:r>
            <w:r>
              <w:rPr>
                <w:rStyle w:val="IndexLink"/>
                <w:rtl w:val="true"/>
              </w:rPr>
              <w:t>لو آجر الوقف البطن الأوّل و انقرضوا قبل انقضاء مدّة الإجارة</w:t>
            </w:r>
            <w:r>
              <w:rPr>
                <w:rStyle w:val="IndexLink"/>
                <w:rtl w:val="true"/>
              </w:rPr>
              <w:t>]</w:t>
              <w:tab/>
            </w:r>
            <w:r>
              <w:rPr>
                <w:rStyle w:val="IndexLink"/>
              </w:rPr>
              <w:t>630</w:t>
            </w:r>
          </w:hyperlink>
        </w:p>
        <w:p>
          <w:pPr>
            <w:pStyle w:val="Contents4"/>
            <w:tabs>
              <w:tab w:val="clear" w:pos="8176"/>
              <w:tab w:val="right" w:pos="9026" w:leader="dot"/>
            </w:tabs>
            <w:rPr/>
          </w:pPr>
          <w:hyperlink w:anchor="__RefHeading___Toc2570132_3650668749">
            <w:r>
              <w:rPr>
                <w:webHidden/>
                <w:rStyle w:val="IndexLink"/>
                <w:rtl w:val="true"/>
              </w:rPr>
              <w:t>[ (</w:t>
            </w:r>
            <w:r>
              <w:rPr>
                <w:rStyle w:val="IndexLink"/>
                <w:rtl w:val="true"/>
              </w:rPr>
              <w:t xml:space="preserve">مسألة </w:t>
            </w:r>
            <w:r>
              <w:rPr>
                <w:rStyle w:val="IndexLink"/>
              </w:rPr>
              <w:t>78</w:t>
            </w:r>
            <w:r>
              <w:rPr>
                <w:rStyle w:val="IndexLink"/>
                <w:rtl w:val="true"/>
              </w:rPr>
              <w:t xml:space="preserve">): </w:t>
            </w:r>
            <w:r>
              <w:rPr>
                <w:rStyle w:val="IndexLink"/>
                <w:rtl w:val="true"/>
              </w:rPr>
              <w:t>یجوز للواقف أن یجعل تولیة الوقف و نظارته لنفسه</w:t>
            </w:r>
            <w:r>
              <w:rPr>
                <w:rStyle w:val="IndexLink"/>
                <w:rtl w:val="true"/>
              </w:rPr>
              <w:t>]</w:t>
              <w:tab/>
            </w:r>
            <w:r>
              <w:rPr>
                <w:rStyle w:val="IndexLink"/>
              </w:rPr>
              <w:t>631</w:t>
            </w:r>
          </w:hyperlink>
        </w:p>
        <w:p>
          <w:pPr>
            <w:pStyle w:val="Contents4"/>
            <w:tabs>
              <w:tab w:val="clear" w:pos="8176"/>
              <w:tab w:val="right" w:pos="9026" w:leader="dot"/>
            </w:tabs>
            <w:rPr/>
          </w:pPr>
          <w:hyperlink w:anchor="__RefHeading___Toc2570134_3650668749">
            <w:r>
              <w:rPr>
                <w:webHidden/>
                <w:rStyle w:val="IndexLink"/>
                <w:rtl w:val="true"/>
              </w:rPr>
              <w:t>[ (</w:t>
            </w:r>
            <w:r>
              <w:rPr>
                <w:rStyle w:val="IndexLink"/>
                <w:rtl w:val="true"/>
              </w:rPr>
              <w:t xml:space="preserve">مسألة </w:t>
            </w:r>
            <w:r>
              <w:rPr>
                <w:rStyle w:val="IndexLink"/>
              </w:rPr>
              <w:t>79</w:t>
            </w:r>
            <w:r>
              <w:rPr>
                <w:rStyle w:val="IndexLink"/>
                <w:rtl w:val="true"/>
              </w:rPr>
              <w:t xml:space="preserve">): </w:t>
            </w:r>
            <w:r>
              <w:rPr>
                <w:rStyle w:val="IndexLink"/>
                <w:rtl w:val="true"/>
              </w:rPr>
              <w:t>إنّما یکون للواقف جعل التولیة لنفسه أو لغیره حین إیقاع الوقف</w:t>
            </w:r>
            <w:r>
              <w:rPr>
                <w:rStyle w:val="IndexLink"/>
                <w:rtl w:val="true"/>
              </w:rPr>
              <w:t>]</w:t>
              <w:tab/>
            </w:r>
            <w:r>
              <w:rPr>
                <w:rStyle w:val="IndexLink"/>
              </w:rPr>
              <w:t>631</w:t>
            </w:r>
          </w:hyperlink>
        </w:p>
        <w:p>
          <w:pPr>
            <w:pStyle w:val="Contents4"/>
            <w:tabs>
              <w:tab w:val="clear" w:pos="8176"/>
              <w:tab w:val="right" w:pos="9026" w:leader="dot"/>
            </w:tabs>
            <w:rPr/>
          </w:pPr>
          <w:hyperlink w:anchor="__RefHeading___Toc2570136_3650668749">
            <w:r>
              <w:rPr>
                <w:webHidden/>
                <w:rStyle w:val="IndexLink"/>
                <w:rtl w:val="true"/>
              </w:rPr>
              <w:t>[ (</w:t>
            </w:r>
            <w:r>
              <w:rPr>
                <w:rStyle w:val="IndexLink"/>
                <w:rtl w:val="true"/>
              </w:rPr>
              <w:t xml:space="preserve">مسألة </w:t>
            </w:r>
            <w:r>
              <w:rPr>
                <w:rStyle w:val="IndexLink"/>
              </w:rPr>
              <w:t>80</w:t>
            </w:r>
            <w:r>
              <w:rPr>
                <w:rStyle w:val="IndexLink"/>
                <w:rtl w:val="true"/>
              </w:rPr>
              <w:t xml:space="preserve">): </w:t>
            </w:r>
            <w:r>
              <w:rPr>
                <w:rStyle w:val="IndexLink"/>
                <w:rtl w:val="true"/>
              </w:rPr>
              <w:t>لا إشکال فی عدم اعتبار العدالة فیما إذا جعل التولیة و النظر لنفسه</w:t>
            </w:r>
            <w:r>
              <w:rPr>
                <w:rStyle w:val="IndexLink"/>
                <w:rtl w:val="true"/>
              </w:rPr>
              <w:t>]</w:t>
              <w:tab/>
            </w:r>
            <w:r>
              <w:rPr>
                <w:rStyle w:val="IndexLink"/>
              </w:rPr>
              <w:t>631</w:t>
            </w:r>
          </w:hyperlink>
        </w:p>
        <w:p>
          <w:pPr>
            <w:pStyle w:val="Contents4"/>
            <w:tabs>
              <w:tab w:val="clear" w:pos="8176"/>
              <w:tab w:val="right" w:pos="9026" w:leader="dot"/>
            </w:tabs>
            <w:rPr/>
          </w:pPr>
          <w:hyperlink w:anchor="__RefHeading___Toc2570138_3650668749">
            <w:r>
              <w:rPr>
                <w:webHidden/>
                <w:rStyle w:val="IndexLink"/>
                <w:rtl w:val="true"/>
              </w:rPr>
              <w:t>[ (</w:t>
            </w:r>
            <w:r>
              <w:rPr>
                <w:rStyle w:val="IndexLink"/>
                <w:rtl w:val="true"/>
              </w:rPr>
              <w:t xml:space="preserve">مسألة </w:t>
            </w:r>
            <w:r>
              <w:rPr>
                <w:rStyle w:val="IndexLink"/>
              </w:rPr>
              <w:t>81</w:t>
            </w:r>
            <w:r>
              <w:rPr>
                <w:rStyle w:val="IndexLink"/>
                <w:rtl w:val="true"/>
              </w:rPr>
              <w:t xml:space="preserve">): </w:t>
            </w:r>
            <w:r>
              <w:rPr>
                <w:rStyle w:val="IndexLink"/>
                <w:rtl w:val="true"/>
              </w:rPr>
              <w:t>لو جعل التولیة لشخص لم یجب علیه القبول</w:t>
            </w:r>
            <w:r>
              <w:rPr>
                <w:rStyle w:val="IndexLink"/>
                <w:rtl w:val="true"/>
              </w:rPr>
              <w:t>]</w:t>
              <w:tab/>
            </w:r>
            <w:r>
              <w:rPr>
                <w:rStyle w:val="IndexLink"/>
              </w:rPr>
              <w:t>631</w:t>
            </w:r>
          </w:hyperlink>
        </w:p>
        <w:p>
          <w:pPr>
            <w:pStyle w:val="Contents4"/>
            <w:tabs>
              <w:tab w:val="clear" w:pos="8176"/>
              <w:tab w:val="right" w:pos="9026" w:leader="dot"/>
            </w:tabs>
            <w:rPr/>
          </w:pPr>
          <w:hyperlink w:anchor="__RefHeading___Toc2570140_3650668749">
            <w:r>
              <w:rPr>
                <w:webHidden/>
                <w:rStyle w:val="IndexLink"/>
                <w:rtl w:val="true"/>
              </w:rPr>
              <w:t>[ (</w:t>
            </w:r>
            <w:r>
              <w:rPr>
                <w:rStyle w:val="IndexLink"/>
                <w:rtl w:val="true"/>
              </w:rPr>
              <w:t xml:space="preserve">مسألة </w:t>
            </w:r>
            <w:r>
              <w:rPr>
                <w:rStyle w:val="IndexLink"/>
              </w:rPr>
              <w:t>82</w:t>
            </w:r>
            <w:r>
              <w:rPr>
                <w:rStyle w:val="IndexLink"/>
                <w:rtl w:val="true"/>
              </w:rPr>
              <w:t xml:space="preserve">): </w:t>
            </w:r>
            <w:r>
              <w:rPr>
                <w:rStyle w:val="IndexLink"/>
                <w:rtl w:val="true"/>
              </w:rPr>
              <w:t>لو شرط التولیة لاثنین، فإن صرّح باستقلال کلّ منهما استقلّ</w:t>
            </w:r>
            <w:r>
              <w:rPr>
                <w:rStyle w:val="IndexLink"/>
                <w:rtl w:val="true"/>
              </w:rPr>
              <w:t>]</w:t>
              <w:tab/>
            </w:r>
            <w:r>
              <w:rPr>
                <w:rStyle w:val="IndexLink"/>
              </w:rPr>
              <w:t>632</w:t>
            </w:r>
          </w:hyperlink>
        </w:p>
        <w:p>
          <w:pPr>
            <w:pStyle w:val="Contents4"/>
            <w:tabs>
              <w:tab w:val="clear" w:pos="8176"/>
              <w:tab w:val="right" w:pos="9026" w:leader="dot"/>
            </w:tabs>
            <w:rPr/>
          </w:pPr>
          <w:hyperlink w:anchor="__RefHeading___Toc2570142_3650668749">
            <w:r>
              <w:rPr>
                <w:webHidden/>
                <w:rStyle w:val="IndexLink"/>
                <w:rtl w:val="true"/>
              </w:rPr>
              <w:t>[ (</w:t>
            </w:r>
            <w:r>
              <w:rPr>
                <w:rStyle w:val="IndexLink"/>
                <w:rtl w:val="true"/>
              </w:rPr>
              <w:t xml:space="preserve">مسألة </w:t>
            </w:r>
            <w:r>
              <w:rPr>
                <w:rStyle w:val="IndexLink"/>
              </w:rPr>
              <w:t>83</w:t>
            </w:r>
            <w:r>
              <w:rPr>
                <w:rStyle w:val="IndexLink"/>
                <w:rtl w:val="true"/>
              </w:rPr>
              <w:t xml:space="preserve">): </w:t>
            </w:r>
            <w:r>
              <w:rPr>
                <w:rStyle w:val="IndexLink"/>
                <w:rtl w:val="true"/>
              </w:rPr>
              <w:t>لو عیّن الواقف وظیفة المتولّی و شغله فهو المتّبع</w:t>
            </w:r>
            <w:r>
              <w:rPr>
                <w:rStyle w:val="IndexLink"/>
                <w:rtl w:val="true"/>
              </w:rPr>
              <w:t>]</w:t>
              <w:tab/>
            </w:r>
            <w:r>
              <w:rPr>
                <w:rStyle w:val="IndexLink"/>
              </w:rPr>
              <w:t>632</w:t>
            </w:r>
          </w:hyperlink>
        </w:p>
        <w:p>
          <w:pPr>
            <w:pStyle w:val="Contents4"/>
            <w:tabs>
              <w:tab w:val="clear" w:pos="8176"/>
              <w:tab w:val="right" w:pos="9026" w:leader="dot"/>
            </w:tabs>
            <w:rPr/>
          </w:pPr>
          <w:hyperlink w:anchor="__RefHeading___Toc2570144_3650668749">
            <w:r>
              <w:rPr>
                <w:webHidden/>
                <w:rStyle w:val="IndexLink"/>
                <w:rtl w:val="true"/>
              </w:rPr>
              <w:t>[ (</w:t>
            </w:r>
            <w:r>
              <w:rPr>
                <w:rStyle w:val="IndexLink"/>
                <w:rtl w:val="true"/>
              </w:rPr>
              <w:t xml:space="preserve">مسألة </w:t>
            </w:r>
            <w:r>
              <w:rPr>
                <w:rStyle w:val="IndexLink"/>
              </w:rPr>
              <w:t>84</w:t>
            </w:r>
            <w:r>
              <w:rPr>
                <w:rStyle w:val="IndexLink"/>
                <w:rtl w:val="true"/>
              </w:rPr>
              <w:t xml:space="preserve">): </w:t>
            </w:r>
            <w:r>
              <w:rPr>
                <w:rStyle w:val="IndexLink"/>
                <w:rtl w:val="true"/>
              </w:rPr>
              <w:t>لو عیّن الواقف للمتولّی شیئاً من المنافع تعیّن و کان ذلک اجرة عمله</w:t>
            </w:r>
            <w:r>
              <w:rPr>
                <w:rStyle w:val="IndexLink"/>
                <w:rtl w:val="true"/>
              </w:rPr>
              <w:t>]</w:t>
              <w:tab/>
            </w:r>
            <w:r>
              <w:rPr>
                <w:rStyle w:val="IndexLink"/>
              </w:rPr>
              <w:t>632</w:t>
            </w:r>
          </w:hyperlink>
        </w:p>
        <w:p>
          <w:pPr>
            <w:pStyle w:val="Contents4"/>
            <w:tabs>
              <w:tab w:val="clear" w:pos="8176"/>
              <w:tab w:val="right" w:pos="9026" w:leader="dot"/>
            </w:tabs>
            <w:rPr/>
          </w:pPr>
          <w:hyperlink w:anchor="__RefHeading___Toc2570146_3650668749">
            <w:r>
              <w:rPr>
                <w:webHidden/>
                <w:rStyle w:val="IndexLink"/>
                <w:rtl w:val="true"/>
              </w:rPr>
              <w:t>[ (</w:t>
            </w:r>
            <w:r>
              <w:rPr>
                <w:rStyle w:val="IndexLink"/>
                <w:rtl w:val="true"/>
              </w:rPr>
              <w:t xml:space="preserve">مسألة </w:t>
            </w:r>
            <w:r>
              <w:rPr>
                <w:rStyle w:val="IndexLink"/>
              </w:rPr>
              <w:t>85</w:t>
            </w:r>
            <w:r>
              <w:rPr>
                <w:rStyle w:val="IndexLink"/>
                <w:rtl w:val="true"/>
              </w:rPr>
              <w:t xml:space="preserve">): </w:t>
            </w:r>
            <w:r>
              <w:rPr>
                <w:rStyle w:val="IndexLink"/>
                <w:rtl w:val="true"/>
              </w:rPr>
              <w:t>لیس للمتولّی تفویض التولیة إلیٰ غیره</w:t>
            </w:r>
            <w:r>
              <w:rPr>
                <w:rStyle w:val="IndexLink"/>
                <w:rtl w:val="true"/>
              </w:rPr>
              <w:t>]</w:t>
              <w:tab/>
            </w:r>
            <w:r>
              <w:rPr>
                <w:rStyle w:val="IndexLink"/>
              </w:rPr>
              <w:t>632</w:t>
            </w:r>
          </w:hyperlink>
        </w:p>
        <w:p>
          <w:pPr>
            <w:pStyle w:val="Contents4"/>
            <w:tabs>
              <w:tab w:val="clear" w:pos="8176"/>
              <w:tab w:val="right" w:pos="9026" w:leader="dot"/>
            </w:tabs>
            <w:rPr/>
          </w:pPr>
          <w:hyperlink w:anchor="__RefHeading___Toc2570148_3650668749">
            <w:r>
              <w:rPr>
                <w:webHidden/>
                <w:rStyle w:val="IndexLink"/>
                <w:rtl w:val="true"/>
              </w:rPr>
              <w:t>[ (</w:t>
            </w:r>
            <w:r>
              <w:rPr>
                <w:rStyle w:val="IndexLink"/>
                <w:rtl w:val="true"/>
              </w:rPr>
              <w:t xml:space="preserve">مسألة </w:t>
            </w:r>
            <w:r>
              <w:rPr>
                <w:rStyle w:val="IndexLink"/>
              </w:rPr>
              <w:t>86</w:t>
            </w:r>
            <w:r>
              <w:rPr>
                <w:rStyle w:val="IndexLink"/>
                <w:rtl w:val="true"/>
              </w:rPr>
              <w:t xml:space="preserve">): </w:t>
            </w:r>
            <w:r>
              <w:rPr>
                <w:rStyle w:val="IndexLink"/>
                <w:rtl w:val="true"/>
              </w:rPr>
              <w:t>یجوز للواقف أن یجعل ناظراً علی المتولّی</w:t>
            </w:r>
            <w:r>
              <w:rPr>
                <w:rStyle w:val="IndexLink"/>
                <w:rtl w:val="true"/>
              </w:rPr>
              <w:t>]</w:t>
              <w:tab/>
            </w:r>
            <w:r>
              <w:rPr>
                <w:rStyle w:val="IndexLink"/>
              </w:rPr>
              <w:t>632</w:t>
            </w:r>
          </w:hyperlink>
        </w:p>
        <w:p>
          <w:pPr>
            <w:pStyle w:val="Contents4"/>
            <w:tabs>
              <w:tab w:val="clear" w:pos="8176"/>
              <w:tab w:val="right" w:pos="9026" w:leader="dot"/>
            </w:tabs>
            <w:rPr/>
          </w:pPr>
          <w:hyperlink w:anchor="__RefHeading___Toc2570150_3650668749">
            <w:r>
              <w:rPr>
                <w:webHidden/>
                <w:rStyle w:val="IndexLink"/>
                <w:rtl w:val="true"/>
              </w:rPr>
              <w:t>[ (</w:t>
            </w:r>
            <w:r>
              <w:rPr>
                <w:rStyle w:val="IndexLink"/>
                <w:rtl w:val="true"/>
              </w:rPr>
              <w:t xml:space="preserve">مسألة </w:t>
            </w:r>
            <w:r>
              <w:rPr>
                <w:rStyle w:val="IndexLink"/>
              </w:rPr>
              <w:t>87</w:t>
            </w:r>
            <w:r>
              <w:rPr>
                <w:rStyle w:val="IndexLink"/>
                <w:rtl w:val="true"/>
              </w:rPr>
              <w:t xml:space="preserve">): </w:t>
            </w:r>
            <w:r>
              <w:rPr>
                <w:rStyle w:val="IndexLink"/>
                <w:rtl w:val="true"/>
              </w:rPr>
              <w:t>إذا لم یعیّن الواقف متولّیاً أصلًا</w:t>
            </w:r>
            <w:r>
              <w:rPr>
                <w:rStyle w:val="IndexLink"/>
                <w:rtl w:val="true"/>
              </w:rPr>
              <w:t>]</w:t>
              <w:tab/>
            </w:r>
            <w:r>
              <w:rPr>
                <w:rStyle w:val="IndexLink"/>
              </w:rPr>
              <w:t>632</w:t>
            </w:r>
          </w:hyperlink>
        </w:p>
        <w:p>
          <w:pPr>
            <w:pStyle w:val="Contents4"/>
            <w:tabs>
              <w:tab w:val="clear" w:pos="8176"/>
              <w:tab w:val="right" w:pos="9026" w:leader="dot"/>
            </w:tabs>
            <w:rPr/>
          </w:pPr>
          <w:hyperlink w:anchor="__RefHeading___Toc2570152_3650668749">
            <w:r>
              <w:rPr>
                <w:webHidden/>
                <w:rStyle w:val="IndexLink"/>
                <w:rtl w:val="true"/>
              </w:rPr>
              <w:t>[ (</w:t>
            </w:r>
            <w:r>
              <w:rPr>
                <w:rStyle w:val="IndexLink"/>
                <w:rtl w:val="true"/>
              </w:rPr>
              <w:t xml:space="preserve">مسألة </w:t>
            </w:r>
            <w:r>
              <w:rPr>
                <w:rStyle w:val="IndexLink"/>
              </w:rPr>
              <w:t>88</w:t>
            </w:r>
            <w:r>
              <w:rPr>
                <w:rStyle w:val="IndexLink"/>
                <w:rtl w:val="true"/>
              </w:rPr>
              <w:t xml:space="preserve">): </w:t>
            </w:r>
            <w:r>
              <w:rPr>
                <w:rStyle w:val="IndexLink"/>
                <w:rtl w:val="true"/>
              </w:rPr>
              <w:t>فی الأوقاف التی تولیتها للحاکم و منصوبة، مع فقده و عدم الوصول إلیه تولیتها لعدول المؤمنین</w:t>
            </w:r>
            <w:r>
              <w:rPr>
                <w:rStyle w:val="IndexLink"/>
                <w:rtl w:val="true"/>
              </w:rPr>
              <w:t>]</w:t>
              <w:tab/>
            </w:r>
            <w:r>
              <w:rPr>
                <w:rStyle w:val="IndexLink"/>
              </w:rPr>
              <w:t>633</w:t>
            </w:r>
          </w:hyperlink>
        </w:p>
        <w:p>
          <w:pPr>
            <w:pStyle w:val="Contents4"/>
            <w:tabs>
              <w:tab w:val="clear" w:pos="8176"/>
              <w:tab w:val="right" w:pos="9026" w:leader="dot"/>
            </w:tabs>
            <w:rPr/>
          </w:pPr>
          <w:hyperlink w:anchor="__RefHeading___Toc2570154_3650668749">
            <w:r>
              <w:rPr>
                <w:webHidden/>
                <w:rStyle w:val="IndexLink"/>
                <w:rtl w:val="true"/>
              </w:rPr>
              <w:t>[ (</w:t>
            </w:r>
            <w:r>
              <w:rPr>
                <w:rStyle w:val="IndexLink"/>
                <w:rtl w:val="true"/>
              </w:rPr>
              <w:t xml:space="preserve">مسألة </w:t>
            </w:r>
            <w:r>
              <w:rPr>
                <w:rStyle w:val="IndexLink"/>
              </w:rPr>
              <w:t>89</w:t>
            </w:r>
            <w:r>
              <w:rPr>
                <w:rStyle w:val="IndexLink"/>
                <w:rtl w:val="true"/>
              </w:rPr>
              <w:t xml:space="preserve">): </w:t>
            </w:r>
            <w:r>
              <w:rPr>
                <w:rStyle w:val="IndexLink"/>
                <w:rtl w:val="true"/>
              </w:rPr>
              <w:t>لا فرق فیما کان أمره راجعاً إلی الحاکم بین ما إذا لم یعیّن الواقف متولّیاً و بین ما إذا عیّن</w:t>
            </w:r>
            <w:r>
              <w:rPr>
                <w:rStyle w:val="IndexLink"/>
                <w:rtl w:val="true"/>
              </w:rPr>
              <w:t>]</w:t>
              <w:tab/>
            </w:r>
            <w:r>
              <w:rPr>
                <w:rStyle w:val="IndexLink"/>
              </w:rPr>
              <w:t>633</w:t>
            </w:r>
          </w:hyperlink>
        </w:p>
        <w:p>
          <w:pPr>
            <w:pStyle w:val="Contents4"/>
            <w:tabs>
              <w:tab w:val="clear" w:pos="8176"/>
              <w:tab w:val="right" w:pos="9026" w:leader="dot"/>
            </w:tabs>
            <w:rPr/>
          </w:pPr>
          <w:hyperlink w:anchor="__RefHeading___Toc2570156_3650668749">
            <w:r>
              <w:rPr>
                <w:webHidden/>
                <w:rStyle w:val="IndexLink"/>
                <w:rtl w:val="true"/>
              </w:rPr>
              <w:t>[ (</w:t>
            </w:r>
            <w:r>
              <w:rPr>
                <w:rStyle w:val="IndexLink"/>
                <w:rtl w:val="true"/>
              </w:rPr>
              <w:t xml:space="preserve">مسألة </w:t>
            </w:r>
            <w:r>
              <w:rPr>
                <w:rStyle w:val="IndexLink"/>
              </w:rPr>
              <w:t>90</w:t>
            </w:r>
            <w:r>
              <w:rPr>
                <w:rStyle w:val="IndexLink"/>
                <w:rtl w:val="true"/>
              </w:rPr>
              <w:t xml:space="preserve">): </w:t>
            </w:r>
            <w:r>
              <w:rPr>
                <w:rStyle w:val="IndexLink"/>
                <w:rtl w:val="true"/>
              </w:rPr>
              <w:t>لو جعل التولیة لعدلین من أولاده مثلًا و لم یکن فیهم إلّا عدل واحد</w:t>
            </w:r>
            <w:r>
              <w:rPr>
                <w:rStyle w:val="IndexLink"/>
                <w:rtl w:val="true"/>
              </w:rPr>
              <w:t>]</w:t>
              <w:tab/>
            </w:r>
            <w:r>
              <w:rPr>
                <w:rStyle w:val="IndexLink"/>
              </w:rPr>
              <w:t>633</w:t>
            </w:r>
          </w:hyperlink>
        </w:p>
        <w:p>
          <w:pPr>
            <w:pStyle w:val="Contents4"/>
            <w:tabs>
              <w:tab w:val="clear" w:pos="8176"/>
              <w:tab w:val="right" w:pos="9026" w:leader="dot"/>
            </w:tabs>
            <w:rPr/>
          </w:pPr>
          <w:hyperlink w:anchor="__RefHeading___Toc2570158_3650668749">
            <w:r>
              <w:rPr>
                <w:webHidden/>
                <w:rStyle w:val="IndexLink"/>
                <w:rtl w:val="true"/>
              </w:rPr>
              <w:t>[ (</w:t>
            </w:r>
            <w:r>
              <w:rPr>
                <w:rStyle w:val="IndexLink"/>
                <w:rtl w:val="true"/>
              </w:rPr>
              <w:t xml:space="preserve">مسألة </w:t>
            </w:r>
            <w:r>
              <w:rPr>
                <w:rStyle w:val="IndexLink"/>
              </w:rPr>
              <w:t>91</w:t>
            </w:r>
            <w:r>
              <w:rPr>
                <w:rStyle w:val="IndexLink"/>
                <w:rtl w:val="true"/>
              </w:rPr>
              <w:t xml:space="preserve">): </w:t>
            </w:r>
            <w:r>
              <w:rPr>
                <w:rStyle w:val="IndexLink"/>
                <w:rtl w:val="true"/>
              </w:rPr>
              <w:t>إذا احتاج الوقف إلی التعمیر و لم یکن وجه یصرف فیه</w:t>
            </w:r>
            <w:r>
              <w:rPr>
                <w:rStyle w:val="IndexLink"/>
                <w:rtl w:val="true"/>
              </w:rPr>
              <w:t>]</w:t>
              <w:tab/>
            </w:r>
            <w:r>
              <w:rPr>
                <w:rStyle w:val="IndexLink"/>
              </w:rPr>
              <w:t>633</w:t>
            </w:r>
          </w:hyperlink>
        </w:p>
        <w:p>
          <w:pPr>
            <w:pStyle w:val="Contents4"/>
            <w:tabs>
              <w:tab w:val="clear" w:pos="8176"/>
              <w:tab w:val="right" w:pos="9026" w:leader="dot"/>
            </w:tabs>
            <w:rPr/>
          </w:pPr>
          <w:hyperlink w:anchor="__RefHeading___Toc2570160_3650668749">
            <w:r>
              <w:rPr>
                <w:webHidden/>
                <w:rStyle w:val="IndexLink"/>
                <w:rtl w:val="true"/>
              </w:rPr>
              <w:t>[ (</w:t>
            </w:r>
            <w:r>
              <w:rPr>
                <w:rStyle w:val="IndexLink"/>
                <w:rtl w:val="true"/>
              </w:rPr>
              <w:t xml:space="preserve">مسألة </w:t>
            </w:r>
            <w:r>
              <w:rPr>
                <w:rStyle w:val="IndexLink"/>
              </w:rPr>
              <w:t>92</w:t>
            </w:r>
            <w:r>
              <w:rPr>
                <w:rStyle w:val="IndexLink"/>
                <w:rtl w:val="true"/>
              </w:rPr>
              <w:t xml:space="preserve">): </w:t>
            </w:r>
            <w:r>
              <w:rPr>
                <w:rStyle w:val="IndexLink"/>
                <w:rtl w:val="true"/>
              </w:rPr>
              <w:t>تثبت الوقفیّة بالشیاع إذا أفاد العلم أو الاطمئنان</w:t>
            </w:r>
            <w:r>
              <w:rPr>
                <w:rStyle w:val="IndexLink"/>
                <w:rtl w:val="true"/>
              </w:rPr>
              <w:t>]</w:t>
              <w:tab/>
            </w:r>
            <w:r>
              <w:rPr>
                <w:rStyle w:val="IndexLink"/>
              </w:rPr>
              <w:t>633</w:t>
            </w:r>
          </w:hyperlink>
        </w:p>
        <w:p>
          <w:pPr>
            <w:pStyle w:val="Contents4"/>
            <w:tabs>
              <w:tab w:val="clear" w:pos="8176"/>
              <w:tab w:val="right" w:pos="9026" w:leader="dot"/>
            </w:tabs>
            <w:rPr/>
          </w:pPr>
          <w:hyperlink w:anchor="__RefHeading___Toc2570162_3650668749">
            <w:r>
              <w:rPr>
                <w:webHidden/>
                <w:rStyle w:val="IndexLink"/>
                <w:rtl w:val="true"/>
              </w:rPr>
              <w:t>[ (</w:t>
            </w:r>
            <w:r>
              <w:rPr>
                <w:rStyle w:val="IndexLink"/>
                <w:rtl w:val="true"/>
              </w:rPr>
              <w:t xml:space="preserve">مسألة </w:t>
            </w:r>
            <w:r>
              <w:rPr>
                <w:rStyle w:val="IndexLink"/>
              </w:rPr>
              <w:t>93</w:t>
            </w:r>
            <w:r>
              <w:rPr>
                <w:rStyle w:val="IndexLink"/>
                <w:rtl w:val="true"/>
              </w:rPr>
              <w:t xml:space="preserve">): </w:t>
            </w:r>
            <w:r>
              <w:rPr>
                <w:rStyle w:val="IndexLink"/>
                <w:rtl w:val="true"/>
              </w:rPr>
              <w:t>إذا أقرّ بالوقف ثمّ ادّعیٰ أنّ إقراره کان لمصلحة یسمع منه</w:t>
            </w:r>
            <w:r>
              <w:rPr>
                <w:rStyle w:val="IndexLink"/>
                <w:rtl w:val="true"/>
              </w:rPr>
              <w:t>]</w:t>
              <w:tab/>
            </w:r>
            <w:r>
              <w:rPr>
                <w:rStyle w:val="IndexLink"/>
              </w:rPr>
              <w:t>633</w:t>
            </w:r>
          </w:hyperlink>
        </w:p>
        <w:p>
          <w:pPr>
            <w:pStyle w:val="Contents4"/>
            <w:tabs>
              <w:tab w:val="clear" w:pos="8176"/>
              <w:tab w:val="right" w:pos="9026" w:leader="dot"/>
            </w:tabs>
            <w:rPr/>
          </w:pPr>
          <w:hyperlink w:anchor="__RefHeading___Toc2570164_3650668749">
            <w:r>
              <w:rPr>
                <w:webHidden/>
                <w:rStyle w:val="IndexLink"/>
                <w:rtl w:val="true"/>
              </w:rPr>
              <w:t>[ (</w:t>
            </w:r>
            <w:r>
              <w:rPr>
                <w:rStyle w:val="IndexLink"/>
                <w:rtl w:val="true"/>
              </w:rPr>
              <w:t xml:space="preserve">مسألة </w:t>
            </w:r>
            <w:r>
              <w:rPr>
                <w:rStyle w:val="IndexLink"/>
              </w:rPr>
              <w:t>94</w:t>
            </w:r>
            <w:r>
              <w:rPr>
                <w:rStyle w:val="IndexLink"/>
                <w:rtl w:val="true"/>
              </w:rPr>
              <w:t xml:space="preserve">): </w:t>
            </w:r>
            <w:r>
              <w:rPr>
                <w:rStyle w:val="IndexLink"/>
                <w:rtl w:val="true"/>
              </w:rPr>
              <w:t>کما أنّ معاملة المتصرّفین معاملة الوقفیّة دلیل علیٰ أصل الوقفیّة</w:t>
            </w:r>
            <w:r>
              <w:rPr>
                <w:rStyle w:val="IndexLink"/>
                <w:rtl w:val="true"/>
              </w:rPr>
              <w:t>]</w:t>
              <w:tab/>
            </w:r>
            <w:r>
              <w:rPr>
                <w:rStyle w:val="IndexLink"/>
              </w:rPr>
              <w:t>633</w:t>
            </w:r>
          </w:hyperlink>
        </w:p>
        <w:p>
          <w:pPr>
            <w:pStyle w:val="Contents4"/>
            <w:tabs>
              <w:tab w:val="clear" w:pos="8176"/>
              <w:tab w:val="right" w:pos="9026" w:leader="dot"/>
            </w:tabs>
            <w:rPr/>
          </w:pPr>
          <w:hyperlink w:anchor="__RefHeading___Toc2570166_3650668749">
            <w:r>
              <w:rPr>
                <w:webHidden/>
                <w:rStyle w:val="IndexLink"/>
                <w:rtl w:val="true"/>
              </w:rPr>
              <w:t>[ (</w:t>
            </w:r>
            <w:r>
              <w:rPr>
                <w:rStyle w:val="IndexLink"/>
                <w:rtl w:val="true"/>
              </w:rPr>
              <w:t xml:space="preserve">مسألة </w:t>
            </w:r>
            <w:r>
              <w:rPr>
                <w:rStyle w:val="IndexLink"/>
              </w:rPr>
              <w:t>95</w:t>
            </w:r>
            <w:r>
              <w:rPr>
                <w:rStyle w:val="IndexLink"/>
                <w:rtl w:val="true"/>
              </w:rPr>
              <w:t xml:space="preserve">): </w:t>
            </w:r>
            <w:r>
              <w:rPr>
                <w:rStyle w:val="IndexLink"/>
                <w:rtl w:val="true"/>
              </w:rPr>
              <w:t>إذا کان ملک بید شخص یتصرّف فیه بعنوان الملکیة</w:t>
            </w:r>
            <w:r>
              <w:rPr>
                <w:rStyle w:val="IndexLink"/>
                <w:rtl w:val="true"/>
              </w:rPr>
              <w:t>]</w:t>
              <w:tab/>
            </w:r>
            <w:r>
              <w:rPr>
                <w:rStyle w:val="IndexLink"/>
              </w:rPr>
              <w:t>634</w:t>
            </w:r>
          </w:hyperlink>
        </w:p>
        <w:p>
          <w:pPr>
            <w:pStyle w:val="Contents4"/>
            <w:tabs>
              <w:tab w:val="clear" w:pos="8176"/>
              <w:tab w:val="right" w:pos="9026" w:leader="dot"/>
            </w:tabs>
            <w:rPr/>
          </w:pPr>
          <w:hyperlink w:anchor="__RefHeading___Toc2570168_3650668749">
            <w:r>
              <w:rPr>
                <w:webHidden/>
                <w:rStyle w:val="IndexLink"/>
                <w:rtl w:val="true"/>
              </w:rPr>
              <w:t>[ (</w:t>
            </w:r>
            <w:r>
              <w:rPr>
                <w:rStyle w:val="IndexLink"/>
                <w:rtl w:val="true"/>
              </w:rPr>
              <w:t xml:space="preserve">مسألة </w:t>
            </w:r>
            <w:r>
              <w:rPr>
                <w:rStyle w:val="IndexLink"/>
              </w:rPr>
              <w:t>96</w:t>
            </w:r>
            <w:r>
              <w:rPr>
                <w:rStyle w:val="IndexLink"/>
                <w:rtl w:val="true"/>
              </w:rPr>
              <w:t xml:space="preserve">): </w:t>
            </w:r>
            <w:r>
              <w:rPr>
                <w:rStyle w:val="IndexLink"/>
                <w:rtl w:val="true"/>
              </w:rPr>
              <w:t>إذا کان کتاب أو مصحف أو صفر مثلًا بید شخص</w:t>
            </w:r>
            <w:r>
              <w:rPr>
                <w:rStyle w:val="IndexLink"/>
                <w:rtl w:val="true"/>
              </w:rPr>
              <w:t>]</w:t>
              <w:tab/>
            </w:r>
            <w:r>
              <w:rPr>
                <w:rStyle w:val="IndexLink"/>
              </w:rPr>
              <w:t>634</w:t>
            </w:r>
          </w:hyperlink>
        </w:p>
        <w:p>
          <w:pPr>
            <w:pStyle w:val="Contents4"/>
            <w:tabs>
              <w:tab w:val="clear" w:pos="8176"/>
              <w:tab w:val="right" w:pos="9026" w:leader="dot"/>
            </w:tabs>
            <w:rPr/>
          </w:pPr>
          <w:hyperlink w:anchor="__RefHeading___Toc2570170_3650668749">
            <w:r>
              <w:rPr>
                <w:webHidden/>
                <w:rStyle w:val="IndexLink"/>
                <w:rtl w:val="true"/>
              </w:rPr>
              <w:t>[ (</w:t>
            </w:r>
            <w:r>
              <w:rPr>
                <w:rStyle w:val="IndexLink"/>
                <w:rtl w:val="true"/>
              </w:rPr>
              <w:t xml:space="preserve">مسألة </w:t>
            </w:r>
            <w:r>
              <w:rPr>
                <w:rStyle w:val="IndexLink"/>
              </w:rPr>
              <w:t>97</w:t>
            </w:r>
            <w:r>
              <w:rPr>
                <w:rStyle w:val="IndexLink"/>
                <w:rtl w:val="true"/>
              </w:rPr>
              <w:t xml:space="preserve">): </w:t>
            </w:r>
            <w:r>
              <w:rPr>
                <w:rStyle w:val="IndexLink"/>
                <w:rtl w:val="true"/>
              </w:rPr>
              <w:t>لو ظهر فی ترکة المیّت ورقة بخطّه</w:t>
            </w:r>
            <w:r>
              <w:rPr>
                <w:rStyle w:val="IndexLink"/>
                <w:rtl w:val="true"/>
              </w:rPr>
              <w:t xml:space="preserve">: </w:t>
            </w:r>
            <w:r>
              <w:rPr>
                <w:rStyle w:val="IndexLink"/>
                <w:rtl w:val="true"/>
              </w:rPr>
              <w:t>أنّ ملکه الفلانی وقف و أنّه وقع القبض و الإقباض</w:t>
            </w:r>
            <w:r>
              <w:rPr>
                <w:rStyle w:val="IndexLink"/>
                <w:rtl w:val="true"/>
              </w:rPr>
              <w:t>]</w:t>
              <w:tab/>
            </w:r>
            <w:r>
              <w:rPr>
                <w:rStyle w:val="IndexLink"/>
              </w:rPr>
              <w:t>634</w:t>
            </w:r>
          </w:hyperlink>
        </w:p>
        <w:p>
          <w:pPr>
            <w:pStyle w:val="Contents4"/>
            <w:tabs>
              <w:tab w:val="clear" w:pos="8176"/>
              <w:tab w:val="right" w:pos="9026" w:leader="dot"/>
            </w:tabs>
            <w:rPr/>
          </w:pPr>
          <w:hyperlink w:anchor="__RefHeading___Toc2570172_3650668749">
            <w:r>
              <w:rPr>
                <w:webHidden/>
                <w:rStyle w:val="IndexLink"/>
                <w:rtl w:val="true"/>
              </w:rPr>
              <w:t>[ (</w:t>
            </w:r>
            <w:r>
              <w:rPr>
                <w:rStyle w:val="IndexLink"/>
                <w:rtl w:val="true"/>
              </w:rPr>
              <w:t xml:space="preserve">مسألة </w:t>
            </w:r>
            <w:r>
              <w:rPr>
                <w:rStyle w:val="IndexLink"/>
              </w:rPr>
              <w:t>98</w:t>
            </w:r>
            <w:r>
              <w:rPr>
                <w:rStyle w:val="IndexLink"/>
                <w:rtl w:val="true"/>
              </w:rPr>
              <w:t xml:space="preserve">): </w:t>
            </w:r>
            <w:r>
              <w:rPr>
                <w:rStyle w:val="IndexLink"/>
                <w:rtl w:val="true"/>
              </w:rPr>
              <w:t>إذا کانت العین الموقوفة من الأعیان الزکویّة</w:t>
            </w:r>
            <w:r>
              <w:rPr>
                <w:rStyle w:val="IndexLink"/>
                <w:rtl w:val="true"/>
              </w:rPr>
              <w:t>]</w:t>
              <w:tab/>
            </w:r>
            <w:r>
              <w:rPr>
                <w:rStyle w:val="IndexLink"/>
              </w:rPr>
              <w:t>634</w:t>
            </w:r>
          </w:hyperlink>
        </w:p>
        <w:p>
          <w:pPr>
            <w:pStyle w:val="Contents4"/>
            <w:tabs>
              <w:tab w:val="clear" w:pos="8176"/>
              <w:tab w:val="right" w:pos="9026" w:leader="dot"/>
            </w:tabs>
            <w:rPr/>
          </w:pPr>
          <w:hyperlink w:anchor="__RefHeading___Toc2570174_3650668749">
            <w:r>
              <w:rPr>
                <w:webHidden/>
                <w:rStyle w:val="IndexLink"/>
                <w:rtl w:val="true"/>
              </w:rPr>
              <w:t>[ (</w:t>
            </w:r>
            <w:r>
              <w:rPr>
                <w:rStyle w:val="IndexLink"/>
                <w:rtl w:val="true"/>
              </w:rPr>
              <w:t xml:space="preserve">مسألة </w:t>
            </w:r>
            <w:r>
              <w:rPr>
                <w:rStyle w:val="IndexLink"/>
              </w:rPr>
              <w:t>99</w:t>
            </w:r>
            <w:r>
              <w:rPr>
                <w:rStyle w:val="IndexLink"/>
                <w:rtl w:val="true"/>
              </w:rPr>
              <w:t xml:space="preserve">): </w:t>
            </w:r>
            <w:r>
              <w:rPr>
                <w:rStyle w:val="IndexLink"/>
                <w:rtl w:val="true"/>
              </w:rPr>
              <w:t>الوقف المتداول بین الأعراب و بعض الطوائف من غیرهم</w:t>
            </w:r>
            <w:r>
              <w:rPr>
                <w:rStyle w:val="IndexLink"/>
                <w:rtl w:val="true"/>
              </w:rPr>
              <w:t>]</w:t>
              <w:tab/>
            </w:r>
            <w:r>
              <w:rPr>
                <w:rStyle w:val="IndexLink"/>
              </w:rPr>
              <w:t>634</w:t>
            </w:r>
          </w:hyperlink>
        </w:p>
        <w:p>
          <w:pPr>
            <w:pStyle w:val="Contents3"/>
            <w:tabs>
              <w:tab w:val="clear" w:pos="8459"/>
              <w:tab w:val="right" w:pos="9026" w:leader="dot"/>
            </w:tabs>
            <w:rPr/>
          </w:pPr>
          <w:hyperlink w:anchor="__RefHeading___Toc2570176_3650668749">
            <w:r>
              <w:rPr>
                <w:webHidden/>
                <w:rStyle w:val="IndexLink"/>
                <w:rtl w:val="true"/>
              </w:rPr>
              <w:t>[</w:t>
            </w:r>
            <w:r>
              <w:rPr>
                <w:rStyle w:val="IndexLink"/>
                <w:rtl w:val="true"/>
              </w:rPr>
              <w:t>خاتمة تشتمل علیٰ أمرین</w:t>
            </w:r>
            <w:r>
              <w:rPr>
                <w:rStyle w:val="IndexLink"/>
                <w:rtl w:val="true"/>
              </w:rPr>
              <w:t xml:space="preserve">: </w:t>
            </w:r>
            <w:r>
              <w:rPr>
                <w:rStyle w:val="IndexLink"/>
                <w:rtl w:val="true"/>
              </w:rPr>
              <w:t>أحدهما فی الحبس و ما یلحق به، ثانیهما فی الصدقة</w:t>
            </w:r>
            <w:r>
              <w:rPr>
                <w:rStyle w:val="IndexLink"/>
                <w:rtl w:val="true"/>
              </w:rPr>
              <w:t>]</w:t>
              <w:tab/>
            </w:r>
            <w:r>
              <w:rPr>
                <w:rStyle w:val="IndexLink"/>
              </w:rPr>
              <w:t>635</w:t>
            </w:r>
          </w:hyperlink>
        </w:p>
        <w:p>
          <w:pPr>
            <w:pStyle w:val="Contents4"/>
            <w:tabs>
              <w:tab w:val="clear" w:pos="8176"/>
              <w:tab w:val="right" w:pos="9026" w:leader="dot"/>
            </w:tabs>
            <w:rPr/>
          </w:pPr>
          <w:hyperlink w:anchor="__RefHeading___Toc2570178_3650668749">
            <w:r>
              <w:rPr>
                <w:webHidden/>
                <w:rStyle w:val="IndexLink"/>
                <w:rtl w:val="true"/>
              </w:rPr>
              <w:t>اشارة</w:t>
            </w:r>
            <w:r>
              <w:rPr>
                <w:rStyle w:val="IndexLink"/>
                <w:rtl w:val="true"/>
              </w:rPr>
              <w:tab/>
            </w:r>
            <w:r>
              <w:rPr>
                <w:rStyle w:val="IndexLink"/>
              </w:rPr>
              <w:t>635</w:t>
            </w:r>
          </w:hyperlink>
        </w:p>
        <w:p>
          <w:pPr>
            <w:pStyle w:val="Contents4"/>
            <w:tabs>
              <w:tab w:val="clear" w:pos="8176"/>
              <w:tab w:val="right" w:pos="9026" w:leader="dot"/>
            </w:tabs>
            <w:rPr/>
          </w:pPr>
          <w:hyperlink w:anchor="__RefHeading___Toc2570180_3650668749">
            <w:r>
              <w:rPr>
                <w:webHidden/>
                <w:rStyle w:val="IndexLink"/>
                <w:rtl w:val="true"/>
              </w:rPr>
              <w:t>[</w:t>
            </w:r>
            <w:r>
              <w:rPr>
                <w:rStyle w:val="IndexLink"/>
                <w:rtl w:val="true"/>
              </w:rPr>
              <w:t>القول فی الحبس و أخواته</w:t>
            </w:r>
            <w:r>
              <w:rPr>
                <w:rStyle w:val="IndexLink"/>
                <w:rtl w:val="true"/>
              </w:rPr>
              <w:t>]</w:t>
              <w:tab/>
            </w:r>
            <w:r>
              <w:rPr>
                <w:rStyle w:val="IndexLink"/>
              </w:rPr>
              <w:t>635</w:t>
            </w:r>
          </w:hyperlink>
        </w:p>
        <w:p>
          <w:pPr>
            <w:pStyle w:val="Contents5"/>
            <w:tabs>
              <w:tab w:val="clear" w:pos="7892"/>
              <w:tab w:val="right" w:pos="9026" w:leader="dot"/>
            </w:tabs>
            <w:rPr/>
          </w:pPr>
          <w:hyperlink w:anchor="__RefHeading___Toc2570182_3650668749">
            <w:r>
              <w:rPr>
                <w:webHidden/>
                <w:rStyle w:val="IndexLink"/>
                <w:rtl w:val="true"/>
              </w:rPr>
              <w:t>اشارة</w:t>
            </w:r>
            <w:r>
              <w:rPr>
                <w:rStyle w:val="IndexLink"/>
                <w:rtl w:val="true"/>
              </w:rPr>
              <w:tab/>
            </w:r>
            <w:r>
              <w:rPr>
                <w:rStyle w:val="IndexLink"/>
              </w:rPr>
              <w:t>635</w:t>
            </w:r>
          </w:hyperlink>
        </w:p>
        <w:p>
          <w:pPr>
            <w:pStyle w:val="Contents5"/>
            <w:tabs>
              <w:tab w:val="clear" w:pos="7892"/>
              <w:tab w:val="right" w:pos="9026" w:leader="dot"/>
            </w:tabs>
            <w:rPr/>
          </w:pPr>
          <w:hyperlink w:anchor="__RefHeading___Toc257018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یجوز للإنسان أن یحبس ملکه علیٰ کلّ ما یصحّ الوقف علیه</w:t>
            </w:r>
            <w:r>
              <w:rPr>
                <w:rStyle w:val="IndexLink"/>
                <w:rtl w:val="true"/>
              </w:rPr>
              <w:t>]</w:t>
              <w:tab/>
            </w:r>
            <w:r>
              <w:rPr>
                <w:rStyle w:val="IndexLink"/>
              </w:rPr>
              <w:t>635</w:t>
            </w:r>
          </w:hyperlink>
        </w:p>
        <w:p>
          <w:pPr>
            <w:pStyle w:val="Contents5"/>
            <w:tabs>
              <w:tab w:val="clear" w:pos="7892"/>
              <w:tab w:val="right" w:pos="9026" w:leader="dot"/>
            </w:tabs>
            <w:rPr/>
          </w:pPr>
          <w:hyperlink w:anchor="__RefHeading___Toc257018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جعل لأحد سکنیٰ داره مثلًا بأن سلّطه علیٰ إسکانها مع بقائها علیٰ ملکه</w:t>
            </w:r>
            <w:r>
              <w:rPr>
                <w:rStyle w:val="IndexLink"/>
                <w:rtl w:val="true"/>
              </w:rPr>
              <w:t>]</w:t>
              <w:tab/>
            </w:r>
            <w:r>
              <w:rPr>
                <w:rStyle w:val="IndexLink"/>
              </w:rPr>
              <w:t>635</w:t>
            </w:r>
          </w:hyperlink>
        </w:p>
        <w:p>
          <w:pPr>
            <w:pStyle w:val="Contents5"/>
            <w:tabs>
              <w:tab w:val="clear" w:pos="7892"/>
              <w:tab w:val="right" w:pos="9026" w:leader="dot"/>
            </w:tabs>
            <w:rPr/>
          </w:pPr>
          <w:hyperlink w:anchor="__RefHeading___Toc257018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یحتاج کلّ من هذه الثلاثة إلیٰ عقد مشتمل علیٰ إیجاب من المالک و قبول من الساکن</w:t>
            </w:r>
            <w:r>
              <w:rPr>
                <w:rStyle w:val="IndexLink"/>
                <w:rtl w:val="true"/>
              </w:rPr>
              <w:t>]</w:t>
              <w:tab/>
            </w:r>
            <w:r>
              <w:rPr>
                <w:rStyle w:val="IndexLink"/>
              </w:rPr>
              <w:t>635</w:t>
            </w:r>
          </w:hyperlink>
        </w:p>
        <w:p>
          <w:pPr>
            <w:pStyle w:val="Contents5"/>
            <w:tabs>
              <w:tab w:val="clear" w:pos="7892"/>
              <w:tab w:val="right" w:pos="9026" w:leader="dot"/>
            </w:tabs>
            <w:rPr/>
          </w:pPr>
          <w:hyperlink w:anchor="__RefHeading___Toc257019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یشترط فی کلّ من الثلاثة قبض الساکن</w:t>
            </w:r>
            <w:r>
              <w:rPr>
                <w:rStyle w:val="IndexLink"/>
                <w:rtl w:val="true"/>
              </w:rPr>
              <w:t>]</w:t>
              <w:tab/>
            </w:r>
            <w:r>
              <w:rPr>
                <w:rStyle w:val="IndexLink"/>
              </w:rPr>
              <w:t>636</w:t>
            </w:r>
          </w:hyperlink>
        </w:p>
        <w:p>
          <w:pPr>
            <w:pStyle w:val="Contents5"/>
            <w:tabs>
              <w:tab w:val="clear" w:pos="7892"/>
              <w:tab w:val="right" w:pos="9026" w:leader="dot"/>
            </w:tabs>
            <w:rPr/>
          </w:pPr>
          <w:hyperlink w:anchor="__RefHeading___Toc257019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هذه العقود الثلاثة لازمة یجب العمل بمقتضاها</w:t>
            </w:r>
            <w:r>
              <w:rPr>
                <w:rStyle w:val="IndexLink"/>
                <w:rtl w:val="true"/>
              </w:rPr>
              <w:t>]</w:t>
              <w:tab/>
            </w:r>
            <w:r>
              <w:rPr>
                <w:rStyle w:val="IndexLink"/>
              </w:rPr>
              <w:t>636</w:t>
            </w:r>
          </w:hyperlink>
        </w:p>
        <w:p>
          <w:pPr>
            <w:pStyle w:val="Contents5"/>
            <w:tabs>
              <w:tab w:val="clear" w:pos="7892"/>
              <w:tab w:val="right" w:pos="9026" w:leader="dot"/>
            </w:tabs>
            <w:rPr/>
          </w:pPr>
          <w:hyperlink w:anchor="__RefHeading___Toc2570194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جعل داره سکنیٰ أو عمریٰ أو رقبیٰ لشخص</w:t>
            </w:r>
            <w:r>
              <w:rPr>
                <w:rStyle w:val="IndexLink"/>
                <w:rtl w:val="true"/>
              </w:rPr>
              <w:t>]</w:t>
              <w:tab/>
            </w:r>
            <w:r>
              <w:rPr>
                <w:rStyle w:val="IndexLink"/>
              </w:rPr>
              <w:t>636</w:t>
            </w:r>
          </w:hyperlink>
        </w:p>
        <w:p>
          <w:pPr>
            <w:pStyle w:val="Contents5"/>
            <w:tabs>
              <w:tab w:val="clear" w:pos="7892"/>
              <w:tab w:val="right" w:pos="9026" w:leader="dot"/>
            </w:tabs>
            <w:rPr/>
          </w:pPr>
          <w:hyperlink w:anchor="__RefHeading___Toc2570196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جعل المدّة فی العمریٰ طول حیاة المالک و مات الساکن قبله کان لورثته السکنی</w:t>
            </w:r>
            <w:r>
              <w:rPr>
                <w:rStyle w:val="IndexLink"/>
                <w:rtl w:val="true"/>
              </w:rPr>
              <w:t>]</w:t>
              <w:tab/>
            </w:r>
            <w:r>
              <w:rPr>
                <w:rStyle w:val="IndexLink"/>
              </w:rPr>
              <w:t>636</w:t>
            </w:r>
          </w:hyperlink>
        </w:p>
        <w:p>
          <w:pPr>
            <w:pStyle w:val="Contents5"/>
            <w:tabs>
              <w:tab w:val="clear" w:pos="7892"/>
              <w:tab w:val="right" w:pos="9026" w:leader="dot"/>
            </w:tabs>
            <w:rPr/>
          </w:pPr>
          <w:hyperlink w:anchor="__RefHeading___Toc2570198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إطلاق السکنی یقتضی أن یسکن من جعلت له السکنی بنفسه و أهله و أولاده</w:t>
            </w:r>
            <w:r>
              <w:rPr>
                <w:rStyle w:val="IndexLink"/>
                <w:rtl w:val="true"/>
              </w:rPr>
              <w:t>]</w:t>
              <w:tab/>
            </w:r>
            <w:r>
              <w:rPr>
                <w:rStyle w:val="IndexLink"/>
              </w:rPr>
              <w:t>637</w:t>
            </w:r>
          </w:hyperlink>
        </w:p>
        <w:p>
          <w:pPr>
            <w:pStyle w:val="Contents5"/>
            <w:tabs>
              <w:tab w:val="clear" w:pos="7892"/>
              <w:tab w:val="right" w:pos="9026" w:leader="dot"/>
            </w:tabs>
            <w:rPr/>
          </w:pPr>
          <w:hyperlink w:anchor="__RefHeading___Toc2570200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کلّ ما صحّ وقفه صحّ إعماره</w:t>
            </w:r>
            <w:r>
              <w:rPr>
                <w:rStyle w:val="IndexLink"/>
                <w:rtl w:val="true"/>
              </w:rPr>
              <w:t>]</w:t>
              <w:tab/>
            </w:r>
            <w:r>
              <w:rPr>
                <w:rStyle w:val="IndexLink"/>
              </w:rPr>
              <w:t>637</w:t>
            </w:r>
          </w:hyperlink>
        </w:p>
        <w:p>
          <w:pPr>
            <w:pStyle w:val="Contents4"/>
            <w:tabs>
              <w:tab w:val="clear" w:pos="8176"/>
              <w:tab w:val="right" w:pos="9026" w:leader="dot"/>
            </w:tabs>
            <w:rPr/>
          </w:pPr>
          <w:hyperlink w:anchor="__RefHeading___Toc2570202_3650668749">
            <w:r>
              <w:rPr>
                <w:webHidden/>
                <w:rStyle w:val="IndexLink"/>
                <w:rtl w:val="true"/>
              </w:rPr>
              <w:t>[</w:t>
            </w:r>
            <w:r>
              <w:rPr>
                <w:rStyle w:val="IndexLink"/>
                <w:rtl w:val="true"/>
              </w:rPr>
              <w:t>القول فی الصدقة</w:t>
            </w:r>
            <w:r>
              <w:rPr>
                <w:rStyle w:val="IndexLink"/>
                <w:rtl w:val="true"/>
              </w:rPr>
              <w:t>]</w:t>
              <w:tab/>
            </w:r>
            <w:r>
              <w:rPr>
                <w:rStyle w:val="IndexLink"/>
              </w:rPr>
              <w:t>637</w:t>
            </w:r>
          </w:hyperlink>
        </w:p>
        <w:p>
          <w:pPr>
            <w:pStyle w:val="Contents5"/>
            <w:tabs>
              <w:tab w:val="clear" w:pos="7892"/>
              <w:tab w:val="right" w:pos="9026" w:leader="dot"/>
            </w:tabs>
            <w:rPr/>
          </w:pPr>
          <w:hyperlink w:anchor="__RefHeading___Toc2570204_3650668749">
            <w:r>
              <w:rPr>
                <w:webHidden/>
                <w:rStyle w:val="IndexLink"/>
                <w:rtl w:val="true"/>
              </w:rPr>
              <w:t>اشارة</w:t>
            </w:r>
            <w:r>
              <w:rPr>
                <w:rStyle w:val="IndexLink"/>
                <w:rtl w:val="true"/>
              </w:rPr>
              <w:tab/>
            </w:r>
            <w:r>
              <w:rPr>
                <w:rStyle w:val="IndexLink"/>
              </w:rPr>
              <w:t>637</w:t>
            </w:r>
          </w:hyperlink>
        </w:p>
        <w:p>
          <w:pPr>
            <w:pStyle w:val="Contents5"/>
            <w:tabs>
              <w:tab w:val="clear" w:pos="7892"/>
              <w:tab w:val="right" w:pos="9026" w:leader="dot"/>
            </w:tabs>
            <w:rPr/>
          </w:pPr>
          <w:hyperlink w:anchor="__RefHeading___Toc257020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یعتبر فی الصدقة قصد القربة</w:t>
            </w:r>
            <w:r>
              <w:rPr>
                <w:rStyle w:val="IndexLink"/>
                <w:rtl w:val="true"/>
              </w:rPr>
              <w:t>]</w:t>
              <w:tab/>
            </w:r>
            <w:r>
              <w:rPr>
                <w:rStyle w:val="IndexLink"/>
              </w:rPr>
              <w:t>638</w:t>
            </w:r>
          </w:hyperlink>
        </w:p>
        <w:p>
          <w:pPr>
            <w:pStyle w:val="Contents5"/>
            <w:tabs>
              <w:tab w:val="clear" w:pos="7892"/>
              <w:tab w:val="right" w:pos="9026" w:leader="dot"/>
            </w:tabs>
            <w:rPr/>
          </w:pPr>
          <w:hyperlink w:anchor="__RefHeading___Toc257020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یجوز الرجوع فی الصدقة بعد القبض و إن کانت علیٰ أجنبیّ علی الأصحّ</w:t>
            </w:r>
            <w:r>
              <w:rPr>
                <w:rStyle w:val="IndexLink"/>
                <w:rtl w:val="true"/>
              </w:rPr>
              <w:t>]</w:t>
              <w:tab/>
            </w:r>
            <w:r>
              <w:rPr>
                <w:rStyle w:val="IndexLink"/>
              </w:rPr>
              <w:t>638</w:t>
            </w:r>
          </w:hyperlink>
        </w:p>
        <w:p>
          <w:pPr>
            <w:pStyle w:val="Contents5"/>
            <w:tabs>
              <w:tab w:val="clear" w:pos="7892"/>
              <w:tab w:val="right" w:pos="9026" w:leader="dot"/>
            </w:tabs>
            <w:rPr/>
          </w:pPr>
          <w:hyperlink w:anchor="__RefHeading___Toc257021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تحلّ صدقة الهاشمی لمثله و لغیره مطلقاً</w:t>
            </w:r>
            <w:r>
              <w:rPr>
                <w:rStyle w:val="IndexLink"/>
                <w:rtl w:val="true"/>
              </w:rPr>
              <w:t>]</w:t>
              <w:tab/>
            </w:r>
            <w:r>
              <w:rPr>
                <w:rStyle w:val="IndexLink"/>
              </w:rPr>
              <w:t>638</w:t>
            </w:r>
          </w:hyperlink>
        </w:p>
        <w:p>
          <w:pPr>
            <w:pStyle w:val="Contents5"/>
            <w:tabs>
              <w:tab w:val="clear" w:pos="7892"/>
              <w:tab w:val="right" w:pos="9026" w:leader="dot"/>
            </w:tabs>
            <w:rPr/>
          </w:pPr>
          <w:hyperlink w:anchor="__RefHeading___Toc257021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یعتبر فی المتصدّق</w:t>
            </w:r>
            <w:r>
              <w:rPr>
                <w:rStyle w:val="IndexLink"/>
                <w:rtl w:val="true"/>
              </w:rPr>
              <w:t xml:space="preserve">: </w:t>
            </w:r>
            <w:r>
              <w:rPr>
                <w:rStyle w:val="IndexLink"/>
                <w:rtl w:val="true"/>
              </w:rPr>
              <w:t>البلوغ و العقل و عدم الحجر لفلس أو سفه</w:t>
            </w:r>
            <w:r>
              <w:rPr>
                <w:rStyle w:val="IndexLink"/>
                <w:rtl w:val="true"/>
              </w:rPr>
              <w:t>]</w:t>
              <w:tab/>
            </w:r>
            <w:r>
              <w:rPr>
                <w:rStyle w:val="IndexLink"/>
              </w:rPr>
              <w:t>638</w:t>
            </w:r>
          </w:hyperlink>
        </w:p>
        <w:p>
          <w:pPr>
            <w:pStyle w:val="Contents5"/>
            <w:tabs>
              <w:tab w:val="clear" w:pos="7892"/>
              <w:tab w:val="right" w:pos="9026" w:leader="dot"/>
            </w:tabs>
            <w:rPr/>
          </w:pPr>
          <w:hyperlink w:anchor="__RefHeading___Toc257021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یعتبر فی المتصدّق علیه فی الصدقة المندوبة الفقر و لا الإیمان</w:t>
            </w:r>
            <w:r>
              <w:rPr>
                <w:rStyle w:val="IndexLink"/>
                <w:rtl w:val="true"/>
              </w:rPr>
              <w:t>]</w:t>
              <w:tab/>
            </w:r>
            <w:r>
              <w:rPr>
                <w:rStyle w:val="IndexLink"/>
              </w:rPr>
              <w:t>638</w:t>
            </w:r>
          </w:hyperlink>
        </w:p>
        <w:p>
          <w:pPr>
            <w:pStyle w:val="Contents5"/>
            <w:tabs>
              <w:tab w:val="clear" w:pos="7892"/>
              <w:tab w:val="right" w:pos="9026" w:leader="dot"/>
            </w:tabs>
            <w:rPr/>
          </w:pPr>
          <w:hyperlink w:anchor="__RefHeading___Toc2570216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الصدقة المندوبة سرّاً أفضل</w:t>
            </w:r>
            <w:r>
              <w:rPr>
                <w:rStyle w:val="IndexLink"/>
                <w:rtl w:val="true"/>
              </w:rPr>
              <w:t>]</w:t>
              <w:tab/>
            </w:r>
            <w:r>
              <w:rPr>
                <w:rStyle w:val="IndexLink"/>
              </w:rPr>
              <w:t>638</w:t>
            </w:r>
          </w:hyperlink>
        </w:p>
        <w:p>
          <w:pPr>
            <w:pStyle w:val="Contents5"/>
            <w:tabs>
              <w:tab w:val="clear" w:pos="7892"/>
              <w:tab w:val="right" w:pos="9026" w:leader="dot"/>
            </w:tabs>
            <w:rPr/>
          </w:pPr>
          <w:hyperlink w:anchor="__RefHeading___Toc2570218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یستحبّ المساعدة و التوسّط فی إیصال الصدقة إلی المستحقّ</w:t>
            </w:r>
            <w:r>
              <w:rPr>
                <w:rStyle w:val="IndexLink"/>
                <w:rtl w:val="true"/>
              </w:rPr>
              <w:t>]</w:t>
              <w:tab/>
            </w:r>
            <w:r>
              <w:rPr>
                <w:rStyle w:val="IndexLink"/>
              </w:rPr>
              <w:t>639</w:t>
            </w:r>
          </w:hyperlink>
        </w:p>
        <w:p>
          <w:pPr>
            <w:pStyle w:val="Contents5"/>
            <w:tabs>
              <w:tab w:val="clear" w:pos="7892"/>
              <w:tab w:val="right" w:pos="9026" w:leader="dot"/>
            </w:tabs>
            <w:rPr/>
          </w:pPr>
          <w:hyperlink w:anchor="__RefHeading___Toc2570220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یکره کراهة شدیدة أن یتملّک من الفقیر ما تصدّق به بشراء أو اتّهاب أو بسبب آخر</w:t>
            </w:r>
            <w:r>
              <w:rPr>
                <w:rStyle w:val="IndexLink"/>
                <w:rtl w:val="true"/>
              </w:rPr>
              <w:t>]</w:t>
              <w:tab/>
            </w:r>
            <w:r>
              <w:rPr>
                <w:rStyle w:val="IndexLink"/>
              </w:rPr>
              <w:t>639</w:t>
            </w:r>
          </w:hyperlink>
        </w:p>
        <w:p>
          <w:pPr>
            <w:pStyle w:val="Contents5"/>
            <w:tabs>
              <w:tab w:val="clear" w:pos="7892"/>
              <w:tab w:val="right" w:pos="9026" w:leader="dot"/>
            </w:tabs>
            <w:rPr/>
          </w:pPr>
          <w:hyperlink w:anchor="__RefHeading___Toc2570222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یکره ردّ السائل و لو ظنّ غناه</w:t>
            </w:r>
            <w:r>
              <w:rPr>
                <w:rStyle w:val="IndexLink"/>
                <w:rtl w:val="true"/>
              </w:rPr>
              <w:t>]</w:t>
              <w:tab/>
            </w:r>
            <w:r>
              <w:rPr>
                <w:rStyle w:val="IndexLink"/>
              </w:rPr>
              <w:t>639</w:t>
            </w:r>
          </w:hyperlink>
        </w:p>
        <w:p>
          <w:pPr>
            <w:pStyle w:val="Contents5"/>
            <w:tabs>
              <w:tab w:val="clear" w:pos="7892"/>
              <w:tab w:val="right" w:pos="9026" w:leader="dot"/>
            </w:tabs>
            <w:rPr/>
          </w:pPr>
          <w:hyperlink w:anchor="__RefHeading___Toc2570224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یکره کراهة شدیدة السؤال من غیر احتیاج</w:t>
            </w:r>
            <w:r>
              <w:rPr>
                <w:rStyle w:val="IndexLink"/>
                <w:rtl w:val="true"/>
              </w:rPr>
              <w:t>]</w:t>
              <w:tab/>
            </w:r>
            <w:r>
              <w:rPr>
                <w:rStyle w:val="IndexLink"/>
              </w:rPr>
              <w:t>639</w:t>
            </w:r>
          </w:hyperlink>
        </w:p>
        <w:p>
          <w:pPr>
            <w:pStyle w:val="Contents2"/>
            <w:tabs>
              <w:tab w:val="clear" w:pos="8743"/>
              <w:tab w:val="right" w:pos="9026" w:leader="dot"/>
            </w:tabs>
            <w:rPr/>
          </w:pPr>
          <w:hyperlink w:anchor="__RefHeading___Toc2570226_3650668749">
            <w:r>
              <w:rPr>
                <w:webHidden/>
                <w:rStyle w:val="IndexLink"/>
                <w:rtl w:val="true"/>
              </w:rPr>
              <w:t>[</w:t>
            </w:r>
            <w:r>
              <w:rPr>
                <w:rStyle w:val="IndexLink"/>
                <w:rtl w:val="true"/>
              </w:rPr>
              <w:t>کتاب الوصیّة</w:t>
            </w:r>
            <w:r>
              <w:rPr>
                <w:rStyle w:val="IndexLink"/>
                <w:rtl w:val="true"/>
              </w:rPr>
              <w:t>]</w:t>
              <w:tab/>
            </w:r>
            <w:r>
              <w:rPr>
                <w:rStyle w:val="IndexLink"/>
              </w:rPr>
              <w:t>640</w:t>
            </w:r>
          </w:hyperlink>
        </w:p>
        <w:p>
          <w:pPr>
            <w:pStyle w:val="Contents3"/>
            <w:tabs>
              <w:tab w:val="clear" w:pos="8459"/>
              <w:tab w:val="right" w:pos="9026" w:leader="dot"/>
            </w:tabs>
            <w:rPr/>
          </w:pPr>
          <w:hyperlink w:anchor="__RefHeading___Toc2570228_3650668749">
            <w:r>
              <w:rPr>
                <w:webHidden/>
                <w:rStyle w:val="IndexLink"/>
                <w:rtl w:val="true"/>
              </w:rPr>
              <w:t>اشارة</w:t>
            </w:r>
            <w:r>
              <w:rPr>
                <w:rStyle w:val="IndexLink"/>
                <w:rtl w:val="true"/>
              </w:rPr>
              <w:tab/>
            </w:r>
            <w:r>
              <w:rPr>
                <w:rStyle w:val="IndexLink"/>
              </w:rPr>
              <w:t>640</w:t>
            </w:r>
          </w:hyperlink>
        </w:p>
        <w:p>
          <w:pPr>
            <w:pStyle w:val="Contents3"/>
            <w:tabs>
              <w:tab w:val="clear" w:pos="8459"/>
              <w:tab w:val="right" w:pos="9026" w:leader="dot"/>
            </w:tabs>
            <w:rPr/>
          </w:pPr>
          <w:hyperlink w:anchor="__RefHeading___Toc257023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إذا ظهرت للإنسان أمارات الموت یجب علیه أن یوصی بإیصال ما عنده من أموال الناس</w:t>
            </w:r>
            <w:r>
              <w:rPr>
                <w:rStyle w:val="IndexLink"/>
                <w:rtl w:val="true"/>
              </w:rPr>
              <w:t>]</w:t>
              <w:tab/>
            </w:r>
            <w:r>
              <w:rPr>
                <w:rStyle w:val="IndexLink"/>
              </w:rPr>
              <w:t>640</w:t>
            </w:r>
          </w:hyperlink>
        </w:p>
        <w:p>
          <w:pPr>
            <w:pStyle w:val="Contents3"/>
            <w:tabs>
              <w:tab w:val="clear" w:pos="8459"/>
              <w:tab w:val="right" w:pos="9026" w:leader="dot"/>
            </w:tabs>
            <w:rPr/>
          </w:pPr>
          <w:hyperlink w:anchor="__RefHeading___Toc257023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کان عنده أموال الناس، أو کان علیه حقوق و واجبات، لکن یعلم أو یطمئنّ بأنّ أخلافه یوصلون الأموال</w:t>
            </w:r>
            <w:r>
              <w:rPr>
                <w:rStyle w:val="IndexLink"/>
                <w:rtl w:val="true"/>
              </w:rPr>
              <w:t>]</w:t>
              <w:tab/>
            </w:r>
            <w:r>
              <w:rPr>
                <w:rStyle w:val="IndexLink"/>
              </w:rPr>
              <w:t>640</w:t>
            </w:r>
          </w:hyperlink>
        </w:p>
        <w:p>
          <w:pPr>
            <w:pStyle w:val="Contents3"/>
            <w:tabs>
              <w:tab w:val="clear" w:pos="8459"/>
              <w:tab w:val="right" w:pos="9026" w:leader="dot"/>
            </w:tabs>
            <w:rPr/>
          </w:pPr>
          <w:hyperlink w:anchor="__RefHeading___Toc257023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یکفی فی الوصیّة کلّ ما دلّ علیها من الألفاظ من أیّ لغة کان</w:t>
            </w:r>
            <w:r>
              <w:rPr>
                <w:rStyle w:val="IndexLink"/>
                <w:rtl w:val="true"/>
              </w:rPr>
              <w:t>]</w:t>
              <w:tab/>
            </w:r>
            <w:r>
              <w:rPr>
                <w:rStyle w:val="IndexLink"/>
              </w:rPr>
              <w:t>640</w:t>
            </w:r>
          </w:hyperlink>
        </w:p>
        <w:p>
          <w:pPr>
            <w:pStyle w:val="Contents3"/>
            <w:tabs>
              <w:tab w:val="clear" w:pos="8459"/>
              <w:tab w:val="right" w:pos="9026" w:leader="dot"/>
            </w:tabs>
            <w:rPr/>
          </w:pPr>
          <w:hyperlink w:anchor="__RefHeading___Toc257023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الوصیّة التملیکیّة لها أرکان ثلاثة</w:t>
            </w:r>
            <w:r>
              <w:rPr>
                <w:rStyle w:val="IndexLink"/>
                <w:rtl w:val="true"/>
              </w:rPr>
              <w:t>]</w:t>
              <w:tab/>
            </w:r>
            <w:r>
              <w:rPr>
                <w:rStyle w:val="IndexLink"/>
              </w:rPr>
              <w:t>641</w:t>
            </w:r>
          </w:hyperlink>
        </w:p>
        <w:p>
          <w:pPr>
            <w:pStyle w:val="Contents3"/>
            <w:tabs>
              <w:tab w:val="clear" w:pos="8459"/>
              <w:tab w:val="right" w:pos="9026" w:leader="dot"/>
            </w:tabs>
            <w:rPr/>
          </w:pPr>
          <w:hyperlink w:anchor="__RefHeading___Toc257023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إشکال فی أنّ الوصیّة العهدیّة لا یحتاج إلیٰ قبول</w:t>
            </w:r>
            <w:r>
              <w:rPr>
                <w:rStyle w:val="IndexLink"/>
                <w:rtl w:val="true"/>
              </w:rPr>
              <w:t>]</w:t>
              <w:tab/>
            </w:r>
            <w:r>
              <w:rPr>
                <w:rStyle w:val="IndexLink"/>
              </w:rPr>
              <w:t>641</w:t>
            </w:r>
          </w:hyperlink>
        </w:p>
        <w:p>
          <w:pPr>
            <w:pStyle w:val="Contents3"/>
            <w:tabs>
              <w:tab w:val="clear" w:pos="8459"/>
              <w:tab w:val="right" w:pos="9026" w:leader="dot"/>
            </w:tabs>
            <w:rPr/>
          </w:pPr>
          <w:hyperlink w:anchor="__RefHeading___Toc257024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یکفی فی القبول بناءً علی اعتباره کلّ ما دلّ علی الرضا</w:t>
            </w:r>
            <w:r>
              <w:rPr>
                <w:rStyle w:val="IndexLink"/>
                <w:rtl w:val="true"/>
              </w:rPr>
              <w:t>]</w:t>
              <w:tab/>
            </w:r>
            <w:r>
              <w:rPr>
                <w:rStyle w:val="IndexLink"/>
              </w:rPr>
              <w:t>641</w:t>
            </w:r>
          </w:hyperlink>
        </w:p>
        <w:p>
          <w:pPr>
            <w:pStyle w:val="Contents3"/>
            <w:tabs>
              <w:tab w:val="clear" w:pos="8459"/>
              <w:tab w:val="right" w:pos="9026" w:leader="dot"/>
            </w:tabs>
            <w:rPr/>
          </w:pPr>
          <w:hyperlink w:anchor="__RefHeading___Toc257024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بناءً علی اعتبار القبول، لا فرق بین وقوعه فی حیاة الموصی أو بعد موته</w:t>
            </w:r>
            <w:r>
              <w:rPr>
                <w:rStyle w:val="IndexLink"/>
                <w:rtl w:val="true"/>
              </w:rPr>
              <w:t>]</w:t>
              <w:tab/>
            </w:r>
            <w:r>
              <w:rPr>
                <w:rStyle w:val="IndexLink"/>
              </w:rPr>
              <w:t>641</w:t>
            </w:r>
          </w:hyperlink>
        </w:p>
        <w:p>
          <w:pPr>
            <w:pStyle w:val="Contents3"/>
            <w:tabs>
              <w:tab w:val="clear" w:pos="8459"/>
              <w:tab w:val="right" w:pos="9026" w:leader="dot"/>
            </w:tabs>
            <w:rPr/>
          </w:pPr>
          <w:hyperlink w:anchor="__RefHeading___Toc257024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لو ردّ بعضاً و قبل بعضاً، صحّ</w:t>
            </w:r>
            <w:r>
              <w:rPr>
                <w:rStyle w:val="IndexLink"/>
                <w:rtl w:val="true"/>
              </w:rPr>
              <w:t>]</w:t>
              <w:tab/>
            </w:r>
            <w:r>
              <w:rPr>
                <w:rStyle w:val="IndexLink"/>
              </w:rPr>
              <w:t>641</w:t>
            </w:r>
          </w:hyperlink>
        </w:p>
        <w:p>
          <w:pPr>
            <w:pStyle w:val="Contents3"/>
            <w:tabs>
              <w:tab w:val="clear" w:pos="8459"/>
              <w:tab w:val="right" w:pos="9026" w:leader="dot"/>
            </w:tabs>
            <w:rPr/>
          </w:pPr>
          <w:hyperlink w:anchor="__RefHeading___Toc257024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لو مات الموصی له فی حیاة الموصی، أو بعد موته قبل أن یصدر منه ردّ أو قبول</w:t>
            </w:r>
            <w:r>
              <w:rPr>
                <w:rStyle w:val="IndexLink"/>
                <w:rtl w:val="true"/>
              </w:rPr>
              <w:t>]</w:t>
              <w:tab/>
            </w:r>
            <w:r>
              <w:rPr>
                <w:rStyle w:val="IndexLink"/>
              </w:rPr>
              <w:t>642</w:t>
            </w:r>
          </w:hyperlink>
        </w:p>
        <w:p>
          <w:pPr>
            <w:pStyle w:val="Contents3"/>
            <w:tabs>
              <w:tab w:val="clear" w:pos="8459"/>
              <w:tab w:val="right" w:pos="9026" w:leader="dot"/>
            </w:tabs>
            <w:rPr/>
          </w:pPr>
          <w:hyperlink w:anchor="__RefHeading___Toc2570248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الظاهر أنّ الوارث یتلقّی المال الموصی به من الموصی ابتداءً</w:t>
            </w:r>
            <w:r>
              <w:rPr>
                <w:rStyle w:val="IndexLink"/>
                <w:rtl w:val="true"/>
              </w:rPr>
              <w:t>]</w:t>
              <w:tab/>
            </w:r>
            <w:r>
              <w:rPr>
                <w:rStyle w:val="IndexLink"/>
              </w:rPr>
              <w:t>642</w:t>
            </w:r>
          </w:hyperlink>
        </w:p>
        <w:p>
          <w:pPr>
            <w:pStyle w:val="Contents3"/>
            <w:tabs>
              <w:tab w:val="clear" w:pos="8459"/>
              <w:tab w:val="right" w:pos="9026" w:leader="dot"/>
            </w:tabs>
            <w:rPr/>
          </w:pPr>
          <w:hyperlink w:anchor="__RefHeading___Toc2570250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إذا قبل بعض الورثة و ردّ بعضهم، صحّت الوصیّة فیمن قبل</w:t>
            </w:r>
            <w:r>
              <w:rPr>
                <w:rStyle w:val="IndexLink"/>
                <w:rtl w:val="true"/>
              </w:rPr>
              <w:t>]</w:t>
              <w:tab/>
            </w:r>
            <w:r>
              <w:rPr>
                <w:rStyle w:val="IndexLink"/>
              </w:rPr>
              <w:t>642</w:t>
            </w:r>
          </w:hyperlink>
        </w:p>
        <w:p>
          <w:pPr>
            <w:pStyle w:val="Contents3"/>
            <w:tabs>
              <w:tab w:val="clear" w:pos="8459"/>
              <w:tab w:val="right" w:pos="9026" w:leader="dot"/>
            </w:tabs>
            <w:rPr/>
          </w:pPr>
          <w:hyperlink w:anchor="__RefHeading___Toc2570252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یعتبر فی الموصی</w:t>
            </w:r>
            <w:r>
              <w:rPr>
                <w:rStyle w:val="IndexLink"/>
                <w:rtl w:val="true"/>
              </w:rPr>
              <w:t xml:space="preserve">: </w:t>
            </w:r>
            <w:r>
              <w:rPr>
                <w:rStyle w:val="IndexLink"/>
                <w:rtl w:val="true"/>
              </w:rPr>
              <w:t>البلوغ و العقل و الاختیار و الرشد و الحرّیة</w:t>
            </w:r>
            <w:r>
              <w:rPr>
                <w:rStyle w:val="IndexLink"/>
                <w:rtl w:val="true"/>
              </w:rPr>
              <w:t>]</w:t>
              <w:tab/>
            </w:r>
            <w:r>
              <w:rPr>
                <w:rStyle w:val="IndexLink"/>
              </w:rPr>
              <w:t>642</w:t>
            </w:r>
          </w:hyperlink>
        </w:p>
        <w:p>
          <w:pPr>
            <w:pStyle w:val="Contents3"/>
            <w:tabs>
              <w:tab w:val="clear" w:pos="8459"/>
              <w:tab w:val="right" w:pos="9026" w:leader="dot"/>
            </w:tabs>
            <w:rPr/>
          </w:pPr>
          <w:hyperlink w:anchor="__RefHeading___Toc2570254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یعتبر فی الموصی مضافاً إلیٰ ما ذکر</w:t>
            </w:r>
            <w:r>
              <w:rPr>
                <w:rStyle w:val="IndexLink"/>
                <w:rtl w:val="true"/>
              </w:rPr>
              <w:t xml:space="preserve">-: </w:t>
            </w:r>
            <w:r>
              <w:rPr>
                <w:rStyle w:val="IndexLink"/>
                <w:rtl w:val="true"/>
              </w:rPr>
              <w:t>أن لا یکون قاتل نفسه متعمّداً</w:t>
            </w:r>
            <w:r>
              <w:rPr>
                <w:rStyle w:val="IndexLink"/>
                <w:rtl w:val="true"/>
              </w:rPr>
              <w:t>]</w:t>
              <w:tab/>
            </w:r>
            <w:r>
              <w:rPr>
                <w:rStyle w:val="IndexLink"/>
              </w:rPr>
              <w:t>642</w:t>
            </w:r>
          </w:hyperlink>
        </w:p>
        <w:p>
          <w:pPr>
            <w:pStyle w:val="Contents3"/>
            <w:tabs>
              <w:tab w:val="clear" w:pos="8459"/>
              <w:tab w:val="right" w:pos="9026" w:leader="dot"/>
            </w:tabs>
            <w:rPr/>
          </w:pPr>
          <w:hyperlink w:anchor="__RefHeading___Toc2570256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لا تبطل الوصیّة بعروض الإغماء و الجنون للموصی</w:t>
            </w:r>
            <w:r>
              <w:rPr>
                <w:rStyle w:val="IndexLink"/>
                <w:rtl w:val="true"/>
              </w:rPr>
              <w:t>]</w:t>
              <w:tab/>
            </w:r>
            <w:r>
              <w:rPr>
                <w:rStyle w:val="IndexLink"/>
              </w:rPr>
              <w:t>642</w:t>
            </w:r>
          </w:hyperlink>
        </w:p>
        <w:p>
          <w:pPr>
            <w:pStyle w:val="Contents3"/>
            <w:tabs>
              <w:tab w:val="clear" w:pos="8459"/>
              <w:tab w:val="right" w:pos="9026" w:leader="dot"/>
            </w:tabs>
            <w:rPr/>
          </w:pPr>
          <w:hyperlink w:anchor="__RefHeading___Toc2570258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یشترط فی الموصی له الوجود حین الوصیّة</w:t>
            </w:r>
            <w:r>
              <w:rPr>
                <w:rStyle w:val="IndexLink"/>
                <w:rtl w:val="true"/>
              </w:rPr>
              <w:t>]</w:t>
              <w:tab/>
            </w:r>
            <w:r>
              <w:rPr>
                <w:rStyle w:val="IndexLink"/>
              </w:rPr>
              <w:t>642</w:t>
            </w:r>
          </w:hyperlink>
        </w:p>
        <w:p>
          <w:pPr>
            <w:pStyle w:val="Contents3"/>
            <w:tabs>
              <w:tab w:val="clear" w:pos="8459"/>
              <w:tab w:val="right" w:pos="9026" w:leader="dot"/>
            </w:tabs>
            <w:rPr/>
          </w:pPr>
          <w:hyperlink w:anchor="__RefHeading___Toc2570260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تصحّ الوصیّة للذمّی</w:t>
            </w:r>
            <w:r>
              <w:rPr>
                <w:rStyle w:val="IndexLink"/>
                <w:rtl w:val="true"/>
              </w:rPr>
              <w:t>]</w:t>
              <w:tab/>
            </w:r>
            <w:r>
              <w:rPr>
                <w:rStyle w:val="IndexLink"/>
              </w:rPr>
              <w:t>643</w:t>
            </w:r>
          </w:hyperlink>
        </w:p>
        <w:p>
          <w:pPr>
            <w:pStyle w:val="Contents3"/>
            <w:tabs>
              <w:tab w:val="clear" w:pos="8459"/>
              <w:tab w:val="right" w:pos="9026" w:leader="dot"/>
            </w:tabs>
            <w:rPr/>
          </w:pPr>
          <w:hyperlink w:anchor="__RefHeading___Toc2570262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لا تصحّ الوصیّة لمملوک الغیر و إن أجاز المالک</w:t>
            </w:r>
            <w:r>
              <w:rPr>
                <w:rStyle w:val="IndexLink"/>
                <w:rtl w:val="true"/>
              </w:rPr>
              <w:t>]</w:t>
              <w:tab/>
            </w:r>
            <w:r>
              <w:rPr>
                <w:rStyle w:val="IndexLink"/>
              </w:rPr>
              <w:t>643</w:t>
            </w:r>
          </w:hyperlink>
        </w:p>
        <w:p>
          <w:pPr>
            <w:pStyle w:val="Contents3"/>
            <w:tabs>
              <w:tab w:val="clear" w:pos="8459"/>
              <w:tab w:val="right" w:pos="9026" w:leader="dot"/>
            </w:tabs>
            <w:rPr/>
          </w:pPr>
          <w:hyperlink w:anchor="__RefHeading___Toc2570264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یشترط فی الموصی به فی الوصیّة التملیکیّة أن یکون مالًا أو حقّا قابلًا للنقل</w:t>
            </w:r>
            <w:r>
              <w:rPr>
                <w:rStyle w:val="IndexLink"/>
                <w:rtl w:val="true"/>
              </w:rPr>
              <w:t>]</w:t>
              <w:tab/>
            </w:r>
            <w:r>
              <w:rPr>
                <w:rStyle w:val="IndexLink"/>
              </w:rPr>
              <w:t>643</w:t>
            </w:r>
          </w:hyperlink>
        </w:p>
        <w:p>
          <w:pPr>
            <w:pStyle w:val="Contents3"/>
            <w:tabs>
              <w:tab w:val="clear" w:pos="8459"/>
              <w:tab w:val="right" w:pos="9026" w:leader="dot"/>
            </w:tabs>
            <w:rPr/>
          </w:pPr>
          <w:hyperlink w:anchor="__RefHeading___Toc2570266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لا بدّ أن تکون العین الموصی بها ذات منفعة محلّلة مقصودة</w:t>
            </w:r>
            <w:r>
              <w:rPr>
                <w:rStyle w:val="IndexLink"/>
                <w:rtl w:val="true"/>
              </w:rPr>
              <w:t>]</w:t>
              <w:tab/>
            </w:r>
            <w:r>
              <w:rPr>
                <w:rStyle w:val="IndexLink"/>
              </w:rPr>
              <w:t>643</w:t>
            </w:r>
          </w:hyperlink>
        </w:p>
        <w:p>
          <w:pPr>
            <w:pStyle w:val="Contents3"/>
            <w:tabs>
              <w:tab w:val="clear" w:pos="8459"/>
              <w:tab w:val="right" w:pos="9026" w:leader="dot"/>
            </w:tabs>
            <w:rPr/>
          </w:pPr>
          <w:hyperlink w:anchor="__RefHeading___Toc2570268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لا تصحّ الوصیّة بمال الغیر و إن أجاز المالک</w:t>
            </w:r>
            <w:r>
              <w:rPr>
                <w:rStyle w:val="IndexLink"/>
                <w:rtl w:val="true"/>
              </w:rPr>
              <w:t>]</w:t>
              <w:tab/>
            </w:r>
            <w:r>
              <w:rPr>
                <w:rStyle w:val="IndexLink"/>
              </w:rPr>
              <w:t>643</w:t>
            </w:r>
          </w:hyperlink>
        </w:p>
        <w:p>
          <w:pPr>
            <w:pStyle w:val="Contents3"/>
            <w:tabs>
              <w:tab w:val="clear" w:pos="8459"/>
              <w:tab w:val="right" w:pos="9026" w:leader="dot"/>
            </w:tabs>
            <w:rPr/>
          </w:pPr>
          <w:hyperlink w:anchor="__RefHeading___Toc2570270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یشترط فی الوصیّة العهدیّة أن یکون ما أوصیٰ به عملًا سائغاً تعلّق به</w:t>
            </w:r>
            <w:r>
              <w:rPr>
                <w:rStyle w:val="IndexLink"/>
                <w:rtl w:val="true"/>
              </w:rPr>
              <w:t>]</w:t>
              <w:tab/>
            </w:r>
            <w:r>
              <w:rPr>
                <w:rStyle w:val="IndexLink"/>
              </w:rPr>
              <w:t>643</w:t>
            </w:r>
          </w:hyperlink>
        </w:p>
        <w:p>
          <w:pPr>
            <w:pStyle w:val="Contents3"/>
            <w:tabs>
              <w:tab w:val="clear" w:pos="8459"/>
              <w:tab w:val="right" w:pos="9026" w:leader="dot"/>
            </w:tabs>
            <w:rPr/>
          </w:pPr>
          <w:hyperlink w:anchor="__RefHeading___Toc2570272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لو أوصیٰ بما هو سائغ عنده اجتهاداً أو تقلیداً و غیر سائغ عند الوصیّ</w:t>
            </w:r>
            <w:r>
              <w:rPr>
                <w:rStyle w:val="IndexLink"/>
                <w:rtl w:val="true"/>
              </w:rPr>
              <w:t>]</w:t>
              <w:tab/>
            </w:r>
            <w:r>
              <w:rPr>
                <w:rStyle w:val="IndexLink"/>
              </w:rPr>
              <w:t>644</w:t>
            </w:r>
          </w:hyperlink>
        </w:p>
        <w:p>
          <w:pPr>
            <w:pStyle w:val="Contents3"/>
            <w:tabs>
              <w:tab w:val="clear" w:pos="8459"/>
              <w:tab w:val="right" w:pos="9026" w:leader="dot"/>
            </w:tabs>
            <w:rPr/>
          </w:pPr>
          <w:hyperlink w:anchor="__RefHeading___Toc2570274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لو أوصیٰ لغیر الولیّ بمباشرة تجهیزه کتغسیله و الصلاة علیه مع وجود الولیّ</w:t>
            </w:r>
            <w:r>
              <w:rPr>
                <w:rStyle w:val="IndexLink"/>
                <w:rtl w:val="true"/>
              </w:rPr>
              <w:t>]</w:t>
              <w:tab/>
            </w:r>
            <w:r>
              <w:rPr>
                <w:rStyle w:val="IndexLink"/>
              </w:rPr>
              <w:t>644</w:t>
            </w:r>
          </w:hyperlink>
        </w:p>
        <w:p>
          <w:pPr>
            <w:pStyle w:val="Contents3"/>
            <w:tabs>
              <w:tab w:val="clear" w:pos="8459"/>
              <w:tab w:val="right" w:pos="9026" w:leader="dot"/>
            </w:tabs>
            <w:rPr/>
          </w:pPr>
          <w:hyperlink w:anchor="__RefHeading___Toc2570276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یشترط فی نفوذ الوصیّة فی الجملة أن لا یکون زائداً علی الثلث</w:t>
            </w:r>
            <w:r>
              <w:rPr>
                <w:rStyle w:val="IndexLink"/>
                <w:rtl w:val="true"/>
              </w:rPr>
              <w:t>]</w:t>
              <w:tab/>
            </w:r>
            <w:r>
              <w:rPr>
                <w:rStyle w:val="IndexLink"/>
              </w:rPr>
              <w:t>644</w:t>
            </w:r>
          </w:hyperlink>
        </w:p>
        <w:p>
          <w:pPr>
            <w:pStyle w:val="Contents3"/>
            <w:tabs>
              <w:tab w:val="clear" w:pos="8459"/>
              <w:tab w:val="right" w:pos="9026" w:leader="dot"/>
            </w:tabs>
            <w:rPr/>
          </w:pPr>
          <w:hyperlink w:anchor="__RefHeading___Toc2570278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لا فرق فیما ذکر بین ما إذا کانت الوصیّة بکسر مشاع أو بمال معیّن أو بمقدار من المال</w:t>
            </w:r>
            <w:r>
              <w:rPr>
                <w:rStyle w:val="IndexLink"/>
                <w:rtl w:val="true"/>
              </w:rPr>
              <w:t>]</w:t>
              <w:tab/>
            </w:r>
            <w:r>
              <w:rPr>
                <w:rStyle w:val="IndexLink"/>
              </w:rPr>
              <w:t>644</w:t>
            </w:r>
          </w:hyperlink>
        </w:p>
        <w:p>
          <w:pPr>
            <w:pStyle w:val="Contents3"/>
            <w:tabs>
              <w:tab w:val="clear" w:pos="8459"/>
              <w:tab w:val="right" w:pos="9026" w:leader="dot"/>
            </w:tabs>
            <w:rPr/>
          </w:pPr>
          <w:hyperlink w:anchor="__RefHeading___Toc2570280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لو کانت إجازة الوارث لما زاد علی الثلث بعد موت الموصی نفذت بلا إشکال</w:t>
            </w:r>
            <w:r>
              <w:rPr>
                <w:rStyle w:val="IndexLink"/>
                <w:rtl w:val="true"/>
              </w:rPr>
              <w:t>]</w:t>
              <w:tab/>
            </w:r>
            <w:r>
              <w:rPr>
                <w:rStyle w:val="IndexLink"/>
              </w:rPr>
              <w:t>645</w:t>
            </w:r>
          </w:hyperlink>
        </w:p>
        <w:p>
          <w:pPr>
            <w:pStyle w:val="Contents3"/>
            <w:tabs>
              <w:tab w:val="clear" w:pos="8459"/>
              <w:tab w:val="right" w:pos="9026" w:leader="dot"/>
            </w:tabs>
            <w:rPr/>
          </w:pPr>
          <w:hyperlink w:anchor="__RefHeading___Toc2570282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لو أجاز الوارث بعض الزیادة لا تمامها</w:t>
            </w:r>
            <w:r>
              <w:rPr>
                <w:rStyle w:val="IndexLink"/>
                <w:rtl w:val="true"/>
              </w:rPr>
              <w:t>]</w:t>
              <w:tab/>
            </w:r>
            <w:r>
              <w:rPr>
                <w:rStyle w:val="IndexLink"/>
              </w:rPr>
              <w:t>645</w:t>
            </w:r>
          </w:hyperlink>
        </w:p>
        <w:p>
          <w:pPr>
            <w:pStyle w:val="Contents3"/>
            <w:tabs>
              <w:tab w:val="clear" w:pos="8459"/>
              <w:tab w:val="right" w:pos="9026" w:leader="dot"/>
            </w:tabs>
            <w:rPr/>
          </w:pPr>
          <w:hyperlink w:anchor="__RefHeading___Toc2570284_3650668749">
            <w:r>
              <w:rPr>
                <w:webHidden/>
                <w:rStyle w:val="IndexLink"/>
                <w:rtl w:val="true"/>
              </w:rPr>
              <w:t>[ (</w:t>
            </w:r>
            <w:r>
              <w:rPr>
                <w:rStyle w:val="IndexLink"/>
                <w:rtl w:val="true"/>
              </w:rPr>
              <w:t xml:space="preserve">مسألة </w:t>
            </w:r>
            <w:r>
              <w:rPr>
                <w:rStyle w:val="IndexLink"/>
              </w:rPr>
              <w:t>28</w:t>
            </w:r>
            <w:r>
              <w:rPr>
                <w:rStyle w:val="IndexLink"/>
                <w:rtl w:val="true"/>
              </w:rPr>
              <w:t xml:space="preserve">): </w:t>
            </w:r>
            <w:r>
              <w:rPr>
                <w:rStyle w:val="IndexLink"/>
                <w:rtl w:val="true"/>
              </w:rPr>
              <w:t>لو أجاز بعض الورثة دون بعضهم، نفذت الوصیّة فی حقّ المجیز فی الزیادة</w:t>
            </w:r>
            <w:r>
              <w:rPr>
                <w:rStyle w:val="IndexLink"/>
                <w:rtl w:val="true"/>
              </w:rPr>
              <w:t>]</w:t>
              <w:tab/>
            </w:r>
            <w:r>
              <w:rPr>
                <w:rStyle w:val="IndexLink"/>
              </w:rPr>
              <w:t>645</w:t>
            </w:r>
          </w:hyperlink>
        </w:p>
        <w:p>
          <w:pPr>
            <w:pStyle w:val="Contents3"/>
            <w:tabs>
              <w:tab w:val="clear" w:pos="8459"/>
              <w:tab w:val="right" w:pos="9026" w:leader="dot"/>
            </w:tabs>
            <w:rPr/>
          </w:pPr>
          <w:hyperlink w:anchor="__RefHeading___Toc2570286_3650668749">
            <w:r>
              <w:rPr>
                <w:webHidden/>
                <w:rStyle w:val="IndexLink"/>
                <w:rtl w:val="true"/>
              </w:rPr>
              <w:t>[ (</w:t>
            </w:r>
            <w:r>
              <w:rPr>
                <w:rStyle w:val="IndexLink"/>
                <w:rtl w:val="true"/>
              </w:rPr>
              <w:t xml:space="preserve">مسألة </w:t>
            </w:r>
            <w:r>
              <w:rPr>
                <w:rStyle w:val="IndexLink"/>
              </w:rPr>
              <w:t>29</w:t>
            </w:r>
            <w:r>
              <w:rPr>
                <w:rStyle w:val="IndexLink"/>
                <w:rtl w:val="true"/>
              </w:rPr>
              <w:t xml:space="preserve">): </w:t>
            </w:r>
            <w:r>
              <w:rPr>
                <w:rStyle w:val="IndexLink"/>
                <w:rtl w:val="true"/>
              </w:rPr>
              <w:t>لو أوصیٰ بعین معیّنة أو مقدار کلّی من المال کمائة دینار</w:t>
            </w:r>
            <w:r>
              <w:rPr>
                <w:rStyle w:val="IndexLink"/>
                <w:rtl w:val="true"/>
              </w:rPr>
              <w:t>]</w:t>
              <w:tab/>
            </w:r>
            <w:r>
              <w:rPr>
                <w:rStyle w:val="IndexLink"/>
              </w:rPr>
              <w:t>645</w:t>
            </w:r>
          </w:hyperlink>
        </w:p>
        <w:p>
          <w:pPr>
            <w:pStyle w:val="Contents3"/>
            <w:tabs>
              <w:tab w:val="clear" w:pos="8459"/>
              <w:tab w:val="right" w:pos="9026" w:leader="dot"/>
            </w:tabs>
            <w:rPr/>
          </w:pPr>
          <w:hyperlink w:anchor="__RefHeading___Toc2570288_3650668749">
            <w:r>
              <w:rPr>
                <w:webHidden/>
                <w:rStyle w:val="IndexLink"/>
                <w:rtl w:val="true"/>
              </w:rPr>
              <w:t>[ (</w:t>
            </w:r>
            <w:r>
              <w:rPr>
                <w:rStyle w:val="IndexLink"/>
                <w:rtl w:val="true"/>
              </w:rPr>
              <w:t xml:space="preserve">مسألة </w:t>
            </w:r>
            <w:r>
              <w:rPr>
                <w:rStyle w:val="IndexLink"/>
              </w:rPr>
              <w:t>30</w:t>
            </w:r>
            <w:r>
              <w:rPr>
                <w:rStyle w:val="IndexLink"/>
                <w:rtl w:val="true"/>
              </w:rPr>
              <w:t xml:space="preserve">): </w:t>
            </w:r>
            <w:r>
              <w:rPr>
                <w:rStyle w:val="IndexLink"/>
                <w:rtl w:val="true"/>
              </w:rPr>
              <w:t>الإجازة من الوارث إمضاء و تنفیذ</w:t>
            </w:r>
            <w:r>
              <w:rPr>
                <w:rStyle w:val="IndexLink"/>
                <w:rtl w:val="true"/>
              </w:rPr>
              <w:t>]</w:t>
              <w:tab/>
            </w:r>
            <w:r>
              <w:rPr>
                <w:rStyle w:val="IndexLink"/>
              </w:rPr>
              <w:t>646</w:t>
            </w:r>
          </w:hyperlink>
        </w:p>
        <w:p>
          <w:pPr>
            <w:pStyle w:val="Contents3"/>
            <w:tabs>
              <w:tab w:val="clear" w:pos="8459"/>
              <w:tab w:val="right" w:pos="9026" w:leader="dot"/>
            </w:tabs>
            <w:rPr/>
          </w:pPr>
          <w:hyperlink w:anchor="__RefHeading___Toc2570290_3650668749">
            <w:r>
              <w:rPr>
                <w:webHidden/>
                <w:rStyle w:val="IndexLink"/>
                <w:rtl w:val="true"/>
              </w:rPr>
              <w:t>[ (</w:t>
            </w:r>
            <w:r>
              <w:rPr>
                <w:rStyle w:val="IndexLink"/>
                <w:rtl w:val="true"/>
              </w:rPr>
              <w:t xml:space="preserve">مسألة </w:t>
            </w:r>
            <w:r>
              <w:rPr>
                <w:rStyle w:val="IndexLink"/>
              </w:rPr>
              <w:t>31</w:t>
            </w:r>
            <w:r>
              <w:rPr>
                <w:rStyle w:val="IndexLink"/>
                <w:rtl w:val="true"/>
              </w:rPr>
              <w:t xml:space="preserve">): </w:t>
            </w:r>
            <w:r>
              <w:rPr>
                <w:rStyle w:val="IndexLink"/>
                <w:rtl w:val="true"/>
              </w:rPr>
              <w:t>لا یعتبر فی الإجازة کونها علی الفور</w:t>
            </w:r>
            <w:r>
              <w:rPr>
                <w:rStyle w:val="IndexLink"/>
                <w:rtl w:val="true"/>
              </w:rPr>
              <w:t>]</w:t>
              <w:tab/>
            </w:r>
            <w:r>
              <w:rPr>
                <w:rStyle w:val="IndexLink"/>
              </w:rPr>
              <w:t>646</w:t>
            </w:r>
          </w:hyperlink>
        </w:p>
        <w:p>
          <w:pPr>
            <w:pStyle w:val="Contents3"/>
            <w:tabs>
              <w:tab w:val="clear" w:pos="8459"/>
              <w:tab w:val="right" w:pos="9026" w:leader="dot"/>
            </w:tabs>
            <w:rPr/>
          </w:pPr>
          <w:hyperlink w:anchor="__RefHeading___Toc2570292_3650668749">
            <w:r>
              <w:rPr>
                <w:webHidden/>
                <w:rStyle w:val="IndexLink"/>
                <w:rtl w:val="true"/>
              </w:rPr>
              <w:t>[ (</w:t>
            </w:r>
            <w:r>
              <w:rPr>
                <w:rStyle w:val="IndexLink"/>
                <w:rtl w:val="true"/>
              </w:rPr>
              <w:t xml:space="preserve">مسألة </w:t>
            </w:r>
            <w:r>
              <w:rPr>
                <w:rStyle w:val="IndexLink"/>
              </w:rPr>
              <w:t>32</w:t>
            </w:r>
            <w:r>
              <w:rPr>
                <w:rStyle w:val="IndexLink"/>
                <w:rtl w:val="true"/>
              </w:rPr>
              <w:t xml:space="preserve">): </w:t>
            </w:r>
            <w:r>
              <w:rPr>
                <w:rStyle w:val="IndexLink"/>
                <w:rtl w:val="true"/>
              </w:rPr>
              <w:t>یحسب من الترکة ما یملک بالموت کالدیة</w:t>
            </w:r>
            <w:r>
              <w:rPr>
                <w:rStyle w:val="IndexLink"/>
                <w:rtl w:val="true"/>
              </w:rPr>
              <w:t>]</w:t>
              <w:tab/>
            </w:r>
            <w:r>
              <w:rPr>
                <w:rStyle w:val="IndexLink"/>
              </w:rPr>
              <w:t>646</w:t>
            </w:r>
          </w:hyperlink>
        </w:p>
        <w:p>
          <w:pPr>
            <w:pStyle w:val="Contents3"/>
            <w:tabs>
              <w:tab w:val="clear" w:pos="8459"/>
              <w:tab w:val="right" w:pos="9026" w:leader="dot"/>
            </w:tabs>
            <w:rPr/>
          </w:pPr>
          <w:hyperlink w:anchor="__RefHeading___Toc2570294_3650668749">
            <w:r>
              <w:rPr>
                <w:webHidden/>
                <w:rStyle w:val="IndexLink"/>
                <w:rtl w:val="true"/>
              </w:rPr>
              <w:t>[ (</w:t>
            </w:r>
            <w:r>
              <w:rPr>
                <w:rStyle w:val="IndexLink"/>
                <w:rtl w:val="true"/>
              </w:rPr>
              <w:t xml:space="preserve">مسألة </w:t>
            </w:r>
            <w:r>
              <w:rPr>
                <w:rStyle w:val="IndexLink"/>
              </w:rPr>
              <w:t>33</w:t>
            </w:r>
            <w:r>
              <w:rPr>
                <w:rStyle w:val="IndexLink"/>
                <w:rtl w:val="true"/>
              </w:rPr>
              <w:t xml:space="preserve">): </w:t>
            </w:r>
            <w:r>
              <w:rPr>
                <w:rStyle w:val="IndexLink"/>
                <w:rtl w:val="true"/>
              </w:rPr>
              <w:t>للموصی تعیین ثلثه فی عین مخصوصة من الترکة</w:t>
            </w:r>
            <w:r>
              <w:rPr>
                <w:rStyle w:val="IndexLink"/>
                <w:rtl w:val="true"/>
              </w:rPr>
              <w:t>]</w:t>
              <w:tab/>
            </w:r>
            <w:r>
              <w:rPr>
                <w:rStyle w:val="IndexLink"/>
              </w:rPr>
              <w:t>646</w:t>
            </w:r>
          </w:hyperlink>
        </w:p>
        <w:p>
          <w:pPr>
            <w:pStyle w:val="Contents3"/>
            <w:tabs>
              <w:tab w:val="clear" w:pos="8459"/>
              <w:tab w:val="right" w:pos="9026" w:leader="dot"/>
            </w:tabs>
            <w:rPr/>
          </w:pPr>
          <w:hyperlink w:anchor="__RefHeading___Toc2570296_3650668749">
            <w:r>
              <w:rPr>
                <w:webHidden/>
                <w:rStyle w:val="IndexLink"/>
                <w:rtl w:val="true"/>
              </w:rPr>
              <w:t>[ (</w:t>
            </w:r>
            <w:r>
              <w:rPr>
                <w:rStyle w:val="IndexLink"/>
                <w:rtl w:val="true"/>
              </w:rPr>
              <w:t xml:space="preserve">مسألة </w:t>
            </w:r>
            <w:r>
              <w:rPr>
                <w:rStyle w:val="IndexLink"/>
              </w:rPr>
              <w:t>34</w:t>
            </w:r>
            <w:r>
              <w:rPr>
                <w:rStyle w:val="IndexLink"/>
                <w:rtl w:val="true"/>
              </w:rPr>
              <w:t xml:space="preserve">): </w:t>
            </w:r>
            <w:r>
              <w:rPr>
                <w:rStyle w:val="IndexLink"/>
                <w:rtl w:val="true"/>
              </w:rPr>
              <w:t>إنّما یحسب الثلث بعد إخراج ما یخرج من الأصل</w:t>
            </w:r>
            <w:r>
              <w:rPr>
                <w:rStyle w:val="IndexLink"/>
                <w:rtl w:val="true"/>
              </w:rPr>
              <w:t>]</w:t>
              <w:tab/>
            </w:r>
            <w:r>
              <w:rPr>
                <w:rStyle w:val="IndexLink"/>
              </w:rPr>
              <w:t>646</w:t>
            </w:r>
          </w:hyperlink>
        </w:p>
        <w:p>
          <w:pPr>
            <w:pStyle w:val="Contents3"/>
            <w:tabs>
              <w:tab w:val="clear" w:pos="8459"/>
              <w:tab w:val="right" w:pos="9026" w:leader="dot"/>
            </w:tabs>
            <w:rPr/>
          </w:pPr>
          <w:hyperlink w:anchor="__RefHeading___Toc2570298_3650668749">
            <w:r>
              <w:rPr>
                <w:webHidden/>
                <w:rStyle w:val="IndexLink"/>
                <w:rtl w:val="true"/>
              </w:rPr>
              <w:t>[ (</w:t>
            </w:r>
            <w:r>
              <w:rPr>
                <w:rStyle w:val="IndexLink"/>
                <w:rtl w:val="true"/>
              </w:rPr>
              <w:t xml:space="preserve">مسألة </w:t>
            </w:r>
            <w:r>
              <w:rPr>
                <w:rStyle w:val="IndexLink"/>
              </w:rPr>
              <w:t>35</w:t>
            </w:r>
            <w:r>
              <w:rPr>
                <w:rStyle w:val="IndexLink"/>
                <w:rtl w:val="true"/>
              </w:rPr>
              <w:t xml:space="preserve">): </w:t>
            </w:r>
            <w:r>
              <w:rPr>
                <w:rStyle w:val="IndexLink"/>
                <w:rtl w:val="true"/>
              </w:rPr>
              <w:t>لو أوصیٰ بوصایا متعدّدة غیر متضادّة، فإن کانت من نوع واحد</w:t>
            </w:r>
            <w:r>
              <w:rPr>
                <w:rStyle w:val="IndexLink"/>
                <w:rtl w:val="true"/>
              </w:rPr>
              <w:t>]</w:t>
              <w:tab/>
            </w:r>
            <w:r>
              <w:rPr>
                <w:rStyle w:val="IndexLink"/>
              </w:rPr>
              <w:t>646</w:t>
            </w:r>
          </w:hyperlink>
        </w:p>
        <w:p>
          <w:pPr>
            <w:pStyle w:val="Contents3"/>
            <w:tabs>
              <w:tab w:val="clear" w:pos="8459"/>
              <w:tab w:val="right" w:pos="9026" w:leader="dot"/>
            </w:tabs>
            <w:rPr/>
          </w:pPr>
          <w:hyperlink w:anchor="__RefHeading___Toc2570300_3650668749">
            <w:r>
              <w:rPr>
                <w:webHidden/>
                <w:rStyle w:val="IndexLink"/>
                <w:rtl w:val="true"/>
              </w:rPr>
              <w:t>[ (</w:t>
            </w:r>
            <w:r>
              <w:rPr>
                <w:rStyle w:val="IndexLink"/>
                <w:rtl w:val="true"/>
              </w:rPr>
              <w:t xml:space="preserve">مسألة </w:t>
            </w:r>
            <w:r>
              <w:rPr>
                <w:rStyle w:val="IndexLink"/>
              </w:rPr>
              <w:t>36</w:t>
            </w:r>
            <w:r>
              <w:rPr>
                <w:rStyle w:val="IndexLink"/>
                <w:rtl w:val="true"/>
              </w:rPr>
              <w:t xml:space="preserve">): </w:t>
            </w:r>
            <w:r>
              <w:rPr>
                <w:rStyle w:val="IndexLink"/>
                <w:rtl w:val="true"/>
              </w:rPr>
              <w:t>لو أوصیٰ بوصایا مختلفة بالنوع کما إذا أوصیٰ بأن یعطیٰ مقداراً معیّناً خمساً و زکاة</w:t>
            </w:r>
            <w:r>
              <w:rPr>
                <w:rStyle w:val="IndexLink"/>
                <w:rtl w:val="true"/>
              </w:rPr>
              <w:t>]</w:t>
              <w:tab/>
            </w:r>
            <w:r>
              <w:rPr>
                <w:rStyle w:val="IndexLink"/>
              </w:rPr>
              <w:t>647</w:t>
            </w:r>
          </w:hyperlink>
        </w:p>
        <w:p>
          <w:pPr>
            <w:pStyle w:val="Contents3"/>
            <w:tabs>
              <w:tab w:val="clear" w:pos="8459"/>
              <w:tab w:val="right" w:pos="9026" w:leader="dot"/>
            </w:tabs>
            <w:rPr/>
          </w:pPr>
          <w:hyperlink w:anchor="__RefHeading___Toc2570302_3650668749">
            <w:r>
              <w:rPr>
                <w:webHidden/>
                <w:rStyle w:val="IndexLink"/>
                <w:rtl w:val="true"/>
              </w:rPr>
              <w:t>[ (</w:t>
            </w:r>
            <w:r>
              <w:rPr>
                <w:rStyle w:val="IndexLink"/>
                <w:rtl w:val="true"/>
              </w:rPr>
              <w:t xml:space="preserve">مسألة </w:t>
            </w:r>
            <w:r>
              <w:rPr>
                <w:rStyle w:val="IndexLink"/>
              </w:rPr>
              <w:t>37</w:t>
            </w:r>
            <w:r>
              <w:rPr>
                <w:rStyle w:val="IndexLink"/>
                <w:rtl w:val="true"/>
              </w:rPr>
              <w:t xml:space="preserve">): </w:t>
            </w:r>
            <w:r>
              <w:rPr>
                <w:rStyle w:val="IndexLink"/>
                <w:rtl w:val="true"/>
              </w:rPr>
              <w:t>لو أوصیٰ بوصایا متعدّدة متضادّة</w:t>
            </w:r>
            <w:r>
              <w:rPr>
                <w:rStyle w:val="IndexLink"/>
                <w:rtl w:val="true"/>
              </w:rPr>
              <w:t>]</w:t>
              <w:tab/>
            </w:r>
            <w:r>
              <w:rPr>
                <w:rStyle w:val="IndexLink"/>
              </w:rPr>
              <w:t>648</w:t>
            </w:r>
          </w:hyperlink>
        </w:p>
        <w:p>
          <w:pPr>
            <w:pStyle w:val="Contents3"/>
            <w:tabs>
              <w:tab w:val="clear" w:pos="8459"/>
              <w:tab w:val="right" w:pos="9026" w:leader="dot"/>
            </w:tabs>
            <w:rPr/>
          </w:pPr>
          <w:hyperlink w:anchor="__RefHeading___Toc2570304_3650668749">
            <w:r>
              <w:rPr>
                <w:webHidden/>
                <w:rStyle w:val="IndexLink"/>
                <w:rtl w:val="true"/>
              </w:rPr>
              <w:t>[ (</w:t>
            </w:r>
            <w:r>
              <w:rPr>
                <w:rStyle w:val="IndexLink"/>
                <w:rtl w:val="true"/>
              </w:rPr>
              <w:t xml:space="preserve">مسألة </w:t>
            </w:r>
            <w:r>
              <w:rPr>
                <w:rStyle w:val="IndexLink"/>
              </w:rPr>
              <w:t>38</w:t>
            </w:r>
            <w:r>
              <w:rPr>
                <w:rStyle w:val="IndexLink"/>
                <w:rtl w:val="true"/>
              </w:rPr>
              <w:t xml:space="preserve">): </w:t>
            </w:r>
            <w:r>
              <w:rPr>
                <w:rStyle w:val="IndexLink"/>
                <w:rtl w:val="true"/>
              </w:rPr>
              <w:t>متعلّق الوصیّة إن کان کسراً مشاعاً من الترکة کالثلث أو الربع</w:t>
            </w:r>
            <w:r>
              <w:rPr>
                <w:rStyle w:val="IndexLink"/>
                <w:rtl w:val="true"/>
              </w:rPr>
              <w:t>]</w:t>
              <w:tab/>
            </w:r>
            <w:r>
              <w:rPr>
                <w:rStyle w:val="IndexLink"/>
              </w:rPr>
              <w:t>648</w:t>
            </w:r>
          </w:hyperlink>
        </w:p>
        <w:p>
          <w:pPr>
            <w:pStyle w:val="Contents3"/>
            <w:tabs>
              <w:tab w:val="clear" w:pos="8459"/>
              <w:tab w:val="right" w:pos="9026" w:leader="dot"/>
            </w:tabs>
            <w:rPr/>
          </w:pPr>
          <w:hyperlink w:anchor="__RefHeading___Toc2570306_3650668749">
            <w:r>
              <w:rPr>
                <w:webHidden/>
                <w:rStyle w:val="IndexLink"/>
                <w:rtl w:val="true"/>
              </w:rPr>
              <w:t>[ (</w:t>
            </w:r>
            <w:r>
              <w:rPr>
                <w:rStyle w:val="IndexLink"/>
                <w:rtl w:val="true"/>
              </w:rPr>
              <w:t xml:space="preserve">مسألة </w:t>
            </w:r>
            <w:r>
              <w:rPr>
                <w:rStyle w:val="IndexLink"/>
              </w:rPr>
              <w:t>39</w:t>
            </w:r>
            <w:r>
              <w:rPr>
                <w:rStyle w:val="IndexLink"/>
                <w:rtl w:val="true"/>
              </w:rPr>
              <w:t xml:space="preserve">): </w:t>
            </w:r>
            <w:r>
              <w:rPr>
                <w:rStyle w:val="IndexLink"/>
                <w:rtl w:val="true"/>
              </w:rPr>
              <w:t>یجوز للموصی أن یعیّن شخصاً لتنجیز وصایاه و تنفیذها</w:t>
            </w:r>
            <w:r>
              <w:rPr>
                <w:rStyle w:val="IndexLink"/>
                <w:rtl w:val="true"/>
              </w:rPr>
              <w:t>]</w:t>
              <w:tab/>
            </w:r>
            <w:r>
              <w:rPr>
                <w:rStyle w:val="IndexLink"/>
              </w:rPr>
              <w:t>649</w:t>
            </w:r>
          </w:hyperlink>
        </w:p>
        <w:p>
          <w:pPr>
            <w:pStyle w:val="Contents3"/>
            <w:tabs>
              <w:tab w:val="clear" w:pos="8459"/>
              <w:tab w:val="right" w:pos="9026" w:leader="dot"/>
            </w:tabs>
            <w:rPr/>
          </w:pPr>
          <w:hyperlink w:anchor="__RefHeading___Toc2570308_3650668749">
            <w:r>
              <w:rPr>
                <w:webHidden/>
                <w:rStyle w:val="IndexLink"/>
                <w:rtl w:val="true"/>
              </w:rPr>
              <w:t>[ (</w:t>
            </w:r>
            <w:r>
              <w:rPr>
                <w:rStyle w:val="IndexLink"/>
                <w:rtl w:val="true"/>
              </w:rPr>
              <w:t xml:space="preserve">مسألة </w:t>
            </w:r>
            <w:r>
              <w:rPr>
                <w:rStyle w:val="IndexLink"/>
              </w:rPr>
              <w:t>40</w:t>
            </w:r>
            <w:r>
              <w:rPr>
                <w:rStyle w:val="IndexLink"/>
                <w:rtl w:val="true"/>
              </w:rPr>
              <w:t xml:space="preserve">): </w:t>
            </w:r>
            <w:r>
              <w:rPr>
                <w:rStyle w:val="IndexLink"/>
                <w:rtl w:val="true"/>
              </w:rPr>
              <w:t>إنّما لا تصحّ وصایة الصغیر منفرداً، و أمّا منضمّاً إلی الکامل فلا بأس به</w:t>
            </w:r>
            <w:r>
              <w:rPr>
                <w:rStyle w:val="IndexLink"/>
                <w:rtl w:val="true"/>
              </w:rPr>
              <w:t>]</w:t>
              <w:tab/>
            </w:r>
            <w:r>
              <w:rPr>
                <w:rStyle w:val="IndexLink"/>
              </w:rPr>
              <w:t>649</w:t>
            </w:r>
          </w:hyperlink>
        </w:p>
        <w:p>
          <w:pPr>
            <w:pStyle w:val="Contents3"/>
            <w:tabs>
              <w:tab w:val="clear" w:pos="8459"/>
              <w:tab w:val="right" w:pos="9026" w:leader="dot"/>
            </w:tabs>
            <w:rPr/>
          </w:pPr>
          <w:hyperlink w:anchor="__RefHeading___Toc2570310_3650668749">
            <w:r>
              <w:rPr>
                <w:webHidden/>
                <w:rStyle w:val="IndexLink"/>
                <w:rtl w:val="true"/>
              </w:rPr>
              <w:t>[ (</w:t>
            </w:r>
            <w:r>
              <w:rPr>
                <w:rStyle w:val="IndexLink"/>
                <w:rtl w:val="true"/>
              </w:rPr>
              <w:t xml:space="preserve">مسألة </w:t>
            </w:r>
            <w:r>
              <w:rPr>
                <w:rStyle w:val="IndexLink"/>
              </w:rPr>
              <w:t>41</w:t>
            </w:r>
            <w:r>
              <w:rPr>
                <w:rStyle w:val="IndexLink"/>
                <w:rtl w:val="true"/>
              </w:rPr>
              <w:t xml:space="preserve">): </w:t>
            </w:r>
            <w:r>
              <w:rPr>
                <w:rStyle w:val="IndexLink"/>
                <w:rtl w:val="true"/>
              </w:rPr>
              <w:t>لو طرأ الجنون علی الوصیّ بعد موت الموصی بطلت</w:t>
            </w:r>
            <w:r>
              <w:rPr>
                <w:rStyle w:val="IndexLink"/>
                <w:rtl w:val="true"/>
              </w:rPr>
              <w:t>]</w:t>
              <w:tab/>
            </w:r>
            <w:r>
              <w:rPr>
                <w:rStyle w:val="IndexLink"/>
              </w:rPr>
              <w:t>649</w:t>
            </w:r>
          </w:hyperlink>
        </w:p>
        <w:p>
          <w:pPr>
            <w:pStyle w:val="Contents3"/>
            <w:tabs>
              <w:tab w:val="clear" w:pos="8459"/>
              <w:tab w:val="right" w:pos="9026" w:leader="dot"/>
            </w:tabs>
            <w:rPr/>
          </w:pPr>
          <w:hyperlink w:anchor="__RefHeading___Toc2570312_3650668749">
            <w:r>
              <w:rPr>
                <w:webHidden/>
                <w:rStyle w:val="IndexLink"/>
                <w:rtl w:val="true"/>
              </w:rPr>
              <w:t>[ (</w:t>
            </w:r>
            <w:r>
              <w:rPr>
                <w:rStyle w:val="IndexLink"/>
                <w:rtl w:val="true"/>
              </w:rPr>
              <w:t xml:space="preserve">مسألة </w:t>
            </w:r>
            <w:r>
              <w:rPr>
                <w:rStyle w:val="IndexLink"/>
              </w:rPr>
              <w:t>42</w:t>
            </w:r>
            <w:r>
              <w:rPr>
                <w:rStyle w:val="IndexLink"/>
                <w:rtl w:val="true"/>
              </w:rPr>
              <w:t xml:space="preserve">): </w:t>
            </w:r>
            <w:r>
              <w:rPr>
                <w:rStyle w:val="IndexLink"/>
                <w:rtl w:val="true"/>
              </w:rPr>
              <w:t>لا یجب علی الموصی إلیه قبول الوصایة</w:t>
            </w:r>
            <w:r>
              <w:rPr>
                <w:rStyle w:val="IndexLink"/>
                <w:rtl w:val="true"/>
              </w:rPr>
              <w:t>]</w:t>
              <w:tab/>
            </w:r>
            <w:r>
              <w:rPr>
                <w:rStyle w:val="IndexLink"/>
              </w:rPr>
              <w:t>649</w:t>
            </w:r>
          </w:hyperlink>
        </w:p>
        <w:p>
          <w:pPr>
            <w:pStyle w:val="Contents3"/>
            <w:tabs>
              <w:tab w:val="clear" w:pos="8459"/>
              <w:tab w:val="right" w:pos="9026" w:leader="dot"/>
            </w:tabs>
            <w:rPr/>
          </w:pPr>
          <w:hyperlink w:anchor="__RefHeading___Toc2570314_3650668749">
            <w:r>
              <w:rPr>
                <w:webHidden/>
                <w:rStyle w:val="IndexLink"/>
                <w:rtl w:val="true"/>
              </w:rPr>
              <w:t>[ (</w:t>
            </w:r>
            <w:r>
              <w:rPr>
                <w:rStyle w:val="IndexLink"/>
                <w:rtl w:val="true"/>
              </w:rPr>
              <w:t xml:space="preserve">مسألة </w:t>
            </w:r>
            <w:r>
              <w:rPr>
                <w:rStyle w:val="IndexLink"/>
              </w:rPr>
              <w:t>43</w:t>
            </w:r>
            <w:r>
              <w:rPr>
                <w:rStyle w:val="IndexLink"/>
                <w:rtl w:val="true"/>
              </w:rPr>
              <w:t xml:space="preserve">): </w:t>
            </w:r>
            <w:r>
              <w:rPr>
                <w:rStyle w:val="IndexLink"/>
                <w:rtl w:val="true"/>
              </w:rPr>
              <w:t>یجوز للموصی أن یجعل الوصایة لاثنین فما فوق</w:t>
            </w:r>
            <w:r>
              <w:rPr>
                <w:rStyle w:val="IndexLink"/>
                <w:rtl w:val="true"/>
              </w:rPr>
              <w:t>]</w:t>
              <w:tab/>
            </w:r>
            <w:r>
              <w:rPr>
                <w:rStyle w:val="IndexLink"/>
              </w:rPr>
              <w:t>649</w:t>
            </w:r>
          </w:hyperlink>
        </w:p>
        <w:p>
          <w:pPr>
            <w:pStyle w:val="Contents3"/>
            <w:tabs>
              <w:tab w:val="clear" w:pos="8459"/>
              <w:tab w:val="right" w:pos="9026" w:leader="dot"/>
            </w:tabs>
            <w:rPr/>
          </w:pPr>
          <w:hyperlink w:anchor="__RefHeading___Toc2570316_3650668749">
            <w:r>
              <w:rPr>
                <w:webHidden/>
                <w:rStyle w:val="IndexLink"/>
                <w:rtl w:val="true"/>
              </w:rPr>
              <w:t>[ (</w:t>
            </w:r>
            <w:r>
              <w:rPr>
                <w:rStyle w:val="IndexLink"/>
                <w:rtl w:val="true"/>
              </w:rPr>
              <w:t xml:space="preserve">مسألة </w:t>
            </w:r>
            <w:r>
              <w:rPr>
                <w:rStyle w:val="IndexLink"/>
              </w:rPr>
              <w:t>44</w:t>
            </w:r>
            <w:r>
              <w:rPr>
                <w:rStyle w:val="IndexLink"/>
                <w:rtl w:val="true"/>
              </w:rPr>
              <w:t xml:space="preserve">): </w:t>
            </w:r>
            <w:r>
              <w:rPr>
                <w:rStyle w:val="IndexLink"/>
                <w:rtl w:val="true"/>
              </w:rPr>
              <w:t>لو مات أحد الوصیّین أو طرأ علیه الجنون أو غیره ممّا یوجب ارتفاع وصایته استقلّ الآخر</w:t>
            </w:r>
            <w:r>
              <w:rPr>
                <w:rStyle w:val="IndexLink"/>
                <w:rtl w:val="true"/>
              </w:rPr>
              <w:t>]</w:t>
              <w:tab/>
            </w:r>
            <w:r>
              <w:rPr>
                <w:rStyle w:val="IndexLink"/>
              </w:rPr>
              <w:t>650</w:t>
            </w:r>
          </w:hyperlink>
        </w:p>
        <w:p>
          <w:pPr>
            <w:pStyle w:val="Contents3"/>
            <w:tabs>
              <w:tab w:val="clear" w:pos="8459"/>
              <w:tab w:val="right" w:pos="9026" w:leader="dot"/>
            </w:tabs>
            <w:rPr/>
          </w:pPr>
          <w:hyperlink w:anchor="__RefHeading___Toc2570318_3650668749">
            <w:r>
              <w:rPr>
                <w:webHidden/>
                <w:rStyle w:val="IndexLink"/>
                <w:rtl w:val="true"/>
              </w:rPr>
              <w:t>[ (</w:t>
            </w:r>
            <w:r>
              <w:rPr>
                <w:rStyle w:val="IndexLink"/>
                <w:rtl w:val="true"/>
              </w:rPr>
              <w:t xml:space="preserve">مسألة </w:t>
            </w:r>
            <w:r>
              <w:rPr>
                <w:rStyle w:val="IndexLink"/>
              </w:rPr>
              <w:t>45</w:t>
            </w:r>
            <w:r>
              <w:rPr>
                <w:rStyle w:val="IndexLink"/>
                <w:rtl w:val="true"/>
              </w:rPr>
              <w:t xml:space="preserve">): </w:t>
            </w:r>
            <w:r>
              <w:rPr>
                <w:rStyle w:val="IndexLink"/>
                <w:rtl w:val="true"/>
              </w:rPr>
              <w:t>یجوز أن یوصی إلیٰ واحد فی شی‌ء بعینه و إلیٰ آخر فی غیره</w:t>
            </w:r>
            <w:r>
              <w:rPr>
                <w:rStyle w:val="IndexLink"/>
                <w:rtl w:val="true"/>
              </w:rPr>
              <w:t>]</w:t>
              <w:tab/>
            </w:r>
            <w:r>
              <w:rPr>
                <w:rStyle w:val="IndexLink"/>
              </w:rPr>
              <w:t>650</w:t>
            </w:r>
          </w:hyperlink>
        </w:p>
        <w:p>
          <w:pPr>
            <w:pStyle w:val="Contents3"/>
            <w:tabs>
              <w:tab w:val="clear" w:pos="8459"/>
              <w:tab w:val="right" w:pos="9026" w:leader="dot"/>
            </w:tabs>
            <w:rPr/>
          </w:pPr>
          <w:hyperlink w:anchor="__RefHeading___Toc2570320_3650668749">
            <w:r>
              <w:rPr>
                <w:webHidden/>
                <w:rStyle w:val="IndexLink"/>
                <w:rtl w:val="true"/>
              </w:rPr>
              <w:t>[ (</w:t>
            </w:r>
            <w:r>
              <w:rPr>
                <w:rStyle w:val="IndexLink"/>
                <w:rtl w:val="true"/>
              </w:rPr>
              <w:t xml:space="preserve">مسألة </w:t>
            </w:r>
            <w:r>
              <w:rPr>
                <w:rStyle w:val="IndexLink"/>
              </w:rPr>
              <w:t>46</w:t>
            </w:r>
            <w:r>
              <w:rPr>
                <w:rStyle w:val="IndexLink"/>
                <w:rtl w:val="true"/>
              </w:rPr>
              <w:t xml:space="preserve">): </w:t>
            </w:r>
            <w:r>
              <w:rPr>
                <w:rStyle w:val="IndexLink"/>
                <w:rtl w:val="true"/>
              </w:rPr>
              <w:t>لو قال</w:t>
            </w:r>
            <w:r>
              <w:rPr>
                <w:rStyle w:val="IndexLink"/>
                <w:rtl w:val="true"/>
              </w:rPr>
              <w:t>: «</w:t>
            </w:r>
            <w:r>
              <w:rPr>
                <w:rStyle w:val="IndexLink"/>
                <w:rtl w:val="true"/>
              </w:rPr>
              <w:t>أوصیت إلیٰ زید فإن مات فإلیٰ عمرو</w:t>
            </w:r>
            <w:r>
              <w:rPr>
                <w:rStyle w:val="IndexLink"/>
                <w:rtl w:val="true"/>
              </w:rPr>
              <w:t xml:space="preserve">» </w:t>
            </w:r>
            <w:r>
              <w:rPr>
                <w:rStyle w:val="IndexLink"/>
                <w:rtl w:val="true"/>
              </w:rPr>
              <w:t>صحّ</w:t>
            </w:r>
            <w:r>
              <w:rPr>
                <w:rStyle w:val="IndexLink"/>
                <w:rtl w:val="true"/>
              </w:rPr>
              <w:t>]</w:t>
              <w:tab/>
            </w:r>
            <w:r>
              <w:rPr>
                <w:rStyle w:val="IndexLink"/>
              </w:rPr>
              <w:t>650</w:t>
            </w:r>
          </w:hyperlink>
        </w:p>
        <w:p>
          <w:pPr>
            <w:pStyle w:val="Contents3"/>
            <w:tabs>
              <w:tab w:val="clear" w:pos="8459"/>
              <w:tab w:val="right" w:pos="9026" w:leader="dot"/>
            </w:tabs>
            <w:rPr/>
          </w:pPr>
          <w:hyperlink w:anchor="__RefHeading___Toc2570322_3650668749">
            <w:r>
              <w:rPr>
                <w:webHidden/>
                <w:rStyle w:val="IndexLink"/>
                <w:rtl w:val="true"/>
              </w:rPr>
              <w:t>[ (</w:t>
            </w:r>
            <w:r>
              <w:rPr>
                <w:rStyle w:val="IndexLink"/>
                <w:rtl w:val="true"/>
              </w:rPr>
              <w:t xml:space="preserve">مسألة </w:t>
            </w:r>
            <w:r>
              <w:rPr>
                <w:rStyle w:val="IndexLink"/>
              </w:rPr>
              <w:t>47</w:t>
            </w:r>
            <w:r>
              <w:rPr>
                <w:rStyle w:val="IndexLink"/>
                <w:rtl w:val="true"/>
              </w:rPr>
              <w:t xml:space="preserve">): </w:t>
            </w:r>
            <w:r>
              <w:rPr>
                <w:rStyle w:val="IndexLink"/>
                <w:rtl w:val="true"/>
              </w:rPr>
              <w:t>إذا ظهرت خیانة الوصیّ فللحاکم عزله و نصب شخص آخر مکانه</w:t>
            </w:r>
            <w:r>
              <w:rPr>
                <w:rStyle w:val="IndexLink"/>
                <w:rtl w:val="true"/>
              </w:rPr>
              <w:t>]</w:t>
              <w:tab/>
            </w:r>
            <w:r>
              <w:rPr>
                <w:rStyle w:val="IndexLink"/>
              </w:rPr>
              <w:t>650</w:t>
            </w:r>
          </w:hyperlink>
        </w:p>
        <w:p>
          <w:pPr>
            <w:pStyle w:val="Contents3"/>
            <w:tabs>
              <w:tab w:val="clear" w:pos="8459"/>
              <w:tab w:val="right" w:pos="9026" w:leader="dot"/>
            </w:tabs>
            <w:rPr/>
          </w:pPr>
          <w:hyperlink w:anchor="__RefHeading___Toc2570324_3650668749">
            <w:r>
              <w:rPr>
                <w:webHidden/>
                <w:rStyle w:val="IndexLink"/>
                <w:rtl w:val="true"/>
              </w:rPr>
              <w:t>[ (</w:t>
            </w:r>
            <w:r>
              <w:rPr>
                <w:rStyle w:val="IndexLink"/>
                <w:rtl w:val="true"/>
              </w:rPr>
              <w:t xml:space="preserve">مسألة </w:t>
            </w:r>
            <w:r>
              <w:rPr>
                <w:rStyle w:val="IndexLink"/>
              </w:rPr>
              <w:t>48</w:t>
            </w:r>
            <w:r>
              <w:rPr>
                <w:rStyle w:val="IndexLink"/>
                <w:rtl w:val="true"/>
              </w:rPr>
              <w:t xml:space="preserve">): </w:t>
            </w:r>
            <w:r>
              <w:rPr>
                <w:rStyle w:val="IndexLink"/>
                <w:rtl w:val="true"/>
              </w:rPr>
              <w:t>إذا لم ینجّز الوصیّ ما أوصیٰ إلیه فی زمن حیاته، لیس له أن یجعل وصیّاً لتنجیزه و إمضائه بعد موته</w:t>
            </w:r>
            <w:r>
              <w:rPr>
                <w:rStyle w:val="IndexLink"/>
                <w:rtl w:val="true"/>
              </w:rPr>
              <w:t>]</w:t>
              <w:tab/>
            </w:r>
            <w:r>
              <w:rPr>
                <w:rStyle w:val="IndexLink"/>
              </w:rPr>
              <w:t>650</w:t>
            </w:r>
          </w:hyperlink>
        </w:p>
        <w:p>
          <w:pPr>
            <w:pStyle w:val="Contents3"/>
            <w:tabs>
              <w:tab w:val="clear" w:pos="8459"/>
              <w:tab w:val="right" w:pos="9026" w:leader="dot"/>
            </w:tabs>
            <w:rPr/>
          </w:pPr>
          <w:hyperlink w:anchor="__RefHeading___Toc2570326_3650668749">
            <w:r>
              <w:rPr>
                <w:webHidden/>
                <w:rStyle w:val="IndexLink"/>
                <w:rtl w:val="true"/>
              </w:rPr>
              <w:t>[ (</w:t>
            </w:r>
            <w:r>
              <w:rPr>
                <w:rStyle w:val="IndexLink"/>
                <w:rtl w:val="true"/>
              </w:rPr>
              <w:t xml:space="preserve">مسألة </w:t>
            </w:r>
            <w:r>
              <w:rPr>
                <w:rStyle w:val="IndexLink"/>
              </w:rPr>
              <w:t>49</w:t>
            </w:r>
            <w:r>
              <w:rPr>
                <w:rStyle w:val="IndexLink"/>
                <w:rtl w:val="true"/>
              </w:rPr>
              <w:t xml:space="preserve">): </w:t>
            </w:r>
            <w:r>
              <w:rPr>
                <w:rStyle w:val="IndexLink"/>
                <w:rtl w:val="true"/>
              </w:rPr>
              <w:t>الوصیّ أمین</w:t>
            </w:r>
            <w:r>
              <w:rPr>
                <w:rStyle w:val="IndexLink"/>
                <w:rtl w:val="true"/>
              </w:rPr>
              <w:t>]</w:t>
              <w:tab/>
            </w:r>
            <w:r>
              <w:rPr>
                <w:rStyle w:val="IndexLink"/>
              </w:rPr>
              <w:t>651</w:t>
            </w:r>
          </w:hyperlink>
        </w:p>
        <w:p>
          <w:pPr>
            <w:pStyle w:val="Contents3"/>
            <w:tabs>
              <w:tab w:val="clear" w:pos="8459"/>
              <w:tab w:val="right" w:pos="9026" w:leader="dot"/>
            </w:tabs>
            <w:rPr/>
          </w:pPr>
          <w:hyperlink w:anchor="__RefHeading___Toc2570328_3650668749">
            <w:r>
              <w:rPr>
                <w:webHidden/>
                <w:rStyle w:val="IndexLink"/>
                <w:rtl w:val="true"/>
              </w:rPr>
              <w:t>[ (</w:t>
            </w:r>
            <w:r>
              <w:rPr>
                <w:rStyle w:val="IndexLink"/>
                <w:rtl w:val="true"/>
              </w:rPr>
              <w:t xml:space="preserve">مسألة </w:t>
            </w:r>
            <w:r>
              <w:rPr>
                <w:rStyle w:val="IndexLink"/>
              </w:rPr>
              <w:t>50</w:t>
            </w:r>
            <w:r>
              <w:rPr>
                <w:rStyle w:val="IndexLink"/>
                <w:rtl w:val="true"/>
              </w:rPr>
              <w:t xml:space="preserve">): </w:t>
            </w:r>
            <w:r>
              <w:rPr>
                <w:rStyle w:val="IndexLink"/>
                <w:rtl w:val="true"/>
              </w:rPr>
              <w:t>لو أوصیٰ إلیه بعمل خاصّ أو قدر مخصوص أو کیفیّة خاصّة</w:t>
            </w:r>
            <w:r>
              <w:rPr>
                <w:rStyle w:val="IndexLink"/>
                <w:rtl w:val="true"/>
              </w:rPr>
              <w:t>]</w:t>
              <w:tab/>
            </w:r>
            <w:r>
              <w:rPr>
                <w:rStyle w:val="IndexLink"/>
              </w:rPr>
              <w:t>651</w:t>
            </w:r>
          </w:hyperlink>
        </w:p>
        <w:p>
          <w:pPr>
            <w:pStyle w:val="Contents3"/>
            <w:tabs>
              <w:tab w:val="clear" w:pos="8459"/>
              <w:tab w:val="right" w:pos="9026" w:leader="dot"/>
            </w:tabs>
            <w:rPr/>
          </w:pPr>
          <w:hyperlink w:anchor="__RefHeading___Toc2570330_3650668749">
            <w:r>
              <w:rPr>
                <w:webHidden/>
                <w:rStyle w:val="IndexLink"/>
                <w:rtl w:val="true"/>
              </w:rPr>
              <w:t>[ (</w:t>
            </w:r>
            <w:r>
              <w:rPr>
                <w:rStyle w:val="IndexLink"/>
                <w:rtl w:val="true"/>
              </w:rPr>
              <w:t xml:space="preserve">مسألة </w:t>
            </w:r>
            <w:r>
              <w:rPr>
                <w:rStyle w:val="IndexLink"/>
              </w:rPr>
              <w:t>51</w:t>
            </w:r>
            <w:r>
              <w:rPr>
                <w:rStyle w:val="IndexLink"/>
                <w:rtl w:val="true"/>
              </w:rPr>
              <w:t xml:space="preserve">): </w:t>
            </w:r>
            <w:r>
              <w:rPr>
                <w:rStyle w:val="IndexLink"/>
                <w:rtl w:val="true"/>
              </w:rPr>
              <w:t>لیس للوصیّ أن یعزل نفسه بعد موت الموصی</w:t>
            </w:r>
            <w:r>
              <w:rPr>
                <w:rStyle w:val="IndexLink"/>
                <w:rtl w:val="true"/>
              </w:rPr>
              <w:t>]</w:t>
              <w:tab/>
            </w:r>
            <w:r>
              <w:rPr>
                <w:rStyle w:val="IndexLink"/>
              </w:rPr>
              <w:t>651</w:t>
            </w:r>
          </w:hyperlink>
        </w:p>
        <w:p>
          <w:pPr>
            <w:pStyle w:val="Contents3"/>
            <w:tabs>
              <w:tab w:val="clear" w:pos="8459"/>
              <w:tab w:val="right" w:pos="9026" w:leader="dot"/>
            </w:tabs>
            <w:rPr/>
          </w:pPr>
          <w:hyperlink w:anchor="__RefHeading___Toc2570332_3650668749">
            <w:r>
              <w:rPr>
                <w:webHidden/>
                <w:rStyle w:val="IndexLink"/>
                <w:rtl w:val="true"/>
              </w:rPr>
              <w:t>[ (</w:t>
            </w:r>
            <w:r>
              <w:rPr>
                <w:rStyle w:val="IndexLink"/>
                <w:rtl w:val="true"/>
              </w:rPr>
              <w:t xml:space="preserve">مسألة </w:t>
            </w:r>
            <w:r>
              <w:rPr>
                <w:rStyle w:val="IndexLink"/>
              </w:rPr>
              <w:t>52</w:t>
            </w:r>
            <w:r>
              <w:rPr>
                <w:rStyle w:val="IndexLink"/>
                <w:rtl w:val="true"/>
              </w:rPr>
              <w:t xml:space="preserve">): </w:t>
            </w:r>
            <w:r>
              <w:rPr>
                <w:rStyle w:val="IndexLink"/>
                <w:rtl w:val="true"/>
              </w:rPr>
              <w:t>لو نسی الوصیّ مصرف الوصیّة، صرف الموصی به فی وجوه البرّ</w:t>
            </w:r>
            <w:r>
              <w:rPr>
                <w:rStyle w:val="IndexLink"/>
                <w:rtl w:val="true"/>
              </w:rPr>
              <w:t>]</w:t>
              <w:tab/>
            </w:r>
            <w:r>
              <w:rPr>
                <w:rStyle w:val="IndexLink"/>
              </w:rPr>
              <w:t>651</w:t>
            </w:r>
          </w:hyperlink>
        </w:p>
        <w:p>
          <w:pPr>
            <w:pStyle w:val="Contents3"/>
            <w:tabs>
              <w:tab w:val="clear" w:pos="8459"/>
              <w:tab w:val="right" w:pos="9026" w:leader="dot"/>
            </w:tabs>
            <w:rPr/>
          </w:pPr>
          <w:hyperlink w:anchor="__RefHeading___Toc2570334_3650668749">
            <w:r>
              <w:rPr>
                <w:webHidden/>
                <w:rStyle w:val="IndexLink"/>
                <w:rtl w:val="true"/>
              </w:rPr>
              <w:t>[ (</w:t>
            </w:r>
            <w:r>
              <w:rPr>
                <w:rStyle w:val="IndexLink"/>
                <w:rtl w:val="true"/>
              </w:rPr>
              <w:t xml:space="preserve">مسألة </w:t>
            </w:r>
            <w:r>
              <w:rPr>
                <w:rStyle w:val="IndexLink"/>
              </w:rPr>
              <w:t>53</w:t>
            </w:r>
            <w:r>
              <w:rPr>
                <w:rStyle w:val="IndexLink"/>
                <w:rtl w:val="true"/>
              </w:rPr>
              <w:t xml:space="preserve">): </w:t>
            </w:r>
            <w:r>
              <w:rPr>
                <w:rStyle w:val="IndexLink"/>
                <w:rtl w:val="true"/>
              </w:rPr>
              <w:t>إذا أوصی المیّت وصیّة عهدیّة و لم یعیّن وصیّاً، أو بطل وصایة من عیّنه بموت أو جنون أو غیر ذلک</w:t>
            </w:r>
            <w:r>
              <w:rPr>
                <w:rStyle w:val="IndexLink"/>
                <w:rtl w:val="true"/>
              </w:rPr>
              <w:t>]</w:t>
              <w:tab/>
            </w:r>
            <w:r>
              <w:rPr>
                <w:rStyle w:val="IndexLink"/>
              </w:rPr>
              <w:t>651</w:t>
            </w:r>
          </w:hyperlink>
        </w:p>
        <w:p>
          <w:pPr>
            <w:pStyle w:val="Contents3"/>
            <w:tabs>
              <w:tab w:val="clear" w:pos="8459"/>
              <w:tab w:val="right" w:pos="9026" w:leader="dot"/>
            </w:tabs>
            <w:rPr/>
          </w:pPr>
          <w:hyperlink w:anchor="__RefHeading___Toc2570336_3650668749">
            <w:r>
              <w:rPr>
                <w:webHidden/>
                <w:rStyle w:val="IndexLink"/>
                <w:rtl w:val="true"/>
              </w:rPr>
              <w:t>[ (</w:t>
            </w:r>
            <w:r>
              <w:rPr>
                <w:rStyle w:val="IndexLink"/>
                <w:rtl w:val="true"/>
              </w:rPr>
              <w:t xml:space="preserve">مسألة </w:t>
            </w:r>
            <w:r>
              <w:rPr>
                <w:rStyle w:val="IndexLink"/>
              </w:rPr>
              <w:t>54</w:t>
            </w:r>
            <w:r>
              <w:rPr>
                <w:rStyle w:val="IndexLink"/>
                <w:rtl w:val="true"/>
              </w:rPr>
              <w:t xml:space="preserve">): </w:t>
            </w:r>
            <w:r>
              <w:rPr>
                <w:rStyle w:val="IndexLink"/>
                <w:rtl w:val="true"/>
              </w:rPr>
              <w:t>یجوز للموصی أن یجعل ناظراً علی الوصیّ</w:t>
            </w:r>
            <w:r>
              <w:rPr>
                <w:rStyle w:val="IndexLink"/>
                <w:rtl w:val="true"/>
              </w:rPr>
              <w:t>]</w:t>
              <w:tab/>
            </w:r>
            <w:r>
              <w:rPr>
                <w:rStyle w:val="IndexLink"/>
              </w:rPr>
              <w:t>651</w:t>
            </w:r>
          </w:hyperlink>
        </w:p>
        <w:p>
          <w:pPr>
            <w:pStyle w:val="Contents3"/>
            <w:tabs>
              <w:tab w:val="clear" w:pos="8459"/>
              <w:tab w:val="right" w:pos="9026" w:leader="dot"/>
            </w:tabs>
            <w:rPr/>
          </w:pPr>
          <w:hyperlink w:anchor="__RefHeading___Toc2570338_3650668749">
            <w:r>
              <w:rPr>
                <w:webHidden/>
                <w:rStyle w:val="IndexLink"/>
                <w:rtl w:val="true"/>
              </w:rPr>
              <w:t>[ (</w:t>
            </w:r>
            <w:r>
              <w:rPr>
                <w:rStyle w:val="IndexLink"/>
                <w:rtl w:val="true"/>
              </w:rPr>
              <w:t xml:space="preserve">مسألة </w:t>
            </w:r>
            <w:r>
              <w:rPr>
                <w:rStyle w:val="IndexLink"/>
              </w:rPr>
              <w:t>55</w:t>
            </w:r>
            <w:r>
              <w:rPr>
                <w:rStyle w:val="IndexLink"/>
                <w:rtl w:val="true"/>
              </w:rPr>
              <w:t xml:space="preserve">): </w:t>
            </w:r>
            <w:r>
              <w:rPr>
                <w:rStyle w:val="IndexLink"/>
                <w:rtl w:val="true"/>
              </w:rPr>
              <w:t>یجوز للأب مع عدم الجدّ و للجدّ للأب مع فقد الأب، جعل القیّم علی الصغار</w:t>
            </w:r>
            <w:r>
              <w:rPr>
                <w:rStyle w:val="IndexLink"/>
                <w:rtl w:val="true"/>
              </w:rPr>
              <w:t>]</w:t>
              <w:tab/>
            </w:r>
            <w:r>
              <w:rPr>
                <w:rStyle w:val="IndexLink"/>
              </w:rPr>
              <w:t>652</w:t>
            </w:r>
          </w:hyperlink>
        </w:p>
        <w:p>
          <w:pPr>
            <w:pStyle w:val="Contents3"/>
            <w:tabs>
              <w:tab w:val="clear" w:pos="8459"/>
              <w:tab w:val="right" w:pos="9026" w:leader="dot"/>
            </w:tabs>
            <w:rPr/>
          </w:pPr>
          <w:hyperlink w:anchor="__RefHeading___Toc2570340_3650668749">
            <w:r>
              <w:rPr>
                <w:webHidden/>
                <w:rStyle w:val="IndexLink"/>
                <w:rtl w:val="true"/>
              </w:rPr>
              <w:t>[ (</w:t>
            </w:r>
            <w:r>
              <w:rPr>
                <w:rStyle w:val="IndexLink"/>
                <w:rtl w:val="true"/>
              </w:rPr>
              <w:t xml:space="preserve">مسألة </w:t>
            </w:r>
            <w:r>
              <w:rPr>
                <w:rStyle w:val="IndexLink"/>
              </w:rPr>
              <w:t>56</w:t>
            </w:r>
            <w:r>
              <w:rPr>
                <w:rStyle w:val="IndexLink"/>
                <w:rtl w:val="true"/>
              </w:rPr>
              <w:t xml:space="preserve">): </w:t>
            </w:r>
            <w:r>
              <w:rPr>
                <w:rStyle w:val="IndexLink"/>
                <w:rtl w:val="true"/>
              </w:rPr>
              <w:t>یشترط فی القیّم علی الأطفال ما اشترط فی الوصیّ علی المال</w:t>
            </w:r>
            <w:r>
              <w:rPr>
                <w:rStyle w:val="IndexLink"/>
                <w:rtl w:val="true"/>
              </w:rPr>
              <w:t>]</w:t>
              <w:tab/>
            </w:r>
            <w:r>
              <w:rPr>
                <w:rStyle w:val="IndexLink"/>
              </w:rPr>
              <w:t>652</w:t>
            </w:r>
          </w:hyperlink>
        </w:p>
        <w:p>
          <w:pPr>
            <w:pStyle w:val="Contents3"/>
            <w:tabs>
              <w:tab w:val="clear" w:pos="8459"/>
              <w:tab w:val="right" w:pos="9026" w:leader="dot"/>
            </w:tabs>
            <w:rPr/>
          </w:pPr>
          <w:hyperlink w:anchor="__RefHeading___Toc2570342_3650668749">
            <w:r>
              <w:rPr>
                <w:webHidden/>
                <w:rStyle w:val="IndexLink"/>
                <w:rtl w:val="true"/>
              </w:rPr>
              <w:t>[ (</w:t>
            </w:r>
            <w:r>
              <w:rPr>
                <w:rStyle w:val="IndexLink"/>
                <w:rtl w:val="true"/>
              </w:rPr>
              <w:t xml:space="preserve">مسألة </w:t>
            </w:r>
            <w:r>
              <w:rPr>
                <w:rStyle w:val="IndexLink"/>
              </w:rPr>
              <w:t>57</w:t>
            </w:r>
            <w:r>
              <w:rPr>
                <w:rStyle w:val="IndexLink"/>
                <w:rtl w:val="true"/>
              </w:rPr>
              <w:t xml:space="preserve">): </w:t>
            </w:r>
            <w:r>
              <w:rPr>
                <w:rStyle w:val="IndexLink"/>
                <w:rtl w:val="true"/>
              </w:rPr>
              <w:t>لو عیّن الموصی علی القیّم تولّی جهة خاصّة و تصرّفاً مخصوصاً اقتصر علیه</w:t>
            </w:r>
            <w:r>
              <w:rPr>
                <w:rStyle w:val="IndexLink"/>
                <w:rtl w:val="true"/>
              </w:rPr>
              <w:t>]</w:t>
              <w:tab/>
            </w:r>
            <w:r>
              <w:rPr>
                <w:rStyle w:val="IndexLink"/>
              </w:rPr>
              <w:t>652</w:t>
            </w:r>
          </w:hyperlink>
        </w:p>
        <w:p>
          <w:pPr>
            <w:pStyle w:val="Contents3"/>
            <w:tabs>
              <w:tab w:val="clear" w:pos="8459"/>
              <w:tab w:val="right" w:pos="9026" w:leader="dot"/>
            </w:tabs>
            <w:rPr/>
          </w:pPr>
          <w:hyperlink w:anchor="__RefHeading___Toc2570344_3650668749">
            <w:r>
              <w:rPr>
                <w:webHidden/>
                <w:rStyle w:val="IndexLink"/>
                <w:rtl w:val="true"/>
              </w:rPr>
              <w:t>[ (</w:t>
            </w:r>
            <w:r>
              <w:rPr>
                <w:rStyle w:val="IndexLink"/>
                <w:rtl w:val="true"/>
              </w:rPr>
              <w:t xml:space="preserve">مسألة </w:t>
            </w:r>
            <w:r>
              <w:rPr>
                <w:rStyle w:val="IndexLink"/>
              </w:rPr>
              <w:t>58</w:t>
            </w:r>
            <w:r>
              <w:rPr>
                <w:rStyle w:val="IndexLink"/>
                <w:rtl w:val="true"/>
              </w:rPr>
              <w:t xml:space="preserve">): </w:t>
            </w:r>
            <w:r>
              <w:rPr>
                <w:rStyle w:val="IndexLink"/>
                <w:rtl w:val="true"/>
              </w:rPr>
              <w:t>یجوز جعل الولایة علی الأطفال لاثنین فما زاد</w:t>
            </w:r>
            <w:r>
              <w:rPr>
                <w:rStyle w:val="IndexLink"/>
                <w:rtl w:val="true"/>
              </w:rPr>
              <w:t>]</w:t>
              <w:tab/>
            </w:r>
            <w:r>
              <w:rPr>
                <w:rStyle w:val="IndexLink"/>
              </w:rPr>
              <w:t>653</w:t>
            </w:r>
          </w:hyperlink>
        </w:p>
        <w:p>
          <w:pPr>
            <w:pStyle w:val="Contents3"/>
            <w:tabs>
              <w:tab w:val="clear" w:pos="8459"/>
              <w:tab w:val="right" w:pos="9026" w:leader="dot"/>
            </w:tabs>
            <w:rPr/>
          </w:pPr>
          <w:hyperlink w:anchor="__RefHeading___Toc2570346_3650668749">
            <w:r>
              <w:rPr>
                <w:webHidden/>
                <w:rStyle w:val="IndexLink"/>
                <w:rtl w:val="true"/>
              </w:rPr>
              <w:t>[ (</w:t>
            </w:r>
            <w:r>
              <w:rPr>
                <w:rStyle w:val="IndexLink"/>
                <w:rtl w:val="true"/>
              </w:rPr>
              <w:t xml:space="preserve">مسألة </w:t>
            </w:r>
            <w:r>
              <w:rPr>
                <w:rStyle w:val="IndexLink"/>
              </w:rPr>
              <w:t>59</w:t>
            </w:r>
            <w:r>
              <w:rPr>
                <w:rStyle w:val="IndexLink"/>
                <w:rtl w:val="true"/>
              </w:rPr>
              <w:t xml:space="preserve">): </w:t>
            </w:r>
            <w:r>
              <w:rPr>
                <w:rStyle w:val="IndexLink"/>
                <w:rtl w:val="true"/>
              </w:rPr>
              <w:t>ینفق الوصیّ علی الصبیّ من غیر إسراف و لا تقتیر</w:t>
            </w:r>
            <w:r>
              <w:rPr>
                <w:rStyle w:val="IndexLink"/>
                <w:rtl w:val="true"/>
              </w:rPr>
              <w:t>]</w:t>
              <w:tab/>
            </w:r>
            <w:r>
              <w:rPr>
                <w:rStyle w:val="IndexLink"/>
              </w:rPr>
              <w:t>653</w:t>
            </w:r>
          </w:hyperlink>
        </w:p>
        <w:p>
          <w:pPr>
            <w:pStyle w:val="Contents3"/>
            <w:tabs>
              <w:tab w:val="clear" w:pos="8459"/>
              <w:tab w:val="right" w:pos="9026" w:leader="dot"/>
            </w:tabs>
            <w:rPr/>
          </w:pPr>
          <w:hyperlink w:anchor="__RefHeading___Toc2570348_3650668749">
            <w:r>
              <w:rPr>
                <w:webHidden/>
                <w:rStyle w:val="IndexLink"/>
                <w:rtl w:val="true"/>
              </w:rPr>
              <w:t>[ (</w:t>
            </w:r>
            <w:r>
              <w:rPr>
                <w:rStyle w:val="IndexLink"/>
                <w:rtl w:val="true"/>
              </w:rPr>
              <w:t xml:space="preserve">مسألة </w:t>
            </w:r>
            <w:r>
              <w:rPr>
                <w:rStyle w:val="IndexLink"/>
              </w:rPr>
              <w:t>60</w:t>
            </w:r>
            <w:r>
              <w:rPr>
                <w:rStyle w:val="IndexLink"/>
                <w:rtl w:val="true"/>
              </w:rPr>
              <w:t xml:space="preserve">): </w:t>
            </w:r>
            <w:r>
              <w:rPr>
                <w:rStyle w:val="IndexLink"/>
                <w:rtl w:val="true"/>
              </w:rPr>
              <w:t>یجوز للقیّم الذی یتولّیٰ أُمور الیتیم أن یأخذ من ماله اجرة مثل عمله</w:t>
            </w:r>
            <w:r>
              <w:rPr>
                <w:rStyle w:val="IndexLink"/>
                <w:rtl w:val="true"/>
              </w:rPr>
              <w:t>]</w:t>
              <w:tab/>
            </w:r>
            <w:r>
              <w:rPr>
                <w:rStyle w:val="IndexLink"/>
              </w:rPr>
              <w:t>653</w:t>
            </w:r>
          </w:hyperlink>
        </w:p>
        <w:p>
          <w:pPr>
            <w:pStyle w:val="Contents3"/>
            <w:tabs>
              <w:tab w:val="clear" w:pos="8459"/>
              <w:tab w:val="right" w:pos="9026" w:leader="dot"/>
            </w:tabs>
            <w:rPr/>
          </w:pPr>
          <w:hyperlink w:anchor="__RefHeading___Toc2570350_3650668749">
            <w:r>
              <w:rPr>
                <w:webHidden/>
                <w:rStyle w:val="IndexLink"/>
                <w:rtl w:val="true"/>
              </w:rPr>
              <w:t>[ (</w:t>
            </w:r>
            <w:r>
              <w:rPr>
                <w:rStyle w:val="IndexLink"/>
                <w:rtl w:val="true"/>
              </w:rPr>
              <w:t xml:space="preserve">مسألة </w:t>
            </w:r>
            <w:r>
              <w:rPr>
                <w:rStyle w:val="IndexLink"/>
              </w:rPr>
              <w:t>61</w:t>
            </w:r>
            <w:r>
              <w:rPr>
                <w:rStyle w:val="IndexLink"/>
                <w:rtl w:val="true"/>
              </w:rPr>
              <w:t xml:space="preserve">): </w:t>
            </w:r>
            <w:r>
              <w:rPr>
                <w:rStyle w:val="IndexLink"/>
                <w:rtl w:val="true"/>
              </w:rPr>
              <w:t>الوصیّة جائزة من طرف الموصی</w:t>
            </w:r>
            <w:r>
              <w:rPr>
                <w:rStyle w:val="IndexLink"/>
                <w:rtl w:val="true"/>
              </w:rPr>
              <w:t>]</w:t>
              <w:tab/>
            </w:r>
            <w:r>
              <w:rPr>
                <w:rStyle w:val="IndexLink"/>
              </w:rPr>
              <w:t>654</w:t>
            </w:r>
          </w:hyperlink>
        </w:p>
        <w:p>
          <w:pPr>
            <w:pStyle w:val="Contents3"/>
            <w:tabs>
              <w:tab w:val="clear" w:pos="8459"/>
              <w:tab w:val="right" w:pos="9026" w:leader="dot"/>
            </w:tabs>
            <w:rPr/>
          </w:pPr>
          <w:hyperlink w:anchor="__RefHeading___Toc2570352_3650668749">
            <w:r>
              <w:rPr>
                <w:webHidden/>
                <w:rStyle w:val="IndexLink"/>
                <w:rtl w:val="true"/>
              </w:rPr>
              <w:t>[ (</w:t>
            </w:r>
            <w:r>
              <w:rPr>
                <w:rStyle w:val="IndexLink"/>
                <w:rtl w:val="true"/>
              </w:rPr>
              <w:t xml:space="preserve">مسألة </w:t>
            </w:r>
            <w:r>
              <w:rPr>
                <w:rStyle w:val="IndexLink"/>
              </w:rPr>
              <w:t>62</w:t>
            </w:r>
            <w:r>
              <w:rPr>
                <w:rStyle w:val="IndexLink"/>
                <w:rtl w:val="true"/>
              </w:rPr>
              <w:t xml:space="preserve">): </w:t>
            </w:r>
            <w:r>
              <w:rPr>
                <w:rStyle w:val="IndexLink"/>
                <w:rtl w:val="true"/>
              </w:rPr>
              <w:t>یتحقّق الرجوع عن الوصیّة بالقول</w:t>
            </w:r>
            <w:r>
              <w:rPr>
                <w:rStyle w:val="IndexLink"/>
                <w:rtl w:val="true"/>
              </w:rPr>
              <w:t>]</w:t>
              <w:tab/>
            </w:r>
            <w:r>
              <w:rPr>
                <w:rStyle w:val="IndexLink"/>
              </w:rPr>
              <w:t>654</w:t>
            </w:r>
          </w:hyperlink>
        </w:p>
        <w:p>
          <w:pPr>
            <w:pStyle w:val="Contents3"/>
            <w:tabs>
              <w:tab w:val="clear" w:pos="8459"/>
              <w:tab w:val="right" w:pos="9026" w:leader="dot"/>
            </w:tabs>
            <w:rPr/>
          </w:pPr>
          <w:hyperlink w:anchor="__RefHeading___Toc2570354_3650668749">
            <w:r>
              <w:rPr>
                <w:webHidden/>
                <w:rStyle w:val="IndexLink"/>
                <w:rtl w:val="true"/>
              </w:rPr>
              <w:t>[ (</w:t>
            </w:r>
            <w:r>
              <w:rPr>
                <w:rStyle w:val="IndexLink"/>
                <w:rtl w:val="true"/>
              </w:rPr>
              <w:t xml:space="preserve">مسألة </w:t>
            </w:r>
            <w:r>
              <w:rPr>
                <w:rStyle w:val="IndexLink"/>
              </w:rPr>
              <w:t>63</w:t>
            </w:r>
            <w:r>
              <w:rPr>
                <w:rStyle w:val="IndexLink"/>
                <w:rtl w:val="true"/>
              </w:rPr>
              <w:t xml:space="preserve">): </w:t>
            </w:r>
            <w:r>
              <w:rPr>
                <w:rStyle w:val="IndexLink"/>
                <w:rtl w:val="true"/>
              </w:rPr>
              <w:t>الوصیّة بعد ما وقعت تبقیٰ علیٰ حالها</w:t>
            </w:r>
            <w:r>
              <w:rPr>
                <w:rStyle w:val="IndexLink"/>
                <w:rtl w:val="true"/>
              </w:rPr>
              <w:t>]</w:t>
              <w:tab/>
            </w:r>
            <w:r>
              <w:rPr>
                <w:rStyle w:val="IndexLink"/>
              </w:rPr>
              <w:t>654</w:t>
            </w:r>
          </w:hyperlink>
        </w:p>
        <w:p>
          <w:pPr>
            <w:pStyle w:val="Contents3"/>
            <w:tabs>
              <w:tab w:val="clear" w:pos="8459"/>
              <w:tab w:val="right" w:pos="9026" w:leader="dot"/>
            </w:tabs>
            <w:rPr/>
          </w:pPr>
          <w:hyperlink w:anchor="__RefHeading___Toc2570356_3650668749">
            <w:r>
              <w:rPr>
                <w:webHidden/>
                <w:rStyle w:val="IndexLink"/>
                <w:rtl w:val="true"/>
              </w:rPr>
              <w:t>[ (</w:t>
            </w:r>
            <w:r>
              <w:rPr>
                <w:rStyle w:val="IndexLink"/>
                <w:rtl w:val="true"/>
              </w:rPr>
              <w:t xml:space="preserve">مسألة </w:t>
            </w:r>
            <w:r>
              <w:rPr>
                <w:rStyle w:val="IndexLink"/>
              </w:rPr>
              <w:t>64</w:t>
            </w:r>
            <w:r>
              <w:rPr>
                <w:rStyle w:val="IndexLink"/>
                <w:rtl w:val="true"/>
              </w:rPr>
              <w:t xml:space="preserve">): </w:t>
            </w:r>
            <w:r>
              <w:rPr>
                <w:rStyle w:val="IndexLink"/>
                <w:rtl w:val="true"/>
              </w:rPr>
              <w:t>لا تثبت الوصیّة بالولایة</w:t>
            </w:r>
            <w:r>
              <w:rPr>
                <w:rStyle w:val="IndexLink"/>
                <w:rtl w:val="true"/>
              </w:rPr>
              <w:t>]</w:t>
              <w:tab/>
            </w:r>
            <w:r>
              <w:rPr>
                <w:rStyle w:val="IndexLink"/>
              </w:rPr>
              <w:t>655</w:t>
            </w:r>
          </w:hyperlink>
        </w:p>
        <w:p>
          <w:pPr>
            <w:pStyle w:val="Contents3"/>
            <w:tabs>
              <w:tab w:val="clear" w:pos="8459"/>
              <w:tab w:val="right" w:pos="9026" w:leader="dot"/>
            </w:tabs>
            <w:rPr/>
          </w:pPr>
          <w:hyperlink w:anchor="__RefHeading___Toc2570358_3650668749">
            <w:r>
              <w:rPr>
                <w:webHidden/>
                <w:rStyle w:val="IndexLink"/>
                <w:rtl w:val="true"/>
              </w:rPr>
              <w:t>[ (</w:t>
            </w:r>
            <w:r>
              <w:rPr>
                <w:rStyle w:val="IndexLink"/>
                <w:rtl w:val="true"/>
              </w:rPr>
              <w:t xml:space="preserve">مسألة </w:t>
            </w:r>
            <w:r>
              <w:rPr>
                <w:rStyle w:val="IndexLink"/>
              </w:rPr>
              <w:t>65</w:t>
            </w:r>
            <w:r>
              <w:rPr>
                <w:rStyle w:val="IndexLink"/>
                <w:rtl w:val="true"/>
              </w:rPr>
              <w:t xml:space="preserve">): </w:t>
            </w:r>
            <w:r>
              <w:rPr>
                <w:rStyle w:val="IndexLink"/>
                <w:rtl w:val="true"/>
              </w:rPr>
              <w:t>إذا کانت الورثة کباراً، و أقرّوا کلّهم بالوصیّة بالثلث و ما دونه لوارث أو أجنبیّ</w:t>
            </w:r>
            <w:r>
              <w:rPr>
                <w:rStyle w:val="IndexLink"/>
                <w:rtl w:val="true"/>
              </w:rPr>
              <w:t>]</w:t>
              <w:tab/>
            </w:r>
            <w:r>
              <w:rPr>
                <w:rStyle w:val="IndexLink"/>
              </w:rPr>
              <w:t>655</w:t>
            </w:r>
          </w:hyperlink>
        </w:p>
        <w:p>
          <w:pPr>
            <w:pStyle w:val="Contents3"/>
            <w:tabs>
              <w:tab w:val="clear" w:pos="8459"/>
              <w:tab w:val="right" w:pos="9026" w:leader="dot"/>
            </w:tabs>
            <w:rPr/>
          </w:pPr>
          <w:hyperlink w:anchor="__RefHeading___Toc2570360_3650668749">
            <w:r>
              <w:rPr>
                <w:webHidden/>
                <w:rStyle w:val="IndexLink"/>
                <w:rtl w:val="true"/>
              </w:rPr>
              <w:t>[ (</w:t>
            </w:r>
            <w:r>
              <w:rPr>
                <w:rStyle w:val="IndexLink"/>
                <w:rtl w:val="true"/>
              </w:rPr>
              <w:t xml:space="preserve">مسألة </w:t>
            </w:r>
            <w:r>
              <w:rPr>
                <w:rStyle w:val="IndexLink"/>
              </w:rPr>
              <w:t>66</w:t>
            </w:r>
            <w:r>
              <w:rPr>
                <w:rStyle w:val="IndexLink"/>
                <w:rtl w:val="true"/>
              </w:rPr>
              <w:t xml:space="preserve">): </w:t>
            </w:r>
            <w:r>
              <w:rPr>
                <w:rStyle w:val="IndexLink"/>
                <w:rtl w:val="true"/>
              </w:rPr>
              <w:t>إذا أقرّ الوارث بأصل الوصیّة کان کالأجنبی</w:t>
            </w:r>
            <w:r>
              <w:rPr>
                <w:rStyle w:val="IndexLink"/>
                <w:rtl w:val="true"/>
              </w:rPr>
              <w:t>]</w:t>
              <w:tab/>
            </w:r>
            <w:r>
              <w:rPr>
                <w:rStyle w:val="IndexLink"/>
              </w:rPr>
              <w:t>656</w:t>
            </w:r>
          </w:hyperlink>
        </w:p>
        <w:p>
          <w:pPr>
            <w:pStyle w:val="Contents3"/>
            <w:tabs>
              <w:tab w:val="clear" w:pos="8459"/>
              <w:tab w:val="right" w:pos="9026" w:leader="dot"/>
            </w:tabs>
            <w:rPr/>
          </w:pPr>
          <w:hyperlink w:anchor="__RefHeading___Toc2570362_3650668749">
            <w:r>
              <w:rPr>
                <w:webHidden/>
                <w:rStyle w:val="IndexLink"/>
                <w:rtl w:val="true"/>
              </w:rPr>
              <w:t>[ (</w:t>
            </w:r>
            <w:r>
              <w:rPr>
                <w:rStyle w:val="IndexLink"/>
                <w:rtl w:val="true"/>
              </w:rPr>
              <w:t xml:space="preserve">مسألة </w:t>
            </w:r>
            <w:r>
              <w:rPr>
                <w:rStyle w:val="IndexLink"/>
              </w:rPr>
              <w:t>67</w:t>
            </w:r>
            <w:r>
              <w:rPr>
                <w:rStyle w:val="IndexLink"/>
                <w:rtl w:val="true"/>
              </w:rPr>
              <w:t xml:space="preserve">): </w:t>
            </w:r>
            <w:r>
              <w:rPr>
                <w:rStyle w:val="IndexLink"/>
                <w:rtl w:val="true"/>
              </w:rPr>
              <w:t>إذا تصرّف الإنسان فی مرض موته، فإن کان معلّقاً علیٰ موته</w:t>
            </w:r>
            <w:r>
              <w:rPr>
                <w:rStyle w:val="IndexLink"/>
                <w:rtl w:val="true"/>
              </w:rPr>
              <w:t>]</w:t>
              <w:tab/>
            </w:r>
            <w:r>
              <w:rPr>
                <w:rStyle w:val="IndexLink"/>
              </w:rPr>
              <w:t>656</w:t>
            </w:r>
          </w:hyperlink>
        </w:p>
        <w:p>
          <w:pPr>
            <w:pStyle w:val="Contents3"/>
            <w:tabs>
              <w:tab w:val="clear" w:pos="8459"/>
              <w:tab w:val="right" w:pos="9026" w:leader="dot"/>
            </w:tabs>
            <w:rPr/>
          </w:pPr>
          <w:hyperlink w:anchor="__RefHeading___Toc2570364_3650668749">
            <w:r>
              <w:rPr>
                <w:webHidden/>
                <w:rStyle w:val="IndexLink"/>
                <w:rtl w:val="true"/>
              </w:rPr>
              <w:t>[ (</w:t>
            </w:r>
            <w:r>
              <w:rPr>
                <w:rStyle w:val="IndexLink"/>
                <w:rtl w:val="true"/>
              </w:rPr>
              <w:t xml:space="preserve">مسألة </w:t>
            </w:r>
            <w:r>
              <w:rPr>
                <w:rStyle w:val="IndexLink"/>
              </w:rPr>
              <w:t>68</w:t>
            </w:r>
            <w:r>
              <w:rPr>
                <w:rStyle w:val="IndexLink"/>
                <w:rtl w:val="true"/>
              </w:rPr>
              <w:t xml:space="preserve">): </w:t>
            </w:r>
            <w:r>
              <w:rPr>
                <w:rStyle w:val="IndexLink"/>
                <w:rtl w:val="true"/>
              </w:rPr>
              <w:t>إذا جمع فی مرض الموت بین عطیّة منجّزة و معلّقة بالموت</w:t>
            </w:r>
            <w:r>
              <w:rPr>
                <w:rStyle w:val="IndexLink"/>
                <w:rtl w:val="true"/>
              </w:rPr>
              <w:t>]</w:t>
              <w:tab/>
            </w:r>
            <w:r>
              <w:rPr>
                <w:rStyle w:val="IndexLink"/>
              </w:rPr>
              <w:t>656</w:t>
            </w:r>
          </w:hyperlink>
        </w:p>
        <w:p>
          <w:pPr>
            <w:pStyle w:val="Contents2"/>
            <w:tabs>
              <w:tab w:val="clear" w:pos="8743"/>
              <w:tab w:val="right" w:pos="9026" w:leader="dot"/>
            </w:tabs>
            <w:rPr/>
          </w:pPr>
          <w:hyperlink w:anchor="__RefHeading___Toc2570366_3650668749">
            <w:r>
              <w:rPr>
                <w:webHidden/>
                <w:rStyle w:val="IndexLink"/>
                <w:rtl w:val="true"/>
              </w:rPr>
              <w:t>[</w:t>
            </w:r>
            <w:r>
              <w:rPr>
                <w:rStyle w:val="IndexLink"/>
                <w:rtl w:val="true"/>
              </w:rPr>
              <w:t>کتاب الأیمان و النذور</w:t>
            </w:r>
            <w:r>
              <w:rPr>
                <w:rStyle w:val="IndexLink"/>
                <w:rtl w:val="true"/>
              </w:rPr>
              <w:t>]</w:t>
              <w:tab/>
            </w:r>
            <w:r>
              <w:rPr>
                <w:rStyle w:val="IndexLink"/>
              </w:rPr>
              <w:t>657</w:t>
            </w:r>
          </w:hyperlink>
        </w:p>
        <w:p>
          <w:pPr>
            <w:pStyle w:val="Contents3"/>
            <w:tabs>
              <w:tab w:val="clear" w:pos="8459"/>
              <w:tab w:val="right" w:pos="9026" w:leader="dot"/>
            </w:tabs>
            <w:rPr/>
          </w:pPr>
          <w:hyperlink w:anchor="__RefHeading___Toc2570368_3650668749">
            <w:r>
              <w:rPr>
                <w:webHidden/>
                <w:rStyle w:val="IndexLink"/>
                <w:rtl w:val="true"/>
              </w:rPr>
              <w:t>اشارة</w:t>
            </w:r>
            <w:r>
              <w:rPr>
                <w:rStyle w:val="IndexLink"/>
                <w:rtl w:val="true"/>
              </w:rPr>
              <w:tab/>
            </w:r>
            <w:r>
              <w:rPr>
                <w:rStyle w:val="IndexLink"/>
              </w:rPr>
              <w:t>657</w:t>
            </w:r>
          </w:hyperlink>
        </w:p>
        <w:p>
          <w:pPr>
            <w:pStyle w:val="Contents3"/>
            <w:tabs>
              <w:tab w:val="clear" w:pos="8459"/>
              <w:tab w:val="right" w:pos="9026" w:leader="dot"/>
            </w:tabs>
            <w:rPr/>
          </w:pPr>
          <w:hyperlink w:anchor="__RefHeading___Toc2570370_3650668749">
            <w:r>
              <w:rPr>
                <w:webHidden/>
                <w:rStyle w:val="IndexLink"/>
                <w:rtl w:val="true"/>
              </w:rPr>
              <w:t>[</w:t>
            </w:r>
            <w:r>
              <w:rPr>
                <w:rStyle w:val="IndexLink"/>
                <w:rtl w:val="true"/>
              </w:rPr>
              <w:t>القول فی الیمین</w:t>
            </w:r>
            <w:r>
              <w:rPr>
                <w:rStyle w:val="IndexLink"/>
                <w:rtl w:val="true"/>
              </w:rPr>
              <w:t>]</w:t>
              <w:tab/>
            </w:r>
            <w:r>
              <w:rPr>
                <w:rStyle w:val="IndexLink"/>
              </w:rPr>
              <w:t>657</w:t>
            </w:r>
          </w:hyperlink>
        </w:p>
        <w:p>
          <w:pPr>
            <w:pStyle w:val="Contents4"/>
            <w:tabs>
              <w:tab w:val="clear" w:pos="8176"/>
              <w:tab w:val="right" w:pos="9026" w:leader="dot"/>
            </w:tabs>
            <w:rPr/>
          </w:pPr>
          <w:hyperlink w:anchor="__RefHeading___Toc2570372_3650668749">
            <w:r>
              <w:rPr>
                <w:webHidden/>
                <w:rStyle w:val="IndexLink"/>
                <w:rtl w:val="true"/>
              </w:rPr>
              <w:t>اشارة</w:t>
            </w:r>
            <w:r>
              <w:rPr>
                <w:rStyle w:val="IndexLink"/>
                <w:rtl w:val="true"/>
              </w:rPr>
              <w:tab/>
            </w:r>
            <w:r>
              <w:rPr>
                <w:rStyle w:val="IndexLink"/>
              </w:rPr>
              <w:t>657</w:t>
            </w:r>
          </w:hyperlink>
        </w:p>
        <w:p>
          <w:pPr>
            <w:pStyle w:val="Contents4"/>
            <w:tabs>
              <w:tab w:val="clear" w:pos="8176"/>
              <w:tab w:val="right" w:pos="9026" w:leader="dot"/>
            </w:tabs>
            <w:rPr/>
          </w:pPr>
          <w:hyperlink w:anchor="__RefHeading___Toc257037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ینعقد الیمین إلّا باللفظ أو ما یقوم مقامه</w:t>
            </w:r>
            <w:r>
              <w:rPr>
                <w:rStyle w:val="IndexLink"/>
                <w:rtl w:val="true"/>
              </w:rPr>
              <w:t>]</w:t>
              <w:tab/>
            </w:r>
            <w:r>
              <w:rPr>
                <w:rStyle w:val="IndexLink"/>
              </w:rPr>
              <w:t>658</w:t>
            </w:r>
          </w:hyperlink>
        </w:p>
        <w:p>
          <w:pPr>
            <w:pStyle w:val="Contents4"/>
            <w:tabs>
              <w:tab w:val="clear" w:pos="8176"/>
              <w:tab w:val="right" w:pos="9026" w:leader="dot"/>
            </w:tabs>
            <w:rPr/>
          </w:pPr>
          <w:hyperlink w:anchor="__RefHeading___Toc257037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ینعقد الیمین إلّا إذا کان المقسم به هو اللّٰه</w:t>
            </w:r>
            <w:r>
              <w:rPr>
                <w:rStyle w:val="IndexLink"/>
                <w:rtl w:val="true"/>
              </w:rPr>
              <w:t>]</w:t>
              <w:tab/>
            </w:r>
            <w:r>
              <w:rPr>
                <w:rStyle w:val="IndexLink"/>
              </w:rPr>
              <w:t>658</w:t>
            </w:r>
          </w:hyperlink>
        </w:p>
        <w:p>
          <w:pPr>
            <w:pStyle w:val="Contents4"/>
            <w:tabs>
              <w:tab w:val="clear" w:pos="8176"/>
              <w:tab w:val="right" w:pos="9026" w:leader="dot"/>
            </w:tabs>
            <w:rPr/>
          </w:pPr>
          <w:hyperlink w:anchor="__RefHeading___Toc257037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المعتبر فی انعقاد الیمین أن یکون الحلف باللّٰه تعالیٰ لا بغیره</w:t>
            </w:r>
            <w:r>
              <w:rPr>
                <w:rStyle w:val="IndexLink"/>
                <w:rtl w:val="true"/>
              </w:rPr>
              <w:t>]</w:t>
              <w:tab/>
            </w:r>
            <w:r>
              <w:rPr>
                <w:rStyle w:val="IndexLink"/>
              </w:rPr>
              <w:t>658</w:t>
            </w:r>
          </w:hyperlink>
        </w:p>
        <w:p>
          <w:pPr>
            <w:pStyle w:val="Contents4"/>
            <w:tabs>
              <w:tab w:val="clear" w:pos="8176"/>
              <w:tab w:val="right" w:pos="9026" w:leader="dot"/>
            </w:tabs>
            <w:rPr/>
          </w:pPr>
          <w:hyperlink w:anchor="__RefHeading___Toc257038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لا یعتبر فی انعقاده أن یکون إنشاء القسم بحروفه</w:t>
            </w:r>
            <w:r>
              <w:rPr>
                <w:rStyle w:val="IndexLink"/>
                <w:rtl w:val="true"/>
              </w:rPr>
              <w:t>]</w:t>
              <w:tab/>
            </w:r>
            <w:r>
              <w:rPr>
                <w:rStyle w:val="IndexLink"/>
              </w:rPr>
              <w:t>658</w:t>
            </w:r>
          </w:hyperlink>
        </w:p>
        <w:p>
          <w:pPr>
            <w:pStyle w:val="Contents4"/>
            <w:tabs>
              <w:tab w:val="clear" w:pos="8176"/>
              <w:tab w:val="right" w:pos="9026" w:leader="dot"/>
            </w:tabs>
            <w:rPr/>
          </w:pPr>
          <w:hyperlink w:anchor="__RefHeading___Toc257038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 xml:space="preserve">لا ینعقد الیمین بالحلف بالنبیّ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و سائر النفوس المقدّسة</w:t>
            </w:r>
            <w:r>
              <w:rPr>
                <w:rStyle w:val="IndexLink"/>
                <w:rtl w:val="true"/>
              </w:rPr>
              <w:t>]</w:t>
              <w:tab/>
            </w:r>
            <w:r>
              <w:rPr>
                <w:rStyle w:val="IndexLink"/>
              </w:rPr>
              <w:t>658</w:t>
            </w:r>
          </w:hyperlink>
        </w:p>
        <w:p>
          <w:pPr>
            <w:pStyle w:val="Contents4"/>
            <w:tabs>
              <w:tab w:val="clear" w:pos="8176"/>
              <w:tab w:val="right" w:pos="9026" w:leader="dot"/>
            </w:tabs>
            <w:rPr/>
          </w:pPr>
          <w:hyperlink w:anchor="__RefHeading___Toc2570384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لا ینعقد الیمین بالطلاق و العتاق</w:t>
            </w:r>
            <w:r>
              <w:rPr>
                <w:rStyle w:val="IndexLink"/>
                <w:rtl w:val="true"/>
              </w:rPr>
              <w:t>]</w:t>
              <w:tab/>
            </w:r>
            <w:r>
              <w:rPr>
                <w:rStyle w:val="IndexLink"/>
              </w:rPr>
              <w:t>659</w:t>
            </w:r>
          </w:hyperlink>
        </w:p>
        <w:p>
          <w:pPr>
            <w:pStyle w:val="Contents4"/>
            <w:tabs>
              <w:tab w:val="clear" w:pos="8176"/>
              <w:tab w:val="right" w:pos="9026" w:leader="dot"/>
            </w:tabs>
            <w:rPr/>
          </w:pPr>
          <w:hyperlink w:anchor="__RefHeading___Toc2570386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علّق الیمین علیٰ مشیّة اللّٰه بأن قال</w:t>
            </w:r>
            <w:r>
              <w:rPr>
                <w:rStyle w:val="IndexLink"/>
                <w:rtl w:val="true"/>
              </w:rPr>
              <w:t>: «</w:t>
            </w:r>
            <w:r>
              <w:rPr>
                <w:rStyle w:val="IndexLink"/>
                <w:rtl w:val="true"/>
              </w:rPr>
              <w:t>و اللّٰه لأفعلنّ کذا إن شاء اللّٰه</w:t>
            </w:r>
            <w:r>
              <w:rPr>
                <w:rStyle w:val="IndexLink"/>
                <w:rtl w:val="true"/>
              </w:rPr>
              <w:t xml:space="preserve">» </w:t>
            </w:r>
            <w:r>
              <w:rPr>
                <w:rStyle w:val="IndexLink"/>
                <w:rtl w:val="true"/>
              </w:rPr>
              <w:t>و کان المقصود التعلیق علیٰ مشیّته تعالیٰ</w:t>
            </w:r>
            <w:r>
              <w:rPr>
                <w:rStyle w:val="IndexLink"/>
                <w:rtl w:val="true"/>
              </w:rPr>
              <w:t>]</w:t>
              <w:tab/>
            </w:r>
            <w:r>
              <w:rPr>
                <w:rStyle w:val="IndexLink"/>
              </w:rPr>
              <w:t>659</w:t>
            </w:r>
          </w:hyperlink>
        </w:p>
        <w:p>
          <w:pPr>
            <w:pStyle w:val="Contents4"/>
            <w:tabs>
              <w:tab w:val="clear" w:pos="8176"/>
              <w:tab w:val="right" w:pos="9026" w:leader="dot"/>
            </w:tabs>
            <w:rPr/>
          </w:pPr>
          <w:hyperlink w:anchor="__RefHeading___Toc2570388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یعتبر فی الحالف</w:t>
            </w:r>
            <w:r>
              <w:rPr>
                <w:rStyle w:val="IndexLink"/>
                <w:rtl w:val="true"/>
              </w:rPr>
              <w:t xml:space="preserve">: </w:t>
            </w:r>
            <w:r>
              <w:rPr>
                <w:rStyle w:val="IndexLink"/>
                <w:rtl w:val="true"/>
              </w:rPr>
              <w:t>البلوغ و العقل و الاختیار و القصد</w:t>
            </w:r>
            <w:r>
              <w:rPr>
                <w:rStyle w:val="IndexLink"/>
                <w:rtl w:val="true"/>
              </w:rPr>
              <w:t>]</w:t>
              <w:tab/>
            </w:r>
            <w:r>
              <w:rPr>
                <w:rStyle w:val="IndexLink"/>
              </w:rPr>
              <w:t>659</w:t>
            </w:r>
          </w:hyperlink>
        </w:p>
        <w:p>
          <w:pPr>
            <w:pStyle w:val="Contents4"/>
            <w:tabs>
              <w:tab w:val="clear" w:pos="8176"/>
              <w:tab w:val="right" w:pos="9026" w:leader="dot"/>
            </w:tabs>
            <w:rPr/>
          </w:pPr>
          <w:hyperlink w:anchor="__RefHeading___Toc2570390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لا تنعقد یمین الولد مع منع الوالد</w:t>
            </w:r>
            <w:r>
              <w:rPr>
                <w:rStyle w:val="IndexLink"/>
                <w:rtl w:val="true"/>
              </w:rPr>
              <w:t>]</w:t>
              <w:tab/>
            </w:r>
            <w:r>
              <w:rPr>
                <w:rStyle w:val="IndexLink"/>
              </w:rPr>
              <w:t>660</w:t>
            </w:r>
          </w:hyperlink>
        </w:p>
        <w:p>
          <w:pPr>
            <w:pStyle w:val="Contents4"/>
            <w:tabs>
              <w:tab w:val="clear" w:pos="8176"/>
              <w:tab w:val="right" w:pos="9026" w:leader="dot"/>
            </w:tabs>
            <w:rPr/>
          </w:pPr>
          <w:hyperlink w:anchor="__RefHeading___Toc2570392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لا إشکال فی انعقاد الیمین إذا تعلّقت بفعل واجب أو مستحبّ</w:t>
            </w:r>
            <w:r>
              <w:rPr>
                <w:rStyle w:val="IndexLink"/>
                <w:rtl w:val="true"/>
              </w:rPr>
              <w:t>]</w:t>
              <w:tab/>
            </w:r>
            <w:r>
              <w:rPr>
                <w:rStyle w:val="IndexLink"/>
              </w:rPr>
              <w:t>660</w:t>
            </w:r>
          </w:hyperlink>
        </w:p>
        <w:p>
          <w:pPr>
            <w:pStyle w:val="Contents4"/>
            <w:tabs>
              <w:tab w:val="clear" w:pos="8176"/>
              <w:tab w:val="right" w:pos="9026" w:leader="dot"/>
            </w:tabs>
            <w:rPr/>
          </w:pPr>
          <w:hyperlink w:anchor="__RefHeading___Toc2570394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فکما لا تنعقد الیمین علیٰ ما کان مرجوحاً تنحلّ إذا تعلّقت براجح ثمّ صار مرجوحاً</w:t>
            </w:r>
            <w:r>
              <w:rPr>
                <w:rStyle w:val="IndexLink"/>
                <w:rtl w:val="true"/>
              </w:rPr>
              <w:t>]</w:t>
              <w:tab/>
            </w:r>
            <w:r>
              <w:rPr>
                <w:rStyle w:val="IndexLink"/>
              </w:rPr>
              <w:t>660</w:t>
            </w:r>
          </w:hyperlink>
        </w:p>
        <w:p>
          <w:pPr>
            <w:pStyle w:val="Contents4"/>
            <w:tabs>
              <w:tab w:val="clear" w:pos="8176"/>
              <w:tab w:val="right" w:pos="9026" w:leader="dot"/>
            </w:tabs>
            <w:rPr/>
          </w:pPr>
          <w:hyperlink w:anchor="__RefHeading___Toc2570396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إنّما تنعقد الیمین علی المقدور دون غیره</w:t>
            </w:r>
            <w:r>
              <w:rPr>
                <w:rStyle w:val="IndexLink"/>
                <w:rtl w:val="true"/>
              </w:rPr>
              <w:t>]</w:t>
              <w:tab/>
            </w:r>
            <w:r>
              <w:rPr>
                <w:rStyle w:val="IndexLink"/>
              </w:rPr>
              <w:t>660</w:t>
            </w:r>
          </w:hyperlink>
        </w:p>
        <w:p>
          <w:pPr>
            <w:pStyle w:val="Contents4"/>
            <w:tabs>
              <w:tab w:val="clear" w:pos="8176"/>
              <w:tab w:val="right" w:pos="9026" w:leader="dot"/>
            </w:tabs>
            <w:rPr/>
          </w:pPr>
          <w:hyperlink w:anchor="__RefHeading___Toc2570398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إذا انعقدت الیمین وجب علیه الوفاء بها و حرمت علیه مخالفتها</w:t>
            </w:r>
            <w:r>
              <w:rPr>
                <w:rStyle w:val="IndexLink"/>
                <w:rtl w:val="true"/>
              </w:rPr>
              <w:t>]</w:t>
              <w:tab/>
            </w:r>
            <w:r>
              <w:rPr>
                <w:rStyle w:val="IndexLink"/>
              </w:rPr>
              <w:t>661</w:t>
            </w:r>
          </w:hyperlink>
        </w:p>
        <w:p>
          <w:pPr>
            <w:pStyle w:val="Contents4"/>
            <w:tabs>
              <w:tab w:val="clear" w:pos="8176"/>
              <w:tab w:val="right" w:pos="9026" w:leader="dot"/>
            </w:tabs>
            <w:rPr/>
          </w:pPr>
          <w:hyperlink w:anchor="__RefHeading___Toc2570400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إذا کان متعلّق الیمین الفعل کالصلاة و الصوم فإن عیّن له وقتاً تعیّن</w:t>
            </w:r>
            <w:r>
              <w:rPr>
                <w:rStyle w:val="IndexLink"/>
                <w:rtl w:val="true"/>
              </w:rPr>
              <w:t>]</w:t>
              <w:tab/>
            </w:r>
            <w:r>
              <w:rPr>
                <w:rStyle w:val="IndexLink"/>
              </w:rPr>
              <w:t>661</w:t>
            </w:r>
          </w:hyperlink>
        </w:p>
        <w:p>
          <w:pPr>
            <w:pStyle w:val="Contents4"/>
            <w:tabs>
              <w:tab w:val="clear" w:pos="8176"/>
              <w:tab w:val="right" w:pos="9026" w:leader="dot"/>
            </w:tabs>
            <w:rPr/>
          </w:pPr>
          <w:hyperlink w:anchor="__RefHeading___Toc2570402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إذا کان المحلوف علیه الإتیان بعمل کصوم یوم</w:t>
            </w:r>
            <w:r>
              <w:rPr>
                <w:rStyle w:val="IndexLink"/>
                <w:rtl w:val="true"/>
              </w:rPr>
              <w:t>]</w:t>
              <w:tab/>
            </w:r>
            <w:r>
              <w:rPr>
                <w:rStyle w:val="IndexLink"/>
              </w:rPr>
              <w:t>661</w:t>
            </w:r>
          </w:hyperlink>
        </w:p>
        <w:p>
          <w:pPr>
            <w:pStyle w:val="Contents4"/>
            <w:tabs>
              <w:tab w:val="clear" w:pos="8176"/>
              <w:tab w:val="right" w:pos="9026" w:leader="dot"/>
            </w:tabs>
            <w:rPr/>
          </w:pPr>
          <w:hyperlink w:anchor="__RefHeading___Toc2570404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کفّارة الیمین عتق رقبة، أو إطعام عشرة مساکین، أو کسوتهم</w:t>
            </w:r>
            <w:r>
              <w:rPr>
                <w:rStyle w:val="IndexLink"/>
                <w:rtl w:val="true"/>
              </w:rPr>
              <w:t>]</w:t>
              <w:tab/>
            </w:r>
            <w:r>
              <w:rPr>
                <w:rStyle w:val="IndexLink"/>
              </w:rPr>
              <w:t>661</w:t>
            </w:r>
          </w:hyperlink>
        </w:p>
        <w:p>
          <w:pPr>
            <w:pStyle w:val="Contents4"/>
            <w:tabs>
              <w:tab w:val="clear" w:pos="8176"/>
              <w:tab w:val="right" w:pos="9026" w:leader="dot"/>
            </w:tabs>
            <w:rPr/>
          </w:pPr>
          <w:hyperlink w:anchor="__RefHeading___Toc2570406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الأیمان الصادقة کلّها مکروهة؛ سواء کانت علی الماضی أو المستقبل</w:t>
            </w:r>
            <w:r>
              <w:rPr>
                <w:rStyle w:val="IndexLink"/>
                <w:rtl w:val="true"/>
              </w:rPr>
              <w:t>]</w:t>
              <w:tab/>
            </w:r>
            <w:r>
              <w:rPr>
                <w:rStyle w:val="IndexLink"/>
              </w:rPr>
              <w:t>662</w:t>
            </w:r>
          </w:hyperlink>
        </w:p>
        <w:p>
          <w:pPr>
            <w:pStyle w:val="Contents4"/>
            <w:tabs>
              <w:tab w:val="clear" w:pos="8176"/>
              <w:tab w:val="right" w:pos="9026" w:leader="dot"/>
            </w:tabs>
            <w:rPr/>
          </w:pPr>
          <w:hyperlink w:anchor="__RefHeading___Toc2570408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الأقویٰ أنّه یجوز الحلف بغیر اللّٰه فی الماضی و المستقبل و إن لم یترتّب علیٰ مخالفتها إثم</w:t>
            </w:r>
            <w:r>
              <w:rPr>
                <w:rStyle w:val="IndexLink"/>
                <w:rtl w:val="true"/>
              </w:rPr>
              <w:t>]</w:t>
              <w:tab/>
            </w:r>
            <w:r>
              <w:rPr>
                <w:rStyle w:val="IndexLink"/>
              </w:rPr>
              <w:t>662</w:t>
            </w:r>
          </w:hyperlink>
        </w:p>
        <w:p>
          <w:pPr>
            <w:pStyle w:val="Contents3"/>
            <w:tabs>
              <w:tab w:val="clear" w:pos="8459"/>
              <w:tab w:val="right" w:pos="9026" w:leader="dot"/>
            </w:tabs>
            <w:rPr/>
          </w:pPr>
          <w:hyperlink w:anchor="__RefHeading___Toc2570410_3650668749">
            <w:r>
              <w:rPr>
                <w:webHidden/>
                <w:rStyle w:val="IndexLink"/>
                <w:rtl w:val="true"/>
              </w:rPr>
              <w:t>[</w:t>
            </w:r>
            <w:r>
              <w:rPr>
                <w:rStyle w:val="IndexLink"/>
                <w:rtl w:val="true"/>
              </w:rPr>
              <w:t>القول فی النذر و العهد</w:t>
            </w:r>
            <w:r>
              <w:rPr>
                <w:rStyle w:val="IndexLink"/>
                <w:rtl w:val="true"/>
              </w:rPr>
              <w:t>]</w:t>
              <w:tab/>
            </w:r>
            <w:r>
              <w:rPr>
                <w:rStyle w:val="IndexLink"/>
              </w:rPr>
              <w:t>662</w:t>
            </w:r>
          </w:hyperlink>
        </w:p>
        <w:p>
          <w:pPr>
            <w:pStyle w:val="Contents4"/>
            <w:tabs>
              <w:tab w:val="clear" w:pos="8176"/>
              <w:tab w:val="right" w:pos="9026" w:leader="dot"/>
            </w:tabs>
            <w:rPr/>
          </w:pPr>
          <w:hyperlink w:anchor="__RefHeading___Toc2570412_3650668749">
            <w:r>
              <w:rPr>
                <w:webHidden/>
                <w:rStyle w:val="IndexLink"/>
                <w:rtl w:val="true"/>
              </w:rPr>
              <w:t>اشارة</w:t>
            </w:r>
            <w:r>
              <w:rPr>
                <w:rStyle w:val="IndexLink"/>
                <w:rtl w:val="true"/>
              </w:rPr>
              <w:tab/>
            </w:r>
            <w:r>
              <w:rPr>
                <w:rStyle w:val="IndexLink"/>
              </w:rPr>
              <w:t>662</w:t>
            </w:r>
          </w:hyperlink>
        </w:p>
        <w:p>
          <w:pPr>
            <w:pStyle w:val="Contents4"/>
            <w:tabs>
              <w:tab w:val="clear" w:pos="8176"/>
              <w:tab w:val="right" w:pos="9026" w:leader="dot"/>
            </w:tabs>
            <w:rPr/>
          </w:pPr>
          <w:hyperlink w:anchor="__RefHeading___Toc257041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النذر هو الالتزام بعمل للّٰه تعالیٰ علیٰ نحو مخصوص</w:t>
            </w:r>
            <w:r>
              <w:rPr>
                <w:rStyle w:val="IndexLink"/>
                <w:rtl w:val="true"/>
              </w:rPr>
              <w:t>]</w:t>
              <w:tab/>
            </w:r>
            <w:r>
              <w:rPr>
                <w:rStyle w:val="IndexLink"/>
              </w:rPr>
              <w:t>662</w:t>
            </w:r>
          </w:hyperlink>
        </w:p>
        <w:p>
          <w:pPr>
            <w:pStyle w:val="Contents4"/>
            <w:tabs>
              <w:tab w:val="clear" w:pos="8176"/>
              <w:tab w:val="right" w:pos="9026" w:leader="dot"/>
            </w:tabs>
            <w:rPr/>
          </w:pPr>
          <w:hyperlink w:anchor="__RefHeading___Toc257041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یشترط فی الناذر</w:t>
            </w:r>
            <w:r>
              <w:rPr>
                <w:rStyle w:val="IndexLink"/>
                <w:rtl w:val="true"/>
              </w:rPr>
              <w:t xml:space="preserve">: </w:t>
            </w:r>
            <w:r>
              <w:rPr>
                <w:rStyle w:val="IndexLink"/>
                <w:rtl w:val="true"/>
              </w:rPr>
              <w:t>البلوغ و العقل و الاختیار و القصد و انتفاء الحجر فی متعلّق النذر</w:t>
            </w:r>
            <w:r>
              <w:rPr>
                <w:rStyle w:val="IndexLink"/>
                <w:rtl w:val="true"/>
              </w:rPr>
              <w:t>]</w:t>
              <w:tab/>
            </w:r>
            <w:r>
              <w:rPr>
                <w:rStyle w:val="IndexLink"/>
              </w:rPr>
              <w:t>663</w:t>
            </w:r>
          </w:hyperlink>
        </w:p>
        <w:p>
          <w:pPr>
            <w:pStyle w:val="Contents4"/>
            <w:tabs>
              <w:tab w:val="clear" w:pos="8176"/>
              <w:tab w:val="right" w:pos="9026" w:leader="dot"/>
            </w:tabs>
            <w:rPr/>
          </w:pPr>
          <w:hyperlink w:anchor="__RefHeading___Toc257041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یصحّ نذر الزوجة مع منع الزوج</w:t>
            </w:r>
            <w:r>
              <w:rPr>
                <w:rStyle w:val="IndexLink"/>
                <w:rtl w:val="true"/>
              </w:rPr>
              <w:t>]</w:t>
              <w:tab/>
            </w:r>
            <w:r>
              <w:rPr>
                <w:rStyle w:val="IndexLink"/>
              </w:rPr>
              <w:t>663</w:t>
            </w:r>
          </w:hyperlink>
        </w:p>
        <w:p>
          <w:pPr>
            <w:pStyle w:val="Contents4"/>
            <w:tabs>
              <w:tab w:val="clear" w:pos="8176"/>
              <w:tab w:val="right" w:pos="9026" w:leader="dot"/>
            </w:tabs>
            <w:rPr/>
          </w:pPr>
          <w:hyperlink w:anchor="__RefHeading___Toc257042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النذر</w:t>
            </w:r>
            <w:r>
              <w:rPr>
                <w:rStyle w:val="IndexLink"/>
                <w:rtl w:val="true"/>
              </w:rPr>
              <w:t xml:space="preserve">: </w:t>
            </w:r>
            <w:r>
              <w:rPr>
                <w:rStyle w:val="IndexLink"/>
                <w:rtl w:val="true"/>
              </w:rPr>
              <w:t>إمّا نذر برّ، و یقال له نذر المجازاة</w:t>
            </w:r>
            <w:r>
              <w:rPr>
                <w:rStyle w:val="IndexLink"/>
                <w:rtl w:val="true"/>
              </w:rPr>
              <w:t>]</w:t>
              <w:tab/>
            </w:r>
            <w:r>
              <w:rPr>
                <w:rStyle w:val="IndexLink"/>
              </w:rPr>
              <w:t>663</w:t>
            </w:r>
          </w:hyperlink>
        </w:p>
        <w:p>
          <w:pPr>
            <w:pStyle w:val="Contents4"/>
            <w:tabs>
              <w:tab w:val="clear" w:pos="8176"/>
              <w:tab w:val="right" w:pos="9026" w:leader="dot"/>
            </w:tabs>
            <w:rPr/>
          </w:pPr>
          <w:hyperlink w:anchor="__RefHeading___Toc257042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یشترط فی متعلّق النذر سواء کان معلّقاً و مشروطاً شکراً أو زجراً أو کان تبرّعاً أن یکون مقدوراً للناذر</w:t>
            </w:r>
            <w:r>
              <w:rPr>
                <w:rStyle w:val="IndexLink"/>
                <w:rtl w:val="true"/>
              </w:rPr>
              <w:t>]</w:t>
              <w:tab/>
            </w:r>
            <w:r>
              <w:rPr>
                <w:rStyle w:val="IndexLink"/>
              </w:rPr>
              <w:t>664</w:t>
            </w:r>
          </w:hyperlink>
        </w:p>
        <w:p>
          <w:pPr>
            <w:pStyle w:val="Contents4"/>
            <w:tabs>
              <w:tab w:val="clear" w:pos="8176"/>
              <w:tab w:val="right" w:pos="9026" w:leader="dot"/>
            </w:tabs>
            <w:rPr/>
          </w:pPr>
          <w:hyperlink w:anchor="__RefHeading___Toc2570424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قد عرفت أنّ النذر</w:t>
            </w:r>
            <w:r>
              <w:rPr>
                <w:rStyle w:val="IndexLink"/>
                <w:rtl w:val="true"/>
              </w:rPr>
              <w:t xml:space="preserve">: </w:t>
            </w:r>
            <w:r>
              <w:rPr>
                <w:rStyle w:val="IndexLink"/>
                <w:rtl w:val="true"/>
              </w:rPr>
              <w:t>إمّا معلّق علیٰ أمر أو غیر معلّق</w:t>
            </w:r>
            <w:r>
              <w:rPr>
                <w:rStyle w:val="IndexLink"/>
                <w:rtl w:val="true"/>
              </w:rPr>
              <w:t>]</w:t>
              <w:tab/>
            </w:r>
            <w:r>
              <w:rPr>
                <w:rStyle w:val="IndexLink"/>
              </w:rPr>
              <w:t>664</w:t>
            </w:r>
          </w:hyperlink>
        </w:p>
        <w:p>
          <w:pPr>
            <w:pStyle w:val="Contents4"/>
            <w:tabs>
              <w:tab w:val="clear" w:pos="8176"/>
              <w:tab w:val="right" w:pos="9026" w:leader="dot"/>
            </w:tabs>
            <w:rPr/>
          </w:pPr>
          <w:hyperlink w:anchor="__RefHeading___Toc2570426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کان الشرط فعلًا اختیاریّاً للناذر، فالنذر المعلّق علیه قابل لأن یکون نذر شکر</w:t>
            </w:r>
            <w:r>
              <w:rPr>
                <w:rStyle w:val="IndexLink"/>
                <w:rtl w:val="true"/>
              </w:rPr>
              <w:t>]</w:t>
              <w:tab/>
            </w:r>
            <w:r>
              <w:rPr>
                <w:rStyle w:val="IndexLink"/>
              </w:rPr>
              <w:t>665</w:t>
            </w:r>
          </w:hyperlink>
        </w:p>
        <w:p>
          <w:pPr>
            <w:pStyle w:val="Contents4"/>
            <w:tabs>
              <w:tab w:val="clear" w:pos="8176"/>
              <w:tab w:val="right" w:pos="9026" w:leader="dot"/>
            </w:tabs>
            <w:rPr/>
          </w:pPr>
          <w:hyperlink w:anchor="__RefHeading___Toc2570428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لو نذر الصلاة أو الصوم أو الصدقة فی زمان معیّن تعیّن</w:t>
            </w:r>
            <w:r>
              <w:rPr>
                <w:rStyle w:val="IndexLink"/>
                <w:rtl w:val="true"/>
              </w:rPr>
              <w:t>]</w:t>
              <w:tab/>
            </w:r>
            <w:r>
              <w:rPr>
                <w:rStyle w:val="IndexLink"/>
              </w:rPr>
              <w:t>665</w:t>
            </w:r>
          </w:hyperlink>
        </w:p>
        <w:p>
          <w:pPr>
            <w:pStyle w:val="Contents4"/>
            <w:tabs>
              <w:tab w:val="clear" w:pos="8176"/>
              <w:tab w:val="right" w:pos="9026" w:leader="dot"/>
            </w:tabs>
            <w:rPr/>
          </w:pPr>
          <w:hyperlink w:anchor="__RefHeading___Toc2570430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لو نذر صوماً و لم یعیّن العدد کفیٰ صوم یوم</w:t>
            </w:r>
            <w:r>
              <w:rPr>
                <w:rStyle w:val="IndexLink"/>
                <w:rtl w:val="true"/>
              </w:rPr>
              <w:t>]</w:t>
              <w:tab/>
            </w:r>
            <w:r>
              <w:rPr>
                <w:rStyle w:val="IndexLink"/>
              </w:rPr>
              <w:t>665</w:t>
            </w:r>
          </w:hyperlink>
        </w:p>
        <w:p>
          <w:pPr>
            <w:pStyle w:val="Contents4"/>
            <w:tabs>
              <w:tab w:val="clear" w:pos="8176"/>
              <w:tab w:val="right" w:pos="9026" w:leader="dot"/>
            </w:tabs>
            <w:rPr/>
          </w:pPr>
          <w:hyperlink w:anchor="__RefHeading___Toc2570432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لو نذر صوم عشرة أیّام مثلًا فإن قیّد بالتتابع أو التفریق تعیّن</w:t>
            </w:r>
            <w:r>
              <w:rPr>
                <w:rStyle w:val="IndexLink"/>
                <w:rtl w:val="true"/>
              </w:rPr>
              <w:t>]</w:t>
              <w:tab/>
            </w:r>
            <w:r>
              <w:rPr>
                <w:rStyle w:val="IndexLink"/>
              </w:rPr>
              <w:t>666</w:t>
            </w:r>
          </w:hyperlink>
        </w:p>
        <w:p>
          <w:pPr>
            <w:pStyle w:val="Contents4"/>
            <w:tabs>
              <w:tab w:val="clear" w:pos="8176"/>
              <w:tab w:val="right" w:pos="9026" w:leader="dot"/>
            </w:tabs>
            <w:rPr/>
          </w:pPr>
          <w:hyperlink w:anchor="__RefHeading___Toc2570434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إذا نذر صیام سنة معیّنة استثنی منها العیدان</w:t>
            </w:r>
            <w:r>
              <w:rPr>
                <w:rStyle w:val="IndexLink"/>
                <w:rtl w:val="true"/>
              </w:rPr>
              <w:t>]</w:t>
              <w:tab/>
            </w:r>
            <w:r>
              <w:rPr>
                <w:rStyle w:val="IndexLink"/>
              </w:rPr>
              <w:t>666</w:t>
            </w:r>
          </w:hyperlink>
        </w:p>
        <w:p>
          <w:pPr>
            <w:pStyle w:val="Contents4"/>
            <w:tabs>
              <w:tab w:val="clear" w:pos="8176"/>
              <w:tab w:val="right" w:pos="9026" w:leader="dot"/>
            </w:tabs>
            <w:rPr/>
          </w:pPr>
          <w:hyperlink w:anchor="__RefHeading___Toc2570436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لو نذر صوم کلّ خمیس مثلًا فصادف بعضها أحد العیدین أو أحد العوارض المبیح للإفطار</w:t>
            </w:r>
            <w:r>
              <w:rPr>
                <w:rStyle w:val="IndexLink"/>
                <w:rtl w:val="true"/>
              </w:rPr>
              <w:t>]</w:t>
              <w:tab/>
            </w:r>
            <w:r>
              <w:rPr>
                <w:rStyle w:val="IndexLink"/>
              </w:rPr>
              <w:t>666</w:t>
            </w:r>
          </w:hyperlink>
        </w:p>
        <w:p>
          <w:pPr>
            <w:pStyle w:val="Contents4"/>
            <w:tabs>
              <w:tab w:val="clear" w:pos="8176"/>
              <w:tab w:val="right" w:pos="9026" w:leader="dot"/>
            </w:tabs>
            <w:rPr/>
          </w:pPr>
          <w:hyperlink w:anchor="__RefHeading___Toc2570438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لو نذر صوم یوم معیّن فأفطر عمداً یجب قضاؤه مع الکفّارة</w:t>
            </w:r>
            <w:r>
              <w:rPr>
                <w:rStyle w:val="IndexLink"/>
                <w:rtl w:val="true"/>
              </w:rPr>
              <w:t>]</w:t>
              <w:tab/>
            </w:r>
            <w:r>
              <w:rPr>
                <w:rStyle w:val="IndexLink"/>
              </w:rPr>
              <w:t>666</w:t>
            </w:r>
          </w:hyperlink>
        </w:p>
        <w:p>
          <w:pPr>
            <w:pStyle w:val="Contents4"/>
            <w:tabs>
              <w:tab w:val="clear" w:pos="8176"/>
              <w:tab w:val="right" w:pos="9026" w:leader="dot"/>
            </w:tabs>
            <w:rPr/>
          </w:pPr>
          <w:hyperlink w:anchor="__RefHeading___Toc2570440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إذا نذر صوم یوم معیّن جاز له السفر و إن کان غیر ضروریّ و یفطر</w:t>
            </w:r>
            <w:r>
              <w:rPr>
                <w:rStyle w:val="IndexLink"/>
                <w:rtl w:val="true"/>
              </w:rPr>
              <w:t>]</w:t>
              <w:tab/>
            </w:r>
            <w:r>
              <w:rPr>
                <w:rStyle w:val="IndexLink"/>
              </w:rPr>
              <w:t>666</w:t>
            </w:r>
          </w:hyperlink>
        </w:p>
        <w:p>
          <w:pPr>
            <w:pStyle w:val="Contents4"/>
            <w:tabs>
              <w:tab w:val="clear" w:pos="8176"/>
              <w:tab w:val="right" w:pos="9026" w:leader="dot"/>
            </w:tabs>
            <w:rPr/>
          </w:pPr>
          <w:hyperlink w:anchor="__RefHeading___Toc2570442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 xml:space="preserve">لو نذر زیارة أحد من الأئمّة </w:t>
            </w:r>
            <w:r>
              <w:rPr>
                <w:rStyle w:val="IndexLink"/>
                <w:rtl w:val="true"/>
              </w:rPr>
              <w:t>(</w:t>
            </w:r>
            <w:r>
              <w:rPr>
                <w:rStyle w:val="IndexLink"/>
                <w:rtl w:val="true"/>
              </w:rPr>
              <w:t>علیهم السّلام</w:t>
            </w:r>
            <w:r>
              <w:rPr>
                <w:rStyle w:val="IndexLink"/>
                <w:rtl w:val="true"/>
              </w:rPr>
              <w:t>)</w:t>
            </w:r>
            <w:r>
              <w:rPr>
                <w:rStyle w:val="IndexLink"/>
                <w:rtl w:val="true"/>
              </w:rPr>
              <w:t>، أو بعض الصالحین لزم</w:t>
            </w:r>
            <w:r>
              <w:rPr>
                <w:rStyle w:val="IndexLink"/>
                <w:rtl w:val="true"/>
              </w:rPr>
              <w:t>]</w:t>
              <w:tab/>
            </w:r>
            <w:r>
              <w:rPr>
                <w:rStyle w:val="IndexLink"/>
              </w:rPr>
              <w:t>666</w:t>
            </w:r>
          </w:hyperlink>
        </w:p>
        <w:p>
          <w:pPr>
            <w:pStyle w:val="Contents4"/>
            <w:tabs>
              <w:tab w:val="clear" w:pos="8176"/>
              <w:tab w:val="right" w:pos="9026" w:leader="dot"/>
            </w:tabs>
            <w:rPr/>
          </w:pPr>
          <w:hyperlink w:anchor="__RefHeading___Toc2570444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 xml:space="preserve">لو نذر أن یحجّ أو یزور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ماشیاً انعقد مع القدرة و عدم الضرر</w:t>
            </w:r>
            <w:r>
              <w:rPr>
                <w:rStyle w:val="IndexLink"/>
                <w:rtl w:val="true"/>
              </w:rPr>
              <w:t>]</w:t>
              <w:tab/>
            </w:r>
            <w:r>
              <w:rPr>
                <w:rStyle w:val="IndexLink"/>
              </w:rPr>
              <w:t>667</w:t>
            </w:r>
          </w:hyperlink>
        </w:p>
        <w:p>
          <w:pPr>
            <w:pStyle w:val="Contents4"/>
            <w:tabs>
              <w:tab w:val="clear" w:pos="8176"/>
              <w:tab w:val="right" w:pos="9026" w:leader="dot"/>
            </w:tabs>
            <w:rPr/>
          </w:pPr>
          <w:hyperlink w:anchor="__RefHeading___Toc2570446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لیس لمن نذر الحجّ أو الزیارة ماشیاً أن یرکب البحر</w:t>
            </w:r>
            <w:r>
              <w:rPr>
                <w:rStyle w:val="IndexLink"/>
                <w:rtl w:val="true"/>
              </w:rPr>
              <w:t>]</w:t>
              <w:tab/>
            </w:r>
            <w:r>
              <w:rPr>
                <w:rStyle w:val="IndexLink"/>
              </w:rPr>
              <w:t>667</w:t>
            </w:r>
          </w:hyperlink>
        </w:p>
        <w:p>
          <w:pPr>
            <w:pStyle w:val="Contents4"/>
            <w:tabs>
              <w:tab w:val="clear" w:pos="8176"/>
              <w:tab w:val="right" w:pos="9026" w:leader="dot"/>
            </w:tabs>
            <w:rPr/>
          </w:pPr>
          <w:hyperlink w:anchor="__RefHeading___Toc2570448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لو طرأ لناذر المشی العجز عنه فی بعض الطریق دون البعض</w:t>
            </w:r>
            <w:r>
              <w:rPr>
                <w:rStyle w:val="IndexLink"/>
                <w:rtl w:val="true"/>
              </w:rPr>
              <w:t>]</w:t>
              <w:tab/>
            </w:r>
            <w:r>
              <w:rPr>
                <w:rStyle w:val="IndexLink"/>
              </w:rPr>
              <w:t>667</w:t>
            </w:r>
          </w:hyperlink>
        </w:p>
        <w:p>
          <w:pPr>
            <w:pStyle w:val="Contents4"/>
            <w:tabs>
              <w:tab w:val="clear" w:pos="8176"/>
              <w:tab w:val="right" w:pos="9026" w:leader="dot"/>
            </w:tabs>
            <w:rPr/>
          </w:pPr>
          <w:hyperlink w:anchor="__RefHeading___Toc2570450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لو نذر التصدّق بعین شخصیّة تعیّنت، و لا یجزی مثلها أو قیمتها مع وجودها</w:t>
            </w:r>
            <w:r>
              <w:rPr>
                <w:rStyle w:val="IndexLink"/>
                <w:rtl w:val="true"/>
              </w:rPr>
              <w:t>]</w:t>
              <w:tab/>
            </w:r>
            <w:r>
              <w:rPr>
                <w:rStyle w:val="IndexLink"/>
              </w:rPr>
              <w:t>667</w:t>
            </w:r>
          </w:hyperlink>
        </w:p>
        <w:p>
          <w:pPr>
            <w:pStyle w:val="Contents4"/>
            <w:tabs>
              <w:tab w:val="clear" w:pos="8176"/>
              <w:tab w:val="right" w:pos="9026" w:leader="dot"/>
            </w:tabs>
            <w:rPr/>
          </w:pPr>
          <w:hyperlink w:anchor="__RefHeading___Toc2570452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لو نذر الصدقة علیٰ شخص معیّن لزم</w:t>
            </w:r>
            <w:r>
              <w:rPr>
                <w:rStyle w:val="IndexLink"/>
                <w:rtl w:val="true"/>
              </w:rPr>
              <w:t>]</w:t>
              <w:tab/>
            </w:r>
            <w:r>
              <w:rPr>
                <w:rStyle w:val="IndexLink"/>
              </w:rPr>
              <w:t>667</w:t>
            </w:r>
          </w:hyperlink>
        </w:p>
        <w:p>
          <w:pPr>
            <w:pStyle w:val="Contents4"/>
            <w:tabs>
              <w:tab w:val="clear" w:pos="8176"/>
              <w:tab w:val="right" w:pos="9026" w:leader="dot"/>
            </w:tabs>
            <w:rPr/>
          </w:pPr>
          <w:hyperlink w:anchor="__RefHeading___Toc2570454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لو نذر شیئاً لمشهد من المشاهد المشرّفة صرفه فی مصالحه</w:t>
            </w:r>
            <w:r>
              <w:rPr>
                <w:rStyle w:val="IndexLink"/>
                <w:rtl w:val="true"/>
              </w:rPr>
              <w:t>]</w:t>
              <w:tab/>
            </w:r>
            <w:r>
              <w:rPr>
                <w:rStyle w:val="IndexLink"/>
              </w:rPr>
              <w:t>668</w:t>
            </w:r>
          </w:hyperlink>
        </w:p>
        <w:p>
          <w:pPr>
            <w:pStyle w:val="Contents4"/>
            <w:tabs>
              <w:tab w:val="clear" w:pos="8176"/>
              <w:tab w:val="right" w:pos="9026" w:leader="dot"/>
            </w:tabs>
            <w:rPr/>
          </w:pPr>
          <w:hyperlink w:anchor="__RefHeading___Toc2570456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لو عیّن شاة للصدقة، أو لأحد الأئمّة، أو لمشهد من المشاهد، یتبعها نماؤها المتّصل کالسمن</w:t>
            </w:r>
            <w:r>
              <w:rPr>
                <w:rStyle w:val="IndexLink"/>
                <w:rtl w:val="true"/>
              </w:rPr>
              <w:t>]</w:t>
              <w:tab/>
            </w:r>
            <w:r>
              <w:rPr>
                <w:rStyle w:val="IndexLink"/>
              </w:rPr>
              <w:t>668</w:t>
            </w:r>
          </w:hyperlink>
        </w:p>
        <w:p>
          <w:pPr>
            <w:pStyle w:val="Contents4"/>
            <w:tabs>
              <w:tab w:val="clear" w:pos="8176"/>
              <w:tab w:val="right" w:pos="9026" w:leader="dot"/>
            </w:tabs>
            <w:rPr/>
          </w:pPr>
          <w:hyperlink w:anchor="__RefHeading___Toc2570458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لو نذر التصدّق بجمیع ما یملکه لزم</w:t>
            </w:r>
            <w:r>
              <w:rPr>
                <w:rStyle w:val="IndexLink"/>
                <w:rtl w:val="true"/>
              </w:rPr>
              <w:t>]</w:t>
              <w:tab/>
            </w:r>
            <w:r>
              <w:rPr>
                <w:rStyle w:val="IndexLink"/>
              </w:rPr>
              <w:t>668</w:t>
            </w:r>
          </w:hyperlink>
        </w:p>
        <w:p>
          <w:pPr>
            <w:pStyle w:val="Contents4"/>
            <w:tabs>
              <w:tab w:val="clear" w:pos="8176"/>
              <w:tab w:val="right" w:pos="9026" w:leader="dot"/>
            </w:tabs>
            <w:rPr/>
          </w:pPr>
          <w:hyperlink w:anchor="__RefHeading___Toc2570460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إذا عجز الناذر عن المنذور فی وقته إن کان موقّتاً، و مطلقاً إن کان مطلقاً</w:t>
            </w:r>
            <w:r>
              <w:rPr>
                <w:rStyle w:val="IndexLink"/>
                <w:rtl w:val="true"/>
              </w:rPr>
              <w:t>]</w:t>
              <w:tab/>
            </w:r>
            <w:r>
              <w:rPr>
                <w:rStyle w:val="IndexLink"/>
              </w:rPr>
              <w:t>668</w:t>
            </w:r>
          </w:hyperlink>
        </w:p>
        <w:p>
          <w:pPr>
            <w:pStyle w:val="Contents4"/>
            <w:tabs>
              <w:tab w:val="clear" w:pos="8176"/>
              <w:tab w:val="right" w:pos="9026" w:leader="dot"/>
            </w:tabs>
            <w:rPr/>
          </w:pPr>
          <w:hyperlink w:anchor="__RefHeading___Toc2570462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النذر کالیمین</w:t>
            </w:r>
            <w:r>
              <w:rPr>
                <w:rStyle w:val="IndexLink"/>
                <w:rtl w:val="true"/>
              </w:rPr>
              <w:t>]</w:t>
              <w:tab/>
            </w:r>
            <w:r>
              <w:rPr>
                <w:rStyle w:val="IndexLink"/>
              </w:rPr>
              <w:t>669</w:t>
            </w:r>
          </w:hyperlink>
        </w:p>
        <w:p>
          <w:pPr>
            <w:pStyle w:val="Contents4"/>
            <w:tabs>
              <w:tab w:val="clear" w:pos="8176"/>
              <w:tab w:val="right" w:pos="9026" w:leader="dot"/>
            </w:tabs>
            <w:rPr/>
          </w:pPr>
          <w:hyperlink w:anchor="__RefHeading___Toc2570464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إنّما یتحقّق الحنث الموجب للکفّارة بمخالفة النذر اختیاراً</w:t>
            </w:r>
            <w:r>
              <w:rPr>
                <w:rStyle w:val="IndexLink"/>
                <w:rtl w:val="true"/>
              </w:rPr>
              <w:t>]</w:t>
              <w:tab/>
            </w:r>
            <w:r>
              <w:rPr>
                <w:rStyle w:val="IndexLink"/>
              </w:rPr>
              <w:t>669</w:t>
            </w:r>
          </w:hyperlink>
        </w:p>
        <w:p>
          <w:pPr>
            <w:pStyle w:val="Contents4"/>
            <w:tabs>
              <w:tab w:val="clear" w:pos="8176"/>
              <w:tab w:val="right" w:pos="9026" w:leader="dot"/>
            </w:tabs>
            <w:rPr/>
          </w:pPr>
          <w:hyperlink w:anchor="__RefHeading___Toc2570466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لو نذر</w:t>
            </w:r>
            <w:r>
              <w:rPr>
                <w:rStyle w:val="IndexLink"/>
                <w:rtl w:val="true"/>
              </w:rPr>
              <w:t xml:space="preserve">: </w:t>
            </w:r>
            <w:r>
              <w:rPr>
                <w:rStyle w:val="IndexLink"/>
                <w:rtl w:val="true"/>
              </w:rPr>
              <w:t>إن برئ مریضة أو قدم مسافرة صام یوماً</w:t>
            </w:r>
            <w:r>
              <w:rPr>
                <w:rStyle w:val="IndexLink"/>
                <w:rtl w:val="true"/>
              </w:rPr>
              <w:t>]</w:t>
              <w:tab/>
            </w:r>
            <w:r>
              <w:rPr>
                <w:rStyle w:val="IndexLink"/>
              </w:rPr>
              <w:t>669</w:t>
            </w:r>
          </w:hyperlink>
        </w:p>
        <w:p>
          <w:pPr>
            <w:pStyle w:val="Contents4"/>
            <w:tabs>
              <w:tab w:val="clear" w:pos="8176"/>
              <w:tab w:val="right" w:pos="9026" w:leader="dot"/>
            </w:tabs>
            <w:rPr/>
          </w:pPr>
          <w:hyperlink w:anchor="__RefHeading___Toc2570468_3650668749">
            <w:r>
              <w:rPr>
                <w:webHidden/>
                <w:rStyle w:val="IndexLink"/>
                <w:rtl w:val="true"/>
              </w:rPr>
              <w:t>[ (</w:t>
            </w:r>
            <w:r>
              <w:rPr>
                <w:rStyle w:val="IndexLink"/>
                <w:rtl w:val="true"/>
              </w:rPr>
              <w:t xml:space="preserve">مسألة </w:t>
            </w:r>
            <w:r>
              <w:rPr>
                <w:rStyle w:val="IndexLink"/>
              </w:rPr>
              <w:t>28</w:t>
            </w:r>
            <w:r>
              <w:rPr>
                <w:rStyle w:val="IndexLink"/>
                <w:rtl w:val="true"/>
              </w:rPr>
              <w:t xml:space="preserve">): </w:t>
            </w:r>
            <w:r>
              <w:rPr>
                <w:rStyle w:val="IndexLink"/>
                <w:rtl w:val="true"/>
              </w:rPr>
              <w:t>کفّارة حنث النذر کفّارة الیمین</w:t>
            </w:r>
            <w:r>
              <w:rPr>
                <w:rStyle w:val="IndexLink"/>
                <w:rtl w:val="true"/>
              </w:rPr>
              <w:t>]</w:t>
              <w:tab/>
            </w:r>
            <w:r>
              <w:rPr>
                <w:rStyle w:val="IndexLink"/>
              </w:rPr>
              <w:t>669</w:t>
            </w:r>
          </w:hyperlink>
        </w:p>
        <w:p>
          <w:pPr>
            <w:pStyle w:val="Contents3"/>
            <w:tabs>
              <w:tab w:val="clear" w:pos="8459"/>
              <w:tab w:val="right" w:pos="9026" w:leader="dot"/>
            </w:tabs>
            <w:rPr/>
          </w:pPr>
          <w:hyperlink w:anchor="__RefHeading___Toc2570470_3650668749">
            <w:r>
              <w:rPr>
                <w:webHidden/>
                <w:rStyle w:val="IndexLink"/>
                <w:rtl w:val="true"/>
              </w:rPr>
              <w:t>[</w:t>
            </w:r>
            <w:r>
              <w:rPr>
                <w:rStyle w:val="IndexLink"/>
                <w:rtl w:val="true"/>
              </w:rPr>
              <w:t>القول فی العهد</w:t>
            </w:r>
            <w:r>
              <w:rPr>
                <w:rStyle w:val="IndexLink"/>
                <w:rtl w:val="true"/>
              </w:rPr>
              <w:t>]</w:t>
              <w:tab/>
            </w:r>
            <w:r>
              <w:rPr>
                <w:rStyle w:val="IndexLink"/>
              </w:rPr>
              <w:t>669</w:t>
            </w:r>
          </w:hyperlink>
        </w:p>
        <w:p>
          <w:pPr>
            <w:pStyle w:val="Contents4"/>
            <w:tabs>
              <w:tab w:val="clear" w:pos="8176"/>
              <w:tab w:val="right" w:pos="9026" w:leader="dot"/>
            </w:tabs>
            <w:rPr/>
          </w:pPr>
          <w:hyperlink w:anchor="__RefHeading___Toc2570472_3650668749">
            <w:r>
              <w:rPr>
                <w:webHidden/>
                <w:rStyle w:val="IndexLink"/>
                <w:rtl w:val="true"/>
              </w:rPr>
              <w:t>اشارة</w:t>
            </w:r>
            <w:r>
              <w:rPr>
                <w:rStyle w:val="IndexLink"/>
                <w:rtl w:val="true"/>
              </w:rPr>
              <w:tab/>
            </w:r>
            <w:r>
              <w:rPr>
                <w:rStyle w:val="IndexLink"/>
              </w:rPr>
              <w:t>669</w:t>
            </w:r>
          </w:hyperlink>
        </w:p>
        <w:p>
          <w:pPr>
            <w:pStyle w:val="Contents4"/>
            <w:tabs>
              <w:tab w:val="clear" w:pos="8176"/>
              <w:tab w:val="right" w:pos="9026" w:leader="dot"/>
            </w:tabs>
            <w:rPr/>
          </w:pPr>
          <w:hyperlink w:anchor="__RefHeading___Toc2570474_3650668749">
            <w:r>
              <w:rPr>
                <w:webHidden/>
                <w:rStyle w:val="IndexLink"/>
                <w:rtl w:val="true"/>
              </w:rPr>
              <w:t>[ (</w:t>
            </w:r>
            <w:r>
              <w:rPr>
                <w:rStyle w:val="IndexLink"/>
                <w:rtl w:val="true"/>
              </w:rPr>
              <w:t>مسألة</w:t>
            </w:r>
            <w:r>
              <w:rPr>
                <w:rStyle w:val="IndexLink"/>
                <w:rtl w:val="true"/>
              </w:rPr>
              <w:t xml:space="preserve">): </w:t>
            </w:r>
            <w:r>
              <w:rPr>
                <w:rStyle w:val="IndexLink"/>
                <w:rtl w:val="true"/>
              </w:rPr>
              <w:t>مخالفة العهد بعد انعقاده یوجب الکفّارة</w:t>
            </w:r>
            <w:r>
              <w:rPr>
                <w:rStyle w:val="IndexLink"/>
                <w:rtl w:val="true"/>
              </w:rPr>
              <w:t>]</w:t>
              <w:tab/>
            </w:r>
            <w:r>
              <w:rPr>
                <w:rStyle w:val="IndexLink"/>
              </w:rPr>
              <w:t>670</w:t>
            </w:r>
          </w:hyperlink>
        </w:p>
        <w:p>
          <w:pPr>
            <w:pStyle w:val="Contents2"/>
            <w:tabs>
              <w:tab w:val="clear" w:pos="8743"/>
              <w:tab w:val="right" w:pos="9026" w:leader="dot"/>
            </w:tabs>
            <w:rPr/>
          </w:pPr>
          <w:hyperlink w:anchor="__RefHeading___Toc2570476_3650668749">
            <w:r>
              <w:rPr>
                <w:webHidden/>
                <w:rStyle w:val="IndexLink"/>
                <w:rtl w:val="true"/>
              </w:rPr>
              <w:t>[</w:t>
            </w:r>
            <w:r>
              <w:rPr>
                <w:rStyle w:val="IndexLink"/>
                <w:rtl w:val="true"/>
              </w:rPr>
              <w:t>کتاب الکفّارات</w:t>
            </w:r>
            <w:r>
              <w:rPr>
                <w:rStyle w:val="IndexLink"/>
                <w:rtl w:val="true"/>
              </w:rPr>
              <w:t>]</w:t>
              <w:tab/>
            </w:r>
            <w:r>
              <w:rPr>
                <w:rStyle w:val="IndexLink"/>
              </w:rPr>
              <w:t>671</w:t>
            </w:r>
          </w:hyperlink>
        </w:p>
        <w:p>
          <w:pPr>
            <w:pStyle w:val="Contents3"/>
            <w:tabs>
              <w:tab w:val="clear" w:pos="8459"/>
              <w:tab w:val="right" w:pos="9026" w:leader="dot"/>
            </w:tabs>
            <w:rPr/>
          </w:pPr>
          <w:hyperlink w:anchor="__RefHeading___Toc2570478_3650668749">
            <w:r>
              <w:rPr>
                <w:webHidden/>
                <w:rStyle w:val="IndexLink"/>
                <w:rtl w:val="true"/>
              </w:rPr>
              <w:t>اشارة</w:t>
            </w:r>
            <w:r>
              <w:rPr>
                <w:rStyle w:val="IndexLink"/>
                <w:rtl w:val="true"/>
              </w:rPr>
              <w:tab/>
            </w:r>
            <w:r>
              <w:rPr>
                <w:rStyle w:val="IndexLink"/>
              </w:rPr>
              <w:t>671</w:t>
            </w:r>
          </w:hyperlink>
        </w:p>
        <w:p>
          <w:pPr>
            <w:pStyle w:val="Contents3"/>
            <w:tabs>
              <w:tab w:val="clear" w:pos="8459"/>
              <w:tab w:val="right" w:pos="9026" w:leader="dot"/>
            </w:tabs>
            <w:rPr/>
          </w:pPr>
          <w:hyperlink w:anchor="__RefHeading___Toc2570480_3650668749">
            <w:r>
              <w:rPr>
                <w:webHidden/>
                <w:rStyle w:val="IndexLink"/>
                <w:rtl w:val="true"/>
              </w:rPr>
              <w:t>[</w:t>
            </w:r>
            <w:r>
              <w:rPr>
                <w:rStyle w:val="IndexLink"/>
                <w:rtl w:val="true"/>
              </w:rPr>
              <w:t>القول فی أقسام الکفّارات</w:t>
            </w:r>
            <w:r>
              <w:rPr>
                <w:rStyle w:val="IndexLink"/>
                <w:rtl w:val="true"/>
              </w:rPr>
              <w:t>]</w:t>
              <w:tab/>
            </w:r>
            <w:r>
              <w:rPr>
                <w:rStyle w:val="IndexLink"/>
              </w:rPr>
              <w:t>671</w:t>
            </w:r>
          </w:hyperlink>
        </w:p>
        <w:p>
          <w:pPr>
            <w:pStyle w:val="Contents4"/>
            <w:tabs>
              <w:tab w:val="clear" w:pos="8176"/>
              <w:tab w:val="right" w:pos="9026" w:leader="dot"/>
            </w:tabs>
            <w:rPr/>
          </w:pPr>
          <w:hyperlink w:anchor="__RefHeading___Toc2570482_3650668749">
            <w:r>
              <w:rPr>
                <w:webHidden/>
                <w:rStyle w:val="IndexLink"/>
                <w:rtl w:val="true"/>
              </w:rPr>
              <w:t>اشارة</w:t>
            </w:r>
            <w:r>
              <w:rPr>
                <w:rStyle w:val="IndexLink"/>
                <w:rtl w:val="true"/>
              </w:rPr>
              <w:tab/>
            </w:r>
            <w:r>
              <w:rPr>
                <w:rStyle w:val="IndexLink"/>
              </w:rPr>
              <w:t>671</w:t>
            </w:r>
          </w:hyperlink>
        </w:p>
        <w:p>
          <w:pPr>
            <w:pStyle w:val="Contents4"/>
            <w:tabs>
              <w:tab w:val="clear" w:pos="8176"/>
              <w:tab w:val="right" w:pos="9026" w:leader="dot"/>
            </w:tabs>
            <w:rPr/>
          </w:pPr>
          <w:hyperlink w:anchor="__RefHeading___Toc257048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فرق فی جزّ المرأة شعرها بین جزّ تمام شعر رأسها، و جزّ بعضه</w:t>
            </w:r>
            <w:r>
              <w:rPr>
                <w:rStyle w:val="IndexLink"/>
                <w:rtl w:val="true"/>
              </w:rPr>
              <w:t>]</w:t>
              <w:tab/>
            </w:r>
            <w:r>
              <w:rPr>
                <w:rStyle w:val="IndexLink"/>
              </w:rPr>
              <w:t>672</w:t>
            </w:r>
          </w:hyperlink>
        </w:p>
        <w:p>
          <w:pPr>
            <w:pStyle w:val="Contents4"/>
            <w:tabs>
              <w:tab w:val="clear" w:pos="8176"/>
              <w:tab w:val="right" w:pos="9026" w:leader="dot"/>
            </w:tabs>
            <w:rPr/>
          </w:pPr>
          <w:hyperlink w:anchor="__RefHeading___Toc257048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یعتبر فی خدش الوجه خدش تمامه بل یکفی مسمّاه</w:t>
            </w:r>
            <w:r>
              <w:rPr>
                <w:rStyle w:val="IndexLink"/>
                <w:rtl w:val="true"/>
              </w:rPr>
              <w:t>]</w:t>
              <w:tab/>
            </w:r>
            <w:r>
              <w:rPr>
                <w:rStyle w:val="IndexLink"/>
              </w:rPr>
              <w:t>672</w:t>
            </w:r>
          </w:hyperlink>
        </w:p>
        <w:p>
          <w:pPr>
            <w:pStyle w:val="Contents3"/>
            <w:tabs>
              <w:tab w:val="clear" w:pos="8459"/>
              <w:tab w:val="right" w:pos="9026" w:leader="dot"/>
            </w:tabs>
            <w:rPr/>
          </w:pPr>
          <w:hyperlink w:anchor="__RefHeading___Toc2570488_3650668749">
            <w:r>
              <w:rPr>
                <w:webHidden/>
                <w:rStyle w:val="IndexLink"/>
                <w:rtl w:val="true"/>
              </w:rPr>
              <w:t>[</w:t>
            </w:r>
            <w:r>
              <w:rPr>
                <w:rStyle w:val="IndexLink"/>
                <w:rtl w:val="true"/>
              </w:rPr>
              <w:t>القول فی أحکام الکفّارات</w:t>
            </w:r>
            <w:r>
              <w:rPr>
                <w:rStyle w:val="IndexLink"/>
                <w:rtl w:val="true"/>
              </w:rPr>
              <w:t>]</w:t>
              <w:tab/>
            </w:r>
            <w:r>
              <w:rPr>
                <w:rStyle w:val="IndexLink"/>
              </w:rPr>
              <w:t>672</w:t>
            </w:r>
          </w:hyperlink>
        </w:p>
        <w:p>
          <w:pPr>
            <w:pStyle w:val="Contents4"/>
            <w:tabs>
              <w:tab w:val="clear" w:pos="8176"/>
              <w:tab w:val="right" w:pos="9026" w:leader="dot"/>
            </w:tabs>
            <w:rPr/>
          </w:pPr>
          <w:hyperlink w:anchor="__RefHeading___Toc2570490_3650668749">
            <w:r>
              <w:rPr>
                <w:webHidden/>
                <w:rStyle w:val="IndexLink"/>
                <w:rtl w:val="true"/>
              </w:rPr>
              <w:t>اشارة</w:t>
            </w:r>
            <w:r>
              <w:rPr>
                <w:rStyle w:val="IndexLink"/>
                <w:rtl w:val="true"/>
              </w:rPr>
              <w:tab/>
            </w:r>
            <w:r>
              <w:rPr>
                <w:rStyle w:val="IndexLink"/>
              </w:rPr>
              <w:t>672</w:t>
            </w:r>
          </w:hyperlink>
        </w:p>
        <w:p>
          <w:pPr>
            <w:pStyle w:val="Contents4"/>
            <w:tabs>
              <w:tab w:val="clear" w:pos="8176"/>
              <w:tab w:val="right" w:pos="9026" w:leader="dot"/>
            </w:tabs>
            <w:rPr/>
          </w:pPr>
          <w:hyperlink w:anchor="__RefHeading___Toc257049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یجزی عتق الکافر فی الکفّارة مطلقاً فیشترط فیه الإسلام</w:t>
            </w:r>
            <w:r>
              <w:rPr>
                <w:rStyle w:val="IndexLink"/>
                <w:rtl w:val="true"/>
              </w:rPr>
              <w:t>]</w:t>
              <w:tab/>
            </w:r>
            <w:r>
              <w:rPr>
                <w:rStyle w:val="IndexLink"/>
              </w:rPr>
              <w:t>672</w:t>
            </w:r>
          </w:hyperlink>
        </w:p>
        <w:p>
          <w:pPr>
            <w:pStyle w:val="Contents4"/>
            <w:tabs>
              <w:tab w:val="clear" w:pos="8176"/>
              <w:tab w:val="right" w:pos="9026" w:leader="dot"/>
            </w:tabs>
            <w:rPr/>
          </w:pPr>
          <w:hyperlink w:anchor="__RefHeading___Toc257049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یعتبر فی الخصال الثلاث العتق و الصیام و الإطعام النیة المشتملة علیٰ قصد العمل</w:t>
            </w:r>
            <w:r>
              <w:rPr>
                <w:rStyle w:val="IndexLink"/>
                <w:rtl w:val="true"/>
              </w:rPr>
              <w:t>]</w:t>
              <w:tab/>
            </w:r>
            <w:r>
              <w:rPr>
                <w:rStyle w:val="IndexLink"/>
              </w:rPr>
              <w:t>673</w:t>
            </w:r>
          </w:hyperlink>
        </w:p>
        <w:p>
          <w:pPr>
            <w:pStyle w:val="Contents4"/>
            <w:tabs>
              <w:tab w:val="clear" w:pos="8176"/>
              <w:tab w:val="right" w:pos="9026" w:leader="dot"/>
            </w:tabs>
            <w:rPr/>
          </w:pPr>
          <w:hyperlink w:anchor="__RefHeading___Toc257049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یتحقّق العجز عن العتق الموجب لوجوب الصیام أو الإطعام فی الکفّارة المرتّبة</w:t>
            </w:r>
            <w:r>
              <w:rPr>
                <w:rStyle w:val="IndexLink"/>
                <w:rtl w:val="true"/>
              </w:rPr>
              <w:t>]</w:t>
              <w:tab/>
            </w:r>
            <w:r>
              <w:rPr>
                <w:rStyle w:val="IndexLink"/>
              </w:rPr>
              <w:t>673</w:t>
            </w:r>
          </w:hyperlink>
        </w:p>
        <w:p>
          <w:pPr>
            <w:pStyle w:val="Contents4"/>
            <w:tabs>
              <w:tab w:val="clear" w:pos="8176"/>
              <w:tab w:val="right" w:pos="9026" w:leader="dot"/>
            </w:tabs>
            <w:rPr/>
          </w:pPr>
          <w:hyperlink w:anchor="__RefHeading___Toc257049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لیس طروّ الحیض و النفاس موجباً للعجز عن الصیام و الانتقال إلی الإطعام</w:t>
            </w:r>
            <w:r>
              <w:rPr>
                <w:rStyle w:val="IndexLink"/>
                <w:rtl w:val="true"/>
              </w:rPr>
              <w:t>]</w:t>
              <w:tab/>
            </w:r>
            <w:r>
              <w:rPr>
                <w:rStyle w:val="IndexLink"/>
              </w:rPr>
              <w:t>674</w:t>
            </w:r>
          </w:hyperlink>
        </w:p>
        <w:p>
          <w:pPr>
            <w:pStyle w:val="Contents4"/>
            <w:tabs>
              <w:tab w:val="clear" w:pos="8176"/>
              <w:tab w:val="right" w:pos="9026" w:leader="dot"/>
            </w:tabs>
            <w:rPr/>
          </w:pPr>
          <w:hyperlink w:anchor="__RefHeading___Toc257050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المعتبر فی العجز و القدرة علیٰ حال الأداء لا حال الوجوب</w:t>
            </w:r>
            <w:r>
              <w:rPr>
                <w:rStyle w:val="IndexLink"/>
                <w:rtl w:val="true"/>
              </w:rPr>
              <w:t>]</w:t>
              <w:tab/>
            </w:r>
            <w:r>
              <w:rPr>
                <w:rStyle w:val="IndexLink"/>
              </w:rPr>
              <w:t>674</w:t>
            </w:r>
          </w:hyperlink>
        </w:p>
        <w:p>
          <w:pPr>
            <w:pStyle w:val="Contents4"/>
            <w:tabs>
              <w:tab w:val="clear" w:pos="8176"/>
              <w:tab w:val="right" w:pos="9026" w:leader="dot"/>
            </w:tabs>
            <w:rPr/>
          </w:pPr>
          <w:hyperlink w:anchor="__RefHeading___Toc257050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عجز عن العتق فی المرتّبة، فشرع فی الصوم و لو ساعة من النهار، ثمّ وجد ما یعتق</w:t>
            </w:r>
            <w:r>
              <w:rPr>
                <w:rStyle w:val="IndexLink"/>
                <w:rtl w:val="true"/>
              </w:rPr>
              <w:t>]</w:t>
              <w:tab/>
            </w:r>
            <w:r>
              <w:rPr>
                <w:rStyle w:val="IndexLink"/>
              </w:rPr>
              <w:t>674</w:t>
            </w:r>
          </w:hyperlink>
        </w:p>
        <w:p>
          <w:pPr>
            <w:pStyle w:val="Contents4"/>
            <w:tabs>
              <w:tab w:val="clear" w:pos="8176"/>
              <w:tab w:val="right" w:pos="9026" w:leader="dot"/>
            </w:tabs>
            <w:rPr/>
          </w:pPr>
          <w:hyperlink w:anchor="__RefHeading___Toc257050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یجب التتابع فی الصیام فی جمیع الکفّارات بعدم تخلّل الإفطار</w:t>
            </w:r>
            <w:r>
              <w:rPr>
                <w:rStyle w:val="IndexLink"/>
                <w:rtl w:val="true"/>
              </w:rPr>
              <w:t>]</w:t>
              <w:tab/>
            </w:r>
            <w:r>
              <w:rPr>
                <w:rStyle w:val="IndexLink"/>
              </w:rPr>
              <w:t>674</w:t>
            </w:r>
          </w:hyperlink>
        </w:p>
        <w:p>
          <w:pPr>
            <w:pStyle w:val="Contents4"/>
            <w:tabs>
              <w:tab w:val="clear" w:pos="8176"/>
              <w:tab w:val="right" w:pos="9026" w:leader="dot"/>
            </w:tabs>
            <w:rPr/>
          </w:pPr>
          <w:hyperlink w:anchor="__RefHeading___Toc257050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إنّما یضرّ بالتتابع ما إذا وقع الإفطار فی البین بالاختیار</w:t>
            </w:r>
            <w:r>
              <w:rPr>
                <w:rStyle w:val="IndexLink"/>
                <w:rtl w:val="true"/>
              </w:rPr>
              <w:t>]</w:t>
              <w:tab/>
            </w:r>
            <w:r>
              <w:rPr>
                <w:rStyle w:val="IndexLink"/>
              </w:rPr>
              <w:t>675</w:t>
            </w:r>
          </w:hyperlink>
        </w:p>
        <w:p>
          <w:pPr>
            <w:pStyle w:val="Contents4"/>
            <w:tabs>
              <w:tab w:val="clear" w:pos="8176"/>
              <w:tab w:val="right" w:pos="9026" w:leader="dot"/>
            </w:tabs>
            <w:rPr/>
          </w:pPr>
          <w:hyperlink w:anchor="__RefHeading___Toc257050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یکفی فی تتابع الشهرین فی الکفّارة مرتّبة کانت أو مخیّرة صیام شهر و یوم متتابعاً</w:t>
            </w:r>
            <w:r>
              <w:rPr>
                <w:rStyle w:val="IndexLink"/>
                <w:rtl w:val="true"/>
              </w:rPr>
              <w:t>]</w:t>
              <w:tab/>
            </w:r>
            <w:r>
              <w:rPr>
                <w:rStyle w:val="IndexLink"/>
              </w:rPr>
              <w:t>675</w:t>
            </w:r>
          </w:hyperlink>
        </w:p>
        <w:p>
          <w:pPr>
            <w:pStyle w:val="Contents4"/>
            <w:tabs>
              <w:tab w:val="clear" w:pos="8176"/>
              <w:tab w:val="right" w:pos="9026" w:leader="dot"/>
            </w:tabs>
            <w:rPr/>
          </w:pPr>
          <w:hyperlink w:anchor="__RefHeading___Toc257051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من وجب علیه صیام شهرین، فإن شرع فیه من أوّل الشهر یجزی هلالیّان</w:t>
            </w:r>
            <w:r>
              <w:rPr>
                <w:rStyle w:val="IndexLink"/>
                <w:rtl w:val="true"/>
              </w:rPr>
              <w:t>]</w:t>
              <w:tab/>
            </w:r>
            <w:r>
              <w:rPr>
                <w:rStyle w:val="IndexLink"/>
              </w:rPr>
              <w:t>675</w:t>
            </w:r>
          </w:hyperlink>
        </w:p>
        <w:p>
          <w:pPr>
            <w:pStyle w:val="Contents4"/>
            <w:tabs>
              <w:tab w:val="clear" w:pos="8176"/>
              <w:tab w:val="right" w:pos="9026" w:leader="dot"/>
            </w:tabs>
            <w:rPr/>
          </w:pPr>
          <w:hyperlink w:anchor="__RefHeading___Toc257051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یتخیّر فی الإطعام الواجب فی الکفّارات بین إشباع المساکین و التسلیم لهم</w:t>
            </w:r>
            <w:r>
              <w:rPr>
                <w:rStyle w:val="IndexLink"/>
                <w:rtl w:val="true"/>
              </w:rPr>
              <w:t>]</w:t>
              <w:tab/>
            </w:r>
            <w:r>
              <w:rPr>
                <w:rStyle w:val="IndexLink"/>
              </w:rPr>
              <w:t>676</w:t>
            </w:r>
          </w:hyperlink>
        </w:p>
        <w:p>
          <w:pPr>
            <w:pStyle w:val="Contents4"/>
            <w:tabs>
              <w:tab w:val="clear" w:pos="8176"/>
              <w:tab w:val="right" w:pos="9026" w:leader="dot"/>
            </w:tabs>
            <w:rPr/>
          </w:pPr>
          <w:hyperlink w:anchor="__RefHeading___Toc257051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الواجب فی الإشباع إشباع کلّ واحد من العدد مرّة</w:t>
            </w:r>
            <w:r>
              <w:rPr>
                <w:rStyle w:val="IndexLink"/>
                <w:rtl w:val="true"/>
              </w:rPr>
              <w:t>]</w:t>
              <w:tab/>
            </w:r>
            <w:r>
              <w:rPr>
                <w:rStyle w:val="IndexLink"/>
              </w:rPr>
              <w:t>676</w:t>
            </w:r>
          </w:hyperlink>
        </w:p>
        <w:p>
          <w:pPr>
            <w:pStyle w:val="Contents4"/>
            <w:tabs>
              <w:tab w:val="clear" w:pos="8176"/>
              <w:tab w:val="right" w:pos="9026" w:leader="dot"/>
            </w:tabs>
            <w:rPr/>
          </w:pPr>
          <w:hyperlink w:anchor="__RefHeading___Toc2570516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یجزی فی الإشباع کلّ ما یتعارف التغذّی و التقوّت به لغالب الناس</w:t>
            </w:r>
            <w:r>
              <w:rPr>
                <w:rStyle w:val="IndexLink"/>
                <w:rtl w:val="true"/>
              </w:rPr>
              <w:t>]</w:t>
              <w:tab/>
            </w:r>
            <w:r>
              <w:rPr>
                <w:rStyle w:val="IndexLink"/>
              </w:rPr>
              <w:t>676</w:t>
            </w:r>
          </w:hyperlink>
        </w:p>
        <w:p>
          <w:pPr>
            <w:pStyle w:val="Contents4"/>
            <w:tabs>
              <w:tab w:val="clear" w:pos="8176"/>
              <w:tab w:val="right" w:pos="9026" w:leader="dot"/>
            </w:tabs>
            <w:rPr/>
          </w:pPr>
          <w:hyperlink w:anchor="__RefHeading___Toc2570518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التسلیم إلی المسکین تملیک له کسائر الصدقات</w:t>
            </w:r>
            <w:r>
              <w:rPr>
                <w:rStyle w:val="IndexLink"/>
                <w:rtl w:val="true"/>
              </w:rPr>
              <w:t>]</w:t>
              <w:tab/>
            </w:r>
            <w:r>
              <w:rPr>
                <w:rStyle w:val="IndexLink"/>
              </w:rPr>
              <w:t>676</w:t>
            </w:r>
          </w:hyperlink>
        </w:p>
        <w:p>
          <w:pPr>
            <w:pStyle w:val="Contents4"/>
            <w:tabs>
              <w:tab w:val="clear" w:pos="8176"/>
              <w:tab w:val="right" w:pos="9026" w:leader="dot"/>
            </w:tabs>
            <w:rPr/>
          </w:pPr>
          <w:hyperlink w:anchor="__RefHeading___Toc2570520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یتساوی الصغیر و الکبیر إن کان التکفیر بنحو التسلیم</w:t>
            </w:r>
            <w:r>
              <w:rPr>
                <w:rStyle w:val="IndexLink"/>
                <w:rtl w:val="true"/>
              </w:rPr>
              <w:t>]</w:t>
              <w:tab/>
            </w:r>
            <w:r>
              <w:rPr>
                <w:rStyle w:val="IndexLink"/>
              </w:rPr>
              <w:t>676</w:t>
            </w:r>
          </w:hyperlink>
        </w:p>
        <w:p>
          <w:pPr>
            <w:pStyle w:val="Contents4"/>
            <w:tabs>
              <w:tab w:val="clear" w:pos="8176"/>
              <w:tab w:val="right" w:pos="9026" w:leader="dot"/>
            </w:tabs>
            <w:rPr/>
          </w:pPr>
          <w:hyperlink w:anchor="__RefHeading___Toc2570522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لا إشکال فی جواز إعطاء کلّ مسکین أزید من مدّ من کفّارات متعدّدة</w:t>
            </w:r>
            <w:r>
              <w:rPr>
                <w:rStyle w:val="IndexLink"/>
                <w:rtl w:val="true"/>
              </w:rPr>
              <w:t>]</w:t>
              <w:tab/>
            </w:r>
            <w:r>
              <w:rPr>
                <w:rStyle w:val="IndexLink"/>
              </w:rPr>
              <w:t>677</w:t>
            </w:r>
          </w:hyperlink>
        </w:p>
        <w:p>
          <w:pPr>
            <w:pStyle w:val="Contents4"/>
            <w:tabs>
              <w:tab w:val="clear" w:pos="8176"/>
              <w:tab w:val="right" w:pos="9026" w:leader="dot"/>
            </w:tabs>
            <w:rPr/>
          </w:pPr>
          <w:hyperlink w:anchor="__RefHeading___Toc2570524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لو تعذّر العدد فی البلد وجب النقل إلیٰ غیره و إن تعذّر انتظر</w:t>
            </w:r>
            <w:r>
              <w:rPr>
                <w:rStyle w:val="IndexLink"/>
                <w:rtl w:val="true"/>
              </w:rPr>
              <w:t>]</w:t>
              <w:tab/>
            </w:r>
            <w:r>
              <w:rPr>
                <w:rStyle w:val="IndexLink"/>
              </w:rPr>
              <w:t>677</w:t>
            </w:r>
          </w:hyperlink>
        </w:p>
        <w:p>
          <w:pPr>
            <w:pStyle w:val="Contents4"/>
            <w:tabs>
              <w:tab w:val="clear" w:pos="8176"/>
              <w:tab w:val="right" w:pos="9026" w:leader="dot"/>
            </w:tabs>
            <w:rPr/>
          </w:pPr>
          <w:hyperlink w:anchor="__RefHeading___Toc2570526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المراد بالمسکین الذی هو مصرف الکفّارة هو الفقیر الذی یستحقّ الزکاة</w:t>
            </w:r>
            <w:r>
              <w:rPr>
                <w:rStyle w:val="IndexLink"/>
                <w:rtl w:val="true"/>
              </w:rPr>
              <w:t>]</w:t>
              <w:tab/>
            </w:r>
            <w:r>
              <w:rPr>
                <w:rStyle w:val="IndexLink"/>
              </w:rPr>
              <w:t>677</w:t>
            </w:r>
          </w:hyperlink>
        </w:p>
        <w:p>
          <w:pPr>
            <w:pStyle w:val="Contents4"/>
            <w:tabs>
              <w:tab w:val="clear" w:pos="8176"/>
              <w:tab w:val="right" w:pos="9026" w:leader="dot"/>
            </w:tabs>
            <w:rPr/>
          </w:pPr>
          <w:hyperlink w:anchor="__RefHeading___Toc2570528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یعتبر فی الکسوة التی تخیّر بینها و بین العتق و الإطعام فی کفّارة الیمین</w:t>
            </w:r>
            <w:r>
              <w:rPr>
                <w:rStyle w:val="IndexLink"/>
                <w:rtl w:val="true"/>
              </w:rPr>
              <w:t>]</w:t>
              <w:tab/>
            </w:r>
            <w:r>
              <w:rPr>
                <w:rStyle w:val="IndexLink"/>
              </w:rPr>
              <w:t>677</w:t>
            </w:r>
          </w:hyperlink>
        </w:p>
        <w:p>
          <w:pPr>
            <w:pStyle w:val="Contents4"/>
            <w:tabs>
              <w:tab w:val="clear" w:pos="8176"/>
              <w:tab w:val="right" w:pos="9026" w:leader="dot"/>
            </w:tabs>
            <w:rPr/>
          </w:pPr>
          <w:hyperlink w:anchor="__RefHeading___Toc2570530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لا تجزی القیمة فی الکفّارة لا فی الإطعام و لا فی الکسوة</w:t>
            </w:r>
            <w:r>
              <w:rPr>
                <w:rStyle w:val="IndexLink"/>
                <w:rtl w:val="true"/>
              </w:rPr>
              <w:t>]</w:t>
              <w:tab/>
            </w:r>
            <w:r>
              <w:rPr>
                <w:rStyle w:val="IndexLink"/>
              </w:rPr>
              <w:t>678</w:t>
            </w:r>
          </w:hyperlink>
        </w:p>
        <w:p>
          <w:pPr>
            <w:pStyle w:val="Contents4"/>
            <w:tabs>
              <w:tab w:val="clear" w:pos="8176"/>
              <w:tab w:val="right" w:pos="9026" w:leader="dot"/>
            </w:tabs>
            <w:rPr/>
          </w:pPr>
          <w:hyperlink w:anchor="__RefHeading___Toc2570532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إذا وجبت علیه کفّارة مخیّرة لم یجز أن یکفّر بجنسین</w:t>
            </w:r>
            <w:r>
              <w:rPr>
                <w:rStyle w:val="IndexLink"/>
                <w:rtl w:val="true"/>
              </w:rPr>
              <w:t>]</w:t>
              <w:tab/>
            </w:r>
            <w:r>
              <w:rPr>
                <w:rStyle w:val="IndexLink"/>
              </w:rPr>
              <w:t>678</w:t>
            </w:r>
          </w:hyperlink>
        </w:p>
        <w:p>
          <w:pPr>
            <w:pStyle w:val="Contents4"/>
            <w:tabs>
              <w:tab w:val="clear" w:pos="8176"/>
              <w:tab w:val="right" w:pos="9026" w:leader="dot"/>
            </w:tabs>
            <w:rPr/>
          </w:pPr>
          <w:hyperlink w:anchor="__RefHeading___Toc2570534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لا بدل شرعاً للعتق فی الکفّارة مخیّرة کانت أو مرتّبة أو کفّارة الجمع</w:t>
            </w:r>
            <w:r>
              <w:rPr>
                <w:rStyle w:val="IndexLink"/>
                <w:rtl w:val="true"/>
              </w:rPr>
              <w:t>]</w:t>
              <w:tab/>
            </w:r>
            <w:r>
              <w:rPr>
                <w:rStyle w:val="IndexLink"/>
              </w:rPr>
              <w:t>678</w:t>
            </w:r>
          </w:hyperlink>
        </w:p>
        <w:p>
          <w:pPr>
            <w:pStyle w:val="Contents4"/>
            <w:tabs>
              <w:tab w:val="clear" w:pos="8176"/>
              <w:tab w:val="right" w:pos="9026" w:leader="dot"/>
            </w:tabs>
            <w:rPr/>
          </w:pPr>
          <w:hyperlink w:anchor="__RefHeading___Toc2570536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الظاهر أنّ وجوب الکفّارات موسّع</w:t>
            </w:r>
            <w:r>
              <w:rPr>
                <w:rStyle w:val="IndexLink"/>
                <w:rtl w:val="true"/>
              </w:rPr>
              <w:t>]</w:t>
              <w:tab/>
            </w:r>
            <w:r>
              <w:rPr>
                <w:rStyle w:val="IndexLink"/>
              </w:rPr>
              <w:t>679</w:t>
            </w:r>
          </w:hyperlink>
        </w:p>
        <w:p>
          <w:pPr>
            <w:pStyle w:val="Contents4"/>
            <w:tabs>
              <w:tab w:val="clear" w:pos="8176"/>
              <w:tab w:val="right" w:pos="9026" w:leader="dot"/>
            </w:tabs>
            <w:rPr/>
          </w:pPr>
          <w:hyperlink w:anchor="__RefHeading___Toc2570538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یجوز التوکیل فی إخراج الکفّارات المالیّة و أدائها</w:t>
            </w:r>
            <w:r>
              <w:rPr>
                <w:rStyle w:val="IndexLink"/>
                <w:rtl w:val="true"/>
              </w:rPr>
              <w:t>]</w:t>
              <w:tab/>
            </w:r>
            <w:r>
              <w:rPr>
                <w:rStyle w:val="IndexLink"/>
              </w:rPr>
              <w:t>679</w:t>
            </w:r>
          </w:hyperlink>
        </w:p>
        <w:p>
          <w:pPr>
            <w:pStyle w:val="Contents4"/>
            <w:tabs>
              <w:tab w:val="clear" w:pos="8176"/>
              <w:tab w:val="right" w:pos="9026" w:leader="dot"/>
            </w:tabs>
            <w:rPr/>
          </w:pPr>
          <w:hyperlink w:anchor="__RefHeading___Toc2570540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الکفّارات المالیّة بحکم الدیون</w:t>
            </w:r>
            <w:r>
              <w:rPr>
                <w:rStyle w:val="IndexLink"/>
                <w:rtl w:val="true"/>
              </w:rPr>
              <w:t>]</w:t>
              <w:tab/>
            </w:r>
            <w:r>
              <w:rPr>
                <w:rStyle w:val="IndexLink"/>
              </w:rPr>
              <w:t>679</w:t>
            </w:r>
          </w:hyperlink>
        </w:p>
        <w:p>
          <w:pPr>
            <w:pStyle w:val="Contents2"/>
            <w:tabs>
              <w:tab w:val="clear" w:pos="8743"/>
              <w:tab w:val="right" w:pos="9026" w:leader="dot"/>
            </w:tabs>
            <w:rPr/>
          </w:pPr>
          <w:hyperlink w:anchor="__RefHeading___Toc2570542_3650668749">
            <w:r>
              <w:rPr>
                <w:webHidden/>
                <w:rStyle w:val="IndexLink"/>
                <w:rtl w:val="true"/>
              </w:rPr>
              <w:t>[</w:t>
            </w:r>
            <w:r>
              <w:rPr>
                <w:rStyle w:val="IndexLink"/>
                <w:rtl w:val="true"/>
              </w:rPr>
              <w:t>کتاب الصید و الذباحة</w:t>
            </w:r>
            <w:r>
              <w:rPr>
                <w:rStyle w:val="IndexLink"/>
                <w:rtl w:val="true"/>
              </w:rPr>
              <w:t>]</w:t>
              <w:tab/>
            </w:r>
            <w:r>
              <w:rPr>
                <w:rStyle w:val="IndexLink"/>
              </w:rPr>
              <w:t>680</w:t>
            </w:r>
          </w:hyperlink>
        </w:p>
        <w:p>
          <w:pPr>
            <w:pStyle w:val="Contents3"/>
            <w:tabs>
              <w:tab w:val="clear" w:pos="8459"/>
              <w:tab w:val="right" w:pos="9026" w:leader="dot"/>
            </w:tabs>
            <w:rPr/>
          </w:pPr>
          <w:hyperlink w:anchor="__RefHeading___Toc2570544_3650668749">
            <w:r>
              <w:rPr>
                <w:webHidden/>
                <w:rStyle w:val="IndexLink"/>
                <w:rtl w:val="true"/>
              </w:rPr>
              <w:t>اشارة</w:t>
            </w:r>
            <w:r>
              <w:rPr>
                <w:rStyle w:val="IndexLink"/>
                <w:rtl w:val="true"/>
              </w:rPr>
              <w:tab/>
            </w:r>
            <w:r>
              <w:rPr>
                <w:rStyle w:val="IndexLink"/>
              </w:rPr>
              <w:t>680</w:t>
            </w:r>
          </w:hyperlink>
        </w:p>
        <w:p>
          <w:pPr>
            <w:pStyle w:val="Contents3"/>
            <w:tabs>
              <w:tab w:val="clear" w:pos="8459"/>
              <w:tab w:val="right" w:pos="9026" w:leader="dot"/>
            </w:tabs>
            <w:rPr/>
          </w:pPr>
          <w:hyperlink w:anchor="__RefHeading___Toc2570546_3650668749">
            <w:r>
              <w:rPr>
                <w:webHidden/>
                <w:rStyle w:val="IndexLink"/>
                <w:rtl w:val="true"/>
              </w:rPr>
              <w:t>[</w:t>
            </w:r>
            <w:r>
              <w:rPr>
                <w:rStyle w:val="IndexLink"/>
                <w:rtl w:val="true"/>
              </w:rPr>
              <w:t>القول فی الصید</w:t>
            </w:r>
            <w:r>
              <w:rPr>
                <w:rStyle w:val="IndexLink"/>
                <w:rtl w:val="true"/>
              </w:rPr>
              <w:t>]</w:t>
              <w:tab/>
            </w:r>
            <w:r>
              <w:rPr>
                <w:rStyle w:val="IndexLink"/>
              </w:rPr>
              <w:t>680</w:t>
            </w:r>
          </w:hyperlink>
        </w:p>
        <w:p>
          <w:pPr>
            <w:pStyle w:val="Contents4"/>
            <w:tabs>
              <w:tab w:val="clear" w:pos="8176"/>
              <w:tab w:val="right" w:pos="9026" w:leader="dot"/>
            </w:tabs>
            <w:rPr/>
          </w:pPr>
          <w:hyperlink w:anchor="__RefHeading___Toc2570548_3650668749">
            <w:r>
              <w:rPr>
                <w:webHidden/>
                <w:rStyle w:val="IndexLink"/>
                <w:rtl w:val="true"/>
              </w:rPr>
              <w:t>اشارة</w:t>
            </w:r>
            <w:r>
              <w:rPr>
                <w:rStyle w:val="IndexLink"/>
                <w:rtl w:val="true"/>
              </w:rPr>
              <w:tab/>
            </w:r>
            <w:r>
              <w:rPr>
                <w:rStyle w:val="IndexLink"/>
              </w:rPr>
              <w:t>680</w:t>
            </w:r>
          </w:hyperlink>
        </w:p>
        <w:p>
          <w:pPr>
            <w:pStyle w:val="Contents4"/>
            <w:tabs>
              <w:tab w:val="clear" w:pos="8176"/>
              <w:tab w:val="right" w:pos="9026" w:leader="dot"/>
            </w:tabs>
            <w:rPr/>
          </w:pPr>
          <w:hyperlink w:anchor="__RefHeading___Toc257055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یحلّ من صید الحیوان و مقتوله إلّا ما کان بالکلب المعلّم</w:t>
            </w:r>
            <w:r>
              <w:rPr>
                <w:rStyle w:val="IndexLink"/>
                <w:rtl w:val="true"/>
              </w:rPr>
              <w:t>]</w:t>
              <w:tab/>
            </w:r>
            <w:r>
              <w:rPr>
                <w:rStyle w:val="IndexLink"/>
              </w:rPr>
              <w:t>680</w:t>
            </w:r>
          </w:hyperlink>
        </w:p>
        <w:p>
          <w:pPr>
            <w:pStyle w:val="Contents4"/>
            <w:tabs>
              <w:tab w:val="clear" w:pos="8176"/>
              <w:tab w:val="right" w:pos="9026" w:leader="dot"/>
            </w:tabs>
            <w:rPr/>
          </w:pPr>
          <w:hyperlink w:anchor="__RefHeading___Toc257055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یعتبر فی حلّیّة صید الکلب أن یکون معلّماً للاصطیاد</w:t>
            </w:r>
            <w:r>
              <w:rPr>
                <w:rStyle w:val="IndexLink"/>
                <w:rtl w:val="true"/>
              </w:rPr>
              <w:t>]</w:t>
              <w:tab/>
            </w:r>
            <w:r>
              <w:rPr>
                <w:rStyle w:val="IndexLink"/>
              </w:rPr>
              <w:t>680</w:t>
            </w:r>
          </w:hyperlink>
        </w:p>
        <w:p>
          <w:pPr>
            <w:pStyle w:val="Contents4"/>
            <w:tabs>
              <w:tab w:val="clear" w:pos="8176"/>
              <w:tab w:val="right" w:pos="9026" w:leader="dot"/>
            </w:tabs>
            <w:rPr/>
          </w:pPr>
          <w:hyperlink w:anchor="__RefHeading___Toc257055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یشترط فی حلّیّة صید الکلب أُمور</w:t>
            </w:r>
            <w:r>
              <w:rPr>
                <w:rStyle w:val="IndexLink"/>
                <w:rtl w:val="true"/>
              </w:rPr>
              <w:t>]</w:t>
              <w:tab/>
            </w:r>
            <w:r>
              <w:rPr>
                <w:rStyle w:val="IndexLink"/>
              </w:rPr>
              <w:t>680</w:t>
            </w:r>
          </w:hyperlink>
        </w:p>
        <w:p>
          <w:pPr>
            <w:pStyle w:val="Contents5"/>
            <w:tabs>
              <w:tab w:val="clear" w:pos="7892"/>
              <w:tab w:val="right" w:pos="9026" w:leader="dot"/>
            </w:tabs>
            <w:rPr/>
          </w:pPr>
          <w:hyperlink w:anchor="__RefHeading___Toc2570556_3650668749">
            <w:r>
              <w:rPr>
                <w:webHidden/>
                <w:rStyle w:val="IndexLink"/>
                <w:rtl w:val="true"/>
              </w:rPr>
              <w:t>اشارة</w:t>
            </w:r>
            <w:r>
              <w:rPr>
                <w:rStyle w:val="IndexLink"/>
                <w:rtl w:val="true"/>
              </w:rPr>
              <w:tab/>
            </w:r>
            <w:r>
              <w:rPr>
                <w:rStyle w:val="IndexLink"/>
              </w:rPr>
              <w:t>680</w:t>
            </w:r>
          </w:hyperlink>
        </w:p>
        <w:p>
          <w:pPr>
            <w:pStyle w:val="Contents5"/>
            <w:tabs>
              <w:tab w:val="clear" w:pos="7892"/>
              <w:tab w:val="right" w:pos="9026" w:leader="dot"/>
            </w:tabs>
            <w:rPr/>
          </w:pPr>
          <w:hyperlink w:anchor="__RefHeading___Toc2570558_3650668749">
            <w:r>
              <w:rPr>
                <w:webHidden/>
                <w:rStyle w:val="IndexLink"/>
                <w:rtl w:val="true"/>
              </w:rPr>
              <w:t>[</w:t>
            </w:r>
            <w:r>
              <w:rPr>
                <w:rStyle w:val="IndexLink"/>
                <w:rtl w:val="true"/>
              </w:rPr>
              <w:t>الأوّل</w:t>
            </w:r>
            <w:r>
              <w:rPr>
                <w:rStyle w:val="IndexLink"/>
                <w:rtl w:val="true"/>
              </w:rPr>
              <w:t xml:space="preserve">: </w:t>
            </w:r>
            <w:r>
              <w:rPr>
                <w:rStyle w:val="IndexLink"/>
                <w:rtl w:val="true"/>
              </w:rPr>
              <w:t>أن یکون ذلک بإرساله للاصطیاد</w:t>
            </w:r>
            <w:r>
              <w:rPr>
                <w:rStyle w:val="IndexLink"/>
                <w:rtl w:val="true"/>
              </w:rPr>
              <w:t>]</w:t>
              <w:tab/>
            </w:r>
            <w:r>
              <w:rPr>
                <w:rStyle w:val="IndexLink"/>
              </w:rPr>
              <w:t>680</w:t>
            </w:r>
          </w:hyperlink>
        </w:p>
        <w:p>
          <w:pPr>
            <w:pStyle w:val="Contents5"/>
            <w:tabs>
              <w:tab w:val="clear" w:pos="7892"/>
              <w:tab w:val="right" w:pos="9026" w:leader="dot"/>
            </w:tabs>
            <w:rPr/>
          </w:pPr>
          <w:hyperlink w:anchor="__RefHeading___Toc2570560_3650668749">
            <w:r>
              <w:rPr>
                <w:webHidden/>
                <w:rStyle w:val="IndexLink"/>
                <w:rtl w:val="true"/>
              </w:rPr>
              <w:t>[</w:t>
            </w:r>
            <w:r>
              <w:rPr>
                <w:rStyle w:val="IndexLink"/>
                <w:rtl w:val="true"/>
              </w:rPr>
              <w:t>الثانی</w:t>
            </w:r>
            <w:r>
              <w:rPr>
                <w:rStyle w:val="IndexLink"/>
                <w:rtl w:val="true"/>
              </w:rPr>
              <w:t xml:space="preserve">: </w:t>
            </w:r>
            <w:r>
              <w:rPr>
                <w:rStyle w:val="IndexLink"/>
                <w:rtl w:val="true"/>
              </w:rPr>
              <w:t>أن یکون المرسل مسلماً أو بحکمه کالصبیّ الملحق به</w:t>
            </w:r>
            <w:r>
              <w:rPr>
                <w:rStyle w:val="IndexLink"/>
                <w:rtl w:val="true"/>
              </w:rPr>
              <w:t>]</w:t>
              <w:tab/>
            </w:r>
            <w:r>
              <w:rPr>
                <w:rStyle w:val="IndexLink"/>
              </w:rPr>
              <w:t>681</w:t>
            </w:r>
          </w:hyperlink>
        </w:p>
        <w:p>
          <w:pPr>
            <w:pStyle w:val="Contents5"/>
            <w:tabs>
              <w:tab w:val="clear" w:pos="7892"/>
              <w:tab w:val="right" w:pos="9026" w:leader="dot"/>
            </w:tabs>
            <w:rPr/>
          </w:pPr>
          <w:hyperlink w:anchor="__RefHeading___Toc2570562_3650668749">
            <w:r>
              <w:rPr>
                <w:webHidden/>
                <w:rStyle w:val="IndexLink"/>
                <w:rtl w:val="true"/>
              </w:rPr>
              <w:t>[</w:t>
            </w:r>
            <w:r>
              <w:rPr>
                <w:rStyle w:val="IndexLink"/>
                <w:rtl w:val="true"/>
              </w:rPr>
              <w:t>الثالث</w:t>
            </w:r>
            <w:r>
              <w:rPr>
                <w:rStyle w:val="IndexLink"/>
                <w:rtl w:val="true"/>
              </w:rPr>
              <w:t xml:space="preserve">: </w:t>
            </w:r>
            <w:r>
              <w:rPr>
                <w:rStyle w:val="IndexLink"/>
                <w:rtl w:val="true"/>
              </w:rPr>
              <w:t>أن یسمّی؛ بأن یذکر اسم اللّٰه عند إرساله</w:t>
            </w:r>
            <w:r>
              <w:rPr>
                <w:rStyle w:val="IndexLink"/>
                <w:rtl w:val="true"/>
              </w:rPr>
              <w:t>]</w:t>
              <w:tab/>
            </w:r>
            <w:r>
              <w:rPr>
                <w:rStyle w:val="IndexLink"/>
              </w:rPr>
              <w:t>681</w:t>
            </w:r>
          </w:hyperlink>
        </w:p>
        <w:p>
          <w:pPr>
            <w:pStyle w:val="Contents5"/>
            <w:tabs>
              <w:tab w:val="clear" w:pos="7892"/>
              <w:tab w:val="right" w:pos="9026" w:leader="dot"/>
            </w:tabs>
            <w:rPr/>
          </w:pPr>
          <w:hyperlink w:anchor="__RefHeading___Toc2570564_3650668749">
            <w:r>
              <w:rPr>
                <w:webHidden/>
                <w:rStyle w:val="IndexLink"/>
                <w:rtl w:val="true"/>
              </w:rPr>
              <w:t>[</w:t>
            </w:r>
            <w:r>
              <w:rPr>
                <w:rStyle w:val="IndexLink"/>
                <w:rtl w:val="true"/>
              </w:rPr>
              <w:t>الرابع</w:t>
            </w:r>
            <w:r>
              <w:rPr>
                <w:rStyle w:val="IndexLink"/>
                <w:rtl w:val="true"/>
              </w:rPr>
              <w:t xml:space="preserve">: </w:t>
            </w:r>
            <w:r>
              <w:rPr>
                <w:rStyle w:val="IndexLink"/>
                <w:rtl w:val="true"/>
              </w:rPr>
              <w:t>أن یکون موت الحیوان مستنداً إلیٰ جرحه و عقره</w:t>
            </w:r>
            <w:r>
              <w:rPr>
                <w:rStyle w:val="IndexLink"/>
                <w:rtl w:val="true"/>
              </w:rPr>
              <w:t>]</w:t>
              <w:tab/>
            </w:r>
            <w:r>
              <w:rPr>
                <w:rStyle w:val="IndexLink"/>
              </w:rPr>
              <w:t>681</w:t>
            </w:r>
          </w:hyperlink>
        </w:p>
        <w:p>
          <w:pPr>
            <w:pStyle w:val="Contents5"/>
            <w:tabs>
              <w:tab w:val="clear" w:pos="7892"/>
              <w:tab w:val="right" w:pos="9026" w:leader="dot"/>
            </w:tabs>
            <w:rPr/>
          </w:pPr>
          <w:hyperlink w:anchor="__RefHeading___Toc2570566_3650668749">
            <w:r>
              <w:rPr>
                <w:webHidden/>
                <w:rStyle w:val="IndexLink"/>
                <w:rtl w:val="true"/>
              </w:rPr>
              <w:t>[</w:t>
            </w:r>
            <w:r>
              <w:rPr>
                <w:rStyle w:val="IndexLink"/>
                <w:rtl w:val="true"/>
              </w:rPr>
              <w:t>الخامس</w:t>
            </w:r>
            <w:r>
              <w:rPr>
                <w:rStyle w:val="IndexLink"/>
                <w:rtl w:val="true"/>
              </w:rPr>
              <w:t xml:space="preserve">: </w:t>
            </w:r>
            <w:r>
              <w:rPr>
                <w:rStyle w:val="IndexLink"/>
                <w:rtl w:val="true"/>
              </w:rPr>
              <w:t>عدم إدراک صاحب الکلب الصید حیّاً مع تمکّنه من تذکیته</w:t>
            </w:r>
            <w:r>
              <w:rPr>
                <w:rStyle w:val="IndexLink"/>
                <w:rtl w:val="true"/>
              </w:rPr>
              <w:t>]</w:t>
              <w:tab/>
            </w:r>
            <w:r>
              <w:rPr>
                <w:rStyle w:val="IndexLink"/>
              </w:rPr>
              <w:t>681</w:t>
            </w:r>
          </w:hyperlink>
        </w:p>
        <w:p>
          <w:pPr>
            <w:pStyle w:val="Contents4"/>
            <w:tabs>
              <w:tab w:val="clear" w:pos="8176"/>
              <w:tab w:val="right" w:pos="9026" w:leader="dot"/>
            </w:tabs>
            <w:rPr/>
          </w:pPr>
          <w:hyperlink w:anchor="__RefHeading___Toc257056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هل یجب علیٰ من أرسل الکلب المسارعة و المبادرة إلی الصید</w:t>
            </w:r>
            <w:r>
              <w:rPr>
                <w:rStyle w:val="IndexLink"/>
                <w:rtl w:val="true"/>
              </w:rPr>
              <w:t>]</w:t>
              <w:tab/>
            </w:r>
            <w:r>
              <w:rPr>
                <w:rStyle w:val="IndexLink"/>
              </w:rPr>
              <w:t>682</w:t>
            </w:r>
          </w:hyperlink>
        </w:p>
        <w:p>
          <w:pPr>
            <w:pStyle w:val="Contents4"/>
            <w:tabs>
              <w:tab w:val="clear" w:pos="8176"/>
              <w:tab w:val="right" w:pos="9026" w:leader="dot"/>
            </w:tabs>
            <w:rPr/>
          </w:pPr>
          <w:hyperlink w:anchor="__RefHeading___Toc257057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یعتبر فی حلّیّة الصید وحدة المرسل و لا وحدة الکلب</w:t>
            </w:r>
            <w:r>
              <w:rPr>
                <w:rStyle w:val="IndexLink"/>
                <w:rtl w:val="true"/>
              </w:rPr>
              <w:t>]</w:t>
              <w:tab/>
            </w:r>
            <w:r>
              <w:rPr>
                <w:rStyle w:val="IndexLink"/>
              </w:rPr>
              <w:t>682</w:t>
            </w:r>
          </w:hyperlink>
        </w:p>
        <w:p>
          <w:pPr>
            <w:pStyle w:val="Contents4"/>
            <w:tabs>
              <w:tab w:val="clear" w:pos="8176"/>
              <w:tab w:val="right" w:pos="9026" w:leader="dot"/>
            </w:tabs>
            <w:rPr/>
          </w:pPr>
          <w:hyperlink w:anchor="__RefHeading___Toc257057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لا یؤکل من الصید المقتول بالآلة الجمادیّة إلّا ما قتله السیف و السکّین و الخنجر و نحوها</w:t>
            </w:r>
            <w:r>
              <w:rPr>
                <w:rStyle w:val="IndexLink"/>
                <w:rtl w:val="true"/>
              </w:rPr>
              <w:t>]</w:t>
              <w:tab/>
            </w:r>
            <w:r>
              <w:rPr>
                <w:rStyle w:val="IndexLink"/>
              </w:rPr>
              <w:t>682</w:t>
            </w:r>
          </w:hyperlink>
        </w:p>
        <w:p>
          <w:pPr>
            <w:pStyle w:val="Contents4"/>
            <w:tabs>
              <w:tab w:val="clear" w:pos="8176"/>
              <w:tab w:val="right" w:pos="9026" w:leader="dot"/>
            </w:tabs>
            <w:rPr/>
          </w:pPr>
          <w:hyperlink w:anchor="__RefHeading___Toc257057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کلّ آلة جمادیّة لم تکن ذات حدید محدّدة و لا محدّدة غیر حدیدیّة</w:t>
            </w:r>
            <w:r>
              <w:rPr>
                <w:rStyle w:val="IndexLink"/>
                <w:rtl w:val="true"/>
              </w:rPr>
              <w:t>]</w:t>
              <w:tab/>
            </w:r>
            <w:r>
              <w:rPr>
                <w:rStyle w:val="IndexLink"/>
              </w:rPr>
              <w:t>683</w:t>
            </w:r>
          </w:hyperlink>
        </w:p>
        <w:p>
          <w:pPr>
            <w:pStyle w:val="Contents4"/>
            <w:tabs>
              <w:tab w:val="clear" w:pos="8176"/>
              <w:tab w:val="right" w:pos="9026" w:leader="dot"/>
            </w:tabs>
            <w:rPr/>
          </w:pPr>
          <w:hyperlink w:anchor="__RefHeading___Toc257057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لا یبعد حلّیّة ما قتل بالآلة المعروفة المسمّاة بالتفنک</w:t>
            </w:r>
            <w:r>
              <w:rPr>
                <w:rStyle w:val="IndexLink"/>
                <w:rtl w:val="true"/>
              </w:rPr>
              <w:t>]</w:t>
              <w:tab/>
            </w:r>
            <w:r>
              <w:rPr>
                <w:rStyle w:val="IndexLink"/>
              </w:rPr>
              <w:t>683</w:t>
            </w:r>
          </w:hyperlink>
        </w:p>
        <w:p>
          <w:pPr>
            <w:pStyle w:val="Contents4"/>
            <w:tabs>
              <w:tab w:val="clear" w:pos="8176"/>
              <w:tab w:val="right" w:pos="9026" w:leader="dot"/>
            </w:tabs>
            <w:rPr/>
          </w:pPr>
          <w:hyperlink w:anchor="__RefHeading___Toc257057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لا یعتبر فی حلّیّة الصید بالآلة الجمادیّة وحدة الصائد</w:t>
            </w:r>
            <w:r>
              <w:rPr>
                <w:rStyle w:val="IndexLink"/>
                <w:rtl w:val="true"/>
              </w:rPr>
              <w:t>]</w:t>
              <w:tab/>
            </w:r>
            <w:r>
              <w:rPr>
                <w:rStyle w:val="IndexLink"/>
              </w:rPr>
              <w:t>683</w:t>
            </w:r>
          </w:hyperlink>
        </w:p>
        <w:p>
          <w:pPr>
            <w:pStyle w:val="Contents4"/>
            <w:tabs>
              <w:tab w:val="clear" w:pos="8176"/>
              <w:tab w:val="right" w:pos="9026" w:leader="dot"/>
            </w:tabs>
            <w:rPr/>
          </w:pPr>
          <w:hyperlink w:anchor="__RefHeading___Toc257058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یشترط فی الصید بالآلة الجمادیّة جمیع ما اشترط فی الصید</w:t>
            </w:r>
            <w:r>
              <w:rPr>
                <w:rStyle w:val="IndexLink"/>
                <w:rtl w:val="true"/>
              </w:rPr>
              <w:t>]</w:t>
              <w:tab/>
            </w:r>
            <w:r>
              <w:rPr>
                <w:rStyle w:val="IndexLink"/>
              </w:rPr>
              <w:t>684</w:t>
            </w:r>
          </w:hyperlink>
        </w:p>
        <w:p>
          <w:pPr>
            <w:pStyle w:val="Contents4"/>
            <w:tabs>
              <w:tab w:val="clear" w:pos="8176"/>
              <w:tab w:val="right" w:pos="9026" w:leader="dot"/>
            </w:tabs>
            <w:rPr/>
          </w:pPr>
          <w:hyperlink w:anchor="__RefHeading___Toc257058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لا یشترط فی حلّیّة الصید إباحة الآلة</w:t>
            </w:r>
            <w:r>
              <w:rPr>
                <w:rStyle w:val="IndexLink"/>
                <w:rtl w:val="true"/>
              </w:rPr>
              <w:t>]</w:t>
              <w:tab/>
            </w:r>
            <w:r>
              <w:rPr>
                <w:rStyle w:val="IndexLink"/>
              </w:rPr>
              <w:t>684</w:t>
            </w:r>
          </w:hyperlink>
        </w:p>
        <w:p>
          <w:pPr>
            <w:pStyle w:val="Contents4"/>
            <w:tabs>
              <w:tab w:val="clear" w:pos="8176"/>
              <w:tab w:val="right" w:pos="9026" w:leader="dot"/>
            </w:tabs>
            <w:rPr/>
          </w:pPr>
          <w:hyperlink w:anchor="__RefHeading___Toc257058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الحیوان الذی یحلّ مقتوله بالکلب و الآلة مع اجتماع الشرائط</w:t>
            </w:r>
            <w:r>
              <w:rPr>
                <w:rStyle w:val="IndexLink"/>
                <w:rtl w:val="true"/>
              </w:rPr>
              <w:t>]</w:t>
              <w:tab/>
            </w:r>
            <w:r>
              <w:rPr>
                <w:rStyle w:val="IndexLink"/>
              </w:rPr>
              <w:t>684</w:t>
            </w:r>
          </w:hyperlink>
        </w:p>
        <w:p>
          <w:pPr>
            <w:pStyle w:val="Contents4"/>
            <w:tabs>
              <w:tab w:val="clear" w:pos="8176"/>
              <w:tab w:val="right" w:pos="9026" w:leader="dot"/>
            </w:tabs>
            <w:rPr/>
          </w:pPr>
          <w:hyperlink w:anchor="__RefHeading___Toc2570586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الظاهر أنّه کما تقع التذکیة الصیدیّة علی الحیوان المأکول اللحم فیحلّ بها أکل لحمه</w:t>
            </w:r>
            <w:r>
              <w:rPr>
                <w:rStyle w:val="IndexLink"/>
                <w:rtl w:val="true"/>
              </w:rPr>
              <w:t>]</w:t>
              <w:tab/>
            </w:r>
            <w:r>
              <w:rPr>
                <w:rStyle w:val="IndexLink"/>
              </w:rPr>
              <w:t>684</w:t>
            </w:r>
          </w:hyperlink>
        </w:p>
        <w:p>
          <w:pPr>
            <w:pStyle w:val="Contents4"/>
            <w:tabs>
              <w:tab w:val="clear" w:pos="8176"/>
              <w:tab w:val="right" w:pos="9026" w:leader="dot"/>
            </w:tabs>
            <w:rPr/>
          </w:pPr>
          <w:hyperlink w:anchor="__RefHeading___Toc2570588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لو قطعت الآلة قطعة من الحیوان، فإن کانت الآلة غیر محلّلة کالشبکة و الحبالة</w:t>
            </w:r>
            <w:r>
              <w:rPr>
                <w:rStyle w:val="IndexLink"/>
                <w:rtl w:val="true"/>
              </w:rPr>
              <w:t>]</w:t>
              <w:tab/>
            </w:r>
            <w:r>
              <w:rPr>
                <w:rStyle w:val="IndexLink"/>
              </w:rPr>
              <w:t>685</w:t>
            </w:r>
          </w:hyperlink>
        </w:p>
        <w:p>
          <w:pPr>
            <w:pStyle w:val="Contents4"/>
            <w:tabs>
              <w:tab w:val="clear" w:pos="8176"/>
              <w:tab w:val="right" w:pos="9026" w:leader="dot"/>
            </w:tabs>
            <w:rPr/>
          </w:pPr>
          <w:hyperlink w:anchor="__RefHeading___Toc2570590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یملک الحیوان الوحشی وحشاً کان أو طیراً بأحد أُمور ثلاثة</w:t>
            </w:r>
            <w:r>
              <w:rPr>
                <w:rStyle w:val="IndexLink"/>
                <w:rtl w:val="true"/>
              </w:rPr>
              <w:t>]</w:t>
              <w:tab/>
            </w:r>
            <w:r>
              <w:rPr>
                <w:rStyle w:val="IndexLink"/>
              </w:rPr>
              <w:t>685</w:t>
            </w:r>
          </w:hyperlink>
        </w:p>
        <w:p>
          <w:pPr>
            <w:pStyle w:val="Contents4"/>
            <w:tabs>
              <w:tab w:val="clear" w:pos="8176"/>
              <w:tab w:val="right" w:pos="9026" w:leader="dot"/>
            </w:tabs>
            <w:rPr/>
          </w:pPr>
          <w:hyperlink w:anchor="__RefHeading___Toc2570592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الظاهر أنّه یلحق بآلة الاصطیاد کلّ ما جعل وسیلة لإثبات الحیوان و زوال امتناعه</w:t>
            </w:r>
            <w:r>
              <w:rPr>
                <w:rStyle w:val="IndexLink"/>
                <w:rtl w:val="true"/>
              </w:rPr>
              <w:t>]</w:t>
              <w:tab/>
            </w:r>
            <w:r>
              <w:rPr>
                <w:rStyle w:val="IndexLink"/>
              </w:rPr>
              <w:t>685</w:t>
            </w:r>
          </w:hyperlink>
        </w:p>
        <w:p>
          <w:pPr>
            <w:pStyle w:val="Contents4"/>
            <w:tabs>
              <w:tab w:val="clear" w:pos="8176"/>
              <w:tab w:val="right" w:pos="9026" w:leader="dot"/>
            </w:tabs>
            <w:rPr/>
          </w:pPr>
          <w:hyperlink w:anchor="__RefHeading___Toc2570594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لو سعیٰ خلف حیوان حتّی أعیاه و وقف عن العدو لم یملکه ما لم یأخذه</w:t>
            </w:r>
            <w:r>
              <w:rPr>
                <w:rStyle w:val="IndexLink"/>
                <w:rtl w:val="true"/>
              </w:rPr>
              <w:t>]</w:t>
              <w:tab/>
            </w:r>
            <w:r>
              <w:rPr>
                <w:rStyle w:val="IndexLink"/>
              </w:rPr>
              <w:t>686</w:t>
            </w:r>
          </w:hyperlink>
        </w:p>
        <w:p>
          <w:pPr>
            <w:pStyle w:val="Contents4"/>
            <w:tabs>
              <w:tab w:val="clear" w:pos="8176"/>
              <w:tab w:val="right" w:pos="9026" w:leader="dot"/>
            </w:tabs>
            <w:rPr/>
          </w:pPr>
          <w:hyperlink w:anchor="__RefHeading___Toc2570596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لو وقع حیوان فی شبکة منصوبة للاصطیاد، و لم تمسکه الشبکة لضعفها و قوّته فانفلت منها</w:t>
            </w:r>
            <w:r>
              <w:rPr>
                <w:rStyle w:val="IndexLink"/>
                <w:rtl w:val="true"/>
              </w:rPr>
              <w:t>]</w:t>
              <w:tab/>
            </w:r>
            <w:r>
              <w:rPr>
                <w:rStyle w:val="IndexLink"/>
              </w:rPr>
              <w:t>686</w:t>
            </w:r>
          </w:hyperlink>
        </w:p>
        <w:p>
          <w:pPr>
            <w:pStyle w:val="Contents4"/>
            <w:tabs>
              <w:tab w:val="clear" w:pos="8176"/>
              <w:tab w:val="right" w:pos="9026" w:leader="dot"/>
            </w:tabs>
            <w:rPr/>
          </w:pPr>
          <w:hyperlink w:anchor="__RefHeading___Toc2570598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لو رماه فجرحه لکن لم یخرجه عن الامتناع فدخل داراً فأخذه صاحب الدار ملکه بأخذه</w:t>
            </w:r>
            <w:r>
              <w:rPr>
                <w:rStyle w:val="IndexLink"/>
                <w:rtl w:val="true"/>
              </w:rPr>
              <w:t>]</w:t>
              <w:tab/>
            </w:r>
            <w:r>
              <w:rPr>
                <w:rStyle w:val="IndexLink"/>
              </w:rPr>
              <w:t>686</w:t>
            </w:r>
          </w:hyperlink>
        </w:p>
        <w:p>
          <w:pPr>
            <w:pStyle w:val="Contents4"/>
            <w:tabs>
              <w:tab w:val="clear" w:pos="8176"/>
              <w:tab w:val="right" w:pos="9026" w:leader="dot"/>
            </w:tabs>
            <w:rPr/>
          </w:pPr>
          <w:hyperlink w:anchor="__RefHeading___Toc2570600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لو أطلق الصائد صیده من یده، فإن لم یقصد الإعراض عنه لم یخرج عن ملکه و لا یملکه غیره باصطیاده</w:t>
            </w:r>
            <w:r>
              <w:rPr>
                <w:rStyle w:val="IndexLink"/>
                <w:rtl w:val="true"/>
              </w:rPr>
              <w:t>]</w:t>
              <w:tab/>
            </w:r>
            <w:r>
              <w:rPr>
                <w:rStyle w:val="IndexLink"/>
              </w:rPr>
              <w:t>686</w:t>
            </w:r>
          </w:hyperlink>
        </w:p>
        <w:p>
          <w:pPr>
            <w:pStyle w:val="Contents4"/>
            <w:tabs>
              <w:tab w:val="clear" w:pos="8176"/>
              <w:tab w:val="right" w:pos="9026" w:leader="dot"/>
            </w:tabs>
            <w:rPr/>
          </w:pPr>
          <w:hyperlink w:anchor="__RefHeading___Toc2570602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إنّما یملک غیر الطیر بالاصطیاد إذا لم یعلم کونه ملکاً للغیر</w:t>
            </w:r>
            <w:r>
              <w:rPr>
                <w:rStyle w:val="IndexLink"/>
                <w:rtl w:val="true"/>
              </w:rPr>
              <w:t>]</w:t>
              <w:tab/>
            </w:r>
            <w:r>
              <w:rPr>
                <w:rStyle w:val="IndexLink"/>
              </w:rPr>
              <w:t>686</w:t>
            </w:r>
          </w:hyperlink>
        </w:p>
        <w:p>
          <w:pPr>
            <w:pStyle w:val="Contents4"/>
            <w:tabs>
              <w:tab w:val="clear" w:pos="8176"/>
              <w:tab w:val="right" w:pos="9026" w:leader="dot"/>
            </w:tabs>
            <w:rPr/>
          </w:pPr>
          <w:hyperlink w:anchor="__RefHeading___Toc2570604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لو صنع برجاً لتعشیش الحمام فعشّشت فیه لم یملکها</w:t>
            </w:r>
            <w:r>
              <w:rPr>
                <w:rStyle w:val="IndexLink"/>
                <w:rtl w:val="true"/>
              </w:rPr>
              <w:t>]</w:t>
              <w:tab/>
            </w:r>
            <w:r>
              <w:rPr>
                <w:rStyle w:val="IndexLink"/>
              </w:rPr>
              <w:t>687</w:t>
            </w:r>
          </w:hyperlink>
        </w:p>
        <w:p>
          <w:pPr>
            <w:pStyle w:val="Contents4"/>
            <w:tabs>
              <w:tab w:val="clear" w:pos="8176"/>
              <w:tab w:val="right" w:pos="9026" w:leader="dot"/>
            </w:tabs>
            <w:rPr/>
          </w:pPr>
          <w:hyperlink w:anchor="__RefHeading___Toc2570606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الظاهر أنّه یکفی فی تملّک النحل الغیر المملوکة أخذ أمیرها</w:t>
            </w:r>
            <w:r>
              <w:rPr>
                <w:rStyle w:val="IndexLink"/>
                <w:rtl w:val="true"/>
              </w:rPr>
              <w:t>]</w:t>
              <w:tab/>
            </w:r>
            <w:r>
              <w:rPr>
                <w:rStyle w:val="IndexLink"/>
              </w:rPr>
              <w:t>687</w:t>
            </w:r>
          </w:hyperlink>
        </w:p>
        <w:p>
          <w:pPr>
            <w:pStyle w:val="Contents4"/>
            <w:tabs>
              <w:tab w:val="clear" w:pos="8176"/>
              <w:tab w:val="right" w:pos="9026" w:leader="dot"/>
            </w:tabs>
            <w:rPr/>
          </w:pPr>
          <w:hyperlink w:anchor="__RefHeading___Toc2570608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ذکاة السمک إمّا بإخراجه من الماء حیّاً، أو بأخذه بعد خروجه منه قبل موته</w:t>
            </w:r>
            <w:r>
              <w:rPr>
                <w:rStyle w:val="IndexLink"/>
                <w:rtl w:val="true"/>
              </w:rPr>
              <w:t>]</w:t>
              <w:tab/>
            </w:r>
            <w:r>
              <w:rPr>
                <w:rStyle w:val="IndexLink"/>
              </w:rPr>
              <w:t>687</w:t>
            </w:r>
          </w:hyperlink>
        </w:p>
        <w:p>
          <w:pPr>
            <w:pStyle w:val="Contents4"/>
            <w:tabs>
              <w:tab w:val="clear" w:pos="8176"/>
              <w:tab w:val="right" w:pos="9026" w:leader="dot"/>
            </w:tabs>
            <w:rPr/>
          </w:pPr>
          <w:hyperlink w:anchor="__RefHeading___Toc2570610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لا یشترط فی تذکیة السمک عند إخراجه من الماء أو أخذه بعد خروجه منه التسمیة</w:t>
            </w:r>
            <w:r>
              <w:rPr>
                <w:rStyle w:val="IndexLink"/>
                <w:rtl w:val="true"/>
              </w:rPr>
              <w:t>]</w:t>
              <w:tab/>
            </w:r>
            <w:r>
              <w:rPr>
                <w:rStyle w:val="IndexLink"/>
              </w:rPr>
              <w:t>687</w:t>
            </w:r>
          </w:hyperlink>
        </w:p>
        <w:p>
          <w:pPr>
            <w:pStyle w:val="Contents4"/>
            <w:tabs>
              <w:tab w:val="clear" w:pos="8176"/>
              <w:tab w:val="right" w:pos="9026" w:leader="dot"/>
            </w:tabs>
            <w:rPr/>
          </w:pPr>
          <w:hyperlink w:anchor="__RefHeading___Toc2570612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لو وثب من الماء سمکة إلی السفینة لم یحلّ ما لم یؤخذ بالید</w:t>
            </w:r>
            <w:r>
              <w:rPr>
                <w:rStyle w:val="IndexLink"/>
                <w:rtl w:val="true"/>
              </w:rPr>
              <w:t>]</w:t>
              <w:tab/>
            </w:r>
            <w:r>
              <w:rPr>
                <w:rStyle w:val="IndexLink"/>
              </w:rPr>
              <w:t>687</w:t>
            </w:r>
          </w:hyperlink>
        </w:p>
        <w:p>
          <w:pPr>
            <w:pStyle w:val="Contents4"/>
            <w:tabs>
              <w:tab w:val="clear" w:pos="8176"/>
              <w:tab w:val="right" w:pos="9026" w:leader="dot"/>
            </w:tabs>
            <w:rPr/>
          </w:pPr>
          <w:hyperlink w:anchor="__RefHeading___Toc2570614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لو نصب شبکة أو صنع حظیرة فی الماء لاصطیاد السمک فکلّ ما وقع و احتبس فیهما ملکه</w:t>
            </w:r>
            <w:r>
              <w:rPr>
                <w:rStyle w:val="IndexLink"/>
                <w:rtl w:val="true"/>
              </w:rPr>
              <w:t>]</w:t>
              <w:tab/>
            </w:r>
            <w:r>
              <w:rPr>
                <w:rStyle w:val="IndexLink"/>
              </w:rPr>
              <w:t>687</w:t>
            </w:r>
          </w:hyperlink>
        </w:p>
        <w:p>
          <w:pPr>
            <w:pStyle w:val="Contents4"/>
            <w:tabs>
              <w:tab w:val="clear" w:pos="8176"/>
              <w:tab w:val="right" w:pos="9026" w:leader="dot"/>
            </w:tabs>
            <w:rPr/>
          </w:pPr>
          <w:hyperlink w:anchor="__RefHeading___Toc2570616_3650668749">
            <w:r>
              <w:rPr>
                <w:webHidden/>
                <w:rStyle w:val="IndexLink"/>
                <w:rtl w:val="true"/>
              </w:rPr>
              <w:t>[ (</w:t>
            </w:r>
            <w:r>
              <w:rPr>
                <w:rStyle w:val="IndexLink"/>
                <w:rtl w:val="true"/>
              </w:rPr>
              <w:t xml:space="preserve">مسألة </w:t>
            </w:r>
            <w:r>
              <w:rPr>
                <w:rStyle w:val="IndexLink"/>
              </w:rPr>
              <w:t>28</w:t>
            </w:r>
            <w:r>
              <w:rPr>
                <w:rStyle w:val="IndexLink"/>
                <w:rtl w:val="true"/>
              </w:rPr>
              <w:t xml:space="preserve">): </w:t>
            </w:r>
            <w:r>
              <w:rPr>
                <w:rStyle w:val="IndexLink"/>
                <w:rtl w:val="true"/>
              </w:rPr>
              <w:t>لو أخرج السمک من الماء حیّاً ثمّ أعاده إلی الماء</w:t>
            </w:r>
            <w:r>
              <w:rPr>
                <w:rStyle w:val="IndexLink"/>
                <w:rtl w:val="true"/>
              </w:rPr>
              <w:t>]</w:t>
              <w:tab/>
            </w:r>
            <w:r>
              <w:rPr>
                <w:rStyle w:val="IndexLink"/>
              </w:rPr>
              <w:t>688</w:t>
            </w:r>
          </w:hyperlink>
        </w:p>
        <w:p>
          <w:pPr>
            <w:pStyle w:val="Contents4"/>
            <w:tabs>
              <w:tab w:val="clear" w:pos="8176"/>
              <w:tab w:val="right" w:pos="9026" w:leader="dot"/>
            </w:tabs>
            <w:rPr/>
          </w:pPr>
          <w:hyperlink w:anchor="__RefHeading___Toc2570618_3650668749">
            <w:r>
              <w:rPr>
                <w:webHidden/>
                <w:rStyle w:val="IndexLink"/>
                <w:rtl w:val="true"/>
              </w:rPr>
              <w:t>[ (</w:t>
            </w:r>
            <w:r>
              <w:rPr>
                <w:rStyle w:val="IndexLink"/>
                <w:rtl w:val="true"/>
              </w:rPr>
              <w:t xml:space="preserve">مسألة </w:t>
            </w:r>
            <w:r>
              <w:rPr>
                <w:rStyle w:val="IndexLink"/>
              </w:rPr>
              <w:t>29</w:t>
            </w:r>
            <w:r>
              <w:rPr>
                <w:rStyle w:val="IndexLink"/>
                <w:rtl w:val="true"/>
              </w:rPr>
              <w:t xml:space="preserve">): </w:t>
            </w:r>
            <w:r>
              <w:rPr>
                <w:rStyle w:val="IndexLink"/>
                <w:rtl w:val="true"/>
              </w:rPr>
              <w:t>لو طفا السمک علی الماء و زال امتناعه بسبب من الأسباب</w:t>
            </w:r>
            <w:r>
              <w:rPr>
                <w:rStyle w:val="IndexLink"/>
                <w:rtl w:val="true"/>
              </w:rPr>
              <w:t>]</w:t>
              <w:tab/>
            </w:r>
            <w:r>
              <w:rPr>
                <w:rStyle w:val="IndexLink"/>
              </w:rPr>
              <w:t>688</w:t>
            </w:r>
          </w:hyperlink>
        </w:p>
        <w:p>
          <w:pPr>
            <w:pStyle w:val="Contents4"/>
            <w:tabs>
              <w:tab w:val="clear" w:pos="8176"/>
              <w:tab w:val="right" w:pos="9026" w:leader="dot"/>
            </w:tabs>
            <w:rPr/>
          </w:pPr>
          <w:hyperlink w:anchor="__RefHeading___Toc2570620_3650668749">
            <w:r>
              <w:rPr>
                <w:webHidden/>
                <w:rStyle w:val="IndexLink"/>
                <w:rtl w:val="true"/>
              </w:rPr>
              <w:t>[ (</w:t>
            </w:r>
            <w:r>
              <w:rPr>
                <w:rStyle w:val="IndexLink"/>
                <w:rtl w:val="true"/>
              </w:rPr>
              <w:t xml:space="preserve">مسألة </w:t>
            </w:r>
            <w:r>
              <w:rPr>
                <w:rStyle w:val="IndexLink"/>
              </w:rPr>
              <w:t>30</w:t>
            </w:r>
            <w:r>
              <w:rPr>
                <w:rStyle w:val="IndexLink"/>
                <w:rtl w:val="true"/>
              </w:rPr>
              <w:t xml:space="preserve">): </w:t>
            </w:r>
            <w:r>
              <w:rPr>
                <w:rStyle w:val="IndexLink"/>
                <w:rtl w:val="true"/>
              </w:rPr>
              <w:t>لا یعتبر فی حلّیّة السمک بعد ما أُخرج من الماء حیّاً أو أُخذ حیّاً بعد خروجه</w:t>
            </w:r>
            <w:r>
              <w:rPr>
                <w:rStyle w:val="IndexLink"/>
                <w:rtl w:val="true"/>
              </w:rPr>
              <w:t>]</w:t>
              <w:tab/>
            </w:r>
            <w:r>
              <w:rPr>
                <w:rStyle w:val="IndexLink"/>
              </w:rPr>
              <w:t>688</w:t>
            </w:r>
          </w:hyperlink>
        </w:p>
        <w:p>
          <w:pPr>
            <w:pStyle w:val="Contents4"/>
            <w:tabs>
              <w:tab w:val="clear" w:pos="8176"/>
              <w:tab w:val="right" w:pos="9026" w:leader="dot"/>
            </w:tabs>
            <w:rPr/>
          </w:pPr>
          <w:hyperlink w:anchor="__RefHeading___Toc2570622_3650668749">
            <w:r>
              <w:rPr>
                <w:webHidden/>
                <w:rStyle w:val="IndexLink"/>
                <w:rtl w:val="true"/>
              </w:rPr>
              <w:t>[ (</w:t>
            </w:r>
            <w:r>
              <w:rPr>
                <w:rStyle w:val="IndexLink"/>
                <w:rtl w:val="true"/>
              </w:rPr>
              <w:t xml:space="preserve">مسألة </w:t>
            </w:r>
            <w:r>
              <w:rPr>
                <w:rStyle w:val="IndexLink"/>
              </w:rPr>
              <w:t>31</w:t>
            </w:r>
            <w:r>
              <w:rPr>
                <w:rStyle w:val="IndexLink"/>
                <w:rtl w:val="true"/>
              </w:rPr>
              <w:t xml:space="preserve">): </w:t>
            </w:r>
            <w:r>
              <w:rPr>
                <w:rStyle w:val="IndexLink"/>
                <w:rtl w:val="true"/>
              </w:rPr>
              <w:t>ذکاة الجراد أخذه حیّاً؛ سواء کان بالید أو بالآلة</w:t>
            </w:r>
            <w:r>
              <w:rPr>
                <w:rStyle w:val="IndexLink"/>
                <w:rtl w:val="true"/>
              </w:rPr>
              <w:t>]</w:t>
              <w:tab/>
            </w:r>
            <w:r>
              <w:rPr>
                <w:rStyle w:val="IndexLink"/>
              </w:rPr>
              <w:t>688</w:t>
            </w:r>
          </w:hyperlink>
        </w:p>
        <w:p>
          <w:pPr>
            <w:pStyle w:val="Contents4"/>
            <w:tabs>
              <w:tab w:val="clear" w:pos="8176"/>
              <w:tab w:val="right" w:pos="9026" w:leader="dot"/>
            </w:tabs>
            <w:rPr/>
          </w:pPr>
          <w:hyperlink w:anchor="__RefHeading___Toc2570624_3650668749">
            <w:r>
              <w:rPr>
                <w:webHidden/>
                <w:rStyle w:val="IndexLink"/>
                <w:rtl w:val="true"/>
              </w:rPr>
              <w:t>[ (</w:t>
            </w:r>
            <w:r>
              <w:rPr>
                <w:rStyle w:val="IndexLink"/>
                <w:rtl w:val="true"/>
              </w:rPr>
              <w:t xml:space="preserve">مسألة </w:t>
            </w:r>
            <w:r>
              <w:rPr>
                <w:rStyle w:val="IndexLink"/>
              </w:rPr>
              <w:t>32</w:t>
            </w:r>
            <w:r>
              <w:rPr>
                <w:rStyle w:val="IndexLink"/>
                <w:rtl w:val="true"/>
              </w:rPr>
              <w:t xml:space="preserve">): </w:t>
            </w:r>
            <w:r>
              <w:rPr>
                <w:rStyle w:val="IndexLink"/>
                <w:rtl w:val="true"/>
              </w:rPr>
              <w:t>لو وقعت نار فی أجمة و نحوها فأحرقت ما فیها من الجراد</w:t>
            </w:r>
            <w:r>
              <w:rPr>
                <w:rStyle w:val="IndexLink"/>
                <w:rtl w:val="true"/>
              </w:rPr>
              <w:t>]</w:t>
              <w:tab/>
            </w:r>
            <w:r>
              <w:rPr>
                <w:rStyle w:val="IndexLink"/>
              </w:rPr>
              <w:t>689</w:t>
            </w:r>
          </w:hyperlink>
        </w:p>
        <w:p>
          <w:pPr>
            <w:pStyle w:val="Contents4"/>
            <w:tabs>
              <w:tab w:val="clear" w:pos="8176"/>
              <w:tab w:val="right" w:pos="9026" w:leader="dot"/>
            </w:tabs>
            <w:rPr/>
          </w:pPr>
          <w:hyperlink w:anchor="__RefHeading___Toc2570626_3650668749">
            <w:r>
              <w:rPr>
                <w:webHidden/>
                <w:rStyle w:val="IndexLink"/>
                <w:rtl w:val="true"/>
              </w:rPr>
              <w:t>[ (</w:t>
            </w:r>
            <w:r>
              <w:rPr>
                <w:rStyle w:val="IndexLink"/>
                <w:rtl w:val="true"/>
              </w:rPr>
              <w:t xml:space="preserve">مسألة </w:t>
            </w:r>
            <w:r>
              <w:rPr>
                <w:rStyle w:val="IndexLink"/>
              </w:rPr>
              <w:t>33</w:t>
            </w:r>
            <w:r>
              <w:rPr>
                <w:rStyle w:val="IndexLink"/>
                <w:rtl w:val="true"/>
              </w:rPr>
              <w:t xml:space="preserve">): </w:t>
            </w:r>
            <w:r>
              <w:rPr>
                <w:rStyle w:val="IndexLink"/>
                <w:rtl w:val="true"/>
              </w:rPr>
              <w:t xml:space="preserve">لا یحلّ من الجراد ما لم یستقلّ بالطیران و هو المسمّی ب </w:t>
            </w:r>
            <w:r>
              <w:rPr>
                <w:rStyle w:val="IndexLink"/>
                <w:rtl w:val="true"/>
              </w:rPr>
              <w:t>«</w:t>
            </w:r>
            <w:r>
              <w:rPr>
                <w:rStyle w:val="IndexLink"/>
                <w:rtl w:val="true"/>
              </w:rPr>
              <w:t>الدبیٰ</w:t>
            </w:r>
            <w:r>
              <w:rPr>
                <w:rStyle w:val="IndexLink"/>
                <w:rtl w:val="true"/>
              </w:rPr>
              <w:t>»]</w:t>
              <w:tab/>
            </w:r>
            <w:r>
              <w:rPr>
                <w:rStyle w:val="IndexLink"/>
              </w:rPr>
              <w:t>689</w:t>
            </w:r>
          </w:hyperlink>
        </w:p>
        <w:p>
          <w:pPr>
            <w:pStyle w:val="Contents3"/>
            <w:tabs>
              <w:tab w:val="clear" w:pos="8459"/>
              <w:tab w:val="right" w:pos="9026" w:leader="dot"/>
            </w:tabs>
            <w:rPr/>
          </w:pPr>
          <w:hyperlink w:anchor="__RefHeading___Toc2570628_3650668749">
            <w:r>
              <w:rPr>
                <w:webHidden/>
                <w:rStyle w:val="IndexLink"/>
                <w:rtl w:val="true"/>
              </w:rPr>
              <w:t>[</w:t>
            </w:r>
            <w:r>
              <w:rPr>
                <w:rStyle w:val="IndexLink"/>
                <w:rtl w:val="true"/>
              </w:rPr>
              <w:t>القول فی الذباحة</w:t>
            </w:r>
            <w:r>
              <w:rPr>
                <w:rStyle w:val="IndexLink"/>
                <w:rtl w:val="true"/>
              </w:rPr>
              <w:t>]</w:t>
              <w:tab/>
            </w:r>
            <w:r>
              <w:rPr>
                <w:rStyle w:val="IndexLink"/>
              </w:rPr>
              <w:t>689</w:t>
            </w:r>
          </w:hyperlink>
        </w:p>
        <w:p>
          <w:pPr>
            <w:pStyle w:val="Contents4"/>
            <w:tabs>
              <w:tab w:val="clear" w:pos="8176"/>
              <w:tab w:val="right" w:pos="9026" w:leader="dot"/>
            </w:tabs>
            <w:rPr/>
          </w:pPr>
          <w:hyperlink w:anchor="__RefHeading___Toc2570630_3650668749">
            <w:r>
              <w:rPr>
                <w:webHidden/>
                <w:rStyle w:val="IndexLink"/>
                <w:rtl w:val="true"/>
              </w:rPr>
              <w:t>اشارة</w:t>
            </w:r>
            <w:r>
              <w:rPr>
                <w:rStyle w:val="IndexLink"/>
                <w:rtl w:val="true"/>
              </w:rPr>
              <w:tab/>
            </w:r>
            <w:r>
              <w:rPr>
                <w:rStyle w:val="IndexLink"/>
              </w:rPr>
              <w:t>689</w:t>
            </w:r>
          </w:hyperlink>
        </w:p>
        <w:p>
          <w:pPr>
            <w:pStyle w:val="Contents4"/>
            <w:tabs>
              <w:tab w:val="clear" w:pos="8176"/>
              <w:tab w:val="right" w:pos="9026" w:leader="dot"/>
            </w:tabs>
            <w:rPr/>
          </w:pPr>
          <w:hyperlink w:anchor="__RefHeading___Toc257063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یشترط فی الذابح أن یکون مسلماً أو بحکمه کالمتولّد منه</w:t>
            </w:r>
            <w:r>
              <w:rPr>
                <w:rStyle w:val="IndexLink"/>
                <w:rtl w:val="true"/>
              </w:rPr>
              <w:t>]</w:t>
              <w:tab/>
            </w:r>
            <w:r>
              <w:rPr>
                <w:rStyle w:val="IndexLink"/>
              </w:rPr>
              <w:t>689</w:t>
            </w:r>
          </w:hyperlink>
        </w:p>
        <w:p>
          <w:pPr>
            <w:pStyle w:val="Contents4"/>
            <w:tabs>
              <w:tab w:val="clear" w:pos="8176"/>
              <w:tab w:val="right" w:pos="9026" w:leader="dot"/>
            </w:tabs>
            <w:rPr/>
          </w:pPr>
          <w:hyperlink w:anchor="__RefHeading___Toc257063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یشترط فیه الذکورة و لا البلوغ و لا غیر ذلک</w:t>
            </w:r>
            <w:r>
              <w:rPr>
                <w:rStyle w:val="IndexLink"/>
                <w:rtl w:val="true"/>
              </w:rPr>
              <w:t>]</w:t>
              <w:tab/>
            </w:r>
            <w:r>
              <w:rPr>
                <w:rStyle w:val="IndexLink"/>
              </w:rPr>
              <w:t>689</w:t>
            </w:r>
          </w:hyperlink>
        </w:p>
        <w:p>
          <w:pPr>
            <w:pStyle w:val="Contents4"/>
            <w:tabs>
              <w:tab w:val="clear" w:pos="8176"/>
              <w:tab w:val="right" w:pos="9026" w:leader="dot"/>
            </w:tabs>
            <w:rPr/>
          </w:pPr>
          <w:hyperlink w:anchor="__RefHeading___Toc257063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یجوز الذبح بغیر الحدید مع الاختیار</w:t>
            </w:r>
            <w:r>
              <w:rPr>
                <w:rStyle w:val="IndexLink"/>
                <w:rtl w:val="true"/>
              </w:rPr>
              <w:t>]</w:t>
              <w:tab/>
            </w:r>
            <w:r>
              <w:rPr>
                <w:rStyle w:val="IndexLink"/>
              </w:rPr>
              <w:t>689</w:t>
            </w:r>
          </w:hyperlink>
        </w:p>
        <w:p>
          <w:pPr>
            <w:pStyle w:val="Contents4"/>
            <w:tabs>
              <w:tab w:val="clear" w:pos="8176"/>
              <w:tab w:val="right" w:pos="9026" w:leader="dot"/>
            </w:tabs>
            <w:rPr/>
          </w:pPr>
          <w:hyperlink w:anchor="__RefHeading___Toc257063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الواجب فی الذبح قطع تمام الأعضاء الأربعة</w:t>
            </w:r>
            <w:r>
              <w:rPr>
                <w:rStyle w:val="IndexLink"/>
                <w:rtl w:val="true"/>
              </w:rPr>
              <w:t>]</w:t>
              <w:tab/>
            </w:r>
            <w:r>
              <w:rPr>
                <w:rStyle w:val="IndexLink"/>
              </w:rPr>
              <w:t>690</w:t>
            </w:r>
          </w:hyperlink>
        </w:p>
        <w:p>
          <w:pPr>
            <w:pStyle w:val="Contents4"/>
            <w:tabs>
              <w:tab w:val="clear" w:pos="8176"/>
              <w:tab w:val="right" w:pos="9026" w:leader="dot"/>
            </w:tabs>
            <w:rPr/>
          </w:pPr>
          <w:hyperlink w:anchor="__RefHeading___Toc257064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محلّ الذبح فی الحلق تحت اللحیین علیٰ نحو یقطع به الأوداج الأربعة</w:t>
            </w:r>
            <w:r>
              <w:rPr>
                <w:rStyle w:val="IndexLink"/>
                <w:rtl w:val="true"/>
              </w:rPr>
              <w:t>]</w:t>
              <w:tab/>
            </w:r>
            <w:r>
              <w:rPr>
                <w:rStyle w:val="IndexLink"/>
              </w:rPr>
              <w:t>690</w:t>
            </w:r>
          </w:hyperlink>
        </w:p>
        <w:p>
          <w:pPr>
            <w:pStyle w:val="Contents4"/>
            <w:tabs>
              <w:tab w:val="clear" w:pos="8176"/>
              <w:tab w:val="right" w:pos="9026" w:leader="dot"/>
            </w:tabs>
            <w:rPr/>
          </w:pPr>
          <w:hyperlink w:anchor="__RefHeading___Toc257064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یشترط أن یکون الذبح من القدّام</w:t>
            </w:r>
            <w:r>
              <w:rPr>
                <w:rStyle w:val="IndexLink"/>
                <w:rtl w:val="true"/>
              </w:rPr>
              <w:t>]</w:t>
              <w:tab/>
            </w:r>
            <w:r>
              <w:rPr>
                <w:rStyle w:val="IndexLink"/>
              </w:rPr>
              <w:t>690</w:t>
            </w:r>
          </w:hyperlink>
        </w:p>
        <w:p>
          <w:pPr>
            <w:pStyle w:val="Contents4"/>
            <w:tabs>
              <w:tab w:val="clear" w:pos="8176"/>
              <w:tab w:val="right" w:pos="9026" w:leader="dot"/>
            </w:tabs>
            <w:rPr/>
          </w:pPr>
          <w:hyperlink w:anchor="__RefHeading___Toc257064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یجب التتابع فی الذبح</w:t>
            </w:r>
            <w:r>
              <w:rPr>
                <w:rStyle w:val="IndexLink"/>
                <w:rtl w:val="true"/>
              </w:rPr>
              <w:t>]</w:t>
              <w:tab/>
            </w:r>
            <w:r>
              <w:rPr>
                <w:rStyle w:val="IndexLink"/>
              </w:rPr>
              <w:t>690</w:t>
            </w:r>
          </w:hyperlink>
        </w:p>
        <w:p>
          <w:pPr>
            <w:pStyle w:val="Contents4"/>
            <w:tabs>
              <w:tab w:val="clear" w:pos="8176"/>
              <w:tab w:val="right" w:pos="9026" w:leader="dot"/>
            </w:tabs>
            <w:rPr/>
          </w:pPr>
          <w:hyperlink w:anchor="__RefHeading___Toc257064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لو قطع رقبة الذبیحة من القفا و بقیت أعضاء الذباحة</w:t>
            </w:r>
            <w:r>
              <w:rPr>
                <w:rStyle w:val="IndexLink"/>
                <w:rtl w:val="true"/>
              </w:rPr>
              <w:t>]</w:t>
              <w:tab/>
            </w:r>
            <w:r>
              <w:rPr>
                <w:rStyle w:val="IndexLink"/>
              </w:rPr>
              <w:t>690</w:t>
            </w:r>
          </w:hyperlink>
        </w:p>
        <w:p>
          <w:pPr>
            <w:pStyle w:val="Contents4"/>
            <w:tabs>
              <w:tab w:val="clear" w:pos="8176"/>
              <w:tab w:val="right" w:pos="9026" w:leader="dot"/>
            </w:tabs>
            <w:rPr/>
          </w:pPr>
          <w:hyperlink w:anchor="__RefHeading___Toc257064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لو أخطأ الذابح و ذبح من فوق العقدة و لم یقطع الأعضاء الأربعة</w:t>
            </w:r>
            <w:r>
              <w:rPr>
                <w:rStyle w:val="IndexLink"/>
                <w:rtl w:val="true"/>
              </w:rPr>
              <w:t>]</w:t>
              <w:tab/>
            </w:r>
            <w:r>
              <w:rPr>
                <w:rStyle w:val="IndexLink"/>
              </w:rPr>
              <w:t>691</w:t>
            </w:r>
          </w:hyperlink>
        </w:p>
        <w:p>
          <w:pPr>
            <w:pStyle w:val="Contents4"/>
            <w:tabs>
              <w:tab w:val="clear" w:pos="8176"/>
              <w:tab w:val="right" w:pos="9026" w:leader="dot"/>
            </w:tabs>
            <w:rPr/>
          </w:pPr>
          <w:hyperlink w:anchor="__RefHeading___Toc257065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لو أکل الذئب مثلًا مذبح الحیوان و أدرکه حیّاً</w:t>
            </w:r>
            <w:r>
              <w:rPr>
                <w:rStyle w:val="IndexLink"/>
                <w:rtl w:val="true"/>
              </w:rPr>
              <w:t>]</w:t>
              <w:tab/>
            </w:r>
            <w:r>
              <w:rPr>
                <w:rStyle w:val="IndexLink"/>
              </w:rPr>
              <w:t>691</w:t>
            </w:r>
          </w:hyperlink>
        </w:p>
        <w:p>
          <w:pPr>
            <w:pStyle w:val="Contents4"/>
            <w:tabs>
              <w:tab w:val="clear" w:pos="8176"/>
              <w:tab w:val="right" w:pos="9026" w:leader="dot"/>
            </w:tabs>
            <w:rPr/>
          </w:pPr>
          <w:hyperlink w:anchor="__RefHeading___Toc257065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یشترط فی التذکیة الذبحیّة مضافاً إلیٰ ما مرّ أُمور</w:t>
            </w:r>
            <w:r>
              <w:rPr>
                <w:rStyle w:val="IndexLink"/>
                <w:rtl w:val="true"/>
              </w:rPr>
              <w:t>]</w:t>
              <w:tab/>
            </w:r>
            <w:r>
              <w:rPr>
                <w:rStyle w:val="IndexLink"/>
              </w:rPr>
              <w:t>691</w:t>
            </w:r>
          </w:hyperlink>
        </w:p>
        <w:p>
          <w:pPr>
            <w:pStyle w:val="Contents4"/>
            <w:tabs>
              <w:tab w:val="clear" w:pos="8176"/>
              <w:tab w:val="right" w:pos="9026" w:leader="dot"/>
            </w:tabs>
            <w:rPr/>
          </w:pPr>
          <w:hyperlink w:anchor="__RefHeading___Toc257065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لا یعتبر کیفیّة خاصّة فی وضع الذبیحة علی الأرض حال الذبح</w:t>
            </w:r>
            <w:r>
              <w:rPr>
                <w:rStyle w:val="IndexLink"/>
                <w:rtl w:val="true"/>
              </w:rPr>
              <w:t>]</w:t>
              <w:tab/>
            </w:r>
            <w:r>
              <w:rPr>
                <w:rStyle w:val="IndexLink"/>
              </w:rPr>
              <w:t>692</w:t>
            </w:r>
          </w:hyperlink>
        </w:p>
        <w:p>
          <w:pPr>
            <w:pStyle w:val="Contents4"/>
            <w:tabs>
              <w:tab w:val="clear" w:pos="8176"/>
              <w:tab w:val="right" w:pos="9026" w:leader="dot"/>
            </w:tabs>
            <w:rPr/>
          </w:pPr>
          <w:hyperlink w:anchor="__RefHeading___Toc2570656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لا یعتبر فی التسمیة کیفیّة خاصّة و أن یکون فی ضمن البسملة</w:t>
            </w:r>
            <w:r>
              <w:rPr>
                <w:rStyle w:val="IndexLink"/>
                <w:rtl w:val="true"/>
              </w:rPr>
              <w:t>]</w:t>
              <w:tab/>
            </w:r>
            <w:r>
              <w:rPr>
                <w:rStyle w:val="IndexLink"/>
              </w:rPr>
              <w:t>692</w:t>
            </w:r>
          </w:hyperlink>
        </w:p>
        <w:p>
          <w:pPr>
            <w:pStyle w:val="Contents4"/>
            <w:tabs>
              <w:tab w:val="clear" w:pos="8176"/>
              <w:tab w:val="right" w:pos="9026" w:leader="dot"/>
            </w:tabs>
            <w:rPr/>
          </w:pPr>
          <w:hyperlink w:anchor="__RefHeading___Toc2570658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ذهب جماعة من الفقهاء إلیٰ أنّه یشترط فی حلّیّة الذبیحة استقرار الحیاة لها قبل الذبح</w:t>
            </w:r>
            <w:r>
              <w:rPr>
                <w:rStyle w:val="IndexLink"/>
                <w:rtl w:val="true"/>
              </w:rPr>
              <w:t>]</w:t>
              <w:tab/>
            </w:r>
            <w:r>
              <w:rPr>
                <w:rStyle w:val="IndexLink"/>
              </w:rPr>
              <w:t>692</w:t>
            </w:r>
          </w:hyperlink>
        </w:p>
        <w:p>
          <w:pPr>
            <w:pStyle w:val="Contents4"/>
            <w:tabs>
              <w:tab w:val="clear" w:pos="8176"/>
              <w:tab w:val="right" w:pos="9026" w:leader="dot"/>
            </w:tabs>
            <w:rPr/>
          </w:pPr>
          <w:hyperlink w:anchor="__RefHeading___Toc2570660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لا یشترط فی حلّیّة أکل الذبیحة بعد وقوع الذبح علیها حیّاً</w:t>
            </w:r>
            <w:r>
              <w:rPr>
                <w:rStyle w:val="IndexLink"/>
                <w:rtl w:val="true"/>
              </w:rPr>
              <w:t>]</w:t>
              <w:tab/>
            </w:r>
            <w:r>
              <w:rPr>
                <w:rStyle w:val="IndexLink"/>
              </w:rPr>
              <w:t>692</w:t>
            </w:r>
          </w:hyperlink>
        </w:p>
        <w:p>
          <w:pPr>
            <w:pStyle w:val="Contents4"/>
            <w:tabs>
              <w:tab w:val="clear" w:pos="8176"/>
              <w:tab w:val="right" w:pos="9026" w:leader="dot"/>
            </w:tabs>
            <w:rPr/>
          </w:pPr>
          <w:hyperlink w:anchor="__RefHeading___Toc2570662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یختصّ الإبل من بین البهائم بأنّ تذکیته بالنحر</w:t>
            </w:r>
            <w:r>
              <w:rPr>
                <w:rStyle w:val="IndexLink"/>
                <w:rtl w:val="true"/>
              </w:rPr>
              <w:t>]</w:t>
              <w:tab/>
            </w:r>
            <w:r>
              <w:rPr>
                <w:rStyle w:val="IndexLink"/>
              </w:rPr>
              <w:t>693</w:t>
            </w:r>
          </w:hyperlink>
        </w:p>
        <w:p>
          <w:pPr>
            <w:pStyle w:val="Contents4"/>
            <w:tabs>
              <w:tab w:val="clear" w:pos="8176"/>
              <w:tab w:val="right" w:pos="9026" w:leader="dot"/>
            </w:tabs>
            <w:rPr/>
          </w:pPr>
          <w:hyperlink w:anchor="__RefHeading___Toc2570664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کیفیّة النحر و محلّه</w:t>
            </w:r>
            <w:r>
              <w:rPr>
                <w:rStyle w:val="IndexLink"/>
                <w:rtl w:val="true"/>
              </w:rPr>
              <w:t xml:space="preserve">: </w:t>
            </w:r>
            <w:r>
              <w:rPr>
                <w:rStyle w:val="IndexLink"/>
                <w:rtl w:val="true"/>
              </w:rPr>
              <w:t>أن یدخل سکّیناً أو رمحاً و نحوهما من الآلات الحادّة الحدیدیة فی لبّته</w:t>
            </w:r>
            <w:r>
              <w:rPr>
                <w:rStyle w:val="IndexLink"/>
                <w:rtl w:val="true"/>
              </w:rPr>
              <w:t>]</w:t>
              <w:tab/>
            </w:r>
            <w:r>
              <w:rPr>
                <w:rStyle w:val="IndexLink"/>
              </w:rPr>
              <w:t>693</w:t>
            </w:r>
          </w:hyperlink>
        </w:p>
        <w:p>
          <w:pPr>
            <w:pStyle w:val="Contents4"/>
            <w:tabs>
              <w:tab w:val="clear" w:pos="8176"/>
              <w:tab w:val="right" w:pos="9026" w:leader="dot"/>
            </w:tabs>
            <w:rPr/>
          </w:pPr>
          <w:hyperlink w:anchor="__RefHeading___Toc2570666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یجوز نحر الإبل قائمة و بارکة مقبلة إلی القبلة</w:t>
            </w:r>
            <w:r>
              <w:rPr>
                <w:rStyle w:val="IndexLink"/>
                <w:rtl w:val="true"/>
              </w:rPr>
              <w:t>]</w:t>
              <w:tab/>
            </w:r>
            <w:r>
              <w:rPr>
                <w:rStyle w:val="IndexLink"/>
              </w:rPr>
              <w:t>693</w:t>
            </w:r>
          </w:hyperlink>
        </w:p>
        <w:p>
          <w:pPr>
            <w:pStyle w:val="Contents4"/>
            <w:tabs>
              <w:tab w:val="clear" w:pos="8176"/>
              <w:tab w:val="right" w:pos="9026" w:leader="dot"/>
            </w:tabs>
            <w:rPr/>
          </w:pPr>
          <w:hyperlink w:anchor="__RefHeading___Toc2570668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کلّ ما یتعذّر ذبحه أو نحره من الحیوان إمّا لاستعصائه</w:t>
            </w:r>
            <w:r>
              <w:rPr>
                <w:rStyle w:val="IndexLink"/>
                <w:rtl w:val="true"/>
              </w:rPr>
              <w:t>]</w:t>
              <w:tab/>
            </w:r>
            <w:r>
              <w:rPr>
                <w:rStyle w:val="IndexLink"/>
              </w:rPr>
              <w:t>693</w:t>
            </w:r>
          </w:hyperlink>
        </w:p>
        <w:p>
          <w:pPr>
            <w:pStyle w:val="Contents4"/>
            <w:tabs>
              <w:tab w:val="clear" w:pos="8176"/>
              <w:tab w:val="right" w:pos="9026" w:leader="dot"/>
            </w:tabs>
            <w:rPr/>
          </w:pPr>
          <w:hyperlink w:anchor="__RefHeading___Toc2570670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للذباحة و النحر آداب و وظائف بین مستحبّة و مکروهة</w:t>
            </w:r>
            <w:r>
              <w:rPr>
                <w:rStyle w:val="IndexLink"/>
                <w:rtl w:val="true"/>
              </w:rPr>
              <w:t>]</w:t>
              <w:tab/>
            </w:r>
            <w:r>
              <w:rPr>
                <w:rStyle w:val="IndexLink"/>
              </w:rPr>
              <w:t>693</w:t>
            </w:r>
          </w:hyperlink>
        </w:p>
        <w:p>
          <w:pPr>
            <w:pStyle w:val="Contents5"/>
            <w:tabs>
              <w:tab w:val="clear" w:pos="7892"/>
              <w:tab w:val="right" w:pos="9026" w:leader="dot"/>
            </w:tabs>
            <w:rPr/>
          </w:pPr>
          <w:hyperlink w:anchor="__RefHeading___Toc2570672_3650668749">
            <w:r>
              <w:rPr>
                <w:webHidden/>
                <w:rStyle w:val="IndexLink"/>
                <w:rtl w:val="true"/>
              </w:rPr>
              <w:t>اشارة</w:t>
            </w:r>
            <w:r>
              <w:rPr>
                <w:rStyle w:val="IndexLink"/>
                <w:rtl w:val="true"/>
              </w:rPr>
              <w:tab/>
            </w:r>
            <w:r>
              <w:rPr>
                <w:rStyle w:val="IndexLink"/>
              </w:rPr>
              <w:t>693</w:t>
            </w:r>
          </w:hyperlink>
        </w:p>
        <w:p>
          <w:pPr>
            <w:pStyle w:val="Contents5"/>
            <w:tabs>
              <w:tab w:val="clear" w:pos="7892"/>
              <w:tab w:val="right" w:pos="9026" w:leader="dot"/>
            </w:tabs>
            <w:rPr/>
          </w:pPr>
          <w:hyperlink w:anchor="__RefHeading___Toc2570674_3650668749">
            <w:r>
              <w:rPr>
                <w:webHidden/>
                <w:rStyle w:val="IndexLink"/>
                <w:rtl w:val="true"/>
              </w:rPr>
              <w:t>[</w:t>
            </w:r>
            <w:r>
              <w:rPr>
                <w:rStyle w:val="IndexLink"/>
                <w:rtl w:val="true"/>
              </w:rPr>
              <w:t>أمّا المستحبّة</w:t>
            </w:r>
            <w:r>
              <w:rPr>
                <w:rStyle w:val="IndexLink"/>
                <w:rtl w:val="true"/>
              </w:rPr>
              <w:t>]</w:t>
              <w:tab/>
            </w:r>
            <w:r>
              <w:rPr>
                <w:rStyle w:val="IndexLink"/>
              </w:rPr>
              <w:t>693</w:t>
            </w:r>
          </w:hyperlink>
        </w:p>
        <w:p>
          <w:pPr>
            <w:pStyle w:val="Contents5"/>
            <w:tabs>
              <w:tab w:val="clear" w:pos="7892"/>
              <w:tab w:val="right" w:pos="9026" w:leader="dot"/>
            </w:tabs>
            <w:rPr/>
          </w:pPr>
          <w:hyperlink w:anchor="__RefHeading___Toc2570676_3650668749">
            <w:r>
              <w:rPr>
                <w:webHidden/>
                <w:rStyle w:val="IndexLink"/>
                <w:rtl w:val="true"/>
              </w:rPr>
              <w:t>[</w:t>
            </w:r>
            <w:r>
              <w:rPr>
                <w:rStyle w:val="IndexLink"/>
                <w:rtl w:val="true"/>
              </w:rPr>
              <w:t>و أمّا المکروهة</w:t>
            </w:r>
            <w:r>
              <w:rPr>
                <w:rStyle w:val="IndexLink"/>
                <w:rtl w:val="true"/>
              </w:rPr>
              <w:t>]</w:t>
              <w:tab/>
            </w:r>
            <w:r>
              <w:rPr>
                <w:rStyle w:val="IndexLink"/>
              </w:rPr>
              <w:t>694</w:t>
            </w:r>
          </w:hyperlink>
        </w:p>
        <w:p>
          <w:pPr>
            <w:pStyle w:val="Contents4"/>
            <w:tabs>
              <w:tab w:val="clear" w:pos="8176"/>
              <w:tab w:val="right" w:pos="9026" w:leader="dot"/>
            </w:tabs>
            <w:rPr/>
          </w:pPr>
          <w:hyperlink w:anchor="__RefHeading___Toc2570678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إذا خرج الجنین أو أُخرج من بطن امّه</w:t>
            </w:r>
            <w:r>
              <w:rPr>
                <w:rStyle w:val="IndexLink"/>
                <w:rtl w:val="true"/>
              </w:rPr>
              <w:t>]</w:t>
              <w:tab/>
            </w:r>
            <w:r>
              <w:rPr>
                <w:rStyle w:val="IndexLink"/>
              </w:rPr>
              <w:t>695</w:t>
            </w:r>
          </w:hyperlink>
        </w:p>
        <w:p>
          <w:pPr>
            <w:pStyle w:val="Contents4"/>
            <w:tabs>
              <w:tab w:val="clear" w:pos="8176"/>
              <w:tab w:val="right" w:pos="9026" w:leader="dot"/>
            </w:tabs>
            <w:rPr/>
          </w:pPr>
          <w:hyperlink w:anchor="__RefHeading___Toc2570680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لو کان الجنین حیّاً حال إیقاع الذبح أو النحر علیٰ امّه و مات بعده قبل أن یشقّوا بطنها</w:t>
            </w:r>
            <w:r>
              <w:rPr>
                <w:rStyle w:val="IndexLink"/>
                <w:rtl w:val="true"/>
              </w:rPr>
              <w:t>]</w:t>
              <w:tab/>
            </w:r>
            <w:r>
              <w:rPr>
                <w:rStyle w:val="IndexLink"/>
              </w:rPr>
              <w:t>695</w:t>
            </w:r>
          </w:hyperlink>
        </w:p>
        <w:p>
          <w:pPr>
            <w:pStyle w:val="Contents4"/>
            <w:tabs>
              <w:tab w:val="clear" w:pos="8176"/>
              <w:tab w:val="right" w:pos="9026" w:leader="dot"/>
            </w:tabs>
            <w:rPr/>
          </w:pPr>
          <w:hyperlink w:anchor="__RefHeading___Toc2570682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لا إشکال فی وقوع التذکیة علیٰ کلّ حیوان حلّ أکله ذاتاً</w:t>
            </w:r>
            <w:r>
              <w:rPr>
                <w:rStyle w:val="IndexLink"/>
                <w:rtl w:val="true"/>
              </w:rPr>
              <w:t>]</w:t>
              <w:tab/>
            </w:r>
            <w:r>
              <w:rPr>
                <w:rStyle w:val="IndexLink"/>
              </w:rPr>
              <w:t>695</w:t>
            </w:r>
          </w:hyperlink>
        </w:p>
        <w:p>
          <w:pPr>
            <w:pStyle w:val="Contents4"/>
            <w:tabs>
              <w:tab w:val="clear" w:pos="8176"/>
              <w:tab w:val="right" w:pos="9026" w:leader="dot"/>
            </w:tabs>
            <w:rPr/>
          </w:pPr>
          <w:hyperlink w:anchor="__RefHeading___Toc2570684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الظاهر أنّ جمیع أنواع الحیوان المحرّم الأکل ممّا کانت له نفس سائلة</w:t>
            </w:r>
            <w:r>
              <w:rPr>
                <w:rStyle w:val="IndexLink"/>
                <w:rtl w:val="true"/>
              </w:rPr>
              <w:t>]</w:t>
              <w:tab/>
            </w:r>
            <w:r>
              <w:rPr>
                <w:rStyle w:val="IndexLink"/>
              </w:rPr>
              <w:t>696</w:t>
            </w:r>
          </w:hyperlink>
        </w:p>
        <w:p>
          <w:pPr>
            <w:pStyle w:val="Contents4"/>
            <w:tabs>
              <w:tab w:val="clear" w:pos="8176"/>
              <w:tab w:val="right" w:pos="9026" w:leader="dot"/>
            </w:tabs>
            <w:rPr/>
          </w:pPr>
          <w:hyperlink w:anchor="__RefHeading___Toc2570686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تذکیة جمیع ما یقبل التذکیة من الحیوان المحرّم الأکل إنّما یکون بالذبح مع الشرائط المعتبرة</w:t>
            </w:r>
            <w:r>
              <w:rPr>
                <w:rStyle w:val="IndexLink"/>
                <w:rtl w:val="true"/>
              </w:rPr>
              <w:t>]</w:t>
              <w:tab/>
            </w:r>
            <w:r>
              <w:rPr>
                <w:rStyle w:val="IndexLink"/>
              </w:rPr>
              <w:t>696</w:t>
            </w:r>
          </w:hyperlink>
        </w:p>
        <w:p>
          <w:pPr>
            <w:pStyle w:val="Contents4"/>
            <w:tabs>
              <w:tab w:val="clear" w:pos="8176"/>
              <w:tab w:val="right" w:pos="9026" w:leader="dot"/>
            </w:tabs>
            <w:rPr/>
          </w:pPr>
          <w:hyperlink w:anchor="__RefHeading___Toc2570688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ما کان بید المسلم من اللحوم و الشحوم و الجلود إذا لم یعلم کونها من غیر الذکیّ یؤخذ منه</w:t>
            </w:r>
            <w:r>
              <w:rPr>
                <w:rStyle w:val="IndexLink"/>
                <w:rtl w:val="true"/>
              </w:rPr>
              <w:t>]</w:t>
              <w:tab/>
            </w:r>
            <w:r>
              <w:rPr>
                <w:rStyle w:val="IndexLink"/>
              </w:rPr>
              <w:t>696</w:t>
            </w:r>
          </w:hyperlink>
        </w:p>
        <w:p>
          <w:pPr>
            <w:pStyle w:val="Contents4"/>
            <w:tabs>
              <w:tab w:val="clear" w:pos="8176"/>
              <w:tab w:val="right" w:pos="9026" w:leader="dot"/>
            </w:tabs>
            <w:rPr/>
          </w:pPr>
          <w:hyperlink w:anchor="__RefHeading___Toc2570690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لا فرق فی إباحة ما یؤخذ من ید المسلم بین کونه مؤمناً أو مخالفاً</w:t>
            </w:r>
            <w:r>
              <w:rPr>
                <w:rStyle w:val="IndexLink"/>
                <w:rtl w:val="true"/>
              </w:rPr>
              <w:t>]</w:t>
              <w:tab/>
            </w:r>
            <w:r>
              <w:rPr>
                <w:rStyle w:val="IndexLink"/>
              </w:rPr>
              <w:t>697</w:t>
            </w:r>
          </w:hyperlink>
        </w:p>
        <w:p>
          <w:pPr>
            <w:pStyle w:val="Contents2"/>
            <w:tabs>
              <w:tab w:val="clear" w:pos="8743"/>
              <w:tab w:val="right" w:pos="9026" w:leader="dot"/>
            </w:tabs>
            <w:rPr/>
          </w:pPr>
          <w:hyperlink w:anchor="__RefHeading___Toc2570692_3650668749">
            <w:r>
              <w:rPr>
                <w:webHidden/>
                <w:rStyle w:val="IndexLink"/>
                <w:rtl w:val="true"/>
              </w:rPr>
              <w:t>[</w:t>
            </w:r>
            <w:r>
              <w:rPr>
                <w:rStyle w:val="IndexLink"/>
                <w:rtl w:val="true"/>
              </w:rPr>
              <w:t>کتاب الأطعمة و الأشربة</w:t>
            </w:r>
            <w:r>
              <w:rPr>
                <w:rStyle w:val="IndexLink"/>
                <w:rtl w:val="true"/>
              </w:rPr>
              <w:t>]</w:t>
              <w:tab/>
            </w:r>
            <w:r>
              <w:rPr>
                <w:rStyle w:val="IndexLink"/>
              </w:rPr>
              <w:t>698</w:t>
            </w:r>
          </w:hyperlink>
        </w:p>
        <w:p>
          <w:pPr>
            <w:pStyle w:val="Contents3"/>
            <w:tabs>
              <w:tab w:val="clear" w:pos="8459"/>
              <w:tab w:val="right" w:pos="9026" w:leader="dot"/>
            </w:tabs>
            <w:rPr/>
          </w:pPr>
          <w:hyperlink w:anchor="__RefHeading___Toc2570694_3650668749">
            <w:r>
              <w:rPr>
                <w:webHidden/>
                <w:rStyle w:val="IndexLink"/>
                <w:rtl w:val="true"/>
              </w:rPr>
              <w:t>اشارة</w:t>
            </w:r>
            <w:r>
              <w:rPr>
                <w:rStyle w:val="IndexLink"/>
                <w:rtl w:val="true"/>
              </w:rPr>
              <w:tab/>
            </w:r>
            <w:r>
              <w:rPr>
                <w:rStyle w:val="IndexLink"/>
              </w:rPr>
              <w:t>698</w:t>
            </w:r>
          </w:hyperlink>
        </w:p>
        <w:p>
          <w:pPr>
            <w:pStyle w:val="Contents3"/>
            <w:tabs>
              <w:tab w:val="clear" w:pos="8459"/>
              <w:tab w:val="right" w:pos="9026" w:leader="dot"/>
            </w:tabs>
            <w:rPr/>
          </w:pPr>
          <w:hyperlink w:anchor="__RefHeading___Toc2570696_3650668749">
            <w:r>
              <w:rPr>
                <w:webHidden/>
                <w:rStyle w:val="IndexLink"/>
                <w:rtl w:val="true"/>
              </w:rPr>
              <w:t>[</w:t>
            </w:r>
            <w:r>
              <w:rPr>
                <w:rStyle w:val="IndexLink"/>
                <w:rtl w:val="true"/>
              </w:rPr>
              <w:t>القول فی الحیوان</w:t>
            </w:r>
            <w:r>
              <w:rPr>
                <w:rStyle w:val="IndexLink"/>
                <w:rtl w:val="true"/>
              </w:rPr>
              <w:t>]</w:t>
              <w:tab/>
            </w:r>
            <w:r>
              <w:rPr>
                <w:rStyle w:val="IndexLink"/>
              </w:rPr>
              <w:t>698</w:t>
            </w:r>
          </w:hyperlink>
        </w:p>
        <w:p>
          <w:pPr>
            <w:pStyle w:val="Contents4"/>
            <w:tabs>
              <w:tab w:val="clear" w:pos="8176"/>
              <w:tab w:val="right" w:pos="9026" w:leader="dot"/>
            </w:tabs>
            <w:rPr/>
          </w:pPr>
          <w:hyperlink w:anchor="__RefHeading___Toc2570698_3650668749">
            <w:r>
              <w:rPr>
                <w:webHidden/>
                <w:rStyle w:val="IndexLink"/>
                <w:rtl w:val="true"/>
              </w:rPr>
              <w:t>اشارة</w:t>
            </w:r>
            <w:r>
              <w:rPr>
                <w:rStyle w:val="IndexLink"/>
                <w:rtl w:val="true"/>
              </w:rPr>
              <w:tab/>
            </w:r>
            <w:r>
              <w:rPr>
                <w:rStyle w:val="IndexLink"/>
              </w:rPr>
              <w:t>698</w:t>
            </w:r>
          </w:hyperlink>
        </w:p>
        <w:p>
          <w:pPr>
            <w:pStyle w:val="Contents4"/>
            <w:tabs>
              <w:tab w:val="clear" w:pos="8176"/>
              <w:tab w:val="right" w:pos="9026" w:leader="dot"/>
            </w:tabs>
            <w:rPr/>
          </w:pPr>
          <w:hyperlink w:anchor="__RefHeading___Toc257070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یؤکل من حیوان البحر إلّا السمک</w:t>
            </w:r>
            <w:r>
              <w:rPr>
                <w:rStyle w:val="IndexLink"/>
                <w:rtl w:val="true"/>
              </w:rPr>
              <w:t>]</w:t>
              <w:tab/>
            </w:r>
            <w:r>
              <w:rPr>
                <w:rStyle w:val="IndexLink"/>
              </w:rPr>
              <w:t>698</w:t>
            </w:r>
          </w:hyperlink>
        </w:p>
        <w:p>
          <w:pPr>
            <w:pStyle w:val="Contents4"/>
            <w:tabs>
              <w:tab w:val="clear" w:pos="8176"/>
              <w:tab w:val="right" w:pos="9026" w:leader="dot"/>
            </w:tabs>
            <w:rPr/>
          </w:pPr>
          <w:hyperlink w:anchor="__RefHeading___Toc257070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یؤکل من السمک إلّا ما کان له فلس و قشور بالأصل</w:t>
            </w:r>
            <w:r>
              <w:rPr>
                <w:rStyle w:val="IndexLink"/>
                <w:rtl w:val="true"/>
              </w:rPr>
              <w:t>]</w:t>
              <w:tab/>
            </w:r>
            <w:r>
              <w:rPr>
                <w:rStyle w:val="IndexLink"/>
              </w:rPr>
              <w:t>698</w:t>
            </w:r>
          </w:hyperlink>
        </w:p>
        <w:p>
          <w:pPr>
            <w:pStyle w:val="Contents4"/>
            <w:tabs>
              <w:tab w:val="clear" w:pos="8176"/>
              <w:tab w:val="right" w:pos="9026" w:leader="dot"/>
            </w:tabs>
            <w:rPr/>
          </w:pPr>
          <w:hyperlink w:anchor="__RefHeading___Toc257070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 xml:space="preserve">الإربیان المسمّی فی لسان أهل هذا الزمان ب </w:t>
            </w:r>
            <w:r>
              <w:rPr>
                <w:rStyle w:val="IndexLink"/>
                <w:rtl w:val="true"/>
              </w:rPr>
              <w:t>«</w:t>
            </w:r>
            <w:r>
              <w:rPr>
                <w:rStyle w:val="IndexLink"/>
                <w:rtl w:val="true"/>
              </w:rPr>
              <w:t>الروبیان</w:t>
            </w:r>
            <w:r>
              <w:rPr>
                <w:rStyle w:val="IndexLink"/>
                <w:rtl w:val="true"/>
              </w:rPr>
              <w:t xml:space="preserve">» </w:t>
            </w:r>
            <w:r>
              <w:rPr>
                <w:rStyle w:val="IndexLink"/>
                <w:rtl w:val="true"/>
              </w:rPr>
              <w:t>من جنس السمک الذی له فلس</w:t>
            </w:r>
            <w:r>
              <w:rPr>
                <w:rStyle w:val="IndexLink"/>
                <w:rtl w:val="true"/>
              </w:rPr>
              <w:t>]</w:t>
              <w:tab/>
            </w:r>
            <w:r>
              <w:rPr>
                <w:rStyle w:val="IndexLink"/>
              </w:rPr>
              <w:t>698</w:t>
            </w:r>
          </w:hyperlink>
        </w:p>
        <w:p>
          <w:pPr>
            <w:pStyle w:val="Contents4"/>
            <w:tabs>
              <w:tab w:val="clear" w:pos="8176"/>
              <w:tab w:val="right" w:pos="9026" w:leader="dot"/>
            </w:tabs>
            <w:rPr/>
          </w:pPr>
          <w:hyperlink w:anchor="__RefHeading___Toc257070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بیض السمک تتبع السمک، فبیض المحلّل حلال و إن کان أملس، و بیض</w:t>
            </w:r>
            <w:r>
              <w:rPr>
                <w:rStyle w:val="IndexLink"/>
                <w:rtl w:val="true"/>
              </w:rPr>
              <w:t>]</w:t>
              <w:tab/>
            </w:r>
            <w:r>
              <w:rPr>
                <w:rStyle w:val="IndexLink"/>
              </w:rPr>
              <w:t>698</w:t>
            </w:r>
          </w:hyperlink>
        </w:p>
        <w:p>
          <w:pPr>
            <w:pStyle w:val="Contents4"/>
            <w:tabs>
              <w:tab w:val="clear" w:pos="8176"/>
              <w:tab w:val="right" w:pos="9026" w:leader="dot"/>
            </w:tabs>
            <w:rPr/>
          </w:pPr>
          <w:hyperlink w:anchor="__RefHeading___Toc257070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البهائم البرّیّة من الحیوان صنفان</w:t>
            </w:r>
            <w:r>
              <w:rPr>
                <w:rStyle w:val="IndexLink"/>
                <w:rtl w:val="true"/>
              </w:rPr>
              <w:t xml:space="preserve">: </w:t>
            </w:r>
            <w:r>
              <w:rPr>
                <w:rStyle w:val="IndexLink"/>
                <w:rtl w:val="true"/>
              </w:rPr>
              <w:t>إنسیّة و وحشیّة</w:t>
            </w:r>
            <w:r>
              <w:rPr>
                <w:rStyle w:val="IndexLink"/>
                <w:rtl w:val="true"/>
              </w:rPr>
              <w:t>]</w:t>
              <w:tab/>
            </w:r>
            <w:r>
              <w:rPr>
                <w:rStyle w:val="IndexLink"/>
              </w:rPr>
              <w:t>698</w:t>
            </w:r>
          </w:hyperlink>
        </w:p>
        <w:p>
          <w:pPr>
            <w:pStyle w:val="Contents4"/>
            <w:tabs>
              <w:tab w:val="clear" w:pos="8176"/>
              <w:tab w:val="right" w:pos="9026" w:leader="dot"/>
            </w:tabs>
            <w:rPr/>
          </w:pPr>
          <w:hyperlink w:anchor="__RefHeading___Toc257071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یحلّ من الطیر</w:t>
            </w:r>
            <w:r>
              <w:rPr>
                <w:rStyle w:val="IndexLink"/>
                <w:rtl w:val="true"/>
              </w:rPr>
              <w:t xml:space="preserve">: </w:t>
            </w:r>
            <w:r>
              <w:rPr>
                <w:rStyle w:val="IndexLink"/>
                <w:rtl w:val="true"/>
              </w:rPr>
              <w:t>الحمام بجمیع أصنافه</w:t>
            </w:r>
            <w:r>
              <w:rPr>
                <w:rStyle w:val="IndexLink"/>
                <w:rtl w:val="true"/>
              </w:rPr>
              <w:t>]</w:t>
              <w:tab/>
            </w:r>
            <w:r>
              <w:rPr>
                <w:rStyle w:val="IndexLink"/>
              </w:rPr>
              <w:t>699</w:t>
            </w:r>
          </w:hyperlink>
        </w:p>
        <w:p>
          <w:pPr>
            <w:pStyle w:val="Contents4"/>
            <w:tabs>
              <w:tab w:val="clear" w:pos="8176"/>
              <w:tab w:val="right" w:pos="9026" w:leader="dot"/>
            </w:tabs>
            <w:rPr/>
          </w:pPr>
          <w:hyperlink w:anchor="__RefHeading___Toc257071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الأحوط التنزّه و الاجتناب عن الغراب</w:t>
            </w:r>
            <w:r>
              <w:rPr>
                <w:rStyle w:val="IndexLink"/>
                <w:rtl w:val="true"/>
              </w:rPr>
              <w:t>]</w:t>
              <w:tab/>
            </w:r>
            <w:r>
              <w:rPr>
                <w:rStyle w:val="IndexLink"/>
              </w:rPr>
              <w:t>699</w:t>
            </w:r>
          </w:hyperlink>
        </w:p>
        <w:p>
          <w:pPr>
            <w:pStyle w:val="Contents4"/>
            <w:tabs>
              <w:tab w:val="clear" w:pos="8176"/>
              <w:tab w:val="right" w:pos="9026" w:leader="dot"/>
            </w:tabs>
            <w:rPr/>
          </w:pPr>
          <w:hyperlink w:anchor="__RefHeading___Toc257071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یمیّز محلّل الطیر عن محرّمه بأمرین</w:t>
            </w:r>
            <w:r>
              <w:rPr>
                <w:rStyle w:val="IndexLink"/>
                <w:rtl w:val="true"/>
              </w:rPr>
              <w:t>]</w:t>
              <w:tab/>
            </w:r>
            <w:r>
              <w:rPr>
                <w:rStyle w:val="IndexLink"/>
              </w:rPr>
              <w:t>699</w:t>
            </w:r>
          </w:hyperlink>
        </w:p>
        <w:p>
          <w:pPr>
            <w:pStyle w:val="Contents4"/>
            <w:tabs>
              <w:tab w:val="clear" w:pos="8176"/>
              <w:tab w:val="right" w:pos="9026" w:leader="dot"/>
            </w:tabs>
            <w:rPr/>
          </w:pPr>
          <w:hyperlink w:anchor="__RefHeading___Toc257071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لو تعارضت العلامتان کما إذا کان ما صفیفه أکثر من دفیفه</w:t>
            </w:r>
            <w:r>
              <w:rPr>
                <w:rStyle w:val="IndexLink"/>
                <w:rtl w:val="true"/>
              </w:rPr>
              <w:t>]</w:t>
              <w:tab/>
            </w:r>
            <w:r>
              <w:rPr>
                <w:rStyle w:val="IndexLink"/>
              </w:rPr>
              <w:t>700</w:t>
            </w:r>
          </w:hyperlink>
        </w:p>
        <w:p>
          <w:pPr>
            <w:pStyle w:val="Contents4"/>
            <w:tabs>
              <w:tab w:val="clear" w:pos="8176"/>
              <w:tab w:val="right" w:pos="9026" w:leader="dot"/>
            </w:tabs>
            <w:rPr/>
          </w:pPr>
          <w:hyperlink w:anchor="__RefHeading___Toc2570718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لو رأی طیراً یطیر و له صفیف و دفیف و لم یتبیّن أیّهما أکثر</w:t>
            </w:r>
            <w:r>
              <w:rPr>
                <w:rStyle w:val="IndexLink"/>
                <w:rtl w:val="true"/>
              </w:rPr>
              <w:t>]</w:t>
              <w:tab/>
            </w:r>
            <w:r>
              <w:rPr>
                <w:rStyle w:val="IndexLink"/>
              </w:rPr>
              <w:t>700</w:t>
            </w:r>
          </w:hyperlink>
        </w:p>
        <w:p>
          <w:pPr>
            <w:pStyle w:val="Contents4"/>
            <w:tabs>
              <w:tab w:val="clear" w:pos="8176"/>
              <w:tab w:val="right" w:pos="9026" w:leader="dot"/>
            </w:tabs>
            <w:rPr/>
          </w:pPr>
          <w:hyperlink w:anchor="__RefHeading___Toc2570720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لو فرض تساوی الصفیف و الدفیف فیه فالمشهور علیٰ حلّیّته</w:t>
            </w:r>
            <w:r>
              <w:rPr>
                <w:rStyle w:val="IndexLink"/>
                <w:rtl w:val="true"/>
              </w:rPr>
              <w:t>]</w:t>
              <w:tab/>
            </w:r>
            <w:r>
              <w:rPr>
                <w:rStyle w:val="IndexLink"/>
              </w:rPr>
              <w:t>700</w:t>
            </w:r>
          </w:hyperlink>
        </w:p>
        <w:p>
          <w:pPr>
            <w:pStyle w:val="Contents4"/>
            <w:tabs>
              <w:tab w:val="clear" w:pos="8176"/>
              <w:tab w:val="right" w:pos="9026" w:leader="dot"/>
            </w:tabs>
            <w:rPr/>
          </w:pPr>
          <w:hyperlink w:anchor="__RefHeading___Toc2570722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بیض الطیور تابعة لها فی الحلّ و الحرمة</w:t>
            </w:r>
            <w:r>
              <w:rPr>
                <w:rStyle w:val="IndexLink"/>
                <w:rtl w:val="true"/>
              </w:rPr>
              <w:t>]</w:t>
              <w:tab/>
            </w:r>
            <w:r>
              <w:rPr>
                <w:rStyle w:val="IndexLink"/>
              </w:rPr>
              <w:t>700</w:t>
            </w:r>
          </w:hyperlink>
        </w:p>
        <w:p>
          <w:pPr>
            <w:pStyle w:val="Contents4"/>
            <w:tabs>
              <w:tab w:val="clear" w:pos="8176"/>
              <w:tab w:val="right" w:pos="9026" w:leader="dot"/>
            </w:tabs>
            <w:rPr/>
          </w:pPr>
          <w:hyperlink w:anchor="__RefHeading___Toc2570724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النعامة من الطیور؛ و هی حلال لحماً و بیضاً علی الأقویٰ</w:t>
            </w:r>
            <w:r>
              <w:rPr>
                <w:rStyle w:val="IndexLink"/>
                <w:rtl w:val="true"/>
              </w:rPr>
              <w:t>]</w:t>
              <w:tab/>
            </w:r>
            <w:r>
              <w:rPr>
                <w:rStyle w:val="IndexLink"/>
              </w:rPr>
              <w:t>701</w:t>
            </w:r>
          </w:hyperlink>
        </w:p>
        <w:p>
          <w:pPr>
            <w:pStyle w:val="Contents4"/>
            <w:tabs>
              <w:tab w:val="clear" w:pos="8176"/>
              <w:tab w:val="right" w:pos="9026" w:leader="dot"/>
            </w:tabs>
            <w:rPr/>
          </w:pPr>
          <w:hyperlink w:anchor="__RefHeading___Toc2570726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اللقلق لم ینصّ علیٰ حرمته و لا علیٰ حلّیته</w:t>
            </w:r>
            <w:r>
              <w:rPr>
                <w:rStyle w:val="IndexLink"/>
                <w:rtl w:val="true"/>
              </w:rPr>
              <w:t>]</w:t>
              <w:tab/>
            </w:r>
            <w:r>
              <w:rPr>
                <w:rStyle w:val="IndexLink"/>
              </w:rPr>
              <w:t>701</w:t>
            </w:r>
          </w:hyperlink>
        </w:p>
        <w:p>
          <w:pPr>
            <w:pStyle w:val="Contents4"/>
            <w:tabs>
              <w:tab w:val="clear" w:pos="8176"/>
              <w:tab w:val="right" w:pos="9026" w:leader="dot"/>
            </w:tabs>
            <w:rPr/>
          </w:pPr>
          <w:hyperlink w:anchor="__RefHeading___Toc2570728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تعرض الحرمة علی الحیوان المحلّل بالأصل من أُمور</w:t>
            </w:r>
            <w:r>
              <w:rPr>
                <w:rStyle w:val="IndexLink"/>
                <w:rtl w:val="true"/>
              </w:rPr>
              <w:t>]</w:t>
              <w:tab/>
            </w:r>
            <w:r>
              <w:rPr>
                <w:rStyle w:val="IndexLink"/>
              </w:rPr>
              <w:t>701</w:t>
            </w:r>
          </w:hyperlink>
        </w:p>
        <w:p>
          <w:pPr>
            <w:pStyle w:val="Contents4"/>
            <w:tabs>
              <w:tab w:val="clear" w:pos="8176"/>
              <w:tab w:val="right" w:pos="9026" w:leader="dot"/>
            </w:tabs>
            <w:rPr/>
          </w:pPr>
          <w:hyperlink w:anchor="__RefHeading___Toc2570730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یعمّ حکم الجلل کلّ حیوان محلّل حتّی الطیر و السمک</w:t>
            </w:r>
            <w:r>
              <w:rPr>
                <w:rStyle w:val="IndexLink"/>
                <w:rtl w:val="true"/>
              </w:rPr>
              <w:t>]</w:t>
              <w:tab/>
            </w:r>
            <w:r>
              <w:rPr>
                <w:rStyle w:val="IndexLink"/>
              </w:rPr>
              <w:t>701</w:t>
            </w:r>
          </w:hyperlink>
        </w:p>
        <w:p>
          <w:pPr>
            <w:pStyle w:val="Contents4"/>
            <w:tabs>
              <w:tab w:val="clear" w:pos="8176"/>
              <w:tab w:val="right" w:pos="9026" w:leader="dot"/>
            </w:tabs>
            <w:rPr/>
          </w:pPr>
          <w:hyperlink w:anchor="__RefHeading___Toc2570732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و کما یحرم لحم الحیوان بالجلل، یحرم لبنه و بیضه</w:t>
            </w:r>
            <w:r>
              <w:rPr>
                <w:rStyle w:val="IndexLink"/>
                <w:rtl w:val="true"/>
              </w:rPr>
              <w:t>]</w:t>
              <w:tab/>
            </w:r>
            <w:r>
              <w:rPr>
                <w:rStyle w:val="IndexLink"/>
              </w:rPr>
              <w:t>701</w:t>
            </w:r>
          </w:hyperlink>
        </w:p>
        <w:p>
          <w:pPr>
            <w:pStyle w:val="Contents4"/>
            <w:tabs>
              <w:tab w:val="clear" w:pos="8176"/>
              <w:tab w:val="right" w:pos="9026" w:leader="dot"/>
            </w:tabs>
            <w:rPr/>
          </w:pPr>
          <w:hyperlink w:anchor="__RefHeading___Toc2570734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الظاهر أنّ الجلل لیس مانعاً عن وقوع التذکیة</w:t>
            </w:r>
            <w:r>
              <w:rPr>
                <w:rStyle w:val="IndexLink"/>
                <w:rtl w:val="true"/>
              </w:rPr>
              <w:t>]</w:t>
              <w:tab/>
            </w:r>
            <w:r>
              <w:rPr>
                <w:rStyle w:val="IndexLink"/>
              </w:rPr>
              <w:t>701</w:t>
            </w:r>
          </w:hyperlink>
        </w:p>
        <w:p>
          <w:pPr>
            <w:pStyle w:val="Contents4"/>
            <w:tabs>
              <w:tab w:val="clear" w:pos="8176"/>
              <w:tab w:val="right" w:pos="9026" w:leader="dot"/>
            </w:tabs>
            <w:rPr/>
          </w:pPr>
          <w:hyperlink w:anchor="__RefHeading___Toc2570736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تزول حرمة الجلّال بالاستبراء بترک التغذّی بالعذرة و التغذّی بغیرها مدّة</w:t>
            </w:r>
            <w:r>
              <w:rPr>
                <w:rStyle w:val="IndexLink"/>
                <w:rtl w:val="true"/>
              </w:rPr>
              <w:t>]</w:t>
              <w:tab/>
            </w:r>
            <w:r>
              <w:rPr>
                <w:rStyle w:val="IndexLink"/>
              </w:rPr>
              <w:t>701</w:t>
            </w:r>
          </w:hyperlink>
        </w:p>
        <w:p>
          <w:pPr>
            <w:pStyle w:val="Contents4"/>
            <w:tabs>
              <w:tab w:val="clear" w:pos="8176"/>
              <w:tab w:val="right" w:pos="9026" w:leader="dot"/>
            </w:tabs>
            <w:rPr/>
          </w:pPr>
          <w:hyperlink w:anchor="__RefHeading___Toc2570738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کیفیّة الاستبراء أن یمنع الحیوان بربط أو حبس عن التغذّی بالعذرة فی المدّة المقرّرة</w:t>
            </w:r>
            <w:r>
              <w:rPr>
                <w:rStyle w:val="IndexLink"/>
                <w:rtl w:val="true"/>
              </w:rPr>
              <w:t>]</w:t>
              <w:tab/>
            </w:r>
            <w:r>
              <w:rPr>
                <w:rStyle w:val="IndexLink"/>
              </w:rPr>
              <w:t>702</w:t>
            </w:r>
          </w:hyperlink>
        </w:p>
        <w:p>
          <w:pPr>
            <w:pStyle w:val="Contents4"/>
            <w:tabs>
              <w:tab w:val="clear" w:pos="8176"/>
              <w:tab w:val="right" w:pos="9026" w:leader="dot"/>
            </w:tabs>
            <w:rPr/>
          </w:pPr>
          <w:hyperlink w:anchor="__RefHeading___Toc2570740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یستحبّ ربط الدجاجة التی یراد أکلها أیّاماً، ثمّ ذبحها و إن لم یعلم جللها</w:t>
            </w:r>
            <w:r>
              <w:rPr>
                <w:rStyle w:val="IndexLink"/>
                <w:rtl w:val="true"/>
              </w:rPr>
              <w:t>]</w:t>
              <w:tab/>
            </w:r>
            <w:r>
              <w:rPr>
                <w:rStyle w:val="IndexLink"/>
              </w:rPr>
              <w:t>702</w:t>
            </w:r>
          </w:hyperlink>
        </w:p>
        <w:p>
          <w:pPr>
            <w:pStyle w:val="Contents4"/>
            <w:tabs>
              <w:tab w:val="clear" w:pos="8176"/>
              <w:tab w:val="right" w:pos="9026" w:leader="dot"/>
            </w:tabs>
            <w:rPr/>
          </w:pPr>
          <w:hyperlink w:anchor="__RefHeading___Toc2570742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و ممّا یوجب حرمة الحیوان المحلّل بالأصل أن یطأه الإنسان قبلًا أو دبراً و إن لم ینزل</w:t>
            </w:r>
            <w:r>
              <w:rPr>
                <w:rStyle w:val="IndexLink"/>
                <w:rtl w:val="true"/>
              </w:rPr>
              <w:t>]</w:t>
              <w:tab/>
            </w:r>
            <w:r>
              <w:rPr>
                <w:rStyle w:val="IndexLink"/>
              </w:rPr>
              <w:t>702</w:t>
            </w:r>
          </w:hyperlink>
        </w:p>
        <w:p>
          <w:pPr>
            <w:pStyle w:val="Contents4"/>
            <w:tabs>
              <w:tab w:val="clear" w:pos="8176"/>
              <w:tab w:val="right" w:pos="9026" w:leader="dot"/>
            </w:tabs>
            <w:rPr/>
          </w:pPr>
          <w:hyperlink w:anchor="__RefHeading___Toc2570744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الحیوان الموطوء إن کان ممّا یراد أکله کالشاة و البقرة و الناقة یجب أن یذبح</w:t>
            </w:r>
            <w:r>
              <w:rPr>
                <w:rStyle w:val="IndexLink"/>
                <w:rtl w:val="true"/>
              </w:rPr>
              <w:t>]</w:t>
              <w:tab/>
            </w:r>
            <w:r>
              <w:rPr>
                <w:rStyle w:val="IndexLink"/>
              </w:rPr>
              <w:t>702</w:t>
            </w:r>
          </w:hyperlink>
        </w:p>
        <w:p>
          <w:pPr>
            <w:pStyle w:val="Contents4"/>
            <w:tabs>
              <w:tab w:val="clear" w:pos="8176"/>
              <w:tab w:val="right" w:pos="9026" w:leader="dot"/>
            </w:tabs>
            <w:rPr/>
          </w:pPr>
          <w:hyperlink w:anchor="__RefHeading___Toc2570746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و ممّا یوجب عروض الحرمة علی الحیوان المحلّل بالأصل أن یرضع حمل أو جدی أو عجل من لبن خنزیرة</w:t>
            </w:r>
            <w:r>
              <w:rPr>
                <w:rStyle w:val="IndexLink"/>
                <w:rtl w:val="true"/>
              </w:rPr>
              <w:t>]</w:t>
              <w:tab/>
            </w:r>
            <w:r>
              <w:rPr>
                <w:rStyle w:val="IndexLink"/>
              </w:rPr>
              <w:t>702</w:t>
            </w:r>
          </w:hyperlink>
        </w:p>
        <w:p>
          <w:pPr>
            <w:pStyle w:val="Contents4"/>
            <w:tabs>
              <w:tab w:val="clear" w:pos="8176"/>
              <w:tab w:val="right" w:pos="9026" w:leader="dot"/>
            </w:tabs>
            <w:rPr/>
          </w:pPr>
          <w:hyperlink w:anchor="__RefHeading___Toc2570748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لو شرب الحیوان المحلّل الخمر حتّی سکر و ذبح فی تلک الحال یؤکل لحمه</w:t>
            </w:r>
            <w:r>
              <w:rPr>
                <w:rStyle w:val="IndexLink"/>
                <w:rtl w:val="true"/>
              </w:rPr>
              <w:t>]</w:t>
              <w:tab/>
            </w:r>
            <w:r>
              <w:rPr>
                <w:rStyle w:val="IndexLink"/>
              </w:rPr>
              <w:t>703</w:t>
            </w:r>
          </w:hyperlink>
        </w:p>
        <w:p>
          <w:pPr>
            <w:pStyle w:val="Contents4"/>
            <w:tabs>
              <w:tab w:val="clear" w:pos="8176"/>
              <w:tab w:val="right" w:pos="9026" w:leader="dot"/>
            </w:tabs>
            <w:rPr/>
          </w:pPr>
          <w:hyperlink w:anchor="__RefHeading___Toc2570750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لو رضع جدی أو عناق أو عجل من لبن امرأة حتّی فطم و کبر</w:t>
            </w:r>
            <w:r>
              <w:rPr>
                <w:rStyle w:val="IndexLink"/>
                <w:rtl w:val="true"/>
              </w:rPr>
              <w:t>]</w:t>
              <w:tab/>
            </w:r>
            <w:r>
              <w:rPr>
                <w:rStyle w:val="IndexLink"/>
              </w:rPr>
              <w:t>703</w:t>
            </w:r>
          </w:hyperlink>
        </w:p>
        <w:p>
          <w:pPr>
            <w:pStyle w:val="Contents4"/>
            <w:tabs>
              <w:tab w:val="clear" w:pos="8176"/>
              <w:tab w:val="right" w:pos="9026" w:leader="dot"/>
            </w:tabs>
            <w:rPr/>
          </w:pPr>
          <w:hyperlink w:anchor="__RefHeading___Toc2570752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یحرم من الحیوان المحلّل و إن ذکّی أربعة عشر شیئاً</w:t>
            </w:r>
            <w:r>
              <w:rPr>
                <w:rStyle w:val="IndexLink"/>
                <w:rtl w:val="true"/>
              </w:rPr>
              <w:t>]</w:t>
              <w:tab/>
            </w:r>
            <w:r>
              <w:rPr>
                <w:rStyle w:val="IndexLink"/>
              </w:rPr>
              <w:t>703</w:t>
            </w:r>
          </w:hyperlink>
        </w:p>
        <w:p>
          <w:pPr>
            <w:pStyle w:val="Contents4"/>
            <w:tabs>
              <w:tab w:val="clear" w:pos="8176"/>
              <w:tab w:val="right" w:pos="9026" w:leader="dot"/>
            </w:tabs>
            <w:rPr/>
          </w:pPr>
          <w:hyperlink w:anchor="__RefHeading___Toc2570754_3650668749">
            <w:r>
              <w:rPr>
                <w:webHidden/>
                <w:rStyle w:val="IndexLink"/>
                <w:rtl w:val="true"/>
              </w:rPr>
              <w:t>[ (</w:t>
            </w:r>
            <w:r>
              <w:rPr>
                <w:rStyle w:val="IndexLink"/>
                <w:rtl w:val="true"/>
              </w:rPr>
              <w:t xml:space="preserve">مسألة </w:t>
            </w:r>
            <w:r>
              <w:rPr>
                <w:rStyle w:val="IndexLink"/>
              </w:rPr>
              <w:t>28</w:t>
            </w:r>
            <w:r>
              <w:rPr>
                <w:rStyle w:val="IndexLink"/>
                <w:rtl w:val="true"/>
              </w:rPr>
              <w:t xml:space="preserve">): </w:t>
            </w:r>
            <w:r>
              <w:rPr>
                <w:rStyle w:val="IndexLink"/>
                <w:rtl w:val="true"/>
              </w:rPr>
              <w:t>تختصّ حرمة الأشیاء المذکورة بالذبیحة و المنحورة</w:t>
            </w:r>
            <w:r>
              <w:rPr>
                <w:rStyle w:val="IndexLink"/>
                <w:rtl w:val="true"/>
              </w:rPr>
              <w:t>]</w:t>
              <w:tab/>
            </w:r>
            <w:r>
              <w:rPr>
                <w:rStyle w:val="IndexLink"/>
              </w:rPr>
              <w:t>703</w:t>
            </w:r>
          </w:hyperlink>
        </w:p>
        <w:p>
          <w:pPr>
            <w:pStyle w:val="Contents4"/>
            <w:tabs>
              <w:tab w:val="clear" w:pos="8176"/>
              <w:tab w:val="right" w:pos="9026" w:leader="dot"/>
            </w:tabs>
            <w:rPr/>
          </w:pPr>
          <w:hyperlink w:anchor="__RefHeading___Toc2570756_3650668749">
            <w:r>
              <w:rPr>
                <w:webHidden/>
                <w:rStyle w:val="IndexLink"/>
                <w:rtl w:val="true"/>
              </w:rPr>
              <w:t>[ (</w:t>
            </w:r>
            <w:r>
              <w:rPr>
                <w:rStyle w:val="IndexLink"/>
                <w:rtl w:val="true"/>
              </w:rPr>
              <w:t xml:space="preserve">مسألة </w:t>
            </w:r>
            <w:r>
              <w:rPr>
                <w:rStyle w:val="IndexLink"/>
              </w:rPr>
              <w:t>29</w:t>
            </w:r>
            <w:r>
              <w:rPr>
                <w:rStyle w:val="IndexLink"/>
                <w:rtl w:val="true"/>
              </w:rPr>
              <w:t xml:space="preserve">): </w:t>
            </w:r>
            <w:r>
              <w:rPr>
                <w:rStyle w:val="IndexLink"/>
                <w:rtl w:val="true"/>
              </w:rPr>
              <w:t>لا یوجد فی الطیور شی‌ء ممّا ذکر</w:t>
            </w:r>
            <w:r>
              <w:rPr>
                <w:rStyle w:val="IndexLink"/>
                <w:rtl w:val="true"/>
              </w:rPr>
              <w:t>]</w:t>
              <w:tab/>
            </w:r>
            <w:r>
              <w:rPr>
                <w:rStyle w:val="IndexLink"/>
              </w:rPr>
              <w:t>703</w:t>
            </w:r>
          </w:hyperlink>
        </w:p>
        <w:p>
          <w:pPr>
            <w:pStyle w:val="Contents4"/>
            <w:tabs>
              <w:tab w:val="clear" w:pos="8176"/>
              <w:tab w:val="right" w:pos="9026" w:leader="dot"/>
            </w:tabs>
            <w:rPr/>
          </w:pPr>
          <w:hyperlink w:anchor="__RefHeading___Toc2570758_3650668749">
            <w:r>
              <w:rPr>
                <w:webHidden/>
                <w:rStyle w:val="IndexLink"/>
                <w:rtl w:val="true"/>
              </w:rPr>
              <w:t>[ (</w:t>
            </w:r>
            <w:r>
              <w:rPr>
                <w:rStyle w:val="IndexLink"/>
                <w:rtl w:val="true"/>
              </w:rPr>
              <w:t xml:space="preserve">مسألة </w:t>
            </w:r>
            <w:r>
              <w:rPr>
                <w:rStyle w:val="IndexLink"/>
              </w:rPr>
              <w:t>30</w:t>
            </w:r>
            <w:r>
              <w:rPr>
                <w:rStyle w:val="IndexLink"/>
                <w:rtl w:val="true"/>
              </w:rPr>
              <w:t xml:space="preserve">): </w:t>
            </w:r>
            <w:r>
              <w:rPr>
                <w:rStyle w:val="IndexLink"/>
                <w:rtl w:val="true"/>
              </w:rPr>
              <w:t>یؤکل من الذبیحة غیر ما مرّ</w:t>
            </w:r>
            <w:r>
              <w:rPr>
                <w:rStyle w:val="IndexLink"/>
                <w:rtl w:val="true"/>
              </w:rPr>
              <w:t>]</w:t>
              <w:tab/>
            </w:r>
            <w:r>
              <w:rPr>
                <w:rStyle w:val="IndexLink"/>
              </w:rPr>
              <w:t>703</w:t>
            </w:r>
          </w:hyperlink>
        </w:p>
        <w:p>
          <w:pPr>
            <w:pStyle w:val="Contents4"/>
            <w:tabs>
              <w:tab w:val="clear" w:pos="8176"/>
              <w:tab w:val="right" w:pos="9026" w:leader="dot"/>
            </w:tabs>
            <w:rPr/>
          </w:pPr>
          <w:hyperlink w:anchor="__RefHeading___Toc2570760_3650668749">
            <w:r>
              <w:rPr>
                <w:webHidden/>
                <w:rStyle w:val="IndexLink"/>
                <w:rtl w:val="true"/>
              </w:rPr>
              <w:t>[ (</w:t>
            </w:r>
            <w:r>
              <w:rPr>
                <w:rStyle w:val="IndexLink"/>
                <w:rtl w:val="true"/>
              </w:rPr>
              <w:t xml:space="preserve">مسألة </w:t>
            </w:r>
            <w:r>
              <w:rPr>
                <w:rStyle w:val="IndexLink"/>
              </w:rPr>
              <w:t>31</w:t>
            </w:r>
            <w:r>
              <w:rPr>
                <w:rStyle w:val="IndexLink"/>
                <w:rtl w:val="true"/>
              </w:rPr>
              <w:t xml:space="preserve">): </w:t>
            </w:r>
            <w:r>
              <w:rPr>
                <w:rStyle w:val="IndexLink"/>
                <w:rtl w:val="true"/>
              </w:rPr>
              <w:t>یجوز أکل لحم ما حلّ أکله نیّاً و مطبوخاً</w:t>
            </w:r>
            <w:r>
              <w:rPr>
                <w:rStyle w:val="IndexLink"/>
                <w:rtl w:val="true"/>
              </w:rPr>
              <w:t>]</w:t>
              <w:tab/>
            </w:r>
            <w:r>
              <w:rPr>
                <w:rStyle w:val="IndexLink"/>
              </w:rPr>
              <w:t>704</w:t>
            </w:r>
          </w:hyperlink>
        </w:p>
        <w:p>
          <w:pPr>
            <w:pStyle w:val="Contents4"/>
            <w:tabs>
              <w:tab w:val="clear" w:pos="8176"/>
              <w:tab w:val="right" w:pos="9026" w:leader="dot"/>
            </w:tabs>
            <w:rPr/>
          </w:pPr>
          <w:hyperlink w:anchor="__RefHeading___Toc2570762_3650668749">
            <w:r>
              <w:rPr>
                <w:webHidden/>
                <w:rStyle w:val="IndexLink"/>
                <w:rtl w:val="true"/>
              </w:rPr>
              <w:t>[ (</w:t>
            </w:r>
            <w:r>
              <w:rPr>
                <w:rStyle w:val="IndexLink"/>
                <w:rtl w:val="true"/>
              </w:rPr>
              <w:t xml:space="preserve">مسألة </w:t>
            </w:r>
            <w:r>
              <w:rPr>
                <w:rStyle w:val="IndexLink"/>
              </w:rPr>
              <w:t>32</w:t>
            </w:r>
            <w:r>
              <w:rPr>
                <w:rStyle w:val="IndexLink"/>
                <w:rtl w:val="true"/>
              </w:rPr>
              <w:t xml:space="preserve">): </w:t>
            </w:r>
            <w:r>
              <w:rPr>
                <w:rStyle w:val="IndexLink"/>
                <w:rtl w:val="true"/>
              </w:rPr>
              <w:t>اختلفوا فی حلّیّة بول ما یؤکل لحمه کالغنم و البقر عند عدم الضرورة علیٰ قولین</w:t>
            </w:r>
            <w:r>
              <w:rPr>
                <w:rStyle w:val="IndexLink"/>
                <w:rtl w:val="true"/>
              </w:rPr>
              <w:t>]</w:t>
              <w:tab/>
            </w:r>
            <w:r>
              <w:rPr>
                <w:rStyle w:val="IndexLink"/>
              </w:rPr>
              <w:t>704</w:t>
            </w:r>
          </w:hyperlink>
        </w:p>
        <w:p>
          <w:pPr>
            <w:pStyle w:val="Contents4"/>
            <w:tabs>
              <w:tab w:val="clear" w:pos="8176"/>
              <w:tab w:val="right" w:pos="9026" w:leader="dot"/>
            </w:tabs>
            <w:rPr/>
          </w:pPr>
          <w:hyperlink w:anchor="__RefHeading___Toc2570764_3650668749">
            <w:r>
              <w:rPr>
                <w:webHidden/>
                <w:rStyle w:val="IndexLink"/>
                <w:rtl w:val="true"/>
              </w:rPr>
              <w:t>[ (</w:t>
            </w:r>
            <w:r>
              <w:rPr>
                <w:rStyle w:val="IndexLink"/>
                <w:rtl w:val="true"/>
              </w:rPr>
              <w:t xml:space="preserve">مسألة </w:t>
            </w:r>
            <w:r>
              <w:rPr>
                <w:rStyle w:val="IndexLink"/>
              </w:rPr>
              <w:t>33</w:t>
            </w:r>
            <w:r>
              <w:rPr>
                <w:rStyle w:val="IndexLink"/>
                <w:rtl w:val="true"/>
              </w:rPr>
              <w:t xml:space="preserve">): </w:t>
            </w:r>
            <w:r>
              <w:rPr>
                <w:rStyle w:val="IndexLink"/>
                <w:rtl w:val="true"/>
              </w:rPr>
              <w:t>یحرم رجیع کلّ حیوان، و لو کان ممّا حلّ أکله</w:t>
            </w:r>
            <w:r>
              <w:rPr>
                <w:rStyle w:val="IndexLink"/>
                <w:rtl w:val="true"/>
              </w:rPr>
              <w:t>]</w:t>
              <w:tab/>
            </w:r>
            <w:r>
              <w:rPr>
                <w:rStyle w:val="IndexLink"/>
              </w:rPr>
              <w:t>704</w:t>
            </w:r>
          </w:hyperlink>
        </w:p>
        <w:p>
          <w:pPr>
            <w:pStyle w:val="Contents4"/>
            <w:tabs>
              <w:tab w:val="clear" w:pos="8176"/>
              <w:tab w:val="right" w:pos="9026" w:leader="dot"/>
            </w:tabs>
            <w:rPr/>
          </w:pPr>
          <w:hyperlink w:anchor="__RefHeading___Toc2570766_3650668749">
            <w:r>
              <w:rPr>
                <w:webHidden/>
                <w:rStyle w:val="IndexLink"/>
                <w:rtl w:val="true"/>
              </w:rPr>
              <w:t>[ (</w:t>
            </w:r>
            <w:r>
              <w:rPr>
                <w:rStyle w:val="IndexLink"/>
                <w:rtl w:val="true"/>
              </w:rPr>
              <w:t xml:space="preserve">مسألة </w:t>
            </w:r>
            <w:r>
              <w:rPr>
                <w:rStyle w:val="IndexLink"/>
              </w:rPr>
              <w:t>34</w:t>
            </w:r>
            <w:r>
              <w:rPr>
                <w:rStyle w:val="IndexLink"/>
                <w:rtl w:val="true"/>
              </w:rPr>
              <w:t xml:space="preserve">): </w:t>
            </w:r>
            <w:r>
              <w:rPr>
                <w:rStyle w:val="IndexLink"/>
                <w:rtl w:val="true"/>
              </w:rPr>
              <w:t>یحرم الدم من الحیوان ذی النفس حتّی العلقة و الدم فی البیضة</w:t>
            </w:r>
            <w:r>
              <w:rPr>
                <w:rStyle w:val="IndexLink"/>
                <w:rtl w:val="true"/>
              </w:rPr>
              <w:t>]</w:t>
              <w:tab/>
            </w:r>
            <w:r>
              <w:rPr>
                <w:rStyle w:val="IndexLink"/>
              </w:rPr>
              <w:t>704</w:t>
            </w:r>
          </w:hyperlink>
        </w:p>
        <w:p>
          <w:pPr>
            <w:pStyle w:val="Contents4"/>
            <w:tabs>
              <w:tab w:val="clear" w:pos="8176"/>
              <w:tab w:val="right" w:pos="9026" w:leader="dot"/>
            </w:tabs>
            <w:rPr/>
          </w:pPr>
          <w:hyperlink w:anchor="__RefHeading___Toc2570768_3650668749">
            <w:r>
              <w:rPr>
                <w:webHidden/>
                <w:rStyle w:val="IndexLink"/>
                <w:rtl w:val="true"/>
              </w:rPr>
              <w:t>[ (</w:t>
            </w:r>
            <w:r>
              <w:rPr>
                <w:rStyle w:val="IndexLink"/>
                <w:rtl w:val="true"/>
              </w:rPr>
              <w:t xml:space="preserve">مسألة </w:t>
            </w:r>
            <w:r>
              <w:rPr>
                <w:rStyle w:val="IndexLink"/>
              </w:rPr>
              <w:t>35</w:t>
            </w:r>
            <w:r>
              <w:rPr>
                <w:rStyle w:val="IndexLink"/>
                <w:rtl w:val="true"/>
              </w:rPr>
              <w:t xml:space="preserve">): </w:t>
            </w:r>
            <w:r>
              <w:rPr>
                <w:rStyle w:val="IndexLink"/>
                <w:rtl w:val="true"/>
              </w:rPr>
              <w:t>قد مرّ فی کتاب الطهارة طهارة ما لا تحلّه الحیاة من المیتة</w:t>
            </w:r>
            <w:r>
              <w:rPr>
                <w:rStyle w:val="IndexLink"/>
                <w:rtl w:val="true"/>
              </w:rPr>
              <w:t>]</w:t>
              <w:tab/>
            </w:r>
            <w:r>
              <w:rPr>
                <w:rStyle w:val="IndexLink"/>
              </w:rPr>
              <w:t>704</w:t>
            </w:r>
          </w:hyperlink>
        </w:p>
        <w:p>
          <w:pPr>
            <w:pStyle w:val="Contents4"/>
            <w:tabs>
              <w:tab w:val="clear" w:pos="8176"/>
              <w:tab w:val="right" w:pos="9026" w:leader="dot"/>
            </w:tabs>
            <w:rPr/>
          </w:pPr>
          <w:hyperlink w:anchor="__RefHeading___Toc2570770_3650668749">
            <w:r>
              <w:rPr>
                <w:webHidden/>
                <w:rStyle w:val="IndexLink"/>
                <w:rtl w:val="true"/>
              </w:rPr>
              <w:t>[ (</w:t>
            </w:r>
            <w:r>
              <w:rPr>
                <w:rStyle w:val="IndexLink"/>
                <w:rtl w:val="true"/>
              </w:rPr>
              <w:t xml:space="preserve">مسألة </w:t>
            </w:r>
            <w:r>
              <w:rPr>
                <w:rStyle w:val="IndexLink"/>
              </w:rPr>
              <w:t>36</w:t>
            </w:r>
            <w:r>
              <w:rPr>
                <w:rStyle w:val="IndexLink"/>
                <w:rtl w:val="true"/>
              </w:rPr>
              <w:t xml:space="preserve">): </w:t>
            </w:r>
            <w:r>
              <w:rPr>
                <w:rStyle w:val="IndexLink"/>
                <w:rtl w:val="true"/>
              </w:rPr>
              <w:t>لا إشکال فی حرمة القیح و الوسخ و البلغم و النخامة من کلّ حیوان</w:t>
            </w:r>
            <w:r>
              <w:rPr>
                <w:rStyle w:val="IndexLink"/>
                <w:rtl w:val="true"/>
              </w:rPr>
              <w:t>]</w:t>
              <w:tab/>
            </w:r>
            <w:r>
              <w:rPr>
                <w:rStyle w:val="IndexLink"/>
              </w:rPr>
              <w:t>704</w:t>
            </w:r>
          </w:hyperlink>
        </w:p>
        <w:p>
          <w:pPr>
            <w:pStyle w:val="Contents3"/>
            <w:tabs>
              <w:tab w:val="clear" w:pos="8459"/>
              <w:tab w:val="right" w:pos="9026" w:leader="dot"/>
            </w:tabs>
            <w:rPr/>
          </w:pPr>
          <w:hyperlink w:anchor="__RefHeading___Toc2570772_3650668749">
            <w:r>
              <w:rPr>
                <w:webHidden/>
                <w:rStyle w:val="IndexLink"/>
                <w:rtl w:val="true"/>
              </w:rPr>
              <w:t>[</w:t>
            </w:r>
            <w:r>
              <w:rPr>
                <w:rStyle w:val="IndexLink"/>
                <w:rtl w:val="true"/>
              </w:rPr>
              <w:t>القول فی غیر الحیوان</w:t>
            </w:r>
            <w:r>
              <w:rPr>
                <w:rStyle w:val="IndexLink"/>
                <w:rtl w:val="true"/>
              </w:rPr>
              <w:t>]</w:t>
              <w:tab/>
            </w:r>
            <w:r>
              <w:rPr>
                <w:rStyle w:val="IndexLink"/>
              </w:rPr>
              <w:t>705</w:t>
            </w:r>
          </w:hyperlink>
        </w:p>
        <w:p>
          <w:pPr>
            <w:pStyle w:val="Contents4"/>
            <w:tabs>
              <w:tab w:val="clear" w:pos="8176"/>
              <w:tab w:val="right" w:pos="9026" w:leader="dot"/>
            </w:tabs>
            <w:rPr/>
          </w:pPr>
          <w:hyperlink w:anchor="__RefHeading___Toc2570774_3650668749">
            <w:r>
              <w:rPr>
                <w:webHidden/>
                <w:rStyle w:val="IndexLink"/>
                <w:rtl w:val="true"/>
              </w:rPr>
              <w:t>اشارة</w:t>
            </w:r>
            <w:r>
              <w:rPr>
                <w:rStyle w:val="IndexLink"/>
                <w:rtl w:val="true"/>
              </w:rPr>
              <w:tab/>
            </w:r>
            <w:r>
              <w:rPr>
                <w:rStyle w:val="IndexLink"/>
              </w:rPr>
              <w:t>705</w:t>
            </w:r>
          </w:hyperlink>
        </w:p>
        <w:p>
          <w:pPr>
            <w:pStyle w:val="Contents4"/>
            <w:tabs>
              <w:tab w:val="clear" w:pos="8176"/>
              <w:tab w:val="right" w:pos="9026" w:leader="dot"/>
            </w:tabs>
            <w:rPr/>
          </w:pPr>
          <w:hyperlink w:anchor="__RefHeading___Toc257077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یحرم تناول الأعیان النجسة و کذا المتنجّسة ما دامت باقیة علی النجاسة</w:t>
            </w:r>
            <w:r>
              <w:rPr>
                <w:rStyle w:val="IndexLink"/>
                <w:rtl w:val="true"/>
              </w:rPr>
              <w:t>]</w:t>
              <w:tab/>
            </w:r>
            <w:r>
              <w:rPr>
                <w:rStyle w:val="IndexLink"/>
              </w:rPr>
              <w:t>705</w:t>
            </w:r>
          </w:hyperlink>
        </w:p>
        <w:p>
          <w:pPr>
            <w:pStyle w:val="Contents4"/>
            <w:tabs>
              <w:tab w:val="clear" w:pos="8176"/>
              <w:tab w:val="right" w:pos="9026" w:leader="dot"/>
            </w:tabs>
            <w:rPr/>
          </w:pPr>
          <w:hyperlink w:anchor="__RefHeading___Toc257077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یحرم تناول کلّ ما یضرّ بالبدن</w:t>
            </w:r>
            <w:r>
              <w:rPr>
                <w:rStyle w:val="IndexLink"/>
                <w:rtl w:val="true"/>
              </w:rPr>
              <w:t>]</w:t>
              <w:tab/>
            </w:r>
            <w:r>
              <w:rPr>
                <w:rStyle w:val="IndexLink"/>
              </w:rPr>
              <w:t>705</w:t>
            </w:r>
          </w:hyperlink>
        </w:p>
        <w:p>
          <w:pPr>
            <w:pStyle w:val="Contents4"/>
            <w:tabs>
              <w:tab w:val="clear" w:pos="8176"/>
              <w:tab w:val="right" w:pos="9026" w:leader="dot"/>
            </w:tabs>
            <w:rPr/>
          </w:pPr>
          <w:hyperlink w:anchor="__RefHeading___Toc257078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فرق فی حرمة تناول المضرّ بین المعلوم الضرر و مظنونه</w:t>
            </w:r>
            <w:r>
              <w:rPr>
                <w:rStyle w:val="IndexLink"/>
                <w:rtl w:val="true"/>
              </w:rPr>
              <w:t>]</w:t>
              <w:tab/>
            </w:r>
            <w:r>
              <w:rPr>
                <w:rStyle w:val="IndexLink"/>
              </w:rPr>
              <w:t>705</w:t>
            </w:r>
          </w:hyperlink>
        </w:p>
        <w:p>
          <w:pPr>
            <w:pStyle w:val="Contents4"/>
            <w:tabs>
              <w:tab w:val="clear" w:pos="8176"/>
              <w:tab w:val="right" w:pos="9026" w:leader="dot"/>
            </w:tabs>
            <w:rPr/>
          </w:pPr>
          <w:hyperlink w:anchor="__RefHeading___Toc257078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یجوز التداوی و المعالجة بما یحتمل فیه الخطر</w:t>
            </w:r>
            <w:r>
              <w:rPr>
                <w:rStyle w:val="IndexLink"/>
                <w:rtl w:val="true"/>
              </w:rPr>
              <w:t>]</w:t>
              <w:tab/>
            </w:r>
            <w:r>
              <w:rPr>
                <w:rStyle w:val="IndexLink"/>
              </w:rPr>
              <w:t>705</w:t>
            </w:r>
          </w:hyperlink>
        </w:p>
        <w:p>
          <w:pPr>
            <w:pStyle w:val="Contents4"/>
            <w:tabs>
              <w:tab w:val="clear" w:pos="8176"/>
              <w:tab w:val="right" w:pos="9026" w:leader="dot"/>
            </w:tabs>
            <w:rPr/>
          </w:pPr>
          <w:hyperlink w:anchor="__RefHeading___Toc257078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ما کان یضرّ کثیره دون قلیله، یحرم کثیره المضرّ دون قلیله الغیر المضرّ</w:t>
            </w:r>
            <w:r>
              <w:rPr>
                <w:rStyle w:val="IndexLink"/>
                <w:rtl w:val="true"/>
              </w:rPr>
              <w:t>]</w:t>
              <w:tab/>
            </w:r>
            <w:r>
              <w:rPr>
                <w:rStyle w:val="IndexLink"/>
              </w:rPr>
              <w:t>705</w:t>
            </w:r>
          </w:hyperlink>
        </w:p>
        <w:p>
          <w:pPr>
            <w:pStyle w:val="Contents4"/>
            <w:tabs>
              <w:tab w:val="clear" w:pos="8176"/>
              <w:tab w:val="right" w:pos="9026" w:leader="dot"/>
            </w:tabs>
            <w:rPr/>
          </w:pPr>
          <w:hyperlink w:anchor="__RefHeading___Toc2570786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کان لا یضرّ تناوله مرّة أو مرّتین مثلًا و لکن یضرّ إدمانه و زیادة تکریره و التعوّد به</w:t>
            </w:r>
            <w:r>
              <w:rPr>
                <w:rStyle w:val="IndexLink"/>
                <w:rtl w:val="true"/>
              </w:rPr>
              <w:t>]</w:t>
              <w:tab/>
            </w:r>
            <w:r>
              <w:rPr>
                <w:rStyle w:val="IndexLink"/>
              </w:rPr>
              <w:t>705</w:t>
            </w:r>
          </w:hyperlink>
        </w:p>
        <w:p>
          <w:pPr>
            <w:pStyle w:val="Contents4"/>
            <w:tabs>
              <w:tab w:val="clear" w:pos="8176"/>
              <w:tab w:val="right" w:pos="9026" w:leader="dot"/>
            </w:tabs>
            <w:rPr/>
          </w:pPr>
          <w:hyperlink w:anchor="__RefHeading___Toc2570788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یحرم أکل الطین</w:t>
            </w:r>
            <w:r>
              <w:rPr>
                <w:rStyle w:val="IndexLink"/>
                <w:rtl w:val="true"/>
              </w:rPr>
              <w:t>]</w:t>
              <w:tab/>
            </w:r>
            <w:r>
              <w:rPr>
                <w:rStyle w:val="IndexLink"/>
              </w:rPr>
              <w:t>706</w:t>
            </w:r>
          </w:hyperlink>
        </w:p>
        <w:p>
          <w:pPr>
            <w:pStyle w:val="Contents4"/>
            <w:tabs>
              <w:tab w:val="clear" w:pos="8176"/>
              <w:tab w:val="right" w:pos="9026" w:leader="dot"/>
            </w:tabs>
            <w:rPr/>
          </w:pPr>
          <w:hyperlink w:anchor="__RefHeading___Toc2570790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الظاهر أنّه لا یلحق بالطین الرمل و الأحجار و أنواع المعادن</w:t>
            </w:r>
            <w:r>
              <w:rPr>
                <w:rStyle w:val="IndexLink"/>
                <w:rtl w:val="true"/>
              </w:rPr>
              <w:t>]</w:t>
              <w:tab/>
            </w:r>
            <w:r>
              <w:rPr>
                <w:rStyle w:val="IndexLink"/>
              </w:rPr>
              <w:t>706</w:t>
            </w:r>
          </w:hyperlink>
        </w:p>
        <w:p>
          <w:pPr>
            <w:pStyle w:val="Contents4"/>
            <w:tabs>
              <w:tab w:val="clear" w:pos="8176"/>
              <w:tab w:val="right" w:pos="9026" w:leader="dot"/>
            </w:tabs>
            <w:rPr/>
          </w:pPr>
          <w:hyperlink w:anchor="__RefHeading___Toc2570792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 xml:space="preserve">یستثنیٰ من الطین طین قبر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للاستشفاء</w:t>
            </w:r>
            <w:r>
              <w:rPr>
                <w:rStyle w:val="IndexLink"/>
                <w:rtl w:val="true"/>
              </w:rPr>
              <w:t>]</w:t>
              <w:tab/>
            </w:r>
            <w:r>
              <w:rPr>
                <w:rStyle w:val="IndexLink"/>
              </w:rPr>
              <w:t>706</w:t>
            </w:r>
          </w:hyperlink>
        </w:p>
        <w:p>
          <w:pPr>
            <w:pStyle w:val="Contents4"/>
            <w:tabs>
              <w:tab w:val="clear" w:pos="8176"/>
              <w:tab w:val="right" w:pos="9026" w:leader="dot"/>
            </w:tabs>
            <w:rPr/>
          </w:pPr>
          <w:hyperlink w:anchor="__RefHeading___Toc2570794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لأخذ التربة المقدّسة و تناولها عند الحاجة آداب و أدعیة مذکورة فی محالّها</w:t>
            </w:r>
            <w:r>
              <w:rPr>
                <w:rStyle w:val="IndexLink"/>
                <w:rtl w:val="true"/>
              </w:rPr>
              <w:t>]</w:t>
              <w:tab/>
            </w:r>
            <w:r>
              <w:rPr>
                <w:rStyle w:val="IndexLink"/>
              </w:rPr>
              <w:t>707</w:t>
            </w:r>
          </w:hyperlink>
        </w:p>
        <w:p>
          <w:pPr>
            <w:pStyle w:val="Contents4"/>
            <w:tabs>
              <w:tab w:val="clear" w:pos="8176"/>
              <w:tab w:val="right" w:pos="9026" w:leader="dot"/>
            </w:tabs>
            <w:rPr/>
          </w:pPr>
          <w:hyperlink w:anchor="__RefHeading___Toc2570796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القدر المتیقّن من محلّ أخذ التربة هو القبر الشریف و ما یقرب منه علیٰ وجه یلحق به عرفاً</w:t>
            </w:r>
            <w:r>
              <w:rPr>
                <w:rStyle w:val="IndexLink"/>
                <w:rtl w:val="true"/>
              </w:rPr>
              <w:t>]</w:t>
              <w:tab/>
            </w:r>
            <w:r>
              <w:rPr>
                <w:rStyle w:val="IndexLink"/>
              </w:rPr>
              <w:t>707</w:t>
            </w:r>
          </w:hyperlink>
        </w:p>
        <w:p>
          <w:pPr>
            <w:pStyle w:val="Contents4"/>
            <w:tabs>
              <w:tab w:val="clear" w:pos="8176"/>
              <w:tab w:val="right" w:pos="9026" w:leader="dot"/>
            </w:tabs>
            <w:rPr/>
          </w:pPr>
          <w:hyperlink w:anchor="__RefHeading___Toc2570798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تناول التربة المقدّسة للاستشفاء</w:t>
            </w:r>
            <w:r>
              <w:rPr>
                <w:rStyle w:val="IndexLink"/>
                <w:rtl w:val="true"/>
              </w:rPr>
              <w:t>]</w:t>
              <w:tab/>
            </w:r>
            <w:r>
              <w:rPr>
                <w:rStyle w:val="IndexLink"/>
              </w:rPr>
              <w:t>707</w:t>
            </w:r>
          </w:hyperlink>
        </w:p>
        <w:p>
          <w:pPr>
            <w:pStyle w:val="Contents4"/>
            <w:tabs>
              <w:tab w:val="clear" w:pos="8176"/>
              <w:tab w:val="right" w:pos="9026" w:leader="dot"/>
            </w:tabs>
            <w:rPr/>
          </w:pPr>
          <w:hyperlink w:anchor="__RefHeading___Toc2570800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إذا أخذ التربة بنفسه، أو علم من الخارج بأنّ هذا الطین من تلک التربة المقدّسة فلا إشکال</w:t>
            </w:r>
            <w:r>
              <w:rPr>
                <w:rStyle w:val="IndexLink"/>
                <w:rtl w:val="true"/>
              </w:rPr>
              <w:t>]</w:t>
              <w:tab/>
            </w:r>
            <w:r>
              <w:rPr>
                <w:rStyle w:val="IndexLink"/>
              </w:rPr>
              <w:t>707</w:t>
            </w:r>
          </w:hyperlink>
        </w:p>
        <w:p>
          <w:pPr>
            <w:pStyle w:val="Contents4"/>
            <w:tabs>
              <w:tab w:val="clear" w:pos="8176"/>
              <w:tab w:val="right" w:pos="9026" w:leader="dot"/>
            </w:tabs>
            <w:rPr/>
          </w:pPr>
          <w:hyperlink w:anchor="__RefHeading___Toc2570802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قد استثنیٰ بعض العلماء من الطین طین الأرمنی للتداوی به</w:t>
            </w:r>
            <w:r>
              <w:rPr>
                <w:rStyle w:val="IndexLink"/>
                <w:rtl w:val="true"/>
              </w:rPr>
              <w:t>]</w:t>
              <w:tab/>
            </w:r>
            <w:r>
              <w:rPr>
                <w:rStyle w:val="IndexLink"/>
              </w:rPr>
              <w:t>708</w:t>
            </w:r>
          </w:hyperlink>
        </w:p>
        <w:p>
          <w:pPr>
            <w:pStyle w:val="Contents4"/>
            <w:tabs>
              <w:tab w:val="clear" w:pos="8176"/>
              <w:tab w:val="right" w:pos="9026" w:leader="dot"/>
            </w:tabs>
            <w:rPr/>
          </w:pPr>
          <w:hyperlink w:anchor="__RefHeading___Toc2570804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یحرم الخمر بالضرورة من الدین بحیث یکون مستحلّه فی زمرة الکافرین</w:t>
            </w:r>
            <w:r>
              <w:rPr>
                <w:rStyle w:val="IndexLink"/>
                <w:rtl w:val="true"/>
              </w:rPr>
              <w:t>]</w:t>
              <w:tab/>
            </w:r>
            <w:r>
              <w:rPr>
                <w:rStyle w:val="IndexLink"/>
              </w:rPr>
              <w:t>708</w:t>
            </w:r>
          </w:hyperlink>
        </w:p>
        <w:p>
          <w:pPr>
            <w:pStyle w:val="Contents4"/>
            <w:tabs>
              <w:tab w:val="clear" w:pos="8176"/>
              <w:tab w:val="right" w:pos="9026" w:leader="dot"/>
            </w:tabs>
            <w:rPr/>
          </w:pPr>
          <w:hyperlink w:anchor="__RefHeading___Toc2570806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یلحق بالخمر موضوعاً أو حکماً کلّ مسکر</w:t>
            </w:r>
            <w:r>
              <w:rPr>
                <w:rStyle w:val="IndexLink"/>
                <w:rtl w:val="true"/>
              </w:rPr>
              <w:t>]</w:t>
              <w:tab/>
            </w:r>
            <w:r>
              <w:rPr>
                <w:rStyle w:val="IndexLink"/>
              </w:rPr>
              <w:t>709</w:t>
            </w:r>
          </w:hyperlink>
        </w:p>
        <w:p>
          <w:pPr>
            <w:pStyle w:val="Contents4"/>
            <w:tabs>
              <w:tab w:val="clear" w:pos="8176"/>
              <w:tab w:val="right" w:pos="9026" w:leader="dot"/>
            </w:tabs>
            <w:rPr/>
          </w:pPr>
          <w:hyperlink w:anchor="__RefHeading___Toc2570808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إذا انقلبت الخمر خلّا حلّت</w:t>
            </w:r>
            <w:r>
              <w:rPr>
                <w:rStyle w:val="IndexLink"/>
                <w:rtl w:val="true"/>
              </w:rPr>
              <w:t>]</w:t>
              <w:tab/>
            </w:r>
            <w:r>
              <w:rPr>
                <w:rStyle w:val="IndexLink"/>
              </w:rPr>
              <w:t>709</w:t>
            </w:r>
          </w:hyperlink>
        </w:p>
        <w:p>
          <w:pPr>
            <w:pStyle w:val="Contents4"/>
            <w:tabs>
              <w:tab w:val="clear" w:pos="8176"/>
              <w:tab w:val="right" w:pos="9026" w:leader="dot"/>
            </w:tabs>
            <w:rPr/>
          </w:pPr>
          <w:hyperlink w:anchor="__RefHeading___Toc2570810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و من المحرّمات المائعة الفقّاع إذا صار فیه غلیان و نشیش</w:t>
            </w:r>
            <w:r>
              <w:rPr>
                <w:rStyle w:val="IndexLink"/>
                <w:rtl w:val="true"/>
              </w:rPr>
              <w:t>]</w:t>
              <w:tab/>
            </w:r>
            <w:r>
              <w:rPr>
                <w:rStyle w:val="IndexLink"/>
              </w:rPr>
              <w:t>709</w:t>
            </w:r>
          </w:hyperlink>
        </w:p>
        <w:p>
          <w:pPr>
            <w:pStyle w:val="Contents4"/>
            <w:tabs>
              <w:tab w:val="clear" w:pos="8176"/>
              <w:tab w:val="right" w:pos="9026" w:leader="dot"/>
            </w:tabs>
            <w:rPr/>
          </w:pPr>
          <w:hyperlink w:anchor="__RefHeading___Toc2570812_3650668749">
            <w:r>
              <w:rPr>
                <w:webHidden/>
                <w:rStyle w:val="IndexLink"/>
                <w:rtl w:val="true"/>
              </w:rPr>
              <w:t>[</w:t>
            </w:r>
            <w:r>
              <w:rPr>
                <w:rStyle w:val="IndexLink"/>
                <w:rtl w:val="true"/>
              </w:rPr>
              <w:t xml:space="preserve">مسألة </w:t>
            </w:r>
            <w:r>
              <w:rPr>
                <w:rStyle w:val="IndexLink"/>
              </w:rPr>
              <w:t>19</w:t>
            </w:r>
            <w:r>
              <w:rPr>
                <w:rStyle w:val="IndexLink"/>
                <w:rtl w:val="true"/>
              </w:rPr>
              <w:t xml:space="preserve">): </w:t>
            </w:r>
            <w:r>
              <w:rPr>
                <w:rStyle w:val="IndexLink"/>
                <w:rtl w:val="true"/>
              </w:rPr>
              <w:t>یحرم عصیر العنب إذا نشّ و غلیٰ بنفسه</w:t>
            </w:r>
            <w:r>
              <w:rPr>
                <w:rStyle w:val="IndexLink"/>
                <w:rtl w:val="true"/>
              </w:rPr>
              <w:t>]</w:t>
              <w:tab/>
            </w:r>
            <w:r>
              <w:rPr>
                <w:rStyle w:val="IndexLink"/>
              </w:rPr>
              <w:t>709</w:t>
            </w:r>
          </w:hyperlink>
        </w:p>
        <w:p>
          <w:pPr>
            <w:pStyle w:val="Contents4"/>
            <w:tabs>
              <w:tab w:val="clear" w:pos="8176"/>
              <w:tab w:val="right" w:pos="9026" w:leader="dot"/>
            </w:tabs>
            <w:rPr/>
          </w:pPr>
          <w:hyperlink w:anchor="__RefHeading___Toc2570814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الظاهر أنّ الماء الذی فی جوف حبّة العنب بحکم عصیره</w:t>
            </w:r>
            <w:r>
              <w:rPr>
                <w:rStyle w:val="IndexLink"/>
                <w:rtl w:val="true"/>
              </w:rPr>
              <w:t>]</w:t>
              <w:tab/>
            </w:r>
            <w:r>
              <w:rPr>
                <w:rStyle w:val="IndexLink"/>
              </w:rPr>
              <w:t>709</w:t>
            </w:r>
          </w:hyperlink>
        </w:p>
        <w:p>
          <w:pPr>
            <w:pStyle w:val="Contents4"/>
            <w:tabs>
              <w:tab w:val="clear" w:pos="8176"/>
              <w:tab w:val="right" w:pos="9026" w:leader="dot"/>
            </w:tabs>
            <w:rPr/>
          </w:pPr>
          <w:hyperlink w:anchor="__RefHeading___Toc2570816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من المعلوم أنّ الزبیب لیس له عصیر فی نفسه</w:t>
            </w:r>
            <w:r>
              <w:rPr>
                <w:rStyle w:val="IndexLink"/>
                <w:rtl w:val="true"/>
              </w:rPr>
              <w:t>]</w:t>
              <w:tab/>
            </w:r>
            <w:r>
              <w:rPr>
                <w:rStyle w:val="IndexLink"/>
              </w:rPr>
              <w:t>710</w:t>
            </w:r>
          </w:hyperlink>
        </w:p>
        <w:p>
          <w:pPr>
            <w:pStyle w:val="Contents4"/>
            <w:tabs>
              <w:tab w:val="clear" w:pos="8176"/>
              <w:tab w:val="right" w:pos="9026" w:leader="dot"/>
            </w:tabs>
            <w:rPr/>
          </w:pPr>
          <w:hyperlink w:anchor="__RefHeading___Toc2570818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الظاهر أنّ ما غلیٰ بنفسه من أقسام العصیر لا تزول حرمته إلّا بالتخلیل</w:t>
            </w:r>
            <w:r>
              <w:rPr>
                <w:rStyle w:val="IndexLink"/>
                <w:rtl w:val="true"/>
              </w:rPr>
              <w:t>]</w:t>
              <w:tab/>
            </w:r>
            <w:r>
              <w:rPr>
                <w:rStyle w:val="IndexLink"/>
              </w:rPr>
              <w:t>710</w:t>
            </w:r>
          </w:hyperlink>
        </w:p>
        <w:p>
          <w:pPr>
            <w:pStyle w:val="Contents4"/>
            <w:tabs>
              <w:tab w:val="clear" w:pos="8176"/>
              <w:tab w:val="right" w:pos="9026" w:leader="dot"/>
            </w:tabs>
            <w:rPr/>
          </w:pPr>
          <w:hyperlink w:anchor="__RefHeading___Toc2570820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إذا صار العصیر المغلیّ دبساً قبل أن یذهب ثلثاه، لا یکفی فی حلّیته</w:t>
            </w:r>
            <w:r>
              <w:rPr>
                <w:rStyle w:val="IndexLink"/>
                <w:rtl w:val="true"/>
              </w:rPr>
              <w:t>]</w:t>
              <w:tab/>
            </w:r>
            <w:r>
              <w:rPr>
                <w:rStyle w:val="IndexLink"/>
              </w:rPr>
              <w:t>710</w:t>
            </w:r>
          </w:hyperlink>
        </w:p>
        <w:p>
          <w:pPr>
            <w:pStyle w:val="Contents4"/>
            <w:tabs>
              <w:tab w:val="clear" w:pos="8176"/>
              <w:tab w:val="right" w:pos="9026" w:leader="dot"/>
            </w:tabs>
            <w:rPr/>
          </w:pPr>
          <w:hyperlink w:anchor="__RefHeading___Toc2570822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إذا اختلط العصیر بالماء ثمّ غلیٰ، یکفی فی حلّیته ذهاب ثلثی المجموع و بقاء ثلثه</w:t>
            </w:r>
            <w:r>
              <w:rPr>
                <w:rStyle w:val="IndexLink"/>
                <w:rtl w:val="true"/>
              </w:rPr>
              <w:t>]</w:t>
              <w:tab/>
            </w:r>
            <w:r>
              <w:rPr>
                <w:rStyle w:val="IndexLink"/>
              </w:rPr>
              <w:t>710</w:t>
            </w:r>
          </w:hyperlink>
        </w:p>
        <w:p>
          <w:pPr>
            <w:pStyle w:val="Contents4"/>
            <w:tabs>
              <w:tab w:val="clear" w:pos="8176"/>
              <w:tab w:val="right" w:pos="9026" w:leader="dot"/>
            </w:tabs>
            <w:rPr/>
          </w:pPr>
          <w:hyperlink w:anchor="__RefHeading___Toc2570824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لو صبّ علی العصیر المغلیّ قبل أن یذهب ثلثاه مقدار من العصیر الغیر المغلیّ</w:t>
            </w:r>
            <w:r>
              <w:rPr>
                <w:rStyle w:val="IndexLink"/>
                <w:rtl w:val="true"/>
              </w:rPr>
              <w:t>]</w:t>
              <w:tab/>
            </w:r>
            <w:r>
              <w:rPr>
                <w:rStyle w:val="IndexLink"/>
              </w:rPr>
              <w:t>711</w:t>
            </w:r>
          </w:hyperlink>
        </w:p>
        <w:p>
          <w:pPr>
            <w:pStyle w:val="Contents4"/>
            <w:tabs>
              <w:tab w:val="clear" w:pos="8176"/>
              <w:tab w:val="right" w:pos="9026" w:leader="dot"/>
            </w:tabs>
            <w:rPr/>
          </w:pPr>
          <w:hyperlink w:anchor="__RefHeading___Toc2570826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لا بأس بأن یطرح فی العصیر قبل ذهاب الثلثین مثل الیقطین</w:t>
            </w:r>
            <w:r>
              <w:rPr>
                <w:rStyle w:val="IndexLink"/>
                <w:rtl w:val="true"/>
              </w:rPr>
              <w:t>]</w:t>
              <w:tab/>
            </w:r>
            <w:r>
              <w:rPr>
                <w:rStyle w:val="IndexLink"/>
              </w:rPr>
              <w:t>711</w:t>
            </w:r>
          </w:hyperlink>
        </w:p>
        <w:p>
          <w:pPr>
            <w:pStyle w:val="Contents4"/>
            <w:tabs>
              <w:tab w:val="clear" w:pos="8176"/>
              <w:tab w:val="right" w:pos="9026" w:leader="dot"/>
            </w:tabs>
            <w:rPr/>
          </w:pPr>
          <w:hyperlink w:anchor="__RefHeading___Toc2570828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یثبت ذهاب الثلثین من العصیر المغلیّ بالعلم و بالبیّنة و بإخبار ذی الید المسلم</w:t>
            </w:r>
            <w:r>
              <w:rPr>
                <w:rStyle w:val="IndexLink"/>
                <w:rtl w:val="true"/>
              </w:rPr>
              <w:t>]</w:t>
              <w:tab/>
            </w:r>
            <w:r>
              <w:rPr>
                <w:rStyle w:val="IndexLink"/>
              </w:rPr>
              <w:t>711</w:t>
            </w:r>
          </w:hyperlink>
        </w:p>
        <w:p>
          <w:pPr>
            <w:pStyle w:val="Contents4"/>
            <w:tabs>
              <w:tab w:val="clear" w:pos="8176"/>
              <w:tab w:val="right" w:pos="9026" w:leader="dot"/>
            </w:tabs>
            <w:rPr/>
          </w:pPr>
          <w:hyperlink w:anchor="__RefHeading___Toc2570830_3650668749">
            <w:r>
              <w:rPr>
                <w:webHidden/>
                <w:rStyle w:val="IndexLink"/>
                <w:rtl w:val="true"/>
              </w:rPr>
              <w:t>[ (</w:t>
            </w:r>
            <w:r>
              <w:rPr>
                <w:rStyle w:val="IndexLink"/>
                <w:rtl w:val="true"/>
              </w:rPr>
              <w:t xml:space="preserve">مسألة </w:t>
            </w:r>
            <w:r>
              <w:rPr>
                <w:rStyle w:val="IndexLink"/>
              </w:rPr>
              <w:t>28</w:t>
            </w:r>
            <w:r>
              <w:rPr>
                <w:rStyle w:val="IndexLink"/>
                <w:rtl w:val="true"/>
              </w:rPr>
              <w:t xml:space="preserve">): </w:t>
            </w:r>
            <w:r>
              <w:rPr>
                <w:rStyle w:val="IndexLink"/>
                <w:rtl w:val="true"/>
              </w:rPr>
              <w:t>یحرم تناول مال الغیر و إن کان کافراً محترم المال بدون إذنه و رضاه</w:t>
            </w:r>
            <w:r>
              <w:rPr>
                <w:rStyle w:val="IndexLink"/>
                <w:rtl w:val="true"/>
              </w:rPr>
              <w:t>]</w:t>
              <w:tab/>
            </w:r>
            <w:r>
              <w:rPr>
                <w:rStyle w:val="IndexLink"/>
              </w:rPr>
              <w:t>711</w:t>
            </w:r>
          </w:hyperlink>
        </w:p>
        <w:p>
          <w:pPr>
            <w:pStyle w:val="Contents4"/>
            <w:tabs>
              <w:tab w:val="clear" w:pos="8176"/>
              <w:tab w:val="right" w:pos="9026" w:leader="dot"/>
            </w:tabs>
            <w:rPr/>
          </w:pPr>
          <w:hyperlink w:anchor="__RefHeading___Toc2570832_3650668749">
            <w:r>
              <w:rPr>
                <w:webHidden/>
                <w:rStyle w:val="IndexLink"/>
                <w:rtl w:val="true"/>
              </w:rPr>
              <w:t>[ (</w:t>
            </w:r>
            <w:r>
              <w:rPr>
                <w:rStyle w:val="IndexLink"/>
                <w:rtl w:val="true"/>
              </w:rPr>
              <w:t xml:space="preserve">مسألة </w:t>
            </w:r>
            <w:r>
              <w:rPr>
                <w:rStyle w:val="IndexLink"/>
              </w:rPr>
              <w:t>29</w:t>
            </w:r>
            <w:r>
              <w:rPr>
                <w:rStyle w:val="IndexLink"/>
                <w:rtl w:val="true"/>
              </w:rPr>
              <w:t xml:space="preserve">): </w:t>
            </w:r>
            <w:r>
              <w:rPr>
                <w:rStyle w:val="IndexLink"/>
                <w:rtl w:val="true"/>
              </w:rPr>
              <w:t>یجوز أن یأکل الإنسان و لو مع عدم الضرورة</w:t>
            </w:r>
            <w:r>
              <w:rPr>
                <w:rStyle w:val="IndexLink"/>
                <w:rtl w:val="true"/>
              </w:rPr>
              <w:t>]</w:t>
              <w:tab/>
            </w:r>
            <w:r>
              <w:rPr>
                <w:rStyle w:val="IndexLink"/>
              </w:rPr>
              <w:t>712</w:t>
            </w:r>
          </w:hyperlink>
        </w:p>
        <w:p>
          <w:pPr>
            <w:pStyle w:val="Contents4"/>
            <w:tabs>
              <w:tab w:val="clear" w:pos="8176"/>
              <w:tab w:val="right" w:pos="9026" w:leader="dot"/>
            </w:tabs>
            <w:rPr/>
          </w:pPr>
          <w:hyperlink w:anchor="__RefHeading___Toc2570834_3650668749">
            <w:r>
              <w:rPr>
                <w:webHidden/>
                <w:rStyle w:val="IndexLink"/>
                <w:rtl w:val="true"/>
              </w:rPr>
              <w:t>[ (</w:t>
            </w:r>
            <w:r>
              <w:rPr>
                <w:rStyle w:val="IndexLink"/>
                <w:rtl w:val="true"/>
              </w:rPr>
              <w:t xml:space="preserve">مسألة </w:t>
            </w:r>
            <w:r>
              <w:rPr>
                <w:rStyle w:val="IndexLink"/>
              </w:rPr>
              <w:t>30</w:t>
            </w:r>
            <w:r>
              <w:rPr>
                <w:rStyle w:val="IndexLink"/>
                <w:rtl w:val="true"/>
              </w:rPr>
              <w:t xml:space="preserve">): </w:t>
            </w:r>
            <w:r>
              <w:rPr>
                <w:rStyle w:val="IndexLink"/>
                <w:rtl w:val="true"/>
              </w:rPr>
              <w:t>تباح جمیع المحرّمات المزبورة حال الضرورة</w:t>
            </w:r>
            <w:r>
              <w:rPr>
                <w:rStyle w:val="IndexLink"/>
                <w:rtl w:val="true"/>
              </w:rPr>
              <w:t>]</w:t>
              <w:tab/>
            </w:r>
            <w:r>
              <w:rPr>
                <w:rStyle w:val="IndexLink"/>
              </w:rPr>
              <w:t>712</w:t>
            </w:r>
          </w:hyperlink>
        </w:p>
        <w:p>
          <w:pPr>
            <w:pStyle w:val="Contents4"/>
            <w:tabs>
              <w:tab w:val="clear" w:pos="8176"/>
              <w:tab w:val="right" w:pos="9026" w:leader="dot"/>
            </w:tabs>
            <w:rPr/>
          </w:pPr>
          <w:hyperlink w:anchor="__RefHeading___Toc2570836_3650668749">
            <w:r>
              <w:rPr>
                <w:webHidden/>
                <w:rStyle w:val="IndexLink"/>
                <w:rtl w:val="true"/>
              </w:rPr>
              <w:t>[ (</w:t>
            </w:r>
            <w:r>
              <w:rPr>
                <w:rStyle w:val="IndexLink"/>
                <w:rtl w:val="true"/>
              </w:rPr>
              <w:t xml:space="preserve">مسألة </w:t>
            </w:r>
            <w:r>
              <w:rPr>
                <w:rStyle w:val="IndexLink"/>
              </w:rPr>
              <w:t>31</w:t>
            </w:r>
            <w:r>
              <w:rPr>
                <w:rStyle w:val="IndexLink"/>
                <w:rtl w:val="true"/>
              </w:rPr>
              <w:t xml:space="preserve">): </w:t>
            </w:r>
            <w:r>
              <w:rPr>
                <w:rStyle w:val="IndexLink"/>
                <w:rtl w:val="true"/>
              </w:rPr>
              <w:t>و من الضرورات المبیحة للمحرّمات الإکراه و التقیّة عمّن یخاف منه علیٰ نفسه</w:t>
            </w:r>
            <w:r>
              <w:rPr>
                <w:rStyle w:val="IndexLink"/>
                <w:rtl w:val="true"/>
              </w:rPr>
              <w:t>]</w:t>
              <w:tab/>
            </w:r>
            <w:r>
              <w:rPr>
                <w:rStyle w:val="IndexLink"/>
              </w:rPr>
              <w:t>713</w:t>
            </w:r>
          </w:hyperlink>
        </w:p>
        <w:p>
          <w:pPr>
            <w:pStyle w:val="Contents4"/>
            <w:tabs>
              <w:tab w:val="clear" w:pos="8176"/>
              <w:tab w:val="right" w:pos="9026" w:leader="dot"/>
            </w:tabs>
            <w:rPr/>
          </w:pPr>
          <w:hyperlink w:anchor="__RefHeading___Toc2570838_3650668749">
            <w:r>
              <w:rPr>
                <w:webHidden/>
                <w:rStyle w:val="IndexLink"/>
                <w:rtl w:val="true"/>
              </w:rPr>
              <w:t>[ (</w:t>
            </w:r>
            <w:r>
              <w:rPr>
                <w:rStyle w:val="IndexLink"/>
                <w:rtl w:val="true"/>
              </w:rPr>
              <w:t xml:space="preserve">مسألة </w:t>
            </w:r>
            <w:r>
              <w:rPr>
                <w:rStyle w:val="IndexLink"/>
              </w:rPr>
              <w:t>32</w:t>
            </w:r>
            <w:r>
              <w:rPr>
                <w:rStyle w:val="IndexLink"/>
                <w:rtl w:val="true"/>
              </w:rPr>
              <w:t xml:space="preserve">): </w:t>
            </w:r>
            <w:r>
              <w:rPr>
                <w:rStyle w:val="IndexLink"/>
                <w:rtl w:val="true"/>
              </w:rPr>
              <w:t>فی کلّ مورد یتوقّف حفظ النفس علی ارتکاب محرّم، یجب الارتکاب</w:t>
            </w:r>
            <w:r>
              <w:rPr>
                <w:rStyle w:val="IndexLink"/>
                <w:rtl w:val="true"/>
              </w:rPr>
              <w:t>]</w:t>
              <w:tab/>
            </w:r>
            <w:r>
              <w:rPr>
                <w:rStyle w:val="IndexLink"/>
              </w:rPr>
              <w:t>713</w:t>
            </w:r>
          </w:hyperlink>
        </w:p>
        <w:p>
          <w:pPr>
            <w:pStyle w:val="Contents4"/>
            <w:tabs>
              <w:tab w:val="clear" w:pos="8176"/>
              <w:tab w:val="right" w:pos="9026" w:leader="dot"/>
            </w:tabs>
            <w:rPr/>
          </w:pPr>
          <w:hyperlink w:anchor="__RefHeading___Toc2570840_3650668749">
            <w:r>
              <w:rPr>
                <w:webHidden/>
                <w:rStyle w:val="IndexLink"/>
                <w:rtl w:val="true"/>
              </w:rPr>
              <w:t>[ (</w:t>
            </w:r>
            <w:r>
              <w:rPr>
                <w:rStyle w:val="IndexLink"/>
                <w:rtl w:val="true"/>
              </w:rPr>
              <w:t xml:space="preserve">مسألة </w:t>
            </w:r>
            <w:r>
              <w:rPr>
                <w:rStyle w:val="IndexLink"/>
              </w:rPr>
              <w:t>33</w:t>
            </w:r>
            <w:r>
              <w:rPr>
                <w:rStyle w:val="IndexLink"/>
                <w:rtl w:val="true"/>
              </w:rPr>
              <w:t xml:space="preserve">): </w:t>
            </w:r>
            <w:r>
              <w:rPr>
                <w:rStyle w:val="IndexLink"/>
                <w:rtl w:val="true"/>
              </w:rPr>
              <w:t>إذا اضطرّ إلیٰ محرّم فلیقتصر علیٰ مقدار الضرورة</w:t>
            </w:r>
            <w:r>
              <w:rPr>
                <w:rStyle w:val="IndexLink"/>
                <w:rtl w:val="true"/>
              </w:rPr>
              <w:t>]</w:t>
              <w:tab/>
            </w:r>
            <w:r>
              <w:rPr>
                <w:rStyle w:val="IndexLink"/>
              </w:rPr>
              <w:t>713</w:t>
            </w:r>
          </w:hyperlink>
        </w:p>
        <w:p>
          <w:pPr>
            <w:pStyle w:val="Contents4"/>
            <w:tabs>
              <w:tab w:val="clear" w:pos="8176"/>
              <w:tab w:val="right" w:pos="9026" w:leader="dot"/>
            </w:tabs>
            <w:rPr/>
          </w:pPr>
          <w:hyperlink w:anchor="__RefHeading___Toc2570842_3650668749">
            <w:r>
              <w:rPr>
                <w:webHidden/>
                <w:rStyle w:val="IndexLink"/>
                <w:rtl w:val="true"/>
              </w:rPr>
              <w:t>[ (</w:t>
            </w:r>
            <w:r>
              <w:rPr>
                <w:rStyle w:val="IndexLink"/>
                <w:rtl w:val="true"/>
              </w:rPr>
              <w:t xml:space="preserve">مسألة </w:t>
            </w:r>
            <w:r>
              <w:rPr>
                <w:rStyle w:val="IndexLink"/>
              </w:rPr>
              <w:t>34</w:t>
            </w:r>
            <w:r>
              <w:rPr>
                <w:rStyle w:val="IndexLink"/>
                <w:rtl w:val="true"/>
              </w:rPr>
              <w:t xml:space="preserve">): </w:t>
            </w:r>
            <w:r>
              <w:rPr>
                <w:rStyle w:val="IndexLink"/>
                <w:rtl w:val="true"/>
              </w:rPr>
              <w:t>یجوز التداوی لمعالجة الأمراض بکلّ محرّم إذا انحصر به العلاج</w:t>
            </w:r>
            <w:r>
              <w:rPr>
                <w:rStyle w:val="IndexLink"/>
                <w:rtl w:val="true"/>
              </w:rPr>
              <w:t>]</w:t>
              <w:tab/>
            </w:r>
            <w:r>
              <w:rPr>
                <w:rStyle w:val="IndexLink"/>
              </w:rPr>
              <w:t>713</w:t>
            </w:r>
          </w:hyperlink>
        </w:p>
        <w:p>
          <w:pPr>
            <w:pStyle w:val="Contents4"/>
            <w:tabs>
              <w:tab w:val="clear" w:pos="8176"/>
              <w:tab w:val="right" w:pos="9026" w:leader="dot"/>
            </w:tabs>
            <w:rPr/>
          </w:pPr>
          <w:hyperlink w:anchor="__RefHeading___Toc2570844_3650668749">
            <w:r>
              <w:rPr>
                <w:webHidden/>
                <w:rStyle w:val="IndexLink"/>
                <w:rtl w:val="true"/>
              </w:rPr>
              <w:t>[ (</w:t>
            </w:r>
            <w:r>
              <w:rPr>
                <w:rStyle w:val="IndexLink"/>
                <w:rtl w:val="true"/>
              </w:rPr>
              <w:t xml:space="preserve">مسألة </w:t>
            </w:r>
            <w:r>
              <w:rPr>
                <w:rStyle w:val="IndexLink"/>
              </w:rPr>
              <w:t>35</w:t>
            </w:r>
            <w:r>
              <w:rPr>
                <w:rStyle w:val="IndexLink"/>
                <w:rtl w:val="true"/>
              </w:rPr>
              <w:t xml:space="preserve">): </w:t>
            </w:r>
            <w:r>
              <w:rPr>
                <w:rStyle w:val="IndexLink"/>
                <w:rtl w:val="true"/>
              </w:rPr>
              <w:t>المشهور عدم جواز التداوی بالخمر</w:t>
            </w:r>
            <w:r>
              <w:rPr>
                <w:rStyle w:val="IndexLink"/>
                <w:rtl w:val="true"/>
              </w:rPr>
              <w:t>]</w:t>
              <w:tab/>
            </w:r>
            <w:r>
              <w:rPr>
                <w:rStyle w:val="IndexLink"/>
              </w:rPr>
              <w:t>713</w:t>
            </w:r>
          </w:hyperlink>
        </w:p>
        <w:p>
          <w:pPr>
            <w:pStyle w:val="Contents4"/>
            <w:tabs>
              <w:tab w:val="clear" w:pos="8176"/>
              <w:tab w:val="right" w:pos="9026" w:leader="dot"/>
            </w:tabs>
            <w:rPr/>
          </w:pPr>
          <w:hyperlink w:anchor="__RefHeading___Toc2570846_3650668749">
            <w:r>
              <w:rPr>
                <w:webHidden/>
                <w:rStyle w:val="IndexLink"/>
                <w:rtl w:val="true"/>
              </w:rPr>
              <w:t>[ (</w:t>
            </w:r>
            <w:r>
              <w:rPr>
                <w:rStyle w:val="IndexLink"/>
                <w:rtl w:val="true"/>
              </w:rPr>
              <w:t xml:space="preserve">مسألة </w:t>
            </w:r>
            <w:r>
              <w:rPr>
                <w:rStyle w:val="IndexLink"/>
              </w:rPr>
              <w:t>36</w:t>
            </w:r>
            <w:r>
              <w:rPr>
                <w:rStyle w:val="IndexLink"/>
                <w:rtl w:val="true"/>
              </w:rPr>
              <w:t xml:space="preserve">): </w:t>
            </w:r>
            <w:r>
              <w:rPr>
                <w:rStyle w:val="IndexLink"/>
                <w:rtl w:val="true"/>
              </w:rPr>
              <w:t>لو اضطرّ إلیٰ أکل طعام الغیر لسدّ رمقه و کان المالک حاضراً</w:t>
            </w:r>
            <w:r>
              <w:rPr>
                <w:rStyle w:val="IndexLink"/>
                <w:rtl w:val="true"/>
              </w:rPr>
              <w:t>]</w:t>
              <w:tab/>
            </w:r>
            <w:r>
              <w:rPr>
                <w:rStyle w:val="IndexLink"/>
              </w:rPr>
              <w:t>714</w:t>
            </w:r>
          </w:hyperlink>
        </w:p>
        <w:p>
          <w:pPr>
            <w:pStyle w:val="Contents4"/>
            <w:tabs>
              <w:tab w:val="clear" w:pos="8176"/>
              <w:tab w:val="right" w:pos="9026" w:leader="dot"/>
            </w:tabs>
            <w:rPr/>
          </w:pPr>
          <w:hyperlink w:anchor="__RefHeading___Toc2570848_3650668749">
            <w:r>
              <w:rPr>
                <w:webHidden/>
                <w:rStyle w:val="IndexLink"/>
                <w:rtl w:val="true"/>
              </w:rPr>
              <w:t>[ (</w:t>
            </w:r>
            <w:r>
              <w:rPr>
                <w:rStyle w:val="IndexLink"/>
                <w:rtl w:val="true"/>
              </w:rPr>
              <w:t xml:space="preserve">مسألة </w:t>
            </w:r>
            <w:r>
              <w:rPr>
                <w:rStyle w:val="IndexLink"/>
              </w:rPr>
              <w:t>37</w:t>
            </w:r>
            <w:r>
              <w:rPr>
                <w:rStyle w:val="IndexLink"/>
                <w:rtl w:val="true"/>
              </w:rPr>
              <w:t xml:space="preserve">): </w:t>
            </w:r>
            <w:r>
              <w:rPr>
                <w:rStyle w:val="IndexLink"/>
                <w:rtl w:val="true"/>
              </w:rPr>
              <w:t>یحرم الأکل علیٰ مائدة یشرب علیها شی‌ء من الخمر</w:t>
            </w:r>
            <w:r>
              <w:rPr>
                <w:rStyle w:val="IndexLink"/>
                <w:rtl w:val="true"/>
              </w:rPr>
              <w:t>]</w:t>
              <w:tab/>
            </w:r>
            <w:r>
              <w:rPr>
                <w:rStyle w:val="IndexLink"/>
              </w:rPr>
              <w:t>714</w:t>
            </w:r>
          </w:hyperlink>
        </w:p>
        <w:p>
          <w:pPr>
            <w:pStyle w:val="Contents3"/>
            <w:tabs>
              <w:tab w:val="clear" w:pos="8459"/>
              <w:tab w:val="right" w:pos="9026" w:leader="dot"/>
            </w:tabs>
            <w:rPr/>
          </w:pPr>
          <w:hyperlink w:anchor="__RefHeading___Toc2570850_3650668749">
            <w:r>
              <w:rPr>
                <w:webHidden/>
                <w:rStyle w:val="IndexLink"/>
                <w:rtl w:val="true"/>
              </w:rPr>
              <w:t>[</w:t>
            </w:r>
            <w:r>
              <w:rPr>
                <w:rStyle w:val="IndexLink"/>
                <w:rtl w:val="true"/>
              </w:rPr>
              <w:t>خاتمة</w:t>
            </w:r>
            <w:r>
              <w:rPr>
                <w:rStyle w:val="IndexLink"/>
                <w:rtl w:val="true"/>
              </w:rPr>
              <w:t xml:space="preserve">: </w:t>
            </w:r>
            <w:r>
              <w:rPr>
                <w:rStyle w:val="IndexLink"/>
                <w:rtl w:val="true"/>
              </w:rPr>
              <w:t>فی بعض الآداب المتعلّقة بالأکل و الشرب</w:t>
            </w:r>
            <w:r>
              <w:rPr>
                <w:rStyle w:val="IndexLink"/>
                <w:rtl w:val="true"/>
              </w:rPr>
              <w:t>]</w:t>
              <w:tab/>
            </w:r>
            <w:r>
              <w:rPr>
                <w:rStyle w:val="IndexLink"/>
              </w:rPr>
              <w:t>714</w:t>
            </w:r>
          </w:hyperlink>
        </w:p>
        <w:p>
          <w:pPr>
            <w:pStyle w:val="Contents4"/>
            <w:tabs>
              <w:tab w:val="clear" w:pos="8176"/>
              <w:tab w:val="right" w:pos="9026" w:leader="dot"/>
            </w:tabs>
            <w:rPr/>
          </w:pPr>
          <w:hyperlink w:anchor="__RefHeading___Toc2570852_3650668749">
            <w:r>
              <w:rPr>
                <w:webHidden/>
                <w:rStyle w:val="IndexLink"/>
                <w:rtl w:val="true"/>
              </w:rPr>
              <w:t>اشارة</w:t>
            </w:r>
            <w:r>
              <w:rPr>
                <w:rStyle w:val="IndexLink"/>
                <w:rtl w:val="true"/>
              </w:rPr>
              <w:tab/>
            </w:r>
            <w:r>
              <w:rPr>
                <w:rStyle w:val="IndexLink"/>
              </w:rPr>
              <w:t>714</w:t>
            </w:r>
          </w:hyperlink>
        </w:p>
        <w:p>
          <w:pPr>
            <w:pStyle w:val="Contents4"/>
            <w:tabs>
              <w:tab w:val="clear" w:pos="8176"/>
              <w:tab w:val="right" w:pos="9026" w:leader="dot"/>
            </w:tabs>
            <w:rPr/>
          </w:pPr>
          <w:hyperlink w:anchor="__RefHeading___Toc2570854_3650668749">
            <w:r>
              <w:rPr>
                <w:webHidden/>
                <w:rStyle w:val="IndexLink"/>
                <w:rtl w:val="true"/>
              </w:rPr>
              <w:t>[</w:t>
            </w:r>
            <w:r>
              <w:rPr>
                <w:rStyle w:val="IndexLink"/>
                <w:rtl w:val="true"/>
              </w:rPr>
              <w:t>فأمّا آداب الأکل فهی بین مستحبّ و مکروه</w:t>
            </w:r>
            <w:r>
              <w:rPr>
                <w:rStyle w:val="IndexLink"/>
                <w:rtl w:val="true"/>
              </w:rPr>
              <w:t>]</w:t>
              <w:tab/>
            </w:r>
            <w:r>
              <w:rPr>
                <w:rStyle w:val="IndexLink"/>
              </w:rPr>
              <w:t>714</w:t>
            </w:r>
          </w:hyperlink>
        </w:p>
        <w:p>
          <w:pPr>
            <w:pStyle w:val="Contents5"/>
            <w:tabs>
              <w:tab w:val="clear" w:pos="7892"/>
              <w:tab w:val="right" w:pos="9026" w:leader="dot"/>
            </w:tabs>
            <w:rPr/>
          </w:pPr>
          <w:hyperlink w:anchor="__RefHeading___Toc2570856_3650668749">
            <w:r>
              <w:rPr>
                <w:webHidden/>
                <w:rStyle w:val="IndexLink"/>
                <w:rtl w:val="true"/>
              </w:rPr>
              <w:t>اشارة</w:t>
            </w:r>
            <w:r>
              <w:rPr>
                <w:rStyle w:val="IndexLink"/>
                <w:rtl w:val="true"/>
              </w:rPr>
              <w:tab/>
            </w:r>
            <w:r>
              <w:rPr>
                <w:rStyle w:val="IndexLink"/>
              </w:rPr>
              <w:t>714</w:t>
            </w:r>
          </w:hyperlink>
        </w:p>
        <w:p>
          <w:pPr>
            <w:pStyle w:val="Contents5"/>
            <w:tabs>
              <w:tab w:val="clear" w:pos="7892"/>
              <w:tab w:val="right" w:pos="9026" w:leader="dot"/>
            </w:tabs>
            <w:rPr/>
          </w:pPr>
          <w:hyperlink w:anchor="__RefHeading___Toc2570858_3650668749">
            <w:r>
              <w:rPr>
                <w:webHidden/>
                <w:rStyle w:val="IndexLink"/>
                <w:rtl w:val="true"/>
              </w:rPr>
              <w:t>[</w:t>
            </w:r>
            <w:r>
              <w:rPr>
                <w:rStyle w:val="IndexLink"/>
                <w:rtl w:val="true"/>
              </w:rPr>
              <w:t>أمّا المستحبّ</w:t>
            </w:r>
            <w:r>
              <w:rPr>
                <w:rStyle w:val="IndexLink"/>
                <w:rtl w:val="true"/>
              </w:rPr>
              <w:t>]</w:t>
              <w:tab/>
            </w:r>
            <w:r>
              <w:rPr>
                <w:rStyle w:val="IndexLink"/>
              </w:rPr>
              <w:t>714</w:t>
            </w:r>
          </w:hyperlink>
        </w:p>
        <w:p>
          <w:pPr>
            <w:pStyle w:val="Contents5"/>
            <w:tabs>
              <w:tab w:val="clear" w:pos="7892"/>
              <w:tab w:val="right" w:pos="9026" w:leader="dot"/>
            </w:tabs>
            <w:rPr/>
          </w:pPr>
          <w:hyperlink w:anchor="__RefHeading___Toc2570860_3650668749">
            <w:r>
              <w:rPr>
                <w:webHidden/>
                <w:rStyle w:val="IndexLink"/>
                <w:rtl w:val="true"/>
              </w:rPr>
              <w:t>[</w:t>
            </w:r>
            <w:r>
              <w:rPr>
                <w:rStyle w:val="IndexLink"/>
                <w:rtl w:val="true"/>
              </w:rPr>
              <w:t>و أمّا المکروه</w:t>
            </w:r>
            <w:r>
              <w:rPr>
                <w:rStyle w:val="IndexLink"/>
                <w:rtl w:val="true"/>
              </w:rPr>
              <w:t>]</w:t>
              <w:tab/>
            </w:r>
            <w:r>
              <w:rPr>
                <w:rStyle w:val="IndexLink"/>
              </w:rPr>
              <w:t>716</w:t>
            </w:r>
          </w:hyperlink>
        </w:p>
        <w:p>
          <w:pPr>
            <w:pStyle w:val="Contents4"/>
            <w:tabs>
              <w:tab w:val="clear" w:pos="8176"/>
              <w:tab w:val="right" w:pos="9026" w:leader="dot"/>
            </w:tabs>
            <w:rPr/>
          </w:pPr>
          <w:hyperlink w:anchor="__RefHeading___Toc2570862_3650668749">
            <w:r>
              <w:rPr>
                <w:webHidden/>
                <w:rStyle w:val="IndexLink"/>
                <w:rtl w:val="true"/>
              </w:rPr>
              <w:t>[</w:t>
            </w:r>
            <w:r>
              <w:rPr>
                <w:rStyle w:val="IndexLink"/>
                <w:rtl w:val="true"/>
              </w:rPr>
              <w:t>و أمّا آداب الشرب</w:t>
            </w:r>
            <w:r>
              <w:rPr>
                <w:rStyle w:val="IndexLink"/>
                <w:rtl w:val="true"/>
              </w:rPr>
              <w:t>]</w:t>
              <w:tab/>
            </w:r>
            <w:r>
              <w:rPr>
                <w:rStyle w:val="IndexLink"/>
              </w:rPr>
              <w:t>716</w:t>
            </w:r>
          </w:hyperlink>
        </w:p>
        <w:p>
          <w:pPr>
            <w:pStyle w:val="Contents5"/>
            <w:tabs>
              <w:tab w:val="clear" w:pos="7892"/>
              <w:tab w:val="right" w:pos="9026" w:leader="dot"/>
            </w:tabs>
            <w:rPr/>
          </w:pPr>
          <w:hyperlink w:anchor="__RefHeading___Toc2570864_3650668749">
            <w:r>
              <w:rPr>
                <w:webHidden/>
                <w:rStyle w:val="IndexLink"/>
                <w:rtl w:val="true"/>
              </w:rPr>
              <w:t>اشارة</w:t>
            </w:r>
            <w:r>
              <w:rPr>
                <w:rStyle w:val="IndexLink"/>
                <w:rtl w:val="true"/>
              </w:rPr>
              <w:tab/>
            </w:r>
            <w:r>
              <w:rPr>
                <w:rStyle w:val="IndexLink"/>
              </w:rPr>
              <w:t>716</w:t>
            </w:r>
          </w:hyperlink>
        </w:p>
        <w:p>
          <w:pPr>
            <w:pStyle w:val="Contents5"/>
            <w:tabs>
              <w:tab w:val="clear" w:pos="7892"/>
              <w:tab w:val="right" w:pos="9026" w:leader="dot"/>
            </w:tabs>
            <w:rPr/>
          </w:pPr>
          <w:hyperlink w:anchor="__RefHeading___Toc2570866_3650668749">
            <w:r>
              <w:rPr>
                <w:webHidden/>
                <w:rStyle w:val="IndexLink"/>
                <w:rtl w:val="true"/>
              </w:rPr>
              <w:t>[</w:t>
            </w:r>
            <w:r>
              <w:rPr>
                <w:rStyle w:val="IndexLink"/>
                <w:rtl w:val="true"/>
              </w:rPr>
              <w:t>أمّا المندوب</w:t>
            </w:r>
            <w:r>
              <w:rPr>
                <w:rStyle w:val="IndexLink"/>
                <w:rtl w:val="true"/>
              </w:rPr>
              <w:t>]</w:t>
              <w:tab/>
            </w:r>
            <w:r>
              <w:rPr>
                <w:rStyle w:val="IndexLink"/>
              </w:rPr>
              <w:t>716</w:t>
            </w:r>
          </w:hyperlink>
        </w:p>
        <w:p>
          <w:pPr>
            <w:pStyle w:val="Contents5"/>
            <w:tabs>
              <w:tab w:val="clear" w:pos="7892"/>
              <w:tab w:val="right" w:pos="9026" w:leader="dot"/>
            </w:tabs>
            <w:rPr/>
          </w:pPr>
          <w:hyperlink w:anchor="__RefHeading___Toc2570868_3650668749">
            <w:r>
              <w:rPr>
                <w:webHidden/>
                <w:rStyle w:val="IndexLink"/>
                <w:rtl w:val="true"/>
              </w:rPr>
              <w:t>[</w:t>
            </w:r>
            <w:r>
              <w:rPr>
                <w:rStyle w:val="IndexLink"/>
                <w:rtl w:val="true"/>
              </w:rPr>
              <w:t>و أمّا المکروه</w:t>
            </w:r>
            <w:r>
              <w:rPr>
                <w:rStyle w:val="IndexLink"/>
                <w:rtl w:val="true"/>
              </w:rPr>
              <w:t>]</w:t>
              <w:tab/>
            </w:r>
            <w:r>
              <w:rPr>
                <w:rStyle w:val="IndexLink"/>
              </w:rPr>
              <w:t>717</w:t>
            </w:r>
          </w:hyperlink>
        </w:p>
        <w:p>
          <w:pPr>
            <w:pStyle w:val="Contents4"/>
            <w:tabs>
              <w:tab w:val="clear" w:pos="8176"/>
              <w:tab w:val="right" w:pos="9026" w:leader="dot"/>
            </w:tabs>
            <w:rPr/>
          </w:pPr>
          <w:hyperlink w:anchor="__RefHeading___Toc2570870_3650668749">
            <w:r>
              <w:rPr>
                <w:webHidden/>
                <w:rStyle w:val="IndexLink"/>
                <w:rtl w:val="true"/>
              </w:rPr>
              <w:t>[</w:t>
            </w:r>
            <w:r>
              <w:rPr>
                <w:rStyle w:val="IndexLink"/>
                <w:rtl w:val="true"/>
              </w:rPr>
              <w:t>تذییل فی فضل السقایة</w:t>
            </w:r>
            <w:r>
              <w:rPr>
                <w:rStyle w:val="IndexLink"/>
                <w:rtl w:val="true"/>
              </w:rPr>
              <w:t>]</w:t>
              <w:tab/>
            </w:r>
            <w:r>
              <w:rPr>
                <w:rStyle w:val="IndexLink"/>
              </w:rPr>
              <w:t>717</w:t>
            </w:r>
          </w:hyperlink>
        </w:p>
        <w:p>
          <w:pPr>
            <w:pStyle w:val="Contents2"/>
            <w:tabs>
              <w:tab w:val="clear" w:pos="8743"/>
              <w:tab w:val="right" w:pos="9026" w:leader="dot"/>
            </w:tabs>
            <w:rPr/>
          </w:pPr>
          <w:hyperlink w:anchor="__RefHeading___Toc2570872_3650668749">
            <w:r>
              <w:rPr>
                <w:webHidden/>
                <w:rStyle w:val="IndexLink"/>
                <w:rtl w:val="true"/>
              </w:rPr>
              <w:t>[</w:t>
            </w:r>
            <w:r>
              <w:rPr>
                <w:rStyle w:val="IndexLink"/>
                <w:rtl w:val="true"/>
              </w:rPr>
              <w:t>کتاب الغصب</w:t>
            </w:r>
            <w:r>
              <w:rPr>
                <w:rStyle w:val="IndexLink"/>
                <w:rtl w:val="true"/>
              </w:rPr>
              <w:t>]</w:t>
              <w:tab/>
            </w:r>
            <w:r>
              <w:rPr>
                <w:rStyle w:val="IndexLink"/>
              </w:rPr>
              <w:t>719</w:t>
            </w:r>
          </w:hyperlink>
        </w:p>
        <w:p>
          <w:pPr>
            <w:pStyle w:val="Contents3"/>
            <w:tabs>
              <w:tab w:val="clear" w:pos="8459"/>
              <w:tab w:val="right" w:pos="9026" w:leader="dot"/>
            </w:tabs>
            <w:rPr/>
          </w:pPr>
          <w:hyperlink w:anchor="__RefHeading___Toc2570874_3650668749">
            <w:r>
              <w:rPr>
                <w:webHidden/>
                <w:rStyle w:val="IndexLink"/>
                <w:rtl w:val="true"/>
              </w:rPr>
              <w:t>اشارة</w:t>
            </w:r>
            <w:r>
              <w:rPr>
                <w:rStyle w:val="IndexLink"/>
                <w:rtl w:val="true"/>
              </w:rPr>
              <w:tab/>
            </w:r>
            <w:r>
              <w:rPr>
                <w:rStyle w:val="IndexLink"/>
              </w:rPr>
              <w:t>719</w:t>
            </w:r>
          </w:hyperlink>
        </w:p>
        <w:p>
          <w:pPr>
            <w:pStyle w:val="Contents3"/>
            <w:tabs>
              <w:tab w:val="clear" w:pos="8459"/>
              <w:tab w:val="right" w:pos="9026" w:leader="dot"/>
            </w:tabs>
            <w:rPr/>
          </w:pPr>
          <w:hyperlink w:anchor="__RefHeading___Toc257087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المغصوب</w:t>
            </w:r>
            <w:r>
              <w:rPr>
                <w:rStyle w:val="IndexLink"/>
                <w:rtl w:val="true"/>
              </w:rPr>
              <w:t xml:space="preserve">: </w:t>
            </w:r>
            <w:r>
              <w:rPr>
                <w:rStyle w:val="IndexLink"/>
                <w:rtl w:val="true"/>
              </w:rPr>
              <w:t>إمّا عین مع المنفعة من مالک واحد أو مالکین</w:t>
            </w:r>
            <w:r>
              <w:rPr>
                <w:rStyle w:val="IndexLink"/>
                <w:rtl w:val="true"/>
              </w:rPr>
              <w:t>]</w:t>
              <w:tab/>
            </w:r>
            <w:r>
              <w:rPr>
                <w:rStyle w:val="IndexLink"/>
              </w:rPr>
              <w:t>719</w:t>
            </w:r>
          </w:hyperlink>
        </w:p>
        <w:p>
          <w:pPr>
            <w:pStyle w:val="Contents3"/>
            <w:tabs>
              <w:tab w:val="clear" w:pos="8459"/>
              <w:tab w:val="right" w:pos="9026" w:leader="dot"/>
            </w:tabs>
            <w:rPr/>
          </w:pPr>
          <w:hyperlink w:anchor="__RefHeading___Toc257087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المغصوب منه</w:t>
            </w:r>
            <w:r>
              <w:rPr>
                <w:rStyle w:val="IndexLink"/>
                <w:rtl w:val="true"/>
              </w:rPr>
              <w:t xml:space="preserve">: </w:t>
            </w:r>
            <w:r>
              <w:rPr>
                <w:rStyle w:val="IndexLink"/>
                <w:rtl w:val="true"/>
              </w:rPr>
              <w:t>قد یکون شخصاً</w:t>
            </w:r>
            <w:r>
              <w:rPr>
                <w:rStyle w:val="IndexLink"/>
                <w:rtl w:val="true"/>
              </w:rPr>
              <w:t>]</w:t>
              <w:tab/>
            </w:r>
            <w:r>
              <w:rPr>
                <w:rStyle w:val="IndexLink"/>
              </w:rPr>
              <w:t>719</w:t>
            </w:r>
          </w:hyperlink>
        </w:p>
        <w:p>
          <w:pPr>
            <w:pStyle w:val="Contents3"/>
            <w:tabs>
              <w:tab w:val="clear" w:pos="8459"/>
              <w:tab w:val="right" w:pos="9026" w:leader="dot"/>
            </w:tabs>
            <w:rPr/>
          </w:pPr>
          <w:hyperlink w:anchor="__RefHeading___Toc257088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للغصب حکمان تکلیفیّان و هما</w:t>
            </w:r>
            <w:r>
              <w:rPr>
                <w:rStyle w:val="IndexLink"/>
                <w:rtl w:val="true"/>
              </w:rPr>
              <w:t xml:space="preserve">: </w:t>
            </w:r>
            <w:r>
              <w:rPr>
                <w:rStyle w:val="IndexLink"/>
                <w:rtl w:val="true"/>
              </w:rPr>
              <w:t>الحرمة، و وجوب رفع الید</w:t>
            </w:r>
            <w:r>
              <w:rPr>
                <w:rStyle w:val="IndexLink"/>
                <w:rtl w:val="true"/>
              </w:rPr>
              <w:t>]</w:t>
              <w:tab/>
            </w:r>
            <w:r>
              <w:rPr>
                <w:rStyle w:val="IndexLink"/>
              </w:rPr>
              <w:t>720</w:t>
            </w:r>
          </w:hyperlink>
        </w:p>
        <w:p>
          <w:pPr>
            <w:pStyle w:val="Contents3"/>
            <w:tabs>
              <w:tab w:val="clear" w:pos="8459"/>
              <w:tab w:val="right" w:pos="9026" w:leader="dot"/>
            </w:tabs>
            <w:rPr/>
          </w:pPr>
          <w:hyperlink w:anchor="__RefHeading___Toc257088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یجری الحکمان التکلیفیّان فی جمیع أقسام الغصب</w:t>
            </w:r>
            <w:r>
              <w:rPr>
                <w:rStyle w:val="IndexLink"/>
                <w:rtl w:val="true"/>
              </w:rPr>
              <w:t>]</w:t>
              <w:tab/>
            </w:r>
            <w:r>
              <w:rPr>
                <w:rStyle w:val="IndexLink"/>
              </w:rPr>
              <w:t>720</w:t>
            </w:r>
          </w:hyperlink>
        </w:p>
        <w:p>
          <w:pPr>
            <w:pStyle w:val="Contents3"/>
            <w:tabs>
              <w:tab w:val="clear" w:pos="8459"/>
              <w:tab w:val="right" w:pos="9026" w:leader="dot"/>
            </w:tabs>
            <w:rPr/>
          </w:pPr>
          <w:hyperlink w:anchor="__RefHeading___Toc257088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استولیٰ علیٰ حرّ فحبسه، لم یتحقّق الغصب</w:t>
            </w:r>
            <w:r>
              <w:rPr>
                <w:rStyle w:val="IndexLink"/>
                <w:rtl w:val="true"/>
              </w:rPr>
              <w:t>]</w:t>
              <w:tab/>
            </w:r>
            <w:r>
              <w:rPr>
                <w:rStyle w:val="IndexLink"/>
              </w:rPr>
              <w:t>720</w:t>
            </w:r>
          </w:hyperlink>
        </w:p>
        <w:p>
          <w:pPr>
            <w:pStyle w:val="Contents3"/>
            <w:tabs>
              <w:tab w:val="clear" w:pos="8459"/>
              <w:tab w:val="right" w:pos="9026" w:leader="dot"/>
            </w:tabs>
            <w:rPr/>
          </w:pPr>
          <w:hyperlink w:anchor="__RefHeading___Toc2570886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منع غیره عن إمساک دابّته المرسلة أو من القعود علیٰ فراشه أو عن الدخول فی داره</w:t>
            </w:r>
            <w:r>
              <w:rPr>
                <w:rStyle w:val="IndexLink"/>
                <w:rtl w:val="true"/>
              </w:rPr>
              <w:t>]</w:t>
              <w:tab/>
            </w:r>
            <w:r>
              <w:rPr>
                <w:rStyle w:val="IndexLink"/>
              </w:rPr>
              <w:t>720</w:t>
            </w:r>
          </w:hyperlink>
        </w:p>
        <w:p>
          <w:pPr>
            <w:pStyle w:val="Contents3"/>
            <w:tabs>
              <w:tab w:val="clear" w:pos="8459"/>
              <w:tab w:val="right" w:pos="9026" w:leader="dot"/>
            </w:tabs>
            <w:rPr/>
          </w:pPr>
          <w:hyperlink w:anchor="__RefHeading___Toc2570888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أنّ المدار فی تحقّق الغصب علی استیلاء الغاصب علی المغصوب یختلف باختلاف المغصوبات</w:t>
            </w:r>
            <w:r>
              <w:rPr>
                <w:rStyle w:val="IndexLink"/>
                <w:rtl w:val="true"/>
              </w:rPr>
              <w:t>]</w:t>
              <w:tab/>
            </w:r>
            <w:r>
              <w:rPr>
                <w:rStyle w:val="IndexLink"/>
              </w:rPr>
              <w:t>721</w:t>
            </w:r>
          </w:hyperlink>
        </w:p>
        <w:p>
          <w:pPr>
            <w:pStyle w:val="Contents3"/>
            <w:tabs>
              <w:tab w:val="clear" w:pos="8459"/>
              <w:tab w:val="right" w:pos="9026" w:leader="dot"/>
            </w:tabs>
            <w:rPr/>
          </w:pPr>
          <w:hyperlink w:anchor="__RefHeading___Toc2570890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لو دخل الدار و سکنها مع مالکها، فإن کان المالک ضعیفاً غیر قادر علیٰ مدافعته و إخراجه</w:t>
            </w:r>
            <w:r>
              <w:rPr>
                <w:rStyle w:val="IndexLink"/>
                <w:rtl w:val="true"/>
              </w:rPr>
              <w:t>]</w:t>
              <w:tab/>
            </w:r>
            <w:r>
              <w:rPr>
                <w:rStyle w:val="IndexLink"/>
              </w:rPr>
              <w:t>722</w:t>
            </w:r>
          </w:hyperlink>
        </w:p>
        <w:p>
          <w:pPr>
            <w:pStyle w:val="Contents3"/>
            <w:tabs>
              <w:tab w:val="clear" w:pos="8459"/>
              <w:tab w:val="right" w:pos="9026" w:leader="dot"/>
            </w:tabs>
            <w:rPr/>
          </w:pPr>
          <w:hyperlink w:anchor="__RefHeading___Toc2570892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لو أخذ بمقود الدابّة فقادها و کان المالک راکباً علیها</w:t>
            </w:r>
            <w:r>
              <w:rPr>
                <w:rStyle w:val="IndexLink"/>
                <w:rtl w:val="true"/>
              </w:rPr>
              <w:t>]</w:t>
              <w:tab/>
            </w:r>
            <w:r>
              <w:rPr>
                <w:rStyle w:val="IndexLink"/>
              </w:rPr>
              <w:t>722</w:t>
            </w:r>
          </w:hyperlink>
        </w:p>
        <w:p>
          <w:pPr>
            <w:pStyle w:val="Contents3"/>
            <w:tabs>
              <w:tab w:val="clear" w:pos="8459"/>
              <w:tab w:val="right" w:pos="9026" w:leader="dot"/>
            </w:tabs>
            <w:rPr/>
          </w:pPr>
          <w:hyperlink w:anchor="__RefHeading___Toc2570894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إذا اشترک اثنان فی الغصب، فإن لم یستقلّ واحد منهما بانفراده</w:t>
            </w:r>
            <w:r>
              <w:rPr>
                <w:rStyle w:val="IndexLink"/>
                <w:rtl w:val="true"/>
              </w:rPr>
              <w:t>]</w:t>
              <w:tab/>
            </w:r>
            <w:r>
              <w:rPr>
                <w:rStyle w:val="IndexLink"/>
              </w:rPr>
              <w:t>723</w:t>
            </w:r>
          </w:hyperlink>
        </w:p>
        <w:p>
          <w:pPr>
            <w:pStyle w:val="Contents3"/>
            <w:tabs>
              <w:tab w:val="clear" w:pos="8459"/>
              <w:tab w:val="right" w:pos="9026" w:leader="dot"/>
            </w:tabs>
            <w:rPr/>
          </w:pPr>
          <w:hyperlink w:anchor="__RefHeading___Toc2570896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غصب الأوقاف العامّة</w:t>
            </w:r>
            <w:r>
              <w:rPr>
                <w:rStyle w:val="IndexLink"/>
                <w:rtl w:val="true"/>
              </w:rPr>
              <w:t>]</w:t>
              <w:tab/>
            </w:r>
            <w:r>
              <w:rPr>
                <w:rStyle w:val="IndexLink"/>
              </w:rPr>
              <w:t>723</w:t>
            </w:r>
          </w:hyperlink>
        </w:p>
        <w:p>
          <w:pPr>
            <w:pStyle w:val="Contents3"/>
            <w:tabs>
              <w:tab w:val="clear" w:pos="8459"/>
              <w:tab w:val="right" w:pos="9026" w:leader="dot"/>
            </w:tabs>
            <w:rPr/>
          </w:pPr>
          <w:hyperlink w:anchor="__RefHeading___Toc2570898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إذا حبس حرّا لم یضمن لا نفسه و لا منافعه ضمان الید حتّی فیما إذا کان صانعاً</w:t>
            </w:r>
            <w:r>
              <w:rPr>
                <w:rStyle w:val="IndexLink"/>
                <w:rtl w:val="true"/>
              </w:rPr>
              <w:t>]</w:t>
              <w:tab/>
            </w:r>
            <w:r>
              <w:rPr>
                <w:rStyle w:val="IndexLink"/>
              </w:rPr>
              <w:t>723</w:t>
            </w:r>
          </w:hyperlink>
        </w:p>
        <w:p>
          <w:pPr>
            <w:pStyle w:val="Contents3"/>
            <w:tabs>
              <w:tab w:val="clear" w:pos="8459"/>
              <w:tab w:val="right" w:pos="9026" w:leader="dot"/>
            </w:tabs>
            <w:rPr/>
          </w:pPr>
          <w:hyperlink w:anchor="__RefHeading___Toc2570900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لو منع حرّا أو عبداً عن عمل له اجرة من غیر تصرّف و استیفاء و لا وضع یده علیه</w:t>
            </w:r>
            <w:r>
              <w:rPr>
                <w:rStyle w:val="IndexLink"/>
                <w:rtl w:val="true"/>
              </w:rPr>
              <w:t>]</w:t>
              <w:tab/>
            </w:r>
            <w:r>
              <w:rPr>
                <w:rStyle w:val="IndexLink"/>
              </w:rPr>
              <w:t>724</w:t>
            </w:r>
          </w:hyperlink>
        </w:p>
        <w:p>
          <w:pPr>
            <w:pStyle w:val="Contents3"/>
            <w:tabs>
              <w:tab w:val="clear" w:pos="8459"/>
              <w:tab w:val="right" w:pos="9026" w:leader="dot"/>
            </w:tabs>
            <w:rPr/>
          </w:pPr>
          <w:hyperlink w:anchor="__RefHeading___Toc2570902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یلحق بالغصب فی الضمان، المقبوض بالعقد المعاوضی الفاسد</w:t>
            </w:r>
            <w:r>
              <w:rPr>
                <w:rStyle w:val="IndexLink"/>
                <w:rtl w:val="true"/>
              </w:rPr>
              <w:t>]</w:t>
              <w:tab/>
            </w:r>
            <w:r>
              <w:rPr>
                <w:rStyle w:val="IndexLink"/>
              </w:rPr>
              <w:t>724</w:t>
            </w:r>
          </w:hyperlink>
        </w:p>
        <w:p>
          <w:pPr>
            <w:pStyle w:val="Contents3"/>
            <w:tabs>
              <w:tab w:val="clear" w:pos="8459"/>
              <w:tab w:val="right" w:pos="9026" w:leader="dot"/>
            </w:tabs>
            <w:rPr/>
          </w:pPr>
          <w:hyperlink w:anchor="__RefHeading___Toc2570904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یجب ردّ المغصوب إلیٰ مالکه ما دام باقیاً</w:t>
            </w:r>
            <w:r>
              <w:rPr>
                <w:rStyle w:val="IndexLink"/>
                <w:rtl w:val="true"/>
              </w:rPr>
              <w:t>]</w:t>
              <w:tab/>
            </w:r>
            <w:r>
              <w:rPr>
                <w:rStyle w:val="IndexLink"/>
              </w:rPr>
              <w:t>724</w:t>
            </w:r>
          </w:hyperlink>
        </w:p>
        <w:p>
          <w:pPr>
            <w:pStyle w:val="Contents3"/>
            <w:tabs>
              <w:tab w:val="clear" w:pos="8459"/>
              <w:tab w:val="right" w:pos="9026" w:leader="dot"/>
            </w:tabs>
            <w:rPr/>
          </w:pPr>
          <w:hyperlink w:anchor="__RefHeading___Toc2570906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لو مزج المغصوب بما یمکن تمیّزه و لکن مع المشقّة</w:t>
            </w:r>
            <w:r>
              <w:rPr>
                <w:rStyle w:val="IndexLink"/>
                <w:rtl w:val="true"/>
              </w:rPr>
              <w:t>]</w:t>
              <w:tab/>
            </w:r>
            <w:r>
              <w:rPr>
                <w:rStyle w:val="IndexLink"/>
              </w:rPr>
              <w:t>725</w:t>
            </w:r>
          </w:hyperlink>
        </w:p>
        <w:p>
          <w:pPr>
            <w:pStyle w:val="Contents3"/>
            <w:tabs>
              <w:tab w:val="clear" w:pos="8459"/>
              <w:tab w:val="right" w:pos="9026" w:leader="dot"/>
            </w:tabs>
            <w:rPr/>
          </w:pPr>
          <w:hyperlink w:anchor="__RefHeading___Toc2570908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یجب علی الغاصب مع ردّ العین بدل ما کانت لها من المنفعة فی تلک المدّة</w:t>
            </w:r>
            <w:r>
              <w:rPr>
                <w:rStyle w:val="IndexLink"/>
                <w:rtl w:val="true"/>
              </w:rPr>
              <w:t>]</w:t>
              <w:tab/>
            </w:r>
            <w:r>
              <w:rPr>
                <w:rStyle w:val="IndexLink"/>
              </w:rPr>
              <w:t>725</w:t>
            </w:r>
          </w:hyperlink>
        </w:p>
        <w:p>
          <w:pPr>
            <w:pStyle w:val="Contents3"/>
            <w:tabs>
              <w:tab w:val="clear" w:pos="8459"/>
              <w:tab w:val="right" w:pos="9026" w:leader="dot"/>
            </w:tabs>
            <w:rPr/>
          </w:pPr>
          <w:hyperlink w:anchor="__RefHeading___Toc2570910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إذا کانت للعین منافع متعدّدة و کانت معطّلة</w:t>
            </w:r>
            <w:r>
              <w:rPr>
                <w:rStyle w:val="IndexLink"/>
                <w:rtl w:val="true"/>
              </w:rPr>
              <w:t>]</w:t>
              <w:tab/>
            </w:r>
            <w:r>
              <w:rPr>
                <w:rStyle w:val="IndexLink"/>
              </w:rPr>
              <w:t>725</w:t>
            </w:r>
          </w:hyperlink>
        </w:p>
        <w:p>
          <w:pPr>
            <w:pStyle w:val="Contents3"/>
            <w:tabs>
              <w:tab w:val="clear" w:pos="8459"/>
              <w:tab w:val="right" w:pos="9026" w:leader="dot"/>
            </w:tabs>
            <w:rPr/>
          </w:pPr>
          <w:hyperlink w:anchor="__RefHeading___Toc2570912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إن کان المغصوب منه شخصاً یجب الردّ إلیه أو إلیٰ وکیله إن کان کاملًا</w:t>
            </w:r>
            <w:r>
              <w:rPr>
                <w:rStyle w:val="IndexLink"/>
                <w:rtl w:val="true"/>
              </w:rPr>
              <w:t>]</w:t>
              <w:tab/>
            </w:r>
            <w:r>
              <w:rPr>
                <w:rStyle w:val="IndexLink"/>
              </w:rPr>
              <w:t>725</w:t>
            </w:r>
          </w:hyperlink>
        </w:p>
        <w:p>
          <w:pPr>
            <w:pStyle w:val="Contents3"/>
            <w:tabs>
              <w:tab w:val="clear" w:pos="8459"/>
              <w:tab w:val="right" w:pos="9026" w:leader="dot"/>
            </w:tabs>
            <w:rPr/>
          </w:pPr>
          <w:hyperlink w:anchor="__RefHeading___Toc2570914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إذا کان المغصوب و المالک کلاهما فی بلد الغصب فلا إشکال</w:t>
            </w:r>
            <w:r>
              <w:rPr>
                <w:rStyle w:val="IndexLink"/>
                <w:rtl w:val="true"/>
              </w:rPr>
              <w:t>]</w:t>
              <w:tab/>
            </w:r>
            <w:r>
              <w:rPr>
                <w:rStyle w:val="IndexLink"/>
              </w:rPr>
              <w:t>726</w:t>
            </w:r>
          </w:hyperlink>
        </w:p>
        <w:p>
          <w:pPr>
            <w:pStyle w:val="Contents3"/>
            <w:tabs>
              <w:tab w:val="clear" w:pos="8459"/>
              <w:tab w:val="right" w:pos="9026" w:leader="dot"/>
            </w:tabs>
            <w:rPr/>
          </w:pPr>
          <w:hyperlink w:anchor="__RefHeading___Toc2570916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لو حدث فی المغصوب نقص و عیب وجب علی الغاصب أرش النقصان</w:t>
            </w:r>
            <w:r>
              <w:rPr>
                <w:rStyle w:val="IndexLink"/>
                <w:rtl w:val="true"/>
              </w:rPr>
              <w:t>]</w:t>
              <w:tab/>
            </w:r>
            <w:r>
              <w:rPr>
                <w:rStyle w:val="IndexLink"/>
              </w:rPr>
              <w:t>726</w:t>
            </w:r>
          </w:hyperlink>
        </w:p>
        <w:p>
          <w:pPr>
            <w:pStyle w:val="Contents3"/>
            <w:tabs>
              <w:tab w:val="clear" w:pos="8459"/>
              <w:tab w:val="right" w:pos="9026" w:leader="dot"/>
            </w:tabs>
            <w:rPr/>
          </w:pPr>
          <w:hyperlink w:anchor="__RefHeading___Toc2570918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لو کان المغصوب باقیاً لکن نزلت قیمته السوقیّة ردّه و لم یضمن نقصان القیمة</w:t>
            </w:r>
            <w:r>
              <w:rPr>
                <w:rStyle w:val="IndexLink"/>
                <w:rtl w:val="true"/>
              </w:rPr>
              <w:t>]</w:t>
              <w:tab/>
            </w:r>
            <w:r>
              <w:rPr>
                <w:rStyle w:val="IndexLink"/>
              </w:rPr>
              <w:t>726</w:t>
            </w:r>
          </w:hyperlink>
        </w:p>
        <w:p>
          <w:pPr>
            <w:pStyle w:val="Contents3"/>
            <w:tabs>
              <w:tab w:val="clear" w:pos="8459"/>
              <w:tab w:val="right" w:pos="9026" w:leader="dot"/>
            </w:tabs>
            <w:rPr/>
          </w:pPr>
          <w:hyperlink w:anchor="__RefHeading___Toc2570920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لو تلف المغصوب أو ما بحکمه کالمقبوض بالعقد الفاسد و المقبوض بالسوم قبل ردّه إلی المالک</w:t>
            </w:r>
            <w:r>
              <w:rPr>
                <w:rStyle w:val="IndexLink"/>
                <w:rtl w:val="true"/>
              </w:rPr>
              <w:t>]</w:t>
              <w:tab/>
            </w:r>
            <w:r>
              <w:rPr>
                <w:rStyle w:val="IndexLink"/>
              </w:rPr>
              <w:t>726</w:t>
            </w:r>
          </w:hyperlink>
        </w:p>
        <w:p>
          <w:pPr>
            <w:pStyle w:val="Contents3"/>
            <w:tabs>
              <w:tab w:val="clear" w:pos="8459"/>
              <w:tab w:val="right" w:pos="9026" w:leader="dot"/>
            </w:tabs>
            <w:rPr/>
          </w:pPr>
          <w:hyperlink w:anchor="__RefHeading___Toc2570922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إنّما یکون مثل الحنطة مثلیّا إذا لوحظ أشخاص کلّ صنف منها علیٰ حدة</w:t>
            </w:r>
            <w:r>
              <w:rPr>
                <w:rStyle w:val="IndexLink"/>
                <w:rtl w:val="true"/>
              </w:rPr>
              <w:t>]</w:t>
              <w:tab/>
            </w:r>
            <w:r>
              <w:rPr>
                <w:rStyle w:val="IndexLink"/>
              </w:rPr>
              <w:t>727</w:t>
            </w:r>
          </w:hyperlink>
        </w:p>
        <w:p>
          <w:pPr>
            <w:pStyle w:val="Contents3"/>
            <w:tabs>
              <w:tab w:val="clear" w:pos="8459"/>
              <w:tab w:val="right" w:pos="9026" w:leader="dot"/>
            </w:tabs>
            <w:rPr/>
          </w:pPr>
          <w:hyperlink w:anchor="__RefHeading___Toc2570924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لو تعذّر المثل فی المثلی ضمن قیمته</w:t>
            </w:r>
            <w:r>
              <w:rPr>
                <w:rStyle w:val="IndexLink"/>
                <w:rtl w:val="true"/>
              </w:rPr>
              <w:t>]</w:t>
              <w:tab/>
            </w:r>
            <w:r>
              <w:rPr>
                <w:rStyle w:val="IndexLink"/>
              </w:rPr>
              <w:t>727</w:t>
            </w:r>
          </w:hyperlink>
        </w:p>
        <w:p>
          <w:pPr>
            <w:pStyle w:val="Contents3"/>
            <w:tabs>
              <w:tab w:val="clear" w:pos="8459"/>
              <w:tab w:val="right" w:pos="9026" w:leader="dot"/>
            </w:tabs>
            <w:rPr/>
          </w:pPr>
          <w:hyperlink w:anchor="__RefHeading___Toc2570926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یکفی فی التعذّر الذی یجب معه دفع القیمة</w:t>
            </w:r>
            <w:r>
              <w:rPr>
                <w:rStyle w:val="IndexLink"/>
                <w:rtl w:val="true"/>
              </w:rPr>
              <w:t>]</w:t>
              <w:tab/>
            </w:r>
            <w:r>
              <w:rPr>
                <w:rStyle w:val="IndexLink"/>
              </w:rPr>
              <w:t>727</w:t>
            </w:r>
          </w:hyperlink>
        </w:p>
        <w:p>
          <w:pPr>
            <w:pStyle w:val="Contents3"/>
            <w:tabs>
              <w:tab w:val="clear" w:pos="8459"/>
              <w:tab w:val="right" w:pos="9026" w:leader="dot"/>
            </w:tabs>
            <w:rPr/>
          </w:pPr>
          <w:hyperlink w:anchor="__RefHeading___Toc2570928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لو وجد المثل بأکثر من ثمن المثل وجب علیه الشراء</w:t>
            </w:r>
            <w:r>
              <w:rPr>
                <w:rStyle w:val="IndexLink"/>
                <w:rtl w:val="true"/>
              </w:rPr>
              <w:t>]</w:t>
              <w:tab/>
            </w:r>
            <w:r>
              <w:rPr>
                <w:rStyle w:val="IndexLink"/>
              </w:rPr>
              <w:t>727</w:t>
            </w:r>
          </w:hyperlink>
        </w:p>
        <w:p>
          <w:pPr>
            <w:pStyle w:val="Contents3"/>
            <w:tabs>
              <w:tab w:val="clear" w:pos="8459"/>
              <w:tab w:val="right" w:pos="9026" w:leader="dot"/>
            </w:tabs>
            <w:rPr/>
          </w:pPr>
          <w:hyperlink w:anchor="__RefHeading___Toc2570930_3650668749">
            <w:r>
              <w:rPr>
                <w:webHidden/>
                <w:rStyle w:val="IndexLink"/>
                <w:rtl w:val="true"/>
              </w:rPr>
              <w:t>[ (</w:t>
            </w:r>
            <w:r>
              <w:rPr>
                <w:rStyle w:val="IndexLink"/>
                <w:rtl w:val="true"/>
              </w:rPr>
              <w:t xml:space="preserve">مسألة </w:t>
            </w:r>
            <w:r>
              <w:rPr>
                <w:rStyle w:val="IndexLink"/>
              </w:rPr>
              <w:t>28</w:t>
            </w:r>
            <w:r>
              <w:rPr>
                <w:rStyle w:val="IndexLink"/>
                <w:rtl w:val="true"/>
              </w:rPr>
              <w:t xml:space="preserve">): </w:t>
            </w:r>
            <w:r>
              <w:rPr>
                <w:rStyle w:val="IndexLink"/>
                <w:rtl w:val="true"/>
              </w:rPr>
              <w:t>لو وجد المثل و لکن تنزّل قیمته لم یکن علی الغاصب إلّا إعطاؤه</w:t>
            </w:r>
            <w:r>
              <w:rPr>
                <w:rStyle w:val="IndexLink"/>
                <w:rtl w:val="true"/>
              </w:rPr>
              <w:t>]</w:t>
              <w:tab/>
            </w:r>
            <w:r>
              <w:rPr>
                <w:rStyle w:val="IndexLink"/>
              </w:rPr>
              <w:t>728</w:t>
            </w:r>
          </w:hyperlink>
        </w:p>
        <w:p>
          <w:pPr>
            <w:pStyle w:val="Contents3"/>
            <w:tabs>
              <w:tab w:val="clear" w:pos="8459"/>
              <w:tab w:val="right" w:pos="9026" w:leader="dot"/>
            </w:tabs>
            <w:rPr/>
          </w:pPr>
          <w:hyperlink w:anchor="__RefHeading___Toc2570932_3650668749">
            <w:r>
              <w:rPr>
                <w:webHidden/>
                <w:rStyle w:val="IndexLink"/>
                <w:rtl w:val="true"/>
              </w:rPr>
              <w:t>[ (</w:t>
            </w:r>
            <w:r>
              <w:rPr>
                <w:rStyle w:val="IndexLink"/>
                <w:rtl w:val="true"/>
              </w:rPr>
              <w:t xml:space="preserve">مسألة </w:t>
            </w:r>
            <w:r>
              <w:rPr>
                <w:rStyle w:val="IndexLink"/>
              </w:rPr>
              <w:t>29</w:t>
            </w:r>
            <w:r>
              <w:rPr>
                <w:rStyle w:val="IndexLink"/>
                <w:rtl w:val="true"/>
              </w:rPr>
              <w:t xml:space="preserve">): </w:t>
            </w:r>
            <w:r>
              <w:rPr>
                <w:rStyle w:val="IndexLink"/>
                <w:rtl w:val="true"/>
              </w:rPr>
              <w:t>لو سقط المثل عن المالیّة بالمرّة؛ من جهة الزمان أو المکان</w:t>
            </w:r>
            <w:r>
              <w:rPr>
                <w:rStyle w:val="IndexLink"/>
                <w:rtl w:val="true"/>
              </w:rPr>
              <w:t>]</w:t>
              <w:tab/>
            </w:r>
            <w:r>
              <w:rPr>
                <w:rStyle w:val="IndexLink"/>
              </w:rPr>
              <w:t>728</w:t>
            </w:r>
          </w:hyperlink>
        </w:p>
        <w:p>
          <w:pPr>
            <w:pStyle w:val="Contents3"/>
            <w:tabs>
              <w:tab w:val="clear" w:pos="8459"/>
              <w:tab w:val="right" w:pos="9026" w:leader="dot"/>
            </w:tabs>
            <w:rPr/>
          </w:pPr>
          <w:hyperlink w:anchor="__RefHeading___Toc2570934_3650668749">
            <w:r>
              <w:rPr>
                <w:webHidden/>
                <w:rStyle w:val="IndexLink"/>
                <w:rtl w:val="true"/>
              </w:rPr>
              <w:t>[ (</w:t>
            </w:r>
            <w:r>
              <w:rPr>
                <w:rStyle w:val="IndexLink"/>
                <w:rtl w:val="true"/>
              </w:rPr>
              <w:t xml:space="preserve">مسألة </w:t>
            </w:r>
            <w:r>
              <w:rPr>
                <w:rStyle w:val="IndexLink"/>
              </w:rPr>
              <w:t>30</w:t>
            </w:r>
            <w:r>
              <w:rPr>
                <w:rStyle w:val="IndexLink"/>
                <w:rtl w:val="true"/>
              </w:rPr>
              <w:t xml:space="preserve">): </w:t>
            </w:r>
            <w:r>
              <w:rPr>
                <w:rStyle w:val="IndexLink"/>
                <w:rtl w:val="true"/>
              </w:rPr>
              <w:t>لو تلف المغصوب و کان قیمیّاً کالدوابّ و الثیاب ضمن قیمته</w:t>
            </w:r>
            <w:r>
              <w:rPr>
                <w:rStyle w:val="IndexLink"/>
                <w:rtl w:val="true"/>
              </w:rPr>
              <w:t>]</w:t>
              <w:tab/>
            </w:r>
            <w:r>
              <w:rPr>
                <w:rStyle w:val="IndexLink"/>
              </w:rPr>
              <w:t>728</w:t>
            </w:r>
          </w:hyperlink>
        </w:p>
        <w:p>
          <w:pPr>
            <w:pStyle w:val="Contents3"/>
            <w:tabs>
              <w:tab w:val="clear" w:pos="8459"/>
              <w:tab w:val="right" w:pos="9026" w:leader="dot"/>
            </w:tabs>
            <w:rPr/>
          </w:pPr>
          <w:hyperlink w:anchor="__RefHeading___Toc2570936_3650668749">
            <w:r>
              <w:rPr>
                <w:webHidden/>
                <w:rStyle w:val="IndexLink"/>
                <w:rtl w:val="true"/>
              </w:rPr>
              <w:t>[ (</w:t>
            </w:r>
            <w:r>
              <w:rPr>
                <w:rStyle w:val="IndexLink"/>
                <w:rtl w:val="true"/>
              </w:rPr>
              <w:t xml:space="preserve">مسألة </w:t>
            </w:r>
            <w:r>
              <w:rPr>
                <w:rStyle w:val="IndexLink"/>
              </w:rPr>
              <w:t>31</w:t>
            </w:r>
            <w:r>
              <w:rPr>
                <w:rStyle w:val="IndexLink"/>
                <w:rtl w:val="true"/>
              </w:rPr>
              <w:t xml:space="preserve">): </w:t>
            </w:r>
            <w:r>
              <w:rPr>
                <w:rStyle w:val="IndexLink"/>
                <w:rtl w:val="true"/>
              </w:rPr>
              <w:t>إذا اختلفت القیمة باختلاف المکان، کما إذا کان المغصوب فی بلد الغصب بعشرة</w:t>
            </w:r>
            <w:r>
              <w:rPr>
                <w:rStyle w:val="IndexLink"/>
                <w:rtl w:val="true"/>
              </w:rPr>
              <w:t>]</w:t>
              <w:tab/>
            </w:r>
            <w:r>
              <w:rPr>
                <w:rStyle w:val="IndexLink"/>
              </w:rPr>
              <w:t>729</w:t>
            </w:r>
          </w:hyperlink>
        </w:p>
        <w:p>
          <w:pPr>
            <w:pStyle w:val="Contents3"/>
            <w:tabs>
              <w:tab w:val="clear" w:pos="8459"/>
              <w:tab w:val="right" w:pos="9026" w:leader="dot"/>
            </w:tabs>
            <w:rPr/>
          </w:pPr>
          <w:hyperlink w:anchor="__RefHeading___Toc2570938_3650668749">
            <w:r>
              <w:rPr>
                <w:webHidden/>
                <w:rStyle w:val="IndexLink"/>
                <w:rtl w:val="true"/>
              </w:rPr>
              <w:t>[ (</w:t>
            </w:r>
            <w:r>
              <w:rPr>
                <w:rStyle w:val="IndexLink"/>
                <w:rtl w:val="true"/>
              </w:rPr>
              <w:t xml:space="preserve">مسألة </w:t>
            </w:r>
            <w:r>
              <w:rPr>
                <w:rStyle w:val="IndexLink"/>
              </w:rPr>
              <w:t>32</w:t>
            </w:r>
            <w:r>
              <w:rPr>
                <w:rStyle w:val="IndexLink"/>
                <w:rtl w:val="true"/>
              </w:rPr>
              <w:t xml:space="preserve">): </w:t>
            </w:r>
            <w:r>
              <w:rPr>
                <w:rStyle w:val="IndexLink"/>
                <w:rtl w:val="true"/>
              </w:rPr>
              <w:t>کما أنّه عند تلف المغصوب یجب علی الغاصب دفع بدله إلی المالک</w:t>
            </w:r>
            <w:r>
              <w:rPr>
                <w:rStyle w:val="IndexLink"/>
                <w:rtl w:val="true"/>
              </w:rPr>
              <w:t>]</w:t>
              <w:tab/>
            </w:r>
            <w:r>
              <w:rPr>
                <w:rStyle w:val="IndexLink"/>
              </w:rPr>
              <w:t>729</w:t>
            </w:r>
          </w:hyperlink>
        </w:p>
        <w:p>
          <w:pPr>
            <w:pStyle w:val="Contents3"/>
            <w:tabs>
              <w:tab w:val="clear" w:pos="8459"/>
              <w:tab w:val="right" w:pos="9026" w:leader="dot"/>
            </w:tabs>
            <w:rPr/>
          </w:pPr>
          <w:hyperlink w:anchor="__RefHeading___Toc2570940_3650668749">
            <w:r>
              <w:rPr>
                <w:webHidden/>
                <w:rStyle w:val="IndexLink"/>
                <w:rtl w:val="true"/>
              </w:rPr>
              <w:t>[ (</w:t>
            </w:r>
            <w:r>
              <w:rPr>
                <w:rStyle w:val="IndexLink"/>
                <w:rtl w:val="true"/>
              </w:rPr>
              <w:t xml:space="preserve">مسألة </w:t>
            </w:r>
            <w:r>
              <w:rPr>
                <w:rStyle w:val="IndexLink"/>
              </w:rPr>
              <w:t>33</w:t>
            </w:r>
            <w:r>
              <w:rPr>
                <w:rStyle w:val="IndexLink"/>
                <w:rtl w:val="true"/>
              </w:rPr>
              <w:t xml:space="preserve">): </w:t>
            </w:r>
            <w:r>
              <w:rPr>
                <w:rStyle w:val="IndexLink"/>
                <w:rtl w:val="true"/>
              </w:rPr>
              <w:t>لو کان للبدل نماء و منافع فی تلک المدّة کان للمغصوب منه</w:t>
            </w:r>
            <w:r>
              <w:rPr>
                <w:rStyle w:val="IndexLink"/>
                <w:rtl w:val="true"/>
              </w:rPr>
              <w:t>]</w:t>
              <w:tab/>
            </w:r>
            <w:r>
              <w:rPr>
                <w:rStyle w:val="IndexLink"/>
              </w:rPr>
              <w:t>729</w:t>
            </w:r>
          </w:hyperlink>
        </w:p>
        <w:p>
          <w:pPr>
            <w:pStyle w:val="Contents3"/>
            <w:tabs>
              <w:tab w:val="clear" w:pos="8459"/>
              <w:tab w:val="right" w:pos="9026" w:leader="dot"/>
            </w:tabs>
            <w:rPr/>
          </w:pPr>
          <w:hyperlink w:anchor="__RefHeading___Toc2570942_3650668749">
            <w:r>
              <w:rPr>
                <w:webHidden/>
                <w:rStyle w:val="IndexLink"/>
                <w:rtl w:val="true"/>
              </w:rPr>
              <w:t>[ (</w:t>
            </w:r>
            <w:r>
              <w:rPr>
                <w:rStyle w:val="IndexLink"/>
                <w:rtl w:val="true"/>
              </w:rPr>
              <w:t xml:space="preserve">مسألة </w:t>
            </w:r>
            <w:r>
              <w:rPr>
                <w:rStyle w:val="IndexLink"/>
              </w:rPr>
              <w:t>34</w:t>
            </w:r>
            <w:r>
              <w:rPr>
                <w:rStyle w:val="IndexLink"/>
                <w:rtl w:val="true"/>
              </w:rPr>
              <w:t xml:space="preserve">): </w:t>
            </w:r>
            <w:r>
              <w:rPr>
                <w:rStyle w:val="IndexLink"/>
                <w:rtl w:val="true"/>
              </w:rPr>
              <w:t>القیمة التی یضمنها الغاصب فی القیمیّات و فی المثلیّات</w:t>
            </w:r>
            <w:r>
              <w:rPr>
                <w:rStyle w:val="IndexLink"/>
                <w:rtl w:val="true"/>
              </w:rPr>
              <w:t>]</w:t>
              <w:tab/>
            </w:r>
            <w:r>
              <w:rPr>
                <w:rStyle w:val="IndexLink"/>
              </w:rPr>
              <w:t>729</w:t>
            </w:r>
          </w:hyperlink>
        </w:p>
        <w:p>
          <w:pPr>
            <w:pStyle w:val="Contents3"/>
            <w:tabs>
              <w:tab w:val="clear" w:pos="8459"/>
              <w:tab w:val="right" w:pos="9026" w:leader="dot"/>
            </w:tabs>
            <w:rPr/>
          </w:pPr>
          <w:hyperlink w:anchor="__RefHeading___Toc2570944_3650668749">
            <w:r>
              <w:rPr>
                <w:webHidden/>
                <w:rStyle w:val="IndexLink"/>
                <w:rtl w:val="true"/>
              </w:rPr>
              <w:t>[ (</w:t>
            </w:r>
            <w:r>
              <w:rPr>
                <w:rStyle w:val="IndexLink"/>
                <w:rtl w:val="true"/>
              </w:rPr>
              <w:t xml:space="preserve">مسألة </w:t>
            </w:r>
            <w:r>
              <w:rPr>
                <w:rStyle w:val="IndexLink"/>
              </w:rPr>
              <w:t>35</w:t>
            </w:r>
            <w:r>
              <w:rPr>
                <w:rStyle w:val="IndexLink"/>
                <w:rtl w:val="true"/>
              </w:rPr>
              <w:t xml:space="preserve">): </w:t>
            </w:r>
            <w:r>
              <w:rPr>
                <w:rStyle w:val="IndexLink"/>
                <w:rtl w:val="true"/>
              </w:rPr>
              <w:t>الظاهر أنّ الفلزّات و المعادن المنطبعة کالحدید و الرصاص و النحاس کلّها مثلیّة</w:t>
            </w:r>
            <w:r>
              <w:rPr>
                <w:rStyle w:val="IndexLink"/>
                <w:rtl w:val="true"/>
              </w:rPr>
              <w:t>]</w:t>
              <w:tab/>
            </w:r>
            <w:r>
              <w:rPr>
                <w:rStyle w:val="IndexLink"/>
              </w:rPr>
              <w:t>729</w:t>
            </w:r>
          </w:hyperlink>
        </w:p>
        <w:p>
          <w:pPr>
            <w:pStyle w:val="Contents3"/>
            <w:tabs>
              <w:tab w:val="clear" w:pos="8459"/>
              <w:tab w:val="right" w:pos="9026" w:leader="dot"/>
            </w:tabs>
            <w:rPr/>
          </w:pPr>
          <w:hyperlink w:anchor="__RefHeading___Toc2570946_3650668749">
            <w:r>
              <w:rPr>
                <w:webHidden/>
                <w:rStyle w:val="IndexLink"/>
                <w:rtl w:val="true"/>
              </w:rPr>
              <w:t>[ (</w:t>
            </w:r>
            <w:r>
              <w:rPr>
                <w:rStyle w:val="IndexLink"/>
                <w:rtl w:val="true"/>
              </w:rPr>
              <w:t xml:space="preserve">مسألة </w:t>
            </w:r>
            <w:r>
              <w:rPr>
                <w:rStyle w:val="IndexLink"/>
              </w:rPr>
              <w:t>36</w:t>
            </w:r>
            <w:r>
              <w:rPr>
                <w:rStyle w:val="IndexLink"/>
                <w:rtl w:val="true"/>
              </w:rPr>
              <w:t xml:space="preserve">): </w:t>
            </w:r>
            <w:r>
              <w:rPr>
                <w:rStyle w:val="IndexLink"/>
                <w:rtl w:val="true"/>
              </w:rPr>
              <w:t>لو تعاقبت الأیادی الغاصبة علیٰ عین ثمّ تلفت</w:t>
            </w:r>
            <w:r>
              <w:rPr>
                <w:rStyle w:val="IndexLink"/>
                <w:rtl w:val="true"/>
              </w:rPr>
              <w:t>]</w:t>
              <w:tab/>
            </w:r>
            <w:r>
              <w:rPr>
                <w:rStyle w:val="IndexLink"/>
              </w:rPr>
              <w:t>730</w:t>
            </w:r>
          </w:hyperlink>
        </w:p>
        <w:p>
          <w:pPr>
            <w:pStyle w:val="Contents3"/>
            <w:tabs>
              <w:tab w:val="clear" w:pos="8459"/>
              <w:tab w:val="right" w:pos="9026" w:leader="dot"/>
            </w:tabs>
            <w:rPr/>
          </w:pPr>
          <w:hyperlink w:anchor="__RefHeading___Toc2570948_3650668749">
            <w:r>
              <w:rPr>
                <w:webHidden/>
                <w:rStyle w:val="IndexLink"/>
                <w:rtl w:val="true"/>
              </w:rPr>
              <w:t>[ (</w:t>
            </w:r>
            <w:r>
              <w:rPr>
                <w:rStyle w:val="IndexLink"/>
                <w:rtl w:val="true"/>
              </w:rPr>
              <w:t xml:space="preserve">مسألة </w:t>
            </w:r>
            <w:r>
              <w:rPr>
                <w:rStyle w:val="IndexLink"/>
              </w:rPr>
              <w:t>37</w:t>
            </w:r>
            <w:r>
              <w:rPr>
                <w:rStyle w:val="IndexLink"/>
                <w:rtl w:val="true"/>
              </w:rPr>
              <w:t xml:space="preserve">): </w:t>
            </w:r>
            <w:r>
              <w:rPr>
                <w:rStyle w:val="IndexLink"/>
                <w:rtl w:val="true"/>
              </w:rPr>
              <w:t>لو غصب شیئاً مثلیّا فیه صنعة محلّلة</w:t>
            </w:r>
            <w:r>
              <w:rPr>
                <w:rStyle w:val="IndexLink"/>
                <w:rtl w:val="true"/>
              </w:rPr>
              <w:t>]</w:t>
              <w:tab/>
            </w:r>
            <w:r>
              <w:rPr>
                <w:rStyle w:val="IndexLink"/>
              </w:rPr>
              <w:t>730</w:t>
            </w:r>
          </w:hyperlink>
        </w:p>
        <w:p>
          <w:pPr>
            <w:pStyle w:val="Contents3"/>
            <w:tabs>
              <w:tab w:val="clear" w:pos="8459"/>
              <w:tab w:val="right" w:pos="9026" w:leader="dot"/>
            </w:tabs>
            <w:rPr/>
          </w:pPr>
          <w:hyperlink w:anchor="__RefHeading___Toc2570950_3650668749">
            <w:r>
              <w:rPr>
                <w:webHidden/>
                <w:rStyle w:val="IndexLink"/>
                <w:rtl w:val="true"/>
              </w:rPr>
              <w:t>[ (</w:t>
            </w:r>
            <w:r>
              <w:rPr>
                <w:rStyle w:val="IndexLink"/>
                <w:rtl w:val="true"/>
              </w:rPr>
              <w:t xml:space="preserve">مسألة </w:t>
            </w:r>
            <w:r>
              <w:rPr>
                <w:rStyle w:val="IndexLink"/>
              </w:rPr>
              <w:t>38</w:t>
            </w:r>
            <w:r>
              <w:rPr>
                <w:rStyle w:val="IndexLink"/>
                <w:rtl w:val="true"/>
              </w:rPr>
              <w:t xml:space="preserve">): </w:t>
            </w:r>
            <w:r>
              <w:rPr>
                <w:rStyle w:val="IndexLink"/>
                <w:rtl w:val="true"/>
              </w:rPr>
              <w:t>لو غصب المصنوع و تلفت عنده الهیئة و الصنعة فقط دون المادّة ردّ العین</w:t>
            </w:r>
            <w:r>
              <w:rPr>
                <w:rStyle w:val="IndexLink"/>
                <w:rtl w:val="true"/>
              </w:rPr>
              <w:t>]</w:t>
              <w:tab/>
            </w:r>
            <w:r>
              <w:rPr>
                <w:rStyle w:val="IndexLink"/>
              </w:rPr>
              <w:t>731</w:t>
            </w:r>
          </w:hyperlink>
        </w:p>
        <w:p>
          <w:pPr>
            <w:pStyle w:val="Contents3"/>
            <w:tabs>
              <w:tab w:val="clear" w:pos="8459"/>
              <w:tab w:val="right" w:pos="9026" w:leader="dot"/>
            </w:tabs>
            <w:rPr/>
          </w:pPr>
          <w:hyperlink w:anchor="__RefHeading___Toc2570952_3650668749">
            <w:r>
              <w:rPr>
                <w:webHidden/>
                <w:rStyle w:val="IndexLink"/>
                <w:rtl w:val="true"/>
              </w:rPr>
              <w:t>[ (</w:t>
            </w:r>
            <w:r>
              <w:rPr>
                <w:rStyle w:val="IndexLink"/>
                <w:rtl w:val="true"/>
              </w:rPr>
              <w:t xml:space="preserve">مسألة </w:t>
            </w:r>
            <w:r>
              <w:rPr>
                <w:rStyle w:val="IndexLink"/>
              </w:rPr>
              <w:t>39</w:t>
            </w:r>
            <w:r>
              <w:rPr>
                <w:rStyle w:val="IndexLink"/>
                <w:rtl w:val="true"/>
              </w:rPr>
              <w:t xml:space="preserve">): </w:t>
            </w:r>
            <w:r>
              <w:rPr>
                <w:rStyle w:val="IndexLink"/>
                <w:rtl w:val="true"/>
              </w:rPr>
              <w:t>لو کانت فی المغصوب المثلی صنعة محرّمة غیر محترمة</w:t>
            </w:r>
            <w:r>
              <w:rPr>
                <w:rStyle w:val="IndexLink"/>
                <w:rtl w:val="true"/>
              </w:rPr>
              <w:t>]</w:t>
              <w:tab/>
            </w:r>
            <w:r>
              <w:rPr>
                <w:rStyle w:val="IndexLink"/>
              </w:rPr>
              <w:t>731</w:t>
            </w:r>
          </w:hyperlink>
        </w:p>
        <w:p>
          <w:pPr>
            <w:pStyle w:val="Contents3"/>
            <w:tabs>
              <w:tab w:val="clear" w:pos="8459"/>
              <w:tab w:val="right" w:pos="9026" w:leader="dot"/>
            </w:tabs>
            <w:rPr/>
          </w:pPr>
          <w:hyperlink w:anchor="__RefHeading___Toc2570954_3650668749">
            <w:r>
              <w:rPr>
                <w:webHidden/>
                <w:rStyle w:val="IndexLink"/>
                <w:rtl w:val="true"/>
              </w:rPr>
              <w:t>[ (</w:t>
            </w:r>
            <w:r>
              <w:rPr>
                <w:rStyle w:val="IndexLink"/>
                <w:rtl w:val="true"/>
              </w:rPr>
              <w:t xml:space="preserve">مسألة </w:t>
            </w:r>
            <w:r>
              <w:rPr>
                <w:rStyle w:val="IndexLink"/>
              </w:rPr>
              <w:t>40</w:t>
            </w:r>
            <w:r>
              <w:rPr>
                <w:rStyle w:val="IndexLink"/>
                <w:rtl w:val="true"/>
              </w:rPr>
              <w:t xml:space="preserve">): </w:t>
            </w:r>
            <w:r>
              <w:rPr>
                <w:rStyle w:val="IndexLink"/>
                <w:rtl w:val="true"/>
              </w:rPr>
              <w:t>إذا تعیّب المغصوب فی ید الغاصب کان علیه أرش النقصان</w:t>
            </w:r>
            <w:r>
              <w:rPr>
                <w:rStyle w:val="IndexLink"/>
                <w:rtl w:val="true"/>
              </w:rPr>
              <w:t>]</w:t>
              <w:tab/>
            </w:r>
            <w:r>
              <w:rPr>
                <w:rStyle w:val="IndexLink"/>
              </w:rPr>
              <w:t>731</w:t>
            </w:r>
          </w:hyperlink>
        </w:p>
        <w:p>
          <w:pPr>
            <w:pStyle w:val="Contents3"/>
            <w:tabs>
              <w:tab w:val="clear" w:pos="8459"/>
              <w:tab w:val="right" w:pos="9026" w:leader="dot"/>
            </w:tabs>
            <w:rPr/>
          </w:pPr>
          <w:hyperlink w:anchor="__RefHeading___Toc2570956_3650668749">
            <w:r>
              <w:rPr>
                <w:webHidden/>
                <w:rStyle w:val="IndexLink"/>
                <w:rtl w:val="true"/>
              </w:rPr>
              <w:t>[ (</w:t>
            </w:r>
            <w:r>
              <w:rPr>
                <w:rStyle w:val="IndexLink"/>
                <w:rtl w:val="true"/>
              </w:rPr>
              <w:t xml:space="preserve">مسألة </w:t>
            </w:r>
            <w:r>
              <w:rPr>
                <w:rStyle w:val="IndexLink"/>
              </w:rPr>
              <w:t>41</w:t>
            </w:r>
            <w:r>
              <w:rPr>
                <w:rStyle w:val="IndexLink"/>
                <w:rtl w:val="true"/>
              </w:rPr>
              <w:t xml:space="preserve">): </w:t>
            </w:r>
            <w:r>
              <w:rPr>
                <w:rStyle w:val="IndexLink"/>
                <w:rtl w:val="true"/>
              </w:rPr>
              <w:t>لو غصب شیئین تنقص قیمة کلّ واحد منهما منفرداً عنها</w:t>
            </w:r>
            <w:r>
              <w:rPr>
                <w:rStyle w:val="IndexLink"/>
                <w:rtl w:val="true"/>
              </w:rPr>
              <w:t>]</w:t>
              <w:tab/>
            </w:r>
            <w:r>
              <w:rPr>
                <w:rStyle w:val="IndexLink"/>
              </w:rPr>
              <w:t>731</w:t>
            </w:r>
          </w:hyperlink>
        </w:p>
        <w:p>
          <w:pPr>
            <w:pStyle w:val="Contents3"/>
            <w:tabs>
              <w:tab w:val="clear" w:pos="8459"/>
              <w:tab w:val="right" w:pos="9026" w:leader="dot"/>
            </w:tabs>
            <w:rPr/>
          </w:pPr>
          <w:hyperlink w:anchor="__RefHeading___Toc2570958_3650668749">
            <w:r>
              <w:rPr>
                <w:webHidden/>
                <w:rStyle w:val="IndexLink"/>
                <w:rtl w:val="true"/>
              </w:rPr>
              <w:t>[ (</w:t>
            </w:r>
            <w:r>
              <w:rPr>
                <w:rStyle w:val="IndexLink"/>
                <w:rtl w:val="true"/>
              </w:rPr>
              <w:t xml:space="preserve">مسألة </w:t>
            </w:r>
            <w:r>
              <w:rPr>
                <w:rStyle w:val="IndexLink"/>
              </w:rPr>
              <w:t>42</w:t>
            </w:r>
            <w:r>
              <w:rPr>
                <w:rStyle w:val="IndexLink"/>
                <w:rtl w:val="true"/>
              </w:rPr>
              <w:t xml:space="preserve">): </w:t>
            </w:r>
            <w:r>
              <w:rPr>
                <w:rStyle w:val="IndexLink"/>
                <w:rtl w:val="true"/>
              </w:rPr>
              <w:t>لو زادت بفعل الغاصب زیادة فی العین المغصوبة فهی علیٰ أقسام ثلاثة</w:t>
            </w:r>
            <w:r>
              <w:rPr>
                <w:rStyle w:val="IndexLink"/>
                <w:rtl w:val="true"/>
              </w:rPr>
              <w:t>]</w:t>
              <w:tab/>
            </w:r>
            <w:r>
              <w:rPr>
                <w:rStyle w:val="IndexLink"/>
              </w:rPr>
              <w:t>731</w:t>
            </w:r>
          </w:hyperlink>
        </w:p>
        <w:p>
          <w:pPr>
            <w:pStyle w:val="Contents3"/>
            <w:tabs>
              <w:tab w:val="clear" w:pos="8459"/>
              <w:tab w:val="right" w:pos="9026" w:leader="dot"/>
            </w:tabs>
            <w:rPr/>
          </w:pPr>
          <w:hyperlink w:anchor="__RefHeading___Toc2570960_3650668749">
            <w:r>
              <w:rPr>
                <w:webHidden/>
                <w:rStyle w:val="IndexLink"/>
                <w:rtl w:val="true"/>
              </w:rPr>
              <w:t>[ (</w:t>
            </w:r>
            <w:r>
              <w:rPr>
                <w:rStyle w:val="IndexLink"/>
                <w:rtl w:val="true"/>
              </w:rPr>
              <w:t xml:space="preserve">مسألة </w:t>
            </w:r>
            <w:r>
              <w:rPr>
                <w:rStyle w:val="IndexLink"/>
              </w:rPr>
              <w:t>43</w:t>
            </w:r>
            <w:r>
              <w:rPr>
                <w:rStyle w:val="IndexLink"/>
                <w:rtl w:val="true"/>
              </w:rPr>
              <w:t xml:space="preserve">): </w:t>
            </w:r>
            <w:r>
              <w:rPr>
                <w:rStyle w:val="IndexLink"/>
                <w:rtl w:val="true"/>
              </w:rPr>
              <w:t>لو زادت فی العین المغصوبة بما یکون أثراً محضاً ردّها کما هی</w:t>
            </w:r>
            <w:r>
              <w:rPr>
                <w:rStyle w:val="IndexLink"/>
                <w:rtl w:val="true"/>
              </w:rPr>
              <w:t>]</w:t>
              <w:tab/>
            </w:r>
            <w:r>
              <w:rPr>
                <w:rStyle w:val="IndexLink"/>
              </w:rPr>
              <w:t>732</w:t>
            </w:r>
          </w:hyperlink>
        </w:p>
        <w:p>
          <w:pPr>
            <w:pStyle w:val="Contents3"/>
            <w:tabs>
              <w:tab w:val="clear" w:pos="8459"/>
              <w:tab w:val="right" w:pos="9026" w:leader="dot"/>
            </w:tabs>
            <w:rPr/>
          </w:pPr>
          <w:hyperlink w:anchor="__RefHeading___Toc2570962_3650668749">
            <w:r>
              <w:rPr>
                <w:webHidden/>
                <w:rStyle w:val="IndexLink"/>
                <w:rtl w:val="true"/>
              </w:rPr>
              <w:t>[ (</w:t>
            </w:r>
            <w:r>
              <w:rPr>
                <w:rStyle w:val="IndexLink"/>
                <w:rtl w:val="true"/>
              </w:rPr>
              <w:t xml:space="preserve">مسألة </w:t>
            </w:r>
            <w:r>
              <w:rPr>
                <w:rStyle w:val="IndexLink"/>
              </w:rPr>
              <w:t>44</w:t>
            </w:r>
            <w:r>
              <w:rPr>
                <w:rStyle w:val="IndexLink"/>
                <w:rtl w:val="true"/>
              </w:rPr>
              <w:t xml:space="preserve">): </w:t>
            </w:r>
            <w:r>
              <w:rPr>
                <w:rStyle w:val="IndexLink"/>
                <w:rtl w:val="true"/>
              </w:rPr>
              <w:t>لو غصب أرضاً فزرعها أو غرسها، فالزرع و الغرس و نماؤهما للغاصب</w:t>
            </w:r>
            <w:r>
              <w:rPr>
                <w:rStyle w:val="IndexLink"/>
                <w:rtl w:val="true"/>
              </w:rPr>
              <w:t>]</w:t>
              <w:tab/>
            </w:r>
            <w:r>
              <w:rPr>
                <w:rStyle w:val="IndexLink"/>
              </w:rPr>
              <w:t>732</w:t>
            </w:r>
          </w:hyperlink>
        </w:p>
        <w:p>
          <w:pPr>
            <w:pStyle w:val="Contents3"/>
            <w:tabs>
              <w:tab w:val="clear" w:pos="8459"/>
              <w:tab w:val="right" w:pos="9026" w:leader="dot"/>
            </w:tabs>
            <w:rPr/>
          </w:pPr>
          <w:hyperlink w:anchor="__RefHeading___Toc2570964_3650668749">
            <w:r>
              <w:rPr>
                <w:webHidden/>
                <w:rStyle w:val="IndexLink"/>
                <w:rtl w:val="true"/>
              </w:rPr>
              <w:t>[ (</w:t>
            </w:r>
            <w:r>
              <w:rPr>
                <w:rStyle w:val="IndexLink"/>
                <w:rtl w:val="true"/>
              </w:rPr>
              <w:t xml:space="preserve">مسألة </w:t>
            </w:r>
            <w:r>
              <w:rPr>
                <w:rStyle w:val="IndexLink"/>
              </w:rPr>
              <w:t>45</w:t>
            </w:r>
            <w:r>
              <w:rPr>
                <w:rStyle w:val="IndexLink"/>
                <w:rtl w:val="true"/>
              </w:rPr>
              <w:t xml:space="preserve">): </w:t>
            </w:r>
            <w:r>
              <w:rPr>
                <w:rStyle w:val="IndexLink"/>
                <w:rtl w:val="true"/>
              </w:rPr>
              <w:t>لو غرس أو بنیٰ فی أرض غصبها و کان الغراس و أجزاء البناء لصاحب الأرض</w:t>
            </w:r>
            <w:r>
              <w:rPr>
                <w:rStyle w:val="IndexLink"/>
                <w:rtl w:val="true"/>
              </w:rPr>
              <w:t>]</w:t>
              <w:tab/>
            </w:r>
            <w:r>
              <w:rPr>
                <w:rStyle w:val="IndexLink"/>
              </w:rPr>
              <w:t>732</w:t>
            </w:r>
          </w:hyperlink>
        </w:p>
        <w:p>
          <w:pPr>
            <w:pStyle w:val="Contents3"/>
            <w:tabs>
              <w:tab w:val="clear" w:pos="8459"/>
              <w:tab w:val="right" w:pos="9026" w:leader="dot"/>
            </w:tabs>
            <w:rPr/>
          </w:pPr>
          <w:hyperlink w:anchor="__RefHeading___Toc2570966_3650668749">
            <w:r>
              <w:rPr>
                <w:webHidden/>
                <w:rStyle w:val="IndexLink"/>
                <w:rtl w:val="true"/>
              </w:rPr>
              <w:t>[ (</w:t>
            </w:r>
            <w:r>
              <w:rPr>
                <w:rStyle w:val="IndexLink"/>
                <w:rtl w:val="true"/>
              </w:rPr>
              <w:t xml:space="preserve">مسألة </w:t>
            </w:r>
            <w:r>
              <w:rPr>
                <w:rStyle w:val="IndexLink"/>
              </w:rPr>
              <w:t>46</w:t>
            </w:r>
            <w:r>
              <w:rPr>
                <w:rStyle w:val="IndexLink"/>
                <w:rtl w:val="true"/>
              </w:rPr>
              <w:t xml:space="preserve">): </w:t>
            </w:r>
            <w:r>
              <w:rPr>
                <w:rStyle w:val="IndexLink"/>
                <w:rtl w:val="true"/>
              </w:rPr>
              <w:t>لو غصب ثوباً و صبغه بصبغه</w:t>
            </w:r>
            <w:r>
              <w:rPr>
                <w:rStyle w:val="IndexLink"/>
                <w:rtl w:val="true"/>
              </w:rPr>
              <w:t>]</w:t>
              <w:tab/>
            </w:r>
            <w:r>
              <w:rPr>
                <w:rStyle w:val="IndexLink"/>
              </w:rPr>
              <w:t>732</w:t>
            </w:r>
          </w:hyperlink>
        </w:p>
        <w:p>
          <w:pPr>
            <w:pStyle w:val="Contents3"/>
            <w:tabs>
              <w:tab w:val="clear" w:pos="8459"/>
              <w:tab w:val="right" w:pos="9026" w:leader="dot"/>
            </w:tabs>
            <w:rPr/>
          </w:pPr>
          <w:hyperlink w:anchor="__RefHeading___Toc2570968_3650668749">
            <w:r>
              <w:rPr>
                <w:webHidden/>
                <w:rStyle w:val="IndexLink"/>
                <w:rtl w:val="true"/>
              </w:rPr>
              <w:t>[ (</w:t>
            </w:r>
            <w:r>
              <w:rPr>
                <w:rStyle w:val="IndexLink"/>
                <w:rtl w:val="true"/>
              </w:rPr>
              <w:t xml:space="preserve">مسألة </w:t>
            </w:r>
            <w:r>
              <w:rPr>
                <w:rStyle w:val="IndexLink"/>
              </w:rPr>
              <w:t>47</w:t>
            </w:r>
            <w:r>
              <w:rPr>
                <w:rStyle w:val="IndexLink"/>
                <w:rtl w:val="true"/>
              </w:rPr>
              <w:t xml:space="preserve">): </w:t>
            </w:r>
            <w:r>
              <w:rPr>
                <w:rStyle w:val="IndexLink"/>
                <w:rtl w:val="true"/>
              </w:rPr>
              <w:t>لو صبغ الثوب المغصوب بصبغ مغصوب حصلت الشرکة</w:t>
            </w:r>
            <w:r>
              <w:rPr>
                <w:rStyle w:val="IndexLink"/>
                <w:rtl w:val="true"/>
              </w:rPr>
              <w:t>]</w:t>
              <w:tab/>
            </w:r>
            <w:r>
              <w:rPr>
                <w:rStyle w:val="IndexLink"/>
              </w:rPr>
              <w:t>733</w:t>
            </w:r>
          </w:hyperlink>
        </w:p>
        <w:p>
          <w:pPr>
            <w:pStyle w:val="Contents3"/>
            <w:tabs>
              <w:tab w:val="clear" w:pos="8459"/>
              <w:tab w:val="right" w:pos="9026" w:leader="dot"/>
            </w:tabs>
            <w:rPr/>
          </w:pPr>
          <w:hyperlink w:anchor="__RefHeading___Toc2570970_3650668749">
            <w:r>
              <w:rPr>
                <w:webHidden/>
                <w:rStyle w:val="IndexLink"/>
                <w:rtl w:val="true"/>
              </w:rPr>
              <w:t>[ (</w:t>
            </w:r>
            <w:r>
              <w:rPr>
                <w:rStyle w:val="IndexLink"/>
                <w:rtl w:val="true"/>
              </w:rPr>
              <w:t xml:space="preserve">مسألة </w:t>
            </w:r>
            <w:r>
              <w:rPr>
                <w:rStyle w:val="IndexLink"/>
              </w:rPr>
              <w:t>48</w:t>
            </w:r>
            <w:r>
              <w:rPr>
                <w:rStyle w:val="IndexLink"/>
                <w:rtl w:val="true"/>
              </w:rPr>
              <w:t xml:space="preserve">): </w:t>
            </w:r>
            <w:r>
              <w:rPr>
                <w:rStyle w:val="IndexLink"/>
                <w:rtl w:val="true"/>
              </w:rPr>
              <w:t>لو مزج الغاصب المغصوب بغیره، أو امتزج فی یده بغیر اختیاره مزجاً رافعاً للتمیّز بینهما</w:t>
            </w:r>
            <w:r>
              <w:rPr>
                <w:rStyle w:val="IndexLink"/>
                <w:rtl w:val="true"/>
              </w:rPr>
              <w:t>]</w:t>
              <w:tab/>
            </w:r>
            <w:r>
              <w:rPr>
                <w:rStyle w:val="IndexLink"/>
              </w:rPr>
              <w:t>734</w:t>
            </w:r>
          </w:hyperlink>
        </w:p>
        <w:p>
          <w:pPr>
            <w:pStyle w:val="Contents3"/>
            <w:tabs>
              <w:tab w:val="clear" w:pos="8459"/>
              <w:tab w:val="right" w:pos="9026" w:leader="dot"/>
            </w:tabs>
            <w:rPr/>
          </w:pPr>
          <w:hyperlink w:anchor="__RefHeading___Toc2570972_3650668749">
            <w:r>
              <w:rPr>
                <w:webHidden/>
                <w:rStyle w:val="IndexLink"/>
                <w:rtl w:val="true"/>
              </w:rPr>
              <w:t>[ (</w:t>
            </w:r>
            <w:r>
              <w:rPr>
                <w:rStyle w:val="IndexLink"/>
                <w:rtl w:val="true"/>
              </w:rPr>
              <w:t xml:space="preserve">مسألة </w:t>
            </w:r>
            <w:r>
              <w:rPr>
                <w:rStyle w:val="IndexLink"/>
              </w:rPr>
              <w:t>49</w:t>
            </w:r>
            <w:r>
              <w:rPr>
                <w:rStyle w:val="IndexLink"/>
                <w:rtl w:val="true"/>
              </w:rPr>
              <w:t xml:space="preserve">): </w:t>
            </w:r>
            <w:r>
              <w:rPr>
                <w:rStyle w:val="IndexLink"/>
                <w:rtl w:val="true"/>
              </w:rPr>
              <w:t>لو خلط المغصوب بالأجود أو الأردأ و صار قیمة المجموع المخلوط أنقص من قیمة الخلیطین منفردین</w:t>
            </w:r>
            <w:r>
              <w:rPr>
                <w:rStyle w:val="IndexLink"/>
                <w:rtl w:val="true"/>
              </w:rPr>
              <w:t>]</w:t>
              <w:tab/>
            </w:r>
            <w:r>
              <w:rPr>
                <w:rStyle w:val="IndexLink"/>
              </w:rPr>
              <w:t>734</w:t>
            </w:r>
          </w:hyperlink>
        </w:p>
        <w:p>
          <w:pPr>
            <w:pStyle w:val="Contents3"/>
            <w:tabs>
              <w:tab w:val="clear" w:pos="8459"/>
              <w:tab w:val="right" w:pos="9026" w:leader="dot"/>
            </w:tabs>
            <w:rPr/>
          </w:pPr>
          <w:hyperlink w:anchor="__RefHeading___Toc2570974_3650668749">
            <w:r>
              <w:rPr>
                <w:webHidden/>
                <w:rStyle w:val="IndexLink"/>
                <w:rtl w:val="true"/>
              </w:rPr>
              <w:t>[ (</w:t>
            </w:r>
            <w:r>
              <w:rPr>
                <w:rStyle w:val="IndexLink"/>
                <w:rtl w:val="true"/>
              </w:rPr>
              <w:t xml:space="preserve">مسألة </w:t>
            </w:r>
            <w:r>
              <w:rPr>
                <w:rStyle w:val="IndexLink"/>
              </w:rPr>
              <w:t>50</w:t>
            </w:r>
            <w:r>
              <w:rPr>
                <w:rStyle w:val="IndexLink"/>
                <w:rtl w:val="true"/>
              </w:rPr>
              <w:t xml:space="preserve">): </w:t>
            </w:r>
            <w:r>
              <w:rPr>
                <w:rStyle w:val="IndexLink"/>
                <w:rtl w:val="true"/>
              </w:rPr>
              <w:t>فوائد المغصوب مملوکة للمغصوب منه و ان تجدّدت بعد الغصب</w:t>
            </w:r>
            <w:r>
              <w:rPr>
                <w:rStyle w:val="IndexLink"/>
                <w:rtl w:val="true"/>
              </w:rPr>
              <w:t>]</w:t>
              <w:tab/>
            </w:r>
            <w:r>
              <w:rPr>
                <w:rStyle w:val="IndexLink"/>
              </w:rPr>
              <w:t>735</w:t>
            </w:r>
          </w:hyperlink>
        </w:p>
        <w:p>
          <w:pPr>
            <w:pStyle w:val="Contents3"/>
            <w:tabs>
              <w:tab w:val="clear" w:pos="8459"/>
              <w:tab w:val="right" w:pos="9026" w:leader="dot"/>
            </w:tabs>
            <w:rPr/>
          </w:pPr>
          <w:hyperlink w:anchor="__RefHeading___Toc2570976_3650668749">
            <w:r>
              <w:rPr>
                <w:webHidden/>
                <w:rStyle w:val="IndexLink"/>
                <w:rtl w:val="true"/>
              </w:rPr>
              <w:t>[ (</w:t>
            </w:r>
            <w:r>
              <w:rPr>
                <w:rStyle w:val="IndexLink"/>
                <w:rtl w:val="true"/>
              </w:rPr>
              <w:t xml:space="preserve">مسألة </w:t>
            </w:r>
            <w:r>
              <w:rPr>
                <w:rStyle w:val="IndexLink"/>
              </w:rPr>
              <w:t>51</w:t>
            </w:r>
            <w:r>
              <w:rPr>
                <w:rStyle w:val="IndexLink"/>
                <w:rtl w:val="true"/>
              </w:rPr>
              <w:t xml:space="preserve">): </w:t>
            </w:r>
            <w:r>
              <w:rPr>
                <w:rStyle w:val="IndexLink"/>
                <w:rtl w:val="true"/>
              </w:rPr>
              <w:t>لو حصلت فیه صفة فزادت قیمته ثمّ زالت فنقصت ثمّ حصلت فیه صفة أُخری</w:t>
            </w:r>
            <w:r>
              <w:rPr>
                <w:rStyle w:val="IndexLink"/>
                <w:rtl w:val="true"/>
              </w:rPr>
              <w:t>]</w:t>
              <w:tab/>
            </w:r>
            <w:r>
              <w:rPr>
                <w:rStyle w:val="IndexLink"/>
              </w:rPr>
              <w:t>735</w:t>
            </w:r>
          </w:hyperlink>
        </w:p>
        <w:p>
          <w:pPr>
            <w:pStyle w:val="Contents3"/>
            <w:tabs>
              <w:tab w:val="clear" w:pos="8459"/>
              <w:tab w:val="right" w:pos="9026" w:leader="dot"/>
            </w:tabs>
            <w:rPr/>
          </w:pPr>
          <w:hyperlink w:anchor="__RefHeading___Toc2570978_3650668749">
            <w:r>
              <w:rPr>
                <w:webHidden/>
                <w:rStyle w:val="IndexLink"/>
                <w:rtl w:val="true"/>
              </w:rPr>
              <w:t>[ (</w:t>
            </w:r>
            <w:r>
              <w:rPr>
                <w:rStyle w:val="IndexLink"/>
                <w:rtl w:val="true"/>
              </w:rPr>
              <w:t xml:space="preserve">مسألة </w:t>
            </w:r>
            <w:r>
              <w:rPr>
                <w:rStyle w:val="IndexLink"/>
              </w:rPr>
              <w:t>52</w:t>
            </w:r>
            <w:r>
              <w:rPr>
                <w:rStyle w:val="IndexLink"/>
                <w:rtl w:val="true"/>
              </w:rPr>
              <w:t xml:space="preserve">): </w:t>
            </w:r>
            <w:r>
              <w:rPr>
                <w:rStyle w:val="IndexLink"/>
                <w:rtl w:val="true"/>
              </w:rPr>
              <w:t>إذا غصب حبّا فزرعه أو بیضاً فاستفرخه تحت دجاجته</w:t>
            </w:r>
            <w:r>
              <w:rPr>
                <w:rStyle w:val="IndexLink"/>
                <w:rtl w:val="true"/>
              </w:rPr>
              <w:t>]</w:t>
              <w:tab/>
            </w:r>
            <w:r>
              <w:rPr>
                <w:rStyle w:val="IndexLink"/>
              </w:rPr>
              <w:t>735</w:t>
            </w:r>
          </w:hyperlink>
        </w:p>
        <w:p>
          <w:pPr>
            <w:pStyle w:val="Contents3"/>
            <w:tabs>
              <w:tab w:val="clear" w:pos="8459"/>
              <w:tab w:val="right" w:pos="9026" w:leader="dot"/>
            </w:tabs>
            <w:rPr/>
          </w:pPr>
          <w:hyperlink w:anchor="__RefHeading___Toc2570980_3650668749">
            <w:r>
              <w:rPr>
                <w:webHidden/>
                <w:rStyle w:val="IndexLink"/>
                <w:rtl w:val="true"/>
              </w:rPr>
              <w:t>[ (</w:t>
            </w:r>
            <w:r>
              <w:rPr>
                <w:rStyle w:val="IndexLink"/>
                <w:rtl w:val="true"/>
              </w:rPr>
              <w:t xml:space="preserve">مسألة </w:t>
            </w:r>
            <w:r>
              <w:rPr>
                <w:rStyle w:val="IndexLink"/>
              </w:rPr>
              <w:t>53</w:t>
            </w:r>
            <w:r>
              <w:rPr>
                <w:rStyle w:val="IndexLink"/>
                <w:rtl w:val="true"/>
              </w:rPr>
              <w:t xml:space="preserve">): </w:t>
            </w:r>
            <w:r>
              <w:rPr>
                <w:rStyle w:val="IndexLink"/>
                <w:rtl w:val="true"/>
              </w:rPr>
              <w:t>جمیع ما مرّ من الضمان و کیفیّته و أحکامه و تفاصیله جاریة فی کلّ ید جاریة علیٰ مال الغیر</w:t>
            </w:r>
            <w:r>
              <w:rPr>
                <w:rStyle w:val="IndexLink"/>
                <w:rtl w:val="true"/>
              </w:rPr>
              <w:t>]</w:t>
              <w:tab/>
            </w:r>
            <w:r>
              <w:rPr>
                <w:rStyle w:val="IndexLink"/>
              </w:rPr>
              <w:t>735</w:t>
            </w:r>
          </w:hyperlink>
        </w:p>
        <w:p>
          <w:pPr>
            <w:pStyle w:val="Contents3"/>
            <w:tabs>
              <w:tab w:val="clear" w:pos="8459"/>
              <w:tab w:val="right" w:pos="9026" w:leader="dot"/>
            </w:tabs>
            <w:rPr/>
          </w:pPr>
          <w:hyperlink w:anchor="__RefHeading___Toc2570982_3650668749">
            <w:r>
              <w:rPr>
                <w:webHidden/>
                <w:rStyle w:val="IndexLink"/>
                <w:rtl w:val="true"/>
              </w:rPr>
              <w:t>[ (</w:t>
            </w:r>
            <w:r>
              <w:rPr>
                <w:rStyle w:val="IndexLink"/>
                <w:rtl w:val="true"/>
              </w:rPr>
              <w:t xml:space="preserve">مسألة </w:t>
            </w:r>
            <w:r>
              <w:rPr>
                <w:rStyle w:val="IndexLink"/>
              </w:rPr>
              <w:t>54</w:t>
            </w:r>
            <w:r>
              <w:rPr>
                <w:rStyle w:val="IndexLink"/>
                <w:rtl w:val="true"/>
              </w:rPr>
              <w:t xml:space="preserve">): </w:t>
            </w:r>
            <w:r>
              <w:rPr>
                <w:rStyle w:val="IndexLink"/>
                <w:rtl w:val="true"/>
              </w:rPr>
              <w:t>کما أنّ الید الغاصبة و ما یلحق بها موجبة للضمان</w:t>
            </w:r>
            <w:r>
              <w:rPr>
                <w:rStyle w:val="IndexLink"/>
                <w:rtl w:val="true"/>
              </w:rPr>
              <w:t>]</w:t>
              <w:tab/>
            </w:r>
            <w:r>
              <w:rPr>
                <w:rStyle w:val="IndexLink"/>
              </w:rPr>
              <w:t>735</w:t>
            </w:r>
          </w:hyperlink>
        </w:p>
        <w:p>
          <w:pPr>
            <w:pStyle w:val="Contents3"/>
            <w:tabs>
              <w:tab w:val="clear" w:pos="8459"/>
              <w:tab w:val="right" w:pos="9026" w:leader="dot"/>
            </w:tabs>
            <w:rPr/>
          </w:pPr>
          <w:hyperlink w:anchor="__RefHeading___Toc2570984_3650668749">
            <w:r>
              <w:rPr>
                <w:webHidden/>
                <w:rStyle w:val="IndexLink"/>
                <w:rtl w:val="true"/>
              </w:rPr>
              <w:t>[ (</w:t>
            </w:r>
            <w:r>
              <w:rPr>
                <w:rStyle w:val="IndexLink"/>
                <w:rtl w:val="true"/>
              </w:rPr>
              <w:t xml:space="preserve">مسألة </w:t>
            </w:r>
            <w:r>
              <w:rPr>
                <w:rStyle w:val="IndexLink"/>
              </w:rPr>
              <w:t>55</w:t>
            </w:r>
            <w:r>
              <w:rPr>
                <w:rStyle w:val="IndexLink"/>
                <w:rtl w:val="true"/>
              </w:rPr>
              <w:t xml:space="preserve">): </w:t>
            </w:r>
            <w:r>
              <w:rPr>
                <w:rStyle w:val="IndexLink"/>
                <w:rtl w:val="true"/>
              </w:rPr>
              <w:t>الإتلاف بالمباشرة واضح لا یخفیٰ مصادیقه</w:t>
            </w:r>
            <w:r>
              <w:rPr>
                <w:rStyle w:val="IndexLink"/>
                <w:rtl w:val="true"/>
              </w:rPr>
              <w:t>]</w:t>
              <w:tab/>
            </w:r>
            <w:r>
              <w:rPr>
                <w:rStyle w:val="IndexLink"/>
              </w:rPr>
              <w:t>736</w:t>
            </w:r>
          </w:hyperlink>
        </w:p>
        <w:p>
          <w:pPr>
            <w:pStyle w:val="Contents3"/>
            <w:tabs>
              <w:tab w:val="clear" w:pos="8459"/>
              <w:tab w:val="right" w:pos="9026" w:leader="dot"/>
            </w:tabs>
            <w:rPr/>
          </w:pPr>
          <w:hyperlink w:anchor="__RefHeading___Toc2570986_3650668749">
            <w:r>
              <w:rPr>
                <w:webHidden/>
                <w:rStyle w:val="IndexLink"/>
                <w:rtl w:val="true"/>
              </w:rPr>
              <w:t>[ (</w:t>
            </w:r>
            <w:r>
              <w:rPr>
                <w:rStyle w:val="IndexLink"/>
                <w:rtl w:val="true"/>
              </w:rPr>
              <w:t xml:space="preserve">مسألة </w:t>
            </w:r>
            <w:r>
              <w:rPr>
                <w:rStyle w:val="IndexLink"/>
              </w:rPr>
              <w:t>56</w:t>
            </w:r>
            <w:r>
              <w:rPr>
                <w:rStyle w:val="IndexLink"/>
                <w:rtl w:val="true"/>
              </w:rPr>
              <w:t xml:space="preserve">): </w:t>
            </w:r>
            <w:r>
              <w:rPr>
                <w:rStyle w:val="IndexLink"/>
                <w:rtl w:val="true"/>
              </w:rPr>
              <w:t>لو غصب شاة ذات ولد فمات ولدها جوعاً</w:t>
            </w:r>
            <w:r>
              <w:rPr>
                <w:rStyle w:val="IndexLink"/>
                <w:rtl w:val="true"/>
              </w:rPr>
              <w:t>]</w:t>
              <w:tab/>
            </w:r>
            <w:r>
              <w:rPr>
                <w:rStyle w:val="IndexLink"/>
              </w:rPr>
              <w:t>736</w:t>
            </w:r>
          </w:hyperlink>
        </w:p>
        <w:p>
          <w:pPr>
            <w:pStyle w:val="Contents3"/>
            <w:tabs>
              <w:tab w:val="clear" w:pos="8459"/>
              <w:tab w:val="right" w:pos="9026" w:leader="dot"/>
            </w:tabs>
            <w:rPr/>
          </w:pPr>
          <w:hyperlink w:anchor="__RefHeading___Toc2570988_3650668749">
            <w:r>
              <w:rPr>
                <w:webHidden/>
                <w:rStyle w:val="IndexLink"/>
                <w:rtl w:val="true"/>
              </w:rPr>
              <w:t>[ (</w:t>
            </w:r>
            <w:r>
              <w:rPr>
                <w:rStyle w:val="IndexLink"/>
                <w:rtl w:val="true"/>
              </w:rPr>
              <w:t xml:space="preserve">مسألة </w:t>
            </w:r>
            <w:r>
              <w:rPr>
                <w:rStyle w:val="IndexLink"/>
              </w:rPr>
              <w:t>57</w:t>
            </w:r>
            <w:r>
              <w:rPr>
                <w:rStyle w:val="IndexLink"/>
                <w:rtl w:val="true"/>
              </w:rPr>
              <w:t xml:space="preserve">): </w:t>
            </w:r>
            <w:r>
              <w:rPr>
                <w:rStyle w:val="IndexLink"/>
                <w:rtl w:val="true"/>
              </w:rPr>
              <w:t>و من التسبیب الموجب للضمان</w:t>
            </w:r>
            <w:r>
              <w:rPr>
                <w:rStyle w:val="IndexLink"/>
                <w:rtl w:val="true"/>
              </w:rPr>
              <w:t>]</w:t>
              <w:tab/>
            </w:r>
            <w:r>
              <w:rPr>
                <w:rStyle w:val="IndexLink"/>
              </w:rPr>
              <w:t>736</w:t>
            </w:r>
          </w:hyperlink>
        </w:p>
        <w:p>
          <w:pPr>
            <w:pStyle w:val="Contents3"/>
            <w:tabs>
              <w:tab w:val="clear" w:pos="8459"/>
              <w:tab w:val="right" w:pos="9026" w:leader="dot"/>
            </w:tabs>
            <w:rPr/>
          </w:pPr>
          <w:hyperlink w:anchor="__RefHeading___Toc2570990_3650668749">
            <w:r>
              <w:rPr>
                <w:webHidden/>
                <w:rStyle w:val="IndexLink"/>
                <w:rtl w:val="true"/>
              </w:rPr>
              <w:t>[ (</w:t>
            </w:r>
            <w:r>
              <w:rPr>
                <w:rStyle w:val="IndexLink"/>
                <w:rtl w:val="true"/>
              </w:rPr>
              <w:t xml:space="preserve">مسألة </w:t>
            </w:r>
            <w:r>
              <w:rPr>
                <w:rStyle w:val="IndexLink"/>
              </w:rPr>
              <w:t>58</w:t>
            </w:r>
            <w:r>
              <w:rPr>
                <w:rStyle w:val="IndexLink"/>
                <w:rtl w:val="true"/>
              </w:rPr>
              <w:t xml:space="preserve">): </w:t>
            </w:r>
            <w:r>
              <w:rPr>
                <w:rStyle w:val="IndexLink"/>
                <w:rtl w:val="true"/>
              </w:rPr>
              <w:t>لیس من التسبیب الموجب للضمان ما لو فتح باباً علیٰ مال فسرق</w:t>
            </w:r>
            <w:r>
              <w:rPr>
                <w:rStyle w:val="IndexLink"/>
                <w:rtl w:val="true"/>
              </w:rPr>
              <w:t>]</w:t>
              <w:tab/>
            </w:r>
            <w:r>
              <w:rPr>
                <w:rStyle w:val="IndexLink"/>
              </w:rPr>
              <w:t>736</w:t>
            </w:r>
          </w:hyperlink>
        </w:p>
        <w:p>
          <w:pPr>
            <w:pStyle w:val="Contents3"/>
            <w:tabs>
              <w:tab w:val="clear" w:pos="8459"/>
              <w:tab w:val="right" w:pos="9026" w:leader="dot"/>
            </w:tabs>
            <w:rPr/>
          </w:pPr>
          <w:hyperlink w:anchor="__RefHeading___Toc2570992_3650668749">
            <w:r>
              <w:rPr>
                <w:webHidden/>
                <w:rStyle w:val="IndexLink"/>
                <w:rtl w:val="true"/>
              </w:rPr>
              <w:t>[ (</w:t>
            </w:r>
            <w:r>
              <w:rPr>
                <w:rStyle w:val="IndexLink"/>
                <w:rtl w:val="true"/>
              </w:rPr>
              <w:t xml:space="preserve">مسألة </w:t>
            </w:r>
            <w:r>
              <w:rPr>
                <w:rStyle w:val="IndexLink"/>
              </w:rPr>
              <w:t>59</w:t>
            </w:r>
            <w:r>
              <w:rPr>
                <w:rStyle w:val="IndexLink"/>
                <w:rtl w:val="true"/>
              </w:rPr>
              <w:t xml:space="preserve">): </w:t>
            </w:r>
            <w:r>
              <w:rPr>
                <w:rStyle w:val="IndexLink"/>
                <w:rtl w:val="true"/>
              </w:rPr>
              <w:t>لو وقع الحائط علی الطریق مثلًا فتلف بوقوعه مال أو نفس لم یضمن صاحبه</w:t>
            </w:r>
            <w:r>
              <w:rPr>
                <w:rStyle w:val="IndexLink"/>
                <w:rtl w:val="true"/>
              </w:rPr>
              <w:t>]</w:t>
              <w:tab/>
            </w:r>
            <w:r>
              <w:rPr>
                <w:rStyle w:val="IndexLink"/>
              </w:rPr>
              <w:t>737</w:t>
            </w:r>
          </w:hyperlink>
        </w:p>
        <w:p>
          <w:pPr>
            <w:pStyle w:val="Contents3"/>
            <w:tabs>
              <w:tab w:val="clear" w:pos="8459"/>
              <w:tab w:val="right" w:pos="9026" w:leader="dot"/>
            </w:tabs>
            <w:rPr/>
          </w:pPr>
          <w:hyperlink w:anchor="__RefHeading___Toc2570994_3650668749">
            <w:r>
              <w:rPr>
                <w:webHidden/>
                <w:rStyle w:val="IndexLink"/>
                <w:rtl w:val="true"/>
              </w:rPr>
              <w:t>[ (</w:t>
            </w:r>
            <w:r>
              <w:rPr>
                <w:rStyle w:val="IndexLink"/>
                <w:rtl w:val="true"/>
              </w:rPr>
              <w:t xml:space="preserve">مسألة </w:t>
            </w:r>
            <w:r>
              <w:rPr>
                <w:rStyle w:val="IndexLink"/>
              </w:rPr>
              <w:t>60</w:t>
            </w:r>
            <w:r>
              <w:rPr>
                <w:rStyle w:val="IndexLink"/>
                <w:rtl w:val="true"/>
              </w:rPr>
              <w:t xml:space="preserve">): </w:t>
            </w:r>
            <w:r>
              <w:rPr>
                <w:rStyle w:val="IndexLink"/>
                <w:rtl w:val="true"/>
              </w:rPr>
              <w:t>لو وضع شربة أو کوزاً مثلًا علیٰ حائطه</w:t>
            </w:r>
            <w:r>
              <w:rPr>
                <w:rStyle w:val="IndexLink"/>
                <w:rtl w:val="true"/>
              </w:rPr>
              <w:t>]</w:t>
              <w:tab/>
            </w:r>
            <w:r>
              <w:rPr>
                <w:rStyle w:val="IndexLink"/>
              </w:rPr>
              <w:t>737</w:t>
            </w:r>
          </w:hyperlink>
        </w:p>
        <w:p>
          <w:pPr>
            <w:pStyle w:val="Contents3"/>
            <w:tabs>
              <w:tab w:val="clear" w:pos="8459"/>
              <w:tab w:val="right" w:pos="9026" w:leader="dot"/>
            </w:tabs>
            <w:rPr/>
          </w:pPr>
          <w:hyperlink w:anchor="__RefHeading___Toc2570996_3650668749">
            <w:r>
              <w:rPr>
                <w:webHidden/>
                <w:rStyle w:val="IndexLink"/>
                <w:rtl w:val="true"/>
              </w:rPr>
              <w:t>[ (</w:t>
            </w:r>
            <w:r>
              <w:rPr>
                <w:rStyle w:val="IndexLink"/>
                <w:rtl w:val="true"/>
              </w:rPr>
              <w:t xml:space="preserve">مسألة </w:t>
            </w:r>
            <w:r>
              <w:rPr>
                <w:rStyle w:val="IndexLink"/>
              </w:rPr>
              <w:t>61</w:t>
            </w:r>
            <w:r>
              <w:rPr>
                <w:rStyle w:val="IndexLink"/>
                <w:rtl w:val="true"/>
              </w:rPr>
              <w:t xml:space="preserve">): </w:t>
            </w:r>
            <w:r>
              <w:rPr>
                <w:rStyle w:val="IndexLink"/>
                <w:rtl w:val="true"/>
              </w:rPr>
              <w:t>و من التسبیب الموجب للضمان أن یشعل ناراً فی ملکه و داره فتعدّت و أحرقت دار جاره</w:t>
            </w:r>
            <w:r>
              <w:rPr>
                <w:rStyle w:val="IndexLink"/>
                <w:rtl w:val="true"/>
              </w:rPr>
              <w:t>]</w:t>
              <w:tab/>
            </w:r>
            <w:r>
              <w:rPr>
                <w:rStyle w:val="IndexLink"/>
              </w:rPr>
              <w:t>737</w:t>
            </w:r>
          </w:hyperlink>
        </w:p>
        <w:p>
          <w:pPr>
            <w:pStyle w:val="Contents3"/>
            <w:tabs>
              <w:tab w:val="clear" w:pos="8459"/>
              <w:tab w:val="right" w:pos="9026" w:leader="dot"/>
            </w:tabs>
            <w:rPr/>
          </w:pPr>
          <w:hyperlink w:anchor="__RefHeading___Toc2570998_3650668749">
            <w:r>
              <w:rPr>
                <w:webHidden/>
                <w:rStyle w:val="IndexLink"/>
                <w:rtl w:val="true"/>
              </w:rPr>
              <w:t>[ (</w:t>
            </w:r>
            <w:r>
              <w:rPr>
                <w:rStyle w:val="IndexLink"/>
                <w:rtl w:val="true"/>
              </w:rPr>
              <w:t xml:space="preserve">مسألة </w:t>
            </w:r>
            <w:r>
              <w:rPr>
                <w:rStyle w:val="IndexLink"/>
              </w:rPr>
              <w:t>62</w:t>
            </w:r>
            <w:r>
              <w:rPr>
                <w:rStyle w:val="IndexLink"/>
                <w:rtl w:val="true"/>
              </w:rPr>
              <w:t xml:space="preserve">): </w:t>
            </w:r>
            <w:r>
              <w:rPr>
                <w:rStyle w:val="IndexLink"/>
                <w:rtl w:val="true"/>
              </w:rPr>
              <w:t>إذا أرسل الماء فی ملکه فتعدّی إلیٰ ملک غیره فأضرّ به ضمن</w:t>
            </w:r>
            <w:r>
              <w:rPr>
                <w:rStyle w:val="IndexLink"/>
                <w:rtl w:val="true"/>
              </w:rPr>
              <w:t>]</w:t>
              <w:tab/>
            </w:r>
            <w:r>
              <w:rPr>
                <w:rStyle w:val="IndexLink"/>
              </w:rPr>
              <w:t>737</w:t>
            </w:r>
          </w:hyperlink>
        </w:p>
        <w:p>
          <w:pPr>
            <w:pStyle w:val="Contents3"/>
            <w:tabs>
              <w:tab w:val="clear" w:pos="8459"/>
              <w:tab w:val="right" w:pos="9026" w:leader="dot"/>
            </w:tabs>
            <w:rPr/>
          </w:pPr>
          <w:hyperlink w:anchor="__RefHeading___Toc2571000_3650668749">
            <w:r>
              <w:rPr>
                <w:webHidden/>
                <w:rStyle w:val="IndexLink"/>
                <w:rtl w:val="true"/>
              </w:rPr>
              <w:t>[ (</w:t>
            </w:r>
            <w:r>
              <w:rPr>
                <w:rStyle w:val="IndexLink"/>
                <w:rtl w:val="true"/>
              </w:rPr>
              <w:t xml:space="preserve">مسألة </w:t>
            </w:r>
            <w:r>
              <w:rPr>
                <w:rStyle w:val="IndexLink"/>
              </w:rPr>
              <w:t>63</w:t>
            </w:r>
            <w:r>
              <w:rPr>
                <w:rStyle w:val="IndexLink"/>
                <w:rtl w:val="true"/>
              </w:rPr>
              <w:t xml:space="preserve">): </w:t>
            </w:r>
            <w:r>
              <w:rPr>
                <w:rStyle w:val="IndexLink"/>
                <w:rtl w:val="true"/>
              </w:rPr>
              <w:t>لو تعب حمّال الخشبة فأسندها إلیٰ جدار الغیر لیستریح بدون إذن صاحب الجدار</w:t>
            </w:r>
            <w:r>
              <w:rPr>
                <w:rStyle w:val="IndexLink"/>
                <w:rtl w:val="true"/>
              </w:rPr>
              <w:t>]</w:t>
              <w:tab/>
            </w:r>
            <w:r>
              <w:rPr>
                <w:rStyle w:val="IndexLink"/>
              </w:rPr>
              <w:t>737</w:t>
            </w:r>
          </w:hyperlink>
        </w:p>
        <w:p>
          <w:pPr>
            <w:pStyle w:val="Contents3"/>
            <w:tabs>
              <w:tab w:val="clear" w:pos="8459"/>
              <w:tab w:val="right" w:pos="9026" w:leader="dot"/>
            </w:tabs>
            <w:rPr/>
          </w:pPr>
          <w:hyperlink w:anchor="__RefHeading___Toc2571002_3650668749">
            <w:r>
              <w:rPr>
                <w:webHidden/>
                <w:rStyle w:val="IndexLink"/>
                <w:rtl w:val="true"/>
              </w:rPr>
              <w:t>[ (</w:t>
            </w:r>
            <w:r>
              <w:rPr>
                <w:rStyle w:val="IndexLink"/>
                <w:rtl w:val="true"/>
              </w:rPr>
              <w:t xml:space="preserve">مسألة </w:t>
            </w:r>
            <w:r>
              <w:rPr>
                <w:rStyle w:val="IndexLink"/>
              </w:rPr>
              <w:t>64</w:t>
            </w:r>
            <w:r>
              <w:rPr>
                <w:rStyle w:val="IndexLink"/>
                <w:rtl w:val="true"/>
              </w:rPr>
              <w:t xml:space="preserve">): </w:t>
            </w:r>
            <w:r>
              <w:rPr>
                <w:rStyle w:val="IndexLink"/>
                <w:rtl w:val="true"/>
              </w:rPr>
              <w:t>لو فتح قفصاً عن طائر فخرج و کسر بخروجه قارورة شخص مثلًا ضمنها الفاتح</w:t>
            </w:r>
            <w:r>
              <w:rPr>
                <w:rStyle w:val="IndexLink"/>
                <w:rtl w:val="true"/>
              </w:rPr>
              <w:t>]</w:t>
              <w:tab/>
            </w:r>
            <w:r>
              <w:rPr>
                <w:rStyle w:val="IndexLink"/>
              </w:rPr>
              <w:t>737</w:t>
            </w:r>
          </w:hyperlink>
        </w:p>
        <w:p>
          <w:pPr>
            <w:pStyle w:val="Contents3"/>
            <w:tabs>
              <w:tab w:val="clear" w:pos="8459"/>
              <w:tab w:val="right" w:pos="9026" w:leader="dot"/>
            </w:tabs>
            <w:rPr/>
          </w:pPr>
          <w:hyperlink w:anchor="__RefHeading___Toc2571004_3650668749">
            <w:r>
              <w:rPr>
                <w:webHidden/>
                <w:rStyle w:val="IndexLink"/>
                <w:rtl w:val="true"/>
              </w:rPr>
              <w:t>[ (</w:t>
            </w:r>
            <w:r>
              <w:rPr>
                <w:rStyle w:val="IndexLink"/>
                <w:rtl w:val="true"/>
              </w:rPr>
              <w:t xml:space="preserve">مسألة </w:t>
            </w:r>
            <w:r>
              <w:rPr>
                <w:rStyle w:val="IndexLink"/>
              </w:rPr>
              <w:t>65</w:t>
            </w:r>
            <w:r>
              <w:rPr>
                <w:rStyle w:val="IndexLink"/>
                <w:rtl w:val="true"/>
              </w:rPr>
              <w:t xml:space="preserve">): </w:t>
            </w:r>
            <w:r>
              <w:rPr>
                <w:rStyle w:val="IndexLink"/>
                <w:rtl w:val="true"/>
              </w:rPr>
              <w:t>إذا أکلت دابّة شخص زرع غیره أو أفسده</w:t>
            </w:r>
            <w:r>
              <w:rPr>
                <w:rStyle w:val="IndexLink"/>
                <w:rtl w:val="true"/>
              </w:rPr>
              <w:t>]</w:t>
              <w:tab/>
            </w:r>
            <w:r>
              <w:rPr>
                <w:rStyle w:val="IndexLink"/>
              </w:rPr>
              <w:t>737</w:t>
            </w:r>
          </w:hyperlink>
        </w:p>
        <w:p>
          <w:pPr>
            <w:pStyle w:val="Contents3"/>
            <w:tabs>
              <w:tab w:val="clear" w:pos="8459"/>
              <w:tab w:val="right" w:pos="9026" w:leader="dot"/>
            </w:tabs>
            <w:rPr/>
          </w:pPr>
          <w:hyperlink w:anchor="__RefHeading___Toc2571006_3650668749">
            <w:r>
              <w:rPr>
                <w:webHidden/>
                <w:rStyle w:val="IndexLink"/>
                <w:rtl w:val="true"/>
              </w:rPr>
              <w:t>[ (</w:t>
            </w:r>
            <w:r>
              <w:rPr>
                <w:rStyle w:val="IndexLink"/>
                <w:rtl w:val="true"/>
              </w:rPr>
              <w:t xml:space="preserve">مسألة </w:t>
            </w:r>
            <w:r>
              <w:rPr>
                <w:rStyle w:val="IndexLink"/>
              </w:rPr>
              <w:t>66</w:t>
            </w:r>
            <w:r>
              <w:rPr>
                <w:rStyle w:val="IndexLink"/>
                <w:rtl w:val="true"/>
              </w:rPr>
              <w:t xml:space="preserve">): </w:t>
            </w:r>
            <w:r>
              <w:rPr>
                <w:rStyle w:val="IndexLink"/>
                <w:rtl w:val="true"/>
              </w:rPr>
              <w:t>لو کانت الشاة أو غیرها فی ید الراعی، أو الدابّة فی ید المستعیر أو المستأجر، فأتلفتا</w:t>
            </w:r>
            <w:r>
              <w:rPr>
                <w:rStyle w:val="IndexLink"/>
                <w:rtl w:val="true"/>
              </w:rPr>
              <w:t>]</w:t>
              <w:tab/>
            </w:r>
            <w:r>
              <w:rPr>
                <w:rStyle w:val="IndexLink"/>
              </w:rPr>
              <w:t>738</w:t>
            </w:r>
          </w:hyperlink>
        </w:p>
        <w:p>
          <w:pPr>
            <w:pStyle w:val="Contents3"/>
            <w:tabs>
              <w:tab w:val="clear" w:pos="8459"/>
              <w:tab w:val="right" w:pos="9026" w:leader="dot"/>
            </w:tabs>
            <w:rPr/>
          </w:pPr>
          <w:hyperlink w:anchor="__RefHeading___Toc2571008_3650668749">
            <w:r>
              <w:rPr>
                <w:webHidden/>
                <w:rStyle w:val="IndexLink"/>
                <w:rtl w:val="true"/>
              </w:rPr>
              <w:t>[ (</w:t>
            </w:r>
            <w:r>
              <w:rPr>
                <w:rStyle w:val="IndexLink"/>
                <w:rtl w:val="true"/>
              </w:rPr>
              <w:t xml:space="preserve">مسألة </w:t>
            </w:r>
            <w:r>
              <w:rPr>
                <w:rStyle w:val="IndexLink"/>
              </w:rPr>
              <w:t>67</w:t>
            </w:r>
            <w:r>
              <w:rPr>
                <w:rStyle w:val="IndexLink"/>
                <w:rtl w:val="true"/>
              </w:rPr>
              <w:t xml:space="preserve">): </w:t>
            </w:r>
            <w:r>
              <w:rPr>
                <w:rStyle w:val="IndexLink"/>
                <w:rtl w:val="true"/>
              </w:rPr>
              <w:t>لو اجتمع سببان للإتلاف بفعل شخصین</w:t>
            </w:r>
            <w:r>
              <w:rPr>
                <w:rStyle w:val="IndexLink"/>
                <w:rtl w:val="true"/>
              </w:rPr>
              <w:t>]</w:t>
              <w:tab/>
            </w:r>
            <w:r>
              <w:rPr>
                <w:rStyle w:val="IndexLink"/>
              </w:rPr>
              <w:t>738</w:t>
            </w:r>
          </w:hyperlink>
        </w:p>
        <w:p>
          <w:pPr>
            <w:pStyle w:val="Contents3"/>
            <w:tabs>
              <w:tab w:val="clear" w:pos="8459"/>
              <w:tab w:val="right" w:pos="9026" w:leader="dot"/>
            </w:tabs>
            <w:rPr/>
          </w:pPr>
          <w:hyperlink w:anchor="__RefHeading___Toc2571010_3650668749">
            <w:r>
              <w:rPr>
                <w:webHidden/>
                <w:rStyle w:val="IndexLink"/>
                <w:rtl w:val="true"/>
              </w:rPr>
              <w:t>[ (</w:t>
            </w:r>
            <w:r>
              <w:rPr>
                <w:rStyle w:val="IndexLink"/>
                <w:rtl w:val="true"/>
              </w:rPr>
              <w:t xml:space="preserve">مسألة </w:t>
            </w:r>
            <w:r>
              <w:rPr>
                <w:rStyle w:val="IndexLink"/>
              </w:rPr>
              <w:t>68</w:t>
            </w:r>
            <w:r>
              <w:rPr>
                <w:rStyle w:val="IndexLink"/>
                <w:rtl w:val="true"/>
              </w:rPr>
              <w:t xml:space="preserve">): </w:t>
            </w:r>
            <w:r>
              <w:rPr>
                <w:rStyle w:val="IndexLink"/>
                <w:rtl w:val="true"/>
              </w:rPr>
              <w:t>لو اجتمع السبب مع المباشر، کان الضمان علی المباشر دون فاعل السبب</w:t>
            </w:r>
            <w:r>
              <w:rPr>
                <w:rStyle w:val="IndexLink"/>
                <w:rtl w:val="true"/>
              </w:rPr>
              <w:t>]</w:t>
              <w:tab/>
            </w:r>
            <w:r>
              <w:rPr>
                <w:rStyle w:val="IndexLink"/>
              </w:rPr>
              <w:t>738</w:t>
            </w:r>
          </w:hyperlink>
        </w:p>
        <w:p>
          <w:pPr>
            <w:pStyle w:val="Contents3"/>
            <w:tabs>
              <w:tab w:val="clear" w:pos="8459"/>
              <w:tab w:val="right" w:pos="9026" w:leader="dot"/>
            </w:tabs>
            <w:rPr/>
          </w:pPr>
          <w:hyperlink w:anchor="__RefHeading___Toc2571012_3650668749">
            <w:r>
              <w:rPr>
                <w:webHidden/>
                <w:rStyle w:val="IndexLink"/>
                <w:rtl w:val="true"/>
              </w:rPr>
              <w:t>[ (</w:t>
            </w:r>
            <w:r>
              <w:rPr>
                <w:rStyle w:val="IndexLink"/>
                <w:rtl w:val="true"/>
              </w:rPr>
              <w:t xml:space="preserve">مسألة </w:t>
            </w:r>
            <w:r>
              <w:rPr>
                <w:rStyle w:val="IndexLink"/>
              </w:rPr>
              <w:t>69</w:t>
            </w:r>
            <w:r>
              <w:rPr>
                <w:rStyle w:val="IndexLink"/>
                <w:rtl w:val="true"/>
              </w:rPr>
              <w:t xml:space="preserve">): </w:t>
            </w:r>
            <w:r>
              <w:rPr>
                <w:rStyle w:val="IndexLink"/>
                <w:rtl w:val="true"/>
              </w:rPr>
              <w:t>لو اکره علیٰ إتلاف مال غیره، کان الضمان علیٰ من أکرهه</w:t>
            </w:r>
            <w:r>
              <w:rPr>
                <w:rStyle w:val="IndexLink"/>
                <w:rtl w:val="true"/>
              </w:rPr>
              <w:t>]</w:t>
              <w:tab/>
            </w:r>
            <w:r>
              <w:rPr>
                <w:rStyle w:val="IndexLink"/>
              </w:rPr>
              <w:t>738</w:t>
            </w:r>
          </w:hyperlink>
        </w:p>
        <w:p>
          <w:pPr>
            <w:pStyle w:val="Contents3"/>
            <w:tabs>
              <w:tab w:val="clear" w:pos="8459"/>
              <w:tab w:val="right" w:pos="9026" w:leader="dot"/>
            </w:tabs>
            <w:rPr/>
          </w:pPr>
          <w:hyperlink w:anchor="__RefHeading___Toc2571014_3650668749">
            <w:r>
              <w:rPr>
                <w:webHidden/>
                <w:rStyle w:val="IndexLink"/>
                <w:rtl w:val="true"/>
              </w:rPr>
              <w:t>[ (</w:t>
            </w:r>
            <w:r>
              <w:rPr>
                <w:rStyle w:val="IndexLink"/>
                <w:rtl w:val="true"/>
              </w:rPr>
              <w:t xml:space="preserve">مسألة </w:t>
            </w:r>
            <w:r>
              <w:rPr>
                <w:rStyle w:val="IndexLink"/>
              </w:rPr>
              <w:t>70</w:t>
            </w:r>
            <w:r>
              <w:rPr>
                <w:rStyle w:val="IndexLink"/>
                <w:rtl w:val="true"/>
              </w:rPr>
              <w:t xml:space="preserve">): </w:t>
            </w:r>
            <w:r>
              <w:rPr>
                <w:rStyle w:val="IndexLink"/>
                <w:rtl w:val="true"/>
              </w:rPr>
              <w:t>لو غصب مأکولًا مثلًا فأطعمه المالک مع جهله بأنّه ماله</w:t>
            </w:r>
            <w:r>
              <w:rPr>
                <w:rStyle w:val="IndexLink"/>
                <w:rtl w:val="true"/>
              </w:rPr>
              <w:t>]</w:t>
              <w:tab/>
            </w:r>
            <w:r>
              <w:rPr>
                <w:rStyle w:val="IndexLink"/>
              </w:rPr>
              <w:t>739</w:t>
            </w:r>
          </w:hyperlink>
        </w:p>
        <w:p>
          <w:pPr>
            <w:pStyle w:val="Contents3"/>
            <w:tabs>
              <w:tab w:val="clear" w:pos="8459"/>
              <w:tab w:val="right" w:pos="9026" w:leader="dot"/>
            </w:tabs>
            <w:rPr/>
          </w:pPr>
          <w:hyperlink w:anchor="__RefHeading___Toc2571016_3650668749">
            <w:r>
              <w:rPr>
                <w:webHidden/>
                <w:rStyle w:val="IndexLink"/>
                <w:rtl w:val="true"/>
              </w:rPr>
              <w:t>[ (</w:t>
            </w:r>
            <w:r>
              <w:rPr>
                <w:rStyle w:val="IndexLink"/>
                <w:rtl w:val="true"/>
              </w:rPr>
              <w:t xml:space="preserve">مسألة </w:t>
            </w:r>
            <w:r>
              <w:rPr>
                <w:rStyle w:val="IndexLink"/>
              </w:rPr>
              <w:t>71</w:t>
            </w:r>
            <w:r>
              <w:rPr>
                <w:rStyle w:val="IndexLink"/>
                <w:rtl w:val="true"/>
              </w:rPr>
              <w:t xml:space="preserve">): </w:t>
            </w:r>
            <w:r>
              <w:rPr>
                <w:rStyle w:val="IndexLink"/>
                <w:rtl w:val="true"/>
              </w:rPr>
              <w:t>لو غصب طعاماً من شخص و أطعمه غیر المالک علیٰ أنّه ماله مع جهل الآکل</w:t>
            </w:r>
            <w:r>
              <w:rPr>
                <w:rStyle w:val="IndexLink"/>
                <w:rtl w:val="true"/>
              </w:rPr>
              <w:t>]</w:t>
              <w:tab/>
            </w:r>
            <w:r>
              <w:rPr>
                <w:rStyle w:val="IndexLink"/>
              </w:rPr>
              <w:t>739</w:t>
            </w:r>
          </w:hyperlink>
        </w:p>
        <w:p>
          <w:pPr>
            <w:pStyle w:val="Contents3"/>
            <w:tabs>
              <w:tab w:val="clear" w:pos="8459"/>
              <w:tab w:val="right" w:pos="9026" w:leader="dot"/>
            </w:tabs>
            <w:rPr/>
          </w:pPr>
          <w:hyperlink w:anchor="__RefHeading___Toc2571018_3650668749">
            <w:r>
              <w:rPr>
                <w:webHidden/>
                <w:rStyle w:val="IndexLink"/>
                <w:rtl w:val="true"/>
              </w:rPr>
              <w:t>[ (</w:t>
            </w:r>
            <w:r>
              <w:rPr>
                <w:rStyle w:val="IndexLink"/>
                <w:rtl w:val="true"/>
              </w:rPr>
              <w:t xml:space="preserve">مسألة </w:t>
            </w:r>
            <w:r>
              <w:rPr>
                <w:rStyle w:val="IndexLink"/>
              </w:rPr>
              <w:t>72</w:t>
            </w:r>
            <w:r>
              <w:rPr>
                <w:rStyle w:val="IndexLink"/>
                <w:rtl w:val="true"/>
              </w:rPr>
              <w:t xml:space="preserve">): </w:t>
            </w:r>
            <w:r>
              <w:rPr>
                <w:rStyle w:val="IndexLink"/>
                <w:rtl w:val="true"/>
              </w:rPr>
              <w:t>إذا سعیٰ إلیٰ الظالم علیٰ أحد أو اشتکیٰ علیه عنده بحقّ أو بغیر حقّ</w:t>
            </w:r>
            <w:r>
              <w:rPr>
                <w:rStyle w:val="IndexLink"/>
                <w:rtl w:val="true"/>
              </w:rPr>
              <w:t>]</w:t>
              <w:tab/>
            </w:r>
            <w:r>
              <w:rPr>
                <w:rStyle w:val="IndexLink"/>
              </w:rPr>
              <w:t>739</w:t>
            </w:r>
          </w:hyperlink>
        </w:p>
        <w:p>
          <w:pPr>
            <w:pStyle w:val="Contents3"/>
            <w:tabs>
              <w:tab w:val="clear" w:pos="8459"/>
              <w:tab w:val="right" w:pos="9026" w:leader="dot"/>
            </w:tabs>
            <w:rPr/>
          </w:pPr>
          <w:hyperlink w:anchor="__RefHeading___Toc2571020_3650668749">
            <w:r>
              <w:rPr>
                <w:webHidden/>
                <w:rStyle w:val="IndexLink"/>
                <w:rtl w:val="true"/>
              </w:rPr>
              <w:t>[ (</w:t>
            </w:r>
            <w:r>
              <w:rPr>
                <w:rStyle w:val="IndexLink"/>
                <w:rtl w:val="true"/>
              </w:rPr>
              <w:t xml:space="preserve">مسألة </w:t>
            </w:r>
            <w:r>
              <w:rPr>
                <w:rStyle w:val="IndexLink"/>
              </w:rPr>
              <w:t>73</w:t>
            </w:r>
            <w:r>
              <w:rPr>
                <w:rStyle w:val="IndexLink"/>
                <w:rtl w:val="true"/>
              </w:rPr>
              <w:t xml:space="preserve">): </w:t>
            </w:r>
            <w:r>
              <w:rPr>
                <w:rStyle w:val="IndexLink"/>
                <w:rtl w:val="true"/>
              </w:rPr>
              <w:t>إذا تلف المغصوب و تنازع المالک و الغاصب فی القیمة و لم تکن بیّنة</w:t>
            </w:r>
            <w:r>
              <w:rPr>
                <w:rStyle w:val="IndexLink"/>
                <w:rtl w:val="true"/>
              </w:rPr>
              <w:t>]</w:t>
              <w:tab/>
            </w:r>
            <w:r>
              <w:rPr>
                <w:rStyle w:val="IndexLink"/>
              </w:rPr>
              <w:t>739</w:t>
            </w:r>
          </w:hyperlink>
        </w:p>
        <w:p>
          <w:pPr>
            <w:pStyle w:val="Contents3"/>
            <w:tabs>
              <w:tab w:val="clear" w:pos="8459"/>
              <w:tab w:val="right" w:pos="9026" w:leader="dot"/>
            </w:tabs>
            <w:rPr/>
          </w:pPr>
          <w:hyperlink w:anchor="__RefHeading___Toc2571022_3650668749">
            <w:r>
              <w:rPr>
                <w:webHidden/>
                <w:rStyle w:val="IndexLink"/>
                <w:rtl w:val="true"/>
              </w:rPr>
              <w:t>[ (</w:t>
            </w:r>
            <w:r>
              <w:rPr>
                <w:rStyle w:val="IndexLink"/>
                <w:rtl w:val="true"/>
              </w:rPr>
              <w:t xml:space="preserve">مسألة </w:t>
            </w:r>
            <w:r>
              <w:rPr>
                <w:rStyle w:val="IndexLink"/>
              </w:rPr>
              <w:t>74</w:t>
            </w:r>
            <w:r>
              <w:rPr>
                <w:rStyle w:val="IndexLink"/>
                <w:rtl w:val="true"/>
              </w:rPr>
              <w:t xml:space="preserve">): </w:t>
            </w:r>
            <w:r>
              <w:rPr>
                <w:rStyle w:val="IndexLink"/>
                <w:rtl w:val="true"/>
              </w:rPr>
              <w:t>إذا کان علی العبد المغصوب الذی تحت ید الغاصب ثوب أو خاتم</w:t>
            </w:r>
            <w:r>
              <w:rPr>
                <w:rStyle w:val="IndexLink"/>
                <w:rtl w:val="true"/>
              </w:rPr>
              <w:t>]</w:t>
              <w:tab/>
            </w:r>
            <w:r>
              <w:rPr>
                <w:rStyle w:val="IndexLink"/>
              </w:rPr>
              <w:t>739</w:t>
            </w:r>
          </w:hyperlink>
        </w:p>
        <w:p>
          <w:pPr>
            <w:pStyle w:val="Contents2"/>
            <w:tabs>
              <w:tab w:val="clear" w:pos="8743"/>
              <w:tab w:val="right" w:pos="9026" w:leader="dot"/>
            </w:tabs>
            <w:rPr/>
          </w:pPr>
          <w:hyperlink w:anchor="__RefHeading___Toc2571024_3650668749">
            <w:r>
              <w:rPr>
                <w:webHidden/>
                <w:rStyle w:val="IndexLink"/>
                <w:rtl w:val="true"/>
              </w:rPr>
              <w:t>[</w:t>
            </w:r>
            <w:r>
              <w:rPr>
                <w:rStyle w:val="IndexLink"/>
                <w:rtl w:val="true"/>
              </w:rPr>
              <w:t>کتاب إحیاء الموات و المشترکات</w:t>
            </w:r>
            <w:r>
              <w:rPr>
                <w:rStyle w:val="IndexLink"/>
                <w:rtl w:val="true"/>
              </w:rPr>
              <w:t>]</w:t>
              <w:tab/>
            </w:r>
            <w:r>
              <w:rPr>
                <w:rStyle w:val="IndexLink"/>
              </w:rPr>
              <w:t>740</w:t>
            </w:r>
          </w:hyperlink>
        </w:p>
        <w:p>
          <w:pPr>
            <w:pStyle w:val="Contents3"/>
            <w:tabs>
              <w:tab w:val="clear" w:pos="8459"/>
              <w:tab w:val="right" w:pos="9026" w:leader="dot"/>
            </w:tabs>
            <w:rPr/>
          </w:pPr>
          <w:hyperlink w:anchor="__RefHeading___Toc2571026_3650668749">
            <w:r>
              <w:rPr>
                <w:webHidden/>
                <w:rStyle w:val="IndexLink"/>
                <w:rtl w:val="true"/>
              </w:rPr>
              <w:t>اشارة</w:t>
            </w:r>
            <w:r>
              <w:rPr>
                <w:rStyle w:val="IndexLink"/>
                <w:rtl w:val="true"/>
              </w:rPr>
              <w:tab/>
            </w:r>
            <w:r>
              <w:rPr>
                <w:rStyle w:val="IndexLink"/>
              </w:rPr>
              <w:t>740</w:t>
            </w:r>
          </w:hyperlink>
        </w:p>
        <w:p>
          <w:pPr>
            <w:pStyle w:val="Contents3"/>
            <w:tabs>
              <w:tab w:val="clear" w:pos="8459"/>
              <w:tab w:val="right" w:pos="9026" w:leader="dot"/>
            </w:tabs>
            <w:rPr/>
          </w:pPr>
          <w:hyperlink w:anchor="__RefHeading___Toc2571028_3650668749">
            <w:r>
              <w:rPr>
                <w:webHidden/>
                <w:rStyle w:val="IndexLink"/>
                <w:rtl w:val="true"/>
              </w:rPr>
              <w:t>[</w:t>
            </w:r>
            <w:r>
              <w:rPr>
                <w:rStyle w:val="IndexLink"/>
                <w:rtl w:val="true"/>
              </w:rPr>
              <w:t>القول فی إحیاء الموات</w:t>
            </w:r>
            <w:r>
              <w:rPr>
                <w:rStyle w:val="IndexLink"/>
                <w:rtl w:val="true"/>
              </w:rPr>
              <w:t>]</w:t>
              <w:tab/>
            </w:r>
            <w:r>
              <w:rPr>
                <w:rStyle w:val="IndexLink"/>
              </w:rPr>
              <w:t>740</w:t>
            </w:r>
          </w:hyperlink>
        </w:p>
        <w:p>
          <w:pPr>
            <w:pStyle w:val="Contents4"/>
            <w:tabs>
              <w:tab w:val="clear" w:pos="8176"/>
              <w:tab w:val="right" w:pos="9026" w:leader="dot"/>
            </w:tabs>
            <w:rPr/>
          </w:pPr>
          <w:hyperlink w:anchor="__RefHeading___Toc2571030_3650668749">
            <w:r>
              <w:rPr>
                <w:webHidden/>
                <w:rStyle w:val="IndexLink"/>
                <w:rtl w:val="true"/>
              </w:rPr>
              <w:t>اشارة</w:t>
            </w:r>
            <w:r>
              <w:rPr>
                <w:rStyle w:val="IndexLink"/>
                <w:rtl w:val="true"/>
              </w:rPr>
              <w:tab/>
            </w:r>
            <w:r>
              <w:rPr>
                <w:rStyle w:val="IndexLink"/>
              </w:rPr>
              <w:t>740</w:t>
            </w:r>
          </w:hyperlink>
        </w:p>
        <w:p>
          <w:pPr>
            <w:pStyle w:val="Contents4"/>
            <w:tabs>
              <w:tab w:val="clear" w:pos="8176"/>
              <w:tab w:val="right" w:pos="9026" w:leader="dot"/>
            </w:tabs>
            <w:rPr/>
          </w:pPr>
          <w:hyperlink w:anchor="__RefHeading___Toc257103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 xml:space="preserve">الموات بالأصل و إن کان ملکاً للإمام </w:t>
            </w:r>
            <w:r>
              <w:rPr>
                <w:rStyle w:val="IndexLink"/>
                <w:rtl w:val="true"/>
              </w:rPr>
              <w:t>(</w:t>
            </w:r>
            <w:r>
              <w:rPr>
                <w:rStyle w:val="IndexLink"/>
                <w:rtl w:val="true"/>
              </w:rPr>
              <w:t>علیه السّلام</w:t>
            </w:r>
            <w:r>
              <w:rPr>
                <w:rStyle w:val="IndexLink"/>
                <w:rtl w:val="true"/>
              </w:rPr>
              <w:t>)]</w:t>
              <w:tab/>
            </w:r>
            <w:r>
              <w:rPr>
                <w:rStyle w:val="IndexLink"/>
              </w:rPr>
              <w:t>740</w:t>
            </w:r>
          </w:hyperlink>
        </w:p>
        <w:p>
          <w:pPr>
            <w:pStyle w:val="Contents4"/>
            <w:tabs>
              <w:tab w:val="clear" w:pos="8176"/>
              <w:tab w:val="right" w:pos="9026" w:leader="dot"/>
            </w:tabs>
            <w:rPr/>
          </w:pPr>
          <w:hyperlink w:anchor="__RefHeading___Toc257103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الموات بالعارض الذی کان مسبوقاً بالملک و الإحیاء</w:t>
            </w:r>
            <w:r>
              <w:rPr>
                <w:rStyle w:val="IndexLink"/>
                <w:rtl w:val="true"/>
              </w:rPr>
              <w:t>]</w:t>
              <w:tab/>
            </w:r>
            <w:r>
              <w:rPr>
                <w:rStyle w:val="IndexLink"/>
              </w:rPr>
              <w:t>740</w:t>
            </w:r>
          </w:hyperlink>
        </w:p>
        <w:p>
          <w:pPr>
            <w:pStyle w:val="Contents4"/>
            <w:tabs>
              <w:tab w:val="clear" w:pos="8176"/>
              <w:tab w:val="right" w:pos="9026" w:leader="dot"/>
            </w:tabs>
            <w:rPr/>
          </w:pPr>
          <w:hyperlink w:anchor="__RefHeading___Toc257103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کان ما طرأ علیه الخراب لمالک معلوم، فإن أعرض عنه مالکه</w:t>
            </w:r>
            <w:r>
              <w:rPr>
                <w:rStyle w:val="IndexLink"/>
                <w:rtl w:val="true"/>
              </w:rPr>
              <w:t>]</w:t>
              <w:tab/>
            </w:r>
            <w:r>
              <w:rPr>
                <w:rStyle w:val="IndexLink"/>
              </w:rPr>
              <w:t>741</w:t>
            </w:r>
          </w:hyperlink>
        </w:p>
        <w:p>
          <w:pPr>
            <w:pStyle w:val="Contents4"/>
            <w:tabs>
              <w:tab w:val="clear" w:pos="8176"/>
              <w:tab w:val="right" w:pos="9026" w:leader="dot"/>
            </w:tabs>
            <w:rPr/>
          </w:pPr>
          <w:hyperlink w:anchor="__RefHeading___Toc257103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کما یجوز إحیاء القری الدارسة و البلاد القدیمة التی باد أهلها و صارت بلا مالک</w:t>
            </w:r>
            <w:r>
              <w:rPr>
                <w:rStyle w:val="IndexLink"/>
                <w:rtl w:val="true"/>
              </w:rPr>
              <w:t>]</w:t>
              <w:tab/>
            </w:r>
            <w:r>
              <w:rPr>
                <w:rStyle w:val="IndexLink"/>
              </w:rPr>
              <w:t>742</w:t>
            </w:r>
          </w:hyperlink>
        </w:p>
        <w:p>
          <w:pPr>
            <w:pStyle w:val="Contents4"/>
            <w:tabs>
              <w:tab w:val="clear" w:pos="8176"/>
              <w:tab w:val="right" w:pos="9026" w:leader="dot"/>
            </w:tabs>
            <w:rPr/>
          </w:pPr>
          <w:hyperlink w:anchor="__RefHeading___Toc257104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کانت الأرض موقوفة و طرأها الموتان و الخراب</w:t>
            </w:r>
            <w:r>
              <w:rPr>
                <w:rStyle w:val="IndexLink"/>
                <w:rtl w:val="true"/>
              </w:rPr>
              <w:t>]</w:t>
              <w:tab/>
            </w:r>
            <w:r>
              <w:rPr>
                <w:rStyle w:val="IndexLink"/>
              </w:rPr>
              <w:t>742</w:t>
            </w:r>
          </w:hyperlink>
        </w:p>
        <w:p>
          <w:pPr>
            <w:pStyle w:val="Contents4"/>
            <w:tabs>
              <w:tab w:val="clear" w:pos="8176"/>
              <w:tab w:val="right" w:pos="9026" w:leader="dot"/>
            </w:tabs>
            <w:rPr/>
          </w:pPr>
          <w:hyperlink w:anchor="__RefHeading___Toc257104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کانت الموات بالأصل حریماً لعامر مملوک، لا یجوز لغیر مالکه إحیاؤه</w:t>
            </w:r>
            <w:r>
              <w:rPr>
                <w:rStyle w:val="IndexLink"/>
                <w:rtl w:val="true"/>
              </w:rPr>
              <w:t>]</w:t>
              <w:tab/>
            </w:r>
            <w:r>
              <w:rPr>
                <w:rStyle w:val="IndexLink"/>
              </w:rPr>
              <w:t>743</w:t>
            </w:r>
          </w:hyperlink>
        </w:p>
        <w:p>
          <w:pPr>
            <w:pStyle w:val="Contents4"/>
            <w:tabs>
              <w:tab w:val="clear" w:pos="8176"/>
              <w:tab w:val="right" w:pos="9026" w:leader="dot"/>
            </w:tabs>
            <w:rPr/>
          </w:pPr>
          <w:hyperlink w:anchor="__RefHeading___Toc257104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حریم الدار</w:t>
            </w:r>
            <w:r>
              <w:rPr>
                <w:rStyle w:val="IndexLink"/>
                <w:rtl w:val="true"/>
              </w:rPr>
              <w:t xml:space="preserve">: </w:t>
            </w:r>
            <w:r>
              <w:rPr>
                <w:rStyle w:val="IndexLink"/>
                <w:rtl w:val="true"/>
              </w:rPr>
              <w:t>مطرح ترابها و کناستها و رمادها و مصبّ مائها</w:t>
            </w:r>
            <w:r>
              <w:rPr>
                <w:rStyle w:val="IndexLink"/>
                <w:rtl w:val="true"/>
              </w:rPr>
              <w:t>]</w:t>
              <w:tab/>
            </w:r>
            <w:r>
              <w:rPr>
                <w:rStyle w:val="IndexLink"/>
              </w:rPr>
              <w:t>743</w:t>
            </w:r>
          </w:hyperlink>
        </w:p>
        <w:p>
          <w:pPr>
            <w:pStyle w:val="Contents4"/>
            <w:tabs>
              <w:tab w:val="clear" w:pos="8176"/>
              <w:tab w:val="right" w:pos="9026" w:leader="dot"/>
            </w:tabs>
            <w:rPr/>
          </w:pPr>
          <w:hyperlink w:anchor="__RefHeading___Toc257104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لکلّ من البئر و العین و القناة أعنی بئرها الأخیرة</w:t>
            </w:r>
            <w:r>
              <w:rPr>
                <w:rStyle w:val="IndexLink"/>
                <w:rtl w:val="true"/>
              </w:rPr>
              <w:t>]</w:t>
              <w:tab/>
            </w:r>
            <w:r>
              <w:rPr>
                <w:rStyle w:val="IndexLink"/>
              </w:rPr>
              <w:t>744</w:t>
            </w:r>
          </w:hyperlink>
        </w:p>
        <w:p>
          <w:pPr>
            <w:pStyle w:val="Contents4"/>
            <w:tabs>
              <w:tab w:val="clear" w:pos="8176"/>
              <w:tab w:val="right" w:pos="9026" w:leader="dot"/>
            </w:tabs>
            <w:rPr/>
          </w:pPr>
          <w:hyperlink w:anchor="__RefHeading___Toc257104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اعتبار البعد المزبور فی القناة إنّما هو فی أحداث قناة أُخری</w:t>
            </w:r>
            <w:r>
              <w:rPr>
                <w:rStyle w:val="IndexLink"/>
                <w:rtl w:val="true"/>
              </w:rPr>
              <w:t>]</w:t>
              <w:tab/>
            </w:r>
            <w:r>
              <w:rPr>
                <w:rStyle w:val="IndexLink"/>
              </w:rPr>
              <w:t>745</w:t>
            </w:r>
          </w:hyperlink>
        </w:p>
        <w:p>
          <w:pPr>
            <w:pStyle w:val="Contents4"/>
            <w:tabs>
              <w:tab w:val="clear" w:pos="8176"/>
              <w:tab w:val="right" w:pos="9026" w:leader="dot"/>
            </w:tabs>
            <w:rPr/>
          </w:pPr>
          <w:hyperlink w:anchor="__RefHeading___Toc257105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الظاهر أنّ التباعد المزبور فی القناة</w:t>
            </w:r>
            <w:r>
              <w:rPr>
                <w:rStyle w:val="IndexLink"/>
                <w:rtl w:val="true"/>
              </w:rPr>
              <w:t>]</w:t>
              <w:tab/>
            </w:r>
            <w:r>
              <w:rPr>
                <w:rStyle w:val="IndexLink"/>
              </w:rPr>
              <w:t>745</w:t>
            </w:r>
          </w:hyperlink>
        </w:p>
        <w:p>
          <w:pPr>
            <w:pStyle w:val="Contents4"/>
            <w:tabs>
              <w:tab w:val="clear" w:pos="8176"/>
              <w:tab w:val="right" w:pos="9026" w:leader="dot"/>
            </w:tabs>
            <w:rPr/>
          </w:pPr>
          <w:hyperlink w:anchor="__RefHeading___Toc257105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القریة المبنیّة فی الموات لها حریم لیس لأحد إحیاؤه</w:t>
            </w:r>
            <w:r>
              <w:rPr>
                <w:rStyle w:val="IndexLink"/>
                <w:rtl w:val="true"/>
              </w:rPr>
              <w:t>]</w:t>
              <w:tab/>
            </w:r>
            <w:r>
              <w:rPr>
                <w:rStyle w:val="IndexLink"/>
              </w:rPr>
              <w:t>745</w:t>
            </w:r>
          </w:hyperlink>
        </w:p>
        <w:p>
          <w:pPr>
            <w:pStyle w:val="Contents4"/>
            <w:tabs>
              <w:tab w:val="clear" w:pos="8176"/>
              <w:tab w:val="right" w:pos="9026" w:leader="dot"/>
            </w:tabs>
            <w:rPr/>
          </w:pPr>
          <w:hyperlink w:anchor="__RefHeading___Toc257105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حدّ المرعی الذی هو حریم للقریة و محتطبها مقدار حاجة أهالیها بحسب العادة</w:t>
            </w:r>
            <w:r>
              <w:rPr>
                <w:rStyle w:val="IndexLink"/>
                <w:rtl w:val="true"/>
              </w:rPr>
              <w:t>]</w:t>
              <w:tab/>
            </w:r>
            <w:r>
              <w:rPr>
                <w:rStyle w:val="IndexLink"/>
              </w:rPr>
              <w:t>746</w:t>
            </w:r>
          </w:hyperlink>
        </w:p>
        <w:p>
          <w:pPr>
            <w:pStyle w:val="Contents4"/>
            <w:tabs>
              <w:tab w:val="clear" w:pos="8176"/>
              <w:tab w:val="right" w:pos="9026" w:leader="dot"/>
            </w:tabs>
            <w:rPr/>
          </w:pPr>
          <w:hyperlink w:anchor="__RefHeading___Toc2571056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إذا کان موات بقرب العامر و لم یکن من حریمه و مرافقه، جاز لکلّ أحد إحیاؤه</w:t>
            </w:r>
            <w:r>
              <w:rPr>
                <w:rStyle w:val="IndexLink"/>
                <w:rtl w:val="true"/>
              </w:rPr>
              <w:t>]</w:t>
              <w:tab/>
            </w:r>
            <w:r>
              <w:rPr>
                <w:rStyle w:val="IndexLink"/>
              </w:rPr>
              <w:t>746</w:t>
            </w:r>
          </w:hyperlink>
        </w:p>
        <w:p>
          <w:pPr>
            <w:pStyle w:val="Contents4"/>
            <w:tabs>
              <w:tab w:val="clear" w:pos="8176"/>
              <w:tab w:val="right" w:pos="9026" w:leader="dot"/>
            </w:tabs>
            <w:rPr/>
          </w:pPr>
          <w:hyperlink w:anchor="__RefHeading___Toc2571058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لا إشکال فی أنّ حریم القناة المقدّر بخمسمائة ذراع أو ألف ذراع</w:t>
            </w:r>
            <w:r>
              <w:rPr>
                <w:rStyle w:val="IndexLink"/>
                <w:rtl w:val="true"/>
              </w:rPr>
              <w:t>]</w:t>
              <w:tab/>
            </w:r>
            <w:r>
              <w:rPr>
                <w:rStyle w:val="IndexLink"/>
              </w:rPr>
              <w:t>746</w:t>
            </w:r>
          </w:hyperlink>
        </w:p>
        <w:p>
          <w:pPr>
            <w:pStyle w:val="Contents4"/>
            <w:tabs>
              <w:tab w:val="clear" w:pos="8176"/>
              <w:tab w:val="right" w:pos="9026" w:leader="dot"/>
            </w:tabs>
            <w:rPr/>
          </w:pPr>
          <w:hyperlink w:anchor="__RefHeading___Toc2571060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ما مرّ من الحریم لبعض الأملاک إنّما هو فیما إذا ابتکرت فی أرض موات</w:t>
            </w:r>
            <w:r>
              <w:rPr>
                <w:rStyle w:val="IndexLink"/>
                <w:rtl w:val="true"/>
              </w:rPr>
              <w:t>]</w:t>
              <w:tab/>
            </w:r>
            <w:r>
              <w:rPr>
                <w:rStyle w:val="IndexLink"/>
              </w:rPr>
              <w:t>746</w:t>
            </w:r>
          </w:hyperlink>
        </w:p>
        <w:p>
          <w:pPr>
            <w:pStyle w:val="Contents4"/>
            <w:tabs>
              <w:tab w:val="clear" w:pos="8176"/>
              <w:tab w:val="right" w:pos="9026" w:leader="dot"/>
            </w:tabs>
            <w:rPr/>
          </w:pPr>
          <w:hyperlink w:anchor="__RefHeading___Toc2571062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ذکر جماعة</w:t>
            </w:r>
            <w:r>
              <w:rPr>
                <w:rStyle w:val="IndexLink"/>
                <w:rtl w:val="true"/>
              </w:rPr>
              <w:t xml:space="preserve">: </w:t>
            </w:r>
            <w:r>
              <w:rPr>
                <w:rStyle w:val="IndexLink"/>
                <w:rtl w:val="true"/>
              </w:rPr>
              <w:t>أنّه یجوز لکلّ من المالکین المتجاورین التصرّف فی ملکه بما شاء</w:t>
            </w:r>
            <w:r>
              <w:rPr>
                <w:rStyle w:val="IndexLink"/>
                <w:rtl w:val="true"/>
              </w:rPr>
              <w:t>]</w:t>
              <w:tab/>
            </w:r>
            <w:r>
              <w:rPr>
                <w:rStyle w:val="IndexLink"/>
              </w:rPr>
              <w:t>747</w:t>
            </w:r>
          </w:hyperlink>
        </w:p>
        <w:p>
          <w:pPr>
            <w:pStyle w:val="Contents4"/>
            <w:tabs>
              <w:tab w:val="clear" w:pos="8176"/>
              <w:tab w:val="right" w:pos="9026" w:leader="dot"/>
            </w:tabs>
            <w:rPr/>
          </w:pPr>
          <w:hyperlink w:anchor="__RefHeading___Toc2571064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لا یخفی أنّ أمر الجار شدید</w:t>
            </w:r>
            <w:r>
              <w:rPr>
                <w:rStyle w:val="IndexLink"/>
                <w:rtl w:val="true"/>
              </w:rPr>
              <w:t>]</w:t>
              <w:tab/>
            </w:r>
            <w:r>
              <w:rPr>
                <w:rStyle w:val="IndexLink"/>
              </w:rPr>
              <w:t>747</w:t>
            </w:r>
          </w:hyperlink>
        </w:p>
        <w:p>
          <w:pPr>
            <w:pStyle w:val="Contents4"/>
            <w:tabs>
              <w:tab w:val="clear" w:pos="8176"/>
              <w:tab w:val="right" w:pos="9026" w:leader="dot"/>
            </w:tabs>
            <w:rPr/>
          </w:pPr>
          <w:hyperlink w:anchor="__RefHeading___Toc2571066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یشترط فی التملّک بالإحیاء أن لا یسبق إلیه سابق بالتحجیر</w:t>
            </w:r>
            <w:r>
              <w:rPr>
                <w:rStyle w:val="IndexLink"/>
                <w:rtl w:val="true"/>
              </w:rPr>
              <w:t>]</w:t>
              <w:tab/>
            </w:r>
            <w:r>
              <w:rPr>
                <w:rStyle w:val="IndexLink"/>
              </w:rPr>
              <w:t>748</w:t>
            </w:r>
          </w:hyperlink>
        </w:p>
        <w:p>
          <w:pPr>
            <w:pStyle w:val="Contents4"/>
            <w:tabs>
              <w:tab w:val="clear" w:pos="8176"/>
              <w:tab w:val="right" w:pos="9026" w:leader="dot"/>
            </w:tabs>
            <w:rPr/>
          </w:pPr>
          <w:hyperlink w:anchor="__RefHeading___Toc2571068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لا بدّ من أن یکون التحجیر مضافاً إلیٰ دلالته علیٰ أصل الإحیاء</w:t>
            </w:r>
            <w:r>
              <w:rPr>
                <w:rStyle w:val="IndexLink"/>
                <w:rtl w:val="true"/>
              </w:rPr>
              <w:t>]</w:t>
              <w:tab/>
            </w:r>
            <w:r>
              <w:rPr>
                <w:rStyle w:val="IndexLink"/>
              </w:rPr>
              <w:t>748</w:t>
            </w:r>
          </w:hyperlink>
        </w:p>
        <w:p>
          <w:pPr>
            <w:pStyle w:val="Contents4"/>
            <w:tabs>
              <w:tab w:val="clear" w:pos="8176"/>
              <w:tab w:val="right" w:pos="9026" w:leader="dot"/>
            </w:tabs>
            <w:rPr/>
          </w:pPr>
          <w:hyperlink w:anchor="__RefHeading___Toc2571070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التحجیر کما أشرنا إلیه یفید حقّ الأولویّة و لا یفید الملکیّة</w:t>
            </w:r>
            <w:r>
              <w:rPr>
                <w:rStyle w:val="IndexLink"/>
                <w:rtl w:val="true"/>
              </w:rPr>
              <w:t>]</w:t>
              <w:tab/>
            </w:r>
            <w:r>
              <w:rPr>
                <w:rStyle w:val="IndexLink"/>
              </w:rPr>
              <w:t>749</w:t>
            </w:r>
          </w:hyperlink>
        </w:p>
        <w:p>
          <w:pPr>
            <w:pStyle w:val="Contents4"/>
            <w:tabs>
              <w:tab w:val="clear" w:pos="8176"/>
              <w:tab w:val="right" w:pos="9026" w:leader="dot"/>
            </w:tabs>
            <w:rPr/>
          </w:pPr>
          <w:hyperlink w:anchor="__RefHeading___Toc2571072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یشترط فی مانعیّة التحجیر أن یکون المحجّر متمکّناً من القیام بتعمیره</w:t>
            </w:r>
            <w:r>
              <w:rPr>
                <w:rStyle w:val="IndexLink"/>
                <w:rtl w:val="true"/>
              </w:rPr>
              <w:t>]</w:t>
              <w:tab/>
            </w:r>
            <w:r>
              <w:rPr>
                <w:rStyle w:val="IndexLink"/>
              </w:rPr>
              <w:t>749</w:t>
            </w:r>
          </w:hyperlink>
        </w:p>
        <w:p>
          <w:pPr>
            <w:pStyle w:val="Contents4"/>
            <w:tabs>
              <w:tab w:val="clear" w:pos="8176"/>
              <w:tab w:val="right" w:pos="9026" w:leader="dot"/>
            </w:tabs>
            <w:rPr/>
          </w:pPr>
          <w:hyperlink w:anchor="__RefHeading___Toc2571074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لا یعتبر فی التحجیر أن یکون بالمباشرة</w:t>
            </w:r>
            <w:r>
              <w:rPr>
                <w:rStyle w:val="IndexLink"/>
                <w:rtl w:val="true"/>
              </w:rPr>
              <w:t>]</w:t>
              <w:tab/>
            </w:r>
            <w:r>
              <w:rPr>
                <w:rStyle w:val="IndexLink"/>
              </w:rPr>
              <w:t>749</w:t>
            </w:r>
          </w:hyperlink>
        </w:p>
        <w:p>
          <w:pPr>
            <w:pStyle w:val="Contents4"/>
            <w:tabs>
              <w:tab w:val="clear" w:pos="8176"/>
              <w:tab w:val="right" w:pos="9026" w:leader="dot"/>
            </w:tabs>
            <w:rPr/>
          </w:pPr>
          <w:hyperlink w:anchor="__RefHeading___Toc2571076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لو انمحت آثار التحجیر قبل أن یقوم المحجّر بالتعمیر</w:t>
            </w:r>
            <w:r>
              <w:rPr>
                <w:rStyle w:val="IndexLink"/>
                <w:rtl w:val="true"/>
              </w:rPr>
              <w:t>]</w:t>
              <w:tab/>
            </w:r>
            <w:r>
              <w:rPr>
                <w:rStyle w:val="IndexLink"/>
              </w:rPr>
              <w:t>749</w:t>
            </w:r>
          </w:hyperlink>
        </w:p>
        <w:p>
          <w:pPr>
            <w:pStyle w:val="Contents4"/>
            <w:tabs>
              <w:tab w:val="clear" w:pos="8176"/>
              <w:tab w:val="right" w:pos="9026" w:leader="dot"/>
            </w:tabs>
            <w:rPr/>
          </w:pPr>
          <w:hyperlink w:anchor="__RefHeading___Toc2571078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لیس للمحجّر تعطیل الموات المحجّر علیه و الإهمال فی التعمیر</w:t>
            </w:r>
            <w:r>
              <w:rPr>
                <w:rStyle w:val="IndexLink"/>
                <w:rtl w:val="true"/>
              </w:rPr>
              <w:t>]</w:t>
              <w:tab/>
            </w:r>
            <w:r>
              <w:rPr>
                <w:rStyle w:val="IndexLink"/>
              </w:rPr>
              <w:t>749</w:t>
            </w:r>
          </w:hyperlink>
        </w:p>
        <w:p>
          <w:pPr>
            <w:pStyle w:val="Contents4"/>
            <w:tabs>
              <w:tab w:val="clear" w:pos="8176"/>
              <w:tab w:val="right" w:pos="9026" w:leader="dot"/>
            </w:tabs>
            <w:rPr/>
          </w:pPr>
          <w:hyperlink w:anchor="__RefHeading___Toc2571080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الظاهر أنّه یشترط فی التملّک بالإحیاء قصد التملّک</w:t>
            </w:r>
            <w:r>
              <w:rPr>
                <w:rStyle w:val="IndexLink"/>
                <w:rtl w:val="true"/>
              </w:rPr>
              <w:t>]</w:t>
              <w:tab/>
            </w:r>
            <w:r>
              <w:rPr>
                <w:rStyle w:val="IndexLink"/>
              </w:rPr>
              <w:t>750</w:t>
            </w:r>
          </w:hyperlink>
        </w:p>
        <w:p>
          <w:pPr>
            <w:pStyle w:val="Contents4"/>
            <w:tabs>
              <w:tab w:val="clear" w:pos="8176"/>
              <w:tab w:val="right" w:pos="9026" w:leader="dot"/>
            </w:tabs>
            <w:rPr/>
          </w:pPr>
          <w:hyperlink w:anchor="__RefHeading___Toc2571082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الإحیاء المفید للملک</w:t>
            </w:r>
            <w:r>
              <w:rPr>
                <w:rStyle w:val="IndexLink"/>
                <w:rtl w:val="true"/>
              </w:rPr>
              <w:t xml:space="preserve">: </w:t>
            </w:r>
            <w:r>
              <w:rPr>
                <w:rStyle w:val="IndexLink"/>
                <w:rtl w:val="true"/>
              </w:rPr>
              <w:t>عبارة عن جعل الأرض حیّة بعد الموتان و إخراجها عن صفة الخراب إلی العمران</w:t>
            </w:r>
            <w:r>
              <w:rPr>
                <w:rStyle w:val="IndexLink"/>
                <w:rtl w:val="true"/>
              </w:rPr>
              <w:t>]</w:t>
              <w:tab/>
            </w:r>
            <w:r>
              <w:rPr>
                <w:rStyle w:val="IndexLink"/>
              </w:rPr>
              <w:t>750</w:t>
            </w:r>
          </w:hyperlink>
        </w:p>
        <w:p>
          <w:pPr>
            <w:pStyle w:val="Contents4"/>
            <w:tabs>
              <w:tab w:val="clear" w:pos="8176"/>
              <w:tab w:val="right" w:pos="9026" w:leader="dot"/>
            </w:tabs>
            <w:rPr/>
          </w:pPr>
          <w:hyperlink w:anchor="__RefHeading___Toc2571084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یعتبر فی إحیاء الموات داراً و مسکناً بعد إزالة الموانع</w:t>
            </w:r>
            <w:r>
              <w:rPr>
                <w:rStyle w:val="IndexLink"/>
                <w:rtl w:val="true"/>
              </w:rPr>
              <w:t>]</w:t>
              <w:tab/>
            </w:r>
            <w:r>
              <w:rPr>
                <w:rStyle w:val="IndexLink"/>
              </w:rPr>
              <w:t>751</w:t>
            </w:r>
          </w:hyperlink>
        </w:p>
        <w:p>
          <w:pPr>
            <w:pStyle w:val="Contents4"/>
            <w:tabs>
              <w:tab w:val="clear" w:pos="8176"/>
              <w:tab w:val="right" w:pos="9026" w:leader="dot"/>
            </w:tabs>
            <w:rPr/>
          </w:pPr>
          <w:hyperlink w:anchor="__RefHeading___Toc2571086_3650668749">
            <w:r>
              <w:rPr>
                <w:webHidden/>
                <w:rStyle w:val="IndexLink"/>
                <w:rtl w:val="true"/>
              </w:rPr>
              <w:t>[ (</w:t>
            </w:r>
            <w:r>
              <w:rPr>
                <w:rStyle w:val="IndexLink"/>
                <w:rtl w:val="true"/>
              </w:rPr>
              <w:t xml:space="preserve">مسألة </w:t>
            </w:r>
            <w:r>
              <w:rPr>
                <w:rStyle w:val="IndexLink"/>
              </w:rPr>
              <w:t>28</w:t>
            </w:r>
            <w:r>
              <w:rPr>
                <w:rStyle w:val="IndexLink"/>
                <w:rtl w:val="true"/>
              </w:rPr>
              <w:t xml:space="preserve">): </w:t>
            </w:r>
            <w:r>
              <w:rPr>
                <w:rStyle w:val="IndexLink"/>
                <w:rtl w:val="true"/>
              </w:rPr>
              <w:t>یعتبر فی إحیاء الموات مزرعاً بعد إزالة الموانع تسویة الأرض</w:t>
            </w:r>
            <w:r>
              <w:rPr>
                <w:rStyle w:val="IndexLink"/>
                <w:rtl w:val="true"/>
              </w:rPr>
              <w:t>]</w:t>
              <w:tab/>
            </w:r>
            <w:r>
              <w:rPr>
                <w:rStyle w:val="IndexLink"/>
              </w:rPr>
              <w:t>751</w:t>
            </w:r>
          </w:hyperlink>
        </w:p>
        <w:p>
          <w:pPr>
            <w:pStyle w:val="Contents4"/>
            <w:tabs>
              <w:tab w:val="clear" w:pos="8176"/>
              <w:tab w:val="right" w:pos="9026" w:leader="dot"/>
            </w:tabs>
            <w:rPr/>
          </w:pPr>
          <w:hyperlink w:anchor="__RefHeading___Toc2571088_3650668749">
            <w:r>
              <w:rPr>
                <w:webHidden/>
                <w:rStyle w:val="IndexLink"/>
                <w:rtl w:val="true"/>
              </w:rPr>
              <w:t>[ (</w:t>
            </w:r>
            <w:r>
              <w:rPr>
                <w:rStyle w:val="IndexLink"/>
                <w:rtl w:val="true"/>
              </w:rPr>
              <w:t xml:space="preserve">مسألة </w:t>
            </w:r>
            <w:r>
              <w:rPr>
                <w:rStyle w:val="IndexLink"/>
              </w:rPr>
              <w:t>29</w:t>
            </w:r>
            <w:r>
              <w:rPr>
                <w:rStyle w:val="IndexLink"/>
                <w:rtl w:val="true"/>
              </w:rPr>
              <w:t xml:space="preserve">): </w:t>
            </w:r>
            <w:r>
              <w:rPr>
                <w:rStyle w:val="IndexLink"/>
                <w:rtl w:val="true"/>
              </w:rPr>
              <w:t>یعتبر فی إحیاء البستان کلّ ما اعتبر فی إحیاء الزرع</w:t>
            </w:r>
            <w:r>
              <w:rPr>
                <w:rStyle w:val="IndexLink"/>
                <w:rtl w:val="true"/>
              </w:rPr>
              <w:t>]</w:t>
              <w:tab/>
            </w:r>
            <w:r>
              <w:rPr>
                <w:rStyle w:val="IndexLink"/>
              </w:rPr>
              <w:t>751</w:t>
            </w:r>
          </w:hyperlink>
        </w:p>
        <w:p>
          <w:pPr>
            <w:pStyle w:val="Contents4"/>
            <w:tabs>
              <w:tab w:val="clear" w:pos="8176"/>
              <w:tab w:val="right" w:pos="9026" w:leader="dot"/>
            </w:tabs>
            <w:rPr/>
          </w:pPr>
          <w:hyperlink w:anchor="__RefHeading___Toc2571090_3650668749">
            <w:r>
              <w:rPr>
                <w:webHidden/>
                <w:rStyle w:val="IndexLink"/>
                <w:rtl w:val="true"/>
              </w:rPr>
              <w:t>[ (</w:t>
            </w:r>
            <w:r>
              <w:rPr>
                <w:rStyle w:val="IndexLink"/>
                <w:rtl w:val="true"/>
              </w:rPr>
              <w:t xml:space="preserve">مسألة </w:t>
            </w:r>
            <w:r>
              <w:rPr>
                <w:rStyle w:val="IndexLink"/>
              </w:rPr>
              <w:t>30</w:t>
            </w:r>
            <w:r>
              <w:rPr>
                <w:rStyle w:val="IndexLink"/>
                <w:rtl w:val="true"/>
              </w:rPr>
              <w:t xml:space="preserve">): </w:t>
            </w:r>
            <w:r>
              <w:rPr>
                <w:rStyle w:val="IndexLink"/>
                <w:rtl w:val="true"/>
              </w:rPr>
              <w:t>یحصل إحیاء البئر فی الموات بأن یحفرها إلیٰ أن یصل إلی الماء</w:t>
            </w:r>
            <w:r>
              <w:rPr>
                <w:rStyle w:val="IndexLink"/>
                <w:rtl w:val="true"/>
              </w:rPr>
              <w:t>]</w:t>
              <w:tab/>
            </w:r>
            <w:r>
              <w:rPr>
                <w:rStyle w:val="IndexLink"/>
              </w:rPr>
              <w:t>752</w:t>
            </w:r>
          </w:hyperlink>
        </w:p>
        <w:p>
          <w:pPr>
            <w:pStyle w:val="Contents3"/>
            <w:tabs>
              <w:tab w:val="clear" w:pos="8459"/>
              <w:tab w:val="right" w:pos="9026" w:leader="dot"/>
            </w:tabs>
            <w:rPr/>
          </w:pPr>
          <w:hyperlink w:anchor="__RefHeading___Toc2571092_3650668749">
            <w:r>
              <w:rPr>
                <w:webHidden/>
                <w:rStyle w:val="IndexLink"/>
                <w:rtl w:val="true"/>
              </w:rPr>
              <w:t>[</w:t>
            </w:r>
            <w:r>
              <w:rPr>
                <w:rStyle w:val="IndexLink"/>
                <w:rtl w:val="true"/>
              </w:rPr>
              <w:t>القول فی المشترکات</w:t>
            </w:r>
            <w:r>
              <w:rPr>
                <w:rStyle w:val="IndexLink"/>
                <w:rtl w:val="true"/>
              </w:rPr>
              <w:t>]</w:t>
              <w:tab/>
            </w:r>
            <w:r>
              <w:rPr>
                <w:rStyle w:val="IndexLink"/>
              </w:rPr>
              <w:t>752</w:t>
            </w:r>
          </w:hyperlink>
        </w:p>
        <w:p>
          <w:pPr>
            <w:pStyle w:val="Contents4"/>
            <w:tabs>
              <w:tab w:val="clear" w:pos="8176"/>
              <w:tab w:val="right" w:pos="9026" w:leader="dot"/>
            </w:tabs>
            <w:rPr/>
          </w:pPr>
          <w:hyperlink w:anchor="__RefHeading___Toc2571094_3650668749">
            <w:r>
              <w:rPr>
                <w:webHidden/>
                <w:rStyle w:val="IndexLink"/>
                <w:rtl w:val="true"/>
              </w:rPr>
              <w:t>اشارة</w:t>
            </w:r>
            <w:r>
              <w:rPr>
                <w:rStyle w:val="IndexLink"/>
                <w:rtl w:val="true"/>
              </w:rPr>
              <w:tab/>
            </w:r>
            <w:r>
              <w:rPr>
                <w:rStyle w:val="IndexLink"/>
              </w:rPr>
              <w:t>752</w:t>
            </w:r>
          </w:hyperlink>
        </w:p>
        <w:p>
          <w:pPr>
            <w:pStyle w:val="Contents4"/>
            <w:tabs>
              <w:tab w:val="clear" w:pos="8176"/>
              <w:tab w:val="right" w:pos="9026" w:leader="dot"/>
            </w:tabs>
            <w:rPr/>
          </w:pPr>
          <w:hyperlink w:anchor="__RefHeading___Toc257109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الطریق نوعان</w:t>
            </w:r>
            <w:r>
              <w:rPr>
                <w:rStyle w:val="IndexLink"/>
                <w:rtl w:val="true"/>
              </w:rPr>
              <w:t xml:space="preserve">: </w:t>
            </w:r>
            <w:r>
              <w:rPr>
                <w:rStyle w:val="IndexLink"/>
                <w:rtl w:val="true"/>
              </w:rPr>
              <w:t>نافذ و غیر نافذ</w:t>
            </w:r>
            <w:r>
              <w:rPr>
                <w:rStyle w:val="IndexLink"/>
                <w:rtl w:val="true"/>
              </w:rPr>
              <w:t>]</w:t>
              <w:tab/>
            </w:r>
            <w:r>
              <w:rPr>
                <w:rStyle w:val="IndexLink"/>
              </w:rPr>
              <w:t>752</w:t>
            </w:r>
          </w:hyperlink>
        </w:p>
        <w:p>
          <w:pPr>
            <w:pStyle w:val="Contents4"/>
            <w:tabs>
              <w:tab w:val="clear" w:pos="8176"/>
              <w:tab w:val="right" w:pos="9026" w:leader="dot"/>
            </w:tabs>
            <w:rPr/>
          </w:pPr>
          <w:hyperlink w:anchor="__RefHeading___Toc257109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الظاهر أنّ أرباب الدور المفتوحة فی الدریبة کلّهم مشترکون فی کلّها</w:t>
            </w:r>
            <w:r>
              <w:rPr>
                <w:rStyle w:val="IndexLink"/>
                <w:rtl w:val="true"/>
              </w:rPr>
              <w:t>]</w:t>
              <w:tab/>
            </w:r>
            <w:r>
              <w:rPr>
                <w:rStyle w:val="IndexLink"/>
              </w:rPr>
              <w:t>753</w:t>
            </w:r>
          </w:hyperlink>
        </w:p>
        <w:p>
          <w:pPr>
            <w:pStyle w:val="Contents4"/>
            <w:tabs>
              <w:tab w:val="clear" w:pos="8176"/>
              <w:tab w:val="right" w:pos="9026" w:leader="dot"/>
            </w:tabs>
            <w:rPr/>
          </w:pPr>
          <w:hyperlink w:anchor="__RefHeading___Toc257110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لیس لمن کان حائط داره إلی الدریبة، فتح باب إلیها إلّا بإذن أربابها</w:t>
            </w:r>
            <w:r>
              <w:rPr>
                <w:rStyle w:val="IndexLink"/>
                <w:rtl w:val="true"/>
              </w:rPr>
              <w:t>]</w:t>
              <w:tab/>
            </w:r>
            <w:r>
              <w:rPr>
                <w:rStyle w:val="IndexLink"/>
              </w:rPr>
              <w:t>753</w:t>
            </w:r>
          </w:hyperlink>
        </w:p>
        <w:p>
          <w:pPr>
            <w:pStyle w:val="Contents4"/>
            <w:tabs>
              <w:tab w:val="clear" w:pos="8176"/>
              <w:tab w:val="right" w:pos="9026" w:leader="dot"/>
            </w:tabs>
            <w:rPr/>
          </w:pPr>
          <w:hyperlink w:anchor="__RefHeading___Toc257110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یجوز لکلّ من أرباب الدریبة الجلوس فیها</w:t>
            </w:r>
            <w:r>
              <w:rPr>
                <w:rStyle w:val="IndexLink"/>
                <w:rtl w:val="true"/>
              </w:rPr>
              <w:t>]</w:t>
              <w:tab/>
            </w:r>
            <w:r>
              <w:rPr>
                <w:rStyle w:val="IndexLink"/>
              </w:rPr>
              <w:t>753</w:t>
            </w:r>
          </w:hyperlink>
        </w:p>
        <w:p>
          <w:pPr>
            <w:pStyle w:val="Contents4"/>
            <w:tabs>
              <w:tab w:val="clear" w:pos="8176"/>
              <w:tab w:val="right" w:pos="9026" w:leader="dot"/>
            </w:tabs>
            <w:rPr/>
          </w:pPr>
          <w:hyperlink w:anchor="__RefHeading___Toc257110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الشوارع و الطرق العامّة و إن کانت معدّة لاستطراق عامّة الناس</w:t>
            </w:r>
            <w:r>
              <w:rPr>
                <w:rStyle w:val="IndexLink"/>
                <w:rtl w:val="true"/>
              </w:rPr>
              <w:t>]</w:t>
              <w:tab/>
            </w:r>
            <w:r>
              <w:rPr>
                <w:rStyle w:val="IndexLink"/>
              </w:rPr>
              <w:t>754</w:t>
            </w:r>
          </w:hyperlink>
        </w:p>
        <w:p>
          <w:pPr>
            <w:pStyle w:val="Contents4"/>
            <w:tabs>
              <w:tab w:val="clear" w:pos="8176"/>
              <w:tab w:val="right" w:pos="9026" w:leader="dot"/>
            </w:tabs>
            <w:rPr/>
          </w:pPr>
          <w:hyperlink w:anchor="__RefHeading___Toc2571106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لا فرق فی الجلوس الغیر المضرّ بین ما کان للاستراحة أو النزهة</w:t>
            </w:r>
            <w:r>
              <w:rPr>
                <w:rStyle w:val="IndexLink"/>
                <w:rtl w:val="true"/>
              </w:rPr>
              <w:t>]</w:t>
              <w:tab/>
            </w:r>
            <w:r>
              <w:rPr>
                <w:rStyle w:val="IndexLink"/>
              </w:rPr>
              <w:t>754</w:t>
            </w:r>
          </w:hyperlink>
        </w:p>
        <w:p>
          <w:pPr>
            <w:pStyle w:val="Contents4"/>
            <w:tabs>
              <w:tab w:val="clear" w:pos="8176"/>
              <w:tab w:val="right" w:pos="9026" w:leader="dot"/>
            </w:tabs>
            <w:rPr/>
          </w:pPr>
          <w:hyperlink w:anchor="__RefHeading___Toc2571108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جلس فی موضع من الطریق ثمّ قام عنه</w:t>
            </w:r>
            <w:r>
              <w:rPr>
                <w:rStyle w:val="IndexLink"/>
                <w:rtl w:val="true"/>
              </w:rPr>
              <w:t>]</w:t>
              <w:tab/>
            </w:r>
            <w:r>
              <w:rPr>
                <w:rStyle w:val="IndexLink"/>
              </w:rPr>
              <w:t>754</w:t>
            </w:r>
          </w:hyperlink>
        </w:p>
        <w:p>
          <w:pPr>
            <w:pStyle w:val="Contents4"/>
            <w:tabs>
              <w:tab w:val="clear" w:pos="8176"/>
              <w:tab w:val="right" w:pos="9026" w:leader="dot"/>
            </w:tabs>
            <w:rPr/>
          </w:pPr>
          <w:hyperlink w:anchor="__RefHeading___Toc2571110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کما أنّ موضع الجلوس حقّ للجالس للمعاملة فلا یجوز مزاحمته</w:t>
            </w:r>
            <w:r>
              <w:rPr>
                <w:rStyle w:val="IndexLink"/>
                <w:rtl w:val="true"/>
              </w:rPr>
              <w:t>]</w:t>
              <w:tab/>
            </w:r>
            <w:r>
              <w:rPr>
                <w:rStyle w:val="IndexLink"/>
              </w:rPr>
              <w:t>754</w:t>
            </w:r>
          </w:hyperlink>
        </w:p>
        <w:p>
          <w:pPr>
            <w:pStyle w:val="Contents4"/>
            <w:tabs>
              <w:tab w:val="clear" w:pos="8176"/>
              <w:tab w:val="right" w:pos="9026" w:leader="dot"/>
            </w:tabs>
            <w:rPr/>
          </w:pPr>
          <w:hyperlink w:anchor="__RefHeading___Toc2571112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یجوز للجالس للمعاملة أن یظلّل علیٰ موضع جلوسه بما لا یضرّ بالمارّة</w:t>
            </w:r>
            <w:r>
              <w:rPr>
                <w:rStyle w:val="IndexLink"/>
                <w:rtl w:val="true"/>
              </w:rPr>
              <w:t>]</w:t>
              <w:tab/>
            </w:r>
            <w:r>
              <w:rPr>
                <w:rStyle w:val="IndexLink"/>
              </w:rPr>
              <w:t>754</w:t>
            </w:r>
          </w:hyperlink>
        </w:p>
        <w:p>
          <w:pPr>
            <w:pStyle w:val="Contents4"/>
            <w:tabs>
              <w:tab w:val="clear" w:pos="8176"/>
              <w:tab w:val="right" w:pos="9026" w:leader="dot"/>
            </w:tabs>
            <w:rPr/>
          </w:pPr>
          <w:hyperlink w:anchor="__RefHeading___Toc2571114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إذا جلس فی موضع من الطریق للمعاملة فی یوم، فسبقه فی یوم آخر</w:t>
            </w:r>
            <w:r>
              <w:rPr>
                <w:rStyle w:val="IndexLink"/>
                <w:rtl w:val="true"/>
              </w:rPr>
              <w:t>]</w:t>
              <w:tab/>
            </w:r>
            <w:r>
              <w:rPr>
                <w:rStyle w:val="IndexLink"/>
              </w:rPr>
              <w:t>754</w:t>
            </w:r>
          </w:hyperlink>
        </w:p>
        <w:p>
          <w:pPr>
            <w:pStyle w:val="Contents4"/>
            <w:tabs>
              <w:tab w:val="clear" w:pos="8176"/>
              <w:tab w:val="right" w:pos="9026" w:leader="dot"/>
            </w:tabs>
            <w:rPr/>
          </w:pPr>
          <w:hyperlink w:anchor="__RefHeading___Toc2571116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إنّما یصیر الموضع شارعاً عامّاً بأُمور</w:t>
            </w:r>
            <w:r>
              <w:rPr>
                <w:rStyle w:val="IndexLink"/>
                <w:rtl w:val="true"/>
              </w:rPr>
              <w:t>]</w:t>
              <w:tab/>
            </w:r>
            <w:r>
              <w:rPr>
                <w:rStyle w:val="IndexLink"/>
              </w:rPr>
              <w:t>755</w:t>
            </w:r>
          </w:hyperlink>
        </w:p>
        <w:p>
          <w:pPr>
            <w:pStyle w:val="Contents4"/>
            <w:tabs>
              <w:tab w:val="clear" w:pos="8176"/>
              <w:tab w:val="right" w:pos="9026" w:leader="dot"/>
            </w:tabs>
            <w:rPr/>
          </w:pPr>
          <w:hyperlink w:anchor="__RefHeading___Toc2571118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لا حریم للشارع العامّ لو وقع بین الأملاک</w:t>
            </w:r>
            <w:r>
              <w:rPr>
                <w:rStyle w:val="IndexLink"/>
                <w:rtl w:val="true"/>
              </w:rPr>
              <w:t>]</w:t>
              <w:tab/>
            </w:r>
            <w:r>
              <w:rPr>
                <w:rStyle w:val="IndexLink"/>
              </w:rPr>
              <w:t>755</w:t>
            </w:r>
          </w:hyperlink>
        </w:p>
        <w:p>
          <w:pPr>
            <w:pStyle w:val="Contents4"/>
            <w:tabs>
              <w:tab w:val="clear" w:pos="8176"/>
              <w:tab w:val="right" w:pos="9026" w:leader="dot"/>
            </w:tabs>
            <w:rPr/>
          </w:pPr>
          <w:hyperlink w:anchor="__RefHeading___Toc2571120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إذا استؤجم الطریق أو انقطعت عنه المارّة زال حکمه</w:t>
            </w:r>
            <w:r>
              <w:rPr>
                <w:rStyle w:val="IndexLink"/>
                <w:rtl w:val="true"/>
              </w:rPr>
              <w:t>]</w:t>
              <w:tab/>
            </w:r>
            <w:r>
              <w:rPr>
                <w:rStyle w:val="IndexLink"/>
              </w:rPr>
              <w:t>755</w:t>
            </w:r>
          </w:hyperlink>
        </w:p>
        <w:p>
          <w:pPr>
            <w:pStyle w:val="Contents4"/>
            <w:tabs>
              <w:tab w:val="clear" w:pos="8176"/>
              <w:tab w:val="right" w:pos="9026" w:leader="dot"/>
            </w:tabs>
            <w:rPr/>
          </w:pPr>
          <w:hyperlink w:anchor="__RefHeading___Toc2571122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لو زاد عرض الطریق المسلوک عن سبعة أذرع، فأمّا المسبّل</w:t>
            </w:r>
            <w:r>
              <w:rPr>
                <w:rStyle w:val="IndexLink"/>
                <w:rtl w:val="true"/>
              </w:rPr>
              <w:t>]</w:t>
              <w:tab/>
            </w:r>
            <w:r>
              <w:rPr>
                <w:rStyle w:val="IndexLink"/>
              </w:rPr>
              <w:t>756</w:t>
            </w:r>
          </w:hyperlink>
        </w:p>
        <w:p>
          <w:pPr>
            <w:pStyle w:val="Contents4"/>
            <w:tabs>
              <w:tab w:val="clear" w:pos="8176"/>
              <w:tab w:val="right" w:pos="9026" w:leader="dot"/>
            </w:tabs>
            <w:rPr/>
          </w:pPr>
          <w:hyperlink w:anchor="__RefHeading___Toc2571124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و من المشترکات</w:t>
            </w:r>
            <w:r>
              <w:rPr>
                <w:rStyle w:val="IndexLink"/>
                <w:rtl w:val="true"/>
              </w:rPr>
              <w:t xml:space="preserve">: </w:t>
            </w:r>
            <w:r>
              <w:rPr>
                <w:rStyle w:val="IndexLink"/>
                <w:rtl w:val="true"/>
              </w:rPr>
              <w:t>المسجد</w:t>
            </w:r>
            <w:r>
              <w:rPr>
                <w:rStyle w:val="IndexLink"/>
                <w:rtl w:val="true"/>
              </w:rPr>
              <w:t>]</w:t>
              <w:tab/>
            </w:r>
            <w:r>
              <w:rPr>
                <w:rStyle w:val="IndexLink"/>
              </w:rPr>
              <w:t>756</w:t>
            </w:r>
          </w:hyperlink>
        </w:p>
        <w:p>
          <w:pPr>
            <w:pStyle w:val="Contents4"/>
            <w:tabs>
              <w:tab w:val="clear" w:pos="8176"/>
              <w:tab w:val="right" w:pos="9026" w:leader="dot"/>
            </w:tabs>
            <w:rPr/>
          </w:pPr>
          <w:hyperlink w:anchor="__RefHeading___Toc2571126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لو قام الجالس السابق و فارق المکان رافعاً یده منه معرضاً عنه بطل حقّه</w:t>
            </w:r>
            <w:r>
              <w:rPr>
                <w:rStyle w:val="IndexLink"/>
                <w:rtl w:val="true"/>
              </w:rPr>
              <w:t>]</w:t>
              <w:tab/>
            </w:r>
            <w:r>
              <w:rPr>
                <w:rStyle w:val="IndexLink"/>
              </w:rPr>
              <w:t>757</w:t>
            </w:r>
          </w:hyperlink>
        </w:p>
        <w:p>
          <w:pPr>
            <w:pStyle w:val="Contents4"/>
            <w:tabs>
              <w:tab w:val="clear" w:pos="8176"/>
              <w:tab w:val="right" w:pos="9026" w:leader="dot"/>
            </w:tabs>
            <w:rPr/>
          </w:pPr>
          <w:hyperlink w:anchor="__RefHeading___Toc2571128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الظاهر أنّ وضع الرحل مقدّمة للجلوس کالجلوس فی إفادة الأولویّة</w:t>
            </w:r>
            <w:r>
              <w:rPr>
                <w:rStyle w:val="IndexLink"/>
                <w:rtl w:val="true"/>
              </w:rPr>
              <w:t>]</w:t>
              <w:tab/>
            </w:r>
            <w:r>
              <w:rPr>
                <w:rStyle w:val="IndexLink"/>
              </w:rPr>
              <w:t>757</w:t>
            </w:r>
          </w:hyperlink>
        </w:p>
        <w:p>
          <w:pPr>
            <w:pStyle w:val="Contents4"/>
            <w:tabs>
              <w:tab w:val="clear" w:pos="8176"/>
              <w:tab w:val="right" w:pos="9026" w:leader="dot"/>
            </w:tabs>
            <w:rPr/>
          </w:pPr>
          <w:hyperlink w:anchor="__RefHeading___Toc2571130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یعتبر أن لا یکون بین وضع الرحل و مجیئه طول زمان بحیث استلزم تعطیل المکان</w:t>
            </w:r>
            <w:r>
              <w:rPr>
                <w:rStyle w:val="IndexLink"/>
                <w:rtl w:val="true"/>
              </w:rPr>
              <w:t>]</w:t>
              <w:tab/>
            </w:r>
            <w:r>
              <w:rPr>
                <w:rStyle w:val="IndexLink"/>
              </w:rPr>
              <w:t>757</w:t>
            </w:r>
          </w:hyperlink>
        </w:p>
        <w:p>
          <w:pPr>
            <w:pStyle w:val="Contents4"/>
            <w:tabs>
              <w:tab w:val="clear" w:pos="8176"/>
              <w:tab w:val="right" w:pos="9026" w:leader="dot"/>
            </w:tabs>
            <w:rPr/>
          </w:pPr>
          <w:hyperlink w:anchor="__RefHeading___Toc2571132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المشاهد کالمساجد فی جمیع ما ذکر من الأحکام</w:t>
            </w:r>
            <w:r>
              <w:rPr>
                <w:rStyle w:val="IndexLink"/>
                <w:rtl w:val="true"/>
              </w:rPr>
              <w:t>]</w:t>
              <w:tab/>
            </w:r>
            <w:r>
              <w:rPr>
                <w:rStyle w:val="IndexLink"/>
              </w:rPr>
              <w:t>757</w:t>
            </w:r>
          </w:hyperlink>
        </w:p>
        <w:p>
          <w:pPr>
            <w:pStyle w:val="Contents4"/>
            <w:tabs>
              <w:tab w:val="clear" w:pos="8176"/>
              <w:tab w:val="right" w:pos="9026" w:leader="dot"/>
            </w:tabs>
            <w:rPr/>
          </w:pPr>
          <w:hyperlink w:anchor="__RefHeading___Toc2571134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و من المشترکات</w:t>
            </w:r>
            <w:r>
              <w:rPr>
                <w:rStyle w:val="IndexLink"/>
                <w:rtl w:val="true"/>
              </w:rPr>
              <w:t xml:space="preserve">: </w:t>
            </w:r>
            <w:r>
              <w:rPr>
                <w:rStyle w:val="IndexLink"/>
                <w:rtl w:val="true"/>
              </w:rPr>
              <w:t>المدارس بالنسبة إلیٰ طالبی العلم</w:t>
            </w:r>
            <w:r>
              <w:rPr>
                <w:rStyle w:val="IndexLink"/>
                <w:rtl w:val="true"/>
              </w:rPr>
              <w:t>]</w:t>
              <w:tab/>
            </w:r>
            <w:r>
              <w:rPr>
                <w:rStyle w:val="IndexLink"/>
              </w:rPr>
              <w:t>757</w:t>
            </w:r>
          </w:hyperlink>
        </w:p>
        <w:p>
          <w:pPr>
            <w:pStyle w:val="Contents4"/>
            <w:tabs>
              <w:tab w:val="clear" w:pos="8176"/>
              <w:tab w:val="right" w:pos="9026" w:leader="dot"/>
            </w:tabs>
            <w:rPr/>
          </w:pPr>
          <w:hyperlink w:anchor="__RefHeading___Toc2571136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لا یبطل حقّ الساکن بالخروج لحاجة معتادة</w:t>
            </w:r>
            <w:r>
              <w:rPr>
                <w:rStyle w:val="IndexLink"/>
                <w:rtl w:val="true"/>
              </w:rPr>
              <w:t>]</w:t>
              <w:tab/>
            </w:r>
            <w:r>
              <w:rPr>
                <w:rStyle w:val="IndexLink"/>
              </w:rPr>
              <w:t>758</w:t>
            </w:r>
          </w:hyperlink>
        </w:p>
        <w:p>
          <w:pPr>
            <w:pStyle w:val="Contents4"/>
            <w:tabs>
              <w:tab w:val="clear" w:pos="8176"/>
              <w:tab w:val="right" w:pos="9026" w:leader="dot"/>
            </w:tabs>
            <w:rPr/>
          </w:pPr>
          <w:hyperlink w:anchor="__RefHeading___Toc2571138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من أقام فی حجرة منها ممّن یستحقّ السکنی بها، له أن یمنع من أن یشارکه غیره</w:t>
            </w:r>
            <w:r>
              <w:rPr>
                <w:rStyle w:val="IndexLink"/>
                <w:rtl w:val="true"/>
              </w:rPr>
              <w:t>]</w:t>
              <w:tab/>
            </w:r>
            <w:r>
              <w:rPr>
                <w:rStyle w:val="IndexLink"/>
              </w:rPr>
              <w:t>758</w:t>
            </w:r>
          </w:hyperlink>
        </w:p>
        <w:p>
          <w:pPr>
            <w:pStyle w:val="Contents4"/>
            <w:tabs>
              <w:tab w:val="clear" w:pos="8176"/>
              <w:tab w:val="right" w:pos="9026" w:leader="dot"/>
            </w:tabs>
            <w:rPr/>
          </w:pPr>
          <w:hyperlink w:anchor="__RefHeading___Toc2571140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و یلحق بالمدارس الربط</w:t>
            </w:r>
            <w:r>
              <w:rPr>
                <w:rStyle w:val="IndexLink"/>
                <w:rtl w:val="true"/>
              </w:rPr>
              <w:t>]</w:t>
              <w:tab/>
            </w:r>
            <w:r>
              <w:rPr>
                <w:rStyle w:val="IndexLink"/>
              </w:rPr>
              <w:t>758</w:t>
            </w:r>
          </w:hyperlink>
        </w:p>
        <w:p>
          <w:pPr>
            <w:pStyle w:val="Contents4"/>
            <w:tabs>
              <w:tab w:val="clear" w:pos="8176"/>
              <w:tab w:val="right" w:pos="9026" w:leader="dot"/>
            </w:tabs>
            <w:rPr/>
          </w:pPr>
          <w:hyperlink w:anchor="__RefHeading___Toc2571142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و من المشترکات</w:t>
            </w:r>
            <w:r>
              <w:rPr>
                <w:rStyle w:val="IndexLink"/>
                <w:rtl w:val="true"/>
              </w:rPr>
              <w:t xml:space="preserve">: </w:t>
            </w:r>
            <w:r>
              <w:rPr>
                <w:rStyle w:val="IndexLink"/>
                <w:rtl w:val="true"/>
              </w:rPr>
              <w:t>المیاه</w:t>
            </w:r>
            <w:r>
              <w:rPr>
                <w:rStyle w:val="IndexLink"/>
                <w:rtl w:val="true"/>
              </w:rPr>
              <w:t>]</w:t>
              <w:tab/>
            </w:r>
            <w:r>
              <w:rPr>
                <w:rStyle w:val="IndexLink"/>
              </w:rPr>
              <w:t>758</w:t>
            </w:r>
          </w:hyperlink>
        </w:p>
        <w:p>
          <w:pPr>
            <w:pStyle w:val="Contents4"/>
            <w:tabs>
              <w:tab w:val="clear" w:pos="8176"/>
              <w:tab w:val="right" w:pos="9026" w:leader="dot"/>
            </w:tabs>
            <w:rPr/>
          </w:pPr>
          <w:hyperlink w:anchor="__RefHeading___Toc2571144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إذا شقّ نهراً من ماء مباح کالشطّ و نحوه، ملک ما یدخل فیه من الماء</w:t>
            </w:r>
            <w:r>
              <w:rPr>
                <w:rStyle w:val="IndexLink"/>
                <w:rtl w:val="true"/>
              </w:rPr>
              <w:t>]</w:t>
              <w:tab/>
            </w:r>
            <w:r>
              <w:rPr>
                <w:rStyle w:val="IndexLink"/>
              </w:rPr>
              <w:t>759</w:t>
            </w:r>
          </w:hyperlink>
        </w:p>
        <w:p>
          <w:pPr>
            <w:pStyle w:val="Contents4"/>
            <w:tabs>
              <w:tab w:val="clear" w:pos="8176"/>
              <w:tab w:val="right" w:pos="9026" w:leader="dot"/>
            </w:tabs>
            <w:rPr/>
          </w:pPr>
          <w:hyperlink w:anchor="__RefHeading___Toc2571146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إنّما یملک النهر المتّصل بالمباح؛ إمّا بحفره فی أرض مملوکة له، و إمّا بحفره فی الموات</w:t>
            </w:r>
            <w:r>
              <w:rPr>
                <w:rStyle w:val="IndexLink"/>
                <w:rtl w:val="true"/>
              </w:rPr>
              <w:t>]</w:t>
              <w:tab/>
            </w:r>
            <w:r>
              <w:rPr>
                <w:rStyle w:val="IndexLink"/>
              </w:rPr>
              <w:t>759</w:t>
            </w:r>
          </w:hyperlink>
        </w:p>
        <w:p>
          <w:pPr>
            <w:pStyle w:val="Contents4"/>
            <w:tabs>
              <w:tab w:val="clear" w:pos="8176"/>
              <w:tab w:val="right" w:pos="9026" w:leader="dot"/>
            </w:tabs>
            <w:rPr/>
          </w:pPr>
          <w:hyperlink w:anchor="__RefHeading___Toc2571148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لمّا کان الماء الذی یفیضه النهر المشترک بین جماعة مشترکاً بینهم</w:t>
            </w:r>
            <w:r>
              <w:rPr>
                <w:rStyle w:val="IndexLink"/>
                <w:rtl w:val="true"/>
              </w:rPr>
              <w:t>]</w:t>
              <w:tab/>
            </w:r>
            <w:r>
              <w:rPr>
                <w:rStyle w:val="IndexLink"/>
              </w:rPr>
              <w:t>759</w:t>
            </w:r>
          </w:hyperlink>
        </w:p>
        <w:p>
          <w:pPr>
            <w:pStyle w:val="Contents4"/>
            <w:tabs>
              <w:tab w:val="clear" w:pos="8176"/>
              <w:tab w:val="right" w:pos="9026" w:leader="dot"/>
            </w:tabs>
            <w:rPr/>
          </w:pPr>
          <w:hyperlink w:anchor="__RefHeading___Toc2571150_3650668749">
            <w:r>
              <w:rPr>
                <w:webHidden/>
                <w:rStyle w:val="IndexLink"/>
                <w:rtl w:val="true"/>
              </w:rPr>
              <w:t>[ (</w:t>
            </w:r>
            <w:r>
              <w:rPr>
                <w:rStyle w:val="IndexLink"/>
                <w:rtl w:val="true"/>
              </w:rPr>
              <w:t xml:space="preserve">مسألة </w:t>
            </w:r>
            <w:r>
              <w:rPr>
                <w:rStyle w:val="IndexLink"/>
              </w:rPr>
              <w:t>28</w:t>
            </w:r>
            <w:r>
              <w:rPr>
                <w:rStyle w:val="IndexLink"/>
                <w:rtl w:val="true"/>
              </w:rPr>
              <w:t xml:space="preserve">): </w:t>
            </w:r>
            <w:r>
              <w:rPr>
                <w:rStyle w:val="IndexLink"/>
                <w:rtl w:val="true"/>
              </w:rPr>
              <w:t>الظاهر أنّ القسمة بحسب الأجزاء قسمة إجبار</w:t>
            </w:r>
            <w:r>
              <w:rPr>
                <w:rStyle w:val="IndexLink"/>
                <w:rtl w:val="true"/>
              </w:rPr>
              <w:t>]</w:t>
              <w:tab/>
            </w:r>
            <w:r>
              <w:rPr>
                <w:rStyle w:val="IndexLink"/>
              </w:rPr>
              <w:t>760</w:t>
            </w:r>
          </w:hyperlink>
        </w:p>
        <w:p>
          <w:pPr>
            <w:pStyle w:val="Contents4"/>
            <w:tabs>
              <w:tab w:val="clear" w:pos="8176"/>
              <w:tab w:val="right" w:pos="9026" w:leader="dot"/>
            </w:tabs>
            <w:rPr/>
          </w:pPr>
          <w:hyperlink w:anchor="__RefHeading___Toc2571152_3650668749">
            <w:r>
              <w:rPr>
                <w:webHidden/>
                <w:rStyle w:val="IndexLink"/>
                <w:rtl w:val="true"/>
              </w:rPr>
              <w:t>[ (</w:t>
            </w:r>
            <w:r>
              <w:rPr>
                <w:rStyle w:val="IndexLink"/>
                <w:rtl w:val="true"/>
              </w:rPr>
              <w:t xml:space="preserve">مسألة </w:t>
            </w:r>
            <w:r>
              <w:rPr>
                <w:rStyle w:val="IndexLink"/>
              </w:rPr>
              <w:t>29</w:t>
            </w:r>
            <w:r>
              <w:rPr>
                <w:rStyle w:val="IndexLink"/>
                <w:rtl w:val="true"/>
              </w:rPr>
              <w:t xml:space="preserve">): </w:t>
            </w:r>
            <w:r>
              <w:rPr>
                <w:rStyle w:val="IndexLink"/>
                <w:rtl w:val="true"/>
              </w:rPr>
              <w:t>إذا اجتمعت أملاک علیٰ ماء مباح</w:t>
            </w:r>
            <w:r>
              <w:rPr>
                <w:rStyle w:val="IndexLink"/>
                <w:rtl w:val="true"/>
              </w:rPr>
              <w:t>]</w:t>
              <w:tab/>
            </w:r>
            <w:r>
              <w:rPr>
                <w:rStyle w:val="IndexLink"/>
              </w:rPr>
              <w:t>760</w:t>
            </w:r>
          </w:hyperlink>
        </w:p>
        <w:p>
          <w:pPr>
            <w:pStyle w:val="Contents4"/>
            <w:tabs>
              <w:tab w:val="clear" w:pos="8176"/>
              <w:tab w:val="right" w:pos="9026" w:leader="dot"/>
            </w:tabs>
            <w:rPr/>
          </w:pPr>
          <w:hyperlink w:anchor="__RefHeading___Toc2571154_3650668749">
            <w:r>
              <w:rPr>
                <w:webHidden/>
                <w:rStyle w:val="IndexLink"/>
                <w:rtl w:val="true"/>
              </w:rPr>
              <w:t>[ (</w:t>
            </w:r>
            <w:r>
              <w:rPr>
                <w:rStyle w:val="IndexLink"/>
                <w:rtl w:val="true"/>
              </w:rPr>
              <w:t xml:space="preserve">مسألة </w:t>
            </w:r>
            <w:r>
              <w:rPr>
                <w:rStyle w:val="IndexLink"/>
              </w:rPr>
              <w:t>30</w:t>
            </w:r>
            <w:r>
              <w:rPr>
                <w:rStyle w:val="IndexLink"/>
                <w:rtl w:val="true"/>
              </w:rPr>
              <w:t xml:space="preserve">): </w:t>
            </w:r>
            <w:r>
              <w:rPr>
                <w:rStyle w:val="IndexLink"/>
                <w:rtl w:val="true"/>
              </w:rPr>
              <w:t>الأنهار المملوکة المنشقّة من الشطوط و نحوها؛ إذا وقع التعاسر بین أربابها</w:t>
            </w:r>
            <w:r>
              <w:rPr>
                <w:rStyle w:val="IndexLink"/>
                <w:rtl w:val="true"/>
              </w:rPr>
              <w:t>]</w:t>
              <w:tab/>
            </w:r>
            <w:r>
              <w:rPr>
                <w:rStyle w:val="IndexLink"/>
              </w:rPr>
              <w:t>761</w:t>
            </w:r>
          </w:hyperlink>
        </w:p>
        <w:p>
          <w:pPr>
            <w:pStyle w:val="Contents4"/>
            <w:tabs>
              <w:tab w:val="clear" w:pos="8176"/>
              <w:tab w:val="right" w:pos="9026" w:leader="dot"/>
            </w:tabs>
            <w:rPr/>
          </w:pPr>
          <w:hyperlink w:anchor="__RefHeading___Toc2571156_3650668749">
            <w:r>
              <w:rPr>
                <w:webHidden/>
                <w:rStyle w:val="IndexLink"/>
                <w:rtl w:val="true"/>
              </w:rPr>
              <w:t>[ (</w:t>
            </w:r>
            <w:r>
              <w:rPr>
                <w:rStyle w:val="IndexLink"/>
                <w:rtl w:val="true"/>
              </w:rPr>
              <w:t xml:space="preserve">مسألة </w:t>
            </w:r>
            <w:r>
              <w:rPr>
                <w:rStyle w:val="IndexLink"/>
              </w:rPr>
              <w:t>31</w:t>
            </w:r>
            <w:r>
              <w:rPr>
                <w:rStyle w:val="IndexLink"/>
                <w:rtl w:val="true"/>
              </w:rPr>
              <w:t xml:space="preserve">): </w:t>
            </w:r>
            <w:r>
              <w:rPr>
                <w:rStyle w:val="IndexLink"/>
                <w:rtl w:val="true"/>
              </w:rPr>
              <w:t>لو احتاج النهر المملوک المشترک بین جماعة إلیٰ تنقیه أو حفر</w:t>
            </w:r>
            <w:r>
              <w:rPr>
                <w:rStyle w:val="IndexLink"/>
                <w:rtl w:val="true"/>
              </w:rPr>
              <w:t>]</w:t>
              <w:tab/>
            </w:r>
            <w:r>
              <w:rPr>
                <w:rStyle w:val="IndexLink"/>
              </w:rPr>
              <w:t>761</w:t>
            </w:r>
          </w:hyperlink>
        </w:p>
        <w:p>
          <w:pPr>
            <w:pStyle w:val="Contents4"/>
            <w:tabs>
              <w:tab w:val="clear" w:pos="8176"/>
              <w:tab w:val="right" w:pos="9026" w:leader="dot"/>
            </w:tabs>
            <w:rPr/>
          </w:pPr>
          <w:hyperlink w:anchor="__RefHeading___Toc2571158_3650668749">
            <w:r>
              <w:rPr>
                <w:webHidden/>
                <w:rStyle w:val="IndexLink"/>
                <w:rtl w:val="true"/>
              </w:rPr>
              <w:t>[ (</w:t>
            </w:r>
            <w:r>
              <w:rPr>
                <w:rStyle w:val="IndexLink"/>
                <w:rtl w:val="true"/>
              </w:rPr>
              <w:t xml:space="preserve">مسألة </w:t>
            </w:r>
            <w:r>
              <w:rPr>
                <w:rStyle w:val="IndexLink"/>
              </w:rPr>
              <w:t>32</w:t>
            </w:r>
            <w:r>
              <w:rPr>
                <w:rStyle w:val="IndexLink"/>
                <w:rtl w:val="true"/>
              </w:rPr>
              <w:t xml:space="preserve">): </w:t>
            </w:r>
            <w:r>
              <w:rPr>
                <w:rStyle w:val="IndexLink"/>
                <w:rtl w:val="true"/>
              </w:rPr>
              <w:t>و من المشترکات</w:t>
            </w:r>
            <w:r>
              <w:rPr>
                <w:rStyle w:val="IndexLink"/>
                <w:rtl w:val="true"/>
              </w:rPr>
              <w:t xml:space="preserve">: </w:t>
            </w:r>
            <w:r>
              <w:rPr>
                <w:rStyle w:val="IndexLink"/>
                <w:rtl w:val="true"/>
              </w:rPr>
              <w:t>المعادن</w:t>
            </w:r>
            <w:r>
              <w:rPr>
                <w:rStyle w:val="IndexLink"/>
                <w:rtl w:val="true"/>
              </w:rPr>
              <w:t>]</w:t>
              <w:tab/>
            </w:r>
            <w:r>
              <w:rPr>
                <w:rStyle w:val="IndexLink"/>
              </w:rPr>
              <w:t>761</w:t>
            </w:r>
          </w:hyperlink>
        </w:p>
        <w:p>
          <w:pPr>
            <w:pStyle w:val="Contents4"/>
            <w:tabs>
              <w:tab w:val="clear" w:pos="8176"/>
              <w:tab w:val="right" w:pos="9026" w:leader="dot"/>
            </w:tabs>
            <w:rPr/>
          </w:pPr>
          <w:hyperlink w:anchor="__RefHeading___Toc2571160_3650668749">
            <w:r>
              <w:rPr>
                <w:webHidden/>
                <w:rStyle w:val="IndexLink"/>
                <w:rtl w:val="true"/>
              </w:rPr>
              <w:t>[ (</w:t>
            </w:r>
            <w:r>
              <w:rPr>
                <w:rStyle w:val="IndexLink"/>
                <w:rtl w:val="true"/>
              </w:rPr>
              <w:t xml:space="preserve">مسألة </w:t>
            </w:r>
            <w:r>
              <w:rPr>
                <w:rStyle w:val="IndexLink"/>
              </w:rPr>
              <w:t>33</w:t>
            </w:r>
            <w:r>
              <w:rPr>
                <w:rStyle w:val="IndexLink"/>
                <w:rtl w:val="true"/>
              </w:rPr>
              <w:t xml:space="preserve">): </w:t>
            </w:r>
            <w:r>
              <w:rPr>
                <w:rStyle w:val="IndexLink"/>
                <w:rtl w:val="true"/>
              </w:rPr>
              <w:t>إذا شرع فی إحیاء معدن ثمّ أهمله و عطّله اجبر علیٰ إتمام العمل أو رفع یده عنه</w:t>
            </w:r>
            <w:r>
              <w:rPr>
                <w:rStyle w:val="IndexLink"/>
                <w:rtl w:val="true"/>
              </w:rPr>
              <w:t>]</w:t>
              <w:tab/>
            </w:r>
            <w:r>
              <w:rPr>
                <w:rStyle w:val="IndexLink"/>
              </w:rPr>
              <w:t>762</w:t>
            </w:r>
          </w:hyperlink>
        </w:p>
        <w:p>
          <w:pPr>
            <w:pStyle w:val="Contents4"/>
            <w:tabs>
              <w:tab w:val="clear" w:pos="8176"/>
              <w:tab w:val="right" w:pos="9026" w:leader="dot"/>
            </w:tabs>
            <w:rPr/>
          </w:pPr>
          <w:hyperlink w:anchor="__RefHeading___Toc2571162_3650668749">
            <w:r>
              <w:rPr>
                <w:webHidden/>
                <w:rStyle w:val="IndexLink"/>
                <w:rtl w:val="true"/>
              </w:rPr>
              <w:t>[ (</w:t>
            </w:r>
            <w:r>
              <w:rPr>
                <w:rStyle w:val="IndexLink"/>
                <w:rtl w:val="true"/>
              </w:rPr>
              <w:t xml:space="preserve">مسألة </w:t>
            </w:r>
            <w:r>
              <w:rPr>
                <w:rStyle w:val="IndexLink"/>
              </w:rPr>
              <w:t>34</w:t>
            </w:r>
            <w:r>
              <w:rPr>
                <w:rStyle w:val="IndexLink"/>
                <w:rtl w:val="true"/>
              </w:rPr>
              <w:t xml:space="preserve">): </w:t>
            </w:r>
            <w:r>
              <w:rPr>
                <w:rStyle w:val="IndexLink"/>
                <w:rtl w:val="true"/>
              </w:rPr>
              <w:t>لو أحیا أرضاً مزرعاً أو مسکناً مثلًا فظهر فیها معدن ملکه تبعاً لها</w:t>
            </w:r>
            <w:r>
              <w:rPr>
                <w:rStyle w:val="IndexLink"/>
                <w:rtl w:val="true"/>
              </w:rPr>
              <w:t>]</w:t>
              <w:tab/>
            </w:r>
            <w:r>
              <w:rPr>
                <w:rStyle w:val="IndexLink"/>
              </w:rPr>
              <w:t>762</w:t>
            </w:r>
          </w:hyperlink>
        </w:p>
        <w:p>
          <w:pPr>
            <w:pStyle w:val="Contents4"/>
            <w:tabs>
              <w:tab w:val="clear" w:pos="8176"/>
              <w:tab w:val="right" w:pos="9026" w:leader="dot"/>
            </w:tabs>
            <w:rPr/>
          </w:pPr>
          <w:hyperlink w:anchor="__RefHeading___Toc2571164_3650668749">
            <w:r>
              <w:rPr>
                <w:webHidden/>
                <w:rStyle w:val="IndexLink"/>
                <w:rtl w:val="true"/>
              </w:rPr>
              <w:t>[ (</w:t>
            </w:r>
            <w:r>
              <w:rPr>
                <w:rStyle w:val="IndexLink"/>
                <w:rtl w:val="true"/>
              </w:rPr>
              <w:t xml:space="preserve">مسألة </w:t>
            </w:r>
            <w:r>
              <w:rPr>
                <w:rStyle w:val="IndexLink"/>
              </w:rPr>
              <w:t>35</w:t>
            </w:r>
            <w:r>
              <w:rPr>
                <w:rStyle w:val="IndexLink"/>
                <w:rtl w:val="true"/>
              </w:rPr>
              <w:t xml:space="preserve">): </w:t>
            </w:r>
            <w:r>
              <w:rPr>
                <w:rStyle w:val="IndexLink"/>
                <w:rtl w:val="true"/>
              </w:rPr>
              <w:t>لو قال ربّ المعدن لآخر</w:t>
            </w:r>
            <w:r>
              <w:rPr>
                <w:rStyle w:val="IndexLink"/>
                <w:rtl w:val="true"/>
              </w:rPr>
              <w:t xml:space="preserve">: </w:t>
            </w:r>
            <w:r>
              <w:rPr>
                <w:rStyle w:val="IndexLink"/>
                <w:rtl w:val="true"/>
              </w:rPr>
              <w:t>اعمل فیه و لک نصف الخارج مثلًا، بطل</w:t>
            </w:r>
            <w:r>
              <w:rPr>
                <w:rStyle w:val="IndexLink"/>
                <w:rtl w:val="true"/>
              </w:rPr>
              <w:t>]</w:t>
              <w:tab/>
            </w:r>
            <w:r>
              <w:rPr>
                <w:rStyle w:val="IndexLink"/>
              </w:rPr>
              <w:t>762</w:t>
            </w:r>
          </w:hyperlink>
        </w:p>
        <w:p>
          <w:pPr>
            <w:pStyle w:val="Contents2"/>
            <w:tabs>
              <w:tab w:val="clear" w:pos="8743"/>
              <w:tab w:val="right" w:pos="9026" w:leader="dot"/>
            </w:tabs>
            <w:rPr/>
          </w:pPr>
          <w:hyperlink w:anchor="__RefHeading___Toc2571166_3650668749">
            <w:r>
              <w:rPr>
                <w:webHidden/>
                <w:rStyle w:val="IndexLink"/>
                <w:rtl w:val="true"/>
              </w:rPr>
              <w:t>[</w:t>
            </w:r>
            <w:r>
              <w:rPr>
                <w:rStyle w:val="IndexLink"/>
                <w:rtl w:val="true"/>
              </w:rPr>
              <w:t>کتاب اللقطة</w:t>
            </w:r>
            <w:r>
              <w:rPr>
                <w:rStyle w:val="IndexLink"/>
                <w:rtl w:val="true"/>
              </w:rPr>
              <w:t>]</w:t>
              <w:tab/>
            </w:r>
            <w:r>
              <w:rPr>
                <w:rStyle w:val="IndexLink"/>
              </w:rPr>
              <w:t>763</w:t>
            </w:r>
          </w:hyperlink>
        </w:p>
        <w:p>
          <w:pPr>
            <w:pStyle w:val="Contents3"/>
            <w:tabs>
              <w:tab w:val="clear" w:pos="8459"/>
              <w:tab w:val="right" w:pos="9026" w:leader="dot"/>
            </w:tabs>
            <w:rPr/>
          </w:pPr>
          <w:hyperlink w:anchor="__RefHeading___Toc2571168_3650668749">
            <w:r>
              <w:rPr>
                <w:webHidden/>
                <w:rStyle w:val="IndexLink"/>
                <w:rtl w:val="true"/>
              </w:rPr>
              <w:t>اشارة</w:t>
            </w:r>
            <w:r>
              <w:rPr>
                <w:rStyle w:val="IndexLink"/>
                <w:rtl w:val="true"/>
              </w:rPr>
              <w:tab/>
            </w:r>
            <w:r>
              <w:rPr>
                <w:rStyle w:val="IndexLink"/>
              </w:rPr>
              <w:t>763</w:t>
            </w:r>
          </w:hyperlink>
        </w:p>
        <w:p>
          <w:pPr>
            <w:pStyle w:val="Contents3"/>
            <w:tabs>
              <w:tab w:val="clear" w:pos="8459"/>
              <w:tab w:val="right" w:pos="9026" w:leader="dot"/>
            </w:tabs>
            <w:rPr/>
          </w:pPr>
          <w:hyperlink w:anchor="__RefHeading___Toc2571170_3650668749">
            <w:r>
              <w:rPr>
                <w:webHidden/>
                <w:rStyle w:val="IndexLink"/>
                <w:rtl w:val="true"/>
              </w:rPr>
              <w:t>[</w:t>
            </w:r>
            <w:r>
              <w:rPr>
                <w:rStyle w:val="IndexLink"/>
                <w:rtl w:val="true"/>
              </w:rPr>
              <w:t>القول فی لقطة الحیوان</w:t>
            </w:r>
            <w:r>
              <w:rPr>
                <w:rStyle w:val="IndexLink"/>
                <w:rtl w:val="true"/>
              </w:rPr>
              <w:t>]</w:t>
              <w:tab/>
            </w:r>
            <w:r>
              <w:rPr>
                <w:rStyle w:val="IndexLink"/>
              </w:rPr>
              <w:t>763</w:t>
            </w:r>
          </w:hyperlink>
        </w:p>
        <w:p>
          <w:pPr>
            <w:pStyle w:val="Contents4"/>
            <w:tabs>
              <w:tab w:val="clear" w:pos="8176"/>
              <w:tab w:val="right" w:pos="9026" w:leader="dot"/>
            </w:tabs>
            <w:rPr/>
          </w:pPr>
          <w:hyperlink w:anchor="__RefHeading___Toc2571172_3650668749">
            <w:r>
              <w:rPr>
                <w:webHidden/>
                <w:rStyle w:val="IndexLink"/>
                <w:rtl w:val="true"/>
              </w:rPr>
              <w:t>اشارة</w:t>
            </w:r>
            <w:r>
              <w:rPr>
                <w:rStyle w:val="IndexLink"/>
                <w:rtl w:val="true"/>
              </w:rPr>
              <w:tab/>
            </w:r>
            <w:r>
              <w:rPr>
                <w:rStyle w:val="IndexLink"/>
              </w:rPr>
              <w:t>763</w:t>
            </w:r>
          </w:hyperlink>
        </w:p>
        <w:p>
          <w:pPr>
            <w:pStyle w:val="Contents4"/>
            <w:tabs>
              <w:tab w:val="clear" w:pos="8176"/>
              <w:tab w:val="right" w:pos="9026" w:leader="dot"/>
            </w:tabs>
            <w:rPr/>
          </w:pPr>
          <w:hyperlink w:anchor="__RefHeading___Toc257117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إذا وجد الحیوان فی العمران لا یجوز أخذه و وضع الید علیه</w:t>
            </w:r>
            <w:r>
              <w:rPr>
                <w:rStyle w:val="IndexLink"/>
                <w:rtl w:val="true"/>
              </w:rPr>
              <w:t>]</w:t>
              <w:tab/>
            </w:r>
            <w:r>
              <w:rPr>
                <w:rStyle w:val="IndexLink"/>
              </w:rPr>
              <w:t>763</w:t>
            </w:r>
          </w:hyperlink>
        </w:p>
        <w:p>
          <w:pPr>
            <w:pStyle w:val="Contents4"/>
            <w:tabs>
              <w:tab w:val="clear" w:pos="8176"/>
              <w:tab w:val="right" w:pos="9026" w:leader="dot"/>
            </w:tabs>
            <w:rPr/>
          </w:pPr>
          <w:hyperlink w:anchor="__RefHeading___Toc257117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بعد ما أخذ الحیوان فی العمران و صار تحت یده، یجب علیه الفحص عن صاحبه</w:t>
            </w:r>
            <w:r>
              <w:rPr>
                <w:rStyle w:val="IndexLink"/>
                <w:rtl w:val="true"/>
              </w:rPr>
              <w:t>]</w:t>
              <w:tab/>
            </w:r>
            <w:r>
              <w:rPr>
                <w:rStyle w:val="IndexLink"/>
              </w:rPr>
              <w:t>763</w:t>
            </w:r>
          </w:hyperlink>
        </w:p>
        <w:p>
          <w:pPr>
            <w:pStyle w:val="Contents4"/>
            <w:tabs>
              <w:tab w:val="clear" w:pos="8176"/>
              <w:tab w:val="right" w:pos="9026" w:leader="dot"/>
            </w:tabs>
            <w:rPr/>
          </w:pPr>
          <w:hyperlink w:anchor="__RefHeading___Toc257117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ما یدخل فی دار الإنسان من الحیوان کالدجاج و الحمام ممّا لم یعرف صاحبه</w:t>
            </w:r>
            <w:r>
              <w:rPr>
                <w:rStyle w:val="IndexLink"/>
                <w:rtl w:val="true"/>
              </w:rPr>
              <w:t>]</w:t>
              <w:tab/>
            </w:r>
            <w:r>
              <w:rPr>
                <w:rStyle w:val="IndexLink"/>
              </w:rPr>
              <w:t>763</w:t>
            </w:r>
          </w:hyperlink>
        </w:p>
        <w:p>
          <w:pPr>
            <w:pStyle w:val="Contents4"/>
            <w:tabs>
              <w:tab w:val="clear" w:pos="8176"/>
              <w:tab w:val="right" w:pos="9026" w:leader="dot"/>
            </w:tabs>
            <w:rPr/>
          </w:pPr>
          <w:hyperlink w:anchor="__RefHeading___Toc257118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ما یوجد من الحیوان فی غیر العمران من الطرق و الشوارع</w:t>
            </w:r>
            <w:r>
              <w:rPr>
                <w:rStyle w:val="IndexLink"/>
                <w:rtl w:val="true"/>
              </w:rPr>
              <w:t>]</w:t>
              <w:tab/>
            </w:r>
            <w:r>
              <w:rPr>
                <w:rStyle w:val="IndexLink"/>
              </w:rPr>
              <w:t>764</w:t>
            </w:r>
          </w:hyperlink>
        </w:p>
        <w:p>
          <w:pPr>
            <w:pStyle w:val="Contents4"/>
            <w:tabs>
              <w:tab w:val="clear" w:pos="8176"/>
              <w:tab w:val="right" w:pos="9026" w:leader="dot"/>
            </w:tabs>
            <w:rPr/>
          </w:pPr>
          <w:hyperlink w:anchor="__RefHeading___Toc257118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أخذ البعیر و نحوه فی صورة لا یجوز له أخذه ضمنه</w:t>
            </w:r>
            <w:r>
              <w:rPr>
                <w:rStyle w:val="IndexLink"/>
                <w:rtl w:val="true"/>
              </w:rPr>
              <w:t>]</w:t>
              <w:tab/>
            </w:r>
            <w:r>
              <w:rPr>
                <w:rStyle w:val="IndexLink"/>
              </w:rPr>
              <w:t>764</w:t>
            </w:r>
          </w:hyperlink>
        </w:p>
        <w:p>
          <w:pPr>
            <w:pStyle w:val="Contents4"/>
            <w:tabs>
              <w:tab w:val="clear" w:pos="8176"/>
              <w:tab w:val="right" w:pos="9026" w:leader="dot"/>
            </w:tabs>
            <w:rPr/>
          </w:pPr>
          <w:hyperlink w:anchor="__RefHeading___Toc2571184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ترک الحیوان صاحبه، و سرّحه فی الطرق أو الصحاری و البراری</w:t>
            </w:r>
            <w:r>
              <w:rPr>
                <w:rStyle w:val="IndexLink"/>
                <w:rtl w:val="true"/>
              </w:rPr>
              <w:t>]</w:t>
              <w:tab/>
            </w:r>
            <w:r>
              <w:rPr>
                <w:rStyle w:val="IndexLink"/>
              </w:rPr>
              <w:t>764</w:t>
            </w:r>
          </w:hyperlink>
        </w:p>
        <w:p>
          <w:pPr>
            <w:pStyle w:val="Contents4"/>
            <w:tabs>
              <w:tab w:val="clear" w:pos="8176"/>
              <w:tab w:val="right" w:pos="9026" w:leader="dot"/>
            </w:tabs>
            <w:rPr/>
          </w:pPr>
          <w:hyperlink w:anchor="__RefHeading___Toc2571186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أصاب دابّة و علم بالقرائن أنّ صاحبها قد ترکها و لم یدر أنّه قد ترکها بقصد الإعراض</w:t>
            </w:r>
            <w:r>
              <w:rPr>
                <w:rStyle w:val="IndexLink"/>
                <w:rtl w:val="true"/>
              </w:rPr>
              <w:t>]</w:t>
              <w:tab/>
            </w:r>
            <w:r>
              <w:rPr>
                <w:rStyle w:val="IndexLink"/>
              </w:rPr>
              <w:t>765</w:t>
            </w:r>
          </w:hyperlink>
        </w:p>
        <w:p>
          <w:pPr>
            <w:pStyle w:val="Contents4"/>
            <w:tabs>
              <w:tab w:val="clear" w:pos="8176"/>
              <w:tab w:val="right" w:pos="9026" w:leader="dot"/>
            </w:tabs>
            <w:rPr/>
          </w:pPr>
          <w:hyperlink w:anchor="__RefHeading___Toc2571188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أصاب حیواناً فی غیر العمران، و لم یدر أنّ صاحبه قد ترکه بأحد النحوین</w:t>
            </w:r>
            <w:r>
              <w:rPr>
                <w:rStyle w:val="IndexLink"/>
                <w:rtl w:val="true"/>
              </w:rPr>
              <w:t>]</w:t>
              <w:tab/>
            </w:r>
            <w:r>
              <w:rPr>
                <w:rStyle w:val="IndexLink"/>
              </w:rPr>
              <w:t>765</w:t>
            </w:r>
          </w:hyperlink>
        </w:p>
        <w:p>
          <w:pPr>
            <w:pStyle w:val="Contents3"/>
            <w:tabs>
              <w:tab w:val="clear" w:pos="8459"/>
              <w:tab w:val="right" w:pos="9026" w:leader="dot"/>
            </w:tabs>
            <w:rPr/>
          </w:pPr>
          <w:hyperlink w:anchor="__RefHeading___Toc2571190_3650668749">
            <w:r>
              <w:rPr>
                <w:webHidden/>
                <w:rStyle w:val="IndexLink"/>
                <w:rtl w:val="true"/>
              </w:rPr>
              <w:t>[</w:t>
            </w:r>
            <w:r>
              <w:rPr>
                <w:rStyle w:val="IndexLink"/>
                <w:rtl w:val="true"/>
              </w:rPr>
              <w:t>القول فی لقطة غیر الحیوان</w:t>
            </w:r>
            <w:r>
              <w:rPr>
                <w:rStyle w:val="IndexLink"/>
                <w:rtl w:val="true"/>
              </w:rPr>
              <w:t>]</w:t>
              <w:tab/>
            </w:r>
            <w:r>
              <w:rPr>
                <w:rStyle w:val="IndexLink"/>
              </w:rPr>
              <w:t>765</w:t>
            </w:r>
          </w:hyperlink>
        </w:p>
        <w:p>
          <w:pPr>
            <w:pStyle w:val="Contents4"/>
            <w:tabs>
              <w:tab w:val="clear" w:pos="8176"/>
              <w:tab w:val="right" w:pos="9026" w:leader="dot"/>
            </w:tabs>
            <w:rPr/>
          </w:pPr>
          <w:hyperlink w:anchor="__RefHeading___Toc2571192_3650668749">
            <w:r>
              <w:rPr>
                <w:webHidden/>
                <w:rStyle w:val="IndexLink"/>
                <w:rtl w:val="true"/>
              </w:rPr>
              <w:t>اشارة</w:t>
            </w:r>
            <w:r>
              <w:rPr>
                <w:rStyle w:val="IndexLink"/>
                <w:rtl w:val="true"/>
              </w:rPr>
              <w:tab/>
            </w:r>
            <w:r>
              <w:rPr>
                <w:rStyle w:val="IndexLink"/>
              </w:rPr>
              <w:t>765</w:t>
            </w:r>
          </w:hyperlink>
        </w:p>
        <w:p>
          <w:pPr>
            <w:pStyle w:val="Contents4"/>
            <w:tabs>
              <w:tab w:val="clear" w:pos="8176"/>
              <w:tab w:val="right" w:pos="9026" w:leader="dot"/>
            </w:tabs>
            <w:rPr/>
          </w:pPr>
          <w:hyperlink w:anchor="__RefHeading___Toc257119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یعتبر فیه الضیاع عن المالک</w:t>
            </w:r>
            <w:r>
              <w:rPr>
                <w:rStyle w:val="IndexLink"/>
                <w:rtl w:val="true"/>
              </w:rPr>
              <w:t>]</w:t>
              <w:tab/>
            </w:r>
            <w:r>
              <w:rPr>
                <w:rStyle w:val="IndexLink"/>
              </w:rPr>
              <w:t>765</w:t>
            </w:r>
          </w:hyperlink>
        </w:p>
        <w:p>
          <w:pPr>
            <w:pStyle w:val="Contents4"/>
            <w:tabs>
              <w:tab w:val="clear" w:pos="8176"/>
              <w:tab w:val="right" w:pos="9026" w:leader="dot"/>
            </w:tabs>
            <w:rPr/>
          </w:pPr>
          <w:hyperlink w:anchor="__RefHeading___Toc257119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یعتبر فی صدق اللقطة و ثبوت أحکامها الأخذ و الالتقاط</w:t>
            </w:r>
            <w:r>
              <w:rPr>
                <w:rStyle w:val="IndexLink"/>
                <w:rtl w:val="true"/>
              </w:rPr>
              <w:t>]</w:t>
              <w:tab/>
            </w:r>
            <w:r>
              <w:rPr>
                <w:rStyle w:val="IndexLink"/>
              </w:rPr>
              <w:t>765</w:t>
            </w:r>
          </w:hyperlink>
        </w:p>
        <w:p>
          <w:pPr>
            <w:pStyle w:val="Contents4"/>
            <w:tabs>
              <w:tab w:val="clear" w:pos="8176"/>
              <w:tab w:val="right" w:pos="9026" w:leader="dot"/>
            </w:tabs>
            <w:rPr/>
          </w:pPr>
          <w:hyperlink w:anchor="__RefHeading___Toc257119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لو رأی شیئاً مطروحاً علی الأرض فأخذه بظنّ أنّه ماله فتبیّن أنّه ضائع عن غیره</w:t>
            </w:r>
            <w:r>
              <w:rPr>
                <w:rStyle w:val="IndexLink"/>
                <w:rtl w:val="true"/>
              </w:rPr>
              <w:t>]</w:t>
              <w:tab/>
            </w:r>
            <w:r>
              <w:rPr>
                <w:rStyle w:val="IndexLink"/>
              </w:rPr>
              <w:t>766</w:t>
            </w:r>
          </w:hyperlink>
        </w:p>
        <w:p>
          <w:pPr>
            <w:pStyle w:val="Contents4"/>
            <w:tabs>
              <w:tab w:val="clear" w:pos="8176"/>
              <w:tab w:val="right" w:pos="9026" w:leader="dot"/>
            </w:tabs>
            <w:rPr/>
          </w:pPr>
          <w:hyperlink w:anchor="__RefHeading___Toc257120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المال المجهول المالک الغیر الضائع لا یجوز أخذه و وضع الید علیه</w:t>
            </w:r>
            <w:r>
              <w:rPr>
                <w:rStyle w:val="IndexLink"/>
                <w:rtl w:val="true"/>
              </w:rPr>
              <w:t>]</w:t>
              <w:tab/>
            </w:r>
            <w:r>
              <w:rPr>
                <w:rStyle w:val="IndexLink"/>
              </w:rPr>
              <w:t>766</w:t>
            </w:r>
          </w:hyperlink>
        </w:p>
        <w:p>
          <w:pPr>
            <w:pStyle w:val="Contents4"/>
            <w:tabs>
              <w:tab w:val="clear" w:pos="8176"/>
              <w:tab w:val="right" w:pos="9026" w:leader="dot"/>
            </w:tabs>
            <w:rPr/>
          </w:pPr>
          <w:hyperlink w:anchor="__RefHeading___Toc257120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کلّ مال غیر الحیوان أُحرز ضیاعه عن مالکه المجهول</w:t>
            </w:r>
            <w:r>
              <w:rPr>
                <w:rStyle w:val="IndexLink"/>
                <w:rtl w:val="true"/>
              </w:rPr>
              <w:t>]</w:t>
              <w:tab/>
            </w:r>
            <w:r>
              <w:rPr>
                <w:rStyle w:val="IndexLink"/>
              </w:rPr>
              <w:t>766</w:t>
            </w:r>
          </w:hyperlink>
        </w:p>
        <w:p>
          <w:pPr>
            <w:pStyle w:val="Contents4"/>
            <w:tabs>
              <w:tab w:val="clear" w:pos="8176"/>
              <w:tab w:val="right" w:pos="9026" w:leader="dot"/>
            </w:tabs>
            <w:rPr/>
          </w:pPr>
          <w:hyperlink w:anchor="__RefHeading___Toc2571204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اللقطة إن کانت قیمتها دون الدرهم، جاز تملّکها فی الحال من دون تعریف</w:t>
            </w:r>
            <w:r>
              <w:rPr>
                <w:rStyle w:val="IndexLink"/>
                <w:rtl w:val="true"/>
              </w:rPr>
              <w:t>]</w:t>
              <w:tab/>
            </w:r>
            <w:r>
              <w:rPr>
                <w:rStyle w:val="IndexLink"/>
              </w:rPr>
              <w:t>766</w:t>
            </w:r>
          </w:hyperlink>
        </w:p>
        <w:p>
          <w:pPr>
            <w:pStyle w:val="Contents4"/>
            <w:tabs>
              <w:tab w:val="clear" w:pos="8176"/>
              <w:tab w:val="right" w:pos="9026" w:leader="dot"/>
            </w:tabs>
            <w:rPr/>
          </w:pPr>
          <w:hyperlink w:anchor="__RefHeading___Toc2571206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الدرهم</w:t>
            </w:r>
            <w:r>
              <w:rPr>
                <w:rStyle w:val="IndexLink"/>
                <w:rtl w:val="true"/>
              </w:rPr>
              <w:t xml:space="preserve">: </w:t>
            </w:r>
            <w:r>
              <w:rPr>
                <w:rStyle w:val="IndexLink"/>
                <w:rtl w:val="true"/>
              </w:rPr>
              <w:t>هو الفضّة المسکوکة الرائجة فی المعاملة</w:t>
            </w:r>
            <w:r>
              <w:rPr>
                <w:rStyle w:val="IndexLink"/>
                <w:rtl w:val="true"/>
              </w:rPr>
              <w:t>]</w:t>
              <w:tab/>
            </w:r>
            <w:r>
              <w:rPr>
                <w:rStyle w:val="IndexLink"/>
              </w:rPr>
              <w:t>767</w:t>
            </w:r>
          </w:hyperlink>
        </w:p>
        <w:p>
          <w:pPr>
            <w:pStyle w:val="Contents4"/>
            <w:tabs>
              <w:tab w:val="clear" w:pos="8176"/>
              <w:tab w:val="right" w:pos="9026" w:leader="dot"/>
            </w:tabs>
            <w:rPr/>
          </w:pPr>
          <w:hyperlink w:anchor="__RefHeading___Toc2571208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المدار فی القیمة علیٰ مکان الالتقاط و زمانه فی اللقطة و فی الدرهم</w:t>
            </w:r>
            <w:r>
              <w:rPr>
                <w:rStyle w:val="IndexLink"/>
                <w:rtl w:val="true"/>
              </w:rPr>
              <w:t>]</w:t>
              <w:tab/>
            </w:r>
            <w:r>
              <w:rPr>
                <w:rStyle w:val="IndexLink"/>
              </w:rPr>
              <w:t>767</w:t>
            </w:r>
          </w:hyperlink>
        </w:p>
        <w:p>
          <w:pPr>
            <w:pStyle w:val="Contents4"/>
            <w:tabs>
              <w:tab w:val="clear" w:pos="8176"/>
              <w:tab w:val="right" w:pos="9026" w:leader="dot"/>
            </w:tabs>
            <w:rPr/>
          </w:pPr>
          <w:hyperlink w:anchor="__RefHeading___Toc2571210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یجب التعریف فوراً فیما لم یکن أقلّ من درهم</w:t>
            </w:r>
            <w:r>
              <w:rPr>
                <w:rStyle w:val="IndexLink"/>
                <w:rtl w:val="true"/>
              </w:rPr>
              <w:t>]</w:t>
              <w:tab/>
            </w:r>
            <w:r>
              <w:rPr>
                <w:rStyle w:val="IndexLink"/>
              </w:rPr>
              <w:t>767</w:t>
            </w:r>
          </w:hyperlink>
        </w:p>
        <w:p>
          <w:pPr>
            <w:pStyle w:val="Contents4"/>
            <w:tabs>
              <w:tab w:val="clear" w:pos="8176"/>
              <w:tab w:val="right" w:pos="9026" w:leader="dot"/>
            </w:tabs>
            <w:rPr/>
          </w:pPr>
          <w:hyperlink w:anchor="__RefHeading___Toc2571212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قیل</w:t>
            </w:r>
            <w:r>
              <w:rPr>
                <w:rStyle w:val="IndexLink"/>
                <w:rtl w:val="true"/>
              </w:rPr>
              <w:t xml:space="preserve">: </w:t>
            </w:r>
            <w:r>
              <w:rPr>
                <w:rStyle w:val="IndexLink"/>
                <w:rtl w:val="true"/>
              </w:rPr>
              <w:t>لا یجب التعریف إلّا إذا کان ناویاً للتملّک بعده</w:t>
            </w:r>
            <w:r>
              <w:rPr>
                <w:rStyle w:val="IndexLink"/>
                <w:rtl w:val="true"/>
              </w:rPr>
              <w:t>]</w:t>
              <w:tab/>
            </w:r>
            <w:r>
              <w:rPr>
                <w:rStyle w:val="IndexLink"/>
              </w:rPr>
              <w:t>767</w:t>
            </w:r>
          </w:hyperlink>
        </w:p>
        <w:p>
          <w:pPr>
            <w:pStyle w:val="Contents4"/>
            <w:tabs>
              <w:tab w:val="clear" w:pos="8176"/>
              <w:tab w:val="right" w:pos="9026" w:leader="dot"/>
            </w:tabs>
            <w:rPr/>
          </w:pPr>
          <w:hyperlink w:anchor="__RefHeading___Toc2571214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مدّة التعریف الواجب سنة کاملة</w:t>
            </w:r>
            <w:r>
              <w:rPr>
                <w:rStyle w:val="IndexLink"/>
                <w:rtl w:val="true"/>
              </w:rPr>
              <w:t>]</w:t>
              <w:tab/>
            </w:r>
            <w:r>
              <w:rPr>
                <w:rStyle w:val="IndexLink"/>
              </w:rPr>
              <w:t>767</w:t>
            </w:r>
          </w:hyperlink>
        </w:p>
        <w:p>
          <w:pPr>
            <w:pStyle w:val="Contents4"/>
            <w:tabs>
              <w:tab w:val="clear" w:pos="8176"/>
              <w:tab w:val="right" w:pos="9026" w:leader="dot"/>
            </w:tabs>
            <w:rPr/>
          </w:pPr>
          <w:hyperlink w:anchor="__RefHeading___Toc2571216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لا یعتبر فی التعریف مباشرة الملتقط</w:t>
            </w:r>
            <w:r>
              <w:rPr>
                <w:rStyle w:val="IndexLink"/>
                <w:rtl w:val="true"/>
              </w:rPr>
              <w:t>]</w:t>
              <w:tab/>
            </w:r>
            <w:r>
              <w:rPr>
                <w:rStyle w:val="IndexLink"/>
              </w:rPr>
              <w:t>768</w:t>
            </w:r>
          </w:hyperlink>
        </w:p>
        <w:p>
          <w:pPr>
            <w:pStyle w:val="Contents4"/>
            <w:tabs>
              <w:tab w:val="clear" w:pos="8176"/>
              <w:tab w:val="right" w:pos="9026" w:leader="dot"/>
            </w:tabs>
            <w:rPr/>
          </w:pPr>
          <w:hyperlink w:anchor="__RefHeading___Toc2571218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لو علم بأنّ التعریف لا فائدة فیه أو حصل له الیأس من وجدان مالکها قبل تمام السنة سقط</w:t>
            </w:r>
            <w:r>
              <w:rPr>
                <w:rStyle w:val="IndexLink"/>
                <w:rtl w:val="true"/>
              </w:rPr>
              <w:t>]</w:t>
              <w:tab/>
            </w:r>
            <w:r>
              <w:rPr>
                <w:rStyle w:val="IndexLink"/>
              </w:rPr>
              <w:t>768</w:t>
            </w:r>
          </w:hyperlink>
        </w:p>
        <w:p>
          <w:pPr>
            <w:pStyle w:val="Contents4"/>
            <w:tabs>
              <w:tab w:val="clear" w:pos="8176"/>
              <w:tab w:val="right" w:pos="9026" w:leader="dot"/>
            </w:tabs>
            <w:rPr/>
          </w:pPr>
          <w:hyperlink w:anchor="__RefHeading___Toc2571220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لو تعذّر التعریف فی أثناء السنة انتظر رفع العذر</w:t>
            </w:r>
            <w:r>
              <w:rPr>
                <w:rStyle w:val="IndexLink"/>
                <w:rtl w:val="true"/>
              </w:rPr>
              <w:t>]</w:t>
              <w:tab/>
            </w:r>
            <w:r>
              <w:rPr>
                <w:rStyle w:val="IndexLink"/>
              </w:rPr>
              <w:t>768</w:t>
            </w:r>
          </w:hyperlink>
        </w:p>
        <w:p>
          <w:pPr>
            <w:pStyle w:val="Contents4"/>
            <w:tabs>
              <w:tab w:val="clear" w:pos="8176"/>
              <w:tab w:val="right" w:pos="9026" w:leader="dot"/>
            </w:tabs>
            <w:rPr/>
          </w:pPr>
          <w:hyperlink w:anchor="__RefHeading___Toc2571222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لو علم بعد تعریف سنة أنّه لو زاد علیها عثر علیٰ صاحبه، فهل یجب الزیادة</w:t>
            </w:r>
            <w:r>
              <w:rPr>
                <w:rStyle w:val="IndexLink"/>
                <w:rtl w:val="true"/>
              </w:rPr>
              <w:t>]</w:t>
              <w:tab/>
            </w:r>
            <w:r>
              <w:rPr>
                <w:rStyle w:val="IndexLink"/>
              </w:rPr>
              <w:t>768</w:t>
            </w:r>
          </w:hyperlink>
        </w:p>
        <w:p>
          <w:pPr>
            <w:pStyle w:val="Contents4"/>
            <w:tabs>
              <w:tab w:val="clear" w:pos="8176"/>
              <w:tab w:val="right" w:pos="9026" w:leader="dot"/>
            </w:tabs>
            <w:rPr/>
          </w:pPr>
          <w:hyperlink w:anchor="__RefHeading___Toc2571224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لو ضاعت اللقطة من الملتقط و وجدها شخص آخر، لم یجب علیه التعریف</w:t>
            </w:r>
            <w:r>
              <w:rPr>
                <w:rStyle w:val="IndexLink"/>
                <w:rtl w:val="true"/>
              </w:rPr>
              <w:t>]</w:t>
              <w:tab/>
            </w:r>
            <w:r>
              <w:rPr>
                <w:rStyle w:val="IndexLink"/>
              </w:rPr>
              <w:t>768</w:t>
            </w:r>
          </w:hyperlink>
        </w:p>
        <w:p>
          <w:pPr>
            <w:pStyle w:val="Contents4"/>
            <w:tabs>
              <w:tab w:val="clear" w:pos="8176"/>
              <w:tab w:val="right" w:pos="9026" w:leader="dot"/>
            </w:tabs>
            <w:rPr/>
          </w:pPr>
          <w:hyperlink w:anchor="__RefHeading___Toc2571226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إذا کانت اللقطة ممّا لا تبقیٰ سنة</w:t>
            </w:r>
            <w:r>
              <w:rPr>
                <w:rStyle w:val="IndexLink"/>
                <w:rtl w:val="true"/>
              </w:rPr>
              <w:t>]</w:t>
              <w:tab/>
            </w:r>
            <w:r>
              <w:rPr>
                <w:rStyle w:val="IndexLink"/>
              </w:rPr>
              <w:t>768</w:t>
            </w:r>
          </w:hyperlink>
        </w:p>
        <w:p>
          <w:pPr>
            <w:pStyle w:val="Contents4"/>
            <w:tabs>
              <w:tab w:val="clear" w:pos="8176"/>
              <w:tab w:val="right" w:pos="9026" w:leader="dot"/>
            </w:tabs>
            <w:rPr/>
          </w:pPr>
          <w:hyperlink w:anchor="__RefHeading___Toc2571228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یتحقّق تعریف سنة</w:t>
            </w:r>
            <w:r>
              <w:rPr>
                <w:rStyle w:val="IndexLink"/>
                <w:rtl w:val="true"/>
              </w:rPr>
              <w:t xml:space="preserve">: </w:t>
            </w:r>
            <w:r>
              <w:rPr>
                <w:rStyle w:val="IndexLink"/>
                <w:rtl w:val="true"/>
              </w:rPr>
              <w:t>بأن یکون فی مدّة سنة متوالیة أو غیر متوالیة</w:t>
            </w:r>
            <w:r>
              <w:rPr>
                <w:rStyle w:val="IndexLink"/>
                <w:rtl w:val="true"/>
              </w:rPr>
              <w:t>]</w:t>
              <w:tab/>
            </w:r>
            <w:r>
              <w:rPr>
                <w:rStyle w:val="IndexLink"/>
              </w:rPr>
              <w:t>769</w:t>
            </w:r>
          </w:hyperlink>
        </w:p>
        <w:p>
          <w:pPr>
            <w:pStyle w:val="Contents4"/>
            <w:tabs>
              <w:tab w:val="clear" w:pos="8176"/>
              <w:tab w:val="right" w:pos="9026" w:leader="dot"/>
            </w:tabs>
            <w:rPr/>
          </w:pPr>
          <w:hyperlink w:anchor="__RefHeading___Toc2571230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محلّ التعریف مجامع الناس</w:t>
            </w:r>
            <w:r>
              <w:rPr>
                <w:rStyle w:val="IndexLink"/>
                <w:rtl w:val="true"/>
              </w:rPr>
              <w:t>]</w:t>
              <w:tab/>
            </w:r>
            <w:r>
              <w:rPr>
                <w:rStyle w:val="IndexLink"/>
              </w:rPr>
              <w:t>769</w:t>
            </w:r>
          </w:hyperlink>
        </w:p>
        <w:p>
          <w:pPr>
            <w:pStyle w:val="Contents4"/>
            <w:tabs>
              <w:tab w:val="clear" w:pos="8176"/>
              <w:tab w:val="right" w:pos="9026" w:leader="dot"/>
            </w:tabs>
            <w:rPr/>
          </w:pPr>
          <w:hyperlink w:anchor="__RefHeading___Toc2571232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یجب أن یعرّف اللقطة فی موضع الالتقاط؛ إن وجدها فی محلّ متأهّل</w:t>
            </w:r>
            <w:r>
              <w:rPr>
                <w:rStyle w:val="IndexLink"/>
                <w:rtl w:val="true"/>
              </w:rPr>
              <w:t>]</w:t>
              <w:tab/>
            </w:r>
            <w:r>
              <w:rPr>
                <w:rStyle w:val="IndexLink"/>
              </w:rPr>
              <w:t>769</w:t>
            </w:r>
          </w:hyperlink>
        </w:p>
        <w:p>
          <w:pPr>
            <w:pStyle w:val="Contents4"/>
            <w:tabs>
              <w:tab w:val="clear" w:pos="8176"/>
              <w:tab w:val="right" w:pos="9026" w:leader="dot"/>
            </w:tabs>
            <w:rPr/>
          </w:pPr>
          <w:hyperlink w:anchor="__RefHeading___Toc2571234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کیفیّة التعریف</w:t>
            </w:r>
            <w:r>
              <w:rPr>
                <w:rStyle w:val="IndexLink"/>
                <w:rtl w:val="true"/>
              </w:rPr>
              <w:t>]</w:t>
              <w:tab/>
            </w:r>
            <w:r>
              <w:rPr>
                <w:rStyle w:val="IndexLink"/>
              </w:rPr>
              <w:t>769</w:t>
            </w:r>
          </w:hyperlink>
        </w:p>
        <w:p>
          <w:pPr>
            <w:pStyle w:val="Contents4"/>
            <w:tabs>
              <w:tab w:val="clear" w:pos="8176"/>
              <w:tab w:val="right" w:pos="9026" w:leader="dot"/>
            </w:tabs>
            <w:rPr/>
          </w:pPr>
          <w:hyperlink w:anchor="__RefHeading___Toc2571236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إذا لم تکن اللقطة قابلة للتعریف بأن لم تکن لها علامة و خصوصیّات ممتازة عن غیرها</w:t>
            </w:r>
            <w:r>
              <w:rPr>
                <w:rStyle w:val="IndexLink"/>
                <w:rtl w:val="true"/>
              </w:rPr>
              <w:t>]</w:t>
              <w:tab/>
            </w:r>
            <w:r>
              <w:rPr>
                <w:rStyle w:val="IndexLink"/>
              </w:rPr>
              <w:t>770</w:t>
            </w:r>
          </w:hyperlink>
        </w:p>
        <w:p>
          <w:pPr>
            <w:pStyle w:val="Contents4"/>
            <w:tabs>
              <w:tab w:val="clear" w:pos="8176"/>
              <w:tab w:val="right" w:pos="9026" w:leader="dot"/>
            </w:tabs>
            <w:rPr/>
          </w:pPr>
          <w:hyperlink w:anchor="__RefHeading___Toc2571238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إذا التقط اثنان لقطة واحدة</w:t>
            </w:r>
            <w:r>
              <w:rPr>
                <w:rStyle w:val="IndexLink"/>
                <w:rtl w:val="true"/>
              </w:rPr>
              <w:t>]</w:t>
              <w:tab/>
            </w:r>
            <w:r>
              <w:rPr>
                <w:rStyle w:val="IndexLink"/>
              </w:rPr>
              <w:t>770</w:t>
            </w:r>
          </w:hyperlink>
        </w:p>
        <w:p>
          <w:pPr>
            <w:pStyle w:val="Contents4"/>
            <w:tabs>
              <w:tab w:val="clear" w:pos="8176"/>
              <w:tab w:val="right" w:pos="9026" w:leader="dot"/>
            </w:tabs>
            <w:rPr/>
          </w:pPr>
          <w:hyperlink w:anchor="__RefHeading___Toc2571240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إذا التقط الصبیّ أو المجنون، فما کان دون درهم ملکاه إن قصدا</w:t>
            </w:r>
            <w:r>
              <w:rPr>
                <w:rStyle w:val="IndexLink"/>
                <w:rtl w:val="true"/>
              </w:rPr>
              <w:t>]</w:t>
              <w:tab/>
            </w:r>
            <w:r>
              <w:rPr>
                <w:rStyle w:val="IndexLink"/>
              </w:rPr>
              <w:t>770</w:t>
            </w:r>
          </w:hyperlink>
        </w:p>
        <w:p>
          <w:pPr>
            <w:pStyle w:val="Contents4"/>
            <w:tabs>
              <w:tab w:val="clear" w:pos="8176"/>
              <w:tab w:val="right" w:pos="9026" w:leader="dot"/>
            </w:tabs>
            <w:rPr/>
          </w:pPr>
          <w:hyperlink w:anchor="__RefHeading___Toc2571242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اللقطة فی مدّة التعریف أمانة لا یضمنها الملتقط إلّا مع التعدّی أو التفریط</w:t>
            </w:r>
            <w:r>
              <w:rPr>
                <w:rStyle w:val="IndexLink"/>
                <w:rtl w:val="true"/>
              </w:rPr>
              <w:t>]</w:t>
              <w:tab/>
            </w:r>
            <w:r>
              <w:rPr>
                <w:rStyle w:val="IndexLink"/>
              </w:rPr>
              <w:t>771</w:t>
            </w:r>
          </w:hyperlink>
        </w:p>
        <w:p>
          <w:pPr>
            <w:pStyle w:val="Contents4"/>
            <w:tabs>
              <w:tab w:val="clear" w:pos="8176"/>
              <w:tab w:val="right" w:pos="9026" w:leader="dot"/>
            </w:tabs>
            <w:rPr/>
          </w:pPr>
          <w:hyperlink w:anchor="__RefHeading___Toc2571244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إن وجد المالک و قد تملّکه الملتقط بعد التعریف، فإن کانت العین باقیة أخذها</w:t>
            </w:r>
            <w:r>
              <w:rPr>
                <w:rStyle w:val="IndexLink"/>
                <w:rtl w:val="true"/>
              </w:rPr>
              <w:t>]</w:t>
              <w:tab/>
            </w:r>
            <w:r>
              <w:rPr>
                <w:rStyle w:val="IndexLink"/>
              </w:rPr>
              <w:t>771</w:t>
            </w:r>
          </w:hyperlink>
        </w:p>
        <w:p>
          <w:pPr>
            <w:pStyle w:val="Contents4"/>
            <w:tabs>
              <w:tab w:val="clear" w:pos="8176"/>
              <w:tab w:val="right" w:pos="9026" w:leader="dot"/>
            </w:tabs>
            <w:rPr/>
          </w:pPr>
          <w:hyperlink w:anchor="__RefHeading___Toc2571246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لا یسقط التعریف عن الملتقط بدفع اللقطة إلی الحاکم و إن جاز له دفعها إلیه قبل التعریف و بعده</w:t>
            </w:r>
            <w:r>
              <w:rPr>
                <w:rStyle w:val="IndexLink"/>
                <w:rtl w:val="true"/>
              </w:rPr>
              <w:t>]</w:t>
              <w:tab/>
            </w:r>
            <w:r>
              <w:rPr>
                <w:rStyle w:val="IndexLink"/>
              </w:rPr>
              <w:t>771</w:t>
            </w:r>
          </w:hyperlink>
        </w:p>
        <w:p>
          <w:pPr>
            <w:pStyle w:val="Contents4"/>
            <w:tabs>
              <w:tab w:val="clear" w:pos="8176"/>
              <w:tab w:val="right" w:pos="9026" w:leader="dot"/>
            </w:tabs>
            <w:rPr/>
          </w:pPr>
          <w:hyperlink w:anchor="__RefHeading___Toc2571248_3650668749">
            <w:r>
              <w:rPr>
                <w:webHidden/>
                <w:rStyle w:val="IndexLink"/>
                <w:rtl w:val="true"/>
              </w:rPr>
              <w:t>[ (</w:t>
            </w:r>
            <w:r>
              <w:rPr>
                <w:rStyle w:val="IndexLink"/>
                <w:rtl w:val="true"/>
              </w:rPr>
              <w:t xml:space="preserve">مسألة </w:t>
            </w:r>
            <w:r>
              <w:rPr>
                <w:rStyle w:val="IndexLink"/>
              </w:rPr>
              <w:t>28</w:t>
            </w:r>
            <w:r>
              <w:rPr>
                <w:rStyle w:val="IndexLink"/>
                <w:rtl w:val="true"/>
              </w:rPr>
              <w:t xml:space="preserve">): </w:t>
            </w:r>
            <w:r>
              <w:rPr>
                <w:rStyle w:val="IndexLink"/>
                <w:rtl w:val="true"/>
              </w:rPr>
              <w:t>لو وجد المالک و قد حصل للّقطة نماء متّصل یتبع العین</w:t>
            </w:r>
            <w:r>
              <w:rPr>
                <w:rStyle w:val="IndexLink"/>
                <w:rtl w:val="true"/>
              </w:rPr>
              <w:t>]</w:t>
              <w:tab/>
            </w:r>
            <w:r>
              <w:rPr>
                <w:rStyle w:val="IndexLink"/>
              </w:rPr>
              <w:t>771</w:t>
            </w:r>
          </w:hyperlink>
        </w:p>
        <w:p>
          <w:pPr>
            <w:pStyle w:val="Contents4"/>
            <w:tabs>
              <w:tab w:val="clear" w:pos="8176"/>
              <w:tab w:val="right" w:pos="9026" w:leader="dot"/>
            </w:tabs>
            <w:rPr/>
          </w:pPr>
          <w:hyperlink w:anchor="__RefHeading___Toc2571250_3650668749">
            <w:r>
              <w:rPr>
                <w:webHidden/>
                <w:rStyle w:val="IndexLink"/>
                <w:rtl w:val="true"/>
              </w:rPr>
              <w:t>[ (</w:t>
            </w:r>
            <w:r>
              <w:rPr>
                <w:rStyle w:val="IndexLink"/>
                <w:rtl w:val="true"/>
              </w:rPr>
              <w:t xml:space="preserve">مسألة </w:t>
            </w:r>
            <w:r>
              <w:rPr>
                <w:rStyle w:val="IndexLink"/>
              </w:rPr>
              <w:t>29</w:t>
            </w:r>
            <w:r>
              <w:rPr>
                <w:rStyle w:val="IndexLink"/>
                <w:rtl w:val="true"/>
              </w:rPr>
              <w:t xml:space="preserve">): </w:t>
            </w:r>
            <w:r>
              <w:rPr>
                <w:rStyle w:val="IndexLink"/>
                <w:rtl w:val="true"/>
              </w:rPr>
              <w:t>لو حصل لها نماء منفصل بعد الالتقاط، فعرّف العین حولًا</w:t>
            </w:r>
            <w:r>
              <w:rPr>
                <w:rStyle w:val="IndexLink"/>
                <w:rtl w:val="true"/>
              </w:rPr>
              <w:t>]</w:t>
              <w:tab/>
            </w:r>
            <w:r>
              <w:rPr>
                <w:rStyle w:val="IndexLink"/>
              </w:rPr>
              <w:t>771</w:t>
            </w:r>
          </w:hyperlink>
        </w:p>
        <w:p>
          <w:pPr>
            <w:pStyle w:val="Contents4"/>
            <w:tabs>
              <w:tab w:val="clear" w:pos="8176"/>
              <w:tab w:val="right" w:pos="9026" w:leader="dot"/>
            </w:tabs>
            <w:rPr/>
          </w:pPr>
          <w:hyperlink w:anchor="__RefHeading___Toc2571252_3650668749">
            <w:r>
              <w:rPr>
                <w:webHidden/>
                <w:rStyle w:val="IndexLink"/>
                <w:rtl w:val="true"/>
              </w:rPr>
              <w:t>[ (</w:t>
            </w:r>
            <w:r>
              <w:rPr>
                <w:rStyle w:val="IndexLink"/>
                <w:rtl w:val="true"/>
              </w:rPr>
              <w:t xml:space="preserve">مسألة </w:t>
            </w:r>
            <w:r>
              <w:rPr>
                <w:rStyle w:val="IndexLink"/>
              </w:rPr>
              <w:t>30</w:t>
            </w:r>
            <w:r>
              <w:rPr>
                <w:rStyle w:val="IndexLink"/>
                <w:rtl w:val="true"/>
              </w:rPr>
              <w:t xml:space="preserve">): </w:t>
            </w:r>
            <w:r>
              <w:rPr>
                <w:rStyle w:val="IndexLink"/>
                <w:rtl w:val="true"/>
              </w:rPr>
              <w:t>ما یوجد مدفوناً فی الخربة الدارسة التی باد أهلها و فی المفاوز و کلّ أرض لا ربّ لها</w:t>
            </w:r>
            <w:r>
              <w:rPr>
                <w:rStyle w:val="IndexLink"/>
                <w:rtl w:val="true"/>
              </w:rPr>
              <w:t>]</w:t>
              <w:tab/>
            </w:r>
            <w:r>
              <w:rPr>
                <w:rStyle w:val="IndexLink"/>
              </w:rPr>
              <w:t>771</w:t>
            </w:r>
          </w:hyperlink>
        </w:p>
        <w:p>
          <w:pPr>
            <w:pStyle w:val="Contents4"/>
            <w:tabs>
              <w:tab w:val="clear" w:pos="8176"/>
              <w:tab w:val="right" w:pos="9026" w:leader="dot"/>
            </w:tabs>
            <w:rPr/>
          </w:pPr>
          <w:hyperlink w:anchor="__RefHeading___Toc2571254_3650668749">
            <w:r>
              <w:rPr>
                <w:webHidden/>
                <w:rStyle w:val="IndexLink"/>
                <w:rtl w:val="true"/>
              </w:rPr>
              <w:t>[ (</w:t>
            </w:r>
            <w:r>
              <w:rPr>
                <w:rStyle w:val="IndexLink"/>
                <w:rtl w:val="true"/>
              </w:rPr>
              <w:t xml:space="preserve">مسألة </w:t>
            </w:r>
            <w:r>
              <w:rPr>
                <w:rStyle w:val="IndexLink"/>
              </w:rPr>
              <w:t>31</w:t>
            </w:r>
            <w:r>
              <w:rPr>
                <w:rStyle w:val="IndexLink"/>
                <w:rtl w:val="true"/>
              </w:rPr>
              <w:t xml:space="preserve">): </w:t>
            </w:r>
            <w:r>
              <w:rPr>
                <w:rStyle w:val="IndexLink"/>
                <w:rtl w:val="true"/>
              </w:rPr>
              <w:t>لو علم مالک اللقطة قبل التعریف أو بعده</w:t>
            </w:r>
            <w:r>
              <w:rPr>
                <w:rStyle w:val="IndexLink"/>
                <w:rtl w:val="true"/>
              </w:rPr>
              <w:t>]</w:t>
              <w:tab/>
            </w:r>
            <w:r>
              <w:rPr>
                <w:rStyle w:val="IndexLink"/>
              </w:rPr>
              <w:t>772</w:t>
            </w:r>
          </w:hyperlink>
        </w:p>
        <w:p>
          <w:pPr>
            <w:pStyle w:val="Contents4"/>
            <w:tabs>
              <w:tab w:val="clear" w:pos="8176"/>
              <w:tab w:val="right" w:pos="9026" w:leader="dot"/>
            </w:tabs>
            <w:rPr/>
          </w:pPr>
          <w:hyperlink w:anchor="__RefHeading___Toc2571256_3650668749">
            <w:r>
              <w:rPr>
                <w:webHidden/>
                <w:rStyle w:val="IndexLink"/>
                <w:rtl w:val="true"/>
              </w:rPr>
              <w:t>[ (</w:t>
            </w:r>
            <w:r>
              <w:rPr>
                <w:rStyle w:val="IndexLink"/>
                <w:rtl w:val="true"/>
              </w:rPr>
              <w:t xml:space="preserve">مسألة </w:t>
            </w:r>
            <w:r>
              <w:rPr>
                <w:rStyle w:val="IndexLink"/>
              </w:rPr>
              <w:t>32</w:t>
            </w:r>
            <w:r>
              <w:rPr>
                <w:rStyle w:val="IndexLink"/>
                <w:rtl w:val="true"/>
              </w:rPr>
              <w:t xml:space="preserve">): </w:t>
            </w:r>
            <w:r>
              <w:rPr>
                <w:rStyle w:val="IndexLink"/>
                <w:rtl w:val="true"/>
              </w:rPr>
              <w:t>لو مات الملتقط، فإن کان بعد التعریف و التملّک ینتقل إلیٰ وارثه</w:t>
            </w:r>
            <w:r>
              <w:rPr>
                <w:rStyle w:val="IndexLink"/>
                <w:rtl w:val="true"/>
              </w:rPr>
              <w:t>]</w:t>
              <w:tab/>
            </w:r>
            <w:r>
              <w:rPr>
                <w:rStyle w:val="IndexLink"/>
              </w:rPr>
              <w:t>772</w:t>
            </w:r>
          </w:hyperlink>
        </w:p>
        <w:p>
          <w:pPr>
            <w:pStyle w:val="Contents4"/>
            <w:tabs>
              <w:tab w:val="clear" w:pos="8176"/>
              <w:tab w:val="right" w:pos="9026" w:leader="dot"/>
            </w:tabs>
            <w:rPr/>
          </w:pPr>
          <w:hyperlink w:anchor="__RefHeading___Toc2571258_3650668749">
            <w:r>
              <w:rPr>
                <w:webHidden/>
                <w:rStyle w:val="IndexLink"/>
                <w:rtl w:val="true"/>
              </w:rPr>
              <w:t>[ (</w:t>
            </w:r>
            <w:r>
              <w:rPr>
                <w:rStyle w:val="IndexLink"/>
                <w:rtl w:val="true"/>
              </w:rPr>
              <w:t xml:space="preserve">مسألة </w:t>
            </w:r>
            <w:r>
              <w:rPr>
                <w:rStyle w:val="IndexLink"/>
              </w:rPr>
              <w:t>33</w:t>
            </w:r>
            <w:r>
              <w:rPr>
                <w:rStyle w:val="IndexLink"/>
                <w:rtl w:val="true"/>
              </w:rPr>
              <w:t xml:space="preserve">): </w:t>
            </w:r>
            <w:r>
              <w:rPr>
                <w:rStyle w:val="IndexLink"/>
                <w:rtl w:val="true"/>
              </w:rPr>
              <w:t>لو وجد مالًا فی دار معمورة یسکنها الغیر سواء کانت ملکاً له أو مستأجرة أو مستعارة</w:t>
            </w:r>
            <w:r>
              <w:rPr>
                <w:rStyle w:val="IndexLink"/>
                <w:rtl w:val="true"/>
              </w:rPr>
              <w:t>]</w:t>
              <w:tab/>
            </w:r>
            <w:r>
              <w:rPr>
                <w:rStyle w:val="IndexLink"/>
              </w:rPr>
              <w:t>772</w:t>
            </w:r>
          </w:hyperlink>
        </w:p>
        <w:p>
          <w:pPr>
            <w:pStyle w:val="Contents4"/>
            <w:tabs>
              <w:tab w:val="clear" w:pos="8176"/>
              <w:tab w:val="right" w:pos="9026" w:leader="dot"/>
            </w:tabs>
            <w:rPr/>
          </w:pPr>
          <w:hyperlink w:anchor="__RefHeading___Toc2571260_3650668749">
            <w:r>
              <w:rPr>
                <w:webHidden/>
                <w:rStyle w:val="IndexLink"/>
                <w:rtl w:val="true"/>
              </w:rPr>
              <w:t>[ (</w:t>
            </w:r>
            <w:r>
              <w:rPr>
                <w:rStyle w:val="IndexLink"/>
                <w:rtl w:val="true"/>
              </w:rPr>
              <w:t xml:space="preserve">مسألة </w:t>
            </w:r>
            <w:r>
              <w:rPr>
                <w:rStyle w:val="IndexLink"/>
              </w:rPr>
              <w:t>34</w:t>
            </w:r>
            <w:r>
              <w:rPr>
                <w:rStyle w:val="IndexLink"/>
                <w:rtl w:val="true"/>
              </w:rPr>
              <w:t xml:space="preserve">): </w:t>
            </w:r>
            <w:r>
              <w:rPr>
                <w:rStyle w:val="IndexLink"/>
                <w:rtl w:val="true"/>
              </w:rPr>
              <w:t>لو وجد شیئاً فی جوف حیوان قد انتقل إلیه من غیره</w:t>
            </w:r>
            <w:r>
              <w:rPr>
                <w:rStyle w:val="IndexLink"/>
                <w:rtl w:val="true"/>
              </w:rPr>
              <w:t>]</w:t>
              <w:tab/>
            </w:r>
            <w:r>
              <w:rPr>
                <w:rStyle w:val="IndexLink"/>
              </w:rPr>
              <w:t>772</w:t>
            </w:r>
          </w:hyperlink>
        </w:p>
        <w:p>
          <w:pPr>
            <w:pStyle w:val="Contents4"/>
            <w:tabs>
              <w:tab w:val="clear" w:pos="8176"/>
              <w:tab w:val="right" w:pos="9026" w:leader="dot"/>
            </w:tabs>
            <w:rPr/>
          </w:pPr>
          <w:hyperlink w:anchor="__RefHeading___Toc2571262_3650668749">
            <w:r>
              <w:rPr>
                <w:webHidden/>
                <w:rStyle w:val="IndexLink"/>
                <w:rtl w:val="true"/>
              </w:rPr>
              <w:t>[ (</w:t>
            </w:r>
            <w:r>
              <w:rPr>
                <w:rStyle w:val="IndexLink"/>
                <w:rtl w:val="true"/>
              </w:rPr>
              <w:t xml:space="preserve">مسألة </w:t>
            </w:r>
            <w:r>
              <w:rPr>
                <w:rStyle w:val="IndexLink"/>
              </w:rPr>
              <w:t>35</w:t>
            </w:r>
            <w:r>
              <w:rPr>
                <w:rStyle w:val="IndexLink"/>
                <w:rtl w:val="true"/>
              </w:rPr>
              <w:t xml:space="preserve">): </w:t>
            </w:r>
            <w:r>
              <w:rPr>
                <w:rStyle w:val="IndexLink"/>
                <w:rtl w:val="true"/>
              </w:rPr>
              <w:t>لو وجد فی داره التی یسکنها شیئاً، و لم یعلم أنّه ماله أو مال غیره</w:t>
            </w:r>
            <w:r>
              <w:rPr>
                <w:rStyle w:val="IndexLink"/>
                <w:rtl w:val="true"/>
              </w:rPr>
              <w:t>]</w:t>
              <w:tab/>
            </w:r>
            <w:r>
              <w:rPr>
                <w:rStyle w:val="IndexLink"/>
              </w:rPr>
              <w:t>773</w:t>
            </w:r>
          </w:hyperlink>
        </w:p>
        <w:p>
          <w:pPr>
            <w:pStyle w:val="Contents4"/>
            <w:tabs>
              <w:tab w:val="clear" w:pos="8176"/>
              <w:tab w:val="right" w:pos="9026" w:leader="dot"/>
            </w:tabs>
            <w:rPr/>
          </w:pPr>
          <w:hyperlink w:anchor="__RefHeading___Toc2571264_3650668749">
            <w:r>
              <w:rPr>
                <w:webHidden/>
                <w:rStyle w:val="IndexLink"/>
                <w:rtl w:val="true"/>
              </w:rPr>
              <w:t>[ (</w:t>
            </w:r>
            <w:r>
              <w:rPr>
                <w:rStyle w:val="IndexLink"/>
                <w:rtl w:val="true"/>
              </w:rPr>
              <w:t xml:space="preserve">مسألة </w:t>
            </w:r>
            <w:r>
              <w:rPr>
                <w:rStyle w:val="IndexLink"/>
              </w:rPr>
              <w:t>36</w:t>
            </w:r>
            <w:r>
              <w:rPr>
                <w:rStyle w:val="IndexLink"/>
                <w:rtl w:val="true"/>
              </w:rPr>
              <w:t xml:space="preserve">): </w:t>
            </w:r>
            <w:r>
              <w:rPr>
                <w:rStyle w:val="IndexLink"/>
                <w:rtl w:val="true"/>
              </w:rPr>
              <w:t>لو أخذ من شخص مالًا، ثمّ علم أنّه لغیره قد أخذ منه بغیر وجه شرعی</w:t>
            </w:r>
            <w:r>
              <w:rPr>
                <w:rStyle w:val="IndexLink"/>
                <w:rtl w:val="true"/>
              </w:rPr>
              <w:t>]</w:t>
              <w:tab/>
            </w:r>
            <w:r>
              <w:rPr>
                <w:rStyle w:val="IndexLink"/>
              </w:rPr>
              <w:t>773</w:t>
            </w:r>
          </w:hyperlink>
        </w:p>
        <w:p>
          <w:pPr>
            <w:pStyle w:val="Contents4"/>
            <w:tabs>
              <w:tab w:val="clear" w:pos="8176"/>
              <w:tab w:val="right" w:pos="9026" w:leader="dot"/>
            </w:tabs>
            <w:rPr/>
          </w:pPr>
          <w:hyperlink w:anchor="__RefHeading___Toc2571266_3650668749">
            <w:r>
              <w:rPr>
                <w:webHidden/>
                <w:rStyle w:val="IndexLink"/>
                <w:rtl w:val="true"/>
              </w:rPr>
              <w:t>[ (</w:t>
            </w:r>
            <w:r>
              <w:rPr>
                <w:rStyle w:val="IndexLink"/>
                <w:rtl w:val="true"/>
              </w:rPr>
              <w:t xml:space="preserve">مسألة </w:t>
            </w:r>
            <w:r>
              <w:rPr>
                <w:rStyle w:val="IndexLink"/>
              </w:rPr>
              <w:t>37</w:t>
            </w:r>
            <w:r>
              <w:rPr>
                <w:rStyle w:val="IndexLink"/>
                <w:rtl w:val="true"/>
              </w:rPr>
              <w:t xml:space="preserve">): </w:t>
            </w:r>
            <w:r>
              <w:rPr>
                <w:rStyle w:val="IndexLink"/>
                <w:rtl w:val="true"/>
              </w:rPr>
              <w:t>لو التقط شیئاً فبعد ما صار فی یده ادّعاه شخص حاضر</w:t>
            </w:r>
            <w:r>
              <w:rPr>
                <w:rStyle w:val="IndexLink"/>
                <w:rtl w:val="true"/>
              </w:rPr>
              <w:t>]</w:t>
              <w:tab/>
            </w:r>
            <w:r>
              <w:rPr>
                <w:rStyle w:val="IndexLink"/>
              </w:rPr>
              <w:t>773</w:t>
            </w:r>
          </w:hyperlink>
        </w:p>
        <w:p>
          <w:pPr>
            <w:pStyle w:val="Contents4"/>
            <w:tabs>
              <w:tab w:val="clear" w:pos="8176"/>
              <w:tab w:val="right" w:pos="9026" w:leader="dot"/>
            </w:tabs>
            <w:rPr/>
          </w:pPr>
          <w:hyperlink w:anchor="__RefHeading___Toc2571268_3650668749">
            <w:r>
              <w:rPr>
                <w:webHidden/>
                <w:rStyle w:val="IndexLink"/>
                <w:rtl w:val="true"/>
              </w:rPr>
              <w:t>[ (</w:t>
            </w:r>
            <w:r>
              <w:rPr>
                <w:rStyle w:val="IndexLink"/>
                <w:rtl w:val="true"/>
              </w:rPr>
              <w:t xml:space="preserve">مسألة </w:t>
            </w:r>
            <w:r>
              <w:rPr>
                <w:rStyle w:val="IndexLink"/>
              </w:rPr>
              <w:t>38</w:t>
            </w:r>
            <w:r>
              <w:rPr>
                <w:rStyle w:val="IndexLink"/>
                <w:rtl w:val="true"/>
              </w:rPr>
              <w:t xml:space="preserve">): </w:t>
            </w:r>
            <w:r>
              <w:rPr>
                <w:rStyle w:val="IndexLink"/>
                <w:rtl w:val="true"/>
              </w:rPr>
              <w:t>لا یجب دفع اللقطة إلیٰ من یدّعیها إلّا مع العلم أو البیّنة</w:t>
            </w:r>
            <w:r>
              <w:rPr>
                <w:rStyle w:val="IndexLink"/>
                <w:rtl w:val="true"/>
              </w:rPr>
              <w:t>]</w:t>
              <w:tab/>
            </w:r>
            <w:r>
              <w:rPr>
                <w:rStyle w:val="IndexLink"/>
              </w:rPr>
              <w:t>773</w:t>
            </w:r>
          </w:hyperlink>
        </w:p>
        <w:p>
          <w:pPr>
            <w:pStyle w:val="Contents4"/>
            <w:tabs>
              <w:tab w:val="clear" w:pos="8176"/>
              <w:tab w:val="right" w:pos="9026" w:leader="dot"/>
            </w:tabs>
            <w:rPr/>
          </w:pPr>
          <w:hyperlink w:anchor="__RefHeading___Toc2571270_3650668749">
            <w:r>
              <w:rPr>
                <w:webHidden/>
                <w:rStyle w:val="IndexLink"/>
                <w:rtl w:val="true"/>
              </w:rPr>
              <w:t>[ (</w:t>
            </w:r>
            <w:r>
              <w:rPr>
                <w:rStyle w:val="IndexLink"/>
                <w:rtl w:val="true"/>
              </w:rPr>
              <w:t xml:space="preserve">مسألة </w:t>
            </w:r>
            <w:r>
              <w:rPr>
                <w:rStyle w:val="IndexLink"/>
              </w:rPr>
              <w:t>39</w:t>
            </w:r>
            <w:r>
              <w:rPr>
                <w:rStyle w:val="IndexLink"/>
                <w:rtl w:val="true"/>
              </w:rPr>
              <w:t xml:space="preserve">): </w:t>
            </w:r>
            <w:r>
              <w:rPr>
                <w:rStyle w:val="IndexLink"/>
                <w:rtl w:val="true"/>
              </w:rPr>
              <w:t>لو تبدّل مداسه بمداس آخر فی مسجد أو غیره، أو تبدّل ثیابه فی حمّام أو غیره بثیاب آخر</w:t>
            </w:r>
            <w:r>
              <w:rPr>
                <w:rStyle w:val="IndexLink"/>
                <w:rtl w:val="true"/>
              </w:rPr>
              <w:t>]</w:t>
              <w:tab/>
            </w:r>
            <w:r>
              <w:rPr>
                <w:rStyle w:val="IndexLink"/>
              </w:rPr>
              <w:t>774</w:t>
            </w:r>
          </w:hyperlink>
        </w:p>
        <w:p>
          <w:pPr>
            <w:pStyle w:val="Contents3"/>
            <w:tabs>
              <w:tab w:val="clear" w:pos="8459"/>
              <w:tab w:val="right" w:pos="9026" w:leader="dot"/>
            </w:tabs>
            <w:rPr/>
          </w:pPr>
          <w:hyperlink w:anchor="__RefHeading___Toc2571272_3650668749">
            <w:r>
              <w:rPr>
                <w:webHidden/>
                <w:rStyle w:val="IndexLink"/>
                <w:rtl w:val="true"/>
              </w:rPr>
              <w:t>[</w:t>
            </w:r>
            <w:r>
              <w:rPr>
                <w:rStyle w:val="IndexLink"/>
                <w:rtl w:val="true"/>
              </w:rPr>
              <w:t>خاتمة</w:t>
            </w:r>
            <w:r>
              <w:rPr>
                <w:rStyle w:val="IndexLink"/>
                <w:rtl w:val="true"/>
              </w:rPr>
              <w:t>]</w:t>
              <w:tab/>
            </w:r>
            <w:r>
              <w:rPr>
                <w:rStyle w:val="IndexLink"/>
              </w:rPr>
              <w:t>774</w:t>
            </w:r>
          </w:hyperlink>
        </w:p>
        <w:p>
          <w:pPr>
            <w:pStyle w:val="Contents4"/>
            <w:tabs>
              <w:tab w:val="clear" w:pos="8176"/>
              <w:tab w:val="right" w:pos="9026" w:leader="dot"/>
            </w:tabs>
            <w:rPr/>
          </w:pPr>
          <w:hyperlink w:anchor="__RefHeading___Toc2571274_3650668749">
            <w:r>
              <w:rPr>
                <w:webHidden/>
                <w:rStyle w:val="IndexLink"/>
                <w:rtl w:val="true"/>
              </w:rPr>
              <w:t>اشارة</w:t>
            </w:r>
            <w:r>
              <w:rPr>
                <w:rStyle w:val="IndexLink"/>
                <w:rtl w:val="true"/>
              </w:rPr>
              <w:tab/>
            </w:r>
            <w:r>
              <w:rPr>
                <w:rStyle w:val="IndexLink"/>
              </w:rPr>
              <w:t>774</w:t>
            </w:r>
          </w:hyperlink>
        </w:p>
        <w:p>
          <w:pPr>
            <w:pStyle w:val="Contents4"/>
            <w:tabs>
              <w:tab w:val="clear" w:pos="8176"/>
              <w:tab w:val="right" w:pos="9026" w:leader="dot"/>
            </w:tabs>
            <w:rPr/>
          </w:pPr>
          <w:hyperlink w:anchor="__RefHeading___Toc2571276_3650668749">
            <w:r>
              <w:rPr>
                <w:webHidden/>
                <w:rStyle w:val="IndexLink"/>
                <w:rtl w:val="true"/>
              </w:rPr>
              <w:t>[</w:t>
            </w:r>
            <w:r>
              <w:rPr>
                <w:rStyle w:val="IndexLink"/>
                <w:rtl w:val="true"/>
              </w:rPr>
              <w:t>إذا وجد صبیّاً ضائعاً لا کافل له</w:t>
            </w:r>
            <w:r>
              <w:rPr>
                <w:rStyle w:val="IndexLink"/>
                <w:rtl w:val="true"/>
              </w:rPr>
              <w:t>]</w:t>
              <w:tab/>
            </w:r>
            <w:r>
              <w:rPr>
                <w:rStyle w:val="IndexLink"/>
              </w:rPr>
              <w:t>774</w:t>
            </w:r>
          </w:hyperlink>
        </w:p>
        <w:p>
          <w:pPr>
            <w:pStyle w:val="Contents4"/>
            <w:tabs>
              <w:tab w:val="clear" w:pos="8176"/>
              <w:tab w:val="right" w:pos="9026" w:leader="dot"/>
            </w:tabs>
            <w:rPr/>
          </w:pPr>
          <w:hyperlink w:anchor="__RefHeading___Toc257127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إذا کان للّقیط مال؛ من فراش أو غطاء زائدین علیٰ مقدار حاجته</w:t>
            </w:r>
            <w:r>
              <w:rPr>
                <w:rStyle w:val="IndexLink"/>
                <w:rtl w:val="true"/>
              </w:rPr>
              <w:t>]</w:t>
              <w:tab/>
            </w:r>
            <w:r>
              <w:rPr>
                <w:rStyle w:val="IndexLink"/>
              </w:rPr>
              <w:t>774</w:t>
            </w:r>
          </w:hyperlink>
        </w:p>
        <w:p>
          <w:pPr>
            <w:pStyle w:val="Contents4"/>
            <w:tabs>
              <w:tab w:val="clear" w:pos="8176"/>
              <w:tab w:val="right" w:pos="9026" w:leader="dot"/>
            </w:tabs>
            <w:rPr/>
          </w:pPr>
          <w:hyperlink w:anchor="__RefHeading___Toc257128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یشترط فی الملتقط</w:t>
            </w:r>
            <w:r>
              <w:rPr>
                <w:rStyle w:val="IndexLink"/>
                <w:rtl w:val="true"/>
              </w:rPr>
              <w:t xml:space="preserve">: </w:t>
            </w:r>
            <w:r>
              <w:rPr>
                <w:rStyle w:val="IndexLink"/>
                <w:rtl w:val="true"/>
              </w:rPr>
              <w:t>البلوغ و العقل و الحرّیة</w:t>
            </w:r>
            <w:r>
              <w:rPr>
                <w:rStyle w:val="IndexLink"/>
                <w:rtl w:val="true"/>
              </w:rPr>
              <w:t>]</w:t>
              <w:tab/>
            </w:r>
            <w:r>
              <w:rPr>
                <w:rStyle w:val="IndexLink"/>
              </w:rPr>
              <w:t>775</w:t>
            </w:r>
          </w:hyperlink>
        </w:p>
        <w:p>
          <w:pPr>
            <w:pStyle w:val="Contents4"/>
            <w:tabs>
              <w:tab w:val="clear" w:pos="8176"/>
              <w:tab w:val="right" w:pos="9026" w:leader="dot"/>
            </w:tabs>
            <w:rPr/>
          </w:pPr>
          <w:hyperlink w:anchor="__RefHeading___Toc257128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لقیط دار الإسلام محکوم بالإسلام</w:t>
            </w:r>
            <w:r>
              <w:rPr>
                <w:rStyle w:val="IndexLink"/>
                <w:rtl w:val="true"/>
              </w:rPr>
              <w:t>]</w:t>
              <w:tab/>
            </w:r>
            <w:r>
              <w:rPr>
                <w:rStyle w:val="IndexLink"/>
              </w:rPr>
              <w:t>775</w:t>
            </w:r>
          </w:hyperlink>
        </w:p>
        <w:p>
          <w:pPr>
            <w:pStyle w:val="Contents4"/>
            <w:tabs>
              <w:tab w:val="clear" w:pos="8176"/>
              <w:tab w:val="right" w:pos="9026" w:leader="dot"/>
            </w:tabs>
            <w:rPr/>
          </w:pPr>
          <w:hyperlink w:anchor="__RefHeading___Toc257128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اللّقیط محکوم بالحرّیة ما لم یعلم خلافه</w:t>
            </w:r>
            <w:r>
              <w:rPr>
                <w:rStyle w:val="IndexLink"/>
                <w:rtl w:val="true"/>
              </w:rPr>
              <w:t>]</w:t>
              <w:tab/>
            </w:r>
            <w:r>
              <w:rPr>
                <w:rStyle w:val="IndexLink"/>
              </w:rPr>
              <w:t>775</w:t>
            </w:r>
          </w:hyperlink>
        </w:p>
        <w:p>
          <w:pPr>
            <w:pStyle w:val="Contents2"/>
            <w:tabs>
              <w:tab w:val="clear" w:pos="8743"/>
              <w:tab w:val="right" w:pos="9026" w:leader="dot"/>
            </w:tabs>
            <w:rPr/>
          </w:pPr>
          <w:hyperlink w:anchor="__RefHeading___Toc2571286_3650668749">
            <w:r>
              <w:rPr>
                <w:webHidden/>
                <w:rStyle w:val="IndexLink"/>
                <w:rtl w:val="true"/>
              </w:rPr>
              <w:t>[</w:t>
            </w:r>
            <w:r>
              <w:rPr>
                <w:rStyle w:val="IndexLink"/>
                <w:rtl w:val="true"/>
              </w:rPr>
              <w:t>کتاب النکاح</w:t>
            </w:r>
            <w:r>
              <w:rPr>
                <w:rStyle w:val="IndexLink"/>
                <w:rtl w:val="true"/>
              </w:rPr>
              <w:t>]</w:t>
              <w:tab/>
            </w:r>
            <w:r>
              <w:rPr>
                <w:rStyle w:val="IndexLink"/>
              </w:rPr>
              <w:t>776</w:t>
            </w:r>
          </w:hyperlink>
        </w:p>
        <w:p>
          <w:pPr>
            <w:pStyle w:val="Contents3"/>
            <w:tabs>
              <w:tab w:val="clear" w:pos="8459"/>
              <w:tab w:val="right" w:pos="9026" w:leader="dot"/>
            </w:tabs>
            <w:rPr/>
          </w:pPr>
          <w:hyperlink w:anchor="__RefHeading___Toc2571288_3650668749">
            <w:r>
              <w:rPr>
                <w:webHidden/>
                <w:rStyle w:val="IndexLink"/>
                <w:rtl w:val="true"/>
              </w:rPr>
              <w:t>اشارة</w:t>
            </w:r>
            <w:r>
              <w:rPr>
                <w:rStyle w:val="IndexLink"/>
                <w:rtl w:val="true"/>
              </w:rPr>
              <w:tab/>
            </w:r>
            <w:r>
              <w:rPr>
                <w:rStyle w:val="IndexLink"/>
              </w:rPr>
              <w:t>776</w:t>
            </w:r>
          </w:hyperlink>
        </w:p>
        <w:p>
          <w:pPr>
            <w:pStyle w:val="Contents3"/>
            <w:tabs>
              <w:tab w:val="clear" w:pos="8459"/>
              <w:tab w:val="right" w:pos="9026" w:leader="dot"/>
            </w:tabs>
            <w:rPr/>
          </w:pPr>
          <w:hyperlink w:anchor="__RefHeading___Toc2571290_3650668749">
            <w:r>
              <w:rPr>
                <w:webHidden/>
                <w:rStyle w:val="IndexLink"/>
                <w:rtl w:val="true"/>
              </w:rPr>
              <w:t>[</w:t>
            </w:r>
            <w:r>
              <w:rPr>
                <w:rStyle w:val="IndexLink"/>
                <w:rtl w:val="true"/>
              </w:rPr>
              <w:t>مسائل</w:t>
            </w:r>
            <w:r>
              <w:rPr>
                <w:rStyle w:val="IndexLink"/>
                <w:rtl w:val="true"/>
              </w:rPr>
              <w:t>]</w:t>
              <w:tab/>
            </w:r>
            <w:r>
              <w:rPr>
                <w:rStyle w:val="IndexLink"/>
              </w:rPr>
              <w:t>776</w:t>
            </w:r>
          </w:hyperlink>
        </w:p>
        <w:p>
          <w:pPr>
            <w:pStyle w:val="Contents4"/>
            <w:tabs>
              <w:tab w:val="clear" w:pos="8176"/>
              <w:tab w:val="right" w:pos="9026" w:leader="dot"/>
            </w:tabs>
            <w:rPr/>
          </w:pPr>
          <w:hyperlink w:anchor="__RefHeading___Toc257129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ممّا ینبغی أن یهتمّ به الإنسان النظر فی صفات من یرید تزویجها</w:t>
            </w:r>
            <w:r>
              <w:rPr>
                <w:rStyle w:val="IndexLink"/>
                <w:rtl w:val="true"/>
              </w:rPr>
              <w:t>]</w:t>
              <w:tab/>
            </w:r>
            <w:r>
              <w:rPr>
                <w:rStyle w:val="IndexLink"/>
              </w:rPr>
              <w:t>776</w:t>
            </w:r>
          </w:hyperlink>
        </w:p>
        <w:p>
          <w:pPr>
            <w:pStyle w:val="Contents4"/>
            <w:tabs>
              <w:tab w:val="clear" w:pos="8176"/>
              <w:tab w:val="right" w:pos="9026" w:leader="dot"/>
            </w:tabs>
            <w:rPr/>
          </w:pPr>
          <w:hyperlink w:anchor="__RefHeading___Toc257129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ینبغی أن لا یکون النظر فی اختیار المرأة مقصوراً علی الجمال و المال</w:t>
            </w:r>
            <w:r>
              <w:rPr>
                <w:rStyle w:val="IndexLink"/>
                <w:rtl w:val="true"/>
              </w:rPr>
              <w:t>]</w:t>
              <w:tab/>
            </w:r>
            <w:r>
              <w:rPr>
                <w:rStyle w:val="IndexLink"/>
              </w:rPr>
              <w:t>777</w:t>
            </w:r>
          </w:hyperlink>
        </w:p>
        <w:p>
          <w:pPr>
            <w:pStyle w:val="Contents4"/>
            <w:tabs>
              <w:tab w:val="clear" w:pos="8176"/>
              <w:tab w:val="right" w:pos="9026" w:leader="dot"/>
            </w:tabs>
            <w:rPr/>
          </w:pPr>
          <w:hyperlink w:anchor="__RefHeading___Toc257129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یکره تزویج الزانیة و المتولّدة من الزنا</w:t>
            </w:r>
            <w:r>
              <w:rPr>
                <w:rStyle w:val="IndexLink"/>
                <w:rtl w:val="true"/>
              </w:rPr>
              <w:t>]</w:t>
              <w:tab/>
            </w:r>
            <w:r>
              <w:rPr>
                <w:rStyle w:val="IndexLink"/>
              </w:rPr>
              <w:t>777</w:t>
            </w:r>
          </w:hyperlink>
        </w:p>
        <w:p>
          <w:pPr>
            <w:pStyle w:val="Contents4"/>
            <w:tabs>
              <w:tab w:val="clear" w:pos="8176"/>
              <w:tab w:val="right" w:pos="9026" w:leader="dot"/>
            </w:tabs>
            <w:rPr/>
          </w:pPr>
          <w:hyperlink w:anchor="__RefHeading___Toc257129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لا ینبغی للمرأة أن تختار زوجاً سیّئ الخلق و المخنّث و الفاسق و شارب الخمر</w:t>
            </w:r>
            <w:r>
              <w:rPr>
                <w:rStyle w:val="IndexLink"/>
                <w:rtl w:val="true"/>
              </w:rPr>
              <w:t>]</w:t>
              <w:tab/>
            </w:r>
            <w:r>
              <w:rPr>
                <w:rStyle w:val="IndexLink"/>
              </w:rPr>
              <w:t>777</w:t>
            </w:r>
          </w:hyperlink>
        </w:p>
        <w:p>
          <w:pPr>
            <w:pStyle w:val="Contents4"/>
            <w:tabs>
              <w:tab w:val="clear" w:pos="8176"/>
              <w:tab w:val="right" w:pos="9026" w:leader="dot"/>
            </w:tabs>
            <w:rPr/>
          </w:pPr>
          <w:hyperlink w:anchor="__RefHeading___Toc257130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یستحبّ الإشهاد فی العقد و الإعلان به و الخطبة أمامه</w:t>
            </w:r>
            <w:r>
              <w:rPr>
                <w:rStyle w:val="IndexLink"/>
                <w:rtl w:val="true"/>
              </w:rPr>
              <w:t>]</w:t>
              <w:tab/>
            </w:r>
            <w:r>
              <w:rPr>
                <w:rStyle w:val="IndexLink"/>
              </w:rPr>
              <w:t>777</w:t>
            </w:r>
          </w:hyperlink>
        </w:p>
        <w:p>
          <w:pPr>
            <w:pStyle w:val="Contents4"/>
            <w:tabs>
              <w:tab w:val="clear" w:pos="8176"/>
              <w:tab w:val="right" w:pos="9026" w:leader="dot"/>
            </w:tabs>
            <w:rPr/>
          </w:pPr>
          <w:hyperlink w:anchor="__RefHeading___Toc257130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یستحبّ أن یکون الزفاف لیلًا، و الولیمة فی لیله أو نهاره</w:t>
            </w:r>
            <w:r>
              <w:rPr>
                <w:rStyle w:val="IndexLink"/>
                <w:rtl w:val="true"/>
              </w:rPr>
              <w:t>]</w:t>
              <w:tab/>
            </w:r>
            <w:r>
              <w:rPr>
                <w:rStyle w:val="IndexLink"/>
              </w:rPr>
              <w:t>778</w:t>
            </w:r>
          </w:hyperlink>
        </w:p>
        <w:p>
          <w:pPr>
            <w:pStyle w:val="Contents4"/>
            <w:tabs>
              <w:tab w:val="clear" w:pos="8176"/>
              <w:tab w:val="right" w:pos="9026" w:leader="dot"/>
            </w:tabs>
            <w:rPr/>
          </w:pPr>
          <w:hyperlink w:anchor="__RefHeading___Toc257130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یستحبّ لمن أراد الدخول بالمرأة لیلة الزفاف أو یومه أن یصلّی رکعتین</w:t>
            </w:r>
            <w:r>
              <w:rPr>
                <w:rStyle w:val="IndexLink"/>
                <w:rtl w:val="true"/>
              </w:rPr>
              <w:t>]</w:t>
              <w:tab/>
            </w:r>
            <w:r>
              <w:rPr>
                <w:rStyle w:val="IndexLink"/>
              </w:rPr>
              <w:t>778</w:t>
            </w:r>
          </w:hyperlink>
        </w:p>
        <w:p>
          <w:pPr>
            <w:pStyle w:val="Contents4"/>
            <w:tabs>
              <w:tab w:val="clear" w:pos="8176"/>
              <w:tab w:val="right" w:pos="9026" w:leader="dot"/>
            </w:tabs>
            <w:rPr/>
          </w:pPr>
          <w:hyperlink w:anchor="__RefHeading___Toc257130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للخلوة بالمرأة مطلقاً و لو فی غیر لیلة الزفاف آداب</w:t>
            </w:r>
            <w:r>
              <w:rPr>
                <w:rStyle w:val="IndexLink"/>
                <w:rtl w:val="true"/>
              </w:rPr>
              <w:t>]</w:t>
              <w:tab/>
            </w:r>
            <w:r>
              <w:rPr>
                <w:rStyle w:val="IndexLink"/>
              </w:rPr>
              <w:t>778</w:t>
            </w:r>
          </w:hyperlink>
        </w:p>
        <w:p>
          <w:pPr>
            <w:pStyle w:val="Contents4"/>
            <w:tabs>
              <w:tab w:val="clear" w:pos="8176"/>
              <w:tab w:val="right" w:pos="9026" w:leader="dot"/>
            </w:tabs>
            <w:rPr/>
          </w:pPr>
          <w:hyperlink w:anchor="__RefHeading___Toc257130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یستحبّ التعجیل فی تزویج البنت و تحصینها بالزوج عند بلوغها</w:t>
            </w:r>
            <w:r>
              <w:rPr>
                <w:rStyle w:val="IndexLink"/>
                <w:rtl w:val="true"/>
              </w:rPr>
              <w:t>]</w:t>
              <w:tab/>
            </w:r>
            <w:r>
              <w:rPr>
                <w:rStyle w:val="IndexLink"/>
              </w:rPr>
              <w:t>779</w:t>
            </w:r>
          </w:hyperlink>
        </w:p>
        <w:p>
          <w:pPr>
            <w:pStyle w:val="Contents4"/>
            <w:tabs>
              <w:tab w:val="clear" w:pos="8176"/>
              <w:tab w:val="right" w:pos="9026" w:leader="dot"/>
            </w:tabs>
            <w:rPr/>
          </w:pPr>
          <w:hyperlink w:anchor="__RefHeading___Toc257131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یستحبّ السعی فی التزویج و الشفاعة فیه و إرضاء الطرفین</w:t>
            </w:r>
            <w:r>
              <w:rPr>
                <w:rStyle w:val="IndexLink"/>
                <w:rtl w:val="true"/>
              </w:rPr>
              <w:t>]</w:t>
              <w:tab/>
            </w:r>
            <w:r>
              <w:rPr>
                <w:rStyle w:val="IndexLink"/>
              </w:rPr>
              <w:t>779</w:t>
            </w:r>
          </w:hyperlink>
        </w:p>
        <w:p>
          <w:pPr>
            <w:pStyle w:val="Contents4"/>
            <w:tabs>
              <w:tab w:val="clear" w:pos="8176"/>
              <w:tab w:val="right" w:pos="9026" w:leader="dot"/>
            </w:tabs>
            <w:rPr/>
          </w:pPr>
          <w:hyperlink w:anchor="__RefHeading___Toc257131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المشهور جواز وطء الزوجة و المملوکة دبراً علیٰ کراهیة شدیدة</w:t>
            </w:r>
            <w:r>
              <w:rPr>
                <w:rStyle w:val="IndexLink"/>
                <w:rtl w:val="true"/>
              </w:rPr>
              <w:t>]</w:t>
              <w:tab/>
            </w:r>
            <w:r>
              <w:rPr>
                <w:rStyle w:val="IndexLink"/>
              </w:rPr>
              <w:t>780</w:t>
            </w:r>
          </w:hyperlink>
        </w:p>
        <w:p>
          <w:pPr>
            <w:pStyle w:val="Contents4"/>
            <w:tabs>
              <w:tab w:val="clear" w:pos="8176"/>
              <w:tab w:val="right" w:pos="9026" w:leader="dot"/>
            </w:tabs>
            <w:rPr/>
          </w:pPr>
          <w:hyperlink w:anchor="__RefHeading___Toc257131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لا یجوز وطء الزوجة قبل إکمال تسع سنین</w:t>
            </w:r>
            <w:r>
              <w:rPr>
                <w:rStyle w:val="IndexLink"/>
                <w:rtl w:val="true"/>
              </w:rPr>
              <w:t>]</w:t>
              <w:tab/>
            </w:r>
            <w:r>
              <w:rPr>
                <w:rStyle w:val="IndexLink"/>
              </w:rPr>
              <w:t>780</w:t>
            </w:r>
          </w:hyperlink>
        </w:p>
        <w:p>
          <w:pPr>
            <w:pStyle w:val="Contents4"/>
            <w:tabs>
              <w:tab w:val="clear" w:pos="8176"/>
              <w:tab w:val="right" w:pos="9026" w:leader="dot"/>
            </w:tabs>
            <w:rPr/>
          </w:pPr>
          <w:hyperlink w:anchor="__RefHeading___Toc2571316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لا یجوز ترک وطء الزوجة أکثر من أربعة أشهر إلّا بإذنها</w:t>
            </w:r>
            <w:r>
              <w:rPr>
                <w:rStyle w:val="IndexLink"/>
                <w:rtl w:val="true"/>
              </w:rPr>
              <w:t>]</w:t>
              <w:tab/>
            </w:r>
            <w:r>
              <w:rPr>
                <w:rStyle w:val="IndexLink"/>
              </w:rPr>
              <w:t>780</w:t>
            </w:r>
          </w:hyperlink>
        </w:p>
        <w:p>
          <w:pPr>
            <w:pStyle w:val="Contents4"/>
            <w:tabs>
              <w:tab w:val="clear" w:pos="8176"/>
              <w:tab w:val="right" w:pos="9026" w:leader="dot"/>
            </w:tabs>
            <w:rPr/>
          </w:pPr>
          <w:hyperlink w:anchor="__RefHeading___Toc2571318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لا إشکال فی جواز العزل، و هو إخراج الآلة عند الإنزال و إفراغ المنیّ إلی الخارج</w:t>
            </w:r>
            <w:r>
              <w:rPr>
                <w:rStyle w:val="IndexLink"/>
                <w:rtl w:val="true"/>
              </w:rPr>
              <w:t>]</w:t>
              <w:tab/>
            </w:r>
            <w:r>
              <w:rPr>
                <w:rStyle w:val="IndexLink"/>
              </w:rPr>
              <w:t>781</w:t>
            </w:r>
          </w:hyperlink>
        </w:p>
        <w:p>
          <w:pPr>
            <w:pStyle w:val="Contents4"/>
            <w:tabs>
              <w:tab w:val="clear" w:pos="8176"/>
              <w:tab w:val="right" w:pos="9026" w:leader="dot"/>
            </w:tabs>
            <w:rPr/>
          </w:pPr>
          <w:hyperlink w:anchor="__RefHeading___Toc2571320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یجوز لکلّ من الزوج و الزوجة النظر إلیٰ جسد الآخر</w:t>
            </w:r>
            <w:r>
              <w:rPr>
                <w:rStyle w:val="IndexLink"/>
                <w:rtl w:val="true"/>
              </w:rPr>
              <w:t>]</w:t>
              <w:tab/>
            </w:r>
            <w:r>
              <w:rPr>
                <w:rStyle w:val="IndexLink"/>
              </w:rPr>
              <w:t>781</w:t>
            </w:r>
          </w:hyperlink>
        </w:p>
        <w:p>
          <w:pPr>
            <w:pStyle w:val="Contents4"/>
            <w:tabs>
              <w:tab w:val="clear" w:pos="8176"/>
              <w:tab w:val="right" w:pos="9026" w:leader="dot"/>
            </w:tabs>
            <w:rPr/>
          </w:pPr>
          <w:hyperlink w:anchor="__RefHeading___Toc2571322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لا إشکال فی جواز نظر الرجل إلیٰ ما عدا العورة من مماثله</w:t>
            </w:r>
            <w:r>
              <w:rPr>
                <w:rStyle w:val="IndexLink"/>
                <w:rtl w:val="true"/>
              </w:rPr>
              <w:t>]</w:t>
              <w:tab/>
            </w:r>
            <w:r>
              <w:rPr>
                <w:rStyle w:val="IndexLink"/>
              </w:rPr>
              <w:t>781</w:t>
            </w:r>
          </w:hyperlink>
        </w:p>
        <w:p>
          <w:pPr>
            <w:pStyle w:val="Contents4"/>
            <w:tabs>
              <w:tab w:val="clear" w:pos="8176"/>
              <w:tab w:val="right" w:pos="9026" w:leader="dot"/>
            </w:tabs>
            <w:rPr/>
          </w:pPr>
          <w:hyperlink w:anchor="__RefHeading___Toc2571324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یجوز للرجل أن ینظر إلیٰ جسد محارمه ما عدا العورة</w:t>
            </w:r>
            <w:r>
              <w:rPr>
                <w:rStyle w:val="IndexLink"/>
                <w:rtl w:val="true"/>
              </w:rPr>
              <w:t>]</w:t>
              <w:tab/>
            </w:r>
            <w:r>
              <w:rPr>
                <w:rStyle w:val="IndexLink"/>
              </w:rPr>
              <w:t>781</w:t>
            </w:r>
          </w:hyperlink>
        </w:p>
        <w:p>
          <w:pPr>
            <w:pStyle w:val="Contents4"/>
            <w:tabs>
              <w:tab w:val="clear" w:pos="8176"/>
              <w:tab w:val="right" w:pos="9026" w:leader="dot"/>
            </w:tabs>
            <w:rPr/>
          </w:pPr>
          <w:hyperlink w:anchor="__RefHeading___Toc2571326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لا إشکال فی عدم جواز نظر الرجل إلیٰ ما عدا الوجه و الکفّین من المرأة الأجنبیّة</w:t>
            </w:r>
            <w:r>
              <w:rPr>
                <w:rStyle w:val="IndexLink"/>
                <w:rtl w:val="true"/>
              </w:rPr>
              <w:t>]</w:t>
              <w:tab/>
            </w:r>
            <w:r>
              <w:rPr>
                <w:rStyle w:val="IndexLink"/>
              </w:rPr>
              <w:t>781</w:t>
            </w:r>
          </w:hyperlink>
        </w:p>
        <w:p>
          <w:pPr>
            <w:pStyle w:val="Contents4"/>
            <w:tabs>
              <w:tab w:val="clear" w:pos="8176"/>
              <w:tab w:val="right" w:pos="9026" w:leader="dot"/>
            </w:tabs>
            <w:rPr/>
          </w:pPr>
          <w:hyperlink w:anchor="__RefHeading___Toc2571328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لا یجوز للمرأة النظر إلی الأجنبیّ کالعکس</w:t>
            </w:r>
            <w:r>
              <w:rPr>
                <w:rStyle w:val="IndexLink"/>
                <w:rtl w:val="true"/>
              </w:rPr>
              <w:t>]</w:t>
              <w:tab/>
            </w:r>
            <w:r>
              <w:rPr>
                <w:rStyle w:val="IndexLink"/>
              </w:rPr>
              <w:t>782</w:t>
            </w:r>
          </w:hyperlink>
        </w:p>
        <w:p>
          <w:pPr>
            <w:pStyle w:val="Contents4"/>
            <w:tabs>
              <w:tab w:val="clear" w:pos="8176"/>
              <w:tab w:val="right" w:pos="9026" w:leader="dot"/>
            </w:tabs>
            <w:rPr/>
          </w:pPr>
          <w:hyperlink w:anchor="__RefHeading___Toc2571330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کلّ من یحرم النظر إلیه یحرم مسّه</w:t>
            </w:r>
            <w:r>
              <w:rPr>
                <w:rStyle w:val="IndexLink"/>
                <w:rtl w:val="true"/>
              </w:rPr>
              <w:t>]</w:t>
              <w:tab/>
            </w:r>
            <w:r>
              <w:rPr>
                <w:rStyle w:val="IndexLink"/>
              </w:rPr>
              <w:t>782</w:t>
            </w:r>
          </w:hyperlink>
        </w:p>
        <w:p>
          <w:pPr>
            <w:pStyle w:val="Contents4"/>
            <w:tabs>
              <w:tab w:val="clear" w:pos="8176"/>
              <w:tab w:val="right" w:pos="9026" w:leader="dot"/>
            </w:tabs>
            <w:rPr/>
          </w:pPr>
          <w:hyperlink w:anchor="__RefHeading___Toc2571332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لا یجوز النظر إلی العضو المبان من الأجنبیّ و الأجنبیّة</w:t>
            </w:r>
            <w:r>
              <w:rPr>
                <w:rStyle w:val="IndexLink"/>
                <w:rtl w:val="true"/>
              </w:rPr>
              <w:t>]</w:t>
              <w:tab/>
            </w:r>
            <w:r>
              <w:rPr>
                <w:rStyle w:val="IndexLink"/>
              </w:rPr>
              <w:t>782</w:t>
            </w:r>
          </w:hyperlink>
        </w:p>
        <w:p>
          <w:pPr>
            <w:pStyle w:val="Contents4"/>
            <w:tabs>
              <w:tab w:val="clear" w:pos="8176"/>
              <w:tab w:val="right" w:pos="9026" w:leader="dot"/>
            </w:tabs>
            <w:rPr/>
          </w:pPr>
          <w:hyperlink w:anchor="__RefHeading___Toc2571334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یستثنیٰ من حرمة النظر و اللمس فی الأجنبی و الأجنبیّة مقام المعالجة</w:t>
            </w:r>
            <w:r>
              <w:rPr>
                <w:rStyle w:val="IndexLink"/>
                <w:rtl w:val="true"/>
              </w:rPr>
              <w:t>]</w:t>
              <w:tab/>
            </w:r>
            <w:r>
              <w:rPr>
                <w:rStyle w:val="IndexLink"/>
              </w:rPr>
              <w:t>782</w:t>
            </w:r>
          </w:hyperlink>
        </w:p>
        <w:p>
          <w:pPr>
            <w:pStyle w:val="Contents4"/>
            <w:tabs>
              <w:tab w:val="clear" w:pos="8176"/>
              <w:tab w:val="right" w:pos="9026" w:leader="dot"/>
            </w:tabs>
            <w:rPr/>
          </w:pPr>
          <w:hyperlink w:anchor="__RefHeading___Toc2571336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و کما یحرم علی الرجل النظر إلی الأجنبیّة</w:t>
            </w:r>
            <w:r>
              <w:rPr>
                <w:rStyle w:val="IndexLink"/>
                <w:rtl w:val="true"/>
              </w:rPr>
              <w:t>]</w:t>
              <w:tab/>
            </w:r>
            <w:r>
              <w:rPr>
                <w:rStyle w:val="IndexLink"/>
              </w:rPr>
              <w:t>782</w:t>
            </w:r>
          </w:hyperlink>
        </w:p>
        <w:p>
          <w:pPr>
            <w:pStyle w:val="Contents4"/>
            <w:tabs>
              <w:tab w:val="clear" w:pos="8176"/>
              <w:tab w:val="right" w:pos="9026" w:leader="dot"/>
            </w:tabs>
            <w:rPr/>
          </w:pPr>
          <w:hyperlink w:anchor="__RefHeading___Toc2571338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لا إشکال فی أنّ الغیر الممیّز من الصبیّ و الصبیّة خارج عن أحکام النظر و اللمس</w:t>
            </w:r>
            <w:r>
              <w:rPr>
                <w:rStyle w:val="IndexLink"/>
                <w:rtl w:val="true"/>
              </w:rPr>
              <w:t>]</w:t>
              <w:tab/>
            </w:r>
            <w:r>
              <w:rPr>
                <w:rStyle w:val="IndexLink"/>
              </w:rPr>
              <w:t>782</w:t>
            </w:r>
          </w:hyperlink>
        </w:p>
        <w:p>
          <w:pPr>
            <w:pStyle w:val="Contents4"/>
            <w:tabs>
              <w:tab w:val="clear" w:pos="8176"/>
              <w:tab w:val="right" w:pos="9026" w:leader="dot"/>
            </w:tabs>
            <w:rPr/>
          </w:pPr>
          <w:hyperlink w:anchor="__RefHeading___Toc2571340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یجوز للرجل أن ینظر إلی الصبیّة ما لم تبلغ</w:t>
            </w:r>
            <w:r>
              <w:rPr>
                <w:rStyle w:val="IndexLink"/>
                <w:rtl w:val="true"/>
              </w:rPr>
              <w:t>]</w:t>
              <w:tab/>
            </w:r>
            <w:r>
              <w:rPr>
                <w:rStyle w:val="IndexLink"/>
              </w:rPr>
              <w:t>782</w:t>
            </w:r>
          </w:hyperlink>
        </w:p>
        <w:p>
          <w:pPr>
            <w:pStyle w:val="Contents4"/>
            <w:tabs>
              <w:tab w:val="clear" w:pos="8176"/>
              <w:tab w:val="right" w:pos="9026" w:leader="dot"/>
            </w:tabs>
            <w:rPr/>
          </w:pPr>
          <w:hyperlink w:anchor="__RefHeading___Toc2571342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یجوز للمرأة النظر إلی الصبیّ الممیّز ما لم یبلغ</w:t>
            </w:r>
            <w:r>
              <w:rPr>
                <w:rStyle w:val="IndexLink"/>
                <w:rtl w:val="true"/>
              </w:rPr>
              <w:t>]</w:t>
              <w:tab/>
            </w:r>
            <w:r>
              <w:rPr>
                <w:rStyle w:val="IndexLink"/>
              </w:rPr>
              <w:t>783</w:t>
            </w:r>
          </w:hyperlink>
        </w:p>
        <w:p>
          <w:pPr>
            <w:pStyle w:val="Contents4"/>
            <w:tabs>
              <w:tab w:val="clear" w:pos="8176"/>
              <w:tab w:val="right" w:pos="9026" w:leader="dot"/>
            </w:tabs>
            <w:rPr/>
          </w:pPr>
          <w:hyperlink w:anchor="__RefHeading___Toc2571344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یجوز النظر إلیٰ نساء أهل الذمّة، بل مطلق الکفّار، مع عدم التلذّذ و الریبة</w:t>
            </w:r>
            <w:r>
              <w:rPr>
                <w:rStyle w:val="IndexLink"/>
                <w:rtl w:val="true"/>
              </w:rPr>
              <w:t>]</w:t>
              <w:tab/>
            </w:r>
            <w:r>
              <w:rPr>
                <w:rStyle w:val="IndexLink"/>
              </w:rPr>
              <w:t>783</w:t>
            </w:r>
          </w:hyperlink>
        </w:p>
        <w:p>
          <w:pPr>
            <w:pStyle w:val="Contents4"/>
            <w:tabs>
              <w:tab w:val="clear" w:pos="8176"/>
              <w:tab w:val="right" w:pos="9026" w:leader="dot"/>
            </w:tabs>
            <w:rPr/>
          </w:pPr>
          <w:hyperlink w:anchor="__RefHeading___Toc2571346_3650668749">
            <w:r>
              <w:rPr>
                <w:webHidden/>
                <w:rStyle w:val="IndexLink"/>
                <w:rtl w:val="true"/>
              </w:rPr>
              <w:t>[ (</w:t>
            </w:r>
            <w:r>
              <w:rPr>
                <w:rStyle w:val="IndexLink"/>
                <w:rtl w:val="true"/>
              </w:rPr>
              <w:t xml:space="preserve">مسألة </w:t>
            </w:r>
            <w:r>
              <w:rPr>
                <w:rStyle w:val="IndexLink"/>
              </w:rPr>
              <w:t>28</w:t>
            </w:r>
            <w:r>
              <w:rPr>
                <w:rStyle w:val="IndexLink"/>
                <w:rtl w:val="true"/>
              </w:rPr>
              <w:t xml:space="preserve">): </w:t>
            </w:r>
            <w:r>
              <w:rPr>
                <w:rStyle w:val="IndexLink"/>
                <w:rtl w:val="true"/>
              </w:rPr>
              <w:t>یجوز لمن یرید تزویج امرأة أن ینظر إلیها</w:t>
            </w:r>
            <w:r>
              <w:rPr>
                <w:rStyle w:val="IndexLink"/>
                <w:rtl w:val="true"/>
              </w:rPr>
              <w:t>]</w:t>
              <w:tab/>
            </w:r>
            <w:r>
              <w:rPr>
                <w:rStyle w:val="IndexLink"/>
              </w:rPr>
              <w:t>783</w:t>
            </w:r>
          </w:hyperlink>
        </w:p>
        <w:p>
          <w:pPr>
            <w:pStyle w:val="Contents4"/>
            <w:tabs>
              <w:tab w:val="clear" w:pos="8176"/>
              <w:tab w:val="right" w:pos="9026" w:leader="dot"/>
            </w:tabs>
            <w:rPr/>
          </w:pPr>
          <w:hyperlink w:anchor="__RefHeading___Toc2571348_3650668749">
            <w:r>
              <w:rPr>
                <w:webHidden/>
                <w:rStyle w:val="IndexLink"/>
                <w:rtl w:val="true"/>
              </w:rPr>
              <w:t>[ (</w:t>
            </w:r>
            <w:r>
              <w:rPr>
                <w:rStyle w:val="IndexLink"/>
                <w:rtl w:val="true"/>
              </w:rPr>
              <w:t xml:space="preserve">مسألة </w:t>
            </w:r>
            <w:r>
              <w:rPr>
                <w:rStyle w:val="IndexLink"/>
              </w:rPr>
              <w:t>29</w:t>
            </w:r>
            <w:r>
              <w:rPr>
                <w:rStyle w:val="IndexLink"/>
                <w:rtl w:val="true"/>
              </w:rPr>
              <w:t xml:space="preserve">): </w:t>
            </w:r>
            <w:r>
              <w:rPr>
                <w:rStyle w:val="IndexLink"/>
                <w:rtl w:val="true"/>
              </w:rPr>
              <w:t>الأقویٰ جواز سماع صوت الأجنبیّة ما لم یکن تلذّذ و ریبة</w:t>
            </w:r>
            <w:r>
              <w:rPr>
                <w:rStyle w:val="IndexLink"/>
                <w:rtl w:val="true"/>
              </w:rPr>
              <w:t>]</w:t>
              <w:tab/>
            </w:r>
            <w:r>
              <w:rPr>
                <w:rStyle w:val="IndexLink"/>
              </w:rPr>
              <w:t>783</w:t>
            </w:r>
          </w:hyperlink>
        </w:p>
        <w:p>
          <w:pPr>
            <w:pStyle w:val="Contents3"/>
            <w:tabs>
              <w:tab w:val="clear" w:pos="8459"/>
              <w:tab w:val="right" w:pos="9026" w:leader="dot"/>
            </w:tabs>
            <w:rPr/>
          </w:pPr>
          <w:hyperlink w:anchor="__RefHeading___Toc2571350_3650668749">
            <w:r>
              <w:rPr>
                <w:webHidden/>
                <w:rStyle w:val="IndexLink"/>
                <w:rtl w:val="true"/>
              </w:rPr>
              <w:t>[</w:t>
            </w:r>
            <w:r>
              <w:rPr>
                <w:rStyle w:val="IndexLink"/>
                <w:rtl w:val="true"/>
              </w:rPr>
              <w:t>فصل فی عقد النکاح و أحکامه</w:t>
            </w:r>
            <w:r>
              <w:rPr>
                <w:rStyle w:val="IndexLink"/>
                <w:rtl w:val="true"/>
              </w:rPr>
              <w:t>]</w:t>
              <w:tab/>
            </w:r>
            <w:r>
              <w:rPr>
                <w:rStyle w:val="IndexLink"/>
              </w:rPr>
              <w:t>784</w:t>
            </w:r>
          </w:hyperlink>
        </w:p>
        <w:p>
          <w:pPr>
            <w:pStyle w:val="Contents4"/>
            <w:tabs>
              <w:tab w:val="clear" w:pos="8176"/>
              <w:tab w:val="right" w:pos="9026" w:leader="dot"/>
            </w:tabs>
            <w:rPr/>
          </w:pPr>
          <w:hyperlink w:anchor="__RefHeading___Toc2571352_3650668749">
            <w:r>
              <w:rPr>
                <w:webHidden/>
                <w:rStyle w:val="IndexLink"/>
                <w:rtl w:val="true"/>
              </w:rPr>
              <w:t>اشارة</w:t>
            </w:r>
            <w:r>
              <w:rPr>
                <w:rStyle w:val="IndexLink"/>
                <w:rtl w:val="true"/>
              </w:rPr>
              <w:tab/>
            </w:r>
            <w:r>
              <w:rPr>
                <w:rStyle w:val="IndexLink"/>
              </w:rPr>
              <w:t>784</w:t>
            </w:r>
          </w:hyperlink>
        </w:p>
        <w:p>
          <w:pPr>
            <w:pStyle w:val="Contents4"/>
            <w:tabs>
              <w:tab w:val="clear" w:pos="8176"/>
              <w:tab w:val="right" w:pos="9026" w:leader="dot"/>
            </w:tabs>
            <w:rPr/>
          </w:pPr>
          <w:hyperlink w:anchor="__RefHeading___Toc257135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الأحوط لو لم یکن الأقویٰ أن یکون الإیجاب من طرف الزوجة</w:t>
            </w:r>
            <w:r>
              <w:rPr>
                <w:rStyle w:val="IndexLink"/>
                <w:rtl w:val="true"/>
              </w:rPr>
              <w:t>]</w:t>
              <w:tab/>
            </w:r>
            <w:r>
              <w:rPr>
                <w:rStyle w:val="IndexLink"/>
              </w:rPr>
              <w:t>784</w:t>
            </w:r>
          </w:hyperlink>
        </w:p>
        <w:p>
          <w:pPr>
            <w:pStyle w:val="Contents4"/>
            <w:tabs>
              <w:tab w:val="clear" w:pos="8176"/>
              <w:tab w:val="right" w:pos="9026" w:leader="dot"/>
            </w:tabs>
            <w:rPr/>
          </w:pPr>
          <w:hyperlink w:anchor="__RefHeading___Toc257135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 xml:space="preserve">الأحوط أن یکون الإیجاب فی النکاح الدائم بلفظی </w:t>
            </w:r>
            <w:r>
              <w:rPr>
                <w:rStyle w:val="IndexLink"/>
                <w:rtl w:val="true"/>
              </w:rPr>
              <w:t>«</w:t>
            </w:r>
            <w:r>
              <w:rPr>
                <w:rStyle w:val="IndexLink"/>
                <w:rtl w:val="true"/>
              </w:rPr>
              <w:t>أنکحت</w:t>
            </w:r>
            <w:r>
              <w:rPr>
                <w:rStyle w:val="IndexLink"/>
                <w:rtl w:val="true"/>
              </w:rPr>
              <w:t xml:space="preserve">» </w:t>
            </w:r>
            <w:r>
              <w:rPr>
                <w:rStyle w:val="IndexLink"/>
                <w:rtl w:val="true"/>
              </w:rPr>
              <w:t xml:space="preserve">أو </w:t>
            </w:r>
            <w:r>
              <w:rPr>
                <w:rStyle w:val="IndexLink"/>
                <w:rtl w:val="true"/>
              </w:rPr>
              <w:t>«</w:t>
            </w:r>
            <w:r>
              <w:rPr>
                <w:rStyle w:val="IndexLink"/>
                <w:rtl w:val="true"/>
              </w:rPr>
              <w:t>زوّجت</w:t>
            </w:r>
            <w:r>
              <w:rPr>
                <w:rStyle w:val="IndexLink"/>
                <w:rtl w:val="true"/>
              </w:rPr>
              <w:t>»]</w:t>
              <w:tab/>
            </w:r>
            <w:r>
              <w:rPr>
                <w:rStyle w:val="IndexLink"/>
              </w:rPr>
              <w:t>784</w:t>
            </w:r>
          </w:hyperlink>
        </w:p>
        <w:p>
          <w:pPr>
            <w:pStyle w:val="Contents4"/>
            <w:tabs>
              <w:tab w:val="clear" w:pos="8176"/>
              <w:tab w:val="right" w:pos="9026" w:leader="dot"/>
            </w:tabs>
            <w:rPr/>
          </w:pPr>
          <w:hyperlink w:anchor="__RefHeading___Toc257135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یتعدّیٰ کلّ من الإنکاح و التزویج إلیٰ مفعولین</w:t>
            </w:r>
            <w:r>
              <w:rPr>
                <w:rStyle w:val="IndexLink"/>
                <w:rtl w:val="true"/>
              </w:rPr>
              <w:t>]</w:t>
              <w:tab/>
            </w:r>
            <w:r>
              <w:rPr>
                <w:rStyle w:val="IndexLink"/>
              </w:rPr>
              <w:t>785</w:t>
            </w:r>
          </w:hyperlink>
        </w:p>
        <w:p>
          <w:pPr>
            <w:pStyle w:val="Contents4"/>
            <w:tabs>
              <w:tab w:val="clear" w:pos="8176"/>
              <w:tab w:val="right" w:pos="9026" w:leader="dot"/>
            </w:tabs>
            <w:rPr/>
          </w:pPr>
          <w:hyperlink w:anchor="__RefHeading___Toc257136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عقد النکاح قد یقع بین الزوج و الزوجة و بمباشرتهما</w:t>
            </w:r>
            <w:r>
              <w:rPr>
                <w:rStyle w:val="IndexLink"/>
                <w:rtl w:val="true"/>
              </w:rPr>
              <w:t>]</w:t>
              <w:tab/>
            </w:r>
            <w:r>
              <w:rPr>
                <w:rStyle w:val="IndexLink"/>
              </w:rPr>
              <w:t>785</w:t>
            </w:r>
          </w:hyperlink>
        </w:p>
        <w:p>
          <w:pPr>
            <w:pStyle w:val="Contents4"/>
            <w:tabs>
              <w:tab w:val="clear" w:pos="8176"/>
              <w:tab w:val="right" w:pos="9026" w:leader="dot"/>
            </w:tabs>
            <w:rPr/>
          </w:pPr>
          <w:hyperlink w:anchor="__RefHeading___Toc257136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یشترط فی لفظ القبول مطابقته لعبارة الإیجاب</w:t>
            </w:r>
            <w:r>
              <w:rPr>
                <w:rStyle w:val="IndexLink"/>
                <w:rtl w:val="true"/>
              </w:rPr>
              <w:t>]</w:t>
              <w:tab/>
            </w:r>
            <w:r>
              <w:rPr>
                <w:rStyle w:val="IndexLink"/>
              </w:rPr>
              <w:t>786</w:t>
            </w:r>
          </w:hyperlink>
        </w:p>
        <w:p>
          <w:pPr>
            <w:pStyle w:val="Contents4"/>
            <w:tabs>
              <w:tab w:val="clear" w:pos="8176"/>
              <w:tab w:val="right" w:pos="9026" w:leader="dot"/>
            </w:tabs>
            <w:rPr/>
          </w:pPr>
          <w:hyperlink w:anchor="__RefHeading___Toc2571364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لحن فی الصیغة، فإن کان مغیّراً للمعنیٰ بحیث یعدّ اللفظ عبارة لمعنیً آخر غیر ما هو المقصود لم یکف</w:t>
            </w:r>
            <w:r>
              <w:rPr>
                <w:rStyle w:val="IndexLink"/>
                <w:rtl w:val="true"/>
              </w:rPr>
              <w:t>]</w:t>
              <w:tab/>
            </w:r>
            <w:r>
              <w:rPr>
                <w:rStyle w:val="IndexLink"/>
              </w:rPr>
              <w:t>786</w:t>
            </w:r>
          </w:hyperlink>
        </w:p>
        <w:p>
          <w:pPr>
            <w:pStyle w:val="Contents4"/>
            <w:tabs>
              <w:tab w:val="clear" w:pos="8176"/>
              <w:tab w:val="right" w:pos="9026" w:leader="dot"/>
            </w:tabs>
            <w:rPr/>
          </w:pPr>
          <w:hyperlink w:anchor="__RefHeading___Toc2571366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یعتبر فی العقد القصد إلیٰ مضمونه</w:t>
            </w:r>
            <w:r>
              <w:rPr>
                <w:rStyle w:val="IndexLink"/>
                <w:rtl w:val="true"/>
              </w:rPr>
              <w:t>]</w:t>
              <w:tab/>
            </w:r>
            <w:r>
              <w:rPr>
                <w:rStyle w:val="IndexLink"/>
              </w:rPr>
              <w:t>786</w:t>
            </w:r>
          </w:hyperlink>
        </w:p>
        <w:p>
          <w:pPr>
            <w:pStyle w:val="Contents4"/>
            <w:tabs>
              <w:tab w:val="clear" w:pos="8176"/>
              <w:tab w:val="right" w:pos="9026" w:leader="dot"/>
            </w:tabs>
            <w:rPr/>
          </w:pPr>
          <w:hyperlink w:anchor="__RefHeading___Toc2571368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یعتبر فی العقد قصد الإنشاء</w:t>
            </w:r>
            <w:r>
              <w:rPr>
                <w:rStyle w:val="IndexLink"/>
                <w:rtl w:val="true"/>
              </w:rPr>
              <w:t>]</w:t>
              <w:tab/>
            </w:r>
            <w:r>
              <w:rPr>
                <w:rStyle w:val="IndexLink"/>
              </w:rPr>
              <w:t>787</w:t>
            </w:r>
          </w:hyperlink>
        </w:p>
        <w:p>
          <w:pPr>
            <w:pStyle w:val="Contents4"/>
            <w:tabs>
              <w:tab w:val="clear" w:pos="8176"/>
              <w:tab w:val="right" w:pos="9026" w:leader="dot"/>
            </w:tabs>
            <w:rPr/>
          </w:pPr>
          <w:hyperlink w:anchor="__RefHeading___Toc2571370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یعتبر الموالاة و عدم الفصل المعتدّ به بین الإیجاب و القبول</w:t>
            </w:r>
            <w:r>
              <w:rPr>
                <w:rStyle w:val="IndexLink"/>
                <w:rtl w:val="true"/>
              </w:rPr>
              <w:t>]</w:t>
              <w:tab/>
            </w:r>
            <w:r>
              <w:rPr>
                <w:rStyle w:val="IndexLink"/>
              </w:rPr>
              <w:t>787</w:t>
            </w:r>
          </w:hyperlink>
        </w:p>
        <w:p>
          <w:pPr>
            <w:pStyle w:val="Contents4"/>
            <w:tabs>
              <w:tab w:val="clear" w:pos="8176"/>
              <w:tab w:val="right" w:pos="9026" w:leader="dot"/>
            </w:tabs>
            <w:rPr/>
          </w:pPr>
          <w:hyperlink w:anchor="__RefHeading___Toc2571372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یشترط فی صحّة العقد التنجیز</w:t>
            </w:r>
            <w:r>
              <w:rPr>
                <w:rStyle w:val="IndexLink"/>
                <w:rtl w:val="true"/>
              </w:rPr>
              <w:t>]</w:t>
              <w:tab/>
            </w:r>
            <w:r>
              <w:rPr>
                <w:rStyle w:val="IndexLink"/>
              </w:rPr>
              <w:t>787</w:t>
            </w:r>
          </w:hyperlink>
        </w:p>
        <w:p>
          <w:pPr>
            <w:pStyle w:val="Contents4"/>
            <w:tabs>
              <w:tab w:val="clear" w:pos="8176"/>
              <w:tab w:val="right" w:pos="9026" w:leader="dot"/>
            </w:tabs>
            <w:rPr/>
          </w:pPr>
          <w:hyperlink w:anchor="__RefHeading___Toc2571374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یشترط فی العاقد المجری للصیغة</w:t>
            </w:r>
            <w:r>
              <w:rPr>
                <w:rStyle w:val="IndexLink"/>
                <w:rtl w:val="true"/>
              </w:rPr>
              <w:t xml:space="preserve">: </w:t>
            </w:r>
            <w:r>
              <w:rPr>
                <w:rStyle w:val="IndexLink"/>
                <w:rtl w:val="true"/>
              </w:rPr>
              <w:t>البلوغ و العقل</w:t>
            </w:r>
            <w:r>
              <w:rPr>
                <w:rStyle w:val="IndexLink"/>
                <w:rtl w:val="true"/>
              </w:rPr>
              <w:t>]</w:t>
              <w:tab/>
            </w:r>
            <w:r>
              <w:rPr>
                <w:rStyle w:val="IndexLink"/>
              </w:rPr>
              <w:t>787</w:t>
            </w:r>
          </w:hyperlink>
        </w:p>
        <w:p>
          <w:pPr>
            <w:pStyle w:val="Contents4"/>
            <w:tabs>
              <w:tab w:val="clear" w:pos="8176"/>
              <w:tab w:val="right" w:pos="9026" w:leader="dot"/>
            </w:tabs>
            <w:rPr/>
          </w:pPr>
          <w:hyperlink w:anchor="__RefHeading___Toc2571376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یشترط فی صحّة العقد تعیین الزوجین علیٰ وجه یمتازان عن غیرهما</w:t>
            </w:r>
            <w:r>
              <w:rPr>
                <w:rStyle w:val="IndexLink"/>
                <w:rtl w:val="true"/>
              </w:rPr>
              <w:t>]</w:t>
              <w:tab/>
            </w:r>
            <w:r>
              <w:rPr>
                <w:rStyle w:val="IndexLink"/>
              </w:rPr>
              <w:t>787</w:t>
            </w:r>
          </w:hyperlink>
        </w:p>
        <w:p>
          <w:pPr>
            <w:pStyle w:val="Contents4"/>
            <w:tabs>
              <w:tab w:val="clear" w:pos="8176"/>
              <w:tab w:val="right" w:pos="9026" w:leader="dot"/>
            </w:tabs>
            <w:rPr/>
          </w:pPr>
          <w:hyperlink w:anchor="__RefHeading___Toc2571378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لو اختلف الاسم مع الوصف أو اختلفا أو أحدهما مع الإشارة یتبع العقد</w:t>
            </w:r>
            <w:r>
              <w:rPr>
                <w:rStyle w:val="IndexLink"/>
                <w:rtl w:val="true"/>
              </w:rPr>
              <w:t>]</w:t>
              <w:tab/>
            </w:r>
            <w:r>
              <w:rPr>
                <w:rStyle w:val="IndexLink"/>
              </w:rPr>
              <w:t>788</w:t>
            </w:r>
          </w:hyperlink>
        </w:p>
        <w:p>
          <w:pPr>
            <w:pStyle w:val="Contents4"/>
            <w:tabs>
              <w:tab w:val="clear" w:pos="8176"/>
              <w:tab w:val="right" w:pos="9026" w:leader="dot"/>
            </w:tabs>
            <w:rPr/>
          </w:pPr>
          <w:hyperlink w:anchor="__RefHeading___Toc2571380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لا إشکال فی صحّة التوکیل فی النکاح من طرف واحد أو من طرفین</w:t>
            </w:r>
            <w:r>
              <w:rPr>
                <w:rStyle w:val="IndexLink"/>
                <w:rtl w:val="true"/>
              </w:rPr>
              <w:t>]</w:t>
              <w:tab/>
            </w:r>
            <w:r>
              <w:rPr>
                <w:rStyle w:val="IndexLink"/>
              </w:rPr>
              <w:t>788</w:t>
            </w:r>
          </w:hyperlink>
        </w:p>
        <w:p>
          <w:pPr>
            <w:pStyle w:val="Contents4"/>
            <w:tabs>
              <w:tab w:val="clear" w:pos="8176"/>
              <w:tab w:val="right" w:pos="9026" w:leader="dot"/>
            </w:tabs>
            <w:rPr/>
          </w:pPr>
          <w:hyperlink w:anchor="__RefHeading___Toc2571382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لو وکّلت المرأة رجلًا فی تزویجها لیس له أن یزوّجها من نفسه إلّا إذا صرّحت بالتعمیم</w:t>
            </w:r>
            <w:r>
              <w:rPr>
                <w:rStyle w:val="IndexLink"/>
                <w:rtl w:val="true"/>
              </w:rPr>
              <w:t>]</w:t>
              <w:tab/>
            </w:r>
            <w:r>
              <w:rPr>
                <w:rStyle w:val="IndexLink"/>
              </w:rPr>
              <w:t>788</w:t>
            </w:r>
          </w:hyperlink>
        </w:p>
        <w:p>
          <w:pPr>
            <w:pStyle w:val="Contents4"/>
            <w:tabs>
              <w:tab w:val="clear" w:pos="8176"/>
              <w:tab w:val="right" w:pos="9026" w:leader="dot"/>
            </w:tabs>
            <w:rPr/>
          </w:pPr>
          <w:hyperlink w:anchor="__RefHeading___Toc2571384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الأقویٰ جواز تولّی شخص واحد فی طرفی العقد</w:t>
            </w:r>
            <w:r>
              <w:rPr>
                <w:rStyle w:val="IndexLink"/>
                <w:rtl w:val="true"/>
              </w:rPr>
              <w:t>]</w:t>
              <w:tab/>
            </w:r>
            <w:r>
              <w:rPr>
                <w:rStyle w:val="IndexLink"/>
              </w:rPr>
              <w:t>789</w:t>
            </w:r>
          </w:hyperlink>
        </w:p>
        <w:p>
          <w:pPr>
            <w:pStyle w:val="Contents4"/>
            <w:tabs>
              <w:tab w:val="clear" w:pos="8176"/>
              <w:tab w:val="right" w:pos="9026" w:leader="dot"/>
            </w:tabs>
            <w:rPr/>
          </w:pPr>
          <w:hyperlink w:anchor="__RefHeading___Toc2571386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إذا وکّلا وکیلًا فی العقد فی زمان معیّن، لا یجوز لهما المقاربة بعد ذلک الزمان</w:t>
            </w:r>
            <w:r>
              <w:rPr>
                <w:rStyle w:val="IndexLink"/>
                <w:rtl w:val="true"/>
              </w:rPr>
              <w:t>]</w:t>
              <w:tab/>
            </w:r>
            <w:r>
              <w:rPr>
                <w:rStyle w:val="IndexLink"/>
              </w:rPr>
              <w:t>789</w:t>
            </w:r>
          </w:hyperlink>
        </w:p>
        <w:p>
          <w:pPr>
            <w:pStyle w:val="Contents4"/>
            <w:tabs>
              <w:tab w:val="clear" w:pos="8176"/>
              <w:tab w:val="right" w:pos="9026" w:leader="dot"/>
            </w:tabs>
            <w:rPr/>
          </w:pPr>
          <w:hyperlink w:anchor="__RefHeading___Toc2571388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لا یجوز اشتراط الخیار فی عقد النکاح دواماً أو انقطاعاً</w:t>
            </w:r>
            <w:r>
              <w:rPr>
                <w:rStyle w:val="IndexLink"/>
                <w:rtl w:val="true"/>
              </w:rPr>
              <w:t>]</w:t>
              <w:tab/>
            </w:r>
            <w:r>
              <w:rPr>
                <w:rStyle w:val="IndexLink"/>
              </w:rPr>
              <w:t>789</w:t>
            </w:r>
          </w:hyperlink>
        </w:p>
        <w:p>
          <w:pPr>
            <w:pStyle w:val="Contents4"/>
            <w:tabs>
              <w:tab w:val="clear" w:pos="8176"/>
              <w:tab w:val="right" w:pos="9026" w:leader="dot"/>
            </w:tabs>
            <w:rPr/>
          </w:pPr>
          <w:hyperlink w:anchor="__RefHeading___Toc2571390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إذا ادّعیٰ رجل زوجیّة امرأة فصدّقته، أو ادّعت امرأة زوجیّة رجل فصدّقها</w:t>
            </w:r>
            <w:r>
              <w:rPr>
                <w:rStyle w:val="IndexLink"/>
                <w:rtl w:val="true"/>
              </w:rPr>
              <w:t>]</w:t>
              <w:tab/>
            </w:r>
            <w:r>
              <w:rPr>
                <w:rStyle w:val="IndexLink"/>
              </w:rPr>
              <w:t>789</w:t>
            </w:r>
          </w:hyperlink>
        </w:p>
        <w:p>
          <w:pPr>
            <w:pStyle w:val="Contents4"/>
            <w:tabs>
              <w:tab w:val="clear" w:pos="8176"/>
              <w:tab w:val="right" w:pos="9026" w:leader="dot"/>
            </w:tabs>
            <w:rPr/>
          </w:pPr>
          <w:hyperlink w:anchor="__RefHeading___Toc2571392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إذا رجع المنکر عن إنکاره إلی الإقرار، یسمع منه و یحکم بالزوجیّة بینهما</w:t>
            </w:r>
            <w:r>
              <w:rPr>
                <w:rStyle w:val="IndexLink"/>
                <w:rtl w:val="true"/>
              </w:rPr>
              <w:t>]</w:t>
              <w:tab/>
            </w:r>
            <w:r>
              <w:rPr>
                <w:rStyle w:val="IndexLink"/>
              </w:rPr>
              <w:t>790</w:t>
            </w:r>
          </w:hyperlink>
        </w:p>
        <w:p>
          <w:pPr>
            <w:pStyle w:val="Contents4"/>
            <w:tabs>
              <w:tab w:val="clear" w:pos="8176"/>
              <w:tab w:val="right" w:pos="9026" w:leader="dot"/>
            </w:tabs>
            <w:rPr/>
          </w:pPr>
          <w:hyperlink w:anchor="__RefHeading___Toc2571394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إذا ادّعیٰ رجل زوجیّة امرأة و أنکرت، فهل لها أن تتزوّج من غیره</w:t>
            </w:r>
            <w:r>
              <w:rPr>
                <w:rStyle w:val="IndexLink"/>
                <w:rtl w:val="true"/>
              </w:rPr>
              <w:t>]</w:t>
              <w:tab/>
            </w:r>
            <w:r>
              <w:rPr>
                <w:rStyle w:val="IndexLink"/>
              </w:rPr>
              <w:t>790</w:t>
            </w:r>
          </w:hyperlink>
        </w:p>
        <w:p>
          <w:pPr>
            <w:pStyle w:val="Contents4"/>
            <w:tabs>
              <w:tab w:val="clear" w:pos="8176"/>
              <w:tab w:val="right" w:pos="9026" w:leader="dot"/>
            </w:tabs>
            <w:rPr/>
          </w:pPr>
          <w:hyperlink w:anchor="__RefHeading___Toc2571396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یجوز تزویج امرأة تدّعی أنّها خلیّة من الزوج مع احتمال صدقها من غیر فحص</w:t>
            </w:r>
            <w:r>
              <w:rPr>
                <w:rStyle w:val="IndexLink"/>
                <w:rtl w:val="true"/>
              </w:rPr>
              <w:t>]</w:t>
              <w:tab/>
            </w:r>
            <w:r>
              <w:rPr>
                <w:rStyle w:val="IndexLink"/>
              </w:rPr>
              <w:t>790</w:t>
            </w:r>
          </w:hyperlink>
        </w:p>
        <w:p>
          <w:pPr>
            <w:pStyle w:val="Contents4"/>
            <w:tabs>
              <w:tab w:val="clear" w:pos="8176"/>
              <w:tab w:val="right" w:pos="9026" w:leader="dot"/>
            </w:tabs>
            <w:rPr/>
          </w:pPr>
          <w:hyperlink w:anchor="__RefHeading___Toc2571398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إذا تزوّج بامرأة تدّعی أنّها خلیّة عن الزوج، فادّعیٰ رجل آخر زوجیّتها</w:t>
            </w:r>
            <w:r>
              <w:rPr>
                <w:rStyle w:val="IndexLink"/>
                <w:rtl w:val="true"/>
              </w:rPr>
              <w:t>]</w:t>
              <w:tab/>
            </w:r>
            <w:r>
              <w:rPr>
                <w:rStyle w:val="IndexLink"/>
              </w:rPr>
              <w:t>790</w:t>
            </w:r>
          </w:hyperlink>
        </w:p>
        <w:p>
          <w:pPr>
            <w:pStyle w:val="Contents4"/>
            <w:tabs>
              <w:tab w:val="clear" w:pos="8176"/>
              <w:tab w:val="right" w:pos="9026" w:leader="dot"/>
            </w:tabs>
            <w:rPr/>
          </w:pPr>
          <w:hyperlink w:anchor="__RefHeading___Toc2571400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إذا ادّعت امرأة أنّها خلیّة فتزوّجها رجل، ثمّ ادّعت بعد ذلک أنّها کانت ذات بعل لم تسمع دعواها</w:t>
            </w:r>
            <w:r>
              <w:rPr>
                <w:rStyle w:val="IndexLink"/>
                <w:rtl w:val="true"/>
              </w:rPr>
              <w:t>]</w:t>
              <w:tab/>
            </w:r>
            <w:r>
              <w:rPr>
                <w:rStyle w:val="IndexLink"/>
              </w:rPr>
              <w:t>791</w:t>
            </w:r>
          </w:hyperlink>
        </w:p>
        <w:p>
          <w:pPr>
            <w:pStyle w:val="Contents4"/>
            <w:tabs>
              <w:tab w:val="clear" w:pos="8176"/>
              <w:tab w:val="right" w:pos="9026" w:leader="dot"/>
            </w:tabs>
            <w:rPr/>
          </w:pPr>
          <w:hyperlink w:anchor="__RefHeading___Toc2571402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یشترط فی صحّة العقد الاختیار</w:t>
            </w:r>
            <w:r>
              <w:rPr>
                <w:rStyle w:val="IndexLink"/>
                <w:rtl w:val="true"/>
              </w:rPr>
              <w:t>]</w:t>
              <w:tab/>
            </w:r>
            <w:r>
              <w:rPr>
                <w:rStyle w:val="IndexLink"/>
              </w:rPr>
              <w:t>791</w:t>
            </w:r>
          </w:hyperlink>
        </w:p>
        <w:p>
          <w:pPr>
            <w:pStyle w:val="Contents3"/>
            <w:tabs>
              <w:tab w:val="clear" w:pos="8459"/>
              <w:tab w:val="right" w:pos="9026" w:leader="dot"/>
            </w:tabs>
            <w:rPr/>
          </w:pPr>
          <w:hyperlink w:anchor="__RefHeading___Toc2571404_3650668749">
            <w:r>
              <w:rPr>
                <w:webHidden/>
                <w:rStyle w:val="IndexLink"/>
                <w:rtl w:val="true"/>
              </w:rPr>
              <w:t>[</w:t>
            </w:r>
            <w:r>
              <w:rPr>
                <w:rStyle w:val="IndexLink"/>
                <w:rtl w:val="true"/>
              </w:rPr>
              <w:t>فصل فی أولیاء العقد</w:t>
            </w:r>
            <w:r>
              <w:rPr>
                <w:rStyle w:val="IndexLink"/>
                <w:rtl w:val="true"/>
              </w:rPr>
              <w:t>]</w:t>
              <w:tab/>
            </w:r>
            <w:r>
              <w:rPr>
                <w:rStyle w:val="IndexLink"/>
              </w:rPr>
              <w:t>791</w:t>
            </w:r>
          </w:hyperlink>
        </w:p>
        <w:p>
          <w:pPr>
            <w:pStyle w:val="Contents4"/>
            <w:tabs>
              <w:tab w:val="clear" w:pos="8176"/>
              <w:tab w:val="right" w:pos="9026" w:leader="dot"/>
            </w:tabs>
            <w:rPr/>
          </w:pPr>
          <w:hyperlink w:anchor="__RefHeading___Toc2571406_3650668749">
            <w:r>
              <w:rPr>
                <w:webHidden/>
                <w:rStyle w:val="IndexLink"/>
                <w:rtl w:val="true"/>
              </w:rPr>
              <w:t>اشارة</w:t>
            </w:r>
            <w:r>
              <w:rPr>
                <w:rStyle w:val="IndexLink"/>
                <w:rtl w:val="true"/>
              </w:rPr>
              <w:tab/>
            </w:r>
            <w:r>
              <w:rPr>
                <w:rStyle w:val="IndexLink"/>
              </w:rPr>
              <w:t>791</w:t>
            </w:r>
          </w:hyperlink>
        </w:p>
        <w:p>
          <w:pPr>
            <w:pStyle w:val="Contents4"/>
            <w:tabs>
              <w:tab w:val="clear" w:pos="8176"/>
              <w:tab w:val="right" w:pos="9026" w:leader="dot"/>
            </w:tabs>
            <w:rPr/>
          </w:pPr>
          <w:hyperlink w:anchor="__RefHeading___Toc257140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للأب و الجدّ من طرف الأب بمعنی أب الأب فصاعداً ولایة</w:t>
            </w:r>
            <w:r>
              <w:rPr>
                <w:rStyle w:val="IndexLink"/>
                <w:rtl w:val="true"/>
              </w:rPr>
              <w:t>]</w:t>
              <w:tab/>
            </w:r>
            <w:r>
              <w:rPr>
                <w:rStyle w:val="IndexLink"/>
              </w:rPr>
              <w:t>791</w:t>
            </w:r>
          </w:hyperlink>
        </w:p>
        <w:p>
          <w:pPr>
            <w:pStyle w:val="Contents4"/>
            <w:tabs>
              <w:tab w:val="clear" w:pos="8176"/>
              <w:tab w:val="right" w:pos="9026" w:leader="dot"/>
            </w:tabs>
            <w:rPr/>
          </w:pPr>
          <w:hyperlink w:anchor="__RefHeading___Toc257141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لیس للأب و الجدّ للأب ولایة علی البالغ الرشید</w:t>
            </w:r>
            <w:r>
              <w:rPr>
                <w:rStyle w:val="IndexLink"/>
                <w:rtl w:val="true"/>
              </w:rPr>
              <w:t>]</w:t>
              <w:tab/>
            </w:r>
            <w:r>
              <w:rPr>
                <w:rStyle w:val="IndexLink"/>
              </w:rPr>
              <w:t>791</w:t>
            </w:r>
          </w:hyperlink>
        </w:p>
        <w:p>
          <w:pPr>
            <w:pStyle w:val="Contents4"/>
            <w:tabs>
              <w:tab w:val="clear" w:pos="8176"/>
              <w:tab w:val="right" w:pos="9026" w:leader="dot"/>
            </w:tabs>
            <w:rPr/>
          </w:pPr>
          <w:hyperlink w:anchor="__RefHeading___Toc257141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ولایة الجدّ لیست منوطة بحیاة الأب و لا موته</w:t>
            </w:r>
            <w:r>
              <w:rPr>
                <w:rStyle w:val="IndexLink"/>
                <w:rtl w:val="true"/>
              </w:rPr>
              <w:t>]</w:t>
              <w:tab/>
            </w:r>
            <w:r>
              <w:rPr>
                <w:rStyle w:val="IndexLink"/>
              </w:rPr>
              <w:t>792</w:t>
            </w:r>
          </w:hyperlink>
        </w:p>
        <w:p>
          <w:pPr>
            <w:pStyle w:val="Contents4"/>
            <w:tabs>
              <w:tab w:val="clear" w:pos="8176"/>
              <w:tab w:val="right" w:pos="9026" w:leader="dot"/>
            </w:tabs>
            <w:rPr/>
          </w:pPr>
          <w:hyperlink w:anchor="__RefHeading___Toc257141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یشترط فی صحّة تزویج الأب و الجدّ و نفوذه عدم المفسدة</w:t>
            </w:r>
            <w:r>
              <w:rPr>
                <w:rStyle w:val="IndexLink"/>
                <w:rtl w:val="true"/>
              </w:rPr>
              <w:t>]</w:t>
              <w:tab/>
            </w:r>
            <w:r>
              <w:rPr>
                <w:rStyle w:val="IndexLink"/>
              </w:rPr>
              <w:t>792</w:t>
            </w:r>
          </w:hyperlink>
        </w:p>
        <w:p>
          <w:pPr>
            <w:pStyle w:val="Contents4"/>
            <w:tabs>
              <w:tab w:val="clear" w:pos="8176"/>
              <w:tab w:val="right" w:pos="9026" w:leader="dot"/>
            </w:tabs>
            <w:rPr/>
          </w:pPr>
          <w:hyperlink w:anchor="__RefHeading___Toc257141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وقع العقد من الأب أو الجدّ عن الصغیر أو الصغیرة مع مراعاة ما یجب مراعاته</w:t>
            </w:r>
            <w:r>
              <w:rPr>
                <w:rStyle w:val="IndexLink"/>
                <w:rtl w:val="true"/>
              </w:rPr>
              <w:t>]</w:t>
              <w:tab/>
            </w:r>
            <w:r>
              <w:rPr>
                <w:rStyle w:val="IndexLink"/>
              </w:rPr>
              <w:t>792</w:t>
            </w:r>
          </w:hyperlink>
        </w:p>
        <w:p>
          <w:pPr>
            <w:pStyle w:val="Contents4"/>
            <w:tabs>
              <w:tab w:val="clear" w:pos="8176"/>
              <w:tab w:val="right" w:pos="9026" w:leader="dot"/>
            </w:tabs>
            <w:rPr/>
          </w:pPr>
          <w:hyperlink w:anchor="__RefHeading___Toc257141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زوّج الولیّ الصغیرة بدون مهر المثل، أو زوّج الصغیر بأزید منه</w:t>
            </w:r>
            <w:r>
              <w:rPr>
                <w:rStyle w:val="IndexLink"/>
                <w:rtl w:val="true"/>
              </w:rPr>
              <w:t>]</w:t>
              <w:tab/>
            </w:r>
            <w:r>
              <w:rPr>
                <w:rStyle w:val="IndexLink"/>
              </w:rPr>
              <w:t>792</w:t>
            </w:r>
          </w:hyperlink>
        </w:p>
        <w:p>
          <w:pPr>
            <w:pStyle w:val="Contents4"/>
            <w:tabs>
              <w:tab w:val="clear" w:pos="8176"/>
              <w:tab w:val="right" w:pos="9026" w:leader="dot"/>
            </w:tabs>
            <w:rPr/>
          </w:pPr>
          <w:hyperlink w:anchor="__RefHeading___Toc2571420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السفیه المبذّر لا یصحّ نکاحه</w:t>
            </w:r>
            <w:r>
              <w:rPr>
                <w:rStyle w:val="IndexLink"/>
                <w:rtl w:val="true"/>
              </w:rPr>
              <w:t>]</w:t>
              <w:tab/>
            </w:r>
            <w:r>
              <w:rPr>
                <w:rStyle w:val="IndexLink"/>
              </w:rPr>
              <w:t>792</w:t>
            </w:r>
          </w:hyperlink>
        </w:p>
        <w:p>
          <w:pPr>
            <w:pStyle w:val="Contents4"/>
            <w:tabs>
              <w:tab w:val="clear" w:pos="8176"/>
              <w:tab w:val="right" w:pos="9026" w:leader="dot"/>
            </w:tabs>
            <w:rPr/>
          </w:pPr>
          <w:hyperlink w:anchor="__RefHeading___Toc2571422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زوّج الولیّ المولّی علیه بمن له عیب لم یصحّ</w:t>
            </w:r>
            <w:r>
              <w:rPr>
                <w:rStyle w:val="IndexLink"/>
                <w:rtl w:val="true"/>
              </w:rPr>
              <w:t>]</w:t>
              <w:tab/>
            </w:r>
            <w:r>
              <w:rPr>
                <w:rStyle w:val="IndexLink"/>
              </w:rPr>
              <w:t>793</w:t>
            </w:r>
          </w:hyperlink>
        </w:p>
        <w:p>
          <w:pPr>
            <w:pStyle w:val="Contents4"/>
            <w:tabs>
              <w:tab w:val="clear" w:pos="8176"/>
              <w:tab w:val="right" w:pos="9026" w:leader="dot"/>
            </w:tabs>
            <w:rPr/>
          </w:pPr>
          <w:hyperlink w:anchor="__RefHeading___Toc2571424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ینبغی بل یستحبّ للمرأة المالکة أمرها أن تستأذن أباها أو جدّها</w:t>
            </w:r>
            <w:r>
              <w:rPr>
                <w:rStyle w:val="IndexLink"/>
                <w:rtl w:val="true"/>
              </w:rPr>
              <w:t>]</w:t>
              <w:tab/>
            </w:r>
            <w:r>
              <w:rPr>
                <w:rStyle w:val="IndexLink"/>
              </w:rPr>
              <w:t>793</w:t>
            </w:r>
          </w:hyperlink>
        </w:p>
        <w:p>
          <w:pPr>
            <w:pStyle w:val="Contents4"/>
            <w:tabs>
              <w:tab w:val="clear" w:pos="8176"/>
              <w:tab w:val="right" w:pos="9026" w:leader="dot"/>
            </w:tabs>
            <w:rPr/>
          </w:pPr>
          <w:hyperlink w:anchor="__RefHeading___Toc2571426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لا ولایة للوصیّ</w:t>
            </w:r>
            <w:r>
              <w:rPr>
                <w:rStyle w:val="IndexLink"/>
                <w:rtl w:val="true"/>
              </w:rPr>
              <w:t>]</w:t>
              <w:tab/>
            </w:r>
            <w:r>
              <w:rPr>
                <w:rStyle w:val="IndexLink"/>
              </w:rPr>
              <w:t>793</w:t>
            </w:r>
          </w:hyperlink>
        </w:p>
        <w:p>
          <w:pPr>
            <w:pStyle w:val="Contents4"/>
            <w:tabs>
              <w:tab w:val="clear" w:pos="8176"/>
              <w:tab w:val="right" w:pos="9026" w:leader="dot"/>
            </w:tabs>
            <w:rPr/>
          </w:pPr>
          <w:hyperlink w:anchor="__RefHeading___Toc2571428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لیس للحاکم ولایة فی النکاح علی الصغیر</w:t>
            </w:r>
            <w:r>
              <w:rPr>
                <w:rStyle w:val="IndexLink"/>
                <w:rtl w:val="true"/>
              </w:rPr>
              <w:t>]</w:t>
              <w:tab/>
            </w:r>
            <w:r>
              <w:rPr>
                <w:rStyle w:val="IndexLink"/>
              </w:rPr>
              <w:t>793</w:t>
            </w:r>
          </w:hyperlink>
        </w:p>
        <w:p>
          <w:pPr>
            <w:pStyle w:val="Contents4"/>
            <w:tabs>
              <w:tab w:val="clear" w:pos="8176"/>
              <w:tab w:val="right" w:pos="9026" w:leader="dot"/>
            </w:tabs>
            <w:rPr/>
          </w:pPr>
          <w:hyperlink w:anchor="__RefHeading___Toc2571430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للمولیٰ أن یزوّج مملوکه بغیره</w:t>
            </w:r>
            <w:r>
              <w:rPr>
                <w:rStyle w:val="IndexLink"/>
                <w:rtl w:val="true"/>
              </w:rPr>
              <w:t>]</w:t>
              <w:tab/>
            </w:r>
            <w:r>
              <w:rPr>
                <w:rStyle w:val="IndexLink"/>
              </w:rPr>
              <w:t>793</w:t>
            </w:r>
          </w:hyperlink>
        </w:p>
        <w:p>
          <w:pPr>
            <w:pStyle w:val="Contents4"/>
            <w:tabs>
              <w:tab w:val="clear" w:pos="8176"/>
              <w:tab w:val="right" w:pos="9026" w:leader="dot"/>
            </w:tabs>
            <w:rPr/>
          </w:pPr>
          <w:hyperlink w:anchor="__RefHeading___Toc2571432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یشترط فی ولایة الأولیاء</w:t>
            </w:r>
            <w:r>
              <w:rPr>
                <w:rStyle w:val="IndexLink"/>
                <w:rtl w:val="true"/>
              </w:rPr>
              <w:t xml:space="preserve">: </w:t>
            </w:r>
            <w:r>
              <w:rPr>
                <w:rStyle w:val="IndexLink"/>
                <w:rtl w:val="true"/>
              </w:rPr>
              <w:t>البلوغ و العقل و الحرّیّة و الإسلام</w:t>
            </w:r>
            <w:r>
              <w:rPr>
                <w:rStyle w:val="IndexLink"/>
                <w:rtl w:val="true"/>
              </w:rPr>
              <w:t>]</w:t>
              <w:tab/>
            </w:r>
            <w:r>
              <w:rPr>
                <w:rStyle w:val="IndexLink"/>
              </w:rPr>
              <w:t>793</w:t>
            </w:r>
          </w:hyperlink>
        </w:p>
        <w:p>
          <w:pPr>
            <w:pStyle w:val="Contents4"/>
            <w:tabs>
              <w:tab w:val="clear" w:pos="8176"/>
              <w:tab w:val="right" w:pos="9026" w:leader="dot"/>
            </w:tabs>
            <w:rPr/>
          </w:pPr>
          <w:hyperlink w:anchor="__RefHeading___Toc2571434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العقد الصادر من غیر الوکیل و الولیّ المسمّی بالفضولیّ یصحّ مع الإجازة</w:t>
            </w:r>
            <w:r>
              <w:rPr>
                <w:rStyle w:val="IndexLink"/>
                <w:rtl w:val="true"/>
              </w:rPr>
              <w:t>]</w:t>
              <w:tab/>
            </w:r>
            <w:r>
              <w:rPr>
                <w:rStyle w:val="IndexLink"/>
              </w:rPr>
              <w:t>794</w:t>
            </w:r>
          </w:hyperlink>
        </w:p>
        <w:p>
          <w:pPr>
            <w:pStyle w:val="Contents4"/>
            <w:tabs>
              <w:tab w:val="clear" w:pos="8176"/>
              <w:tab w:val="right" w:pos="9026" w:leader="dot"/>
            </w:tabs>
            <w:rPr/>
          </w:pPr>
          <w:hyperlink w:anchor="__RefHeading___Toc2571436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إن کان المعقود له ممّن صحّ منه العقد لنفسه</w:t>
            </w:r>
            <w:r>
              <w:rPr>
                <w:rStyle w:val="IndexLink"/>
                <w:rtl w:val="true"/>
              </w:rPr>
              <w:t>]</w:t>
              <w:tab/>
            </w:r>
            <w:r>
              <w:rPr>
                <w:rStyle w:val="IndexLink"/>
              </w:rPr>
              <w:t>794</w:t>
            </w:r>
          </w:hyperlink>
        </w:p>
        <w:p>
          <w:pPr>
            <w:pStyle w:val="Contents4"/>
            <w:tabs>
              <w:tab w:val="clear" w:pos="8176"/>
              <w:tab w:val="right" w:pos="9026" w:leader="dot"/>
            </w:tabs>
            <w:rPr/>
          </w:pPr>
          <w:hyperlink w:anchor="__RefHeading___Toc2571438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لیست الإجازة علی الفور</w:t>
            </w:r>
            <w:r>
              <w:rPr>
                <w:rStyle w:val="IndexLink"/>
                <w:rtl w:val="true"/>
              </w:rPr>
              <w:t>]</w:t>
              <w:tab/>
            </w:r>
            <w:r>
              <w:rPr>
                <w:rStyle w:val="IndexLink"/>
              </w:rPr>
              <w:t>794</w:t>
            </w:r>
          </w:hyperlink>
        </w:p>
        <w:p>
          <w:pPr>
            <w:pStyle w:val="Contents4"/>
            <w:tabs>
              <w:tab w:val="clear" w:pos="8176"/>
              <w:tab w:val="right" w:pos="9026" w:leader="dot"/>
            </w:tabs>
            <w:rPr/>
          </w:pPr>
          <w:hyperlink w:anchor="__RefHeading___Toc2571440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لا أثر للإجازة بعد الردّ، و کذا لا أثر للردّ بعد الإجازة</w:t>
            </w:r>
            <w:r>
              <w:rPr>
                <w:rStyle w:val="IndexLink"/>
                <w:rtl w:val="true"/>
              </w:rPr>
              <w:t>]</w:t>
              <w:tab/>
            </w:r>
            <w:r>
              <w:rPr>
                <w:rStyle w:val="IndexLink"/>
              </w:rPr>
              <w:t>794</w:t>
            </w:r>
          </w:hyperlink>
        </w:p>
        <w:p>
          <w:pPr>
            <w:pStyle w:val="Contents4"/>
            <w:tabs>
              <w:tab w:val="clear" w:pos="8176"/>
              <w:tab w:val="right" w:pos="9026" w:leader="dot"/>
            </w:tabs>
            <w:rPr/>
          </w:pPr>
          <w:hyperlink w:anchor="__RefHeading___Toc2571442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إذا کان أحد الزوجین کارهاً حال العقد لکن لم یصدر منه ردّ له</w:t>
            </w:r>
            <w:r>
              <w:rPr>
                <w:rStyle w:val="IndexLink"/>
                <w:rtl w:val="true"/>
              </w:rPr>
              <w:t>]</w:t>
              <w:tab/>
            </w:r>
            <w:r>
              <w:rPr>
                <w:rStyle w:val="IndexLink"/>
              </w:rPr>
              <w:t>794</w:t>
            </w:r>
          </w:hyperlink>
        </w:p>
        <w:p>
          <w:pPr>
            <w:pStyle w:val="Contents4"/>
            <w:tabs>
              <w:tab w:val="clear" w:pos="8176"/>
              <w:tab w:val="right" w:pos="9026" w:leader="dot"/>
            </w:tabs>
            <w:rPr/>
          </w:pPr>
          <w:hyperlink w:anchor="__RefHeading___Toc2571444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یکفی فی الإجازة المصحّحة لعقد الفضولی کلّ ما دلّ علیٰ إنشاء الرضا بذلک العقد</w:t>
            </w:r>
            <w:r>
              <w:rPr>
                <w:rStyle w:val="IndexLink"/>
                <w:rtl w:val="true"/>
              </w:rPr>
              <w:t>]</w:t>
              <w:tab/>
            </w:r>
            <w:r>
              <w:rPr>
                <w:rStyle w:val="IndexLink"/>
              </w:rPr>
              <w:t>795</w:t>
            </w:r>
          </w:hyperlink>
        </w:p>
        <w:p>
          <w:pPr>
            <w:pStyle w:val="Contents4"/>
            <w:tabs>
              <w:tab w:val="clear" w:pos="8176"/>
              <w:tab w:val="right" w:pos="9026" w:leader="dot"/>
            </w:tabs>
            <w:rPr/>
          </w:pPr>
          <w:hyperlink w:anchor="__RefHeading___Toc2571446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لا یکفی الرضا القلبی فی صحّة العقد و خروجه عن الفضولیّة و عدم الاحتیاج إلی الإجازة</w:t>
            </w:r>
            <w:r>
              <w:rPr>
                <w:rStyle w:val="IndexLink"/>
                <w:rtl w:val="true"/>
              </w:rPr>
              <w:t>]</w:t>
              <w:tab/>
            </w:r>
            <w:r>
              <w:rPr>
                <w:rStyle w:val="IndexLink"/>
              </w:rPr>
              <w:t>795</w:t>
            </w:r>
          </w:hyperlink>
        </w:p>
        <w:p>
          <w:pPr>
            <w:pStyle w:val="Contents4"/>
            <w:tabs>
              <w:tab w:val="clear" w:pos="8176"/>
              <w:tab w:val="right" w:pos="9026" w:leader="dot"/>
            </w:tabs>
            <w:rPr/>
          </w:pPr>
          <w:hyperlink w:anchor="__RefHeading___Toc2571448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لا یعتبر فی وقوع العقد فضولیّاً قصد الفضولیّة، و لا الالتفات إلیها</w:t>
            </w:r>
            <w:r>
              <w:rPr>
                <w:rStyle w:val="IndexLink"/>
                <w:rtl w:val="true"/>
              </w:rPr>
              <w:t>]</w:t>
              <w:tab/>
            </w:r>
            <w:r>
              <w:rPr>
                <w:rStyle w:val="IndexLink"/>
              </w:rPr>
              <w:t>795</w:t>
            </w:r>
          </w:hyperlink>
        </w:p>
        <w:p>
          <w:pPr>
            <w:pStyle w:val="Contents4"/>
            <w:tabs>
              <w:tab w:val="clear" w:pos="8176"/>
              <w:tab w:val="right" w:pos="9026" w:leader="dot"/>
            </w:tabs>
            <w:rPr/>
          </w:pPr>
          <w:hyperlink w:anchor="__RefHeading___Toc2571450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إذا زوّج صغیران فضولًا، فإن أجاز ولیّهما قبل بلوغهما أو أجازا بعد بلوغهما أو بالاختلاف</w:t>
            </w:r>
            <w:r>
              <w:rPr>
                <w:rStyle w:val="IndexLink"/>
                <w:rtl w:val="true"/>
              </w:rPr>
              <w:t>]</w:t>
              <w:tab/>
            </w:r>
            <w:r>
              <w:rPr>
                <w:rStyle w:val="IndexLink"/>
              </w:rPr>
              <w:t>795</w:t>
            </w:r>
          </w:hyperlink>
        </w:p>
        <w:p>
          <w:pPr>
            <w:pStyle w:val="Contents4"/>
            <w:tabs>
              <w:tab w:val="clear" w:pos="8176"/>
              <w:tab w:val="right" w:pos="9026" w:leader="dot"/>
            </w:tabs>
            <w:rPr/>
          </w:pPr>
          <w:hyperlink w:anchor="__RefHeading___Toc2571452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و کما یترتّب الإرث علیٰ تقدیر الإجازة و الحلف، یترتّب الآثار الأُخر المترتّبة علی الزوجیّة أیضاً</w:t>
            </w:r>
            <w:r>
              <w:rPr>
                <w:rStyle w:val="IndexLink"/>
                <w:rtl w:val="true"/>
              </w:rPr>
              <w:t>]</w:t>
              <w:tab/>
            </w:r>
            <w:r>
              <w:rPr>
                <w:rStyle w:val="IndexLink"/>
              </w:rPr>
              <w:t>796</w:t>
            </w:r>
          </w:hyperlink>
        </w:p>
        <w:p>
          <w:pPr>
            <w:pStyle w:val="Contents4"/>
            <w:tabs>
              <w:tab w:val="clear" w:pos="8176"/>
              <w:tab w:val="right" w:pos="9026" w:leader="dot"/>
            </w:tabs>
            <w:rPr/>
          </w:pPr>
          <w:hyperlink w:anchor="__RefHeading___Toc2571454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الظاهر جریان هذا الحکم فی کلّ مورد مات من لزم العقد من طرفه و بقی من یتوقّف زوجیّته علیٰ إجازته</w:t>
            </w:r>
            <w:r>
              <w:rPr>
                <w:rStyle w:val="IndexLink"/>
                <w:rtl w:val="true"/>
              </w:rPr>
              <w:t>]</w:t>
              <w:tab/>
            </w:r>
            <w:r>
              <w:rPr>
                <w:rStyle w:val="IndexLink"/>
              </w:rPr>
              <w:t>796</w:t>
            </w:r>
          </w:hyperlink>
        </w:p>
        <w:p>
          <w:pPr>
            <w:pStyle w:val="Contents4"/>
            <w:tabs>
              <w:tab w:val="clear" w:pos="8176"/>
              <w:tab w:val="right" w:pos="9026" w:leader="dot"/>
            </w:tabs>
            <w:rPr/>
          </w:pPr>
          <w:hyperlink w:anchor="__RefHeading___Toc2571456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إذا کان العقد فضولیّاً من أحد الطرفین، کان لازماً من طرف الأصیل</w:t>
            </w:r>
            <w:r>
              <w:rPr>
                <w:rStyle w:val="IndexLink"/>
                <w:rtl w:val="true"/>
              </w:rPr>
              <w:t>]</w:t>
              <w:tab/>
            </w:r>
            <w:r>
              <w:rPr>
                <w:rStyle w:val="IndexLink"/>
              </w:rPr>
              <w:t>796</w:t>
            </w:r>
          </w:hyperlink>
        </w:p>
        <w:p>
          <w:pPr>
            <w:pStyle w:val="Contents4"/>
            <w:tabs>
              <w:tab w:val="clear" w:pos="8176"/>
              <w:tab w:val="right" w:pos="9026" w:leader="dot"/>
            </w:tabs>
            <w:rPr/>
          </w:pPr>
          <w:hyperlink w:anchor="__RefHeading___Toc2571458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إذا ردّ المعقود أو المعقودة العقد الواقع فضولًا، صار العقد کأنّه لم یقع</w:t>
            </w:r>
            <w:r>
              <w:rPr>
                <w:rStyle w:val="IndexLink"/>
                <w:rtl w:val="true"/>
              </w:rPr>
              <w:t>]</w:t>
              <w:tab/>
            </w:r>
            <w:r>
              <w:rPr>
                <w:rStyle w:val="IndexLink"/>
              </w:rPr>
              <w:t>796</w:t>
            </w:r>
          </w:hyperlink>
        </w:p>
        <w:p>
          <w:pPr>
            <w:pStyle w:val="Contents4"/>
            <w:tabs>
              <w:tab w:val="clear" w:pos="8176"/>
              <w:tab w:val="right" w:pos="9026" w:leader="dot"/>
            </w:tabs>
            <w:rPr/>
          </w:pPr>
          <w:hyperlink w:anchor="__RefHeading___Toc2571460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إذا زوّج الفضولی امرأة برجل من دون اطّلاعها، و تزوّجت هی برجل آخر، صحّ</w:t>
            </w:r>
            <w:r>
              <w:rPr>
                <w:rStyle w:val="IndexLink"/>
                <w:rtl w:val="true"/>
              </w:rPr>
              <w:t>]</w:t>
              <w:tab/>
            </w:r>
            <w:r>
              <w:rPr>
                <w:rStyle w:val="IndexLink"/>
              </w:rPr>
              <w:t>797</w:t>
            </w:r>
          </w:hyperlink>
        </w:p>
        <w:p>
          <w:pPr>
            <w:pStyle w:val="Contents4"/>
            <w:tabs>
              <w:tab w:val="clear" w:pos="8176"/>
              <w:tab w:val="right" w:pos="9026" w:leader="dot"/>
            </w:tabs>
            <w:rPr/>
          </w:pPr>
          <w:hyperlink w:anchor="__RefHeading___Toc2571462_3650668749">
            <w:r>
              <w:rPr>
                <w:webHidden/>
                <w:rStyle w:val="IndexLink"/>
                <w:rtl w:val="true"/>
              </w:rPr>
              <w:t>[ (</w:t>
            </w:r>
            <w:r>
              <w:rPr>
                <w:rStyle w:val="IndexLink"/>
                <w:rtl w:val="true"/>
              </w:rPr>
              <w:t xml:space="preserve">مسألة </w:t>
            </w:r>
            <w:r>
              <w:rPr>
                <w:rStyle w:val="IndexLink"/>
              </w:rPr>
              <w:t>28</w:t>
            </w:r>
            <w:r>
              <w:rPr>
                <w:rStyle w:val="IndexLink"/>
                <w:rtl w:val="true"/>
              </w:rPr>
              <w:t xml:space="preserve">): </w:t>
            </w:r>
            <w:r>
              <w:rPr>
                <w:rStyle w:val="IndexLink"/>
                <w:rtl w:val="true"/>
              </w:rPr>
              <w:t>لو زوّج فضولیّان امرأة؛ کلّ منهما برجل، کانت بالخیار فی إجازة أیّهما شاءت و إن شاءت ردّتهما</w:t>
            </w:r>
            <w:r>
              <w:rPr>
                <w:rStyle w:val="IndexLink"/>
                <w:rtl w:val="true"/>
              </w:rPr>
              <w:t>]</w:t>
              <w:tab/>
            </w:r>
            <w:r>
              <w:rPr>
                <w:rStyle w:val="IndexLink"/>
              </w:rPr>
              <w:t>797</w:t>
            </w:r>
          </w:hyperlink>
        </w:p>
        <w:p>
          <w:pPr>
            <w:pStyle w:val="Contents4"/>
            <w:tabs>
              <w:tab w:val="clear" w:pos="8176"/>
              <w:tab w:val="right" w:pos="9026" w:leader="dot"/>
            </w:tabs>
            <w:rPr/>
          </w:pPr>
          <w:hyperlink w:anchor="__RefHeading___Toc2571464_3650668749">
            <w:r>
              <w:rPr>
                <w:webHidden/>
                <w:rStyle w:val="IndexLink"/>
                <w:rtl w:val="true"/>
              </w:rPr>
              <w:t>[ (</w:t>
            </w:r>
            <w:r>
              <w:rPr>
                <w:rStyle w:val="IndexLink"/>
                <w:rtl w:val="true"/>
              </w:rPr>
              <w:t xml:space="preserve">مسألة </w:t>
            </w:r>
            <w:r>
              <w:rPr>
                <w:rStyle w:val="IndexLink"/>
              </w:rPr>
              <w:t>29</w:t>
            </w:r>
            <w:r>
              <w:rPr>
                <w:rStyle w:val="IndexLink"/>
                <w:rtl w:val="true"/>
              </w:rPr>
              <w:t xml:space="preserve">): </w:t>
            </w:r>
            <w:r>
              <w:rPr>
                <w:rStyle w:val="IndexLink"/>
                <w:rtl w:val="true"/>
              </w:rPr>
              <w:t>لو وکّلت رجلین فی تزویجها، فزوّجها کلّ منهما برجل، فإن سبق أحدهما صحّ و لغا الآخر</w:t>
            </w:r>
            <w:r>
              <w:rPr>
                <w:rStyle w:val="IndexLink"/>
                <w:rtl w:val="true"/>
              </w:rPr>
              <w:t>]</w:t>
              <w:tab/>
            </w:r>
            <w:r>
              <w:rPr>
                <w:rStyle w:val="IndexLink"/>
              </w:rPr>
              <w:t>797</w:t>
            </w:r>
          </w:hyperlink>
        </w:p>
        <w:p>
          <w:pPr>
            <w:pStyle w:val="Contents4"/>
            <w:tabs>
              <w:tab w:val="clear" w:pos="8176"/>
              <w:tab w:val="right" w:pos="9026" w:leader="dot"/>
            </w:tabs>
            <w:rPr/>
          </w:pPr>
          <w:hyperlink w:anchor="__RefHeading___Toc2571466_3650668749">
            <w:r>
              <w:rPr>
                <w:webHidden/>
                <w:rStyle w:val="IndexLink"/>
                <w:rtl w:val="true"/>
              </w:rPr>
              <w:t>[ (</w:t>
            </w:r>
            <w:r>
              <w:rPr>
                <w:rStyle w:val="IndexLink"/>
                <w:rtl w:val="true"/>
              </w:rPr>
              <w:t xml:space="preserve">مسألة </w:t>
            </w:r>
            <w:r>
              <w:rPr>
                <w:rStyle w:val="IndexLink"/>
              </w:rPr>
              <w:t>30</w:t>
            </w:r>
            <w:r>
              <w:rPr>
                <w:rStyle w:val="IndexLink"/>
                <w:rtl w:val="true"/>
              </w:rPr>
              <w:t xml:space="preserve">): </w:t>
            </w:r>
            <w:r>
              <w:rPr>
                <w:rStyle w:val="IndexLink"/>
                <w:rtl w:val="true"/>
              </w:rPr>
              <w:t>لو ادّعیٰ أحد الزوجین سبق عقده، فإن صدّقه الآخر و</w:t>
            </w:r>
            <w:r>
              <w:rPr>
                <w:rStyle w:val="IndexLink"/>
                <w:rtl w:val="true"/>
              </w:rPr>
              <w:t xml:space="preserve">- </w:t>
            </w:r>
            <w:r>
              <w:rPr>
                <w:rStyle w:val="IndexLink"/>
                <w:rtl w:val="true"/>
              </w:rPr>
              <w:t>کذا الزوجة</w:t>
            </w:r>
            <w:r>
              <w:rPr>
                <w:rStyle w:val="IndexLink"/>
                <w:rtl w:val="true"/>
              </w:rPr>
              <w:t>]</w:t>
              <w:tab/>
            </w:r>
            <w:r>
              <w:rPr>
                <w:rStyle w:val="IndexLink"/>
              </w:rPr>
              <w:t>797</w:t>
            </w:r>
          </w:hyperlink>
        </w:p>
        <w:p>
          <w:pPr>
            <w:pStyle w:val="Contents4"/>
            <w:tabs>
              <w:tab w:val="clear" w:pos="8176"/>
              <w:tab w:val="right" w:pos="9026" w:leader="dot"/>
            </w:tabs>
            <w:rPr/>
          </w:pPr>
          <w:hyperlink w:anchor="__RefHeading___Toc2571468_3650668749">
            <w:r>
              <w:rPr>
                <w:webHidden/>
                <w:rStyle w:val="IndexLink"/>
                <w:rtl w:val="true"/>
              </w:rPr>
              <w:t>[ (</w:t>
            </w:r>
            <w:r>
              <w:rPr>
                <w:rStyle w:val="IndexLink"/>
                <w:rtl w:val="true"/>
              </w:rPr>
              <w:t xml:space="preserve">مسألة </w:t>
            </w:r>
            <w:r>
              <w:rPr>
                <w:rStyle w:val="IndexLink"/>
              </w:rPr>
              <w:t>31</w:t>
            </w:r>
            <w:r>
              <w:rPr>
                <w:rStyle w:val="IndexLink"/>
                <w:rtl w:val="true"/>
              </w:rPr>
              <w:t xml:space="preserve">): </w:t>
            </w:r>
            <w:r>
              <w:rPr>
                <w:rStyle w:val="IndexLink"/>
                <w:rtl w:val="true"/>
              </w:rPr>
              <w:t>لو زوّج أحدُ الوکیلین عن الرجل له بامرأة، و الآخر بنتها صحّ السابق</w:t>
            </w:r>
            <w:r>
              <w:rPr>
                <w:rStyle w:val="IndexLink"/>
                <w:rtl w:val="true"/>
              </w:rPr>
              <w:t>]</w:t>
              <w:tab/>
            </w:r>
            <w:r>
              <w:rPr>
                <w:rStyle w:val="IndexLink"/>
              </w:rPr>
              <w:t>798</w:t>
            </w:r>
          </w:hyperlink>
        </w:p>
        <w:p>
          <w:pPr>
            <w:pStyle w:val="Contents3"/>
            <w:tabs>
              <w:tab w:val="clear" w:pos="8459"/>
              <w:tab w:val="right" w:pos="9026" w:leader="dot"/>
            </w:tabs>
            <w:rPr/>
          </w:pPr>
          <w:hyperlink w:anchor="__RefHeading___Toc2571470_3650668749">
            <w:r>
              <w:rPr>
                <w:webHidden/>
                <w:rStyle w:val="IndexLink"/>
                <w:rtl w:val="true"/>
              </w:rPr>
              <w:t>[</w:t>
            </w:r>
            <w:r>
              <w:rPr>
                <w:rStyle w:val="IndexLink"/>
                <w:rtl w:val="true"/>
              </w:rPr>
              <w:t>فصل فی أسباب التحریم</w:t>
            </w:r>
            <w:r>
              <w:rPr>
                <w:rStyle w:val="IndexLink"/>
                <w:rtl w:val="true"/>
              </w:rPr>
              <w:t>]</w:t>
              <w:tab/>
            </w:r>
            <w:r>
              <w:rPr>
                <w:rStyle w:val="IndexLink"/>
              </w:rPr>
              <w:t>799</w:t>
            </w:r>
          </w:hyperlink>
        </w:p>
        <w:p>
          <w:pPr>
            <w:pStyle w:val="Contents4"/>
            <w:tabs>
              <w:tab w:val="clear" w:pos="8176"/>
              <w:tab w:val="right" w:pos="9026" w:leader="dot"/>
            </w:tabs>
            <w:rPr/>
          </w:pPr>
          <w:hyperlink w:anchor="__RefHeading___Toc2571472_3650668749">
            <w:r>
              <w:rPr>
                <w:webHidden/>
                <w:rStyle w:val="IndexLink"/>
                <w:rtl w:val="true"/>
              </w:rPr>
              <w:t>اشارة</w:t>
            </w:r>
            <w:r>
              <w:rPr>
                <w:rStyle w:val="IndexLink"/>
                <w:rtl w:val="true"/>
              </w:rPr>
              <w:tab/>
            </w:r>
            <w:r>
              <w:rPr>
                <w:rStyle w:val="IndexLink"/>
              </w:rPr>
              <w:t>799</w:t>
            </w:r>
          </w:hyperlink>
        </w:p>
        <w:p>
          <w:pPr>
            <w:pStyle w:val="Contents4"/>
            <w:tabs>
              <w:tab w:val="clear" w:pos="8176"/>
              <w:tab w:val="right" w:pos="9026" w:leader="dot"/>
            </w:tabs>
            <w:rPr/>
          </w:pPr>
          <w:hyperlink w:anchor="__RefHeading___Toc2571474_3650668749">
            <w:r>
              <w:rPr>
                <w:webHidden/>
                <w:rStyle w:val="IndexLink"/>
                <w:rtl w:val="true"/>
              </w:rPr>
              <w:t>[</w:t>
            </w:r>
            <w:r>
              <w:rPr>
                <w:rStyle w:val="IndexLink"/>
                <w:rtl w:val="true"/>
              </w:rPr>
              <w:t>القول فی النسب</w:t>
            </w:r>
            <w:r>
              <w:rPr>
                <w:rStyle w:val="IndexLink"/>
                <w:rtl w:val="true"/>
              </w:rPr>
              <w:t>]</w:t>
              <w:tab/>
            </w:r>
            <w:r>
              <w:rPr>
                <w:rStyle w:val="IndexLink"/>
              </w:rPr>
              <w:t>799</w:t>
            </w:r>
          </w:hyperlink>
        </w:p>
        <w:p>
          <w:pPr>
            <w:pStyle w:val="Contents5"/>
            <w:tabs>
              <w:tab w:val="clear" w:pos="7892"/>
              <w:tab w:val="right" w:pos="9026" w:leader="dot"/>
            </w:tabs>
            <w:rPr/>
          </w:pPr>
          <w:hyperlink w:anchor="__RefHeading___Toc2571476_3650668749">
            <w:r>
              <w:rPr>
                <w:webHidden/>
                <w:rStyle w:val="IndexLink"/>
                <w:rtl w:val="true"/>
              </w:rPr>
              <w:t>اشارة</w:t>
            </w:r>
            <w:r>
              <w:rPr>
                <w:rStyle w:val="IndexLink"/>
                <w:rtl w:val="true"/>
              </w:rPr>
              <w:tab/>
            </w:r>
            <w:r>
              <w:rPr>
                <w:rStyle w:val="IndexLink"/>
              </w:rPr>
              <w:t>799</w:t>
            </w:r>
          </w:hyperlink>
        </w:p>
        <w:p>
          <w:pPr>
            <w:pStyle w:val="Contents5"/>
            <w:tabs>
              <w:tab w:val="clear" w:pos="7892"/>
              <w:tab w:val="right" w:pos="9026" w:leader="dot"/>
            </w:tabs>
            <w:rPr/>
          </w:pPr>
          <w:hyperlink w:anchor="__RefHeading___Toc257147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تحرم عمّة العمّة و لا خالة الخالة ما لم تدخلا فی عنوانی العمّة و الخالة و لو بالواسطة</w:t>
            </w:r>
            <w:r>
              <w:rPr>
                <w:rStyle w:val="IndexLink"/>
                <w:rtl w:val="true"/>
              </w:rPr>
              <w:t>]</w:t>
              <w:tab/>
            </w:r>
            <w:r>
              <w:rPr>
                <w:rStyle w:val="IndexLink"/>
              </w:rPr>
              <w:t>800</w:t>
            </w:r>
          </w:hyperlink>
        </w:p>
        <w:p>
          <w:pPr>
            <w:pStyle w:val="Contents5"/>
            <w:tabs>
              <w:tab w:val="clear" w:pos="7892"/>
              <w:tab w:val="right" w:pos="9026" w:leader="dot"/>
            </w:tabs>
            <w:rPr/>
          </w:pPr>
          <w:hyperlink w:anchor="__RefHeading___Toc257148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النسب إمّا شرعی و هو ما کان بسبب وطء حلال ذاتاً بسبب شرعی</w:t>
            </w:r>
            <w:r>
              <w:rPr>
                <w:rStyle w:val="IndexLink"/>
                <w:rtl w:val="true"/>
              </w:rPr>
              <w:t>]</w:t>
              <w:tab/>
            </w:r>
            <w:r>
              <w:rPr>
                <w:rStyle w:val="IndexLink"/>
              </w:rPr>
              <w:t>800</w:t>
            </w:r>
          </w:hyperlink>
        </w:p>
        <w:p>
          <w:pPr>
            <w:pStyle w:val="Contents5"/>
            <w:tabs>
              <w:tab w:val="clear" w:pos="7892"/>
              <w:tab w:val="right" w:pos="9026" w:leader="dot"/>
            </w:tabs>
            <w:rPr/>
          </w:pPr>
          <w:hyperlink w:anchor="__RefHeading___Toc257148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المراد بوطء الشبهة الوطء الذی لیس بمستحقّ مع عدم العلم</w:t>
            </w:r>
            <w:r>
              <w:rPr>
                <w:rStyle w:val="IndexLink"/>
                <w:rtl w:val="true"/>
              </w:rPr>
              <w:t>]</w:t>
              <w:tab/>
            </w:r>
            <w:r>
              <w:rPr>
                <w:rStyle w:val="IndexLink"/>
              </w:rPr>
              <w:t>801</w:t>
            </w:r>
          </w:hyperlink>
        </w:p>
        <w:p>
          <w:pPr>
            <w:pStyle w:val="Contents4"/>
            <w:tabs>
              <w:tab w:val="clear" w:pos="8176"/>
              <w:tab w:val="right" w:pos="9026" w:leader="dot"/>
            </w:tabs>
            <w:rPr/>
          </w:pPr>
          <w:hyperlink w:anchor="__RefHeading___Toc2571484_3650668749">
            <w:r>
              <w:rPr>
                <w:webHidden/>
                <w:rStyle w:val="IndexLink"/>
                <w:rtl w:val="true"/>
              </w:rPr>
              <w:t>[</w:t>
            </w:r>
            <w:r>
              <w:rPr>
                <w:rStyle w:val="IndexLink"/>
                <w:rtl w:val="true"/>
              </w:rPr>
              <w:t>القول فی الرضاع</w:t>
            </w:r>
            <w:r>
              <w:rPr>
                <w:rStyle w:val="IndexLink"/>
                <w:rtl w:val="true"/>
              </w:rPr>
              <w:t>]</w:t>
              <w:tab/>
            </w:r>
            <w:r>
              <w:rPr>
                <w:rStyle w:val="IndexLink"/>
              </w:rPr>
              <w:t>801</w:t>
            </w:r>
          </w:hyperlink>
        </w:p>
        <w:p>
          <w:pPr>
            <w:pStyle w:val="Contents5"/>
            <w:tabs>
              <w:tab w:val="clear" w:pos="7892"/>
              <w:tab w:val="right" w:pos="9026" w:leader="dot"/>
            </w:tabs>
            <w:rPr/>
          </w:pPr>
          <w:hyperlink w:anchor="__RefHeading___Toc2571486_3650668749">
            <w:r>
              <w:rPr>
                <w:webHidden/>
                <w:rStyle w:val="IndexLink"/>
                <w:rtl w:val="true"/>
              </w:rPr>
              <w:t>اشارة</w:t>
            </w:r>
            <w:r>
              <w:rPr>
                <w:rStyle w:val="IndexLink"/>
                <w:rtl w:val="true"/>
              </w:rPr>
              <w:tab/>
            </w:r>
            <w:r>
              <w:rPr>
                <w:rStyle w:val="IndexLink"/>
              </w:rPr>
              <w:t>801</w:t>
            </w:r>
          </w:hyperlink>
        </w:p>
        <w:p>
          <w:pPr>
            <w:pStyle w:val="Contents5"/>
            <w:tabs>
              <w:tab w:val="clear" w:pos="7892"/>
              <w:tab w:val="right" w:pos="9026" w:leader="dot"/>
            </w:tabs>
            <w:rPr/>
          </w:pPr>
          <w:hyperlink w:anchor="__RefHeading___Toc2571488_3650668749">
            <w:r>
              <w:rPr>
                <w:webHidden/>
                <w:rStyle w:val="IndexLink"/>
                <w:rtl w:val="true"/>
              </w:rPr>
              <w:t>[</w:t>
            </w:r>
            <w:r>
              <w:rPr>
                <w:rStyle w:val="IndexLink"/>
                <w:rtl w:val="true"/>
              </w:rPr>
              <w:t>انتشار الحرمة بالرضاع یتوقّف علیٰ شروط</w:t>
            </w:r>
            <w:r>
              <w:rPr>
                <w:rStyle w:val="IndexLink"/>
                <w:rtl w:val="true"/>
              </w:rPr>
              <w:t>]</w:t>
              <w:tab/>
            </w:r>
            <w:r>
              <w:rPr>
                <w:rStyle w:val="IndexLink"/>
              </w:rPr>
              <w:t>801</w:t>
            </w:r>
          </w:hyperlink>
        </w:p>
        <w:p>
          <w:pPr>
            <w:pStyle w:val="Contents6"/>
            <w:tabs>
              <w:tab w:val="clear" w:pos="7609"/>
              <w:tab w:val="right" w:pos="9026" w:leader="dot"/>
            </w:tabs>
            <w:rPr/>
          </w:pPr>
          <w:hyperlink w:anchor="__RefHeading___Toc2571490_3650668749">
            <w:r>
              <w:rPr>
                <w:webHidden/>
                <w:rStyle w:val="IndexLink"/>
                <w:rtl w:val="true"/>
              </w:rPr>
              <w:t>اشارة</w:t>
            </w:r>
            <w:r>
              <w:rPr>
                <w:rStyle w:val="IndexLink"/>
                <w:rtl w:val="true"/>
              </w:rPr>
              <w:tab/>
            </w:r>
            <w:r>
              <w:rPr>
                <w:rStyle w:val="IndexLink"/>
              </w:rPr>
              <w:t>801</w:t>
            </w:r>
          </w:hyperlink>
        </w:p>
        <w:p>
          <w:pPr>
            <w:pStyle w:val="Contents6"/>
            <w:tabs>
              <w:tab w:val="clear" w:pos="7609"/>
              <w:tab w:val="right" w:pos="9026" w:leader="dot"/>
            </w:tabs>
            <w:rPr/>
          </w:pPr>
          <w:hyperlink w:anchor="__RefHeading___Toc2571492_3650668749">
            <w:r>
              <w:rPr>
                <w:webHidden/>
                <w:rStyle w:val="IndexLink"/>
                <w:rtl w:val="true"/>
              </w:rPr>
              <w:t>[</w:t>
            </w:r>
            <w:r>
              <w:rPr>
                <w:rStyle w:val="IndexLink"/>
                <w:rtl w:val="true"/>
              </w:rPr>
              <w:t>الأوّل</w:t>
            </w:r>
            <w:r>
              <w:rPr>
                <w:rStyle w:val="IndexLink"/>
                <w:rtl w:val="true"/>
              </w:rPr>
              <w:t xml:space="preserve">: </w:t>
            </w:r>
            <w:r>
              <w:rPr>
                <w:rStyle w:val="IndexLink"/>
                <w:rtl w:val="true"/>
              </w:rPr>
              <w:t>أن یکون اللبن حاصلًا من وطء جائز شرعاً</w:t>
            </w:r>
            <w:r>
              <w:rPr>
                <w:rStyle w:val="IndexLink"/>
                <w:rtl w:val="true"/>
              </w:rPr>
              <w:t>]</w:t>
              <w:tab/>
            </w:r>
            <w:r>
              <w:rPr>
                <w:rStyle w:val="IndexLink"/>
              </w:rPr>
              <w:t>801</w:t>
            </w:r>
          </w:hyperlink>
        </w:p>
        <w:p>
          <w:pPr>
            <w:pStyle w:val="Contents6"/>
            <w:tabs>
              <w:tab w:val="clear" w:pos="7609"/>
              <w:tab w:val="right" w:pos="9026" w:leader="dot"/>
            </w:tabs>
            <w:rPr/>
          </w:pPr>
          <w:hyperlink w:anchor="__RefHeading___Toc2571494_3650668749">
            <w:r>
              <w:rPr>
                <w:webHidden/>
                <w:rStyle w:val="IndexLink"/>
                <w:rtl w:val="true"/>
              </w:rPr>
              <w:t>اشارة</w:t>
            </w:r>
            <w:r>
              <w:rPr>
                <w:rStyle w:val="IndexLink"/>
                <w:rtl w:val="true"/>
              </w:rPr>
              <w:tab/>
            </w:r>
            <w:r>
              <w:rPr>
                <w:rStyle w:val="IndexLink"/>
              </w:rPr>
              <w:t>801</w:t>
            </w:r>
          </w:hyperlink>
        </w:p>
        <w:p>
          <w:pPr>
            <w:pStyle w:val="Contents6"/>
            <w:tabs>
              <w:tab w:val="clear" w:pos="7609"/>
              <w:tab w:val="right" w:pos="9026" w:leader="dot"/>
            </w:tabs>
            <w:rPr/>
          </w:pPr>
          <w:hyperlink w:anchor="__RefHeading___Toc257149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یعتبر فی النشر بقاء المرأة فی حبال الرجل</w:t>
            </w:r>
            <w:r>
              <w:rPr>
                <w:rStyle w:val="IndexLink"/>
                <w:rtl w:val="true"/>
              </w:rPr>
              <w:t>]</w:t>
              <w:tab/>
            </w:r>
            <w:r>
              <w:rPr>
                <w:rStyle w:val="IndexLink"/>
              </w:rPr>
              <w:t>801</w:t>
            </w:r>
          </w:hyperlink>
        </w:p>
        <w:p>
          <w:pPr>
            <w:pStyle w:val="Contents6"/>
            <w:tabs>
              <w:tab w:val="clear" w:pos="7609"/>
              <w:tab w:val="right" w:pos="9026" w:leader="dot"/>
            </w:tabs>
            <w:rPr/>
          </w:pPr>
          <w:hyperlink w:anchor="__RefHeading___Toc2571498_3650668749">
            <w:r>
              <w:rPr>
                <w:webHidden/>
                <w:rStyle w:val="IndexLink"/>
                <w:rtl w:val="true"/>
              </w:rPr>
              <w:t>[</w:t>
            </w:r>
            <w:r>
              <w:rPr>
                <w:rStyle w:val="IndexLink"/>
                <w:rtl w:val="true"/>
              </w:rPr>
              <w:t>الثانی</w:t>
            </w:r>
            <w:r>
              <w:rPr>
                <w:rStyle w:val="IndexLink"/>
                <w:rtl w:val="true"/>
              </w:rPr>
              <w:t xml:space="preserve">: </w:t>
            </w:r>
            <w:r>
              <w:rPr>
                <w:rStyle w:val="IndexLink"/>
                <w:rtl w:val="true"/>
              </w:rPr>
              <w:t>أن یکون شرب اللبن بالامتصاص من الثدی</w:t>
            </w:r>
            <w:r>
              <w:rPr>
                <w:rStyle w:val="IndexLink"/>
                <w:rtl w:val="true"/>
              </w:rPr>
              <w:t>]</w:t>
              <w:tab/>
            </w:r>
            <w:r>
              <w:rPr>
                <w:rStyle w:val="IndexLink"/>
              </w:rPr>
              <w:t>801</w:t>
            </w:r>
          </w:hyperlink>
        </w:p>
        <w:p>
          <w:pPr>
            <w:pStyle w:val="Contents6"/>
            <w:tabs>
              <w:tab w:val="clear" w:pos="7609"/>
              <w:tab w:val="right" w:pos="9026" w:leader="dot"/>
            </w:tabs>
            <w:rPr/>
          </w:pPr>
          <w:hyperlink w:anchor="__RefHeading___Toc2571500_3650668749">
            <w:r>
              <w:rPr>
                <w:webHidden/>
                <w:rStyle w:val="IndexLink"/>
                <w:rtl w:val="true"/>
              </w:rPr>
              <w:t>[</w:t>
            </w:r>
            <w:r>
              <w:rPr>
                <w:rStyle w:val="IndexLink"/>
                <w:rtl w:val="true"/>
              </w:rPr>
              <w:t>الثالث</w:t>
            </w:r>
            <w:r>
              <w:rPr>
                <w:rStyle w:val="IndexLink"/>
                <w:rtl w:val="true"/>
              </w:rPr>
              <w:t xml:space="preserve">: </w:t>
            </w:r>
            <w:r>
              <w:rPr>
                <w:rStyle w:val="IndexLink"/>
                <w:rtl w:val="true"/>
              </w:rPr>
              <w:t>أن تکون المرضعة حیّة</w:t>
            </w:r>
            <w:r>
              <w:rPr>
                <w:rStyle w:val="IndexLink"/>
                <w:rtl w:val="true"/>
              </w:rPr>
              <w:t>]</w:t>
              <w:tab/>
            </w:r>
            <w:r>
              <w:rPr>
                <w:rStyle w:val="IndexLink"/>
              </w:rPr>
              <w:t>801</w:t>
            </w:r>
          </w:hyperlink>
        </w:p>
        <w:p>
          <w:pPr>
            <w:pStyle w:val="Contents6"/>
            <w:tabs>
              <w:tab w:val="clear" w:pos="7609"/>
              <w:tab w:val="right" w:pos="9026" w:leader="dot"/>
            </w:tabs>
            <w:rPr/>
          </w:pPr>
          <w:hyperlink w:anchor="__RefHeading___Toc2571502_3650668749">
            <w:r>
              <w:rPr>
                <w:webHidden/>
                <w:rStyle w:val="IndexLink"/>
                <w:rtl w:val="true"/>
              </w:rPr>
              <w:t>[</w:t>
            </w:r>
            <w:r>
              <w:rPr>
                <w:rStyle w:val="IndexLink"/>
                <w:rtl w:val="true"/>
              </w:rPr>
              <w:t>الرابع</w:t>
            </w:r>
            <w:r>
              <w:rPr>
                <w:rStyle w:val="IndexLink"/>
                <w:rtl w:val="true"/>
              </w:rPr>
              <w:t xml:space="preserve">: </w:t>
            </w:r>
            <w:r>
              <w:rPr>
                <w:rStyle w:val="IndexLink"/>
                <w:rtl w:val="true"/>
              </w:rPr>
              <w:t>أن یکون المرتضع فی أثناء الحولین و قبل استکمالهما</w:t>
            </w:r>
            <w:r>
              <w:rPr>
                <w:rStyle w:val="IndexLink"/>
                <w:rtl w:val="true"/>
              </w:rPr>
              <w:t>]</w:t>
              <w:tab/>
            </w:r>
            <w:r>
              <w:rPr>
                <w:rStyle w:val="IndexLink"/>
              </w:rPr>
              <w:t>802</w:t>
            </w:r>
          </w:hyperlink>
        </w:p>
        <w:p>
          <w:pPr>
            <w:pStyle w:val="Contents6"/>
            <w:tabs>
              <w:tab w:val="clear" w:pos="7609"/>
              <w:tab w:val="right" w:pos="9026" w:leader="dot"/>
            </w:tabs>
            <w:rPr/>
          </w:pPr>
          <w:hyperlink w:anchor="__RefHeading___Toc2571504_3650668749">
            <w:r>
              <w:rPr>
                <w:webHidden/>
                <w:rStyle w:val="IndexLink"/>
                <w:rtl w:val="true"/>
              </w:rPr>
              <w:t>اشارة</w:t>
            </w:r>
            <w:r>
              <w:rPr>
                <w:rStyle w:val="IndexLink"/>
                <w:rtl w:val="true"/>
              </w:rPr>
              <w:tab/>
            </w:r>
            <w:r>
              <w:rPr>
                <w:rStyle w:val="IndexLink"/>
              </w:rPr>
              <w:t>802</w:t>
            </w:r>
          </w:hyperlink>
        </w:p>
        <w:p>
          <w:pPr>
            <w:pStyle w:val="Contents6"/>
            <w:tabs>
              <w:tab w:val="clear" w:pos="7609"/>
              <w:tab w:val="right" w:pos="9026" w:leader="dot"/>
            </w:tabs>
            <w:rPr/>
          </w:pPr>
          <w:hyperlink w:anchor="__RefHeading___Toc257150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المراد بالحولین أربع و عشرون شهراً هلالیّاً من حین الولادة</w:t>
            </w:r>
            <w:r>
              <w:rPr>
                <w:rStyle w:val="IndexLink"/>
                <w:rtl w:val="true"/>
              </w:rPr>
              <w:t>]</w:t>
              <w:tab/>
            </w:r>
            <w:r>
              <w:rPr>
                <w:rStyle w:val="IndexLink"/>
              </w:rPr>
              <w:t>802</w:t>
            </w:r>
          </w:hyperlink>
        </w:p>
        <w:p>
          <w:pPr>
            <w:pStyle w:val="Contents6"/>
            <w:tabs>
              <w:tab w:val="clear" w:pos="7609"/>
              <w:tab w:val="right" w:pos="9026" w:leader="dot"/>
            </w:tabs>
            <w:rPr/>
          </w:pPr>
          <w:hyperlink w:anchor="__RefHeading___Toc2571508_3650668749">
            <w:r>
              <w:rPr>
                <w:webHidden/>
                <w:rStyle w:val="IndexLink"/>
                <w:rtl w:val="true"/>
              </w:rPr>
              <w:t>[</w:t>
            </w:r>
            <w:r>
              <w:rPr>
                <w:rStyle w:val="IndexLink"/>
                <w:rtl w:val="true"/>
              </w:rPr>
              <w:t>الشرط الخامس</w:t>
            </w:r>
            <w:r>
              <w:rPr>
                <w:rStyle w:val="IndexLink"/>
                <w:rtl w:val="true"/>
              </w:rPr>
              <w:t xml:space="preserve">: </w:t>
            </w:r>
            <w:r>
              <w:rPr>
                <w:rStyle w:val="IndexLink"/>
                <w:rtl w:val="true"/>
              </w:rPr>
              <w:t>الکمّیّة،</w:t>
            </w:r>
            <w:r>
              <w:rPr>
                <w:rStyle w:val="IndexLink"/>
                <w:rtl w:val="true"/>
              </w:rPr>
              <w:t>]</w:t>
              <w:tab/>
            </w:r>
            <w:r>
              <w:rPr>
                <w:rStyle w:val="IndexLink"/>
              </w:rPr>
              <w:t>802</w:t>
            </w:r>
          </w:hyperlink>
        </w:p>
        <w:p>
          <w:pPr>
            <w:pStyle w:val="Contents6"/>
            <w:tabs>
              <w:tab w:val="clear" w:pos="7609"/>
              <w:tab w:val="right" w:pos="9026" w:leader="dot"/>
            </w:tabs>
            <w:rPr/>
          </w:pPr>
          <w:hyperlink w:anchor="__RefHeading___Toc2571510_3650668749">
            <w:r>
              <w:rPr>
                <w:webHidden/>
                <w:rStyle w:val="IndexLink"/>
                <w:rtl w:val="true"/>
              </w:rPr>
              <w:t>اشارة</w:t>
            </w:r>
            <w:r>
              <w:rPr>
                <w:rStyle w:val="IndexLink"/>
                <w:rtl w:val="true"/>
              </w:rPr>
              <w:tab/>
            </w:r>
            <w:r>
              <w:rPr>
                <w:rStyle w:val="IndexLink"/>
              </w:rPr>
              <w:t>802</w:t>
            </w:r>
          </w:hyperlink>
        </w:p>
        <w:p>
          <w:pPr>
            <w:pStyle w:val="Contents6"/>
            <w:tabs>
              <w:tab w:val="clear" w:pos="7609"/>
              <w:tab w:val="right" w:pos="9026" w:leader="dot"/>
            </w:tabs>
            <w:rPr/>
          </w:pPr>
          <w:hyperlink w:anchor="__RefHeading___Toc257151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المعتبر فی إنبات اللحم و شدّ العظم، استقلال الرضاع فی حصولهما علیٰ وجه ینسبان إلیه</w:t>
            </w:r>
            <w:r>
              <w:rPr>
                <w:rStyle w:val="IndexLink"/>
                <w:rtl w:val="true"/>
              </w:rPr>
              <w:t>]</w:t>
              <w:tab/>
            </w:r>
            <w:r>
              <w:rPr>
                <w:rStyle w:val="IndexLink"/>
              </w:rPr>
              <w:t>802</w:t>
            </w:r>
          </w:hyperlink>
        </w:p>
        <w:p>
          <w:pPr>
            <w:pStyle w:val="Contents6"/>
            <w:tabs>
              <w:tab w:val="clear" w:pos="7609"/>
              <w:tab w:val="right" w:pos="9026" w:leader="dot"/>
            </w:tabs>
            <w:rPr/>
          </w:pPr>
          <w:hyperlink w:anchor="__RefHeading___Toc257151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یعتبر فی التقدیر بالزمان أن یکون غذاؤه فی الیوم و اللیلة منحصراً باللبن</w:t>
            </w:r>
            <w:r>
              <w:rPr>
                <w:rStyle w:val="IndexLink"/>
                <w:rtl w:val="true"/>
              </w:rPr>
              <w:t>]</w:t>
              <w:tab/>
            </w:r>
            <w:r>
              <w:rPr>
                <w:rStyle w:val="IndexLink"/>
              </w:rPr>
              <w:t>802</w:t>
            </w:r>
          </w:hyperlink>
        </w:p>
        <w:p>
          <w:pPr>
            <w:pStyle w:val="Contents6"/>
            <w:tabs>
              <w:tab w:val="clear" w:pos="7609"/>
              <w:tab w:val="right" w:pos="9026" w:leader="dot"/>
            </w:tabs>
            <w:rPr/>
          </w:pPr>
          <w:hyperlink w:anchor="__RefHeading___Toc257151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یعتبر فی التقدیر بالعدد أُمور</w:t>
            </w:r>
            <w:r>
              <w:rPr>
                <w:rStyle w:val="IndexLink"/>
                <w:rtl w:val="true"/>
              </w:rPr>
              <w:t>]</w:t>
              <w:tab/>
            </w:r>
            <w:r>
              <w:rPr>
                <w:rStyle w:val="IndexLink"/>
              </w:rPr>
              <w:t>802</w:t>
            </w:r>
          </w:hyperlink>
        </w:p>
        <w:p>
          <w:pPr>
            <w:pStyle w:val="Contents5"/>
            <w:tabs>
              <w:tab w:val="clear" w:pos="7892"/>
              <w:tab w:val="right" w:pos="9026" w:leader="dot"/>
            </w:tabs>
            <w:rPr/>
          </w:pPr>
          <w:hyperlink w:anchor="__RefHeading___Toc2571518_3650668749">
            <w:r>
              <w:rPr>
                <w:webHidden/>
                <w:rStyle w:val="IndexLink"/>
                <w:rtl w:val="true"/>
              </w:rPr>
              <w:t>[</w:t>
            </w:r>
            <w:r>
              <w:rPr>
                <w:rStyle w:val="IndexLink"/>
                <w:rtl w:val="true"/>
              </w:rPr>
              <w:t>مسائل</w:t>
            </w:r>
            <w:r>
              <w:rPr>
                <w:rStyle w:val="IndexLink"/>
                <w:rtl w:val="true"/>
              </w:rPr>
              <w:t>]</w:t>
              <w:tab/>
            </w:r>
            <w:r>
              <w:rPr>
                <w:rStyle w:val="IndexLink"/>
              </w:rPr>
              <w:t>803</w:t>
            </w:r>
          </w:hyperlink>
        </w:p>
        <w:p>
          <w:pPr>
            <w:pStyle w:val="Contents6"/>
            <w:tabs>
              <w:tab w:val="clear" w:pos="7609"/>
              <w:tab w:val="right" w:pos="9026" w:leader="dot"/>
            </w:tabs>
            <w:rPr/>
          </w:pPr>
          <w:hyperlink w:anchor="__RefHeading___Toc257152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ما ذکرنا من الشروط شروط لناشریّة الرضاع للحرمة</w:t>
            </w:r>
            <w:r>
              <w:rPr>
                <w:rStyle w:val="IndexLink"/>
                <w:rtl w:val="true"/>
              </w:rPr>
              <w:t>]</w:t>
              <w:tab/>
            </w:r>
            <w:r>
              <w:rPr>
                <w:rStyle w:val="IndexLink"/>
              </w:rPr>
              <w:t>803</w:t>
            </w:r>
          </w:hyperlink>
        </w:p>
        <w:p>
          <w:pPr>
            <w:pStyle w:val="Contents6"/>
            <w:tabs>
              <w:tab w:val="clear" w:pos="7609"/>
              <w:tab w:val="right" w:pos="9026" w:leader="dot"/>
            </w:tabs>
            <w:rPr/>
          </w:pPr>
          <w:hyperlink w:anchor="__RefHeading___Toc257152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تحقّق الرضاع الجامع للشرائط، صار الفحل و المرضعة أباً و امّاً للمرتضع</w:t>
            </w:r>
            <w:r>
              <w:rPr>
                <w:rStyle w:val="IndexLink"/>
                <w:rtl w:val="true"/>
              </w:rPr>
              <w:t>]</w:t>
              <w:tab/>
            </w:r>
            <w:r>
              <w:rPr>
                <w:rStyle w:val="IndexLink"/>
              </w:rPr>
              <w:t>804</w:t>
            </w:r>
          </w:hyperlink>
        </w:p>
        <w:p>
          <w:pPr>
            <w:pStyle w:val="Contents6"/>
            <w:tabs>
              <w:tab w:val="clear" w:pos="7609"/>
              <w:tab w:val="right" w:pos="9026" w:leader="dot"/>
            </w:tabs>
            <w:rPr/>
          </w:pPr>
          <w:hyperlink w:anchor="__RefHeading___Toc257152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تکفی فی حصول العلاقة الرضاعیّة المحرّمة دخالة الرضاع فیه فی الجملة</w:t>
            </w:r>
            <w:r>
              <w:rPr>
                <w:rStyle w:val="IndexLink"/>
                <w:rtl w:val="true"/>
              </w:rPr>
              <w:t>]</w:t>
              <w:tab/>
            </w:r>
            <w:r>
              <w:rPr>
                <w:rStyle w:val="IndexLink"/>
              </w:rPr>
              <w:t>804</w:t>
            </w:r>
          </w:hyperlink>
        </w:p>
        <w:p>
          <w:pPr>
            <w:pStyle w:val="Contents6"/>
            <w:tabs>
              <w:tab w:val="clear" w:pos="7609"/>
              <w:tab w:val="right" w:pos="9026" w:leader="dot"/>
            </w:tabs>
            <w:rPr/>
          </w:pPr>
          <w:hyperlink w:anchor="__RefHeading___Toc257152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لمّا کانت المصاهرة التی هی أحد أسباب تحریم النکاح کما یأتی علاقة بین أحد الزوجین و بعض أقرباء الآخر</w:t>
            </w:r>
            <w:r>
              <w:rPr>
                <w:rStyle w:val="IndexLink"/>
                <w:rtl w:val="true"/>
              </w:rPr>
              <w:t>]</w:t>
              <w:tab/>
            </w:r>
            <w:r>
              <w:rPr>
                <w:rStyle w:val="IndexLink"/>
              </w:rPr>
              <w:t>805</w:t>
            </w:r>
          </w:hyperlink>
        </w:p>
        <w:p>
          <w:pPr>
            <w:pStyle w:val="Contents6"/>
            <w:tabs>
              <w:tab w:val="clear" w:pos="7609"/>
              <w:tab w:val="right" w:pos="9026" w:leader="dot"/>
            </w:tabs>
            <w:rPr/>
          </w:pPr>
          <w:hyperlink w:anchor="__RefHeading___Toc2571528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قد تبیّن ممّا سبق</w:t>
            </w:r>
            <w:r>
              <w:rPr>
                <w:rStyle w:val="IndexLink"/>
                <w:rtl w:val="true"/>
              </w:rPr>
              <w:t xml:space="preserve">: </w:t>
            </w:r>
            <w:r>
              <w:rPr>
                <w:rStyle w:val="IndexLink"/>
                <w:rtl w:val="true"/>
              </w:rPr>
              <w:t>أنّ العلاقة الرضاعیّة المحضة قد تحصل برضاع واحد</w:t>
            </w:r>
            <w:r>
              <w:rPr>
                <w:rStyle w:val="IndexLink"/>
                <w:rtl w:val="true"/>
              </w:rPr>
              <w:t>]</w:t>
              <w:tab/>
            </w:r>
            <w:r>
              <w:rPr>
                <w:rStyle w:val="IndexLink"/>
              </w:rPr>
              <w:t>805</w:t>
            </w:r>
          </w:hyperlink>
        </w:p>
        <w:p>
          <w:pPr>
            <w:pStyle w:val="Contents6"/>
            <w:tabs>
              <w:tab w:val="clear" w:pos="7609"/>
              <w:tab w:val="right" w:pos="9026" w:leader="dot"/>
            </w:tabs>
            <w:rPr/>
          </w:pPr>
          <w:hyperlink w:anchor="__RefHeading___Toc2571530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قد عرفت فیما سبق</w:t>
            </w:r>
            <w:r>
              <w:rPr>
                <w:rStyle w:val="IndexLink"/>
                <w:rtl w:val="true"/>
              </w:rPr>
              <w:t xml:space="preserve">: </w:t>
            </w:r>
            <w:r>
              <w:rPr>
                <w:rStyle w:val="IndexLink"/>
                <w:rtl w:val="true"/>
              </w:rPr>
              <w:t>أنّه یشترط فی حصول الاخوّة الرضاعیّة بین المرتضعین اتّحاد الفحل</w:t>
            </w:r>
            <w:r>
              <w:rPr>
                <w:rStyle w:val="IndexLink"/>
                <w:rtl w:val="true"/>
              </w:rPr>
              <w:t>]</w:t>
              <w:tab/>
            </w:r>
            <w:r>
              <w:rPr>
                <w:rStyle w:val="IndexLink"/>
              </w:rPr>
              <w:t>805</w:t>
            </w:r>
          </w:hyperlink>
        </w:p>
        <w:p>
          <w:pPr>
            <w:pStyle w:val="Contents6"/>
            <w:tabs>
              <w:tab w:val="clear" w:pos="7609"/>
              <w:tab w:val="right" w:pos="9026" w:leader="dot"/>
            </w:tabs>
            <w:rPr/>
          </w:pPr>
          <w:hyperlink w:anchor="__RefHeading___Toc2571532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لا یجوز أن ینکح أبو المرتضع فی أولاد صاحب اللبن ولادة و رضاعاً</w:t>
            </w:r>
            <w:r>
              <w:rPr>
                <w:rStyle w:val="IndexLink"/>
                <w:rtl w:val="true"/>
              </w:rPr>
              <w:t>]</w:t>
              <w:tab/>
            </w:r>
            <w:r>
              <w:rPr>
                <w:rStyle w:val="IndexLink"/>
              </w:rPr>
              <w:t>806</w:t>
            </w:r>
          </w:hyperlink>
        </w:p>
        <w:p>
          <w:pPr>
            <w:pStyle w:val="Contents6"/>
            <w:tabs>
              <w:tab w:val="clear" w:pos="7609"/>
              <w:tab w:val="right" w:pos="9026" w:leader="dot"/>
            </w:tabs>
            <w:rPr/>
          </w:pPr>
          <w:hyperlink w:anchor="__RefHeading___Toc2571534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إذا أرضعت امرأة ابن شخص بلبن فحلها، ثمّ أرضعت بنت شخص آخر من لبن ذلک الفحل</w:t>
            </w:r>
            <w:r>
              <w:rPr>
                <w:rStyle w:val="IndexLink"/>
                <w:rtl w:val="true"/>
              </w:rPr>
              <w:t>]</w:t>
              <w:tab/>
            </w:r>
            <w:r>
              <w:rPr>
                <w:rStyle w:val="IndexLink"/>
              </w:rPr>
              <w:t>806</w:t>
            </w:r>
          </w:hyperlink>
        </w:p>
        <w:p>
          <w:pPr>
            <w:pStyle w:val="Contents6"/>
            <w:tabs>
              <w:tab w:val="clear" w:pos="7609"/>
              <w:tab w:val="right" w:pos="9026" w:leader="dot"/>
            </w:tabs>
            <w:rPr/>
          </w:pPr>
          <w:hyperlink w:anchor="__RefHeading___Toc2571536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الرضاع المحرّم کما یمنع من النکاح لو کان سابقاً، یبطله لو حصل لاحقاً</w:t>
            </w:r>
            <w:r>
              <w:rPr>
                <w:rStyle w:val="IndexLink"/>
                <w:rtl w:val="true"/>
              </w:rPr>
              <w:t>]</w:t>
              <w:tab/>
            </w:r>
            <w:r>
              <w:rPr>
                <w:rStyle w:val="IndexLink"/>
              </w:rPr>
              <w:t>806</w:t>
            </w:r>
          </w:hyperlink>
        </w:p>
        <w:p>
          <w:pPr>
            <w:pStyle w:val="Contents5"/>
            <w:tabs>
              <w:tab w:val="clear" w:pos="7892"/>
              <w:tab w:val="right" w:pos="9026" w:leader="dot"/>
            </w:tabs>
            <w:rPr/>
          </w:pPr>
          <w:hyperlink w:anchor="__RefHeading___Toc2571538_3650668749">
            <w:r>
              <w:rPr>
                <w:webHidden/>
                <w:rStyle w:val="IndexLink"/>
                <w:rtl w:val="true"/>
              </w:rPr>
              <w:t>[</w:t>
            </w:r>
            <w:r>
              <w:rPr>
                <w:rStyle w:val="IndexLink"/>
                <w:rtl w:val="true"/>
              </w:rPr>
              <w:t>تنبیه</w:t>
            </w:r>
            <w:r>
              <w:rPr>
                <w:rStyle w:val="IndexLink"/>
                <w:rtl w:val="true"/>
              </w:rPr>
              <w:t>]</w:t>
              <w:tab/>
            </w:r>
            <w:r>
              <w:rPr>
                <w:rStyle w:val="IndexLink"/>
              </w:rPr>
              <w:t>806</w:t>
            </w:r>
          </w:hyperlink>
        </w:p>
        <w:p>
          <w:pPr>
            <w:pStyle w:val="Contents6"/>
            <w:tabs>
              <w:tab w:val="clear" w:pos="7609"/>
              <w:tab w:val="right" w:pos="9026" w:leader="dot"/>
            </w:tabs>
            <w:rPr/>
          </w:pPr>
          <w:hyperlink w:anchor="__RefHeading___Toc2571540_3650668749">
            <w:r>
              <w:rPr>
                <w:webHidden/>
                <w:rStyle w:val="IndexLink"/>
                <w:rtl w:val="true"/>
              </w:rPr>
              <w:t>اشارة</w:t>
            </w:r>
            <w:r>
              <w:rPr>
                <w:rStyle w:val="IndexLink"/>
                <w:rtl w:val="true"/>
              </w:rPr>
              <w:tab/>
            </w:r>
            <w:r>
              <w:rPr>
                <w:rStyle w:val="IndexLink"/>
              </w:rPr>
              <w:t>806</w:t>
            </w:r>
          </w:hyperlink>
        </w:p>
        <w:p>
          <w:pPr>
            <w:pStyle w:val="Contents6"/>
            <w:tabs>
              <w:tab w:val="clear" w:pos="7609"/>
              <w:tab w:val="right" w:pos="9026" w:leader="dot"/>
            </w:tabs>
            <w:rPr/>
          </w:pPr>
          <w:hyperlink w:anchor="__RefHeading___Toc257154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إذا أرضعت امرأة ولد بنتها، و بعبارة أُخری</w:t>
            </w:r>
            <w:r>
              <w:rPr>
                <w:rStyle w:val="IndexLink"/>
                <w:rtl w:val="true"/>
              </w:rPr>
              <w:t>]</w:t>
              <w:tab/>
            </w:r>
            <w:r>
              <w:rPr>
                <w:rStyle w:val="IndexLink"/>
              </w:rPr>
              <w:t>807</w:t>
            </w:r>
          </w:hyperlink>
        </w:p>
        <w:p>
          <w:pPr>
            <w:pStyle w:val="Contents6"/>
            <w:tabs>
              <w:tab w:val="clear" w:pos="7609"/>
              <w:tab w:val="right" w:pos="9026" w:leader="dot"/>
            </w:tabs>
            <w:rPr/>
          </w:pPr>
          <w:hyperlink w:anchor="__RefHeading___Toc257154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لو زوّج ابنه الصغیر بابنة أخیه الصغیرة، ثمّ أرضعت جدّتهما</w:t>
            </w:r>
            <w:r>
              <w:rPr>
                <w:rStyle w:val="IndexLink"/>
                <w:rtl w:val="true"/>
              </w:rPr>
              <w:t>]</w:t>
              <w:tab/>
            </w:r>
            <w:r>
              <w:rPr>
                <w:rStyle w:val="IndexLink"/>
              </w:rPr>
              <w:t>807</w:t>
            </w:r>
          </w:hyperlink>
        </w:p>
        <w:p>
          <w:pPr>
            <w:pStyle w:val="Contents6"/>
            <w:tabs>
              <w:tab w:val="clear" w:pos="7609"/>
              <w:tab w:val="right" w:pos="9026" w:leader="dot"/>
            </w:tabs>
            <w:rPr/>
          </w:pPr>
          <w:hyperlink w:anchor="__RefHeading___Toc257154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حصل الرضاع الطارئ المبطل للنکاح، فإمّا أن یبطل نکاح المرضعة بإرضاعها</w:t>
            </w:r>
            <w:r>
              <w:rPr>
                <w:rStyle w:val="IndexLink"/>
                <w:rtl w:val="true"/>
              </w:rPr>
              <w:t>]</w:t>
              <w:tab/>
            </w:r>
            <w:r>
              <w:rPr>
                <w:rStyle w:val="IndexLink"/>
              </w:rPr>
              <w:t>807</w:t>
            </w:r>
          </w:hyperlink>
        </w:p>
        <w:p>
          <w:pPr>
            <w:pStyle w:val="Contents6"/>
            <w:tabs>
              <w:tab w:val="clear" w:pos="7609"/>
              <w:tab w:val="right" w:pos="9026" w:leader="dot"/>
            </w:tabs>
            <w:rPr/>
          </w:pPr>
          <w:hyperlink w:anchor="__RefHeading___Toc257154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قد سبق أنّ العناوین المحرّمة من جهة الولادة و النسب سبعة</w:t>
            </w:r>
            <w:r>
              <w:rPr>
                <w:rStyle w:val="IndexLink"/>
                <w:rtl w:val="true"/>
              </w:rPr>
              <w:t>]</w:t>
              <w:tab/>
            </w:r>
            <w:r>
              <w:rPr>
                <w:rStyle w:val="IndexLink"/>
              </w:rPr>
              <w:t>808</w:t>
            </w:r>
          </w:hyperlink>
        </w:p>
        <w:p>
          <w:pPr>
            <w:pStyle w:val="Contents6"/>
            <w:tabs>
              <w:tab w:val="clear" w:pos="7609"/>
              <w:tab w:val="right" w:pos="9026" w:leader="dot"/>
            </w:tabs>
            <w:rPr/>
          </w:pPr>
          <w:hyperlink w:anchor="__RefHeading___Toc257155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شکّ فی وقوع الرضاع أو فی حصول بعض شروطه من الکمّیّة أو الکیفیّة بنیٰ علی العدم</w:t>
            </w:r>
            <w:r>
              <w:rPr>
                <w:rStyle w:val="IndexLink"/>
                <w:rtl w:val="true"/>
              </w:rPr>
              <w:t>]</w:t>
              <w:tab/>
            </w:r>
            <w:r>
              <w:rPr>
                <w:rStyle w:val="IndexLink"/>
              </w:rPr>
              <w:t>809</w:t>
            </w:r>
          </w:hyperlink>
        </w:p>
        <w:p>
          <w:pPr>
            <w:pStyle w:val="Contents6"/>
            <w:tabs>
              <w:tab w:val="clear" w:pos="7609"/>
              <w:tab w:val="right" w:pos="9026" w:leader="dot"/>
            </w:tabs>
            <w:rPr/>
          </w:pPr>
          <w:hyperlink w:anchor="__RefHeading___Toc257155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لا تقبل الشهادة علی الرضاع إلّا مفصّلة</w:t>
            </w:r>
            <w:r>
              <w:rPr>
                <w:rStyle w:val="IndexLink"/>
                <w:rtl w:val="true"/>
              </w:rPr>
              <w:t>]</w:t>
              <w:tab/>
            </w:r>
            <w:r>
              <w:rPr>
                <w:rStyle w:val="IndexLink"/>
              </w:rPr>
              <w:t>809</w:t>
            </w:r>
          </w:hyperlink>
        </w:p>
        <w:p>
          <w:pPr>
            <w:pStyle w:val="Contents6"/>
            <w:tabs>
              <w:tab w:val="clear" w:pos="7609"/>
              <w:tab w:val="right" w:pos="9026" w:leader="dot"/>
            </w:tabs>
            <w:rPr/>
          </w:pPr>
          <w:hyperlink w:anchor="__RefHeading___Toc257155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الأقویٰ أنّه تقبل شهادة النساء العادلات فی الرضاع مستقلّات</w:t>
            </w:r>
            <w:r>
              <w:rPr>
                <w:rStyle w:val="IndexLink"/>
                <w:rtl w:val="true"/>
              </w:rPr>
              <w:t>]</w:t>
              <w:tab/>
            </w:r>
            <w:r>
              <w:rPr>
                <w:rStyle w:val="IndexLink"/>
              </w:rPr>
              <w:t>809</w:t>
            </w:r>
          </w:hyperlink>
        </w:p>
        <w:p>
          <w:pPr>
            <w:pStyle w:val="Contents6"/>
            <w:tabs>
              <w:tab w:val="clear" w:pos="7609"/>
              <w:tab w:val="right" w:pos="9026" w:leader="dot"/>
            </w:tabs>
            <w:rPr/>
          </w:pPr>
          <w:hyperlink w:anchor="__RefHeading___Toc257155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یستحبّ أن یختار لرضاع الأولاد، المسلمة العاقلة العفیفة الوضیئة ذات الأوصاف الحسنة</w:t>
            </w:r>
            <w:r>
              <w:rPr>
                <w:rStyle w:val="IndexLink"/>
                <w:rtl w:val="true"/>
              </w:rPr>
              <w:t>]</w:t>
              <w:tab/>
            </w:r>
            <w:r>
              <w:rPr>
                <w:rStyle w:val="IndexLink"/>
              </w:rPr>
              <w:t>810</w:t>
            </w:r>
          </w:hyperlink>
        </w:p>
        <w:p>
          <w:pPr>
            <w:pStyle w:val="Contents4"/>
            <w:tabs>
              <w:tab w:val="clear" w:pos="8176"/>
              <w:tab w:val="right" w:pos="9026" w:leader="dot"/>
            </w:tabs>
            <w:rPr/>
          </w:pPr>
          <w:hyperlink w:anchor="__RefHeading___Toc2571558_3650668749">
            <w:r>
              <w:rPr>
                <w:webHidden/>
                <w:rStyle w:val="IndexLink"/>
                <w:rtl w:val="true"/>
              </w:rPr>
              <w:t>[</w:t>
            </w:r>
            <w:r>
              <w:rPr>
                <w:rStyle w:val="IndexLink"/>
                <w:rtl w:val="true"/>
              </w:rPr>
              <w:t>القول فی المصاهرة و ما یلحق بها</w:t>
            </w:r>
            <w:r>
              <w:rPr>
                <w:rStyle w:val="IndexLink"/>
                <w:rtl w:val="true"/>
              </w:rPr>
              <w:t>]</w:t>
              <w:tab/>
            </w:r>
            <w:r>
              <w:rPr>
                <w:rStyle w:val="IndexLink"/>
              </w:rPr>
              <w:t>810</w:t>
            </w:r>
          </w:hyperlink>
        </w:p>
        <w:p>
          <w:pPr>
            <w:pStyle w:val="Contents5"/>
            <w:tabs>
              <w:tab w:val="clear" w:pos="7892"/>
              <w:tab w:val="right" w:pos="9026" w:leader="dot"/>
            </w:tabs>
            <w:rPr/>
          </w:pPr>
          <w:hyperlink w:anchor="__RefHeading___Toc2571560_3650668749">
            <w:r>
              <w:rPr>
                <w:webHidden/>
                <w:rStyle w:val="IndexLink"/>
                <w:rtl w:val="true"/>
              </w:rPr>
              <w:t>اشارة</w:t>
            </w:r>
            <w:r>
              <w:rPr>
                <w:rStyle w:val="IndexLink"/>
                <w:rtl w:val="true"/>
              </w:rPr>
              <w:tab/>
            </w:r>
            <w:r>
              <w:rPr>
                <w:rStyle w:val="IndexLink"/>
              </w:rPr>
              <w:t>810</w:t>
            </w:r>
          </w:hyperlink>
        </w:p>
        <w:p>
          <w:pPr>
            <w:pStyle w:val="Contents5"/>
            <w:tabs>
              <w:tab w:val="clear" w:pos="7892"/>
              <w:tab w:val="right" w:pos="9026" w:leader="dot"/>
            </w:tabs>
            <w:rPr/>
          </w:pPr>
          <w:hyperlink w:anchor="__RefHeading___Toc257156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تحرم معقودة الأب علی ابنه و بالعکس، فصاعداً فی الأوّل و نازلًا فی الثانی حرمة دائمیّة</w:t>
            </w:r>
            <w:r>
              <w:rPr>
                <w:rStyle w:val="IndexLink"/>
                <w:rtl w:val="true"/>
              </w:rPr>
              <w:t>]</w:t>
              <w:tab/>
            </w:r>
            <w:r>
              <w:rPr>
                <w:rStyle w:val="IndexLink"/>
              </w:rPr>
              <w:t>810</w:t>
            </w:r>
          </w:hyperlink>
        </w:p>
        <w:p>
          <w:pPr>
            <w:pStyle w:val="Contents5"/>
            <w:tabs>
              <w:tab w:val="clear" w:pos="7892"/>
              <w:tab w:val="right" w:pos="9026" w:leader="dot"/>
            </w:tabs>
            <w:rPr/>
          </w:pPr>
          <w:hyperlink w:anchor="__RefHeading___Toc257156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عقد علی امرأة حرمت علیه أُمّها</w:t>
            </w:r>
            <w:r>
              <w:rPr>
                <w:rStyle w:val="IndexLink"/>
                <w:rtl w:val="true"/>
              </w:rPr>
              <w:t>]</w:t>
              <w:tab/>
            </w:r>
            <w:r>
              <w:rPr>
                <w:rStyle w:val="IndexLink"/>
              </w:rPr>
              <w:t>810</w:t>
            </w:r>
          </w:hyperlink>
        </w:p>
        <w:p>
          <w:pPr>
            <w:pStyle w:val="Contents5"/>
            <w:tabs>
              <w:tab w:val="clear" w:pos="7892"/>
              <w:tab w:val="right" w:pos="9026" w:leader="dot"/>
            </w:tabs>
            <w:rPr/>
          </w:pPr>
          <w:hyperlink w:anchor="__RefHeading___Toc257156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عقد علی امرأة، حرمت علیه بنتها و إن نزلت؛ إذا دخل بالأُمّ و لو دبراً</w:t>
            </w:r>
            <w:r>
              <w:rPr>
                <w:rStyle w:val="IndexLink"/>
                <w:rtl w:val="true"/>
              </w:rPr>
              <w:t>]</w:t>
              <w:tab/>
            </w:r>
            <w:r>
              <w:rPr>
                <w:rStyle w:val="IndexLink"/>
              </w:rPr>
              <w:t>811</w:t>
            </w:r>
          </w:hyperlink>
        </w:p>
        <w:p>
          <w:pPr>
            <w:pStyle w:val="Contents5"/>
            <w:tabs>
              <w:tab w:val="clear" w:pos="7892"/>
              <w:tab w:val="right" w:pos="9026" w:leader="dot"/>
            </w:tabs>
            <w:rPr/>
          </w:pPr>
          <w:hyperlink w:anchor="__RefHeading___Toc257156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لا فرق فی حرمة بنت الزوجة بین أن تکون البنت موجودة فی زمان زوجیّة الأُمّ أو تولّدت بعد خروجها عن الزوجیة</w:t>
            </w:r>
            <w:r>
              <w:rPr>
                <w:rStyle w:val="IndexLink"/>
                <w:rtl w:val="true"/>
              </w:rPr>
              <w:t>]</w:t>
              <w:tab/>
            </w:r>
            <w:r>
              <w:rPr>
                <w:rStyle w:val="IndexLink"/>
              </w:rPr>
              <w:t>811</w:t>
            </w:r>
          </w:hyperlink>
        </w:p>
        <w:p>
          <w:pPr>
            <w:pStyle w:val="Contents5"/>
            <w:tabs>
              <w:tab w:val="clear" w:pos="7892"/>
              <w:tab w:val="right" w:pos="9026" w:leader="dot"/>
            </w:tabs>
            <w:rPr/>
          </w:pPr>
          <w:hyperlink w:anchor="__RefHeading___Toc257157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إشکال فی ترتّب الحرمات الأربع علی النکاح و الوطء الصحیحین</w:t>
            </w:r>
            <w:r>
              <w:rPr>
                <w:rStyle w:val="IndexLink"/>
                <w:rtl w:val="true"/>
              </w:rPr>
              <w:t>]</w:t>
              <w:tab/>
            </w:r>
            <w:r>
              <w:rPr>
                <w:rStyle w:val="IndexLink"/>
              </w:rPr>
              <w:t>811</w:t>
            </w:r>
          </w:hyperlink>
        </w:p>
        <w:p>
          <w:pPr>
            <w:pStyle w:val="Contents5"/>
            <w:tabs>
              <w:tab w:val="clear" w:pos="7892"/>
              <w:tab w:val="right" w:pos="9026" w:leader="dot"/>
            </w:tabs>
            <w:rPr/>
          </w:pPr>
          <w:hyperlink w:anchor="__RefHeading___Toc257157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لا فرق فی الحکم بین الزنا فی القبل و الدبر</w:t>
            </w:r>
            <w:r>
              <w:rPr>
                <w:rStyle w:val="IndexLink"/>
                <w:rtl w:val="true"/>
              </w:rPr>
              <w:t>]</w:t>
              <w:tab/>
            </w:r>
            <w:r>
              <w:rPr>
                <w:rStyle w:val="IndexLink"/>
              </w:rPr>
              <w:t>811</w:t>
            </w:r>
          </w:hyperlink>
        </w:p>
        <w:p>
          <w:pPr>
            <w:pStyle w:val="Contents5"/>
            <w:tabs>
              <w:tab w:val="clear" w:pos="7892"/>
              <w:tab w:val="right" w:pos="9026" w:leader="dot"/>
            </w:tabs>
            <w:rPr/>
          </w:pPr>
          <w:hyperlink w:anchor="__RefHeading___Toc257157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علم بالزنا و شکّ فی کونه سابقاً علی العقد أو طارئاً بنیٰ علی الثانی</w:t>
            </w:r>
            <w:r>
              <w:rPr>
                <w:rStyle w:val="IndexLink"/>
                <w:rtl w:val="true"/>
              </w:rPr>
              <w:t>]</w:t>
              <w:tab/>
            </w:r>
            <w:r>
              <w:rPr>
                <w:rStyle w:val="IndexLink"/>
              </w:rPr>
              <w:t>811</w:t>
            </w:r>
          </w:hyperlink>
        </w:p>
        <w:p>
          <w:pPr>
            <w:pStyle w:val="Contents5"/>
            <w:tabs>
              <w:tab w:val="clear" w:pos="7892"/>
              <w:tab w:val="right" w:pos="9026" w:leader="dot"/>
            </w:tabs>
            <w:rPr/>
          </w:pPr>
          <w:hyperlink w:anchor="__RefHeading___Toc257157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لمس امرأة أجنبیّة، أو نظر إلیها بشهوة حرمت الملموسة و المنظورة علیٰ أبی اللامس و الناظر و ابنهما</w:t>
            </w:r>
            <w:r>
              <w:rPr>
                <w:rStyle w:val="IndexLink"/>
                <w:rtl w:val="true"/>
              </w:rPr>
              <w:t>]</w:t>
              <w:tab/>
            </w:r>
            <w:r>
              <w:rPr>
                <w:rStyle w:val="IndexLink"/>
              </w:rPr>
              <w:t>811</w:t>
            </w:r>
          </w:hyperlink>
        </w:p>
        <w:p>
          <w:pPr>
            <w:pStyle w:val="Contents5"/>
            <w:tabs>
              <w:tab w:val="clear" w:pos="7892"/>
              <w:tab w:val="right" w:pos="9026" w:leader="dot"/>
            </w:tabs>
            <w:rPr/>
          </w:pPr>
          <w:hyperlink w:anchor="__RefHeading___Toc257157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لا یجوز نکاح بنت الأخ علی العمّة، و بنت الأُخت علی الخالة إلّا بإذنهما</w:t>
            </w:r>
            <w:r>
              <w:rPr>
                <w:rStyle w:val="IndexLink"/>
                <w:rtl w:val="true"/>
              </w:rPr>
              <w:t>]</w:t>
              <w:tab/>
            </w:r>
            <w:r>
              <w:rPr>
                <w:rStyle w:val="IndexLink"/>
              </w:rPr>
              <w:t>812</w:t>
            </w:r>
          </w:hyperlink>
        </w:p>
        <w:p>
          <w:pPr>
            <w:pStyle w:val="Contents5"/>
            <w:tabs>
              <w:tab w:val="clear" w:pos="7892"/>
              <w:tab w:val="right" w:pos="9026" w:leader="dot"/>
            </w:tabs>
            <w:rPr/>
          </w:pPr>
          <w:hyperlink w:anchor="__RefHeading___Toc257158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الظاهر أنّه لا فرق فی العمّة و الخالة بین الدنیا منهما و العلیا</w:t>
            </w:r>
            <w:r>
              <w:rPr>
                <w:rStyle w:val="IndexLink"/>
                <w:rtl w:val="true"/>
              </w:rPr>
              <w:t>]</w:t>
              <w:tab/>
            </w:r>
            <w:r>
              <w:rPr>
                <w:rStyle w:val="IndexLink"/>
              </w:rPr>
              <w:t>812</w:t>
            </w:r>
          </w:hyperlink>
        </w:p>
        <w:p>
          <w:pPr>
            <w:pStyle w:val="Contents5"/>
            <w:tabs>
              <w:tab w:val="clear" w:pos="7892"/>
              <w:tab w:val="right" w:pos="9026" w:leader="dot"/>
            </w:tabs>
            <w:rPr/>
          </w:pPr>
          <w:hyperlink w:anchor="__RefHeading___Toc257158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إذا أذنتا ثمّ رجعتا عن الإذن، فإن کان رجوعهما بعد العقد لم یؤثّر فی البطلان</w:t>
            </w:r>
            <w:r>
              <w:rPr>
                <w:rStyle w:val="IndexLink"/>
                <w:rtl w:val="true"/>
              </w:rPr>
              <w:t>]</w:t>
              <w:tab/>
            </w:r>
            <w:r>
              <w:rPr>
                <w:rStyle w:val="IndexLink"/>
              </w:rPr>
              <w:t>812</w:t>
            </w:r>
          </w:hyperlink>
        </w:p>
        <w:p>
          <w:pPr>
            <w:pStyle w:val="Contents5"/>
            <w:tabs>
              <w:tab w:val="clear" w:pos="7892"/>
              <w:tab w:val="right" w:pos="9026" w:leader="dot"/>
            </w:tabs>
            <w:rPr/>
          </w:pPr>
          <w:hyperlink w:anchor="__RefHeading___Toc257158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الظاهر أنّ اعتبار إذنهما لیس حقّا لهما کالخیار حتّی یسقط بالإسقاط</w:t>
            </w:r>
            <w:r>
              <w:rPr>
                <w:rStyle w:val="IndexLink"/>
                <w:rtl w:val="true"/>
              </w:rPr>
              <w:t>]</w:t>
              <w:tab/>
            </w:r>
            <w:r>
              <w:rPr>
                <w:rStyle w:val="IndexLink"/>
              </w:rPr>
              <w:t>812</w:t>
            </w:r>
          </w:hyperlink>
        </w:p>
        <w:p>
          <w:pPr>
            <w:pStyle w:val="Contents5"/>
            <w:tabs>
              <w:tab w:val="clear" w:pos="7892"/>
              <w:tab w:val="right" w:pos="9026" w:leader="dot"/>
            </w:tabs>
            <w:rPr/>
          </w:pPr>
          <w:hyperlink w:anchor="__RefHeading___Toc2571586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إذا تزوّج بالعمّة و ابنة الأخ و شکّ فی السابق منهما حکم بصحّة العقدین</w:t>
            </w:r>
            <w:r>
              <w:rPr>
                <w:rStyle w:val="IndexLink"/>
                <w:rtl w:val="true"/>
              </w:rPr>
              <w:t>]</w:t>
              <w:tab/>
            </w:r>
            <w:r>
              <w:rPr>
                <w:rStyle w:val="IndexLink"/>
              </w:rPr>
              <w:t>812</w:t>
            </w:r>
          </w:hyperlink>
        </w:p>
        <w:p>
          <w:pPr>
            <w:pStyle w:val="Contents5"/>
            <w:tabs>
              <w:tab w:val="clear" w:pos="7892"/>
              <w:tab w:val="right" w:pos="9026" w:leader="dot"/>
            </w:tabs>
            <w:rPr/>
          </w:pPr>
          <w:hyperlink w:anchor="__RefHeading___Toc2571588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إذا طلّق العمّة أو الخالة، فإن کان بائناً صحّ العقد علیٰ بنتی الأخ و الأُخت بمجرّد الطلاق</w:t>
            </w:r>
            <w:r>
              <w:rPr>
                <w:rStyle w:val="IndexLink"/>
                <w:rtl w:val="true"/>
              </w:rPr>
              <w:t>]</w:t>
              <w:tab/>
            </w:r>
            <w:r>
              <w:rPr>
                <w:rStyle w:val="IndexLink"/>
              </w:rPr>
              <w:t>813</w:t>
            </w:r>
          </w:hyperlink>
        </w:p>
        <w:p>
          <w:pPr>
            <w:pStyle w:val="Contents5"/>
            <w:tabs>
              <w:tab w:val="clear" w:pos="7892"/>
              <w:tab w:val="right" w:pos="9026" w:leader="dot"/>
            </w:tabs>
            <w:rPr/>
          </w:pPr>
          <w:hyperlink w:anchor="__RefHeading___Toc2571590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لا یجوز الجمع فی النکاح بین الأُختین نسبیّتین أو رضاعیّتین دواماً أو انقطاعاً أو بالاختلاف</w:t>
            </w:r>
            <w:r>
              <w:rPr>
                <w:rStyle w:val="IndexLink"/>
                <w:rtl w:val="true"/>
              </w:rPr>
              <w:t>]</w:t>
              <w:tab/>
            </w:r>
            <w:r>
              <w:rPr>
                <w:rStyle w:val="IndexLink"/>
              </w:rPr>
              <w:t>813</w:t>
            </w:r>
          </w:hyperlink>
        </w:p>
        <w:p>
          <w:pPr>
            <w:pStyle w:val="Contents5"/>
            <w:tabs>
              <w:tab w:val="clear" w:pos="7892"/>
              <w:tab w:val="right" w:pos="9026" w:leader="dot"/>
            </w:tabs>
            <w:rPr/>
          </w:pPr>
          <w:hyperlink w:anchor="__RefHeading___Toc2571592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لو تزوّج بالأُختین و لم یعلم السابق و اللاحق من العقدین</w:t>
            </w:r>
            <w:r>
              <w:rPr>
                <w:rStyle w:val="IndexLink"/>
                <w:rtl w:val="true"/>
              </w:rPr>
              <w:t>]</w:t>
              <w:tab/>
            </w:r>
            <w:r>
              <w:rPr>
                <w:rStyle w:val="IndexLink"/>
              </w:rPr>
              <w:t>813</w:t>
            </w:r>
          </w:hyperlink>
        </w:p>
        <w:p>
          <w:pPr>
            <w:pStyle w:val="Contents5"/>
            <w:tabs>
              <w:tab w:val="clear" w:pos="7892"/>
              <w:tab w:val="right" w:pos="9026" w:leader="dot"/>
            </w:tabs>
            <w:rPr/>
          </w:pPr>
          <w:hyperlink w:anchor="__RefHeading___Toc2571594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لو طلّقهما و الحال هذه فإن کان قبل الدخول فعلیه للزوجة الواقعیّة نصف مهرها</w:t>
            </w:r>
            <w:r>
              <w:rPr>
                <w:rStyle w:val="IndexLink"/>
                <w:rtl w:val="true"/>
              </w:rPr>
              <w:t>]</w:t>
              <w:tab/>
            </w:r>
            <w:r>
              <w:rPr>
                <w:rStyle w:val="IndexLink"/>
              </w:rPr>
              <w:t>813</w:t>
            </w:r>
          </w:hyperlink>
        </w:p>
        <w:p>
          <w:pPr>
            <w:pStyle w:val="Contents5"/>
            <w:tabs>
              <w:tab w:val="clear" w:pos="7892"/>
              <w:tab w:val="right" w:pos="9026" w:leader="dot"/>
            </w:tabs>
            <w:rPr/>
          </w:pPr>
          <w:hyperlink w:anchor="__RefHeading___Toc2571596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الظاهر جریان حکم تحریم الجمع فیما إذا کانت الأُختان کلتاهما أو إحداهما من زنا</w:t>
            </w:r>
            <w:r>
              <w:rPr>
                <w:rStyle w:val="IndexLink"/>
                <w:rtl w:val="true"/>
              </w:rPr>
              <w:t>]</w:t>
              <w:tab/>
            </w:r>
            <w:r>
              <w:rPr>
                <w:rStyle w:val="IndexLink"/>
              </w:rPr>
              <w:t>813</w:t>
            </w:r>
          </w:hyperlink>
        </w:p>
        <w:p>
          <w:pPr>
            <w:pStyle w:val="Contents5"/>
            <w:tabs>
              <w:tab w:val="clear" w:pos="7892"/>
              <w:tab w:val="right" w:pos="9026" w:leader="dot"/>
            </w:tabs>
            <w:rPr/>
          </w:pPr>
          <w:hyperlink w:anchor="__RefHeading___Toc2571598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إذا طلّق زوجته، فإن کان الطلاق رجعیا لا یجوز و لا یصحّ نکاح أُختها</w:t>
            </w:r>
            <w:r>
              <w:rPr>
                <w:rStyle w:val="IndexLink"/>
                <w:rtl w:val="true"/>
              </w:rPr>
              <w:t>]</w:t>
              <w:tab/>
            </w:r>
            <w:r>
              <w:rPr>
                <w:rStyle w:val="IndexLink"/>
              </w:rPr>
              <w:t>813</w:t>
            </w:r>
          </w:hyperlink>
        </w:p>
        <w:p>
          <w:pPr>
            <w:pStyle w:val="Contents5"/>
            <w:tabs>
              <w:tab w:val="clear" w:pos="7892"/>
              <w:tab w:val="right" w:pos="9026" w:leader="dot"/>
            </w:tabs>
            <w:rPr/>
          </w:pPr>
          <w:hyperlink w:anchor="__RefHeading___Toc2571600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ذهب بعض الأخباریّین إلیٰ حرمة الجمع بین الفاطمیّتین فی النکاح</w:t>
            </w:r>
            <w:r>
              <w:rPr>
                <w:rStyle w:val="IndexLink"/>
                <w:rtl w:val="true"/>
              </w:rPr>
              <w:t>]</w:t>
              <w:tab/>
            </w:r>
            <w:r>
              <w:rPr>
                <w:rStyle w:val="IndexLink"/>
              </w:rPr>
              <w:t>814</w:t>
            </w:r>
          </w:hyperlink>
        </w:p>
        <w:p>
          <w:pPr>
            <w:pStyle w:val="Contents5"/>
            <w:tabs>
              <w:tab w:val="clear" w:pos="7892"/>
              <w:tab w:val="right" w:pos="9026" w:leader="dot"/>
            </w:tabs>
            <w:rPr/>
          </w:pPr>
          <w:hyperlink w:anchor="__RefHeading___Toc2571602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الأحوط ترک تزویج الحرّ للأمة دواماً</w:t>
            </w:r>
            <w:r>
              <w:rPr>
                <w:rStyle w:val="IndexLink"/>
                <w:rtl w:val="true"/>
              </w:rPr>
              <w:t>]</w:t>
              <w:tab/>
            </w:r>
            <w:r>
              <w:rPr>
                <w:rStyle w:val="IndexLink"/>
              </w:rPr>
              <w:t>814</w:t>
            </w:r>
          </w:hyperlink>
        </w:p>
        <w:p>
          <w:pPr>
            <w:pStyle w:val="Contents5"/>
            <w:tabs>
              <w:tab w:val="clear" w:pos="7892"/>
              <w:tab w:val="right" w:pos="9026" w:leader="dot"/>
            </w:tabs>
            <w:rPr/>
          </w:pPr>
          <w:hyperlink w:anchor="__RefHeading___Toc2571604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لا یجوز تزویج الأمة علی الحرّة إلّا بإذنها</w:t>
            </w:r>
            <w:r>
              <w:rPr>
                <w:rStyle w:val="IndexLink"/>
                <w:rtl w:val="true"/>
              </w:rPr>
              <w:t>]</w:t>
              <w:tab/>
            </w:r>
            <w:r>
              <w:rPr>
                <w:rStyle w:val="IndexLink"/>
              </w:rPr>
              <w:t>814</w:t>
            </w:r>
          </w:hyperlink>
        </w:p>
        <w:p>
          <w:pPr>
            <w:pStyle w:val="Contents5"/>
            <w:tabs>
              <w:tab w:val="clear" w:pos="7892"/>
              <w:tab w:val="right" w:pos="9026" w:leader="dot"/>
            </w:tabs>
            <w:rPr/>
          </w:pPr>
          <w:hyperlink w:anchor="__RefHeading___Toc2571606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لو زنت امرأة ذات بعل لم تحرم علیٰ زوجها</w:t>
            </w:r>
            <w:r>
              <w:rPr>
                <w:rStyle w:val="IndexLink"/>
                <w:rtl w:val="true"/>
              </w:rPr>
              <w:t>]</w:t>
              <w:tab/>
            </w:r>
            <w:r>
              <w:rPr>
                <w:rStyle w:val="IndexLink"/>
              </w:rPr>
              <w:t>814</w:t>
            </w:r>
          </w:hyperlink>
        </w:p>
        <w:p>
          <w:pPr>
            <w:pStyle w:val="Contents5"/>
            <w:tabs>
              <w:tab w:val="clear" w:pos="7892"/>
              <w:tab w:val="right" w:pos="9026" w:leader="dot"/>
            </w:tabs>
            <w:rPr/>
          </w:pPr>
          <w:hyperlink w:anchor="__RefHeading___Toc2571608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من زنیٰ بذات بعل دواماً أو متعة حرمت علیه أبداً</w:t>
            </w:r>
            <w:r>
              <w:rPr>
                <w:rStyle w:val="IndexLink"/>
                <w:rtl w:val="true"/>
              </w:rPr>
              <w:t>]</w:t>
              <w:tab/>
            </w:r>
            <w:r>
              <w:rPr>
                <w:rStyle w:val="IndexLink"/>
              </w:rPr>
              <w:t>814</w:t>
            </w:r>
          </w:hyperlink>
        </w:p>
        <w:p>
          <w:pPr>
            <w:pStyle w:val="Contents5"/>
            <w:tabs>
              <w:tab w:val="clear" w:pos="7892"/>
              <w:tab w:val="right" w:pos="9026" w:leader="dot"/>
            </w:tabs>
            <w:rPr/>
          </w:pPr>
          <w:hyperlink w:anchor="__RefHeading___Toc2571610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إذا زنیٰ بامرأة فی العدّة الرجعیّة حرمت علیه أبداً کذات البعل</w:t>
            </w:r>
            <w:r>
              <w:rPr>
                <w:rStyle w:val="IndexLink"/>
                <w:rtl w:val="true"/>
              </w:rPr>
              <w:t>]</w:t>
              <w:tab/>
            </w:r>
            <w:r>
              <w:rPr>
                <w:rStyle w:val="IndexLink"/>
              </w:rPr>
              <w:t>814</w:t>
            </w:r>
          </w:hyperlink>
        </w:p>
        <w:p>
          <w:pPr>
            <w:pStyle w:val="Contents5"/>
            <w:tabs>
              <w:tab w:val="clear" w:pos="7892"/>
              <w:tab w:val="right" w:pos="9026" w:leader="dot"/>
            </w:tabs>
            <w:rPr/>
          </w:pPr>
          <w:hyperlink w:anchor="__RefHeading___Toc2571612_3650668749">
            <w:r>
              <w:rPr>
                <w:webHidden/>
                <w:rStyle w:val="IndexLink"/>
                <w:rtl w:val="true"/>
              </w:rPr>
              <w:t>[ (</w:t>
            </w:r>
            <w:r>
              <w:rPr>
                <w:rStyle w:val="IndexLink"/>
                <w:rtl w:val="true"/>
              </w:rPr>
              <w:t xml:space="preserve">مسألة </w:t>
            </w:r>
            <w:r>
              <w:rPr>
                <w:rStyle w:val="IndexLink"/>
              </w:rPr>
              <w:t>26</w:t>
            </w:r>
            <w:r>
              <w:rPr>
                <w:rStyle w:val="IndexLink"/>
                <w:rtl w:val="true"/>
              </w:rPr>
              <w:t xml:space="preserve">): </w:t>
            </w:r>
            <w:r>
              <w:rPr>
                <w:rStyle w:val="IndexLink"/>
                <w:rtl w:val="true"/>
              </w:rPr>
              <w:t>من لاط بغلام فأوقبه و لو ببعض الحشفة حرمت علیه أبداً أُمّ الغلام و إن علت</w:t>
            </w:r>
            <w:r>
              <w:rPr>
                <w:rStyle w:val="IndexLink"/>
                <w:rtl w:val="true"/>
              </w:rPr>
              <w:t>]</w:t>
              <w:tab/>
            </w:r>
            <w:r>
              <w:rPr>
                <w:rStyle w:val="IndexLink"/>
              </w:rPr>
              <w:t>815</w:t>
            </w:r>
          </w:hyperlink>
        </w:p>
        <w:p>
          <w:pPr>
            <w:pStyle w:val="Contents5"/>
            <w:tabs>
              <w:tab w:val="clear" w:pos="7892"/>
              <w:tab w:val="right" w:pos="9026" w:leader="dot"/>
            </w:tabs>
            <w:rPr/>
          </w:pPr>
          <w:hyperlink w:anchor="__RefHeading___Toc2571614_3650668749">
            <w:r>
              <w:rPr>
                <w:webHidden/>
                <w:rStyle w:val="IndexLink"/>
                <w:rtl w:val="true"/>
              </w:rPr>
              <w:t>[ (</w:t>
            </w:r>
            <w:r>
              <w:rPr>
                <w:rStyle w:val="IndexLink"/>
                <w:rtl w:val="true"/>
              </w:rPr>
              <w:t xml:space="preserve">مسألة </w:t>
            </w:r>
            <w:r>
              <w:rPr>
                <w:rStyle w:val="IndexLink"/>
              </w:rPr>
              <w:t>27</w:t>
            </w:r>
            <w:r>
              <w:rPr>
                <w:rStyle w:val="IndexLink"/>
                <w:rtl w:val="true"/>
              </w:rPr>
              <w:t xml:space="preserve">): </w:t>
            </w:r>
            <w:r>
              <w:rPr>
                <w:rStyle w:val="IndexLink"/>
                <w:rtl w:val="true"/>
              </w:rPr>
              <w:t>إنّما یوجب اللواط حرمة المذکورات إذا کان سابقاً</w:t>
            </w:r>
            <w:r>
              <w:rPr>
                <w:rStyle w:val="IndexLink"/>
                <w:rtl w:val="true"/>
              </w:rPr>
              <w:t>]</w:t>
              <w:tab/>
            </w:r>
            <w:r>
              <w:rPr>
                <w:rStyle w:val="IndexLink"/>
              </w:rPr>
              <w:t>815</w:t>
            </w:r>
          </w:hyperlink>
        </w:p>
        <w:p>
          <w:pPr>
            <w:pStyle w:val="Contents5"/>
            <w:tabs>
              <w:tab w:val="clear" w:pos="7892"/>
              <w:tab w:val="right" w:pos="9026" w:leader="dot"/>
            </w:tabs>
            <w:rPr/>
          </w:pPr>
          <w:hyperlink w:anchor="__RefHeading___Toc2571616_3650668749">
            <w:r>
              <w:rPr>
                <w:webHidden/>
                <w:rStyle w:val="IndexLink"/>
                <w:rtl w:val="true"/>
              </w:rPr>
              <w:t>[ (</w:t>
            </w:r>
            <w:r>
              <w:rPr>
                <w:rStyle w:val="IndexLink"/>
                <w:rtl w:val="true"/>
              </w:rPr>
              <w:t xml:space="preserve">مسألة </w:t>
            </w:r>
            <w:r>
              <w:rPr>
                <w:rStyle w:val="IndexLink"/>
              </w:rPr>
              <w:t>28</w:t>
            </w:r>
            <w:r>
              <w:rPr>
                <w:rStyle w:val="IndexLink"/>
                <w:rtl w:val="true"/>
              </w:rPr>
              <w:t xml:space="preserve">): </w:t>
            </w:r>
            <w:r>
              <w:rPr>
                <w:rStyle w:val="IndexLink"/>
                <w:rtl w:val="true"/>
              </w:rPr>
              <w:t>لو شکّ فی تحقّق الإیقاب حینما عبث بالغلام أو بعده بنیٰ علی العدم</w:t>
            </w:r>
            <w:r>
              <w:rPr>
                <w:rStyle w:val="IndexLink"/>
                <w:rtl w:val="true"/>
              </w:rPr>
              <w:t>]</w:t>
              <w:tab/>
            </w:r>
            <w:r>
              <w:rPr>
                <w:rStyle w:val="IndexLink"/>
              </w:rPr>
              <w:t>815</w:t>
            </w:r>
          </w:hyperlink>
        </w:p>
        <w:p>
          <w:pPr>
            <w:pStyle w:val="Contents4"/>
            <w:tabs>
              <w:tab w:val="clear" w:pos="8176"/>
              <w:tab w:val="right" w:pos="9026" w:leader="dot"/>
            </w:tabs>
            <w:rPr/>
          </w:pPr>
          <w:hyperlink w:anchor="__RefHeading___Toc2571618_3650668749">
            <w:r>
              <w:rPr>
                <w:webHidden/>
                <w:rStyle w:val="IndexLink"/>
                <w:rtl w:val="true"/>
              </w:rPr>
              <w:t>[</w:t>
            </w:r>
            <w:r>
              <w:rPr>
                <w:rStyle w:val="IndexLink"/>
                <w:rtl w:val="true"/>
              </w:rPr>
              <w:t>القول فی النکاح فی العدّة و تکمیل العدد</w:t>
            </w:r>
            <w:r>
              <w:rPr>
                <w:rStyle w:val="IndexLink"/>
                <w:rtl w:val="true"/>
              </w:rPr>
              <w:t>]</w:t>
              <w:tab/>
            </w:r>
            <w:r>
              <w:rPr>
                <w:rStyle w:val="IndexLink"/>
              </w:rPr>
              <w:t>815</w:t>
            </w:r>
          </w:hyperlink>
        </w:p>
        <w:p>
          <w:pPr>
            <w:pStyle w:val="Contents5"/>
            <w:tabs>
              <w:tab w:val="clear" w:pos="7892"/>
              <w:tab w:val="right" w:pos="9026" w:leader="dot"/>
            </w:tabs>
            <w:rPr/>
          </w:pPr>
          <w:hyperlink w:anchor="__RefHeading___Toc2571620_3650668749">
            <w:r>
              <w:rPr>
                <w:webHidden/>
                <w:rStyle w:val="IndexLink"/>
                <w:rtl w:val="true"/>
              </w:rPr>
              <w:t>اشارة</w:t>
            </w:r>
            <w:r>
              <w:rPr>
                <w:rStyle w:val="IndexLink"/>
                <w:rtl w:val="true"/>
              </w:rPr>
              <w:tab/>
            </w:r>
            <w:r>
              <w:rPr>
                <w:rStyle w:val="IndexLink"/>
              </w:rPr>
              <w:t>815</w:t>
            </w:r>
          </w:hyperlink>
        </w:p>
        <w:p>
          <w:pPr>
            <w:pStyle w:val="Contents5"/>
            <w:tabs>
              <w:tab w:val="clear" w:pos="7892"/>
              <w:tab w:val="right" w:pos="9026" w:leader="dot"/>
            </w:tabs>
            <w:rPr/>
          </w:pPr>
          <w:hyperlink w:anchor="__RefHeading___Toc257162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یجوز نکاح المرأة لا دائماً و لا منقطعاً إذا کانت فی عدّة الغیر</w:t>
            </w:r>
            <w:r>
              <w:rPr>
                <w:rStyle w:val="IndexLink"/>
                <w:rtl w:val="true"/>
              </w:rPr>
              <w:t>]</w:t>
              <w:tab/>
            </w:r>
            <w:r>
              <w:rPr>
                <w:rStyle w:val="IndexLink"/>
              </w:rPr>
              <w:t>815</w:t>
            </w:r>
          </w:hyperlink>
        </w:p>
        <w:p>
          <w:pPr>
            <w:pStyle w:val="Contents5"/>
            <w:tabs>
              <w:tab w:val="clear" w:pos="7892"/>
              <w:tab w:val="right" w:pos="9026" w:leader="dot"/>
            </w:tabs>
            <w:rPr/>
          </w:pPr>
          <w:hyperlink w:anchor="__RefHeading___Toc257162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لو وکّل أحداً فی تزویج امرأة له، و لم یعیّن الزوجة فزوّجه امرأة ذات عدّة لم تحرم علیه</w:t>
            </w:r>
            <w:r>
              <w:rPr>
                <w:rStyle w:val="IndexLink"/>
                <w:rtl w:val="true"/>
              </w:rPr>
              <w:t>]</w:t>
              <w:tab/>
            </w:r>
            <w:r>
              <w:rPr>
                <w:rStyle w:val="IndexLink"/>
              </w:rPr>
              <w:t>815</w:t>
            </w:r>
          </w:hyperlink>
        </w:p>
        <w:p>
          <w:pPr>
            <w:pStyle w:val="Contents5"/>
            <w:tabs>
              <w:tab w:val="clear" w:pos="7892"/>
              <w:tab w:val="right" w:pos="9026" w:leader="dot"/>
            </w:tabs>
            <w:rPr/>
          </w:pPr>
          <w:hyperlink w:anchor="__RefHeading___Toc257162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یلحق بالتزویج فی العدّة وطء الشبهة أو الزنا بالمعتدّة</w:t>
            </w:r>
            <w:r>
              <w:rPr>
                <w:rStyle w:val="IndexLink"/>
                <w:rtl w:val="true"/>
              </w:rPr>
              <w:t>]</w:t>
              <w:tab/>
            </w:r>
            <w:r>
              <w:rPr>
                <w:rStyle w:val="IndexLink"/>
              </w:rPr>
              <w:t>815</w:t>
            </w:r>
          </w:hyperlink>
        </w:p>
        <w:p>
          <w:pPr>
            <w:pStyle w:val="Contents5"/>
            <w:tabs>
              <w:tab w:val="clear" w:pos="7892"/>
              <w:tab w:val="right" w:pos="9026" w:leader="dot"/>
            </w:tabs>
            <w:rPr/>
          </w:pPr>
          <w:hyperlink w:anchor="__RefHeading___Toc257162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کانت المرأة فی عدّة الرجل جاز له العقد علیها فی الحال</w:t>
            </w:r>
            <w:r>
              <w:rPr>
                <w:rStyle w:val="IndexLink"/>
                <w:rtl w:val="true"/>
              </w:rPr>
              <w:t>]</w:t>
              <w:tab/>
            </w:r>
            <w:r>
              <w:rPr>
                <w:rStyle w:val="IndexLink"/>
              </w:rPr>
              <w:t>816</w:t>
            </w:r>
          </w:hyperlink>
        </w:p>
        <w:p>
          <w:pPr>
            <w:pStyle w:val="Contents5"/>
            <w:tabs>
              <w:tab w:val="clear" w:pos="7892"/>
              <w:tab w:val="right" w:pos="9026" w:leader="dot"/>
            </w:tabs>
            <w:rPr/>
          </w:pPr>
          <w:hyperlink w:anchor="__RefHeading___Toc257163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هل یعتبر فی الدخول الذی هو شرط للحرمة الأبدیّة فی صورة الجهل أن یکون فی العدّة</w:t>
            </w:r>
            <w:r>
              <w:rPr>
                <w:rStyle w:val="IndexLink"/>
                <w:rtl w:val="true"/>
              </w:rPr>
              <w:t>]</w:t>
              <w:tab/>
            </w:r>
            <w:r>
              <w:rPr>
                <w:rStyle w:val="IndexLink"/>
              </w:rPr>
              <w:t>816</w:t>
            </w:r>
          </w:hyperlink>
        </w:p>
        <w:p>
          <w:pPr>
            <w:pStyle w:val="Contents5"/>
            <w:tabs>
              <w:tab w:val="clear" w:pos="7892"/>
              <w:tab w:val="right" w:pos="9026" w:leader="dot"/>
            </w:tabs>
            <w:rPr/>
          </w:pPr>
          <w:hyperlink w:anchor="__RefHeading___Toc257163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شکّ فی أنّها معتدّة أم لا، حکم بالعدم و جاز له تزویجها</w:t>
            </w:r>
            <w:r>
              <w:rPr>
                <w:rStyle w:val="IndexLink"/>
                <w:rtl w:val="true"/>
              </w:rPr>
              <w:t>]</w:t>
              <w:tab/>
            </w:r>
            <w:r>
              <w:rPr>
                <w:rStyle w:val="IndexLink"/>
              </w:rPr>
              <w:t>816</w:t>
            </w:r>
          </w:hyperlink>
        </w:p>
        <w:p>
          <w:pPr>
            <w:pStyle w:val="Contents5"/>
            <w:tabs>
              <w:tab w:val="clear" w:pos="7892"/>
              <w:tab w:val="right" w:pos="9026" w:leader="dot"/>
            </w:tabs>
            <w:rPr/>
          </w:pPr>
          <w:hyperlink w:anchor="__RefHeading___Toc257163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علم أنّ التزویج کان فی العدّة مع الجهل موضوعاً أو حکماً، و لکن شکّ فی أنّه قد دخل بها</w:t>
            </w:r>
            <w:r>
              <w:rPr>
                <w:rStyle w:val="IndexLink"/>
                <w:rtl w:val="true"/>
              </w:rPr>
              <w:t>]</w:t>
              <w:tab/>
            </w:r>
            <w:r>
              <w:rPr>
                <w:rStyle w:val="IndexLink"/>
              </w:rPr>
              <w:t>816</w:t>
            </w:r>
          </w:hyperlink>
        </w:p>
        <w:p>
          <w:pPr>
            <w:pStyle w:val="Contents5"/>
            <w:tabs>
              <w:tab w:val="clear" w:pos="7892"/>
              <w:tab w:val="right" w:pos="9026" w:leader="dot"/>
            </w:tabs>
            <w:rPr/>
          </w:pPr>
          <w:hyperlink w:anchor="__RefHeading___Toc257163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یلحق بالتزویج فی العدّة فی إیجاب الحرمة الأبدیّة التزویج بذات البعل</w:t>
            </w:r>
            <w:r>
              <w:rPr>
                <w:rStyle w:val="IndexLink"/>
                <w:rtl w:val="true"/>
              </w:rPr>
              <w:t>]</w:t>
              <w:tab/>
            </w:r>
            <w:r>
              <w:rPr>
                <w:rStyle w:val="IndexLink"/>
              </w:rPr>
              <w:t>816</w:t>
            </w:r>
          </w:hyperlink>
        </w:p>
        <w:p>
          <w:pPr>
            <w:pStyle w:val="Contents5"/>
            <w:tabs>
              <w:tab w:val="clear" w:pos="7892"/>
              <w:tab w:val="right" w:pos="9026" w:leader="dot"/>
            </w:tabs>
            <w:rPr/>
          </w:pPr>
          <w:hyperlink w:anchor="__RefHeading___Toc257163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إذا تزوّج بامرأة علیها عدّة و لم تشرع فیها لعدم تحقّق مبدئها</w:t>
            </w:r>
            <w:r>
              <w:rPr>
                <w:rStyle w:val="IndexLink"/>
                <w:rtl w:val="true"/>
              </w:rPr>
              <w:t>]</w:t>
              <w:tab/>
            </w:r>
            <w:r>
              <w:rPr>
                <w:rStyle w:val="IndexLink"/>
              </w:rPr>
              <w:t>816</w:t>
            </w:r>
          </w:hyperlink>
        </w:p>
        <w:p>
          <w:pPr>
            <w:pStyle w:val="Contents5"/>
            <w:tabs>
              <w:tab w:val="clear" w:pos="7892"/>
              <w:tab w:val="right" w:pos="9026" w:leader="dot"/>
            </w:tabs>
            <w:rPr/>
          </w:pPr>
          <w:hyperlink w:anchor="__RefHeading___Toc257164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من کان عنده أربع زوجات دائمیّة تحرم علیه الخامسة ما دامت الأربع فی حباله</w:t>
            </w:r>
            <w:r>
              <w:rPr>
                <w:rStyle w:val="IndexLink"/>
                <w:rtl w:val="true"/>
              </w:rPr>
              <w:t>]</w:t>
              <w:tab/>
            </w:r>
            <w:r>
              <w:rPr>
                <w:rStyle w:val="IndexLink"/>
              </w:rPr>
              <w:t>817</w:t>
            </w:r>
          </w:hyperlink>
        </w:p>
        <w:p>
          <w:pPr>
            <w:pStyle w:val="Contents5"/>
            <w:tabs>
              <w:tab w:val="clear" w:pos="7892"/>
              <w:tab w:val="right" w:pos="9026" w:leader="dot"/>
            </w:tabs>
            <w:rPr/>
          </w:pPr>
          <w:hyperlink w:anchor="__RefHeading___Toc257164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ما ذکر إنّما هو فی العقد الدائم، و أمّا فی المنقطع</w:t>
            </w:r>
            <w:r>
              <w:rPr>
                <w:rStyle w:val="IndexLink"/>
                <w:rtl w:val="true"/>
              </w:rPr>
              <w:t>]</w:t>
              <w:tab/>
            </w:r>
            <w:r>
              <w:rPr>
                <w:rStyle w:val="IndexLink"/>
              </w:rPr>
              <w:t>817</w:t>
            </w:r>
          </w:hyperlink>
        </w:p>
        <w:p>
          <w:pPr>
            <w:pStyle w:val="Contents5"/>
            <w:tabs>
              <w:tab w:val="clear" w:pos="7892"/>
              <w:tab w:val="right" w:pos="9026" w:leader="dot"/>
            </w:tabs>
            <w:rPr/>
          </w:pPr>
          <w:hyperlink w:anchor="__RefHeading___Toc257164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إذا کانت عنده أربع فماتت إحداهنّ، یجوز له تزویج أُخری فی الحال</w:t>
            </w:r>
            <w:r>
              <w:rPr>
                <w:rStyle w:val="IndexLink"/>
                <w:rtl w:val="true"/>
              </w:rPr>
              <w:t>]</w:t>
              <w:tab/>
            </w:r>
            <w:r>
              <w:rPr>
                <w:rStyle w:val="IndexLink"/>
              </w:rPr>
              <w:t>817</w:t>
            </w:r>
          </w:hyperlink>
        </w:p>
        <w:p>
          <w:pPr>
            <w:pStyle w:val="Contents5"/>
            <w:tabs>
              <w:tab w:val="clear" w:pos="7892"/>
              <w:tab w:val="right" w:pos="9026" w:leader="dot"/>
            </w:tabs>
            <w:rPr/>
          </w:pPr>
          <w:hyperlink w:anchor="__RefHeading___Toc2571646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إذا طلّق الرجل حرّا کان أو عبداً زوجته الحرّة ثلاث طلقات</w:t>
            </w:r>
            <w:r>
              <w:rPr>
                <w:rStyle w:val="IndexLink"/>
                <w:rtl w:val="true"/>
              </w:rPr>
              <w:t>]</w:t>
              <w:tab/>
            </w:r>
            <w:r>
              <w:rPr>
                <w:rStyle w:val="IndexLink"/>
              </w:rPr>
              <w:t>817</w:t>
            </w:r>
          </w:hyperlink>
        </w:p>
        <w:p>
          <w:pPr>
            <w:pStyle w:val="Contents4"/>
            <w:tabs>
              <w:tab w:val="clear" w:pos="8176"/>
              <w:tab w:val="right" w:pos="9026" w:leader="dot"/>
            </w:tabs>
            <w:rPr/>
          </w:pPr>
          <w:hyperlink w:anchor="__RefHeading___Toc2571648_3650668749">
            <w:r>
              <w:rPr>
                <w:webHidden/>
                <w:rStyle w:val="IndexLink"/>
                <w:rtl w:val="true"/>
              </w:rPr>
              <w:t>[</w:t>
            </w:r>
            <w:r>
              <w:rPr>
                <w:rStyle w:val="IndexLink"/>
                <w:rtl w:val="true"/>
              </w:rPr>
              <w:t>القول فی الکفر</w:t>
            </w:r>
            <w:r>
              <w:rPr>
                <w:rStyle w:val="IndexLink"/>
                <w:rtl w:val="true"/>
              </w:rPr>
              <w:t>]</w:t>
              <w:tab/>
            </w:r>
            <w:r>
              <w:rPr>
                <w:rStyle w:val="IndexLink"/>
              </w:rPr>
              <w:t>818</w:t>
            </w:r>
          </w:hyperlink>
        </w:p>
        <w:p>
          <w:pPr>
            <w:pStyle w:val="Contents5"/>
            <w:tabs>
              <w:tab w:val="clear" w:pos="7892"/>
              <w:tab w:val="right" w:pos="9026" w:leader="dot"/>
            </w:tabs>
            <w:rPr/>
          </w:pPr>
          <w:hyperlink w:anchor="__RefHeading___Toc2571650_3650668749">
            <w:r>
              <w:rPr>
                <w:webHidden/>
                <w:rStyle w:val="IndexLink"/>
                <w:rtl w:val="true"/>
              </w:rPr>
              <w:t>اشارة</w:t>
            </w:r>
            <w:r>
              <w:rPr>
                <w:rStyle w:val="IndexLink"/>
                <w:rtl w:val="true"/>
              </w:rPr>
              <w:tab/>
            </w:r>
            <w:r>
              <w:rPr>
                <w:rStyle w:val="IndexLink"/>
              </w:rPr>
              <w:t>818</w:t>
            </w:r>
          </w:hyperlink>
        </w:p>
        <w:p>
          <w:pPr>
            <w:pStyle w:val="Contents5"/>
            <w:tabs>
              <w:tab w:val="clear" w:pos="7892"/>
              <w:tab w:val="right" w:pos="9026" w:leader="dot"/>
            </w:tabs>
            <w:rPr/>
          </w:pPr>
          <w:hyperlink w:anchor="__RefHeading___Toc257165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الأقویٰ أنّ المجوسیّة بحکم الیهودیّة و النصرانیّة</w:t>
            </w:r>
            <w:r>
              <w:rPr>
                <w:rStyle w:val="IndexLink"/>
                <w:rtl w:val="true"/>
              </w:rPr>
              <w:t>]</w:t>
              <w:tab/>
            </w:r>
            <w:r>
              <w:rPr>
                <w:rStyle w:val="IndexLink"/>
              </w:rPr>
              <w:t>818</w:t>
            </w:r>
          </w:hyperlink>
        </w:p>
        <w:p>
          <w:pPr>
            <w:pStyle w:val="Contents5"/>
            <w:tabs>
              <w:tab w:val="clear" w:pos="7892"/>
              <w:tab w:val="right" w:pos="9026" w:leader="dot"/>
            </w:tabs>
            <w:rPr/>
          </w:pPr>
          <w:hyperlink w:anchor="__RefHeading___Toc257165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العقد الواقع بین الکفّار لو وقع صحیحاً عندهم و علیٰ طبق مذهبهم یترتّب علیه آثار الصحیح عندنا</w:t>
            </w:r>
            <w:r>
              <w:rPr>
                <w:rStyle w:val="IndexLink"/>
                <w:rtl w:val="true"/>
              </w:rPr>
              <w:t>]</w:t>
              <w:tab/>
            </w:r>
            <w:r>
              <w:rPr>
                <w:rStyle w:val="IndexLink"/>
              </w:rPr>
              <w:t>818</w:t>
            </w:r>
          </w:hyperlink>
        </w:p>
        <w:p>
          <w:pPr>
            <w:pStyle w:val="Contents5"/>
            <w:tabs>
              <w:tab w:val="clear" w:pos="7892"/>
              <w:tab w:val="right" w:pos="9026" w:leader="dot"/>
            </w:tabs>
            <w:rPr/>
          </w:pPr>
          <w:hyperlink w:anchor="__RefHeading___Toc257165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أسلم زوج الکتابیّة بقیا علیٰ نکاحهما الأوّل</w:t>
            </w:r>
            <w:r>
              <w:rPr>
                <w:rStyle w:val="IndexLink"/>
                <w:rtl w:val="true"/>
              </w:rPr>
              <w:t>]</w:t>
              <w:tab/>
            </w:r>
            <w:r>
              <w:rPr>
                <w:rStyle w:val="IndexLink"/>
              </w:rPr>
              <w:t>819</w:t>
            </w:r>
          </w:hyperlink>
        </w:p>
        <w:p>
          <w:pPr>
            <w:pStyle w:val="Contents5"/>
            <w:tabs>
              <w:tab w:val="clear" w:pos="7892"/>
              <w:tab w:val="right" w:pos="9026" w:leader="dot"/>
            </w:tabs>
            <w:rPr/>
          </w:pPr>
          <w:hyperlink w:anchor="__RefHeading___Toc257165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أسلمت زوجة الوثنی أو الکتابی؛ وثنیّة کانت أو کتابیّة، فإن کان قبل الدخول انفسخ النکاح</w:t>
            </w:r>
            <w:r>
              <w:rPr>
                <w:rStyle w:val="IndexLink"/>
                <w:rtl w:val="true"/>
              </w:rPr>
              <w:t>]</w:t>
              <w:tab/>
            </w:r>
            <w:r>
              <w:rPr>
                <w:rStyle w:val="IndexLink"/>
              </w:rPr>
              <w:t>819</w:t>
            </w:r>
          </w:hyperlink>
        </w:p>
        <w:p>
          <w:pPr>
            <w:pStyle w:val="Contents5"/>
            <w:tabs>
              <w:tab w:val="clear" w:pos="7892"/>
              <w:tab w:val="right" w:pos="9026" w:leader="dot"/>
            </w:tabs>
            <w:rPr/>
          </w:pPr>
          <w:hyperlink w:anchor="__RefHeading___Toc257166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ارتدّ أحد الزوجین أو ارتدّا معاً دفعة قبل الدخول وقع الانفساخ فی الحال</w:t>
            </w:r>
            <w:r>
              <w:rPr>
                <w:rStyle w:val="IndexLink"/>
                <w:rtl w:val="true"/>
              </w:rPr>
              <w:t>]</w:t>
              <w:tab/>
            </w:r>
            <w:r>
              <w:rPr>
                <w:rStyle w:val="IndexLink"/>
              </w:rPr>
              <w:t>819</w:t>
            </w:r>
          </w:hyperlink>
        </w:p>
        <w:p>
          <w:pPr>
            <w:pStyle w:val="Contents5"/>
            <w:tabs>
              <w:tab w:val="clear" w:pos="7892"/>
              <w:tab w:val="right" w:pos="9026" w:leader="dot"/>
            </w:tabs>
            <w:rPr/>
          </w:pPr>
          <w:hyperlink w:anchor="__RefHeading___Toc257166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العدّة فی ارتداد الزوج عن فطرة کالوفاة</w:t>
            </w:r>
            <w:r>
              <w:rPr>
                <w:rStyle w:val="IndexLink"/>
                <w:rtl w:val="true"/>
              </w:rPr>
              <w:t>]</w:t>
              <w:tab/>
            </w:r>
            <w:r>
              <w:rPr>
                <w:rStyle w:val="IndexLink"/>
              </w:rPr>
              <w:t>819</w:t>
            </w:r>
          </w:hyperlink>
        </w:p>
        <w:p>
          <w:pPr>
            <w:pStyle w:val="Contents5"/>
            <w:tabs>
              <w:tab w:val="clear" w:pos="7892"/>
              <w:tab w:val="right" w:pos="9026" w:leader="dot"/>
            </w:tabs>
            <w:rPr/>
          </w:pPr>
          <w:hyperlink w:anchor="__RefHeading___Toc257166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 xml:space="preserve">لا یجوز للمؤمنة أن تنکح الناصب المعلن بعداوة أهل البیت </w:t>
            </w:r>
            <w:r>
              <w:rPr>
                <w:rStyle w:val="IndexLink"/>
                <w:rtl w:val="true"/>
              </w:rPr>
              <w:t>(</w:t>
            </w:r>
            <w:r>
              <w:rPr>
                <w:rStyle w:val="IndexLink"/>
                <w:rtl w:val="true"/>
              </w:rPr>
              <w:t>علیهم السّلام</w:t>
            </w:r>
            <w:r>
              <w:rPr>
                <w:rStyle w:val="IndexLink"/>
                <w:rtl w:val="true"/>
              </w:rPr>
              <w:t>)]</w:t>
              <w:tab/>
            </w:r>
            <w:r>
              <w:rPr>
                <w:rStyle w:val="IndexLink"/>
              </w:rPr>
              <w:t>819</w:t>
            </w:r>
          </w:hyperlink>
        </w:p>
        <w:p>
          <w:pPr>
            <w:pStyle w:val="Contents5"/>
            <w:tabs>
              <w:tab w:val="clear" w:pos="7892"/>
              <w:tab w:val="right" w:pos="9026" w:leader="dot"/>
            </w:tabs>
            <w:rPr/>
          </w:pPr>
          <w:hyperlink w:anchor="__RefHeading___Toc257166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لا إشکال فی جواز نکاح المؤمن المخالفة الغیر الناصبة</w:t>
            </w:r>
            <w:r>
              <w:rPr>
                <w:rStyle w:val="IndexLink"/>
                <w:rtl w:val="true"/>
              </w:rPr>
              <w:t>]</w:t>
              <w:tab/>
            </w:r>
            <w:r>
              <w:rPr>
                <w:rStyle w:val="IndexLink"/>
              </w:rPr>
              <w:t>819</w:t>
            </w:r>
          </w:hyperlink>
        </w:p>
        <w:p>
          <w:pPr>
            <w:pStyle w:val="Contents5"/>
            <w:tabs>
              <w:tab w:val="clear" w:pos="7892"/>
              <w:tab w:val="right" w:pos="9026" w:leader="dot"/>
            </w:tabs>
            <w:rPr/>
          </w:pPr>
          <w:hyperlink w:anchor="__RefHeading___Toc257166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لا یشترط فی صحّة النکاح تمکّن الزوج من النفقة</w:t>
            </w:r>
            <w:r>
              <w:rPr>
                <w:rStyle w:val="IndexLink"/>
                <w:rtl w:val="true"/>
              </w:rPr>
              <w:t>]</w:t>
              <w:tab/>
            </w:r>
            <w:r>
              <w:rPr>
                <w:rStyle w:val="IndexLink"/>
              </w:rPr>
              <w:t>819</w:t>
            </w:r>
          </w:hyperlink>
        </w:p>
        <w:p>
          <w:pPr>
            <w:pStyle w:val="Contents5"/>
            <w:tabs>
              <w:tab w:val="clear" w:pos="7892"/>
              <w:tab w:val="right" w:pos="9026" w:leader="dot"/>
            </w:tabs>
            <w:rPr/>
          </w:pPr>
          <w:hyperlink w:anchor="__RefHeading___Toc257167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بعد ما لم یکن التمکّن من النفقة شرطاً لصحّة العقد و لا لزومه</w:t>
            </w:r>
            <w:r>
              <w:rPr>
                <w:rStyle w:val="IndexLink"/>
                <w:rtl w:val="true"/>
              </w:rPr>
              <w:t>]</w:t>
              <w:tab/>
            </w:r>
            <w:r>
              <w:rPr>
                <w:rStyle w:val="IndexLink"/>
              </w:rPr>
              <w:t>820</w:t>
            </w:r>
          </w:hyperlink>
        </w:p>
        <w:p>
          <w:pPr>
            <w:pStyle w:val="Contents5"/>
            <w:tabs>
              <w:tab w:val="clear" w:pos="7892"/>
              <w:tab w:val="right" w:pos="9026" w:leader="dot"/>
            </w:tabs>
            <w:rPr/>
          </w:pPr>
          <w:hyperlink w:anchor="__RefHeading___Toc257167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لا إشکال فی جواز تزویج الحرّة بالعبد و العربیّة بالعجمی و الهاشمیّة بغیر الهاشمی</w:t>
            </w:r>
            <w:r>
              <w:rPr>
                <w:rStyle w:val="IndexLink"/>
                <w:rtl w:val="true"/>
              </w:rPr>
              <w:t>]</w:t>
              <w:tab/>
            </w:r>
            <w:r>
              <w:rPr>
                <w:rStyle w:val="IndexLink"/>
              </w:rPr>
              <w:t>820</w:t>
            </w:r>
          </w:hyperlink>
        </w:p>
        <w:p>
          <w:pPr>
            <w:pStyle w:val="Contents5"/>
            <w:tabs>
              <w:tab w:val="clear" w:pos="7892"/>
              <w:tab w:val="right" w:pos="9026" w:leader="dot"/>
            </w:tabs>
            <w:rPr/>
          </w:pPr>
          <w:hyperlink w:anchor="__RefHeading___Toc257167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و ممّا یوجب الحرمة الأبدیّة التزویج حال الإحرام دواماً أو انقطاعاً</w:t>
            </w:r>
            <w:r>
              <w:rPr>
                <w:rStyle w:val="IndexLink"/>
                <w:rtl w:val="true"/>
              </w:rPr>
              <w:t>]</w:t>
              <w:tab/>
            </w:r>
            <w:r>
              <w:rPr>
                <w:rStyle w:val="IndexLink"/>
              </w:rPr>
              <w:t>820</w:t>
            </w:r>
          </w:hyperlink>
        </w:p>
        <w:p>
          <w:pPr>
            <w:pStyle w:val="Contents5"/>
            <w:tabs>
              <w:tab w:val="clear" w:pos="7892"/>
              <w:tab w:val="right" w:pos="9026" w:leader="dot"/>
            </w:tabs>
            <w:rPr/>
          </w:pPr>
          <w:hyperlink w:anchor="__RefHeading___Toc2571676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لا فرق فیما ذکر من التحریم مع العلم، و البطلان مع الجهل</w:t>
            </w:r>
            <w:r>
              <w:rPr>
                <w:rStyle w:val="IndexLink"/>
                <w:rtl w:val="true"/>
              </w:rPr>
              <w:t>]</w:t>
              <w:tab/>
            </w:r>
            <w:r>
              <w:rPr>
                <w:rStyle w:val="IndexLink"/>
              </w:rPr>
              <w:t>820</w:t>
            </w:r>
          </w:hyperlink>
        </w:p>
        <w:p>
          <w:pPr>
            <w:pStyle w:val="Contents5"/>
            <w:tabs>
              <w:tab w:val="clear" w:pos="7892"/>
              <w:tab w:val="right" w:pos="9026" w:leader="dot"/>
            </w:tabs>
            <w:rPr/>
          </w:pPr>
          <w:hyperlink w:anchor="__RefHeading___Toc2571678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لو کانت الزوجة محرمة عالمة بالحرمة و کان الزوج محلّا فهل یوجب الحرمة الأبدیة بینهما</w:t>
            </w:r>
            <w:r>
              <w:rPr>
                <w:rStyle w:val="IndexLink"/>
                <w:rtl w:val="true"/>
              </w:rPr>
              <w:t>]</w:t>
              <w:tab/>
            </w:r>
            <w:r>
              <w:rPr>
                <w:rStyle w:val="IndexLink"/>
              </w:rPr>
              <w:t>820</w:t>
            </w:r>
          </w:hyperlink>
        </w:p>
        <w:p>
          <w:pPr>
            <w:pStyle w:val="Contents5"/>
            <w:tabs>
              <w:tab w:val="clear" w:pos="7892"/>
              <w:tab w:val="right" w:pos="9026" w:leader="dot"/>
            </w:tabs>
            <w:rPr/>
          </w:pPr>
          <w:hyperlink w:anchor="__RefHeading___Toc2571680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یجوز للمحرم الرجوع فی الطلاق فی العدّة الرجعیّة</w:t>
            </w:r>
            <w:r>
              <w:rPr>
                <w:rStyle w:val="IndexLink"/>
                <w:rtl w:val="true"/>
              </w:rPr>
              <w:t>]</w:t>
              <w:tab/>
            </w:r>
            <w:r>
              <w:rPr>
                <w:rStyle w:val="IndexLink"/>
              </w:rPr>
              <w:t>820</w:t>
            </w:r>
          </w:hyperlink>
        </w:p>
        <w:p>
          <w:pPr>
            <w:pStyle w:val="Contents5"/>
            <w:tabs>
              <w:tab w:val="clear" w:pos="7892"/>
              <w:tab w:val="right" w:pos="9026" w:leader="dot"/>
            </w:tabs>
            <w:rPr/>
          </w:pPr>
          <w:hyperlink w:anchor="__RefHeading___Toc2571682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و من أسباب التحریم اللعان بشروطه المذکورة فی بابه</w:t>
            </w:r>
            <w:r>
              <w:rPr>
                <w:rStyle w:val="IndexLink"/>
                <w:rtl w:val="true"/>
              </w:rPr>
              <w:t>]</w:t>
              <w:tab/>
            </w:r>
            <w:r>
              <w:rPr>
                <w:rStyle w:val="IndexLink"/>
              </w:rPr>
              <w:t>821</w:t>
            </w:r>
          </w:hyperlink>
        </w:p>
        <w:p>
          <w:pPr>
            <w:pStyle w:val="Contents5"/>
            <w:tabs>
              <w:tab w:val="clear" w:pos="7892"/>
              <w:tab w:val="right" w:pos="9026" w:leader="dot"/>
            </w:tabs>
            <w:rPr/>
          </w:pPr>
          <w:hyperlink w:anchor="__RefHeading___Toc2571684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نکاح الشغار باطل</w:t>
            </w:r>
            <w:r>
              <w:rPr>
                <w:rStyle w:val="IndexLink"/>
                <w:rtl w:val="true"/>
              </w:rPr>
              <w:t>]</w:t>
              <w:tab/>
            </w:r>
            <w:r>
              <w:rPr>
                <w:rStyle w:val="IndexLink"/>
              </w:rPr>
              <w:t>821</w:t>
            </w:r>
          </w:hyperlink>
        </w:p>
        <w:p>
          <w:pPr>
            <w:pStyle w:val="Contents3"/>
            <w:tabs>
              <w:tab w:val="clear" w:pos="8459"/>
              <w:tab w:val="right" w:pos="9026" w:leader="dot"/>
            </w:tabs>
            <w:rPr/>
          </w:pPr>
          <w:hyperlink w:anchor="__RefHeading___Toc2571686_3650668749">
            <w:r>
              <w:rPr>
                <w:webHidden/>
                <w:rStyle w:val="IndexLink"/>
                <w:rtl w:val="true"/>
              </w:rPr>
              <w:t>[</w:t>
            </w:r>
            <w:r>
              <w:rPr>
                <w:rStyle w:val="IndexLink"/>
                <w:rtl w:val="true"/>
              </w:rPr>
              <w:t>القول فی النکاح المنقطع</w:t>
            </w:r>
            <w:r>
              <w:rPr>
                <w:rStyle w:val="IndexLink"/>
                <w:rtl w:val="true"/>
              </w:rPr>
              <w:t>]</w:t>
              <w:tab/>
            </w:r>
            <w:r>
              <w:rPr>
                <w:rStyle w:val="IndexLink"/>
              </w:rPr>
              <w:t>821</w:t>
            </w:r>
          </w:hyperlink>
        </w:p>
        <w:p>
          <w:pPr>
            <w:pStyle w:val="Contents4"/>
            <w:tabs>
              <w:tab w:val="clear" w:pos="8176"/>
              <w:tab w:val="right" w:pos="9026" w:leader="dot"/>
            </w:tabs>
            <w:rPr/>
          </w:pPr>
          <w:hyperlink w:anchor="__RefHeading___Toc2571688_3650668749">
            <w:r>
              <w:rPr>
                <w:webHidden/>
                <w:rStyle w:val="IndexLink"/>
                <w:rtl w:val="true"/>
              </w:rPr>
              <w:t>اشارة</w:t>
            </w:r>
            <w:r>
              <w:rPr>
                <w:rStyle w:val="IndexLink"/>
                <w:rtl w:val="true"/>
              </w:rPr>
              <w:tab/>
            </w:r>
            <w:r>
              <w:rPr>
                <w:rStyle w:val="IndexLink"/>
              </w:rPr>
              <w:t>821</w:t>
            </w:r>
          </w:hyperlink>
        </w:p>
        <w:p>
          <w:pPr>
            <w:pStyle w:val="Contents4"/>
            <w:tabs>
              <w:tab w:val="clear" w:pos="8176"/>
              <w:tab w:val="right" w:pos="9026" w:leader="dot"/>
            </w:tabs>
            <w:rPr/>
          </w:pPr>
          <w:hyperlink w:anchor="__RefHeading___Toc257169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النکاح المنقطع کالدائم</w:t>
            </w:r>
            <w:r>
              <w:rPr>
                <w:rStyle w:val="IndexLink"/>
                <w:rtl w:val="true"/>
              </w:rPr>
              <w:t>]</w:t>
              <w:tab/>
            </w:r>
            <w:r>
              <w:rPr>
                <w:rStyle w:val="IndexLink"/>
              </w:rPr>
              <w:t>821</w:t>
            </w:r>
          </w:hyperlink>
        </w:p>
        <w:p>
          <w:pPr>
            <w:pStyle w:val="Contents4"/>
            <w:tabs>
              <w:tab w:val="clear" w:pos="8176"/>
              <w:tab w:val="right" w:pos="9026" w:leader="dot"/>
            </w:tabs>
            <w:rPr/>
          </w:pPr>
          <w:hyperlink w:anchor="__RefHeading___Toc257169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ألفاظ الإیجاب فی هذا العقد ثلاثة</w:t>
            </w:r>
            <w:r>
              <w:rPr>
                <w:rStyle w:val="IndexLink"/>
                <w:rtl w:val="true"/>
              </w:rPr>
              <w:t>: «</w:t>
            </w:r>
            <w:r>
              <w:rPr>
                <w:rStyle w:val="IndexLink"/>
                <w:rtl w:val="true"/>
              </w:rPr>
              <w:t>متّعت</w:t>
            </w:r>
            <w:r>
              <w:rPr>
                <w:rStyle w:val="IndexLink"/>
                <w:rtl w:val="true"/>
              </w:rPr>
              <w:t xml:space="preserve">» </w:t>
            </w:r>
            <w:r>
              <w:rPr>
                <w:rStyle w:val="IndexLink"/>
                <w:rtl w:val="true"/>
              </w:rPr>
              <w:t xml:space="preserve">و </w:t>
            </w:r>
            <w:r>
              <w:rPr>
                <w:rStyle w:val="IndexLink"/>
                <w:rtl w:val="true"/>
              </w:rPr>
              <w:t>«</w:t>
            </w:r>
            <w:r>
              <w:rPr>
                <w:rStyle w:val="IndexLink"/>
                <w:rtl w:val="true"/>
              </w:rPr>
              <w:t>زوّجت</w:t>
            </w:r>
            <w:r>
              <w:rPr>
                <w:rStyle w:val="IndexLink"/>
                <w:rtl w:val="true"/>
              </w:rPr>
              <w:t xml:space="preserve">» </w:t>
            </w:r>
            <w:r>
              <w:rPr>
                <w:rStyle w:val="IndexLink"/>
                <w:rtl w:val="true"/>
              </w:rPr>
              <w:t xml:space="preserve">و </w:t>
            </w:r>
            <w:r>
              <w:rPr>
                <w:rStyle w:val="IndexLink"/>
                <w:rtl w:val="true"/>
              </w:rPr>
              <w:t>«</w:t>
            </w:r>
            <w:r>
              <w:rPr>
                <w:rStyle w:val="IndexLink"/>
                <w:rtl w:val="true"/>
              </w:rPr>
              <w:t>أنکحت</w:t>
            </w:r>
            <w:r>
              <w:rPr>
                <w:rStyle w:val="IndexLink"/>
                <w:rtl w:val="true"/>
              </w:rPr>
              <w:t>»]</w:t>
              <w:tab/>
            </w:r>
            <w:r>
              <w:rPr>
                <w:rStyle w:val="IndexLink"/>
              </w:rPr>
              <w:t>821</w:t>
            </w:r>
          </w:hyperlink>
        </w:p>
        <w:p>
          <w:pPr>
            <w:pStyle w:val="Contents4"/>
            <w:tabs>
              <w:tab w:val="clear" w:pos="8176"/>
              <w:tab w:val="right" w:pos="9026" w:leader="dot"/>
            </w:tabs>
            <w:rPr/>
          </w:pPr>
          <w:hyperlink w:anchor="__RefHeading___Toc257169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یجوز تمتّع المسلمة بالکافر بجمیع أصنافه</w:t>
            </w:r>
            <w:r>
              <w:rPr>
                <w:rStyle w:val="IndexLink"/>
                <w:rtl w:val="true"/>
              </w:rPr>
              <w:t>]</w:t>
              <w:tab/>
            </w:r>
            <w:r>
              <w:rPr>
                <w:rStyle w:val="IndexLink"/>
              </w:rPr>
              <w:t>822</w:t>
            </w:r>
          </w:hyperlink>
        </w:p>
        <w:p>
          <w:pPr>
            <w:pStyle w:val="Contents4"/>
            <w:tabs>
              <w:tab w:val="clear" w:pos="8176"/>
              <w:tab w:val="right" w:pos="9026" w:leader="dot"/>
            </w:tabs>
            <w:rPr/>
          </w:pPr>
          <w:hyperlink w:anchor="__RefHeading___Toc257169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لا یتمتّع بأمة و عنده حرّة إلّا بإذنها</w:t>
            </w:r>
            <w:r>
              <w:rPr>
                <w:rStyle w:val="IndexLink"/>
                <w:rtl w:val="true"/>
              </w:rPr>
              <w:t>]</w:t>
              <w:tab/>
            </w:r>
            <w:r>
              <w:rPr>
                <w:rStyle w:val="IndexLink"/>
              </w:rPr>
              <w:t>822</w:t>
            </w:r>
          </w:hyperlink>
        </w:p>
        <w:p>
          <w:pPr>
            <w:pStyle w:val="Contents4"/>
            <w:tabs>
              <w:tab w:val="clear" w:pos="8176"/>
              <w:tab w:val="right" w:pos="9026" w:leader="dot"/>
            </w:tabs>
            <w:rPr/>
          </w:pPr>
          <w:hyperlink w:anchor="__RefHeading___Toc257169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یشترط فی النکاح المنقطع ذکر المهر</w:t>
            </w:r>
            <w:r>
              <w:rPr>
                <w:rStyle w:val="IndexLink"/>
                <w:rtl w:val="true"/>
              </w:rPr>
              <w:t>]</w:t>
              <w:tab/>
            </w:r>
            <w:r>
              <w:rPr>
                <w:rStyle w:val="IndexLink"/>
              </w:rPr>
              <w:t>822</w:t>
            </w:r>
          </w:hyperlink>
        </w:p>
        <w:p>
          <w:pPr>
            <w:pStyle w:val="Contents4"/>
            <w:tabs>
              <w:tab w:val="clear" w:pos="8176"/>
              <w:tab w:val="right" w:pos="9026" w:leader="dot"/>
            </w:tabs>
            <w:rPr/>
          </w:pPr>
          <w:hyperlink w:anchor="__RefHeading___Toc257170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تملک المتمتّعة المهر بالعقد، فیلزم علیه دفعه إلیها بعده لو طالبته</w:t>
            </w:r>
            <w:r>
              <w:rPr>
                <w:rStyle w:val="IndexLink"/>
                <w:rtl w:val="true"/>
              </w:rPr>
              <w:t>]</w:t>
              <w:tab/>
            </w:r>
            <w:r>
              <w:rPr>
                <w:rStyle w:val="IndexLink"/>
              </w:rPr>
              <w:t>822</w:t>
            </w:r>
          </w:hyperlink>
        </w:p>
        <w:p>
          <w:pPr>
            <w:pStyle w:val="Contents4"/>
            <w:tabs>
              <w:tab w:val="clear" w:pos="8176"/>
              <w:tab w:val="right" w:pos="9026" w:leader="dot"/>
            </w:tabs>
            <w:rPr/>
          </w:pPr>
          <w:hyperlink w:anchor="__RefHeading___Toc257170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أوقع العقد و لم یدخل بها حتّی انقضت المدّة</w:t>
            </w:r>
            <w:r>
              <w:rPr>
                <w:rStyle w:val="IndexLink"/>
                <w:rtl w:val="true"/>
              </w:rPr>
              <w:t>]</w:t>
              <w:tab/>
            </w:r>
            <w:r>
              <w:rPr>
                <w:rStyle w:val="IndexLink"/>
              </w:rPr>
              <w:t>822</w:t>
            </w:r>
          </w:hyperlink>
        </w:p>
        <w:p>
          <w:pPr>
            <w:pStyle w:val="Contents4"/>
            <w:tabs>
              <w:tab w:val="clear" w:pos="8176"/>
              <w:tab w:val="right" w:pos="9026" w:leader="dot"/>
            </w:tabs>
            <w:rPr/>
          </w:pPr>
          <w:hyperlink w:anchor="__RefHeading___Toc257170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لو تبیّن فساد العقد؛ بأن ظهر لها زوج أو کانت أُخت زوجته أو أُمّها</w:t>
            </w:r>
            <w:r>
              <w:rPr>
                <w:rStyle w:val="IndexLink"/>
                <w:rtl w:val="true"/>
              </w:rPr>
              <w:t>]</w:t>
              <w:tab/>
            </w:r>
            <w:r>
              <w:rPr>
                <w:rStyle w:val="IndexLink"/>
              </w:rPr>
              <w:t>823</w:t>
            </w:r>
          </w:hyperlink>
        </w:p>
        <w:p>
          <w:pPr>
            <w:pStyle w:val="Contents4"/>
            <w:tabs>
              <w:tab w:val="clear" w:pos="8176"/>
              <w:tab w:val="right" w:pos="9026" w:leader="dot"/>
            </w:tabs>
            <w:rPr/>
          </w:pPr>
          <w:hyperlink w:anchor="__RefHeading___Toc257170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یشترط فی النکاح المنقطع ذکر الأجل</w:t>
            </w:r>
            <w:r>
              <w:rPr>
                <w:rStyle w:val="IndexLink"/>
                <w:rtl w:val="true"/>
              </w:rPr>
              <w:t>]</w:t>
              <w:tab/>
            </w:r>
            <w:r>
              <w:rPr>
                <w:rStyle w:val="IndexLink"/>
              </w:rPr>
              <w:t>823</w:t>
            </w:r>
          </w:hyperlink>
        </w:p>
        <w:p>
          <w:pPr>
            <w:pStyle w:val="Contents4"/>
            <w:tabs>
              <w:tab w:val="clear" w:pos="8176"/>
              <w:tab w:val="right" w:pos="9026" w:leader="dot"/>
            </w:tabs>
            <w:rPr/>
          </w:pPr>
          <w:hyperlink w:anchor="__RefHeading___Toc2571708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إذا قالت</w:t>
            </w:r>
            <w:r>
              <w:rPr>
                <w:rStyle w:val="IndexLink"/>
                <w:rtl w:val="true"/>
              </w:rPr>
              <w:t>: «</w:t>
            </w:r>
            <w:r>
              <w:rPr>
                <w:rStyle w:val="IndexLink"/>
                <w:rtl w:val="true"/>
              </w:rPr>
              <w:t>زوّجتک نفسی إلیٰ شهر</w:t>
            </w:r>
            <w:r>
              <w:rPr>
                <w:rStyle w:val="IndexLink"/>
                <w:rtl w:val="true"/>
              </w:rPr>
              <w:t xml:space="preserve">» </w:t>
            </w:r>
            <w:r>
              <w:rPr>
                <w:rStyle w:val="IndexLink"/>
                <w:rtl w:val="true"/>
              </w:rPr>
              <w:t xml:space="preserve">أو </w:t>
            </w:r>
            <w:r>
              <w:rPr>
                <w:rStyle w:val="IndexLink"/>
                <w:rtl w:val="true"/>
              </w:rPr>
              <w:t xml:space="preserve">«.. </w:t>
            </w:r>
            <w:r>
              <w:rPr>
                <w:rStyle w:val="IndexLink"/>
                <w:rtl w:val="true"/>
              </w:rPr>
              <w:t>شهراً</w:t>
            </w:r>
            <w:r>
              <w:rPr>
                <w:rStyle w:val="IndexLink"/>
                <w:rtl w:val="true"/>
              </w:rPr>
              <w:t xml:space="preserve">» </w:t>
            </w:r>
            <w:r>
              <w:rPr>
                <w:rStyle w:val="IndexLink"/>
                <w:rtl w:val="true"/>
              </w:rPr>
              <w:t>مثلًا و أطلقت، اقتضی الاتّصال بالعقد</w:t>
            </w:r>
            <w:r>
              <w:rPr>
                <w:rStyle w:val="IndexLink"/>
                <w:rtl w:val="true"/>
              </w:rPr>
              <w:t>]</w:t>
              <w:tab/>
            </w:r>
            <w:r>
              <w:rPr>
                <w:rStyle w:val="IndexLink"/>
              </w:rPr>
              <w:t>823</w:t>
            </w:r>
          </w:hyperlink>
        </w:p>
        <w:p>
          <w:pPr>
            <w:pStyle w:val="Contents4"/>
            <w:tabs>
              <w:tab w:val="clear" w:pos="8176"/>
              <w:tab w:val="right" w:pos="9026" w:leader="dot"/>
            </w:tabs>
            <w:rPr/>
          </w:pPr>
          <w:hyperlink w:anchor="__RefHeading___Toc2571710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لا یصحّ تجدید العقد علیها دائماً و منقطعاً قبل انقضاء الأجل أو بذل المدّة</w:t>
            </w:r>
            <w:r>
              <w:rPr>
                <w:rStyle w:val="IndexLink"/>
                <w:rtl w:val="true"/>
              </w:rPr>
              <w:t>]</w:t>
              <w:tab/>
            </w:r>
            <w:r>
              <w:rPr>
                <w:rStyle w:val="IndexLink"/>
              </w:rPr>
              <w:t>823</w:t>
            </w:r>
          </w:hyperlink>
        </w:p>
        <w:p>
          <w:pPr>
            <w:pStyle w:val="Contents4"/>
            <w:tabs>
              <w:tab w:val="clear" w:pos="8176"/>
              <w:tab w:val="right" w:pos="9026" w:leader="dot"/>
            </w:tabs>
            <w:rPr/>
          </w:pPr>
          <w:hyperlink w:anchor="__RefHeading___Toc2571712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یجوز أن یشترط علیها و علیه الإتیان لیلًا أو نهاراً</w:t>
            </w:r>
            <w:r>
              <w:rPr>
                <w:rStyle w:val="IndexLink"/>
                <w:rtl w:val="true"/>
              </w:rPr>
              <w:t>]</w:t>
              <w:tab/>
            </w:r>
            <w:r>
              <w:rPr>
                <w:rStyle w:val="IndexLink"/>
              </w:rPr>
              <w:t>823</w:t>
            </w:r>
          </w:hyperlink>
        </w:p>
        <w:p>
          <w:pPr>
            <w:pStyle w:val="Contents4"/>
            <w:tabs>
              <w:tab w:val="clear" w:pos="8176"/>
              <w:tab w:val="right" w:pos="9026" w:leader="dot"/>
            </w:tabs>
            <w:rPr/>
          </w:pPr>
          <w:hyperlink w:anchor="__RefHeading___Toc2571714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یجوز العزل للمتمتّع من دون إذنها و إن قلنا بعدم جوازه فی الدائم</w:t>
            </w:r>
            <w:r>
              <w:rPr>
                <w:rStyle w:val="IndexLink"/>
                <w:rtl w:val="true"/>
              </w:rPr>
              <w:t>]</w:t>
              <w:tab/>
            </w:r>
            <w:r>
              <w:rPr>
                <w:rStyle w:val="IndexLink"/>
              </w:rPr>
              <w:t>823</w:t>
            </w:r>
          </w:hyperlink>
        </w:p>
        <w:p>
          <w:pPr>
            <w:pStyle w:val="Contents4"/>
            <w:tabs>
              <w:tab w:val="clear" w:pos="8176"/>
              <w:tab w:val="right" w:pos="9026" w:leader="dot"/>
            </w:tabs>
            <w:rPr/>
          </w:pPr>
          <w:hyperlink w:anchor="__RefHeading___Toc2571716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لا یقع بها طلاق و إنّما تبین بانقضاء المدّة أو هبتها</w:t>
            </w:r>
            <w:r>
              <w:rPr>
                <w:rStyle w:val="IndexLink"/>
                <w:rtl w:val="true"/>
              </w:rPr>
              <w:t>]</w:t>
              <w:tab/>
            </w:r>
            <w:r>
              <w:rPr>
                <w:rStyle w:val="IndexLink"/>
              </w:rPr>
              <w:t>824</w:t>
            </w:r>
          </w:hyperlink>
        </w:p>
        <w:p>
          <w:pPr>
            <w:pStyle w:val="Contents4"/>
            <w:tabs>
              <w:tab w:val="clear" w:pos="8176"/>
              <w:tab w:val="right" w:pos="9026" w:leader="dot"/>
            </w:tabs>
            <w:rPr/>
          </w:pPr>
          <w:hyperlink w:anchor="__RefHeading___Toc2571718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لا یثبت بهذا العقد توارث بین الزوجین</w:t>
            </w:r>
            <w:r>
              <w:rPr>
                <w:rStyle w:val="IndexLink"/>
                <w:rtl w:val="true"/>
              </w:rPr>
              <w:t>]</w:t>
              <w:tab/>
            </w:r>
            <w:r>
              <w:rPr>
                <w:rStyle w:val="IndexLink"/>
              </w:rPr>
              <w:t>824</w:t>
            </w:r>
          </w:hyperlink>
        </w:p>
        <w:p>
          <w:pPr>
            <w:pStyle w:val="Contents4"/>
            <w:tabs>
              <w:tab w:val="clear" w:pos="8176"/>
              <w:tab w:val="right" w:pos="9026" w:leader="dot"/>
            </w:tabs>
            <w:rPr/>
          </w:pPr>
          <w:hyperlink w:anchor="__RefHeading___Toc2571720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إذا انقضیٰ أجلها أو وهب مدّتها قبل الدخول فلا عدّة علیها</w:t>
            </w:r>
            <w:r>
              <w:rPr>
                <w:rStyle w:val="IndexLink"/>
                <w:rtl w:val="true"/>
              </w:rPr>
              <w:t>]</w:t>
              <w:tab/>
            </w:r>
            <w:r>
              <w:rPr>
                <w:rStyle w:val="IndexLink"/>
              </w:rPr>
              <w:t>824</w:t>
            </w:r>
          </w:hyperlink>
        </w:p>
        <w:p>
          <w:pPr>
            <w:pStyle w:val="Contents4"/>
            <w:tabs>
              <w:tab w:val="clear" w:pos="8176"/>
              <w:tab w:val="right" w:pos="9026" w:leader="dot"/>
            </w:tabs>
            <w:rPr/>
          </w:pPr>
          <w:hyperlink w:anchor="__RefHeading___Toc2571722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یستحبّ أن تکون المتمتّع بها مؤمنة عفیفة</w:t>
            </w:r>
            <w:r>
              <w:rPr>
                <w:rStyle w:val="IndexLink"/>
                <w:rtl w:val="true"/>
              </w:rPr>
              <w:t>]</w:t>
              <w:tab/>
            </w:r>
            <w:r>
              <w:rPr>
                <w:rStyle w:val="IndexLink"/>
              </w:rPr>
              <w:t>824</w:t>
            </w:r>
          </w:hyperlink>
        </w:p>
        <w:p>
          <w:pPr>
            <w:pStyle w:val="Contents4"/>
            <w:tabs>
              <w:tab w:val="clear" w:pos="8176"/>
              <w:tab w:val="right" w:pos="9026" w:leader="dot"/>
            </w:tabs>
            <w:rPr/>
          </w:pPr>
          <w:hyperlink w:anchor="__RefHeading___Toc2571724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یجوز التمتّع بالزانیة علیٰ کراهیة</w:t>
            </w:r>
            <w:r>
              <w:rPr>
                <w:rStyle w:val="IndexLink"/>
                <w:rtl w:val="true"/>
              </w:rPr>
              <w:t>]</w:t>
              <w:tab/>
            </w:r>
            <w:r>
              <w:rPr>
                <w:rStyle w:val="IndexLink"/>
              </w:rPr>
              <w:t>824</w:t>
            </w:r>
          </w:hyperlink>
        </w:p>
        <w:p>
          <w:pPr>
            <w:pStyle w:val="Contents3"/>
            <w:tabs>
              <w:tab w:val="clear" w:pos="8459"/>
              <w:tab w:val="right" w:pos="9026" w:leader="dot"/>
            </w:tabs>
            <w:rPr/>
          </w:pPr>
          <w:hyperlink w:anchor="__RefHeading___Toc2571726_3650668749">
            <w:r>
              <w:rPr>
                <w:webHidden/>
                <w:rStyle w:val="IndexLink"/>
                <w:rtl w:val="true"/>
              </w:rPr>
              <w:t>[</w:t>
            </w:r>
            <w:r>
              <w:rPr>
                <w:rStyle w:val="IndexLink"/>
                <w:rtl w:val="true"/>
              </w:rPr>
              <w:t>القول فی نکاح العبید و الإماء</w:t>
            </w:r>
            <w:r>
              <w:rPr>
                <w:rStyle w:val="IndexLink"/>
                <w:rtl w:val="true"/>
              </w:rPr>
              <w:t>]</w:t>
              <w:tab/>
            </w:r>
            <w:r>
              <w:rPr>
                <w:rStyle w:val="IndexLink"/>
              </w:rPr>
              <w:t>825</w:t>
            </w:r>
          </w:hyperlink>
        </w:p>
        <w:p>
          <w:pPr>
            <w:pStyle w:val="Contents4"/>
            <w:tabs>
              <w:tab w:val="clear" w:pos="8176"/>
              <w:tab w:val="right" w:pos="9026" w:leader="dot"/>
            </w:tabs>
            <w:rPr/>
          </w:pPr>
          <w:hyperlink w:anchor="__RefHeading___Toc2571728_3650668749">
            <w:r>
              <w:rPr>
                <w:webHidden/>
                <w:rStyle w:val="IndexLink"/>
                <w:rtl w:val="true"/>
              </w:rPr>
              <w:t>اشارة</w:t>
            </w:r>
            <w:r>
              <w:rPr>
                <w:rStyle w:val="IndexLink"/>
                <w:rtl w:val="true"/>
              </w:rPr>
              <w:tab/>
            </w:r>
            <w:r>
              <w:rPr>
                <w:rStyle w:val="IndexLink"/>
              </w:rPr>
              <w:t>825</w:t>
            </w:r>
          </w:hyperlink>
        </w:p>
        <w:p>
          <w:pPr>
            <w:pStyle w:val="Contents4"/>
            <w:tabs>
              <w:tab w:val="clear" w:pos="8176"/>
              <w:tab w:val="right" w:pos="9026" w:leader="dot"/>
            </w:tabs>
            <w:rPr/>
          </w:pPr>
          <w:hyperlink w:anchor="__RefHeading___Toc257173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یجوز للعبد و لا للأمة أن یتزوّجا بدون إذن المولی</w:t>
            </w:r>
            <w:r>
              <w:rPr>
                <w:rStyle w:val="IndexLink"/>
                <w:rtl w:val="true"/>
              </w:rPr>
              <w:t>]</w:t>
              <w:tab/>
            </w:r>
            <w:r>
              <w:rPr>
                <w:rStyle w:val="IndexLink"/>
              </w:rPr>
              <w:t>825</w:t>
            </w:r>
          </w:hyperlink>
        </w:p>
        <w:p>
          <w:pPr>
            <w:pStyle w:val="Contents4"/>
            <w:tabs>
              <w:tab w:val="clear" w:pos="8176"/>
              <w:tab w:val="right" w:pos="9026" w:leader="dot"/>
            </w:tabs>
            <w:rPr/>
          </w:pPr>
          <w:hyperlink w:anchor="__RefHeading___Toc257173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للسیّد تزویج عبده بحرّة أو أمة</w:t>
            </w:r>
            <w:r>
              <w:rPr>
                <w:rStyle w:val="IndexLink"/>
                <w:rtl w:val="true"/>
              </w:rPr>
              <w:t>]</w:t>
              <w:tab/>
            </w:r>
            <w:r>
              <w:rPr>
                <w:rStyle w:val="IndexLink"/>
              </w:rPr>
              <w:t>825</w:t>
            </w:r>
          </w:hyperlink>
        </w:p>
        <w:p>
          <w:pPr>
            <w:pStyle w:val="Contents4"/>
            <w:tabs>
              <w:tab w:val="clear" w:pos="8176"/>
              <w:tab w:val="right" w:pos="9026" w:leader="dot"/>
            </w:tabs>
            <w:rPr/>
          </w:pPr>
          <w:hyperlink w:anchor="__RefHeading___Toc257173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لو أذن المولی عبده فی التزویج کان علیه المهر</w:t>
            </w:r>
            <w:r>
              <w:rPr>
                <w:rStyle w:val="IndexLink"/>
                <w:rtl w:val="true"/>
              </w:rPr>
              <w:t>]</w:t>
              <w:tab/>
            </w:r>
            <w:r>
              <w:rPr>
                <w:rStyle w:val="IndexLink"/>
              </w:rPr>
              <w:t>825</w:t>
            </w:r>
          </w:hyperlink>
        </w:p>
        <w:p>
          <w:pPr>
            <w:pStyle w:val="Contents4"/>
            <w:tabs>
              <w:tab w:val="clear" w:pos="8176"/>
              <w:tab w:val="right" w:pos="9026" w:leader="dot"/>
            </w:tabs>
            <w:rPr/>
          </w:pPr>
          <w:hyperlink w:anchor="__RefHeading___Toc257173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مهر الأمة المزوّجة للمولیٰ؛ سواء کان هو المباشر لتزویجها أو هی بإذنه أو إجازته</w:t>
            </w:r>
            <w:r>
              <w:rPr>
                <w:rStyle w:val="IndexLink"/>
                <w:rtl w:val="true"/>
              </w:rPr>
              <w:t>]</w:t>
              <w:tab/>
            </w:r>
            <w:r>
              <w:rPr>
                <w:rStyle w:val="IndexLink"/>
              </w:rPr>
              <w:t>825</w:t>
            </w:r>
          </w:hyperlink>
        </w:p>
        <w:p>
          <w:pPr>
            <w:pStyle w:val="Contents4"/>
            <w:tabs>
              <w:tab w:val="clear" w:pos="8176"/>
              <w:tab w:val="right" w:pos="9026" w:leader="dot"/>
            </w:tabs>
            <w:rPr/>
          </w:pPr>
          <w:hyperlink w:anchor="__RefHeading___Toc257173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یجوز للمولیٰ تزویج أمته من عبده قهراً علیهما</w:t>
            </w:r>
            <w:r>
              <w:rPr>
                <w:rStyle w:val="IndexLink"/>
                <w:rtl w:val="true"/>
              </w:rPr>
              <w:t>]</w:t>
              <w:tab/>
            </w:r>
            <w:r>
              <w:rPr>
                <w:rStyle w:val="IndexLink"/>
              </w:rPr>
              <w:t>825</w:t>
            </w:r>
          </w:hyperlink>
        </w:p>
        <w:p>
          <w:pPr>
            <w:pStyle w:val="Contents4"/>
            <w:tabs>
              <w:tab w:val="clear" w:pos="8176"/>
              <w:tab w:val="right" w:pos="9026" w:leader="dot"/>
            </w:tabs>
            <w:rPr/>
          </w:pPr>
          <w:hyperlink w:anchor="__RefHeading___Toc257174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لا یجوز للمولیٰ وطء أمته المزوّجة و لو من عبده حتّی یفارقها و تخرج من العدّة</w:t>
            </w:r>
            <w:r>
              <w:rPr>
                <w:rStyle w:val="IndexLink"/>
                <w:rtl w:val="true"/>
              </w:rPr>
              <w:t>]</w:t>
              <w:tab/>
            </w:r>
            <w:r>
              <w:rPr>
                <w:rStyle w:val="IndexLink"/>
              </w:rPr>
              <w:t>825</w:t>
            </w:r>
          </w:hyperlink>
        </w:p>
        <w:p>
          <w:pPr>
            <w:pStyle w:val="Contents4"/>
            <w:tabs>
              <w:tab w:val="clear" w:pos="8176"/>
              <w:tab w:val="right" w:pos="9026" w:leader="dot"/>
            </w:tabs>
            <w:rPr/>
          </w:pPr>
          <w:hyperlink w:anchor="__RefHeading___Toc257174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المتولّد بین الرقّین رقّ؛ سواء کان عن نکاح صحیح أو شبهة أو عن زنا من طرف واحد أو طرفین</w:t>
            </w:r>
            <w:r>
              <w:rPr>
                <w:rStyle w:val="IndexLink"/>
                <w:rtl w:val="true"/>
              </w:rPr>
              <w:t>]</w:t>
              <w:tab/>
            </w:r>
            <w:r>
              <w:rPr>
                <w:rStyle w:val="IndexLink"/>
              </w:rPr>
              <w:t>825</w:t>
            </w:r>
          </w:hyperlink>
        </w:p>
        <w:p>
          <w:pPr>
            <w:pStyle w:val="Contents4"/>
            <w:tabs>
              <w:tab w:val="clear" w:pos="8176"/>
              <w:tab w:val="right" w:pos="9026" w:leader="dot"/>
            </w:tabs>
            <w:rPr/>
          </w:pPr>
          <w:hyperlink w:anchor="__RefHeading___Toc257174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أوقع المالکان العقد بین العبد و الأمة، و شرطا أن یکون الولد لأحدهما دون الآخر</w:t>
            </w:r>
            <w:r>
              <w:rPr>
                <w:rStyle w:val="IndexLink"/>
                <w:rtl w:val="true"/>
              </w:rPr>
              <w:t>]</w:t>
              <w:tab/>
            </w:r>
            <w:r>
              <w:rPr>
                <w:rStyle w:val="IndexLink"/>
              </w:rPr>
              <w:t>826</w:t>
            </w:r>
          </w:hyperlink>
        </w:p>
        <w:p>
          <w:pPr>
            <w:pStyle w:val="Contents4"/>
            <w:tabs>
              <w:tab w:val="clear" w:pos="8176"/>
              <w:tab w:val="right" w:pos="9026" w:leader="dot"/>
            </w:tabs>
            <w:rPr/>
          </w:pPr>
          <w:hyperlink w:anchor="__RefHeading___Toc257174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إذا کان أحد أبوی الولد حرّا فالولد حرّ</w:t>
            </w:r>
            <w:r>
              <w:rPr>
                <w:rStyle w:val="IndexLink"/>
                <w:rtl w:val="true"/>
              </w:rPr>
              <w:t>]</w:t>
              <w:tab/>
            </w:r>
            <w:r>
              <w:rPr>
                <w:rStyle w:val="IndexLink"/>
              </w:rPr>
              <w:t>826</w:t>
            </w:r>
          </w:hyperlink>
        </w:p>
        <w:p>
          <w:pPr>
            <w:pStyle w:val="Contents4"/>
            <w:tabs>
              <w:tab w:val="clear" w:pos="8176"/>
              <w:tab w:val="right" w:pos="9026" w:leader="dot"/>
            </w:tabs>
            <w:rPr/>
          </w:pPr>
          <w:hyperlink w:anchor="__RefHeading___Toc2571748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إذا زنی العبد بحرّة فالولد حرّ و إن کانت هی أیضاً زانیة</w:t>
            </w:r>
            <w:r>
              <w:rPr>
                <w:rStyle w:val="IndexLink"/>
                <w:rtl w:val="true"/>
              </w:rPr>
              <w:t>]</w:t>
              <w:tab/>
            </w:r>
            <w:r>
              <w:rPr>
                <w:rStyle w:val="IndexLink"/>
              </w:rPr>
              <w:t>826</w:t>
            </w:r>
          </w:hyperlink>
        </w:p>
        <w:p>
          <w:pPr>
            <w:pStyle w:val="Contents4"/>
            <w:tabs>
              <w:tab w:val="clear" w:pos="8176"/>
              <w:tab w:val="right" w:pos="9026" w:leader="dot"/>
            </w:tabs>
            <w:rPr/>
          </w:pPr>
          <w:hyperlink w:anchor="__RefHeading___Toc2571750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إذا أُعتقت الأمة المزوّجة، کان لها فسخ نکاحها و إن کانت تحت حرّ علی الأقویٰ</w:t>
            </w:r>
            <w:r>
              <w:rPr>
                <w:rStyle w:val="IndexLink"/>
                <w:rtl w:val="true"/>
              </w:rPr>
              <w:t>]</w:t>
              <w:tab/>
            </w:r>
            <w:r>
              <w:rPr>
                <w:rStyle w:val="IndexLink"/>
              </w:rPr>
              <w:t>826</w:t>
            </w:r>
          </w:hyperlink>
        </w:p>
        <w:p>
          <w:pPr>
            <w:pStyle w:val="Contents4"/>
            <w:tabs>
              <w:tab w:val="clear" w:pos="8176"/>
              <w:tab w:val="right" w:pos="9026" w:leader="dot"/>
            </w:tabs>
            <w:rPr/>
          </w:pPr>
          <w:hyperlink w:anchor="__RefHeading___Toc2571752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یجوز للمولیٰ تحلیل أمته للغیر فی وطئها و سائر الاستمتاعات منها</w:t>
            </w:r>
            <w:r>
              <w:rPr>
                <w:rStyle w:val="IndexLink"/>
                <w:rtl w:val="true"/>
              </w:rPr>
              <w:t>]</w:t>
              <w:tab/>
            </w:r>
            <w:r>
              <w:rPr>
                <w:rStyle w:val="IndexLink"/>
              </w:rPr>
              <w:t>826</w:t>
            </w:r>
          </w:hyperlink>
        </w:p>
        <w:p>
          <w:pPr>
            <w:pStyle w:val="Contents4"/>
            <w:tabs>
              <w:tab w:val="clear" w:pos="8176"/>
              <w:tab w:val="right" w:pos="9026" w:leader="dot"/>
            </w:tabs>
            <w:rPr/>
          </w:pPr>
          <w:hyperlink w:anchor="__RefHeading___Toc2571754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لا یکفی فی التحلیل مجرّد التراضی و التعاطی</w:t>
            </w:r>
            <w:r>
              <w:rPr>
                <w:rStyle w:val="IndexLink"/>
                <w:rtl w:val="true"/>
              </w:rPr>
              <w:t>]</w:t>
              <w:tab/>
            </w:r>
            <w:r>
              <w:rPr>
                <w:rStyle w:val="IndexLink"/>
              </w:rPr>
              <w:t>826</w:t>
            </w:r>
          </w:hyperlink>
        </w:p>
        <w:p>
          <w:pPr>
            <w:pStyle w:val="Contents4"/>
            <w:tabs>
              <w:tab w:val="clear" w:pos="8176"/>
              <w:tab w:val="right" w:pos="9026" w:leader="dot"/>
            </w:tabs>
            <w:rPr/>
          </w:pPr>
          <w:hyperlink w:anchor="__RefHeading___Toc2571756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المحلّلة للوطء کالمزوّجة علی الأحوط</w:t>
            </w:r>
            <w:r>
              <w:rPr>
                <w:rStyle w:val="IndexLink"/>
                <w:rtl w:val="true"/>
              </w:rPr>
              <w:t>]</w:t>
              <w:tab/>
            </w:r>
            <w:r>
              <w:rPr>
                <w:rStyle w:val="IndexLink"/>
              </w:rPr>
              <w:t>826</w:t>
            </w:r>
          </w:hyperlink>
        </w:p>
        <w:p>
          <w:pPr>
            <w:pStyle w:val="Contents3"/>
            <w:tabs>
              <w:tab w:val="clear" w:pos="8459"/>
              <w:tab w:val="right" w:pos="9026" w:leader="dot"/>
            </w:tabs>
            <w:rPr/>
          </w:pPr>
          <w:hyperlink w:anchor="__RefHeading___Toc2571758_3650668749">
            <w:r>
              <w:rPr>
                <w:webHidden/>
                <w:rStyle w:val="IndexLink"/>
                <w:rtl w:val="true"/>
              </w:rPr>
              <w:t>[</w:t>
            </w:r>
            <w:r>
              <w:rPr>
                <w:rStyle w:val="IndexLink"/>
                <w:rtl w:val="true"/>
              </w:rPr>
              <w:t>القول فی العیوب الموجبة لخیار الفسخ و التدلیس</w:t>
            </w:r>
            <w:r>
              <w:rPr>
                <w:rStyle w:val="IndexLink"/>
                <w:rtl w:val="true"/>
              </w:rPr>
              <w:t>]</w:t>
              <w:tab/>
            </w:r>
            <w:r>
              <w:rPr>
                <w:rStyle w:val="IndexLink"/>
              </w:rPr>
              <w:t>827</w:t>
            </w:r>
          </w:hyperlink>
        </w:p>
        <w:p>
          <w:pPr>
            <w:pStyle w:val="Contents4"/>
            <w:tabs>
              <w:tab w:val="clear" w:pos="8176"/>
              <w:tab w:val="right" w:pos="9026" w:leader="dot"/>
            </w:tabs>
            <w:rPr/>
          </w:pPr>
          <w:hyperlink w:anchor="__RefHeading___Toc2571760_3650668749">
            <w:r>
              <w:rPr>
                <w:webHidden/>
                <w:rStyle w:val="IndexLink"/>
                <w:rtl w:val="true"/>
              </w:rPr>
              <w:t>اشارة</w:t>
            </w:r>
            <w:r>
              <w:rPr>
                <w:rStyle w:val="IndexLink"/>
                <w:rtl w:val="true"/>
              </w:rPr>
              <w:tab/>
            </w:r>
            <w:r>
              <w:rPr>
                <w:rStyle w:val="IndexLink"/>
              </w:rPr>
              <w:t>827</w:t>
            </w:r>
          </w:hyperlink>
        </w:p>
        <w:p>
          <w:pPr>
            <w:pStyle w:val="Contents4"/>
            <w:tabs>
              <w:tab w:val="clear" w:pos="8176"/>
              <w:tab w:val="right" w:pos="9026" w:leader="dot"/>
            </w:tabs>
            <w:rPr/>
          </w:pPr>
          <w:hyperlink w:anchor="__RefHeading___Toc2571762_3650668749">
            <w:r>
              <w:rPr>
                <w:webHidden/>
                <w:rStyle w:val="IndexLink"/>
                <w:rtl w:val="true"/>
              </w:rPr>
              <w:t>[</w:t>
            </w:r>
            <w:r>
              <w:rPr>
                <w:rStyle w:val="IndexLink"/>
                <w:rtl w:val="true"/>
              </w:rPr>
              <w:t>أمّا المشترک</w:t>
            </w:r>
            <w:r>
              <w:rPr>
                <w:rStyle w:val="IndexLink"/>
                <w:rtl w:val="true"/>
              </w:rPr>
              <w:t>]</w:t>
              <w:tab/>
            </w:r>
            <w:r>
              <w:rPr>
                <w:rStyle w:val="IndexLink"/>
              </w:rPr>
              <w:t>827</w:t>
            </w:r>
          </w:hyperlink>
        </w:p>
        <w:p>
          <w:pPr>
            <w:pStyle w:val="Contents4"/>
            <w:tabs>
              <w:tab w:val="clear" w:pos="8176"/>
              <w:tab w:val="right" w:pos="9026" w:leader="dot"/>
            </w:tabs>
            <w:rPr/>
          </w:pPr>
          <w:hyperlink w:anchor="__RefHeading___Toc2571764_3650668749">
            <w:r>
              <w:rPr>
                <w:webHidden/>
                <w:rStyle w:val="IndexLink"/>
                <w:rtl w:val="true"/>
              </w:rPr>
              <w:t>[</w:t>
            </w:r>
            <w:r>
              <w:rPr>
                <w:rStyle w:val="IndexLink"/>
                <w:rtl w:val="true"/>
              </w:rPr>
              <w:t>و أمّا المختصّ</w:t>
            </w:r>
            <w:r>
              <w:rPr>
                <w:rStyle w:val="IndexLink"/>
                <w:rtl w:val="true"/>
              </w:rPr>
              <w:t>]</w:t>
              <w:tab/>
            </w:r>
            <w:r>
              <w:rPr>
                <w:rStyle w:val="IndexLink"/>
              </w:rPr>
              <w:t>827</w:t>
            </w:r>
          </w:hyperlink>
        </w:p>
        <w:p>
          <w:pPr>
            <w:pStyle w:val="Contents5"/>
            <w:tabs>
              <w:tab w:val="clear" w:pos="7892"/>
              <w:tab w:val="right" w:pos="9026" w:leader="dot"/>
            </w:tabs>
            <w:rPr/>
          </w:pPr>
          <w:hyperlink w:anchor="__RefHeading___Toc2571766_3650668749">
            <w:r>
              <w:rPr>
                <w:webHidden/>
                <w:rStyle w:val="IndexLink"/>
                <w:rtl w:val="true"/>
              </w:rPr>
              <w:t>اشارة</w:t>
            </w:r>
            <w:r>
              <w:rPr>
                <w:rStyle w:val="IndexLink"/>
                <w:rtl w:val="true"/>
              </w:rPr>
              <w:tab/>
            </w:r>
            <w:r>
              <w:rPr>
                <w:rStyle w:val="IndexLink"/>
              </w:rPr>
              <w:t>827</w:t>
            </w:r>
          </w:hyperlink>
        </w:p>
        <w:p>
          <w:pPr>
            <w:pStyle w:val="Contents5"/>
            <w:tabs>
              <w:tab w:val="clear" w:pos="7892"/>
              <w:tab w:val="right" w:pos="9026" w:leader="dot"/>
            </w:tabs>
            <w:rPr/>
          </w:pPr>
          <w:hyperlink w:anchor="__RefHeading___Toc257176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إنّما یفسخ العقد بعیوب المرأة إذا تبیّن وجودها قبل العقد</w:t>
            </w:r>
            <w:r>
              <w:rPr>
                <w:rStyle w:val="IndexLink"/>
                <w:rtl w:val="true"/>
              </w:rPr>
              <w:t>]</w:t>
              <w:tab/>
            </w:r>
            <w:r>
              <w:rPr>
                <w:rStyle w:val="IndexLink"/>
              </w:rPr>
              <w:t>828</w:t>
            </w:r>
          </w:hyperlink>
        </w:p>
        <w:p>
          <w:pPr>
            <w:pStyle w:val="Contents5"/>
            <w:tabs>
              <w:tab w:val="clear" w:pos="7892"/>
              <w:tab w:val="right" w:pos="9026" w:leader="dot"/>
            </w:tabs>
            <w:rPr/>
          </w:pPr>
          <w:hyperlink w:anchor="__RefHeading___Toc257177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لیس العقم من العیوب الموجبة للخیار</w:t>
            </w:r>
            <w:r>
              <w:rPr>
                <w:rStyle w:val="IndexLink"/>
                <w:rtl w:val="true"/>
              </w:rPr>
              <w:t>]</w:t>
              <w:tab/>
            </w:r>
            <w:r>
              <w:rPr>
                <w:rStyle w:val="IndexLink"/>
              </w:rPr>
              <w:t>828</w:t>
            </w:r>
          </w:hyperlink>
        </w:p>
        <w:p>
          <w:pPr>
            <w:pStyle w:val="Contents5"/>
            <w:tabs>
              <w:tab w:val="clear" w:pos="7892"/>
              <w:tab w:val="right" w:pos="9026" w:leader="dot"/>
            </w:tabs>
            <w:rPr/>
          </w:pPr>
          <w:hyperlink w:anchor="__RefHeading___Toc257177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لیس الجذام و البرص من عیوب الرجل الموجبة لخیار المرأة عند المشهور</w:t>
            </w:r>
            <w:r>
              <w:rPr>
                <w:rStyle w:val="IndexLink"/>
                <w:rtl w:val="true"/>
              </w:rPr>
              <w:t>]</w:t>
              <w:tab/>
            </w:r>
            <w:r>
              <w:rPr>
                <w:rStyle w:val="IndexLink"/>
              </w:rPr>
              <w:t>828</w:t>
            </w:r>
          </w:hyperlink>
        </w:p>
        <w:p>
          <w:pPr>
            <w:pStyle w:val="Contents5"/>
            <w:tabs>
              <w:tab w:val="clear" w:pos="7892"/>
              <w:tab w:val="right" w:pos="9026" w:leader="dot"/>
            </w:tabs>
            <w:rPr/>
          </w:pPr>
          <w:hyperlink w:anchor="__RefHeading___Toc257177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خیار الفسخ فی کلّ من الرجل و المرأة علی الفور</w:t>
            </w:r>
            <w:r>
              <w:rPr>
                <w:rStyle w:val="IndexLink"/>
                <w:rtl w:val="true"/>
              </w:rPr>
              <w:t>]</w:t>
              <w:tab/>
            </w:r>
            <w:r>
              <w:rPr>
                <w:rStyle w:val="IndexLink"/>
              </w:rPr>
              <w:t>828</w:t>
            </w:r>
          </w:hyperlink>
        </w:p>
        <w:p>
          <w:pPr>
            <w:pStyle w:val="Contents5"/>
            <w:tabs>
              <w:tab w:val="clear" w:pos="7892"/>
              <w:tab w:val="right" w:pos="9026" w:leader="dot"/>
            </w:tabs>
            <w:rPr/>
          </w:pPr>
          <w:hyperlink w:anchor="__RefHeading___Toc257177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اختلفا فی العیب</w:t>
            </w:r>
            <w:r>
              <w:rPr>
                <w:rStyle w:val="IndexLink"/>
                <w:rtl w:val="true"/>
              </w:rPr>
              <w:t>]</w:t>
              <w:tab/>
            </w:r>
            <w:r>
              <w:rPr>
                <w:rStyle w:val="IndexLink"/>
              </w:rPr>
              <w:t>828</w:t>
            </w:r>
          </w:hyperlink>
        </w:p>
        <w:p>
          <w:pPr>
            <w:pStyle w:val="Contents5"/>
            <w:tabs>
              <w:tab w:val="clear" w:pos="7892"/>
              <w:tab w:val="right" w:pos="9026" w:leader="dot"/>
            </w:tabs>
            <w:rPr/>
          </w:pPr>
          <w:hyperlink w:anchor="__RefHeading___Toc257177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ثبت عنن الرجل بأحد الوجوه المذکورة، فإن صبرت فلا کلام</w:t>
            </w:r>
            <w:r>
              <w:rPr>
                <w:rStyle w:val="IndexLink"/>
                <w:rtl w:val="true"/>
              </w:rPr>
              <w:t>]</w:t>
              <w:tab/>
            </w:r>
            <w:r>
              <w:rPr>
                <w:rStyle w:val="IndexLink"/>
              </w:rPr>
              <w:t>829</w:t>
            </w:r>
          </w:hyperlink>
        </w:p>
        <w:p>
          <w:pPr>
            <w:pStyle w:val="Contents5"/>
            <w:tabs>
              <w:tab w:val="clear" w:pos="7892"/>
              <w:tab w:val="right" w:pos="9026" w:leader="dot"/>
            </w:tabs>
            <w:rPr/>
          </w:pPr>
          <w:hyperlink w:anchor="__RefHeading___Toc2571780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الفسخ بالعیب لیس بطلاق</w:t>
            </w:r>
            <w:r>
              <w:rPr>
                <w:rStyle w:val="IndexLink"/>
                <w:rtl w:val="true"/>
              </w:rPr>
              <w:t>]</w:t>
              <w:tab/>
            </w:r>
            <w:r>
              <w:rPr>
                <w:rStyle w:val="IndexLink"/>
              </w:rPr>
              <w:t>829</w:t>
            </w:r>
          </w:hyperlink>
        </w:p>
        <w:p>
          <w:pPr>
            <w:pStyle w:val="Contents5"/>
            <w:tabs>
              <w:tab w:val="clear" w:pos="7892"/>
              <w:tab w:val="right" w:pos="9026" w:leader="dot"/>
            </w:tabs>
            <w:rPr/>
          </w:pPr>
          <w:hyperlink w:anchor="__RefHeading___Toc2571782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یجوز للرجل الفسخ بعیب المرأة من دون إذن الحاکم</w:t>
            </w:r>
            <w:r>
              <w:rPr>
                <w:rStyle w:val="IndexLink"/>
                <w:rtl w:val="true"/>
              </w:rPr>
              <w:t>]</w:t>
              <w:tab/>
            </w:r>
            <w:r>
              <w:rPr>
                <w:rStyle w:val="IndexLink"/>
              </w:rPr>
              <w:t>829</w:t>
            </w:r>
          </w:hyperlink>
        </w:p>
        <w:p>
          <w:pPr>
            <w:pStyle w:val="Contents5"/>
            <w:tabs>
              <w:tab w:val="clear" w:pos="7892"/>
              <w:tab w:val="right" w:pos="9026" w:leader="dot"/>
            </w:tabs>
            <w:rPr/>
          </w:pPr>
          <w:hyperlink w:anchor="__RefHeading___Toc2571784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إذا فسخ الرجل بأحد عیوب المرأة، فإن کان قبل الدخول فلا مهر لها</w:t>
            </w:r>
            <w:r>
              <w:rPr>
                <w:rStyle w:val="IndexLink"/>
                <w:rtl w:val="true"/>
              </w:rPr>
              <w:t>]</w:t>
              <w:tab/>
            </w:r>
            <w:r>
              <w:rPr>
                <w:rStyle w:val="IndexLink"/>
              </w:rPr>
              <w:t>829</w:t>
            </w:r>
          </w:hyperlink>
        </w:p>
        <w:p>
          <w:pPr>
            <w:pStyle w:val="Contents5"/>
            <w:tabs>
              <w:tab w:val="clear" w:pos="7892"/>
              <w:tab w:val="right" w:pos="9026" w:leader="dot"/>
            </w:tabs>
            <w:rPr/>
          </w:pPr>
          <w:hyperlink w:anchor="__RefHeading___Toc2571786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إذا دلّست المرأة نفسها علی الرجل فی أحد عیوبها الموجبة للخیار</w:t>
            </w:r>
            <w:r>
              <w:rPr>
                <w:rStyle w:val="IndexLink"/>
                <w:rtl w:val="true"/>
              </w:rPr>
              <w:t>]</w:t>
              <w:tab/>
            </w:r>
            <w:r>
              <w:rPr>
                <w:rStyle w:val="IndexLink"/>
              </w:rPr>
              <w:t>829</w:t>
            </w:r>
          </w:hyperlink>
        </w:p>
        <w:p>
          <w:pPr>
            <w:pStyle w:val="Contents5"/>
            <w:tabs>
              <w:tab w:val="clear" w:pos="7892"/>
              <w:tab w:val="right" w:pos="9026" w:leader="dot"/>
            </w:tabs>
            <w:rPr/>
          </w:pPr>
          <w:hyperlink w:anchor="__RefHeading___Toc2571788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یتحقّق التدلیس بتوصیف المرأة بالصحّة عند الزوج للتزویج</w:t>
            </w:r>
            <w:r>
              <w:rPr>
                <w:rStyle w:val="IndexLink"/>
                <w:rtl w:val="true"/>
              </w:rPr>
              <w:t>]</w:t>
              <w:tab/>
            </w:r>
            <w:r>
              <w:rPr>
                <w:rStyle w:val="IndexLink"/>
              </w:rPr>
              <w:t>829</w:t>
            </w:r>
          </w:hyperlink>
        </w:p>
        <w:p>
          <w:pPr>
            <w:pStyle w:val="Contents5"/>
            <w:tabs>
              <w:tab w:val="clear" w:pos="7892"/>
              <w:tab w:val="right" w:pos="9026" w:leader="dot"/>
            </w:tabs>
            <w:rPr/>
          </w:pPr>
          <w:hyperlink w:anchor="__RefHeading___Toc2571790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من یکون تدلیسه موجباً للرجوع علیه بالمهر هو الذی یسند إلیه التزویج من ولیّها الشرعی</w:t>
            </w:r>
            <w:r>
              <w:rPr>
                <w:rStyle w:val="IndexLink"/>
                <w:rtl w:val="true"/>
              </w:rPr>
              <w:t>]</w:t>
              <w:tab/>
            </w:r>
            <w:r>
              <w:rPr>
                <w:rStyle w:val="IndexLink"/>
              </w:rPr>
              <w:t>830</w:t>
            </w:r>
          </w:hyperlink>
        </w:p>
        <w:p>
          <w:pPr>
            <w:pStyle w:val="Contents5"/>
            <w:tabs>
              <w:tab w:val="clear" w:pos="7892"/>
              <w:tab w:val="right" w:pos="9026" w:leader="dot"/>
            </w:tabs>
            <w:rPr/>
          </w:pPr>
          <w:hyperlink w:anchor="__RefHeading___Toc2571792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کما یتحقّق التدلیس فی العیوب الموجبة للخیار کالجنون و العمیٰ و غیرهما، کذلک یتحقّق فی مطلق النقص</w:t>
            </w:r>
            <w:r>
              <w:rPr>
                <w:rStyle w:val="IndexLink"/>
                <w:rtl w:val="true"/>
              </w:rPr>
              <w:t>]</w:t>
              <w:tab/>
            </w:r>
            <w:r>
              <w:rPr>
                <w:rStyle w:val="IndexLink"/>
              </w:rPr>
              <w:t>830</w:t>
            </w:r>
          </w:hyperlink>
        </w:p>
        <w:p>
          <w:pPr>
            <w:pStyle w:val="Contents5"/>
            <w:tabs>
              <w:tab w:val="clear" w:pos="7892"/>
              <w:tab w:val="right" w:pos="9026" w:leader="dot"/>
            </w:tabs>
            <w:rPr/>
          </w:pPr>
          <w:hyperlink w:anchor="__RefHeading___Toc2571794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لیس من التدلیس الموجب للخیار سکوت الزوجة أو ولیّها عن النقص مع وجوده</w:t>
            </w:r>
            <w:r>
              <w:rPr>
                <w:rStyle w:val="IndexLink"/>
                <w:rtl w:val="true"/>
              </w:rPr>
              <w:t>]</w:t>
              <w:tab/>
            </w:r>
            <w:r>
              <w:rPr>
                <w:rStyle w:val="IndexLink"/>
              </w:rPr>
              <w:t>830</w:t>
            </w:r>
          </w:hyperlink>
        </w:p>
        <w:p>
          <w:pPr>
            <w:pStyle w:val="Contents5"/>
            <w:tabs>
              <w:tab w:val="clear" w:pos="7892"/>
              <w:tab w:val="right" w:pos="9026" w:leader="dot"/>
            </w:tabs>
            <w:rPr/>
          </w:pPr>
          <w:hyperlink w:anchor="__RefHeading___Toc2571796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لو تزوّج امرأة علیٰ أنّها حرّة بأحد الوجوه الثلاثة المتقدّمة</w:t>
            </w:r>
            <w:r>
              <w:rPr>
                <w:rStyle w:val="IndexLink"/>
                <w:rtl w:val="true"/>
              </w:rPr>
              <w:t>]</w:t>
              <w:tab/>
            </w:r>
            <w:r>
              <w:rPr>
                <w:rStyle w:val="IndexLink"/>
              </w:rPr>
              <w:t>830</w:t>
            </w:r>
          </w:hyperlink>
        </w:p>
        <w:p>
          <w:pPr>
            <w:pStyle w:val="Contents5"/>
            <w:tabs>
              <w:tab w:val="clear" w:pos="7892"/>
              <w:tab w:val="right" w:pos="9026" w:leader="dot"/>
            </w:tabs>
            <w:rPr/>
          </w:pPr>
          <w:hyperlink w:anchor="__RefHeading___Toc2571798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لو تزوّج امرأة علیٰ أنّها بکر بأحد الوجوه الثلاثة المتقدّمة، فوجدها ثیّباً</w:t>
            </w:r>
            <w:r>
              <w:rPr>
                <w:rStyle w:val="IndexLink"/>
                <w:rtl w:val="true"/>
              </w:rPr>
              <w:t>]</w:t>
              <w:tab/>
            </w:r>
            <w:r>
              <w:rPr>
                <w:rStyle w:val="IndexLink"/>
              </w:rPr>
              <w:t>831</w:t>
            </w:r>
          </w:hyperlink>
        </w:p>
        <w:p>
          <w:pPr>
            <w:pStyle w:val="Contents5"/>
            <w:tabs>
              <w:tab w:val="clear" w:pos="7892"/>
              <w:tab w:val="right" w:pos="9026" w:leader="dot"/>
            </w:tabs>
            <w:rPr/>
          </w:pPr>
          <w:hyperlink w:anchor="__RefHeading___Toc2571800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إذا فسخ حیث یکون له الفسخ، فإن کان قبل الدخول فلا مهر</w:t>
            </w:r>
            <w:r>
              <w:rPr>
                <w:rStyle w:val="IndexLink"/>
                <w:rtl w:val="true"/>
              </w:rPr>
              <w:t>]</w:t>
              <w:tab/>
            </w:r>
            <w:r>
              <w:rPr>
                <w:rStyle w:val="IndexLink"/>
              </w:rPr>
              <w:t>831</w:t>
            </w:r>
          </w:hyperlink>
        </w:p>
        <w:p>
          <w:pPr>
            <w:pStyle w:val="Contents3"/>
            <w:tabs>
              <w:tab w:val="clear" w:pos="8459"/>
              <w:tab w:val="right" w:pos="9026" w:leader="dot"/>
            </w:tabs>
            <w:rPr/>
          </w:pPr>
          <w:hyperlink w:anchor="__RefHeading___Toc2571802_3650668749">
            <w:r>
              <w:rPr>
                <w:webHidden/>
                <w:rStyle w:val="IndexLink"/>
                <w:rtl w:val="true"/>
              </w:rPr>
              <w:t>[</w:t>
            </w:r>
            <w:r>
              <w:rPr>
                <w:rStyle w:val="IndexLink"/>
                <w:rtl w:val="true"/>
              </w:rPr>
              <w:t>فصل فی المهر و یقال له الصداق</w:t>
            </w:r>
            <w:r>
              <w:rPr>
                <w:rStyle w:val="IndexLink"/>
                <w:rtl w:val="true"/>
              </w:rPr>
              <w:t>]</w:t>
              <w:tab/>
            </w:r>
            <w:r>
              <w:rPr>
                <w:rStyle w:val="IndexLink"/>
              </w:rPr>
              <w:t>831</w:t>
            </w:r>
          </w:hyperlink>
        </w:p>
        <w:p>
          <w:pPr>
            <w:pStyle w:val="Contents4"/>
            <w:tabs>
              <w:tab w:val="clear" w:pos="8176"/>
              <w:tab w:val="right" w:pos="9026" w:leader="dot"/>
            </w:tabs>
            <w:rPr/>
          </w:pPr>
          <w:hyperlink w:anchor="__RefHeading___Toc2571804_3650668749">
            <w:r>
              <w:rPr>
                <w:webHidden/>
                <w:rStyle w:val="IndexLink"/>
                <w:rtl w:val="true"/>
              </w:rPr>
              <w:t>اشارة</w:t>
            </w:r>
            <w:r>
              <w:rPr>
                <w:rStyle w:val="IndexLink"/>
                <w:rtl w:val="true"/>
              </w:rPr>
              <w:tab/>
            </w:r>
            <w:r>
              <w:rPr>
                <w:rStyle w:val="IndexLink"/>
              </w:rPr>
              <w:t>831</w:t>
            </w:r>
          </w:hyperlink>
        </w:p>
        <w:p>
          <w:pPr>
            <w:pStyle w:val="Contents4"/>
            <w:tabs>
              <w:tab w:val="clear" w:pos="8176"/>
              <w:tab w:val="right" w:pos="9026" w:leader="dot"/>
            </w:tabs>
            <w:rPr/>
          </w:pPr>
          <w:hyperlink w:anchor="__RefHeading___Toc257180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کلّ ما یملکه المسلم یصحّ جعله مهراً</w:t>
            </w:r>
            <w:r>
              <w:rPr>
                <w:rStyle w:val="IndexLink"/>
                <w:rtl w:val="true"/>
              </w:rPr>
              <w:t>]</w:t>
              <w:tab/>
            </w:r>
            <w:r>
              <w:rPr>
                <w:rStyle w:val="IndexLink"/>
              </w:rPr>
              <w:t>831</w:t>
            </w:r>
          </w:hyperlink>
        </w:p>
        <w:p>
          <w:pPr>
            <w:pStyle w:val="Contents4"/>
            <w:tabs>
              <w:tab w:val="clear" w:pos="8176"/>
              <w:tab w:val="right" w:pos="9026" w:leader="dot"/>
            </w:tabs>
            <w:rPr/>
          </w:pPr>
          <w:hyperlink w:anchor="__RefHeading___Toc257180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لو جعل المهر ما لا یملکه المسلم کالخمر و الخنزیر صحّ العقد</w:t>
            </w:r>
            <w:r>
              <w:rPr>
                <w:rStyle w:val="IndexLink"/>
                <w:rtl w:val="true"/>
              </w:rPr>
              <w:t>]</w:t>
              <w:tab/>
            </w:r>
            <w:r>
              <w:rPr>
                <w:rStyle w:val="IndexLink"/>
              </w:rPr>
              <w:t>832</w:t>
            </w:r>
          </w:hyperlink>
        </w:p>
        <w:p>
          <w:pPr>
            <w:pStyle w:val="Contents4"/>
            <w:tabs>
              <w:tab w:val="clear" w:pos="8176"/>
              <w:tab w:val="right" w:pos="9026" w:leader="dot"/>
            </w:tabs>
            <w:rPr/>
          </w:pPr>
          <w:hyperlink w:anchor="__RefHeading___Toc257181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بدّ من تعیین المهر بما یخرج عن الإبهام</w:t>
            </w:r>
            <w:r>
              <w:rPr>
                <w:rStyle w:val="IndexLink"/>
                <w:rtl w:val="true"/>
              </w:rPr>
              <w:t>]</w:t>
              <w:tab/>
            </w:r>
            <w:r>
              <w:rPr>
                <w:rStyle w:val="IndexLink"/>
              </w:rPr>
              <w:t>832</w:t>
            </w:r>
          </w:hyperlink>
        </w:p>
        <w:p>
          <w:pPr>
            <w:pStyle w:val="Contents4"/>
            <w:tabs>
              <w:tab w:val="clear" w:pos="8176"/>
              <w:tab w:val="right" w:pos="9026" w:leader="dot"/>
            </w:tabs>
            <w:rPr/>
          </w:pPr>
          <w:hyperlink w:anchor="__RefHeading___Toc257181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ذکر المهر لیس شرطاً فی صحّة العقد الدائم</w:t>
            </w:r>
            <w:r>
              <w:rPr>
                <w:rStyle w:val="IndexLink"/>
                <w:rtl w:val="true"/>
              </w:rPr>
              <w:t>]</w:t>
              <w:tab/>
            </w:r>
            <w:r>
              <w:rPr>
                <w:rStyle w:val="IndexLink"/>
              </w:rPr>
              <w:t>832</w:t>
            </w:r>
          </w:hyperlink>
        </w:p>
        <w:p>
          <w:pPr>
            <w:pStyle w:val="Contents4"/>
            <w:tabs>
              <w:tab w:val="clear" w:pos="8176"/>
              <w:tab w:val="right" w:pos="9026" w:leader="dot"/>
            </w:tabs>
            <w:rPr/>
          </w:pPr>
          <w:hyperlink w:anchor="__RefHeading___Toc257181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وقع العقد بلا مهر لم تستحقّ المرأة قبل الدخول شیئاً</w:t>
            </w:r>
            <w:r>
              <w:rPr>
                <w:rStyle w:val="IndexLink"/>
                <w:rtl w:val="true"/>
              </w:rPr>
              <w:t>]</w:t>
              <w:tab/>
            </w:r>
            <w:r>
              <w:rPr>
                <w:rStyle w:val="IndexLink"/>
              </w:rPr>
              <w:t>832</w:t>
            </w:r>
          </w:hyperlink>
        </w:p>
        <w:p>
          <w:pPr>
            <w:pStyle w:val="Contents4"/>
            <w:tabs>
              <w:tab w:val="clear" w:pos="8176"/>
              <w:tab w:val="right" w:pos="9026" w:leader="dot"/>
            </w:tabs>
            <w:rPr/>
          </w:pPr>
          <w:hyperlink w:anchor="__RefHeading___Toc2571816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المعتبر فی مهر المثل هنا و فی کلّ مورد نحکم به ملاحظة حال المرأة و صفاتها</w:t>
            </w:r>
            <w:r>
              <w:rPr>
                <w:rStyle w:val="IndexLink"/>
                <w:rtl w:val="true"/>
              </w:rPr>
              <w:t>]</w:t>
              <w:tab/>
            </w:r>
            <w:r>
              <w:rPr>
                <w:rStyle w:val="IndexLink"/>
              </w:rPr>
              <w:t>832</w:t>
            </w:r>
          </w:hyperlink>
        </w:p>
        <w:p>
          <w:pPr>
            <w:pStyle w:val="Contents4"/>
            <w:tabs>
              <w:tab w:val="clear" w:pos="8176"/>
              <w:tab w:val="right" w:pos="9026" w:leader="dot"/>
            </w:tabs>
            <w:rPr/>
          </w:pPr>
          <w:hyperlink w:anchor="__RefHeading___Toc2571818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أمهر ما لا یملکه أحد کالحرّ، أو ما لا یملکه المسلم</w:t>
            </w:r>
            <w:r>
              <w:rPr>
                <w:rStyle w:val="IndexLink"/>
                <w:rtl w:val="true"/>
              </w:rPr>
              <w:t>]</w:t>
              <w:tab/>
            </w:r>
            <w:r>
              <w:rPr>
                <w:rStyle w:val="IndexLink"/>
              </w:rPr>
              <w:t>832</w:t>
            </w:r>
          </w:hyperlink>
        </w:p>
        <w:p>
          <w:pPr>
            <w:pStyle w:val="Contents4"/>
            <w:tabs>
              <w:tab w:val="clear" w:pos="8176"/>
              <w:tab w:val="right" w:pos="9026" w:leader="dot"/>
            </w:tabs>
            <w:rPr/>
          </w:pPr>
          <w:hyperlink w:anchor="__RefHeading___Toc2571820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لو شرّک أباها فی المهر؛ بأن سمّی لها مهراً و لأبیها شیئاً معیّناً تعیّن ما سمّی لها مهراً لها</w:t>
            </w:r>
            <w:r>
              <w:rPr>
                <w:rStyle w:val="IndexLink"/>
                <w:rtl w:val="true"/>
              </w:rPr>
              <w:t>]</w:t>
              <w:tab/>
            </w:r>
            <w:r>
              <w:rPr>
                <w:rStyle w:val="IndexLink"/>
              </w:rPr>
              <w:t>833</w:t>
            </w:r>
          </w:hyperlink>
        </w:p>
        <w:p>
          <w:pPr>
            <w:pStyle w:val="Contents4"/>
            <w:tabs>
              <w:tab w:val="clear" w:pos="8176"/>
              <w:tab w:val="right" w:pos="9026" w:leader="dot"/>
            </w:tabs>
            <w:rPr/>
          </w:pPr>
          <w:hyperlink w:anchor="__RefHeading___Toc2571822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ما تعارف فی بعض البلاد من أنّه یأخذ بعض أقارب البنت کأبیها أو أُمّها أو أُختها من الزوج شیئاً</w:t>
            </w:r>
            <w:r>
              <w:rPr>
                <w:rStyle w:val="IndexLink"/>
                <w:rtl w:val="true"/>
              </w:rPr>
              <w:t>]</w:t>
              <w:tab/>
            </w:r>
            <w:r>
              <w:rPr>
                <w:rStyle w:val="IndexLink"/>
              </w:rPr>
              <w:t>833</w:t>
            </w:r>
          </w:hyperlink>
        </w:p>
        <w:p>
          <w:pPr>
            <w:pStyle w:val="Contents4"/>
            <w:tabs>
              <w:tab w:val="clear" w:pos="8176"/>
              <w:tab w:val="right" w:pos="9026" w:leader="dot"/>
            </w:tabs>
            <w:rPr/>
          </w:pPr>
          <w:hyperlink w:anchor="__RefHeading___Toc2571824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إذا وقع العقد بلا مهر جاز أن یتراضیا بعد العقد علیٰ شی‌ء</w:t>
            </w:r>
            <w:r>
              <w:rPr>
                <w:rStyle w:val="IndexLink"/>
                <w:rtl w:val="true"/>
              </w:rPr>
              <w:t>]</w:t>
              <w:tab/>
            </w:r>
            <w:r>
              <w:rPr>
                <w:rStyle w:val="IndexLink"/>
              </w:rPr>
              <w:t>833</w:t>
            </w:r>
          </w:hyperlink>
        </w:p>
        <w:p>
          <w:pPr>
            <w:pStyle w:val="Contents4"/>
            <w:tabs>
              <w:tab w:val="clear" w:pos="8176"/>
              <w:tab w:val="right" w:pos="9026" w:leader="dot"/>
            </w:tabs>
            <w:rPr/>
          </w:pPr>
          <w:hyperlink w:anchor="__RefHeading___Toc2571826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یجوز أن یجعل المهر کلّه حالّا أی بلا أجل و مؤجّلًا</w:t>
            </w:r>
            <w:r>
              <w:rPr>
                <w:rStyle w:val="IndexLink"/>
                <w:rtl w:val="true"/>
              </w:rPr>
              <w:t>]</w:t>
              <w:tab/>
            </w:r>
            <w:r>
              <w:rPr>
                <w:rStyle w:val="IndexLink"/>
              </w:rPr>
              <w:t>833</w:t>
            </w:r>
          </w:hyperlink>
        </w:p>
        <w:p>
          <w:pPr>
            <w:pStyle w:val="Contents4"/>
            <w:tabs>
              <w:tab w:val="clear" w:pos="8176"/>
              <w:tab w:val="right" w:pos="9026" w:leader="dot"/>
            </w:tabs>
            <w:rPr/>
          </w:pPr>
          <w:hyperlink w:anchor="__RefHeading___Toc2571828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یجوز أن یذکر المهر فی العقد فی الجملة</w:t>
            </w:r>
            <w:r>
              <w:rPr>
                <w:rStyle w:val="IndexLink"/>
                <w:rtl w:val="true"/>
              </w:rPr>
              <w:t>]</w:t>
              <w:tab/>
            </w:r>
            <w:r>
              <w:rPr>
                <w:rStyle w:val="IndexLink"/>
              </w:rPr>
              <w:t>834</w:t>
            </w:r>
          </w:hyperlink>
        </w:p>
        <w:p>
          <w:pPr>
            <w:pStyle w:val="Contents4"/>
            <w:tabs>
              <w:tab w:val="clear" w:pos="8176"/>
              <w:tab w:val="right" w:pos="9026" w:leader="dot"/>
            </w:tabs>
            <w:rPr/>
          </w:pPr>
          <w:hyperlink w:anchor="__RefHeading___Toc2571830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إذا طلّق قبل الدخول سقط نصف المهر المسمّی و بقی نصفه</w:t>
            </w:r>
            <w:r>
              <w:rPr>
                <w:rStyle w:val="IndexLink"/>
                <w:rtl w:val="true"/>
              </w:rPr>
              <w:t>]</w:t>
              <w:tab/>
            </w:r>
            <w:r>
              <w:rPr>
                <w:rStyle w:val="IndexLink"/>
              </w:rPr>
              <w:t>834</w:t>
            </w:r>
          </w:hyperlink>
        </w:p>
        <w:p>
          <w:pPr>
            <w:pStyle w:val="Contents4"/>
            <w:tabs>
              <w:tab w:val="clear" w:pos="8176"/>
              <w:tab w:val="right" w:pos="9026" w:leader="dot"/>
            </w:tabs>
            <w:rPr/>
          </w:pPr>
          <w:hyperlink w:anchor="__RefHeading___Toc2571832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إذا مات أحد الزوجین قبل الدخول، فالمشهور</w:t>
            </w:r>
            <w:r>
              <w:rPr>
                <w:rStyle w:val="IndexLink"/>
                <w:rtl w:val="true"/>
              </w:rPr>
              <w:t xml:space="preserve">: </w:t>
            </w:r>
            <w:r>
              <w:rPr>
                <w:rStyle w:val="IndexLink"/>
                <w:rtl w:val="true"/>
              </w:rPr>
              <w:t>استحقاق المرأة تمام المهر</w:t>
            </w:r>
            <w:r>
              <w:rPr>
                <w:rStyle w:val="IndexLink"/>
                <w:rtl w:val="true"/>
              </w:rPr>
              <w:t>]</w:t>
              <w:tab/>
            </w:r>
            <w:r>
              <w:rPr>
                <w:rStyle w:val="IndexLink"/>
              </w:rPr>
              <w:t>834</w:t>
            </w:r>
          </w:hyperlink>
        </w:p>
        <w:p>
          <w:pPr>
            <w:pStyle w:val="Contents4"/>
            <w:tabs>
              <w:tab w:val="clear" w:pos="8176"/>
              <w:tab w:val="right" w:pos="9026" w:leader="dot"/>
            </w:tabs>
            <w:rPr/>
          </w:pPr>
          <w:hyperlink w:anchor="__RefHeading___Toc2571834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الصداق تملکه المرأة بنفس العقد و تستقرّ ملکیّة تمامه بالدخول</w:t>
            </w:r>
            <w:r>
              <w:rPr>
                <w:rStyle w:val="IndexLink"/>
                <w:rtl w:val="true"/>
              </w:rPr>
              <w:t>]</w:t>
              <w:tab/>
            </w:r>
            <w:r>
              <w:rPr>
                <w:rStyle w:val="IndexLink"/>
              </w:rPr>
              <w:t>834</w:t>
            </w:r>
          </w:hyperlink>
        </w:p>
        <w:p>
          <w:pPr>
            <w:pStyle w:val="Contents4"/>
            <w:tabs>
              <w:tab w:val="clear" w:pos="8176"/>
              <w:tab w:val="right" w:pos="9026" w:leader="dot"/>
            </w:tabs>
            <w:rPr/>
          </w:pPr>
          <w:hyperlink w:anchor="__RefHeading___Toc2571836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لو أبرأته من الصداق الذی کان علیه ثمّ طلّقها قبل الدخول</w:t>
            </w:r>
            <w:r>
              <w:rPr>
                <w:rStyle w:val="IndexLink"/>
                <w:rtl w:val="true"/>
              </w:rPr>
              <w:t>]</w:t>
              <w:tab/>
            </w:r>
            <w:r>
              <w:rPr>
                <w:rStyle w:val="IndexLink"/>
              </w:rPr>
              <w:t>834</w:t>
            </w:r>
          </w:hyperlink>
        </w:p>
        <w:p>
          <w:pPr>
            <w:pStyle w:val="Contents4"/>
            <w:tabs>
              <w:tab w:val="clear" w:pos="8176"/>
              <w:tab w:val="right" w:pos="9026" w:leader="dot"/>
            </w:tabs>
            <w:rPr/>
          </w:pPr>
          <w:hyperlink w:anchor="__RefHeading___Toc2571838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الدخول الذی یستقرّ به تمام المهر هو مطلق الوطء و لو دبراً</w:t>
            </w:r>
            <w:r>
              <w:rPr>
                <w:rStyle w:val="IndexLink"/>
                <w:rtl w:val="true"/>
              </w:rPr>
              <w:t>]</w:t>
              <w:tab/>
            </w:r>
            <w:r>
              <w:rPr>
                <w:rStyle w:val="IndexLink"/>
              </w:rPr>
              <w:t>835</w:t>
            </w:r>
          </w:hyperlink>
        </w:p>
        <w:p>
          <w:pPr>
            <w:pStyle w:val="Contents4"/>
            <w:tabs>
              <w:tab w:val="clear" w:pos="8176"/>
              <w:tab w:val="right" w:pos="9026" w:leader="dot"/>
            </w:tabs>
            <w:rPr/>
          </w:pPr>
          <w:hyperlink w:anchor="__RefHeading___Toc2571840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إذا اختلف الزوجان فی أصل المهر فادّعته الزوجة و أنکر الزوج</w:t>
            </w:r>
            <w:r>
              <w:rPr>
                <w:rStyle w:val="IndexLink"/>
                <w:rtl w:val="true"/>
              </w:rPr>
              <w:t>]</w:t>
              <w:tab/>
            </w:r>
            <w:r>
              <w:rPr>
                <w:rStyle w:val="IndexLink"/>
              </w:rPr>
              <w:t>835</w:t>
            </w:r>
          </w:hyperlink>
        </w:p>
        <w:p>
          <w:pPr>
            <w:pStyle w:val="Contents4"/>
            <w:tabs>
              <w:tab w:val="clear" w:pos="8176"/>
              <w:tab w:val="right" w:pos="9026" w:leader="dot"/>
            </w:tabs>
            <w:rPr/>
          </w:pPr>
          <w:hyperlink w:anchor="__RefHeading___Toc2571842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إذا توافقا علیٰ أصل المهر و اختلفا فی مقداره</w:t>
            </w:r>
            <w:r>
              <w:rPr>
                <w:rStyle w:val="IndexLink"/>
                <w:rtl w:val="true"/>
              </w:rPr>
              <w:t>]</w:t>
              <w:tab/>
            </w:r>
            <w:r>
              <w:rPr>
                <w:rStyle w:val="IndexLink"/>
              </w:rPr>
              <w:t>835</w:t>
            </w:r>
          </w:hyperlink>
        </w:p>
        <w:p>
          <w:pPr>
            <w:pStyle w:val="Contents4"/>
            <w:tabs>
              <w:tab w:val="clear" w:pos="8176"/>
              <w:tab w:val="right" w:pos="9026" w:leader="dot"/>
            </w:tabs>
            <w:rPr/>
          </w:pPr>
          <w:hyperlink w:anchor="__RefHeading___Toc2571844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إذا اختلفا فی التعجیل و التأجیل</w:t>
            </w:r>
            <w:r>
              <w:rPr>
                <w:rStyle w:val="IndexLink"/>
                <w:rtl w:val="true"/>
              </w:rPr>
              <w:t>]</w:t>
              <w:tab/>
            </w:r>
            <w:r>
              <w:rPr>
                <w:rStyle w:val="IndexLink"/>
              </w:rPr>
              <w:t>835</w:t>
            </w:r>
          </w:hyperlink>
        </w:p>
        <w:p>
          <w:pPr>
            <w:pStyle w:val="Contents4"/>
            <w:tabs>
              <w:tab w:val="clear" w:pos="8176"/>
              <w:tab w:val="right" w:pos="9026" w:leader="dot"/>
            </w:tabs>
            <w:rPr/>
          </w:pPr>
          <w:hyperlink w:anchor="__RefHeading___Toc2571846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لو توافقا علی المهر و ادّعیٰ تسلیمه و لا بیّنة</w:t>
            </w:r>
            <w:r>
              <w:rPr>
                <w:rStyle w:val="IndexLink"/>
                <w:rtl w:val="true"/>
              </w:rPr>
              <w:t>]</w:t>
              <w:tab/>
            </w:r>
            <w:r>
              <w:rPr>
                <w:rStyle w:val="IndexLink"/>
              </w:rPr>
              <w:t>835</w:t>
            </w:r>
          </w:hyperlink>
        </w:p>
        <w:p>
          <w:pPr>
            <w:pStyle w:val="Contents4"/>
            <w:tabs>
              <w:tab w:val="clear" w:pos="8176"/>
              <w:tab w:val="right" w:pos="9026" w:leader="dot"/>
            </w:tabs>
            <w:rPr/>
          </w:pPr>
          <w:hyperlink w:anchor="__RefHeading___Toc2571848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لو دفع إلیها قدر مهرها ثمّ اختلفا بعد ذلک</w:t>
            </w:r>
            <w:r>
              <w:rPr>
                <w:rStyle w:val="IndexLink"/>
                <w:rtl w:val="true"/>
              </w:rPr>
              <w:t>]</w:t>
              <w:tab/>
            </w:r>
            <w:r>
              <w:rPr>
                <w:rStyle w:val="IndexLink"/>
              </w:rPr>
              <w:t>836</w:t>
            </w:r>
          </w:hyperlink>
        </w:p>
        <w:p>
          <w:pPr>
            <w:pStyle w:val="Contents4"/>
            <w:tabs>
              <w:tab w:val="clear" w:pos="8176"/>
              <w:tab w:val="right" w:pos="9026" w:leader="dot"/>
            </w:tabs>
            <w:rPr/>
          </w:pPr>
          <w:hyperlink w:anchor="__RefHeading___Toc2571850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إذا زوّج ولده الصغیر، فإن کان للولد مال فالمهر علی الولد</w:t>
            </w:r>
            <w:r>
              <w:rPr>
                <w:rStyle w:val="IndexLink"/>
                <w:rtl w:val="true"/>
              </w:rPr>
              <w:t>]</w:t>
              <w:tab/>
            </w:r>
            <w:r>
              <w:rPr>
                <w:rStyle w:val="IndexLink"/>
              </w:rPr>
              <w:t>836</w:t>
            </w:r>
          </w:hyperlink>
        </w:p>
        <w:p>
          <w:pPr>
            <w:pStyle w:val="Contents4"/>
            <w:tabs>
              <w:tab w:val="clear" w:pos="8176"/>
              <w:tab w:val="right" w:pos="9026" w:leader="dot"/>
            </w:tabs>
            <w:rPr/>
          </w:pPr>
          <w:hyperlink w:anchor="__RefHeading___Toc2571852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لو دفع الوالد المهر الذی کان علیه من جهة إعسار الولد، ثمّ بلغ الصبیّ فطلّق قبل الدخول</w:t>
            </w:r>
            <w:r>
              <w:rPr>
                <w:rStyle w:val="IndexLink"/>
                <w:rtl w:val="true"/>
              </w:rPr>
              <w:t>]</w:t>
              <w:tab/>
            </w:r>
            <w:r>
              <w:rPr>
                <w:rStyle w:val="IndexLink"/>
              </w:rPr>
              <w:t>836</w:t>
            </w:r>
          </w:hyperlink>
        </w:p>
        <w:p>
          <w:pPr>
            <w:pStyle w:val="Contents3"/>
            <w:tabs>
              <w:tab w:val="clear" w:pos="8459"/>
              <w:tab w:val="right" w:pos="9026" w:leader="dot"/>
            </w:tabs>
            <w:rPr/>
          </w:pPr>
          <w:hyperlink w:anchor="__RefHeading___Toc2571854_3650668749">
            <w:r>
              <w:rPr>
                <w:webHidden/>
                <w:rStyle w:val="IndexLink"/>
                <w:rtl w:val="true"/>
              </w:rPr>
              <w:t>[</w:t>
            </w:r>
            <w:r>
              <w:rPr>
                <w:rStyle w:val="IndexLink"/>
                <w:rtl w:val="true"/>
              </w:rPr>
              <w:t>خاتمة فی الشروط المذکورة فی عقد النکاح</w:t>
            </w:r>
            <w:r>
              <w:rPr>
                <w:rStyle w:val="IndexLink"/>
                <w:rtl w:val="true"/>
              </w:rPr>
              <w:t>]</w:t>
              <w:tab/>
            </w:r>
            <w:r>
              <w:rPr>
                <w:rStyle w:val="IndexLink"/>
              </w:rPr>
              <w:t>836</w:t>
            </w:r>
          </w:hyperlink>
        </w:p>
        <w:p>
          <w:pPr>
            <w:pStyle w:val="Contents4"/>
            <w:tabs>
              <w:tab w:val="clear" w:pos="8176"/>
              <w:tab w:val="right" w:pos="9026" w:leader="dot"/>
            </w:tabs>
            <w:rPr/>
          </w:pPr>
          <w:hyperlink w:anchor="__RefHeading___Toc2571856_3650668749">
            <w:r>
              <w:rPr>
                <w:webHidden/>
                <w:rStyle w:val="IndexLink"/>
                <w:rtl w:val="true"/>
              </w:rPr>
              <w:t>اشارة</w:t>
            </w:r>
            <w:r>
              <w:rPr>
                <w:rStyle w:val="IndexLink"/>
                <w:rtl w:val="true"/>
              </w:rPr>
              <w:tab/>
            </w:r>
            <w:r>
              <w:rPr>
                <w:rStyle w:val="IndexLink"/>
              </w:rPr>
              <w:t>836</w:t>
            </w:r>
          </w:hyperlink>
        </w:p>
        <w:p>
          <w:pPr>
            <w:pStyle w:val="Contents4"/>
            <w:tabs>
              <w:tab w:val="clear" w:pos="8176"/>
              <w:tab w:val="right" w:pos="9026" w:leader="dot"/>
            </w:tabs>
            <w:rPr/>
          </w:pPr>
          <w:hyperlink w:anchor="__RefHeading___Toc257185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یجوز أن یشترط فی ضمن عقد النکاح کلّ شرط سائغ</w:t>
            </w:r>
            <w:r>
              <w:rPr>
                <w:rStyle w:val="IndexLink"/>
                <w:rtl w:val="true"/>
              </w:rPr>
              <w:t>]</w:t>
              <w:tab/>
            </w:r>
            <w:r>
              <w:rPr>
                <w:rStyle w:val="IndexLink"/>
              </w:rPr>
              <w:t>836</w:t>
            </w:r>
          </w:hyperlink>
        </w:p>
        <w:p>
          <w:pPr>
            <w:pStyle w:val="Contents4"/>
            <w:tabs>
              <w:tab w:val="clear" w:pos="8176"/>
              <w:tab w:val="right" w:pos="9026" w:leader="dot"/>
            </w:tabs>
            <w:rPr/>
          </w:pPr>
          <w:hyperlink w:anchor="__RefHeading___Toc257186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شرط فی عقد النکاح ما یخالف المشروع</w:t>
            </w:r>
            <w:r>
              <w:rPr>
                <w:rStyle w:val="IndexLink"/>
                <w:rtl w:val="true"/>
              </w:rPr>
              <w:t>]</w:t>
              <w:tab/>
            </w:r>
            <w:r>
              <w:rPr>
                <w:rStyle w:val="IndexLink"/>
              </w:rPr>
              <w:t>836</w:t>
            </w:r>
          </w:hyperlink>
        </w:p>
        <w:p>
          <w:pPr>
            <w:pStyle w:val="Contents4"/>
            <w:tabs>
              <w:tab w:val="clear" w:pos="8176"/>
              <w:tab w:val="right" w:pos="9026" w:leader="dot"/>
            </w:tabs>
            <w:rPr/>
          </w:pPr>
          <w:hyperlink w:anchor="__RefHeading___Toc257186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لو شرط أن لا یفتضّها، لزم الشرط</w:t>
            </w:r>
            <w:r>
              <w:rPr>
                <w:rStyle w:val="IndexLink"/>
                <w:rtl w:val="true"/>
              </w:rPr>
              <w:t>]</w:t>
              <w:tab/>
            </w:r>
            <w:r>
              <w:rPr>
                <w:rStyle w:val="IndexLink"/>
              </w:rPr>
              <w:t>836</w:t>
            </w:r>
          </w:hyperlink>
        </w:p>
        <w:p>
          <w:pPr>
            <w:pStyle w:val="Contents4"/>
            <w:tabs>
              <w:tab w:val="clear" w:pos="8176"/>
              <w:tab w:val="right" w:pos="9026" w:leader="dot"/>
            </w:tabs>
            <w:rPr/>
          </w:pPr>
          <w:hyperlink w:anchor="__RefHeading___Toc257186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شرط أن لا یخرجها من بلدها أو أن یسکنها فی بلد معلوم</w:t>
            </w:r>
            <w:r>
              <w:rPr>
                <w:rStyle w:val="IndexLink"/>
                <w:rtl w:val="true"/>
              </w:rPr>
              <w:t>]</w:t>
              <w:tab/>
            </w:r>
            <w:r>
              <w:rPr>
                <w:rStyle w:val="IndexLink"/>
              </w:rPr>
              <w:t>837</w:t>
            </w:r>
          </w:hyperlink>
        </w:p>
        <w:p>
          <w:pPr>
            <w:pStyle w:val="Contents3"/>
            <w:tabs>
              <w:tab w:val="clear" w:pos="8459"/>
              <w:tab w:val="right" w:pos="9026" w:leader="dot"/>
            </w:tabs>
            <w:rPr/>
          </w:pPr>
          <w:hyperlink w:anchor="__RefHeading___Toc2571866_3650668749">
            <w:r>
              <w:rPr>
                <w:webHidden/>
                <w:rStyle w:val="IndexLink"/>
                <w:rtl w:val="true"/>
              </w:rPr>
              <w:t>[</w:t>
            </w:r>
            <w:r>
              <w:rPr>
                <w:rStyle w:val="IndexLink"/>
                <w:rtl w:val="true"/>
              </w:rPr>
              <w:t>فصل فی القسم و النشوز و الشقاق</w:t>
            </w:r>
            <w:r>
              <w:rPr>
                <w:rStyle w:val="IndexLink"/>
                <w:rtl w:val="true"/>
              </w:rPr>
              <w:t>]</w:t>
              <w:tab/>
            </w:r>
            <w:r>
              <w:rPr>
                <w:rStyle w:val="IndexLink"/>
              </w:rPr>
              <w:t>837</w:t>
            </w:r>
          </w:hyperlink>
        </w:p>
        <w:p>
          <w:pPr>
            <w:pStyle w:val="Contents4"/>
            <w:tabs>
              <w:tab w:val="clear" w:pos="8176"/>
              <w:tab w:val="right" w:pos="9026" w:leader="dot"/>
            </w:tabs>
            <w:rPr/>
          </w:pPr>
          <w:hyperlink w:anchor="__RefHeading___Toc2571868_3650668749">
            <w:r>
              <w:rPr>
                <w:webHidden/>
                <w:rStyle w:val="IndexLink"/>
                <w:rtl w:val="true"/>
              </w:rPr>
              <w:t>اشارة</w:t>
            </w:r>
            <w:r>
              <w:rPr>
                <w:rStyle w:val="IndexLink"/>
                <w:rtl w:val="true"/>
              </w:rPr>
              <w:tab/>
            </w:r>
            <w:r>
              <w:rPr>
                <w:rStyle w:val="IndexLink"/>
              </w:rPr>
              <w:t>837</w:t>
            </w:r>
          </w:hyperlink>
        </w:p>
        <w:p>
          <w:pPr>
            <w:pStyle w:val="Contents4"/>
            <w:tabs>
              <w:tab w:val="clear" w:pos="8176"/>
              <w:tab w:val="right" w:pos="9026" w:leader="dot"/>
            </w:tabs>
            <w:rPr/>
          </w:pPr>
          <w:hyperlink w:anchor="__RefHeading___Toc2571870_3650668749">
            <w:r>
              <w:rPr>
                <w:webHidden/>
                <w:rStyle w:val="IndexLink"/>
                <w:rtl w:val="true"/>
              </w:rPr>
              <w:t>[</w:t>
            </w:r>
            <w:r>
              <w:rPr>
                <w:rStyle w:val="IndexLink"/>
                <w:rtl w:val="true"/>
              </w:rPr>
              <w:t>القول فی القسم</w:t>
            </w:r>
            <w:r>
              <w:rPr>
                <w:rStyle w:val="IndexLink"/>
                <w:rtl w:val="true"/>
              </w:rPr>
              <w:t>]</w:t>
              <w:tab/>
            </w:r>
            <w:r>
              <w:rPr>
                <w:rStyle w:val="IndexLink"/>
              </w:rPr>
              <w:t>837</w:t>
            </w:r>
          </w:hyperlink>
        </w:p>
        <w:p>
          <w:pPr>
            <w:pStyle w:val="Contents5"/>
            <w:tabs>
              <w:tab w:val="clear" w:pos="7892"/>
              <w:tab w:val="right" w:pos="9026" w:leader="dot"/>
            </w:tabs>
            <w:rPr/>
          </w:pPr>
          <w:hyperlink w:anchor="__RefHeading___Toc257187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من کانت له زوجة واحدة، لیس لها علیٰ زوجها حقّ المبیت عندها و المضاجعة معها فی کلّ لیلة</w:t>
            </w:r>
            <w:r>
              <w:rPr>
                <w:rStyle w:val="IndexLink"/>
                <w:rtl w:val="true"/>
              </w:rPr>
              <w:t>]</w:t>
              <w:tab/>
            </w:r>
            <w:r>
              <w:rPr>
                <w:rStyle w:val="IndexLink"/>
              </w:rPr>
              <w:t>837</w:t>
            </w:r>
          </w:hyperlink>
        </w:p>
        <w:p>
          <w:pPr>
            <w:pStyle w:val="Contents5"/>
            <w:tabs>
              <w:tab w:val="clear" w:pos="7892"/>
              <w:tab w:val="right" w:pos="9026" w:leader="dot"/>
            </w:tabs>
            <w:rPr/>
          </w:pPr>
          <w:hyperlink w:anchor="__RefHeading___Toc257187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یختصّ وجوب المبیت و المضاجعة فیما قلنا به بالدائمة</w:t>
            </w:r>
            <w:r>
              <w:rPr>
                <w:rStyle w:val="IndexLink"/>
                <w:rtl w:val="true"/>
              </w:rPr>
              <w:t>]</w:t>
              <w:tab/>
            </w:r>
            <w:r>
              <w:rPr>
                <w:rStyle w:val="IndexLink"/>
              </w:rPr>
              <w:t>838</w:t>
            </w:r>
          </w:hyperlink>
        </w:p>
        <w:p>
          <w:pPr>
            <w:pStyle w:val="Contents5"/>
            <w:tabs>
              <w:tab w:val="clear" w:pos="7892"/>
              <w:tab w:val="right" w:pos="9026" w:leader="dot"/>
            </w:tabs>
            <w:rPr/>
          </w:pPr>
          <w:hyperlink w:anchor="__RefHeading___Toc257187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فی کلّ لیلة کان للمرأة حقّ المبیت یجوز لها أن ترفع الید عنه و تهبه للزوج لیصرف لیله فیما یشاء</w:t>
            </w:r>
            <w:r>
              <w:rPr>
                <w:rStyle w:val="IndexLink"/>
                <w:rtl w:val="true"/>
              </w:rPr>
              <w:t>]</w:t>
              <w:tab/>
            </w:r>
            <w:r>
              <w:rPr>
                <w:rStyle w:val="IndexLink"/>
              </w:rPr>
              <w:t>838</w:t>
            </w:r>
          </w:hyperlink>
        </w:p>
        <w:p>
          <w:pPr>
            <w:pStyle w:val="Contents5"/>
            <w:tabs>
              <w:tab w:val="clear" w:pos="7892"/>
              <w:tab w:val="right" w:pos="9026" w:leader="dot"/>
            </w:tabs>
            <w:rPr/>
          </w:pPr>
          <w:hyperlink w:anchor="__RefHeading___Toc257187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تختصّ البکر أوّل عرسها بسبع لیال و الثیّب بثلاث تتفضّلان</w:t>
            </w:r>
            <w:r>
              <w:rPr>
                <w:rStyle w:val="IndexLink"/>
                <w:rtl w:val="true"/>
              </w:rPr>
              <w:t>]</w:t>
              <w:tab/>
            </w:r>
            <w:r>
              <w:rPr>
                <w:rStyle w:val="IndexLink"/>
              </w:rPr>
              <w:t>838</w:t>
            </w:r>
          </w:hyperlink>
        </w:p>
        <w:p>
          <w:pPr>
            <w:pStyle w:val="Contents5"/>
            <w:tabs>
              <w:tab w:val="clear" w:pos="7892"/>
              <w:tab w:val="right" w:pos="9026" w:leader="dot"/>
            </w:tabs>
            <w:rPr/>
          </w:pPr>
          <w:hyperlink w:anchor="__RefHeading___Toc257188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قسمة للصغیرة و لا للمجنونة المطبقة</w:t>
            </w:r>
            <w:r>
              <w:rPr>
                <w:rStyle w:val="IndexLink"/>
                <w:rtl w:val="true"/>
              </w:rPr>
              <w:t>]</w:t>
              <w:tab/>
            </w:r>
            <w:r>
              <w:rPr>
                <w:rStyle w:val="IndexLink"/>
              </w:rPr>
              <w:t>838</w:t>
            </w:r>
          </w:hyperlink>
        </w:p>
        <w:p>
          <w:pPr>
            <w:pStyle w:val="Contents5"/>
            <w:tabs>
              <w:tab w:val="clear" w:pos="7892"/>
              <w:tab w:val="right" w:pos="9026" w:leader="dot"/>
            </w:tabs>
            <w:rPr/>
          </w:pPr>
          <w:hyperlink w:anchor="__RefHeading___Toc257188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شرع فی القسمة بین نسائه کان له الابتداء بأیّ منهنّ</w:t>
            </w:r>
            <w:r>
              <w:rPr>
                <w:rStyle w:val="IndexLink"/>
                <w:rtl w:val="true"/>
              </w:rPr>
              <w:t>]</w:t>
              <w:tab/>
            </w:r>
            <w:r>
              <w:rPr>
                <w:rStyle w:val="IndexLink"/>
              </w:rPr>
              <w:t>838</w:t>
            </w:r>
          </w:hyperlink>
        </w:p>
        <w:p>
          <w:pPr>
            <w:pStyle w:val="Contents5"/>
            <w:tabs>
              <w:tab w:val="clear" w:pos="7892"/>
              <w:tab w:val="right" w:pos="9026" w:leader="dot"/>
            </w:tabs>
            <w:rPr/>
          </w:pPr>
          <w:hyperlink w:anchor="__RefHeading___Toc257188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تستحبّ التسویة بین الزوجات فی الإنفاق و الالتفات و إطلاق الوجه و المواقعة</w:t>
            </w:r>
            <w:r>
              <w:rPr>
                <w:rStyle w:val="IndexLink"/>
                <w:rtl w:val="true"/>
              </w:rPr>
              <w:t>]</w:t>
              <w:tab/>
            </w:r>
            <w:r>
              <w:rPr>
                <w:rStyle w:val="IndexLink"/>
              </w:rPr>
              <w:t>839</w:t>
            </w:r>
          </w:hyperlink>
        </w:p>
        <w:p>
          <w:pPr>
            <w:pStyle w:val="Contents4"/>
            <w:tabs>
              <w:tab w:val="clear" w:pos="8176"/>
              <w:tab w:val="right" w:pos="9026" w:leader="dot"/>
            </w:tabs>
            <w:rPr/>
          </w:pPr>
          <w:hyperlink w:anchor="__RefHeading___Toc2571886_3650668749">
            <w:r>
              <w:rPr>
                <w:webHidden/>
                <w:rStyle w:val="IndexLink"/>
                <w:rtl w:val="true"/>
              </w:rPr>
              <w:t>[</w:t>
            </w:r>
            <w:r>
              <w:rPr>
                <w:rStyle w:val="IndexLink"/>
                <w:rtl w:val="true"/>
              </w:rPr>
              <w:t>القول فی النشوز</w:t>
            </w:r>
            <w:r>
              <w:rPr>
                <w:rStyle w:val="IndexLink"/>
                <w:rtl w:val="true"/>
              </w:rPr>
              <w:t>]</w:t>
              <w:tab/>
            </w:r>
            <w:r>
              <w:rPr>
                <w:rStyle w:val="IndexLink"/>
              </w:rPr>
              <w:t>839</w:t>
            </w:r>
          </w:hyperlink>
        </w:p>
        <w:p>
          <w:pPr>
            <w:pStyle w:val="Contents5"/>
            <w:tabs>
              <w:tab w:val="clear" w:pos="7892"/>
              <w:tab w:val="right" w:pos="9026" w:leader="dot"/>
            </w:tabs>
            <w:rPr/>
          </w:pPr>
          <w:hyperlink w:anchor="__RefHeading___Toc2571888_3650668749">
            <w:r>
              <w:rPr>
                <w:webHidden/>
                <w:rStyle w:val="IndexLink"/>
                <w:rtl w:val="true"/>
              </w:rPr>
              <w:t>اشارة</w:t>
            </w:r>
            <w:r>
              <w:rPr>
                <w:rStyle w:val="IndexLink"/>
                <w:rtl w:val="true"/>
              </w:rPr>
              <w:tab/>
            </w:r>
            <w:r>
              <w:rPr>
                <w:rStyle w:val="IndexLink"/>
              </w:rPr>
              <w:t>839</w:t>
            </w:r>
          </w:hyperlink>
        </w:p>
        <w:p>
          <w:pPr>
            <w:pStyle w:val="Contents5"/>
            <w:tabs>
              <w:tab w:val="clear" w:pos="7892"/>
              <w:tab w:val="right" w:pos="9026" w:leader="dot"/>
            </w:tabs>
            <w:rPr/>
          </w:pPr>
          <w:hyperlink w:anchor="__RefHeading___Toc257189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إذا ظهرت منها أمارات النشوز و الطغیان بسبب تغییر عادتها معه فی القول أو الفعل</w:t>
            </w:r>
            <w:r>
              <w:rPr>
                <w:rStyle w:val="IndexLink"/>
                <w:rtl w:val="true"/>
              </w:rPr>
              <w:t>]</w:t>
              <w:tab/>
            </w:r>
            <w:r>
              <w:rPr>
                <w:rStyle w:val="IndexLink"/>
              </w:rPr>
              <w:t>839</w:t>
            </w:r>
          </w:hyperlink>
        </w:p>
        <w:p>
          <w:pPr>
            <w:pStyle w:val="Contents5"/>
            <w:tabs>
              <w:tab w:val="clear" w:pos="7892"/>
              <w:tab w:val="right" w:pos="9026" w:leader="dot"/>
            </w:tabs>
            <w:rPr/>
          </w:pPr>
          <w:hyperlink w:anchor="__RefHeading___Toc257189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کما یکون النشوز من طرف الزوجة یکون من طرف الزوج أیضاً</w:t>
            </w:r>
            <w:r>
              <w:rPr>
                <w:rStyle w:val="IndexLink"/>
                <w:rtl w:val="true"/>
              </w:rPr>
              <w:t>]</w:t>
              <w:tab/>
            </w:r>
            <w:r>
              <w:rPr>
                <w:rStyle w:val="IndexLink"/>
              </w:rPr>
              <w:t>839</w:t>
            </w:r>
          </w:hyperlink>
        </w:p>
        <w:p>
          <w:pPr>
            <w:pStyle w:val="Contents5"/>
            <w:tabs>
              <w:tab w:val="clear" w:pos="7892"/>
              <w:tab w:val="right" w:pos="9026" w:leader="dot"/>
            </w:tabs>
            <w:rPr/>
          </w:pPr>
          <w:hyperlink w:anchor="__RefHeading___Toc257189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ترک الزوج بعض حقوقها الغیر الواجبة أو همّ بطلاقها لکراهته لها</w:t>
            </w:r>
            <w:r>
              <w:rPr>
                <w:rStyle w:val="IndexLink"/>
                <w:rtl w:val="true"/>
              </w:rPr>
              <w:t>]</w:t>
              <w:tab/>
            </w:r>
            <w:r>
              <w:rPr>
                <w:rStyle w:val="IndexLink"/>
              </w:rPr>
              <w:t>840</w:t>
            </w:r>
          </w:hyperlink>
        </w:p>
        <w:p>
          <w:pPr>
            <w:pStyle w:val="Contents5"/>
            <w:tabs>
              <w:tab w:val="clear" w:pos="7892"/>
              <w:tab w:val="right" w:pos="9026" w:leader="dot"/>
            </w:tabs>
            <w:rPr/>
          </w:pPr>
          <w:hyperlink w:anchor="__RefHeading___Toc257189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وقع نشوز من الزوجین و منافرة و شقاق بین الطرفین و انجرّ أمرهما إلی الحاکم</w:t>
            </w:r>
            <w:r>
              <w:rPr>
                <w:rStyle w:val="IndexLink"/>
                <w:rtl w:val="true"/>
              </w:rPr>
              <w:t>]</w:t>
              <w:tab/>
            </w:r>
            <w:r>
              <w:rPr>
                <w:rStyle w:val="IndexLink"/>
              </w:rPr>
              <w:t>840</w:t>
            </w:r>
          </w:hyperlink>
        </w:p>
        <w:p>
          <w:pPr>
            <w:pStyle w:val="Contents5"/>
            <w:tabs>
              <w:tab w:val="clear" w:pos="7892"/>
              <w:tab w:val="right" w:pos="9026" w:leader="dot"/>
            </w:tabs>
            <w:rPr/>
          </w:pPr>
          <w:hyperlink w:anchor="__RefHeading___Toc257189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اجتمع الحکمان علی التفریق، لیس لهما ذلک إلّا إذا شرطا علیهما</w:t>
            </w:r>
            <w:r>
              <w:rPr>
                <w:rStyle w:val="IndexLink"/>
                <w:rtl w:val="true"/>
              </w:rPr>
              <w:t>]</w:t>
              <w:tab/>
            </w:r>
            <w:r>
              <w:rPr>
                <w:rStyle w:val="IndexLink"/>
              </w:rPr>
              <w:t>840</w:t>
            </w:r>
          </w:hyperlink>
        </w:p>
        <w:p>
          <w:pPr>
            <w:pStyle w:val="Contents5"/>
            <w:tabs>
              <w:tab w:val="clear" w:pos="7892"/>
              <w:tab w:val="right" w:pos="9026" w:leader="dot"/>
            </w:tabs>
            <w:rPr/>
          </w:pPr>
          <w:hyperlink w:anchor="__RefHeading___Toc257190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الأولیٰ بل الأحوط أن یکون الحکمان من أهل الطرفین</w:t>
            </w:r>
            <w:r>
              <w:rPr>
                <w:rStyle w:val="IndexLink"/>
                <w:rtl w:val="true"/>
              </w:rPr>
              <w:t>]</w:t>
              <w:tab/>
            </w:r>
            <w:r>
              <w:rPr>
                <w:rStyle w:val="IndexLink"/>
              </w:rPr>
              <w:t>841</w:t>
            </w:r>
          </w:hyperlink>
        </w:p>
        <w:p>
          <w:pPr>
            <w:pStyle w:val="Contents5"/>
            <w:tabs>
              <w:tab w:val="clear" w:pos="7892"/>
              <w:tab w:val="right" w:pos="9026" w:leader="dot"/>
            </w:tabs>
            <w:rPr/>
          </w:pPr>
          <w:hyperlink w:anchor="__RefHeading___Toc257190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ینبغی للحکمین إخلاص النیّة و قصد الإصلاح</w:t>
            </w:r>
            <w:r>
              <w:rPr>
                <w:rStyle w:val="IndexLink"/>
                <w:rtl w:val="true"/>
              </w:rPr>
              <w:t>]</w:t>
              <w:tab/>
            </w:r>
            <w:r>
              <w:rPr>
                <w:rStyle w:val="IndexLink"/>
              </w:rPr>
              <w:t>841</w:t>
            </w:r>
          </w:hyperlink>
        </w:p>
        <w:p>
          <w:pPr>
            <w:pStyle w:val="Contents3"/>
            <w:tabs>
              <w:tab w:val="clear" w:pos="8459"/>
              <w:tab w:val="right" w:pos="9026" w:leader="dot"/>
            </w:tabs>
            <w:rPr/>
          </w:pPr>
          <w:hyperlink w:anchor="__RefHeading___Toc2571904_3650668749">
            <w:r>
              <w:rPr>
                <w:webHidden/>
                <w:rStyle w:val="IndexLink"/>
                <w:rtl w:val="true"/>
              </w:rPr>
              <w:t>[</w:t>
            </w:r>
            <w:r>
              <w:rPr>
                <w:rStyle w:val="IndexLink"/>
                <w:rtl w:val="true"/>
              </w:rPr>
              <w:t>فصل فی أحکام الأولاد و الولادة</w:t>
            </w:r>
            <w:r>
              <w:rPr>
                <w:rStyle w:val="IndexLink"/>
                <w:rtl w:val="true"/>
              </w:rPr>
              <w:t>]</w:t>
              <w:tab/>
            </w:r>
            <w:r>
              <w:rPr>
                <w:rStyle w:val="IndexLink"/>
              </w:rPr>
              <w:t>841</w:t>
            </w:r>
          </w:hyperlink>
        </w:p>
        <w:p>
          <w:pPr>
            <w:pStyle w:val="Contents4"/>
            <w:tabs>
              <w:tab w:val="clear" w:pos="8176"/>
              <w:tab w:val="right" w:pos="9026" w:leader="dot"/>
            </w:tabs>
            <w:rPr/>
          </w:pPr>
          <w:hyperlink w:anchor="__RefHeading___Toc2571906_3650668749">
            <w:r>
              <w:rPr>
                <w:webHidden/>
                <w:rStyle w:val="IndexLink"/>
                <w:rtl w:val="true"/>
              </w:rPr>
              <w:t>اشارة</w:t>
            </w:r>
            <w:r>
              <w:rPr>
                <w:rStyle w:val="IndexLink"/>
                <w:rtl w:val="true"/>
              </w:rPr>
              <w:tab/>
            </w:r>
            <w:r>
              <w:rPr>
                <w:rStyle w:val="IndexLink"/>
              </w:rPr>
              <w:t>841</w:t>
            </w:r>
          </w:hyperlink>
        </w:p>
        <w:p>
          <w:pPr>
            <w:pStyle w:val="Contents4"/>
            <w:tabs>
              <w:tab w:val="clear" w:pos="8176"/>
              <w:tab w:val="right" w:pos="9026" w:leader="dot"/>
            </w:tabs>
            <w:rPr/>
          </w:pPr>
          <w:hyperlink w:anchor="__RefHeading___Toc2571908_3650668749">
            <w:r>
              <w:rPr>
                <w:webHidden/>
                <w:rStyle w:val="IndexLink"/>
                <w:rtl w:val="true"/>
              </w:rPr>
              <w:t>[</w:t>
            </w:r>
            <w:r>
              <w:rPr>
                <w:rStyle w:val="IndexLink"/>
                <w:rtl w:val="true"/>
              </w:rPr>
              <w:t>القول فی أحکام الأولاد</w:t>
            </w:r>
            <w:r>
              <w:rPr>
                <w:rStyle w:val="IndexLink"/>
                <w:rtl w:val="true"/>
              </w:rPr>
              <w:t>]</w:t>
              <w:tab/>
            </w:r>
            <w:r>
              <w:rPr>
                <w:rStyle w:val="IndexLink"/>
              </w:rPr>
              <w:t>841</w:t>
            </w:r>
          </w:hyperlink>
        </w:p>
        <w:p>
          <w:pPr>
            <w:pStyle w:val="Contents5"/>
            <w:tabs>
              <w:tab w:val="clear" w:pos="7892"/>
              <w:tab w:val="right" w:pos="9026" w:leader="dot"/>
            </w:tabs>
            <w:rPr/>
          </w:pPr>
          <w:hyperlink w:anchor="__RefHeading___Toc257191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إنّما یلحق ما ولدته المرأة بزوجها بشروط ثلاثة</w:t>
            </w:r>
            <w:r>
              <w:rPr>
                <w:rStyle w:val="IndexLink"/>
                <w:rtl w:val="true"/>
              </w:rPr>
              <w:t>]</w:t>
              <w:tab/>
            </w:r>
            <w:r>
              <w:rPr>
                <w:rStyle w:val="IndexLink"/>
              </w:rPr>
              <w:t>841</w:t>
            </w:r>
          </w:hyperlink>
        </w:p>
        <w:p>
          <w:pPr>
            <w:pStyle w:val="Contents5"/>
            <w:tabs>
              <w:tab w:val="clear" w:pos="7892"/>
              <w:tab w:val="right" w:pos="9026" w:leader="dot"/>
            </w:tabs>
            <w:rPr/>
          </w:pPr>
          <w:hyperlink w:anchor="__RefHeading___Toc257191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تحقّقت الشروط الثلاثة لحق الولد به و لا یجوز له نفیه و إن وطئها واطئ فجوراً</w:t>
            </w:r>
            <w:r>
              <w:rPr>
                <w:rStyle w:val="IndexLink"/>
                <w:rtl w:val="true"/>
              </w:rPr>
              <w:t>]</w:t>
              <w:tab/>
            </w:r>
            <w:r>
              <w:rPr>
                <w:rStyle w:val="IndexLink"/>
              </w:rPr>
              <w:t>841</w:t>
            </w:r>
          </w:hyperlink>
        </w:p>
        <w:p>
          <w:pPr>
            <w:pStyle w:val="Contents5"/>
            <w:tabs>
              <w:tab w:val="clear" w:pos="7892"/>
              <w:tab w:val="right" w:pos="9026" w:leader="dot"/>
            </w:tabs>
            <w:rPr/>
          </w:pPr>
          <w:hyperlink w:anchor="__RefHeading___Toc257191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یجوز نفی الولد لمکان العزل</w:t>
            </w:r>
            <w:r>
              <w:rPr>
                <w:rStyle w:val="IndexLink"/>
                <w:rtl w:val="true"/>
              </w:rPr>
              <w:t>]</w:t>
              <w:tab/>
            </w:r>
            <w:r>
              <w:rPr>
                <w:rStyle w:val="IndexLink"/>
              </w:rPr>
              <w:t>842</w:t>
            </w:r>
          </w:hyperlink>
        </w:p>
        <w:p>
          <w:pPr>
            <w:pStyle w:val="Contents5"/>
            <w:tabs>
              <w:tab w:val="clear" w:pos="7892"/>
              <w:tab w:val="right" w:pos="9026" w:leader="dot"/>
            </w:tabs>
            <w:rPr/>
          </w:pPr>
          <w:hyperlink w:anchor="__RefHeading___Toc257191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الموطوءة بشبهة کما إذا وطئ أجنبیّة بظنّ أنّها زوجته یلحق ولدها بالواطئ</w:t>
            </w:r>
            <w:r>
              <w:rPr>
                <w:rStyle w:val="IndexLink"/>
                <w:rtl w:val="true"/>
              </w:rPr>
              <w:t>]</w:t>
              <w:tab/>
            </w:r>
            <w:r>
              <w:rPr>
                <w:rStyle w:val="IndexLink"/>
              </w:rPr>
              <w:t>842</w:t>
            </w:r>
          </w:hyperlink>
        </w:p>
        <w:p>
          <w:pPr>
            <w:pStyle w:val="Contents5"/>
            <w:tabs>
              <w:tab w:val="clear" w:pos="7892"/>
              <w:tab w:val="right" w:pos="9026" w:leader="dot"/>
            </w:tabs>
            <w:rPr/>
          </w:pPr>
          <w:hyperlink w:anchor="__RefHeading___Toc257191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اختلفا فی الدخول الموجب لإلحاق الولد و عدمه، فادّعته المرأة لیلحق الولد به و أنکره</w:t>
            </w:r>
            <w:r>
              <w:rPr>
                <w:rStyle w:val="IndexLink"/>
                <w:rtl w:val="true"/>
              </w:rPr>
              <w:t>]</w:t>
              <w:tab/>
            </w:r>
            <w:r>
              <w:rPr>
                <w:rStyle w:val="IndexLink"/>
              </w:rPr>
              <w:t>842</w:t>
            </w:r>
          </w:hyperlink>
        </w:p>
        <w:p>
          <w:pPr>
            <w:pStyle w:val="Contents5"/>
            <w:tabs>
              <w:tab w:val="clear" w:pos="7892"/>
              <w:tab w:val="right" w:pos="9026" w:leader="dot"/>
            </w:tabs>
            <w:rPr/>
          </w:pPr>
          <w:hyperlink w:anchor="__RefHeading___Toc257192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طلّق زوجته المدخول بها، فاعتدّت و تزوّجت ثمّ أتت بولد، فإن لم یمکن لحوقه بالثانی</w:t>
            </w:r>
            <w:r>
              <w:rPr>
                <w:rStyle w:val="IndexLink"/>
                <w:rtl w:val="true"/>
              </w:rPr>
              <w:t>]</w:t>
              <w:tab/>
            </w:r>
            <w:r>
              <w:rPr>
                <w:rStyle w:val="IndexLink"/>
              </w:rPr>
              <w:t>842</w:t>
            </w:r>
          </w:hyperlink>
        </w:p>
        <w:p>
          <w:pPr>
            <w:pStyle w:val="Contents5"/>
            <w:tabs>
              <w:tab w:val="clear" w:pos="7892"/>
              <w:tab w:val="right" w:pos="9026" w:leader="dot"/>
            </w:tabs>
            <w:rPr/>
          </w:pPr>
          <w:hyperlink w:anchor="__RefHeading___Toc257192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طلّقها ثمّ بعد ذلک وطئت بشبهة ثمّ أتت بولد، فهو کالتزویج بعد العدّة</w:t>
            </w:r>
            <w:r>
              <w:rPr>
                <w:rStyle w:val="IndexLink"/>
                <w:rtl w:val="true"/>
              </w:rPr>
              <w:t>]</w:t>
              <w:tab/>
            </w:r>
            <w:r>
              <w:rPr>
                <w:rStyle w:val="IndexLink"/>
              </w:rPr>
              <w:t>842</w:t>
            </w:r>
          </w:hyperlink>
        </w:p>
        <w:p>
          <w:pPr>
            <w:pStyle w:val="Contents5"/>
            <w:tabs>
              <w:tab w:val="clear" w:pos="7892"/>
              <w:tab w:val="right" w:pos="9026" w:leader="dot"/>
            </w:tabs>
            <w:rPr/>
          </w:pPr>
          <w:hyperlink w:anchor="__RefHeading___Toc257192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کانت تحت زوج و وطئها شخص آخر بشبهة ثمّ أتت بولد</w:t>
            </w:r>
            <w:r>
              <w:rPr>
                <w:rStyle w:val="IndexLink"/>
                <w:rtl w:val="true"/>
              </w:rPr>
              <w:t>]</w:t>
              <w:tab/>
            </w:r>
            <w:r>
              <w:rPr>
                <w:rStyle w:val="IndexLink"/>
              </w:rPr>
              <w:t>843</w:t>
            </w:r>
          </w:hyperlink>
        </w:p>
        <w:p>
          <w:pPr>
            <w:pStyle w:val="Contents4"/>
            <w:tabs>
              <w:tab w:val="clear" w:pos="8176"/>
              <w:tab w:val="right" w:pos="9026" w:leader="dot"/>
            </w:tabs>
            <w:rPr/>
          </w:pPr>
          <w:hyperlink w:anchor="__RefHeading___Toc2571926_3650668749">
            <w:r>
              <w:rPr>
                <w:webHidden/>
                <w:rStyle w:val="IndexLink"/>
                <w:rtl w:val="true"/>
              </w:rPr>
              <w:t>[</w:t>
            </w:r>
            <w:r>
              <w:rPr>
                <w:rStyle w:val="IndexLink"/>
                <w:rtl w:val="true"/>
              </w:rPr>
              <w:t>القول فی أحکام الولادة و ما یلحق بها</w:t>
            </w:r>
            <w:r>
              <w:rPr>
                <w:rStyle w:val="IndexLink"/>
                <w:rtl w:val="true"/>
              </w:rPr>
              <w:t>]</w:t>
              <w:tab/>
            </w:r>
            <w:r>
              <w:rPr>
                <w:rStyle w:val="IndexLink"/>
              </w:rPr>
              <w:t>843</w:t>
            </w:r>
          </w:hyperlink>
        </w:p>
        <w:p>
          <w:pPr>
            <w:pStyle w:val="Contents5"/>
            <w:tabs>
              <w:tab w:val="clear" w:pos="7892"/>
              <w:tab w:val="right" w:pos="9026" w:leader="dot"/>
            </w:tabs>
            <w:rPr/>
          </w:pPr>
          <w:hyperlink w:anchor="__RefHeading___Toc2571928_3650668749">
            <w:r>
              <w:rPr>
                <w:webHidden/>
                <w:rStyle w:val="IndexLink"/>
                <w:rtl w:val="true"/>
              </w:rPr>
              <w:t>اشارة</w:t>
            </w:r>
            <w:r>
              <w:rPr>
                <w:rStyle w:val="IndexLink"/>
                <w:rtl w:val="true"/>
              </w:rPr>
              <w:tab/>
            </w:r>
            <w:r>
              <w:rPr>
                <w:rStyle w:val="IndexLink"/>
              </w:rPr>
              <w:t>843</w:t>
            </w:r>
          </w:hyperlink>
        </w:p>
        <w:p>
          <w:pPr>
            <w:pStyle w:val="Contents5"/>
            <w:tabs>
              <w:tab w:val="clear" w:pos="7892"/>
              <w:tab w:val="right" w:pos="9026" w:leader="dot"/>
            </w:tabs>
            <w:rPr/>
          </w:pPr>
          <w:hyperlink w:anchor="__RefHeading___Toc257193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یجب استبداد النساء فی شؤون المرأة حین ولادتها دون الرجال</w:t>
            </w:r>
            <w:r>
              <w:rPr>
                <w:rStyle w:val="IndexLink"/>
                <w:rtl w:val="true"/>
              </w:rPr>
              <w:t>]</w:t>
              <w:tab/>
            </w:r>
            <w:r>
              <w:rPr>
                <w:rStyle w:val="IndexLink"/>
              </w:rPr>
              <w:t>843</w:t>
            </w:r>
          </w:hyperlink>
        </w:p>
        <w:p>
          <w:pPr>
            <w:pStyle w:val="Contents5"/>
            <w:tabs>
              <w:tab w:val="clear" w:pos="7892"/>
              <w:tab w:val="right" w:pos="9026" w:leader="dot"/>
            </w:tabs>
            <w:rPr/>
          </w:pPr>
          <w:hyperlink w:anchor="__RefHeading___Toc257193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یستحبّ غسل المولود عند وضعه مع الأمن من الضرر، و الأذان</w:t>
            </w:r>
            <w:r>
              <w:rPr>
                <w:rStyle w:val="IndexLink"/>
                <w:rtl w:val="true"/>
              </w:rPr>
              <w:t>]</w:t>
              <w:tab/>
            </w:r>
            <w:r>
              <w:rPr>
                <w:rStyle w:val="IndexLink"/>
              </w:rPr>
              <w:t>843</w:t>
            </w:r>
          </w:hyperlink>
        </w:p>
        <w:p>
          <w:pPr>
            <w:pStyle w:val="Contents5"/>
            <w:tabs>
              <w:tab w:val="clear" w:pos="7892"/>
              <w:tab w:val="right" w:pos="9026" w:leader="dot"/>
            </w:tabs>
            <w:rPr/>
          </w:pPr>
          <w:hyperlink w:anchor="__RefHeading___Toc257193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و تستحبّ الولیمة عند الولادة</w:t>
            </w:r>
            <w:r>
              <w:rPr>
                <w:rStyle w:val="IndexLink"/>
                <w:rtl w:val="true"/>
              </w:rPr>
              <w:t>]</w:t>
              <w:tab/>
            </w:r>
            <w:r>
              <w:rPr>
                <w:rStyle w:val="IndexLink"/>
              </w:rPr>
              <w:t>843</w:t>
            </w:r>
          </w:hyperlink>
        </w:p>
        <w:p>
          <w:pPr>
            <w:pStyle w:val="Contents5"/>
            <w:tabs>
              <w:tab w:val="clear" w:pos="7892"/>
              <w:tab w:val="right" w:pos="9026" w:leader="dot"/>
            </w:tabs>
            <w:rPr/>
          </w:pPr>
          <w:hyperlink w:anchor="__RefHeading___Toc257193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یجب ختان الذکور</w:t>
            </w:r>
            <w:r>
              <w:rPr>
                <w:rStyle w:val="IndexLink"/>
                <w:rtl w:val="true"/>
              </w:rPr>
              <w:t>]</w:t>
              <w:tab/>
            </w:r>
            <w:r>
              <w:rPr>
                <w:rStyle w:val="IndexLink"/>
              </w:rPr>
              <w:t>843</w:t>
            </w:r>
          </w:hyperlink>
        </w:p>
        <w:p>
          <w:pPr>
            <w:pStyle w:val="Contents5"/>
            <w:tabs>
              <w:tab w:val="clear" w:pos="7892"/>
              <w:tab w:val="right" w:pos="9026" w:leader="dot"/>
            </w:tabs>
            <w:rPr/>
          </w:pPr>
          <w:hyperlink w:anchor="__RefHeading___Toc257193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الختان واجب لنفسه و شرط لصحّة طوافه فی حجّ أو عمرة</w:t>
            </w:r>
            <w:r>
              <w:rPr>
                <w:rStyle w:val="IndexLink"/>
                <w:rtl w:val="true"/>
              </w:rPr>
              <w:t>]</w:t>
              <w:tab/>
            </w:r>
            <w:r>
              <w:rPr>
                <w:rStyle w:val="IndexLink"/>
              </w:rPr>
              <w:t>844</w:t>
            </w:r>
          </w:hyperlink>
        </w:p>
        <w:p>
          <w:pPr>
            <w:pStyle w:val="Contents5"/>
            <w:tabs>
              <w:tab w:val="clear" w:pos="7892"/>
              <w:tab w:val="right" w:pos="9026" w:leader="dot"/>
            </w:tabs>
            <w:rPr/>
          </w:pPr>
          <w:hyperlink w:anchor="__RefHeading___Toc257194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الظاهر أنّ الحدّ الواجب فی الختان أن تقطع الجلدة الساترة للحشفة المسمّاة بالغلفة</w:t>
            </w:r>
            <w:r>
              <w:rPr>
                <w:rStyle w:val="IndexLink"/>
                <w:rtl w:val="true"/>
              </w:rPr>
              <w:t>]</w:t>
              <w:tab/>
            </w:r>
            <w:r>
              <w:rPr>
                <w:rStyle w:val="IndexLink"/>
              </w:rPr>
              <w:t>844</w:t>
            </w:r>
          </w:hyperlink>
        </w:p>
        <w:p>
          <w:pPr>
            <w:pStyle w:val="Contents5"/>
            <w:tabs>
              <w:tab w:val="clear" w:pos="7892"/>
              <w:tab w:val="right" w:pos="9026" w:leader="dot"/>
            </w:tabs>
            <w:rPr/>
          </w:pPr>
          <w:hyperlink w:anchor="__RefHeading___Toc257194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لا بأس بکون الختّان کافراً حربیّا أو ذمّیا</w:t>
            </w:r>
            <w:r>
              <w:rPr>
                <w:rStyle w:val="IndexLink"/>
                <w:rtl w:val="true"/>
              </w:rPr>
              <w:t>]</w:t>
              <w:tab/>
            </w:r>
            <w:r>
              <w:rPr>
                <w:rStyle w:val="IndexLink"/>
              </w:rPr>
              <w:t>844</w:t>
            </w:r>
          </w:hyperlink>
        </w:p>
        <w:p>
          <w:pPr>
            <w:pStyle w:val="Contents5"/>
            <w:tabs>
              <w:tab w:val="clear" w:pos="7892"/>
              <w:tab w:val="right" w:pos="9026" w:leader="dot"/>
            </w:tabs>
            <w:rPr/>
          </w:pPr>
          <w:hyperlink w:anchor="__RefHeading___Toc2571944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لو ولد الصبیّ مختوناً سقط الختان</w:t>
            </w:r>
            <w:r>
              <w:rPr>
                <w:rStyle w:val="IndexLink"/>
                <w:rtl w:val="true"/>
              </w:rPr>
              <w:t>]</w:t>
              <w:tab/>
            </w:r>
            <w:r>
              <w:rPr>
                <w:rStyle w:val="IndexLink"/>
              </w:rPr>
              <w:t>844</w:t>
            </w:r>
          </w:hyperlink>
        </w:p>
        <w:p>
          <w:pPr>
            <w:pStyle w:val="Contents5"/>
            <w:tabs>
              <w:tab w:val="clear" w:pos="7892"/>
              <w:tab w:val="right" w:pos="9026" w:leader="dot"/>
            </w:tabs>
            <w:rPr/>
          </w:pPr>
          <w:hyperlink w:anchor="__RefHeading___Toc2571946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و من المستحبّات الأکیدة العقیقة للذکر و الأُنثی</w:t>
            </w:r>
            <w:r>
              <w:rPr>
                <w:rStyle w:val="IndexLink"/>
                <w:rtl w:val="true"/>
              </w:rPr>
              <w:t>]</w:t>
              <w:tab/>
            </w:r>
            <w:r>
              <w:rPr>
                <w:rStyle w:val="IndexLink"/>
              </w:rPr>
              <w:t>844</w:t>
            </w:r>
          </w:hyperlink>
        </w:p>
        <w:p>
          <w:pPr>
            <w:pStyle w:val="Contents5"/>
            <w:tabs>
              <w:tab w:val="clear" w:pos="7892"/>
              <w:tab w:val="right" w:pos="9026" w:leader="dot"/>
            </w:tabs>
            <w:rPr/>
          </w:pPr>
          <w:hyperlink w:anchor="__RefHeading___Toc2571948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یتخیّر فی العقیقة بین أن یفرّقها لحماً أو مطبوخاً أو تطبخ و یدعیٰ علیها جماعة</w:t>
            </w:r>
            <w:r>
              <w:rPr>
                <w:rStyle w:val="IndexLink"/>
                <w:rtl w:val="true"/>
              </w:rPr>
              <w:t>]</w:t>
              <w:tab/>
            </w:r>
            <w:r>
              <w:rPr>
                <w:rStyle w:val="IndexLink"/>
              </w:rPr>
              <w:t>845</w:t>
            </w:r>
          </w:hyperlink>
        </w:p>
        <w:p>
          <w:pPr>
            <w:pStyle w:val="Contents5"/>
            <w:tabs>
              <w:tab w:val="clear" w:pos="7892"/>
              <w:tab w:val="right" w:pos="9026" w:leader="dot"/>
            </w:tabs>
            <w:rPr/>
          </w:pPr>
          <w:hyperlink w:anchor="__RefHeading___Toc2571950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لا یجب علی الأُمّ إرضاع ولدها لا مجّاناً و لا بالأُجرة مع عدم الانحصار</w:t>
            </w:r>
            <w:r>
              <w:rPr>
                <w:rStyle w:val="IndexLink"/>
                <w:rtl w:val="true"/>
              </w:rPr>
              <w:t>]</w:t>
              <w:tab/>
            </w:r>
            <w:r>
              <w:rPr>
                <w:rStyle w:val="IndexLink"/>
              </w:rPr>
              <w:t>845</w:t>
            </w:r>
          </w:hyperlink>
        </w:p>
        <w:p>
          <w:pPr>
            <w:pStyle w:val="Contents5"/>
            <w:tabs>
              <w:tab w:val="clear" w:pos="7892"/>
              <w:tab w:val="right" w:pos="9026" w:leader="dot"/>
            </w:tabs>
            <w:rPr/>
          </w:pPr>
          <w:hyperlink w:anchor="__RefHeading___Toc2571952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الأُمّ أحقّ بإرضاع ولدها من غیرها إذا کانت متبرّعة</w:t>
            </w:r>
            <w:r>
              <w:rPr>
                <w:rStyle w:val="IndexLink"/>
                <w:rtl w:val="true"/>
              </w:rPr>
              <w:t>]</w:t>
              <w:tab/>
            </w:r>
            <w:r>
              <w:rPr>
                <w:rStyle w:val="IndexLink"/>
              </w:rPr>
              <w:t>845</w:t>
            </w:r>
          </w:hyperlink>
        </w:p>
        <w:p>
          <w:pPr>
            <w:pStyle w:val="Contents5"/>
            <w:tabs>
              <w:tab w:val="clear" w:pos="7892"/>
              <w:tab w:val="right" w:pos="9026" w:leader="dot"/>
            </w:tabs>
            <w:rPr/>
          </w:pPr>
          <w:hyperlink w:anchor="__RefHeading___Toc2571954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لو ادّعی الأب وجود متبرّعة، و أنکرت الأُمّ و لم یکن له بیّنة علیٰ وجودها</w:t>
            </w:r>
            <w:r>
              <w:rPr>
                <w:rStyle w:val="IndexLink"/>
                <w:rtl w:val="true"/>
              </w:rPr>
              <w:t>]</w:t>
              <w:tab/>
            </w:r>
            <w:r>
              <w:rPr>
                <w:rStyle w:val="IndexLink"/>
              </w:rPr>
              <w:t>846</w:t>
            </w:r>
          </w:hyperlink>
        </w:p>
        <w:p>
          <w:pPr>
            <w:pStyle w:val="Contents5"/>
            <w:tabs>
              <w:tab w:val="clear" w:pos="7892"/>
              <w:tab w:val="right" w:pos="9026" w:leader="dot"/>
            </w:tabs>
            <w:rPr/>
          </w:pPr>
          <w:hyperlink w:anchor="__RefHeading___Toc2571956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یستحبّ أن یکون رضاع الصبیّ بلبن امّه</w:t>
            </w:r>
            <w:r>
              <w:rPr>
                <w:rStyle w:val="IndexLink"/>
                <w:rtl w:val="true"/>
              </w:rPr>
              <w:t>]</w:t>
              <w:tab/>
            </w:r>
            <w:r>
              <w:rPr>
                <w:rStyle w:val="IndexLink"/>
              </w:rPr>
              <w:t>846</w:t>
            </w:r>
          </w:hyperlink>
        </w:p>
        <w:p>
          <w:pPr>
            <w:pStyle w:val="Contents5"/>
            <w:tabs>
              <w:tab w:val="clear" w:pos="7892"/>
              <w:tab w:val="right" w:pos="9026" w:leader="dot"/>
            </w:tabs>
            <w:rPr/>
          </w:pPr>
          <w:hyperlink w:anchor="__RefHeading___Toc2571958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کمال الرضاع حولان کاملان؛ أربع و عشرون شهراً</w:t>
            </w:r>
            <w:r>
              <w:rPr>
                <w:rStyle w:val="IndexLink"/>
                <w:rtl w:val="true"/>
              </w:rPr>
              <w:t>]</w:t>
              <w:tab/>
            </w:r>
            <w:r>
              <w:rPr>
                <w:rStyle w:val="IndexLink"/>
              </w:rPr>
              <w:t>846</w:t>
            </w:r>
          </w:hyperlink>
        </w:p>
        <w:p>
          <w:pPr>
            <w:pStyle w:val="Contents5"/>
            <w:tabs>
              <w:tab w:val="clear" w:pos="7892"/>
              <w:tab w:val="right" w:pos="9026" w:leader="dot"/>
            </w:tabs>
            <w:rPr/>
          </w:pPr>
          <w:hyperlink w:anchor="__RefHeading___Toc2571960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الأُمّ أحقّ بحضانة الولد و تربیته و ما یتعلّق بها من مصلحة حفظه مدّة الرضاع</w:t>
            </w:r>
            <w:r>
              <w:rPr>
                <w:rStyle w:val="IndexLink"/>
                <w:rtl w:val="true"/>
              </w:rPr>
              <w:t>]</w:t>
              <w:tab/>
            </w:r>
            <w:r>
              <w:rPr>
                <w:rStyle w:val="IndexLink"/>
              </w:rPr>
              <w:t>846</w:t>
            </w:r>
          </w:hyperlink>
        </w:p>
        <w:p>
          <w:pPr>
            <w:pStyle w:val="Contents5"/>
            <w:tabs>
              <w:tab w:val="clear" w:pos="7892"/>
              <w:tab w:val="right" w:pos="9026" w:leader="dot"/>
            </w:tabs>
            <w:rPr/>
          </w:pPr>
          <w:hyperlink w:anchor="__RefHeading___Toc2571962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لو مات الأب بعد انتقال الحضانة إلیه أو قبله، کانت الأُمّ أحقّ بحضانة الولد</w:t>
            </w:r>
            <w:r>
              <w:rPr>
                <w:rStyle w:val="IndexLink"/>
                <w:rtl w:val="true"/>
              </w:rPr>
              <w:t>]</w:t>
              <w:tab/>
            </w:r>
            <w:r>
              <w:rPr>
                <w:rStyle w:val="IndexLink"/>
              </w:rPr>
              <w:t>846</w:t>
            </w:r>
          </w:hyperlink>
        </w:p>
        <w:p>
          <w:pPr>
            <w:pStyle w:val="Contents5"/>
            <w:tabs>
              <w:tab w:val="clear" w:pos="7892"/>
              <w:tab w:val="right" w:pos="9026" w:leader="dot"/>
            </w:tabs>
            <w:rPr/>
          </w:pPr>
          <w:hyperlink w:anchor="__RefHeading___Toc2571964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تنتهی الحضانة ببلوغ الولد رشیداً</w:t>
            </w:r>
            <w:r>
              <w:rPr>
                <w:rStyle w:val="IndexLink"/>
                <w:rtl w:val="true"/>
              </w:rPr>
              <w:t>]</w:t>
              <w:tab/>
            </w:r>
            <w:r>
              <w:rPr>
                <w:rStyle w:val="IndexLink"/>
              </w:rPr>
              <w:t>847</w:t>
            </w:r>
          </w:hyperlink>
        </w:p>
        <w:p>
          <w:pPr>
            <w:pStyle w:val="Contents3"/>
            <w:tabs>
              <w:tab w:val="clear" w:pos="8459"/>
              <w:tab w:val="right" w:pos="9026" w:leader="dot"/>
            </w:tabs>
            <w:rPr/>
          </w:pPr>
          <w:hyperlink w:anchor="__RefHeading___Toc2571966_3650668749">
            <w:r>
              <w:rPr>
                <w:webHidden/>
                <w:rStyle w:val="IndexLink"/>
                <w:rtl w:val="true"/>
              </w:rPr>
              <w:t>[</w:t>
            </w:r>
            <w:r>
              <w:rPr>
                <w:rStyle w:val="IndexLink"/>
                <w:rtl w:val="true"/>
              </w:rPr>
              <w:t>فصل فی النفقات</w:t>
            </w:r>
            <w:r>
              <w:rPr>
                <w:rStyle w:val="IndexLink"/>
                <w:rtl w:val="true"/>
              </w:rPr>
              <w:t>]</w:t>
              <w:tab/>
            </w:r>
            <w:r>
              <w:rPr>
                <w:rStyle w:val="IndexLink"/>
              </w:rPr>
              <w:t>847</w:t>
            </w:r>
          </w:hyperlink>
        </w:p>
        <w:p>
          <w:pPr>
            <w:pStyle w:val="Contents4"/>
            <w:tabs>
              <w:tab w:val="clear" w:pos="8176"/>
              <w:tab w:val="right" w:pos="9026" w:leader="dot"/>
            </w:tabs>
            <w:rPr/>
          </w:pPr>
          <w:hyperlink w:anchor="__RefHeading___Toc2571968_3650668749">
            <w:r>
              <w:rPr>
                <w:webHidden/>
                <w:rStyle w:val="IndexLink"/>
                <w:rtl w:val="true"/>
              </w:rPr>
              <w:t>اشارة</w:t>
            </w:r>
            <w:r>
              <w:rPr>
                <w:rStyle w:val="IndexLink"/>
                <w:rtl w:val="true"/>
              </w:rPr>
              <w:tab/>
            </w:r>
            <w:r>
              <w:rPr>
                <w:rStyle w:val="IndexLink"/>
              </w:rPr>
              <w:t>847</w:t>
            </w:r>
          </w:hyperlink>
        </w:p>
        <w:p>
          <w:pPr>
            <w:pStyle w:val="Contents4"/>
            <w:tabs>
              <w:tab w:val="clear" w:pos="8176"/>
              <w:tab w:val="right" w:pos="9026" w:leader="dot"/>
            </w:tabs>
            <w:rPr/>
          </w:pPr>
          <w:hyperlink w:anchor="__RefHeading___Toc2571970_3650668749">
            <w:r>
              <w:rPr>
                <w:webHidden/>
                <w:rStyle w:val="IndexLink"/>
                <w:rtl w:val="true"/>
              </w:rPr>
              <w:t>[</w:t>
            </w:r>
            <w:r>
              <w:rPr>
                <w:rStyle w:val="IndexLink"/>
                <w:rtl w:val="true"/>
              </w:rPr>
              <w:t>القول فی نفقة الزوجة</w:t>
            </w:r>
            <w:r>
              <w:rPr>
                <w:rStyle w:val="IndexLink"/>
                <w:rtl w:val="true"/>
              </w:rPr>
              <w:t>]</w:t>
              <w:tab/>
            </w:r>
            <w:r>
              <w:rPr>
                <w:rStyle w:val="IndexLink"/>
              </w:rPr>
              <w:t>847</w:t>
            </w:r>
          </w:hyperlink>
        </w:p>
        <w:p>
          <w:pPr>
            <w:pStyle w:val="Contents5"/>
            <w:tabs>
              <w:tab w:val="clear" w:pos="7892"/>
              <w:tab w:val="right" w:pos="9026" w:leader="dot"/>
            </w:tabs>
            <w:rPr/>
          </w:pPr>
          <w:hyperlink w:anchor="__RefHeading___Toc257197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إنّما تجب نفقة الزوجة علی الزوج بشرط أن تکون دائمة</w:t>
            </w:r>
            <w:r>
              <w:rPr>
                <w:rStyle w:val="IndexLink"/>
                <w:rtl w:val="true"/>
              </w:rPr>
              <w:t>]</w:t>
              <w:tab/>
            </w:r>
            <w:r>
              <w:rPr>
                <w:rStyle w:val="IndexLink"/>
              </w:rPr>
              <w:t>847</w:t>
            </w:r>
          </w:hyperlink>
        </w:p>
        <w:p>
          <w:pPr>
            <w:pStyle w:val="Contents5"/>
            <w:tabs>
              <w:tab w:val="clear" w:pos="7892"/>
              <w:tab w:val="right" w:pos="9026" w:leader="dot"/>
            </w:tabs>
            <w:rPr/>
          </w:pPr>
          <w:hyperlink w:anchor="__RefHeading___Toc257197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لو نشزت ثمّ عادت إلی الطاعة لم تستحقّ النفقة حتّی تظهرها و علم بها</w:t>
            </w:r>
            <w:r>
              <w:rPr>
                <w:rStyle w:val="IndexLink"/>
                <w:rtl w:val="true"/>
              </w:rPr>
              <w:t>]</w:t>
              <w:tab/>
            </w:r>
            <w:r>
              <w:rPr>
                <w:rStyle w:val="IndexLink"/>
              </w:rPr>
              <w:t>847</w:t>
            </w:r>
          </w:hyperlink>
        </w:p>
        <w:p>
          <w:pPr>
            <w:pStyle w:val="Contents5"/>
            <w:tabs>
              <w:tab w:val="clear" w:pos="7892"/>
              <w:tab w:val="right" w:pos="9026" w:leader="dot"/>
            </w:tabs>
            <w:rPr/>
          </w:pPr>
          <w:hyperlink w:anchor="__RefHeading___Toc257197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لو ارتدّت سقطت النفقة</w:t>
            </w:r>
            <w:r>
              <w:rPr>
                <w:rStyle w:val="IndexLink"/>
                <w:rtl w:val="true"/>
              </w:rPr>
              <w:t>]</w:t>
              <w:tab/>
            </w:r>
            <w:r>
              <w:rPr>
                <w:rStyle w:val="IndexLink"/>
              </w:rPr>
              <w:t>847</w:t>
            </w:r>
          </w:hyperlink>
        </w:p>
        <w:p>
          <w:pPr>
            <w:pStyle w:val="Contents5"/>
            <w:tabs>
              <w:tab w:val="clear" w:pos="7892"/>
              <w:tab w:val="right" w:pos="9026" w:leader="dot"/>
            </w:tabs>
            <w:rPr/>
          </w:pPr>
          <w:hyperlink w:anchor="__RefHeading___Toc257197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الظاهر أنّه لا نفقة للزوجة الصغیرة الغیر القابلة للاستمتاع منها علیٰ زوجها</w:t>
            </w:r>
            <w:r>
              <w:rPr>
                <w:rStyle w:val="IndexLink"/>
                <w:rtl w:val="true"/>
              </w:rPr>
              <w:t>]</w:t>
              <w:tab/>
            </w:r>
            <w:r>
              <w:rPr>
                <w:rStyle w:val="IndexLink"/>
              </w:rPr>
              <w:t>847</w:t>
            </w:r>
          </w:hyperlink>
        </w:p>
        <w:p>
          <w:pPr>
            <w:pStyle w:val="Contents5"/>
            <w:tabs>
              <w:tab w:val="clear" w:pos="7892"/>
              <w:tab w:val="right" w:pos="9026" w:leader="dot"/>
            </w:tabs>
            <w:rPr/>
          </w:pPr>
          <w:hyperlink w:anchor="__RefHeading___Toc257198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تسقط نفقتها بعدم تمکینه من نفسها لعذر شرعی أو عقلی</w:t>
            </w:r>
            <w:r>
              <w:rPr>
                <w:rStyle w:val="IndexLink"/>
                <w:rtl w:val="true"/>
              </w:rPr>
              <w:t>]</w:t>
              <w:tab/>
            </w:r>
            <w:r>
              <w:rPr>
                <w:rStyle w:val="IndexLink"/>
              </w:rPr>
              <w:t>847</w:t>
            </w:r>
          </w:hyperlink>
        </w:p>
        <w:p>
          <w:pPr>
            <w:pStyle w:val="Contents5"/>
            <w:tabs>
              <w:tab w:val="clear" w:pos="7892"/>
              <w:tab w:val="right" w:pos="9026" w:leader="dot"/>
            </w:tabs>
            <w:rPr/>
          </w:pPr>
          <w:hyperlink w:anchor="__RefHeading___Toc257198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تثبت النفقة و السکنی لذات العدّة الرجعیّة ما دامت فی العدّة</w:t>
            </w:r>
            <w:r>
              <w:rPr>
                <w:rStyle w:val="IndexLink"/>
                <w:rtl w:val="true"/>
              </w:rPr>
              <w:t>]</w:t>
              <w:tab/>
            </w:r>
            <w:r>
              <w:rPr>
                <w:rStyle w:val="IndexLink"/>
              </w:rPr>
              <w:t>848</w:t>
            </w:r>
          </w:hyperlink>
        </w:p>
        <w:p>
          <w:pPr>
            <w:pStyle w:val="Contents5"/>
            <w:tabs>
              <w:tab w:val="clear" w:pos="7892"/>
              <w:tab w:val="right" w:pos="9026" w:leader="dot"/>
            </w:tabs>
            <w:rPr/>
          </w:pPr>
          <w:hyperlink w:anchor="__RefHeading___Toc257198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ادّعت المطلّقة بائناً أنّها حامل مستندة إلیٰ وجود الأمارات</w:t>
            </w:r>
            <w:r>
              <w:rPr>
                <w:rStyle w:val="IndexLink"/>
                <w:rtl w:val="true"/>
              </w:rPr>
              <w:t>]</w:t>
              <w:tab/>
            </w:r>
            <w:r>
              <w:rPr>
                <w:rStyle w:val="IndexLink"/>
              </w:rPr>
              <w:t>848</w:t>
            </w:r>
          </w:hyperlink>
        </w:p>
        <w:p>
          <w:pPr>
            <w:pStyle w:val="Contents5"/>
            <w:tabs>
              <w:tab w:val="clear" w:pos="7892"/>
              <w:tab w:val="right" w:pos="9026" w:leader="dot"/>
            </w:tabs>
            <w:rPr/>
          </w:pPr>
          <w:hyperlink w:anchor="__RefHeading___Toc257198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لا تقدیر للنفقة شرعاً بل الضابط القیام بما تحتاج إلیه المرأة</w:t>
            </w:r>
            <w:r>
              <w:rPr>
                <w:rStyle w:val="IndexLink"/>
                <w:rtl w:val="true"/>
              </w:rPr>
              <w:t>]</w:t>
              <w:tab/>
            </w:r>
            <w:r>
              <w:rPr>
                <w:rStyle w:val="IndexLink"/>
              </w:rPr>
              <w:t>848</w:t>
            </w:r>
          </w:hyperlink>
        </w:p>
        <w:p>
          <w:pPr>
            <w:pStyle w:val="Contents5"/>
            <w:tabs>
              <w:tab w:val="clear" w:pos="7892"/>
              <w:tab w:val="right" w:pos="9026" w:leader="dot"/>
            </w:tabs>
            <w:rPr/>
          </w:pPr>
          <w:hyperlink w:anchor="__RefHeading___Toc257198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الظاهر أنّه من الإنفاق الذی تستحقّه الزوجة اجرة الحمّام عند الحاجة</w:t>
            </w:r>
            <w:r>
              <w:rPr>
                <w:rStyle w:val="IndexLink"/>
                <w:rtl w:val="true"/>
              </w:rPr>
              <w:t>]</w:t>
              <w:tab/>
            </w:r>
            <w:r>
              <w:rPr>
                <w:rStyle w:val="IndexLink"/>
              </w:rPr>
              <w:t>850</w:t>
            </w:r>
          </w:hyperlink>
        </w:p>
        <w:p>
          <w:pPr>
            <w:pStyle w:val="Contents5"/>
            <w:tabs>
              <w:tab w:val="clear" w:pos="7892"/>
              <w:tab w:val="right" w:pos="9026" w:leader="dot"/>
            </w:tabs>
            <w:rPr/>
          </w:pPr>
          <w:hyperlink w:anchor="__RefHeading___Toc257199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تملک الزوجة علی الزوج نفقة کلّ یوم من الطعام و الإدام و غیرهما ممّا یصرف</w:t>
            </w:r>
            <w:r>
              <w:rPr>
                <w:rStyle w:val="IndexLink"/>
                <w:rtl w:val="true"/>
              </w:rPr>
              <w:t>]</w:t>
              <w:tab/>
            </w:r>
            <w:r>
              <w:rPr>
                <w:rStyle w:val="IndexLink"/>
              </w:rPr>
              <w:t>850</w:t>
            </w:r>
          </w:hyperlink>
        </w:p>
        <w:p>
          <w:pPr>
            <w:pStyle w:val="Contents5"/>
            <w:tabs>
              <w:tab w:val="clear" w:pos="7892"/>
              <w:tab w:val="right" w:pos="9026" w:leader="dot"/>
            </w:tabs>
            <w:rPr/>
          </w:pPr>
          <w:hyperlink w:anchor="__RefHeading___Toc257199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لو دفعت إلیها نفقة أیّام کاسبوع أو شهر مثلًا و انقضت المدّة و لم تصرفها علیٰ نفسها</w:t>
            </w:r>
            <w:r>
              <w:rPr>
                <w:rStyle w:val="IndexLink"/>
                <w:rtl w:val="true"/>
              </w:rPr>
              <w:t>]</w:t>
              <w:tab/>
            </w:r>
            <w:r>
              <w:rPr>
                <w:rStyle w:val="IndexLink"/>
              </w:rPr>
              <w:t>850</w:t>
            </w:r>
          </w:hyperlink>
        </w:p>
        <w:p>
          <w:pPr>
            <w:pStyle w:val="Contents5"/>
            <w:tabs>
              <w:tab w:val="clear" w:pos="7892"/>
              <w:tab w:val="right" w:pos="9026" w:leader="dot"/>
            </w:tabs>
            <w:rPr/>
          </w:pPr>
          <w:hyperlink w:anchor="__RefHeading___Toc257199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کیفیّة الإنفاق بالطعام و الإدام</w:t>
            </w:r>
            <w:r>
              <w:rPr>
                <w:rStyle w:val="IndexLink"/>
                <w:rtl w:val="true"/>
              </w:rPr>
              <w:t xml:space="preserve">: </w:t>
            </w:r>
            <w:r>
              <w:rPr>
                <w:rStyle w:val="IndexLink"/>
                <w:rtl w:val="true"/>
              </w:rPr>
              <w:t>إمّا بمؤاکلتها مع الزوج فی بیته علی العادة</w:t>
            </w:r>
            <w:r>
              <w:rPr>
                <w:rStyle w:val="IndexLink"/>
                <w:rtl w:val="true"/>
              </w:rPr>
              <w:t>]</w:t>
              <w:tab/>
            </w:r>
            <w:r>
              <w:rPr>
                <w:rStyle w:val="IndexLink"/>
              </w:rPr>
              <w:t>851</w:t>
            </w:r>
          </w:hyperlink>
        </w:p>
        <w:p>
          <w:pPr>
            <w:pStyle w:val="Contents5"/>
            <w:tabs>
              <w:tab w:val="clear" w:pos="7892"/>
              <w:tab w:val="right" w:pos="9026" w:leader="dot"/>
            </w:tabs>
            <w:rPr/>
          </w:pPr>
          <w:hyperlink w:anchor="__RefHeading___Toc2571996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ما یدفع لها للطعام و الإدام</w:t>
            </w:r>
            <w:r>
              <w:rPr>
                <w:rStyle w:val="IndexLink"/>
                <w:rtl w:val="true"/>
              </w:rPr>
              <w:t>]</w:t>
              <w:tab/>
            </w:r>
            <w:r>
              <w:rPr>
                <w:rStyle w:val="IndexLink"/>
              </w:rPr>
              <w:t>851</w:t>
            </w:r>
          </w:hyperlink>
        </w:p>
        <w:p>
          <w:pPr>
            <w:pStyle w:val="Contents5"/>
            <w:tabs>
              <w:tab w:val="clear" w:pos="7892"/>
              <w:tab w:val="right" w:pos="9026" w:leader="dot"/>
            </w:tabs>
            <w:rPr/>
          </w:pPr>
          <w:hyperlink w:anchor="__RefHeading___Toc2571998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إذا تراضیا علیٰ بذل الثمن و قیمة الطعام و الإدام و تسلّمت</w:t>
            </w:r>
            <w:r>
              <w:rPr>
                <w:rStyle w:val="IndexLink"/>
                <w:rtl w:val="true"/>
              </w:rPr>
              <w:t>]</w:t>
              <w:tab/>
            </w:r>
            <w:r>
              <w:rPr>
                <w:rStyle w:val="IndexLink"/>
              </w:rPr>
              <w:t>851</w:t>
            </w:r>
          </w:hyperlink>
        </w:p>
        <w:p>
          <w:pPr>
            <w:pStyle w:val="Contents5"/>
            <w:tabs>
              <w:tab w:val="clear" w:pos="7892"/>
              <w:tab w:val="right" w:pos="9026" w:leader="dot"/>
            </w:tabs>
            <w:rPr/>
          </w:pPr>
          <w:hyperlink w:anchor="__RefHeading___Toc2572000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إنّما تستحقّ فی الکسوة علی الزوج أن یکسوها بما هو ملکه</w:t>
            </w:r>
            <w:r>
              <w:rPr>
                <w:rStyle w:val="IndexLink"/>
                <w:rtl w:val="true"/>
              </w:rPr>
              <w:t>]</w:t>
              <w:tab/>
            </w:r>
            <w:r>
              <w:rPr>
                <w:rStyle w:val="IndexLink"/>
              </w:rPr>
              <w:t>851</w:t>
            </w:r>
          </w:hyperlink>
        </w:p>
        <w:p>
          <w:pPr>
            <w:pStyle w:val="Contents5"/>
            <w:tabs>
              <w:tab w:val="clear" w:pos="7892"/>
              <w:tab w:val="right" w:pos="9026" w:leader="dot"/>
            </w:tabs>
            <w:rPr/>
          </w:pPr>
          <w:hyperlink w:anchor="__RefHeading___Toc2572002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إذا اختلف الزوجان فی الإنفاق و عدمه مع اتّفاقهما علی الاستحقاق</w:t>
            </w:r>
            <w:r>
              <w:rPr>
                <w:rStyle w:val="IndexLink"/>
                <w:rtl w:val="true"/>
              </w:rPr>
              <w:t>]</w:t>
              <w:tab/>
            </w:r>
            <w:r>
              <w:rPr>
                <w:rStyle w:val="IndexLink"/>
              </w:rPr>
              <w:t>851</w:t>
            </w:r>
          </w:hyperlink>
        </w:p>
        <w:p>
          <w:pPr>
            <w:pStyle w:val="Contents5"/>
            <w:tabs>
              <w:tab w:val="clear" w:pos="7892"/>
              <w:tab w:val="right" w:pos="9026" w:leader="dot"/>
            </w:tabs>
            <w:rPr/>
          </w:pPr>
          <w:hyperlink w:anchor="__RefHeading___Toc2572004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إذا کانت الزوجة حاملًا و وضعت، و قد طلّقت رجعیّاً و اختلفا فی زمان وقوع الطلاق</w:t>
            </w:r>
            <w:r>
              <w:rPr>
                <w:rStyle w:val="IndexLink"/>
                <w:rtl w:val="true"/>
              </w:rPr>
              <w:t>]</w:t>
              <w:tab/>
            </w:r>
            <w:r>
              <w:rPr>
                <w:rStyle w:val="IndexLink"/>
              </w:rPr>
              <w:t>852</w:t>
            </w:r>
          </w:hyperlink>
        </w:p>
        <w:p>
          <w:pPr>
            <w:pStyle w:val="Contents5"/>
            <w:tabs>
              <w:tab w:val="clear" w:pos="7892"/>
              <w:tab w:val="right" w:pos="9026" w:leader="dot"/>
            </w:tabs>
            <w:rPr/>
          </w:pPr>
          <w:hyperlink w:anchor="__RefHeading___Toc2572006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إذا طالبته بالإنفاق و ادّعی الإعسار و عدم الاقتدار، و لم تصدّقه بل ادّعت علیه الیسار</w:t>
            </w:r>
            <w:r>
              <w:rPr>
                <w:rStyle w:val="IndexLink"/>
                <w:rtl w:val="true"/>
              </w:rPr>
              <w:t>]</w:t>
              <w:tab/>
            </w:r>
            <w:r>
              <w:rPr>
                <w:rStyle w:val="IndexLink"/>
              </w:rPr>
              <w:t>852</w:t>
            </w:r>
          </w:hyperlink>
        </w:p>
        <w:p>
          <w:pPr>
            <w:pStyle w:val="Contents5"/>
            <w:tabs>
              <w:tab w:val="clear" w:pos="7892"/>
              <w:tab w:val="right" w:pos="9026" w:leader="dot"/>
            </w:tabs>
            <w:rPr/>
          </w:pPr>
          <w:hyperlink w:anchor="__RefHeading___Toc2572008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لا یشترط فی استحقاق الزوجة النفقة فقرها و احتیاجها</w:t>
            </w:r>
            <w:r>
              <w:rPr>
                <w:rStyle w:val="IndexLink"/>
                <w:rtl w:val="true"/>
              </w:rPr>
              <w:t>]</w:t>
              <w:tab/>
            </w:r>
            <w:r>
              <w:rPr>
                <w:rStyle w:val="IndexLink"/>
              </w:rPr>
              <w:t>852</w:t>
            </w:r>
          </w:hyperlink>
        </w:p>
        <w:p>
          <w:pPr>
            <w:pStyle w:val="Contents5"/>
            <w:tabs>
              <w:tab w:val="clear" w:pos="7892"/>
              <w:tab w:val="right" w:pos="9026" w:leader="dot"/>
            </w:tabs>
            <w:rPr/>
          </w:pPr>
          <w:hyperlink w:anchor="__RefHeading___Toc2572010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إذا لم یکن له مال یفی بنفقة نفسه و زوجته و أقاربه الواجبی النفقة</w:t>
            </w:r>
            <w:r>
              <w:rPr>
                <w:rStyle w:val="IndexLink"/>
                <w:rtl w:val="true"/>
              </w:rPr>
              <w:t>]</w:t>
              <w:tab/>
            </w:r>
            <w:r>
              <w:rPr>
                <w:rStyle w:val="IndexLink"/>
              </w:rPr>
              <w:t>852</w:t>
            </w:r>
          </w:hyperlink>
        </w:p>
        <w:p>
          <w:pPr>
            <w:pStyle w:val="Contents4"/>
            <w:tabs>
              <w:tab w:val="clear" w:pos="8176"/>
              <w:tab w:val="right" w:pos="9026" w:leader="dot"/>
            </w:tabs>
            <w:rPr/>
          </w:pPr>
          <w:hyperlink w:anchor="__RefHeading___Toc2572012_3650668749">
            <w:r>
              <w:rPr>
                <w:webHidden/>
                <w:rStyle w:val="IndexLink"/>
                <w:rtl w:val="true"/>
              </w:rPr>
              <w:t>[</w:t>
            </w:r>
            <w:r>
              <w:rPr>
                <w:rStyle w:val="IndexLink"/>
                <w:rtl w:val="true"/>
              </w:rPr>
              <w:t>القول فی نفقة الأقارب</w:t>
            </w:r>
            <w:r>
              <w:rPr>
                <w:rStyle w:val="IndexLink"/>
                <w:rtl w:val="true"/>
              </w:rPr>
              <w:t>]</w:t>
              <w:tab/>
            </w:r>
            <w:r>
              <w:rPr>
                <w:rStyle w:val="IndexLink"/>
              </w:rPr>
              <w:t>852</w:t>
            </w:r>
          </w:hyperlink>
        </w:p>
        <w:p>
          <w:pPr>
            <w:pStyle w:val="Contents5"/>
            <w:tabs>
              <w:tab w:val="clear" w:pos="7892"/>
              <w:tab w:val="right" w:pos="9026" w:leader="dot"/>
            </w:tabs>
            <w:rPr/>
          </w:pPr>
          <w:hyperlink w:anchor="__RefHeading___Toc2572014_3650668749">
            <w:r>
              <w:rPr>
                <w:webHidden/>
                <w:rStyle w:val="IndexLink"/>
                <w:rtl w:val="true"/>
              </w:rPr>
              <w:t>اشارة</w:t>
            </w:r>
            <w:r>
              <w:rPr>
                <w:rStyle w:val="IndexLink"/>
                <w:rtl w:val="true"/>
              </w:rPr>
              <w:tab/>
            </w:r>
            <w:r>
              <w:rPr>
                <w:rStyle w:val="IndexLink"/>
              </w:rPr>
              <w:t>852</w:t>
            </w:r>
          </w:hyperlink>
        </w:p>
        <w:p>
          <w:pPr>
            <w:pStyle w:val="Contents5"/>
            <w:tabs>
              <w:tab w:val="clear" w:pos="7892"/>
              <w:tab w:val="right" w:pos="9026" w:leader="dot"/>
            </w:tabs>
            <w:rPr/>
          </w:pPr>
          <w:hyperlink w:anchor="__RefHeading___Toc257201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یجب الإنفاق علی الأبوین و آبائهما و أُمّهاتهما و إن علوا</w:t>
            </w:r>
            <w:r>
              <w:rPr>
                <w:rStyle w:val="IndexLink"/>
                <w:rtl w:val="true"/>
              </w:rPr>
              <w:t>]</w:t>
              <w:tab/>
            </w:r>
            <w:r>
              <w:rPr>
                <w:rStyle w:val="IndexLink"/>
              </w:rPr>
              <w:t>852</w:t>
            </w:r>
          </w:hyperlink>
        </w:p>
        <w:p>
          <w:pPr>
            <w:pStyle w:val="Contents5"/>
            <w:tabs>
              <w:tab w:val="clear" w:pos="7892"/>
              <w:tab w:val="right" w:pos="9026" w:leader="dot"/>
            </w:tabs>
            <w:rPr/>
          </w:pPr>
          <w:hyperlink w:anchor="__RefHeading___Toc257201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یشترط فی وجوب الإنفاق علی القریب فقره و احتیاجه</w:t>
            </w:r>
            <w:r>
              <w:rPr>
                <w:rStyle w:val="IndexLink"/>
                <w:rtl w:val="true"/>
              </w:rPr>
              <w:t>]</w:t>
              <w:tab/>
            </w:r>
            <w:r>
              <w:rPr>
                <w:rStyle w:val="IndexLink"/>
              </w:rPr>
              <w:t>852</w:t>
            </w:r>
          </w:hyperlink>
        </w:p>
        <w:p>
          <w:pPr>
            <w:pStyle w:val="Contents5"/>
            <w:tabs>
              <w:tab w:val="clear" w:pos="7892"/>
              <w:tab w:val="right" w:pos="9026" w:leader="dot"/>
            </w:tabs>
            <w:rPr/>
          </w:pPr>
          <w:hyperlink w:anchor="__RefHeading___Toc257202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أمکن للمرأة التزویج بمن یلیق بها و یقوم بنفقتها دائماً أو منقطعاً</w:t>
            </w:r>
            <w:r>
              <w:rPr>
                <w:rStyle w:val="IndexLink"/>
                <w:rtl w:val="true"/>
              </w:rPr>
              <w:t>]</w:t>
              <w:tab/>
            </w:r>
            <w:r>
              <w:rPr>
                <w:rStyle w:val="IndexLink"/>
              </w:rPr>
              <w:t>853</w:t>
            </w:r>
          </w:hyperlink>
        </w:p>
        <w:p>
          <w:pPr>
            <w:pStyle w:val="Contents5"/>
            <w:tabs>
              <w:tab w:val="clear" w:pos="7892"/>
              <w:tab w:val="right" w:pos="9026" w:leader="dot"/>
            </w:tabs>
            <w:rPr/>
          </w:pPr>
          <w:hyperlink w:anchor="__RefHeading___Toc257202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یشترط فی وجوب الإنفاق علی القریب قدرة المنفق علیٰ نفقته</w:t>
            </w:r>
            <w:r>
              <w:rPr>
                <w:rStyle w:val="IndexLink"/>
                <w:rtl w:val="true"/>
              </w:rPr>
              <w:t>]</w:t>
              <w:tab/>
            </w:r>
            <w:r>
              <w:rPr>
                <w:rStyle w:val="IndexLink"/>
              </w:rPr>
              <w:t>853</w:t>
            </w:r>
          </w:hyperlink>
        </w:p>
        <w:p>
          <w:pPr>
            <w:pStyle w:val="Contents5"/>
            <w:tabs>
              <w:tab w:val="clear" w:pos="7892"/>
              <w:tab w:val="right" w:pos="9026" w:leader="dot"/>
            </w:tabs>
            <w:rPr/>
          </w:pPr>
          <w:hyperlink w:anchor="__RefHeading___Toc257202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المراد بنفقة نفسه المقدّمة علیٰ نفقة زوجته مقدار قوت یومه و لیلته و کسوته</w:t>
            </w:r>
            <w:r>
              <w:rPr>
                <w:rStyle w:val="IndexLink"/>
                <w:rtl w:val="true"/>
              </w:rPr>
              <w:t>]</w:t>
              <w:tab/>
            </w:r>
            <w:r>
              <w:rPr>
                <w:rStyle w:val="IndexLink"/>
              </w:rPr>
              <w:t>853</w:t>
            </w:r>
          </w:hyperlink>
        </w:p>
        <w:p>
          <w:pPr>
            <w:pStyle w:val="Contents5"/>
            <w:tabs>
              <w:tab w:val="clear" w:pos="7892"/>
              <w:tab w:val="right" w:pos="9026" w:leader="dot"/>
            </w:tabs>
            <w:rPr/>
          </w:pPr>
          <w:hyperlink w:anchor="__RefHeading___Toc2572026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زاد عن نفقته شی‌ء و لم تکن عنده زوجة</w:t>
            </w:r>
            <w:r>
              <w:rPr>
                <w:rStyle w:val="IndexLink"/>
                <w:rtl w:val="true"/>
              </w:rPr>
              <w:t>]</w:t>
              <w:tab/>
            </w:r>
            <w:r>
              <w:rPr>
                <w:rStyle w:val="IndexLink"/>
              </w:rPr>
              <w:t>853</w:t>
            </w:r>
          </w:hyperlink>
        </w:p>
        <w:p>
          <w:pPr>
            <w:pStyle w:val="Contents5"/>
            <w:tabs>
              <w:tab w:val="clear" w:pos="7892"/>
              <w:tab w:val="right" w:pos="9026" w:leader="dot"/>
            </w:tabs>
            <w:rPr/>
          </w:pPr>
          <w:hyperlink w:anchor="__RefHeading___Toc2572028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لم یکن عنده ما ینفقه علیٰ نفسه</w:t>
            </w:r>
            <w:r>
              <w:rPr>
                <w:rStyle w:val="IndexLink"/>
                <w:rtl w:val="true"/>
              </w:rPr>
              <w:t>]</w:t>
              <w:tab/>
            </w:r>
            <w:r>
              <w:rPr>
                <w:rStyle w:val="IndexLink"/>
              </w:rPr>
              <w:t>854</w:t>
            </w:r>
          </w:hyperlink>
        </w:p>
        <w:p>
          <w:pPr>
            <w:pStyle w:val="Contents5"/>
            <w:tabs>
              <w:tab w:val="clear" w:pos="7892"/>
              <w:tab w:val="right" w:pos="9026" w:leader="dot"/>
            </w:tabs>
            <w:rPr/>
          </w:pPr>
          <w:hyperlink w:anchor="__RefHeading___Toc2572030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لا تقدیر فی نفقة الأقارب، بل الواجب قدر الکفایة</w:t>
            </w:r>
            <w:r>
              <w:rPr>
                <w:rStyle w:val="IndexLink"/>
                <w:rtl w:val="true"/>
              </w:rPr>
              <w:t>]</w:t>
              <w:tab/>
            </w:r>
            <w:r>
              <w:rPr>
                <w:rStyle w:val="IndexLink"/>
              </w:rPr>
              <w:t>854</w:t>
            </w:r>
          </w:hyperlink>
        </w:p>
        <w:p>
          <w:pPr>
            <w:pStyle w:val="Contents5"/>
            <w:tabs>
              <w:tab w:val="clear" w:pos="7892"/>
              <w:tab w:val="right" w:pos="9026" w:leader="dot"/>
            </w:tabs>
            <w:rPr/>
          </w:pPr>
          <w:hyperlink w:anchor="__RefHeading___Toc2572032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لا یجب إعفاف من وجبت نفقته</w:t>
            </w:r>
            <w:r>
              <w:rPr>
                <w:rStyle w:val="IndexLink"/>
                <w:rtl w:val="true"/>
              </w:rPr>
              <w:t>]</w:t>
              <w:tab/>
            </w:r>
            <w:r>
              <w:rPr>
                <w:rStyle w:val="IndexLink"/>
              </w:rPr>
              <w:t>854</w:t>
            </w:r>
          </w:hyperlink>
        </w:p>
        <w:p>
          <w:pPr>
            <w:pStyle w:val="Contents5"/>
            <w:tabs>
              <w:tab w:val="clear" w:pos="7892"/>
              <w:tab w:val="right" w:pos="9026" w:leader="dot"/>
            </w:tabs>
            <w:rPr/>
          </w:pPr>
          <w:hyperlink w:anchor="__RefHeading___Toc2572034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یجب علی الولد نفقة والده دون أولاده</w:t>
            </w:r>
            <w:r>
              <w:rPr>
                <w:rStyle w:val="IndexLink"/>
                <w:rtl w:val="true"/>
              </w:rPr>
              <w:t>]</w:t>
              <w:tab/>
            </w:r>
            <w:r>
              <w:rPr>
                <w:rStyle w:val="IndexLink"/>
              </w:rPr>
              <w:t>854</w:t>
            </w:r>
          </w:hyperlink>
        </w:p>
        <w:p>
          <w:pPr>
            <w:pStyle w:val="Contents5"/>
            <w:tabs>
              <w:tab w:val="clear" w:pos="7892"/>
              <w:tab w:val="right" w:pos="9026" w:leader="dot"/>
            </w:tabs>
            <w:rPr/>
          </w:pPr>
          <w:hyperlink w:anchor="__RefHeading___Toc2572036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لا تقضیٰ نفقة الأقارب و لا یتدارکه لو فات فی وقته و زمانه</w:t>
            </w:r>
            <w:r>
              <w:rPr>
                <w:rStyle w:val="IndexLink"/>
                <w:rtl w:val="true"/>
              </w:rPr>
              <w:t>]</w:t>
              <w:tab/>
            </w:r>
            <w:r>
              <w:rPr>
                <w:rStyle w:val="IndexLink"/>
              </w:rPr>
              <w:t>854</w:t>
            </w:r>
          </w:hyperlink>
        </w:p>
        <w:p>
          <w:pPr>
            <w:pStyle w:val="Contents5"/>
            <w:tabs>
              <w:tab w:val="clear" w:pos="7892"/>
              <w:tab w:val="right" w:pos="9026" w:leader="dot"/>
            </w:tabs>
            <w:rPr/>
          </w:pPr>
          <w:hyperlink w:anchor="__RefHeading___Toc2572038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قد ظهر ممّا مرّ</w:t>
            </w:r>
            <w:r>
              <w:rPr>
                <w:rStyle w:val="IndexLink"/>
                <w:rtl w:val="true"/>
              </w:rPr>
              <w:t xml:space="preserve">: </w:t>
            </w:r>
            <w:r>
              <w:rPr>
                <w:rStyle w:val="IndexLink"/>
                <w:rtl w:val="true"/>
              </w:rPr>
              <w:t>أنّ وجوب الإنفاق ثابت بشروطه فی عمودی النسب</w:t>
            </w:r>
            <w:r>
              <w:rPr>
                <w:rStyle w:val="IndexLink"/>
                <w:rtl w:val="true"/>
              </w:rPr>
              <w:t>]</w:t>
              <w:tab/>
            </w:r>
            <w:r>
              <w:rPr>
                <w:rStyle w:val="IndexLink"/>
              </w:rPr>
              <w:t>855</w:t>
            </w:r>
          </w:hyperlink>
        </w:p>
        <w:p>
          <w:pPr>
            <w:pStyle w:val="Contents5"/>
            <w:tabs>
              <w:tab w:val="clear" w:pos="7892"/>
              <w:tab w:val="right" w:pos="9026" w:leader="dot"/>
            </w:tabs>
            <w:rPr/>
          </w:pPr>
          <w:hyperlink w:anchor="__RefHeading___Toc2572040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لو کان له ولدان و لم یقدر إلّا علیٰ نفقة أحدهما</w:t>
            </w:r>
            <w:r>
              <w:rPr>
                <w:rStyle w:val="IndexLink"/>
                <w:rtl w:val="true"/>
              </w:rPr>
              <w:t>]</w:t>
              <w:tab/>
            </w:r>
            <w:r>
              <w:rPr>
                <w:rStyle w:val="IndexLink"/>
              </w:rPr>
              <w:t>856</w:t>
            </w:r>
          </w:hyperlink>
        </w:p>
        <w:p>
          <w:pPr>
            <w:pStyle w:val="Contents5"/>
            <w:tabs>
              <w:tab w:val="clear" w:pos="7892"/>
              <w:tab w:val="right" w:pos="9026" w:leader="dot"/>
            </w:tabs>
            <w:rPr/>
          </w:pPr>
          <w:hyperlink w:anchor="__RefHeading___Toc2572042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لو امتنع من وجبت علیه النفقة عن الإنفاق، أجبره الحاکم</w:t>
            </w:r>
            <w:r>
              <w:rPr>
                <w:rStyle w:val="IndexLink"/>
                <w:rtl w:val="true"/>
              </w:rPr>
              <w:t>]</w:t>
              <w:tab/>
            </w:r>
            <w:r>
              <w:rPr>
                <w:rStyle w:val="IndexLink"/>
              </w:rPr>
              <w:t>856</w:t>
            </w:r>
          </w:hyperlink>
        </w:p>
        <w:p>
          <w:pPr>
            <w:pStyle w:val="Contents4"/>
            <w:tabs>
              <w:tab w:val="clear" w:pos="8176"/>
              <w:tab w:val="right" w:pos="9026" w:leader="dot"/>
            </w:tabs>
            <w:rPr/>
          </w:pPr>
          <w:hyperlink w:anchor="__RefHeading___Toc2572044_3650668749">
            <w:r>
              <w:rPr>
                <w:webHidden/>
                <w:rStyle w:val="IndexLink"/>
                <w:rtl w:val="true"/>
              </w:rPr>
              <w:t>[</w:t>
            </w:r>
            <w:r>
              <w:rPr>
                <w:rStyle w:val="IndexLink"/>
                <w:rtl w:val="true"/>
              </w:rPr>
              <w:t>القول فی الملک</w:t>
            </w:r>
            <w:r>
              <w:rPr>
                <w:rStyle w:val="IndexLink"/>
                <w:rtl w:val="true"/>
              </w:rPr>
              <w:t>]</w:t>
              <w:tab/>
            </w:r>
            <w:r>
              <w:rPr>
                <w:rStyle w:val="IndexLink"/>
              </w:rPr>
              <w:t>856</w:t>
            </w:r>
          </w:hyperlink>
        </w:p>
        <w:p>
          <w:pPr>
            <w:pStyle w:val="Contents5"/>
            <w:tabs>
              <w:tab w:val="clear" w:pos="7892"/>
              <w:tab w:val="right" w:pos="9026" w:leader="dot"/>
            </w:tabs>
            <w:rPr/>
          </w:pPr>
          <w:hyperlink w:anchor="__RefHeading___Toc2572046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تجب نفقة المملوک؛ رقیقاً کان أو غیره، حتّی النحل و دود القزّ علیٰ مالکه</w:t>
            </w:r>
            <w:r>
              <w:rPr>
                <w:rStyle w:val="IndexLink"/>
                <w:rtl w:val="true"/>
              </w:rPr>
              <w:t>]</w:t>
              <w:tab/>
            </w:r>
            <w:r>
              <w:rPr>
                <w:rStyle w:val="IndexLink"/>
              </w:rPr>
              <w:t>856</w:t>
            </w:r>
          </w:hyperlink>
        </w:p>
        <w:p>
          <w:pPr>
            <w:pStyle w:val="Contents5"/>
            <w:tabs>
              <w:tab w:val="clear" w:pos="7892"/>
              <w:tab w:val="right" w:pos="9026" w:leader="dot"/>
            </w:tabs>
            <w:rPr/>
          </w:pPr>
          <w:hyperlink w:anchor="__RefHeading___Toc2572048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لو امتنع المولی من الإنفاق علیٰ رقیقه اجبر علیٰ بیعه</w:t>
            </w:r>
            <w:r>
              <w:rPr>
                <w:rStyle w:val="IndexLink"/>
                <w:rtl w:val="true"/>
              </w:rPr>
              <w:t>]</w:t>
              <w:tab/>
            </w:r>
            <w:r>
              <w:rPr>
                <w:rStyle w:val="IndexLink"/>
              </w:rPr>
              <w:t>857</w:t>
            </w:r>
          </w:hyperlink>
        </w:p>
        <w:p>
          <w:pPr>
            <w:pStyle w:val="Contents2"/>
            <w:tabs>
              <w:tab w:val="clear" w:pos="8743"/>
              <w:tab w:val="right" w:pos="9026" w:leader="dot"/>
            </w:tabs>
            <w:rPr/>
          </w:pPr>
          <w:hyperlink w:anchor="__RefHeading___Toc2572050_3650668749">
            <w:r>
              <w:rPr>
                <w:webHidden/>
                <w:rStyle w:val="IndexLink"/>
                <w:rtl w:val="true"/>
              </w:rPr>
              <w:t>[</w:t>
            </w:r>
            <w:r>
              <w:rPr>
                <w:rStyle w:val="IndexLink"/>
                <w:rtl w:val="true"/>
              </w:rPr>
              <w:t>کتاب الطلاق</w:t>
            </w:r>
            <w:r>
              <w:rPr>
                <w:rStyle w:val="IndexLink"/>
                <w:rtl w:val="true"/>
              </w:rPr>
              <w:t>]</w:t>
              <w:tab/>
            </w:r>
            <w:r>
              <w:rPr>
                <w:rStyle w:val="IndexLink"/>
              </w:rPr>
              <w:t>858</w:t>
            </w:r>
          </w:hyperlink>
        </w:p>
        <w:p>
          <w:pPr>
            <w:pStyle w:val="Contents3"/>
            <w:tabs>
              <w:tab w:val="clear" w:pos="8459"/>
              <w:tab w:val="right" w:pos="9026" w:leader="dot"/>
            </w:tabs>
            <w:rPr/>
          </w:pPr>
          <w:hyperlink w:anchor="__RefHeading___Toc2572052_3650668749">
            <w:r>
              <w:rPr>
                <w:webHidden/>
                <w:rStyle w:val="IndexLink"/>
                <w:rtl w:val="true"/>
              </w:rPr>
              <w:t>اشارة</w:t>
            </w:r>
            <w:r>
              <w:rPr>
                <w:rStyle w:val="IndexLink"/>
                <w:rtl w:val="true"/>
              </w:rPr>
              <w:tab/>
            </w:r>
            <w:r>
              <w:rPr>
                <w:rStyle w:val="IndexLink"/>
              </w:rPr>
              <w:t>858</w:t>
            </w:r>
          </w:hyperlink>
        </w:p>
        <w:p>
          <w:pPr>
            <w:pStyle w:val="Contents3"/>
            <w:tabs>
              <w:tab w:val="clear" w:pos="8459"/>
              <w:tab w:val="right" w:pos="9026" w:leader="dot"/>
            </w:tabs>
            <w:rPr/>
          </w:pPr>
          <w:hyperlink w:anchor="__RefHeading___Toc2572054_3650668749">
            <w:r>
              <w:rPr>
                <w:webHidden/>
                <w:rStyle w:val="IndexLink"/>
                <w:rtl w:val="true"/>
              </w:rPr>
              <w:t>[</w:t>
            </w:r>
            <w:r>
              <w:rPr>
                <w:rStyle w:val="IndexLink"/>
                <w:rtl w:val="true"/>
              </w:rPr>
              <w:t>القول فی شروطه</w:t>
            </w:r>
            <w:r>
              <w:rPr>
                <w:rStyle w:val="IndexLink"/>
                <w:rtl w:val="true"/>
              </w:rPr>
              <w:t>]</w:t>
              <w:tab/>
            </w:r>
            <w:r>
              <w:rPr>
                <w:rStyle w:val="IndexLink"/>
              </w:rPr>
              <w:t>858</w:t>
            </w:r>
          </w:hyperlink>
        </w:p>
        <w:p>
          <w:pPr>
            <w:pStyle w:val="Contents4"/>
            <w:tabs>
              <w:tab w:val="clear" w:pos="8176"/>
              <w:tab w:val="right" w:pos="9026" w:leader="dot"/>
            </w:tabs>
            <w:rPr/>
          </w:pPr>
          <w:hyperlink w:anchor="__RefHeading___Toc2572056_3650668749">
            <w:r>
              <w:rPr>
                <w:webHidden/>
                <w:rStyle w:val="IndexLink"/>
                <w:rtl w:val="true"/>
              </w:rPr>
              <w:t>اشارة</w:t>
            </w:r>
            <w:r>
              <w:rPr>
                <w:rStyle w:val="IndexLink"/>
                <w:rtl w:val="true"/>
              </w:rPr>
              <w:tab/>
            </w:r>
            <w:r>
              <w:rPr>
                <w:rStyle w:val="IndexLink"/>
              </w:rPr>
              <w:t>858</w:t>
            </w:r>
          </w:hyperlink>
        </w:p>
        <w:p>
          <w:pPr>
            <w:pStyle w:val="Contents4"/>
            <w:tabs>
              <w:tab w:val="clear" w:pos="8176"/>
              <w:tab w:val="right" w:pos="9026" w:leader="dot"/>
            </w:tabs>
            <w:rPr/>
          </w:pPr>
          <w:hyperlink w:anchor="__RefHeading___Toc257205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یشترط فی الزوج المطلّق</w:t>
            </w:r>
            <w:r>
              <w:rPr>
                <w:rStyle w:val="IndexLink"/>
                <w:rtl w:val="true"/>
              </w:rPr>
              <w:t xml:space="preserve">: </w:t>
            </w:r>
            <w:r>
              <w:rPr>
                <w:rStyle w:val="IndexLink"/>
                <w:rtl w:val="true"/>
              </w:rPr>
              <w:t>البلوغ و العقل</w:t>
            </w:r>
            <w:r>
              <w:rPr>
                <w:rStyle w:val="IndexLink"/>
                <w:rtl w:val="true"/>
              </w:rPr>
              <w:t>]</w:t>
              <w:tab/>
            </w:r>
            <w:r>
              <w:rPr>
                <w:rStyle w:val="IndexLink"/>
              </w:rPr>
              <w:t>858</w:t>
            </w:r>
          </w:hyperlink>
        </w:p>
        <w:p>
          <w:pPr>
            <w:pStyle w:val="Contents4"/>
            <w:tabs>
              <w:tab w:val="clear" w:pos="8176"/>
              <w:tab w:val="right" w:pos="9026" w:leader="dot"/>
            </w:tabs>
            <w:rPr/>
          </w:pPr>
          <w:hyperlink w:anchor="__RefHeading___Toc257206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کما لا یصحّ طلاق الصبیّ بالمباشرة و التوکیل، کذلک لا یصحّ طلاق ولیّه عنه</w:t>
            </w:r>
            <w:r>
              <w:rPr>
                <w:rStyle w:val="IndexLink"/>
                <w:rtl w:val="true"/>
              </w:rPr>
              <w:t>]</w:t>
              <w:tab/>
            </w:r>
            <w:r>
              <w:rPr>
                <w:rStyle w:val="IndexLink"/>
              </w:rPr>
              <w:t>858</w:t>
            </w:r>
          </w:hyperlink>
        </w:p>
        <w:p>
          <w:pPr>
            <w:pStyle w:val="Contents4"/>
            <w:tabs>
              <w:tab w:val="clear" w:pos="8176"/>
              <w:tab w:val="right" w:pos="9026" w:leader="dot"/>
            </w:tabs>
            <w:rPr/>
          </w:pPr>
          <w:hyperlink w:anchor="__RefHeading___Toc257206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و یشترط فی الزوج المطلّق</w:t>
            </w:r>
            <w:r>
              <w:rPr>
                <w:rStyle w:val="IndexLink"/>
                <w:rtl w:val="true"/>
              </w:rPr>
              <w:t xml:space="preserve">: </w:t>
            </w:r>
            <w:r>
              <w:rPr>
                <w:rStyle w:val="IndexLink"/>
                <w:rtl w:val="true"/>
              </w:rPr>
              <w:t>القصد و الاختیار</w:t>
            </w:r>
            <w:r>
              <w:rPr>
                <w:rStyle w:val="IndexLink"/>
                <w:rtl w:val="true"/>
              </w:rPr>
              <w:t>]</w:t>
              <w:tab/>
            </w:r>
            <w:r>
              <w:rPr>
                <w:rStyle w:val="IndexLink"/>
              </w:rPr>
              <w:t>858</w:t>
            </w:r>
          </w:hyperlink>
        </w:p>
        <w:p>
          <w:pPr>
            <w:pStyle w:val="Contents4"/>
            <w:tabs>
              <w:tab w:val="clear" w:pos="8176"/>
              <w:tab w:val="right" w:pos="9026" w:leader="dot"/>
            </w:tabs>
            <w:rPr/>
          </w:pPr>
          <w:hyperlink w:anchor="__RefHeading___Toc257206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الإکراه هو حمل الغیر علیٰ إیجاد ما یکره إیجاده</w:t>
            </w:r>
            <w:r>
              <w:rPr>
                <w:rStyle w:val="IndexLink"/>
                <w:rtl w:val="true"/>
              </w:rPr>
              <w:t>]</w:t>
              <w:tab/>
            </w:r>
            <w:r>
              <w:rPr>
                <w:rStyle w:val="IndexLink"/>
              </w:rPr>
              <w:t>859</w:t>
            </w:r>
          </w:hyperlink>
        </w:p>
        <w:p>
          <w:pPr>
            <w:pStyle w:val="Contents4"/>
            <w:tabs>
              <w:tab w:val="clear" w:pos="8176"/>
              <w:tab w:val="right" w:pos="9026" w:leader="dot"/>
            </w:tabs>
            <w:rPr/>
          </w:pPr>
          <w:hyperlink w:anchor="__RefHeading___Toc257206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قدر المأمور علیٰ دفع ضرر الآمر ببعض التفصّیات ممّا لیس فیه ضرر علیه</w:t>
            </w:r>
            <w:r>
              <w:rPr>
                <w:rStyle w:val="IndexLink"/>
                <w:rtl w:val="true"/>
              </w:rPr>
              <w:t>]</w:t>
              <w:tab/>
            </w:r>
            <w:r>
              <w:rPr>
                <w:rStyle w:val="IndexLink"/>
              </w:rPr>
              <w:t>859</w:t>
            </w:r>
          </w:hyperlink>
        </w:p>
        <w:p>
          <w:pPr>
            <w:pStyle w:val="Contents4"/>
            <w:tabs>
              <w:tab w:val="clear" w:pos="8176"/>
              <w:tab w:val="right" w:pos="9026" w:leader="dot"/>
            </w:tabs>
            <w:rPr/>
          </w:pPr>
          <w:hyperlink w:anchor="__RefHeading___Toc257206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أکرهه علیٰ طلاق إحدیٰ زوجتیه فطلّق إحداهما المعیّنة وقع مکرهاً علیه</w:t>
            </w:r>
            <w:r>
              <w:rPr>
                <w:rStyle w:val="IndexLink"/>
                <w:rtl w:val="true"/>
              </w:rPr>
              <w:t>]</w:t>
              <w:tab/>
            </w:r>
            <w:r>
              <w:rPr>
                <w:rStyle w:val="IndexLink"/>
              </w:rPr>
              <w:t>859</w:t>
            </w:r>
          </w:hyperlink>
        </w:p>
        <w:p>
          <w:pPr>
            <w:pStyle w:val="Contents4"/>
            <w:tabs>
              <w:tab w:val="clear" w:pos="8176"/>
              <w:tab w:val="right" w:pos="9026" w:leader="dot"/>
            </w:tabs>
            <w:rPr/>
          </w:pPr>
          <w:hyperlink w:anchor="__RefHeading___Toc2572070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أکرهه علیٰ أن یطلّق زوجته ثلاث طلقات بینهما رجعتان فطلّقها واحدة أو اثنین</w:t>
            </w:r>
            <w:r>
              <w:rPr>
                <w:rStyle w:val="IndexLink"/>
                <w:rtl w:val="true"/>
              </w:rPr>
              <w:t>]</w:t>
              <w:tab/>
            </w:r>
            <w:r>
              <w:rPr>
                <w:rStyle w:val="IndexLink"/>
              </w:rPr>
              <w:t>859</w:t>
            </w:r>
          </w:hyperlink>
        </w:p>
        <w:p>
          <w:pPr>
            <w:pStyle w:val="Contents4"/>
            <w:tabs>
              <w:tab w:val="clear" w:pos="8176"/>
              <w:tab w:val="right" w:pos="9026" w:leader="dot"/>
            </w:tabs>
            <w:rPr/>
          </w:pPr>
          <w:hyperlink w:anchor="__RefHeading___Toc2572072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لو أوقع الطلاق عن إکراه ثمّ تعقّبه الرضا، لم یفد ذلک فی صحّته</w:t>
            </w:r>
            <w:r>
              <w:rPr>
                <w:rStyle w:val="IndexLink"/>
                <w:rtl w:val="true"/>
              </w:rPr>
              <w:t>]</w:t>
              <w:tab/>
            </w:r>
            <w:r>
              <w:rPr>
                <w:rStyle w:val="IndexLink"/>
              </w:rPr>
              <w:t>859</w:t>
            </w:r>
          </w:hyperlink>
        </w:p>
        <w:p>
          <w:pPr>
            <w:pStyle w:val="Contents4"/>
            <w:tabs>
              <w:tab w:val="clear" w:pos="8176"/>
              <w:tab w:val="right" w:pos="9026" w:leader="dot"/>
            </w:tabs>
            <w:rPr/>
          </w:pPr>
          <w:hyperlink w:anchor="__RefHeading___Toc2572074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لا یعتبر فی الطلاق اطلاع الزوجة علیه فضلًا عن رضاها به</w:t>
            </w:r>
            <w:r>
              <w:rPr>
                <w:rStyle w:val="IndexLink"/>
                <w:rtl w:val="true"/>
              </w:rPr>
              <w:t>]</w:t>
              <w:tab/>
            </w:r>
            <w:r>
              <w:rPr>
                <w:rStyle w:val="IndexLink"/>
              </w:rPr>
              <w:t>860</w:t>
            </w:r>
          </w:hyperlink>
        </w:p>
        <w:p>
          <w:pPr>
            <w:pStyle w:val="Contents4"/>
            <w:tabs>
              <w:tab w:val="clear" w:pos="8176"/>
              <w:tab w:val="right" w:pos="9026" w:leader="dot"/>
            </w:tabs>
            <w:rPr/>
          </w:pPr>
          <w:hyperlink w:anchor="__RefHeading___Toc2572076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یشترط فی المطلّقة أن تکون زوجة دائمة فلا یقع الطلاق علی المتمتّع بها</w:t>
            </w:r>
            <w:r>
              <w:rPr>
                <w:rStyle w:val="IndexLink"/>
                <w:rtl w:val="true"/>
              </w:rPr>
              <w:t>]</w:t>
              <w:tab/>
            </w:r>
            <w:r>
              <w:rPr>
                <w:rStyle w:val="IndexLink"/>
              </w:rPr>
              <w:t>860</w:t>
            </w:r>
          </w:hyperlink>
        </w:p>
        <w:p>
          <w:pPr>
            <w:pStyle w:val="Contents4"/>
            <w:tabs>
              <w:tab w:val="clear" w:pos="8176"/>
              <w:tab w:val="right" w:pos="9026" w:leader="dot"/>
            </w:tabs>
            <w:rPr/>
          </w:pPr>
          <w:hyperlink w:anchor="__RefHeading___Toc2572078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إنّما یشترط خلوّ المطلّقة من الحیض فی المدخول بها الحائل</w:t>
            </w:r>
            <w:r>
              <w:rPr>
                <w:rStyle w:val="IndexLink"/>
                <w:rtl w:val="true"/>
              </w:rPr>
              <w:t>]</w:t>
              <w:tab/>
            </w:r>
            <w:r>
              <w:rPr>
                <w:rStyle w:val="IndexLink"/>
              </w:rPr>
              <w:t>860</w:t>
            </w:r>
          </w:hyperlink>
        </w:p>
        <w:p>
          <w:pPr>
            <w:pStyle w:val="Contents4"/>
            <w:tabs>
              <w:tab w:val="clear" w:pos="8176"/>
              <w:tab w:val="right" w:pos="9026" w:leader="dot"/>
            </w:tabs>
            <w:rPr/>
          </w:pPr>
          <w:hyperlink w:anchor="__RefHeading___Toc2572080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إذا غاب الزوج، فإن خرج فی حال حیضها لم یجز طلاقها إلّا بعد مضیّ مدّة</w:t>
            </w:r>
            <w:r>
              <w:rPr>
                <w:rStyle w:val="IndexLink"/>
                <w:rtl w:val="true"/>
              </w:rPr>
              <w:t>]</w:t>
              <w:tab/>
            </w:r>
            <w:r>
              <w:rPr>
                <w:rStyle w:val="IndexLink"/>
              </w:rPr>
              <w:t>860</w:t>
            </w:r>
          </w:hyperlink>
        </w:p>
        <w:p>
          <w:pPr>
            <w:pStyle w:val="Contents4"/>
            <w:tabs>
              <w:tab w:val="clear" w:pos="8176"/>
              <w:tab w:val="right" w:pos="9026" w:leader="dot"/>
            </w:tabs>
            <w:rPr/>
          </w:pPr>
          <w:hyperlink w:anchor="__RefHeading___Toc2572082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الحاضر الذی یتعذّر أو یتعسّر علیه معرفة حال المرأة من حیث الطهر و الحیض کالغائب</w:t>
            </w:r>
            <w:r>
              <w:rPr>
                <w:rStyle w:val="IndexLink"/>
                <w:rtl w:val="true"/>
              </w:rPr>
              <w:t>]</w:t>
              <w:tab/>
            </w:r>
            <w:r>
              <w:rPr>
                <w:rStyle w:val="IndexLink"/>
              </w:rPr>
              <w:t>861</w:t>
            </w:r>
          </w:hyperlink>
        </w:p>
        <w:p>
          <w:pPr>
            <w:pStyle w:val="Contents4"/>
            <w:tabs>
              <w:tab w:val="clear" w:pos="8176"/>
              <w:tab w:val="right" w:pos="9026" w:leader="dot"/>
            </w:tabs>
            <w:rPr/>
          </w:pPr>
          <w:hyperlink w:anchor="__RefHeading___Toc2572084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یجوز الطلاق فی الطهر الذی واقعها فیه فی الیائسة و الصغیرة</w:t>
            </w:r>
            <w:r>
              <w:rPr>
                <w:rStyle w:val="IndexLink"/>
                <w:rtl w:val="true"/>
              </w:rPr>
              <w:t>]</w:t>
              <w:tab/>
            </w:r>
            <w:r>
              <w:rPr>
                <w:rStyle w:val="IndexLink"/>
              </w:rPr>
              <w:t>861</w:t>
            </w:r>
          </w:hyperlink>
        </w:p>
        <w:p>
          <w:pPr>
            <w:pStyle w:val="Contents4"/>
            <w:tabs>
              <w:tab w:val="clear" w:pos="8176"/>
              <w:tab w:val="right" w:pos="9026" w:leader="dot"/>
            </w:tabs>
            <w:rPr/>
          </w:pPr>
          <w:hyperlink w:anchor="__RefHeading___Toc2572086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لا یشترط فی تربّص ثلاثة أشهر فی المسترابة أن یکون اعتزاله عنها لأجل ذلک</w:t>
            </w:r>
            <w:r>
              <w:rPr>
                <w:rStyle w:val="IndexLink"/>
                <w:rtl w:val="true"/>
              </w:rPr>
              <w:t>]</w:t>
              <w:tab/>
            </w:r>
            <w:r>
              <w:rPr>
                <w:rStyle w:val="IndexLink"/>
              </w:rPr>
              <w:t>861</w:t>
            </w:r>
          </w:hyperlink>
        </w:p>
        <w:p>
          <w:pPr>
            <w:pStyle w:val="Contents4"/>
            <w:tabs>
              <w:tab w:val="clear" w:pos="8176"/>
              <w:tab w:val="right" w:pos="9026" w:leader="dot"/>
            </w:tabs>
            <w:rPr/>
          </w:pPr>
          <w:hyperlink w:anchor="__RefHeading___Toc2572088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لو واقعها فی حال الحیض لم یصحّ طلاقها فی الطهر الذی بعد تلک الحیضة</w:t>
            </w:r>
            <w:r>
              <w:rPr>
                <w:rStyle w:val="IndexLink"/>
                <w:rtl w:val="true"/>
              </w:rPr>
              <w:t>]</w:t>
              <w:tab/>
            </w:r>
            <w:r>
              <w:rPr>
                <w:rStyle w:val="IndexLink"/>
              </w:rPr>
              <w:t>861</w:t>
            </w:r>
          </w:hyperlink>
        </w:p>
        <w:p>
          <w:pPr>
            <w:pStyle w:val="Contents4"/>
            <w:tabs>
              <w:tab w:val="clear" w:pos="8176"/>
              <w:tab w:val="right" w:pos="9026" w:leader="dot"/>
            </w:tabs>
            <w:rPr/>
          </w:pPr>
          <w:hyperlink w:anchor="__RefHeading___Toc2572090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یشترط فی صحّة الطلاق تعیّن المطلّقة</w:t>
            </w:r>
            <w:r>
              <w:rPr>
                <w:rStyle w:val="IndexLink"/>
                <w:rtl w:val="true"/>
              </w:rPr>
              <w:t>]</w:t>
              <w:tab/>
            </w:r>
            <w:r>
              <w:rPr>
                <w:rStyle w:val="IndexLink"/>
              </w:rPr>
              <w:t>861</w:t>
            </w:r>
          </w:hyperlink>
        </w:p>
        <w:p>
          <w:pPr>
            <w:pStyle w:val="Contents3"/>
            <w:tabs>
              <w:tab w:val="clear" w:pos="8459"/>
              <w:tab w:val="right" w:pos="9026" w:leader="dot"/>
            </w:tabs>
            <w:rPr/>
          </w:pPr>
          <w:hyperlink w:anchor="__RefHeading___Toc2572092_3650668749">
            <w:r>
              <w:rPr>
                <w:webHidden/>
                <w:rStyle w:val="IndexLink"/>
                <w:rtl w:val="true"/>
              </w:rPr>
              <w:t>[</w:t>
            </w:r>
            <w:r>
              <w:rPr>
                <w:rStyle w:val="IndexLink"/>
                <w:rtl w:val="true"/>
              </w:rPr>
              <w:t>القول فی الصیغة</w:t>
            </w:r>
            <w:r>
              <w:rPr>
                <w:rStyle w:val="IndexLink"/>
                <w:rtl w:val="true"/>
              </w:rPr>
              <w:t>]</w:t>
              <w:tab/>
            </w:r>
            <w:r>
              <w:rPr>
                <w:rStyle w:val="IndexLink"/>
              </w:rPr>
              <w:t>861</w:t>
            </w:r>
          </w:hyperlink>
        </w:p>
        <w:p>
          <w:pPr>
            <w:pStyle w:val="Contents4"/>
            <w:tabs>
              <w:tab w:val="clear" w:pos="8176"/>
              <w:tab w:val="right" w:pos="9026" w:leader="dot"/>
            </w:tabs>
            <w:rPr/>
          </w:pPr>
          <w:hyperlink w:anchor="__RefHeading___Toc2572094_3650668749">
            <w:r>
              <w:rPr>
                <w:webHidden/>
                <w:rStyle w:val="IndexLink"/>
                <w:rtl w:val="true"/>
              </w:rPr>
              <w:t>اشارة</w:t>
            </w:r>
            <w:r>
              <w:rPr>
                <w:rStyle w:val="IndexLink"/>
                <w:rtl w:val="true"/>
              </w:rPr>
              <w:tab/>
            </w:r>
            <w:r>
              <w:rPr>
                <w:rStyle w:val="IndexLink"/>
              </w:rPr>
              <w:t>861</w:t>
            </w:r>
          </w:hyperlink>
        </w:p>
        <w:p>
          <w:pPr>
            <w:pStyle w:val="Contents4"/>
            <w:tabs>
              <w:tab w:val="clear" w:pos="8176"/>
              <w:tab w:val="right" w:pos="9026" w:leader="dot"/>
            </w:tabs>
            <w:rPr/>
          </w:pPr>
          <w:hyperlink w:anchor="__RefHeading___Toc257209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یقع الطلاق إلّا بصیغة خاصّة</w:t>
            </w:r>
            <w:r>
              <w:rPr>
                <w:rStyle w:val="IndexLink"/>
                <w:rtl w:val="true"/>
              </w:rPr>
              <w:t>]</w:t>
              <w:tab/>
            </w:r>
            <w:r>
              <w:rPr>
                <w:rStyle w:val="IndexLink"/>
              </w:rPr>
              <w:t>861</w:t>
            </w:r>
          </w:hyperlink>
        </w:p>
        <w:p>
          <w:pPr>
            <w:pStyle w:val="Contents4"/>
            <w:tabs>
              <w:tab w:val="clear" w:pos="8176"/>
              <w:tab w:val="right" w:pos="9026" w:leader="dot"/>
            </w:tabs>
            <w:rPr/>
          </w:pPr>
          <w:hyperlink w:anchor="__RefHeading___Toc257209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یجوز إیقاع طلاق أکثر من زوجة واحدة بصیغة واحدة</w:t>
            </w:r>
            <w:r>
              <w:rPr>
                <w:rStyle w:val="IndexLink"/>
                <w:rtl w:val="true"/>
              </w:rPr>
              <w:t>]</w:t>
              <w:tab/>
            </w:r>
            <w:r>
              <w:rPr>
                <w:rStyle w:val="IndexLink"/>
              </w:rPr>
              <w:t>862</w:t>
            </w:r>
          </w:hyperlink>
        </w:p>
        <w:p>
          <w:pPr>
            <w:pStyle w:val="Contents4"/>
            <w:tabs>
              <w:tab w:val="clear" w:pos="8176"/>
              <w:tab w:val="right" w:pos="9026" w:leader="dot"/>
            </w:tabs>
            <w:rPr/>
          </w:pPr>
          <w:hyperlink w:anchor="__RefHeading___Toc257210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لا یقع الطلاق بما یرادف الصیغة المزبورة من لغة غیر عربیّة</w:t>
            </w:r>
            <w:r>
              <w:rPr>
                <w:rStyle w:val="IndexLink"/>
                <w:rtl w:val="true"/>
              </w:rPr>
              <w:t>]</w:t>
              <w:tab/>
            </w:r>
            <w:r>
              <w:rPr>
                <w:rStyle w:val="IndexLink"/>
              </w:rPr>
              <w:t>862</w:t>
            </w:r>
          </w:hyperlink>
        </w:p>
        <w:p>
          <w:pPr>
            <w:pStyle w:val="Contents4"/>
            <w:tabs>
              <w:tab w:val="clear" w:pos="8176"/>
              <w:tab w:val="right" w:pos="9026" w:leader="dot"/>
            </w:tabs>
            <w:rPr/>
          </w:pPr>
          <w:hyperlink w:anchor="__RefHeading___Toc257210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یجوز للزوج أن یوکّل غیره فی تطلیق زوجته بنفسه</w:t>
            </w:r>
            <w:r>
              <w:rPr>
                <w:rStyle w:val="IndexLink"/>
                <w:rtl w:val="true"/>
              </w:rPr>
              <w:t>]</w:t>
              <w:tab/>
            </w:r>
            <w:r>
              <w:rPr>
                <w:rStyle w:val="IndexLink"/>
              </w:rPr>
              <w:t>862</w:t>
            </w:r>
          </w:hyperlink>
        </w:p>
        <w:p>
          <w:pPr>
            <w:pStyle w:val="Contents4"/>
            <w:tabs>
              <w:tab w:val="clear" w:pos="8176"/>
              <w:tab w:val="right" w:pos="9026" w:leader="dot"/>
            </w:tabs>
            <w:rPr/>
          </w:pPr>
          <w:hyperlink w:anchor="__RefHeading___Toc257210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یجوز أن یوکّلها علیٰ أنّه لو طال سفره أزید من ثلاثة شهور مثلًا</w:t>
            </w:r>
            <w:r>
              <w:rPr>
                <w:rStyle w:val="IndexLink"/>
                <w:rtl w:val="true"/>
              </w:rPr>
              <w:t>]</w:t>
              <w:tab/>
            </w:r>
            <w:r>
              <w:rPr>
                <w:rStyle w:val="IndexLink"/>
              </w:rPr>
              <w:t>862</w:t>
            </w:r>
          </w:hyperlink>
        </w:p>
        <w:p>
          <w:pPr>
            <w:pStyle w:val="Contents4"/>
            <w:tabs>
              <w:tab w:val="clear" w:pos="8176"/>
              <w:tab w:val="right" w:pos="9026" w:leader="dot"/>
            </w:tabs>
            <w:rPr/>
          </w:pPr>
          <w:hyperlink w:anchor="__RefHeading___Toc2572106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یشترط فی صیغة الطلاق التنجیز</w:t>
            </w:r>
            <w:r>
              <w:rPr>
                <w:rStyle w:val="IndexLink"/>
                <w:rtl w:val="true"/>
              </w:rPr>
              <w:t>]</w:t>
              <w:tab/>
            </w:r>
            <w:r>
              <w:rPr>
                <w:rStyle w:val="IndexLink"/>
              </w:rPr>
              <w:t>862</w:t>
            </w:r>
          </w:hyperlink>
        </w:p>
        <w:p>
          <w:pPr>
            <w:pStyle w:val="Contents4"/>
            <w:tabs>
              <w:tab w:val="clear" w:pos="8176"/>
              <w:tab w:val="right" w:pos="9026" w:leader="dot"/>
            </w:tabs>
            <w:rPr/>
          </w:pPr>
          <w:hyperlink w:anchor="__RefHeading___Toc2572108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کرّر صیغة الطلاق ثلاثاً فقال</w:t>
            </w:r>
            <w:r>
              <w:rPr>
                <w:rStyle w:val="IndexLink"/>
                <w:rtl w:val="true"/>
              </w:rPr>
              <w:t>: «</w:t>
            </w:r>
            <w:r>
              <w:rPr>
                <w:rStyle w:val="IndexLink"/>
                <w:rtl w:val="true"/>
              </w:rPr>
              <w:t>هی طالق هی طالق هی طالق</w:t>
            </w:r>
            <w:r>
              <w:rPr>
                <w:rStyle w:val="IndexLink"/>
                <w:rtl w:val="true"/>
              </w:rPr>
              <w:t xml:space="preserve">» </w:t>
            </w:r>
            <w:r>
              <w:rPr>
                <w:rStyle w:val="IndexLink"/>
                <w:rtl w:val="true"/>
              </w:rPr>
              <w:t>من دون تخلّل رجعة فی البین</w:t>
            </w:r>
            <w:r>
              <w:rPr>
                <w:rStyle w:val="IndexLink"/>
                <w:rtl w:val="true"/>
              </w:rPr>
              <w:t>]</w:t>
              <w:tab/>
            </w:r>
            <w:r>
              <w:rPr>
                <w:rStyle w:val="IndexLink"/>
              </w:rPr>
              <w:t>862</w:t>
            </w:r>
          </w:hyperlink>
        </w:p>
        <w:p>
          <w:pPr>
            <w:pStyle w:val="Contents4"/>
            <w:tabs>
              <w:tab w:val="clear" w:pos="8176"/>
              <w:tab w:val="right" w:pos="9026" w:leader="dot"/>
            </w:tabs>
            <w:rPr/>
          </w:pPr>
          <w:hyperlink w:anchor="__RefHeading___Toc2572110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لو کان الزوج من العامّة ممّن یعتقد وقوع الثلاث بثلاث مرسلة أو مکرّرة و أوقع الطلاق ثلاثاً بأحد النحوین</w:t>
            </w:r>
            <w:r>
              <w:rPr>
                <w:rStyle w:val="IndexLink"/>
                <w:rtl w:val="true"/>
              </w:rPr>
              <w:t>]</w:t>
              <w:tab/>
            </w:r>
            <w:r>
              <w:rPr>
                <w:rStyle w:val="IndexLink"/>
              </w:rPr>
              <w:t>863</w:t>
            </w:r>
          </w:hyperlink>
        </w:p>
        <w:p>
          <w:pPr>
            <w:pStyle w:val="Contents4"/>
            <w:tabs>
              <w:tab w:val="clear" w:pos="8176"/>
              <w:tab w:val="right" w:pos="9026" w:leader="dot"/>
            </w:tabs>
            <w:rPr/>
          </w:pPr>
          <w:hyperlink w:anchor="__RefHeading___Toc2572112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یشترط فی صحّة الطلاق زائداً علیٰ ما مرّ الإشهاد</w:t>
            </w:r>
            <w:r>
              <w:rPr>
                <w:rStyle w:val="IndexLink"/>
                <w:rtl w:val="true"/>
              </w:rPr>
              <w:t>]</w:t>
              <w:tab/>
            </w:r>
            <w:r>
              <w:rPr>
                <w:rStyle w:val="IndexLink"/>
              </w:rPr>
              <w:t>863</w:t>
            </w:r>
          </w:hyperlink>
        </w:p>
        <w:p>
          <w:pPr>
            <w:pStyle w:val="Contents4"/>
            <w:tabs>
              <w:tab w:val="clear" w:pos="8176"/>
              <w:tab w:val="right" w:pos="9026" w:leader="dot"/>
            </w:tabs>
            <w:rPr/>
          </w:pPr>
          <w:hyperlink w:anchor="__RefHeading___Toc2572114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لو طلّق الوکیل عن الزوج لا یکتفیٰ به مع عدل آخر فی الشاهدین</w:t>
            </w:r>
            <w:r>
              <w:rPr>
                <w:rStyle w:val="IndexLink"/>
                <w:rtl w:val="true"/>
              </w:rPr>
              <w:t>]</w:t>
              <w:tab/>
            </w:r>
            <w:r>
              <w:rPr>
                <w:rStyle w:val="IndexLink"/>
              </w:rPr>
              <w:t>863</w:t>
            </w:r>
          </w:hyperlink>
        </w:p>
        <w:p>
          <w:pPr>
            <w:pStyle w:val="Contents4"/>
            <w:tabs>
              <w:tab w:val="clear" w:pos="8176"/>
              <w:tab w:val="right" w:pos="9026" w:leader="dot"/>
            </w:tabs>
            <w:rPr/>
          </w:pPr>
          <w:hyperlink w:anchor="__RefHeading___Toc2572116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المراد بالعدل فی هذا المقام ما هو المراد به فی غیر المقام</w:t>
            </w:r>
            <w:r>
              <w:rPr>
                <w:rStyle w:val="IndexLink"/>
                <w:rtl w:val="true"/>
              </w:rPr>
              <w:t>]</w:t>
              <w:tab/>
            </w:r>
            <w:r>
              <w:rPr>
                <w:rStyle w:val="IndexLink"/>
              </w:rPr>
              <w:t>863</w:t>
            </w:r>
          </w:hyperlink>
        </w:p>
        <w:p>
          <w:pPr>
            <w:pStyle w:val="Contents4"/>
            <w:tabs>
              <w:tab w:val="clear" w:pos="8176"/>
              <w:tab w:val="right" w:pos="9026" w:leader="dot"/>
            </w:tabs>
            <w:rPr/>
          </w:pPr>
          <w:hyperlink w:anchor="__RefHeading___Toc2572118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لو کان الشاهدان عادلین فی اعتقاد المطلّق أصیلًا کان أو وکیلًا</w:t>
            </w:r>
            <w:r>
              <w:rPr>
                <w:rStyle w:val="IndexLink"/>
                <w:rtl w:val="true"/>
              </w:rPr>
              <w:t>]</w:t>
              <w:tab/>
            </w:r>
            <w:r>
              <w:rPr>
                <w:rStyle w:val="IndexLink"/>
              </w:rPr>
              <w:t>864</w:t>
            </w:r>
          </w:hyperlink>
        </w:p>
        <w:p>
          <w:pPr>
            <w:pStyle w:val="Contents3"/>
            <w:tabs>
              <w:tab w:val="clear" w:pos="8459"/>
              <w:tab w:val="right" w:pos="9026" w:leader="dot"/>
            </w:tabs>
            <w:rPr/>
          </w:pPr>
          <w:hyperlink w:anchor="__RefHeading___Toc2572120_3650668749">
            <w:r>
              <w:rPr>
                <w:webHidden/>
                <w:rStyle w:val="IndexLink"/>
                <w:rtl w:val="true"/>
              </w:rPr>
              <w:t>[</w:t>
            </w:r>
            <w:r>
              <w:rPr>
                <w:rStyle w:val="IndexLink"/>
                <w:rtl w:val="true"/>
              </w:rPr>
              <w:t>القول فی أقسام الطلاق</w:t>
            </w:r>
            <w:r>
              <w:rPr>
                <w:rStyle w:val="IndexLink"/>
                <w:rtl w:val="true"/>
              </w:rPr>
              <w:t>]</w:t>
              <w:tab/>
            </w:r>
            <w:r>
              <w:rPr>
                <w:rStyle w:val="IndexLink"/>
              </w:rPr>
              <w:t>864</w:t>
            </w:r>
          </w:hyperlink>
        </w:p>
        <w:p>
          <w:pPr>
            <w:pStyle w:val="Contents4"/>
            <w:tabs>
              <w:tab w:val="clear" w:pos="8176"/>
              <w:tab w:val="right" w:pos="9026" w:leader="dot"/>
            </w:tabs>
            <w:rPr/>
          </w:pPr>
          <w:hyperlink w:anchor="__RefHeading___Toc2572122_3650668749">
            <w:r>
              <w:rPr>
                <w:webHidden/>
                <w:rStyle w:val="IndexLink"/>
                <w:rtl w:val="true"/>
              </w:rPr>
              <w:t>اشارة</w:t>
            </w:r>
            <w:r>
              <w:rPr>
                <w:rStyle w:val="IndexLink"/>
                <w:rtl w:val="true"/>
              </w:rPr>
              <w:tab/>
            </w:r>
            <w:r>
              <w:rPr>
                <w:rStyle w:val="IndexLink"/>
              </w:rPr>
              <w:t>864</w:t>
            </w:r>
          </w:hyperlink>
        </w:p>
        <w:p>
          <w:pPr>
            <w:pStyle w:val="Contents4"/>
            <w:tabs>
              <w:tab w:val="clear" w:pos="8176"/>
              <w:tab w:val="right" w:pos="9026" w:leader="dot"/>
            </w:tabs>
            <w:rPr/>
          </w:pPr>
          <w:hyperlink w:anchor="__RefHeading___Toc2572124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إذا طلّقها ثلاثاً مع تخلّل رجعتین حرمت علیه و لو بعقد جدید</w:t>
            </w:r>
            <w:r>
              <w:rPr>
                <w:rStyle w:val="IndexLink"/>
                <w:rtl w:val="true"/>
              </w:rPr>
              <w:t>]</w:t>
              <w:tab/>
            </w:r>
            <w:r>
              <w:rPr>
                <w:rStyle w:val="IndexLink"/>
              </w:rPr>
              <w:t>864</w:t>
            </w:r>
          </w:hyperlink>
        </w:p>
        <w:p>
          <w:pPr>
            <w:pStyle w:val="Contents4"/>
            <w:tabs>
              <w:tab w:val="clear" w:pos="8176"/>
              <w:tab w:val="right" w:pos="9026" w:leader="dot"/>
            </w:tabs>
            <w:rPr/>
          </w:pPr>
          <w:hyperlink w:anchor="__RefHeading___Toc2572126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کلّ امرأة حرّة و إن کانت تحت عبد إذا استکملت الطلاق ثلاثاً مع تخلّل رجعتین فی البین</w:t>
            </w:r>
            <w:r>
              <w:rPr>
                <w:rStyle w:val="IndexLink"/>
                <w:rtl w:val="true"/>
              </w:rPr>
              <w:t>]</w:t>
              <w:tab/>
            </w:r>
            <w:r>
              <w:rPr>
                <w:rStyle w:val="IndexLink"/>
              </w:rPr>
              <w:t>865</w:t>
            </w:r>
          </w:hyperlink>
        </w:p>
        <w:p>
          <w:pPr>
            <w:pStyle w:val="Contents4"/>
            <w:tabs>
              <w:tab w:val="clear" w:pos="8176"/>
              <w:tab w:val="right" w:pos="9026" w:leader="dot"/>
            </w:tabs>
            <w:rPr/>
          </w:pPr>
          <w:hyperlink w:anchor="__RefHeading___Toc257212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العقد الجدید بحکم الرجوع فی الطلاق</w:t>
            </w:r>
            <w:r>
              <w:rPr>
                <w:rStyle w:val="IndexLink"/>
                <w:rtl w:val="true"/>
              </w:rPr>
              <w:t>]</w:t>
              <w:tab/>
            </w:r>
            <w:r>
              <w:rPr>
                <w:rStyle w:val="IndexLink"/>
              </w:rPr>
              <w:t>865</w:t>
            </w:r>
          </w:hyperlink>
        </w:p>
        <w:p>
          <w:pPr>
            <w:pStyle w:val="Contents4"/>
            <w:tabs>
              <w:tab w:val="clear" w:pos="8176"/>
              <w:tab w:val="right" w:pos="9026" w:leader="dot"/>
            </w:tabs>
            <w:rPr/>
          </w:pPr>
          <w:hyperlink w:anchor="__RefHeading___Toc257213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المطلّقة ثلاثاً إذا نکحت زوجاً آخر و فارقها بموت أو طلاق حلّت للزوج الأوّل</w:t>
            </w:r>
            <w:r>
              <w:rPr>
                <w:rStyle w:val="IndexLink"/>
                <w:rtl w:val="true"/>
              </w:rPr>
              <w:t>]</w:t>
              <w:tab/>
            </w:r>
            <w:r>
              <w:rPr>
                <w:rStyle w:val="IndexLink"/>
              </w:rPr>
              <w:t>865</w:t>
            </w:r>
          </w:hyperlink>
        </w:p>
        <w:p>
          <w:pPr>
            <w:pStyle w:val="Contents4"/>
            <w:tabs>
              <w:tab w:val="clear" w:pos="8176"/>
              <w:tab w:val="right" w:pos="9026" w:leader="dot"/>
            </w:tabs>
            <w:rPr/>
          </w:pPr>
          <w:hyperlink w:anchor="__RefHeading___Toc257213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إنّما یوجب التحریم الطلقات الثلاث إذا لم تنکح فی البین زوجاً آخر</w:t>
            </w:r>
            <w:r>
              <w:rPr>
                <w:rStyle w:val="IndexLink"/>
                <w:rtl w:val="true"/>
              </w:rPr>
              <w:t>]</w:t>
              <w:tab/>
            </w:r>
            <w:r>
              <w:rPr>
                <w:rStyle w:val="IndexLink"/>
              </w:rPr>
              <w:t>866</w:t>
            </w:r>
          </w:hyperlink>
        </w:p>
        <w:p>
          <w:pPr>
            <w:pStyle w:val="Contents4"/>
            <w:tabs>
              <w:tab w:val="clear" w:pos="8176"/>
              <w:tab w:val="right" w:pos="9026" w:leader="dot"/>
            </w:tabs>
            <w:rPr/>
          </w:pPr>
          <w:hyperlink w:anchor="__RefHeading___Toc2572134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قد مرّ</w:t>
            </w:r>
            <w:r>
              <w:rPr>
                <w:rStyle w:val="IndexLink"/>
                <w:rtl w:val="true"/>
              </w:rPr>
              <w:t xml:space="preserve">: </w:t>
            </w:r>
            <w:r>
              <w:rPr>
                <w:rStyle w:val="IndexLink"/>
                <w:rtl w:val="true"/>
              </w:rPr>
              <w:t>أنّ المطلّقة ثلاثاً تحرم علی المطلّق حتّی تنکح زوجاً غیره</w:t>
            </w:r>
            <w:r>
              <w:rPr>
                <w:rStyle w:val="IndexLink"/>
                <w:rtl w:val="true"/>
              </w:rPr>
              <w:t>]</w:t>
              <w:tab/>
            </w:r>
            <w:r>
              <w:rPr>
                <w:rStyle w:val="IndexLink"/>
              </w:rPr>
              <w:t>866</w:t>
            </w:r>
          </w:hyperlink>
        </w:p>
        <w:p>
          <w:pPr>
            <w:pStyle w:val="Contents4"/>
            <w:tabs>
              <w:tab w:val="clear" w:pos="8176"/>
              <w:tab w:val="right" w:pos="9026" w:leader="dot"/>
            </w:tabs>
            <w:rPr/>
          </w:pPr>
          <w:hyperlink w:anchor="__RefHeading___Toc2572136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طلّقها ثلاثاً و انقضت مدّة، فادّعت أنّها تزوّجت و فارقها الزوج الثانی و مضت العدّة</w:t>
            </w:r>
            <w:r>
              <w:rPr>
                <w:rStyle w:val="IndexLink"/>
                <w:rtl w:val="true"/>
              </w:rPr>
              <w:t>]</w:t>
              <w:tab/>
            </w:r>
            <w:r>
              <w:rPr>
                <w:rStyle w:val="IndexLink"/>
              </w:rPr>
              <w:t>866</w:t>
            </w:r>
          </w:hyperlink>
        </w:p>
        <w:p>
          <w:pPr>
            <w:pStyle w:val="Contents4"/>
            <w:tabs>
              <w:tab w:val="clear" w:pos="8176"/>
              <w:tab w:val="right" w:pos="9026" w:leader="dot"/>
            </w:tabs>
            <w:rPr/>
          </w:pPr>
          <w:hyperlink w:anchor="__RefHeading___Toc2572138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إذا دخل المحلّل، فادّعت الدخول و لم یکذّبها</w:t>
            </w:r>
            <w:r>
              <w:rPr>
                <w:rStyle w:val="IndexLink"/>
                <w:rtl w:val="true"/>
              </w:rPr>
              <w:t>]</w:t>
              <w:tab/>
            </w:r>
            <w:r>
              <w:rPr>
                <w:rStyle w:val="IndexLink"/>
              </w:rPr>
              <w:t>866</w:t>
            </w:r>
          </w:hyperlink>
        </w:p>
        <w:p>
          <w:pPr>
            <w:pStyle w:val="Contents4"/>
            <w:tabs>
              <w:tab w:val="clear" w:pos="8176"/>
              <w:tab w:val="right" w:pos="9026" w:leader="dot"/>
            </w:tabs>
            <w:rPr/>
          </w:pPr>
          <w:hyperlink w:anchor="__RefHeading___Toc2572140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لا فرق فی الوطء المعتبر فی المحلّل بین المحرّم و المحلّل</w:t>
            </w:r>
            <w:r>
              <w:rPr>
                <w:rStyle w:val="IndexLink"/>
                <w:rtl w:val="true"/>
              </w:rPr>
              <w:t>]</w:t>
              <w:tab/>
            </w:r>
            <w:r>
              <w:rPr>
                <w:rStyle w:val="IndexLink"/>
              </w:rPr>
              <w:t>866</w:t>
            </w:r>
          </w:hyperlink>
        </w:p>
        <w:p>
          <w:pPr>
            <w:pStyle w:val="Contents4"/>
            <w:tabs>
              <w:tab w:val="clear" w:pos="8176"/>
              <w:tab w:val="right" w:pos="9026" w:leader="dot"/>
            </w:tabs>
            <w:rPr/>
          </w:pPr>
          <w:hyperlink w:anchor="__RefHeading___Toc2572142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لو شکّ الزوج فی إیقاع أصل الطلاق علیٰ زوجته، لم یلزمه الطلاق</w:t>
            </w:r>
            <w:r>
              <w:rPr>
                <w:rStyle w:val="IndexLink"/>
                <w:rtl w:val="true"/>
              </w:rPr>
              <w:t>]</w:t>
              <w:tab/>
            </w:r>
            <w:r>
              <w:rPr>
                <w:rStyle w:val="IndexLink"/>
              </w:rPr>
              <w:t>866</w:t>
            </w:r>
          </w:hyperlink>
        </w:p>
        <w:p>
          <w:pPr>
            <w:pStyle w:val="Contents3"/>
            <w:tabs>
              <w:tab w:val="clear" w:pos="8459"/>
              <w:tab w:val="right" w:pos="9026" w:leader="dot"/>
            </w:tabs>
            <w:rPr/>
          </w:pPr>
          <w:hyperlink w:anchor="__RefHeading___Toc2572144_3650668749">
            <w:r>
              <w:rPr>
                <w:webHidden/>
                <w:rStyle w:val="IndexLink"/>
                <w:rtl w:val="true"/>
              </w:rPr>
              <w:t>[</w:t>
            </w:r>
            <w:r>
              <w:rPr>
                <w:rStyle w:val="IndexLink"/>
                <w:rtl w:val="true"/>
              </w:rPr>
              <w:t>القول فی العدد</w:t>
            </w:r>
            <w:r>
              <w:rPr>
                <w:rStyle w:val="IndexLink"/>
                <w:rtl w:val="true"/>
              </w:rPr>
              <w:t>]</w:t>
              <w:tab/>
            </w:r>
            <w:r>
              <w:rPr>
                <w:rStyle w:val="IndexLink"/>
              </w:rPr>
              <w:t>867</w:t>
            </w:r>
          </w:hyperlink>
        </w:p>
        <w:p>
          <w:pPr>
            <w:pStyle w:val="Contents4"/>
            <w:tabs>
              <w:tab w:val="clear" w:pos="8176"/>
              <w:tab w:val="right" w:pos="9026" w:leader="dot"/>
            </w:tabs>
            <w:rPr/>
          </w:pPr>
          <w:hyperlink w:anchor="__RefHeading___Toc2572146_3650668749">
            <w:r>
              <w:rPr>
                <w:webHidden/>
                <w:rStyle w:val="IndexLink"/>
                <w:rtl w:val="true"/>
              </w:rPr>
              <w:t>اشارة</w:t>
            </w:r>
            <w:r>
              <w:rPr>
                <w:rStyle w:val="IndexLink"/>
                <w:rtl w:val="true"/>
              </w:rPr>
              <w:tab/>
            </w:r>
            <w:r>
              <w:rPr>
                <w:rStyle w:val="IndexLink"/>
              </w:rPr>
              <w:t>867</w:t>
            </w:r>
          </w:hyperlink>
        </w:p>
        <w:p>
          <w:pPr>
            <w:pStyle w:val="Contents4"/>
            <w:tabs>
              <w:tab w:val="clear" w:pos="8176"/>
              <w:tab w:val="right" w:pos="9026" w:leader="dot"/>
            </w:tabs>
            <w:rPr/>
          </w:pPr>
          <w:hyperlink w:anchor="__RefHeading___Toc2572148_3650668749">
            <w:r>
              <w:rPr>
                <w:webHidden/>
                <w:rStyle w:val="IndexLink"/>
                <w:rtl w:val="true"/>
              </w:rPr>
              <w:t>[</w:t>
            </w:r>
            <w:r>
              <w:rPr>
                <w:rStyle w:val="IndexLink"/>
                <w:rtl w:val="true"/>
              </w:rPr>
              <w:t>فصل فی عدّة الفراق؛ طلاقاً کان أو غیره</w:t>
            </w:r>
            <w:r>
              <w:rPr>
                <w:rStyle w:val="IndexLink"/>
                <w:rtl w:val="true"/>
              </w:rPr>
              <w:t>]</w:t>
              <w:tab/>
            </w:r>
            <w:r>
              <w:rPr>
                <w:rStyle w:val="IndexLink"/>
              </w:rPr>
              <w:t>867</w:t>
            </w:r>
          </w:hyperlink>
        </w:p>
        <w:p>
          <w:pPr>
            <w:pStyle w:val="Contents5"/>
            <w:tabs>
              <w:tab w:val="clear" w:pos="7892"/>
              <w:tab w:val="right" w:pos="9026" w:leader="dot"/>
            </w:tabs>
            <w:rPr/>
          </w:pPr>
          <w:hyperlink w:anchor="__RefHeading___Toc2572150_3650668749">
            <w:r>
              <w:rPr>
                <w:webHidden/>
                <w:rStyle w:val="IndexLink"/>
                <w:rtl w:val="true"/>
              </w:rPr>
              <w:t>اشارة</w:t>
            </w:r>
            <w:r>
              <w:rPr>
                <w:rStyle w:val="IndexLink"/>
                <w:rtl w:val="true"/>
              </w:rPr>
              <w:tab/>
            </w:r>
            <w:r>
              <w:rPr>
                <w:rStyle w:val="IndexLink"/>
              </w:rPr>
              <w:t>867</w:t>
            </w:r>
          </w:hyperlink>
        </w:p>
        <w:p>
          <w:pPr>
            <w:pStyle w:val="Contents5"/>
            <w:tabs>
              <w:tab w:val="clear" w:pos="7892"/>
              <w:tab w:val="right" w:pos="9026" w:leader="dot"/>
            </w:tabs>
            <w:rPr/>
          </w:pPr>
          <w:hyperlink w:anchor="__RefHeading___Toc257215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عدّة علیٰ من لم یدخل بها و لا علی الصغیرة</w:t>
            </w:r>
            <w:r>
              <w:rPr>
                <w:rStyle w:val="IndexLink"/>
                <w:rtl w:val="true"/>
              </w:rPr>
              <w:t>]</w:t>
              <w:tab/>
            </w:r>
            <w:r>
              <w:rPr>
                <w:rStyle w:val="IndexLink"/>
              </w:rPr>
              <w:t>867</w:t>
            </w:r>
          </w:hyperlink>
        </w:p>
        <w:p>
          <w:pPr>
            <w:pStyle w:val="Contents5"/>
            <w:tabs>
              <w:tab w:val="clear" w:pos="7892"/>
              <w:tab w:val="right" w:pos="9026" w:leader="dot"/>
            </w:tabs>
            <w:rPr/>
          </w:pPr>
          <w:hyperlink w:anchor="__RefHeading___Toc257215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یتحقّق الدخول بإیلاج تمام الحشفة قبلًا أو دبراً</w:t>
            </w:r>
            <w:r>
              <w:rPr>
                <w:rStyle w:val="IndexLink"/>
                <w:rtl w:val="true"/>
              </w:rPr>
              <w:t>]</w:t>
              <w:tab/>
            </w:r>
            <w:r>
              <w:rPr>
                <w:rStyle w:val="IndexLink"/>
              </w:rPr>
              <w:t>867</w:t>
            </w:r>
          </w:hyperlink>
        </w:p>
        <w:p>
          <w:pPr>
            <w:pStyle w:val="Contents5"/>
            <w:tabs>
              <w:tab w:val="clear" w:pos="7892"/>
              <w:tab w:val="right" w:pos="9026" w:leader="dot"/>
            </w:tabs>
            <w:rPr/>
          </w:pPr>
          <w:hyperlink w:anchor="__RefHeading___Toc257215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یتحقّق الیأس ببلوغ ستّین فی القرشیّة و خمسین فی غیرها</w:t>
            </w:r>
            <w:r>
              <w:rPr>
                <w:rStyle w:val="IndexLink"/>
                <w:rtl w:val="true"/>
              </w:rPr>
              <w:t>]</w:t>
              <w:tab/>
            </w:r>
            <w:r>
              <w:rPr>
                <w:rStyle w:val="IndexLink"/>
              </w:rPr>
              <w:t>867</w:t>
            </w:r>
          </w:hyperlink>
        </w:p>
        <w:p>
          <w:pPr>
            <w:pStyle w:val="Contents5"/>
            <w:tabs>
              <w:tab w:val="clear" w:pos="7892"/>
              <w:tab w:val="right" w:pos="9026" w:leader="dot"/>
            </w:tabs>
            <w:rPr/>
          </w:pPr>
          <w:hyperlink w:anchor="__RefHeading___Toc257215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لو طلّقت ذات الأقراء قبل بلوغ سنّ الیأس و رأت الدم مرّة أو مرّتین ثمّ یئست</w:t>
            </w:r>
            <w:r>
              <w:rPr>
                <w:rStyle w:val="IndexLink"/>
                <w:rtl w:val="true"/>
              </w:rPr>
              <w:t>]</w:t>
              <w:tab/>
            </w:r>
            <w:r>
              <w:rPr>
                <w:rStyle w:val="IndexLink"/>
              </w:rPr>
              <w:t>867</w:t>
            </w:r>
          </w:hyperlink>
        </w:p>
        <w:p>
          <w:pPr>
            <w:pStyle w:val="Contents5"/>
            <w:tabs>
              <w:tab w:val="clear" w:pos="7892"/>
              <w:tab w:val="right" w:pos="9026" w:leader="dot"/>
            </w:tabs>
            <w:rPr/>
          </w:pPr>
          <w:hyperlink w:anchor="__RefHeading___Toc257216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المطلّقة و من أُلحقت بها إن کانت حاملًا فعدّتها مدّة حملها</w:t>
            </w:r>
            <w:r>
              <w:rPr>
                <w:rStyle w:val="IndexLink"/>
                <w:rtl w:val="true"/>
              </w:rPr>
              <w:t>]</w:t>
              <w:tab/>
            </w:r>
            <w:r>
              <w:rPr>
                <w:rStyle w:val="IndexLink"/>
              </w:rPr>
              <w:t>867</w:t>
            </w:r>
          </w:hyperlink>
        </w:p>
        <w:p>
          <w:pPr>
            <w:pStyle w:val="Contents5"/>
            <w:tabs>
              <w:tab w:val="clear" w:pos="7892"/>
              <w:tab w:val="right" w:pos="9026" w:leader="dot"/>
            </w:tabs>
            <w:rPr/>
          </w:pPr>
          <w:hyperlink w:anchor="__RefHeading___Toc257216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إنّما تنقضی العدّة بالوضع إذا کان الحمل ملحقاً بمن له العدّة</w:t>
            </w:r>
            <w:r>
              <w:rPr>
                <w:rStyle w:val="IndexLink"/>
                <w:rtl w:val="true"/>
              </w:rPr>
              <w:t>]</w:t>
              <w:tab/>
            </w:r>
            <w:r>
              <w:rPr>
                <w:rStyle w:val="IndexLink"/>
              </w:rPr>
              <w:t>868</w:t>
            </w:r>
          </w:hyperlink>
        </w:p>
        <w:p>
          <w:pPr>
            <w:pStyle w:val="Contents5"/>
            <w:tabs>
              <w:tab w:val="clear" w:pos="7892"/>
              <w:tab w:val="right" w:pos="9026" w:leader="dot"/>
            </w:tabs>
            <w:rPr/>
          </w:pPr>
          <w:hyperlink w:anchor="__RefHeading___Toc257216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کانت حاملًا باثنین مثلًا بانت بوضع الأوّل</w:t>
            </w:r>
            <w:r>
              <w:rPr>
                <w:rStyle w:val="IndexLink"/>
                <w:rtl w:val="true"/>
              </w:rPr>
              <w:t>]</w:t>
              <w:tab/>
            </w:r>
            <w:r>
              <w:rPr>
                <w:rStyle w:val="IndexLink"/>
              </w:rPr>
              <w:t>868</w:t>
            </w:r>
          </w:hyperlink>
        </w:p>
        <w:p>
          <w:pPr>
            <w:pStyle w:val="Contents5"/>
            <w:tabs>
              <w:tab w:val="clear" w:pos="7892"/>
              <w:tab w:val="right" w:pos="9026" w:leader="dot"/>
            </w:tabs>
            <w:rPr/>
          </w:pPr>
          <w:hyperlink w:anchor="__RefHeading___Toc257216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لو وطئت شبهة فحملت و الحق الولد بالواطئ لبعد الزوج عنها أو لغیر ذلک ثمّ طلّقها الزوج</w:t>
            </w:r>
            <w:r>
              <w:rPr>
                <w:rStyle w:val="IndexLink"/>
                <w:rtl w:val="true"/>
              </w:rPr>
              <w:t>]</w:t>
              <w:tab/>
            </w:r>
            <w:r>
              <w:rPr>
                <w:rStyle w:val="IndexLink"/>
              </w:rPr>
              <w:t>868</w:t>
            </w:r>
          </w:hyperlink>
        </w:p>
        <w:p>
          <w:pPr>
            <w:pStyle w:val="Contents5"/>
            <w:tabs>
              <w:tab w:val="clear" w:pos="7892"/>
              <w:tab w:val="right" w:pos="9026" w:leader="dot"/>
            </w:tabs>
            <w:rPr/>
          </w:pPr>
          <w:hyperlink w:anchor="__RefHeading___Toc257216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إذا ادّعت المطلّقة الحامل</w:t>
            </w:r>
            <w:r>
              <w:rPr>
                <w:rStyle w:val="IndexLink"/>
                <w:rtl w:val="true"/>
              </w:rPr>
              <w:t xml:space="preserve">: </w:t>
            </w:r>
            <w:r>
              <w:rPr>
                <w:rStyle w:val="IndexLink"/>
                <w:rtl w:val="true"/>
              </w:rPr>
              <w:t>أنّها وضعت فانقضت عدّتها و أنکر الزوج</w:t>
            </w:r>
            <w:r>
              <w:rPr>
                <w:rStyle w:val="IndexLink"/>
                <w:rtl w:val="true"/>
              </w:rPr>
              <w:t>]</w:t>
              <w:tab/>
            </w:r>
            <w:r>
              <w:rPr>
                <w:rStyle w:val="IndexLink"/>
              </w:rPr>
              <w:t>868</w:t>
            </w:r>
          </w:hyperlink>
        </w:p>
        <w:p>
          <w:pPr>
            <w:pStyle w:val="Contents5"/>
            <w:tabs>
              <w:tab w:val="clear" w:pos="7892"/>
              <w:tab w:val="right" w:pos="9026" w:leader="dot"/>
            </w:tabs>
            <w:rPr/>
          </w:pPr>
          <w:hyperlink w:anchor="__RefHeading___Toc257217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لو اتّفق الزوجان علیٰ إیقاع الطلاق و وضع الحمل و اختلفا فی المتقدّم و المتأخّر</w:t>
            </w:r>
            <w:r>
              <w:rPr>
                <w:rStyle w:val="IndexLink"/>
                <w:rtl w:val="true"/>
              </w:rPr>
              <w:t>]</w:t>
              <w:tab/>
            </w:r>
            <w:r>
              <w:rPr>
                <w:rStyle w:val="IndexLink"/>
              </w:rPr>
              <w:t>868</w:t>
            </w:r>
          </w:hyperlink>
        </w:p>
        <w:p>
          <w:pPr>
            <w:pStyle w:val="Contents5"/>
            <w:tabs>
              <w:tab w:val="clear" w:pos="7892"/>
              <w:tab w:val="right" w:pos="9026" w:leader="dot"/>
            </w:tabs>
            <w:rPr/>
          </w:pPr>
          <w:hyperlink w:anchor="__RefHeading___Toc257217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إذا طلّقت الحائل أو انفسخ نکاحها، فإن کانت مستقیمة الحیض</w:t>
            </w:r>
            <w:r>
              <w:rPr>
                <w:rStyle w:val="IndexLink"/>
                <w:rtl w:val="true"/>
              </w:rPr>
              <w:t>]</w:t>
              <w:tab/>
            </w:r>
            <w:r>
              <w:rPr>
                <w:rStyle w:val="IndexLink"/>
              </w:rPr>
              <w:t>869</w:t>
            </w:r>
          </w:hyperlink>
        </w:p>
        <w:p>
          <w:pPr>
            <w:pStyle w:val="Contents5"/>
            <w:tabs>
              <w:tab w:val="clear" w:pos="7892"/>
              <w:tab w:val="right" w:pos="9026" w:leader="dot"/>
            </w:tabs>
            <w:rPr/>
          </w:pPr>
          <w:hyperlink w:anchor="__RefHeading___Toc257217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المراد بالقروء و القرءین</w:t>
            </w:r>
            <w:r>
              <w:rPr>
                <w:rStyle w:val="IndexLink"/>
                <w:rtl w:val="true"/>
              </w:rPr>
              <w:t xml:space="preserve">: </w:t>
            </w:r>
            <w:r>
              <w:rPr>
                <w:rStyle w:val="IndexLink"/>
                <w:rtl w:val="true"/>
              </w:rPr>
              <w:t>الأطهار و الطهرین</w:t>
            </w:r>
            <w:r>
              <w:rPr>
                <w:rStyle w:val="IndexLink"/>
                <w:rtl w:val="true"/>
              </w:rPr>
              <w:t>]</w:t>
              <w:tab/>
            </w:r>
            <w:r>
              <w:rPr>
                <w:rStyle w:val="IndexLink"/>
              </w:rPr>
              <w:t>869</w:t>
            </w:r>
          </w:hyperlink>
        </w:p>
        <w:p>
          <w:pPr>
            <w:pStyle w:val="Contents5"/>
            <w:tabs>
              <w:tab w:val="clear" w:pos="7892"/>
              <w:tab w:val="right" w:pos="9026" w:leader="dot"/>
            </w:tabs>
            <w:rPr/>
          </w:pPr>
          <w:hyperlink w:anchor="__RefHeading___Toc2572176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بناءً علیٰ کفایة مسمّی الطهر فی الطهر الأوّل و لو لحظة</w:t>
            </w:r>
            <w:r>
              <w:rPr>
                <w:rStyle w:val="IndexLink"/>
                <w:rtl w:val="true"/>
              </w:rPr>
              <w:t>]</w:t>
              <w:tab/>
            </w:r>
            <w:r>
              <w:rPr>
                <w:rStyle w:val="IndexLink"/>
              </w:rPr>
              <w:t>869</w:t>
            </w:r>
          </w:hyperlink>
        </w:p>
        <w:p>
          <w:pPr>
            <w:pStyle w:val="Contents5"/>
            <w:tabs>
              <w:tab w:val="clear" w:pos="7892"/>
              <w:tab w:val="right" w:pos="9026" w:leader="dot"/>
            </w:tabs>
            <w:rPr/>
          </w:pPr>
          <w:hyperlink w:anchor="__RefHeading___Toc2572178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عدّة المتعة فی الحامل وضع حملها، و فی الحائل إذا کانت تحیض قرءان</w:t>
            </w:r>
            <w:r>
              <w:rPr>
                <w:rStyle w:val="IndexLink"/>
                <w:rtl w:val="true"/>
              </w:rPr>
              <w:t>]</w:t>
              <w:tab/>
            </w:r>
            <w:r>
              <w:rPr>
                <w:rStyle w:val="IndexLink"/>
              </w:rPr>
              <w:t>870</w:t>
            </w:r>
          </w:hyperlink>
        </w:p>
        <w:p>
          <w:pPr>
            <w:pStyle w:val="Contents5"/>
            <w:tabs>
              <w:tab w:val="clear" w:pos="7892"/>
              <w:tab w:val="right" w:pos="9026" w:leader="dot"/>
            </w:tabs>
            <w:rPr/>
          </w:pPr>
          <w:hyperlink w:anchor="__RefHeading___Toc2572180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المدار فی الشهور علی الهلالی</w:t>
            </w:r>
            <w:r>
              <w:rPr>
                <w:rStyle w:val="IndexLink"/>
                <w:rtl w:val="true"/>
              </w:rPr>
              <w:t>]</w:t>
              <w:tab/>
            </w:r>
            <w:r>
              <w:rPr>
                <w:rStyle w:val="IndexLink"/>
              </w:rPr>
              <w:t>870</w:t>
            </w:r>
          </w:hyperlink>
        </w:p>
        <w:p>
          <w:pPr>
            <w:pStyle w:val="Contents5"/>
            <w:tabs>
              <w:tab w:val="clear" w:pos="7892"/>
              <w:tab w:val="right" w:pos="9026" w:leader="dot"/>
            </w:tabs>
            <w:rPr/>
          </w:pPr>
          <w:hyperlink w:anchor="__RefHeading___Toc2572182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لو اختلفا فی انقضاء العدّة و عدمه قدّم قولها بیمینها</w:t>
            </w:r>
            <w:r>
              <w:rPr>
                <w:rStyle w:val="IndexLink"/>
                <w:rtl w:val="true"/>
              </w:rPr>
              <w:t>]</w:t>
              <w:tab/>
            </w:r>
            <w:r>
              <w:rPr>
                <w:rStyle w:val="IndexLink"/>
              </w:rPr>
              <w:t>870</w:t>
            </w:r>
          </w:hyperlink>
        </w:p>
        <w:p>
          <w:pPr>
            <w:pStyle w:val="Contents4"/>
            <w:tabs>
              <w:tab w:val="clear" w:pos="8176"/>
              <w:tab w:val="right" w:pos="9026" w:leader="dot"/>
            </w:tabs>
            <w:rPr/>
          </w:pPr>
          <w:hyperlink w:anchor="__RefHeading___Toc2572184_3650668749">
            <w:r>
              <w:rPr>
                <w:webHidden/>
                <w:rStyle w:val="IndexLink"/>
                <w:rtl w:val="true"/>
              </w:rPr>
              <w:t>[</w:t>
            </w:r>
            <w:r>
              <w:rPr>
                <w:rStyle w:val="IndexLink"/>
                <w:rtl w:val="true"/>
              </w:rPr>
              <w:t>القول فی عدّة الوفاة</w:t>
            </w:r>
            <w:r>
              <w:rPr>
                <w:rStyle w:val="IndexLink"/>
                <w:rtl w:val="true"/>
              </w:rPr>
              <w:t>]</w:t>
              <w:tab/>
            </w:r>
            <w:r>
              <w:rPr>
                <w:rStyle w:val="IndexLink"/>
              </w:rPr>
              <w:t>870</w:t>
            </w:r>
          </w:hyperlink>
        </w:p>
        <w:p>
          <w:pPr>
            <w:pStyle w:val="Contents5"/>
            <w:tabs>
              <w:tab w:val="clear" w:pos="7892"/>
              <w:tab w:val="right" w:pos="9026" w:leader="dot"/>
            </w:tabs>
            <w:rPr/>
          </w:pPr>
          <w:hyperlink w:anchor="__RefHeading___Toc2572186_3650668749">
            <w:r>
              <w:rPr>
                <w:webHidden/>
                <w:rStyle w:val="IndexLink"/>
                <w:rtl w:val="true"/>
              </w:rPr>
              <w:t>اشارة</w:t>
            </w:r>
            <w:r>
              <w:rPr>
                <w:rStyle w:val="IndexLink"/>
                <w:rtl w:val="true"/>
              </w:rPr>
              <w:tab/>
            </w:r>
            <w:r>
              <w:rPr>
                <w:rStyle w:val="IndexLink"/>
              </w:rPr>
              <w:t>870</w:t>
            </w:r>
          </w:hyperlink>
        </w:p>
        <w:p>
          <w:pPr>
            <w:pStyle w:val="Contents5"/>
            <w:tabs>
              <w:tab w:val="clear" w:pos="7892"/>
              <w:tab w:val="right" w:pos="9026" w:leader="dot"/>
            </w:tabs>
            <w:rPr/>
          </w:pPr>
          <w:hyperlink w:anchor="__RefHeading___Toc257218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عدّة الحرّة المتوفّیٰ عنها زوجها و إن کانت تحت عبد أربعة أشهر و عشرة أیّام</w:t>
            </w:r>
            <w:r>
              <w:rPr>
                <w:rStyle w:val="IndexLink"/>
                <w:rtl w:val="true"/>
              </w:rPr>
              <w:t>]</w:t>
              <w:tab/>
            </w:r>
            <w:r>
              <w:rPr>
                <w:rStyle w:val="IndexLink"/>
              </w:rPr>
              <w:t>870</w:t>
            </w:r>
          </w:hyperlink>
        </w:p>
        <w:p>
          <w:pPr>
            <w:pStyle w:val="Contents5"/>
            <w:tabs>
              <w:tab w:val="clear" w:pos="7892"/>
              <w:tab w:val="right" w:pos="9026" w:leader="dot"/>
            </w:tabs>
            <w:rPr/>
          </w:pPr>
          <w:hyperlink w:anchor="__RefHeading___Toc257219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المراد بالأشهر هی الهلالیّة</w:t>
            </w:r>
            <w:r>
              <w:rPr>
                <w:rStyle w:val="IndexLink"/>
                <w:rtl w:val="true"/>
              </w:rPr>
              <w:t>]</w:t>
              <w:tab/>
            </w:r>
            <w:r>
              <w:rPr>
                <w:rStyle w:val="IndexLink"/>
              </w:rPr>
              <w:t>871</w:t>
            </w:r>
          </w:hyperlink>
        </w:p>
        <w:p>
          <w:pPr>
            <w:pStyle w:val="Contents5"/>
            <w:tabs>
              <w:tab w:val="clear" w:pos="7892"/>
              <w:tab w:val="right" w:pos="9026" w:leader="dot"/>
            </w:tabs>
            <w:rPr/>
          </w:pPr>
          <w:hyperlink w:anchor="__RefHeading___Toc257219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لو طلّقها ثمّ مات قبل انقضاء العدّة، فإن کان رجعیّاً بطلت</w:t>
            </w:r>
            <w:r>
              <w:rPr>
                <w:rStyle w:val="IndexLink"/>
                <w:rtl w:val="true"/>
              </w:rPr>
              <w:t>]</w:t>
              <w:tab/>
            </w:r>
            <w:r>
              <w:rPr>
                <w:rStyle w:val="IndexLink"/>
              </w:rPr>
              <w:t>871</w:t>
            </w:r>
          </w:hyperlink>
        </w:p>
        <w:p>
          <w:pPr>
            <w:pStyle w:val="Contents5"/>
            <w:tabs>
              <w:tab w:val="clear" w:pos="7892"/>
              <w:tab w:val="right" w:pos="9026" w:leader="dot"/>
            </w:tabs>
            <w:rPr/>
          </w:pPr>
          <w:hyperlink w:anchor="__RefHeading___Toc257219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یجب علی المرأة فی وفاة زوجها الحداد ما دامت فی العدّة</w:t>
            </w:r>
            <w:r>
              <w:rPr>
                <w:rStyle w:val="IndexLink"/>
                <w:rtl w:val="true"/>
              </w:rPr>
              <w:t>]</w:t>
              <w:tab/>
            </w:r>
            <w:r>
              <w:rPr>
                <w:rStyle w:val="IndexLink"/>
              </w:rPr>
              <w:t>871</w:t>
            </w:r>
          </w:hyperlink>
        </w:p>
        <w:p>
          <w:pPr>
            <w:pStyle w:val="Contents5"/>
            <w:tabs>
              <w:tab w:val="clear" w:pos="7892"/>
              <w:tab w:val="right" w:pos="9026" w:leader="dot"/>
            </w:tabs>
            <w:rPr/>
          </w:pPr>
          <w:hyperlink w:anchor="__RefHeading___Toc257219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الأقویٰ أنّ الحداد لیس شرطاً فی صحّة العدّة</w:t>
            </w:r>
            <w:r>
              <w:rPr>
                <w:rStyle w:val="IndexLink"/>
                <w:rtl w:val="true"/>
              </w:rPr>
              <w:t>]</w:t>
              <w:tab/>
            </w:r>
            <w:r>
              <w:rPr>
                <w:rStyle w:val="IndexLink"/>
              </w:rPr>
              <w:t>871</w:t>
            </w:r>
          </w:hyperlink>
        </w:p>
        <w:p>
          <w:pPr>
            <w:pStyle w:val="Contents5"/>
            <w:tabs>
              <w:tab w:val="clear" w:pos="7892"/>
              <w:tab w:val="right" w:pos="9026" w:leader="dot"/>
            </w:tabs>
            <w:rPr/>
          </w:pPr>
          <w:hyperlink w:anchor="__RefHeading___Toc257219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لا فرق فی وجوب الحداد بین المسلمة و الذمّیة</w:t>
            </w:r>
            <w:r>
              <w:rPr>
                <w:rStyle w:val="IndexLink"/>
                <w:rtl w:val="true"/>
              </w:rPr>
              <w:t>]</w:t>
              <w:tab/>
            </w:r>
            <w:r>
              <w:rPr>
                <w:rStyle w:val="IndexLink"/>
              </w:rPr>
              <w:t>872</w:t>
            </w:r>
          </w:hyperlink>
        </w:p>
        <w:p>
          <w:pPr>
            <w:pStyle w:val="Contents5"/>
            <w:tabs>
              <w:tab w:val="clear" w:pos="7892"/>
              <w:tab w:val="right" w:pos="9026" w:leader="dot"/>
            </w:tabs>
            <w:rPr/>
          </w:pPr>
          <w:hyperlink w:anchor="__RefHeading___Toc2572200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لا حداد علی الأمة؛ لا من موت سیّدها و لا من موت زوجها</w:t>
            </w:r>
            <w:r>
              <w:rPr>
                <w:rStyle w:val="IndexLink"/>
                <w:rtl w:val="true"/>
              </w:rPr>
              <w:t>]</w:t>
              <w:tab/>
            </w:r>
            <w:r>
              <w:rPr>
                <w:rStyle w:val="IndexLink"/>
              </w:rPr>
              <w:t>872</w:t>
            </w:r>
          </w:hyperlink>
        </w:p>
        <w:p>
          <w:pPr>
            <w:pStyle w:val="Contents5"/>
            <w:tabs>
              <w:tab w:val="clear" w:pos="7892"/>
              <w:tab w:val="right" w:pos="9026" w:leader="dot"/>
            </w:tabs>
            <w:rPr/>
          </w:pPr>
          <w:hyperlink w:anchor="__RefHeading___Toc2572202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یجوز للمعتدّة بعدّة الوفاة أن تخرج من بیتها فی زمان عدّتها و التردّد فی حوائجها</w:t>
            </w:r>
            <w:r>
              <w:rPr>
                <w:rStyle w:val="IndexLink"/>
                <w:rtl w:val="true"/>
              </w:rPr>
              <w:t>]</w:t>
              <w:tab/>
            </w:r>
            <w:r>
              <w:rPr>
                <w:rStyle w:val="IndexLink"/>
              </w:rPr>
              <w:t>872</w:t>
            </w:r>
          </w:hyperlink>
        </w:p>
        <w:p>
          <w:pPr>
            <w:pStyle w:val="Contents5"/>
            <w:tabs>
              <w:tab w:val="clear" w:pos="7892"/>
              <w:tab w:val="right" w:pos="9026" w:leader="dot"/>
            </w:tabs>
            <w:rPr/>
          </w:pPr>
          <w:hyperlink w:anchor="__RefHeading___Toc2572204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لا إشکال فی أنّ مبدأ عدّة الطلاق من حین وقوعه</w:t>
            </w:r>
            <w:r>
              <w:rPr>
                <w:rStyle w:val="IndexLink"/>
                <w:rtl w:val="true"/>
              </w:rPr>
              <w:t>]</w:t>
              <w:tab/>
            </w:r>
            <w:r>
              <w:rPr>
                <w:rStyle w:val="IndexLink"/>
              </w:rPr>
              <w:t>872</w:t>
            </w:r>
          </w:hyperlink>
        </w:p>
        <w:p>
          <w:pPr>
            <w:pStyle w:val="Contents5"/>
            <w:tabs>
              <w:tab w:val="clear" w:pos="7892"/>
              <w:tab w:val="right" w:pos="9026" w:leader="dot"/>
            </w:tabs>
            <w:rPr/>
          </w:pPr>
          <w:hyperlink w:anchor="__RefHeading___Toc2572206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لا یعتبر فی الإخبار الموجب للاعتداد من حینه، کونه حجّة شرعیّة</w:t>
            </w:r>
            <w:r>
              <w:rPr>
                <w:rStyle w:val="IndexLink"/>
                <w:rtl w:val="true"/>
              </w:rPr>
              <w:t>]</w:t>
              <w:tab/>
            </w:r>
            <w:r>
              <w:rPr>
                <w:rStyle w:val="IndexLink"/>
              </w:rPr>
              <w:t>872</w:t>
            </w:r>
          </w:hyperlink>
        </w:p>
        <w:p>
          <w:pPr>
            <w:pStyle w:val="Contents5"/>
            <w:tabs>
              <w:tab w:val="clear" w:pos="7892"/>
              <w:tab w:val="right" w:pos="9026" w:leader="dot"/>
            </w:tabs>
            <w:rPr/>
          </w:pPr>
          <w:hyperlink w:anchor="__RefHeading___Toc2572208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لو علمت بالطلاق و لم تعلم وقت وقوعه حتّی تحسب العدّة من ذلک الوقت</w:t>
            </w:r>
            <w:r>
              <w:rPr>
                <w:rStyle w:val="IndexLink"/>
                <w:rtl w:val="true"/>
              </w:rPr>
              <w:t>]</w:t>
              <w:tab/>
            </w:r>
            <w:r>
              <w:rPr>
                <w:rStyle w:val="IndexLink"/>
              </w:rPr>
              <w:t>873</w:t>
            </w:r>
          </w:hyperlink>
        </w:p>
        <w:p>
          <w:pPr>
            <w:pStyle w:val="Contents5"/>
            <w:tabs>
              <w:tab w:val="clear" w:pos="7892"/>
              <w:tab w:val="right" w:pos="9026" w:leader="dot"/>
            </w:tabs>
            <w:rPr/>
          </w:pPr>
          <w:hyperlink w:anchor="__RefHeading___Toc2572210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إذا فقد الرجل و غاب غیبة منقطعة و لم یبلغ منه خبر و لا ظهر منه أثر</w:t>
            </w:r>
            <w:r>
              <w:rPr>
                <w:rStyle w:val="IndexLink"/>
                <w:rtl w:val="true"/>
              </w:rPr>
              <w:t>]</w:t>
              <w:tab/>
            </w:r>
            <w:r>
              <w:rPr>
                <w:rStyle w:val="IndexLink"/>
              </w:rPr>
              <w:t>873</w:t>
            </w:r>
          </w:hyperlink>
        </w:p>
        <w:p>
          <w:pPr>
            <w:pStyle w:val="Contents5"/>
            <w:tabs>
              <w:tab w:val="clear" w:pos="7892"/>
              <w:tab w:val="right" w:pos="9026" w:leader="dot"/>
            </w:tabs>
            <w:rPr/>
          </w:pPr>
          <w:hyperlink w:anchor="__RefHeading___Toc2572212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لیست للفحص و الطلب کیفیّة خاصّة</w:t>
            </w:r>
            <w:r>
              <w:rPr>
                <w:rStyle w:val="IndexLink"/>
                <w:rtl w:val="true"/>
              </w:rPr>
              <w:t>]</w:t>
              <w:tab/>
            </w:r>
            <w:r>
              <w:rPr>
                <w:rStyle w:val="IndexLink"/>
              </w:rPr>
              <w:t>873</w:t>
            </w:r>
          </w:hyperlink>
        </w:p>
        <w:p>
          <w:pPr>
            <w:pStyle w:val="Contents5"/>
            <w:tabs>
              <w:tab w:val="clear" w:pos="7892"/>
              <w:tab w:val="right" w:pos="9026" w:leader="dot"/>
            </w:tabs>
            <w:rPr/>
          </w:pPr>
          <w:hyperlink w:anchor="__RefHeading___Toc2572214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لا یشترط فی المبعوث و المکتوب إلیه و المستخبرین منهم من المسافرین العدالة</w:t>
            </w:r>
            <w:r>
              <w:rPr>
                <w:rStyle w:val="IndexLink"/>
                <w:rtl w:val="true"/>
              </w:rPr>
              <w:t>]</w:t>
              <w:tab/>
            </w:r>
            <w:r>
              <w:rPr>
                <w:rStyle w:val="IndexLink"/>
              </w:rPr>
              <w:t>873</w:t>
            </w:r>
          </w:hyperlink>
        </w:p>
        <w:p>
          <w:pPr>
            <w:pStyle w:val="Contents5"/>
            <w:tabs>
              <w:tab w:val="clear" w:pos="7892"/>
              <w:tab w:val="right" w:pos="9026" w:leader="dot"/>
            </w:tabs>
            <w:rPr/>
          </w:pPr>
          <w:hyperlink w:anchor="__RefHeading___Toc2572216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لا یعتبر أن یکون الفحص بالبعث أو الکتابة و نحوها من الحاکم</w:t>
            </w:r>
            <w:r>
              <w:rPr>
                <w:rStyle w:val="IndexLink"/>
                <w:rtl w:val="true"/>
              </w:rPr>
              <w:t>]</w:t>
              <w:tab/>
            </w:r>
            <w:r>
              <w:rPr>
                <w:rStyle w:val="IndexLink"/>
              </w:rPr>
              <w:t>873</w:t>
            </w:r>
          </w:hyperlink>
        </w:p>
        <w:p>
          <w:pPr>
            <w:pStyle w:val="Contents5"/>
            <w:tabs>
              <w:tab w:val="clear" w:pos="7892"/>
              <w:tab w:val="right" w:pos="9026" w:leader="dot"/>
            </w:tabs>
            <w:rPr/>
          </w:pPr>
          <w:hyperlink w:anchor="__RefHeading___Toc2572218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مقدار الفحص بحسب الزمان أربعة أعوام</w:t>
            </w:r>
            <w:r>
              <w:rPr>
                <w:rStyle w:val="IndexLink"/>
                <w:rtl w:val="true"/>
              </w:rPr>
              <w:t>]</w:t>
              <w:tab/>
            </w:r>
            <w:r>
              <w:rPr>
                <w:rStyle w:val="IndexLink"/>
              </w:rPr>
              <w:t>874</w:t>
            </w:r>
          </w:hyperlink>
        </w:p>
        <w:p>
          <w:pPr>
            <w:pStyle w:val="Contents5"/>
            <w:tabs>
              <w:tab w:val="clear" w:pos="7892"/>
              <w:tab w:val="right" w:pos="9026" w:leader="dot"/>
            </w:tabs>
            <w:rPr/>
          </w:pPr>
          <w:hyperlink w:anchor="__RefHeading___Toc2572220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المقدار اللازم من الفحص هو المتعارف لأمثال ذلک</w:t>
            </w:r>
            <w:r>
              <w:rPr>
                <w:rStyle w:val="IndexLink"/>
                <w:rtl w:val="true"/>
              </w:rPr>
              <w:t>]</w:t>
              <w:tab/>
            </w:r>
            <w:r>
              <w:rPr>
                <w:rStyle w:val="IndexLink"/>
              </w:rPr>
              <w:t>874</w:t>
            </w:r>
          </w:hyperlink>
        </w:p>
        <w:p>
          <w:pPr>
            <w:pStyle w:val="Contents5"/>
            <w:tabs>
              <w:tab w:val="clear" w:pos="7892"/>
              <w:tab w:val="right" w:pos="9026" w:leader="dot"/>
            </w:tabs>
            <w:rPr/>
          </w:pPr>
          <w:hyperlink w:anchor="__RefHeading___Toc2572222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إذا علم أنّه قد کان فی بلد معیّن فی زمان ثمّ انقطع أثره، یتفحّص عنه أوّلًا</w:t>
            </w:r>
            <w:r>
              <w:rPr>
                <w:rStyle w:val="IndexLink"/>
                <w:rtl w:val="true"/>
              </w:rPr>
              <w:t>]</w:t>
              <w:tab/>
            </w:r>
            <w:r>
              <w:rPr>
                <w:rStyle w:val="IndexLink"/>
              </w:rPr>
              <w:t>874</w:t>
            </w:r>
          </w:hyperlink>
        </w:p>
        <w:p>
          <w:pPr>
            <w:pStyle w:val="Contents5"/>
            <w:tabs>
              <w:tab w:val="clear" w:pos="7892"/>
              <w:tab w:val="right" w:pos="9026" w:leader="dot"/>
            </w:tabs>
            <w:rPr/>
          </w:pPr>
          <w:hyperlink w:anchor="__RefHeading___Toc2572224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قد عرفت أنّ الأحوط أن یکون الفحص و الطلاق بعد رفع أمرها إلی الحاکم</w:t>
            </w:r>
            <w:r>
              <w:rPr>
                <w:rStyle w:val="IndexLink"/>
                <w:rtl w:val="true"/>
              </w:rPr>
              <w:t>]</w:t>
              <w:tab/>
            </w:r>
            <w:r>
              <w:rPr>
                <w:rStyle w:val="IndexLink"/>
              </w:rPr>
              <w:t>875</w:t>
            </w:r>
          </w:hyperlink>
        </w:p>
        <w:p>
          <w:pPr>
            <w:pStyle w:val="Contents5"/>
            <w:tabs>
              <w:tab w:val="clear" w:pos="7892"/>
              <w:tab w:val="right" w:pos="9026" w:leader="dot"/>
            </w:tabs>
            <w:rPr/>
          </w:pPr>
          <w:hyperlink w:anchor="__RefHeading___Toc2572226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إذا علم أنّ الفحص لا ینفع و لا یترتّب علیه أثر، فالظاهر سقوط وجوبه</w:t>
            </w:r>
            <w:r>
              <w:rPr>
                <w:rStyle w:val="IndexLink"/>
                <w:rtl w:val="true"/>
              </w:rPr>
              <w:t>]</w:t>
              <w:tab/>
            </w:r>
            <w:r>
              <w:rPr>
                <w:rStyle w:val="IndexLink"/>
              </w:rPr>
              <w:t>875</w:t>
            </w:r>
          </w:hyperlink>
        </w:p>
        <w:p>
          <w:pPr>
            <w:pStyle w:val="Contents5"/>
            <w:tabs>
              <w:tab w:val="clear" w:pos="7892"/>
              <w:tab w:val="right" w:pos="9026" w:leader="dot"/>
            </w:tabs>
            <w:rPr/>
          </w:pPr>
          <w:hyperlink w:anchor="__RefHeading___Toc2572228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یجوز لها اختیار البقاء علی الزوجیّة بعد رفع الأمر إلی الحاکم قبل أن تطلّق</w:t>
            </w:r>
            <w:r>
              <w:rPr>
                <w:rStyle w:val="IndexLink"/>
                <w:rtl w:val="true"/>
              </w:rPr>
              <w:t>]</w:t>
              <w:tab/>
            </w:r>
            <w:r>
              <w:rPr>
                <w:rStyle w:val="IndexLink"/>
              </w:rPr>
              <w:t>875</w:t>
            </w:r>
          </w:hyperlink>
        </w:p>
        <w:p>
          <w:pPr>
            <w:pStyle w:val="Contents5"/>
            <w:tabs>
              <w:tab w:val="clear" w:pos="7892"/>
              <w:tab w:val="right" w:pos="9026" w:leader="dot"/>
            </w:tabs>
            <w:rPr/>
          </w:pPr>
          <w:hyperlink w:anchor="__RefHeading___Toc2572230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الظاهر أنّ العدّة الواقعة بعد الطلاق عدّة طلاق</w:t>
            </w:r>
            <w:r>
              <w:rPr>
                <w:rStyle w:val="IndexLink"/>
                <w:rtl w:val="true"/>
              </w:rPr>
              <w:t>]</w:t>
              <w:tab/>
            </w:r>
            <w:r>
              <w:rPr>
                <w:rStyle w:val="IndexLink"/>
              </w:rPr>
              <w:t>875</w:t>
            </w:r>
          </w:hyperlink>
        </w:p>
        <w:p>
          <w:pPr>
            <w:pStyle w:val="Contents5"/>
            <w:tabs>
              <w:tab w:val="clear" w:pos="7892"/>
              <w:tab w:val="right" w:pos="9026" w:leader="dot"/>
            </w:tabs>
            <w:rPr/>
          </w:pPr>
          <w:hyperlink w:anchor="__RefHeading___Toc2572232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إذا تبیّن موته قبل انقضاء المدّة أو بعده قبل الطلاق، وجب علیها عدّة الوفاة</w:t>
            </w:r>
            <w:r>
              <w:rPr>
                <w:rStyle w:val="IndexLink"/>
                <w:rtl w:val="true"/>
              </w:rPr>
              <w:t>]</w:t>
              <w:tab/>
            </w:r>
            <w:r>
              <w:rPr>
                <w:rStyle w:val="IndexLink"/>
              </w:rPr>
              <w:t>875</w:t>
            </w:r>
          </w:hyperlink>
        </w:p>
        <w:p>
          <w:pPr>
            <w:pStyle w:val="Contents5"/>
            <w:tabs>
              <w:tab w:val="clear" w:pos="7892"/>
              <w:tab w:val="right" w:pos="9026" w:leader="dot"/>
            </w:tabs>
            <w:rPr/>
          </w:pPr>
          <w:hyperlink w:anchor="__RefHeading___Toc2572234_3650668749">
            <w:r>
              <w:rPr>
                <w:webHidden/>
                <w:rStyle w:val="IndexLink"/>
                <w:rtl w:val="true"/>
              </w:rPr>
              <w:t>[ (</w:t>
            </w:r>
            <w:r>
              <w:rPr>
                <w:rStyle w:val="IndexLink"/>
                <w:rtl w:val="true"/>
              </w:rPr>
              <w:t xml:space="preserve">مسألة </w:t>
            </w:r>
            <w:r>
              <w:rPr>
                <w:rStyle w:val="IndexLink"/>
              </w:rPr>
              <w:t>24</w:t>
            </w:r>
            <w:r>
              <w:rPr>
                <w:rStyle w:val="IndexLink"/>
                <w:rtl w:val="true"/>
              </w:rPr>
              <w:t xml:space="preserve">): </w:t>
            </w:r>
            <w:r>
              <w:rPr>
                <w:rStyle w:val="IndexLink"/>
                <w:rtl w:val="true"/>
              </w:rPr>
              <w:t>إذا جاء الزوج بعد الفحص و انقضاء الأجل، فإن کان قبل الطلاق فهی زوجته</w:t>
            </w:r>
            <w:r>
              <w:rPr>
                <w:rStyle w:val="IndexLink"/>
                <w:rtl w:val="true"/>
              </w:rPr>
              <w:t>]</w:t>
              <w:tab/>
            </w:r>
            <w:r>
              <w:rPr>
                <w:rStyle w:val="IndexLink"/>
              </w:rPr>
              <w:t>875</w:t>
            </w:r>
          </w:hyperlink>
        </w:p>
        <w:p>
          <w:pPr>
            <w:pStyle w:val="Contents5"/>
            <w:tabs>
              <w:tab w:val="clear" w:pos="7892"/>
              <w:tab w:val="right" w:pos="9026" w:leader="dot"/>
            </w:tabs>
            <w:rPr/>
          </w:pPr>
          <w:hyperlink w:anchor="__RefHeading___Toc2572236_3650668749">
            <w:r>
              <w:rPr>
                <w:webHidden/>
                <w:rStyle w:val="IndexLink"/>
                <w:rtl w:val="true"/>
              </w:rPr>
              <w:t>[ (</w:t>
            </w:r>
            <w:r>
              <w:rPr>
                <w:rStyle w:val="IndexLink"/>
                <w:rtl w:val="true"/>
              </w:rPr>
              <w:t xml:space="preserve">مسألة </w:t>
            </w:r>
            <w:r>
              <w:rPr>
                <w:rStyle w:val="IndexLink"/>
              </w:rPr>
              <w:t>25</w:t>
            </w:r>
            <w:r>
              <w:rPr>
                <w:rStyle w:val="IndexLink"/>
                <w:rtl w:val="true"/>
              </w:rPr>
              <w:t xml:space="preserve">): </w:t>
            </w:r>
            <w:r>
              <w:rPr>
                <w:rStyle w:val="IndexLink"/>
                <w:rtl w:val="true"/>
              </w:rPr>
              <w:t>إذا حصل لزوجة الغائب بسبب القرائن و تراکم الأمارات العلم بموته</w:t>
            </w:r>
            <w:r>
              <w:rPr>
                <w:rStyle w:val="IndexLink"/>
                <w:rtl w:val="true"/>
              </w:rPr>
              <w:t>]</w:t>
              <w:tab/>
            </w:r>
            <w:r>
              <w:rPr>
                <w:rStyle w:val="IndexLink"/>
              </w:rPr>
              <w:t>876</w:t>
            </w:r>
          </w:hyperlink>
        </w:p>
        <w:p>
          <w:pPr>
            <w:pStyle w:val="Contents4"/>
            <w:tabs>
              <w:tab w:val="clear" w:pos="8176"/>
              <w:tab w:val="right" w:pos="9026" w:leader="dot"/>
            </w:tabs>
            <w:rPr/>
          </w:pPr>
          <w:hyperlink w:anchor="__RefHeading___Toc2572238_3650668749">
            <w:r>
              <w:rPr>
                <w:webHidden/>
                <w:rStyle w:val="IndexLink"/>
                <w:rtl w:val="true"/>
              </w:rPr>
              <w:t>[</w:t>
            </w:r>
            <w:r>
              <w:rPr>
                <w:rStyle w:val="IndexLink"/>
                <w:rtl w:val="true"/>
              </w:rPr>
              <w:t>القول فی عدّة وطء الشبهة</w:t>
            </w:r>
            <w:r>
              <w:rPr>
                <w:rStyle w:val="IndexLink"/>
                <w:rtl w:val="true"/>
              </w:rPr>
              <w:t>]</w:t>
              <w:tab/>
            </w:r>
            <w:r>
              <w:rPr>
                <w:rStyle w:val="IndexLink"/>
              </w:rPr>
              <w:t>876</w:t>
            </w:r>
          </w:hyperlink>
        </w:p>
        <w:p>
          <w:pPr>
            <w:pStyle w:val="Contents5"/>
            <w:tabs>
              <w:tab w:val="clear" w:pos="7892"/>
              <w:tab w:val="right" w:pos="9026" w:leader="dot"/>
            </w:tabs>
            <w:rPr/>
          </w:pPr>
          <w:hyperlink w:anchor="__RefHeading___Toc2572240_3650668749">
            <w:r>
              <w:rPr>
                <w:webHidden/>
                <w:rStyle w:val="IndexLink"/>
                <w:rtl w:val="true"/>
              </w:rPr>
              <w:t>اشارة</w:t>
            </w:r>
            <w:r>
              <w:rPr>
                <w:rStyle w:val="IndexLink"/>
                <w:rtl w:val="true"/>
              </w:rPr>
              <w:tab/>
            </w:r>
            <w:r>
              <w:rPr>
                <w:rStyle w:val="IndexLink"/>
              </w:rPr>
              <w:t>876</w:t>
            </w:r>
          </w:hyperlink>
        </w:p>
        <w:p>
          <w:pPr>
            <w:pStyle w:val="Contents5"/>
            <w:tabs>
              <w:tab w:val="clear" w:pos="7892"/>
              <w:tab w:val="right" w:pos="9026" w:leader="dot"/>
            </w:tabs>
            <w:rPr/>
          </w:pPr>
          <w:hyperlink w:anchor="__RefHeading___Toc257224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عدّة علی المزنیّ بها</w:t>
            </w:r>
            <w:r>
              <w:rPr>
                <w:rStyle w:val="IndexLink"/>
                <w:rtl w:val="true"/>
              </w:rPr>
              <w:t>]</w:t>
              <w:tab/>
            </w:r>
            <w:r>
              <w:rPr>
                <w:rStyle w:val="IndexLink"/>
              </w:rPr>
              <w:t>876</w:t>
            </w:r>
          </w:hyperlink>
        </w:p>
        <w:p>
          <w:pPr>
            <w:pStyle w:val="Contents5"/>
            <w:tabs>
              <w:tab w:val="clear" w:pos="7892"/>
              <w:tab w:val="right" w:pos="9026" w:leader="dot"/>
            </w:tabs>
            <w:rPr/>
          </w:pPr>
          <w:hyperlink w:anchor="__RefHeading___Toc257224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عدّة وطء الشبهة کعدّة الطلاق بالأقراء و الشهور</w:t>
            </w:r>
            <w:r>
              <w:rPr>
                <w:rStyle w:val="IndexLink"/>
                <w:rtl w:val="true"/>
              </w:rPr>
              <w:t>]</w:t>
              <w:tab/>
            </w:r>
            <w:r>
              <w:rPr>
                <w:rStyle w:val="IndexLink"/>
              </w:rPr>
              <w:t>876</w:t>
            </w:r>
          </w:hyperlink>
        </w:p>
        <w:p>
          <w:pPr>
            <w:pStyle w:val="Contents5"/>
            <w:tabs>
              <w:tab w:val="clear" w:pos="7892"/>
              <w:tab w:val="right" w:pos="9026" w:leader="dot"/>
            </w:tabs>
            <w:rPr/>
          </w:pPr>
          <w:hyperlink w:anchor="__RefHeading___Toc257224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کانت الموطوءة شبهة ذات بعل، لا یجوز لزوجها وطؤها فی مدّة عدّتها</w:t>
            </w:r>
            <w:r>
              <w:rPr>
                <w:rStyle w:val="IndexLink"/>
                <w:rtl w:val="true"/>
              </w:rPr>
              <w:t>]</w:t>
              <w:tab/>
            </w:r>
            <w:r>
              <w:rPr>
                <w:rStyle w:val="IndexLink"/>
              </w:rPr>
              <w:t>876</w:t>
            </w:r>
          </w:hyperlink>
        </w:p>
        <w:p>
          <w:pPr>
            <w:pStyle w:val="Contents5"/>
            <w:tabs>
              <w:tab w:val="clear" w:pos="7892"/>
              <w:tab w:val="right" w:pos="9026" w:leader="dot"/>
            </w:tabs>
            <w:rPr/>
          </w:pPr>
          <w:hyperlink w:anchor="__RefHeading___Toc257224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إذا کانت خلیّة، یجوز لواطئها أن یتزوّج بها فی زمن عدّتها</w:t>
            </w:r>
            <w:r>
              <w:rPr>
                <w:rStyle w:val="IndexLink"/>
                <w:rtl w:val="true"/>
              </w:rPr>
              <w:t>]</w:t>
              <w:tab/>
            </w:r>
            <w:r>
              <w:rPr>
                <w:rStyle w:val="IndexLink"/>
              </w:rPr>
              <w:t>877</w:t>
            </w:r>
          </w:hyperlink>
        </w:p>
        <w:p>
          <w:pPr>
            <w:pStyle w:val="Contents5"/>
            <w:tabs>
              <w:tab w:val="clear" w:pos="7892"/>
              <w:tab w:val="right" w:pos="9026" w:leader="dot"/>
            </w:tabs>
            <w:rPr/>
          </w:pPr>
          <w:hyperlink w:anchor="__RefHeading___Toc257225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فرق فی حکم وطء الشبهة من حیث العدّة و غیرها</w:t>
            </w:r>
            <w:r>
              <w:rPr>
                <w:rStyle w:val="IndexLink"/>
                <w:rtl w:val="true"/>
              </w:rPr>
              <w:t>]</w:t>
              <w:tab/>
            </w:r>
            <w:r>
              <w:rPr>
                <w:rStyle w:val="IndexLink"/>
              </w:rPr>
              <w:t>877</w:t>
            </w:r>
          </w:hyperlink>
        </w:p>
        <w:p>
          <w:pPr>
            <w:pStyle w:val="Contents5"/>
            <w:tabs>
              <w:tab w:val="clear" w:pos="7892"/>
              <w:tab w:val="right" w:pos="9026" w:leader="dot"/>
            </w:tabs>
            <w:rPr/>
          </w:pPr>
          <w:hyperlink w:anchor="__RefHeading___Toc257225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کانت معتدّة بعدّة الطلاق أو الوفاة فوطئت شبهة، أو وطئت ثمّ طلّقها</w:t>
            </w:r>
            <w:r>
              <w:rPr>
                <w:rStyle w:val="IndexLink"/>
                <w:rtl w:val="true"/>
              </w:rPr>
              <w:t>]</w:t>
              <w:tab/>
            </w:r>
            <w:r>
              <w:rPr>
                <w:rStyle w:val="IndexLink"/>
              </w:rPr>
              <w:t>877</w:t>
            </w:r>
          </w:hyperlink>
        </w:p>
        <w:p>
          <w:pPr>
            <w:pStyle w:val="Contents5"/>
            <w:tabs>
              <w:tab w:val="clear" w:pos="7892"/>
              <w:tab w:val="right" w:pos="9026" w:leader="dot"/>
            </w:tabs>
            <w:rPr/>
          </w:pPr>
          <w:hyperlink w:anchor="__RefHeading___Toc257225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طلّق زوجته بائناً ثمّ وطئها شبهة، اعتدّت عدّة اخریٰ</w:t>
            </w:r>
            <w:r>
              <w:rPr>
                <w:rStyle w:val="IndexLink"/>
                <w:rtl w:val="true"/>
              </w:rPr>
              <w:t>]</w:t>
              <w:tab/>
            </w:r>
            <w:r>
              <w:rPr>
                <w:rStyle w:val="IndexLink"/>
              </w:rPr>
              <w:t>877</w:t>
            </w:r>
          </w:hyperlink>
        </w:p>
        <w:p>
          <w:pPr>
            <w:pStyle w:val="Contents5"/>
            <w:tabs>
              <w:tab w:val="clear" w:pos="7892"/>
              <w:tab w:val="right" w:pos="9026" w:leader="dot"/>
            </w:tabs>
            <w:rPr/>
          </w:pPr>
          <w:hyperlink w:anchor="__RefHeading___Toc257225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الموجب للعدّة أُمور</w:t>
            </w:r>
            <w:r>
              <w:rPr>
                <w:rStyle w:val="IndexLink"/>
                <w:rtl w:val="true"/>
              </w:rPr>
              <w:t xml:space="preserve">: </w:t>
            </w:r>
            <w:r>
              <w:rPr>
                <w:rStyle w:val="IndexLink"/>
                <w:rtl w:val="true"/>
              </w:rPr>
              <w:t>الوفاة، و الطلاق بأقسامه</w:t>
            </w:r>
            <w:r>
              <w:rPr>
                <w:rStyle w:val="IndexLink"/>
                <w:rtl w:val="true"/>
              </w:rPr>
              <w:t>]</w:t>
              <w:tab/>
            </w:r>
            <w:r>
              <w:rPr>
                <w:rStyle w:val="IndexLink"/>
              </w:rPr>
              <w:t>877</w:t>
            </w:r>
          </w:hyperlink>
        </w:p>
        <w:p>
          <w:pPr>
            <w:pStyle w:val="Contents5"/>
            <w:tabs>
              <w:tab w:val="clear" w:pos="7892"/>
              <w:tab w:val="right" w:pos="9026" w:leader="dot"/>
            </w:tabs>
            <w:rPr/>
          </w:pPr>
          <w:hyperlink w:anchor="__RefHeading___Toc257225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قد مرّ سابقاً</w:t>
            </w:r>
            <w:r>
              <w:rPr>
                <w:rStyle w:val="IndexLink"/>
                <w:rtl w:val="true"/>
              </w:rPr>
              <w:t xml:space="preserve">: </w:t>
            </w:r>
            <w:r>
              <w:rPr>
                <w:rStyle w:val="IndexLink"/>
                <w:rtl w:val="true"/>
              </w:rPr>
              <w:t>أنّه لا عدّة علیٰ من لم یدخل بها</w:t>
            </w:r>
            <w:r>
              <w:rPr>
                <w:rStyle w:val="IndexLink"/>
                <w:rtl w:val="true"/>
              </w:rPr>
              <w:t>]</w:t>
              <w:tab/>
            </w:r>
            <w:r>
              <w:rPr>
                <w:rStyle w:val="IndexLink"/>
              </w:rPr>
              <w:t>877</w:t>
            </w:r>
          </w:hyperlink>
        </w:p>
        <w:p>
          <w:pPr>
            <w:pStyle w:val="Contents5"/>
            <w:tabs>
              <w:tab w:val="clear" w:pos="7892"/>
              <w:tab w:val="right" w:pos="9026" w:leader="dot"/>
            </w:tabs>
            <w:rPr/>
          </w:pPr>
          <w:hyperlink w:anchor="__RefHeading___Toc257226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المطلّقة بالطلاق الرجعی زوجة أو بحکم الزوجة</w:t>
            </w:r>
            <w:r>
              <w:rPr>
                <w:rStyle w:val="IndexLink"/>
                <w:rtl w:val="true"/>
              </w:rPr>
              <w:t>]</w:t>
              <w:tab/>
            </w:r>
            <w:r>
              <w:rPr>
                <w:rStyle w:val="IndexLink"/>
              </w:rPr>
              <w:t>878</w:t>
            </w:r>
          </w:hyperlink>
        </w:p>
        <w:p>
          <w:pPr>
            <w:pStyle w:val="Contents5"/>
            <w:tabs>
              <w:tab w:val="clear" w:pos="7892"/>
              <w:tab w:val="right" w:pos="9026" w:leader="dot"/>
            </w:tabs>
            <w:rPr/>
          </w:pPr>
          <w:hyperlink w:anchor="__RefHeading___Toc257226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قد عرفت أنّه لا توارث بین الزوجین فی الطلاق البائن مطلقاً</w:t>
            </w:r>
            <w:r>
              <w:rPr>
                <w:rStyle w:val="IndexLink"/>
                <w:rtl w:val="true"/>
              </w:rPr>
              <w:t>]</w:t>
              <w:tab/>
            </w:r>
            <w:r>
              <w:rPr>
                <w:rStyle w:val="IndexLink"/>
              </w:rPr>
              <w:t>878</w:t>
            </w:r>
          </w:hyperlink>
        </w:p>
        <w:p>
          <w:pPr>
            <w:pStyle w:val="Contents5"/>
            <w:tabs>
              <w:tab w:val="clear" w:pos="7892"/>
              <w:tab w:val="right" w:pos="9026" w:leader="dot"/>
            </w:tabs>
            <w:rPr/>
          </w:pPr>
          <w:hyperlink w:anchor="__RefHeading___Toc257226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لا یجوز لمن طلّق رجعیّاً أن یخرج المطلّقة من بیته حتّی تنقضی عدّتها</w:t>
            </w:r>
            <w:r>
              <w:rPr>
                <w:rStyle w:val="IndexLink"/>
                <w:rtl w:val="true"/>
              </w:rPr>
              <w:t>]</w:t>
              <w:tab/>
            </w:r>
            <w:r>
              <w:rPr>
                <w:rStyle w:val="IndexLink"/>
              </w:rPr>
              <w:t>878</w:t>
            </w:r>
          </w:hyperlink>
        </w:p>
        <w:p>
          <w:pPr>
            <w:pStyle w:val="Contents4"/>
            <w:tabs>
              <w:tab w:val="clear" w:pos="8176"/>
              <w:tab w:val="right" w:pos="9026" w:leader="dot"/>
            </w:tabs>
            <w:rPr/>
          </w:pPr>
          <w:hyperlink w:anchor="__RefHeading___Toc2572266_3650668749">
            <w:r>
              <w:rPr>
                <w:webHidden/>
                <w:rStyle w:val="IndexLink"/>
                <w:rtl w:val="true"/>
              </w:rPr>
              <w:t>[</w:t>
            </w:r>
            <w:r>
              <w:rPr>
                <w:rStyle w:val="IndexLink"/>
                <w:rtl w:val="true"/>
              </w:rPr>
              <w:t>القول فی الرجعة</w:t>
            </w:r>
            <w:r>
              <w:rPr>
                <w:rStyle w:val="IndexLink"/>
                <w:rtl w:val="true"/>
              </w:rPr>
              <w:t>]</w:t>
              <w:tab/>
            </w:r>
            <w:r>
              <w:rPr>
                <w:rStyle w:val="IndexLink"/>
              </w:rPr>
              <w:t>879</w:t>
            </w:r>
          </w:hyperlink>
        </w:p>
        <w:p>
          <w:pPr>
            <w:pStyle w:val="Contents5"/>
            <w:tabs>
              <w:tab w:val="clear" w:pos="7892"/>
              <w:tab w:val="right" w:pos="9026" w:leader="dot"/>
            </w:tabs>
            <w:rPr/>
          </w:pPr>
          <w:hyperlink w:anchor="__RefHeading___Toc2572268_3650668749">
            <w:r>
              <w:rPr>
                <w:webHidden/>
                <w:rStyle w:val="IndexLink"/>
                <w:rtl w:val="true"/>
              </w:rPr>
              <w:t>اشارة</w:t>
            </w:r>
            <w:r>
              <w:rPr>
                <w:rStyle w:val="IndexLink"/>
                <w:rtl w:val="true"/>
              </w:rPr>
              <w:tab/>
            </w:r>
            <w:r>
              <w:rPr>
                <w:rStyle w:val="IndexLink"/>
              </w:rPr>
              <w:t>879</w:t>
            </w:r>
          </w:hyperlink>
        </w:p>
        <w:p>
          <w:pPr>
            <w:pStyle w:val="Contents5"/>
            <w:tabs>
              <w:tab w:val="clear" w:pos="7892"/>
              <w:tab w:val="right" w:pos="9026" w:leader="dot"/>
            </w:tabs>
            <w:rPr/>
          </w:pPr>
          <w:hyperlink w:anchor="__RefHeading___Toc2572270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الرجعة إمّا بالقول، و هو کلّ لفظ دلّ علیٰ إنشاء الرجوع</w:t>
            </w:r>
            <w:r>
              <w:rPr>
                <w:rStyle w:val="IndexLink"/>
                <w:rtl w:val="true"/>
              </w:rPr>
              <w:t>]</w:t>
              <w:tab/>
            </w:r>
            <w:r>
              <w:rPr>
                <w:rStyle w:val="IndexLink"/>
              </w:rPr>
              <w:t>879</w:t>
            </w:r>
          </w:hyperlink>
        </w:p>
        <w:p>
          <w:pPr>
            <w:pStyle w:val="Contents5"/>
            <w:tabs>
              <w:tab w:val="clear" w:pos="7892"/>
              <w:tab w:val="right" w:pos="9026" w:leader="dot"/>
            </w:tabs>
            <w:rPr/>
          </w:pPr>
          <w:hyperlink w:anchor="__RefHeading___Toc2572272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تتوقّف حلّیّة الوطء و ما دونه من التقبیل و اللمس علیٰ سبق الرجوع لفظاً</w:t>
            </w:r>
            <w:r>
              <w:rPr>
                <w:rStyle w:val="IndexLink"/>
                <w:rtl w:val="true"/>
              </w:rPr>
              <w:t>]</w:t>
              <w:tab/>
            </w:r>
            <w:r>
              <w:rPr>
                <w:rStyle w:val="IndexLink"/>
              </w:rPr>
              <w:t>879</w:t>
            </w:r>
          </w:hyperlink>
        </w:p>
        <w:p>
          <w:pPr>
            <w:pStyle w:val="Contents5"/>
            <w:tabs>
              <w:tab w:val="clear" w:pos="7892"/>
              <w:tab w:val="right" w:pos="9026" w:leader="dot"/>
            </w:tabs>
            <w:rPr/>
          </w:pPr>
          <w:hyperlink w:anchor="__RefHeading___Toc2572274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لو أنکر أصل الطلاق و هی فی العدّة، کان ذلک رجوعاً و إن علم کذبه</w:t>
            </w:r>
            <w:r>
              <w:rPr>
                <w:rStyle w:val="IndexLink"/>
                <w:rtl w:val="true"/>
              </w:rPr>
              <w:t>]</w:t>
              <w:tab/>
            </w:r>
            <w:r>
              <w:rPr>
                <w:rStyle w:val="IndexLink"/>
              </w:rPr>
              <w:t>879</w:t>
            </w:r>
          </w:hyperlink>
        </w:p>
        <w:p>
          <w:pPr>
            <w:pStyle w:val="Contents5"/>
            <w:tabs>
              <w:tab w:val="clear" w:pos="7892"/>
              <w:tab w:val="right" w:pos="9026" w:leader="dot"/>
            </w:tabs>
            <w:rPr/>
          </w:pPr>
          <w:hyperlink w:anchor="__RefHeading___Toc2572276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لا یعتبر الإشهاد فی الرجعة</w:t>
            </w:r>
            <w:r>
              <w:rPr>
                <w:rStyle w:val="IndexLink"/>
                <w:rtl w:val="true"/>
              </w:rPr>
              <w:t>]</w:t>
              <w:tab/>
            </w:r>
            <w:r>
              <w:rPr>
                <w:rStyle w:val="IndexLink"/>
              </w:rPr>
              <w:t>879</w:t>
            </w:r>
          </w:hyperlink>
        </w:p>
        <w:p>
          <w:pPr>
            <w:pStyle w:val="Contents5"/>
            <w:tabs>
              <w:tab w:val="clear" w:pos="7892"/>
              <w:tab w:val="right" w:pos="9026" w:leader="dot"/>
            </w:tabs>
            <w:rPr/>
          </w:pPr>
          <w:hyperlink w:anchor="__RefHeading___Toc2572278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إذا اتّفقا علی الرجوع و انقضاء العدّة و اختلفا فی المتقدّم منهما</w:t>
            </w:r>
            <w:r>
              <w:rPr>
                <w:rStyle w:val="IndexLink"/>
                <w:rtl w:val="true"/>
              </w:rPr>
              <w:t>]</w:t>
              <w:tab/>
            </w:r>
            <w:r>
              <w:rPr>
                <w:rStyle w:val="IndexLink"/>
              </w:rPr>
              <w:t>880</w:t>
            </w:r>
          </w:hyperlink>
        </w:p>
        <w:p>
          <w:pPr>
            <w:pStyle w:val="Contents5"/>
            <w:tabs>
              <w:tab w:val="clear" w:pos="7892"/>
              <w:tab w:val="right" w:pos="9026" w:leader="dot"/>
            </w:tabs>
            <w:rPr/>
          </w:pPr>
          <w:hyperlink w:anchor="__RefHeading___Toc2572280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طلّق و راجع، فأنکرت هی الدخول بها قبل الطلاق</w:t>
            </w:r>
            <w:r>
              <w:rPr>
                <w:rStyle w:val="IndexLink"/>
                <w:rtl w:val="true"/>
              </w:rPr>
              <w:t>]</w:t>
              <w:tab/>
            </w:r>
            <w:r>
              <w:rPr>
                <w:rStyle w:val="IndexLink"/>
              </w:rPr>
              <w:t>880</w:t>
            </w:r>
          </w:hyperlink>
        </w:p>
        <w:p>
          <w:pPr>
            <w:pStyle w:val="Contents5"/>
            <w:tabs>
              <w:tab w:val="clear" w:pos="7892"/>
              <w:tab w:val="right" w:pos="9026" w:leader="dot"/>
            </w:tabs>
            <w:rPr/>
          </w:pPr>
          <w:hyperlink w:anchor="__RefHeading___Toc2572282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الظاهر أنّ جواز الرجوع فی الطلاق الرجعی حکم شرعی غیر قابل للإسقاط</w:t>
            </w:r>
            <w:r>
              <w:rPr>
                <w:rStyle w:val="IndexLink"/>
                <w:rtl w:val="true"/>
              </w:rPr>
              <w:t>]</w:t>
              <w:tab/>
            </w:r>
            <w:r>
              <w:rPr>
                <w:rStyle w:val="IndexLink"/>
              </w:rPr>
              <w:t>880</w:t>
            </w:r>
          </w:hyperlink>
        </w:p>
        <w:p>
          <w:pPr>
            <w:pStyle w:val="Contents2"/>
            <w:tabs>
              <w:tab w:val="clear" w:pos="8743"/>
              <w:tab w:val="right" w:pos="9026" w:leader="dot"/>
            </w:tabs>
            <w:rPr/>
          </w:pPr>
          <w:hyperlink w:anchor="__RefHeading___Toc2572284_3650668749">
            <w:r>
              <w:rPr>
                <w:webHidden/>
                <w:rStyle w:val="IndexLink"/>
                <w:rtl w:val="true"/>
              </w:rPr>
              <w:t>[</w:t>
            </w:r>
            <w:r>
              <w:rPr>
                <w:rStyle w:val="IndexLink"/>
                <w:rtl w:val="true"/>
              </w:rPr>
              <w:t>کتاب الخلع و المبارأة</w:t>
            </w:r>
            <w:r>
              <w:rPr>
                <w:rStyle w:val="IndexLink"/>
                <w:rtl w:val="true"/>
              </w:rPr>
              <w:t>]</w:t>
              <w:tab/>
            </w:r>
            <w:r>
              <w:rPr>
                <w:rStyle w:val="IndexLink"/>
              </w:rPr>
              <w:t>881</w:t>
            </w:r>
          </w:hyperlink>
        </w:p>
        <w:p>
          <w:pPr>
            <w:pStyle w:val="Contents3"/>
            <w:tabs>
              <w:tab w:val="clear" w:pos="8459"/>
              <w:tab w:val="right" w:pos="9026" w:leader="dot"/>
            </w:tabs>
            <w:rPr/>
          </w:pPr>
          <w:hyperlink w:anchor="__RefHeading___Toc2572286_3650668749">
            <w:r>
              <w:rPr>
                <w:webHidden/>
                <w:rStyle w:val="IndexLink"/>
                <w:rtl w:val="true"/>
              </w:rPr>
              <w:t>اشارة</w:t>
            </w:r>
            <w:r>
              <w:rPr>
                <w:rStyle w:val="IndexLink"/>
                <w:rtl w:val="true"/>
              </w:rPr>
              <w:tab/>
            </w:r>
            <w:r>
              <w:rPr>
                <w:rStyle w:val="IndexLink"/>
              </w:rPr>
              <w:t>881</w:t>
            </w:r>
          </w:hyperlink>
        </w:p>
        <w:p>
          <w:pPr>
            <w:pStyle w:val="Contents3"/>
            <w:tabs>
              <w:tab w:val="clear" w:pos="8459"/>
              <w:tab w:val="right" w:pos="9026" w:leader="dot"/>
            </w:tabs>
            <w:rPr/>
          </w:pPr>
          <w:hyperlink w:anchor="__RefHeading___Toc257228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الخلع هو الطلاق بفدیة من الزوجة الکارهة لزوجها</w:t>
            </w:r>
            <w:r>
              <w:rPr>
                <w:rStyle w:val="IndexLink"/>
                <w:rtl w:val="true"/>
              </w:rPr>
              <w:t>]</w:t>
              <w:tab/>
            </w:r>
            <w:r>
              <w:rPr>
                <w:rStyle w:val="IndexLink"/>
              </w:rPr>
              <w:t>881</w:t>
            </w:r>
          </w:hyperlink>
        </w:p>
        <w:p>
          <w:pPr>
            <w:pStyle w:val="Contents3"/>
            <w:tabs>
              <w:tab w:val="clear" w:pos="8459"/>
              <w:tab w:val="right" w:pos="9026" w:leader="dot"/>
            </w:tabs>
            <w:rPr/>
          </w:pPr>
          <w:hyperlink w:anchor="__RefHeading___Toc257229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الظاهر وقوع الخلع بکلّ من لفظی الخلع و الطلاق</w:t>
            </w:r>
            <w:r>
              <w:rPr>
                <w:rStyle w:val="IndexLink"/>
                <w:rtl w:val="true"/>
              </w:rPr>
              <w:t>]</w:t>
              <w:tab/>
            </w:r>
            <w:r>
              <w:rPr>
                <w:rStyle w:val="IndexLink"/>
              </w:rPr>
              <w:t>881</w:t>
            </w:r>
          </w:hyperlink>
        </w:p>
        <w:p>
          <w:pPr>
            <w:pStyle w:val="Contents3"/>
            <w:tabs>
              <w:tab w:val="clear" w:pos="8459"/>
              <w:tab w:val="right" w:pos="9026" w:leader="dot"/>
            </w:tabs>
            <w:rPr/>
          </w:pPr>
          <w:hyperlink w:anchor="__RefHeading___Toc257229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الخلع و إن کان قسماً من الطلاق و هو من الإیقاعات إلّا أنّه یشبه العقود</w:t>
            </w:r>
            <w:r>
              <w:rPr>
                <w:rStyle w:val="IndexLink"/>
                <w:rtl w:val="true"/>
              </w:rPr>
              <w:t>]</w:t>
              <w:tab/>
            </w:r>
            <w:r>
              <w:rPr>
                <w:rStyle w:val="IndexLink"/>
              </w:rPr>
              <w:t>881</w:t>
            </w:r>
          </w:hyperlink>
        </w:p>
        <w:p>
          <w:pPr>
            <w:pStyle w:val="Contents3"/>
            <w:tabs>
              <w:tab w:val="clear" w:pos="8459"/>
              <w:tab w:val="right" w:pos="9026" w:leader="dot"/>
            </w:tabs>
            <w:rPr/>
          </w:pPr>
          <w:hyperlink w:anchor="__RefHeading___Toc257229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یعتبر فی صحّة الخلع عدم الفصل بین إنشاء البذل و الطلاق بما لا یخلّ بالفوریّة العرفیّة</w:t>
            </w:r>
            <w:r>
              <w:rPr>
                <w:rStyle w:val="IndexLink"/>
                <w:rtl w:val="true"/>
              </w:rPr>
              <w:t>]</w:t>
              <w:tab/>
            </w:r>
            <w:r>
              <w:rPr>
                <w:rStyle w:val="IndexLink"/>
              </w:rPr>
              <w:t>881</w:t>
            </w:r>
          </w:hyperlink>
        </w:p>
        <w:p>
          <w:pPr>
            <w:pStyle w:val="Contents3"/>
            <w:tabs>
              <w:tab w:val="clear" w:pos="8459"/>
              <w:tab w:val="right" w:pos="9026" w:leader="dot"/>
            </w:tabs>
            <w:rPr/>
          </w:pPr>
          <w:hyperlink w:anchor="__RefHeading___Toc257229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یجوز أن یکون البذل و الطلاق بمباشرة الزوجین أو بتوکیلهما الغیر أو بالاختلاف</w:t>
            </w:r>
            <w:r>
              <w:rPr>
                <w:rStyle w:val="IndexLink"/>
                <w:rtl w:val="true"/>
              </w:rPr>
              <w:t>]</w:t>
              <w:tab/>
            </w:r>
            <w:r>
              <w:rPr>
                <w:rStyle w:val="IndexLink"/>
              </w:rPr>
              <w:t>882</w:t>
            </w:r>
          </w:hyperlink>
        </w:p>
        <w:p>
          <w:pPr>
            <w:pStyle w:val="Contents3"/>
            <w:tabs>
              <w:tab w:val="clear" w:pos="8459"/>
              <w:tab w:val="right" w:pos="9026" w:leader="dot"/>
            </w:tabs>
            <w:rPr/>
          </w:pPr>
          <w:hyperlink w:anchor="__RefHeading___Toc2572298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یصحّ التوکیل فی الخلع فی جمیع ما یتعلّق به</w:t>
            </w:r>
            <w:r>
              <w:rPr>
                <w:rStyle w:val="IndexLink"/>
                <w:rtl w:val="true"/>
              </w:rPr>
              <w:t>]</w:t>
              <w:tab/>
            </w:r>
            <w:r>
              <w:rPr>
                <w:rStyle w:val="IndexLink"/>
              </w:rPr>
              <w:t>882</w:t>
            </w:r>
          </w:hyperlink>
        </w:p>
        <w:p>
          <w:pPr>
            <w:pStyle w:val="Contents3"/>
            <w:tabs>
              <w:tab w:val="clear" w:pos="8459"/>
              <w:tab w:val="right" w:pos="9026" w:leader="dot"/>
            </w:tabs>
            <w:rPr/>
          </w:pPr>
          <w:hyperlink w:anchor="__RefHeading___Toc2572300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وقع الخلع بمباشرة الزوجین</w:t>
            </w:r>
            <w:r>
              <w:rPr>
                <w:rStyle w:val="IndexLink"/>
                <w:rtl w:val="true"/>
              </w:rPr>
              <w:t xml:space="preserve">: </w:t>
            </w:r>
            <w:r>
              <w:rPr>
                <w:rStyle w:val="IndexLink"/>
                <w:rtl w:val="true"/>
              </w:rPr>
              <w:t>فإمّا أن تبدأ الزوجة و تقول</w:t>
            </w:r>
            <w:r>
              <w:rPr>
                <w:rStyle w:val="IndexLink"/>
                <w:rtl w:val="true"/>
              </w:rPr>
              <w:t>]</w:t>
              <w:tab/>
            </w:r>
            <w:r>
              <w:rPr>
                <w:rStyle w:val="IndexLink"/>
              </w:rPr>
              <w:t>882</w:t>
            </w:r>
          </w:hyperlink>
        </w:p>
        <w:p>
          <w:pPr>
            <w:pStyle w:val="Contents3"/>
            <w:tabs>
              <w:tab w:val="clear" w:pos="8459"/>
              <w:tab w:val="right" w:pos="9026" w:leader="dot"/>
            </w:tabs>
            <w:rPr/>
          </w:pPr>
          <w:hyperlink w:anchor="__RefHeading___Toc2572302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یجوز أن یکون البذل من طرف الزوجة؛ باستدعائها الطلاق من الزوج بعوض معلوم</w:t>
            </w:r>
            <w:r>
              <w:rPr>
                <w:rStyle w:val="IndexLink"/>
                <w:rtl w:val="true"/>
              </w:rPr>
              <w:t>]</w:t>
              <w:tab/>
            </w:r>
            <w:r>
              <w:rPr>
                <w:rStyle w:val="IndexLink"/>
              </w:rPr>
              <w:t>883</w:t>
            </w:r>
          </w:hyperlink>
        </w:p>
        <w:p>
          <w:pPr>
            <w:pStyle w:val="Contents3"/>
            <w:tabs>
              <w:tab w:val="clear" w:pos="8459"/>
              <w:tab w:val="right" w:pos="9026" w:leader="dot"/>
            </w:tabs>
            <w:rPr/>
          </w:pPr>
          <w:hyperlink w:anchor="__RefHeading___Toc2572304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یشترط فی تحقّق الخلع بذل الفداء عوضاً عن الطلاق</w:t>
            </w:r>
            <w:r>
              <w:rPr>
                <w:rStyle w:val="IndexLink"/>
                <w:rtl w:val="true"/>
              </w:rPr>
              <w:t>]</w:t>
              <w:tab/>
            </w:r>
            <w:r>
              <w:rPr>
                <w:rStyle w:val="IndexLink"/>
              </w:rPr>
              <w:t>883</w:t>
            </w:r>
          </w:hyperlink>
        </w:p>
        <w:p>
          <w:pPr>
            <w:pStyle w:val="Contents3"/>
            <w:tabs>
              <w:tab w:val="clear" w:pos="8459"/>
              <w:tab w:val="right" w:pos="9026" w:leader="dot"/>
            </w:tabs>
            <w:rPr/>
          </w:pPr>
          <w:hyperlink w:anchor="__RefHeading___Toc2572306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یصحّ بذل الفداء منها و من وکیلها</w:t>
            </w:r>
            <w:r>
              <w:rPr>
                <w:rStyle w:val="IndexLink"/>
                <w:rtl w:val="true"/>
              </w:rPr>
              <w:t>]</w:t>
              <w:tab/>
            </w:r>
            <w:r>
              <w:rPr>
                <w:rStyle w:val="IndexLink"/>
              </w:rPr>
              <w:t>883</w:t>
            </w:r>
          </w:hyperlink>
        </w:p>
        <w:p>
          <w:pPr>
            <w:pStyle w:val="Contents3"/>
            <w:tabs>
              <w:tab w:val="clear" w:pos="8459"/>
              <w:tab w:val="right" w:pos="9026" w:leader="dot"/>
            </w:tabs>
            <w:rPr/>
          </w:pPr>
          <w:hyperlink w:anchor="__RefHeading___Toc2572308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إذا قال أبوها</w:t>
            </w:r>
            <w:r>
              <w:rPr>
                <w:rStyle w:val="IndexLink"/>
                <w:rtl w:val="true"/>
              </w:rPr>
              <w:t>: «</w:t>
            </w:r>
            <w:r>
              <w:rPr>
                <w:rStyle w:val="IndexLink"/>
                <w:rtl w:val="true"/>
              </w:rPr>
              <w:t>طلّقها و أنت بری‌ء من صداقها</w:t>
            </w:r>
            <w:r>
              <w:rPr>
                <w:rStyle w:val="IndexLink"/>
                <w:rtl w:val="true"/>
              </w:rPr>
              <w:t xml:space="preserve">» </w:t>
            </w:r>
            <w:r>
              <w:rPr>
                <w:rStyle w:val="IndexLink"/>
                <w:rtl w:val="true"/>
              </w:rPr>
              <w:t>و کانت بالغة رشیدة فطلّقها صحّ الطلاق</w:t>
            </w:r>
            <w:r>
              <w:rPr>
                <w:rStyle w:val="IndexLink"/>
                <w:rtl w:val="true"/>
              </w:rPr>
              <w:t>]</w:t>
              <w:tab/>
            </w:r>
            <w:r>
              <w:rPr>
                <w:rStyle w:val="IndexLink"/>
              </w:rPr>
              <w:t>884</w:t>
            </w:r>
          </w:hyperlink>
        </w:p>
        <w:p>
          <w:pPr>
            <w:pStyle w:val="Contents3"/>
            <w:tabs>
              <w:tab w:val="clear" w:pos="8459"/>
              <w:tab w:val="right" w:pos="9026" w:leader="dot"/>
            </w:tabs>
            <w:rPr/>
          </w:pPr>
          <w:hyperlink w:anchor="__RefHeading___Toc2572310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لو جعلت الفداء مال الغیر أو ما لا یملکه المسلم کالخمر مع العلم بذلک بطل البذل</w:t>
            </w:r>
            <w:r>
              <w:rPr>
                <w:rStyle w:val="IndexLink"/>
                <w:rtl w:val="true"/>
              </w:rPr>
              <w:t>]</w:t>
              <w:tab/>
            </w:r>
            <w:r>
              <w:rPr>
                <w:rStyle w:val="IndexLink"/>
              </w:rPr>
              <w:t>884</w:t>
            </w:r>
          </w:hyperlink>
        </w:p>
        <w:p>
          <w:pPr>
            <w:pStyle w:val="Contents3"/>
            <w:tabs>
              <w:tab w:val="clear" w:pos="8459"/>
              <w:tab w:val="right" w:pos="9026" w:leader="dot"/>
            </w:tabs>
            <w:rPr/>
          </w:pPr>
          <w:hyperlink w:anchor="__RefHeading___Toc2572312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یشترط فی الخلع أن تکون الزوجة کارهة للزوج من دون عکس</w:t>
            </w:r>
            <w:r>
              <w:rPr>
                <w:rStyle w:val="IndexLink"/>
                <w:rtl w:val="true"/>
              </w:rPr>
              <w:t>]</w:t>
              <w:tab/>
            </w:r>
            <w:r>
              <w:rPr>
                <w:rStyle w:val="IndexLink"/>
              </w:rPr>
              <w:t>884</w:t>
            </w:r>
          </w:hyperlink>
        </w:p>
        <w:p>
          <w:pPr>
            <w:pStyle w:val="Contents3"/>
            <w:tabs>
              <w:tab w:val="clear" w:pos="8459"/>
              <w:tab w:val="right" w:pos="9026" w:leader="dot"/>
            </w:tabs>
            <w:rPr/>
          </w:pPr>
          <w:hyperlink w:anchor="__RefHeading___Toc2572314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الظاهر أنّه لا فرق بین أن تکون الکراهة المشترطة فی الخلع ذاتیّة ناشئة من خصوصیات الزوج</w:t>
            </w:r>
            <w:r>
              <w:rPr>
                <w:rStyle w:val="IndexLink"/>
                <w:rtl w:val="true"/>
              </w:rPr>
              <w:t>]</w:t>
              <w:tab/>
            </w:r>
            <w:r>
              <w:rPr>
                <w:rStyle w:val="IndexLink"/>
              </w:rPr>
              <w:t>884</w:t>
            </w:r>
          </w:hyperlink>
        </w:p>
        <w:p>
          <w:pPr>
            <w:pStyle w:val="Contents3"/>
            <w:tabs>
              <w:tab w:val="clear" w:pos="8459"/>
              <w:tab w:val="right" w:pos="9026" w:leader="dot"/>
            </w:tabs>
            <w:rPr/>
          </w:pPr>
          <w:hyperlink w:anchor="__RefHeading___Toc2572316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لو طلّقها بعوض مع عدم الکراهة و کون الأخلاق ملتئمة لم یصحّ الخلع</w:t>
            </w:r>
            <w:r>
              <w:rPr>
                <w:rStyle w:val="IndexLink"/>
                <w:rtl w:val="true"/>
              </w:rPr>
              <w:t>]</w:t>
              <w:tab/>
            </w:r>
            <w:r>
              <w:rPr>
                <w:rStyle w:val="IndexLink"/>
              </w:rPr>
              <w:t>884</w:t>
            </w:r>
          </w:hyperlink>
        </w:p>
        <w:p>
          <w:pPr>
            <w:pStyle w:val="Contents3"/>
            <w:tabs>
              <w:tab w:val="clear" w:pos="8459"/>
              <w:tab w:val="right" w:pos="9026" w:leader="dot"/>
            </w:tabs>
            <w:rPr/>
          </w:pPr>
          <w:hyperlink w:anchor="__RefHeading___Toc2572318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طلاق الخلع بائن لا یقع فیه الرجوع ما لم ترجع المرأة فیما بذلت</w:t>
            </w:r>
            <w:r>
              <w:rPr>
                <w:rStyle w:val="IndexLink"/>
                <w:rtl w:val="true"/>
              </w:rPr>
              <w:t>]</w:t>
              <w:tab/>
            </w:r>
            <w:r>
              <w:rPr>
                <w:rStyle w:val="IndexLink"/>
              </w:rPr>
              <w:t>885</w:t>
            </w:r>
          </w:hyperlink>
        </w:p>
        <w:p>
          <w:pPr>
            <w:pStyle w:val="Contents3"/>
            <w:tabs>
              <w:tab w:val="clear" w:pos="8459"/>
              <w:tab w:val="right" w:pos="9026" w:leader="dot"/>
            </w:tabs>
            <w:rPr/>
          </w:pPr>
          <w:hyperlink w:anchor="__RefHeading___Toc2572320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الظاهر اشتراط جواز رجوعها فی المبذول بإمکان رجوعه بعد رجوعها</w:t>
            </w:r>
            <w:r>
              <w:rPr>
                <w:rStyle w:val="IndexLink"/>
                <w:rtl w:val="true"/>
              </w:rPr>
              <w:t>]</w:t>
              <w:tab/>
            </w:r>
            <w:r>
              <w:rPr>
                <w:rStyle w:val="IndexLink"/>
              </w:rPr>
              <w:t>885</w:t>
            </w:r>
          </w:hyperlink>
        </w:p>
        <w:p>
          <w:pPr>
            <w:pStyle w:val="Contents3"/>
            <w:tabs>
              <w:tab w:val="clear" w:pos="8459"/>
              <w:tab w:val="right" w:pos="9026" w:leader="dot"/>
            </w:tabs>
            <w:rPr/>
          </w:pPr>
          <w:hyperlink w:anchor="__RefHeading___Toc2572322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المبارأة قسم من الطلاق، فیعتبر فیه جمیع شروطه المتقدّمة</w:t>
            </w:r>
            <w:r>
              <w:rPr>
                <w:rStyle w:val="IndexLink"/>
                <w:rtl w:val="true"/>
              </w:rPr>
              <w:t>]</w:t>
              <w:tab/>
            </w:r>
            <w:r>
              <w:rPr>
                <w:rStyle w:val="IndexLink"/>
              </w:rPr>
              <w:t>885</w:t>
            </w:r>
          </w:hyperlink>
        </w:p>
        <w:p>
          <w:pPr>
            <w:pStyle w:val="Contents3"/>
            <w:tabs>
              <w:tab w:val="clear" w:pos="8459"/>
              <w:tab w:val="right" w:pos="9026" w:leader="dot"/>
            </w:tabs>
            <w:rPr/>
          </w:pPr>
          <w:hyperlink w:anchor="__RefHeading___Toc2572324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المبارأة و إن کانت کالخلع لکنّها تفارقه بأُمور ثلاثة</w:t>
            </w:r>
            <w:r>
              <w:rPr>
                <w:rStyle w:val="IndexLink"/>
                <w:rtl w:val="true"/>
              </w:rPr>
              <w:t>]</w:t>
              <w:tab/>
            </w:r>
            <w:r>
              <w:rPr>
                <w:rStyle w:val="IndexLink"/>
              </w:rPr>
              <w:t>885</w:t>
            </w:r>
          </w:hyperlink>
        </w:p>
        <w:p>
          <w:pPr>
            <w:pStyle w:val="Contents3"/>
            <w:tabs>
              <w:tab w:val="clear" w:pos="8459"/>
              <w:tab w:val="right" w:pos="9026" w:leader="dot"/>
            </w:tabs>
            <w:rPr/>
          </w:pPr>
          <w:hyperlink w:anchor="__RefHeading___Toc2572326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طلاق المبارأة بائن کالخلع</w:t>
            </w:r>
            <w:r>
              <w:rPr>
                <w:rStyle w:val="IndexLink"/>
                <w:rtl w:val="true"/>
              </w:rPr>
              <w:t>]</w:t>
              <w:tab/>
            </w:r>
            <w:r>
              <w:rPr>
                <w:rStyle w:val="IndexLink"/>
              </w:rPr>
              <w:t>885</w:t>
            </w:r>
          </w:hyperlink>
        </w:p>
        <w:p>
          <w:pPr>
            <w:pStyle w:val="Contents2"/>
            <w:tabs>
              <w:tab w:val="clear" w:pos="8743"/>
              <w:tab w:val="right" w:pos="9026" w:leader="dot"/>
            </w:tabs>
            <w:rPr/>
          </w:pPr>
          <w:hyperlink w:anchor="__RefHeading___Toc2572328_3650668749">
            <w:r>
              <w:rPr>
                <w:webHidden/>
                <w:rStyle w:val="IndexLink"/>
                <w:rtl w:val="true"/>
              </w:rPr>
              <w:t>[</w:t>
            </w:r>
            <w:r>
              <w:rPr>
                <w:rStyle w:val="IndexLink"/>
                <w:rtl w:val="true"/>
              </w:rPr>
              <w:t>کتاب الظهار و الإیلاء و اللعان</w:t>
            </w:r>
            <w:r>
              <w:rPr>
                <w:rStyle w:val="IndexLink"/>
                <w:rtl w:val="true"/>
              </w:rPr>
              <w:t>]</w:t>
              <w:tab/>
            </w:r>
            <w:r>
              <w:rPr>
                <w:rStyle w:val="IndexLink"/>
              </w:rPr>
              <w:t>886</w:t>
            </w:r>
          </w:hyperlink>
        </w:p>
        <w:p>
          <w:pPr>
            <w:pStyle w:val="Contents3"/>
            <w:tabs>
              <w:tab w:val="clear" w:pos="8459"/>
              <w:tab w:val="right" w:pos="9026" w:leader="dot"/>
            </w:tabs>
            <w:rPr/>
          </w:pPr>
          <w:hyperlink w:anchor="__RefHeading___Toc2572330_3650668749">
            <w:r>
              <w:rPr>
                <w:webHidden/>
                <w:rStyle w:val="IndexLink"/>
                <w:rtl w:val="true"/>
              </w:rPr>
              <w:t>اشارة</w:t>
            </w:r>
            <w:r>
              <w:rPr>
                <w:rStyle w:val="IndexLink"/>
                <w:rtl w:val="true"/>
              </w:rPr>
              <w:tab/>
            </w:r>
            <w:r>
              <w:rPr>
                <w:rStyle w:val="IndexLink"/>
              </w:rPr>
              <w:t>886</w:t>
            </w:r>
          </w:hyperlink>
        </w:p>
        <w:p>
          <w:pPr>
            <w:pStyle w:val="Contents3"/>
            <w:tabs>
              <w:tab w:val="clear" w:pos="8459"/>
              <w:tab w:val="right" w:pos="9026" w:leader="dot"/>
            </w:tabs>
            <w:rPr/>
          </w:pPr>
          <w:hyperlink w:anchor="__RefHeading___Toc2572332_3650668749">
            <w:r>
              <w:rPr>
                <w:webHidden/>
                <w:rStyle w:val="IndexLink"/>
                <w:rtl w:val="true"/>
              </w:rPr>
              <w:t>[</w:t>
            </w:r>
            <w:r>
              <w:rPr>
                <w:rStyle w:val="IndexLink"/>
                <w:rtl w:val="true"/>
              </w:rPr>
              <w:t>القول فی الظهار</w:t>
            </w:r>
            <w:r>
              <w:rPr>
                <w:rStyle w:val="IndexLink"/>
                <w:rtl w:val="true"/>
              </w:rPr>
              <w:t>]</w:t>
              <w:tab/>
            </w:r>
            <w:r>
              <w:rPr>
                <w:rStyle w:val="IndexLink"/>
              </w:rPr>
              <w:t>886</w:t>
            </w:r>
          </w:hyperlink>
        </w:p>
        <w:p>
          <w:pPr>
            <w:pStyle w:val="Contents4"/>
            <w:tabs>
              <w:tab w:val="clear" w:pos="8176"/>
              <w:tab w:val="right" w:pos="9026" w:leader="dot"/>
            </w:tabs>
            <w:rPr/>
          </w:pPr>
          <w:hyperlink w:anchor="__RefHeading___Toc2572334_3650668749">
            <w:r>
              <w:rPr>
                <w:webHidden/>
                <w:rStyle w:val="IndexLink"/>
                <w:rtl w:val="true"/>
              </w:rPr>
              <w:t>اشارة</w:t>
            </w:r>
            <w:r>
              <w:rPr>
                <w:rStyle w:val="IndexLink"/>
                <w:rtl w:val="true"/>
              </w:rPr>
              <w:tab/>
            </w:r>
            <w:r>
              <w:rPr>
                <w:rStyle w:val="IndexLink"/>
              </w:rPr>
              <w:t>886</w:t>
            </w:r>
          </w:hyperlink>
        </w:p>
        <w:p>
          <w:pPr>
            <w:pStyle w:val="Contents4"/>
            <w:tabs>
              <w:tab w:val="clear" w:pos="8176"/>
              <w:tab w:val="right" w:pos="9026" w:leader="dot"/>
            </w:tabs>
            <w:rPr/>
          </w:pPr>
          <w:hyperlink w:anchor="__RefHeading___Toc257233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صیغة الظهار أن یقول الزوج مخاطباً للزوجة</w:t>
            </w:r>
            <w:r>
              <w:rPr>
                <w:rStyle w:val="IndexLink"/>
                <w:rtl w:val="true"/>
              </w:rPr>
              <w:t>: «</w:t>
            </w:r>
            <w:r>
              <w:rPr>
                <w:rStyle w:val="IndexLink"/>
                <w:rtl w:val="true"/>
              </w:rPr>
              <w:t>أنت علیّ کظهر أُمّی</w:t>
            </w:r>
            <w:r>
              <w:rPr>
                <w:rStyle w:val="IndexLink"/>
                <w:rtl w:val="true"/>
              </w:rPr>
              <w:t>»]</w:t>
              <w:tab/>
            </w:r>
            <w:r>
              <w:rPr>
                <w:rStyle w:val="IndexLink"/>
              </w:rPr>
              <w:t>886</w:t>
            </w:r>
          </w:hyperlink>
        </w:p>
        <w:p>
          <w:pPr>
            <w:pStyle w:val="Contents4"/>
            <w:tabs>
              <w:tab w:val="clear" w:pos="8176"/>
              <w:tab w:val="right" w:pos="9026" w:leader="dot"/>
            </w:tabs>
            <w:rPr/>
          </w:pPr>
          <w:hyperlink w:anchor="__RefHeading___Toc257233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لو شبّهها بإحدی المحارم النسبیّة غیر الامّ کالبنت و الأُخت</w:t>
            </w:r>
            <w:r>
              <w:rPr>
                <w:rStyle w:val="IndexLink"/>
                <w:rtl w:val="true"/>
              </w:rPr>
              <w:t>]</w:t>
              <w:tab/>
            </w:r>
            <w:r>
              <w:rPr>
                <w:rStyle w:val="IndexLink"/>
              </w:rPr>
              <w:t>886</w:t>
            </w:r>
          </w:hyperlink>
        </w:p>
        <w:p>
          <w:pPr>
            <w:pStyle w:val="Contents4"/>
            <w:tabs>
              <w:tab w:val="clear" w:pos="8176"/>
              <w:tab w:val="right" w:pos="9026" w:leader="dot"/>
            </w:tabs>
            <w:rPr/>
          </w:pPr>
          <w:hyperlink w:anchor="__RefHeading___Toc2572340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الظهار الموجب للتحریم ما کان من طرف الرجل</w:t>
            </w:r>
            <w:r>
              <w:rPr>
                <w:rStyle w:val="IndexLink"/>
                <w:rtl w:val="true"/>
              </w:rPr>
              <w:t>]</w:t>
              <w:tab/>
            </w:r>
            <w:r>
              <w:rPr>
                <w:rStyle w:val="IndexLink"/>
              </w:rPr>
              <w:t>886</w:t>
            </w:r>
          </w:hyperlink>
        </w:p>
        <w:p>
          <w:pPr>
            <w:pStyle w:val="Contents4"/>
            <w:tabs>
              <w:tab w:val="clear" w:pos="8176"/>
              <w:tab w:val="right" w:pos="9026" w:leader="dot"/>
            </w:tabs>
            <w:rPr/>
          </w:pPr>
          <w:hyperlink w:anchor="__RefHeading___Toc2572342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یشترط فی الظهار وقوعه بحضور عدلین یسمعان قول المظاهر کالطلاق</w:t>
            </w:r>
            <w:r>
              <w:rPr>
                <w:rStyle w:val="IndexLink"/>
                <w:rtl w:val="true"/>
              </w:rPr>
              <w:t>]</w:t>
              <w:tab/>
            </w:r>
            <w:r>
              <w:rPr>
                <w:rStyle w:val="IndexLink"/>
              </w:rPr>
              <w:t>886</w:t>
            </w:r>
          </w:hyperlink>
        </w:p>
        <w:p>
          <w:pPr>
            <w:pStyle w:val="Contents4"/>
            <w:tabs>
              <w:tab w:val="clear" w:pos="8176"/>
              <w:tab w:val="right" w:pos="9026" w:leader="dot"/>
            </w:tabs>
            <w:rPr/>
          </w:pPr>
          <w:hyperlink w:anchor="__RefHeading___Toc2572344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الأقویٰ عدم اعتبار دوام الزوجیّة فی المظاهرة</w:t>
            </w:r>
            <w:r>
              <w:rPr>
                <w:rStyle w:val="IndexLink"/>
                <w:rtl w:val="true"/>
              </w:rPr>
              <w:t>]</w:t>
              <w:tab/>
            </w:r>
            <w:r>
              <w:rPr>
                <w:rStyle w:val="IndexLink"/>
              </w:rPr>
              <w:t>887</w:t>
            </w:r>
          </w:hyperlink>
        </w:p>
        <w:p>
          <w:pPr>
            <w:pStyle w:val="Contents4"/>
            <w:tabs>
              <w:tab w:val="clear" w:pos="8176"/>
              <w:tab w:val="right" w:pos="9026" w:leader="dot"/>
            </w:tabs>
            <w:rPr/>
          </w:pPr>
          <w:hyperlink w:anchor="__RefHeading___Toc2572346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تحقّق الظهار بشرائطه حرم علی المظاهر وطء المظاهرة</w:t>
            </w:r>
            <w:r>
              <w:rPr>
                <w:rStyle w:val="IndexLink"/>
                <w:rtl w:val="true"/>
              </w:rPr>
              <w:t>]</w:t>
              <w:tab/>
            </w:r>
            <w:r>
              <w:rPr>
                <w:rStyle w:val="IndexLink"/>
              </w:rPr>
              <w:t>887</w:t>
            </w:r>
          </w:hyperlink>
        </w:p>
        <w:p>
          <w:pPr>
            <w:pStyle w:val="Contents4"/>
            <w:tabs>
              <w:tab w:val="clear" w:pos="8176"/>
              <w:tab w:val="right" w:pos="9026" w:leader="dot"/>
            </w:tabs>
            <w:rPr/>
          </w:pPr>
          <w:hyperlink w:anchor="__RefHeading___Toc2572348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إذا طلّقها رجعیّاً ثمّ راجعها، لم یحلّ له وطؤها حتّی یکفّر</w:t>
            </w:r>
            <w:r>
              <w:rPr>
                <w:rStyle w:val="IndexLink"/>
                <w:rtl w:val="true"/>
              </w:rPr>
              <w:t>]</w:t>
              <w:tab/>
            </w:r>
            <w:r>
              <w:rPr>
                <w:rStyle w:val="IndexLink"/>
              </w:rPr>
              <w:t>887</w:t>
            </w:r>
          </w:hyperlink>
        </w:p>
        <w:p>
          <w:pPr>
            <w:pStyle w:val="Contents4"/>
            <w:tabs>
              <w:tab w:val="clear" w:pos="8176"/>
              <w:tab w:val="right" w:pos="9026" w:leader="dot"/>
            </w:tabs>
            <w:rPr/>
          </w:pPr>
          <w:hyperlink w:anchor="__RefHeading___Toc2572350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کفّارة الظهار کما مرّ فی کتاب الکفّارات أحد أُمور ثلاثة مرتّبة</w:t>
            </w:r>
            <w:r>
              <w:rPr>
                <w:rStyle w:val="IndexLink"/>
                <w:rtl w:val="true"/>
              </w:rPr>
              <w:t>]</w:t>
              <w:tab/>
            </w:r>
            <w:r>
              <w:rPr>
                <w:rStyle w:val="IndexLink"/>
              </w:rPr>
              <w:t>887</w:t>
            </w:r>
          </w:hyperlink>
        </w:p>
        <w:p>
          <w:pPr>
            <w:pStyle w:val="Contents4"/>
            <w:tabs>
              <w:tab w:val="clear" w:pos="8176"/>
              <w:tab w:val="right" w:pos="9026" w:leader="dot"/>
            </w:tabs>
            <w:rPr/>
          </w:pPr>
          <w:hyperlink w:anchor="__RefHeading___Toc2572352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إذا صبرت المظاهرة علیٰ ترک وطئها فلا اعتراض</w:t>
            </w:r>
            <w:r>
              <w:rPr>
                <w:rStyle w:val="IndexLink"/>
                <w:rtl w:val="true"/>
              </w:rPr>
              <w:t>]</w:t>
              <w:tab/>
            </w:r>
            <w:r>
              <w:rPr>
                <w:rStyle w:val="IndexLink"/>
              </w:rPr>
              <w:t>887</w:t>
            </w:r>
          </w:hyperlink>
        </w:p>
        <w:p>
          <w:pPr>
            <w:pStyle w:val="Contents3"/>
            <w:tabs>
              <w:tab w:val="clear" w:pos="8459"/>
              <w:tab w:val="right" w:pos="9026" w:leader="dot"/>
            </w:tabs>
            <w:rPr/>
          </w:pPr>
          <w:hyperlink w:anchor="__RefHeading___Toc2572354_3650668749">
            <w:r>
              <w:rPr>
                <w:webHidden/>
                <w:rStyle w:val="IndexLink"/>
                <w:rtl w:val="true"/>
              </w:rPr>
              <w:t>[</w:t>
            </w:r>
            <w:r>
              <w:rPr>
                <w:rStyle w:val="IndexLink"/>
                <w:rtl w:val="true"/>
              </w:rPr>
              <w:t>القول فی الإیلاء</w:t>
            </w:r>
            <w:r>
              <w:rPr>
                <w:rStyle w:val="IndexLink"/>
                <w:rtl w:val="true"/>
              </w:rPr>
              <w:t>]</w:t>
              <w:tab/>
            </w:r>
            <w:r>
              <w:rPr>
                <w:rStyle w:val="IndexLink"/>
              </w:rPr>
              <w:t>888</w:t>
            </w:r>
          </w:hyperlink>
        </w:p>
        <w:p>
          <w:pPr>
            <w:pStyle w:val="Contents4"/>
            <w:tabs>
              <w:tab w:val="clear" w:pos="8176"/>
              <w:tab w:val="right" w:pos="9026" w:leader="dot"/>
            </w:tabs>
            <w:rPr/>
          </w:pPr>
          <w:hyperlink w:anchor="__RefHeading___Toc2572356_3650668749">
            <w:r>
              <w:rPr>
                <w:webHidden/>
                <w:rStyle w:val="IndexLink"/>
                <w:rtl w:val="true"/>
              </w:rPr>
              <w:t>اشارة</w:t>
            </w:r>
            <w:r>
              <w:rPr>
                <w:rStyle w:val="IndexLink"/>
                <w:rtl w:val="true"/>
              </w:rPr>
              <w:tab/>
            </w:r>
            <w:r>
              <w:rPr>
                <w:rStyle w:val="IndexLink"/>
              </w:rPr>
              <w:t>888</w:t>
            </w:r>
          </w:hyperlink>
        </w:p>
        <w:p>
          <w:pPr>
            <w:pStyle w:val="Contents4"/>
            <w:tabs>
              <w:tab w:val="clear" w:pos="8176"/>
              <w:tab w:val="right" w:pos="9026" w:leader="dot"/>
            </w:tabs>
            <w:rPr/>
          </w:pPr>
          <w:hyperlink w:anchor="__RefHeading___Toc2572358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لا ینعقد الإیلاء کمطلق الیمین إلّا باسم اللّٰه تعالی المختصّ به أو الغالب إطلاقه علیه</w:t>
            </w:r>
            <w:r>
              <w:rPr>
                <w:rStyle w:val="IndexLink"/>
                <w:rtl w:val="true"/>
              </w:rPr>
              <w:t>]</w:t>
              <w:tab/>
            </w:r>
            <w:r>
              <w:rPr>
                <w:rStyle w:val="IndexLink"/>
              </w:rPr>
              <w:t>888</w:t>
            </w:r>
          </w:hyperlink>
        </w:p>
        <w:p>
          <w:pPr>
            <w:pStyle w:val="Contents4"/>
            <w:tabs>
              <w:tab w:val="clear" w:pos="8176"/>
              <w:tab w:val="right" w:pos="9026" w:leader="dot"/>
            </w:tabs>
            <w:rPr/>
          </w:pPr>
          <w:hyperlink w:anchor="__RefHeading___Toc2572360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إذا تمّ الإیلاء بشرائطه، فإن صبرت المرأة مع امتناعه عن المواقعة فلا کلام</w:t>
            </w:r>
            <w:r>
              <w:rPr>
                <w:rStyle w:val="IndexLink"/>
                <w:rtl w:val="true"/>
              </w:rPr>
              <w:t>]</w:t>
              <w:tab/>
            </w:r>
            <w:r>
              <w:rPr>
                <w:rStyle w:val="IndexLink"/>
              </w:rPr>
              <w:t>888</w:t>
            </w:r>
          </w:hyperlink>
        </w:p>
        <w:p>
          <w:pPr>
            <w:pStyle w:val="Contents4"/>
            <w:tabs>
              <w:tab w:val="clear" w:pos="8176"/>
              <w:tab w:val="right" w:pos="9026" w:leader="dot"/>
            </w:tabs>
            <w:rPr/>
          </w:pPr>
          <w:hyperlink w:anchor="__RefHeading___Toc2572362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المشهور</w:t>
            </w:r>
            <w:r>
              <w:rPr>
                <w:rStyle w:val="IndexLink"/>
                <w:rtl w:val="true"/>
              </w:rPr>
              <w:t xml:space="preserve">: </w:t>
            </w:r>
            <w:r>
              <w:rPr>
                <w:rStyle w:val="IndexLink"/>
                <w:rtl w:val="true"/>
              </w:rPr>
              <w:t>أنّ الأربعة التی ینظر فیها ثمّ یجبر علیٰ أحد الأمرین بعدها هی من حین الترافع</w:t>
            </w:r>
            <w:r>
              <w:rPr>
                <w:rStyle w:val="IndexLink"/>
                <w:rtl w:val="true"/>
              </w:rPr>
              <w:t>]</w:t>
              <w:tab/>
            </w:r>
            <w:r>
              <w:rPr>
                <w:rStyle w:val="IndexLink"/>
              </w:rPr>
              <w:t>888</w:t>
            </w:r>
          </w:hyperlink>
        </w:p>
        <w:p>
          <w:pPr>
            <w:pStyle w:val="Contents4"/>
            <w:tabs>
              <w:tab w:val="clear" w:pos="8176"/>
              <w:tab w:val="right" w:pos="9026" w:leader="dot"/>
            </w:tabs>
            <w:rPr/>
          </w:pPr>
          <w:hyperlink w:anchor="__RefHeading___Toc2572364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یزول حکم الإیلاء بالطلاق البائن</w:t>
            </w:r>
            <w:r>
              <w:rPr>
                <w:rStyle w:val="IndexLink"/>
                <w:rtl w:val="true"/>
              </w:rPr>
              <w:t>]</w:t>
              <w:tab/>
            </w:r>
            <w:r>
              <w:rPr>
                <w:rStyle w:val="IndexLink"/>
              </w:rPr>
              <w:t>888</w:t>
            </w:r>
          </w:hyperlink>
        </w:p>
        <w:p>
          <w:pPr>
            <w:pStyle w:val="Contents4"/>
            <w:tabs>
              <w:tab w:val="clear" w:pos="8176"/>
              <w:tab w:val="right" w:pos="9026" w:leader="dot"/>
            </w:tabs>
            <w:rPr/>
          </w:pPr>
          <w:hyperlink w:anchor="__RefHeading___Toc2572366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متی وطئها الزوج بعد الإیلاء لزمته الکفّارة</w:t>
            </w:r>
            <w:r>
              <w:rPr>
                <w:rStyle w:val="IndexLink"/>
                <w:rtl w:val="true"/>
              </w:rPr>
              <w:t>]</w:t>
              <w:tab/>
            </w:r>
            <w:r>
              <w:rPr>
                <w:rStyle w:val="IndexLink"/>
              </w:rPr>
              <w:t>889</w:t>
            </w:r>
          </w:hyperlink>
        </w:p>
        <w:p>
          <w:pPr>
            <w:pStyle w:val="Contents3"/>
            <w:tabs>
              <w:tab w:val="clear" w:pos="8459"/>
              <w:tab w:val="right" w:pos="9026" w:leader="dot"/>
            </w:tabs>
            <w:rPr/>
          </w:pPr>
          <w:hyperlink w:anchor="__RefHeading___Toc2572368_3650668749">
            <w:r>
              <w:rPr>
                <w:webHidden/>
                <w:rStyle w:val="IndexLink"/>
                <w:rtl w:val="true"/>
              </w:rPr>
              <w:t>[</w:t>
            </w:r>
            <w:r>
              <w:rPr>
                <w:rStyle w:val="IndexLink"/>
                <w:rtl w:val="true"/>
              </w:rPr>
              <w:t>القول فی اللعان</w:t>
            </w:r>
            <w:r>
              <w:rPr>
                <w:rStyle w:val="IndexLink"/>
                <w:rtl w:val="true"/>
              </w:rPr>
              <w:t>]</w:t>
              <w:tab/>
            </w:r>
            <w:r>
              <w:rPr>
                <w:rStyle w:val="IndexLink"/>
              </w:rPr>
              <w:t>889</w:t>
            </w:r>
          </w:hyperlink>
        </w:p>
        <w:p>
          <w:pPr>
            <w:pStyle w:val="Contents4"/>
            <w:tabs>
              <w:tab w:val="clear" w:pos="8176"/>
              <w:tab w:val="right" w:pos="9026" w:leader="dot"/>
            </w:tabs>
            <w:rPr/>
          </w:pPr>
          <w:hyperlink w:anchor="__RefHeading___Toc2572370_3650668749">
            <w:r>
              <w:rPr>
                <w:webHidden/>
                <w:rStyle w:val="IndexLink"/>
                <w:rtl w:val="true"/>
              </w:rPr>
              <w:t>اشارة</w:t>
            </w:r>
            <w:r>
              <w:rPr>
                <w:rStyle w:val="IndexLink"/>
                <w:rtl w:val="true"/>
              </w:rPr>
              <w:tab/>
            </w:r>
            <w:r>
              <w:rPr>
                <w:rStyle w:val="IndexLink"/>
              </w:rPr>
              <w:t>889</w:t>
            </w:r>
          </w:hyperlink>
        </w:p>
        <w:p>
          <w:pPr>
            <w:pStyle w:val="Contents4"/>
            <w:tabs>
              <w:tab w:val="clear" w:pos="8176"/>
              <w:tab w:val="right" w:pos="9026" w:leader="dot"/>
            </w:tabs>
            <w:rPr/>
          </w:pPr>
          <w:hyperlink w:anchor="__RefHeading___Toc2572372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إنّما یشرع اللعان فی مقامین</w:t>
            </w:r>
            <w:r>
              <w:rPr>
                <w:rStyle w:val="IndexLink"/>
                <w:rtl w:val="true"/>
              </w:rPr>
              <w:t>]</w:t>
              <w:tab/>
            </w:r>
            <w:r>
              <w:rPr>
                <w:rStyle w:val="IndexLink"/>
              </w:rPr>
              <w:t>889</w:t>
            </w:r>
          </w:hyperlink>
        </w:p>
        <w:p>
          <w:pPr>
            <w:pStyle w:val="Contents4"/>
            <w:tabs>
              <w:tab w:val="clear" w:pos="8176"/>
              <w:tab w:val="right" w:pos="9026" w:leader="dot"/>
            </w:tabs>
            <w:rPr/>
          </w:pPr>
          <w:hyperlink w:anchor="__RefHeading___Toc2572374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لا یجوز للرجل قذف زوجته بالزنا مع الریبة</w:t>
            </w:r>
            <w:r>
              <w:rPr>
                <w:rStyle w:val="IndexLink"/>
                <w:rtl w:val="true"/>
              </w:rPr>
              <w:t>]</w:t>
              <w:tab/>
            </w:r>
            <w:r>
              <w:rPr>
                <w:rStyle w:val="IndexLink"/>
              </w:rPr>
              <w:t>889</w:t>
            </w:r>
          </w:hyperlink>
        </w:p>
        <w:p>
          <w:pPr>
            <w:pStyle w:val="Contents4"/>
            <w:tabs>
              <w:tab w:val="clear" w:pos="8176"/>
              <w:tab w:val="right" w:pos="9026" w:leader="dot"/>
            </w:tabs>
            <w:rPr/>
          </w:pPr>
          <w:hyperlink w:anchor="__RefHeading___Toc2572376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یشترط فی ثبوت اللعان بالقذف أن یدّعی المشاهدة</w:t>
            </w:r>
            <w:r>
              <w:rPr>
                <w:rStyle w:val="IndexLink"/>
                <w:rtl w:val="true"/>
              </w:rPr>
              <w:t>]</w:t>
              <w:tab/>
            </w:r>
            <w:r>
              <w:rPr>
                <w:rStyle w:val="IndexLink"/>
              </w:rPr>
              <w:t>889</w:t>
            </w:r>
          </w:hyperlink>
        </w:p>
        <w:p>
          <w:pPr>
            <w:pStyle w:val="Contents4"/>
            <w:tabs>
              <w:tab w:val="clear" w:pos="8176"/>
              <w:tab w:val="right" w:pos="9026" w:leader="dot"/>
            </w:tabs>
            <w:rPr/>
          </w:pPr>
          <w:hyperlink w:anchor="__RefHeading___Toc2572378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یشترط فی ثبوت اللعان أن تکون المقذوفة زوجة دائمة</w:t>
            </w:r>
            <w:r>
              <w:rPr>
                <w:rStyle w:val="IndexLink"/>
                <w:rtl w:val="true"/>
              </w:rPr>
              <w:t>]</w:t>
              <w:tab/>
            </w:r>
            <w:r>
              <w:rPr>
                <w:rStyle w:val="IndexLink"/>
              </w:rPr>
              <w:t>889</w:t>
            </w:r>
          </w:hyperlink>
        </w:p>
        <w:p>
          <w:pPr>
            <w:pStyle w:val="Contents4"/>
            <w:tabs>
              <w:tab w:val="clear" w:pos="8176"/>
              <w:tab w:val="right" w:pos="9026" w:leader="dot"/>
            </w:tabs>
            <w:rPr/>
          </w:pPr>
          <w:hyperlink w:anchor="__RefHeading___Toc2572380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لا یجوز للرجل أن ینکر ولدیّة من تولّد فی فراشه مع إمکان لحوقه به</w:t>
            </w:r>
            <w:r>
              <w:rPr>
                <w:rStyle w:val="IndexLink"/>
                <w:rtl w:val="true"/>
              </w:rPr>
              <w:t>]</w:t>
              <w:tab/>
            </w:r>
            <w:r>
              <w:rPr>
                <w:rStyle w:val="IndexLink"/>
              </w:rPr>
              <w:t>890</w:t>
            </w:r>
          </w:hyperlink>
        </w:p>
        <w:p>
          <w:pPr>
            <w:pStyle w:val="Contents4"/>
            <w:tabs>
              <w:tab w:val="clear" w:pos="8176"/>
              <w:tab w:val="right" w:pos="9026" w:leader="dot"/>
            </w:tabs>
            <w:rPr/>
          </w:pPr>
          <w:hyperlink w:anchor="__RefHeading___Toc2572382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إذا نفیٰ ولدیّة من ولد فی فراشه</w:t>
            </w:r>
            <w:r>
              <w:rPr>
                <w:rStyle w:val="IndexLink"/>
                <w:rtl w:val="true"/>
              </w:rPr>
              <w:t>]</w:t>
              <w:tab/>
            </w:r>
            <w:r>
              <w:rPr>
                <w:rStyle w:val="IndexLink"/>
              </w:rPr>
              <w:t>890</w:t>
            </w:r>
          </w:hyperlink>
        </w:p>
        <w:p>
          <w:pPr>
            <w:pStyle w:val="Contents4"/>
            <w:tabs>
              <w:tab w:val="clear" w:pos="8176"/>
              <w:tab w:val="right" w:pos="9026" w:leader="dot"/>
            </w:tabs>
            <w:rPr/>
          </w:pPr>
          <w:hyperlink w:anchor="__RefHeading___Toc2572384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إنّما یشرع اللعان لنفی الولد إذا کانت المرأة منکوحة بالعقد الدائم</w:t>
            </w:r>
            <w:r>
              <w:rPr>
                <w:rStyle w:val="IndexLink"/>
                <w:rtl w:val="true"/>
              </w:rPr>
              <w:t>]</w:t>
              <w:tab/>
            </w:r>
            <w:r>
              <w:rPr>
                <w:rStyle w:val="IndexLink"/>
              </w:rPr>
              <w:t>890</w:t>
            </w:r>
          </w:hyperlink>
        </w:p>
        <w:p>
          <w:pPr>
            <w:pStyle w:val="Contents4"/>
            <w:tabs>
              <w:tab w:val="clear" w:pos="8176"/>
              <w:tab w:val="right" w:pos="9026" w:leader="dot"/>
            </w:tabs>
            <w:rPr/>
          </w:pPr>
          <w:hyperlink w:anchor="__RefHeading___Toc2572386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لا فرق فی مشروعیّة اللعان لنفی الولد</w:t>
            </w:r>
            <w:r>
              <w:rPr>
                <w:rStyle w:val="IndexLink"/>
                <w:rtl w:val="true"/>
              </w:rPr>
              <w:t>]</w:t>
              <w:tab/>
            </w:r>
            <w:r>
              <w:rPr>
                <w:rStyle w:val="IndexLink"/>
              </w:rPr>
              <w:t>890</w:t>
            </w:r>
          </w:hyperlink>
        </w:p>
        <w:p>
          <w:pPr>
            <w:pStyle w:val="Contents4"/>
            <w:tabs>
              <w:tab w:val="clear" w:pos="8176"/>
              <w:tab w:val="right" w:pos="9026" w:leader="dot"/>
            </w:tabs>
            <w:rPr/>
          </w:pPr>
          <w:hyperlink w:anchor="__RefHeading___Toc2572388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من المعلوم أنّ انتفاء الولد عن الزوج لا یلازم کونه ولد زنا</w:t>
            </w:r>
            <w:r>
              <w:rPr>
                <w:rStyle w:val="IndexLink"/>
                <w:rtl w:val="true"/>
              </w:rPr>
              <w:t>]</w:t>
              <w:tab/>
            </w:r>
            <w:r>
              <w:rPr>
                <w:rStyle w:val="IndexLink"/>
              </w:rPr>
              <w:t>891</w:t>
            </w:r>
          </w:hyperlink>
        </w:p>
        <w:p>
          <w:pPr>
            <w:pStyle w:val="Contents4"/>
            <w:tabs>
              <w:tab w:val="clear" w:pos="8176"/>
              <w:tab w:val="right" w:pos="9026" w:leader="dot"/>
            </w:tabs>
            <w:rPr/>
          </w:pPr>
          <w:hyperlink w:anchor="__RefHeading___Toc2572390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لو أقرّ بالولد لم یسمع إنکاره له بعد ذلک</w:t>
            </w:r>
            <w:r>
              <w:rPr>
                <w:rStyle w:val="IndexLink"/>
                <w:rtl w:val="true"/>
              </w:rPr>
              <w:t>]</w:t>
              <w:tab/>
            </w:r>
            <w:r>
              <w:rPr>
                <w:rStyle w:val="IndexLink"/>
              </w:rPr>
              <w:t>891</w:t>
            </w:r>
          </w:hyperlink>
        </w:p>
        <w:p>
          <w:pPr>
            <w:pStyle w:val="Contents4"/>
            <w:tabs>
              <w:tab w:val="clear" w:pos="8176"/>
              <w:tab w:val="right" w:pos="9026" w:leader="dot"/>
            </w:tabs>
            <w:rPr/>
          </w:pPr>
          <w:hyperlink w:anchor="__RefHeading___Toc2572392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لا یقع اللعان إلّا عند الحاکم الشرعی أو من نصبه</w:t>
            </w:r>
            <w:r>
              <w:rPr>
                <w:rStyle w:val="IndexLink"/>
                <w:rtl w:val="true"/>
              </w:rPr>
              <w:t>]</w:t>
              <w:tab/>
            </w:r>
            <w:r>
              <w:rPr>
                <w:rStyle w:val="IndexLink"/>
              </w:rPr>
              <w:t>891</w:t>
            </w:r>
          </w:hyperlink>
        </w:p>
        <w:p>
          <w:pPr>
            <w:pStyle w:val="Contents4"/>
            <w:tabs>
              <w:tab w:val="clear" w:pos="8176"/>
              <w:tab w:val="right" w:pos="9026" w:leader="dot"/>
            </w:tabs>
            <w:rPr/>
          </w:pPr>
          <w:hyperlink w:anchor="__RefHeading___Toc2572394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یجب أن تکون الشهادة و اللعن علی الوجه المذکور</w:t>
            </w:r>
            <w:r>
              <w:rPr>
                <w:rStyle w:val="IndexLink"/>
                <w:rtl w:val="true"/>
              </w:rPr>
              <w:t>]</w:t>
              <w:tab/>
            </w:r>
            <w:r>
              <w:rPr>
                <w:rStyle w:val="IndexLink"/>
              </w:rPr>
              <w:t>891</w:t>
            </w:r>
          </w:hyperlink>
        </w:p>
        <w:p>
          <w:pPr>
            <w:pStyle w:val="Contents4"/>
            <w:tabs>
              <w:tab w:val="clear" w:pos="8176"/>
              <w:tab w:val="right" w:pos="9026" w:leader="dot"/>
            </w:tabs>
            <w:rPr/>
          </w:pPr>
          <w:hyperlink w:anchor="__RefHeading___Toc2572396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یجب أن یکون إتیان کلّ منهما باللعان بعد إلقاء الحاکم إیّاه علیه</w:t>
            </w:r>
            <w:r>
              <w:rPr>
                <w:rStyle w:val="IndexLink"/>
                <w:rtl w:val="true"/>
              </w:rPr>
              <w:t>]</w:t>
              <w:tab/>
            </w:r>
            <w:r>
              <w:rPr>
                <w:rStyle w:val="IndexLink"/>
              </w:rPr>
              <w:t>891</w:t>
            </w:r>
          </w:hyperlink>
        </w:p>
        <w:p>
          <w:pPr>
            <w:pStyle w:val="Contents4"/>
            <w:tabs>
              <w:tab w:val="clear" w:pos="8176"/>
              <w:tab w:val="right" w:pos="9026" w:leader="dot"/>
            </w:tabs>
            <w:rPr/>
          </w:pPr>
          <w:hyperlink w:anchor="__RefHeading___Toc2572398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یجب أن یکون النطق بالعربیّة مع القدرة</w:t>
            </w:r>
            <w:r>
              <w:rPr>
                <w:rStyle w:val="IndexLink"/>
                <w:rtl w:val="true"/>
              </w:rPr>
              <w:t>]</w:t>
              <w:tab/>
            </w:r>
            <w:r>
              <w:rPr>
                <w:rStyle w:val="IndexLink"/>
              </w:rPr>
              <w:t>891</w:t>
            </w:r>
          </w:hyperlink>
        </w:p>
        <w:p>
          <w:pPr>
            <w:pStyle w:val="Contents4"/>
            <w:tabs>
              <w:tab w:val="clear" w:pos="8176"/>
              <w:tab w:val="right" w:pos="9026" w:leader="dot"/>
            </w:tabs>
            <w:rPr/>
          </w:pPr>
          <w:hyperlink w:anchor="__RefHeading___Toc2572400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یجب أن یکونا قائمین عند التلفّظ بألفاظهما الخمسة</w:t>
            </w:r>
            <w:r>
              <w:rPr>
                <w:rStyle w:val="IndexLink"/>
                <w:rtl w:val="true"/>
              </w:rPr>
              <w:t>]</w:t>
              <w:tab/>
            </w:r>
            <w:r>
              <w:rPr>
                <w:rStyle w:val="IndexLink"/>
              </w:rPr>
              <w:t>891</w:t>
            </w:r>
          </w:hyperlink>
        </w:p>
        <w:p>
          <w:pPr>
            <w:pStyle w:val="Contents4"/>
            <w:tabs>
              <w:tab w:val="clear" w:pos="8176"/>
              <w:tab w:val="right" w:pos="9026" w:leader="dot"/>
            </w:tabs>
            <w:rPr/>
          </w:pPr>
          <w:hyperlink w:anchor="__RefHeading___Toc2572402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إذا وقع اللعان الجامع للشرائط منهما یترتّب علیه أحکام أربعة</w:t>
            </w:r>
            <w:r>
              <w:rPr>
                <w:rStyle w:val="IndexLink"/>
                <w:rtl w:val="true"/>
              </w:rPr>
              <w:t>]</w:t>
              <w:tab/>
            </w:r>
            <w:r>
              <w:rPr>
                <w:rStyle w:val="IndexLink"/>
              </w:rPr>
              <w:t>892</w:t>
            </w:r>
          </w:hyperlink>
        </w:p>
        <w:p>
          <w:pPr>
            <w:pStyle w:val="Contents4"/>
            <w:tabs>
              <w:tab w:val="clear" w:pos="8176"/>
              <w:tab w:val="right" w:pos="9026" w:leader="dot"/>
            </w:tabs>
            <w:rPr/>
          </w:pPr>
          <w:hyperlink w:anchor="__RefHeading___Toc2572404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إذا کذّب نفسه بعد ما لاعن لنفی الولد، لحق به الولد فیما علیه</w:t>
            </w:r>
            <w:r>
              <w:rPr>
                <w:rStyle w:val="IndexLink"/>
                <w:rtl w:val="true"/>
              </w:rPr>
              <w:t>]</w:t>
              <w:tab/>
            </w:r>
            <w:r>
              <w:rPr>
                <w:rStyle w:val="IndexLink"/>
              </w:rPr>
              <w:t>892</w:t>
            </w:r>
          </w:hyperlink>
        </w:p>
        <w:p>
          <w:pPr>
            <w:pStyle w:val="Contents2"/>
            <w:tabs>
              <w:tab w:val="clear" w:pos="8743"/>
              <w:tab w:val="right" w:pos="9026" w:leader="dot"/>
            </w:tabs>
            <w:rPr/>
          </w:pPr>
          <w:hyperlink w:anchor="__RefHeading___Toc2572406_3650668749">
            <w:r>
              <w:rPr>
                <w:webHidden/>
                <w:rStyle w:val="IndexLink"/>
                <w:rtl w:val="true"/>
              </w:rPr>
              <w:t>[</w:t>
            </w:r>
            <w:r>
              <w:rPr>
                <w:rStyle w:val="IndexLink"/>
                <w:rtl w:val="true"/>
              </w:rPr>
              <w:t>کتاب المیراث</w:t>
            </w:r>
            <w:r>
              <w:rPr>
                <w:rStyle w:val="IndexLink"/>
                <w:rtl w:val="true"/>
              </w:rPr>
              <w:t>]</w:t>
              <w:tab/>
            </w:r>
            <w:r>
              <w:rPr>
                <w:rStyle w:val="IndexLink"/>
              </w:rPr>
              <w:t>893</w:t>
            </w:r>
          </w:hyperlink>
        </w:p>
        <w:p>
          <w:pPr>
            <w:pStyle w:val="Contents3"/>
            <w:tabs>
              <w:tab w:val="clear" w:pos="8459"/>
              <w:tab w:val="right" w:pos="9026" w:leader="dot"/>
            </w:tabs>
            <w:rPr/>
          </w:pPr>
          <w:hyperlink w:anchor="__RefHeading___Toc2572408_3650668749">
            <w:r>
              <w:rPr>
                <w:webHidden/>
                <w:rStyle w:val="IndexLink"/>
                <w:rtl w:val="true"/>
              </w:rPr>
              <w:t>اشارة</w:t>
            </w:r>
            <w:r>
              <w:rPr>
                <w:rStyle w:val="IndexLink"/>
                <w:rtl w:val="true"/>
              </w:rPr>
              <w:tab/>
            </w:r>
            <w:r>
              <w:rPr>
                <w:rStyle w:val="IndexLink"/>
              </w:rPr>
              <w:t>893</w:t>
            </w:r>
          </w:hyperlink>
        </w:p>
        <w:p>
          <w:pPr>
            <w:pStyle w:val="Contents3"/>
            <w:tabs>
              <w:tab w:val="clear" w:pos="8459"/>
              <w:tab w:val="right" w:pos="9026" w:leader="dot"/>
            </w:tabs>
            <w:rPr/>
          </w:pPr>
          <w:hyperlink w:anchor="__RefHeading___Toc2572410_3650668749">
            <w:r>
              <w:rPr>
                <w:webHidden/>
                <w:rStyle w:val="IndexLink"/>
                <w:rtl w:val="true"/>
              </w:rPr>
              <w:t>[</w:t>
            </w:r>
            <w:r>
              <w:rPr>
                <w:rStyle w:val="IndexLink"/>
                <w:rtl w:val="true"/>
              </w:rPr>
              <w:t>الأمر الأوّل</w:t>
            </w:r>
            <w:r>
              <w:rPr>
                <w:rStyle w:val="IndexLink"/>
                <w:rtl w:val="true"/>
              </w:rPr>
              <w:t xml:space="preserve">: </w:t>
            </w:r>
            <w:r>
              <w:rPr>
                <w:rStyle w:val="IndexLink"/>
                <w:rtl w:val="true"/>
              </w:rPr>
              <w:t>فی موجبات الإرث و أسبابه علی الإجمال</w:t>
            </w:r>
            <w:r>
              <w:rPr>
                <w:rStyle w:val="IndexLink"/>
                <w:rtl w:val="true"/>
              </w:rPr>
              <w:t>]</w:t>
              <w:tab/>
            </w:r>
            <w:r>
              <w:rPr>
                <w:rStyle w:val="IndexLink"/>
              </w:rPr>
              <w:t>893</w:t>
            </w:r>
          </w:hyperlink>
        </w:p>
        <w:p>
          <w:pPr>
            <w:pStyle w:val="Contents3"/>
            <w:tabs>
              <w:tab w:val="clear" w:pos="8459"/>
              <w:tab w:val="right" w:pos="9026" w:leader="dot"/>
            </w:tabs>
            <w:rPr/>
          </w:pPr>
          <w:hyperlink w:anchor="__RefHeading___Toc2572412_3650668749">
            <w:r>
              <w:rPr>
                <w:webHidden/>
                <w:rStyle w:val="IndexLink"/>
                <w:rtl w:val="true"/>
              </w:rPr>
              <w:t>[</w:t>
            </w:r>
            <w:r>
              <w:rPr>
                <w:rStyle w:val="IndexLink"/>
                <w:rtl w:val="true"/>
              </w:rPr>
              <w:t>الأمر الثانی</w:t>
            </w:r>
            <w:r>
              <w:rPr>
                <w:rStyle w:val="IndexLink"/>
                <w:rtl w:val="true"/>
              </w:rPr>
              <w:t xml:space="preserve">: </w:t>
            </w:r>
            <w:r>
              <w:rPr>
                <w:rStyle w:val="IndexLink"/>
                <w:rtl w:val="true"/>
              </w:rPr>
              <w:t>الوارث إمّا یرث بالفرض و إمّا یرث بالقرابة</w:t>
            </w:r>
            <w:r>
              <w:rPr>
                <w:rStyle w:val="IndexLink"/>
                <w:rtl w:val="true"/>
              </w:rPr>
              <w:t>]</w:t>
              <w:tab/>
            </w:r>
            <w:r>
              <w:rPr>
                <w:rStyle w:val="IndexLink"/>
              </w:rPr>
              <w:t>893</w:t>
            </w:r>
          </w:hyperlink>
        </w:p>
        <w:p>
          <w:pPr>
            <w:pStyle w:val="Contents4"/>
            <w:tabs>
              <w:tab w:val="clear" w:pos="8176"/>
              <w:tab w:val="right" w:pos="9026" w:leader="dot"/>
            </w:tabs>
            <w:rPr/>
          </w:pPr>
          <w:hyperlink w:anchor="__RefHeading___Toc2572414_3650668749">
            <w:r>
              <w:rPr>
                <w:webHidden/>
                <w:rStyle w:val="IndexLink"/>
                <w:rtl w:val="true"/>
              </w:rPr>
              <w:t>اشارة</w:t>
            </w:r>
            <w:r>
              <w:rPr>
                <w:rStyle w:val="IndexLink"/>
                <w:rtl w:val="true"/>
              </w:rPr>
              <w:tab/>
            </w:r>
            <w:r>
              <w:rPr>
                <w:rStyle w:val="IndexLink"/>
              </w:rPr>
              <w:t>893</w:t>
            </w:r>
          </w:hyperlink>
        </w:p>
        <w:p>
          <w:pPr>
            <w:pStyle w:val="Contents4"/>
            <w:tabs>
              <w:tab w:val="clear" w:pos="8176"/>
              <w:tab w:val="right" w:pos="9026" w:leader="dot"/>
            </w:tabs>
            <w:rPr/>
          </w:pPr>
          <w:hyperlink w:anchor="__RefHeading___Toc2572416_3650668749">
            <w:r>
              <w:rPr>
                <w:webHidden/>
                <w:rStyle w:val="IndexLink"/>
                <w:rtl w:val="true"/>
              </w:rPr>
              <w:t>[ (</w:t>
            </w:r>
            <w:r>
              <w:rPr>
                <w:rStyle w:val="IndexLink"/>
                <w:rtl w:val="true"/>
              </w:rPr>
              <w:t xml:space="preserve">مسألة </w:t>
            </w:r>
            <w:r>
              <w:rPr>
                <w:rStyle w:val="IndexLink"/>
              </w:rPr>
              <w:t>1</w:t>
            </w:r>
            <w:r>
              <w:rPr>
                <w:rStyle w:val="IndexLink"/>
                <w:rtl w:val="true"/>
              </w:rPr>
              <w:t xml:space="preserve">): </w:t>
            </w:r>
            <w:r>
              <w:rPr>
                <w:rStyle w:val="IndexLink"/>
                <w:rtl w:val="true"/>
              </w:rPr>
              <w:t>قد ظهر ممّا مرّ</w:t>
            </w:r>
            <w:r>
              <w:rPr>
                <w:rStyle w:val="IndexLink"/>
                <w:rtl w:val="true"/>
              </w:rPr>
              <w:t xml:space="preserve">: </w:t>
            </w:r>
            <w:r>
              <w:rPr>
                <w:rStyle w:val="IndexLink"/>
                <w:rtl w:val="true"/>
              </w:rPr>
              <w:t>أنّ أهل الطبقة الثالثة من ذوی الأنساب لا فرض لهم</w:t>
            </w:r>
            <w:r>
              <w:rPr>
                <w:rStyle w:val="IndexLink"/>
                <w:rtl w:val="true"/>
              </w:rPr>
              <w:t>]</w:t>
              <w:tab/>
            </w:r>
            <w:r>
              <w:rPr>
                <w:rStyle w:val="IndexLink"/>
              </w:rPr>
              <w:t>894</w:t>
            </w:r>
          </w:hyperlink>
        </w:p>
        <w:p>
          <w:pPr>
            <w:pStyle w:val="Contents4"/>
            <w:tabs>
              <w:tab w:val="clear" w:pos="8176"/>
              <w:tab w:val="right" w:pos="9026" w:leader="dot"/>
            </w:tabs>
            <w:rPr/>
          </w:pPr>
          <w:hyperlink w:anchor="__RefHeading___Toc2572418_3650668749">
            <w:r>
              <w:rPr>
                <w:webHidden/>
                <w:rStyle w:val="IndexLink"/>
                <w:rtl w:val="true"/>
              </w:rPr>
              <w:t>[ (</w:t>
            </w:r>
            <w:r>
              <w:rPr>
                <w:rStyle w:val="IndexLink"/>
                <w:rtl w:val="true"/>
              </w:rPr>
              <w:t xml:space="preserve">مسألة </w:t>
            </w:r>
            <w:r>
              <w:rPr>
                <w:rStyle w:val="IndexLink"/>
              </w:rPr>
              <w:t>2</w:t>
            </w:r>
            <w:r>
              <w:rPr>
                <w:rStyle w:val="IndexLink"/>
                <w:rtl w:val="true"/>
              </w:rPr>
              <w:t xml:space="preserve">): </w:t>
            </w:r>
            <w:r>
              <w:rPr>
                <w:rStyle w:val="IndexLink"/>
                <w:rtl w:val="true"/>
              </w:rPr>
              <w:t>ظهر ممّا ذکر</w:t>
            </w:r>
            <w:r>
              <w:rPr>
                <w:rStyle w:val="IndexLink"/>
                <w:rtl w:val="true"/>
              </w:rPr>
              <w:t xml:space="preserve">: </w:t>
            </w:r>
            <w:r>
              <w:rPr>
                <w:rStyle w:val="IndexLink"/>
                <w:rtl w:val="true"/>
              </w:rPr>
              <w:t>أنّ من کان له فرض علیٰ قسمین</w:t>
            </w:r>
            <w:r>
              <w:rPr>
                <w:rStyle w:val="IndexLink"/>
                <w:rtl w:val="true"/>
              </w:rPr>
              <w:t>]</w:t>
              <w:tab/>
            </w:r>
            <w:r>
              <w:rPr>
                <w:rStyle w:val="IndexLink"/>
              </w:rPr>
              <w:t>894</w:t>
            </w:r>
          </w:hyperlink>
        </w:p>
        <w:p>
          <w:pPr>
            <w:pStyle w:val="Contents3"/>
            <w:tabs>
              <w:tab w:val="clear" w:pos="8459"/>
              <w:tab w:val="right" w:pos="9026" w:leader="dot"/>
            </w:tabs>
            <w:rPr/>
          </w:pPr>
          <w:hyperlink w:anchor="__RefHeading___Toc2572420_3650668749">
            <w:r>
              <w:rPr>
                <w:webHidden/>
                <w:rStyle w:val="IndexLink"/>
                <w:rtl w:val="true"/>
              </w:rPr>
              <w:t>[</w:t>
            </w:r>
            <w:r>
              <w:rPr>
                <w:rStyle w:val="IndexLink"/>
                <w:rtl w:val="true"/>
              </w:rPr>
              <w:t>الأمر الثالث</w:t>
            </w:r>
            <w:r>
              <w:rPr>
                <w:rStyle w:val="IndexLink"/>
                <w:rtl w:val="true"/>
              </w:rPr>
              <w:t xml:space="preserve">: </w:t>
            </w:r>
            <w:r>
              <w:rPr>
                <w:rStyle w:val="IndexLink"/>
                <w:rtl w:val="true"/>
              </w:rPr>
              <w:t>فی موانع الإرث</w:t>
            </w:r>
            <w:r>
              <w:rPr>
                <w:rStyle w:val="IndexLink"/>
                <w:rtl w:val="true"/>
              </w:rPr>
              <w:t>]</w:t>
              <w:tab/>
            </w:r>
            <w:r>
              <w:rPr>
                <w:rStyle w:val="IndexLink"/>
              </w:rPr>
              <w:t>895</w:t>
            </w:r>
          </w:hyperlink>
        </w:p>
        <w:p>
          <w:pPr>
            <w:pStyle w:val="Contents4"/>
            <w:tabs>
              <w:tab w:val="clear" w:pos="8176"/>
              <w:tab w:val="right" w:pos="9026" w:leader="dot"/>
            </w:tabs>
            <w:rPr/>
          </w:pPr>
          <w:hyperlink w:anchor="__RefHeading___Toc2572422_3650668749">
            <w:r>
              <w:rPr>
                <w:webHidden/>
                <w:rStyle w:val="IndexLink"/>
                <w:rtl w:val="true"/>
              </w:rPr>
              <w:t>اشارة</w:t>
            </w:r>
            <w:r>
              <w:rPr>
                <w:rStyle w:val="IndexLink"/>
                <w:rtl w:val="true"/>
              </w:rPr>
              <w:tab/>
            </w:r>
            <w:r>
              <w:rPr>
                <w:rStyle w:val="IndexLink"/>
              </w:rPr>
              <w:t>895</w:t>
            </w:r>
          </w:hyperlink>
        </w:p>
        <w:p>
          <w:pPr>
            <w:pStyle w:val="Contents4"/>
            <w:tabs>
              <w:tab w:val="clear" w:pos="8176"/>
              <w:tab w:val="right" w:pos="9026" w:leader="dot"/>
            </w:tabs>
            <w:rPr/>
          </w:pPr>
          <w:hyperlink w:anchor="__RefHeading___Toc2572424_3650668749">
            <w:r>
              <w:rPr>
                <w:webHidden/>
                <w:rStyle w:val="IndexLink"/>
                <w:rtl w:val="true"/>
              </w:rPr>
              <w:t>[</w:t>
            </w:r>
            <w:r>
              <w:rPr>
                <w:rStyle w:val="IndexLink"/>
                <w:rtl w:val="true"/>
              </w:rPr>
              <w:t>الأوّل</w:t>
            </w:r>
            <w:r>
              <w:rPr>
                <w:rStyle w:val="IndexLink"/>
                <w:rtl w:val="true"/>
              </w:rPr>
              <w:t xml:space="preserve">: </w:t>
            </w:r>
            <w:r>
              <w:rPr>
                <w:rStyle w:val="IndexLink"/>
                <w:rtl w:val="true"/>
              </w:rPr>
              <w:t>الکفر بأصنافه</w:t>
            </w:r>
            <w:r>
              <w:rPr>
                <w:rStyle w:val="IndexLink"/>
                <w:rtl w:val="true"/>
              </w:rPr>
              <w:t>]</w:t>
              <w:tab/>
            </w:r>
            <w:r>
              <w:rPr>
                <w:rStyle w:val="IndexLink"/>
              </w:rPr>
              <w:t>895</w:t>
            </w:r>
          </w:hyperlink>
        </w:p>
        <w:p>
          <w:pPr>
            <w:pStyle w:val="Contents5"/>
            <w:tabs>
              <w:tab w:val="clear" w:pos="7892"/>
              <w:tab w:val="right" w:pos="9026" w:leader="dot"/>
            </w:tabs>
            <w:rPr/>
          </w:pPr>
          <w:hyperlink w:anchor="__RefHeading___Toc2572426_3650668749">
            <w:r>
              <w:rPr>
                <w:webHidden/>
                <w:rStyle w:val="IndexLink"/>
                <w:rtl w:val="true"/>
              </w:rPr>
              <w:t>اشارة</w:t>
            </w:r>
            <w:r>
              <w:rPr>
                <w:rStyle w:val="IndexLink"/>
                <w:rtl w:val="true"/>
              </w:rPr>
              <w:tab/>
            </w:r>
            <w:r>
              <w:rPr>
                <w:rStyle w:val="IndexLink"/>
              </w:rPr>
              <w:t>895</w:t>
            </w:r>
          </w:hyperlink>
        </w:p>
        <w:p>
          <w:pPr>
            <w:pStyle w:val="Contents5"/>
            <w:tabs>
              <w:tab w:val="clear" w:pos="7892"/>
              <w:tab w:val="right" w:pos="9026" w:leader="dot"/>
            </w:tabs>
            <w:rPr/>
          </w:pPr>
          <w:hyperlink w:anchor="__RefHeading___Toc2572428_3650668749">
            <w:r>
              <w:rPr>
                <w:webHidden/>
                <w:rStyle w:val="IndexLink"/>
                <w:rtl w:val="true"/>
              </w:rPr>
              <w:t>[ (</w:t>
            </w:r>
            <w:r>
              <w:rPr>
                <w:rStyle w:val="IndexLink"/>
                <w:rtl w:val="true"/>
              </w:rPr>
              <w:t xml:space="preserve">مسألة </w:t>
            </w:r>
            <w:r>
              <w:rPr>
                <w:rStyle w:val="IndexLink"/>
              </w:rPr>
              <w:t>3</w:t>
            </w:r>
            <w:r>
              <w:rPr>
                <w:rStyle w:val="IndexLink"/>
                <w:rtl w:val="true"/>
              </w:rPr>
              <w:t xml:space="preserve">): </w:t>
            </w:r>
            <w:r>
              <w:rPr>
                <w:rStyle w:val="IndexLink"/>
                <w:rtl w:val="true"/>
              </w:rPr>
              <w:t>إذا مات الکافر أصلیّاً أو مرتدّاً عن فطرة أو ملّة</w:t>
            </w:r>
            <w:r>
              <w:rPr>
                <w:rStyle w:val="IndexLink"/>
                <w:rtl w:val="true"/>
              </w:rPr>
              <w:t>]</w:t>
              <w:tab/>
            </w:r>
            <w:r>
              <w:rPr>
                <w:rStyle w:val="IndexLink"/>
              </w:rPr>
              <w:t>895</w:t>
            </w:r>
          </w:hyperlink>
        </w:p>
        <w:p>
          <w:pPr>
            <w:pStyle w:val="Contents5"/>
            <w:tabs>
              <w:tab w:val="clear" w:pos="7892"/>
              <w:tab w:val="right" w:pos="9026" w:leader="dot"/>
            </w:tabs>
            <w:rPr/>
          </w:pPr>
          <w:hyperlink w:anchor="__RefHeading___Toc2572430_3650668749">
            <w:r>
              <w:rPr>
                <w:webHidden/>
                <w:rStyle w:val="IndexLink"/>
                <w:rtl w:val="true"/>
              </w:rPr>
              <w:t>[ (</w:t>
            </w:r>
            <w:r>
              <w:rPr>
                <w:rStyle w:val="IndexLink"/>
                <w:rtl w:val="true"/>
              </w:rPr>
              <w:t xml:space="preserve">مسألة </w:t>
            </w:r>
            <w:r>
              <w:rPr>
                <w:rStyle w:val="IndexLink"/>
              </w:rPr>
              <w:t>4</w:t>
            </w:r>
            <w:r>
              <w:rPr>
                <w:rStyle w:val="IndexLink"/>
                <w:rtl w:val="true"/>
              </w:rPr>
              <w:t xml:space="preserve">): </w:t>
            </w:r>
            <w:r>
              <w:rPr>
                <w:rStyle w:val="IndexLink"/>
                <w:rtl w:val="true"/>
              </w:rPr>
              <w:t>لو مات مسلم أو کافر و کان له وارث کافر و وارث مسلم غیر الإمام و أسلم بعد موته وارثه الکافر</w:t>
            </w:r>
            <w:r>
              <w:rPr>
                <w:rStyle w:val="IndexLink"/>
                <w:rtl w:val="true"/>
              </w:rPr>
              <w:t>]</w:t>
              <w:tab/>
            </w:r>
            <w:r>
              <w:rPr>
                <w:rStyle w:val="IndexLink"/>
              </w:rPr>
              <w:t>895</w:t>
            </w:r>
          </w:hyperlink>
        </w:p>
        <w:p>
          <w:pPr>
            <w:pStyle w:val="Contents5"/>
            <w:tabs>
              <w:tab w:val="clear" w:pos="7892"/>
              <w:tab w:val="right" w:pos="9026" w:leader="dot"/>
            </w:tabs>
            <w:rPr/>
          </w:pPr>
          <w:hyperlink w:anchor="__RefHeading___Toc2572432_3650668749">
            <w:r>
              <w:rPr>
                <w:webHidden/>
                <w:rStyle w:val="IndexLink"/>
                <w:rtl w:val="true"/>
              </w:rPr>
              <w:t>[ (</w:t>
            </w:r>
            <w:r>
              <w:rPr>
                <w:rStyle w:val="IndexLink"/>
                <w:rtl w:val="true"/>
              </w:rPr>
              <w:t xml:space="preserve">مسألة </w:t>
            </w:r>
            <w:r>
              <w:rPr>
                <w:rStyle w:val="IndexLink"/>
              </w:rPr>
              <w:t>5</w:t>
            </w:r>
            <w:r>
              <w:rPr>
                <w:rStyle w:val="IndexLink"/>
                <w:rtl w:val="true"/>
              </w:rPr>
              <w:t xml:space="preserve">): </w:t>
            </w:r>
            <w:r>
              <w:rPr>
                <w:rStyle w:val="IndexLink"/>
                <w:rtl w:val="true"/>
              </w:rPr>
              <w:t>لو أسلم الوارث بعد قسمة بعض الترکة دون بعض، کان لکلّ منهما حکمه</w:t>
            </w:r>
            <w:r>
              <w:rPr>
                <w:rStyle w:val="IndexLink"/>
                <w:rtl w:val="true"/>
              </w:rPr>
              <w:t>]</w:t>
              <w:tab/>
            </w:r>
            <w:r>
              <w:rPr>
                <w:rStyle w:val="IndexLink"/>
              </w:rPr>
              <w:t>895</w:t>
            </w:r>
          </w:hyperlink>
        </w:p>
        <w:p>
          <w:pPr>
            <w:pStyle w:val="Contents5"/>
            <w:tabs>
              <w:tab w:val="clear" w:pos="7892"/>
              <w:tab w:val="right" w:pos="9026" w:leader="dot"/>
            </w:tabs>
            <w:rPr/>
          </w:pPr>
          <w:hyperlink w:anchor="__RefHeading___Toc2572434_3650668749">
            <w:r>
              <w:rPr>
                <w:webHidden/>
                <w:rStyle w:val="IndexLink"/>
                <w:rtl w:val="true"/>
              </w:rPr>
              <w:t>[ (</w:t>
            </w:r>
            <w:r>
              <w:rPr>
                <w:rStyle w:val="IndexLink"/>
                <w:rtl w:val="true"/>
              </w:rPr>
              <w:t xml:space="preserve">مسألة </w:t>
            </w:r>
            <w:r>
              <w:rPr>
                <w:rStyle w:val="IndexLink"/>
              </w:rPr>
              <w:t>6</w:t>
            </w:r>
            <w:r>
              <w:rPr>
                <w:rStyle w:val="IndexLink"/>
                <w:rtl w:val="true"/>
              </w:rPr>
              <w:t xml:space="preserve">): </w:t>
            </w:r>
            <w:r>
              <w:rPr>
                <w:rStyle w:val="IndexLink"/>
                <w:rtl w:val="true"/>
              </w:rPr>
              <w:t>لو مات مسلم عن ورثة کفّار لیس بینهم مسلم فأسلم بعضهم بعد موته، اختصّ هو بالإرث</w:t>
            </w:r>
            <w:r>
              <w:rPr>
                <w:rStyle w:val="IndexLink"/>
                <w:rtl w:val="true"/>
              </w:rPr>
              <w:t>]</w:t>
              <w:tab/>
            </w:r>
            <w:r>
              <w:rPr>
                <w:rStyle w:val="IndexLink"/>
              </w:rPr>
              <w:t>895</w:t>
            </w:r>
          </w:hyperlink>
        </w:p>
        <w:p>
          <w:pPr>
            <w:pStyle w:val="Contents5"/>
            <w:tabs>
              <w:tab w:val="clear" w:pos="7892"/>
              <w:tab w:val="right" w:pos="9026" w:leader="dot"/>
            </w:tabs>
            <w:rPr/>
          </w:pPr>
          <w:hyperlink w:anchor="__RefHeading___Toc2572436_3650668749">
            <w:r>
              <w:rPr>
                <w:webHidden/>
                <w:rStyle w:val="IndexLink"/>
                <w:rtl w:val="true"/>
              </w:rPr>
              <w:t>[ (</w:t>
            </w:r>
            <w:r>
              <w:rPr>
                <w:rStyle w:val="IndexLink"/>
                <w:rtl w:val="true"/>
              </w:rPr>
              <w:t xml:space="preserve">مسألة </w:t>
            </w:r>
            <w:r>
              <w:rPr>
                <w:rStyle w:val="IndexLink"/>
              </w:rPr>
              <w:t>7</w:t>
            </w:r>
            <w:r>
              <w:rPr>
                <w:rStyle w:val="IndexLink"/>
                <w:rtl w:val="true"/>
              </w:rPr>
              <w:t xml:space="preserve">): </w:t>
            </w:r>
            <w:r>
              <w:rPr>
                <w:rStyle w:val="IndexLink"/>
                <w:rtl w:val="true"/>
              </w:rPr>
              <w:t>لو مات کافر أصلیّ و لم یخلّف إلّا ورثة کفّاراً لیس بینهم مسلم فأسلم بعضهم بعد موته</w:t>
            </w:r>
            <w:r>
              <w:rPr>
                <w:rStyle w:val="IndexLink"/>
                <w:rtl w:val="true"/>
              </w:rPr>
              <w:t>]</w:t>
              <w:tab/>
            </w:r>
            <w:r>
              <w:rPr>
                <w:rStyle w:val="IndexLink"/>
              </w:rPr>
              <w:t>896</w:t>
            </w:r>
          </w:hyperlink>
        </w:p>
        <w:p>
          <w:pPr>
            <w:pStyle w:val="Contents5"/>
            <w:tabs>
              <w:tab w:val="clear" w:pos="7892"/>
              <w:tab w:val="right" w:pos="9026" w:leader="dot"/>
            </w:tabs>
            <w:rPr/>
          </w:pPr>
          <w:hyperlink w:anchor="__RefHeading___Toc2572438_3650668749">
            <w:r>
              <w:rPr>
                <w:webHidden/>
                <w:rStyle w:val="IndexLink"/>
                <w:rtl w:val="true"/>
              </w:rPr>
              <w:t>[ (</w:t>
            </w:r>
            <w:r>
              <w:rPr>
                <w:rStyle w:val="IndexLink"/>
                <w:rtl w:val="true"/>
              </w:rPr>
              <w:t xml:space="preserve">مسألة </w:t>
            </w:r>
            <w:r>
              <w:rPr>
                <w:rStyle w:val="IndexLink"/>
              </w:rPr>
              <w:t>8</w:t>
            </w:r>
            <w:r>
              <w:rPr>
                <w:rStyle w:val="IndexLink"/>
                <w:rtl w:val="true"/>
              </w:rPr>
              <w:t xml:space="preserve">): </w:t>
            </w:r>
            <w:r>
              <w:rPr>
                <w:rStyle w:val="IndexLink"/>
                <w:rtl w:val="true"/>
              </w:rPr>
              <w:t>المراد بالمسلم و الکافر وارثاً و مورّثاً و حاجباً و محجوباً</w:t>
            </w:r>
            <w:r>
              <w:rPr>
                <w:rStyle w:val="IndexLink"/>
                <w:rtl w:val="true"/>
              </w:rPr>
              <w:t>]</w:t>
              <w:tab/>
            </w:r>
            <w:r>
              <w:rPr>
                <w:rStyle w:val="IndexLink"/>
              </w:rPr>
              <w:t>896</w:t>
            </w:r>
          </w:hyperlink>
        </w:p>
        <w:p>
          <w:pPr>
            <w:pStyle w:val="Contents5"/>
            <w:tabs>
              <w:tab w:val="clear" w:pos="7892"/>
              <w:tab w:val="right" w:pos="9026" w:leader="dot"/>
            </w:tabs>
            <w:rPr/>
          </w:pPr>
          <w:hyperlink w:anchor="__RefHeading___Toc2572440_3650668749">
            <w:r>
              <w:rPr>
                <w:webHidden/>
                <w:rStyle w:val="IndexLink"/>
                <w:rtl w:val="true"/>
              </w:rPr>
              <w:t>[ (</w:t>
            </w:r>
            <w:r>
              <w:rPr>
                <w:rStyle w:val="IndexLink"/>
                <w:rtl w:val="true"/>
              </w:rPr>
              <w:t xml:space="preserve">مسألة </w:t>
            </w:r>
            <w:r>
              <w:rPr>
                <w:rStyle w:val="IndexLink"/>
              </w:rPr>
              <w:t>9</w:t>
            </w:r>
            <w:r>
              <w:rPr>
                <w:rStyle w:val="IndexLink"/>
                <w:rtl w:val="true"/>
              </w:rPr>
              <w:t xml:space="preserve">): </w:t>
            </w:r>
            <w:r>
              <w:rPr>
                <w:rStyle w:val="IndexLink"/>
                <w:rtl w:val="true"/>
              </w:rPr>
              <w:t>المسلمون یتوارثون و إن اختلفوا فی المذاهب و الأُصول و العقائد</w:t>
            </w:r>
            <w:r>
              <w:rPr>
                <w:rStyle w:val="IndexLink"/>
                <w:rtl w:val="true"/>
              </w:rPr>
              <w:t>]</w:t>
              <w:tab/>
            </w:r>
            <w:r>
              <w:rPr>
                <w:rStyle w:val="IndexLink"/>
              </w:rPr>
              <w:t>896</w:t>
            </w:r>
          </w:hyperlink>
        </w:p>
        <w:p>
          <w:pPr>
            <w:pStyle w:val="Contents5"/>
            <w:tabs>
              <w:tab w:val="clear" w:pos="7892"/>
              <w:tab w:val="right" w:pos="9026" w:leader="dot"/>
            </w:tabs>
            <w:rPr/>
          </w:pPr>
          <w:hyperlink w:anchor="__RefHeading___Toc2572442_3650668749">
            <w:r>
              <w:rPr>
                <w:webHidden/>
                <w:rStyle w:val="IndexLink"/>
                <w:rtl w:val="true"/>
              </w:rPr>
              <w:t>[ (</w:t>
            </w:r>
            <w:r>
              <w:rPr>
                <w:rStyle w:val="IndexLink"/>
                <w:rtl w:val="true"/>
              </w:rPr>
              <w:t xml:space="preserve">مسألة </w:t>
            </w:r>
            <w:r>
              <w:rPr>
                <w:rStyle w:val="IndexLink"/>
              </w:rPr>
              <w:t>10</w:t>
            </w:r>
            <w:r>
              <w:rPr>
                <w:rStyle w:val="IndexLink"/>
                <w:rtl w:val="true"/>
              </w:rPr>
              <w:t xml:space="preserve">): </w:t>
            </w:r>
            <w:r>
              <w:rPr>
                <w:rStyle w:val="IndexLink"/>
                <w:rtl w:val="true"/>
              </w:rPr>
              <w:t>الکفّار یتوارثون و إن اختلفوا فی الملل و النحل</w:t>
            </w:r>
            <w:r>
              <w:rPr>
                <w:rStyle w:val="IndexLink"/>
                <w:rtl w:val="true"/>
              </w:rPr>
              <w:t>]</w:t>
              <w:tab/>
            </w:r>
            <w:r>
              <w:rPr>
                <w:rStyle w:val="IndexLink"/>
              </w:rPr>
              <w:t>897</w:t>
            </w:r>
          </w:hyperlink>
        </w:p>
        <w:p>
          <w:pPr>
            <w:pStyle w:val="Contents5"/>
            <w:tabs>
              <w:tab w:val="clear" w:pos="7892"/>
              <w:tab w:val="right" w:pos="9026" w:leader="dot"/>
            </w:tabs>
            <w:rPr/>
          </w:pPr>
          <w:hyperlink w:anchor="__RefHeading___Toc2572444_3650668749">
            <w:r>
              <w:rPr>
                <w:webHidden/>
                <w:rStyle w:val="IndexLink"/>
                <w:rtl w:val="true"/>
              </w:rPr>
              <w:t>[ (</w:t>
            </w:r>
            <w:r>
              <w:rPr>
                <w:rStyle w:val="IndexLink"/>
                <w:rtl w:val="true"/>
              </w:rPr>
              <w:t xml:space="preserve">مسألة </w:t>
            </w:r>
            <w:r>
              <w:rPr>
                <w:rStyle w:val="IndexLink"/>
              </w:rPr>
              <w:t>11</w:t>
            </w:r>
            <w:r>
              <w:rPr>
                <w:rStyle w:val="IndexLink"/>
                <w:rtl w:val="true"/>
              </w:rPr>
              <w:t xml:space="preserve">): </w:t>
            </w:r>
            <w:r>
              <w:rPr>
                <w:rStyle w:val="IndexLink"/>
                <w:rtl w:val="true"/>
              </w:rPr>
              <w:t>المرتدّ و هو من خرج عن الإسلام و اختار الکفر بعد ما کان مسلماً علیٰ قسمین</w:t>
            </w:r>
            <w:r>
              <w:rPr>
                <w:rStyle w:val="IndexLink"/>
                <w:rtl w:val="true"/>
              </w:rPr>
              <w:t>]</w:t>
              <w:tab/>
            </w:r>
            <w:r>
              <w:rPr>
                <w:rStyle w:val="IndexLink"/>
              </w:rPr>
              <w:t>897</w:t>
            </w:r>
          </w:hyperlink>
        </w:p>
        <w:p>
          <w:pPr>
            <w:pStyle w:val="Contents4"/>
            <w:tabs>
              <w:tab w:val="clear" w:pos="8176"/>
              <w:tab w:val="right" w:pos="9026" w:leader="dot"/>
            </w:tabs>
            <w:rPr/>
          </w:pPr>
          <w:hyperlink w:anchor="__RefHeading___Toc2572446_3650668749">
            <w:r>
              <w:rPr>
                <w:webHidden/>
                <w:rStyle w:val="IndexLink"/>
                <w:rtl w:val="true"/>
              </w:rPr>
              <w:t>[</w:t>
            </w:r>
            <w:r>
              <w:rPr>
                <w:rStyle w:val="IndexLink"/>
                <w:rtl w:val="true"/>
              </w:rPr>
              <w:t>الثانی من موانع الإرث</w:t>
            </w:r>
            <w:r>
              <w:rPr>
                <w:rStyle w:val="IndexLink"/>
                <w:rtl w:val="true"/>
              </w:rPr>
              <w:t xml:space="preserve">: </w:t>
            </w:r>
            <w:r>
              <w:rPr>
                <w:rStyle w:val="IndexLink"/>
                <w:rtl w:val="true"/>
              </w:rPr>
              <w:t>القتل</w:t>
            </w:r>
            <w:r>
              <w:rPr>
                <w:rStyle w:val="IndexLink"/>
                <w:rtl w:val="true"/>
              </w:rPr>
              <w:t>]</w:t>
              <w:tab/>
            </w:r>
            <w:r>
              <w:rPr>
                <w:rStyle w:val="IndexLink"/>
              </w:rPr>
              <w:t>898</w:t>
            </w:r>
          </w:hyperlink>
        </w:p>
        <w:p>
          <w:pPr>
            <w:pStyle w:val="Contents5"/>
            <w:tabs>
              <w:tab w:val="clear" w:pos="7892"/>
              <w:tab w:val="right" w:pos="9026" w:leader="dot"/>
            </w:tabs>
            <w:rPr/>
          </w:pPr>
          <w:hyperlink w:anchor="__RefHeading___Toc2572448_3650668749">
            <w:r>
              <w:rPr>
                <w:webHidden/>
                <w:rStyle w:val="IndexLink"/>
                <w:rtl w:val="true"/>
              </w:rPr>
              <w:t>اشارة</w:t>
            </w:r>
            <w:r>
              <w:rPr>
                <w:rStyle w:val="IndexLink"/>
                <w:rtl w:val="true"/>
              </w:rPr>
              <w:tab/>
            </w:r>
            <w:r>
              <w:rPr>
                <w:rStyle w:val="IndexLink"/>
              </w:rPr>
              <w:t>898</w:t>
            </w:r>
          </w:hyperlink>
        </w:p>
        <w:p>
          <w:pPr>
            <w:pStyle w:val="Contents5"/>
            <w:tabs>
              <w:tab w:val="clear" w:pos="7892"/>
              <w:tab w:val="right" w:pos="9026" w:leader="dot"/>
            </w:tabs>
            <w:rPr/>
          </w:pPr>
          <w:hyperlink w:anchor="__RefHeading___Toc2572450_3650668749">
            <w:r>
              <w:rPr>
                <w:webHidden/>
                <w:rStyle w:val="IndexLink"/>
                <w:rtl w:val="true"/>
              </w:rPr>
              <w:t>[ (</w:t>
            </w:r>
            <w:r>
              <w:rPr>
                <w:rStyle w:val="IndexLink"/>
                <w:rtl w:val="true"/>
              </w:rPr>
              <w:t xml:space="preserve">مسألة </w:t>
            </w:r>
            <w:r>
              <w:rPr>
                <w:rStyle w:val="IndexLink"/>
              </w:rPr>
              <w:t>12</w:t>
            </w:r>
            <w:r>
              <w:rPr>
                <w:rStyle w:val="IndexLink"/>
                <w:rtl w:val="true"/>
              </w:rPr>
              <w:t xml:space="preserve">): </w:t>
            </w:r>
            <w:r>
              <w:rPr>
                <w:rStyle w:val="IndexLink"/>
                <w:rtl w:val="true"/>
              </w:rPr>
              <w:t>لا یرث القاتل من المقتول إذا کان القتل عمداً ظلماً</w:t>
            </w:r>
            <w:r>
              <w:rPr>
                <w:rStyle w:val="IndexLink"/>
                <w:rtl w:val="true"/>
              </w:rPr>
              <w:t>]</w:t>
              <w:tab/>
            </w:r>
            <w:r>
              <w:rPr>
                <w:rStyle w:val="IndexLink"/>
              </w:rPr>
              <w:t>898</w:t>
            </w:r>
          </w:hyperlink>
        </w:p>
        <w:p>
          <w:pPr>
            <w:pStyle w:val="Contents5"/>
            <w:tabs>
              <w:tab w:val="clear" w:pos="7892"/>
              <w:tab w:val="right" w:pos="9026" w:leader="dot"/>
            </w:tabs>
            <w:rPr/>
          </w:pPr>
          <w:hyperlink w:anchor="__RefHeading___Toc2572452_3650668749">
            <w:r>
              <w:rPr>
                <w:webHidden/>
                <w:rStyle w:val="IndexLink"/>
                <w:rtl w:val="true"/>
              </w:rPr>
              <w:t>[ (</w:t>
            </w:r>
            <w:r>
              <w:rPr>
                <w:rStyle w:val="IndexLink"/>
                <w:rtl w:val="true"/>
              </w:rPr>
              <w:t xml:space="preserve">مسألة </w:t>
            </w:r>
            <w:r>
              <w:rPr>
                <w:rStyle w:val="IndexLink"/>
              </w:rPr>
              <w:t>13</w:t>
            </w:r>
            <w:r>
              <w:rPr>
                <w:rStyle w:val="IndexLink"/>
                <w:rtl w:val="true"/>
              </w:rPr>
              <w:t xml:space="preserve">): </w:t>
            </w:r>
            <w:r>
              <w:rPr>
                <w:rStyle w:val="IndexLink"/>
                <w:rtl w:val="true"/>
              </w:rPr>
              <w:t>لا فرق فی القتل العمدی الظلمی فی مانعیّته من الإرث بین ما کان بالمباشرة</w:t>
            </w:r>
            <w:r>
              <w:rPr>
                <w:rStyle w:val="IndexLink"/>
                <w:rtl w:val="true"/>
              </w:rPr>
              <w:t>]</w:t>
              <w:tab/>
            </w:r>
            <w:r>
              <w:rPr>
                <w:rStyle w:val="IndexLink"/>
              </w:rPr>
              <w:t>898</w:t>
            </w:r>
          </w:hyperlink>
        </w:p>
        <w:p>
          <w:pPr>
            <w:pStyle w:val="Contents5"/>
            <w:tabs>
              <w:tab w:val="clear" w:pos="7892"/>
              <w:tab w:val="right" w:pos="9026" w:leader="dot"/>
            </w:tabs>
            <w:rPr/>
          </w:pPr>
          <w:hyperlink w:anchor="__RefHeading___Toc2572454_3650668749">
            <w:r>
              <w:rPr>
                <w:webHidden/>
                <w:rStyle w:val="IndexLink"/>
                <w:rtl w:val="true"/>
              </w:rPr>
              <w:t>[ (</w:t>
            </w:r>
            <w:r>
              <w:rPr>
                <w:rStyle w:val="IndexLink"/>
                <w:rtl w:val="true"/>
              </w:rPr>
              <w:t xml:space="preserve">مسألة </w:t>
            </w:r>
            <w:r>
              <w:rPr>
                <w:rStyle w:val="IndexLink"/>
              </w:rPr>
              <w:t>14</w:t>
            </w:r>
            <w:r>
              <w:rPr>
                <w:rStyle w:val="IndexLink"/>
                <w:rtl w:val="true"/>
              </w:rPr>
              <w:t xml:space="preserve">): </w:t>
            </w:r>
            <w:r>
              <w:rPr>
                <w:rStyle w:val="IndexLink"/>
                <w:rtl w:val="true"/>
              </w:rPr>
              <w:t>کما أنّ القاتل ممنوع عن الإرث من المقتول، کذلک لا یکون حاجباً</w:t>
            </w:r>
            <w:r>
              <w:rPr>
                <w:rStyle w:val="IndexLink"/>
                <w:rtl w:val="true"/>
              </w:rPr>
              <w:t>]</w:t>
              <w:tab/>
            </w:r>
            <w:r>
              <w:rPr>
                <w:rStyle w:val="IndexLink"/>
              </w:rPr>
              <w:t>898</w:t>
            </w:r>
          </w:hyperlink>
        </w:p>
        <w:p>
          <w:pPr>
            <w:pStyle w:val="Contents5"/>
            <w:tabs>
              <w:tab w:val="clear" w:pos="7892"/>
              <w:tab w:val="right" w:pos="9026" w:leader="dot"/>
            </w:tabs>
            <w:rPr/>
          </w:pPr>
          <w:hyperlink w:anchor="__RefHeading___Toc2572456_3650668749">
            <w:r>
              <w:rPr>
                <w:webHidden/>
                <w:rStyle w:val="IndexLink"/>
                <w:rtl w:val="true"/>
              </w:rPr>
              <w:t>[ (</w:t>
            </w:r>
            <w:r>
              <w:rPr>
                <w:rStyle w:val="IndexLink"/>
                <w:rtl w:val="true"/>
              </w:rPr>
              <w:t xml:space="preserve">مسألة </w:t>
            </w:r>
            <w:r>
              <w:rPr>
                <w:rStyle w:val="IndexLink"/>
              </w:rPr>
              <w:t>15</w:t>
            </w:r>
            <w:r>
              <w:rPr>
                <w:rStyle w:val="IndexLink"/>
                <w:rtl w:val="true"/>
              </w:rPr>
              <w:t xml:space="preserve">): </w:t>
            </w:r>
            <w:r>
              <w:rPr>
                <w:rStyle w:val="IndexLink"/>
                <w:rtl w:val="true"/>
              </w:rPr>
              <w:t>الدیة فی حکم مال المقتول یقضیٰ منها دیونه و یخرج منها وصایاه أوّلًا قبل الإرث</w:t>
            </w:r>
            <w:r>
              <w:rPr>
                <w:rStyle w:val="IndexLink"/>
                <w:rtl w:val="true"/>
              </w:rPr>
              <w:t>]</w:t>
              <w:tab/>
            </w:r>
            <w:r>
              <w:rPr>
                <w:rStyle w:val="IndexLink"/>
              </w:rPr>
              <w:t>899</w:t>
            </w:r>
          </w:hyperlink>
        </w:p>
        <w:p>
          <w:pPr>
            <w:pStyle w:val="Contents4"/>
            <w:tabs>
              <w:tab w:val="clear" w:pos="8176"/>
              <w:tab w:val="right" w:pos="9026" w:leader="dot"/>
            </w:tabs>
            <w:rPr/>
          </w:pPr>
          <w:hyperlink w:anchor="__RefHeading___Toc2572458_3650668749">
            <w:r>
              <w:rPr>
                <w:webHidden/>
                <w:rStyle w:val="IndexLink"/>
                <w:rtl w:val="true"/>
              </w:rPr>
              <w:t>[</w:t>
            </w:r>
            <w:r>
              <w:rPr>
                <w:rStyle w:val="IndexLink"/>
                <w:rtl w:val="true"/>
              </w:rPr>
              <w:t>الثالث من الموانع</w:t>
            </w:r>
            <w:r>
              <w:rPr>
                <w:rStyle w:val="IndexLink"/>
                <w:rtl w:val="true"/>
              </w:rPr>
              <w:t xml:space="preserve">: </w:t>
            </w:r>
            <w:r>
              <w:rPr>
                <w:rStyle w:val="IndexLink"/>
                <w:rtl w:val="true"/>
              </w:rPr>
              <w:t>الرقّ</w:t>
            </w:r>
            <w:r>
              <w:rPr>
                <w:rStyle w:val="IndexLink"/>
                <w:rtl w:val="true"/>
              </w:rPr>
              <w:t>]</w:t>
              <w:tab/>
            </w:r>
            <w:r>
              <w:rPr>
                <w:rStyle w:val="IndexLink"/>
              </w:rPr>
              <w:t>899</w:t>
            </w:r>
          </w:hyperlink>
        </w:p>
        <w:p>
          <w:pPr>
            <w:pStyle w:val="Contents5"/>
            <w:tabs>
              <w:tab w:val="clear" w:pos="7892"/>
              <w:tab w:val="right" w:pos="9026" w:leader="dot"/>
            </w:tabs>
            <w:rPr/>
          </w:pPr>
          <w:hyperlink w:anchor="__RefHeading___Toc2572460_3650668749">
            <w:r>
              <w:rPr>
                <w:webHidden/>
                <w:rStyle w:val="IndexLink"/>
                <w:rtl w:val="true"/>
              </w:rPr>
              <w:t>اشارة</w:t>
            </w:r>
            <w:r>
              <w:rPr>
                <w:rStyle w:val="IndexLink"/>
                <w:rtl w:val="true"/>
              </w:rPr>
              <w:tab/>
            </w:r>
            <w:r>
              <w:rPr>
                <w:rStyle w:val="IndexLink"/>
              </w:rPr>
              <w:t>899</w:t>
            </w:r>
          </w:hyperlink>
        </w:p>
        <w:p>
          <w:pPr>
            <w:pStyle w:val="Contents5"/>
            <w:tabs>
              <w:tab w:val="clear" w:pos="7892"/>
              <w:tab w:val="right" w:pos="9026" w:leader="dot"/>
            </w:tabs>
            <w:rPr/>
          </w:pPr>
          <w:hyperlink w:anchor="__RefHeading___Toc2572462_3650668749">
            <w:r>
              <w:rPr>
                <w:webHidden/>
                <w:rStyle w:val="IndexLink"/>
                <w:rtl w:val="true"/>
              </w:rPr>
              <w:t>[ (</w:t>
            </w:r>
            <w:r>
              <w:rPr>
                <w:rStyle w:val="IndexLink"/>
                <w:rtl w:val="true"/>
              </w:rPr>
              <w:t xml:space="preserve">مسألة </w:t>
            </w:r>
            <w:r>
              <w:rPr>
                <w:rStyle w:val="IndexLink"/>
              </w:rPr>
              <w:t>16</w:t>
            </w:r>
            <w:r>
              <w:rPr>
                <w:rStyle w:val="IndexLink"/>
                <w:rtl w:val="true"/>
              </w:rPr>
              <w:t xml:space="preserve">): </w:t>
            </w:r>
            <w:r>
              <w:rPr>
                <w:rStyle w:val="IndexLink"/>
                <w:rtl w:val="true"/>
              </w:rPr>
              <w:t>الرقّیة مانعة عن الإرث فی الوارث و الموروث</w:t>
            </w:r>
            <w:r>
              <w:rPr>
                <w:rStyle w:val="IndexLink"/>
                <w:rtl w:val="true"/>
              </w:rPr>
              <w:t>]</w:t>
              <w:tab/>
            </w:r>
            <w:r>
              <w:rPr>
                <w:rStyle w:val="IndexLink"/>
              </w:rPr>
              <w:t>899</w:t>
            </w:r>
          </w:hyperlink>
        </w:p>
        <w:p>
          <w:pPr>
            <w:pStyle w:val="Contents5"/>
            <w:tabs>
              <w:tab w:val="clear" w:pos="7892"/>
              <w:tab w:val="right" w:pos="9026" w:leader="dot"/>
            </w:tabs>
            <w:rPr/>
          </w:pPr>
          <w:hyperlink w:anchor="__RefHeading___Toc2572464_3650668749">
            <w:r>
              <w:rPr>
                <w:webHidden/>
                <w:rStyle w:val="IndexLink"/>
                <w:rtl w:val="true"/>
              </w:rPr>
              <w:t>[ (</w:t>
            </w:r>
            <w:r>
              <w:rPr>
                <w:rStyle w:val="IndexLink"/>
                <w:rtl w:val="true"/>
              </w:rPr>
              <w:t xml:space="preserve">مسألة </w:t>
            </w:r>
            <w:r>
              <w:rPr>
                <w:rStyle w:val="IndexLink"/>
              </w:rPr>
              <w:t>17</w:t>
            </w:r>
            <w:r>
              <w:rPr>
                <w:rStyle w:val="IndexLink"/>
                <w:rtl w:val="true"/>
              </w:rPr>
              <w:t xml:space="preserve">): </w:t>
            </w:r>
            <w:r>
              <w:rPr>
                <w:rStyle w:val="IndexLink"/>
                <w:rtl w:val="true"/>
              </w:rPr>
              <w:t>لو مات شخص و له وارث مملوک و وارث حرّ فأعتق المملوک بعد موته</w:t>
            </w:r>
            <w:r>
              <w:rPr>
                <w:rStyle w:val="IndexLink"/>
                <w:rtl w:val="true"/>
              </w:rPr>
              <w:t>]</w:t>
              <w:tab/>
            </w:r>
            <w:r>
              <w:rPr>
                <w:rStyle w:val="IndexLink"/>
              </w:rPr>
              <w:t>899</w:t>
            </w:r>
          </w:hyperlink>
        </w:p>
        <w:p>
          <w:pPr>
            <w:pStyle w:val="Contents5"/>
            <w:tabs>
              <w:tab w:val="clear" w:pos="7892"/>
              <w:tab w:val="right" w:pos="9026" w:leader="dot"/>
            </w:tabs>
            <w:rPr/>
          </w:pPr>
          <w:hyperlink w:anchor="__RefHeading___Toc2572466_3650668749">
            <w:r>
              <w:rPr>
                <w:webHidden/>
                <w:rStyle w:val="IndexLink"/>
                <w:rtl w:val="true"/>
              </w:rPr>
              <w:t>[ (</w:t>
            </w:r>
            <w:r>
              <w:rPr>
                <w:rStyle w:val="IndexLink"/>
                <w:rtl w:val="true"/>
              </w:rPr>
              <w:t xml:space="preserve">مسألة </w:t>
            </w:r>
            <w:r>
              <w:rPr>
                <w:rStyle w:val="IndexLink"/>
              </w:rPr>
              <w:t>18</w:t>
            </w:r>
            <w:r>
              <w:rPr>
                <w:rStyle w:val="IndexLink"/>
                <w:rtl w:val="true"/>
              </w:rPr>
              <w:t xml:space="preserve">): </w:t>
            </w:r>
            <w:r>
              <w:rPr>
                <w:rStyle w:val="IndexLink"/>
                <w:rtl w:val="true"/>
              </w:rPr>
              <w:t>لو لم یکن له وارث فی جمیع الطبقات سوی المملوک یشتری من مال المیّت و یعتق</w:t>
            </w:r>
            <w:r>
              <w:rPr>
                <w:rStyle w:val="IndexLink"/>
                <w:rtl w:val="true"/>
              </w:rPr>
              <w:t>]</w:t>
              <w:tab/>
            </w:r>
            <w:r>
              <w:rPr>
                <w:rStyle w:val="IndexLink"/>
              </w:rPr>
              <w:t>899</w:t>
            </w:r>
          </w:hyperlink>
        </w:p>
        <w:p>
          <w:pPr>
            <w:pStyle w:val="Contents5"/>
            <w:tabs>
              <w:tab w:val="clear" w:pos="7892"/>
              <w:tab w:val="right" w:pos="9026" w:leader="dot"/>
            </w:tabs>
            <w:rPr/>
          </w:pPr>
          <w:hyperlink w:anchor="__RefHeading___Toc2572468_3650668749">
            <w:r>
              <w:rPr>
                <w:webHidden/>
                <w:rStyle w:val="IndexLink"/>
                <w:rtl w:val="true"/>
              </w:rPr>
              <w:t>[ (</w:t>
            </w:r>
            <w:r>
              <w:rPr>
                <w:rStyle w:val="IndexLink"/>
                <w:rtl w:val="true"/>
              </w:rPr>
              <w:t xml:space="preserve">مسألة </w:t>
            </w:r>
            <w:r>
              <w:rPr>
                <w:rStyle w:val="IndexLink"/>
              </w:rPr>
              <w:t>19</w:t>
            </w:r>
            <w:r>
              <w:rPr>
                <w:rStyle w:val="IndexLink"/>
                <w:rtl w:val="true"/>
              </w:rPr>
              <w:t xml:space="preserve">): </w:t>
            </w:r>
            <w:r>
              <w:rPr>
                <w:rStyle w:val="IndexLink"/>
                <w:rtl w:val="true"/>
              </w:rPr>
              <w:t>إذا کان المملوک أباً أو امّاً للمیّت لا إشکال</w:t>
            </w:r>
            <w:r>
              <w:rPr>
                <w:rStyle w:val="IndexLink"/>
                <w:rtl w:val="true"/>
              </w:rPr>
              <w:t>]</w:t>
              <w:tab/>
            </w:r>
            <w:r>
              <w:rPr>
                <w:rStyle w:val="IndexLink"/>
              </w:rPr>
              <w:t>900</w:t>
            </w:r>
          </w:hyperlink>
        </w:p>
        <w:p>
          <w:pPr>
            <w:pStyle w:val="Contents5"/>
            <w:tabs>
              <w:tab w:val="clear" w:pos="7892"/>
              <w:tab w:val="right" w:pos="9026" w:leader="dot"/>
            </w:tabs>
            <w:rPr/>
          </w:pPr>
          <w:hyperlink w:anchor="__RefHeading___Toc2572470_3650668749">
            <w:r>
              <w:rPr>
                <w:webHidden/>
                <w:rStyle w:val="IndexLink"/>
                <w:rtl w:val="true"/>
              </w:rPr>
              <w:t>[ (</w:t>
            </w:r>
            <w:r>
              <w:rPr>
                <w:rStyle w:val="IndexLink"/>
                <w:rtl w:val="true"/>
              </w:rPr>
              <w:t xml:space="preserve">مسألة </w:t>
            </w:r>
            <w:r>
              <w:rPr>
                <w:rStyle w:val="IndexLink"/>
              </w:rPr>
              <w:t>20</w:t>
            </w:r>
            <w:r>
              <w:rPr>
                <w:rStyle w:val="IndexLink"/>
                <w:rtl w:val="true"/>
              </w:rPr>
              <w:t xml:space="preserve">): </w:t>
            </w:r>
            <w:r>
              <w:rPr>
                <w:rStyle w:val="IndexLink"/>
                <w:rtl w:val="true"/>
              </w:rPr>
              <w:t>إذا لم یف الترکة بتمام ثمن المملوک، فالظاهر أنّه یشتری بها شقص منه</w:t>
            </w:r>
            <w:r>
              <w:rPr>
                <w:rStyle w:val="IndexLink"/>
                <w:rtl w:val="true"/>
              </w:rPr>
              <w:t>]</w:t>
              <w:tab/>
            </w:r>
            <w:r>
              <w:rPr>
                <w:rStyle w:val="IndexLink"/>
              </w:rPr>
              <w:t>900</w:t>
            </w:r>
          </w:hyperlink>
        </w:p>
        <w:p>
          <w:pPr>
            <w:pStyle w:val="Contents4"/>
            <w:tabs>
              <w:tab w:val="clear" w:pos="8176"/>
              <w:tab w:val="right" w:pos="9026" w:leader="dot"/>
            </w:tabs>
            <w:rPr/>
          </w:pPr>
          <w:hyperlink w:anchor="__RefHeading___Toc2572472_3650668749">
            <w:r>
              <w:rPr>
                <w:webHidden/>
                <w:rStyle w:val="IndexLink"/>
                <w:rtl w:val="true"/>
              </w:rPr>
              <w:t>[</w:t>
            </w:r>
            <w:r>
              <w:rPr>
                <w:rStyle w:val="IndexLink"/>
                <w:rtl w:val="true"/>
              </w:rPr>
              <w:t>و یلحق بموانع الإرث أُمور ینبغی أن یذکر فی ضمن مسائل</w:t>
            </w:r>
            <w:r>
              <w:rPr>
                <w:rStyle w:val="IndexLink"/>
                <w:rtl w:val="true"/>
              </w:rPr>
              <w:t>]</w:t>
              <w:tab/>
            </w:r>
            <w:r>
              <w:rPr>
                <w:rStyle w:val="IndexLink"/>
              </w:rPr>
              <w:t>900</w:t>
            </w:r>
          </w:hyperlink>
        </w:p>
        <w:p>
          <w:pPr>
            <w:pStyle w:val="Contents5"/>
            <w:tabs>
              <w:tab w:val="clear" w:pos="7892"/>
              <w:tab w:val="right" w:pos="9026" w:leader="dot"/>
            </w:tabs>
            <w:rPr/>
          </w:pPr>
          <w:hyperlink w:anchor="__RefHeading___Toc2572474_3650668749">
            <w:r>
              <w:rPr>
                <w:webHidden/>
                <w:rStyle w:val="IndexLink"/>
                <w:rtl w:val="true"/>
              </w:rPr>
              <w:t>اشارة</w:t>
            </w:r>
            <w:r>
              <w:rPr>
                <w:rStyle w:val="IndexLink"/>
                <w:rtl w:val="true"/>
              </w:rPr>
              <w:tab/>
            </w:r>
            <w:r>
              <w:rPr>
                <w:rStyle w:val="IndexLink"/>
              </w:rPr>
              <w:t>900</w:t>
            </w:r>
          </w:hyperlink>
        </w:p>
        <w:p>
          <w:pPr>
            <w:pStyle w:val="Contents5"/>
            <w:tabs>
              <w:tab w:val="clear" w:pos="7892"/>
              <w:tab w:val="right" w:pos="9026" w:leader="dot"/>
            </w:tabs>
            <w:rPr/>
          </w:pPr>
          <w:hyperlink w:anchor="__RefHeading___Toc2572476_3650668749">
            <w:r>
              <w:rPr>
                <w:webHidden/>
                <w:rStyle w:val="IndexLink"/>
                <w:rtl w:val="true"/>
              </w:rPr>
              <w:t>[ (</w:t>
            </w:r>
            <w:r>
              <w:rPr>
                <w:rStyle w:val="IndexLink"/>
                <w:rtl w:val="true"/>
              </w:rPr>
              <w:t xml:space="preserve">مسألة </w:t>
            </w:r>
            <w:r>
              <w:rPr>
                <w:rStyle w:val="IndexLink"/>
              </w:rPr>
              <w:t>21</w:t>
            </w:r>
            <w:r>
              <w:rPr>
                <w:rStyle w:val="IndexLink"/>
                <w:rtl w:val="true"/>
              </w:rPr>
              <w:t xml:space="preserve">): </w:t>
            </w:r>
            <w:r>
              <w:rPr>
                <w:rStyle w:val="IndexLink"/>
                <w:rtl w:val="true"/>
              </w:rPr>
              <w:t>اللعان الجامع للشرائط إذا وقع بین الزوجین یقطع التوارث بینهما</w:t>
            </w:r>
            <w:r>
              <w:rPr>
                <w:rStyle w:val="IndexLink"/>
                <w:rtl w:val="true"/>
              </w:rPr>
              <w:t>]</w:t>
              <w:tab/>
            </w:r>
            <w:r>
              <w:rPr>
                <w:rStyle w:val="IndexLink"/>
              </w:rPr>
              <w:t>900</w:t>
            </w:r>
          </w:hyperlink>
        </w:p>
        <w:p>
          <w:pPr>
            <w:pStyle w:val="Contents5"/>
            <w:tabs>
              <w:tab w:val="clear" w:pos="7892"/>
              <w:tab w:val="right" w:pos="9026" w:leader="dot"/>
            </w:tabs>
            <w:rPr/>
          </w:pPr>
          <w:hyperlink w:anchor="__RefHeading___Toc2572478_3650668749">
            <w:r>
              <w:rPr>
                <w:webHidden/>
                <w:rStyle w:val="IndexLink"/>
                <w:rtl w:val="true"/>
              </w:rPr>
              <w:t>[ (</w:t>
            </w:r>
            <w:r>
              <w:rPr>
                <w:rStyle w:val="IndexLink"/>
                <w:rtl w:val="true"/>
              </w:rPr>
              <w:t xml:space="preserve">مسألة </w:t>
            </w:r>
            <w:r>
              <w:rPr>
                <w:rStyle w:val="IndexLink"/>
              </w:rPr>
              <w:t>22</w:t>
            </w:r>
            <w:r>
              <w:rPr>
                <w:rStyle w:val="IndexLink"/>
                <w:rtl w:val="true"/>
              </w:rPr>
              <w:t xml:space="preserve">): </w:t>
            </w:r>
            <w:r>
              <w:rPr>
                <w:rStyle w:val="IndexLink"/>
                <w:rtl w:val="true"/>
              </w:rPr>
              <w:t>الحمل یرث و یورّث إذا انفصل حیّاً و إن مات من ساعته</w:t>
            </w:r>
            <w:r>
              <w:rPr>
                <w:rStyle w:val="IndexLink"/>
                <w:rtl w:val="true"/>
              </w:rPr>
              <w:t>]</w:t>
              <w:tab/>
            </w:r>
            <w:r>
              <w:rPr>
                <w:rStyle w:val="IndexLink"/>
              </w:rPr>
              <w:t>900</w:t>
            </w:r>
          </w:hyperlink>
        </w:p>
        <w:p>
          <w:pPr>
            <w:pStyle w:val="Contents5"/>
            <w:tabs>
              <w:tab w:val="clear" w:pos="7892"/>
              <w:tab w:val="right" w:pos="9026" w:leader="dot"/>
            </w:tabs>
            <w:rPr/>
          </w:pPr>
          <w:hyperlink w:anchor="__RefHeading___Toc2572480_3650668749">
            <w:r>
              <w:rPr>
                <w:webHidden/>
                <w:rStyle w:val="IndexLink"/>
                <w:rtl w:val="true"/>
              </w:rPr>
              <w:t>[ (</w:t>
            </w:r>
            <w:r>
              <w:rPr>
                <w:rStyle w:val="IndexLink"/>
                <w:rtl w:val="true"/>
              </w:rPr>
              <w:t xml:space="preserve">مسألة </w:t>
            </w:r>
            <w:r>
              <w:rPr>
                <w:rStyle w:val="IndexLink"/>
              </w:rPr>
              <w:t>23</w:t>
            </w:r>
            <w:r>
              <w:rPr>
                <w:rStyle w:val="IndexLink"/>
                <w:rtl w:val="true"/>
              </w:rPr>
              <w:t xml:space="preserve">): </w:t>
            </w:r>
            <w:r>
              <w:rPr>
                <w:rStyle w:val="IndexLink"/>
                <w:rtl w:val="true"/>
              </w:rPr>
              <w:t>الحمل ما دام حملًا لا یرث و لکن یحجب من کان متأخّراً عنه فی المرتبة أو فی الطبقة</w:t>
            </w:r>
            <w:r>
              <w:rPr>
                <w:rStyle w:val="IndexLink"/>
                <w:rtl w:val="true"/>
              </w:rPr>
              <w:t>]</w:t>
              <w:tab/>
            </w:r>
            <w:r>
              <w:rPr>
                <w:rStyle w:val="IndexLink"/>
              </w:rPr>
              <w:t>900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09_18716"/>
      <w:bookmarkStart w:id="1" w:name="pg1809_18716"/>
      <w:bookmarkEnd w:id="1"/>
    </w:p>
    <w:p>
      <w:pPr>
        <w:pStyle w:val="Heading2"/>
        <w:numPr>
          <w:ilvl w:val="1"/>
          <w:numId w:val="1"/>
        </w:numPr>
        <w:rPr/>
      </w:pPr>
      <w:bookmarkStart w:id="2" w:name="pg1809_18716"/>
      <w:bookmarkStart w:id="3" w:name="__RefHeading___Toc2564984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ابوالحسن،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الله العظمی مع تعالیق آیه‌الله العظمی الامام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ابی‌الحسن الاصفهانی؛ تحقیق و نشر موسسه تنطیم و نشر آثار الامام الخمینی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تعالیق آیه‌الله العظمی الامام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۲۶۳۳۷</w:t>
      </w:r>
    </w:p>
    <w:p>
      <w:pPr>
        <w:pStyle w:val="Heading2"/>
        <w:numPr>
          <w:ilvl w:val="1"/>
          <w:numId w:val="1"/>
        </w:numPr>
        <w:rPr/>
      </w:pPr>
      <w:bookmarkStart w:id="5" w:name="__RefHeading___Toc2564986_3650668749"/>
      <w:bookmarkStart w:id="6" w:name="_Toc2"/>
      <w:bookmarkEnd w:id="5"/>
      <w:r>
        <w:rPr>
          <w:rtl w:val="true"/>
        </w:rPr>
        <w:t>[</w:t>
      </w:r>
      <w:r>
        <w:rPr>
          <w:rtl w:val="true"/>
        </w:rPr>
        <w:t>مقدمة التحقیق</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564988_3650668749"/>
      <w:bookmarkStart w:id="8" w:name="_Toc3"/>
      <w:bookmarkEnd w:id="7"/>
      <w:r>
        <w:rPr>
          <w:rtl w:val="true"/>
        </w:rPr>
        <w:t>اشارة</w:t>
      </w:r>
      <w:bookmarkStart w:id="9" w:name="pg1809_18725"/>
      <w:bookmarkEnd w:id="8"/>
    </w:p>
    <w:p>
      <w:pPr>
        <w:pStyle w:val="Heading3"/>
        <w:numPr>
          <w:ilvl w:val="2"/>
          <w:numId w:val="1"/>
        </w:numPr>
        <w:rPr/>
      </w:pPr>
      <w:bookmarkStart w:id="10" w:name="__RefHeading___Toc2564990_3650668749"/>
      <w:bookmarkStart w:id="11" w:name="_Toc4"/>
      <w:bookmarkEnd w:id="9"/>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هویة الکتاب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النجاة مع تعالیق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تنظیم و نشر آثار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مؤسسة العروج الکمیة</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جمیع الحقوق محفوظة و مسجّلة لمؤسسة تنظیم و نشر آثار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12" w:name="pg1809_18727"/>
    </w:p>
    <w:p>
      <w:pPr>
        <w:pStyle w:val="Heading3"/>
        <w:numPr>
          <w:ilvl w:val="2"/>
          <w:numId w:val="1"/>
        </w:numPr>
        <w:rPr/>
      </w:pPr>
      <w:bookmarkStart w:id="13" w:name="__RefHeading___Toc2564992_3650668749"/>
      <w:bookmarkStart w:id="14" w:name="_Toc5"/>
      <w:bookmarkEnd w:id="12"/>
      <w:bookmarkEnd w:id="13"/>
      <w:r>
        <w:rPr>
          <w:rtl w:val="true"/>
        </w:rPr>
        <w:t>[</w:t>
      </w:r>
      <w:r>
        <w:rPr>
          <w:rtl w:val="true"/>
        </w:rPr>
        <w:t>مقدمة الناشر</w:t>
      </w:r>
      <w:r>
        <w:rPr>
          <w:rtl w:val="true"/>
        </w:rPr>
        <w:t>]</w:t>
      </w:r>
      <w:bookmarkEnd w:id="1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إنّ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ألّفها سماحة آیة اللّٰه العظمی السیّد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لها دورها البارز بین المقلّدین بل و عامّة المراجعین فی زمن مرجعیّة السیّد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لما فی الکتاب و مؤلّفه من الامتیاز و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فقد أقدم إمامنا الراحل آیة اللّٰه العظمی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لتحشیته، و هو أوّل کتاب فقهیّ فتوائیّ زیّنه سماحته بتعالیقه الثمینة، و کان ختامها فی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 هذه التعلیقة کانت أساس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لها حظّا وافراً للتعریف بمنهجه الشریف فی الاستنباط و التفریع و للأسف لم یطبع فی سالف الزمان بصورة منقّحة، فقد أقدمنا علی تحقیقه و مقابلته مع النسخة الخطّیة و النسخة المطبوعة المصحّحة فی سنة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جدیر بالذکر أنّ فتاواها الشریفة قد تفاوتت فی بعض الموارد مع هذه التعلیقة، فعلی المراجع الکریم أن یلتفت إلی أنّ المدار فی أخذ الفتاوی الأخیرة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مقام التخالف و التعارض هو المرجع لا التعلیقة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تنظیم و نشر آثار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قم المقدّسة</w:t>
      </w:r>
      <w:bookmarkStart w:id="15" w:name="pg1809_18729"/>
    </w:p>
    <w:p>
      <w:pPr>
        <w:pStyle w:val="Heading3"/>
        <w:numPr>
          <w:ilvl w:val="2"/>
          <w:numId w:val="1"/>
        </w:numPr>
        <w:rPr/>
      </w:pPr>
      <w:bookmarkStart w:id="16" w:name="__RefHeading___Toc2564994_3650668749"/>
      <w:bookmarkStart w:id="17" w:name="_Toc6"/>
      <w:bookmarkEnd w:id="15"/>
      <w:bookmarkEnd w:id="16"/>
      <w:r>
        <w:rPr>
          <w:rtl w:val="true"/>
        </w:rPr>
        <w:t>[</w:t>
      </w:r>
      <w:r>
        <w:rPr>
          <w:rtl w:val="true"/>
        </w:rPr>
        <w:t>مقدمة المؤلف</w:t>
      </w:r>
      <w:r>
        <w:rPr>
          <w:rtl w:val="true"/>
        </w:rPr>
        <w:t>]</w:t>
      </w:r>
      <w:bookmarkEnd w:id="17"/>
    </w:p>
    <w:p>
      <w:pPr>
        <w:pStyle w:val="BookText"/>
        <w:rPr/>
      </w:pPr>
      <w:r>
        <w:rPr>
          <w:rFonts w:ascii="IRNazanin" w:hAnsi="IRNazanin" w:eastAsia="IRNazanin"/>
          <w:color w:val="111111"/>
          <w:sz w:val="28"/>
          <w:sz w:val="28"/>
          <w:szCs w:val="28"/>
          <w:rtl w:val="true"/>
          <w:lang w:bidi="fa-IR"/>
        </w:rPr>
        <w:t>بسم اللّٰه الرحمن الرحیم الحمد للّٰه الذی جعل العلماء ورثة النبیین و جعل الأخذ عنهم وسیلة للنجاة یوم الدین، و صلّی اللّٰه علیٰ محمّد سیّد المرسلین و آله الطاهرین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العبد الحقیر الجانی أبو الحسن الموسوی الأصفهانی وفّقه اللّٰه تعالیٰ لمراضیه و جعل مستقبل أمره خیراً من ماضیه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الرسالة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وجیزة قلیلًا لفظها کثیراً نفعها سهلًا تناولها قد علّقت علیها بعض الحواشی أوّلًا، و بیّنت فیها مواقع الاختلاف فی الفتویٰ لتکون مرجعاً لمن یرجع إلیّ فیها، ثمّ أدرجت الحواشی فی المتن ثانیاً کی تکون أسهل تناولًا، ثمّ کرّرت النظر فیها ثالثاً فأضفت إلیها بعض الفروع و ألحقت بها بعض المسائل المبتلیٰ بها من المعاملات و غیرها لتکون أکثر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لم تکن وافیة بجلّ المسائل و الفروع و لذلک کثرت الشکویٰ من المؤمنین إلیّ و زاد إلحاحهم علیّ أن أُدرج فی طیّها بعض الفروع التی تعمّ بها البلویٰ و أُلحق بها بعض المسائل الکثیرة الجدوی، فأجبت مسؤولهم و قضیت مأمولهم مع تشویش البال و کثرة الأشغال، فصارت بحمد اللّٰه تعالیٰ رسالة کافیة جامعة لأُمّهات المسائل و مهمّاتها و سمّیتها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أسأل اللّٰه ربّ العالمین أن ینفع بها المتدیّنین من إخواننا المؤمنین، و أن یلحظها بعین القبول و الرضوان، إنّه الکریم المنّان و هو حسبنا و نعم الوکیل</w:t>
      </w:r>
      <w:r>
        <w:rPr>
          <w:rFonts w:eastAsia="IRNazanin" w:cs="IRNazanin"/>
          <w:color w:val="111111"/>
          <w:sz w:val="28"/>
          <w:szCs w:val="28"/>
          <w:rtl w:val="true"/>
          <w:lang w:bidi="fa-IR"/>
        </w:rPr>
        <w:t>.</w:t>
      </w:r>
      <w:bookmarkStart w:id="18" w:name="pg1809_18731"/>
    </w:p>
    <w:p>
      <w:pPr>
        <w:pStyle w:val="Heading2"/>
        <w:numPr>
          <w:ilvl w:val="1"/>
          <w:numId w:val="1"/>
        </w:numPr>
        <w:rPr/>
      </w:pPr>
      <w:bookmarkStart w:id="19" w:name="__RefHeading___Toc2564996_3650668749"/>
      <w:bookmarkStart w:id="20" w:name="_Toc7"/>
      <w:bookmarkEnd w:id="18"/>
      <w:bookmarkEnd w:id="19"/>
      <w:r>
        <w:rPr>
          <w:rtl w:val="true"/>
        </w:rPr>
        <w:t>[</w:t>
      </w:r>
      <w:r>
        <w:rPr>
          <w:rtl w:val="true"/>
        </w:rPr>
        <w:t>مقدّمة فی الاجتهاد و التقلید</w:t>
      </w:r>
      <w:r>
        <w:rPr>
          <w:rtl w:val="true"/>
        </w:rPr>
        <w:t>]</w:t>
      </w:r>
      <w:bookmarkEnd w:id="20"/>
    </w:p>
    <w:p>
      <w:pPr>
        <w:pStyle w:val="Heading3"/>
        <w:numPr>
          <w:ilvl w:val="2"/>
          <w:numId w:val="1"/>
        </w:numPr>
        <w:rPr/>
      </w:pPr>
      <w:bookmarkStart w:id="21" w:name="__RefHeading___Toc2564998_3650668749"/>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مقدّمة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علیٰ کلّ مکلّف غیر بالغ مرتبة الاجتهاد فی عباداته </w:t>
      </w:r>
      <w:r>
        <w:rPr>
          <w:rStyle w:val="FootnoteAnchor"/>
          <w:rtl w:val="true"/>
        </w:rPr>
        <w:footnoteReference w:id="2"/>
      </w:r>
      <w:r>
        <w:rPr>
          <w:rFonts w:ascii="IRNazanin" w:hAnsi="IRNazanin" w:eastAsia="IRNazanin"/>
          <w:color w:val="111111"/>
          <w:sz w:val="28"/>
          <w:sz w:val="28"/>
          <w:szCs w:val="28"/>
          <w:rtl w:val="true"/>
          <w:lang w:bidi="fa-IR"/>
        </w:rPr>
        <w:t xml:space="preserve">و معاملاته و تمام أعماله و لو فی المستحبّات و المباحات أن یکون إمّا مقلّداً أو محتاطاً؛ بشرط أن یعرف موارد الاحتیاط و لا یعرف ذلک إلّا القلیل، فعمل العامّی الغیر العارف بمواضع الاحتیاط من غیر تقلید باطل </w:t>
      </w:r>
      <w:r>
        <w:rPr>
          <w:rStyle w:val="FootnoteAnchor"/>
          <w:rtl w:val="true"/>
        </w:rPr>
        <w:footnoteReference w:id="3"/>
      </w:r>
      <w:r>
        <w:rPr>
          <w:rFonts w:ascii="IRNazanin" w:hAnsi="IRNazanin" w:eastAsia="IRNazanin"/>
          <w:color w:val="111111"/>
          <w:sz w:val="28"/>
          <w:sz w:val="28"/>
          <w:szCs w:val="28"/>
          <w:rtl w:val="true"/>
          <w:lang w:bidi="fa-IR"/>
        </w:rPr>
        <w:t>عاطل</w:t>
      </w:r>
      <w:r>
        <w:rPr>
          <w:rFonts w:eastAsia="IRNazanin" w:cs="IRNazanin"/>
          <w:color w:val="111111"/>
          <w:sz w:val="28"/>
          <w:szCs w:val="28"/>
          <w:rtl w:val="true"/>
          <w:lang w:bidi="fa-IR"/>
        </w:rPr>
        <w:t>.</w:t>
      </w:r>
    </w:p>
    <w:p>
      <w:pPr>
        <w:pStyle w:val="Heading3"/>
        <w:numPr>
          <w:ilvl w:val="2"/>
          <w:numId w:val="1"/>
        </w:numPr>
        <w:rPr/>
      </w:pPr>
      <w:bookmarkStart w:id="23" w:name="__RefHeading___Toc2565000_3650668749"/>
      <w:bookmarkStart w:id="24" w:name="_Toc9"/>
      <w:bookmarkEnd w:id="23"/>
      <w:r>
        <w:rPr>
          <w:rtl w:val="true"/>
        </w:rPr>
        <w:t>[ (</w:t>
      </w:r>
      <w:r>
        <w:rPr>
          <w:rtl w:val="true"/>
        </w:rPr>
        <w:t xml:space="preserve">مسألة </w:t>
      </w:r>
      <w:r>
        <w:rPr/>
        <w:t>1</w:t>
      </w:r>
      <w:r>
        <w:rPr>
          <w:rtl w:val="true"/>
        </w:rPr>
        <w:t xml:space="preserve">): </w:t>
      </w:r>
      <w:r>
        <w:rPr>
          <w:rtl w:val="true"/>
        </w:rPr>
        <w:t>یجوز العمل بالاحتیاط</w:t>
      </w:r>
      <w:r>
        <w:rPr>
          <w:rtl w:val="true"/>
        </w:rPr>
        <w:t>]</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العمل بالاحتیاط و لو کان مستلزماً للتکرار علی الأقویٰ</w:t>
      </w:r>
      <w:r>
        <w:rPr>
          <w:rFonts w:eastAsia="IRNazanin" w:cs="IRNazanin"/>
          <w:color w:val="111111"/>
          <w:sz w:val="28"/>
          <w:szCs w:val="28"/>
          <w:rtl w:val="true"/>
          <w:lang w:bidi="fa-IR"/>
        </w:rPr>
        <w:t>.</w:t>
      </w:r>
    </w:p>
    <w:p>
      <w:pPr>
        <w:pStyle w:val="Heading3"/>
        <w:numPr>
          <w:ilvl w:val="2"/>
          <w:numId w:val="1"/>
        </w:numPr>
        <w:rPr/>
      </w:pPr>
      <w:bookmarkStart w:id="25" w:name="__RefHeading___Toc2565002_3650668749"/>
      <w:bookmarkStart w:id="26" w:name="_Toc10"/>
      <w:bookmarkEnd w:id="25"/>
      <w:r>
        <w:rPr>
          <w:rtl w:val="true"/>
        </w:rPr>
        <w:t>[ (</w:t>
      </w:r>
      <w:r>
        <w:rPr>
          <w:rtl w:val="true"/>
        </w:rPr>
        <w:t xml:space="preserve">مسألة </w:t>
      </w:r>
      <w:r>
        <w:rPr/>
        <w:t>2</w:t>
      </w:r>
      <w:r>
        <w:rPr>
          <w:rtl w:val="true"/>
        </w:rPr>
        <w:t xml:space="preserve">): </w:t>
      </w:r>
      <w:r>
        <w:rPr>
          <w:rtl w:val="true"/>
        </w:rPr>
        <w:t>التقلید المصحّح للعمل هو الالتزام بالعمل بفتویٰ مجتهد معیّن</w:t>
      </w:r>
      <w:r>
        <w:rPr>
          <w:rtl w:val="true"/>
        </w:rPr>
        <w:t>]</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التقلید </w:t>
      </w:r>
      <w:r>
        <w:rPr>
          <w:rStyle w:val="FootnoteAnchor"/>
          <w:rtl w:val="true"/>
        </w:rPr>
        <w:footnoteReference w:id="4"/>
      </w:r>
      <w:r>
        <w:rPr>
          <w:rFonts w:ascii="IRNazanin" w:hAnsi="IRNazanin" w:eastAsia="IRNazanin"/>
          <w:color w:val="111111"/>
          <w:sz w:val="28"/>
          <w:sz w:val="28"/>
          <w:szCs w:val="28"/>
          <w:rtl w:val="true"/>
          <w:lang w:bidi="fa-IR"/>
        </w:rPr>
        <w:t>المصحّح للعمل هو الالتزام بالعمل بفتویٰ مجتهد معیّن، و یتحقّق بأخذ المسائل منه للعمل بها و إن لم یعمل بعد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مسألتی جواز البقاء علیٰ تقلید المیّت و عدم جواز العدول من الحیّ إلی الحیّ یتوقّف علی العمل بها کما یأتی فی المسألتین</w:t>
      </w:r>
      <w:r>
        <w:rPr>
          <w:rFonts w:eastAsia="IRNazanin" w:cs="IRNazanin"/>
          <w:color w:val="111111"/>
          <w:sz w:val="28"/>
          <w:szCs w:val="28"/>
          <w:rtl w:val="true"/>
          <w:lang w:bidi="fa-IR"/>
        </w:rPr>
        <w:t>.</w:t>
      </w:r>
    </w:p>
    <w:p>
      <w:pPr>
        <w:pStyle w:val="Heading3"/>
        <w:numPr>
          <w:ilvl w:val="2"/>
          <w:numId w:val="1"/>
        </w:numPr>
        <w:rPr/>
      </w:pPr>
      <w:bookmarkStart w:id="27" w:name="__RefHeading___Toc2565004_3650668749"/>
      <w:bookmarkStart w:id="28" w:name="_Toc11"/>
      <w:bookmarkEnd w:id="27"/>
      <w:r>
        <w:rPr>
          <w:rtl w:val="true"/>
        </w:rPr>
        <w:t>[ (</w:t>
      </w:r>
      <w:r>
        <w:rPr>
          <w:rtl w:val="true"/>
        </w:rPr>
        <w:t xml:space="preserve">مسألة </w:t>
      </w:r>
      <w:r>
        <w:rPr/>
        <w:t>3</w:t>
      </w:r>
      <w:r>
        <w:rPr>
          <w:rtl w:val="true"/>
        </w:rPr>
        <w:t xml:space="preserve">): </w:t>
      </w:r>
      <w:r>
        <w:rPr>
          <w:rtl w:val="true"/>
        </w:rPr>
        <w:t>یجب أن یکون المرجع للتقلید عالماً مجتهداً عادلًا ورعاً فی دین اللّٰه</w:t>
      </w:r>
      <w:r>
        <w:rPr>
          <w:rtl w:val="true"/>
        </w:rPr>
        <w:t>]</w:t>
      </w:r>
      <w:bookmarkEnd w:id="2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یکون المرجع للتقلید عالماً مجتهداً عادلًا ورعاً فی دین اللّٰه </w:t>
      </w:r>
      <w:r>
        <w:rPr>
          <w:rStyle w:val="FootnoteAnchor"/>
          <w:rtl w:val="true"/>
        </w:rPr>
        <w:footnoteReference w:id="5"/>
      </w:r>
      <w:r>
        <w:rPr>
          <w:rFonts w:ascii="IRNazanin" w:hAnsi="IRNazanin" w:eastAsia="IRNazanin"/>
          <w:color w:val="111111"/>
          <w:sz w:val="28"/>
          <w:sz w:val="28"/>
          <w:szCs w:val="28"/>
          <w:rtl w:val="true"/>
          <w:lang w:bidi="fa-IR"/>
        </w:rPr>
        <w:t xml:space="preserve">کما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کان من الفقهاء صائناً لنفسه حافظاً لدینه مخالفاً لهواه مطیعاً لأمر مولاه فللعوامّ أن یقلّدوه</w:t>
      </w:r>
      <w:r>
        <w:rPr>
          <w:rFonts w:eastAsia="IRNazanin" w:cs="IRNazanin"/>
          <w:color w:val="111111"/>
          <w:sz w:val="28"/>
          <w:szCs w:val="28"/>
          <w:rtl w:val="true"/>
          <w:lang w:bidi="fa-IR"/>
        </w:rPr>
        <w:t>».</w:t>
      </w:r>
      <w:bookmarkStart w:id="29" w:name="pg1809_18733"/>
    </w:p>
    <w:p>
      <w:pPr>
        <w:pStyle w:val="Heading3"/>
        <w:numPr>
          <w:ilvl w:val="2"/>
          <w:numId w:val="1"/>
        </w:numPr>
        <w:rPr/>
      </w:pPr>
      <w:bookmarkStart w:id="30" w:name="__RefHeading___Toc2565006_3650668749"/>
      <w:bookmarkStart w:id="31" w:name="_Toc12"/>
      <w:bookmarkEnd w:id="29"/>
      <w:bookmarkEnd w:id="30"/>
      <w:r>
        <w:rPr>
          <w:rtl w:val="true"/>
        </w:rPr>
        <w:t>[ (</w:t>
      </w:r>
      <w:r>
        <w:rPr>
          <w:rtl w:val="true"/>
        </w:rPr>
        <w:t xml:space="preserve">مسألة </w:t>
      </w:r>
      <w:r>
        <w:rPr/>
        <w:t>4</w:t>
      </w:r>
      <w:r>
        <w:rPr>
          <w:rtl w:val="true"/>
        </w:rPr>
        <w:t xml:space="preserve">): </w:t>
      </w:r>
      <w:r>
        <w:rPr>
          <w:rtl w:val="true"/>
        </w:rPr>
        <w:t>لا یجوز العدول من الحیّ إلی الحیّ فی المسائل التی عمل بها</w:t>
      </w:r>
      <w:r>
        <w:rPr>
          <w:rtl w:val="true"/>
        </w:rPr>
        <w:t>]</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w:t>
      </w:r>
      <w:r>
        <w:rPr>
          <w:rStyle w:val="FootnoteAnchor"/>
          <w:rtl w:val="true"/>
        </w:rPr>
        <w:footnoteReference w:id="6"/>
      </w:r>
      <w:r>
        <w:rPr>
          <w:rFonts w:ascii="IRNazanin" w:hAnsi="IRNazanin" w:eastAsia="IRNazanin"/>
          <w:color w:val="111111"/>
          <w:sz w:val="28"/>
          <w:sz w:val="28"/>
          <w:szCs w:val="28"/>
          <w:rtl w:val="true"/>
          <w:lang w:bidi="fa-IR"/>
        </w:rPr>
        <w:t>العدول من الحیّ إلی الحیّ فی المسائل التی عمل بها إلّا إذا کان الثانی أعلم، و أمّا ما لم یعمل بها فالظاهر جواز العدول عنه و لو إلی المساوی</w:t>
      </w:r>
      <w:r>
        <w:rPr>
          <w:rFonts w:eastAsia="IRNazanin" w:cs="IRNazanin"/>
          <w:color w:val="111111"/>
          <w:sz w:val="28"/>
          <w:szCs w:val="28"/>
          <w:rtl w:val="true"/>
          <w:lang w:bidi="fa-IR"/>
        </w:rPr>
        <w:t>.</w:t>
      </w:r>
    </w:p>
    <w:p>
      <w:pPr>
        <w:pStyle w:val="Heading3"/>
        <w:numPr>
          <w:ilvl w:val="2"/>
          <w:numId w:val="1"/>
        </w:numPr>
        <w:rPr/>
      </w:pPr>
      <w:bookmarkStart w:id="32" w:name="__RefHeading___Toc2565008_3650668749"/>
      <w:bookmarkStart w:id="33" w:name="_Toc13"/>
      <w:bookmarkEnd w:id="32"/>
      <w:r>
        <w:rPr>
          <w:rtl w:val="true"/>
        </w:rPr>
        <w:t>[ (</w:t>
      </w:r>
      <w:r>
        <w:rPr>
          <w:rtl w:val="true"/>
        </w:rPr>
        <w:t xml:space="preserve">مسألة </w:t>
      </w:r>
      <w:r>
        <w:rPr/>
        <w:t>5</w:t>
      </w:r>
      <w:r>
        <w:rPr>
          <w:rtl w:val="true"/>
        </w:rPr>
        <w:t xml:space="preserve">): </w:t>
      </w:r>
      <w:r>
        <w:rPr>
          <w:rtl w:val="true"/>
        </w:rPr>
        <w:t>یجب تقلید الأعلم مع الإمکان علی الأحوط</w:t>
      </w:r>
      <w:r>
        <w:rPr>
          <w:rtl w:val="true"/>
        </w:rPr>
        <w:t>]</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تقلید الأعلم مع الإمکان علی الأحوط و یجب الفحص عنه، و إذا تساوی مجتهدان فی العلم أو لم یعلم الأعلم منهما تخیّر بینهما إلّا إذا کان أحدهما المعیّن أورع أو أعدل فیتعیّن </w:t>
      </w:r>
      <w:r>
        <w:rPr>
          <w:rStyle w:val="FootnoteAnchor"/>
          <w:rtl w:val="true"/>
        </w:rPr>
        <w:footnoteReference w:id="7"/>
      </w:r>
      <w:r>
        <w:rPr>
          <w:rFonts w:ascii="IRNazanin" w:hAnsi="IRNazanin" w:eastAsia="IRNazanin"/>
          <w:color w:val="111111"/>
          <w:sz w:val="28"/>
          <w:sz w:val="28"/>
          <w:szCs w:val="28"/>
          <w:rtl w:val="true"/>
          <w:lang w:bidi="fa-IR"/>
        </w:rPr>
        <w:t>تقلیده، و إذا تردّد بین شخصین یحتمل أعلمیة أحدهما المعیّن دون الآخر تعیّن تقلیده</w:t>
      </w:r>
      <w:r>
        <w:rPr>
          <w:rFonts w:eastAsia="IRNazanin" w:cs="IRNazanin"/>
          <w:color w:val="111111"/>
          <w:sz w:val="28"/>
          <w:szCs w:val="28"/>
          <w:rtl w:val="true"/>
          <w:lang w:bidi="fa-IR"/>
        </w:rPr>
        <w:t>.</w:t>
      </w:r>
    </w:p>
    <w:p>
      <w:pPr>
        <w:pStyle w:val="Heading3"/>
        <w:numPr>
          <w:ilvl w:val="2"/>
          <w:numId w:val="1"/>
        </w:numPr>
        <w:rPr/>
      </w:pPr>
      <w:bookmarkStart w:id="34" w:name="__RefHeading___Toc2565010_3650668749"/>
      <w:bookmarkStart w:id="35" w:name="_Toc14"/>
      <w:bookmarkEnd w:id="34"/>
      <w:r>
        <w:rPr>
          <w:rtl w:val="true"/>
        </w:rPr>
        <w:t>[ (</w:t>
      </w:r>
      <w:r>
        <w:rPr>
          <w:rtl w:val="true"/>
        </w:rPr>
        <w:t xml:space="preserve">مسألة </w:t>
      </w:r>
      <w:r>
        <w:rPr/>
        <w:t>6</w:t>
      </w:r>
      <w:r>
        <w:rPr>
          <w:rtl w:val="true"/>
        </w:rPr>
        <w:t xml:space="preserve">): </w:t>
      </w:r>
      <w:r>
        <w:rPr>
          <w:rtl w:val="true"/>
        </w:rPr>
        <w:t>إذا کان الأعلم منحصراً فی شخصین و لم یتمکّن من تعیینه تعیّن الأخذ بالاحتیاط</w:t>
      </w:r>
      <w:r>
        <w:rPr>
          <w:rtl w:val="true"/>
        </w:rPr>
        <w:t>]</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الأعلم منحصراً فی شخصین و لم یتمکّن من تعیینه تعیّن الأخذ بالاحتیاط أو العمل بأحوط القولین منهما مع التمکّن، و مع عدمه یکون مخیّراً بینهما</w:t>
      </w:r>
      <w:r>
        <w:rPr>
          <w:rFonts w:eastAsia="IRNazanin" w:cs="IRNazanin"/>
          <w:color w:val="111111"/>
          <w:sz w:val="28"/>
          <w:szCs w:val="28"/>
          <w:rtl w:val="true"/>
          <w:lang w:bidi="fa-IR"/>
        </w:rPr>
        <w:t>.</w:t>
      </w:r>
    </w:p>
    <w:p>
      <w:pPr>
        <w:pStyle w:val="Heading3"/>
        <w:numPr>
          <w:ilvl w:val="2"/>
          <w:numId w:val="1"/>
        </w:numPr>
        <w:rPr/>
      </w:pPr>
      <w:bookmarkStart w:id="36" w:name="__RefHeading___Toc2565012_3650668749"/>
      <w:bookmarkStart w:id="37" w:name="_Toc15"/>
      <w:bookmarkEnd w:id="36"/>
      <w:r>
        <w:rPr>
          <w:rtl w:val="true"/>
        </w:rPr>
        <w:t>[ (</w:t>
      </w:r>
      <w:r>
        <w:rPr>
          <w:rtl w:val="true"/>
        </w:rPr>
        <w:t xml:space="preserve">مسألة </w:t>
      </w:r>
      <w:r>
        <w:rPr/>
        <w:t>7</w:t>
      </w:r>
      <w:r>
        <w:rPr>
          <w:rtl w:val="true"/>
        </w:rPr>
        <w:t xml:space="preserve">): </w:t>
      </w:r>
      <w:r>
        <w:rPr>
          <w:rtl w:val="true"/>
        </w:rPr>
        <w:t>یجب علی العامّی أن یقلّد الأعلم فی مسألة وجوب تقلید الأعلم</w:t>
      </w:r>
      <w:r>
        <w:rPr>
          <w:rtl w:val="true"/>
        </w:rPr>
        <w:t>]</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العامّی أن یقلّد الأعلم فی مسألة وجوب تقلید الأعلم، فإن أفتیٰ بوجوبه لا یجوز له تقلید غیره فی المسائل الفرعیّة، و إن أفتیٰ بجواز تقلید غیر الأعلم تخیّر بین تقلیده و تقلید غیره، و لا یجوز له تقلید غیر الأعلم إذا أفتیٰ بعدم وجوب تقلید الأعلم، نعم لو أفتیٰ بوجوب تقلید الأعلم یجوز الأخذ بقوله، لکن لا من جهة حجّیة قوله بل لکونه موافقاً للاحتیاط</w:t>
      </w:r>
      <w:r>
        <w:rPr>
          <w:rFonts w:eastAsia="IRNazanin" w:cs="IRNazanin"/>
          <w:color w:val="111111"/>
          <w:sz w:val="28"/>
          <w:szCs w:val="28"/>
          <w:rtl w:val="true"/>
          <w:lang w:bidi="fa-IR"/>
        </w:rPr>
        <w:t>.</w:t>
      </w:r>
    </w:p>
    <w:p>
      <w:pPr>
        <w:pStyle w:val="Heading3"/>
        <w:numPr>
          <w:ilvl w:val="2"/>
          <w:numId w:val="1"/>
        </w:numPr>
        <w:rPr/>
      </w:pPr>
      <w:bookmarkStart w:id="38" w:name="__RefHeading___Toc2565014_3650668749"/>
      <w:bookmarkStart w:id="39" w:name="_Toc16"/>
      <w:bookmarkEnd w:id="38"/>
      <w:r>
        <w:rPr>
          <w:rtl w:val="true"/>
        </w:rPr>
        <w:t>[ (</w:t>
      </w:r>
      <w:r>
        <w:rPr>
          <w:rtl w:val="true"/>
        </w:rPr>
        <w:t xml:space="preserve">مسألة </w:t>
      </w:r>
      <w:r>
        <w:rPr/>
        <w:t>8</w:t>
      </w:r>
      <w:r>
        <w:rPr>
          <w:rtl w:val="true"/>
        </w:rPr>
        <w:t xml:space="preserve">): </w:t>
      </w:r>
      <w:r>
        <w:rPr>
          <w:rtl w:val="true"/>
        </w:rPr>
        <w:t>إذا کان مجتهدان متساویان فی العلم یتخیّر العامّی فی الرجوع إلیٰ أیّهما</w:t>
      </w:r>
      <w:r>
        <w:rPr>
          <w:rtl w:val="true"/>
        </w:rPr>
        <w:t>]</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مجتهدان متساویان فی العلم یتخیّر العامّی فی الرجوع إلیٰ أیّهما، کما یجوز له التبعیض فی المسائل بأخذ بعضها من أحدهما و بعضها من الآخر</w:t>
      </w:r>
      <w:r>
        <w:rPr>
          <w:rFonts w:eastAsia="IRNazanin" w:cs="IRNazanin"/>
          <w:color w:val="111111"/>
          <w:sz w:val="28"/>
          <w:szCs w:val="28"/>
          <w:rtl w:val="true"/>
          <w:lang w:bidi="fa-IR"/>
        </w:rPr>
        <w:t>.</w:t>
      </w:r>
    </w:p>
    <w:p>
      <w:pPr>
        <w:pStyle w:val="Heading3"/>
        <w:numPr>
          <w:ilvl w:val="2"/>
          <w:numId w:val="1"/>
        </w:numPr>
        <w:rPr/>
      </w:pPr>
      <w:bookmarkStart w:id="40" w:name="__RefHeading___Toc2565016_3650668749"/>
      <w:bookmarkStart w:id="41" w:name="_Toc17"/>
      <w:bookmarkEnd w:id="40"/>
      <w:r>
        <w:rPr>
          <w:rtl w:val="true"/>
        </w:rPr>
        <w:t>[ (</w:t>
      </w:r>
      <w:r>
        <w:rPr>
          <w:rtl w:val="true"/>
        </w:rPr>
        <w:t xml:space="preserve">مسألة </w:t>
      </w:r>
      <w:r>
        <w:rPr/>
        <w:t>9</w:t>
      </w:r>
      <w:r>
        <w:rPr>
          <w:rtl w:val="true"/>
        </w:rPr>
        <w:t xml:space="preserve">): </w:t>
      </w:r>
      <w:r>
        <w:rPr>
          <w:rtl w:val="true"/>
        </w:rPr>
        <w:t>یجب علی العامّی فی زمان الفحص عن المجتهد أو الأعلم أن یعمل بالاحتیاط</w:t>
      </w:r>
      <w:r>
        <w:rPr>
          <w:rtl w:val="true"/>
        </w:rPr>
        <w:t>]</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العامّی فی زمان الفحص عن المجتهد أو الأعلم أن یعمل بالاحتیاط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2565018_3650668749"/>
      <w:bookmarkStart w:id="43" w:name="_Toc18"/>
      <w:bookmarkEnd w:id="42"/>
      <w:r>
        <w:rPr>
          <w:rtl w:val="true"/>
        </w:rPr>
        <w:t>[ (</w:t>
      </w:r>
      <w:r>
        <w:rPr>
          <w:rtl w:val="true"/>
        </w:rPr>
        <w:t xml:space="preserve">مسألة </w:t>
      </w:r>
      <w:r>
        <w:rPr/>
        <w:t>10</w:t>
      </w:r>
      <w:r>
        <w:rPr>
          <w:rtl w:val="true"/>
        </w:rPr>
        <w:t xml:space="preserve">): </w:t>
      </w:r>
      <w:r>
        <w:rPr>
          <w:rtl w:val="true"/>
        </w:rPr>
        <w:t>یجوز تقلید المفضول فی المسائل التی توافق فتواه فتوی الأفضل فیها</w:t>
      </w:r>
      <w:r>
        <w:rPr>
          <w:rtl w:val="true"/>
        </w:rPr>
        <w:t>]</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تقلید المفضول فی المسائل التی توافق فتواه فتوی الأفضل فیها، بل فیما لم یعلم تخالفهما فی الفتویٰ أیضاً</w:t>
      </w:r>
      <w:r>
        <w:rPr>
          <w:rFonts w:eastAsia="IRNazanin" w:cs="IRNazanin"/>
          <w:color w:val="111111"/>
          <w:sz w:val="28"/>
          <w:szCs w:val="28"/>
          <w:rtl w:val="true"/>
          <w:lang w:bidi="fa-IR"/>
        </w:rPr>
        <w:t>.</w:t>
      </w:r>
    </w:p>
    <w:p>
      <w:pPr>
        <w:pStyle w:val="Heading3"/>
        <w:numPr>
          <w:ilvl w:val="2"/>
          <w:numId w:val="1"/>
        </w:numPr>
        <w:rPr/>
      </w:pPr>
      <w:bookmarkStart w:id="44" w:name="__RefHeading___Toc2565020_3650668749"/>
      <w:bookmarkStart w:id="45" w:name="_Toc19"/>
      <w:bookmarkEnd w:id="44"/>
      <w:r>
        <w:rPr>
          <w:rtl w:val="true"/>
        </w:rPr>
        <w:t>[ (</w:t>
      </w:r>
      <w:r>
        <w:rPr>
          <w:rtl w:val="true"/>
        </w:rPr>
        <w:t xml:space="preserve">مسألة </w:t>
      </w:r>
      <w:r>
        <w:rPr/>
        <w:t>11</w:t>
      </w:r>
      <w:r>
        <w:rPr>
          <w:rtl w:val="true"/>
        </w:rPr>
        <w:t xml:space="preserve">): </w:t>
      </w:r>
      <w:r>
        <w:rPr>
          <w:rtl w:val="true"/>
        </w:rPr>
        <w:t>إذا لم یکن للأعلم فتوی فی مسألة من المسائل یجوز الرجوع فی تلک المسألة إلیٰ غیره</w:t>
      </w:r>
      <w:r>
        <w:rPr>
          <w:rtl w:val="true"/>
        </w:rPr>
        <w:t>]</w:t>
      </w:r>
      <w:bookmarkEnd w:id="4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للأعلم فتوی فی مسألة من المسائل یجوز الرجوع فی تلک المسألة إلیٰ غیره مع رعایة الأعلم فالأعلم علی الأحوط</w:t>
      </w:r>
      <w:r>
        <w:rPr>
          <w:rFonts w:eastAsia="IRNazanin" w:cs="IRNazanin"/>
          <w:color w:val="111111"/>
          <w:sz w:val="28"/>
          <w:szCs w:val="28"/>
          <w:rtl w:val="true"/>
          <w:lang w:bidi="fa-IR"/>
        </w:rPr>
        <w:t>.</w:t>
      </w:r>
      <w:bookmarkStart w:id="46" w:name="pg1809_18735"/>
    </w:p>
    <w:p>
      <w:pPr>
        <w:pStyle w:val="Heading3"/>
        <w:numPr>
          <w:ilvl w:val="2"/>
          <w:numId w:val="1"/>
        </w:numPr>
        <w:rPr/>
      </w:pPr>
      <w:bookmarkStart w:id="47" w:name="__RefHeading___Toc2565022_3650668749"/>
      <w:bookmarkStart w:id="48" w:name="_Toc20"/>
      <w:bookmarkEnd w:id="46"/>
      <w:bookmarkEnd w:id="47"/>
      <w:r>
        <w:rPr>
          <w:rtl w:val="true"/>
        </w:rPr>
        <w:t>[ (</w:t>
      </w:r>
      <w:r>
        <w:rPr>
          <w:rtl w:val="true"/>
        </w:rPr>
        <w:t xml:space="preserve">مسألة </w:t>
      </w:r>
      <w:r>
        <w:rPr/>
        <w:t>12</w:t>
      </w:r>
      <w:r>
        <w:rPr>
          <w:rtl w:val="true"/>
        </w:rPr>
        <w:t xml:space="preserve">): </w:t>
      </w:r>
      <w:r>
        <w:rPr>
          <w:rtl w:val="true"/>
        </w:rPr>
        <w:t>إذا قلّد من لیس له أهلیّة الفتویٰ ثمّ التفت وجب علیه العدول</w:t>
      </w:r>
      <w:r>
        <w:rPr>
          <w:rtl w:val="true"/>
        </w:rPr>
        <w:t>]</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قلّد من لیس له أهلیّة الفتویٰ ثمّ التفت وجب علیه العدول، و کذا إذا قلّد غیر الأعلم وجب العدول </w:t>
      </w:r>
      <w:r>
        <w:rPr>
          <w:rStyle w:val="FootnoteAnchor"/>
          <w:rtl w:val="true"/>
        </w:rPr>
        <w:footnoteReference w:id="9"/>
      </w:r>
      <w:r>
        <w:rPr>
          <w:rFonts w:ascii="IRNazanin" w:hAnsi="IRNazanin" w:eastAsia="IRNazanin"/>
          <w:color w:val="111111"/>
          <w:sz w:val="28"/>
          <w:sz w:val="28"/>
          <w:szCs w:val="28"/>
          <w:rtl w:val="true"/>
          <w:lang w:bidi="fa-IR"/>
        </w:rPr>
        <w:t>إلی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قلّد الأعلم ثمّ صار غیره أعلم منه</w:t>
      </w:r>
      <w:r>
        <w:rPr>
          <w:rFonts w:eastAsia="IRNazanin" w:cs="IRNazanin"/>
          <w:color w:val="111111"/>
          <w:sz w:val="28"/>
          <w:szCs w:val="28"/>
          <w:rtl w:val="true"/>
          <w:lang w:bidi="fa-IR"/>
        </w:rPr>
        <w:t>.</w:t>
      </w:r>
    </w:p>
    <w:p>
      <w:pPr>
        <w:pStyle w:val="Heading3"/>
        <w:numPr>
          <w:ilvl w:val="2"/>
          <w:numId w:val="1"/>
        </w:numPr>
        <w:rPr/>
      </w:pPr>
      <w:bookmarkStart w:id="49" w:name="__RefHeading___Toc2565024_3650668749"/>
      <w:bookmarkStart w:id="50" w:name="_Toc21"/>
      <w:bookmarkEnd w:id="49"/>
      <w:r>
        <w:rPr>
          <w:rtl w:val="true"/>
        </w:rPr>
        <w:t>[ (</w:t>
      </w:r>
      <w:r>
        <w:rPr>
          <w:rtl w:val="true"/>
        </w:rPr>
        <w:t xml:space="preserve">مسألة </w:t>
      </w:r>
      <w:r>
        <w:rPr/>
        <w:t>13</w:t>
      </w:r>
      <w:r>
        <w:rPr>
          <w:rtl w:val="true"/>
        </w:rPr>
        <w:t xml:space="preserve">): </w:t>
      </w:r>
      <w:r>
        <w:rPr>
          <w:rtl w:val="true"/>
        </w:rPr>
        <w:t>لا یجوز تقلید المیّت ابتداءً</w:t>
      </w:r>
      <w:r>
        <w:rPr>
          <w:rtl w:val="true"/>
        </w:rPr>
        <w:t>]</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تقلید المیّت ابتداءً، نعم یجوز البقاء علیٰ تقلیده فی المسائل التی عمل بها </w:t>
      </w:r>
      <w:r>
        <w:rPr>
          <w:rStyle w:val="FootnoteAnchor"/>
          <w:rtl w:val="true"/>
        </w:rPr>
        <w:footnoteReference w:id="10"/>
      </w:r>
      <w:r>
        <w:rPr>
          <w:rFonts w:ascii="IRNazanin" w:hAnsi="IRNazanin" w:eastAsia="IRNazanin"/>
          <w:color w:val="111111"/>
          <w:sz w:val="28"/>
          <w:sz w:val="28"/>
          <w:szCs w:val="28"/>
          <w:rtl w:val="true"/>
          <w:lang w:bidi="fa-IR"/>
        </w:rPr>
        <w:t>فی زمان حیاته أو الرجوع إلی الحیّ الأعلم، و الرجوع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w:t>
      </w:r>
      <w:r>
        <w:rPr>
          <w:rStyle w:val="FootnoteAnchor"/>
          <w:rtl w:val="true"/>
        </w:rPr>
        <w:footnoteReference w:id="11"/>
      </w:r>
      <w:r>
        <w:rPr>
          <w:rFonts w:ascii="IRNazanin" w:hAnsi="IRNazanin" w:eastAsia="IRNazanin"/>
          <w:color w:val="111111"/>
          <w:sz w:val="28"/>
          <w:sz w:val="28"/>
          <w:szCs w:val="28"/>
          <w:rtl w:val="true"/>
          <w:lang w:bidi="fa-IR"/>
        </w:rPr>
        <w:t>بعد ذلک الرجوع إلیٰ فتوی المیّت ثانیاً و لا إلیٰ حیّ آخر إلّا إلیٰ أعلم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أن یکون البقاء بتقلید الحیّ، فلو بقی علیٰ تقلید المیّت من دون الرجوع إلی الحیّ الذی یفتی بجواز ذلک کان کمن عمل من غیر تقلید</w:t>
      </w:r>
      <w:r>
        <w:rPr>
          <w:rFonts w:eastAsia="IRNazanin" w:cs="IRNazanin"/>
          <w:color w:val="111111"/>
          <w:sz w:val="28"/>
          <w:szCs w:val="28"/>
          <w:rtl w:val="true"/>
          <w:lang w:bidi="fa-IR"/>
        </w:rPr>
        <w:t>.</w:t>
      </w:r>
    </w:p>
    <w:p>
      <w:pPr>
        <w:pStyle w:val="Heading3"/>
        <w:numPr>
          <w:ilvl w:val="2"/>
          <w:numId w:val="1"/>
        </w:numPr>
        <w:rPr/>
      </w:pPr>
      <w:bookmarkStart w:id="51" w:name="__RefHeading___Toc2565026_3650668749"/>
      <w:bookmarkStart w:id="52" w:name="_Toc22"/>
      <w:bookmarkEnd w:id="51"/>
      <w:r>
        <w:rPr>
          <w:rtl w:val="true"/>
        </w:rPr>
        <w:t>[ (</w:t>
      </w:r>
      <w:r>
        <w:rPr>
          <w:rtl w:val="true"/>
        </w:rPr>
        <w:t xml:space="preserve">مسألة </w:t>
      </w:r>
      <w:r>
        <w:rPr/>
        <w:t>14</w:t>
      </w:r>
      <w:r>
        <w:rPr>
          <w:rtl w:val="true"/>
        </w:rPr>
        <w:t xml:space="preserve">): </w:t>
      </w:r>
      <w:r>
        <w:rPr>
          <w:rtl w:val="true"/>
        </w:rPr>
        <w:t>إذا قلّد مجتهداً ثمّ مات فقلّد غیره</w:t>
      </w:r>
      <w:r>
        <w:rPr>
          <w:rtl w:val="true"/>
        </w:rPr>
        <w:t>]</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قلّد مجتهداً ثمّ مات فقلّد غیره، ثمّ مات فقلّد فی مسألة البقاء علیٰ تقلید المیّت من یقول بوجوب البقاء أو جوازه، فهل یبقیٰ علیٰ تقلید المجتهد الأوّل أو الثانی؟ الأظهر البقاء علیٰ تقلید الأوّل إن کان الثالث قائلًا بوجوب البقاء، و علیٰ تقلید الثانی </w:t>
      </w:r>
      <w:r>
        <w:rPr>
          <w:rStyle w:val="FootnoteAnchor"/>
          <w:rtl w:val="true"/>
        </w:rPr>
        <w:footnoteReference w:id="12"/>
      </w:r>
      <w:r>
        <w:rPr>
          <w:rFonts w:ascii="IRNazanin" w:hAnsi="IRNazanin" w:eastAsia="IRNazanin"/>
          <w:color w:val="111111"/>
          <w:sz w:val="28"/>
          <w:sz w:val="28"/>
          <w:szCs w:val="28"/>
          <w:rtl w:val="true"/>
          <w:lang w:bidi="fa-IR"/>
        </w:rPr>
        <w:t>إن کان قائلًا بجوازه</w:t>
      </w:r>
      <w:r>
        <w:rPr>
          <w:rFonts w:eastAsia="IRNazanin" w:cs="IRNazanin"/>
          <w:color w:val="111111"/>
          <w:sz w:val="28"/>
          <w:szCs w:val="28"/>
          <w:rtl w:val="true"/>
          <w:lang w:bidi="fa-IR"/>
        </w:rPr>
        <w:t>.</w:t>
      </w:r>
    </w:p>
    <w:p>
      <w:pPr>
        <w:pStyle w:val="Heading3"/>
        <w:numPr>
          <w:ilvl w:val="2"/>
          <w:numId w:val="1"/>
        </w:numPr>
        <w:rPr/>
      </w:pPr>
      <w:bookmarkStart w:id="53" w:name="__RefHeading___Toc2565028_3650668749"/>
      <w:bookmarkStart w:id="54" w:name="_Toc23"/>
      <w:bookmarkEnd w:id="53"/>
      <w:r>
        <w:rPr>
          <w:rtl w:val="true"/>
        </w:rPr>
        <w:t>[ (</w:t>
      </w:r>
      <w:r>
        <w:rPr>
          <w:rtl w:val="true"/>
        </w:rPr>
        <w:t xml:space="preserve">مسألة </w:t>
      </w:r>
      <w:r>
        <w:rPr/>
        <w:t>15</w:t>
      </w:r>
      <w:r>
        <w:rPr>
          <w:rtl w:val="true"/>
        </w:rPr>
        <w:t xml:space="preserve">): </w:t>
      </w:r>
      <w:r>
        <w:rPr>
          <w:rtl w:val="true"/>
        </w:rPr>
        <w:t>المأذون و الوکیل عن المجتهد فی التصرّف فی الأوقاف أو الوصایا أو فی أموال القصّر ینعزل بموت المجتهد</w:t>
      </w:r>
      <w:r>
        <w:rPr>
          <w:rtl w:val="true"/>
        </w:rPr>
        <w:t>]</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المأذون و الوکیل عن المجتهد فی التصرّف فی الأوقاف أو الوصایا أو فی أموال القصّر ینعزل بموت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المنصوب من قبله بأن نصبه متولّیاً للوقف أو قیّماً علی القصّر فهل ینعزل بموته؟ فیه إشکال </w:t>
      </w:r>
      <w:r>
        <w:rPr>
          <w:rStyle w:val="FootnoteAnchor"/>
          <w:rtl w:val="true"/>
        </w:rPr>
        <w:footnoteReference w:id="13"/>
      </w:r>
      <w:r>
        <w:rPr>
          <w:rFonts w:ascii="IRNazanin" w:hAnsi="IRNazanin" w:eastAsia="IRNazanin"/>
          <w:color w:val="111111"/>
          <w:sz w:val="28"/>
          <w:sz w:val="28"/>
          <w:szCs w:val="28"/>
          <w:rtl w:val="true"/>
          <w:lang w:bidi="fa-IR"/>
        </w:rPr>
        <w:t>فلا یترک الاحتیاط بتحصیل النصب الجدید من المجتهد الحیّ</w:t>
      </w:r>
      <w:r>
        <w:rPr>
          <w:rFonts w:eastAsia="IRNazanin" w:cs="IRNazanin"/>
          <w:color w:val="111111"/>
          <w:sz w:val="28"/>
          <w:szCs w:val="28"/>
          <w:rtl w:val="true"/>
          <w:lang w:bidi="fa-IR"/>
        </w:rPr>
        <w:t>.</w:t>
      </w:r>
    </w:p>
    <w:p>
      <w:pPr>
        <w:pStyle w:val="Heading3"/>
        <w:numPr>
          <w:ilvl w:val="2"/>
          <w:numId w:val="1"/>
        </w:numPr>
        <w:rPr/>
      </w:pPr>
      <w:bookmarkStart w:id="55" w:name="__RefHeading___Toc2565030_3650668749"/>
      <w:bookmarkStart w:id="56" w:name="_Toc24"/>
      <w:bookmarkEnd w:id="55"/>
      <w:r>
        <w:rPr>
          <w:rtl w:val="true"/>
        </w:rPr>
        <w:t>[ (</w:t>
      </w:r>
      <w:r>
        <w:rPr>
          <w:rtl w:val="true"/>
        </w:rPr>
        <w:t xml:space="preserve">مسألة </w:t>
      </w:r>
      <w:r>
        <w:rPr/>
        <w:t>16</w:t>
      </w:r>
      <w:r>
        <w:rPr>
          <w:rtl w:val="true"/>
        </w:rPr>
        <w:t xml:space="preserve">): </w:t>
      </w:r>
      <w:r>
        <w:rPr>
          <w:rtl w:val="true"/>
        </w:rPr>
        <w:t>إذا عمل عملًا من عبادة أو عقد أو إیقاع علیٰ طبق فتوی من یقلّده فمات ذلک المجتهد</w:t>
      </w:r>
      <w:r>
        <w:rPr>
          <w:rtl w:val="true"/>
        </w:rPr>
        <w:t>]</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 عملًا من عبادة أو عقد أو إیقاع علیٰ طبق فتوی من یقلّده فمات ذلک المجتهد فقلّد من یقول ببطلانه یجوز له البناء علیٰ صحّة الأعمال السابقة و لا یجب علیه إعادتها، و إن وجب علیه فیما یأتی العمل بمقتضیٰ فتوی المجتهد الثانی</w:t>
      </w:r>
      <w:r>
        <w:rPr>
          <w:rFonts w:eastAsia="IRNazanin" w:cs="IRNazanin"/>
          <w:color w:val="111111"/>
          <w:sz w:val="28"/>
          <w:szCs w:val="28"/>
          <w:rtl w:val="true"/>
          <w:lang w:bidi="fa-IR"/>
        </w:rPr>
        <w:t>.</w:t>
      </w:r>
    </w:p>
    <w:p>
      <w:pPr>
        <w:pStyle w:val="Heading3"/>
        <w:numPr>
          <w:ilvl w:val="2"/>
          <w:numId w:val="1"/>
        </w:numPr>
        <w:rPr/>
      </w:pPr>
      <w:bookmarkStart w:id="57" w:name="__RefHeading___Toc2565032_3650668749"/>
      <w:bookmarkStart w:id="58" w:name="_Toc25"/>
      <w:bookmarkEnd w:id="57"/>
      <w:r>
        <w:rPr>
          <w:rtl w:val="true"/>
        </w:rPr>
        <w:t>[ (</w:t>
      </w:r>
      <w:r>
        <w:rPr>
          <w:rtl w:val="true"/>
        </w:rPr>
        <w:t xml:space="preserve">مسألة </w:t>
      </w:r>
      <w:r>
        <w:rPr/>
        <w:t>17</w:t>
      </w:r>
      <w:r>
        <w:rPr>
          <w:rtl w:val="true"/>
        </w:rPr>
        <w:t xml:space="preserve">): </w:t>
      </w:r>
      <w:r>
        <w:rPr>
          <w:rtl w:val="true"/>
        </w:rPr>
        <w:t>إذا قلّد مجتهداً من غیر فحص عن حاله أو قطع بکونه جامعاً للشرائط</w:t>
      </w:r>
      <w:r>
        <w:rPr>
          <w:rtl w:val="true"/>
        </w:rPr>
        <w:t>]</w:t>
      </w:r>
      <w:bookmarkEnd w:id="5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مجتهداً من غیر فحص عن حاله أو قطع بکونه جامعاً للشرائط ثمّ</w:t>
      </w:r>
      <w:bookmarkStart w:id="59" w:name="pg1809_18737"/>
    </w:p>
    <w:p>
      <w:pPr>
        <w:pStyle w:val="BookText"/>
        <w:rPr/>
      </w:pPr>
      <w:bookmarkEnd w:id="59"/>
      <w:r>
        <w:rPr>
          <w:rFonts w:ascii="Amiri" w:hAnsi="Amiri" w:eastAsia="Amiri" w:cs="Amiri"/>
          <w:color w:val="111111"/>
          <w:sz w:val="28"/>
          <w:sz w:val="28"/>
          <w:szCs w:val="28"/>
          <w:rtl w:val="true"/>
          <w:lang w:bidi="ar-SA"/>
        </w:rPr>
        <w:t xml:space="preserve">شکّ فی أنّه کان جامعاً لها أم لا، وجب </w:t>
      </w:r>
      <w:r>
        <w:rPr>
          <w:rStyle w:val="FootnoteAnchor"/>
          <w:rtl w:val="true"/>
        </w:rPr>
        <w:footnoteReference w:id="14"/>
      </w:r>
      <w:r>
        <w:rPr>
          <w:rFonts w:ascii="IRNazanin" w:hAnsi="IRNazanin" w:eastAsia="IRNazanin"/>
          <w:color w:val="111111"/>
          <w:sz w:val="28"/>
          <w:sz w:val="28"/>
          <w:szCs w:val="28"/>
          <w:rtl w:val="true"/>
          <w:lang w:bidi="fa-IR"/>
        </w:rPr>
        <w:t>علیه الفحص، و أمّا إذا أحرز کونه جامعاً للشرائط ثمّ شکّ فی زوال بعضها عنه کالعدالة و الاجتهاد فلا یجب علیه الفحص و یجوز البناء علیٰ بقاء حالته الأُولیٰ</w:t>
      </w:r>
      <w:r>
        <w:rPr>
          <w:rFonts w:eastAsia="IRNazanin" w:cs="IRNazanin"/>
          <w:color w:val="111111"/>
          <w:sz w:val="28"/>
          <w:szCs w:val="28"/>
          <w:rtl w:val="true"/>
          <w:lang w:bidi="fa-IR"/>
        </w:rPr>
        <w:t>.</w:t>
      </w:r>
    </w:p>
    <w:p>
      <w:pPr>
        <w:pStyle w:val="Heading3"/>
        <w:numPr>
          <w:ilvl w:val="2"/>
          <w:numId w:val="1"/>
        </w:numPr>
        <w:rPr/>
      </w:pPr>
      <w:bookmarkStart w:id="60" w:name="__RefHeading___Toc2565034_3650668749"/>
      <w:bookmarkStart w:id="61" w:name="_Toc26"/>
      <w:bookmarkEnd w:id="60"/>
      <w:r>
        <w:rPr>
          <w:rtl w:val="true"/>
        </w:rPr>
        <w:t>[ (</w:t>
      </w:r>
      <w:r>
        <w:rPr>
          <w:rtl w:val="true"/>
        </w:rPr>
        <w:t xml:space="preserve">مسألة </w:t>
      </w:r>
      <w:r>
        <w:rPr/>
        <w:t>18</w:t>
      </w:r>
      <w:r>
        <w:rPr>
          <w:rtl w:val="true"/>
        </w:rPr>
        <w:t xml:space="preserve">): </w:t>
      </w:r>
      <w:r>
        <w:rPr>
          <w:rtl w:val="true"/>
        </w:rPr>
        <w:t>إذا عرض للمجتهد ما یوجب فقده للشرائط</w:t>
      </w:r>
      <w:r>
        <w:rPr>
          <w:rtl w:val="true"/>
        </w:rPr>
        <w:t>]</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 للمجتهد ما یوجب فقده للشرائط؛ من فسق أو جنون أو نسیان یجب العدول إلی الجامع للشرائط و لا یجوز البقاء علیٰ تقلیده، کما أنّه لو قلّد من لم یکن جامعاً للشرائط و مضیٰ علیه برهة من الزمان کان کمن لم یقلّد أصلًا، فحاله کحال الجاهل القاصر أو المقصّر</w:t>
      </w:r>
      <w:r>
        <w:rPr>
          <w:rFonts w:eastAsia="IRNazanin" w:cs="IRNazanin"/>
          <w:color w:val="111111"/>
          <w:sz w:val="28"/>
          <w:szCs w:val="28"/>
          <w:rtl w:val="true"/>
          <w:lang w:bidi="fa-IR"/>
        </w:rPr>
        <w:t>.</w:t>
      </w:r>
    </w:p>
    <w:p>
      <w:pPr>
        <w:pStyle w:val="Heading3"/>
        <w:numPr>
          <w:ilvl w:val="2"/>
          <w:numId w:val="1"/>
        </w:numPr>
        <w:rPr/>
      </w:pPr>
      <w:bookmarkStart w:id="62" w:name="__RefHeading___Toc2565036_3650668749"/>
      <w:bookmarkStart w:id="63" w:name="_Toc27"/>
      <w:bookmarkEnd w:id="62"/>
      <w:r>
        <w:rPr>
          <w:rtl w:val="true"/>
        </w:rPr>
        <w:t>[ (</w:t>
      </w:r>
      <w:r>
        <w:rPr>
          <w:rtl w:val="true"/>
        </w:rPr>
        <w:t xml:space="preserve">مسألة </w:t>
      </w:r>
      <w:r>
        <w:rPr/>
        <w:t>19</w:t>
      </w:r>
      <w:r>
        <w:rPr>
          <w:rtl w:val="true"/>
        </w:rPr>
        <w:t xml:space="preserve">): </w:t>
      </w:r>
      <w:r>
        <w:rPr>
          <w:rtl w:val="true"/>
        </w:rPr>
        <w:t>یثبت الاجتهاد بالاختبار و بالشیاع المفید للعلم</w:t>
      </w:r>
      <w:r>
        <w:rPr>
          <w:rtl w:val="true"/>
        </w:rPr>
        <w:t>]</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الاجتهاد بالاختبار و بالشیاع المفید للعلم و بشهادة العدلین </w:t>
      </w:r>
      <w:r>
        <w:rPr>
          <w:rStyle w:val="FootnoteAnchor"/>
          <w:rtl w:val="true"/>
        </w:rPr>
        <w:footnoteReference w:id="15"/>
      </w:r>
      <w:r>
        <w:rPr>
          <w:rFonts w:ascii="IRNazanin" w:hAnsi="IRNazanin" w:eastAsia="IRNazanin"/>
          <w:color w:val="111111"/>
          <w:sz w:val="28"/>
          <w:sz w:val="28"/>
          <w:szCs w:val="28"/>
          <w:rtl w:val="true"/>
          <w:lang w:bidi="fa-IR"/>
        </w:rPr>
        <w:t>، و کذا الأعلمیّة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تقلید من لا یعلم أنّه بلغ رتبة الاجتهاد و إن کان من أهل العلم، کما أنّه یجب علیٰ غیر المجتهد أن یقلّد أو یحتاط و إن کان من أهل العلم و قریباً من الاجتهاد</w:t>
      </w:r>
      <w:r>
        <w:rPr>
          <w:rFonts w:eastAsia="IRNazanin" w:cs="IRNazanin"/>
          <w:color w:val="111111"/>
          <w:sz w:val="28"/>
          <w:szCs w:val="28"/>
          <w:rtl w:val="true"/>
          <w:lang w:bidi="fa-IR"/>
        </w:rPr>
        <w:t>.</w:t>
      </w:r>
    </w:p>
    <w:p>
      <w:pPr>
        <w:pStyle w:val="Heading3"/>
        <w:numPr>
          <w:ilvl w:val="2"/>
          <w:numId w:val="1"/>
        </w:numPr>
        <w:rPr/>
      </w:pPr>
      <w:bookmarkStart w:id="64" w:name="__RefHeading___Toc2565038_3650668749"/>
      <w:bookmarkStart w:id="65" w:name="_Toc28"/>
      <w:bookmarkEnd w:id="64"/>
      <w:r>
        <w:rPr>
          <w:rtl w:val="true"/>
        </w:rPr>
        <w:t>[ (</w:t>
      </w:r>
      <w:r>
        <w:rPr>
          <w:rtl w:val="true"/>
        </w:rPr>
        <w:t xml:space="preserve">مسألة </w:t>
      </w:r>
      <w:r>
        <w:rPr/>
        <w:t>20</w:t>
      </w:r>
      <w:r>
        <w:rPr>
          <w:rtl w:val="true"/>
        </w:rPr>
        <w:t xml:space="preserve">): </w:t>
      </w:r>
      <w:r>
        <w:rPr>
          <w:rtl w:val="true"/>
        </w:rPr>
        <w:t>عمل الجاهل المقصّر الملتفت من دون تقلید باطل</w:t>
      </w:r>
      <w:r>
        <w:rPr>
          <w:rtl w:val="true"/>
        </w:rPr>
        <w:t>]</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الجاهل المقصّر الملتفت من دون تقلید باطل </w:t>
      </w:r>
      <w:r>
        <w:rPr>
          <w:rStyle w:val="FootnoteAnchor"/>
          <w:rtl w:val="true"/>
        </w:rPr>
        <w:footnoteReference w:id="16"/>
      </w:r>
      <w:r>
        <w:rPr>
          <w:rFonts w:ascii="IRNazanin" w:hAnsi="IRNazanin" w:eastAsia="IRNazanin"/>
          <w:color w:val="111111"/>
          <w:sz w:val="28"/>
          <w:sz w:val="28"/>
          <w:szCs w:val="28"/>
          <w:rtl w:val="true"/>
          <w:lang w:bidi="fa-IR"/>
        </w:rPr>
        <w:t>و إن کان مطابقاً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عمل الجاهل القاصر أو المقصّر الغافل مع تحقّق قصد القربة فصحیح إن کان مطابقاً لفتوی المجتهد الذی یقلّده بعد ذلک</w:t>
      </w:r>
      <w:r>
        <w:rPr>
          <w:rFonts w:eastAsia="IRNazanin" w:cs="IRNazanin"/>
          <w:color w:val="111111"/>
          <w:sz w:val="28"/>
          <w:szCs w:val="28"/>
          <w:rtl w:val="true"/>
          <w:lang w:bidi="fa-IR"/>
        </w:rPr>
        <w:t>.</w:t>
      </w:r>
    </w:p>
    <w:p>
      <w:pPr>
        <w:pStyle w:val="Heading3"/>
        <w:numPr>
          <w:ilvl w:val="2"/>
          <w:numId w:val="1"/>
        </w:numPr>
        <w:rPr/>
      </w:pPr>
      <w:bookmarkStart w:id="66" w:name="__RefHeading___Toc2565040_3650668749"/>
      <w:bookmarkStart w:id="67" w:name="_Toc29"/>
      <w:bookmarkEnd w:id="66"/>
      <w:r>
        <w:rPr>
          <w:rtl w:val="true"/>
        </w:rPr>
        <w:t>[ (</w:t>
      </w:r>
      <w:r>
        <w:rPr>
          <w:rtl w:val="true"/>
        </w:rPr>
        <w:t xml:space="preserve">مسألة </w:t>
      </w:r>
      <w:r>
        <w:rPr/>
        <w:t>21</w:t>
      </w:r>
      <w:r>
        <w:rPr>
          <w:rtl w:val="true"/>
        </w:rPr>
        <w:t xml:space="preserve">): </w:t>
      </w:r>
      <w:r>
        <w:rPr>
          <w:rtl w:val="true"/>
        </w:rPr>
        <w:t>کیفیّة أخذ المسائل من المجتهد علیٰ أنحاء ثلاثة</w:t>
      </w:r>
      <w:r>
        <w:rPr>
          <w:rtl w:val="true"/>
        </w:rPr>
        <w:t>]</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أخذ المسائل من المجتهد علیٰ أنحاء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السماع منه،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عدلین أو عدل واحد عنه، بل الظاهر کفایة نقل شخص واحد إذا کان ثقة یطمئنّ بقوله،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رسالته إذا کانت مأمونة من الغلط</w:t>
      </w:r>
      <w:r>
        <w:rPr>
          <w:rFonts w:eastAsia="IRNazanin" w:cs="IRNazanin"/>
          <w:color w:val="111111"/>
          <w:sz w:val="28"/>
          <w:szCs w:val="28"/>
          <w:rtl w:val="true"/>
          <w:lang w:bidi="fa-IR"/>
        </w:rPr>
        <w:t>.</w:t>
      </w:r>
    </w:p>
    <w:p>
      <w:pPr>
        <w:pStyle w:val="Heading3"/>
        <w:numPr>
          <w:ilvl w:val="2"/>
          <w:numId w:val="1"/>
        </w:numPr>
        <w:rPr/>
      </w:pPr>
      <w:bookmarkStart w:id="68" w:name="__RefHeading___Toc2565042_3650668749"/>
      <w:bookmarkStart w:id="69" w:name="_Toc30"/>
      <w:bookmarkEnd w:id="68"/>
      <w:r>
        <w:rPr>
          <w:rtl w:val="true"/>
        </w:rPr>
        <w:t>[ (</w:t>
      </w:r>
      <w:r>
        <w:rPr>
          <w:rtl w:val="true"/>
        </w:rPr>
        <w:t xml:space="preserve">مسألة </w:t>
      </w:r>
      <w:r>
        <w:rPr/>
        <w:t>22</w:t>
      </w:r>
      <w:r>
        <w:rPr>
          <w:rtl w:val="true"/>
        </w:rPr>
        <w:t xml:space="preserve">): </w:t>
      </w:r>
      <w:r>
        <w:rPr>
          <w:rtl w:val="true"/>
        </w:rPr>
        <w:t>إذا اختلف ناقلان فی نقل فتوی المجتهد یؤخذ بقول أوثقهما</w:t>
      </w:r>
      <w:r>
        <w:rPr>
          <w:rtl w:val="true"/>
        </w:rPr>
        <w:t>]</w:t>
      </w:r>
      <w:bookmarkEnd w:id="6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ناقلان فی نقل فتوی المجتهد یؤخذ بقول </w:t>
      </w:r>
      <w:r>
        <w:rPr>
          <w:rStyle w:val="FootnoteAnchor"/>
          <w:rtl w:val="true"/>
        </w:rPr>
        <w:footnoteReference w:id="17"/>
      </w:r>
      <w:r>
        <w:rPr>
          <w:rFonts w:ascii="IRNazanin" w:hAnsi="IRNazanin" w:eastAsia="IRNazanin"/>
          <w:color w:val="111111"/>
          <w:sz w:val="28"/>
          <w:sz w:val="28"/>
          <w:szCs w:val="28"/>
          <w:rtl w:val="true"/>
          <w:lang w:bidi="fa-IR"/>
        </w:rPr>
        <w:t>أوثقهما، و مع تساویهما فی الوثاقة یتساقطان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یمکن الرجوع إلی المجتهد أو رسالته یعمل بما وافق الاحتیاط من الفتویین أو یعمل بالاحتیاط</w:t>
      </w:r>
      <w:r>
        <w:rPr>
          <w:rFonts w:eastAsia="IRNazanin" w:cs="IRNazanin"/>
          <w:color w:val="111111"/>
          <w:sz w:val="28"/>
          <w:szCs w:val="28"/>
          <w:rtl w:val="true"/>
          <w:lang w:bidi="fa-IR"/>
        </w:rPr>
        <w:t>.</w:t>
      </w:r>
      <w:bookmarkStart w:id="70" w:name="pg1809_18739"/>
    </w:p>
    <w:p>
      <w:pPr>
        <w:pStyle w:val="Heading3"/>
        <w:numPr>
          <w:ilvl w:val="2"/>
          <w:numId w:val="1"/>
        </w:numPr>
        <w:rPr/>
      </w:pPr>
      <w:bookmarkStart w:id="71" w:name="__RefHeading___Toc2565044_3650668749"/>
      <w:bookmarkStart w:id="72" w:name="_Toc31"/>
      <w:bookmarkEnd w:id="70"/>
      <w:bookmarkEnd w:id="71"/>
      <w:r>
        <w:rPr>
          <w:rtl w:val="true"/>
        </w:rPr>
        <w:t>[ (</w:t>
      </w:r>
      <w:r>
        <w:rPr>
          <w:rtl w:val="true"/>
        </w:rPr>
        <w:t xml:space="preserve">مسألة </w:t>
      </w:r>
      <w:r>
        <w:rPr/>
        <w:t>23</w:t>
      </w:r>
      <w:r>
        <w:rPr>
          <w:rtl w:val="true"/>
        </w:rPr>
        <w:t xml:space="preserve">): </w:t>
      </w:r>
      <w:r>
        <w:rPr>
          <w:rtl w:val="true"/>
        </w:rPr>
        <w:t>یجب تعلّم مسائل الشکّ و السهو و غیرها ممّا هو محلّ الابتلاء غالباً</w:t>
      </w:r>
      <w:r>
        <w:rPr>
          <w:rtl w:val="true"/>
        </w:rPr>
        <w:t>]</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Style w:val="FootnoteAnchor"/>
          <w:rtl w:val="true"/>
        </w:rPr>
        <w:footnoteReference w:id="18"/>
      </w:r>
      <w:r>
        <w:rPr>
          <w:rFonts w:ascii="IRNazanin" w:hAnsi="IRNazanin" w:eastAsia="IRNazanin"/>
          <w:color w:val="111111"/>
          <w:sz w:val="28"/>
          <w:sz w:val="28"/>
          <w:szCs w:val="28"/>
          <w:rtl w:val="true"/>
          <w:lang w:bidi="fa-IR"/>
        </w:rPr>
        <w:t>تعلّم مسائل الشکّ و السهو و غیرها ممّا هو محلّ الابتلاء غالباً، کما یجب تعلّم أجزاء العبادات و شرائطها و موانعها و مقدّماتها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إجمالًا أنّ عمله واجد لجمیع الأجزاء و الشرائط و فاقد للموانع صحّ و إن لم یعلم تفصیلًا</w:t>
      </w:r>
      <w:r>
        <w:rPr>
          <w:rFonts w:eastAsia="IRNazanin" w:cs="IRNazanin"/>
          <w:color w:val="111111"/>
          <w:sz w:val="28"/>
          <w:szCs w:val="28"/>
          <w:rtl w:val="true"/>
          <w:lang w:bidi="fa-IR"/>
        </w:rPr>
        <w:t>.</w:t>
      </w:r>
    </w:p>
    <w:p>
      <w:pPr>
        <w:pStyle w:val="Heading3"/>
        <w:numPr>
          <w:ilvl w:val="2"/>
          <w:numId w:val="1"/>
        </w:numPr>
        <w:rPr/>
      </w:pPr>
      <w:bookmarkStart w:id="73" w:name="__RefHeading___Toc2565046_3650668749"/>
      <w:bookmarkStart w:id="74" w:name="_Toc32"/>
      <w:bookmarkEnd w:id="73"/>
      <w:r>
        <w:rPr>
          <w:rtl w:val="true"/>
        </w:rPr>
        <w:t>[ (</w:t>
      </w:r>
      <w:r>
        <w:rPr>
          <w:rtl w:val="true"/>
        </w:rPr>
        <w:t xml:space="preserve">مسألة </w:t>
      </w:r>
      <w:r>
        <w:rPr/>
        <w:t>24</w:t>
      </w:r>
      <w:r>
        <w:rPr>
          <w:rtl w:val="true"/>
        </w:rPr>
        <w:t xml:space="preserve">): </w:t>
      </w:r>
      <w:r>
        <w:rPr>
          <w:rtl w:val="true"/>
        </w:rPr>
        <w:t>إذا علم أنّه کان فی عباداته بلا تقلید مدّة من الزمان و لم یعلم مقداره</w:t>
      </w:r>
      <w:r>
        <w:rPr>
          <w:rtl w:val="true"/>
        </w:rPr>
        <w:t>]</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أنّه کان فی عباداته بلا تقلید مدّة من الزمان و لم یعلم مقداره فإن علم بکیفیّتها و موافقتها لفتوی المجتهد الذی رجع إلیه فهو، و إلّا فالأحوط </w:t>
      </w:r>
      <w:r>
        <w:rPr>
          <w:rStyle w:val="FootnoteAnchor"/>
          <w:rtl w:val="true"/>
        </w:rPr>
        <w:footnoteReference w:id="19"/>
      </w:r>
      <w:r>
        <w:rPr>
          <w:rFonts w:ascii="IRNazanin" w:hAnsi="IRNazanin" w:eastAsia="IRNazanin"/>
          <w:color w:val="111111"/>
          <w:sz w:val="28"/>
          <w:sz w:val="28"/>
          <w:szCs w:val="28"/>
          <w:rtl w:val="true"/>
          <w:lang w:bidi="fa-IR"/>
        </w:rPr>
        <w:t>أن یقضی الأعمال السابقة بمقدار یعلم معه بالبراءة</w:t>
      </w:r>
      <w:r>
        <w:rPr>
          <w:rFonts w:eastAsia="IRNazanin" w:cs="IRNazanin"/>
          <w:color w:val="111111"/>
          <w:sz w:val="28"/>
          <w:szCs w:val="28"/>
          <w:rtl w:val="true"/>
          <w:lang w:bidi="fa-IR"/>
        </w:rPr>
        <w:t>.</w:t>
      </w:r>
    </w:p>
    <w:p>
      <w:pPr>
        <w:pStyle w:val="Heading3"/>
        <w:numPr>
          <w:ilvl w:val="2"/>
          <w:numId w:val="1"/>
        </w:numPr>
        <w:rPr/>
      </w:pPr>
      <w:bookmarkStart w:id="75" w:name="__RefHeading___Toc2565048_3650668749"/>
      <w:bookmarkStart w:id="76" w:name="_Toc33"/>
      <w:bookmarkEnd w:id="75"/>
      <w:r>
        <w:rPr>
          <w:rtl w:val="true"/>
        </w:rPr>
        <w:t>[ (</w:t>
      </w:r>
      <w:r>
        <w:rPr>
          <w:rtl w:val="true"/>
        </w:rPr>
        <w:t xml:space="preserve">مسألة </w:t>
      </w:r>
      <w:r>
        <w:rPr/>
        <w:t>25</w:t>
      </w:r>
      <w:r>
        <w:rPr>
          <w:rtl w:val="true"/>
        </w:rPr>
        <w:t xml:space="preserve">): </w:t>
      </w:r>
      <w:r>
        <w:rPr>
          <w:rtl w:val="true"/>
        </w:rPr>
        <w:t>إذا کان أعماله السابقة مع التقلید و لا یعلم أنّه کان عن تقلید صحیح أم فاسد</w:t>
      </w:r>
      <w:r>
        <w:rPr>
          <w:rtl w:val="true"/>
        </w:rPr>
        <w:t>]</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أعماله السابقة مع التقلید و لا یعلم أنّه کان عن تقلید صحیح أم فاسد یبنی علی الصحّة</w:t>
      </w:r>
      <w:r>
        <w:rPr>
          <w:rFonts w:eastAsia="IRNazanin" w:cs="IRNazanin"/>
          <w:color w:val="111111"/>
          <w:sz w:val="28"/>
          <w:szCs w:val="28"/>
          <w:rtl w:val="true"/>
          <w:lang w:bidi="fa-IR"/>
        </w:rPr>
        <w:t>.</w:t>
      </w:r>
    </w:p>
    <w:p>
      <w:pPr>
        <w:pStyle w:val="Heading3"/>
        <w:numPr>
          <w:ilvl w:val="2"/>
          <w:numId w:val="1"/>
        </w:numPr>
        <w:rPr/>
      </w:pPr>
      <w:bookmarkStart w:id="77" w:name="__RefHeading___Toc2565050_3650668749"/>
      <w:bookmarkStart w:id="78" w:name="_Toc34"/>
      <w:bookmarkEnd w:id="77"/>
      <w:r>
        <w:rPr>
          <w:rtl w:val="true"/>
        </w:rPr>
        <w:t>[ (</w:t>
      </w:r>
      <w:r>
        <w:rPr>
          <w:rtl w:val="true"/>
        </w:rPr>
        <w:t xml:space="preserve">مسألة </w:t>
      </w:r>
      <w:r>
        <w:rPr/>
        <w:t>26</w:t>
      </w:r>
      <w:r>
        <w:rPr>
          <w:rtl w:val="true"/>
        </w:rPr>
        <w:t xml:space="preserve">): </w:t>
      </w:r>
      <w:r>
        <w:rPr>
          <w:rtl w:val="true"/>
        </w:rPr>
        <w:t>إذا مضت مدّة من بلوغه و شکّ بعد ذلک فی أنّ أعماله کانت عن تقلید صحیح أم لا</w:t>
      </w:r>
      <w:r>
        <w:rPr>
          <w:rtl w:val="true"/>
        </w:rPr>
        <w:t>]</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مضت مدّة من بلوغه و شکّ بعد ذلک فی أنّ أعماله کانت عن تقلید صحیح أم لا، یجوز له البناء علی الصحّة فی أعماله السابقة، و فی اللاحقة یجب علیه التصحیح فعلًا</w:t>
      </w:r>
      <w:r>
        <w:rPr>
          <w:rFonts w:eastAsia="IRNazanin" w:cs="IRNazanin"/>
          <w:color w:val="111111"/>
          <w:sz w:val="28"/>
          <w:szCs w:val="28"/>
          <w:rtl w:val="true"/>
          <w:lang w:bidi="fa-IR"/>
        </w:rPr>
        <w:t>.</w:t>
      </w:r>
    </w:p>
    <w:p>
      <w:pPr>
        <w:pStyle w:val="Heading3"/>
        <w:numPr>
          <w:ilvl w:val="2"/>
          <w:numId w:val="1"/>
        </w:numPr>
        <w:rPr/>
      </w:pPr>
      <w:bookmarkStart w:id="79" w:name="__RefHeading___Toc2565052_3650668749"/>
      <w:bookmarkStart w:id="80" w:name="_Toc35"/>
      <w:bookmarkEnd w:id="79"/>
      <w:r>
        <w:rPr>
          <w:rtl w:val="true"/>
        </w:rPr>
        <w:t>[ (</w:t>
      </w:r>
      <w:r>
        <w:rPr>
          <w:rtl w:val="true"/>
        </w:rPr>
        <w:t xml:space="preserve">مسألة </w:t>
      </w:r>
      <w:r>
        <w:rPr/>
        <w:t>27</w:t>
      </w:r>
      <w:r>
        <w:rPr>
          <w:rtl w:val="true"/>
        </w:rPr>
        <w:t xml:space="preserve">): </w:t>
      </w:r>
      <w:r>
        <w:rPr>
          <w:rtl w:val="true"/>
        </w:rPr>
        <w:t>یعتبر فی المفتی و القاضی العدالة</w:t>
      </w:r>
      <w:r>
        <w:rPr>
          <w:rtl w:val="true"/>
        </w:rPr>
        <w:t>]</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المفتی و القاضی العدالة، و تثبت بشهادة عدلین و بالمعاشرة المفیدة للعلم أو الاطمئنان و بالشیاع المفید للعلم</w:t>
      </w:r>
      <w:r>
        <w:rPr>
          <w:rFonts w:eastAsia="IRNazanin" w:cs="IRNazanin"/>
          <w:color w:val="111111"/>
          <w:sz w:val="28"/>
          <w:szCs w:val="28"/>
          <w:rtl w:val="true"/>
          <w:lang w:bidi="fa-IR"/>
        </w:rPr>
        <w:t>.</w:t>
      </w:r>
    </w:p>
    <w:p>
      <w:pPr>
        <w:pStyle w:val="Heading3"/>
        <w:numPr>
          <w:ilvl w:val="2"/>
          <w:numId w:val="1"/>
        </w:numPr>
        <w:rPr/>
      </w:pPr>
      <w:bookmarkStart w:id="81" w:name="__RefHeading___Toc2565054_3650668749"/>
      <w:bookmarkStart w:id="82" w:name="_Toc36"/>
      <w:bookmarkEnd w:id="81"/>
      <w:r>
        <w:rPr>
          <w:rtl w:val="true"/>
        </w:rPr>
        <w:t>[ (</w:t>
      </w:r>
      <w:r>
        <w:rPr>
          <w:rtl w:val="true"/>
        </w:rPr>
        <w:t xml:space="preserve">مسألة </w:t>
      </w:r>
      <w:r>
        <w:rPr/>
        <w:t>28</w:t>
      </w:r>
      <w:r>
        <w:rPr>
          <w:rtl w:val="true"/>
        </w:rPr>
        <w:t xml:space="preserve">): </w:t>
      </w:r>
      <w:r>
        <w:rPr>
          <w:rtl w:val="true"/>
        </w:rPr>
        <w:t>العدالة</w:t>
      </w:r>
      <w:r>
        <w:rPr>
          <w:rtl w:val="true"/>
        </w:rPr>
        <w:t xml:space="preserve">: </w:t>
      </w:r>
      <w:r>
        <w:rPr>
          <w:rtl w:val="true"/>
        </w:rPr>
        <w:t>عبارة عن ملکة راسخة باعثة علیٰ ملازمة التقوی</w:t>
      </w:r>
      <w:r>
        <w:rPr>
          <w:rtl w:val="true"/>
        </w:rPr>
        <w:t>]</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ملکة راسخة باعثة علیٰ ملازمة التقوی من ترک المحرّمات و فعل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تعرف بحسن الظاهر و مواظبته فی الظاهر علی الشرعیّات و الطاعات و مزایا الشرع؛ من حضور الجماعات و غیره ممّا کان کاشفاً عن الملکة و حسن الباطن علماً أو ظنّاً </w:t>
      </w:r>
      <w:r>
        <w:rPr>
          <w:rStyle w:val="FootnoteAnchor"/>
          <w:rtl w:val="true"/>
        </w:rPr>
        <w:footnoteReference w:id="20"/>
      </w:r>
      <w:r>
        <w:rPr>
          <w:rFonts w:ascii="IRNazanin" w:hAnsi="IRNazanin" w:eastAsia="IRNazanin"/>
          <w:color w:val="111111"/>
          <w:sz w:val="28"/>
          <w:sz w:val="28"/>
          <w:szCs w:val="28"/>
          <w:rtl w:val="true"/>
          <w:lang w:bidi="fa-IR"/>
        </w:rPr>
        <w:t>، و تعرف أیضاً بشهادة العدلین و بالشیاع المفید للعلم</w:t>
      </w:r>
      <w:r>
        <w:rPr>
          <w:rFonts w:eastAsia="IRNazanin" w:cs="IRNazanin"/>
          <w:color w:val="111111"/>
          <w:sz w:val="28"/>
          <w:szCs w:val="28"/>
          <w:rtl w:val="true"/>
          <w:lang w:bidi="fa-IR"/>
        </w:rPr>
        <w:t>.</w:t>
      </w:r>
    </w:p>
    <w:p>
      <w:pPr>
        <w:pStyle w:val="Heading3"/>
        <w:numPr>
          <w:ilvl w:val="2"/>
          <w:numId w:val="1"/>
        </w:numPr>
        <w:rPr/>
      </w:pPr>
      <w:bookmarkStart w:id="83" w:name="__RefHeading___Toc2565056_3650668749"/>
      <w:bookmarkStart w:id="84" w:name="_Toc37"/>
      <w:bookmarkEnd w:id="83"/>
      <w:r>
        <w:rPr>
          <w:rtl w:val="true"/>
        </w:rPr>
        <w:t>[ (</w:t>
      </w:r>
      <w:r>
        <w:rPr>
          <w:rtl w:val="true"/>
        </w:rPr>
        <w:t xml:space="preserve">مسألة </w:t>
      </w:r>
      <w:r>
        <w:rPr/>
        <w:t>29</w:t>
      </w:r>
      <w:r>
        <w:rPr>
          <w:rtl w:val="true"/>
        </w:rPr>
        <w:t xml:space="preserve">): </w:t>
      </w:r>
      <w:r>
        <w:rPr>
          <w:rtl w:val="true"/>
        </w:rPr>
        <w:t>تزول صفة العدالة بارتکاب الکبائر أو الإصرار علی الصغائر</w:t>
      </w:r>
      <w:r>
        <w:rPr>
          <w:rtl w:val="true"/>
        </w:rPr>
        <w:t>]</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تزول صفة العدالة بارتکاب الکبائر أو الإصرار </w:t>
      </w:r>
      <w:r>
        <w:rPr>
          <w:rStyle w:val="FootnoteAnchor"/>
          <w:rtl w:val="true"/>
        </w:rPr>
        <w:footnoteReference w:id="21"/>
      </w:r>
      <w:r>
        <w:rPr>
          <w:rFonts w:ascii="IRNazanin" w:hAnsi="IRNazanin" w:eastAsia="IRNazanin"/>
          <w:color w:val="111111"/>
          <w:sz w:val="28"/>
          <w:sz w:val="28"/>
          <w:szCs w:val="28"/>
          <w:rtl w:val="true"/>
          <w:lang w:bidi="fa-IR"/>
        </w:rPr>
        <w:t>علی الصغائر و تعود بالتوبة إذا کانت الملکة المذکورة باقیة</w:t>
      </w:r>
      <w:r>
        <w:rPr>
          <w:rFonts w:eastAsia="IRNazanin" w:cs="IRNazanin"/>
          <w:color w:val="111111"/>
          <w:sz w:val="28"/>
          <w:szCs w:val="28"/>
          <w:rtl w:val="true"/>
          <w:lang w:bidi="fa-IR"/>
        </w:rPr>
        <w:t>.</w:t>
      </w:r>
    </w:p>
    <w:p>
      <w:pPr>
        <w:pStyle w:val="Heading3"/>
        <w:numPr>
          <w:ilvl w:val="2"/>
          <w:numId w:val="1"/>
        </w:numPr>
        <w:rPr/>
      </w:pPr>
      <w:bookmarkStart w:id="85" w:name="__RefHeading___Toc2565058_3650668749"/>
      <w:bookmarkStart w:id="86" w:name="_Toc38"/>
      <w:bookmarkEnd w:id="85"/>
      <w:r>
        <w:rPr>
          <w:rtl w:val="true"/>
        </w:rPr>
        <w:t>[ (</w:t>
      </w:r>
      <w:r>
        <w:rPr>
          <w:rtl w:val="true"/>
        </w:rPr>
        <w:t xml:space="preserve">مسألة </w:t>
      </w:r>
      <w:r>
        <w:rPr/>
        <w:t>30</w:t>
      </w:r>
      <w:r>
        <w:rPr>
          <w:rtl w:val="true"/>
        </w:rPr>
        <w:t xml:space="preserve">): </w:t>
      </w:r>
      <w:r>
        <w:rPr>
          <w:rtl w:val="true"/>
        </w:rPr>
        <w:t>إذا نقل شخص فتوی المجتهد خطأً یجب علیه إعلام من تعلّم منه</w:t>
      </w:r>
      <w:r>
        <w:rPr>
          <w:rtl w:val="true"/>
        </w:rPr>
        <w:t>]</w:t>
      </w:r>
      <w:bookmarkEnd w:id="8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نقل شخص فتوی المجتهد خطأً یجب علیه إعلام من تعلّم منه</w:t>
      </w:r>
      <w:r>
        <w:rPr>
          <w:rFonts w:eastAsia="IRNazanin" w:cs="IRNazanin"/>
          <w:color w:val="111111"/>
          <w:sz w:val="28"/>
          <w:szCs w:val="28"/>
          <w:rtl w:val="true"/>
          <w:lang w:bidi="fa-IR"/>
        </w:rPr>
        <w:t>.</w:t>
      </w:r>
      <w:bookmarkStart w:id="87" w:name="pg1809_18741"/>
    </w:p>
    <w:p>
      <w:pPr>
        <w:pStyle w:val="Heading3"/>
        <w:numPr>
          <w:ilvl w:val="2"/>
          <w:numId w:val="1"/>
        </w:numPr>
        <w:rPr/>
      </w:pPr>
      <w:bookmarkStart w:id="88" w:name="__RefHeading___Toc2565060_3650668749"/>
      <w:bookmarkStart w:id="89" w:name="_Toc39"/>
      <w:bookmarkEnd w:id="87"/>
      <w:bookmarkEnd w:id="88"/>
      <w:r>
        <w:rPr>
          <w:rtl w:val="true"/>
        </w:rPr>
        <w:t>[ (</w:t>
      </w:r>
      <w:r>
        <w:rPr>
          <w:rtl w:val="true"/>
        </w:rPr>
        <w:t xml:space="preserve">مسألة </w:t>
      </w:r>
      <w:r>
        <w:rPr/>
        <w:t>31</w:t>
      </w:r>
      <w:r>
        <w:rPr>
          <w:rtl w:val="true"/>
        </w:rPr>
        <w:t xml:space="preserve">): </w:t>
      </w:r>
      <w:r>
        <w:rPr>
          <w:rtl w:val="true"/>
        </w:rPr>
        <w:t>إذا اتّفق فی أثناء الصلاة مسألة لا یعلم حکمها</w:t>
      </w:r>
      <w:r>
        <w:rPr>
          <w:rtl w:val="true"/>
        </w:rPr>
        <w:t>]</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فی أثناء الصلاة مسألة لا یعلم حکمها و لم یتمکّن حینئذٍ من استعلامها بنیٰ علیٰ أحد الطرفین بقصد أن یسأل عن الحکم بعد الصلاة و أن یعیدها إذا ظهر کون المأتیّ به خلاف الواقع، فلو فعل کذلک فظهرت المطابقة صحّت صلاته</w:t>
      </w:r>
      <w:r>
        <w:rPr>
          <w:rFonts w:eastAsia="IRNazanin" w:cs="IRNazanin"/>
          <w:color w:val="111111"/>
          <w:sz w:val="28"/>
          <w:szCs w:val="28"/>
          <w:rtl w:val="true"/>
          <w:lang w:bidi="fa-IR"/>
        </w:rPr>
        <w:t>.</w:t>
      </w:r>
    </w:p>
    <w:p>
      <w:pPr>
        <w:pStyle w:val="Heading3"/>
        <w:numPr>
          <w:ilvl w:val="2"/>
          <w:numId w:val="1"/>
        </w:numPr>
        <w:rPr/>
      </w:pPr>
      <w:bookmarkStart w:id="90" w:name="__RefHeading___Toc2565062_3650668749"/>
      <w:bookmarkStart w:id="91" w:name="_Toc40"/>
      <w:bookmarkEnd w:id="90"/>
      <w:r>
        <w:rPr>
          <w:rtl w:val="true"/>
        </w:rPr>
        <w:t>[ (</w:t>
      </w:r>
      <w:r>
        <w:rPr>
          <w:rtl w:val="true"/>
        </w:rPr>
        <w:t xml:space="preserve">مسألة </w:t>
      </w:r>
      <w:r>
        <w:rPr/>
        <w:t>32</w:t>
      </w:r>
      <w:r>
        <w:rPr>
          <w:rtl w:val="true"/>
        </w:rPr>
        <w:t xml:space="preserve">): </w:t>
      </w:r>
      <w:r>
        <w:rPr>
          <w:rtl w:val="true"/>
        </w:rPr>
        <w:t>الوکیل فی عمل عن الغیر</w:t>
      </w:r>
      <w:r>
        <w:rPr>
          <w:rtl w:val="true"/>
        </w:rPr>
        <w:t>]</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الوکیل فی عمل عن الغیر کإجراء عقد أو إیقاع أو أداء خمس أو زکاة أو کفّارة أو نحوها یجب علیه أن یعمل بمقتضیٰ تقلید الموکّل لا تقلید نفسه إذا کانا مختلفین، بخلاف الوصیّ فی مثل ما لو کان وصیّاً فی استئجار الصلاة عن المیّت، فإنّه یجب أن یستأجر </w:t>
      </w:r>
      <w:r>
        <w:rPr>
          <w:rStyle w:val="FootnoteAnchor"/>
          <w:rtl w:val="true"/>
        </w:rPr>
        <w:footnoteReference w:id="22"/>
      </w:r>
      <w:r>
        <w:rPr>
          <w:rFonts w:ascii="IRNazanin" w:hAnsi="IRNazanin" w:eastAsia="IRNazanin"/>
          <w:color w:val="111111"/>
          <w:sz w:val="28"/>
          <w:sz w:val="28"/>
          <w:szCs w:val="28"/>
          <w:rtl w:val="true"/>
          <w:lang w:bidi="fa-IR"/>
        </w:rPr>
        <w:t>علیٰ وفق فتوی مجتهده لا مجتهد المیّت و کذلک الولیّ</w:t>
      </w:r>
      <w:r>
        <w:rPr>
          <w:rFonts w:eastAsia="IRNazanin" w:cs="IRNazanin"/>
          <w:color w:val="111111"/>
          <w:sz w:val="28"/>
          <w:szCs w:val="28"/>
          <w:rtl w:val="true"/>
          <w:lang w:bidi="fa-IR"/>
        </w:rPr>
        <w:t>.</w:t>
      </w:r>
    </w:p>
    <w:p>
      <w:pPr>
        <w:pStyle w:val="Heading3"/>
        <w:numPr>
          <w:ilvl w:val="2"/>
          <w:numId w:val="1"/>
        </w:numPr>
        <w:rPr/>
      </w:pPr>
      <w:bookmarkStart w:id="92" w:name="__RefHeading___Toc2565064_3650668749"/>
      <w:bookmarkStart w:id="93" w:name="_Toc41"/>
      <w:bookmarkEnd w:id="92"/>
      <w:r>
        <w:rPr>
          <w:rtl w:val="true"/>
        </w:rPr>
        <w:t>[ (</w:t>
      </w:r>
      <w:r>
        <w:rPr>
          <w:rtl w:val="true"/>
        </w:rPr>
        <w:t xml:space="preserve">مسألة </w:t>
      </w:r>
      <w:r>
        <w:rPr/>
        <w:t>33</w:t>
      </w:r>
      <w:r>
        <w:rPr>
          <w:rtl w:val="true"/>
        </w:rPr>
        <w:t xml:space="preserve">): </w:t>
      </w:r>
      <w:r>
        <w:rPr>
          <w:rtl w:val="true"/>
        </w:rPr>
        <w:t>إذا وقعت معاملة بین شخصین و کان أحدهما مقلّداً</w:t>
      </w:r>
      <w:r>
        <w:rPr>
          <w:rtl w:val="true"/>
        </w:rPr>
        <w:t>]</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معاملة بین شخصین و کان أحدهما مقلّداً لمن یقول بصحّتها و الآخر مقلّداً لمن یقول ببطلانها یجب علیٰ کلّ منهما مراعاة فتوی مجتهده، فلو وقع النزاع بینهما یترافعان عند أحد المجتهدین أو عند مجتهد آخر فیحکم بینهما علیٰ طبق فتواه و ینفذ حکمه علی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فیما إذا وقع إیقاع متعلّق بشخصین کالطلاق و العتق و نحوهما</w:t>
      </w:r>
      <w:r>
        <w:rPr>
          <w:rFonts w:eastAsia="IRNazanin" w:cs="IRNazanin"/>
          <w:color w:val="111111"/>
          <w:sz w:val="28"/>
          <w:szCs w:val="28"/>
          <w:rtl w:val="true"/>
          <w:lang w:bidi="fa-IR"/>
        </w:rPr>
        <w:t>.</w:t>
      </w:r>
    </w:p>
    <w:p>
      <w:pPr>
        <w:pStyle w:val="Heading3"/>
        <w:numPr>
          <w:ilvl w:val="2"/>
          <w:numId w:val="1"/>
        </w:numPr>
        <w:rPr/>
      </w:pPr>
      <w:bookmarkStart w:id="94" w:name="__RefHeading___Toc2565066_3650668749"/>
      <w:bookmarkStart w:id="95" w:name="_Toc42"/>
      <w:bookmarkEnd w:id="94"/>
      <w:r>
        <w:rPr>
          <w:rtl w:val="true"/>
        </w:rPr>
        <w:t>[ (</w:t>
      </w:r>
      <w:r>
        <w:rPr>
          <w:rtl w:val="true"/>
        </w:rPr>
        <w:t xml:space="preserve">مسألة </w:t>
      </w:r>
      <w:r>
        <w:rPr/>
        <w:t>34</w:t>
      </w:r>
      <w:r>
        <w:rPr>
          <w:rtl w:val="true"/>
        </w:rPr>
        <w:t xml:space="preserve">): </w:t>
      </w:r>
      <w:r>
        <w:rPr>
          <w:rtl w:val="true"/>
        </w:rPr>
        <w:t>الاحتیاط المطلق فی مقام الفتویٰ من غیر سبق فتوی علیٰ خلافه</w:t>
      </w:r>
      <w:r>
        <w:rPr>
          <w:rtl w:val="true"/>
        </w:rPr>
        <w:t>]</w:t>
      </w:r>
      <w:bookmarkEnd w:id="9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المطلق فی مقام الفتویٰ من غیر سبق فتوی علیٰ خلافه أو لحوقها کذلک لا یجوز ترکه، بل یجب إمّا العمل بالاحتیاط أو الرجوع إلی الغیر الأعلم فالأعلم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الاحتیاط فی الرسائل العملیّة مسبوقاً بالفتویٰ علیٰ خلافه کما لو قال بعد الفتویٰ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الأحوط کذا، أو ملحوقاً بالفتویٰ علیٰ خلافه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کذا و إن کان الحکم کذا أو و إن کان الأقویٰ کذا، أو کان مقروناً بما یظهر منه الاستحباب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و الأحوط کذا، جاز فی الموارد الثلاثة ترک الاحتیاط</w:t>
      </w:r>
      <w:r>
        <w:rPr>
          <w:rFonts w:eastAsia="IRNazanin" w:cs="IRNazanin"/>
          <w:color w:val="111111"/>
          <w:sz w:val="28"/>
          <w:szCs w:val="28"/>
          <w:rtl w:val="true"/>
          <w:lang w:bidi="fa-IR"/>
        </w:rPr>
        <w:t>.</w:t>
      </w:r>
      <w:bookmarkStart w:id="96" w:name="pg1809_18743"/>
    </w:p>
    <w:p>
      <w:pPr>
        <w:pStyle w:val="Heading2"/>
        <w:numPr>
          <w:ilvl w:val="1"/>
          <w:numId w:val="1"/>
        </w:numPr>
        <w:rPr/>
      </w:pPr>
      <w:bookmarkStart w:id="97" w:name="__RefHeading___Toc2565068_3650668749"/>
      <w:bookmarkStart w:id="98" w:name="_Toc43"/>
      <w:bookmarkEnd w:id="96"/>
      <w:bookmarkEnd w:id="97"/>
      <w:r>
        <w:rPr>
          <w:rtl w:val="true"/>
        </w:rPr>
        <w:t>[</w:t>
      </w:r>
      <w:r>
        <w:rPr>
          <w:rtl w:val="true"/>
        </w:rPr>
        <w:t>کتاب الطهارة</w:t>
      </w:r>
      <w:r>
        <w:rPr>
          <w:rtl w:val="true"/>
        </w:rPr>
        <w:t>]</w:t>
      </w:r>
      <w:bookmarkEnd w:id="98"/>
    </w:p>
    <w:p>
      <w:pPr>
        <w:pStyle w:val="Heading3"/>
        <w:numPr>
          <w:ilvl w:val="2"/>
          <w:numId w:val="1"/>
        </w:numPr>
        <w:rPr/>
      </w:pPr>
      <w:bookmarkStart w:id="99" w:name="__RefHeading___Toc2565070_3650668749"/>
      <w:bookmarkStart w:id="100" w:name="_Toc44"/>
      <w:bookmarkEnd w:id="99"/>
      <w:r>
        <w:rPr>
          <w:rtl w:val="true"/>
        </w:rPr>
        <w:t>[</w:t>
      </w:r>
      <w:r>
        <w:rPr>
          <w:rtl w:val="true"/>
        </w:rPr>
        <w:t>فصل فی المیاه</w:t>
      </w:r>
      <w:r>
        <w:rPr>
          <w:rtl w:val="true"/>
        </w:rPr>
        <w:t>]</w:t>
      </w:r>
      <w:bookmarkEnd w:id="100"/>
    </w:p>
    <w:p>
      <w:pPr>
        <w:pStyle w:val="Heading4"/>
        <w:numPr>
          <w:ilvl w:val="3"/>
          <w:numId w:val="1"/>
        </w:numPr>
        <w:rPr/>
      </w:pPr>
      <w:bookmarkStart w:id="101" w:name="__RefHeading___Toc2565072_3650668749"/>
      <w:bookmarkStart w:id="102" w:name="_Toc45"/>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فصل فی المیاه الماء إمّا مطلق، أو مضاف کالمعتصر من الأجسام کماء الرقّی و الرمّان و الممتزج بغیره ممّا یخرجه عن صدق اسم الماء کماء السکّر و 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المطلق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 و النابع بغیر جریان و البئر و المطر و الواقف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الراکد</w:t>
      </w:r>
      <w:r>
        <w:rPr>
          <w:rFonts w:eastAsia="IRNazanin" w:cs="IRNazanin"/>
          <w:color w:val="111111"/>
          <w:sz w:val="28"/>
          <w:szCs w:val="28"/>
          <w:rtl w:val="true"/>
          <w:lang w:bidi="fa-IR"/>
        </w:rPr>
        <w:t>.</w:t>
      </w:r>
    </w:p>
    <w:p>
      <w:pPr>
        <w:pStyle w:val="Heading4"/>
        <w:numPr>
          <w:ilvl w:val="3"/>
          <w:numId w:val="1"/>
        </w:numPr>
        <w:rPr/>
      </w:pPr>
      <w:bookmarkStart w:id="103" w:name="__RefHeading___Toc2565074_3650668749"/>
      <w:bookmarkStart w:id="104" w:name="_Toc46"/>
      <w:bookmarkEnd w:id="103"/>
      <w:r>
        <w:rPr>
          <w:rtl w:val="true"/>
        </w:rPr>
        <w:t>[ (</w:t>
      </w:r>
      <w:r>
        <w:rPr>
          <w:rtl w:val="true"/>
        </w:rPr>
        <w:t xml:space="preserve">مسألة </w:t>
      </w:r>
      <w:r>
        <w:rPr/>
        <w:t>1</w:t>
      </w:r>
      <w:r>
        <w:rPr>
          <w:rtl w:val="true"/>
        </w:rPr>
        <w:t xml:space="preserve">): </w:t>
      </w:r>
      <w:r>
        <w:rPr>
          <w:rtl w:val="true"/>
        </w:rPr>
        <w:t>الماء المضاف طاهر فی نفسه و غیر مطهّر</w:t>
      </w:r>
      <w:r>
        <w:rPr>
          <w:rtl w:val="true"/>
        </w:rPr>
        <w:t>]</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المضاف طاهر فی نفسه و غیر مطهّر لا من الحدث و لا من الخبث، و لو لاقیٰ نجساً ینجس جمیعه و إن کان ألف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جاریاً من العالی إلی السافل </w:t>
      </w:r>
      <w:r>
        <w:rPr>
          <w:rStyle w:val="FootnoteAnchor"/>
          <w:rtl w:val="true"/>
        </w:rPr>
        <w:footnoteReference w:id="23"/>
      </w:r>
      <w:r>
        <w:rPr>
          <w:rFonts w:ascii="IRNazanin" w:hAnsi="IRNazanin" w:eastAsia="IRNazanin"/>
          <w:color w:val="111111"/>
          <w:sz w:val="28"/>
          <w:sz w:val="28"/>
          <w:szCs w:val="28"/>
          <w:rtl w:val="true"/>
          <w:lang w:bidi="fa-IR"/>
        </w:rPr>
        <w:t xml:space="preserve">و لاقیٰ أسفله النجاسة تختصّ النجاسة بموضع الملاقاة </w:t>
      </w:r>
      <w:r>
        <w:rPr>
          <w:rStyle w:val="FootnoteAnchor"/>
          <w:rtl w:val="true"/>
        </w:rPr>
        <w:footnoteReference w:id="24"/>
      </w:r>
      <w:r>
        <w:rPr>
          <w:rFonts w:ascii="IRNazanin" w:hAnsi="IRNazanin" w:eastAsia="IRNazanin"/>
          <w:color w:val="111111"/>
          <w:sz w:val="28"/>
          <w:sz w:val="28"/>
          <w:szCs w:val="28"/>
          <w:rtl w:val="true"/>
          <w:lang w:bidi="fa-IR"/>
        </w:rPr>
        <w:t>و لا تسری إلی الفوق</w:t>
      </w:r>
      <w:r>
        <w:rPr>
          <w:rFonts w:eastAsia="IRNazanin" w:cs="IRNazanin"/>
          <w:color w:val="111111"/>
          <w:sz w:val="28"/>
          <w:szCs w:val="28"/>
          <w:rtl w:val="true"/>
          <w:lang w:bidi="fa-IR"/>
        </w:rPr>
        <w:t>.</w:t>
      </w:r>
    </w:p>
    <w:p>
      <w:pPr>
        <w:pStyle w:val="Heading4"/>
        <w:numPr>
          <w:ilvl w:val="3"/>
          <w:numId w:val="1"/>
        </w:numPr>
        <w:rPr/>
      </w:pPr>
      <w:bookmarkStart w:id="105" w:name="__RefHeading___Toc2565076_3650668749"/>
      <w:bookmarkStart w:id="106" w:name="_Toc47"/>
      <w:bookmarkEnd w:id="105"/>
      <w:r>
        <w:rPr>
          <w:rtl w:val="true"/>
        </w:rPr>
        <w:t>[ (</w:t>
      </w:r>
      <w:r>
        <w:rPr>
          <w:rtl w:val="true"/>
        </w:rPr>
        <w:t xml:space="preserve">مسألة </w:t>
      </w:r>
      <w:r>
        <w:rPr/>
        <w:t>2</w:t>
      </w:r>
      <w:r>
        <w:rPr>
          <w:rtl w:val="true"/>
        </w:rPr>
        <w:t xml:space="preserve">): </w:t>
      </w:r>
      <w:r>
        <w:rPr>
          <w:rtl w:val="true"/>
        </w:rPr>
        <w:t>الماء المطلق لا یخرج بالتصعید عن الإطلاق</w:t>
      </w:r>
      <w:r>
        <w:rPr>
          <w:rtl w:val="true"/>
        </w:rPr>
        <w:t>]</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المطلق لا یخرج بالتصعید عن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مزج معه غیره و صعّد یصیر مضافاً کماء الورد و نحوه، کما أنّ المضاف المصعّد یکون مضافاً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2565078_3650668749"/>
      <w:bookmarkStart w:id="108" w:name="_Toc48"/>
      <w:bookmarkEnd w:id="107"/>
      <w:r>
        <w:rPr>
          <w:rtl w:val="true"/>
        </w:rPr>
        <w:t>[ (</w:t>
      </w:r>
      <w:r>
        <w:rPr>
          <w:rtl w:val="true"/>
        </w:rPr>
        <w:t xml:space="preserve">مسألة </w:t>
      </w:r>
      <w:r>
        <w:rPr/>
        <w:t>3</w:t>
      </w:r>
      <w:r>
        <w:rPr>
          <w:rtl w:val="true"/>
        </w:rPr>
        <w:t xml:space="preserve">): </w:t>
      </w:r>
      <w:r>
        <w:rPr>
          <w:rtl w:val="true"/>
        </w:rPr>
        <w:t>إذا شکّ فی مائع أنّه مطلق أو مضاف فإن علم حالته السابقة یبنی علیها</w:t>
      </w:r>
      <w:r>
        <w:rPr>
          <w:rtl w:val="true"/>
        </w:rPr>
        <w:t>]</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مائع أنّه مطلق أو مضاف فإن علم حالته السابقة یبنی علیها </w:t>
      </w:r>
      <w:r>
        <w:rPr>
          <w:rStyle w:val="FootnoteAnchor"/>
          <w:rtl w:val="true"/>
        </w:rPr>
        <w:footnoteReference w:id="26"/>
      </w:r>
      <w:r>
        <w:rPr>
          <w:rFonts w:ascii="IRNazanin" w:hAnsi="IRNazanin" w:eastAsia="IRNazanin"/>
          <w:color w:val="111111"/>
          <w:sz w:val="28"/>
          <w:sz w:val="28"/>
          <w:szCs w:val="28"/>
          <w:rtl w:val="true"/>
          <w:lang w:bidi="fa-IR"/>
        </w:rPr>
        <w:t>و إلّا فلا یرفع حدثاً و لا خبثاً، و إذا لاقی النجاسة فإن کان قلیلًا ینجس قطعاً و إن کان کثیراً فالظاهر أنّه یحکم بطهارته</w:t>
      </w:r>
      <w:r>
        <w:rPr>
          <w:rFonts w:eastAsia="IRNazanin" w:cs="IRNazanin"/>
          <w:color w:val="111111"/>
          <w:sz w:val="28"/>
          <w:szCs w:val="28"/>
          <w:rtl w:val="true"/>
          <w:lang w:bidi="fa-IR"/>
        </w:rPr>
        <w:t>.</w:t>
      </w:r>
    </w:p>
    <w:p>
      <w:pPr>
        <w:pStyle w:val="Heading4"/>
        <w:numPr>
          <w:ilvl w:val="3"/>
          <w:numId w:val="1"/>
        </w:numPr>
        <w:rPr/>
      </w:pPr>
      <w:bookmarkStart w:id="109" w:name="__RefHeading___Toc2565080_3650668749"/>
      <w:bookmarkStart w:id="110" w:name="_Toc49"/>
      <w:bookmarkEnd w:id="109"/>
      <w:r>
        <w:rPr>
          <w:rtl w:val="true"/>
        </w:rPr>
        <w:t>[ (</w:t>
      </w:r>
      <w:r>
        <w:rPr>
          <w:rtl w:val="true"/>
        </w:rPr>
        <w:t xml:space="preserve">مسألة </w:t>
      </w:r>
      <w:r>
        <w:rPr/>
        <w:t>4</w:t>
      </w:r>
      <w:r>
        <w:rPr>
          <w:rtl w:val="true"/>
        </w:rPr>
        <w:t xml:space="preserve">): </w:t>
      </w:r>
      <w:r>
        <w:rPr>
          <w:rtl w:val="true"/>
        </w:rPr>
        <w:t>الماء المطلق بجمیع أقسامه یتنجّس فیما إذا تغیّر بسبب ملاقاة النجاسة أحد أوصافه</w:t>
      </w:r>
      <w:r>
        <w:rPr>
          <w:rtl w:val="true"/>
        </w:rPr>
        <w:t>]</w:t>
      </w:r>
      <w:bookmarkEnd w:id="11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المطلق بجمیع أقسامه یتنجّس فیما إذا تغیّر بسبب ملاقاة النجاسة أحد أوصافه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اللون و الطعم و الرائحة، و لا یتنجّس فیما إذا تغیّر بالمجاورة کما إذا کان قریباً من جیفة فصار جائفاً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وقعت الجیفة خارج الماء و وقع جزء منها فی الماء و تغیّر بسبب المجموع من الداخل و الخارج تنجّس</w:t>
      </w:r>
      <w:r>
        <w:rPr>
          <w:rFonts w:eastAsia="IRNazanin" w:cs="IRNazanin"/>
          <w:color w:val="111111"/>
          <w:sz w:val="28"/>
          <w:szCs w:val="28"/>
          <w:rtl w:val="true"/>
          <w:lang w:bidi="fa-IR"/>
        </w:rPr>
        <w:t>.</w:t>
      </w:r>
      <w:bookmarkStart w:id="111" w:name="pg1809_18745"/>
    </w:p>
    <w:p>
      <w:pPr>
        <w:pStyle w:val="Heading4"/>
        <w:numPr>
          <w:ilvl w:val="3"/>
          <w:numId w:val="1"/>
        </w:numPr>
        <w:rPr/>
      </w:pPr>
      <w:bookmarkStart w:id="112" w:name="__RefHeading___Toc2565082_3650668749"/>
      <w:bookmarkStart w:id="113" w:name="_Toc50"/>
      <w:bookmarkEnd w:id="111"/>
      <w:bookmarkEnd w:id="112"/>
      <w:r>
        <w:rPr>
          <w:rtl w:val="true"/>
        </w:rPr>
        <w:t>[ (</w:t>
      </w:r>
      <w:r>
        <w:rPr>
          <w:rtl w:val="true"/>
        </w:rPr>
        <w:t xml:space="preserve">مسألة </w:t>
      </w:r>
      <w:r>
        <w:rPr/>
        <w:t>5</w:t>
      </w:r>
      <w:r>
        <w:rPr>
          <w:rtl w:val="true"/>
        </w:rPr>
        <w:t xml:space="preserve">): </w:t>
      </w:r>
      <w:r>
        <w:rPr>
          <w:rtl w:val="true"/>
        </w:rPr>
        <w:t>المعتبر تأثّر الماء بأوصاف النجاسة لا المتنجّس</w:t>
      </w:r>
      <w:r>
        <w:rPr>
          <w:rtl w:val="true"/>
        </w:rPr>
        <w:t>]</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تأثّر الماء بأوصاف النجاسة لا المتنجّس، فإذا احمرّ الماء بالبَقَّم المتنجّس لا ینجس إذا کان الماء ممّا لا یتنجّس بمجرّد الملاقاة کالکرّ و الجاری</w:t>
      </w:r>
      <w:r>
        <w:rPr>
          <w:rFonts w:eastAsia="IRNazanin" w:cs="IRNazanin"/>
          <w:color w:val="111111"/>
          <w:sz w:val="28"/>
          <w:szCs w:val="28"/>
          <w:rtl w:val="true"/>
          <w:lang w:bidi="fa-IR"/>
        </w:rPr>
        <w:t>.</w:t>
      </w:r>
    </w:p>
    <w:p>
      <w:pPr>
        <w:pStyle w:val="Heading4"/>
        <w:numPr>
          <w:ilvl w:val="3"/>
          <w:numId w:val="1"/>
        </w:numPr>
        <w:rPr/>
      </w:pPr>
      <w:bookmarkStart w:id="114" w:name="__RefHeading___Toc2565084_3650668749"/>
      <w:bookmarkStart w:id="115" w:name="_Toc51"/>
      <w:bookmarkEnd w:id="114"/>
      <w:r>
        <w:rPr>
          <w:rtl w:val="true"/>
        </w:rPr>
        <w:t>[ (</w:t>
      </w:r>
      <w:r>
        <w:rPr>
          <w:rtl w:val="true"/>
        </w:rPr>
        <w:t xml:space="preserve">مسألة </w:t>
      </w:r>
      <w:r>
        <w:rPr/>
        <w:t>6</w:t>
      </w:r>
      <w:r>
        <w:rPr>
          <w:rtl w:val="true"/>
        </w:rPr>
        <w:t xml:space="preserve">): </w:t>
      </w:r>
      <w:r>
        <w:rPr>
          <w:rtl w:val="true"/>
        </w:rPr>
        <w:t>المناط تغیّر أحد الأوصاف الثلاثة بسبب النجاسة</w:t>
      </w:r>
      <w:r>
        <w:rPr>
          <w:rtl w:val="true"/>
        </w:rPr>
        <w:t>]</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تغیّر أحد الأوصاف الثلاثة بسبب النجاسة و إن کان من غیر سنخ وصف النجس، فلو اصفرّ الماء مثلًا بوقوع الدم فیه تنجّس</w:t>
      </w:r>
      <w:r>
        <w:rPr>
          <w:rFonts w:eastAsia="IRNazanin" w:cs="IRNazanin"/>
          <w:color w:val="111111"/>
          <w:sz w:val="28"/>
          <w:szCs w:val="28"/>
          <w:rtl w:val="true"/>
          <w:lang w:bidi="fa-IR"/>
        </w:rPr>
        <w:t>.</w:t>
      </w:r>
    </w:p>
    <w:p>
      <w:pPr>
        <w:pStyle w:val="Heading4"/>
        <w:numPr>
          <w:ilvl w:val="3"/>
          <w:numId w:val="1"/>
        </w:numPr>
        <w:rPr/>
      </w:pPr>
      <w:bookmarkStart w:id="116" w:name="__RefHeading___Toc2565086_3650668749"/>
      <w:bookmarkStart w:id="117" w:name="_Toc52"/>
      <w:bookmarkEnd w:id="116"/>
      <w:r>
        <w:rPr>
          <w:rtl w:val="true"/>
        </w:rPr>
        <w:t>[ (</w:t>
      </w:r>
      <w:r>
        <w:rPr>
          <w:rtl w:val="true"/>
        </w:rPr>
        <w:t xml:space="preserve">مسألة </w:t>
      </w:r>
      <w:r>
        <w:rPr/>
        <w:t>7</w:t>
      </w:r>
      <w:r>
        <w:rPr>
          <w:rtl w:val="true"/>
        </w:rPr>
        <w:t xml:space="preserve">): </w:t>
      </w:r>
      <w:r>
        <w:rPr>
          <w:rtl w:val="true"/>
        </w:rPr>
        <w:t>لو وقع فی الماء المعتصم متنجّس حامل لوصف النجس بوقوعه فیه فغیّره بوصف النجس تنجّس</w:t>
      </w:r>
      <w:r>
        <w:rPr>
          <w:rtl w:val="true"/>
        </w:rPr>
        <w:t>]</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وقع فی الماء المعتصم متنجّس حامل لوصف النجس بوقوعه فیه فغیّره بوصف النجس تنجّس </w:t>
      </w:r>
      <w:r>
        <w:rPr>
          <w:rStyle w:val="FootnoteAnchor"/>
          <w:rtl w:val="true"/>
        </w:rPr>
        <w:footnoteReference w:id="27"/>
      </w:r>
      <w:r>
        <w:rPr>
          <w:rFonts w:ascii="IRNazanin" w:hAnsi="IRNazanin" w:eastAsia="IRNazanin"/>
          <w:color w:val="111111"/>
          <w:sz w:val="28"/>
          <w:sz w:val="28"/>
          <w:szCs w:val="28"/>
          <w:rtl w:val="true"/>
          <w:lang w:bidi="fa-IR"/>
        </w:rPr>
        <w:t>علی الأقویٰ، کما إذا وقعت میتة فی ماء فغیّرت ریحه ثمّ أُخرجت المیتة منه و صبّ ذلک الماء فی کرّ فغیّر ریحه</w:t>
      </w:r>
      <w:r>
        <w:rPr>
          <w:rFonts w:eastAsia="IRNazanin" w:cs="IRNazanin"/>
          <w:color w:val="111111"/>
          <w:sz w:val="28"/>
          <w:szCs w:val="28"/>
          <w:rtl w:val="true"/>
          <w:lang w:bidi="fa-IR"/>
        </w:rPr>
        <w:t>.</w:t>
      </w:r>
    </w:p>
    <w:p>
      <w:pPr>
        <w:pStyle w:val="Heading4"/>
        <w:numPr>
          <w:ilvl w:val="3"/>
          <w:numId w:val="1"/>
        </w:numPr>
        <w:rPr/>
      </w:pPr>
      <w:bookmarkStart w:id="118" w:name="__RefHeading___Toc2565088_3650668749"/>
      <w:bookmarkStart w:id="119" w:name="_Toc53"/>
      <w:bookmarkEnd w:id="118"/>
      <w:r>
        <w:rPr>
          <w:rtl w:val="true"/>
        </w:rPr>
        <w:t>[ (</w:t>
      </w:r>
      <w:r>
        <w:rPr>
          <w:rtl w:val="true"/>
        </w:rPr>
        <w:t xml:space="preserve">مسألة </w:t>
      </w:r>
      <w:r>
        <w:rPr/>
        <w:t>8</w:t>
      </w:r>
      <w:r>
        <w:rPr>
          <w:rtl w:val="true"/>
        </w:rPr>
        <w:t xml:space="preserve">): </w:t>
      </w:r>
      <w:r>
        <w:rPr>
          <w:rtl w:val="true"/>
        </w:rPr>
        <w:t>الماء الجاری و هو النابع السائل لا یتنجّس بملاقاة النجس</w:t>
      </w:r>
      <w:r>
        <w:rPr>
          <w:rtl w:val="true"/>
        </w:rPr>
        <w:t>]</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الجاری و هو النابع السائل لا یتنجّس بملاقاة النجس؛ کثیراً کان أو قلیلًا، و یلحق به النابع الواقف کبعض العیون، و کذلک البئر علی الأقویٰ، فلا تتنجّس المیاه المزبورة إلّا بالتغیّر کما مرّ</w:t>
      </w:r>
      <w:r>
        <w:rPr>
          <w:rFonts w:eastAsia="IRNazanin" w:cs="IRNazanin"/>
          <w:color w:val="111111"/>
          <w:sz w:val="28"/>
          <w:szCs w:val="28"/>
          <w:rtl w:val="true"/>
          <w:lang w:bidi="fa-IR"/>
        </w:rPr>
        <w:t>.</w:t>
      </w:r>
    </w:p>
    <w:p>
      <w:pPr>
        <w:pStyle w:val="Heading4"/>
        <w:numPr>
          <w:ilvl w:val="3"/>
          <w:numId w:val="1"/>
        </w:numPr>
        <w:rPr/>
      </w:pPr>
      <w:bookmarkStart w:id="120" w:name="__RefHeading___Toc2565090_3650668749"/>
      <w:bookmarkStart w:id="121" w:name="_Toc54"/>
      <w:bookmarkEnd w:id="120"/>
      <w:r>
        <w:rPr>
          <w:rtl w:val="true"/>
        </w:rPr>
        <w:t>[ (</w:t>
      </w:r>
      <w:r>
        <w:rPr>
          <w:rtl w:val="true"/>
        </w:rPr>
        <w:t xml:space="preserve">مسألة </w:t>
      </w:r>
      <w:r>
        <w:rPr/>
        <w:t>9</w:t>
      </w:r>
      <w:r>
        <w:rPr>
          <w:rtl w:val="true"/>
        </w:rPr>
        <w:t xml:space="preserve">): </w:t>
      </w:r>
      <w:r>
        <w:rPr>
          <w:rtl w:val="true"/>
        </w:rPr>
        <w:t>الراکد المتّصل بالجاری حکمه حکم الجاری</w:t>
      </w:r>
      <w:r>
        <w:rPr>
          <w:rtl w:val="true"/>
        </w:rPr>
        <w:t>]</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الراکد المتّصل بالجاری حکمه حکم الجاری، فالغدیر المتّصل بالنهر بساقیة و نحوها کالنهر، و کذا أطراف النهر و إن کان ماؤها واقفاً</w:t>
      </w:r>
      <w:r>
        <w:rPr>
          <w:rFonts w:eastAsia="IRNazanin" w:cs="IRNazanin"/>
          <w:color w:val="111111"/>
          <w:sz w:val="28"/>
          <w:szCs w:val="28"/>
          <w:rtl w:val="true"/>
          <w:lang w:bidi="fa-IR"/>
        </w:rPr>
        <w:t>.</w:t>
      </w:r>
    </w:p>
    <w:p>
      <w:pPr>
        <w:pStyle w:val="Heading4"/>
        <w:numPr>
          <w:ilvl w:val="3"/>
          <w:numId w:val="1"/>
        </w:numPr>
        <w:rPr/>
      </w:pPr>
      <w:bookmarkStart w:id="122" w:name="__RefHeading___Toc2565092_3650668749"/>
      <w:bookmarkStart w:id="123" w:name="_Toc55"/>
      <w:bookmarkEnd w:id="122"/>
      <w:r>
        <w:rPr>
          <w:rtl w:val="true"/>
        </w:rPr>
        <w:t>[ (</w:t>
      </w:r>
      <w:r>
        <w:rPr>
          <w:rtl w:val="true"/>
        </w:rPr>
        <w:t xml:space="preserve">مسألة </w:t>
      </w:r>
      <w:r>
        <w:rPr/>
        <w:t>10</w:t>
      </w:r>
      <w:r>
        <w:rPr>
          <w:rtl w:val="true"/>
        </w:rPr>
        <w:t xml:space="preserve">): </w:t>
      </w:r>
      <w:r>
        <w:rPr>
          <w:rtl w:val="true"/>
        </w:rPr>
        <w:t>یطهر الجاری و ما فی حکمه إذا تنجّس بالتغیّر إذا زال تغیّره</w:t>
      </w:r>
      <w:r>
        <w:rPr>
          <w:rtl w:val="true"/>
        </w:rPr>
        <w:t>]</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یطهر الجاری و ما فی حکمه إذا تنجّس بالتغیّر إذا زال تغیّره </w:t>
      </w:r>
      <w:r>
        <w:rPr>
          <w:rStyle w:val="FootnoteAnchor"/>
          <w:rtl w:val="true"/>
        </w:rPr>
        <w:footnoteReference w:id="28"/>
      </w:r>
      <w:r>
        <w:rPr>
          <w:rFonts w:ascii="IRNazanin" w:hAnsi="IRNazanin" w:eastAsia="IRNazanin"/>
          <w:color w:val="111111"/>
          <w:sz w:val="28"/>
          <w:sz w:val="28"/>
          <w:szCs w:val="28"/>
          <w:rtl w:val="true"/>
          <w:lang w:bidi="fa-IR"/>
        </w:rPr>
        <w:t>و لو من قبل نفسه</w:t>
      </w:r>
      <w:r>
        <w:rPr>
          <w:rFonts w:eastAsia="IRNazanin" w:cs="IRNazanin"/>
          <w:color w:val="111111"/>
          <w:sz w:val="28"/>
          <w:szCs w:val="28"/>
          <w:rtl w:val="true"/>
          <w:lang w:bidi="fa-IR"/>
        </w:rPr>
        <w:t>.</w:t>
      </w:r>
    </w:p>
    <w:p>
      <w:pPr>
        <w:pStyle w:val="Heading4"/>
        <w:numPr>
          <w:ilvl w:val="3"/>
          <w:numId w:val="1"/>
        </w:numPr>
        <w:rPr/>
      </w:pPr>
      <w:bookmarkStart w:id="124" w:name="__RefHeading___Toc2565094_3650668749"/>
      <w:bookmarkStart w:id="125" w:name="_Toc56"/>
      <w:bookmarkEnd w:id="124"/>
      <w:r>
        <w:rPr>
          <w:rtl w:val="true"/>
        </w:rPr>
        <w:t>[ (</w:t>
      </w:r>
      <w:r>
        <w:rPr>
          <w:rtl w:val="true"/>
        </w:rPr>
        <w:t xml:space="preserve">مسألة </w:t>
      </w:r>
      <w:r>
        <w:rPr/>
        <w:t>11</w:t>
      </w:r>
      <w:r>
        <w:rPr>
          <w:rtl w:val="true"/>
        </w:rPr>
        <w:t xml:space="preserve">): </w:t>
      </w:r>
      <w:r>
        <w:rPr>
          <w:rtl w:val="true"/>
        </w:rPr>
        <w:t>الراکد بلا مادّة ینجس بملاقاة النجس إذا کان دون الکرّ</w:t>
      </w:r>
      <w:r>
        <w:rPr>
          <w:rtl w:val="true"/>
        </w:rPr>
        <w:t>]</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الراکد بلا مادّة ینجس بملاقاة النجس إذا کان دون الکرّ؛ سواءً کان وارداً علی النجاسة أو موروداً، و یطهر بالاتّصال بماء معتصم کالجاری و الکرّ و ماء المطر و لو لم یحصل </w:t>
      </w:r>
      <w:r>
        <w:rPr>
          <w:rStyle w:val="FootnoteAnchor"/>
          <w:rtl w:val="true"/>
        </w:rPr>
        <w:footnoteReference w:id="29"/>
      </w:r>
      <w:r>
        <w:rPr>
          <w:rFonts w:ascii="IRNazanin" w:hAnsi="IRNazanin" w:eastAsia="IRNazanin"/>
          <w:color w:val="111111"/>
          <w:sz w:val="28"/>
          <w:sz w:val="28"/>
          <w:szCs w:val="28"/>
          <w:rtl w:val="true"/>
          <w:lang w:bidi="fa-IR"/>
        </w:rPr>
        <w:t>الامتزاج علی الأقویٰ</w:t>
      </w:r>
      <w:r>
        <w:rPr>
          <w:rFonts w:eastAsia="IRNazanin" w:cs="IRNazanin"/>
          <w:color w:val="111111"/>
          <w:sz w:val="28"/>
          <w:szCs w:val="28"/>
          <w:rtl w:val="true"/>
          <w:lang w:bidi="fa-IR"/>
        </w:rPr>
        <w:t>.</w:t>
      </w:r>
    </w:p>
    <w:p>
      <w:pPr>
        <w:pStyle w:val="Heading4"/>
        <w:numPr>
          <w:ilvl w:val="3"/>
          <w:numId w:val="1"/>
        </w:numPr>
        <w:rPr/>
      </w:pPr>
      <w:bookmarkStart w:id="126" w:name="__RefHeading___Toc2565096_3650668749"/>
      <w:bookmarkStart w:id="127" w:name="_Toc57"/>
      <w:bookmarkEnd w:id="126"/>
      <w:r>
        <w:rPr>
          <w:rtl w:val="true"/>
        </w:rPr>
        <w:t>[ (</w:t>
      </w:r>
      <w:r>
        <w:rPr>
          <w:rtl w:val="true"/>
        </w:rPr>
        <w:t xml:space="preserve">مسألة </w:t>
      </w:r>
      <w:r>
        <w:rPr/>
        <w:t>12</w:t>
      </w:r>
      <w:r>
        <w:rPr>
          <w:rtl w:val="true"/>
        </w:rPr>
        <w:t xml:space="preserve">): </w:t>
      </w:r>
      <w:r>
        <w:rPr>
          <w:rtl w:val="true"/>
        </w:rPr>
        <w:t>إذا کان الماء قلیلًا و شکّ فی أنّ له مادّة أم لا</w:t>
      </w:r>
      <w:r>
        <w:rPr>
          <w:rtl w:val="true"/>
        </w:rPr>
        <w:t>]</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الماء قلیلًا و شکّ فی أنّ له مادّة أم لا، فإن کان فی السابق ذا مادّة و شکّ فی انقطاعها یبنی علی الحالة الأُولیٰ و إلّا یحکم بنجاسته </w:t>
      </w:r>
      <w:r>
        <w:rPr>
          <w:rStyle w:val="FootnoteAnchor"/>
          <w:rtl w:val="true"/>
        </w:rPr>
        <w:footnoteReference w:id="30"/>
      </w:r>
      <w:r>
        <w:rPr>
          <w:rFonts w:ascii="Amiri" w:hAnsi="Amiri" w:eastAsia="Amiri" w:cs="Amiri"/>
          <w:color w:val="111111"/>
          <w:sz w:val="28"/>
          <w:sz w:val="28"/>
          <w:szCs w:val="28"/>
          <w:rtl w:val="true"/>
          <w:lang w:bidi="ar-SA"/>
        </w:rPr>
        <w:t>بملاقاة النجاسة</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2565098_3650668749"/>
      <w:bookmarkStart w:id="129" w:name="_Toc58"/>
      <w:bookmarkEnd w:id="128"/>
      <w:r>
        <w:rPr>
          <w:rtl w:val="true"/>
        </w:rPr>
        <w:t>[ (</w:t>
      </w:r>
      <w:r>
        <w:rPr>
          <w:rtl w:val="true"/>
        </w:rPr>
        <w:t xml:space="preserve">مسألة </w:t>
      </w:r>
      <w:r>
        <w:rPr/>
        <w:t>13</w:t>
      </w:r>
      <w:r>
        <w:rPr>
          <w:rtl w:val="true"/>
        </w:rPr>
        <w:t xml:space="preserve">): </w:t>
      </w:r>
      <w:r>
        <w:rPr>
          <w:rtl w:val="true"/>
        </w:rPr>
        <w:t>الراکد إذا بلغ کرّاً لا ینجس بالملاقاة</w:t>
      </w:r>
      <w:r>
        <w:rPr>
          <w:rtl w:val="true"/>
        </w:rPr>
        <w:t>]</w:t>
      </w:r>
      <w:bookmarkEnd w:id="12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الراکد إذا بلغ کرّاً لا ینجس بالملاقاة و لا ینجس إلّا بالتغیّر، و إذا تغیّر بعضه فإن کان الباقی بمقدار کرّ یبقیٰ غیر المتغیّر علیٰ طهارته و یطهر المتغیّر إذا زال تغیّره</w:t>
      </w:r>
      <w:bookmarkStart w:id="130" w:name="pg1809_18747"/>
    </w:p>
    <w:p>
      <w:pPr>
        <w:pStyle w:val="BookText"/>
        <w:rPr/>
      </w:pPr>
      <w:bookmarkEnd w:id="130"/>
      <w:r>
        <w:rPr>
          <w:rFonts w:ascii="IRNazanin" w:hAnsi="IRNazanin" w:eastAsia="IRNazanin"/>
          <w:color w:val="111111"/>
          <w:sz w:val="28"/>
          <w:sz w:val="28"/>
          <w:szCs w:val="28"/>
          <w:rtl w:val="true"/>
          <w:lang w:bidi="fa-IR"/>
        </w:rPr>
        <w:t xml:space="preserve">لأجل اتّصاله بالباقی الذی یکون کرّاً و لا یحتاج </w:t>
      </w:r>
      <w:r>
        <w:rPr>
          <w:rStyle w:val="FootnoteAnchor"/>
          <w:rtl w:val="true"/>
        </w:rPr>
        <w:footnoteReference w:id="31"/>
      </w:r>
      <w:r>
        <w:rPr>
          <w:rFonts w:ascii="IRNazanin" w:hAnsi="IRNazanin" w:eastAsia="IRNazanin"/>
          <w:color w:val="111111"/>
          <w:sz w:val="28"/>
          <w:sz w:val="28"/>
          <w:szCs w:val="28"/>
          <w:rtl w:val="true"/>
          <w:lang w:bidi="fa-IR"/>
        </w:rPr>
        <w:t>إلی الامتزاج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الباقی دون الکرّ ینجس الجمیع؛ المقدار المتغیّر بالتغیّر و الباقی بالملاقاة</w:t>
      </w:r>
      <w:r>
        <w:rPr>
          <w:rFonts w:eastAsia="IRNazanin" w:cs="IRNazanin"/>
          <w:color w:val="111111"/>
          <w:sz w:val="28"/>
          <w:szCs w:val="28"/>
          <w:rtl w:val="true"/>
          <w:lang w:bidi="fa-IR"/>
        </w:rPr>
        <w:t>.</w:t>
      </w:r>
    </w:p>
    <w:p>
      <w:pPr>
        <w:pStyle w:val="Heading4"/>
        <w:numPr>
          <w:ilvl w:val="3"/>
          <w:numId w:val="1"/>
        </w:numPr>
        <w:rPr/>
      </w:pPr>
      <w:bookmarkStart w:id="131" w:name="__RefHeading___Toc2565100_3650668749"/>
      <w:bookmarkStart w:id="132" w:name="_Toc59"/>
      <w:bookmarkEnd w:id="131"/>
      <w:r>
        <w:rPr>
          <w:rtl w:val="true"/>
        </w:rPr>
        <w:t>[ (</w:t>
      </w:r>
      <w:r>
        <w:rPr>
          <w:rtl w:val="true"/>
        </w:rPr>
        <w:t xml:space="preserve">مسألة </w:t>
      </w:r>
      <w:r>
        <w:rPr/>
        <w:t>14</w:t>
      </w:r>
      <w:r>
        <w:rPr>
          <w:rtl w:val="true"/>
        </w:rPr>
        <w:t xml:space="preserve">): </w:t>
      </w:r>
      <w:r>
        <w:rPr>
          <w:rtl w:val="true"/>
        </w:rPr>
        <w:t>الکرّ له تقدیران</w:t>
      </w:r>
      <w:r>
        <w:rPr>
          <w:rtl w:val="true"/>
        </w:rPr>
        <w:t xml:space="preserve">: </w:t>
      </w:r>
      <w:r>
        <w:rPr>
          <w:rtl w:val="true"/>
        </w:rPr>
        <w:t>أحدهما بحسب الوزن و الآخر بحسب المساحة</w:t>
      </w:r>
      <w:r>
        <w:rPr>
          <w:rtl w:val="true"/>
        </w:rPr>
        <w:t>]</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 له تقدیران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بحسب الوزن و الآخر بحسب المساحة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بحسب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ألف و مائتا رطل بالعراقی و هو بحسب حقّة کربلاء و النجف المشرّفتین التی هی عبارة عن تسعمائة و ثلاثة و ثلاثین مثقالًا و ثُلث مثقال خمس و ثمانون حقّة و ربع و نصف ربع بقّالی و مثقالان و نصف مثقال صیرفی، و بحسب حقّة اسلامبول و هی مائتان و ثمانون مثقالًا مائتا حقّة و اثنتان و تسعون حقّة و نصف حقّة، و بحسب المنّ الشاهی و هو ألف و مائتان و ثمانون مثقالًا یصیر أربعة و ستّین منّاً إلّا عشرین مثقالًا، و بحسب المنّ التبریزی یصیر مائة و ثمانیة و عشرین منّاً إلّا عشرین مثقالًا، و بحسب منّ البمبئی و هو أربعون سیراً و کلّ سیر سبعون مثقالًا یصیر تسعة و عشرین منّاً و ربع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المساحة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بلغ مکسّرة أعنی حاصل ضرب أبعاده الثلاثة بعضها فی بعض ستّة و ثلاثین شبراً علی الأحوط و إن کان الأقویٰ </w:t>
      </w:r>
      <w:r>
        <w:rPr>
          <w:rStyle w:val="FootnoteAnchor"/>
          <w:rtl w:val="true"/>
        </w:rPr>
        <w:footnoteReference w:id="32"/>
      </w:r>
      <w:r>
        <w:rPr>
          <w:rFonts w:ascii="IRNazanin" w:hAnsi="IRNazanin" w:eastAsia="IRNazanin"/>
          <w:color w:val="111111"/>
          <w:sz w:val="28"/>
          <w:sz w:val="28"/>
          <w:szCs w:val="28"/>
          <w:rtl w:val="true"/>
          <w:lang w:bidi="fa-IR"/>
        </w:rPr>
        <w:t>کفایة بلوغه سبعة و عشرین</w:t>
      </w:r>
      <w:r>
        <w:rPr>
          <w:rFonts w:eastAsia="IRNazanin" w:cs="IRNazanin"/>
          <w:color w:val="111111"/>
          <w:sz w:val="28"/>
          <w:szCs w:val="28"/>
          <w:rtl w:val="true"/>
          <w:lang w:bidi="fa-IR"/>
        </w:rPr>
        <w:t>.</w:t>
      </w:r>
    </w:p>
    <w:p>
      <w:pPr>
        <w:pStyle w:val="Heading4"/>
        <w:numPr>
          <w:ilvl w:val="3"/>
          <w:numId w:val="1"/>
        </w:numPr>
        <w:rPr/>
      </w:pPr>
      <w:bookmarkStart w:id="133" w:name="__RefHeading___Toc2565102_3650668749"/>
      <w:bookmarkStart w:id="134" w:name="_Toc60"/>
      <w:bookmarkEnd w:id="133"/>
      <w:r>
        <w:rPr>
          <w:rtl w:val="true"/>
        </w:rPr>
        <w:t>[ (</w:t>
      </w:r>
      <w:r>
        <w:rPr>
          <w:rtl w:val="true"/>
        </w:rPr>
        <w:t xml:space="preserve">مسألة </w:t>
      </w:r>
      <w:r>
        <w:rPr/>
        <w:t>15</w:t>
      </w:r>
      <w:r>
        <w:rPr>
          <w:rtl w:val="true"/>
        </w:rPr>
        <w:t xml:space="preserve">): </w:t>
      </w:r>
      <w:r>
        <w:rPr>
          <w:rtl w:val="true"/>
        </w:rPr>
        <w:t>الماء المشکوک الکرّیة إن علم حالته السابقة یبنیٰ علیٰ تلک الحالة</w:t>
      </w:r>
      <w:r>
        <w:rPr>
          <w:rtl w:val="true"/>
        </w:rPr>
        <w:t>]</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المشکوک الکرّیة إن علم حالته السابقة یبنیٰ علیٰ تلک الحالة و إلّا فالأقویٰ عدم تنجّسه بالملاقاة و إن لم یجرِ علیه باقی أحکام الکرّ</w:t>
      </w:r>
      <w:r>
        <w:rPr>
          <w:rFonts w:eastAsia="IRNazanin" w:cs="IRNazanin"/>
          <w:color w:val="111111"/>
          <w:sz w:val="28"/>
          <w:szCs w:val="28"/>
          <w:rtl w:val="true"/>
          <w:lang w:bidi="fa-IR"/>
        </w:rPr>
        <w:t>.</w:t>
      </w:r>
    </w:p>
    <w:p>
      <w:pPr>
        <w:pStyle w:val="Heading4"/>
        <w:numPr>
          <w:ilvl w:val="3"/>
          <w:numId w:val="1"/>
        </w:numPr>
        <w:rPr/>
      </w:pPr>
      <w:bookmarkStart w:id="135" w:name="__RefHeading___Toc2565104_3650668749"/>
      <w:bookmarkStart w:id="136" w:name="_Toc61"/>
      <w:bookmarkEnd w:id="135"/>
      <w:r>
        <w:rPr>
          <w:rtl w:val="true"/>
        </w:rPr>
        <w:t>[ (</w:t>
      </w:r>
      <w:r>
        <w:rPr>
          <w:rtl w:val="true"/>
        </w:rPr>
        <w:t xml:space="preserve">مسألة </w:t>
      </w:r>
      <w:r>
        <w:rPr/>
        <w:t>16</w:t>
      </w:r>
      <w:r>
        <w:rPr>
          <w:rtl w:val="true"/>
        </w:rPr>
        <w:t xml:space="preserve">): </w:t>
      </w:r>
      <w:r>
        <w:rPr>
          <w:rtl w:val="true"/>
        </w:rPr>
        <w:t>إذا کان الماء قلیلًا فصار کرّاً و قد علم ملاقاته للنجاسة</w:t>
      </w:r>
      <w:r>
        <w:rPr>
          <w:rtl w:val="true"/>
        </w:rPr>
        <w:t>]</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قلیلًا فصار کرّاً و قد علم ملاقاته للنجاسة و لم یعلم سبق الملاقاة علی الکرّیة أو العکس یحکم بطهارته، إلّا إذا علم تاریخ الملاقاة دون الکرّیة، و أمّا إذا کان الماء کرّاً فصار قلیلًا و قد علم ملاقاته للنجاسة و لم یعلم سبق الملاقاة علی القلّة أو العکس فالظاهر الحکم بطهارته مطلقاً حتّی فیما إذا علم تاریخ القلّة</w:t>
      </w:r>
      <w:r>
        <w:rPr>
          <w:rFonts w:eastAsia="IRNazanin" w:cs="IRNazanin"/>
          <w:color w:val="111111"/>
          <w:sz w:val="28"/>
          <w:szCs w:val="28"/>
          <w:rtl w:val="true"/>
          <w:lang w:bidi="fa-IR"/>
        </w:rPr>
        <w:t>.</w:t>
      </w:r>
    </w:p>
    <w:p>
      <w:pPr>
        <w:pStyle w:val="Heading4"/>
        <w:numPr>
          <w:ilvl w:val="3"/>
          <w:numId w:val="1"/>
        </w:numPr>
        <w:rPr/>
      </w:pPr>
      <w:bookmarkStart w:id="137" w:name="__RefHeading___Toc2565106_3650668749"/>
      <w:bookmarkStart w:id="138" w:name="_Toc62"/>
      <w:bookmarkEnd w:id="137"/>
      <w:r>
        <w:rPr>
          <w:rtl w:val="true"/>
        </w:rPr>
        <w:t>[ (</w:t>
      </w:r>
      <w:r>
        <w:rPr>
          <w:rtl w:val="true"/>
        </w:rPr>
        <w:t xml:space="preserve">مسألة </w:t>
      </w:r>
      <w:r>
        <w:rPr/>
        <w:t>17</w:t>
      </w:r>
      <w:r>
        <w:rPr>
          <w:rtl w:val="true"/>
        </w:rPr>
        <w:t xml:space="preserve">): </w:t>
      </w:r>
      <w:r>
        <w:rPr>
          <w:rtl w:val="true"/>
        </w:rPr>
        <w:t>ماء المطر حال نزوله من السماء کالجاری فلا ینجس ما لم یتغیّر</w:t>
      </w:r>
      <w:r>
        <w:rPr>
          <w:rtl w:val="true"/>
        </w:rPr>
        <w:t>]</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المطر حال نزوله من السماء کالجاری فلا ینجس ما لم یتغیّر، و الأحوط اعتبار کونه بمقدار یجری علی الأرض الصلبة و إن کان کفایة صدق المطر علیه لا یخلو من قوّة</w:t>
      </w:r>
      <w:r>
        <w:rPr>
          <w:rFonts w:eastAsia="IRNazanin" w:cs="IRNazanin"/>
          <w:color w:val="111111"/>
          <w:sz w:val="28"/>
          <w:szCs w:val="28"/>
          <w:rtl w:val="true"/>
          <w:lang w:bidi="fa-IR"/>
        </w:rPr>
        <w:t>.</w:t>
      </w:r>
    </w:p>
    <w:p>
      <w:pPr>
        <w:pStyle w:val="Heading4"/>
        <w:numPr>
          <w:ilvl w:val="3"/>
          <w:numId w:val="1"/>
        </w:numPr>
        <w:rPr/>
      </w:pPr>
      <w:bookmarkStart w:id="139" w:name="__RefHeading___Toc2565108_3650668749"/>
      <w:bookmarkStart w:id="140" w:name="_Toc63"/>
      <w:bookmarkEnd w:id="139"/>
      <w:r>
        <w:rPr>
          <w:rtl w:val="true"/>
        </w:rPr>
        <w:t>[ (</w:t>
      </w:r>
      <w:r>
        <w:rPr>
          <w:rtl w:val="true"/>
        </w:rPr>
        <w:t xml:space="preserve">مسألة </w:t>
      </w:r>
      <w:r>
        <w:rPr/>
        <w:t>18</w:t>
      </w:r>
      <w:r>
        <w:rPr>
          <w:rtl w:val="true"/>
        </w:rPr>
        <w:t xml:space="preserve">): </w:t>
      </w:r>
      <w:r>
        <w:rPr>
          <w:rtl w:val="true"/>
        </w:rPr>
        <w:t>المراد بماء المطر الذی لا یتنجّس إلّا بالتغیّر</w:t>
      </w:r>
      <w:r>
        <w:rPr>
          <w:rtl w:val="true"/>
        </w:rPr>
        <w:t>]</w:t>
      </w:r>
      <w:bookmarkEnd w:id="14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بماء المطر الذی لا یتنجّس إلّا بالتغیّر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القطرات النازلة و المجتمع</w:t>
      </w:r>
      <w:bookmarkStart w:id="141" w:name="pg1809_18749"/>
    </w:p>
    <w:p>
      <w:pPr>
        <w:pStyle w:val="BookText"/>
        <w:rPr/>
      </w:pPr>
      <w:bookmarkEnd w:id="141"/>
      <w:r>
        <w:rPr>
          <w:rFonts w:ascii="IRNazanin" w:hAnsi="IRNazanin" w:eastAsia="IRNazanin"/>
          <w:color w:val="111111"/>
          <w:sz w:val="28"/>
          <w:sz w:val="28"/>
          <w:szCs w:val="28"/>
          <w:rtl w:val="true"/>
          <w:lang w:bidi="fa-IR"/>
        </w:rPr>
        <w:t>منها تحت المطر حال تقاطره علیه و کذا المجتمع المتّصل بما یتقاطر علیه المطر، فالماء الجاری من المیزاب تحت سقف حال عدم انقطاع المطر کالماء المجتمع فوق السطح المتقاطر علیه المطر</w:t>
      </w:r>
      <w:r>
        <w:rPr>
          <w:rFonts w:eastAsia="IRNazanin" w:cs="IRNazanin"/>
          <w:color w:val="111111"/>
          <w:sz w:val="28"/>
          <w:szCs w:val="28"/>
          <w:rtl w:val="true"/>
          <w:lang w:bidi="fa-IR"/>
        </w:rPr>
        <w:t>.</w:t>
      </w:r>
    </w:p>
    <w:p>
      <w:pPr>
        <w:pStyle w:val="Heading4"/>
        <w:numPr>
          <w:ilvl w:val="3"/>
          <w:numId w:val="1"/>
        </w:numPr>
        <w:rPr/>
      </w:pPr>
      <w:bookmarkStart w:id="142" w:name="__RefHeading___Toc2565110_3650668749"/>
      <w:bookmarkStart w:id="143" w:name="_Toc64"/>
      <w:bookmarkEnd w:id="142"/>
      <w:r>
        <w:rPr>
          <w:rtl w:val="true"/>
        </w:rPr>
        <w:t>[ (</w:t>
      </w:r>
      <w:r>
        <w:rPr>
          <w:rtl w:val="true"/>
        </w:rPr>
        <w:t xml:space="preserve">مسألة </w:t>
      </w:r>
      <w:r>
        <w:rPr/>
        <w:t>19</w:t>
      </w:r>
      <w:r>
        <w:rPr>
          <w:rtl w:val="true"/>
        </w:rPr>
        <w:t xml:space="preserve">): </w:t>
      </w:r>
      <w:r>
        <w:rPr>
          <w:rtl w:val="true"/>
        </w:rPr>
        <w:t>یُطهّر المطر کلّما أصابه من المتنجّسات القابلة للتطهیر</w:t>
      </w:r>
      <w:r>
        <w:rPr>
          <w:rtl w:val="true"/>
        </w:rPr>
        <w:t>]</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یُطهّر المطر کلّما أصابه من المتنجّسات القابلة للتطهیر؛ من الماء و الأرض و الفرش و الأوانی، و لا یحتاج فی الأوّل </w:t>
      </w:r>
      <w:r>
        <w:rPr>
          <w:rStyle w:val="FootnoteAnchor"/>
          <w:rtl w:val="true"/>
        </w:rPr>
        <w:footnoteReference w:id="33"/>
      </w:r>
      <w:r>
        <w:rPr>
          <w:rFonts w:ascii="IRNazanin" w:hAnsi="IRNazanin" w:eastAsia="IRNazanin"/>
          <w:color w:val="111111"/>
          <w:sz w:val="28"/>
          <w:sz w:val="28"/>
          <w:szCs w:val="28"/>
          <w:rtl w:val="true"/>
          <w:lang w:bidi="fa-IR"/>
        </w:rPr>
        <w:t>إلی الامتزاج علی الأقویٰ، کما أنّه لا یحتاج فی الفرش إلی العصر و التعدّد، بل لا یحتاج فی الأوانی أیضاً إلی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متنجّساً بولوغ الکلب یشکل طهارته بدون التعفیر، فالأحوط </w:t>
      </w:r>
      <w:r>
        <w:rPr>
          <w:rStyle w:val="FootnoteAnchor"/>
          <w:rtl w:val="true"/>
        </w:rPr>
        <w:footnoteReference w:id="34"/>
      </w:r>
      <w:r>
        <w:rPr>
          <w:rFonts w:ascii="IRNazanin" w:hAnsi="IRNazanin" w:eastAsia="IRNazanin"/>
          <w:color w:val="111111"/>
          <w:sz w:val="28"/>
          <w:sz w:val="28"/>
          <w:szCs w:val="28"/>
          <w:rtl w:val="true"/>
          <w:lang w:bidi="fa-IR"/>
        </w:rPr>
        <w:t>أن یعفّر أوّلًا ثمّ یوضع تحت المطر، فإذا نزل علیه یطهر من دون حاجة إلی التعدّد</w:t>
      </w:r>
      <w:r>
        <w:rPr>
          <w:rFonts w:eastAsia="IRNazanin" w:cs="IRNazanin"/>
          <w:color w:val="111111"/>
          <w:sz w:val="28"/>
          <w:szCs w:val="28"/>
          <w:rtl w:val="true"/>
          <w:lang w:bidi="fa-IR"/>
        </w:rPr>
        <w:t>.</w:t>
      </w:r>
    </w:p>
    <w:p>
      <w:pPr>
        <w:pStyle w:val="Heading4"/>
        <w:numPr>
          <w:ilvl w:val="3"/>
          <w:numId w:val="1"/>
        </w:numPr>
        <w:rPr/>
      </w:pPr>
      <w:bookmarkStart w:id="144" w:name="__RefHeading___Toc2565112_3650668749"/>
      <w:bookmarkStart w:id="145" w:name="_Toc65"/>
      <w:bookmarkEnd w:id="144"/>
      <w:r>
        <w:rPr>
          <w:rtl w:val="true"/>
        </w:rPr>
        <w:t>[ (</w:t>
      </w:r>
      <w:r>
        <w:rPr>
          <w:rtl w:val="true"/>
        </w:rPr>
        <w:t xml:space="preserve">مسألة </w:t>
      </w:r>
      <w:r>
        <w:rPr/>
        <w:t>20</w:t>
      </w:r>
      <w:r>
        <w:rPr>
          <w:rtl w:val="true"/>
        </w:rPr>
        <w:t xml:space="preserve">): </w:t>
      </w:r>
      <w:r>
        <w:rPr>
          <w:rtl w:val="true"/>
        </w:rPr>
        <w:t>الفراش النجس إذا وصل إلیٰ جمیعه المطر و نفذ فی جمیعه یطهر جمیعه</w:t>
      </w:r>
      <w:r>
        <w:rPr>
          <w:rtl w:val="true"/>
        </w:rPr>
        <w:t>]</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الفراش النجس إذا وصل إلیٰ جمیعه المطر و نفذ فی جمیعه یطهر جمیعه ظاهراً و باطناً، و إذا أصاب بعضه یطهر ذلک البعض، و إذا أصاب ظاهره و لم ینفذ فیه یطهر ظاهره فقط</w:t>
      </w:r>
      <w:r>
        <w:rPr>
          <w:rFonts w:eastAsia="IRNazanin" w:cs="IRNazanin"/>
          <w:color w:val="111111"/>
          <w:sz w:val="28"/>
          <w:szCs w:val="28"/>
          <w:rtl w:val="true"/>
          <w:lang w:bidi="fa-IR"/>
        </w:rPr>
        <w:t>.</w:t>
      </w:r>
    </w:p>
    <w:p>
      <w:pPr>
        <w:pStyle w:val="Heading4"/>
        <w:numPr>
          <w:ilvl w:val="3"/>
          <w:numId w:val="1"/>
        </w:numPr>
        <w:rPr/>
      </w:pPr>
      <w:bookmarkStart w:id="146" w:name="__RefHeading___Toc2565114_3650668749"/>
      <w:bookmarkStart w:id="147" w:name="_Toc66"/>
      <w:bookmarkEnd w:id="146"/>
      <w:r>
        <w:rPr>
          <w:rtl w:val="true"/>
        </w:rPr>
        <w:t>[ (</w:t>
      </w:r>
      <w:r>
        <w:rPr>
          <w:rtl w:val="true"/>
        </w:rPr>
        <w:t xml:space="preserve">مسألة </w:t>
      </w:r>
      <w:r>
        <w:rPr/>
        <w:t>21</w:t>
      </w:r>
      <w:r>
        <w:rPr>
          <w:rtl w:val="true"/>
        </w:rPr>
        <w:t xml:space="preserve">): </w:t>
      </w:r>
      <w:r>
        <w:rPr>
          <w:rtl w:val="true"/>
        </w:rPr>
        <w:t>إذا کان السطح نجساً فنفذ فیه الماء و تقاطر حال نزول المطر یکون طاهراً</w:t>
      </w:r>
      <w:r>
        <w:rPr>
          <w:rtl w:val="true"/>
        </w:rPr>
        <w:t>]</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السطح نجساً فنفذ فیه الماء و تقاطر حال نزول المطر یکون طاهراً و إن کان عین النجس موجوداً علی السطح و کان الماء المتقاطر مارّاً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المتقاطر بعد انقطاع المطر إذا احتمل کونه من الماء المحتبس فی أعماق السقف أو کونه غیر مارّ علیٰ عین النجس </w:t>
      </w:r>
      <w:r>
        <w:rPr>
          <w:rStyle w:val="FootnoteAnchor"/>
          <w:rtl w:val="true"/>
        </w:rPr>
        <w:footnoteReference w:id="35"/>
      </w:r>
      <w:r>
        <w:rPr>
          <w:rFonts w:ascii="IRNazanin" w:hAnsi="IRNazanin" w:eastAsia="IRNazanin"/>
          <w:color w:val="111111"/>
          <w:sz w:val="28"/>
          <w:sz w:val="28"/>
          <w:szCs w:val="28"/>
          <w:rtl w:val="true"/>
          <w:lang w:bidi="fa-IR"/>
        </w:rPr>
        <w:t>بعد انقطاع المطر، نعم إذا علم أنّه من الماء المارّ علیٰ عین النجس بعد انقطاع المطر یکون نجساً</w:t>
      </w:r>
      <w:r>
        <w:rPr>
          <w:rFonts w:eastAsia="IRNazanin" w:cs="IRNazanin"/>
          <w:color w:val="111111"/>
          <w:sz w:val="28"/>
          <w:szCs w:val="28"/>
          <w:rtl w:val="true"/>
          <w:lang w:bidi="fa-IR"/>
        </w:rPr>
        <w:t>.</w:t>
      </w:r>
    </w:p>
    <w:p>
      <w:pPr>
        <w:pStyle w:val="Heading4"/>
        <w:numPr>
          <w:ilvl w:val="3"/>
          <w:numId w:val="1"/>
        </w:numPr>
        <w:rPr/>
      </w:pPr>
      <w:bookmarkStart w:id="148" w:name="__RefHeading___Toc2565116_3650668749"/>
      <w:bookmarkStart w:id="149" w:name="_Toc67"/>
      <w:bookmarkEnd w:id="148"/>
      <w:r>
        <w:rPr>
          <w:rtl w:val="true"/>
        </w:rPr>
        <w:t>[ (</w:t>
      </w:r>
      <w:r>
        <w:rPr>
          <w:rtl w:val="true"/>
        </w:rPr>
        <w:t xml:space="preserve">مسألة </w:t>
      </w:r>
      <w:r>
        <w:rPr/>
        <w:t>22</w:t>
      </w:r>
      <w:r>
        <w:rPr>
          <w:rtl w:val="true"/>
        </w:rPr>
        <w:t xml:space="preserve">): </w:t>
      </w:r>
      <w:r>
        <w:rPr>
          <w:rtl w:val="true"/>
        </w:rPr>
        <w:t>الماء الراکد النجس یطهر بنزول المطر علیه</w:t>
      </w:r>
      <w:r>
        <w:rPr>
          <w:rtl w:val="true"/>
        </w:rPr>
        <w:t>]</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الراکد النجس یطهر بنزول المطر علیه و بالاتّصال بماء معتصم کالکرّ و الجاری و إن لم یحصل الامتزاج </w:t>
      </w:r>
      <w:r>
        <w:rPr>
          <w:rStyle w:val="FootnoteAnchor"/>
          <w:rtl w:val="true"/>
        </w:rPr>
        <w:footnoteReference w:id="36"/>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کیفیّة خاصّة فی الاتّصال، بل المدار علیٰ مطلقه و لو بساقیة أو ثقب بینهما، کما لا یعتبر علوّ المعتصم أو تساویه مع الماء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النجس جاریاً من الفوق علی المعتصم فالظاهر عدم کفایة هذا الاتّصال فی طهارة الفوقانی فی حال جریانه علیه</w:t>
      </w:r>
      <w:r>
        <w:rPr>
          <w:rFonts w:eastAsia="IRNazanin" w:cs="IRNazanin"/>
          <w:color w:val="111111"/>
          <w:sz w:val="28"/>
          <w:szCs w:val="28"/>
          <w:rtl w:val="true"/>
          <w:lang w:bidi="fa-IR"/>
        </w:rPr>
        <w:t>.</w:t>
      </w:r>
    </w:p>
    <w:p>
      <w:pPr>
        <w:pStyle w:val="Heading4"/>
        <w:numPr>
          <w:ilvl w:val="3"/>
          <w:numId w:val="1"/>
        </w:numPr>
        <w:rPr/>
      </w:pPr>
      <w:bookmarkStart w:id="150" w:name="__RefHeading___Toc2565118_3650668749"/>
      <w:bookmarkStart w:id="151" w:name="_Toc68"/>
      <w:bookmarkEnd w:id="150"/>
      <w:r>
        <w:rPr>
          <w:rtl w:val="true"/>
        </w:rPr>
        <w:t>[ (</w:t>
      </w:r>
      <w:r>
        <w:rPr>
          <w:rtl w:val="true"/>
        </w:rPr>
        <w:t xml:space="preserve">مسألة </w:t>
      </w:r>
      <w:r>
        <w:rPr/>
        <w:t>23</w:t>
      </w:r>
      <w:r>
        <w:rPr>
          <w:rtl w:val="true"/>
        </w:rPr>
        <w:t xml:space="preserve">): </w:t>
      </w:r>
      <w:r>
        <w:rPr>
          <w:rtl w:val="true"/>
        </w:rPr>
        <w:t>الماء المستعمل فی الوضوء لا إشکال فی کونه طاهراً و مطهّراً</w:t>
      </w:r>
      <w:r>
        <w:rPr>
          <w:rtl w:val="true"/>
        </w:rPr>
        <w:t>]</w:t>
      </w:r>
      <w:bookmarkEnd w:id="15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المستعمل فی الوضوء لا إشکال فی کونه طاهراً و مطهّراً للحدث و الخبث، کما لا إشکال فی کون المستعمل فی رفع الحدث الأکبر طاهراً و مطهّراً للخبث، و فی کونه مطهّراً للحدث إشکال </w:t>
      </w:r>
      <w:r>
        <w:rPr>
          <w:rStyle w:val="FootnoteAnchor"/>
          <w:rtl w:val="true"/>
        </w:rPr>
        <w:footnoteReference w:id="37"/>
      </w:r>
      <w:r>
        <w:rPr>
          <w:rFonts w:ascii="IRNazanin" w:hAnsi="IRNazanin" w:eastAsia="IRNazanin"/>
          <w:color w:val="111111"/>
          <w:sz w:val="28"/>
          <w:sz w:val="28"/>
          <w:szCs w:val="28"/>
          <w:rtl w:val="true"/>
          <w:lang w:bidi="fa-IR"/>
        </w:rPr>
        <w:t>، فلا یترک الاحتیاط فی التجنّب عنه مع وجود غیره، و الجمع بین التطهیر به و بین التیمّم مع الانحصار به</w:t>
      </w:r>
      <w:r>
        <w:rPr>
          <w:rFonts w:eastAsia="IRNazanin" w:cs="IRNazanin"/>
          <w:color w:val="111111"/>
          <w:sz w:val="28"/>
          <w:szCs w:val="28"/>
          <w:rtl w:val="true"/>
          <w:lang w:bidi="fa-IR"/>
        </w:rPr>
        <w:t>.</w:t>
      </w:r>
      <w:bookmarkStart w:id="152" w:name="pg1809_18751"/>
    </w:p>
    <w:p>
      <w:pPr>
        <w:pStyle w:val="Heading4"/>
        <w:numPr>
          <w:ilvl w:val="3"/>
          <w:numId w:val="1"/>
        </w:numPr>
        <w:rPr/>
      </w:pPr>
      <w:bookmarkStart w:id="153" w:name="__RefHeading___Toc2565120_3650668749"/>
      <w:bookmarkStart w:id="154" w:name="_Toc69"/>
      <w:bookmarkEnd w:id="152"/>
      <w:bookmarkEnd w:id="153"/>
      <w:r>
        <w:rPr>
          <w:rtl w:val="true"/>
        </w:rPr>
        <w:t>[ (</w:t>
      </w:r>
      <w:r>
        <w:rPr>
          <w:rtl w:val="true"/>
        </w:rPr>
        <w:t xml:space="preserve">مسألة </w:t>
      </w:r>
      <w:r>
        <w:rPr/>
        <w:t>24</w:t>
      </w:r>
      <w:r>
        <w:rPr>
          <w:rtl w:val="true"/>
        </w:rPr>
        <w:t xml:space="preserve">): </w:t>
      </w:r>
      <w:r>
        <w:rPr>
          <w:rtl w:val="true"/>
        </w:rPr>
        <w:t>الماء المستعمل فی رفع الخبث المسمّی بالغسالة طاهر</w:t>
      </w:r>
      <w:r>
        <w:rPr>
          <w:rtl w:val="true"/>
        </w:rPr>
        <w:t>]</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المستعمل فی رفع الخبث المسمّی بالغسالة طاهر </w:t>
      </w:r>
      <w:r>
        <w:rPr>
          <w:rStyle w:val="FootnoteAnchor"/>
          <w:rtl w:val="true"/>
        </w:rPr>
        <w:footnoteReference w:id="38"/>
      </w:r>
      <w:r>
        <w:rPr>
          <w:rFonts w:ascii="IRNazanin" w:hAnsi="IRNazanin" w:eastAsia="IRNazanin"/>
          <w:color w:val="111111"/>
          <w:sz w:val="28"/>
          <w:sz w:val="28"/>
          <w:szCs w:val="28"/>
          <w:rtl w:val="true"/>
          <w:lang w:bidi="fa-IR"/>
        </w:rPr>
        <w:t>فیما لا یحتاج إلی التعدّد و فی الغسلة الأخیرة فیما یحتاج إلیه، و فی غیره الأحوط الاجتناب</w:t>
      </w:r>
      <w:r>
        <w:rPr>
          <w:rFonts w:eastAsia="IRNazanin" w:cs="IRNazanin"/>
          <w:color w:val="111111"/>
          <w:sz w:val="28"/>
          <w:szCs w:val="28"/>
          <w:rtl w:val="true"/>
          <w:lang w:bidi="fa-IR"/>
        </w:rPr>
        <w:t>.</w:t>
      </w:r>
    </w:p>
    <w:p>
      <w:pPr>
        <w:pStyle w:val="Heading4"/>
        <w:numPr>
          <w:ilvl w:val="3"/>
          <w:numId w:val="1"/>
        </w:numPr>
        <w:rPr/>
      </w:pPr>
      <w:bookmarkStart w:id="155" w:name="__RefHeading___Toc2565122_3650668749"/>
      <w:bookmarkStart w:id="156" w:name="_Toc70"/>
      <w:bookmarkEnd w:id="155"/>
      <w:r>
        <w:rPr>
          <w:rtl w:val="true"/>
        </w:rPr>
        <w:t>[ (</w:t>
      </w:r>
      <w:r>
        <w:rPr>
          <w:rtl w:val="true"/>
        </w:rPr>
        <w:t xml:space="preserve">مسألة </w:t>
      </w:r>
      <w:r>
        <w:rPr/>
        <w:t>25</w:t>
      </w:r>
      <w:r>
        <w:rPr>
          <w:rtl w:val="true"/>
        </w:rPr>
        <w:t xml:space="preserve">): </w:t>
      </w:r>
      <w:r>
        <w:rPr>
          <w:rtl w:val="true"/>
        </w:rPr>
        <w:t>ماء الاستنجاء سواء کان من البول أو الغائط طاهر</w:t>
      </w:r>
      <w:r>
        <w:rPr>
          <w:rtl w:val="true"/>
        </w:rPr>
        <w:t>]</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الاستنجاء سواء کان من البول أو الغائط طاهر إذا لم یتغیّر أحد أوصافه الثلاثة و لم یکن فیه أجزاء متمیّزة من الغائط و لم یتعدّ فاحشاً علیٰ وجه لا یصدق معه الاستنجاء و لم یصل إلیه نجاسة من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ما إذا خرج مع البول أو الغائط نجاسة أُخری مثل الدم، نعم الدم الذی یعدّ جزءً من البول أو الغائط لا بأس به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2565124_3650668749"/>
      <w:bookmarkStart w:id="158" w:name="_Toc71"/>
      <w:bookmarkEnd w:id="157"/>
      <w:r>
        <w:rPr>
          <w:rtl w:val="true"/>
        </w:rPr>
        <w:t>[ (</w:t>
      </w:r>
      <w:r>
        <w:rPr>
          <w:rtl w:val="true"/>
        </w:rPr>
        <w:t xml:space="preserve">مسألة </w:t>
      </w:r>
      <w:r>
        <w:rPr/>
        <w:t>26</w:t>
      </w:r>
      <w:r>
        <w:rPr>
          <w:rtl w:val="true"/>
        </w:rPr>
        <w:t xml:space="preserve">): </w:t>
      </w:r>
      <w:r>
        <w:rPr>
          <w:rtl w:val="true"/>
        </w:rPr>
        <w:t>لا یشترط فی طهارة ماء الاستنجاء سبق الماء علی الید</w:t>
      </w:r>
      <w:r>
        <w:rPr>
          <w:rtl w:val="true"/>
        </w:rPr>
        <w:t>]</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طهارة ماء الاستنجاء سبق الماء علی الید و إن کان أحوط</w:t>
      </w:r>
      <w:r>
        <w:rPr>
          <w:rFonts w:eastAsia="IRNazanin" w:cs="IRNazanin"/>
          <w:color w:val="111111"/>
          <w:sz w:val="28"/>
          <w:szCs w:val="28"/>
          <w:rtl w:val="true"/>
          <w:lang w:bidi="fa-IR"/>
        </w:rPr>
        <w:t>.</w:t>
      </w:r>
    </w:p>
    <w:p>
      <w:pPr>
        <w:pStyle w:val="Heading4"/>
        <w:numPr>
          <w:ilvl w:val="3"/>
          <w:numId w:val="1"/>
        </w:numPr>
        <w:rPr/>
      </w:pPr>
      <w:bookmarkStart w:id="159" w:name="__RefHeading___Toc2565126_3650668749"/>
      <w:bookmarkStart w:id="160" w:name="_Toc72"/>
      <w:bookmarkEnd w:id="159"/>
      <w:r>
        <w:rPr>
          <w:rtl w:val="true"/>
        </w:rPr>
        <w:t>[ (</w:t>
      </w:r>
      <w:r>
        <w:rPr>
          <w:rtl w:val="true"/>
        </w:rPr>
        <w:t xml:space="preserve">مسألة </w:t>
      </w:r>
      <w:r>
        <w:rPr/>
        <w:t>27</w:t>
      </w:r>
      <w:r>
        <w:rPr>
          <w:rtl w:val="true"/>
        </w:rPr>
        <w:t xml:space="preserve">): </w:t>
      </w:r>
      <w:r>
        <w:rPr>
          <w:rtl w:val="true"/>
        </w:rPr>
        <w:t>إذا اشتبه نجس بین أطراف محصورة کإناء فی عشرة یجب الاجتناب عن الجمیع</w:t>
      </w:r>
      <w:r>
        <w:rPr>
          <w:rtl w:val="true"/>
        </w:rPr>
        <w:t>]</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اشتبه نجس بین أطراف محصورة کإناء فی عشرة یجب الاجتناب عن الجمیع، لکن إذا لاقیٰ أحد الأطراف شی‌ء لا یحکم </w:t>
      </w:r>
      <w:r>
        <w:rPr>
          <w:rStyle w:val="FootnoteAnchor"/>
          <w:rtl w:val="true"/>
        </w:rPr>
        <w:footnoteReference w:id="40"/>
      </w:r>
      <w:r>
        <w:rPr>
          <w:rFonts w:ascii="IRNazanin" w:hAnsi="IRNazanin" w:eastAsia="IRNazanin"/>
          <w:color w:val="111111"/>
          <w:sz w:val="28"/>
          <w:sz w:val="28"/>
          <w:szCs w:val="28"/>
          <w:rtl w:val="true"/>
          <w:lang w:bidi="fa-IR"/>
        </w:rPr>
        <w:t>بنجاسته إلّا إذا کانت الحالة السابقة فیها النجاسة، فالأحوط لو لم یکن الأقوی الحکم بنجاسة الملاقی</w:t>
      </w:r>
      <w:r>
        <w:rPr>
          <w:rFonts w:eastAsia="IRNazanin" w:cs="IRNazanin"/>
          <w:color w:val="111111"/>
          <w:sz w:val="28"/>
          <w:szCs w:val="28"/>
          <w:rtl w:val="true"/>
          <w:lang w:bidi="fa-IR"/>
        </w:rPr>
        <w:t>.</w:t>
      </w:r>
    </w:p>
    <w:p>
      <w:pPr>
        <w:pStyle w:val="Heading4"/>
        <w:numPr>
          <w:ilvl w:val="3"/>
          <w:numId w:val="1"/>
        </w:numPr>
        <w:rPr/>
      </w:pPr>
      <w:bookmarkStart w:id="161" w:name="__RefHeading___Toc2565128_3650668749"/>
      <w:bookmarkStart w:id="162" w:name="_Toc73"/>
      <w:bookmarkEnd w:id="161"/>
      <w:r>
        <w:rPr>
          <w:rtl w:val="true"/>
        </w:rPr>
        <w:t>[ (</w:t>
      </w:r>
      <w:r>
        <w:rPr>
          <w:rtl w:val="true"/>
        </w:rPr>
        <w:t xml:space="preserve">مسألة </w:t>
      </w:r>
      <w:r>
        <w:rPr/>
        <w:t>28</w:t>
      </w:r>
      <w:r>
        <w:rPr>
          <w:rtl w:val="true"/>
        </w:rPr>
        <w:t xml:space="preserve">): </w:t>
      </w:r>
      <w:r>
        <w:rPr>
          <w:rtl w:val="true"/>
        </w:rPr>
        <w:t>لو أُریق أحد الإناءین المشتبهین یجب الاجتناب عن الآخر</w:t>
      </w:r>
      <w:r>
        <w:rPr>
          <w:rtl w:val="true"/>
        </w:rPr>
        <w:t>]</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أُریق أحد الإناءین المشتبهین یجب الاجتناب عن الآخر</w:t>
      </w:r>
      <w:r>
        <w:rPr>
          <w:rFonts w:eastAsia="IRNazanin" w:cs="IRNazanin"/>
          <w:color w:val="111111"/>
          <w:sz w:val="28"/>
          <w:szCs w:val="28"/>
          <w:rtl w:val="true"/>
          <w:lang w:bidi="fa-IR"/>
        </w:rPr>
        <w:t>.</w:t>
      </w:r>
    </w:p>
    <w:p>
      <w:pPr>
        <w:pStyle w:val="Heading3"/>
        <w:numPr>
          <w:ilvl w:val="2"/>
          <w:numId w:val="1"/>
        </w:numPr>
        <w:rPr/>
      </w:pPr>
      <w:bookmarkStart w:id="163" w:name="__RefHeading___Toc2565130_3650668749"/>
      <w:bookmarkStart w:id="164" w:name="_Toc74"/>
      <w:bookmarkEnd w:id="163"/>
      <w:r>
        <w:rPr>
          <w:rtl w:val="true"/>
        </w:rPr>
        <w:t>[</w:t>
      </w:r>
      <w:r>
        <w:rPr>
          <w:rtl w:val="true"/>
        </w:rPr>
        <w:t>فصل فی أحکام التخلّی</w:t>
      </w:r>
      <w:r>
        <w:rPr>
          <w:rtl w:val="true"/>
        </w:rPr>
        <w:t>]</w:t>
      </w:r>
      <w:bookmarkEnd w:id="164"/>
    </w:p>
    <w:p>
      <w:pPr>
        <w:pStyle w:val="Heading4"/>
        <w:numPr>
          <w:ilvl w:val="3"/>
          <w:numId w:val="1"/>
        </w:numPr>
        <w:rPr/>
      </w:pPr>
      <w:bookmarkStart w:id="165" w:name="__RefHeading___Toc2565132_3650668749"/>
      <w:bookmarkStart w:id="166" w:name="_Toc75"/>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فصل فی أحکام التخلّی</w:t>
      </w:r>
    </w:p>
    <w:p>
      <w:pPr>
        <w:pStyle w:val="Heading4"/>
        <w:numPr>
          <w:ilvl w:val="3"/>
          <w:numId w:val="1"/>
        </w:numPr>
        <w:rPr/>
      </w:pPr>
      <w:bookmarkStart w:id="167" w:name="__RefHeading___Toc2565134_3650668749"/>
      <w:bookmarkStart w:id="168" w:name="_Toc76"/>
      <w:bookmarkEnd w:id="167"/>
      <w:r>
        <w:rPr>
          <w:rtl w:val="true"/>
        </w:rPr>
        <w:t>[ (</w:t>
      </w:r>
      <w:r>
        <w:rPr>
          <w:rtl w:val="true"/>
        </w:rPr>
        <w:t xml:space="preserve">مسألة </w:t>
      </w:r>
      <w:r>
        <w:rPr/>
        <w:t>1</w:t>
      </w:r>
      <w:r>
        <w:rPr>
          <w:rtl w:val="true"/>
        </w:rPr>
        <w:t xml:space="preserve">): </w:t>
      </w:r>
      <w:r>
        <w:rPr>
          <w:rtl w:val="true"/>
        </w:rPr>
        <w:t>یجب فی حال التخلّی کسائر الأحوال ستر العورة عن الناظر المحترم</w:t>
      </w:r>
      <w:r>
        <w:rPr>
          <w:rtl w:val="true"/>
        </w:rPr>
        <w:t>]</w:t>
      </w:r>
      <w:bookmarkEnd w:id="16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فی حال التخلّی کسائر الأحوال ستر العورة عن الناظر المحترم؛ رجلًا کان أو امرأة حتّی المجنون </w:t>
      </w:r>
      <w:r>
        <w:rPr>
          <w:rStyle w:val="FootnoteAnchor"/>
          <w:rtl w:val="true"/>
        </w:rPr>
        <w:footnoteReference w:id="41"/>
      </w:r>
      <w:r>
        <w:rPr>
          <w:rFonts w:ascii="IRNazanin" w:hAnsi="IRNazanin" w:eastAsia="IRNazanin"/>
          <w:color w:val="111111"/>
          <w:sz w:val="28"/>
          <w:sz w:val="28"/>
          <w:szCs w:val="28"/>
          <w:rtl w:val="true"/>
          <w:lang w:bidi="fa-IR"/>
        </w:rPr>
        <w:t>أو الطفل الممیّز، کما یحرم النظر إلیٰ عورة الغیر و لو کان المنظور مجنوناً أو طفلًا ممیّزاً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یجب سترها عن غیر الممیّز کما یجوز النظر إلیٰ عورته، و کذا الحال فی الزوجین و المالک و مملوکته ناظراً و منظوراً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المالکة و مملوکها فلا یجوز لکلّ منهما النظر إلیٰ عورة الآخر بل إلیٰ سائر بدنه أیضاً علی الأظهر</w:t>
      </w:r>
      <w:r>
        <w:rPr>
          <w:rFonts w:eastAsia="IRNazanin" w:cs="IRNazanin"/>
          <w:color w:val="111111"/>
          <w:sz w:val="28"/>
          <w:szCs w:val="28"/>
          <w:rtl w:val="true"/>
          <w:lang w:bidi="fa-IR"/>
        </w:rPr>
        <w:t>.</w:t>
      </w:r>
      <w:bookmarkStart w:id="169" w:name="pg1809_18753"/>
    </w:p>
    <w:p>
      <w:pPr>
        <w:pStyle w:val="BookText"/>
        <w:rPr/>
      </w:pPr>
      <w:bookmarkEnd w:id="169"/>
      <w:r>
        <w:rPr>
          <w:rFonts w:ascii="IRNazanin" w:hAnsi="IRNazanin" w:eastAsia="IRNazanin"/>
          <w:color w:val="111111"/>
          <w:sz w:val="28"/>
          <w:sz w:val="28"/>
          <w:szCs w:val="28"/>
          <w:rtl w:val="true"/>
          <w:lang w:bidi="fa-IR"/>
        </w:rPr>
        <w:t>و العورة فی المرأة هنا القبل و الدبر و فی الرجل هما مع البیضتین، و لیس منها الفخذان و لا الألیتان بل و لا العانة و لا العجان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الشعر النابت أطراف العورة الأحوط الاجتناب ناظراً و منظوراً، کما أنّه یستحبّ ستر ما بین السرّة </w:t>
      </w:r>
      <w:r>
        <w:rPr>
          <w:rStyle w:val="FootnoteAnchor"/>
          <w:rtl w:val="true"/>
        </w:rPr>
        <w:footnoteReference w:id="42"/>
      </w:r>
      <w:r>
        <w:rPr>
          <w:rFonts w:ascii="IRNazanin" w:hAnsi="IRNazanin" w:eastAsia="IRNazanin"/>
          <w:color w:val="111111"/>
          <w:sz w:val="28"/>
          <w:sz w:val="28"/>
          <w:szCs w:val="28"/>
          <w:rtl w:val="true"/>
          <w:lang w:bidi="fa-IR"/>
        </w:rPr>
        <w:t>إلی الرکبة بل إلیٰ نصف الساق</w:t>
      </w:r>
      <w:r>
        <w:rPr>
          <w:rFonts w:eastAsia="IRNazanin" w:cs="IRNazanin"/>
          <w:color w:val="111111"/>
          <w:sz w:val="28"/>
          <w:szCs w:val="28"/>
          <w:rtl w:val="true"/>
          <w:lang w:bidi="fa-IR"/>
        </w:rPr>
        <w:t>.</w:t>
      </w:r>
    </w:p>
    <w:p>
      <w:pPr>
        <w:pStyle w:val="Heading4"/>
        <w:numPr>
          <w:ilvl w:val="3"/>
          <w:numId w:val="1"/>
        </w:numPr>
        <w:rPr/>
      </w:pPr>
      <w:bookmarkStart w:id="170" w:name="__RefHeading___Toc2565136_3650668749"/>
      <w:bookmarkStart w:id="171" w:name="_Toc77"/>
      <w:bookmarkEnd w:id="170"/>
      <w:r>
        <w:rPr>
          <w:rtl w:val="true"/>
        </w:rPr>
        <w:t>[ (</w:t>
      </w:r>
      <w:r>
        <w:rPr>
          <w:rtl w:val="true"/>
        </w:rPr>
        <w:t xml:space="preserve">مسألة </w:t>
      </w:r>
      <w:r>
        <w:rPr/>
        <w:t>2</w:t>
      </w:r>
      <w:r>
        <w:rPr>
          <w:rtl w:val="true"/>
        </w:rPr>
        <w:t xml:space="preserve">): </w:t>
      </w:r>
      <w:r>
        <w:rPr>
          <w:rtl w:val="true"/>
        </w:rPr>
        <w:t>یکفی الستر بکلّ ما یستر</w:t>
      </w:r>
      <w:r>
        <w:rPr>
          <w:rtl w:val="true"/>
        </w:rPr>
        <w:t>]</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الستر بکلّ ما یستر و لو بیده أو ید زوجته مثلًا</w:t>
      </w:r>
      <w:r>
        <w:rPr>
          <w:rFonts w:eastAsia="IRNazanin" w:cs="IRNazanin"/>
          <w:color w:val="111111"/>
          <w:sz w:val="28"/>
          <w:szCs w:val="28"/>
          <w:rtl w:val="true"/>
          <w:lang w:bidi="fa-IR"/>
        </w:rPr>
        <w:t>.</w:t>
      </w:r>
    </w:p>
    <w:p>
      <w:pPr>
        <w:pStyle w:val="Heading4"/>
        <w:numPr>
          <w:ilvl w:val="3"/>
          <w:numId w:val="1"/>
        </w:numPr>
        <w:rPr/>
      </w:pPr>
      <w:bookmarkStart w:id="172" w:name="__RefHeading___Toc2565138_3650668749"/>
      <w:bookmarkStart w:id="173" w:name="_Toc78"/>
      <w:bookmarkEnd w:id="172"/>
      <w:r>
        <w:rPr>
          <w:rtl w:val="true"/>
        </w:rPr>
        <w:t>[ (</w:t>
      </w:r>
      <w:r>
        <w:rPr>
          <w:rtl w:val="true"/>
        </w:rPr>
        <w:t xml:space="preserve">مسألة </w:t>
      </w:r>
      <w:r>
        <w:rPr/>
        <w:t>3</w:t>
      </w:r>
      <w:r>
        <w:rPr>
          <w:rtl w:val="true"/>
        </w:rPr>
        <w:t xml:space="preserve">): </w:t>
      </w:r>
      <w:r>
        <w:rPr>
          <w:rtl w:val="true"/>
        </w:rPr>
        <w:t>لا یجوز النظر إلیٰ عورة الغیر من وراء الزجاج</w:t>
      </w:r>
      <w:r>
        <w:rPr>
          <w:rtl w:val="true"/>
        </w:rPr>
        <w:t>]</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النظر إلیٰ عورة الغیر من وراء الزجاج بل و لا فی المرآة و الماء الصافی</w:t>
      </w:r>
      <w:r>
        <w:rPr>
          <w:rFonts w:eastAsia="IRNazanin" w:cs="IRNazanin"/>
          <w:color w:val="111111"/>
          <w:sz w:val="28"/>
          <w:szCs w:val="28"/>
          <w:rtl w:val="true"/>
          <w:lang w:bidi="fa-IR"/>
        </w:rPr>
        <w:t>.</w:t>
      </w:r>
    </w:p>
    <w:p>
      <w:pPr>
        <w:pStyle w:val="Heading4"/>
        <w:numPr>
          <w:ilvl w:val="3"/>
          <w:numId w:val="1"/>
        </w:numPr>
        <w:rPr/>
      </w:pPr>
      <w:bookmarkStart w:id="174" w:name="__RefHeading___Toc2565140_3650668749"/>
      <w:bookmarkStart w:id="175" w:name="_Toc79"/>
      <w:bookmarkEnd w:id="174"/>
      <w:r>
        <w:rPr>
          <w:rtl w:val="true"/>
        </w:rPr>
        <w:t>[ (</w:t>
      </w:r>
      <w:r>
        <w:rPr>
          <w:rtl w:val="true"/>
        </w:rPr>
        <w:t xml:space="preserve">مسألة </w:t>
      </w:r>
      <w:r>
        <w:rPr/>
        <w:t>4</w:t>
      </w:r>
      <w:r>
        <w:rPr>
          <w:rtl w:val="true"/>
        </w:rPr>
        <w:t xml:space="preserve">): </w:t>
      </w:r>
      <w:r>
        <w:rPr>
          <w:rtl w:val="true"/>
        </w:rPr>
        <w:t>لو اضطرّ إلی النظر إلیٰ عورة الغیر</w:t>
      </w:r>
      <w:r>
        <w:rPr>
          <w:rtl w:val="true"/>
        </w:rPr>
        <w:t>]</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اضطرّ إلی النظر إلیٰ عورة الغیر کما فی مقام العلاج فالأحوط أن ینظر إلیها فی المرآة المقابل لها إن اندفع الاضطرار بذلک و إلّا فلا بأس</w:t>
      </w:r>
      <w:r>
        <w:rPr>
          <w:rFonts w:eastAsia="IRNazanin" w:cs="IRNazanin"/>
          <w:color w:val="111111"/>
          <w:sz w:val="28"/>
          <w:szCs w:val="28"/>
          <w:rtl w:val="true"/>
          <w:lang w:bidi="fa-IR"/>
        </w:rPr>
        <w:t>.</w:t>
      </w:r>
    </w:p>
    <w:p>
      <w:pPr>
        <w:pStyle w:val="Heading4"/>
        <w:numPr>
          <w:ilvl w:val="3"/>
          <w:numId w:val="1"/>
        </w:numPr>
        <w:rPr/>
      </w:pPr>
      <w:bookmarkStart w:id="176" w:name="__RefHeading___Toc2565142_3650668749"/>
      <w:bookmarkStart w:id="177" w:name="_Toc80"/>
      <w:bookmarkEnd w:id="176"/>
      <w:r>
        <w:rPr>
          <w:rtl w:val="true"/>
        </w:rPr>
        <w:t>[ (</w:t>
      </w:r>
      <w:r>
        <w:rPr>
          <w:rtl w:val="true"/>
        </w:rPr>
        <w:t xml:space="preserve">مسألة </w:t>
      </w:r>
      <w:r>
        <w:rPr/>
        <w:t>5</w:t>
      </w:r>
      <w:r>
        <w:rPr>
          <w:rtl w:val="true"/>
        </w:rPr>
        <w:t xml:space="preserve">): </w:t>
      </w:r>
      <w:r>
        <w:rPr>
          <w:rtl w:val="true"/>
        </w:rPr>
        <w:t>یحرم فی حال التخلّی استدبار القبلة و استقبالها بمقادیم بدنه</w:t>
      </w:r>
      <w:r>
        <w:rPr>
          <w:rtl w:val="true"/>
        </w:rPr>
        <w:t>]</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فی حال التخلّی استدبار القبلة و استقبالها بمقادیم بدنه و هی الصدر و البطن و الرکبتان </w:t>
      </w:r>
      <w:r>
        <w:rPr>
          <w:rStyle w:val="FootnoteAnchor"/>
          <w:rtl w:val="true"/>
        </w:rPr>
        <w:footnoteReference w:id="43"/>
      </w:r>
      <w:r>
        <w:rPr>
          <w:rFonts w:ascii="IRNazanin" w:hAnsi="IRNazanin" w:eastAsia="IRNazanin"/>
          <w:color w:val="111111"/>
          <w:sz w:val="28"/>
          <w:sz w:val="28"/>
          <w:szCs w:val="28"/>
          <w:rtl w:val="true"/>
          <w:lang w:bidi="fa-IR"/>
        </w:rPr>
        <w:t>و إن أمال العورة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ترک الاستقبال بعورته فقط و إن لم یکن مقادیم بدنه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الأقوی عدم حرمتهما فی حال الاستبراء أو الاستنجاء و إن کان الترک أحوط </w:t>
      </w:r>
      <w:r>
        <w:rPr>
          <w:rStyle w:val="FootnoteAnchor"/>
          <w:rtl w:val="true"/>
        </w:rPr>
        <w:footnoteReference w:id="44"/>
      </w:r>
      <w:r>
        <w:rPr>
          <w:rFonts w:ascii="IRNazanin" w:hAnsi="IRNazanin" w:eastAsia="IRNazanin"/>
          <w:color w:val="111111"/>
          <w:sz w:val="28"/>
          <w:sz w:val="28"/>
          <w:szCs w:val="28"/>
          <w:rtl w:val="true"/>
          <w:lang w:bidi="fa-IR"/>
        </w:rPr>
        <w:t>خصوصاً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اضطرّ إلیٰ أحدهما تخیّر و الأحوط اختیار الاستدبار، و لو دار أمره بین أحدهما و ترک الستر عن الناظر اختار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اشتبهت القبلة بین الجهات یتخیّر بینها </w:t>
      </w:r>
      <w:r>
        <w:rPr>
          <w:rStyle w:val="FootnoteAnchor"/>
          <w:rtl w:val="true"/>
        </w:rPr>
        <w:footnoteReference w:id="45"/>
      </w:r>
      <w:r>
        <w:rPr>
          <w:rFonts w:ascii="IRNazanin" w:hAnsi="IRNazanin" w:eastAsia="IRNazanin"/>
          <w:color w:val="111111"/>
          <w:sz w:val="28"/>
          <w:sz w:val="28"/>
          <w:szCs w:val="28"/>
          <w:rtl w:val="true"/>
          <w:lang w:bidi="fa-IR"/>
        </w:rPr>
        <w:t>و لا یبعد العمل بالظنّ لو کان</w:t>
      </w:r>
      <w:r>
        <w:rPr>
          <w:rFonts w:eastAsia="IRNazanin" w:cs="IRNazanin"/>
          <w:color w:val="111111"/>
          <w:sz w:val="28"/>
          <w:szCs w:val="28"/>
          <w:rtl w:val="true"/>
          <w:lang w:bidi="fa-IR"/>
        </w:rPr>
        <w:t>.</w:t>
      </w:r>
    </w:p>
    <w:p>
      <w:pPr>
        <w:pStyle w:val="Heading3"/>
        <w:numPr>
          <w:ilvl w:val="2"/>
          <w:numId w:val="1"/>
        </w:numPr>
        <w:rPr/>
      </w:pPr>
      <w:bookmarkStart w:id="178" w:name="__RefHeading___Toc2565144_3650668749"/>
      <w:bookmarkStart w:id="179" w:name="_Toc81"/>
      <w:bookmarkEnd w:id="178"/>
      <w:r>
        <w:rPr>
          <w:rtl w:val="true"/>
        </w:rPr>
        <w:t>[</w:t>
      </w:r>
      <w:r>
        <w:rPr>
          <w:rtl w:val="true"/>
        </w:rPr>
        <w:t>فصل فی الاستنجاء</w:t>
      </w:r>
      <w:r>
        <w:rPr>
          <w:rtl w:val="true"/>
        </w:rPr>
        <w:t>]</w:t>
      </w:r>
      <w:bookmarkEnd w:id="179"/>
    </w:p>
    <w:p>
      <w:pPr>
        <w:pStyle w:val="Heading4"/>
        <w:numPr>
          <w:ilvl w:val="3"/>
          <w:numId w:val="1"/>
        </w:numPr>
        <w:rPr/>
      </w:pPr>
      <w:bookmarkStart w:id="180" w:name="__RefHeading___Toc2565146_3650668749"/>
      <w:bookmarkStart w:id="181" w:name="_Toc82"/>
      <w:bookmarkEnd w:id="180"/>
      <w:r>
        <w:rPr>
          <w:rtl w:val="true"/>
        </w:rPr>
        <w:t>اشارة</w:t>
      </w:r>
      <w:bookmarkEnd w:id="181"/>
    </w:p>
    <w:p>
      <w:pPr>
        <w:pStyle w:val="BookText"/>
        <w:rPr/>
      </w:pPr>
      <w:r>
        <w:rPr>
          <w:rFonts w:ascii="IRNazanin" w:hAnsi="IRNazanin" w:eastAsia="IRNazanin"/>
          <w:color w:val="111111"/>
          <w:sz w:val="28"/>
          <w:sz w:val="28"/>
          <w:szCs w:val="28"/>
          <w:rtl w:val="true"/>
          <w:lang w:bidi="fa-IR"/>
        </w:rPr>
        <w:t>فصل فی الاستنجاء</w:t>
      </w:r>
    </w:p>
    <w:p>
      <w:pPr>
        <w:pStyle w:val="Heading4"/>
        <w:numPr>
          <w:ilvl w:val="3"/>
          <w:numId w:val="1"/>
        </w:numPr>
        <w:rPr/>
      </w:pPr>
      <w:bookmarkStart w:id="182" w:name="__RefHeading___Toc2565148_3650668749"/>
      <w:bookmarkStart w:id="183" w:name="_Toc83"/>
      <w:bookmarkEnd w:id="182"/>
      <w:r>
        <w:rPr>
          <w:rtl w:val="true"/>
        </w:rPr>
        <w:t>[ (</w:t>
      </w:r>
      <w:r>
        <w:rPr>
          <w:rtl w:val="true"/>
        </w:rPr>
        <w:t xml:space="preserve">مسألة </w:t>
      </w:r>
      <w:r>
        <w:rPr/>
        <w:t>1</w:t>
      </w:r>
      <w:r>
        <w:rPr>
          <w:rtl w:val="true"/>
        </w:rPr>
        <w:t xml:space="preserve">): </w:t>
      </w:r>
      <w:r>
        <w:rPr>
          <w:rtl w:val="true"/>
        </w:rPr>
        <w:t>یجب غسل مخرج البول بالماء مرّتین علی الأحوط</w:t>
      </w:r>
      <w:r>
        <w:rPr>
          <w:rtl w:val="true"/>
        </w:rPr>
        <w:t>]</w:t>
      </w:r>
      <w:bookmarkEnd w:id="18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غسل مخرج البول بالماء مرّتین علی الأحوط </w:t>
      </w:r>
      <w:r>
        <w:rPr>
          <w:rStyle w:val="FootnoteAnchor"/>
          <w:rtl w:val="true"/>
        </w:rPr>
        <w:footnoteReference w:id="46"/>
      </w:r>
      <w:r>
        <w:rPr>
          <w:rFonts w:ascii="IRNazanin" w:hAnsi="IRNazanin" w:eastAsia="IRNazanin"/>
          <w:color w:val="111111"/>
          <w:sz w:val="28"/>
          <w:sz w:val="28"/>
          <w:szCs w:val="28"/>
          <w:rtl w:val="true"/>
          <w:lang w:bidi="fa-IR"/>
        </w:rPr>
        <w:t>و الأفضل ثلاثاً و لا یجزی غیر الماء، و یتخیّر فی مخرج الغائط بین الغسل بالماء و المسح بشی‌ء قالع</w:t>
      </w:r>
      <w:bookmarkStart w:id="184" w:name="pg1809_18755"/>
    </w:p>
    <w:p>
      <w:pPr>
        <w:pStyle w:val="BookText"/>
        <w:rPr/>
      </w:pPr>
      <w:bookmarkEnd w:id="184"/>
      <w:r>
        <w:rPr>
          <w:rFonts w:ascii="IRNazanin" w:hAnsi="IRNazanin" w:eastAsia="IRNazanin"/>
          <w:color w:val="111111"/>
          <w:sz w:val="28"/>
          <w:sz w:val="28"/>
          <w:szCs w:val="28"/>
          <w:rtl w:val="true"/>
          <w:lang w:bidi="fa-IR"/>
        </w:rPr>
        <w:t>للنجاسة کالحجر و المدر و الخرق و غیرها و الغسل أفضل و الجمع بینهما 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یعتبر فی الغسل التعدّد بل الحدّ النقاء، و فی المسح لا بدّ من ثلاث و إن حصل النقاء </w:t>
      </w:r>
      <w:r>
        <w:rPr>
          <w:rStyle w:val="FootnoteAnchor"/>
          <w:rtl w:val="true"/>
        </w:rPr>
        <w:footnoteReference w:id="47"/>
      </w:r>
      <w:r>
        <w:rPr>
          <w:rFonts w:ascii="IRNazanin" w:hAnsi="IRNazanin" w:eastAsia="IRNazanin"/>
          <w:color w:val="111111"/>
          <w:sz w:val="28"/>
          <w:sz w:val="28"/>
          <w:szCs w:val="28"/>
          <w:rtl w:val="true"/>
          <w:lang w:bidi="fa-IR"/>
        </w:rPr>
        <w:t>بالأقلّ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یحصل النقاء بالثلاث فإلی النقاء و یجزی ذو الجهات الثلاث و إن کان الأحوط ثلاثة منفصلات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فیما یمسح به الطهارة فلا یجزی النجس و لا المتنجّس قبل تطهیره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أن لا یکون فیه رطوبة مسریة فلا یجزی الطین و الخرقة المبلولة، نعم لا تضرّ النداوة التی لا تسری</w:t>
      </w:r>
      <w:r>
        <w:rPr>
          <w:rFonts w:eastAsia="IRNazanin" w:cs="IRNazanin"/>
          <w:color w:val="111111"/>
          <w:sz w:val="28"/>
          <w:szCs w:val="28"/>
          <w:rtl w:val="true"/>
          <w:lang w:bidi="fa-IR"/>
        </w:rPr>
        <w:t>.</w:t>
      </w:r>
    </w:p>
    <w:p>
      <w:pPr>
        <w:pStyle w:val="Heading4"/>
        <w:numPr>
          <w:ilvl w:val="3"/>
          <w:numId w:val="1"/>
        </w:numPr>
        <w:rPr/>
      </w:pPr>
      <w:bookmarkStart w:id="185" w:name="__RefHeading___Toc2565150_3650668749"/>
      <w:bookmarkStart w:id="186" w:name="_Toc84"/>
      <w:bookmarkEnd w:id="185"/>
      <w:r>
        <w:rPr>
          <w:rtl w:val="true"/>
        </w:rPr>
        <w:t>[ (</w:t>
      </w:r>
      <w:r>
        <w:rPr>
          <w:rtl w:val="true"/>
        </w:rPr>
        <w:t xml:space="preserve">مسألة </w:t>
      </w:r>
      <w:r>
        <w:rPr/>
        <w:t>2</w:t>
      </w:r>
      <w:r>
        <w:rPr>
          <w:rtl w:val="true"/>
        </w:rPr>
        <w:t xml:space="preserve">): </w:t>
      </w:r>
      <w:r>
        <w:rPr>
          <w:rtl w:val="true"/>
        </w:rPr>
        <w:t>یجب فی الغسل بالماء إزالة العین و الأثر</w:t>
      </w:r>
      <w:r>
        <w:rPr>
          <w:rtl w:val="true"/>
        </w:rPr>
        <w:t>]</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الغسل بالماء إزالة العین و الأثر؛ أعنی الأجزاء الصغار التی لا تری، و فی المسح یکفی إزالة العین و لا یضرّ بقاء الأثر</w:t>
      </w:r>
      <w:r>
        <w:rPr>
          <w:rFonts w:eastAsia="IRNazanin" w:cs="IRNazanin"/>
          <w:color w:val="111111"/>
          <w:sz w:val="28"/>
          <w:szCs w:val="28"/>
          <w:rtl w:val="true"/>
          <w:lang w:bidi="fa-IR"/>
        </w:rPr>
        <w:t>.</w:t>
      </w:r>
    </w:p>
    <w:p>
      <w:pPr>
        <w:pStyle w:val="Heading4"/>
        <w:numPr>
          <w:ilvl w:val="3"/>
          <w:numId w:val="1"/>
        </w:numPr>
        <w:rPr/>
      </w:pPr>
      <w:bookmarkStart w:id="187" w:name="__RefHeading___Toc2565152_3650668749"/>
      <w:bookmarkStart w:id="188" w:name="_Toc85"/>
      <w:bookmarkEnd w:id="187"/>
      <w:r>
        <w:rPr>
          <w:rtl w:val="true"/>
        </w:rPr>
        <w:t>[ (</w:t>
      </w:r>
      <w:r>
        <w:rPr>
          <w:rtl w:val="true"/>
        </w:rPr>
        <w:t xml:space="preserve">مسألة </w:t>
      </w:r>
      <w:r>
        <w:rPr/>
        <w:t>3</w:t>
      </w:r>
      <w:r>
        <w:rPr>
          <w:rtl w:val="true"/>
        </w:rPr>
        <w:t xml:space="preserve">): </w:t>
      </w:r>
      <w:r>
        <w:rPr>
          <w:rtl w:val="true"/>
        </w:rPr>
        <w:t>إنّما یکتفیٰ بالمسح فی الغائط إذا لم یتعدّ المخرج علیٰ وجه لا یصدق علیه الاستنجاء</w:t>
      </w:r>
      <w:r>
        <w:rPr>
          <w:rtl w:val="true"/>
        </w:rPr>
        <w:t>]</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یکتفیٰ بالمسح فی الغائط إذا لم یتعدّ المخرج علیٰ وجه لا یصدق علیه الاستنجاء، و أن لا یکون فی المحلّ نجاسة من الخارج، حتّی إذا خرج مع الغائط نجاسة أُخری کالدم یتعیّن الماء</w:t>
      </w:r>
      <w:r>
        <w:rPr>
          <w:rFonts w:eastAsia="IRNazanin" w:cs="IRNazanin"/>
          <w:color w:val="111111"/>
          <w:sz w:val="28"/>
          <w:szCs w:val="28"/>
          <w:rtl w:val="true"/>
          <w:lang w:bidi="fa-IR"/>
        </w:rPr>
        <w:t>.</w:t>
      </w:r>
    </w:p>
    <w:p>
      <w:pPr>
        <w:pStyle w:val="Heading4"/>
        <w:numPr>
          <w:ilvl w:val="3"/>
          <w:numId w:val="1"/>
        </w:numPr>
        <w:rPr/>
      </w:pPr>
      <w:bookmarkStart w:id="189" w:name="__RefHeading___Toc2565154_3650668749"/>
      <w:bookmarkStart w:id="190" w:name="_Toc86"/>
      <w:bookmarkEnd w:id="189"/>
      <w:r>
        <w:rPr>
          <w:rtl w:val="true"/>
        </w:rPr>
        <w:t>[ (</w:t>
      </w:r>
      <w:r>
        <w:rPr>
          <w:rtl w:val="true"/>
        </w:rPr>
        <w:t xml:space="preserve">مسألة </w:t>
      </w:r>
      <w:r>
        <w:rPr/>
        <w:t>4</w:t>
      </w:r>
      <w:r>
        <w:rPr>
          <w:rtl w:val="true"/>
        </w:rPr>
        <w:t xml:space="preserve">): </w:t>
      </w:r>
      <w:r>
        <w:rPr>
          <w:rtl w:val="true"/>
        </w:rPr>
        <w:t>یحرم الاستنجاء بالمحترمات</w:t>
      </w:r>
      <w:r>
        <w:rPr>
          <w:rtl w:val="true"/>
        </w:rPr>
        <w:t>]</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الاستنجاء بالمحترمات، و کذا بالعظم و الروث علی الأحوط، لکن لو فعل یطهر المحلّ علی الأقویٰ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2565156_3650668749"/>
      <w:bookmarkStart w:id="192" w:name="_Toc87"/>
      <w:bookmarkEnd w:id="191"/>
      <w:r>
        <w:rPr>
          <w:rtl w:val="true"/>
        </w:rPr>
        <w:t>[ (</w:t>
      </w:r>
      <w:r>
        <w:rPr>
          <w:rtl w:val="true"/>
        </w:rPr>
        <w:t xml:space="preserve">مسألة </w:t>
      </w:r>
      <w:r>
        <w:rPr/>
        <w:t>5</w:t>
      </w:r>
      <w:r>
        <w:rPr>
          <w:rtl w:val="true"/>
        </w:rPr>
        <w:t xml:space="preserve">): </w:t>
      </w:r>
      <w:r>
        <w:rPr>
          <w:rtl w:val="true"/>
        </w:rPr>
        <w:t>لا یجب الدلک بالید فی مخرج البول و إن احتمل خروج المذی معه</w:t>
      </w:r>
      <w:r>
        <w:rPr>
          <w:rtl w:val="true"/>
        </w:rPr>
        <w:t>]</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الدلک بالید فی مخرج البول و إن احتمل خروج المذی معه، و إن کان الأحوط </w:t>
      </w:r>
      <w:r>
        <w:rPr>
          <w:rStyle w:val="FootnoteAnchor"/>
          <w:rtl w:val="true"/>
        </w:rPr>
        <w:footnoteReference w:id="49"/>
      </w:r>
      <w:r>
        <w:rPr>
          <w:rFonts w:ascii="IRNazanin" w:hAnsi="IRNazanin" w:eastAsia="IRNazanin"/>
          <w:color w:val="111111"/>
          <w:sz w:val="28"/>
          <w:sz w:val="28"/>
          <w:szCs w:val="28"/>
          <w:rtl w:val="true"/>
          <w:lang w:bidi="fa-IR"/>
        </w:rPr>
        <w:t>الدلک فی هذه الصورة</w:t>
      </w:r>
      <w:r>
        <w:rPr>
          <w:rFonts w:eastAsia="IRNazanin" w:cs="IRNazanin"/>
          <w:color w:val="111111"/>
          <w:sz w:val="28"/>
          <w:szCs w:val="28"/>
          <w:rtl w:val="true"/>
          <w:lang w:bidi="fa-IR"/>
        </w:rPr>
        <w:t>.</w:t>
      </w:r>
    </w:p>
    <w:p>
      <w:pPr>
        <w:pStyle w:val="Heading3"/>
        <w:numPr>
          <w:ilvl w:val="2"/>
          <w:numId w:val="1"/>
        </w:numPr>
        <w:rPr/>
      </w:pPr>
      <w:bookmarkStart w:id="193" w:name="__RefHeading___Toc2565158_3650668749"/>
      <w:bookmarkStart w:id="194" w:name="_Toc88"/>
      <w:bookmarkEnd w:id="193"/>
      <w:r>
        <w:rPr>
          <w:rtl w:val="true"/>
        </w:rPr>
        <w:t>[</w:t>
      </w:r>
      <w:r>
        <w:rPr>
          <w:rtl w:val="true"/>
        </w:rPr>
        <w:t>فصل فی الاستبراء</w:t>
      </w:r>
      <w:r>
        <w:rPr>
          <w:rtl w:val="true"/>
        </w:rPr>
        <w:t>]</w:t>
      </w:r>
      <w:bookmarkEnd w:id="194"/>
    </w:p>
    <w:p>
      <w:pPr>
        <w:pStyle w:val="Heading4"/>
        <w:numPr>
          <w:ilvl w:val="3"/>
          <w:numId w:val="1"/>
        </w:numPr>
        <w:rPr/>
      </w:pPr>
      <w:bookmarkStart w:id="195" w:name="__RefHeading___Toc2565160_3650668749"/>
      <w:bookmarkStart w:id="196" w:name="_Toc89"/>
      <w:bookmarkEnd w:id="195"/>
      <w:r>
        <w:rPr>
          <w:rtl w:val="true"/>
        </w:rPr>
        <w:t>اشارة</w:t>
      </w:r>
      <w:bookmarkEnd w:id="19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فی الاستبراء و کیفیّته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یمسح بقوّة ما بین المقعد و أصل الذکر ثلاثاً ثمّ یضع سبّابته مثلًا تحت الذکر و إبهامه فوقه و یمسح بقوّة إلیٰ رأسه ثلاثاً ثمّ یعصر رأسه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رأی بعد ذلک رطوبة مشتبهة لا یدری أنّها بول أو غیره یحکم بطهارتها و عدم ناقضیّتها للوضوء لو</w:t>
      </w:r>
      <w:bookmarkStart w:id="197" w:name="pg1809_18757"/>
    </w:p>
    <w:p>
      <w:pPr>
        <w:pStyle w:val="BookText"/>
        <w:rPr/>
      </w:pPr>
      <w:bookmarkEnd w:id="197"/>
      <w:r>
        <w:rPr>
          <w:rFonts w:ascii="IRNazanin" w:hAnsi="IRNazanin" w:eastAsia="IRNazanin"/>
          <w:color w:val="111111"/>
          <w:sz w:val="28"/>
          <w:sz w:val="28"/>
          <w:szCs w:val="28"/>
          <w:rtl w:val="true"/>
          <w:lang w:bidi="fa-IR"/>
        </w:rPr>
        <w:t>توضّأ قبل خروجها، بخلاف ما إذا لم یستبرئ فإنّه یحکم بنجاستها و ناقضیّتها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فائدة الاستبراء، و یلحق به فی الفائدة المزبورة علی الأقویٰ طول المدّة و کثرة الحرکة بحیث یقطع بعدم بقاء شی‌ء فی المجریٰ و أنّ البلل الخارج المشتبه نزل من الأعلی فیحکم بطهارته و عدم ناقضیّته</w:t>
      </w:r>
      <w:r>
        <w:rPr>
          <w:rFonts w:eastAsia="IRNazanin" w:cs="IRNazanin"/>
          <w:color w:val="111111"/>
          <w:sz w:val="28"/>
          <w:szCs w:val="28"/>
          <w:rtl w:val="true"/>
          <w:lang w:bidi="fa-IR"/>
        </w:rPr>
        <w:t>.</w:t>
      </w:r>
    </w:p>
    <w:p>
      <w:pPr>
        <w:pStyle w:val="Heading4"/>
        <w:numPr>
          <w:ilvl w:val="3"/>
          <w:numId w:val="1"/>
        </w:numPr>
        <w:rPr/>
      </w:pPr>
      <w:bookmarkStart w:id="198" w:name="__RefHeading___Toc2565162_3650668749"/>
      <w:bookmarkStart w:id="199" w:name="_Toc90"/>
      <w:bookmarkEnd w:id="198"/>
      <w:r>
        <w:rPr>
          <w:rtl w:val="true"/>
        </w:rPr>
        <w:t>[ (</w:t>
      </w:r>
      <w:r>
        <w:rPr>
          <w:rtl w:val="true"/>
        </w:rPr>
        <w:t xml:space="preserve">مسألة </w:t>
      </w:r>
      <w:r>
        <w:rPr/>
        <w:t>1</w:t>
      </w:r>
      <w:r>
        <w:rPr>
          <w:rtl w:val="true"/>
        </w:rPr>
        <w:t xml:space="preserve">): </w:t>
      </w:r>
      <w:r>
        <w:rPr>
          <w:rtl w:val="true"/>
        </w:rPr>
        <w:t>لا یلزم المباشرة فی الاستبراء</w:t>
      </w:r>
      <w:r>
        <w:rPr>
          <w:rtl w:val="true"/>
        </w:rPr>
        <w:t>]</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المباشرة فی الاستبراء فیکفی أن باشره غیره کزوجته أو مملوکته</w:t>
      </w:r>
      <w:r>
        <w:rPr>
          <w:rFonts w:eastAsia="IRNazanin" w:cs="IRNazanin"/>
          <w:color w:val="111111"/>
          <w:sz w:val="28"/>
          <w:szCs w:val="28"/>
          <w:rtl w:val="true"/>
          <w:lang w:bidi="fa-IR"/>
        </w:rPr>
        <w:t>.</w:t>
      </w:r>
    </w:p>
    <w:p>
      <w:pPr>
        <w:pStyle w:val="Heading4"/>
        <w:numPr>
          <w:ilvl w:val="3"/>
          <w:numId w:val="1"/>
        </w:numPr>
        <w:rPr/>
      </w:pPr>
      <w:bookmarkStart w:id="200" w:name="__RefHeading___Toc2565164_3650668749"/>
      <w:bookmarkStart w:id="201" w:name="_Toc91"/>
      <w:bookmarkEnd w:id="200"/>
      <w:r>
        <w:rPr>
          <w:rtl w:val="true"/>
        </w:rPr>
        <w:t>[ (</w:t>
      </w:r>
      <w:r>
        <w:rPr>
          <w:rtl w:val="true"/>
        </w:rPr>
        <w:t xml:space="preserve">مسألة </w:t>
      </w:r>
      <w:r>
        <w:rPr/>
        <w:t>2</w:t>
      </w:r>
      <w:r>
        <w:rPr>
          <w:rtl w:val="true"/>
        </w:rPr>
        <w:t xml:space="preserve">): </w:t>
      </w:r>
      <w:r>
        <w:rPr>
          <w:rtl w:val="true"/>
        </w:rPr>
        <w:t>إذا شکّ فی الاستبراء یبنی علیٰ عدمه</w:t>
      </w:r>
      <w:r>
        <w:rPr>
          <w:rtl w:val="true"/>
        </w:rPr>
        <w:t>]</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الاستبراء یبنی علیٰ عدمه و لو مضت مدّة و کان من عادته، نعم لو استبرأ و شکّ بعد ذلک أنّه کان علی الوجه الصحیح أم لا، بنیٰ علی الصحّة</w:t>
      </w:r>
      <w:r>
        <w:rPr>
          <w:rFonts w:eastAsia="IRNazanin" w:cs="IRNazanin"/>
          <w:color w:val="111111"/>
          <w:sz w:val="28"/>
          <w:szCs w:val="28"/>
          <w:rtl w:val="true"/>
          <w:lang w:bidi="fa-IR"/>
        </w:rPr>
        <w:t>.</w:t>
      </w:r>
    </w:p>
    <w:p>
      <w:pPr>
        <w:pStyle w:val="Heading4"/>
        <w:numPr>
          <w:ilvl w:val="3"/>
          <w:numId w:val="1"/>
        </w:numPr>
        <w:rPr/>
      </w:pPr>
      <w:bookmarkStart w:id="202" w:name="__RefHeading___Toc2565166_3650668749"/>
      <w:bookmarkStart w:id="203" w:name="_Toc92"/>
      <w:bookmarkEnd w:id="202"/>
      <w:r>
        <w:rPr>
          <w:rtl w:val="true"/>
        </w:rPr>
        <w:t>[ (</w:t>
      </w:r>
      <w:r>
        <w:rPr>
          <w:rtl w:val="true"/>
        </w:rPr>
        <w:t xml:space="preserve">مسألة </w:t>
      </w:r>
      <w:r>
        <w:rPr/>
        <w:t>3</w:t>
      </w:r>
      <w:r>
        <w:rPr>
          <w:rtl w:val="true"/>
        </w:rPr>
        <w:t xml:space="preserve">): </w:t>
      </w:r>
      <w:r>
        <w:rPr>
          <w:rtl w:val="true"/>
        </w:rPr>
        <w:t>إذا شکّ من لم یستبرئ فی خروج الرطوبة و عدمه</w:t>
      </w:r>
      <w:r>
        <w:rPr>
          <w:rtl w:val="true"/>
        </w:rPr>
        <w:t>]</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من لم یستبرئ فی خروج الرطوبة و عدمه، بنیٰ علیٰ عدمه، کما إذا رأی فی ثوبه رطوبة مشتبهة لا یدری أنّها خرجت منه أو وقعت علیه من الخارج فیحکم بطهارتها و عدم انتقاض الوضوء معها</w:t>
      </w:r>
      <w:r>
        <w:rPr>
          <w:rFonts w:eastAsia="IRNazanin" w:cs="IRNazanin"/>
          <w:color w:val="111111"/>
          <w:sz w:val="28"/>
          <w:szCs w:val="28"/>
          <w:rtl w:val="true"/>
          <w:lang w:bidi="fa-IR"/>
        </w:rPr>
        <w:t>.</w:t>
      </w:r>
    </w:p>
    <w:p>
      <w:pPr>
        <w:pStyle w:val="Heading4"/>
        <w:numPr>
          <w:ilvl w:val="3"/>
          <w:numId w:val="1"/>
        </w:numPr>
        <w:rPr/>
      </w:pPr>
      <w:bookmarkStart w:id="204" w:name="__RefHeading___Toc2565168_3650668749"/>
      <w:bookmarkStart w:id="205" w:name="_Toc93"/>
      <w:bookmarkEnd w:id="204"/>
      <w:r>
        <w:rPr>
          <w:rtl w:val="true"/>
        </w:rPr>
        <w:t>[ (</w:t>
      </w:r>
      <w:r>
        <w:rPr>
          <w:rtl w:val="true"/>
        </w:rPr>
        <w:t xml:space="preserve">مسألة </w:t>
      </w:r>
      <w:r>
        <w:rPr/>
        <w:t>4</w:t>
      </w:r>
      <w:r>
        <w:rPr>
          <w:rtl w:val="true"/>
        </w:rPr>
        <w:t xml:space="preserve">): </w:t>
      </w:r>
      <w:r>
        <w:rPr>
          <w:rtl w:val="true"/>
        </w:rPr>
        <w:t>إذا علم أنّ الخارج منه مذی و لکن شکّ فی أنّه خرج معه بول أم لا</w:t>
      </w:r>
      <w:r>
        <w:rPr>
          <w:rtl w:val="true"/>
        </w:rPr>
        <w:t>]</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الخارج منه مذی و لکن شکّ فی أنّه خرج معه بول أم لا، لا یحکم علیه بالنجاسة و لا الناقضیّة إلّا أن یصدق علیه الرطوبة المشتبهة، کأن یشکّ فی أنّ هذا الموجود هل هو بتمامه مذی أو مرکّب منه و من البول</w:t>
      </w:r>
      <w:r>
        <w:rPr>
          <w:rFonts w:eastAsia="IRNazanin" w:cs="IRNazanin"/>
          <w:color w:val="111111"/>
          <w:sz w:val="28"/>
          <w:szCs w:val="28"/>
          <w:rtl w:val="true"/>
          <w:lang w:bidi="fa-IR"/>
        </w:rPr>
        <w:t>.</w:t>
      </w:r>
    </w:p>
    <w:p>
      <w:pPr>
        <w:pStyle w:val="Heading4"/>
        <w:numPr>
          <w:ilvl w:val="3"/>
          <w:numId w:val="1"/>
        </w:numPr>
        <w:rPr/>
      </w:pPr>
      <w:bookmarkStart w:id="206" w:name="__RefHeading___Toc2565170_3650668749"/>
      <w:bookmarkStart w:id="207" w:name="_Toc94"/>
      <w:bookmarkEnd w:id="206"/>
      <w:r>
        <w:rPr>
          <w:rtl w:val="true"/>
        </w:rPr>
        <w:t>[ (</w:t>
      </w:r>
      <w:r>
        <w:rPr>
          <w:rtl w:val="true"/>
        </w:rPr>
        <w:t xml:space="preserve">مسألة </w:t>
      </w:r>
      <w:r>
        <w:rPr/>
        <w:t>5</w:t>
      </w:r>
      <w:r>
        <w:rPr>
          <w:rtl w:val="true"/>
        </w:rPr>
        <w:t xml:space="preserve">): </w:t>
      </w:r>
      <w:r>
        <w:rPr>
          <w:rtl w:val="true"/>
        </w:rPr>
        <w:t>إذا بال و توضّأ ثمّ خرجت منه رطوبة مشتبهة بین البول و المنیّ</w:t>
      </w:r>
      <w:r>
        <w:rPr>
          <w:rtl w:val="true"/>
        </w:rPr>
        <w:t>]</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بال و توضّأ ثمّ خرجت منه رطوبة مشتبهة بین البول و المنیّ، فإن استبرأ بعد البول یجب علیه الاحتیاط بالجمع بین الوضوء و الغسل و إن لم یستبرئ فکذلک </w:t>
      </w:r>
      <w:r>
        <w:rPr>
          <w:rStyle w:val="FootnoteAnchor"/>
          <w:rtl w:val="true"/>
        </w:rPr>
        <w:footnoteReference w:id="51"/>
      </w:r>
      <w:r>
        <w:rPr>
          <w:rFonts w:ascii="IRNazanin" w:hAnsi="IRNazanin" w:eastAsia="IRNazanin"/>
          <w:color w:val="111111"/>
          <w:sz w:val="28"/>
          <w:sz w:val="28"/>
          <w:szCs w:val="28"/>
          <w:rtl w:val="true"/>
          <w:lang w:bidi="fa-IR"/>
        </w:rPr>
        <w:t>فی وجه 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خرجت الرطوبة المشتبهة قبل أن یتوضّأ یکتفی بالوضوء خاصّة و لا یجب علیه الغسل؛ سواء استبرأ بعد البول أم لم یستبرئ</w:t>
      </w:r>
      <w:r>
        <w:rPr>
          <w:rFonts w:eastAsia="IRNazanin" w:cs="IRNazanin"/>
          <w:color w:val="111111"/>
          <w:sz w:val="28"/>
          <w:szCs w:val="28"/>
          <w:rtl w:val="true"/>
          <w:lang w:bidi="fa-IR"/>
        </w:rPr>
        <w:t>.</w:t>
      </w:r>
    </w:p>
    <w:p>
      <w:pPr>
        <w:pStyle w:val="Heading3"/>
        <w:numPr>
          <w:ilvl w:val="2"/>
          <w:numId w:val="1"/>
        </w:numPr>
        <w:rPr/>
      </w:pPr>
      <w:bookmarkStart w:id="208" w:name="__RefHeading___Toc2565172_3650668749"/>
      <w:bookmarkStart w:id="209" w:name="_Toc95"/>
      <w:bookmarkEnd w:id="208"/>
      <w:r>
        <w:rPr>
          <w:rtl w:val="true"/>
        </w:rPr>
        <w:t>[</w:t>
      </w:r>
      <w:r>
        <w:rPr>
          <w:rtl w:val="true"/>
        </w:rPr>
        <w:t>فصل فی الوضوء</w:t>
      </w:r>
      <w:r>
        <w:rPr>
          <w:rtl w:val="true"/>
        </w:rPr>
        <w:t>]</w:t>
      </w:r>
      <w:bookmarkEnd w:id="209"/>
    </w:p>
    <w:p>
      <w:pPr>
        <w:pStyle w:val="Heading4"/>
        <w:numPr>
          <w:ilvl w:val="3"/>
          <w:numId w:val="1"/>
        </w:numPr>
        <w:rPr/>
      </w:pPr>
      <w:bookmarkStart w:id="210" w:name="__RefHeading___Toc2565174_3650668749"/>
      <w:bookmarkStart w:id="211" w:name="_Toc96"/>
      <w:bookmarkEnd w:id="210"/>
      <w:r>
        <w:rPr>
          <w:rtl w:val="true"/>
        </w:rPr>
        <w:t>اشارة</w:t>
      </w:r>
      <w:bookmarkEnd w:id="211"/>
    </w:p>
    <w:p>
      <w:pPr>
        <w:pStyle w:val="BookText"/>
        <w:rPr/>
      </w:pPr>
      <w:r>
        <w:rPr>
          <w:rFonts w:ascii="IRNazanin" w:hAnsi="IRNazanin" w:eastAsia="IRNazanin"/>
          <w:color w:val="111111"/>
          <w:sz w:val="28"/>
          <w:sz w:val="28"/>
          <w:szCs w:val="28"/>
          <w:rtl w:val="true"/>
          <w:lang w:bidi="fa-IR"/>
        </w:rPr>
        <w:t>فصل فی الوضوء و الکلام فی واجباته و شرائطه و موجباته و غایاته و أحکام الخلل</w:t>
      </w:r>
      <w:r>
        <w:rPr>
          <w:rFonts w:eastAsia="IRNazanin" w:cs="IRNazanin"/>
          <w:color w:val="111111"/>
          <w:sz w:val="28"/>
          <w:szCs w:val="28"/>
          <w:rtl w:val="true"/>
          <w:lang w:bidi="fa-IR"/>
        </w:rPr>
        <w:t>.</w:t>
      </w:r>
    </w:p>
    <w:p>
      <w:pPr>
        <w:pStyle w:val="Heading4"/>
        <w:numPr>
          <w:ilvl w:val="3"/>
          <w:numId w:val="1"/>
        </w:numPr>
        <w:rPr/>
      </w:pPr>
      <w:bookmarkStart w:id="212" w:name="__RefHeading___Toc2565176_3650668749"/>
      <w:bookmarkStart w:id="213" w:name="_Toc97"/>
      <w:bookmarkEnd w:id="212"/>
      <w:r>
        <w:rPr>
          <w:rtl w:val="true"/>
        </w:rPr>
        <w:t>[</w:t>
      </w:r>
      <w:r>
        <w:rPr>
          <w:rtl w:val="true"/>
        </w:rPr>
        <w:t>القول فی الواجبات</w:t>
      </w:r>
      <w:r>
        <w:rPr>
          <w:rtl w:val="true"/>
        </w:rPr>
        <w:t>]</w:t>
      </w:r>
      <w:bookmarkEnd w:id="213"/>
    </w:p>
    <w:p>
      <w:pPr>
        <w:pStyle w:val="Heading5"/>
        <w:numPr>
          <w:ilvl w:val="4"/>
          <w:numId w:val="1"/>
        </w:numPr>
        <w:rPr/>
      </w:pPr>
      <w:bookmarkStart w:id="214" w:name="__RefHeading___Toc2565178_3650668749"/>
      <w:bookmarkStart w:id="215" w:name="_Toc98"/>
      <w:bookmarkEnd w:id="214"/>
      <w:r>
        <w:rPr>
          <w:rtl w:val="true"/>
        </w:rPr>
        <w:t>اشارة</w:t>
      </w:r>
      <w:bookmarkEnd w:id="215"/>
    </w:p>
    <w:p>
      <w:pPr>
        <w:pStyle w:val="BookText"/>
        <w:rPr/>
      </w:pPr>
      <w:r>
        <w:rPr>
          <w:rFonts w:ascii="IRNazanin" w:hAnsi="IRNazanin" w:eastAsia="IRNazanin"/>
          <w:color w:val="111111"/>
          <w:sz w:val="28"/>
          <w:sz w:val="28"/>
          <w:szCs w:val="28"/>
          <w:rtl w:val="true"/>
          <w:lang w:bidi="fa-IR"/>
        </w:rPr>
        <w:t>القول فی الواجبات</w:t>
      </w:r>
    </w:p>
    <w:p>
      <w:pPr>
        <w:pStyle w:val="Heading5"/>
        <w:numPr>
          <w:ilvl w:val="4"/>
          <w:numId w:val="1"/>
        </w:numPr>
        <w:rPr/>
      </w:pPr>
      <w:bookmarkStart w:id="216" w:name="__RefHeading___Toc2565180_3650668749"/>
      <w:bookmarkStart w:id="217" w:name="_Toc99"/>
      <w:bookmarkEnd w:id="216"/>
      <w:r>
        <w:rPr>
          <w:rtl w:val="true"/>
        </w:rPr>
        <w:t>[ (</w:t>
      </w:r>
      <w:r>
        <w:rPr>
          <w:rtl w:val="true"/>
        </w:rPr>
        <w:t xml:space="preserve">مسألة </w:t>
      </w:r>
      <w:r>
        <w:rPr/>
        <w:t>1</w:t>
      </w:r>
      <w:r>
        <w:rPr>
          <w:rtl w:val="true"/>
        </w:rPr>
        <w:t xml:space="preserve">): </w:t>
      </w:r>
      <w:r>
        <w:rPr>
          <w:rtl w:val="true"/>
        </w:rPr>
        <w:t>الواجب فی الوضوء غسل الوجه و الیدین و مسح الرأس و القدمین</w:t>
      </w:r>
      <w:r>
        <w:rPr>
          <w:rtl w:val="true"/>
        </w:rPr>
        <w:t>]</w:t>
      </w:r>
      <w:bookmarkEnd w:id="21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فی الوضوء غسل الوجه و الیدین و مسح الرأس و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w:t>
      </w:r>
      <w:bookmarkStart w:id="218" w:name="pg1809_18759"/>
    </w:p>
    <w:p>
      <w:pPr>
        <w:pStyle w:val="BookText"/>
        <w:rPr/>
      </w:pPr>
      <w:bookmarkEnd w:id="218"/>
      <w:r>
        <w:rPr>
          <w:rFonts w:ascii="IRNazanin" w:hAnsi="IRNazanin" w:eastAsia="IRNazanin"/>
          <w:color w:val="111111"/>
          <w:sz w:val="28"/>
          <w:sz w:val="28"/>
          <w:szCs w:val="28"/>
          <w:rtl w:val="true"/>
          <w:lang w:bidi="fa-IR"/>
        </w:rPr>
        <w:t xml:space="preserve">بالوجه ما بین قصاص الشعر و طرف الذقن طولًا و ما دارت علیه الإبهام و الوسطی عرضاً </w:t>
      </w:r>
      <w:r>
        <w:rPr>
          <w:rStyle w:val="FootnoteAnchor"/>
          <w:rtl w:val="true"/>
        </w:rPr>
        <w:footnoteReference w:id="52"/>
      </w:r>
      <w:r>
        <w:rPr>
          <w:rFonts w:ascii="IRNazanin" w:hAnsi="IRNazanin" w:eastAsia="IRNazanin"/>
          <w:color w:val="111111"/>
          <w:sz w:val="28"/>
          <w:sz w:val="28"/>
          <w:szCs w:val="28"/>
          <w:rtl w:val="true"/>
          <w:lang w:bidi="fa-IR"/>
        </w:rPr>
        <w:t>، فما خرج عن ذلک لا یجب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غسل شی‌ء ممّا خرج عن الحدّ المذکور مقدّمة لتحصیل الیقین بغسل تمام ما اشتمل علیه الحدّ</w:t>
      </w:r>
      <w:r>
        <w:rPr>
          <w:rFonts w:eastAsia="IRNazanin" w:cs="IRNazanin"/>
          <w:color w:val="111111"/>
          <w:sz w:val="28"/>
          <w:szCs w:val="28"/>
          <w:rtl w:val="true"/>
          <w:lang w:bidi="fa-IR"/>
        </w:rPr>
        <w:t>.</w:t>
      </w:r>
    </w:p>
    <w:p>
      <w:pPr>
        <w:pStyle w:val="Heading5"/>
        <w:numPr>
          <w:ilvl w:val="4"/>
          <w:numId w:val="1"/>
        </w:numPr>
        <w:rPr/>
      </w:pPr>
      <w:bookmarkStart w:id="219" w:name="__RefHeading___Toc2565182_3650668749"/>
      <w:bookmarkStart w:id="220" w:name="_Toc100"/>
      <w:bookmarkEnd w:id="219"/>
      <w:r>
        <w:rPr>
          <w:rtl w:val="true"/>
        </w:rPr>
        <w:t>[ (</w:t>
      </w:r>
      <w:r>
        <w:rPr>
          <w:rtl w:val="true"/>
        </w:rPr>
        <w:t xml:space="preserve">مسألة </w:t>
      </w:r>
      <w:r>
        <w:rPr/>
        <w:t>2</w:t>
      </w:r>
      <w:r>
        <w:rPr>
          <w:rtl w:val="true"/>
        </w:rPr>
        <w:t xml:space="preserve">): </w:t>
      </w:r>
      <w:r>
        <w:rPr>
          <w:rtl w:val="true"/>
        </w:rPr>
        <w:t>یجب أن یکون الغسل من أعلی الوجه</w:t>
      </w:r>
      <w:r>
        <w:rPr>
          <w:rtl w:val="true"/>
        </w:rPr>
        <w:t>]</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Style w:val="FootnoteAnchor"/>
          <w:rtl w:val="true"/>
        </w:rPr>
        <w:footnoteReference w:id="53"/>
      </w:r>
      <w:r>
        <w:rPr>
          <w:rFonts w:ascii="IRNazanin" w:hAnsi="IRNazanin" w:eastAsia="IRNazanin"/>
          <w:color w:val="111111"/>
          <w:sz w:val="28"/>
          <w:sz w:val="28"/>
          <w:szCs w:val="28"/>
          <w:rtl w:val="true"/>
          <w:lang w:bidi="fa-IR"/>
        </w:rPr>
        <w:t>أن یکون الغسل من أعلی الوجه و لا یجوز الغسل منکوساً، نعم لو ردّ الماء منکوساً و لکن نوی الغسل من الأعلی برجوعه جاز</w:t>
      </w:r>
      <w:r>
        <w:rPr>
          <w:rFonts w:eastAsia="IRNazanin" w:cs="IRNazanin"/>
          <w:color w:val="111111"/>
          <w:sz w:val="28"/>
          <w:szCs w:val="28"/>
          <w:rtl w:val="true"/>
          <w:lang w:bidi="fa-IR"/>
        </w:rPr>
        <w:t>.</w:t>
      </w:r>
    </w:p>
    <w:p>
      <w:pPr>
        <w:pStyle w:val="Heading5"/>
        <w:numPr>
          <w:ilvl w:val="4"/>
          <w:numId w:val="1"/>
        </w:numPr>
        <w:rPr/>
      </w:pPr>
      <w:bookmarkStart w:id="221" w:name="__RefHeading___Toc2565184_3650668749"/>
      <w:bookmarkStart w:id="222" w:name="_Toc101"/>
      <w:bookmarkEnd w:id="221"/>
      <w:r>
        <w:rPr>
          <w:rtl w:val="true"/>
        </w:rPr>
        <w:t>[ (</w:t>
      </w:r>
      <w:r>
        <w:rPr>
          <w:rtl w:val="true"/>
        </w:rPr>
        <w:t xml:space="preserve">مسألة </w:t>
      </w:r>
      <w:r>
        <w:rPr/>
        <w:t>3</w:t>
      </w:r>
      <w:r>
        <w:rPr>
          <w:rtl w:val="true"/>
        </w:rPr>
        <w:t xml:space="preserve">): </w:t>
      </w:r>
      <w:r>
        <w:rPr>
          <w:rtl w:val="true"/>
        </w:rPr>
        <w:t>لا یجب غسل ما استرسل من اللحیة</w:t>
      </w:r>
      <w:r>
        <w:rPr>
          <w:rtl w:val="true"/>
        </w:rPr>
        <w:t>]</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غسل ما استرسل من اللحیة، أمّا ما دخل منها فی حدّ الوجه فإنّه یجب غسله، لکن الواجب غسل الظاهر منه؛ من غیر فرق بین الکثیف و الخفیف مع صدق إحاطة الشعر بالبشرة و إن کان التخلیل فی الثانی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الیدان فالواجب غسلهما من المرفقین إلیٰ أطراف الأصابع، و یجب غسل شی‌ء من العضد للمقدّمة کالوجه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ترک شی‌ء من الوجه أو الیدین بلا غسل و لو مقدار مکان شعرة</w:t>
      </w:r>
      <w:r>
        <w:rPr>
          <w:rFonts w:eastAsia="IRNazanin" w:cs="IRNazanin"/>
          <w:color w:val="111111"/>
          <w:sz w:val="28"/>
          <w:szCs w:val="28"/>
          <w:rtl w:val="true"/>
          <w:lang w:bidi="fa-IR"/>
        </w:rPr>
        <w:t>.</w:t>
      </w:r>
    </w:p>
    <w:p>
      <w:pPr>
        <w:pStyle w:val="Heading5"/>
        <w:numPr>
          <w:ilvl w:val="4"/>
          <w:numId w:val="1"/>
        </w:numPr>
        <w:rPr/>
      </w:pPr>
      <w:bookmarkStart w:id="223" w:name="__RefHeading___Toc2565186_3650668749"/>
      <w:bookmarkStart w:id="224" w:name="_Toc102"/>
      <w:bookmarkEnd w:id="223"/>
      <w:r>
        <w:rPr>
          <w:rtl w:val="true"/>
        </w:rPr>
        <w:t>[ (</w:t>
      </w:r>
      <w:r>
        <w:rPr>
          <w:rtl w:val="true"/>
        </w:rPr>
        <w:t xml:space="preserve">مسألة </w:t>
      </w:r>
      <w:r>
        <w:rPr/>
        <w:t>4</w:t>
      </w:r>
      <w:r>
        <w:rPr>
          <w:rtl w:val="true"/>
        </w:rPr>
        <w:t xml:space="preserve">): </w:t>
      </w:r>
      <w:r>
        <w:rPr>
          <w:rtl w:val="true"/>
        </w:rPr>
        <w:t>لا یجب غسل شی‌ء من البواطن</w:t>
      </w:r>
      <w:r>
        <w:rPr>
          <w:rtl w:val="true"/>
        </w:rPr>
        <w:t>]</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غسل شی‌ء من البواطن کالعین و الأنف و الفم إلّا شی‌ء منها من باب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یظهر من الشفتین بعد الانطباق من الباطن، فلا یجب غسله، کما لا یجب غسل باطن الثقبة التی فی الأنف موضع الحلقة أو الخزامة؛ سواء کانت الحلقة فیها أم لا</w:t>
      </w:r>
      <w:r>
        <w:rPr>
          <w:rFonts w:eastAsia="IRNazanin" w:cs="IRNazanin"/>
          <w:color w:val="111111"/>
          <w:sz w:val="28"/>
          <w:szCs w:val="28"/>
          <w:rtl w:val="true"/>
          <w:lang w:bidi="fa-IR"/>
        </w:rPr>
        <w:t>.</w:t>
      </w:r>
    </w:p>
    <w:p>
      <w:pPr>
        <w:pStyle w:val="Heading5"/>
        <w:numPr>
          <w:ilvl w:val="4"/>
          <w:numId w:val="1"/>
        </w:numPr>
        <w:rPr/>
      </w:pPr>
      <w:bookmarkStart w:id="225" w:name="__RefHeading___Toc2565188_3650668749"/>
      <w:bookmarkStart w:id="226" w:name="_Toc103"/>
      <w:bookmarkEnd w:id="225"/>
      <w:r>
        <w:rPr>
          <w:rtl w:val="true"/>
        </w:rPr>
        <w:t>[ (</w:t>
      </w:r>
      <w:r>
        <w:rPr>
          <w:rtl w:val="true"/>
        </w:rPr>
        <w:t xml:space="preserve">مسألة </w:t>
      </w:r>
      <w:r>
        <w:rPr/>
        <w:t>5</w:t>
      </w:r>
      <w:r>
        <w:rPr>
          <w:rtl w:val="true"/>
        </w:rPr>
        <w:t xml:space="preserve">): </w:t>
      </w:r>
      <w:r>
        <w:rPr>
          <w:rtl w:val="true"/>
        </w:rPr>
        <w:t>الوسخ تحت الأظفار لا یجب إزالته</w:t>
      </w:r>
      <w:r>
        <w:rPr>
          <w:rtl w:val="true"/>
        </w:rPr>
        <w:t>]</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الوسخ تحت الأظفار لا یجب إزالته إلّا إذا کان ما تحته معدوداً من الظاهر، کما أنّه لو قصّ أظفاره فصار ما تحتها ظاهراً وجب غسله بعد إزالة الوسخ عنه</w:t>
      </w:r>
      <w:r>
        <w:rPr>
          <w:rFonts w:eastAsia="IRNazanin" w:cs="IRNazanin"/>
          <w:color w:val="111111"/>
          <w:sz w:val="28"/>
          <w:szCs w:val="28"/>
          <w:rtl w:val="true"/>
          <w:lang w:bidi="fa-IR"/>
        </w:rPr>
        <w:t>.</w:t>
      </w:r>
    </w:p>
    <w:p>
      <w:pPr>
        <w:pStyle w:val="Heading5"/>
        <w:numPr>
          <w:ilvl w:val="4"/>
          <w:numId w:val="1"/>
        </w:numPr>
        <w:rPr/>
      </w:pPr>
      <w:bookmarkStart w:id="227" w:name="__RefHeading___Toc2565190_3650668749"/>
      <w:bookmarkStart w:id="228" w:name="_Toc104"/>
      <w:bookmarkEnd w:id="227"/>
      <w:r>
        <w:rPr>
          <w:rtl w:val="true"/>
        </w:rPr>
        <w:t>[ (</w:t>
      </w:r>
      <w:r>
        <w:rPr>
          <w:rtl w:val="true"/>
        </w:rPr>
        <w:t xml:space="preserve">مسألة </w:t>
      </w:r>
      <w:r>
        <w:rPr/>
        <w:t>6</w:t>
      </w:r>
      <w:r>
        <w:rPr>
          <w:rtl w:val="true"/>
        </w:rPr>
        <w:t xml:space="preserve">): </w:t>
      </w:r>
      <w:r>
        <w:rPr>
          <w:rtl w:val="true"/>
        </w:rPr>
        <w:t>إذا انقطع لحم من الیدین أو الوجه وجب غسل ما ظهر بعد القطع</w:t>
      </w:r>
      <w:r>
        <w:rPr>
          <w:rtl w:val="true"/>
        </w:rPr>
        <w:t>]</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لحم من الیدین أو الوجه وجب غسل ما ظهر بعد القطع و یجب غسل ذلک اللحم أیضاً و إن کان اتّصاله بجلدة رقیقة</w:t>
      </w:r>
      <w:r>
        <w:rPr>
          <w:rFonts w:eastAsia="IRNazanin" w:cs="IRNazanin"/>
          <w:color w:val="111111"/>
          <w:sz w:val="28"/>
          <w:szCs w:val="28"/>
          <w:rtl w:val="true"/>
          <w:lang w:bidi="fa-IR"/>
        </w:rPr>
        <w:t>.</w:t>
      </w:r>
    </w:p>
    <w:p>
      <w:pPr>
        <w:pStyle w:val="Heading5"/>
        <w:numPr>
          <w:ilvl w:val="4"/>
          <w:numId w:val="1"/>
        </w:numPr>
        <w:rPr/>
      </w:pPr>
      <w:bookmarkStart w:id="229" w:name="__RefHeading___Toc2565192_3650668749"/>
      <w:bookmarkStart w:id="230" w:name="_Toc105"/>
      <w:bookmarkEnd w:id="229"/>
      <w:r>
        <w:rPr>
          <w:rtl w:val="true"/>
        </w:rPr>
        <w:t>[ (</w:t>
      </w:r>
      <w:r>
        <w:rPr>
          <w:rtl w:val="true"/>
        </w:rPr>
        <w:t xml:space="preserve">مسألة </w:t>
      </w:r>
      <w:r>
        <w:rPr/>
        <w:t>7</w:t>
      </w:r>
      <w:r>
        <w:rPr>
          <w:rtl w:val="true"/>
        </w:rPr>
        <w:t xml:space="preserve">): </w:t>
      </w:r>
      <w:r>
        <w:rPr>
          <w:rtl w:val="true"/>
        </w:rPr>
        <w:t>الشقوق التی تحدث علیٰ ظهر الکفّ من جهة البرد</w:t>
      </w:r>
      <w:r>
        <w:rPr>
          <w:rtl w:val="true"/>
        </w:rPr>
        <w:t>]</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الشقوق التی تحدث علیٰ ظهر الکفّ من جهة البرد إن کانت وسیعة یریٰ جوفها وجب إیصال الماء إلیها و إلّا فلا</w:t>
      </w:r>
      <w:r>
        <w:rPr>
          <w:rFonts w:eastAsia="IRNazanin" w:cs="IRNazanin"/>
          <w:color w:val="111111"/>
          <w:sz w:val="28"/>
          <w:szCs w:val="28"/>
          <w:rtl w:val="true"/>
          <w:lang w:bidi="fa-IR"/>
        </w:rPr>
        <w:t>.</w:t>
      </w:r>
    </w:p>
    <w:p>
      <w:pPr>
        <w:pStyle w:val="Heading5"/>
        <w:numPr>
          <w:ilvl w:val="4"/>
          <w:numId w:val="1"/>
        </w:numPr>
        <w:rPr/>
      </w:pPr>
      <w:bookmarkStart w:id="231" w:name="__RefHeading___Toc2565194_3650668749"/>
      <w:bookmarkStart w:id="232" w:name="_Toc106"/>
      <w:bookmarkEnd w:id="231"/>
      <w:r>
        <w:rPr>
          <w:rtl w:val="true"/>
        </w:rPr>
        <w:t>[ (</w:t>
      </w:r>
      <w:r>
        <w:rPr>
          <w:rtl w:val="true"/>
        </w:rPr>
        <w:t xml:space="preserve">مسألة </w:t>
      </w:r>
      <w:r>
        <w:rPr/>
        <w:t>8</w:t>
      </w:r>
      <w:r>
        <w:rPr>
          <w:rtl w:val="true"/>
        </w:rPr>
        <w:t xml:space="preserve">): </w:t>
      </w:r>
      <w:r>
        <w:rPr>
          <w:rtl w:val="true"/>
        </w:rPr>
        <w:t>ما یعلو البشرة مثل الجُدری عند الاحتراق ما دام باقیاً یکفی غسل ظاهره و إن انخرق</w:t>
      </w:r>
      <w:r>
        <w:rPr>
          <w:rtl w:val="true"/>
        </w:rPr>
        <w:t>]</w:t>
      </w:r>
      <w:bookmarkEnd w:id="23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یعلو البشرة مثل الجُدری عند الاحتراق ما دام باقیاً یکفی غسل ظاهره و إن انخرق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إیصال الماء تحت الجلدة، بل لو قطع بعض الجلدة و بقی البعض الآخر یکفی غسل ظاهر ذلک البعض و لا یجب قطعه بتمامه، و لو ظهر ما تحت الجلدة بتمامه</w:t>
      </w:r>
      <w:bookmarkStart w:id="233" w:name="pg1809_18761"/>
    </w:p>
    <w:p>
      <w:pPr>
        <w:pStyle w:val="BookText"/>
        <w:rPr/>
      </w:pPr>
      <w:bookmarkEnd w:id="233"/>
      <w:r>
        <w:rPr>
          <w:rFonts w:ascii="IRNazanin" w:hAnsi="IRNazanin" w:eastAsia="IRNazanin"/>
          <w:color w:val="111111"/>
          <w:sz w:val="28"/>
          <w:sz w:val="28"/>
          <w:szCs w:val="28"/>
          <w:rtl w:val="true"/>
          <w:lang w:bidi="fa-IR"/>
        </w:rPr>
        <w:t>لکن الجلدة متّصلة قد تلصق و قد لا تلصق یجب غسل ما تحتها، و إن کانت لاصقة یجب رفعها أو قطعها</w:t>
      </w:r>
      <w:r>
        <w:rPr>
          <w:rFonts w:eastAsia="IRNazanin" w:cs="IRNazanin"/>
          <w:color w:val="111111"/>
          <w:sz w:val="28"/>
          <w:szCs w:val="28"/>
          <w:rtl w:val="true"/>
          <w:lang w:bidi="fa-IR"/>
        </w:rPr>
        <w:t>.</w:t>
      </w:r>
    </w:p>
    <w:p>
      <w:pPr>
        <w:pStyle w:val="Heading5"/>
        <w:numPr>
          <w:ilvl w:val="4"/>
          <w:numId w:val="1"/>
        </w:numPr>
        <w:rPr/>
      </w:pPr>
      <w:bookmarkStart w:id="234" w:name="__RefHeading___Toc2565196_3650668749"/>
      <w:bookmarkStart w:id="235" w:name="_Toc107"/>
      <w:bookmarkEnd w:id="234"/>
      <w:r>
        <w:rPr>
          <w:rtl w:val="true"/>
        </w:rPr>
        <w:t>[ (</w:t>
      </w:r>
      <w:r>
        <w:rPr>
          <w:rtl w:val="true"/>
        </w:rPr>
        <w:t xml:space="preserve">مسألة </w:t>
      </w:r>
      <w:r>
        <w:rPr/>
        <w:t>9</w:t>
      </w:r>
      <w:r>
        <w:rPr>
          <w:rtl w:val="true"/>
        </w:rPr>
        <w:t xml:space="preserve">): </w:t>
      </w:r>
      <w:r>
        <w:rPr>
          <w:rtl w:val="true"/>
        </w:rPr>
        <w:t>یصحّ الوضوء بالارتماس مع مراعاة الأعلی فالأعلیٰ</w:t>
      </w:r>
      <w:r>
        <w:rPr>
          <w:rtl w:val="true"/>
        </w:rPr>
        <w:t>]</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الوضوء بالارتماس مع مراعاة الأعلی فالأعلیٰ، لکن فی الید الیسریٰ لا بدّ أن یقصد الغسل حال الإخراج حتّی لا یلزم المسح بماء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کذا فی الید الیمنیٰ إلّا أن یبقیٰ شیئاً من الید الیسریٰ لیغسله بالید الیمنیٰ حتّی یکون ما یبقیٰ علیها من الرطوبة من ماء الوضوء</w:t>
      </w:r>
      <w:r>
        <w:rPr>
          <w:rFonts w:eastAsia="IRNazanin" w:cs="IRNazanin"/>
          <w:color w:val="111111"/>
          <w:sz w:val="28"/>
          <w:szCs w:val="28"/>
          <w:rtl w:val="true"/>
          <w:lang w:bidi="fa-IR"/>
        </w:rPr>
        <w:t>.</w:t>
      </w:r>
    </w:p>
    <w:p>
      <w:pPr>
        <w:pStyle w:val="Heading5"/>
        <w:numPr>
          <w:ilvl w:val="4"/>
          <w:numId w:val="1"/>
        </w:numPr>
        <w:rPr/>
      </w:pPr>
      <w:bookmarkStart w:id="236" w:name="__RefHeading___Toc2565198_3650668749"/>
      <w:bookmarkStart w:id="237" w:name="_Toc108"/>
      <w:bookmarkEnd w:id="236"/>
      <w:r>
        <w:rPr>
          <w:rtl w:val="true"/>
        </w:rPr>
        <w:t>[ (</w:t>
      </w:r>
      <w:r>
        <w:rPr>
          <w:rtl w:val="true"/>
        </w:rPr>
        <w:t xml:space="preserve">مسألة </w:t>
      </w:r>
      <w:r>
        <w:rPr/>
        <w:t>10</w:t>
      </w:r>
      <w:r>
        <w:rPr>
          <w:rtl w:val="true"/>
        </w:rPr>
        <w:t xml:space="preserve">): </w:t>
      </w:r>
      <w:r>
        <w:rPr>
          <w:rtl w:val="true"/>
        </w:rPr>
        <w:t>یجب رفع ما یمنع وصول الماء أو تحریکه کالخاتم و نحوه</w:t>
      </w:r>
      <w:r>
        <w:rPr>
          <w:rtl w:val="true"/>
        </w:rPr>
        <w:t>]</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رفع ما یمنع وصول الماء أو تحریکه کالخاتم و نحوه، و لو شکّ فی وجود الحاجب لم یلتفت إذا لم یکن منشأ عقلائی لاحتمال وجوده، و لو شکّ فی شی‌ء أنّه حاجب أم لا، وجب إزالته أو إیصال الماء إلیٰ ما تحته</w:t>
      </w:r>
      <w:r>
        <w:rPr>
          <w:rFonts w:eastAsia="IRNazanin" w:cs="IRNazanin"/>
          <w:color w:val="111111"/>
          <w:sz w:val="28"/>
          <w:szCs w:val="28"/>
          <w:rtl w:val="true"/>
          <w:lang w:bidi="fa-IR"/>
        </w:rPr>
        <w:t>.</w:t>
      </w:r>
    </w:p>
    <w:p>
      <w:pPr>
        <w:pStyle w:val="Heading5"/>
        <w:numPr>
          <w:ilvl w:val="4"/>
          <w:numId w:val="1"/>
        </w:numPr>
        <w:rPr/>
      </w:pPr>
      <w:bookmarkStart w:id="238" w:name="__RefHeading___Toc2565200_3650668749"/>
      <w:bookmarkStart w:id="239" w:name="_Toc109"/>
      <w:bookmarkEnd w:id="238"/>
      <w:r>
        <w:rPr>
          <w:rtl w:val="true"/>
        </w:rPr>
        <w:t>[ (</w:t>
      </w:r>
      <w:r>
        <w:rPr>
          <w:rtl w:val="true"/>
        </w:rPr>
        <w:t xml:space="preserve">مسألة </w:t>
      </w:r>
      <w:r>
        <w:rPr/>
        <w:t>11</w:t>
      </w:r>
      <w:r>
        <w:rPr>
          <w:rtl w:val="true"/>
        </w:rPr>
        <w:t xml:space="preserve">): </w:t>
      </w:r>
      <w:r>
        <w:rPr>
          <w:rtl w:val="true"/>
        </w:rPr>
        <w:t>ما ینجمد علی الجرح عند البرء و یصیر کالجلدة لا یجب رفعه</w:t>
      </w:r>
      <w:r>
        <w:rPr>
          <w:rtl w:val="true"/>
        </w:rPr>
        <w:t>]</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ینجمد علی الجرح عند البرء و یصیر کالجلدة لا یجب رفعه و یجزی غسل ظاهره و إن کان رفعه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الدواء الذی انجمد علیه فما دام لم یمکن رفعه یکون بمنزلة الجبیرة یکفی غسل ظاهره، و إن أمکن رفعه بسهولة وجب</w:t>
      </w:r>
      <w:r>
        <w:rPr>
          <w:rFonts w:eastAsia="IRNazanin" w:cs="IRNazanin"/>
          <w:color w:val="111111"/>
          <w:sz w:val="28"/>
          <w:szCs w:val="28"/>
          <w:rtl w:val="true"/>
          <w:lang w:bidi="fa-IR"/>
        </w:rPr>
        <w:t>.</w:t>
      </w:r>
    </w:p>
    <w:p>
      <w:pPr>
        <w:pStyle w:val="Heading5"/>
        <w:numPr>
          <w:ilvl w:val="4"/>
          <w:numId w:val="1"/>
        </w:numPr>
        <w:rPr/>
      </w:pPr>
      <w:bookmarkStart w:id="240" w:name="__RefHeading___Toc2565202_3650668749"/>
      <w:bookmarkStart w:id="241" w:name="_Toc110"/>
      <w:bookmarkEnd w:id="240"/>
      <w:r>
        <w:rPr>
          <w:rtl w:val="true"/>
        </w:rPr>
        <w:t>[ (</w:t>
      </w:r>
      <w:r>
        <w:rPr>
          <w:rtl w:val="true"/>
        </w:rPr>
        <w:t xml:space="preserve">مسألة </w:t>
      </w:r>
      <w:r>
        <w:rPr/>
        <w:t>12</w:t>
      </w:r>
      <w:r>
        <w:rPr>
          <w:rtl w:val="true"/>
        </w:rPr>
        <w:t xml:space="preserve">): </w:t>
      </w:r>
      <w:r>
        <w:rPr>
          <w:rtl w:val="true"/>
        </w:rPr>
        <w:t>الوسخ علی البشرة إن لم یکن جرماً مرئیّاً لا یجب إزالته</w:t>
      </w:r>
      <w:r>
        <w:rPr>
          <w:rtl w:val="true"/>
        </w:rPr>
        <w:t>]</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الوسخ علی البشرة إن لم یکن جرماً مرئیّاً لا یجب إزالته و إن کان عند المسح بالکیس یجتمع و یکون کثیراً ما دام یصدق علیه غسل البشرة، و کذا مثل البیاض الذی یتبیّن علی الید من الجصّ أو النورة إذا کان یصل الماء إلیٰ تحته و یصدق غسل البشرة، و لو شکّ فی کونه حاجباً وجب إزالته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مسح الرأس فالواجب مسح شی‌ء من مقدّمه، و الأحوط عدم الاجتزاء بما دون عرض إصبع، و أحوط منه مسح مقدار ثلاثة أصابع مضمومة، بل الأولیٰ کون المسح بالثلاثة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کالرجل فی ذلک</w:t>
      </w:r>
      <w:r>
        <w:rPr>
          <w:rFonts w:eastAsia="IRNazanin" w:cs="IRNazanin"/>
          <w:color w:val="111111"/>
          <w:sz w:val="28"/>
          <w:szCs w:val="28"/>
          <w:rtl w:val="true"/>
          <w:lang w:bidi="fa-IR"/>
        </w:rPr>
        <w:t>.</w:t>
      </w:r>
    </w:p>
    <w:p>
      <w:pPr>
        <w:pStyle w:val="Heading5"/>
        <w:numPr>
          <w:ilvl w:val="4"/>
          <w:numId w:val="1"/>
        </w:numPr>
        <w:rPr/>
      </w:pPr>
      <w:bookmarkStart w:id="242" w:name="__RefHeading___Toc2565204_3650668749"/>
      <w:bookmarkStart w:id="243" w:name="_Toc111"/>
      <w:bookmarkEnd w:id="242"/>
      <w:r>
        <w:rPr>
          <w:rtl w:val="true"/>
        </w:rPr>
        <w:t>[ (</w:t>
      </w:r>
      <w:r>
        <w:rPr>
          <w:rtl w:val="true"/>
        </w:rPr>
        <w:t xml:space="preserve">مسألة </w:t>
      </w:r>
      <w:r>
        <w:rPr/>
        <w:t>13</w:t>
      </w:r>
      <w:r>
        <w:rPr>
          <w:rtl w:val="true"/>
        </w:rPr>
        <w:t xml:space="preserve">): </w:t>
      </w:r>
      <w:r>
        <w:rPr>
          <w:rtl w:val="true"/>
        </w:rPr>
        <w:t>لا یجب کون المسح علی البشرة فیجوز علی الشعر النابت علی المقدّم</w:t>
      </w:r>
      <w:r>
        <w:rPr>
          <w:rtl w:val="true"/>
        </w:rPr>
        <w:t>]</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کون المسح علی البشرة فیجوز علی الشعر النابت علی المقدّم، نعم إذا کان الشعر الذی منبته مقدّم الرأس طویلًا بحیث یتجاوز بمدّه عن حدّه لا یجوز المسح علیٰ ذلک المقدار المتجاوز؛ سواء کان مسترسلًا أو مجتمعاً فی المقدّم</w:t>
      </w:r>
      <w:r>
        <w:rPr>
          <w:rFonts w:eastAsia="IRNazanin" w:cs="IRNazanin"/>
          <w:color w:val="111111"/>
          <w:sz w:val="28"/>
          <w:szCs w:val="28"/>
          <w:rtl w:val="true"/>
          <w:lang w:bidi="fa-IR"/>
        </w:rPr>
        <w:t>.</w:t>
      </w:r>
    </w:p>
    <w:p>
      <w:pPr>
        <w:pStyle w:val="Heading5"/>
        <w:numPr>
          <w:ilvl w:val="4"/>
          <w:numId w:val="1"/>
        </w:numPr>
        <w:rPr/>
      </w:pPr>
      <w:bookmarkStart w:id="244" w:name="__RefHeading___Toc2565206_3650668749"/>
      <w:bookmarkStart w:id="245" w:name="_Toc112"/>
      <w:bookmarkEnd w:id="244"/>
      <w:r>
        <w:rPr>
          <w:rtl w:val="true"/>
        </w:rPr>
        <w:t>[ (</w:t>
      </w:r>
      <w:r>
        <w:rPr>
          <w:rtl w:val="true"/>
        </w:rPr>
        <w:t xml:space="preserve">مسألة </w:t>
      </w:r>
      <w:r>
        <w:rPr/>
        <w:t>14</w:t>
      </w:r>
      <w:r>
        <w:rPr>
          <w:rtl w:val="true"/>
        </w:rPr>
        <w:t xml:space="preserve">): </w:t>
      </w:r>
      <w:r>
        <w:rPr>
          <w:rtl w:val="true"/>
        </w:rPr>
        <w:t>یجب أن یکون المسح بباطن الکفّ</w:t>
      </w:r>
      <w:r>
        <w:rPr>
          <w:rtl w:val="true"/>
        </w:rPr>
        <w:t>]</w:t>
      </w:r>
      <w:bookmarkEnd w:id="24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Style w:val="FootnoteAnchor"/>
          <w:rtl w:val="true"/>
        </w:rPr>
        <w:footnoteReference w:id="54"/>
      </w:r>
      <w:r>
        <w:rPr>
          <w:rFonts w:ascii="IRNazanin" w:hAnsi="IRNazanin" w:eastAsia="IRNazanin"/>
          <w:color w:val="111111"/>
          <w:sz w:val="28"/>
          <w:sz w:val="28"/>
          <w:szCs w:val="28"/>
          <w:rtl w:val="true"/>
          <w:lang w:bidi="fa-IR"/>
        </w:rPr>
        <w:t>أن یکون المسح بباطن الکفّ، و الأحوط الأیمن بل الأولیٰ بالأصابع منه و أن یکون المسح بما بقی فی یده من نداوة الوضوء فلا یجوز استئناف ماء جدید</w:t>
      </w:r>
      <w:r>
        <w:rPr>
          <w:rFonts w:eastAsia="IRNazanin" w:cs="IRNazanin"/>
          <w:color w:val="111111"/>
          <w:sz w:val="28"/>
          <w:szCs w:val="28"/>
          <w:rtl w:val="true"/>
          <w:lang w:bidi="fa-IR"/>
        </w:rPr>
        <w:t>.</w:t>
      </w:r>
      <w:bookmarkStart w:id="246" w:name="pg1809_18763"/>
    </w:p>
    <w:p>
      <w:pPr>
        <w:pStyle w:val="Heading5"/>
        <w:numPr>
          <w:ilvl w:val="4"/>
          <w:numId w:val="1"/>
        </w:numPr>
        <w:rPr/>
      </w:pPr>
      <w:bookmarkStart w:id="247" w:name="__RefHeading___Toc2565208_3650668749"/>
      <w:bookmarkStart w:id="248" w:name="_Toc113"/>
      <w:bookmarkEnd w:id="246"/>
      <w:bookmarkEnd w:id="247"/>
      <w:r>
        <w:rPr>
          <w:rtl w:val="true"/>
        </w:rPr>
        <w:t>[ (</w:t>
      </w:r>
      <w:r>
        <w:rPr>
          <w:rtl w:val="true"/>
        </w:rPr>
        <w:t xml:space="preserve">مسألة </w:t>
      </w:r>
      <w:r>
        <w:rPr/>
        <w:t>15</w:t>
      </w:r>
      <w:r>
        <w:rPr>
          <w:rtl w:val="true"/>
        </w:rPr>
        <w:t xml:space="preserve">): </w:t>
      </w:r>
      <w:r>
        <w:rPr>
          <w:rtl w:val="true"/>
        </w:rPr>
        <w:t>یجب جفاف الممسوح علیٰ وجه لا ینتقل منه أجزاء إلی الماسح</w:t>
      </w:r>
      <w:r>
        <w:rPr>
          <w:rtl w:val="true"/>
        </w:rPr>
        <w:t>]</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جفاف الممسوح علیٰ وجه لا ینتقل منه أجزاء إلی الماسح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مسح القدمین فالواجب مسح ظاهرهما من أطراف الأصابع إلی المفصل </w:t>
      </w:r>
      <w:r>
        <w:rPr>
          <w:rStyle w:val="FootnoteAnchor"/>
          <w:rtl w:val="true"/>
        </w:rPr>
        <w:footnoteReference w:id="55"/>
      </w:r>
      <w:r>
        <w:rPr>
          <w:rFonts w:ascii="IRNazanin" w:hAnsi="IRNazanin" w:eastAsia="IRNazanin"/>
          <w:color w:val="111111"/>
          <w:sz w:val="28"/>
          <w:sz w:val="28"/>
          <w:szCs w:val="28"/>
          <w:rtl w:val="true"/>
          <w:lang w:bidi="fa-IR"/>
        </w:rPr>
        <w:t>علی الأحوط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تقدیر للعرض فیجزی ما یتحقّق به اسم المسح، و الأفضل بل الأحوط أن یکون بتمام الکفّ و ما تقدّم فی مسح الرأس من تجفیف الممسوح علی النحو المزبور و کون المسح بما بقی فی یده من نداوة الوضوء یجری فی القدمین أیضاً</w:t>
      </w:r>
      <w:r>
        <w:rPr>
          <w:rFonts w:eastAsia="IRNazanin" w:cs="IRNazanin"/>
          <w:color w:val="111111"/>
          <w:sz w:val="28"/>
          <w:szCs w:val="28"/>
          <w:rtl w:val="true"/>
          <w:lang w:bidi="fa-IR"/>
        </w:rPr>
        <w:t>.</w:t>
      </w:r>
    </w:p>
    <w:p>
      <w:pPr>
        <w:pStyle w:val="Heading5"/>
        <w:numPr>
          <w:ilvl w:val="4"/>
          <w:numId w:val="1"/>
        </w:numPr>
        <w:rPr/>
      </w:pPr>
      <w:bookmarkStart w:id="249" w:name="__RefHeading___Toc2565210_3650668749"/>
      <w:bookmarkStart w:id="250" w:name="_Toc114"/>
      <w:bookmarkEnd w:id="249"/>
      <w:r>
        <w:rPr>
          <w:rtl w:val="true"/>
        </w:rPr>
        <w:t>[ (</w:t>
      </w:r>
      <w:r>
        <w:rPr>
          <w:rtl w:val="true"/>
        </w:rPr>
        <w:t xml:space="preserve">مسألة </w:t>
      </w:r>
      <w:r>
        <w:rPr/>
        <w:t>16</w:t>
      </w:r>
      <w:r>
        <w:rPr>
          <w:rtl w:val="true"/>
        </w:rPr>
        <w:t xml:space="preserve">): </w:t>
      </w:r>
      <w:r>
        <w:rPr>
          <w:rtl w:val="true"/>
        </w:rPr>
        <w:t>إذا تعذّر المسح بباطن الکفّ مسح بظاهرها</w:t>
      </w:r>
      <w:r>
        <w:rPr>
          <w:rtl w:val="true"/>
        </w:rPr>
        <w:t>]</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تعذّر المسح بباطن الکفّ مسح بظاهرها </w:t>
      </w:r>
      <w:r>
        <w:rPr>
          <w:rStyle w:val="FootnoteAnchor"/>
          <w:rtl w:val="true"/>
        </w:rPr>
        <w:footnoteReference w:id="56"/>
      </w:r>
      <w:r>
        <w:rPr>
          <w:rFonts w:ascii="IRNazanin" w:hAnsi="IRNazanin" w:eastAsia="IRNazanin"/>
          <w:color w:val="111111"/>
          <w:sz w:val="28"/>
          <w:sz w:val="28"/>
          <w:szCs w:val="28"/>
          <w:rtl w:val="true"/>
          <w:lang w:bidi="fa-IR"/>
        </w:rPr>
        <w:t>، و إن تعذّر مسح بذراعه</w:t>
      </w:r>
      <w:r>
        <w:rPr>
          <w:rFonts w:eastAsia="IRNazanin" w:cs="IRNazanin"/>
          <w:color w:val="111111"/>
          <w:sz w:val="28"/>
          <w:szCs w:val="28"/>
          <w:rtl w:val="true"/>
          <w:lang w:bidi="fa-IR"/>
        </w:rPr>
        <w:t>.</w:t>
      </w:r>
    </w:p>
    <w:p>
      <w:pPr>
        <w:pStyle w:val="Heading5"/>
        <w:numPr>
          <w:ilvl w:val="4"/>
          <w:numId w:val="1"/>
        </w:numPr>
        <w:rPr/>
      </w:pPr>
      <w:bookmarkStart w:id="251" w:name="__RefHeading___Toc2565212_3650668749"/>
      <w:bookmarkStart w:id="252" w:name="_Toc115"/>
      <w:bookmarkEnd w:id="251"/>
      <w:r>
        <w:rPr>
          <w:rtl w:val="true"/>
        </w:rPr>
        <w:t>[ (</w:t>
      </w:r>
      <w:r>
        <w:rPr>
          <w:rtl w:val="true"/>
        </w:rPr>
        <w:t xml:space="preserve">مسألة </w:t>
      </w:r>
      <w:r>
        <w:rPr/>
        <w:t>17</w:t>
      </w:r>
      <w:r>
        <w:rPr>
          <w:rtl w:val="true"/>
        </w:rPr>
        <w:t xml:space="preserve">): </w:t>
      </w:r>
      <w:r>
        <w:rPr>
          <w:rtl w:val="true"/>
        </w:rPr>
        <w:t>إذا جفّت رطوبة الکفّ أخذ من سائر مواضع الوضوء</w:t>
      </w:r>
      <w:r>
        <w:rPr>
          <w:rtl w:val="true"/>
        </w:rPr>
        <w:t>]</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جفّت رطوبة الکفّ أخذ من سائر مواضع الوضوء من حاجبه أو لحیته أو غیرهما و مسح به، و إذا لم یمکن الأخذ منها أعاد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ینفع الإعادة من جهة حرارة الهواء أو البدن أو الید بحیث کلّما توضّأ جفّ ماء وضوئه فلا یترک </w:t>
      </w:r>
      <w:r>
        <w:rPr>
          <w:rStyle w:val="FootnoteAnchor"/>
          <w:rtl w:val="true"/>
        </w:rPr>
        <w:footnoteReference w:id="57"/>
      </w:r>
      <w:r>
        <w:rPr>
          <w:rFonts w:ascii="IRNazanin" w:hAnsi="IRNazanin" w:eastAsia="IRNazanin"/>
          <w:color w:val="111111"/>
          <w:sz w:val="28"/>
          <w:sz w:val="28"/>
          <w:szCs w:val="28"/>
          <w:rtl w:val="true"/>
          <w:lang w:bidi="fa-IR"/>
        </w:rPr>
        <w:t>الاحتیاط بالجمع بین المسح بالید الیابسة ثمّ بالماء الجدید ثمّ التیمّم</w:t>
      </w:r>
      <w:r>
        <w:rPr>
          <w:rFonts w:eastAsia="IRNazanin" w:cs="IRNazanin"/>
          <w:color w:val="111111"/>
          <w:sz w:val="28"/>
          <w:szCs w:val="28"/>
          <w:rtl w:val="true"/>
          <w:lang w:bidi="fa-IR"/>
        </w:rPr>
        <w:t>.</w:t>
      </w:r>
    </w:p>
    <w:p>
      <w:pPr>
        <w:pStyle w:val="Heading5"/>
        <w:numPr>
          <w:ilvl w:val="4"/>
          <w:numId w:val="1"/>
        </w:numPr>
        <w:rPr/>
      </w:pPr>
      <w:bookmarkStart w:id="253" w:name="__RefHeading___Toc2565214_3650668749"/>
      <w:bookmarkStart w:id="254" w:name="_Toc116"/>
      <w:bookmarkEnd w:id="253"/>
      <w:r>
        <w:rPr>
          <w:rtl w:val="true"/>
        </w:rPr>
        <w:t>[ (</w:t>
      </w:r>
      <w:r>
        <w:rPr>
          <w:rtl w:val="true"/>
        </w:rPr>
        <w:t xml:space="preserve">مسألة </w:t>
      </w:r>
      <w:r>
        <w:rPr/>
        <w:t>18</w:t>
      </w:r>
      <w:r>
        <w:rPr>
          <w:rtl w:val="true"/>
        </w:rPr>
        <w:t xml:space="preserve">): </w:t>
      </w:r>
      <w:r>
        <w:rPr>
          <w:rtl w:val="true"/>
        </w:rPr>
        <w:t>لا بدّ فی المسح من إمرار الماسح علی الممسوح</w:t>
      </w:r>
      <w:r>
        <w:rPr>
          <w:rtl w:val="true"/>
        </w:rPr>
        <w:t>]</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المسح من إمرار الماسح علی الممسوح، فلو عکس لم یجز، نعم لا تضرّ الحرکة الیسیرة فی الممسوح</w:t>
      </w:r>
      <w:r>
        <w:rPr>
          <w:rFonts w:eastAsia="IRNazanin" w:cs="IRNazanin"/>
          <w:color w:val="111111"/>
          <w:sz w:val="28"/>
          <w:szCs w:val="28"/>
          <w:rtl w:val="true"/>
          <w:lang w:bidi="fa-IR"/>
        </w:rPr>
        <w:t>.</w:t>
      </w:r>
    </w:p>
    <w:p>
      <w:pPr>
        <w:pStyle w:val="Heading5"/>
        <w:numPr>
          <w:ilvl w:val="4"/>
          <w:numId w:val="1"/>
        </w:numPr>
        <w:rPr/>
      </w:pPr>
      <w:bookmarkStart w:id="255" w:name="__RefHeading___Toc2565216_3650668749"/>
      <w:bookmarkStart w:id="256" w:name="_Toc117"/>
      <w:bookmarkEnd w:id="255"/>
      <w:r>
        <w:rPr>
          <w:rtl w:val="true"/>
        </w:rPr>
        <w:t>[ (</w:t>
      </w:r>
      <w:r>
        <w:rPr>
          <w:rtl w:val="true"/>
        </w:rPr>
        <w:t xml:space="preserve">مسألة </w:t>
      </w:r>
      <w:r>
        <w:rPr/>
        <w:t>19</w:t>
      </w:r>
      <w:r>
        <w:rPr>
          <w:rtl w:val="true"/>
        </w:rPr>
        <w:t xml:space="preserve">): </w:t>
      </w:r>
      <w:r>
        <w:rPr>
          <w:rtl w:val="true"/>
        </w:rPr>
        <w:t>لا یجب فی مسح القدمین وضع أصابع الکفّ مثلًا</w:t>
      </w:r>
      <w:r>
        <w:rPr>
          <w:rtl w:val="true"/>
        </w:rPr>
        <w:t>]</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فی مسح القدمین وضع أصابع الکفّ مثلًا علیٰ أصابعهما و جرّها إلی الحدّ، بل یجزی أن یضع تمام کفّه علیٰ تمام ظهر القدم ثمّ یجرّها قلیلًا بمقدار یصدق علیه المسح</w:t>
      </w:r>
      <w:r>
        <w:rPr>
          <w:rFonts w:eastAsia="IRNazanin" w:cs="IRNazanin"/>
          <w:color w:val="111111"/>
          <w:sz w:val="28"/>
          <w:szCs w:val="28"/>
          <w:rtl w:val="true"/>
          <w:lang w:bidi="fa-IR"/>
        </w:rPr>
        <w:t>.</w:t>
      </w:r>
    </w:p>
    <w:p>
      <w:pPr>
        <w:pStyle w:val="Heading5"/>
        <w:numPr>
          <w:ilvl w:val="4"/>
          <w:numId w:val="1"/>
        </w:numPr>
        <w:rPr/>
      </w:pPr>
      <w:bookmarkStart w:id="257" w:name="__RefHeading___Toc2565218_3650668749"/>
      <w:bookmarkStart w:id="258" w:name="_Toc118"/>
      <w:bookmarkEnd w:id="257"/>
      <w:r>
        <w:rPr>
          <w:rtl w:val="true"/>
        </w:rPr>
        <w:t>[ (</w:t>
      </w:r>
      <w:r>
        <w:rPr>
          <w:rtl w:val="true"/>
        </w:rPr>
        <w:t xml:space="preserve">مسألة </w:t>
      </w:r>
      <w:r>
        <w:rPr/>
        <w:t>20</w:t>
      </w:r>
      <w:r>
        <w:rPr>
          <w:rtl w:val="true"/>
        </w:rPr>
        <w:t xml:space="preserve">): </w:t>
      </w:r>
      <w:r>
        <w:rPr>
          <w:rtl w:val="true"/>
        </w:rPr>
        <w:t>یجوز المسح علی القناع و الخفّ و الجورب و غیرها عند الضرورة</w:t>
      </w:r>
      <w:r>
        <w:rPr>
          <w:rtl w:val="true"/>
        </w:rPr>
        <w:t>]</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المسح علی القناع و الخفّ و الجورب و غیرها عند الضرورة من تقیّة أو برد أو سَبُع أو عدوّ و نحو ذلک ممّا یخاف بسببه عن رفع 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 المسح علی الحائل کلّ ما اعتبر فی مسح البشرة من کونه بالکفّ و بنداوة الوضوء و غیر ذلک</w:t>
      </w:r>
      <w:r>
        <w:rPr>
          <w:rFonts w:eastAsia="IRNazanin" w:cs="IRNazanin"/>
          <w:color w:val="111111"/>
          <w:sz w:val="28"/>
          <w:szCs w:val="28"/>
          <w:rtl w:val="true"/>
          <w:lang w:bidi="fa-IR"/>
        </w:rPr>
        <w:t>.</w:t>
      </w:r>
    </w:p>
    <w:p>
      <w:pPr>
        <w:pStyle w:val="Heading4"/>
        <w:numPr>
          <w:ilvl w:val="3"/>
          <w:numId w:val="1"/>
        </w:numPr>
        <w:rPr/>
      </w:pPr>
      <w:bookmarkStart w:id="259" w:name="__RefHeading___Toc2565220_3650668749"/>
      <w:bookmarkStart w:id="260" w:name="_Toc119"/>
      <w:bookmarkEnd w:id="259"/>
      <w:r>
        <w:rPr>
          <w:rtl w:val="true"/>
        </w:rPr>
        <w:t>[</w:t>
      </w:r>
      <w:r>
        <w:rPr>
          <w:rtl w:val="true"/>
        </w:rPr>
        <w:t>القول فی شرائط الوضوء</w:t>
      </w:r>
      <w:r>
        <w:rPr>
          <w:rtl w:val="true"/>
        </w:rPr>
        <w:t>]</w:t>
      </w:r>
      <w:bookmarkEnd w:id="260"/>
    </w:p>
    <w:p>
      <w:pPr>
        <w:pStyle w:val="Heading5"/>
        <w:numPr>
          <w:ilvl w:val="4"/>
          <w:numId w:val="1"/>
        </w:numPr>
        <w:rPr/>
      </w:pPr>
      <w:bookmarkStart w:id="261" w:name="__RefHeading___Toc2565222_3650668749"/>
      <w:bookmarkStart w:id="262" w:name="_Toc120"/>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 xml:space="preserve">القول فی شرائط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الوضوء أُمور</w:t>
      </w:r>
      <w:r>
        <w:rPr>
          <w:rFonts w:eastAsia="IRNazanin" w:cs="IRNazanin"/>
          <w:color w:val="111111"/>
          <w:sz w:val="28"/>
          <w:szCs w:val="28"/>
          <w:rtl w:val="true"/>
          <w:lang w:bidi="fa-IR"/>
        </w:rPr>
        <w:t>:</w:t>
      </w:r>
    </w:p>
    <w:p>
      <w:pPr>
        <w:pStyle w:val="Heading5"/>
        <w:numPr>
          <w:ilvl w:val="4"/>
          <w:numId w:val="1"/>
        </w:numPr>
        <w:rPr/>
      </w:pPr>
      <w:bookmarkStart w:id="263" w:name="__RefHeading___Toc2565224_3650668749"/>
      <w:bookmarkStart w:id="264" w:name="_Toc121"/>
      <w:bookmarkEnd w:id="263"/>
      <w:r>
        <w:rPr>
          <w:rtl w:val="true"/>
        </w:rPr>
        <w:t>[</w:t>
      </w:r>
      <w:r>
        <w:rPr>
          <w:rtl w:val="true"/>
        </w:rPr>
        <w:t>منها</w:t>
      </w:r>
      <w:r>
        <w:rPr>
          <w:rtl w:val="true"/>
        </w:rPr>
        <w:t xml:space="preserve">: </w:t>
      </w:r>
      <w:r>
        <w:rPr>
          <w:rtl w:val="true"/>
        </w:rPr>
        <w:t>طهارة الماء و إطلاقه</w:t>
      </w:r>
      <w:r>
        <w:rPr>
          <w:rtl w:val="true"/>
        </w:rPr>
        <w:t>]</w:t>
      </w:r>
      <w:bookmarkEnd w:id="264"/>
    </w:p>
    <w:p>
      <w:pPr>
        <w:pStyle w:val="Heading6"/>
        <w:numPr>
          <w:ilvl w:val="5"/>
          <w:numId w:val="1"/>
        </w:numPr>
        <w:rPr/>
      </w:pPr>
      <w:bookmarkStart w:id="265" w:name="__RefHeading___Toc2565226_3650668749"/>
      <w:bookmarkStart w:id="266" w:name="_Toc122"/>
      <w:bookmarkEnd w:id="265"/>
      <w:r>
        <w:rPr>
          <w:rtl w:val="true"/>
        </w:rPr>
        <w:t>اشارة</w:t>
      </w:r>
      <w:bookmarkEnd w:id="26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و إطلاقه و إباحته و طهارة المحلّ المغسول و الممسوح و رفع الحاجب</w:t>
      </w:r>
      <w:bookmarkStart w:id="267" w:name="pg1809_18765"/>
    </w:p>
    <w:p>
      <w:pPr>
        <w:pStyle w:val="BookText"/>
        <w:rPr/>
      </w:pPr>
      <w:bookmarkEnd w:id="267"/>
      <w:r>
        <w:rPr>
          <w:rFonts w:ascii="IRNazanin" w:hAnsi="IRNazanin" w:eastAsia="IRNazanin"/>
          <w:color w:val="111111"/>
          <w:sz w:val="28"/>
          <w:sz w:val="28"/>
          <w:szCs w:val="28"/>
          <w:rtl w:val="true"/>
          <w:lang w:bidi="fa-IR"/>
        </w:rPr>
        <w:t xml:space="preserve">عنه و إباحة المکان الذی هو بمعنی الفضاء الذی یقع فیه الغسل و المسح، و کذا إباحة المصبّ </w:t>
      </w:r>
      <w:r>
        <w:rPr>
          <w:rStyle w:val="FootnoteAnchor"/>
          <w:rtl w:val="true"/>
        </w:rPr>
        <w:footnoteReference w:id="58"/>
      </w:r>
      <w:r>
        <w:rPr>
          <w:rFonts w:ascii="IRNazanin" w:hAnsi="IRNazanin" w:eastAsia="IRNazanin"/>
          <w:color w:val="111111"/>
          <w:sz w:val="28"/>
          <w:sz w:val="28"/>
          <w:szCs w:val="28"/>
          <w:rtl w:val="true"/>
          <w:lang w:bidi="fa-IR"/>
        </w:rPr>
        <w:t>و الآنیة مع الانحصار بل و مع عدمه أیضاً إذا کان الوضوء بالغمس فیها لا بالاغتراف منها، و عدم المانع من استعمال الماء من مرض أو عطش علیٰ نفسه أو نفس محترمة، و نحو ذلک ممّا یجب معه التیمّم، فلو توضّأ و الحال هذه بطل</w:t>
      </w:r>
      <w:r>
        <w:rPr>
          <w:rFonts w:eastAsia="IRNazanin" w:cs="IRNazanin"/>
          <w:color w:val="111111"/>
          <w:sz w:val="28"/>
          <w:szCs w:val="28"/>
          <w:rtl w:val="true"/>
          <w:lang w:bidi="fa-IR"/>
        </w:rPr>
        <w:t>.</w:t>
      </w:r>
    </w:p>
    <w:p>
      <w:pPr>
        <w:pStyle w:val="Heading6"/>
        <w:numPr>
          <w:ilvl w:val="5"/>
          <w:numId w:val="1"/>
        </w:numPr>
        <w:rPr/>
      </w:pPr>
      <w:bookmarkStart w:id="268" w:name="__RefHeading___Toc2565228_3650668749"/>
      <w:bookmarkStart w:id="269" w:name="_Toc123"/>
      <w:bookmarkEnd w:id="268"/>
      <w:r>
        <w:rPr>
          <w:rtl w:val="true"/>
        </w:rPr>
        <w:t>[ (</w:t>
      </w:r>
      <w:r>
        <w:rPr>
          <w:rtl w:val="true"/>
        </w:rPr>
        <w:t xml:space="preserve">مسألة </w:t>
      </w:r>
      <w:r>
        <w:rPr/>
        <w:t>2</w:t>
      </w:r>
      <w:r>
        <w:rPr>
          <w:rtl w:val="true"/>
        </w:rPr>
        <w:t xml:space="preserve">): </w:t>
      </w:r>
      <w:r>
        <w:rPr>
          <w:rtl w:val="true"/>
        </w:rPr>
        <w:t>المشتبه بالنجس بالشبهة المحصورة کالنجس</w:t>
      </w:r>
      <w:r>
        <w:rPr>
          <w:rtl w:val="true"/>
        </w:rPr>
        <w:t>]</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المشتبه بالنجس بالشبهة المحصورة کالنجس فی عدم جواز التوضّؤ به و إذا انحصر الماء فی المشتبهین یتیمّم للصلاة، لکن إذا أمکن أن یتوضّأ بأحدهما و یصلّی ثمّ یغسل محالّ الوضوء بالماء الآخر ثمّ یتوضّأ به و یعید صلاته ثانیاً یقوی الصحّة </w:t>
      </w:r>
      <w:r>
        <w:rPr>
          <w:rStyle w:val="FootnoteAnchor"/>
          <w:rtl w:val="true"/>
        </w:rPr>
        <w:footnoteReference w:id="59"/>
      </w:r>
      <w:r>
        <w:rPr>
          <w:rFonts w:ascii="IRNazanin" w:hAnsi="IRNazanin" w:eastAsia="IRNazanin"/>
          <w:color w:val="111111"/>
          <w:sz w:val="28"/>
          <w:sz w:val="28"/>
          <w:szCs w:val="28"/>
          <w:rtl w:val="true"/>
          <w:lang w:bidi="fa-IR"/>
        </w:rPr>
        <w:t>، لکن الأحوط مع ذلک ضمّ التیمّم أیضاً مع أحد الوضوءین</w:t>
      </w:r>
      <w:r>
        <w:rPr>
          <w:rFonts w:eastAsia="IRNazanin" w:cs="IRNazanin"/>
          <w:color w:val="111111"/>
          <w:sz w:val="28"/>
          <w:szCs w:val="28"/>
          <w:rtl w:val="true"/>
          <w:lang w:bidi="fa-IR"/>
        </w:rPr>
        <w:t>.</w:t>
      </w:r>
    </w:p>
    <w:p>
      <w:pPr>
        <w:pStyle w:val="Heading6"/>
        <w:numPr>
          <w:ilvl w:val="5"/>
          <w:numId w:val="1"/>
        </w:numPr>
        <w:rPr/>
      </w:pPr>
      <w:bookmarkStart w:id="270" w:name="__RefHeading___Toc2565230_3650668749"/>
      <w:bookmarkStart w:id="271" w:name="_Toc124"/>
      <w:bookmarkEnd w:id="270"/>
      <w:r>
        <w:rPr>
          <w:rtl w:val="true"/>
        </w:rPr>
        <w:t>[ (</w:t>
      </w:r>
      <w:r>
        <w:rPr>
          <w:rtl w:val="true"/>
        </w:rPr>
        <w:t xml:space="preserve">مسألة </w:t>
      </w:r>
      <w:r>
        <w:rPr/>
        <w:t>3</w:t>
      </w:r>
      <w:r>
        <w:rPr>
          <w:rtl w:val="true"/>
        </w:rPr>
        <w:t xml:space="preserve">): </w:t>
      </w:r>
      <w:r>
        <w:rPr>
          <w:rtl w:val="true"/>
        </w:rPr>
        <w:t>إذا لم یکن عنده إلّا ماء مشکوک إضافته و إطلاقه</w:t>
      </w:r>
      <w:r>
        <w:rPr>
          <w:rtl w:val="true"/>
        </w:rPr>
        <w:t>]</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عنده إلّا ماء مشکوک إضافته و إطلاقه فإذا کان حالته السابقة الإطلاق یتوضّأ به و إذا کانت الإضافة یتیمّم، و إذا لم یعلم الحالة السابقة یجب الاحتیاط بالجمع بین الوضوء به و التیمّم</w:t>
      </w:r>
      <w:r>
        <w:rPr>
          <w:rFonts w:eastAsia="IRNazanin" w:cs="IRNazanin"/>
          <w:color w:val="111111"/>
          <w:sz w:val="28"/>
          <w:szCs w:val="28"/>
          <w:rtl w:val="true"/>
          <w:lang w:bidi="fa-IR"/>
        </w:rPr>
        <w:t>.</w:t>
      </w:r>
    </w:p>
    <w:p>
      <w:pPr>
        <w:pStyle w:val="Heading6"/>
        <w:numPr>
          <w:ilvl w:val="5"/>
          <w:numId w:val="1"/>
        </w:numPr>
        <w:rPr/>
      </w:pPr>
      <w:bookmarkStart w:id="272" w:name="__RefHeading___Toc2565232_3650668749"/>
      <w:bookmarkStart w:id="273" w:name="_Toc125"/>
      <w:bookmarkEnd w:id="272"/>
      <w:r>
        <w:rPr>
          <w:rtl w:val="true"/>
        </w:rPr>
        <w:t>[ (</w:t>
      </w:r>
      <w:r>
        <w:rPr>
          <w:rtl w:val="true"/>
        </w:rPr>
        <w:t xml:space="preserve">مسألة </w:t>
      </w:r>
      <w:r>
        <w:rPr/>
        <w:t>4</w:t>
      </w:r>
      <w:r>
        <w:rPr>
          <w:rtl w:val="true"/>
        </w:rPr>
        <w:t xml:space="preserve">): </w:t>
      </w:r>
      <w:r>
        <w:rPr>
          <w:rtl w:val="true"/>
        </w:rPr>
        <w:t>لو اشتبه مضاف فی محصور و لم یکن عنده ماء آخر یجب علیه الاحتیاط بتکرار الوضوء</w:t>
      </w:r>
      <w:r>
        <w:rPr>
          <w:rtl w:val="true"/>
        </w:rPr>
        <w:t>]</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اشتبه مضاف فی محصور و لم یکن عنده ماء آخر یجب علیه الاحتیاط بتکرار الوضوء علیٰ نحو یعلم التوضّؤ بماء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الضابط أن یزاد عدد الوضوءات علیٰ عدد المضاف المعلوم بواحد، فإذا کان عنده إناءان یتوضّأ بهما و إن کان عنده ثلاث إناءات أو أزید و قد علم بإضافة واحد منها یتوضّأ باثنین منها و إذا کان إناءان بین ثلاثة أو أزید یتوضّأ بالثلاثة و هکذا</w:t>
      </w:r>
      <w:r>
        <w:rPr>
          <w:rFonts w:eastAsia="IRNazanin" w:cs="IRNazanin"/>
          <w:color w:val="111111"/>
          <w:sz w:val="28"/>
          <w:szCs w:val="28"/>
          <w:rtl w:val="true"/>
          <w:lang w:bidi="fa-IR"/>
        </w:rPr>
        <w:t>.</w:t>
      </w:r>
    </w:p>
    <w:p>
      <w:pPr>
        <w:pStyle w:val="Heading6"/>
        <w:numPr>
          <w:ilvl w:val="5"/>
          <w:numId w:val="1"/>
        </w:numPr>
        <w:rPr/>
      </w:pPr>
      <w:bookmarkStart w:id="274" w:name="__RefHeading___Toc2565234_3650668749"/>
      <w:bookmarkStart w:id="275" w:name="_Toc126"/>
      <w:bookmarkEnd w:id="274"/>
      <w:r>
        <w:rPr>
          <w:rtl w:val="true"/>
        </w:rPr>
        <w:t>[ (</w:t>
      </w:r>
      <w:r>
        <w:rPr>
          <w:rtl w:val="true"/>
        </w:rPr>
        <w:t xml:space="preserve">مسألة </w:t>
      </w:r>
      <w:r>
        <w:rPr/>
        <w:t>5</w:t>
      </w:r>
      <w:r>
        <w:rPr>
          <w:rtl w:val="true"/>
        </w:rPr>
        <w:t xml:space="preserve">): </w:t>
      </w:r>
      <w:r>
        <w:rPr>
          <w:rtl w:val="true"/>
        </w:rPr>
        <w:t>المشتبه بالغصب کالغصب لا یجوز الوضوء به</w:t>
      </w:r>
      <w:r>
        <w:rPr>
          <w:rtl w:val="true"/>
        </w:rPr>
        <w:t>]</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المشتبه بالغصب کالغصب لا یجوز الوضوء به، فإذا انحصر الماء به تعیّن التیمّم</w:t>
      </w:r>
      <w:r>
        <w:rPr>
          <w:rFonts w:eastAsia="IRNazanin" w:cs="IRNazanin"/>
          <w:color w:val="111111"/>
          <w:sz w:val="28"/>
          <w:szCs w:val="28"/>
          <w:rtl w:val="true"/>
          <w:lang w:bidi="fa-IR"/>
        </w:rPr>
        <w:t>.</w:t>
      </w:r>
    </w:p>
    <w:p>
      <w:pPr>
        <w:pStyle w:val="Heading6"/>
        <w:numPr>
          <w:ilvl w:val="5"/>
          <w:numId w:val="1"/>
        </w:numPr>
        <w:rPr/>
      </w:pPr>
      <w:bookmarkStart w:id="276" w:name="__RefHeading___Toc2565236_3650668749"/>
      <w:bookmarkStart w:id="277" w:name="_Toc127"/>
      <w:bookmarkEnd w:id="276"/>
      <w:r>
        <w:rPr>
          <w:rtl w:val="true"/>
        </w:rPr>
        <w:t>[ (</w:t>
      </w:r>
      <w:r>
        <w:rPr>
          <w:rtl w:val="true"/>
        </w:rPr>
        <w:t xml:space="preserve">مسألة </w:t>
      </w:r>
      <w:r>
        <w:rPr/>
        <w:t>6</w:t>
      </w:r>
      <w:r>
        <w:rPr>
          <w:rtl w:val="true"/>
        </w:rPr>
        <w:t xml:space="preserve">): </w:t>
      </w:r>
      <w:r>
        <w:rPr>
          <w:rtl w:val="true"/>
        </w:rPr>
        <w:t>طهارة الماء و إطلاقه شرط واقعی یستوی فیهما العالم و الجاهل</w:t>
      </w:r>
      <w:r>
        <w:rPr>
          <w:rtl w:val="true"/>
        </w:rPr>
        <w:t>]</w:t>
      </w:r>
      <w:bookmarkEnd w:id="27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الماء و إطلاقه شرط واقعی یستوی فیهما العالم و الجاهل بخلاف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توضّأ بماء مغصوب مع الجهل بغصبیّته أو نسیانها صحّ وضوؤه، حتّی أنّه لو التفت إلی الغصبیّة فی أثناء الوضوء صحّ ما مضی من أجزائه و یتمّ الباقی بماءٍ مباح</w:t>
      </w:r>
      <w:r>
        <w:rPr>
          <w:rFonts w:eastAsia="IRNazanin" w:cs="IRNazanin"/>
          <w:color w:val="111111"/>
          <w:sz w:val="28"/>
          <w:szCs w:val="28"/>
          <w:rtl w:val="true"/>
          <w:lang w:bidi="fa-IR"/>
        </w:rPr>
        <w:t>.</w:t>
      </w:r>
      <w:bookmarkStart w:id="278" w:name="pg1809_18767"/>
    </w:p>
    <w:p>
      <w:pPr>
        <w:pStyle w:val="BookText"/>
        <w:rPr/>
      </w:pPr>
      <w:bookmarkEnd w:id="278"/>
      <w:r>
        <w:rPr>
          <w:rFonts w:ascii="IRNazanin" w:hAnsi="IRNazanin" w:eastAsia="IRNazanin"/>
          <w:color w:val="111111"/>
          <w:sz w:val="28"/>
          <w:sz w:val="28"/>
          <w:szCs w:val="28"/>
          <w:rtl w:val="true"/>
          <w:lang w:bidi="fa-IR"/>
        </w:rPr>
        <w:t xml:space="preserve">و إذا التفت إلیها بعد غسل الید الیسریٰ هل یجوز المسح بما فی یده من الرطوبة و یصحّ وضوؤه أم لا؟ وجهان </w:t>
      </w:r>
      <w:r>
        <w:rPr>
          <w:rStyle w:val="FootnoteAnchor"/>
          <w:rtl w:val="true"/>
        </w:rPr>
        <w:footnoteReference w:id="60"/>
      </w:r>
      <w:r>
        <w:rPr>
          <w:rFonts w:ascii="IRNazanin" w:hAnsi="IRNazanin" w:eastAsia="IRNazanin"/>
          <w:color w:val="111111"/>
          <w:sz w:val="28"/>
          <w:sz w:val="28"/>
          <w:szCs w:val="28"/>
          <w:rtl w:val="true"/>
          <w:lang w:bidi="fa-IR"/>
        </w:rPr>
        <w:t>بل قولان، أحوطهما الثانی بل 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فیما إذا کان علیٰ محالّ وضوئه رطوبة من ماء مغصوب و أراد أن یتوضّأ بماء مباح قبل جفاف الرطوبة</w:t>
      </w:r>
      <w:r>
        <w:rPr>
          <w:rFonts w:eastAsia="IRNazanin" w:cs="IRNazanin"/>
          <w:color w:val="111111"/>
          <w:sz w:val="28"/>
          <w:szCs w:val="28"/>
          <w:rtl w:val="true"/>
          <w:lang w:bidi="fa-IR"/>
        </w:rPr>
        <w:t>.</w:t>
      </w:r>
    </w:p>
    <w:p>
      <w:pPr>
        <w:pStyle w:val="Heading6"/>
        <w:numPr>
          <w:ilvl w:val="5"/>
          <w:numId w:val="1"/>
        </w:numPr>
        <w:rPr/>
      </w:pPr>
      <w:bookmarkStart w:id="279" w:name="__RefHeading___Toc2565238_3650668749"/>
      <w:bookmarkStart w:id="280" w:name="_Toc128"/>
      <w:bookmarkEnd w:id="279"/>
      <w:r>
        <w:rPr>
          <w:rtl w:val="true"/>
        </w:rPr>
        <w:t>[ (</w:t>
      </w:r>
      <w:r>
        <w:rPr>
          <w:rtl w:val="true"/>
        </w:rPr>
        <w:t xml:space="preserve">مسألة </w:t>
      </w:r>
      <w:r>
        <w:rPr/>
        <w:t>7</w:t>
      </w:r>
      <w:r>
        <w:rPr>
          <w:rtl w:val="true"/>
        </w:rPr>
        <w:t xml:space="preserve">): </w:t>
      </w:r>
      <w:r>
        <w:rPr>
          <w:rtl w:val="true"/>
        </w:rPr>
        <w:t>یجوز الوضوء و الشرب و سائر التصرّفات الیسیرة ممّا جرت علیه السیرة من الأنهار الکبیرة</w:t>
      </w:r>
      <w:r>
        <w:rPr>
          <w:rtl w:val="true"/>
        </w:rPr>
        <w:t>]</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الوضوء و الشرب و سائر التصرّفات الیسیرة ممّا جرت علیه السیرة من الأنهار الکبیرة من القنوات و غیرها و إن لم یعلم رضا المالکین بل و إن کان فیهم الصغار و 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النهی منهم أو من بعضهم یشکل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غصبها غاصب یبقی الجواز لغیره دونه</w:t>
      </w:r>
      <w:r>
        <w:rPr>
          <w:rFonts w:eastAsia="IRNazanin" w:cs="IRNazanin"/>
          <w:color w:val="111111"/>
          <w:sz w:val="28"/>
          <w:szCs w:val="28"/>
          <w:rtl w:val="true"/>
          <w:lang w:bidi="fa-IR"/>
        </w:rPr>
        <w:t>.</w:t>
      </w:r>
    </w:p>
    <w:p>
      <w:pPr>
        <w:pStyle w:val="Heading6"/>
        <w:numPr>
          <w:ilvl w:val="5"/>
          <w:numId w:val="1"/>
        </w:numPr>
        <w:rPr/>
      </w:pPr>
      <w:bookmarkStart w:id="281" w:name="__RefHeading___Toc2565240_3650668749"/>
      <w:bookmarkStart w:id="282" w:name="_Toc129"/>
      <w:bookmarkEnd w:id="281"/>
      <w:r>
        <w:rPr>
          <w:rtl w:val="true"/>
        </w:rPr>
        <w:t>[ (</w:t>
      </w:r>
      <w:r>
        <w:rPr>
          <w:rtl w:val="true"/>
        </w:rPr>
        <w:t xml:space="preserve">مسألة </w:t>
      </w:r>
      <w:r>
        <w:rPr/>
        <w:t>8</w:t>
      </w:r>
      <w:r>
        <w:rPr>
          <w:rtl w:val="true"/>
        </w:rPr>
        <w:t xml:space="preserve">): </w:t>
      </w:r>
      <w:r>
        <w:rPr>
          <w:rtl w:val="true"/>
        </w:rPr>
        <w:t>إذا کان ماء مباح فی إناء مغصوب لا یجوز الوضوء منه بالغمس فیه مطلقاً</w:t>
      </w:r>
      <w:r>
        <w:rPr>
          <w:rtl w:val="true"/>
        </w:rPr>
        <w:t>]</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ماء مباح فی إناء مغصوب لا یجوز الوضوء منه بالغمس فیه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بالاغتراف منه فلا یصحّ الوضوء مع الانحصار به و یتعیّن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صبّ الماء المباح من الإناء المغصوب فی الإناء المباح یصحّ الوضوء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تمکّن من ماء آخر مباح صحّ وضوؤه بالاغتراف منه و إن فعل حراماً من جهة التصرّف فی الإناء</w:t>
      </w:r>
      <w:r>
        <w:rPr>
          <w:rFonts w:eastAsia="IRNazanin" w:cs="IRNazanin"/>
          <w:color w:val="111111"/>
          <w:sz w:val="28"/>
          <w:szCs w:val="28"/>
          <w:rtl w:val="true"/>
          <w:lang w:bidi="fa-IR"/>
        </w:rPr>
        <w:t>.</w:t>
      </w:r>
    </w:p>
    <w:p>
      <w:pPr>
        <w:pStyle w:val="Heading6"/>
        <w:numPr>
          <w:ilvl w:val="5"/>
          <w:numId w:val="1"/>
        </w:numPr>
        <w:rPr/>
      </w:pPr>
      <w:bookmarkStart w:id="283" w:name="__RefHeading___Toc2565242_3650668749"/>
      <w:bookmarkStart w:id="284" w:name="_Toc130"/>
      <w:bookmarkEnd w:id="283"/>
      <w:r>
        <w:rPr>
          <w:rtl w:val="true"/>
        </w:rPr>
        <w:t>[ (</w:t>
      </w:r>
      <w:r>
        <w:rPr>
          <w:rtl w:val="true"/>
        </w:rPr>
        <w:t xml:space="preserve">مسألة </w:t>
      </w:r>
      <w:r>
        <w:rPr/>
        <w:t>9</w:t>
      </w:r>
      <w:r>
        <w:rPr>
          <w:rtl w:val="true"/>
        </w:rPr>
        <w:t xml:space="preserve">): </w:t>
      </w:r>
      <w:r>
        <w:rPr>
          <w:rtl w:val="true"/>
        </w:rPr>
        <w:t>یصحّ الوضوء تحت الخیمة المغصوبة</w:t>
      </w:r>
      <w:r>
        <w:rPr>
          <w:rtl w:val="true"/>
        </w:rPr>
        <w:t>]</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الوضوء تحت الخیمة المغصوبة بل فی البیت المغصوب سقفه و جدرانه إذا کان أرضه مباحاً</w:t>
      </w:r>
      <w:r>
        <w:rPr>
          <w:rFonts w:eastAsia="IRNazanin" w:cs="IRNazanin"/>
          <w:color w:val="111111"/>
          <w:sz w:val="28"/>
          <w:szCs w:val="28"/>
          <w:rtl w:val="true"/>
          <w:lang w:bidi="fa-IR"/>
        </w:rPr>
        <w:t>.</w:t>
      </w:r>
    </w:p>
    <w:p>
      <w:pPr>
        <w:pStyle w:val="Heading6"/>
        <w:numPr>
          <w:ilvl w:val="5"/>
          <w:numId w:val="1"/>
        </w:numPr>
        <w:rPr/>
      </w:pPr>
      <w:bookmarkStart w:id="285" w:name="__RefHeading___Toc2565244_3650668749"/>
      <w:bookmarkStart w:id="286" w:name="_Toc131"/>
      <w:bookmarkEnd w:id="285"/>
      <w:r>
        <w:rPr>
          <w:rtl w:val="true"/>
        </w:rPr>
        <w:t>[ (</w:t>
      </w:r>
      <w:r>
        <w:rPr>
          <w:rtl w:val="true"/>
        </w:rPr>
        <w:t xml:space="preserve">مسألة </w:t>
      </w:r>
      <w:r>
        <w:rPr/>
        <w:t>10</w:t>
      </w:r>
      <w:r>
        <w:rPr>
          <w:rtl w:val="true"/>
        </w:rPr>
        <w:t xml:space="preserve">): </w:t>
      </w:r>
      <w:r>
        <w:rPr>
          <w:rtl w:val="true"/>
        </w:rPr>
        <w:t>الظاهر أنّه یجوز الوضوء من حیاض المساجد و المدارس و نحوهما</w:t>
      </w:r>
      <w:r>
        <w:rPr>
          <w:rtl w:val="true"/>
        </w:rPr>
        <w:t>]</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یجوز الوضوء </w:t>
      </w:r>
      <w:r>
        <w:rPr>
          <w:rStyle w:val="FootnoteAnchor"/>
          <w:rtl w:val="true"/>
        </w:rPr>
        <w:footnoteReference w:id="61"/>
      </w:r>
      <w:r>
        <w:rPr>
          <w:rFonts w:ascii="IRNazanin" w:hAnsi="IRNazanin" w:eastAsia="IRNazanin"/>
          <w:color w:val="111111"/>
          <w:sz w:val="28"/>
          <w:sz w:val="28"/>
          <w:szCs w:val="28"/>
          <w:rtl w:val="true"/>
          <w:lang w:bidi="fa-IR"/>
        </w:rPr>
        <w:t>من حیاض المساجد و المدارس و نحوهما إذا لم یعلم شرط الواقف عدم استعمال غیر المصلّین و الساکنین منها و لم یزاحم المصلّین و الطلبة؛ خصوصاً إذا جرت السیرة و العادة علیٰ وضوء غیرهم منها مع عدم منع من أحد</w:t>
      </w:r>
      <w:r>
        <w:rPr>
          <w:rFonts w:eastAsia="IRNazanin" w:cs="IRNazanin"/>
          <w:color w:val="111111"/>
          <w:sz w:val="28"/>
          <w:szCs w:val="28"/>
          <w:rtl w:val="true"/>
          <w:lang w:bidi="fa-IR"/>
        </w:rPr>
        <w:t>.</w:t>
      </w:r>
    </w:p>
    <w:p>
      <w:pPr>
        <w:pStyle w:val="Heading6"/>
        <w:numPr>
          <w:ilvl w:val="5"/>
          <w:numId w:val="1"/>
        </w:numPr>
        <w:rPr/>
      </w:pPr>
      <w:bookmarkStart w:id="287" w:name="__RefHeading___Toc2565246_3650668749"/>
      <w:bookmarkStart w:id="288" w:name="_Toc132"/>
      <w:bookmarkEnd w:id="287"/>
      <w:r>
        <w:rPr>
          <w:rtl w:val="true"/>
        </w:rPr>
        <w:t>[ (</w:t>
      </w:r>
      <w:r>
        <w:rPr>
          <w:rtl w:val="true"/>
        </w:rPr>
        <w:t xml:space="preserve">مسألة </w:t>
      </w:r>
      <w:r>
        <w:rPr/>
        <w:t>11</w:t>
      </w:r>
      <w:r>
        <w:rPr>
          <w:rtl w:val="true"/>
        </w:rPr>
        <w:t xml:space="preserve">): </w:t>
      </w:r>
      <w:r>
        <w:rPr>
          <w:rtl w:val="true"/>
        </w:rPr>
        <w:t>الوضوء من آنیة الذهب و الفضّة کالوضوء من الآنیة المغصوبة</w:t>
      </w:r>
      <w:r>
        <w:rPr>
          <w:rtl w:val="true"/>
        </w:rPr>
        <w:t>]</w:t>
      </w:r>
      <w:bookmarkEnd w:id="28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من آنیة الذهب و الفضّة کالوضوء من الآنیة المغصوبة، فیبطل </w:t>
      </w:r>
      <w:r>
        <w:rPr>
          <w:rStyle w:val="FootnoteAnchor"/>
          <w:rtl w:val="true"/>
        </w:rPr>
        <w:footnoteReference w:id="62"/>
      </w:r>
      <w:r>
        <w:rPr>
          <w:rFonts w:ascii="IRNazanin" w:hAnsi="IRNazanin" w:eastAsia="IRNazanin"/>
          <w:color w:val="111111"/>
          <w:sz w:val="28"/>
          <w:sz w:val="28"/>
          <w:szCs w:val="28"/>
          <w:rtl w:val="true"/>
          <w:lang w:bidi="fa-IR"/>
        </w:rPr>
        <w:t>إن کان بالرمس فیها مطلقاً، و إن کان بالاغتراف منها فیبطل مع الانحصار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توضّأ منها جهلًا أو نسیاناً بل مع الشکّ فی کونها منهما صحّ و لو کان بنحو الرمس أو بنحو الاغتراف مع الانحصار</w:t>
      </w:r>
      <w:r>
        <w:rPr>
          <w:rFonts w:eastAsia="IRNazanin" w:cs="IRNazanin"/>
          <w:color w:val="111111"/>
          <w:sz w:val="28"/>
          <w:szCs w:val="28"/>
          <w:rtl w:val="true"/>
          <w:lang w:bidi="fa-IR"/>
        </w:rPr>
        <w:t>.</w:t>
      </w:r>
      <w:bookmarkStart w:id="289" w:name="pg1809_18769"/>
    </w:p>
    <w:p>
      <w:pPr>
        <w:pStyle w:val="Heading6"/>
        <w:numPr>
          <w:ilvl w:val="5"/>
          <w:numId w:val="1"/>
        </w:numPr>
        <w:rPr/>
      </w:pPr>
      <w:bookmarkStart w:id="290" w:name="__RefHeading___Toc2565248_3650668749"/>
      <w:bookmarkStart w:id="291" w:name="_Toc133"/>
      <w:bookmarkEnd w:id="289"/>
      <w:bookmarkEnd w:id="290"/>
      <w:r>
        <w:rPr>
          <w:rtl w:val="true"/>
        </w:rPr>
        <w:t>[ (</w:t>
      </w:r>
      <w:r>
        <w:rPr>
          <w:rtl w:val="true"/>
        </w:rPr>
        <w:t xml:space="preserve">مسألة </w:t>
      </w:r>
      <w:r>
        <w:rPr/>
        <w:t>12</w:t>
      </w:r>
      <w:r>
        <w:rPr>
          <w:rtl w:val="true"/>
        </w:rPr>
        <w:t xml:space="preserve">): </w:t>
      </w:r>
      <w:r>
        <w:rPr>
          <w:rtl w:val="true"/>
        </w:rPr>
        <w:t>إذا شکّ فی وجود الحاجب قبل الشروع فی الوضوء أو فی الأثناء لا یجب الفحص</w:t>
      </w:r>
      <w:r>
        <w:rPr>
          <w:rtl w:val="true"/>
        </w:rPr>
        <w:t>]</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وجود الحاجب قبل الشروع فی الوضوء أو فی الأثناء لا یجب الفحص إلّا إذا کان منشأ عقلائیّ لاحتماله، و حینئذٍ یجب الفحص </w:t>
      </w:r>
      <w:r>
        <w:rPr>
          <w:rStyle w:val="FootnoteAnchor"/>
          <w:rtl w:val="true"/>
        </w:rPr>
        <w:footnoteReference w:id="63"/>
      </w:r>
      <w:r>
        <w:rPr>
          <w:rFonts w:ascii="IRNazanin" w:hAnsi="IRNazanin" w:eastAsia="IRNazanin"/>
          <w:color w:val="111111"/>
          <w:sz w:val="28"/>
          <w:sz w:val="28"/>
          <w:szCs w:val="28"/>
          <w:rtl w:val="true"/>
          <w:lang w:bidi="fa-IR"/>
        </w:rPr>
        <w:t>حتّی یطمئنّ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شکّ بعد الفراغ فی أنّه کان موجوداً أم لا، بنیٰ علیٰ عدمه و صحّة وضوئه، و کذلک إذا کان موجوداً و کان ملتفتاً إلیه سابقاً </w:t>
      </w:r>
      <w:r>
        <w:rPr>
          <w:rStyle w:val="FootnoteAnchor"/>
          <w:rtl w:val="true"/>
        </w:rPr>
        <w:footnoteReference w:id="64"/>
      </w:r>
      <w:r>
        <w:rPr>
          <w:rFonts w:ascii="IRNazanin" w:hAnsi="IRNazanin" w:eastAsia="IRNazanin"/>
          <w:color w:val="111111"/>
          <w:sz w:val="28"/>
          <w:sz w:val="28"/>
          <w:szCs w:val="28"/>
          <w:rtl w:val="true"/>
          <w:lang w:bidi="fa-IR"/>
        </w:rPr>
        <w:t>و شکّ بعد الوضوء فی أنّه أزاله أو أوصل الماء تحته أم لا، و کذا إذا علم بوجود الحاجب و شکّ فی أنّه کان موجوداً حال الوضوء أو طرء بعده فیحکم فی جمیع هذه الصور بصحّة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بوجود شی‌ء فی حال الوضوء ممّا یمکن أن لا یصل الماء تحته و قد یصل و قد لا یصل کالخاتم، و قد علم أنّه لم یکن ملتفتاً إلیه حین الغسل أو علم أنّه لم یحرّکه و مع ذلک شکّ فی أنّه وصل الماء تحته من باب الاتّفاق أم لا، یشکل الحکم بالصحّة بل الظاهر وجوب الإعادة</w:t>
      </w:r>
      <w:r>
        <w:rPr>
          <w:rFonts w:eastAsia="IRNazanin" w:cs="IRNazanin"/>
          <w:color w:val="111111"/>
          <w:sz w:val="28"/>
          <w:szCs w:val="28"/>
          <w:rtl w:val="true"/>
          <w:lang w:bidi="fa-IR"/>
        </w:rPr>
        <w:t>.</w:t>
      </w:r>
    </w:p>
    <w:p>
      <w:pPr>
        <w:pStyle w:val="Heading6"/>
        <w:numPr>
          <w:ilvl w:val="5"/>
          <w:numId w:val="1"/>
        </w:numPr>
        <w:rPr/>
      </w:pPr>
      <w:bookmarkStart w:id="292" w:name="__RefHeading___Toc2565250_3650668749"/>
      <w:bookmarkStart w:id="293" w:name="_Toc134"/>
      <w:bookmarkEnd w:id="292"/>
      <w:r>
        <w:rPr>
          <w:rtl w:val="true"/>
        </w:rPr>
        <w:t>[ (</w:t>
      </w:r>
      <w:r>
        <w:rPr>
          <w:rtl w:val="true"/>
        </w:rPr>
        <w:t xml:space="preserve">مسألة </w:t>
      </w:r>
      <w:r>
        <w:rPr/>
        <w:t>13</w:t>
      </w:r>
      <w:r>
        <w:rPr>
          <w:rtl w:val="true"/>
        </w:rPr>
        <w:t xml:space="preserve">): </w:t>
      </w:r>
      <w:r>
        <w:rPr>
          <w:rtl w:val="true"/>
        </w:rPr>
        <w:t>إذا کان بعض محالّ الوضوء نجساً فتوضّأ و شکّ بعده فی أنّه طهّره قبل الوضوء أم لا</w:t>
      </w:r>
      <w:r>
        <w:rPr>
          <w:rtl w:val="true"/>
        </w:rPr>
        <w:t>]</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بعض محالّ الوضوء نجساً فتوضّأ و شکّ بعده فی أنّه طهّره قبل الوضوء أم لا، یحکم بصحّة وضوئه </w:t>
      </w:r>
      <w:r>
        <w:rPr>
          <w:rStyle w:val="FootnoteAnchor"/>
          <w:rtl w:val="true"/>
        </w:rPr>
        <w:footnoteReference w:id="65"/>
      </w:r>
      <w:r>
        <w:rPr>
          <w:rFonts w:ascii="IRNazanin" w:hAnsi="IRNazanin" w:eastAsia="IRNazanin"/>
          <w:color w:val="111111"/>
          <w:sz w:val="28"/>
          <w:sz w:val="28"/>
          <w:szCs w:val="28"/>
          <w:rtl w:val="true"/>
          <w:lang w:bidi="fa-IR"/>
        </w:rPr>
        <w:t>لکن یبنی علیٰ بقاء نجاسة المحلّ فیجب غسله للأعمال الآتیة</w:t>
      </w:r>
      <w:r>
        <w:rPr>
          <w:rFonts w:eastAsia="IRNazanin" w:cs="IRNazanin"/>
          <w:color w:val="111111"/>
          <w:sz w:val="28"/>
          <w:szCs w:val="28"/>
          <w:rtl w:val="true"/>
          <w:lang w:bidi="fa-IR"/>
        </w:rPr>
        <w:t>.</w:t>
      </w:r>
    </w:p>
    <w:p>
      <w:pPr>
        <w:pStyle w:val="Heading5"/>
        <w:numPr>
          <w:ilvl w:val="4"/>
          <w:numId w:val="1"/>
        </w:numPr>
        <w:rPr/>
      </w:pPr>
      <w:bookmarkStart w:id="294" w:name="__RefHeading___Toc2565252_3650668749"/>
      <w:bookmarkStart w:id="295" w:name="_Toc135"/>
      <w:bookmarkEnd w:id="294"/>
      <w:r>
        <w:rPr>
          <w:rtl w:val="true"/>
        </w:rPr>
        <w:t>[</w:t>
      </w:r>
      <w:r>
        <w:rPr>
          <w:rtl w:val="true"/>
        </w:rPr>
        <w:t>و منها</w:t>
      </w:r>
      <w:r>
        <w:rPr>
          <w:rtl w:val="true"/>
        </w:rPr>
        <w:t xml:space="preserve">: </w:t>
      </w:r>
      <w:r>
        <w:rPr>
          <w:rtl w:val="true"/>
        </w:rPr>
        <w:t>المباشرة اختیاراً</w:t>
      </w:r>
      <w:r>
        <w:rPr>
          <w:rtl w:val="true"/>
        </w:rPr>
        <w:t>]</w:t>
      </w:r>
      <w:bookmarkEnd w:id="29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المباشرة اختیاراً و مع الاضطرار جاز بل وجب الاستنابة فیوضّئه الغیر و ینوی هو الوضوء، و إن کان الأحوط نیّة الغیر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المسح لا بدّ أن یکون بید المنوب عنه و إمرار النائب و إن لم یمکن أخذ الرطوبة التی فی یده و مسح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مع ذلک ضمّ التیمّم لو أمکن</w:t>
      </w:r>
      <w:r>
        <w:rPr>
          <w:rFonts w:eastAsia="IRNazanin" w:cs="IRNazanin"/>
          <w:color w:val="111111"/>
          <w:sz w:val="28"/>
          <w:szCs w:val="28"/>
          <w:rtl w:val="true"/>
          <w:lang w:bidi="fa-IR"/>
        </w:rPr>
        <w:t>.</w:t>
      </w:r>
    </w:p>
    <w:p>
      <w:pPr>
        <w:pStyle w:val="Heading5"/>
        <w:numPr>
          <w:ilvl w:val="4"/>
          <w:numId w:val="1"/>
        </w:numPr>
        <w:rPr/>
      </w:pPr>
      <w:bookmarkStart w:id="296" w:name="__RefHeading___Toc2565254_3650668749"/>
      <w:bookmarkStart w:id="297" w:name="_Toc136"/>
      <w:bookmarkEnd w:id="296"/>
      <w:r>
        <w:rPr>
          <w:rtl w:val="true"/>
        </w:rPr>
        <w:t>[</w:t>
      </w:r>
      <w:r>
        <w:rPr>
          <w:rtl w:val="true"/>
        </w:rPr>
        <w:t>و منها</w:t>
      </w:r>
      <w:r>
        <w:rPr>
          <w:rtl w:val="true"/>
        </w:rPr>
        <w:t xml:space="preserve">: </w:t>
      </w:r>
      <w:r>
        <w:rPr>
          <w:rtl w:val="true"/>
        </w:rPr>
        <w:t>الترتیب فی الأعضاء</w:t>
      </w:r>
      <w:r>
        <w:rPr>
          <w:rtl w:val="true"/>
        </w:rPr>
        <w:t>]</w:t>
      </w:r>
      <w:bookmarkEnd w:id="29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الترتیب فی الأعضاء فیقدّم تمام الوجه علی الید الیمنیٰ و هی علی الیسریٰ و هی علیٰ مسح الرأس و هو علیٰ مسح الرجلین، و لا یجب الترتیب </w:t>
      </w:r>
      <w:r>
        <w:rPr>
          <w:rStyle w:val="FootnoteAnchor"/>
          <w:rtl w:val="true"/>
        </w:rPr>
        <w:footnoteReference w:id="66"/>
      </w:r>
      <w:r>
        <w:rPr>
          <w:rFonts w:ascii="IRNazanin" w:hAnsi="IRNazanin" w:eastAsia="IRNazanin"/>
          <w:color w:val="111111"/>
          <w:sz w:val="28"/>
          <w:sz w:val="28"/>
          <w:szCs w:val="28"/>
          <w:rtl w:val="true"/>
          <w:lang w:bidi="fa-IR"/>
        </w:rPr>
        <w:t>فی مسحهما، نعم الأحوط عدم تقدیم الیسریٰ علی الیمنیٰ</w:t>
      </w:r>
      <w:r>
        <w:rPr>
          <w:rFonts w:eastAsia="IRNazanin" w:cs="IRNazanin"/>
          <w:color w:val="111111"/>
          <w:sz w:val="28"/>
          <w:szCs w:val="28"/>
          <w:rtl w:val="true"/>
          <w:lang w:bidi="fa-IR"/>
        </w:rPr>
        <w:t>.</w:t>
      </w:r>
    </w:p>
    <w:p>
      <w:pPr>
        <w:pStyle w:val="Heading5"/>
        <w:numPr>
          <w:ilvl w:val="4"/>
          <w:numId w:val="1"/>
        </w:numPr>
        <w:rPr/>
      </w:pPr>
      <w:bookmarkStart w:id="298" w:name="__RefHeading___Toc2565256_3650668749"/>
      <w:bookmarkStart w:id="299" w:name="_Toc137"/>
      <w:bookmarkEnd w:id="298"/>
      <w:r>
        <w:rPr>
          <w:rtl w:val="true"/>
        </w:rPr>
        <w:t>[</w:t>
      </w:r>
      <w:r>
        <w:rPr>
          <w:rtl w:val="true"/>
        </w:rPr>
        <w:t>و منها</w:t>
      </w:r>
      <w:r>
        <w:rPr>
          <w:rtl w:val="true"/>
        </w:rPr>
        <w:t xml:space="preserve">: </w:t>
      </w:r>
      <w:r>
        <w:rPr>
          <w:rtl w:val="true"/>
        </w:rPr>
        <w:t>الموالاة بین الأعضاء</w:t>
      </w:r>
      <w:r>
        <w:rPr>
          <w:rtl w:val="true"/>
        </w:rPr>
        <w:t>]</w:t>
      </w:r>
      <w:bookmarkEnd w:id="299"/>
    </w:p>
    <w:p>
      <w:pPr>
        <w:pStyle w:val="Heading6"/>
        <w:numPr>
          <w:ilvl w:val="5"/>
          <w:numId w:val="1"/>
        </w:numPr>
        <w:rPr/>
      </w:pPr>
      <w:bookmarkStart w:id="300" w:name="__RefHeading___Toc2565258_3650668749"/>
      <w:bookmarkStart w:id="301" w:name="_Toc138"/>
      <w:bookmarkEnd w:id="300"/>
      <w:r>
        <w:rPr>
          <w:rtl w:val="true"/>
        </w:rPr>
        <w:t>اشارة</w:t>
      </w:r>
      <w:bookmarkEnd w:id="30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بین الأعضاء؛ بمعنی أن لا یؤخّر غسل العضو المتأخّر بحیث یحصل بسبب ذلک جفاف جمیع ما تقدّم</w:t>
      </w:r>
      <w:r>
        <w:rPr>
          <w:rFonts w:eastAsia="IRNazanin" w:cs="IRNazanin"/>
          <w:color w:val="111111"/>
          <w:sz w:val="28"/>
          <w:szCs w:val="28"/>
          <w:rtl w:val="true"/>
          <w:lang w:bidi="fa-IR"/>
        </w:rPr>
        <w:t>.</w:t>
      </w:r>
      <w:bookmarkStart w:id="302" w:name="pg1809_18771"/>
    </w:p>
    <w:p>
      <w:pPr>
        <w:pStyle w:val="Heading6"/>
        <w:numPr>
          <w:ilvl w:val="5"/>
          <w:numId w:val="1"/>
        </w:numPr>
        <w:rPr/>
      </w:pPr>
      <w:bookmarkStart w:id="303" w:name="__RefHeading___Toc2565260_3650668749"/>
      <w:bookmarkStart w:id="304" w:name="_Toc139"/>
      <w:bookmarkEnd w:id="302"/>
      <w:bookmarkEnd w:id="303"/>
      <w:r>
        <w:rPr>
          <w:rtl w:val="true"/>
        </w:rPr>
        <w:t>[ (</w:t>
      </w:r>
      <w:r>
        <w:rPr>
          <w:rtl w:val="true"/>
        </w:rPr>
        <w:t xml:space="preserve">مسألة </w:t>
      </w:r>
      <w:r>
        <w:rPr/>
        <w:t>14</w:t>
      </w:r>
      <w:r>
        <w:rPr>
          <w:rtl w:val="true"/>
        </w:rPr>
        <w:t xml:space="preserve">): </w:t>
      </w:r>
      <w:r>
        <w:rPr>
          <w:rtl w:val="true"/>
        </w:rPr>
        <w:t>إنّما یضرّ جفاف الأعضاء السابقة إذا کان بسبب التأخیر و طول الزمان</w:t>
      </w:r>
      <w:r>
        <w:rPr>
          <w:rtl w:val="true"/>
        </w:rPr>
        <w:t>]</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یضرّ جفاف الأعضاء السابقة إذا کان بسبب التأخیر و طول الزمان، و أمّا إذا تابع عرفاً فی الأفعال و مع ذلک حصل الجفاف بسبب حرارة الهواء أو غیرها لم یبطل وضوؤه</w:t>
      </w:r>
      <w:r>
        <w:rPr>
          <w:rFonts w:eastAsia="IRNazanin" w:cs="IRNazanin"/>
          <w:color w:val="111111"/>
          <w:sz w:val="28"/>
          <w:szCs w:val="28"/>
          <w:rtl w:val="true"/>
          <w:lang w:bidi="fa-IR"/>
        </w:rPr>
        <w:t>.</w:t>
      </w:r>
    </w:p>
    <w:p>
      <w:pPr>
        <w:pStyle w:val="Heading6"/>
        <w:numPr>
          <w:ilvl w:val="5"/>
          <w:numId w:val="1"/>
        </w:numPr>
        <w:rPr/>
      </w:pPr>
      <w:bookmarkStart w:id="305" w:name="__RefHeading___Toc2565262_3650668749"/>
      <w:bookmarkStart w:id="306" w:name="_Toc140"/>
      <w:bookmarkEnd w:id="305"/>
      <w:r>
        <w:rPr>
          <w:rtl w:val="true"/>
        </w:rPr>
        <w:t>[ (</w:t>
      </w:r>
      <w:r>
        <w:rPr>
          <w:rtl w:val="true"/>
        </w:rPr>
        <w:t xml:space="preserve">مسألة </w:t>
      </w:r>
      <w:r>
        <w:rPr/>
        <w:t>15</w:t>
      </w:r>
      <w:r>
        <w:rPr>
          <w:rtl w:val="true"/>
        </w:rPr>
        <w:t xml:space="preserve">): </w:t>
      </w:r>
      <w:r>
        <w:rPr>
          <w:rtl w:val="true"/>
        </w:rPr>
        <w:t>لو لم یتابع فی الأفعال و مع ذلک بقی الرطوبة</w:t>
      </w:r>
      <w:r>
        <w:rPr>
          <w:rtl w:val="true"/>
        </w:rPr>
        <w:t>]</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یتابع فی الأفعال و مع ذلک بقی الرطوبة من جهة البرودة و رطوبة الهواء بحیث لو کان الهواء معتدلًا لحصل الجفاف لا بطلان، فالعبرة فی صحّة الوضوء بأحد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بقاء البلل حسّا أو المتابعة عرفاً</w:t>
      </w:r>
      <w:r>
        <w:rPr>
          <w:rFonts w:eastAsia="IRNazanin" w:cs="IRNazanin"/>
          <w:color w:val="111111"/>
          <w:sz w:val="28"/>
          <w:szCs w:val="28"/>
          <w:rtl w:val="true"/>
          <w:lang w:bidi="fa-IR"/>
        </w:rPr>
        <w:t>.</w:t>
      </w:r>
    </w:p>
    <w:p>
      <w:pPr>
        <w:pStyle w:val="Heading6"/>
        <w:numPr>
          <w:ilvl w:val="5"/>
          <w:numId w:val="1"/>
        </w:numPr>
        <w:rPr/>
      </w:pPr>
      <w:bookmarkStart w:id="307" w:name="__RefHeading___Toc2565264_3650668749"/>
      <w:bookmarkStart w:id="308" w:name="_Toc141"/>
      <w:bookmarkEnd w:id="307"/>
      <w:r>
        <w:rPr>
          <w:rtl w:val="true"/>
        </w:rPr>
        <w:t>[ (</w:t>
      </w:r>
      <w:r>
        <w:rPr>
          <w:rtl w:val="true"/>
        </w:rPr>
        <w:t xml:space="preserve">مسألة </w:t>
      </w:r>
      <w:r>
        <w:rPr/>
        <w:t>16</w:t>
      </w:r>
      <w:r>
        <w:rPr>
          <w:rtl w:val="true"/>
        </w:rPr>
        <w:t xml:space="preserve">): </w:t>
      </w:r>
      <w:r>
        <w:rPr>
          <w:rtl w:val="true"/>
        </w:rPr>
        <w:t>إذا ترک الموالاة نسیاناً بطل وضوؤه</w:t>
      </w:r>
      <w:r>
        <w:rPr>
          <w:rtl w:val="true"/>
        </w:rPr>
        <w:t>]</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الموالاة نسیاناً بطل وضوؤه، و کذا لو اعتقد عدم الجفاف ثمّ تبیّن الخلاف</w:t>
      </w:r>
      <w:r>
        <w:rPr>
          <w:rFonts w:eastAsia="IRNazanin" w:cs="IRNazanin"/>
          <w:color w:val="111111"/>
          <w:sz w:val="28"/>
          <w:szCs w:val="28"/>
          <w:rtl w:val="true"/>
          <w:lang w:bidi="fa-IR"/>
        </w:rPr>
        <w:t>.</w:t>
      </w:r>
    </w:p>
    <w:p>
      <w:pPr>
        <w:pStyle w:val="Heading6"/>
        <w:numPr>
          <w:ilvl w:val="5"/>
          <w:numId w:val="1"/>
        </w:numPr>
        <w:rPr/>
      </w:pPr>
      <w:bookmarkStart w:id="309" w:name="__RefHeading___Toc2565266_3650668749"/>
      <w:bookmarkStart w:id="310" w:name="_Toc142"/>
      <w:bookmarkEnd w:id="309"/>
      <w:r>
        <w:rPr>
          <w:rtl w:val="true"/>
        </w:rPr>
        <w:t>[ (</w:t>
      </w:r>
      <w:r>
        <w:rPr>
          <w:rtl w:val="true"/>
        </w:rPr>
        <w:t xml:space="preserve">مسألة </w:t>
      </w:r>
      <w:r>
        <w:rPr/>
        <w:t>17</w:t>
      </w:r>
      <w:r>
        <w:rPr>
          <w:rtl w:val="true"/>
        </w:rPr>
        <w:t xml:space="preserve">): </w:t>
      </w:r>
      <w:r>
        <w:rPr>
          <w:rtl w:val="true"/>
        </w:rPr>
        <w:t>لو لم یبق من الرطوبة إلّا فی مسترسل اللحیة</w:t>
      </w:r>
      <w:r>
        <w:rPr>
          <w:rtl w:val="true"/>
        </w:rPr>
        <w:t>]</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الرطوبة إلّا فی مسترسل اللحیة ففی کفایتها إشکال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2565268_3650668749"/>
      <w:bookmarkStart w:id="312" w:name="_Toc143"/>
      <w:bookmarkEnd w:id="311"/>
      <w:r>
        <w:rPr>
          <w:rtl w:val="true"/>
        </w:rPr>
        <w:t>[</w:t>
      </w:r>
      <w:r>
        <w:rPr>
          <w:rtl w:val="true"/>
        </w:rPr>
        <w:t>و منها</w:t>
      </w:r>
      <w:r>
        <w:rPr>
          <w:rtl w:val="true"/>
        </w:rPr>
        <w:t xml:space="preserve">: </w:t>
      </w:r>
      <w:r>
        <w:rPr>
          <w:rtl w:val="true"/>
        </w:rPr>
        <w:t>النیّة</w:t>
      </w:r>
      <w:r>
        <w:rPr>
          <w:rtl w:val="true"/>
        </w:rPr>
        <w:t>]</w:t>
      </w:r>
      <w:bookmarkEnd w:id="312"/>
    </w:p>
    <w:p>
      <w:pPr>
        <w:pStyle w:val="Heading6"/>
        <w:numPr>
          <w:ilvl w:val="5"/>
          <w:numId w:val="1"/>
        </w:numPr>
        <w:rPr/>
      </w:pPr>
      <w:bookmarkStart w:id="313" w:name="__RefHeading___Toc2565270_3650668749"/>
      <w:bookmarkStart w:id="314" w:name="_Toc144"/>
      <w:bookmarkEnd w:id="313"/>
      <w:r>
        <w:rPr>
          <w:rtl w:val="true"/>
        </w:rPr>
        <w:t>اشارة</w:t>
      </w:r>
      <w:bookmarkEnd w:id="31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و هی القصد إلی الفعل بعنوان الامتثال و هو المراد </w:t>
      </w:r>
      <w:r>
        <w:rPr>
          <w:rStyle w:val="FootnoteAnchor"/>
          <w:rtl w:val="true"/>
        </w:rPr>
        <w:footnoteReference w:id="68"/>
      </w:r>
      <w:r>
        <w:rPr>
          <w:rFonts w:ascii="IRNazanin" w:hAnsi="IRNazanin" w:eastAsia="IRNazanin"/>
          <w:color w:val="111111"/>
          <w:sz w:val="28"/>
          <w:sz w:val="28"/>
          <w:szCs w:val="28"/>
          <w:rtl w:val="true"/>
          <w:lang w:bidi="fa-IR"/>
        </w:rPr>
        <w:t>بنیّة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فیها الإخلاص، فمتیٰ ضمّ إلیها ما ینافیه بطل؛ خصوصاً الریاء فإنّه إذا دخل فی العمل علیٰ أیّ نحو کان أفسده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غیره من الضمائم فإن کانت راجحة لا یضرّ ضمّها إلّا إذا کانت هی المقصود الأصلی و یکون قصد امتثال الأمر الوضوئی تبعاً، أو ترکّب </w:t>
      </w:r>
      <w:r>
        <w:rPr>
          <w:rStyle w:val="FootnoteAnchor"/>
          <w:rtl w:val="true"/>
        </w:rPr>
        <w:footnoteReference w:id="69"/>
      </w:r>
      <w:r>
        <w:rPr>
          <w:rFonts w:ascii="IRNazanin" w:hAnsi="IRNazanin" w:eastAsia="IRNazanin"/>
          <w:color w:val="111111"/>
          <w:sz w:val="28"/>
          <w:sz w:val="28"/>
          <w:szCs w:val="28"/>
          <w:rtl w:val="true"/>
          <w:lang w:bidi="fa-IR"/>
        </w:rPr>
        <w:t>الداعی منهما بحیث یکون کلّ منهما جزءً للداعی، و أمّا إذا کانت مباحة کالتبرّد فیبطل الوضوء إلّا إذا دخلت علیٰ وجه التبعیّة و کان امتثال أمر الوضوء هو المقصود الأصلی</w:t>
      </w:r>
      <w:r>
        <w:rPr>
          <w:rFonts w:eastAsia="IRNazanin" w:cs="IRNazanin"/>
          <w:color w:val="111111"/>
          <w:sz w:val="28"/>
          <w:szCs w:val="28"/>
          <w:rtl w:val="true"/>
          <w:lang w:bidi="fa-IR"/>
        </w:rPr>
        <w:t>.</w:t>
      </w:r>
    </w:p>
    <w:p>
      <w:pPr>
        <w:pStyle w:val="Heading6"/>
        <w:numPr>
          <w:ilvl w:val="5"/>
          <w:numId w:val="1"/>
        </w:numPr>
        <w:rPr/>
      </w:pPr>
      <w:bookmarkStart w:id="315" w:name="__RefHeading___Toc2565272_3650668749"/>
      <w:bookmarkStart w:id="316" w:name="_Toc145"/>
      <w:bookmarkEnd w:id="315"/>
      <w:r>
        <w:rPr>
          <w:rtl w:val="true"/>
        </w:rPr>
        <w:t>[ (</w:t>
      </w:r>
      <w:r>
        <w:rPr>
          <w:rtl w:val="true"/>
        </w:rPr>
        <w:t xml:space="preserve">مسألة </w:t>
      </w:r>
      <w:r>
        <w:rPr/>
        <w:t>18</w:t>
      </w:r>
      <w:r>
        <w:rPr>
          <w:rtl w:val="true"/>
        </w:rPr>
        <w:t xml:space="preserve">): </w:t>
      </w:r>
      <w:r>
        <w:rPr>
          <w:rtl w:val="true"/>
        </w:rPr>
        <w:t>لا یعتبر فی النیّة التلفّظ بها و لا الإخطار بها فی القلب</w:t>
      </w:r>
      <w:r>
        <w:rPr>
          <w:rtl w:val="true"/>
        </w:rPr>
        <w:t>]</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النیّة التلفّظ بها و لا الإخطار بها فی القلب تفصیلًا، بل یکفی فیها الإرادة الإجمالیّة المرتکزة فی النفس بحیث لو سئل عن شغله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أتوضّأ، و هذه الإرادة الإجمالیّة هی التی یسمّونها بالداعی و هو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شرع فی العمل ثمّ ذهل عنه و غفل بالمرّة بحیث لو سئل عن شغله بقی متحیّراً و لا یدری ما یصنع یکون عملًا بلا نیّة</w:t>
      </w:r>
      <w:r>
        <w:rPr>
          <w:rFonts w:eastAsia="IRNazanin" w:cs="IRNazanin"/>
          <w:color w:val="111111"/>
          <w:sz w:val="28"/>
          <w:szCs w:val="28"/>
          <w:rtl w:val="true"/>
          <w:lang w:bidi="fa-IR"/>
        </w:rPr>
        <w:t>.</w:t>
      </w:r>
    </w:p>
    <w:p>
      <w:pPr>
        <w:pStyle w:val="Heading6"/>
        <w:numPr>
          <w:ilvl w:val="5"/>
          <w:numId w:val="1"/>
        </w:numPr>
        <w:rPr/>
      </w:pPr>
      <w:bookmarkStart w:id="317" w:name="__RefHeading___Toc2565274_3650668749"/>
      <w:bookmarkStart w:id="318" w:name="_Toc146"/>
      <w:bookmarkEnd w:id="317"/>
      <w:r>
        <w:rPr>
          <w:rtl w:val="true"/>
        </w:rPr>
        <w:t>[ (</w:t>
      </w:r>
      <w:r>
        <w:rPr>
          <w:rtl w:val="true"/>
        </w:rPr>
        <w:t xml:space="preserve">مسألة </w:t>
      </w:r>
      <w:r>
        <w:rPr/>
        <w:t>19</w:t>
      </w:r>
      <w:r>
        <w:rPr>
          <w:rtl w:val="true"/>
        </w:rPr>
        <w:t xml:space="preserve">): </w:t>
      </w:r>
      <w:r>
        <w:rPr>
          <w:rtl w:val="true"/>
        </w:rPr>
        <w:t>کما یجب النیّة فی أوّل العمل کذلک یجب استدامتها إلیٰ آخره</w:t>
      </w:r>
      <w:r>
        <w:rPr>
          <w:rtl w:val="true"/>
        </w:rPr>
        <w:t>]</w:t>
      </w:r>
      <w:bookmarkEnd w:id="31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النیّة فی أوّل العمل کذلک یجب استدامتها إلیٰ آخره، فلو تردّد أو نوی العدم و أتمّ الوضوء علیٰ هذا الحال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عدل إلی النیّة الأُولیٰ قبل فوات الموالاة و ضمّ إلیٰ ما أتی به مع النیّة باقی الأفعال صحّ</w:t>
      </w:r>
      <w:r>
        <w:rPr>
          <w:rFonts w:eastAsia="IRNazanin" w:cs="IRNazanin"/>
          <w:color w:val="111111"/>
          <w:sz w:val="28"/>
          <w:szCs w:val="28"/>
          <w:rtl w:val="true"/>
          <w:lang w:bidi="fa-IR"/>
        </w:rPr>
        <w:t>.</w:t>
      </w:r>
      <w:bookmarkStart w:id="319" w:name="pg1809_18774"/>
    </w:p>
    <w:p>
      <w:pPr>
        <w:pStyle w:val="Heading6"/>
        <w:numPr>
          <w:ilvl w:val="5"/>
          <w:numId w:val="1"/>
        </w:numPr>
        <w:rPr/>
      </w:pPr>
      <w:bookmarkStart w:id="320" w:name="__RefHeading___Toc2565276_3650668749"/>
      <w:bookmarkStart w:id="321" w:name="_Toc147"/>
      <w:bookmarkEnd w:id="319"/>
      <w:bookmarkEnd w:id="320"/>
      <w:r>
        <w:rPr>
          <w:rtl w:val="true"/>
        </w:rPr>
        <w:t>[ (</w:t>
      </w:r>
      <w:r>
        <w:rPr>
          <w:rtl w:val="true"/>
        </w:rPr>
        <w:t xml:space="preserve">مسألة </w:t>
      </w:r>
      <w:r>
        <w:rPr/>
        <w:t>20</w:t>
      </w:r>
      <w:r>
        <w:rPr>
          <w:rtl w:val="true"/>
        </w:rPr>
        <w:t xml:space="preserve">): </w:t>
      </w:r>
      <w:r>
        <w:rPr>
          <w:rtl w:val="true"/>
        </w:rPr>
        <w:t>یکفی فی النیّة قصد القربة</w:t>
      </w:r>
      <w:r>
        <w:rPr>
          <w:rtl w:val="true"/>
        </w:rPr>
        <w:t>]</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النیّة قصد القربة و لا یجب نیّة الوجوب أو الندب لا وصفاً و لا غایة، فلا یلزم أن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أتوضّأ الوضوء الذی یکون واجباً علیّ، أو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أتوضّأ لأنّه یجب علیّ، بل لو نوی الوجوب فی موضع الندب أو العکس اشتباهاً بعد ما کان قاصداً للقربة و الامتثال علیٰ أیّ حال کفیٰ و صحّ، فإذا نوی الوجوب بتخیّل دخول الوقت فتبیّن خلافه صحّ وضوؤه کالعکس</w:t>
      </w:r>
      <w:r>
        <w:rPr>
          <w:rFonts w:eastAsia="IRNazanin" w:cs="IRNazanin"/>
          <w:color w:val="111111"/>
          <w:sz w:val="28"/>
          <w:szCs w:val="28"/>
          <w:rtl w:val="true"/>
          <w:lang w:bidi="fa-IR"/>
        </w:rPr>
        <w:t>.</w:t>
      </w:r>
    </w:p>
    <w:p>
      <w:pPr>
        <w:pStyle w:val="Heading6"/>
        <w:numPr>
          <w:ilvl w:val="5"/>
          <w:numId w:val="1"/>
        </w:numPr>
        <w:rPr/>
      </w:pPr>
      <w:bookmarkStart w:id="322" w:name="__RefHeading___Toc2565278_3650668749"/>
      <w:bookmarkStart w:id="323" w:name="_Toc148"/>
      <w:bookmarkEnd w:id="322"/>
      <w:r>
        <w:rPr>
          <w:rtl w:val="true"/>
        </w:rPr>
        <w:t>[ (</w:t>
      </w:r>
      <w:r>
        <w:rPr>
          <w:rtl w:val="true"/>
        </w:rPr>
        <w:t xml:space="preserve">مسألة </w:t>
      </w:r>
      <w:r>
        <w:rPr/>
        <w:t>21</w:t>
      </w:r>
      <w:r>
        <w:rPr>
          <w:rtl w:val="true"/>
        </w:rPr>
        <w:t xml:space="preserve">): </w:t>
      </w:r>
      <w:r>
        <w:rPr>
          <w:rtl w:val="true"/>
        </w:rPr>
        <w:t>لا یعتبر فی صحّة الوضوء نیّة رفع الحدث</w:t>
      </w:r>
      <w:r>
        <w:rPr>
          <w:rtl w:val="true"/>
        </w:rPr>
        <w:t>]</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صحّة الوضوء نیّة رفع الحدث و لا نیّة استباحة الصلاة و غیرها من الغایات، بل لو نوی التجدید فتبیّن کونه محدثاً صحّ الوضوء و یجوز معه الصلاة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یکفی وضوء واحد عن الأسباب المختلفة و إن لم یلحظها بالنیّة، بل لو قصد رفع حدث بعینه </w:t>
      </w:r>
      <w:r>
        <w:rPr>
          <w:rStyle w:val="FootnoteAnchor"/>
          <w:rtl w:val="true"/>
        </w:rPr>
        <w:footnoteReference w:id="70"/>
      </w:r>
      <w:r>
        <w:rPr>
          <w:rFonts w:ascii="IRNazanin" w:hAnsi="IRNazanin" w:eastAsia="IRNazanin"/>
          <w:color w:val="111111"/>
          <w:sz w:val="28"/>
          <w:sz w:val="28"/>
          <w:szCs w:val="28"/>
          <w:rtl w:val="true"/>
          <w:lang w:bidi="fa-IR"/>
        </w:rPr>
        <w:t>صحّ الوضوء و ارتفع الجمیع</w:t>
      </w:r>
      <w:r>
        <w:rPr>
          <w:rFonts w:eastAsia="IRNazanin" w:cs="IRNazanin"/>
          <w:color w:val="111111"/>
          <w:sz w:val="28"/>
          <w:szCs w:val="28"/>
          <w:rtl w:val="true"/>
          <w:lang w:bidi="fa-IR"/>
        </w:rPr>
        <w:t>.</w:t>
      </w:r>
    </w:p>
    <w:p>
      <w:pPr>
        <w:pStyle w:val="Heading4"/>
        <w:numPr>
          <w:ilvl w:val="3"/>
          <w:numId w:val="1"/>
        </w:numPr>
        <w:rPr/>
      </w:pPr>
      <w:bookmarkStart w:id="324" w:name="__RefHeading___Toc2565280_3650668749"/>
      <w:bookmarkStart w:id="325" w:name="_Toc149"/>
      <w:bookmarkEnd w:id="324"/>
      <w:r>
        <w:rPr>
          <w:rtl w:val="true"/>
        </w:rPr>
        <w:t>[</w:t>
      </w:r>
      <w:r>
        <w:rPr>
          <w:rtl w:val="true"/>
        </w:rPr>
        <w:t>فصل فی موجبات الوضوء و غایاته</w:t>
      </w:r>
      <w:r>
        <w:rPr>
          <w:rtl w:val="true"/>
        </w:rPr>
        <w:t>]</w:t>
      </w:r>
      <w:bookmarkEnd w:id="325"/>
    </w:p>
    <w:p>
      <w:pPr>
        <w:pStyle w:val="Heading5"/>
        <w:numPr>
          <w:ilvl w:val="4"/>
          <w:numId w:val="1"/>
        </w:numPr>
        <w:rPr/>
      </w:pPr>
      <w:bookmarkStart w:id="326" w:name="__RefHeading___Toc2565282_3650668749"/>
      <w:bookmarkStart w:id="327" w:name="_Toc150"/>
      <w:bookmarkEnd w:id="326"/>
      <w:r>
        <w:rPr>
          <w:rtl w:val="true"/>
        </w:rPr>
        <w:t>اشارة</w:t>
      </w:r>
      <w:bookmarkEnd w:id="327"/>
    </w:p>
    <w:p>
      <w:pPr>
        <w:pStyle w:val="BookText"/>
        <w:rPr/>
      </w:pPr>
      <w:r>
        <w:rPr>
          <w:rFonts w:ascii="IRNazanin" w:hAnsi="IRNazanin" w:eastAsia="IRNazanin"/>
          <w:color w:val="111111"/>
          <w:sz w:val="28"/>
          <w:sz w:val="28"/>
          <w:szCs w:val="28"/>
          <w:rtl w:val="true"/>
          <w:lang w:bidi="fa-IR"/>
        </w:rPr>
        <w:t>فصل فی موجبات الوضوء و غایاته</w:t>
      </w:r>
    </w:p>
    <w:p>
      <w:pPr>
        <w:pStyle w:val="Heading5"/>
        <w:numPr>
          <w:ilvl w:val="4"/>
          <w:numId w:val="1"/>
        </w:numPr>
        <w:rPr/>
      </w:pPr>
      <w:bookmarkStart w:id="328" w:name="__RefHeading___Toc2565284_3650668749"/>
      <w:bookmarkStart w:id="329" w:name="_Toc151"/>
      <w:bookmarkEnd w:id="328"/>
      <w:r>
        <w:rPr>
          <w:rtl w:val="true"/>
        </w:rPr>
        <w:t>[ (</w:t>
      </w:r>
      <w:r>
        <w:rPr>
          <w:rtl w:val="true"/>
        </w:rPr>
        <w:t xml:space="preserve">مسألة </w:t>
      </w:r>
      <w:r>
        <w:rPr/>
        <w:t>1</w:t>
      </w:r>
      <w:r>
        <w:rPr>
          <w:rtl w:val="true"/>
        </w:rPr>
        <w:t xml:space="preserve">): </w:t>
      </w:r>
      <w:r>
        <w:rPr>
          <w:rtl w:val="true"/>
        </w:rPr>
        <w:t>الأحداث الناقضة للوضوء و الموجبة له أُمور</w:t>
      </w:r>
      <w:r>
        <w:rPr>
          <w:rtl w:val="true"/>
        </w:rPr>
        <w:t>]</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الناقضة للوضوء و الموجبة له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البول و ما فی حکمه کالبلل المشتبه قبل الاستبراء، و خروج الغائط من الموضع الطبیعی أو من غیره مع انسداد الطبیعی أو بدونه؛ کثیراً کان أو قلیلًا و لو بمصاحبة دود أو نواة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الریح عن الدبر إذا کان من المعدة </w:t>
      </w:r>
      <w:r>
        <w:rPr>
          <w:rStyle w:val="FootnoteAnchor"/>
          <w:rtl w:val="true"/>
        </w:rPr>
        <w:footnoteReference w:id="71"/>
      </w:r>
      <w:r>
        <w:rPr>
          <w:rFonts w:ascii="IRNazanin" w:hAnsi="IRNazanin" w:eastAsia="IRNazanin"/>
          <w:color w:val="111111"/>
          <w:sz w:val="28"/>
          <w:sz w:val="28"/>
          <w:szCs w:val="28"/>
          <w:rtl w:val="true"/>
          <w:lang w:bidi="fa-IR"/>
        </w:rPr>
        <w:t>سواء کان له صوت و رائحة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عبرة بما یخرج من قُبل المرأة و لا بما لا یکون من المعدة کما إذا دخل من الخارج ثمّ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الغالب علیٰ حاسّتی السمع و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أزال العقل مثل الجنون و الإغماء و السکر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الاستحاضة القلیلة بل المتوسّطة و الکثیرة </w:t>
      </w:r>
      <w:r>
        <w:rPr>
          <w:rStyle w:val="FootnoteAnchor"/>
          <w:rtl w:val="true"/>
        </w:rPr>
        <w:footnoteReference w:id="72"/>
      </w:r>
      <w:r>
        <w:rPr>
          <w:rFonts w:ascii="IRNazanin" w:hAnsi="IRNazanin" w:eastAsia="IRNazanin"/>
          <w:color w:val="111111"/>
          <w:sz w:val="28"/>
          <w:sz w:val="28"/>
          <w:szCs w:val="28"/>
          <w:rtl w:val="true"/>
          <w:lang w:bidi="fa-IR"/>
        </w:rPr>
        <w:t xml:space="preserve">أیضاً و إن أوجبتا </w:t>
      </w:r>
      <w:r>
        <w:rPr>
          <w:rStyle w:val="FootnoteAnchor"/>
          <w:rtl w:val="true"/>
        </w:rPr>
        <w:footnoteReference w:id="73"/>
      </w:r>
      <w:r>
        <w:rPr>
          <w:rFonts w:ascii="IRNazanin" w:hAnsi="IRNazanin" w:eastAsia="IRNazanin"/>
          <w:color w:val="111111"/>
          <w:sz w:val="28"/>
          <w:sz w:val="28"/>
          <w:szCs w:val="28"/>
          <w:rtl w:val="true"/>
          <w:lang w:bidi="fa-IR"/>
        </w:rPr>
        <w:t>الغسل أیضاً حسب ما یأتی فی محلّه</w:t>
      </w:r>
      <w:r>
        <w:rPr>
          <w:rFonts w:eastAsia="IRNazanin" w:cs="IRNazanin"/>
          <w:color w:val="111111"/>
          <w:sz w:val="28"/>
          <w:szCs w:val="28"/>
          <w:rtl w:val="true"/>
          <w:lang w:bidi="fa-IR"/>
        </w:rPr>
        <w:t>.</w:t>
      </w:r>
    </w:p>
    <w:p>
      <w:pPr>
        <w:pStyle w:val="Heading5"/>
        <w:numPr>
          <w:ilvl w:val="4"/>
          <w:numId w:val="1"/>
        </w:numPr>
        <w:rPr/>
      </w:pPr>
      <w:bookmarkStart w:id="330" w:name="__RefHeading___Toc2565286_3650668749"/>
      <w:bookmarkStart w:id="331" w:name="_Toc152"/>
      <w:bookmarkEnd w:id="330"/>
      <w:r>
        <w:rPr>
          <w:rtl w:val="true"/>
        </w:rPr>
        <w:t>[ (</w:t>
      </w:r>
      <w:r>
        <w:rPr>
          <w:rtl w:val="true"/>
        </w:rPr>
        <w:t xml:space="preserve">مسألة </w:t>
      </w:r>
      <w:r>
        <w:rPr/>
        <w:t>2</w:t>
      </w:r>
      <w:r>
        <w:rPr>
          <w:rtl w:val="true"/>
        </w:rPr>
        <w:t xml:space="preserve">): </w:t>
      </w:r>
      <w:r>
        <w:rPr>
          <w:rtl w:val="true"/>
        </w:rPr>
        <w:t>إذا خرج ماء الاحتقان و لم یکن معه شی‌ء من الغائط لم ینتقض الوضوء</w:t>
      </w:r>
      <w:r>
        <w:rPr>
          <w:rtl w:val="true"/>
        </w:rPr>
        <w:t>]</w:t>
      </w:r>
      <w:bookmarkEnd w:id="33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ماء الاحتقان و لم یکن معه شی‌ء من الغائط لم ینتقض الوضوء و کذا لو شکّ فی خروج شی‌ء معه و کذلک الحال فیما إذا خرج دود أو نواة غیر متلطّخ بالغائط</w:t>
      </w:r>
      <w:r>
        <w:rPr>
          <w:rFonts w:eastAsia="IRNazanin" w:cs="IRNazanin"/>
          <w:color w:val="111111"/>
          <w:sz w:val="28"/>
          <w:szCs w:val="28"/>
          <w:rtl w:val="true"/>
          <w:lang w:bidi="fa-IR"/>
        </w:rPr>
        <w:t>.</w:t>
      </w:r>
      <w:bookmarkStart w:id="332" w:name="pg1809_18776"/>
    </w:p>
    <w:p>
      <w:pPr>
        <w:pStyle w:val="Heading5"/>
        <w:numPr>
          <w:ilvl w:val="4"/>
          <w:numId w:val="1"/>
        </w:numPr>
        <w:rPr/>
      </w:pPr>
      <w:bookmarkStart w:id="333" w:name="__RefHeading___Toc2565288_3650668749"/>
      <w:bookmarkStart w:id="334" w:name="_Toc153"/>
      <w:bookmarkEnd w:id="332"/>
      <w:bookmarkEnd w:id="333"/>
      <w:r>
        <w:rPr>
          <w:rtl w:val="true"/>
        </w:rPr>
        <w:t>[ (</w:t>
      </w:r>
      <w:r>
        <w:rPr>
          <w:rtl w:val="true"/>
        </w:rPr>
        <w:t xml:space="preserve">مسألة </w:t>
      </w:r>
      <w:r>
        <w:rPr/>
        <w:t>3</w:t>
      </w:r>
      <w:r>
        <w:rPr>
          <w:rtl w:val="true"/>
        </w:rPr>
        <w:t xml:space="preserve">): </w:t>
      </w:r>
      <w:r>
        <w:rPr>
          <w:rtl w:val="true"/>
        </w:rPr>
        <w:t>المسلوس و المبطون إن کانت لهما فترة تسع الطهارة و الصلاة</w:t>
      </w:r>
      <w:r>
        <w:rPr>
          <w:rtl w:val="true"/>
        </w:rPr>
        <w:t>]</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المسلوس و المبطون إن کانت لهما فترة تسع الطهارة و الصلاة و لو بالاقتصار علیٰ أقلّ واجباتها انتظراها و أوقعا الصلاة فی تلک الفترة، و إن لم تکن لهما تلک الفترة، فإمّا أن یکون خروج الحدث فی أثناء الصلاة مرّة أو مرّتین أو ثلاث مثلًا بحیث لا حرج علیهما فی التوضّؤ فی الأثناء و البناء، و إمّا أن یکون متّصلًا بحیث لو توضّئا بعد کلّ حدث و بنیا لزم علیهما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الصورة الأُولیٰ یتوضّئان و یشتغلان بالصلاة بعد أن یضعا الماء قریباً منهما، فإذا خرج منهما شی‌ء توضّئا بلا مهلة و بنیا علیٰ صلاتهما، و الأحوط أن یصلّیا صلاة أُخری بوضوء واحد، بل لا یترک هذا الاحتیاط فی المسلوس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الصورة الثانیة یتوضّئان لکلّ صلاة </w:t>
      </w:r>
      <w:r>
        <w:rPr>
          <w:rStyle w:val="FootnoteAnchor"/>
          <w:rtl w:val="true"/>
        </w:rPr>
        <w:footnoteReference w:id="75"/>
      </w:r>
      <w:r>
        <w:rPr>
          <w:rFonts w:ascii="IRNazanin" w:hAnsi="IRNazanin" w:eastAsia="IRNazanin"/>
          <w:color w:val="111111"/>
          <w:sz w:val="28"/>
          <w:sz w:val="28"/>
          <w:szCs w:val="28"/>
          <w:rtl w:val="true"/>
          <w:lang w:bidi="fa-IR"/>
        </w:rPr>
        <w:t xml:space="preserve">و لا یجوز أن یصلّیا صلاتین بوضوءٍ واحد فریضة کانتا أو نافلة أو مختلفتین و الظاهر إلحاق مسلوس الریح </w:t>
      </w:r>
      <w:r>
        <w:rPr>
          <w:rStyle w:val="FootnoteAnchor"/>
          <w:rtl w:val="true"/>
        </w:rPr>
        <w:footnoteReference w:id="76"/>
      </w:r>
      <w:r>
        <w:rPr>
          <w:rFonts w:ascii="IRNazanin" w:hAnsi="IRNazanin" w:eastAsia="IRNazanin"/>
          <w:color w:val="111111"/>
          <w:sz w:val="28"/>
          <w:sz w:val="28"/>
          <w:szCs w:val="28"/>
          <w:rtl w:val="true"/>
          <w:lang w:bidi="fa-IR"/>
        </w:rPr>
        <w:t>بمسلوس البول فی التفصیل المتقدّم</w:t>
      </w:r>
      <w:r>
        <w:rPr>
          <w:rFonts w:eastAsia="IRNazanin" w:cs="IRNazanin"/>
          <w:color w:val="111111"/>
          <w:sz w:val="28"/>
          <w:szCs w:val="28"/>
          <w:rtl w:val="true"/>
          <w:lang w:bidi="fa-IR"/>
        </w:rPr>
        <w:t>.</w:t>
      </w:r>
    </w:p>
    <w:p>
      <w:pPr>
        <w:pStyle w:val="Heading5"/>
        <w:numPr>
          <w:ilvl w:val="4"/>
          <w:numId w:val="1"/>
        </w:numPr>
        <w:rPr/>
      </w:pPr>
      <w:bookmarkStart w:id="335" w:name="__RefHeading___Toc2565290_3650668749"/>
      <w:bookmarkStart w:id="336" w:name="_Toc154"/>
      <w:bookmarkEnd w:id="335"/>
      <w:r>
        <w:rPr>
          <w:rtl w:val="true"/>
        </w:rPr>
        <w:t>[ (</w:t>
      </w:r>
      <w:r>
        <w:rPr>
          <w:rtl w:val="true"/>
        </w:rPr>
        <w:t xml:space="preserve">مسألة </w:t>
      </w:r>
      <w:r>
        <w:rPr/>
        <w:t>4</w:t>
      </w:r>
      <w:r>
        <w:rPr>
          <w:rtl w:val="true"/>
        </w:rPr>
        <w:t xml:space="preserve">): </w:t>
      </w:r>
      <w:r>
        <w:rPr>
          <w:rtl w:val="true"/>
        </w:rPr>
        <w:t>یجب علی المسلوس التحفّظ من تعدّی بوله بکیس فیه قطن و نحوه</w:t>
      </w:r>
      <w:r>
        <w:rPr>
          <w:rtl w:val="true"/>
        </w:rPr>
        <w:t>]</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المسلوس التحفّظ من تعدّی بوله بکیس فیه قطن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عدم وجوب تغییره أو تطهیره لکلّ صلاة، نعم الأحوط تطهیر الحشفة إن أمکن من غیر حرج، و یجب التحفّظ بما أمکن فی المبطون أیضاً، کما أنّ الأحوط فیه أیضاً تطهیر المخرج إن أمکن من غیر حرج</w:t>
      </w:r>
      <w:r>
        <w:rPr>
          <w:rFonts w:eastAsia="IRNazanin" w:cs="IRNazanin"/>
          <w:color w:val="111111"/>
          <w:sz w:val="28"/>
          <w:szCs w:val="28"/>
          <w:rtl w:val="true"/>
          <w:lang w:bidi="fa-IR"/>
        </w:rPr>
        <w:t>.</w:t>
      </w:r>
    </w:p>
    <w:p>
      <w:pPr>
        <w:pStyle w:val="Heading5"/>
        <w:numPr>
          <w:ilvl w:val="4"/>
          <w:numId w:val="1"/>
        </w:numPr>
        <w:rPr/>
      </w:pPr>
      <w:bookmarkStart w:id="337" w:name="__RefHeading___Toc2565292_3650668749"/>
      <w:bookmarkStart w:id="338" w:name="_Toc155"/>
      <w:bookmarkEnd w:id="337"/>
      <w:r>
        <w:rPr>
          <w:rtl w:val="true"/>
        </w:rPr>
        <w:t>[ (</w:t>
      </w:r>
      <w:r>
        <w:rPr>
          <w:rtl w:val="true"/>
        </w:rPr>
        <w:t xml:space="preserve">مسألة </w:t>
      </w:r>
      <w:r>
        <w:rPr/>
        <w:t>5</w:t>
      </w:r>
      <w:r>
        <w:rPr>
          <w:rtl w:val="true"/>
        </w:rPr>
        <w:t xml:space="preserve">): </w:t>
      </w:r>
      <w:r>
        <w:rPr>
          <w:rtl w:val="true"/>
        </w:rPr>
        <w:t>لا یجب علی المسلوس و المبطون قضاء ما مضی من الصلوات بعد برئهما</w:t>
      </w:r>
      <w:r>
        <w:rPr>
          <w:rtl w:val="true"/>
        </w:rPr>
        <w:t>]</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المسلوس و المبطون قضاء ما مضی من الصلوات بعد برئهما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وجوب إعادتها إذا برئ فی الوقت و اتّسع الزمان للصلاة مع الطهارة</w:t>
      </w:r>
      <w:r>
        <w:rPr>
          <w:rFonts w:eastAsia="IRNazanin" w:cs="IRNazanin"/>
          <w:color w:val="111111"/>
          <w:sz w:val="28"/>
          <w:szCs w:val="28"/>
          <w:rtl w:val="true"/>
          <w:lang w:bidi="fa-IR"/>
        </w:rPr>
        <w:t>.</w:t>
      </w:r>
    </w:p>
    <w:p>
      <w:pPr>
        <w:pStyle w:val="Heading4"/>
        <w:numPr>
          <w:ilvl w:val="3"/>
          <w:numId w:val="1"/>
        </w:numPr>
        <w:rPr/>
      </w:pPr>
      <w:bookmarkStart w:id="339" w:name="__RefHeading___Toc2565294_3650668749"/>
      <w:bookmarkStart w:id="340" w:name="_Toc156"/>
      <w:bookmarkEnd w:id="339"/>
      <w:r>
        <w:rPr>
          <w:rtl w:val="true"/>
        </w:rPr>
        <w:t>[</w:t>
      </w:r>
      <w:r>
        <w:rPr>
          <w:rtl w:val="true"/>
        </w:rPr>
        <w:t>فصل غایات الوضوء</w:t>
      </w:r>
      <w:r>
        <w:rPr>
          <w:rtl w:val="true"/>
        </w:rPr>
        <w:t>]</w:t>
      </w:r>
      <w:bookmarkEnd w:id="340"/>
    </w:p>
    <w:p>
      <w:pPr>
        <w:pStyle w:val="Heading5"/>
        <w:numPr>
          <w:ilvl w:val="4"/>
          <w:numId w:val="1"/>
        </w:numPr>
        <w:rPr/>
      </w:pPr>
      <w:bookmarkStart w:id="341" w:name="__RefHeading___Toc2565296_3650668749"/>
      <w:bookmarkStart w:id="342" w:name="_Toc157"/>
      <w:bookmarkEnd w:id="341"/>
      <w:r>
        <w:rPr>
          <w:rtl w:val="true"/>
        </w:rPr>
        <w:t>اشارة</w:t>
      </w:r>
      <w:bookmarkEnd w:id="34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غایات الوضوء ما کان وجوب الوضوء أو استحبابه لأجله من جهة کونه شرطاً</w:t>
      </w:r>
      <w:bookmarkStart w:id="343" w:name="pg1809_18778"/>
    </w:p>
    <w:p>
      <w:pPr>
        <w:pStyle w:val="BookText"/>
        <w:rPr/>
      </w:pPr>
      <w:bookmarkEnd w:id="343"/>
      <w:r>
        <w:rPr>
          <w:rFonts w:ascii="IRNazanin" w:hAnsi="IRNazanin" w:eastAsia="IRNazanin"/>
          <w:color w:val="111111"/>
          <w:sz w:val="28"/>
          <w:sz w:val="28"/>
          <w:szCs w:val="28"/>
          <w:rtl w:val="true"/>
          <w:lang w:bidi="fa-IR"/>
        </w:rPr>
        <w:t>لصحّته کالصلاة، أو شرطاً، لجوازه و عدم حرمته کمسّ کتابة القرآن، أو شرطاً لکماله کقراءة القرآن، أو لرفع کراهته کالأکل فی حال الجنابة فإنّه مکروه و ترتفع کراهته بالوضوء</w:t>
      </w:r>
      <w:r>
        <w:rPr>
          <w:rFonts w:eastAsia="IRNazanin" w:cs="IRNazanin"/>
          <w:color w:val="111111"/>
          <w:sz w:val="28"/>
          <w:szCs w:val="28"/>
          <w:rtl w:val="true"/>
          <w:lang w:bidi="fa-IR"/>
        </w:rPr>
        <w:t>.</w:t>
      </w:r>
    </w:p>
    <w:p>
      <w:pPr>
        <w:pStyle w:val="Heading5"/>
        <w:numPr>
          <w:ilvl w:val="4"/>
          <w:numId w:val="1"/>
        </w:numPr>
        <w:rPr/>
      </w:pPr>
      <w:bookmarkStart w:id="344" w:name="__RefHeading___Toc2565298_3650668749"/>
      <w:bookmarkStart w:id="345" w:name="_Toc158"/>
      <w:bookmarkEnd w:id="344"/>
      <w:r>
        <w:rPr>
          <w:rtl w:val="true"/>
        </w:rPr>
        <w:t>[</w:t>
      </w:r>
      <w:r>
        <w:rPr>
          <w:rtl w:val="true"/>
        </w:rPr>
        <w:t>أمّا الأوّل</w:t>
      </w:r>
      <w:r>
        <w:rPr>
          <w:rtl w:val="true"/>
        </w:rPr>
        <w:t xml:space="preserve">: </w:t>
      </w:r>
      <w:r>
        <w:rPr>
          <w:rtl w:val="true"/>
        </w:rPr>
        <w:t>و هو ما کان الوضوء شرطاً لصحّته</w:t>
      </w:r>
      <w:r>
        <w:rPr>
          <w:rtl w:val="true"/>
        </w:rPr>
        <w:t>]</w:t>
      </w:r>
      <w:bookmarkEnd w:id="345"/>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کان الوضوء شرطاً لصحّته فهو شرط للصلاة؛ فریضة کانت أو نافلة، أداءً کانت أو قضاءً، عن النفس أو الغیر، و لأجزائها المنسیّة بل و سجدتی السهو أیضاً علی الأحوط </w:t>
      </w:r>
      <w:r>
        <w:rPr>
          <w:rStyle w:val="FootnoteAnchor"/>
          <w:rtl w:val="true"/>
        </w:rPr>
        <w:footnoteReference w:id="77"/>
      </w:r>
      <w:r>
        <w:rPr>
          <w:rFonts w:ascii="IRNazanin" w:hAnsi="IRNazanin" w:eastAsia="IRNazanin"/>
          <w:color w:val="111111"/>
          <w:sz w:val="28"/>
          <w:sz w:val="28"/>
          <w:szCs w:val="28"/>
          <w:rtl w:val="true"/>
          <w:lang w:bidi="fa-IR"/>
        </w:rPr>
        <w:t xml:space="preserve">، و کذا للطواف الذی کان جزءً للحجّ أو العمرة و إن کانا مندوبین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2565300_3650668749"/>
      <w:bookmarkStart w:id="347" w:name="_Toc159"/>
      <w:bookmarkEnd w:id="346"/>
      <w:r>
        <w:rPr>
          <w:rtl w:val="true"/>
        </w:rPr>
        <w:t>[</w:t>
      </w:r>
      <w:r>
        <w:rPr>
          <w:rtl w:val="true"/>
        </w:rPr>
        <w:t>و أمّا الثانی</w:t>
      </w:r>
      <w:r>
        <w:rPr>
          <w:rtl w:val="true"/>
        </w:rPr>
        <w:t xml:space="preserve">: </w:t>
      </w:r>
      <w:r>
        <w:rPr>
          <w:rtl w:val="true"/>
        </w:rPr>
        <w:t>فهو شرط لجواز مسّ کتابة القرآن</w:t>
      </w:r>
      <w:r>
        <w:rPr>
          <w:rtl w:val="true"/>
        </w:rPr>
        <w:t>]</w:t>
      </w:r>
      <w:bookmarkEnd w:id="347"/>
    </w:p>
    <w:p>
      <w:pPr>
        <w:pStyle w:val="Heading6"/>
        <w:numPr>
          <w:ilvl w:val="5"/>
          <w:numId w:val="1"/>
        </w:numPr>
        <w:rPr/>
      </w:pPr>
      <w:bookmarkStart w:id="348" w:name="__RefHeading___Toc2565302_3650668749"/>
      <w:bookmarkStart w:id="349" w:name="_Toc160"/>
      <w:bookmarkEnd w:id="348"/>
      <w:r>
        <w:rPr>
          <w:rtl w:val="true"/>
        </w:rPr>
        <w:t>اشارة</w:t>
      </w:r>
      <w:bookmarkEnd w:id="349"/>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شرط لجواز مسّ کتابة القرآن فیحرم مسّها علی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آیاتها و کلماتها، بل و الحروف و المدّ و التشدید و أعاریبها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بها أسماء اللّٰه و صفاته الخاصّة، و أمّا أسماء الأنبیاء و الأئمّة و الملائکة ففی إلحاقها بها تأمّل و إشکال و الأحوط التجنّب خصوصاً فی الأُولیین</w:t>
      </w:r>
      <w:r>
        <w:rPr>
          <w:rFonts w:eastAsia="IRNazanin" w:cs="IRNazanin"/>
          <w:color w:val="111111"/>
          <w:sz w:val="28"/>
          <w:szCs w:val="28"/>
          <w:rtl w:val="true"/>
          <w:lang w:bidi="fa-IR"/>
        </w:rPr>
        <w:t>.</w:t>
      </w:r>
    </w:p>
    <w:p>
      <w:pPr>
        <w:pStyle w:val="Heading6"/>
        <w:numPr>
          <w:ilvl w:val="5"/>
          <w:numId w:val="1"/>
        </w:numPr>
        <w:rPr/>
      </w:pPr>
      <w:bookmarkStart w:id="350" w:name="__RefHeading___Toc2565304_3650668749"/>
      <w:bookmarkStart w:id="351" w:name="_Toc161"/>
      <w:bookmarkEnd w:id="350"/>
      <w:r>
        <w:rPr>
          <w:rtl w:val="true"/>
        </w:rPr>
        <w:t>[ (</w:t>
      </w:r>
      <w:r>
        <w:rPr>
          <w:rtl w:val="true"/>
        </w:rPr>
        <w:t xml:space="preserve">مسألة </w:t>
      </w:r>
      <w:r>
        <w:rPr/>
        <w:t>1</w:t>
      </w:r>
      <w:r>
        <w:rPr>
          <w:rtl w:val="true"/>
        </w:rPr>
        <w:t xml:space="preserve">): </w:t>
      </w:r>
      <w:r>
        <w:rPr>
          <w:rtl w:val="true"/>
        </w:rPr>
        <w:t>لا فرق فی حرمة المسّ بین أجزاء البدن ظاهراً و باطناً</w:t>
      </w:r>
      <w:r>
        <w:rPr>
          <w:rtl w:val="true"/>
        </w:rPr>
        <w:t>]</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حرمة المسّ بین أجزاء البدن ظاهراً و باطناً، نعم لا یبعد جواز المسّ بالشعر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فرق بین أنواع الخطوط حتّی المهجور منها کالکوفی و کذا بین أنحاء الکتابة من الکتب بالقلم أو الطبع أو غیر ذلک</w:t>
      </w:r>
      <w:r>
        <w:rPr>
          <w:rFonts w:eastAsia="IRNazanin" w:cs="IRNazanin"/>
          <w:color w:val="111111"/>
          <w:sz w:val="28"/>
          <w:szCs w:val="28"/>
          <w:rtl w:val="true"/>
          <w:lang w:bidi="fa-IR"/>
        </w:rPr>
        <w:t>.</w:t>
      </w:r>
    </w:p>
    <w:p>
      <w:pPr>
        <w:pStyle w:val="Heading5"/>
        <w:numPr>
          <w:ilvl w:val="4"/>
          <w:numId w:val="1"/>
        </w:numPr>
        <w:rPr/>
      </w:pPr>
      <w:bookmarkStart w:id="352" w:name="__RefHeading___Toc2565306_3650668749"/>
      <w:bookmarkStart w:id="353" w:name="_Toc162"/>
      <w:bookmarkEnd w:id="352"/>
      <w:r>
        <w:rPr>
          <w:rtl w:val="true"/>
        </w:rPr>
        <w:t>[</w:t>
      </w:r>
      <w:r>
        <w:rPr>
          <w:rtl w:val="true"/>
        </w:rPr>
        <w:t>و أمّا الثالث</w:t>
      </w:r>
      <w:r>
        <w:rPr>
          <w:rtl w:val="true"/>
        </w:rPr>
        <w:t xml:space="preserve">: </w:t>
      </w:r>
      <w:r>
        <w:rPr>
          <w:rtl w:val="true"/>
        </w:rPr>
        <w:t>فهو أقسام کثیرة</w:t>
      </w:r>
      <w:r>
        <w:rPr>
          <w:rtl w:val="true"/>
        </w:rPr>
        <w:t>]</w:t>
      </w:r>
      <w:bookmarkEnd w:id="353"/>
    </w:p>
    <w:p>
      <w:pPr>
        <w:pStyle w:val="Heading6"/>
        <w:numPr>
          <w:ilvl w:val="5"/>
          <w:numId w:val="1"/>
        </w:numPr>
        <w:rPr/>
      </w:pPr>
      <w:bookmarkStart w:id="354" w:name="__RefHeading___Toc2565308_3650668749"/>
      <w:bookmarkStart w:id="355" w:name="_Toc163"/>
      <w:bookmarkEnd w:id="354"/>
      <w:r>
        <w:rPr>
          <w:rtl w:val="true"/>
        </w:rPr>
        <w:t>اشارة</w:t>
      </w:r>
      <w:bookmarkEnd w:id="355"/>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أقسام کثیرة لا یناسب ذکرها فی هذه الوجیزة فلیطلب من المطوّلات، و الأقوی کون الوضوء بنفسه </w:t>
      </w:r>
      <w:r>
        <w:rPr>
          <w:rStyle w:val="FootnoteAnchor"/>
          <w:rtl w:val="true"/>
        </w:rPr>
        <w:footnoteReference w:id="79"/>
      </w:r>
      <w:r>
        <w:rPr>
          <w:rFonts w:ascii="IRNazanin" w:hAnsi="IRNazanin" w:eastAsia="IRNazanin"/>
          <w:color w:val="111111"/>
          <w:sz w:val="28"/>
          <w:sz w:val="28"/>
          <w:szCs w:val="28"/>
          <w:rtl w:val="true"/>
          <w:lang w:bidi="fa-IR"/>
        </w:rPr>
        <w:t>مستحبّاً کسائر المستحبّات النفسیّة فیصحّ إتیانه بقصد القربة و إن لم یقصد إحدی الغایات کسائر العبادات</w:t>
      </w:r>
      <w:r>
        <w:rPr>
          <w:rFonts w:eastAsia="IRNazanin" w:cs="IRNazanin"/>
          <w:color w:val="111111"/>
          <w:sz w:val="28"/>
          <w:szCs w:val="28"/>
          <w:rtl w:val="true"/>
          <w:lang w:bidi="fa-IR"/>
        </w:rPr>
        <w:t>.</w:t>
      </w:r>
    </w:p>
    <w:p>
      <w:pPr>
        <w:pStyle w:val="Heading6"/>
        <w:numPr>
          <w:ilvl w:val="5"/>
          <w:numId w:val="1"/>
        </w:numPr>
        <w:rPr/>
      </w:pPr>
      <w:bookmarkStart w:id="356" w:name="__RefHeading___Toc2565310_3650668749"/>
      <w:bookmarkStart w:id="357" w:name="_Toc164"/>
      <w:bookmarkEnd w:id="356"/>
      <w:r>
        <w:rPr>
          <w:rtl w:val="true"/>
        </w:rPr>
        <w:t>[ (</w:t>
      </w:r>
      <w:r>
        <w:rPr>
          <w:rtl w:val="true"/>
        </w:rPr>
        <w:t xml:space="preserve">مسألة </w:t>
      </w:r>
      <w:r>
        <w:rPr/>
        <w:t>2</w:t>
      </w:r>
      <w:r>
        <w:rPr>
          <w:rtl w:val="true"/>
        </w:rPr>
        <w:t xml:space="preserve">): </w:t>
      </w:r>
      <w:r>
        <w:rPr>
          <w:rtl w:val="true"/>
        </w:rPr>
        <w:t>یستحبّ للتوضّی أن یجدّد وضوءه</w:t>
      </w:r>
      <w:r>
        <w:rPr>
          <w:rtl w:val="true"/>
        </w:rPr>
        <w:t>]</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للتوضّی أن یجدّد وضوءه، و الظاهر جوازه ثالثاً و رابعاً فصاعداً و لو تبیّن مصادفته للحدث یرتفع به علی الأقویٰ فلا یحتاج إلیٰ وضوء آخر</w:t>
      </w:r>
      <w:r>
        <w:rPr>
          <w:rFonts w:eastAsia="IRNazanin" w:cs="IRNazanin"/>
          <w:color w:val="111111"/>
          <w:sz w:val="28"/>
          <w:szCs w:val="28"/>
          <w:rtl w:val="true"/>
          <w:lang w:bidi="fa-IR"/>
        </w:rPr>
        <w:t>.</w:t>
      </w:r>
    </w:p>
    <w:p>
      <w:pPr>
        <w:pStyle w:val="Heading4"/>
        <w:numPr>
          <w:ilvl w:val="3"/>
          <w:numId w:val="1"/>
        </w:numPr>
        <w:rPr/>
      </w:pPr>
      <w:bookmarkStart w:id="358" w:name="__RefHeading___Toc2565312_3650668749"/>
      <w:bookmarkStart w:id="359" w:name="_Toc165"/>
      <w:bookmarkEnd w:id="358"/>
      <w:r>
        <w:rPr>
          <w:rtl w:val="true"/>
        </w:rPr>
        <w:t>[</w:t>
      </w:r>
      <w:r>
        <w:rPr>
          <w:rtl w:val="true"/>
        </w:rPr>
        <w:t>القول فی أحکام الخلل</w:t>
      </w:r>
      <w:r>
        <w:rPr>
          <w:rtl w:val="true"/>
        </w:rPr>
        <w:t>]</w:t>
      </w:r>
      <w:bookmarkEnd w:id="359"/>
    </w:p>
    <w:p>
      <w:pPr>
        <w:pStyle w:val="Heading5"/>
        <w:numPr>
          <w:ilvl w:val="4"/>
          <w:numId w:val="1"/>
        </w:numPr>
        <w:rPr/>
      </w:pPr>
      <w:bookmarkStart w:id="360" w:name="__RefHeading___Toc2565314_3650668749"/>
      <w:bookmarkStart w:id="361" w:name="_Toc166"/>
      <w:bookmarkEnd w:id="360"/>
      <w:r>
        <w:rPr>
          <w:rtl w:val="true"/>
        </w:rPr>
        <w:t>اشارة</w:t>
      </w:r>
      <w:bookmarkEnd w:id="361"/>
    </w:p>
    <w:p>
      <w:pPr>
        <w:pStyle w:val="BookText"/>
        <w:rPr/>
      </w:pPr>
      <w:r>
        <w:rPr>
          <w:rFonts w:ascii="IRNazanin" w:hAnsi="IRNazanin" w:eastAsia="IRNazanin"/>
          <w:color w:val="111111"/>
          <w:sz w:val="28"/>
          <w:sz w:val="28"/>
          <w:szCs w:val="28"/>
          <w:rtl w:val="true"/>
          <w:lang w:bidi="fa-IR"/>
        </w:rPr>
        <w:t>القول فی أحکام الخلل</w:t>
      </w:r>
    </w:p>
    <w:p>
      <w:pPr>
        <w:pStyle w:val="Heading5"/>
        <w:numPr>
          <w:ilvl w:val="4"/>
          <w:numId w:val="1"/>
        </w:numPr>
        <w:rPr/>
      </w:pPr>
      <w:bookmarkStart w:id="362" w:name="__RefHeading___Toc2565316_3650668749"/>
      <w:bookmarkStart w:id="363" w:name="_Toc167"/>
      <w:bookmarkEnd w:id="362"/>
      <w:r>
        <w:rPr>
          <w:rtl w:val="true"/>
        </w:rPr>
        <w:t>[ (</w:t>
      </w:r>
      <w:r>
        <w:rPr>
          <w:rtl w:val="true"/>
        </w:rPr>
        <w:t xml:space="preserve">مسألة </w:t>
      </w:r>
      <w:r>
        <w:rPr/>
        <w:t>1</w:t>
      </w:r>
      <w:r>
        <w:rPr>
          <w:rtl w:val="true"/>
        </w:rPr>
        <w:t xml:space="preserve">): </w:t>
      </w:r>
      <w:r>
        <w:rPr>
          <w:rtl w:val="true"/>
        </w:rPr>
        <w:t>لو تیقّن الحدث و شکّ فی الطهارة أو ظنّ بها تطهّر</w:t>
      </w:r>
      <w:r>
        <w:rPr>
          <w:rtl w:val="true"/>
        </w:rPr>
        <w:t>]</w:t>
      </w:r>
      <w:bookmarkEnd w:id="36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تیقّن الحدث و شکّ فی الطهارة أو ظنّ بها تطهّر، و لو کان شکّه فی أثناء العمل کما لو دخل فی الصلاة مثلًا و شکّ فی أثنائها فی الطهارة فإنّه یقطعها و یتطهّر،</w:t>
      </w:r>
      <w:bookmarkStart w:id="364" w:name="pg1809_18780"/>
    </w:p>
    <w:p>
      <w:pPr>
        <w:pStyle w:val="BookText"/>
        <w:rPr/>
      </w:pPr>
      <w:bookmarkEnd w:id="364"/>
      <w:r>
        <w:rPr>
          <w:rFonts w:ascii="IRNazanin" w:hAnsi="IRNazanin" w:eastAsia="IRNazanin"/>
          <w:color w:val="111111"/>
          <w:sz w:val="28"/>
          <w:sz w:val="28"/>
          <w:szCs w:val="28"/>
          <w:rtl w:val="true"/>
          <w:lang w:bidi="fa-IR"/>
        </w:rPr>
        <w:t>و الأحوط الإتمام ثمّ الاستئناف بطهارة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شکّه بعد الفراغ من العمل بنیٰ علیٰ صحّة العمل السابق و تطهّر جدیداً للعمل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تیقّن الطهارة و شکّ فی الحدث لم یلتفت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تیقّنهما و شکّ فی المتأخّر منهما تطهّر، إلّا إذا علم تاریخ الطهارة فیبنی علیها </w:t>
      </w:r>
      <w:r>
        <w:rPr>
          <w:rStyle w:val="FootnoteAnchor"/>
          <w:rtl w:val="true"/>
        </w:rPr>
        <w:footnoteReference w:id="80"/>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تیقّن ترک غسل عضو أو مسحه أتی به و بما بعده إذا لم یحصل مفسد من فوات موالاة و نحوه و إلّا استأنف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فی فعل شی‌ء من أفعال الوضوء قبل الفراغ منه أتی بما شکّ فیه مراعیاً للترتیب و الموالاة و غیرهما ممّا یعتبر فی الوضوء، و الظنّ هنا کالشکّ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 الشکّ لا عبرة بشکّه، کما أنّه لا عبرة بالشکّ بعد الفراغ؛ سواء کان شکّه فی فعل من أفعال الوضوء أو فی شرط من شروطه</w:t>
      </w:r>
      <w:r>
        <w:rPr>
          <w:rFonts w:eastAsia="IRNazanin" w:cs="IRNazanin"/>
          <w:color w:val="111111"/>
          <w:sz w:val="28"/>
          <w:szCs w:val="28"/>
          <w:rtl w:val="true"/>
          <w:lang w:bidi="fa-IR"/>
        </w:rPr>
        <w:t>.</w:t>
      </w:r>
    </w:p>
    <w:p>
      <w:pPr>
        <w:pStyle w:val="Heading5"/>
        <w:numPr>
          <w:ilvl w:val="4"/>
          <w:numId w:val="1"/>
        </w:numPr>
        <w:rPr/>
      </w:pPr>
      <w:bookmarkStart w:id="365" w:name="__RefHeading___Toc2565318_3650668749"/>
      <w:bookmarkStart w:id="366" w:name="_Toc168"/>
      <w:bookmarkEnd w:id="365"/>
      <w:r>
        <w:rPr>
          <w:rtl w:val="true"/>
        </w:rPr>
        <w:t>[ (</w:t>
      </w:r>
      <w:r>
        <w:rPr>
          <w:rtl w:val="true"/>
        </w:rPr>
        <w:t xml:space="preserve">مسألة </w:t>
      </w:r>
      <w:r>
        <w:rPr/>
        <w:t>2</w:t>
      </w:r>
      <w:r>
        <w:rPr>
          <w:rtl w:val="true"/>
        </w:rPr>
        <w:t xml:space="preserve">): </w:t>
      </w:r>
      <w:r>
        <w:rPr>
          <w:rtl w:val="true"/>
        </w:rPr>
        <w:t>إذا کان متوضّئاً و توضّأ للتجدید و صلّیٰ ثمّ تیقّن بطلان أحد الوضوءین</w:t>
      </w:r>
      <w:r>
        <w:rPr>
          <w:rtl w:val="true"/>
        </w:rPr>
        <w:t>]</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متوضّئاً و توضّأ للتجدید و صلّیٰ ثمّ تیقّن بطلان أحد الوضوءین لا أثر لهذا العلم الإجمالی لا بالنسبة إلی الصلاة التی أوقعها و لا بالنسبة إلی الصلاة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صلّیٰ بعد کلّ من الوضوءین ثمّ تیقّن بطلان أحدهما فالصلاة الثانیة صحیحة قطعاً، کما أنّه تصحّ الصلاة الآتیة ما لم یقع الناقض، و أمّا الصلاة الأُولیٰ فلا یبعد الحکم بصحّتها و إن کان الأحوط إعادتها</w:t>
      </w:r>
      <w:r>
        <w:rPr>
          <w:rFonts w:eastAsia="IRNazanin" w:cs="IRNazanin"/>
          <w:color w:val="111111"/>
          <w:sz w:val="28"/>
          <w:szCs w:val="28"/>
          <w:rtl w:val="true"/>
          <w:lang w:bidi="fa-IR"/>
        </w:rPr>
        <w:t>.</w:t>
      </w:r>
    </w:p>
    <w:p>
      <w:pPr>
        <w:pStyle w:val="Heading5"/>
        <w:numPr>
          <w:ilvl w:val="4"/>
          <w:numId w:val="1"/>
        </w:numPr>
        <w:rPr/>
      </w:pPr>
      <w:bookmarkStart w:id="367" w:name="__RefHeading___Toc2565320_3650668749"/>
      <w:bookmarkStart w:id="368" w:name="_Toc169"/>
      <w:bookmarkEnd w:id="367"/>
      <w:r>
        <w:rPr>
          <w:rtl w:val="true"/>
        </w:rPr>
        <w:t>[ (</w:t>
      </w:r>
      <w:r>
        <w:rPr>
          <w:rtl w:val="true"/>
        </w:rPr>
        <w:t xml:space="preserve">مسألة </w:t>
      </w:r>
      <w:r>
        <w:rPr/>
        <w:t>3</w:t>
      </w:r>
      <w:r>
        <w:rPr>
          <w:rtl w:val="true"/>
        </w:rPr>
        <w:t xml:space="preserve">): </w:t>
      </w:r>
      <w:r>
        <w:rPr>
          <w:rtl w:val="true"/>
        </w:rPr>
        <w:t>إذا توضّأ وضوءین و صلّیٰ صلاة واحدة</w:t>
      </w:r>
      <w:r>
        <w:rPr>
          <w:rtl w:val="true"/>
        </w:rPr>
        <w:t>]</w:t>
      </w:r>
      <w:bookmarkEnd w:id="36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توضّأ وضوءین و صلّیٰ صلاة واحدة </w:t>
      </w:r>
      <w:r>
        <w:rPr>
          <w:rStyle w:val="FootnoteAnchor"/>
          <w:rtl w:val="true"/>
        </w:rPr>
        <w:footnoteReference w:id="81"/>
      </w:r>
      <w:r>
        <w:rPr>
          <w:rFonts w:ascii="IRNazanin" w:hAnsi="IRNazanin" w:eastAsia="IRNazanin"/>
          <w:color w:val="111111"/>
          <w:sz w:val="28"/>
          <w:sz w:val="28"/>
          <w:szCs w:val="28"/>
          <w:rtl w:val="true"/>
          <w:lang w:bidi="fa-IR"/>
        </w:rPr>
        <w:t>بعدهما ثمّ تیقّن بوقوع الحدث بعد أحدهما یجب علیه الوضوء للصلوات الآتیة و یحکم بصحّة الصلاة التی أتی بها، و أمّا لو صلّیٰ بعد کلّ وضوء ثمّ علم بوقوع الحدث بعد أحد الوضوءین قبل الصلاة یجب علیه إعادة الصلاتین، نعم إذا کانتا متّفقتین فی العدد کالظهرین فالظاهر کفایة صلاة واحدة بقصد ما فی الذمّة، و إن کان الأحوط فی هذه الصورة أیضاً إعادتهما</w:t>
      </w:r>
      <w:r>
        <w:rPr>
          <w:rFonts w:eastAsia="IRNazanin" w:cs="IRNazanin"/>
          <w:color w:val="111111"/>
          <w:sz w:val="28"/>
          <w:szCs w:val="28"/>
          <w:rtl w:val="true"/>
          <w:lang w:bidi="fa-IR"/>
        </w:rPr>
        <w:t>.</w:t>
      </w:r>
      <w:bookmarkStart w:id="369" w:name="pg1809_18782"/>
    </w:p>
    <w:p>
      <w:pPr>
        <w:pStyle w:val="Heading4"/>
        <w:numPr>
          <w:ilvl w:val="3"/>
          <w:numId w:val="1"/>
        </w:numPr>
        <w:rPr/>
      </w:pPr>
      <w:bookmarkStart w:id="370" w:name="__RefHeading___Toc2565322_3650668749"/>
      <w:bookmarkStart w:id="371" w:name="_Toc170"/>
      <w:bookmarkEnd w:id="369"/>
      <w:bookmarkEnd w:id="370"/>
      <w:r>
        <w:rPr>
          <w:rtl w:val="true"/>
        </w:rPr>
        <w:t>[</w:t>
      </w:r>
      <w:r>
        <w:rPr>
          <w:rtl w:val="true"/>
        </w:rPr>
        <w:t>فصل فی وضوء الجبیرة</w:t>
      </w:r>
      <w:r>
        <w:rPr>
          <w:rtl w:val="true"/>
        </w:rPr>
        <w:t>]</w:t>
      </w:r>
      <w:bookmarkEnd w:id="371"/>
    </w:p>
    <w:p>
      <w:pPr>
        <w:pStyle w:val="Heading5"/>
        <w:numPr>
          <w:ilvl w:val="4"/>
          <w:numId w:val="1"/>
        </w:numPr>
        <w:rPr/>
      </w:pPr>
      <w:bookmarkStart w:id="372" w:name="__RefHeading___Toc2565324_3650668749"/>
      <w:bookmarkStart w:id="373" w:name="_Toc171"/>
      <w:bookmarkEnd w:id="372"/>
      <w:r>
        <w:rPr>
          <w:rtl w:val="true"/>
        </w:rPr>
        <w:t>اشارة</w:t>
      </w:r>
      <w:bookmarkEnd w:id="373"/>
    </w:p>
    <w:p>
      <w:pPr>
        <w:pStyle w:val="BookText"/>
        <w:rPr/>
      </w:pPr>
      <w:r>
        <w:rPr>
          <w:rFonts w:ascii="IRNazanin" w:hAnsi="IRNazanin" w:eastAsia="IRNazanin"/>
          <w:color w:val="111111"/>
          <w:sz w:val="28"/>
          <w:sz w:val="28"/>
          <w:szCs w:val="28"/>
          <w:rtl w:val="true"/>
          <w:lang w:bidi="fa-IR"/>
        </w:rPr>
        <w:t>فصل فی وضوء الجبیرة</w:t>
      </w:r>
    </w:p>
    <w:p>
      <w:pPr>
        <w:pStyle w:val="Heading5"/>
        <w:numPr>
          <w:ilvl w:val="4"/>
          <w:numId w:val="1"/>
        </w:numPr>
        <w:rPr/>
      </w:pPr>
      <w:bookmarkStart w:id="374" w:name="__RefHeading___Toc2565326_3650668749"/>
      <w:bookmarkStart w:id="375" w:name="_Toc172"/>
      <w:bookmarkEnd w:id="374"/>
      <w:r>
        <w:rPr>
          <w:rtl w:val="true"/>
        </w:rPr>
        <w:t>[ (</w:t>
      </w:r>
      <w:r>
        <w:rPr>
          <w:rtl w:val="true"/>
        </w:rPr>
        <w:t xml:space="preserve">مسألة </w:t>
      </w:r>
      <w:r>
        <w:rPr/>
        <w:t>1</w:t>
      </w:r>
      <w:r>
        <w:rPr>
          <w:rtl w:val="true"/>
        </w:rPr>
        <w:t xml:space="preserve">): </w:t>
      </w:r>
      <w:r>
        <w:rPr>
          <w:rtl w:val="true"/>
        </w:rPr>
        <w:t>من کان علیٰ بعض أعضائه جبیرة فإن أمکن نزعها نَزَعها</w:t>
      </w:r>
      <w:r>
        <w:rPr>
          <w:rtl w:val="true"/>
        </w:rPr>
        <w:t>]</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علیٰ بعض أعضائه جبیرة فإن أمکن نزعها نَزَعها </w:t>
      </w:r>
      <w:r>
        <w:rPr>
          <w:rStyle w:val="FootnoteAnchor"/>
          <w:rtl w:val="true"/>
        </w:rPr>
        <w:footnoteReference w:id="82"/>
      </w:r>
      <w:r>
        <w:rPr>
          <w:rFonts w:ascii="IRNazanin" w:hAnsi="IRNazanin" w:eastAsia="IRNazanin"/>
          <w:color w:val="111111"/>
          <w:sz w:val="28"/>
          <w:sz w:val="28"/>
          <w:szCs w:val="28"/>
          <w:rtl w:val="true"/>
          <w:lang w:bidi="fa-IR"/>
        </w:rPr>
        <w:t>و غسل أو مسح ما تحتها، و إن لم یمکن ذلک فإن کان فی موضع المسح مسح علیها، و إن کان فی موضع الغسل و أمکن إیصال الماء تحتها علیٰ نحو یحصل مسمّی الغسل وجب و إلّا مسح علیها</w:t>
      </w:r>
      <w:r>
        <w:rPr>
          <w:rFonts w:eastAsia="IRNazanin" w:cs="IRNazanin"/>
          <w:color w:val="111111"/>
          <w:sz w:val="28"/>
          <w:szCs w:val="28"/>
          <w:rtl w:val="true"/>
          <w:lang w:bidi="fa-IR"/>
        </w:rPr>
        <w:t>.</w:t>
      </w:r>
    </w:p>
    <w:p>
      <w:pPr>
        <w:pStyle w:val="Heading5"/>
        <w:numPr>
          <w:ilvl w:val="4"/>
          <w:numId w:val="1"/>
        </w:numPr>
        <w:rPr/>
      </w:pPr>
      <w:bookmarkStart w:id="376" w:name="__RefHeading___Toc2565328_3650668749"/>
      <w:bookmarkStart w:id="377" w:name="_Toc173"/>
      <w:bookmarkEnd w:id="376"/>
      <w:r>
        <w:rPr>
          <w:rtl w:val="true"/>
        </w:rPr>
        <w:t>[ (</w:t>
      </w:r>
      <w:r>
        <w:rPr>
          <w:rtl w:val="true"/>
        </w:rPr>
        <w:t xml:space="preserve">مسألة </w:t>
      </w:r>
      <w:r>
        <w:rPr/>
        <w:t>2</w:t>
      </w:r>
      <w:r>
        <w:rPr>
          <w:rtl w:val="true"/>
        </w:rPr>
        <w:t xml:space="preserve">): </w:t>
      </w:r>
      <w:r>
        <w:rPr>
          <w:rtl w:val="true"/>
        </w:rPr>
        <w:t>یجب استیعاب المسح فی أعضاء الغسل</w:t>
      </w:r>
      <w:r>
        <w:rPr>
          <w:rtl w:val="true"/>
        </w:rPr>
        <w:t>]</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استیعاب المسح فی أعضاء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یلزم مسح ما یتعذّر أو یتعسّر مسحه ممّا بین الخیوط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أعضاء المسح یکون حامل المسح علی الجبیرة کمسح محلّها قدراً و کیفیّة، فیعتبر أن یکون بالید و نداوتها بخلاف ما کان فی موضع الغسل</w:t>
      </w:r>
      <w:r>
        <w:rPr>
          <w:rFonts w:eastAsia="IRNazanin" w:cs="IRNazanin"/>
          <w:color w:val="111111"/>
          <w:sz w:val="28"/>
          <w:szCs w:val="28"/>
          <w:rtl w:val="true"/>
          <w:lang w:bidi="fa-IR"/>
        </w:rPr>
        <w:t>.</w:t>
      </w:r>
    </w:p>
    <w:p>
      <w:pPr>
        <w:pStyle w:val="Heading5"/>
        <w:numPr>
          <w:ilvl w:val="4"/>
          <w:numId w:val="1"/>
        </w:numPr>
        <w:rPr/>
      </w:pPr>
      <w:bookmarkStart w:id="378" w:name="__RefHeading___Toc2565330_3650668749"/>
      <w:bookmarkStart w:id="379" w:name="_Toc174"/>
      <w:bookmarkEnd w:id="378"/>
      <w:r>
        <w:rPr>
          <w:rtl w:val="true"/>
        </w:rPr>
        <w:t>[ (</w:t>
      </w:r>
      <w:r>
        <w:rPr>
          <w:rtl w:val="true"/>
        </w:rPr>
        <w:t xml:space="preserve">مسألة </w:t>
      </w:r>
      <w:r>
        <w:rPr/>
        <w:t>3</w:t>
      </w:r>
      <w:r>
        <w:rPr>
          <w:rtl w:val="true"/>
        </w:rPr>
        <w:t xml:space="preserve">): </w:t>
      </w:r>
      <w:r>
        <w:rPr>
          <w:rtl w:val="true"/>
        </w:rPr>
        <w:t>إذا کانت الجبیرة مستوعبة لعضو واحد</w:t>
      </w:r>
      <w:r>
        <w:rPr>
          <w:rtl w:val="true"/>
        </w:rPr>
        <w:t>]</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الجبیرة مستوعبة لعضو واحد </w:t>
      </w:r>
      <w:r>
        <w:rPr>
          <w:rStyle w:val="FootnoteAnchor"/>
          <w:rtl w:val="true"/>
        </w:rPr>
        <w:footnoteReference w:id="83"/>
      </w:r>
      <w:r>
        <w:rPr>
          <w:rFonts w:ascii="IRNazanin" w:hAnsi="IRNazanin" w:eastAsia="IRNazanin"/>
          <w:color w:val="111111"/>
          <w:sz w:val="28"/>
          <w:sz w:val="28"/>
          <w:szCs w:val="28"/>
          <w:rtl w:val="true"/>
          <w:lang w:bidi="fa-IR"/>
        </w:rPr>
        <w:t>أو تمام الأعضاء و أمکن التیمّم بلا حائل فلا یترک الاحتیاط بالجمع بین الجبیرة و التیمّم خصوصاً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استوعب الحائل أعضاء التیمّم أیضاً و لا یمکن التیمّم علی البشرة تعیّن الوضوء علی الجبیرة فی الصورتین</w:t>
      </w:r>
      <w:r>
        <w:rPr>
          <w:rFonts w:eastAsia="IRNazanin" w:cs="IRNazanin"/>
          <w:color w:val="111111"/>
          <w:sz w:val="28"/>
          <w:szCs w:val="28"/>
          <w:rtl w:val="true"/>
          <w:lang w:bidi="fa-IR"/>
        </w:rPr>
        <w:t>.</w:t>
      </w:r>
    </w:p>
    <w:p>
      <w:pPr>
        <w:pStyle w:val="Heading5"/>
        <w:numPr>
          <w:ilvl w:val="4"/>
          <w:numId w:val="1"/>
        </w:numPr>
        <w:rPr/>
      </w:pPr>
      <w:bookmarkStart w:id="380" w:name="__RefHeading___Toc2565332_3650668749"/>
      <w:bookmarkStart w:id="381" w:name="_Toc175"/>
      <w:bookmarkEnd w:id="380"/>
      <w:r>
        <w:rPr>
          <w:rtl w:val="true"/>
        </w:rPr>
        <w:t>[ (</w:t>
      </w:r>
      <w:r>
        <w:rPr>
          <w:rtl w:val="true"/>
        </w:rPr>
        <w:t xml:space="preserve">مسألة </w:t>
      </w:r>
      <w:r>
        <w:rPr/>
        <w:t>4</w:t>
      </w:r>
      <w:r>
        <w:rPr>
          <w:rtl w:val="true"/>
        </w:rPr>
        <w:t xml:space="preserve">): </w:t>
      </w:r>
      <w:r>
        <w:rPr>
          <w:rtl w:val="true"/>
        </w:rPr>
        <w:t>إذا وقعت الجبیرة علیٰ بعض الأطراف الصحیحة</w:t>
      </w:r>
      <w:r>
        <w:rPr>
          <w:rtl w:val="true"/>
        </w:rPr>
        <w:t>]</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الجبیرة علیٰ بعض الأطراف الصحیحة فالمقدار المتعارف الذی یلزمه شدّ غالب الجبائر یلحق بها فی الحکم فیمسح علیه، و إن کان أزید من ذلک المقدار فإن أمکن رفعها رفعها و غسل المقدار الصحیح ثمّ وضعها و مسح علیها، و إن لم یمکن ذلک مسح علیها و لا یترک الاحتیاط بضمّ التیمّم أیضاً</w:t>
      </w:r>
      <w:r>
        <w:rPr>
          <w:rFonts w:eastAsia="IRNazanin" w:cs="IRNazanin"/>
          <w:color w:val="111111"/>
          <w:sz w:val="28"/>
          <w:szCs w:val="28"/>
          <w:rtl w:val="true"/>
          <w:lang w:bidi="fa-IR"/>
        </w:rPr>
        <w:t>.</w:t>
      </w:r>
    </w:p>
    <w:p>
      <w:pPr>
        <w:pStyle w:val="Heading5"/>
        <w:numPr>
          <w:ilvl w:val="4"/>
          <w:numId w:val="1"/>
        </w:numPr>
        <w:rPr/>
      </w:pPr>
      <w:bookmarkStart w:id="382" w:name="__RefHeading___Toc2565334_3650668749"/>
      <w:bookmarkStart w:id="383" w:name="_Toc176"/>
      <w:bookmarkEnd w:id="382"/>
      <w:r>
        <w:rPr>
          <w:rtl w:val="true"/>
        </w:rPr>
        <w:t>[ (</w:t>
      </w:r>
      <w:r>
        <w:rPr>
          <w:rtl w:val="true"/>
        </w:rPr>
        <w:t xml:space="preserve">مسألة </w:t>
      </w:r>
      <w:r>
        <w:rPr/>
        <w:t>5</w:t>
      </w:r>
      <w:r>
        <w:rPr>
          <w:rtl w:val="true"/>
        </w:rPr>
        <w:t xml:space="preserve">): </w:t>
      </w:r>
      <w:r>
        <w:rPr>
          <w:rtl w:val="true"/>
        </w:rPr>
        <w:t>إذا لم یمکن المسح علی الجبیرة من جهة النجاسة وضع خرقة فوقها</w:t>
      </w:r>
      <w:r>
        <w:rPr>
          <w:rtl w:val="true"/>
        </w:rPr>
        <w:t>]</w:t>
      </w:r>
      <w:bookmarkEnd w:id="38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المسح علی الجبیرة من جهة النجاسة وضع خرقة فوقها علیٰ</w:t>
      </w:r>
      <w:bookmarkStart w:id="384" w:name="pg1809_18784"/>
    </w:p>
    <w:p>
      <w:pPr>
        <w:pStyle w:val="BookText"/>
        <w:rPr/>
      </w:pPr>
      <w:bookmarkEnd w:id="384"/>
      <w:r>
        <w:rPr>
          <w:rFonts w:ascii="IRNazanin" w:hAnsi="IRNazanin" w:eastAsia="IRNazanin"/>
          <w:color w:val="111111"/>
          <w:sz w:val="28"/>
          <w:sz w:val="28"/>
          <w:szCs w:val="28"/>
          <w:rtl w:val="true"/>
          <w:lang w:bidi="fa-IR"/>
        </w:rPr>
        <w:t>نحو یعدّ جزء منها و مسح علیها</w:t>
      </w:r>
      <w:r>
        <w:rPr>
          <w:rFonts w:eastAsia="IRNazanin" w:cs="IRNazanin"/>
          <w:color w:val="111111"/>
          <w:sz w:val="28"/>
          <w:szCs w:val="28"/>
          <w:rtl w:val="true"/>
          <w:lang w:bidi="fa-IR"/>
        </w:rPr>
        <w:t>.</w:t>
      </w:r>
    </w:p>
    <w:p>
      <w:pPr>
        <w:pStyle w:val="Heading5"/>
        <w:numPr>
          <w:ilvl w:val="4"/>
          <w:numId w:val="1"/>
        </w:numPr>
        <w:rPr/>
      </w:pPr>
      <w:bookmarkStart w:id="385" w:name="__RefHeading___Toc2565336_3650668749"/>
      <w:bookmarkStart w:id="386" w:name="_Toc177"/>
      <w:bookmarkEnd w:id="385"/>
      <w:r>
        <w:rPr>
          <w:rtl w:val="true"/>
        </w:rPr>
        <w:t>[ (</w:t>
      </w:r>
      <w:r>
        <w:rPr>
          <w:rtl w:val="true"/>
        </w:rPr>
        <w:t xml:space="preserve">مسألة </w:t>
      </w:r>
      <w:r>
        <w:rPr/>
        <w:t>6</w:t>
      </w:r>
      <w:r>
        <w:rPr>
          <w:rtl w:val="true"/>
        </w:rPr>
        <w:t xml:space="preserve">): </w:t>
      </w:r>
      <w:r>
        <w:rPr>
          <w:rtl w:val="true"/>
        </w:rPr>
        <w:t>الأقویٰ أنّ الجرح المکشوف الذی لا یمکن غسله یجوز الاکتفاء بغسل ما حوله</w:t>
      </w:r>
      <w:r>
        <w:rPr>
          <w:rtl w:val="true"/>
        </w:rPr>
        <w:t>]</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أنّ الجرح المکشوف الذی لا یمکن غسله یجوز الاکتفاء بغسل ما حوله، و الأحوط مع ذلک وضع شی‌ء علیه و المسح علیه</w:t>
      </w:r>
      <w:r>
        <w:rPr>
          <w:rFonts w:eastAsia="IRNazanin" w:cs="IRNazanin"/>
          <w:color w:val="111111"/>
          <w:sz w:val="28"/>
          <w:szCs w:val="28"/>
          <w:rtl w:val="true"/>
          <w:lang w:bidi="fa-IR"/>
        </w:rPr>
        <w:t>.</w:t>
      </w:r>
    </w:p>
    <w:p>
      <w:pPr>
        <w:pStyle w:val="Heading5"/>
        <w:numPr>
          <w:ilvl w:val="4"/>
          <w:numId w:val="1"/>
        </w:numPr>
        <w:rPr/>
      </w:pPr>
      <w:bookmarkStart w:id="387" w:name="__RefHeading___Toc2565338_3650668749"/>
      <w:bookmarkStart w:id="388" w:name="_Toc178"/>
      <w:bookmarkEnd w:id="387"/>
      <w:r>
        <w:rPr>
          <w:rtl w:val="true"/>
        </w:rPr>
        <w:t>[ (</w:t>
      </w:r>
      <w:r>
        <w:rPr>
          <w:rtl w:val="true"/>
        </w:rPr>
        <w:t xml:space="preserve">مسألة </w:t>
      </w:r>
      <w:r>
        <w:rPr/>
        <w:t>7</w:t>
      </w:r>
      <w:r>
        <w:rPr>
          <w:rtl w:val="true"/>
        </w:rPr>
        <w:t xml:space="preserve">): </w:t>
      </w:r>
      <w:r>
        <w:rPr>
          <w:rtl w:val="true"/>
        </w:rPr>
        <w:t>إذا أضرّ الماء بالعضو من دون أن یکون جرح أو قرح أو کسر یتعیّن التیمّم</w:t>
      </w:r>
      <w:r>
        <w:rPr>
          <w:rtl w:val="true"/>
        </w:rPr>
        <w:t>]</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أضرّ الماء بالعضو من دون أن یکون جرح أو قرح أو کسر یتعیّن التیمّم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فیما إذا کان الکسر أو الجرح فی غیر مواضع الوضوء لکن استعمال الماء فی مواضعه یضرّ بالکسر أو الجرح</w:t>
      </w:r>
      <w:r>
        <w:rPr>
          <w:rFonts w:eastAsia="IRNazanin" w:cs="IRNazanin"/>
          <w:color w:val="111111"/>
          <w:sz w:val="28"/>
          <w:szCs w:val="28"/>
          <w:rtl w:val="true"/>
          <w:lang w:bidi="fa-IR"/>
        </w:rPr>
        <w:t>.</w:t>
      </w:r>
    </w:p>
    <w:p>
      <w:pPr>
        <w:pStyle w:val="Heading5"/>
        <w:numPr>
          <w:ilvl w:val="4"/>
          <w:numId w:val="1"/>
        </w:numPr>
        <w:rPr/>
      </w:pPr>
      <w:bookmarkStart w:id="389" w:name="__RefHeading___Toc2565340_3650668749"/>
      <w:bookmarkStart w:id="390" w:name="_Toc179"/>
      <w:bookmarkEnd w:id="389"/>
      <w:r>
        <w:rPr>
          <w:rtl w:val="true"/>
        </w:rPr>
        <w:t>[ (</w:t>
      </w:r>
      <w:r>
        <w:rPr>
          <w:rtl w:val="true"/>
        </w:rPr>
        <w:t xml:space="preserve">مسألة </w:t>
      </w:r>
      <w:r>
        <w:rPr/>
        <w:t>8</w:t>
      </w:r>
      <w:r>
        <w:rPr>
          <w:rtl w:val="true"/>
        </w:rPr>
        <w:t xml:space="preserve">): </w:t>
      </w:r>
      <w:r>
        <w:rPr>
          <w:rtl w:val="true"/>
        </w:rPr>
        <w:t>فی الرمد الذی یضرّه الوضوء یتعیّن التیمّم</w:t>
      </w:r>
      <w:r>
        <w:rPr>
          <w:rtl w:val="true"/>
        </w:rPr>
        <w:t>]</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الرمد الذی یضرّه الوضوء یتعیّن التیمّم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2565342_3650668749"/>
      <w:bookmarkStart w:id="392" w:name="_Toc180"/>
      <w:bookmarkEnd w:id="391"/>
      <w:r>
        <w:rPr>
          <w:rtl w:val="true"/>
        </w:rPr>
        <w:t>[ (</w:t>
      </w:r>
      <w:r>
        <w:rPr>
          <w:rtl w:val="true"/>
        </w:rPr>
        <w:t xml:space="preserve">مسألة </w:t>
      </w:r>
      <w:r>
        <w:rPr/>
        <w:t>9</w:t>
      </w:r>
      <w:r>
        <w:rPr>
          <w:rtl w:val="true"/>
        </w:rPr>
        <w:t xml:space="preserve">): </w:t>
      </w:r>
      <w:r>
        <w:rPr>
          <w:rtl w:val="true"/>
        </w:rPr>
        <w:t>إذا کان مانع علی البشرة لا یمکن إزالته</w:t>
      </w:r>
      <w:r>
        <w:rPr>
          <w:rtl w:val="true"/>
        </w:rPr>
        <w:t>]</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مانع علی البشرة لا یمکن إزالته کالقیر و نحوه یکتفیٰ بالمسح علیه، و الأحوط کونه علیٰ وجه یحصل أقلّ مسمّی الغسل، و أحوط من ذلک ضمّ التیمّم</w:t>
      </w:r>
      <w:r>
        <w:rPr>
          <w:rFonts w:eastAsia="IRNazanin" w:cs="IRNazanin"/>
          <w:color w:val="111111"/>
          <w:sz w:val="28"/>
          <w:szCs w:val="28"/>
          <w:rtl w:val="true"/>
          <w:lang w:bidi="fa-IR"/>
        </w:rPr>
        <w:t>.</w:t>
      </w:r>
    </w:p>
    <w:p>
      <w:pPr>
        <w:pStyle w:val="Heading5"/>
        <w:numPr>
          <w:ilvl w:val="4"/>
          <w:numId w:val="1"/>
        </w:numPr>
        <w:rPr/>
      </w:pPr>
      <w:bookmarkStart w:id="393" w:name="__RefHeading___Toc2565344_3650668749"/>
      <w:bookmarkStart w:id="394" w:name="_Toc181"/>
      <w:bookmarkEnd w:id="393"/>
      <w:r>
        <w:rPr>
          <w:rtl w:val="true"/>
        </w:rPr>
        <w:t>[ (</w:t>
      </w:r>
      <w:r>
        <w:rPr>
          <w:rtl w:val="true"/>
        </w:rPr>
        <w:t xml:space="preserve">مسألة </w:t>
      </w:r>
      <w:r>
        <w:rPr/>
        <w:t>10</w:t>
      </w:r>
      <w:r>
        <w:rPr>
          <w:rtl w:val="true"/>
        </w:rPr>
        <w:t xml:space="preserve">): </w:t>
      </w:r>
      <w:r>
        <w:rPr>
          <w:rtl w:val="true"/>
        </w:rPr>
        <w:t>الوضوء الجبیریّ رافع للحدث لا مبیح فقط</w:t>
      </w:r>
      <w:r>
        <w:rPr>
          <w:rtl w:val="true"/>
        </w:rPr>
        <w:t>]</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الجبیریّ رافع للحدث لا مبیح فقط</w:t>
      </w:r>
      <w:r>
        <w:rPr>
          <w:rFonts w:eastAsia="IRNazanin" w:cs="IRNazanin"/>
          <w:color w:val="111111"/>
          <w:sz w:val="28"/>
          <w:szCs w:val="28"/>
          <w:rtl w:val="true"/>
          <w:lang w:bidi="fa-IR"/>
        </w:rPr>
        <w:t>.</w:t>
      </w:r>
    </w:p>
    <w:p>
      <w:pPr>
        <w:pStyle w:val="Heading5"/>
        <w:numPr>
          <w:ilvl w:val="4"/>
          <w:numId w:val="1"/>
        </w:numPr>
        <w:rPr/>
      </w:pPr>
      <w:bookmarkStart w:id="395" w:name="__RefHeading___Toc2565346_3650668749"/>
      <w:bookmarkStart w:id="396" w:name="_Toc182"/>
      <w:bookmarkEnd w:id="395"/>
      <w:r>
        <w:rPr>
          <w:rtl w:val="true"/>
        </w:rPr>
        <w:t>[ (</w:t>
      </w:r>
      <w:r>
        <w:rPr>
          <w:rtl w:val="true"/>
        </w:rPr>
        <w:t xml:space="preserve">مسألة </w:t>
      </w:r>
      <w:r>
        <w:rPr/>
        <w:t>11</w:t>
      </w:r>
      <w:r>
        <w:rPr>
          <w:rtl w:val="true"/>
        </w:rPr>
        <w:t xml:space="preserve">): </w:t>
      </w:r>
      <w:r>
        <w:rPr>
          <w:rtl w:val="true"/>
        </w:rPr>
        <w:t>من کان علیٰ بعض أعضائه جبیرة و حصل موجب الغسل مسح علی الجبیرة</w:t>
      </w:r>
      <w:r>
        <w:rPr>
          <w:rtl w:val="true"/>
        </w:rPr>
        <w:t>]</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بعض أعضائه جبیرة و حصل موجب الغسل مسح علی الجبیرة و غسل المواضع الخالیة عنها مع الشرائط المتقدّمة فی وضوء ذی الجبیرة، و الأحوط کون غسله ترتیبیّاً لا ارتماسیّاً</w:t>
      </w:r>
      <w:r>
        <w:rPr>
          <w:rFonts w:eastAsia="IRNazanin" w:cs="IRNazanin"/>
          <w:color w:val="111111"/>
          <w:sz w:val="28"/>
          <w:szCs w:val="28"/>
          <w:rtl w:val="true"/>
          <w:lang w:bidi="fa-IR"/>
        </w:rPr>
        <w:t>.</w:t>
      </w:r>
    </w:p>
    <w:p>
      <w:pPr>
        <w:pStyle w:val="Heading5"/>
        <w:numPr>
          <w:ilvl w:val="4"/>
          <w:numId w:val="1"/>
        </w:numPr>
        <w:rPr/>
      </w:pPr>
      <w:bookmarkStart w:id="397" w:name="__RefHeading___Toc2565348_3650668749"/>
      <w:bookmarkStart w:id="398" w:name="_Toc183"/>
      <w:bookmarkEnd w:id="397"/>
      <w:r>
        <w:rPr>
          <w:rtl w:val="true"/>
        </w:rPr>
        <w:t>[ (</w:t>
      </w:r>
      <w:r>
        <w:rPr>
          <w:rtl w:val="true"/>
        </w:rPr>
        <w:t xml:space="preserve">مسألة </w:t>
      </w:r>
      <w:r>
        <w:rPr/>
        <w:t>12</w:t>
      </w:r>
      <w:r>
        <w:rPr>
          <w:rtl w:val="true"/>
        </w:rPr>
        <w:t xml:space="preserve">): </w:t>
      </w:r>
      <w:r>
        <w:rPr>
          <w:rtl w:val="true"/>
        </w:rPr>
        <w:t>من کان تکلیفه التیمّم و کان علیٰ أعضائه جبیرة لا یمکن رفعها مسح علیها</w:t>
      </w:r>
      <w:r>
        <w:rPr>
          <w:rtl w:val="true"/>
        </w:rPr>
        <w:t>]</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تکلیفه التیمّم و کان علیٰ أعضائه جبیرة لا یمکن رفعها مسح علیها، و کذا فیما إذا کان حائل آخر لا یمکن إزالته</w:t>
      </w:r>
      <w:r>
        <w:rPr>
          <w:rFonts w:eastAsia="IRNazanin" w:cs="IRNazanin"/>
          <w:color w:val="111111"/>
          <w:sz w:val="28"/>
          <w:szCs w:val="28"/>
          <w:rtl w:val="true"/>
          <w:lang w:bidi="fa-IR"/>
        </w:rPr>
        <w:t>.</w:t>
      </w:r>
    </w:p>
    <w:p>
      <w:pPr>
        <w:pStyle w:val="Heading5"/>
        <w:numPr>
          <w:ilvl w:val="4"/>
          <w:numId w:val="1"/>
        </w:numPr>
        <w:rPr/>
      </w:pPr>
      <w:bookmarkStart w:id="399" w:name="__RefHeading___Toc2565350_3650668749"/>
      <w:bookmarkStart w:id="400" w:name="_Toc184"/>
      <w:bookmarkEnd w:id="399"/>
      <w:r>
        <w:rPr>
          <w:rtl w:val="true"/>
        </w:rPr>
        <w:t>[ (</w:t>
      </w:r>
      <w:r>
        <w:rPr>
          <w:rtl w:val="true"/>
        </w:rPr>
        <w:t xml:space="preserve">مسألة </w:t>
      </w:r>
      <w:r>
        <w:rPr/>
        <w:t>13</w:t>
      </w:r>
      <w:r>
        <w:rPr>
          <w:rtl w:val="true"/>
        </w:rPr>
        <w:t xml:space="preserve">): </w:t>
      </w:r>
      <w:r>
        <w:rPr>
          <w:rtl w:val="true"/>
        </w:rPr>
        <w:t>إذا ارتفع عذر صاحب الجبیرة لا یجب إعادة الصلاة التی صلّاها</w:t>
      </w:r>
      <w:r>
        <w:rPr>
          <w:rtl w:val="true"/>
        </w:rPr>
        <w:t>]</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 عذر صاحب الجبیرة لا یجب إعادة الصلاة التی صلّاها، بل الظاهر جواز الصلوات الآتیة بهذا الوضوء</w:t>
      </w:r>
      <w:r>
        <w:rPr>
          <w:rFonts w:eastAsia="IRNazanin" w:cs="IRNazanin"/>
          <w:color w:val="111111"/>
          <w:sz w:val="28"/>
          <w:szCs w:val="28"/>
          <w:rtl w:val="true"/>
          <w:lang w:bidi="fa-IR"/>
        </w:rPr>
        <w:t>.</w:t>
      </w:r>
    </w:p>
    <w:p>
      <w:pPr>
        <w:pStyle w:val="Heading5"/>
        <w:numPr>
          <w:ilvl w:val="4"/>
          <w:numId w:val="1"/>
        </w:numPr>
        <w:rPr/>
      </w:pPr>
      <w:bookmarkStart w:id="401" w:name="__RefHeading___Toc2565352_3650668749"/>
      <w:bookmarkStart w:id="402" w:name="_Toc185"/>
      <w:bookmarkEnd w:id="401"/>
      <w:r>
        <w:rPr>
          <w:rtl w:val="true"/>
        </w:rPr>
        <w:t>[ (</w:t>
      </w:r>
      <w:r>
        <w:rPr>
          <w:rtl w:val="true"/>
        </w:rPr>
        <w:t xml:space="preserve">مسألة </w:t>
      </w:r>
      <w:r>
        <w:rPr/>
        <w:t>14</w:t>
      </w:r>
      <w:r>
        <w:rPr>
          <w:rtl w:val="true"/>
        </w:rPr>
        <w:t xml:space="preserve">): </w:t>
      </w:r>
      <w:r>
        <w:rPr>
          <w:rtl w:val="true"/>
        </w:rPr>
        <w:t>یجوز أن یصلّی صاحب الجبیرة أوّل الوقت مع الیأس عن زوال العذر إلیٰ آخره</w:t>
      </w:r>
      <w:r>
        <w:rPr>
          <w:rtl w:val="true"/>
        </w:rPr>
        <w:t>]</w:t>
      </w:r>
      <w:bookmarkEnd w:id="40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یصلّی صاحب الجبیرة أوّل الوقت مع الیأس عن زوال العذر إلیٰ آخره و مع عدمه الأحوط التأخیر</w:t>
      </w:r>
      <w:r>
        <w:rPr>
          <w:rFonts w:eastAsia="IRNazanin" w:cs="IRNazanin"/>
          <w:color w:val="111111"/>
          <w:sz w:val="28"/>
          <w:szCs w:val="28"/>
          <w:rtl w:val="true"/>
          <w:lang w:bidi="fa-IR"/>
        </w:rPr>
        <w:t>.</w:t>
      </w:r>
      <w:bookmarkStart w:id="403" w:name="pg1809_18787"/>
    </w:p>
    <w:p>
      <w:pPr>
        <w:pStyle w:val="Heading3"/>
        <w:numPr>
          <w:ilvl w:val="2"/>
          <w:numId w:val="1"/>
        </w:numPr>
        <w:rPr/>
      </w:pPr>
      <w:bookmarkStart w:id="404" w:name="__RefHeading___Toc2565354_3650668749"/>
      <w:bookmarkStart w:id="405" w:name="_Toc186"/>
      <w:bookmarkEnd w:id="403"/>
      <w:bookmarkEnd w:id="404"/>
      <w:r>
        <w:rPr>
          <w:rtl w:val="true"/>
        </w:rPr>
        <w:t>[</w:t>
      </w:r>
      <w:r>
        <w:rPr>
          <w:rtl w:val="true"/>
        </w:rPr>
        <w:t>فصل فی الأغسال</w:t>
      </w:r>
      <w:r>
        <w:rPr>
          <w:rtl w:val="true"/>
        </w:rPr>
        <w:t>]</w:t>
      </w:r>
      <w:bookmarkEnd w:id="405"/>
    </w:p>
    <w:p>
      <w:pPr>
        <w:pStyle w:val="Heading4"/>
        <w:numPr>
          <w:ilvl w:val="3"/>
          <w:numId w:val="1"/>
        </w:numPr>
        <w:rPr/>
      </w:pPr>
      <w:bookmarkStart w:id="406" w:name="__RefHeading___Toc2565356_3650668749"/>
      <w:bookmarkStart w:id="407" w:name="_Toc187"/>
      <w:bookmarkEnd w:id="406"/>
      <w:r>
        <w:rPr>
          <w:rtl w:val="true"/>
        </w:rPr>
        <w:t>اشارة</w:t>
      </w:r>
      <w:bookmarkEnd w:id="407"/>
    </w:p>
    <w:p>
      <w:pPr>
        <w:pStyle w:val="BookText"/>
        <w:rPr/>
      </w:pPr>
      <w:r>
        <w:rPr>
          <w:rFonts w:ascii="IRNazanin" w:hAnsi="IRNazanin" w:eastAsia="IRNazanin"/>
          <w:color w:val="111111"/>
          <w:sz w:val="28"/>
          <w:sz w:val="28"/>
          <w:szCs w:val="28"/>
          <w:rtl w:val="true"/>
          <w:lang w:bidi="fa-IR"/>
        </w:rPr>
        <w:t>فصل فی الأغسال</w:t>
      </w:r>
    </w:p>
    <w:p>
      <w:pPr>
        <w:pStyle w:val="Heading4"/>
        <w:numPr>
          <w:ilvl w:val="3"/>
          <w:numId w:val="1"/>
        </w:numPr>
        <w:rPr/>
      </w:pPr>
      <w:bookmarkStart w:id="408" w:name="__RefHeading___Toc2565358_3650668749"/>
      <w:bookmarkStart w:id="409" w:name="_Toc188"/>
      <w:bookmarkEnd w:id="408"/>
      <w:r>
        <w:rPr>
          <w:rtl w:val="true"/>
        </w:rPr>
        <w:t>[</w:t>
      </w:r>
      <w:r>
        <w:rPr>
          <w:rtl w:val="true"/>
        </w:rPr>
        <w:t>و الواجب منها ستّة</w:t>
      </w:r>
      <w:r>
        <w:rPr>
          <w:rtl w:val="true"/>
        </w:rPr>
        <w:t>]</w:t>
      </w:r>
      <w:bookmarkEnd w:id="409"/>
    </w:p>
    <w:p>
      <w:pPr>
        <w:pStyle w:val="Heading5"/>
        <w:numPr>
          <w:ilvl w:val="4"/>
          <w:numId w:val="1"/>
        </w:numPr>
        <w:rPr/>
      </w:pPr>
      <w:bookmarkStart w:id="410" w:name="__RefHeading___Toc2565360_3650668749"/>
      <w:bookmarkStart w:id="411" w:name="_Toc189"/>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 xml:space="preserve">و الواجب منها ستّة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و الحیض و الاستحاضة و النفاس و مسّ المیّت و غسل الأموات</w:t>
      </w:r>
      <w:r>
        <w:rPr>
          <w:rFonts w:eastAsia="IRNazanin" w:cs="IRNazanin"/>
          <w:color w:val="111111"/>
          <w:sz w:val="28"/>
          <w:szCs w:val="28"/>
          <w:rtl w:val="true"/>
          <w:lang w:bidi="fa-IR"/>
        </w:rPr>
        <w:t>.</w:t>
      </w:r>
    </w:p>
    <w:p>
      <w:pPr>
        <w:pStyle w:val="Heading5"/>
        <w:numPr>
          <w:ilvl w:val="4"/>
          <w:numId w:val="1"/>
        </w:numPr>
        <w:rPr/>
      </w:pPr>
      <w:bookmarkStart w:id="412" w:name="__RefHeading___Toc2565362_3650668749"/>
      <w:bookmarkStart w:id="413" w:name="_Toc190"/>
      <w:bookmarkEnd w:id="412"/>
      <w:r>
        <w:rPr>
          <w:rtl w:val="true"/>
        </w:rPr>
        <w:t>[</w:t>
      </w:r>
      <w:r>
        <w:rPr>
          <w:rtl w:val="true"/>
        </w:rPr>
        <w:t>فصل فی غسل الجنابة</w:t>
      </w:r>
      <w:r>
        <w:rPr>
          <w:rtl w:val="true"/>
        </w:rPr>
        <w:t>]</w:t>
      </w:r>
      <w:bookmarkEnd w:id="413"/>
    </w:p>
    <w:p>
      <w:pPr>
        <w:pStyle w:val="Heading6"/>
        <w:numPr>
          <w:ilvl w:val="5"/>
          <w:numId w:val="1"/>
        </w:numPr>
        <w:rPr/>
      </w:pPr>
      <w:bookmarkStart w:id="414" w:name="__RefHeading___Toc2565364_3650668749"/>
      <w:bookmarkStart w:id="415" w:name="_Toc191"/>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فصل فی غسل الجنابة و الکلام فی سبب الجنابة و أحکام الجنب و واجبات الغسل</w:t>
      </w:r>
      <w:r>
        <w:rPr>
          <w:rFonts w:eastAsia="IRNazanin" w:cs="IRNazanin"/>
          <w:color w:val="111111"/>
          <w:sz w:val="28"/>
          <w:szCs w:val="28"/>
          <w:rtl w:val="true"/>
          <w:lang w:bidi="fa-IR"/>
        </w:rPr>
        <w:t>.</w:t>
      </w:r>
    </w:p>
    <w:p>
      <w:pPr>
        <w:pStyle w:val="Heading6"/>
        <w:numPr>
          <w:ilvl w:val="5"/>
          <w:numId w:val="1"/>
        </w:numPr>
        <w:rPr/>
      </w:pPr>
      <w:bookmarkStart w:id="416" w:name="__RefHeading___Toc2565366_3650668749"/>
      <w:bookmarkStart w:id="417" w:name="_Toc192"/>
      <w:bookmarkEnd w:id="416"/>
      <w:r>
        <w:rPr>
          <w:rtl w:val="true"/>
        </w:rPr>
        <w:t>[</w:t>
      </w:r>
      <w:r>
        <w:rPr>
          <w:rtl w:val="true"/>
        </w:rPr>
        <w:t>فصل فی غسل الجنابة</w:t>
      </w:r>
      <w:r>
        <w:rPr>
          <w:rtl w:val="true"/>
        </w:rPr>
        <w:t>]</w:t>
      </w:r>
      <w:bookmarkEnd w:id="417"/>
    </w:p>
    <w:p>
      <w:pPr>
        <w:pStyle w:val="Heading6"/>
        <w:numPr>
          <w:ilvl w:val="5"/>
          <w:numId w:val="1"/>
        </w:numPr>
        <w:rPr/>
      </w:pPr>
      <w:bookmarkStart w:id="418" w:name="__RefHeading___Toc2565368_3650668749"/>
      <w:bookmarkStart w:id="419" w:name="_Toc193"/>
      <w:bookmarkEnd w:id="418"/>
      <w:r>
        <w:rPr>
          <w:rtl w:val="true"/>
        </w:rPr>
        <w:t>اشارة</w:t>
      </w:r>
      <w:bookmarkEnd w:id="419"/>
    </w:p>
    <w:p>
      <w:pPr>
        <w:pStyle w:val="BookText"/>
        <w:rPr/>
      </w:pPr>
      <w:r>
        <w:rPr>
          <w:rFonts w:ascii="IRNazanin" w:hAnsi="IRNazanin" w:eastAsia="IRNazanin"/>
          <w:color w:val="111111"/>
          <w:sz w:val="28"/>
          <w:sz w:val="28"/>
          <w:szCs w:val="28"/>
          <w:rtl w:val="true"/>
          <w:lang w:bidi="fa-IR"/>
        </w:rPr>
        <w:t>فصل فی غسل الجنابة</w:t>
      </w:r>
    </w:p>
    <w:p>
      <w:pPr>
        <w:pStyle w:val="Heading6"/>
        <w:numPr>
          <w:ilvl w:val="5"/>
          <w:numId w:val="1"/>
        </w:numPr>
        <w:rPr/>
      </w:pPr>
      <w:bookmarkStart w:id="420" w:name="__RefHeading___Toc2565370_3650668749"/>
      <w:bookmarkStart w:id="421" w:name="_Toc194"/>
      <w:bookmarkEnd w:id="420"/>
      <w:r>
        <w:rPr>
          <w:rtl w:val="true"/>
        </w:rPr>
        <w:t>[ (</w:t>
      </w:r>
      <w:r>
        <w:rPr>
          <w:rtl w:val="true"/>
        </w:rPr>
        <w:t xml:space="preserve">مسألة </w:t>
      </w:r>
      <w:r>
        <w:rPr/>
        <w:t>1</w:t>
      </w:r>
      <w:r>
        <w:rPr>
          <w:rtl w:val="true"/>
        </w:rPr>
        <w:t xml:space="preserve">): </w:t>
      </w:r>
      <w:r>
        <w:rPr>
          <w:rtl w:val="true"/>
        </w:rPr>
        <w:t>سبب الجنابة أمران</w:t>
      </w:r>
      <w:r>
        <w:rPr>
          <w:rtl w:val="true"/>
        </w:rPr>
        <w:t>]</w:t>
      </w:r>
      <w:bookmarkEnd w:id="421"/>
    </w:p>
    <w:p>
      <w:pPr>
        <w:pStyle w:val="Heading6"/>
        <w:numPr>
          <w:ilvl w:val="5"/>
          <w:numId w:val="1"/>
        </w:numPr>
        <w:rPr/>
      </w:pPr>
      <w:bookmarkStart w:id="422" w:name="__RefHeading___Toc2565372_3650668749"/>
      <w:bookmarkStart w:id="423" w:name="_Toc195"/>
      <w:bookmarkEnd w:id="422"/>
      <w:r>
        <w:rPr>
          <w:rtl w:val="true"/>
        </w:rPr>
        <w:t>اشارة</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الجنابة أمران</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2565374_3650668749"/>
      <w:bookmarkStart w:id="425" w:name="_Toc196"/>
      <w:bookmarkEnd w:id="424"/>
      <w:r>
        <w:rPr>
          <w:rtl w:val="true"/>
        </w:rPr>
        <w:t>[</w:t>
      </w:r>
      <w:r>
        <w:rPr>
          <w:rtl w:val="true"/>
        </w:rPr>
        <w:t>أحدهما</w:t>
      </w:r>
      <w:r>
        <w:rPr>
          <w:rtl w:val="true"/>
        </w:rPr>
        <w:t xml:space="preserve">: </w:t>
      </w:r>
      <w:r>
        <w:rPr>
          <w:rtl w:val="true"/>
        </w:rPr>
        <w:t>خروج المنیّ و ما فی حکمه</w:t>
      </w:r>
      <w:r>
        <w:rPr>
          <w:rtl w:val="true"/>
        </w:rPr>
        <w:t>]</w:t>
      </w:r>
      <w:bookmarkEnd w:id="425"/>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المنیّ و ما فی حکمه من البلل المشتبه قبل الاستبراء بالبول کما ستعرفه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المعتبر خروجه إلی الخارج فلو تحرّک من محلّه و لم یخرج لم یوجب الجنابة، کما أنّ المعتبر کونه منه فلو خرج من المرأة منیّ الرجل لا یوجب جنابتها إلّا مع العلم باختلاطه بمنیّها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المنیّ إن علم فلا إشکال و إلّا رجع الصحیح فی معرفته إلی اجتماع الدفق و الشهوة و فتور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یرجع المریض و المرأة إلی الأخیرین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الواحد من الثلاثة، لکنّ الأحوط مع عدم اجتماع الثلاث الغسل و الوضوء إذا کان مسبوقاً بالحدث الأصغر، و الغسل وحده إن کان مسبوقاً بالطهارة</w:t>
      </w:r>
      <w:r>
        <w:rPr>
          <w:rFonts w:eastAsia="IRNazanin" w:cs="IRNazanin"/>
          <w:color w:val="111111"/>
          <w:sz w:val="28"/>
          <w:szCs w:val="28"/>
          <w:rtl w:val="true"/>
          <w:lang w:bidi="fa-IR"/>
        </w:rPr>
        <w:t>.</w:t>
      </w:r>
    </w:p>
    <w:p>
      <w:pPr>
        <w:pStyle w:val="Heading6"/>
        <w:numPr>
          <w:ilvl w:val="5"/>
          <w:numId w:val="1"/>
        </w:numPr>
        <w:rPr/>
      </w:pPr>
      <w:bookmarkStart w:id="426" w:name="__RefHeading___Toc2565376_3650668749"/>
      <w:bookmarkStart w:id="427" w:name="_Toc197"/>
      <w:bookmarkEnd w:id="426"/>
      <w:r>
        <w:rPr>
          <w:rtl w:val="true"/>
        </w:rPr>
        <w:t>[</w:t>
      </w:r>
      <w:r>
        <w:rPr>
          <w:rtl w:val="true"/>
        </w:rPr>
        <w:t>ثانیهما</w:t>
      </w:r>
      <w:r>
        <w:rPr>
          <w:rtl w:val="true"/>
        </w:rPr>
        <w:t xml:space="preserve">: </w:t>
      </w:r>
      <w:r>
        <w:rPr>
          <w:rtl w:val="true"/>
        </w:rPr>
        <w:t>الجماع و إن لم ینزل</w:t>
      </w:r>
      <w:r>
        <w:rPr>
          <w:rtl w:val="true"/>
        </w:rPr>
        <w:t>]</w:t>
      </w:r>
      <w:bookmarkEnd w:id="42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و إن لم ینزل، و یتحقّق بغیبوبة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قدرها </w:t>
      </w:r>
      <w:r>
        <w:rPr>
          <w:rStyle w:val="FootnoteAnchor"/>
          <w:rtl w:val="true"/>
        </w:rPr>
        <w:footnoteReference w:id="88"/>
      </w:r>
      <w:r>
        <w:rPr>
          <w:rFonts w:ascii="IRNazanin" w:hAnsi="IRNazanin" w:eastAsia="IRNazanin"/>
          <w:color w:val="111111"/>
          <w:sz w:val="28"/>
          <w:sz w:val="28"/>
          <w:szCs w:val="28"/>
          <w:rtl w:val="true"/>
          <w:lang w:bidi="fa-IR"/>
        </w:rPr>
        <w:t>من مقطوعها فی القبل أو الدبر، فیحصل حینئذٍ وصف الجنابة لکلّ منهما من غیر فرق بین الصغیر و المجنون و غیرهما و إن وجب الغسل حینئذٍ بعد حصول شرائط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الغسل من الصبیّ الممیّز، فإذا اغتسل یرتفع عنه حدث الجنابة</w:t>
      </w:r>
      <w:r>
        <w:rPr>
          <w:rFonts w:eastAsia="IRNazanin" w:cs="IRNazanin"/>
          <w:color w:val="111111"/>
          <w:sz w:val="28"/>
          <w:szCs w:val="28"/>
          <w:rtl w:val="true"/>
          <w:lang w:bidi="fa-IR"/>
        </w:rPr>
        <w:t>.</w:t>
      </w:r>
      <w:bookmarkStart w:id="428" w:name="pg1809_18789"/>
    </w:p>
    <w:p>
      <w:pPr>
        <w:pStyle w:val="Heading6"/>
        <w:numPr>
          <w:ilvl w:val="5"/>
          <w:numId w:val="1"/>
        </w:numPr>
        <w:rPr/>
      </w:pPr>
      <w:bookmarkStart w:id="429" w:name="__RefHeading___Toc2565378_3650668749"/>
      <w:bookmarkStart w:id="430" w:name="_Toc198"/>
      <w:bookmarkEnd w:id="428"/>
      <w:bookmarkEnd w:id="429"/>
      <w:r>
        <w:rPr>
          <w:rtl w:val="true"/>
        </w:rPr>
        <w:t>[ (</w:t>
      </w:r>
      <w:r>
        <w:rPr>
          <w:rtl w:val="true"/>
        </w:rPr>
        <w:t xml:space="preserve">مسألة </w:t>
      </w:r>
      <w:r>
        <w:rPr/>
        <w:t>2</w:t>
      </w:r>
      <w:r>
        <w:rPr>
          <w:rtl w:val="true"/>
        </w:rPr>
        <w:t xml:space="preserve">): </w:t>
      </w:r>
      <w:r>
        <w:rPr>
          <w:rtl w:val="true"/>
        </w:rPr>
        <w:t>إذا رأی فی ثوبه منیّاً و علم أنّه منه و لم یغتسل بعده</w:t>
      </w:r>
      <w:r>
        <w:rPr>
          <w:rtl w:val="true"/>
        </w:rPr>
        <w:t>]</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فی ثوبه منیّاً و علم أنّه منه و لم یغتسل بعده یجب علیه قضاء الصلوات التی صلّاها بعده، و أمّا الصلوات التی یحتمل وقوعها قبله فلا یجب قضاؤها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علم أنّه منه و لکن لم یعلم أنّه من جنابة سابقة اغتسل منها أو جنابة أُخری لم یغتسل لها فالظاهر أنّه لا یجب علیه الغسل و إن کان أحوط</w:t>
      </w:r>
      <w:r>
        <w:rPr>
          <w:rFonts w:eastAsia="IRNazanin" w:cs="IRNazanin"/>
          <w:color w:val="111111"/>
          <w:sz w:val="28"/>
          <w:szCs w:val="28"/>
          <w:rtl w:val="true"/>
          <w:lang w:bidi="fa-IR"/>
        </w:rPr>
        <w:t>.</w:t>
      </w:r>
    </w:p>
    <w:p>
      <w:pPr>
        <w:pStyle w:val="Heading6"/>
        <w:numPr>
          <w:ilvl w:val="5"/>
          <w:numId w:val="1"/>
        </w:numPr>
        <w:rPr/>
      </w:pPr>
      <w:bookmarkStart w:id="431" w:name="__RefHeading___Toc2565380_3650668749"/>
      <w:bookmarkStart w:id="432" w:name="_Toc199"/>
      <w:bookmarkEnd w:id="431"/>
      <w:r>
        <w:rPr>
          <w:rtl w:val="true"/>
        </w:rPr>
        <w:t>[ (</w:t>
      </w:r>
      <w:r>
        <w:rPr>
          <w:rtl w:val="true"/>
        </w:rPr>
        <w:t xml:space="preserve">مسألة </w:t>
      </w:r>
      <w:r>
        <w:rPr/>
        <w:t>3</w:t>
      </w:r>
      <w:r>
        <w:rPr>
          <w:rtl w:val="true"/>
        </w:rPr>
        <w:t xml:space="preserve">): </w:t>
      </w:r>
      <w:r>
        <w:rPr>
          <w:rtl w:val="true"/>
        </w:rPr>
        <w:t>إذا تحرّک المنیّ عن محلّه فی الیقظة أو فی النوم بالاحتلام</w:t>
      </w:r>
      <w:r>
        <w:rPr>
          <w:rtl w:val="true"/>
        </w:rPr>
        <w:t>]</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تحرّک المنیّ عن محلّه فی الیقظة أو فی النوم بالاحتلام لم یجب الغسل ما لم یخرج کما مرّ، فإذا کان بعد دخول الوقت و لم یکن عنده ماء للغسل لا یجب حبسه </w:t>
      </w:r>
      <w:r>
        <w:rPr>
          <w:rStyle w:val="FootnoteAnchor"/>
          <w:rtl w:val="true"/>
        </w:rPr>
        <w:footnoteReference w:id="89"/>
      </w:r>
      <w:r>
        <w:rPr>
          <w:rFonts w:ascii="IRNazanin" w:hAnsi="IRNazanin" w:eastAsia="IRNazanin"/>
          <w:color w:val="111111"/>
          <w:sz w:val="28"/>
          <w:sz w:val="28"/>
          <w:szCs w:val="28"/>
          <w:rtl w:val="true"/>
          <w:lang w:bidi="fa-IR"/>
        </w:rPr>
        <w:t>عن الخروج فإذا خرج یتیمّم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لم یکن عنده ما یتیمّم به </w:t>
      </w:r>
      <w:r>
        <w:rPr>
          <w:rStyle w:val="FootnoteAnchor"/>
          <w:rtl w:val="true"/>
        </w:rPr>
        <w:footnoteReference w:id="90"/>
      </w:r>
      <w:r>
        <w:rPr>
          <w:rFonts w:ascii="IRNazanin" w:hAnsi="IRNazanin" w:eastAsia="IRNazanin"/>
          <w:color w:val="111111"/>
          <w:sz w:val="28"/>
          <w:sz w:val="28"/>
          <w:szCs w:val="28"/>
          <w:rtl w:val="true"/>
          <w:lang w:bidi="fa-IR"/>
        </w:rPr>
        <w:t xml:space="preserve">أیضاً لا یبعد وجوب حبسه إلّا إذا تضرّر به، و کذا الحال فی إجناب نفسه </w:t>
      </w:r>
      <w:r>
        <w:rPr>
          <w:rStyle w:val="FootnoteAnchor"/>
          <w:rtl w:val="true"/>
        </w:rPr>
        <w:footnoteReference w:id="91"/>
      </w:r>
      <w:r>
        <w:rPr>
          <w:rFonts w:ascii="IRNazanin" w:hAnsi="IRNazanin" w:eastAsia="IRNazanin"/>
          <w:color w:val="111111"/>
          <w:sz w:val="28"/>
          <w:sz w:val="28"/>
          <w:szCs w:val="28"/>
          <w:rtl w:val="true"/>
          <w:lang w:bidi="fa-IR"/>
        </w:rPr>
        <w:t>اختیاراً بعد دخول الوقت فیجوز لو لم یکن عنده ماء الغسل دون ما یتیمّم به، بخلاف ما إذا لم یکن عنده ما یتیمّم به أیضاً کما مرّ</w:t>
      </w:r>
      <w:r>
        <w:rPr>
          <w:rFonts w:eastAsia="IRNazanin" w:cs="IRNazanin"/>
          <w:color w:val="111111"/>
          <w:sz w:val="28"/>
          <w:szCs w:val="28"/>
          <w:rtl w:val="true"/>
          <w:lang w:bidi="fa-IR"/>
        </w:rPr>
        <w:t>.</w:t>
      </w:r>
    </w:p>
    <w:p>
      <w:pPr>
        <w:pStyle w:val="Heading6"/>
        <w:numPr>
          <w:ilvl w:val="5"/>
          <w:numId w:val="1"/>
        </w:numPr>
        <w:rPr/>
      </w:pPr>
      <w:bookmarkStart w:id="433" w:name="__RefHeading___Toc2565382_3650668749"/>
      <w:bookmarkStart w:id="434" w:name="_Toc200"/>
      <w:bookmarkEnd w:id="433"/>
      <w:r>
        <w:rPr>
          <w:rtl w:val="true"/>
        </w:rPr>
        <w:t>[</w:t>
      </w:r>
      <w:r>
        <w:rPr>
          <w:rtl w:val="true"/>
        </w:rPr>
        <w:t>القول فی أحکام الجنب</w:t>
      </w:r>
      <w:r>
        <w:rPr>
          <w:rtl w:val="true"/>
        </w:rPr>
        <w:t>]</w:t>
      </w:r>
      <w:bookmarkEnd w:id="434"/>
    </w:p>
    <w:p>
      <w:pPr>
        <w:pStyle w:val="Heading6"/>
        <w:numPr>
          <w:ilvl w:val="5"/>
          <w:numId w:val="1"/>
        </w:numPr>
        <w:rPr/>
      </w:pPr>
      <w:bookmarkStart w:id="435" w:name="__RefHeading___Toc2565384_3650668749"/>
      <w:bookmarkStart w:id="436" w:name="_Toc201"/>
      <w:bookmarkEnd w:id="435"/>
      <w:r>
        <w:rPr>
          <w:rtl w:val="true"/>
        </w:rPr>
        <w:t>اشارة</w:t>
      </w:r>
      <w:bookmarkEnd w:id="436"/>
    </w:p>
    <w:p>
      <w:pPr>
        <w:pStyle w:val="BookText"/>
        <w:rPr/>
      </w:pPr>
      <w:r>
        <w:rPr>
          <w:rFonts w:ascii="IRNazanin" w:hAnsi="IRNazanin" w:eastAsia="IRNazanin"/>
          <w:color w:val="111111"/>
          <w:sz w:val="28"/>
          <w:sz w:val="28"/>
          <w:szCs w:val="28"/>
          <w:rtl w:val="true"/>
          <w:lang w:bidi="fa-IR"/>
        </w:rPr>
        <w:t>القول فی أحکام الجنب یتوقّف علی الغسل من الجنابة أُمور؛ بمعنی أنّه شرط فی صحّتها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بأقسامها ما عدا صلاة الجنازة لها و لأجزائها المنسیّة، بل و کذا سجدتی السهو علی الأحوط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الواجب دون المندوب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 و قضاؤه؛ بمعنی بطلانه إذا أصبح جنباً متعمّداً أو ناسیاً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غیرهما من أقسام الصیام فلا یبطل بالإصباح جنباً و إن کان الأحوط </w:t>
      </w:r>
      <w:r>
        <w:rPr>
          <w:rStyle w:val="FootnoteAnchor"/>
          <w:rtl w:val="true"/>
        </w:rPr>
        <w:footnoteReference w:id="94"/>
      </w:r>
      <w:r>
        <w:rPr>
          <w:rFonts w:ascii="IRNazanin" w:hAnsi="IRNazanin" w:eastAsia="IRNazanin"/>
          <w:color w:val="111111"/>
          <w:sz w:val="28"/>
          <w:sz w:val="28"/>
          <w:szCs w:val="28"/>
          <w:rtl w:val="true"/>
          <w:lang w:bidi="fa-IR"/>
        </w:rPr>
        <w:t>فی الواجب منها ترک تعمّده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الجنابة العمدیّة فی أثناء النهار تبطل جمیع أقسام الصیام حتّی المندوب منها بخلاف غیرها کالاحتلام فلا یضرّ بشی‌ء منها حتّی صوم شهر رمضان</w:t>
      </w:r>
      <w:r>
        <w:rPr>
          <w:rFonts w:eastAsia="IRNazanin" w:cs="IRNazanin"/>
          <w:color w:val="111111"/>
          <w:sz w:val="28"/>
          <w:szCs w:val="28"/>
          <w:rtl w:val="true"/>
          <w:lang w:bidi="fa-IR"/>
        </w:rPr>
        <w:t>.</w:t>
      </w:r>
      <w:bookmarkStart w:id="437" w:name="pg1809_18790"/>
    </w:p>
    <w:p>
      <w:pPr>
        <w:pStyle w:val="Heading6"/>
        <w:numPr>
          <w:ilvl w:val="5"/>
          <w:numId w:val="1"/>
        </w:numPr>
        <w:rPr/>
      </w:pPr>
      <w:bookmarkStart w:id="438" w:name="__RefHeading___Toc2565386_3650668749"/>
      <w:bookmarkStart w:id="439" w:name="_Toc202"/>
      <w:bookmarkEnd w:id="437"/>
      <w:bookmarkEnd w:id="438"/>
      <w:r>
        <w:rPr>
          <w:rtl w:val="true"/>
        </w:rPr>
        <w:t>[</w:t>
      </w:r>
      <w:r>
        <w:rPr>
          <w:rtl w:val="true"/>
        </w:rPr>
        <w:t>فصل یحرم علی الجنب أُمور</w:t>
      </w:r>
      <w:r>
        <w:rPr>
          <w:rtl w:val="true"/>
        </w:rPr>
        <w:t>]</w:t>
      </w:r>
      <w:bookmarkEnd w:id="439"/>
    </w:p>
    <w:p>
      <w:pPr>
        <w:pStyle w:val="Heading6"/>
        <w:numPr>
          <w:ilvl w:val="5"/>
          <w:numId w:val="1"/>
        </w:numPr>
        <w:rPr/>
      </w:pPr>
      <w:bookmarkStart w:id="440" w:name="__RefHeading___Toc2565388_3650668749"/>
      <w:bookmarkStart w:id="441" w:name="_Toc203"/>
      <w:bookmarkEnd w:id="440"/>
      <w:r>
        <w:rPr>
          <w:rtl w:val="true"/>
        </w:rPr>
        <w:t>اشارة</w:t>
      </w:r>
      <w:bookmarkEnd w:id="441"/>
    </w:p>
    <w:p>
      <w:pPr>
        <w:pStyle w:val="BookText"/>
        <w:rPr/>
      </w:pPr>
      <w:r>
        <w:rPr>
          <w:rFonts w:ascii="IRNazanin" w:hAnsi="IRNazanin" w:eastAsia="IRNazanin"/>
          <w:color w:val="111111"/>
          <w:sz w:val="28"/>
          <w:sz w:val="28"/>
          <w:szCs w:val="28"/>
          <w:rtl w:val="true"/>
          <w:lang w:bidi="fa-IR"/>
        </w:rPr>
        <w:t>فصل یحرم علی الجنب أُمور</w:t>
      </w:r>
      <w:r>
        <w:rPr>
          <w:rFonts w:eastAsia="IRNazanin" w:cs="IRNazanin"/>
          <w:color w:val="111111"/>
          <w:sz w:val="28"/>
          <w:szCs w:val="28"/>
          <w:rtl w:val="true"/>
          <w:lang w:bidi="fa-IR"/>
        </w:rPr>
        <w:t>:</w:t>
      </w:r>
    </w:p>
    <w:p>
      <w:pPr>
        <w:pStyle w:val="Heading6"/>
        <w:numPr>
          <w:ilvl w:val="5"/>
          <w:numId w:val="1"/>
        </w:numPr>
        <w:rPr/>
      </w:pPr>
      <w:bookmarkStart w:id="442" w:name="__RefHeading___Toc2565390_3650668749"/>
      <w:bookmarkStart w:id="443" w:name="_Toc204"/>
      <w:bookmarkEnd w:id="442"/>
      <w:r>
        <w:rPr>
          <w:rtl w:val="true"/>
        </w:rPr>
        <w:t>[</w:t>
      </w:r>
      <w:r>
        <w:rPr>
          <w:rtl w:val="true"/>
        </w:rPr>
        <w:t>الأوّل</w:t>
      </w:r>
      <w:r>
        <w:rPr>
          <w:rtl w:val="true"/>
        </w:rPr>
        <w:t xml:space="preserve">: </w:t>
      </w:r>
      <w:r>
        <w:rPr>
          <w:rtl w:val="true"/>
        </w:rPr>
        <w:t>مسّ کتابة القرآن</w:t>
      </w:r>
      <w:r>
        <w:rPr>
          <w:rtl w:val="true"/>
        </w:rPr>
        <w:t>]</w:t>
      </w:r>
      <w:bookmarkEnd w:id="44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کتابة القرآن علی التفصیل المتقدّم فی الوضوء، و مسّ اسم اللّٰه تعالیٰ و سائر أسمائه و صفاته المختصّة به، و کذا مسّ أسماء الأنبیاء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w:t>
      </w:r>
    </w:p>
    <w:p>
      <w:pPr>
        <w:pStyle w:val="Heading6"/>
        <w:numPr>
          <w:ilvl w:val="5"/>
          <w:numId w:val="1"/>
        </w:numPr>
        <w:rPr/>
      </w:pPr>
      <w:bookmarkStart w:id="444" w:name="__RefHeading___Toc2565392_3650668749"/>
      <w:bookmarkStart w:id="445" w:name="_Toc205"/>
      <w:bookmarkEnd w:id="444"/>
      <w:r>
        <w:rPr>
          <w:rtl w:val="true"/>
        </w:rPr>
        <w:t>[</w:t>
      </w:r>
      <w:r>
        <w:rPr>
          <w:rtl w:val="true"/>
        </w:rPr>
        <w:t>الثانی</w:t>
      </w:r>
      <w:r>
        <w:rPr>
          <w:rtl w:val="true"/>
        </w:rPr>
        <w:t xml:space="preserve">: </w:t>
      </w:r>
      <w:r>
        <w:rPr>
          <w:rtl w:val="true"/>
        </w:rPr>
        <w:t xml:space="preserve">دخول مسجد الحرام و مسجد النبیّ </w:t>
      </w:r>
      <w:r>
        <w:rPr>
          <w:rtl w:val="true"/>
        </w:rPr>
        <w:t>(</w:t>
      </w:r>
      <w:r>
        <w:rPr>
          <w:rtl w:val="true"/>
        </w:rPr>
        <w:t>صلّی اللّٰه علیه و آله و سلّم</w:t>
      </w:r>
      <w:r>
        <w:rPr>
          <w:rtl w:val="true"/>
        </w:rPr>
        <w:t>)]</w:t>
      </w:r>
      <w:bookmarkEnd w:id="44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مسجد الحرام و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بنحو الاجتیاز</w:t>
      </w:r>
      <w:r>
        <w:rPr>
          <w:rFonts w:eastAsia="IRNazanin" w:cs="IRNazanin"/>
          <w:color w:val="111111"/>
          <w:sz w:val="28"/>
          <w:szCs w:val="28"/>
          <w:rtl w:val="true"/>
          <w:lang w:bidi="fa-IR"/>
        </w:rPr>
        <w:t>.</w:t>
      </w:r>
    </w:p>
    <w:p>
      <w:pPr>
        <w:pStyle w:val="Heading6"/>
        <w:numPr>
          <w:ilvl w:val="5"/>
          <w:numId w:val="1"/>
        </w:numPr>
        <w:rPr/>
      </w:pPr>
      <w:bookmarkStart w:id="446" w:name="__RefHeading___Toc2565394_3650668749"/>
      <w:bookmarkStart w:id="447" w:name="_Toc206"/>
      <w:bookmarkEnd w:id="446"/>
      <w:r>
        <w:rPr>
          <w:rtl w:val="true"/>
        </w:rPr>
        <w:t>[</w:t>
      </w:r>
      <w:r>
        <w:rPr>
          <w:rtl w:val="true"/>
        </w:rPr>
        <w:t>الثالث</w:t>
      </w:r>
      <w:r>
        <w:rPr>
          <w:rtl w:val="true"/>
        </w:rPr>
        <w:t xml:space="preserve">: </w:t>
      </w:r>
      <w:r>
        <w:rPr>
          <w:rtl w:val="true"/>
        </w:rPr>
        <w:t>المکث فی غیر المسجدین من المساجد</w:t>
      </w:r>
      <w:r>
        <w:rPr>
          <w:rtl w:val="true"/>
        </w:rPr>
        <w:t>]</w:t>
      </w:r>
      <w:bookmarkEnd w:id="44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المکث فی غیر المسجدین من المساجد، بل مطلق الدخول فیها إذا لم یکن مارّاً؛ بأن یدخل من باب و یخرج من آخر أو دخل فیها لأجل أخذ شی‌ء منها فإنّه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بها المشاهد المشرّفة علی الأحوط، و أحوط من ذلک إلحاقها بالمسجدین، کما أنّ الأحوط فیها إلحاق الرواق بالروضة المشرّفة</w:t>
      </w:r>
      <w:r>
        <w:rPr>
          <w:rFonts w:eastAsia="IRNazanin" w:cs="IRNazanin"/>
          <w:color w:val="111111"/>
          <w:sz w:val="28"/>
          <w:szCs w:val="28"/>
          <w:rtl w:val="true"/>
          <w:lang w:bidi="fa-IR"/>
        </w:rPr>
        <w:t>.</w:t>
      </w:r>
    </w:p>
    <w:p>
      <w:pPr>
        <w:pStyle w:val="Heading6"/>
        <w:numPr>
          <w:ilvl w:val="5"/>
          <w:numId w:val="1"/>
        </w:numPr>
        <w:rPr/>
      </w:pPr>
      <w:bookmarkStart w:id="448" w:name="__RefHeading___Toc2565396_3650668749"/>
      <w:bookmarkStart w:id="449" w:name="_Toc207"/>
      <w:bookmarkEnd w:id="448"/>
      <w:r>
        <w:rPr>
          <w:rtl w:val="true"/>
        </w:rPr>
        <w:t>[</w:t>
      </w:r>
      <w:r>
        <w:rPr>
          <w:rtl w:val="true"/>
        </w:rPr>
        <w:t>الرابع</w:t>
      </w:r>
      <w:r>
        <w:rPr>
          <w:rtl w:val="true"/>
        </w:rPr>
        <w:t xml:space="preserve">: </w:t>
      </w:r>
      <w:r>
        <w:rPr>
          <w:rtl w:val="true"/>
        </w:rPr>
        <w:t>وضع شی‌ء فی المساجد</w:t>
      </w:r>
      <w:r>
        <w:rPr>
          <w:rtl w:val="true"/>
        </w:rPr>
        <w:t>]</w:t>
      </w:r>
      <w:bookmarkEnd w:id="449"/>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شی‌ء فی المساجد و إن کان من الخارج أو فی حال العبور</w:t>
      </w:r>
      <w:r>
        <w:rPr>
          <w:rFonts w:eastAsia="IRNazanin" w:cs="IRNazanin"/>
          <w:color w:val="111111"/>
          <w:sz w:val="28"/>
          <w:szCs w:val="28"/>
          <w:rtl w:val="true"/>
          <w:lang w:bidi="fa-IR"/>
        </w:rPr>
        <w:t>.</w:t>
      </w:r>
    </w:p>
    <w:p>
      <w:pPr>
        <w:pStyle w:val="Heading6"/>
        <w:numPr>
          <w:ilvl w:val="5"/>
          <w:numId w:val="1"/>
        </w:numPr>
        <w:rPr/>
      </w:pPr>
      <w:bookmarkStart w:id="450" w:name="__RefHeading___Toc2565398_3650668749"/>
      <w:bookmarkStart w:id="451" w:name="_Toc208"/>
      <w:bookmarkEnd w:id="450"/>
      <w:r>
        <w:rPr>
          <w:rtl w:val="true"/>
        </w:rPr>
        <w:t>[</w:t>
      </w:r>
      <w:r>
        <w:rPr>
          <w:rtl w:val="true"/>
        </w:rPr>
        <w:t>الخامس</w:t>
      </w:r>
      <w:r>
        <w:rPr>
          <w:rtl w:val="true"/>
        </w:rPr>
        <w:t xml:space="preserve">: </w:t>
      </w:r>
      <w:r>
        <w:rPr>
          <w:rtl w:val="true"/>
        </w:rPr>
        <w:t>قراءة سور العزائم الأربع</w:t>
      </w:r>
      <w:r>
        <w:rPr>
          <w:rtl w:val="true"/>
        </w:rPr>
        <w:t>]</w:t>
      </w:r>
      <w:bookmarkEnd w:id="451"/>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سور العزائم الأربع سورة اقرأ و النجم و الم تنزیل و حم السجدة و لو بعض منها حتّی البسملة بقصد أحدها</w:t>
      </w:r>
      <w:r>
        <w:rPr>
          <w:rFonts w:eastAsia="IRNazanin" w:cs="IRNazanin"/>
          <w:color w:val="111111"/>
          <w:sz w:val="28"/>
          <w:szCs w:val="28"/>
          <w:rtl w:val="true"/>
          <w:lang w:bidi="fa-IR"/>
        </w:rPr>
        <w:t>.</w:t>
      </w:r>
    </w:p>
    <w:p>
      <w:pPr>
        <w:pStyle w:val="Heading6"/>
        <w:numPr>
          <w:ilvl w:val="5"/>
          <w:numId w:val="1"/>
        </w:numPr>
        <w:rPr/>
      </w:pPr>
      <w:bookmarkStart w:id="452" w:name="__RefHeading___Toc2565400_3650668749"/>
      <w:bookmarkStart w:id="453" w:name="_Toc209"/>
      <w:bookmarkEnd w:id="452"/>
      <w:r>
        <w:rPr>
          <w:rtl w:val="true"/>
        </w:rPr>
        <w:t>[ (</w:t>
      </w:r>
      <w:r>
        <w:rPr>
          <w:rtl w:val="true"/>
        </w:rPr>
        <w:t xml:space="preserve">مسألة </w:t>
      </w:r>
      <w:r>
        <w:rPr/>
        <w:t>1</w:t>
      </w:r>
      <w:r>
        <w:rPr>
          <w:rtl w:val="true"/>
        </w:rPr>
        <w:t xml:space="preserve">): </w:t>
      </w:r>
      <w:r>
        <w:rPr>
          <w:rtl w:val="true"/>
        </w:rPr>
        <w:t>إذا احتلم فی أحد المسجدین أو دخل فیهما جنباً عمداً أو سهواً أو جهلًا</w:t>
      </w:r>
      <w:r>
        <w:rPr>
          <w:rtl w:val="true"/>
        </w:rPr>
        <w:t>]</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احتلم فی أحد المسجدین أو دخل فیهما جنباً عمداً أو سهواً أو جهلًا وجب علیه التیمّم للخروج، إلّا أن یکون زمان الخروج أقصر من المکث للتیمّم أو مساویاً له فحینئذٍ یخرج بدون تیمّم علی الأقویٰ</w:t>
      </w:r>
      <w:r>
        <w:rPr>
          <w:rFonts w:eastAsia="IRNazanin" w:cs="IRNazanin"/>
          <w:color w:val="111111"/>
          <w:sz w:val="28"/>
          <w:szCs w:val="28"/>
          <w:rtl w:val="true"/>
          <w:lang w:bidi="fa-IR"/>
        </w:rPr>
        <w:t>.</w:t>
      </w:r>
    </w:p>
    <w:p>
      <w:pPr>
        <w:pStyle w:val="Heading6"/>
        <w:numPr>
          <w:ilvl w:val="5"/>
          <w:numId w:val="1"/>
        </w:numPr>
        <w:rPr/>
      </w:pPr>
      <w:bookmarkStart w:id="454" w:name="__RefHeading___Toc2565402_3650668749"/>
      <w:bookmarkStart w:id="455" w:name="_Toc210"/>
      <w:bookmarkEnd w:id="454"/>
      <w:r>
        <w:rPr>
          <w:rtl w:val="true"/>
        </w:rPr>
        <w:t>[ (</w:t>
      </w:r>
      <w:r>
        <w:rPr>
          <w:rtl w:val="true"/>
        </w:rPr>
        <w:t xml:space="preserve">مسألة </w:t>
      </w:r>
      <w:r>
        <w:rPr/>
        <w:t>2</w:t>
      </w:r>
      <w:r>
        <w:rPr>
          <w:rtl w:val="true"/>
        </w:rPr>
        <w:t xml:space="preserve">): </w:t>
      </w:r>
      <w:r>
        <w:rPr>
          <w:rtl w:val="true"/>
        </w:rPr>
        <w:t>إذا کان جنباً و کان الماء فی المسجد یجب علیه أن یتیمّم</w:t>
      </w:r>
      <w:r>
        <w:rPr>
          <w:rtl w:val="true"/>
        </w:rPr>
        <w:t>]</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جنباً و کان الماء فی المسجد یجب علیه أن یتیمّم و یدخل المسجد لأخذ الماء و لا ینتقض التیمّم بهذا الوجدان إلّا بعد الخروج مع الماء أو بعد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یباح بهذا التیمّم غیر دخول المسجد و اللبث فیه بمقدار الحاجة؟ فیه تأمّل و إشکال</w:t>
      </w:r>
      <w:r>
        <w:rPr>
          <w:rFonts w:eastAsia="IRNazanin" w:cs="IRNazanin"/>
          <w:color w:val="111111"/>
          <w:sz w:val="28"/>
          <w:szCs w:val="28"/>
          <w:rtl w:val="true"/>
          <w:lang w:bidi="fa-IR"/>
        </w:rPr>
        <w:t>.</w:t>
      </w:r>
    </w:p>
    <w:p>
      <w:pPr>
        <w:pStyle w:val="Heading6"/>
        <w:numPr>
          <w:ilvl w:val="5"/>
          <w:numId w:val="1"/>
        </w:numPr>
        <w:rPr/>
      </w:pPr>
      <w:bookmarkStart w:id="456" w:name="__RefHeading___Toc2565404_3650668749"/>
      <w:bookmarkStart w:id="457" w:name="_Toc211"/>
      <w:bookmarkEnd w:id="456"/>
      <w:r>
        <w:rPr>
          <w:rtl w:val="true"/>
        </w:rPr>
        <w:t>[</w:t>
      </w:r>
      <w:r>
        <w:rPr>
          <w:rtl w:val="true"/>
        </w:rPr>
        <w:t>فصل یکره علی الجنب أُمور</w:t>
      </w:r>
      <w:r>
        <w:rPr>
          <w:rtl w:val="true"/>
        </w:rPr>
        <w:t>]</w:t>
      </w:r>
      <w:bookmarkEnd w:id="457"/>
    </w:p>
    <w:p>
      <w:pPr>
        <w:pStyle w:val="BookText"/>
        <w:rPr/>
      </w:pPr>
      <w:r>
        <w:rPr>
          <w:rFonts w:ascii="IRNazanin" w:hAnsi="IRNazanin" w:eastAsia="IRNazanin"/>
          <w:color w:val="111111"/>
          <w:sz w:val="28"/>
          <w:sz w:val="28"/>
          <w:szCs w:val="28"/>
          <w:rtl w:val="true"/>
          <w:lang w:bidi="fa-IR"/>
        </w:rPr>
        <w:t>فصل یکره علی الجنب أُمور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الأکل و الشرب، و یرتفع کراهتهما </w:t>
      </w:r>
      <w:r>
        <w:rPr>
          <w:rStyle w:val="FootnoteAnchor"/>
          <w:rtl w:val="true"/>
        </w:rPr>
        <w:footnoteReference w:id="95"/>
      </w:r>
      <w:r>
        <w:rPr>
          <w:rFonts w:ascii="IRNazanin" w:hAnsi="IRNazanin" w:eastAsia="IRNazanin"/>
          <w:color w:val="111111"/>
          <w:sz w:val="28"/>
          <w:sz w:val="28"/>
          <w:szCs w:val="28"/>
          <w:rtl w:val="true"/>
          <w:lang w:bidi="fa-IR"/>
        </w:rPr>
        <w:t>علیه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أکملها الوضوء الکامل ثمّ</w:t>
      </w:r>
      <w:bookmarkStart w:id="458" w:name="pg1809_18793"/>
    </w:p>
    <w:p>
      <w:pPr>
        <w:pStyle w:val="BookText"/>
        <w:rPr/>
      </w:pPr>
      <w:bookmarkEnd w:id="458"/>
      <w:r>
        <w:rPr>
          <w:rFonts w:ascii="IRNazanin" w:hAnsi="IRNazanin" w:eastAsia="IRNazanin"/>
          <w:color w:val="111111"/>
          <w:sz w:val="28"/>
          <w:sz w:val="28"/>
          <w:szCs w:val="28"/>
          <w:rtl w:val="true"/>
          <w:lang w:bidi="fa-IR"/>
        </w:rPr>
        <w:t>غسل الید و الوجه و المضمضة ثمّ غسل الیدین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ما زاد علیٰ سبع آیات غیر العزائم، و تشتدّ الکراهة إن زاد علیٰ سبعین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ما عدا خطّ المصحف من الجلد و الورق و الهامش و ما بین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و ترتفع کراهته بالوضوء و إذا لم یجد الماء تیمّم بدلًا عن الغسل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الخضاب و کذا إجناب نفسه إذا کان مختضباً قبل أن یأخذ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إذا کان جنباً بالاحتلام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المصحف و تعلیقه</w:t>
      </w:r>
      <w:r>
        <w:rPr>
          <w:rFonts w:eastAsia="IRNazanin" w:cs="IRNazanin"/>
          <w:color w:val="111111"/>
          <w:sz w:val="28"/>
          <w:szCs w:val="28"/>
          <w:rtl w:val="true"/>
          <w:lang w:bidi="fa-IR"/>
        </w:rPr>
        <w:t>.</w:t>
      </w:r>
    </w:p>
    <w:p>
      <w:pPr>
        <w:pStyle w:val="Heading6"/>
        <w:numPr>
          <w:ilvl w:val="5"/>
          <w:numId w:val="1"/>
        </w:numPr>
        <w:rPr/>
      </w:pPr>
      <w:bookmarkStart w:id="459" w:name="__RefHeading___Toc2565406_3650668749"/>
      <w:bookmarkStart w:id="460" w:name="_Toc212"/>
      <w:bookmarkEnd w:id="459"/>
      <w:r>
        <w:rPr>
          <w:rtl w:val="true"/>
        </w:rPr>
        <w:t>[</w:t>
      </w:r>
      <w:r>
        <w:rPr>
          <w:rtl w:val="true"/>
        </w:rPr>
        <w:t>القول فی واجبات الغسل</w:t>
      </w:r>
      <w:r>
        <w:rPr>
          <w:rtl w:val="true"/>
        </w:rPr>
        <w:t>]</w:t>
      </w:r>
      <w:bookmarkEnd w:id="460"/>
    </w:p>
    <w:p>
      <w:pPr>
        <w:pStyle w:val="Heading6"/>
        <w:numPr>
          <w:ilvl w:val="5"/>
          <w:numId w:val="1"/>
        </w:numPr>
        <w:rPr/>
      </w:pPr>
      <w:bookmarkStart w:id="461" w:name="__RefHeading___Toc2565408_3650668749"/>
      <w:bookmarkStart w:id="462" w:name="_Toc213"/>
      <w:bookmarkEnd w:id="461"/>
      <w:r>
        <w:rPr>
          <w:rtl w:val="true"/>
        </w:rPr>
        <w:t>اشارة</w:t>
      </w:r>
      <w:bookmarkEnd w:id="462"/>
    </w:p>
    <w:p>
      <w:pPr>
        <w:pStyle w:val="BookText"/>
        <w:rPr/>
      </w:pPr>
      <w:r>
        <w:rPr>
          <w:rFonts w:ascii="IRNazanin" w:hAnsi="IRNazanin" w:eastAsia="IRNazanin"/>
          <w:color w:val="111111"/>
          <w:sz w:val="28"/>
          <w:sz w:val="28"/>
          <w:szCs w:val="28"/>
          <w:rtl w:val="true"/>
          <w:lang w:bidi="fa-IR"/>
        </w:rPr>
        <w:t xml:space="preserve">القول فی واجبات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الغسل أُمور</w:t>
      </w:r>
      <w:r>
        <w:rPr>
          <w:rFonts w:eastAsia="IRNazanin" w:cs="IRNazanin"/>
          <w:color w:val="111111"/>
          <w:sz w:val="28"/>
          <w:szCs w:val="28"/>
          <w:rtl w:val="true"/>
          <w:lang w:bidi="fa-IR"/>
        </w:rPr>
        <w:t>:</w:t>
      </w:r>
    </w:p>
    <w:p>
      <w:pPr>
        <w:pStyle w:val="Heading6"/>
        <w:numPr>
          <w:ilvl w:val="5"/>
          <w:numId w:val="1"/>
        </w:numPr>
        <w:rPr/>
      </w:pPr>
      <w:bookmarkStart w:id="463" w:name="__RefHeading___Toc2565410_3650668749"/>
      <w:bookmarkStart w:id="464" w:name="_Toc214"/>
      <w:bookmarkEnd w:id="463"/>
      <w:r>
        <w:rPr>
          <w:rtl w:val="true"/>
        </w:rPr>
        <w:t>[</w:t>
      </w:r>
      <w:r>
        <w:rPr>
          <w:rtl w:val="true"/>
        </w:rPr>
        <w:t>الأوّل</w:t>
      </w:r>
      <w:r>
        <w:rPr>
          <w:rtl w:val="true"/>
        </w:rPr>
        <w:t xml:space="preserve">: </w:t>
      </w:r>
      <w:r>
        <w:rPr>
          <w:rtl w:val="true"/>
        </w:rPr>
        <w:t>النیّة</w:t>
      </w:r>
      <w:r>
        <w:rPr>
          <w:rtl w:val="true"/>
        </w:rPr>
        <w:t>]</w:t>
      </w:r>
      <w:bookmarkEnd w:id="464"/>
    </w:p>
    <w:p>
      <w:pPr>
        <w:pStyle w:val="Heading6"/>
        <w:numPr>
          <w:ilvl w:val="5"/>
          <w:numId w:val="1"/>
        </w:numPr>
        <w:rPr/>
      </w:pPr>
      <w:bookmarkStart w:id="465" w:name="__RefHeading___Toc2565412_3650668749"/>
      <w:bookmarkStart w:id="466" w:name="_Toc215"/>
      <w:bookmarkEnd w:id="465"/>
      <w:r>
        <w:rPr>
          <w:rtl w:val="true"/>
        </w:rPr>
        <w:t>اشارة</w:t>
      </w:r>
      <w:bookmarkEnd w:id="46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 یعتبر فیها الإخلاص، و لا بدّ من استدامة حکمها کما تقدّم فی الوضوء</w:t>
      </w:r>
      <w:r>
        <w:rPr>
          <w:rFonts w:eastAsia="IRNazanin" w:cs="IRNazanin"/>
          <w:color w:val="111111"/>
          <w:sz w:val="28"/>
          <w:szCs w:val="28"/>
          <w:rtl w:val="true"/>
          <w:lang w:bidi="fa-IR"/>
        </w:rPr>
        <w:t>.</w:t>
      </w:r>
    </w:p>
    <w:p>
      <w:pPr>
        <w:pStyle w:val="Heading6"/>
        <w:numPr>
          <w:ilvl w:val="5"/>
          <w:numId w:val="1"/>
        </w:numPr>
        <w:rPr/>
      </w:pPr>
      <w:bookmarkStart w:id="467" w:name="__RefHeading___Toc2565414_3650668749"/>
      <w:bookmarkStart w:id="468" w:name="_Toc216"/>
      <w:bookmarkEnd w:id="467"/>
      <w:r>
        <w:rPr>
          <w:rtl w:val="true"/>
        </w:rPr>
        <w:t>[ (</w:t>
      </w:r>
      <w:r>
        <w:rPr>
          <w:rtl w:val="true"/>
        </w:rPr>
        <w:t xml:space="preserve">مسألة </w:t>
      </w:r>
      <w:r>
        <w:rPr/>
        <w:t>2</w:t>
      </w:r>
      <w:r>
        <w:rPr>
          <w:rtl w:val="true"/>
        </w:rPr>
        <w:t xml:space="preserve">): </w:t>
      </w:r>
      <w:r>
        <w:rPr>
          <w:rtl w:val="true"/>
        </w:rPr>
        <w:t>إذا دخل الحمّام بنیّة الغسل فإن بقی فی نفسه الداعی الأوّل</w:t>
      </w:r>
      <w:r>
        <w:rPr>
          <w:rtl w:val="true"/>
        </w:rPr>
        <w:t>]</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الحمّام بنیّة الغسل فإن بقی فی نفسه الداعی الأوّل و کان غمسه و اغتساله بذلک الداعی بحیث لو سُئل عنه حین غمسه ما تفعل؟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أغتسل، فغسله صحیح و قد وقع غسله مع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غافلًا بالمرّة بحیث لو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تفعل؟ بقی متحیّراً، بطل غسله، بل لم یقع منه الغسل أصلًا</w:t>
      </w:r>
      <w:r>
        <w:rPr>
          <w:rFonts w:eastAsia="IRNazanin" w:cs="IRNazanin"/>
          <w:color w:val="111111"/>
          <w:sz w:val="28"/>
          <w:szCs w:val="28"/>
          <w:rtl w:val="true"/>
          <w:lang w:bidi="fa-IR"/>
        </w:rPr>
        <w:t>.</w:t>
      </w:r>
    </w:p>
    <w:p>
      <w:pPr>
        <w:pStyle w:val="Heading6"/>
        <w:numPr>
          <w:ilvl w:val="5"/>
          <w:numId w:val="1"/>
        </w:numPr>
        <w:rPr/>
      </w:pPr>
      <w:bookmarkStart w:id="469" w:name="__RefHeading___Toc2565416_3650668749"/>
      <w:bookmarkStart w:id="470" w:name="_Toc217"/>
      <w:bookmarkEnd w:id="469"/>
      <w:r>
        <w:rPr>
          <w:rtl w:val="true"/>
        </w:rPr>
        <w:t>[ (</w:t>
      </w:r>
      <w:r>
        <w:rPr>
          <w:rtl w:val="true"/>
        </w:rPr>
        <w:t xml:space="preserve">مسألة </w:t>
      </w:r>
      <w:r>
        <w:rPr/>
        <w:t>3</w:t>
      </w:r>
      <w:r>
        <w:rPr>
          <w:rtl w:val="true"/>
        </w:rPr>
        <w:t xml:space="preserve">): </w:t>
      </w:r>
      <w:r>
        <w:rPr>
          <w:rtl w:val="true"/>
        </w:rPr>
        <w:t>إذا ذهب إلی الحمّام لیغتسل و بعد ما خرج شکّ فی أنّه اغتسل أم لا</w:t>
      </w:r>
      <w:r>
        <w:rPr>
          <w:rtl w:val="true"/>
        </w:rPr>
        <w:t>]</w:t>
      </w:r>
      <w:bookmarkEnd w:id="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إلی الحمّام لیغتسل و بعد ما خرج شکّ فی أنّه اغتسل أم لا، بنیٰ علی العدم، أمّا لو علم أنّه اغتسل لکن شکّ فی أنّه علی الوجه الصحیح أم لا، بنیٰ علی الصحّة</w:t>
      </w:r>
      <w:r>
        <w:rPr>
          <w:rFonts w:eastAsia="IRNazanin" w:cs="IRNazanin"/>
          <w:color w:val="111111"/>
          <w:sz w:val="28"/>
          <w:szCs w:val="28"/>
          <w:rtl w:val="true"/>
          <w:lang w:bidi="fa-IR"/>
        </w:rPr>
        <w:t>.</w:t>
      </w:r>
    </w:p>
    <w:p>
      <w:pPr>
        <w:pStyle w:val="Heading6"/>
        <w:numPr>
          <w:ilvl w:val="5"/>
          <w:numId w:val="1"/>
        </w:numPr>
        <w:rPr/>
      </w:pPr>
      <w:bookmarkStart w:id="471" w:name="__RefHeading___Toc2565418_3650668749"/>
      <w:bookmarkStart w:id="472" w:name="_Toc218"/>
      <w:bookmarkEnd w:id="471"/>
      <w:r>
        <w:rPr>
          <w:rtl w:val="true"/>
        </w:rPr>
        <w:t>[</w:t>
      </w:r>
      <w:r>
        <w:rPr>
          <w:rtl w:val="true"/>
        </w:rPr>
        <w:t>الثانی</w:t>
      </w:r>
      <w:r>
        <w:rPr>
          <w:rtl w:val="true"/>
        </w:rPr>
        <w:t xml:space="preserve">: </w:t>
      </w:r>
      <w:r>
        <w:rPr>
          <w:rtl w:val="true"/>
        </w:rPr>
        <w:t>غسل ظاهر البشرة</w:t>
      </w:r>
      <w:r>
        <w:rPr>
          <w:rtl w:val="true"/>
        </w:rPr>
        <w:t>]</w:t>
      </w:r>
      <w:bookmarkEnd w:id="472"/>
    </w:p>
    <w:p>
      <w:pPr>
        <w:pStyle w:val="Heading6"/>
        <w:numPr>
          <w:ilvl w:val="5"/>
          <w:numId w:val="1"/>
        </w:numPr>
        <w:rPr/>
      </w:pPr>
      <w:bookmarkStart w:id="473" w:name="__RefHeading___Toc2565420_3650668749"/>
      <w:bookmarkStart w:id="474" w:name="_Toc219"/>
      <w:bookmarkEnd w:id="473"/>
      <w:r>
        <w:rPr>
          <w:rtl w:val="true"/>
        </w:rPr>
        <w:t>اشارة</w:t>
      </w:r>
      <w:bookmarkEnd w:id="47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ظاهر البشرة فلا یجزی غیرها، فیجب علیه حینئذٍ رفع الحاجب و تخلیل ما لا یصل الماء إلیه إلّا بتخلیله، و لا یجب غسل باطن العین و الأنف و الاذن و غیرها حتّی الثقبة التی فی الاذن أو الأنف للقرط أو الحلقة إلّا إذا کانت واسعة بحیث تعدّ من الظاهر، و الأحوط غسل ما شکّ فی أنّه من الظاهر أو الباطن</w:t>
      </w:r>
      <w:r>
        <w:rPr>
          <w:rFonts w:eastAsia="IRNazanin" w:cs="IRNazanin"/>
          <w:color w:val="111111"/>
          <w:sz w:val="28"/>
          <w:szCs w:val="28"/>
          <w:rtl w:val="true"/>
          <w:lang w:bidi="fa-IR"/>
        </w:rPr>
        <w:t>.</w:t>
      </w:r>
    </w:p>
    <w:p>
      <w:pPr>
        <w:pStyle w:val="Heading6"/>
        <w:numPr>
          <w:ilvl w:val="5"/>
          <w:numId w:val="1"/>
        </w:numPr>
        <w:rPr/>
      </w:pPr>
      <w:bookmarkStart w:id="475" w:name="__RefHeading___Toc2565422_3650668749"/>
      <w:bookmarkStart w:id="476" w:name="_Toc220"/>
      <w:bookmarkEnd w:id="475"/>
      <w:r>
        <w:rPr>
          <w:rtl w:val="true"/>
        </w:rPr>
        <w:t>[ (</w:t>
      </w:r>
      <w:r>
        <w:rPr>
          <w:rtl w:val="true"/>
        </w:rPr>
        <w:t xml:space="preserve">مسألة </w:t>
      </w:r>
      <w:r>
        <w:rPr/>
        <w:t>4</w:t>
      </w:r>
      <w:r>
        <w:rPr>
          <w:rtl w:val="true"/>
        </w:rPr>
        <w:t xml:space="preserve">): </w:t>
      </w:r>
      <w:r>
        <w:rPr>
          <w:rtl w:val="true"/>
        </w:rPr>
        <w:t>لا یجب غسل الشعر</w:t>
      </w:r>
      <w:r>
        <w:rPr>
          <w:rtl w:val="true"/>
        </w:rPr>
        <w:t>]</w:t>
      </w:r>
      <w:bookmarkEnd w:id="47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w:t>
      </w:r>
      <w:r>
        <w:rPr>
          <w:rStyle w:val="FootnoteAnchor"/>
          <w:rtl w:val="true"/>
        </w:rPr>
        <w:footnoteReference w:id="97"/>
      </w:r>
      <w:r>
        <w:rPr>
          <w:rFonts w:ascii="IRNazanin" w:hAnsi="IRNazanin" w:eastAsia="IRNazanin"/>
          <w:color w:val="111111"/>
          <w:sz w:val="28"/>
          <w:sz w:val="28"/>
          <w:szCs w:val="28"/>
          <w:rtl w:val="true"/>
          <w:lang w:bidi="fa-IR"/>
        </w:rPr>
        <w:t>غسل الشعر بل یجب غسل ما تحته من البشرة، نعم ما کان دقیقاً بحیث یعدّ من توابع الجسد یجب غسله</w:t>
      </w:r>
      <w:r>
        <w:rPr>
          <w:rFonts w:eastAsia="IRNazanin" w:cs="IRNazanin"/>
          <w:color w:val="111111"/>
          <w:sz w:val="28"/>
          <w:szCs w:val="28"/>
          <w:rtl w:val="true"/>
          <w:lang w:bidi="fa-IR"/>
        </w:rPr>
        <w:t>.</w:t>
      </w:r>
      <w:bookmarkStart w:id="477" w:name="pg1809_18795"/>
    </w:p>
    <w:p>
      <w:pPr>
        <w:pStyle w:val="Heading6"/>
        <w:numPr>
          <w:ilvl w:val="5"/>
          <w:numId w:val="1"/>
        </w:numPr>
        <w:rPr/>
      </w:pPr>
      <w:bookmarkStart w:id="478" w:name="__RefHeading___Toc2565424_3650668749"/>
      <w:bookmarkStart w:id="479" w:name="_Toc221"/>
      <w:bookmarkEnd w:id="477"/>
      <w:bookmarkEnd w:id="478"/>
      <w:r>
        <w:rPr>
          <w:rtl w:val="true"/>
        </w:rPr>
        <w:t>[</w:t>
      </w:r>
      <w:r>
        <w:rPr>
          <w:rtl w:val="true"/>
        </w:rPr>
        <w:t>الثالث</w:t>
      </w:r>
      <w:r>
        <w:rPr>
          <w:rtl w:val="true"/>
        </w:rPr>
        <w:t xml:space="preserve">: </w:t>
      </w:r>
      <w:r>
        <w:rPr>
          <w:rtl w:val="true"/>
        </w:rPr>
        <w:t>الترتیب فی الترتیبی</w:t>
      </w:r>
      <w:r>
        <w:rPr>
          <w:rtl w:val="true"/>
        </w:rPr>
        <w:t>]</w:t>
      </w:r>
      <w:bookmarkEnd w:id="479"/>
    </w:p>
    <w:p>
      <w:pPr>
        <w:pStyle w:val="Heading6"/>
        <w:numPr>
          <w:ilvl w:val="5"/>
          <w:numId w:val="1"/>
        </w:numPr>
        <w:rPr/>
      </w:pPr>
      <w:bookmarkStart w:id="480" w:name="__RefHeading___Toc2565426_3650668749"/>
      <w:bookmarkStart w:id="481" w:name="_Toc222"/>
      <w:bookmarkEnd w:id="480"/>
      <w:r>
        <w:rPr>
          <w:rtl w:val="true"/>
        </w:rPr>
        <w:t>اشارة</w:t>
      </w:r>
      <w:bookmarkEnd w:id="48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فی الترتیبی، الذی هو أفضل من الارتماس الذی هو عبارة عن تغطیة البدن فی الماء مقارناً للنیّة، و یکفی فیها استمرار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الترتیب عبارة عن غسل تمام الرأس و منه العنق مدخلًا لبعض الجسد معه مقدّمة، ثمّ تمام النصف الأیمن مدخلًا أیضاً لبعض الأیسر </w:t>
      </w:r>
      <w:r>
        <w:rPr>
          <w:rStyle w:val="FootnoteAnchor"/>
          <w:rtl w:val="true"/>
        </w:rPr>
        <w:footnoteReference w:id="98"/>
      </w:r>
      <w:r>
        <w:rPr>
          <w:rFonts w:ascii="IRNazanin" w:hAnsi="IRNazanin" w:eastAsia="IRNazanin"/>
          <w:color w:val="111111"/>
          <w:sz w:val="28"/>
          <w:sz w:val="28"/>
          <w:szCs w:val="28"/>
          <w:rtl w:val="true"/>
          <w:lang w:bidi="fa-IR"/>
        </w:rPr>
        <w:t>معه مقدّمة، ثمّ تمام النصف الأیسر مدخلًا لبعض الأیمن معه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تدخل العورة و السرّة فی التنصیف المذکور فیغسل نصفهما الأیمن مع الأیمن و نصفهما الأیسر مع الأیسر، إلّا أنّ الأولیٰ غسلهما مع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اللازم استیعاب الأعضاء الثلاثة بالغسل بصبّة واحدة أو أکثر بفرک و دلک أو غیر ذلک</w:t>
      </w:r>
      <w:r>
        <w:rPr>
          <w:rFonts w:eastAsia="IRNazanin" w:cs="IRNazanin"/>
          <w:color w:val="111111"/>
          <w:sz w:val="28"/>
          <w:szCs w:val="28"/>
          <w:rtl w:val="true"/>
          <w:lang w:bidi="fa-IR"/>
        </w:rPr>
        <w:t>.</w:t>
      </w:r>
    </w:p>
    <w:p>
      <w:pPr>
        <w:pStyle w:val="Heading6"/>
        <w:numPr>
          <w:ilvl w:val="5"/>
          <w:numId w:val="1"/>
        </w:numPr>
        <w:rPr/>
      </w:pPr>
      <w:bookmarkStart w:id="482" w:name="__RefHeading___Toc2565428_3650668749"/>
      <w:bookmarkStart w:id="483" w:name="_Toc223"/>
      <w:bookmarkEnd w:id="482"/>
      <w:r>
        <w:rPr>
          <w:rtl w:val="true"/>
        </w:rPr>
        <w:t>[ (</w:t>
      </w:r>
      <w:r>
        <w:rPr>
          <w:rtl w:val="true"/>
        </w:rPr>
        <w:t xml:space="preserve">مسألة </w:t>
      </w:r>
      <w:r>
        <w:rPr/>
        <w:t>5</w:t>
      </w:r>
      <w:r>
        <w:rPr>
          <w:rtl w:val="true"/>
        </w:rPr>
        <w:t xml:space="preserve">): </w:t>
      </w:r>
      <w:r>
        <w:rPr>
          <w:rtl w:val="true"/>
        </w:rPr>
        <w:t>لا ترتیب فی العضو</w:t>
      </w:r>
      <w:r>
        <w:rPr>
          <w:rtl w:val="true"/>
        </w:rPr>
        <w:t>]</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ترتیب فی العضو، فیجوز غسله من الأسفل إلی الأعلی و إن کان الأولی البدأة بأعلی العضو فالأعلیٰ، کما أنّه لا کیفیّة مخصوصة للغسل المراد هنا، بل یکفی تحقّق مسمّاه، فیجزی حینئذٍ رمس الرأس بالماء أوّلًا ثمّ الجانب الأیمن ثمّ الجانب الأیسر، و یجزیه أیضاً رمس البعض و الصبّ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ارتمس ثلاث ارتماسات ناویاً بکلّ واحدة غسل عضو صحّ، بل یتحقّق مسمّی الغسل بتحریک العضو فی الماء علیٰ وجه یجری الماء علیه، فلا یحتاج إلیٰ إخراجه منه ثمّ غمسه فیه</w:t>
      </w:r>
      <w:r>
        <w:rPr>
          <w:rFonts w:eastAsia="IRNazanin" w:cs="IRNazanin"/>
          <w:color w:val="111111"/>
          <w:sz w:val="28"/>
          <w:szCs w:val="28"/>
          <w:rtl w:val="true"/>
          <w:lang w:bidi="fa-IR"/>
        </w:rPr>
        <w:t>.</w:t>
      </w:r>
    </w:p>
    <w:p>
      <w:pPr>
        <w:pStyle w:val="Heading6"/>
        <w:numPr>
          <w:ilvl w:val="5"/>
          <w:numId w:val="1"/>
        </w:numPr>
        <w:rPr/>
      </w:pPr>
      <w:bookmarkStart w:id="484" w:name="__RefHeading___Toc2565430_3650668749"/>
      <w:bookmarkStart w:id="485" w:name="_Toc224"/>
      <w:bookmarkEnd w:id="484"/>
      <w:r>
        <w:rPr>
          <w:rtl w:val="true"/>
        </w:rPr>
        <w:t>[ (</w:t>
      </w:r>
      <w:r>
        <w:rPr>
          <w:rtl w:val="true"/>
        </w:rPr>
        <w:t xml:space="preserve">مسألة </w:t>
      </w:r>
      <w:r>
        <w:rPr/>
        <w:t>6</w:t>
      </w:r>
      <w:r>
        <w:rPr>
          <w:rtl w:val="true"/>
        </w:rPr>
        <w:t xml:space="preserve">): </w:t>
      </w:r>
      <w:r>
        <w:rPr>
          <w:rtl w:val="true"/>
        </w:rPr>
        <w:t>اللازم فی الغسل الارتماسی أن یکون تمام البدن فی الماء فی آن واحد</w:t>
      </w:r>
      <w:r>
        <w:rPr>
          <w:rtl w:val="true"/>
        </w:rPr>
        <w:t>]</w:t>
      </w:r>
      <w:bookmarkEnd w:id="48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w:t>
      </w:r>
      <w:r>
        <w:rPr>
          <w:rStyle w:val="FootnoteAnchor"/>
          <w:rtl w:val="true"/>
        </w:rPr>
        <w:footnoteReference w:id="99"/>
      </w:r>
      <w:r>
        <w:rPr>
          <w:rFonts w:ascii="IRNazanin" w:hAnsi="IRNazanin" w:eastAsia="IRNazanin"/>
          <w:color w:val="111111"/>
          <w:sz w:val="28"/>
          <w:sz w:val="28"/>
          <w:szCs w:val="28"/>
          <w:rtl w:val="true"/>
          <w:lang w:bidi="fa-IR"/>
        </w:rPr>
        <w:t>فی الغسل الارتماسی أن یکون تمام البدن فی الماء فی آن واحد و إن کان غمسه علی التدریج، فلو خرج بعض بدنه قبل أن ینغمس البعض الآخر لم یکف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رجله فی الطین حال دخول سائر بدنه فی الماء و حال إزالة الطین عنها کان بعض بدنه خارجاً عنه لم یتحقّق الارتماس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الأنهار و الجداول التی یدخل الرجل فی الطین و الوحل یشکل الغسل الارتماسی فلا محیص عن اختیار الترتیبی فیها؛ بأن یغسل الرأس</w:t>
      </w:r>
      <w:bookmarkStart w:id="486" w:name="pg1809_18797"/>
    </w:p>
    <w:p>
      <w:pPr>
        <w:pStyle w:val="BookText"/>
        <w:rPr/>
      </w:pPr>
      <w:bookmarkEnd w:id="486"/>
      <w:r>
        <w:rPr>
          <w:rFonts w:ascii="IRNazanin" w:hAnsi="IRNazanin" w:eastAsia="IRNazanin"/>
          <w:color w:val="111111"/>
          <w:sz w:val="28"/>
          <w:sz w:val="28"/>
          <w:szCs w:val="28"/>
          <w:rtl w:val="true"/>
          <w:lang w:bidi="fa-IR"/>
        </w:rPr>
        <w:t>و الرقبة بالصبّ أو الرمس أوّلًا، ثمّ یغسل من الطرف الأیمن ما کان غیر داخل فی الوحل ثانیاً، ثمّ یخرج رجله الیمنیٰ من الوحل و یزیل عنها الوحل و یغسلها حتّی یتمّ غسل الطرف الأیمن، ثمّ یفعل بالطرف الأیسر ما صنعه بالطرف الأیمن</w:t>
      </w:r>
      <w:r>
        <w:rPr>
          <w:rFonts w:eastAsia="IRNazanin" w:cs="IRNazanin"/>
          <w:color w:val="111111"/>
          <w:sz w:val="28"/>
          <w:szCs w:val="28"/>
          <w:rtl w:val="true"/>
          <w:lang w:bidi="fa-IR"/>
        </w:rPr>
        <w:t>.</w:t>
      </w:r>
    </w:p>
    <w:p>
      <w:pPr>
        <w:pStyle w:val="Heading6"/>
        <w:numPr>
          <w:ilvl w:val="5"/>
          <w:numId w:val="1"/>
        </w:numPr>
        <w:rPr/>
      </w:pPr>
      <w:bookmarkStart w:id="487" w:name="__RefHeading___Toc2565432_3650668749"/>
      <w:bookmarkStart w:id="488" w:name="_Toc225"/>
      <w:bookmarkEnd w:id="487"/>
      <w:r>
        <w:rPr>
          <w:rtl w:val="true"/>
        </w:rPr>
        <w:t>[ (</w:t>
      </w:r>
      <w:r>
        <w:rPr>
          <w:rtl w:val="true"/>
        </w:rPr>
        <w:t xml:space="preserve">مسألة </w:t>
      </w:r>
      <w:r>
        <w:rPr/>
        <w:t>7</w:t>
      </w:r>
      <w:r>
        <w:rPr>
          <w:rtl w:val="true"/>
        </w:rPr>
        <w:t xml:space="preserve">): </w:t>
      </w:r>
      <w:r>
        <w:rPr>
          <w:rtl w:val="true"/>
        </w:rPr>
        <w:t>لو تیقّن بعد الغسل عدم انغسال جزء من بدنه وجبت إعادة الغسل من رأس فی الارتماسیّ</w:t>
      </w:r>
      <w:r>
        <w:rPr>
          <w:rtl w:val="true"/>
        </w:rPr>
        <w:t>]</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تیقّن بعد الغسل عدم انغسال جزء من بدنه وجبت إعادة الغسل من رأس فی الارتماسیّ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الترتیبی فإن کان ذلک الجزء من الطرف الأیسر یکفی غسل ذلک الجزء و لا یحتاج إلیٰ إعادة الغسل، بل و لا إعادة غسل سائر أجزاء الأیسر و لو طالت المدّة حتّی جفّ تمام الأعضاء، و إن کان ذلک الجزء من الأیمن یغسل خصوص ذلک الجزء و یعید غسل الأیسر، و إذا کان من الرأس یغسل خصوص ذلک الجزء و یعید غسل الطرفین</w:t>
      </w:r>
      <w:r>
        <w:rPr>
          <w:rFonts w:eastAsia="IRNazanin" w:cs="IRNazanin"/>
          <w:color w:val="111111"/>
          <w:sz w:val="28"/>
          <w:szCs w:val="28"/>
          <w:rtl w:val="true"/>
          <w:lang w:bidi="fa-IR"/>
        </w:rPr>
        <w:t>.</w:t>
      </w:r>
    </w:p>
    <w:p>
      <w:pPr>
        <w:pStyle w:val="Heading6"/>
        <w:numPr>
          <w:ilvl w:val="5"/>
          <w:numId w:val="1"/>
        </w:numPr>
        <w:rPr/>
      </w:pPr>
      <w:bookmarkStart w:id="489" w:name="__RefHeading___Toc2565434_3650668749"/>
      <w:bookmarkStart w:id="490" w:name="_Toc226"/>
      <w:bookmarkEnd w:id="489"/>
      <w:r>
        <w:rPr>
          <w:rtl w:val="true"/>
        </w:rPr>
        <w:t>[ (</w:t>
      </w:r>
      <w:r>
        <w:rPr>
          <w:rtl w:val="true"/>
        </w:rPr>
        <w:t xml:space="preserve">مسألة </w:t>
      </w:r>
      <w:r>
        <w:rPr/>
        <w:t>8</w:t>
      </w:r>
      <w:r>
        <w:rPr>
          <w:rtl w:val="true"/>
        </w:rPr>
        <w:t xml:space="preserve">): </w:t>
      </w:r>
      <w:r>
        <w:rPr>
          <w:rtl w:val="true"/>
        </w:rPr>
        <w:t>لا یجب الموالاة فی الغسل الترتیبی</w:t>
      </w:r>
      <w:r>
        <w:rPr>
          <w:rtl w:val="true"/>
        </w:rPr>
        <w:t>]</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الموالاة فی الغسل الترتیبی فلو غسل رأسه و رقبته فی أوّل النهار و الأیمن فی وسطه و الأیسر فی آخره صحّ</w:t>
      </w:r>
      <w:r>
        <w:rPr>
          <w:rFonts w:eastAsia="IRNazanin" w:cs="IRNazanin"/>
          <w:color w:val="111111"/>
          <w:sz w:val="28"/>
          <w:szCs w:val="28"/>
          <w:rtl w:val="true"/>
          <w:lang w:bidi="fa-IR"/>
        </w:rPr>
        <w:t>.</w:t>
      </w:r>
    </w:p>
    <w:p>
      <w:pPr>
        <w:pStyle w:val="Heading6"/>
        <w:numPr>
          <w:ilvl w:val="5"/>
          <w:numId w:val="1"/>
        </w:numPr>
        <w:rPr/>
      </w:pPr>
      <w:bookmarkStart w:id="491" w:name="__RefHeading___Toc2565436_3650668749"/>
      <w:bookmarkStart w:id="492" w:name="_Toc227"/>
      <w:bookmarkEnd w:id="491"/>
      <w:r>
        <w:rPr>
          <w:rtl w:val="true"/>
        </w:rPr>
        <w:t>[ (</w:t>
      </w:r>
      <w:r>
        <w:rPr>
          <w:rtl w:val="true"/>
        </w:rPr>
        <w:t xml:space="preserve">مسألة </w:t>
      </w:r>
      <w:r>
        <w:rPr/>
        <w:t>9</w:t>
      </w:r>
      <w:r>
        <w:rPr>
          <w:rtl w:val="true"/>
        </w:rPr>
        <w:t xml:space="preserve">): </w:t>
      </w:r>
      <w:r>
        <w:rPr>
          <w:rtl w:val="true"/>
        </w:rPr>
        <w:t>یجوز الغسل تحت المطر و تحت المیزاب ترتیباً لا ارتماساً</w:t>
      </w:r>
      <w:r>
        <w:rPr>
          <w:rtl w:val="true"/>
        </w:rPr>
        <w:t>]</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الغسل تحت المطر و تحت المیزاب ترتیباً لا ارتماساً</w:t>
      </w:r>
      <w:r>
        <w:rPr>
          <w:rFonts w:eastAsia="IRNazanin" w:cs="IRNazanin"/>
          <w:color w:val="111111"/>
          <w:sz w:val="28"/>
          <w:szCs w:val="28"/>
          <w:rtl w:val="true"/>
          <w:lang w:bidi="fa-IR"/>
        </w:rPr>
        <w:t>.</w:t>
      </w:r>
    </w:p>
    <w:p>
      <w:pPr>
        <w:pStyle w:val="Heading6"/>
        <w:numPr>
          <w:ilvl w:val="5"/>
          <w:numId w:val="1"/>
        </w:numPr>
        <w:rPr/>
      </w:pPr>
      <w:bookmarkStart w:id="493" w:name="__RefHeading___Toc2565438_3650668749"/>
      <w:bookmarkStart w:id="494" w:name="_Toc228"/>
      <w:bookmarkEnd w:id="493"/>
      <w:r>
        <w:rPr>
          <w:rtl w:val="true"/>
        </w:rPr>
        <w:t>[</w:t>
      </w:r>
      <w:r>
        <w:rPr>
          <w:rtl w:val="true"/>
        </w:rPr>
        <w:t>الرابع من الواجبات</w:t>
      </w:r>
      <w:r>
        <w:rPr>
          <w:rtl w:val="true"/>
        </w:rPr>
        <w:t xml:space="preserve">: </w:t>
      </w:r>
      <w:r>
        <w:rPr>
          <w:rtl w:val="true"/>
        </w:rPr>
        <w:t>إطلاق الماء و طهارته</w:t>
      </w:r>
      <w:r>
        <w:rPr>
          <w:rtl w:val="true"/>
        </w:rPr>
        <w:t>]</w:t>
      </w:r>
      <w:bookmarkEnd w:id="494"/>
    </w:p>
    <w:p>
      <w:pPr>
        <w:pStyle w:val="Heading6"/>
        <w:numPr>
          <w:ilvl w:val="5"/>
          <w:numId w:val="1"/>
        </w:numPr>
        <w:rPr/>
      </w:pPr>
      <w:bookmarkStart w:id="495" w:name="__RefHeading___Toc2565440_3650668749"/>
      <w:bookmarkStart w:id="496" w:name="_Toc229"/>
      <w:bookmarkEnd w:id="495"/>
      <w:r>
        <w:rPr>
          <w:rtl w:val="true"/>
        </w:rPr>
        <w:t>اشارة</w:t>
      </w:r>
      <w:bookmarkEnd w:id="496"/>
    </w:p>
    <w:p>
      <w:pPr>
        <w:pStyle w:val="BookText"/>
        <w:rPr/>
      </w:pPr>
      <w:r>
        <w:rPr>
          <w:rFonts w:ascii="IRNazanin" w:hAnsi="IRNazanin" w:eastAsia="IRNazanin"/>
          <w:color w:val="111111"/>
          <w:sz w:val="28"/>
          <w:sz w:val="28"/>
          <w:szCs w:val="28"/>
          <w:rtl w:val="true"/>
          <w:lang w:bidi="fa-IR"/>
        </w:rPr>
        <w:t>الرابع من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الماء و طهارته </w:t>
      </w:r>
      <w:r>
        <w:rPr>
          <w:rStyle w:val="FootnoteAnchor"/>
          <w:rtl w:val="true"/>
        </w:rPr>
        <w:footnoteReference w:id="100"/>
      </w:r>
      <w:r>
        <w:rPr>
          <w:rFonts w:ascii="IRNazanin" w:hAnsi="IRNazanin" w:eastAsia="IRNazanin"/>
          <w:color w:val="111111"/>
          <w:sz w:val="28"/>
          <w:sz w:val="28"/>
          <w:szCs w:val="28"/>
          <w:rtl w:val="true"/>
          <w:lang w:bidi="fa-IR"/>
        </w:rPr>
        <w:t xml:space="preserve">و إباحة المکان </w:t>
      </w:r>
      <w:r>
        <w:rPr>
          <w:rStyle w:val="FootnoteAnchor"/>
          <w:rtl w:val="true"/>
        </w:rPr>
        <w:footnoteReference w:id="101"/>
      </w:r>
      <w:r>
        <w:rPr>
          <w:rFonts w:ascii="IRNazanin" w:hAnsi="IRNazanin" w:eastAsia="IRNazanin"/>
          <w:color w:val="111111"/>
          <w:sz w:val="28"/>
          <w:sz w:val="28"/>
          <w:szCs w:val="28"/>
          <w:rtl w:val="true"/>
          <w:lang w:bidi="fa-IR"/>
        </w:rPr>
        <w:t>و المصبّ و الآنیة و المباشرة اختیاراً و عدم المانع من استعمال الماء لمرض و نحوه علیٰ ما سمعته فی الوضوء، و کذا طهارة المحلّ الذی یراد إجراء ماء الغسل علیه، فلو فرض نجاسته طهّره أوّلًا ثمّ أجری الماء علیه للغسل</w:t>
      </w:r>
      <w:r>
        <w:rPr>
          <w:rFonts w:eastAsia="IRNazanin" w:cs="IRNazanin"/>
          <w:color w:val="111111"/>
          <w:sz w:val="28"/>
          <w:szCs w:val="28"/>
          <w:rtl w:val="true"/>
          <w:lang w:bidi="fa-IR"/>
        </w:rPr>
        <w:t>.</w:t>
      </w:r>
    </w:p>
    <w:p>
      <w:pPr>
        <w:pStyle w:val="Heading6"/>
        <w:numPr>
          <w:ilvl w:val="5"/>
          <w:numId w:val="1"/>
        </w:numPr>
        <w:rPr/>
      </w:pPr>
      <w:bookmarkStart w:id="497" w:name="__RefHeading___Toc2565442_3650668749"/>
      <w:bookmarkStart w:id="498" w:name="_Toc230"/>
      <w:bookmarkEnd w:id="497"/>
      <w:r>
        <w:rPr>
          <w:rtl w:val="true"/>
        </w:rPr>
        <w:t>[ (</w:t>
      </w:r>
      <w:r>
        <w:rPr>
          <w:rtl w:val="true"/>
        </w:rPr>
        <w:t xml:space="preserve">مسألة </w:t>
      </w:r>
      <w:r>
        <w:rPr/>
        <w:t>10</w:t>
      </w:r>
      <w:r>
        <w:rPr>
          <w:rtl w:val="true"/>
        </w:rPr>
        <w:t xml:space="preserve">): </w:t>
      </w:r>
      <w:r>
        <w:rPr>
          <w:rtl w:val="true"/>
        </w:rPr>
        <w:t>إذا کان قاصداً عدم إعطاء الأُجرة للحمّامی</w:t>
      </w:r>
      <w:r>
        <w:rPr>
          <w:rtl w:val="true"/>
        </w:rPr>
        <w:t>]</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قاصداً عدم إعطاء الأُجرة للحمّامی أو کان بناؤه علیٰ إعطاء الأُجرة من الفلوس الحرام أو علی النسیئة من غیر إحراز رضا الحمّامی بطل غسله و إن استرضاه بعد الغسل</w:t>
      </w:r>
      <w:r>
        <w:rPr>
          <w:rFonts w:eastAsia="IRNazanin" w:cs="IRNazanin"/>
          <w:color w:val="111111"/>
          <w:sz w:val="28"/>
          <w:szCs w:val="28"/>
          <w:rtl w:val="true"/>
          <w:lang w:bidi="fa-IR"/>
        </w:rPr>
        <w:t>.</w:t>
      </w:r>
    </w:p>
    <w:p>
      <w:pPr>
        <w:pStyle w:val="Heading6"/>
        <w:numPr>
          <w:ilvl w:val="5"/>
          <w:numId w:val="1"/>
        </w:numPr>
        <w:rPr/>
      </w:pPr>
      <w:bookmarkStart w:id="499" w:name="__RefHeading___Toc2565444_3650668749"/>
      <w:bookmarkStart w:id="500" w:name="_Toc231"/>
      <w:bookmarkEnd w:id="499"/>
      <w:r>
        <w:rPr>
          <w:rtl w:val="true"/>
        </w:rPr>
        <w:t>[ (</w:t>
      </w:r>
      <w:r>
        <w:rPr>
          <w:rtl w:val="true"/>
        </w:rPr>
        <w:t xml:space="preserve">مسألة </w:t>
      </w:r>
      <w:r>
        <w:rPr/>
        <w:t>11</w:t>
      </w:r>
      <w:r>
        <w:rPr>
          <w:rtl w:val="true"/>
        </w:rPr>
        <w:t xml:space="preserve">): </w:t>
      </w:r>
      <w:r>
        <w:rPr>
          <w:rtl w:val="true"/>
        </w:rPr>
        <w:t>یشکل الوضوء و الغسل بالماء المسبّل</w:t>
      </w:r>
      <w:r>
        <w:rPr>
          <w:rtl w:val="true"/>
        </w:rPr>
        <w:t>]</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الوضوء و الغسل بالماء المسبّل إلّا مع العلم بعموم الإباحة من مالکه</w:t>
      </w:r>
      <w:r>
        <w:rPr>
          <w:rFonts w:eastAsia="IRNazanin" w:cs="IRNazanin"/>
          <w:color w:val="111111"/>
          <w:sz w:val="28"/>
          <w:szCs w:val="28"/>
          <w:rtl w:val="true"/>
          <w:lang w:bidi="fa-IR"/>
        </w:rPr>
        <w:t>.</w:t>
      </w:r>
    </w:p>
    <w:p>
      <w:pPr>
        <w:pStyle w:val="Heading6"/>
        <w:numPr>
          <w:ilvl w:val="5"/>
          <w:numId w:val="1"/>
        </w:numPr>
        <w:rPr/>
      </w:pPr>
      <w:bookmarkStart w:id="501" w:name="__RefHeading___Toc2565446_3650668749"/>
      <w:bookmarkStart w:id="502" w:name="_Toc232"/>
      <w:bookmarkEnd w:id="501"/>
      <w:r>
        <w:rPr>
          <w:rtl w:val="true"/>
        </w:rPr>
        <w:t>[ (</w:t>
      </w:r>
      <w:r>
        <w:rPr>
          <w:rtl w:val="true"/>
        </w:rPr>
        <w:t xml:space="preserve">مسألة </w:t>
      </w:r>
      <w:r>
        <w:rPr/>
        <w:t>12</w:t>
      </w:r>
      <w:r>
        <w:rPr>
          <w:rtl w:val="true"/>
        </w:rPr>
        <w:t xml:space="preserve">): </w:t>
      </w:r>
      <w:r>
        <w:rPr>
          <w:rtl w:val="true"/>
        </w:rPr>
        <w:t>الظاهر أنّ ماء غسل المرأة من الجنابة و الحیض و النفاس و کذا اجرة تسخینه إذا احتاج إلیه علیٰ زوجها</w:t>
      </w:r>
      <w:r>
        <w:rPr>
          <w:rtl w:val="true"/>
        </w:rPr>
        <w:t>]</w:t>
      </w:r>
      <w:bookmarkEnd w:id="50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ماء غسل المرأة من الجنابة و الحیض و النفاس و کذا اجرة تسخینه إذا احتاج إلیه علیٰ زوجها؛ لأنّه یعدّ جزءً من نفقتها؛ خصوصاً فی غسلها من الجنابة</w:t>
      </w:r>
      <w:r>
        <w:rPr>
          <w:rFonts w:eastAsia="IRNazanin" w:cs="IRNazanin"/>
          <w:color w:val="111111"/>
          <w:sz w:val="28"/>
          <w:szCs w:val="28"/>
          <w:rtl w:val="true"/>
          <w:lang w:bidi="fa-IR"/>
        </w:rPr>
        <w:t>.</w:t>
      </w:r>
      <w:bookmarkStart w:id="503" w:name="pg1809_18799"/>
    </w:p>
    <w:p>
      <w:pPr>
        <w:pStyle w:val="Heading6"/>
        <w:numPr>
          <w:ilvl w:val="5"/>
          <w:numId w:val="1"/>
        </w:numPr>
        <w:rPr/>
      </w:pPr>
      <w:bookmarkStart w:id="504" w:name="__RefHeading___Toc2565448_3650668749"/>
      <w:bookmarkStart w:id="505" w:name="_Toc233"/>
      <w:bookmarkEnd w:id="503"/>
      <w:bookmarkEnd w:id="504"/>
      <w:r>
        <w:rPr>
          <w:rtl w:val="true"/>
        </w:rPr>
        <w:t>[ (</w:t>
      </w:r>
      <w:r>
        <w:rPr>
          <w:rtl w:val="true"/>
        </w:rPr>
        <w:t xml:space="preserve">مسألة </w:t>
      </w:r>
      <w:r>
        <w:rPr/>
        <w:t>13</w:t>
      </w:r>
      <w:r>
        <w:rPr>
          <w:rtl w:val="true"/>
        </w:rPr>
        <w:t xml:space="preserve">): </w:t>
      </w:r>
      <w:r>
        <w:rPr>
          <w:rtl w:val="true"/>
        </w:rPr>
        <w:t>یتعیّن علی المجنب فی نهار شهر رمضان أن یغتسل ترتیباً</w:t>
      </w:r>
      <w:r>
        <w:rPr>
          <w:rtl w:val="true"/>
        </w:rPr>
        <w:t>]</w:t>
      </w:r>
      <w:bookmarkEnd w:id="5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علی المجنب فی نهار شهر رمضان أن یغتسل ترتیباً، فلو اغتسل ارتماسیّاً بطل غسله و صومه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اغتسل ارتماساً نسیاناً لم یبطل صومه و صحّ غسله</w:t>
      </w:r>
      <w:r>
        <w:rPr>
          <w:rFonts w:eastAsia="IRNazanin" w:cs="IRNazanin"/>
          <w:color w:val="111111"/>
          <w:sz w:val="28"/>
          <w:szCs w:val="28"/>
          <w:rtl w:val="true"/>
          <w:lang w:bidi="fa-IR"/>
        </w:rPr>
        <w:t>.</w:t>
      </w:r>
    </w:p>
    <w:p>
      <w:pPr>
        <w:pStyle w:val="Heading6"/>
        <w:numPr>
          <w:ilvl w:val="5"/>
          <w:numId w:val="1"/>
        </w:numPr>
        <w:rPr/>
      </w:pPr>
      <w:bookmarkStart w:id="506" w:name="__RefHeading___Toc2565450_3650668749"/>
      <w:bookmarkStart w:id="507" w:name="_Toc234"/>
      <w:bookmarkEnd w:id="506"/>
      <w:r>
        <w:rPr>
          <w:rtl w:val="true"/>
        </w:rPr>
        <w:t>[ (</w:t>
      </w:r>
      <w:r>
        <w:rPr>
          <w:rtl w:val="true"/>
        </w:rPr>
        <w:t xml:space="preserve">مسألة </w:t>
      </w:r>
      <w:r>
        <w:rPr/>
        <w:t>14</w:t>
      </w:r>
      <w:r>
        <w:rPr>
          <w:rtl w:val="true"/>
        </w:rPr>
        <w:t xml:space="preserve">): </w:t>
      </w:r>
      <w:r>
        <w:rPr>
          <w:rtl w:val="true"/>
        </w:rPr>
        <w:t>لو شکّ فی شی‌ء من أجزاء الغسل و قد دخل فی آخر</w:t>
      </w:r>
      <w:r>
        <w:rPr>
          <w:rtl w:val="true"/>
        </w:rPr>
        <w:t>]</w:t>
      </w:r>
      <w:bookmarkEnd w:id="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شی‌ء من أجزاء الغسل و قد دخل فی آخر یجب </w:t>
      </w:r>
      <w:r>
        <w:rPr>
          <w:rStyle w:val="FootnoteAnchor"/>
          <w:rtl w:val="true"/>
        </w:rPr>
        <w:footnoteReference w:id="103"/>
      </w:r>
      <w:r>
        <w:rPr>
          <w:rFonts w:ascii="IRNazanin" w:hAnsi="IRNazanin" w:eastAsia="IRNazanin"/>
          <w:color w:val="111111"/>
          <w:sz w:val="28"/>
          <w:sz w:val="28"/>
          <w:szCs w:val="28"/>
          <w:rtl w:val="true"/>
          <w:lang w:bidi="fa-IR"/>
        </w:rPr>
        <w:t>تدارک ما شکّ فیه کالوضوء، فإنّک قد عرفت وجوب التدارک علیه فیه ما لم یفرغ</w:t>
      </w:r>
      <w:r>
        <w:rPr>
          <w:rFonts w:eastAsia="IRNazanin" w:cs="IRNazanin"/>
          <w:color w:val="111111"/>
          <w:sz w:val="28"/>
          <w:szCs w:val="28"/>
          <w:rtl w:val="true"/>
          <w:lang w:bidi="fa-IR"/>
        </w:rPr>
        <w:t>.</w:t>
      </w:r>
    </w:p>
    <w:p>
      <w:pPr>
        <w:pStyle w:val="Heading6"/>
        <w:numPr>
          <w:ilvl w:val="5"/>
          <w:numId w:val="1"/>
        </w:numPr>
        <w:rPr/>
      </w:pPr>
      <w:bookmarkStart w:id="508" w:name="__RefHeading___Toc2565452_3650668749"/>
      <w:bookmarkStart w:id="509" w:name="_Toc235"/>
      <w:bookmarkEnd w:id="508"/>
      <w:r>
        <w:rPr>
          <w:rtl w:val="true"/>
        </w:rPr>
        <w:t>[ (</w:t>
      </w:r>
      <w:r>
        <w:rPr>
          <w:rtl w:val="true"/>
        </w:rPr>
        <w:t xml:space="preserve">مسألة </w:t>
      </w:r>
      <w:r>
        <w:rPr/>
        <w:t>15</w:t>
      </w:r>
      <w:r>
        <w:rPr>
          <w:rtl w:val="true"/>
        </w:rPr>
        <w:t xml:space="preserve">): </w:t>
      </w:r>
      <w:r>
        <w:rPr>
          <w:rtl w:val="true"/>
        </w:rPr>
        <w:t>ینبغی الاستبراء بالبول قبل الغسل</w:t>
      </w:r>
      <w:r>
        <w:rPr>
          <w:rtl w:val="true"/>
        </w:rPr>
        <w:t>]</w:t>
      </w:r>
      <w:bookmarkEnd w:id="5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w:t>
      </w:r>
      <w:r>
        <w:rPr>
          <w:rStyle w:val="FootnoteAnchor"/>
          <w:rtl w:val="true"/>
        </w:rPr>
        <w:footnoteReference w:id="104"/>
      </w:r>
      <w:r>
        <w:rPr>
          <w:rFonts w:ascii="IRNazanin" w:hAnsi="IRNazanin" w:eastAsia="IRNazanin"/>
          <w:color w:val="111111"/>
          <w:sz w:val="28"/>
          <w:sz w:val="28"/>
          <w:szCs w:val="28"/>
          <w:rtl w:val="true"/>
          <w:lang w:bidi="fa-IR"/>
        </w:rPr>
        <w:t xml:space="preserve">الاستبراء بالبول قبل الغسل و لیس هو شرطاً فی صحّة الغسل، و لکن فائدته أنّه لو فعله و اغتسل ثمّ خرج منه بلل مشتبه لم یعد الغسل، بخلاف ما لو اغتسل بدونه ثمّ خرج منه البلل المزبور فإنّه یعید الغسل حینئذٍ؛ لکونه محکوماً علیه بأنّه منیّ؛ سواء استبرأ </w:t>
      </w:r>
      <w:r>
        <w:rPr>
          <w:rStyle w:val="FootnoteAnchor"/>
          <w:rtl w:val="true"/>
        </w:rPr>
        <w:footnoteReference w:id="105"/>
      </w:r>
      <w:r>
        <w:rPr>
          <w:rFonts w:ascii="IRNazanin" w:hAnsi="IRNazanin" w:eastAsia="IRNazanin"/>
          <w:color w:val="111111"/>
          <w:sz w:val="28"/>
          <w:sz w:val="28"/>
          <w:szCs w:val="28"/>
          <w:rtl w:val="true"/>
          <w:lang w:bidi="fa-IR"/>
        </w:rPr>
        <w:t>بالخرطات لتعذّر البول علیه أم لا</w:t>
      </w:r>
      <w:r>
        <w:rPr>
          <w:rFonts w:eastAsia="IRNazanin" w:cs="IRNazanin"/>
          <w:color w:val="111111"/>
          <w:sz w:val="28"/>
          <w:szCs w:val="28"/>
          <w:rtl w:val="true"/>
          <w:lang w:bidi="fa-IR"/>
        </w:rPr>
        <w:t>.</w:t>
      </w:r>
    </w:p>
    <w:p>
      <w:pPr>
        <w:pStyle w:val="Heading6"/>
        <w:numPr>
          <w:ilvl w:val="5"/>
          <w:numId w:val="1"/>
        </w:numPr>
        <w:rPr/>
      </w:pPr>
      <w:bookmarkStart w:id="510" w:name="__RefHeading___Toc2565454_3650668749"/>
      <w:bookmarkStart w:id="511" w:name="_Toc236"/>
      <w:bookmarkEnd w:id="510"/>
      <w:r>
        <w:rPr>
          <w:rtl w:val="true"/>
        </w:rPr>
        <w:t>[ (</w:t>
      </w:r>
      <w:r>
        <w:rPr>
          <w:rtl w:val="true"/>
        </w:rPr>
        <w:t xml:space="preserve">مسألة </w:t>
      </w:r>
      <w:r>
        <w:rPr/>
        <w:t>16</w:t>
      </w:r>
      <w:r>
        <w:rPr>
          <w:rtl w:val="true"/>
        </w:rPr>
        <w:t xml:space="preserve">): </w:t>
      </w:r>
      <w:r>
        <w:rPr>
          <w:rtl w:val="true"/>
        </w:rPr>
        <w:t>المجنب بسبب الإنزال لو اغتسل ثمّ خرج منه بلل مشتبه بین المنیّ و البول</w:t>
      </w:r>
      <w:r>
        <w:rPr>
          <w:rtl w:val="true"/>
        </w:rPr>
        <w:t>]</w:t>
      </w:r>
      <w:bookmarkEnd w:id="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المجنب بسبب الإنزال لو اغتسل ثمّ خرج منه بلل مشتبه بین المنیّ و البول فإن لم یستبرئ بالبول یحکم بکونه منیّاً فیجب علیه الغسل خاصّة، و إن بال و لم یستبرئ بالخرطات بعده یحکم بکونه بولًا فیجب علیه الوضوء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هاتین الصورتین بین احتمال غیرهما من المذی أو غیره أیضاً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استبرأ بالبول و بالخرطات بعده فإن احتمل غیر البول و المنیّ أیضاً لم یجب علیه شی‌ء لا الغسل و لا الوضوء، و إن لم یحتمل غیرهما فإن أوقع الأمرین قبل الغسل و خرج البلل المشتبه بعده یجب الاحتیاط بالجمع بین الغسل و الوضوء، و إن أوقعهما بعده ثمّ خرج البلل المزبور یکفی الوضوء خاصّة</w:t>
      </w:r>
      <w:r>
        <w:rPr>
          <w:rFonts w:eastAsia="IRNazanin" w:cs="IRNazanin"/>
          <w:color w:val="111111"/>
          <w:sz w:val="28"/>
          <w:szCs w:val="28"/>
          <w:rtl w:val="true"/>
          <w:lang w:bidi="fa-IR"/>
        </w:rPr>
        <w:t>.</w:t>
      </w:r>
    </w:p>
    <w:p>
      <w:pPr>
        <w:pStyle w:val="Heading6"/>
        <w:numPr>
          <w:ilvl w:val="5"/>
          <w:numId w:val="1"/>
        </w:numPr>
        <w:rPr/>
      </w:pPr>
      <w:bookmarkStart w:id="512" w:name="__RefHeading___Toc2565456_3650668749"/>
      <w:bookmarkStart w:id="513" w:name="_Toc237"/>
      <w:bookmarkEnd w:id="512"/>
      <w:r>
        <w:rPr>
          <w:rtl w:val="true"/>
        </w:rPr>
        <w:t>[ (</w:t>
      </w:r>
      <w:r>
        <w:rPr>
          <w:rtl w:val="true"/>
        </w:rPr>
        <w:t xml:space="preserve">مسألة </w:t>
      </w:r>
      <w:r>
        <w:rPr/>
        <w:t>17</w:t>
      </w:r>
      <w:r>
        <w:rPr>
          <w:rtl w:val="true"/>
        </w:rPr>
        <w:t xml:space="preserve">): </w:t>
      </w:r>
      <w:r>
        <w:rPr>
          <w:rtl w:val="true"/>
        </w:rPr>
        <w:t>إذا خرج من المنزل بعد الغسل رطوبة مشتبهة بین المنیّ و غیره</w:t>
      </w:r>
      <w:r>
        <w:rPr>
          <w:rtl w:val="true"/>
        </w:rPr>
        <w:t>]</w:t>
      </w:r>
      <w:bookmarkEnd w:id="51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المنزل بعد الغسل رطوبة مشتبهة بین المنیّ و غیره و شکّ فی</w:t>
      </w:r>
      <w:bookmarkStart w:id="514" w:name="pg1809_18801"/>
    </w:p>
    <w:p>
      <w:pPr>
        <w:pStyle w:val="BookText"/>
        <w:rPr/>
      </w:pPr>
      <w:bookmarkEnd w:id="514"/>
      <w:r>
        <w:rPr>
          <w:rFonts w:ascii="IRNazanin" w:hAnsi="IRNazanin" w:eastAsia="IRNazanin"/>
          <w:color w:val="111111"/>
          <w:sz w:val="28"/>
          <w:sz w:val="28"/>
          <w:szCs w:val="28"/>
          <w:rtl w:val="true"/>
          <w:lang w:bidi="fa-IR"/>
        </w:rPr>
        <w:t>أنّه استبرأ بالبول أم لا، بنیٰ علیٰ عدمه فیجب علیه الغسل، و مع احتمال کونه بولًا الأحوط ضمّ الوضوء أیضاً</w:t>
      </w:r>
      <w:r>
        <w:rPr>
          <w:rFonts w:eastAsia="IRNazanin" w:cs="IRNazanin"/>
          <w:color w:val="111111"/>
          <w:sz w:val="28"/>
          <w:szCs w:val="28"/>
          <w:rtl w:val="true"/>
          <w:lang w:bidi="fa-IR"/>
        </w:rPr>
        <w:t>.</w:t>
      </w:r>
    </w:p>
    <w:p>
      <w:pPr>
        <w:pStyle w:val="Heading6"/>
        <w:numPr>
          <w:ilvl w:val="5"/>
          <w:numId w:val="1"/>
        </w:numPr>
        <w:rPr/>
      </w:pPr>
      <w:bookmarkStart w:id="515" w:name="__RefHeading___Toc2565458_3650668749"/>
      <w:bookmarkStart w:id="516" w:name="_Toc238"/>
      <w:bookmarkEnd w:id="515"/>
      <w:r>
        <w:rPr>
          <w:rtl w:val="true"/>
        </w:rPr>
        <w:t>[ (</w:t>
      </w:r>
      <w:r>
        <w:rPr>
          <w:rtl w:val="true"/>
        </w:rPr>
        <w:t xml:space="preserve">مسألة </w:t>
      </w:r>
      <w:r>
        <w:rPr/>
        <w:t>18</w:t>
      </w:r>
      <w:r>
        <w:rPr>
          <w:rtl w:val="true"/>
        </w:rPr>
        <w:t xml:space="preserve">): </w:t>
      </w:r>
      <w:r>
        <w:rPr>
          <w:rtl w:val="true"/>
        </w:rPr>
        <w:t>یجزی غسل الجنابة عن الوضوء لکلّ ما اشترط به</w:t>
      </w:r>
      <w:r>
        <w:rPr>
          <w:rtl w:val="true"/>
        </w:rPr>
        <w:t>]</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غسل الجنابة عن الوضوء لکلّ ما اشترط به</w:t>
      </w:r>
      <w:r>
        <w:rPr>
          <w:rFonts w:eastAsia="IRNazanin" w:cs="IRNazanin"/>
          <w:color w:val="111111"/>
          <w:sz w:val="28"/>
          <w:szCs w:val="28"/>
          <w:rtl w:val="true"/>
          <w:lang w:bidi="fa-IR"/>
        </w:rPr>
        <w:t>.</w:t>
      </w:r>
    </w:p>
    <w:p>
      <w:pPr>
        <w:pStyle w:val="Heading6"/>
        <w:numPr>
          <w:ilvl w:val="5"/>
          <w:numId w:val="1"/>
        </w:numPr>
        <w:rPr/>
      </w:pPr>
      <w:bookmarkStart w:id="517" w:name="__RefHeading___Toc2565460_3650668749"/>
      <w:bookmarkStart w:id="518" w:name="_Toc239"/>
      <w:bookmarkEnd w:id="517"/>
      <w:r>
        <w:rPr>
          <w:rtl w:val="true"/>
        </w:rPr>
        <w:t>[ (</w:t>
      </w:r>
      <w:r>
        <w:rPr>
          <w:rtl w:val="true"/>
        </w:rPr>
        <w:t xml:space="preserve">مسألة </w:t>
      </w:r>
      <w:r>
        <w:rPr/>
        <w:t>19</w:t>
      </w:r>
      <w:r>
        <w:rPr>
          <w:rtl w:val="true"/>
        </w:rPr>
        <w:t xml:space="preserve">): </w:t>
      </w:r>
      <w:r>
        <w:rPr>
          <w:rtl w:val="true"/>
        </w:rPr>
        <w:t>إذا أحدث بالأصغر فی أثناء الغسل لم یبطل علی الأقویٰ</w:t>
      </w:r>
      <w:r>
        <w:rPr>
          <w:rtl w:val="true"/>
        </w:rPr>
        <w:t>]</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بالأصغر فی أثناء الغسل لم یبطل علی الأقویٰ، لکن یجب الوضوء بعده لکلّ ما اشترط به، و الأحوط استئناف الغسل قاصداً به ما یجب علیه من التمام أو الإتمام و الوضوء بعده</w:t>
      </w:r>
      <w:r>
        <w:rPr>
          <w:rFonts w:eastAsia="IRNazanin" w:cs="IRNazanin"/>
          <w:color w:val="111111"/>
          <w:sz w:val="28"/>
          <w:szCs w:val="28"/>
          <w:rtl w:val="true"/>
          <w:lang w:bidi="fa-IR"/>
        </w:rPr>
        <w:t>.</w:t>
      </w:r>
    </w:p>
    <w:p>
      <w:pPr>
        <w:pStyle w:val="Heading6"/>
        <w:numPr>
          <w:ilvl w:val="5"/>
          <w:numId w:val="1"/>
        </w:numPr>
        <w:rPr/>
      </w:pPr>
      <w:bookmarkStart w:id="519" w:name="__RefHeading___Toc2565462_3650668749"/>
      <w:bookmarkStart w:id="520" w:name="_Toc240"/>
      <w:bookmarkEnd w:id="519"/>
      <w:r>
        <w:rPr>
          <w:rtl w:val="true"/>
        </w:rPr>
        <w:t>[ (</w:t>
      </w:r>
      <w:r>
        <w:rPr>
          <w:rtl w:val="true"/>
        </w:rPr>
        <w:t xml:space="preserve">مسألة </w:t>
      </w:r>
      <w:r>
        <w:rPr/>
        <w:t>20</w:t>
      </w:r>
      <w:r>
        <w:rPr>
          <w:rtl w:val="true"/>
        </w:rPr>
        <w:t xml:space="preserve">): </w:t>
      </w:r>
      <w:r>
        <w:rPr>
          <w:rtl w:val="true"/>
        </w:rPr>
        <w:t>إذا ارتمس فی الماء بقصد الاغتسال و شکّ فی أنّه کان ناویاً للغسل الارتماسی</w:t>
      </w:r>
      <w:r>
        <w:rPr>
          <w:rtl w:val="true"/>
        </w:rPr>
        <w:t>]</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ارتمس فی الماء بقصد الاغتسال و شکّ فی أنّه کان ناویاً للغسل الارتماسی حتّی یکون فارغاً، أو الترتیبی و کان ارتماسه بقصد غسل الرأس و الرقبة فبقی الطرفان یجب علیه </w:t>
      </w:r>
      <w:r>
        <w:rPr>
          <w:rStyle w:val="FootnoteAnchor"/>
          <w:rtl w:val="true"/>
        </w:rPr>
        <w:footnoteReference w:id="106"/>
      </w:r>
      <w:r>
        <w:rPr>
          <w:rFonts w:ascii="IRNazanin" w:hAnsi="IRNazanin" w:eastAsia="IRNazanin"/>
          <w:color w:val="111111"/>
          <w:sz w:val="28"/>
          <w:sz w:val="28"/>
          <w:szCs w:val="28"/>
          <w:rtl w:val="true"/>
          <w:lang w:bidi="fa-IR"/>
        </w:rPr>
        <w:t>الاستئناف و یکفیه غسل الطرفین بعنوان الاحتیاط لأجل احتمال الاحتیاج إلیٰ غسلهما</w:t>
      </w:r>
      <w:r>
        <w:rPr>
          <w:rFonts w:eastAsia="IRNazanin" w:cs="IRNazanin"/>
          <w:color w:val="111111"/>
          <w:sz w:val="28"/>
          <w:szCs w:val="28"/>
          <w:rtl w:val="true"/>
          <w:lang w:bidi="fa-IR"/>
        </w:rPr>
        <w:t>.</w:t>
      </w:r>
    </w:p>
    <w:p>
      <w:pPr>
        <w:pStyle w:val="Heading6"/>
        <w:numPr>
          <w:ilvl w:val="5"/>
          <w:numId w:val="1"/>
        </w:numPr>
        <w:rPr/>
      </w:pPr>
      <w:bookmarkStart w:id="521" w:name="__RefHeading___Toc2565464_3650668749"/>
      <w:bookmarkStart w:id="522" w:name="_Toc241"/>
      <w:bookmarkEnd w:id="521"/>
      <w:r>
        <w:rPr>
          <w:rtl w:val="true"/>
        </w:rPr>
        <w:t>[ (</w:t>
      </w:r>
      <w:r>
        <w:rPr>
          <w:rtl w:val="true"/>
        </w:rPr>
        <w:t xml:space="preserve">مسألة </w:t>
      </w:r>
      <w:r>
        <w:rPr/>
        <w:t>21</w:t>
      </w:r>
      <w:r>
        <w:rPr>
          <w:rtl w:val="true"/>
        </w:rPr>
        <w:t xml:space="preserve">): </w:t>
      </w:r>
      <w:r>
        <w:rPr>
          <w:rtl w:val="true"/>
        </w:rPr>
        <w:t>إذا صلّی المجنب ثمّ شکّ فی أنّه اغتسل من الجنابة أم لا</w:t>
      </w:r>
      <w:r>
        <w:rPr>
          <w:rtl w:val="true"/>
        </w:rPr>
        <w:t>]</w:t>
      </w:r>
      <w:bookmarkEnd w:id="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المجنب ثمّ شکّ فی أنّه اغتسل من الجنابة أم لا، بنیٰ علیٰ صحّة صلاته، و لکن یجب علیه الغسل للأعمال الآتیة، و لو کان الشکّ فی أثناء الصلاة بطلت، و لکن الأحوط إتمامها ثمّ إعادتها مع الغسل</w:t>
      </w:r>
      <w:r>
        <w:rPr>
          <w:rFonts w:eastAsia="IRNazanin" w:cs="IRNazanin"/>
          <w:color w:val="111111"/>
          <w:sz w:val="28"/>
          <w:szCs w:val="28"/>
          <w:rtl w:val="true"/>
          <w:lang w:bidi="fa-IR"/>
        </w:rPr>
        <w:t>.</w:t>
      </w:r>
    </w:p>
    <w:p>
      <w:pPr>
        <w:pStyle w:val="Heading6"/>
        <w:numPr>
          <w:ilvl w:val="5"/>
          <w:numId w:val="1"/>
        </w:numPr>
        <w:rPr/>
      </w:pPr>
      <w:bookmarkStart w:id="523" w:name="__RefHeading___Toc2565466_3650668749"/>
      <w:bookmarkStart w:id="524" w:name="_Toc242"/>
      <w:bookmarkEnd w:id="523"/>
      <w:r>
        <w:rPr>
          <w:rtl w:val="true"/>
        </w:rPr>
        <w:t>[ (</w:t>
      </w:r>
      <w:r>
        <w:rPr>
          <w:rtl w:val="true"/>
        </w:rPr>
        <w:t xml:space="preserve">مسألة </w:t>
      </w:r>
      <w:r>
        <w:rPr/>
        <w:t>22</w:t>
      </w:r>
      <w:r>
        <w:rPr>
          <w:rtl w:val="true"/>
        </w:rPr>
        <w:t xml:space="preserve">): </w:t>
      </w:r>
      <w:r>
        <w:rPr>
          <w:rtl w:val="true"/>
        </w:rPr>
        <w:t>إذا اجتمع علیه أغسال متعدّدة واجبة أو مستحبّة أو مختلفة</w:t>
      </w:r>
      <w:r>
        <w:rPr>
          <w:rtl w:val="true"/>
        </w:rPr>
        <w:t>]</w:t>
      </w:r>
      <w:bookmarkEnd w:id="52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w:t>
      </w:r>
      <w:r>
        <w:rPr>
          <w:rStyle w:val="FootnoteAnchor"/>
          <w:rtl w:val="true"/>
        </w:rPr>
        <w:footnoteReference w:id="107"/>
      </w:r>
      <w:r>
        <w:rPr>
          <w:rFonts w:ascii="IRNazanin" w:hAnsi="IRNazanin" w:eastAsia="IRNazanin"/>
          <w:color w:val="111111"/>
          <w:sz w:val="28"/>
          <w:sz w:val="28"/>
          <w:szCs w:val="28"/>
          <w:rtl w:val="true"/>
          <w:lang w:bidi="fa-IR"/>
        </w:rPr>
        <w:t>علیه أغسال متعدّدة واجبة أو مستحبّة أو مختلفة فإن نوی الجمیع بغسل واحد صحّ و کفی عن الجمیع مطلقاً، و حینئذٍ إن کان فیها غسل الجنابة لا حاجة إلی الوضوء للمشروط به و إلّا وجب الوضوء قبل الغسل أو بعده، و کذلک یکفی عن الجمیع إن کان فیها الجنابة و قد قصد غسلها، و إن لم یکن فیها الجنابة أو کانت و قد قصد واحداً من الأغسال الواجبة غیر غسل الجنابة فلا یبعد کفایته عن الجمیع أیضاً لکن الأحوط خلافه، و إن نویٰ بعض الأغسال المستحبّة کفیٰ أیضاً عن غیر المنویّ عن المستحبّات، أمّا کفایته عن الواجبات ففیه إشکال فلا یترک الاحتیاط</w:t>
      </w:r>
      <w:r>
        <w:rPr>
          <w:rFonts w:eastAsia="IRNazanin" w:cs="IRNazanin"/>
          <w:color w:val="111111"/>
          <w:sz w:val="28"/>
          <w:szCs w:val="28"/>
          <w:rtl w:val="true"/>
          <w:lang w:bidi="fa-IR"/>
        </w:rPr>
        <w:t>.</w:t>
      </w:r>
      <w:bookmarkStart w:id="525" w:name="pg1809_18803"/>
    </w:p>
    <w:p>
      <w:pPr>
        <w:pStyle w:val="Heading5"/>
        <w:numPr>
          <w:ilvl w:val="4"/>
          <w:numId w:val="1"/>
        </w:numPr>
        <w:rPr/>
      </w:pPr>
      <w:bookmarkStart w:id="526" w:name="__RefHeading___Toc2565468_3650668749"/>
      <w:bookmarkStart w:id="527" w:name="_Toc243"/>
      <w:bookmarkEnd w:id="525"/>
      <w:bookmarkEnd w:id="526"/>
      <w:r>
        <w:rPr>
          <w:rtl w:val="true"/>
        </w:rPr>
        <w:t>[</w:t>
      </w:r>
      <w:r>
        <w:rPr>
          <w:rtl w:val="true"/>
        </w:rPr>
        <w:t>فصل فی غسل الحیض</w:t>
      </w:r>
      <w:r>
        <w:rPr>
          <w:rtl w:val="true"/>
        </w:rPr>
        <w:t>]</w:t>
      </w:r>
      <w:bookmarkEnd w:id="527"/>
    </w:p>
    <w:p>
      <w:pPr>
        <w:pStyle w:val="Heading6"/>
        <w:numPr>
          <w:ilvl w:val="5"/>
          <w:numId w:val="1"/>
        </w:numPr>
        <w:rPr/>
      </w:pPr>
      <w:bookmarkStart w:id="528" w:name="__RefHeading___Toc2565470_3650668749"/>
      <w:bookmarkStart w:id="529" w:name="_Toc244"/>
      <w:bookmarkEnd w:id="528"/>
      <w:r>
        <w:rPr>
          <w:rtl w:val="true"/>
        </w:rPr>
        <w:t>اشارة</w:t>
      </w:r>
      <w:bookmarkEnd w:id="529"/>
    </w:p>
    <w:p>
      <w:pPr>
        <w:pStyle w:val="BookText"/>
        <w:rPr/>
      </w:pPr>
      <w:r>
        <w:rPr>
          <w:rFonts w:ascii="IRNazanin" w:hAnsi="IRNazanin" w:eastAsia="IRNazanin"/>
          <w:color w:val="111111"/>
          <w:sz w:val="28"/>
          <w:sz w:val="28"/>
          <w:szCs w:val="28"/>
          <w:rtl w:val="true"/>
          <w:lang w:bidi="fa-IR"/>
        </w:rPr>
        <w:t xml:space="preserve">فصل فی غسل الحیض دم الحیض أسود </w:t>
      </w:r>
      <w:r>
        <w:rPr>
          <w:rStyle w:val="FootnoteAnchor"/>
          <w:rtl w:val="true"/>
        </w:rPr>
        <w:footnoteReference w:id="108"/>
      </w:r>
      <w:r>
        <w:rPr>
          <w:rFonts w:ascii="IRNazanin" w:hAnsi="IRNazanin" w:eastAsia="IRNazanin"/>
          <w:color w:val="111111"/>
          <w:sz w:val="28"/>
          <w:sz w:val="28"/>
          <w:szCs w:val="28"/>
          <w:rtl w:val="true"/>
          <w:lang w:bidi="fa-IR"/>
        </w:rPr>
        <w:t>أو أحمر غلیظ حارّ یخرج بحرقة، کما أنّ دم الاستحاضة أصفر بارد صاف یخرج من غیر لذع و 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صفات غالبیّة لهما یرجع إلیها فی مقام التمیّز و الاشتباه فی بعض المقامات، و ربّما کان کلّ منهما بصفات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دم تراه الصبیّة قبل إکمال تسع سنین لیس بحیض و إن کان بصفاته، بل هو استحاضة </w:t>
      </w:r>
      <w:r>
        <w:rPr>
          <w:rStyle w:val="FootnoteAnchor"/>
          <w:rtl w:val="true"/>
        </w:rPr>
        <w:footnoteReference w:id="109"/>
      </w:r>
      <w:r>
        <w:rPr>
          <w:rFonts w:ascii="IRNazanin" w:hAnsi="IRNazanin" w:eastAsia="IRNazanin"/>
          <w:color w:val="111111"/>
          <w:sz w:val="28"/>
          <w:sz w:val="28"/>
          <w:szCs w:val="28"/>
          <w:rtl w:val="true"/>
          <w:lang w:bidi="fa-IR"/>
        </w:rPr>
        <w:t>مع عدم العلم بغیرها، و کذا ما تراه المرأة بعد الیأس لیس بحیض و إنّما هو استحاضة مع احتمالها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تیأس المرأة بإکمال ستّین سنة إن کانت قرشیّة و خمسین إن کانت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المشکوک کونها قرشیّة تلحق بغیرها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المشکوک البلوغ تحکم بعدمه، و کذلک المشکوک یأسها</w:t>
      </w:r>
      <w:r>
        <w:rPr>
          <w:rFonts w:eastAsia="IRNazanin" w:cs="IRNazanin"/>
          <w:color w:val="111111"/>
          <w:sz w:val="28"/>
          <w:szCs w:val="28"/>
          <w:rtl w:val="true"/>
          <w:lang w:bidi="fa-IR"/>
        </w:rPr>
        <w:t>.</w:t>
      </w:r>
    </w:p>
    <w:p>
      <w:pPr>
        <w:pStyle w:val="Heading6"/>
        <w:numPr>
          <w:ilvl w:val="5"/>
          <w:numId w:val="1"/>
        </w:numPr>
        <w:rPr/>
      </w:pPr>
      <w:bookmarkStart w:id="530" w:name="__RefHeading___Toc2565472_3650668749"/>
      <w:bookmarkStart w:id="531" w:name="_Toc245"/>
      <w:bookmarkEnd w:id="530"/>
      <w:r>
        <w:rPr>
          <w:rtl w:val="true"/>
        </w:rPr>
        <w:t>[</w:t>
      </w:r>
      <w:r>
        <w:rPr>
          <w:rtl w:val="true"/>
        </w:rPr>
        <w:t>مسائل</w:t>
      </w:r>
      <w:r>
        <w:rPr>
          <w:rtl w:val="true"/>
        </w:rPr>
        <w:t>]</w:t>
      </w:r>
      <w:bookmarkEnd w:id="531"/>
    </w:p>
    <w:p>
      <w:pPr>
        <w:pStyle w:val="Heading6"/>
        <w:numPr>
          <w:ilvl w:val="5"/>
          <w:numId w:val="1"/>
        </w:numPr>
        <w:rPr/>
      </w:pPr>
      <w:bookmarkStart w:id="532" w:name="__RefHeading___Toc2565474_3650668749"/>
      <w:bookmarkStart w:id="533" w:name="_Toc246"/>
      <w:bookmarkEnd w:id="532"/>
      <w:r>
        <w:rPr>
          <w:rtl w:val="true"/>
        </w:rPr>
        <w:t>[ (</w:t>
      </w:r>
      <w:r>
        <w:rPr>
          <w:rtl w:val="true"/>
        </w:rPr>
        <w:t xml:space="preserve">مسألة </w:t>
      </w:r>
      <w:r>
        <w:rPr/>
        <w:t>1</w:t>
      </w:r>
      <w:r>
        <w:rPr>
          <w:rtl w:val="true"/>
        </w:rPr>
        <w:t xml:space="preserve">): </w:t>
      </w:r>
      <w:r>
        <w:rPr>
          <w:rtl w:val="true"/>
        </w:rPr>
        <w:t>إذا خرج ممّن شکّ فی بلوغها دم بصفات الحیض</w:t>
      </w:r>
      <w:r>
        <w:rPr>
          <w:rtl w:val="true"/>
        </w:rPr>
        <w:t>]</w:t>
      </w:r>
      <w:bookmarkEnd w:id="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ممّن شکّ فی بلوغها دم بصفات الحیض </w:t>
      </w:r>
      <w:r>
        <w:rPr>
          <w:rStyle w:val="FootnoteAnchor"/>
          <w:rtl w:val="true"/>
        </w:rPr>
        <w:footnoteReference w:id="111"/>
      </w:r>
      <w:r>
        <w:rPr>
          <w:rFonts w:ascii="IRNazanin" w:hAnsi="IRNazanin" w:eastAsia="IRNazanin"/>
          <w:color w:val="111111"/>
          <w:sz w:val="28"/>
          <w:sz w:val="28"/>
          <w:szCs w:val="28"/>
          <w:rtl w:val="true"/>
          <w:lang w:bidi="fa-IR"/>
        </w:rPr>
        <w:t>یحکم بکونها حیضاً و یکون أمارة علیٰ سبق البلوغ</w:t>
      </w:r>
      <w:r>
        <w:rPr>
          <w:rFonts w:eastAsia="IRNazanin" w:cs="IRNazanin"/>
          <w:color w:val="111111"/>
          <w:sz w:val="28"/>
          <w:szCs w:val="28"/>
          <w:rtl w:val="true"/>
          <w:lang w:bidi="fa-IR"/>
        </w:rPr>
        <w:t>.</w:t>
      </w:r>
    </w:p>
    <w:p>
      <w:pPr>
        <w:pStyle w:val="Heading6"/>
        <w:numPr>
          <w:ilvl w:val="5"/>
          <w:numId w:val="1"/>
        </w:numPr>
        <w:rPr/>
      </w:pPr>
      <w:bookmarkStart w:id="534" w:name="__RefHeading___Toc2565476_3650668749"/>
      <w:bookmarkStart w:id="535" w:name="_Toc247"/>
      <w:bookmarkEnd w:id="534"/>
      <w:r>
        <w:rPr>
          <w:rtl w:val="true"/>
        </w:rPr>
        <w:t>[ (</w:t>
      </w:r>
      <w:r>
        <w:rPr>
          <w:rtl w:val="true"/>
        </w:rPr>
        <w:t xml:space="preserve">مسألة </w:t>
      </w:r>
      <w:r>
        <w:rPr/>
        <w:t>2</w:t>
      </w:r>
      <w:r>
        <w:rPr>
          <w:rtl w:val="true"/>
        </w:rPr>
        <w:t xml:space="preserve">): </w:t>
      </w:r>
      <w:r>
        <w:rPr>
          <w:rtl w:val="true"/>
        </w:rPr>
        <w:t>الحیض یجتمع مع الإرضاع</w:t>
      </w:r>
      <w:r>
        <w:rPr>
          <w:rtl w:val="true"/>
        </w:rPr>
        <w:t>]</w:t>
      </w:r>
      <w:bookmarkEnd w:id="5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الحیض یجتمع مع الإرضاع، و فی اجتماعه مع الحمل قولان؛ أقواهما ذلک؛ و إن ندر وقوعه، فیحکم بحیضیّة </w:t>
      </w:r>
      <w:r>
        <w:rPr>
          <w:rStyle w:val="FootnoteAnchor"/>
          <w:rtl w:val="true"/>
        </w:rPr>
        <w:footnoteReference w:id="112"/>
      </w:r>
      <w:r>
        <w:rPr>
          <w:rFonts w:ascii="Amiri" w:hAnsi="Amiri" w:eastAsia="Amiri" w:cs="Amiri"/>
          <w:color w:val="111111"/>
          <w:sz w:val="28"/>
          <w:sz w:val="28"/>
          <w:szCs w:val="28"/>
          <w:rtl w:val="true"/>
          <w:lang w:bidi="ar-SA"/>
        </w:rPr>
        <w:t>ما تراه الحامل مع اجتماع الشرائط و الصفات و لو بعد استبانة الحمل</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2565478_3650668749"/>
      <w:bookmarkStart w:id="537" w:name="_Toc248"/>
      <w:bookmarkEnd w:id="536"/>
      <w:r>
        <w:rPr>
          <w:rtl w:val="true"/>
        </w:rPr>
        <w:t>[ (</w:t>
      </w:r>
      <w:r>
        <w:rPr>
          <w:rtl w:val="true"/>
        </w:rPr>
        <w:t xml:space="preserve">مسألة </w:t>
      </w:r>
      <w:r>
        <w:rPr/>
        <w:t>3</w:t>
      </w:r>
      <w:r>
        <w:rPr>
          <w:rtl w:val="true"/>
        </w:rPr>
        <w:t xml:space="preserve">): </w:t>
      </w:r>
      <w:r>
        <w:rPr>
          <w:rtl w:val="true"/>
        </w:rPr>
        <w:t>لا إشکال فی حدوث صفة الحیض و ترتّب أحکامه عند خروج دمه إلی الخارج</w:t>
      </w:r>
      <w:r>
        <w:rPr>
          <w:rtl w:val="true"/>
        </w:rPr>
        <w:t>]</w:t>
      </w:r>
      <w:bookmarkEnd w:id="53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حدوث صفة الحیض و ترتّب أحکامه عند خروج دمه إلی الخارج و لو بإصبع و نحوه و إن کان بمقدار رأس إبرة، کما لا إشکال فی أنّه یکفی فی بقائها و استدامتها تلوّث الباطن به و لو قلیلًا بحیث تتلطّخ به القطنة لو أدخلتها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انصبّ من</w:t>
      </w:r>
      <w:bookmarkStart w:id="538" w:name="pg1809_18804"/>
    </w:p>
    <w:p>
      <w:pPr>
        <w:pStyle w:val="BookText"/>
        <w:rPr/>
      </w:pPr>
      <w:bookmarkEnd w:id="538"/>
      <w:r>
        <w:rPr>
          <w:rFonts w:ascii="IRNazanin" w:hAnsi="IRNazanin" w:eastAsia="IRNazanin"/>
          <w:color w:val="111111"/>
          <w:sz w:val="28"/>
          <w:sz w:val="28"/>
          <w:szCs w:val="28"/>
          <w:rtl w:val="true"/>
          <w:lang w:bidi="fa-IR"/>
        </w:rPr>
        <w:t>محلّه فی فضاء الفرج بحیث یمکن إخراجه بالإصبع و نحوه و لم یخرج بعد فهل یحدث به صفة الحیض و یترتّب أحکامه أم لا؟ فیه تأمّل و إشکال فلا یترک الاحتیاط بالجمع بین تروک الحائض و أفعال الطاهر، و لا یبعد جواز إخراج الدم حینئذٍ و لو بالعلاج و إجراء أحکام الحائض</w:t>
      </w:r>
      <w:r>
        <w:rPr>
          <w:rFonts w:eastAsia="IRNazanin" w:cs="IRNazanin"/>
          <w:color w:val="111111"/>
          <w:sz w:val="28"/>
          <w:szCs w:val="28"/>
          <w:rtl w:val="true"/>
          <w:lang w:bidi="fa-IR"/>
        </w:rPr>
        <w:t>.</w:t>
      </w:r>
    </w:p>
    <w:p>
      <w:pPr>
        <w:pStyle w:val="Heading6"/>
        <w:numPr>
          <w:ilvl w:val="5"/>
          <w:numId w:val="1"/>
        </w:numPr>
        <w:rPr/>
      </w:pPr>
      <w:bookmarkStart w:id="539" w:name="__RefHeading___Toc2565480_3650668749"/>
      <w:bookmarkStart w:id="540" w:name="_Toc249"/>
      <w:bookmarkEnd w:id="539"/>
      <w:r>
        <w:rPr>
          <w:rtl w:val="true"/>
        </w:rPr>
        <w:t>[ (</w:t>
      </w:r>
      <w:r>
        <w:rPr>
          <w:rtl w:val="true"/>
        </w:rPr>
        <w:t xml:space="preserve">مسألة </w:t>
      </w:r>
      <w:r>
        <w:rPr/>
        <w:t>4</w:t>
      </w:r>
      <w:r>
        <w:rPr>
          <w:rtl w:val="true"/>
        </w:rPr>
        <w:t xml:space="preserve">): </w:t>
      </w:r>
      <w:r>
        <w:rPr>
          <w:rtl w:val="true"/>
        </w:rPr>
        <w:t>لو شکّ فی أصل الخروج حکم بعدمه</w:t>
      </w:r>
      <w:r>
        <w:rPr>
          <w:rtl w:val="true"/>
        </w:rPr>
        <w:t>]</w:t>
      </w:r>
      <w:bookmarkEnd w:id="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أصل الخروج حکم بعدمه، کما أنّه لو شکّ فی أنّ الخارج دم أو غیره من الفضلات حکم بالطهارة من الحدث و 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علمت بالدم و تردّد بین کونه خارجاً من الموضع أو من غیره حکم بالطهارة من الحدث خاصّة و لا یجب علیها الفحص فی الصور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علمت بخروج الدم و اشتبه حاله فله صور یعرف حکمها فی ضمن المسائل الآتیة</w:t>
      </w:r>
      <w:r>
        <w:rPr>
          <w:rFonts w:eastAsia="IRNazanin" w:cs="IRNazanin"/>
          <w:color w:val="111111"/>
          <w:sz w:val="28"/>
          <w:szCs w:val="28"/>
          <w:rtl w:val="true"/>
          <w:lang w:bidi="fa-IR"/>
        </w:rPr>
        <w:t>.</w:t>
      </w:r>
    </w:p>
    <w:p>
      <w:pPr>
        <w:pStyle w:val="Heading6"/>
        <w:numPr>
          <w:ilvl w:val="5"/>
          <w:numId w:val="1"/>
        </w:numPr>
        <w:rPr/>
      </w:pPr>
      <w:bookmarkStart w:id="541" w:name="__RefHeading___Toc2565482_3650668749"/>
      <w:bookmarkStart w:id="542" w:name="_Toc250"/>
      <w:bookmarkEnd w:id="541"/>
      <w:r>
        <w:rPr>
          <w:rtl w:val="true"/>
        </w:rPr>
        <w:t>[ (</w:t>
      </w:r>
      <w:r>
        <w:rPr>
          <w:rtl w:val="true"/>
        </w:rPr>
        <w:t xml:space="preserve">مسألة </w:t>
      </w:r>
      <w:r>
        <w:rPr/>
        <w:t>5</w:t>
      </w:r>
      <w:r>
        <w:rPr>
          <w:rtl w:val="true"/>
        </w:rPr>
        <w:t xml:space="preserve">): </w:t>
      </w:r>
      <w:r>
        <w:rPr>
          <w:rtl w:val="true"/>
        </w:rPr>
        <w:t>إذا اشتبه دم الحیض بدم البکارة</w:t>
      </w:r>
      <w:r>
        <w:rPr>
          <w:rtl w:val="true"/>
        </w:rPr>
        <w:t>]</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اشتبه دم الحیض بدم البکارة کما إذا افتضّت البکر فسال دم کثیر لا ینقطع فشکّ فی أنّه من الحیض أو البکارة أو منهما یختبر </w:t>
      </w:r>
      <w:r>
        <w:rPr>
          <w:rStyle w:val="FootnoteAnchor"/>
          <w:rtl w:val="true"/>
        </w:rPr>
        <w:footnoteReference w:id="113"/>
      </w:r>
      <w:r>
        <w:rPr>
          <w:rFonts w:ascii="IRNazanin" w:hAnsi="IRNazanin" w:eastAsia="IRNazanin"/>
          <w:color w:val="111111"/>
          <w:sz w:val="28"/>
          <w:sz w:val="28"/>
          <w:szCs w:val="28"/>
          <w:rtl w:val="true"/>
          <w:lang w:bidi="fa-IR"/>
        </w:rPr>
        <w:t>بإدخال قطنة و الصبر قلیلًا ثمّ إخراجها، فإن کانت مطوّقة بالدم فهو من البکارة و إن کان بصفات الحیض، و إن کانت منغمسة به فهو من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الاختبار المذکور واجب، بل هو شرط </w:t>
      </w:r>
      <w:r>
        <w:rPr>
          <w:rStyle w:val="FootnoteAnchor"/>
          <w:rtl w:val="true"/>
        </w:rPr>
        <w:footnoteReference w:id="114"/>
      </w:r>
      <w:r>
        <w:rPr>
          <w:rFonts w:ascii="IRNazanin" w:hAnsi="IRNazanin" w:eastAsia="IRNazanin"/>
          <w:color w:val="111111"/>
          <w:sz w:val="28"/>
          <w:sz w:val="28"/>
          <w:szCs w:val="28"/>
          <w:rtl w:val="true"/>
          <w:lang w:bidi="fa-IR"/>
        </w:rPr>
        <w:t>لصحّة عملها مع الإمکان، فلو صلّت بدونه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تعذّر علیها ترجع إلی الحالة السابقة من طهر أو حیض فتبنی علیها، و مع الجهل بها تحتاط بالجمع بین تروک الحائض و أفعال الطاهر</w:t>
      </w:r>
      <w:r>
        <w:rPr>
          <w:rFonts w:eastAsia="IRNazanin" w:cs="IRNazanin"/>
          <w:color w:val="111111"/>
          <w:sz w:val="28"/>
          <w:szCs w:val="28"/>
          <w:rtl w:val="true"/>
          <w:lang w:bidi="fa-IR"/>
        </w:rPr>
        <w:t>.</w:t>
      </w:r>
    </w:p>
    <w:p>
      <w:pPr>
        <w:pStyle w:val="Heading6"/>
        <w:numPr>
          <w:ilvl w:val="5"/>
          <w:numId w:val="1"/>
        </w:numPr>
        <w:rPr/>
      </w:pPr>
      <w:bookmarkStart w:id="543" w:name="__RefHeading___Toc2565484_3650668749"/>
      <w:bookmarkStart w:id="544" w:name="_Toc251"/>
      <w:bookmarkEnd w:id="543"/>
      <w:r>
        <w:rPr>
          <w:rtl w:val="true"/>
        </w:rPr>
        <w:t>[ (</w:t>
      </w:r>
      <w:r>
        <w:rPr>
          <w:rtl w:val="true"/>
        </w:rPr>
        <w:t xml:space="preserve">مسألة </w:t>
      </w:r>
      <w:r>
        <w:rPr/>
        <w:t>6</w:t>
      </w:r>
      <w:r>
        <w:rPr>
          <w:rtl w:val="true"/>
        </w:rPr>
        <w:t xml:space="preserve">): </w:t>
      </w:r>
      <w:r>
        <w:rPr>
          <w:rtl w:val="true"/>
        </w:rPr>
        <w:t>الظاهر أنّ التطویق و الانغماس المذکورین علامتان للبکارة</w:t>
      </w:r>
      <w:r>
        <w:rPr>
          <w:rtl w:val="true"/>
        </w:rPr>
        <w:t>]</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التطویق و الانغماس المذکورین علامتان للبکارة و الحیض مطلقاً حتّی عند الشکّ فی البکارة أو الافتضاض، و إن کان الأقویٰ عدم وجوب </w:t>
      </w:r>
      <w:r>
        <w:rPr>
          <w:rStyle w:val="FootnoteAnchor"/>
          <w:rtl w:val="true"/>
        </w:rPr>
        <w:footnoteReference w:id="115"/>
      </w:r>
      <w:r>
        <w:rPr>
          <w:rFonts w:ascii="IRNazanin" w:hAnsi="IRNazanin" w:eastAsia="IRNazanin"/>
          <w:color w:val="111111"/>
          <w:sz w:val="28"/>
          <w:sz w:val="28"/>
          <w:szCs w:val="28"/>
          <w:rtl w:val="true"/>
          <w:lang w:bidi="fa-IR"/>
        </w:rPr>
        <w:t>الاختبار علیها حینئذٍ بل لها الرجوع إلی الحالة السابقة کمن تعذّر علیها الاختبار</w:t>
      </w:r>
      <w:r>
        <w:rPr>
          <w:rFonts w:eastAsia="IRNazanin" w:cs="IRNazanin"/>
          <w:color w:val="111111"/>
          <w:sz w:val="28"/>
          <w:szCs w:val="28"/>
          <w:rtl w:val="true"/>
          <w:lang w:bidi="fa-IR"/>
        </w:rPr>
        <w:t>.</w:t>
      </w:r>
    </w:p>
    <w:p>
      <w:pPr>
        <w:pStyle w:val="Heading6"/>
        <w:numPr>
          <w:ilvl w:val="5"/>
          <w:numId w:val="1"/>
        </w:numPr>
        <w:rPr/>
      </w:pPr>
      <w:bookmarkStart w:id="545" w:name="__RefHeading___Toc2565486_3650668749"/>
      <w:bookmarkStart w:id="546" w:name="_Toc252"/>
      <w:bookmarkEnd w:id="545"/>
      <w:r>
        <w:rPr>
          <w:rtl w:val="true"/>
        </w:rPr>
        <w:t>[ (</w:t>
      </w:r>
      <w:r>
        <w:rPr>
          <w:rtl w:val="true"/>
        </w:rPr>
        <w:t xml:space="preserve">مسألة </w:t>
      </w:r>
      <w:r>
        <w:rPr/>
        <w:t>7</w:t>
      </w:r>
      <w:r>
        <w:rPr>
          <w:rtl w:val="true"/>
        </w:rPr>
        <w:t xml:space="preserve">): </w:t>
      </w:r>
      <w:r>
        <w:rPr>
          <w:rtl w:val="true"/>
        </w:rPr>
        <w:t>لو اشتبه دم الحیض بدم القرحة التی فی جوفها ترجع إلی الحالة السابقة</w:t>
      </w:r>
      <w:r>
        <w:rPr>
          <w:rtl w:val="true"/>
        </w:rPr>
        <w:t>]</w:t>
      </w:r>
      <w:bookmarkEnd w:id="54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اشتبه </w:t>
      </w:r>
      <w:r>
        <w:rPr>
          <w:rStyle w:val="FootnoteAnchor"/>
          <w:rtl w:val="true"/>
        </w:rPr>
        <w:footnoteReference w:id="116"/>
      </w:r>
      <w:r>
        <w:rPr>
          <w:rFonts w:ascii="IRNazanin" w:hAnsi="IRNazanin" w:eastAsia="IRNazanin"/>
          <w:color w:val="111111"/>
          <w:sz w:val="28"/>
          <w:sz w:val="28"/>
          <w:szCs w:val="28"/>
          <w:rtl w:val="true"/>
          <w:lang w:bidi="fa-IR"/>
        </w:rPr>
        <w:t>دم الحیض بدم القرحة التی فی جوفها ترجع إلی الحالة السابقة</w:t>
      </w:r>
      <w:bookmarkStart w:id="547" w:name="pg1809_18806"/>
    </w:p>
    <w:p>
      <w:pPr>
        <w:pStyle w:val="BookText"/>
        <w:rPr/>
      </w:pPr>
      <w:bookmarkEnd w:id="547"/>
      <w:r>
        <w:rPr>
          <w:rFonts w:ascii="IRNazanin" w:hAnsi="IRNazanin" w:eastAsia="IRNazanin"/>
          <w:color w:val="111111"/>
          <w:sz w:val="28"/>
          <w:sz w:val="28"/>
          <w:szCs w:val="28"/>
          <w:rtl w:val="true"/>
          <w:lang w:bidi="fa-IR"/>
        </w:rPr>
        <w:t>من الحیض أو الطهارة، و مع الجهل بها تعمل بالاحتیاط</w:t>
      </w:r>
      <w:r>
        <w:rPr>
          <w:rFonts w:eastAsia="IRNazanin" w:cs="IRNazanin"/>
          <w:color w:val="111111"/>
          <w:sz w:val="28"/>
          <w:szCs w:val="28"/>
          <w:rtl w:val="true"/>
          <w:lang w:bidi="fa-IR"/>
        </w:rPr>
        <w:t>.</w:t>
      </w:r>
    </w:p>
    <w:p>
      <w:pPr>
        <w:pStyle w:val="Heading6"/>
        <w:numPr>
          <w:ilvl w:val="5"/>
          <w:numId w:val="1"/>
        </w:numPr>
        <w:rPr/>
      </w:pPr>
      <w:bookmarkStart w:id="548" w:name="__RefHeading___Toc2565488_3650668749"/>
      <w:bookmarkStart w:id="549" w:name="_Toc253"/>
      <w:bookmarkEnd w:id="548"/>
      <w:r>
        <w:rPr>
          <w:rtl w:val="true"/>
        </w:rPr>
        <w:t>[ (</w:t>
      </w:r>
      <w:r>
        <w:rPr>
          <w:rtl w:val="true"/>
        </w:rPr>
        <w:t xml:space="preserve">مسألة </w:t>
      </w:r>
      <w:r>
        <w:rPr/>
        <w:t>8</w:t>
      </w:r>
      <w:r>
        <w:rPr>
          <w:rtl w:val="true"/>
        </w:rPr>
        <w:t xml:space="preserve">): </w:t>
      </w:r>
      <w:r>
        <w:rPr>
          <w:rtl w:val="true"/>
        </w:rPr>
        <w:t>أقلّ الحیض ثلاثة أیّام و أکثره کأقلّ الطهر عشرة</w:t>
      </w:r>
      <w:r>
        <w:rPr>
          <w:rtl w:val="true"/>
        </w:rPr>
        <w:t>]</w:t>
      </w:r>
      <w:bookmarkEnd w:id="5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الحیض ثلاثة أیّام و أکثره کأقلّ الطهر عشرة، فکلّ دم تراه المرأة ناقصاً عن الثلاثة أو زائداً عن العشرة لیس بحیض، و کذا ما تراه بعد انقطاع الدم الذی حکم بحیضیّته من جهة العادة أو غیرها من دون فصل العشرة، و لم یمکن حیضیّة الدمین مع النقاء المتخلّل فی البین؛ لکون المجموع زائداً علی العشرة لیس بحیض بل هو استحاضة، کما إذا رأت ذات العادة سبعة أیّام مثلًا فی العادة ثمّ انقطع سبعة أیّام ثمّ رأت ثلاثة أیّام، فالثانی لیس بحیض بل هو استحاضة</w:t>
      </w:r>
      <w:r>
        <w:rPr>
          <w:rFonts w:eastAsia="IRNazanin" w:cs="IRNazanin"/>
          <w:color w:val="111111"/>
          <w:sz w:val="28"/>
          <w:szCs w:val="28"/>
          <w:rtl w:val="true"/>
          <w:lang w:bidi="fa-IR"/>
        </w:rPr>
        <w:t>.</w:t>
      </w:r>
    </w:p>
    <w:p>
      <w:pPr>
        <w:pStyle w:val="Heading6"/>
        <w:numPr>
          <w:ilvl w:val="5"/>
          <w:numId w:val="1"/>
        </w:numPr>
        <w:rPr/>
      </w:pPr>
      <w:bookmarkStart w:id="550" w:name="__RefHeading___Toc2565490_3650668749"/>
      <w:bookmarkStart w:id="551" w:name="_Toc254"/>
      <w:bookmarkEnd w:id="550"/>
      <w:r>
        <w:rPr>
          <w:rtl w:val="true"/>
        </w:rPr>
        <w:t>[ (</w:t>
      </w:r>
      <w:r>
        <w:rPr>
          <w:rtl w:val="true"/>
        </w:rPr>
        <w:t xml:space="preserve">مسألة </w:t>
      </w:r>
      <w:r>
        <w:rPr/>
        <w:t>9</w:t>
      </w:r>
      <w:r>
        <w:rPr>
          <w:rtl w:val="true"/>
        </w:rPr>
        <w:t xml:space="preserve">): </w:t>
      </w:r>
      <w:r>
        <w:rPr>
          <w:rtl w:val="true"/>
        </w:rPr>
        <w:t>الأقرب عدم اعتبار التوالی</w:t>
      </w:r>
      <w:r>
        <w:rPr>
          <w:rtl w:val="true"/>
        </w:rPr>
        <w:t>]</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عدم اعتبار التوالی </w:t>
      </w:r>
      <w:r>
        <w:rPr>
          <w:rStyle w:val="FootnoteAnchor"/>
          <w:rtl w:val="true"/>
        </w:rPr>
        <w:footnoteReference w:id="117"/>
      </w:r>
      <w:r>
        <w:rPr>
          <w:rFonts w:ascii="IRNazanin" w:hAnsi="IRNazanin" w:eastAsia="IRNazanin"/>
          <w:color w:val="111111"/>
          <w:sz w:val="28"/>
          <w:sz w:val="28"/>
          <w:szCs w:val="28"/>
          <w:rtl w:val="true"/>
          <w:lang w:bidi="fa-IR"/>
        </w:rPr>
        <w:t>فی الأیّام الثلاثة، بل یکفی کونها فی ضمن العشرة، فإذا رأت الدم یوماً أو یومین ثمّ رأت قبل انقضاء العشرة ما به یتمّ الثلاثة یمکن کونها حیضاً، و یلحق بها أیّام النقاء الذی فی البین؛ إذ الطهر لا یکون أقلّ من عشرة، بخلاف ما لو رأت یوماً أو یومین ثمّ رأت ما به تکمل الثلاثة بعد انقضاء العشرة کالحادی عشر أو الثانی عشر فإنّ الکلّ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أنّه یعتبر استمرار الدم فی نفس الأیّام بأن یکون ثلاثة أیّام کاملة، فلا یجزی الدماء المتفرّقة بین العشرة إذا کان المجموع بمقدار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الاستمرار العرفی فلا یضرّ الفترات الیسیرة المتعارفة بین النساء، کما أنّ الظاهر کفایة التلفیق فی الأیّام کما لو رأت الدم من الظهر و استمرّ إلی الظهر من الیوم الرابع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ینبغی ترک الاحتیاط مع عدم التوالی بالجمع بین وظیفتی الحائض و المستحاضة فی أیّام الدم و بین وظیفتی الحائض و الطاهر فی النقاء فی البین</w:t>
      </w:r>
      <w:r>
        <w:rPr>
          <w:rFonts w:eastAsia="IRNazanin" w:cs="IRNazanin"/>
          <w:color w:val="111111"/>
          <w:sz w:val="28"/>
          <w:szCs w:val="28"/>
          <w:rtl w:val="true"/>
          <w:lang w:bidi="fa-IR"/>
        </w:rPr>
        <w:t>.</w:t>
      </w:r>
    </w:p>
    <w:p>
      <w:pPr>
        <w:pStyle w:val="Heading6"/>
        <w:numPr>
          <w:ilvl w:val="5"/>
          <w:numId w:val="1"/>
        </w:numPr>
        <w:rPr/>
      </w:pPr>
      <w:bookmarkStart w:id="552" w:name="__RefHeading___Toc2565492_3650668749"/>
      <w:bookmarkStart w:id="553" w:name="_Toc255"/>
      <w:bookmarkEnd w:id="552"/>
      <w:r>
        <w:rPr>
          <w:rtl w:val="true"/>
        </w:rPr>
        <w:t>[ (</w:t>
      </w:r>
      <w:r>
        <w:rPr>
          <w:rtl w:val="true"/>
        </w:rPr>
        <w:t xml:space="preserve">مسألة </w:t>
      </w:r>
      <w:r>
        <w:rPr/>
        <w:t>10</w:t>
      </w:r>
      <w:r>
        <w:rPr>
          <w:rtl w:val="true"/>
        </w:rPr>
        <w:t xml:space="preserve">): </w:t>
      </w:r>
      <w:r>
        <w:rPr>
          <w:rtl w:val="true"/>
        </w:rPr>
        <w:t>المراد من الیوم النهار</w:t>
      </w:r>
      <w:r>
        <w:rPr>
          <w:rtl w:val="true"/>
        </w:rPr>
        <w:t>]</w:t>
      </w:r>
      <w:bookmarkEnd w:id="55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الیوم النهار؛ و هو ما بین طلوع الفجر إلی الغروب، فاللیالی خارجة فإذا رأت من الفجر إلی الغروب و انقطع ثمّ رأت یومین آخرین کذلک فی ضمن العشرة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اعتبار التوالی فی الأیّام الثلاثة تدخل اللیلتان المتوسّطتان خاصّة لو کان مبدأ الدم أوّل النهار و اللیالی الثلاث لو کان مبدؤه أوّل اللیل أو عند التلفیق کالمثال المتقدّم</w:t>
      </w:r>
      <w:r>
        <w:rPr>
          <w:rFonts w:eastAsia="IRNazanin" w:cs="IRNazanin"/>
          <w:color w:val="111111"/>
          <w:sz w:val="28"/>
          <w:szCs w:val="28"/>
          <w:rtl w:val="true"/>
          <w:lang w:bidi="fa-IR"/>
        </w:rPr>
        <w:t>.</w:t>
      </w:r>
      <w:bookmarkStart w:id="554" w:name="pg1809_18808"/>
    </w:p>
    <w:p>
      <w:pPr>
        <w:pStyle w:val="Heading6"/>
        <w:numPr>
          <w:ilvl w:val="5"/>
          <w:numId w:val="1"/>
        </w:numPr>
        <w:rPr/>
      </w:pPr>
      <w:bookmarkStart w:id="555" w:name="__RefHeading___Toc2565494_3650668749"/>
      <w:bookmarkStart w:id="556" w:name="_Toc256"/>
      <w:bookmarkEnd w:id="554"/>
      <w:bookmarkEnd w:id="555"/>
      <w:r>
        <w:rPr>
          <w:rtl w:val="true"/>
        </w:rPr>
        <w:t>[ (</w:t>
      </w:r>
      <w:r>
        <w:rPr>
          <w:rtl w:val="true"/>
        </w:rPr>
        <w:t xml:space="preserve">مسألة </w:t>
      </w:r>
      <w:r>
        <w:rPr/>
        <w:t>11</w:t>
      </w:r>
      <w:r>
        <w:rPr>
          <w:rtl w:val="true"/>
        </w:rPr>
        <w:t xml:space="preserve">): </w:t>
      </w:r>
      <w:r>
        <w:rPr>
          <w:rtl w:val="true"/>
        </w:rPr>
        <w:t>الحائض إمّا ذات العادة أو غیرها</w:t>
      </w:r>
      <w:r>
        <w:rPr>
          <w:rtl w:val="true"/>
        </w:rPr>
        <w:t>]</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إمّا ذات العادة أو غیرها، و الثانیة إمّا مبتدأة؛ و هی التی لم تر حیضاً قطّ، و إمّا مضطربة؛ و هی التی تکرّر منها الحیض و لم تستقرّ لها عادة، و إمّا ناسیة؛ و هی التی نسیت 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تصیر المرأة ذات عادة بتکرّر الحیض مرّتین متوالیتین متّفقتین فی الزمان أو العدد أو فیهما، فتصیر بذلک ذات عادة وقتیّة </w:t>
      </w:r>
      <w:r>
        <w:rPr>
          <w:rStyle w:val="FootnoteAnchor"/>
          <w:rtl w:val="true"/>
        </w:rPr>
        <w:footnoteReference w:id="118"/>
      </w:r>
      <w:r>
        <w:rPr>
          <w:rFonts w:ascii="Amiri" w:hAnsi="Amiri" w:eastAsia="Amiri" w:cs="Amiri"/>
          <w:color w:val="111111"/>
          <w:sz w:val="28"/>
          <w:sz w:val="28"/>
          <w:szCs w:val="28"/>
          <w:rtl w:val="true"/>
          <w:lang w:bidi="ar-SA"/>
        </w:rPr>
        <w:t>أو عددیّة أو وقتیّة و عددیّة</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2565496_3650668749"/>
      <w:bookmarkStart w:id="558" w:name="_Toc257"/>
      <w:bookmarkEnd w:id="557"/>
      <w:r>
        <w:rPr>
          <w:rtl w:val="true"/>
        </w:rPr>
        <w:t>[ (</w:t>
      </w:r>
      <w:r>
        <w:rPr>
          <w:rtl w:val="true"/>
        </w:rPr>
        <w:t xml:space="preserve">مسألة </w:t>
      </w:r>
      <w:r>
        <w:rPr/>
        <w:t>12</w:t>
      </w:r>
      <w:r>
        <w:rPr>
          <w:rtl w:val="true"/>
        </w:rPr>
        <w:t xml:space="preserve">): </w:t>
      </w:r>
      <w:r>
        <w:rPr>
          <w:rtl w:val="true"/>
        </w:rPr>
        <w:t>لا إشکال فی أنّه لا تزول العادة برؤیة الدم علیٰ خلافها مرّة</w:t>
      </w:r>
      <w:r>
        <w:rPr>
          <w:rtl w:val="true"/>
        </w:rPr>
        <w:t>]</w:t>
      </w:r>
      <w:bookmarkEnd w:id="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أنّه لا تزول العادة برؤیة الدم علیٰ خلافها مرّة، کما أنّه لا إشکال فی زوالها بطروّ عادة اخریٰ حاصلة من تکرّر الدم مرّتین متماثلتین علیٰ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زوالها بتکرّر رؤیة الدم علیٰ خلافها لا علیٰ نسق واحد بل مختلفاً قولان؛ أقواهما ذلک فیما لو وقع </w:t>
      </w:r>
      <w:r>
        <w:rPr>
          <w:rStyle w:val="FootnoteAnchor"/>
          <w:rtl w:val="true"/>
        </w:rPr>
        <w:footnoteReference w:id="119"/>
      </w:r>
      <w:r>
        <w:rPr>
          <w:rFonts w:ascii="IRNazanin" w:hAnsi="IRNazanin" w:eastAsia="IRNazanin"/>
          <w:color w:val="111111"/>
          <w:sz w:val="28"/>
          <w:sz w:val="28"/>
          <w:szCs w:val="28"/>
          <w:rtl w:val="true"/>
          <w:lang w:bidi="fa-IR"/>
        </w:rPr>
        <w:t>التخلّف مراراً بحیث یصدق فی العرف أنّها لیس لها أیّام معلومة</w:t>
      </w:r>
      <w:r>
        <w:rPr>
          <w:rFonts w:eastAsia="IRNazanin" w:cs="IRNazanin"/>
          <w:color w:val="111111"/>
          <w:sz w:val="28"/>
          <w:szCs w:val="28"/>
          <w:rtl w:val="true"/>
          <w:lang w:bidi="fa-IR"/>
        </w:rPr>
        <w:t>.</w:t>
      </w:r>
    </w:p>
    <w:p>
      <w:pPr>
        <w:pStyle w:val="Heading6"/>
        <w:numPr>
          <w:ilvl w:val="5"/>
          <w:numId w:val="1"/>
        </w:numPr>
        <w:rPr/>
      </w:pPr>
      <w:bookmarkStart w:id="559" w:name="__RefHeading___Toc2565498_3650668749"/>
      <w:bookmarkStart w:id="560" w:name="_Toc258"/>
      <w:bookmarkEnd w:id="559"/>
      <w:r>
        <w:rPr>
          <w:rtl w:val="true"/>
        </w:rPr>
        <w:t>[ (</w:t>
      </w:r>
      <w:r>
        <w:rPr>
          <w:rtl w:val="true"/>
        </w:rPr>
        <w:t xml:space="preserve">مسألة </w:t>
      </w:r>
      <w:r>
        <w:rPr/>
        <w:t>13</w:t>
      </w:r>
      <w:r>
        <w:rPr>
          <w:rtl w:val="true"/>
        </w:rPr>
        <w:t xml:space="preserve">): </w:t>
      </w:r>
      <w:r>
        <w:rPr>
          <w:rtl w:val="true"/>
        </w:rPr>
        <w:t>ذات العادة الوقتیّة سواء کانت عددیّة أیضاً أم لا تتحیّض بمجرّد رؤیة الدم فی العادة</w:t>
      </w:r>
      <w:r>
        <w:rPr>
          <w:rtl w:val="true"/>
        </w:rPr>
        <w:t>]</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العادة الوقتیّة سواء کانت عددیّة أیضاً أم لا تتحیّض بمجرّد رؤیة الدم فی العادة فتترک العبادة سواء کان بصفة الحیض أم لا و کذا إذا رأت قبل العادة أو بعدها بیوم أو یومین أو أزید ما دام یصدق علیه تعجیل الوقت و العادة و تأخّرهما، فإن انکشف علیها بعد ذلک عدم کونه حیضاً لکونه أقلّ من أقلّه تقضی ما ترکته من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غیر ذات العادة المذکورة فتتحیّض أیضاً بمجرّد الرؤیة إذا کان بصفات الحیض، و أمّا مع عدمها فتحتاط بالجمع بین تروک الحائض و أعمال المستحاضة، فإن استمرّ إلیٰ ثلاثة أیّام تجعلها حیضاً و إن زاد علیها إلی العشرة تجعل الزائد أیضاً حیضاً، فتکتفی بوظیفة الحائض و لا تحتاج </w:t>
      </w:r>
      <w:r>
        <w:rPr>
          <w:rStyle w:val="FootnoteAnchor"/>
          <w:rtl w:val="true"/>
        </w:rPr>
        <w:footnoteReference w:id="120"/>
      </w:r>
      <w:r>
        <w:rPr>
          <w:rFonts w:ascii="IRNazanin" w:hAnsi="IRNazanin" w:eastAsia="IRNazanin"/>
          <w:color w:val="111111"/>
          <w:sz w:val="28"/>
          <w:sz w:val="28"/>
          <w:szCs w:val="28"/>
          <w:rtl w:val="true"/>
          <w:lang w:bidi="fa-IR"/>
        </w:rPr>
        <w:t>إلیٰ مراعاة أعمال المستحاضة</w:t>
      </w:r>
      <w:r>
        <w:rPr>
          <w:rFonts w:eastAsia="IRNazanin" w:cs="IRNazanin"/>
          <w:color w:val="111111"/>
          <w:sz w:val="28"/>
          <w:szCs w:val="28"/>
          <w:rtl w:val="true"/>
          <w:lang w:bidi="fa-IR"/>
        </w:rPr>
        <w:t>.</w:t>
      </w:r>
    </w:p>
    <w:p>
      <w:pPr>
        <w:pStyle w:val="Heading6"/>
        <w:numPr>
          <w:ilvl w:val="5"/>
          <w:numId w:val="1"/>
        </w:numPr>
        <w:rPr/>
      </w:pPr>
      <w:bookmarkStart w:id="561" w:name="__RefHeading___Toc2565500_3650668749"/>
      <w:bookmarkStart w:id="562" w:name="_Toc259"/>
      <w:bookmarkEnd w:id="561"/>
      <w:r>
        <w:rPr>
          <w:rtl w:val="true"/>
        </w:rPr>
        <w:t>[ (</w:t>
      </w:r>
      <w:r>
        <w:rPr>
          <w:rtl w:val="true"/>
        </w:rPr>
        <w:t xml:space="preserve">مسألة </w:t>
      </w:r>
      <w:r>
        <w:rPr/>
        <w:t>14</w:t>
      </w:r>
      <w:r>
        <w:rPr>
          <w:rtl w:val="true"/>
        </w:rPr>
        <w:t xml:space="preserve">): </w:t>
      </w:r>
      <w:r>
        <w:rPr>
          <w:rtl w:val="true"/>
        </w:rPr>
        <w:t>ذات العادة الوقتیّة إذا رأت فی العادة و قبلها أو رأت فیها و بعدها</w:t>
      </w:r>
      <w:r>
        <w:rPr>
          <w:rtl w:val="true"/>
        </w:rPr>
        <w:t>]</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العادة الوقتیّة إذا رأت فی العادة و قبلها أو رأت فیها و بعدها أو رأت فیها و فی الطرفین فإن لم یتجاوز المجموع عن العشرة جعلت المجموع حیضاً و إن تجاوز عنها فالحیض خصوص أیّام العادة و الزائد استحاضة</w:t>
      </w:r>
      <w:r>
        <w:rPr>
          <w:rFonts w:eastAsia="IRNazanin" w:cs="IRNazanin"/>
          <w:color w:val="111111"/>
          <w:sz w:val="28"/>
          <w:szCs w:val="28"/>
          <w:rtl w:val="true"/>
          <w:lang w:bidi="fa-IR"/>
        </w:rPr>
        <w:t>.</w:t>
      </w:r>
    </w:p>
    <w:p>
      <w:pPr>
        <w:pStyle w:val="Heading6"/>
        <w:numPr>
          <w:ilvl w:val="5"/>
          <w:numId w:val="1"/>
        </w:numPr>
        <w:rPr/>
      </w:pPr>
      <w:bookmarkStart w:id="563" w:name="__RefHeading___Toc2565502_3650668749"/>
      <w:bookmarkStart w:id="564" w:name="_Toc260"/>
      <w:bookmarkEnd w:id="563"/>
      <w:r>
        <w:rPr>
          <w:rtl w:val="true"/>
        </w:rPr>
        <w:t>[ (</w:t>
      </w:r>
      <w:r>
        <w:rPr>
          <w:rtl w:val="true"/>
        </w:rPr>
        <w:t xml:space="preserve">مسألة </w:t>
      </w:r>
      <w:r>
        <w:rPr/>
        <w:t>15</w:t>
      </w:r>
      <w:r>
        <w:rPr>
          <w:rtl w:val="true"/>
        </w:rPr>
        <w:t xml:space="preserve">): </w:t>
      </w:r>
      <w:r>
        <w:rPr>
          <w:rtl w:val="true"/>
        </w:rPr>
        <w:t>إذا رأت المرأة ثلاثة أیّام متوالیة و انقطع بأقلّ من عشرة</w:t>
      </w:r>
      <w:r>
        <w:rPr>
          <w:rtl w:val="true"/>
        </w:rPr>
        <w:t>]</w:t>
      </w:r>
      <w:bookmarkEnd w:id="56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المرأة ثلاثة أیّام متوالیة و انقطع بأقلّ من عشرة ثمّ رأت ثلاثة أیّام أو أزید فإن کان مجموع الدمین و النقاء المتخلّل فی البین لا یزید علیٰ عشرة کان الطرفان</w:t>
      </w:r>
      <w:bookmarkStart w:id="565" w:name="pg1809_18811"/>
    </w:p>
    <w:p>
      <w:pPr>
        <w:pStyle w:val="BookText"/>
        <w:rPr/>
      </w:pPr>
      <w:bookmarkEnd w:id="565"/>
      <w:r>
        <w:rPr>
          <w:rFonts w:ascii="IRNazanin" w:hAnsi="IRNazanin" w:eastAsia="IRNazanin"/>
          <w:color w:val="111111"/>
          <w:sz w:val="28"/>
          <w:sz w:val="28"/>
          <w:szCs w:val="28"/>
          <w:rtl w:val="true"/>
          <w:lang w:bidi="fa-IR"/>
        </w:rPr>
        <w:t>حیضاً، و یلحق بهما النقاء المتخلّل؛ سواء کان الدمان أو أحدهما بصفات الحیض أم لا، و سواء کانت ذات العادة و صادف الدمان أو أحدهما العادة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تجاوز </w:t>
      </w:r>
      <w:r>
        <w:rPr>
          <w:rStyle w:val="FootnoteAnchor"/>
          <w:rtl w:val="true"/>
        </w:rPr>
        <w:footnoteReference w:id="121"/>
      </w:r>
      <w:r>
        <w:rPr>
          <w:rFonts w:ascii="IRNazanin" w:hAnsi="IRNazanin" w:eastAsia="IRNazanin"/>
          <w:color w:val="111111"/>
          <w:sz w:val="28"/>
          <w:sz w:val="28"/>
          <w:szCs w:val="28"/>
          <w:rtl w:val="true"/>
          <w:lang w:bidi="fa-IR"/>
        </w:rPr>
        <w:t xml:space="preserve">المجموع عن العشرة فإن کانت ذات عادة و کان أحد الدمین فی العادة جعلته خاصّة حیضاً دون الآخر، و کذلک </w:t>
      </w:r>
      <w:r>
        <w:rPr>
          <w:rStyle w:val="FootnoteAnchor"/>
          <w:rtl w:val="true"/>
        </w:rPr>
        <w:footnoteReference w:id="122"/>
      </w:r>
      <w:r>
        <w:rPr>
          <w:rFonts w:ascii="IRNazanin" w:hAnsi="IRNazanin" w:eastAsia="IRNazanin"/>
          <w:color w:val="111111"/>
          <w:sz w:val="28"/>
          <w:sz w:val="28"/>
          <w:szCs w:val="28"/>
          <w:rtl w:val="true"/>
          <w:lang w:bidi="fa-IR"/>
        </w:rPr>
        <w:t xml:space="preserve">إذا وقع بعض </w:t>
      </w:r>
      <w:r>
        <w:rPr>
          <w:rStyle w:val="FootnoteAnchor"/>
          <w:rtl w:val="true"/>
        </w:rPr>
        <w:footnoteReference w:id="123"/>
      </w:r>
      <w:r>
        <w:rPr>
          <w:rFonts w:ascii="IRNazanin" w:hAnsi="IRNazanin" w:eastAsia="IRNazanin"/>
          <w:color w:val="111111"/>
          <w:sz w:val="28"/>
          <w:sz w:val="28"/>
          <w:szCs w:val="28"/>
          <w:rtl w:val="true"/>
          <w:lang w:bidi="fa-IR"/>
        </w:rPr>
        <w:t xml:space="preserve">أحدهما فی العادة دون الآخر تجعل ذلک حیضاً دون الآخر، و إن لم تکن ذات عادة أو لم یقع أحدهما أو بعض أحدهما فی العادة تجعل ما کان بصفة الحیض حیضاً دون الآخر، و إن تساویا فی الصفة فالأحوط لو لم یکن الأقویٰ جعل أوّلهما </w:t>
      </w:r>
      <w:r>
        <w:rPr>
          <w:rStyle w:val="FootnoteAnchor"/>
          <w:rtl w:val="true"/>
        </w:rPr>
        <w:footnoteReference w:id="124"/>
      </w:r>
      <w:r>
        <w:rPr>
          <w:rFonts w:ascii="Amiri" w:hAnsi="Amiri" w:eastAsia="Amiri" w:cs="Amiri"/>
          <w:color w:val="111111"/>
          <w:sz w:val="28"/>
          <w:sz w:val="28"/>
          <w:szCs w:val="28"/>
          <w:rtl w:val="true"/>
          <w:lang w:bidi="ar-SA"/>
        </w:rPr>
        <w:t>حیضاً</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2565504_3650668749"/>
      <w:bookmarkStart w:id="567" w:name="_Toc261"/>
      <w:bookmarkEnd w:id="566"/>
      <w:r>
        <w:rPr>
          <w:rtl w:val="true"/>
        </w:rPr>
        <w:t>[ (</w:t>
      </w:r>
      <w:r>
        <w:rPr>
          <w:rtl w:val="true"/>
        </w:rPr>
        <w:t xml:space="preserve">مسألة </w:t>
      </w:r>
      <w:r>
        <w:rPr/>
        <w:t>16</w:t>
      </w:r>
      <w:r>
        <w:rPr>
          <w:rtl w:val="true"/>
        </w:rPr>
        <w:t xml:space="preserve">): </w:t>
      </w:r>
      <w:r>
        <w:rPr>
          <w:rtl w:val="true"/>
        </w:rPr>
        <w:t>ذات العادة إذا رأت أزید من العادة و لم یتجاوز العشرة فالمجموع حیض</w:t>
      </w:r>
      <w:r>
        <w:rPr>
          <w:rtl w:val="true"/>
        </w:rPr>
        <w:t>]</w:t>
      </w:r>
      <w:bookmarkEnd w:id="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العادة إذا رأت أزید من العادة و لم یتجاوز العشرة فالمجموع حیض</w:t>
      </w:r>
      <w:r>
        <w:rPr>
          <w:rFonts w:eastAsia="IRNazanin" w:cs="IRNazanin"/>
          <w:color w:val="111111"/>
          <w:sz w:val="28"/>
          <w:szCs w:val="28"/>
          <w:rtl w:val="true"/>
          <w:lang w:bidi="fa-IR"/>
        </w:rPr>
        <w:t>.</w:t>
      </w:r>
    </w:p>
    <w:p>
      <w:pPr>
        <w:pStyle w:val="Heading6"/>
        <w:numPr>
          <w:ilvl w:val="5"/>
          <w:numId w:val="1"/>
        </w:numPr>
        <w:rPr/>
      </w:pPr>
      <w:bookmarkStart w:id="568" w:name="__RefHeading___Toc2565506_3650668749"/>
      <w:bookmarkStart w:id="569" w:name="_Toc262"/>
      <w:bookmarkEnd w:id="568"/>
      <w:r>
        <w:rPr>
          <w:rtl w:val="true"/>
        </w:rPr>
        <w:t>[ (</w:t>
      </w:r>
      <w:r>
        <w:rPr>
          <w:rtl w:val="true"/>
        </w:rPr>
        <w:t xml:space="preserve">مسألة </w:t>
      </w:r>
      <w:r>
        <w:rPr/>
        <w:t>17</w:t>
      </w:r>
      <w:r>
        <w:rPr>
          <w:rtl w:val="true"/>
        </w:rPr>
        <w:t xml:space="preserve">): </w:t>
      </w:r>
      <w:r>
        <w:rPr>
          <w:rtl w:val="true"/>
        </w:rPr>
        <w:t>إذا کانت عادتها فی کلّ شهر مرّة فرأت فی شهر مرّتین مع فصل</w:t>
      </w:r>
      <w:r>
        <w:rPr>
          <w:rtl w:val="true"/>
        </w:rPr>
        <w:t>]</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عادتها فی کلّ شهر مرّة فرأت فی شهر مرّتین مع فصل أقلّ الطهر فی البین، فإن کان أحدهما فی العادة تجعله حیضاً و کذلک الآخر إن کان بصفة الحیض، و أمّا إن کان بصفة الاستحاضة تحتاط بالجمع بین تروک الحائض و أعمال المستحاضة، و إن کانا معاً فی غیر وقت العادة تجعل کلّ واحد منهما حیضاً؛ سواء کانا معاً واجدین لصفة الحیض أو فاقدین لها أو مختلفین، و إن کان الاحتیاط فی الدم الثانی فی الصورة الثانیة و فی الفاقد منهما فی الثالثة لا ینبغی ترکه</w:t>
      </w:r>
      <w:r>
        <w:rPr>
          <w:rFonts w:eastAsia="IRNazanin" w:cs="IRNazanin"/>
          <w:color w:val="111111"/>
          <w:sz w:val="28"/>
          <w:szCs w:val="28"/>
          <w:rtl w:val="true"/>
          <w:lang w:bidi="fa-IR"/>
        </w:rPr>
        <w:t>.</w:t>
      </w:r>
    </w:p>
    <w:p>
      <w:pPr>
        <w:pStyle w:val="Heading6"/>
        <w:numPr>
          <w:ilvl w:val="5"/>
          <w:numId w:val="1"/>
        </w:numPr>
        <w:rPr/>
      </w:pPr>
      <w:bookmarkStart w:id="570" w:name="__RefHeading___Toc2565508_3650668749"/>
      <w:bookmarkStart w:id="571" w:name="_Toc263"/>
      <w:bookmarkEnd w:id="570"/>
      <w:r>
        <w:rPr>
          <w:rtl w:val="true"/>
        </w:rPr>
        <w:t>[ (</w:t>
      </w:r>
      <w:r>
        <w:rPr>
          <w:rtl w:val="true"/>
        </w:rPr>
        <w:t xml:space="preserve">مسألة </w:t>
      </w:r>
      <w:r>
        <w:rPr/>
        <w:t>18</w:t>
      </w:r>
      <w:r>
        <w:rPr>
          <w:rtl w:val="true"/>
        </w:rPr>
        <w:t xml:space="preserve">): </w:t>
      </w:r>
      <w:r>
        <w:rPr>
          <w:rtl w:val="true"/>
        </w:rPr>
        <w:t>المبتدأة و المضطربة و من کانت عادتها عشرة إذا انقطع عنهنّ ظهور الدم قبل العشرة</w:t>
      </w:r>
      <w:r>
        <w:rPr>
          <w:rtl w:val="true"/>
        </w:rPr>
        <w:t>]</w:t>
      </w:r>
      <w:bookmarkEnd w:id="57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المبتدأة و المضطربة و من کانت عادتها عشرة إذا انقطع عنهنّ ظهور الدم قبل العشرة مع احتمال بقائه فی الباطن یجب علیهنّ الاستبراء بإدخال قطنة و نحوها</w:t>
      </w:r>
      <w:bookmarkStart w:id="572" w:name="pg1809_18813"/>
    </w:p>
    <w:p>
      <w:pPr>
        <w:pStyle w:val="BookText"/>
        <w:rPr/>
      </w:pPr>
      <w:bookmarkEnd w:id="572"/>
      <w:r>
        <w:rPr>
          <w:rFonts w:ascii="IRNazanin" w:hAnsi="IRNazanin" w:eastAsia="IRNazanin"/>
          <w:color w:val="111111"/>
          <w:sz w:val="28"/>
          <w:sz w:val="28"/>
          <w:szCs w:val="28"/>
          <w:rtl w:val="true"/>
          <w:lang w:bidi="fa-IR"/>
        </w:rPr>
        <w:t>و الصبر هنیئة ثمّ إخراجها، فإن خرجت نقیّة اغتسلن و صلّین، و إن خرجت متلطّخة و لو بالصفرة صبرن حتّی تنقیٰ أو تمضی عشرة أیّام، فإن لم یتجاوز عن العشرة کان الکلّ حیضاً، و إن تجاوز عنها فسیأتی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ذات العادة التی کانت عادتها أقلّ من عشرة فإن انقطع عنها ظهور الدم قبل العادة استبرأت فإن نقیت اغتسلت و صلّت، و إلّا صبرت إلیٰ إکمال العادة، فإن بقی الدم حتّی کملت العادة و انقطع علیها بالمرّة اغتسلت و صلّت، و کذلک لو انقطع ظهور الدم علی العادة فاستبرأت فرأتها نقیّة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لم ینقطع علی العادة و تجاوز عنها استظهرت بترک العبادة إلی العشرة وجوباً إذا کان </w:t>
      </w:r>
      <w:r>
        <w:rPr>
          <w:rStyle w:val="FootnoteAnchor"/>
          <w:rtl w:val="true"/>
        </w:rPr>
        <w:footnoteReference w:id="125"/>
      </w:r>
      <w:r>
        <w:rPr>
          <w:rFonts w:ascii="IRNazanin" w:hAnsi="IRNazanin" w:eastAsia="IRNazanin"/>
          <w:color w:val="111111"/>
          <w:sz w:val="28"/>
          <w:sz w:val="28"/>
          <w:szCs w:val="28"/>
          <w:rtl w:val="true"/>
          <w:lang w:bidi="fa-IR"/>
        </w:rPr>
        <w:t>بصفات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فاقداً لها استظهرت أیضاً إلی العشرة وجوباً فی یوم واحد و استحباباً فی الزائد، و إن کان الأحوط فی الزائد الجمع بین تروک الحائض و أعمال المستحاضة، و حینئذٍ إذا دام الدم علیها و لم یتجاوز عن العشرة کان الکلّ حیضاً، و إن تجاوز عنها فسیأتی حکمه</w:t>
      </w:r>
      <w:r>
        <w:rPr>
          <w:rFonts w:eastAsia="IRNazanin" w:cs="IRNazanin"/>
          <w:color w:val="111111"/>
          <w:sz w:val="28"/>
          <w:szCs w:val="28"/>
          <w:rtl w:val="true"/>
          <w:lang w:bidi="fa-IR"/>
        </w:rPr>
        <w:t>.</w:t>
      </w:r>
    </w:p>
    <w:p>
      <w:pPr>
        <w:pStyle w:val="Heading6"/>
        <w:numPr>
          <w:ilvl w:val="5"/>
          <w:numId w:val="1"/>
        </w:numPr>
        <w:rPr/>
      </w:pPr>
      <w:bookmarkStart w:id="573" w:name="__RefHeading___Toc2565510_3650668749"/>
      <w:bookmarkStart w:id="574" w:name="_Toc264"/>
      <w:bookmarkEnd w:id="573"/>
      <w:r>
        <w:rPr>
          <w:rtl w:val="true"/>
        </w:rPr>
        <w:t>[ (</w:t>
      </w:r>
      <w:r>
        <w:rPr>
          <w:rtl w:val="true"/>
        </w:rPr>
        <w:t xml:space="preserve">مسألة </w:t>
      </w:r>
      <w:r>
        <w:rPr/>
        <w:t>19</w:t>
      </w:r>
      <w:r>
        <w:rPr>
          <w:rtl w:val="true"/>
        </w:rPr>
        <w:t xml:space="preserve">): </w:t>
      </w:r>
      <w:r>
        <w:rPr>
          <w:rtl w:val="true"/>
        </w:rPr>
        <w:t>إذا تجاوز الدم عن العشرة قلیلًا کان أو کثیراً فقد اختلط حیضها بطهرها</w:t>
      </w:r>
      <w:r>
        <w:rPr>
          <w:rtl w:val="true"/>
        </w:rPr>
        <w:t>]</w:t>
      </w:r>
      <w:bookmarkEnd w:id="57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تجاوز الدم عن العشرة قلیلًا کان أو کثیراً فقد اختلط حیضها بطهرها، فإن کانت لها عادة معلومة من حیث الزمان و العدد تجعلها حیضاً و إن لم یکن بصفاته، و البقیّة استحاضة و إن کان بصفاته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تکن لها عادة معلومة لا عدداً و لا وقتاً بأن کانت مبتدأة أو مضطربة وقتاً و عدداً أو ناسیة کذلک، فإن اختلف لون الدم فبعضه أسود أو أحمر و بعضه أصفر ترجع إلی التمیّز فتجعل ما بصفة الحیض حیضاً و غیره استحاضة؛ بشرط أن لا یکون ما بصفة الحیض أقلّ من ثلاثة و لا أزید من عشرة، و أن لا یعارضه دم آخر واجد لصفة الحیض مفصول بینه و بینه بالفاقد الذی یکون أقلّ من عشرة، کما إذا رأت خمسة أیّام دماً أسود ثمّ خمسة أیّام أصفر ثمّ خمسة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الدم علیٰ لون واحد أو لم یجتمع الشروط المذکورة تکون فاقدة التمیّز </w:t>
      </w:r>
      <w:r>
        <w:rPr>
          <w:rStyle w:val="FootnoteAnchor"/>
          <w:rtl w:val="true"/>
        </w:rPr>
        <w:footnoteReference w:id="126"/>
      </w:r>
      <w:r>
        <w:rPr>
          <w:rFonts w:ascii="IRNazanin" w:hAnsi="IRNazanin" w:eastAsia="IRNazanin"/>
          <w:color w:val="111111"/>
          <w:sz w:val="28"/>
          <w:sz w:val="28"/>
          <w:szCs w:val="28"/>
          <w:rtl w:val="true"/>
          <w:lang w:bidi="fa-IR"/>
        </w:rPr>
        <w:t>، و حینئذٍ فالأحوط</w:t>
      </w:r>
      <w:bookmarkStart w:id="575" w:name="pg1809_18814"/>
    </w:p>
    <w:p>
      <w:pPr>
        <w:pStyle w:val="BookText"/>
        <w:rPr/>
      </w:pPr>
      <w:bookmarkEnd w:id="575"/>
      <w:r>
        <w:rPr>
          <w:rFonts w:ascii="IRNazanin" w:hAnsi="IRNazanin" w:eastAsia="IRNazanin"/>
          <w:color w:val="111111"/>
          <w:sz w:val="28"/>
          <w:sz w:val="28"/>
          <w:szCs w:val="28"/>
          <w:rtl w:val="true"/>
          <w:lang w:bidi="fa-IR"/>
        </w:rPr>
        <w:t>لو لم یکن الأقویٰ أن تجعل سبعة من کلّ شهر حیضاً و البقیّة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المشهور </w:t>
      </w:r>
      <w:r>
        <w:rPr>
          <w:rStyle w:val="FootnoteAnchor"/>
          <w:rtl w:val="true"/>
        </w:rPr>
        <w:footnoteReference w:id="127"/>
      </w:r>
      <w:r>
        <w:rPr>
          <w:rFonts w:ascii="IRNazanin" w:hAnsi="IRNazanin" w:eastAsia="IRNazanin"/>
          <w:color w:val="111111"/>
          <w:sz w:val="28"/>
          <w:sz w:val="28"/>
          <w:szCs w:val="28"/>
          <w:rtl w:val="true"/>
          <w:lang w:bidi="fa-IR"/>
        </w:rPr>
        <w:t>علیٰ أنّ المبتدأة الفاقدة التمیّز ترجع أوّلًا إلیٰ عادة أقاربها من أُمّها و أُختها و خالتها و عمّتها و غیرهنّ فتأخذ بها مع اتّفاقهنّ و العلم بحالهنّ، و مع عدمهما ترجع إلی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 بها الأکثر من لم تستقرّ لها عادة أیضاً، و عندی فی ذلک إشکال خصوصاً فی الثانیة، و الأحوط فیما إذا کانت عادتهنّ أقلّ من سبعة أیّام أو أکثر أن تجمع فی مقدار التفاوت بین وظیفتی الحائض و المستحاضة</w:t>
      </w:r>
      <w:r>
        <w:rPr>
          <w:rFonts w:eastAsia="IRNazanin" w:cs="IRNazanin"/>
          <w:color w:val="111111"/>
          <w:sz w:val="28"/>
          <w:szCs w:val="28"/>
          <w:rtl w:val="true"/>
          <w:lang w:bidi="fa-IR"/>
        </w:rPr>
        <w:t>.</w:t>
      </w:r>
    </w:p>
    <w:p>
      <w:pPr>
        <w:pStyle w:val="Heading6"/>
        <w:numPr>
          <w:ilvl w:val="5"/>
          <w:numId w:val="1"/>
        </w:numPr>
        <w:rPr/>
      </w:pPr>
      <w:bookmarkStart w:id="576" w:name="__RefHeading___Toc2565512_3650668749"/>
      <w:bookmarkStart w:id="577" w:name="_Toc265"/>
      <w:bookmarkEnd w:id="576"/>
      <w:r>
        <w:rPr>
          <w:rtl w:val="true"/>
        </w:rPr>
        <w:t>[ (</w:t>
      </w:r>
      <w:r>
        <w:rPr>
          <w:rtl w:val="true"/>
        </w:rPr>
        <w:t xml:space="preserve">مسألة </w:t>
      </w:r>
      <w:r>
        <w:rPr/>
        <w:t>20</w:t>
      </w:r>
      <w:r>
        <w:rPr>
          <w:rtl w:val="true"/>
        </w:rPr>
        <w:t xml:space="preserve">): </w:t>
      </w:r>
      <w:r>
        <w:rPr>
          <w:rtl w:val="true"/>
        </w:rPr>
        <w:t>الأحوط لو لم یکن الأقویٰ أن تجعل فاقدة التمیّز سبعة التحیّض فی أوّل رؤیة الدم</w:t>
      </w:r>
      <w:r>
        <w:rPr>
          <w:rtl w:val="true"/>
        </w:rPr>
        <w:t>]</w:t>
      </w:r>
      <w:bookmarkEnd w:id="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لو لم یکن الأقویٰ أن تجعل فاقدة التمیّز </w:t>
      </w:r>
      <w:r>
        <w:rPr>
          <w:rStyle w:val="FootnoteAnchor"/>
          <w:rtl w:val="true"/>
        </w:rPr>
        <w:footnoteReference w:id="128"/>
      </w:r>
      <w:r>
        <w:rPr>
          <w:rFonts w:ascii="IRNazanin" w:hAnsi="IRNazanin" w:eastAsia="IRNazanin"/>
          <w:color w:val="111111"/>
          <w:sz w:val="28"/>
          <w:sz w:val="28"/>
          <w:szCs w:val="28"/>
          <w:rtl w:val="true"/>
          <w:lang w:bidi="fa-IR"/>
        </w:rPr>
        <w:t>سبعة التحیّض فی أوّل رؤیة الدم، و إن استمرّ إلیٰ أزید من شهر واحد یجب علیها الموافقة بین الشهور، فإذا کان ابتداء الدم فی الشهر الأوّل من أوّله جعلتها فی الشهور التالیة أیضاً فی أوّلها، و إن کان من وسطه جعلتها فیها أیضاً فی وسطها و هکذا</w:t>
      </w:r>
      <w:r>
        <w:rPr>
          <w:rFonts w:eastAsia="IRNazanin" w:cs="IRNazanin"/>
          <w:color w:val="111111"/>
          <w:sz w:val="28"/>
          <w:szCs w:val="28"/>
          <w:rtl w:val="true"/>
          <w:lang w:bidi="fa-IR"/>
        </w:rPr>
        <w:t>.</w:t>
      </w:r>
    </w:p>
    <w:p>
      <w:pPr>
        <w:pStyle w:val="Heading6"/>
        <w:numPr>
          <w:ilvl w:val="5"/>
          <w:numId w:val="1"/>
        </w:numPr>
        <w:rPr/>
      </w:pPr>
      <w:bookmarkStart w:id="578" w:name="__RefHeading___Toc2565514_3650668749"/>
      <w:bookmarkStart w:id="579" w:name="_Toc266"/>
      <w:bookmarkEnd w:id="578"/>
      <w:r>
        <w:rPr>
          <w:rtl w:val="true"/>
        </w:rPr>
        <w:t>[ (</w:t>
      </w:r>
      <w:r>
        <w:rPr>
          <w:rtl w:val="true"/>
        </w:rPr>
        <w:t xml:space="preserve">مسألة </w:t>
      </w:r>
      <w:r>
        <w:rPr/>
        <w:t>21</w:t>
      </w:r>
      <w:r>
        <w:rPr>
          <w:rtl w:val="true"/>
        </w:rPr>
        <w:t xml:space="preserve">): </w:t>
      </w:r>
      <w:r>
        <w:rPr>
          <w:rtl w:val="true"/>
        </w:rPr>
        <w:t>ذات العادة الوقتیّة فقط إذا تجاوز دمها العشرة ترجع فی الوقت إلیٰ عادتها</w:t>
      </w:r>
      <w:r>
        <w:rPr>
          <w:rtl w:val="true"/>
        </w:rPr>
        <w:t>]</w:t>
      </w:r>
      <w:bookmarkEnd w:id="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العادة الوقتیّة فقط إذا تجاوز دمها العشرة ترجع فی الوقت إلیٰ عادتها، و أمّا فی العدد فإن کان لها تمیّز یمکن رعایته مع الوقت رجعت إلیه، و إلّا تحیّضت </w:t>
      </w:r>
      <w:r>
        <w:rPr>
          <w:rStyle w:val="FootnoteAnchor"/>
          <w:rtl w:val="true"/>
        </w:rPr>
        <w:footnoteReference w:id="129"/>
      </w:r>
      <w:r>
        <w:rPr>
          <w:rFonts w:ascii="IRNazanin" w:hAnsi="IRNazanin" w:eastAsia="IRNazanin"/>
          <w:color w:val="111111"/>
          <w:sz w:val="28"/>
          <w:sz w:val="28"/>
          <w:szCs w:val="28"/>
          <w:rtl w:val="true"/>
          <w:lang w:bidi="fa-IR"/>
        </w:rPr>
        <w:t>سبعة أیّام و جعلتها فی وقت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ذات العادة العددیّة فقط ترجع فی العدد إلیٰ عادتها، و أمّا بحسب الوقت فإن کان لها تمیّز یوافق العدد رجعت إلیه، و إن کان مخالفاً له ترجع إلیه أیضاً، لکن تزید مع نقصانه عن العدد و تنقص مع زیادته علیه، و مع عدم التمیّز أصلًا تجعل العدد فی أوّل الدم کما تقدّم</w:t>
      </w:r>
      <w:r>
        <w:rPr>
          <w:rFonts w:eastAsia="IRNazanin" w:cs="IRNazanin"/>
          <w:color w:val="111111"/>
          <w:sz w:val="28"/>
          <w:szCs w:val="28"/>
          <w:rtl w:val="true"/>
          <w:lang w:bidi="fa-IR"/>
        </w:rPr>
        <w:t>.</w:t>
      </w:r>
    </w:p>
    <w:p>
      <w:pPr>
        <w:pStyle w:val="Heading6"/>
        <w:numPr>
          <w:ilvl w:val="5"/>
          <w:numId w:val="1"/>
        </w:numPr>
        <w:rPr/>
      </w:pPr>
      <w:bookmarkStart w:id="580" w:name="__RefHeading___Toc2565516_3650668749"/>
      <w:bookmarkStart w:id="581" w:name="_Toc267"/>
      <w:bookmarkEnd w:id="580"/>
      <w:r>
        <w:rPr>
          <w:rtl w:val="true"/>
        </w:rPr>
        <w:t>[</w:t>
      </w:r>
      <w:r>
        <w:rPr>
          <w:rtl w:val="true"/>
        </w:rPr>
        <w:t>القول فی أحکام الحیض</w:t>
      </w:r>
      <w:r>
        <w:rPr>
          <w:rtl w:val="true"/>
        </w:rPr>
        <w:t>]</w:t>
      </w:r>
      <w:bookmarkEnd w:id="581"/>
    </w:p>
    <w:p>
      <w:pPr>
        <w:pStyle w:val="Heading6"/>
        <w:numPr>
          <w:ilvl w:val="5"/>
          <w:numId w:val="1"/>
        </w:numPr>
        <w:rPr/>
      </w:pPr>
      <w:bookmarkStart w:id="582" w:name="__RefHeading___Toc2565518_3650668749"/>
      <w:bookmarkStart w:id="583" w:name="_Toc268"/>
      <w:bookmarkEnd w:id="582"/>
      <w:r>
        <w:rPr>
          <w:rtl w:val="true"/>
        </w:rPr>
        <w:t>اشارة</w:t>
      </w:r>
      <w:bookmarkEnd w:id="583"/>
    </w:p>
    <w:p>
      <w:pPr>
        <w:pStyle w:val="BookText"/>
        <w:rPr/>
      </w:pPr>
      <w:r>
        <w:rPr>
          <w:rFonts w:ascii="IRNazanin" w:hAnsi="IRNazanin" w:eastAsia="IRNazanin"/>
          <w:color w:val="111111"/>
          <w:sz w:val="28"/>
          <w:sz w:val="28"/>
          <w:szCs w:val="28"/>
          <w:rtl w:val="true"/>
          <w:lang w:bidi="fa-IR"/>
        </w:rPr>
        <w:t>القول فی أحکام الحیض و هی أُمور</w:t>
      </w:r>
      <w:r>
        <w:rPr>
          <w:rFonts w:eastAsia="IRNazanin" w:cs="IRNazanin"/>
          <w:color w:val="111111"/>
          <w:sz w:val="28"/>
          <w:szCs w:val="28"/>
          <w:rtl w:val="true"/>
          <w:lang w:bidi="fa-IR"/>
        </w:rPr>
        <w:t>:</w:t>
      </w:r>
    </w:p>
    <w:p>
      <w:pPr>
        <w:pStyle w:val="Heading6"/>
        <w:numPr>
          <w:ilvl w:val="5"/>
          <w:numId w:val="1"/>
        </w:numPr>
        <w:rPr/>
      </w:pPr>
      <w:bookmarkStart w:id="584" w:name="__RefHeading___Toc2565520_3650668749"/>
      <w:bookmarkStart w:id="585" w:name="_Toc269"/>
      <w:bookmarkEnd w:id="584"/>
      <w:r>
        <w:rPr>
          <w:rtl w:val="true"/>
        </w:rPr>
        <w:t>[</w:t>
      </w:r>
      <w:r>
        <w:rPr>
          <w:rtl w:val="true"/>
        </w:rPr>
        <w:t>منها</w:t>
      </w:r>
      <w:r>
        <w:rPr>
          <w:rtl w:val="true"/>
        </w:rPr>
        <w:t xml:space="preserve">: </w:t>
      </w:r>
      <w:r>
        <w:rPr>
          <w:rtl w:val="true"/>
        </w:rPr>
        <w:t>عدم جواز الصلاة و الصیام و الطواف و الاعتکاف لها</w:t>
      </w:r>
      <w:r>
        <w:rPr>
          <w:rtl w:val="true"/>
        </w:rPr>
        <w:t>]</w:t>
      </w:r>
      <w:bookmarkEnd w:id="585"/>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و الصیام و الطواف و الاعتکاف لها</w:t>
      </w:r>
      <w:r>
        <w:rPr>
          <w:rFonts w:eastAsia="IRNazanin" w:cs="IRNazanin"/>
          <w:color w:val="111111"/>
          <w:sz w:val="28"/>
          <w:szCs w:val="28"/>
          <w:rtl w:val="true"/>
          <w:lang w:bidi="fa-IR"/>
        </w:rPr>
        <w:t>.</w:t>
      </w:r>
    </w:p>
    <w:p>
      <w:pPr>
        <w:pStyle w:val="Heading6"/>
        <w:numPr>
          <w:ilvl w:val="5"/>
          <w:numId w:val="1"/>
        </w:numPr>
        <w:rPr/>
      </w:pPr>
      <w:bookmarkStart w:id="586" w:name="__RefHeading___Toc2565522_3650668749"/>
      <w:bookmarkStart w:id="587" w:name="_Toc270"/>
      <w:bookmarkEnd w:id="586"/>
      <w:r>
        <w:rPr>
          <w:rtl w:val="true"/>
        </w:rPr>
        <w:t>[</w:t>
      </w:r>
      <w:r>
        <w:rPr>
          <w:rtl w:val="true"/>
        </w:rPr>
        <w:t>و منها</w:t>
      </w:r>
      <w:r>
        <w:rPr>
          <w:rtl w:val="true"/>
        </w:rPr>
        <w:t xml:space="preserve">: </w:t>
      </w:r>
      <w:r>
        <w:rPr>
          <w:rtl w:val="true"/>
        </w:rPr>
        <w:t>حرمة ما یحرم علیٰ مطلق المحدث علیها</w:t>
      </w:r>
      <w:r>
        <w:rPr>
          <w:rtl w:val="true"/>
        </w:rPr>
        <w:t>]</w:t>
      </w:r>
      <w:bookmarkEnd w:id="58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ما یحرم علیٰ مطلق المحدث علیها، و هی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اسم اللّٰه تعالیٰ</w:t>
      </w:r>
      <w:bookmarkStart w:id="588" w:name="pg1809_18817"/>
    </w:p>
    <w:p>
      <w:pPr>
        <w:pStyle w:val="BookText"/>
        <w:rPr/>
      </w:pPr>
      <w:bookmarkEnd w:id="588"/>
      <w:r>
        <w:rPr>
          <w:rFonts w:ascii="IRNazanin" w:hAnsi="IRNazanin" w:eastAsia="IRNazanin"/>
          <w:color w:val="111111"/>
          <w:sz w:val="28"/>
          <w:sz w:val="28"/>
          <w:szCs w:val="28"/>
          <w:rtl w:val="true"/>
          <w:lang w:bidi="fa-IR"/>
        </w:rPr>
        <w:t xml:space="preserve">و کذا مسّ أسماء الأنبیاء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 و مسّ کتابة القرآن علی التفصیل المتقدّم فی الوضوء</w:t>
      </w:r>
      <w:r>
        <w:rPr>
          <w:rFonts w:eastAsia="IRNazanin" w:cs="IRNazanin"/>
          <w:color w:val="111111"/>
          <w:sz w:val="28"/>
          <w:szCs w:val="28"/>
          <w:rtl w:val="true"/>
          <w:lang w:bidi="fa-IR"/>
        </w:rPr>
        <w:t>.</w:t>
      </w:r>
    </w:p>
    <w:p>
      <w:pPr>
        <w:pStyle w:val="Heading6"/>
        <w:numPr>
          <w:ilvl w:val="5"/>
          <w:numId w:val="1"/>
        </w:numPr>
        <w:rPr/>
      </w:pPr>
      <w:bookmarkStart w:id="589" w:name="__RefHeading___Toc2565524_3650668749"/>
      <w:bookmarkStart w:id="590" w:name="_Toc271"/>
      <w:bookmarkEnd w:id="589"/>
      <w:r>
        <w:rPr>
          <w:rtl w:val="true"/>
        </w:rPr>
        <w:t>[</w:t>
      </w:r>
      <w:r>
        <w:rPr>
          <w:rtl w:val="true"/>
        </w:rPr>
        <w:t>و منها</w:t>
      </w:r>
      <w:r>
        <w:rPr>
          <w:rtl w:val="true"/>
        </w:rPr>
        <w:t xml:space="preserve">: </w:t>
      </w:r>
      <w:r>
        <w:rPr>
          <w:rtl w:val="true"/>
        </w:rPr>
        <w:t>حرمة ما یحرم علی الجنب علیها</w:t>
      </w:r>
      <w:r>
        <w:rPr>
          <w:rtl w:val="true"/>
        </w:rPr>
        <w:t>]</w:t>
      </w:r>
      <w:bookmarkEnd w:id="59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ما یحرم علی الجنب علیها، و هی أیضاً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السور العزائم أو بعضها و دخول المسجدین و اللبث فی غیرهما و وضع شی‌ء فی المساجد علی التفصیل المتقدّم فی الجنابة، فإنّ الحائض کالجنب فی جمیع هذه الأحکام</w:t>
      </w:r>
      <w:r>
        <w:rPr>
          <w:rFonts w:eastAsia="IRNazanin" w:cs="IRNazanin"/>
          <w:color w:val="111111"/>
          <w:sz w:val="28"/>
          <w:szCs w:val="28"/>
          <w:rtl w:val="true"/>
          <w:lang w:bidi="fa-IR"/>
        </w:rPr>
        <w:t>.</w:t>
      </w:r>
    </w:p>
    <w:p>
      <w:pPr>
        <w:pStyle w:val="Heading6"/>
        <w:numPr>
          <w:ilvl w:val="5"/>
          <w:numId w:val="1"/>
        </w:numPr>
        <w:rPr/>
      </w:pPr>
      <w:bookmarkStart w:id="591" w:name="__RefHeading___Toc2565526_3650668749"/>
      <w:bookmarkStart w:id="592" w:name="_Toc272"/>
      <w:bookmarkEnd w:id="591"/>
      <w:r>
        <w:rPr>
          <w:rtl w:val="true"/>
        </w:rPr>
        <w:t>[</w:t>
      </w:r>
      <w:r>
        <w:rPr>
          <w:rtl w:val="true"/>
        </w:rPr>
        <w:t>و منها</w:t>
      </w:r>
      <w:r>
        <w:rPr>
          <w:rtl w:val="true"/>
        </w:rPr>
        <w:t xml:space="preserve">: </w:t>
      </w:r>
      <w:r>
        <w:rPr>
          <w:rtl w:val="true"/>
        </w:rPr>
        <w:t>حرمة الوطء بها علی الرجل و علیها</w:t>
      </w:r>
      <w:r>
        <w:rPr>
          <w:rtl w:val="true"/>
        </w:rPr>
        <w:t>]</w:t>
      </w:r>
      <w:bookmarkEnd w:id="592"/>
    </w:p>
    <w:p>
      <w:pPr>
        <w:pStyle w:val="Heading6"/>
        <w:numPr>
          <w:ilvl w:val="5"/>
          <w:numId w:val="1"/>
        </w:numPr>
        <w:rPr/>
      </w:pPr>
      <w:bookmarkStart w:id="593" w:name="__RefHeading___Toc2565528_3650668749"/>
      <w:bookmarkStart w:id="594" w:name="_Toc273"/>
      <w:bookmarkEnd w:id="593"/>
      <w:r>
        <w:rPr>
          <w:rtl w:val="true"/>
        </w:rPr>
        <w:t>اشارة</w:t>
      </w:r>
      <w:bookmarkEnd w:id="59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الوطء بها علی الرجل و علیها، و یجوز الاستمتاع بها بغیر الوطء؛ من التقبیل و التفخیذ و نحوهما و إن کره الاستمتاع بها بما بین السرّة و الرکبة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الوطء فی دبرها فالأحوط اجتنابه </w:t>
      </w:r>
      <w:r>
        <w:rPr>
          <w:rStyle w:val="FootnoteAnchor"/>
          <w:rtl w:val="true"/>
        </w:rPr>
        <w:footnoteReference w:id="130"/>
      </w:r>
      <w:r>
        <w:rPr>
          <w:rFonts w:ascii="IRNazanin" w:hAnsi="IRNazanin" w:eastAsia="IRNazanin"/>
          <w:color w:val="111111"/>
          <w:sz w:val="28"/>
          <w:sz w:val="28"/>
          <w:szCs w:val="28"/>
          <w:rtl w:val="true"/>
          <w:lang w:bidi="fa-IR"/>
        </w:rPr>
        <w:t>، و إنّما یحرم مع العلم بحیضها علماً وجدانیاً أو بالأمارات الشرعیّة کالعادة و التمیّز و نحوهما، و لو جهل بحیضها و علم به فی حال المقاربة یجب المبادرة بالإخراج و کذا إذا لم تکن حائضاً فحاضت فی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أخبرت بالحیض أو ارتفاعه یسمع قولها فیحرم الوطء عند إخبارها به و یجوز عند إخبارها بارتفاعه</w:t>
      </w:r>
      <w:r>
        <w:rPr>
          <w:rFonts w:eastAsia="IRNazanin" w:cs="IRNazanin"/>
          <w:color w:val="111111"/>
          <w:sz w:val="28"/>
          <w:szCs w:val="28"/>
          <w:rtl w:val="true"/>
          <w:lang w:bidi="fa-IR"/>
        </w:rPr>
        <w:t>.</w:t>
      </w:r>
    </w:p>
    <w:p>
      <w:pPr>
        <w:pStyle w:val="Heading6"/>
        <w:numPr>
          <w:ilvl w:val="5"/>
          <w:numId w:val="1"/>
        </w:numPr>
        <w:rPr/>
      </w:pPr>
      <w:bookmarkStart w:id="595" w:name="__RefHeading___Toc2565530_3650668749"/>
      <w:bookmarkStart w:id="596" w:name="_Toc274"/>
      <w:bookmarkEnd w:id="595"/>
      <w:r>
        <w:rPr>
          <w:rtl w:val="true"/>
        </w:rPr>
        <w:t>[ (</w:t>
      </w:r>
      <w:r>
        <w:rPr>
          <w:rtl w:val="true"/>
        </w:rPr>
        <w:t xml:space="preserve">مسألة </w:t>
      </w:r>
      <w:r>
        <w:rPr/>
        <w:t>1</w:t>
      </w:r>
      <w:r>
        <w:rPr>
          <w:rtl w:val="true"/>
        </w:rPr>
        <w:t xml:space="preserve">): </w:t>
      </w:r>
      <w:r>
        <w:rPr>
          <w:rtl w:val="true"/>
        </w:rPr>
        <w:t>لا فرق فی حرمة وطء الحائض بین الزوجة الدائمة و المنقطعة</w:t>
      </w:r>
      <w:r>
        <w:rPr>
          <w:rtl w:val="true"/>
        </w:rPr>
        <w:t>]</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حرمة وطء الحائض بین الزوجة الدائمة و المنقطعة و الحرّة و الأمة</w:t>
      </w:r>
      <w:r>
        <w:rPr>
          <w:rFonts w:eastAsia="IRNazanin" w:cs="IRNazanin"/>
          <w:color w:val="111111"/>
          <w:sz w:val="28"/>
          <w:szCs w:val="28"/>
          <w:rtl w:val="true"/>
          <w:lang w:bidi="fa-IR"/>
        </w:rPr>
        <w:t>.</w:t>
      </w:r>
    </w:p>
    <w:p>
      <w:pPr>
        <w:pStyle w:val="Heading6"/>
        <w:numPr>
          <w:ilvl w:val="5"/>
          <w:numId w:val="1"/>
        </w:numPr>
        <w:rPr/>
      </w:pPr>
      <w:bookmarkStart w:id="597" w:name="__RefHeading___Toc2565532_3650668749"/>
      <w:bookmarkStart w:id="598" w:name="_Toc275"/>
      <w:bookmarkEnd w:id="597"/>
      <w:r>
        <w:rPr>
          <w:rtl w:val="true"/>
        </w:rPr>
        <w:t>[ (</w:t>
      </w:r>
      <w:r>
        <w:rPr>
          <w:rtl w:val="true"/>
        </w:rPr>
        <w:t xml:space="preserve">مسألة </w:t>
      </w:r>
      <w:r>
        <w:rPr/>
        <w:t>2</w:t>
      </w:r>
      <w:r>
        <w:rPr>
          <w:rtl w:val="true"/>
        </w:rPr>
        <w:t xml:space="preserve">): </w:t>
      </w:r>
      <w:r>
        <w:rPr>
          <w:rtl w:val="true"/>
        </w:rPr>
        <w:t>إذا طهرت جاز لزوجها وطؤها قبل الغسل علیٰ کراهیة</w:t>
      </w:r>
      <w:r>
        <w:rPr>
          <w:rtl w:val="true"/>
        </w:rPr>
        <w:t>]</w:t>
      </w:r>
      <w:bookmarkEnd w:id="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طهرت جاز لزوجها وطؤها قبل الغسل علیٰ کراهیة، و الأحوط </w:t>
      </w:r>
      <w:r>
        <w:rPr>
          <w:rStyle w:val="FootnoteAnchor"/>
          <w:rtl w:val="true"/>
        </w:rPr>
        <w:footnoteReference w:id="131"/>
      </w:r>
      <w:r>
        <w:rPr>
          <w:rFonts w:ascii="IRNazanin" w:hAnsi="IRNazanin" w:eastAsia="IRNazanin"/>
          <w:color w:val="111111"/>
          <w:sz w:val="28"/>
          <w:sz w:val="28"/>
          <w:szCs w:val="28"/>
          <w:rtl w:val="true"/>
          <w:lang w:bidi="fa-IR"/>
        </w:rPr>
        <w:t>التجنّب إلّا بعد أن غسلت فرجها</w:t>
      </w:r>
      <w:r>
        <w:rPr>
          <w:rFonts w:eastAsia="IRNazanin" w:cs="IRNazanin"/>
          <w:color w:val="111111"/>
          <w:sz w:val="28"/>
          <w:szCs w:val="28"/>
          <w:rtl w:val="true"/>
          <w:lang w:bidi="fa-IR"/>
        </w:rPr>
        <w:t>.</w:t>
      </w:r>
    </w:p>
    <w:p>
      <w:pPr>
        <w:pStyle w:val="Heading6"/>
        <w:numPr>
          <w:ilvl w:val="5"/>
          <w:numId w:val="1"/>
        </w:numPr>
        <w:rPr/>
      </w:pPr>
      <w:bookmarkStart w:id="599" w:name="__RefHeading___Toc2565534_3650668749"/>
      <w:bookmarkStart w:id="600" w:name="_Toc276"/>
      <w:bookmarkEnd w:id="599"/>
      <w:r>
        <w:rPr>
          <w:rtl w:val="true"/>
        </w:rPr>
        <w:t>[</w:t>
      </w:r>
      <w:r>
        <w:rPr>
          <w:rtl w:val="true"/>
        </w:rPr>
        <w:t>و منها</w:t>
      </w:r>
      <w:r>
        <w:rPr>
          <w:rtl w:val="true"/>
        </w:rPr>
        <w:t xml:space="preserve">: </w:t>
      </w:r>
      <w:r>
        <w:rPr>
          <w:rtl w:val="true"/>
        </w:rPr>
        <w:t>ترتّب الکفّارة علیٰ وطئها علی الأحوط</w:t>
      </w:r>
      <w:r>
        <w:rPr>
          <w:rtl w:val="true"/>
        </w:rPr>
        <w:t>]</w:t>
      </w:r>
      <w:bookmarkEnd w:id="600"/>
    </w:p>
    <w:p>
      <w:pPr>
        <w:pStyle w:val="Heading6"/>
        <w:numPr>
          <w:ilvl w:val="5"/>
          <w:numId w:val="1"/>
        </w:numPr>
        <w:rPr/>
      </w:pPr>
      <w:bookmarkStart w:id="601" w:name="__RefHeading___Toc2565536_3650668749"/>
      <w:bookmarkStart w:id="602" w:name="_Toc277"/>
      <w:bookmarkEnd w:id="601"/>
      <w:r>
        <w:rPr>
          <w:rtl w:val="true"/>
        </w:rPr>
        <w:t>اشارة</w:t>
      </w:r>
      <w:bookmarkEnd w:id="60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الکفّارة علیٰ وطئها علی الأحوط، و هی فی وطء الزوجة دینار فی أوّل الحیض و نصفه فی وسطه و ربعه فی آخره، و فی وطء مملوکته ثلاثة أمداد من طعام یتصدّق بها علیٰ ثلاثة مساکین لکلّ مسکین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کفّارة علی المرأة و إن کانت مطاوعة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یوجب الکفّارة مع العلم </w:t>
      </w:r>
      <w:r>
        <w:rPr>
          <w:rStyle w:val="FootnoteAnchor"/>
          <w:rtl w:val="true"/>
        </w:rPr>
        <w:footnoteReference w:id="132"/>
      </w:r>
      <w:r>
        <w:rPr>
          <w:rFonts w:ascii="IRNazanin" w:hAnsi="IRNazanin" w:eastAsia="IRNazanin"/>
          <w:color w:val="111111"/>
          <w:sz w:val="28"/>
          <w:sz w:val="28"/>
          <w:szCs w:val="28"/>
          <w:rtl w:val="true"/>
          <w:lang w:bidi="fa-IR"/>
        </w:rPr>
        <w:t>بالحرمة و کونها حائضاً</w:t>
      </w:r>
      <w:r>
        <w:rPr>
          <w:rFonts w:eastAsia="IRNazanin" w:cs="IRNazanin"/>
          <w:color w:val="111111"/>
          <w:sz w:val="28"/>
          <w:szCs w:val="28"/>
          <w:rtl w:val="true"/>
          <w:lang w:bidi="fa-IR"/>
        </w:rPr>
        <w:t>.</w:t>
      </w:r>
    </w:p>
    <w:p>
      <w:pPr>
        <w:pStyle w:val="Heading6"/>
        <w:numPr>
          <w:ilvl w:val="5"/>
          <w:numId w:val="1"/>
        </w:numPr>
        <w:rPr/>
      </w:pPr>
      <w:bookmarkStart w:id="603" w:name="__RefHeading___Toc2565538_3650668749"/>
      <w:bookmarkStart w:id="604" w:name="_Toc278"/>
      <w:bookmarkEnd w:id="603"/>
      <w:r>
        <w:rPr>
          <w:rtl w:val="true"/>
        </w:rPr>
        <w:t>[ (</w:t>
      </w:r>
      <w:r>
        <w:rPr>
          <w:rtl w:val="true"/>
        </w:rPr>
        <w:t xml:space="preserve">مسألة </w:t>
      </w:r>
      <w:r>
        <w:rPr/>
        <w:t>3</w:t>
      </w:r>
      <w:r>
        <w:rPr>
          <w:rtl w:val="true"/>
        </w:rPr>
        <w:t xml:space="preserve">): </w:t>
      </w:r>
      <w:r>
        <w:rPr>
          <w:rtl w:val="true"/>
        </w:rPr>
        <w:t>المراد بأوّل الحیض ثلثه الأوّل و بوسطه ثلثه الثانی</w:t>
      </w:r>
      <w:r>
        <w:rPr>
          <w:rtl w:val="true"/>
        </w:rPr>
        <w:t>]</w:t>
      </w:r>
      <w:bookmarkEnd w:id="60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بأوّل الحیض ثلثه الأوّل و بوسطه ثلثه الثانی و بآخره ثلثه الأخیر، فإن کان أیّام حیضها ستّة یکون کلّ ثلث یومان، و إن کان سبعة فکلّ ثلث یومان و ثلث و هکذا</w:t>
      </w:r>
      <w:r>
        <w:rPr>
          <w:rFonts w:eastAsia="IRNazanin" w:cs="IRNazanin"/>
          <w:color w:val="111111"/>
          <w:sz w:val="28"/>
          <w:szCs w:val="28"/>
          <w:rtl w:val="true"/>
          <w:lang w:bidi="fa-IR"/>
        </w:rPr>
        <w:t>.</w:t>
      </w:r>
      <w:bookmarkStart w:id="605" w:name="pg1809_18818"/>
    </w:p>
    <w:p>
      <w:pPr>
        <w:pStyle w:val="Heading6"/>
        <w:numPr>
          <w:ilvl w:val="5"/>
          <w:numId w:val="1"/>
        </w:numPr>
        <w:rPr/>
      </w:pPr>
      <w:bookmarkStart w:id="606" w:name="__RefHeading___Toc2565540_3650668749"/>
      <w:bookmarkStart w:id="607" w:name="_Toc279"/>
      <w:bookmarkEnd w:id="605"/>
      <w:bookmarkEnd w:id="606"/>
      <w:r>
        <w:rPr>
          <w:rtl w:val="true"/>
        </w:rPr>
        <w:t>[ (</w:t>
      </w:r>
      <w:r>
        <w:rPr>
          <w:rtl w:val="true"/>
        </w:rPr>
        <w:t xml:space="preserve">مسألة </w:t>
      </w:r>
      <w:r>
        <w:rPr/>
        <w:t>4</w:t>
      </w:r>
      <w:r>
        <w:rPr>
          <w:rtl w:val="true"/>
        </w:rPr>
        <w:t xml:space="preserve">): </w:t>
      </w:r>
      <w:r>
        <w:rPr>
          <w:rtl w:val="true"/>
        </w:rPr>
        <w:t>إذا وطئها معتقداً حیضها فبان عدمه</w:t>
      </w:r>
      <w:r>
        <w:rPr>
          <w:rtl w:val="true"/>
        </w:rPr>
        <w:t>]</w:t>
      </w:r>
      <w:bookmarkEnd w:id="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وطئها معتقداً حیضها فبان عدمه أو معتقداً عدم الحیض فبان وجوده لا شی‌ء علیه</w:t>
      </w:r>
      <w:r>
        <w:rPr>
          <w:rFonts w:eastAsia="IRNazanin" w:cs="IRNazanin"/>
          <w:color w:val="111111"/>
          <w:sz w:val="28"/>
          <w:szCs w:val="28"/>
          <w:rtl w:val="true"/>
          <w:lang w:bidi="fa-IR"/>
        </w:rPr>
        <w:t>.</w:t>
      </w:r>
    </w:p>
    <w:p>
      <w:pPr>
        <w:pStyle w:val="Heading6"/>
        <w:numPr>
          <w:ilvl w:val="5"/>
          <w:numId w:val="1"/>
        </w:numPr>
        <w:rPr/>
      </w:pPr>
      <w:bookmarkStart w:id="608" w:name="__RefHeading___Toc2565542_3650668749"/>
      <w:bookmarkStart w:id="609" w:name="_Toc280"/>
      <w:bookmarkEnd w:id="608"/>
      <w:r>
        <w:rPr>
          <w:rtl w:val="true"/>
        </w:rPr>
        <w:t>[ (</w:t>
      </w:r>
      <w:r>
        <w:rPr>
          <w:rtl w:val="true"/>
        </w:rPr>
        <w:t xml:space="preserve">مسألة </w:t>
      </w:r>
      <w:r>
        <w:rPr/>
        <w:t>5</w:t>
      </w:r>
      <w:r>
        <w:rPr>
          <w:rtl w:val="true"/>
        </w:rPr>
        <w:t xml:space="preserve">): </w:t>
      </w:r>
      <w:r>
        <w:rPr>
          <w:rtl w:val="true"/>
        </w:rPr>
        <w:t>إذا اتّفق حیضها حال المقاربة</w:t>
      </w:r>
      <w:r>
        <w:rPr>
          <w:rtl w:val="true"/>
        </w:rPr>
        <w:t>]</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اتّفق حیضها حال المقاربة و لم یبادر فی الإخراج فعلیه الکفّارة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0" w:name="__RefHeading___Toc2565544_3650668749"/>
      <w:bookmarkStart w:id="611" w:name="_Toc281"/>
      <w:bookmarkEnd w:id="610"/>
      <w:r>
        <w:rPr>
          <w:rtl w:val="true"/>
        </w:rPr>
        <w:t>[ (</w:t>
      </w:r>
      <w:r>
        <w:rPr>
          <w:rtl w:val="true"/>
        </w:rPr>
        <w:t xml:space="preserve">مسألة </w:t>
      </w:r>
      <w:r>
        <w:rPr/>
        <w:t>6</w:t>
      </w:r>
      <w:r>
        <w:rPr>
          <w:rtl w:val="true"/>
        </w:rPr>
        <w:t xml:space="preserve">): </w:t>
      </w:r>
      <w:r>
        <w:rPr>
          <w:rtl w:val="true"/>
        </w:rPr>
        <w:t>یجوز إعطاء قیمة الدینار</w:t>
      </w:r>
      <w:r>
        <w:rPr>
          <w:rtl w:val="true"/>
        </w:rPr>
        <w:t>]</w:t>
      </w:r>
      <w:bookmarkEnd w:id="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إعطاء قیمة الدینار، و المعتبر قیمة وقت الأداء</w:t>
      </w:r>
      <w:r>
        <w:rPr>
          <w:rFonts w:eastAsia="IRNazanin" w:cs="IRNazanin"/>
          <w:color w:val="111111"/>
          <w:sz w:val="28"/>
          <w:szCs w:val="28"/>
          <w:rtl w:val="true"/>
          <w:lang w:bidi="fa-IR"/>
        </w:rPr>
        <w:t>.</w:t>
      </w:r>
    </w:p>
    <w:p>
      <w:pPr>
        <w:pStyle w:val="Heading6"/>
        <w:numPr>
          <w:ilvl w:val="5"/>
          <w:numId w:val="1"/>
        </w:numPr>
        <w:rPr/>
      </w:pPr>
      <w:bookmarkStart w:id="612" w:name="__RefHeading___Toc2565546_3650668749"/>
      <w:bookmarkStart w:id="613" w:name="_Toc282"/>
      <w:bookmarkEnd w:id="612"/>
      <w:r>
        <w:rPr>
          <w:rtl w:val="true"/>
        </w:rPr>
        <w:t>[ (</w:t>
      </w:r>
      <w:r>
        <w:rPr>
          <w:rtl w:val="true"/>
        </w:rPr>
        <w:t xml:space="preserve">مسألة </w:t>
      </w:r>
      <w:r>
        <w:rPr/>
        <w:t>7</w:t>
      </w:r>
      <w:r>
        <w:rPr>
          <w:rtl w:val="true"/>
        </w:rPr>
        <w:t xml:space="preserve">): </w:t>
      </w:r>
      <w:r>
        <w:rPr>
          <w:rtl w:val="true"/>
        </w:rPr>
        <w:t>تعطیٰ کفّارة الأمداد لثلاثة مساکین</w:t>
      </w:r>
      <w:r>
        <w:rPr>
          <w:rtl w:val="true"/>
        </w:rPr>
        <w:t>]</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 کفّارة الأمداد لثلاثة مساکین، و أمّا کفّارة الدینار فلا بأس بإعطائها لمسکین واحد، و الأحوط </w:t>
      </w:r>
      <w:r>
        <w:rPr>
          <w:rStyle w:val="FootnoteAnchor"/>
          <w:rtl w:val="true"/>
        </w:rPr>
        <w:footnoteReference w:id="134"/>
      </w:r>
      <w:r>
        <w:rPr>
          <w:rFonts w:ascii="IRNazanin" w:hAnsi="IRNazanin" w:eastAsia="IRNazanin"/>
          <w:color w:val="111111"/>
          <w:sz w:val="28"/>
          <w:sz w:val="28"/>
          <w:szCs w:val="28"/>
          <w:rtl w:val="true"/>
          <w:lang w:bidi="fa-IR"/>
        </w:rPr>
        <w:t>إعطاؤها لستّة أو سبعة مساکین</w:t>
      </w:r>
      <w:r>
        <w:rPr>
          <w:rFonts w:eastAsia="IRNazanin" w:cs="IRNazanin"/>
          <w:color w:val="111111"/>
          <w:sz w:val="28"/>
          <w:szCs w:val="28"/>
          <w:rtl w:val="true"/>
          <w:lang w:bidi="fa-IR"/>
        </w:rPr>
        <w:t>.</w:t>
      </w:r>
    </w:p>
    <w:p>
      <w:pPr>
        <w:pStyle w:val="Heading6"/>
        <w:numPr>
          <w:ilvl w:val="5"/>
          <w:numId w:val="1"/>
        </w:numPr>
        <w:rPr/>
      </w:pPr>
      <w:bookmarkStart w:id="614" w:name="__RefHeading___Toc2565548_3650668749"/>
      <w:bookmarkStart w:id="615" w:name="_Toc283"/>
      <w:bookmarkEnd w:id="614"/>
      <w:r>
        <w:rPr>
          <w:rtl w:val="true"/>
        </w:rPr>
        <w:t>[ (</w:t>
      </w:r>
      <w:r>
        <w:rPr>
          <w:rtl w:val="true"/>
        </w:rPr>
        <w:t xml:space="preserve">مسألة </w:t>
      </w:r>
      <w:r>
        <w:rPr/>
        <w:t>8</w:t>
      </w:r>
      <w:r>
        <w:rPr>
          <w:rtl w:val="true"/>
        </w:rPr>
        <w:t xml:space="preserve">): </w:t>
      </w:r>
      <w:r>
        <w:rPr>
          <w:rtl w:val="true"/>
        </w:rPr>
        <w:t>تتکرّر الکفّارة بتکرّر الوطء إذا وقع فی أوقات مختلفة</w:t>
      </w:r>
      <w:r>
        <w:rPr>
          <w:rtl w:val="true"/>
        </w:rPr>
        <w:t>]</w:t>
      </w:r>
      <w:bookmarkEnd w:id="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تتکرّر الکفّارة بتکرّر الوطء إذا وقع فی أوقات مختلفة کما إذا وطئها فی أوّله و فی وسطه و فی آخره فتکفّر بدینار و ثلاثة أرباع دینار، و کذا إذا تکرّر منه فی وقت واحد مع تخلّل التکفیر، و أمّا مع عدمه ففیه قولان؛ أحوطهما ذلک</w:t>
      </w:r>
      <w:r>
        <w:rPr>
          <w:rFonts w:eastAsia="IRNazanin" w:cs="IRNazanin"/>
          <w:color w:val="111111"/>
          <w:sz w:val="28"/>
          <w:szCs w:val="28"/>
          <w:rtl w:val="true"/>
          <w:lang w:bidi="fa-IR"/>
        </w:rPr>
        <w:t>.</w:t>
      </w:r>
    </w:p>
    <w:p>
      <w:pPr>
        <w:pStyle w:val="Heading6"/>
        <w:numPr>
          <w:ilvl w:val="5"/>
          <w:numId w:val="1"/>
        </w:numPr>
        <w:rPr/>
      </w:pPr>
      <w:bookmarkStart w:id="616" w:name="__RefHeading___Toc2565550_3650668749"/>
      <w:bookmarkStart w:id="617" w:name="_Toc284"/>
      <w:bookmarkEnd w:id="616"/>
      <w:r>
        <w:rPr>
          <w:rtl w:val="true"/>
        </w:rPr>
        <w:t>[</w:t>
      </w:r>
      <w:r>
        <w:rPr>
          <w:rtl w:val="true"/>
        </w:rPr>
        <w:t>و منها</w:t>
      </w:r>
      <w:r>
        <w:rPr>
          <w:rtl w:val="true"/>
        </w:rPr>
        <w:t xml:space="preserve">: </w:t>
      </w:r>
      <w:r>
        <w:rPr>
          <w:rtl w:val="true"/>
        </w:rPr>
        <w:t>بطلان طلاقها إذا کانت مدخولة و لم تکن حاملًا و کان زوجها حاضراً أو بحکمه</w:t>
      </w:r>
      <w:r>
        <w:rPr>
          <w:rtl w:val="true"/>
        </w:rPr>
        <w:t>]</w:t>
      </w:r>
      <w:bookmarkEnd w:id="617"/>
    </w:p>
    <w:p>
      <w:pPr>
        <w:pStyle w:val="Heading6"/>
        <w:numPr>
          <w:ilvl w:val="5"/>
          <w:numId w:val="1"/>
        </w:numPr>
        <w:rPr/>
      </w:pPr>
      <w:bookmarkStart w:id="618" w:name="__RefHeading___Toc2565552_3650668749"/>
      <w:bookmarkStart w:id="619" w:name="_Toc285"/>
      <w:bookmarkEnd w:id="618"/>
      <w:r>
        <w:rPr>
          <w:rtl w:val="true"/>
        </w:rPr>
        <w:t>اشارة</w:t>
      </w:r>
      <w:bookmarkEnd w:id="61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طلاقها إذا کانت مدخولة و لم تکن حاملًا و کان زوجها حاضراً أو بحکمه؛ بأن تمکّن من استعلام حالها بسهولة مع غیبته، فلو لم تکن مدخولًا بها أو کانت حاملًا أو کان زوجها غائباً أو بحکمه؛ بأن لم یکن متمکّناً من استعلام حالها مع حضوره صحّ طلاقها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0" w:name="__RefHeading___Toc2565554_3650668749"/>
      <w:bookmarkStart w:id="621" w:name="_Toc286"/>
      <w:bookmarkEnd w:id="620"/>
      <w:r>
        <w:rPr>
          <w:rtl w:val="true"/>
        </w:rPr>
        <w:t>[ (</w:t>
      </w:r>
      <w:r>
        <w:rPr>
          <w:rtl w:val="true"/>
        </w:rPr>
        <w:t xml:space="preserve">مسألة </w:t>
      </w:r>
      <w:r>
        <w:rPr/>
        <w:t>9</w:t>
      </w:r>
      <w:r>
        <w:rPr>
          <w:rtl w:val="true"/>
        </w:rPr>
        <w:t xml:space="preserve">): </w:t>
      </w:r>
      <w:r>
        <w:rPr>
          <w:rtl w:val="true"/>
        </w:rPr>
        <w:t>إذا کان الزوج غائباً و وکّل حاضراً متمکّناً من استعلام حالها</w:t>
      </w:r>
      <w:r>
        <w:rPr>
          <w:rtl w:val="true"/>
        </w:rPr>
        <w:t>]</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الزوج غائباً و وکّل حاضراً متمکّناً من استعلام حالها لا یجوز له طلاقها فی حال الحیض</w:t>
      </w:r>
      <w:r>
        <w:rPr>
          <w:rFonts w:eastAsia="IRNazanin" w:cs="IRNazanin"/>
          <w:color w:val="111111"/>
          <w:sz w:val="28"/>
          <w:szCs w:val="28"/>
          <w:rtl w:val="true"/>
          <w:lang w:bidi="fa-IR"/>
        </w:rPr>
        <w:t>.</w:t>
      </w:r>
    </w:p>
    <w:p>
      <w:pPr>
        <w:pStyle w:val="Heading6"/>
        <w:numPr>
          <w:ilvl w:val="5"/>
          <w:numId w:val="1"/>
        </w:numPr>
        <w:rPr/>
      </w:pPr>
      <w:bookmarkStart w:id="622" w:name="__RefHeading___Toc2565556_3650668749"/>
      <w:bookmarkStart w:id="623" w:name="_Toc287"/>
      <w:bookmarkEnd w:id="622"/>
      <w:r>
        <w:rPr>
          <w:rtl w:val="true"/>
        </w:rPr>
        <w:t>[</w:t>
      </w:r>
      <w:r>
        <w:rPr>
          <w:rtl w:val="true"/>
        </w:rPr>
        <w:t>و منها</w:t>
      </w:r>
      <w:r>
        <w:rPr>
          <w:rtl w:val="true"/>
        </w:rPr>
        <w:t xml:space="preserve">: </w:t>
      </w:r>
      <w:r>
        <w:rPr>
          <w:rtl w:val="true"/>
        </w:rPr>
        <w:t>وجوب الغسل عند انقطاع الحیض لکلّ مشروط بالطهارة من الحدث الأکبر</w:t>
      </w:r>
      <w:r>
        <w:rPr>
          <w:rtl w:val="true"/>
        </w:rPr>
        <w:t>]</w:t>
      </w:r>
      <w:bookmarkEnd w:id="623"/>
    </w:p>
    <w:p>
      <w:pPr>
        <w:pStyle w:val="Heading6"/>
        <w:numPr>
          <w:ilvl w:val="5"/>
          <w:numId w:val="1"/>
        </w:numPr>
        <w:rPr/>
      </w:pPr>
      <w:bookmarkStart w:id="624" w:name="__RefHeading___Toc2565558_3650668749"/>
      <w:bookmarkStart w:id="625" w:name="_Toc288"/>
      <w:bookmarkEnd w:id="624"/>
      <w:r>
        <w:rPr>
          <w:rtl w:val="true"/>
        </w:rPr>
        <w:t>اشارة</w:t>
      </w:r>
      <w:bookmarkEnd w:id="62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الغسل عند انقطاع الحیض لکلّ مشروط بالطهارة من الحدث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غسله کغسل الجنابة فی الکیفیّة و الأحکام إلّا أنّه لا یجزی عن الوضوء، فوجب الوضوء معه قبله أو بعده لکلّ مشروط به کالصلاة و نحوها بخلاف غسل الجنابة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تعذّر الوضوء فقط تغتسل و تتیمّم بدلًا عنه، کما أنّه لو تعذّر الغسل فقط تتوضّأ و تتیمّم بدلًا عن الغسل، و لو تعذّرا معاً تتیمّم تیمّمین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بدلًا عن الغسل و الآخر بدلًا عن الوضوء</w:t>
      </w:r>
      <w:r>
        <w:rPr>
          <w:rFonts w:eastAsia="IRNazanin" w:cs="IRNazanin"/>
          <w:color w:val="111111"/>
          <w:sz w:val="28"/>
          <w:szCs w:val="28"/>
          <w:rtl w:val="true"/>
          <w:lang w:bidi="fa-IR"/>
        </w:rPr>
        <w:t>.</w:t>
      </w:r>
      <w:bookmarkStart w:id="626" w:name="pg1809_18821"/>
    </w:p>
    <w:p>
      <w:pPr>
        <w:pStyle w:val="Heading6"/>
        <w:numPr>
          <w:ilvl w:val="5"/>
          <w:numId w:val="1"/>
        </w:numPr>
        <w:rPr/>
      </w:pPr>
      <w:bookmarkStart w:id="627" w:name="__RefHeading___Toc2565560_3650668749"/>
      <w:bookmarkStart w:id="628" w:name="_Toc289"/>
      <w:bookmarkEnd w:id="626"/>
      <w:bookmarkEnd w:id="627"/>
      <w:r>
        <w:rPr>
          <w:rtl w:val="true"/>
        </w:rPr>
        <w:t>[ (</w:t>
      </w:r>
      <w:r>
        <w:rPr>
          <w:rtl w:val="true"/>
        </w:rPr>
        <w:t xml:space="preserve">مسألة </w:t>
      </w:r>
      <w:r>
        <w:rPr/>
        <w:t>10</w:t>
      </w:r>
      <w:r>
        <w:rPr>
          <w:rtl w:val="true"/>
        </w:rPr>
        <w:t xml:space="preserve">): </w:t>
      </w:r>
      <w:r>
        <w:rPr>
          <w:rtl w:val="true"/>
        </w:rPr>
        <w:t>لو لم یکن عندها الماء إلّا بقدر أحدهما تقدّم الغسل</w:t>
      </w:r>
      <w:r>
        <w:rPr>
          <w:rtl w:val="true"/>
        </w:rPr>
        <w:t>]</w:t>
      </w:r>
      <w:bookmarkEnd w:id="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عندها الماء إلّا بقدر أحدهما تقدّم الغسل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9" w:name="__RefHeading___Toc2565562_3650668749"/>
      <w:bookmarkStart w:id="630" w:name="_Toc290"/>
      <w:bookmarkEnd w:id="629"/>
      <w:r>
        <w:rPr>
          <w:rtl w:val="true"/>
        </w:rPr>
        <w:t>[ (</w:t>
      </w:r>
      <w:r>
        <w:rPr>
          <w:rtl w:val="true"/>
        </w:rPr>
        <w:t xml:space="preserve">مسألة </w:t>
      </w:r>
      <w:r>
        <w:rPr/>
        <w:t>11</w:t>
      </w:r>
      <w:r>
        <w:rPr>
          <w:rtl w:val="true"/>
        </w:rPr>
        <w:t xml:space="preserve">): </w:t>
      </w:r>
      <w:r>
        <w:rPr>
          <w:rtl w:val="true"/>
        </w:rPr>
        <w:t>إذا تیمّمت بدلًا عن الغسل ثمّ أحدث بالحدث الأصغر لم یبطل تیمّمها</w:t>
      </w:r>
      <w:r>
        <w:rPr>
          <w:rtl w:val="true"/>
        </w:rPr>
        <w:t>]</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تیمّمت بدلًا عن الغسل ثمّ أحدث بالحدث الأصغر لم یبطل تیمّمها بل هو باقٍ إلیٰ أن تتمکّن من الغسل و الأحوط تجدیده</w:t>
      </w:r>
      <w:r>
        <w:rPr>
          <w:rFonts w:eastAsia="IRNazanin" w:cs="IRNazanin"/>
          <w:color w:val="111111"/>
          <w:sz w:val="28"/>
          <w:szCs w:val="28"/>
          <w:rtl w:val="true"/>
          <w:lang w:bidi="fa-IR"/>
        </w:rPr>
        <w:t>.</w:t>
      </w:r>
    </w:p>
    <w:p>
      <w:pPr>
        <w:pStyle w:val="Heading6"/>
        <w:numPr>
          <w:ilvl w:val="5"/>
          <w:numId w:val="1"/>
        </w:numPr>
        <w:rPr/>
      </w:pPr>
      <w:bookmarkStart w:id="631" w:name="__RefHeading___Toc2565564_3650668749"/>
      <w:bookmarkStart w:id="632" w:name="_Toc291"/>
      <w:bookmarkEnd w:id="631"/>
      <w:r>
        <w:rPr>
          <w:rtl w:val="true"/>
        </w:rPr>
        <w:t>[</w:t>
      </w:r>
      <w:r>
        <w:rPr>
          <w:rtl w:val="true"/>
        </w:rPr>
        <w:t>و منها</w:t>
      </w:r>
      <w:r>
        <w:rPr>
          <w:rtl w:val="true"/>
        </w:rPr>
        <w:t xml:space="preserve">: </w:t>
      </w:r>
      <w:r>
        <w:rPr>
          <w:rtl w:val="true"/>
        </w:rPr>
        <w:t>وجوب قضاء ما ترکته فی حال الحیض من الصیام الواجب</w:t>
      </w:r>
      <w:r>
        <w:rPr>
          <w:rtl w:val="true"/>
        </w:rPr>
        <w:t>]</w:t>
      </w:r>
      <w:bookmarkEnd w:id="632"/>
    </w:p>
    <w:p>
      <w:pPr>
        <w:pStyle w:val="Heading6"/>
        <w:numPr>
          <w:ilvl w:val="5"/>
          <w:numId w:val="1"/>
        </w:numPr>
        <w:rPr/>
      </w:pPr>
      <w:bookmarkStart w:id="633" w:name="__RefHeading___Toc2565566_3650668749"/>
      <w:bookmarkStart w:id="634" w:name="_Toc292"/>
      <w:bookmarkEnd w:id="633"/>
      <w:r>
        <w:rPr>
          <w:rtl w:val="true"/>
        </w:rPr>
        <w:t>اشارة</w:t>
      </w:r>
      <w:bookmarkEnd w:id="63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قضاء ما ترکته فی حال الحیض من الصیام الواجب؛ سواء کان صوم شهر رمضان أو غیره علی الأقویٰ، و کذا الصلاة الواجبة غیر الیومیّة کالآیات و رکعتی الطواف و المنذورة علی الأحوط لو لم یکن الأقویٰ </w:t>
      </w:r>
      <w:r>
        <w:rPr>
          <w:rStyle w:val="FootnoteAnchor"/>
          <w:rtl w:val="true"/>
        </w:rPr>
        <w:footnoteReference w:id="137"/>
      </w:r>
      <w:r>
        <w:rPr>
          <w:rFonts w:ascii="IRNazanin" w:hAnsi="IRNazanin" w:eastAsia="IRNazanin"/>
          <w:color w:val="111111"/>
          <w:sz w:val="28"/>
          <w:sz w:val="28"/>
          <w:szCs w:val="28"/>
          <w:rtl w:val="true"/>
          <w:lang w:bidi="fa-IR"/>
        </w:rPr>
        <w:t>بخلاف الصلاة الیومیّة فإنّه لا یجب علیها قضاء ما ترکته فی حال حیضها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حاضت بعد دخول الوقت و قد مضی منه مقدار أقلّ الواجب من صلاتها بحسب حالها من البطء و السرعة و الصحّة و المرض و الحضر و السفر و مقدار تحصیل الشرائط الغیر الحاصلة بحسب تکلیفها الفعلی من الوضوء أو الغسل أو التیمّم و لم تصلّ وجب علیها قضاء تلک الصلاة، بخلاف ما إذا لم تدرک من أوّل الوقت هذا المقدار فإنّه لا یجب علیها القضاء، و إن کان الأحوط القضاء إذا أدرکت مقدار أداء الصلاة مع الطهارة و إن لم تدرک مقدار تحصیل سائر الشرائط، بل لا یخلو من قوّة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5" w:name="__RefHeading___Toc2565568_3650668749"/>
      <w:bookmarkStart w:id="636" w:name="_Toc293"/>
      <w:bookmarkEnd w:id="635"/>
      <w:r>
        <w:rPr>
          <w:rtl w:val="true"/>
        </w:rPr>
        <w:t>[ (</w:t>
      </w:r>
      <w:r>
        <w:rPr>
          <w:rtl w:val="true"/>
        </w:rPr>
        <w:t xml:space="preserve">مسألة </w:t>
      </w:r>
      <w:r>
        <w:rPr/>
        <w:t>12</w:t>
      </w:r>
      <w:r>
        <w:rPr>
          <w:rtl w:val="true"/>
        </w:rPr>
        <w:t xml:space="preserve">): </w:t>
      </w:r>
      <w:r>
        <w:rPr>
          <w:rtl w:val="true"/>
        </w:rPr>
        <w:t>إذا طهرت من الحیض قبل خروج الوقت</w:t>
      </w:r>
      <w:r>
        <w:rPr>
          <w:rtl w:val="true"/>
        </w:rPr>
        <w:t>]</w:t>
      </w:r>
      <w:bookmarkEnd w:id="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طهرت من الحیض قبل خروج الوقت فإن أدرکت منه مقدار أداء رکعة مع إحراز الشرائط وجب علیها الأداء، و مع ترکها وجب علیها القضاء، بل الأحوط لو لم یکن الأقویٰ </w:t>
      </w:r>
      <w:r>
        <w:rPr>
          <w:rStyle w:val="FootnoteAnchor"/>
          <w:rtl w:val="true"/>
        </w:rPr>
        <w:footnoteReference w:id="139"/>
      </w:r>
      <w:r>
        <w:rPr>
          <w:rFonts w:ascii="IRNazanin" w:hAnsi="IRNazanin" w:eastAsia="IRNazanin"/>
          <w:color w:val="111111"/>
          <w:sz w:val="28"/>
          <w:sz w:val="28"/>
          <w:szCs w:val="28"/>
          <w:rtl w:val="true"/>
          <w:lang w:bidi="fa-IR"/>
        </w:rPr>
        <w:t>القضاء مع عدم سعة الوقت إلّا للطهارة من الشرائط و أداء رکعة</w:t>
      </w:r>
      <w:r>
        <w:rPr>
          <w:rFonts w:eastAsia="IRNazanin" w:cs="IRNazanin"/>
          <w:color w:val="111111"/>
          <w:sz w:val="28"/>
          <w:szCs w:val="28"/>
          <w:rtl w:val="true"/>
          <w:lang w:bidi="fa-IR"/>
        </w:rPr>
        <w:t>.</w:t>
      </w:r>
    </w:p>
    <w:p>
      <w:pPr>
        <w:pStyle w:val="Heading6"/>
        <w:numPr>
          <w:ilvl w:val="5"/>
          <w:numId w:val="1"/>
        </w:numPr>
        <w:rPr/>
      </w:pPr>
      <w:bookmarkStart w:id="637" w:name="__RefHeading___Toc2565570_3650668749"/>
      <w:bookmarkStart w:id="638" w:name="_Toc294"/>
      <w:bookmarkEnd w:id="637"/>
      <w:r>
        <w:rPr>
          <w:rtl w:val="true"/>
        </w:rPr>
        <w:t>[ (</w:t>
      </w:r>
      <w:r>
        <w:rPr>
          <w:rtl w:val="true"/>
        </w:rPr>
        <w:t xml:space="preserve">مسألة </w:t>
      </w:r>
      <w:r>
        <w:rPr/>
        <w:t>13</w:t>
      </w:r>
      <w:r>
        <w:rPr>
          <w:rtl w:val="true"/>
        </w:rPr>
        <w:t xml:space="preserve">): </w:t>
      </w:r>
      <w:r>
        <w:rPr>
          <w:rtl w:val="true"/>
        </w:rPr>
        <w:t>إذا ظنّت ضیق الوقت عن أداء رکعة فترکت</w:t>
      </w:r>
      <w:r>
        <w:rPr>
          <w:rtl w:val="true"/>
        </w:rPr>
        <w:t>]</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ظنّت ضیق الوقت عن أداء رکعة فترکت فبان السعة وجب القضاء</w:t>
      </w:r>
      <w:r>
        <w:rPr>
          <w:rFonts w:eastAsia="IRNazanin" w:cs="IRNazanin"/>
          <w:color w:val="111111"/>
          <w:sz w:val="28"/>
          <w:szCs w:val="28"/>
          <w:rtl w:val="true"/>
          <w:lang w:bidi="fa-IR"/>
        </w:rPr>
        <w:t>.</w:t>
      </w:r>
    </w:p>
    <w:p>
      <w:pPr>
        <w:pStyle w:val="Heading6"/>
        <w:numPr>
          <w:ilvl w:val="5"/>
          <w:numId w:val="1"/>
        </w:numPr>
        <w:rPr/>
      </w:pPr>
      <w:bookmarkStart w:id="639" w:name="__RefHeading___Toc2565572_3650668749"/>
      <w:bookmarkStart w:id="640" w:name="_Toc295"/>
      <w:bookmarkEnd w:id="639"/>
      <w:r>
        <w:rPr>
          <w:rtl w:val="true"/>
        </w:rPr>
        <w:t>[ (</w:t>
      </w:r>
      <w:r>
        <w:rPr>
          <w:rtl w:val="true"/>
        </w:rPr>
        <w:t xml:space="preserve">مسألة </w:t>
      </w:r>
      <w:r>
        <w:rPr/>
        <w:t>14</w:t>
      </w:r>
      <w:r>
        <w:rPr>
          <w:rtl w:val="true"/>
        </w:rPr>
        <w:t xml:space="preserve">): </w:t>
      </w:r>
      <w:r>
        <w:rPr>
          <w:rtl w:val="true"/>
        </w:rPr>
        <w:t>إذا طهرت فی آخر النهار و أدرکت من الوقت مقدار أربع رکعات فی الحضر</w:t>
      </w:r>
      <w:r>
        <w:rPr>
          <w:rtl w:val="true"/>
        </w:rPr>
        <w:t>]</w:t>
      </w:r>
      <w:bookmarkEnd w:id="64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طهرت فی آخر النهار و أدرکت من الوقت مقدار أربع رکعات فی الحضر أو رکعتین فی السفر صلّت العصر و سقط عنها الظهر أداءً و قضاءً، و إذا أدرکت مقدار خمس رکعات فی الحضر أو ثلاث رکعات فی السفر تجب علیها الصلاتان، و إذا ترکتهما یجب قضاؤهما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العشاءان فإذا بقی من آخر اللیل مقدار خمس رکعات فی الحضر أو أربع رکعات فی السفر تجب الصلاتان و مع الترک یجب قضاؤهما و إذا بقی أقلّ من خمس رکعات فی الحضر أو أقلّ من أربع فی السفر تجب خصوص العشاء و سقط</w:t>
      </w:r>
      <w:bookmarkStart w:id="641" w:name="pg1809_18823"/>
    </w:p>
    <w:p>
      <w:pPr>
        <w:pStyle w:val="BookText"/>
        <w:rPr/>
      </w:pPr>
      <w:bookmarkEnd w:id="641"/>
      <w:r>
        <w:rPr>
          <w:rFonts w:ascii="IRNazanin" w:hAnsi="IRNazanin" w:eastAsia="IRNazanin"/>
          <w:color w:val="111111"/>
          <w:sz w:val="28"/>
          <w:sz w:val="28"/>
          <w:szCs w:val="28"/>
          <w:rtl w:val="true"/>
          <w:lang w:bidi="fa-IR"/>
        </w:rPr>
        <w:t>عنها المغرب أداءً و قضاءً</w:t>
      </w:r>
      <w:r>
        <w:rPr>
          <w:rFonts w:eastAsia="IRNazanin" w:cs="IRNazanin"/>
          <w:color w:val="111111"/>
          <w:sz w:val="28"/>
          <w:szCs w:val="28"/>
          <w:rtl w:val="true"/>
          <w:lang w:bidi="fa-IR"/>
        </w:rPr>
        <w:t>.</w:t>
      </w:r>
    </w:p>
    <w:p>
      <w:pPr>
        <w:pStyle w:val="Heading6"/>
        <w:numPr>
          <w:ilvl w:val="5"/>
          <w:numId w:val="1"/>
        </w:numPr>
        <w:rPr/>
      </w:pPr>
      <w:bookmarkStart w:id="642" w:name="__RefHeading___Toc2565574_3650668749"/>
      <w:bookmarkStart w:id="643" w:name="_Toc296"/>
      <w:bookmarkEnd w:id="642"/>
      <w:r>
        <w:rPr>
          <w:rtl w:val="true"/>
        </w:rPr>
        <w:t>[ (</w:t>
      </w:r>
      <w:r>
        <w:rPr>
          <w:rtl w:val="true"/>
        </w:rPr>
        <w:t xml:space="preserve">مسألة </w:t>
      </w:r>
      <w:r>
        <w:rPr/>
        <w:t>15</w:t>
      </w:r>
      <w:r>
        <w:rPr>
          <w:rtl w:val="true"/>
        </w:rPr>
        <w:t xml:space="preserve">): </w:t>
      </w:r>
      <w:r>
        <w:rPr>
          <w:rtl w:val="true"/>
        </w:rPr>
        <w:t>إذا اعتقدت سعة الوقت للصلاتین فتبیّن عدمها و أنّ وظیفتها خصوص الثانیة وجب قضاؤها</w:t>
      </w:r>
      <w:r>
        <w:rPr>
          <w:rtl w:val="true"/>
        </w:rPr>
        <w:t>]</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اعتقدت سعة الوقت للصلاتین فتبیّن عدمها و أنّ وظیفتها خصوص الثانیة وجب قضاؤها، و إذا قدّمت الثانیة باعتقاد الضیق فبانت السعة صحّت و وجب إتیان الاولیٰ بعدها، و إن کان التبیّن بعد خروج الوقت وجب قضاؤها</w:t>
      </w:r>
      <w:r>
        <w:rPr>
          <w:rFonts w:eastAsia="IRNazanin" w:cs="IRNazanin"/>
          <w:color w:val="111111"/>
          <w:sz w:val="28"/>
          <w:szCs w:val="28"/>
          <w:rtl w:val="true"/>
          <w:lang w:bidi="fa-IR"/>
        </w:rPr>
        <w:t>.</w:t>
      </w:r>
    </w:p>
    <w:p>
      <w:pPr>
        <w:pStyle w:val="Heading6"/>
        <w:numPr>
          <w:ilvl w:val="5"/>
          <w:numId w:val="1"/>
        </w:numPr>
        <w:rPr/>
      </w:pPr>
      <w:bookmarkStart w:id="644" w:name="__RefHeading___Toc2565576_3650668749"/>
      <w:bookmarkStart w:id="645" w:name="_Toc297"/>
      <w:bookmarkEnd w:id="644"/>
      <w:r>
        <w:rPr>
          <w:rtl w:val="true"/>
        </w:rPr>
        <w:t>[ (</w:t>
      </w:r>
      <w:r>
        <w:rPr>
          <w:rtl w:val="true"/>
        </w:rPr>
        <w:t xml:space="preserve">مسألة </w:t>
      </w:r>
      <w:r>
        <w:rPr/>
        <w:t>16</w:t>
      </w:r>
      <w:r>
        <w:rPr>
          <w:rtl w:val="true"/>
        </w:rPr>
        <w:t xml:space="preserve">): </w:t>
      </w:r>
      <w:r>
        <w:rPr>
          <w:rtl w:val="true"/>
        </w:rPr>
        <w:t>یستحبّ للحائض أن تبدّل القطنة و تتوضّأ وقت کلّ صلاة</w:t>
      </w:r>
      <w:r>
        <w:rPr>
          <w:rtl w:val="true"/>
        </w:rPr>
        <w:t>]</w:t>
      </w:r>
      <w:bookmarkEnd w:id="6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للحائض أن تبدّل القطنة و تتوضّأ وقت کلّ صلاة و تجلس بمقدار صلاتها مستقبلة ذاکرةً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لها الخضاب بالحنّاء أو غیره و قراءة القرآن و لو أقلّ من سبع آیات و حمل المصحف و لو بغلافه و لمس هامشه و ما بین سطوره</w:t>
      </w:r>
      <w:r>
        <w:rPr>
          <w:rFonts w:eastAsia="IRNazanin" w:cs="IRNazanin"/>
          <w:color w:val="111111"/>
          <w:sz w:val="28"/>
          <w:szCs w:val="28"/>
          <w:rtl w:val="true"/>
          <w:lang w:bidi="fa-IR"/>
        </w:rPr>
        <w:t>.</w:t>
      </w:r>
    </w:p>
    <w:p>
      <w:pPr>
        <w:pStyle w:val="Heading5"/>
        <w:numPr>
          <w:ilvl w:val="4"/>
          <w:numId w:val="1"/>
        </w:numPr>
        <w:rPr/>
      </w:pPr>
      <w:bookmarkStart w:id="646" w:name="__RefHeading___Toc2565578_3650668749"/>
      <w:bookmarkStart w:id="647" w:name="_Toc298"/>
      <w:bookmarkEnd w:id="646"/>
      <w:r>
        <w:rPr>
          <w:rtl w:val="true"/>
        </w:rPr>
        <w:t>[</w:t>
      </w:r>
      <w:r>
        <w:rPr>
          <w:rtl w:val="true"/>
        </w:rPr>
        <w:t>فصل فی الاستحاضة</w:t>
      </w:r>
      <w:r>
        <w:rPr>
          <w:rtl w:val="true"/>
        </w:rPr>
        <w:t>]</w:t>
      </w:r>
      <w:bookmarkEnd w:id="647"/>
    </w:p>
    <w:p>
      <w:pPr>
        <w:pStyle w:val="Heading6"/>
        <w:numPr>
          <w:ilvl w:val="5"/>
          <w:numId w:val="1"/>
        </w:numPr>
        <w:rPr/>
      </w:pPr>
      <w:bookmarkStart w:id="648" w:name="__RefHeading___Toc2565580_3650668749"/>
      <w:bookmarkStart w:id="649" w:name="_Toc299"/>
      <w:bookmarkEnd w:id="648"/>
      <w:r>
        <w:rPr>
          <w:rtl w:val="true"/>
        </w:rPr>
        <w:t>اشارة</w:t>
      </w:r>
      <w:bookmarkEnd w:id="649"/>
    </w:p>
    <w:p>
      <w:pPr>
        <w:pStyle w:val="BookText"/>
        <w:rPr/>
      </w:pPr>
      <w:r>
        <w:rPr>
          <w:rFonts w:ascii="IRNazanin" w:hAnsi="IRNazanin" w:eastAsia="IRNazanin"/>
          <w:color w:val="111111"/>
          <w:sz w:val="28"/>
          <w:sz w:val="28"/>
          <w:szCs w:val="28"/>
          <w:rtl w:val="true"/>
          <w:lang w:bidi="fa-IR"/>
        </w:rPr>
        <w:t>فصل فی الاستحاضة</w:t>
      </w:r>
    </w:p>
    <w:p>
      <w:pPr>
        <w:pStyle w:val="Heading6"/>
        <w:numPr>
          <w:ilvl w:val="5"/>
          <w:numId w:val="1"/>
        </w:numPr>
        <w:rPr/>
      </w:pPr>
      <w:bookmarkStart w:id="650" w:name="__RefHeading___Toc2565582_3650668749"/>
      <w:bookmarkStart w:id="651" w:name="_Toc300"/>
      <w:bookmarkEnd w:id="650"/>
      <w:r>
        <w:rPr>
          <w:rtl w:val="true"/>
        </w:rPr>
        <w:t>[</w:t>
      </w:r>
      <w:r>
        <w:rPr>
          <w:rtl w:val="true"/>
        </w:rPr>
        <w:t>الکلام فی دم الاستحاضة و أحکامها</w:t>
      </w:r>
      <w:r>
        <w:rPr>
          <w:rtl w:val="true"/>
        </w:rPr>
        <w:t>]</w:t>
      </w:r>
      <w:bookmarkEnd w:id="651"/>
    </w:p>
    <w:p>
      <w:pPr>
        <w:pStyle w:val="Heading6"/>
        <w:numPr>
          <w:ilvl w:val="5"/>
          <w:numId w:val="1"/>
        </w:numPr>
        <w:rPr/>
      </w:pPr>
      <w:bookmarkStart w:id="652" w:name="__RefHeading___Toc2565584_3650668749"/>
      <w:bookmarkStart w:id="653" w:name="_Toc301"/>
      <w:bookmarkEnd w:id="652"/>
      <w:r>
        <w:rPr>
          <w:rtl w:val="true"/>
        </w:rPr>
        <w:t>اشارة</w:t>
      </w:r>
      <w:bookmarkEnd w:id="653"/>
    </w:p>
    <w:p>
      <w:pPr>
        <w:pStyle w:val="BookText"/>
        <w:rPr/>
      </w:pPr>
      <w:r>
        <w:rPr>
          <w:rFonts w:ascii="IRNazanin" w:hAnsi="IRNazanin" w:eastAsia="IRNazanin"/>
          <w:color w:val="111111"/>
          <w:sz w:val="28"/>
          <w:sz w:val="28"/>
          <w:szCs w:val="28"/>
          <w:rtl w:val="true"/>
          <w:lang w:bidi="fa-IR"/>
        </w:rPr>
        <w:t>الکلام فی دم الاستحاضة و أحکامها</w:t>
      </w:r>
    </w:p>
    <w:p>
      <w:pPr>
        <w:pStyle w:val="Heading6"/>
        <w:numPr>
          <w:ilvl w:val="5"/>
          <w:numId w:val="1"/>
        </w:numPr>
        <w:rPr/>
      </w:pPr>
      <w:bookmarkStart w:id="654" w:name="__RefHeading___Toc2565586_3650668749"/>
      <w:bookmarkStart w:id="655" w:name="_Toc302"/>
      <w:bookmarkEnd w:id="654"/>
      <w:r>
        <w:rPr>
          <w:rtl w:val="true"/>
        </w:rPr>
        <w:t>[</w:t>
      </w:r>
      <w:r>
        <w:rPr>
          <w:rtl w:val="true"/>
        </w:rPr>
        <w:t>دم الاستحاضة</w:t>
      </w:r>
      <w:r>
        <w:rPr>
          <w:rtl w:val="true"/>
        </w:rPr>
        <w:t>]</w:t>
      </w:r>
      <w:bookmarkEnd w:id="655"/>
    </w:p>
    <w:p>
      <w:pPr>
        <w:pStyle w:val="BookText"/>
        <w:rPr/>
      </w:pPr>
      <w:r>
        <w:rPr>
          <w:rFonts w:ascii="IRNazanin" w:hAnsi="IRNazanin" w:eastAsia="IRNazanin"/>
          <w:color w:val="111111"/>
          <w:sz w:val="28"/>
          <w:sz w:val="28"/>
          <w:szCs w:val="28"/>
          <w:rtl w:val="true"/>
          <w:lang w:bidi="fa-IR"/>
        </w:rPr>
        <w:t>دم الاستحاضة فی الأغلب أصفر بارد رقیق یخرج بغیر قوّة و لذع و حرقة، و قد یکون بصفة الحیض کما مرّ، و لیس لقلیله و لا لکثیره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دم </w:t>
      </w:r>
      <w:r>
        <w:rPr>
          <w:rStyle w:val="FootnoteAnchor"/>
          <w:rtl w:val="true"/>
        </w:rPr>
        <w:footnoteReference w:id="140"/>
      </w:r>
      <w:r>
        <w:rPr>
          <w:rFonts w:ascii="IRNazanin" w:hAnsi="IRNazanin" w:eastAsia="IRNazanin"/>
          <w:color w:val="111111"/>
          <w:sz w:val="28"/>
          <w:sz w:val="28"/>
          <w:szCs w:val="28"/>
          <w:rtl w:val="true"/>
          <w:lang w:bidi="fa-IR"/>
        </w:rPr>
        <w:t xml:space="preserve">تراه المرأة قبل البلوغ أو بعد الیأس أو أقلّ من ثلاثة و لم یکن دم قرح </w:t>
      </w:r>
      <w:r>
        <w:rPr>
          <w:rStyle w:val="FootnoteAnchor"/>
          <w:rtl w:val="true"/>
        </w:rPr>
        <w:footnoteReference w:id="141"/>
      </w:r>
      <w:r>
        <w:rPr>
          <w:rFonts w:ascii="IRNazanin" w:hAnsi="IRNazanin" w:eastAsia="IRNazanin"/>
          <w:color w:val="111111"/>
          <w:sz w:val="28"/>
          <w:sz w:val="28"/>
          <w:szCs w:val="28"/>
          <w:rtl w:val="true"/>
          <w:lang w:bidi="fa-IR"/>
        </w:rPr>
        <w:t>و لا جرح و لا نفاس فهو استحاضة، و کذا إذا تجاوز الدم عن عشرة أیّام، لکن حینئذٍ قد امتزج حیضها بالاستحاضة، فلا بدّ فی تعیینهما من أن ترجع إلی التفصیل الذی سبق فی فصل الحیض</w:t>
      </w:r>
      <w:r>
        <w:rPr>
          <w:rFonts w:eastAsia="IRNazanin" w:cs="IRNazanin"/>
          <w:color w:val="111111"/>
          <w:sz w:val="28"/>
          <w:szCs w:val="28"/>
          <w:rtl w:val="true"/>
          <w:lang w:bidi="fa-IR"/>
        </w:rPr>
        <w:t>.</w:t>
      </w:r>
    </w:p>
    <w:p>
      <w:pPr>
        <w:pStyle w:val="Heading6"/>
        <w:numPr>
          <w:ilvl w:val="5"/>
          <w:numId w:val="1"/>
        </w:numPr>
        <w:rPr/>
      </w:pPr>
      <w:bookmarkStart w:id="656" w:name="__RefHeading___Toc2565588_3650668749"/>
      <w:bookmarkStart w:id="657" w:name="_Toc303"/>
      <w:bookmarkEnd w:id="656"/>
      <w:r>
        <w:rPr>
          <w:rtl w:val="true"/>
        </w:rPr>
        <w:t>[</w:t>
      </w:r>
      <w:r>
        <w:rPr>
          <w:rtl w:val="true"/>
        </w:rPr>
        <w:t>و أمّا أحکامها</w:t>
      </w:r>
      <w:r>
        <w:rPr>
          <w:rtl w:val="true"/>
        </w:rPr>
        <w:t>]</w:t>
      </w:r>
      <w:bookmarkEnd w:id="657"/>
    </w:p>
    <w:p>
      <w:pPr>
        <w:pStyle w:val="Heading6"/>
        <w:numPr>
          <w:ilvl w:val="5"/>
          <w:numId w:val="1"/>
        </w:numPr>
        <w:rPr/>
      </w:pPr>
      <w:bookmarkStart w:id="658" w:name="__RefHeading___Toc2565590_3650668749"/>
      <w:bookmarkStart w:id="659" w:name="_Toc304"/>
      <w:bookmarkEnd w:id="658"/>
      <w:r>
        <w:rPr>
          <w:rtl w:val="true"/>
        </w:rPr>
        <w:t>اشارة</w:t>
      </w:r>
      <w:bookmarkEnd w:id="659"/>
    </w:p>
    <w:p>
      <w:pPr>
        <w:pStyle w:val="BookText"/>
        <w:rPr/>
      </w:pPr>
      <w:r>
        <w:rPr>
          <w:rFonts w:ascii="IRNazanin" w:hAnsi="IRNazanin" w:eastAsia="IRNazanin"/>
          <w:color w:val="111111"/>
          <w:sz w:val="28"/>
          <w:sz w:val="28"/>
          <w:szCs w:val="28"/>
          <w:rtl w:val="true"/>
          <w:lang w:bidi="fa-IR"/>
        </w:rPr>
        <w:t>و أمّا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قلیلة و متوسّطة و کثیرة</w:t>
      </w:r>
      <w:r>
        <w:rPr>
          <w:rFonts w:eastAsia="IRNazanin" w:cs="IRNazanin"/>
          <w:color w:val="111111"/>
          <w:sz w:val="28"/>
          <w:szCs w:val="28"/>
          <w:rtl w:val="true"/>
          <w:lang w:bidi="fa-IR"/>
        </w:rPr>
        <w:t>.</w:t>
      </w:r>
    </w:p>
    <w:p>
      <w:pPr>
        <w:pStyle w:val="Heading6"/>
        <w:numPr>
          <w:ilvl w:val="5"/>
          <w:numId w:val="1"/>
        </w:numPr>
        <w:rPr/>
      </w:pPr>
      <w:bookmarkStart w:id="660" w:name="__RefHeading___Toc2565592_3650668749"/>
      <w:bookmarkStart w:id="661" w:name="_Toc305"/>
      <w:bookmarkEnd w:id="660"/>
      <w:r>
        <w:rPr>
          <w:rtl w:val="true"/>
        </w:rPr>
        <w:t>[</w:t>
      </w:r>
      <w:r>
        <w:rPr>
          <w:rtl w:val="true"/>
        </w:rPr>
        <w:t>فالأُولیٰ القلیلة</w:t>
      </w:r>
      <w:r>
        <w:rPr>
          <w:rtl w:val="true"/>
        </w:rPr>
        <w:t>]</w:t>
      </w:r>
      <w:bookmarkEnd w:id="66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أن تتلوّث القطنة بالدم من دون أن یغمس فیها </w:t>
      </w:r>
      <w:r>
        <w:rPr>
          <w:rStyle w:val="FootnoteAnchor"/>
          <w:rtl w:val="true"/>
        </w:rPr>
        <w:footnoteReference w:id="142"/>
      </w:r>
      <w:r>
        <w:rPr>
          <w:rFonts w:ascii="IRNazanin" w:hAnsi="IRNazanin" w:eastAsia="IRNazanin"/>
          <w:color w:val="111111"/>
          <w:sz w:val="28"/>
          <w:sz w:val="28"/>
          <w:szCs w:val="28"/>
          <w:rtl w:val="true"/>
          <w:lang w:bidi="fa-IR"/>
        </w:rPr>
        <w:t xml:space="preserve">، و حکمها وجوب الوضوء لکلّ صلاة بعد تبدیل القطنة أو تطهیرها علی الأحوط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662" w:name="pg1809_18825"/>
    </w:p>
    <w:p>
      <w:pPr>
        <w:pStyle w:val="Heading6"/>
        <w:numPr>
          <w:ilvl w:val="5"/>
          <w:numId w:val="1"/>
        </w:numPr>
        <w:rPr/>
      </w:pPr>
      <w:bookmarkStart w:id="663" w:name="__RefHeading___Toc2565594_3650668749"/>
      <w:bookmarkStart w:id="664" w:name="_Toc306"/>
      <w:bookmarkEnd w:id="662"/>
      <w:bookmarkEnd w:id="663"/>
      <w:r>
        <w:rPr>
          <w:rtl w:val="true"/>
        </w:rPr>
        <w:t>[</w:t>
      </w:r>
      <w:r>
        <w:rPr>
          <w:rtl w:val="true"/>
        </w:rPr>
        <w:t>و الثانیة المتوسطة</w:t>
      </w:r>
      <w:r>
        <w:rPr>
          <w:rtl w:val="true"/>
        </w:rPr>
        <w:t>]</w:t>
      </w:r>
      <w:bookmarkEnd w:id="664"/>
    </w:p>
    <w:p>
      <w:pPr>
        <w:pStyle w:val="BookText"/>
        <w:rPr/>
      </w:pPr>
      <w:r>
        <w:rPr>
          <w:rFonts w:ascii="IRNazanin" w:hAnsi="IRNazanin" w:eastAsia="IRNazanin"/>
          <w:color w:val="111111"/>
          <w:sz w:val="28"/>
          <w:sz w:val="28"/>
          <w:szCs w:val="28"/>
          <w:rtl w:val="true"/>
          <w:lang w:bidi="fa-IR"/>
        </w:rPr>
        <w:t>و الثانیة أن یغمس الدم فی القطنة و لا یسیل منها إلی الخرقة التی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حکمها مضافاً إلیٰ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علیها فی ذلک الیوم غسل واحد لصلاة الغداة بل لکلّ صلاة حدثت قبلها أو فی أثنائها علی الأقویٰ، فإن حدثت بعد صلاة الغداة یجب للظهرین، کما أنّه إن حدثت بعدهما یجب للعشاءین</w:t>
      </w:r>
      <w:r>
        <w:rPr>
          <w:rFonts w:eastAsia="IRNazanin" w:cs="IRNazanin"/>
          <w:color w:val="111111"/>
          <w:sz w:val="28"/>
          <w:szCs w:val="28"/>
          <w:rtl w:val="true"/>
          <w:lang w:bidi="fa-IR"/>
        </w:rPr>
        <w:t>.</w:t>
      </w:r>
    </w:p>
    <w:p>
      <w:pPr>
        <w:pStyle w:val="Heading6"/>
        <w:numPr>
          <w:ilvl w:val="5"/>
          <w:numId w:val="1"/>
        </w:numPr>
        <w:rPr/>
      </w:pPr>
      <w:bookmarkStart w:id="665" w:name="__RefHeading___Toc2565596_3650668749"/>
      <w:bookmarkStart w:id="666" w:name="_Toc307"/>
      <w:bookmarkEnd w:id="665"/>
      <w:r>
        <w:rPr>
          <w:rtl w:val="true"/>
        </w:rPr>
        <w:t>[</w:t>
      </w:r>
      <w:r>
        <w:rPr>
          <w:rtl w:val="true"/>
        </w:rPr>
        <w:t>و الثالثة الکثیرة</w:t>
      </w:r>
      <w:r>
        <w:rPr>
          <w:rtl w:val="true"/>
        </w:rPr>
        <w:t>]</w:t>
      </w:r>
      <w:bookmarkEnd w:id="666"/>
    </w:p>
    <w:p>
      <w:pPr>
        <w:pStyle w:val="BookText"/>
        <w:rPr/>
      </w:pPr>
      <w:r>
        <w:rPr>
          <w:rFonts w:ascii="IRNazanin" w:hAnsi="IRNazanin" w:eastAsia="IRNazanin"/>
          <w:color w:val="111111"/>
          <w:sz w:val="28"/>
          <w:sz w:val="28"/>
          <w:szCs w:val="28"/>
          <w:rtl w:val="true"/>
          <w:lang w:bidi="fa-IR"/>
        </w:rPr>
        <w:t>و الثالثة أن یسیل الدم من القطنة إلی الخرقة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حکمها مضافاً إلیٰ ما ذکر و إلی تبدیل الخرقة أو تطهیرها غسل آخر للظهرین تجمع بینهما و غسل للعشاءین تجمع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قبل صلاة الفجر، و لو حدثت بعدها یجب فی ذلک الیوم غسلان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للظهرین و غسل للعشاءین، کما أنّه إن حدثت بعد الظهرین یجب غسل واحد للعشاءین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الجمع بین الصلاتین بغسل واحد مشروط بالجمع بینهما و أنّه رخصة لا عزیمة، فلو لم تجمع بینهما یجب الغسل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الاستحاضة الصغریٰ حدث أصغر کالبول، فإذا استمرّت أو حدثت قبل کلّ صلاة من الصلوات الخمس تکون کالحدث المستمرّ کالسلس، و الکبریٰ و الوسطی کما أنّهما حدث أصغر حدث أکبر أیضاً</w:t>
      </w:r>
      <w:r>
        <w:rPr>
          <w:rFonts w:eastAsia="IRNazanin" w:cs="IRNazanin"/>
          <w:color w:val="111111"/>
          <w:sz w:val="28"/>
          <w:szCs w:val="28"/>
          <w:rtl w:val="true"/>
          <w:lang w:bidi="fa-IR"/>
        </w:rPr>
        <w:t>.</w:t>
      </w:r>
    </w:p>
    <w:p>
      <w:pPr>
        <w:pStyle w:val="Heading6"/>
        <w:numPr>
          <w:ilvl w:val="5"/>
          <w:numId w:val="1"/>
        </w:numPr>
        <w:rPr/>
      </w:pPr>
      <w:bookmarkStart w:id="667" w:name="__RefHeading___Toc2565598_3650668749"/>
      <w:bookmarkStart w:id="668" w:name="_Toc308"/>
      <w:bookmarkEnd w:id="667"/>
      <w:r>
        <w:rPr>
          <w:rtl w:val="true"/>
        </w:rPr>
        <w:t>[</w:t>
      </w:r>
      <w:r>
        <w:rPr>
          <w:rtl w:val="true"/>
        </w:rPr>
        <w:t>مسائل</w:t>
      </w:r>
      <w:r>
        <w:rPr>
          <w:rtl w:val="true"/>
        </w:rPr>
        <w:t>]</w:t>
      </w:r>
      <w:bookmarkEnd w:id="668"/>
    </w:p>
    <w:p>
      <w:pPr>
        <w:pStyle w:val="Heading6"/>
        <w:numPr>
          <w:ilvl w:val="5"/>
          <w:numId w:val="1"/>
        </w:numPr>
        <w:rPr/>
      </w:pPr>
      <w:bookmarkStart w:id="669" w:name="__RefHeading___Toc2565600_3650668749"/>
      <w:bookmarkStart w:id="670" w:name="_Toc309"/>
      <w:bookmarkEnd w:id="669"/>
      <w:r>
        <w:rPr>
          <w:rtl w:val="true"/>
        </w:rPr>
        <w:t>[ (</w:t>
      </w:r>
      <w:r>
        <w:rPr>
          <w:rtl w:val="true"/>
        </w:rPr>
        <w:t xml:space="preserve">مسألة </w:t>
      </w:r>
      <w:r>
        <w:rPr/>
        <w:t>1</w:t>
      </w:r>
      <w:r>
        <w:rPr>
          <w:rtl w:val="true"/>
        </w:rPr>
        <w:t xml:space="preserve">): </w:t>
      </w:r>
      <w:r>
        <w:rPr>
          <w:rtl w:val="true"/>
        </w:rPr>
        <w:t>یجب علی المستحاضة اختبار حالها فی وقت کلّ صلاة بإدخال قطنة و نحوها</w:t>
      </w:r>
      <w:r>
        <w:rPr>
          <w:rtl w:val="true"/>
        </w:rPr>
        <w:t>]</w:t>
      </w:r>
      <w:bookmarkEnd w:id="6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Style w:val="FootnoteAnchor"/>
          <w:rtl w:val="true"/>
        </w:rPr>
        <w:footnoteReference w:id="144"/>
      </w:r>
      <w:r>
        <w:rPr>
          <w:rFonts w:ascii="IRNazanin" w:hAnsi="IRNazanin" w:eastAsia="IRNazanin"/>
          <w:color w:val="111111"/>
          <w:sz w:val="28"/>
          <w:sz w:val="28"/>
          <w:szCs w:val="28"/>
          <w:rtl w:val="true"/>
          <w:lang w:bidi="fa-IR"/>
        </w:rPr>
        <w:t>علی المستحاضة اختبار حالها فی وقت کلّ صلاة بإدخال قطنة و نحوها و الصبر قلیلًا لتعلم أنّها من أیّ قسم من الأقسام لتعمل بمقتضیٰ وظیفتها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الاختبار قبل الوقت إلّا إذا علمت بعدم تغیّر حالها إلیٰ ما بعد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تتمکّن من الاختبار فإن کان لها حالة سابقة من القلّة أو التوسّط أو الکثرة تأخذ بها و تعمل بمقتضیٰ وظیفتها و إلّا فتأخذ بالقدر المتیقّن، فإذا تردّدت بین القلیلة و غیرها تعمل عمل القلیلة و إن تردّدت بین المتوسّطة و الکثیرة تعمل عمل المتوسّطة و الأحوط مراعاة أسوأ الحالات</w:t>
      </w:r>
      <w:r>
        <w:rPr>
          <w:rFonts w:eastAsia="IRNazanin" w:cs="IRNazanin"/>
          <w:color w:val="111111"/>
          <w:sz w:val="28"/>
          <w:szCs w:val="28"/>
          <w:rtl w:val="true"/>
          <w:lang w:bidi="fa-IR"/>
        </w:rPr>
        <w:t>.</w:t>
      </w:r>
    </w:p>
    <w:p>
      <w:pPr>
        <w:pStyle w:val="Heading6"/>
        <w:numPr>
          <w:ilvl w:val="5"/>
          <w:numId w:val="1"/>
        </w:numPr>
        <w:rPr/>
      </w:pPr>
      <w:bookmarkStart w:id="671" w:name="__RefHeading___Toc2565602_3650668749"/>
      <w:bookmarkStart w:id="672" w:name="_Toc310"/>
      <w:bookmarkEnd w:id="671"/>
      <w:r>
        <w:rPr>
          <w:rtl w:val="true"/>
        </w:rPr>
        <w:t>[ (</w:t>
      </w:r>
      <w:r>
        <w:rPr>
          <w:rtl w:val="true"/>
        </w:rPr>
        <w:t xml:space="preserve">مسألة </w:t>
      </w:r>
      <w:r>
        <w:rPr/>
        <w:t>2</w:t>
      </w:r>
      <w:r>
        <w:rPr>
          <w:rtl w:val="true"/>
        </w:rPr>
        <w:t xml:space="preserve">): </w:t>
      </w:r>
      <w:r>
        <w:rPr>
          <w:rtl w:val="true"/>
        </w:rPr>
        <w:t>إنّما یجب تجدید الوضوء لکلّ صلاة و الأعمال المذکورة إذا استمرّ الدم</w:t>
      </w:r>
      <w:r>
        <w:rPr>
          <w:rtl w:val="true"/>
        </w:rPr>
        <w:t>]</w:t>
      </w:r>
      <w:bookmarkEnd w:id="67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یجب تجدید الوضوء لکلّ صلاة و الأعمال المذکورة إذا استمرّ الدم، فلو فرض انقطاعه قبل صلاة الظهر یجب لها فقط و لا یجب للعصر و لا للعشاءین و إن انقطع بعد الظهر وجب للعصر فقط و هکذا، بل إذا انقطع الدم و توضّأت للظهر و بقی وضوؤها إلی المغرب و العشاء صلّتهما بذلک الوضوء و لم تحتج إلیٰ تجدیده</w:t>
      </w:r>
      <w:r>
        <w:rPr>
          <w:rFonts w:eastAsia="IRNazanin" w:cs="IRNazanin"/>
          <w:color w:val="111111"/>
          <w:sz w:val="28"/>
          <w:szCs w:val="28"/>
          <w:rtl w:val="true"/>
          <w:lang w:bidi="fa-IR"/>
        </w:rPr>
        <w:t>.</w:t>
      </w:r>
      <w:bookmarkStart w:id="673" w:name="pg1809_18827"/>
    </w:p>
    <w:p>
      <w:pPr>
        <w:pStyle w:val="Heading6"/>
        <w:numPr>
          <w:ilvl w:val="5"/>
          <w:numId w:val="1"/>
        </w:numPr>
        <w:rPr/>
      </w:pPr>
      <w:bookmarkStart w:id="674" w:name="__RefHeading___Toc2565604_3650668749"/>
      <w:bookmarkStart w:id="675" w:name="_Toc311"/>
      <w:bookmarkEnd w:id="673"/>
      <w:bookmarkEnd w:id="674"/>
      <w:r>
        <w:rPr>
          <w:rtl w:val="true"/>
        </w:rPr>
        <w:t>[ (</w:t>
      </w:r>
      <w:r>
        <w:rPr>
          <w:rtl w:val="true"/>
        </w:rPr>
        <w:t xml:space="preserve">مسألة </w:t>
      </w:r>
      <w:r>
        <w:rPr/>
        <w:t>3</w:t>
      </w:r>
      <w:r>
        <w:rPr>
          <w:rtl w:val="true"/>
        </w:rPr>
        <w:t xml:space="preserve">): </w:t>
      </w:r>
      <w:r>
        <w:rPr>
          <w:rtl w:val="true"/>
        </w:rPr>
        <w:t>یجب بعد الوضوء و الغسل المبادرة إلی الصلاة</w:t>
      </w:r>
      <w:r>
        <w:rPr>
          <w:rtl w:val="true"/>
        </w:rPr>
        <w:t>]</w:t>
      </w:r>
      <w:bookmarkEnd w:id="6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بعد الوضوء و الغسل المبادرة إلی الصلاة إذا لم ینقطع الدم بعدهما أو خافت عوده بعدهما قبل الصلاة أو فی أثنائها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توضّأت و اغتسلت فی أوّل الوقت مثلًا و انقطع الدم حین الشروع فی الوضوء و الغسل و لو انقطاع فترة و علمت بعدم عوده إلیٰ آخر الوقت جاز لها تأخیر الصلاة</w:t>
      </w:r>
      <w:r>
        <w:rPr>
          <w:rFonts w:eastAsia="IRNazanin" w:cs="IRNazanin"/>
          <w:color w:val="111111"/>
          <w:sz w:val="28"/>
          <w:szCs w:val="28"/>
          <w:rtl w:val="true"/>
          <w:lang w:bidi="fa-IR"/>
        </w:rPr>
        <w:t>.</w:t>
      </w:r>
    </w:p>
    <w:p>
      <w:pPr>
        <w:pStyle w:val="Heading6"/>
        <w:numPr>
          <w:ilvl w:val="5"/>
          <w:numId w:val="1"/>
        </w:numPr>
        <w:rPr/>
      </w:pPr>
      <w:bookmarkStart w:id="676" w:name="__RefHeading___Toc2565606_3650668749"/>
      <w:bookmarkStart w:id="677" w:name="_Toc312"/>
      <w:bookmarkEnd w:id="676"/>
      <w:r>
        <w:rPr>
          <w:rtl w:val="true"/>
        </w:rPr>
        <w:t>[ (</w:t>
      </w:r>
      <w:r>
        <w:rPr>
          <w:rtl w:val="true"/>
        </w:rPr>
        <w:t xml:space="preserve">مسألة </w:t>
      </w:r>
      <w:r>
        <w:rPr/>
        <w:t>4</w:t>
      </w:r>
      <w:r>
        <w:rPr>
          <w:rtl w:val="true"/>
        </w:rPr>
        <w:t xml:space="preserve">): </w:t>
      </w:r>
      <w:r>
        <w:rPr>
          <w:rtl w:val="true"/>
        </w:rPr>
        <w:t>یجب علیها بعد الوضوء و الغسل التحفّظ من خروج الدم</w:t>
      </w:r>
      <w:r>
        <w:rPr>
          <w:rtl w:val="true"/>
        </w:rPr>
        <w:t>]</w:t>
      </w:r>
      <w:bookmarkEnd w:id="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علیها بعد الوضوء و الغسل التحفّظ من خروج الدم مع عدم خوف الضرر بحشو قطنة أو غیرها و شدّها بخرقة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خرج الدم لتقصیرها فی الشدّ أعادت الصلاة، بل الأحوط لو لم یکن الأقویٰ إعادة الغسل </w:t>
      </w:r>
      <w:r>
        <w:rPr>
          <w:rStyle w:val="FootnoteAnchor"/>
          <w:rtl w:val="true"/>
        </w:rPr>
        <w:footnoteReference w:id="145"/>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خروج الدم لغلبته لا لتقصیر منها فی التحفّظ فلا بأس</w:t>
      </w:r>
      <w:r>
        <w:rPr>
          <w:rFonts w:eastAsia="IRNazanin" w:cs="IRNazanin"/>
          <w:color w:val="111111"/>
          <w:sz w:val="28"/>
          <w:szCs w:val="28"/>
          <w:rtl w:val="true"/>
          <w:lang w:bidi="fa-IR"/>
        </w:rPr>
        <w:t>.</w:t>
      </w:r>
    </w:p>
    <w:p>
      <w:pPr>
        <w:pStyle w:val="Heading6"/>
        <w:numPr>
          <w:ilvl w:val="5"/>
          <w:numId w:val="1"/>
        </w:numPr>
        <w:rPr/>
      </w:pPr>
      <w:bookmarkStart w:id="678" w:name="__RefHeading___Toc2565608_3650668749"/>
      <w:bookmarkStart w:id="679" w:name="_Toc313"/>
      <w:bookmarkEnd w:id="678"/>
      <w:r>
        <w:rPr>
          <w:rtl w:val="true"/>
        </w:rPr>
        <w:t>[ (</w:t>
      </w:r>
      <w:r>
        <w:rPr>
          <w:rtl w:val="true"/>
        </w:rPr>
        <w:t xml:space="preserve">مسألة </w:t>
      </w:r>
      <w:r>
        <w:rPr/>
        <w:t>5</w:t>
      </w:r>
      <w:r>
        <w:rPr>
          <w:rtl w:val="true"/>
        </w:rPr>
        <w:t xml:space="preserve">): </w:t>
      </w:r>
      <w:r>
        <w:rPr>
          <w:rtl w:val="true"/>
        </w:rPr>
        <w:t>إذا انتقلت الاستحاضة من الأدنی إلی الأعلی</w:t>
      </w:r>
      <w:r>
        <w:rPr>
          <w:rtl w:val="true"/>
        </w:rPr>
        <w:t>]</w:t>
      </w:r>
      <w:bookmarkEnd w:id="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انتقلت الاستحاضة من الأدنی إلی الأعلی کما إذا صارت القلیلة متوسّطة أو کثیرة، أو المتوسّطة کثیرة فبالنسبة إلی الصلاة التی صلّتها مع وظیفة الأدنی لا أثر لهذا الانتقال فلا یجب إعادتها، و أمّا بالنسبة إلی الصلوات المتأخّرة </w:t>
      </w:r>
      <w:r>
        <w:rPr>
          <w:rStyle w:val="FootnoteAnchor"/>
          <w:rtl w:val="true"/>
        </w:rPr>
        <w:footnoteReference w:id="146"/>
      </w:r>
      <w:r>
        <w:rPr>
          <w:rFonts w:ascii="IRNazanin" w:hAnsi="IRNazanin" w:eastAsia="IRNazanin"/>
          <w:color w:val="111111"/>
          <w:sz w:val="28"/>
          <w:sz w:val="28"/>
          <w:szCs w:val="28"/>
          <w:rtl w:val="true"/>
          <w:lang w:bidi="fa-IR"/>
        </w:rPr>
        <w:t>تعمل عمل الأعلی؛ فإذا تبدّلت القلیلة بالمتوسّطة أو بالکثیرة بعد صلاة الصبح مضت صلاتها و تکون بالنسبة إلی الظهرین و العشاءین کما إذا حدثتا بعد الصلاة من دون سبق القلّة فتغتسل غسلًا واحداً للظهرین فی الصورة الأُولیٰ و غسلین لهما و للعشاءین فی الصورة الثانیة، بخلاف ما إذا تبدّلت إلیهما قبل صلاة الصبح فإنّه تغتسل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توضّأت قبل التبدّل تستأنف الوضوء، حتّی إذا تبدّلت المتوسّطة بالکثیرة بعد الاغتسال لصلاة الصبح استأنفت الغسل و تعمل فی ذلک الیوم عمل الکثیرة، کما إذا لم یکن مسبوقاً بالتوسّط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انتقلت من الأعلی إلی الأدنی تعمل لصلاة واحدة عمل الأعلی ثمّ تعمل عمل الأدنی؛ فلو تبدّلت الکثیرة إلی القلیلة قبل الاغتسال لصلاة الصبح و استمرّت علیها اغتسلت للصبح و اکتفت بالوضوء للبواقی، و لو تبدّلت الکثیرة إلی المتوسّطة بعد صلاة الصبح اغتسلت للظهر و اکتفت بالوضوء للعصر و العشاءین</w:t>
      </w:r>
      <w:r>
        <w:rPr>
          <w:rFonts w:eastAsia="IRNazanin" w:cs="IRNazanin"/>
          <w:color w:val="111111"/>
          <w:sz w:val="28"/>
          <w:szCs w:val="28"/>
          <w:rtl w:val="true"/>
          <w:lang w:bidi="fa-IR"/>
        </w:rPr>
        <w:t>.</w:t>
      </w:r>
    </w:p>
    <w:p>
      <w:pPr>
        <w:pStyle w:val="Heading6"/>
        <w:numPr>
          <w:ilvl w:val="5"/>
          <w:numId w:val="1"/>
        </w:numPr>
        <w:rPr/>
      </w:pPr>
      <w:bookmarkStart w:id="680" w:name="__RefHeading___Toc2565610_3650668749"/>
      <w:bookmarkStart w:id="681" w:name="_Toc314"/>
      <w:bookmarkEnd w:id="680"/>
      <w:r>
        <w:rPr>
          <w:rtl w:val="true"/>
        </w:rPr>
        <w:t>[ (</w:t>
      </w:r>
      <w:r>
        <w:rPr>
          <w:rtl w:val="true"/>
        </w:rPr>
        <w:t xml:space="preserve">مسألة </w:t>
      </w:r>
      <w:r>
        <w:rPr/>
        <w:t>6</w:t>
      </w:r>
      <w:r>
        <w:rPr>
          <w:rtl w:val="true"/>
        </w:rPr>
        <w:t xml:space="preserve">): </w:t>
      </w:r>
      <w:r>
        <w:rPr>
          <w:rtl w:val="true"/>
        </w:rPr>
        <w:t>یصحّ الصوم من المستحاضة القلیلة</w:t>
      </w:r>
      <w:r>
        <w:rPr>
          <w:rtl w:val="true"/>
        </w:rPr>
        <w:t>]</w:t>
      </w:r>
      <w:bookmarkEnd w:id="68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الصوم من المستحاضة القلیلة، و لا یشترط فی صحّته الوضوء،</w:t>
      </w:r>
      <w:bookmarkStart w:id="682" w:name="pg1809_18830"/>
    </w:p>
    <w:p>
      <w:pPr>
        <w:pStyle w:val="BookText"/>
        <w:rPr/>
      </w:pPr>
      <w:bookmarkEnd w:id="682"/>
      <w:r>
        <w:rPr>
          <w:rFonts w:ascii="IRNazanin" w:hAnsi="IRNazanin" w:eastAsia="IRNazanin"/>
          <w:color w:val="111111"/>
          <w:sz w:val="28"/>
          <w:sz w:val="28"/>
          <w:szCs w:val="28"/>
          <w:rtl w:val="true"/>
          <w:lang w:bidi="fa-IR"/>
        </w:rPr>
        <w:t xml:space="preserve">و أمّا غیرها فیشترط فی صحّة صومها الأغسال النهاریة علی الأحوط </w:t>
      </w:r>
      <w:r>
        <w:rPr>
          <w:rStyle w:val="FootnoteAnchor"/>
          <w:rtl w:val="true"/>
        </w:rPr>
        <w:footnoteReference w:id="147"/>
      </w:r>
      <w:r>
        <w:rPr>
          <w:rFonts w:ascii="IRNazanin" w:hAnsi="IRNazanin" w:eastAsia="IRNazanin"/>
          <w:color w:val="111111"/>
          <w:sz w:val="28"/>
          <w:sz w:val="28"/>
          <w:szCs w:val="28"/>
          <w:rtl w:val="true"/>
          <w:lang w:bidi="fa-IR"/>
        </w:rPr>
        <w:t xml:space="preserve">، و أمّا غسل العشاءین فی الکثیرة فلیس شرطاً فی صحّة صوم ذلک الیوم و إن کان الأحوط </w:t>
      </w:r>
      <w:r>
        <w:rPr>
          <w:rStyle w:val="FootnoteAnchor"/>
          <w:rtl w:val="true"/>
        </w:rPr>
        <w:footnoteReference w:id="148"/>
      </w:r>
      <w:r>
        <w:rPr>
          <w:rFonts w:ascii="IRNazanin" w:hAnsi="IRNazanin" w:eastAsia="IRNazanin"/>
          <w:color w:val="111111"/>
          <w:sz w:val="28"/>
          <w:sz w:val="28"/>
          <w:szCs w:val="28"/>
          <w:rtl w:val="true"/>
          <w:lang w:bidi="fa-IR"/>
        </w:rPr>
        <w:t>مراعاته أیضاً</w:t>
      </w:r>
      <w:r>
        <w:rPr>
          <w:rFonts w:eastAsia="IRNazanin" w:cs="IRNazanin"/>
          <w:color w:val="111111"/>
          <w:sz w:val="28"/>
          <w:szCs w:val="28"/>
          <w:rtl w:val="true"/>
          <w:lang w:bidi="fa-IR"/>
        </w:rPr>
        <w:t>.</w:t>
      </w:r>
    </w:p>
    <w:p>
      <w:pPr>
        <w:pStyle w:val="Heading6"/>
        <w:numPr>
          <w:ilvl w:val="5"/>
          <w:numId w:val="1"/>
        </w:numPr>
        <w:rPr/>
      </w:pPr>
      <w:bookmarkStart w:id="683" w:name="__RefHeading___Toc2565612_3650668749"/>
      <w:bookmarkStart w:id="684" w:name="_Toc315"/>
      <w:bookmarkEnd w:id="683"/>
      <w:r>
        <w:rPr>
          <w:rtl w:val="true"/>
        </w:rPr>
        <w:t>[ (</w:t>
      </w:r>
      <w:r>
        <w:rPr>
          <w:rtl w:val="true"/>
        </w:rPr>
        <w:t xml:space="preserve">مسألة </w:t>
      </w:r>
      <w:r>
        <w:rPr/>
        <w:t>7</w:t>
      </w:r>
      <w:r>
        <w:rPr>
          <w:rtl w:val="true"/>
        </w:rPr>
        <w:t xml:space="preserve">): </w:t>
      </w:r>
      <w:r>
        <w:rPr>
          <w:rtl w:val="true"/>
        </w:rPr>
        <w:t>إذا انقطع دمها فإن کان قبل فعل الطهارة أتت بها و صلّت</w:t>
      </w:r>
      <w:r>
        <w:rPr>
          <w:rtl w:val="true"/>
        </w:rPr>
        <w:t>]</w:t>
      </w:r>
      <w:bookmarkEnd w:id="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انقطع دمها فإن کان قبل فعل الطهارة أتت بها و صلّت، و إن کان بعد فعلها و قبل فعل الصلاة أعادتها و صلّت إذا کان الانقطاع لبرء، و کذا لو کان لفترة و کانت واسعة للطهارة و الصلاة فی الوقت، و أمّا لو لم تکن واسعة لهما اکتفت بتلک الطهارة و صلّت، و کذلک لو کانت شاکّة فی سعتها أو علمت بالسعة </w:t>
      </w:r>
      <w:r>
        <w:rPr>
          <w:rStyle w:val="FootnoteAnchor"/>
          <w:rtl w:val="true"/>
        </w:rPr>
        <w:footnoteReference w:id="149"/>
      </w:r>
      <w:r>
        <w:rPr>
          <w:rFonts w:ascii="IRNazanin" w:hAnsi="IRNazanin" w:eastAsia="IRNazanin"/>
          <w:color w:val="111111"/>
          <w:sz w:val="28"/>
          <w:sz w:val="28"/>
          <w:szCs w:val="28"/>
          <w:rtl w:val="true"/>
          <w:lang w:bidi="fa-IR"/>
        </w:rPr>
        <w:t>لکنّها شکّت فی أنّه للبرء أو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الصورة الثانیة لو انکشف بعد ذلک کونه لبرء أعادت الطهارة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انقطع فی أثناء الصلاة أعادت الطهارة و الصلاة إن کان لبرء أو لفترة واسعة، و إن لم تکن واسعة أتمّت 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انقطع بعد فعل الصلاة فلا إعادة علیها علی الأقویٰ و إن کان لبرء</w:t>
      </w:r>
      <w:r>
        <w:rPr>
          <w:rFonts w:eastAsia="IRNazanin" w:cs="IRNazanin"/>
          <w:color w:val="111111"/>
          <w:sz w:val="28"/>
          <w:szCs w:val="28"/>
          <w:rtl w:val="true"/>
          <w:lang w:bidi="fa-IR"/>
        </w:rPr>
        <w:t>.</w:t>
      </w:r>
    </w:p>
    <w:p>
      <w:pPr>
        <w:pStyle w:val="Heading6"/>
        <w:numPr>
          <w:ilvl w:val="5"/>
          <w:numId w:val="1"/>
        </w:numPr>
        <w:rPr/>
      </w:pPr>
      <w:bookmarkStart w:id="685" w:name="__RefHeading___Toc2565614_3650668749"/>
      <w:bookmarkStart w:id="686" w:name="_Toc316"/>
      <w:bookmarkEnd w:id="685"/>
      <w:r>
        <w:rPr>
          <w:rtl w:val="true"/>
        </w:rPr>
        <w:t>[ (</w:t>
      </w:r>
      <w:r>
        <w:rPr>
          <w:rtl w:val="true"/>
        </w:rPr>
        <w:t xml:space="preserve">مسألة </w:t>
      </w:r>
      <w:r>
        <w:rPr/>
        <w:t>8</w:t>
      </w:r>
      <w:r>
        <w:rPr>
          <w:rtl w:val="true"/>
        </w:rPr>
        <w:t xml:space="preserve">): </w:t>
      </w:r>
      <w:r>
        <w:rPr>
          <w:rtl w:val="true"/>
        </w:rPr>
        <w:t>وظیفة المستحاضة بالنسبة إلی غیر الصلاة و الصیام من الأحکام</w:t>
      </w:r>
      <w:r>
        <w:rPr>
          <w:rtl w:val="true"/>
        </w:rPr>
        <w:t>]</w:t>
      </w:r>
      <w:bookmarkEnd w:id="68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ممّا مرّ حکم المستحاضة و ما لها من الأقسام و وظائفها بالنسبة إلی الصلاة و الصیام، و أمّا بالنسبة إلیٰ سائر الأحکام فلا إشکال فی أنّه یجب علیها الوضوء فقط للطواف الواجب إذا کانت ذات الصغریٰ، و هو مع الغسل إذا کانت ذات الکبری أو الوسطیٰ؛ لکونها محدثة بالحدث الأصغر فی الاولیٰ و به و بالأکبر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w:t>
      </w:r>
      <w:r>
        <w:rPr>
          <w:rStyle w:val="FootnoteAnchor"/>
          <w:rtl w:val="true"/>
        </w:rPr>
        <w:footnoteReference w:id="150"/>
      </w:r>
      <w:r>
        <w:rPr>
          <w:rFonts w:ascii="IRNazanin" w:hAnsi="IRNazanin" w:eastAsia="IRNazanin"/>
          <w:color w:val="111111"/>
          <w:sz w:val="28"/>
          <w:sz w:val="28"/>
          <w:szCs w:val="28"/>
          <w:rtl w:val="true"/>
          <w:lang w:bidi="fa-IR"/>
        </w:rPr>
        <w:t>عدم کفایة الوضوء الصلاتی فی الاولیٰ مع استدامتها و لا الإتیان به مع الغسل فی غیرها؛ خصوصاً إذا أوقعت ذات الوسطی الطواف فی غیر وقت الغداة أو ذات الکبری فی غیر الأوقات الثلاثة، فیتوقّف صحّة طوافها علی الوضوء و الغسل له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الطواف المستحبّ فحیث إنّه لا یشترط فیه الطهارة من الحدث لا یحتاج إلی الوضوء و لا إلی الغسل من حیث هو و إن احتاج إلی الغسل فی غیر ذات الصغریٰ من جهة دخول المسجد لو قلنا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مسّ کتابة القرآن فلا إشکال فی أنّه لا یحلّ لها إلّا بالوضوء فقط فی ذات الصغریٰ و به مع الغسل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یکفی مجرّد الإتیان بوظائف الصلاة بل یحتاج </w:t>
      </w:r>
      <w:r>
        <w:rPr>
          <w:rStyle w:val="FootnoteAnchor"/>
          <w:rtl w:val="true"/>
        </w:rPr>
        <w:footnoteReference w:id="151"/>
      </w:r>
      <w:r>
        <w:rPr>
          <w:rFonts w:ascii="IRNazanin" w:hAnsi="IRNazanin" w:eastAsia="IRNazanin"/>
          <w:color w:val="111111"/>
          <w:sz w:val="28"/>
          <w:sz w:val="28"/>
          <w:szCs w:val="28"/>
          <w:rtl w:val="true"/>
          <w:lang w:bidi="fa-IR"/>
        </w:rPr>
        <w:t>إلی الوضوء</w:t>
      </w:r>
      <w:bookmarkStart w:id="687" w:name="pg1809_18832"/>
    </w:p>
    <w:p>
      <w:pPr>
        <w:pStyle w:val="BookText"/>
        <w:rPr/>
      </w:pPr>
      <w:bookmarkEnd w:id="687"/>
      <w:r>
        <w:rPr>
          <w:rFonts w:ascii="IRNazanin" w:hAnsi="IRNazanin" w:eastAsia="IRNazanin"/>
          <w:color w:val="111111"/>
          <w:sz w:val="28"/>
          <w:sz w:val="28"/>
          <w:szCs w:val="28"/>
          <w:rtl w:val="true"/>
          <w:lang w:bidi="fa-IR"/>
        </w:rPr>
        <w:t>أو الغسل له مستقلا، نعم الظاهر جوازه حال إیقاع الصلاة التی أتت بوظیفتها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تکون ذات الکبری و الوسطی بحکم الحائض مطلقاً؛ فیحرم علیهما ما یحرم علیها بدون الغسل أم لا؟ الأحوط لو لم یکن الأقویٰ </w:t>
      </w:r>
      <w:r>
        <w:rPr>
          <w:rStyle w:val="FootnoteAnchor"/>
          <w:rtl w:val="true"/>
        </w:rPr>
        <w:footnoteReference w:id="152"/>
      </w:r>
      <w:r>
        <w:rPr>
          <w:rFonts w:ascii="IRNazanin" w:hAnsi="IRNazanin" w:eastAsia="IRNazanin"/>
          <w:color w:val="111111"/>
          <w:sz w:val="28"/>
          <w:sz w:val="28"/>
          <w:szCs w:val="28"/>
          <w:rtl w:val="true"/>
          <w:lang w:bidi="fa-IR"/>
        </w:rPr>
        <w:t>أن لا یغشاها زوجها ما لم تغتسل، بل الأحوط ضمّ الوضوء أیضاً و یکفی الغسل الصلاتی إذا واقع فی وقتها بعد الصلاة، و أمّا إذا واقع فی وقت آخر فیحتاج إلیٰ غسل له مستقلا کما قلنا فی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مکثها فی المساجد و دخولها فی المسجدین فالأقویٰ جوازه لها بدون الاغتسال و إن کان الأحوط الاجتناب عنه بدونه للصلاة أو له مستقلا کالوطء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صحّة طلاقها فلا إشکال فی عدم کونها مشروطة بالاغتسال</w:t>
      </w:r>
      <w:r>
        <w:rPr>
          <w:rFonts w:eastAsia="IRNazanin" w:cs="IRNazanin"/>
          <w:color w:val="111111"/>
          <w:sz w:val="28"/>
          <w:szCs w:val="28"/>
          <w:rtl w:val="true"/>
          <w:lang w:bidi="fa-IR"/>
        </w:rPr>
        <w:t>.</w:t>
      </w:r>
    </w:p>
    <w:p>
      <w:pPr>
        <w:pStyle w:val="Heading5"/>
        <w:numPr>
          <w:ilvl w:val="4"/>
          <w:numId w:val="1"/>
        </w:numPr>
        <w:rPr/>
      </w:pPr>
      <w:bookmarkStart w:id="688" w:name="__RefHeading___Toc2565616_3650668749"/>
      <w:bookmarkStart w:id="689" w:name="_Toc317"/>
      <w:bookmarkEnd w:id="688"/>
      <w:r>
        <w:rPr>
          <w:rtl w:val="true"/>
        </w:rPr>
        <w:t>[</w:t>
      </w:r>
      <w:r>
        <w:rPr>
          <w:rtl w:val="true"/>
        </w:rPr>
        <w:t>فصل فی النفاس</w:t>
      </w:r>
      <w:r>
        <w:rPr>
          <w:rtl w:val="true"/>
        </w:rPr>
        <w:t>]</w:t>
      </w:r>
      <w:bookmarkEnd w:id="689"/>
    </w:p>
    <w:p>
      <w:pPr>
        <w:pStyle w:val="Heading6"/>
        <w:numPr>
          <w:ilvl w:val="5"/>
          <w:numId w:val="1"/>
        </w:numPr>
        <w:rPr/>
      </w:pPr>
      <w:bookmarkStart w:id="690" w:name="__RefHeading___Toc2565618_3650668749"/>
      <w:bookmarkStart w:id="691" w:name="_Toc318"/>
      <w:bookmarkEnd w:id="690"/>
      <w:r>
        <w:rPr>
          <w:rtl w:val="true"/>
        </w:rPr>
        <w:t>اشارة</w:t>
      </w:r>
      <w:bookmarkEnd w:id="691"/>
    </w:p>
    <w:p>
      <w:pPr>
        <w:pStyle w:val="BookText"/>
        <w:rPr/>
      </w:pPr>
      <w:r>
        <w:rPr>
          <w:rFonts w:ascii="IRNazanin" w:hAnsi="IRNazanin" w:eastAsia="IRNazanin"/>
          <w:color w:val="111111"/>
          <w:sz w:val="28"/>
          <w:sz w:val="28"/>
          <w:szCs w:val="28"/>
          <w:rtl w:val="true"/>
          <w:lang w:bidi="fa-IR"/>
        </w:rPr>
        <w:t>فصل فی النفاس و هو دم الولادة معها أو بعدها قبل انقضاء عشرة أیّام من حینها و لو کان سقطاً و لم تلج فیه الروح، بل و لو کان مضغة أو علقة إذا علم کونها مبدأ نشوء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الشکّ لم یحکم بکونه نفاساً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لأقلّه حدّ فیمکن أن یکون لحظة بین العشرة و لو لم تر دماً أصلًا أو رأته بعد العشرة من حین الولادة فلا نفاس لها، و أکثره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ابتداء الحساب بعد انفصال الولد، لا من حین الشروع فی الولادة، و إن ولدت فی أوّل النهار فاللیلة الأخیرة خارجة، و أمّا اللیلة الاولیٰ لو ولدت فی اللیل فهی جزء من النفاس و إن لم تحسب من العشرة، و إن ولدت فی وسط النهار یلفّق من الیوم الحادی عشر، و لو ولدت اثنین کان ابتداء نفاسها من الأوّل و مبدأ العشرة من وضع الثانی</w:t>
      </w:r>
      <w:r>
        <w:rPr>
          <w:rFonts w:eastAsia="IRNazanin" w:cs="IRNazanin"/>
          <w:color w:val="111111"/>
          <w:sz w:val="28"/>
          <w:szCs w:val="28"/>
          <w:rtl w:val="true"/>
          <w:lang w:bidi="fa-IR"/>
        </w:rPr>
        <w:t>.</w:t>
      </w:r>
    </w:p>
    <w:p>
      <w:pPr>
        <w:pStyle w:val="Heading6"/>
        <w:numPr>
          <w:ilvl w:val="5"/>
          <w:numId w:val="1"/>
        </w:numPr>
        <w:rPr/>
      </w:pPr>
      <w:bookmarkStart w:id="692" w:name="__RefHeading___Toc2565620_3650668749"/>
      <w:bookmarkStart w:id="693" w:name="_Toc319"/>
      <w:bookmarkEnd w:id="692"/>
      <w:r>
        <w:rPr>
          <w:rtl w:val="true"/>
        </w:rPr>
        <w:t>[ (</w:t>
      </w:r>
      <w:r>
        <w:rPr>
          <w:rtl w:val="true"/>
        </w:rPr>
        <w:t xml:space="preserve">مسألة </w:t>
      </w:r>
      <w:r>
        <w:rPr/>
        <w:t>1</w:t>
      </w:r>
      <w:r>
        <w:rPr>
          <w:rtl w:val="true"/>
        </w:rPr>
        <w:t xml:space="preserve">): </w:t>
      </w:r>
      <w:r>
        <w:rPr>
          <w:rtl w:val="true"/>
        </w:rPr>
        <w:t>إذا انقطع دمها علی العشرة أو قبلها فکلّ ما رأته نفاس</w:t>
      </w:r>
      <w:r>
        <w:rPr>
          <w:rtl w:val="true"/>
        </w:rPr>
        <w:t>]</w:t>
      </w:r>
      <w:bookmarkEnd w:id="69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دمها علی العشرة أو قبلها فکلّ ما رأته نفاس؛ سواء رأت تمام العشرة أو بعضها، و سواء کانت ذات العادة فی حیضها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النقاء المتخلّل بین الدمین أو الدماء بحکم النفاس علی الأقویٰ، فلو رأت یوماً بعد الولادة و انقطع ثمّ رأت العاشر یکون الکلّ نفاساً، و کذا لو رأت یوماً فیوماً لا إلی العشرة، و لو لم تر الدم إلّا الیوم العاشر یکون</w:t>
      </w:r>
      <w:bookmarkStart w:id="694" w:name="pg1809_18834"/>
    </w:p>
    <w:p>
      <w:pPr>
        <w:pStyle w:val="BookText"/>
        <w:rPr/>
      </w:pPr>
      <w:bookmarkEnd w:id="694"/>
      <w:r>
        <w:rPr>
          <w:rFonts w:ascii="IRNazanin" w:hAnsi="IRNazanin" w:eastAsia="IRNazanin"/>
          <w:color w:val="111111"/>
          <w:sz w:val="28"/>
          <w:sz w:val="28"/>
          <w:szCs w:val="28"/>
          <w:rtl w:val="true"/>
          <w:lang w:bidi="fa-IR"/>
        </w:rPr>
        <w:t>هو النفاس، و ما سبق من النقاء طهر کلّه، و لو رأت الثالث ثمّ رأت العاشر یکون نفاسها ثمانیة</w:t>
      </w:r>
      <w:r>
        <w:rPr>
          <w:rFonts w:eastAsia="IRNazanin" w:cs="IRNazanin"/>
          <w:color w:val="111111"/>
          <w:sz w:val="28"/>
          <w:szCs w:val="28"/>
          <w:rtl w:val="true"/>
          <w:lang w:bidi="fa-IR"/>
        </w:rPr>
        <w:t>.</w:t>
      </w:r>
    </w:p>
    <w:p>
      <w:pPr>
        <w:pStyle w:val="Heading6"/>
        <w:numPr>
          <w:ilvl w:val="5"/>
          <w:numId w:val="1"/>
        </w:numPr>
        <w:rPr/>
      </w:pPr>
      <w:bookmarkStart w:id="695" w:name="__RefHeading___Toc2565622_3650668749"/>
      <w:bookmarkStart w:id="696" w:name="_Toc320"/>
      <w:bookmarkEnd w:id="695"/>
      <w:r>
        <w:rPr>
          <w:rtl w:val="true"/>
        </w:rPr>
        <w:t>[ (</w:t>
      </w:r>
      <w:r>
        <w:rPr>
          <w:rtl w:val="true"/>
        </w:rPr>
        <w:t xml:space="preserve">مسألة </w:t>
      </w:r>
      <w:r>
        <w:rPr/>
        <w:t>2</w:t>
      </w:r>
      <w:r>
        <w:rPr>
          <w:rtl w:val="true"/>
        </w:rPr>
        <w:t xml:space="preserve">): </w:t>
      </w:r>
      <w:r>
        <w:rPr>
          <w:rtl w:val="true"/>
        </w:rPr>
        <w:t>لو رأت الدم فی تمام العشرة و استمرّ إلیٰ أن تجاوزها</w:t>
      </w:r>
      <w:r>
        <w:rPr>
          <w:rtl w:val="true"/>
        </w:rPr>
        <w:t>]</w:t>
      </w:r>
      <w:bookmarkEnd w:id="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رأت الدم فی تمام العشرة و استمرّ إلیٰ أن تجاوزها فإن کانت ذات عادة عددیّة فی الحیض ترجع فی نفاسها إلیٰ مقدار أیّام حیضها؛ سواء کانت عشرة أو أقلّ و عملت بعدها عمل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تکن ذات عادة تجعل نفاسها عشرة و تعمل بعدها عمل المستحاضة، و إن کان الاحتیاط إلی الثمانیة عشر بالجمع بین وظیفتی النفساء و المستحاضة لا ینبغی ترکه</w:t>
      </w:r>
      <w:r>
        <w:rPr>
          <w:rFonts w:eastAsia="IRNazanin" w:cs="IRNazanin"/>
          <w:color w:val="111111"/>
          <w:sz w:val="28"/>
          <w:szCs w:val="28"/>
          <w:rtl w:val="true"/>
          <w:lang w:bidi="fa-IR"/>
        </w:rPr>
        <w:t>.</w:t>
      </w:r>
    </w:p>
    <w:p>
      <w:pPr>
        <w:pStyle w:val="Heading6"/>
        <w:numPr>
          <w:ilvl w:val="5"/>
          <w:numId w:val="1"/>
        </w:numPr>
        <w:rPr/>
      </w:pPr>
      <w:bookmarkStart w:id="697" w:name="__RefHeading___Toc2565624_3650668749"/>
      <w:bookmarkStart w:id="698" w:name="_Toc321"/>
      <w:bookmarkEnd w:id="697"/>
      <w:r>
        <w:rPr>
          <w:rtl w:val="true"/>
        </w:rPr>
        <w:t>[ (</w:t>
      </w:r>
      <w:r>
        <w:rPr>
          <w:rtl w:val="true"/>
        </w:rPr>
        <w:t xml:space="preserve">مسألة </w:t>
      </w:r>
      <w:r>
        <w:rPr/>
        <w:t>3</w:t>
      </w:r>
      <w:r>
        <w:rPr>
          <w:rtl w:val="true"/>
        </w:rPr>
        <w:t xml:space="preserve">): </w:t>
      </w:r>
      <w:r>
        <w:rPr>
          <w:rtl w:val="true"/>
        </w:rPr>
        <w:t>یعتبر فصل أقلّ الطهر و هو العشرة بین النفاس و الحیض المتأخّر</w:t>
      </w:r>
      <w:r>
        <w:rPr>
          <w:rtl w:val="true"/>
        </w:rPr>
        <w:t>]</w:t>
      </w:r>
      <w:bookmarkEnd w:id="6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فصل أقلّ الطهر و هو العشرة بین النفاس و الحیض المتأخّر، فلو رأت الدم من حین الولادة إلی الیوم السابع ثمّ رأت بعد العشرة ثلاثة أیّام أو أکثر لم یکن حیضاً بل کان استحاضة، و إن کان الأحوط إلی الثمانیة عشر الجمع بین وظیفتی النفساء و المستحاضة إذا لم تکن ذات عادة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بینه و بین الحیض المتقدّم فلا یعتبر فصل أقلّ الطهر علی الأقویٰ، فلو رأت قبل المخاض ثلاثة أیّام أو أکثر متّصلًا به أو منفصلًا عنه بأقلّ من عشرة یکون حیضاً، خصوصاً إذا کان فی عادة الحیض</w:t>
      </w:r>
      <w:r>
        <w:rPr>
          <w:rFonts w:eastAsia="IRNazanin" w:cs="IRNazanin"/>
          <w:color w:val="111111"/>
          <w:sz w:val="28"/>
          <w:szCs w:val="28"/>
          <w:rtl w:val="true"/>
          <w:lang w:bidi="fa-IR"/>
        </w:rPr>
        <w:t>.</w:t>
      </w:r>
    </w:p>
    <w:p>
      <w:pPr>
        <w:pStyle w:val="Heading6"/>
        <w:numPr>
          <w:ilvl w:val="5"/>
          <w:numId w:val="1"/>
        </w:numPr>
        <w:rPr/>
      </w:pPr>
      <w:bookmarkStart w:id="699" w:name="__RefHeading___Toc2565626_3650668749"/>
      <w:bookmarkStart w:id="700" w:name="_Toc322"/>
      <w:bookmarkEnd w:id="699"/>
      <w:r>
        <w:rPr>
          <w:rtl w:val="true"/>
        </w:rPr>
        <w:t>[ (</w:t>
      </w:r>
      <w:r>
        <w:rPr>
          <w:rtl w:val="true"/>
        </w:rPr>
        <w:t xml:space="preserve">مسألة </w:t>
      </w:r>
      <w:r>
        <w:rPr/>
        <w:t>4</w:t>
      </w:r>
      <w:r>
        <w:rPr>
          <w:rtl w:val="true"/>
        </w:rPr>
        <w:t xml:space="preserve">): </w:t>
      </w:r>
      <w:r>
        <w:rPr>
          <w:rtl w:val="true"/>
        </w:rPr>
        <w:t>إذا استمرّ الدم إلیٰ شهر أو أقلّ أو أزید</w:t>
      </w:r>
      <w:r>
        <w:rPr>
          <w:rtl w:val="true"/>
        </w:rPr>
        <w:t>]</w:t>
      </w:r>
      <w:bookmarkEnd w:id="7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استمرّ الدم إلیٰ شهر أو أقلّ أو أزید فبعد مضیّ العادة فی ذات العادة و العشرة فی غیرها محکوم بالاستحاضة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بعد مضیّ عشرة أیّام من دم النفاس أمکن أن یکون حیضاً؛ فإن کانت معتادة و صادف العادة یحکم بکونه حیضاً، و إلّا فترجع إلی الصفات و التمیّز إن کان، و إلّا فتجعل سبعة حیضاً و ما عداها استحاضة کما مرّ </w:t>
      </w:r>
      <w:r>
        <w:rPr>
          <w:rStyle w:val="FootnoteAnchor"/>
          <w:rtl w:val="true"/>
        </w:rPr>
        <w:footnoteReference w:id="153"/>
      </w:r>
      <w:r>
        <w:rPr>
          <w:rFonts w:ascii="IRNazanin" w:hAnsi="IRNazanin" w:eastAsia="IRNazanin"/>
          <w:color w:val="111111"/>
          <w:sz w:val="28"/>
          <w:sz w:val="28"/>
          <w:szCs w:val="28"/>
          <w:rtl w:val="true"/>
          <w:lang w:bidi="fa-IR"/>
        </w:rPr>
        <w:t>فی الحیض</w:t>
      </w:r>
      <w:r>
        <w:rPr>
          <w:rFonts w:eastAsia="IRNazanin" w:cs="IRNazanin"/>
          <w:color w:val="111111"/>
          <w:sz w:val="28"/>
          <w:szCs w:val="28"/>
          <w:rtl w:val="true"/>
          <w:lang w:bidi="fa-IR"/>
        </w:rPr>
        <w:t>.</w:t>
      </w:r>
    </w:p>
    <w:p>
      <w:pPr>
        <w:pStyle w:val="Heading6"/>
        <w:numPr>
          <w:ilvl w:val="5"/>
          <w:numId w:val="1"/>
        </w:numPr>
        <w:rPr/>
      </w:pPr>
      <w:bookmarkStart w:id="701" w:name="__RefHeading___Toc2565628_3650668749"/>
      <w:bookmarkStart w:id="702" w:name="_Toc323"/>
      <w:bookmarkEnd w:id="701"/>
      <w:r>
        <w:rPr>
          <w:rtl w:val="true"/>
        </w:rPr>
        <w:t>[ (</w:t>
      </w:r>
      <w:r>
        <w:rPr>
          <w:rtl w:val="true"/>
        </w:rPr>
        <w:t xml:space="preserve">مسألة </w:t>
      </w:r>
      <w:r>
        <w:rPr/>
        <w:t>5</w:t>
      </w:r>
      <w:r>
        <w:rPr>
          <w:rtl w:val="true"/>
        </w:rPr>
        <w:t xml:space="preserve">): </w:t>
      </w:r>
      <w:r>
        <w:rPr>
          <w:rtl w:val="true"/>
        </w:rPr>
        <w:t>إذا انقطع دم النفساء فی الظاهر یجب علیها الاستظهار</w:t>
      </w:r>
      <w:r>
        <w:rPr>
          <w:rtl w:val="true"/>
        </w:rPr>
        <w:t>]</w:t>
      </w:r>
      <w:bookmarkEnd w:id="70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انقطع دم النفساء فی الظاهر یجب علیها الاستظهار علیٰ نحو ما مرّ فی الحیض </w:t>
      </w:r>
      <w:r>
        <w:rPr>
          <w:rStyle w:val="FootnoteAnchor"/>
          <w:rtl w:val="true"/>
        </w:rPr>
        <w:footnoteReference w:id="154"/>
      </w:r>
      <w:r>
        <w:rPr>
          <w:rFonts w:ascii="IRNazanin" w:hAnsi="IRNazanin" w:eastAsia="IRNazanin"/>
          <w:color w:val="111111"/>
          <w:sz w:val="28"/>
          <w:sz w:val="28"/>
          <w:szCs w:val="28"/>
          <w:rtl w:val="true"/>
          <w:lang w:bidi="fa-IR"/>
        </w:rPr>
        <w:t>، فإذا انقطع الدم واقعاً یجب علیها الغسل للمشروط به کالحائض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أحکامها کأحکامها فی عدم جواز وطئها و عدم صحّة طلاقها و حرمة الصلاة و الصوم علیها و مسّ کتابة القرآن و قراءة العزائم و دخول المسجدین و المکث فی غیرهما و وجوب قضاء الصوم علیها، دون الصلاة علی التفصیل الذی سبق فی الحیض</w:t>
      </w:r>
      <w:r>
        <w:rPr>
          <w:rFonts w:eastAsia="IRNazanin" w:cs="IRNazanin"/>
          <w:color w:val="111111"/>
          <w:sz w:val="28"/>
          <w:szCs w:val="28"/>
          <w:rtl w:val="true"/>
          <w:lang w:bidi="fa-IR"/>
        </w:rPr>
        <w:t>.</w:t>
      </w:r>
      <w:bookmarkStart w:id="703" w:name="pg1809_18835"/>
    </w:p>
    <w:p>
      <w:pPr>
        <w:pStyle w:val="Heading5"/>
        <w:numPr>
          <w:ilvl w:val="4"/>
          <w:numId w:val="1"/>
        </w:numPr>
        <w:rPr/>
      </w:pPr>
      <w:bookmarkStart w:id="704" w:name="__RefHeading___Toc2565630_3650668749"/>
      <w:bookmarkStart w:id="705" w:name="_Toc324"/>
      <w:bookmarkEnd w:id="703"/>
      <w:bookmarkEnd w:id="704"/>
      <w:r>
        <w:rPr>
          <w:rtl w:val="true"/>
        </w:rPr>
        <w:t>[</w:t>
      </w:r>
      <w:r>
        <w:rPr>
          <w:rtl w:val="true"/>
        </w:rPr>
        <w:t>فصل فی غسل مسّ المیّت</w:t>
      </w:r>
      <w:r>
        <w:rPr>
          <w:rtl w:val="true"/>
        </w:rPr>
        <w:t>]</w:t>
      </w:r>
      <w:bookmarkEnd w:id="705"/>
    </w:p>
    <w:p>
      <w:pPr>
        <w:pStyle w:val="Heading6"/>
        <w:numPr>
          <w:ilvl w:val="5"/>
          <w:numId w:val="1"/>
        </w:numPr>
        <w:rPr/>
      </w:pPr>
      <w:bookmarkStart w:id="706" w:name="__RefHeading___Toc2565632_3650668749"/>
      <w:bookmarkStart w:id="707" w:name="_Toc325"/>
      <w:bookmarkEnd w:id="706"/>
      <w:r>
        <w:rPr>
          <w:rtl w:val="true"/>
        </w:rPr>
        <w:t>اشارة</w:t>
      </w:r>
      <w:bookmarkEnd w:id="707"/>
    </w:p>
    <w:p>
      <w:pPr>
        <w:pStyle w:val="BookText"/>
        <w:rPr/>
      </w:pPr>
      <w:r>
        <w:rPr>
          <w:rFonts w:ascii="IRNazanin" w:hAnsi="IRNazanin" w:eastAsia="IRNazanin"/>
          <w:color w:val="111111"/>
          <w:sz w:val="28"/>
          <w:sz w:val="28"/>
          <w:szCs w:val="28"/>
          <w:rtl w:val="true"/>
          <w:lang w:bidi="fa-IR"/>
        </w:rPr>
        <w:t>فصل فی غسل مسّ المیّت و سببه مسّ میّت الإنسان بعد برد تمام جسده و قبل تمام غسله لا بعده و لو کان غسلًا اضطراریّاً، کما إذا کانت الأغسال الثلاثة بالماء القراح لفقد الخلیطین، بل و لو کان المغسّل کافراً لفقد المسلم المماثل و إن کان الأحوط عدم الاکتفاء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بالغسل التیمّم عند تعذّره و إن کان الأحوط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المیّت بین المسلم و الکافر و الکبیر و الصغیر حتّی السقط إذا تمّ له أربعة أشهر، کما لا فرق بین ما تحلّه الحیاة و غیره ماسّاً و ممسوساً بعد صدق اسم المسّ، فیجب الغسل بمسّ ظفره و لو بالظفر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یوجبه مسّ الشعر ماسّاً و ممسوساً</w:t>
      </w:r>
      <w:r>
        <w:rPr>
          <w:rFonts w:eastAsia="IRNazanin" w:cs="IRNazanin"/>
          <w:color w:val="111111"/>
          <w:sz w:val="28"/>
          <w:szCs w:val="28"/>
          <w:rtl w:val="true"/>
          <w:lang w:bidi="fa-IR"/>
        </w:rPr>
        <w:t>.</w:t>
      </w:r>
    </w:p>
    <w:p>
      <w:pPr>
        <w:pStyle w:val="Heading6"/>
        <w:numPr>
          <w:ilvl w:val="5"/>
          <w:numId w:val="1"/>
        </w:numPr>
        <w:rPr/>
      </w:pPr>
      <w:bookmarkStart w:id="708" w:name="__RefHeading___Toc2565634_3650668749"/>
      <w:bookmarkStart w:id="709" w:name="_Toc326"/>
      <w:bookmarkEnd w:id="708"/>
      <w:r>
        <w:rPr>
          <w:rtl w:val="true"/>
        </w:rPr>
        <w:t>[ (</w:t>
      </w:r>
      <w:r>
        <w:rPr>
          <w:rtl w:val="true"/>
        </w:rPr>
        <w:t xml:space="preserve">مسألة </w:t>
      </w:r>
      <w:r>
        <w:rPr/>
        <w:t>1</w:t>
      </w:r>
      <w:r>
        <w:rPr>
          <w:rtl w:val="true"/>
        </w:rPr>
        <w:t xml:space="preserve">): </w:t>
      </w:r>
      <w:r>
        <w:rPr>
          <w:rtl w:val="true"/>
        </w:rPr>
        <w:t>القطعة المبانة من الحیّ بحکم المیّت فی وجوب الغسل بمسّها</w:t>
      </w:r>
      <w:r>
        <w:rPr>
          <w:rtl w:val="true"/>
        </w:rPr>
        <w:t>]</w:t>
      </w:r>
      <w:bookmarkEnd w:id="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المبانة من الحیّ بحکم المیّت فی وجوب الغسل بمسّها إذا اشتملت علی العظم دون المجرّدة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w:t>
      </w:r>
      <w:r>
        <w:rPr>
          <w:rStyle w:val="FootnoteAnchor"/>
          <w:rtl w:val="true"/>
        </w:rPr>
        <w:footnoteReference w:id="155"/>
      </w:r>
      <w:r>
        <w:rPr>
          <w:rFonts w:ascii="IRNazanin" w:hAnsi="IRNazanin" w:eastAsia="IRNazanin"/>
          <w:color w:val="111111"/>
          <w:sz w:val="28"/>
          <w:sz w:val="28"/>
          <w:szCs w:val="28"/>
          <w:rtl w:val="true"/>
          <w:lang w:bidi="fa-IR"/>
        </w:rPr>
        <w:t>إلحاق العظم المجرّد باللحم المشتمل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القطعة المبانة من المیّت فکلّ ما کان یوجب مسّه الغسل فی حال الاتّصال یکون کذلک حال الانفصال</w:t>
      </w:r>
      <w:r>
        <w:rPr>
          <w:rFonts w:eastAsia="IRNazanin" w:cs="IRNazanin"/>
          <w:color w:val="111111"/>
          <w:sz w:val="28"/>
          <w:szCs w:val="28"/>
          <w:rtl w:val="true"/>
          <w:lang w:bidi="fa-IR"/>
        </w:rPr>
        <w:t>.</w:t>
      </w:r>
    </w:p>
    <w:p>
      <w:pPr>
        <w:pStyle w:val="Heading6"/>
        <w:numPr>
          <w:ilvl w:val="5"/>
          <w:numId w:val="1"/>
        </w:numPr>
        <w:rPr/>
      </w:pPr>
      <w:bookmarkStart w:id="710" w:name="__RefHeading___Toc2565636_3650668749"/>
      <w:bookmarkStart w:id="711" w:name="_Toc327"/>
      <w:bookmarkEnd w:id="710"/>
      <w:r>
        <w:rPr>
          <w:rtl w:val="true"/>
        </w:rPr>
        <w:t>[ (</w:t>
      </w:r>
      <w:r>
        <w:rPr>
          <w:rtl w:val="true"/>
        </w:rPr>
        <w:t xml:space="preserve">مسألة </w:t>
      </w:r>
      <w:r>
        <w:rPr/>
        <w:t>2</w:t>
      </w:r>
      <w:r>
        <w:rPr>
          <w:rtl w:val="true"/>
        </w:rPr>
        <w:t xml:space="preserve">): </w:t>
      </w:r>
      <w:r>
        <w:rPr>
          <w:rtl w:val="true"/>
        </w:rPr>
        <w:t>الشهید کالمغسّل</w:t>
      </w:r>
      <w:r>
        <w:rPr>
          <w:rtl w:val="true"/>
        </w:rPr>
        <w:t>]</w:t>
      </w:r>
      <w:bookmarkEnd w:id="7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کالمغسّل فلا یوجب مسّه الغسل، و کذا من وجب قتله قصاصاً أو حدّا فأُمر بتقدیم غسله لیقتل</w:t>
      </w:r>
      <w:r>
        <w:rPr>
          <w:rFonts w:eastAsia="IRNazanin" w:cs="IRNazanin"/>
          <w:color w:val="111111"/>
          <w:sz w:val="28"/>
          <w:szCs w:val="28"/>
          <w:rtl w:val="true"/>
          <w:lang w:bidi="fa-IR"/>
        </w:rPr>
        <w:t>.</w:t>
      </w:r>
    </w:p>
    <w:p>
      <w:pPr>
        <w:pStyle w:val="Heading6"/>
        <w:numPr>
          <w:ilvl w:val="5"/>
          <w:numId w:val="1"/>
        </w:numPr>
        <w:rPr/>
      </w:pPr>
      <w:bookmarkStart w:id="712" w:name="__RefHeading___Toc2565638_3650668749"/>
      <w:bookmarkStart w:id="713" w:name="_Toc328"/>
      <w:bookmarkEnd w:id="712"/>
      <w:r>
        <w:rPr>
          <w:rtl w:val="true"/>
        </w:rPr>
        <w:t>[ (</w:t>
      </w:r>
      <w:r>
        <w:rPr>
          <w:rtl w:val="true"/>
        </w:rPr>
        <w:t xml:space="preserve">مسألة </w:t>
      </w:r>
      <w:r>
        <w:rPr/>
        <w:t>3</w:t>
      </w:r>
      <w:r>
        <w:rPr>
          <w:rtl w:val="true"/>
        </w:rPr>
        <w:t xml:space="preserve">): </w:t>
      </w:r>
      <w:r>
        <w:rPr>
          <w:rtl w:val="true"/>
        </w:rPr>
        <w:t>إذا مسّ میّتاً و شکّ فی أنّه قبل برده أو بعده لا یجب الغسل</w:t>
      </w:r>
      <w:r>
        <w:rPr>
          <w:rtl w:val="true"/>
        </w:rPr>
        <w:t>]</w:t>
      </w:r>
      <w:bookmarkEnd w:id="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 میّتاً و شکّ فی أنّه قبل برده أو بعده لا یجب الغسل، بخلاف ما إذا شکّ فی أنّه کان شهیداً أو غیره </w:t>
      </w:r>
      <w:r>
        <w:rPr>
          <w:rStyle w:val="FootnoteAnchor"/>
          <w:rtl w:val="true"/>
        </w:rPr>
        <w:footnoteReference w:id="156"/>
      </w:r>
      <w:r>
        <w:rPr>
          <w:rFonts w:ascii="IRNazanin" w:hAnsi="IRNazanin" w:eastAsia="IRNazanin"/>
          <w:color w:val="111111"/>
          <w:sz w:val="28"/>
          <w:sz w:val="28"/>
          <w:szCs w:val="28"/>
          <w:rtl w:val="true"/>
          <w:lang w:bidi="fa-IR"/>
        </w:rPr>
        <w:t>أو کان قبل الغسل أو بعده فیجب الغسل</w:t>
      </w:r>
      <w:r>
        <w:rPr>
          <w:rFonts w:eastAsia="IRNazanin" w:cs="IRNazanin"/>
          <w:color w:val="111111"/>
          <w:sz w:val="28"/>
          <w:szCs w:val="28"/>
          <w:rtl w:val="true"/>
          <w:lang w:bidi="fa-IR"/>
        </w:rPr>
        <w:t>.</w:t>
      </w:r>
    </w:p>
    <w:p>
      <w:pPr>
        <w:pStyle w:val="Heading6"/>
        <w:numPr>
          <w:ilvl w:val="5"/>
          <w:numId w:val="1"/>
        </w:numPr>
        <w:rPr/>
      </w:pPr>
      <w:bookmarkStart w:id="714" w:name="__RefHeading___Toc2565640_3650668749"/>
      <w:bookmarkStart w:id="715" w:name="_Toc329"/>
      <w:bookmarkEnd w:id="714"/>
      <w:r>
        <w:rPr>
          <w:rtl w:val="true"/>
        </w:rPr>
        <w:t>[ (</w:t>
      </w:r>
      <w:r>
        <w:rPr>
          <w:rtl w:val="true"/>
        </w:rPr>
        <w:t xml:space="preserve">مسألة </w:t>
      </w:r>
      <w:r>
        <w:rPr/>
        <w:t>4</w:t>
      </w:r>
      <w:r>
        <w:rPr>
          <w:rtl w:val="true"/>
        </w:rPr>
        <w:t xml:space="preserve">): </w:t>
      </w:r>
      <w:r>
        <w:rPr>
          <w:rtl w:val="true"/>
        </w:rPr>
        <w:t>إذا یبس عضو من أعضاء الحیّ و خرج منه الروح بالمرّة لا یوجب مسّه الغسل</w:t>
      </w:r>
      <w:r>
        <w:rPr>
          <w:rtl w:val="true"/>
        </w:rPr>
        <w:t>]</w:t>
      </w:r>
      <w:bookmarkEnd w:id="71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یبس عضو من أعضاء الحیّ و خرج منه الروح بالمرّة لا یوجب مسّه الغسل ما دام متّصلًا و أمّا بعد الانفصال ففیه إشکال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قطع عضو منه و اتّصل ببدنه و لو بجلدة لا یجب الغسل بمسّه فی حال الاتّصال و یجب بعد الانفصال إذا کان مشتملًا علی العظم</w:t>
      </w:r>
      <w:r>
        <w:rPr>
          <w:rFonts w:eastAsia="IRNazanin" w:cs="IRNazanin"/>
          <w:color w:val="111111"/>
          <w:sz w:val="28"/>
          <w:szCs w:val="28"/>
          <w:rtl w:val="true"/>
          <w:lang w:bidi="fa-IR"/>
        </w:rPr>
        <w:t>.</w:t>
      </w:r>
      <w:bookmarkStart w:id="716" w:name="pg1809_18836"/>
    </w:p>
    <w:p>
      <w:pPr>
        <w:pStyle w:val="Heading6"/>
        <w:numPr>
          <w:ilvl w:val="5"/>
          <w:numId w:val="1"/>
        </w:numPr>
        <w:rPr/>
      </w:pPr>
      <w:bookmarkStart w:id="717" w:name="__RefHeading___Toc2565642_3650668749"/>
      <w:bookmarkStart w:id="718" w:name="_Toc330"/>
      <w:bookmarkEnd w:id="716"/>
      <w:bookmarkEnd w:id="717"/>
      <w:r>
        <w:rPr>
          <w:rtl w:val="true"/>
        </w:rPr>
        <w:t>[ (</w:t>
      </w:r>
      <w:r>
        <w:rPr>
          <w:rtl w:val="true"/>
        </w:rPr>
        <w:t xml:space="preserve">مسألة </w:t>
      </w:r>
      <w:r>
        <w:rPr/>
        <w:t>5</w:t>
      </w:r>
      <w:r>
        <w:rPr>
          <w:rtl w:val="true"/>
        </w:rPr>
        <w:t xml:space="preserve">): </w:t>
      </w:r>
      <w:r>
        <w:rPr>
          <w:rtl w:val="true"/>
        </w:rPr>
        <w:t>مسّ المیّت ینقض الوضوء علی الأحوط</w:t>
      </w:r>
      <w:r>
        <w:rPr>
          <w:rtl w:val="true"/>
        </w:rPr>
        <w:t>]</w:t>
      </w:r>
      <w:bookmarkEnd w:id="7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المیّت ینقض الوضوء علی الأحوط </w:t>
      </w:r>
      <w:r>
        <w:rPr>
          <w:rStyle w:val="FootnoteAnchor"/>
          <w:rtl w:val="true"/>
        </w:rPr>
        <w:footnoteReference w:id="158"/>
      </w:r>
      <w:r>
        <w:rPr>
          <w:rFonts w:ascii="IRNazanin" w:hAnsi="IRNazanin" w:eastAsia="IRNazanin"/>
          <w:color w:val="111111"/>
          <w:sz w:val="28"/>
          <w:sz w:val="28"/>
          <w:szCs w:val="28"/>
          <w:rtl w:val="true"/>
          <w:lang w:bidi="fa-IR"/>
        </w:rPr>
        <w:t>فیجب الوضوء مع غسله لکلّ مشروط به</w:t>
      </w:r>
      <w:r>
        <w:rPr>
          <w:rFonts w:eastAsia="IRNazanin" w:cs="IRNazanin"/>
          <w:color w:val="111111"/>
          <w:sz w:val="28"/>
          <w:szCs w:val="28"/>
          <w:rtl w:val="true"/>
          <w:lang w:bidi="fa-IR"/>
        </w:rPr>
        <w:t>.</w:t>
      </w:r>
    </w:p>
    <w:p>
      <w:pPr>
        <w:pStyle w:val="Heading6"/>
        <w:numPr>
          <w:ilvl w:val="5"/>
          <w:numId w:val="1"/>
        </w:numPr>
        <w:rPr/>
      </w:pPr>
      <w:bookmarkStart w:id="719" w:name="__RefHeading___Toc2565644_3650668749"/>
      <w:bookmarkStart w:id="720" w:name="_Toc331"/>
      <w:bookmarkEnd w:id="719"/>
      <w:r>
        <w:rPr>
          <w:rtl w:val="true"/>
        </w:rPr>
        <w:t>[ (</w:t>
      </w:r>
      <w:r>
        <w:rPr>
          <w:rtl w:val="true"/>
        </w:rPr>
        <w:t xml:space="preserve">مسألة </w:t>
      </w:r>
      <w:r>
        <w:rPr/>
        <w:t>6</w:t>
      </w:r>
      <w:r>
        <w:rPr>
          <w:rtl w:val="true"/>
        </w:rPr>
        <w:t xml:space="preserve">): </w:t>
      </w:r>
      <w:r>
        <w:rPr>
          <w:rtl w:val="true"/>
        </w:rPr>
        <w:t>یجب غسل المسّ لکلّ واجب مشروط بالطهارة من الحدث الأصغر</w:t>
      </w:r>
      <w:r>
        <w:rPr>
          <w:rtl w:val="true"/>
        </w:rPr>
        <w:t>]</w:t>
      </w:r>
      <w:bookmarkEnd w:id="7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غسل المسّ لکلّ واجب مشروط بالطهارة من الحدث الأصغر علی الأحوط، و شرط علی الأحوط </w:t>
      </w:r>
      <w:r>
        <w:rPr>
          <w:rStyle w:val="FootnoteAnchor"/>
          <w:rtl w:val="true"/>
        </w:rPr>
        <w:footnoteReference w:id="159"/>
      </w:r>
      <w:r>
        <w:rPr>
          <w:rFonts w:ascii="IRNazanin" w:hAnsi="IRNazanin" w:eastAsia="IRNazanin"/>
          <w:color w:val="111111"/>
          <w:sz w:val="28"/>
          <w:sz w:val="28"/>
          <w:szCs w:val="28"/>
          <w:rtl w:val="true"/>
          <w:lang w:bidi="fa-IR"/>
        </w:rPr>
        <w:t>فیما یشترط فیه الطهارة کالصلاة و الطواف الواجب و مسّ کتابة القرآن</w:t>
      </w:r>
      <w:r>
        <w:rPr>
          <w:rFonts w:eastAsia="IRNazanin" w:cs="IRNazanin"/>
          <w:color w:val="111111"/>
          <w:sz w:val="28"/>
          <w:szCs w:val="28"/>
          <w:rtl w:val="true"/>
          <w:lang w:bidi="fa-IR"/>
        </w:rPr>
        <w:t>.</w:t>
      </w:r>
    </w:p>
    <w:p>
      <w:pPr>
        <w:pStyle w:val="Heading6"/>
        <w:numPr>
          <w:ilvl w:val="5"/>
          <w:numId w:val="1"/>
        </w:numPr>
        <w:rPr/>
      </w:pPr>
      <w:bookmarkStart w:id="721" w:name="__RefHeading___Toc2565646_3650668749"/>
      <w:bookmarkStart w:id="722" w:name="_Toc332"/>
      <w:bookmarkEnd w:id="721"/>
      <w:r>
        <w:rPr>
          <w:rtl w:val="true"/>
        </w:rPr>
        <w:t>[ (</w:t>
      </w:r>
      <w:r>
        <w:rPr>
          <w:rtl w:val="true"/>
        </w:rPr>
        <w:t xml:space="preserve">مسألة </w:t>
      </w:r>
      <w:r>
        <w:rPr/>
        <w:t>7</w:t>
      </w:r>
      <w:r>
        <w:rPr>
          <w:rtl w:val="true"/>
        </w:rPr>
        <w:t xml:space="preserve">): </w:t>
      </w:r>
      <w:r>
        <w:rPr>
          <w:rtl w:val="true"/>
        </w:rPr>
        <w:t>یجوز للماسّ قبل الغسل دخول المساجد و المشاهد و المکث فیها</w:t>
      </w:r>
      <w:r>
        <w:rPr>
          <w:rtl w:val="true"/>
        </w:rPr>
        <w:t>]</w:t>
      </w:r>
      <w:bookmarkEnd w:id="7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للماسّ قبل الغسل دخول المساجد و المشاهد و المکث فیها و قراءة العزائم و یجوز وطؤه لو کان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 المسّ حال الحدث الأصغر إلّا فی إیجاب الغسل للصلاة و نحوها</w:t>
      </w:r>
      <w:r>
        <w:rPr>
          <w:rFonts w:eastAsia="IRNazanin" w:cs="IRNazanin"/>
          <w:color w:val="111111"/>
          <w:sz w:val="28"/>
          <w:szCs w:val="28"/>
          <w:rtl w:val="true"/>
          <w:lang w:bidi="fa-IR"/>
        </w:rPr>
        <w:t>.</w:t>
      </w:r>
    </w:p>
    <w:p>
      <w:pPr>
        <w:pStyle w:val="Heading6"/>
        <w:numPr>
          <w:ilvl w:val="5"/>
          <w:numId w:val="1"/>
        </w:numPr>
        <w:rPr/>
      </w:pPr>
      <w:bookmarkStart w:id="723" w:name="__RefHeading___Toc2565648_3650668749"/>
      <w:bookmarkStart w:id="724" w:name="_Toc333"/>
      <w:bookmarkEnd w:id="723"/>
      <w:r>
        <w:rPr>
          <w:rtl w:val="true"/>
        </w:rPr>
        <w:t>[ (</w:t>
      </w:r>
      <w:r>
        <w:rPr>
          <w:rtl w:val="true"/>
        </w:rPr>
        <w:t xml:space="preserve">مسألة </w:t>
      </w:r>
      <w:r>
        <w:rPr/>
        <w:t>8</w:t>
      </w:r>
      <w:r>
        <w:rPr>
          <w:rtl w:val="true"/>
        </w:rPr>
        <w:t xml:space="preserve">): </w:t>
      </w:r>
      <w:r>
        <w:rPr>
          <w:rtl w:val="true"/>
        </w:rPr>
        <w:t>تکرار المسّ لا یوجب تکرار الغسل کسائر الأحداث</w:t>
      </w:r>
      <w:r>
        <w:rPr>
          <w:rtl w:val="true"/>
        </w:rPr>
        <w:t>]</w:t>
      </w:r>
      <w:bookmarkEnd w:id="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المسّ لا یوجب تکرار الغسل کسائر الأحداث و لو کان الممسوس متعدّداً</w:t>
      </w:r>
      <w:r>
        <w:rPr>
          <w:rFonts w:eastAsia="IRNazanin" w:cs="IRNazanin"/>
          <w:color w:val="111111"/>
          <w:sz w:val="28"/>
          <w:szCs w:val="28"/>
          <w:rtl w:val="true"/>
          <w:lang w:bidi="fa-IR"/>
        </w:rPr>
        <w:t>.</w:t>
      </w:r>
    </w:p>
    <w:p>
      <w:pPr>
        <w:pStyle w:val="Heading5"/>
        <w:numPr>
          <w:ilvl w:val="4"/>
          <w:numId w:val="1"/>
        </w:numPr>
        <w:rPr/>
      </w:pPr>
      <w:bookmarkStart w:id="725" w:name="__RefHeading___Toc2565650_3650668749"/>
      <w:bookmarkStart w:id="726" w:name="_Toc334"/>
      <w:bookmarkEnd w:id="725"/>
      <w:r>
        <w:rPr>
          <w:rtl w:val="true"/>
        </w:rPr>
        <w:t>[</w:t>
      </w:r>
      <w:r>
        <w:rPr>
          <w:rtl w:val="true"/>
        </w:rPr>
        <w:t>فصل فی أحکام الأموات</w:t>
      </w:r>
      <w:r>
        <w:rPr>
          <w:rtl w:val="true"/>
        </w:rPr>
        <w:t>]</w:t>
      </w:r>
      <w:bookmarkEnd w:id="726"/>
    </w:p>
    <w:p>
      <w:pPr>
        <w:pStyle w:val="Heading6"/>
        <w:numPr>
          <w:ilvl w:val="5"/>
          <w:numId w:val="1"/>
        </w:numPr>
        <w:rPr/>
      </w:pPr>
      <w:bookmarkStart w:id="727" w:name="__RefHeading___Toc2565652_3650668749"/>
      <w:bookmarkStart w:id="728" w:name="_Toc335"/>
      <w:bookmarkEnd w:id="727"/>
      <w:r>
        <w:rPr>
          <w:rtl w:val="true"/>
        </w:rPr>
        <w:t>اشارة</w:t>
      </w:r>
      <w:bookmarkEnd w:id="728"/>
    </w:p>
    <w:p>
      <w:pPr>
        <w:pStyle w:val="BookText"/>
        <w:rPr/>
      </w:pPr>
      <w:r>
        <w:rPr>
          <w:rFonts w:ascii="IRNazanin" w:hAnsi="IRNazanin" w:eastAsia="IRNazanin"/>
          <w:color w:val="111111"/>
          <w:sz w:val="28"/>
          <w:sz w:val="28"/>
          <w:szCs w:val="28"/>
          <w:rtl w:val="true"/>
          <w:lang w:bidi="fa-IR"/>
        </w:rPr>
        <w:t>فصل فی أحکام الأموات</w:t>
      </w:r>
    </w:p>
    <w:p>
      <w:pPr>
        <w:pStyle w:val="Heading6"/>
        <w:numPr>
          <w:ilvl w:val="5"/>
          <w:numId w:val="1"/>
        </w:numPr>
        <w:rPr/>
      </w:pPr>
      <w:bookmarkStart w:id="729" w:name="__RefHeading___Toc2565654_3650668749"/>
      <w:bookmarkStart w:id="730" w:name="_Toc336"/>
      <w:bookmarkEnd w:id="729"/>
      <w:r>
        <w:rPr>
          <w:rtl w:val="true"/>
        </w:rPr>
        <w:t>[</w:t>
      </w:r>
      <w:r>
        <w:rPr>
          <w:rtl w:val="true"/>
        </w:rPr>
        <w:t>یجب علیٰ من ظهر عنده أمارات الموت أداء الحقوق الواجبة خلقیّاً أو خالقیّاً</w:t>
      </w:r>
      <w:r>
        <w:rPr>
          <w:rtl w:val="true"/>
        </w:rPr>
        <w:t>]</w:t>
      </w:r>
      <w:bookmarkEnd w:id="730"/>
    </w:p>
    <w:p>
      <w:pPr>
        <w:pStyle w:val="Heading6"/>
        <w:numPr>
          <w:ilvl w:val="5"/>
          <w:numId w:val="1"/>
        </w:numPr>
        <w:rPr/>
      </w:pPr>
      <w:bookmarkStart w:id="731" w:name="__RefHeading___Toc2565656_3650668749"/>
      <w:bookmarkStart w:id="732" w:name="_Toc337"/>
      <w:bookmarkEnd w:id="731"/>
      <w:r>
        <w:rPr>
          <w:rtl w:val="true"/>
        </w:rPr>
        <w:t>اشارة</w:t>
      </w:r>
      <w:bookmarkEnd w:id="732"/>
    </w:p>
    <w:p>
      <w:pPr>
        <w:pStyle w:val="BookText"/>
        <w:rPr/>
      </w:pPr>
      <w:r>
        <w:rPr>
          <w:rFonts w:ascii="IRNazanin" w:hAnsi="IRNazanin" w:eastAsia="IRNazanin"/>
          <w:color w:val="111111"/>
          <w:sz w:val="28"/>
          <w:sz w:val="28"/>
          <w:szCs w:val="28"/>
          <w:rtl w:val="true"/>
          <w:lang w:bidi="fa-IR"/>
        </w:rPr>
        <w:t>یجب علیٰ من ظهر عنده أمارات الموت أداء الحقوق الواجبة خلقیّاً أو خالقیّاً و ردّ الأمانات التی عنده أو الإیصاء بها مع الاطمئنان بإنجازها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یجب الإیصاء بالواجبات التی لا تقبل النیابة حال الحیاة کالصلاة و الصیام و الحجّ و نحوها إذا کان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یجب علی الولیّ کالصلاة و الصوم یتخیّر بین إعلامه أو الإیصاء به</w:t>
      </w:r>
      <w:r>
        <w:rPr>
          <w:rFonts w:eastAsia="IRNazanin" w:cs="IRNazanin"/>
          <w:color w:val="111111"/>
          <w:sz w:val="28"/>
          <w:szCs w:val="28"/>
          <w:rtl w:val="true"/>
          <w:lang w:bidi="fa-IR"/>
        </w:rPr>
        <w:t>.</w:t>
      </w:r>
    </w:p>
    <w:p>
      <w:pPr>
        <w:pStyle w:val="Heading6"/>
        <w:numPr>
          <w:ilvl w:val="5"/>
          <w:numId w:val="1"/>
        </w:numPr>
        <w:rPr/>
      </w:pPr>
      <w:bookmarkStart w:id="733" w:name="__RefHeading___Toc2565658_3650668749"/>
      <w:bookmarkStart w:id="734" w:name="_Toc338"/>
      <w:bookmarkEnd w:id="733"/>
      <w:r>
        <w:rPr>
          <w:rtl w:val="true"/>
        </w:rPr>
        <w:t>[ (</w:t>
      </w:r>
      <w:r>
        <w:rPr>
          <w:rtl w:val="true"/>
        </w:rPr>
        <w:t xml:space="preserve">مسألة </w:t>
      </w:r>
      <w:r>
        <w:rPr/>
        <w:t>1</w:t>
      </w:r>
      <w:r>
        <w:rPr>
          <w:rtl w:val="true"/>
        </w:rPr>
        <w:t xml:space="preserve">): </w:t>
      </w:r>
      <w:r>
        <w:rPr>
          <w:rtl w:val="true"/>
        </w:rPr>
        <w:t>لا یجب علیه نصب قیّم علیٰ أطفاله الصغار</w:t>
      </w:r>
      <w:r>
        <w:rPr>
          <w:rtl w:val="true"/>
        </w:rPr>
        <w:t>]</w:t>
      </w:r>
      <w:bookmarkEnd w:id="7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نصب قیّم علیٰ أطفاله الصغار إلّا إذا کان عدمه تضییعاً لهم و لحقوقهم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نصب فلیکن المنصوب أمیناً و کذا من عیّنه لأداء الحقوق الواجبة</w:t>
      </w:r>
      <w:r>
        <w:rPr>
          <w:rFonts w:eastAsia="IRNazanin" w:cs="IRNazanin"/>
          <w:color w:val="111111"/>
          <w:sz w:val="28"/>
          <w:szCs w:val="28"/>
          <w:rtl w:val="true"/>
          <w:lang w:bidi="fa-IR"/>
        </w:rPr>
        <w:t>.</w:t>
      </w:r>
    </w:p>
    <w:p>
      <w:pPr>
        <w:pStyle w:val="Heading6"/>
        <w:numPr>
          <w:ilvl w:val="5"/>
          <w:numId w:val="1"/>
        </w:numPr>
        <w:rPr/>
      </w:pPr>
      <w:bookmarkStart w:id="735" w:name="__RefHeading___Toc2565660_3650668749"/>
      <w:bookmarkStart w:id="736" w:name="_Toc339"/>
      <w:bookmarkEnd w:id="735"/>
      <w:r>
        <w:rPr>
          <w:rtl w:val="true"/>
        </w:rPr>
        <w:t>[</w:t>
      </w:r>
      <w:r>
        <w:rPr>
          <w:rtl w:val="true"/>
        </w:rPr>
        <w:t>القول فیما یتعلّق بحال الاحتضار</w:t>
      </w:r>
      <w:r>
        <w:rPr>
          <w:rtl w:val="true"/>
        </w:rPr>
        <w:t>]</w:t>
      </w:r>
      <w:bookmarkEnd w:id="736"/>
    </w:p>
    <w:p>
      <w:pPr>
        <w:pStyle w:val="Heading6"/>
        <w:numPr>
          <w:ilvl w:val="5"/>
          <w:numId w:val="1"/>
        </w:numPr>
        <w:rPr/>
      </w:pPr>
      <w:bookmarkStart w:id="737" w:name="__RefHeading___Toc2565662_3650668749"/>
      <w:bookmarkStart w:id="738" w:name="_Toc340"/>
      <w:bookmarkEnd w:id="737"/>
      <w:r>
        <w:rPr>
          <w:rtl w:val="true"/>
        </w:rPr>
        <w:t>اشارة</w:t>
      </w:r>
      <w:bookmarkEnd w:id="738"/>
    </w:p>
    <w:p>
      <w:pPr>
        <w:pStyle w:val="BookText"/>
        <w:rPr/>
      </w:pPr>
      <w:r>
        <w:rPr>
          <w:rFonts w:ascii="IRNazanin" w:hAnsi="IRNazanin" w:eastAsia="IRNazanin"/>
          <w:color w:val="111111"/>
          <w:sz w:val="28"/>
          <w:sz w:val="28"/>
          <w:szCs w:val="28"/>
          <w:rtl w:val="true"/>
          <w:lang w:bidi="fa-IR"/>
        </w:rPr>
        <w:t>القول فیما یتعلّق بحال الاحتضار</w:t>
      </w:r>
    </w:p>
    <w:p>
      <w:pPr>
        <w:pStyle w:val="Heading6"/>
        <w:numPr>
          <w:ilvl w:val="5"/>
          <w:numId w:val="1"/>
        </w:numPr>
        <w:rPr/>
      </w:pPr>
      <w:bookmarkStart w:id="739" w:name="__RefHeading___Toc2565664_3650668749"/>
      <w:bookmarkStart w:id="740" w:name="_Toc341"/>
      <w:bookmarkEnd w:id="739"/>
      <w:r>
        <w:rPr>
          <w:rtl w:val="true"/>
        </w:rPr>
        <w:t>[ (</w:t>
      </w:r>
      <w:r>
        <w:rPr>
          <w:rtl w:val="true"/>
        </w:rPr>
        <w:t xml:space="preserve">مسألة </w:t>
      </w:r>
      <w:r>
        <w:rPr/>
        <w:t>1</w:t>
      </w:r>
      <w:r>
        <w:rPr>
          <w:rtl w:val="true"/>
        </w:rPr>
        <w:t xml:space="preserve">): </w:t>
      </w:r>
      <w:r>
        <w:rPr>
          <w:rtl w:val="true"/>
        </w:rPr>
        <w:t>یجب کفایةً فی حال الاحتضار و النزع توجیه المحتضر المسلم إلی القبلة</w:t>
      </w:r>
      <w:r>
        <w:rPr>
          <w:rtl w:val="true"/>
        </w:rPr>
        <w:t>]</w:t>
      </w:r>
      <w:bookmarkEnd w:id="74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Style w:val="FootnoteAnchor"/>
          <w:rtl w:val="true"/>
        </w:rPr>
        <w:footnoteReference w:id="160"/>
      </w:r>
      <w:r>
        <w:rPr>
          <w:rFonts w:ascii="IRNazanin" w:hAnsi="IRNazanin" w:eastAsia="IRNazanin"/>
          <w:color w:val="111111"/>
          <w:sz w:val="28"/>
          <w:sz w:val="28"/>
          <w:szCs w:val="28"/>
          <w:rtl w:val="true"/>
          <w:lang w:bidi="fa-IR"/>
        </w:rPr>
        <w:t>کفایةً فی حال الاحتضار و النزع توجیه المحتضر المسلم إلی القبلة؛ بأن یلقیٰ علیٰ ظهره و یجعل باطن قدمیه و وجهه إلی القبلة بحیث لو جلس کان</w:t>
      </w:r>
      <w:bookmarkStart w:id="741" w:name="pg1809_18837"/>
    </w:p>
    <w:p>
      <w:pPr>
        <w:pStyle w:val="BookText"/>
        <w:rPr/>
      </w:pPr>
      <w:bookmarkEnd w:id="741"/>
      <w:r>
        <w:rPr>
          <w:rFonts w:ascii="IRNazanin" w:hAnsi="IRNazanin" w:eastAsia="IRNazanin"/>
          <w:color w:val="111111"/>
          <w:sz w:val="28"/>
          <w:sz w:val="28"/>
          <w:szCs w:val="28"/>
          <w:rtl w:val="true"/>
          <w:lang w:bidi="fa-IR"/>
        </w:rPr>
        <w:t xml:space="preserve">وجهه إلیها رجلًا کان أو امرأة، صغیراً کان أو کبیراً و الأحوط </w:t>
      </w:r>
      <w:r>
        <w:rPr>
          <w:rStyle w:val="FootnoteAnchor"/>
          <w:rtl w:val="true"/>
        </w:rPr>
        <w:footnoteReference w:id="161"/>
      </w:r>
      <w:r>
        <w:rPr>
          <w:rFonts w:ascii="IRNazanin" w:hAnsi="IRNazanin" w:eastAsia="IRNazanin"/>
          <w:color w:val="111111"/>
          <w:sz w:val="28"/>
          <w:sz w:val="28"/>
          <w:szCs w:val="28"/>
          <w:rtl w:val="true"/>
          <w:lang w:bidi="fa-IR"/>
        </w:rPr>
        <w:t>مراعاة الاستقبال بالکیفیّة المذکورة فی جمیع الحالات إلیٰ ما بعد الفراغ من الغسل، و أمّا بعده إلیٰ حال الدفن فالأولیٰ بل الأحوط وضعه بنحو ما یوضع حال الصلاة علیه</w:t>
      </w:r>
      <w:r>
        <w:rPr>
          <w:rFonts w:eastAsia="IRNazanin" w:cs="IRNazanin"/>
          <w:color w:val="111111"/>
          <w:sz w:val="28"/>
          <w:szCs w:val="28"/>
          <w:rtl w:val="true"/>
          <w:lang w:bidi="fa-IR"/>
        </w:rPr>
        <w:t>.</w:t>
      </w:r>
    </w:p>
    <w:p>
      <w:pPr>
        <w:pStyle w:val="Heading6"/>
        <w:numPr>
          <w:ilvl w:val="5"/>
          <w:numId w:val="1"/>
        </w:numPr>
        <w:rPr/>
      </w:pPr>
      <w:bookmarkStart w:id="742" w:name="__RefHeading___Toc2565666_3650668749"/>
      <w:bookmarkStart w:id="743" w:name="_Toc342"/>
      <w:bookmarkEnd w:id="742"/>
      <w:r>
        <w:rPr>
          <w:rtl w:val="true"/>
        </w:rPr>
        <w:t>[ (</w:t>
      </w:r>
      <w:r>
        <w:rPr>
          <w:rtl w:val="true"/>
        </w:rPr>
        <w:t xml:space="preserve">مسألة </w:t>
      </w:r>
      <w:r>
        <w:rPr/>
        <w:t>2</w:t>
      </w:r>
      <w:r>
        <w:rPr>
          <w:rtl w:val="true"/>
        </w:rPr>
        <w:t xml:space="preserve">): </w:t>
      </w:r>
      <w:r>
        <w:rPr>
          <w:rtl w:val="true"/>
        </w:rPr>
        <w:t>یستحبّ تلقینه الشهادتین و الإقرار بالأئمّة الاثنی عشر و کلمات الفرج</w:t>
      </w:r>
      <w:r>
        <w:rPr>
          <w:rtl w:val="true"/>
        </w:rPr>
        <w:t>]</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تلقینه الشهادتین و الإقرار بالأئمّة الاثنی عشر و کلمات الفرج، و نقله إلیٰ مصلّاه إذا اشتدّ نزعه بشرط أن لا یوجب أذاه و قراءة سورتی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لتعجیل 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یستحبّ تغمیض عینیه و تطبیق فمه و شدّ فکّیه و مدّ یدیه إلیٰ جنبیه و مدّ رجلیه و تغطیته بثوب و الإسراج عنده فی اللیل و إعلام المؤمنین لیحضروا جنازته و التعجیل فی تجهیزه إلّا مع اشتباه حاله فینتظر إلیٰ حصول الیقین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مسّه فی حال النزع و وضع شی‌ء ثقیل علیٰ بطنه و إبقاؤه وحده فإنّ الشیطان یعبث فی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یکره حضور الجنب و الحائض عنده حال الاحتضار</w:t>
      </w:r>
      <w:r>
        <w:rPr>
          <w:rFonts w:eastAsia="IRNazanin" w:cs="IRNazanin"/>
          <w:color w:val="111111"/>
          <w:sz w:val="28"/>
          <w:szCs w:val="28"/>
          <w:rtl w:val="true"/>
          <w:lang w:bidi="fa-IR"/>
        </w:rPr>
        <w:t>.</w:t>
      </w:r>
    </w:p>
    <w:p>
      <w:pPr>
        <w:pStyle w:val="Heading6"/>
        <w:numPr>
          <w:ilvl w:val="5"/>
          <w:numId w:val="1"/>
        </w:numPr>
        <w:rPr/>
      </w:pPr>
      <w:bookmarkStart w:id="744" w:name="__RefHeading___Toc2565668_3650668749"/>
      <w:bookmarkStart w:id="745" w:name="_Toc343"/>
      <w:bookmarkEnd w:id="744"/>
      <w:r>
        <w:rPr>
          <w:rtl w:val="true"/>
        </w:rPr>
        <w:t>[</w:t>
      </w:r>
      <w:r>
        <w:rPr>
          <w:rtl w:val="true"/>
        </w:rPr>
        <w:t>القول فی غسل المیّت</w:t>
      </w:r>
      <w:r>
        <w:rPr>
          <w:rtl w:val="true"/>
        </w:rPr>
        <w:t>]</w:t>
      </w:r>
      <w:bookmarkEnd w:id="745"/>
    </w:p>
    <w:p>
      <w:pPr>
        <w:pStyle w:val="Heading6"/>
        <w:numPr>
          <w:ilvl w:val="5"/>
          <w:numId w:val="1"/>
        </w:numPr>
        <w:rPr/>
      </w:pPr>
      <w:bookmarkStart w:id="746" w:name="__RefHeading___Toc2565670_3650668749"/>
      <w:bookmarkStart w:id="747" w:name="_Toc344"/>
      <w:bookmarkEnd w:id="746"/>
      <w:r>
        <w:rPr>
          <w:rtl w:val="true"/>
        </w:rPr>
        <w:t>اشارة</w:t>
      </w:r>
      <w:bookmarkEnd w:id="747"/>
    </w:p>
    <w:p>
      <w:pPr>
        <w:pStyle w:val="BookText"/>
        <w:rPr/>
      </w:pPr>
      <w:r>
        <w:rPr>
          <w:rFonts w:ascii="IRNazanin" w:hAnsi="IRNazanin" w:eastAsia="IRNazanin"/>
          <w:color w:val="111111"/>
          <w:sz w:val="28"/>
          <w:sz w:val="28"/>
          <w:szCs w:val="28"/>
          <w:rtl w:val="true"/>
          <w:lang w:bidi="fa-IR"/>
        </w:rPr>
        <w:t>القول فی غسل المیّت</w:t>
      </w:r>
    </w:p>
    <w:p>
      <w:pPr>
        <w:pStyle w:val="Heading6"/>
        <w:numPr>
          <w:ilvl w:val="5"/>
          <w:numId w:val="1"/>
        </w:numPr>
        <w:rPr/>
      </w:pPr>
      <w:bookmarkStart w:id="748" w:name="__RefHeading___Toc2565672_3650668749"/>
      <w:bookmarkStart w:id="749" w:name="_Toc345"/>
      <w:bookmarkEnd w:id="748"/>
      <w:r>
        <w:rPr>
          <w:rtl w:val="true"/>
        </w:rPr>
        <w:t>[</w:t>
      </w:r>
      <w:r>
        <w:rPr>
          <w:rtl w:val="true"/>
        </w:rPr>
        <w:t>مسائل</w:t>
      </w:r>
      <w:r>
        <w:rPr>
          <w:rtl w:val="true"/>
        </w:rPr>
        <w:t>]</w:t>
      </w:r>
      <w:bookmarkEnd w:id="749"/>
    </w:p>
    <w:p>
      <w:pPr>
        <w:pStyle w:val="Heading6"/>
        <w:numPr>
          <w:ilvl w:val="5"/>
          <w:numId w:val="1"/>
        </w:numPr>
        <w:rPr/>
      </w:pPr>
      <w:bookmarkStart w:id="750" w:name="__RefHeading___Toc2565674_3650668749"/>
      <w:bookmarkStart w:id="751" w:name="_Toc346"/>
      <w:bookmarkEnd w:id="750"/>
      <w:r>
        <w:rPr>
          <w:rtl w:val="true"/>
        </w:rPr>
        <w:t>اشارة</w:t>
      </w:r>
      <w:bookmarkEnd w:id="751"/>
    </w:p>
    <w:p>
      <w:pPr>
        <w:pStyle w:val="BookText"/>
        <w:rPr/>
      </w:pPr>
      <w:r>
        <w:rPr>
          <w:rFonts w:ascii="IRNazanin" w:hAnsi="IRNazanin" w:eastAsia="IRNazanin"/>
          <w:color w:val="111111"/>
          <w:sz w:val="28"/>
          <w:sz w:val="28"/>
          <w:szCs w:val="28"/>
          <w:rtl w:val="true"/>
          <w:lang w:bidi="fa-IR"/>
        </w:rPr>
        <w:t xml:space="preserve">یجب کفایةً تغسیل کلّ مسلم و لو کان مخالفاً </w:t>
      </w:r>
      <w:r>
        <w:rPr>
          <w:rStyle w:val="FootnoteAnchor"/>
          <w:rtl w:val="true"/>
        </w:rPr>
        <w:footnoteReference w:id="162"/>
      </w:r>
      <w:r>
        <w:rPr>
          <w:rFonts w:ascii="IRNazanin" w:hAnsi="IRNazanin" w:eastAsia="IRNazanin"/>
          <w:color w:val="111111"/>
          <w:sz w:val="28"/>
          <w:sz w:val="28"/>
          <w:szCs w:val="28"/>
          <w:rtl w:val="true"/>
          <w:lang w:bidi="fa-IR"/>
        </w:rPr>
        <w:t xml:space="preserve">، و لا یجوز تغسیل الکافر و من حکم بکفره </w:t>
      </w:r>
      <w:r>
        <w:rPr>
          <w:rStyle w:val="FootnoteAnchor"/>
          <w:rtl w:val="true"/>
        </w:rPr>
        <w:footnoteReference w:id="163"/>
      </w:r>
      <w:r>
        <w:rPr>
          <w:rFonts w:ascii="IRNazanin" w:hAnsi="IRNazanin" w:eastAsia="IRNazanin"/>
          <w:color w:val="111111"/>
          <w:sz w:val="28"/>
          <w:sz w:val="28"/>
          <w:szCs w:val="28"/>
          <w:rtl w:val="true"/>
          <w:lang w:bidi="fa-IR"/>
        </w:rPr>
        <w:t>من المسلمین کالنواصب و الغلاة و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أطفال المسلمین حتّی ولد الزنا منهم بحکمهم فیجب تغسیلهم، بل یجب تغسیل السقط أیضاً إذا تمّ له أربعة أشهر و یکفَّن و یُدفن علی المتعارف، و إذا کان له أقلّ من أربعة أشهر لا یجب غسله بل یُلفّ فی خرقة و یدفن</w:t>
      </w:r>
      <w:r>
        <w:rPr>
          <w:rFonts w:eastAsia="IRNazanin" w:cs="IRNazanin"/>
          <w:color w:val="111111"/>
          <w:sz w:val="28"/>
          <w:szCs w:val="28"/>
          <w:rtl w:val="true"/>
          <w:lang w:bidi="fa-IR"/>
        </w:rPr>
        <w:t>.</w:t>
      </w:r>
    </w:p>
    <w:p>
      <w:pPr>
        <w:pStyle w:val="Heading6"/>
        <w:numPr>
          <w:ilvl w:val="5"/>
          <w:numId w:val="1"/>
        </w:numPr>
        <w:rPr/>
      </w:pPr>
      <w:bookmarkStart w:id="752" w:name="__RefHeading___Toc2565676_3650668749"/>
      <w:bookmarkStart w:id="753" w:name="_Toc347"/>
      <w:bookmarkEnd w:id="752"/>
      <w:r>
        <w:rPr>
          <w:rtl w:val="true"/>
        </w:rPr>
        <w:t>[ (</w:t>
      </w:r>
      <w:r>
        <w:rPr>
          <w:rtl w:val="true"/>
        </w:rPr>
        <w:t xml:space="preserve">مسألة </w:t>
      </w:r>
      <w:r>
        <w:rPr/>
        <w:t>1</w:t>
      </w:r>
      <w:r>
        <w:rPr>
          <w:rtl w:val="true"/>
        </w:rPr>
        <w:t xml:space="preserve">): </w:t>
      </w:r>
      <w:r>
        <w:rPr>
          <w:rtl w:val="true"/>
        </w:rPr>
        <w:t>یسقط الغسل عن الشهید</w:t>
      </w:r>
      <w:r>
        <w:rPr>
          <w:rtl w:val="true"/>
        </w:rPr>
        <w:t>]</w:t>
      </w:r>
      <w:bookmarkEnd w:id="75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الغسل عن الشهید </w:t>
      </w:r>
      <w:r>
        <w:rPr>
          <w:rStyle w:val="FootnoteAnchor"/>
          <w:rtl w:val="true"/>
        </w:rPr>
        <w:footnoteReference w:id="164"/>
      </w:r>
      <w:r>
        <w:rPr>
          <w:rFonts w:ascii="IRNazanin" w:hAnsi="IRNazanin" w:eastAsia="IRNazanin"/>
          <w:color w:val="111111"/>
          <w:sz w:val="28"/>
          <w:sz w:val="28"/>
          <w:szCs w:val="28"/>
          <w:rtl w:val="true"/>
          <w:lang w:bidi="fa-IR"/>
        </w:rPr>
        <w:t xml:space="preserve">و هو المقتول فی الجهاد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w:t>
      </w:r>
      <w:bookmarkStart w:id="754" w:name="pg1809_18838"/>
    </w:p>
    <w:p>
      <w:pPr>
        <w:pStyle w:val="BookText"/>
        <w:rPr/>
      </w:pPr>
      <w:bookmarkEnd w:id="754"/>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به المقتول فی حفظ بیضة الإسلام فلا یغسّل و لا یحنّط و لا یکفّن، بل یدفن بثیابه إلّا إذا کان عاریاً فیکفّن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عمّن وجب قتله برجم أو قصاص فإنّ الإمام أو نائبه الخاصّ أو العامّ یأمره بأن یغتسل غسل المیّت ثمّ یکفّن کتکفینه و یحنّط ثمّ یقتل و یصلّی علیه و یدفن بلا تغسیل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نیّة الغسل من المأمور و إن کان الأحوط نیّة الآمر أیضاً</w:t>
      </w:r>
      <w:r>
        <w:rPr>
          <w:rFonts w:eastAsia="IRNazanin" w:cs="IRNazanin"/>
          <w:color w:val="111111"/>
          <w:sz w:val="28"/>
          <w:szCs w:val="28"/>
          <w:rtl w:val="true"/>
          <w:lang w:bidi="fa-IR"/>
        </w:rPr>
        <w:t>.</w:t>
      </w:r>
    </w:p>
    <w:p>
      <w:pPr>
        <w:pStyle w:val="Heading6"/>
        <w:numPr>
          <w:ilvl w:val="5"/>
          <w:numId w:val="1"/>
        </w:numPr>
        <w:rPr/>
      </w:pPr>
      <w:bookmarkStart w:id="755" w:name="__RefHeading___Toc2565678_3650668749"/>
      <w:bookmarkStart w:id="756" w:name="_Toc348"/>
      <w:bookmarkEnd w:id="755"/>
      <w:r>
        <w:rPr>
          <w:rtl w:val="true"/>
        </w:rPr>
        <w:t>[ (</w:t>
      </w:r>
      <w:r>
        <w:rPr>
          <w:rtl w:val="true"/>
        </w:rPr>
        <w:t xml:space="preserve">مسألة </w:t>
      </w:r>
      <w:r>
        <w:rPr/>
        <w:t>2</w:t>
      </w:r>
      <w:r>
        <w:rPr>
          <w:rtl w:val="true"/>
        </w:rPr>
        <w:t xml:space="preserve">): </w:t>
      </w:r>
      <w:r>
        <w:rPr>
          <w:rtl w:val="true"/>
        </w:rPr>
        <w:t>القطعة المنفصلة من الحیّ أو المیّت قبل الاغتسال إن لم تشتمل علی العظم لا یجب غسلها</w:t>
      </w:r>
      <w:r>
        <w:rPr>
          <w:rtl w:val="true"/>
        </w:rPr>
        <w:t>]</w:t>
      </w:r>
      <w:bookmarkEnd w:id="7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المنفصلة من الحیّ </w:t>
      </w:r>
      <w:r>
        <w:rPr>
          <w:rStyle w:val="FootnoteAnchor"/>
          <w:rtl w:val="true"/>
        </w:rPr>
        <w:footnoteReference w:id="165"/>
      </w:r>
      <w:r>
        <w:rPr>
          <w:rFonts w:ascii="IRNazanin" w:hAnsi="IRNazanin" w:eastAsia="IRNazanin"/>
          <w:color w:val="111111"/>
          <w:sz w:val="28"/>
          <w:sz w:val="28"/>
          <w:szCs w:val="28"/>
          <w:rtl w:val="true"/>
          <w:lang w:bidi="fa-IR"/>
        </w:rPr>
        <w:t xml:space="preserve">أو المیّت قبل الاغتسال إن لم تشتمل علی العظم لا یجب غسلها، بل تلفّ </w:t>
      </w:r>
      <w:r>
        <w:rPr>
          <w:rStyle w:val="FootnoteAnchor"/>
          <w:rtl w:val="true"/>
        </w:rPr>
        <w:footnoteReference w:id="166"/>
      </w:r>
      <w:r>
        <w:rPr>
          <w:rFonts w:ascii="IRNazanin" w:hAnsi="IRNazanin" w:eastAsia="IRNazanin"/>
          <w:color w:val="111111"/>
          <w:sz w:val="28"/>
          <w:sz w:val="28"/>
          <w:szCs w:val="28"/>
          <w:rtl w:val="true"/>
          <w:lang w:bidi="fa-IR"/>
        </w:rPr>
        <w:t>فی خرقة و تدفن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فیها عظم و لم تشتمل علی الصدر تغسّل و تلفّ فی خرقة و تدفن، و کذا إن کان عظماً مجرّداً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صدراً أو اشتملت علی الصدر أو کانت بعض الصدر المشتمل علی القلب </w:t>
      </w:r>
      <w:r>
        <w:rPr>
          <w:rStyle w:val="FootnoteAnchor"/>
          <w:rtl w:val="true"/>
        </w:rPr>
        <w:footnoteReference w:id="168"/>
      </w:r>
      <w:r>
        <w:rPr>
          <w:rFonts w:ascii="IRNazanin" w:hAnsi="IRNazanin" w:eastAsia="IRNazanin"/>
          <w:color w:val="111111"/>
          <w:sz w:val="28"/>
          <w:sz w:val="28"/>
          <w:szCs w:val="28"/>
          <w:rtl w:val="true"/>
          <w:lang w:bidi="fa-IR"/>
        </w:rPr>
        <w:t>تغسّل و تکفّن و یصلّی علیها و تدفن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الاقتصار فی الکفن علی الثوب و اللفّافة إلّا إذا کانت مشتملة علیٰ بعض محلّ المئزر أیضاً، و إذا کان معها بعض المساجد یحنّط ذلک البعض أیضاً</w:t>
      </w:r>
      <w:r>
        <w:rPr>
          <w:rFonts w:eastAsia="IRNazanin" w:cs="IRNazanin"/>
          <w:color w:val="111111"/>
          <w:sz w:val="28"/>
          <w:szCs w:val="28"/>
          <w:rtl w:val="true"/>
          <w:lang w:bidi="fa-IR"/>
        </w:rPr>
        <w:t>.</w:t>
      </w:r>
    </w:p>
    <w:p>
      <w:pPr>
        <w:pStyle w:val="Heading6"/>
        <w:numPr>
          <w:ilvl w:val="5"/>
          <w:numId w:val="1"/>
        </w:numPr>
        <w:rPr/>
      </w:pPr>
      <w:bookmarkStart w:id="757" w:name="__RefHeading___Toc2565680_3650668749"/>
      <w:bookmarkStart w:id="758" w:name="_Toc349"/>
      <w:bookmarkEnd w:id="757"/>
      <w:r>
        <w:rPr>
          <w:rtl w:val="true"/>
        </w:rPr>
        <w:t>[ (</w:t>
      </w:r>
      <w:r>
        <w:rPr>
          <w:rtl w:val="true"/>
        </w:rPr>
        <w:t xml:space="preserve">مسألة </w:t>
      </w:r>
      <w:r>
        <w:rPr/>
        <w:t>3</w:t>
      </w:r>
      <w:r>
        <w:rPr>
          <w:rtl w:val="true"/>
        </w:rPr>
        <w:t xml:space="preserve">): </w:t>
      </w:r>
      <w:r>
        <w:rPr>
          <w:rtl w:val="true"/>
        </w:rPr>
        <w:t>تغسیل المیّت کتکفینه</w:t>
      </w:r>
      <w:r>
        <w:rPr>
          <w:rtl w:val="true"/>
        </w:rPr>
        <w:t>]</w:t>
      </w:r>
      <w:bookmarkEnd w:id="75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تغسیل المیّت کتکفینه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علیه فرض علی الکفایة، فهو فرض علیٰ جمیع المکلّفین، و بقیام بعضهم به تسقط عن الباقین، و إن کان أولی الناس بذلک أولاهم بمیراثه؛ بمعنی أنّ الولیّ لو أراد القیام به أو عیّن شخصاً لذلک لا یجوز مزاحمته، لا أنّ إذنه شرط </w:t>
      </w:r>
      <w:r>
        <w:rPr>
          <w:rStyle w:val="FootnoteAnchor"/>
          <w:rtl w:val="true"/>
        </w:rPr>
        <w:footnoteReference w:id="169"/>
      </w:r>
      <w:r>
        <w:rPr>
          <w:rFonts w:ascii="IRNazanin" w:hAnsi="IRNazanin" w:eastAsia="IRNazanin"/>
          <w:color w:val="111111"/>
          <w:sz w:val="28"/>
          <w:sz w:val="28"/>
          <w:szCs w:val="28"/>
          <w:rtl w:val="true"/>
          <w:lang w:bidi="fa-IR"/>
        </w:rPr>
        <w:t>فی صحّة عمل غیره علی الأقویٰ، فیجوز قیام الغیر به بدون استئذان مع عدم المزاحمة، خصوصاً فیما إذا کان الولیّ قاصراً، و إن کان الأحوط الاستئذان، حتّی فیما إذا کان الولیّ قاصراً أو غائباً الأحوط قیام الحاکم الشرعی به أو الاستئذان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الإذن أعمّ</w:t>
      </w:r>
      <w:bookmarkStart w:id="759" w:name="pg1809_18839"/>
    </w:p>
    <w:p>
      <w:pPr>
        <w:pStyle w:val="BookText"/>
        <w:rPr/>
      </w:pPr>
      <w:bookmarkEnd w:id="759"/>
      <w:r>
        <w:rPr>
          <w:rFonts w:ascii="IRNazanin" w:hAnsi="IRNazanin" w:eastAsia="IRNazanin"/>
          <w:color w:val="111111"/>
          <w:sz w:val="28"/>
          <w:sz w:val="28"/>
          <w:szCs w:val="28"/>
          <w:rtl w:val="true"/>
          <w:lang w:bidi="fa-IR"/>
        </w:rPr>
        <w:t>من الصریح و الفحویٰ و شاهد الحال القطعی</w:t>
      </w:r>
      <w:r>
        <w:rPr>
          <w:rFonts w:eastAsia="IRNazanin" w:cs="IRNazanin"/>
          <w:color w:val="111111"/>
          <w:sz w:val="28"/>
          <w:szCs w:val="28"/>
          <w:rtl w:val="true"/>
          <w:lang w:bidi="fa-IR"/>
        </w:rPr>
        <w:t>.</w:t>
      </w:r>
    </w:p>
    <w:p>
      <w:pPr>
        <w:pStyle w:val="Heading6"/>
        <w:numPr>
          <w:ilvl w:val="5"/>
          <w:numId w:val="1"/>
        </w:numPr>
        <w:rPr/>
      </w:pPr>
      <w:bookmarkStart w:id="760" w:name="__RefHeading___Toc2565682_3650668749"/>
      <w:bookmarkStart w:id="761" w:name="_Toc350"/>
      <w:bookmarkEnd w:id="760"/>
      <w:r>
        <w:rPr>
          <w:rtl w:val="true"/>
        </w:rPr>
        <w:t>[ (</w:t>
      </w:r>
      <w:r>
        <w:rPr>
          <w:rtl w:val="true"/>
        </w:rPr>
        <w:t xml:space="preserve">مسألة </w:t>
      </w:r>
      <w:r>
        <w:rPr/>
        <w:t>4</w:t>
      </w:r>
      <w:r>
        <w:rPr>
          <w:rtl w:val="true"/>
        </w:rPr>
        <w:t xml:space="preserve">): </w:t>
      </w:r>
      <w:r>
        <w:rPr>
          <w:rtl w:val="true"/>
        </w:rPr>
        <w:t>المراد بالولیّ الذی لا یجوز مزاحمته أو یجب الاستئذان منه کلّ من یرثه</w:t>
      </w:r>
      <w:r>
        <w:rPr>
          <w:rtl w:val="true"/>
        </w:rPr>
        <w:t>]</w:t>
      </w:r>
      <w:bookmarkEnd w:id="7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بالولیّ الذی لا یجوز مزاحمته أو یجب الاستئذان منه کلّ من یرثه بنسب أو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یترتّب ولایتهم علیٰ ترتیب طبقات الإرث؛ فالطبقة الاولیٰ مقدّمون علی الثانیة و هی علی الثالثة، و إذا فقدت الأرحام فالمولی المعتق </w:t>
      </w:r>
      <w:r>
        <w:rPr>
          <w:rStyle w:val="FootnoteAnchor"/>
          <w:rtl w:val="true"/>
        </w:rPr>
        <w:footnoteReference w:id="170"/>
      </w:r>
      <w:r>
        <w:rPr>
          <w:rFonts w:ascii="IRNazanin" w:hAnsi="IRNazanin" w:eastAsia="IRNazanin"/>
          <w:color w:val="111111"/>
          <w:sz w:val="28"/>
          <w:sz w:val="28"/>
          <w:szCs w:val="28"/>
          <w:rtl w:val="true"/>
          <w:lang w:bidi="fa-IR"/>
        </w:rPr>
        <w:t>ثمّ ضامن الجریرة، و إذا فقد الجمیع فالحاکم الشرعی فإنّه ولیّ من لا 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نفس الطبقات فالذکور مقدّمون </w:t>
      </w:r>
      <w:r>
        <w:rPr>
          <w:rStyle w:val="FootnoteAnchor"/>
          <w:rtl w:val="true"/>
        </w:rPr>
        <w:footnoteReference w:id="171"/>
      </w:r>
      <w:r>
        <w:rPr>
          <w:rFonts w:ascii="IRNazanin" w:hAnsi="IRNazanin" w:eastAsia="IRNazanin"/>
          <w:color w:val="111111"/>
          <w:sz w:val="28"/>
          <w:sz w:val="28"/>
          <w:szCs w:val="28"/>
          <w:rtl w:val="true"/>
          <w:lang w:bidi="fa-IR"/>
        </w:rPr>
        <w:t xml:space="preserve">علی الإناث و البالغون علیٰ غیرهم و من تقرّب إلی المیّت بالأبوین مقدّم علیٰ من تقرّب إلیه بأحدهما، و من انتسب إلیه بالأب أولیٰ ممّن انتسب إلیه بالأُمّ، و فی الطبقة الأُولی الأب مقدّم علی الامّ و الأولاد و هم علیٰ أولادهم، و فی الطبقة الثانیة الجدّ مقدّم </w:t>
      </w:r>
      <w:r>
        <w:rPr>
          <w:rStyle w:val="FootnoteAnchor"/>
          <w:rtl w:val="true"/>
        </w:rPr>
        <w:footnoteReference w:id="172"/>
      </w:r>
      <w:r>
        <w:rPr>
          <w:rFonts w:ascii="IRNazanin" w:hAnsi="IRNazanin" w:eastAsia="IRNazanin"/>
          <w:color w:val="111111"/>
          <w:sz w:val="28"/>
          <w:sz w:val="28"/>
          <w:szCs w:val="28"/>
          <w:rtl w:val="true"/>
          <w:lang w:bidi="fa-IR"/>
        </w:rPr>
        <w:t>علی الإخوة و هم علیٰ أولادهم، و فی الثالثة العمّ مقدّم علی الخال و هما علیٰ أولادهما</w:t>
      </w:r>
      <w:r>
        <w:rPr>
          <w:rFonts w:eastAsia="IRNazanin" w:cs="IRNazanin"/>
          <w:color w:val="111111"/>
          <w:sz w:val="28"/>
          <w:szCs w:val="28"/>
          <w:rtl w:val="true"/>
          <w:lang w:bidi="fa-IR"/>
        </w:rPr>
        <w:t>.</w:t>
      </w:r>
    </w:p>
    <w:p>
      <w:pPr>
        <w:pStyle w:val="Heading6"/>
        <w:numPr>
          <w:ilvl w:val="5"/>
          <w:numId w:val="1"/>
        </w:numPr>
        <w:rPr/>
      </w:pPr>
      <w:bookmarkStart w:id="762" w:name="__RefHeading___Toc2565684_3650668749"/>
      <w:bookmarkStart w:id="763" w:name="_Toc351"/>
      <w:bookmarkEnd w:id="762"/>
      <w:r>
        <w:rPr>
          <w:rtl w:val="true"/>
        </w:rPr>
        <w:t>[ (</w:t>
      </w:r>
      <w:r>
        <w:rPr>
          <w:rtl w:val="true"/>
        </w:rPr>
        <w:t xml:space="preserve">مسألة </w:t>
      </w:r>
      <w:r>
        <w:rPr/>
        <w:t>5</w:t>
      </w:r>
      <w:r>
        <w:rPr>
          <w:rtl w:val="true"/>
        </w:rPr>
        <w:t xml:space="preserve">): </w:t>
      </w:r>
      <w:r>
        <w:rPr>
          <w:rtl w:val="true"/>
        </w:rPr>
        <w:t>الزوج أولیٰ بزوجته من جمیع أقاربها إلیٰ أن یضعها فی قبرها</w:t>
      </w:r>
      <w:r>
        <w:rPr>
          <w:rtl w:val="true"/>
        </w:rPr>
        <w:t>]</w:t>
      </w:r>
      <w:bookmarkEnd w:id="7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أولیٰ بزوجته من جمیع أقاربها إلیٰ أن یضعها فی قبرها؛ حرّةً کانت أو أمة دائمة أو منقطعة علیٰ إشکال فی الأخیرة و المالک أولیٰ بعبده أو أمته من کلّ أحد</w:t>
      </w:r>
      <w:r>
        <w:rPr>
          <w:rFonts w:eastAsia="IRNazanin" w:cs="IRNazanin"/>
          <w:color w:val="111111"/>
          <w:sz w:val="28"/>
          <w:szCs w:val="28"/>
          <w:rtl w:val="true"/>
          <w:lang w:bidi="fa-IR"/>
        </w:rPr>
        <w:t>.</w:t>
      </w:r>
    </w:p>
    <w:p>
      <w:pPr>
        <w:pStyle w:val="Heading6"/>
        <w:numPr>
          <w:ilvl w:val="5"/>
          <w:numId w:val="1"/>
        </w:numPr>
        <w:rPr/>
      </w:pPr>
      <w:bookmarkStart w:id="764" w:name="__RefHeading___Toc2565686_3650668749"/>
      <w:bookmarkStart w:id="765" w:name="_Toc352"/>
      <w:bookmarkEnd w:id="764"/>
      <w:r>
        <w:rPr>
          <w:rtl w:val="true"/>
        </w:rPr>
        <w:t>[ (</w:t>
      </w:r>
      <w:r>
        <w:rPr>
          <w:rtl w:val="true"/>
        </w:rPr>
        <w:t xml:space="preserve">مسألة </w:t>
      </w:r>
      <w:r>
        <w:rPr/>
        <w:t>6</w:t>
      </w:r>
      <w:r>
        <w:rPr>
          <w:rtl w:val="true"/>
        </w:rPr>
        <w:t xml:space="preserve">): </w:t>
      </w:r>
      <w:r>
        <w:rPr>
          <w:rtl w:val="true"/>
        </w:rPr>
        <w:t>إذا أوصی المیّت فی تجهیزه إلیٰ غیر الولیّ فالأقویٰ صحّة الوصیّة</w:t>
      </w:r>
      <w:r>
        <w:rPr>
          <w:rtl w:val="true"/>
        </w:rPr>
        <w:t>]</w:t>
      </w:r>
      <w:bookmarkEnd w:id="7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أوصی المیّت فی تجهیزه إلیٰ غیر الولیّ فالأقویٰ </w:t>
      </w:r>
      <w:r>
        <w:rPr>
          <w:rStyle w:val="FootnoteAnchor"/>
          <w:rtl w:val="true"/>
        </w:rPr>
        <w:footnoteReference w:id="173"/>
      </w:r>
      <w:r>
        <w:rPr>
          <w:rFonts w:ascii="IRNazanin" w:hAnsi="IRNazanin" w:eastAsia="IRNazanin"/>
          <w:color w:val="111111"/>
          <w:sz w:val="28"/>
          <w:sz w:val="28"/>
          <w:szCs w:val="28"/>
          <w:rtl w:val="true"/>
          <w:lang w:bidi="fa-IR"/>
        </w:rPr>
        <w:t>صحّة الوصیّة و وجوب العمل بها، فیکون الوصیّ أولیٰ فلیس للولیّ مزاحمته</w:t>
      </w:r>
      <w:r>
        <w:rPr>
          <w:rFonts w:eastAsia="IRNazanin" w:cs="IRNazanin"/>
          <w:color w:val="111111"/>
          <w:sz w:val="28"/>
          <w:szCs w:val="28"/>
          <w:rtl w:val="true"/>
          <w:lang w:bidi="fa-IR"/>
        </w:rPr>
        <w:t>.</w:t>
      </w:r>
    </w:p>
    <w:p>
      <w:pPr>
        <w:pStyle w:val="Heading6"/>
        <w:numPr>
          <w:ilvl w:val="5"/>
          <w:numId w:val="1"/>
        </w:numPr>
        <w:rPr/>
      </w:pPr>
      <w:bookmarkStart w:id="766" w:name="__RefHeading___Toc2565688_3650668749"/>
      <w:bookmarkStart w:id="767" w:name="_Toc353"/>
      <w:bookmarkEnd w:id="766"/>
      <w:r>
        <w:rPr>
          <w:rtl w:val="true"/>
        </w:rPr>
        <w:t>[ (</w:t>
      </w:r>
      <w:r>
        <w:rPr>
          <w:rtl w:val="true"/>
        </w:rPr>
        <w:t xml:space="preserve">مسألة </w:t>
      </w:r>
      <w:r>
        <w:rPr/>
        <w:t>7</w:t>
      </w:r>
      <w:r>
        <w:rPr>
          <w:rtl w:val="true"/>
        </w:rPr>
        <w:t xml:space="preserve">): </w:t>
      </w:r>
      <w:r>
        <w:rPr>
          <w:rtl w:val="true"/>
        </w:rPr>
        <w:t>یشترط المماثلة بین المغسِّل و المیّت فی الذکوریّة و الأُنوثیّة</w:t>
      </w:r>
      <w:r>
        <w:rPr>
          <w:rtl w:val="true"/>
        </w:rPr>
        <w:t>]</w:t>
      </w:r>
      <w:bookmarkEnd w:id="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المماثلة بین المغسِّل و المیّت فی الذکوریّة و الأُنوثیّة، فلا یغسّل الرجل المرأة و لا العکس و لو کان من وراء الساتر و من دون لمس و نظر، إلّا الطفل الذی لا یزید عمره علیٰ ثلاث سنین فیجوز لکلّ من الرجل و المرأة تغسیل مخالفه و لو مع التجرّد، و إلّا الزوج و الزوجة فیجوز لکلّ منهما تغسیل الآخر و لو مع وجود المماثل و التجرّد، حتّی أنّه یجوز لکلّ منهما النظر إلیٰ عورة الآخر علیٰ 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فی الزوجة بین الحرّة و الأمة و الدائمة و المنقطعة بل و المطلّقة الرجعیّة </w:t>
      </w:r>
      <w:r>
        <w:rPr>
          <w:rStyle w:val="FootnoteAnchor"/>
          <w:rtl w:val="true"/>
        </w:rPr>
        <w:footnoteReference w:id="174"/>
      </w:r>
      <w:r>
        <w:rPr>
          <w:rFonts w:ascii="IRNazanin" w:hAnsi="IRNazanin" w:eastAsia="IRNazanin"/>
          <w:color w:val="111111"/>
          <w:sz w:val="28"/>
          <w:sz w:val="28"/>
          <w:szCs w:val="28"/>
          <w:rtl w:val="true"/>
          <w:lang w:bidi="fa-IR"/>
        </w:rPr>
        <w:t>، علیٰ إشکال فی الأخیرتین</w:t>
      </w:r>
      <w:r>
        <w:rPr>
          <w:rFonts w:eastAsia="IRNazanin" w:cs="IRNazanin"/>
          <w:color w:val="111111"/>
          <w:sz w:val="28"/>
          <w:szCs w:val="28"/>
          <w:rtl w:val="true"/>
          <w:lang w:bidi="fa-IR"/>
        </w:rPr>
        <w:t>.</w:t>
      </w:r>
    </w:p>
    <w:p>
      <w:pPr>
        <w:pStyle w:val="Heading6"/>
        <w:numPr>
          <w:ilvl w:val="5"/>
          <w:numId w:val="1"/>
        </w:numPr>
        <w:rPr/>
      </w:pPr>
      <w:bookmarkStart w:id="768" w:name="__RefHeading___Toc2565690_3650668749"/>
      <w:bookmarkStart w:id="769" w:name="_Toc354"/>
      <w:bookmarkEnd w:id="768"/>
      <w:r>
        <w:rPr>
          <w:rtl w:val="true"/>
        </w:rPr>
        <w:t>[ (</w:t>
      </w:r>
      <w:r>
        <w:rPr>
          <w:rtl w:val="true"/>
        </w:rPr>
        <w:t xml:space="preserve">مسألة </w:t>
      </w:r>
      <w:r>
        <w:rPr/>
        <w:t>8</w:t>
      </w:r>
      <w:r>
        <w:rPr>
          <w:rtl w:val="true"/>
        </w:rPr>
        <w:t xml:space="preserve">): </w:t>
      </w:r>
      <w:r>
        <w:rPr>
          <w:rtl w:val="true"/>
        </w:rPr>
        <w:t>لا إشکال فی جواز تغسیل الرجل محارمه و بالعکس مع فقد المماثل</w:t>
      </w:r>
      <w:r>
        <w:rPr>
          <w:rtl w:val="true"/>
        </w:rPr>
        <w:t>]</w:t>
      </w:r>
      <w:bookmarkEnd w:id="76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تغسیل الرجل محارمه و بالعکس مع فقد المماثل من</w:t>
      </w:r>
      <w:bookmarkStart w:id="770" w:name="pg1809_18840"/>
    </w:p>
    <w:p>
      <w:pPr>
        <w:pStyle w:val="BookText"/>
        <w:rPr/>
      </w:pPr>
      <w:bookmarkEnd w:id="770"/>
      <w:r>
        <w:rPr>
          <w:rFonts w:ascii="IRNazanin" w:hAnsi="IRNazanin" w:eastAsia="IRNazanin"/>
          <w:color w:val="111111"/>
          <w:sz w:val="28"/>
          <w:sz w:val="28"/>
          <w:szCs w:val="28"/>
          <w:rtl w:val="true"/>
          <w:lang w:bidi="fa-IR"/>
        </w:rPr>
        <w:t xml:space="preserve">وراء الثیاب، و أمّا مع وجوده أو مجرّداً ففیه تأمّل </w:t>
      </w:r>
      <w:r>
        <w:rPr>
          <w:rStyle w:val="FootnoteAnchor"/>
          <w:rtl w:val="true"/>
        </w:rPr>
        <w:footnoteReference w:id="175"/>
      </w:r>
      <w:r>
        <w:rPr>
          <w:rFonts w:ascii="IRNazanin" w:hAnsi="IRNazanin" w:eastAsia="IRNazanin"/>
          <w:color w:val="111111"/>
          <w:sz w:val="28"/>
          <w:sz w:val="28"/>
          <w:szCs w:val="28"/>
          <w:rtl w:val="true"/>
          <w:lang w:bidi="fa-IR"/>
        </w:rPr>
        <w:t>و إشکال فلا یترک الاحتیاط</w:t>
      </w:r>
      <w:r>
        <w:rPr>
          <w:rFonts w:eastAsia="IRNazanin" w:cs="IRNazanin"/>
          <w:color w:val="111111"/>
          <w:sz w:val="28"/>
          <w:szCs w:val="28"/>
          <w:rtl w:val="true"/>
          <w:lang w:bidi="fa-IR"/>
        </w:rPr>
        <w:t>.</w:t>
      </w:r>
    </w:p>
    <w:p>
      <w:pPr>
        <w:pStyle w:val="Heading6"/>
        <w:numPr>
          <w:ilvl w:val="5"/>
          <w:numId w:val="1"/>
        </w:numPr>
        <w:rPr/>
      </w:pPr>
      <w:bookmarkStart w:id="771" w:name="__RefHeading___Toc2565692_3650668749"/>
      <w:bookmarkStart w:id="772" w:name="_Toc355"/>
      <w:bookmarkEnd w:id="771"/>
      <w:r>
        <w:rPr>
          <w:rtl w:val="true"/>
        </w:rPr>
        <w:t>[ (</w:t>
      </w:r>
      <w:r>
        <w:rPr>
          <w:rtl w:val="true"/>
        </w:rPr>
        <w:t xml:space="preserve">مسألة </w:t>
      </w:r>
      <w:r>
        <w:rPr/>
        <w:t>9</w:t>
      </w:r>
      <w:r>
        <w:rPr>
          <w:rtl w:val="true"/>
        </w:rPr>
        <w:t xml:space="preserve">): </w:t>
      </w:r>
      <w:r>
        <w:rPr>
          <w:rtl w:val="true"/>
        </w:rPr>
        <w:t>یجوز للمولیٰ تغسیل أمته إذا لم تکن مزوّجة و لا معتدّة</w:t>
      </w:r>
      <w:r>
        <w:rPr>
          <w:rtl w:val="true"/>
        </w:rPr>
        <w:t>]</w:t>
      </w:r>
      <w:bookmarkEnd w:id="7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للمولیٰ تغسیل أمته إذا لم تکن مزوّجة و لا معتدّة و لا مبعّضة </w:t>
      </w:r>
      <w:r>
        <w:rPr>
          <w:rStyle w:val="FootnoteAnchor"/>
          <w:rtl w:val="true"/>
        </w:rPr>
        <w:footnoteReference w:id="176"/>
      </w:r>
      <w:r>
        <w:rPr>
          <w:rFonts w:ascii="IRNazanin" w:hAnsi="IRNazanin" w:eastAsia="IRNazanin"/>
          <w:color w:val="111111"/>
          <w:sz w:val="28"/>
          <w:sz w:val="28"/>
          <w:szCs w:val="28"/>
          <w:rtl w:val="true"/>
          <w:lang w:bidi="fa-IR"/>
        </w:rPr>
        <w:t>، و أمّا تغسیل الأمة مولاها ففیه إشکال</w:t>
      </w:r>
      <w:r>
        <w:rPr>
          <w:rFonts w:eastAsia="IRNazanin" w:cs="IRNazanin"/>
          <w:color w:val="111111"/>
          <w:sz w:val="28"/>
          <w:szCs w:val="28"/>
          <w:rtl w:val="true"/>
          <w:lang w:bidi="fa-IR"/>
        </w:rPr>
        <w:t>.</w:t>
      </w:r>
    </w:p>
    <w:p>
      <w:pPr>
        <w:pStyle w:val="Heading6"/>
        <w:numPr>
          <w:ilvl w:val="5"/>
          <w:numId w:val="1"/>
        </w:numPr>
        <w:rPr/>
      </w:pPr>
      <w:bookmarkStart w:id="773" w:name="__RefHeading___Toc2565694_3650668749"/>
      <w:bookmarkStart w:id="774" w:name="_Toc356"/>
      <w:bookmarkEnd w:id="773"/>
      <w:r>
        <w:rPr>
          <w:rtl w:val="true"/>
        </w:rPr>
        <w:t>[ (</w:t>
      </w:r>
      <w:r>
        <w:rPr>
          <w:rtl w:val="true"/>
        </w:rPr>
        <w:t xml:space="preserve">مسألة </w:t>
      </w:r>
      <w:r>
        <w:rPr/>
        <w:t>10</w:t>
      </w:r>
      <w:r>
        <w:rPr>
          <w:rtl w:val="true"/>
        </w:rPr>
        <w:t xml:space="preserve">): </w:t>
      </w:r>
      <w:r>
        <w:rPr>
          <w:rtl w:val="true"/>
        </w:rPr>
        <w:t>المیّت المشتبه بین الذکر و الأُنثیٰ و لو من جهة کونه خنثیٰ</w:t>
      </w:r>
      <w:r>
        <w:rPr>
          <w:rtl w:val="true"/>
        </w:rPr>
        <w:t>]</w:t>
      </w:r>
      <w:bookmarkEnd w:id="7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المشتبه بین الذکر و الأُنثیٰ و لو من جهة کونه خنثیٰ یغسّله من وراء الثوب کلّ من الرجل و الأُنثی</w:t>
      </w:r>
      <w:r>
        <w:rPr>
          <w:rFonts w:eastAsia="IRNazanin" w:cs="IRNazanin"/>
          <w:color w:val="111111"/>
          <w:sz w:val="28"/>
          <w:szCs w:val="28"/>
          <w:rtl w:val="true"/>
          <w:lang w:bidi="fa-IR"/>
        </w:rPr>
        <w:t>.</w:t>
      </w:r>
    </w:p>
    <w:p>
      <w:pPr>
        <w:pStyle w:val="Heading6"/>
        <w:numPr>
          <w:ilvl w:val="5"/>
          <w:numId w:val="1"/>
        </w:numPr>
        <w:rPr/>
      </w:pPr>
      <w:bookmarkStart w:id="775" w:name="__RefHeading___Toc2565696_3650668749"/>
      <w:bookmarkStart w:id="776" w:name="_Toc357"/>
      <w:bookmarkEnd w:id="775"/>
      <w:r>
        <w:rPr>
          <w:rtl w:val="true"/>
        </w:rPr>
        <w:t>[ (</w:t>
      </w:r>
      <w:r>
        <w:rPr>
          <w:rtl w:val="true"/>
        </w:rPr>
        <w:t xml:space="preserve">مسألة </w:t>
      </w:r>
      <w:r>
        <w:rPr/>
        <w:t>11</w:t>
      </w:r>
      <w:r>
        <w:rPr>
          <w:rtl w:val="true"/>
        </w:rPr>
        <w:t xml:space="preserve">): </w:t>
      </w:r>
      <w:r>
        <w:rPr>
          <w:rtl w:val="true"/>
        </w:rPr>
        <w:t>یعتبر فی المغسّل الإسلام بل الإیمان فی حال الاختیار</w:t>
      </w:r>
      <w:r>
        <w:rPr>
          <w:rtl w:val="true"/>
        </w:rPr>
        <w:t>]</w:t>
      </w:r>
      <w:bookmarkEnd w:id="7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المغسّل الإسلام بل الإیمان فی حال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انحصر المماثل فی الکتابیّ أو الکتابیّة أمَر المسلمُ الکتابیّةَ و المسلمةُ الکتابیَّ أن یغتسل أوّلًا ثمّ یغسّل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أمکن أن لا یمسّ الماء و بدن المیّت أو یغسّل فی الکرّ أو الجاری تعیّن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انحصر المماثل فی المخالف فکذلک، إلّا أنّه لا یحتاج إلی الاغتسال </w:t>
      </w:r>
      <w:r>
        <w:rPr>
          <w:rStyle w:val="FootnoteAnchor"/>
          <w:rtl w:val="true"/>
        </w:rPr>
        <w:footnoteReference w:id="178"/>
      </w:r>
      <w:r>
        <w:rPr>
          <w:rFonts w:ascii="IRNazanin" w:hAnsi="IRNazanin" w:eastAsia="IRNazanin"/>
          <w:color w:val="111111"/>
          <w:sz w:val="28"/>
          <w:sz w:val="28"/>
          <w:szCs w:val="28"/>
          <w:rtl w:val="true"/>
          <w:lang w:bidi="fa-IR"/>
        </w:rPr>
        <w:t>قبل التغسیل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انحصر المماثل فی الکتابیّ و المخالف یقدّم الثانی</w:t>
      </w:r>
      <w:r>
        <w:rPr>
          <w:rFonts w:eastAsia="IRNazanin" w:cs="IRNazanin"/>
          <w:color w:val="111111"/>
          <w:sz w:val="28"/>
          <w:szCs w:val="28"/>
          <w:rtl w:val="true"/>
          <w:lang w:bidi="fa-IR"/>
        </w:rPr>
        <w:t>.</w:t>
      </w:r>
    </w:p>
    <w:p>
      <w:pPr>
        <w:pStyle w:val="Heading6"/>
        <w:numPr>
          <w:ilvl w:val="5"/>
          <w:numId w:val="1"/>
        </w:numPr>
        <w:rPr/>
      </w:pPr>
      <w:bookmarkStart w:id="777" w:name="__RefHeading___Toc2565698_3650668749"/>
      <w:bookmarkStart w:id="778" w:name="_Toc358"/>
      <w:bookmarkEnd w:id="777"/>
      <w:r>
        <w:rPr>
          <w:rtl w:val="true"/>
        </w:rPr>
        <w:t>[ (</w:t>
      </w:r>
      <w:r>
        <w:rPr>
          <w:rtl w:val="true"/>
        </w:rPr>
        <w:t xml:space="preserve">مسألة </w:t>
      </w:r>
      <w:r>
        <w:rPr/>
        <w:t>12</w:t>
      </w:r>
      <w:r>
        <w:rPr>
          <w:rtl w:val="true"/>
        </w:rPr>
        <w:t xml:space="preserve">): </w:t>
      </w:r>
      <w:r>
        <w:rPr>
          <w:rtl w:val="true"/>
        </w:rPr>
        <w:t>لو لم یوجد المماثل حتّی الکتابی سقط الغسل علی الأقویٰ</w:t>
      </w:r>
      <w:r>
        <w:rPr>
          <w:rtl w:val="true"/>
        </w:rPr>
        <w:t>]</w:t>
      </w:r>
      <w:bookmarkEnd w:id="7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یوجد المماثل حتّی الکتابی سقط الغسل علی الأقویٰ و إن کان الأحوط </w:t>
      </w:r>
      <w:r>
        <w:rPr>
          <w:rStyle w:val="FootnoteAnchor"/>
          <w:rtl w:val="true"/>
        </w:rPr>
        <w:footnoteReference w:id="179"/>
      </w:r>
      <w:r>
        <w:rPr>
          <w:rFonts w:ascii="IRNazanin" w:hAnsi="IRNazanin" w:eastAsia="IRNazanin"/>
          <w:color w:val="111111"/>
          <w:sz w:val="28"/>
          <w:sz w:val="28"/>
          <w:szCs w:val="28"/>
          <w:rtl w:val="true"/>
          <w:lang w:bidi="fa-IR"/>
        </w:rPr>
        <w:t>تغسیل غیر المماثل من وراء الستر، کما أنّ الأحوط أن ینشّف بدنه قبل التکفین؛ لاحتمال بقاء نجاسته فیتنجّس الکفن به</w:t>
      </w:r>
      <w:r>
        <w:rPr>
          <w:rFonts w:eastAsia="IRNazanin" w:cs="IRNazanin"/>
          <w:color w:val="111111"/>
          <w:sz w:val="28"/>
          <w:szCs w:val="28"/>
          <w:rtl w:val="true"/>
          <w:lang w:bidi="fa-IR"/>
        </w:rPr>
        <w:t>.</w:t>
      </w:r>
    </w:p>
    <w:p>
      <w:pPr>
        <w:pStyle w:val="Heading6"/>
        <w:numPr>
          <w:ilvl w:val="5"/>
          <w:numId w:val="1"/>
        </w:numPr>
        <w:rPr/>
      </w:pPr>
      <w:bookmarkStart w:id="779" w:name="__RefHeading___Toc2565700_3650668749"/>
      <w:bookmarkStart w:id="780" w:name="_Toc359"/>
      <w:bookmarkEnd w:id="779"/>
      <w:r>
        <w:rPr>
          <w:rtl w:val="true"/>
        </w:rPr>
        <w:t>[ (</w:t>
      </w:r>
      <w:r>
        <w:rPr>
          <w:rtl w:val="true"/>
        </w:rPr>
        <w:t xml:space="preserve">مسألة </w:t>
      </w:r>
      <w:r>
        <w:rPr/>
        <w:t>13</w:t>
      </w:r>
      <w:r>
        <w:rPr>
          <w:rtl w:val="true"/>
        </w:rPr>
        <w:t xml:space="preserve">): </w:t>
      </w:r>
      <w:r>
        <w:rPr>
          <w:rtl w:val="true"/>
        </w:rPr>
        <w:t>الظاهر عدم اعتبار البلوغ فی المغسِّل</w:t>
      </w:r>
      <w:r>
        <w:rPr>
          <w:rtl w:val="true"/>
        </w:rPr>
        <w:t>]</w:t>
      </w:r>
      <w:bookmarkEnd w:id="7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اعتبار البلوغ فی المغسِّل فیجزی تغسیل </w:t>
      </w:r>
      <w:r>
        <w:rPr>
          <w:rStyle w:val="FootnoteAnchor"/>
          <w:rtl w:val="true"/>
        </w:rPr>
        <w:footnoteReference w:id="180"/>
      </w:r>
      <w:r>
        <w:rPr>
          <w:rFonts w:ascii="IRNazanin" w:hAnsi="IRNazanin" w:eastAsia="IRNazanin"/>
          <w:color w:val="111111"/>
          <w:sz w:val="28"/>
          <w:sz w:val="28"/>
          <w:szCs w:val="28"/>
          <w:rtl w:val="true"/>
          <w:lang w:bidi="fa-IR"/>
        </w:rPr>
        <w:t>الصبیّ الممیّز بناءً علیٰ صحّة عباداته کما هو الأقویٰ و یسقط عن المکلّفین و إن کان الأحوط عدم الاجتزاء به</w:t>
      </w:r>
      <w:r>
        <w:rPr>
          <w:rFonts w:eastAsia="IRNazanin" w:cs="IRNazanin"/>
          <w:color w:val="111111"/>
          <w:sz w:val="28"/>
          <w:szCs w:val="28"/>
          <w:rtl w:val="true"/>
          <w:lang w:bidi="fa-IR"/>
        </w:rPr>
        <w:t>.</w:t>
      </w:r>
    </w:p>
    <w:p>
      <w:pPr>
        <w:pStyle w:val="Heading6"/>
        <w:numPr>
          <w:ilvl w:val="5"/>
          <w:numId w:val="1"/>
        </w:numPr>
        <w:rPr/>
      </w:pPr>
      <w:bookmarkStart w:id="781" w:name="__RefHeading___Toc2565702_3650668749"/>
      <w:bookmarkStart w:id="782" w:name="_Toc360"/>
      <w:bookmarkEnd w:id="781"/>
      <w:r>
        <w:rPr>
          <w:rtl w:val="true"/>
        </w:rPr>
        <w:t>[</w:t>
      </w:r>
      <w:r>
        <w:rPr>
          <w:rtl w:val="true"/>
        </w:rPr>
        <w:t>القول فی کیفیّة غُسل المیّت</w:t>
      </w:r>
      <w:r>
        <w:rPr>
          <w:rtl w:val="true"/>
        </w:rPr>
        <w:t>]</w:t>
      </w:r>
      <w:bookmarkEnd w:id="782"/>
    </w:p>
    <w:p>
      <w:pPr>
        <w:pStyle w:val="Heading6"/>
        <w:numPr>
          <w:ilvl w:val="5"/>
          <w:numId w:val="1"/>
        </w:numPr>
        <w:rPr/>
      </w:pPr>
      <w:bookmarkStart w:id="783" w:name="__RefHeading___Toc2565704_3650668749"/>
      <w:bookmarkStart w:id="784" w:name="_Toc361"/>
      <w:bookmarkEnd w:id="783"/>
      <w:r>
        <w:rPr>
          <w:rtl w:val="true"/>
        </w:rPr>
        <w:t>اشارة</w:t>
      </w:r>
      <w:bookmarkEnd w:id="78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فی کیفیّة غُسل المیّت یجب أوّلًا إزالة النجاسة عن بدنه، و الأقوی کفایة غسل کلّ عضو قبل تغسیله و إن کان الأحوط تطهیر جمیع الجسد قبل الشروع فی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تغسیله ثلاثة أغسال، أوّلها</w:t>
      </w:r>
      <w:bookmarkStart w:id="785" w:name="pg1809_18841"/>
    </w:p>
    <w:p>
      <w:pPr>
        <w:pStyle w:val="BookText"/>
        <w:rPr/>
      </w:pPr>
      <w:bookmarkEnd w:id="785"/>
      <w:r>
        <w:rPr>
          <w:rFonts w:ascii="IRNazanin" w:hAnsi="IRNazanin" w:eastAsia="IRNazanin"/>
          <w:color w:val="111111"/>
          <w:sz w:val="28"/>
          <w:sz w:val="28"/>
          <w:szCs w:val="28"/>
          <w:rtl w:val="true"/>
          <w:lang w:bidi="fa-IR"/>
        </w:rPr>
        <w:t>بماء السدر ثمّ بماء الکافور ثمّ بالماء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خالف الترتیب عاد إلیٰ ما یحصل به بإعادة ما حقّه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کیفیّة کلّ غسل من الأغسال الثلاثة کغسل الجنابة فیبدأ بغسل الرأس و الرقبة ثمّ الطرف الأیمن ثمّ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الارتماس فی الأغسال الثلاثة علی الأحوط بأن یکتفی فی کلّ غسل بارتماسة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فی غسل کلّ عضو من الأعضاء الثلاثة من کلّ غسل من الأغسال الثلاثة رمس العضو فی الماء الکثیر مع مراعاة الترتیب</w:t>
      </w:r>
      <w:r>
        <w:rPr>
          <w:rFonts w:eastAsia="IRNazanin" w:cs="IRNazanin"/>
          <w:color w:val="111111"/>
          <w:sz w:val="28"/>
          <w:szCs w:val="28"/>
          <w:rtl w:val="true"/>
          <w:lang w:bidi="fa-IR"/>
        </w:rPr>
        <w:t>.</w:t>
      </w:r>
    </w:p>
    <w:p>
      <w:pPr>
        <w:pStyle w:val="Heading6"/>
        <w:numPr>
          <w:ilvl w:val="5"/>
          <w:numId w:val="1"/>
        </w:numPr>
        <w:rPr/>
      </w:pPr>
      <w:bookmarkStart w:id="786" w:name="__RefHeading___Toc2565706_3650668749"/>
      <w:bookmarkStart w:id="787" w:name="_Toc362"/>
      <w:bookmarkEnd w:id="786"/>
      <w:r>
        <w:rPr>
          <w:rtl w:val="true"/>
        </w:rPr>
        <w:t>[ (</w:t>
      </w:r>
      <w:r>
        <w:rPr>
          <w:rtl w:val="true"/>
        </w:rPr>
        <w:t xml:space="preserve">مسألة </w:t>
      </w:r>
      <w:r>
        <w:rPr/>
        <w:t>1</w:t>
      </w:r>
      <w:r>
        <w:rPr>
          <w:rtl w:val="true"/>
        </w:rPr>
        <w:t xml:space="preserve">): </w:t>
      </w:r>
      <w:r>
        <w:rPr>
          <w:rtl w:val="true"/>
        </w:rPr>
        <w:t>یعتبر فی کلّ من السدر و الکافور أن یکون بمقدار یصدق أنّه مخلوط بهما</w:t>
      </w:r>
      <w:r>
        <w:rPr>
          <w:rtl w:val="true"/>
        </w:rPr>
        <w:t>]</w:t>
      </w:r>
      <w:bookmarkEnd w:id="7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کلّ من السدر و الکافور أن یکون بمقدار یصدق أنّه مخلوط بهما مع بقاء الماء علیٰ إطلاقه</w:t>
      </w:r>
      <w:r>
        <w:rPr>
          <w:rFonts w:eastAsia="IRNazanin" w:cs="IRNazanin"/>
          <w:color w:val="111111"/>
          <w:sz w:val="28"/>
          <w:szCs w:val="28"/>
          <w:rtl w:val="true"/>
          <w:lang w:bidi="fa-IR"/>
        </w:rPr>
        <w:t>.</w:t>
      </w:r>
    </w:p>
    <w:p>
      <w:pPr>
        <w:pStyle w:val="Heading6"/>
        <w:numPr>
          <w:ilvl w:val="5"/>
          <w:numId w:val="1"/>
        </w:numPr>
        <w:rPr/>
      </w:pPr>
      <w:bookmarkStart w:id="788" w:name="__RefHeading___Toc2565708_3650668749"/>
      <w:bookmarkStart w:id="789" w:name="_Toc363"/>
      <w:bookmarkEnd w:id="788"/>
      <w:r>
        <w:rPr>
          <w:rtl w:val="true"/>
        </w:rPr>
        <w:t>[ (</w:t>
      </w:r>
      <w:r>
        <w:rPr>
          <w:rtl w:val="true"/>
        </w:rPr>
        <w:t xml:space="preserve">مسألة </w:t>
      </w:r>
      <w:r>
        <w:rPr/>
        <w:t>2</w:t>
      </w:r>
      <w:r>
        <w:rPr>
          <w:rtl w:val="true"/>
        </w:rPr>
        <w:t xml:space="preserve">): </w:t>
      </w:r>
      <w:r>
        <w:rPr>
          <w:rtl w:val="true"/>
        </w:rPr>
        <w:t>إذا تعذّر أحد الخلیطین أو کلاهما غسّل بالماء الخالص</w:t>
      </w:r>
      <w:r>
        <w:rPr>
          <w:rtl w:val="true"/>
        </w:rPr>
        <w:t>]</w:t>
      </w:r>
      <w:bookmarkEnd w:id="7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تعذّر أحد الخلیطین أو کلاهما غسّل بالماء الخالص بدل المتعذّر علی الأحوط </w:t>
      </w:r>
      <w:r>
        <w:rPr>
          <w:rStyle w:val="FootnoteAnchor"/>
          <w:rtl w:val="true"/>
        </w:rPr>
        <w:footnoteReference w:id="181"/>
      </w:r>
      <w:r>
        <w:rPr>
          <w:rFonts w:ascii="Amiri" w:hAnsi="Amiri" w:eastAsia="Amiri" w:cs="Amiri"/>
          <w:color w:val="111111"/>
          <w:sz w:val="28"/>
          <w:sz w:val="28"/>
          <w:szCs w:val="28"/>
          <w:rtl w:val="true"/>
          <w:lang w:bidi="ar-SA"/>
        </w:rPr>
        <w:t>قاصداً به البدلیّة مراعیاً للترتیب بالنیّة</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2565710_3650668749"/>
      <w:bookmarkStart w:id="791" w:name="_Toc364"/>
      <w:bookmarkEnd w:id="790"/>
      <w:r>
        <w:rPr>
          <w:rtl w:val="true"/>
        </w:rPr>
        <w:t>[ (</w:t>
      </w:r>
      <w:r>
        <w:rPr>
          <w:rtl w:val="true"/>
        </w:rPr>
        <w:t xml:space="preserve">مسألة </w:t>
      </w:r>
      <w:r>
        <w:rPr/>
        <w:t>3</w:t>
      </w:r>
      <w:r>
        <w:rPr>
          <w:rtl w:val="true"/>
        </w:rPr>
        <w:t xml:space="preserve">): </w:t>
      </w:r>
      <w:r>
        <w:rPr>
          <w:rtl w:val="true"/>
        </w:rPr>
        <w:t>إذا فقد الماء للغسل ییمّم ثلاث تیمّمات بدلًا عن الأغسال الثلاثة</w:t>
      </w:r>
      <w:r>
        <w:rPr>
          <w:rtl w:val="true"/>
        </w:rPr>
        <w:t>]</w:t>
      </w:r>
      <w:bookmarkEnd w:id="7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فقد الماء للغسل ییمّم ثلاث تیمّمات بدلًا عن الأغسال الثلاثة علی الترتیب، و الأحوط </w:t>
      </w:r>
      <w:r>
        <w:rPr>
          <w:rStyle w:val="FootnoteAnchor"/>
          <w:rtl w:val="true"/>
        </w:rPr>
        <w:footnoteReference w:id="182"/>
      </w:r>
      <w:r>
        <w:rPr>
          <w:rFonts w:ascii="IRNazanin" w:hAnsi="IRNazanin" w:eastAsia="IRNazanin"/>
          <w:color w:val="111111"/>
          <w:sz w:val="28"/>
          <w:sz w:val="28"/>
          <w:szCs w:val="28"/>
          <w:rtl w:val="true"/>
          <w:lang w:bidi="fa-IR"/>
        </w:rPr>
        <w:t>تیمّم آخر بقصد بدلیّة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ییمّم أیضاً إذا کان مجروحاً أو محروقاً أو مجدوراً بحیث یخاف من تناثر جلده لو 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أن یکون التیمّم بید الحیّ </w:t>
      </w:r>
      <w:r>
        <w:rPr>
          <w:rStyle w:val="FootnoteAnchor"/>
          <w:rtl w:val="true"/>
        </w:rPr>
        <w:footnoteReference w:id="183"/>
      </w:r>
      <w:r>
        <w:rPr>
          <w:rFonts w:ascii="IRNazanin" w:hAnsi="IRNazanin" w:eastAsia="IRNazanin"/>
          <w:color w:val="111111"/>
          <w:sz w:val="28"/>
          <w:sz w:val="28"/>
          <w:szCs w:val="28"/>
          <w:rtl w:val="true"/>
          <w:lang w:bidi="fa-IR"/>
        </w:rPr>
        <w:t>و إن کان الأحوط تیمّم آخر بید المیّت إن أمکن، و یکفی ضربة واحدة للوجه و الیدین و إن کان الأحوط التعدّد</w:t>
      </w:r>
      <w:r>
        <w:rPr>
          <w:rFonts w:eastAsia="IRNazanin" w:cs="IRNazanin"/>
          <w:color w:val="111111"/>
          <w:sz w:val="28"/>
          <w:szCs w:val="28"/>
          <w:rtl w:val="true"/>
          <w:lang w:bidi="fa-IR"/>
        </w:rPr>
        <w:t>.</w:t>
      </w:r>
    </w:p>
    <w:p>
      <w:pPr>
        <w:pStyle w:val="Heading6"/>
        <w:numPr>
          <w:ilvl w:val="5"/>
          <w:numId w:val="1"/>
        </w:numPr>
        <w:rPr/>
      </w:pPr>
      <w:bookmarkStart w:id="792" w:name="__RefHeading___Toc2565712_3650668749"/>
      <w:bookmarkStart w:id="793" w:name="_Toc365"/>
      <w:bookmarkEnd w:id="792"/>
      <w:r>
        <w:rPr>
          <w:rtl w:val="true"/>
        </w:rPr>
        <w:t>[ (</w:t>
      </w:r>
      <w:r>
        <w:rPr>
          <w:rtl w:val="true"/>
        </w:rPr>
        <w:t xml:space="preserve">مسألة </w:t>
      </w:r>
      <w:r>
        <w:rPr/>
        <w:t>4</w:t>
      </w:r>
      <w:r>
        <w:rPr>
          <w:rtl w:val="true"/>
        </w:rPr>
        <w:t xml:space="preserve">): </w:t>
      </w:r>
      <w:r>
        <w:rPr>
          <w:rtl w:val="true"/>
        </w:rPr>
        <w:t>إذا لم یکن عنده من الماء إلّا بمقدار غسل واحد غسّله غسلًا واحداً</w:t>
      </w:r>
      <w:r>
        <w:rPr>
          <w:rtl w:val="true"/>
        </w:rPr>
        <w:t>]</w:t>
      </w:r>
      <w:bookmarkEnd w:id="79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عنده من الماء إلّا بمقدار غسل واحد غسّله غسلًا واحداً و ییمّمه تیمّمین، فإن کان عنده الخلیطان أو السدر خاصّة صرف الماء فی الغسل الأوّل و ییمّمه للأخیرین و إن لم یکونا عنده فیحتمل أن یکون الحکم کذلک، و یحتمل قریباً </w:t>
      </w:r>
      <w:r>
        <w:rPr>
          <w:rStyle w:val="FootnoteAnchor"/>
          <w:rtl w:val="true"/>
        </w:rPr>
        <w:footnoteReference w:id="184"/>
      </w:r>
      <w:r>
        <w:rPr>
          <w:rFonts w:ascii="IRNazanin" w:hAnsi="IRNazanin" w:eastAsia="IRNazanin"/>
          <w:color w:val="111111"/>
          <w:sz w:val="28"/>
          <w:sz w:val="28"/>
          <w:szCs w:val="28"/>
          <w:rtl w:val="true"/>
          <w:lang w:bidi="fa-IR"/>
        </w:rPr>
        <w:t>وجوب صرفه فی الثالث و التیمّم للأوّلین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الاحتیاط فی مراعاة الاحتمالین بأن ییمّم تیمّمین بدلًا عن الغسلین الأوّلین علی الترتیب احتیاطاً ثمّ یغسّل بالماء بقصد ما فی الذمّة مردّداً بین کونه الغسل الأوّل أو الثالث ثمّ تیمّمین بقصد الاحتیاط أحدهما بدلًا عن الغسل للثانی و الآخر بدلًا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عنده الکافور فقط صرفه فی الغسل الثانی و ییمّمه</w:t>
      </w:r>
      <w:bookmarkStart w:id="794" w:name="pg1809_18842"/>
    </w:p>
    <w:p>
      <w:pPr>
        <w:pStyle w:val="BookText"/>
        <w:rPr/>
      </w:pPr>
      <w:bookmarkEnd w:id="794"/>
      <w:r>
        <w:rPr>
          <w:rFonts w:ascii="IRNazanin" w:hAnsi="IRNazanin" w:eastAsia="IRNazanin"/>
          <w:color w:val="111111"/>
          <w:sz w:val="28"/>
          <w:sz w:val="28"/>
          <w:szCs w:val="28"/>
          <w:rtl w:val="true"/>
          <w:lang w:bidi="fa-IR"/>
        </w:rPr>
        <w:t xml:space="preserve">للأوّل و الثالث، و یحتمل صرفه </w:t>
      </w:r>
      <w:r>
        <w:rPr>
          <w:rStyle w:val="FootnoteAnchor"/>
          <w:rtl w:val="true"/>
        </w:rPr>
        <w:footnoteReference w:id="185"/>
      </w:r>
      <w:r>
        <w:rPr>
          <w:rFonts w:ascii="IRNazanin" w:hAnsi="IRNazanin" w:eastAsia="IRNazanin"/>
          <w:color w:val="111111"/>
          <w:sz w:val="28"/>
          <w:sz w:val="28"/>
          <w:szCs w:val="28"/>
          <w:rtl w:val="true"/>
          <w:lang w:bidi="fa-IR"/>
        </w:rPr>
        <w:t>فی الأوّل و التیمّم للأخیرین، و الأحوط أن ییمّم أوّلًا بدلًا عن الغسل الأوّل ثمّ یغسّل بماء الکافور قاصداً به ما فی الواقع من بدلیّته عن الغسل بماء السدر أو کونه الغسل الثانی ثمّ ییمّم تیمّمین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بدلًا عن الغسل بماء الکافور و الثانی بدلًا عن الغسل بالماء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ما عنده من الماء یکفی لغسلین فإن کان عنده الخلیطان صرفه فی الأوّلین و یمّمه للثالث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إذا کان </w:t>
      </w:r>
      <w:r>
        <w:rPr>
          <w:rStyle w:val="FootnoteAnchor"/>
          <w:rtl w:val="true"/>
        </w:rPr>
        <w:footnoteReference w:id="186"/>
      </w:r>
      <w:r>
        <w:rPr>
          <w:rFonts w:ascii="Amiri" w:hAnsi="Amiri" w:eastAsia="Amiri" w:cs="Amiri"/>
          <w:color w:val="111111"/>
          <w:sz w:val="28"/>
          <w:sz w:val="28"/>
          <w:szCs w:val="28"/>
          <w:rtl w:val="true"/>
          <w:lang w:bidi="ar-SA"/>
        </w:rPr>
        <w:t>عنده السدر خاصّة</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2565714_3650668749"/>
      <w:bookmarkStart w:id="796" w:name="_Toc366"/>
      <w:bookmarkEnd w:id="795"/>
      <w:r>
        <w:rPr>
          <w:rtl w:val="true"/>
        </w:rPr>
        <w:t>[ (</w:t>
      </w:r>
      <w:r>
        <w:rPr>
          <w:rtl w:val="true"/>
        </w:rPr>
        <w:t xml:space="preserve">مسألة </w:t>
      </w:r>
      <w:r>
        <w:rPr/>
        <w:t>5</w:t>
      </w:r>
      <w:r>
        <w:rPr>
          <w:rtl w:val="true"/>
        </w:rPr>
        <w:t xml:space="preserve">): </w:t>
      </w:r>
      <w:r>
        <w:rPr>
          <w:rtl w:val="true"/>
        </w:rPr>
        <w:t>إذا کان المیّت محرماً یغسّله ثلاثة أغسال کالمحلّ</w:t>
      </w:r>
      <w:r>
        <w:rPr>
          <w:rtl w:val="true"/>
        </w:rPr>
        <w:t>]</w:t>
      </w:r>
      <w:bookmarkEnd w:id="7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المیّت محرماً یغسّله ثلاثة أغسال کالمحلّ، لکن لا یخلط الماء بالکافور فی الغسل الثانی إلّا أن یکون موته بعد الطواف </w:t>
      </w:r>
      <w:r>
        <w:rPr>
          <w:rStyle w:val="FootnoteAnchor"/>
          <w:rtl w:val="true"/>
        </w:rPr>
        <w:footnoteReference w:id="187"/>
      </w:r>
      <w:r>
        <w:rPr>
          <w:rFonts w:ascii="IRNazanin" w:hAnsi="IRNazanin" w:eastAsia="IRNazanin"/>
          <w:color w:val="111111"/>
          <w:sz w:val="28"/>
          <w:sz w:val="28"/>
          <w:szCs w:val="28"/>
          <w:rtl w:val="true"/>
          <w:lang w:bidi="fa-IR"/>
        </w:rPr>
        <w:t>فی العمرة أو الحجّ، و کذلک لا یحنّط بالکافور</w:t>
      </w:r>
      <w:r>
        <w:rPr>
          <w:rFonts w:eastAsia="IRNazanin" w:cs="IRNazanin"/>
          <w:color w:val="111111"/>
          <w:sz w:val="28"/>
          <w:szCs w:val="28"/>
          <w:rtl w:val="true"/>
          <w:lang w:bidi="fa-IR"/>
        </w:rPr>
        <w:t>.</w:t>
      </w:r>
    </w:p>
    <w:p>
      <w:pPr>
        <w:pStyle w:val="Heading6"/>
        <w:numPr>
          <w:ilvl w:val="5"/>
          <w:numId w:val="1"/>
        </w:numPr>
        <w:rPr/>
      </w:pPr>
      <w:bookmarkStart w:id="797" w:name="__RefHeading___Toc2565716_3650668749"/>
      <w:bookmarkStart w:id="798" w:name="_Toc367"/>
      <w:bookmarkEnd w:id="797"/>
      <w:r>
        <w:rPr>
          <w:rtl w:val="true"/>
        </w:rPr>
        <w:t>[ (</w:t>
      </w:r>
      <w:r>
        <w:rPr>
          <w:rtl w:val="true"/>
        </w:rPr>
        <w:t xml:space="preserve">مسألة </w:t>
      </w:r>
      <w:r>
        <w:rPr/>
        <w:t>6</w:t>
      </w:r>
      <w:r>
        <w:rPr>
          <w:rtl w:val="true"/>
        </w:rPr>
        <w:t xml:space="preserve">): </w:t>
      </w:r>
      <w:r>
        <w:rPr>
          <w:rtl w:val="true"/>
        </w:rPr>
        <w:t>إذا یمّمه عند تعذّر الغسل أو غسّله بالماء الخالص لأجل تعذّر الخلیط ثمّ ارتفع العذر</w:t>
      </w:r>
      <w:r>
        <w:rPr>
          <w:rtl w:val="true"/>
        </w:rPr>
        <w:t>]</w:t>
      </w:r>
      <w:bookmarkEnd w:id="7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یمّمه عند تعذّر الغسل أو غسّله بالماء الخالص لأجل تعذّر الخلیط ثمّ ارتفع العذر فإن کان قبل الدفن یجب الغسل فی الأوّل و یعیده </w:t>
      </w:r>
      <w:r>
        <w:rPr>
          <w:rStyle w:val="FootnoteAnchor"/>
          <w:rtl w:val="true"/>
        </w:rPr>
        <w:footnoteReference w:id="188"/>
      </w:r>
      <w:r>
        <w:rPr>
          <w:rFonts w:ascii="IRNazanin" w:hAnsi="IRNazanin" w:eastAsia="IRNazanin"/>
          <w:color w:val="111111"/>
          <w:sz w:val="28"/>
          <w:sz w:val="28"/>
          <w:szCs w:val="28"/>
          <w:rtl w:val="true"/>
          <w:lang w:bidi="fa-IR"/>
        </w:rPr>
        <w:t>مع الخلیط فی الثانی، و إن کان بعده مضی</w:t>
      </w:r>
      <w:r>
        <w:rPr>
          <w:rFonts w:eastAsia="IRNazanin" w:cs="IRNazanin"/>
          <w:color w:val="111111"/>
          <w:sz w:val="28"/>
          <w:szCs w:val="28"/>
          <w:rtl w:val="true"/>
          <w:lang w:bidi="fa-IR"/>
        </w:rPr>
        <w:t>.</w:t>
      </w:r>
    </w:p>
    <w:p>
      <w:pPr>
        <w:pStyle w:val="Heading6"/>
        <w:numPr>
          <w:ilvl w:val="5"/>
          <w:numId w:val="1"/>
        </w:numPr>
        <w:rPr/>
      </w:pPr>
      <w:bookmarkStart w:id="799" w:name="__RefHeading___Toc2565718_3650668749"/>
      <w:bookmarkStart w:id="800" w:name="_Toc368"/>
      <w:bookmarkEnd w:id="799"/>
      <w:r>
        <w:rPr>
          <w:rtl w:val="true"/>
        </w:rPr>
        <w:t>[ (</w:t>
      </w:r>
      <w:r>
        <w:rPr>
          <w:rtl w:val="true"/>
        </w:rPr>
        <w:t xml:space="preserve">مسألة </w:t>
      </w:r>
      <w:r>
        <w:rPr/>
        <w:t>7</w:t>
      </w:r>
      <w:r>
        <w:rPr>
          <w:rtl w:val="true"/>
        </w:rPr>
        <w:t xml:space="preserve">): </w:t>
      </w:r>
      <w:r>
        <w:rPr>
          <w:rtl w:val="true"/>
        </w:rPr>
        <w:t>لو کان علی المیّت غسل جنابة أو حیض أو نحوهما</w:t>
      </w:r>
      <w:r>
        <w:rPr>
          <w:rtl w:val="true"/>
        </w:rPr>
        <w:t>]</w:t>
      </w:r>
      <w:bookmarkEnd w:id="8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 المیّت غسل جنابة أو حیض أو نحوهما أجزأ عنها غسل المیّت</w:t>
      </w:r>
      <w:r>
        <w:rPr>
          <w:rFonts w:eastAsia="IRNazanin" w:cs="IRNazanin"/>
          <w:color w:val="111111"/>
          <w:sz w:val="28"/>
          <w:szCs w:val="28"/>
          <w:rtl w:val="true"/>
          <w:lang w:bidi="fa-IR"/>
        </w:rPr>
        <w:t>.</w:t>
      </w:r>
    </w:p>
    <w:p>
      <w:pPr>
        <w:pStyle w:val="Heading6"/>
        <w:numPr>
          <w:ilvl w:val="5"/>
          <w:numId w:val="1"/>
        </w:numPr>
        <w:rPr/>
      </w:pPr>
      <w:bookmarkStart w:id="801" w:name="__RefHeading___Toc2565720_3650668749"/>
      <w:bookmarkStart w:id="802" w:name="_Toc369"/>
      <w:bookmarkEnd w:id="801"/>
      <w:r>
        <w:rPr>
          <w:rtl w:val="true"/>
        </w:rPr>
        <w:t>[ (</w:t>
      </w:r>
      <w:r>
        <w:rPr>
          <w:rtl w:val="true"/>
        </w:rPr>
        <w:t xml:space="preserve">مسألة </w:t>
      </w:r>
      <w:r>
        <w:rPr/>
        <w:t>8</w:t>
      </w:r>
      <w:r>
        <w:rPr>
          <w:rtl w:val="true"/>
        </w:rPr>
        <w:t xml:space="preserve">): </w:t>
      </w:r>
      <w:r>
        <w:rPr>
          <w:rtl w:val="true"/>
        </w:rPr>
        <w:t>إذا دفن المیّت بلا غسل و لو نسیاناً وجب نبشه</w:t>
      </w:r>
      <w:r>
        <w:rPr>
          <w:rtl w:val="true"/>
        </w:rPr>
        <w:t>]</w:t>
      </w:r>
      <w:bookmarkEnd w:id="80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دفن المیّت بلا غسل و لو نسیاناً وجب نبشه </w:t>
      </w:r>
      <w:r>
        <w:rPr>
          <w:rStyle w:val="FootnoteAnchor"/>
          <w:rtl w:val="true"/>
        </w:rPr>
        <w:footnoteReference w:id="189"/>
      </w:r>
      <w:r>
        <w:rPr>
          <w:rFonts w:ascii="IRNazanin" w:hAnsi="IRNazanin" w:eastAsia="IRNazanin"/>
          <w:color w:val="111111"/>
          <w:sz w:val="28"/>
          <w:sz w:val="28"/>
          <w:szCs w:val="28"/>
          <w:rtl w:val="true"/>
          <w:lang w:bidi="fa-IR"/>
        </w:rPr>
        <w:t>لتغسیله، و کذا إذا ترک بعض الأغسال أو تبیّن بطلانها، و کذا إذا دفن بلا تکفین أو مع الکفن الغصبی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تبیّن أنّه لم یصلّ علیه أو تبیّن بطلانها فلا یجوز نبشه لأجلها بل یصلّی علیٰ قبره</w:t>
      </w:r>
      <w:r>
        <w:rPr>
          <w:rFonts w:eastAsia="IRNazanin" w:cs="IRNazanin"/>
          <w:color w:val="111111"/>
          <w:sz w:val="28"/>
          <w:szCs w:val="28"/>
          <w:rtl w:val="true"/>
          <w:lang w:bidi="fa-IR"/>
        </w:rPr>
        <w:t>.</w:t>
      </w:r>
      <w:bookmarkStart w:id="803" w:name="pg1809_18843"/>
    </w:p>
    <w:p>
      <w:pPr>
        <w:pStyle w:val="Heading6"/>
        <w:numPr>
          <w:ilvl w:val="5"/>
          <w:numId w:val="1"/>
        </w:numPr>
        <w:rPr/>
      </w:pPr>
      <w:bookmarkStart w:id="804" w:name="__RefHeading___Toc2565722_3650668749"/>
      <w:bookmarkStart w:id="805" w:name="_Toc370"/>
      <w:bookmarkEnd w:id="803"/>
      <w:bookmarkEnd w:id="804"/>
      <w:r>
        <w:rPr>
          <w:rtl w:val="true"/>
        </w:rPr>
        <w:t>[ (</w:t>
      </w:r>
      <w:r>
        <w:rPr>
          <w:rtl w:val="true"/>
        </w:rPr>
        <w:t xml:space="preserve">مسألة </w:t>
      </w:r>
      <w:r>
        <w:rPr/>
        <w:t>9</w:t>
      </w:r>
      <w:r>
        <w:rPr>
          <w:rtl w:val="true"/>
        </w:rPr>
        <w:t xml:space="preserve">): </w:t>
      </w:r>
      <w:r>
        <w:rPr>
          <w:rtl w:val="true"/>
        </w:rPr>
        <w:t>لا یجوز أخذ الأُجرة علیٰ تغسیل المیّت</w:t>
      </w:r>
      <w:r>
        <w:rPr>
          <w:rtl w:val="true"/>
        </w:rPr>
        <w:t>]</w:t>
      </w:r>
      <w:bookmarkEnd w:id="8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أخذ الأُجرة علیٰ تغسیل المیّت إلّا إذا جعل الأُجرة فی قبال بعض الأُمور الغیر الواجبة، مثل تلیین أصابعه و مفاصله و غسل یدیه قبل التغسیل إلیٰ نصف الذراع و غسل رأسه برغوة السدر أو الخطمی و غسل فرجیه بالسدر أو الأُشنان قبل التغسیل و تنشیفه بعد الفراغ بثوب نظیف و غیر ذلک</w:t>
      </w:r>
      <w:r>
        <w:rPr>
          <w:rFonts w:eastAsia="IRNazanin" w:cs="IRNazanin"/>
          <w:color w:val="111111"/>
          <w:sz w:val="28"/>
          <w:szCs w:val="28"/>
          <w:rtl w:val="true"/>
          <w:lang w:bidi="fa-IR"/>
        </w:rPr>
        <w:t>.</w:t>
      </w:r>
    </w:p>
    <w:p>
      <w:pPr>
        <w:pStyle w:val="Heading6"/>
        <w:numPr>
          <w:ilvl w:val="5"/>
          <w:numId w:val="1"/>
        </w:numPr>
        <w:rPr/>
      </w:pPr>
      <w:bookmarkStart w:id="806" w:name="__RefHeading___Toc2565724_3650668749"/>
      <w:bookmarkStart w:id="807" w:name="_Toc371"/>
      <w:bookmarkEnd w:id="806"/>
      <w:r>
        <w:rPr>
          <w:rtl w:val="true"/>
        </w:rPr>
        <w:t>[ (</w:t>
      </w:r>
      <w:r>
        <w:rPr>
          <w:rtl w:val="true"/>
        </w:rPr>
        <w:t xml:space="preserve">مسألة </w:t>
      </w:r>
      <w:r>
        <w:rPr/>
        <w:t>10</w:t>
      </w:r>
      <w:r>
        <w:rPr>
          <w:rtl w:val="true"/>
        </w:rPr>
        <w:t xml:space="preserve">): </w:t>
      </w:r>
      <w:r>
        <w:rPr>
          <w:rtl w:val="true"/>
        </w:rPr>
        <w:t>إذا تنجّس بدن المیّت بعد الغسل أو فی أثنائه بخروج نجاسة أو نجاسة خارجة</w:t>
      </w:r>
      <w:r>
        <w:rPr>
          <w:rtl w:val="true"/>
        </w:rPr>
        <w:t>]</w:t>
      </w:r>
      <w:bookmarkEnd w:id="8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بدن المیّت بعد الغسل أو فی أثنائه بخروج نجاسة أو نجاسة خارجة لا یجب معه إعادة الغسل حتّی فیما لو خرج منه بول أو غائط علی الأقویٰ، و إن کان الأحوط إعادته فیما لو خرجا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یجب إزالة الخبث عن جسده و لو کان بعد وضعه </w:t>
      </w:r>
      <w:r>
        <w:rPr>
          <w:rStyle w:val="FootnoteAnchor"/>
          <w:rtl w:val="true"/>
        </w:rPr>
        <w:footnoteReference w:id="190"/>
      </w:r>
      <w:r>
        <w:rPr>
          <w:rFonts w:ascii="IRNazanin" w:hAnsi="IRNazanin" w:eastAsia="IRNazanin"/>
          <w:color w:val="111111"/>
          <w:sz w:val="28"/>
          <w:sz w:val="28"/>
          <w:szCs w:val="28"/>
          <w:rtl w:val="true"/>
          <w:lang w:bidi="fa-IR"/>
        </w:rPr>
        <w:t>فی القبر إلّا مع التعذّر و لو لاستلزامها هتک حرمته بسبب إخراجه</w:t>
      </w:r>
      <w:r>
        <w:rPr>
          <w:rFonts w:eastAsia="IRNazanin" w:cs="IRNazanin"/>
          <w:color w:val="111111"/>
          <w:sz w:val="28"/>
          <w:szCs w:val="28"/>
          <w:rtl w:val="true"/>
          <w:lang w:bidi="fa-IR"/>
        </w:rPr>
        <w:t>.</w:t>
      </w:r>
    </w:p>
    <w:p>
      <w:pPr>
        <w:pStyle w:val="Heading6"/>
        <w:numPr>
          <w:ilvl w:val="5"/>
          <w:numId w:val="1"/>
        </w:numPr>
        <w:rPr/>
      </w:pPr>
      <w:bookmarkStart w:id="808" w:name="__RefHeading___Toc2565726_3650668749"/>
      <w:bookmarkStart w:id="809" w:name="_Toc372"/>
      <w:bookmarkEnd w:id="808"/>
      <w:r>
        <w:rPr>
          <w:rtl w:val="true"/>
        </w:rPr>
        <w:t>[ (</w:t>
      </w:r>
      <w:r>
        <w:rPr>
          <w:rtl w:val="true"/>
        </w:rPr>
        <w:t xml:space="preserve">مسألة </w:t>
      </w:r>
      <w:r>
        <w:rPr/>
        <w:t>11</w:t>
      </w:r>
      <w:r>
        <w:rPr>
          <w:rtl w:val="true"/>
        </w:rPr>
        <w:t xml:space="preserve">): </w:t>
      </w:r>
      <w:r>
        <w:rPr>
          <w:rtl w:val="true"/>
        </w:rPr>
        <w:t>اللوح أو السریر الذی یغسّل علیه المیّت لا یجب غسله بعد کلّ غسل من الأغسال الثلاثة</w:t>
      </w:r>
      <w:r>
        <w:rPr>
          <w:rtl w:val="true"/>
        </w:rPr>
        <w:t>]</w:t>
      </w:r>
      <w:bookmarkEnd w:id="8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اللوح أو السریر الذی یغسّل علیه المیّت لا یجب غسله بعد کلّ غسل من الأغسال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غسله لمیّت آخر، و إن کان الأقویٰ أنّه یطهر بالتبعیّة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الخرقة الموضوعة علیه فإنّها أیضاً تطهر بالتبع</w:t>
      </w:r>
      <w:r>
        <w:rPr>
          <w:rFonts w:eastAsia="IRNazanin" w:cs="IRNazanin"/>
          <w:color w:val="111111"/>
          <w:sz w:val="28"/>
          <w:szCs w:val="28"/>
          <w:rtl w:val="true"/>
          <w:lang w:bidi="fa-IR"/>
        </w:rPr>
        <w:t>.</w:t>
      </w:r>
    </w:p>
    <w:p>
      <w:pPr>
        <w:pStyle w:val="Heading6"/>
        <w:numPr>
          <w:ilvl w:val="5"/>
          <w:numId w:val="1"/>
        </w:numPr>
        <w:rPr/>
      </w:pPr>
      <w:bookmarkStart w:id="810" w:name="__RefHeading___Toc2565728_3650668749"/>
      <w:bookmarkStart w:id="811" w:name="_Toc373"/>
      <w:bookmarkEnd w:id="810"/>
      <w:r>
        <w:rPr>
          <w:rtl w:val="true"/>
        </w:rPr>
        <w:t>[ (</w:t>
      </w:r>
      <w:r>
        <w:rPr>
          <w:rtl w:val="true"/>
        </w:rPr>
        <w:t xml:space="preserve">مسألة </w:t>
      </w:r>
      <w:r>
        <w:rPr/>
        <w:t>12</w:t>
      </w:r>
      <w:r>
        <w:rPr>
          <w:rtl w:val="true"/>
        </w:rPr>
        <w:t xml:space="preserve">): </w:t>
      </w:r>
      <w:r>
        <w:rPr>
          <w:rtl w:val="true"/>
        </w:rPr>
        <w:t>الأحوط أن یوضع المیّت حال الغسل مستقبل القبلة علیٰ هیئة المحتضر</w:t>
      </w:r>
      <w:r>
        <w:rPr>
          <w:rtl w:val="true"/>
        </w:rPr>
        <w:t>]</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w:t>
      </w:r>
      <w:r>
        <w:rPr>
          <w:rStyle w:val="FootnoteAnchor"/>
          <w:rtl w:val="true"/>
        </w:rPr>
        <w:footnoteReference w:id="191"/>
      </w:r>
      <w:r>
        <w:rPr>
          <w:rFonts w:ascii="IRNazanin" w:hAnsi="IRNazanin" w:eastAsia="IRNazanin"/>
          <w:color w:val="111111"/>
          <w:sz w:val="28"/>
          <w:sz w:val="28"/>
          <w:szCs w:val="28"/>
          <w:rtl w:val="true"/>
          <w:lang w:bidi="fa-IR"/>
        </w:rPr>
        <w:t>أن یوضع المیّت حال الغسل مستقبل القبلة علیٰ هیئة المحتضر</w:t>
      </w:r>
      <w:r>
        <w:rPr>
          <w:rFonts w:eastAsia="IRNazanin" w:cs="IRNazanin"/>
          <w:color w:val="111111"/>
          <w:sz w:val="28"/>
          <w:szCs w:val="28"/>
          <w:rtl w:val="true"/>
          <w:lang w:bidi="fa-IR"/>
        </w:rPr>
        <w:t>.</w:t>
      </w:r>
    </w:p>
    <w:p>
      <w:pPr>
        <w:pStyle w:val="Heading6"/>
        <w:numPr>
          <w:ilvl w:val="5"/>
          <w:numId w:val="1"/>
        </w:numPr>
        <w:rPr/>
      </w:pPr>
      <w:bookmarkStart w:id="812" w:name="__RefHeading___Toc2565730_3650668749"/>
      <w:bookmarkStart w:id="813" w:name="_Toc374"/>
      <w:bookmarkEnd w:id="812"/>
      <w:r>
        <w:rPr>
          <w:rtl w:val="true"/>
        </w:rPr>
        <w:t>[ (</w:t>
      </w:r>
      <w:r>
        <w:rPr>
          <w:rtl w:val="true"/>
        </w:rPr>
        <w:t xml:space="preserve">مسألة </w:t>
      </w:r>
      <w:r>
        <w:rPr/>
        <w:t>13</w:t>
      </w:r>
      <w:r>
        <w:rPr>
          <w:rtl w:val="true"/>
        </w:rPr>
        <w:t xml:space="preserve">): </w:t>
      </w:r>
      <w:r>
        <w:rPr>
          <w:rtl w:val="true"/>
        </w:rPr>
        <w:t>لا یجب الوضوء للمیّت علی الأصحّ</w:t>
      </w:r>
      <w:r>
        <w:rPr>
          <w:rtl w:val="true"/>
        </w:rPr>
        <w:t>]</w:t>
      </w:r>
      <w:bookmarkEnd w:id="8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الوضوء للمیّت علی الأصحّ، نعم یقویٰ استحبابه بل هو الأحوط، و ینبغی تقدیمه علی الغسل</w:t>
      </w:r>
      <w:r>
        <w:rPr>
          <w:rFonts w:eastAsia="IRNazanin" w:cs="IRNazanin"/>
          <w:color w:val="111111"/>
          <w:sz w:val="28"/>
          <w:szCs w:val="28"/>
          <w:rtl w:val="true"/>
          <w:lang w:bidi="fa-IR"/>
        </w:rPr>
        <w:t>.</w:t>
      </w:r>
    </w:p>
    <w:p>
      <w:pPr>
        <w:pStyle w:val="Heading6"/>
        <w:numPr>
          <w:ilvl w:val="5"/>
          <w:numId w:val="1"/>
        </w:numPr>
        <w:rPr/>
      </w:pPr>
      <w:bookmarkStart w:id="814" w:name="__RefHeading___Toc2565732_3650668749"/>
      <w:bookmarkStart w:id="815" w:name="_Toc375"/>
      <w:bookmarkEnd w:id="814"/>
      <w:r>
        <w:rPr>
          <w:rtl w:val="true"/>
        </w:rPr>
        <w:t>[</w:t>
      </w:r>
      <w:r>
        <w:rPr>
          <w:rtl w:val="true"/>
        </w:rPr>
        <w:t>القول فی آداب الغُسل</w:t>
      </w:r>
      <w:r>
        <w:rPr>
          <w:rtl w:val="true"/>
        </w:rPr>
        <w:t>]</w:t>
      </w:r>
      <w:bookmarkEnd w:id="815"/>
    </w:p>
    <w:p>
      <w:pPr>
        <w:pStyle w:val="Heading6"/>
        <w:numPr>
          <w:ilvl w:val="5"/>
          <w:numId w:val="1"/>
        </w:numPr>
        <w:rPr/>
      </w:pPr>
      <w:bookmarkStart w:id="816" w:name="__RefHeading___Toc2565734_3650668749"/>
      <w:bookmarkStart w:id="817" w:name="_Toc376"/>
      <w:bookmarkEnd w:id="816"/>
      <w:r>
        <w:rPr>
          <w:rtl w:val="true"/>
        </w:rPr>
        <w:t>اشارة</w:t>
      </w:r>
      <w:bookmarkEnd w:id="81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فی آداب الغُسل و هی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 علیٰ ساجة أو سریر، و أن ینزع قمیصه من طرف رجلیه بل و إن استلزم فتقه لکن حینئذٍ یراعیٰ </w:t>
      </w:r>
      <w:r>
        <w:rPr>
          <w:rStyle w:val="FootnoteAnchor"/>
          <w:rtl w:val="true"/>
        </w:rPr>
        <w:footnoteReference w:id="192"/>
      </w:r>
      <w:r>
        <w:rPr>
          <w:rFonts w:ascii="IRNazanin" w:hAnsi="IRNazanin" w:eastAsia="IRNazanin"/>
          <w:color w:val="111111"/>
          <w:sz w:val="28"/>
          <w:sz w:val="28"/>
          <w:szCs w:val="28"/>
          <w:rtl w:val="true"/>
          <w:lang w:bidi="fa-IR"/>
        </w:rPr>
        <w:t>رضا الورثة، و أن یکون تحت الظلال من سقف أو خیمة و نحوهما، و ستر عورته و إن لم ینظر إلیها أو کان المغسّل ممّن یجوز له النظر إلیها، و تلیین أصابعه و مفاصله برفق، و غسل یدیه قبل التغسیل إلیٰ نصف الذراع، و غسل رأسه برغوة السدر أو الخطمی، و غسل فرجیه بالسدر أو الأُشنان أمام الغسل، و مسح</w:t>
      </w:r>
      <w:bookmarkStart w:id="818" w:name="pg1809_18844"/>
    </w:p>
    <w:p>
      <w:pPr>
        <w:pStyle w:val="BookText"/>
        <w:rPr/>
      </w:pPr>
      <w:bookmarkEnd w:id="818"/>
      <w:r>
        <w:rPr>
          <w:rFonts w:ascii="IRNazanin" w:hAnsi="IRNazanin" w:eastAsia="IRNazanin"/>
          <w:color w:val="111111"/>
          <w:sz w:val="28"/>
          <w:sz w:val="28"/>
          <w:szCs w:val="28"/>
          <w:rtl w:val="true"/>
          <w:lang w:bidi="fa-IR"/>
        </w:rPr>
        <w:t xml:space="preserve">بطنه </w:t>
      </w:r>
      <w:r>
        <w:rPr>
          <w:rStyle w:val="FootnoteAnchor"/>
          <w:rtl w:val="true"/>
        </w:rPr>
        <w:footnoteReference w:id="193"/>
      </w:r>
      <w:r>
        <w:rPr>
          <w:rFonts w:ascii="IRNazanin" w:hAnsi="IRNazanin" w:eastAsia="IRNazanin"/>
          <w:color w:val="111111"/>
          <w:sz w:val="28"/>
          <w:sz w:val="28"/>
          <w:szCs w:val="28"/>
          <w:rtl w:val="true"/>
          <w:lang w:bidi="fa-IR"/>
        </w:rPr>
        <w:t xml:space="preserve">برفق فی الغسلین الأوّلین، و تثلیث غسل </w:t>
      </w:r>
      <w:r>
        <w:rPr>
          <w:rStyle w:val="FootnoteAnchor"/>
          <w:rtl w:val="true"/>
        </w:rPr>
        <w:footnoteReference w:id="194"/>
      </w:r>
      <w:r>
        <w:rPr>
          <w:rFonts w:ascii="IRNazanin" w:hAnsi="IRNazanin" w:eastAsia="IRNazanin"/>
          <w:color w:val="111111"/>
          <w:sz w:val="28"/>
          <w:sz w:val="28"/>
          <w:szCs w:val="28"/>
          <w:rtl w:val="true"/>
          <w:lang w:bidi="fa-IR"/>
        </w:rPr>
        <w:t>کلّ عضو من کلّ غسل، فیصیر مجموع الغسلات سبعاً و عشرین، و تنشیف بدنه بعد الفراغ بثوب نظیف، و غیر ذلک</w:t>
      </w:r>
      <w:r>
        <w:rPr>
          <w:rFonts w:eastAsia="IRNazanin" w:cs="IRNazanin"/>
          <w:color w:val="111111"/>
          <w:sz w:val="28"/>
          <w:szCs w:val="28"/>
          <w:rtl w:val="true"/>
          <w:lang w:bidi="fa-IR"/>
        </w:rPr>
        <w:t>.</w:t>
      </w:r>
    </w:p>
    <w:p>
      <w:pPr>
        <w:pStyle w:val="Heading6"/>
        <w:numPr>
          <w:ilvl w:val="5"/>
          <w:numId w:val="1"/>
        </w:numPr>
        <w:rPr/>
      </w:pPr>
      <w:bookmarkStart w:id="819" w:name="__RefHeading___Toc2565736_3650668749"/>
      <w:bookmarkStart w:id="820" w:name="_Toc377"/>
      <w:bookmarkEnd w:id="819"/>
      <w:r>
        <w:rPr>
          <w:rtl w:val="true"/>
        </w:rPr>
        <w:t>[ (</w:t>
      </w:r>
      <w:r>
        <w:rPr>
          <w:rtl w:val="true"/>
        </w:rPr>
        <w:t>مسألة</w:t>
      </w:r>
      <w:r>
        <w:rPr>
          <w:rtl w:val="true"/>
        </w:rPr>
        <w:t xml:space="preserve">): </w:t>
      </w:r>
      <w:r>
        <w:rPr>
          <w:rtl w:val="true"/>
        </w:rPr>
        <w:t>إذا سقط من بدن المیّت شی‌ء؛ من جلد أو شعر أو ظفر أو سنّ</w:t>
      </w:r>
      <w:r>
        <w:rPr>
          <w:rtl w:val="true"/>
        </w:rPr>
        <w:t>]</w:t>
      </w:r>
      <w:bookmarkEnd w:id="8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سقط من بدن المیّت شی‌ء؛ من جلد أو شعر أو ظفر أو سنّ یجعل معه فی کفنه و یدفن</w:t>
      </w:r>
      <w:r>
        <w:rPr>
          <w:rFonts w:eastAsia="IRNazanin" w:cs="IRNazanin"/>
          <w:color w:val="111111"/>
          <w:sz w:val="28"/>
          <w:szCs w:val="28"/>
          <w:rtl w:val="true"/>
          <w:lang w:bidi="fa-IR"/>
        </w:rPr>
        <w:t>.</w:t>
      </w:r>
    </w:p>
    <w:p>
      <w:pPr>
        <w:pStyle w:val="Heading6"/>
        <w:numPr>
          <w:ilvl w:val="5"/>
          <w:numId w:val="1"/>
        </w:numPr>
        <w:rPr/>
      </w:pPr>
      <w:bookmarkStart w:id="821" w:name="__RefHeading___Toc2565738_3650668749"/>
      <w:bookmarkStart w:id="822" w:name="_Toc378"/>
      <w:bookmarkEnd w:id="821"/>
      <w:r>
        <w:rPr>
          <w:rtl w:val="true"/>
        </w:rPr>
        <w:t>[</w:t>
      </w:r>
      <w:r>
        <w:rPr>
          <w:rtl w:val="true"/>
        </w:rPr>
        <w:t>القول فی تکفین المیّت</w:t>
      </w:r>
      <w:r>
        <w:rPr>
          <w:rtl w:val="true"/>
        </w:rPr>
        <w:t>]</w:t>
      </w:r>
      <w:bookmarkEnd w:id="822"/>
    </w:p>
    <w:p>
      <w:pPr>
        <w:pStyle w:val="Heading6"/>
        <w:numPr>
          <w:ilvl w:val="5"/>
          <w:numId w:val="1"/>
        </w:numPr>
        <w:rPr/>
      </w:pPr>
      <w:bookmarkStart w:id="823" w:name="__RefHeading___Toc2565740_3650668749"/>
      <w:bookmarkStart w:id="824" w:name="_Toc379"/>
      <w:bookmarkEnd w:id="823"/>
      <w:r>
        <w:rPr>
          <w:rtl w:val="true"/>
        </w:rPr>
        <w:t>اشارة</w:t>
      </w:r>
      <w:bookmarkEnd w:id="824"/>
    </w:p>
    <w:p>
      <w:pPr>
        <w:pStyle w:val="BookText"/>
        <w:rPr/>
      </w:pPr>
      <w:r>
        <w:rPr>
          <w:rFonts w:ascii="IRNazanin" w:hAnsi="IRNazanin" w:eastAsia="IRNazanin"/>
          <w:color w:val="111111"/>
          <w:sz w:val="28"/>
          <w:sz w:val="28"/>
          <w:szCs w:val="28"/>
          <w:rtl w:val="true"/>
          <w:lang w:bidi="fa-IR"/>
        </w:rPr>
        <w:t>القول فی تکفین المیّت</w:t>
      </w:r>
    </w:p>
    <w:p>
      <w:pPr>
        <w:pStyle w:val="Heading6"/>
        <w:numPr>
          <w:ilvl w:val="5"/>
          <w:numId w:val="1"/>
        </w:numPr>
        <w:rPr/>
      </w:pPr>
      <w:bookmarkStart w:id="825" w:name="__RefHeading___Toc2565742_3650668749"/>
      <w:bookmarkStart w:id="826" w:name="_Toc380"/>
      <w:bookmarkEnd w:id="825"/>
      <w:r>
        <w:rPr>
          <w:rtl w:val="true"/>
        </w:rPr>
        <w:t>[</w:t>
      </w:r>
      <w:r>
        <w:rPr>
          <w:rtl w:val="true"/>
        </w:rPr>
        <w:t>مسائل</w:t>
      </w:r>
      <w:r>
        <w:rPr>
          <w:rtl w:val="true"/>
        </w:rPr>
        <w:t>]</w:t>
      </w:r>
      <w:bookmarkEnd w:id="826"/>
    </w:p>
    <w:p>
      <w:pPr>
        <w:pStyle w:val="Heading6"/>
        <w:numPr>
          <w:ilvl w:val="5"/>
          <w:numId w:val="1"/>
        </w:numPr>
        <w:rPr/>
      </w:pPr>
      <w:bookmarkStart w:id="827" w:name="__RefHeading___Toc2565744_3650668749"/>
      <w:bookmarkStart w:id="828" w:name="_Toc381"/>
      <w:bookmarkEnd w:id="827"/>
      <w:r>
        <w:rPr>
          <w:rtl w:val="true"/>
        </w:rPr>
        <w:t>اشارة</w:t>
      </w:r>
      <w:bookmarkEnd w:id="828"/>
    </w:p>
    <w:p>
      <w:pPr>
        <w:pStyle w:val="BookText"/>
        <w:rPr/>
      </w:pPr>
      <w:r>
        <w:rPr>
          <w:rFonts w:ascii="IRNazanin" w:hAnsi="IRNazanin" w:eastAsia="IRNazanin"/>
          <w:color w:val="111111"/>
          <w:sz w:val="28"/>
          <w:sz w:val="28"/>
          <w:szCs w:val="28"/>
          <w:rtl w:val="true"/>
          <w:lang w:bidi="fa-IR"/>
        </w:rPr>
        <w:t>و هو واجب کفائی کالتغسیل، و الواجب منه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مئزر یستر ما بین السرّة و الرُّکبة، و قمیص یصل إلیٰ نصف الساق لا أقلّ علی الأحوط بل الأقویٰ </w:t>
      </w:r>
      <w:r>
        <w:rPr>
          <w:rStyle w:val="FootnoteAnchor"/>
          <w:rtl w:val="true"/>
        </w:rPr>
        <w:footnoteReference w:id="195"/>
      </w:r>
      <w:r>
        <w:rPr>
          <w:rFonts w:ascii="IRNazanin" w:hAnsi="IRNazanin" w:eastAsia="IRNazanin"/>
          <w:color w:val="111111"/>
          <w:sz w:val="28"/>
          <w:sz w:val="28"/>
          <w:szCs w:val="28"/>
          <w:rtl w:val="true"/>
          <w:lang w:bidi="fa-IR"/>
        </w:rPr>
        <w:t xml:space="preserve">، و إزار یغطّی تمام البدن، فیجب أن یکون طوله زائداً علیٰ طول الجسد و عرضه بمقدار یمکن أن یوضع أحد جانبیه علی الآخر و یلفّ علیه بحیث یستر جمیع الجسد، و عند تعذّر الجمیع أتی بما تیسّر </w:t>
      </w:r>
      <w:r>
        <w:rPr>
          <w:rStyle w:val="FootnoteAnchor"/>
          <w:rtl w:val="true"/>
        </w:rPr>
        <w:footnoteReference w:id="196"/>
      </w:r>
      <w:r>
        <w:rPr>
          <w:rFonts w:ascii="IRNazanin" w:hAnsi="IRNazanin" w:eastAsia="IRNazanin"/>
          <w:color w:val="111111"/>
          <w:sz w:val="28"/>
          <w:sz w:val="28"/>
          <w:szCs w:val="28"/>
          <w:rtl w:val="true"/>
          <w:lang w:bidi="fa-IR"/>
        </w:rPr>
        <w:t>، حتّی إذا لم یمکن إلّا ستر العورة وجب</w:t>
      </w:r>
      <w:r>
        <w:rPr>
          <w:rFonts w:eastAsia="IRNazanin" w:cs="IRNazanin"/>
          <w:color w:val="111111"/>
          <w:sz w:val="28"/>
          <w:szCs w:val="28"/>
          <w:rtl w:val="true"/>
          <w:lang w:bidi="fa-IR"/>
        </w:rPr>
        <w:t>.</w:t>
      </w:r>
    </w:p>
    <w:p>
      <w:pPr>
        <w:pStyle w:val="Heading6"/>
        <w:numPr>
          <w:ilvl w:val="5"/>
          <w:numId w:val="1"/>
        </w:numPr>
        <w:rPr/>
      </w:pPr>
      <w:bookmarkStart w:id="829" w:name="__RefHeading___Toc2565746_3650668749"/>
      <w:bookmarkStart w:id="830" w:name="_Toc382"/>
      <w:bookmarkEnd w:id="829"/>
      <w:r>
        <w:rPr>
          <w:rtl w:val="true"/>
        </w:rPr>
        <w:t>[ (</w:t>
      </w:r>
      <w:r>
        <w:rPr>
          <w:rtl w:val="true"/>
        </w:rPr>
        <w:t xml:space="preserve">مسألة </w:t>
      </w:r>
      <w:r>
        <w:rPr/>
        <w:t>1</w:t>
      </w:r>
      <w:r>
        <w:rPr>
          <w:rtl w:val="true"/>
        </w:rPr>
        <w:t xml:space="preserve">): </w:t>
      </w:r>
      <w:r>
        <w:rPr>
          <w:rtl w:val="true"/>
        </w:rPr>
        <w:t>لا یجوز التکفین بالمغصوب و لو فی حال الاضطرار و لا بالحریر الخالص</w:t>
      </w:r>
      <w:r>
        <w:rPr>
          <w:rtl w:val="true"/>
        </w:rPr>
        <w:t>]</w:t>
      </w:r>
      <w:bookmarkEnd w:id="8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التکفین بالمغصوب و لو فی حال الاضطرار و لا بالحریر الخالص و لو للطفل و المرأة و لا بجلد المیتة و لا بالنجس حتّی ما عفی عنه فی الصلاة و لا بما لا یؤکل لحمه جلداً کان أو شعراً أو وبراً بل و لا بجلد المأکول أیضاً علی الأحوط دون صوفه و شعره و وبره فإنّه لا بأس به</w:t>
      </w:r>
      <w:r>
        <w:rPr>
          <w:rFonts w:eastAsia="IRNazanin" w:cs="IRNazanin"/>
          <w:color w:val="111111"/>
          <w:sz w:val="28"/>
          <w:szCs w:val="28"/>
          <w:rtl w:val="true"/>
          <w:lang w:bidi="fa-IR"/>
        </w:rPr>
        <w:t>.</w:t>
      </w:r>
    </w:p>
    <w:p>
      <w:pPr>
        <w:pStyle w:val="Heading6"/>
        <w:numPr>
          <w:ilvl w:val="5"/>
          <w:numId w:val="1"/>
        </w:numPr>
        <w:rPr/>
      </w:pPr>
      <w:bookmarkStart w:id="831" w:name="__RefHeading___Toc2565748_3650668749"/>
      <w:bookmarkStart w:id="832" w:name="_Toc383"/>
      <w:bookmarkEnd w:id="831"/>
      <w:r>
        <w:rPr>
          <w:rtl w:val="true"/>
        </w:rPr>
        <w:t>[ (</w:t>
      </w:r>
      <w:r>
        <w:rPr>
          <w:rtl w:val="true"/>
        </w:rPr>
        <w:t xml:space="preserve">مسألة </w:t>
      </w:r>
      <w:r>
        <w:rPr/>
        <w:t>2</w:t>
      </w:r>
      <w:r>
        <w:rPr>
          <w:rtl w:val="true"/>
        </w:rPr>
        <w:t xml:space="preserve">): </w:t>
      </w:r>
      <w:r>
        <w:rPr>
          <w:rtl w:val="true"/>
        </w:rPr>
        <w:t>یختصّ عدم جواز التکفین بما ذکر فیما عدا المغصوب بحال الاختیار</w:t>
      </w:r>
      <w:r>
        <w:rPr>
          <w:rtl w:val="true"/>
        </w:rPr>
        <w:t>]</w:t>
      </w:r>
      <w:bookmarkEnd w:id="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عدم جواز التکفین بما ذکر فیما عدا المغصوب بحال الاختیار، فیجوز الجمیع مع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الدوران یقدّم جلد المأکول </w:t>
      </w:r>
      <w:r>
        <w:rPr>
          <w:rStyle w:val="FootnoteAnchor"/>
          <w:rtl w:val="true"/>
        </w:rPr>
        <w:footnoteReference w:id="197"/>
      </w:r>
      <w:r>
        <w:rPr>
          <w:rFonts w:ascii="Amiri" w:hAnsi="Amiri" w:eastAsia="Amiri" w:cs="Amiri"/>
          <w:color w:val="111111"/>
          <w:sz w:val="28"/>
          <w:sz w:val="28"/>
          <w:szCs w:val="28"/>
          <w:rtl w:val="true"/>
          <w:lang w:bidi="ar-SA"/>
        </w:rPr>
        <w:t xml:space="preserve">ثمّ النجس ثمّ الحریر </w:t>
      </w:r>
      <w:r>
        <w:rPr>
          <w:rStyle w:val="FootnoteAnchor"/>
          <w:rtl w:val="true"/>
        </w:rPr>
        <w:footnoteReference w:id="198"/>
      </w:r>
      <w:r>
        <w:rPr>
          <w:rFonts w:ascii="IRNazanin" w:hAnsi="IRNazanin" w:eastAsia="IRNazanin"/>
          <w:color w:val="111111"/>
          <w:sz w:val="28"/>
          <w:sz w:val="28"/>
          <w:szCs w:val="28"/>
          <w:rtl w:val="true"/>
          <w:lang w:bidi="fa-IR"/>
        </w:rPr>
        <w:t>ثمّ أجزاء الغیر المأکول</w:t>
      </w:r>
      <w:r>
        <w:rPr>
          <w:rFonts w:eastAsia="IRNazanin" w:cs="IRNazanin"/>
          <w:color w:val="111111"/>
          <w:sz w:val="28"/>
          <w:szCs w:val="28"/>
          <w:rtl w:val="true"/>
          <w:lang w:bidi="fa-IR"/>
        </w:rPr>
        <w:t>.</w:t>
      </w:r>
    </w:p>
    <w:p>
      <w:pPr>
        <w:pStyle w:val="Heading6"/>
        <w:numPr>
          <w:ilvl w:val="5"/>
          <w:numId w:val="1"/>
        </w:numPr>
        <w:rPr/>
      </w:pPr>
      <w:bookmarkStart w:id="833" w:name="__RefHeading___Toc2565750_3650668749"/>
      <w:bookmarkStart w:id="834" w:name="_Toc384"/>
      <w:bookmarkEnd w:id="833"/>
      <w:r>
        <w:rPr>
          <w:rtl w:val="true"/>
        </w:rPr>
        <w:t>[ (</w:t>
      </w:r>
      <w:r>
        <w:rPr>
          <w:rtl w:val="true"/>
        </w:rPr>
        <w:t xml:space="preserve">مسألة </w:t>
      </w:r>
      <w:r>
        <w:rPr/>
        <w:t>3</w:t>
      </w:r>
      <w:r>
        <w:rPr>
          <w:rtl w:val="true"/>
        </w:rPr>
        <w:t xml:space="preserve">): </w:t>
      </w:r>
      <w:r>
        <w:rPr>
          <w:rtl w:val="true"/>
        </w:rPr>
        <w:t>لو تنجّس الکفن قبل الوضع فی القبر وجب إزالة النجاسة عنه</w:t>
      </w:r>
      <w:r>
        <w:rPr>
          <w:rtl w:val="true"/>
        </w:rPr>
        <w:t>]</w:t>
      </w:r>
      <w:bookmarkEnd w:id="83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تنجّس الکفن قبل الوضع فی القبر وجب إزالة النجاسة عنه؛ بغسل أو قرض غیر قادح فی الکفن و کذا بعد الوضع </w:t>
      </w:r>
      <w:r>
        <w:rPr>
          <w:rStyle w:val="FootnoteAnchor"/>
          <w:rtl w:val="true"/>
        </w:rPr>
        <w:footnoteReference w:id="199"/>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تعذّر غسله و لو من جهة توقّفه علیٰ</w:t>
      </w:r>
      <w:bookmarkStart w:id="835" w:name="pg1809_18845"/>
    </w:p>
    <w:p>
      <w:pPr>
        <w:pStyle w:val="BookText"/>
        <w:rPr/>
      </w:pPr>
      <w:bookmarkEnd w:id="835"/>
      <w:r>
        <w:rPr>
          <w:rFonts w:ascii="IRNazanin" w:hAnsi="IRNazanin" w:eastAsia="IRNazanin"/>
          <w:color w:val="111111"/>
          <w:sz w:val="28"/>
          <w:sz w:val="28"/>
          <w:szCs w:val="28"/>
          <w:rtl w:val="true"/>
          <w:lang w:bidi="fa-IR"/>
        </w:rPr>
        <w:t xml:space="preserve">إخراجه تعیّن القرض، کما أنّه یتعیّن الغسل </w:t>
      </w:r>
      <w:r>
        <w:rPr>
          <w:rStyle w:val="FootnoteAnchor"/>
          <w:rtl w:val="true"/>
        </w:rPr>
        <w:footnoteReference w:id="200"/>
      </w:r>
      <w:r>
        <w:rPr>
          <w:rFonts w:ascii="IRNazanin" w:hAnsi="IRNazanin" w:eastAsia="IRNazanin"/>
          <w:color w:val="111111"/>
          <w:sz w:val="28"/>
          <w:sz w:val="28"/>
          <w:szCs w:val="28"/>
          <w:rtl w:val="true"/>
          <w:lang w:bidi="fa-IR"/>
        </w:rPr>
        <w:t>لو تعذّر القرض و لو من جهة استلزامه زوال ساتریّة الکفن، و لو تعذّرا وجب تبدیله مع الإمکان</w:t>
      </w:r>
      <w:r>
        <w:rPr>
          <w:rFonts w:eastAsia="IRNazanin" w:cs="IRNazanin"/>
          <w:color w:val="111111"/>
          <w:sz w:val="28"/>
          <w:szCs w:val="28"/>
          <w:rtl w:val="true"/>
          <w:lang w:bidi="fa-IR"/>
        </w:rPr>
        <w:t>.</w:t>
      </w:r>
    </w:p>
    <w:p>
      <w:pPr>
        <w:pStyle w:val="Heading6"/>
        <w:numPr>
          <w:ilvl w:val="5"/>
          <w:numId w:val="1"/>
        </w:numPr>
        <w:rPr/>
      </w:pPr>
      <w:bookmarkStart w:id="836" w:name="__RefHeading___Toc2565752_3650668749"/>
      <w:bookmarkStart w:id="837" w:name="_Toc385"/>
      <w:bookmarkEnd w:id="836"/>
      <w:r>
        <w:rPr>
          <w:rtl w:val="true"/>
        </w:rPr>
        <w:t>[ (</w:t>
      </w:r>
      <w:r>
        <w:rPr>
          <w:rtl w:val="true"/>
        </w:rPr>
        <w:t xml:space="preserve">مسألة </w:t>
      </w:r>
      <w:r>
        <w:rPr/>
        <w:t>4</w:t>
      </w:r>
      <w:r>
        <w:rPr>
          <w:rtl w:val="true"/>
        </w:rPr>
        <w:t xml:space="preserve">): </w:t>
      </w:r>
      <w:r>
        <w:rPr>
          <w:rtl w:val="true"/>
        </w:rPr>
        <w:t>یخرج الکفن من أصل الترکة مقدّماً علی الدیون و الوصایا و المیراث</w:t>
      </w:r>
      <w:r>
        <w:rPr>
          <w:rtl w:val="true"/>
        </w:rPr>
        <w:t>]</w:t>
      </w:r>
      <w:bookmarkEnd w:id="8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الکفن </w:t>
      </w:r>
      <w:r>
        <w:rPr>
          <w:rStyle w:val="FootnoteAnchor"/>
          <w:rtl w:val="true"/>
        </w:rPr>
        <w:footnoteReference w:id="201"/>
      </w:r>
      <w:r>
        <w:rPr>
          <w:rFonts w:ascii="IRNazanin" w:hAnsi="IRNazanin" w:eastAsia="IRNazanin"/>
          <w:color w:val="111111"/>
          <w:sz w:val="28"/>
          <w:sz w:val="28"/>
          <w:szCs w:val="28"/>
          <w:rtl w:val="true"/>
          <w:lang w:bidi="fa-IR"/>
        </w:rPr>
        <w:t>من أصل الترکة مقدّماً علی الدیون و الوصایا و المیراث، و کذا القدر الواجب من سائر مؤن التجهیز؛ من الماء و السدر و الکافور و قیمة الأرض حتّی ما تأخذه الحکومة للدفن فی الأرض المباحة و أُجرة الحمّال و الحفّار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الترکة متعلّقاً لحقّ الغیر بسبب الفلس أو الرهانة فالظاهر تقدیم الکفن علیه، نعم فی تقدیمه علیٰ حقّ الجنایة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تکن له ترکة بمقدار الکفن دفن عریاناً، و لا یجب علی المسلمین بذله بل یستحبّ</w:t>
      </w:r>
      <w:r>
        <w:rPr>
          <w:rFonts w:eastAsia="IRNazanin" w:cs="IRNazanin"/>
          <w:color w:val="111111"/>
          <w:sz w:val="28"/>
          <w:szCs w:val="28"/>
          <w:rtl w:val="true"/>
          <w:lang w:bidi="fa-IR"/>
        </w:rPr>
        <w:t>.</w:t>
      </w:r>
    </w:p>
    <w:p>
      <w:pPr>
        <w:pStyle w:val="Heading6"/>
        <w:numPr>
          <w:ilvl w:val="5"/>
          <w:numId w:val="1"/>
        </w:numPr>
        <w:rPr/>
      </w:pPr>
      <w:bookmarkStart w:id="838" w:name="__RefHeading___Toc2565754_3650668749"/>
      <w:bookmarkStart w:id="839" w:name="_Toc386"/>
      <w:bookmarkEnd w:id="838"/>
      <w:r>
        <w:rPr>
          <w:rtl w:val="true"/>
        </w:rPr>
        <w:t>[ (</w:t>
      </w:r>
      <w:r>
        <w:rPr>
          <w:rtl w:val="true"/>
        </w:rPr>
        <w:t xml:space="preserve">مسألة </w:t>
      </w:r>
      <w:r>
        <w:rPr/>
        <w:t>5</w:t>
      </w:r>
      <w:r>
        <w:rPr>
          <w:rtl w:val="true"/>
        </w:rPr>
        <w:t xml:space="preserve">): </w:t>
      </w:r>
      <w:r>
        <w:rPr>
          <w:rtl w:val="true"/>
        </w:rPr>
        <w:t>کفن الزوجة بل و سائر مؤن تجهیزها علیٰ زوجها</w:t>
      </w:r>
      <w:r>
        <w:rPr>
          <w:rtl w:val="true"/>
        </w:rPr>
        <w:t>]</w:t>
      </w:r>
      <w:bookmarkEnd w:id="8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الزوجة بل و سائر مؤن تجهیزها علیٰ زوجها و لو مع یسارها؛ کبیرة کانت أو صغیرة، مجنونة کانت أو عاقلة، حرّة کانت أو أمة، مدخولة کانت أو غیر مدخولة، مطیعة کانت أو ناشزة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المنقطعة سیّما إذا کانت مدّة نکاحها قصیرة جدّاً و کذلک فی المطلّقة الرجعیّة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تأمّل و إشکال</w:t>
      </w:r>
      <w:r>
        <w:rPr>
          <w:rFonts w:eastAsia="IRNazanin" w:cs="IRNazanin"/>
          <w:color w:val="111111"/>
          <w:sz w:val="28"/>
          <w:szCs w:val="28"/>
          <w:rtl w:val="true"/>
          <w:lang w:bidi="fa-IR"/>
        </w:rPr>
        <w:t>.</w:t>
      </w:r>
    </w:p>
    <w:p>
      <w:pPr>
        <w:pStyle w:val="Heading6"/>
        <w:numPr>
          <w:ilvl w:val="5"/>
          <w:numId w:val="1"/>
        </w:numPr>
        <w:rPr/>
      </w:pPr>
      <w:bookmarkStart w:id="840" w:name="__RefHeading___Toc2565756_3650668749"/>
      <w:bookmarkStart w:id="841" w:name="_Toc387"/>
      <w:bookmarkEnd w:id="840"/>
      <w:r>
        <w:rPr>
          <w:rtl w:val="true"/>
        </w:rPr>
        <w:t>[ (</w:t>
      </w:r>
      <w:r>
        <w:rPr>
          <w:rtl w:val="true"/>
        </w:rPr>
        <w:t xml:space="preserve">مسألة </w:t>
      </w:r>
      <w:r>
        <w:rPr/>
        <w:t>6</w:t>
      </w:r>
      <w:r>
        <w:rPr>
          <w:rtl w:val="true"/>
        </w:rPr>
        <w:t xml:space="preserve">): </w:t>
      </w:r>
      <w:r>
        <w:rPr>
          <w:rtl w:val="true"/>
        </w:rPr>
        <w:t>إذا تبرّع متبرّع بکفنها سقط عن الزوج</w:t>
      </w:r>
      <w:r>
        <w:rPr>
          <w:rtl w:val="true"/>
        </w:rPr>
        <w:t>]</w:t>
      </w:r>
      <w:bookmarkEnd w:id="8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تبرّع متبرّع بکفنها سقط عن الزوج</w:t>
      </w:r>
      <w:r>
        <w:rPr>
          <w:rFonts w:eastAsia="IRNazanin" w:cs="IRNazanin"/>
          <w:color w:val="111111"/>
          <w:sz w:val="28"/>
          <w:szCs w:val="28"/>
          <w:rtl w:val="true"/>
          <w:lang w:bidi="fa-IR"/>
        </w:rPr>
        <w:t>.</w:t>
      </w:r>
    </w:p>
    <w:p>
      <w:pPr>
        <w:pStyle w:val="Heading6"/>
        <w:numPr>
          <w:ilvl w:val="5"/>
          <w:numId w:val="1"/>
        </w:numPr>
        <w:rPr/>
      </w:pPr>
      <w:bookmarkStart w:id="842" w:name="__RefHeading___Toc2565758_3650668749"/>
      <w:bookmarkStart w:id="843" w:name="_Toc388"/>
      <w:bookmarkEnd w:id="842"/>
      <w:r>
        <w:rPr>
          <w:rtl w:val="true"/>
        </w:rPr>
        <w:t>[ (</w:t>
      </w:r>
      <w:r>
        <w:rPr>
          <w:rtl w:val="true"/>
        </w:rPr>
        <w:t xml:space="preserve">مسألة </w:t>
      </w:r>
      <w:r>
        <w:rPr/>
        <w:t>7</w:t>
      </w:r>
      <w:r>
        <w:rPr>
          <w:rtl w:val="true"/>
        </w:rPr>
        <w:t xml:space="preserve">): </w:t>
      </w:r>
      <w:r>
        <w:rPr>
          <w:rtl w:val="true"/>
        </w:rPr>
        <w:t>إذا مات الزوج بعد زوجته و لم یکن له من المال إلّا بمقدار کفن واحد قدّم علیها</w:t>
      </w:r>
      <w:r>
        <w:rPr>
          <w:rtl w:val="true"/>
        </w:rPr>
        <w:t>]</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الزوج بعد زوجته </w:t>
      </w:r>
      <w:r>
        <w:rPr>
          <w:rStyle w:val="FootnoteAnchor"/>
          <w:rtl w:val="true"/>
        </w:rPr>
        <w:footnoteReference w:id="202"/>
      </w:r>
      <w:r>
        <w:rPr>
          <w:rFonts w:ascii="IRNazanin" w:hAnsi="IRNazanin" w:eastAsia="IRNazanin"/>
          <w:color w:val="111111"/>
          <w:sz w:val="28"/>
          <w:sz w:val="28"/>
          <w:szCs w:val="28"/>
          <w:rtl w:val="true"/>
          <w:lang w:bidi="fa-IR"/>
        </w:rPr>
        <w:t>و لم یکن له من المال إلّا بمقدار کفن واحد قدّم علیها</w:t>
      </w:r>
      <w:r>
        <w:rPr>
          <w:rFonts w:eastAsia="IRNazanin" w:cs="IRNazanin"/>
          <w:color w:val="111111"/>
          <w:sz w:val="28"/>
          <w:szCs w:val="28"/>
          <w:rtl w:val="true"/>
          <w:lang w:bidi="fa-IR"/>
        </w:rPr>
        <w:t>.</w:t>
      </w:r>
    </w:p>
    <w:p>
      <w:pPr>
        <w:pStyle w:val="Heading6"/>
        <w:numPr>
          <w:ilvl w:val="5"/>
          <w:numId w:val="1"/>
        </w:numPr>
        <w:rPr/>
      </w:pPr>
      <w:bookmarkStart w:id="844" w:name="__RefHeading___Toc2565760_3650668749"/>
      <w:bookmarkStart w:id="845" w:name="_Toc389"/>
      <w:bookmarkEnd w:id="844"/>
      <w:r>
        <w:rPr>
          <w:rtl w:val="true"/>
        </w:rPr>
        <w:t>[ (</w:t>
      </w:r>
      <w:r>
        <w:rPr>
          <w:rtl w:val="true"/>
        </w:rPr>
        <w:t xml:space="preserve">مسألة </w:t>
      </w:r>
      <w:r>
        <w:rPr/>
        <w:t>8</w:t>
      </w:r>
      <w:r>
        <w:rPr>
          <w:rtl w:val="true"/>
        </w:rPr>
        <w:t xml:space="preserve">): </w:t>
      </w:r>
      <w:r>
        <w:rPr>
          <w:rtl w:val="true"/>
        </w:rPr>
        <w:t>إذا کان الزوج معسراً فکفّن الزوجة من ترکتها</w:t>
      </w:r>
      <w:r>
        <w:rPr>
          <w:rtl w:val="true"/>
        </w:rPr>
        <w:t>]</w:t>
      </w:r>
      <w:bookmarkEnd w:id="84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الزوج معسراً فکفّن الزوجة من ترکتها، فلو أیسر بعد ذلک </w:t>
      </w:r>
      <w:r>
        <w:rPr>
          <w:rStyle w:val="FootnoteAnchor"/>
          <w:rtl w:val="true"/>
        </w:rPr>
        <w:footnoteReference w:id="203"/>
      </w:r>
      <w:r>
        <w:rPr>
          <w:rFonts w:ascii="IRNazanin" w:hAnsi="IRNazanin" w:eastAsia="IRNazanin"/>
          <w:color w:val="111111"/>
          <w:sz w:val="28"/>
          <w:sz w:val="28"/>
          <w:szCs w:val="28"/>
          <w:rtl w:val="true"/>
          <w:lang w:bidi="fa-IR"/>
        </w:rPr>
        <w:t>لیس للورثة مطالبة قیمته</w:t>
      </w:r>
      <w:r>
        <w:rPr>
          <w:rFonts w:eastAsia="IRNazanin" w:cs="IRNazanin"/>
          <w:color w:val="111111"/>
          <w:sz w:val="28"/>
          <w:szCs w:val="28"/>
          <w:rtl w:val="true"/>
          <w:lang w:bidi="fa-IR"/>
        </w:rPr>
        <w:t>.</w:t>
      </w:r>
      <w:bookmarkStart w:id="846" w:name="pg1809_18846"/>
    </w:p>
    <w:p>
      <w:pPr>
        <w:pStyle w:val="Heading6"/>
        <w:numPr>
          <w:ilvl w:val="5"/>
          <w:numId w:val="1"/>
        </w:numPr>
        <w:rPr/>
      </w:pPr>
      <w:bookmarkStart w:id="847" w:name="__RefHeading___Toc2565762_3650668749"/>
      <w:bookmarkStart w:id="848" w:name="_Toc390"/>
      <w:bookmarkEnd w:id="846"/>
      <w:bookmarkEnd w:id="847"/>
      <w:r>
        <w:rPr>
          <w:rtl w:val="true"/>
        </w:rPr>
        <w:t>[ (</w:t>
      </w:r>
      <w:r>
        <w:rPr>
          <w:rtl w:val="true"/>
        </w:rPr>
        <w:t xml:space="preserve">مسألة </w:t>
      </w:r>
      <w:r>
        <w:rPr/>
        <w:t>9</w:t>
      </w:r>
      <w:r>
        <w:rPr>
          <w:rtl w:val="true"/>
        </w:rPr>
        <w:t xml:space="preserve">): </w:t>
      </w:r>
      <w:r>
        <w:rPr>
          <w:rtl w:val="true"/>
        </w:rPr>
        <w:t>لا یلحق بالزوجة فی وجوب الکفن من وجبت نفقته من الأقارب</w:t>
      </w:r>
      <w:r>
        <w:rPr>
          <w:rtl w:val="true"/>
        </w:rPr>
        <w:t>]</w:t>
      </w:r>
      <w:bookmarkEnd w:id="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یلحق بالزوجة فی وجوب الکفن من وجبت نفقته من الأقارب، نعم کفن المملوک علیٰ سیّده، إلّا الأمة المزوّجة فعلی زوجها</w:t>
      </w:r>
      <w:r>
        <w:rPr>
          <w:rFonts w:eastAsia="IRNazanin" w:cs="IRNazanin"/>
          <w:color w:val="111111"/>
          <w:sz w:val="28"/>
          <w:szCs w:val="28"/>
          <w:rtl w:val="true"/>
          <w:lang w:bidi="fa-IR"/>
        </w:rPr>
        <w:t>.</w:t>
      </w:r>
    </w:p>
    <w:p>
      <w:pPr>
        <w:pStyle w:val="Heading6"/>
        <w:numPr>
          <w:ilvl w:val="5"/>
          <w:numId w:val="1"/>
        </w:numPr>
        <w:rPr/>
      </w:pPr>
      <w:bookmarkStart w:id="849" w:name="__RefHeading___Toc2565764_3650668749"/>
      <w:bookmarkStart w:id="850" w:name="_Toc391"/>
      <w:bookmarkEnd w:id="849"/>
      <w:r>
        <w:rPr>
          <w:rtl w:val="true"/>
        </w:rPr>
        <w:t>[</w:t>
      </w:r>
      <w:r>
        <w:rPr>
          <w:rtl w:val="true"/>
        </w:rPr>
        <w:t>القول فی مستحبّات الکفن و آداب التکفین</w:t>
      </w:r>
      <w:r>
        <w:rPr>
          <w:rtl w:val="true"/>
        </w:rPr>
        <w:t>]</w:t>
      </w:r>
      <w:bookmarkEnd w:id="850"/>
    </w:p>
    <w:p>
      <w:pPr>
        <w:pStyle w:val="Heading6"/>
        <w:numPr>
          <w:ilvl w:val="5"/>
          <w:numId w:val="1"/>
        </w:numPr>
        <w:rPr/>
      </w:pPr>
      <w:bookmarkStart w:id="851" w:name="__RefHeading___Toc2565766_3650668749"/>
      <w:bookmarkStart w:id="852" w:name="_Toc392"/>
      <w:bookmarkEnd w:id="851"/>
      <w:r>
        <w:rPr>
          <w:rtl w:val="true"/>
        </w:rPr>
        <w:t>اشارة</w:t>
      </w:r>
      <w:bookmarkEnd w:id="85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فی مستحبّات الکفن و آداب التکفین یستحبّ الزیادة علی القطع الثلاث فی کلّ من الرجل و المرأة بخرقة للفخذین؛ طولها ثلاثة أذرع و نصف و عرضها شبر </w:t>
      </w:r>
      <w:r>
        <w:rPr>
          <w:rStyle w:val="FootnoteAnchor"/>
          <w:rtl w:val="true"/>
        </w:rPr>
        <w:footnoteReference w:id="204"/>
      </w:r>
      <w:r>
        <w:rPr>
          <w:rFonts w:ascii="IRNazanin" w:hAnsi="IRNazanin" w:eastAsia="IRNazanin"/>
          <w:color w:val="111111"/>
          <w:sz w:val="28"/>
          <w:sz w:val="28"/>
          <w:szCs w:val="28"/>
          <w:rtl w:val="true"/>
          <w:lang w:bidi="fa-IR"/>
        </w:rPr>
        <w:t xml:space="preserve">، تشدّ من الحقوین ثمّ تلفّ علی الفخذین لفّاً شدیداً علیٰ وجه لا یظهر منهما شی‌ء إلیٰ أن تصل إلی الرکبتین، ثمّ یخرج رأسها من تحت رجلیه إلیٰ جانب الأیمن </w:t>
      </w:r>
      <w:r>
        <w:rPr>
          <w:rStyle w:val="FootnoteAnchor"/>
          <w:rtl w:val="true"/>
        </w:rPr>
        <w:footnoteReference w:id="205"/>
      </w:r>
      <w:r>
        <w:rPr>
          <w:rFonts w:ascii="IRNazanin" w:hAnsi="IRNazanin" w:eastAsia="IRNazanin"/>
          <w:color w:val="111111"/>
          <w:sz w:val="28"/>
          <w:sz w:val="28"/>
          <w:szCs w:val="28"/>
          <w:rtl w:val="true"/>
          <w:lang w:bidi="fa-IR"/>
        </w:rPr>
        <w:t xml:space="preserve">و جعل شی‌ء من القطن بین الألیتین علیٰ وجه یستر العورتین بعد وضع شی‌ء من الحنوط علیه </w:t>
      </w:r>
      <w:r>
        <w:rPr>
          <w:rStyle w:val="FootnoteAnchor"/>
          <w:rtl w:val="true"/>
        </w:rPr>
        <w:footnoteReference w:id="206"/>
      </w:r>
      <w:r>
        <w:rPr>
          <w:rFonts w:ascii="IRNazanin" w:hAnsi="IRNazanin" w:eastAsia="IRNazanin"/>
          <w:color w:val="111111"/>
          <w:sz w:val="28"/>
          <w:sz w:val="28"/>
          <w:szCs w:val="28"/>
          <w:rtl w:val="true"/>
          <w:lang w:bidi="fa-IR"/>
        </w:rPr>
        <w:t>، و یحشی دُبره بشی‌ء منه إذا خشی خروج شی‌ء منه، بل و قبل المرأة أیضاً، سیّما إذا کان یخشیٰ خروج دم النفاس و نحوه منه، کلّ ذلک قبل اللفّ بالخرقة المذکورة، و لفّافة اخریٰ فوق اللفّافة الواجبة، و الأفضل کونها بُرداً یمانیّاً، بل یقوی استحباب لفّافة ثالثة سیّما فی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الرجل خاصّة بعمامة یلفّ بها رأسه بالتدویر، و یجعل طرفاها تحت الحنک و یلقیان علیٰ صدره؛ الأیمن علی الأیسر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المرأة خاصّة بمقنعة بدل العمامة، و لفّافة یشدّ بها ثدیاها إلیٰ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إجادة الکفن؛ فإنّ الموتی یتباهون یوم القیامة بأکفانهم، و کونه من طهور المال لا تشوبه شبهة، و أن یکون من القطن، و أن یکون أبیض </w:t>
      </w:r>
      <w:r>
        <w:rPr>
          <w:rStyle w:val="FootnoteAnchor"/>
          <w:rtl w:val="true"/>
        </w:rPr>
        <w:footnoteReference w:id="207"/>
      </w:r>
      <w:r>
        <w:rPr>
          <w:rFonts w:ascii="IRNazanin" w:hAnsi="IRNazanin" w:eastAsia="IRNazanin"/>
          <w:color w:val="111111"/>
          <w:sz w:val="28"/>
          <w:sz w:val="28"/>
          <w:szCs w:val="28"/>
          <w:rtl w:val="true"/>
          <w:lang w:bidi="fa-IR"/>
        </w:rPr>
        <w:t xml:space="preserve">، و أن یکون من ثیاب أحرم فیها أو کان یصلّی فیها، و أن یخاط </w:t>
      </w:r>
      <w:r>
        <w:rPr>
          <w:rStyle w:val="FootnoteAnchor"/>
          <w:rtl w:val="true"/>
        </w:rPr>
        <w:footnoteReference w:id="208"/>
      </w:r>
      <w:r>
        <w:rPr>
          <w:rFonts w:ascii="IRNazanin" w:hAnsi="IRNazanin" w:eastAsia="IRNazanin"/>
          <w:color w:val="111111"/>
          <w:sz w:val="28"/>
          <w:sz w:val="28"/>
          <w:szCs w:val="28"/>
          <w:rtl w:val="true"/>
          <w:lang w:bidi="fa-IR"/>
        </w:rPr>
        <w:t xml:space="preserve">بخیوطه إذا احتاج إلی الخیاطة، و أن یلقیٰ علیه </w:t>
      </w:r>
      <w:r>
        <w:rPr>
          <w:rStyle w:val="FootnoteAnchor"/>
          <w:rtl w:val="true"/>
        </w:rPr>
        <w:footnoteReference w:id="209"/>
      </w:r>
      <w:r>
        <w:rPr>
          <w:rFonts w:ascii="IRNazanin" w:hAnsi="IRNazanin" w:eastAsia="IRNazanin"/>
          <w:color w:val="111111"/>
          <w:sz w:val="28"/>
          <w:sz w:val="28"/>
          <w:szCs w:val="28"/>
          <w:rtl w:val="true"/>
          <w:lang w:bidi="fa-IR"/>
        </w:rPr>
        <w:t xml:space="preserve">شی‌ء من الکافور، و أن یکتب علیٰ حاشیة جمیع قطع الکفن </w:t>
      </w:r>
      <w:r>
        <w:rPr>
          <w:rStyle w:val="FootnoteAnchor"/>
          <w:rtl w:val="true"/>
        </w:rPr>
        <w:footnoteReference w:id="2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 بن فلان یشهد أن لا إلٰه إلّا اللّٰه</w:t>
      </w:r>
      <w:bookmarkStart w:id="853" w:name="pg1809_18847"/>
    </w:p>
    <w:p>
      <w:pPr>
        <w:pStyle w:val="BookText"/>
        <w:rPr/>
      </w:pPr>
      <w:bookmarkEnd w:id="853"/>
      <w:r>
        <w:rPr>
          <w:rFonts w:ascii="Amiri" w:hAnsi="Amiri" w:eastAsia="Amiri" w:cs="Amiri"/>
          <w:color w:val="111111"/>
          <w:sz w:val="28"/>
          <w:sz w:val="28"/>
          <w:szCs w:val="28"/>
          <w:rtl w:val="true"/>
          <w:lang w:bidi="ar-SA"/>
        </w:rPr>
        <w:t xml:space="preserve">وحده لا شریک له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علیّاً و الحسن و الحسین و یعدّ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آخرهم أئمّته و سادته و قادته، و أنّ البعث و الثواب و العقاب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یکتب علیه الجوشن الصغیر </w:t>
      </w:r>
      <w:r>
        <w:rPr>
          <w:rStyle w:val="FootnoteAnchor"/>
          <w:rtl w:val="true"/>
        </w:rPr>
        <w:footnoteReference w:id="211"/>
      </w:r>
      <w:r>
        <w:rPr>
          <w:rFonts w:ascii="IRNazanin" w:hAnsi="IRNazanin" w:eastAsia="IRNazanin"/>
          <w:color w:val="111111"/>
          <w:sz w:val="28"/>
          <w:sz w:val="28"/>
          <w:szCs w:val="28"/>
          <w:rtl w:val="true"/>
          <w:lang w:bidi="fa-IR"/>
        </w:rPr>
        <w:t>بل و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الأولیٰ بل الأحوط </w:t>
      </w:r>
      <w:r>
        <w:rPr>
          <w:rStyle w:val="FootnoteAnchor"/>
          <w:rtl w:val="true"/>
        </w:rPr>
        <w:footnoteReference w:id="212"/>
      </w:r>
      <w:r>
        <w:rPr>
          <w:rFonts w:ascii="IRNazanin" w:hAnsi="IRNazanin" w:eastAsia="IRNazanin"/>
          <w:color w:val="111111"/>
          <w:sz w:val="28"/>
          <w:sz w:val="28"/>
          <w:szCs w:val="28"/>
          <w:rtl w:val="true"/>
          <w:lang w:bidi="fa-IR"/>
        </w:rPr>
        <w:t>أن یکون ذلک کلّه فی مقام یؤمن علیه من النجاسة و القذارة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w:t>
      </w:r>
      <w:r>
        <w:rPr>
          <w:rStyle w:val="FootnoteAnchor"/>
          <w:rtl w:val="true"/>
        </w:rPr>
        <w:footnoteReference w:id="213"/>
      </w:r>
      <w:r>
        <w:rPr>
          <w:rFonts w:ascii="IRNazanin" w:hAnsi="IRNazanin" w:eastAsia="IRNazanin"/>
          <w:color w:val="111111"/>
          <w:sz w:val="28"/>
          <w:sz w:val="28"/>
          <w:szCs w:val="28"/>
          <w:rtl w:val="true"/>
          <w:lang w:bidi="fa-IR"/>
        </w:rPr>
        <w:t>للمباشر للتکفین إذا کان هو المغسّل الغسل من المسّ و الوضوء قبل التکفین، و إذا کان غیره الطهارة من الحدث الأکبر و الأصغر</w:t>
      </w:r>
      <w:r>
        <w:rPr>
          <w:rFonts w:eastAsia="IRNazanin" w:cs="IRNazanin"/>
          <w:color w:val="111111"/>
          <w:sz w:val="28"/>
          <w:szCs w:val="28"/>
          <w:rtl w:val="true"/>
          <w:lang w:bidi="fa-IR"/>
        </w:rPr>
        <w:t>.</w:t>
      </w:r>
    </w:p>
    <w:p>
      <w:pPr>
        <w:pStyle w:val="Heading6"/>
        <w:numPr>
          <w:ilvl w:val="5"/>
          <w:numId w:val="1"/>
        </w:numPr>
        <w:rPr/>
      </w:pPr>
      <w:bookmarkStart w:id="854" w:name="__RefHeading___Toc2565768_3650668749"/>
      <w:bookmarkStart w:id="855" w:name="_Toc393"/>
      <w:bookmarkEnd w:id="854"/>
      <w:r>
        <w:rPr>
          <w:rtl w:val="true"/>
        </w:rPr>
        <w:t>[</w:t>
      </w:r>
      <w:r>
        <w:rPr>
          <w:rtl w:val="true"/>
        </w:rPr>
        <w:t>القول فی الحنوط</w:t>
      </w:r>
      <w:r>
        <w:rPr>
          <w:rtl w:val="true"/>
        </w:rPr>
        <w:t>]</w:t>
      </w:r>
      <w:bookmarkEnd w:id="855"/>
    </w:p>
    <w:p>
      <w:pPr>
        <w:pStyle w:val="Heading6"/>
        <w:numPr>
          <w:ilvl w:val="5"/>
          <w:numId w:val="1"/>
        </w:numPr>
        <w:rPr/>
      </w:pPr>
      <w:bookmarkStart w:id="856" w:name="__RefHeading___Toc2565770_3650668749"/>
      <w:bookmarkStart w:id="857" w:name="_Toc394"/>
      <w:bookmarkEnd w:id="856"/>
      <w:r>
        <w:rPr>
          <w:rtl w:val="true"/>
        </w:rPr>
        <w:t>اشارة</w:t>
      </w:r>
      <w:bookmarkEnd w:id="857"/>
    </w:p>
    <w:p>
      <w:pPr>
        <w:pStyle w:val="BookText"/>
        <w:rPr/>
      </w:pPr>
      <w:r>
        <w:rPr>
          <w:rFonts w:ascii="IRNazanin" w:hAnsi="IRNazanin" w:eastAsia="IRNazanin"/>
          <w:color w:val="111111"/>
          <w:sz w:val="28"/>
          <w:sz w:val="28"/>
          <w:szCs w:val="28"/>
          <w:rtl w:val="true"/>
          <w:lang w:bidi="fa-IR"/>
        </w:rPr>
        <w:t>القول فی الحنوط و هو واجب علی الأصحّ؛ صغیراً کان المیّت أو کبیراً، ذکراً کان أو أُنثی، و لا یجوز تحنیط المحرم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أن یکون بعد الغسل أو التیمّم، و الأقوی جوازه قبل التکفین و بعده و فی أثنائه و إن کان الأوّل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یمسح الکافور علیٰ مساجده السبعة، و یستحبّ إضافة طرف الأنف إلیها بل هو الأحوط، بل لا یبعد </w:t>
      </w:r>
      <w:r>
        <w:rPr>
          <w:rStyle w:val="FootnoteAnchor"/>
          <w:rtl w:val="true"/>
        </w:rPr>
        <w:footnoteReference w:id="214"/>
      </w:r>
      <w:r>
        <w:rPr>
          <w:rFonts w:ascii="IRNazanin" w:hAnsi="IRNazanin" w:eastAsia="IRNazanin"/>
          <w:color w:val="111111"/>
          <w:sz w:val="28"/>
          <w:sz w:val="28"/>
          <w:szCs w:val="28"/>
          <w:rtl w:val="true"/>
          <w:lang w:bidi="fa-IR"/>
        </w:rPr>
        <w:t>استحباب مسح إبطیه و لَبّته و مفاصله به، و لا یقوم مقام الکافور طیب آخر حتّی عند الضرورة</w:t>
      </w:r>
      <w:r>
        <w:rPr>
          <w:rFonts w:eastAsia="IRNazanin" w:cs="IRNazanin"/>
          <w:color w:val="111111"/>
          <w:sz w:val="28"/>
          <w:szCs w:val="28"/>
          <w:rtl w:val="true"/>
          <w:lang w:bidi="fa-IR"/>
        </w:rPr>
        <w:t>.</w:t>
      </w:r>
    </w:p>
    <w:p>
      <w:pPr>
        <w:pStyle w:val="Heading6"/>
        <w:numPr>
          <w:ilvl w:val="5"/>
          <w:numId w:val="1"/>
        </w:numPr>
        <w:rPr/>
      </w:pPr>
      <w:bookmarkStart w:id="858" w:name="__RefHeading___Toc2565772_3650668749"/>
      <w:bookmarkStart w:id="859" w:name="_Toc395"/>
      <w:bookmarkEnd w:id="858"/>
      <w:r>
        <w:rPr>
          <w:rtl w:val="true"/>
        </w:rPr>
        <w:t>[ (</w:t>
      </w:r>
      <w:r>
        <w:rPr>
          <w:rtl w:val="true"/>
        </w:rPr>
        <w:t xml:space="preserve">مسألة </w:t>
      </w:r>
      <w:r>
        <w:rPr/>
        <w:t>1</w:t>
      </w:r>
      <w:r>
        <w:rPr>
          <w:rtl w:val="true"/>
        </w:rPr>
        <w:t xml:space="preserve">): </w:t>
      </w:r>
      <w:r>
        <w:rPr>
          <w:rtl w:val="true"/>
        </w:rPr>
        <w:t>لا یجب مقدار معیّن من الکافور فی الحنوط</w:t>
      </w:r>
      <w:r>
        <w:rPr>
          <w:rtl w:val="true"/>
        </w:rPr>
        <w:t>]</w:t>
      </w:r>
      <w:bookmarkEnd w:id="8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مقدار معیّن من الکافور فی الحنوط بل الواجب المسمّی ممّا یصدق معه المسح به، و الأفضل و الأکمل أن یکون سبع مثاقیل صیرفیّة و دونه فی الفضل أربعة مثاقیل شرعیّة و دونه أربعة دراهم و دونه مثقال </w:t>
      </w:r>
      <w:r>
        <w:rPr>
          <w:rStyle w:val="FootnoteAnchor"/>
          <w:rtl w:val="true"/>
        </w:rPr>
        <w:footnoteReference w:id="215"/>
      </w:r>
      <w:r>
        <w:rPr>
          <w:rFonts w:ascii="IRNazanin" w:hAnsi="IRNazanin" w:eastAsia="IRNazanin"/>
          <w:color w:val="111111"/>
          <w:sz w:val="28"/>
          <w:sz w:val="28"/>
          <w:szCs w:val="28"/>
          <w:rtl w:val="true"/>
          <w:lang w:bidi="fa-IR"/>
        </w:rPr>
        <w:t>شرعی و لو تعذّر الجمیع حتّی المسمّی منه دفن بغیر حنوط</w:t>
      </w:r>
      <w:r>
        <w:rPr>
          <w:rFonts w:eastAsia="IRNazanin" w:cs="IRNazanin"/>
          <w:color w:val="111111"/>
          <w:sz w:val="28"/>
          <w:szCs w:val="28"/>
          <w:rtl w:val="true"/>
          <w:lang w:bidi="fa-IR"/>
        </w:rPr>
        <w:t>.</w:t>
      </w:r>
    </w:p>
    <w:p>
      <w:pPr>
        <w:pStyle w:val="Heading6"/>
        <w:numPr>
          <w:ilvl w:val="5"/>
          <w:numId w:val="1"/>
        </w:numPr>
        <w:rPr/>
      </w:pPr>
      <w:bookmarkStart w:id="860" w:name="__RefHeading___Toc2565774_3650668749"/>
      <w:bookmarkStart w:id="861" w:name="_Toc396"/>
      <w:bookmarkEnd w:id="860"/>
      <w:r>
        <w:rPr>
          <w:rtl w:val="true"/>
        </w:rPr>
        <w:t>[ (</w:t>
      </w:r>
      <w:r>
        <w:rPr>
          <w:rtl w:val="true"/>
        </w:rPr>
        <w:t xml:space="preserve">مسألة </w:t>
      </w:r>
      <w:r>
        <w:rPr/>
        <w:t>2</w:t>
      </w:r>
      <w:r>
        <w:rPr>
          <w:rtl w:val="true"/>
        </w:rPr>
        <w:t xml:space="preserve">): </w:t>
      </w:r>
      <w:r>
        <w:rPr>
          <w:rtl w:val="true"/>
        </w:rPr>
        <w:t>یستحبّ خلط کافور الحنوط بشی‌ء من التربة الشریفة</w:t>
      </w:r>
      <w:r>
        <w:rPr>
          <w:rtl w:val="true"/>
        </w:rPr>
        <w:t>]</w:t>
      </w:r>
      <w:bookmarkEnd w:id="8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خلط کافور الحنوط بشی‌ء من التربة الشریفة، لکن لا یمسح به المواضع المنافیة لاحترامها کالإبهامین</w:t>
      </w:r>
      <w:r>
        <w:rPr>
          <w:rFonts w:eastAsia="IRNazanin" w:cs="IRNazanin"/>
          <w:color w:val="111111"/>
          <w:sz w:val="28"/>
          <w:szCs w:val="28"/>
          <w:rtl w:val="true"/>
          <w:lang w:bidi="fa-IR"/>
        </w:rPr>
        <w:t>.</w:t>
      </w:r>
    </w:p>
    <w:p>
      <w:pPr>
        <w:pStyle w:val="Heading6"/>
        <w:numPr>
          <w:ilvl w:val="5"/>
          <w:numId w:val="1"/>
        </w:numPr>
        <w:rPr/>
      </w:pPr>
      <w:bookmarkStart w:id="862" w:name="__RefHeading___Toc2565776_3650668749"/>
      <w:bookmarkStart w:id="863" w:name="_Toc397"/>
      <w:bookmarkEnd w:id="862"/>
      <w:r>
        <w:rPr>
          <w:rtl w:val="true"/>
        </w:rPr>
        <w:t>[</w:t>
      </w:r>
      <w:r>
        <w:rPr>
          <w:rtl w:val="true"/>
        </w:rPr>
        <w:t>القول فی الجریدتین</w:t>
      </w:r>
      <w:r>
        <w:rPr>
          <w:rtl w:val="true"/>
        </w:rPr>
        <w:t>]</w:t>
      </w:r>
      <w:bookmarkEnd w:id="86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فی الجریدتین من السنن الأکیدة عند الشیعة وضع عودین رطبین مع المیّت؛ صغیراً </w:t>
      </w:r>
      <w:r>
        <w:rPr>
          <w:rStyle w:val="FootnoteAnchor"/>
          <w:rtl w:val="true"/>
        </w:rPr>
        <w:footnoteReference w:id="216"/>
      </w:r>
      <w:r>
        <w:rPr>
          <w:rFonts w:ascii="Amiri" w:hAnsi="Amiri" w:eastAsia="Amiri" w:cs="Amiri"/>
          <w:color w:val="111111"/>
          <w:sz w:val="28"/>
          <w:sz w:val="28"/>
          <w:szCs w:val="28"/>
          <w:rtl w:val="true"/>
          <w:lang w:bidi="ar-SA"/>
        </w:rPr>
        <w:t>أو کبیراً،</w:t>
      </w:r>
      <w:bookmarkStart w:id="864" w:name="pg1809_18848"/>
    </w:p>
    <w:p>
      <w:pPr>
        <w:pStyle w:val="BookText"/>
        <w:rPr/>
      </w:pPr>
      <w:bookmarkEnd w:id="864"/>
      <w:r>
        <w:rPr>
          <w:rFonts w:ascii="IRNazanin" w:hAnsi="IRNazanin" w:eastAsia="IRNazanin"/>
          <w:color w:val="111111"/>
          <w:sz w:val="28"/>
          <w:sz w:val="28"/>
          <w:szCs w:val="28"/>
          <w:rtl w:val="true"/>
          <w:lang w:bidi="fa-IR"/>
        </w:rPr>
        <w:t xml:space="preserve">ذکراً أو أُنثی، و الأفضل کونهما من جرید النخل و إن لم یتیسّر فمن السدر و إلّا فمن الخلاف أو الرمّان </w:t>
      </w:r>
      <w:r>
        <w:rPr>
          <w:rStyle w:val="FootnoteAnchor"/>
          <w:rtl w:val="true"/>
        </w:rPr>
        <w:footnoteReference w:id="217"/>
      </w:r>
      <w:r>
        <w:rPr>
          <w:rFonts w:ascii="IRNazanin" w:hAnsi="IRNazanin" w:eastAsia="IRNazanin"/>
          <w:color w:val="111111"/>
          <w:sz w:val="28"/>
          <w:sz w:val="28"/>
          <w:szCs w:val="28"/>
          <w:rtl w:val="true"/>
          <w:lang w:bidi="fa-IR"/>
        </w:rPr>
        <w:t>و إلّا فمن کلّ شجر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الأولی کونهما بمقدار عظم الذراع و إن أجزأ الأقلّ و الأکثر </w:t>
      </w:r>
      <w:r>
        <w:rPr>
          <w:rStyle w:val="FootnoteAnchor"/>
          <w:rtl w:val="true"/>
        </w:rPr>
        <w:footnoteReference w:id="218"/>
      </w:r>
      <w:r>
        <w:rPr>
          <w:rFonts w:ascii="IRNazanin" w:hAnsi="IRNazanin" w:eastAsia="IRNazanin"/>
          <w:color w:val="111111"/>
          <w:sz w:val="28"/>
          <w:sz w:val="28"/>
          <w:szCs w:val="28"/>
          <w:rtl w:val="true"/>
          <w:lang w:bidi="fa-IR"/>
        </w:rPr>
        <w:t>، کما أنّ الأولیٰ فی کیفیّة وضعهما جعل إحداهما فی جانبه الأیمن من عند الترقوة إلیٰ ما بلغت ملصقة بجلده و الأُخری فی جانبه الأیسر من عند الترقوة إلیٰ ما بلغت فوق القمیص تحت اللفّافة</w:t>
      </w:r>
      <w:r>
        <w:rPr>
          <w:rFonts w:eastAsia="IRNazanin" w:cs="IRNazanin"/>
          <w:color w:val="111111"/>
          <w:sz w:val="28"/>
          <w:szCs w:val="28"/>
          <w:rtl w:val="true"/>
          <w:lang w:bidi="fa-IR"/>
        </w:rPr>
        <w:t>.</w:t>
      </w:r>
    </w:p>
    <w:p>
      <w:pPr>
        <w:pStyle w:val="Heading6"/>
        <w:numPr>
          <w:ilvl w:val="5"/>
          <w:numId w:val="1"/>
        </w:numPr>
        <w:rPr/>
      </w:pPr>
      <w:bookmarkStart w:id="865" w:name="__RefHeading___Toc2565778_3650668749"/>
      <w:bookmarkStart w:id="866" w:name="_Toc398"/>
      <w:bookmarkEnd w:id="865"/>
      <w:r>
        <w:rPr>
          <w:rtl w:val="true"/>
        </w:rPr>
        <w:t>[</w:t>
      </w:r>
      <w:r>
        <w:rPr>
          <w:rtl w:val="true"/>
        </w:rPr>
        <w:t>القول فی تشییع الجنازة</w:t>
      </w:r>
      <w:r>
        <w:rPr>
          <w:rtl w:val="true"/>
        </w:rPr>
        <w:t>]</w:t>
      </w:r>
      <w:bookmarkEnd w:id="866"/>
    </w:p>
    <w:p>
      <w:pPr>
        <w:pStyle w:val="BookText"/>
        <w:rPr/>
      </w:pPr>
      <w:r>
        <w:rPr>
          <w:rFonts w:ascii="IRNazanin" w:hAnsi="IRNazanin" w:eastAsia="IRNazanin"/>
          <w:color w:val="111111"/>
          <w:sz w:val="28"/>
          <w:sz w:val="28"/>
          <w:szCs w:val="28"/>
          <w:rtl w:val="true"/>
          <w:lang w:bidi="fa-IR"/>
        </w:rPr>
        <w:t>القول فی تشییع الجنازة و فضله کثیر و ثوابه خطیر حتّی ورد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شیّع جنازة فله بکلّ خطوة حتّی یرجع مائة ألف حسنة، و یُمحی عنه مائة ألف سیّئة، و یرفع له مائة ألف درجة، فإن صلّیٰ علیها یشیّعه مائة ألف ملک کلّهم یستغفرون له، فإن شهد دفنها وکّل اللّٰه به مائة ألف ملک یستغفرون له حتّی یبعث من قبره، و من صلّیٰ علیٰ میّت صلّیٰ علیه جبرئیل و سبعون ألف ملک و غفر له ما تقدّم من ذنبه، و إن أقام علیه حتّی یدفنه و حثا علیه من التراب انقلب من الجنازة و له بکلّ قدم من حیث تبعها حتّی یرجع إلیٰ منزله قیراط من الأجر، و القیراط مثل جبل أُحد یلقیٰ فی میزانه من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آدابه فهی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w:t>
      </w:r>
      <w:r>
        <w:rPr>
          <w:rStyle w:val="FootnoteAnchor"/>
          <w:rtl w:val="true"/>
        </w:rPr>
        <w:footnoteReference w:id="219"/>
      </w:r>
      <w:r>
        <w:rPr>
          <w:rFonts w:ascii="Amiri" w:hAnsi="Amiri" w:eastAsia="Amiri" w:cs="Amiri"/>
          <w:color w:val="111111"/>
          <w:sz w:val="28"/>
          <w:sz w:val="28"/>
          <w:szCs w:val="28"/>
          <w:rtl w:val="true"/>
          <w:lang w:bidi="ar-SA"/>
        </w:rPr>
        <w:t>حین حمل الجنازة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صلّی اللّٰه علیٰ محمّد و آل محمّد، اللهمّ اغفر للمؤمنین و 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المشی، بل الظاهر </w:t>
      </w:r>
      <w:r>
        <w:rPr>
          <w:rStyle w:val="FootnoteAnchor"/>
          <w:rtl w:val="true"/>
        </w:rPr>
        <w:footnoteReference w:id="220"/>
      </w:r>
      <w:r>
        <w:rPr>
          <w:rFonts w:ascii="IRNazanin" w:hAnsi="IRNazanin" w:eastAsia="IRNazanin"/>
          <w:color w:val="111111"/>
          <w:sz w:val="28"/>
          <w:sz w:val="28"/>
          <w:szCs w:val="28"/>
          <w:rtl w:val="true"/>
          <w:lang w:bidi="fa-IR"/>
        </w:rPr>
        <w:t>کراهة الرکوب إلّا لعذر، نعم لا یکره فی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المشی خلف الجنازة أو جانبیها لا قدّامها </w:t>
      </w:r>
      <w:r>
        <w:rPr>
          <w:rStyle w:val="FootnoteAnchor"/>
          <w:rtl w:val="true"/>
        </w:rPr>
        <w:footnoteReference w:id="221"/>
      </w:r>
      <w:r>
        <w:rPr>
          <w:rFonts w:ascii="IRNazanin" w:hAnsi="IRNazanin" w:eastAsia="IRNazanin"/>
          <w:color w:val="111111"/>
          <w:sz w:val="28"/>
          <w:sz w:val="28"/>
          <w:szCs w:val="28"/>
          <w:rtl w:val="true"/>
          <w:lang w:bidi="fa-IR"/>
        </w:rPr>
        <w:t>، و الأوّل أفضل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یحملوها علیٰ أکتافهم لا علی الدابّة </w:t>
      </w:r>
      <w:r>
        <w:rPr>
          <w:rStyle w:val="FootnoteAnchor"/>
          <w:rtl w:val="true"/>
        </w:rPr>
        <w:footnoteReference w:id="222"/>
      </w:r>
      <w:r>
        <w:rPr>
          <w:rFonts w:ascii="IRNazanin" w:hAnsi="IRNazanin" w:eastAsia="IRNazanin"/>
          <w:color w:val="111111"/>
          <w:sz w:val="28"/>
          <w:sz w:val="28"/>
          <w:szCs w:val="28"/>
          <w:rtl w:val="true"/>
          <w:lang w:bidi="fa-IR"/>
        </w:rPr>
        <w:t>و نحوها إلّا لعذر کبعد المسافة</w:t>
      </w:r>
      <w:r>
        <w:rPr>
          <w:rFonts w:eastAsia="IRNazanin" w:cs="IRNazanin"/>
          <w:color w:val="111111"/>
          <w:sz w:val="28"/>
          <w:szCs w:val="28"/>
          <w:rtl w:val="true"/>
          <w:lang w:bidi="fa-IR"/>
        </w:rPr>
        <w:t>.</w:t>
      </w:r>
      <w:bookmarkStart w:id="867" w:name="pg1809_18849"/>
    </w:p>
    <w:p>
      <w:pPr>
        <w:pStyle w:val="BookText"/>
        <w:rPr/>
      </w:pPr>
      <w:bookmarkEnd w:id="867"/>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المشیّع خاشعاً متفکّراً متصوّراً أنّه هو المحمول و قد سأل الرجوع إلی الدنیا فأُجیب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التربیع؛ بمعنی أن یحمل الشخص الواحد جوانبها الأربعة، و الأفضل أن یبتدئ بمقدّم السریر من طرف یمین المیّت فیضعه علیٰ عاتقه الأیمن ثمّ یحمل مؤخّره الأیمن علیٰ عاتقه الأیمن ثمّ مؤخّره الأیسر علیٰ عاتقه الأیسر ثمّ ینتقل إلی المقدّم الأیسر و یضعه علیٰ عاتقه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صاحب المصیبة حافیاً واضعاً رداءه أو مغیّراً زیّه علیٰ وجه آخر </w:t>
      </w:r>
      <w:r>
        <w:rPr>
          <w:rStyle w:val="FootnoteAnchor"/>
          <w:rtl w:val="true"/>
        </w:rPr>
        <w:footnoteReference w:id="223"/>
      </w:r>
      <w:r>
        <w:rPr>
          <w:rFonts w:ascii="IRNazanin" w:hAnsi="IRNazanin" w:eastAsia="IRNazanin"/>
          <w:color w:val="111111"/>
          <w:sz w:val="28"/>
          <w:sz w:val="28"/>
          <w:szCs w:val="28"/>
          <w:rtl w:val="true"/>
          <w:lang w:bidi="fa-IR"/>
        </w:rPr>
        <w:t xml:space="preserve">حتّی یعرف، و یکره الضحک و اللعب و اللهو و وضع الرداء لغیر صاحب المصیبة و الکلام </w:t>
      </w:r>
      <w:r>
        <w:rPr>
          <w:rStyle w:val="FootnoteAnchor"/>
          <w:rtl w:val="true"/>
        </w:rPr>
        <w:footnoteReference w:id="224"/>
      </w:r>
      <w:r>
        <w:rPr>
          <w:rFonts w:ascii="IRNazanin" w:hAnsi="IRNazanin" w:eastAsia="IRNazanin"/>
          <w:color w:val="111111"/>
          <w:sz w:val="28"/>
          <w:sz w:val="28"/>
          <w:szCs w:val="28"/>
          <w:rtl w:val="true"/>
          <w:lang w:bidi="fa-IR"/>
        </w:rPr>
        <w:t xml:space="preserve">بغیر الذکر و الدعاء و الاستغفار حتّی أنّه نهی عن السلام علی المشیّع، و تشییع النساء </w:t>
      </w:r>
      <w:r>
        <w:rPr>
          <w:rStyle w:val="FootnoteAnchor"/>
          <w:rtl w:val="true"/>
        </w:rPr>
        <w:footnoteReference w:id="225"/>
      </w:r>
      <w:r>
        <w:rPr>
          <w:rFonts w:ascii="IRNazanin" w:hAnsi="IRNazanin" w:eastAsia="IRNazanin"/>
          <w:color w:val="111111"/>
          <w:sz w:val="28"/>
          <w:sz w:val="28"/>
          <w:szCs w:val="28"/>
          <w:rtl w:val="true"/>
          <w:lang w:bidi="fa-IR"/>
        </w:rPr>
        <w:t xml:space="preserve">الجنازة حتّی للنساء، و الإسراع فی المشی علیٰ وجه ینافی الرفق بالمیّت سیّما إذا کان بالعَدْو بل ینبغی الوسط فی المشی و اتّباعها بالنار و لو بمجمرة إلّا المصباح </w:t>
      </w:r>
      <w:r>
        <w:rPr>
          <w:rStyle w:val="FootnoteAnchor"/>
          <w:rtl w:val="true"/>
        </w:rPr>
        <w:footnoteReference w:id="226"/>
      </w:r>
      <w:r>
        <w:rPr>
          <w:rFonts w:ascii="IRNazanin" w:hAnsi="IRNazanin" w:eastAsia="IRNazanin"/>
          <w:color w:val="111111"/>
          <w:sz w:val="28"/>
          <w:sz w:val="28"/>
          <w:szCs w:val="28"/>
          <w:rtl w:val="true"/>
          <w:lang w:bidi="fa-IR"/>
        </w:rPr>
        <w:t>فی اللیل، و القیام عند مرورها إذا کان جالساً إلّا إذا کان المیّت کافراً فیقوم لئلّا یعلو علی المسلم</w:t>
      </w:r>
      <w:r>
        <w:rPr>
          <w:rFonts w:eastAsia="IRNazanin" w:cs="IRNazanin"/>
          <w:color w:val="111111"/>
          <w:sz w:val="28"/>
          <w:szCs w:val="28"/>
          <w:rtl w:val="true"/>
          <w:lang w:bidi="fa-IR"/>
        </w:rPr>
        <w:t>.</w:t>
      </w:r>
    </w:p>
    <w:p>
      <w:pPr>
        <w:pStyle w:val="Heading6"/>
        <w:numPr>
          <w:ilvl w:val="5"/>
          <w:numId w:val="1"/>
        </w:numPr>
        <w:rPr/>
      </w:pPr>
      <w:bookmarkStart w:id="868" w:name="__RefHeading___Toc2565780_3650668749"/>
      <w:bookmarkStart w:id="869" w:name="_Toc399"/>
      <w:bookmarkEnd w:id="868"/>
      <w:r>
        <w:rPr>
          <w:rtl w:val="true"/>
        </w:rPr>
        <w:t>[</w:t>
      </w:r>
      <w:r>
        <w:rPr>
          <w:rtl w:val="true"/>
        </w:rPr>
        <w:t>القول فی الصلاة علی المیّت</w:t>
      </w:r>
      <w:r>
        <w:rPr>
          <w:rtl w:val="true"/>
        </w:rPr>
        <w:t>]</w:t>
      </w:r>
      <w:bookmarkEnd w:id="869"/>
    </w:p>
    <w:p>
      <w:pPr>
        <w:pStyle w:val="Heading6"/>
        <w:numPr>
          <w:ilvl w:val="5"/>
          <w:numId w:val="1"/>
        </w:numPr>
        <w:rPr/>
      </w:pPr>
      <w:bookmarkStart w:id="870" w:name="__RefHeading___Toc2565782_3650668749"/>
      <w:bookmarkStart w:id="871" w:name="_Toc400"/>
      <w:bookmarkEnd w:id="870"/>
      <w:r>
        <w:rPr>
          <w:rtl w:val="true"/>
        </w:rPr>
        <w:t>اشارة</w:t>
      </w:r>
      <w:bookmarkEnd w:id="871"/>
    </w:p>
    <w:p>
      <w:pPr>
        <w:pStyle w:val="BookText"/>
        <w:rPr/>
      </w:pPr>
      <w:r>
        <w:rPr>
          <w:rFonts w:ascii="IRNazanin" w:hAnsi="IRNazanin" w:eastAsia="IRNazanin"/>
          <w:color w:val="111111"/>
          <w:sz w:val="28"/>
          <w:sz w:val="28"/>
          <w:szCs w:val="28"/>
          <w:rtl w:val="true"/>
          <w:lang w:bidi="fa-IR"/>
        </w:rPr>
        <w:t>القول فی الصلاة علی المیّت</w:t>
      </w:r>
    </w:p>
    <w:p>
      <w:pPr>
        <w:pStyle w:val="Heading6"/>
        <w:numPr>
          <w:ilvl w:val="5"/>
          <w:numId w:val="1"/>
        </w:numPr>
        <w:rPr/>
      </w:pPr>
      <w:bookmarkStart w:id="872" w:name="__RefHeading___Toc2565784_3650668749"/>
      <w:bookmarkStart w:id="873" w:name="_Toc401"/>
      <w:bookmarkEnd w:id="872"/>
      <w:r>
        <w:rPr>
          <w:rtl w:val="true"/>
        </w:rPr>
        <w:t>[</w:t>
      </w:r>
      <w:r>
        <w:rPr>
          <w:rtl w:val="true"/>
        </w:rPr>
        <w:t>مسائل</w:t>
      </w:r>
      <w:r>
        <w:rPr>
          <w:rtl w:val="true"/>
        </w:rPr>
        <w:t>]</w:t>
      </w:r>
      <w:bookmarkEnd w:id="873"/>
    </w:p>
    <w:p>
      <w:pPr>
        <w:pStyle w:val="Heading6"/>
        <w:numPr>
          <w:ilvl w:val="5"/>
          <w:numId w:val="1"/>
        </w:numPr>
        <w:rPr/>
      </w:pPr>
      <w:bookmarkStart w:id="874" w:name="__RefHeading___Toc2565786_3650668749"/>
      <w:bookmarkStart w:id="875" w:name="_Toc402"/>
      <w:bookmarkEnd w:id="874"/>
      <w:r>
        <w:rPr>
          <w:rtl w:val="true"/>
        </w:rPr>
        <w:t>اشارة</w:t>
      </w:r>
      <w:bookmarkEnd w:id="87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الصلاة علیٰ کلّ مسلم و إن کان مخالفاً للحقّ علی الأصحّ، و لا یجوز علی الکافر بأقسامه حتّی المرتدّ و من حکم بکفره </w:t>
      </w:r>
      <w:r>
        <w:rPr>
          <w:rStyle w:val="FootnoteAnchor"/>
          <w:rtl w:val="true"/>
        </w:rPr>
        <w:footnoteReference w:id="227"/>
      </w:r>
      <w:r>
        <w:rPr>
          <w:rFonts w:ascii="IRNazanin" w:hAnsi="IRNazanin" w:eastAsia="IRNazanin"/>
          <w:color w:val="111111"/>
          <w:sz w:val="28"/>
          <w:sz w:val="28"/>
          <w:szCs w:val="28"/>
          <w:rtl w:val="true"/>
          <w:lang w:bidi="fa-IR"/>
        </w:rPr>
        <w:t>ممّن انتحل بالإسلام کالنواصب و الخوارج و الغلاة، و من وجد میّتاً فی بلاد المسلمین یلحق بهم، و کذا لقیط دار الإسلام، و أمّا لقیط دار الکفر إذا وجد فیها مسلم یحتمل کونه منه ففیه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أطفال المسلمین حتّی ولد الزنا منهم بحکمهم فی وجوب الصلاة علیهم إذا بلغوا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تستحبّ </w:t>
      </w:r>
      <w:r>
        <w:rPr>
          <w:rStyle w:val="FootnoteAnchor"/>
          <w:rtl w:val="true"/>
        </w:rPr>
        <w:footnoteReference w:id="228"/>
      </w:r>
      <w:r>
        <w:rPr>
          <w:rFonts w:ascii="IRNazanin" w:hAnsi="IRNazanin" w:eastAsia="IRNazanin"/>
          <w:color w:val="111111"/>
          <w:sz w:val="28"/>
          <w:sz w:val="28"/>
          <w:szCs w:val="28"/>
          <w:rtl w:val="true"/>
          <w:lang w:bidi="fa-IR"/>
        </w:rPr>
        <w:t>علیٰ من لم یبلغ ذلک إذا ولد حیّاً دون من ولد میّتاً و إن ولجته الروح قبل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w:t>
      </w:r>
      <w:r>
        <w:rPr>
          <w:rStyle w:val="FootnoteAnchor"/>
          <w:rtl w:val="true"/>
        </w:rPr>
        <w:footnoteReference w:id="229"/>
      </w:r>
      <w:r>
        <w:rPr>
          <w:rFonts w:ascii="Amiri" w:hAnsi="Amiri" w:eastAsia="Amiri" w:cs="Amiri"/>
          <w:color w:val="111111"/>
          <w:sz w:val="28"/>
          <w:sz w:val="28"/>
          <w:szCs w:val="28"/>
          <w:rtl w:val="true"/>
          <w:lang w:bidi="ar-SA"/>
        </w:rPr>
        <w:t>سابقاً أنّ</w:t>
      </w:r>
      <w:bookmarkStart w:id="876" w:name="pg1809_18850"/>
    </w:p>
    <w:p>
      <w:pPr>
        <w:pStyle w:val="BookText"/>
        <w:rPr/>
      </w:pPr>
      <w:bookmarkEnd w:id="876"/>
      <w:r>
        <w:rPr>
          <w:rFonts w:ascii="IRNazanin" w:hAnsi="IRNazanin" w:eastAsia="IRNazanin"/>
          <w:color w:val="111111"/>
          <w:sz w:val="28"/>
          <w:sz w:val="28"/>
          <w:szCs w:val="28"/>
          <w:rtl w:val="true"/>
          <w:lang w:bidi="fa-IR"/>
        </w:rPr>
        <w:t>بعض البدن إن کان صدراً أو مشتملًا علیٰ تمام الصدر أو کان بعض الصدر المشتمل علی القلب حکمه حکم تمام البدن فی وجوب الصلاة علیه</w:t>
      </w:r>
      <w:r>
        <w:rPr>
          <w:rFonts w:eastAsia="IRNazanin" w:cs="IRNazanin"/>
          <w:color w:val="111111"/>
          <w:sz w:val="28"/>
          <w:szCs w:val="28"/>
          <w:rtl w:val="true"/>
          <w:lang w:bidi="fa-IR"/>
        </w:rPr>
        <w:t>.</w:t>
      </w:r>
    </w:p>
    <w:p>
      <w:pPr>
        <w:pStyle w:val="Heading6"/>
        <w:numPr>
          <w:ilvl w:val="5"/>
          <w:numId w:val="1"/>
        </w:numPr>
        <w:rPr/>
      </w:pPr>
      <w:bookmarkStart w:id="877" w:name="__RefHeading___Toc2565788_3650668749"/>
      <w:bookmarkStart w:id="878" w:name="_Toc403"/>
      <w:bookmarkEnd w:id="877"/>
      <w:r>
        <w:rPr>
          <w:rtl w:val="true"/>
        </w:rPr>
        <w:t>[ (</w:t>
      </w:r>
      <w:r>
        <w:rPr>
          <w:rtl w:val="true"/>
        </w:rPr>
        <w:t xml:space="preserve">مسألة </w:t>
      </w:r>
      <w:r>
        <w:rPr/>
        <w:t>1</w:t>
      </w:r>
      <w:r>
        <w:rPr>
          <w:rtl w:val="true"/>
        </w:rPr>
        <w:t xml:space="preserve">): </w:t>
      </w:r>
      <w:r>
        <w:rPr>
          <w:rtl w:val="true"/>
        </w:rPr>
        <w:t>محلّ الصلاة بعد الغسل و التکفین فلا تجزی قبلهما</w:t>
      </w:r>
      <w:r>
        <w:rPr>
          <w:rtl w:val="true"/>
        </w:rPr>
        <w:t>]</w:t>
      </w:r>
      <w:bookmarkEnd w:id="8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الصلاة بعد الغسل و التکفین فلا تجزی 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تسقط بتعذّرهما کما أنّه لا تسقط بتعذّر الدفن أیضاً، فلو وجد فی الفلاة میّت و لم یمکن غسله و لا تکفینه و لا دفنه یصلّی علیه و یخلّی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تعذّر من الواجبات یسقط و کلّ ما یمکن یثبت</w:t>
      </w:r>
      <w:r>
        <w:rPr>
          <w:rFonts w:eastAsia="IRNazanin" w:cs="IRNazanin"/>
          <w:color w:val="111111"/>
          <w:sz w:val="28"/>
          <w:szCs w:val="28"/>
          <w:rtl w:val="true"/>
          <w:lang w:bidi="fa-IR"/>
        </w:rPr>
        <w:t>.</w:t>
      </w:r>
    </w:p>
    <w:p>
      <w:pPr>
        <w:pStyle w:val="Heading6"/>
        <w:numPr>
          <w:ilvl w:val="5"/>
          <w:numId w:val="1"/>
        </w:numPr>
        <w:rPr/>
      </w:pPr>
      <w:bookmarkStart w:id="879" w:name="__RefHeading___Toc2565790_3650668749"/>
      <w:bookmarkStart w:id="880" w:name="_Toc404"/>
      <w:bookmarkEnd w:id="879"/>
      <w:r>
        <w:rPr>
          <w:rtl w:val="true"/>
        </w:rPr>
        <w:t>[ (</w:t>
      </w:r>
      <w:r>
        <w:rPr>
          <w:rtl w:val="true"/>
        </w:rPr>
        <w:t xml:space="preserve">مسألة </w:t>
      </w:r>
      <w:r>
        <w:rPr/>
        <w:t>2</w:t>
      </w:r>
      <w:r>
        <w:rPr>
          <w:rtl w:val="true"/>
        </w:rPr>
        <w:t xml:space="preserve">): </w:t>
      </w:r>
      <w:r>
        <w:rPr>
          <w:rtl w:val="true"/>
        </w:rPr>
        <w:t>یعتبر فی المصلّی علی المیّت أن یکون مؤمناً</w:t>
      </w:r>
      <w:r>
        <w:rPr>
          <w:rtl w:val="true"/>
        </w:rPr>
        <w:t>]</w:t>
      </w:r>
      <w:bookmarkEnd w:id="8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المصلّی علی المیّت أن یکون مؤمناً فلا یجزی صلاة المخالف فضلًا عن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یعتبر فیه البلوغ علی الأقویٰ فیصحّ صلاة الصبیّ الممیّز بل الظاهر </w:t>
      </w:r>
      <w:r>
        <w:rPr>
          <w:rStyle w:val="FootnoteAnchor"/>
          <w:rtl w:val="true"/>
        </w:rPr>
        <w:footnoteReference w:id="230"/>
      </w:r>
      <w:r>
        <w:rPr>
          <w:rFonts w:ascii="IRNazanin" w:hAnsi="IRNazanin" w:eastAsia="IRNazanin"/>
          <w:color w:val="111111"/>
          <w:sz w:val="28"/>
          <w:sz w:val="28"/>
          <w:szCs w:val="28"/>
          <w:rtl w:val="true"/>
          <w:lang w:bidi="fa-IR"/>
        </w:rPr>
        <w:t>إجزاؤها عن المکلّفین البالغین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یعتبر فیه الذکورة فتصحّ صلاة المرأة و لو علی الرجال، و لا یشترط </w:t>
      </w:r>
      <w:r>
        <w:rPr>
          <w:rStyle w:val="FootnoteAnchor"/>
          <w:rtl w:val="true"/>
        </w:rPr>
        <w:footnoteReference w:id="231"/>
      </w:r>
      <w:r>
        <w:rPr>
          <w:rFonts w:ascii="IRNazanin" w:hAnsi="IRNazanin" w:eastAsia="IRNazanin"/>
          <w:color w:val="111111"/>
          <w:sz w:val="28"/>
          <w:sz w:val="28"/>
          <w:szCs w:val="28"/>
          <w:rtl w:val="true"/>
          <w:lang w:bidi="fa-IR"/>
        </w:rPr>
        <w:t>فی صحّة صلاتها عدم الرجال</w:t>
      </w:r>
      <w:r>
        <w:rPr>
          <w:rFonts w:eastAsia="IRNazanin" w:cs="IRNazanin"/>
          <w:color w:val="111111"/>
          <w:sz w:val="28"/>
          <w:szCs w:val="28"/>
          <w:rtl w:val="true"/>
          <w:lang w:bidi="fa-IR"/>
        </w:rPr>
        <w:t>.</w:t>
      </w:r>
    </w:p>
    <w:p>
      <w:pPr>
        <w:pStyle w:val="Heading6"/>
        <w:numPr>
          <w:ilvl w:val="5"/>
          <w:numId w:val="1"/>
        </w:numPr>
        <w:rPr/>
      </w:pPr>
      <w:bookmarkStart w:id="881" w:name="__RefHeading___Toc2565792_3650668749"/>
      <w:bookmarkStart w:id="882" w:name="_Toc405"/>
      <w:bookmarkEnd w:id="881"/>
      <w:r>
        <w:rPr>
          <w:rtl w:val="true"/>
        </w:rPr>
        <w:t>[ (</w:t>
      </w:r>
      <w:r>
        <w:rPr>
          <w:rtl w:val="true"/>
        </w:rPr>
        <w:t xml:space="preserve">مسألة </w:t>
      </w:r>
      <w:r>
        <w:rPr/>
        <w:t>3</w:t>
      </w:r>
      <w:r>
        <w:rPr>
          <w:rtl w:val="true"/>
        </w:rPr>
        <w:t xml:space="preserve">): </w:t>
      </w:r>
      <w:r>
        <w:rPr>
          <w:rtl w:val="true"/>
        </w:rPr>
        <w:t>الصلاة علی المیّت و إن کان فرضاً علی الکفایة</w:t>
      </w:r>
      <w:r>
        <w:rPr>
          <w:rtl w:val="true"/>
        </w:rPr>
        <w:t>]</w:t>
      </w:r>
      <w:bookmarkEnd w:id="8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المیّت و إن کان فرضاً علی الکفایة إلّا أنّه کسائر أنواع تجهیزه أولی الناس بها أولاهم بمیراثه؛ بمعنی أنّ الولیّ لو أراد المباشرة بنفسه أو عیّن شخصاً لها لا یجوز لغیره مزاحمته، لا أنّ إذنه شرط </w:t>
      </w:r>
      <w:r>
        <w:rPr>
          <w:rStyle w:val="FootnoteAnchor"/>
          <w:rtl w:val="true"/>
        </w:rPr>
        <w:footnoteReference w:id="232"/>
      </w:r>
      <w:r>
        <w:rPr>
          <w:rFonts w:ascii="IRNazanin" w:hAnsi="IRNazanin" w:eastAsia="IRNazanin"/>
          <w:color w:val="111111"/>
          <w:sz w:val="28"/>
          <w:sz w:val="28"/>
          <w:szCs w:val="28"/>
          <w:rtl w:val="true"/>
          <w:lang w:bidi="fa-IR"/>
        </w:rPr>
        <w:t>لصحّة عمل غیره، و قد مرّ ذلک مفصّلًا فی الغسل فلا نعیده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أوصی المیّت بأن یصلّی علیه شخص معیّن فالظاهر </w:t>
      </w:r>
      <w:r>
        <w:rPr>
          <w:rStyle w:val="FootnoteAnchor"/>
          <w:rtl w:val="true"/>
        </w:rPr>
        <w:footnoteReference w:id="233"/>
      </w:r>
      <w:r>
        <w:rPr>
          <w:rFonts w:ascii="IRNazanin" w:hAnsi="IRNazanin" w:eastAsia="IRNazanin"/>
          <w:color w:val="111111"/>
          <w:sz w:val="28"/>
          <w:sz w:val="28"/>
          <w:szCs w:val="28"/>
          <w:rtl w:val="true"/>
          <w:lang w:bidi="fa-IR"/>
        </w:rPr>
        <w:t>وجوب العمل بها علی الولیّ بأن لا یزاحم الوصیّ</w:t>
      </w:r>
      <w:r>
        <w:rPr>
          <w:rFonts w:eastAsia="IRNazanin" w:cs="IRNazanin"/>
          <w:color w:val="111111"/>
          <w:sz w:val="28"/>
          <w:szCs w:val="28"/>
          <w:rtl w:val="true"/>
          <w:lang w:bidi="fa-IR"/>
        </w:rPr>
        <w:t>.</w:t>
      </w:r>
    </w:p>
    <w:p>
      <w:pPr>
        <w:pStyle w:val="Heading6"/>
        <w:numPr>
          <w:ilvl w:val="5"/>
          <w:numId w:val="1"/>
        </w:numPr>
        <w:rPr/>
      </w:pPr>
      <w:bookmarkStart w:id="883" w:name="__RefHeading___Toc2565794_3650668749"/>
      <w:bookmarkStart w:id="884" w:name="_Toc406"/>
      <w:bookmarkEnd w:id="883"/>
      <w:r>
        <w:rPr>
          <w:rtl w:val="true"/>
        </w:rPr>
        <w:t>[ (</w:t>
      </w:r>
      <w:r>
        <w:rPr>
          <w:rtl w:val="true"/>
        </w:rPr>
        <w:t xml:space="preserve">مسألة </w:t>
      </w:r>
      <w:r>
        <w:rPr/>
        <w:t>4</w:t>
      </w:r>
      <w:r>
        <w:rPr>
          <w:rtl w:val="true"/>
        </w:rPr>
        <w:t xml:space="preserve">): </w:t>
      </w:r>
      <w:r>
        <w:rPr>
          <w:rtl w:val="true"/>
        </w:rPr>
        <w:t>تستحبّ فیها الجماعة</w:t>
      </w:r>
      <w:r>
        <w:rPr>
          <w:rtl w:val="true"/>
        </w:rPr>
        <w:t>]</w:t>
      </w:r>
      <w:bookmarkEnd w:id="8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تستحبّ فیها الجماعة، و الأحوط </w:t>
      </w:r>
      <w:r>
        <w:rPr>
          <w:rStyle w:val="FootnoteAnchor"/>
          <w:rtl w:val="true"/>
        </w:rPr>
        <w:footnoteReference w:id="234"/>
      </w:r>
      <w:r>
        <w:rPr>
          <w:rFonts w:ascii="IRNazanin" w:hAnsi="IRNazanin" w:eastAsia="IRNazanin"/>
          <w:color w:val="111111"/>
          <w:sz w:val="28"/>
          <w:sz w:val="28"/>
          <w:szCs w:val="28"/>
          <w:rtl w:val="true"/>
          <w:lang w:bidi="fa-IR"/>
        </w:rPr>
        <w:t>اعتبار اجتماع شرائط الإمامة من العدالة و نحوها هنا أیضاً، بل الأحوط اعتبار اجتماع شرائط الجماعة من عدم الحائل و نحوه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یتحمّل الإمام هنا عن المأمومین شیئاً</w:t>
      </w:r>
      <w:r>
        <w:rPr>
          <w:rFonts w:eastAsia="IRNazanin" w:cs="IRNazanin"/>
          <w:color w:val="111111"/>
          <w:sz w:val="28"/>
          <w:szCs w:val="28"/>
          <w:rtl w:val="true"/>
          <w:lang w:bidi="fa-IR"/>
        </w:rPr>
        <w:t>.</w:t>
      </w:r>
    </w:p>
    <w:p>
      <w:pPr>
        <w:pStyle w:val="Heading6"/>
        <w:numPr>
          <w:ilvl w:val="5"/>
          <w:numId w:val="1"/>
        </w:numPr>
        <w:rPr/>
      </w:pPr>
      <w:bookmarkStart w:id="885" w:name="__RefHeading___Toc2565796_3650668749"/>
      <w:bookmarkStart w:id="886" w:name="_Toc407"/>
      <w:bookmarkEnd w:id="885"/>
      <w:r>
        <w:rPr>
          <w:rtl w:val="true"/>
        </w:rPr>
        <w:t>[ (</w:t>
      </w:r>
      <w:r>
        <w:rPr>
          <w:rtl w:val="true"/>
        </w:rPr>
        <w:t xml:space="preserve">مسألة </w:t>
      </w:r>
      <w:r>
        <w:rPr/>
        <w:t>5</w:t>
      </w:r>
      <w:r>
        <w:rPr>
          <w:rtl w:val="true"/>
        </w:rPr>
        <w:t xml:space="preserve">): </w:t>
      </w:r>
      <w:r>
        <w:rPr>
          <w:rtl w:val="true"/>
        </w:rPr>
        <w:t>یجوز أن یصلّی علیٰ میّت واحد فی زمان واحد أشخاص متعدّدون فرادی</w:t>
      </w:r>
      <w:r>
        <w:rPr>
          <w:rtl w:val="true"/>
        </w:rPr>
        <w:t>]</w:t>
      </w:r>
      <w:bookmarkEnd w:id="88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یصلّی علیٰ میّت واحد فی زمان واحد أشخاص متعدّدون فرادی</w:t>
      </w:r>
      <w:bookmarkStart w:id="887" w:name="pg1809_18851"/>
    </w:p>
    <w:p>
      <w:pPr>
        <w:pStyle w:val="BookText"/>
        <w:rPr/>
      </w:pPr>
      <w:bookmarkEnd w:id="887"/>
      <w:r>
        <w:rPr>
          <w:rFonts w:ascii="IRNazanin" w:hAnsi="IRNazanin" w:eastAsia="IRNazanin"/>
          <w:color w:val="111111"/>
          <w:sz w:val="28"/>
          <w:sz w:val="28"/>
          <w:szCs w:val="28"/>
          <w:rtl w:val="true"/>
          <w:lang w:bidi="fa-IR"/>
        </w:rPr>
        <w:t>بل و بالجماعات المتعدّدة، و یجوز لکلّ واحد منهم قصد الوجوب ما لم یفرغ منها أحد، فإذا فرغ نوی الباقون الاستحباب أو القربة، و کذلک الحال فی المصلّین المتعدّدین فی جماعة واحدة</w:t>
      </w:r>
      <w:r>
        <w:rPr>
          <w:rFonts w:eastAsia="IRNazanin" w:cs="IRNazanin"/>
          <w:color w:val="111111"/>
          <w:sz w:val="28"/>
          <w:szCs w:val="28"/>
          <w:rtl w:val="true"/>
          <w:lang w:bidi="fa-IR"/>
        </w:rPr>
        <w:t>.</w:t>
      </w:r>
    </w:p>
    <w:p>
      <w:pPr>
        <w:pStyle w:val="Heading6"/>
        <w:numPr>
          <w:ilvl w:val="5"/>
          <w:numId w:val="1"/>
        </w:numPr>
        <w:rPr/>
      </w:pPr>
      <w:bookmarkStart w:id="888" w:name="__RefHeading___Toc2565798_3650668749"/>
      <w:bookmarkStart w:id="889" w:name="_Toc408"/>
      <w:bookmarkEnd w:id="888"/>
      <w:r>
        <w:rPr>
          <w:rtl w:val="true"/>
        </w:rPr>
        <w:t>[ (</w:t>
      </w:r>
      <w:r>
        <w:rPr>
          <w:rtl w:val="true"/>
        </w:rPr>
        <w:t xml:space="preserve">مسألة </w:t>
      </w:r>
      <w:r>
        <w:rPr/>
        <w:t>6</w:t>
      </w:r>
      <w:r>
        <w:rPr>
          <w:rtl w:val="true"/>
        </w:rPr>
        <w:t xml:space="preserve">): </w:t>
      </w:r>
      <w:r>
        <w:rPr>
          <w:rtl w:val="true"/>
        </w:rPr>
        <w:t>یجوز للمأموم نیّة الانفراد فی الأثناء</w:t>
      </w:r>
      <w:r>
        <w:rPr>
          <w:rtl w:val="true"/>
        </w:rPr>
        <w:t>]</w:t>
      </w:r>
      <w:bookmarkEnd w:id="8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للمأموم نیّة الانفراد فی الأثناء، لکن بشرط أن لا یکون بعیداً عن الجنازة بما یضرّ و لا خارجاً عن المحاذاة المعتبرة فی المنفرد</w:t>
      </w:r>
      <w:r>
        <w:rPr>
          <w:rFonts w:eastAsia="IRNazanin" w:cs="IRNazanin"/>
          <w:color w:val="111111"/>
          <w:sz w:val="28"/>
          <w:szCs w:val="28"/>
          <w:rtl w:val="true"/>
          <w:lang w:bidi="fa-IR"/>
        </w:rPr>
        <w:t>.</w:t>
      </w:r>
    </w:p>
    <w:p>
      <w:pPr>
        <w:pStyle w:val="Heading6"/>
        <w:numPr>
          <w:ilvl w:val="5"/>
          <w:numId w:val="1"/>
        </w:numPr>
        <w:rPr/>
      </w:pPr>
      <w:bookmarkStart w:id="890" w:name="__RefHeading___Toc2565800_3650668749"/>
      <w:bookmarkStart w:id="891" w:name="_Toc409"/>
      <w:bookmarkEnd w:id="890"/>
      <w:r>
        <w:rPr>
          <w:rtl w:val="true"/>
        </w:rPr>
        <w:t>[</w:t>
      </w:r>
      <w:r>
        <w:rPr>
          <w:rtl w:val="true"/>
        </w:rPr>
        <w:t>القول فی کیفیّة صلاة المیّت</w:t>
      </w:r>
      <w:r>
        <w:rPr>
          <w:rtl w:val="true"/>
        </w:rPr>
        <w:t>]</w:t>
      </w:r>
      <w:bookmarkEnd w:id="891"/>
    </w:p>
    <w:p>
      <w:pPr>
        <w:pStyle w:val="Heading6"/>
        <w:numPr>
          <w:ilvl w:val="5"/>
          <w:numId w:val="1"/>
        </w:numPr>
        <w:rPr/>
      </w:pPr>
      <w:bookmarkStart w:id="892" w:name="__RefHeading___Toc2565802_3650668749"/>
      <w:bookmarkStart w:id="893" w:name="_Toc410"/>
      <w:bookmarkEnd w:id="892"/>
      <w:r>
        <w:rPr>
          <w:rtl w:val="true"/>
        </w:rPr>
        <w:t>اشارة</w:t>
      </w:r>
      <w:bookmarkEnd w:id="893"/>
    </w:p>
    <w:p>
      <w:pPr>
        <w:pStyle w:val="BookText"/>
        <w:rPr/>
      </w:pPr>
      <w:r>
        <w:rPr>
          <w:rFonts w:ascii="IRNazanin" w:hAnsi="IRNazanin" w:eastAsia="IRNazanin"/>
          <w:color w:val="111111"/>
          <w:sz w:val="28"/>
          <w:sz w:val="28"/>
          <w:szCs w:val="28"/>
          <w:rtl w:val="true"/>
          <w:lang w:bidi="fa-IR"/>
        </w:rPr>
        <w:t>القول فی کیفیّة صلاة المیّت و هی خمس تکبیرات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بالشهادتین بعد الاولیٰ و الصلاة علی النبیّ و آله بعد الثانیة و الدعاء للمؤمنین و المؤمنات بعد الثالثة و الدعاء للمیّت بعد الرابعة ثمّ یکبّر الخامسة و ینصرف، و لا یجوز أقلّ من خمس تکبیرات إلّا للتقیّة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فیها أذان و لا إقامة و لا قراءة و لا رکوع و لا سجود و لا تشهّد و لا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الأدعیة الأربعة مسمّاها، فیجزی أن یقول بعد التکبیرة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للمؤمنین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لهذا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ینصرف</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الأولی أن یقول بعد التکبیرة 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شریک له إلٰهاً واحداً أحداً صمداً فرداً حیّاً قیّوماً دائماً أبداً لم یتّخذ صاحبة و لا ولداً، و أشهد أنّ محمّداً عبده و رسوله أرسله بالهُدی و دینِ الحقّ لیُظهرَه علی الدین کلّه و 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و بارک علیٰ محمّد و آلِ محمّد و ارحم محمّداً و آلَ محمّد أفضلَ ما صلّیتَ و بارکتَ و ترحّمتَ علیٰ إبراهیمَ و آلِ إبراهیمَ إنّک حمیدٌ مجیدٌ، و صلِّ علیٰ جمیع الأنبیاء و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للمؤمنینَ و المؤمناتِ و المسلمینَ و المسلماتِ الأحیاءِ منهم و الأمواتِ، تابِعِ اللهمّ بیننا و بینهم بالخیرات، إنّک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هذا المسجی قُدّامنا عبدُکَ و ابنُ عبدِک و ابنُ أمتِک، نَزَل بک و أنت خَیرُ مَنزُولٍ به، اللهمّ إنّک قبضت روحَه إلیک و قد احتاج إلیٰ رحمتک و أنت غَنِیّ عن عذابه، اللهمّ إنّا لا نعلم منه إلّا خیراً و أنت أعلم به منّا، اللهمّ إن کان محسناً فَزِدْ فی إحسانه، و إن کان مسیئاً فتجاوَزْ عن سیّئاته، و اغْفِرْ لنا و له، اللهمّ احشُرْه مع من یتولّاه</w:t>
      </w:r>
      <w:bookmarkStart w:id="894" w:name="pg1809_18852"/>
    </w:p>
    <w:p>
      <w:pPr>
        <w:pStyle w:val="BookText"/>
        <w:rPr/>
      </w:pPr>
      <w:bookmarkEnd w:id="894"/>
      <w:r>
        <w:rPr>
          <w:rFonts w:ascii="Amiri" w:hAnsi="Amiri" w:eastAsia="Amiri" w:cs="Amiri"/>
          <w:color w:val="111111"/>
          <w:sz w:val="28"/>
          <w:sz w:val="28"/>
          <w:szCs w:val="28"/>
          <w:rtl w:val="true"/>
          <w:lang w:bidi="ar-SA"/>
        </w:rPr>
        <w:t>و یُحِبُّه و أبْعِده ممّن یتبرّأ منه و یُبغِضه، اللهمّ ألْحِقه بنبیّک و عرِّف بینه و بینه، و ارحَمْنا إذا توفَّیتَنا، یا إلٰه العالمینَ، اللهمّ اکتُبه عندک فی أعلیٰ علِّیّین و اخلُف علیٰ عَقِبِه فی الغابرین، و اجعله من رُفَقاء محمّد و آله الطاهرین، و ارْحَمه و إیّانا برحمتک یا أرحم الراحمین، اللهمّ عَفوَک عَفوَک عَفوَک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کان المیّت امرأة یقول بدل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المسجی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المسجّاة قدّامنا أمتک و ابنة عبدک و ابنة أمتک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أتی بالضمائر مؤنّثة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المیّت طفلًا دعا فی الرابعة لأبویه؛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لأبویه و لنا سلفاً و فرطاً و أجراً</w:t>
      </w:r>
      <w:r>
        <w:rPr>
          <w:rFonts w:eastAsia="IRNazanin" w:cs="IRNazanin"/>
          <w:color w:val="111111"/>
          <w:sz w:val="28"/>
          <w:szCs w:val="28"/>
          <w:rtl w:val="true"/>
          <w:lang w:bidi="fa-IR"/>
        </w:rPr>
        <w:t>».</w:t>
      </w:r>
    </w:p>
    <w:p>
      <w:pPr>
        <w:pStyle w:val="Heading6"/>
        <w:numPr>
          <w:ilvl w:val="5"/>
          <w:numId w:val="1"/>
        </w:numPr>
        <w:rPr/>
      </w:pPr>
      <w:bookmarkStart w:id="895" w:name="__RefHeading___Toc2565804_3650668749"/>
      <w:bookmarkStart w:id="896" w:name="_Toc411"/>
      <w:bookmarkEnd w:id="895"/>
      <w:r>
        <w:rPr>
          <w:rtl w:val="true"/>
        </w:rPr>
        <w:t>[ (</w:t>
      </w:r>
      <w:r>
        <w:rPr>
          <w:rtl w:val="true"/>
        </w:rPr>
        <w:t xml:space="preserve">مسألة </w:t>
      </w:r>
      <w:r>
        <w:rPr/>
        <w:t>1</w:t>
      </w:r>
      <w:r>
        <w:rPr>
          <w:rtl w:val="true"/>
        </w:rPr>
        <w:t xml:space="preserve">): </w:t>
      </w:r>
      <w:r>
        <w:rPr>
          <w:rtl w:val="true"/>
        </w:rPr>
        <w:t>فی کلّ من الرجل و المرأة یجوز تذکیر الضمائر باعتبار أنّه میّت أو شخص</w:t>
      </w:r>
      <w:r>
        <w:rPr>
          <w:rtl w:val="true"/>
        </w:rPr>
        <w:t>]</w:t>
      </w:r>
      <w:bookmarkEnd w:id="8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 الرجل و المرأة یجوز تذکیر الضمائر باعتبار أنّه میّت أو شخص، و تأنیثها باعتبار أنّه جنازة، فیسهل الأمر فیما إذا لم یعلم أنّ المیّت رجل أو امرأة، و لا یحتاج إلیٰ تکرار الدعاء أو الضمائر</w:t>
      </w:r>
      <w:r>
        <w:rPr>
          <w:rFonts w:eastAsia="IRNazanin" w:cs="IRNazanin"/>
          <w:color w:val="111111"/>
          <w:sz w:val="28"/>
          <w:szCs w:val="28"/>
          <w:rtl w:val="true"/>
          <w:lang w:bidi="fa-IR"/>
        </w:rPr>
        <w:t>.</w:t>
      </w:r>
    </w:p>
    <w:p>
      <w:pPr>
        <w:pStyle w:val="Heading6"/>
        <w:numPr>
          <w:ilvl w:val="5"/>
          <w:numId w:val="1"/>
        </w:numPr>
        <w:rPr/>
      </w:pPr>
      <w:bookmarkStart w:id="897" w:name="__RefHeading___Toc2565806_3650668749"/>
      <w:bookmarkStart w:id="898" w:name="_Toc412"/>
      <w:bookmarkEnd w:id="897"/>
      <w:r>
        <w:rPr>
          <w:rtl w:val="true"/>
        </w:rPr>
        <w:t>[ (</w:t>
      </w:r>
      <w:r>
        <w:rPr>
          <w:rtl w:val="true"/>
        </w:rPr>
        <w:t xml:space="preserve">مسألة </w:t>
      </w:r>
      <w:r>
        <w:rPr/>
        <w:t>2</w:t>
      </w:r>
      <w:r>
        <w:rPr>
          <w:rtl w:val="true"/>
        </w:rPr>
        <w:t xml:space="preserve">): </w:t>
      </w:r>
      <w:r>
        <w:rPr>
          <w:rtl w:val="true"/>
        </w:rPr>
        <w:t>إذا شکّ فی التکبیرات</w:t>
      </w:r>
      <w:r>
        <w:rPr>
          <w:rtl w:val="true"/>
        </w:rPr>
        <w:t>]</w:t>
      </w:r>
      <w:bookmarkEnd w:id="8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التکبیرات بین الأقلّ و الأکثر بنیٰ علی الأقلّ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9" w:name="__RefHeading___Toc2565808_3650668749"/>
      <w:bookmarkStart w:id="900" w:name="_Toc413"/>
      <w:bookmarkEnd w:id="899"/>
      <w:r>
        <w:rPr>
          <w:rtl w:val="true"/>
        </w:rPr>
        <w:t>[</w:t>
      </w:r>
      <w:r>
        <w:rPr>
          <w:rtl w:val="true"/>
        </w:rPr>
        <w:t>القول فی شرائط صلاة المیّت</w:t>
      </w:r>
      <w:r>
        <w:rPr>
          <w:rtl w:val="true"/>
        </w:rPr>
        <w:t>]</w:t>
      </w:r>
      <w:bookmarkEnd w:id="900"/>
    </w:p>
    <w:p>
      <w:pPr>
        <w:pStyle w:val="Heading6"/>
        <w:numPr>
          <w:ilvl w:val="5"/>
          <w:numId w:val="1"/>
        </w:numPr>
        <w:rPr/>
      </w:pPr>
      <w:bookmarkStart w:id="901" w:name="__RefHeading___Toc2565810_3650668749"/>
      <w:bookmarkStart w:id="902" w:name="_Toc414"/>
      <w:bookmarkEnd w:id="901"/>
      <w:r>
        <w:rPr>
          <w:rtl w:val="true"/>
        </w:rPr>
        <w:t>اشارة</w:t>
      </w:r>
      <w:bookmarkEnd w:id="90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فی شرائط صلاة المیّت تجب فیها نیّة القربة، و تعیین المیّت علیٰ وجه یرفع الإبهام؛ و لو بأن یقصد المیّت الحاضر أو من عیّنه الإمام إن صلّیٰ جماعة، و استقبال القبلة و القیام، و أن یوضع المیّت أمامه مستلقیاً علیٰ قفاه محاذیاً له إذا کان إماماً أو منفرداً بخلاف ما إذا کان مأموماً فی صفّ اتّصل بمن یحاذیه، و أن یکون رأسه إلیٰ یمین المصلّی و رجله إلیٰ یساره، و أن لا یکون بینه و بین المصلّی حائل کستر أو جدار ممّا لا یصدق معه اسم الصلاة علیه بخلاف المیّت فی النعش و نحوه ممّا هو بین یدی المصلّی، و أن لا یکون بینهما بُعد مفرط علیٰ وجه لا یصدق الوقوف علیه إلّا فی المأموم مع اتّصال الصفوف، و أن لا یکون أحدهما أعلیٰ من الآخر علوّاً مفرطاً، و أن تکون الصلاة بعد التغسیل و التکفین و الحنوط إلّا فیمن سقط عنه ذلک کالشهید أو تعذّر علیه فیصلّیٰ علیه بدون ذلک، و أن یکون مستور العورة، و من</w:t>
      </w:r>
      <w:bookmarkStart w:id="903" w:name="pg1809_18853"/>
    </w:p>
    <w:p>
      <w:pPr>
        <w:pStyle w:val="BookText"/>
        <w:rPr/>
      </w:pPr>
      <w:bookmarkEnd w:id="903"/>
      <w:r>
        <w:rPr>
          <w:rFonts w:ascii="IRNazanin" w:hAnsi="IRNazanin" w:eastAsia="IRNazanin"/>
          <w:color w:val="111111"/>
          <w:sz w:val="28"/>
          <w:sz w:val="28"/>
          <w:szCs w:val="28"/>
          <w:rtl w:val="true"/>
          <w:lang w:bidi="fa-IR"/>
        </w:rPr>
        <w:t xml:space="preserve">لم یکن له کفن أصلًا فإن أمکن ستر عورته بشی‌ء قبل وضعه فی القبر سترها و صلّی علیه و إلّا فلیحفر قبره و یوضع فی لحده </w:t>
      </w:r>
      <w:r>
        <w:rPr>
          <w:rStyle w:val="FootnoteAnchor"/>
          <w:rtl w:val="true"/>
        </w:rPr>
        <w:footnoteReference w:id="236"/>
      </w:r>
      <w:r>
        <w:rPr>
          <w:rFonts w:ascii="IRNazanin" w:hAnsi="IRNazanin" w:eastAsia="IRNazanin"/>
          <w:color w:val="111111"/>
          <w:sz w:val="28"/>
          <w:sz w:val="28"/>
          <w:szCs w:val="28"/>
          <w:rtl w:val="true"/>
          <w:lang w:bidi="fa-IR"/>
        </w:rPr>
        <w:t>و یُواری عورته بلبن أو أحجار أو تراب ثمّ یصلّی علیه ثمّ یواری فی قبره</w:t>
      </w:r>
      <w:r>
        <w:rPr>
          <w:rFonts w:eastAsia="IRNazanin" w:cs="IRNazanin"/>
          <w:color w:val="111111"/>
          <w:sz w:val="28"/>
          <w:szCs w:val="28"/>
          <w:rtl w:val="true"/>
          <w:lang w:bidi="fa-IR"/>
        </w:rPr>
        <w:t>.</w:t>
      </w:r>
    </w:p>
    <w:p>
      <w:pPr>
        <w:pStyle w:val="Heading6"/>
        <w:numPr>
          <w:ilvl w:val="5"/>
          <w:numId w:val="1"/>
        </w:numPr>
        <w:rPr/>
      </w:pPr>
      <w:bookmarkStart w:id="904" w:name="__RefHeading___Toc2565812_3650668749"/>
      <w:bookmarkStart w:id="905" w:name="_Toc415"/>
      <w:bookmarkEnd w:id="904"/>
      <w:r>
        <w:rPr>
          <w:rtl w:val="true"/>
        </w:rPr>
        <w:t>[ (</w:t>
      </w:r>
      <w:r>
        <w:rPr>
          <w:rtl w:val="true"/>
        </w:rPr>
        <w:t xml:space="preserve">مسألة </w:t>
      </w:r>
      <w:r>
        <w:rPr/>
        <w:t>1</w:t>
      </w:r>
      <w:r>
        <w:rPr>
          <w:rtl w:val="true"/>
        </w:rPr>
        <w:t xml:space="preserve">): </w:t>
      </w:r>
      <w:r>
        <w:rPr>
          <w:rtl w:val="true"/>
        </w:rPr>
        <w:t>لا یعتبر فیها الطهارة من الحدث و الخبث و لا سائر شروط الصلاة</w:t>
      </w:r>
      <w:r>
        <w:rPr>
          <w:rtl w:val="true"/>
        </w:rPr>
        <w:t>]</w:t>
      </w:r>
      <w:bookmarkEnd w:id="9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فیها الطهارة من الحدث و الخبث و لا سائر شروط الصلاة ذات الرکوع و السجود و لا ترک موانعها، و إن کان الأحوط </w:t>
      </w:r>
      <w:r>
        <w:rPr>
          <w:rStyle w:val="FootnoteAnchor"/>
          <w:rtl w:val="true"/>
        </w:rPr>
        <w:footnoteReference w:id="237"/>
      </w:r>
      <w:r>
        <w:rPr>
          <w:rFonts w:ascii="IRNazanin" w:hAnsi="IRNazanin" w:eastAsia="IRNazanin"/>
          <w:color w:val="111111"/>
          <w:sz w:val="28"/>
          <w:sz w:val="28"/>
          <w:szCs w:val="28"/>
          <w:rtl w:val="true"/>
          <w:lang w:bidi="fa-IR"/>
        </w:rPr>
        <w:t>مراعاة جمیع ما یعتبر فیها</w:t>
      </w:r>
      <w:r>
        <w:rPr>
          <w:rFonts w:eastAsia="IRNazanin" w:cs="IRNazanin"/>
          <w:color w:val="111111"/>
          <w:sz w:val="28"/>
          <w:szCs w:val="28"/>
          <w:rtl w:val="true"/>
          <w:lang w:bidi="fa-IR"/>
        </w:rPr>
        <w:t>.</w:t>
      </w:r>
    </w:p>
    <w:p>
      <w:pPr>
        <w:pStyle w:val="Heading6"/>
        <w:numPr>
          <w:ilvl w:val="5"/>
          <w:numId w:val="1"/>
        </w:numPr>
        <w:rPr/>
      </w:pPr>
      <w:bookmarkStart w:id="906" w:name="__RefHeading___Toc2565814_3650668749"/>
      <w:bookmarkStart w:id="907" w:name="_Toc416"/>
      <w:bookmarkEnd w:id="906"/>
      <w:r>
        <w:rPr>
          <w:rtl w:val="true"/>
        </w:rPr>
        <w:t>[ (</w:t>
      </w:r>
      <w:r>
        <w:rPr>
          <w:rtl w:val="true"/>
        </w:rPr>
        <w:t xml:space="preserve">مسألة </w:t>
      </w:r>
      <w:r>
        <w:rPr/>
        <w:t>2</w:t>
      </w:r>
      <w:r>
        <w:rPr>
          <w:rtl w:val="true"/>
        </w:rPr>
        <w:t xml:space="preserve">): </w:t>
      </w:r>
      <w:r>
        <w:rPr>
          <w:rtl w:val="true"/>
        </w:rPr>
        <w:t>إذا لم یمکن الاستقبال أصلًا سقط</w:t>
      </w:r>
      <w:r>
        <w:rPr>
          <w:rtl w:val="true"/>
        </w:rPr>
        <w:t>]</w:t>
      </w:r>
      <w:bookmarkEnd w:id="9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الاستقبال أصلًا سقط، و إن اشتبهت القبلة و لم یتمکّن من تحصیل العلم بها و فقدت الأمارات التی یرجع إلیها عند عدم إمکان العلم یعمل بالظنّ مع إمکانه، و إلّا فلیصلّ إلیٰ أربع جهات</w:t>
      </w:r>
      <w:r>
        <w:rPr>
          <w:rFonts w:eastAsia="IRNazanin" w:cs="IRNazanin"/>
          <w:color w:val="111111"/>
          <w:sz w:val="28"/>
          <w:szCs w:val="28"/>
          <w:rtl w:val="true"/>
          <w:lang w:bidi="fa-IR"/>
        </w:rPr>
        <w:t>.</w:t>
      </w:r>
    </w:p>
    <w:p>
      <w:pPr>
        <w:pStyle w:val="Heading6"/>
        <w:numPr>
          <w:ilvl w:val="5"/>
          <w:numId w:val="1"/>
        </w:numPr>
        <w:rPr/>
      </w:pPr>
      <w:bookmarkStart w:id="908" w:name="__RefHeading___Toc2565816_3650668749"/>
      <w:bookmarkStart w:id="909" w:name="_Toc417"/>
      <w:bookmarkEnd w:id="908"/>
      <w:r>
        <w:rPr>
          <w:rtl w:val="true"/>
        </w:rPr>
        <w:t>[ (</w:t>
      </w:r>
      <w:r>
        <w:rPr>
          <w:rtl w:val="true"/>
        </w:rPr>
        <w:t xml:space="preserve">مسألة </w:t>
      </w:r>
      <w:r>
        <w:rPr/>
        <w:t>3</w:t>
      </w:r>
      <w:r>
        <w:rPr>
          <w:rtl w:val="true"/>
        </w:rPr>
        <w:t xml:space="preserve">): </w:t>
      </w:r>
      <w:r>
        <w:rPr>
          <w:rtl w:val="true"/>
        </w:rPr>
        <w:t>إذا لم یقدر علی القیام و لم یوجد من یقدر علی الصلاة قائماً</w:t>
      </w:r>
      <w:r>
        <w:rPr>
          <w:rtl w:val="true"/>
        </w:rPr>
        <w:t>]</w:t>
      </w:r>
      <w:bookmarkEnd w:id="9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یقدر علی القیام و لم یوجد من یقدر علی الصلاة قائماً تعیّن علیه الصلاة جالساً، و مع وجوده یجب عیناً علی المتمکّن، و لا یجزی عنه صلاة العاجز علی الأظهر، لکن إذا عصیٰ و لم یقم بوظیفته یجب علی العاجز القیام بوظیفته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فقد المتمکّن و صلّی العاجز جالساً ثمّ وجد قبل أن یدفن فالأحوط </w:t>
      </w:r>
      <w:r>
        <w:rPr>
          <w:rStyle w:val="FootnoteAnchor"/>
          <w:rtl w:val="true"/>
        </w:rPr>
        <w:footnoteReference w:id="238"/>
      </w:r>
      <w:r>
        <w:rPr>
          <w:rFonts w:ascii="IRNazanin" w:hAnsi="IRNazanin" w:eastAsia="IRNazanin"/>
          <w:color w:val="111111"/>
          <w:sz w:val="28"/>
          <w:sz w:val="28"/>
          <w:szCs w:val="28"/>
          <w:rtl w:val="true"/>
          <w:lang w:bidi="fa-IR"/>
        </w:rPr>
        <w:t>إعادة المتمکّن، و أولی بذلک ما إذا صلّیٰ معتقداً عدم وجوده فتبیّن خلافه و ظهر کونه موجوداً من الأوّل</w:t>
      </w:r>
      <w:r>
        <w:rPr>
          <w:rFonts w:eastAsia="IRNazanin" w:cs="IRNazanin"/>
          <w:color w:val="111111"/>
          <w:sz w:val="28"/>
          <w:szCs w:val="28"/>
          <w:rtl w:val="true"/>
          <w:lang w:bidi="fa-IR"/>
        </w:rPr>
        <w:t>.</w:t>
      </w:r>
    </w:p>
    <w:p>
      <w:pPr>
        <w:pStyle w:val="Heading6"/>
        <w:numPr>
          <w:ilvl w:val="5"/>
          <w:numId w:val="1"/>
        </w:numPr>
        <w:rPr/>
      </w:pPr>
      <w:bookmarkStart w:id="910" w:name="__RefHeading___Toc2565818_3650668749"/>
      <w:bookmarkStart w:id="911" w:name="_Toc418"/>
      <w:bookmarkEnd w:id="910"/>
      <w:r>
        <w:rPr>
          <w:rtl w:val="true"/>
        </w:rPr>
        <w:t>[ (</w:t>
      </w:r>
      <w:r>
        <w:rPr>
          <w:rtl w:val="true"/>
        </w:rPr>
        <w:t xml:space="preserve">مسألة </w:t>
      </w:r>
      <w:r>
        <w:rPr/>
        <w:t>4</w:t>
      </w:r>
      <w:r>
        <w:rPr>
          <w:rtl w:val="true"/>
        </w:rPr>
        <w:t xml:space="preserve">): </w:t>
      </w:r>
      <w:r>
        <w:rPr>
          <w:rtl w:val="true"/>
        </w:rPr>
        <w:t>من أدرک الإمام فی أثناء الصلاة جاز له الدخول معه</w:t>
      </w:r>
      <w:r>
        <w:rPr>
          <w:rtl w:val="true"/>
        </w:rPr>
        <w:t>]</w:t>
      </w:r>
      <w:bookmarkEnd w:id="9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أدرک الإمام فی أثناء الصلاة جاز له الدخول معه و تابعه فی التکبیر و جعل أوّل صلاته أوّل تکبیراته فیأتی بوظیفته من الشهادتین، فإذا کبّر الإمام الثالثة مثلًا کبّر معه و کانت له الثانیة فیأتی بالصلاة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فرغ الإمام أتمّ ما علیه من التکبیر مع الأدعیة إن تمکّن منها و لو مخفّفاً، و إن لم یمهلوه اقتصر علی التکبیر ولاءً من غیر دعاء فی موقفه</w:t>
      </w:r>
      <w:r>
        <w:rPr>
          <w:rFonts w:eastAsia="IRNazanin" w:cs="IRNazanin"/>
          <w:color w:val="111111"/>
          <w:sz w:val="28"/>
          <w:szCs w:val="28"/>
          <w:rtl w:val="true"/>
          <w:lang w:bidi="fa-IR"/>
        </w:rPr>
        <w:t>.</w:t>
      </w:r>
    </w:p>
    <w:p>
      <w:pPr>
        <w:pStyle w:val="Heading6"/>
        <w:numPr>
          <w:ilvl w:val="5"/>
          <w:numId w:val="1"/>
        </w:numPr>
        <w:rPr/>
      </w:pPr>
      <w:bookmarkStart w:id="912" w:name="__RefHeading___Toc2565820_3650668749"/>
      <w:bookmarkStart w:id="913" w:name="_Toc419"/>
      <w:bookmarkEnd w:id="912"/>
      <w:r>
        <w:rPr>
          <w:rtl w:val="true"/>
        </w:rPr>
        <w:t>[ (</w:t>
      </w:r>
      <w:r>
        <w:rPr>
          <w:rtl w:val="true"/>
        </w:rPr>
        <w:t xml:space="preserve">مسألة </w:t>
      </w:r>
      <w:r>
        <w:rPr/>
        <w:t>5</w:t>
      </w:r>
      <w:r>
        <w:rPr>
          <w:rtl w:val="true"/>
        </w:rPr>
        <w:t xml:space="preserve">): </w:t>
      </w:r>
      <w:r>
        <w:rPr>
          <w:rtl w:val="true"/>
        </w:rPr>
        <w:t>لا یسقط صلاة المیّت عن المکلّفین ما لم یأت بها بعضهم علیٰ وجه صحیح</w:t>
      </w:r>
      <w:r>
        <w:rPr>
          <w:rtl w:val="true"/>
        </w:rPr>
        <w:t>]</w:t>
      </w:r>
      <w:bookmarkEnd w:id="91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صلاة المیّت عن المکلّفین ما لم یأت بها بعضهم علیٰ وجه صحیح، فإذا شکّ فی أصل الإتیان بنیٰ علی العدم، و إن علم به و شکّ فی صحّة ما أتی به حمل علی الصحّة، و إن علم بفساده وجب علیه الإعادة و إن کان المصلّی قاطعاً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w:t>
      </w:r>
      <w:bookmarkStart w:id="914" w:name="pg1809_18854"/>
    </w:p>
    <w:p>
      <w:pPr>
        <w:pStyle w:val="BookText"/>
        <w:rPr/>
      </w:pPr>
      <w:bookmarkEnd w:id="914"/>
      <w:r>
        <w:rPr>
          <w:rFonts w:ascii="IRNazanin" w:hAnsi="IRNazanin" w:eastAsia="IRNazanin"/>
          <w:color w:val="111111"/>
          <w:sz w:val="28"/>
          <w:sz w:val="28"/>
          <w:szCs w:val="28"/>
          <w:rtl w:val="true"/>
          <w:lang w:bidi="fa-IR"/>
        </w:rPr>
        <w:t>تخالف المصلّی مع غیره بحسب التقلید أو الاجتهاد؛ بأن کانت الصلاة صحیحة بحسب تقلید المصلّی أو اجتهاده، فاسدة عند غیره بحسبهما، ففی الاجتزاء بها وجه، لکنّه لا یخلو عن إشکال فلا یترک الاحتیاط</w:t>
      </w:r>
      <w:r>
        <w:rPr>
          <w:rFonts w:eastAsia="IRNazanin" w:cs="IRNazanin"/>
          <w:color w:val="111111"/>
          <w:sz w:val="28"/>
          <w:szCs w:val="28"/>
          <w:rtl w:val="true"/>
          <w:lang w:bidi="fa-IR"/>
        </w:rPr>
        <w:t>.</w:t>
      </w:r>
    </w:p>
    <w:p>
      <w:pPr>
        <w:pStyle w:val="Heading6"/>
        <w:numPr>
          <w:ilvl w:val="5"/>
          <w:numId w:val="1"/>
        </w:numPr>
        <w:rPr/>
      </w:pPr>
      <w:bookmarkStart w:id="915" w:name="__RefHeading___Toc2565822_3650668749"/>
      <w:bookmarkStart w:id="916" w:name="_Toc420"/>
      <w:bookmarkEnd w:id="915"/>
      <w:r>
        <w:rPr>
          <w:rtl w:val="true"/>
        </w:rPr>
        <w:t>[ (</w:t>
      </w:r>
      <w:r>
        <w:rPr>
          <w:rtl w:val="true"/>
        </w:rPr>
        <w:t xml:space="preserve">مسألة </w:t>
      </w:r>
      <w:r>
        <w:rPr/>
        <w:t>6</w:t>
      </w:r>
      <w:r>
        <w:rPr>
          <w:rtl w:val="true"/>
        </w:rPr>
        <w:t xml:space="preserve">): </w:t>
      </w:r>
      <w:r>
        <w:rPr>
          <w:rtl w:val="true"/>
        </w:rPr>
        <w:t>یجب أن یکون الصلاة قبل الدفن لا بعده</w:t>
      </w:r>
      <w:r>
        <w:rPr>
          <w:rtl w:val="true"/>
        </w:rPr>
        <w:t>]</w:t>
      </w:r>
      <w:bookmarkEnd w:id="9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الصلاة قبل الدفن لا بعده، نعم لو دفن قبل الصلاة نسیاناً أو لعذر آخر أو تبیّن فسادها لا یجوز نبشه لأجل الصلاة، بل یصلّی علیٰ قبره مراعیاً للشرائط من الاستقبال و غیره ما لم یمض مدّة تلاشیٰ فیها بحیث خرج عن صدق اسم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لم یدرک الصلاة علیٰ من صلّیٰ علیه قبل الدفن یجوز له أن یصلّی علیه بعده إلیٰ یوم و لیلة، و إذا مضی أزید من ذلک فالأحوط الترک</w:t>
      </w:r>
      <w:r>
        <w:rPr>
          <w:rFonts w:eastAsia="IRNazanin" w:cs="IRNazanin"/>
          <w:color w:val="111111"/>
          <w:sz w:val="28"/>
          <w:szCs w:val="28"/>
          <w:rtl w:val="true"/>
          <w:lang w:bidi="fa-IR"/>
        </w:rPr>
        <w:t>.</w:t>
      </w:r>
    </w:p>
    <w:p>
      <w:pPr>
        <w:pStyle w:val="Heading6"/>
        <w:numPr>
          <w:ilvl w:val="5"/>
          <w:numId w:val="1"/>
        </w:numPr>
        <w:rPr/>
      </w:pPr>
      <w:bookmarkStart w:id="917" w:name="__RefHeading___Toc2565824_3650668749"/>
      <w:bookmarkStart w:id="918" w:name="_Toc421"/>
      <w:bookmarkEnd w:id="917"/>
      <w:r>
        <w:rPr>
          <w:rtl w:val="true"/>
        </w:rPr>
        <w:t>[ (</w:t>
      </w:r>
      <w:r>
        <w:rPr>
          <w:rtl w:val="true"/>
        </w:rPr>
        <w:t xml:space="preserve">مسألة </w:t>
      </w:r>
      <w:r>
        <w:rPr/>
        <w:t>7</w:t>
      </w:r>
      <w:r>
        <w:rPr>
          <w:rtl w:val="true"/>
        </w:rPr>
        <w:t xml:space="preserve">): </w:t>
      </w:r>
      <w:r>
        <w:rPr>
          <w:rtl w:val="true"/>
        </w:rPr>
        <w:t>یجوز تکرار الصلاة علی المیّت علیٰ کراهیة</w:t>
      </w:r>
      <w:r>
        <w:rPr>
          <w:rtl w:val="true"/>
        </w:rPr>
        <w:t>]</w:t>
      </w:r>
      <w:bookmarkEnd w:id="9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تکرار الصلاة علی المیّت علیٰ کراهیة، إلّا إذا کان المیّت ذا شرف و منقبة و فضیلة</w:t>
      </w:r>
      <w:r>
        <w:rPr>
          <w:rFonts w:eastAsia="IRNazanin" w:cs="IRNazanin"/>
          <w:color w:val="111111"/>
          <w:sz w:val="28"/>
          <w:szCs w:val="28"/>
          <w:rtl w:val="true"/>
          <w:lang w:bidi="fa-IR"/>
        </w:rPr>
        <w:t>.</w:t>
      </w:r>
    </w:p>
    <w:p>
      <w:pPr>
        <w:pStyle w:val="Heading6"/>
        <w:numPr>
          <w:ilvl w:val="5"/>
          <w:numId w:val="1"/>
        </w:numPr>
        <w:rPr/>
      </w:pPr>
      <w:bookmarkStart w:id="919" w:name="__RefHeading___Toc2565826_3650668749"/>
      <w:bookmarkStart w:id="920" w:name="_Toc422"/>
      <w:bookmarkEnd w:id="919"/>
      <w:r>
        <w:rPr>
          <w:rtl w:val="true"/>
        </w:rPr>
        <w:t>[ (</w:t>
      </w:r>
      <w:r>
        <w:rPr>
          <w:rtl w:val="true"/>
        </w:rPr>
        <w:t xml:space="preserve">مسألة </w:t>
      </w:r>
      <w:r>
        <w:rPr/>
        <w:t>8</w:t>
      </w:r>
      <w:r>
        <w:rPr>
          <w:rtl w:val="true"/>
        </w:rPr>
        <w:t xml:space="preserve">): </w:t>
      </w:r>
      <w:r>
        <w:rPr>
          <w:rtl w:val="true"/>
        </w:rPr>
        <w:t>إذا حضرت جنازة فی وقت الفریضة فإن لم تزاحم الصلاة علیها مع الفریضة</w:t>
      </w:r>
      <w:r>
        <w:rPr>
          <w:rtl w:val="true"/>
        </w:rPr>
        <w:t>]</w:t>
      </w:r>
      <w:bookmarkEnd w:id="9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حضرت جنازة فی وقت الفریضة فإن لم تزاحم الصلاة علیها مع الفریضة من جهة سعة وقتها و لم یخش من الفساد علی المیّت لو أخّرت صلاته تخیّر بینهما، و الأفضل تقدیم صلاته إلّا إذا زاحمت مع وقت فضیلة الفریضة فترجّح علیها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تقدیمها علی الفریضة فی سعة وقتها إذا خیف علی المیّت من الفساد لو أُخّرت صلاته، کما أنّه یجب تقدیم الفریضة مع ضیق وقتها و عدم الخوف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مع الخوف علیه و ضیق وقت الفریضة فإن أمکن صونه عن الفساد بالدفن و إتیان الصلاة فی وقتها ثمّ الصلاة علیه مدفوناً تعیّن ذلک، و إن لم یمکن ذلک بل زاحم وقت الفریضة مع الدفن الذی یصونه عن الفساد فلو تشاغل بالدفن یفوته الفرض و إن تشاغل بالفریضة و أخّر الدفن عرض علیه الفساد ففی تقدیم الدفن علی الفریضة أو العکس تأمّل </w:t>
      </w:r>
      <w:r>
        <w:rPr>
          <w:rStyle w:val="FootnoteAnchor"/>
          <w:rtl w:val="true"/>
        </w:rPr>
        <w:footnoteReference w:id="240"/>
      </w:r>
      <w:r>
        <w:rPr>
          <w:rFonts w:ascii="IRNazanin" w:hAnsi="IRNazanin" w:eastAsia="IRNazanin"/>
          <w:color w:val="111111"/>
          <w:sz w:val="28"/>
          <w:sz w:val="28"/>
          <w:szCs w:val="28"/>
          <w:rtl w:val="true"/>
          <w:lang w:bidi="fa-IR"/>
        </w:rPr>
        <w:t>و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أن یصلّی الفریضة مومئاً مع التشاغل بالدفن صلّیٰ کذلک لکن مع ذلک لا یترک القضاء</w:t>
      </w:r>
      <w:r>
        <w:rPr>
          <w:rFonts w:eastAsia="IRNazanin" w:cs="IRNazanin"/>
          <w:color w:val="111111"/>
          <w:sz w:val="28"/>
          <w:szCs w:val="28"/>
          <w:rtl w:val="true"/>
          <w:lang w:bidi="fa-IR"/>
        </w:rPr>
        <w:t>.</w:t>
      </w:r>
    </w:p>
    <w:p>
      <w:pPr>
        <w:pStyle w:val="Heading6"/>
        <w:numPr>
          <w:ilvl w:val="5"/>
          <w:numId w:val="1"/>
        </w:numPr>
        <w:rPr/>
      </w:pPr>
      <w:bookmarkStart w:id="921" w:name="__RefHeading___Toc2565828_3650668749"/>
      <w:bookmarkStart w:id="922" w:name="_Toc423"/>
      <w:bookmarkEnd w:id="921"/>
      <w:r>
        <w:rPr>
          <w:rtl w:val="true"/>
        </w:rPr>
        <w:t>[ (</w:t>
      </w:r>
      <w:r>
        <w:rPr>
          <w:rtl w:val="true"/>
        </w:rPr>
        <w:t xml:space="preserve">مسألة </w:t>
      </w:r>
      <w:r>
        <w:rPr/>
        <w:t>9</w:t>
      </w:r>
      <w:r>
        <w:rPr>
          <w:rtl w:val="true"/>
        </w:rPr>
        <w:t xml:space="preserve">): </w:t>
      </w:r>
      <w:r>
        <w:rPr>
          <w:rtl w:val="true"/>
        </w:rPr>
        <w:t>إذا اجتمعت جنازات متعدّدة فالأولی انفراد کلّ واحدة منها بصلاة</w:t>
      </w:r>
      <w:r>
        <w:rPr>
          <w:rtl w:val="true"/>
        </w:rPr>
        <w:t>]</w:t>
      </w:r>
      <w:bookmarkEnd w:id="92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 جنازات متعدّدة فالأولی انفراد کلّ واحدة منها بصلاة إذا لم یخش علیٰ بعضها الفساد من جهة تأخیر 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التشریک بینها فی صلاة واحدة؛ بأن یوضع الجمیع قدّام المصلّی مع رعایة المحاذاة أو یجعل الجمیع صفّاً واحداً</w:t>
      </w:r>
      <w:bookmarkStart w:id="923" w:name="pg1809_18855"/>
    </w:p>
    <w:p>
      <w:pPr>
        <w:pStyle w:val="BookText"/>
        <w:rPr/>
      </w:pPr>
      <w:bookmarkEnd w:id="923"/>
      <w:r>
        <w:rPr>
          <w:rFonts w:ascii="IRNazanin" w:hAnsi="IRNazanin" w:eastAsia="IRNazanin"/>
          <w:color w:val="111111"/>
          <w:sz w:val="28"/>
          <w:sz w:val="28"/>
          <w:szCs w:val="28"/>
          <w:rtl w:val="true"/>
          <w:lang w:bidi="fa-IR"/>
        </w:rPr>
        <w:t xml:space="preserve">بأن یجعل رأس کلّ عند ألیة الآخر شبه الدرج </w:t>
      </w:r>
      <w:r>
        <w:rPr>
          <w:rStyle w:val="FootnoteAnchor"/>
          <w:rtl w:val="true"/>
        </w:rPr>
        <w:footnoteReference w:id="241"/>
      </w:r>
      <w:r>
        <w:rPr>
          <w:rFonts w:ascii="IRNazanin" w:hAnsi="IRNazanin" w:eastAsia="IRNazanin"/>
          <w:color w:val="111111"/>
          <w:sz w:val="28"/>
          <w:sz w:val="28"/>
          <w:szCs w:val="28"/>
          <w:rtl w:val="true"/>
          <w:lang w:bidi="fa-IR"/>
        </w:rPr>
        <w:t>و یقوم المصلّی وسط الصفّ و یراعی فی الدعاء لهم بعد التکبیر الرابع ما یناسبهم؛ من تثنیة الضمیر أو جمعه و تذکیره و تأنیثه</w:t>
      </w:r>
      <w:r>
        <w:rPr>
          <w:rFonts w:eastAsia="IRNazanin" w:cs="IRNazanin"/>
          <w:color w:val="111111"/>
          <w:sz w:val="28"/>
          <w:szCs w:val="28"/>
          <w:rtl w:val="true"/>
          <w:lang w:bidi="fa-IR"/>
        </w:rPr>
        <w:t>.</w:t>
      </w:r>
    </w:p>
    <w:p>
      <w:pPr>
        <w:pStyle w:val="Heading6"/>
        <w:numPr>
          <w:ilvl w:val="5"/>
          <w:numId w:val="1"/>
        </w:numPr>
        <w:rPr/>
      </w:pPr>
      <w:bookmarkStart w:id="924" w:name="__RefHeading___Toc2565830_3650668749"/>
      <w:bookmarkStart w:id="925" w:name="_Toc424"/>
      <w:bookmarkEnd w:id="924"/>
      <w:r>
        <w:rPr>
          <w:rtl w:val="true"/>
        </w:rPr>
        <w:t>[ (</w:t>
      </w:r>
      <w:r>
        <w:rPr>
          <w:rtl w:val="true"/>
        </w:rPr>
        <w:t xml:space="preserve">مسألة </w:t>
      </w:r>
      <w:r>
        <w:rPr/>
        <w:t>10</w:t>
      </w:r>
      <w:r>
        <w:rPr>
          <w:rtl w:val="true"/>
        </w:rPr>
        <w:t xml:space="preserve">): </w:t>
      </w:r>
      <w:r>
        <w:rPr>
          <w:rtl w:val="true"/>
        </w:rPr>
        <w:t>إذا حضر فی أثناء الصلاة علی الجنازة کما بعد التکبیرة الأُولیٰ جنازة أُخری</w:t>
      </w:r>
      <w:r>
        <w:rPr>
          <w:rtl w:val="true"/>
        </w:rPr>
        <w:t>]</w:t>
      </w:r>
      <w:bookmarkEnd w:id="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 فی أثناء الصلاة علی الجنازة کما بعد التکبیرة الأُولیٰ جنازة أُخری یجوز تشریک الاولیٰ مع الثانیة فی التکبیرات الباقیة، فتکون ثانیة الأُولیٰ أولی الثانیة و ثالثة الاولیٰ ثانیة الثانیة و هکذا، فإذا تمّت تکبیرات الاولیٰ یأتی ببقیّة تکبیرات الثانیة، فیأتی بعد کلّ تکبیر مختصّ ما یخصّه من الدعاء و بعد التکبیر المشترک یجمع بین الدعائین، فیأتی بعد التکبیر الذی هو أوّل الثانیة و ثانی الاولیٰ بالشهادتین مع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Heading6"/>
        <w:numPr>
          <w:ilvl w:val="5"/>
          <w:numId w:val="1"/>
        </w:numPr>
        <w:rPr/>
      </w:pPr>
      <w:bookmarkStart w:id="926" w:name="__RefHeading___Toc2565832_3650668749"/>
      <w:bookmarkStart w:id="927" w:name="_Toc425"/>
      <w:bookmarkEnd w:id="926"/>
      <w:r>
        <w:rPr>
          <w:rtl w:val="true"/>
        </w:rPr>
        <w:t>[</w:t>
      </w:r>
      <w:r>
        <w:rPr>
          <w:rtl w:val="true"/>
        </w:rPr>
        <w:t>القول فی آداب الصلاة علی المیّت</w:t>
      </w:r>
      <w:r>
        <w:rPr>
          <w:rtl w:val="true"/>
        </w:rPr>
        <w:t>]</w:t>
      </w:r>
      <w:bookmarkEnd w:id="927"/>
    </w:p>
    <w:p>
      <w:pPr>
        <w:pStyle w:val="BookText"/>
        <w:rPr/>
      </w:pPr>
      <w:r>
        <w:rPr>
          <w:rFonts w:ascii="IRNazanin" w:hAnsi="IRNazanin" w:eastAsia="IRNazanin"/>
          <w:color w:val="111111"/>
          <w:sz w:val="28"/>
          <w:sz w:val="28"/>
          <w:szCs w:val="28"/>
          <w:rtl w:val="true"/>
          <w:lang w:bidi="fa-IR"/>
        </w:rPr>
        <w:t>القول فی آداب الصلاة علی المیّت و هی أُمور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قبل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ثلاث مرّات، و هی بمنزلة الإقامة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المصلّی علیٰ طهارة من الحدث، من الوضوء أو الغسل أو التیمّم، و یجوز التیمّم بدل الغسل أو الوضوء هنا حتّی مع وجدان الماء إن خاف فوت الصلاة لو توضّأ أو اغتسل بل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الإمام أو المنفرد عند وسط الرجل بل مطلق الذکر، و عند صدر المرأة بل مطلق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النعل بل یکره الصلاة بالحذاء و هو النعل دون الخفّ و الجورب، و إن کان الحفاء لا یخلو من رجحان خصوصاً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عند التکبیرات و لا سیّما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یقف قریباً </w:t>
      </w:r>
      <w:r>
        <w:rPr>
          <w:rStyle w:val="FootnoteAnchor"/>
          <w:rtl w:val="true"/>
        </w:rPr>
        <w:footnoteReference w:id="243"/>
      </w:r>
      <w:r>
        <w:rPr>
          <w:rFonts w:ascii="IRNazanin" w:hAnsi="IRNazanin" w:eastAsia="IRNazanin"/>
          <w:color w:val="111111"/>
          <w:sz w:val="28"/>
          <w:sz w:val="28"/>
          <w:szCs w:val="28"/>
          <w:rtl w:val="true"/>
          <w:lang w:bidi="fa-IR"/>
        </w:rPr>
        <w:t>من الجنازة بحیث لو هبّت الریح وصل ثوبه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الإجهار </w:t>
      </w:r>
      <w:r>
        <w:rPr>
          <w:rStyle w:val="FootnoteAnchor"/>
          <w:rtl w:val="true"/>
        </w:rPr>
        <w:footnoteReference w:id="244"/>
      </w:r>
      <w:r>
        <w:rPr>
          <w:rFonts w:ascii="IRNazanin" w:hAnsi="IRNazanin" w:eastAsia="IRNazanin"/>
          <w:color w:val="111111"/>
          <w:sz w:val="28"/>
          <w:sz w:val="28"/>
          <w:szCs w:val="28"/>
          <w:rtl w:val="true"/>
          <w:lang w:bidi="fa-IR"/>
        </w:rPr>
        <w:t>للإمام و الإسرار للمأموم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المواضع </w:t>
      </w:r>
      <w:r>
        <w:rPr>
          <w:rStyle w:val="FootnoteAnchor"/>
          <w:rtl w:val="true"/>
        </w:rPr>
        <w:footnoteReference w:id="245"/>
      </w:r>
      <w:r>
        <w:rPr>
          <w:rFonts w:ascii="IRNazanin" w:hAnsi="IRNazanin" w:eastAsia="IRNazanin"/>
          <w:color w:val="111111"/>
          <w:sz w:val="28"/>
          <w:sz w:val="28"/>
          <w:szCs w:val="28"/>
          <w:rtl w:val="true"/>
          <w:lang w:bidi="fa-IR"/>
        </w:rPr>
        <w:t>المعدّة للصلاة علی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توقع فی المساجد عدا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إیقاعها جماعة</w:t>
      </w:r>
      <w:r>
        <w:rPr>
          <w:rFonts w:eastAsia="IRNazanin" w:cs="IRNazanin"/>
          <w:color w:val="111111"/>
          <w:sz w:val="28"/>
          <w:szCs w:val="28"/>
          <w:rtl w:val="true"/>
          <w:lang w:bidi="fa-IR"/>
        </w:rPr>
        <w:t>.</w:t>
      </w:r>
      <w:bookmarkStart w:id="928" w:name="pg1809_18856"/>
    </w:p>
    <w:p>
      <w:pPr>
        <w:pStyle w:val="Heading6"/>
        <w:numPr>
          <w:ilvl w:val="5"/>
          <w:numId w:val="1"/>
        </w:numPr>
        <w:rPr/>
      </w:pPr>
      <w:bookmarkStart w:id="929" w:name="__RefHeading___Toc2565834_3650668749"/>
      <w:bookmarkStart w:id="930" w:name="_Toc426"/>
      <w:bookmarkEnd w:id="928"/>
      <w:bookmarkEnd w:id="929"/>
      <w:r>
        <w:rPr>
          <w:rtl w:val="true"/>
        </w:rPr>
        <w:t>[</w:t>
      </w:r>
      <w:r>
        <w:rPr>
          <w:rtl w:val="true"/>
        </w:rPr>
        <w:t>القول فی الدفن</w:t>
      </w:r>
      <w:r>
        <w:rPr>
          <w:rtl w:val="true"/>
        </w:rPr>
        <w:t>]</w:t>
      </w:r>
      <w:bookmarkEnd w:id="930"/>
    </w:p>
    <w:p>
      <w:pPr>
        <w:pStyle w:val="Heading6"/>
        <w:numPr>
          <w:ilvl w:val="5"/>
          <w:numId w:val="1"/>
        </w:numPr>
        <w:rPr/>
      </w:pPr>
      <w:bookmarkStart w:id="931" w:name="__RefHeading___Toc2565836_3650668749"/>
      <w:bookmarkStart w:id="932" w:name="_Toc427"/>
      <w:bookmarkEnd w:id="931"/>
      <w:r>
        <w:rPr>
          <w:rtl w:val="true"/>
        </w:rPr>
        <w:t>اشارة</w:t>
      </w:r>
      <w:bookmarkEnd w:id="932"/>
    </w:p>
    <w:p>
      <w:pPr>
        <w:pStyle w:val="BookText"/>
        <w:rPr/>
      </w:pPr>
      <w:r>
        <w:rPr>
          <w:rFonts w:ascii="IRNazanin" w:hAnsi="IRNazanin" w:eastAsia="IRNazanin"/>
          <w:color w:val="111111"/>
          <w:sz w:val="28"/>
          <w:sz w:val="28"/>
          <w:szCs w:val="28"/>
          <w:rtl w:val="true"/>
          <w:lang w:bidi="fa-IR"/>
        </w:rPr>
        <w:t>القول فی الدفن</w:t>
      </w:r>
    </w:p>
    <w:p>
      <w:pPr>
        <w:pStyle w:val="Heading6"/>
        <w:numPr>
          <w:ilvl w:val="5"/>
          <w:numId w:val="1"/>
        </w:numPr>
        <w:rPr/>
      </w:pPr>
      <w:bookmarkStart w:id="933" w:name="__RefHeading___Toc2565838_3650668749"/>
      <w:bookmarkStart w:id="934" w:name="_Toc428"/>
      <w:bookmarkEnd w:id="933"/>
      <w:r>
        <w:rPr>
          <w:rtl w:val="true"/>
        </w:rPr>
        <w:t>[</w:t>
      </w:r>
      <w:r>
        <w:rPr>
          <w:rtl w:val="true"/>
        </w:rPr>
        <w:t>مسائل</w:t>
      </w:r>
      <w:r>
        <w:rPr>
          <w:rtl w:val="true"/>
        </w:rPr>
        <w:t>]</w:t>
      </w:r>
      <w:bookmarkEnd w:id="934"/>
    </w:p>
    <w:p>
      <w:pPr>
        <w:pStyle w:val="Heading6"/>
        <w:numPr>
          <w:ilvl w:val="5"/>
          <w:numId w:val="1"/>
        </w:numPr>
        <w:rPr/>
      </w:pPr>
      <w:bookmarkStart w:id="935" w:name="__RefHeading___Toc2565840_3650668749"/>
      <w:bookmarkStart w:id="936" w:name="_Toc429"/>
      <w:bookmarkEnd w:id="935"/>
      <w:r>
        <w:rPr>
          <w:rtl w:val="true"/>
        </w:rPr>
        <w:t>اشارة</w:t>
      </w:r>
      <w:bookmarkEnd w:id="936"/>
    </w:p>
    <w:p>
      <w:pPr>
        <w:pStyle w:val="BookText"/>
        <w:rPr/>
      </w:pPr>
      <w:r>
        <w:rPr>
          <w:rFonts w:ascii="IRNazanin" w:hAnsi="IRNazanin" w:eastAsia="IRNazanin"/>
          <w:color w:val="111111"/>
          <w:sz w:val="28"/>
          <w:sz w:val="28"/>
          <w:szCs w:val="28"/>
          <w:rtl w:val="true"/>
          <w:lang w:bidi="fa-IR"/>
        </w:rPr>
        <w:t>یجب کفایة دفن المیّت المسلم و من بحکمه، و هو مواراته فی حفیرة فی الأرض، فلا یجزی البناء علیه و لا وضعه فی بناء أو تابوت، و لو من صخر أو حدید مع القدرة علی المواراة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تعذّر الحفر لصلابة الأرض مثلًا أجزأ البناء علیه و وضعه فیه و نحو ذلک من أقسام المواراة، کما أنّه لو أمکن نقله إلیٰ أرض یمکن حفرها قبل أن یحدث بالمیّت شی‌ء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کون الحفیرة بحیث تحرس جثّته من السباع و تکتم رائحته عن الناس، و إن کان الأقویٰ کفایة مجرّد المواراة فی الأرض مع الأمن من الأمرین و لو من جهة عدم وجود السباع و عدم من یؤذیه رائحته من الناس أو البناء علیٰ قبره بعد مواراته</w:t>
      </w:r>
      <w:r>
        <w:rPr>
          <w:rFonts w:eastAsia="IRNazanin" w:cs="IRNazanin"/>
          <w:color w:val="111111"/>
          <w:sz w:val="28"/>
          <w:szCs w:val="28"/>
          <w:rtl w:val="true"/>
          <w:lang w:bidi="fa-IR"/>
        </w:rPr>
        <w:t>.</w:t>
      </w:r>
    </w:p>
    <w:p>
      <w:pPr>
        <w:pStyle w:val="Heading6"/>
        <w:numPr>
          <w:ilvl w:val="5"/>
          <w:numId w:val="1"/>
        </w:numPr>
        <w:rPr/>
      </w:pPr>
      <w:bookmarkStart w:id="937" w:name="__RefHeading___Toc2565842_3650668749"/>
      <w:bookmarkStart w:id="938" w:name="_Toc430"/>
      <w:bookmarkEnd w:id="937"/>
      <w:r>
        <w:rPr>
          <w:rtl w:val="true"/>
        </w:rPr>
        <w:t>[ (</w:t>
      </w:r>
      <w:r>
        <w:rPr>
          <w:rtl w:val="true"/>
        </w:rPr>
        <w:t xml:space="preserve">مسألة </w:t>
      </w:r>
      <w:r>
        <w:rPr/>
        <w:t>1</w:t>
      </w:r>
      <w:r>
        <w:rPr>
          <w:rtl w:val="true"/>
        </w:rPr>
        <w:t xml:space="preserve">): </w:t>
      </w:r>
      <w:r>
        <w:rPr>
          <w:rtl w:val="true"/>
        </w:rPr>
        <w:t>راکب البحر مع تعذّر البرّ لخوف فساده لو انتظر أو لمانع آخر أو تعسّره</w:t>
      </w:r>
      <w:r>
        <w:rPr>
          <w:rtl w:val="true"/>
        </w:rPr>
        <w:t>]</w:t>
      </w:r>
      <w:bookmarkEnd w:id="9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 البحر مع تعذّر البرّ لخوف فساده لو انتظر أو لمانع آخر أو تعسّره یغسّل و یکفّن و یحنّط و یصلّی علیه و یوضع فی خابیة و نحوها و یوکأ رأسها أو یثقل بحجر أو نحوه فی رجله و یلقی فیه، و الأحوط اختیار الأوّل مع الإمکان، و کذا لو خیف علی المیّت من نبش العدوّ قبره و التمثیل به القی فی البحر بالکیفیّة المزبورة</w:t>
      </w:r>
      <w:r>
        <w:rPr>
          <w:rFonts w:eastAsia="IRNazanin" w:cs="IRNazanin"/>
          <w:color w:val="111111"/>
          <w:sz w:val="28"/>
          <w:szCs w:val="28"/>
          <w:rtl w:val="true"/>
          <w:lang w:bidi="fa-IR"/>
        </w:rPr>
        <w:t>.</w:t>
      </w:r>
    </w:p>
    <w:p>
      <w:pPr>
        <w:pStyle w:val="Heading6"/>
        <w:numPr>
          <w:ilvl w:val="5"/>
          <w:numId w:val="1"/>
        </w:numPr>
        <w:rPr/>
      </w:pPr>
      <w:bookmarkStart w:id="939" w:name="__RefHeading___Toc2565844_3650668749"/>
      <w:bookmarkStart w:id="940" w:name="_Toc431"/>
      <w:bookmarkEnd w:id="939"/>
      <w:r>
        <w:rPr>
          <w:rtl w:val="true"/>
        </w:rPr>
        <w:t>[ (</w:t>
      </w:r>
      <w:r>
        <w:rPr>
          <w:rtl w:val="true"/>
        </w:rPr>
        <w:t xml:space="preserve">مسألة </w:t>
      </w:r>
      <w:r>
        <w:rPr/>
        <w:t>2</w:t>
      </w:r>
      <w:r>
        <w:rPr>
          <w:rtl w:val="true"/>
        </w:rPr>
        <w:t xml:space="preserve">): </w:t>
      </w:r>
      <w:r>
        <w:rPr>
          <w:rtl w:val="true"/>
        </w:rPr>
        <w:t>یجب کون الدفن مستقبل القبلة</w:t>
      </w:r>
      <w:r>
        <w:rPr>
          <w:rtl w:val="true"/>
        </w:rPr>
        <w:t>]</w:t>
      </w:r>
      <w:bookmarkEnd w:id="9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کون الدفن مستقبل القبلة؛ بأن یضجعه علیٰ جنبه الأیمن بحیث یکون رأسه إلی المغرب و رجلیه إلی المشرق مثلًا فی البلاد الشمالیّة،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رأسه إلیٰ یمین من یستقبل القبلة و رجلاه إلیٰ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دفن الجسد بلا رأس بل فی الرأس بلا جسد، بل و فی الصدر وحده، إلّا إذا کان المیّت کافرة حاملة بولد مسلم فإنّها تدفن مستدبرة القبلة علیٰ جانبها الأیسر؛ لیصیر الولد فی بطنها مستقبلًا</w:t>
      </w:r>
      <w:r>
        <w:rPr>
          <w:rFonts w:eastAsia="IRNazanin" w:cs="IRNazanin"/>
          <w:color w:val="111111"/>
          <w:sz w:val="28"/>
          <w:szCs w:val="28"/>
          <w:rtl w:val="true"/>
          <w:lang w:bidi="fa-IR"/>
        </w:rPr>
        <w:t>.</w:t>
      </w:r>
    </w:p>
    <w:p>
      <w:pPr>
        <w:pStyle w:val="Heading6"/>
        <w:numPr>
          <w:ilvl w:val="5"/>
          <w:numId w:val="1"/>
        </w:numPr>
        <w:rPr/>
      </w:pPr>
      <w:bookmarkStart w:id="941" w:name="__RefHeading___Toc2565846_3650668749"/>
      <w:bookmarkStart w:id="942" w:name="_Toc432"/>
      <w:bookmarkEnd w:id="941"/>
      <w:r>
        <w:rPr>
          <w:rtl w:val="true"/>
        </w:rPr>
        <w:t>[ (</w:t>
      </w:r>
      <w:r>
        <w:rPr>
          <w:rtl w:val="true"/>
        </w:rPr>
        <w:t xml:space="preserve">مسألة </w:t>
      </w:r>
      <w:r>
        <w:rPr/>
        <w:t>3</w:t>
      </w:r>
      <w:r>
        <w:rPr>
          <w:rtl w:val="true"/>
        </w:rPr>
        <w:t xml:space="preserve">): </w:t>
      </w:r>
      <w:r>
        <w:rPr>
          <w:rtl w:val="true"/>
        </w:rPr>
        <w:t>مئونة الدفن حتّی ما یحتاج إلیه لأجل استحکامه</w:t>
      </w:r>
      <w:r>
        <w:rPr>
          <w:rtl w:val="true"/>
        </w:rPr>
        <w:t>]</w:t>
      </w:r>
      <w:bookmarkEnd w:id="9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مئونة الدفن حتّی ما یحتاج إلیه لأجل استحکامه؛ من القیر و الساروج و غیر ذلک بل ما یأخذه الجائر للدفن فی الأرض المباحة تخرج من أصل الترکة، و کذا مئونة الإلقاء فی البحر من الحجر أو الحدید الذی یثقل به أو الخابیة التی یوضع فیها</w:t>
      </w:r>
      <w:r>
        <w:rPr>
          <w:rFonts w:eastAsia="IRNazanin" w:cs="IRNazanin"/>
          <w:color w:val="111111"/>
          <w:sz w:val="28"/>
          <w:szCs w:val="28"/>
          <w:rtl w:val="true"/>
          <w:lang w:bidi="fa-IR"/>
        </w:rPr>
        <w:t>.</w:t>
      </w:r>
    </w:p>
    <w:p>
      <w:pPr>
        <w:pStyle w:val="Heading6"/>
        <w:numPr>
          <w:ilvl w:val="5"/>
          <w:numId w:val="1"/>
        </w:numPr>
        <w:rPr/>
      </w:pPr>
      <w:bookmarkStart w:id="943" w:name="__RefHeading___Toc2565848_3650668749"/>
      <w:bookmarkStart w:id="944" w:name="_Toc433"/>
      <w:bookmarkEnd w:id="943"/>
      <w:r>
        <w:rPr>
          <w:rtl w:val="true"/>
        </w:rPr>
        <w:t>[ (</w:t>
      </w:r>
      <w:r>
        <w:rPr>
          <w:rtl w:val="true"/>
        </w:rPr>
        <w:t xml:space="preserve">مسألة </w:t>
      </w:r>
      <w:r>
        <w:rPr/>
        <w:t>4</w:t>
      </w:r>
      <w:r>
        <w:rPr>
          <w:rtl w:val="true"/>
        </w:rPr>
        <w:t xml:space="preserve">): </w:t>
      </w:r>
      <w:r>
        <w:rPr>
          <w:rtl w:val="true"/>
        </w:rPr>
        <w:t>إذا اشتبهت القبلة یعمل بالظنّ</w:t>
      </w:r>
      <w:r>
        <w:rPr>
          <w:rtl w:val="true"/>
        </w:rPr>
        <w:t>]</w:t>
      </w:r>
      <w:bookmarkEnd w:id="94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اشتبهت القبلة یعمل بالظنّ </w:t>
      </w:r>
      <w:r>
        <w:rPr>
          <w:rStyle w:val="FootnoteAnchor"/>
          <w:rtl w:val="true"/>
        </w:rPr>
        <w:footnoteReference w:id="246"/>
      </w:r>
      <w:r>
        <w:rPr>
          <w:rFonts w:ascii="IRNazanin" w:hAnsi="IRNazanin" w:eastAsia="IRNazanin"/>
          <w:color w:val="111111"/>
          <w:sz w:val="28"/>
          <w:sz w:val="28"/>
          <w:szCs w:val="28"/>
          <w:rtl w:val="true"/>
          <w:lang w:bidi="fa-IR"/>
        </w:rPr>
        <w:t>علی الأحوط و مع عدمه یسقط الاستقبال</w:t>
      </w:r>
      <w:r>
        <w:rPr>
          <w:rFonts w:eastAsia="IRNazanin" w:cs="IRNazanin"/>
          <w:color w:val="111111"/>
          <w:sz w:val="28"/>
          <w:szCs w:val="28"/>
          <w:rtl w:val="true"/>
          <w:lang w:bidi="fa-IR"/>
        </w:rPr>
        <w:t>.</w:t>
      </w:r>
      <w:bookmarkStart w:id="945" w:name="pg1809_18857"/>
    </w:p>
    <w:p>
      <w:pPr>
        <w:pStyle w:val="Heading6"/>
        <w:numPr>
          <w:ilvl w:val="5"/>
          <w:numId w:val="1"/>
        </w:numPr>
        <w:rPr/>
      </w:pPr>
      <w:bookmarkStart w:id="946" w:name="__RefHeading___Toc2565850_3650668749"/>
      <w:bookmarkStart w:id="947" w:name="_Toc434"/>
      <w:bookmarkEnd w:id="945"/>
      <w:bookmarkEnd w:id="946"/>
      <w:r>
        <w:rPr>
          <w:rtl w:val="true"/>
        </w:rPr>
        <w:t>[ (</w:t>
      </w:r>
      <w:r>
        <w:rPr>
          <w:rtl w:val="true"/>
        </w:rPr>
        <w:t xml:space="preserve">مسألة </w:t>
      </w:r>
      <w:r>
        <w:rPr/>
        <w:t>5</w:t>
      </w:r>
      <w:r>
        <w:rPr>
          <w:rtl w:val="true"/>
        </w:rPr>
        <w:t xml:space="preserve">): </w:t>
      </w:r>
      <w:r>
        <w:rPr>
          <w:rtl w:val="true"/>
        </w:rPr>
        <w:t>یجب دفن الأجزاء المبانة من المیّت حتّی الشعر و السنّ و الظفر</w:t>
      </w:r>
      <w:r>
        <w:rPr>
          <w:rtl w:val="true"/>
        </w:rPr>
        <w:t>]</w:t>
      </w:r>
      <w:bookmarkEnd w:id="9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دفن الأجزاء المبانة من المیّت حتّی الشعر و السنّ و الظفر، و الأحوط لو لم یکن الأقویٰ إلحاقه ببدن المیّت و الدفن معه مع الإمکان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8" w:name="__RefHeading___Toc2565852_3650668749"/>
      <w:bookmarkStart w:id="949" w:name="_Toc435"/>
      <w:bookmarkEnd w:id="948"/>
      <w:r>
        <w:rPr>
          <w:rtl w:val="true"/>
        </w:rPr>
        <w:t>[ (</w:t>
      </w:r>
      <w:r>
        <w:rPr>
          <w:rtl w:val="true"/>
        </w:rPr>
        <w:t xml:space="preserve">مسألة </w:t>
      </w:r>
      <w:r>
        <w:rPr/>
        <w:t>6</w:t>
      </w:r>
      <w:r>
        <w:rPr>
          <w:rtl w:val="true"/>
        </w:rPr>
        <w:t xml:space="preserve">): </w:t>
      </w:r>
      <w:r>
        <w:rPr>
          <w:rtl w:val="true"/>
        </w:rPr>
        <w:t>إذا مات شخص فی البئر و لم یمکن إخراجه و لا استقباله یخلّیٰ علیٰ حاله</w:t>
      </w:r>
      <w:r>
        <w:rPr>
          <w:rtl w:val="true"/>
        </w:rPr>
        <w:t>]</w:t>
      </w:r>
      <w:bookmarkEnd w:id="9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شخص فی البئر و لم یمکن إخراجه و لا استقباله یخلّیٰ علیٰ حاله </w:t>
      </w:r>
      <w:r>
        <w:rPr>
          <w:rStyle w:val="FootnoteAnchor"/>
          <w:rtl w:val="true"/>
        </w:rPr>
        <w:footnoteReference w:id="248"/>
      </w:r>
      <w:r>
        <w:rPr>
          <w:rFonts w:ascii="IRNazanin" w:hAnsi="IRNazanin" w:eastAsia="IRNazanin"/>
          <w:color w:val="111111"/>
          <w:sz w:val="28"/>
          <w:sz w:val="28"/>
          <w:szCs w:val="28"/>
          <w:rtl w:val="true"/>
          <w:lang w:bidi="fa-IR"/>
        </w:rPr>
        <w:t>و یسدّ البئر و یجعل قبراً له</w:t>
      </w:r>
      <w:r>
        <w:rPr>
          <w:rFonts w:eastAsia="IRNazanin" w:cs="IRNazanin"/>
          <w:color w:val="111111"/>
          <w:sz w:val="28"/>
          <w:szCs w:val="28"/>
          <w:rtl w:val="true"/>
          <w:lang w:bidi="fa-IR"/>
        </w:rPr>
        <w:t>.</w:t>
      </w:r>
    </w:p>
    <w:p>
      <w:pPr>
        <w:pStyle w:val="Heading6"/>
        <w:numPr>
          <w:ilvl w:val="5"/>
          <w:numId w:val="1"/>
        </w:numPr>
        <w:rPr/>
      </w:pPr>
      <w:bookmarkStart w:id="950" w:name="__RefHeading___Toc2565854_3650668749"/>
      <w:bookmarkStart w:id="951" w:name="_Toc436"/>
      <w:bookmarkEnd w:id="950"/>
      <w:r>
        <w:rPr>
          <w:rtl w:val="true"/>
        </w:rPr>
        <w:t>[ (</w:t>
      </w:r>
      <w:r>
        <w:rPr>
          <w:rtl w:val="true"/>
        </w:rPr>
        <w:t xml:space="preserve">مسألة </w:t>
      </w:r>
      <w:r>
        <w:rPr/>
        <w:t>7</w:t>
      </w:r>
      <w:r>
        <w:rPr>
          <w:rtl w:val="true"/>
        </w:rPr>
        <w:t xml:space="preserve">): </w:t>
      </w:r>
      <w:r>
        <w:rPr>
          <w:rtl w:val="true"/>
        </w:rPr>
        <w:t>إذا مات الجنین فی بطن الحامل و خیف علیها من بقائه یجب التوصّل إلیٰ إخراجه</w:t>
      </w:r>
      <w:r>
        <w:rPr>
          <w:rtl w:val="true"/>
        </w:rPr>
        <w:t>]</w:t>
      </w:r>
      <w:bookmarkEnd w:id="9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الجنین فی بطن الحامل و خیف علیها من بقائه یجب التوصّل إلیٰ إخراجه بکلّ حیلة ملاحظاً للأرفق فالأرفق و لو بتقطیعه قطعة قطعة، و یکون المباشر زوجها أو النساء، و مع عدمها فالمحارم من الرجال، فإن تعذّر فالأجانب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ماتت الحامل و کان الجنین حیّاً وجب إخراجه و لو بشقّ بطنها فیشقّ جنبها الأیسر </w:t>
      </w:r>
      <w:r>
        <w:rPr>
          <w:rStyle w:val="FootnoteAnchor"/>
          <w:rtl w:val="true"/>
        </w:rPr>
        <w:footnoteReference w:id="249"/>
      </w:r>
      <w:r>
        <w:rPr>
          <w:rFonts w:ascii="IRNazanin" w:hAnsi="IRNazanin" w:eastAsia="IRNazanin"/>
          <w:color w:val="111111"/>
          <w:sz w:val="28"/>
          <w:sz w:val="28"/>
          <w:szCs w:val="28"/>
          <w:rtl w:val="true"/>
          <w:lang w:bidi="fa-IR"/>
        </w:rPr>
        <w:t xml:space="preserve">و یخرج الطفل ثمّ یخاط و تدفن، و لا فرق فی ذلک بین رجاء بقاء الطفل بعد الإخراج و عدمه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خیف مع حیاتهما علیٰ کلّ منهما ینتظر حتّی یقضی</w:t>
      </w:r>
      <w:r>
        <w:rPr>
          <w:rFonts w:eastAsia="IRNazanin" w:cs="IRNazanin"/>
          <w:color w:val="111111"/>
          <w:sz w:val="28"/>
          <w:szCs w:val="28"/>
          <w:rtl w:val="true"/>
          <w:lang w:bidi="fa-IR"/>
        </w:rPr>
        <w:t>.</w:t>
      </w:r>
    </w:p>
    <w:p>
      <w:pPr>
        <w:pStyle w:val="Heading6"/>
        <w:numPr>
          <w:ilvl w:val="5"/>
          <w:numId w:val="1"/>
        </w:numPr>
        <w:rPr/>
      </w:pPr>
      <w:bookmarkStart w:id="952" w:name="__RefHeading___Toc2565856_3650668749"/>
      <w:bookmarkStart w:id="953" w:name="_Toc437"/>
      <w:bookmarkEnd w:id="952"/>
      <w:r>
        <w:rPr>
          <w:rtl w:val="true"/>
        </w:rPr>
        <w:t>[ (</w:t>
      </w:r>
      <w:r>
        <w:rPr>
          <w:rtl w:val="true"/>
        </w:rPr>
        <w:t xml:space="preserve">مسألة </w:t>
      </w:r>
      <w:r>
        <w:rPr/>
        <w:t>8</w:t>
      </w:r>
      <w:r>
        <w:rPr>
          <w:rtl w:val="true"/>
        </w:rPr>
        <w:t xml:space="preserve">): </w:t>
      </w:r>
      <w:r>
        <w:rPr>
          <w:rtl w:val="true"/>
        </w:rPr>
        <w:t>لا یجوز الدفن فی الأرض المغصوبة عیناً أو منفعةً</w:t>
      </w:r>
      <w:r>
        <w:rPr>
          <w:rtl w:val="true"/>
        </w:rPr>
        <w:t>]</w:t>
      </w:r>
      <w:bookmarkEnd w:id="9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الدفن فی الأرض المغصوبة عیناً أو منفعةً، و منها الأراضی الموقوفة لغیر الدفن و ما تعلّق بها حقّ الغیر کالمرهونة بغیر إذن المرتهن، بل و منها قبر میّت آخر </w:t>
      </w:r>
      <w:r>
        <w:rPr>
          <w:rStyle w:val="FootnoteAnchor"/>
          <w:rtl w:val="true"/>
        </w:rPr>
        <w:footnoteReference w:id="251"/>
      </w:r>
      <w:r>
        <w:rPr>
          <w:rFonts w:ascii="IRNazanin" w:hAnsi="IRNazanin" w:eastAsia="IRNazanin"/>
          <w:color w:val="111111"/>
          <w:sz w:val="28"/>
          <w:sz w:val="28"/>
          <w:szCs w:val="28"/>
          <w:rtl w:val="true"/>
          <w:lang w:bidi="fa-IR"/>
        </w:rPr>
        <w:t>قبل صیرورته رمیماً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جواز الدفن فی المساجد مع عدم الإضرار بالمسلمین و عدم المزاحمة للمصلّین تأمّل </w:t>
      </w:r>
      <w:r>
        <w:rPr>
          <w:rStyle w:val="FootnoteAnchor"/>
          <w:rtl w:val="true"/>
        </w:rPr>
        <w:footnoteReference w:id="252"/>
      </w:r>
      <w:r>
        <w:rPr>
          <w:rFonts w:ascii="IRNazanin" w:hAnsi="IRNazanin" w:eastAsia="IRNazanin"/>
          <w:color w:val="111111"/>
          <w:sz w:val="28"/>
          <w:sz w:val="28"/>
          <w:szCs w:val="28"/>
          <w:rtl w:val="true"/>
          <w:lang w:bidi="fa-IR"/>
        </w:rPr>
        <w:t>و إشکال</w:t>
      </w:r>
      <w:r>
        <w:rPr>
          <w:rFonts w:eastAsia="IRNazanin" w:cs="IRNazanin"/>
          <w:color w:val="111111"/>
          <w:sz w:val="28"/>
          <w:szCs w:val="28"/>
          <w:rtl w:val="true"/>
          <w:lang w:bidi="fa-IR"/>
        </w:rPr>
        <w:t>.</w:t>
      </w:r>
    </w:p>
    <w:p>
      <w:pPr>
        <w:pStyle w:val="Heading6"/>
        <w:numPr>
          <w:ilvl w:val="5"/>
          <w:numId w:val="1"/>
        </w:numPr>
        <w:rPr/>
      </w:pPr>
      <w:bookmarkStart w:id="954" w:name="__RefHeading___Toc2565858_3650668749"/>
      <w:bookmarkStart w:id="955" w:name="_Toc438"/>
      <w:bookmarkEnd w:id="954"/>
      <w:r>
        <w:rPr>
          <w:rtl w:val="true"/>
        </w:rPr>
        <w:t>[ (</w:t>
      </w:r>
      <w:r>
        <w:rPr>
          <w:rtl w:val="true"/>
        </w:rPr>
        <w:t xml:space="preserve">مسألة </w:t>
      </w:r>
      <w:r>
        <w:rPr/>
        <w:t>9</w:t>
      </w:r>
      <w:r>
        <w:rPr>
          <w:rtl w:val="true"/>
        </w:rPr>
        <w:t xml:space="preserve">): </w:t>
      </w:r>
      <w:r>
        <w:rPr>
          <w:rtl w:val="true"/>
        </w:rPr>
        <w:t>لا یجوز أن یدفن الکفّار و أولادهم فی مقبرة المسلمین</w:t>
      </w:r>
      <w:r>
        <w:rPr>
          <w:rtl w:val="true"/>
        </w:rPr>
        <w:t>]</w:t>
      </w:r>
      <w:bookmarkEnd w:id="95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یدفن الکفّار و أولادهم فی مقبرة المسلمین، بل لو دفنوا نبشوا، سیّما إذا کانت المقبرة مُسبَّلة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لا یجوز دفن المسلم فی مقبرة الکفّار، و لو دفن عصیاناً أو نسیاناً ففی جواز نبشه و نقله تأمّل </w:t>
      </w:r>
      <w:r>
        <w:rPr>
          <w:rStyle w:val="FootnoteAnchor"/>
          <w:rtl w:val="true"/>
        </w:rPr>
        <w:footnoteReference w:id="253"/>
      </w:r>
      <w:r>
        <w:rPr>
          <w:rFonts w:ascii="IRNazanin" w:hAnsi="IRNazanin" w:eastAsia="IRNazanin"/>
          <w:color w:val="111111"/>
          <w:sz w:val="28"/>
          <w:sz w:val="28"/>
          <w:szCs w:val="28"/>
          <w:rtl w:val="true"/>
          <w:lang w:bidi="fa-IR"/>
        </w:rPr>
        <w:t>و إشکال</w:t>
      </w:r>
      <w:r>
        <w:rPr>
          <w:rFonts w:eastAsia="IRNazanin" w:cs="IRNazanin"/>
          <w:color w:val="111111"/>
          <w:sz w:val="28"/>
          <w:szCs w:val="28"/>
          <w:rtl w:val="true"/>
          <w:lang w:bidi="fa-IR"/>
        </w:rPr>
        <w:t>.</w:t>
      </w:r>
      <w:bookmarkStart w:id="956" w:name="pg1809_18858"/>
    </w:p>
    <w:p>
      <w:pPr>
        <w:pStyle w:val="Heading6"/>
        <w:numPr>
          <w:ilvl w:val="5"/>
          <w:numId w:val="1"/>
        </w:numPr>
        <w:rPr/>
      </w:pPr>
      <w:bookmarkStart w:id="957" w:name="__RefHeading___Toc2565860_3650668749"/>
      <w:bookmarkStart w:id="958" w:name="_Toc439"/>
      <w:bookmarkEnd w:id="956"/>
      <w:bookmarkEnd w:id="957"/>
      <w:r>
        <w:rPr>
          <w:rtl w:val="true"/>
        </w:rPr>
        <w:t>[</w:t>
      </w:r>
      <w:r>
        <w:rPr>
          <w:rtl w:val="true"/>
        </w:rPr>
        <w:t>القول فی مستحبّات الدفن و مکروهاته</w:t>
      </w:r>
      <w:r>
        <w:rPr>
          <w:rtl w:val="true"/>
        </w:rPr>
        <w:t>]</w:t>
      </w:r>
      <w:bookmarkEnd w:id="958"/>
    </w:p>
    <w:p>
      <w:pPr>
        <w:pStyle w:val="Heading6"/>
        <w:numPr>
          <w:ilvl w:val="5"/>
          <w:numId w:val="1"/>
        </w:numPr>
        <w:rPr/>
      </w:pPr>
      <w:bookmarkStart w:id="959" w:name="__RefHeading___Toc2565862_3650668749"/>
      <w:bookmarkStart w:id="960" w:name="_Toc440"/>
      <w:bookmarkEnd w:id="959"/>
      <w:r>
        <w:rPr>
          <w:rtl w:val="true"/>
        </w:rPr>
        <w:t>اشارة</w:t>
      </w:r>
      <w:bookmarkEnd w:id="960"/>
    </w:p>
    <w:p>
      <w:pPr>
        <w:pStyle w:val="BookText"/>
        <w:rPr/>
      </w:pPr>
      <w:r>
        <w:rPr>
          <w:rFonts w:ascii="IRNazanin" w:hAnsi="IRNazanin" w:eastAsia="IRNazanin"/>
          <w:color w:val="111111"/>
          <w:sz w:val="28"/>
          <w:sz w:val="28"/>
          <w:szCs w:val="28"/>
          <w:rtl w:val="true"/>
          <w:lang w:bidi="fa-IR"/>
        </w:rPr>
        <w:t>القول فی مستحبّات الدفن و مکروهاته</w:t>
      </w:r>
    </w:p>
    <w:p>
      <w:pPr>
        <w:pStyle w:val="Heading6"/>
        <w:numPr>
          <w:ilvl w:val="5"/>
          <w:numId w:val="1"/>
        </w:numPr>
        <w:rPr/>
      </w:pPr>
      <w:bookmarkStart w:id="961" w:name="__RefHeading___Toc2565864_3650668749"/>
      <w:bookmarkStart w:id="962" w:name="_Toc441"/>
      <w:bookmarkEnd w:id="961"/>
      <w:r>
        <w:rPr>
          <w:rtl w:val="true"/>
        </w:rPr>
        <w:t>[</w:t>
      </w:r>
      <w:r>
        <w:rPr>
          <w:rtl w:val="true"/>
        </w:rPr>
        <w:t>أمّا المستحبّات فهی أُمور</w:t>
      </w:r>
      <w:r>
        <w:rPr>
          <w:rtl w:val="true"/>
        </w:rPr>
        <w:t>]</w:t>
      </w:r>
      <w:bookmarkEnd w:id="962"/>
    </w:p>
    <w:p>
      <w:pPr>
        <w:pStyle w:val="BookText"/>
        <w:rPr/>
      </w:pPr>
      <w:r>
        <w:rPr>
          <w:rFonts w:ascii="Amiri" w:hAnsi="Amiri" w:eastAsia="Amiri" w:cs="Amiri"/>
          <w:color w:val="111111"/>
          <w:sz w:val="28"/>
          <w:sz w:val="28"/>
          <w:szCs w:val="28"/>
          <w:rtl w:val="true"/>
          <w:lang w:bidi="ar-SA"/>
        </w:rPr>
        <w:t>أمّا المستحبّات فهی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القبر إلی الترقوة أو بقدر القامة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اللحد فی الأرض الصلبة؛ بأن یحفر فی حائط القبر ممّا یلی القبلة حفیرة بقدر ما تسع جثّته فیوضع فیها، و الشقّ فی الأرض الرخوة بأن یحفر فی قعر القبر حفیرة شبه النهر فیوضع فیها المیّت و یسقّف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جنازة الرجل قبل إنزاله فی القبر ممّا یلی الرجلین و جنازة المرأة ممّا یلی القبلة أمام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یفجأ به القبر و لا ینزله فیه بغتة، بل یضعه دون القبر بذراعین أو ثلاثة و یصبر علیه هنیئة، ثمّ یقدّمه قلیلًا و یصبر علیه هنیئة، ثمّ یضعه علیٰ شفیر القبر لیأخذ أُهبته للسؤال، فإنّ للقبر أهوالًا عظیمة نستجیر باللّٰه منها ثمّ یسلّه من نعشه سلّا فیدخله برفق؛ سابقاً برأسه إن کان رجلًا و عرضاً إن کان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یحلّ جمیع عقد الکفن بعد وضعه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یکشف عن وجهه و یجعل خدّه علی الأرض و یعمل له وسادة من تراب و یسند ظهره بلبنة أو مدرة لئلّا یستلقی علیٰ قفاه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یسدّ اللحد باللبن أو الأحجار لئلّا یصل إلیه التراب، و إذا أحکمها بالطین کان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ینزّله فی القبر متطهّراً مکشوف الرأس حالّا أزراره نازعاً عمامته و رداءه و نعلیه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المباشر لإنزال المرأة و حلّ أکفانها زوجها أو محارمها، و مع عدمهم فأقرب أرحامها من الرجال فالنساء ثمّ الأجانب، و الزوج أولیٰ من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یهیل علیه التراب غیر أرحامه بظهر الأکفّ</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یقرأ بالأدعیة المأثورة المذکورة فی الکتب المبسوطة فی مواضع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سلّه من النعش، و عند معاینة القبر، و عند إنزاله فیه، و بعد وضعه فیه،</w:t>
      </w:r>
    </w:p>
    <w:p>
      <w:pPr>
        <w:pStyle w:val="BookText"/>
        <w:rPr/>
      </w:pPr>
      <w:r>
        <w:rPr>
          <w:rFonts w:ascii="IRNazanin" w:hAnsi="IRNazanin" w:eastAsia="IRNazanin"/>
          <w:color w:val="111111"/>
          <w:sz w:val="28"/>
          <w:sz w:val="28"/>
          <w:szCs w:val="28"/>
          <w:rtl w:val="true"/>
          <w:lang w:bidi="fa-IR"/>
        </w:rPr>
        <w:t>و بعد وضعه فی لحده، و حال اشتغاله بسدّ اللحد، و عند الخروج من القبر، و عند إهالة التراب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تلقینه العقائد الحقّة من أُصول دینه و مذهبه بالمأثور، بعد وضعه فی اللحد قبل أن یسدّه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القبر عن الأرض بمقدار أربع أصابع مضمومة أو مفرّجة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تربیع القبر؛ بمعنی تسطیحه و جعله ذا أربع زوایا قائمة، و یکره تسنیمه بل الأحوط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یرشّ الماء علیٰ قبره، و الأولی فی کیفیّته أن یستقبل القبلة و یبتدئ بالرش من عند الرأس إلی الرجل ثمّ یدور به علی القبر حتّی ینتهی إلی الرأس ثمّ یرشّ علیٰ وسط القبر ما یفضل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الید علی القبر مفرّجة الأصابع مع غمزها بحیث یبقیٰ أثرها، و قراءة إنّا أنْزَلْناهُ فِی لَیْلَةِ القَدْرِ سبع مرّات، و الاستغفار و الدعاء له بنحو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الأرضَ عن جنبیه، و أصعد إلیک روحَه، و لقّه منک رضواناً و أسکِن قبره من رحمتک ما تُغنِیه به عن رحمة من 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غربتَه و صِل وحدتَه و آنِس وحشتَه و آمِن روعتَه و أفِض علیه من رحمتک و أسکِن إلیه من بَرْد عفوک و سعة غفرانک و رحمتک ما یَستغنی بها عن رحمة من سواک، و احشُره مع من کان یتولّاه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یختصّ استحباب الأُمور المزبورة بهذه الحالة بل تستحبّ عند زیارة کلّ مؤمن فی کلّ زمان و علیٰ کلّ حال، کما أنّ لها آداب خاصّة و أدعیة مخصوصة مذکورة فی الکتب المبسوطة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یلقّنه الولیّ أو من یأمره بعد تمام الدفن و رجوع المشیّعین و انصرافهم أُصول دینه و مذهبه بأرفع صوته؛ من الإقرار بالتوحید و رسالة سیّد المرسلین و إمامة الأئمّة المعصومین و الإقرار بما جاء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البعث و النشور و الحساب و المیزان و الصراط و الجنّة و النار، و بذلک التلقین یدفع سؤال منکر و نکیر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یکتب اسم المیّت علی القبر أو علیٰ لوح أو حجر، و ینصب عند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الأقارب متقاربین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إحکام القبر</w:t>
      </w:r>
      <w:r>
        <w:rPr>
          <w:rFonts w:eastAsia="IRNazanin" w:cs="IRNazanin"/>
          <w:color w:val="111111"/>
          <w:sz w:val="28"/>
          <w:szCs w:val="28"/>
          <w:rtl w:val="true"/>
          <w:lang w:bidi="fa-IR"/>
        </w:rPr>
        <w:t>.</w:t>
      </w:r>
      <w:bookmarkStart w:id="963" w:name="pg1809_18860"/>
    </w:p>
    <w:p>
      <w:pPr>
        <w:pStyle w:val="Heading6"/>
        <w:numPr>
          <w:ilvl w:val="5"/>
          <w:numId w:val="1"/>
        </w:numPr>
        <w:rPr/>
      </w:pPr>
      <w:bookmarkStart w:id="964" w:name="__RefHeading___Toc2565866_3650668749"/>
      <w:bookmarkStart w:id="965" w:name="_Toc442"/>
      <w:bookmarkEnd w:id="963"/>
      <w:bookmarkEnd w:id="964"/>
      <w:r>
        <w:rPr>
          <w:rtl w:val="true"/>
        </w:rPr>
        <w:t>[</w:t>
      </w:r>
      <w:r>
        <w:rPr>
          <w:rtl w:val="true"/>
        </w:rPr>
        <w:t>و أمّا المکروهات</w:t>
      </w:r>
      <w:r>
        <w:rPr>
          <w:rtl w:val="true"/>
        </w:rPr>
        <w:t>]</w:t>
      </w:r>
      <w:bookmarkEnd w:id="965"/>
    </w:p>
    <w:p>
      <w:pPr>
        <w:pStyle w:val="BookText"/>
        <w:rPr/>
      </w:pPr>
      <w:r>
        <w:rPr>
          <w:rFonts w:ascii="Amiri" w:hAnsi="Amiri" w:eastAsia="Amiri" w:cs="Amiri"/>
          <w:color w:val="111111"/>
          <w:sz w:val="28"/>
          <w:sz w:val="28"/>
          <w:szCs w:val="28"/>
          <w:rtl w:val="true"/>
          <w:lang w:bidi="ar-SA"/>
        </w:rPr>
        <w:t>و أمّا المکروهات فهی أیضاً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میّتین فی قبر واحد کجمعهما فی جنازة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دفن میّت فی قبر میّت آخر بعد دفنه فهو حرام </w:t>
      </w:r>
      <w:r>
        <w:rPr>
          <w:rStyle w:val="FootnoteAnchor"/>
          <w:rtl w:val="true"/>
        </w:rPr>
        <w:footnoteReference w:id="254"/>
      </w:r>
      <w:r>
        <w:rPr>
          <w:rFonts w:ascii="IRNazanin" w:hAnsi="IRNazanin" w:eastAsia="IRNazanin"/>
          <w:color w:val="111111"/>
          <w:sz w:val="28"/>
          <w:sz w:val="28"/>
          <w:szCs w:val="28"/>
          <w:rtl w:val="true"/>
          <w:lang w:bidi="fa-IR"/>
        </w:rPr>
        <w:t>قبل أن یصیر رمیماً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القبر بساج و نحوه کالآجر </w:t>
      </w:r>
      <w:r>
        <w:rPr>
          <w:rStyle w:val="FootnoteAnchor"/>
          <w:rtl w:val="true"/>
        </w:rPr>
        <w:footnoteReference w:id="255"/>
      </w:r>
      <w:r>
        <w:rPr>
          <w:rFonts w:ascii="IRNazanin" w:hAnsi="IRNazanin" w:eastAsia="IRNazanin"/>
          <w:color w:val="111111"/>
          <w:sz w:val="28"/>
          <w:sz w:val="28"/>
          <w:szCs w:val="28"/>
          <w:rtl w:val="true"/>
          <w:lang w:bidi="fa-IR"/>
        </w:rPr>
        <w:t>و الحجر إلّا إذا کانت الأرض ندیّة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الوالد فی قبر ولده خوفاً عن جزعه و فوات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یهیل ذو الرحم علیٰ رحمه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القبر و تطیینه بغیر ترابه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القبر بعد اندراسه إلّا قبور الأنبیاء و الأوصیاء و الصلحاء و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علی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فی المقابر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الاتّکاء علی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علی القبر من غیر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القبر عن الأرض أزید من أربع أصابع مفرّجات</w:t>
      </w:r>
      <w:r>
        <w:rPr>
          <w:rFonts w:eastAsia="IRNazanin" w:cs="IRNazanin"/>
          <w:color w:val="111111"/>
          <w:sz w:val="28"/>
          <w:szCs w:val="28"/>
          <w:rtl w:val="true"/>
          <w:lang w:bidi="fa-IR"/>
        </w:rPr>
        <w:t>.</w:t>
      </w:r>
    </w:p>
    <w:p>
      <w:pPr>
        <w:pStyle w:val="Heading6"/>
        <w:numPr>
          <w:ilvl w:val="5"/>
          <w:numId w:val="1"/>
        </w:numPr>
        <w:rPr/>
      </w:pPr>
      <w:bookmarkStart w:id="966" w:name="__RefHeading___Toc2565868_3650668749"/>
      <w:bookmarkStart w:id="967" w:name="_Toc443"/>
      <w:bookmarkEnd w:id="966"/>
      <w:r>
        <w:rPr>
          <w:rtl w:val="true"/>
        </w:rPr>
        <w:t>[</w:t>
      </w:r>
      <w:r>
        <w:rPr>
          <w:rtl w:val="true"/>
        </w:rPr>
        <w:t>خاتمة تشتمل علیٰ مسائل</w:t>
      </w:r>
      <w:r>
        <w:rPr>
          <w:rtl w:val="true"/>
        </w:rPr>
        <w:t>]</w:t>
      </w:r>
      <w:bookmarkEnd w:id="967"/>
    </w:p>
    <w:p>
      <w:pPr>
        <w:pStyle w:val="Heading6"/>
        <w:numPr>
          <w:ilvl w:val="5"/>
          <w:numId w:val="1"/>
        </w:numPr>
        <w:rPr/>
      </w:pPr>
      <w:bookmarkStart w:id="968" w:name="__RefHeading___Toc2565870_3650668749"/>
      <w:bookmarkStart w:id="969" w:name="_Toc444"/>
      <w:bookmarkEnd w:id="968"/>
      <w:r>
        <w:rPr>
          <w:rtl w:val="true"/>
        </w:rPr>
        <w:t>اشارة</w:t>
      </w:r>
      <w:bookmarkEnd w:id="969"/>
    </w:p>
    <w:p>
      <w:pPr>
        <w:pStyle w:val="BookText"/>
        <w:rPr/>
      </w:pPr>
      <w:r>
        <w:rPr>
          <w:rFonts w:ascii="IRNazanin" w:hAnsi="IRNazanin" w:eastAsia="IRNazanin"/>
          <w:color w:val="111111"/>
          <w:sz w:val="28"/>
          <w:sz w:val="28"/>
          <w:szCs w:val="28"/>
          <w:rtl w:val="true"/>
          <w:lang w:bidi="fa-IR"/>
        </w:rPr>
        <w:t>خاتمة تشتمل علیٰ مسائل</w:t>
      </w:r>
    </w:p>
    <w:p>
      <w:pPr>
        <w:pStyle w:val="Heading6"/>
        <w:numPr>
          <w:ilvl w:val="5"/>
          <w:numId w:val="1"/>
        </w:numPr>
        <w:rPr/>
      </w:pPr>
      <w:bookmarkStart w:id="970" w:name="__RefHeading___Toc2565872_3650668749"/>
      <w:bookmarkStart w:id="971" w:name="_Toc445"/>
      <w:bookmarkEnd w:id="970"/>
      <w:r>
        <w:rPr>
          <w:rtl w:val="true"/>
        </w:rPr>
        <w:t>[ (</w:t>
      </w:r>
      <w:r>
        <w:rPr>
          <w:rtl w:val="true"/>
        </w:rPr>
        <w:t xml:space="preserve">مسألة </w:t>
      </w:r>
      <w:r>
        <w:rPr/>
        <w:t>1</w:t>
      </w:r>
      <w:r>
        <w:rPr>
          <w:rtl w:val="true"/>
        </w:rPr>
        <w:t xml:space="preserve">): </w:t>
      </w:r>
      <w:r>
        <w:rPr>
          <w:rtl w:val="true"/>
        </w:rPr>
        <w:t>یجوز نقل المیّت من بلد موته إلیٰ بلد آخر قبل دفنه علیٰ کراهیة</w:t>
      </w:r>
      <w:r>
        <w:rPr>
          <w:rtl w:val="true"/>
        </w:rPr>
        <w:t>]</w:t>
      </w:r>
      <w:bookmarkEnd w:id="97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نقل المیّت من بلد موته إلیٰ بلد آخر قبل دفنه علیٰ کراهیة، إلّا إلی المشاهد المشرّفة و الأماکن المقدّسة فلا کراهة فی النقل إلیها بل فیه فضل و رجحان، و إنّما یجوز النقل مع الکراهة فی غیر المشاهد و بدونها فیها إذا لم یستلزم من جهة بُعد</w:t>
      </w:r>
      <w:bookmarkStart w:id="972" w:name="pg1809_18861"/>
    </w:p>
    <w:p>
      <w:pPr>
        <w:pStyle w:val="BookText"/>
        <w:rPr/>
      </w:pPr>
      <w:bookmarkEnd w:id="972"/>
      <w:r>
        <w:rPr>
          <w:rFonts w:ascii="IRNazanin" w:hAnsi="IRNazanin" w:eastAsia="IRNazanin"/>
          <w:color w:val="111111"/>
          <w:sz w:val="28"/>
          <w:sz w:val="28"/>
          <w:szCs w:val="28"/>
          <w:rtl w:val="true"/>
          <w:lang w:bidi="fa-IR"/>
        </w:rPr>
        <w:t>المسافة و تأخیر الدفن أو غیر ذلک تغیّر المیّت و فساده و هتکه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مع استلزامه ذلک فلا یجوز فی غیر المشاهد قطعاً، و أمّا فیها ففیه تأمّل </w:t>
      </w:r>
      <w:r>
        <w:rPr>
          <w:rStyle w:val="FootnoteAnchor"/>
          <w:rtl w:val="true"/>
        </w:rPr>
        <w:footnoteReference w:id="256"/>
      </w:r>
      <w:r>
        <w:rPr>
          <w:rFonts w:ascii="IRNazanin" w:hAnsi="IRNazanin" w:eastAsia="IRNazanin"/>
          <w:color w:val="111111"/>
          <w:sz w:val="28"/>
          <w:sz w:val="28"/>
          <w:szCs w:val="28"/>
          <w:rtl w:val="true"/>
          <w:lang w:bidi="fa-IR"/>
        </w:rPr>
        <w:t>و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بعد الدفن فلو فرض إخراج المیّت عن قبره أو خروجه بسبب من الأسباب یکون بحکم غیر المدفون فی التفصیل المزبور، و أمّا نبشه للنقل فلا یجوز فی غیر المشاهد قطعاً، و أمّا فیها ففیه تأمّل و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تعارف فی زماننا من تودیع المیّت و تأمینه لینقل فیما بعد إلی المشاهد إنّما هو لأجل التخلّص عن محذور النبش و هو تخلّص حسن </w:t>
      </w:r>
      <w:r>
        <w:rPr>
          <w:rStyle w:val="FootnoteAnchor"/>
          <w:rtl w:val="true"/>
        </w:rPr>
        <w:footnoteReference w:id="257"/>
      </w:r>
      <w:r>
        <w:rPr>
          <w:rFonts w:ascii="IRNazanin" w:hAnsi="IRNazanin" w:eastAsia="IRNazanin"/>
          <w:color w:val="111111"/>
          <w:sz w:val="28"/>
          <w:sz w:val="28"/>
          <w:szCs w:val="28"/>
          <w:rtl w:val="true"/>
          <w:lang w:bidi="fa-IR"/>
        </w:rPr>
        <w:t>، إلّا أنّ جواز أصل هذا العمل حتّی فیما إذا طالت المدّة إلیٰ أن آل إلیٰ طروّ التغیّر و الفساد و تقطّع الأوصال عندی محلّ نظر و إشکال</w:t>
      </w:r>
      <w:r>
        <w:rPr>
          <w:rFonts w:eastAsia="IRNazanin" w:cs="IRNazanin"/>
          <w:color w:val="111111"/>
          <w:sz w:val="28"/>
          <w:szCs w:val="28"/>
          <w:rtl w:val="true"/>
          <w:lang w:bidi="fa-IR"/>
        </w:rPr>
        <w:t>.</w:t>
      </w:r>
    </w:p>
    <w:p>
      <w:pPr>
        <w:pStyle w:val="Heading6"/>
        <w:numPr>
          <w:ilvl w:val="5"/>
          <w:numId w:val="1"/>
        </w:numPr>
        <w:rPr/>
      </w:pPr>
      <w:bookmarkStart w:id="973" w:name="__RefHeading___Toc2565874_3650668749"/>
      <w:bookmarkStart w:id="974" w:name="_Toc446"/>
      <w:bookmarkEnd w:id="973"/>
      <w:r>
        <w:rPr>
          <w:rtl w:val="true"/>
        </w:rPr>
        <w:t>[ (</w:t>
      </w:r>
      <w:r>
        <w:rPr>
          <w:rtl w:val="true"/>
        </w:rPr>
        <w:t xml:space="preserve">مسألة </w:t>
      </w:r>
      <w:r>
        <w:rPr/>
        <w:t>2</w:t>
      </w:r>
      <w:r>
        <w:rPr>
          <w:rtl w:val="true"/>
        </w:rPr>
        <w:t xml:space="preserve">): </w:t>
      </w:r>
      <w:r>
        <w:rPr>
          <w:rtl w:val="true"/>
        </w:rPr>
        <w:t>یجوز البکاء علی المیّت</w:t>
      </w:r>
      <w:r>
        <w:rPr>
          <w:rtl w:val="true"/>
        </w:rPr>
        <w:t>]</w:t>
      </w:r>
      <w:bookmarkEnd w:id="9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البکاء علی المیّت بل قد یستحبّ عند اشتداد الحزن و الوجد و لکن لا یقول ما یسخط الربّ، و کذا یجوز النوح علیه بالنظم و النثر إذا لم یشتمل علی الباطل من الکذب </w:t>
      </w:r>
      <w:r>
        <w:rPr>
          <w:rStyle w:val="FootnoteAnchor"/>
          <w:rtl w:val="true"/>
        </w:rPr>
        <w:footnoteReference w:id="258"/>
      </w:r>
      <w:r>
        <w:rPr>
          <w:rFonts w:ascii="IRNazanin" w:hAnsi="IRNazanin" w:eastAsia="IRNazanin"/>
          <w:color w:val="111111"/>
          <w:sz w:val="28"/>
          <w:sz w:val="28"/>
          <w:szCs w:val="28"/>
          <w:rtl w:val="true"/>
          <w:lang w:bidi="fa-IR"/>
        </w:rPr>
        <w:t>، بل و الویل و الثبور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اللطم و الخدش و جزّ الشعر و نتفه بل و الصراخ الخارج عن حدّ الاعتدال علی الأحوط لو لم یکن الأقویٰ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لا یجوز شقّ الثوب علیٰ غیر الأب و الأخ بل فی بعض الأُمور المزبورة تجب الکفّارة، ففی جزّ المرأة شعرها فی المصیبة کفّارة شهر رمضان و فی نتفه کفّارة الیمین، و کذا تجب کفّارة الیمین فی خدش المرأة وجهها </w:t>
      </w:r>
      <w:r>
        <w:rPr>
          <w:rStyle w:val="FootnoteAnchor"/>
          <w:rtl w:val="true"/>
        </w:rPr>
        <w:footnoteReference w:id="260"/>
      </w:r>
      <w:r>
        <w:rPr>
          <w:rFonts w:ascii="IRNazanin" w:hAnsi="IRNazanin" w:eastAsia="IRNazanin"/>
          <w:color w:val="111111"/>
          <w:sz w:val="28"/>
          <w:sz w:val="28"/>
          <w:szCs w:val="28"/>
          <w:rtl w:val="true"/>
          <w:lang w:bidi="fa-IR"/>
        </w:rPr>
        <w:t>فی المصاب و فی شقّ الرجل ثوبه فی موت زوجته أو ولده؛ و هی إطعام عشرة مساکین أو کسوتهم أو تحریر رقبة و إن لم یجد فصیام ثلاثة أیّام</w:t>
      </w:r>
      <w:r>
        <w:rPr>
          <w:rFonts w:eastAsia="IRNazanin" w:cs="IRNazanin"/>
          <w:color w:val="111111"/>
          <w:sz w:val="28"/>
          <w:szCs w:val="28"/>
          <w:rtl w:val="true"/>
          <w:lang w:bidi="fa-IR"/>
        </w:rPr>
        <w:t>.</w:t>
      </w:r>
    </w:p>
    <w:p>
      <w:pPr>
        <w:pStyle w:val="Heading6"/>
        <w:numPr>
          <w:ilvl w:val="5"/>
          <w:numId w:val="1"/>
        </w:numPr>
        <w:rPr/>
      </w:pPr>
      <w:bookmarkStart w:id="975" w:name="__RefHeading___Toc2565876_3650668749"/>
      <w:bookmarkStart w:id="976" w:name="_Toc447"/>
      <w:bookmarkEnd w:id="975"/>
      <w:r>
        <w:rPr>
          <w:rtl w:val="true"/>
        </w:rPr>
        <w:t>[ (</w:t>
      </w:r>
      <w:r>
        <w:rPr>
          <w:rtl w:val="true"/>
        </w:rPr>
        <w:t xml:space="preserve">مسألة </w:t>
      </w:r>
      <w:r>
        <w:rPr/>
        <w:t>3</w:t>
      </w:r>
      <w:r>
        <w:rPr>
          <w:rtl w:val="true"/>
        </w:rPr>
        <w:t>)]</w:t>
      </w:r>
      <w:bookmarkEnd w:id="976"/>
    </w:p>
    <w:p>
      <w:pPr>
        <w:pStyle w:val="Heading6"/>
        <w:numPr>
          <w:ilvl w:val="5"/>
          <w:numId w:val="1"/>
        </w:numPr>
        <w:rPr/>
      </w:pPr>
      <w:bookmarkStart w:id="977" w:name="__RefHeading___Toc2565878_3650668749"/>
      <w:bookmarkStart w:id="978" w:name="_Toc448"/>
      <w:bookmarkEnd w:id="977"/>
      <w:r>
        <w:rPr>
          <w:rtl w:val="true"/>
        </w:rPr>
        <w:t>اشارة</w:t>
      </w:r>
      <w:bookmarkEnd w:id="9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979" w:name="__RefHeading___Toc2565880_3650668749"/>
      <w:bookmarkStart w:id="980" w:name="_Toc449"/>
      <w:bookmarkEnd w:id="979"/>
      <w:r>
        <w:rPr>
          <w:rtl w:val="true"/>
        </w:rPr>
        <w:t>[</w:t>
      </w:r>
      <w:r>
        <w:rPr>
          <w:rtl w:val="true"/>
        </w:rPr>
        <w:t>یحرم نبش قبر المسلم و من بحکمه</w:t>
      </w:r>
      <w:r>
        <w:rPr>
          <w:rtl w:val="true"/>
        </w:rPr>
        <w:t>]</w:t>
      </w:r>
      <w:bookmarkEnd w:id="98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یحرم نبش قبر المسلم و من بحکمه إلّا مع العلم باندراسه و صیرورته رمیماً و تراباً، نعم لا یجوز نبش قبور الأنبیاء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طالت المدّة، بل و کذا قبور أولاد الأئمّة و الصلحاء و الشهداء ممّا اتّخذ مزاراً و ملاذاً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بالنبش کشف جسد المیّت المدفون بعد ما کان مستوراً بالدفن، فلو حفر القبر و أخرج ترابه من دون أن یظهر جسد المیّت لم یکن من النبش المحرّم، و کذا إذا کان المیّت موضوعاً علیٰ وجه الأرض</w:t>
      </w:r>
      <w:bookmarkStart w:id="981" w:name="pg1809_18862"/>
    </w:p>
    <w:p>
      <w:pPr>
        <w:pStyle w:val="BookText"/>
        <w:rPr/>
      </w:pPr>
      <w:bookmarkEnd w:id="981"/>
      <w:r>
        <w:rPr>
          <w:rFonts w:ascii="IRNazanin" w:hAnsi="IRNazanin" w:eastAsia="IRNazanin"/>
          <w:color w:val="111111"/>
          <w:sz w:val="28"/>
          <w:sz w:val="28"/>
          <w:szCs w:val="28"/>
          <w:rtl w:val="true"/>
          <w:lang w:bidi="fa-IR"/>
        </w:rPr>
        <w:t>و بنیٰ علیه بناء أو کان فی تابوت من صخرة و نحوها فاخرج</w:t>
      </w:r>
      <w:r>
        <w:rPr>
          <w:rFonts w:eastAsia="IRNazanin" w:cs="IRNazanin"/>
          <w:color w:val="111111"/>
          <w:sz w:val="28"/>
          <w:szCs w:val="28"/>
          <w:rtl w:val="true"/>
          <w:lang w:bidi="fa-IR"/>
        </w:rPr>
        <w:t>.</w:t>
      </w:r>
    </w:p>
    <w:p>
      <w:pPr>
        <w:pStyle w:val="Heading6"/>
        <w:numPr>
          <w:ilvl w:val="5"/>
          <w:numId w:val="1"/>
        </w:numPr>
        <w:rPr/>
      </w:pPr>
      <w:bookmarkStart w:id="982" w:name="__RefHeading___Toc2565882_3650668749"/>
      <w:bookmarkStart w:id="983" w:name="_Toc450"/>
      <w:bookmarkEnd w:id="982"/>
      <w:r>
        <w:rPr>
          <w:rtl w:val="true"/>
        </w:rPr>
        <w:t>[</w:t>
      </w:r>
      <w:r>
        <w:rPr>
          <w:rtl w:val="true"/>
        </w:rPr>
        <w:t>و یجوز النبش فی موارد</w:t>
      </w:r>
      <w:r>
        <w:rPr>
          <w:rtl w:val="true"/>
        </w:rPr>
        <w:t>]</w:t>
      </w:r>
      <w:bookmarkEnd w:id="983"/>
    </w:p>
    <w:p>
      <w:pPr>
        <w:pStyle w:val="BookText"/>
        <w:rPr/>
      </w:pPr>
      <w:r>
        <w:rPr>
          <w:rFonts w:ascii="IRNazanin" w:hAnsi="IRNazanin" w:eastAsia="IRNazanin"/>
          <w:color w:val="111111"/>
          <w:sz w:val="28"/>
          <w:sz w:val="28"/>
          <w:szCs w:val="28"/>
          <w:rtl w:val="true"/>
          <w:lang w:bidi="fa-IR"/>
        </w:rPr>
        <w:t>و یجوز النبش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دفن فی مکان مغصوب عیناً أو منفعة عدواناً أو جهلًا أو نسیاناً و لا یجب علی المالک الرضا ببقائه مجّاناً أو بالعوض، و إن کان الأولیٰ بل الأحوط إبقاؤه و لو بالعوض، خصوصاً فیما إذا کان وارثاً أو رحماً أو دفن فیه اشتباهاً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أذن المالک فی دفن میّت فی ملکه و أباحه له لیس له أن یرجع عن إذنه و إباحته، نعم إذا خرج المیّت بسبب من الأسباب لا یجب علیه الرضا و الإذن بدفنه ثانیاً فی ذلک المکان بل له الرجوع عن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الدفن مع الکفن المغصوب أو مال آخر مغصوب کالدفن فی المکان المغصوب، فیجوز النبش لأخذه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معه شی‌ء من أمواله من خاتم و نحوه فدفن معه، ففی جواز نبش الورثة إیّاه لأخذه تأمّل و إشکال، خصوصاً فیما إذا لم یجحف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لتدارک الغسل </w:t>
      </w:r>
      <w:r>
        <w:rPr>
          <w:rStyle w:val="FootnoteAnchor"/>
          <w:rtl w:val="true"/>
        </w:rPr>
        <w:footnoteReference w:id="261"/>
      </w:r>
      <w:r>
        <w:rPr>
          <w:rFonts w:ascii="IRNazanin" w:hAnsi="IRNazanin" w:eastAsia="IRNazanin"/>
          <w:color w:val="111111"/>
          <w:sz w:val="28"/>
          <w:sz w:val="28"/>
          <w:szCs w:val="28"/>
          <w:rtl w:val="true"/>
          <w:lang w:bidi="fa-IR"/>
        </w:rPr>
        <w:t>أو الکفن أو الحنوط فیما إذا دفن بدونها مع التمکّن منها، و أمّا لو دفن بدونها لعذر کما إذا لم یوجد الماء أو الکفن أو الکافور ثمّ وجد بعد الدفن ففی جواز النبش لتدارک الفائت تأمّل و إشکال، و لا سیّما فیما إذا لم یوجد الماء فیمّم بدلًا عن الغسل و دفن ثمّ وجد، بل عدم جواز النبش لتدارک الغسل حینئذٍ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دفن بلا صلاة فلا ینبش لأجل تدارکها قطعاً بل یصلّی علیٰ قبره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إثبات حقّ من الحقوق علیٰ مشاهدة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دفن فی مکان یوجب هتکه کما إذا دفن فی بالوعة أو مزبلة، و کذا إذا دفن فی مقبرة الکفّار فی وجه لا یخلو من قوّة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لنقله إلی المشاهد المشرّفة مع إیصاء المیّت بنقله إلیها بعد دفنه أو بنقله إلیها قبل دفنه فخولف عصیاناً أو جهلًا أو نسیاناً فدفن فی مکان آخر أو بلا وصیّة منه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عندی فی جمیع هذه الصور الثلاث تأمّل و إشکال، و إن کانت هی متفاوتة، فأشکلها ثالثتها ثمّ ثانیتها </w:t>
      </w:r>
      <w:r>
        <w:rPr>
          <w:rStyle w:val="FootnoteAnchor"/>
          <w:rtl w:val="true"/>
        </w:rPr>
        <w:footnoteReference w:id="262"/>
      </w:r>
      <w:r>
        <w:rPr>
          <w:rFonts w:ascii="Amiri" w:hAnsi="Amiri" w:eastAsia="Amiri" w:cs="Amiri"/>
          <w:color w:val="111111"/>
          <w:sz w:val="28"/>
          <w:sz w:val="28"/>
          <w:szCs w:val="28"/>
          <w:rtl w:val="true"/>
          <w:lang w:bidi="ar-SA"/>
        </w:rPr>
        <w:t>ثمّ أُولاها</w:t>
      </w:r>
      <w:r>
        <w:rPr>
          <w:rFonts w:eastAsia="Amiri" w:cs="Amiri" w:ascii="Amiri" w:hAnsi="Amiri"/>
          <w:color w:val="111111"/>
          <w:sz w:val="28"/>
          <w:szCs w:val="28"/>
          <w:rtl w:val="true"/>
          <w:lang w:bidi="ar-SA"/>
        </w:rPr>
        <w:t>.</w:t>
      </w:r>
      <w:bookmarkStart w:id="984" w:name="pg1809_18863"/>
    </w:p>
    <w:p>
      <w:pPr>
        <w:pStyle w:val="BookText"/>
        <w:rPr/>
      </w:pPr>
      <w:bookmarkEnd w:id="984"/>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خیف علیه من سبع أو سیل أو عدوّ و نحو ذلک</w:t>
      </w:r>
      <w:r>
        <w:rPr>
          <w:rFonts w:eastAsia="IRNazanin" w:cs="IRNazanin"/>
          <w:color w:val="111111"/>
          <w:sz w:val="28"/>
          <w:szCs w:val="28"/>
          <w:rtl w:val="true"/>
          <w:lang w:bidi="fa-IR"/>
        </w:rPr>
        <w:t>.</w:t>
      </w:r>
    </w:p>
    <w:p>
      <w:pPr>
        <w:pStyle w:val="Heading6"/>
        <w:numPr>
          <w:ilvl w:val="5"/>
          <w:numId w:val="1"/>
        </w:numPr>
        <w:rPr/>
      </w:pPr>
      <w:bookmarkStart w:id="985" w:name="__RefHeading___Toc2565884_3650668749"/>
      <w:bookmarkStart w:id="986" w:name="_Toc451"/>
      <w:bookmarkEnd w:id="985"/>
      <w:r>
        <w:rPr>
          <w:rtl w:val="true"/>
        </w:rPr>
        <w:t>[ (</w:t>
      </w:r>
      <w:r>
        <w:rPr>
          <w:rtl w:val="true"/>
        </w:rPr>
        <w:t xml:space="preserve">مسألة </w:t>
      </w:r>
      <w:r>
        <w:rPr/>
        <w:t>4</w:t>
      </w:r>
      <w:r>
        <w:rPr>
          <w:rtl w:val="true"/>
        </w:rPr>
        <w:t xml:space="preserve">): </w:t>
      </w:r>
      <w:r>
        <w:rPr>
          <w:rtl w:val="true"/>
        </w:rPr>
        <w:t>یجوز محو آثار القبور التی علم اندراس میّتها</w:t>
      </w:r>
      <w:r>
        <w:rPr>
          <w:rtl w:val="true"/>
        </w:rPr>
        <w:t>]</w:t>
      </w:r>
      <w:bookmarkEnd w:id="9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محو </w:t>
      </w:r>
      <w:r>
        <w:rPr>
          <w:rStyle w:val="FootnoteAnchor"/>
          <w:rtl w:val="true"/>
        </w:rPr>
        <w:footnoteReference w:id="263"/>
      </w:r>
      <w:r>
        <w:rPr>
          <w:rFonts w:ascii="IRNazanin" w:hAnsi="IRNazanin" w:eastAsia="IRNazanin"/>
          <w:color w:val="111111"/>
          <w:sz w:val="28"/>
          <w:sz w:val="28"/>
          <w:szCs w:val="28"/>
          <w:rtl w:val="true"/>
          <w:lang w:bidi="fa-IR"/>
        </w:rPr>
        <w:t>آثار القبور التی علم اندراس میّتها، سیّما إذا کانت فی المقبرة المسبَّلة للمسلمین مع حاجتهم، عدا ما تقدّم من قبور الشهداء و الصلحاء و العلماء و أولاد الأئمّة ممّا جعلت مزاراً</w:t>
      </w:r>
      <w:r>
        <w:rPr>
          <w:rFonts w:eastAsia="IRNazanin" w:cs="IRNazanin"/>
          <w:color w:val="111111"/>
          <w:sz w:val="28"/>
          <w:szCs w:val="28"/>
          <w:rtl w:val="true"/>
          <w:lang w:bidi="fa-IR"/>
        </w:rPr>
        <w:t>.</w:t>
      </w:r>
    </w:p>
    <w:p>
      <w:pPr>
        <w:pStyle w:val="Heading6"/>
        <w:numPr>
          <w:ilvl w:val="5"/>
          <w:numId w:val="1"/>
        </w:numPr>
        <w:rPr/>
      </w:pPr>
      <w:bookmarkStart w:id="987" w:name="__RefHeading___Toc2565886_3650668749"/>
      <w:bookmarkStart w:id="988" w:name="_Toc452"/>
      <w:bookmarkEnd w:id="987"/>
      <w:r>
        <w:rPr>
          <w:rtl w:val="true"/>
        </w:rPr>
        <w:t>[ (</w:t>
      </w:r>
      <w:r>
        <w:rPr>
          <w:rtl w:val="true"/>
        </w:rPr>
        <w:t xml:space="preserve">مسألة </w:t>
      </w:r>
      <w:r>
        <w:rPr/>
        <w:t>5</w:t>
      </w:r>
      <w:r>
        <w:rPr>
          <w:rtl w:val="true"/>
        </w:rPr>
        <w:t xml:space="preserve">): </w:t>
      </w:r>
      <w:r>
        <w:rPr>
          <w:rtl w:val="true"/>
        </w:rPr>
        <w:t>إذا أُخرج المیّت عن قبره فی مکان مباح عصیاناً أو بنحو مباح</w:t>
      </w:r>
      <w:r>
        <w:rPr>
          <w:rtl w:val="true"/>
        </w:rPr>
        <w:t>]</w:t>
      </w:r>
      <w:bookmarkEnd w:id="9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المیّت عن قبره فی مکان مباح عصیاناً أو بنحو مباح أو خرج بسبب من الأسباب، لا یجب دفنه ثانیاً فی ذلک المکان، بل یجوز أن یدفن فی مکان آخر</w:t>
      </w:r>
      <w:r>
        <w:rPr>
          <w:rFonts w:eastAsia="IRNazanin" w:cs="IRNazanin"/>
          <w:color w:val="111111"/>
          <w:sz w:val="28"/>
          <w:szCs w:val="28"/>
          <w:rtl w:val="true"/>
          <w:lang w:bidi="fa-IR"/>
        </w:rPr>
        <w:t>.</w:t>
      </w:r>
    </w:p>
    <w:p>
      <w:pPr>
        <w:pStyle w:val="Heading6"/>
        <w:numPr>
          <w:ilvl w:val="5"/>
          <w:numId w:val="1"/>
        </w:numPr>
        <w:rPr/>
      </w:pPr>
      <w:bookmarkStart w:id="989" w:name="__RefHeading___Toc2565888_3650668749"/>
      <w:bookmarkStart w:id="990" w:name="_Toc453"/>
      <w:bookmarkEnd w:id="989"/>
      <w:r>
        <w:rPr>
          <w:rtl w:val="true"/>
        </w:rPr>
        <w:t>[</w:t>
      </w:r>
      <w:r>
        <w:rPr>
          <w:rtl w:val="true"/>
        </w:rPr>
        <w:t>ختامٌ فیه أمران</w:t>
      </w:r>
      <w:r>
        <w:rPr>
          <w:rtl w:val="true"/>
        </w:rPr>
        <w:t>]</w:t>
      </w:r>
      <w:bookmarkEnd w:id="990"/>
    </w:p>
    <w:p>
      <w:pPr>
        <w:pStyle w:val="Heading6"/>
        <w:numPr>
          <w:ilvl w:val="5"/>
          <w:numId w:val="1"/>
        </w:numPr>
        <w:rPr/>
      </w:pPr>
      <w:bookmarkStart w:id="991" w:name="__RefHeading___Toc2565890_3650668749"/>
      <w:bookmarkStart w:id="992" w:name="_Toc454"/>
      <w:bookmarkEnd w:id="991"/>
      <w:r>
        <w:rPr>
          <w:rtl w:val="true"/>
        </w:rPr>
        <w:t>اشارة</w:t>
      </w:r>
      <w:bookmarkEnd w:id="992"/>
    </w:p>
    <w:p>
      <w:pPr>
        <w:pStyle w:val="BookText"/>
        <w:rPr/>
      </w:pPr>
      <w:r>
        <w:rPr>
          <w:rFonts w:ascii="IRNazanin" w:hAnsi="IRNazanin" w:eastAsia="IRNazanin"/>
          <w:color w:val="111111"/>
          <w:sz w:val="28"/>
          <w:sz w:val="28"/>
          <w:szCs w:val="28"/>
          <w:rtl w:val="true"/>
          <w:lang w:bidi="fa-IR"/>
        </w:rPr>
        <w:t>ختامٌ فیه أمران</w:t>
      </w:r>
    </w:p>
    <w:p>
      <w:pPr>
        <w:pStyle w:val="Heading6"/>
        <w:numPr>
          <w:ilvl w:val="5"/>
          <w:numId w:val="1"/>
        </w:numPr>
        <w:rPr/>
      </w:pPr>
      <w:bookmarkStart w:id="993" w:name="__RefHeading___Toc2565892_3650668749"/>
      <w:bookmarkStart w:id="994" w:name="_Toc455"/>
      <w:bookmarkEnd w:id="993"/>
      <w:r>
        <w:rPr>
          <w:rtl w:val="true"/>
        </w:rPr>
        <w:t>[</w:t>
      </w:r>
      <w:r>
        <w:rPr>
          <w:rtl w:val="true"/>
        </w:rPr>
        <w:t>أحدهما</w:t>
      </w:r>
      <w:r>
        <w:rPr>
          <w:rtl w:val="true"/>
        </w:rPr>
        <w:t xml:space="preserve">: </w:t>
      </w:r>
      <w:r>
        <w:rPr>
          <w:rtl w:val="true"/>
        </w:rPr>
        <w:t>من المستحبّات الأکیدة التعزیة لأهل المصیبة و تسلیتهم</w:t>
      </w:r>
      <w:r>
        <w:rPr>
          <w:rtl w:val="true"/>
        </w:rPr>
        <w:t>]</w:t>
      </w:r>
      <w:bookmarkEnd w:id="99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المستحبّات الأکیدة التعزیة لأهل المصیبة و تسلیتهم و تخفیف حزنهم بذکر ما یناسب المقام، و ما له دخل تامّ فی هذا المرام من ذکر مصایب الدنیا و سرعة زوالها و أنّ کلّ نفس فانیة و الآجال متقاربة و نقل ما ورد فیما أعدّ اللّٰه تعالیٰ للمصاب من الأجر، و لا سیّما مصاب الولد من أنّه شافع مشفّع لأبویه حتّی أنّ السقط یقف وقفة الغضبان علیٰ باب الجنّة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أدخل حتّی یدخل أبوای، فیدخلهما اللّٰه الجنّة،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تجوز التعزیة قبل الدفن و بعده و إن کان الأفضل کونها بعده و أجرها عظیم و لا سیّما تعزیة الثکلی و الیتیم، فمن عزّیٰ مصاباً کان له مثل أجره، من غیر أن ینتقص من أجر المصاب شی‌ء، و ما من مؤمن یعزّی أخاه بمصیبة إلّا کساه اللّٰه من حلل الکرامة و کان فیما ناجی به موسی ربّه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ما لمن عزّی الثکلی؟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أظلّه فی ظلّی یوم لا ظلّ إلّا ظلّی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سکّت یتیماً عن البکاء وجبت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یمسح یده علیٰ رأس یتیم إلّا و یکتب اللّٰه عزّ و جلّ له بعدد کلّ شعرة مرّت علیها یده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ورد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تحقّقها مجرّد الحضور عند المصاب لأجلها بحیث یراه، فإنّ له دخلًا فی تسلیة الخاطر و تسکین لوعة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جلوس أهل المیّت للتعزیة، و لا کراهة فیه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الأولیٰ أن لا یزید علیٰ ثلاثة أیّام، کما أنّه یستحبّ إرسال الطعام إلیهم فی تلک المدّة بل إلی الثلاثة، و إن کان مدّة جلوسهم أقلّ</w:t>
      </w:r>
      <w:r>
        <w:rPr>
          <w:rFonts w:eastAsia="IRNazanin" w:cs="IRNazanin"/>
          <w:color w:val="111111"/>
          <w:sz w:val="28"/>
          <w:szCs w:val="28"/>
          <w:rtl w:val="true"/>
          <w:lang w:bidi="fa-IR"/>
        </w:rPr>
        <w:t>.</w:t>
      </w:r>
      <w:bookmarkStart w:id="995" w:name="pg1809_18864"/>
    </w:p>
    <w:p>
      <w:pPr>
        <w:pStyle w:val="Heading6"/>
        <w:numPr>
          <w:ilvl w:val="5"/>
          <w:numId w:val="1"/>
        </w:numPr>
        <w:rPr/>
      </w:pPr>
      <w:bookmarkStart w:id="996" w:name="__RefHeading___Toc2565894_3650668749"/>
      <w:bookmarkStart w:id="997" w:name="_Toc456"/>
      <w:bookmarkEnd w:id="995"/>
      <w:bookmarkEnd w:id="996"/>
      <w:r>
        <w:rPr>
          <w:rtl w:val="true"/>
        </w:rPr>
        <w:t>[</w:t>
      </w:r>
      <w:r>
        <w:rPr>
          <w:rtl w:val="true"/>
        </w:rPr>
        <w:t>ثانیهما</w:t>
      </w:r>
      <w:r>
        <w:rPr>
          <w:rtl w:val="true"/>
        </w:rPr>
        <w:t xml:space="preserve">: </w:t>
      </w:r>
      <w:r>
        <w:rPr>
          <w:rtl w:val="true"/>
        </w:rPr>
        <w:t>یستحبّ لیلة الدفن صلاة الهدیّة للمیّت</w:t>
      </w:r>
      <w:r>
        <w:rPr>
          <w:rtl w:val="true"/>
        </w:rPr>
        <w:t>]</w:t>
      </w:r>
      <w:bookmarkEnd w:id="997"/>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لیلة الدفن صلاة الهدیّة للمیّت، و هی المشتهرة فی الألسن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ففی الخبر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 علی المیّت ساعة أشدّ من أوّل لیلة، فارحموا موتاکم بالصدقة، فإن لم تجدوا فلیصلِّ أحدکم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کیفیّتها علیٰ ما فی الخبر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یقرأ فی الأُولیٰ بفاتحة الکتاب مرّة و قُلْ هُوَ اللّٰهُ أحَدٌ مرّتین و فی الثانیة فاتحة الکتاب مرّة و ألهٰاکُمُ التَّکٰاثُرُ عشر مرّات، و بعد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ابعث ثوابها إلیٰ قبر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فیبعث اللّٰه من ساعته ألف ملک إلیٰ قبره مع کلّ ملک ثوب و حلّة، و یوسّع فی قبره من الضیق إلیٰ یوم ینفخ فی الصور و یعطی المصلّی بعدد ما طلعت علیه الشمس حسنات و ترفع له أربعون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روایة أُخری یقرأ فی الرکعة الأُولی الحمد و آیة الکرسی مرّة و فی الثانیة الحمد مرّة و إنّا أنزَلْنٰاهُ عشر مرّات، و یقول بعد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ابعث ثوابها إلیٰ قبر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أتی بالکیفیّتین کان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تکفی صلاة واحدة عن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تعارف من عدد الأربعین أو الواحد و الأربعین غیر وارد، نعم لا بأس به إذا لم یکن بقصد الورود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قراءة آیة الکرسی إلیٰ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جواز الاستئجار و أخذ الأُجرة علیٰ هذه الصلاة إشکال </w:t>
      </w:r>
      <w:r>
        <w:rPr>
          <w:rStyle w:val="FootnoteAnchor"/>
          <w:rtl w:val="true"/>
        </w:rPr>
        <w:footnoteReference w:id="264"/>
      </w:r>
      <w:r>
        <w:rPr>
          <w:rFonts w:ascii="IRNazanin" w:hAnsi="IRNazanin" w:eastAsia="IRNazanin"/>
          <w:color w:val="111111"/>
          <w:sz w:val="28"/>
          <w:sz w:val="28"/>
          <w:szCs w:val="28"/>
          <w:rtl w:val="true"/>
          <w:lang w:bidi="fa-IR"/>
        </w:rPr>
        <w:t>، و الأحوط البذل بنحو العطیّة و الإحسان و تبرّع المصلّی بالصلاة، و الظاهر أنّ وقتها تمام اللیل و إن کان الأولیٰ إیقاعها فی أوّله</w:t>
      </w:r>
      <w:r>
        <w:rPr>
          <w:rFonts w:eastAsia="IRNazanin" w:cs="IRNazanin"/>
          <w:color w:val="111111"/>
          <w:sz w:val="28"/>
          <w:szCs w:val="28"/>
          <w:rtl w:val="true"/>
          <w:lang w:bidi="fa-IR"/>
        </w:rPr>
        <w:t>.</w:t>
      </w:r>
    </w:p>
    <w:p>
      <w:pPr>
        <w:pStyle w:val="Heading4"/>
        <w:numPr>
          <w:ilvl w:val="3"/>
          <w:numId w:val="1"/>
        </w:numPr>
        <w:rPr/>
      </w:pPr>
      <w:bookmarkStart w:id="998" w:name="__RefHeading___Toc2565896_3650668749"/>
      <w:bookmarkStart w:id="999" w:name="_Toc457"/>
      <w:bookmarkEnd w:id="998"/>
      <w:r>
        <w:rPr>
          <w:rtl w:val="true"/>
        </w:rPr>
        <w:t>[</w:t>
      </w:r>
      <w:r>
        <w:rPr>
          <w:rtl w:val="true"/>
        </w:rPr>
        <w:t>القول فی الأغسال المندوبة</w:t>
      </w:r>
      <w:r>
        <w:rPr>
          <w:rtl w:val="true"/>
        </w:rPr>
        <w:t>]</w:t>
      </w:r>
      <w:bookmarkEnd w:id="999"/>
    </w:p>
    <w:p>
      <w:pPr>
        <w:pStyle w:val="Heading5"/>
        <w:numPr>
          <w:ilvl w:val="4"/>
          <w:numId w:val="1"/>
        </w:numPr>
        <w:rPr/>
      </w:pPr>
      <w:bookmarkStart w:id="1000" w:name="__RefHeading___Toc2565898_3650668749"/>
      <w:bookmarkStart w:id="1001" w:name="_Toc458"/>
      <w:bookmarkEnd w:id="1000"/>
      <w:r>
        <w:rPr>
          <w:rtl w:val="true"/>
        </w:rPr>
        <w:t>اشارة</w:t>
      </w:r>
      <w:bookmarkEnd w:id="1001"/>
    </w:p>
    <w:p>
      <w:pPr>
        <w:pStyle w:val="BookText"/>
        <w:rPr/>
      </w:pPr>
      <w:r>
        <w:rPr>
          <w:rFonts w:ascii="IRNazanin" w:hAnsi="IRNazanin" w:eastAsia="IRNazanin"/>
          <w:color w:val="111111"/>
          <w:sz w:val="28"/>
          <w:sz w:val="28"/>
          <w:szCs w:val="28"/>
          <w:rtl w:val="true"/>
          <w:lang w:bidi="fa-IR"/>
        </w:rPr>
        <w:t>القول فی الأغسال المندوبة و هی أقسام زمانیّة و مکانیّة و فعلیّة</w:t>
      </w:r>
      <w:r>
        <w:rPr>
          <w:rFonts w:eastAsia="IRNazanin" w:cs="IRNazanin"/>
          <w:color w:val="111111"/>
          <w:sz w:val="28"/>
          <w:szCs w:val="28"/>
          <w:rtl w:val="true"/>
          <w:lang w:bidi="fa-IR"/>
        </w:rPr>
        <w:t>:</w:t>
      </w:r>
    </w:p>
    <w:p>
      <w:pPr>
        <w:pStyle w:val="Heading5"/>
        <w:numPr>
          <w:ilvl w:val="4"/>
          <w:numId w:val="1"/>
        </w:numPr>
        <w:rPr/>
      </w:pPr>
      <w:bookmarkStart w:id="1002" w:name="__RefHeading___Toc2565900_3650668749"/>
      <w:bookmarkStart w:id="1003" w:name="_Toc459"/>
      <w:bookmarkEnd w:id="1002"/>
      <w:r>
        <w:rPr>
          <w:rtl w:val="true"/>
        </w:rPr>
        <w:t>[</w:t>
      </w:r>
      <w:r>
        <w:rPr>
          <w:rtl w:val="true"/>
        </w:rPr>
        <w:t>أمّا الزمانیّة</w:t>
      </w:r>
      <w:r>
        <w:rPr>
          <w:rtl w:val="true"/>
        </w:rPr>
        <w:t>]</w:t>
      </w:r>
      <w:bookmarkEnd w:id="1003"/>
    </w:p>
    <w:p>
      <w:pPr>
        <w:pStyle w:val="BookText"/>
        <w:rPr/>
      </w:pPr>
      <w:r>
        <w:rPr>
          <w:rFonts w:ascii="Amiri" w:hAnsi="Amiri" w:eastAsia="Amiri" w:cs="Amiri"/>
          <w:color w:val="111111"/>
          <w:sz w:val="28"/>
          <w:sz w:val="28"/>
          <w:szCs w:val="28"/>
          <w:rtl w:val="true"/>
          <w:lang w:bidi="ar-SA"/>
        </w:rPr>
        <w:t>أمّا الزمانیّة فکثیرة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الجمعة، و هو من المستحبّات المؤکّدة حتّی قال بعض بوجوبه، و لکنّ الأقوی 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وقته من طلوع الفجر الثانی إلی الزوال و بعده إلیٰ آخر </w:t>
      </w:r>
      <w:r>
        <w:rPr>
          <w:rStyle w:val="FootnoteAnchor"/>
          <w:rtl w:val="true"/>
        </w:rPr>
        <w:footnoteReference w:id="265"/>
      </w:r>
      <w:r>
        <w:rPr>
          <w:rFonts w:ascii="IRNazanin" w:hAnsi="IRNazanin" w:eastAsia="IRNazanin"/>
          <w:color w:val="111111"/>
          <w:sz w:val="28"/>
          <w:sz w:val="28"/>
          <w:szCs w:val="28"/>
          <w:rtl w:val="true"/>
          <w:lang w:bidi="fa-IR"/>
        </w:rPr>
        <w:t>یوم السبت قضاءً، و لکن الأحوط فیما بعد الزوال إلی الغروب من یوم الجمعة أن ینوی القربة من غیر تعرّض للقضاء و الأداء، کما أنّ الأحوط إتیانه فی لیلة السبت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تقدیمه یوم</w:t>
      </w:r>
    </w:p>
    <w:p>
      <w:pPr>
        <w:pStyle w:val="BookText"/>
        <w:rPr/>
      </w:pPr>
      <w:r>
        <w:rPr>
          <w:rFonts w:ascii="IRNazanin" w:hAnsi="IRNazanin" w:eastAsia="IRNazanin"/>
          <w:color w:val="111111"/>
          <w:sz w:val="28"/>
          <w:sz w:val="28"/>
          <w:szCs w:val="28"/>
          <w:rtl w:val="true"/>
          <w:lang w:bidi="fa-IR"/>
        </w:rPr>
        <w:t xml:space="preserve">الخمیس إذا خاف إعواز الماء </w:t>
      </w:r>
      <w:r>
        <w:rPr>
          <w:rStyle w:val="FootnoteAnchor"/>
          <w:rtl w:val="true"/>
        </w:rPr>
        <w:footnoteReference w:id="266"/>
      </w:r>
      <w:r>
        <w:rPr>
          <w:rFonts w:ascii="IRNazanin" w:hAnsi="IRNazanin" w:eastAsia="IRNazanin"/>
          <w:color w:val="111111"/>
          <w:sz w:val="28"/>
          <w:sz w:val="28"/>
          <w:szCs w:val="28"/>
          <w:rtl w:val="true"/>
          <w:lang w:bidi="fa-IR"/>
        </w:rPr>
        <w:t xml:space="preserve">یوم الجمعة، ثمّ إن تمکّن منه یومها </w:t>
      </w:r>
      <w:r>
        <w:rPr>
          <w:rStyle w:val="FootnoteAnchor"/>
          <w:rtl w:val="true"/>
        </w:rPr>
        <w:footnoteReference w:id="267"/>
      </w:r>
      <w:r>
        <w:rPr>
          <w:rFonts w:ascii="IRNazanin" w:hAnsi="IRNazanin" w:eastAsia="IRNazanin"/>
          <w:color w:val="111111"/>
          <w:sz w:val="28"/>
          <w:sz w:val="28"/>
          <w:szCs w:val="28"/>
          <w:rtl w:val="true"/>
          <w:lang w:bidi="fa-IR"/>
        </w:rPr>
        <w:t>یستحبّ إعادته و إن ترکه حینئذٍ یستحبّ قضاؤه یوم السبت، و لو دار الأمر بین التقدیم و القضاء فالأوّل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إلحاق لیلة الجمعة بیوم الخمیس وجه، لکن الأحوط </w:t>
      </w:r>
      <w:r>
        <w:rPr>
          <w:rStyle w:val="FootnoteAnchor"/>
          <w:rtl w:val="true"/>
        </w:rPr>
        <w:footnoteReference w:id="268"/>
      </w:r>
      <w:r>
        <w:rPr>
          <w:rFonts w:ascii="IRNazanin" w:hAnsi="IRNazanin" w:eastAsia="IRNazanin"/>
          <w:color w:val="111111"/>
          <w:sz w:val="28"/>
          <w:sz w:val="28"/>
          <w:szCs w:val="28"/>
          <w:rtl w:val="true"/>
          <w:lang w:bidi="fa-IR"/>
        </w:rPr>
        <w:t>إتیانه به فیها رجاءً، کما أنّ الأحوط فیما إذا کان فوته یوم الجمعة لا لإعواز الماء بل لأمر آخر تقدیمه یوم الخمیس بعنوان الرجاء لا بقصد 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أغسال لیالی شهر رمضان؛ و هی لیالی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و الثالثة و الخامسة و هکذا و تمام لیالی العشر الأخیرة، و الآکد منها لیالی القدر و لیلة النصف و لیلة سبعة عشر و الخمس و عشرین و السبع و عشرین و التسع و عشرین منه، و یستحبّ فی لیلة الثالث و العشرین غسل ثان فی آخر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الغسل فیها تمام اللیل و إن کان الأولیٰ أوّله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یومی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 و الأضحیٰ، و الغسل فی هذین الیومین من السنن الأکیدة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وقته بعد الفجر إلی الزوال و یحتمل إلی الغروب و الأحوط إتیانه بعد الزوال رجاءً لا بقصد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 الترویة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 عرفة و الأولی إیقاعه عند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أیّام من رجب أوّله و وسطه 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یوم الغدیر و الأولی إتیانه قبل الزوال </w:t>
      </w:r>
      <w:r>
        <w:rPr>
          <w:rStyle w:val="FootnoteAnchor"/>
          <w:rtl w:val="true"/>
        </w:rPr>
        <w:footnoteReference w:id="270"/>
      </w:r>
      <w:r>
        <w:rPr>
          <w:rFonts w:ascii="Amiri" w:hAnsi="Amiri" w:eastAsia="Amiri" w:cs="Amiri"/>
          <w:color w:val="111111"/>
          <w:sz w:val="28"/>
          <w:sz w:val="28"/>
          <w:szCs w:val="28"/>
          <w:rtl w:val="true"/>
          <w:lang w:bidi="ar-SA"/>
        </w:rPr>
        <w:t>بنصف 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المباهلة و هو الرابع و العشرون من ذی الحجّة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دحو الأرض </w:t>
      </w:r>
      <w:r>
        <w:rPr>
          <w:rStyle w:val="FootnoteAnchor"/>
          <w:rtl w:val="true"/>
        </w:rPr>
        <w:footnoteReference w:id="271"/>
      </w:r>
      <w:r>
        <w:rPr>
          <w:rFonts w:ascii="IRNazanin" w:hAnsi="IRNazanin" w:eastAsia="IRNazanin"/>
          <w:color w:val="111111"/>
          <w:sz w:val="28"/>
          <w:sz w:val="28"/>
          <w:szCs w:val="28"/>
          <w:rtl w:val="true"/>
          <w:lang w:bidi="fa-IR"/>
        </w:rPr>
        <w:t>و هو الخامس و العشرون من ذی القعدة</w:t>
      </w:r>
      <w:r>
        <w:rPr>
          <w:rFonts w:eastAsia="IRNazanin" w:cs="IRNazanin"/>
          <w:color w:val="111111"/>
          <w:sz w:val="28"/>
          <w:szCs w:val="28"/>
          <w:rtl w:val="true"/>
          <w:lang w:bidi="fa-IR"/>
        </w:rPr>
        <w:t>.</w:t>
      </w:r>
      <w:bookmarkStart w:id="1004" w:name="pg1809_18866"/>
    </w:p>
    <w:p>
      <w:pPr>
        <w:pStyle w:val="BookText"/>
        <w:rPr/>
      </w:pPr>
      <w:bookmarkEnd w:id="1004"/>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المبعث و هو السابع و العشرون من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النصف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المولود </w:t>
      </w:r>
      <w:r>
        <w:rPr>
          <w:rStyle w:val="FootnoteAnchor"/>
          <w:rtl w:val="true"/>
        </w:rPr>
        <w:footnoteReference w:id="272"/>
      </w:r>
      <w:r>
        <w:rPr>
          <w:rFonts w:ascii="IRNazanin" w:hAnsi="IRNazanin" w:eastAsia="IRNazanin"/>
          <w:color w:val="111111"/>
          <w:sz w:val="28"/>
          <w:sz w:val="28"/>
          <w:szCs w:val="28"/>
          <w:rtl w:val="true"/>
          <w:lang w:bidi="fa-IR"/>
        </w:rPr>
        <w:t>و هو السابع عشر من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التاسع </w:t>
      </w:r>
      <w:r>
        <w:rPr>
          <w:rStyle w:val="FootnoteAnchor"/>
          <w:rtl w:val="true"/>
        </w:rPr>
        <w:footnoteReference w:id="273"/>
      </w:r>
      <w:r>
        <w:rPr>
          <w:rFonts w:ascii="IRNazanin" w:hAnsi="IRNazanin" w:eastAsia="IRNazanin"/>
          <w:color w:val="111111"/>
          <w:sz w:val="28"/>
          <w:sz w:val="28"/>
          <w:szCs w:val="28"/>
          <w:rtl w:val="true"/>
          <w:lang w:bidi="fa-IR"/>
        </w:rPr>
        <w:t>من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تقضیٰ هذه الأغسال بفوات وقتها، کما أنّها لا تتقدّم علیٰ أوقاتها مع خوف فوتها فیها</w:t>
      </w:r>
      <w:r>
        <w:rPr>
          <w:rFonts w:eastAsia="IRNazanin" w:cs="IRNazanin"/>
          <w:color w:val="111111"/>
          <w:sz w:val="28"/>
          <w:szCs w:val="28"/>
          <w:rtl w:val="true"/>
          <w:lang w:bidi="fa-IR"/>
        </w:rPr>
        <w:t>.</w:t>
      </w:r>
    </w:p>
    <w:p>
      <w:pPr>
        <w:pStyle w:val="Heading5"/>
        <w:numPr>
          <w:ilvl w:val="4"/>
          <w:numId w:val="1"/>
        </w:numPr>
        <w:rPr/>
      </w:pPr>
      <w:bookmarkStart w:id="1005" w:name="__RefHeading___Toc2565902_3650668749"/>
      <w:bookmarkStart w:id="1006" w:name="_Toc460"/>
      <w:bookmarkEnd w:id="1005"/>
      <w:r>
        <w:rPr>
          <w:rtl w:val="true"/>
        </w:rPr>
        <w:t>[</w:t>
      </w:r>
      <w:r>
        <w:rPr>
          <w:rtl w:val="true"/>
        </w:rPr>
        <w:t>و أمّا المکانیّة</w:t>
      </w:r>
      <w:r>
        <w:rPr>
          <w:rtl w:val="true"/>
        </w:rPr>
        <w:t>]</w:t>
      </w:r>
      <w:bookmarkEnd w:id="1006"/>
    </w:p>
    <w:p>
      <w:pPr>
        <w:pStyle w:val="BookText"/>
        <w:rPr/>
      </w:pPr>
      <w:r>
        <w:rPr>
          <w:rFonts w:ascii="IRNazanin" w:hAnsi="IRNazanin" w:eastAsia="IRNazanin"/>
          <w:color w:val="111111"/>
          <w:sz w:val="28"/>
          <w:sz w:val="28"/>
          <w:szCs w:val="28"/>
          <w:rtl w:val="true"/>
          <w:lang w:bidi="fa-IR"/>
        </w:rPr>
        <w:t>و أمّا المکانیّة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ما استحبّ للدخول فی بعض الأمکنة الخاصّة، مثل حرم مکّة و بلدها و مسجدها و الکعبة و حرم المدینة و بلدتها و مسجدها و جمیع المشاهد </w:t>
      </w:r>
      <w:r>
        <w:rPr>
          <w:rStyle w:val="FootnoteAnchor"/>
          <w:rtl w:val="true"/>
        </w:rPr>
        <w:footnoteReference w:id="274"/>
      </w:r>
      <w:r>
        <w:rPr>
          <w:rFonts w:ascii="IRNazanin" w:hAnsi="IRNazanin" w:eastAsia="IRNazanin"/>
          <w:color w:val="111111"/>
          <w:sz w:val="28"/>
          <w:sz w:val="28"/>
          <w:szCs w:val="28"/>
          <w:rtl w:val="true"/>
          <w:lang w:bidi="fa-IR"/>
        </w:rPr>
        <w:t>المشرّفة فإنّه یستحبّ الغسل للدخول فی کلّ من هذه الأمکنة</w:t>
      </w:r>
      <w:r>
        <w:rPr>
          <w:rFonts w:eastAsia="IRNazanin" w:cs="IRNazanin"/>
          <w:color w:val="111111"/>
          <w:sz w:val="28"/>
          <w:szCs w:val="28"/>
          <w:rtl w:val="true"/>
          <w:lang w:bidi="fa-IR"/>
        </w:rPr>
        <w:t>.</w:t>
      </w:r>
    </w:p>
    <w:p>
      <w:pPr>
        <w:pStyle w:val="Heading5"/>
        <w:numPr>
          <w:ilvl w:val="4"/>
          <w:numId w:val="1"/>
        </w:numPr>
        <w:rPr/>
      </w:pPr>
      <w:bookmarkStart w:id="1007" w:name="__RefHeading___Toc2565904_3650668749"/>
      <w:bookmarkStart w:id="1008" w:name="_Toc461"/>
      <w:bookmarkEnd w:id="1007"/>
      <w:r>
        <w:rPr>
          <w:rtl w:val="true"/>
        </w:rPr>
        <w:t>[</w:t>
      </w:r>
      <w:r>
        <w:rPr>
          <w:rtl w:val="true"/>
        </w:rPr>
        <w:t>و أمّا الفعلیّة</w:t>
      </w:r>
      <w:r>
        <w:rPr>
          <w:rtl w:val="true"/>
        </w:rPr>
        <w:t>]</w:t>
      </w:r>
      <w:bookmarkEnd w:id="1008"/>
    </w:p>
    <w:p>
      <w:pPr>
        <w:pStyle w:val="Heading6"/>
        <w:numPr>
          <w:ilvl w:val="5"/>
          <w:numId w:val="1"/>
        </w:numPr>
        <w:rPr/>
      </w:pPr>
      <w:bookmarkStart w:id="1009" w:name="__RefHeading___Toc2565906_3650668749"/>
      <w:bookmarkStart w:id="1010" w:name="_Toc462"/>
      <w:bookmarkEnd w:id="1009"/>
      <w:r>
        <w:rPr>
          <w:rtl w:val="true"/>
        </w:rPr>
        <w:t>اشارة</w:t>
      </w:r>
      <w:bookmarkEnd w:id="1010"/>
    </w:p>
    <w:p>
      <w:pPr>
        <w:pStyle w:val="BookText"/>
        <w:rPr/>
      </w:pPr>
      <w:r>
        <w:rPr>
          <w:rFonts w:ascii="IRNazanin" w:hAnsi="IRNazanin" w:eastAsia="IRNazanin"/>
          <w:color w:val="111111"/>
          <w:sz w:val="28"/>
          <w:sz w:val="28"/>
          <w:szCs w:val="28"/>
          <w:rtl w:val="true"/>
          <w:lang w:bidi="fa-IR"/>
        </w:rPr>
        <w:t>و أمّا الفعلیّة فهی قسمان</w:t>
      </w:r>
      <w:r>
        <w:rPr>
          <w:rFonts w:eastAsia="IRNazanin" w:cs="IRNazanin"/>
          <w:color w:val="111111"/>
          <w:sz w:val="28"/>
          <w:szCs w:val="28"/>
          <w:rtl w:val="true"/>
          <w:lang w:bidi="fa-IR"/>
        </w:rPr>
        <w:t>:</w:t>
      </w:r>
    </w:p>
    <w:p>
      <w:pPr>
        <w:pStyle w:val="Heading6"/>
        <w:numPr>
          <w:ilvl w:val="5"/>
          <w:numId w:val="1"/>
        </w:numPr>
        <w:rPr/>
      </w:pPr>
      <w:bookmarkStart w:id="1011" w:name="__RefHeading___Toc2565908_3650668749"/>
      <w:bookmarkStart w:id="1012" w:name="_Toc463"/>
      <w:bookmarkEnd w:id="1011"/>
      <w:r>
        <w:rPr>
          <w:rtl w:val="true"/>
        </w:rPr>
        <w:t>[</w:t>
      </w:r>
      <w:r>
        <w:rPr>
          <w:rtl w:val="true"/>
        </w:rPr>
        <w:t>أحدهما</w:t>
      </w:r>
      <w:r>
        <w:rPr>
          <w:rtl w:val="true"/>
        </w:rPr>
        <w:t xml:space="preserve">: </w:t>
      </w:r>
      <w:r>
        <w:rPr>
          <w:rtl w:val="true"/>
        </w:rPr>
        <w:t>ما یکون لأجل الفعل الذی یرید إیقاعه</w:t>
      </w:r>
      <w:r>
        <w:rPr>
          <w:rtl w:val="true"/>
        </w:rPr>
        <w:t>]</w:t>
      </w:r>
      <w:bookmarkEnd w:id="101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لأجل الفعل الذی یرید إیقاعه أو الأمر الذی یرید وقوعه کغسل الإحرام و الطواف و الزیارة و الغسل للوقوف بعرفات و للوقوف بالمشعر </w:t>
      </w:r>
      <w:r>
        <w:rPr>
          <w:rStyle w:val="FootnoteAnchor"/>
          <w:rtl w:val="true"/>
        </w:rPr>
        <w:footnoteReference w:id="275"/>
      </w:r>
      <w:r>
        <w:rPr>
          <w:rFonts w:ascii="IRNazanin" w:hAnsi="IRNazanin" w:eastAsia="IRNazanin"/>
          <w:color w:val="111111"/>
          <w:sz w:val="28"/>
          <w:sz w:val="28"/>
          <w:szCs w:val="28"/>
          <w:rtl w:val="true"/>
          <w:lang w:bidi="fa-IR"/>
        </w:rPr>
        <w:t xml:space="preserve">و للذبح و النحر و الحلق و لرؤیة أحد الأئمّة فی المنام کما روی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ذلک یغتسل ثلاث لیال و یناجیهم، فیراهم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لصلاة الحاجة و للاستخارة و لعمل الاستفتاح المعروف بعمل أُمّ داود و لأخذ التربة الشریفة من محلّها أو لإرادة السفر خصوصاً لزیارة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لصلاة الاستسقاء و للتوبة من الکفر بل من کلّ معصیة و للتظلّم و الاشتکاء إلی اللّٰه من ظلم من ظلمه فإنّه یغتسل و یصلّی رکعتین فی موضع لا یحجبه عن السماء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فلان بن فلان ظلمنی و لیس لی أحد أصول به علیه غیرک، فاستوف لی ظلامتی الساعة الساعة بالاسم الذی إذا سألک به المضطرّ أجبته فکشفت ما به من ضرّ و مکّنت له فی الأرض و جعلته خلیفتک علیٰ خلقک فأسألک أن تصلّی علیٰ محمّد و آل محمّد و أن تستوفی ظلامتی الساعة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فستری ما تحبّ و للخوف من الظالم، فإنّه یغتسل و یصلّی ثمّ یکشف رکبتیه و یجعلهما قریباً من مصلّاه و یقول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 یا</w:t>
      </w:r>
      <w:bookmarkStart w:id="1013" w:name="pg1809_18867"/>
    </w:p>
    <w:p>
      <w:pPr>
        <w:pStyle w:val="BookText"/>
        <w:rPr/>
      </w:pPr>
      <w:bookmarkEnd w:id="1013"/>
      <w:r>
        <w:rPr>
          <w:rFonts w:ascii="IRNazanin" w:hAnsi="IRNazanin" w:eastAsia="IRNazanin"/>
          <w:color w:val="111111"/>
          <w:sz w:val="28"/>
          <w:sz w:val="28"/>
          <w:szCs w:val="28"/>
          <w:rtl w:val="true"/>
          <w:lang w:bidi="fa-IR"/>
        </w:rPr>
        <w:t>لا إلٰه إلّا أنت برحمتک أستغیث فصلِّ علیٰ محمّد و آل محمّد و أن تلطف لی و أن تغلب لی و أن تمکر لی و أن تخدع لی و أن تکید لی و أن تکفینی مئونة فلان بن فلان بلا مئونة</w:t>
      </w:r>
      <w:r>
        <w:rPr>
          <w:rFonts w:eastAsia="IRNazanin" w:cs="IRNazanin"/>
          <w:color w:val="111111"/>
          <w:sz w:val="28"/>
          <w:szCs w:val="28"/>
          <w:rtl w:val="true"/>
          <w:lang w:bidi="fa-IR"/>
        </w:rPr>
        <w:t>».</w:t>
      </w:r>
    </w:p>
    <w:p>
      <w:pPr>
        <w:pStyle w:val="Heading6"/>
        <w:numPr>
          <w:ilvl w:val="5"/>
          <w:numId w:val="1"/>
        </w:numPr>
        <w:rPr/>
      </w:pPr>
      <w:bookmarkStart w:id="1014" w:name="__RefHeading___Toc2565910_3650668749"/>
      <w:bookmarkStart w:id="1015" w:name="_Toc464"/>
      <w:bookmarkEnd w:id="1014"/>
      <w:r>
        <w:rPr>
          <w:rtl w:val="true"/>
        </w:rPr>
        <w:t>[</w:t>
      </w:r>
      <w:r>
        <w:rPr>
          <w:rtl w:val="true"/>
        </w:rPr>
        <w:t>ثانیهما</w:t>
      </w:r>
      <w:r>
        <w:rPr>
          <w:rtl w:val="true"/>
        </w:rPr>
        <w:t xml:space="preserve">: </w:t>
      </w:r>
      <w:r>
        <w:rPr>
          <w:rtl w:val="true"/>
        </w:rPr>
        <w:t>ما یکون لأجل الفعل الذی فعله</w:t>
      </w:r>
      <w:r>
        <w:rPr>
          <w:rtl w:val="true"/>
        </w:rPr>
        <w:t>]</w:t>
      </w:r>
      <w:bookmarkEnd w:id="1015"/>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لأجل الفعل الذی فعله و هی 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لقتل الوزغ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لرؤیة المصلوب مع السعی إلیٰ رؤیته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للتفریط فی أداء صلاة الکسوفین مع احتراق القرص فإنّه یستحبّ أن یغتسل عند قضائها بل وجوبه </w:t>
      </w:r>
      <w:r>
        <w:rPr>
          <w:rStyle w:val="FootnoteAnchor"/>
          <w:rtl w:val="true"/>
        </w:rPr>
        <w:footnoteReference w:id="276"/>
      </w:r>
      <w:r>
        <w:rPr>
          <w:rFonts w:ascii="IRNazanin" w:hAnsi="IRNazanin" w:eastAsia="IRNazanin"/>
          <w:color w:val="111111"/>
          <w:sz w:val="28"/>
          <w:sz w:val="28"/>
          <w:szCs w:val="28"/>
          <w:rtl w:val="true"/>
          <w:lang w:bidi="fa-IR"/>
        </w:rPr>
        <w:t>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لمسّ المیّت بعد تغسیله</w:t>
      </w:r>
      <w:r>
        <w:rPr>
          <w:rFonts w:eastAsia="IRNazanin" w:cs="IRNazanin"/>
          <w:color w:val="111111"/>
          <w:sz w:val="28"/>
          <w:szCs w:val="28"/>
          <w:rtl w:val="true"/>
          <w:lang w:bidi="fa-IR"/>
        </w:rPr>
        <w:t>.</w:t>
      </w:r>
    </w:p>
    <w:p>
      <w:pPr>
        <w:pStyle w:val="Heading5"/>
        <w:numPr>
          <w:ilvl w:val="4"/>
          <w:numId w:val="1"/>
        </w:numPr>
        <w:rPr/>
      </w:pPr>
      <w:bookmarkStart w:id="1016" w:name="__RefHeading___Toc2565912_3650668749"/>
      <w:bookmarkStart w:id="1017" w:name="_Toc465"/>
      <w:bookmarkEnd w:id="1016"/>
      <w:r>
        <w:rPr>
          <w:rtl w:val="true"/>
        </w:rPr>
        <w:t>[</w:t>
      </w:r>
      <w:r>
        <w:rPr>
          <w:rtl w:val="true"/>
        </w:rPr>
        <w:t>مسائل</w:t>
      </w:r>
      <w:r>
        <w:rPr>
          <w:rtl w:val="true"/>
        </w:rPr>
        <w:t>]</w:t>
      </w:r>
      <w:bookmarkEnd w:id="1017"/>
    </w:p>
    <w:p>
      <w:pPr>
        <w:pStyle w:val="Heading6"/>
        <w:numPr>
          <w:ilvl w:val="5"/>
          <w:numId w:val="1"/>
        </w:numPr>
        <w:rPr/>
      </w:pPr>
      <w:bookmarkStart w:id="1018" w:name="__RefHeading___Toc2565914_3650668749"/>
      <w:bookmarkStart w:id="1019" w:name="_Toc466"/>
      <w:bookmarkEnd w:id="1018"/>
      <w:r>
        <w:rPr>
          <w:rtl w:val="true"/>
        </w:rPr>
        <w:t>[ (</w:t>
      </w:r>
      <w:r>
        <w:rPr>
          <w:rtl w:val="true"/>
        </w:rPr>
        <w:t xml:space="preserve">مسألة </w:t>
      </w:r>
      <w:r>
        <w:rPr/>
        <w:t>1</w:t>
      </w:r>
      <w:r>
        <w:rPr>
          <w:rtl w:val="true"/>
        </w:rPr>
        <w:t xml:space="preserve">): </w:t>
      </w:r>
      <w:r>
        <w:rPr>
          <w:rtl w:val="true"/>
        </w:rPr>
        <w:t>وقت إیقاع الأغسال المکانیّة</w:t>
      </w:r>
      <w:r>
        <w:rPr>
          <w:rtl w:val="true"/>
        </w:rPr>
        <w:t>]</w:t>
      </w:r>
      <w:bookmarkEnd w:id="10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إیقاع الأغسال المکانیّة قبل الدخول </w:t>
      </w:r>
      <w:r>
        <w:rPr>
          <w:rStyle w:val="FootnoteAnchor"/>
          <w:rtl w:val="true"/>
        </w:rPr>
        <w:footnoteReference w:id="277"/>
      </w:r>
      <w:r>
        <w:rPr>
          <w:rFonts w:ascii="IRNazanin" w:hAnsi="IRNazanin" w:eastAsia="IRNazanin"/>
          <w:color w:val="111111"/>
          <w:sz w:val="28"/>
          <w:sz w:val="28"/>
          <w:szCs w:val="28"/>
          <w:rtl w:val="true"/>
          <w:lang w:bidi="fa-IR"/>
        </w:rPr>
        <w:t>فی تلک الأمکنة بحیث یقع الدخول فیها بعده من دون فصل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الغسل فی أوّل النهار أو اللیل و الدخول فیها فی آخرهما بل کفایة غسل النهار للّیل و بالعکس لا یخلو من قوّة، و کذا الحال فی القسم الأوّل من الأغسال الفعلیّة ممّا استحبّ لإیجاد عمل بعد الغسل کالإحرام و الزیارة و نحوهما، فوقته قبل ذلک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الفصل بینهما بالمقدار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 الثانی من الأغسال الفعلیّة فوقتها عند تحقّق السبب، و یمتدّ إلیٰ آخر العمر و إن استحبّ المبادرة إلیها</w:t>
      </w:r>
      <w:r>
        <w:rPr>
          <w:rFonts w:eastAsia="IRNazanin" w:cs="IRNazanin"/>
          <w:color w:val="111111"/>
          <w:sz w:val="28"/>
          <w:szCs w:val="28"/>
          <w:rtl w:val="true"/>
          <w:lang w:bidi="fa-IR"/>
        </w:rPr>
        <w:t>.</w:t>
      </w:r>
    </w:p>
    <w:p>
      <w:pPr>
        <w:pStyle w:val="Heading6"/>
        <w:numPr>
          <w:ilvl w:val="5"/>
          <w:numId w:val="1"/>
        </w:numPr>
        <w:rPr/>
      </w:pPr>
      <w:bookmarkStart w:id="1020" w:name="__RefHeading___Toc2565916_3650668749"/>
      <w:bookmarkStart w:id="1021" w:name="_Toc467"/>
      <w:bookmarkEnd w:id="1020"/>
      <w:r>
        <w:rPr>
          <w:rtl w:val="true"/>
        </w:rPr>
        <w:t>[ (</w:t>
      </w:r>
      <w:r>
        <w:rPr>
          <w:rtl w:val="true"/>
        </w:rPr>
        <w:t xml:space="preserve">مسألة </w:t>
      </w:r>
      <w:r>
        <w:rPr/>
        <w:t>2</w:t>
      </w:r>
      <w:r>
        <w:rPr>
          <w:rtl w:val="true"/>
        </w:rPr>
        <w:t xml:space="preserve">): </w:t>
      </w:r>
      <w:r>
        <w:rPr>
          <w:rtl w:val="true"/>
        </w:rPr>
        <w:t>لا ینتقض الأغسال الزمانیّة</w:t>
      </w:r>
      <w:r>
        <w:rPr>
          <w:rtl w:val="true"/>
        </w:rPr>
        <w:t>]</w:t>
      </w:r>
      <w:bookmarkEnd w:id="10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ینتقض </w:t>
      </w:r>
      <w:r>
        <w:rPr>
          <w:rStyle w:val="FootnoteAnchor"/>
          <w:rtl w:val="true"/>
        </w:rPr>
        <w:footnoteReference w:id="278"/>
      </w:r>
      <w:r>
        <w:rPr>
          <w:rFonts w:ascii="IRNazanin" w:hAnsi="IRNazanin" w:eastAsia="IRNazanin"/>
          <w:color w:val="111111"/>
          <w:sz w:val="28"/>
          <w:sz w:val="28"/>
          <w:szCs w:val="28"/>
          <w:rtl w:val="true"/>
          <w:lang w:bidi="fa-IR"/>
        </w:rPr>
        <w:t>الأغسال الزمانیّة و القسم الثانی من الفعلیّة بشی‌ء من الأحداث بعدها، و أمّا المکانیّة و القسم الأوّل من الفعلیّة فالظاهر انتقاضها بالحدث الأصغر فضلًا عن الأکبر، فإذا أحدث بینها و بین الدخول فی تلک الأمکنة أو بینها و بین تلک الأفعال أعاد الغسل</w:t>
      </w:r>
      <w:r>
        <w:rPr>
          <w:rFonts w:eastAsia="IRNazanin" w:cs="IRNazanin"/>
          <w:color w:val="111111"/>
          <w:sz w:val="28"/>
          <w:szCs w:val="28"/>
          <w:rtl w:val="true"/>
          <w:lang w:bidi="fa-IR"/>
        </w:rPr>
        <w:t>.</w:t>
      </w:r>
    </w:p>
    <w:p>
      <w:pPr>
        <w:pStyle w:val="Heading6"/>
        <w:numPr>
          <w:ilvl w:val="5"/>
          <w:numId w:val="1"/>
        </w:numPr>
        <w:rPr/>
      </w:pPr>
      <w:bookmarkStart w:id="1022" w:name="__RefHeading___Toc2565918_3650668749"/>
      <w:bookmarkStart w:id="1023" w:name="_Toc468"/>
      <w:bookmarkEnd w:id="1022"/>
      <w:r>
        <w:rPr>
          <w:rtl w:val="true"/>
        </w:rPr>
        <w:t>[ (</w:t>
      </w:r>
      <w:r>
        <w:rPr>
          <w:rtl w:val="true"/>
        </w:rPr>
        <w:t xml:space="preserve">مسألة </w:t>
      </w:r>
      <w:r>
        <w:rPr/>
        <w:t>3</w:t>
      </w:r>
      <w:r>
        <w:rPr>
          <w:rtl w:val="true"/>
        </w:rPr>
        <w:t xml:space="preserve">): </w:t>
      </w:r>
      <w:r>
        <w:rPr>
          <w:rtl w:val="true"/>
        </w:rPr>
        <w:t>إذا کان علیه أغسال متعدّدة زمانیّة أو مکانیّة أو فعلیّة أو مختلفة</w:t>
      </w:r>
      <w:r>
        <w:rPr>
          <w:rtl w:val="true"/>
        </w:rPr>
        <w:t>]</w:t>
      </w:r>
      <w:bookmarkEnd w:id="10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أغسال متعدّدة زمانیّة أو مکانیّة أو فعلیّة أو مختلفة یکفی غسل واحد عن الجمیع إذا نواها</w:t>
      </w:r>
      <w:r>
        <w:rPr>
          <w:rFonts w:eastAsia="IRNazanin" w:cs="IRNazanin"/>
          <w:color w:val="111111"/>
          <w:sz w:val="28"/>
          <w:szCs w:val="28"/>
          <w:rtl w:val="true"/>
          <w:lang w:bidi="fa-IR"/>
        </w:rPr>
        <w:t>.</w:t>
      </w:r>
    </w:p>
    <w:p>
      <w:pPr>
        <w:pStyle w:val="Heading6"/>
        <w:numPr>
          <w:ilvl w:val="5"/>
          <w:numId w:val="1"/>
        </w:numPr>
        <w:rPr/>
      </w:pPr>
      <w:bookmarkStart w:id="1024" w:name="__RefHeading___Toc2565920_3650668749"/>
      <w:bookmarkStart w:id="1025" w:name="_Toc469"/>
      <w:bookmarkEnd w:id="1024"/>
      <w:r>
        <w:rPr>
          <w:rtl w:val="true"/>
        </w:rPr>
        <w:t>[ (</w:t>
      </w:r>
      <w:r>
        <w:rPr>
          <w:rtl w:val="true"/>
        </w:rPr>
        <w:t xml:space="preserve">مسألة </w:t>
      </w:r>
      <w:r>
        <w:rPr/>
        <w:t>4</w:t>
      </w:r>
      <w:r>
        <w:rPr>
          <w:rtl w:val="true"/>
        </w:rPr>
        <w:t xml:space="preserve">): </w:t>
      </w:r>
      <w:r>
        <w:rPr>
          <w:rtl w:val="true"/>
        </w:rPr>
        <w:t>فی قیام التیمّم عند التعذّر مقام تلک الأغسال تأمّل و إشکال</w:t>
      </w:r>
      <w:r>
        <w:rPr>
          <w:rtl w:val="true"/>
        </w:rPr>
        <w:t>]</w:t>
      </w:r>
      <w:bookmarkEnd w:id="102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قیام التیمّم عند التعذّر مقام تلک الأغسال تأمّل و إشکال، فالأحوط الإتیان به عنده بعنوان الرجاء و احتمال المطلوبیّة</w:t>
      </w:r>
      <w:r>
        <w:rPr>
          <w:rFonts w:eastAsia="IRNazanin" w:cs="IRNazanin"/>
          <w:color w:val="111111"/>
          <w:sz w:val="28"/>
          <w:szCs w:val="28"/>
          <w:rtl w:val="true"/>
          <w:lang w:bidi="fa-IR"/>
        </w:rPr>
        <w:t>.</w:t>
      </w:r>
      <w:bookmarkStart w:id="1026" w:name="pg1809_18868"/>
    </w:p>
    <w:p>
      <w:pPr>
        <w:pStyle w:val="Heading3"/>
        <w:numPr>
          <w:ilvl w:val="2"/>
          <w:numId w:val="1"/>
        </w:numPr>
        <w:rPr/>
      </w:pPr>
      <w:bookmarkStart w:id="1027" w:name="__RefHeading___Toc2565922_3650668749"/>
      <w:bookmarkStart w:id="1028" w:name="_Toc470"/>
      <w:bookmarkEnd w:id="1026"/>
      <w:bookmarkEnd w:id="1027"/>
      <w:r>
        <w:rPr>
          <w:rtl w:val="true"/>
        </w:rPr>
        <w:t>[</w:t>
      </w:r>
      <w:r>
        <w:rPr>
          <w:rtl w:val="true"/>
        </w:rPr>
        <w:t>فصل فی التیمّم</w:t>
      </w:r>
      <w:r>
        <w:rPr>
          <w:rtl w:val="true"/>
        </w:rPr>
        <w:t>]</w:t>
      </w:r>
      <w:bookmarkEnd w:id="1028"/>
    </w:p>
    <w:p>
      <w:pPr>
        <w:pStyle w:val="Heading4"/>
        <w:numPr>
          <w:ilvl w:val="3"/>
          <w:numId w:val="1"/>
        </w:numPr>
        <w:rPr/>
      </w:pPr>
      <w:bookmarkStart w:id="1029" w:name="__RefHeading___Toc2565924_3650668749"/>
      <w:bookmarkStart w:id="1030" w:name="_Toc471"/>
      <w:bookmarkEnd w:id="1029"/>
      <w:r>
        <w:rPr>
          <w:rtl w:val="true"/>
        </w:rPr>
        <w:t>اشارة</w:t>
      </w:r>
      <w:bookmarkEnd w:id="1030"/>
    </w:p>
    <w:p>
      <w:pPr>
        <w:pStyle w:val="BookText"/>
        <w:rPr/>
      </w:pPr>
      <w:r>
        <w:rPr>
          <w:rFonts w:ascii="IRNazanin" w:hAnsi="IRNazanin" w:eastAsia="IRNazanin"/>
          <w:color w:val="111111"/>
          <w:sz w:val="28"/>
          <w:sz w:val="28"/>
          <w:szCs w:val="28"/>
          <w:rtl w:val="true"/>
          <w:lang w:bidi="fa-IR"/>
        </w:rPr>
        <w:t>فصل فی التیمّم و الکلام فی مسوّغاته و فیما یصحّ التیمّم به و فی کیفیّته و فیما یعتبر فیه و فی أحکامه</w:t>
      </w:r>
      <w:r>
        <w:rPr>
          <w:rFonts w:eastAsia="IRNazanin" w:cs="IRNazanin"/>
          <w:color w:val="111111"/>
          <w:sz w:val="28"/>
          <w:szCs w:val="28"/>
          <w:rtl w:val="true"/>
          <w:lang w:bidi="fa-IR"/>
        </w:rPr>
        <w:t>.</w:t>
      </w:r>
    </w:p>
    <w:p>
      <w:pPr>
        <w:pStyle w:val="Heading4"/>
        <w:numPr>
          <w:ilvl w:val="3"/>
          <w:numId w:val="1"/>
        </w:numPr>
        <w:rPr/>
      </w:pPr>
      <w:bookmarkStart w:id="1031" w:name="__RefHeading___Toc2565926_3650668749"/>
      <w:bookmarkStart w:id="1032" w:name="_Toc472"/>
      <w:bookmarkEnd w:id="1031"/>
      <w:r>
        <w:rPr>
          <w:rtl w:val="true"/>
        </w:rPr>
        <w:t>[</w:t>
      </w:r>
      <w:r>
        <w:rPr>
          <w:rtl w:val="true"/>
        </w:rPr>
        <w:t>القول فی مسوّغاته</w:t>
      </w:r>
      <w:r>
        <w:rPr>
          <w:rtl w:val="true"/>
        </w:rPr>
        <w:t>]</w:t>
      </w:r>
      <w:bookmarkEnd w:id="1032"/>
    </w:p>
    <w:p>
      <w:pPr>
        <w:pStyle w:val="Heading5"/>
        <w:numPr>
          <w:ilvl w:val="4"/>
          <w:numId w:val="1"/>
        </w:numPr>
        <w:rPr/>
      </w:pPr>
      <w:bookmarkStart w:id="1033" w:name="__RefHeading___Toc2565928_3650668749"/>
      <w:bookmarkStart w:id="1034" w:name="_Toc473"/>
      <w:bookmarkEnd w:id="1033"/>
      <w:r>
        <w:rPr>
          <w:rtl w:val="true"/>
        </w:rPr>
        <w:t>اشارة</w:t>
      </w:r>
      <w:bookmarkEnd w:id="1034"/>
    </w:p>
    <w:p>
      <w:pPr>
        <w:pStyle w:val="BookText"/>
        <w:rPr/>
      </w:pPr>
      <w:r>
        <w:rPr>
          <w:rFonts w:ascii="Amiri" w:hAnsi="Amiri" w:eastAsia="Amiri" w:cs="Amiri"/>
          <w:color w:val="111111"/>
          <w:sz w:val="28"/>
          <w:sz w:val="28"/>
          <w:szCs w:val="28"/>
          <w:rtl w:val="true"/>
          <w:lang w:bidi="ar-SA"/>
        </w:rPr>
        <w:t xml:space="preserve">القول فی مسوّغاته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مسوّغات التیمّم أُمور</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2565930_3650668749"/>
      <w:bookmarkStart w:id="1036" w:name="_Toc474"/>
      <w:bookmarkEnd w:id="1035"/>
      <w:r>
        <w:rPr>
          <w:rtl w:val="true"/>
        </w:rPr>
        <w:t>[</w:t>
      </w:r>
      <w:r>
        <w:rPr>
          <w:rtl w:val="true"/>
        </w:rPr>
        <w:t>منها</w:t>
      </w:r>
      <w:r>
        <w:rPr>
          <w:rtl w:val="true"/>
        </w:rPr>
        <w:t xml:space="preserve">: </w:t>
      </w:r>
      <w:r>
        <w:rPr>
          <w:rtl w:val="true"/>
        </w:rPr>
        <w:t>عدم وجدان ما یکفیه من الماء لطهارته</w:t>
      </w:r>
      <w:r>
        <w:rPr>
          <w:rtl w:val="true"/>
        </w:rPr>
        <w:t>]</w:t>
      </w:r>
      <w:bookmarkEnd w:id="1036"/>
    </w:p>
    <w:p>
      <w:pPr>
        <w:pStyle w:val="Heading6"/>
        <w:numPr>
          <w:ilvl w:val="5"/>
          <w:numId w:val="1"/>
        </w:numPr>
        <w:rPr/>
      </w:pPr>
      <w:bookmarkStart w:id="1037" w:name="__RefHeading___Toc2565932_3650668749"/>
      <w:bookmarkStart w:id="1038" w:name="_Toc475"/>
      <w:bookmarkEnd w:id="1037"/>
      <w:r>
        <w:rPr>
          <w:rtl w:val="true"/>
        </w:rPr>
        <w:t>اشارة</w:t>
      </w:r>
      <w:bookmarkEnd w:id="1038"/>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وجدان ما یکفیه من الماء لطهارته؛ غسلًا کانت أو وضوءً، و یجب الفحص عنه إلی الیأس، و فی البرّیّة یکفی الطلب غلوة سهم فی الحزنة و غلوة سهمین فی السهلة فی الجوانب الأربعة مع احتمال وجوده فی الجمیع، و یسقط عن الجانب الذی یعلم بعدمه فیه، کما أنّه یسقط فی الجمیع إذا قطع بعدمه فی الجمیع و إن احتمل وجوده فوق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بوجوده فوق المقدار وجب تحصیله إذا بقی الوقت و لم یتعسّر</w:t>
      </w:r>
      <w:r>
        <w:rPr>
          <w:rFonts w:eastAsia="IRNazanin" w:cs="IRNazanin"/>
          <w:color w:val="111111"/>
          <w:sz w:val="28"/>
          <w:szCs w:val="28"/>
          <w:rtl w:val="true"/>
          <w:lang w:bidi="fa-IR"/>
        </w:rPr>
        <w:t>.</w:t>
      </w:r>
    </w:p>
    <w:p>
      <w:pPr>
        <w:pStyle w:val="Heading6"/>
        <w:numPr>
          <w:ilvl w:val="5"/>
          <w:numId w:val="1"/>
        </w:numPr>
        <w:rPr/>
      </w:pPr>
      <w:bookmarkStart w:id="1039" w:name="__RefHeading___Toc2565934_3650668749"/>
      <w:bookmarkStart w:id="1040" w:name="_Toc476"/>
      <w:bookmarkEnd w:id="1039"/>
      <w:r>
        <w:rPr>
          <w:rtl w:val="true"/>
        </w:rPr>
        <w:t>[ (</w:t>
      </w:r>
      <w:r>
        <w:rPr>
          <w:rtl w:val="true"/>
        </w:rPr>
        <w:t xml:space="preserve">مسألة </w:t>
      </w:r>
      <w:r>
        <w:rPr/>
        <w:t>2</w:t>
      </w:r>
      <w:r>
        <w:rPr>
          <w:rtl w:val="true"/>
        </w:rPr>
        <w:t xml:space="preserve">): </w:t>
      </w:r>
      <w:r>
        <w:rPr>
          <w:rtl w:val="true"/>
        </w:rPr>
        <w:t>الظاهر عدم وجوب المباشرة فی الطلب</w:t>
      </w:r>
      <w:r>
        <w:rPr>
          <w:rtl w:val="true"/>
        </w:rPr>
        <w:t>]</w:t>
      </w:r>
      <w:bookmarkEnd w:id="10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وجوب المباشرة فی الطلب بل یکفی الاستنابة </w:t>
      </w:r>
      <w:r>
        <w:rPr>
          <w:rStyle w:val="FootnoteAnchor"/>
          <w:rtl w:val="true"/>
        </w:rPr>
        <w:footnoteReference w:id="279"/>
      </w:r>
      <w:r>
        <w:rPr>
          <w:rFonts w:ascii="IRNazanin" w:hAnsi="IRNazanin" w:eastAsia="IRNazanin"/>
          <w:color w:val="111111"/>
          <w:sz w:val="28"/>
          <w:sz w:val="28"/>
          <w:szCs w:val="28"/>
          <w:rtl w:val="true"/>
          <w:lang w:bidi="fa-IR"/>
        </w:rPr>
        <w:t>، کما أنّ الظاهر کفایة نائب واحد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فیه الأمانة و الوثاقة و لا یعتبر فیه العدالة</w:t>
      </w:r>
      <w:r>
        <w:rPr>
          <w:rFonts w:eastAsia="IRNazanin" w:cs="IRNazanin"/>
          <w:color w:val="111111"/>
          <w:sz w:val="28"/>
          <w:szCs w:val="28"/>
          <w:rtl w:val="true"/>
          <w:lang w:bidi="fa-IR"/>
        </w:rPr>
        <w:t>.</w:t>
      </w:r>
    </w:p>
    <w:p>
      <w:pPr>
        <w:pStyle w:val="Heading6"/>
        <w:numPr>
          <w:ilvl w:val="5"/>
          <w:numId w:val="1"/>
        </w:numPr>
        <w:rPr/>
      </w:pPr>
      <w:bookmarkStart w:id="1041" w:name="__RefHeading___Toc2565936_3650668749"/>
      <w:bookmarkStart w:id="1042" w:name="_Toc477"/>
      <w:bookmarkEnd w:id="1041"/>
      <w:r>
        <w:rPr>
          <w:rtl w:val="true"/>
        </w:rPr>
        <w:t>[ (</w:t>
      </w:r>
      <w:r>
        <w:rPr>
          <w:rtl w:val="true"/>
        </w:rPr>
        <w:t xml:space="preserve">مسألة </w:t>
      </w:r>
      <w:r>
        <w:rPr/>
        <w:t>3</w:t>
      </w:r>
      <w:r>
        <w:rPr>
          <w:rtl w:val="true"/>
        </w:rPr>
        <w:t xml:space="preserve">): </w:t>
      </w:r>
      <w:r>
        <w:rPr>
          <w:rtl w:val="true"/>
        </w:rPr>
        <w:t>إذا کانت الأرض فی بعض الجوانب حزنة و فی بعضها سهلة</w:t>
      </w:r>
      <w:r>
        <w:rPr>
          <w:rtl w:val="true"/>
        </w:rPr>
        <w:t>]</w:t>
      </w:r>
      <w:bookmarkEnd w:id="10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الأرض فی بعض الجوانب حزنة و فی بعضها سهلة یکون لکلّ جانب حکمه من الغلوة أو الغلوتین</w:t>
      </w:r>
      <w:r>
        <w:rPr>
          <w:rFonts w:eastAsia="IRNazanin" w:cs="IRNazanin"/>
          <w:color w:val="111111"/>
          <w:sz w:val="28"/>
          <w:szCs w:val="28"/>
          <w:rtl w:val="true"/>
          <w:lang w:bidi="fa-IR"/>
        </w:rPr>
        <w:t>.</w:t>
      </w:r>
    </w:p>
    <w:p>
      <w:pPr>
        <w:pStyle w:val="Heading6"/>
        <w:numPr>
          <w:ilvl w:val="5"/>
          <w:numId w:val="1"/>
        </w:numPr>
        <w:rPr/>
      </w:pPr>
      <w:bookmarkStart w:id="1043" w:name="__RefHeading___Toc2565938_3650668749"/>
      <w:bookmarkStart w:id="1044" w:name="_Toc478"/>
      <w:bookmarkEnd w:id="1043"/>
      <w:r>
        <w:rPr>
          <w:rtl w:val="true"/>
        </w:rPr>
        <w:t>[ (</w:t>
      </w:r>
      <w:r>
        <w:rPr>
          <w:rtl w:val="true"/>
        </w:rPr>
        <w:t xml:space="preserve">مسألة </w:t>
      </w:r>
      <w:r>
        <w:rPr/>
        <w:t>4</w:t>
      </w:r>
      <w:r>
        <w:rPr>
          <w:rtl w:val="true"/>
        </w:rPr>
        <w:t xml:space="preserve">): </w:t>
      </w:r>
      <w:r>
        <w:rPr>
          <w:rtl w:val="true"/>
        </w:rPr>
        <w:t>المناط فی السهم و الرمی و القوس و الهواء و الرامی هو المتعارف المعتدل</w:t>
      </w:r>
      <w:r>
        <w:rPr>
          <w:rtl w:val="true"/>
        </w:rPr>
        <w:t>]</w:t>
      </w:r>
      <w:bookmarkEnd w:id="10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المناط فی السهم و الرمی </w:t>
      </w:r>
      <w:r>
        <w:rPr>
          <w:rStyle w:val="FootnoteAnchor"/>
          <w:rtl w:val="true"/>
        </w:rPr>
        <w:footnoteReference w:id="280"/>
      </w:r>
      <w:r>
        <w:rPr>
          <w:rFonts w:ascii="IRNazanin" w:hAnsi="IRNazanin" w:eastAsia="IRNazanin"/>
          <w:color w:val="111111"/>
          <w:sz w:val="28"/>
          <w:sz w:val="28"/>
          <w:szCs w:val="28"/>
          <w:rtl w:val="true"/>
          <w:lang w:bidi="fa-IR"/>
        </w:rPr>
        <w:t>و القوس و الهواء و الرامی هو المتعارف المعتدل</w:t>
      </w:r>
      <w:r>
        <w:rPr>
          <w:rFonts w:eastAsia="IRNazanin" w:cs="IRNazanin"/>
          <w:color w:val="111111"/>
          <w:sz w:val="28"/>
          <w:szCs w:val="28"/>
          <w:rtl w:val="true"/>
          <w:lang w:bidi="fa-IR"/>
        </w:rPr>
        <w:t>.</w:t>
      </w:r>
    </w:p>
    <w:p>
      <w:pPr>
        <w:pStyle w:val="Heading6"/>
        <w:numPr>
          <w:ilvl w:val="5"/>
          <w:numId w:val="1"/>
        </w:numPr>
        <w:rPr/>
      </w:pPr>
      <w:bookmarkStart w:id="1045" w:name="__RefHeading___Toc2565940_3650668749"/>
      <w:bookmarkStart w:id="1046" w:name="_Toc479"/>
      <w:bookmarkEnd w:id="1045"/>
      <w:r>
        <w:rPr>
          <w:rtl w:val="true"/>
        </w:rPr>
        <w:t>[ (</w:t>
      </w:r>
      <w:r>
        <w:rPr>
          <w:rtl w:val="true"/>
        </w:rPr>
        <w:t xml:space="preserve">مسألة </w:t>
      </w:r>
      <w:r>
        <w:rPr/>
        <w:t>5</w:t>
      </w:r>
      <w:r>
        <w:rPr>
          <w:rtl w:val="true"/>
        </w:rPr>
        <w:t xml:space="preserve">): </w:t>
      </w:r>
      <w:r>
        <w:rPr>
          <w:rtl w:val="true"/>
        </w:rPr>
        <w:t>إذا ترک الطلب حتّی ضاق الوقت تیمّم و صلّیٰ و صحّت صلاته</w:t>
      </w:r>
      <w:r>
        <w:rPr>
          <w:rtl w:val="true"/>
        </w:rPr>
        <w:t>]</w:t>
      </w:r>
      <w:bookmarkEnd w:id="10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ترک الطلب حتّی ضاق الوقت تیمّم و صلّیٰ و صحّت صلاته و إن أثم بالترک، و الأحوط القضاء خصوصاً فیما لو طلب الماء لعثر به، و أمّا مع السعة بطلت صلاته و تیمّمه و إن صادف عدم الماء فی الواقع، نعم مع المصادفة </w:t>
      </w:r>
      <w:r>
        <w:rPr>
          <w:rStyle w:val="FootnoteAnchor"/>
          <w:rtl w:val="true"/>
        </w:rPr>
        <w:footnoteReference w:id="281"/>
      </w:r>
      <w:r>
        <w:rPr>
          <w:rFonts w:ascii="IRNazanin" w:hAnsi="IRNazanin" w:eastAsia="IRNazanin"/>
          <w:color w:val="111111"/>
          <w:sz w:val="28"/>
          <w:sz w:val="28"/>
          <w:szCs w:val="28"/>
          <w:rtl w:val="true"/>
          <w:lang w:bidi="fa-IR"/>
        </w:rPr>
        <w:t>لو حصل منه قصد القربة لا یبعد الصحّة</w:t>
      </w:r>
      <w:r>
        <w:rPr>
          <w:rFonts w:eastAsia="IRNazanin" w:cs="IRNazanin"/>
          <w:color w:val="111111"/>
          <w:sz w:val="28"/>
          <w:szCs w:val="28"/>
          <w:rtl w:val="true"/>
          <w:lang w:bidi="fa-IR"/>
        </w:rPr>
        <w:t>.</w:t>
      </w:r>
    </w:p>
    <w:p>
      <w:pPr>
        <w:pStyle w:val="Heading6"/>
        <w:numPr>
          <w:ilvl w:val="5"/>
          <w:numId w:val="1"/>
        </w:numPr>
        <w:rPr/>
      </w:pPr>
      <w:bookmarkStart w:id="1047" w:name="__RefHeading___Toc2565942_3650668749"/>
      <w:bookmarkStart w:id="1048" w:name="_Toc480"/>
      <w:bookmarkEnd w:id="1047"/>
      <w:r>
        <w:rPr>
          <w:rtl w:val="true"/>
        </w:rPr>
        <w:t>[ (</w:t>
      </w:r>
      <w:r>
        <w:rPr>
          <w:rtl w:val="true"/>
        </w:rPr>
        <w:t xml:space="preserve">مسألة </w:t>
      </w:r>
      <w:r>
        <w:rPr/>
        <w:t>6</w:t>
      </w:r>
      <w:r>
        <w:rPr>
          <w:rtl w:val="true"/>
        </w:rPr>
        <w:t xml:space="preserve">): </w:t>
      </w:r>
      <w:r>
        <w:rPr>
          <w:rtl w:val="true"/>
        </w:rPr>
        <w:t>إذا طلب بالمقدار اللازم فلم یجده فتیمّم و صلّیٰ، ثمّ ظفر بالماء</w:t>
      </w:r>
      <w:r>
        <w:rPr>
          <w:rtl w:val="true"/>
        </w:rPr>
        <w:t>]</w:t>
      </w:r>
      <w:bookmarkEnd w:id="104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بالمقدار اللازم فلم یجده فتیمّم و صلّیٰ، ثمّ ظفر بالماء فی محلّ الطلب أو فی رحله أو قافلته صحّت صلاته و لا یجب القضاء أو الإعادة</w:t>
      </w:r>
      <w:r>
        <w:rPr>
          <w:rFonts w:eastAsia="IRNazanin" w:cs="IRNazanin"/>
          <w:color w:val="111111"/>
          <w:sz w:val="28"/>
          <w:szCs w:val="28"/>
          <w:rtl w:val="true"/>
          <w:lang w:bidi="fa-IR"/>
        </w:rPr>
        <w:t>.</w:t>
      </w:r>
      <w:bookmarkStart w:id="1049" w:name="pg1809_18869"/>
    </w:p>
    <w:p>
      <w:pPr>
        <w:pStyle w:val="Heading6"/>
        <w:numPr>
          <w:ilvl w:val="5"/>
          <w:numId w:val="1"/>
        </w:numPr>
        <w:rPr/>
      </w:pPr>
      <w:bookmarkStart w:id="1050" w:name="__RefHeading___Toc2565944_3650668749"/>
      <w:bookmarkStart w:id="1051" w:name="_Toc481"/>
      <w:bookmarkEnd w:id="1049"/>
      <w:bookmarkEnd w:id="1050"/>
      <w:r>
        <w:rPr>
          <w:rtl w:val="true"/>
        </w:rPr>
        <w:t>[ (</w:t>
      </w:r>
      <w:r>
        <w:rPr>
          <w:rtl w:val="true"/>
        </w:rPr>
        <w:t xml:space="preserve">مسألة </w:t>
      </w:r>
      <w:r>
        <w:rPr/>
        <w:t>7</w:t>
      </w:r>
      <w:r>
        <w:rPr>
          <w:rtl w:val="true"/>
        </w:rPr>
        <w:t xml:space="preserve">): </w:t>
      </w:r>
      <w:r>
        <w:rPr>
          <w:rtl w:val="true"/>
        </w:rPr>
        <w:t>یسقط وجوب الطلب مع الخوف علیٰ نفسه أو عرضه أو ماله</w:t>
      </w:r>
      <w:r>
        <w:rPr>
          <w:rtl w:val="true"/>
        </w:rPr>
        <w:t>]</w:t>
      </w:r>
      <w:bookmarkEnd w:id="10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وجوب الطلب مع الخوف علیٰ نفسه أو عرضه أو ماله </w:t>
      </w:r>
      <w:r>
        <w:rPr>
          <w:rStyle w:val="FootnoteAnchor"/>
          <w:rtl w:val="true"/>
        </w:rPr>
        <w:footnoteReference w:id="282"/>
      </w:r>
      <w:r>
        <w:rPr>
          <w:rFonts w:ascii="IRNazanin" w:hAnsi="IRNazanin" w:eastAsia="IRNazanin"/>
          <w:color w:val="111111"/>
          <w:sz w:val="28"/>
          <w:sz w:val="28"/>
          <w:szCs w:val="28"/>
          <w:rtl w:val="true"/>
          <w:lang w:bidi="fa-IR"/>
        </w:rPr>
        <w:t>من سبع أو لصّ أو غیر ذلک، و کذلک مع ضیق الوقت عن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اعتقد الضیق فترکه و تیمّم و صلّی ثمّ تبیّن السعة فإن کان فی مکان صلّیٰ فیه فلیجدّد الطلب </w:t>
      </w:r>
      <w:r>
        <w:rPr>
          <w:rStyle w:val="FootnoteAnchor"/>
          <w:rtl w:val="true"/>
        </w:rPr>
        <w:footnoteReference w:id="283"/>
      </w:r>
      <w:r>
        <w:rPr>
          <w:rFonts w:ascii="IRNazanin" w:hAnsi="IRNazanin" w:eastAsia="IRNazanin"/>
          <w:color w:val="111111"/>
          <w:sz w:val="28"/>
          <w:sz w:val="28"/>
          <w:szCs w:val="28"/>
          <w:rtl w:val="true"/>
          <w:lang w:bidi="fa-IR"/>
        </w:rPr>
        <w:t>فإن لم یجد الماء تجزی صلاته و إن وجده أعادها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انتقل إلیٰ مکان آخر فإن علم بأنّه لو طلبه لوجده یعید الصلاة و إن کان فی هذا الحال غیر قادر علی الطلب و کان تکلیفه التیمّم، و إن علم بأنّه لو طلب لما ظفر به صحّت صلاته و لا یعیدها، و مع اشتباه الحال ففیه إشکال فلا یترک الاحتیاط بالإعادة أو القضاء</w:t>
      </w:r>
      <w:r>
        <w:rPr>
          <w:rFonts w:eastAsia="IRNazanin" w:cs="IRNazanin"/>
          <w:color w:val="111111"/>
          <w:sz w:val="28"/>
          <w:szCs w:val="28"/>
          <w:rtl w:val="true"/>
          <w:lang w:bidi="fa-IR"/>
        </w:rPr>
        <w:t>.</w:t>
      </w:r>
    </w:p>
    <w:p>
      <w:pPr>
        <w:pStyle w:val="Heading6"/>
        <w:numPr>
          <w:ilvl w:val="5"/>
          <w:numId w:val="1"/>
        </w:numPr>
        <w:rPr/>
      </w:pPr>
      <w:bookmarkStart w:id="1052" w:name="__RefHeading___Toc2565946_3650668749"/>
      <w:bookmarkStart w:id="1053" w:name="_Toc482"/>
      <w:bookmarkEnd w:id="1052"/>
      <w:r>
        <w:rPr>
          <w:rtl w:val="true"/>
        </w:rPr>
        <w:t>[ (</w:t>
      </w:r>
      <w:r>
        <w:rPr>
          <w:rtl w:val="true"/>
        </w:rPr>
        <w:t xml:space="preserve">مسألة </w:t>
      </w:r>
      <w:r>
        <w:rPr/>
        <w:t>8</w:t>
      </w:r>
      <w:r>
        <w:rPr>
          <w:rtl w:val="true"/>
        </w:rPr>
        <w:t xml:space="preserve">): </w:t>
      </w:r>
      <w:r>
        <w:rPr>
          <w:rtl w:val="true"/>
        </w:rPr>
        <w:t>الظاهر عدم اعتبار کون الطلب فی وقت الصلاة</w:t>
      </w:r>
      <w:r>
        <w:rPr>
          <w:rtl w:val="true"/>
        </w:rPr>
        <w:t>]</w:t>
      </w:r>
      <w:bookmarkEnd w:id="10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اعتبار کون الطلب فی وقت الصلاة فلو طلب قبل الوقت و لم یجد الماء لا یحتاج إلیٰ تجدیده بعده، و کذا إذا طلب فی الوقت لصلاة فلم یجد یکفی لغیرها من الصلوات، نعم لو احتمل تجدّد الماء بعد ذلک الطلب مع وجود أمارة </w:t>
      </w:r>
      <w:r>
        <w:rPr>
          <w:rStyle w:val="FootnoteAnchor"/>
          <w:rtl w:val="true"/>
        </w:rPr>
        <w:footnoteReference w:id="284"/>
      </w:r>
      <w:r>
        <w:rPr>
          <w:rFonts w:ascii="IRNazanin" w:hAnsi="IRNazanin" w:eastAsia="IRNazanin"/>
          <w:color w:val="111111"/>
          <w:sz w:val="28"/>
          <w:sz w:val="28"/>
          <w:szCs w:val="28"/>
          <w:rtl w:val="true"/>
          <w:lang w:bidi="fa-IR"/>
        </w:rPr>
        <w:t>ظنّیة علیه یجب تجدیده</w:t>
      </w:r>
      <w:r>
        <w:rPr>
          <w:rFonts w:eastAsia="IRNazanin" w:cs="IRNazanin"/>
          <w:color w:val="111111"/>
          <w:sz w:val="28"/>
          <w:szCs w:val="28"/>
          <w:rtl w:val="true"/>
          <w:lang w:bidi="fa-IR"/>
        </w:rPr>
        <w:t>.</w:t>
      </w:r>
    </w:p>
    <w:p>
      <w:pPr>
        <w:pStyle w:val="Heading6"/>
        <w:numPr>
          <w:ilvl w:val="5"/>
          <w:numId w:val="1"/>
        </w:numPr>
        <w:rPr/>
      </w:pPr>
      <w:bookmarkStart w:id="1054" w:name="__RefHeading___Toc2565948_3650668749"/>
      <w:bookmarkStart w:id="1055" w:name="_Toc483"/>
      <w:bookmarkEnd w:id="1054"/>
      <w:r>
        <w:rPr>
          <w:rtl w:val="true"/>
        </w:rPr>
        <w:t>[ (</w:t>
      </w:r>
      <w:r>
        <w:rPr>
          <w:rtl w:val="true"/>
        </w:rPr>
        <w:t xml:space="preserve">مسألة </w:t>
      </w:r>
      <w:r>
        <w:rPr/>
        <w:t>9</w:t>
      </w:r>
      <w:r>
        <w:rPr>
          <w:rtl w:val="true"/>
        </w:rPr>
        <w:t xml:space="preserve">): </w:t>
      </w:r>
      <w:r>
        <w:rPr>
          <w:rtl w:val="true"/>
        </w:rPr>
        <w:t>إذا لم یکن عنده إلّا ماء واحد یکفی الطهارة لا یجوز إراقته بعد دخول الوقت</w:t>
      </w:r>
      <w:r>
        <w:rPr>
          <w:rtl w:val="true"/>
        </w:rPr>
        <w:t>]</w:t>
      </w:r>
      <w:bookmarkEnd w:id="10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عنده إلّا ماء واحد یکفی الطهارة لا یجوز إراقته بعد دخول الوقت، بل و لو کان علیٰ وضوء و لم یکن له ماء لا یجوز له إبطاله، و لو عصیٰ فأراق أو أبطل یصحّ تیمّمه و صلاته و إن کان الأحوط قضاؤها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جواز الإراقة و الإبطال قبل الوقت مع عدم الماء فی الوقت تأمّل </w:t>
      </w:r>
      <w:r>
        <w:rPr>
          <w:rStyle w:val="FootnoteAnchor"/>
          <w:rtl w:val="true"/>
        </w:rPr>
        <w:footnoteReference w:id="285"/>
      </w:r>
      <w:r>
        <w:rPr>
          <w:rFonts w:ascii="IRNazanin" w:hAnsi="IRNazanin" w:eastAsia="IRNazanin"/>
          <w:color w:val="111111"/>
          <w:sz w:val="28"/>
          <w:sz w:val="28"/>
          <w:szCs w:val="28"/>
          <w:rtl w:val="true"/>
          <w:lang w:bidi="fa-IR"/>
        </w:rPr>
        <w:t>و إشکال فلا یترک الاحتیاط</w:t>
      </w:r>
      <w:r>
        <w:rPr>
          <w:rFonts w:eastAsia="IRNazanin" w:cs="IRNazanin"/>
          <w:color w:val="111111"/>
          <w:sz w:val="28"/>
          <w:szCs w:val="28"/>
          <w:rtl w:val="true"/>
          <w:lang w:bidi="fa-IR"/>
        </w:rPr>
        <w:t>.</w:t>
      </w:r>
    </w:p>
    <w:p>
      <w:pPr>
        <w:pStyle w:val="Heading6"/>
        <w:numPr>
          <w:ilvl w:val="5"/>
          <w:numId w:val="1"/>
        </w:numPr>
        <w:rPr/>
      </w:pPr>
      <w:bookmarkStart w:id="1056" w:name="__RefHeading___Toc2565950_3650668749"/>
      <w:bookmarkStart w:id="1057" w:name="_Toc484"/>
      <w:bookmarkEnd w:id="1056"/>
      <w:r>
        <w:rPr>
          <w:rtl w:val="true"/>
        </w:rPr>
        <w:t>[ (</w:t>
      </w:r>
      <w:r>
        <w:rPr>
          <w:rtl w:val="true"/>
        </w:rPr>
        <w:t xml:space="preserve">مسألة </w:t>
      </w:r>
      <w:r>
        <w:rPr/>
        <w:t>10</w:t>
      </w:r>
      <w:r>
        <w:rPr>
          <w:rtl w:val="true"/>
        </w:rPr>
        <w:t xml:space="preserve">): </w:t>
      </w:r>
      <w:r>
        <w:rPr>
          <w:rtl w:val="true"/>
        </w:rPr>
        <w:t>لو تمکّن من حفر البئر بلا حرج وجب علی الأحوط</w:t>
      </w:r>
      <w:r>
        <w:rPr>
          <w:rtl w:val="true"/>
        </w:rPr>
        <w:t>]</w:t>
      </w:r>
      <w:bookmarkEnd w:id="10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تمکّن من حفر البئر بلا حرج وجب علی الأحوط</w:t>
      </w:r>
      <w:r>
        <w:rPr>
          <w:rFonts w:eastAsia="IRNazanin" w:cs="IRNazanin"/>
          <w:color w:val="111111"/>
          <w:sz w:val="28"/>
          <w:szCs w:val="28"/>
          <w:rtl w:val="true"/>
          <w:lang w:bidi="fa-IR"/>
        </w:rPr>
        <w:t>.</w:t>
      </w:r>
    </w:p>
    <w:p>
      <w:pPr>
        <w:pStyle w:val="Heading5"/>
        <w:numPr>
          <w:ilvl w:val="4"/>
          <w:numId w:val="1"/>
        </w:numPr>
        <w:rPr/>
      </w:pPr>
      <w:bookmarkStart w:id="1058" w:name="__RefHeading___Toc2565952_3650668749"/>
      <w:bookmarkStart w:id="1059" w:name="_Toc485"/>
      <w:bookmarkEnd w:id="1058"/>
      <w:r>
        <w:rPr>
          <w:rtl w:val="true"/>
        </w:rPr>
        <w:t>[</w:t>
      </w:r>
      <w:r>
        <w:rPr>
          <w:rtl w:val="true"/>
        </w:rPr>
        <w:t>و منها</w:t>
      </w:r>
      <w:r>
        <w:rPr>
          <w:rtl w:val="true"/>
        </w:rPr>
        <w:t xml:space="preserve">: </w:t>
      </w:r>
      <w:r>
        <w:rPr>
          <w:rtl w:val="true"/>
        </w:rPr>
        <w:t>الخوف من الوصول إلیه</w:t>
      </w:r>
      <w:r>
        <w:rPr>
          <w:rtl w:val="true"/>
        </w:rPr>
        <w:t>]</w:t>
      </w:r>
      <w:bookmarkEnd w:id="105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من الوصول إلیه من اللصّ أو السبع أو الضیاع أو نحو ذلک ممّا یحصل معه خوف الضرر و لو جبناً </w:t>
      </w:r>
      <w:r>
        <w:rPr>
          <w:rStyle w:val="FootnoteAnchor"/>
          <w:rtl w:val="true"/>
        </w:rPr>
        <w:footnoteReference w:id="286"/>
      </w:r>
      <w:r>
        <w:rPr>
          <w:rFonts w:ascii="IRNazanin" w:hAnsi="IRNazanin" w:eastAsia="IRNazanin"/>
          <w:color w:val="111111"/>
          <w:sz w:val="28"/>
          <w:sz w:val="28"/>
          <w:szCs w:val="28"/>
          <w:rtl w:val="true"/>
          <w:lang w:bidi="fa-IR"/>
        </w:rPr>
        <w:t>علی النفس أو العرض أو المال المعتدّ به</w:t>
      </w:r>
      <w:r>
        <w:rPr>
          <w:rFonts w:eastAsia="IRNazanin" w:cs="IRNazanin"/>
          <w:color w:val="111111"/>
          <w:sz w:val="28"/>
          <w:szCs w:val="28"/>
          <w:rtl w:val="true"/>
          <w:lang w:bidi="fa-IR"/>
        </w:rPr>
        <w:t>.</w:t>
      </w:r>
    </w:p>
    <w:p>
      <w:pPr>
        <w:pStyle w:val="Heading5"/>
        <w:numPr>
          <w:ilvl w:val="4"/>
          <w:numId w:val="1"/>
        </w:numPr>
        <w:rPr/>
      </w:pPr>
      <w:bookmarkStart w:id="1060" w:name="__RefHeading___Toc2565954_3650668749"/>
      <w:bookmarkStart w:id="1061" w:name="_Toc486"/>
      <w:bookmarkEnd w:id="1060"/>
      <w:r>
        <w:rPr>
          <w:rtl w:val="true"/>
        </w:rPr>
        <w:t>[</w:t>
      </w:r>
      <w:r>
        <w:rPr>
          <w:rtl w:val="true"/>
        </w:rPr>
        <w:t>و منها</w:t>
      </w:r>
      <w:r>
        <w:rPr>
          <w:rtl w:val="true"/>
        </w:rPr>
        <w:t xml:space="preserve">: </w:t>
      </w:r>
      <w:r>
        <w:rPr>
          <w:rtl w:val="true"/>
        </w:rPr>
        <w:t>خوف الضرر المانع من استعماله</w:t>
      </w:r>
      <w:r>
        <w:rPr>
          <w:rtl w:val="true"/>
        </w:rPr>
        <w:t>]</w:t>
      </w:r>
      <w:bookmarkEnd w:id="106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الضرر المانع من استعماله لمرض أو رمد أو ورم أو جرح أو قرح أو نحو ذلک ممّا یتضرّر معه باستعمال الماء علیٰ وجه لا یلحق بالجبیرة و ما فی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w:t>
      </w:r>
      <w:bookmarkStart w:id="1062" w:name="pg1809_18870"/>
    </w:p>
    <w:p>
      <w:pPr>
        <w:pStyle w:val="BookText"/>
        <w:rPr/>
      </w:pPr>
      <w:bookmarkEnd w:id="1062"/>
      <w:r>
        <w:rPr>
          <w:rFonts w:ascii="IRNazanin" w:hAnsi="IRNazanin" w:eastAsia="IRNazanin"/>
          <w:color w:val="111111"/>
          <w:sz w:val="28"/>
          <w:sz w:val="28"/>
          <w:szCs w:val="28"/>
          <w:rtl w:val="true"/>
          <w:lang w:bidi="fa-IR"/>
        </w:rPr>
        <w:t>بین الخوف من حصوله أو الخوف من زیادته أو بطوؤه و بین شدّة الألم باستعماله علیٰ وجه لا یتحمّل للبرد أو غیره</w:t>
      </w:r>
      <w:r>
        <w:rPr>
          <w:rFonts w:eastAsia="IRNazanin" w:cs="IRNazanin"/>
          <w:color w:val="111111"/>
          <w:sz w:val="28"/>
          <w:szCs w:val="28"/>
          <w:rtl w:val="true"/>
          <w:lang w:bidi="fa-IR"/>
        </w:rPr>
        <w:t>.</w:t>
      </w:r>
    </w:p>
    <w:p>
      <w:pPr>
        <w:pStyle w:val="Heading5"/>
        <w:numPr>
          <w:ilvl w:val="4"/>
          <w:numId w:val="1"/>
        </w:numPr>
        <w:rPr/>
      </w:pPr>
      <w:bookmarkStart w:id="1063" w:name="__RefHeading___Toc2565956_3650668749"/>
      <w:bookmarkStart w:id="1064" w:name="_Toc487"/>
      <w:bookmarkEnd w:id="1063"/>
      <w:r>
        <w:rPr>
          <w:rtl w:val="true"/>
        </w:rPr>
        <w:t>[</w:t>
      </w:r>
      <w:r>
        <w:rPr>
          <w:rtl w:val="true"/>
        </w:rPr>
        <w:t>و منها</w:t>
      </w:r>
      <w:r>
        <w:rPr>
          <w:rtl w:val="true"/>
        </w:rPr>
        <w:t xml:space="preserve">: </w:t>
      </w:r>
      <w:r>
        <w:rPr>
          <w:rtl w:val="true"/>
        </w:rPr>
        <w:t>الخوف باستعماله من العطش للحیوان المحترم</w:t>
      </w:r>
      <w:r>
        <w:rPr>
          <w:rtl w:val="true"/>
        </w:rPr>
        <w:t>]</w:t>
      </w:r>
      <w:bookmarkEnd w:id="106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باستعماله من العطش للحیوان المحترم</w:t>
      </w:r>
      <w:r>
        <w:rPr>
          <w:rFonts w:eastAsia="IRNazanin" w:cs="IRNazanin"/>
          <w:color w:val="111111"/>
          <w:sz w:val="28"/>
          <w:szCs w:val="28"/>
          <w:rtl w:val="true"/>
          <w:lang w:bidi="fa-IR"/>
        </w:rPr>
        <w:t>.</w:t>
      </w:r>
    </w:p>
    <w:p>
      <w:pPr>
        <w:pStyle w:val="Heading5"/>
        <w:numPr>
          <w:ilvl w:val="4"/>
          <w:numId w:val="1"/>
        </w:numPr>
        <w:rPr/>
      </w:pPr>
      <w:bookmarkStart w:id="1065" w:name="__RefHeading___Toc2565958_3650668749"/>
      <w:bookmarkStart w:id="1066" w:name="_Toc488"/>
      <w:bookmarkEnd w:id="1065"/>
      <w:r>
        <w:rPr>
          <w:rtl w:val="true"/>
        </w:rPr>
        <w:t>[</w:t>
      </w:r>
      <w:r>
        <w:rPr>
          <w:rtl w:val="true"/>
        </w:rPr>
        <w:t>و منها</w:t>
      </w:r>
      <w:r>
        <w:rPr>
          <w:rtl w:val="true"/>
        </w:rPr>
        <w:t xml:space="preserve">: </w:t>
      </w:r>
      <w:r>
        <w:rPr>
          <w:rtl w:val="true"/>
        </w:rPr>
        <w:t>الحرج و المشقّة الشدیدة التی لا تتحمّل عادة فی تحصیل الماء</w:t>
      </w:r>
      <w:r>
        <w:rPr>
          <w:rtl w:val="true"/>
        </w:rPr>
        <w:t>]</w:t>
      </w:r>
      <w:bookmarkEnd w:id="106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الحرج و المشقّة الشدیدة التی لا تتحمّل عادة فی تحصیل الماء أو استعماله و إن لم یکن ضرر و لا خوفه و من ذلک حصول المنّة التی لا تتحمّل عادةً باستیهابه و الذلّ و الهوان بالاکتساب لشرائه</w:t>
      </w:r>
      <w:r>
        <w:rPr>
          <w:rFonts w:eastAsia="IRNazanin" w:cs="IRNazanin"/>
          <w:color w:val="111111"/>
          <w:sz w:val="28"/>
          <w:szCs w:val="28"/>
          <w:rtl w:val="true"/>
          <w:lang w:bidi="fa-IR"/>
        </w:rPr>
        <w:t>.</w:t>
      </w:r>
    </w:p>
    <w:p>
      <w:pPr>
        <w:pStyle w:val="Heading5"/>
        <w:numPr>
          <w:ilvl w:val="4"/>
          <w:numId w:val="1"/>
        </w:numPr>
        <w:rPr/>
      </w:pPr>
      <w:bookmarkStart w:id="1067" w:name="__RefHeading___Toc2565960_3650668749"/>
      <w:bookmarkStart w:id="1068" w:name="_Toc489"/>
      <w:bookmarkEnd w:id="1067"/>
      <w:r>
        <w:rPr>
          <w:rtl w:val="true"/>
        </w:rPr>
        <w:t>[</w:t>
      </w:r>
      <w:r>
        <w:rPr>
          <w:rtl w:val="true"/>
        </w:rPr>
        <w:t>و منها</w:t>
      </w:r>
      <w:r>
        <w:rPr>
          <w:rtl w:val="true"/>
        </w:rPr>
        <w:t xml:space="preserve">: </w:t>
      </w:r>
      <w:r>
        <w:rPr>
          <w:rtl w:val="true"/>
        </w:rPr>
        <w:t>توقّف حصوله علیٰ دفع جمیع ما عنده</w:t>
      </w:r>
      <w:r>
        <w:rPr>
          <w:rtl w:val="true"/>
        </w:rPr>
        <w:t>]</w:t>
      </w:r>
      <w:bookmarkEnd w:id="106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حصوله علیٰ دفع جمیع ما عنده أو دفع ما یضرّ بحاله، بخلاف غیر المضرّ فإنّه یجب و إن کان أضعاف ثمن المثل</w:t>
      </w:r>
      <w:r>
        <w:rPr>
          <w:rFonts w:eastAsia="IRNazanin" w:cs="IRNazanin"/>
          <w:color w:val="111111"/>
          <w:sz w:val="28"/>
          <w:szCs w:val="28"/>
          <w:rtl w:val="true"/>
          <w:lang w:bidi="fa-IR"/>
        </w:rPr>
        <w:t>.</w:t>
      </w:r>
    </w:p>
    <w:p>
      <w:pPr>
        <w:pStyle w:val="Heading5"/>
        <w:numPr>
          <w:ilvl w:val="4"/>
          <w:numId w:val="1"/>
        </w:numPr>
        <w:rPr/>
      </w:pPr>
      <w:bookmarkStart w:id="1069" w:name="__RefHeading___Toc2565962_3650668749"/>
      <w:bookmarkStart w:id="1070" w:name="_Toc490"/>
      <w:bookmarkEnd w:id="1069"/>
      <w:r>
        <w:rPr>
          <w:rtl w:val="true"/>
        </w:rPr>
        <w:t>[</w:t>
      </w:r>
      <w:r>
        <w:rPr>
          <w:rtl w:val="true"/>
        </w:rPr>
        <w:t>و منها</w:t>
      </w:r>
      <w:r>
        <w:rPr>
          <w:rtl w:val="true"/>
        </w:rPr>
        <w:t xml:space="preserve">: </w:t>
      </w:r>
      <w:r>
        <w:rPr>
          <w:rtl w:val="true"/>
        </w:rPr>
        <w:t>ضیق الوقت عن تحصیله أو عن استعماله</w:t>
      </w:r>
      <w:r>
        <w:rPr>
          <w:rtl w:val="true"/>
        </w:rPr>
        <w:t>]</w:t>
      </w:r>
      <w:bookmarkEnd w:id="107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الوقت عن تحصیله أو عن استعماله</w:t>
      </w:r>
      <w:r>
        <w:rPr>
          <w:rFonts w:eastAsia="IRNazanin" w:cs="IRNazanin"/>
          <w:color w:val="111111"/>
          <w:sz w:val="28"/>
          <w:szCs w:val="28"/>
          <w:rtl w:val="true"/>
          <w:lang w:bidi="fa-IR"/>
        </w:rPr>
        <w:t>.</w:t>
      </w:r>
    </w:p>
    <w:p>
      <w:pPr>
        <w:pStyle w:val="Heading5"/>
        <w:numPr>
          <w:ilvl w:val="4"/>
          <w:numId w:val="1"/>
        </w:numPr>
        <w:rPr/>
      </w:pPr>
      <w:bookmarkStart w:id="1071" w:name="__RefHeading___Toc2565964_3650668749"/>
      <w:bookmarkStart w:id="1072" w:name="_Toc491"/>
      <w:bookmarkEnd w:id="1071"/>
      <w:r>
        <w:rPr>
          <w:rtl w:val="true"/>
        </w:rPr>
        <w:t>[</w:t>
      </w:r>
      <w:r>
        <w:rPr>
          <w:rtl w:val="true"/>
        </w:rPr>
        <w:t>و منها</w:t>
      </w:r>
      <w:r>
        <w:rPr>
          <w:rtl w:val="true"/>
        </w:rPr>
        <w:t xml:space="preserve">: </w:t>
      </w:r>
      <w:r>
        <w:rPr>
          <w:rtl w:val="true"/>
        </w:rPr>
        <w:t>وجوب استعمال الموجود من الماء فی غسل نجاسة و نحوه ممّا لا یقوم غیر الماء مقامه</w:t>
      </w:r>
      <w:r>
        <w:rPr>
          <w:rtl w:val="true"/>
        </w:rPr>
        <w:t>]</w:t>
      </w:r>
      <w:bookmarkEnd w:id="107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استعمال الموجود من الماء فی غسل نجاسة و نحوه ممّا لا یقوم غیر الماء مقامه، فإنّه یتعیّن التیمّم حینئذٍ، لکن الأحوط صرف الماء فی الغسل أوّلًا ثمّ التیمّم</w:t>
      </w:r>
      <w:r>
        <w:rPr>
          <w:rFonts w:eastAsia="IRNazanin" w:cs="IRNazanin"/>
          <w:color w:val="111111"/>
          <w:sz w:val="28"/>
          <w:szCs w:val="28"/>
          <w:rtl w:val="true"/>
          <w:lang w:bidi="fa-IR"/>
        </w:rPr>
        <w:t>.</w:t>
      </w:r>
    </w:p>
    <w:p>
      <w:pPr>
        <w:pStyle w:val="Heading5"/>
        <w:numPr>
          <w:ilvl w:val="4"/>
          <w:numId w:val="1"/>
        </w:numPr>
        <w:rPr/>
      </w:pPr>
      <w:bookmarkStart w:id="1073" w:name="__RefHeading___Toc2565966_3650668749"/>
      <w:bookmarkStart w:id="1074" w:name="_Toc492"/>
      <w:bookmarkEnd w:id="1073"/>
      <w:r>
        <w:rPr>
          <w:rtl w:val="true"/>
        </w:rPr>
        <w:t>[</w:t>
      </w:r>
      <w:r>
        <w:rPr>
          <w:rtl w:val="true"/>
        </w:rPr>
        <w:t>مسائل</w:t>
      </w:r>
      <w:r>
        <w:rPr>
          <w:rtl w:val="true"/>
        </w:rPr>
        <w:t>]</w:t>
      </w:r>
      <w:bookmarkEnd w:id="1074"/>
    </w:p>
    <w:p>
      <w:pPr>
        <w:pStyle w:val="Heading6"/>
        <w:numPr>
          <w:ilvl w:val="5"/>
          <w:numId w:val="1"/>
        </w:numPr>
        <w:rPr/>
      </w:pPr>
      <w:bookmarkStart w:id="1075" w:name="__RefHeading___Toc2565968_3650668749"/>
      <w:bookmarkStart w:id="1076" w:name="_Toc493"/>
      <w:bookmarkEnd w:id="1075"/>
      <w:r>
        <w:rPr>
          <w:rtl w:val="true"/>
        </w:rPr>
        <w:t>[ (</w:t>
      </w:r>
      <w:r>
        <w:rPr>
          <w:rtl w:val="true"/>
        </w:rPr>
        <w:t xml:space="preserve">مسألة </w:t>
      </w:r>
      <w:r>
        <w:rPr/>
        <w:t>11</w:t>
      </w:r>
      <w:r>
        <w:rPr>
          <w:rtl w:val="true"/>
        </w:rPr>
        <w:t xml:space="preserve">): </w:t>
      </w:r>
      <w:r>
        <w:rPr>
          <w:rtl w:val="true"/>
        </w:rPr>
        <w:t>لا فرق فی العطش الذی یسوغ معه التیمّم بین المؤدّی إلی الهلاک أو المرض</w:t>
      </w:r>
      <w:r>
        <w:rPr>
          <w:rtl w:val="true"/>
        </w:rPr>
        <w:t>]</w:t>
      </w:r>
      <w:bookmarkEnd w:id="10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العطش الذی یسوغ معه التیمّم بین المؤدّی إلی الهلاک أو المرض أو المشقّة الشدیدة التی لا تتحمّل عادة و إن أمن من ضرره، کما لا فرق فیما یؤدّی إلی الهلاک بین ما یخاف علیٰ نفسه أو علیٰ غیره؛ آدمیّاً کان أو غیره، مملوکاً کان أو غیره ممّا یجب حفظه عن الهلاک، بل لا یبعد التعدّی إلیٰ من لا یجوز قتله و إن لم یجب حفظه کالذمّی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عدم التعدّی إلیٰ ما یجوز قتله بأیّ حیلة کالمؤذیات من الحیوانات و من یکون مهدور الدم من الآدمیّ، کالحربیّ و المرتدّ عن فطرة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أمکن رفع عطشه بما یحرم تناوله کالخمر و النجس، و عنده ماء طاهر، یجب حفظه لعطشه، و یتیمّم لصلاته؛ لأنّ وجود المحرّم کالعدم</w:t>
      </w:r>
      <w:r>
        <w:rPr>
          <w:rFonts w:eastAsia="IRNazanin" w:cs="IRNazanin"/>
          <w:color w:val="111111"/>
          <w:sz w:val="28"/>
          <w:szCs w:val="28"/>
          <w:rtl w:val="true"/>
          <w:lang w:bidi="fa-IR"/>
        </w:rPr>
        <w:t>.</w:t>
      </w:r>
    </w:p>
    <w:p>
      <w:pPr>
        <w:pStyle w:val="Heading6"/>
        <w:numPr>
          <w:ilvl w:val="5"/>
          <w:numId w:val="1"/>
        </w:numPr>
        <w:rPr/>
      </w:pPr>
      <w:bookmarkStart w:id="1077" w:name="__RefHeading___Toc2565970_3650668749"/>
      <w:bookmarkStart w:id="1078" w:name="_Toc494"/>
      <w:bookmarkEnd w:id="1077"/>
      <w:r>
        <w:rPr>
          <w:rtl w:val="true"/>
        </w:rPr>
        <w:t>[ (</w:t>
      </w:r>
      <w:r>
        <w:rPr>
          <w:rtl w:val="true"/>
        </w:rPr>
        <w:t xml:space="preserve">مسألة </w:t>
      </w:r>
      <w:r>
        <w:rPr/>
        <w:t>12</w:t>
      </w:r>
      <w:r>
        <w:rPr>
          <w:rtl w:val="true"/>
        </w:rPr>
        <w:t xml:space="preserve">): </w:t>
      </w:r>
      <w:r>
        <w:rPr>
          <w:rtl w:val="true"/>
        </w:rPr>
        <w:t>إذا کان متمکّناً من الصلاة مع الطهارة المائیّة، فأخّر حتّی ضاق الوقت</w:t>
      </w:r>
      <w:r>
        <w:rPr>
          <w:rtl w:val="true"/>
        </w:rPr>
        <w:t>]</w:t>
      </w:r>
      <w:bookmarkEnd w:id="10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متمکّناً من الصلاة مع الطهارة المائیّة، فأخّر حتّی ضاق الوقت عن الوضوء و الغسل، تیمّم و صلّیٰ و صحّ صلاته و إن أثم بالتأخیر، و الأحوط احتیاطاً شدیداً قضاؤها أیضاً</w:t>
      </w:r>
      <w:r>
        <w:rPr>
          <w:rFonts w:eastAsia="IRNazanin" w:cs="IRNazanin"/>
          <w:color w:val="111111"/>
          <w:sz w:val="28"/>
          <w:szCs w:val="28"/>
          <w:rtl w:val="true"/>
          <w:lang w:bidi="fa-IR"/>
        </w:rPr>
        <w:t>.</w:t>
      </w:r>
    </w:p>
    <w:p>
      <w:pPr>
        <w:pStyle w:val="Heading6"/>
        <w:numPr>
          <w:ilvl w:val="5"/>
          <w:numId w:val="1"/>
        </w:numPr>
        <w:rPr/>
      </w:pPr>
      <w:bookmarkStart w:id="1079" w:name="__RefHeading___Toc2565972_3650668749"/>
      <w:bookmarkStart w:id="1080" w:name="_Toc495"/>
      <w:bookmarkEnd w:id="1079"/>
      <w:r>
        <w:rPr>
          <w:rtl w:val="true"/>
        </w:rPr>
        <w:t>[ (</w:t>
      </w:r>
      <w:r>
        <w:rPr>
          <w:rtl w:val="true"/>
        </w:rPr>
        <w:t xml:space="preserve">مسألة </w:t>
      </w:r>
      <w:r>
        <w:rPr/>
        <w:t>13</w:t>
      </w:r>
      <w:r>
        <w:rPr>
          <w:rtl w:val="true"/>
        </w:rPr>
        <w:t xml:space="preserve">): </w:t>
      </w:r>
      <w:r>
        <w:rPr>
          <w:rtl w:val="true"/>
        </w:rPr>
        <w:t>إذا شکّ فی مقدار ما بقی من الوقت فتردّد بین ضیقه حتّی یتیمّم أو سعته حتّی یتوضّأ أو یغتسل</w:t>
      </w:r>
      <w:r>
        <w:rPr>
          <w:rtl w:val="true"/>
        </w:rPr>
        <w:t>]</w:t>
      </w:r>
      <w:bookmarkEnd w:id="108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مقدار ما بقی من الوقت فتردّد بین ضیقه حتّی یتیمّم أو سعته حتّی یتوضّأ أو یغتسل، بنیٰ علی السعة </w:t>
      </w:r>
      <w:r>
        <w:rPr>
          <w:rStyle w:val="FootnoteAnchor"/>
          <w:rtl w:val="true"/>
        </w:rPr>
        <w:footnoteReference w:id="287"/>
      </w:r>
      <w:r>
        <w:rPr>
          <w:rFonts w:ascii="IRNazanin" w:hAnsi="IRNazanin" w:eastAsia="IRNazanin"/>
          <w:color w:val="111111"/>
          <w:sz w:val="28"/>
          <w:sz w:val="28"/>
          <w:szCs w:val="28"/>
          <w:rtl w:val="true"/>
          <w:lang w:bidi="fa-IR"/>
        </w:rPr>
        <w:t>و توضّأ و 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علم مقدار ما بقی</w:t>
      </w:r>
      <w:bookmarkStart w:id="1081" w:name="pg1809_18871"/>
    </w:p>
    <w:p>
      <w:pPr>
        <w:pStyle w:val="BookText"/>
        <w:rPr/>
      </w:pPr>
      <w:bookmarkEnd w:id="1081"/>
      <w:r>
        <w:rPr>
          <w:rFonts w:ascii="IRNazanin" w:hAnsi="IRNazanin" w:eastAsia="IRNazanin"/>
          <w:color w:val="111111"/>
          <w:sz w:val="28"/>
          <w:sz w:val="28"/>
          <w:szCs w:val="28"/>
          <w:rtl w:val="true"/>
          <w:lang w:bidi="fa-IR"/>
        </w:rPr>
        <w:t>و لو تقریباً و شکّ فی کفایته للطهارة المائیّة حتّی خاف فوت الوقت لأجلها ینتقل إلی التیمّم</w:t>
      </w:r>
      <w:r>
        <w:rPr>
          <w:rFonts w:eastAsia="IRNazanin" w:cs="IRNazanin"/>
          <w:color w:val="111111"/>
          <w:sz w:val="28"/>
          <w:szCs w:val="28"/>
          <w:rtl w:val="true"/>
          <w:lang w:bidi="fa-IR"/>
        </w:rPr>
        <w:t>.</w:t>
      </w:r>
    </w:p>
    <w:p>
      <w:pPr>
        <w:pStyle w:val="Heading6"/>
        <w:numPr>
          <w:ilvl w:val="5"/>
          <w:numId w:val="1"/>
        </w:numPr>
        <w:rPr/>
      </w:pPr>
      <w:bookmarkStart w:id="1082" w:name="__RefHeading___Toc2565974_3650668749"/>
      <w:bookmarkStart w:id="1083" w:name="_Toc496"/>
      <w:bookmarkEnd w:id="1082"/>
      <w:r>
        <w:rPr>
          <w:rtl w:val="true"/>
        </w:rPr>
        <w:t>[ (</w:t>
      </w:r>
      <w:r>
        <w:rPr>
          <w:rtl w:val="true"/>
        </w:rPr>
        <w:t xml:space="preserve">مسألة </w:t>
      </w:r>
      <w:r>
        <w:rPr/>
        <w:t>14</w:t>
      </w:r>
      <w:r>
        <w:rPr>
          <w:rtl w:val="true"/>
        </w:rPr>
        <w:t xml:space="preserve">): </w:t>
      </w:r>
      <w:r>
        <w:rPr>
          <w:rtl w:val="true"/>
        </w:rPr>
        <w:t>إذا دار الأمر بین إیقاع تمام الصلاة فی الوقت مع التیمّم و إیقاع رکعة منها مع الوضوء</w:t>
      </w:r>
      <w:r>
        <w:rPr>
          <w:rtl w:val="true"/>
        </w:rPr>
        <w:t>]</w:t>
      </w:r>
      <w:bookmarkEnd w:id="10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دار الأمر بین إیقاع تمام الصلاة فی الوقت مع التیمّم و إیقاع رکعة منها مع الوضوء قدّم الأوّل </w:t>
      </w:r>
      <w:r>
        <w:rPr>
          <w:rStyle w:val="FootnoteAnchor"/>
          <w:rtl w:val="true"/>
        </w:rPr>
        <w:footnoteReference w:id="288"/>
      </w:r>
      <w:r>
        <w:rPr>
          <w:rFonts w:ascii="Amiri" w:hAnsi="Amiri" w:eastAsia="Amiri" w:cs="Amiri"/>
          <w:color w:val="111111"/>
          <w:sz w:val="28"/>
          <w:sz w:val="28"/>
          <w:szCs w:val="28"/>
          <w:rtl w:val="true"/>
          <w:lang w:bidi="ar-SA"/>
        </w:rPr>
        <w:t>علی الأقویٰ</w:t>
      </w:r>
      <w:r>
        <w:rPr>
          <w:rFonts w:eastAsia="Amiri" w:cs="Amiri" w:ascii="Amiri" w:hAnsi="Amiri"/>
          <w:color w:val="111111"/>
          <w:sz w:val="28"/>
          <w:szCs w:val="28"/>
          <w:rtl w:val="true"/>
          <w:lang w:bidi="ar-SA"/>
        </w:rPr>
        <w:t>.</w:t>
      </w:r>
    </w:p>
    <w:p>
      <w:pPr>
        <w:pStyle w:val="Heading6"/>
        <w:numPr>
          <w:ilvl w:val="5"/>
          <w:numId w:val="1"/>
        </w:numPr>
        <w:rPr/>
      </w:pPr>
      <w:bookmarkStart w:id="1084" w:name="__RefHeading___Toc2565976_3650668749"/>
      <w:bookmarkStart w:id="1085" w:name="_Toc497"/>
      <w:bookmarkEnd w:id="1084"/>
      <w:r>
        <w:rPr>
          <w:rtl w:val="true"/>
        </w:rPr>
        <w:t>[ (</w:t>
      </w:r>
      <w:r>
        <w:rPr>
          <w:rtl w:val="true"/>
        </w:rPr>
        <w:t xml:space="preserve">مسألة </w:t>
      </w:r>
      <w:r>
        <w:rPr/>
        <w:t>15</w:t>
      </w:r>
      <w:r>
        <w:rPr>
          <w:rtl w:val="true"/>
        </w:rPr>
        <w:t xml:space="preserve">): </w:t>
      </w:r>
      <w:r>
        <w:rPr>
          <w:rtl w:val="true"/>
        </w:rPr>
        <w:t>التیمّم لأجل ضیق الوقت مع وجدان الماء لا یستباح به</w:t>
      </w:r>
      <w:r>
        <w:rPr>
          <w:rtl w:val="true"/>
        </w:rPr>
        <w:t>]</w:t>
      </w:r>
      <w:bookmarkEnd w:id="10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التیمّم لأجل ضیق الوقت مع وجدان الماء لا یستباح به إلّا الصلاة التی ضاق وقتها فلا ینفع لصلاة أُخری و لو صار فاقداً للماء حینها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فقد فی أثناء الصلاة الأُولیٰ لا یبعد کفایته لصلاة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یستباح </w:t>
      </w:r>
      <w:r>
        <w:rPr>
          <w:rStyle w:val="FootnoteAnchor"/>
          <w:rtl w:val="true"/>
        </w:rPr>
        <w:footnoteReference w:id="289"/>
      </w:r>
      <w:r>
        <w:rPr>
          <w:rFonts w:ascii="IRNazanin" w:hAnsi="IRNazanin" w:eastAsia="IRNazanin"/>
          <w:color w:val="111111"/>
          <w:sz w:val="28"/>
          <w:sz w:val="28"/>
          <w:szCs w:val="28"/>
          <w:rtl w:val="true"/>
          <w:lang w:bidi="fa-IR"/>
        </w:rPr>
        <w:t>به غیر تلک الصلاة أیضاً من الغایات إذا أتی بها حال الصلاة فیجوز له مسّ کتابة القرآن حالها</w:t>
      </w:r>
      <w:r>
        <w:rPr>
          <w:rFonts w:eastAsia="IRNazanin" w:cs="IRNazanin"/>
          <w:color w:val="111111"/>
          <w:sz w:val="28"/>
          <w:szCs w:val="28"/>
          <w:rtl w:val="true"/>
          <w:lang w:bidi="fa-IR"/>
        </w:rPr>
        <w:t>.</w:t>
      </w:r>
    </w:p>
    <w:p>
      <w:pPr>
        <w:pStyle w:val="Heading6"/>
        <w:numPr>
          <w:ilvl w:val="5"/>
          <w:numId w:val="1"/>
        </w:numPr>
        <w:rPr/>
      </w:pPr>
      <w:bookmarkStart w:id="1086" w:name="__RefHeading___Toc2565978_3650668749"/>
      <w:bookmarkStart w:id="1087" w:name="_Toc498"/>
      <w:bookmarkEnd w:id="1086"/>
      <w:r>
        <w:rPr>
          <w:rtl w:val="true"/>
        </w:rPr>
        <w:t>[ (</w:t>
      </w:r>
      <w:r>
        <w:rPr>
          <w:rtl w:val="true"/>
        </w:rPr>
        <w:t xml:space="preserve">مسألة </w:t>
      </w:r>
      <w:r>
        <w:rPr/>
        <w:t>16</w:t>
      </w:r>
      <w:r>
        <w:rPr>
          <w:rtl w:val="true"/>
        </w:rPr>
        <w:t xml:space="preserve">): </w:t>
      </w:r>
      <w:r>
        <w:rPr>
          <w:rtl w:val="true"/>
        </w:rPr>
        <w:t>لا فرق بین عدم الماء أصلًا و وجود ما لا یکفیه لتمام الأعضاء</w:t>
      </w:r>
      <w:r>
        <w:rPr>
          <w:rtl w:val="true"/>
        </w:rPr>
        <w:t>]</w:t>
      </w:r>
      <w:bookmarkEnd w:id="10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عدم الماء أصلًا و وجود ما لا یکفیه لتمام الأعضاء و کان کافیاً لبعضها فی الانتقال إلی التیمّم؛ لأنّ الوضوء و الغسل لا یتبعّضان و لو تمکّن من مزج الماء الذی لا یکفیه لطهارته بما لا یخرج عن الإطلاق و یحصل به الکفایة فهل یجب علیه ذلک أم لا؟ وجهان، أحوطهما ذلک</w:t>
      </w:r>
      <w:r>
        <w:rPr>
          <w:rFonts w:eastAsia="IRNazanin" w:cs="IRNazanin"/>
          <w:color w:val="111111"/>
          <w:sz w:val="28"/>
          <w:szCs w:val="28"/>
          <w:rtl w:val="true"/>
          <w:lang w:bidi="fa-IR"/>
        </w:rPr>
        <w:t>.</w:t>
      </w:r>
    </w:p>
    <w:p>
      <w:pPr>
        <w:pStyle w:val="Heading6"/>
        <w:numPr>
          <w:ilvl w:val="5"/>
          <w:numId w:val="1"/>
        </w:numPr>
        <w:rPr/>
      </w:pPr>
      <w:bookmarkStart w:id="1088" w:name="__RefHeading___Toc2565980_3650668749"/>
      <w:bookmarkStart w:id="1089" w:name="_Toc499"/>
      <w:bookmarkEnd w:id="1088"/>
      <w:r>
        <w:rPr>
          <w:rtl w:val="true"/>
        </w:rPr>
        <w:t>[ (</w:t>
      </w:r>
      <w:r>
        <w:rPr>
          <w:rtl w:val="true"/>
        </w:rPr>
        <w:t xml:space="preserve">مسألة </w:t>
      </w:r>
      <w:r>
        <w:rPr/>
        <w:t>17</w:t>
      </w:r>
      <w:r>
        <w:rPr>
          <w:rtl w:val="true"/>
        </w:rPr>
        <w:t xml:space="preserve">): </w:t>
      </w:r>
      <w:r>
        <w:rPr>
          <w:rtl w:val="true"/>
        </w:rPr>
        <w:t>لو خالف من کان فرضه التیمّم فتوضّأ أو اغتسل فطهارته باطلة</w:t>
      </w:r>
      <w:r>
        <w:rPr>
          <w:rtl w:val="true"/>
        </w:rPr>
        <w:t>]</w:t>
      </w:r>
      <w:bookmarkEnd w:id="10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خالف من کان فرضه التیمّم فتوضّأ أو اغتسل فطهارته باطلة </w:t>
      </w:r>
      <w:r>
        <w:rPr>
          <w:rStyle w:val="FootnoteAnchor"/>
          <w:rtl w:val="true"/>
        </w:rPr>
        <w:footnoteReference w:id="290"/>
      </w:r>
      <w:r>
        <w:rPr>
          <w:rFonts w:ascii="IRNazanin" w:hAnsi="IRNazanin" w:eastAsia="IRNazanin"/>
          <w:color w:val="111111"/>
          <w:sz w:val="28"/>
          <w:sz w:val="28"/>
          <w:szCs w:val="28"/>
          <w:rtl w:val="true"/>
          <w:lang w:bidi="fa-IR"/>
        </w:rPr>
        <w:t>، إلّا أن یأتی بها فی مقام ضیق الوقت لا للأمر بها من حیث الصلاة بل یفعلها بعنوان الکون علی الطهارة أو غیره من الغایات فتصحّ حینئذٍ، کما أنّها تصحّ أیضاً لو خالف و دفع المضرّ بحاله ثمناً عن الماء أو تحمّل المنّة و الهوان أو المخاطرة فی تحصیله و نحو ذلک ممّا کان الممنوع منه مقدّمات الطهارة لا هی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أیضاً لو تحمّل ألم البرد أو مشقّة العطش و تطهّر إذا فرض عدم الضرر و أنّ المانع مجرّد الألم و المشقّة، و إن کان الأحوط خلافه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0" w:name="__RefHeading___Toc2565982_3650668749"/>
      <w:bookmarkStart w:id="1091" w:name="_Toc500"/>
      <w:bookmarkEnd w:id="1090"/>
      <w:r>
        <w:rPr>
          <w:rtl w:val="true"/>
        </w:rPr>
        <w:t>[ (</w:t>
      </w:r>
      <w:r>
        <w:rPr>
          <w:rtl w:val="true"/>
        </w:rPr>
        <w:t xml:space="preserve">مسألة </w:t>
      </w:r>
      <w:r>
        <w:rPr/>
        <w:t>18</w:t>
      </w:r>
      <w:r>
        <w:rPr>
          <w:rtl w:val="true"/>
        </w:rPr>
        <w:t xml:space="preserve">): </w:t>
      </w:r>
      <w:r>
        <w:rPr>
          <w:rtl w:val="true"/>
        </w:rPr>
        <w:t>یجوز التیمّم لصلاة الجنازة و النوم مع التمکّن من الماء</w:t>
      </w:r>
      <w:r>
        <w:rPr>
          <w:rtl w:val="true"/>
        </w:rPr>
        <w:t>]</w:t>
      </w:r>
      <w:bookmarkEnd w:id="109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التیمّم لصلاة الجنازة و النوم مع التمکّن من الماء، إلّا أنّه ینبغی الاقتصار فی الأخیر علیٰ ما کان من الحدث الأصغر </w:t>
      </w:r>
      <w:r>
        <w:rPr>
          <w:rStyle w:val="FootnoteAnchor"/>
          <w:rtl w:val="true"/>
        </w:rPr>
        <w:footnoteReference w:id="292"/>
      </w:r>
      <w:r>
        <w:rPr>
          <w:rFonts w:ascii="IRNazanin" w:hAnsi="IRNazanin" w:eastAsia="IRNazanin"/>
          <w:color w:val="111111"/>
          <w:sz w:val="28"/>
          <w:sz w:val="28"/>
          <w:szCs w:val="28"/>
          <w:rtl w:val="true"/>
          <w:lang w:bidi="fa-IR"/>
        </w:rPr>
        <w:t>بخلاف الأوّل، فإنّه یجوز مع الحدث الأصغر و الأکبر</w:t>
      </w:r>
      <w:r>
        <w:rPr>
          <w:rFonts w:eastAsia="IRNazanin" w:cs="IRNazanin"/>
          <w:color w:val="111111"/>
          <w:sz w:val="28"/>
          <w:szCs w:val="28"/>
          <w:rtl w:val="true"/>
          <w:lang w:bidi="fa-IR"/>
        </w:rPr>
        <w:t>.</w:t>
      </w:r>
      <w:bookmarkStart w:id="1092" w:name="pg1809_18872"/>
    </w:p>
    <w:p>
      <w:pPr>
        <w:pStyle w:val="Heading4"/>
        <w:numPr>
          <w:ilvl w:val="3"/>
          <w:numId w:val="1"/>
        </w:numPr>
        <w:rPr/>
      </w:pPr>
      <w:bookmarkStart w:id="1093" w:name="__RefHeading___Toc2565984_3650668749"/>
      <w:bookmarkStart w:id="1094" w:name="_Toc501"/>
      <w:bookmarkEnd w:id="1092"/>
      <w:bookmarkEnd w:id="1093"/>
      <w:r>
        <w:rPr>
          <w:rtl w:val="true"/>
        </w:rPr>
        <w:t>[</w:t>
      </w:r>
      <w:r>
        <w:rPr>
          <w:rtl w:val="true"/>
        </w:rPr>
        <w:t>القول فیما یتیمّم به</w:t>
      </w:r>
      <w:r>
        <w:rPr>
          <w:rtl w:val="true"/>
        </w:rPr>
        <w:t>]</w:t>
      </w:r>
      <w:bookmarkEnd w:id="1094"/>
    </w:p>
    <w:p>
      <w:pPr>
        <w:pStyle w:val="Heading5"/>
        <w:numPr>
          <w:ilvl w:val="4"/>
          <w:numId w:val="1"/>
        </w:numPr>
        <w:rPr/>
      </w:pPr>
      <w:bookmarkStart w:id="1095" w:name="__RefHeading___Toc2565986_3650668749"/>
      <w:bookmarkStart w:id="1096" w:name="_Toc502"/>
      <w:bookmarkEnd w:id="1095"/>
      <w:r>
        <w:rPr>
          <w:rtl w:val="true"/>
        </w:rPr>
        <w:t>اشارة</w:t>
      </w:r>
      <w:bookmarkEnd w:id="1096"/>
    </w:p>
    <w:p>
      <w:pPr>
        <w:pStyle w:val="BookText"/>
        <w:rPr/>
      </w:pPr>
      <w:r>
        <w:rPr>
          <w:rFonts w:ascii="IRNazanin" w:hAnsi="IRNazanin" w:eastAsia="IRNazanin"/>
          <w:color w:val="111111"/>
          <w:sz w:val="28"/>
          <w:sz w:val="28"/>
          <w:szCs w:val="28"/>
          <w:rtl w:val="true"/>
          <w:lang w:bidi="fa-IR"/>
        </w:rPr>
        <w:t>القول فیما یتیمّم به</w:t>
      </w:r>
    </w:p>
    <w:p>
      <w:pPr>
        <w:pStyle w:val="Heading5"/>
        <w:numPr>
          <w:ilvl w:val="4"/>
          <w:numId w:val="1"/>
        </w:numPr>
        <w:rPr/>
      </w:pPr>
      <w:bookmarkStart w:id="1097" w:name="__RefHeading___Toc2565988_3650668749"/>
      <w:bookmarkStart w:id="1098" w:name="_Toc503"/>
      <w:bookmarkEnd w:id="1097"/>
      <w:r>
        <w:rPr>
          <w:rtl w:val="true"/>
        </w:rPr>
        <w:t>[ (</w:t>
      </w:r>
      <w:r>
        <w:rPr>
          <w:rtl w:val="true"/>
        </w:rPr>
        <w:t xml:space="preserve">مسألة </w:t>
      </w:r>
      <w:r>
        <w:rPr/>
        <w:t>1</w:t>
      </w:r>
      <w:r>
        <w:rPr>
          <w:rtl w:val="true"/>
        </w:rPr>
        <w:t xml:space="preserve">): </w:t>
      </w:r>
      <w:r>
        <w:rPr>
          <w:rtl w:val="true"/>
        </w:rPr>
        <w:t>یعتبر فیما یتیمّم به أن یکون صعیداً</w:t>
      </w:r>
      <w:r>
        <w:rPr>
          <w:rtl w:val="true"/>
        </w:rPr>
        <w:t>]</w:t>
      </w:r>
      <w:bookmarkEnd w:id="10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فیما یتیمّم به أن یکون صعیداً و هو مطلق وجه الأرض؛ من غیر فرق بین التراب و الرمل و الحجر و المدر و أرض الجصّ و النورة قبل الإحراق و تراب القبر و المستعمل فی التیمّم و ذی اللون و الحصیٰ و غیرها ممّا یندرج تحت اسمها و إن لم یعلّق منه فی الید شی‌ء، إلّا أنّ الأحوط التراب، بخلاف ما لا یندرج تحت اسمها و إن کان منها، کالنبات و الذهب و الفضّة و غیرهما من المعادن الخارجة عن اسمها و کذا الرماد و إن کان منها</w:t>
      </w:r>
      <w:r>
        <w:rPr>
          <w:rFonts w:eastAsia="IRNazanin" w:cs="IRNazanin"/>
          <w:color w:val="111111"/>
          <w:sz w:val="28"/>
          <w:szCs w:val="28"/>
          <w:rtl w:val="true"/>
          <w:lang w:bidi="fa-IR"/>
        </w:rPr>
        <w:t>.</w:t>
      </w:r>
    </w:p>
    <w:p>
      <w:pPr>
        <w:pStyle w:val="Heading5"/>
        <w:numPr>
          <w:ilvl w:val="4"/>
          <w:numId w:val="1"/>
        </w:numPr>
        <w:rPr/>
      </w:pPr>
      <w:bookmarkStart w:id="1099" w:name="__RefHeading___Toc2565990_3650668749"/>
      <w:bookmarkStart w:id="1100" w:name="_Toc504"/>
      <w:bookmarkEnd w:id="1099"/>
      <w:r>
        <w:rPr>
          <w:rtl w:val="true"/>
        </w:rPr>
        <w:t>[ (</w:t>
      </w:r>
      <w:r>
        <w:rPr>
          <w:rtl w:val="true"/>
        </w:rPr>
        <w:t xml:space="preserve">مسألة </w:t>
      </w:r>
      <w:r>
        <w:rPr/>
        <w:t>2</w:t>
      </w:r>
      <w:r>
        <w:rPr>
          <w:rtl w:val="true"/>
        </w:rPr>
        <w:t xml:space="preserve">): </w:t>
      </w:r>
      <w:r>
        <w:rPr>
          <w:rtl w:val="true"/>
        </w:rPr>
        <w:t>إذا شکّ فی کون شی‌ء تراباً أو غیره ممّا لا یتیمّم به</w:t>
      </w:r>
      <w:r>
        <w:rPr>
          <w:rtl w:val="true"/>
        </w:rPr>
        <w:t>]</w:t>
      </w:r>
      <w:bookmarkEnd w:id="1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کون شی‌ء تراباً أو غیره ممّا لا یتیمّم به فإن علم بکونه تراباً فی السابق و شکّ فی استحالته إلیٰ غیره یجوز التیمّم به، و إن لم یعلم حالته السابقة یجمع </w:t>
      </w:r>
      <w:r>
        <w:rPr>
          <w:rStyle w:val="FootnoteAnchor"/>
          <w:rtl w:val="true"/>
        </w:rPr>
        <w:footnoteReference w:id="293"/>
      </w:r>
      <w:r>
        <w:rPr>
          <w:rFonts w:ascii="IRNazanin" w:hAnsi="IRNazanin" w:eastAsia="IRNazanin"/>
          <w:color w:val="111111"/>
          <w:sz w:val="28"/>
          <w:sz w:val="28"/>
          <w:szCs w:val="28"/>
          <w:rtl w:val="true"/>
          <w:lang w:bidi="fa-IR"/>
        </w:rPr>
        <w:t>بین التیمّم به و التیمّم بالمرتبة اللاحقة من الغبار و الطین لو کانت، و إلّا یحتاط بالجمع بین التیمّم به و الصلاة فی الوقت و القضاء فی خارجه</w:t>
      </w:r>
      <w:r>
        <w:rPr>
          <w:rFonts w:eastAsia="IRNazanin" w:cs="IRNazanin"/>
          <w:color w:val="111111"/>
          <w:sz w:val="28"/>
          <w:szCs w:val="28"/>
          <w:rtl w:val="true"/>
          <w:lang w:bidi="fa-IR"/>
        </w:rPr>
        <w:t>.</w:t>
      </w:r>
    </w:p>
    <w:p>
      <w:pPr>
        <w:pStyle w:val="Heading5"/>
        <w:numPr>
          <w:ilvl w:val="4"/>
          <w:numId w:val="1"/>
        </w:numPr>
        <w:rPr/>
      </w:pPr>
      <w:bookmarkStart w:id="1101" w:name="__RefHeading___Toc2565992_3650668749"/>
      <w:bookmarkStart w:id="1102" w:name="_Toc505"/>
      <w:bookmarkEnd w:id="1101"/>
      <w:r>
        <w:rPr>
          <w:rtl w:val="true"/>
        </w:rPr>
        <w:t>[ (</w:t>
      </w:r>
      <w:r>
        <w:rPr>
          <w:rtl w:val="true"/>
        </w:rPr>
        <w:t xml:space="preserve">مسألة </w:t>
      </w:r>
      <w:r>
        <w:rPr/>
        <w:t>3</w:t>
      </w:r>
      <w:r>
        <w:rPr>
          <w:rtl w:val="true"/>
        </w:rPr>
        <w:t xml:space="preserve">): </w:t>
      </w:r>
      <w:r>
        <w:rPr>
          <w:rtl w:val="true"/>
        </w:rPr>
        <w:t>لا یجوز التیمّم بالخزف و الجصّ و النورة</w:t>
      </w:r>
      <w:r>
        <w:rPr>
          <w:rtl w:val="true"/>
        </w:rPr>
        <w:t>]</w:t>
      </w:r>
      <w:bookmarkEnd w:id="1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التیمّم بالخزف </w:t>
      </w:r>
      <w:r>
        <w:rPr>
          <w:rStyle w:val="FootnoteAnchor"/>
          <w:rtl w:val="true"/>
        </w:rPr>
        <w:footnoteReference w:id="294"/>
      </w:r>
      <w:r>
        <w:rPr>
          <w:rFonts w:ascii="IRNazanin" w:hAnsi="IRNazanin" w:eastAsia="IRNazanin"/>
          <w:color w:val="111111"/>
          <w:sz w:val="28"/>
          <w:sz w:val="28"/>
          <w:szCs w:val="28"/>
          <w:rtl w:val="true"/>
          <w:lang w:bidi="fa-IR"/>
        </w:rPr>
        <w:t>و الجصّ و النورة بعد الإحراق مع التمکّن من التراب و نحوه، و أمّا مع عدم التمکّن فالأحوط الجمع بین التیمّم بواحد منها و بین الغبار أو الطین اللذین هما مرتبة متأخّرة، و أمّا مع فرض الانحصار فالأحوط الجمع بینهما و بین الإعادة أو القضاء</w:t>
      </w:r>
      <w:r>
        <w:rPr>
          <w:rFonts w:eastAsia="IRNazanin" w:cs="IRNazanin"/>
          <w:color w:val="111111"/>
          <w:sz w:val="28"/>
          <w:szCs w:val="28"/>
          <w:rtl w:val="true"/>
          <w:lang w:bidi="fa-IR"/>
        </w:rPr>
        <w:t>.</w:t>
      </w:r>
    </w:p>
    <w:p>
      <w:pPr>
        <w:pStyle w:val="Heading5"/>
        <w:numPr>
          <w:ilvl w:val="4"/>
          <w:numId w:val="1"/>
        </w:numPr>
        <w:rPr/>
      </w:pPr>
      <w:bookmarkStart w:id="1103" w:name="__RefHeading___Toc2565994_3650668749"/>
      <w:bookmarkStart w:id="1104" w:name="_Toc506"/>
      <w:bookmarkEnd w:id="1103"/>
      <w:r>
        <w:rPr>
          <w:rtl w:val="true"/>
        </w:rPr>
        <w:t>[ (</w:t>
      </w:r>
      <w:r>
        <w:rPr>
          <w:rtl w:val="true"/>
        </w:rPr>
        <w:t xml:space="preserve">مسألة </w:t>
      </w:r>
      <w:r>
        <w:rPr/>
        <w:t>4</w:t>
      </w:r>
      <w:r>
        <w:rPr>
          <w:rtl w:val="true"/>
        </w:rPr>
        <w:t xml:space="preserve">): </w:t>
      </w:r>
      <w:r>
        <w:rPr>
          <w:rtl w:val="true"/>
        </w:rPr>
        <w:t>لا یصحّ التیمّم بالصعید النجس و إن کان جاهلًا بنجاسته</w:t>
      </w:r>
      <w:r>
        <w:rPr>
          <w:rtl w:val="true"/>
        </w:rPr>
        <w:t>]</w:t>
      </w:r>
      <w:bookmarkEnd w:id="110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التیمّم بالصعید النجس و إن کان جاهلًا بنجاسته أو ناسیاً، و لا بالمغصوب إلّا إذا أُکره علی المکث فیه کالمحبوس أو کان جاهلًا </w:t>
      </w:r>
      <w:r>
        <w:rPr>
          <w:rStyle w:val="FootnoteAnchor"/>
          <w:rtl w:val="true"/>
        </w:rPr>
        <w:footnoteReference w:id="295"/>
      </w:r>
      <w:r>
        <w:rPr>
          <w:rFonts w:ascii="IRNazanin" w:hAnsi="IRNazanin" w:eastAsia="IRNazanin"/>
          <w:color w:val="111111"/>
          <w:sz w:val="28"/>
          <w:sz w:val="28"/>
          <w:szCs w:val="28"/>
          <w:rtl w:val="true"/>
          <w:lang w:bidi="fa-IR"/>
        </w:rPr>
        <w:t>، و لا بالممتزج بغیره مزجاً یخرجه عن إطلاق اسم التراب علیه، فلا بأس بالمستهلک و لا الخلیط المتمیّز الذی لا یمنع شیئاً یعتدّ به من باطن الکفّ بحیث ینافی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المشتبه هنا بالمغصوب و الممتزج، حکم الماء بالنسبة إلی الوضوء و الغسل، بخلاف المشتبه بالنجس مع</w:t>
      </w:r>
      <w:bookmarkStart w:id="1105" w:name="pg1809_18873"/>
    </w:p>
    <w:p>
      <w:pPr>
        <w:pStyle w:val="BookText"/>
        <w:rPr/>
      </w:pPr>
      <w:bookmarkEnd w:id="1105"/>
      <w:r>
        <w:rPr>
          <w:rFonts w:ascii="IRNazanin" w:hAnsi="IRNazanin" w:eastAsia="IRNazanin"/>
          <w:color w:val="111111"/>
          <w:sz w:val="28"/>
          <w:sz w:val="28"/>
          <w:szCs w:val="28"/>
          <w:rtl w:val="true"/>
          <w:lang w:bidi="fa-IR"/>
        </w:rPr>
        <w:t>الانحصار فإنّه یتیمّم بهما و إن لم نقل به فی المائین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عنده ماء و تراب و علم بنجاسة أحدهما یجب علیه مع الانحصار الجمع بین التیمّم و الوضوء أو الغسل مقدّماً للتیمّم علیهما و إن کان جواز الاکتفاء بالغسل أو الوضوء لا یخلو من وجه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یعتبر إباحة </w:t>
      </w:r>
      <w:r>
        <w:rPr>
          <w:rStyle w:val="FootnoteAnchor"/>
          <w:rtl w:val="true"/>
        </w:rPr>
        <w:footnoteReference w:id="297"/>
      </w:r>
      <w:r>
        <w:rPr>
          <w:rFonts w:ascii="IRNazanin" w:hAnsi="IRNazanin" w:eastAsia="IRNazanin"/>
          <w:color w:val="111111"/>
          <w:sz w:val="28"/>
          <w:sz w:val="28"/>
          <w:szCs w:val="28"/>
          <w:rtl w:val="true"/>
          <w:lang w:bidi="fa-IR"/>
        </w:rPr>
        <w:t>مکان التیمّم کالوضوء و الغسل</w:t>
      </w:r>
      <w:r>
        <w:rPr>
          <w:rFonts w:eastAsia="IRNazanin" w:cs="IRNazanin"/>
          <w:color w:val="111111"/>
          <w:sz w:val="28"/>
          <w:szCs w:val="28"/>
          <w:rtl w:val="true"/>
          <w:lang w:bidi="fa-IR"/>
        </w:rPr>
        <w:t>.</w:t>
      </w:r>
    </w:p>
    <w:p>
      <w:pPr>
        <w:pStyle w:val="Heading5"/>
        <w:numPr>
          <w:ilvl w:val="4"/>
          <w:numId w:val="1"/>
        </w:numPr>
        <w:rPr/>
      </w:pPr>
      <w:bookmarkStart w:id="1106" w:name="__RefHeading___Toc2565996_3650668749"/>
      <w:bookmarkStart w:id="1107" w:name="_Toc507"/>
      <w:bookmarkEnd w:id="1106"/>
      <w:r>
        <w:rPr>
          <w:rtl w:val="true"/>
        </w:rPr>
        <w:t>[ (</w:t>
      </w:r>
      <w:r>
        <w:rPr>
          <w:rtl w:val="true"/>
        </w:rPr>
        <w:t xml:space="preserve">مسألة </w:t>
      </w:r>
      <w:r>
        <w:rPr/>
        <w:t>5</w:t>
      </w:r>
      <w:r>
        <w:rPr>
          <w:rtl w:val="true"/>
        </w:rPr>
        <w:t xml:space="preserve">): </w:t>
      </w:r>
      <w:r>
        <w:rPr>
          <w:rtl w:val="true"/>
        </w:rPr>
        <w:t>المحبوس فی مکان مغصوب یجوز أن یتیمّم فیه بلا إشکال</w:t>
      </w:r>
      <w:r>
        <w:rPr>
          <w:rtl w:val="true"/>
        </w:rPr>
        <w:t>]</w:t>
      </w:r>
      <w:bookmarkEnd w:id="1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المحبوس فی مکان مغصوب یجوز أن یتیمّم فیه بلا إشکال </w:t>
      </w:r>
      <w:r>
        <w:rPr>
          <w:rStyle w:val="FootnoteAnchor"/>
          <w:rtl w:val="true"/>
        </w:rPr>
        <w:footnoteReference w:id="298"/>
      </w:r>
      <w:r>
        <w:rPr>
          <w:rFonts w:ascii="IRNazanin" w:hAnsi="IRNazanin" w:eastAsia="IRNazanin"/>
          <w:color w:val="111111"/>
          <w:sz w:val="28"/>
          <w:sz w:val="28"/>
          <w:szCs w:val="28"/>
          <w:rtl w:val="true"/>
          <w:lang w:bidi="fa-IR"/>
        </w:rPr>
        <w:t>، و أمّا التیمّم به فلا یبعد جوازه أیضاً و إن لم یخل عن إشکال، و أمّا التوضّؤ فیه فإن کان بماء مباح فهو کالتیمّم فیه لا بأس به؛ خصوصاً إذا تحفّظ من وقوع قطرات الوضوء علیٰ أرض المحبس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بالماء الذی فی المحبس فلا یجوز التوضّؤ به ما لم یحرز رضا صاحبه کخارج المحبس فإن لم یرض به یکون کفاقد الماء یتعیّن علیه التیمّم</w:t>
      </w:r>
      <w:r>
        <w:rPr>
          <w:rFonts w:eastAsia="IRNazanin" w:cs="IRNazanin"/>
          <w:color w:val="111111"/>
          <w:sz w:val="28"/>
          <w:szCs w:val="28"/>
          <w:rtl w:val="true"/>
          <w:lang w:bidi="fa-IR"/>
        </w:rPr>
        <w:t>.</w:t>
      </w:r>
    </w:p>
    <w:p>
      <w:pPr>
        <w:pStyle w:val="Heading5"/>
        <w:numPr>
          <w:ilvl w:val="4"/>
          <w:numId w:val="1"/>
        </w:numPr>
        <w:rPr/>
      </w:pPr>
      <w:bookmarkStart w:id="1108" w:name="__RefHeading___Toc2565998_3650668749"/>
      <w:bookmarkStart w:id="1109" w:name="_Toc508"/>
      <w:bookmarkEnd w:id="1108"/>
      <w:r>
        <w:rPr>
          <w:rtl w:val="true"/>
        </w:rPr>
        <w:t>[ (</w:t>
      </w:r>
      <w:r>
        <w:rPr>
          <w:rtl w:val="true"/>
        </w:rPr>
        <w:t xml:space="preserve">مسألة </w:t>
      </w:r>
      <w:r>
        <w:rPr/>
        <w:t>6</w:t>
      </w:r>
      <w:r>
        <w:rPr>
          <w:rtl w:val="true"/>
        </w:rPr>
        <w:t xml:space="preserve">): </w:t>
      </w:r>
      <w:r>
        <w:rPr>
          <w:rtl w:val="true"/>
        </w:rPr>
        <w:t>لو فقد الصعید تیمّم بغبار ثوبه أو لبد سرجه أو عرف دابّته</w:t>
      </w:r>
      <w:r>
        <w:rPr>
          <w:rtl w:val="true"/>
        </w:rPr>
        <w:t>]</w:t>
      </w:r>
      <w:bookmarkEnd w:id="1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فقد الصعید تیمّم بغبار ثوبه أو لبد سرجه أو عرف دابّته ممّا یکون علیٰ ظاهره غبار الأرض ضارباً علیٰ ذی 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الضرب علیٰ ما فی باطنه الغبار دون ظاهره و إن ثار منه بالضرب علیه، هذا إذا لم یتمکّن من نفضه و جمعه ثمّ التیمّم به و إلّا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فقد ذلک تیمّم بالوحل، و لو تمکّن من تجفیفه ثمّ التیمّم به وجب و لیس منه الأرض الندیّة و التراب الندیّ، بل یکونان من المرتبة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تیمّم بالوحل فلصق بیده یجب إزالته </w:t>
      </w:r>
      <w:r>
        <w:rPr>
          <w:rStyle w:val="FootnoteAnchor"/>
          <w:rtl w:val="true"/>
        </w:rPr>
        <w:footnoteReference w:id="299"/>
      </w:r>
      <w:r>
        <w:rPr>
          <w:rFonts w:ascii="IRNazanin" w:hAnsi="IRNazanin" w:eastAsia="IRNazanin"/>
          <w:color w:val="111111"/>
          <w:sz w:val="28"/>
          <w:sz w:val="28"/>
          <w:szCs w:val="28"/>
          <w:rtl w:val="true"/>
          <w:lang w:bidi="fa-IR"/>
        </w:rPr>
        <w:t>أوّلًا ثمّ المسح بها، و فی جواز إزالته بالغسل إشکال</w:t>
      </w:r>
      <w:r>
        <w:rPr>
          <w:rFonts w:eastAsia="IRNazanin" w:cs="IRNazanin"/>
          <w:color w:val="111111"/>
          <w:sz w:val="28"/>
          <w:szCs w:val="28"/>
          <w:rtl w:val="true"/>
          <w:lang w:bidi="fa-IR"/>
        </w:rPr>
        <w:t>.</w:t>
      </w:r>
    </w:p>
    <w:p>
      <w:pPr>
        <w:pStyle w:val="Heading5"/>
        <w:numPr>
          <w:ilvl w:val="4"/>
          <w:numId w:val="1"/>
        </w:numPr>
        <w:rPr/>
      </w:pPr>
      <w:bookmarkStart w:id="1110" w:name="__RefHeading___Toc2566000_3650668749"/>
      <w:bookmarkStart w:id="1111" w:name="_Toc509"/>
      <w:bookmarkEnd w:id="1110"/>
      <w:r>
        <w:rPr>
          <w:rtl w:val="true"/>
        </w:rPr>
        <w:t>[ (</w:t>
      </w:r>
      <w:r>
        <w:rPr>
          <w:rtl w:val="true"/>
        </w:rPr>
        <w:t xml:space="preserve">مسألة </w:t>
      </w:r>
      <w:r>
        <w:rPr/>
        <w:t>7</w:t>
      </w:r>
      <w:r>
        <w:rPr>
          <w:rtl w:val="true"/>
        </w:rPr>
        <w:t xml:space="preserve">): </w:t>
      </w:r>
      <w:r>
        <w:rPr>
          <w:rtl w:val="true"/>
        </w:rPr>
        <w:t>لا یصحّ التیمّم بالثلج</w:t>
      </w:r>
      <w:r>
        <w:rPr>
          <w:rtl w:val="true"/>
        </w:rPr>
        <w:t>]</w:t>
      </w:r>
      <w:bookmarkEnd w:id="1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التیمّم بالثلج فمن لم یجد غیره ممّا ذکر و لم یتمکّن </w:t>
      </w:r>
      <w:r>
        <w:rPr>
          <w:rStyle w:val="FootnoteAnchor"/>
          <w:rtl w:val="true"/>
        </w:rPr>
        <w:footnoteReference w:id="300"/>
      </w:r>
      <w:r>
        <w:rPr>
          <w:rFonts w:ascii="IRNazanin" w:hAnsi="IRNazanin" w:eastAsia="IRNazanin"/>
          <w:color w:val="111111"/>
          <w:sz w:val="28"/>
          <w:sz w:val="28"/>
          <w:szCs w:val="28"/>
          <w:rtl w:val="true"/>
          <w:lang w:bidi="fa-IR"/>
        </w:rPr>
        <w:t xml:space="preserve">من حصول مسمّی الغسل به کان فاقد الطهورین، و الأحوط </w:t>
      </w:r>
      <w:r>
        <w:rPr>
          <w:rStyle w:val="FootnoteAnchor"/>
          <w:rtl w:val="true"/>
        </w:rPr>
        <w:footnoteReference w:id="301"/>
      </w:r>
      <w:r>
        <w:rPr>
          <w:rFonts w:ascii="IRNazanin" w:hAnsi="IRNazanin" w:eastAsia="IRNazanin"/>
          <w:color w:val="111111"/>
          <w:sz w:val="28"/>
          <w:sz w:val="28"/>
          <w:szCs w:val="28"/>
          <w:rtl w:val="true"/>
          <w:lang w:bidi="fa-IR"/>
        </w:rPr>
        <w:t>هنا التمسّح بالثلج علیٰ أعضاء الوضوء و التیمّم به و فعل الصلاة فی الوقت ثمّ القضاء بعده إذا تمکّن</w:t>
      </w:r>
      <w:r>
        <w:rPr>
          <w:rFonts w:eastAsia="IRNazanin" w:cs="IRNazanin"/>
          <w:color w:val="111111"/>
          <w:sz w:val="28"/>
          <w:szCs w:val="28"/>
          <w:rtl w:val="true"/>
          <w:lang w:bidi="fa-IR"/>
        </w:rPr>
        <w:t>.</w:t>
      </w:r>
    </w:p>
    <w:p>
      <w:pPr>
        <w:pStyle w:val="Heading5"/>
        <w:numPr>
          <w:ilvl w:val="4"/>
          <w:numId w:val="1"/>
        </w:numPr>
        <w:rPr/>
      </w:pPr>
      <w:bookmarkStart w:id="1112" w:name="__RefHeading___Toc2566002_3650668749"/>
      <w:bookmarkStart w:id="1113" w:name="_Toc510"/>
      <w:bookmarkEnd w:id="1112"/>
      <w:r>
        <w:rPr>
          <w:rtl w:val="true"/>
        </w:rPr>
        <w:t>[ (</w:t>
      </w:r>
      <w:r>
        <w:rPr>
          <w:rtl w:val="true"/>
        </w:rPr>
        <w:t xml:space="preserve">مسألة </w:t>
      </w:r>
      <w:r>
        <w:rPr/>
        <w:t>8</w:t>
      </w:r>
      <w:r>
        <w:rPr>
          <w:rtl w:val="true"/>
        </w:rPr>
        <w:t xml:space="preserve">): </w:t>
      </w:r>
      <w:r>
        <w:rPr>
          <w:rtl w:val="true"/>
        </w:rPr>
        <w:t>یکره التیمّم بالرمل و کذا بالسبخة</w:t>
      </w:r>
      <w:r>
        <w:rPr>
          <w:rtl w:val="true"/>
        </w:rPr>
        <w:t>]</w:t>
      </w:r>
      <w:bookmarkEnd w:id="111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التیمّم بالرمل و کذا بالسبخة، بل لا یجوز فی بعض أفرادها الخارج عن</w:t>
      </w:r>
      <w:bookmarkStart w:id="1114" w:name="pg1809_18874"/>
    </w:p>
    <w:p>
      <w:pPr>
        <w:pStyle w:val="BookText"/>
        <w:rPr/>
      </w:pPr>
      <w:bookmarkEnd w:id="1114"/>
      <w:r>
        <w:rPr>
          <w:rFonts w:ascii="IRNazanin" w:hAnsi="IRNazanin" w:eastAsia="IRNazanin"/>
          <w:color w:val="111111"/>
          <w:sz w:val="28"/>
          <w:sz w:val="28"/>
          <w:szCs w:val="28"/>
          <w:rtl w:val="true"/>
          <w:lang w:bidi="fa-IR"/>
        </w:rPr>
        <w:t>اسم الأرض، و یستحبّ له نفض الیدین بعد الضرب و أن یکون ما یتیمّم به من رُبی الأرض و عوالیها، بل یکره أیضاً أن یکون من مهابطها</w:t>
      </w:r>
      <w:r>
        <w:rPr>
          <w:rFonts w:eastAsia="IRNazanin" w:cs="IRNazanin"/>
          <w:color w:val="111111"/>
          <w:sz w:val="28"/>
          <w:szCs w:val="28"/>
          <w:rtl w:val="true"/>
          <w:lang w:bidi="fa-IR"/>
        </w:rPr>
        <w:t>.</w:t>
      </w:r>
    </w:p>
    <w:p>
      <w:pPr>
        <w:pStyle w:val="Heading4"/>
        <w:numPr>
          <w:ilvl w:val="3"/>
          <w:numId w:val="1"/>
        </w:numPr>
        <w:rPr/>
      </w:pPr>
      <w:bookmarkStart w:id="1115" w:name="__RefHeading___Toc2566004_3650668749"/>
      <w:bookmarkStart w:id="1116" w:name="_Toc511"/>
      <w:bookmarkEnd w:id="1115"/>
      <w:r>
        <w:rPr>
          <w:rtl w:val="true"/>
        </w:rPr>
        <w:t>[</w:t>
      </w:r>
      <w:r>
        <w:rPr>
          <w:rtl w:val="true"/>
        </w:rPr>
        <w:t>القول فی کیفیّة التیمّم</w:t>
      </w:r>
      <w:r>
        <w:rPr>
          <w:rtl w:val="true"/>
        </w:rPr>
        <w:t>]</w:t>
      </w:r>
      <w:bookmarkEnd w:id="1116"/>
    </w:p>
    <w:p>
      <w:pPr>
        <w:pStyle w:val="Heading5"/>
        <w:numPr>
          <w:ilvl w:val="4"/>
          <w:numId w:val="1"/>
        </w:numPr>
        <w:rPr/>
      </w:pPr>
      <w:bookmarkStart w:id="1117" w:name="__RefHeading___Toc2566006_3650668749"/>
      <w:bookmarkStart w:id="1118" w:name="_Toc512"/>
      <w:bookmarkEnd w:id="1117"/>
      <w:r>
        <w:rPr>
          <w:rtl w:val="true"/>
        </w:rPr>
        <w:t>اشارة</w:t>
      </w:r>
      <w:bookmarkEnd w:id="1118"/>
    </w:p>
    <w:p>
      <w:pPr>
        <w:pStyle w:val="BookText"/>
        <w:rPr/>
      </w:pPr>
      <w:r>
        <w:rPr>
          <w:rFonts w:ascii="Amiri" w:hAnsi="Amiri" w:eastAsia="Amiri" w:cs="Amiri"/>
          <w:color w:val="111111"/>
          <w:sz w:val="28"/>
          <w:sz w:val="28"/>
          <w:szCs w:val="28"/>
          <w:rtl w:val="true"/>
          <w:lang w:bidi="ar-SA"/>
        </w:rPr>
        <w:t>القول فی کیفیّة التیمّم</w:t>
      </w:r>
    </w:p>
    <w:p>
      <w:pPr>
        <w:pStyle w:val="Heading5"/>
        <w:numPr>
          <w:ilvl w:val="4"/>
          <w:numId w:val="1"/>
        </w:numPr>
        <w:rPr/>
      </w:pPr>
      <w:bookmarkStart w:id="1119" w:name="__RefHeading___Toc2566008_3650668749"/>
      <w:bookmarkStart w:id="1120" w:name="_Toc513"/>
      <w:bookmarkEnd w:id="1119"/>
      <w:r>
        <w:rPr>
          <w:rtl w:val="true"/>
        </w:rPr>
        <w:t>[ (</w:t>
      </w:r>
      <w:r>
        <w:rPr>
          <w:rtl w:val="true"/>
        </w:rPr>
        <w:t xml:space="preserve">مسألة </w:t>
      </w:r>
      <w:r>
        <w:rPr/>
        <w:t>1</w:t>
      </w:r>
      <w:r>
        <w:rPr>
          <w:rtl w:val="true"/>
        </w:rPr>
        <w:t xml:space="preserve">): </w:t>
      </w:r>
      <w:r>
        <w:rPr>
          <w:rtl w:val="true"/>
        </w:rPr>
        <w:t>کیفیّة التیمّم مع الاختیار</w:t>
      </w:r>
      <w:r>
        <w:rPr>
          <w:rtl w:val="true"/>
        </w:rPr>
        <w:t>]</w:t>
      </w:r>
      <w:bookmarkEnd w:id="1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التیمّم مع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الأرض بباطن الکفّین معاً دفعة، ثمّ مسح الجبهة و الجبینین بهما معاً مستوعباً لهما من قصاص الشعر إلیٰ طرف الأنف الأعلی و إلی الحاجبین، و الأحوط المسح علیهما ثمّ مسح تمام ظاهر الکفّ الیمنیٰ من الزند إلیٰ أطراف الأصابع بباطن الکفّ الیسریٰ، ثمّ مسح تمام ظاهر الکفّ الیسریٰ بباطن الکفّ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ما بین الأصابع من الظاهر؛ إذ المراد ما یماسّه ظاهر بشرة الماسح بل لا یعتبر التدقیق و التعمیق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یجزی الوضع </w:t>
      </w:r>
      <w:r>
        <w:rPr>
          <w:rStyle w:val="FootnoteAnchor"/>
          <w:rtl w:val="true"/>
        </w:rPr>
        <w:footnoteReference w:id="302"/>
      </w:r>
      <w:r>
        <w:rPr>
          <w:rFonts w:ascii="IRNazanin" w:hAnsi="IRNazanin" w:eastAsia="IRNazanin"/>
          <w:color w:val="111111"/>
          <w:sz w:val="28"/>
          <w:sz w:val="28"/>
          <w:szCs w:val="28"/>
          <w:rtl w:val="true"/>
          <w:lang w:bidi="fa-IR"/>
        </w:rPr>
        <w:t xml:space="preserve">من دون مسمّی الضرب و لا الضرب بأحدهما و لا بهما علی التعاقب و لا الضرب بظاهرهما و لا ببعض الباطن بحیث لا یصدق علیه الضرب بتمام الکفّ عرفاً و لا المسح بأحدهما و لا بهما علی التعاقب و لا بهما علیٰ وجه لا یصدق المسح بتمامهما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1" w:name="__RefHeading___Toc2566010_3650668749"/>
      <w:bookmarkStart w:id="1122" w:name="_Toc514"/>
      <w:bookmarkEnd w:id="1121"/>
      <w:r>
        <w:rPr>
          <w:rtl w:val="true"/>
        </w:rPr>
        <w:t>[ (</w:t>
      </w:r>
      <w:r>
        <w:rPr>
          <w:rtl w:val="true"/>
        </w:rPr>
        <w:t xml:space="preserve">مسألة </w:t>
      </w:r>
      <w:r>
        <w:rPr/>
        <w:t>2</w:t>
      </w:r>
      <w:r>
        <w:rPr>
          <w:rtl w:val="true"/>
        </w:rPr>
        <w:t xml:space="preserve">): </w:t>
      </w:r>
      <w:r>
        <w:rPr>
          <w:rtl w:val="true"/>
        </w:rPr>
        <w:t>لو تعذّر الضرب و المسح بالباطن انتقل إلی الظاهر</w:t>
      </w:r>
      <w:r>
        <w:rPr>
          <w:rtl w:val="true"/>
        </w:rPr>
        <w:t>]</w:t>
      </w:r>
      <w:bookmarkEnd w:id="112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w:t>
      </w:r>
      <w:r>
        <w:rPr>
          <w:rStyle w:val="FootnoteAnchor"/>
          <w:rtl w:val="true"/>
        </w:rPr>
        <w:footnoteReference w:id="304"/>
      </w:r>
      <w:r>
        <w:rPr>
          <w:rFonts w:ascii="IRNazanin" w:hAnsi="IRNazanin" w:eastAsia="IRNazanin"/>
          <w:color w:val="111111"/>
          <w:sz w:val="28"/>
          <w:sz w:val="28"/>
          <w:szCs w:val="28"/>
          <w:rtl w:val="true"/>
          <w:lang w:bidi="fa-IR"/>
        </w:rPr>
        <w:t xml:space="preserve">الضرب و المسح بالباطن انتقل إلی الظاهر، و لا ینتقل إلیه لو کان الباطن متنجّساً بغیر المتعدّی و تعذّرت الإزالة بل یضرب بهما </w:t>
      </w:r>
      <w:r>
        <w:rPr>
          <w:rStyle w:val="FootnoteAnchor"/>
          <w:rtl w:val="true"/>
        </w:rPr>
        <w:footnoteReference w:id="305"/>
      </w:r>
      <w:r>
        <w:rPr>
          <w:rFonts w:ascii="IRNazanin" w:hAnsi="IRNazanin" w:eastAsia="IRNazanin"/>
          <w:color w:val="111111"/>
          <w:sz w:val="28"/>
          <w:sz w:val="28"/>
          <w:szCs w:val="28"/>
          <w:rtl w:val="true"/>
          <w:lang w:bidi="fa-IR"/>
        </w:rPr>
        <w:t>و یمسح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النجاسة حائلة مستوعبة و لم یمکن التطهیر و الإزالة فالأحوط الجمع بین الضرب بالباطن و الضرب بالظاهر، نعم مع التعدّی إلی الصعید و لم یمکن التجفیف ینتقل إلی الظاهر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النجاسة علی الأعضاء الممسوحة و تعذّر التطهیر و الإزالة مسح علیها</w:t>
      </w:r>
      <w:r>
        <w:rPr>
          <w:rFonts w:eastAsia="IRNazanin" w:cs="IRNazanin"/>
          <w:color w:val="111111"/>
          <w:sz w:val="28"/>
          <w:szCs w:val="28"/>
          <w:rtl w:val="true"/>
          <w:lang w:bidi="fa-IR"/>
        </w:rPr>
        <w:t>.</w:t>
      </w:r>
      <w:bookmarkStart w:id="1123" w:name="pg1809_18875"/>
    </w:p>
    <w:p>
      <w:pPr>
        <w:pStyle w:val="Heading4"/>
        <w:numPr>
          <w:ilvl w:val="3"/>
          <w:numId w:val="1"/>
        </w:numPr>
        <w:rPr/>
      </w:pPr>
      <w:bookmarkStart w:id="1124" w:name="__RefHeading___Toc2566012_3650668749"/>
      <w:bookmarkStart w:id="1125" w:name="_Toc515"/>
      <w:bookmarkEnd w:id="1123"/>
      <w:bookmarkEnd w:id="1124"/>
      <w:r>
        <w:rPr>
          <w:rtl w:val="true"/>
        </w:rPr>
        <w:t>[</w:t>
      </w:r>
      <w:r>
        <w:rPr>
          <w:rtl w:val="true"/>
        </w:rPr>
        <w:t>القول فیما یعتبر فی التیمّم</w:t>
      </w:r>
      <w:r>
        <w:rPr>
          <w:rtl w:val="true"/>
        </w:rPr>
        <w:t>]</w:t>
      </w:r>
      <w:bookmarkEnd w:id="1125"/>
    </w:p>
    <w:p>
      <w:pPr>
        <w:pStyle w:val="Heading5"/>
        <w:numPr>
          <w:ilvl w:val="4"/>
          <w:numId w:val="1"/>
        </w:numPr>
        <w:rPr/>
      </w:pPr>
      <w:bookmarkStart w:id="1126" w:name="__RefHeading___Toc2566014_3650668749"/>
      <w:bookmarkStart w:id="1127" w:name="_Toc516"/>
      <w:bookmarkEnd w:id="1126"/>
      <w:r>
        <w:rPr>
          <w:rtl w:val="true"/>
        </w:rPr>
        <w:t>اشارة</w:t>
      </w:r>
      <w:bookmarkEnd w:id="1127"/>
    </w:p>
    <w:p>
      <w:pPr>
        <w:pStyle w:val="BookText"/>
        <w:rPr/>
      </w:pPr>
      <w:r>
        <w:rPr>
          <w:rFonts w:ascii="IRNazanin" w:hAnsi="IRNazanin" w:eastAsia="IRNazanin"/>
          <w:color w:val="111111"/>
          <w:sz w:val="28"/>
          <w:sz w:val="28"/>
          <w:szCs w:val="28"/>
          <w:rtl w:val="true"/>
          <w:lang w:bidi="fa-IR"/>
        </w:rPr>
        <w:t>القول فیما یعتبر فی التیمّم</w:t>
      </w:r>
    </w:p>
    <w:p>
      <w:pPr>
        <w:pStyle w:val="Heading5"/>
        <w:numPr>
          <w:ilvl w:val="4"/>
          <w:numId w:val="1"/>
        </w:numPr>
        <w:rPr/>
      </w:pPr>
      <w:bookmarkStart w:id="1128" w:name="__RefHeading___Toc2566016_3650668749"/>
      <w:bookmarkStart w:id="1129" w:name="_Toc517"/>
      <w:bookmarkEnd w:id="1128"/>
      <w:r>
        <w:rPr>
          <w:rtl w:val="true"/>
        </w:rPr>
        <w:t>[ (</w:t>
      </w:r>
      <w:r>
        <w:rPr>
          <w:rtl w:val="true"/>
        </w:rPr>
        <w:t xml:space="preserve">مسألة </w:t>
      </w:r>
      <w:r>
        <w:rPr/>
        <w:t>1</w:t>
      </w:r>
      <w:r>
        <w:rPr>
          <w:rtl w:val="true"/>
        </w:rPr>
        <w:t xml:space="preserve">): </w:t>
      </w:r>
      <w:r>
        <w:rPr>
          <w:rtl w:val="true"/>
        </w:rPr>
        <w:t>یعتبر النیّة فی التیمّم علیٰ نحو ما سمعته فی الوضوء</w:t>
      </w:r>
      <w:r>
        <w:rPr>
          <w:rtl w:val="true"/>
        </w:rPr>
        <w:t>]</w:t>
      </w:r>
      <w:bookmarkEnd w:id="1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النیّة فی التیمّم علیٰ نحو ما سمعته فی الوضوء، قاصداً به البدلیّة عمّا علیه من الوضوء أو الغسل مقارناً بها الضرب الذی هو أوّل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فیه المباشرة، و الترتیب علیٰ حسب ما عرفته و الموالاة؛ بمعنی عدم الفصل المنافی لهیئته و صورته، و المسح من الأعلی إلیٰ الأسفل فی الجبهة و الیدین بحیث یصدق ذلک علیه عرفاً، و رفع الحاجب عن الماسح و الممسوح حتّی مثل الخاتم و الطهارة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الشعر النابت علی المحلّ من الحاجب فیمسح علیه، نعم یکون منه الشعر المتدلّی من الرأس علی الجبهة إذا کان خارجاً </w:t>
      </w:r>
      <w:r>
        <w:rPr>
          <w:rStyle w:val="FootnoteAnchor"/>
          <w:rtl w:val="true"/>
        </w:rPr>
        <w:footnoteReference w:id="306"/>
      </w:r>
      <w:r>
        <w:rPr>
          <w:rFonts w:ascii="IRNazanin" w:hAnsi="IRNazanin" w:eastAsia="IRNazanin"/>
          <w:color w:val="111111"/>
          <w:sz w:val="28"/>
          <w:sz w:val="28"/>
          <w:szCs w:val="28"/>
          <w:rtl w:val="true"/>
          <w:lang w:bidi="fa-IR"/>
        </w:rPr>
        <w:t>عن المتعارف فیجب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الاختیار، أمّا مع الاضطرار فیسقط المعسور و لکن لا یسقط به المیسور</w:t>
      </w:r>
      <w:r>
        <w:rPr>
          <w:rFonts w:eastAsia="IRNazanin" w:cs="IRNazanin"/>
          <w:color w:val="111111"/>
          <w:sz w:val="28"/>
          <w:szCs w:val="28"/>
          <w:rtl w:val="true"/>
          <w:lang w:bidi="fa-IR"/>
        </w:rPr>
        <w:t>.</w:t>
      </w:r>
    </w:p>
    <w:p>
      <w:pPr>
        <w:pStyle w:val="Heading5"/>
        <w:numPr>
          <w:ilvl w:val="4"/>
          <w:numId w:val="1"/>
        </w:numPr>
        <w:rPr/>
      </w:pPr>
      <w:bookmarkStart w:id="1130" w:name="__RefHeading___Toc2566018_3650668749"/>
      <w:bookmarkStart w:id="1131" w:name="_Toc518"/>
      <w:bookmarkEnd w:id="1130"/>
      <w:r>
        <w:rPr>
          <w:rtl w:val="true"/>
        </w:rPr>
        <w:t>[ (</w:t>
      </w:r>
      <w:r>
        <w:rPr>
          <w:rtl w:val="true"/>
        </w:rPr>
        <w:t xml:space="preserve">مسألة </w:t>
      </w:r>
      <w:r>
        <w:rPr/>
        <w:t>2</w:t>
      </w:r>
      <w:r>
        <w:rPr>
          <w:rtl w:val="true"/>
        </w:rPr>
        <w:t xml:space="preserve">): </w:t>
      </w:r>
      <w:r>
        <w:rPr>
          <w:rtl w:val="true"/>
        </w:rPr>
        <w:t>یکفی ضربة واحدة للوجه و الیدین فی بدل الوضوء و الغسل</w:t>
      </w:r>
      <w:r>
        <w:rPr>
          <w:rtl w:val="true"/>
        </w:rPr>
        <w:t>]</w:t>
      </w:r>
      <w:bookmarkEnd w:id="1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ضربة واحدة للوجه و الیدین فی بدل الوضوء و الغسل و إن کان الأفضل ضربتین مخیّراً بین إیقاعهما متعاقبتین قبل مسح الوجه، أو موزّعتین علی الوجه و الیدین، و أفضل من ذلک ثلاث ضربات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اثنتان متعاقبتان قبل مسح الوجه و واحدة قبل مسح الیدین، و مع ذلک لا ینبغی </w:t>
      </w:r>
      <w:r>
        <w:rPr>
          <w:rStyle w:val="FootnoteAnchor"/>
          <w:rtl w:val="true"/>
        </w:rPr>
        <w:footnoteReference w:id="307"/>
      </w:r>
      <w:r>
        <w:rPr>
          <w:rFonts w:ascii="IRNazanin" w:hAnsi="IRNazanin" w:eastAsia="IRNazanin"/>
          <w:color w:val="111111"/>
          <w:sz w:val="28"/>
          <w:sz w:val="28"/>
          <w:szCs w:val="28"/>
          <w:rtl w:val="true"/>
          <w:lang w:bidi="fa-IR"/>
        </w:rPr>
        <w:t>ترک الاحتیاط بالضربتین، خصوصاً فیما هو بدل عن الغسل بإیقاع واحدة للوجه و أُخری للیدین</w:t>
      </w:r>
      <w:r>
        <w:rPr>
          <w:rFonts w:eastAsia="IRNazanin" w:cs="IRNazanin"/>
          <w:color w:val="111111"/>
          <w:sz w:val="28"/>
          <w:szCs w:val="28"/>
          <w:rtl w:val="true"/>
          <w:lang w:bidi="fa-IR"/>
        </w:rPr>
        <w:t>.</w:t>
      </w:r>
    </w:p>
    <w:p>
      <w:pPr>
        <w:pStyle w:val="Heading5"/>
        <w:numPr>
          <w:ilvl w:val="4"/>
          <w:numId w:val="1"/>
        </w:numPr>
        <w:rPr/>
      </w:pPr>
      <w:bookmarkStart w:id="1132" w:name="__RefHeading___Toc2566020_3650668749"/>
      <w:bookmarkStart w:id="1133" w:name="_Toc519"/>
      <w:bookmarkEnd w:id="1132"/>
      <w:r>
        <w:rPr>
          <w:rtl w:val="true"/>
        </w:rPr>
        <w:t>[ (</w:t>
      </w:r>
      <w:r>
        <w:rPr>
          <w:rtl w:val="true"/>
        </w:rPr>
        <w:t xml:space="preserve">مسألة </w:t>
      </w:r>
      <w:r>
        <w:rPr/>
        <w:t>3</w:t>
      </w:r>
      <w:r>
        <w:rPr>
          <w:rtl w:val="true"/>
        </w:rPr>
        <w:t xml:space="preserve">): </w:t>
      </w:r>
      <w:r>
        <w:rPr>
          <w:rtl w:val="true"/>
        </w:rPr>
        <w:t>العاجز ییمّمه غیره</w:t>
      </w:r>
      <w:r>
        <w:rPr>
          <w:rtl w:val="true"/>
        </w:rPr>
        <w:t>]</w:t>
      </w:r>
      <w:bookmarkEnd w:id="1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العاجز ییمّمه غیره، لکن یضرب الأرض بید العاجز ثمّ یمسح بها، نعم مع فرض العجز عن ذلک یضرب المتولّی بیدیه و یمسح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توقّف وجوده علیٰ اجرة وجب بذلها و إن کانت أضعاف </w:t>
      </w:r>
      <w:r>
        <w:rPr>
          <w:rStyle w:val="FootnoteAnchor"/>
          <w:rtl w:val="true"/>
        </w:rPr>
        <w:footnoteReference w:id="308"/>
      </w:r>
      <w:r>
        <w:rPr>
          <w:rFonts w:ascii="IRNazanin" w:hAnsi="IRNazanin" w:eastAsia="IRNazanin"/>
          <w:color w:val="111111"/>
          <w:sz w:val="28"/>
          <w:sz w:val="28"/>
          <w:szCs w:val="28"/>
          <w:rtl w:val="true"/>
          <w:lang w:bidi="fa-IR"/>
        </w:rPr>
        <w:t>أُجرة المثل ما لم یضرّ بحاله</w:t>
      </w:r>
      <w:r>
        <w:rPr>
          <w:rFonts w:eastAsia="IRNazanin" w:cs="IRNazanin"/>
          <w:color w:val="111111"/>
          <w:sz w:val="28"/>
          <w:szCs w:val="28"/>
          <w:rtl w:val="true"/>
          <w:lang w:bidi="fa-IR"/>
        </w:rPr>
        <w:t>.</w:t>
      </w:r>
    </w:p>
    <w:p>
      <w:pPr>
        <w:pStyle w:val="Heading5"/>
        <w:numPr>
          <w:ilvl w:val="4"/>
          <w:numId w:val="1"/>
        </w:numPr>
        <w:rPr/>
      </w:pPr>
      <w:bookmarkStart w:id="1134" w:name="__RefHeading___Toc2566022_3650668749"/>
      <w:bookmarkStart w:id="1135" w:name="_Toc520"/>
      <w:bookmarkEnd w:id="1134"/>
      <w:r>
        <w:rPr>
          <w:rtl w:val="true"/>
        </w:rPr>
        <w:t>[ (</w:t>
      </w:r>
      <w:r>
        <w:rPr>
          <w:rtl w:val="true"/>
        </w:rPr>
        <w:t xml:space="preserve">مسألة </w:t>
      </w:r>
      <w:r>
        <w:rPr/>
        <w:t>4</w:t>
      </w:r>
      <w:r>
        <w:rPr>
          <w:rtl w:val="true"/>
        </w:rPr>
        <w:t xml:space="preserve">): </w:t>
      </w:r>
      <w:r>
        <w:rPr>
          <w:rtl w:val="true"/>
        </w:rPr>
        <w:t>من قطعت إحدیٰ یدیه ضرب الأرض بالموجودة</w:t>
      </w:r>
      <w:r>
        <w:rPr>
          <w:rtl w:val="true"/>
        </w:rPr>
        <w:t>]</w:t>
      </w:r>
      <w:bookmarkEnd w:id="113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قطعت إحدیٰ یدیه ضرب الأرض بالموجودة </w:t>
      </w:r>
      <w:r>
        <w:rPr>
          <w:rStyle w:val="FootnoteAnchor"/>
          <w:rtl w:val="true"/>
        </w:rPr>
        <w:footnoteReference w:id="309"/>
      </w:r>
      <w:r>
        <w:rPr>
          <w:rFonts w:ascii="IRNazanin" w:hAnsi="IRNazanin" w:eastAsia="IRNazanin"/>
          <w:color w:val="111111"/>
          <w:sz w:val="28"/>
          <w:sz w:val="28"/>
          <w:szCs w:val="28"/>
          <w:rtl w:val="true"/>
          <w:lang w:bidi="fa-IR"/>
        </w:rPr>
        <w:t>و مسح بها جبهته ثمّ</w:t>
      </w:r>
      <w:bookmarkStart w:id="1136" w:name="pg1809_18876"/>
    </w:p>
    <w:p>
      <w:pPr>
        <w:pStyle w:val="BookText"/>
        <w:rPr/>
      </w:pPr>
      <w:bookmarkEnd w:id="1136"/>
      <w:r>
        <w:rPr>
          <w:rFonts w:ascii="IRNazanin" w:hAnsi="IRNazanin" w:eastAsia="IRNazanin"/>
          <w:color w:val="111111"/>
          <w:sz w:val="28"/>
          <w:sz w:val="28"/>
          <w:szCs w:val="28"/>
          <w:rtl w:val="true"/>
          <w:lang w:bidi="fa-IR"/>
        </w:rPr>
        <w:t>مسح ظهرها بالأرض و الأحوط الجمع بینه و بین تولیة الغیر إن أمکن؛ بأن یضرب یده علی الأرض و یمسح بها ظهر کفّ الأقطع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قطعت یداه یمسح بجبهته علی الأرض، و الأحوط تولیة الغیر أیضاً إن أمکن؛ بأن یضرب یدیه علی الأرض و یمسح بهما جبهته</w:t>
      </w:r>
      <w:r>
        <w:rPr>
          <w:rFonts w:eastAsia="IRNazanin" w:cs="IRNazanin"/>
          <w:color w:val="111111"/>
          <w:sz w:val="28"/>
          <w:szCs w:val="28"/>
          <w:rtl w:val="true"/>
          <w:lang w:bidi="fa-IR"/>
        </w:rPr>
        <w:t>.</w:t>
      </w:r>
    </w:p>
    <w:p>
      <w:pPr>
        <w:pStyle w:val="Heading5"/>
        <w:numPr>
          <w:ilvl w:val="4"/>
          <w:numId w:val="1"/>
        </w:numPr>
        <w:rPr/>
      </w:pPr>
      <w:bookmarkStart w:id="1137" w:name="__RefHeading___Toc2566024_3650668749"/>
      <w:bookmarkStart w:id="1138" w:name="_Toc521"/>
      <w:bookmarkEnd w:id="1137"/>
      <w:r>
        <w:rPr>
          <w:rtl w:val="true"/>
        </w:rPr>
        <w:t>[ (</w:t>
      </w:r>
      <w:r>
        <w:rPr>
          <w:rtl w:val="true"/>
        </w:rPr>
        <w:t xml:space="preserve">مسألة </w:t>
      </w:r>
      <w:r>
        <w:rPr/>
        <w:t>5</w:t>
      </w:r>
      <w:r>
        <w:rPr>
          <w:rtl w:val="true"/>
        </w:rPr>
        <w:t xml:space="preserve">): </w:t>
      </w:r>
      <w:r>
        <w:rPr>
          <w:rtl w:val="true"/>
        </w:rPr>
        <w:t>فی مسح الجبهة و الیدین یجب إمرار الماسح علی الممسوح</w:t>
      </w:r>
      <w:r>
        <w:rPr>
          <w:rtl w:val="true"/>
        </w:rPr>
        <w:t>]</w:t>
      </w:r>
      <w:bookmarkEnd w:id="1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مسح الجبهة و الیدین یجب إمرار الماسح علی الممسوح، فلا یکفی جرّ الممسوح تحت الماسح، نعم لا تضرّ الحرکة الیسیرة فی الممسوح إذا صدق کونه ممسوحاً</w:t>
      </w:r>
      <w:r>
        <w:rPr>
          <w:rFonts w:eastAsia="IRNazanin" w:cs="IRNazanin"/>
          <w:color w:val="111111"/>
          <w:sz w:val="28"/>
          <w:szCs w:val="28"/>
          <w:rtl w:val="true"/>
          <w:lang w:bidi="fa-IR"/>
        </w:rPr>
        <w:t>.</w:t>
      </w:r>
    </w:p>
    <w:p>
      <w:pPr>
        <w:pStyle w:val="Heading4"/>
        <w:numPr>
          <w:ilvl w:val="3"/>
          <w:numId w:val="1"/>
        </w:numPr>
        <w:rPr/>
      </w:pPr>
      <w:bookmarkStart w:id="1139" w:name="__RefHeading___Toc2566026_3650668749"/>
      <w:bookmarkStart w:id="1140" w:name="_Toc522"/>
      <w:bookmarkEnd w:id="1139"/>
      <w:r>
        <w:rPr>
          <w:rtl w:val="true"/>
        </w:rPr>
        <w:t>[</w:t>
      </w:r>
      <w:r>
        <w:rPr>
          <w:rtl w:val="true"/>
        </w:rPr>
        <w:t>القول فی أحکام التیمّم</w:t>
      </w:r>
      <w:r>
        <w:rPr>
          <w:rtl w:val="true"/>
        </w:rPr>
        <w:t>]</w:t>
      </w:r>
      <w:bookmarkEnd w:id="1140"/>
    </w:p>
    <w:p>
      <w:pPr>
        <w:pStyle w:val="Heading5"/>
        <w:numPr>
          <w:ilvl w:val="4"/>
          <w:numId w:val="1"/>
        </w:numPr>
        <w:rPr/>
      </w:pPr>
      <w:bookmarkStart w:id="1141" w:name="__RefHeading___Toc2566028_3650668749"/>
      <w:bookmarkStart w:id="1142" w:name="_Toc523"/>
      <w:bookmarkEnd w:id="1141"/>
      <w:r>
        <w:rPr>
          <w:rtl w:val="true"/>
        </w:rPr>
        <w:t>اشارة</w:t>
      </w:r>
      <w:bookmarkEnd w:id="1142"/>
    </w:p>
    <w:p>
      <w:pPr>
        <w:pStyle w:val="BookText"/>
        <w:rPr/>
      </w:pPr>
      <w:r>
        <w:rPr>
          <w:rFonts w:ascii="IRNazanin" w:hAnsi="IRNazanin" w:eastAsia="IRNazanin"/>
          <w:color w:val="111111"/>
          <w:sz w:val="28"/>
          <w:sz w:val="28"/>
          <w:szCs w:val="28"/>
          <w:rtl w:val="true"/>
          <w:lang w:bidi="fa-IR"/>
        </w:rPr>
        <w:t>القول فی أحکام التیمّم</w:t>
      </w:r>
    </w:p>
    <w:p>
      <w:pPr>
        <w:pStyle w:val="Heading5"/>
        <w:numPr>
          <w:ilvl w:val="4"/>
          <w:numId w:val="1"/>
        </w:numPr>
        <w:rPr/>
      </w:pPr>
      <w:bookmarkStart w:id="1143" w:name="__RefHeading___Toc2566030_3650668749"/>
      <w:bookmarkStart w:id="1144" w:name="_Toc524"/>
      <w:bookmarkEnd w:id="1143"/>
      <w:r>
        <w:rPr>
          <w:rtl w:val="true"/>
        </w:rPr>
        <w:t>[ (</w:t>
      </w:r>
      <w:r>
        <w:rPr>
          <w:rtl w:val="true"/>
        </w:rPr>
        <w:t xml:space="preserve">مسألة </w:t>
      </w:r>
      <w:r>
        <w:rPr/>
        <w:t>1</w:t>
      </w:r>
      <w:r>
        <w:rPr>
          <w:rtl w:val="true"/>
        </w:rPr>
        <w:t xml:space="preserve">): </w:t>
      </w:r>
      <w:r>
        <w:rPr>
          <w:rtl w:val="true"/>
        </w:rPr>
        <w:t>لا یصحّ التیمّم للفریضة قبل دخول وقتها</w:t>
      </w:r>
      <w:r>
        <w:rPr>
          <w:rtl w:val="true"/>
        </w:rPr>
        <w:t>]</w:t>
      </w:r>
      <w:bookmarkEnd w:id="1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w:t>
      </w:r>
      <w:r>
        <w:rPr>
          <w:rStyle w:val="FootnoteAnchor"/>
          <w:rtl w:val="true"/>
        </w:rPr>
        <w:footnoteReference w:id="310"/>
      </w:r>
      <w:r>
        <w:rPr>
          <w:rFonts w:ascii="IRNazanin" w:hAnsi="IRNazanin" w:eastAsia="IRNazanin"/>
          <w:color w:val="111111"/>
          <w:sz w:val="28"/>
          <w:sz w:val="28"/>
          <w:szCs w:val="28"/>
          <w:rtl w:val="true"/>
          <w:lang w:bidi="fa-IR"/>
        </w:rPr>
        <w:t xml:space="preserve">التیمّم للفریضة قبل دخول وقتها و إن علم بعدم التمکّن منه فی الوقت علیٰ إشکال، و الأحوط احتیاطاً </w:t>
      </w:r>
      <w:r>
        <w:rPr>
          <w:rStyle w:val="FootnoteAnchor"/>
          <w:rtl w:val="true"/>
        </w:rPr>
        <w:footnoteReference w:id="311"/>
      </w:r>
      <w:r>
        <w:rPr>
          <w:rFonts w:ascii="IRNazanin" w:hAnsi="IRNazanin" w:eastAsia="IRNazanin"/>
          <w:color w:val="111111"/>
          <w:sz w:val="28"/>
          <w:sz w:val="28"/>
          <w:szCs w:val="28"/>
          <w:rtl w:val="true"/>
          <w:lang w:bidi="fa-IR"/>
        </w:rPr>
        <w:t>لا یترک لمن یعلم بعدم التمکّن منه فی الوقت إیجاده قبله لشی‌ء من غایاته و عدم نقضه إلیٰ وقت الصلاة مقدّمة لإدراک الصلاة مع الطهور فی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بعد دخول الوقت فیصحّ و إن لم یتضیّق مع رجاء </w:t>
      </w:r>
      <w:r>
        <w:rPr>
          <w:rStyle w:val="FootnoteAnchor"/>
          <w:rtl w:val="true"/>
        </w:rPr>
        <w:footnoteReference w:id="312"/>
      </w:r>
      <w:r>
        <w:rPr>
          <w:rFonts w:ascii="IRNazanin" w:hAnsi="IRNazanin" w:eastAsia="IRNazanin"/>
          <w:color w:val="111111"/>
          <w:sz w:val="28"/>
          <w:sz w:val="28"/>
          <w:szCs w:val="28"/>
          <w:rtl w:val="true"/>
          <w:lang w:bidi="fa-IR"/>
        </w:rPr>
        <w:t>ارتفاع العذر فی آخره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العلم بالارتفاع یجب الانتظار، و الأحوط مراعاة الضیق مطلقاً و لا یعید ما صلّاهُ بتیمّمه الصحیح بعد ارتفاع العذر من غیر فرق بین الوقت و خارجه</w:t>
      </w:r>
      <w:r>
        <w:rPr>
          <w:rFonts w:eastAsia="IRNazanin" w:cs="IRNazanin"/>
          <w:color w:val="111111"/>
          <w:sz w:val="28"/>
          <w:szCs w:val="28"/>
          <w:rtl w:val="true"/>
          <w:lang w:bidi="fa-IR"/>
        </w:rPr>
        <w:t>.</w:t>
      </w:r>
    </w:p>
    <w:p>
      <w:pPr>
        <w:pStyle w:val="Heading5"/>
        <w:numPr>
          <w:ilvl w:val="4"/>
          <w:numId w:val="1"/>
        </w:numPr>
        <w:rPr/>
      </w:pPr>
      <w:bookmarkStart w:id="1145" w:name="__RefHeading___Toc2566032_3650668749"/>
      <w:bookmarkStart w:id="1146" w:name="_Toc525"/>
      <w:bookmarkEnd w:id="1145"/>
      <w:r>
        <w:rPr>
          <w:rtl w:val="true"/>
        </w:rPr>
        <w:t>[ (</w:t>
      </w:r>
      <w:r>
        <w:rPr>
          <w:rtl w:val="true"/>
        </w:rPr>
        <w:t xml:space="preserve">مسألة </w:t>
      </w:r>
      <w:r>
        <w:rPr/>
        <w:t>2</w:t>
      </w:r>
      <w:r>
        <w:rPr>
          <w:rtl w:val="true"/>
        </w:rPr>
        <w:t xml:space="preserve">): </w:t>
      </w:r>
      <w:r>
        <w:rPr>
          <w:rtl w:val="true"/>
        </w:rPr>
        <w:t>لو تیمّم لصلاة قد حضر وقتها و لم ینتقض و لم یرتفع العذر حتّی دخل وقت صلاة أُخری</w:t>
      </w:r>
      <w:r>
        <w:rPr>
          <w:rtl w:val="true"/>
        </w:rPr>
        <w:t>]</w:t>
      </w:r>
      <w:bookmarkEnd w:id="114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تیمّم لصلاة قد حضر وقتها و لم ینتقض و لم یرتفع العذر حتّی دخل وقت صلاة أُخری جاز الإتیان بها فی أوّل وقتها إلّا مع العلم </w:t>
      </w:r>
      <w:r>
        <w:rPr>
          <w:rStyle w:val="FootnoteAnchor"/>
          <w:rtl w:val="true"/>
        </w:rPr>
        <w:footnoteReference w:id="313"/>
      </w:r>
      <w:r>
        <w:rPr>
          <w:rFonts w:ascii="IRNazanin" w:hAnsi="IRNazanin" w:eastAsia="IRNazanin"/>
          <w:color w:val="111111"/>
          <w:sz w:val="28"/>
          <w:sz w:val="28"/>
          <w:szCs w:val="28"/>
          <w:rtl w:val="true"/>
          <w:lang w:bidi="fa-IR"/>
        </w:rPr>
        <w:t>بارتفاع العذر فی آخره فیجب تأخیرها، بل یستبیح بالتیمّم لغایة کالصلاة و غیرها من الغایات کالمتطهّر ما لم ینتقض و بقی العذر، فله أن یأتی بکلّ ما یشترط فیه الطهارة کمسّ کتابة القرآن و دخول المساجد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یقوم الصعید مقام الماء فی کلّ ما طلب الوضوء أو الغسل له و إن لم یکن طهارة، فیجوز التیمّم حینئذٍ بدلًا عن الأغسال المندوبة و الوضوء الصوری و الوضوء التجدیدی؟ فیه تأمّل و إشکال، فالأحوط الإتیان به برجاء المطلوبیّة</w:t>
      </w:r>
      <w:r>
        <w:rPr>
          <w:rFonts w:eastAsia="IRNazanin" w:cs="IRNazanin"/>
          <w:color w:val="111111"/>
          <w:sz w:val="28"/>
          <w:szCs w:val="28"/>
          <w:rtl w:val="true"/>
          <w:lang w:bidi="fa-IR"/>
        </w:rPr>
        <w:t>.</w:t>
      </w:r>
      <w:bookmarkStart w:id="1147" w:name="pg1809_18877"/>
    </w:p>
    <w:p>
      <w:pPr>
        <w:pStyle w:val="Heading5"/>
        <w:numPr>
          <w:ilvl w:val="4"/>
          <w:numId w:val="1"/>
        </w:numPr>
        <w:rPr/>
      </w:pPr>
      <w:bookmarkStart w:id="1148" w:name="__RefHeading___Toc2566034_3650668749"/>
      <w:bookmarkStart w:id="1149" w:name="_Toc526"/>
      <w:bookmarkEnd w:id="1147"/>
      <w:bookmarkEnd w:id="1148"/>
      <w:r>
        <w:rPr>
          <w:rtl w:val="true"/>
        </w:rPr>
        <w:t>[ (</w:t>
      </w:r>
      <w:r>
        <w:rPr>
          <w:rtl w:val="true"/>
        </w:rPr>
        <w:t xml:space="preserve">مسألة </w:t>
      </w:r>
      <w:r>
        <w:rPr/>
        <w:t>3</w:t>
      </w:r>
      <w:r>
        <w:rPr>
          <w:rtl w:val="true"/>
        </w:rPr>
        <w:t xml:space="preserve">): </w:t>
      </w:r>
      <w:r>
        <w:rPr>
          <w:rtl w:val="true"/>
        </w:rPr>
        <w:t>المحدث بالأکبر غیر الجنابة یتیمّم تیمّمین</w:t>
      </w:r>
      <w:r>
        <w:rPr>
          <w:rtl w:val="true"/>
        </w:rPr>
        <w:t>]</w:t>
      </w:r>
      <w:bookmarkEnd w:id="1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بالأکبر غیر الجنابة یتیمّم تیمّمین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عن الغسل و الآخر عن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وجد ما یکفی لأحدهما </w:t>
      </w:r>
      <w:r>
        <w:rPr>
          <w:rStyle w:val="FootnoteAnchor"/>
          <w:rtl w:val="true"/>
        </w:rPr>
        <w:footnoteReference w:id="314"/>
      </w:r>
      <w:r>
        <w:rPr>
          <w:rFonts w:ascii="IRNazanin" w:hAnsi="IRNazanin" w:eastAsia="IRNazanin"/>
          <w:color w:val="111111"/>
          <w:sz w:val="28"/>
          <w:sz w:val="28"/>
          <w:szCs w:val="28"/>
          <w:rtl w:val="true"/>
          <w:lang w:bidi="fa-IR"/>
        </w:rPr>
        <w:t xml:space="preserve">خاصّة صرفه فیه و تیمّم عن الآخر، و لو وجد ما یکفی أحدهما و أمکن صرفه فی کلّ منهما قدّم الغسل </w:t>
      </w:r>
      <w:r>
        <w:rPr>
          <w:rStyle w:val="FootnoteAnchor"/>
          <w:rtl w:val="true"/>
        </w:rPr>
        <w:footnoteReference w:id="315"/>
      </w:r>
      <w:r>
        <w:rPr>
          <w:rFonts w:ascii="IRNazanin" w:hAnsi="IRNazanin" w:eastAsia="IRNazanin"/>
          <w:color w:val="111111"/>
          <w:sz w:val="28"/>
          <w:sz w:val="28"/>
          <w:szCs w:val="28"/>
          <w:rtl w:val="true"/>
          <w:lang w:bidi="fa-IR"/>
        </w:rPr>
        <w:t>و تیمّم عن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الجنابة تیمّم واحد لها</w:t>
      </w:r>
      <w:r>
        <w:rPr>
          <w:rFonts w:eastAsia="IRNazanin" w:cs="IRNazanin"/>
          <w:color w:val="111111"/>
          <w:sz w:val="28"/>
          <w:szCs w:val="28"/>
          <w:rtl w:val="true"/>
          <w:lang w:bidi="fa-IR"/>
        </w:rPr>
        <w:t>.</w:t>
      </w:r>
    </w:p>
    <w:p>
      <w:pPr>
        <w:pStyle w:val="Heading5"/>
        <w:numPr>
          <w:ilvl w:val="4"/>
          <w:numId w:val="1"/>
        </w:numPr>
        <w:rPr/>
      </w:pPr>
      <w:bookmarkStart w:id="1150" w:name="__RefHeading___Toc2566036_3650668749"/>
      <w:bookmarkStart w:id="1151" w:name="_Toc527"/>
      <w:bookmarkEnd w:id="1150"/>
      <w:r>
        <w:rPr>
          <w:rtl w:val="true"/>
        </w:rPr>
        <w:t>[ (</w:t>
      </w:r>
      <w:r>
        <w:rPr>
          <w:rtl w:val="true"/>
        </w:rPr>
        <w:t xml:space="preserve">مسألة </w:t>
      </w:r>
      <w:r>
        <w:rPr/>
        <w:t>4</w:t>
      </w:r>
      <w:r>
        <w:rPr>
          <w:rtl w:val="true"/>
        </w:rPr>
        <w:t xml:space="preserve">): </w:t>
      </w:r>
      <w:r>
        <w:rPr>
          <w:rtl w:val="true"/>
        </w:rPr>
        <w:t>لو اجتمعت أسباب مختلفة للحدث الأکبر کفاه</w:t>
      </w:r>
      <w:r>
        <w:rPr>
          <w:rtl w:val="true"/>
        </w:rPr>
        <w:t>]</w:t>
      </w:r>
      <w:bookmarkEnd w:id="1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اجتمعت أسباب مختلفة للحدث الأکبر کفاه </w:t>
      </w:r>
      <w:r>
        <w:rPr>
          <w:rStyle w:val="FootnoteAnchor"/>
          <w:rtl w:val="true"/>
        </w:rPr>
        <w:footnoteReference w:id="316"/>
      </w:r>
      <w:r>
        <w:rPr>
          <w:rFonts w:ascii="IRNazanin" w:hAnsi="IRNazanin" w:eastAsia="IRNazanin"/>
          <w:color w:val="111111"/>
          <w:sz w:val="28"/>
          <w:sz w:val="28"/>
          <w:szCs w:val="28"/>
          <w:rtl w:val="true"/>
          <w:lang w:bidi="fa-IR"/>
        </w:rPr>
        <w:t>تیمّم واحد عن الجمیع، فلو کان فیها جنابة فنواها خاصّة أو نوی الجمیع لا یحتاج إلیٰ تیمّم عن الوضوء و إلّا أتی بتیمّم آخر عنه أیضاً</w:t>
      </w:r>
      <w:r>
        <w:rPr>
          <w:rFonts w:eastAsia="IRNazanin" w:cs="IRNazanin"/>
          <w:color w:val="111111"/>
          <w:sz w:val="28"/>
          <w:szCs w:val="28"/>
          <w:rtl w:val="true"/>
          <w:lang w:bidi="fa-IR"/>
        </w:rPr>
        <w:t>.</w:t>
      </w:r>
    </w:p>
    <w:p>
      <w:pPr>
        <w:pStyle w:val="Heading5"/>
        <w:numPr>
          <w:ilvl w:val="4"/>
          <w:numId w:val="1"/>
        </w:numPr>
        <w:rPr/>
      </w:pPr>
      <w:bookmarkStart w:id="1152" w:name="__RefHeading___Toc2566038_3650668749"/>
      <w:bookmarkStart w:id="1153" w:name="_Toc528"/>
      <w:bookmarkEnd w:id="1152"/>
      <w:r>
        <w:rPr>
          <w:rtl w:val="true"/>
        </w:rPr>
        <w:t>[ (</w:t>
      </w:r>
      <w:r>
        <w:rPr>
          <w:rtl w:val="true"/>
        </w:rPr>
        <w:t xml:space="preserve">مسألة </w:t>
      </w:r>
      <w:r>
        <w:rPr/>
        <w:t>5</w:t>
      </w:r>
      <w:r>
        <w:rPr>
          <w:rtl w:val="true"/>
        </w:rPr>
        <w:t xml:space="preserve">): </w:t>
      </w:r>
      <w:r>
        <w:rPr>
          <w:rtl w:val="true"/>
        </w:rPr>
        <w:t>ینتقض التیمّم الواقع عن الوضوء بالحدث الأصغر فضلًا عن الأکبر</w:t>
      </w:r>
      <w:r>
        <w:rPr>
          <w:rtl w:val="true"/>
        </w:rPr>
        <w:t>]</w:t>
      </w:r>
      <w:bookmarkEnd w:id="1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ینتقض التیمّم الواقع عن الوضوء بالحدث الأصغر فضلًا عن الأکبر، کما أنّه ینتقض ما یکون بدلًا عن الغسل بما یوجب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ینتقض ما یکون بدلًا عن الغسل بما ینقض الوضوء فیعود إلیٰ ما کان، فالمجنب المتیمّم إذا أحدث بالأصغر یعید تیمّمه، و الحائض مثلًا إذا أحدثت انتقض تیمّمها؟ أو لا بل لا یوجب الحدث الأصغر إلّا الوضوء أو التیمّم بدلًا عنه إلیٰ أن یجد الماء أو یتمکّن من استعماله فی الغسل فحینئذٍ ینقض ما کان بدلًا عنه؟ قولان، أشهرهما الأوّل و أقواهما </w:t>
      </w:r>
      <w:r>
        <w:rPr>
          <w:rStyle w:val="FootnoteAnchor"/>
          <w:rtl w:val="true"/>
        </w:rPr>
        <w:footnoteReference w:id="317"/>
      </w:r>
      <w:r>
        <w:rPr>
          <w:rFonts w:ascii="IRNazanin" w:hAnsi="IRNazanin" w:eastAsia="IRNazanin"/>
          <w:color w:val="111111"/>
          <w:sz w:val="28"/>
          <w:sz w:val="28"/>
          <w:szCs w:val="28"/>
          <w:rtl w:val="true"/>
          <w:lang w:bidi="fa-IR"/>
        </w:rPr>
        <w:t>الثانی، خصوصاً فی غیر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فالمجنب إذا أحدث بعد تیمّمه یکون کالمغتسل المحدث بعد غسله لا یحتاج إلّا إلی الوضوء أو التیمّم بدلًا عنه، و الحائض إذا أحدثت بعد تیمّمها تکون کما أحدثت بعد أن توضّأت و اغتسلت لا ینتقض إلّا تیمّمها الوضوئی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لمن تمکّن من الوضوء الجمع بینه و بین التیمّم بدلًا عن الغسل و لمن لم یتمکّن منه الإتیان بتیمّم واحد بقصد ما فی الذمّة مردّداً بین کونه بدلًا عن الغسل أو الوضوء إذا کان مجنباً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غیره فیأتی بتیمّمین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بدلًا عن الوضوء و الآخر بدلًا عن الغسل احتیاطاً</w:t>
      </w:r>
      <w:r>
        <w:rPr>
          <w:rFonts w:eastAsia="IRNazanin" w:cs="IRNazanin"/>
          <w:color w:val="111111"/>
          <w:sz w:val="28"/>
          <w:szCs w:val="28"/>
          <w:rtl w:val="true"/>
          <w:lang w:bidi="fa-IR"/>
        </w:rPr>
        <w:t>.</w:t>
      </w:r>
    </w:p>
    <w:p>
      <w:pPr>
        <w:pStyle w:val="Heading5"/>
        <w:numPr>
          <w:ilvl w:val="4"/>
          <w:numId w:val="1"/>
        </w:numPr>
        <w:rPr/>
      </w:pPr>
      <w:bookmarkStart w:id="1154" w:name="__RefHeading___Toc2566040_3650668749"/>
      <w:bookmarkStart w:id="1155" w:name="_Toc529"/>
      <w:bookmarkEnd w:id="1154"/>
      <w:r>
        <w:rPr>
          <w:rtl w:val="true"/>
        </w:rPr>
        <w:t>[ (</w:t>
      </w:r>
      <w:r>
        <w:rPr>
          <w:rtl w:val="true"/>
        </w:rPr>
        <w:t xml:space="preserve">مسألة </w:t>
      </w:r>
      <w:r>
        <w:rPr/>
        <w:t>6</w:t>
      </w:r>
      <w:r>
        <w:rPr>
          <w:rtl w:val="true"/>
        </w:rPr>
        <w:t xml:space="preserve">): </w:t>
      </w:r>
      <w:r>
        <w:rPr>
          <w:rtl w:val="true"/>
        </w:rPr>
        <w:t>إذا وجد الماء أو زال عذره قبل الصلاة انتقض تیمّمه</w:t>
      </w:r>
      <w:r>
        <w:rPr>
          <w:rtl w:val="true"/>
        </w:rPr>
        <w:t>]</w:t>
      </w:r>
      <w:bookmarkEnd w:id="115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الماء </w:t>
      </w:r>
      <w:r>
        <w:rPr>
          <w:rStyle w:val="FootnoteAnchor"/>
          <w:rtl w:val="true"/>
        </w:rPr>
        <w:footnoteReference w:id="318"/>
      </w:r>
      <w:r>
        <w:rPr>
          <w:rFonts w:ascii="IRNazanin" w:hAnsi="IRNazanin" w:eastAsia="IRNazanin"/>
          <w:color w:val="111111"/>
          <w:sz w:val="28"/>
          <w:sz w:val="28"/>
          <w:szCs w:val="28"/>
          <w:rtl w:val="true"/>
          <w:lang w:bidi="fa-IR"/>
        </w:rPr>
        <w:t>أو زال عذره قبل الصلاة انتقض تیمّمه و لا یصحّ أن یصلّی به، و إن تجدّد فقدان الماء أو حصول العذر فیجب أن یتیمّم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یسع زمان</w:t>
      </w:r>
      <w:bookmarkStart w:id="1156" w:name="pg1809_18878"/>
    </w:p>
    <w:p>
      <w:pPr>
        <w:pStyle w:val="BookText"/>
        <w:rPr/>
      </w:pPr>
      <w:bookmarkEnd w:id="1156"/>
      <w:r>
        <w:rPr>
          <w:rFonts w:ascii="IRNazanin" w:hAnsi="IRNazanin" w:eastAsia="IRNazanin"/>
          <w:color w:val="111111"/>
          <w:sz w:val="28"/>
          <w:sz w:val="28"/>
          <w:szCs w:val="28"/>
          <w:rtl w:val="true"/>
          <w:lang w:bidi="fa-IR"/>
        </w:rPr>
        <w:t>الوجدان أو ارتفاع العذر للوضوء أو الغسل لا یبعد عدم انتقاضه و إن کان الأحوط تجدیده ثانیاً مطلقاً، و کذا إذا کان وجدان الماء أو زوال العذر فی ضیق الوقت، لا ینتقض تیمّمه و یکتفی به للصلاة التی ضاق وقتها</w:t>
      </w:r>
      <w:r>
        <w:rPr>
          <w:rFonts w:eastAsia="IRNazanin" w:cs="IRNazanin"/>
          <w:color w:val="111111"/>
          <w:sz w:val="28"/>
          <w:szCs w:val="28"/>
          <w:rtl w:val="true"/>
          <w:lang w:bidi="fa-IR"/>
        </w:rPr>
        <w:t>.</w:t>
      </w:r>
    </w:p>
    <w:p>
      <w:pPr>
        <w:pStyle w:val="Heading5"/>
        <w:numPr>
          <w:ilvl w:val="4"/>
          <w:numId w:val="1"/>
        </w:numPr>
        <w:rPr/>
      </w:pPr>
      <w:bookmarkStart w:id="1157" w:name="__RefHeading___Toc2566042_3650668749"/>
      <w:bookmarkStart w:id="1158" w:name="_Toc530"/>
      <w:bookmarkEnd w:id="1157"/>
      <w:r>
        <w:rPr>
          <w:rtl w:val="true"/>
        </w:rPr>
        <w:t>[ (</w:t>
      </w:r>
      <w:r>
        <w:rPr>
          <w:rtl w:val="true"/>
        </w:rPr>
        <w:t xml:space="preserve">مسألة </w:t>
      </w:r>
      <w:r>
        <w:rPr/>
        <w:t>7</w:t>
      </w:r>
      <w:r>
        <w:rPr>
          <w:rtl w:val="true"/>
        </w:rPr>
        <w:t xml:space="preserve">): </w:t>
      </w:r>
      <w:r>
        <w:rPr>
          <w:rtl w:val="true"/>
        </w:rPr>
        <w:t>المجنب المتیمّم إذا وجد ماء بقدر کفایة وضوئه لا یبطل تیمّمه</w:t>
      </w:r>
      <w:r>
        <w:rPr>
          <w:rtl w:val="true"/>
        </w:rPr>
        <w:t>]</w:t>
      </w:r>
      <w:bookmarkEnd w:id="1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المجنب المتیمّم إذا وجد ماء بقدر کفایة وضوئه لا یبطل تیمّمه، و أمّا غیره ممّن تیمّم تیمّمین إذا وجد بقدر الوضوء بطل خصوص تیمّمه الذی هو بدل عنه، و إذا وجد ما یکفی للغسل فقط </w:t>
      </w:r>
      <w:r>
        <w:rPr>
          <w:rStyle w:val="FootnoteAnchor"/>
          <w:rtl w:val="true"/>
        </w:rPr>
        <w:footnoteReference w:id="319"/>
      </w:r>
      <w:r>
        <w:rPr>
          <w:rFonts w:ascii="IRNazanin" w:hAnsi="IRNazanin" w:eastAsia="IRNazanin"/>
          <w:color w:val="111111"/>
          <w:sz w:val="28"/>
          <w:sz w:val="28"/>
          <w:szCs w:val="28"/>
          <w:rtl w:val="true"/>
          <w:lang w:bidi="fa-IR"/>
        </w:rPr>
        <w:t>صرفه فیه و بقی تیمّم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فیما إذا کان کافیاً لأحدهما و أمکن صرفه فی کلّ منهما لا فی کلیهما</w:t>
      </w:r>
      <w:r>
        <w:rPr>
          <w:rFonts w:eastAsia="IRNazanin" w:cs="IRNazanin"/>
          <w:color w:val="111111"/>
          <w:sz w:val="28"/>
          <w:szCs w:val="28"/>
          <w:rtl w:val="true"/>
          <w:lang w:bidi="fa-IR"/>
        </w:rPr>
        <w:t>.</w:t>
      </w:r>
    </w:p>
    <w:p>
      <w:pPr>
        <w:pStyle w:val="Heading5"/>
        <w:numPr>
          <w:ilvl w:val="4"/>
          <w:numId w:val="1"/>
        </w:numPr>
        <w:rPr/>
      </w:pPr>
      <w:bookmarkStart w:id="1159" w:name="__RefHeading___Toc2566044_3650668749"/>
      <w:bookmarkStart w:id="1160" w:name="_Toc531"/>
      <w:bookmarkEnd w:id="1159"/>
      <w:r>
        <w:rPr>
          <w:rtl w:val="true"/>
        </w:rPr>
        <w:t>[ (</w:t>
      </w:r>
      <w:r>
        <w:rPr>
          <w:rtl w:val="true"/>
        </w:rPr>
        <w:t xml:space="preserve">مسألة </w:t>
      </w:r>
      <w:r>
        <w:rPr/>
        <w:t>8</w:t>
      </w:r>
      <w:r>
        <w:rPr>
          <w:rtl w:val="true"/>
        </w:rPr>
        <w:t xml:space="preserve">): </w:t>
      </w:r>
      <w:r>
        <w:rPr>
          <w:rtl w:val="true"/>
        </w:rPr>
        <w:t>إذا وجد الماء بعد الصلاة لا یجب إعادتها بل تمّت و صحّت</w:t>
      </w:r>
      <w:r>
        <w:rPr>
          <w:rtl w:val="true"/>
        </w:rPr>
        <w:t>]</w:t>
      </w:r>
      <w:bookmarkEnd w:id="1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الماء بعد الصلاة لا یجب إعادتها بل تمّت و صحّت، و کذا إذا وجده فی أثناء الصلاة بعد الرکوع من الرکعة الأُولیٰ، و أمّا إذا کان قبل الرکوع ففی بطلان تیمّمه و صلاته إشکال، لا یبعد عدم البطلان مع استحباب الرجوع و استئناف الصلاة من رأس مع الطهارة المائیّة، و لکن الاحتیاط بالإتمام و الإعادة مع سعة الوقت لا ینبغی ترکه</w:t>
      </w:r>
      <w:r>
        <w:rPr>
          <w:rFonts w:eastAsia="IRNazanin" w:cs="IRNazanin"/>
          <w:color w:val="111111"/>
          <w:sz w:val="28"/>
          <w:szCs w:val="28"/>
          <w:rtl w:val="true"/>
          <w:lang w:bidi="fa-IR"/>
        </w:rPr>
        <w:t>.</w:t>
      </w:r>
    </w:p>
    <w:p>
      <w:pPr>
        <w:pStyle w:val="Heading5"/>
        <w:numPr>
          <w:ilvl w:val="4"/>
          <w:numId w:val="1"/>
        </w:numPr>
        <w:rPr/>
      </w:pPr>
      <w:bookmarkStart w:id="1161" w:name="__RefHeading___Toc2566046_3650668749"/>
      <w:bookmarkStart w:id="1162" w:name="_Toc532"/>
      <w:bookmarkEnd w:id="1161"/>
      <w:r>
        <w:rPr>
          <w:rtl w:val="true"/>
        </w:rPr>
        <w:t>[ (</w:t>
      </w:r>
      <w:r>
        <w:rPr>
          <w:rtl w:val="true"/>
        </w:rPr>
        <w:t xml:space="preserve">مسألة </w:t>
      </w:r>
      <w:r>
        <w:rPr/>
        <w:t>9</w:t>
      </w:r>
      <w:r>
        <w:rPr>
          <w:rtl w:val="true"/>
        </w:rPr>
        <w:t xml:space="preserve">): </w:t>
      </w:r>
      <w:r>
        <w:rPr>
          <w:rtl w:val="true"/>
        </w:rPr>
        <w:t>إذا شکّ فی بعض أجزاء التیمّم بعد الفراغ منه لم یعتن و بنیٰ علی الصحّة</w:t>
      </w:r>
      <w:r>
        <w:rPr>
          <w:rtl w:val="true"/>
        </w:rPr>
        <w:t>]</w:t>
      </w:r>
      <w:bookmarkEnd w:id="1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بعض أجزاء التیمّم بعد الفراغ منه لم یعتن و بنیٰ علی الصحّة، بخلاف ما إذا شکّ فی جزء من أجزائه فی أثنائه فإنّه یأتی به علی الأحوط لو لم یکن الأقویٰ </w:t>
      </w:r>
      <w:r>
        <w:rPr>
          <w:rStyle w:val="FootnoteAnchor"/>
          <w:rtl w:val="true"/>
        </w:rPr>
        <w:footnoteReference w:id="320"/>
      </w:r>
      <w:r>
        <w:rPr>
          <w:rFonts w:ascii="IRNazanin" w:hAnsi="IRNazanin" w:eastAsia="IRNazanin"/>
          <w:color w:val="111111"/>
          <w:sz w:val="28"/>
          <w:sz w:val="28"/>
          <w:szCs w:val="28"/>
          <w:rtl w:val="true"/>
          <w:lang w:bidi="fa-IR"/>
        </w:rPr>
        <w:t>من غیر فرق بین ما هو بدل عن الوضوء أو الغسل</w:t>
      </w:r>
      <w:r>
        <w:rPr>
          <w:rFonts w:eastAsia="IRNazanin" w:cs="IRNazanin"/>
          <w:color w:val="111111"/>
          <w:sz w:val="28"/>
          <w:szCs w:val="28"/>
          <w:rtl w:val="true"/>
          <w:lang w:bidi="fa-IR"/>
        </w:rPr>
        <w:t>.</w:t>
      </w:r>
    </w:p>
    <w:p>
      <w:pPr>
        <w:pStyle w:val="Heading3"/>
        <w:numPr>
          <w:ilvl w:val="2"/>
          <w:numId w:val="1"/>
        </w:numPr>
        <w:rPr/>
      </w:pPr>
      <w:bookmarkStart w:id="1163" w:name="__RefHeading___Toc2566048_3650668749"/>
      <w:bookmarkStart w:id="1164" w:name="_Toc533"/>
      <w:bookmarkEnd w:id="1163"/>
      <w:r>
        <w:rPr>
          <w:rtl w:val="true"/>
        </w:rPr>
        <w:t>[</w:t>
      </w:r>
      <w:r>
        <w:rPr>
          <w:rtl w:val="true"/>
        </w:rPr>
        <w:t>فصل فی النجاسات</w:t>
      </w:r>
      <w:r>
        <w:rPr>
          <w:rtl w:val="true"/>
        </w:rPr>
        <w:t>]</w:t>
      </w:r>
      <w:bookmarkEnd w:id="1164"/>
    </w:p>
    <w:p>
      <w:pPr>
        <w:pStyle w:val="Heading4"/>
        <w:numPr>
          <w:ilvl w:val="3"/>
          <w:numId w:val="1"/>
        </w:numPr>
        <w:rPr/>
      </w:pPr>
      <w:bookmarkStart w:id="1165" w:name="__RefHeading___Toc2566050_3650668749"/>
      <w:bookmarkStart w:id="1166" w:name="_Toc534"/>
      <w:bookmarkEnd w:id="1165"/>
      <w:r>
        <w:rPr>
          <w:rtl w:val="true"/>
        </w:rPr>
        <w:t>اشارة</w:t>
      </w:r>
      <w:bookmarkEnd w:id="1166"/>
    </w:p>
    <w:p>
      <w:pPr>
        <w:pStyle w:val="BookText"/>
        <w:rPr/>
      </w:pPr>
      <w:r>
        <w:rPr>
          <w:rFonts w:ascii="IRNazanin" w:hAnsi="IRNazanin" w:eastAsia="IRNazanin"/>
          <w:color w:val="111111"/>
          <w:sz w:val="28"/>
          <w:sz w:val="28"/>
          <w:szCs w:val="28"/>
          <w:rtl w:val="true"/>
          <w:lang w:bidi="fa-IR"/>
        </w:rPr>
        <w:t>فصل فی النجاسات و الکلام فیها و فی أحکامها و کیفیّة التنجیس بها و ما یعفیٰ عنه منها و ما یطهر منها</w:t>
      </w:r>
      <w:r>
        <w:rPr>
          <w:rFonts w:eastAsia="IRNazanin" w:cs="IRNazanin"/>
          <w:color w:val="111111"/>
          <w:sz w:val="28"/>
          <w:szCs w:val="28"/>
          <w:rtl w:val="true"/>
          <w:lang w:bidi="fa-IR"/>
        </w:rPr>
        <w:t>.</w:t>
      </w:r>
    </w:p>
    <w:p>
      <w:pPr>
        <w:pStyle w:val="Heading4"/>
        <w:numPr>
          <w:ilvl w:val="3"/>
          <w:numId w:val="1"/>
        </w:numPr>
        <w:rPr/>
      </w:pPr>
      <w:bookmarkStart w:id="1167" w:name="__RefHeading___Toc2566052_3650668749"/>
      <w:bookmarkStart w:id="1168" w:name="_Toc535"/>
      <w:bookmarkEnd w:id="1167"/>
      <w:r>
        <w:rPr>
          <w:rtl w:val="true"/>
        </w:rPr>
        <w:t>[</w:t>
      </w:r>
      <w:r>
        <w:rPr>
          <w:rtl w:val="true"/>
        </w:rPr>
        <w:t>القول فی النجاسات</w:t>
      </w:r>
      <w:r>
        <w:rPr>
          <w:rtl w:val="true"/>
        </w:rPr>
        <w:t>]</w:t>
      </w:r>
      <w:bookmarkEnd w:id="1168"/>
    </w:p>
    <w:p>
      <w:pPr>
        <w:pStyle w:val="Heading5"/>
        <w:numPr>
          <w:ilvl w:val="4"/>
          <w:numId w:val="1"/>
        </w:numPr>
        <w:rPr/>
      </w:pPr>
      <w:bookmarkStart w:id="1169" w:name="__RefHeading___Toc2566054_3650668749"/>
      <w:bookmarkStart w:id="1170" w:name="_Toc536"/>
      <w:bookmarkEnd w:id="1169"/>
      <w:r>
        <w:rPr>
          <w:rtl w:val="true"/>
        </w:rPr>
        <w:t>اشارة</w:t>
      </w:r>
      <w:bookmarkEnd w:id="1170"/>
    </w:p>
    <w:p>
      <w:pPr>
        <w:pStyle w:val="BookText"/>
        <w:rPr/>
      </w:pPr>
      <w:r>
        <w:rPr>
          <w:rFonts w:ascii="IRNazanin" w:hAnsi="IRNazanin" w:eastAsia="IRNazanin"/>
          <w:color w:val="111111"/>
          <w:sz w:val="28"/>
          <w:sz w:val="28"/>
          <w:szCs w:val="28"/>
          <w:rtl w:val="true"/>
          <w:lang w:bidi="fa-IR"/>
        </w:rPr>
        <w:t xml:space="preserve">القول فی النجاسات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النجاسات إحدیٰ عشر</w:t>
      </w:r>
      <w:r>
        <w:rPr>
          <w:rFonts w:eastAsia="IRNazanin" w:cs="IRNazanin"/>
          <w:color w:val="111111"/>
          <w:sz w:val="28"/>
          <w:szCs w:val="28"/>
          <w:rtl w:val="true"/>
          <w:lang w:bidi="fa-IR"/>
        </w:rPr>
        <w:t>:</w:t>
      </w:r>
    </w:p>
    <w:p>
      <w:pPr>
        <w:pStyle w:val="Heading5"/>
        <w:numPr>
          <w:ilvl w:val="4"/>
          <w:numId w:val="1"/>
        </w:numPr>
        <w:rPr/>
      </w:pPr>
      <w:bookmarkStart w:id="1171" w:name="__RefHeading___Toc2566056_3650668749"/>
      <w:bookmarkStart w:id="1172" w:name="_Toc537"/>
      <w:bookmarkEnd w:id="1171"/>
      <w:r>
        <w:rPr>
          <w:rtl w:val="true"/>
        </w:rPr>
        <w:t>[</w:t>
      </w:r>
      <w:r>
        <w:rPr>
          <w:rtl w:val="true"/>
        </w:rPr>
        <w:t>الأوّل و الثانی</w:t>
      </w:r>
      <w:r>
        <w:rPr>
          <w:rtl w:val="true"/>
        </w:rPr>
        <w:t xml:space="preserve">: </w:t>
      </w:r>
      <w:r>
        <w:rPr>
          <w:rtl w:val="true"/>
        </w:rPr>
        <w:t>البول و الخرء</w:t>
      </w:r>
      <w:r>
        <w:rPr>
          <w:rtl w:val="true"/>
        </w:rPr>
        <w:t>]</w:t>
      </w:r>
      <w:bookmarkEnd w:id="1172"/>
    </w:p>
    <w:p>
      <w:pPr>
        <w:pStyle w:val="Heading6"/>
        <w:numPr>
          <w:ilvl w:val="5"/>
          <w:numId w:val="1"/>
        </w:numPr>
        <w:rPr/>
      </w:pPr>
      <w:bookmarkStart w:id="1173" w:name="__RefHeading___Toc2566058_3650668749"/>
      <w:bookmarkStart w:id="1174" w:name="_Toc538"/>
      <w:bookmarkEnd w:id="1173"/>
      <w:r>
        <w:rPr>
          <w:rtl w:val="true"/>
        </w:rPr>
        <w:t>اشارة</w:t>
      </w:r>
      <w:bookmarkEnd w:id="117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 الخرء من الحیوان ذی النفس السائلة غیر مأکول اللحم و لو</w:t>
      </w:r>
      <w:bookmarkStart w:id="1175" w:name="pg1809_18880"/>
    </w:p>
    <w:p>
      <w:pPr>
        <w:pStyle w:val="BookText"/>
        <w:rPr/>
      </w:pPr>
      <w:bookmarkEnd w:id="1175"/>
      <w:r>
        <w:rPr>
          <w:rFonts w:ascii="IRNazanin" w:hAnsi="IRNazanin" w:eastAsia="IRNazanin"/>
          <w:color w:val="111111"/>
          <w:sz w:val="28"/>
          <w:sz w:val="28"/>
          <w:szCs w:val="28"/>
          <w:rtl w:val="true"/>
          <w:lang w:bidi="fa-IR"/>
        </w:rPr>
        <w:t>بالعارض کالجلّال و موطوء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کان من المأکول و غیر ذی النفس </w:t>
      </w:r>
      <w:r>
        <w:rPr>
          <w:rStyle w:val="FootnoteAnchor"/>
          <w:rtl w:val="true"/>
        </w:rPr>
        <w:footnoteReference w:id="321"/>
      </w:r>
      <w:r>
        <w:rPr>
          <w:rFonts w:ascii="IRNazanin" w:hAnsi="IRNazanin" w:eastAsia="IRNazanin"/>
          <w:color w:val="111111"/>
          <w:sz w:val="28"/>
          <w:sz w:val="28"/>
          <w:szCs w:val="28"/>
          <w:rtl w:val="true"/>
          <w:lang w:bidi="fa-IR"/>
        </w:rPr>
        <w:t xml:space="preserve">فإنّهما منهما طاهران کما أنّهما من الطیر کذلک مطلقاً و إن کان غیر مأکول اللحم </w:t>
      </w:r>
      <w:r>
        <w:rPr>
          <w:rStyle w:val="FootnoteAnchor"/>
          <w:rtl w:val="true"/>
        </w:rPr>
        <w:footnoteReference w:id="322"/>
      </w:r>
      <w:r>
        <w:rPr>
          <w:rFonts w:ascii="IRNazanin" w:hAnsi="IRNazanin" w:eastAsia="IRNazanin"/>
          <w:color w:val="111111"/>
          <w:sz w:val="28"/>
          <w:sz w:val="28"/>
          <w:szCs w:val="28"/>
          <w:rtl w:val="true"/>
          <w:lang w:bidi="fa-IR"/>
        </w:rPr>
        <w:t>حتّی بول الخفّاش، و إن کان الاحتیاط فیهما من غیر المأکول منه التجنّب خصوصاً الأخیر</w:t>
      </w:r>
      <w:r>
        <w:rPr>
          <w:rFonts w:eastAsia="IRNazanin" w:cs="IRNazanin"/>
          <w:color w:val="111111"/>
          <w:sz w:val="28"/>
          <w:szCs w:val="28"/>
          <w:rtl w:val="true"/>
          <w:lang w:bidi="fa-IR"/>
        </w:rPr>
        <w:t>.</w:t>
      </w:r>
    </w:p>
    <w:p>
      <w:pPr>
        <w:pStyle w:val="Heading6"/>
        <w:numPr>
          <w:ilvl w:val="5"/>
          <w:numId w:val="1"/>
        </w:numPr>
        <w:rPr/>
      </w:pPr>
      <w:bookmarkStart w:id="1176" w:name="__RefHeading___Toc2566060_3650668749"/>
      <w:bookmarkStart w:id="1177" w:name="_Toc539"/>
      <w:bookmarkEnd w:id="1176"/>
      <w:r>
        <w:rPr>
          <w:rtl w:val="true"/>
        </w:rPr>
        <w:t>[ (</w:t>
      </w:r>
      <w:r>
        <w:rPr>
          <w:rtl w:val="true"/>
        </w:rPr>
        <w:t xml:space="preserve">مسألة </w:t>
      </w:r>
      <w:r>
        <w:rPr/>
        <w:t>2</w:t>
      </w:r>
      <w:r>
        <w:rPr>
          <w:rtl w:val="true"/>
        </w:rPr>
        <w:t xml:space="preserve">): </w:t>
      </w:r>
      <w:r>
        <w:rPr>
          <w:rtl w:val="true"/>
        </w:rPr>
        <w:t>إذا کان خرء حیوان و شکّ فی کونه من مأکول اللحم أو من محرّمة</w:t>
      </w:r>
      <w:r>
        <w:rPr>
          <w:rtl w:val="true"/>
        </w:rPr>
        <w:t>]</w:t>
      </w:r>
      <w:bookmarkEnd w:id="1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خرء حیوان و شکّ فی کونه من مأکول اللحم أو من محرّمة أو فی أنّه ممّا له نفس سائلة </w:t>
      </w:r>
      <w:r>
        <w:rPr>
          <w:rStyle w:val="FootnoteAnchor"/>
          <w:rtl w:val="true"/>
        </w:rPr>
        <w:footnoteReference w:id="323"/>
      </w:r>
      <w:r>
        <w:rPr>
          <w:rFonts w:ascii="IRNazanin" w:hAnsi="IRNazanin" w:eastAsia="IRNazanin"/>
          <w:color w:val="111111"/>
          <w:sz w:val="28"/>
          <w:sz w:val="28"/>
          <w:szCs w:val="28"/>
          <w:rtl w:val="true"/>
          <w:lang w:bidi="fa-IR"/>
        </w:rPr>
        <w:t>أو من غیره؛ إمّا من جهة الشکّ فی ذلک الحیوان الذی هذا خرؤه و إمّا من جهة الشکّ فی الخرء و أنّه من الحیوان الفلانی الذی یکون خرؤه نجساً أو من الفلانی الذی یکون خرؤه طاهراً کما إذا رأی شیئاً لا یدری أنّه بعرة فأر أو بعرة خنفساء، ففی جمیع هذه الصور یحکم بطهارته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 یحکم بطهارة خرء الحیّة؛ لعدم العلم بأنّ لها دم سائل</w:t>
      </w:r>
      <w:r>
        <w:rPr>
          <w:rFonts w:eastAsia="IRNazanin" w:cs="IRNazanin"/>
          <w:color w:val="111111"/>
          <w:sz w:val="28"/>
          <w:szCs w:val="28"/>
          <w:rtl w:val="true"/>
          <w:lang w:bidi="fa-IR"/>
        </w:rPr>
        <w:t>.</w:t>
      </w:r>
    </w:p>
    <w:p>
      <w:pPr>
        <w:pStyle w:val="Heading5"/>
        <w:numPr>
          <w:ilvl w:val="4"/>
          <w:numId w:val="1"/>
        </w:numPr>
        <w:rPr/>
      </w:pPr>
      <w:bookmarkStart w:id="1178" w:name="__RefHeading___Toc2566062_3650668749"/>
      <w:bookmarkStart w:id="1179" w:name="_Toc540"/>
      <w:bookmarkEnd w:id="1178"/>
      <w:r>
        <w:rPr>
          <w:rtl w:val="true"/>
        </w:rPr>
        <w:t>[</w:t>
      </w:r>
      <w:r>
        <w:rPr>
          <w:rtl w:val="true"/>
        </w:rPr>
        <w:t>الثالث</w:t>
      </w:r>
      <w:r>
        <w:rPr>
          <w:rtl w:val="true"/>
        </w:rPr>
        <w:t xml:space="preserve">: </w:t>
      </w:r>
      <w:r>
        <w:rPr>
          <w:rtl w:val="true"/>
        </w:rPr>
        <w:t>المنیّ من کلّ حیوان ذی نفس حلّ أکله أو حرم</w:t>
      </w:r>
      <w:r>
        <w:rPr>
          <w:rtl w:val="true"/>
        </w:rPr>
        <w:t>]</w:t>
      </w:r>
      <w:bookmarkEnd w:id="117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 من کلّ حیوان ذی نفس حلّ أکله أو حرم، دون غیر ذی النفس فإنّه منه طاهر</w:t>
      </w:r>
      <w:r>
        <w:rPr>
          <w:rFonts w:eastAsia="IRNazanin" w:cs="IRNazanin"/>
          <w:color w:val="111111"/>
          <w:sz w:val="28"/>
          <w:szCs w:val="28"/>
          <w:rtl w:val="true"/>
          <w:lang w:bidi="fa-IR"/>
        </w:rPr>
        <w:t>.</w:t>
      </w:r>
    </w:p>
    <w:p>
      <w:pPr>
        <w:pStyle w:val="Heading5"/>
        <w:numPr>
          <w:ilvl w:val="4"/>
          <w:numId w:val="1"/>
        </w:numPr>
        <w:rPr/>
      </w:pPr>
      <w:bookmarkStart w:id="1180" w:name="__RefHeading___Toc2566064_3650668749"/>
      <w:bookmarkStart w:id="1181" w:name="_Toc541"/>
      <w:bookmarkEnd w:id="1180"/>
      <w:r>
        <w:rPr>
          <w:rtl w:val="true"/>
        </w:rPr>
        <w:t>[</w:t>
      </w:r>
      <w:r>
        <w:rPr>
          <w:rtl w:val="true"/>
        </w:rPr>
        <w:t>الرابع</w:t>
      </w:r>
      <w:r>
        <w:rPr>
          <w:rtl w:val="true"/>
        </w:rPr>
        <w:t xml:space="preserve">: </w:t>
      </w:r>
      <w:r>
        <w:rPr>
          <w:rtl w:val="true"/>
        </w:rPr>
        <w:t>میتة ذی النفس من الحیوان ممّا تحلّه الحیاة</w:t>
      </w:r>
      <w:r>
        <w:rPr>
          <w:rtl w:val="true"/>
        </w:rPr>
        <w:t>]</w:t>
      </w:r>
      <w:bookmarkEnd w:id="1181"/>
    </w:p>
    <w:p>
      <w:pPr>
        <w:pStyle w:val="Heading6"/>
        <w:numPr>
          <w:ilvl w:val="5"/>
          <w:numId w:val="1"/>
        </w:numPr>
        <w:rPr/>
      </w:pPr>
      <w:bookmarkStart w:id="1182" w:name="__RefHeading___Toc2566066_3650668749"/>
      <w:bookmarkStart w:id="1183" w:name="_Toc542"/>
      <w:bookmarkEnd w:id="1182"/>
      <w:r>
        <w:rPr>
          <w:rtl w:val="true"/>
        </w:rPr>
        <w:t>اشارة</w:t>
      </w:r>
      <w:bookmarkEnd w:id="118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میتة ذی النفس من الحیوان ممّا تحلّه الحیاة و ما یقطع من جسده حیّاً ممّا تحلّه الحیاة، عدا ما ینفصل من بدن الإنسان </w:t>
      </w:r>
      <w:r>
        <w:rPr>
          <w:rStyle w:val="FootnoteAnchor"/>
          <w:rtl w:val="true"/>
        </w:rPr>
        <w:footnoteReference w:id="324"/>
      </w:r>
      <w:r>
        <w:rPr>
          <w:rFonts w:ascii="IRNazanin" w:hAnsi="IRNazanin" w:eastAsia="IRNazanin"/>
          <w:color w:val="111111"/>
          <w:sz w:val="28"/>
          <w:sz w:val="28"/>
          <w:szCs w:val="28"/>
          <w:rtl w:val="true"/>
          <w:lang w:bidi="fa-IR"/>
        </w:rPr>
        <w:t>من الأجزاء الصغار کالبثور و الثؤلول و ما یعلو الشفة و القروح و نحوها عند البرء و قشور الجرب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لا تحلّه الحیاة کالعظم و القرن و السنّ و المنقار و الظفر و الحافر و الشعر و الصوف و الوبر و الریش فإنّه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البیض من المیتة الذی اکتسی القشر الأعلی من مأکول اللحم بل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بما ذکر الإنفحّة و هی الشی‌ء الأصفر الذی یجبن به و یکون منجمداً فی جوف کرش الحمل و الجدی قبل الأکل و کذا اللبن فی الضرع، و لا ینجسان بمحلّهما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لو لم یکن الأقوی </w:t>
      </w:r>
      <w:r>
        <w:rPr>
          <w:rStyle w:val="FootnoteAnchor"/>
          <w:rtl w:val="true"/>
        </w:rPr>
        <w:footnoteReference w:id="325"/>
      </w:r>
      <w:r>
        <w:rPr>
          <w:rFonts w:ascii="IRNazanin" w:hAnsi="IRNazanin" w:eastAsia="IRNazanin"/>
          <w:color w:val="111111"/>
          <w:sz w:val="28"/>
          <w:sz w:val="28"/>
          <w:szCs w:val="28"/>
          <w:rtl w:val="true"/>
          <w:lang w:bidi="fa-IR"/>
        </w:rPr>
        <w:t>اختصاص الحکم بلبن مأکول اللحم</w:t>
      </w:r>
      <w:r>
        <w:rPr>
          <w:rFonts w:eastAsia="IRNazanin" w:cs="IRNazanin"/>
          <w:color w:val="111111"/>
          <w:sz w:val="28"/>
          <w:szCs w:val="28"/>
          <w:rtl w:val="true"/>
          <w:lang w:bidi="fa-IR"/>
        </w:rPr>
        <w:t>.</w:t>
      </w:r>
      <w:bookmarkStart w:id="1184" w:name="pg1809_18882"/>
    </w:p>
    <w:p>
      <w:pPr>
        <w:pStyle w:val="Heading6"/>
        <w:numPr>
          <w:ilvl w:val="5"/>
          <w:numId w:val="1"/>
        </w:numPr>
        <w:rPr/>
      </w:pPr>
      <w:bookmarkStart w:id="1185" w:name="__RefHeading___Toc2566068_3650668749"/>
      <w:bookmarkStart w:id="1186" w:name="_Toc543"/>
      <w:bookmarkEnd w:id="1184"/>
      <w:bookmarkEnd w:id="1185"/>
      <w:r>
        <w:rPr>
          <w:rtl w:val="true"/>
        </w:rPr>
        <w:t>[ (</w:t>
      </w:r>
      <w:r>
        <w:rPr>
          <w:rtl w:val="true"/>
        </w:rPr>
        <w:t xml:space="preserve">مسألة </w:t>
      </w:r>
      <w:r>
        <w:rPr/>
        <w:t>3</w:t>
      </w:r>
      <w:r>
        <w:rPr>
          <w:rtl w:val="true"/>
        </w:rPr>
        <w:t xml:space="preserve">): </w:t>
      </w:r>
      <w:r>
        <w:rPr>
          <w:rtl w:val="true"/>
        </w:rPr>
        <w:t>فأرة المسک المبانة من الحیّ طاهر بلا إشکال</w:t>
      </w:r>
      <w:r>
        <w:rPr>
          <w:rtl w:val="true"/>
        </w:rPr>
        <w:t>]</w:t>
      </w:r>
      <w:bookmarkEnd w:id="1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فأرة المسک المبانة من الحیّ طاهر بلا إشکال إذا زال عنها الحیاة قبل الانفصال، و إلّا ففیه إشکال </w:t>
      </w:r>
      <w:r>
        <w:rPr>
          <w:rStyle w:val="FootnoteAnchor"/>
          <w:rtl w:val="true"/>
        </w:rPr>
        <w:footnoteReference w:id="326"/>
      </w:r>
      <w:r>
        <w:rPr>
          <w:rFonts w:ascii="IRNazanin" w:hAnsi="IRNazanin" w:eastAsia="IRNazanin"/>
          <w:color w:val="111111"/>
          <w:sz w:val="28"/>
          <w:sz w:val="28"/>
          <w:szCs w:val="28"/>
          <w:rtl w:val="true"/>
          <w:lang w:bidi="fa-IR"/>
        </w:rPr>
        <w:t>، و کذا المبانة 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مسکها فلا إشکال فی طهارته فی جمیع الصور إلّا فی الصورة الثانیة إذا کانت رطوبة مسریة حال الانفصال، و کذا فی المبان من المیّت إذا کانت رطوبة مسریة حال موت الظبی، فطهارته فی الصورتین لا تخلو من إشکال، و مع الجهل بالحال محکوم بالطهارة</w:t>
      </w:r>
      <w:r>
        <w:rPr>
          <w:rFonts w:eastAsia="IRNazanin" w:cs="IRNazanin"/>
          <w:color w:val="111111"/>
          <w:sz w:val="28"/>
          <w:szCs w:val="28"/>
          <w:rtl w:val="true"/>
          <w:lang w:bidi="fa-IR"/>
        </w:rPr>
        <w:t>.</w:t>
      </w:r>
    </w:p>
    <w:p>
      <w:pPr>
        <w:pStyle w:val="Heading6"/>
        <w:numPr>
          <w:ilvl w:val="5"/>
          <w:numId w:val="1"/>
        </w:numPr>
        <w:rPr/>
      </w:pPr>
      <w:bookmarkStart w:id="1187" w:name="__RefHeading___Toc2566070_3650668749"/>
      <w:bookmarkStart w:id="1188" w:name="_Toc544"/>
      <w:bookmarkEnd w:id="1187"/>
      <w:r>
        <w:rPr>
          <w:rtl w:val="true"/>
        </w:rPr>
        <w:t>[ (</w:t>
      </w:r>
      <w:r>
        <w:rPr>
          <w:rtl w:val="true"/>
        </w:rPr>
        <w:t xml:space="preserve">مسألة </w:t>
      </w:r>
      <w:r>
        <w:rPr/>
        <w:t>4</w:t>
      </w:r>
      <w:r>
        <w:rPr>
          <w:rtl w:val="true"/>
        </w:rPr>
        <w:t xml:space="preserve">): </w:t>
      </w:r>
      <w:r>
        <w:rPr>
          <w:rtl w:val="true"/>
        </w:rPr>
        <w:t>ما یؤخذ من ید المسلم و سوق المسلمین من اللحم أو الشحم أو الجلد</w:t>
      </w:r>
      <w:r>
        <w:rPr>
          <w:rtl w:val="true"/>
        </w:rPr>
        <w:t>]</w:t>
      </w:r>
      <w:bookmarkEnd w:id="1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یؤخذ من ید المسلم و سوق المسلمین من اللحم أو الشحم أو الجلد إذا لم یعلم کونه مسبوقاً بید الکافر محکوم بالطهارة و إن لم یعلم تذکیته، و کذا ما یوجد مطروحاً فی أرض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علم بکونه مسبوقاً بید الکفّار فإن احتمل </w:t>
      </w:r>
      <w:r>
        <w:rPr>
          <w:rStyle w:val="FootnoteAnchor"/>
          <w:rtl w:val="true"/>
        </w:rPr>
        <w:footnoteReference w:id="327"/>
      </w:r>
      <w:r>
        <w:rPr>
          <w:rFonts w:ascii="IRNazanin" w:hAnsi="IRNazanin" w:eastAsia="IRNazanin"/>
          <w:color w:val="111111"/>
          <w:sz w:val="28"/>
          <w:sz w:val="28"/>
          <w:szCs w:val="28"/>
          <w:rtl w:val="true"/>
          <w:lang w:bidi="fa-IR"/>
        </w:rPr>
        <w:t>أنّ المسلم الذی أخذه من الکفّار قد تفحّص من حاله و أحرز تذکیته فهو أیضاً محکوم بالطهارة، و أمّا إذا علم أنّ المسلم قد أخذه من الکافر من غیر فحص فالأحوط بل الأقویٰ وجوب الاجتناب عنه</w:t>
      </w:r>
      <w:r>
        <w:rPr>
          <w:rFonts w:eastAsia="IRNazanin" w:cs="IRNazanin"/>
          <w:color w:val="111111"/>
          <w:sz w:val="28"/>
          <w:szCs w:val="28"/>
          <w:rtl w:val="true"/>
          <w:lang w:bidi="fa-IR"/>
        </w:rPr>
        <w:t>.</w:t>
      </w:r>
    </w:p>
    <w:p>
      <w:pPr>
        <w:pStyle w:val="Heading6"/>
        <w:numPr>
          <w:ilvl w:val="5"/>
          <w:numId w:val="1"/>
        </w:numPr>
        <w:rPr/>
      </w:pPr>
      <w:bookmarkStart w:id="1189" w:name="__RefHeading___Toc2566072_3650668749"/>
      <w:bookmarkStart w:id="1190" w:name="_Toc545"/>
      <w:bookmarkEnd w:id="1189"/>
      <w:r>
        <w:rPr>
          <w:rtl w:val="true"/>
        </w:rPr>
        <w:t>[ (</w:t>
      </w:r>
      <w:r>
        <w:rPr>
          <w:rtl w:val="true"/>
        </w:rPr>
        <w:t xml:space="preserve">مسألة </w:t>
      </w:r>
      <w:r>
        <w:rPr/>
        <w:t>5</w:t>
      </w:r>
      <w:r>
        <w:rPr>
          <w:rtl w:val="true"/>
        </w:rPr>
        <w:t xml:space="preserve">): </w:t>
      </w:r>
      <w:r>
        <w:rPr>
          <w:rtl w:val="true"/>
        </w:rPr>
        <w:t>إذا أخذ لحماً أو شحماً أو جلداً من الکافر أو من سوق الکفّار</w:t>
      </w:r>
      <w:r>
        <w:rPr>
          <w:rtl w:val="true"/>
        </w:rPr>
        <w:t>]</w:t>
      </w:r>
      <w:bookmarkEnd w:id="1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لحماً أو شحماً أو جلداً من الکافر أو من سوق الکفّار و لم یعلم أنّه من ذی النفس أو من غیره کالسمک و نحوه فهو محکوم بالطهارة و إن لم یحرز تذکیته و لکن لا یجوز الصلاة فیه</w:t>
      </w:r>
      <w:r>
        <w:rPr>
          <w:rFonts w:eastAsia="IRNazanin" w:cs="IRNazanin"/>
          <w:color w:val="111111"/>
          <w:sz w:val="28"/>
          <w:szCs w:val="28"/>
          <w:rtl w:val="true"/>
          <w:lang w:bidi="fa-IR"/>
        </w:rPr>
        <w:t>.</w:t>
      </w:r>
    </w:p>
    <w:p>
      <w:pPr>
        <w:pStyle w:val="Heading6"/>
        <w:numPr>
          <w:ilvl w:val="5"/>
          <w:numId w:val="1"/>
        </w:numPr>
        <w:rPr/>
      </w:pPr>
      <w:bookmarkStart w:id="1191" w:name="__RefHeading___Toc2566074_3650668749"/>
      <w:bookmarkStart w:id="1192" w:name="_Toc546"/>
      <w:bookmarkEnd w:id="1191"/>
      <w:r>
        <w:rPr>
          <w:rtl w:val="true"/>
        </w:rPr>
        <w:t>[ (</w:t>
      </w:r>
      <w:r>
        <w:rPr>
          <w:rtl w:val="true"/>
        </w:rPr>
        <w:t xml:space="preserve">مسألة </w:t>
      </w:r>
      <w:r>
        <w:rPr/>
        <w:t>6</w:t>
      </w:r>
      <w:r>
        <w:rPr>
          <w:rtl w:val="true"/>
        </w:rPr>
        <w:t xml:space="preserve">): </w:t>
      </w:r>
      <w:r>
        <w:rPr>
          <w:rtl w:val="true"/>
        </w:rPr>
        <w:t>إذا أُخذ شی‌ء من الکفّار أو من سوقهم و لم یعلم أنّه من أجزاء الحیوان أو غیره</w:t>
      </w:r>
      <w:r>
        <w:rPr>
          <w:rtl w:val="true"/>
        </w:rPr>
        <w:t>]</w:t>
      </w:r>
      <w:bookmarkEnd w:id="1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شی‌ء من الکفّار أو من سوقهم و لم یعلم أنّه من أجزاء الحیوان أو غیره فهو محکوم بالطهارة ما لم یعلم بملاقاته للنجاسة، بل یصحّ الصلاة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اللاستیک و الشمع المجلوبان من بلاد الکفر فی هذه الأزمنة عند من لم یطّلع علیٰ حقیقتهما</w:t>
      </w:r>
      <w:r>
        <w:rPr>
          <w:rFonts w:eastAsia="IRNazanin" w:cs="IRNazanin"/>
          <w:color w:val="111111"/>
          <w:sz w:val="28"/>
          <w:szCs w:val="28"/>
          <w:rtl w:val="true"/>
          <w:lang w:bidi="fa-IR"/>
        </w:rPr>
        <w:t>.</w:t>
      </w:r>
    </w:p>
    <w:p>
      <w:pPr>
        <w:pStyle w:val="Heading5"/>
        <w:numPr>
          <w:ilvl w:val="4"/>
          <w:numId w:val="1"/>
        </w:numPr>
        <w:rPr/>
      </w:pPr>
      <w:bookmarkStart w:id="1193" w:name="__RefHeading___Toc2566076_3650668749"/>
      <w:bookmarkStart w:id="1194" w:name="_Toc547"/>
      <w:bookmarkEnd w:id="1193"/>
      <w:r>
        <w:rPr>
          <w:rtl w:val="true"/>
        </w:rPr>
        <w:t>[</w:t>
      </w:r>
      <w:r>
        <w:rPr>
          <w:rtl w:val="true"/>
        </w:rPr>
        <w:t>الخامس</w:t>
      </w:r>
      <w:r>
        <w:rPr>
          <w:rtl w:val="true"/>
        </w:rPr>
        <w:t xml:space="preserve">: </w:t>
      </w:r>
      <w:r>
        <w:rPr>
          <w:rtl w:val="true"/>
        </w:rPr>
        <w:t>دم ذی النفس السائلة</w:t>
      </w:r>
      <w:r>
        <w:rPr>
          <w:rtl w:val="true"/>
        </w:rPr>
        <w:t>]</w:t>
      </w:r>
      <w:bookmarkEnd w:id="1194"/>
    </w:p>
    <w:p>
      <w:pPr>
        <w:pStyle w:val="Heading6"/>
        <w:numPr>
          <w:ilvl w:val="5"/>
          <w:numId w:val="1"/>
        </w:numPr>
        <w:rPr/>
      </w:pPr>
      <w:bookmarkStart w:id="1195" w:name="__RefHeading___Toc2566078_3650668749"/>
      <w:bookmarkStart w:id="1196" w:name="_Toc548"/>
      <w:bookmarkEnd w:id="1195"/>
      <w:r>
        <w:rPr>
          <w:rtl w:val="true"/>
        </w:rPr>
        <w:t>اشارة</w:t>
      </w:r>
      <w:bookmarkEnd w:id="119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ذی النفس السائلة بخلاف دم غیره کالسمک و البقّ و القمّل و البراغیث فإنّه</w:t>
      </w:r>
      <w:bookmarkStart w:id="1197" w:name="pg1809_18884"/>
    </w:p>
    <w:p>
      <w:pPr>
        <w:pStyle w:val="BookText"/>
        <w:rPr/>
      </w:pPr>
      <w:bookmarkEnd w:id="1197"/>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المشکوک فی أنّه من أیّهما محکوم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العلقة المستحیلة من المنیّ نجسة حتّی العلقة </w:t>
      </w:r>
      <w:r>
        <w:rPr>
          <w:rStyle w:val="FootnoteAnchor"/>
          <w:rtl w:val="true"/>
        </w:rPr>
        <w:footnoteReference w:id="328"/>
      </w:r>
      <w:r>
        <w:rPr>
          <w:rFonts w:ascii="IRNazanin" w:hAnsi="IRNazanin" w:eastAsia="IRNazanin"/>
          <w:color w:val="111111"/>
          <w:sz w:val="28"/>
          <w:sz w:val="28"/>
          <w:szCs w:val="28"/>
          <w:rtl w:val="true"/>
          <w:lang w:bidi="fa-IR"/>
        </w:rPr>
        <w:t>فی البیضة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الاجتناب </w:t>
      </w:r>
      <w:r>
        <w:rPr>
          <w:rStyle w:val="FootnoteAnchor"/>
          <w:rtl w:val="true"/>
        </w:rPr>
        <w:footnoteReference w:id="329"/>
      </w:r>
      <w:r>
        <w:rPr>
          <w:rFonts w:ascii="IRNazanin" w:hAnsi="IRNazanin" w:eastAsia="IRNazanin"/>
          <w:color w:val="111111"/>
          <w:sz w:val="28"/>
          <w:sz w:val="28"/>
          <w:szCs w:val="28"/>
          <w:rtl w:val="true"/>
          <w:lang w:bidi="fa-IR"/>
        </w:rPr>
        <w:t>عن الدم الذی یوجد فیها بل عن جمیع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الدم فی عرق أو تحت جلدة رقیقة حائلة بینه و بین غیره یکفی الاجتناب عن خصوص الدم فیکتفیٰ بأخذه</w:t>
      </w:r>
      <w:r>
        <w:rPr>
          <w:rFonts w:eastAsia="IRNazanin" w:cs="IRNazanin"/>
          <w:color w:val="111111"/>
          <w:sz w:val="28"/>
          <w:szCs w:val="28"/>
          <w:rtl w:val="true"/>
          <w:lang w:bidi="fa-IR"/>
        </w:rPr>
        <w:t>.</w:t>
      </w:r>
    </w:p>
    <w:p>
      <w:pPr>
        <w:pStyle w:val="Heading6"/>
        <w:numPr>
          <w:ilvl w:val="5"/>
          <w:numId w:val="1"/>
        </w:numPr>
        <w:rPr/>
      </w:pPr>
      <w:bookmarkStart w:id="1198" w:name="__RefHeading___Toc2566080_3650668749"/>
      <w:bookmarkStart w:id="1199" w:name="_Toc549"/>
      <w:bookmarkEnd w:id="1198"/>
      <w:r>
        <w:rPr>
          <w:rtl w:val="true"/>
        </w:rPr>
        <w:t>[ (</w:t>
      </w:r>
      <w:r>
        <w:rPr>
          <w:rtl w:val="true"/>
        </w:rPr>
        <w:t xml:space="preserve">مسألة </w:t>
      </w:r>
      <w:r>
        <w:rPr/>
        <w:t>7</w:t>
      </w:r>
      <w:r>
        <w:rPr>
          <w:rtl w:val="true"/>
        </w:rPr>
        <w:t xml:space="preserve">): </w:t>
      </w:r>
      <w:r>
        <w:rPr>
          <w:rtl w:val="true"/>
        </w:rPr>
        <w:t>الدم المتخلّف فی الذبیحة طاهر</w:t>
      </w:r>
      <w:r>
        <w:rPr>
          <w:rtl w:val="true"/>
        </w:rPr>
        <w:t>]</w:t>
      </w:r>
      <w:bookmarkEnd w:id="1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المتخلّف </w:t>
      </w:r>
      <w:r>
        <w:rPr>
          <w:rStyle w:val="FootnoteAnchor"/>
          <w:rtl w:val="true"/>
        </w:rPr>
        <w:footnoteReference w:id="330"/>
      </w:r>
      <w:r>
        <w:rPr>
          <w:rFonts w:ascii="IRNazanin" w:hAnsi="IRNazanin" w:eastAsia="IRNazanin"/>
          <w:color w:val="111111"/>
          <w:sz w:val="28"/>
          <w:sz w:val="28"/>
          <w:szCs w:val="28"/>
          <w:rtl w:val="true"/>
          <w:lang w:bidi="fa-IR"/>
        </w:rPr>
        <w:t xml:space="preserve">فی الذبیحة طاهر بعد قذف ما یعتاد قذفه من الدم بالذبح أو النحر؛ من غیر فرق بین المتخلّف فی بطنها أو فی لحمها أو عروقها أو قلبها أو کبدها إذا لم ینجس بنجاسة آلة التذکیة و نحوها، إلّا أنّ الأحوط </w:t>
      </w:r>
      <w:r>
        <w:rPr>
          <w:rStyle w:val="FootnoteAnchor"/>
          <w:rtl w:val="true"/>
        </w:rPr>
        <w:footnoteReference w:id="331"/>
      </w:r>
      <w:r>
        <w:rPr>
          <w:rFonts w:ascii="IRNazanin" w:hAnsi="IRNazanin" w:eastAsia="IRNazanin"/>
          <w:color w:val="111111"/>
          <w:sz w:val="28"/>
          <w:sz w:val="28"/>
          <w:szCs w:val="28"/>
          <w:rtl w:val="true"/>
          <w:lang w:bidi="fa-IR"/>
        </w:rPr>
        <w:t>الاجتناب عن دم الأجزاء الغیر المأکولة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الدم المتخلّف الذی یکون طاهراً ما یرجع من دم المذبح إلی الجوف لردّ النفس أو لکون رأس الذبیحة فی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 الطاهر من المتخلّف حرام أکله إلّا ما کان مستهلکاً فی الأمراق و نحوها أو کان فی اللحم بحیث عدّ جزءً منه</w:t>
      </w:r>
      <w:r>
        <w:rPr>
          <w:rFonts w:eastAsia="IRNazanin" w:cs="IRNazanin"/>
          <w:color w:val="111111"/>
          <w:sz w:val="28"/>
          <w:szCs w:val="28"/>
          <w:rtl w:val="true"/>
          <w:lang w:bidi="fa-IR"/>
        </w:rPr>
        <w:t>.</w:t>
      </w:r>
    </w:p>
    <w:p>
      <w:pPr>
        <w:pStyle w:val="Heading6"/>
        <w:numPr>
          <w:ilvl w:val="5"/>
          <w:numId w:val="1"/>
        </w:numPr>
        <w:rPr/>
      </w:pPr>
      <w:bookmarkStart w:id="1200" w:name="__RefHeading___Toc2566082_3650668749"/>
      <w:bookmarkStart w:id="1201" w:name="_Toc550"/>
      <w:bookmarkEnd w:id="1200"/>
      <w:r>
        <w:rPr>
          <w:rtl w:val="true"/>
        </w:rPr>
        <w:t>[ (</w:t>
      </w:r>
      <w:r>
        <w:rPr>
          <w:rtl w:val="true"/>
        </w:rPr>
        <w:t xml:space="preserve">مسألة </w:t>
      </w:r>
      <w:r>
        <w:rPr/>
        <w:t>8</w:t>
      </w:r>
      <w:r>
        <w:rPr>
          <w:rtl w:val="true"/>
        </w:rPr>
        <w:t xml:space="preserve">): </w:t>
      </w:r>
      <w:r>
        <w:rPr>
          <w:rtl w:val="true"/>
        </w:rPr>
        <w:t>ما شکّ فی أنّه دم أو غیره طاهر</w:t>
      </w:r>
      <w:r>
        <w:rPr>
          <w:rtl w:val="true"/>
        </w:rPr>
        <w:t>]</w:t>
      </w:r>
      <w:bookmarkEnd w:id="1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فی أنّه دم أو غیره طاهر مثل ما إذا خرج من الجرح شی‌ء أصفر قد شکّ فی أنّه دم أم لا، أو شکّ من جهة الظلمة أو العمیٰ أو غیر ذلک فی أنّ ما خرج منه دم أو قیح و لا یجب علیه الاستعلام، و کذا ما شکّ فی أنّه ممّا له نفس سائلة أو لا؛ إمّا من جهة عدم العلم بحال الحیوان کالحیّة مثلًا أو من جهة الشکّ فی الدم و أنّه من الشاة مثلًا أو من السمک، فإذا رأی فی ثوبه دماً و لا یدری أنّه منه أو من البقّ أو البرغوث یحکم بطهارته</w:t>
      </w:r>
      <w:r>
        <w:rPr>
          <w:rFonts w:eastAsia="IRNazanin" w:cs="IRNazanin"/>
          <w:color w:val="111111"/>
          <w:sz w:val="28"/>
          <w:szCs w:val="28"/>
          <w:rtl w:val="true"/>
          <w:lang w:bidi="fa-IR"/>
        </w:rPr>
        <w:t>.</w:t>
      </w:r>
    </w:p>
    <w:p>
      <w:pPr>
        <w:pStyle w:val="Heading6"/>
        <w:numPr>
          <w:ilvl w:val="5"/>
          <w:numId w:val="1"/>
        </w:numPr>
        <w:rPr/>
      </w:pPr>
      <w:bookmarkStart w:id="1202" w:name="__RefHeading___Toc2566084_3650668749"/>
      <w:bookmarkStart w:id="1203" w:name="_Toc551"/>
      <w:bookmarkEnd w:id="1202"/>
      <w:r>
        <w:rPr>
          <w:rtl w:val="true"/>
        </w:rPr>
        <w:t>[ (</w:t>
      </w:r>
      <w:r>
        <w:rPr>
          <w:rtl w:val="true"/>
        </w:rPr>
        <w:t xml:space="preserve">مسألة </w:t>
      </w:r>
      <w:r>
        <w:rPr/>
        <w:t>9</w:t>
      </w:r>
      <w:r>
        <w:rPr>
          <w:rtl w:val="true"/>
        </w:rPr>
        <w:t xml:space="preserve">): </w:t>
      </w:r>
      <w:r>
        <w:rPr>
          <w:rtl w:val="true"/>
        </w:rPr>
        <w:t>الدم الخارج من بین الأسنان نجس و حرام لا یجوز بلعه</w:t>
      </w:r>
      <w:r>
        <w:rPr>
          <w:rtl w:val="true"/>
        </w:rPr>
        <w:t>]</w:t>
      </w:r>
      <w:bookmarkEnd w:id="1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الخارج من بین الأسنان نجس و حرام لا یجوز بلعه، و إذا استهلک فی الریق یطهر و یجوز بلعه و لا یجب تطهیر الفم بالمضمضة و نحوها</w:t>
      </w:r>
      <w:r>
        <w:rPr>
          <w:rFonts w:eastAsia="IRNazanin" w:cs="IRNazanin"/>
          <w:color w:val="111111"/>
          <w:sz w:val="28"/>
          <w:szCs w:val="28"/>
          <w:rtl w:val="true"/>
          <w:lang w:bidi="fa-IR"/>
        </w:rPr>
        <w:t>.</w:t>
      </w:r>
    </w:p>
    <w:p>
      <w:pPr>
        <w:pStyle w:val="Heading6"/>
        <w:numPr>
          <w:ilvl w:val="5"/>
          <w:numId w:val="1"/>
        </w:numPr>
        <w:rPr/>
      </w:pPr>
      <w:bookmarkStart w:id="1204" w:name="__RefHeading___Toc2566086_3650668749"/>
      <w:bookmarkStart w:id="1205" w:name="_Toc552"/>
      <w:bookmarkEnd w:id="1204"/>
      <w:r>
        <w:rPr>
          <w:rtl w:val="true"/>
        </w:rPr>
        <w:t>[ (</w:t>
      </w:r>
      <w:r>
        <w:rPr>
          <w:rtl w:val="true"/>
        </w:rPr>
        <w:t xml:space="preserve">مسألة </w:t>
      </w:r>
      <w:r>
        <w:rPr/>
        <w:t>10</w:t>
      </w:r>
      <w:r>
        <w:rPr>
          <w:rtl w:val="true"/>
        </w:rPr>
        <w:t xml:space="preserve">): </w:t>
      </w:r>
      <w:r>
        <w:rPr>
          <w:rtl w:val="true"/>
        </w:rPr>
        <w:t>الدم المنجمد تحت الأظفار أو الجلد بسبب الرضّ نجس</w:t>
      </w:r>
      <w:r>
        <w:rPr>
          <w:rtl w:val="true"/>
        </w:rPr>
        <w:t>]</w:t>
      </w:r>
      <w:bookmarkEnd w:id="120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المنجمد تحت الأظفار أو الجلد بسبب الرضّ نجس </w:t>
      </w:r>
      <w:r>
        <w:rPr>
          <w:rStyle w:val="FootnoteAnchor"/>
          <w:rtl w:val="true"/>
        </w:rPr>
        <w:footnoteReference w:id="332"/>
      </w:r>
      <w:r>
        <w:rPr>
          <w:rFonts w:ascii="IRNazanin" w:hAnsi="IRNazanin" w:eastAsia="IRNazanin"/>
          <w:color w:val="111111"/>
          <w:sz w:val="28"/>
          <w:sz w:val="28"/>
          <w:szCs w:val="28"/>
          <w:rtl w:val="true"/>
          <w:lang w:bidi="fa-IR"/>
        </w:rPr>
        <w:t>ما لم یعلم استحالته، فلو انخرق الجلد و وصل إلیه الماء تنجّس و یشکل معه الوضوء أو الغسل، فیجب إخراجه إن لم یکن حرج، و معه یجب أن یجعل علیه شیئاً کالجبیرة و یمسح علیه أو یتوضّأ أو یغتسل بالغمس فی ماء معتصم کالکرّ و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علم من أوّل الأمر أنّه دم منجمد، و إن احتمل أنّه لحم صار کالدم بسبب الرضّ کما هو الغالب فهو طاهر</w:t>
      </w:r>
      <w:r>
        <w:rPr>
          <w:rFonts w:eastAsia="IRNazanin" w:cs="IRNazanin"/>
          <w:color w:val="111111"/>
          <w:sz w:val="28"/>
          <w:szCs w:val="28"/>
          <w:rtl w:val="true"/>
          <w:lang w:bidi="fa-IR"/>
        </w:rPr>
        <w:t>.</w:t>
      </w:r>
      <w:bookmarkStart w:id="1206" w:name="pg1809_18886"/>
    </w:p>
    <w:p>
      <w:pPr>
        <w:pStyle w:val="Heading5"/>
        <w:numPr>
          <w:ilvl w:val="4"/>
          <w:numId w:val="1"/>
        </w:numPr>
        <w:rPr/>
      </w:pPr>
      <w:bookmarkStart w:id="1207" w:name="__RefHeading___Toc2566088_3650668749"/>
      <w:bookmarkStart w:id="1208" w:name="_Toc553"/>
      <w:bookmarkEnd w:id="1206"/>
      <w:bookmarkEnd w:id="1207"/>
      <w:r>
        <w:rPr>
          <w:rtl w:val="true"/>
        </w:rPr>
        <w:t>[</w:t>
      </w:r>
      <w:r>
        <w:rPr>
          <w:rtl w:val="true"/>
        </w:rPr>
        <w:t>السادس و السابع</w:t>
      </w:r>
      <w:r>
        <w:rPr>
          <w:rtl w:val="true"/>
        </w:rPr>
        <w:t xml:space="preserve">: </w:t>
      </w:r>
      <w:r>
        <w:rPr>
          <w:rtl w:val="true"/>
        </w:rPr>
        <w:t>الکلب و الخنزیر البرّیان عیناً و لعاباً و جمیع أجزائهما</w:t>
      </w:r>
      <w:r>
        <w:rPr>
          <w:rtl w:val="true"/>
        </w:rPr>
        <w:t>]</w:t>
      </w:r>
      <w:bookmarkEnd w:id="1208"/>
    </w:p>
    <w:p>
      <w:pPr>
        <w:pStyle w:val="BookText"/>
        <w:rPr/>
      </w:pPr>
      <w:r>
        <w:rPr>
          <w:rFonts w:ascii="IRNazanin" w:hAnsi="IRNazanin" w:eastAsia="IRNazanin"/>
          <w:color w:val="111111"/>
          <w:sz w:val="28"/>
          <w:sz w:val="28"/>
          <w:szCs w:val="28"/>
          <w:rtl w:val="true"/>
          <w:lang w:bidi="fa-IR"/>
        </w:rPr>
        <w:t>السادس 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و الخنزیر البرّیان عیناً و لعاباً و جمیع أجزائهما و إن کانت ممّا لا تحلّه الحیاة کالشعر و العظم و نحوهما، أمّا کلب الماء و خنزیره فطاهران</w:t>
      </w:r>
      <w:r>
        <w:rPr>
          <w:rFonts w:eastAsia="IRNazanin" w:cs="IRNazanin"/>
          <w:color w:val="111111"/>
          <w:sz w:val="28"/>
          <w:szCs w:val="28"/>
          <w:rtl w:val="true"/>
          <w:lang w:bidi="fa-IR"/>
        </w:rPr>
        <w:t>.</w:t>
      </w:r>
    </w:p>
    <w:p>
      <w:pPr>
        <w:pStyle w:val="Heading5"/>
        <w:numPr>
          <w:ilvl w:val="4"/>
          <w:numId w:val="1"/>
        </w:numPr>
        <w:rPr/>
      </w:pPr>
      <w:bookmarkStart w:id="1209" w:name="__RefHeading___Toc2566090_3650668749"/>
      <w:bookmarkStart w:id="1210" w:name="_Toc554"/>
      <w:bookmarkEnd w:id="1209"/>
      <w:r>
        <w:rPr>
          <w:rtl w:val="true"/>
        </w:rPr>
        <w:t>[</w:t>
      </w:r>
      <w:r>
        <w:rPr>
          <w:rtl w:val="true"/>
        </w:rPr>
        <w:t>الثامن</w:t>
      </w:r>
      <w:r>
        <w:rPr>
          <w:rtl w:val="true"/>
        </w:rPr>
        <w:t xml:space="preserve">: </w:t>
      </w:r>
      <w:r>
        <w:rPr>
          <w:rtl w:val="true"/>
        </w:rPr>
        <w:t>المسکر المائع بالأصل دون الجامد</w:t>
      </w:r>
      <w:r>
        <w:rPr>
          <w:rtl w:val="true"/>
        </w:rPr>
        <w:t>]</w:t>
      </w:r>
      <w:bookmarkEnd w:id="1210"/>
    </w:p>
    <w:p>
      <w:pPr>
        <w:pStyle w:val="Heading6"/>
        <w:numPr>
          <w:ilvl w:val="5"/>
          <w:numId w:val="1"/>
        </w:numPr>
        <w:rPr/>
      </w:pPr>
      <w:bookmarkStart w:id="1211" w:name="__RefHeading___Toc2566092_3650668749"/>
      <w:bookmarkStart w:id="1212" w:name="_Toc555"/>
      <w:bookmarkEnd w:id="1211"/>
      <w:r>
        <w:rPr>
          <w:rtl w:val="true"/>
        </w:rPr>
        <w:t>اشارة</w:t>
      </w:r>
      <w:bookmarkEnd w:id="1212"/>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المسکر المائع بالأصل دون الجامد کالحشیش، و إن غلیٰ و صار مائعاً بالعارض، و أمّا العصیر العنبی فالظاهر طهارته إذا غلیٰ بالنار و لم یذهب ثلثاه و إن کان حراماً بلا إشکال، و کذلک الحال فی الزبیبی </w:t>
      </w:r>
      <w:r>
        <w:rPr>
          <w:rStyle w:val="FootnoteAnchor"/>
          <w:rtl w:val="true"/>
        </w:rPr>
        <w:footnoteReference w:id="333"/>
      </w:r>
      <w:r>
        <w:rPr>
          <w:rFonts w:ascii="IRNazanin" w:hAnsi="IRNazanin" w:eastAsia="IRNazanin"/>
          <w:color w:val="111111"/>
          <w:sz w:val="28"/>
          <w:sz w:val="28"/>
          <w:szCs w:val="28"/>
          <w:rtl w:val="true"/>
          <w:lang w:bidi="fa-IR"/>
        </w:rPr>
        <w:t xml:space="preserve">، کما أنّ الظاهر نجاستهما لو غلیا بنفسهما </w:t>
      </w:r>
      <w:r>
        <w:rPr>
          <w:rStyle w:val="FootnoteAnchor"/>
          <w:rtl w:val="true"/>
        </w:rPr>
        <w:footnoteReference w:id="334"/>
      </w:r>
      <w:r>
        <w:rPr>
          <w:rFonts w:ascii="IRNazanin" w:hAnsi="IRNazanin" w:eastAsia="IRNazanin"/>
          <w:color w:val="111111"/>
          <w:sz w:val="28"/>
          <w:sz w:val="28"/>
          <w:szCs w:val="28"/>
          <w:rtl w:val="true"/>
          <w:lang w:bidi="fa-IR"/>
        </w:rPr>
        <w:t>و کذلک التمری</w:t>
      </w:r>
      <w:r>
        <w:rPr>
          <w:rFonts w:eastAsia="IRNazanin" w:cs="IRNazanin"/>
          <w:color w:val="111111"/>
          <w:sz w:val="28"/>
          <w:szCs w:val="28"/>
          <w:rtl w:val="true"/>
          <w:lang w:bidi="fa-IR"/>
        </w:rPr>
        <w:t>.</w:t>
      </w:r>
    </w:p>
    <w:p>
      <w:pPr>
        <w:pStyle w:val="Heading6"/>
        <w:numPr>
          <w:ilvl w:val="5"/>
          <w:numId w:val="1"/>
        </w:numPr>
        <w:rPr/>
      </w:pPr>
      <w:bookmarkStart w:id="1213" w:name="__RefHeading___Toc2566094_3650668749"/>
      <w:bookmarkStart w:id="1214" w:name="_Toc556"/>
      <w:bookmarkEnd w:id="1213"/>
      <w:r>
        <w:rPr>
          <w:rtl w:val="true"/>
        </w:rPr>
        <w:t>[ (</w:t>
      </w:r>
      <w:r>
        <w:rPr>
          <w:rtl w:val="true"/>
        </w:rPr>
        <w:t xml:space="preserve">مسألة </w:t>
      </w:r>
      <w:r>
        <w:rPr/>
        <w:t>11</w:t>
      </w:r>
      <w:r>
        <w:rPr>
          <w:rtl w:val="true"/>
        </w:rPr>
        <w:t xml:space="preserve">): </w:t>
      </w:r>
      <w:r>
        <w:rPr>
          <w:rtl w:val="true"/>
        </w:rPr>
        <w:t>لا بأس بأکل الزبیب و الکشمش إذا غلیا فی الدهن</w:t>
      </w:r>
      <w:r>
        <w:rPr>
          <w:rtl w:val="true"/>
        </w:rPr>
        <w:t>]</w:t>
      </w:r>
      <w:bookmarkEnd w:id="1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بأکل الزبیب و الکشمش إذا غلیا فی الدهن أو جعلا فی المحشّی و الطبیخ، بل إذا جعلا فی الأمراق إذا لم یعلم بغلیان ما فی جوفهما کما هو الغالب فیما إذا انتفخا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علم بغلیان ما فی جوفهما فیشکل </w:t>
      </w:r>
      <w:r>
        <w:rPr>
          <w:rStyle w:val="FootnoteAnchor"/>
          <w:rtl w:val="true"/>
        </w:rPr>
        <w:footnoteReference w:id="335"/>
      </w:r>
      <w:r>
        <w:rPr>
          <w:rFonts w:ascii="IRNazanin" w:hAnsi="IRNazanin" w:eastAsia="IRNazanin"/>
          <w:color w:val="111111"/>
          <w:sz w:val="28"/>
          <w:sz w:val="28"/>
          <w:szCs w:val="28"/>
          <w:rtl w:val="true"/>
          <w:lang w:bidi="fa-IR"/>
        </w:rPr>
        <w:t>أکلهما من حیث الحرمة لا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التمر فیجوز أکله علیٰ کلّ حال و إن جعل فی المرق و علم بغلیانه</w:t>
      </w:r>
      <w:r>
        <w:rPr>
          <w:rFonts w:eastAsia="IRNazanin" w:cs="IRNazanin"/>
          <w:color w:val="111111"/>
          <w:sz w:val="28"/>
          <w:szCs w:val="28"/>
          <w:rtl w:val="true"/>
          <w:lang w:bidi="fa-IR"/>
        </w:rPr>
        <w:t>.</w:t>
      </w:r>
    </w:p>
    <w:p>
      <w:pPr>
        <w:pStyle w:val="Heading5"/>
        <w:numPr>
          <w:ilvl w:val="4"/>
          <w:numId w:val="1"/>
        </w:numPr>
        <w:rPr/>
      </w:pPr>
      <w:bookmarkStart w:id="1215" w:name="__RefHeading___Toc2566096_3650668749"/>
      <w:bookmarkStart w:id="1216" w:name="_Toc557"/>
      <w:bookmarkEnd w:id="1215"/>
      <w:r>
        <w:rPr>
          <w:rtl w:val="true"/>
        </w:rPr>
        <w:t>[</w:t>
      </w:r>
      <w:r>
        <w:rPr>
          <w:rtl w:val="true"/>
        </w:rPr>
        <w:t>التاسع</w:t>
      </w:r>
      <w:r>
        <w:rPr>
          <w:rtl w:val="true"/>
        </w:rPr>
        <w:t xml:space="preserve">: </w:t>
      </w:r>
      <w:r>
        <w:rPr>
          <w:rtl w:val="true"/>
        </w:rPr>
        <w:t>الفقّاع</w:t>
      </w:r>
      <w:r>
        <w:rPr>
          <w:rtl w:val="true"/>
        </w:rPr>
        <w:t>]</w:t>
      </w:r>
      <w:bookmarkEnd w:id="1216"/>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 و هو شراب مخصوص متّخذ من الشعیر غالباً، أمّا المتّخذ من غیره ففی حرمته و نجاسته تأمّل و إن سمّی فقّاعاً، إلّا إذا کان مسکراً</w:t>
      </w:r>
      <w:r>
        <w:rPr>
          <w:rFonts w:eastAsia="IRNazanin" w:cs="IRNazanin"/>
          <w:color w:val="111111"/>
          <w:sz w:val="28"/>
          <w:szCs w:val="28"/>
          <w:rtl w:val="true"/>
          <w:lang w:bidi="fa-IR"/>
        </w:rPr>
        <w:t>.</w:t>
      </w:r>
    </w:p>
    <w:p>
      <w:pPr>
        <w:pStyle w:val="Heading5"/>
        <w:numPr>
          <w:ilvl w:val="4"/>
          <w:numId w:val="1"/>
        </w:numPr>
        <w:rPr/>
      </w:pPr>
      <w:bookmarkStart w:id="1217" w:name="__RefHeading___Toc2566098_3650668749"/>
      <w:bookmarkStart w:id="1218" w:name="_Toc558"/>
      <w:bookmarkEnd w:id="1217"/>
      <w:r>
        <w:rPr>
          <w:rtl w:val="true"/>
        </w:rPr>
        <w:t>[</w:t>
      </w:r>
      <w:r>
        <w:rPr>
          <w:rtl w:val="true"/>
        </w:rPr>
        <w:t>العاشر</w:t>
      </w:r>
      <w:r>
        <w:rPr>
          <w:rtl w:val="true"/>
        </w:rPr>
        <w:t xml:space="preserve">: </w:t>
      </w:r>
      <w:r>
        <w:rPr>
          <w:rtl w:val="true"/>
        </w:rPr>
        <w:t>الکافر</w:t>
      </w:r>
      <w:r>
        <w:rPr>
          <w:rtl w:val="true"/>
        </w:rPr>
        <w:t>]</w:t>
      </w:r>
      <w:bookmarkEnd w:id="1218"/>
    </w:p>
    <w:p>
      <w:pPr>
        <w:pStyle w:val="Heading6"/>
        <w:numPr>
          <w:ilvl w:val="5"/>
          <w:numId w:val="1"/>
        </w:numPr>
        <w:rPr/>
      </w:pPr>
      <w:bookmarkStart w:id="1219" w:name="__RefHeading___Toc2566100_3650668749"/>
      <w:bookmarkStart w:id="1220" w:name="_Toc559"/>
      <w:bookmarkEnd w:id="1219"/>
      <w:r>
        <w:rPr>
          <w:rtl w:val="true"/>
        </w:rPr>
        <w:t>اشارة</w:t>
      </w:r>
      <w:bookmarkEnd w:id="1220"/>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الکافر؛ و هو من انتحل غیر الإسلام أو انتحله و جحد </w:t>
      </w:r>
      <w:r>
        <w:rPr>
          <w:rStyle w:val="FootnoteAnchor"/>
          <w:rtl w:val="true"/>
        </w:rPr>
        <w:footnoteReference w:id="336"/>
      </w:r>
      <w:r>
        <w:rPr>
          <w:rFonts w:ascii="IRNazanin" w:hAnsi="IRNazanin" w:eastAsia="IRNazanin"/>
          <w:color w:val="111111"/>
          <w:sz w:val="28"/>
          <w:sz w:val="28"/>
          <w:szCs w:val="28"/>
          <w:rtl w:val="true"/>
          <w:lang w:bidi="fa-IR"/>
        </w:rPr>
        <w:t>ما یعلم من الدین ضرورة، أو صدر منه ما یقتضی کفره من قول أو فعل؛ من غیر فرق بین المرتدّ و الکافر الأصلی الحربی و الذمّی و الخارجی و الغالی و الناصبی</w:t>
      </w:r>
      <w:r>
        <w:rPr>
          <w:rFonts w:eastAsia="IRNazanin" w:cs="IRNazanin"/>
          <w:color w:val="111111"/>
          <w:sz w:val="28"/>
          <w:szCs w:val="28"/>
          <w:rtl w:val="true"/>
          <w:lang w:bidi="fa-IR"/>
        </w:rPr>
        <w:t>.</w:t>
      </w:r>
    </w:p>
    <w:p>
      <w:pPr>
        <w:pStyle w:val="Heading6"/>
        <w:numPr>
          <w:ilvl w:val="5"/>
          <w:numId w:val="1"/>
        </w:numPr>
        <w:rPr/>
      </w:pPr>
      <w:bookmarkStart w:id="1221" w:name="__RefHeading___Toc2566102_3650668749"/>
      <w:bookmarkStart w:id="1222" w:name="_Toc560"/>
      <w:bookmarkEnd w:id="1221"/>
      <w:r>
        <w:rPr>
          <w:rtl w:val="true"/>
        </w:rPr>
        <w:t>[ (</w:t>
      </w:r>
      <w:r>
        <w:rPr>
          <w:rtl w:val="true"/>
        </w:rPr>
        <w:t xml:space="preserve">مسألة </w:t>
      </w:r>
      <w:r>
        <w:rPr/>
        <w:t>12</w:t>
      </w:r>
      <w:r>
        <w:rPr>
          <w:rtl w:val="true"/>
        </w:rPr>
        <w:t xml:space="preserve">): </w:t>
      </w:r>
      <w:r>
        <w:rPr>
          <w:rtl w:val="true"/>
        </w:rPr>
        <w:t>غیر الاثنی عشریة من فرق الشیعة إذا لم یظهر منهم نصب و معاداة و سبّ</w:t>
      </w:r>
      <w:r>
        <w:rPr>
          <w:rtl w:val="true"/>
        </w:rPr>
        <w:t>]</w:t>
      </w:r>
      <w:bookmarkEnd w:id="122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الاثنی عشریة من فرق الشیعة إذا لم یظهر منهم نصب و معاداة و سبّ</w:t>
      </w:r>
      <w:bookmarkStart w:id="1223" w:name="pg1809_18888"/>
    </w:p>
    <w:p>
      <w:pPr>
        <w:pStyle w:val="BookText"/>
        <w:rPr/>
      </w:pPr>
      <w:bookmarkEnd w:id="1223"/>
      <w:r>
        <w:rPr>
          <w:rFonts w:ascii="IRNazanin" w:hAnsi="IRNazanin" w:eastAsia="IRNazanin"/>
          <w:color w:val="111111"/>
          <w:sz w:val="28"/>
          <w:sz w:val="28"/>
          <w:szCs w:val="28"/>
          <w:rtl w:val="true"/>
          <w:lang w:bidi="fa-IR"/>
        </w:rPr>
        <w:t>لسائر الأئمّة الذین لا یعتقدون بإمامتهم طاهرون، و أمّا مع ظهور ذلک منهم فهم مثل سائر النواصب</w:t>
      </w:r>
      <w:r>
        <w:rPr>
          <w:rFonts w:eastAsia="IRNazanin" w:cs="IRNazanin"/>
          <w:color w:val="111111"/>
          <w:sz w:val="28"/>
          <w:szCs w:val="28"/>
          <w:rtl w:val="true"/>
          <w:lang w:bidi="fa-IR"/>
        </w:rPr>
        <w:t>.</w:t>
      </w:r>
    </w:p>
    <w:p>
      <w:pPr>
        <w:pStyle w:val="Heading5"/>
        <w:numPr>
          <w:ilvl w:val="4"/>
          <w:numId w:val="1"/>
        </w:numPr>
        <w:rPr/>
      </w:pPr>
      <w:bookmarkStart w:id="1224" w:name="__RefHeading___Toc2566104_3650668749"/>
      <w:bookmarkStart w:id="1225" w:name="_Toc561"/>
      <w:bookmarkEnd w:id="1224"/>
      <w:r>
        <w:rPr>
          <w:rtl w:val="true"/>
        </w:rPr>
        <w:t>[</w:t>
      </w:r>
      <w:r>
        <w:rPr>
          <w:rtl w:val="true"/>
        </w:rPr>
        <w:t>الحادی عشر</w:t>
      </w:r>
      <w:r>
        <w:rPr>
          <w:rtl w:val="true"/>
        </w:rPr>
        <w:t xml:space="preserve">: </w:t>
      </w:r>
      <w:r>
        <w:rPr>
          <w:rtl w:val="true"/>
        </w:rPr>
        <w:t>عرق الإبل الجلّالة</w:t>
      </w:r>
      <w:r>
        <w:rPr>
          <w:rtl w:val="true"/>
        </w:rPr>
        <w:t>]</w:t>
      </w:r>
      <w:bookmarkEnd w:id="1225"/>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الإبل الجلّالة، بل عرق مطلق الحیوان الجلّال علی الأحوط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نجاسة عرق الجنب من الحرام تردّد، و الأظهر الطهارة و إن وجب </w:t>
      </w:r>
      <w:r>
        <w:rPr>
          <w:rStyle w:val="FootnoteAnchor"/>
          <w:rtl w:val="true"/>
        </w:rPr>
        <w:footnoteReference w:id="338"/>
      </w:r>
      <w:r>
        <w:rPr>
          <w:rFonts w:ascii="IRNazanin" w:hAnsi="IRNazanin" w:eastAsia="IRNazanin"/>
          <w:color w:val="111111"/>
          <w:sz w:val="28"/>
          <w:sz w:val="28"/>
          <w:szCs w:val="28"/>
          <w:rtl w:val="true"/>
          <w:lang w:bidi="fa-IR"/>
        </w:rPr>
        <w:t>التجنّب عنه فی الصلاة، و الأحوط التجنّب عنه مطلقاً</w:t>
      </w:r>
      <w:r>
        <w:rPr>
          <w:rFonts w:eastAsia="IRNazanin" w:cs="IRNazanin"/>
          <w:color w:val="111111"/>
          <w:sz w:val="28"/>
          <w:szCs w:val="28"/>
          <w:rtl w:val="true"/>
          <w:lang w:bidi="fa-IR"/>
        </w:rPr>
        <w:t>.</w:t>
      </w:r>
    </w:p>
    <w:p>
      <w:pPr>
        <w:pStyle w:val="Heading4"/>
        <w:numPr>
          <w:ilvl w:val="3"/>
          <w:numId w:val="1"/>
        </w:numPr>
        <w:rPr/>
      </w:pPr>
      <w:bookmarkStart w:id="1226" w:name="__RefHeading___Toc2566106_3650668749"/>
      <w:bookmarkStart w:id="1227" w:name="_Toc562"/>
      <w:bookmarkEnd w:id="1226"/>
      <w:r>
        <w:rPr>
          <w:rtl w:val="true"/>
        </w:rPr>
        <w:t>[</w:t>
      </w:r>
      <w:r>
        <w:rPr>
          <w:rtl w:val="true"/>
        </w:rPr>
        <w:t>القول فی أحکام النجاسات</w:t>
      </w:r>
      <w:r>
        <w:rPr>
          <w:rtl w:val="true"/>
        </w:rPr>
        <w:t>]</w:t>
      </w:r>
      <w:bookmarkEnd w:id="1227"/>
    </w:p>
    <w:p>
      <w:pPr>
        <w:pStyle w:val="Heading5"/>
        <w:numPr>
          <w:ilvl w:val="4"/>
          <w:numId w:val="1"/>
        </w:numPr>
        <w:rPr/>
      </w:pPr>
      <w:bookmarkStart w:id="1228" w:name="__RefHeading___Toc2566108_3650668749"/>
      <w:bookmarkStart w:id="1229" w:name="_Toc563"/>
      <w:bookmarkEnd w:id="1228"/>
      <w:r>
        <w:rPr>
          <w:rtl w:val="true"/>
        </w:rPr>
        <w:t>اشارة</w:t>
      </w:r>
      <w:bookmarkEnd w:id="1229"/>
    </w:p>
    <w:p>
      <w:pPr>
        <w:pStyle w:val="BookText"/>
        <w:rPr/>
      </w:pPr>
      <w:r>
        <w:rPr>
          <w:rFonts w:ascii="IRNazanin" w:hAnsi="IRNazanin" w:eastAsia="IRNazanin"/>
          <w:color w:val="111111"/>
          <w:sz w:val="28"/>
          <w:sz w:val="28"/>
          <w:szCs w:val="28"/>
          <w:rtl w:val="true"/>
          <w:lang w:bidi="fa-IR"/>
        </w:rPr>
        <w:t>القول فی أحکام النجاسات</w:t>
      </w:r>
    </w:p>
    <w:p>
      <w:pPr>
        <w:pStyle w:val="Heading5"/>
        <w:numPr>
          <w:ilvl w:val="4"/>
          <w:numId w:val="1"/>
        </w:numPr>
        <w:rPr/>
      </w:pPr>
      <w:bookmarkStart w:id="1230" w:name="__RefHeading___Toc2566110_3650668749"/>
      <w:bookmarkStart w:id="1231" w:name="_Toc564"/>
      <w:bookmarkEnd w:id="1230"/>
      <w:r>
        <w:rPr>
          <w:rtl w:val="true"/>
        </w:rPr>
        <w:t>[ (</w:t>
      </w:r>
      <w:r>
        <w:rPr>
          <w:rtl w:val="true"/>
        </w:rPr>
        <w:t xml:space="preserve">مسألة </w:t>
      </w:r>
      <w:r>
        <w:rPr/>
        <w:t>1</w:t>
      </w:r>
      <w:r>
        <w:rPr>
          <w:rtl w:val="true"/>
        </w:rPr>
        <w:t xml:space="preserve">): </w:t>
      </w:r>
      <w:r>
        <w:rPr>
          <w:rtl w:val="true"/>
        </w:rPr>
        <w:t>یشترط فی صحّة الصلاة و الطواف واجبهما و مندوبهما طهارة البدن</w:t>
      </w:r>
      <w:r>
        <w:rPr>
          <w:rtl w:val="true"/>
        </w:rPr>
        <w:t>]</w:t>
      </w:r>
      <w:bookmarkEnd w:id="123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الصلاة و الطواف واجبهما و مندوبهما طهارة البدن حتّی الشعر و الظفر و غیرهما ممّا هو من توابع الجسد و اللباس؛ الساتر منه و غیره عدا ما استثنی من النجاسات و ما فی حکمها من متنجّس بها و قلیلها و لو مثل رؤوس الإبر ککثیرها عدا ما استثنی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صحّة الصلاة أیضاً طهارة موضع الجبهة فی حال السجود دون المواضع الأُخر فلا بأس بنجاستها ما دامت غیر مسریة إلیٰ بدنه أو لباسه بنجاسة غیر معفوّ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إزالة النجاسة عن المساجد بجمیع أجزائها من أرضها و بنائها حتّی الطرف الخارج من جدرانها علی الأحوط، کما أنّه یحرم تنجیسها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یلحق بها المشاهد المشرّفة و الضرائح المقدّسة و کلّ ما علم من الشرع وجوب تعظیمه علیٰ وجه ینافیه التنجیس کالتربة الحسینیّة بل و تربة الرسول و سائر الأئمّة و المصحف الکریم حتّی جلده و غلافه بل و کتب الأحادیث المعصومیّة علی الأحوط لو لم یکن الأقویٰ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تطهیر ما ذکر کفائیّ لا یختصّ بمن نجّسها، کما أنّه یجب المبادرة مع القدرة علیٰ تطهیرها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توقّف تطهیرها علیٰ صرف مال وجب، و هل یرجع به علیٰ من نجّسها؟ لا یخلو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توقّف تطهیر المسجد مثلًا علیٰ حفر أرضه أو علیٰ تخریب شی‌ء منه جاز بل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ضمان من نجّسه لخسارة التعمیر وجه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bookmarkStart w:id="1232" w:name="pg1809_18890"/>
    </w:p>
    <w:p>
      <w:pPr>
        <w:pStyle w:val="BookText"/>
        <w:rPr/>
      </w:pPr>
      <w:bookmarkEnd w:id="1232"/>
      <w:r>
        <w:rPr>
          <w:rFonts w:ascii="IRNazanin" w:hAnsi="IRNazanin" w:eastAsia="IRNazanin"/>
          <w:color w:val="111111"/>
          <w:sz w:val="28"/>
          <w:sz w:val="28"/>
          <w:szCs w:val="28"/>
          <w:rtl w:val="true"/>
          <w:lang w:bidi="fa-IR"/>
        </w:rPr>
        <w:t>رأی نجاسة فی المسجد مثلًا و قد حضر وقت الصلاة تجب المبادرة إلیٰ إزالتها مقدّماً علی الصلاة مع سعة وقتها، فلو ترک الإزالة مع القدرة و اشتغل بها عصیٰ، لکنّ الأقویٰ صحّة صلاته، و مع ضیق وقت الصلاة قدّمها علی الإزالة</w:t>
      </w:r>
      <w:r>
        <w:rPr>
          <w:rFonts w:eastAsia="IRNazanin" w:cs="IRNazanin"/>
          <w:color w:val="111111"/>
          <w:sz w:val="28"/>
          <w:szCs w:val="28"/>
          <w:rtl w:val="true"/>
          <w:lang w:bidi="fa-IR"/>
        </w:rPr>
        <w:t>.</w:t>
      </w:r>
    </w:p>
    <w:p>
      <w:pPr>
        <w:pStyle w:val="Heading5"/>
        <w:numPr>
          <w:ilvl w:val="4"/>
          <w:numId w:val="1"/>
        </w:numPr>
        <w:rPr/>
      </w:pPr>
      <w:bookmarkStart w:id="1233" w:name="__RefHeading___Toc2566112_3650668749"/>
      <w:bookmarkStart w:id="1234" w:name="_Toc565"/>
      <w:bookmarkEnd w:id="1233"/>
      <w:r>
        <w:rPr>
          <w:rtl w:val="true"/>
        </w:rPr>
        <w:t>[ (</w:t>
      </w:r>
      <w:r>
        <w:rPr>
          <w:rtl w:val="true"/>
        </w:rPr>
        <w:t xml:space="preserve">مسألة </w:t>
      </w:r>
      <w:r>
        <w:rPr/>
        <w:t>2</w:t>
      </w:r>
      <w:r>
        <w:rPr>
          <w:rtl w:val="true"/>
        </w:rPr>
        <w:t xml:space="preserve">): </w:t>
      </w:r>
      <w:r>
        <w:rPr>
          <w:rtl w:val="true"/>
        </w:rPr>
        <w:t>حصیر المسجد و فرشه کنفس المسجد فی حرمة تلویثه</w:t>
      </w:r>
      <w:r>
        <w:rPr>
          <w:rtl w:val="true"/>
        </w:rPr>
        <w:t>]</w:t>
      </w:r>
      <w:bookmarkEnd w:id="1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حصیر المسجد </w:t>
      </w:r>
      <w:r>
        <w:rPr>
          <w:rStyle w:val="FootnoteAnchor"/>
          <w:rtl w:val="true"/>
        </w:rPr>
        <w:footnoteReference w:id="340"/>
      </w:r>
      <w:r>
        <w:rPr>
          <w:rFonts w:ascii="IRNazanin" w:hAnsi="IRNazanin" w:eastAsia="IRNazanin"/>
          <w:color w:val="111111"/>
          <w:sz w:val="28"/>
          <w:sz w:val="28"/>
          <w:szCs w:val="28"/>
          <w:rtl w:val="true"/>
          <w:lang w:bidi="fa-IR"/>
        </w:rPr>
        <w:t>و فرشه کنفس المسجد فی حرمة تلویثه و وجوب إزالة النجاسة عنه و لو بقطع موضع النجس</w:t>
      </w:r>
      <w:r>
        <w:rPr>
          <w:rFonts w:eastAsia="IRNazanin" w:cs="IRNazanin"/>
          <w:color w:val="111111"/>
          <w:sz w:val="28"/>
          <w:szCs w:val="28"/>
          <w:rtl w:val="true"/>
          <w:lang w:bidi="fa-IR"/>
        </w:rPr>
        <w:t>.</w:t>
      </w:r>
    </w:p>
    <w:p>
      <w:pPr>
        <w:pStyle w:val="Heading5"/>
        <w:numPr>
          <w:ilvl w:val="4"/>
          <w:numId w:val="1"/>
        </w:numPr>
        <w:rPr/>
      </w:pPr>
      <w:bookmarkStart w:id="1235" w:name="__RefHeading___Toc2566114_3650668749"/>
      <w:bookmarkStart w:id="1236" w:name="_Toc566"/>
      <w:bookmarkEnd w:id="1235"/>
      <w:r>
        <w:rPr>
          <w:rtl w:val="true"/>
        </w:rPr>
        <w:t>[ (</w:t>
      </w:r>
      <w:r>
        <w:rPr>
          <w:rtl w:val="true"/>
        </w:rPr>
        <w:t xml:space="preserve">مسألة </w:t>
      </w:r>
      <w:r>
        <w:rPr/>
        <w:t>3</w:t>
      </w:r>
      <w:r>
        <w:rPr>
          <w:rtl w:val="true"/>
        </w:rPr>
        <w:t xml:space="preserve">): </w:t>
      </w:r>
      <w:r>
        <w:rPr>
          <w:rtl w:val="true"/>
        </w:rPr>
        <w:t>لا فرق فی المساجد بین المعمورة و المخروبة</w:t>
      </w:r>
      <w:r>
        <w:rPr>
          <w:rtl w:val="true"/>
        </w:rPr>
        <w:t>]</w:t>
      </w:r>
      <w:bookmarkEnd w:id="1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المساجد بین المعمورة و المخروبة أو المهجورة، بل لا یبعد </w:t>
      </w:r>
      <w:r>
        <w:rPr>
          <w:rStyle w:val="FootnoteAnchor"/>
          <w:rtl w:val="true"/>
        </w:rPr>
        <w:footnoteReference w:id="341"/>
      </w:r>
      <w:r>
        <w:rPr>
          <w:rFonts w:ascii="IRNazanin" w:hAnsi="IRNazanin" w:eastAsia="IRNazanin"/>
          <w:color w:val="111111"/>
          <w:sz w:val="28"/>
          <w:sz w:val="28"/>
          <w:szCs w:val="28"/>
          <w:rtl w:val="true"/>
          <w:lang w:bidi="fa-IR"/>
        </w:rPr>
        <w:t>جریان الحکم فیما إذا تغیّر عنوانه کما إذا غصب و جعل داراً أو خاناً أو دکّاناً أو بستاناً</w:t>
      </w:r>
      <w:r>
        <w:rPr>
          <w:rFonts w:eastAsia="IRNazanin" w:cs="IRNazanin"/>
          <w:color w:val="111111"/>
          <w:sz w:val="28"/>
          <w:szCs w:val="28"/>
          <w:rtl w:val="true"/>
          <w:lang w:bidi="fa-IR"/>
        </w:rPr>
        <w:t>.</w:t>
      </w:r>
    </w:p>
    <w:p>
      <w:pPr>
        <w:pStyle w:val="Heading5"/>
        <w:numPr>
          <w:ilvl w:val="4"/>
          <w:numId w:val="1"/>
        </w:numPr>
        <w:rPr/>
      </w:pPr>
      <w:bookmarkStart w:id="1237" w:name="__RefHeading___Toc2566116_3650668749"/>
      <w:bookmarkStart w:id="1238" w:name="_Toc567"/>
      <w:bookmarkEnd w:id="1237"/>
      <w:r>
        <w:rPr>
          <w:rtl w:val="true"/>
        </w:rPr>
        <w:t>[ (</w:t>
      </w:r>
      <w:r>
        <w:rPr>
          <w:rtl w:val="true"/>
        </w:rPr>
        <w:t xml:space="preserve">مسألة </w:t>
      </w:r>
      <w:r>
        <w:rPr/>
        <w:t>4</w:t>
      </w:r>
      <w:r>
        <w:rPr>
          <w:rtl w:val="true"/>
        </w:rPr>
        <w:t xml:space="preserve">): </w:t>
      </w:r>
      <w:r>
        <w:rPr>
          <w:rtl w:val="true"/>
        </w:rPr>
        <w:t>إذا علم إخراج الواقف بعض أجزاء المسجد عن المسجد</w:t>
      </w:r>
      <w:r>
        <w:rPr>
          <w:rtl w:val="true"/>
        </w:rPr>
        <w:t>]</w:t>
      </w:r>
      <w:bookmarkEnd w:id="1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إخراج الواقف بعض أجزاء المسجد عن المسجد لا یلحقه الحکم، و مع الشکّ فی ذلک ففیه إشکال </w:t>
      </w:r>
      <w:r>
        <w:rPr>
          <w:rStyle w:val="FootnoteAnchor"/>
          <w:rtl w:val="true"/>
        </w:rPr>
        <w:footnoteReference w:id="342"/>
      </w:r>
      <w:r>
        <w:rPr>
          <w:rFonts w:ascii="IRNazanin" w:hAnsi="IRNazanin" w:eastAsia="IRNazanin"/>
          <w:color w:val="111111"/>
          <w:sz w:val="28"/>
          <w:sz w:val="28"/>
          <w:szCs w:val="28"/>
          <w:rtl w:val="true"/>
          <w:lang w:bidi="fa-IR"/>
        </w:rPr>
        <w:t>فلا یترک الاحتیاط، و لا سیّما فی السقف و الجدران</w:t>
      </w:r>
      <w:r>
        <w:rPr>
          <w:rFonts w:eastAsia="IRNazanin" w:cs="IRNazanin"/>
          <w:color w:val="111111"/>
          <w:sz w:val="28"/>
          <w:szCs w:val="28"/>
          <w:rtl w:val="true"/>
          <w:lang w:bidi="fa-IR"/>
        </w:rPr>
        <w:t>.</w:t>
      </w:r>
    </w:p>
    <w:p>
      <w:pPr>
        <w:pStyle w:val="Heading5"/>
        <w:numPr>
          <w:ilvl w:val="4"/>
          <w:numId w:val="1"/>
        </w:numPr>
        <w:rPr/>
      </w:pPr>
      <w:bookmarkStart w:id="1239" w:name="__RefHeading___Toc2566118_3650668749"/>
      <w:bookmarkStart w:id="1240" w:name="_Toc568"/>
      <w:bookmarkEnd w:id="1239"/>
      <w:r>
        <w:rPr>
          <w:rtl w:val="true"/>
        </w:rPr>
        <w:t>[ (</w:t>
      </w:r>
      <w:r>
        <w:rPr>
          <w:rtl w:val="true"/>
        </w:rPr>
        <w:t xml:space="preserve">مسألة </w:t>
      </w:r>
      <w:r>
        <w:rPr/>
        <w:t>5</w:t>
      </w:r>
      <w:r>
        <w:rPr>
          <w:rtl w:val="true"/>
        </w:rPr>
        <w:t xml:space="preserve">): </w:t>
      </w:r>
      <w:r>
        <w:rPr>
          <w:rtl w:val="true"/>
        </w:rPr>
        <w:t>کما یحرم تنجیس المصحف یحرم کتابته بالمداد النجس</w:t>
      </w:r>
      <w:r>
        <w:rPr>
          <w:rtl w:val="true"/>
        </w:rPr>
        <w:t>]</w:t>
      </w:r>
      <w:bookmarkEnd w:id="1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یحرم تنجیس المصحف یحرم کتابته بالمداد النجس، و لو کتب جهلًا أو عمداً یجب محوه فیما ینمحی و فی غیره کمداد الطبع یجب تطهیره</w:t>
      </w:r>
      <w:r>
        <w:rPr>
          <w:rFonts w:eastAsia="IRNazanin" w:cs="IRNazanin"/>
          <w:color w:val="111111"/>
          <w:sz w:val="28"/>
          <w:szCs w:val="28"/>
          <w:rtl w:val="true"/>
          <w:lang w:bidi="fa-IR"/>
        </w:rPr>
        <w:t>.</w:t>
      </w:r>
    </w:p>
    <w:p>
      <w:pPr>
        <w:pStyle w:val="Heading5"/>
        <w:numPr>
          <w:ilvl w:val="4"/>
          <w:numId w:val="1"/>
        </w:numPr>
        <w:rPr/>
      </w:pPr>
      <w:bookmarkStart w:id="1241" w:name="__RefHeading___Toc2566120_3650668749"/>
      <w:bookmarkStart w:id="1242" w:name="_Toc569"/>
      <w:bookmarkEnd w:id="1241"/>
      <w:r>
        <w:rPr>
          <w:rtl w:val="true"/>
        </w:rPr>
        <w:t>[ (</w:t>
      </w:r>
      <w:r>
        <w:rPr>
          <w:rtl w:val="true"/>
        </w:rPr>
        <w:t xml:space="preserve">مسألة </w:t>
      </w:r>
      <w:r>
        <w:rPr/>
        <w:t>6</w:t>
      </w:r>
      <w:r>
        <w:rPr>
          <w:rtl w:val="true"/>
        </w:rPr>
        <w:t xml:space="preserve">): </w:t>
      </w:r>
      <w:r>
        <w:rPr>
          <w:rtl w:val="true"/>
        </w:rPr>
        <w:t>من صلّیٰ بالنجاسة متعمّداً بطلت صلاته و وجبت إعادتها</w:t>
      </w:r>
      <w:r>
        <w:rPr>
          <w:rtl w:val="true"/>
        </w:rPr>
        <w:t>]</w:t>
      </w:r>
      <w:bookmarkEnd w:id="1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بالنجاسة متعمّداً بطلت صلاته و وجبت إعادتها من غیر فرق بین بقاء الوقت و خروجه، و کذا الناسی لها و لم یذکر حتّی فرغ من صلاته أو ذکرها فی أثنائها، بخلاف الجاهل بها حتّی فرغ، فإنّه لا یعید فی الوقت فضلًا عن خارجه و إن کان الأحوط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علم بها فی أثناء صلاته فإن لم یعلم بسبقها و أمکنه إزالتها بنزع أو غیره علیٰ وجه لا ینافی الصلاة و بقاء التستّر فعل ذلک و مضیٰ فی صلاته، و إن لم یمکنه ذلک استأنفها من رأس إذا کان الوقت واسعاً و صلّی بها </w:t>
      </w:r>
      <w:r>
        <w:rPr>
          <w:rStyle w:val="FootnoteAnchor"/>
          <w:rtl w:val="true"/>
        </w:rPr>
        <w:footnoteReference w:id="343"/>
      </w:r>
      <w:r>
        <w:rPr>
          <w:rFonts w:ascii="IRNazanin" w:hAnsi="IRNazanin" w:eastAsia="IRNazanin"/>
          <w:color w:val="111111"/>
          <w:sz w:val="28"/>
          <w:sz w:val="28"/>
          <w:szCs w:val="28"/>
          <w:rtl w:val="true"/>
          <w:lang w:bidi="fa-IR"/>
        </w:rPr>
        <w:t>مع ضیقه، و کذا لو عرضت له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علم بسبقها وجب الاستئناف مع سعة الوقت مطلقاً</w:t>
      </w:r>
      <w:r>
        <w:rPr>
          <w:rFonts w:eastAsia="IRNazanin" w:cs="IRNazanin"/>
          <w:color w:val="111111"/>
          <w:sz w:val="28"/>
          <w:szCs w:val="28"/>
          <w:rtl w:val="true"/>
          <w:lang w:bidi="fa-IR"/>
        </w:rPr>
        <w:t>.</w:t>
      </w:r>
    </w:p>
    <w:p>
      <w:pPr>
        <w:pStyle w:val="Heading5"/>
        <w:numPr>
          <w:ilvl w:val="4"/>
          <w:numId w:val="1"/>
        </w:numPr>
        <w:rPr/>
      </w:pPr>
      <w:bookmarkStart w:id="1243" w:name="__RefHeading___Toc2566122_3650668749"/>
      <w:bookmarkStart w:id="1244" w:name="_Toc570"/>
      <w:bookmarkEnd w:id="1243"/>
      <w:r>
        <w:rPr>
          <w:rtl w:val="true"/>
        </w:rPr>
        <w:t>[ (</w:t>
      </w:r>
      <w:r>
        <w:rPr>
          <w:rtl w:val="true"/>
        </w:rPr>
        <w:t xml:space="preserve">مسألة </w:t>
      </w:r>
      <w:r>
        <w:rPr/>
        <w:t>7</w:t>
      </w:r>
      <w:r>
        <w:rPr>
          <w:rtl w:val="true"/>
        </w:rPr>
        <w:t xml:space="preserve">): </w:t>
      </w:r>
      <w:r>
        <w:rPr>
          <w:rtl w:val="true"/>
        </w:rPr>
        <w:t>إذا انحصر الساتر فی النجس فإن لم یقدر علیٰ نزعه لبرد و نحوه صلّیٰ</w:t>
      </w:r>
      <w:r>
        <w:rPr>
          <w:rtl w:val="true"/>
        </w:rPr>
        <w:t>]</w:t>
      </w:r>
      <w:bookmarkEnd w:id="124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انحصر الساتر فی النجس فإن لم یقدر علیٰ نزعه لبرد و نحوه صلّیٰ</w:t>
      </w:r>
      <w:bookmarkStart w:id="1245" w:name="pg1809_18893"/>
    </w:p>
    <w:p>
      <w:pPr>
        <w:pStyle w:val="BookText"/>
        <w:rPr/>
      </w:pPr>
      <w:bookmarkEnd w:id="1245"/>
      <w:r>
        <w:rPr>
          <w:rFonts w:ascii="IRNazanin" w:hAnsi="IRNazanin" w:eastAsia="IRNazanin"/>
          <w:color w:val="111111"/>
          <w:sz w:val="28"/>
          <w:sz w:val="28"/>
          <w:szCs w:val="28"/>
          <w:rtl w:val="true"/>
          <w:lang w:bidi="fa-IR"/>
        </w:rPr>
        <w:t xml:space="preserve">فیه </w:t>
      </w:r>
      <w:r>
        <w:rPr>
          <w:rStyle w:val="FootnoteAnchor"/>
          <w:rtl w:val="true"/>
        </w:rPr>
        <w:footnoteReference w:id="344"/>
      </w:r>
      <w:r>
        <w:rPr>
          <w:rFonts w:ascii="IRNazanin" w:hAnsi="IRNazanin" w:eastAsia="IRNazanin"/>
          <w:color w:val="111111"/>
          <w:sz w:val="28"/>
          <w:sz w:val="28"/>
          <w:szCs w:val="28"/>
          <w:rtl w:val="true"/>
          <w:lang w:bidi="fa-IR"/>
        </w:rPr>
        <w:t xml:space="preserve">و لا یجب علیه الإعادة، و إن تمکّن من نزعه فالأحوط </w:t>
      </w:r>
      <w:r>
        <w:rPr>
          <w:rStyle w:val="FootnoteAnchor"/>
          <w:rtl w:val="true"/>
        </w:rPr>
        <w:footnoteReference w:id="345"/>
      </w:r>
      <w:r>
        <w:rPr>
          <w:rFonts w:ascii="IRNazanin" w:hAnsi="IRNazanin" w:eastAsia="IRNazanin"/>
          <w:color w:val="111111"/>
          <w:sz w:val="28"/>
          <w:sz w:val="28"/>
          <w:szCs w:val="28"/>
          <w:rtl w:val="true"/>
          <w:lang w:bidi="fa-IR"/>
        </w:rPr>
        <w:t>تکرار الصلاة بالإتیان بها عاریاً و معه مع سعة الوقت، و مع الضیق الأحوط اختیار أحد الأمرین و القضاء فی خارج الوقت مع الثوب الطاهر</w:t>
      </w:r>
      <w:r>
        <w:rPr>
          <w:rFonts w:eastAsia="IRNazanin" w:cs="IRNazanin"/>
          <w:color w:val="111111"/>
          <w:sz w:val="28"/>
          <w:szCs w:val="28"/>
          <w:rtl w:val="true"/>
          <w:lang w:bidi="fa-IR"/>
        </w:rPr>
        <w:t>.</w:t>
      </w:r>
    </w:p>
    <w:p>
      <w:pPr>
        <w:pStyle w:val="Heading5"/>
        <w:numPr>
          <w:ilvl w:val="4"/>
          <w:numId w:val="1"/>
        </w:numPr>
        <w:rPr/>
      </w:pPr>
      <w:bookmarkStart w:id="1246" w:name="__RefHeading___Toc2566124_3650668749"/>
      <w:bookmarkStart w:id="1247" w:name="_Toc571"/>
      <w:bookmarkEnd w:id="1246"/>
      <w:r>
        <w:rPr>
          <w:rtl w:val="true"/>
        </w:rPr>
        <w:t>[ (</w:t>
      </w:r>
      <w:r>
        <w:rPr>
          <w:rtl w:val="true"/>
        </w:rPr>
        <w:t xml:space="preserve">مسألة </w:t>
      </w:r>
      <w:r>
        <w:rPr/>
        <w:t>8</w:t>
      </w:r>
      <w:r>
        <w:rPr>
          <w:rtl w:val="true"/>
        </w:rPr>
        <w:t xml:space="preserve">): </w:t>
      </w:r>
      <w:r>
        <w:rPr>
          <w:rtl w:val="true"/>
        </w:rPr>
        <w:t>إذا اشتبه الثوب الطاهر بالنجس یکرّر الصلاة فیهما مع الانحصار بهما</w:t>
      </w:r>
      <w:r>
        <w:rPr>
          <w:rtl w:val="true"/>
        </w:rPr>
        <w:t>]</w:t>
      </w:r>
      <w:bookmarkEnd w:id="1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اشتبه الثوب الطاهر بالنجس یکرّر الصلاة فیهما مع الانحصار بهما، و إذا لم یسع الوقت فالأحوط </w:t>
      </w:r>
      <w:r>
        <w:rPr>
          <w:rStyle w:val="FootnoteAnchor"/>
          <w:rtl w:val="true"/>
        </w:rPr>
        <w:footnoteReference w:id="346"/>
      </w:r>
      <w:r>
        <w:rPr>
          <w:rFonts w:ascii="IRNazanin" w:hAnsi="IRNazanin" w:eastAsia="IRNazanin"/>
          <w:color w:val="111111"/>
          <w:sz w:val="28"/>
          <w:sz w:val="28"/>
          <w:szCs w:val="28"/>
          <w:rtl w:val="true"/>
          <w:lang w:bidi="fa-IR"/>
        </w:rPr>
        <w:t>أن یصلّی فی أحدهما و یقضی فی الثوب الآخر أو فی ثوب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أطراف الشبهة ثلاثة أو أکثر یکرّر الصلاة علیٰ نحو یعلم بوقوع الصلاة فی ثوب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الضابط أن یزاد عدد الصلاة علیٰ عدد الثوب النجس المعلوم بواحدة فإذا کان عنده ثلاثة أثواب واحد منها نجس صلّیٰ صلاتین فی اثنین، و إذا کان النجس اثنین فی ثلاثة أو أزید صلّیٰ ثلاث صلوات فی ثلاثة أثواب و هکذا</w:t>
      </w:r>
      <w:r>
        <w:rPr>
          <w:rFonts w:eastAsia="IRNazanin" w:cs="IRNazanin"/>
          <w:color w:val="111111"/>
          <w:sz w:val="28"/>
          <w:szCs w:val="28"/>
          <w:rtl w:val="true"/>
          <w:lang w:bidi="fa-IR"/>
        </w:rPr>
        <w:t>.</w:t>
      </w:r>
    </w:p>
    <w:p>
      <w:pPr>
        <w:pStyle w:val="Heading4"/>
        <w:numPr>
          <w:ilvl w:val="3"/>
          <w:numId w:val="1"/>
        </w:numPr>
        <w:rPr/>
      </w:pPr>
      <w:bookmarkStart w:id="1248" w:name="__RefHeading___Toc2566126_3650668749"/>
      <w:bookmarkStart w:id="1249" w:name="_Toc572"/>
      <w:bookmarkEnd w:id="1248"/>
      <w:r>
        <w:rPr>
          <w:rtl w:val="true"/>
        </w:rPr>
        <w:t>[</w:t>
      </w:r>
      <w:r>
        <w:rPr>
          <w:rtl w:val="true"/>
        </w:rPr>
        <w:t>القول فی کیفیّة التنجیس بها</w:t>
      </w:r>
      <w:r>
        <w:rPr>
          <w:rtl w:val="true"/>
        </w:rPr>
        <w:t>]</w:t>
      </w:r>
      <w:bookmarkEnd w:id="1249"/>
    </w:p>
    <w:p>
      <w:pPr>
        <w:pStyle w:val="Heading5"/>
        <w:numPr>
          <w:ilvl w:val="4"/>
          <w:numId w:val="1"/>
        </w:numPr>
        <w:rPr/>
      </w:pPr>
      <w:bookmarkStart w:id="1250" w:name="__RefHeading___Toc2566128_3650668749"/>
      <w:bookmarkStart w:id="1251" w:name="_Toc573"/>
      <w:bookmarkEnd w:id="1250"/>
      <w:r>
        <w:rPr>
          <w:rtl w:val="true"/>
        </w:rPr>
        <w:t>اشارة</w:t>
      </w:r>
      <w:bookmarkEnd w:id="1251"/>
    </w:p>
    <w:p>
      <w:pPr>
        <w:pStyle w:val="BookText"/>
        <w:rPr/>
      </w:pPr>
      <w:r>
        <w:rPr>
          <w:rFonts w:ascii="IRNazanin" w:hAnsi="IRNazanin" w:eastAsia="IRNazanin"/>
          <w:color w:val="111111"/>
          <w:sz w:val="28"/>
          <w:sz w:val="28"/>
          <w:szCs w:val="28"/>
          <w:rtl w:val="true"/>
          <w:lang w:bidi="fa-IR"/>
        </w:rPr>
        <w:t>القول فی کیفیّة التنجیس بها</w:t>
      </w:r>
    </w:p>
    <w:p>
      <w:pPr>
        <w:pStyle w:val="Heading5"/>
        <w:numPr>
          <w:ilvl w:val="4"/>
          <w:numId w:val="1"/>
        </w:numPr>
        <w:rPr/>
      </w:pPr>
      <w:bookmarkStart w:id="1252" w:name="__RefHeading___Toc2566130_3650668749"/>
      <w:bookmarkStart w:id="1253" w:name="_Toc574"/>
      <w:bookmarkEnd w:id="1252"/>
      <w:r>
        <w:rPr>
          <w:rtl w:val="true"/>
        </w:rPr>
        <w:t>[ (</w:t>
      </w:r>
      <w:r>
        <w:rPr>
          <w:rtl w:val="true"/>
        </w:rPr>
        <w:t xml:space="preserve">مسألة </w:t>
      </w:r>
      <w:r>
        <w:rPr/>
        <w:t>1</w:t>
      </w:r>
      <w:r>
        <w:rPr>
          <w:rtl w:val="true"/>
        </w:rPr>
        <w:t xml:space="preserve">): </w:t>
      </w:r>
      <w:r>
        <w:rPr>
          <w:rtl w:val="true"/>
        </w:rPr>
        <w:t>لا ینجّس الملاقی لها مع الیبوسة فی کلّ منهما</w:t>
      </w:r>
      <w:r>
        <w:rPr>
          <w:rtl w:val="true"/>
        </w:rPr>
        <w:t>]</w:t>
      </w:r>
      <w:bookmarkEnd w:id="1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ینجّس الملاقی لها مع الیبوسة فی کلّ منهما و لا مع النداوة التی لم تنتقل منها أجزاء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ینجس الملاقی مع البلّة فی أحدهما علیٰ وجه تصل منه إلی الآخر، فلا یکفی مجرّد المیعان کالزئبق، بل و الذهب و الفضّة الذائبین ما لم یکن رطوبة من الخارج مسریة، فالذهب الذائب فی البوطقة النجسة لا یتنجّس ما لم یکن رطوبة مسریة فیها أو فیه و لو کانت لا تنجّس إلّا ظاهره کالجامد</w:t>
      </w:r>
      <w:r>
        <w:rPr>
          <w:rFonts w:eastAsia="IRNazanin" w:cs="IRNazanin"/>
          <w:color w:val="111111"/>
          <w:sz w:val="28"/>
          <w:szCs w:val="28"/>
          <w:rtl w:val="true"/>
          <w:lang w:bidi="fa-IR"/>
        </w:rPr>
        <w:t>.</w:t>
      </w:r>
    </w:p>
    <w:p>
      <w:pPr>
        <w:pStyle w:val="Heading5"/>
        <w:numPr>
          <w:ilvl w:val="4"/>
          <w:numId w:val="1"/>
        </w:numPr>
        <w:rPr/>
      </w:pPr>
      <w:bookmarkStart w:id="1254" w:name="__RefHeading___Toc2566132_3650668749"/>
      <w:bookmarkStart w:id="1255" w:name="_Toc575"/>
      <w:bookmarkEnd w:id="1254"/>
      <w:r>
        <w:rPr>
          <w:rtl w:val="true"/>
        </w:rPr>
        <w:t>[ (</w:t>
      </w:r>
      <w:r>
        <w:rPr>
          <w:rtl w:val="true"/>
        </w:rPr>
        <w:t xml:space="preserve">مسألة </w:t>
      </w:r>
      <w:r>
        <w:rPr/>
        <w:t>2</w:t>
      </w:r>
      <w:r>
        <w:rPr>
          <w:rtl w:val="true"/>
        </w:rPr>
        <w:t xml:space="preserve">): </w:t>
      </w:r>
      <w:r>
        <w:rPr>
          <w:rtl w:val="true"/>
        </w:rPr>
        <w:t>مع الشکّ فی الرطوبة أو السرایة یحکم بعدم التنجیس</w:t>
      </w:r>
      <w:r>
        <w:rPr>
          <w:rtl w:val="true"/>
        </w:rPr>
        <w:t>]</w:t>
      </w:r>
      <w:bookmarkEnd w:id="1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الشکّ فی الرطوبة أو السرایة یحکم بعدم التنجیس، فإذا وقع الذباب علی النجس ثمّ علی الثوب لا یحکم بالتنجیس؛ لاحتمال عدم تبلّل رجله ببلّة تسری إلیٰ ملاقیه</w:t>
      </w:r>
      <w:r>
        <w:rPr>
          <w:rFonts w:eastAsia="IRNazanin" w:cs="IRNazanin"/>
          <w:color w:val="111111"/>
          <w:sz w:val="28"/>
          <w:szCs w:val="28"/>
          <w:rtl w:val="true"/>
          <w:lang w:bidi="fa-IR"/>
        </w:rPr>
        <w:t>.</w:t>
      </w:r>
    </w:p>
    <w:p>
      <w:pPr>
        <w:pStyle w:val="Heading5"/>
        <w:numPr>
          <w:ilvl w:val="4"/>
          <w:numId w:val="1"/>
        </w:numPr>
        <w:rPr/>
      </w:pPr>
      <w:bookmarkStart w:id="1256" w:name="__RefHeading___Toc2566134_3650668749"/>
      <w:bookmarkStart w:id="1257" w:name="_Toc576"/>
      <w:bookmarkEnd w:id="1256"/>
      <w:r>
        <w:rPr>
          <w:rtl w:val="true"/>
        </w:rPr>
        <w:t>[ (</w:t>
      </w:r>
      <w:r>
        <w:rPr>
          <w:rtl w:val="true"/>
        </w:rPr>
        <w:t xml:space="preserve">مسألة </w:t>
      </w:r>
      <w:r>
        <w:rPr/>
        <w:t>3</w:t>
      </w:r>
      <w:r>
        <w:rPr>
          <w:rtl w:val="true"/>
        </w:rPr>
        <w:t xml:space="preserve">): </w:t>
      </w:r>
      <w:r>
        <w:rPr>
          <w:rtl w:val="true"/>
        </w:rPr>
        <w:t>لا یحکم بنجاسة الشی‌ء و لا بطهارة ما ثبتت نجاسته إلّا بالیقین</w:t>
      </w:r>
      <w:r>
        <w:rPr>
          <w:rtl w:val="true"/>
        </w:rPr>
        <w:t>]</w:t>
      </w:r>
      <w:bookmarkEnd w:id="125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یحکم بنجاسة الشی‌ء و لا بطهارة ما ثبتت نجاسته إلّا بالیقین أو بإخبار ذی الید أو بشهادة العدلین، و فی الاکتفاء بالعدل الواحد إشکال فلا یترک مراعاة الاحتیاط فی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یثبت الحکم فی المقامین بالظنّ و إن کان قویّاً، و لا بالشکّ، إلّا الخارج قبل الاستبراء کما عرفته سابقاً</w:t>
      </w:r>
      <w:r>
        <w:rPr>
          <w:rFonts w:eastAsia="IRNazanin" w:cs="IRNazanin"/>
          <w:color w:val="111111"/>
          <w:sz w:val="28"/>
          <w:szCs w:val="28"/>
          <w:rtl w:val="true"/>
          <w:lang w:bidi="fa-IR"/>
        </w:rPr>
        <w:t>.</w:t>
      </w:r>
      <w:bookmarkStart w:id="1258" w:name="pg1809_18895"/>
    </w:p>
    <w:p>
      <w:pPr>
        <w:pStyle w:val="Heading5"/>
        <w:numPr>
          <w:ilvl w:val="4"/>
          <w:numId w:val="1"/>
        </w:numPr>
        <w:rPr/>
      </w:pPr>
      <w:bookmarkStart w:id="1259" w:name="__RefHeading___Toc2566136_3650668749"/>
      <w:bookmarkStart w:id="1260" w:name="_Toc577"/>
      <w:bookmarkEnd w:id="1258"/>
      <w:bookmarkEnd w:id="1259"/>
      <w:r>
        <w:rPr>
          <w:rtl w:val="true"/>
        </w:rPr>
        <w:t>[ (</w:t>
      </w:r>
      <w:r>
        <w:rPr>
          <w:rtl w:val="true"/>
        </w:rPr>
        <w:t xml:space="preserve">مسألة </w:t>
      </w:r>
      <w:r>
        <w:rPr/>
        <w:t>4</w:t>
      </w:r>
      <w:r>
        <w:rPr>
          <w:rtl w:val="true"/>
        </w:rPr>
        <w:t xml:space="preserve">): </w:t>
      </w:r>
      <w:r>
        <w:rPr>
          <w:rtl w:val="true"/>
        </w:rPr>
        <w:t>العلم الإجمالی کالتفصیلی</w:t>
      </w:r>
      <w:r>
        <w:rPr>
          <w:rtl w:val="true"/>
        </w:rPr>
        <w:t>]</w:t>
      </w:r>
      <w:bookmarkEnd w:id="1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الإجمالی کالتفصیلی؛ فإذا علم بنجاسة أحد الشیئین یجب الاجتناب عنهما إلّا إذا لم یکن أحدهما محلّا لابتلائه، فلا یجب </w:t>
      </w:r>
      <w:r>
        <w:rPr>
          <w:rStyle w:val="FootnoteAnchor"/>
          <w:rtl w:val="true"/>
        </w:rPr>
        <w:footnoteReference w:id="347"/>
      </w:r>
      <w:r>
        <w:rPr>
          <w:rFonts w:ascii="IRNazanin" w:hAnsi="IRNazanin" w:eastAsia="IRNazanin"/>
          <w:color w:val="111111"/>
          <w:sz w:val="28"/>
          <w:sz w:val="28"/>
          <w:szCs w:val="28"/>
          <w:rtl w:val="true"/>
          <w:lang w:bidi="fa-IR"/>
        </w:rPr>
        <w:t>الاجتناب عمّا هو محلّ ابتلائه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حکم العلم الإجمالی الشهادة </w:t>
      </w:r>
      <w:r>
        <w:rPr>
          <w:rStyle w:val="FootnoteAnchor"/>
          <w:rtl w:val="true"/>
        </w:rPr>
        <w:footnoteReference w:id="348"/>
      </w:r>
      <w:r>
        <w:rPr>
          <w:rFonts w:ascii="IRNazanin" w:hAnsi="IRNazanin" w:eastAsia="IRNazanin"/>
          <w:color w:val="111111"/>
          <w:sz w:val="28"/>
          <w:sz w:val="28"/>
          <w:szCs w:val="28"/>
          <w:rtl w:val="true"/>
          <w:lang w:bidi="fa-IR"/>
        </w:rPr>
        <w:t>بالإجمال، کما إذا قامت البیّنة علیٰ وقوع قطرة من البول فی أحد الإناءین و لا یدری أنّها وقعت فی أیّ منهما فحینئذٍ یجب الاجتناب عنهما</w:t>
      </w:r>
      <w:r>
        <w:rPr>
          <w:rFonts w:eastAsia="IRNazanin" w:cs="IRNazanin"/>
          <w:color w:val="111111"/>
          <w:sz w:val="28"/>
          <w:szCs w:val="28"/>
          <w:rtl w:val="true"/>
          <w:lang w:bidi="fa-IR"/>
        </w:rPr>
        <w:t>.</w:t>
      </w:r>
    </w:p>
    <w:p>
      <w:pPr>
        <w:pStyle w:val="Heading5"/>
        <w:numPr>
          <w:ilvl w:val="4"/>
          <w:numId w:val="1"/>
        </w:numPr>
        <w:rPr/>
      </w:pPr>
      <w:bookmarkStart w:id="1261" w:name="__RefHeading___Toc2566138_3650668749"/>
      <w:bookmarkStart w:id="1262" w:name="_Toc578"/>
      <w:bookmarkEnd w:id="1261"/>
      <w:r>
        <w:rPr>
          <w:rtl w:val="true"/>
        </w:rPr>
        <w:t>[ (</w:t>
      </w:r>
      <w:r>
        <w:rPr>
          <w:rtl w:val="true"/>
        </w:rPr>
        <w:t xml:space="preserve">مسألة </w:t>
      </w:r>
      <w:r>
        <w:rPr/>
        <w:t>5</w:t>
      </w:r>
      <w:r>
        <w:rPr>
          <w:rtl w:val="true"/>
        </w:rPr>
        <w:t xml:space="preserve">): </w:t>
      </w:r>
      <w:r>
        <w:rPr>
          <w:rtl w:val="true"/>
        </w:rPr>
        <w:t>إذا شهد الشاهدان بالنجاسة السابقة مع الشکّ فی زوالها</w:t>
      </w:r>
      <w:r>
        <w:rPr>
          <w:rtl w:val="true"/>
        </w:rPr>
        <w:t>]</w:t>
      </w:r>
      <w:bookmarkEnd w:id="1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الشاهدان بالنجاسة السابقة مع الشکّ فی زوالها کفیٰ فی وجوب الاجتناب عملًا بالاستصحاب</w:t>
      </w:r>
      <w:r>
        <w:rPr>
          <w:rFonts w:eastAsia="IRNazanin" w:cs="IRNazanin"/>
          <w:color w:val="111111"/>
          <w:sz w:val="28"/>
          <w:szCs w:val="28"/>
          <w:rtl w:val="true"/>
          <w:lang w:bidi="fa-IR"/>
        </w:rPr>
        <w:t>.</w:t>
      </w:r>
    </w:p>
    <w:p>
      <w:pPr>
        <w:pStyle w:val="Heading5"/>
        <w:numPr>
          <w:ilvl w:val="4"/>
          <w:numId w:val="1"/>
        </w:numPr>
        <w:rPr/>
      </w:pPr>
      <w:bookmarkStart w:id="1263" w:name="__RefHeading___Toc2566140_3650668749"/>
      <w:bookmarkStart w:id="1264" w:name="_Toc579"/>
      <w:bookmarkEnd w:id="1263"/>
      <w:r>
        <w:rPr>
          <w:rtl w:val="true"/>
        </w:rPr>
        <w:t>[ (</w:t>
      </w:r>
      <w:r>
        <w:rPr>
          <w:rtl w:val="true"/>
        </w:rPr>
        <w:t xml:space="preserve">مسألة </w:t>
      </w:r>
      <w:r>
        <w:rPr/>
        <w:t>6</w:t>
      </w:r>
      <w:r>
        <w:rPr>
          <w:rtl w:val="true"/>
        </w:rPr>
        <w:t xml:space="preserve">): </w:t>
      </w:r>
      <w:r>
        <w:rPr>
          <w:rtl w:val="true"/>
        </w:rPr>
        <w:t>المراد بذی الید کلّ من کان مستولیاً علیه</w:t>
      </w:r>
      <w:r>
        <w:rPr>
          <w:rtl w:val="true"/>
        </w:rPr>
        <w:t>]</w:t>
      </w:r>
      <w:bookmarkEnd w:id="1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بذی الید کلّ من کان مستولیاً </w:t>
      </w:r>
      <w:r>
        <w:rPr>
          <w:rStyle w:val="FootnoteAnchor"/>
          <w:rtl w:val="true"/>
        </w:rPr>
        <w:footnoteReference w:id="349"/>
      </w:r>
      <w:r>
        <w:rPr>
          <w:rFonts w:ascii="IRNazanin" w:hAnsi="IRNazanin" w:eastAsia="IRNazanin"/>
          <w:color w:val="111111"/>
          <w:sz w:val="28"/>
          <w:sz w:val="28"/>
          <w:szCs w:val="28"/>
          <w:rtl w:val="true"/>
          <w:lang w:bidi="fa-IR"/>
        </w:rPr>
        <w:t>علیه؛ سواء کان بملک أو إجارة أو إعارة أو أمانة بل أو غصب، فإذا أخبرت الزوجة أو الخادمة أو المملوکة بنجاسة ما فی یدها من ثیاب الزوج أو المولی أو ظروف البیت کفیٰ فی الحکم بالنجاسة، بل و کذا إذا أخبرت المربّیة للطفل بنجاسته أو نجاسة ثیابه</w:t>
      </w:r>
      <w:r>
        <w:rPr>
          <w:rFonts w:eastAsia="IRNazanin" w:cs="IRNazanin"/>
          <w:color w:val="111111"/>
          <w:sz w:val="28"/>
          <w:szCs w:val="28"/>
          <w:rtl w:val="true"/>
          <w:lang w:bidi="fa-IR"/>
        </w:rPr>
        <w:t>.</w:t>
      </w:r>
    </w:p>
    <w:p>
      <w:pPr>
        <w:pStyle w:val="Heading5"/>
        <w:numPr>
          <w:ilvl w:val="4"/>
          <w:numId w:val="1"/>
        </w:numPr>
        <w:rPr/>
      </w:pPr>
      <w:bookmarkStart w:id="1265" w:name="__RefHeading___Toc2566142_3650668749"/>
      <w:bookmarkStart w:id="1266" w:name="_Toc580"/>
      <w:bookmarkEnd w:id="1265"/>
      <w:r>
        <w:rPr>
          <w:rtl w:val="true"/>
        </w:rPr>
        <w:t>[ (</w:t>
      </w:r>
      <w:r>
        <w:rPr>
          <w:rtl w:val="true"/>
        </w:rPr>
        <w:t xml:space="preserve">مسألة </w:t>
      </w:r>
      <w:r>
        <w:rPr/>
        <w:t>7</w:t>
      </w:r>
      <w:r>
        <w:rPr>
          <w:rtl w:val="true"/>
        </w:rPr>
        <w:t xml:space="preserve">): </w:t>
      </w:r>
      <w:r>
        <w:rPr>
          <w:rtl w:val="true"/>
        </w:rPr>
        <w:t>إذا کان الشی‌ء بید شخصین کالشریکین یسمع قول کلّ منهما فی نجاسته</w:t>
      </w:r>
      <w:r>
        <w:rPr>
          <w:rtl w:val="true"/>
        </w:rPr>
        <w:t>]</w:t>
      </w:r>
      <w:bookmarkEnd w:id="1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الشی‌ء بید شخصین کالشریکین یسمع قول کلّ منهما فی نجاسته و لو أخبر أحدهما بنجاسته و الآخر بطهارته تساقطا </w:t>
      </w:r>
      <w:r>
        <w:rPr>
          <w:rStyle w:val="FootnoteAnchor"/>
          <w:rtl w:val="true"/>
        </w:rPr>
        <w:footnoteReference w:id="350"/>
      </w:r>
      <w:r>
        <w:rPr>
          <w:rFonts w:ascii="IRNazanin" w:hAnsi="IRNazanin" w:eastAsia="IRNazanin"/>
          <w:color w:val="111111"/>
          <w:sz w:val="28"/>
          <w:sz w:val="28"/>
          <w:szCs w:val="28"/>
          <w:rtl w:val="true"/>
          <w:lang w:bidi="fa-IR"/>
        </w:rPr>
        <w:t>، کما أنّ البیّنة تسقط عند التعارض، و لو عارضت مع قول صاحب الید تقدّم علیه</w:t>
      </w:r>
      <w:r>
        <w:rPr>
          <w:rFonts w:eastAsia="IRNazanin" w:cs="IRNazanin"/>
          <w:color w:val="111111"/>
          <w:sz w:val="28"/>
          <w:szCs w:val="28"/>
          <w:rtl w:val="true"/>
          <w:lang w:bidi="fa-IR"/>
        </w:rPr>
        <w:t>.</w:t>
      </w:r>
    </w:p>
    <w:p>
      <w:pPr>
        <w:pStyle w:val="Heading5"/>
        <w:numPr>
          <w:ilvl w:val="4"/>
          <w:numId w:val="1"/>
        </w:numPr>
        <w:rPr/>
      </w:pPr>
      <w:bookmarkStart w:id="1267" w:name="__RefHeading___Toc2566144_3650668749"/>
      <w:bookmarkStart w:id="1268" w:name="_Toc581"/>
      <w:bookmarkEnd w:id="1267"/>
      <w:r>
        <w:rPr>
          <w:rtl w:val="true"/>
        </w:rPr>
        <w:t>[ (</w:t>
      </w:r>
      <w:r>
        <w:rPr>
          <w:rtl w:val="true"/>
        </w:rPr>
        <w:t xml:space="preserve">مسألة </w:t>
      </w:r>
      <w:r>
        <w:rPr/>
        <w:t>8</w:t>
      </w:r>
      <w:r>
        <w:rPr>
          <w:rtl w:val="true"/>
        </w:rPr>
        <w:t xml:space="preserve">): </w:t>
      </w:r>
      <w:r>
        <w:rPr>
          <w:rtl w:val="true"/>
        </w:rPr>
        <w:t>لا فرق فی ذی الید بین کونه عادلًا أو فاسقاً</w:t>
      </w:r>
      <w:r>
        <w:rPr>
          <w:rtl w:val="true"/>
        </w:rPr>
        <w:t>]</w:t>
      </w:r>
      <w:bookmarkEnd w:id="126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ذی الید بین کونه عادلًا أو فاسقاً، و فی اعتبار قول الکافر إشکال </w:t>
      </w:r>
      <w:r>
        <w:rPr>
          <w:rStyle w:val="FootnoteAnchor"/>
          <w:rtl w:val="true"/>
        </w:rPr>
        <w:footnoteReference w:id="351"/>
      </w:r>
      <w:r>
        <w:rPr>
          <w:rFonts w:ascii="IRNazanin" w:hAnsi="IRNazanin" w:eastAsia="IRNazanin"/>
          <w:color w:val="111111"/>
          <w:sz w:val="28"/>
          <w:sz w:val="28"/>
          <w:szCs w:val="28"/>
          <w:rtl w:val="true"/>
          <w:lang w:bidi="fa-IR"/>
        </w:rPr>
        <w:t xml:space="preserve">، و کذا الصبیّ و إن لم یکن بعیداً إذا کان مراهقاً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bookmarkStart w:id="1269" w:name="pg1809_18896"/>
    </w:p>
    <w:p>
      <w:pPr>
        <w:pStyle w:val="Heading5"/>
        <w:numPr>
          <w:ilvl w:val="4"/>
          <w:numId w:val="1"/>
        </w:numPr>
        <w:rPr/>
      </w:pPr>
      <w:bookmarkStart w:id="1270" w:name="__RefHeading___Toc2566146_3650668749"/>
      <w:bookmarkStart w:id="1271" w:name="_Toc582"/>
      <w:bookmarkEnd w:id="1269"/>
      <w:bookmarkEnd w:id="1270"/>
      <w:r>
        <w:rPr>
          <w:rtl w:val="true"/>
        </w:rPr>
        <w:t>[ (</w:t>
      </w:r>
      <w:r>
        <w:rPr>
          <w:rtl w:val="true"/>
        </w:rPr>
        <w:t xml:space="preserve">مسألة </w:t>
      </w:r>
      <w:r>
        <w:rPr/>
        <w:t>9</w:t>
      </w:r>
      <w:r>
        <w:rPr>
          <w:rtl w:val="true"/>
        </w:rPr>
        <w:t xml:space="preserve">): </w:t>
      </w:r>
      <w:r>
        <w:rPr>
          <w:rtl w:val="true"/>
        </w:rPr>
        <w:t>المتنجّس منجّس علی الأقویٰ</w:t>
      </w:r>
      <w:r>
        <w:rPr>
          <w:rtl w:val="true"/>
        </w:rPr>
        <w:t>]</w:t>
      </w:r>
      <w:bookmarkEnd w:id="1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المتنجّس منجّس علی الأقویٰ </w:t>
      </w:r>
      <w:r>
        <w:rPr>
          <w:rStyle w:val="FootnoteAnchor"/>
          <w:rtl w:val="true"/>
        </w:rPr>
        <w:footnoteReference w:id="353"/>
      </w:r>
      <w:r>
        <w:rPr>
          <w:rFonts w:ascii="IRNazanin" w:hAnsi="IRNazanin" w:eastAsia="IRNazanin"/>
          <w:color w:val="111111"/>
          <w:sz w:val="28"/>
          <w:sz w:val="28"/>
          <w:szCs w:val="28"/>
          <w:rtl w:val="true"/>
          <w:lang w:bidi="fa-IR"/>
        </w:rPr>
        <w:t xml:space="preserve">و إن لم یجر </w:t>
      </w:r>
      <w:r>
        <w:rPr>
          <w:rStyle w:val="FootnoteAnchor"/>
          <w:rtl w:val="true"/>
        </w:rPr>
        <w:footnoteReference w:id="354"/>
      </w:r>
      <w:r>
        <w:rPr>
          <w:rFonts w:ascii="IRNazanin" w:hAnsi="IRNazanin" w:eastAsia="IRNazanin"/>
          <w:color w:val="111111"/>
          <w:sz w:val="28"/>
          <w:sz w:val="28"/>
          <w:szCs w:val="28"/>
          <w:rtl w:val="true"/>
          <w:lang w:bidi="fa-IR"/>
        </w:rPr>
        <w:t>علیه أحکام ذلک النجس الذی تنجّس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فالمتنجّس بالبول إذا لاقیٰ شیئاً ینجّسه، لکن لا یکون ذلک الشی‌ء کملاقی البول، و کذلک الإناء الذی ولغ فیه الکلب إذا لاقیٰ إناء آخر ینجّسه، لکن لا یکون الإناء الثانی بحکم الإناء الأوّل فی وجوب تعفیره و هکذا</w:t>
      </w:r>
      <w:r>
        <w:rPr>
          <w:rFonts w:eastAsia="IRNazanin" w:cs="IRNazanin"/>
          <w:color w:val="111111"/>
          <w:sz w:val="28"/>
          <w:szCs w:val="28"/>
          <w:rtl w:val="true"/>
          <w:lang w:bidi="fa-IR"/>
        </w:rPr>
        <w:t>.</w:t>
      </w:r>
    </w:p>
    <w:p>
      <w:pPr>
        <w:pStyle w:val="Heading5"/>
        <w:numPr>
          <w:ilvl w:val="4"/>
          <w:numId w:val="1"/>
        </w:numPr>
        <w:rPr/>
      </w:pPr>
      <w:bookmarkStart w:id="1272" w:name="__RefHeading___Toc2566148_3650668749"/>
      <w:bookmarkStart w:id="1273" w:name="_Toc583"/>
      <w:bookmarkEnd w:id="1272"/>
      <w:r>
        <w:rPr>
          <w:rtl w:val="true"/>
        </w:rPr>
        <w:t>[ (</w:t>
      </w:r>
      <w:r>
        <w:rPr>
          <w:rtl w:val="true"/>
        </w:rPr>
        <w:t xml:space="preserve">مسألة </w:t>
      </w:r>
      <w:r>
        <w:rPr/>
        <w:t>10</w:t>
      </w:r>
      <w:r>
        <w:rPr>
          <w:rtl w:val="true"/>
        </w:rPr>
        <w:t xml:space="preserve">): </w:t>
      </w:r>
      <w:r>
        <w:rPr>
          <w:rtl w:val="true"/>
        </w:rPr>
        <w:t>ملاقاة ما فی الباطن بالنجاسة التی فی الباطن لا ینجّسه</w:t>
      </w:r>
      <w:r>
        <w:rPr>
          <w:rtl w:val="true"/>
        </w:rPr>
        <w:t>]</w:t>
      </w:r>
      <w:bookmarkEnd w:id="1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ملاقاة ما فی الباطن بالنجاسة التی فی الباطن لا ینجّسه، فالنخامة إذا لاقت الدم فی الباطن و خرجت غیر متلطّخة به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أدخل شی‌ء من الخارج و لاقی النجاسة فی الباطن فالأحوط </w:t>
      </w:r>
      <w:r>
        <w:rPr>
          <w:rStyle w:val="FootnoteAnchor"/>
          <w:rtl w:val="true"/>
        </w:rPr>
        <w:footnoteReference w:id="355"/>
      </w:r>
      <w:r>
        <w:rPr>
          <w:rFonts w:ascii="IRNazanin" w:hAnsi="IRNazanin" w:eastAsia="IRNazanin"/>
          <w:color w:val="111111"/>
          <w:sz w:val="28"/>
          <w:sz w:val="28"/>
          <w:szCs w:val="28"/>
          <w:rtl w:val="true"/>
          <w:lang w:bidi="fa-IR"/>
        </w:rPr>
        <w:t>الاجتناب عنه</w:t>
      </w:r>
      <w:r>
        <w:rPr>
          <w:rFonts w:eastAsia="IRNazanin" w:cs="IRNazanin"/>
          <w:color w:val="111111"/>
          <w:sz w:val="28"/>
          <w:szCs w:val="28"/>
          <w:rtl w:val="true"/>
          <w:lang w:bidi="fa-IR"/>
        </w:rPr>
        <w:t>.</w:t>
      </w:r>
    </w:p>
    <w:p>
      <w:pPr>
        <w:pStyle w:val="Heading4"/>
        <w:numPr>
          <w:ilvl w:val="3"/>
          <w:numId w:val="1"/>
        </w:numPr>
        <w:rPr/>
      </w:pPr>
      <w:bookmarkStart w:id="1274" w:name="__RefHeading___Toc2566150_3650668749"/>
      <w:bookmarkStart w:id="1275" w:name="_Toc584"/>
      <w:bookmarkEnd w:id="1274"/>
      <w:r>
        <w:rPr>
          <w:rtl w:val="true"/>
        </w:rPr>
        <w:t>[</w:t>
      </w:r>
      <w:r>
        <w:rPr>
          <w:rtl w:val="true"/>
        </w:rPr>
        <w:t>القول فیما یعفیٰ عنه منها فی الصلاة</w:t>
      </w:r>
      <w:r>
        <w:rPr>
          <w:rtl w:val="true"/>
        </w:rPr>
        <w:t>]</w:t>
      </w:r>
      <w:bookmarkEnd w:id="1275"/>
    </w:p>
    <w:p>
      <w:pPr>
        <w:pStyle w:val="Heading5"/>
        <w:numPr>
          <w:ilvl w:val="4"/>
          <w:numId w:val="1"/>
        </w:numPr>
        <w:rPr/>
      </w:pPr>
      <w:bookmarkStart w:id="1276" w:name="__RefHeading___Toc2566152_3650668749"/>
      <w:bookmarkStart w:id="1277" w:name="_Toc585"/>
      <w:bookmarkEnd w:id="1276"/>
      <w:r>
        <w:rPr>
          <w:rtl w:val="true"/>
        </w:rPr>
        <w:t>اشارة</w:t>
      </w:r>
      <w:bookmarkEnd w:id="1277"/>
    </w:p>
    <w:p>
      <w:pPr>
        <w:pStyle w:val="BookText"/>
        <w:rPr/>
      </w:pPr>
      <w:r>
        <w:rPr>
          <w:rFonts w:ascii="IRNazanin" w:hAnsi="IRNazanin" w:eastAsia="IRNazanin"/>
          <w:color w:val="111111"/>
          <w:sz w:val="28"/>
          <w:sz w:val="28"/>
          <w:szCs w:val="28"/>
          <w:rtl w:val="true"/>
          <w:lang w:bidi="fa-IR"/>
        </w:rPr>
        <w:t xml:space="preserve">القول فیما یعفیٰ عنه منها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یعفیٰ عنه منها فی الصلاة أُمور</w:t>
      </w:r>
      <w:r>
        <w:rPr>
          <w:rFonts w:eastAsia="IRNazanin" w:cs="IRNazanin"/>
          <w:color w:val="111111"/>
          <w:sz w:val="28"/>
          <w:szCs w:val="28"/>
          <w:rtl w:val="true"/>
          <w:lang w:bidi="fa-IR"/>
        </w:rPr>
        <w:t>:</w:t>
      </w:r>
    </w:p>
    <w:p>
      <w:pPr>
        <w:pStyle w:val="Heading5"/>
        <w:numPr>
          <w:ilvl w:val="4"/>
          <w:numId w:val="1"/>
        </w:numPr>
        <w:rPr/>
      </w:pPr>
      <w:bookmarkStart w:id="1278" w:name="__RefHeading___Toc2566154_3650668749"/>
      <w:bookmarkStart w:id="1279" w:name="_Toc586"/>
      <w:bookmarkEnd w:id="1278"/>
      <w:r>
        <w:rPr>
          <w:rtl w:val="true"/>
        </w:rPr>
        <w:t>[</w:t>
      </w:r>
      <w:r>
        <w:rPr>
          <w:rtl w:val="true"/>
        </w:rPr>
        <w:t>الأوّل</w:t>
      </w:r>
      <w:r>
        <w:rPr>
          <w:rtl w:val="true"/>
        </w:rPr>
        <w:t xml:space="preserve">: </w:t>
      </w:r>
      <w:r>
        <w:rPr>
          <w:rtl w:val="true"/>
        </w:rPr>
        <w:t>دم الجروح و القروح فی البدن و اللباس</w:t>
      </w:r>
      <w:r>
        <w:rPr>
          <w:rtl w:val="true"/>
        </w:rPr>
        <w:t>]</w:t>
      </w:r>
      <w:bookmarkEnd w:id="127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الجروح و القروح فی البدن و اللباس حتّی یبرأ، إلّا أنّ الأحوط </w:t>
      </w:r>
      <w:r>
        <w:rPr>
          <w:rStyle w:val="FootnoteAnchor"/>
          <w:rtl w:val="true"/>
        </w:rPr>
        <w:footnoteReference w:id="356"/>
      </w:r>
      <w:r>
        <w:rPr>
          <w:rFonts w:ascii="IRNazanin" w:hAnsi="IRNazanin" w:eastAsia="IRNazanin"/>
          <w:color w:val="111111"/>
          <w:sz w:val="28"/>
          <w:sz w:val="28"/>
          <w:szCs w:val="28"/>
          <w:rtl w:val="true"/>
          <w:lang w:bidi="fa-IR"/>
        </w:rPr>
        <w:t>اعتبار المشقّة النوعیّة فی الإزالة و التبدیل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کون دم البواسیر منها فیما إذا لم یکن قرحة فی الظاهر تأمّل و إشکال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کلّ قرح أو جرح باطنی خرج دمه إلی الظاهر</w:t>
      </w:r>
      <w:r>
        <w:rPr>
          <w:rFonts w:eastAsia="IRNazanin" w:cs="IRNazanin"/>
          <w:color w:val="111111"/>
          <w:sz w:val="28"/>
          <w:szCs w:val="28"/>
          <w:rtl w:val="true"/>
          <w:lang w:bidi="fa-IR"/>
        </w:rPr>
        <w:t>.</w:t>
      </w:r>
      <w:bookmarkStart w:id="1280" w:name="pg1809_18899"/>
    </w:p>
    <w:p>
      <w:pPr>
        <w:pStyle w:val="Heading5"/>
        <w:numPr>
          <w:ilvl w:val="4"/>
          <w:numId w:val="1"/>
        </w:numPr>
        <w:rPr/>
      </w:pPr>
      <w:bookmarkStart w:id="1281" w:name="__RefHeading___Toc2566156_3650668749"/>
      <w:bookmarkStart w:id="1282" w:name="_Toc587"/>
      <w:bookmarkEnd w:id="1280"/>
      <w:bookmarkEnd w:id="1281"/>
      <w:r>
        <w:rPr>
          <w:rtl w:val="true"/>
        </w:rPr>
        <w:t>[</w:t>
      </w:r>
      <w:r>
        <w:rPr>
          <w:rtl w:val="true"/>
        </w:rPr>
        <w:t>الثانی</w:t>
      </w:r>
      <w:r>
        <w:rPr>
          <w:rtl w:val="true"/>
        </w:rPr>
        <w:t xml:space="preserve">: </w:t>
      </w:r>
      <w:r>
        <w:rPr>
          <w:rtl w:val="true"/>
        </w:rPr>
        <w:t>الدم فی البدن و اللباس إذا کان سعته أقلّ من الدرهم البغلی</w:t>
      </w:r>
      <w:r>
        <w:rPr>
          <w:rtl w:val="true"/>
        </w:rPr>
        <w:t>]</w:t>
      </w:r>
      <w:bookmarkEnd w:id="1282"/>
    </w:p>
    <w:p>
      <w:pPr>
        <w:pStyle w:val="Heading6"/>
        <w:numPr>
          <w:ilvl w:val="5"/>
          <w:numId w:val="1"/>
        </w:numPr>
        <w:rPr/>
      </w:pPr>
      <w:bookmarkStart w:id="1283" w:name="__RefHeading___Toc2566158_3650668749"/>
      <w:bookmarkStart w:id="1284" w:name="_Toc588"/>
      <w:bookmarkEnd w:id="1283"/>
      <w:r>
        <w:rPr>
          <w:rtl w:val="true"/>
        </w:rPr>
        <w:t>اشارة</w:t>
      </w:r>
      <w:bookmarkEnd w:id="128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فی البدن و اللباس إذا کان سعته أقلّ من الدرهم البغلی </w:t>
      </w:r>
      <w:r>
        <w:rPr>
          <w:rStyle w:val="FootnoteAnchor"/>
          <w:rtl w:val="true"/>
        </w:rPr>
        <w:footnoteReference w:id="358"/>
      </w:r>
      <w:r>
        <w:rPr>
          <w:rFonts w:ascii="IRNazanin" w:hAnsi="IRNazanin" w:eastAsia="IRNazanin"/>
          <w:color w:val="111111"/>
          <w:sz w:val="28"/>
          <w:sz w:val="28"/>
          <w:szCs w:val="28"/>
          <w:rtl w:val="true"/>
          <w:lang w:bidi="fa-IR"/>
        </w:rPr>
        <w:t xml:space="preserve">و لم یکن من الدماء الثلاثة الحیض و النفاس و الاستحاضة </w:t>
      </w:r>
      <w:r>
        <w:rPr>
          <w:rStyle w:val="FootnoteAnchor"/>
          <w:rtl w:val="true"/>
        </w:rPr>
        <w:footnoteReference w:id="359"/>
      </w:r>
      <w:r>
        <w:rPr>
          <w:rFonts w:ascii="IRNazanin" w:hAnsi="IRNazanin" w:eastAsia="IRNazanin"/>
          <w:color w:val="111111"/>
          <w:sz w:val="28"/>
          <w:sz w:val="28"/>
          <w:szCs w:val="28"/>
          <w:rtl w:val="true"/>
          <w:lang w:bidi="fa-IR"/>
        </w:rPr>
        <w:t>و لا من نجس العین و المیتة، بل الأولی الاجتناب عمّا کان من غیر مأکول اللحم</w:t>
      </w:r>
      <w:r>
        <w:rPr>
          <w:rFonts w:eastAsia="IRNazanin" w:cs="IRNazanin"/>
          <w:color w:val="111111"/>
          <w:sz w:val="28"/>
          <w:szCs w:val="28"/>
          <w:rtl w:val="true"/>
          <w:lang w:bidi="fa-IR"/>
        </w:rPr>
        <w:t>.</w:t>
      </w:r>
    </w:p>
    <w:p>
      <w:pPr>
        <w:pStyle w:val="Heading6"/>
        <w:numPr>
          <w:ilvl w:val="5"/>
          <w:numId w:val="1"/>
        </w:numPr>
        <w:rPr/>
      </w:pPr>
      <w:bookmarkStart w:id="1285" w:name="__RefHeading___Toc2566160_3650668749"/>
      <w:bookmarkStart w:id="1286" w:name="_Toc589"/>
      <w:bookmarkEnd w:id="1285"/>
      <w:r>
        <w:rPr>
          <w:rtl w:val="true"/>
        </w:rPr>
        <w:t>[ (</w:t>
      </w:r>
      <w:r>
        <w:rPr>
          <w:rtl w:val="true"/>
        </w:rPr>
        <w:t xml:space="preserve">مسألة </w:t>
      </w:r>
      <w:r>
        <w:rPr/>
        <w:t>2</w:t>
      </w:r>
      <w:r>
        <w:rPr>
          <w:rtl w:val="true"/>
        </w:rPr>
        <w:t xml:space="preserve">): </w:t>
      </w:r>
      <w:r>
        <w:rPr>
          <w:rtl w:val="true"/>
        </w:rPr>
        <w:t>لو کان الدم متفرّقاً فی الثیاب و البدن لوحظ التقدیر علیٰ فرض اجتماعه</w:t>
      </w:r>
      <w:r>
        <w:rPr>
          <w:rtl w:val="true"/>
        </w:rPr>
        <w:t>]</w:t>
      </w:r>
      <w:bookmarkEnd w:id="1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الدم متفرّقاً فی الثیاب و البدن لوحظ التقدیر علیٰ فرض اجتماعه فیدور العفو مداره </w:t>
      </w:r>
      <w:r>
        <w:rPr>
          <w:rStyle w:val="FootnoteAnchor"/>
          <w:rtl w:val="true"/>
        </w:rPr>
        <w:footnoteReference w:id="360"/>
      </w:r>
      <w:r>
        <w:rPr>
          <w:rFonts w:ascii="IRNazanin" w:hAnsi="IRNazanin" w:eastAsia="IRNazanin"/>
          <w:color w:val="111111"/>
          <w:sz w:val="28"/>
          <w:sz w:val="28"/>
          <w:szCs w:val="28"/>
          <w:rtl w:val="true"/>
          <w:lang w:bidi="fa-IR"/>
        </w:rPr>
        <w:t xml:space="preserve">، و لو تفشّی الدم من أحد جانبی الثوب إلی الآخر فهو دم واحد علیٰ إشکال </w:t>
      </w:r>
      <w:r>
        <w:rPr>
          <w:rStyle w:val="FootnoteAnchor"/>
          <w:rtl w:val="true"/>
        </w:rPr>
        <w:footnoteReference w:id="361"/>
      </w:r>
      <w:r>
        <w:rPr>
          <w:rFonts w:ascii="IRNazanin" w:hAnsi="IRNazanin" w:eastAsia="IRNazanin"/>
          <w:color w:val="111111"/>
          <w:sz w:val="28"/>
          <w:sz w:val="28"/>
          <w:szCs w:val="28"/>
          <w:rtl w:val="true"/>
          <w:lang w:bidi="fa-IR"/>
        </w:rPr>
        <w:t>خصوصاً إذا کان غلیظاً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مثل الظهارة و البطانة و الملفوف من طیّات عدیدة و نحو ذلک فلا إشکال فی کونه متعدّداً</w:t>
      </w:r>
      <w:r>
        <w:rPr>
          <w:rFonts w:eastAsia="IRNazanin" w:cs="IRNazanin"/>
          <w:color w:val="111111"/>
          <w:sz w:val="28"/>
          <w:szCs w:val="28"/>
          <w:rtl w:val="true"/>
          <w:lang w:bidi="fa-IR"/>
        </w:rPr>
        <w:t>.</w:t>
      </w:r>
    </w:p>
    <w:p>
      <w:pPr>
        <w:pStyle w:val="Heading6"/>
        <w:numPr>
          <w:ilvl w:val="5"/>
          <w:numId w:val="1"/>
        </w:numPr>
        <w:rPr/>
      </w:pPr>
      <w:bookmarkStart w:id="1287" w:name="__RefHeading___Toc2566162_3650668749"/>
      <w:bookmarkStart w:id="1288" w:name="_Toc590"/>
      <w:bookmarkEnd w:id="1287"/>
      <w:r>
        <w:rPr>
          <w:rtl w:val="true"/>
        </w:rPr>
        <w:t>[ (</w:t>
      </w:r>
      <w:r>
        <w:rPr>
          <w:rtl w:val="true"/>
        </w:rPr>
        <w:t xml:space="preserve">مسألة </w:t>
      </w:r>
      <w:r>
        <w:rPr/>
        <w:t>3</w:t>
      </w:r>
      <w:r>
        <w:rPr>
          <w:rtl w:val="true"/>
        </w:rPr>
        <w:t xml:space="preserve">): </w:t>
      </w:r>
      <w:r>
        <w:rPr>
          <w:rtl w:val="true"/>
        </w:rPr>
        <w:t>لو اشتبه الدم الذی یکون أقلّ من الدرهم أنّه من المستثنیات</w:t>
      </w:r>
      <w:r>
        <w:rPr>
          <w:rtl w:val="true"/>
        </w:rPr>
        <w:t>]</w:t>
      </w:r>
      <w:bookmarkEnd w:id="1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اشتبه الدم الذی یکون أقلّ من الدرهم أنّه من المستثنیات کالدماء الثلاثة أو من غیرها حکم بالعفو عنه حتّی یعلم أنّه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بان بعد ذلک أنّه منها فهو من الجاهل </w:t>
      </w:r>
      <w:r>
        <w:rPr>
          <w:rStyle w:val="FootnoteAnchor"/>
          <w:rtl w:val="true"/>
        </w:rPr>
        <w:footnoteReference w:id="362"/>
      </w:r>
      <w:r>
        <w:rPr>
          <w:rFonts w:ascii="IRNazanin" w:hAnsi="IRNazanin" w:eastAsia="IRNazanin"/>
          <w:color w:val="111111"/>
          <w:sz w:val="28"/>
          <w:sz w:val="28"/>
          <w:szCs w:val="28"/>
          <w:rtl w:val="true"/>
          <w:lang w:bidi="fa-IR"/>
        </w:rPr>
        <w:t>بالنجاسة، و قد عرفت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علم أنّه من غیرها و شکّ فی أنّه أقلّ من الدرهم أم لا، فالأحوط </w:t>
      </w:r>
      <w:r>
        <w:rPr>
          <w:rStyle w:val="FootnoteAnchor"/>
          <w:rtl w:val="true"/>
        </w:rPr>
        <w:footnoteReference w:id="363"/>
      </w:r>
      <w:r>
        <w:rPr>
          <w:rFonts w:ascii="IRNazanin" w:hAnsi="IRNazanin" w:eastAsia="IRNazanin"/>
          <w:color w:val="111111"/>
          <w:sz w:val="28"/>
          <w:sz w:val="28"/>
          <w:szCs w:val="28"/>
          <w:rtl w:val="true"/>
          <w:lang w:bidi="fa-IR"/>
        </w:rPr>
        <w:t>عدم العفو، إلّا إذا کان مسبوقاً بالأقلیّة و شکّ فی زیادته</w:t>
      </w:r>
      <w:r>
        <w:rPr>
          <w:rFonts w:eastAsia="IRNazanin" w:cs="IRNazanin"/>
          <w:color w:val="111111"/>
          <w:sz w:val="28"/>
          <w:szCs w:val="28"/>
          <w:rtl w:val="true"/>
          <w:lang w:bidi="fa-IR"/>
        </w:rPr>
        <w:t>.</w:t>
      </w:r>
    </w:p>
    <w:p>
      <w:pPr>
        <w:pStyle w:val="Heading6"/>
        <w:numPr>
          <w:ilvl w:val="5"/>
          <w:numId w:val="1"/>
        </w:numPr>
        <w:rPr/>
      </w:pPr>
      <w:bookmarkStart w:id="1289" w:name="__RefHeading___Toc2566164_3650668749"/>
      <w:bookmarkStart w:id="1290" w:name="_Toc591"/>
      <w:bookmarkEnd w:id="1289"/>
      <w:r>
        <w:rPr>
          <w:rtl w:val="true"/>
        </w:rPr>
        <w:t>[ (</w:t>
      </w:r>
      <w:r>
        <w:rPr>
          <w:rtl w:val="true"/>
        </w:rPr>
        <w:t xml:space="preserve">مسألة </w:t>
      </w:r>
      <w:r>
        <w:rPr/>
        <w:t>4</w:t>
      </w:r>
      <w:r>
        <w:rPr>
          <w:rtl w:val="true"/>
        </w:rPr>
        <w:t xml:space="preserve">): </w:t>
      </w:r>
      <w:r>
        <w:rPr>
          <w:rtl w:val="true"/>
        </w:rPr>
        <w:t>المتنجّس بالدم لیس کالدم فی العفو عنه إذا کان أقلّ من الدرهم</w:t>
      </w:r>
      <w:r>
        <w:rPr>
          <w:rtl w:val="true"/>
        </w:rPr>
        <w:t>]</w:t>
      </w:r>
      <w:bookmarkEnd w:id="1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المتنجّس بالدم لیس کالدم فی العفو عنه إذا کان أقلّ من الدرهم، و لکنّ الدم الأقلّ إذا أُزیل عینه یبقیٰ حکمه</w:t>
      </w:r>
      <w:r>
        <w:rPr>
          <w:rFonts w:eastAsia="IRNazanin" w:cs="IRNazanin"/>
          <w:color w:val="111111"/>
          <w:sz w:val="28"/>
          <w:szCs w:val="28"/>
          <w:rtl w:val="true"/>
          <w:lang w:bidi="fa-IR"/>
        </w:rPr>
        <w:t>.</w:t>
      </w:r>
    </w:p>
    <w:p>
      <w:pPr>
        <w:pStyle w:val="Heading5"/>
        <w:numPr>
          <w:ilvl w:val="4"/>
          <w:numId w:val="1"/>
        </w:numPr>
        <w:rPr/>
      </w:pPr>
      <w:bookmarkStart w:id="1291" w:name="__RefHeading___Toc2566166_3650668749"/>
      <w:bookmarkStart w:id="1292" w:name="_Toc592"/>
      <w:bookmarkEnd w:id="1291"/>
      <w:r>
        <w:rPr>
          <w:rtl w:val="true"/>
        </w:rPr>
        <w:t>[</w:t>
      </w:r>
      <w:r>
        <w:rPr>
          <w:rtl w:val="true"/>
        </w:rPr>
        <w:t>الثالث</w:t>
      </w:r>
      <w:r>
        <w:rPr>
          <w:rtl w:val="true"/>
        </w:rPr>
        <w:t xml:space="preserve">: </w:t>
      </w:r>
      <w:r>
        <w:rPr>
          <w:rtl w:val="true"/>
        </w:rPr>
        <w:t>کلّ ما لا تتمّ به الصلاة منفرداً کالتکّة و الجورب و نحوهما فإنّه معفوّ عنه</w:t>
      </w:r>
      <w:r>
        <w:rPr>
          <w:rtl w:val="true"/>
        </w:rPr>
        <w:t>]</w:t>
      </w:r>
      <w:bookmarkEnd w:id="129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لا تتمّ به الصلاة منفرداً کالتکّة و الجورب و نحوهما فإنّه معفوّ عنه إذا کان متنجّساً و لو بنجاسة من غیر مأکول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یعفی عمّا کان منه متّخذاً من النجس کجزء میتة أو شعر کلب أو خنزیر أو کافر</w:t>
      </w:r>
      <w:r>
        <w:rPr>
          <w:rFonts w:eastAsia="IRNazanin" w:cs="IRNazanin"/>
          <w:color w:val="111111"/>
          <w:sz w:val="28"/>
          <w:szCs w:val="28"/>
          <w:rtl w:val="true"/>
          <w:lang w:bidi="fa-IR"/>
        </w:rPr>
        <w:t>.</w:t>
      </w:r>
    </w:p>
    <w:p>
      <w:pPr>
        <w:pStyle w:val="Heading5"/>
        <w:numPr>
          <w:ilvl w:val="4"/>
          <w:numId w:val="1"/>
        </w:numPr>
        <w:rPr/>
      </w:pPr>
      <w:bookmarkStart w:id="1293" w:name="__RefHeading___Toc2566168_3650668749"/>
      <w:bookmarkStart w:id="1294" w:name="_Toc593"/>
      <w:bookmarkEnd w:id="1293"/>
      <w:r>
        <w:rPr>
          <w:rtl w:val="true"/>
        </w:rPr>
        <w:t>[</w:t>
      </w:r>
      <w:r>
        <w:rPr>
          <w:rtl w:val="true"/>
        </w:rPr>
        <w:t>الرابع</w:t>
      </w:r>
      <w:r>
        <w:rPr>
          <w:rtl w:val="true"/>
        </w:rPr>
        <w:t xml:space="preserve">: </w:t>
      </w:r>
      <w:r>
        <w:rPr>
          <w:rtl w:val="true"/>
        </w:rPr>
        <w:t>ما صار من البواطن و التوابع</w:t>
      </w:r>
      <w:r>
        <w:rPr>
          <w:rtl w:val="true"/>
        </w:rPr>
        <w:t>]</w:t>
      </w:r>
      <w:bookmarkEnd w:id="129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صار من البواطن و التوابع کالمیتة التی أکلها و الخمر الذی شربه و الدم النجس الذی أدخله تحت جلده و الخیط النجس الذی خاط به جلده فإنّ ذلک معفوّ عنه فی</w:t>
      </w:r>
      <w:bookmarkStart w:id="1295" w:name="pg1809_18900"/>
    </w:p>
    <w:p>
      <w:pPr>
        <w:pStyle w:val="BookText"/>
        <w:rPr/>
      </w:pPr>
      <w:bookmarkEnd w:id="1295"/>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حمل النجس فیها فالأحوط الاجتناب عنه، خصوصاً المیتة، بل و کذا المتنجّس </w:t>
      </w:r>
      <w:r>
        <w:rPr>
          <w:rStyle w:val="FootnoteAnchor"/>
          <w:rtl w:val="true"/>
        </w:rPr>
        <w:footnoteReference w:id="364"/>
      </w:r>
      <w:r>
        <w:rPr>
          <w:rFonts w:ascii="IRNazanin" w:hAnsi="IRNazanin" w:eastAsia="IRNazanin"/>
          <w:color w:val="111111"/>
          <w:sz w:val="28"/>
          <w:sz w:val="28"/>
          <w:szCs w:val="28"/>
          <w:rtl w:val="true"/>
          <w:lang w:bidi="fa-IR"/>
        </w:rPr>
        <w:t>الذی تتمّ فیه الصلاة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لا تتمّ فیه الصلاة مثل السکین و الدراهم فالأقویٰ جواز الصلاة معه</w:t>
      </w:r>
      <w:r>
        <w:rPr>
          <w:rFonts w:eastAsia="IRNazanin" w:cs="IRNazanin"/>
          <w:color w:val="111111"/>
          <w:sz w:val="28"/>
          <w:szCs w:val="28"/>
          <w:rtl w:val="true"/>
          <w:lang w:bidi="fa-IR"/>
        </w:rPr>
        <w:t>.</w:t>
      </w:r>
    </w:p>
    <w:p>
      <w:pPr>
        <w:pStyle w:val="Heading5"/>
        <w:numPr>
          <w:ilvl w:val="4"/>
          <w:numId w:val="1"/>
        </w:numPr>
        <w:rPr/>
      </w:pPr>
      <w:bookmarkStart w:id="1296" w:name="__RefHeading___Toc2566170_3650668749"/>
      <w:bookmarkStart w:id="1297" w:name="_Toc594"/>
      <w:bookmarkEnd w:id="1296"/>
      <w:r>
        <w:rPr>
          <w:rtl w:val="true"/>
        </w:rPr>
        <w:t>[</w:t>
      </w:r>
      <w:r>
        <w:rPr>
          <w:rtl w:val="true"/>
        </w:rPr>
        <w:t>الخامس</w:t>
      </w:r>
      <w:r>
        <w:rPr>
          <w:rtl w:val="true"/>
        </w:rPr>
        <w:t xml:space="preserve">: </w:t>
      </w:r>
      <w:r>
        <w:rPr>
          <w:rtl w:val="true"/>
        </w:rPr>
        <w:t>ثوب المربّیة للطفل</w:t>
      </w:r>
      <w:r>
        <w:rPr>
          <w:rtl w:val="true"/>
        </w:rPr>
        <w:t>]</w:t>
      </w:r>
      <w:bookmarkEnd w:id="1297"/>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المربّیة للطفل امّاً کانت أو غیرها فإنّه معفوّ عنه إن تنجّس ببوله و غسلته فی الیوم و اللیلة مرّة </w:t>
      </w:r>
      <w:r>
        <w:rPr>
          <w:rStyle w:val="FootnoteAnchor"/>
          <w:rtl w:val="true"/>
        </w:rPr>
        <w:footnoteReference w:id="365"/>
      </w:r>
      <w:r>
        <w:rPr>
          <w:rFonts w:ascii="IRNazanin" w:hAnsi="IRNazanin" w:eastAsia="IRNazanin"/>
          <w:color w:val="111111"/>
          <w:sz w:val="28"/>
          <w:sz w:val="28"/>
          <w:szCs w:val="28"/>
          <w:rtl w:val="true"/>
          <w:lang w:bidi="fa-IR"/>
        </w:rPr>
        <w:t>و لم یکن عندها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یتعدّیٰ من البول إلیٰ غیره، و لا من الثوب إلی البدن علی الأحوط </w:t>
      </w:r>
      <w:r>
        <w:rPr>
          <w:rStyle w:val="FootnoteAnchor"/>
          <w:rtl w:val="true"/>
        </w:rPr>
        <w:footnoteReference w:id="366"/>
      </w:r>
      <w:r>
        <w:rPr>
          <w:rFonts w:ascii="IRNazanin" w:hAnsi="IRNazanin" w:eastAsia="IRNazanin"/>
          <w:color w:val="111111"/>
          <w:sz w:val="28"/>
          <w:sz w:val="28"/>
          <w:szCs w:val="28"/>
          <w:rtl w:val="true"/>
          <w:lang w:bidi="fa-IR"/>
        </w:rPr>
        <w:t>، و لا من المربّیة إلی المربّی، و لا من ذات الثوب إلیٰ ذات الثیاب المتعدّدة مع عدم الحاجة إلیٰ لبسهنّ جمیعاً و إلّا کانت کذات الثوب الواحد</w:t>
      </w:r>
      <w:r>
        <w:rPr>
          <w:rFonts w:eastAsia="IRNazanin" w:cs="IRNazanin"/>
          <w:color w:val="111111"/>
          <w:sz w:val="28"/>
          <w:szCs w:val="28"/>
          <w:rtl w:val="true"/>
          <w:lang w:bidi="fa-IR"/>
        </w:rPr>
        <w:t>.</w:t>
      </w:r>
    </w:p>
    <w:p>
      <w:pPr>
        <w:pStyle w:val="Heading3"/>
        <w:numPr>
          <w:ilvl w:val="2"/>
          <w:numId w:val="1"/>
        </w:numPr>
        <w:rPr/>
      </w:pPr>
      <w:bookmarkStart w:id="1298" w:name="__RefHeading___Toc2566172_3650668749"/>
      <w:bookmarkStart w:id="1299" w:name="_Toc595"/>
      <w:bookmarkEnd w:id="1298"/>
      <w:r>
        <w:rPr>
          <w:rtl w:val="true"/>
        </w:rPr>
        <w:t>[</w:t>
      </w:r>
      <w:r>
        <w:rPr>
          <w:rtl w:val="true"/>
        </w:rPr>
        <w:t>القول فی المطهّرات</w:t>
      </w:r>
      <w:r>
        <w:rPr>
          <w:rtl w:val="true"/>
        </w:rPr>
        <w:t>]</w:t>
      </w:r>
      <w:bookmarkEnd w:id="1299"/>
    </w:p>
    <w:p>
      <w:pPr>
        <w:pStyle w:val="Heading4"/>
        <w:numPr>
          <w:ilvl w:val="3"/>
          <w:numId w:val="1"/>
        </w:numPr>
        <w:rPr/>
      </w:pPr>
      <w:bookmarkStart w:id="1300" w:name="__RefHeading___Toc2566174_3650668749"/>
      <w:bookmarkStart w:id="1301" w:name="_Toc596"/>
      <w:bookmarkEnd w:id="1300"/>
      <w:r>
        <w:rPr>
          <w:rtl w:val="true"/>
        </w:rPr>
        <w:t>اشارة</w:t>
      </w:r>
      <w:bookmarkEnd w:id="1301"/>
    </w:p>
    <w:p>
      <w:pPr>
        <w:pStyle w:val="BookText"/>
        <w:rPr/>
      </w:pPr>
      <w:r>
        <w:rPr>
          <w:rFonts w:ascii="IRNazanin" w:hAnsi="IRNazanin" w:eastAsia="IRNazanin"/>
          <w:color w:val="111111"/>
          <w:sz w:val="28"/>
          <w:sz w:val="28"/>
          <w:szCs w:val="28"/>
          <w:rtl w:val="true"/>
          <w:lang w:bidi="fa-IR"/>
        </w:rPr>
        <w:t>القول فی المطهّرات و هی أحد عشر</w:t>
      </w:r>
      <w:r>
        <w:rPr>
          <w:rFonts w:eastAsia="IRNazanin" w:cs="IRNazanin"/>
          <w:color w:val="111111"/>
          <w:sz w:val="28"/>
          <w:szCs w:val="28"/>
          <w:rtl w:val="true"/>
          <w:lang w:bidi="fa-IR"/>
        </w:rPr>
        <w:t>:</w:t>
      </w:r>
    </w:p>
    <w:p>
      <w:pPr>
        <w:pStyle w:val="Heading4"/>
        <w:numPr>
          <w:ilvl w:val="3"/>
          <w:numId w:val="1"/>
        </w:numPr>
        <w:rPr/>
      </w:pPr>
      <w:bookmarkStart w:id="1302" w:name="__RefHeading___Toc2566176_3650668749"/>
      <w:bookmarkStart w:id="1303" w:name="_Toc597"/>
      <w:bookmarkEnd w:id="1302"/>
      <w:r>
        <w:rPr>
          <w:rtl w:val="true"/>
        </w:rPr>
        <w:t>[</w:t>
      </w:r>
      <w:r>
        <w:rPr>
          <w:rtl w:val="true"/>
        </w:rPr>
        <w:t>أوّلها</w:t>
      </w:r>
      <w:r>
        <w:rPr>
          <w:rtl w:val="true"/>
        </w:rPr>
        <w:t xml:space="preserve">: </w:t>
      </w:r>
      <w:r>
        <w:rPr>
          <w:rtl w:val="true"/>
        </w:rPr>
        <w:t>الماء</w:t>
      </w:r>
      <w:r>
        <w:rPr>
          <w:rtl w:val="true"/>
        </w:rPr>
        <w:t>]</w:t>
      </w:r>
      <w:bookmarkEnd w:id="1303"/>
    </w:p>
    <w:p>
      <w:pPr>
        <w:pStyle w:val="Heading5"/>
        <w:numPr>
          <w:ilvl w:val="4"/>
          <w:numId w:val="1"/>
        </w:numPr>
        <w:rPr/>
      </w:pPr>
      <w:bookmarkStart w:id="1304" w:name="__RefHeading___Toc2566178_3650668749"/>
      <w:bookmarkStart w:id="1305" w:name="_Toc598"/>
      <w:bookmarkEnd w:id="1304"/>
      <w:r>
        <w:rPr>
          <w:rtl w:val="true"/>
        </w:rPr>
        <w:t>اشارة</w:t>
      </w:r>
      <w:bookmarkEnd w:id="130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و یطهّر به کلّ متنجّس حتّی الماء کما تقدّم فی فصل المیاه و قد مرّ کیفیّة تطهیره به، و أمّا کیفیّة تطهیر غیره به فیکفی فی المطر استیلاؤه علی المتنجّس بعد زوال العین کما مرّ </w:t>
      </w:r>
      <w:r>
        <w:rPr>
          <w:rStyle w:val="FootnoteAnchor"/>
          <w:rtl w:val="true"/>
        </w:rPr>
        <w:footnoteReference w:id="367"/>
      </w:r>
      <w:r>
        <w:rPr>
          <w:rFonts w:ascii="IRNazanin" w:hAnsi="IRNazanin" w:eastAsia="IRNazanin"/>
          <w:color w:val="111111"/>
          <w:sz w:val="28"/>
          <w:sz w:val="28"/>
          <w:szCs w:val="28"/>
          <w:rtl w:val="true"/>
          <w:lang w:bidi="fa-IR"/>
        </w:rPr>
        <w:t xml:space="preserve">و کذا فی الکرّ و الجاری </w:t>
      </w:r>
      <w:r>
        <w:rPr>
          <w:rStyle w:val="FootnoteAnchor"/>
          <w:rtl w:val="true"/>
        </w:rPr>
        <w:footnoteReference w:id="368"/>
      </w:r>
      <w:r>
        <w:rPr>
          <w:rFonts w:ascii="IRNazanin" w:hAnsi="IRNazanin" w:eastAsia="IRNazanin"/>
          <w:color w:val="111111"/>
          <w:sz w:val="28"/>
          <w:sz w:val="28"/>
          <w:szCs w:val="28"/>
          <w:rtl w:val="true"/>
          <w:lang w:bidi="fa-IR"/>
        </w:rPr>
        <w:t xml:space="preserve">علی الأظهر، فلا یحتاج فی التطهیر بهما إلی العصر فیما یقبله کالثیاب، و لا التعدّد؛ من غیر فرق بین أنواع النجاسات و أصناف </w:t>
      </w:r>
      <w:r>
        <w:rPr>
          <w:rStyle w:val="FootnoteAnchor"/>
          <w:rtl w:val="true"/>
        </w:rPr>
        <w:footnoteReference w:id="369"/>
      </w:r>
      <w:r>
        <w:rPr>
          <w:rFonts w:ascii="IRNazanin" w:hAnsi="IRNazanin" w:eastAsia="IRNazanin"/>
          <w:color w:val="111111"/>
          <w:sz w:val="28"/>
          <w:sz w:val="28"/>
          <w:szCs w:val="28"/>
          <w:rtl w:val="true"/>
          <w:lang w:bidi="fa-IR"/>
        </w:rPr>
        <w:t xml:space="preserve">المتنجّسات، فیطهر المتنجّس الذی لا ینفذ فیه الماء و النجاسة کالبدن بمجرّد غمسه فی الکرّ </w:t>
      </w:r>
      <w:r>
        <w:rPr>
          <w:rStyle w:val="FootnoteAnchor"/>
          <w:rtl w:val="true"/>
        </w:rPr>
        <w:footnoteReference w:id="370"/>
      </w:r>
      <w:r>
        <w:rPr>
          <w:rFonts w:ascii="IRNazanin" w:hAnsi="IRNazanin" w:eastAsia="IRNazanin"/>
          <w:color w:val="111111"/>
          <w:sz w:val="28"/>
          <w:sz w:val="28"/>
          <w:szCs w:val="28"/>
          <w:rtl w:val="true"/>
          <w:lang w:bidi="fa-IR"/>
        </w:rPr>
        <w:t>و الجاری بعد زوال عین النجاسة و إزالة المانع لو کان، و کذلک الثوب المتنجّس</w:t>
      </w:r>
    </w:p>
    <w:p>
      <w:pPr>
        <w:pStyle w:val="BookText"/>
        <w:rPr/>
      </w:pPr>
      <w:r>
        <w:rPr>
          <w:rFonts w:ascii="IRNazanin" w:hAnsi="IRNazanin" w:eastAsia="IRNazanin"/>
          <w:color w:val="111111"/>
          <w:sz w:val="28"/>
          <w:sz w:val="28"/>
          <w:szCs w:val="28"/>
          <w:rtl w:val="true"/>
          <w:lang w:bidi="fa-IR"/>
        </w:rPr>
        <w:t>و نحوه ممّا یرسب فیه الماء و یمکن عصره، و الأولی و الأحوط فیه تحریکه فی الماء بحیث یتخلّل الماء فی أعماقه، و أحوط منه عصره أو ما یقوم مقامه کالفرک و الغمز بالکفّ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المتنجّس الذی ینفذ فیه الماء و لا یمکن عصره کالکوز و الخشب و الصابون و نحو ذلک یطهر ظاهره بمجرّد غمسه فیهما و باطنه بنفوذ </w:t>
      </w:r>
      <w:r>
        <w:rPr>
          <w:rStyle w:val="FootnoteAnchor"/>
          <w:rtl w:val="true"/>
        </w:rPr>
        <w:footnoteReference w:id="371"/>
      </w:r>
      <w:r>
        <w:rPr>
          <w:rFonts w:ascii="IRNazanin" w:hAnsi="IRNazanin" w:eastAsia="IRNazanin"/>
          <w:color w:val="111111"/>
          <w:sz w:val="28"/>
          <w:sz w:val="28"/>
          <w:szCs w:val="28"/>
          <w:rtl w:val="true"/>
          <w:lang w:bidi="fa-IR"/>
        </w:rPr>
        <w:t>الماء المطلق إلیٰ حیث نفذت النجاسة، و لا یحتاج إلی التجفیف أوّلًا لو کانت فی أعماقه الرطوبة و إن کان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الکلام فی کیفیّة التطهیر بالکرّ و الجاری و سنذکر بعض ما یتعلّق به فی طیّ المسائل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التطهیر بالقلیل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فالمتنجّس بالبول غیر الآنیة یعتبر فیه التعدّد مرّتین و الأحوط کونهما غیر غسلة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المتنجّس بغیر البول و لم یکن آنیة فیجزی فیه المرّة بعد الإزالة و لا یکتفیٰ بما حصل به الإزالة، نعم یکفی استمرار إجراء الماء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یعتبر فی التطهیر بالقلیل انفصال الغسالة، ففی مثل الثیاب ممّا ینفذ فیه الماء و یقبل العصر لا بدّ من العصر أو ما یقوم مقامه و فی مثل الصابون و غیره ممّا ینفذ فیه الماء و لا یقبل العصر یطهر ظاهره بإجراء الماء علیه، و لا یضرّ بقاء نجاسة الباطن لو نفذت فیها، بل القول بطهارة الباطن تبعاً للظاهر غیر بعید </w:t>
      </w:r>
      <w:r>
        <w:rPr>
          <w:rStyle w:val="FootnoteAnchor"/>
          <w:rtl w:val="true"/>
        </w:rPr>
        <w:footnoteReference w:id="372"/>
      </w:r>
      <w:r>
        <w:rPr>
          <w:rFonts w:ascii="IRNazanin" w:hAnsi="IRNazanin" w:eastAsia="IRNazanin"/>
          <w:color w:val="111111"/>
          <w:sz w:val="28"/>
          <w:sz w:val="28"/>
          <w:szCs w:val="28"/>
          <w:rtl w:val="true"/>
          <w:lang w:bidi="fa-IR"/>
        </w:rPr>
        <w:t>و إن کان الأحوط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تطهیر غیر الآنیة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تنجّست بولوغ الکلب فیما فیها من ماء أو غیره ممّا یتحقّق معه اسم الولوغ غسلت ثلاثاً أُولاهنّ بالتراب </w:t>
      </w:r>
      <w:r>
        <w:rPr>
          <w:rStyle w:val="FootnoteAnchor"/>
          <w:rtl w:val="true"/>
        </w:rPr>
        <w:footnoteReference w:id="373"/>
      </w:r>
      <w:r>
        <w:rPr>
          <w:rFonts w:ascii="IRNazanin" w:hAnsi="IRNazanin" w:eastAsia="IRNazanin"/>
          <w:color w:val="111111"/>
          <w:sz w:val="28"/>
          <w:sz w:val="28"/>
          <w:szCs w:val="28"/>
          <w:rtl w:val="true"/>
          <w:lang w:bidi="fa-IR"/>
        </w:rPr>
        <w:t xml:space="preserve">و یعتبر </w:t>
      </w:r>
      <w:r>
        <w:rPr>
          <w:rStyle w:val="FootnoteAnchor"/>
          <w:rtl w:val="true"/>
        </w:rPr>
        <w:footnoteReference w:id="374"/>
      </w:r>
      <w:r>
        <w:rPr>
          <w:rFonts w:ascii="IRNazanin" w:hAnsi="IRNazanin" w:eastAsia="IRNazanin"/>
          <w:color w:val="111111"/>
          <w:sz w:val="28"/>
          <w:sz w:val="28"/>
          <w:szCs w:val="28"/>
          <w:rtl w:val="true"/>
          <w:lang w:bidi="fa-IR"/>
        </w:rPr>
        <w:t xml:space="preserve">فیه الطهارة، و لا یقوم غیر التراب مقامه و لو عند الاضطرار، و الأولی و الأحوط فی الغسل بالتراب مسحه بالتراب الخالص أوّلًا ثمّ غسله بوضع ماء علیه بحیث لا یخرجه عن اسم التراب ثمّ یوضع ماء </w:t>
      </w:r>
      <w:r>
        <w:rPr>
          <w:rStyle w:val="FootnoteAnchor"/>
          <w:rtl w:val="true"/>
        </w:rPr>
        <w:footnoteReference w:id="375"/>
      </w:r>
      <w:r>
        <w:rPr>
          <w:rFonts w:ascii="IRNazanin" w:hAnsi="IRNazanin" w:eastAsia="IRNazanin"/>
          <w:color w:val="111111"/>
          <w:sz w:val="28"/>
          <w:sz w:val="28"/>
          <w:szCs w:val="28"/>
          <w:rtl w:val="true"/>
          <w:lang w:bidi="fa-IR"/>
        </w:rPr>
        <w:t>علیه بحیث لا یخرجه التراب عن اسم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إلحاق مطلق مباشرته بالفم کاللطع و نحوه و الشرب</w:t>
      </w:r>
      <w:bookmarkStart w:id="1306" w:name="pg1809_18904"/>
    </w:p>
    <w:p>
      <w:pPr>
        <w:pStyle w:val="BookText"/>
        <w:rPr/>
      </w:pPr>
      <w:bookmarkEnd w:id="1306"/>
      <w:r>
        <w:rPr>
          <w:rFonts w:ascii="IRNazanin" w:hAnsi="IRNazanin" w:eastAsia="IRNazanin"/>
          <w:color w:val="111111"/>
          <w:sz w:val="28"/>
          <w:sz w:val="28"/>
          <w:szCs w:val="28"/>
          <w:rtl w:val="true"/>
          <w:lang w:bidi="fa-IR"/>
        </w:rPr>
        <w:t xml:space="preserve">بلا ولوغ بالولوغ وجه قویّ </w:t>
      </w:r>
      <w:r>
        <w:rPr>
          <w:rStyle w:val="FootnoteAnchor"/>
          <w:rtl w:val="true"/>
        </w:rPr>
        <w:footnoteReference w:id="376"/>
      </w:r>
      <w:r>
        <w:rPr>
          <w:rFonts w:ascii="IRNazanin" w:hAnsi="IRNazanin" w:eastAsia="IRNazanin"/>
          <w:color w:val="111111"/>
          <w:sz w:val="28"/>
          <w:sz w:val="28"/>
          <w:szCs w:val="28"/>
          <w:rtl w:val="true"/>
          <w:lang w:bidi="fa-IR"/>
        </w:rPr>
        <w:t>، بل إلحاق مطلق مباشرته و لو بباقی أعضائه به لا یخلو من وجه، و کذا مباشرة لعابه من غیر ولوغ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الاحتیاط فی الجمیع بالجمع بین التعفیر و الغسل بالماء ثلاثاً </w:t>
      </w:r>
      <w:r>
        <w:rPr>
          <w:rStyle w:val="FootnoteAnchor"/>
          <w:rtl w:val="true"/>
        </w:rPr>
        <w:footnoteReference w:id="377"/>
      </w: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w:t>
      </w:r>
    </w:p>
    <w:p>
      <w:pPr>
        <w:pStyle w:val="Heading5"/>
        <w:numPr>
          <w:ilvl w:val="4"/>
          <w:numId w:val="1"/>
        </w:numPr>
        <w:rPr/>
      </w:pPr>
      <w:bookmarkStart w:id="1307" w:name="__RefHeading___Toc2566180_3650668749"/>
      <w:bookmarkStart w:id="1308" w:name="_Toc599"/>
      <w:bookmarkEnd w:id="1307"/>
      <w:r>
        <w:rPr>
          <w:rtl w:val="true"/>
        </w:rPr>
        <w:t>[ (</w:t>
      </w:r>
      <w:r>
        <w:rPr>
          <w:rtl w:val="true"/>
        </w:rPr>
        <w:t xml:space="preserve">مسألة </w:t>
      </w:r>
      <w:r>
        <w:rPr/>
        <w:t>1</w:t>
      </w:r>
      <w:r>
        <w:rPr>
          <w:rtl w:val="true"/>
        </w:rPr>
        <w:t xml:space="preserve">): </w:t>
      </w:r>
      <w:r>
        <w:rPr>
          <w:rtl w:val="true"/>
        </w:rPr>
        <w:t>لو کانت الآنیة المتنجّسة بالولوغ ممّا یتعذّر تعفیرها بالتراب</w:t>
      </w:r>
      <w:r>
        <w:rPr>
          <w:rtl w:val="true"/>
        </w:rPr>
        <w:t>]</w:t>
      </w:r>
      <w:bookmarkEnd w:id="1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الآنیة المتنجّسة بالولوغ ممّا یتعذّر تعفیرها بالتراب لضیق رأس أو غیره فلا یسقط تعفیرها بما یمکن و لو بإدخال التراب فیها و تحریکها تحریکاً عنیفاً </w:t>
      </w:r>
      <w:r>
        <w:rPr>
          <w:rStyle w:val="FootnoteAnchor"/>
          <w:rtl w:val="true"/>
        </w:rPr>
        <w:footnoteReference w:id="378"/>
      </w:r>
      <w:r>
        <w:rPr>
          <w:rFonts w:ascii="IRNazanin" w:hAnsi="IRNazanin" w:eastAsia="IRNazanin"/>
          <w:color w:val="111111"/>
          <w:sz w:val="28"/>
          <w:sz w:val="28"/>
          <w:szCs w:val="28"/>
          <w:rtl w:val="true"/>
          <w:lang w:bidi="fa-IR"/>
        </w:rPr>
        <w:t>، و لو فرض التعذّر أصلًا لم یبعد البقاء علی النجاسة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یسقط التعفیر بالغسل بالماء الکثیر و الجاری، بل و الأحوط </w:t>
      </w:r>
      <w:r>
        <w:rPr>
          <w:rStyle w:val="FootnoteAnchor"/>
          <w:rtl w:val="true"/>
        </w:rPr>
        <w:footnoteReference w:id="379"/>
      </w:r>
      <w:r>
        <w:rPr>
          <w:rFonts w:ascii="IRNazanin" w:hAnsi="IRNazanin" w:eastAsia="IRNazanin"/>
          <w:color w:val="111111"/>
          <w:sz w:val="28"/>
          <w:sz w:val="28"/>
          <w:szCs w:val="28"/>
          <w:rtl w:val="true"/>
          <w:lang w:bidi="fa-IR"/>
        </w:rPr>
        <w:t>احتیاطاً شدیداً عدم سقوط العدد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یبعد سقوطهما </w:t>
      </w:r>
      <w:r>
        <w:rPr>
          <w:rStyle w:val="FootnoteAnchor"/>
          <w:rtl w:val="true"/>
        </w:rPr>
        <w:footnoteReference w:id="380"/>
      </w:r>
      <w:r>
        <w:rPr>
          <w:rFonts w:ascii="IRNazanin" w:hAnsi="IRNazanin" w:eastAsia="IRNazanin"/>
          <w:color w:val="111111"/>
          <w:sz w:val="28"/>
          <w:sz w:val="28"/>
          <w:szCs w:val="28"/>
          <w:rtl w:val="true"/>
          <w:lang w:bidi="fa-IR"/>
        </w:rPr>
        <w:t>فی ماء المطر و لکن لا یترک الاحتیاط بالتعفیر فیه أیضاً</w:t>
      </w:r>
      <w:r>
        <w:rPr>
          <w:rFonts w:eastAsia="IRNazanin" w:cs="IRNazanin"/>
          <w:color w:val="111111"/>
          <w:sz w:val="28"/>
          <w:szCs w:val="28"/>
          <w:rtl w:val="true"/>
          <w:lang w:bidi="fa-IR"/>
        </w:rPr>
        <w:t>.</w:t>
      </w:r>
    </w:p>
    <w:p>
      <w:pPr>
        <w:pStyle w:val="Heading5"/>
        <w:numPr>
          <w:ilvl w:val="4"/>
          <w:numId w:val="1"/>
        </w:numPr>
        <w:rPr/>
      </w:pPr>
      <w:bookmarkStart w:id="1309" w:name="__RefHeading___Toc2566182_3650668749"/>
      <w:bookmarkStart w:id="1310" w:name="_Toc600"/>
      <w:bookmarkEnd w:id="1309"/>
      <w:r>
        <w:rPr>
          <w:rtl w:val="true"/>
        </w:rPr>
        <w:t>[ (</w:t>
      </w:r>
      <w:r>
        <w:rPr>
          <w:rtl w:val="true"/>
        </w:rPr>
        <w:t xml:space="preserve">مسألة </w:t>
      </w:r>
      <w:r>
        <w:rPr/>
        <w:t>2</w:t>
      </w:r>
      <w:r>
        <w:rPr>
          <w:rtl w:val="true"/>
        </w:rPr>
        <w:t xml:space="preserve">): </w:t>
      </w:r>
      <w:r>
        <w:rPr>
          <w:rtl w:val="true"/>
        </w:rPr>
        <w:t>یجب غسل الإناء سبعاً لموت الجرذ و لشرب الخنزیر</w:t>
      </w:r>
      <w:r>
        <w:rPr>
          <w:rtl w:val="true"/>
        </w:rPr>
        <w:t>]</w:t>
      </w:r>
      <w:bookmarkEnd w:id="1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غسل الإناء سبعاً لموت الجرذ و لشرب الخنزیر و لا یجب التعفیر، نعم هو أحوط فی الثانی قبل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غسله سبعاً أیضاً لموت الفأرة و لشرب النبیذ فیه أو الخمر أو المسکر و مباشرة الکلب و إن لم یجب ذلک، و إنّما الواجب أن یغسل بالقلیل ثلاثاً کما یغسل من غیرها من النجاسات</w:t>
      </w:r>
      <w:r>
        <w:rPr>
          <w:rFonts w:eastAsia="IRNazanin" w:cs="IRNazanin"/>
          <w:color w:val="111111"/>
          <w:sz w:val="28"/>
          <w:szCs w:val="28"/>
          <w:rtl w:val="true"/>
          <w:lang w:bidi="fa-IR"/>
        </w:rPr>
        <w:t>.</w:t>
      </w:r>
    </w:p>
    <w:p>
      <w:pPr>
        <w:pStyle w:val="Heading5"/>
        <w:numPr>
          <w:ilvl w:val="4"/>
          <w:numId w:val="1"/>
        </w:numPr>
        <w:rPr/>
      </w:pPr>
      <w:bookmarkStart w:id="1311" w:name="__RefHeading___Toc2566184_3650668749"/>
      <w:bookmarkStart w:id="1312" w:name="_Toc601"/>
      <w:bookmarkEnd w:id="1311"/>
      <w:r>
        <w:rPr>
          <w:rtl w:val="true"/>
        </w:rPr>
        <w:t>[ (</w:t>
      </w:r>
      <w:r>
        <w:rPr>
          <w:rtl w:val="true"/>
        </w:rPr>
        <w:t xml:space="preserve">مسألة </w:t>
      </w:r>
      <w:r>
        <w:rPr/>
        <w:t>3</w:t>
      </w:r>
      <w:r>
        <w:rPr>
          <w:rtl w:val="true"/>
        </w:rPr>
        <w:t xml:space="preserve">): </w:t>
      </w:r>
      <w:r>
        <w:rPr>
          <w:rtl w:val="true"/>
        </w:rPr>
        <w:t>تطهیر الأوانی الصغیرة و الکبیرة ضیّقة الرأس و واسعته بالکثیر و الجاری واضح</w:t>
      </w:r>
      <w:r>
        <w:rPr>
          <w:rtl w:val="true"/>
        </w:rPr>
        <w:t>]</w:t>
      </w:r>
      <w:bookmarkEnd w:id="1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الأوانی الصغیرة و الکبیرة ضیّقة الرأس و واسعته بالکثیر و الجاری واضح؛ بأن توضع فیه حتّی یستولی </w:t>
      </w:r>
      <w:r>
        <w:rPr>
          <w:rStyle w:val="FootnoteAnchor"/>
          <w:rtl w:val="true"/>
        </w:rPr>
        <w:footnoteReference w:id="381"/>
      </w:r>
      <w:r>
        <w:rPr>
          <w:rFonts w:ascii="IRNazanin" w:hAnsi="IRNazanin" w:eastAsia="IRNazanin"/>
          <w:color w:val="111111"/>
          <w:sz w:val="28"/>
          <w:sz w:val="28"/>
          <w:szCs w:val="28"/>
          <w:rtl w:val="true"/>
          <w:lang w:bidi="fa-IR"/>
        </w:rPr>
        <w:t>علیها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بالقلیل فبصبّ الماء فیها و إدارته حتّی یستوعب جمیع أجزائها بالإجراء الذی یتحقّق به الغسل ثمّ یراق منها، یفعل ذلک بها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الفوریّة فی الإدارة عقیب الصبّ فیها و الإفراغ عقیب الإدارة علیٰ جمیع أجزائها، هذا فی الأوانی الصغار و الکبار التی یمکن فیها الإدارة و الإفراغ عقیبها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الأوانی الکبار المثبتة و الحیاض و نحوها فتطهیرها بإجراء الماء علیها حتّی</w:t>
      </w:r>
      <w:bookmarkStart w:id="1313" w:name="pg1809_18906"/>
    </w:p>
    <w:p>
      <w:pPr>
        <w:pStyle w:val="BookText"/>
        <w:rPr/>
      </w:pPr>
      <w:bookmarkEnd w:id="1313"/>
      <w:r>
        <w:rPr>
          <w:rFonts w:ascii="IRNazanin" w:hAnsi="IRNazanin" w:eastAsia="IRNazanin"/>
          <w:color w:val="111111"/>
          <w:sz w:val="28"/>
          <w:sz w:val="28"/>
          <w:szCs w:val="28"/>
          <w:rtl w:val="true"/>
          <w:lang w:bidi="fa-IR"/>
        </w:rPr>
        <w:t xml:space="preserve">یستوعب جمیع أجزائها ثمّ یخرج حینئذٍ ماء الغسالة المجتمع فی وسطها مثلًا بنزح و غیره من غیر اعتبار للفوریّة المزبورة، بل لا یعتبر </w:t>
      </w:r>
      <w:r>
        <w:rPr>
          <w:rStyle w:val="FootnoteAnchor"/>
          <w:rtl w:val="true"/>
        </w:rPr>
        <w:footnoteReference w:id="382"/>
      </w:r>
      <w:r>
        <w:rPr>
          <w:rFonts w:ascii="IRNazanin" w:hAnsi="IRNazanin" w:eastAsia="IRNazanin"/>
          <w:color w:val="111111"/>
          <w:sz w:val="28"/>
          <w:sz w:val="28"/>
          <w:szCs w:val="28"/>
          <w:rtl w:val="true"/>
          <w:lang w:bidi="fa-IR"/>
        </w:rPr>
        <w:t>تطهیر آلة النزح إذا أُرید عودها إلیه، کما أنّه لا بأس بما یتقاطر فیه حال النزح و إن کان الأحوط ذلک کلّه</w:t>
      </w:r>
      <w:r>
        <w:rPr>
          <w:rFonts w:eastAsia="IRNazanin" w:cs="IRNazanin"/>
          <w:color w:val="111111"/>
          <w:sz w:val="28"/>
          <w:szCs w:val="28"/>
          <w:rtl w:val="true"/>
          <w:lang w:bidi="fa-IR"/>
        </w:rPr>
        <w:t>.</w:t>
      </w:r>
    </w:p>
    <w:p>
      <w:pPr>
        <w:pStyle w:val="Heading5"/>
        <w:numPr>
          <w:ilvl w:val="4"/>
          <w:numId w:val="1"/>
        </w:numPr>
        <w:rPr/>
      </w:pPr>
      <w:bookmarkStart w:id="1314" w:name="__RefHeading___Toc2566186_3650668749"/>
      <w:bookmarkStart w:id="1315" w:name="_Toc602"/>
      <w:bookmarkEnd w:id="1314"/>
      <w:r>
        <w:rPr>
          <w:rtl w:val="true"/>
        </w:rPr>
        <w:t>[ (</w:t>
      </w:r>
      <w:r>
        <w:rPr>
          <w:rtl w:val="true"/>
        </w:rPr>
        <w:t xml:space="preserve">مسألة </w:t>
      </w:r>
      <w:r>
        <w:rPr/>
        <w:t>4</w:t>
      </w:r>
      <w:r>
        <w:rPr>
          <w:rtl w:val="true"/>
        </w:rPr>
        <w:t xml:space="preserve">): </w:t>
      </w:r>
      <w:r>
        <w:rPr>
          <w:rtl w:val="true"/>
        </w:rPr>
        <w:t>إذا تنجّس التنّور یطهر بصبّ الماء فی الموضع النجس من فوق إلیٰ تحت</w:t>
      </w:r>
      <w:r>
        <w:rPr>
          <w:rtl w:val="true"/>
        </w:rPr>
        <w:t>]</w:t>
      </w:r>
      <w:bookmarkEnd w:id="1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التنّور یطهر بصبّ الماء فی الموضع النجس من فوق إلیٰ تحت و لا یحتاج إلی التثلیث؛ لعدم کونه من الأوانی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فیصبّ علیه مرّتین إذا تنجّس بالبول، و فی غیره یکفی المرّة</w:t>
      </w:r>
      <w:r>
        <w:rPr>
          <w:rFonts w:eastAsia="IRNazanin" w:cs="IRNazanin"/>
          <w:color w:val="111111"/>
          <w:sz w:val="28"/>
          <w:szCs w:val="28"/>
          <w:rtl w:val="true"/>
          <w:lang w:bidi="fa-IR"/>
        </w:rPr>
        <w:t>.</w:t>
      </w:r>
    </w:p>
    <w:p>
      <w:pPr>
        <w:pStyle w:val="Heading5"/>
        <w:numPr>
          <w:ilvl w:val="4"/>
          <w:numId w:val="1"/>
        </w:numPr>
        <w:rPr/>
      </w:pPr>
      <w:bookmarkStart w:id="1316" w:name="__RefHeading___Toc2566188_3650668749"/>
      <w:bookmarkStart w:id="1317" w:name="_Toc603"/>
      <w:bookmarkEnd w:id="1316"/>
      <w:r>
        <w:rPr>
          <w:rtl w:val="true"/>
        </w:rPr>
        <w:t>[ (</w:t>
      </w:r>
      <w:r>
        <w:rPr>
          <w:rtl w:val="true"/>
        </w:rPr>
        <w:t xml:space="preserve">مسألة </w:t>
      </w:r>
      <w:r>
        <w:rPr/>
        <w:t>5</w:t>
      </w:r>
      <w:r>
        <w:rPr>
          <w:rtl w:val="true"/>
        </w:rPr>
        <w:t xml:space="preserve">): </w:t>
      </w:r>
      <w:r>
        <w:rPr>
          <w:rtl w:val="true"/>
        </w:rPr>
        <w:t>إذا تنجّس الأرز أو الماش و نحوهما یجعل فی و صلة و یغمس فی الکرّ أو الجاری فیطهر</w:t>
      </w:r>
      <w:r>
        <w:rPr>
          <w:rtl w:val="true"/>
        </w:rPr>
        <w:t>]</w:t>
      </w:r>
      <w:bookmarkEnd w:id="1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تنجّس الأرز أو الماش و نحوهما یجعل فی و صلة و یغمس فی الکرّ أو الجاری فیطهر، و إن نفذ فیه الماء النجس یصبر </w:t>
      </w:r>
      <w:r>
        <w:rPr>
          <w:rStyle w:val="FootnoteAnchor"/>
          <w:rtl w:val="true"/>
        </w:rPr>
        <w:footnoteReference w:id="383"/>
      </w:r>
      <w:r>
        <w:rPr>
          <w:rFonts w:ascii="IRNazanin" w:hAnsi="IRNazanin" w:eastAsia="IRNazanin"/>
          <w:color w:val="111111"/>
          <w:sz w:val="28"/>
          <w:sz w:val="28"/>
          <w:szCs w:val="28"/>
          <w:rtl w:val="true"/>
          <w:lang w:bidi="fa-IR"/>
        </w:rPr>
        <w:t>حتّی یعلم بنفوذ الماء الطاهر إلیٰ حیث نفذ فیه الماء النجس، و لا یحتاج إلی التجفیف و إن کان أحوط، بل لا یبعد تطهیره بالقلیل بأن یجعل فی ظرف و یصبّ علیه الماء ثمّ یراق غسالته و یطهر الظرف أیضاً بالتبع و الأحوط التثلیث</w:t>
      </w:r>
      <w:r>
        <w:rPr>
          <w:rFonts w:eastAsia="IRNazanin" w:cs="IRNazanin"/>
          <w:color w:val="111111"/>
          <w:sz w:val="28"/>
          <w:szCs w:val="28"/>
          <w:rtl w:val="true"/>
          <w:lang w:bidi="fa-IR"/>
        </w:rPr>
        <w:t>.</w:t>
      </w:r>
    </w:p>
    <w:p>
      <w:pPr>
        <w:pStyle w:val="Heading5"/>
        <w:numPr>
          <w:ilvl w:val="4"/>
          <w:numId w:val="1"/>
        </w:numPr>
        <w:rPr/>
      </w:pPr>
      <w:bookmarkStart w:id="1318" w:name="__RefHeading___Toc2566190_3650668749"/>
      <w:bookmarkStart w:id="1319" w:name="_Toc604"/>
      <w:bookmarkEnd w:id="1318"/>
      <w:r>
        <w:rPr>
          <w:rtl w:val="true"/>
        </w:rPr>
        <w:t>[ (</w:t>
      </w:r>
      <w:r>
        <w:rPr>
          <w:rtl w:val="true"/>
        </w:rPr>
        <w:t xml:space="preserve">مسألة </w:t>
      </w:r>
      <w:r>
        <w:rPr/>
        <w:t>6</w:t>
      </w:r>
      <w:r>
        <w:rPr>
          <w:rtl w:val="true"/>
        </w:rPr>
        <w:t xml:space="preserve">): </w:t>
      </w:r>
      <w:r>
        <w:rPr>
          <w:rtl w:val="true"/>
        </w:rPr>
        <w:t>اللحم المطبوخ بالماء النجس یمکن تطهیره فی الکثیر بل و القلیل</w:t>
      </w:r>
      <w:r>
        <w:rPr>
          <w:rtl w:val="true"/>
        </w:rPr>
        <w:t>]</w:t>
      </w:r>
      <w:bookmarkEnd w:id="1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المطبوخ بالماء النجس یمکن تطهیره فی الکثیر بل و القلیل أیضاً إذا صبّ علیه الماء و نفذ فیه </w:t>
      </w:r>
      <w:r>
        <w:rPr>
          <w:rStyle w:val="FootnoteAnchor"/>
          <w:rtl w:val="true"/>
        </w:rPr>
        <w:footnoteReference w:id="384"/>
      </w:r>
      <w:r>
        <w:rPr>
          <w:rFonts w:ascii="IRNazanin" w:hAnsi="IRNazanin" w:eastAsia="IRNazanin"/>
          <w:color w:val="111111"/>
          <w:sz w:val="28"/>
          <w:sz w:val="28"/>
          <w:szCs w:val="28"/>
          <w:rtl w:val="true"/>
          <w:lang w:bidi="fa-IR"/>
        </w:rPr>
        <w:t>إلی المقدار الذی نفذ فیه الماء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یمکن تطهیر الکوز الذی صنع من طین نجس بوضعه فی الکثیر أو الجاری فنفذ الماء فی أعماقه</w:t>
      </w:r>
      <w:r>
        <w:rPr>
          <w:rFonts w:eastAsia="IRNazanin" w:cs="IRNazanin"/>
          <w:color w:val="111111"/>
          <w:sz w:val="28"/>
          <w:szCs w:val="28"/>
          <w:rtl w:val="true"/>
          <w:lang w:bidi="fa-IR"/>
        </w:rPr>
        <w:t>.</w:t>
      </w:r>
    </w:p>
    <w:p>
      <w:pPr>
        <w:pStyle w:val="Heading5"/>
        <w:numPr>
          <w:ilvl w:val="4"/>
          <w:numId w:val="1"/>
        </w:numPr>
        <w:rPr/>
      </w:pPr>
      <w:bookmarkStart w:id="1320" w:name="__RefHeading___Toc2566192_3650668749"/>
      <w:bookmarkStart w:id="1321" w:name="_Toc605"/>
      <w:bookmarkEnd w:id="1320"/>
      <w:r>
        <w:rPr>
          <w:rtl w:val="true"/>
        </w:rPr>
        <w:t>[ (</w:t>
      </w:r>
      <w:r>
        <w:rPr>
          <w:rtl w:val="true"/>
        </w:rPr>
        <w:t xml:space="preserve">مسألة </w:t>
      </w:r>
      <w:r>
        <w:rPr/>
        <w:t>7</w:t>
      </w:r>
      <w:r>
        <w:rPr>
          <w:rtl w:val="true"/>
        </w:rPr>
        <w:t xml:space="preserve">): </w:t>
      </w:r>
      <w:r>
        <w:rPr>
          <w:rtl w:val="true"/>
        </w:rPr>
        <w:t>إذا غسل ثوبه المتنجّس ثمّ رأی فیه شیئاً من الطین أو الأُشنان لا یضرّ</w:t>
      </w:r>
      <w:r>
        <w:rPr>
          <w:rtl w:val="true"/>
        </w:rPr>
        <w:t>]</w:t>
      </w:r>
      <w:bookmarkEnd w:id="1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غسل ثوبه المتنجّس ثمّ رأی فیه شیئاً من الطین أو الأُشنان لا یضرّ </w:t>
      </w:r>
      <w:r>
        <w:rPr>
          <w:rStyle w:val="FootnoteAnchor"/>
          <w:rtl w:val="true"/>
        </w:rPr>
        <w:footnoteReference w:id="385"/>
      </w:r>
      <w:r>
        <w:rPr>
          <w:rFonts w:ascii="IRNazanin" w:hAnsi="IRNazanin" w:eastAsia="IRNazanin"/>
          <w:color w:val="111111"/>
          <w:sz w:val="28"/>
          <w:sz w:val="28"/>
          <w:szCs w:val="28"/>
          <w:rtl w:val="true"/>
          <w:lang w:bidi="fa-IR"/>
        </w:rPr>
        <w:t>ذلک بتطهیره، بل یحکم بطهارته أیضاً؛ لانغساله بغسل الثوب</w:t>
      </w:r>
      <w:r>
        <w:rPr>
          <w:rFonts w:eastAsia="IRNazanin" w:cs="IRNazanin"/>
          <w:color w:val="111111"/>
          <w:sz w:val="28"/>
          <w:szCs w:val="28"/>
          <w:rtl w:val="true"/>
          <w:lang w:bidi="fa-IR"/>
        </w:rPr>
        <w:t>.</w:t>
      </w:r>
    </w:p>
    <w:p>
      <w:pPr>
        <w:pStyle w:val="Heading5"/>
        <w:numPr>
          <w:ilvl w:val="4"/>
          <w:numId w:val="1"/>
        </w:numPr>
        <w:rPr/>
      </w:pPr>
      <w:bookmarkStart w:id="1322" w:name="__RefHeading___Toc2566194_3650668749"/>
      <w:bookmarkStart w:id="1323" w:name="_Toc606"/>
      <w:bookmarkEnd w:id="1322"/>
      <w:r>
        <w:rPr>
          <w:rtl w:val="true"/>
        </w:rPr>
        <w:t>[ (</w:t>
      </w:r>
      <w:r>
        <w:rPr>
          <w:rtl w:val="true"/>
        </w:rPr>
        <w:t xml:space="preserve">مسألة </w:t>
      </w:r>
      <w:r>
        <w:rPr/>
        <w:t>8</w:t>
      </w:r>
      <w:r>
        <w:rPr>
          <w:rtl w:val="true"/>
        </w:rPr>
        <w:t xml:space="preserve">): </w:t>
      </w:r>
      <w:r>
        <w:rPr>
          <w:rtl w:val="true"/>
        </w:rPr>
        <w:t>إذا أکل طعاماً نجساً فما یبقیٰ منه بین أسنانه باقٍ علیٰ نجاسته</w:t>
      </w:r>
      <w:r>
        <w:rPr>
          <w:rtl w:val="true"/>
        </w:rPr>
        <w:t>]</w:t>
      </w:r>
      <w:bookmarkEnd w:id="132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أکل طعاماً نجساً فما یبقیٰ منه بین أسنانه باقٍ علیٰ نجاسته و یطهر بالمضمضة </w:t>
      </w:r>
      <w:r>
        <w:rPr>
          <w:rStyle w:val="FootnoteAnchor"/>
          <w:rtl w:val="true"/>
        </w:rPr>
        <w:footnoteReference w:id="386"/>
      </w:r>
      <w:r>
        <w:rPr>
          <w:rFonts w:ascii="IRNazanin" w:hAnsi="IRNazanin" w:eastAsia="IRNazanin"/>
          <w:color w:val="111111"/>
          <w:sz w:val="28"/>
          <w:sz w:val="28"/>
          <w:szCs w:val="28"/>
          <w:rtl w:val="true"/>
          <w:lang w:bidi="fa-IR"/>
        </w:rPr>
        <w:t xml:space="preserve">، و أمّا إذا کان الطعام طاهراً و خرج الدم من بین أسنانه فإن لم یلاقه الدم و إن لاقاه الریق الملاقی له فهو طاهر، و إن لاقاه ففی الحکم بنجاسته إشکال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bookmarkStart w:id="1324" w:name="pg1809_18908"/>
    </w:p>
    <w:p>
      <w:pPr>
        <w:pStyle w:val="Heading4"/>
        <w:numPr>
          <w:ilvl w:val="3"/>
          <w:numId w:val="1"/>
        </w:numPr>
        <w:rPr/>
      </w:pPr>
      <w:bookmarkStart w:id="1325" w:name="__RefHeading___Toc2566196_3650668749"/>
      <w:bookmarkStart w:id="1326" w:name="_Toc607"/>
      <w:bookmarkEnd w:id="1324"/>
      <w:bookmarkEnd w:id="1325"/>
      <w:r>
        <w:rPr>
          <w:rtl w:val="true"/>
        </w:rPr>
        <w:t>[</w:t>
      </w:r>
      <w:r>
        <w:rPr>
          <w:rtl w:val="true"/>
        </w:rPr>
        <w:t>ثانیها</w:t>
      </w:r>
      <w:r>
        <w:rPr>
          <w:rtl w:val="true"/>
        </w:rPr>
        <w:t xml:space="preserve">: </w:t>
      </w:r>
      <w:r>
        <w:rPr>
          <w:rtl w:val="true"/>
        </w:rPr>
        <w:t>الأرض</w:t>
      </w:r>
      <w:r>
        <w:rPr>
          <w:rtl w:val="true"/>
        </w:rPr>
        <w:t>]</w:t>
      </w:r>
      <w:bookmarkEnd w:id="1326"/>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فإنّها تطهّر ما یماسّها من القدم بالمشی علیها أو بالمسح بها ممّا یزول معه عین النجاسة إن کانت، و کذا ما یوقیٰ به القدم کالنعل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زوالها قبل ذلک کفیٰ فی التطهیر حینئذٍ المماسّة علیٰ إشکال، و الأحوط أقلّ مسمّی المسح أو المشی حینئذٍ، کما أنّ الأحوط قصر الحکم بالطهارة علیٰ ما إذا حصلت النجاسة من المشی علی الأرض النجسة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الأرض بین التراب و الرمل و الحجر أصلیّاً کان أو مفروشة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به المفروش بالآجر أو الجصّ علی الأقویٰ، بخلاف المطلیّ بالقیر و المفروش بالخشب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یعتبر جفاف الأرض و طهارتها علی الأحوط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7" w:name="__RefHeading___Toc2566198_3650668749"/>
      <w:bookmarkStart w:id="1328" w:name="_Toc608"/>
      <w:bookmarkEnd w:id="1327"/>
      <w:r>
        <w:rPr>
          <w:rtl w:val="true"/>
        </w:rPr>
        <w:t>[</w:t>
      </w:r>
      <w:r>
        <w:rPr>
          <w:rtl w:val="true"/>
        </w:rPr>
        <w:t>ثالثها</w:t>
      </w:r>
      <w:r>
        <w:rPr>
          <w:rtl w:val="true"/>
        </w:rPr>
        <w:t xml:space="preserve">: </w:t>
      </w:r>
      <w:r>
        <w:rPr>
          <w:rtl w:val="true"/>
        </w:rPr>
        <w:t>الشمس</w:t>
      </w:r>
      <w:r>
        <w:rPr>
          <w:rtl w:val="true"/>
        </w:rPr>
        <w:t>]</w:t>
      </w:r>
      <w:bookmarkEnd w:id="1328"/>
    </w:p>
    <w:p>
      <w:pPr>
        <w:pStyle w:val="Heading5"/>
        <w:numPr>
          <w:ilvl w:val="4"/>
          <w:numId w:val="1"/>
        </w:numPr>
        <w:rPr/>
      </w:pPr>
      <w:bookmarkStart w:id="1329" w:name="__RefHeading___Toc2566200_3650668749"/>
      <w:bookmarkStart w:id="1330" w:name="_Toc609"/>
      <w:bookmarkEnd w:id="1329"/>
      <w:r>
        <w:rPr>
          <w:rtl w:val="true"/>
        </w:rPr>
        <w:t>اشارة</w:t>
      </w:r>
      <w:bookmarkEnd w:id="1330"/>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فإنّها تطهّر الأرض و کلّ ما لا ینقل من الأبنیة و ما اتّصل بها من الأخشاب و الأبواب و الأعتاب و الأوتاد </w:t>
      </w:r>
      <w:r>
        <w:rPr>
          <w:rStyle w:val="FootnoteAnchor"/>
          <w:rtl w:val="true"/>
        </w:rPr>
        <w:footnoteReference w:id="389"/>
      </w:r>
      <w:r>
        <w:rPr>
          <w:rFonts w:ascii="IRNazanin" w:hAnsi="IRNazanin" w:eastAsia="IRNazanin"/>
          <w:color w:val="111111"/>
          <w:sz w:val="28"/>
          <w:sz w:val="28"/>
          <w:szCs w:val="28"/>
          <w:rtl w:val="true"/>
          <w:lang w:bidi="fa-IR"/>
        </w:rPr>
        <w:t xml:space="preserve">و الأشجار </w:t>
      </w:r>
      <w:r>
        <w:rPr>
          <w:rStyle w:val="FootnoteAnchor"/>
          <w:rtl w:val="true"/>
        </w:rPr>
        <w:footnoteReference w:id="390"/>
      </w:r>
      <w:r>
        <w:rPr>
          <w:rFonts w:ascii="IRNazanin" w:hAnsi="IRNazanin" w:eastAsia="IRNazanin"/>
          <w:color w:val="111111"/>
          <w:sz w:val="28"/>
          <w:sz w:val="28"/>
          <w:szCs w:val="28"/>
          <w:rtl w:val="true"/>
          <w:lang w:bidi="fa-IR"/>
        </w:rPr>
        <w:t>و النبات و الثمار و الخضروات و إن حان قطفها و غیر ذلک حتّی الأوانی المثبتة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السفینة و الطرّادة من غیر المنقول، و فی الکاری و نحوه إشکال، و فی تطهیر الحصر </w:t>
      </w:r>
      <w:r>
        <w:rPr>
          <w:rStyle w:val="FootnoteAnchor"/>
          <w:rtl w:val="true"/>
        </w:rPr>
        <w:footnoteReference w:id="391"/>
      </w:r>
      <w:r>
        <w:rPr>
          <w:rFonts w:ascii="IRNazanin" w:hAnsi="IRNazanin" w:eastAsia="IRNazanin"/>
          <w:color w:val="111111"/>
          <w:sz w:val="28"/>
          <w:sz w:val="28"/>
          <w:szCs w:val="28"/>
          <w:rtl w:val="true"/>
          <w:lang w:bidi="fa-IR"/>
        </w:rPr>
        <w:t>و البواری بها ممّا ینقل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 طهارة المذکورات و نحوها بالشمس بعد زوال عین النجاسة عنها أن تکون رطبة رطوبة تعلّق بالید ثمّ تجفّفها الشمس تجفیفاً یستند إلیٰ إشراقها بنفسها بدون واسطة، بل لا یبعد اعتبار الیبس علی النحو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یطهر باطن الشی‌ء الواحد إذا طهر ظاهره بإشراقها علیه </w:t>
      </w:r>
      <w:r>
        <w:rPr>
          <w:rStyle w:val="FootnoteAnchor"/>
          <w:rtl w:val="true"/>
        </w:rPr>
        <w:footnoteReference w:id="392"/>
      </w:r>
      <w:r>
        <w:rPr>
          <w:rFonts w:ascii="IRNazanin" w:hAnsi="IRNazanin" w:eastAsia="IRNazanin"/>
          <w:color w:val="111111"/>
          <w:sz w:val="28"/>
          <w:sz w:val="28"/>
          <w:szCs w:val="28"/>
          <w:rtl w:val="true"/>
          <w:lang w:bidi="fa-IR"/>
        </w:rPr>
        <w:t>علی الوجه المذکور دون المتعدّد المتلاصق إذا أشرقت علیٰ بعضه</w:t>
      </w:r>
      <w:r>
        <w:rPr>
          <w:rFonts w:eastAsia="IRNazanin" w:cs="IRNazanin"/>
          <w:color w:val="111111"/>
          <w:sz w:val="28"/>
          <w:szCs w:val="28"/>
          <w:rtl w:val="true"/>
          <w:lang w:bidi="fa-IR"/>
        </w:rPr>
        <w:t>.</w:t>
      </w:r>
    </w:p>
    <w:p>
      <w:pPr>
        <w:pStyle w:val="Heading5"/>
        <w:numPr>
          <w:ilvl w:val="4"/>
          <w:numId w:val="1"/>
        </w:numPr>
        <w:rPr/>
      </w:pPr>
      <w:bookmarkStart w:id="1331" w:name="__RefHeading___Toc2566202_3650668749"/>
      <w:bookmarkStart w:id="1332" w:name="_Toc610"/>
      <w:bookmarkEnd w:id="1331"/>
      <w:r>
        <w:rPr>
          <w:rtl w:val="true"/>
        </w:rPr>
        <w:t>[ (</w:t>
      </w:r>
      <w:r>
        <w:rPr>
          <w:rtl w:val="true"/>
        </w:rPr>
        <w:t xml:space="preserve">مسألة </w:t>
      </w:r>
      <w:r>
        <w:rPr/>
        <w:t>9</w:t>
      </w:r>
      <w:r>
        <w:rPr>
          <w:rtl w:val="true"/>
        </w:rPr>
        <w:t xml:space="preserve">): </w:t>
      </w:r>
      <w:r>
        <w:rPr>
          <w:rtl w:val="true"/>
        </w:rPr>
        <w:t>إذا کانت الأرض أو نحوها جافّة و أُرید تطهیرها بالشمس</w:t>
      </w:r>
      <w:r>
        <w:rPr>
          <w:rtl w:val="true"/>
        </w:rPr>
        <w:t>]</w:t>
      </w:r>
      <w:bookmarkEnd w:id="133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الأرض أو نحوها جافّة و أُرید تطهیرها بالشمس یصبّ علیها الماء</w:t>
      </w:r>
      <w:bookmarkStart w:id="1333" w:name="pg1809_18910"/>
    </w:p>
    <w:p>
      <w:pPr>
        <w:pStyle w:val="BookText"/>
        <w:rPr/>
      </w:pPr>
      <w:bookmarkEnd w:id="1333"/>
      <w:r>
        <w:rPr>
          <w:rFonts w:ascii="IRNazanin" w:hAnsi="IRNazanin" w:eastAsia="IRNazanin"/>
          <w:color w:val="111111"/>
          <w:sz w:val="28"/>
          <w:sz w:val="28"/>
          <w:szCs w:val="28"/>
          <w:rtl w:val="true"/>
          <w:lang w:bidi="fa-IR"/>
        </w:rPr>
        <w:t>الطاهر أو النجس ممّا یورث الرطوبة فیها حتّی تجفّفها فتطهر</w:t>
      </w:r>
      <w:r>
        <w:rPr>
          <w:rFonts w:eastAsia="IRNazanin" w:cs="IRNazanin"/>
          <w:color w:val="111111"/>
          <w:sz w:val="28"/>
          <w:szCs w:val="28"/>
          <w:rtl w:val="true"/>
          <w:lang w:bidi="fa-IR"/>
        </w:rPr>
        <w:t>.</w:t>
      </w:r>
    </w:p>
    <w:p>
      <w:pPr>
        <w:pStyle w:val="Heading5"/>
        <w:numPr>
          <w:ilvl w:val="4"/>
          <w:numId w:val="1"/>
        </w:numPr>
        <w:rPr/>
      </w:pPr>
      <w:bookmarkStart w:id="1334" w:name="__RefHeading___Toc2566204_3650668749"/>
      <w:bookmarkStart w:id="1335" w:name="_Toc611"/>
      <w:bookmarkEnd w:id="1334"/>
      <w:r>
        <w:rPr>
          <w:rtl w:val="true"/>
        </w:rPr>
        <w:t>[ (</w:t>
      </w:r>
      <w:r>
        <w:rPr>
          <w:rtl w:val="true"/>
        </w:rPr>
        <w:t xml:space="preserve">مسألة </w:t>
      </w:r>
      <w:r>
        <w:rPr/>
        <w:t>10</w:t>
      </w:r>
      <w:r>
        <w:rPr>
          <w:rtl w:val="true"/>
        </w:rPr>
        <w:t xml:space="preserve">): </w:t>
      </w:r>
      <w:r>
        <w:rPr>
          <w:rtl w:val="true"/>
        </w:rPr>
        <w:t>الحصیٰ و التراب و الطین و الأحجار ما دامت واقعة علی الأرض</w:t>
      </w:r>
      <w:r>
        <w:rPr>
          <w:rtl w:val="true"/>
        </w:rPr>
        <w:t>]</w:t>
      </w:r>
      <w:bookmarkEnd w:id="1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الحصیٰ و التراب و الطین و الأحجار ما دامت واقعة علی الأرض </w:t>
      </w:r>
      <w:r>
        <w:rPr>
          <w:rStyle w:val="FootnoteAnchor"/>
          <w:rtl w:val="true"/>
        </w:rPr>
        <w:footnoteReference w:id="393"/>
      </w:r>
      <w:r>
        <w:rPr>
          <w:rFonts w:ascii="IRNazanin" w:hAnsi="IRNazanin" w:eastAsia="IRNazanin"/>
          <w:color w:val="111111"/>
          <w:sz w:val="28"/>
          <w:sz w:val="28"/>
          <w:szCs w:val="28"/>
          <w:rtl w:val="true"/>
          <w:lang w:bidi="fa-IR"/>
        </w:rPr>
        <w:t>تکون بحکمها و إن أُخذت منها أُلحقت بالمنقولات، و إن أُعیدت عاد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المسمار </w:t>
      </w:r>
      <w:r>
        <w:rPr>
          <w:rStyle w:val="FootnoteAnchor"/>
          <w:rtl w:val="true"/>
        </w:rPr>
        <w:footnoteReference w:id="394"/>
      </w:r>
      <w:r>
        <w:rPr>
          <w:rFonts w:ascii="IRNazanin" w:hAnsi="IRNazanin" w:eastAsia="IRNazanin"/>
          <w:color w:val="111111"/>
          <w:sz w:val="28"/>
          <w:sz w:val="28"/>
          <w:szCs w:val="28"/>
          <w:rtl w:val="true"/>
          <w:lang w:bidi="fa-IR"/>
        </w:rPr>
        <w:t>الثابت فی الأرض أو البناء یلحقهما فی الحکم، و إذا قلع زال حکمه و إذا أُعید عاد و هکذا کلّ ما یشبه ذلک</w:t>
      </w:r>
      <w:r>
        <w:rPr>
          <w:rFonts w:eastAsia="IRNazanin" w:cs="IRNazanin"/>
          <w:color w:val="111111"/>
          <w:sz w:val="28"/>
          <w:szCs w:val="28"/>
          <w:rtl w:val="true"/>
          <w:lang w:bidi="fa-IR"/>
        </w:rPr>
        <w:t>.</w:t>
      </w:r>
    </w:p>
    <w:p>
      <w:pPr>
        <w:pStyle w:val="Heading4"/>
        <w:numPr>
          <w:ilvl w:val="3"/>
          <w:numId w:val="1"/>
        </w:numPr>
        <w:rPr/>
      </w:pPr>
      <w:bookmarkStart w:id="1336" w:name="__RefHeading___Toc2566206_3650668749"/>
      <w:bookmarkStart w:id="1337" w:name="_Toc612"/>
      <w:bookmarkEnd w:id="1336"/>
      <w:r>
        <w:rPr>
          <w:rtl w:val="true"/>
        </w:rPr>
        <w:t>[</w:t>
      </w:r>
      <w:r>
        <w:rPr>
          <w:rtl w:val="true"/>
        </w:rPr>
        <w:t>رابعها</w:t>
      </w:r>
      <w:r>
        <w:rPr>
          <w:rtl w:val="true"/>
        </w:rPr>
        <w:t xml:space="preserve">: </w:t>
      </w:r>
      <w:r>
        <w:rPr>
          <w:rtl w:val="true"/>
        </w:rPr>
        <w:t>الاستحالة إلیٰ جسم آخر</w:t>
      </w:r>
      <w:r>
        <w:rPr>
          <w:rtl w:val="true"/>
        </w:rPr>
        <w:t>]</w:t>
      </w:r>
      <w:bookmarkEnd w:id="1337"/>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الاستحالة إلیٰ جسم آخر، فیطهر ما أحالته النار رماداً أو دخاناً أو بخاراً؛ سواء کان نجساً أو متنجّساً، و کذا المستحیل بُخاراً بغیرها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أحالته فحماً أو خزفاً أو آجراً أو جصّاً أو نورة فهو باقٍ علی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یطهر کلّ حیوان تکوّن من نجس أو متنجّس کدود العذرة و المیتة و یطهر الخمر بانقلابه خلّا بنفسه أو بعلاج کطرح جسم فیه و نحوه؛ سواء استهلک الجسم أو لا، نعم لو تنجّس الخمر بنجاسة خارجیّة ثمّ انقلب خلّا لم یطهر علی الأحوط</w:t>
      </w:r>
      <w:r>
        <w:rPr>
          <w:rFonts w:eastAsia="IRNazanin" w:cs="IRNazanin"/>
          <w:color w:val="111111"/>
          <w:sz w:val="28"/>
          <w:szCs w:val="28"/>
          <w:rtl w:val="true"/>
          <w:lang w:bidi="fa-IR"/>
        </w:rPr>
        <w:t>.</w:t>
      </w:r>
    </w:p>
    <w:p>
      <w:pPr>
        <w:pStyle w:val="Heading4"/>
        <w:numPr>
          <w:ilvl w:val="3"/>
          <w:numId w:val="1"/>
        </w:numPr>
        <w:rPr/>
      </w:pPr>
      <w:bookmarkStart w:id="1338" w:name="__RefHeading___Toc2566208_3650668749"/>
      <w:bookmarkStart w:id="1339" w:name="_Toc613"/>
      <w:bookmarkEnd w:id="1338"/>
      <w:r>
        <w:rPr>
          <w:rtl w:val="true"/>
        </w:rPr>
        <w:t>[</w:t>
      </w:r>
      <w:r>
        <w:rPr>
          <w:rtl w:val="true"/>
        </w:rPr>
        <w:t>خامسها</w:t>
      </w:r>
      <w:r>
        <w:rPr>
          <w:rtl w:val="true"/>
        </w:rPr>
        <w:t xml:space="preserve">: </w:t>
      </w:r>
      <w:r>
        <w:rPr>
          <w:rtl w:val="true"/>
        </w:rPr>
        <w:t>ذهاب الثلثین فی العصیر بالنار أو بالشمس إذا غلیٰ بأحدهما</w:t>
      </w:r>
      <w:r>
        <w:rPr>
          <w:rtl w:val="true"/>
        </w:rPr>
        <w:t>]</w:t>
      </w:r>
      <w:bookmarkEnd w:id="1339"/>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الثلثین فی العصیر بالنار أو بالشمس إذا غلیٰ بأحدهما، فإنّه مطهّر للثلث الباقی بناءً علی النجاسة، و قد مرّ أنّ الأقویٰ طهارته فلا یؤثّر التثلیث إلّا فی حلّیته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غلیٰ بنفسه </w:t>
      </w:r>
      <w:r>
        <w:rPr>
          <w:rStyle w:val="FootnoteAnchor"/>
          <w:rtl w:val="true"/>
        </w:rPr>
        <w:footnoteReference w:id="396"/>
      </w:r>
      <w:r>
        <w:rPr>
          <w:rFonts w:ascii="IRNazanin" w:hAnsi="IRNazanin" w:eastAsia="IRNazanin"/>
          <w:color w:val="111111"/>
          <w:sz w:val="28"/>
          <w:sz w:val="28"/>
          <w:szCs w:val="28"/>
          <w:rtl w:val="true"/>
          <w:lang w:bidi="fa-IR"/>
        </w:rPr>
        <w:t>فقد مرّ أنّ الأقویٰ نجاسته، و حینئذٍ لا یؤثّر التثلیث فی زوالها بل یتوقّف طهارته علیٰ صیرورته خلّا</w:t>
      </w:r>
      <w:r>
        <w:rPr>
          <w:rFonts w:eastAsia="IRNazanin" w:cs="IRNazanin"/>
          <w:color w:val="111111"/>
          <w:sz w:val="28"/>
          <w:szCs w:val="28"/>
          <w:rtl w:val="true"/>
          <w:lang w:bidi="fa-IR"/>
        </w:rPr>
        <w:t>.</w:t>
      </w:r>
    </w:p>
    <w:p>
      <w:pPr>
        <w:pStyle w:val="Heading4"/>
        <w:numPr>
          <w:ilvl w:val="3"/>
          <w:numId w:val="1"/>
        </w:numPr>
        <w:rPr/>
      </w:pPr>
      <w:bookmarkStart w:id="1340" w:name="__RefHeading___Toc2566210_3650668749"/>
      <w:bookmarkStart w:id="1341" w:name="_Toc614"/>
      <w:bookmarkEnd w:id="1340"/>
      <w:r>
        <w:rPr>
          <w:rtl w:val="true"/>
        </w:rPr>
        <w:t>[</w:t>
      </w:r>
      <w:r>
        <w:rPr>
          <w:rtl w:val="true"/>
        </w:rPr>
        <w:t>سادسها</w:t>
      </w:r>
      <w:r>
        <w:rPr>
          <w:rtl w:val="true"/>
        </w:rPr>
        <w:t xml:space="preserve">: </w:t>
      </w:r>
      <w:r>
        <w:rPr>
          <w:rtl w:val="true"/>
        </w:rPr>
        <w:t>الانتقال</w:t>
      </w:r>
      <w:r>
        <w:rPr>
          <w:rtl w:val="true"/>
        </w:rPr>
        <w:t>]</w:t>
      </w:r>
      <w:bookmarkEnd w:id="134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 فإنّه موجب لطهارة المنتقل إذا أُضیف إلی المنتقل إلیه و عدّ جزءً منه کانتقال دم ذی النفس إلیٰ غیر ذی النفس، و کذا لو کان المنتقل غیر الدم و المنتقل إلیه غیر الحیوان من النبات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عدم الإضافة أو شکّ فیها من حیث عدم الاستقرار فی بطن الحیوان مثلًا علیٰ وجه یستند إلیه کالدم الذی یمصّه العلق بقی علی النجاسة</w:t>
      </w:r>
      <w:r>
        <w:rPr>
          <w:rFonts w:eastAsia="IRNazanin" w:cs="IRNazanin"/>
          <w:color w:val="111111"/>
          <w:sz w:val="28"/>
          <w:szCs w:val="28"/>
          <w:rtl w:val="true"/>
          <w:lang w:bidi="fa-IR"/>
        </w:rPr>
        <w:t>.</w:t>
      </w:r>
      <w:bookmarkStart w:id="1342" w:name="pg1809_18912"/>
    </w:p>
    <w:p>
      <w:pPr>
        <w:pStyle w:val="Heading4"/>
        <w:numPr>
          <w:ilvl w:val="3"/>
          <w:numId w:val="1"/>
        </w:numPr>
        <w:rPr/>
      </w:pPr>
      <w:bookmarkStart w:id="1343" w:name="__RefHeading___Toc2566212_3650668749"/>
      <w:bookmarkStart w:id="1344" w:name="_Toc615"/>
      <w:bookmarkEnd w:id="1342"/>
      <w:bookmarkEnd w:id="1343"/>
      <w:r>
        <w:rPr>
          <w:rtl w:val="true"/>
        </w:rPr>
        <w:t>[</w:t>
      </w:r>
      <w:r>
        <w:rPr>
          <w:rtl w:val="true"/>
        </w:rPr>
        <w:t>سابعها</w:t>
      </w:r>
      <w:r>
        <w:rPr>
          <w:rtl w:val="true"/>
        </w:rPr>
        <w:t xml:space="preserve">: </w:t>
      </w:r>
      <w:r>
        <w:rPr>
          <w:rtl w:val="true"/>
        </w:rPr>
        <w:t>الإسلام</w:t>
      </w:r>
      <w:r>
        <w:rPr>
          <w:rtl w:val="true"/>
        </w:rPr>
        <w:t>]</w:t>
      </w:r>
      <w:bookmarkEnd w:id="1344"/>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فإنّه مطهّر للکافر بجمیع أقسامه حتّی الرجل المرتدّ عن فطرة إذا علم توبته فضلًا عن الامرأة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یتبع الکافر فضلاته المتّصلة به؛ من شعره و ظفره و بصاقه و نخامته و قیحه و نحو ذلک</w:t>
      </w:r>
      <w:r>
        <w:rPr>
          <w:rFonts w:eastAsia="IRNazanin" w:cs="IRNazanin"/>
          <w:color w:val="111111"/>
          <w:sz w:val="28"/>
          <w:szCs w:val="28"/>
          <w:rtl w:val="true"/>
          <w:lang w:bidi="fa-IR"/>
        </w:rPr>
        <w:t>.</w:t>
      </w:r>
    </w:p>
    <w:p>
      <w:pPr>
        <w:pStyle w:val="Heading4"/>
        <w:numPr>
          <w:ilvl w:val="3"/>
          <w:numId w:val="1"/>
        </w:numPr>
        <w:rPr/>
      </w:pPr>
      <w:bookmarkStart w:id="1345" w:name="__RefHeading___Toc2566214_3650668749"/>
      <w:bookmarkStart w:id="1346" w:name="_Toc616"/>
      <w:bookmarkEnd w:id="1345"/>
      <w:r>
        <w:rPr>
          <w:rtl w:val="true"/>
        </w:rPr>
        <w:t>[</w:t>
      </w:r>
      <w:r>
        <w:rPr>
          <w:rtl w:val="true"/>
        </w:rPr>
        <w:t>ثامنها</w:t>
      </w:r>
      <w:r>
        <w:rPr>
          <w:rtl w:val="true"/>
        </w:rPr>
        <w:t xml:space="preserve">: </w:t>
      </w:r>
      <w:r>
        <w:rPr>
          <w:rtl w:val="true"/>
        </w:rPr>
        <w:t>التبعیّة</w:t>
      </w:r>
      <w:r>
        <w:rPr>
          <w:rtl w:val="true"/>
        </w:rPr>
        <w:t>]</w:t>
      </w:r>
      <w:bookmarkEnd w:id="1346"/>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التبعیّة فإنّ الکافر إذا أسلم یتبعه ولده فی الطهارة؛ أباً کان أو جدّاً أو امّاً، کما أنّ الطفل یتبع </w:t>
      </w:r>
      <w:r>
        <w:rPr>
          <w:rStyle w:val="FootnoteAnchor"/>
          <w:rtl w:val="true"/>
        </w:rPr>
        <w:footnoteReference w:id="397"/>
      </w:r>
      <w:r>
        <w:rPr>
          <w:rFonts w:ascii="IRNazanin" w:hAnsi="IRNazanin" w:eastAsia="IRNazanin"/>
          <w:color w:val="111111"/>
          <w:sz w:val="28"/>
          <w:sz w:val="28"/>
          <w:szCs w:val="28"/>
          <w:rtl w:val="true"/>
          <w:lang w:bidi="fa-IR"/>
        </w:rPr>
        <w:t>السابی المسلم إذا لم یکن معه أحد آبائه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یتبع المیّت بعد طهارته آلات تغسیله من السدّة و الخرقة الموضوعة علیه و ثیابه التی غسّل فیها و ید الغاسل </w:t>
      </w:r>
      <w:r>
        <w:rPr>
          <w:rStyle w:val="FootnoteAnchor"/>
          <w:rtl w:val="true"/>
        </w:rPr>
        <w:footnoteReference w:id="398"/>
      </w:r>
      <w:r>
        <w:rPr>
          <w:rFonts w:ascii="IRNazanin" w:hAnsi="IRNazanin" w:eastAsia="IRNazanin"/>
          <w:color w:val="111111"/>
          <w:sz w:val="28"/>
          <w:sz w:val="28"/>
          <w:szCs w:val="28"/>
          <w:rtl w:val="true"/>
          <w:lang w:bidi="fa-IR"/>
        </w:rPr>
        <w:t>، و فی باقی بدنه و ثیابه إشکال؛ أحوطه العدم، بل الأولی الاحتیاط فیما عدا ید الغاسل</w:t>
      </w:r>
      <w:r>
        <w:rPr>
          <w:rFonts w:eastAsia="IRNazanin" w:cs="IRNazanin"/>
          <w:color w:val="111111"/>
          <w:sz w:val="28"/>
          <w:szCs w:val="28"/>
          <w:rtl w:val="true"/>
          <w:lang w:bidi="fa-IR"/>
        </w:rPr>
        <w:t>.</w:t>
      </w:r>
    </w:p>
    <w:p>
      <w:pPr>
        <w:pStyle w:val="Heading4"/>
        <w:numPr>
          <w:ilvl w:val="3"/>
          <w:numId w:val="1"/>
        </w:numPr>
        <w:rPr/>
      </w:pPr>
      <w:bookmarkStart w:id="1347" w:name="__RefHeading___Toc2566216_3650668749"/>
      <w:bookmarkStart w:id="1348" w:name="_Toc617"/>
      <w:bookmarkEnd w:id="1347"/>
      <w:r>
        <w:rPr>
          <w:rtl w:val="true"/>
        </w:rPr>
        <w:t>[</w:t>
      </w:r>
      <w:r>
        <w:rPr>
          <w:rtl w:val="true"/>
        </w:rPr>
        <w:t>تاسعها</w:t>
      </w:r>
      <w:r>
        <w:rPr>
          <w:rtl w:val="true"/>
        </w:rPr>
        <w:t xml:space="preserve">: </w:t>
      </w:r>
      <w:r>
        <w:rPr>
          <w:rtl w:val="true"/>
        </w:rPr>
        <w:t>زوال عین النجاسة</w:t>
      </w:r>
      <w:r>
        <w:rPr>
          <w:rtl w:val="true"/>
        </w:rPr>
        <w:t>]</w:t>
      </w:r>
      <w:bookmarkEnd w:id="1348"/>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عین النجاسة بالنسبة إلی الصامت من الحیوان و بواطن الإنسان، فیطهر منقار الدجاجة الملوّث بالعذرة بمجرّد زوال عینها و جفاف رطوبتها، و کذا بدن الدابّة المجروح و فم الهرّة الملوّث بالدم و ولد الحیوان المتلطّخ به عند الولادة بمجرّد زوال الدم عنها، و کذا یطهر فم الإنسان إذا أکل أو شرب شیئاً متنجّساً أو نجساً کالدم و الخمر بمجرّد بلعه</w:t>
      </w:r>
      <w:r>
        <w:rPr>
          <w:rFonts w:eastAsia="IRNazanin" w:cs="IRNazanin"/>
          <w:color w:val="111111"/>
          <w:sz w:val="28"/>
          <w:szCs w:val="28"/>
          <w:rtl w:val="true"/>
          <w:lang w:bidi="fa-IR"/>
        </w:rPr>
        <w:t>.</w:t>
      </w:r>
    </w:p>
    <w:p>
      <w:pPr>
        <w:pStyle w:val="Heading4"/>
        <w:numPr>
          <w:ilvl w:val="3"/>
          <w:numId w:val="1"/>
        </w:numPr>
        <w:rPr/>
      </w:pPr>
      <w:bookmarkStart w:id="1349" w:name="__RefHeading___Toc2566218_3650668749"/>
      <w:bookmarkStart w:id="1350" w:name="_Toc618"/>
      <w:bookmarkEnd w:id="1349"/>
      <w:r>
        <w:rPr>
          <w:rtl w:val="true"/>
        </w:rPr>
        <w:t>[</w:t>
      </w:r>
      <w:r>
        <w:rPr>
          <w:rtl w:val="true"/>
        </w:rPr>
        <w:t>عاشرها</w:t>
      </w:r>
      <w:r>
        <w:rPr>
          <w:rtl w:val="true"/>
        </w:rPr>
        <w:t xml:space="preserve">: </w:t>
      </w:r>
      <w:r>
        <w:rPr>
          <w:rtl w:val="true"/>
        </w:rPr>
        <w:t>الغیبة</w:t>
      </w:r>
      <w:r>
        <w:rPr>
          <w:rtl w:val="true"/>
        </w:rPr>
        <w:t>]</w:t>
      </w:r>
      <w:bookmarkEnd w:id="1350"/>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فإنّها مطهّرة للإنسان و ثیابه و فرشه و أوانیه و غیرها من توابعه إذا کان عالماً </w:t>
      </w:r>
      <w:r>
        <w:rPr>
          <w:rStyle w:val="FootnoteAnchor"/>
          <w:rtl w:val="true"/>
        </w:rPr>
        <w:footnoteReference w:id="399"/>
      </w:r>
      <w:r>
        <w:rPr>
          <w:rFonts w:ascii="IRNazanin" w:hAnsi="IRNazanin" w:eastAsia="IRNazanin"/>
          <w:color w:val="111111"/>
          <w:sz w:val="28"/>
          <w:sz w:val="28"/>
          <w:szCs w:val="28"/>
          <w:rtl w:val="true"/>
          <w:lang w:bidi="fa-IR"/>
        </w:rPr>
        <w:t>بالنجاسة و احتمل تطهیره لها، من غیر فرق بین المتسامح فی دینه و عدمه</w:t>
      </w:r>
      <w:r>
        <w:rPr>
          <w:rFonts w:eastAsia="IRNazanin" w:cs="IRNazanin"/>
          <w:color w:val="111111"/>
          <w:sz w:val="28"/>
          <w:szCs w:val="28"/>
          <w:rtl w:val="true"/>
          <w:lang w:bidi="fa-IR"/>
        </w:rPr>
        <w:t>.</w:t>
      </w:r>
    </w:p>
    <w:p>
      <w:pPr>
        <w:pStyle w:val="Heading4"/>
        <w:numPr>
          <w:ilvl w:val="3"/>
          <w:numId w:val="1"/>
        </w:numPr>
        <w:rPr/>
      </w:pPr>
      <w:bookmarkStart w:id="1351" w:name="__RefHeading___Toc2566220_3650668749"/>
      <w:bookmarkStart w:id="1352" w:name="_Toc619"/>
      <w:bookmarkEnd w:id="1351"/>
      <w:r>
        <w:rPr>
          <w:rtl w:val="true"/>
        </w:rPr>
        <w:t>[</w:t>
      </w:r>
      <w:r>
        <w:rPr>
          <w:rtl w:val="true"/>
        </w:rPr>
        <w:t>حادی عشرها</w:t>
      </w:r>
      <w:r>
        <w:rPr>
          <w:rtl w:val="true"/>
        </w:rPr>
        <w:t xml:space="preserve">: </w:t>
      </w:r>
      <w:r>
        <w:rPr>
          <w:rtl w:val="true"/>
        </w:rPr>
        <w:t>استبراء الجلّال من الحیوان المحلّل</w:t>
      </w:r>
      <w:r>
        <w:rPr>
          <w:rtl w:val="true"/>
        </w:rPr>
        <w:t>]</w:t>
      </w:r>
      <w:bookmarkEnd w:id="135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الجلّال من الحیوان المحلّل بما یخرجه عن اسم الجلل، فإنّه مطهّر لبوله و خرئه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مع زوال </w:t>
      </w:r>
      <w:r>
        <w:rPr>
          <w:rStyle w:val="FootnoteAnchor"/>
          <w:rtl w:val="true"/>
        </w:rPr>
        <w:footnoteReference w:id="400"/>
      </w:r>
      <w:r>
        <w:rPr>
          <w:rFonts w:ascii="IRNazanin" w:hAnsi="IRNazanin" w:eastAsia="IRNazanin"/>
          <w:color w:val="111111"/>
          <w:sz w:val="28"/>
          <w:sz w:val="28"/>
          <w:szCs w:val="28"/>
          <w:rtl w:val="true"/>
          <w:lang w:bidi="fa-IR"/>
        </w:rPr>
        <w:t>اسم الجلل استبراء الحیوان فی المدّة المنصوصة للحیوانات؛ و هی فی الإبل أربعون یوماً و فی البقرة ثلاثون و فی الغنم عشرة أیّام و فی البطّة خمسة أو سبعة و فی الدجاجة ثلاثة أیّام و فی غیرها یکفی زوال الاسم</w:t>
      </w:r>
      <w:r>
        <w:rPr>
          <w:rFonts w:eastAsia="IRNazanin" w:cs="IRNazanin"/>
          <w:color w:val="111111"/>
          <w:sz w:val="28"/>
          <w:szCs w:val="28"/>
          <w:rtl w:val="true"/>
          <w:lang w:bidi="fa-IR"/>
        </w:rPr>
        <w:t>.</w:t>
      </w:r>
      <w:bookmarkStart w:id="1353" w:name="pg1809_18914"/>
    </w:p>
    <w:p>
      <w:pPr>
        <w:pStyle w:val="Heading3"/>
        <w:numPr>
          <w:ilvl w:val="2"/>
          <w:numId w:val="1"/>
        </w:numPr>
        <w:rPr/>
      </w:pPr>
      <w:bookmarkStart w:id="1354" w:name="__RefHeading___Toc2566222_3650668749"/>
      <w:bookmarkStart w:id="1355" w:name="_Toc620"/>
      <w:bookmarkEnd w:id="1353"/>
      <w:bookmarkEnd w:id="1354"/>
      <w:r>
        <w:rPr>
          <w:rtl w:val="true"/>
        </w:rPr>
        <w:t>[</w:t>
      </w:r>
      <w:r>
        <w:rPr>
          <w:rtl w:val="true"/>
        </w:rPr>
        <w:t>القول فی الأوانی</w:t>
      </w:r>
      <w:r>
        <w:rPr>
          <w:rtl w:val="true"/>
        </w:rPr>
        <w:t>]</w:t>
      </w:r>
      <w:bookmarkEnd w:id="1355"/>
    </w:p>
    <w:p>
      <w:pPr>
        <w:pStyle w:val="Heading4"/>
        <w:numPr>
          <w:ilvl w:val="3"/>
          <w:numId w:val="1"/>
        </w:numPr>
        <w:rPr/>
      </w:pPr>
      <w:bookmarkStart w:id="1356" w:name="__RefHeading___Toc2566224_3650668749"/>
      <w:bookmarkStart w:id="1357" w:name="_Toc621"/>
      <w:bookmarkEnd w:id="1356"/>
      <w:r>
        <w:rPr>
          <w:rtl w:val="true"/>
        </w:rPr>
        <w:t>اشارة</w:t>
      </w:r>
      <w:bookmarkEnd w:id="1357"/>
    </w:p>
    <w:p>
      <w:pPr>
        <w:pStyle w:val="BookText"/>
        <w:rPr/>
      </w:pPr>
      <w:r>
        <w:rPr>
          <w:rFonts w:ascii="IRNazanin" w:hAnsi="IRNazanin" w:eastAsia="IRNazanin"/>
          <w:color w:val="111111"/>
          <w:sz w:val="28"/>
          <w:sz w:val="28"/>
          <w:szCs w:val="28"/>
          <w:rtl w:val="true"/>
          <w:lang w:bidi="fa-IR"/>
        </w:rPr>
        <w:t>القول فی الأوانی</w:t>
      </w:r>
    </w:p>
    <w:p>
      <w:pPr>
        <w:pStyle w:val="Heading4"/>
        <w:numPr>
          <w:ilvl w:val="3"/>
          <w:numId w:val="1"/>
        </w:numPr>
        <w:rPr/>
      </w:pPr>
      <w:bookmarkStart w:id="1358" w:name="__RefHeading___Toc2566226_3650668749"/>
      <w:bookmarkStart w:id="1359" w:name="_Toc622"/>
      <w:bookmarkEnd w:id="1358"/>
      <w:r>
        <w:rPr>
          <w:rtl w:val="true"/>
        </w:rPr>
        <w:t>[ (</w:t>
      </w:r>
      <w:r>
        <w:rPr>
          <w:rtl w:val="true"/>
        </w:rPr>
        <w:t xml:space="preserve">مسألة </w:t>
      </w:r>
      <w:r>
        <w:rPr/>
        <w:t>1</w:t>
      </w:r>
      <w:r>
        <w:rPr>
          <w:rtl w:val="true"/>
        </w:rPr>
        <w:t xml:space="preserve">): </w:t>
      </w:r>
      <w:r>
        <w:rPr>
          <w:rtl w:val="true"/>
        </w:rPr>
        <w:t>أوانی الکفّار کأوانی غیرهم محکومة بالطهارة</w:t>
      </w:r>
      <w:r>
        <w:rPr>
          <w:rtl w:val="true"/>
        </w:rPr>
        <w:t>]</w:t>
      </w:r>
      <w:bookmarkEnd w:id="1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أوانی الکفّار کأوانی غیرهم محکومة بالطهارة ما لم یعلم ملاقاتهم لها مع الرطوبة المسریة، و کذا کلّ ما فی أیدیهم من اللباس و الفرش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کان فی أیدیهم من الجلود محکومة بالنجاسة إذا علم کونها من الحیوان الذی له نفس سائلة و لم یعلم تذکیة حیوانها و لم یعلم سبق ید مسلم علیها، و کذلک الحال فی اللحوم و الشحوم التی فی أیدیهم بل فی سوقهم، فإنّها محکومة بالنجاسة مع الشروط المزبورة</w:t>
      </w:r>
      <w:r>
        <w:rPr>
          <w:rFonts w:eastAsia="IRNazanin" w:cs="IRNazanin"/>
          <w:color w:val="111111"/>
          <w:sz w:val="28"/>
          <w:szCs w:val="28"/>
          <w:rtl w:val="true"/>
          <w:lang w:bidi="fa-IR"/>
        </w:rPr>
        <w:t>.</w:t>
      </w:r>
    </w:p>
    <w:p>
      <w:pPr>
        <w:pStyle w:val="Heading4"/>
        <w:numPr>
          <w:ilvl w:val="3"/>
          <w:numId w:val="1"/>
        </w:numPr>
        <w:rPr/>
      </w:pPr>
      <w:bookmarkStart w:id="1360" w:name="__RefHeading___Toc2566228_3650668749"/>
      <w:bookmarkStart w:id="1361" w:name="_Toc623"/>
      <w:bookmarkEnd w:id="1360"/>
      <w:r>
        <w:rPr>
          <w:rtl w:val="true"/>
        </w:rPr>
        <w:t>[ (</w:t>
      </w:r>
      <w:r>
        <w:rPr>
          <w:rtl w:val="true"/>
        </w:rPr>
        <w:t xml:space="preserve">مسألة </w:t>
      </w:r>
      <w:r>
        <w:rPr/>
        <w:t>2</w:t>
      </w:r>
      <w:r>
        <w:rPr>
          <w:rtl w:val="true"/>
        </w:rPr>
        <w:t xml:space="preserve">): </w:t>
      </w:r>
      <w:r>
        <w:rPr>
          <w:rtl w:val="true"/>
        </w:rPr>
        <w:t>یحرم استعمال أوانی الذهب و الفضّة فی الأکل و الشرب و الطهارة</w:t>
      </w:r>
      <w:r>
        <w:rPr>
          <w:rtl w:val="true"/>
        </w:rPr>
        <w:t>]</w:t>
      </w:r>
      <w:bookmarkEnd w:id="136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استعمال أوانی الذهب و الفضّة فی الأکل و الشرب و الطهارة من الحدث و الخبث و غیرها، و المحرّم </w:t>
      </w:r>
      <w:r>
        <w:rPr>
          <w:rStyle w:val="FootnoteAnchor"/>
          <w:rtl w:val="true"/>
        </w:rPr>
        <w:footnoteReference w:id="401"/>
      </w:r>
      <w:r>
        <w:rPr>
          <w:rFonts w:ascii="IRNazanin" w:hAnsi="IRNazanin" w:eastAsia="IRNazanin"/>
          <w:color w:val="111111"/>
          <w:sz w:val="28"/>
          <w:sz w:val="28"/>
          <w:szCs w:val="28"/>
          <w:rtl w:val="true"/>
          <w:lang w:bidi="fa-IR"/>
        </w:rPr>
        <w:t>نفس استعمالها و تناول المأکول أو المشروب مثلًا منها دون المأکول و المشروب، فلو أکل منها طعاماً مباحاً فی نهار شهر رمضان لا یکون مفطراً بالحرام و إن ارتکب الحرام من جهة التناول منها و استعمالها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یدخل فی استعمالها </w:t>
      </w:r>
      <w:r>
        <w:rPr>
          <w:rStyle w:val="FootnoteAnchor"/>
          <w:rtl w:val="true"/>
        </w:rPr>
        <w:footnoteReference w:id="402"/>
      </w:r>
      <w:r>
        <w:rPr>
          <w:rFonts w:ascii="IRNazanin" w:hAnsi="IRNazanin" w:eastAsia="IRNazanin"/>
          <w:color w:val="111111"/>
          <w:sz w:val="28"/>
          <w:sz w:val="28"/>
          <w:szCs w:val="28"/>
          <w:rtl w:val="true"/>
          <w:lang w:bidi="fa-IR"/>
        </w:rPr>
        <w:t xml:space="preserve">المحرّم علی الأحوط وضعها علی الرفوف للتزیین بل و تزیین المساجد و المشاهد بها، و هل یحرم اقتناؤها من غیر استعمال، فیه تردّد </w:t>
      </w:r>
      <w:r>
        <w:rPr>
          <w:rStyle w:val="FootnoteAnchor"/>
          <w:rtl w:val="true"/>
        </w:rPr>
        <w:footnoteReference w:id="403"/>
      </w:r>
      <w:r>
        <w:rPr>
          <w:rFonts w:ascii="IRNazanin" w:hAnsi="IRNazanin" w:eastAsia="IRNazanin"/>
          <w:color w:val="111111"/>
          <w:sz w:val="28"/>
          <w:sz w:val="28"/>
          <w:szCs w:val="28"/>
          <w:rtl w:val="true"/>
          <w:lang w:bidi="fa-IR"/>
        </w:rPr>
        <w:t>و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یحرم استعمال الملبّس </w:t>
      </w:r>
      <w:r>
        <w:rPr>
          <w:rStyle w:val="FootnoteAnchor"/>
          <w:rtl w:val="true"/>
        </w:rPr>
        <w:footnoteReference w:id="404"/>
      </w:r>
      <w:r>
        <w:rPr>
          <w:rFonts w:ascii="IRNazanin" w:hAnsi="IRNazanin" w:eastAsia="IRNazanin"/>
          <w:color w:val="111111"/>
          <w:sz w:val="28"/>
          <w:sz w:val="28"/>
          <w:szCs w:val="28"/>
          <w:rtl w:val="true"/>
          <w:lang w:bidi="fa-IR"/>
        </w:rPr>
        <w:t>بأحدهما إذا کان علیٰ وجه لو انفصل کان إناءً مستقلا دون ما إذا لم یکن کذلک و دون المفضّض و المموّه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الممتزج منهما بحکم أحدهما و إن لم یصدق علیه اسم أحدهما، بخلاف الممتزج من أحدهما بغیرهما إذا لم یکن بحیث یصدق علیه اسم أحدهما</w:t>
      </w:r>
      <w:r>
        <w:rPr>
          <w:rFonts w:eastAsia="IRNazanin" w:cs="IRNazanin"/>
          <w:color w:val="111111"/>
          <w:sz w:val="28"/>
          <w:szCs w:val="28"/>
          <w:rtl w:val="true"/>
          <w:lang w:bidi="fa-IR"/>
        </w:rPr>
        <w:t>.</w:t>
      </w:r>
      <w:bookmarkStart w:id="1362" w:name="pg1809_18916"/>
    </w:p>
    <w:p>
      <w:pPr>
        <w:pStyle w:val="Heading4"/>
        <w:numPr>
          <w:ilvl w:val="3"/>
          <w:numId w:val="1"/>
        </w:numPr>
        <w:rPr/>
      </w:pPr>
      <w:bookmarkStart w:id="1363" w:name="__RefHeading___Toc2566230_3650668749"/>
      <w:bookmarkStart w:id="1364" w:name="_Toc624"/>
      <w:bookmarkEnd w:id="1362"/>
      <w:bookmarkEnd w:id="1363"/>
      <w:r>
        <w:rPr>
          <w:rtl w:val="true"/>
        </w:rPr>
        <w:t>[ (</w:t>
      </w:r>
      <w:r>
        <w:rPr>
          <w:rtl w:val="true"/>
        </w:rPr>
        <w:t xml:space="preserve">مسألة </w:t>
      </w:r>
      <w:r>
        <w:rPr/>
        <w:t>3</w:t>
      </w:r>
      <w:r>
        <w:rPr>
          <w:rtl w:val="true"/>
        </w:rPr>
        <w:t xml:space="preserve">): </w:t>
      </w:r>
      <w:r>
        <w:rPr>
          <w:rtl w:val="true"/>
        </w:rPr>
        <w:t>الظاهر أنّ المراد من الأوانی ما یستعمل فی الأکل و الشرب و الطبخ و الغسل أو العجن</w:t>
      </w:r>
      <w:r>
        <w:rPr>
          <w:rtl w:val="true"/>
        </w:rPr>
        <w:t>]</w:t>
      </w:r>
      <w:bookmarkEnd w:id="1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من الأوانی ما یستعمل فی الأکل و الشرب و الطبخ و الغسل أو العجن، مثل الکأس و الکوز و القصاع و القدور و الجفان و الأقداح و الطست و السماور و القوری و الفنجان بل و کوز القلیان و النعلبکی و القاشق </w:t>
      </w:r>
      <w:r>
        <w:rPr>
          <w:rStyle w:val="FootnoteAnchor"/>
          <w:rtl w:val="true"/>
        </w:rPr>
        <w:footnoteReference w:id="405"/>
      </w:r>
      <w:r>
        <w:rPr>
          <w:rFonts w:ascii="IRNazanin" w:hAnsi="IRNazanin" w:eastAsia="IRNazanin"/>
          <w:color w:val="111111"/>
          <w:sz w:val="28"/>
          <w:sz w:val="28"/>
          <w:szCs w:val="28"/>
          <w:rtl w:val="true"/>
          <w:lang w:bidi="fa-IR"/>
        </w:rPr>
        <w:t>، فلا یشمل مثل رأس القلیان و رأس الشطب و غلاف السیف و الخنجر و السکّین و الصندوق و ما یصنع بیتاً للتعویذ و قاب الساعة و القندیل و الخلخال و إن کان مجوّفاً، و فی شمولها للهاون و المجامر و المباخر و ظروف الغالیة و المعجون و التریاک و نحو ذلک تردّد و إشکال، فلا یترک الاحتیاط</w:t>
      </w:r>
      <w:r>
        <w:rPr>
          <w:rFonts w:eastAsia="IRNazanin" w:cs="IRNazanin"/>
          <w:color w:val="111111"/>
          <w:sz w:val="28"/>
          <w:szCs w:val="28"/>
          <w:rtl w:val="true"/>
          <w:lang w:bidi="fa-IR"/>
        </w:rPr>
        <w:t>.</w:t>
      </w:r>
    </w:p>
    <w:p>
      <w:pPr>
        <w:pStyle w:val="Heading4"/>
        <w:numPr>
          <w:ilvl w:val="3"/>
          <w:numId w:val="1"/>
        </w:numPr>
        <w:rPr/>
      </w:pPr>
      <w:bookmarkStart w:id="1365" w:name="__RefHeading___Toc2566232_3650668749"/>
      <w:bookmarkStart w:id="1366" w:name="_Toc625"/>
      <w:bookmarkEnd w:id="1365"/>
      <w:r>
        <w:rPr>
          <w:rtl w:val="true"/>
        </w:rPr>
        <w:t>[ (</w:t>
      </w:r>
      <w:r>
        <w:rPr>
          <w:rtl w:val="true"/>
        </w:rPr>
        <w:t xml:space="preserve">مسألة </w:t>
      </w:r>
      <w:r>
        <w:rPr/>
        <w:t>4</w:t>
      </w:r>
      <w:r>
        <w:rPr>
          <w:rtl w:val="true"/>
        </w:rPr>
        <w:t xml:space="preserve">): </w:t>
      </w:r>
      <w:r>
        <w:rPr>
          <w:rtl w:val="true"/>
        </w:rPr>
        <w:t>کما یحرم الأکل و الشرب من آنیة الذهب و الفضّة بوضعها علیٰ فمه</w:t>
      </w:r>
      <w:r>
        <w:rPr>
          <w:rtl w:val="true"/>
        </w:rPr>
        <w:t>]</w:t>
      </w:r>
      <w:bookmarkEnd w:id="1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یحرم الأکل و الشرب من آنیة الذهب و الفضّة بوضعها علیٰ فمه و أخذ اللقمة منها مثلًا کذلک یحرم تفریغ ما فیها فی إناء آخر بقصد الأکل 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تفریغ ما فیها فی إناء آخر بقصد التخلّص من الحرام لا بأس به، بل و لا یحرم الأکل و الشرب أیضاً من ذلک الإناء بعد ذلک، بل لا یبعد أن یکون المحرّم فی الصورة الأُولیٰ أیضاً نفس التفریغ فی إناء آخر بذلک القصد دون الأکل أو الشرب من ذلک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الصابّ منها فی إناء آخر شخص و أکل أو شرب منه شخص آخر کان الصابّ مرتکباً للحرام بسبب صبّه دون الآکل و الشارب بسبب أکله أو شربه، نعم لو کان الصبّ بأمره و استدعائه لا یبعد أن یکون کلاهما مرتکباً للحرام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7" w:name="__RefHeading___Toc2566234_3650668749"/>
      <w:bookmarkStart w:id="1368" w:name="_Toc626"/>
      <w:bookmarkEnd w:id="1367"/>
      <w:r>
        <w:rPr>
          <w:rtl w:val="true"/>
        </w:rPr>
        <w:t>[ (</w:t>
      </w:r>
      <w:r>
        <w:rPr>
          <w:rtl w:val="true"/>
        </w:rPr>
        <w:t xml:space="preserve">مسألة </w:t>
      </w:r>
      <w:r>
        <w:rPr/>
        <w:t>5</w:t>
      </w:r>
      <w:r>
        <w:rPr>
          <w:rtl w:val="true"/>
        </w:rPr>
        <w:t xml:space="preserve">): </w:t>
      </w:r>
      <w:r>
        <w:rPr>
          <w:rtl w:val="true"/>
        </w:rPr>
        <w:t>الظاهر أنّ الوضوء من آنیة الذهب و الفضّة کالوضوء من الآنیة المغصوبة یبطل</w:t>
      </w:r>
      <w:r>
        <w:rPr>
          <w:rtl w:val="true"/>
        </w:rPr>
        <w:t>]</w:t>
      </w:r>
      <w:bookmarkEnd w:id="136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الوضوء من آنیة الذهب و الفضّة کالوضوء من الآنیة المغصوبة یبطل إن کان بنحو الرمس، و إن کان بنحو الاغتراف یبطل مع الانحصار و یصحّ مع عدمه و قد تقدّم</w:t>
      </w:r>
      <w:r>
        <w:rPr>
          <w:rFonts w:eastAsia="IRNazanin" w:cs="IRNazanin"/>
          <w:color w:val="111111"/>
          <w:sz w:val="28"/>
          <w:szCs w:val="28"/>
          <w:rtl w:val="true"/>
          <w:lang w:bidi="fa-IR"/>
        </w:rPr>
        <w:t>.</w:t>
      </w:r>
      <w:bookmarkStart w:id="1369" w:name="pg1809_18919"/>
    </w:p>
    <w:p>
      <w:pPr>
        <w:pStyle w:val="Heading2"/>
        <w:numPr>
          <w:ilvl w:val="1"/>
          <w:numId w:val="1"/>
        </w:numPr>
        <w:rPr/>
      </w:pPr>
      <w:bookmarkStart w:id="1370" w:name="__RefHeading___Toc2566236_3650668749"/>
      <w:bookmarkStart w:id="1371" w:name="_Toc627"/>
      <w:bookmarkEnd w:id="1369"/>
      <w:bookmarkEnd w:id="1370"/>
      <w:r>
        <w:rPr>
          <w:rtl w:val="true"/>
        </w:rPr>
        <w:t>[</w:t>
      </w:r>
      <w:r>
        <w:rPr>
          <w:rtl w:val="true"/>
        </w:rPr>
        <w:t>کتاب الصلاة</w:t>
      </w:r>
      <w:r>
        <w:rPr>
          <w:rtl w:val="true"/>
        </w:rPr>
        <w:t>]</w:t>
      </w:r>
      <w:bookmarkEnd w:id="1371"/>
    </w:p>
    <w:p>
      <w:pPr>
        <w:pStyle w:val="Heading3"/>
        <w:numPr>
          <w:ilvl w:val="2"/>
          <w:numId w:val="1"/>
        </w:numPr>
        <w:rPr/>
      </w:pPr>
      <w:bookmarkStart w:id="1372" w:name="__RefHeading___Toc2566238_3650668749"/>
      <w:bookmarkStart w:id="1373" w:name="_Toc628"/>
      <w:bookmarkEnd w:id="1372"/>
      <w:r>
        <w:rPr>
          <w:rtl w:val="true"/>
        </w:rPr>
        <w:t>اشارة</w:t>
      </w:r>
      <w:bookmarkEnd w:id="1373"/>
    </w:p>
    <w:p>
      <w:pPr>
        <w:pStyle w:val="BookText"/>
        <w:rPr/>
      </w:pPr>
      <w:r>
        <w:rPr>
          <w:rFonts w:ascii="IRNazanin" w:hAnsi="IRNazanin" w:eastAsia="IRNazanin"/>
          <w:color w:val="111111"/>
          <w:sz w:val="28"/>
          <w:sz w:val="28"/>
          <w:szCs w:val="28"/>
          <w:rtl w:val="true"/>
          <w:lang w:bidi="fa-IR"/>
        </w:rPr>
        <w:t>کتاب الصلاة و هی التی تنهیٰ عن الفحشاء و المنکر و هی عمود الدین، إن قبلت قبل ما سواها و إن ردّت ردّ ما سواها</w:t>
      </w:r>
      <w:r>
        <w:rPr>
          <w:rFonts w:eastAsia="IRNazanin" w:cs="IRNazanin"/>
          <w:color w:val="111111"/>
          <w:sz w:val="28"/>
          <w:szCs w:val="28"/>
          <w:rtl w:val="true"/>
          <w:lang w:bidi="fa-IR"/>
        </w:rPr>
        <w:t>.</w:t>
      </w:r>
    </w:p>
    <w:p>
      <w:pPr>
        <w:pStyle w:val="Heading3"/>
        <w:numPr>
          <w:ilvl w:val="2"/>
          <w:numId w:val="1"/>
        </w:numPr>
        <w:rPr/>
      </w:pPr>
      <w:bookmarkStart w:id="1374" w:name="__RefHeading___Toc2566240_3650668749"/>
      <w:bookmarkStart w:id="1375" w:name="_Toc629"/>
      <w:bookmarkEnd w:id="1374"/>
      <w:r>
        <w:rPr>
          <w:rtl w:val="true"/>
        </w:rPr>
        <w:t>[</w:t>
      </w:r>
      <w:r>
        <w:rPr>
          <w:rtl w:val="true"/>
        </w:rPr>
        <w:t>فصل فی مقدّمات الصلاة</w:t>
      </w:r>
      <w:r>
        <w:rPr>
          <w:rtl w:val="true"/>
        </w:rPr>
        <w:t>]</w:t>
      </w:r>
      <w:bookmarkEnd w:id="1375"/>
    </w:p>
    <w:p>
      <w:pPr>
        <w:pStyle w:val="Heading4"/>
        <w:numPr>
          <w:ilvl w:val="3"/>
          <w:numId w:val="1"/>
        </w:numPr>
        <w:rPr/>
      </w:pPr>
      <w:bookmarkStart w:id="1376" w:name="__RefHeading___Toc2566242_3650668749"/>
      <w:bookmarkStart w:id="1377" w:name="_Toc630"/>
      <w:bookmarkEnd w:id="1376"/>
      <w:r>
        <w:rPr>
          <w:rtl w:val="true"/>
        </w:rPr>
        <w:t>اشارة</w:t>
      </w:r>
      <w:bookmarkEnd w:id="1377"/>
    </w:p>
    <w:p>
      <w:pPr>
        <w:pStyle w:val="BookText"/>
        <w:rPr/>
      </w:pPr>
      <w:r>
        <w:rPr>
          <w:rFonts w:ascii="IRNazanin" w:hAnsi="IRNazanin" w:eastAsia="IRNazanin"/>
          <w:color w:val="111111"/>
          <w:sz w:val="28"/>
          <w:sz w:val="28"/>
          <w:szCs w:val="28"/>
          <w:rtl w:val="true"/>
          <w:lang w:bidi="fa-IR"/>
        </w:rPr>
        <w:t>فصل فی مقدّمات الصلاة و هی ستّ</w:t>
      </w:r>
      <w:r>
        <w:rPr>
          <w:rFonts w:eastAsia="IRNazanin" w:cs="IRNazanin"/>
          <w:color w:val="111111"/>
          <w:sz w:val="28"/>
          <w:szCs w:val="28"/>
          <w:rtl w:val="true"/>
          <w:lang w:bidi="fa-IR"/>
        </w:rPr>
        <w:t>:</w:t>
      </w:r>
    </w:p>
    <w:p>
      <w:pPr>
        <w:pStyle w:val="Heading4"/>
        <w:numPr>
          <w:ilvl w:val="3"/>
          <w:numId w:val="1"/>
        </w:numPr>
        <w:rPr/>
      </w:pPr>
      <w:bookmarkStart w:id="1378" w:name="__RefHeading___Toc2566244_3650668749"/>
      <w:bookmarkStart w:id="1379" w:name="_Toc631"/>
      <w:bookmarkEnd w:id="1378"/>
      <w:r>
        <w:rPr>
          <w:rtl w:val="true"/>
        </w:rPr>
        <w:t>[</w:t>
      </w:r>
      <w:r>
        <w:rPr>
          <w:rtl w:val="true"/>
        </w:rPr>
        <w:t>المقدّمة الاولیٰ</w:t>
      </w:r>
      <w:r>
        <w:rPr>
          <w:rtl w:val="true"/>
        </w:rPr>
        <w:t xml:space="preserve">: </w:t>
      </w:r>
      <w:r>
        <w:rPr>
          <w:rtl w:val="true"/>
        </w:rPr>
        <w:t>فی أعداد الفرائض و مواقیت الیومیّة و نوافلها</w:t>
      </w:r>
      <w:r>
        <w:rPr>
          <w:rtl w:val="true"/>
        </w:rPr>
        <w:t>]</w:t>
      </w:r>
      <w:bookmarkEnd w:id="1379"/>
    </w:p>
    <w:p>
      <w:pPr>
        <w:pStyle w:val="Heading5"/>
        <w:numPr>
          <w:ilvl w:val="4"/>
          <w:numId w:val="1"/>
        </w:numPr>
        <w:rPr/>
      </w:pPr>
      <w:bookmarkStart w:id="1380" w:name="__RefHeading___Toc2566246_3650668749"/>
      <w:bookmarkStart w:id="1381" w:name="_Toc632"/>
      <w:bookmarkEnd w:id="1380"/>
      <w:r>
        <w:rPr>
          <w:rtl w:val="true"/>
        </w:rPr>
        <w:t>اشارة</w:t>
      </w:r>
      <w:bookmarkEnd w:id="1381"/>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أعداد الفرائض و مواقیت الیومیّة و نوافلها</w:t>
      </w:r>
    </w:p>
    <w:p>
      <w:pPr>
        <w:pStyle w:val="Heading5"/>
        <w:numPr>
          <w:ilvl w:val="4"/>
          <w:numId w:val="1"/>
        </w:numPr>
        <w:rPr/>
      </w:pPr>
      <w:bookmarkStart w:id="1382" w:name="__RefHeading___Toc2566248_3650668749"/>
      <w:bookmarkStart w:id="1383" w:name="_Toc633"/>
      <w:bookmarkEnd w:id="1382"/>
      <w:r>
        <w:rPr>
          <w:rtl w:val="true"/>
        </w:rPr>
        <w:t>[ (</w:t>
      </w:r>
      <w:r>
        <w:rPr>
          <w:rtl w:val="true"/>
        </w:rPr>
        <w:t xml:space="preserve">مسألة </w:t>
      </w:r>
      <w:r>
        <w:rPr/>
        <w:t>1</w:t>
      </w:r>
      <w:r>
        <w:rPr>
          <w:rtl w:val="true"/>
        </w:rPr>
        <w:t xml:space="preserve">): </w:t>
      </w:r>
      <w:r>
        <w:rPr>
          <w:rtl w:val="true"/>
        </w:rPr>
        <w:t>الصلاة واجبة و مندوبة</w:t>
      </w:r>
      <w:r>
        <w:rPr>
          <w:rtl w:val="true"/>
        </w:rPr>
        <w:t>]</w:t>
      </w:r>
      <w:bookmarkEnd w:id="138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واجبة و مندوبة، فالواجبة خمس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الیومیّة و منها الجمعة و صلاة الآیات و الطواف الواجب و الأموات و ما التزمه المکلّف بنذر أو إجارة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المندوبة أکثر من أن تحصی؛ منها الرواتب الیومیّة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رکعات للظهر قبله، و ثمان للعصر قبله أیضاً، و أربع للمغرب بعده، و رکعتان من جلوس بعد العشاء تعدّان برکعة تسمّی بالوتیرة، و یمتدّ وقتها بامتداد وقتها، و رکعتان للفجر قبل الفریضة و وقتها الفجر الأوّل </w:t>
      </w:r>
      <w:r>
        <w:rPr>
          <w:rStyle w:val="FootnoteAnchor"/>
          <w:rtl w:val="true"/>
        </w:rPr>
        <w:footnoteReference w:id="408"/>
      </w:r>
      <w:r>
        <w:rPr>
          <w:rFonts w:ascii="IRNazanin" w:hAnsi="IRNazanin" w:eastAsia="IRNazanin"/>
          <w:color w:val="111111"/>
          <w:sz w:val="28"/>
          <w:sz w:val="28"/>
          <w:szCs w:val="28"/>
          <w:rtl w:val="true"/>
          <w:lang w:bidi="fa-IR"/>
        </w:rPr>
        <w:t>و یمتدّ إلیٰ أن یبقیٰ من طلوع الحمرة مقدار أداء الفریضة، و یجوز دسّها فی صلاة اللیل قبل الفجر و لو عند نصف اللیل، و إحدی عشر رکعة نافلة اللیل؛ صلاة اللیل ثمان رکعات ثمّ رکعتا الشفع ثمّ رکعة الوتر، و هی مع الشفع أفضل صلاة اللیل و رکعتا</w:t>
      </w:r>
      <w:bookmarkStart w:id="1384" w:name="pg1809_18921"/>
    </w:p>
    <w:p>
      <w:pPr>
        <w:pStyle w:val="BookText"/>
        <w:rPr/>
      </w:pPr>
      <w:bookmarkEnd w:id="1384"/>
      <w:r>
        <w:rPr>
          <w:rFonts w:ascii="IRNazanin" w:hAnsi="IRNazanin" w:eastAsia="IRNazanin"/>
          <w:color w:val="111111"/>
          <w:sz w:val="28"/>
          <w:sz w:val="28"/>
          <w:szCs w:val="28"/>
          <w:rtl w:val="true"/>
          <w:lang w:bidi="fa-IR"/>
        </w:rPr>
        <w:t xml:space="preserve">الفجر أفضل منهما، و یجوز الاقتصار علی الشفع و الوتر بل علی الوتر خاصّة </w:t>
      </w:r>
      <w:r>
        <w:rPr>
          <w:rStyle w:val="FootnoteAnchor"/>
          <w:rtl w:val="true"/>
        </w:rPr>
        <w:footnoteReference w:id="409"/>
      </w:r>
      <w:r>
        <w:rPr>
          <w:rFonts w:ascii="IRNazanin" w:hAnsi="IRNazanin" w:eastAsia="IRNazanin"/>
          <w:color w:val="111111"/>
          <w:sz w:val="28"/>
          <w:sz w:val="28"/>
          <w:szCs w:val="28"/>
          <w:rtl w:val="true"/>
          <w:lang w:bidi="fa-IR"/>
        </w:rPr>
        <w:t xml:space="preserve">، و وقت صلاة اللیل نصف اللیل إلی الفجر الصادق، و السحر أفضل </w:t>
      </w:r>
      <w:r>
        <w:rPr>
          <w:rStyle w:val="FootnoteAnchor"/>
          <w:rtl w:val="true"/>
        </w:rPr>
        <w:footnoteReference w:id="410"/>
      </w:r>
      <w:r>
        <w:rPr>
          <w:rFonts w:ascii="IRNazanin" w:hAnsi="IRNazanin" w:eastAsia="IRNazanin"/>
          <w:color w:val="111111"/>
          <w:sz w:val="28"/>
          <w:sz w:val="28"/>
          <w:szCs w:val="28"/>
          <w:rtl w:val="true"/>
          <w:lang w:bidi="fa-IR"/>
        </w:rPr>
        <w:t>من غیره، و الثلث الأخیر من اللیل کلّه سحر و أفضله القریب 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فعدد النوافل بعد عدّ الوتیرة برکعة أربع و ثلاثون رکعة ضعف عدد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تسقط فی السفر الموجب للقصر ثمانیة الظهر و ثمانیة العصر و تثبت البواقی حتّی الوتیرة علی الأقویٰ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5" w:name="__RefHeading___Toc2566250_3650668749"/>
      <w:bookmarkStart w:id="1386" w:name="_Toc634"/>
      <w:bookmarkEnd w:id="1385"/>
      <w:r>
        <w:rPr>
          <w:rtl w:val="true"/>
        </w:rPr>
        <w:t>[ (</w:t>
      </w:r>
      <w:r>
        <w:rPr>
          <w:rtl w:val="true"/>
        </w:rPr>
        <w:t xml:space="preserve">مسألة </w:t>
      </w:r>
      <w:r>
        <w:rPr/>
        <w:t>2</w:t>
      </w:r>
      <w:r>
        <w:rPr>
          <w:rtl w:val="true"/>
        </w:rPr>
        <w:t xml:space="preserve">): </w:t>
      </w:r>
      <w:r>
        <w:rPr>
          <w:rtl w:val="true"/>
        </w:rPr>
        <w:t>الأقویٰ ثبوت صلاة الغفیلة و لیست من الرواتب</w:t>
      </w:r>
      <w:r>
        <w:rPr>
          <w:rtl w:val="true"/>
        </w:rPr>
        <w:t>]</w:t>
      </w:r>
      <w:bookmarkEnd w:id="1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ثبوت صلاة الغفیلة و لیست من الرواتب، و هی رکعتان بین العشاءین </w:t>
      </w:r>
      <w:r>
        <w:rPr>
          <w:rStyle w:val="FootnoteAnchor"/>
          <w:rtl w:val="true"/>
        </w:rPr>
        <w:footnoteReference w:id="412"/>
      </w:r>
      <w:r>
        <w:rPr>
          <w:rFonts w:ascii="Amiri" w:hAnsi="Amiri" w:eastAsia="Amiri" w:cs="Amiri"/>
          <w:color w:val="111111"/>
          <w:sz w:val="28"/>
          <w:sz w:val="28"/>
          <w:szCs w:val="28"/>
          <w:rtl w:val="true"/>
          <w:lang w:bidi="ar-SA"/>
        </w:rPr>
        <w:t>یقرأ فی الأُولیٰ بعد الحمد وَ ذَا النُّونِ إِذْ ذَهَبَ مُغٰاضِباً فَظَنَّ أَنْ لَنْ نَقْدِرَ عَلَیْهِ فَنٰادیٰ فِی الظُّلُمٰاتِ أَنْ لٰا إِلٰهَ إِلّٰا أَنْتَ سُبْحٰانَکَ إِنِّی کُنْتُ مِنَ الظّٰالِمِینَ فَاسْتَجَبْنٰا لَهُ وَ نَجَّیْنٰاهُ مِنَ الْغَمِّ وَ کَذٰلِکَ نُنْجِی الْمُؤْمِنِینَ، و فی الثانیة بعد الحمد وَ عِنْدَهُ مَفٰاتِحُ الْغَیْبِ لٰا یَعْلَمُهٰا إِلّٰا هُوَ وَ یَعْلَمُ مٰا فِی الْبَرِّ وَ الْبَحْرِ وَ مٰا تَسْقُطُ مِنْ وَرَقَةٍ إِلّٰا یَعْلَمُهٰا وَ لٰا حَبَّةٍ فِی ظُلُمٰاتِ الْأَرْضِ وَ لٰا رَطْبٍ وَ لٰا یٰابِسٍ إِلّٰا فِی کِتٰابٍ مُبِینٍ، فإذا فرغ من القراءة رفع یدیه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بمفاتح الغیب التی لا یعلمها إلّا أنت أن تصلّی علیٰ محمّد و آل محمّد و أن تفعل بی کذا و کذا، اللهمّ أنت ولیّ نعمتی و القادر علیٰ طلبتی تعلم حاجتی فأسألک بحقّ محمّد و آل محمّد علیه و علیهم السلام لمّا قضیتها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اللّٰه حاجته أعطاه اللّٰه عزّ و جلّ ما سأله إن شاء اللّٰه</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2566252_3650668749"/>
      <w:bookmarkStart w:id="1388" w:name="_Toc635"/>
      <w:bookmarkEnd w:id="1387"/>
      <w:r>
        <w:rPr>
          <w:rtl w:val="true"/>
        </w:rPr>
        <w:t>[ (</w:t>
      </w:r>
      <w:r>
        <w:rPr>
          <w:rtl w:val="true"/>
        </w:rPr>
        <w:t xml:space="preserve">مسألة </w:t>
      </w:r>
      <w:r>
        <w:rPr/>
        <w:t>3</w:t>
      </w:r>
      <w:r>
        <w:rPr>
          <w:rtl w:val="true"/>
        </w:rPr>
        <w:t xml:space="preserve">): </w:t>
      </w:r>
      <w:r>
        <w:rPr>
          <w:rtl w:val="true"/>
        </w:rPr>
        <w:t>یجوز إتیان النوافل الرواتب و غیرها جالساً حتّی فی حال الاختیار</w:t>
      </w:r>
      <w:r>
        <w:rPr>
          <w:rtl w:val="true"/>
        </w:rPr>
        <w:t>]</w:t>
      </w:r>
      <w:bookmarkEnd w:id="1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إتیان النوافل الرواتب و غیرها جالساً حتّی فی حال الاختیار، لکنّ الأولیٰ حینئذٍ عدّ کلّ رکعتین برکعة حتّی فی الوتر فیأتی بها مرّتین کلّ مرّة رکعة</w:t>
      </w:r>
      <w:r>
        <w:rPr>
          <w:rFonts w:eastAsia="IRNazanin" w:cs="IRNazanin"/>
          <w:color w:val="111111"/>
          <w:sz w:val="28"/>
          <w:szCs w:val="28"/>
          <w:rtl w:val="true"/>
          <w:lang w:bidi="fa-IR"/>
        </w:rPr>
        <w:t>.</w:t>
      </w:r>
    </w:p>
    <w:p>
      <w:pPr>
        <w:pStyle w:val="Heading5"/>
        <w:numPr>
          <w:ilvl w:val="4"/>
          <w:numId w:val="1"/>
        </w:numPr>
        <w:rPr/>
      </w:pPr>
      <w:bookmarkStart w:id="1389" w:name="__RefHeading___Toc2566254_3650668749"/>
      <w:bookmarkStart w:id="1390" w:name="_Toc636"/>
      <w:bookmarkEnd w:id="1389"/>
      <w:r>
        <w:rPr>
          <w:rtl w:val="true"/>
        </w:rPr>
        <w:t>[ (</w:t>
      </w:r>
      <w:r>
        <w:rPr>
          <w:rtl w:val="true"/>
        </w:rPr>
        <w:t xml:space="preserve">مسألة </w:t>
      </w:r>
      <w:r>
        <w:rPr/>
        <w:t>4</w:t>
      </w:r>
      <w:r>
        <w:rPr>
          <w:rtl w:val="true"/>
        </w:rPr>
        <w:t xml:space="preserve">): </w:t>
      </w:r>
      <w:r>
        <w:rPr>
          <w:rtl w:val="true"/>
        </w:rPr>
        <w:t>وقت نافلة الظهر من الزوال إلی الذراع</w:t>
      </w:r>
      <w:r>
        <w:rPr>
          <w:rtl w:val="true"/>
        </w:rPr>
        <w:t>]</w:t>
      </w:r>
      <w:bookmarkEnd w:id="1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نافلة الظهر من الزوال إلی الذراع؛ أی سبعی الشاخص، و العصر إلی الذراعین؛ أی أربعة أسباعه، فإذا وصل إلیٰ هذا الحدّ یقدّم الفریضة</w:t>
      </w:r>
      <w:r>
        <w:rPr>
          <w:rFonts w:eastAsia="IRNazanin" w:cs="IRNazanin"/>
          <w:color w:val="111111"/>
          <w:sz w:val="28"/>
          <w:szCs w:val="28"/>
          <w:rtl w:val="true"/>
          <w:lang w:bidi="fa-IR"/>
        </w:rPr>
        <w:t>.</w:t>
      </w:r>
    </w:p>
    <w:p>
      <w:pPr>
        <w:pStyle w:val="Heading5"/>
        <w:numPr>
          <w:ilvl w:val="4"/>
          <w:numId w:val="1"/>
        </w:numPr>
        <w:rPr/>
      </w:pPr>
      <w:bookmarkStart w:id="1391" w:name="__RefHeading___Toc2566256_3650668749"/>
      <w:bookmarkStart w:id="1392" w:name="_Toc637"/>
      <w:bookmarkEnd w:id="1391"/>
      <w:r>
        <w:rPr>
          <w:rtl w:val="true"/>
        </w:rPr>
        <w:t>[ (</w:t>
      </w:r>
      <w:r>
        <w:rPr>
          <w:rtl w:val="true"/>
        </w:rPr>
        <w:t xml:space="preserve">مسألة </w:t>
      </w:r>
      <w:r>
        <w:rPr/>
        <w:t>5</w:t>
      </w:r>
      <w:r>
        <w:rPr>
          <w:rtl w:val="true"/>
        </w:rPr>
        <w:t xml:space="preserve">): </w:t>
      </w:r>
      <w:r>
        <w:rPr>
          <w:rtl w:val="true"/>
        </w:rPr>
        <w:t>لا إشکال فی جواز تقدیم نافلتی الظهر و العصر علی الزوال فی یوم الجمعة</w:t>
      </w:r>
      <w:r>
        <w:rPr>
          <w:rtl w:val="true"/>
        </w:rPr>
        <w:t>]</w:t>
      </w:r>
      <w:bookmarkEnd w:id="139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تقدیم نافلتی الظهر و العصر علی الزوال فی یوم الجمعة بل یزاد علیٰ عددهما أربع رکعات فتصیر عشرین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غیر یوم الجمعة</w:t>
      </w:r>
      <w:bookmarkStart w:id="1393" w:name="pg1809_18923"/>
    </w:p>
    <w:p>
      <w:pPr>
        <w:pStyle w:val="BookText"/>
        <w:rPr/>
      </w:pPr>
      <w:bookmarkEnd w:id="1393"/>
      <w:r>
        <w:rPr>
          <w:rFonts w:ascii="Amiri" w:hAnsi="Amiri" w:eastAsia="Amiri" w:cs="Amiri"/>
          <w:color w:val="111111"/>
          <w:sz w:val="28"/>
          <w:sz w:val="28"/>
          <w:szCs w:val="28"/>
          <w:rtl w:val="true"/>
          <w:lang w:bidi="ar-SA"/>
        </w:rPr>
        <w:t xml:space="preserve">فالأقویٰ </w:t>
      </w:r>
      <w:r>
        <w:rPr>
          <w:rStyle w:val="FootnoteAnchor"/>
          <w:rtl w:val="true"/>
        </w:rPr>
        <w:footnoteReference w:id="413"/>
      </w:r>
      <w:r>
        <w:rPr>
          <w:rFonts w:ascii="IRNazanin" w:hAnsi="IRNazanin" w:eastAsia="IRNazanin"/>
          <w:color w:val="111111"/>
          <w:sz w:val="28"/>
          <w:sz w:val="28"/>
          <w:szCs w:val="28"/>
          <w:rtl w:val="true"/>
          <w:lang w:bidi="fa-IR"/>
        </w:rPr>
        <w:t>جواز تقدیمهما أیضاً؛ خصوصاً إذا علم بعدم التمکّن من إتیانهما فیما بعد و إن کان فیه خلاف الفضل، و کذا یجوز تقدیم نافلة اللیل علی النصف للمسافر و الشابّ الذی یخاف من فوتها فی وقتها، بل و کلّ ذی عذر کالشیخ و خائف البرد أو الاحتلام، و ینبغی لهم نیّة التعجیل لا الأداء</w:t>
      </w:r>
      <w:r>
        <w:rPr>
          <w:rFonts w:eastAsia="IRNazanin" w:cs="IRNazanin"/>
          <w:color w:val="111111"/>
          <w:sz w:val="28"/>
          <w:szCs w:val="28"/>
          <w:rtl w:val="true"/>
          <w:lang w:bidi="fa-IR"/>
        </w:rPr>
        <w:t>.</w:t>
      </w:r>
    </w:p>
    <w:p>
      <w:pPr>
        <w:pStyle w:val="Heading5"/>
        <w:numPr>
          <w:ilvl w:val="4"/>
          <w:numId w:val="1"/>
        </w:numPr>
        <w:rPr/>
      </w:pPr>
      <w:bookmarkStart w:id="1394" w:name="__RefHeading___Toc2566258_3650668749"/>
      <w:bookmarkStart w:id="1395" w:name="_Toc638"/>
      <w:bookmarkEnd w:id="1394"/>
      <w:r>
        <w:rPr>
          <w:rtl w:val="true"/>
        </w:rPr>
        <w:t>[ (</w:t>
      </w:r>
      <w:r>
        <w:rPr>
          <w:rtl w:val="true"/>
        </w:rPr>
        <w:t xml:space="preserve">مسألة </w:t>
      </w:r>
      <w:r>
        <w:rPr/>
        <w:t>6</w:t>
      </w:r>
      <w:r>
        <w:rPr>
          <w:rtl w:val="true"/>
        </w:rPr>
        <w:t xml:space="preserve">): </w:t>
      </w:r>
      <w:r>
        <w:rPr>
          <w:rtl w:val="true"/>
        </w:rPr>
        <w:t>وقت الظهرین من الزوال إلی المغرب</w:t>
      </w:r>
      <w:r>
        <w:rPr>
          <w:rtl w:val="true"/>
        </w:rPr>
        <w:t>]</w:t>
      </w:r>
      <w:bookmarkEnd w:id="1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الظهرین من الزوال إلی المغرب، و یختصّ الظهر بأوّله مقدار أدائها بحسب حاله و العصر بآخره کذلک و ما بینهما مشترک بینهما، و من المغرب إلیٰ نصف اللیل وقت العشاءین للمختار و یختصّ المغرب بأوّله بمقدار أدائها و العشاء بآخره کذلک، و ما بینهما مشترک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یمتدّ وقتهما </w:t>
      </w:r>
      <w:r>
        <w:rPr>
          <w:rStyle w:val="FootnoteAnchor"/>
          <w:rtl w:val="true"/>
        </w:rPr>
        <w:footnoteReference w:id="414"/>
      </w:r>
      <w:r>
        <w:rPr>
          <w:rFonts w:ascii="IRNazanin" w:hAnsi="IRNazanin" w:eastAsia="IRNazanin"/>
          <w:color w:val="111111"/>
          <w:sz w:val="28"/>
          <w:sz w:val="28"/>
          <w:szCs w:val="28"/>
          <w:rtl w:val="true"/>
          <w:lang w:bidi="fa-IR"/>
        </w:rPr>
        <w:t>إلیٰ طلوع الفجر للمضطرّ؛ لنوم أو نسیان أو حیض أو غیرها، و یختصّ العشاء من آخره بمقدار أدائها و لا یبعد امتداد وقتهما إلیه للعامد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صلاته بعد نصف اللیل قضاءً و إن أثم بالتأخیر منه، و لکن الأحوط الإتیان بعده بقصد ما فی الذمّة من الأداء و القضاء، و ما بین طلوع الفجر الصادق إلیٰ طلوع الشمس وقت الصبح، و وقت فضیلة الظهر من الزوال إلیٰ بلوغ الظلّ الحادث مثل الشاخص، کما أنّ منتهیٰ فضیلة العصر المثلان، و مبدأ فضیلته </w:t>
      </w:r>
      <w:r>
        <w:rPr>
          <w:rStyle w:val="FootnoteAnchor"/>
          <w:rtl w:val="true"/>
        </w:rPr>
        <w:footnoteReference w:id="415"/>
      </w:r>
      <w:r>
        <w:rPr>
          <w:rFonts w:ascii="IRNazanin" w:hAnsi="IRNazanin" w:eastAsia="IRNazanin"/>
          <w:color w:val="111111"/>
          <w:sz w:val="28"/>
          <w:sz w:val="28"/>
          <w:szCs w:val="28"/>
          <w:rtl w:val="true"/>
          <w:lang w:bidi="fa-IR"/>
        </w:rPr>
        <w:t xml:space="preserve">إذا بلغ الظلّ أربعة أقدام؛ أی أربعة أسباع الشاخص، و وقت فضیلة المغرب من المغرب إلیٰ ذهاب الشفق </w:t>
      </w:r>
      <w:r>
        <w:rPr>
          <w:rStyle w:val="FootnoteAnchor"/>
          <w:rtl w:val="true"/>
        </w:rPr>
        <w:footnoteReference w:id="416"/>
      </w:r>
      <w:r>
        <w:rPr>
          <w:rFonts w:ascii="IRNazanin" w:hAnsi="IRNazanin" w:eastAsia="IRNazanin"/>
          <w:color w:val="111111"/>
          <w:sz w:val="28"/>
          <w:sz w:val="28"/>
          <w:szCs w:val="28"/>
          <w:rtl w:val="true"/>
          <w:lang w:bidi="fa-IR"/>
        </w:rPr>
        <w:t>، و هو أوّل فضیلة العشاء إلیٰ ثلث اللیل، فلها وقتا 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ذهاب الشفق و بعد الثلث إلی النصف، و وقت فضیلة الصبح من أوّله إلیٰ حدوث الحمرة المشرقیّة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6" w:name="__RefHeading___Toc2566260_3650668749"/>
      <w:bookmarkStart w:id="1397" w:name="_Toc639"/>
      <w:bookmarkEnd w:id="1396"/>
      <w:r>
        <w:rPr>
          <w:rtl w:val="true"/>
        </w:rPr>
        <w:t>[ (</w:t>
      </w:r>
      <w:r>
        <w:rPr>
          <w:rtl w:val="true"/>
        </w:rPr>
        <w:t xml:space="preserve">مسألة </w:t>
      </w:r>
      <w:r>
        <w:rPr/>
        <w:t>7</w:t>
      </w:r>
      <w:r>
        <w:rPr>
          <w:rtl w:val="true"/>
        </w:rPr>
        <w:t xml:space="preserve">): </w:t>
      </w:r>
      <w:r>
        <w:rPr>
          <w:rtl w:val="true"/>
        </w:rPr>
        <w:t>المراد باختصاص الوقت</w:t>
      </w:r>
      <w:r>
        <w:rPr>
          <w:rtl w:val="true"/>
        </w:rPr>
        <w:t xml:space="preserve">: </w:t>
      </w:r>
      <w:r>
        <w:rPr>
          <w:rtl w:val="true"/>
        </w:rPr>
        <w:t>عدم صحّة الشریکة فیه مع عدم أداء صاحبتها بوجه صحیح</w:t>
      </w:r>
      <w:r>
        <w:rPr>
          <w:rtl w:val="true"/>
        </w:rPr>
        <w:t>]</w:t>
      </w:r>
      <w:bookmarkEnd w:id="139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باختصاص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الشریکة فیه مع عدم أداء صاحبتها بوجه صحیح، فلا مانع من إتیان غیر الشریکة کصلاة القضاء من ذلک الیوم أو غیره فیه، و کذا لا مانع من إتیان الشریکة فیه إذا حصل فراغ الذمّة من صاحبة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قدّم العصر</w:t>
      </w:r>
      <w:bookmarkStart w:id="1398" w:name="pg1809_18925"/>
    </w:p>
    <w:p>
      <w:pPr>
        <w:pStyle w:val="BookText"/>
        <w:rPr/>
      </w:pPr>
      <w:bookmarkEnd w:id="1398"/>
      <w:r>
        <w:rPr>
          <w:rFonts w:ascii="IRNazanin" w:hAnsi="IRNazanin" w:eastAsia="IRNazanin"/>
          <w:color w:val="111111"/>
          <w:sz w:val="28"/>
          <w:sz w:val="28"/>
          <w:szCs w:val="28"/>
          <w:rtl w:val="true"/>
          <w:lang w:bidi="fa-IR"/>
        </w:rPr>
        <w:t xml:space="preserve">سهواً علی الظهر و بقی من الوقت مقدار أربع رکعات یصحّ إتیان الظهر فی ذلک الوقت أداء، و کذا لو صلّی الظهر قبل الزوال بظنّ دخول الوقت فدخل الوقت </w:t>
      </w:r>
      <w:r>
        <w:rPr>
          <w:rStyle w:val="FootnoteAnchor"/>
          <w:rtl w:val="true"/>
        </w:rPr>
        <w:footnoteReference w:id="418"/>
      </w:r>
      <w:r>
        <w:rPr>
          <w:rFonts w:ascii="IRNazanin" w:hAnsi="IRNazanin" w:eastAsia="IRNazanin"/>
          <w:color w:val="111111"/>
          <w:sz w:val="28"/>
          <w:sz w:val="28"/>
          <w:szCs w:val="28"/>
          <w:rtl w:val="true"/>
          <w:lang w:bidi="fa-IR"/>
        </w:rPr>
        <w:t>قبل تمامها لا مانع من إتیان العصر بعد الفراغ منها و لا یجب التأخیر إلیٰ مضیّ مقدار أربع رکعات</w:t>
      </w:r>
      <w:r>
        <w:rPr>
          <w:rFonts w:eastAsia="IRNazanin" w:cs="IRNazanin"/>
          <w:color w:val="111111"/>
          <w:sz w:val="28"/>
          <w:szCs w:val="28"/>
          <w:rtl w:val="true"/>
          <w:lang w:bidi="fa-IR"/>
        </w:rPr>
        <w:t>.</w:t>
      </w:r>
    </w:p>
    <w:p>
      <w:pPr>
        <w:pStyle w:val="Heading5"/>
        <w:numPr>
          <w:ilvl w:val="4"/>
          <w:numId w:val="1"/>
        </w:numPr>
        <w:rPr/>
      </w:pPr>
      <w:bookmarkStart w:id="1399" w:name="__RefHeading___Toc2566262_3650668749"/>
      <w:bookmarkStart w:id="1400" w:name="_Toc640"/>
      <w:bookmarkEnd w:id="1399"/>
      <w:r>
        <w:rPr>
          <w:rtl w:val="true"/>
        </w:rPr>
        <w:t>[ (</w:t>
      </w:r>
      <w:r>
        <w:rPr>
          <w:rtl w:val="true"/>
        </w:rPr>
        <w:t xml:space="preserve">مسألة </w:t>
      </w:r>
      <w:r>
        <w:rPr/>
        <w:t>8</w:t>
      </w:r>
      <w:r>
        <w:rPr>
          <w:rtl w:val="true"/>
        </w:rPr>
        <w:t xml:space="preserve">): </w:t>
      </w:r>
      <w:r>
        <w:rPr>
          <w:rtl w:val="true"/>
        </w:rPr>
        <w:t>لو قدّم العصر علی الظهر أو العشاء علی المغرب عمداً بطل ما قدّمه</w:t>
      </w:r>
      <w:r>
        <w:rPr>
          <w:rtl w:val="true"/>
        </w:rPr>
        <w:t>]</w:t>
      </w:r>
      <w:bookmarkEnd w:id="1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قدّم العصر علی الظهر أو العشاء علی المغرب عمداً بطل ما قدّمه؛ سواء کان فی الوقت المختصّ بالأُولیٰ أو فی الوقت المشترک، و إذا قدّم سهواً و تذکّر بعد الفراغ صحّ ما قدّمه و یأتی بالأُولیٰ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تذکّر فی الأثناء عدل بنیّته إلی السابقة إلّا إذا لم یبق محلّ العدول، کما إذا قدّم العشاء و تذکّر بعد رکوع الرابعة فیتمّ بنیّة اللاحقة </w:t>
      </w:r>
      <w:r>
        <w:rPr>
          <w:rStyle w:val="FootnoteAnchor"/>
          <w:rtl w:val="true"/>
        </w:rPr>
        <w:footnoteReference w:id="419"/>
      </w:r>
      <w:r>
        <w:rPr>
          <w:rFonts w:ascii="IRNazanin" w:hAnsi="IRNazanin" w:eastAsia="IRNazanin"/>
          <w:color w:val="111111"/>
          <w:sz w:val="28"/>
          <w:sz w:val="28"/>
          <w:szCs w:val="28"/>
          <w:rtl w:val="true"/>
          <w:lang w:bidi="fa-IR"/>
        </w:rPr>
        <w:t>و یأتی بعدها بالسابقة</w:t>
      </w:r>
      <w:r>
        <w:rPr>
          <w:rFonts w:eastAsia="IRNazanin" w:cs="IRNazanin"/>
          <w:color w:val="111111"/>
          <w:sz w:val="28"/>
          <w:szCs w:val="28"/>
          <w:rtl w:val="true"/>
          <w:lang w:bidi="fa-IR"/>
        </w:rPr>
        <w:t>.</w:t>
      </w:r>
    </w:p>
    <w:p>
      <w:pPr>
        <w:pStyle w:val="Heading5"/>
        <w:numPr>
          <w:ilvl w:val="4"/>
          <w:numId w:val="1"/>
        </w:numPr>
        <w:rPr/>
      </w:pPr>
      <w:bookmarkStart w:id="1401" w:name="__RefHeading___Toc2566264_3650668749"/>
      <w:bookmarkStart w:id="1402" w:name="_Toc641"/>
      <w:bookmarkEnd w:id="1401"/>
      <w:r>
        <w:rPr>
          <w:rtl w:val="true"/>
        </w:rPr>
        <w:t>[ (</w:t>
      </w:r>
      <w:r>
        <w:rPr>
          <w:rtl w:val="true"/>
        </w:rPr>
        <w:t xml:space="preserve">مسألة </w:t>
      </w:r>
      <w:r>
        <w:rPr/>
        <w:t>9</w:t>
      </w:r>
      <w:r>
        <w:rPr>
          <w:rtl w:val="true"/>
        </w:rPr>
        <w:t xml:space="preserve">): </w:t>
      </w:r>
      <w:r>
        <w:rPr>
          <w:rtl w:val="true"/>
        </w:rPr>
        <w:t>إذا بقی للحاضر مقدار خمس رکعات إلی الغروب و للمسافر ثلاث أو أکثر قدّم الظهر</w:t>
      </w:r>
      <w:r>
        <w:rPr>
          <w:rtl w:val="true"/>
        </w:rPr>
        <w:t>]</w:t>
      </w:r>
      <w:bookmarkEnd w:id="1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بقی للحاضر مقدار خمس رکعات إلی الغروب و للمسافر ثلاث أو أکثر قدّم الظهر و إن وقع بعض العصر فی خارج الوقت، و إذا بقی للحاضر أربع أو أقلّ و للمسافر رکعتان أو أقلّ صلّی العصر، و إذا بقی للحاضر إلیٰ نصف اللیل خمس رکعات أو أکثر و للمسافر أربع رکعات أو أکثر قدّم المغرب ثمّ العشاء، و إذا بقی للمسافر إلیه أقلّ من أربع رکعات قدّم العشاء، و یجب المبادرة </w:t>
      </w:r>
      <w:r>
        <w:rPr>
          <w:rStyle w:val="FootnoteAnchor"/>
          <w:rtl w:val="true"/>
        </w:rPr>
        <w:footnoteReference w:id="420"/>
      </w:r>
      <w:r>
        <w:rPr>
          <w:rFonts w:ascii="IRNazanin" w:hAnsi="IRNazanin" w:eastAsia="IRNazanin"/>
          <w:color w:val="111111"/>
          <w:sz w:val="28"/>
          <w:sz w:val="28"/>
          <w:szCs w:val="28"/>
          <w:rtl w:val="true"/>
          <w:lang w:bidi="fa-IR"/>
        </w:rPr>
        <w:t>إلیٰ إتیان المغرب بعده إذا بقی بعده مقدار رکعة أو أزید</w:t>
      </w:r>
      <w:r>
        <w:rPr>
          <w:rFonts w:eastAsia="IRNazanin" w:cs="IRNazanin"/>
          <w:color w:val="111111"/>
          <w:sz w:val="28"/>
          <w:szCs w:val="28"/>
          <w:rtl w:val="true"/>
          <w:lang w:bidi="fa-IR"/>
        </w:rPr>
        <w:t>.</w:t>
      </w:r>
    </w:p>
    <w:p>
      <w:pPr>
        <w:pStyle w:val="Heading5"/>
        <w:numPr>
          <w:ilvl w:val="4"/>
          <w:numId w:val="1"/>
        </w:numPr>
        <w:rPr/>
      </w:pPr>
      <w:bookmarkStart w:id="1403" w:name="__RefHeading___Toc2566266_3650668749"/>
      <w:bookmarkStart w:id="1404" w:name="_Toc642"/>
      <w:bookmarkEnd w:id="1403"/>
      <w:r>
        <w:rPr>
          <w:rtl w:val="true"/>
        </w:rPr>
        <w:t>[ (</w:t>
      </w:r>
      <w:r>
        <w:rPr>
          <w:rtl w:val="true"/>
        </w:rPr>
        <w:t xml:space="preserve">مسألة </w:t>
      </w:r>
      <w:r>
        <w:rPr/>
        <w:t>10</w:t>
      </w:r>
      <w:r>
        <w:rPr>
          <w:rtl w:val="true"/>
        </w:rPr>
        <w:t xml:space="preserve">): </w:t>
      </w:r>
      <w:r>
        <w:rPr>
          <w:rtl w:val="true"/>
        </w:rPr>
        <w:t>یجوز العدول من اللاحقة إلی السابقة</w:t>
      </w:r>
      <w:r>
        <w:rPr>
          <w:rtl w:val="true"/>
        </w:rPr>
        <w:t>]</w:t>
      </w:r>
      <w:bookmarkEnd w:id="1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العدول من اللاحقة إلی السابقة بخلاف العکس، فلو دخل فی الظهر أو المغرب فتبیّن فی الأثناء أنّه صلّاهما لا یجوز له العدول إلی اللاحقة، بخلاف ما إذا دخل فی الثانیة بتخیّل أنّه صلّی الاولیٰ فتبیّن فی الأثناء خلافه، فإنّه یعدل إلی الأُولیٰ إذا بقی محلّ العدول کما تقدّم</w:t>
      </w:r>
      <w:r>
        <w:rPr>
          <w:rFonts w:eastAsia="IRNazanin" w:cs="IRNazanin"/>
          <w:color w:val="111111"/>
          <w:sz w:val="28"/>
          <w:szCs w:val="28"/>
          <w:rtl w:val="true"/>
          <w:lang w:bidi="fa-IR"/>
        </w:rPr>
        <w:t>.</w:t>
      </w:r>
    </w:p>
    <w:p>
      <w:pPr>
        <w:pStyle w:val="Heading5"/>
        <w:numPr>
          <w:ilvl w:val="4"/>
          <w:numId w:val="1"/>
        </w:numPr>
        <w:rPr/>
      </w:pPr>
      <w:bookmarkStart w:id="1405" w:name="__RefHeading___Toc2566268_3650668749"/>
      <w:bookmarkStart w:id="1406" w:name="_Toc643"/>
      <w:bookmarkEnd w:id="1405"/>
      <w:r>
        <w:rPr>
          <w:rtl w:val="true"/>
        </w:rPr>
        <w:t>[ (</w:t>
      </w:r>
      <w:r>
        <w:rPr>
          <w:rtl w:val="true"/>
        </w:rPr>
        <w:t xml:space="preserve">مسألة </w:t>
      </w:r>
      <w:r>
        <w:rPr/>
        <w:t>11</w:t>
      </w:r>
      <w:r>
        <w:rPr>
          <w:rtl w:val="true"/>
        </w:rPr>
        <w:t xml:space="preserve">): </w:t>
      </w:r>
      <w:r>
        <w:rPr>
          <w:rtl w:val="true"/>
        </w:rPr>
        <w:t>إذا کان مسافراً و بقی من الوقت مقدار أربع رکعات فنوی الظهر مثلًا</w:t>
      </w:r>
      <w:r>
        <w:rPr>
          <w:rtl w:val="true"/>
        </w:rPr>
        <w:t>]</w:t>
      </w:r>
      <w:bookmarkEnd w:id="140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مسافراً و بقی من الوقت مقدار أربع رکعات فنوی الظهر مثلًا ثمّ</w:t>
      </w:r>
      <w:bookmarkStart w:id="1407" w:name="pg1809_18927"/>
    </w:p>
    <w:p>
      <w:pPr>
        <w:pStyle w:val="BookText"/>
        <w:rPr/>
      </w:pPr>
      <w:bookmarkEnd w:id="1407"/>
      <w:r>
        <w:rPr>
          <w:rFonts w:ascii="IRNazanin" w:hAnsi="IRNazanin" w:eastAsia="IRNazanin"/>
          <w:color w:val="111111"/>
          <w:sz w:val="28"/>
          <w:sz w:val="28"/>
          <w:szCs w:val="28"/>
          <w:rtl w:val="true"/>
          <w:lang w:bidi="fa-IR"/>
        </w:rPr>
        <w:t>نوی الإقامة فی الأثناء بطلت صلاته، و لا یجوز له العدول إلی اللاحقة فیقطعها و یشرع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فی الفرض ناویاً للإقامة فشرع فی اللاحقة ثمّ عدل عن نیّة الإقامة فالظاهر أنّه یعدل </w:t>
      </w:r>
      <w:r>
        <w:rPr>
          <w:rStyle w:val="FootnoteAnchor"/>
          <w:rtl w:val="true"/>
        </w:rPr>
        <w:footnoteReference w:id="421"/>
      </w:r>
      <w:r>
        <w:rPr>
          <w:rFonts w:ascii="IRNazanin" w:hAnsi="IRNazanin" w:eastAsia="IRNazanin"/>
          <w:color w:val="111111"/>
          <w:sz w:val="28"/>
          <w:sz w:val="28"/>
          <w:szCs w:val="28"/>
          <w:rtl w:val="true"/>
          <w:lang w:bidi="fa-IR"/>
        </w:rPr>
        <w:t>إلی الأُولیٰ فیأتی بها ثمّ یأتی باللاحقة</w:t>
      </w:r>
      <w:r>
        <w:rPr>
          <w:rFonts w:eastAsia="IRNazanin" w:cs="IRNazanin"/>
          <w:color w:val="111111"/>
          <w:sz w:val="28"/>
          <w:szCs w:val="28"/>
          <w:rtl w:val="true"/>
          <w:lang w:bidi="fa-IR"/>
        </w:rPr>
        <w:t>.</w:t>
      </w:r>
    </w:p>
    <w:p>
      <w:pPr>
        <w:pStyle w:val="Heading5"/>
        <w:numPr>
          <w:ilvl w:val="4"/>
          <w:numId w:val="1"/>
        </w:numPr>
        <w:rPr/>
      </w:pPr>
      <w:bookmarkStart w:id="1408" w:name="__RefHeading___Toc2566270_3650668749"/>
      <w:bookmarkStart w:id="1409" w:name="_Toc644"/>
      <w:bookmarkEnd w:id="1408"/>
      <w:r>
        <w:rPr>
          <w:rtl w:val="true"/>
        </w:rPr>
        <w:t>[ (</w:t>
      </w:r>
      <w:r>
        <w:rPr>
          <w:rtl w:val="true"/>
        </w:rPr>
        <w:t xml:space="preserve">مسألة </w:t>
      </w:r>
      <w:r>
        <w:rPr/>
        <w:t>12</w:t>
      </w:r>
      <w:r>
        <w:rPr>
          <w:rtl w:val="true"/>
        </w:rPr>
        <w:t xml:space="preserve">): </w:t>
      </w:r>
      <w:r>
        <w:rPr>
          <w:rtl w:val="true"/>
        </w:rPr>
        <w:t>یجب تأخیر الصلاة عن أوّل وقتها لذوی الأعذار مع رجاء زوالها فی آخر الوقت</w:t>
      </w:r>
      <w:r>
        <w:rPr>
          <w:rtl w:val="true"/>
        </w:rPr>
        <w:t>]</w:t>
      </w:r>
      <w:bookmarkEnd w:id="1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Style w:val="FootnoteAnchor"/>
          <w:rtl w:val="true"/>
        </w:rPr>
        <w:footnoteReference w:id="422"/>
      </w:r>
      <w:r>
        <w:rPr>
          <w:rFonts w:ascii="IRNazanin" w:hAnsi="IRNazanin" w:eastAsia="IRNazanin"/>
          <w:color w:val="111111"/>
          <w:sz w:val="28"/>
          <w:sz w:val="28"/>
          <w:szCs w:val="28"/>
          <w:rtl w:val="true"/>
          <w:lang w:bidi="fa-IR"/>
        </w:rPr>
        <w:t>تأخیر الصلاة عن أوّل وقتها لذوی الأعذار مع رجاء زوالها فی آخر الوقت، إلّا فی التیمّم فإنّه یجوز فیه البدار إلّا مع العلم بارتفاع العذر فی آخره و قد مرّ فی بابه</w:t>
      </w:r>
      <w:r>
        <w:rPr>
          <w:rFonts w:eastAsia="IRNazanin" w:cs="IRNazanin"/>
          <w:color w:val="111111"/>
          <w:sz w:val="28"/>
          <w:szCs w:val="28"/>
          <w:rtl w:val="true"/>
          <w:lang w:bidi="fa-IR"/>
        </w:rPr>
        <w:t>.</w:t>
      </w:r>
    </w:p>
    <w:p>
      <w:pPr>
        <w:pStyle w:val="Heading5"/>
        <w:numPr>
          <w:ilvl w:val="4"/>
          <w:numId w:val="1"/>
        </w:numPr>
        <w:rPr/>
      </w:pPr>
      <w:bookmarkStart w:id="1410" w:name="__RefHeading___Toc2566272_3650668749"/>
      <w:bookmarkStart w:id="1411" w:name="_Toc645"/>
      <w:bookmarkEnd w:id="1410"/>
      <w:r>
        <w:rPr>
          <w:rtl w:val="true"/>
        </w:rPr>
        <w:t>[ (</w:t>
      </w:r>
      <w:r>
        <w:rPr>
          <w:rtl w:val="true"/>
        </w:rPr>
        <w:t xml:space="preserve">مسألة </w:t>
      </w:r>
      <w:r>
        <w:rPr/>
        <w:t>13</w:t>
      </w:r>
      <w:r>
        <w:rPr>
          <w:rtl w:val="true"/>
        </w:rPr>
        <w:t xml:space="preserve">): </w:t>
      </w:r>
      <w:r>
        <w:rPr>
          <w:rtl w:val="true"/>
        </w:rPr>
        <w:t>الأقویٰ جواز التطوّع فی وقت الفریضة ما لم تتضیّق</w:t>
      </w:r>
      <w:r>
        <w:rPr>
          <w:rtl w:val="true"/>
        </w:rPr>
        <w:t>]</w:t>
      </w:r>
      <w:bookmarkEnd w:id="1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 التطوّع فی وقت الفریضة ما لم تتضیّق و کذا لمن علیه قضاء الفریضة</w:t>
      </w:r>
      <w:r>
        <w:rPr>
          <w:rFonts w:eastAsia="IRNazanin" w:cs="IRNazanin"/>
          <w:color w:val="111111"/>
          <w:sz w:val="28"/>
          <w:szCs w:val="28"/>
          <w:rtl w:val="true"/>
          <w:lang w:bidi="fa-IR"/>
        </w:rPr>
        <w:t>.</w:t>
      </w:r>
    </w:p>
    <w:p>
      <w:pPr>
        <w:pStyle w:val="Heading5"/>
        <w:numPr>
          <w:ilvl w:val="4"/>
          <w:numId w:val="1"/>
        </w:numPr>
        <w:rPr/>
      </w:pPr>
      <w:bookmarkStart w:id="1412" w:name="__RefHeading___Toc2566274_3650668749"/>
      <w:bookmarkStart w:id="1413" w:name="_Toc646"/>
      <w:bookmarkEnd w:id="1412"/>
      <w:r>
        <w:rPr>
          <w:rtl w:val="true"/>
        </w:rPr>
        <w:t>[ (</w:t>
      </w:r>
      <w:r>
        <w:rPr>
          <w:rtl w:val="true"/>
        </w:rPr>
        <w:t xml:space="preserve">مسألة </w:t>
      </w:r>
      <w:r>
        <w:rPr/>
        <w:t>14</w:t>
      </w:r>
      <w:r>
        <w:rPr>
          <w:rtl w:val="true"/>
        </w:rPr>
        <w:t xml:space="preserve">): </w:t>
      </w:r>
      <w:r>
        <w:rPr>
          <w:rtl w:val="true"/>
        </w:rPr>
        <w:t>إذا تیقّن بدخول الوقت فصلّی أو عوّل علی الظنّ المعتبر کشهادة العدلین</w:t>
      </w:r>
      <w:r>
        <w:rPr>
          <w:rtl w:val="true"/>
        </w:rPr>
        <w:t>]</w:t>
      </w:r>
      <w:bookmarkEnd w:id="1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تیقّن بدخول الوقت فصلّی أو عوّل علی الظنّ المعتبر کشهادة العدلین أو أذان الثقة </w:t>
      </w:r>
      <w:r>
        <w:rPr>
          <w:rStyle w:val="FootnoteAnchor"/>
          <w:rtl w:val="true"/>
        </w:rPr>
        <w:footnoteReference w:id="423"/>
      </w:r>
      <w:r>
        <w:rPr>
          <w:rFonts w:ascii="IRNazanin" w:hAnsi="IRNazanin" w:eastAsia="IRNazanin"/>
          <w:color w:val="111111"/>
          <w:sz w:val="28"/>
          <w:sz w:val="28"/>
          <w:szCs w:val="28"/>
          <w:rtl w:val="true"/>
          <w:lang w:bidi="fa-IR"/>
        </w:rPr>
        <w:t>، فإن وقع تمام الصلاة قبل الوقت بطلت، و إن وقع بعضها فی الوقت و لو قلیلًا منها صحّت</w:t>
      </w:r>
      <w:r>
        <w:rPr>
          <w:rFonts w:eastAsia="IRNazanin" w:cs="IRNazanin"/>
          <w:color w:val="111111"/>
          <w:sz w:val="28"/>
          <w:szCs w:val="28"/>
          <w:rtl w:val="true"/>
          <w:lang w:bidi="fa-IR"/>
        </w:rPr>
        <w:t>.</w:t>
      </w:r>
    </w:p>
    <w:p>
      <w:pPr>
        <w:pStyle w:val="Heading5"/>
        <w:numPr>
          <w:ilvl w:val="4"/>
          <w:numId w:val="1"/>
        </w:numPr>
        <w:rPr/>
      </w:pPr>
      <w:bookmarkStart w:id="1414" w:name="__RefHeading___Toc2566276_3650668749"/>
      <w:bookmarkStart w:id="1415" w:name="_Toc647"/>
      <w:bookmarkEnd w:id="1414"/>
      <w:r>
        <w:rPr>
          <w:rtl w:val="true"/>
        </w:rPr>
        <w:t>[ (</w:t>
      </w:r>
      <w:r>
        <w:rPr>
          <w:rtl w:val="true"/>
        </w:rPr>
        <w:t xml:space="preserve">مسألة </w:t>
      </w:r>
      <w:r>
        <w:rPr/>
        <w:t>15</w:t>
      </w:r>
      <w:r>
        <w:rPr>
          <w:rtl w:val="true"/>
        </w:rPr>
        <w:t xml:space="preserve">): </w:t>
      </w:r>
      <w:r>
        <w:rPr>
          <w:rtl w:val="true"/>
        </w:rPr>
        <w:t>إذا مضی من أوّل الوقت مقدار أداء الصلاة بحسب حاله ثمّ حصل أحد الأعذار کالجنون و الحیض</w:t>
      </w:r>
      <w:r>
        <w:rPr>
          <w:rtl w:val="true"/>
        </w:rPr>
        <w:t>]</w:t>
      </w:r>
      <w:bookmarkEnd w:id="1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مضی من أوّل الوقت مقدار أداء الصلاة </w:t>
      </w:r>
      <w:r>
        <w:rPr>
          <w:rStyle w:val="FootnoteAnchor"/>
          <w:rtl w:val="true"/>
        </w:rPr>
        <w:footnoteReference w:id="424"/>
      </w:r>
      <w:r>
        <w:rPr>
          <w:rFonts w:ascii="IRNazanin" w:hAnsi="IRNazanin" w:eastAsia="IRNazanin"/>
          <w:color w:val="111111"/>
          <w:sz w:val="28"/>
          <w:sz w:val="28"/>
          <w:szCs w:val="28"/>
          <w:rtl w:val="true"/>
          <w:lang w:bidi="fa-IR"/>
        </w:rPr>
        <w:t>بحسب حاله ثمّ حصل أحد الأعذار کالجنون و الحیض وجب علیه القضاء و إلّا لم یجب، و إذا ارتفع العذر فی آخر الوقت فإن وسع الصلاتین وجبتا، و إن وسع لواحدة أتی بها، و إن بقی مقدار رکعة أتی بالثانیة، و إن زاد علی الثانیة بمقدار رکعة وجبتا معاً</w:t>
      </w:r>
      <w:r>
        <w:rPr>
          <w:rFonts w:eastAsia="IRNazanin" w:cs="IRNazanin"/>
          <w:color w:val="111111"/>
          <w:sz w:val="28"/>
          <w:szCs w:val="28"/>
          <w:rtl w:val="true"/>
          <w:lang w:bidi="fa-IR"/>
        </w:rPr>
        <w:t>.</w:t>
      </w:r>
    </w:p>
    <w:p>
      <w:pPr>
        <w:pStyle w:val="Heading5"/>
        <w:numPr>
          <w:ilvl w:val="4"/>
          <w:numId w:val="1"/>
        </w:numPr>
        <w:rPr/>
      </w:pPr>
      <w:bookmarkStart w:id="1416" w:name="__RefHeading___Toc2566278_3650668749"/>
      <w:bookmarkStart w:id="1417" w:name="_Toc648"/>
      <w:bookmarkEnd w:id="1416"/>
      <w:r>
        <w:rPr>
          <w:rtl w:val="true"/>
        </w:rPr>
        <w:t>[ (</w:t>
      </w:r>
      <w:r>
        <w:rPr>
          <w:rtl w:val="true"/>
        </w:rPr>
        <w:t xml:space="preserve">مسألة </w:t>
      </w:r>
      <w:r>
        <w:rPr/>
        <w:t>16</w:t>
      </w:r>
      <w:r>
        <w:rPr>
          <w:rtl w:val="true"/>
        </w:rPr>
        <w:t xml:space="preserve">): </w:t>
      </w:r>
      <w:r>
        <w:rPr>
          <w:rtl w:val="true"/>
        </w:rPr>
        <w:t>یعتبر لغیر ذی العذر العلم بدخول الوقت حین الشروع فی الصلاة</w:t>
      </w:r>
      <w:r>
        <w:rPr>
          <w:rtl w:val="true"/>
        </w:rPr>
        <w:t>]</w:t>
      </w:r>
      <w:bookmarkEnd w:id="141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لغیر ذی العذر العلم بدخول الوقت حین الشروع فی الصلاة، و یقوم مقامه شهادة العدلین </w:t>
      </w:r>
      <w:r>
        <w:rPr>
          <w:rStyle w:val="FootnoteAnchor"/>
          <w:rtl w:val="true"/>
        </w:rPr>
        <w:footnoteReference w:id="425"/>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الأذان و لو کان المؤذّن عدلًا عارفاً بالوقت</w:t>
      </w:r>
      <w:bookmarkStart w:id="1418" w:name="pg1809_18929"/>
    </w:p>
    <w:p>
      <w:pPr>
        <w:pStyle w:val="BookText"/>
        <w:rPr/>
      </w:pPr>
      <w:bookmarkEnd w:id="1418"/>
      <w:r>
        <w:rPr>
          <w:rFonts w:ascii="IRNazanin" w:hAnsi="IRNazanin" w:eastAsia="IRNazanin"/>
          <w:color w:val="111111"/>
          <w:sz w:val="28"/>
          <w:sz w:val="28"/>
          <w:szCs w:val="28"/>
          <w:rtl w:val="true"/>
          <w:lang w:bidi="fa-IR"/>
        </w:rPr>
        <w:t xml:space="preserve">علی الأحوط </w:t>
      </w:r>
      <w:r>
        <w:rPr>
          <w:rStyle w:val="FootnoteAnchor"/>
          <w:rtl w:val="true"/>
        </w:rPr>
        <w:footnoteReference w:id="426"/>
      </w:r>
      <w:r>
        <w:rPr>
          <w:rFonts w:ascii="IRNazanin" w:hAnsi="IRNazanin" w:eastAsia="IRNazanin"/>
          <w:color w:val="111111"/>
          <w:sz w:val="28"/>
          <w:sz w:val="28"/>
          <w:szCs w:val="28"/>
          <w:rtl w:val="true"/>
          <w:lang w:bidi="fa-IR"/>
        </w:rPr>
        <w:t>، و إن کان الاکتفاء بأذان العدل بل الثقة العارف بالوقت 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ذو العذر ففی مثل الغیم و نحوه من الأعذار العامّة یجوز له التعویل علی الظنّ به، و أمّا ذو العذر الخاصّ کالأعمیٰ و المحبوس فلا یترک الاحتیاط بالتأخیر إلیٰ أن یحصل له العلم بدخول الوقت</w:t>
      </w:r>
      <w:r>
        <w:rPr>
          <w:rFonts w:eastAsia="IRNazanin" w:cs="IRNazanin"/>
          <w:color w:val="111111"/>
          <w:sz w:val="28"/>
          <w:szCs w:val="28"/>
          <w:rtl w:val="true"/>
          <w:lang w:bidi="fa-IR"/>
        </w:rPr>
        <w:t>.</w:t>
      </w:r>
    </w:p>
    <w:p>
      <w:pPr>
        <w:pStyle w:val="Heading4"/>
        <w:numPr>
          <w:ilvl w:val="3"/>
          <w:numId w:val="1"/>
        </w:numPr>
        <w:rPr/>
      </w:pPr>
      <w:bookmarkStart w:id="1419" w:name="__RefHeading___Toc2566280_3650668749"/>
      <w:bookmarkStart w:id="1420" w:name="_Toc649"/>
      <w:bookmarkEnd w:id="1419"/>
      <w:r>
        <w:rPr>
          <w:rtl w:val="true"/>
        </w:rPr>
        <w:t>[</w:t>
      </w:r>
      <w:r>
        <w:rPr>
          <w:rtl w:val="true"/>
        </w:rPr>
        <w:t>المقدّمة الثانیة</w:t>
      </w:r>
      <w:r>
        <w:rPr>
          <w:rtl w:val="true"/>
        </w:rPr>
        <w:t xml:space="preserve">: </w:t>
      </w:r>
      <w:r>
        <w:rPr>
          <w:rtl w:val="true"/>
        </w:rPr>
        <w:t>فی القبلة</w:t>
      </w:r>
      <w:r>
        <w:rPr>
          <w:rtl w:val="true"/>
        </w:rPr>
        <w:t>]</w:t>
      </w:r>
      <w:bookmarkEnd w:id="1420"/>
    </w:p>
    <w:p>
      <w:pPr>
        <w:pStyle w:val="Heading5"/>
        <w:numPr>
          <w:ilvl w:val="4"/>
          <w:numId w:val="1"/>
        </w:numPr>
        <w:rPr/>
      </w:pPr>
      <w:bookmarkStart w:id="1421" w:name="__RefHeading___Toc2566282_3650668749"/>
      <w:bookmarkStart w:id="1422" w:name="_Toc650"/>
      <w:bookmarkEnd w:id="1421"/>
      <w:r>
        <w:rPr>
          <w:rtl w:val="true"/>
        </w:rPr>
        <w:t>اشارة</w:t>
      </w:r>
      <w:bookmarkEnd w:id="1422"/>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القبلة</w:t>
      </w:r>
    </w:p>
    <w:p>
      <w:pPr>
        <w:pStyle w:val="Heading5"/>
        <w:numPr>
          <w:ilvl w:val="4"/>
          <w:numId w:val="1"/>
        </w:numPr>
        <w:rPr/>
      </w:pPr>
      <w:bookmarkStart w:id="1423" w:name="__RefHeading___Toc2566284_3650668749"/>
      <w:bookmarkStart w:id="1424" w:name="_Toc651"/>
      <w:bookmarkEnd w:id="1423"/>
      <w:r>
        <w:rPr>
          <w:rtl w:val="true"/>
        </w:rPr>
        <w:t>[ (</w:t>
      </w:r>
      <w:r>
        <w:rPr>
          <w:rtl w:val="true"/>
        </w:rPr>
        <w:t xml:space="preserve">مسألة </w:t>
      </w:r>
      <w:r>
        <w:rPr/>
        <w:t>1</w:t>
      </w:r>
      <w:r>
        <w:rPr>
          <w:rtl w:val="true"/>
        </w:rPr>
        <w:t xml:space="preserve">): </w:t>
      </w:r>
      <w:r>
        <w:rPr>
          <w:rtl w:val="true"/>
        </w:rPr>
        <w:t>یجب الاستقبال مع الإمکان فی الفرائض الیومیّة و غیرها من الفرائض حتّی صلاة الجنائز</w:t>
      </w:r>
      <w:r>
        <w:rPr>
          <w:rtl w:val="true"/>
        </w:rPr>
        <w:t>]</w:t>
      </w:r>
      <w:bookmarkEnd w:id="1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الاستقبال مع الإمکان فی الفرائض الیومیّة و غیرها من الفرائض حتّی صلاة الجنائز و فی النافلة إذا صلّیت فی الأرض فی حال الاستقرار، أمّا لو صلّیت حال المشی و الرکوب و فی السفینة فلا یعتبر فیها الاستقبال</w:t>
      </w:r>
      <w:r>
        <w:rPr>
          <w:rFonts w:eastAsia="IRNazanin" w:cs="IRNazanin"/>
          <w:color w:val="111111"/>
          <w:sz w:val="28"/>
          <w:szCs w:val="28"/>
          <w:rtl w:val="true"/>
          <w:lang w:bidi="fa-IR"/>
        </w:rPr>
        <w:t>.</w:t>
      </w:r>
    </w:p>
    <w:p>
      <w:pPr>
        <w:pStyle w:val="Heading5"/>
        <w:numPr>
          <w:ilvl w:val="4"/>
          <w:numId w:val="1"/>
        </w:numPr>
        <w:rPr/>
      </w:pPr>
      <w:bookmarkStart w:id="1425" w:name="__RefHeading___Toc2566286_3650668749"/>
      <w:bookmarkStart w:id="1426" w:name="_Toc652"/>
      <w:bookmarkEnd w:id="1425"/>
      <w:r>
        <w:rPr>
          <w:rtl w:val="true"/>
        </w:rPr>
        <w:t>[ (</w:t>
      </w:r>
      <w:r>
        <w:rPr>
          <w:rtl w:val="true"/>
        </w:rPr>
        <w:t xml:space="preserve">مسألة </w:t>
      </w:r>
      <w:r>
        <w:rPr/>
        <w:t>2</w:t>
      </w:r>
      <w:r>
        <w:rPr>
          <w:rtl w:val="true"/>
        </w:rPr>
        <w:t xml:space="preserve">): </w:t>
      </w:r>
      <w:r>
        <w:rPr>
          <w:rtl w:val="true"/>
        </w:rPr>
        <w:t>یعتبر العلم بالتوجّه إلی القبلة حال الصلاة</w:t>
      </w:r>
      <w:r>
        <w:rPr>
          <w:rtl w:val="true"/>
        </w:rPr>
        <w:t>]</w:t>
      </w:r>
      <w:bookmarkEnd w:id="1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العلم </w:t>
      </w:r>
      <w:r>
        <w:rPr>
          <w:rStyle w:val="FootnoteAnchor"/>
          <w:rtl w:val="true"/>
        </w:rPr>
        <w:footnoteReference w:id="427"/>
      </w:r>
      <w:r>
        <w:rPr>
          <w:rFonts w:ascii="IRNazanin" w:hAnsi="IRNazanin" w:eastAsia="IRNazanin"/>
          <w:color w:val="111111"/>
          <w:sz w:val="28"/>
          <w:sz w:val="28"/>
          <w:szCs w:val="28"/>
          <w:rtl w:val="true"/>
          <w:lang w:bidi="fa-IR"/>
        </w:rPr>
        <w:t>بالتوجّه إلی القبلة حال الصلاة، و مع تعذّر العلم یبذل تمام جهده و یعمل علیٰ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تعذّر الظنّ یکتفی بالجهة </w:t>
      </w:r>
      <w:r>
        <w:rPr>
          <w:rStyle w:val="FootnoteAnchor"/>
          <w:rtl w:val="true"/>
        </w:rPr>
        <w:footnoteReference w:id="428"/>
      </w:r>
      <w:r>
        <w:rPr>
          <w:rFonts w:ascii="IRNazanin" w:hAnsi="IRNazanin" w:eastAsia="IRNazanin"/>
          <w:color w:val="111111"/>
          <w:sz w:val="28"/>
          <w:sz w:val="28"/>
          <w:szCs w:val="28"/>
          <w:rtl w:val="true"/>
          <w:lang w:bidi="fa-IR"/>
        </w:rPr>
        <w:t>العرفیّة، و مع تساوی الجهات صلّیٰ إلیٰ أربع جهات إن وسع الوقت و إلّا فبقدر ما 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عدمها فی بعض الجهات سقط اعتبارها و صلّی إلی المحتملات الأُخر و یعوّل علیٰ قبلة بلد المسلمین فی صلاتهم و قبورهم و محاریبهم إذا لم یعلم بناؤها علی الغلط</w:t>
      </w:r>
      <w:r>
        <w:rPr>
          <w:rFonts w:eastAsia="IRNazanin" w:cs="IRNazanin"/>
          <w:color w:val="111111"/>
          <w:sz w:val="28"/>
          <w:szCs w:val="28"/>
          <w:rtl w:val="true"/>
          <w:lang w:bidi="fa-IR"/>
        </w:rPr>
        <w:t>.</w:t>
      </w:r>
    </w:p>
    <w:p>
      <w:pPr>
        <w:pStyle w:val="Heading5"/>
        <w:numPr>
          <w:ilvl w:val="4"/>
          <w:numId w:val="1"/>
        </w:numPr>
        <w:rPr/>
      </w:pPr>
      <w:bookmarkStart w:id="1427" w:name="__RefHeading___Toc2566288_3650668749"/>
      <w:bookmarkStart w:id="1428" w:name="_Toc653"/>
      <w:bookmarkEnd w:id="1427"/>
      <w:r>
        <w:rPr>
          <w:rtl w:val="true"/>
        </w:rPr>
        <w:t>[ (</w:t>
      </w:r>
      <w:r>
        <w:rPr>
          <w:rtl w:val="true"/>
        </w:rPr>
        <w:t xml:space="preserve">مسألة </w:t>
      </w:r>
      <w:r>
        <w:rPr/>
        <w:t>3</w:t>
      </w:r>
      <w:r>
        <w:rPr>
          <w:rtl w:val="true"/>
        </w:rPr>
        <w:t xml:space="preserve">): </w:t>
      </w:r>
      <w:r>
        <w:rPr>
          <w:rtl w:val="true"/>
        </w:rPr>
        <w:t>المتحیّر الذی یجب علیه الصلاة إلیٰ أزید من جهة واحدة لو کان علیه صلاتان</w:t>
      </w:r>
      <w:r>
        <w:rPr>
          <w:rtl w:val="true"/>
        </w:rPr>
        <w:t>]</w:t>
      </w:r>
      <w:bookmarkEnd w:id="1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المتحیّر الذی یجب علیه الصلاة إلیٰ أزید من جهة واحدة لو کان علیه صلاتان کالظهرین فالأحوط أن تکون الثانیة إلیٰ جهات الاولیٰ، کما أنّ الأحوط </w:t>
      </w:r>
      <w:r>
        <w:rPr>
          <w:rStyle w:val="FootnoteAnchor"/>
          <w:rtl w:val="true"/>
        </w:rPr>
        <w:footnoteReference w:id="429"/>
      </w:r>
      <w:r>
        <w:rPr>
          <w:rFonts w:ascii="IRNazanin" w:hAnsi="IRNazanin" w:eastAsia="IRNazanin"/>
          <w:color w:val="111111"/>
          <w:sz w:val="28"/>
          <w:sz w:val="28"/>
          <w:szCs w:val="28"/>
          <w:rtl w:val="true"/>
          <w:lang w:bidi="fa-IR"/>
        </w:rPr>
        <w:t>أن یتمّم جهات الاولیٰ ثمّ یشرع فی الثانیة</w:t>
      </w:r>
      <w:r>
        <w:rPr>
          <w:rFonts w:eastAsia="IRNazanin" w:cs="IRNazanin"/>
          <w:color w:val="111111"/>
          <w:sz w:val="28"/>
          <w:szCs w:val="28"/>
          <w:rtl w:val="true"/>
          <w:lang w:bidi="fa-IR"/>
        </w:rPr>
        <w:t>.</w:t>
      </w:r>
    </w:p>
    <w:p>
      <w:pPr>
        <w:pStyle w:val="Heading5"/>
        <w:numPr>
          <w:ilvl w:val="4"/>
          <w:numId w:val="1"/>
        </w:numPr>
        <w:rPr/>
      </w:pPr>
      <w:bookmarkStart w:id="1429" w:name="__RefHeading___Toc2566290_3650668749"/>
      <w:bookmarkStart w:id="1430" w:name="_Toc654"/>
      <w:bookmarkEnd w:id="1429"/>
      <w:r>
        <w:rPr>
          <w:rtl w:val="true"/>
        </w:rPr>
        <w:t>[ (</w:t>
      </w:r>
      <w:r>
        <w:rPr>
          <w:rtl w:val="true"/>
        </w:rPr>
        <w:t xml:space="preserve">مسألة </w:t>
      </w:r>
      <w:r>
        <w:rPr/>
        <w:t>4</w:t>
      </w:r>
      <w:r>
        <w:rPr>
          <w:rtl w:val="true"/>
        </w:rPr>
        <w:t xml:space="preserve">): </w:t>
      </w:r>
      <w:r>
        <w:rPr>
          <w:rtl w:val="true"/>
        </w:rPr>
        <w:t>من صلّیٰ إلیٰ جهة؛ قطع أو ظنّ بها فی مقام الاکتفاء بالظنّ</w:t>
      </w:r>
      <w:r>
        <w:rPr>
          <w:rtl w:val="true"/>
        </w:rPr>
        <w:t>]</w:t>
      </w:r>
      <w:bookmarkEnd w:id="143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إلیٰ جهة؛ قطع أو ظنّ بها فی مقام الاکتفاء بالظنّ ثمّ تبیّن خطؤه</w:t>
      </w:r>
      <w:bookmarkStart w:id="1431" w:name="pg1809_18931"/>
    </w:p>
    <w:p>
      <w:pPr>
        <w:pStyle w:val="BookText"/>
        <w:rPr/>
      </w:pPr>
      <w:bookmarkEnd w:id="1431"/>
      <w:r>
        <w:rPr>
          <w:rFonts w:ascii="IRNazanin" w:hAnsi="IRNazanin" w:eastAsia="IRNazanin"/>
          <w:color w:val="111111"/>
          <w:sz w:val="28"/>
          <w:sz w:val="28"/>
          <w:szCs w:val="28"/>
          <w:rtl w:val="true"/>
          <w:lang w:bidi="fa-IR"/>
        </w:rPr>
        <w:t>فإن کان منحرفاً عنها إلیٰ ما بین الیمین و الشمال صحّت صلاته و إن کان فی أثنائها مضی ما تقدّم منها و استقام فی الباقی؛ من غیر فرق بین بقاء الوقت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تجاوز انحرافه عمّا بین الیمین و الشمال أعاد فی الوقت دون خارجه و إن بان أنّه مستدبر، إلّا أنّ الأحوط القضاء مع الاستدبار بل مطلقاً و کذا إذا کان فی الأثناء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2" w:name="__RefHeading___Toc2566292_3650668749"/>
      <w:bookmarkStart w:id="1433" w:name="_Toc655"/>
      <w:bookmarkEnd w:id="1432"/>
      <w:r>
        <w:rPr>
          <w:rtl w:val="true"/>
        </w:rPr>
        <w:t>[</w:t>
      </w:r>
      <w:r>
        <w:rPr>
          <w:rtl w:val="true"/>
        </w:rPr>
        <w:t>المقدّمة الثالثة</w:t>
      </w:r>
      <w:r>
        <w:rPr>
          <w:rtl w:val="true"/>
        </w:rPr>
        <w:t xml:space="preserve">: </w:t>
      </w:r>
      <w:r>
        <w:rPr>
          <w:rtl w:val="true"/>
        </w:rPr>
        <w:t>فی الستر و الساتر</w:t>
      </w:r>
      <w:r>
        <w:rPr>
          <w:rtl w:val="true"/>
        </w:rPr>
        <w:t>]</w:t>
      </w:r>
      <w:bookmarkEnd w:id="1433"/>
    </w:p>
    <w:p>
      <w:pPr>
        <w:pStyle w:val="Heading5"/>
        <w:numPr>
          <w:ilvl w:val="4"/>
          <w:numId w:val="1"/>
        </w:numPr>
        <w:rPr/>
      </w:pPr>
      <w:bookmarkStart w:id="1434" w:name="__RefHeading___Toc2566294_3650668749"/>
      <w:bookmarkStart w:id="1435" w:name="_Toc656"/>
      <w:bookmarkEnd w:id="1434"/>
      <w:r>
        <w:rPr>
          <w:rtl w:val="true"/>
        </w:rPr>
        <w:t>اشارة</w:t>
      </w:r>
      <w:bookmarkEnd w:id="1435"/>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الستر و الساتر</w:t>
      </w:r>
    </w:p>
    <w:p>
      <w:pPr>
        <w:pStyle w:val="Heading5"/>
        <w:numPr>
          <w:ilvl w:val="4"/>
          <w:numId w:val="1"/>
        </w:numPr>
        <w:rPr/>
      </w:pPr>
      <w:bookmarkStart w:id="1436" w:name="__RefHeading___Toc2566296_3650668749"/>
      <w:bookmarkStart w:id="1437" w:name="_Toc657"/>
      <w:bookmarkEnd w:id="1436"/>
      <w:r>
        <w:rPr>
          <w:rtl w:val="true"/>
        </w:rPr>
        <w:t>[ (</w:t>
      </w:r>
      <w:r>
        <w:rPr>
          <w:rtl w:val="true"/>
        </w:rPr>
        <w:t xml:space="preserve">مسألة </w:t>
      </w:r>
      <w:r>
        <w:rPr/>
        <w:t>1</w:t>
      </w:r>
      <w:r>
        <w:rPr>
          <w:rtl w:val="true"/>
        </w:rPr>
        <w:t xml:space="preserve">): </w:t>
      </w:r>
      <w:r>
        <w:rPr>
          <w:rtl w:val="true"/>
        </w:rPr>
        <w:t>یجب مع الاختیار ستر العورة فی الصلاة و توابعها</w:t>
      </w:r>
      <w:r>
        <w:rPr>
          <w:rtl w:val="true"/>
        </w:rPr>
        <w:t>]</w:t>
      </w:r>
      <w:bookmarkEnd w:id="1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مع الاختیار ستر العورة فی الصلاة و توابعها </w:t>
      </w:r>
      <w:r>
        <w:rPr>
          <w:rStyle w:val="FootnoteAnchor"/>
          <w:rtl w:val="true"/>
        </w:rPr>
        <w:footnoteReference w:id="431"/>
      </w:r>
      <w:r>
        <w:rPr>
          <w:rFonts w:ascii="IRNazanin" w:hAnsi="IRNazanin" w:eastAsia="IRNazanin"/>
          <w:color w:val="111111"/>
          <w:sz w:val="28"/>
          <w:sz w:val="28"/>
          <w:szCs w:val="28"/>
          <w:rtl w:val="true"/>
          <w:lang w:bidi="fa-IR"/>
        </w:rPr>
        <w:t xml:space="preserve">و النافلة دون صلاة الجنازة و إن کان الأحوط فیها ذلک أیضاً، و یجب ستر العورة فی الطواف </w:t>
      </w:r>
      <w:r>
        <w:rPr>
          <w:rStyle w:val="FootnoteAnchor"/>
          <w:rtl w:val="true"/>
        </w:rPr>
        <w:footnoteReference w:id="432"/>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2566298_3650668749"/>
      <w:bookmarkStart w:id="1439" w:name="_Toc658"/>
      <w:bookmarkEnd w:id="1438"/>
      <w:r>
        <w:rPr>
          <w:rtl w:val="true"/>
        </w:rPr>
        <w:t>[ (</w:t>
      </w:r>
      <w:r>
        <w:rPr>
          <w:rtl w:val="true"/>
        </w:rPr>
        <w:t xml:space="preserve">مسألة </w:t>
      </w:r>
      <w:r>
        <w:rPr/>
        <w:t>2</w:t>
      </w:r>
      <w:r>
        <w:rPr>
          <w:rtl w:val="true"/>
        </w:rPr>
        <w:t xml:space="preserve">): </w:t>
      </w:r>
      <w:r>
        <w:rPr>
          <w:rtl w:val="true"/>
        </w:rPr>
        <w:t>لو بدت العورة لریح أو غفلة أو کانت خارجة من أوّل الأمر و هو لا یعلم بها</w:t>
      </w:r>
      <w:r>
        <w:rPr>
          <w:rtl w:val="true"/>
        </w:rPr>
        <w:t>]</w:t>
      </w:r>
      <w:bookmarkEnd w:id="1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بدت العورة لریح أو غفلة أو کانت خارجة من أوّل الأمر و هو لا یعلم بها فالصلاة صحیحة لکن یبادر إلی الستر إن علم فی الأثناء، و الأحوط الإتمام ثمّ الاستئناف، و کذا لو نسی سترها من أوّل الأمر أو بعد التکشّف فی الأثناء</w:t>
      </w:r>
      <w:r>
        <w:rPr>
          <w:rFonts w:eastAsia="IRNazanin" w:cs="IRNazanin"/>
          <w:color w:val="111111"/>
          <w:sz w:val="28"/>
          <w:szCs w:val="28"/>
          <w:rtl w:val="true"/>
          <w:lang w:bidi="fa-IR"/>
        </w:rPr>
        <w:t>.</w:t>
      </w:r>
    </w:p>
    <w:p>
      <w:pPr>
        <w:pStyle w:val="Heading5"/>
        <w:numPr>
          <w:ilvl w:val="4"/>
          <w:numId w:val="1"/>
        </w:numPr>
        <w:rPr/>
      </w:pPr>
      <w:bookmarkStart w:id="1440" w:name="__RefHeading___Toc2566300_3650668749"/>
      <w:bookmarkStart w:id="1441" w:name="_Toc659"/>
      <w:bookmarkEnd w:id="1440"/>
      <w:r>
        <w:rPr>
          <w:rtl w:val="true"/>
        </w:rPr>
        <w:t>[ (</w:t>
      </w:r>
      <w:r>
        <w:rPr>
          <w:rtl w:val="true"/>
        </w:rPr>
        <w:t xml:space="preserve">مسألة </w:t>
      </w:r>
      <w:r>
        <w:rPr/>
        <w:t>3</w:t>
      </w:r>
      <w:r>
        <w:rPr>
          <w:rtl w:val="true"/>
        </w:rPr>
        <w:t xml:space="preserve">): </w:t>
      </w:r>
      <w:r>
        <w:rPr>
          <w:rtl w:val="true"/>
        </w:rPr>
        <w:t>عورة الرجل فی الصلاة عورته فی النظر</w:t>
      </w:r>
      <w:r>
        <w:rPr>
          <w:rtl w:val="true"/>
        </w:rPr>
        <w:t>]</w:t>
      </w:r>
      <w:bookmarkEnd w:id="1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الرجل فی الصلاة عورته فی النظر،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الدبر و القضیب و الأُنثیان، و الأحوط ستر الشبح الذی یریٰ من خلف الثوب من غیر تمیّز للونه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عورة المرأة فی الصلاة جمیع بدنها حتّی الرأس و الشعر ما عدا الوجه الذی یجب غسله فی الوضوء و الیدین إلی الزندین و القدمین إلی الساقین، و یجب علیها ستر شی‌ء من أطراف هذه المستثنیات مقدّمة</w:t>
      </w:r>
      <w:r>
        <w:rPr>
          <w:rFonts w:eastAsia="IRNazanin" w:cs="IRNazanin"/>
          <w:color w:val="111111"/>
          <w:sz w:val="28"/>
          <w:szCs w:val="28"/>
          <w:rtl w:val="true"/>
          <w:lang w:bidi="fa-IR"/>
        </w:rPr>
        <w:t>.</w:t>
      </w:r>
    </w:p>
    <w:p>
      <w:pPr>
        <w:pStyle w:val="Heading5"/>
        <w:numPr>
          <w:ilvl w:val="4"/>
          <w:numId w:val="1"/>
        </w:numPr>
        <w:rPr/>
      </w:pPr>
      <w:bookmarkStart w:id="1442" w:name="__RefHeading___Toc2566302_3650668749"/>
      <w:bookmarkStart w:id="1443" w:name="_Toc660"/>
      <w:bookmarkEnd w:id="1442"/>
      <w:r>
        <w:rPr>
          <w:rtl w:val="true"/>
        </w:rPr>
        <w:t>[ (</w:t>
      </w:r>
      <w:r>
        <w:rPr>
          <w:rtl w:val="true"/>
        </w:rPr>
        <w:t xml:space="preserve">مسألة </w:t>
      </w:r>
      <w:r>
        <w:rPr/>
        <w:t>4</w:t>
      </w:r>
      <w:r>
        <w:rPr>
          <w:rtl w:val="true"/>
        </w:rPr>
        <w:t xml:space="preserve">): </w:t>
      </w:r>
      <w:r>
        <w:rPr>
          <w:rtl w:val="true"/>
        </w:rPr>
        <w:t>یجب علی المرأة ستر رقبتها و تحت ذقنها</w:t>
      </w:r>
      <w:r>
        <w:rPr>
          <w:rtl w:val="true"/>
        </w:rPr>
        <w:t>]</w:t>
      </w:r>
      <w:bookmarkEnd w:id="144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المرأة ستر رقبتها و تحت ذقنها حتّی المقدار الذی یریٰ منه عند اختمارها علی الأحوط</w:t>
      </w:r>
      <w:r>
        <w:rPr>
          <w:rFonts w:eastAsia="IRNazanin" w:cs="IRNazanin"/>
          <w:color w:val="111111"/>
          <w:sz w:val="28"/>
          <w:szCs w:val="28"/>
          <w:rtl w:val="true"/>
          <w:lang w:bidi="fa-IR"/>
        </w:rPr>
        <w:t>.</w:t>
      </w:r>
      <w:bookmarkStart w:id="1444" w:name="pg1809_18933"/>
    </w:p>
    <w:p>
      <w:pPr>
        <w:pStyle w:val="Heading5"/>
        <w:numPr>
          <w:ilvl w:val="4"/>
          <w:numId w:val="1"/>
        </w:numPr>
        <w:rPr/>
      </w:pPr>
      <w:bookmarkStart w:id="1445" w:name="__RefHeading___Toc2566304_3650668749"/>
      <w:bookmarkStart w:id="1446" w:name="_Toc661"/>
      <w:bookmarkEnd w:id="1444"/>
      <w:bookmarkEnd w:id="1445"/>
      <w:r>
        <w:rPr>
          <w:rtl w:val="true"/>
        </w:rPr>
        <w:t>[ (</w:t>
      </w:r>
      <w:r>
        <w:rPr>
          <w:rtl w:val="true"/>
        </w:rPr>
        <w:t xml:space="preserve">مسألة </w:t>
      </w:r>
      <w:r>
        <w:rPr/>
        <w:t>5</w:t>
      </w:r>
      <w:r>
        <w:rPr>
          <w:rtl w:val="true"/>
        </w:rPr>
        <w:t xml:space="preserve">): </w:t>
      </w:r>
      <w:r>
        <w:rPr>
          <w:rtl w:val="true"/>
        </w:rPr>
        <w:t>الأمة و الصبیّة کالحرّة و البالغة</w:t>
      </w:r>
      <w:r>
        <w:rPr>
          <w:rtl w:val="true"/>
        </w:rPr>
        <w:t>]</w:t>
      </w:r>
      <w:bookmarkEnd w:id="1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و الصبیّة کالحرّة و البالغة، إلّا أنّه لا یجب علیهما ستر الرأس و الشعر و العنق</w:t>
      </w:r>
      <w:r>
        <w:rPr>
          <w:rFonts w:eastAsia="IRNazanin" w:cs="IRNazanin"/>
          <w:color w:val="111111"/>
          <w:sz w:val="28"/>
          <w:szCs w:val="28"/>
          <w:rtl w:val="true"/>
          <w:lang w:bidi="fa-IR"/>
        </w:rPr>
        <w:t>.</w:t>
      </w:r>
    </w:p>
    <w:p>
      <w:pPr>
        <w:pStyle w:val="Heading5"/>
        <w:numPr>
          <w:ilvl w:val="4"/>
          <w:numId w:val="1"/>
        </w:numPr>
        <w:rPr/>
      </w:pPr>
      <w:bookmarkStart w:id="1447" w:name="__RefHeading___Toc2566306_3650668749"/>
      <w:bookmarkStart w:id="1448" w:name="_Toc662"/>
      <w:bookmarkEnd w:id="1447"/>
      <w:r>
        <w:rPr>
          <w:rtl w:val="true"/>
        </w:rPr>
        <w:t>[ (</w:t>
      </w:r>
      <w:r>
        <w:rPr>
          <w:rtl w:val="true"/>
        </w:rPr>
        <w:t xml:space="preserve">مسألة </w:t>
      </w:r>
      <w:r>
        <w:rPr/>
        <w:t>6</w:t>
      </w:r>
      <w:r>
        <w:rPr>
          <w:rtl w:val="true"/>
        </w:rPr>
        <w:t xml:space="preserve">): </w:t>
      </w:r>
      <w:r>
        <w:rPr>
          <w:rtl w:val="true"/>
        </w:rPr>
        <w:t>لا یجب التستّر من جهة التحت</w:t>
      </w:r>
      <w:r>
        <w:rPr>
          <w:rtl w:val="true"/>
        </w:rPr>
        <w:t>]</w:t>
      </w:r>
      <w:bookmarkEnd w:id="1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التستّر من جهة التحت، نعم لو وقف علیٰ طرف سطح أو شبّاک </w:t>
      </w:r>
      <w:r>
        <w:rPr>
          <w:rStyle w:val="FootnoteAnchor"/>
          <w:rtl w:val="true"/>
        </w:rPr>
        <w:footnoteReference w:id="433"/>
      </w:r>
      <w:r>
        <w:rPr>
          <w:rFonts w:ascii="IRNazanin" w:hAnsi="IRNazanin" w:eastAsia="IRNazanin"/>
          <w:color w:val="111111"/>
          <w:sz w:val="28"/>
          <w:sz w:val="28"/>
          <w:szCs w:val="28"/>
          <w:rtl w:val="true"/>
          <w:lang w:bidi="fa-IR"/>
        </w:rPr>
        <w:t>بحیث تری عورته لو کان هناک ناظر فالأحوط بل الأقوی التستّر من جهة التحت أیضاً و إن لم یکن ناظر من تحت</w:t>
      </w:r>
      <w:r>
        <w:rPr>
          <w:rFonts w:eastAsia="IRNazanin" w:cs="IRNazanin"/>
          <w:color w:val="111111"/>
          <w:sz w:val="28"/>
          <w:szCs w:val="28"/>
          <w:rtl w:val="true"/>
          <w:lang w:bidi="fa-IR"/>
        </w:rPr>
        <w:t>.</w:t>
      </w:r>
    </w:p>
    <w:p>
      <w:pPr>
        <w:pStyle w:val="Heading5"/>
        <w:numPr>
          <w:ilvl w:val="4"/>
          <w:numId w:val="1"/>
        </w:numPr>
        <w:rPr/>
      </w:pPr>
      <w:bookmarkStart w:id="1449" w:name="__RefHeading___Toc2566308_3650668749"/>
      <w:bookmarkStart w:id="1450" w:name="_Toc663"/>
      <w:bookmarkEnd w:id="1449"/>
      <w:r>
        <w:rPr>
          <w:rtl w:val="true"/>
        </w:rPr>
        <w:t>[ (</w:t>
      </w:r>
      <w:r>
        <w:rPr>
          <w:rtl w:val="true"/>
        </w:rPr>
        <w:t xml:space="preserve">مسألة </w:t>
      </w:r>
      <w:r>
        <w:rPr/>
        <w:t>7</w:t>
      </w:r>
      <w:r>
        <w:rPr>
          <w:rtl w:val="true"/>
        </w:rPr>
        <w:t xml:space="preserve">): </w:t>
      </w:r>
      <w:r>
        <w:rPr>
          <w:rtl w:val="true"/>
        </w:rPr>
        <w:t>الستر عن النظر یحصل بکلّ ما یمنع عن النظر</w:t>
      </w:r>
      <w:r>
        <w:rPr>
          <w:rtl w:val="true"/>
        </w:rPr>
        <w:t>]</w:t>
      </w:r>
      <w:bookmarkEnd w:id="1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عن النظر یحصل بکلّ ما یمنع عن النظر و لو بالید أو الطلی بالطین أو الولوج فی الماء حتّی أنّ الدبر یکفی فی ستره الألیتان، و أمّا الستر الصلاتی فلا یکفی فیه ذلک و لو فی حال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یبعد </w:t>
      </w:r>
      <w:r>
        <w:rPr>
          <w:rStyle w:val="FootnoteAnchor"/>
          <w:rtl w:val="true"/>
        </w:rPr>
        <w:footnoteReference w:id="434"/>
      </w:r>
      <w:r>
        <w:rPr>
          <w:rFonts w:ascii="IRNazanin" w:hAnsi="IRNazanin" w:eastAsia="IRNazanin"/>
          <w:color w:val="111111"/>
          <w:sz w:val="28"/>
          <w:sz w:val="28"/>
          <w:szCs w:val="28"/>
          <w:rtl w:val="true"/>
          <w:lang w:bidi="fa-IR"/>
        </w:rPr>
        <w:t>کفایة الطلی بالطین حال الاضطرار و إن کان الأحوط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الاضطرار و إمکانه یجمع بین صلاة فاقد الساتر و واجده، و أمّا الستر بالورق </w:t>
      </w:r>
      <w:r>
        <w:rPr>
          <w:rStyle w:val="FootnoteAnchor"/>
          <w:rtl w:val="true"/>
        </w:rPr>
        <w:footnoteReference w:id="435"/>
      </w:r>
      <w:r>
        <w:rPr>
          <w:rFonts w:ascii="IRNazanin" w:hAnsi="IRNazanin" w:eastAsia="IRNazanin"/>
          <w:color w:val="111111"/>
          <w:sz w:val="28"/>
          <w:sz w:val="28"/>
          <w:szCs w:val="28"/>
          <w:rtl w:val="true"/>
          <w:lang w:bidi="fa-IR"/>
        </w:rPr>
        <w:t>و الحشیش و کذا القطن و الصوف الغیر المنسوجین فالأقویٰ جوازه علیٰ کلّ حال</w:t>
      </w:r>
      <w:r>
        <w:rPr>
          <w:rFonts w:eastAsia="IRNazanin" w:cs="IRNazanin"/>
          <w:color w:val="111111"/>
          <w:sz w:val="28"/>
          <w:szCs w:val="28"/>
          <w:rtl w:val="true"/>
          <w:lang w:bidi="fa-IR"/>
        </w:rPr>
        <w:t>.</w:t>
      </w:r>
    </w:p>
    <w:p>
      <w:pPr>
        <w:pStyle w:val="Heading5"/>
        <w:numPr>
          <w:ilvl w:val="4"/>
          <w:numId w:val="1"/>
        </w:numPr>
        <w:rPr/>
      </w:pPr>
      <w:bookmarkStart w:id="1451" w:name="__RefHeading___Toc2566310_3650668749"/>
      <w:bookmarkStart w:id="1452" w:name="_Toc664"/>
      <w:bookmarkEnd w:id="1451"/>
      <w:r>
        <w:rPr>
          <w:rtl w:val="true"/>
        </w:rPr>
        <w:t>[ (</w:t>
      </w:r>
      <w:r>
        <w:rPr>
          <w:rtl w:val="true"/>
        </w:rPr>
        <w:t xml:space="preserve">مسألة </w:t>
      </w:r>
      <w:r>
        <w:rPr/>
        <w:t>8</w:t>
      </w:r>
      <w:r>
        <w:rPr>
          <w:rtl w:val="true"/>
        </w:rPr>
        <w:t xml:space="preserve">): </w:t>
      </w:r>
      <w:r>
        <w:rPr>
          <w:rtl w:val="true"/>
        </w:rPr>
        <w:t>یعتبر فی الساتر بل فی مطلق لباس المصلّی أُمور</w:t>
      </w:r>
      <w:r>
        <w:rPr>
          <w:rtl w:val="true"/>
        </w:rPr>
        <w:t>]</w:t>
      </w:r>
      <w:bookmarkEnd w:id="1452"/>
    </w:p>
    <w:p>
      <w:pPr>
        <w:pStyle w:val="Heading6"/>
        <w:numPr>
          <w:ilvl w:val="5"/>
          <w:numId w:val="1"/>
        </w:numPr>
        <w:rPr/>
      </w:pPr>
      <w:bookmarkStart w:id="1453" w:name="__RefHeading___Toc2566312_3650668749"/>
      <w:bookmarkStart w:id="1454" w:name="_Toc665"/>
      <w:bookmarkEnd w:id="1453"/>
      <w:r>
        <w:rPr>
          <w:rtl w:val="true"/>
        </w:rPr>
        <w:t>اشارة</w:t>
      </w:r>
      <w:bookmarkEnd w:id="1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الساتر بل فی مطلق لباس المصلّی أُمور</w:t>
      </w:r>
      <w:r>
        <w:rPr>
          <w:rFonts w:eastAsia="IRNazanin" w:cs="IRNazanin"/>
          <w:color w:val="111111"/>
          <w:sz w:val="28"/>
          <w:szCs w:val="28"/>
          <w:rtl w:val="true"/>
          <w:lang w:bidi="fa-IR"/>
        </w:rPr>
        <w:t>:</w:t>
      </w:r>
    </w:p>
    <w:p>
      <w:pPr>
        <w:pStyle w:val="Heading6"/>
        <w:numPr>
          <w:ilvl w:val="5"/>
          <w:numId w:val="1"/>
        </w:numPr>
        <w:rPr/>
      </w:pPr>
      <w:bookmarkStart w:id="1455" w:name="__RefHeading___Toc2566314_3650668749"/>
      <w:bookmarkStart w:id="1456" w:name="_Toc666"/>
      <w:bookmarkEnd w:id="1455"/>
      <w:r>
        <w:rPr>
          <w:rtl w:val="true"/>
        </w:rPr>
        <w:t>[</w:t>
      </w:r>
      <w:r>
        <w:rPr>
          <w:rtl w:val="true"/>
        </w:rPr>
        <w:t>الأوّل</w:t>
      </w:r>
      <w:r>
        <w:rPr>
          <w:rtl w:val="true"/>
        </w:rPr>
        <w:t xml:space="preserve">: </w:t>
      </w:r>
      <w:r>
        <w:rPr>
          <w:rtl w:val="true"/>
        </w:rPr>
        <w:t>الطهارة</w:t>
      </w:r>
      <w:r>
        <w:rPr>
          <w:rtl w:val="true"/>
        </w:rPr>
        <w:t>]</w:t>
      </w:r>
      <w:bookmarkEnd w:id="145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إلّا فیما لا تتمّ الصلاة فیه منفرداً کما تقدّم</w:t>
      </w:r>
      <w:r>
        <w:rPr>
          <w:rFonts w:eastAsia="IRNazanin" w:cs="IRNazanin"/>
          <w:color w:val="111111"/>
          <w:sz w:val="28"/>
          <w:szCs w:val="28"/>
          <w:rtl w:val="true"/>
          <w:lang w:bidi="fa-IR"/>
        </w:rPr>
        <w:t>.</w:t>
      </w:r>
    </w:p>
    <w:p>
      <w:pPr>
        <w:pStyle w:val="Heading6"/>
        <w:numPr>
          <w:ilvl w:val="5"/>
          <w:numId w:val="1"/>
        </w:numPr>
        <w:rPr/>
      </w:pPr>
      <w:bookmarkStart w:id="1457" w:name="__RefHeading___Toc2566316_3650668749"/>
      <w:bookmarkStart w:id="1458" w:name="_Toc667"/>
      <w:bookmarkEnd w:id="1457"/>
      <w:r>
        <w:rPr>
          <w:rtl w:val="true"/>
        </w:rPr>
        <w:t>[</w:t>
      </w:r>
      <w:r>
        <w:rPr>
          <w:rtl w:val="true"/>
        </w:rPr>
        <w:t>الثانی</w:t>
      </w:r>
      <w:r>
        <w:rPr>
          <w:rtl w:val="true"/>
        </w:rPr>
        <w:t xml:space="preserve">: </w:t>
      </w:r>
      <w:r>
        <w:rPr>
          <w:rtl w:val="true"/>
        </w:rPr>
        <w:t>الإباحة</w:t>
      </w:r>
      <w:r>
        <w:rPr>
          <w:rtl w:val="true"/>
        </w:rPr>
        <w:t>]</w:t>
      </w:r>
      <w:bookmarkEnd w:id="1458"/>
    </w:p>
    <w:p>
      <w:pPr>
        <w:pStyle w:val="Heading6"/>
        <w:numPr>
          <w:ilvl w:val="5"/>
          <w:numId w:val="1"/>
        </w:numPr>
        <w:rPr/>
      </w:pPr>
      <w:bookmarkStart w:id="1459" w:name="__RefHeading___Toc2566318_3650668749"/>
      <w:bookmarkStart w:id="1460" w:name="_Toc668"/>
      <w:bookmarkEnd w:id="1459"/>
      <w:r>
        <w:rPr>
          <w:rtl w:val="true"/>
        </w:rPr>
        <w:t>اشارة</w:t>
      </w:r>
      <w:bookmarkEnd w:id="146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الإباحة فلا یجوز فی المغصوب مع العلم بالغصبیّة، فلو لم یعلم بها صحّت صلاته و کذا الناسی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1" w:name="__RefHeading___Toc2566320_3650668749"/>
      <w:bookmarkStart w:id="1462" w:name="_Toc669"/>
      <w:bookmarkEnd w:id="1461"/>
      <w:r>
        <w:rPr>
          <w:rtl w:val="true"/>
        </w:rPr>
        <w:t>[ (</w:t>
      </w:r>
      <w:r>
        <w:rPr>
          <w:rtl w:val="true"/>
        </w:rPr>
        <w:t xml:space="preserve">مسألة </w:t>
      </w:r>
      <w:r>
        <w:rPr/>
        <w:t>9</w:t>
      </w:r>
      <w:r>
        <w:rPr>
          <w:rtl w:val="true"/>
        </w:rPr>
        <w:t xml:space="preserve">): </w:t>
      </w:r>
      <w:r>
        <w:rPr>
          <w:rtl w:val="true"/>
        </w:rPr>
        <w:t>لا فرق فی الغصب بین أن یکون عینه مال الغیر أو منفعته أو یکون متعلّقاً لحقّ الغیر</w:t>
      </w:r>
      <w:r>
        <w:rPr>
          <w:rtl w:val="true"/>
        </w:rPr>
        <w:t>]</w:t>
      </w:r>
      <w:bookmarkEnd w:id="1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الغصب بین أن یکون عینه مال الغیر أو منفعته أو یکون متعلّقاً لحقّ الغیر کالمرهون، بل إذا اشتریٰ ثوباً بعین مال تعلّق به الخمس أو الزکاة مع عدم أدائهما من مال آخر حکمه حکم المغصوب</w:t>
      </w:r>
      <w:r>
        <w:rPr>
          <w:rFonts w:eastAsia="IRNazanin" w:cs="IRNazanin"/>
          <w:color w:val="111111"/>
          <w:sz w:val="28"/>
          <w:szCs w:val="28"/>
          <w:rtl w:val="true"/>
          <w:lang w:bidi="fa-IR"/>
        </w:rPr>
        <w:t>.</w:t>
      </w:r>
    </w:p>
    <w:p>
      <w:pPr>
        <w:pStyle w:val="Heading6"/>
        <w:numPr>
          <w:ilvl w:val="5"/>
          <w:numId w:val="1"/>
        </w:numPr>
        <w:rPr/>
      </w:pPr>
      <w:bookmarkStart w:id="1463" w:name="__RefHeading___Toc2566322_3650668749"/>
      <w:bookmarkStart w:id="1464" w:name="_Toc670"/>
      <w:bookmarkEnd w:id="1463"/>
      <w:r>
        <w:rPr>
          <w:rtl w:val="true"/>
        </w:rPr>
        <w:t>[ (</w:t>
      </w:r>
      <w:r>
        <w:rPr>
          <w:rtl w:val="true"/>
        </w:rPr>
        <w:t xml:space="preserve">مسألة </w:t>
      </w:r>
      <w:r>
        <w:rPr/>
        <w:t>10</w:t>
      </w:r>
      <w:r>
        <w:rPr>
          <w:rtl w:val="true"/>
        </w:rPr>
        <w:t xml:space="preserve">): </w:t>
      </w:r>
      <w:r>
        <w:rPr>
          <w:rtl w:val="true"/>
        </w:rPr>
        <w:t>إذا صبغ الثوب بصبغ مغصوب أو خیط بخیط مغصوب</w:t>
      </w:r>
      <w:r>
        <w:rPr>
          <w:rtl w:val="true"/>
        </w:rPr>
        <w:t>]</w:t>
      </w:r>
      <w:bookmarkEnd w:id="146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صبغ الثوب بصبغ مغصوب أو خیط بخیط مغصوب ففی جریان حکم</w:t>
      </w:r>
      <w:bookmarkStart w:id="1465" w:name="pg1809_18936"/>
    </w:p>
    <w:p>
      <w:pPr>
        <w:pStyle w:val="BookText"/>
        <w:rPr/>
      </w:pPr>
      <w:bookmarkEnd w:id="1465"/>
      <w:r>
        <w:rPr>
          <w:rFonts w:ascii="IRNazanin" w:hAnsi="IRNazanin" w:eastAsia="IRNazanin"/>
          <w:color w:val="111111"/>
          <w:sz w:val="28"/>
          <w:sz w:val="28"/>
          <w:szCs w:val="28"/>
          <w:rtl w:val="true"/>
          <w:lang w:bidi="fa-IR"/>
        </w:rPr>
        <w:t xml:space="preserve">المغصوب علیه إشکال </w:t>
      </w:r>
      <w:r>
        <w:rPr>
          <w:rStyle w:val="FootnoteAnchor"/>
          <w:rtl w:val="true"/>
        </w:rPr>
        <w:footnoteReference w:id="437"/>
      </w:r>
      <w:r>
        <w:rPr>
          <w:rFonts w:ascii="IRNazanin" w:hAnsi="IRNazanin" w:eastAsia="IRNazanin"/>
          <w:color w:val="111111"/>
          <w:sz w:val="28"/>
          <w:sz w:val="28"/>
          <w:szCs w:val="28"/>
          <w:rtl w:val="true"/>
          <w:lang w:bidi="fa-IR"/>
        </w:rPr>
        <w:t>، فلا یترک الاحتیاط، خصوصاً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إشکال فیما إذا أُجبر الصبّاغ أو الخیّاط علیٰ عمله و لم یعط أُجرته مع کون الصبغ و الخیط من مالک الثوب، و کذا إذا غسل الثوب بماء مغصوب أو أُزیل وسخه بصابون مغصوب أو اجبر الغاسل علیٰ غسله و لم یعط أُجرته</w:t>
      </w:r>
      <w:r>
        <w:rPr>
          <w:rFonts w:eastAsia="IRNazanin" w:cs="IRNazanin"/>
          <w:color w:val="111111"/>
          <w:sz w:val="28"/>
          <w:szCs w:val="28"/>
          <w:rtl w:val="true"/>
          <w:lang w:bidi="fa-IR"/>
        </w:rPr>
        <w:t>.</w:t>
      </w:r>
    </w:p>
    <w:p>
      <w:pPr>
        <w:pStyle w:val="Heading6"/>
        <w:numPr>
          <w:ilvl w:val="5"/>
          <w:numId w:val="1"/>
        </w:numPr>
        <w:rPr/>
      </w:pPr>
      <w:bookmarkStart w:id="1466" w:name="__RefHeading___Toc2566324_3650668749"/>
      <w:bookmarkStart w:id="1467" w:name="_Toc671"/>
      <w:bookmarkEnd w:id="1466"/>
      <w:r>
        <w:rPr>
          <w:rtl w:val="true"/>
        </w:rPr>
        <w:t>[</w:t>
      </w:r>
      <w:r>
        <w:rPr>
          <w:rtl w:val="true"/>
        </w:rPr>
        <w:t>الثالث</w:t>
      </w:r>
      <w:r>
        <w:rPr>
          <w:rtl w:val="true"/>
        </w:rPr>
        <w:t xml:space="preserve">: </w:t>
      </w:r>
      <w:r>
        <w:rPr>
          <w:rtl w:val="true"/>
        </w:rPr>
        <w:t>أن یکون مذکّی مأکول اللحم</w:t>
      </w:r>
      <w:r>
        <w:rPr>
          <w:rtl w:val="true"/>
        </w:rPr>
        <w:t>]</w:t>
      </w:r>
      <w:bookmarkEnd w:id="1467"/>
    </w:p>
    <w:p>
      <w:pPr>
        <w:pStyle w:val="Heading6"/>
        <w:numPr>
          <w:ilvl w:val="5"/>
          <w:numId w:val="1"/>
        </w:numPr>
        <w:rPr/>
      </w:pPr>
      <w:bookmarkStart w:id="1468" w:name="__RefHeading___Toc2566326_3650668749"/>
      <w:bookmarkStart w:id="1469" w:name="_Toc672"/>
      <w:bookmarkEnd w:id="1468"/>
      <w:r>
        <w:rPr>
          <w:rtl w:val="true"/>
        </w:rPr>
        <w:t>اشارة</w:t>
      </w:r>
      <w:bookmarkEnd w:id="146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مذکّی مأکول اللحم، فلا تجوز الصلاة فی جلد غیر المذکی و لا فی غیر جلده من أجزائه التی تحلّها الحیاة و لو کان طاهراً </w:t>
      </w:r>
      <w:r>
        <w:rPr>
          <w:rStyle w:val="FootnoteAnchor"/>
          <w:rtl w:val="true"/>
        </w:rPr>
        <w:footnoteReference w:id="438"/>
      </w:r>
      <w:r>
        <w:rPr>
          <w:rFonts w:ascii="IRNazanin" w:hAnsi="IRNazanin" w:eastAsia="IRNazanin"/>
          <w:color w:val="111111"/>
          <w:sz w:val="28"/>
          <w:sz w:val="28"/>
          <w:szCs w:val="28"/>
          <w:rtl w:val="true"/>
          <w:lang w:bidi="fa-IR"/>
        </w:rPr>
        <w:t>من جهة عدم کونه ذا نفس سائلة کالسمک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فیما لا تحلّه الحیاة من أجزائه کالصوف و الشعر و الوبر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 مأکول اللحم فلا یجوز الصلاة فی شی‌ء منه و إن ذکّی؛ من غیر فرق بین أجزائه التی تحلّها الحیاة و غیرها، بل یجب إزالة الفضلات الطاهرة منه کالرطوبة و الشعرات الملتصقة بلباس المصلّی و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شکّ فی اللباس أو فیما علی اللباس من الرطوبة و نحوها فی أنّها من المأکول أو من غیره أو من الحیوان أو غیره صحّت الصلاة فیه، بخلاف ما إذا شکّ فیما تحلّه الحیاة من الحیوان أنّه مذکّی أو میتة فإنّه لا یصلّی فیه حتّی یحرز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یؤخذ من ید المسلم أو من سوق المسلمین مع عدم العلم بسبق ید الکافر علیه أو سبق یده مع احتمال أنّ المسلم </w:t>
      </w:r>
      <w:r>
        <w:rPr>
          <w:rStyle w:val="FootnoteAnchor"/>
          <w:rtl w:val="true"/>
        </w:rPr>
        <w:footnoteReference w:id="439"/>
      </w:r>
      <w:r>
        <w:rPr>
          <w:rFonts w:ascii="IRNazanin" w:hAnsi="IRNazanin" w:eastAsia="IRNazanin"/>
          <w:color w:val="111111"/>
          <w:sz w:val="28"/>
          <w:sz w:val="28"/>
          <w:szCs w:val="28"/>
          <w:rtl w:val="true"/>
          <w:lang w:bidi="fa-IR"/>
        </w:rPr>
        <w:t>الذی بیده قد تفحّص عن حاله، محکوم بالتذکیة فیجوز الصلاة فیه</w:t>
      </w:r>
      <w:r>
        <w:rPr>
          <w:rFonts w:eastAsia="IRNazanin" w:cs="IRNazanin"/>
          <w:color w:val="111111"/>
          <w:sz w:val="28"/>
          <w:szCs w:val="28"/>
          <w:rtl w:val="true"/>
          <w:lang w:bidi="fa-IR"/>
        </w:rPr>
        <w:t>.</w:t>
      </w:r>
    </w:p>
    <w:p>
      <w:pPr>
        <w:pStyle w:val="Heading6"/>
        <w:numPr>
          <w:ilvl w:val="5"/>
          <w:numId w:val="1"/>
        </w:numPr>
        <w:rPr/>
      </w:pPr>
      <w:bookmarkStart w:id="1470" w:name="__RefHeading___Toc2566328_3650668749"/>
      <w:bookmarkStart w:id="1471" w:name="_Toc673"/>
      <w:bookmarkEnd w:id="1470"/>
      <w:r>
        <w:rPr>
          <w:rtl w:val="true"/>
        </w:rPr>
        <w:t>[ (</w:t>
      </w:r>
      <w:r>
        <w:rPr>
          <w:rtl w:val="true"/>
        </w:rPr>
        <w:t xml:space="preserve">مسألة </w:t>
      </w:r>
      <w:r>
        <w:rPr/>
        <w:t>11</w:t>
      </w:r>
      <w:r>
        <w:rPr>
          <w:rtl w:val="true"/>
        </w:rPr>
        <w:t xml:space="preserve">): </w:t>
      </w:r>
      <w:r>
        <w:rPr>
          <w:rtl w:val="true"/>
        </w:rPr>
        <w:t>لا بأس بالشمع و العسل و الحریر الممتزج و أجزاء مثل البقّ</w:t>
      </w:r>
      <w:r>
        <w:rPr>
          <w:rtl w:val="true"/>
        </w:rPr>
        <w:t>]</w:t>
      </w:r>
      <w:bookmarkEnd w:id="1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بالشمع و العسل و الحریر الممتزج و أجزاء مثل البقّ و البرغوث و الزنبور و نحوها ممّا لا لحم لها، و کذلک الصدف</w:t>
      </w:r>
      <w:r>
        <w:rPr>
          <w:rFonts w:eastAsia="IRNazanin" w:cs="IRNazanin"/>
          <w:color w:val="111111"/>
          <w:sz w:val="28"/>
          <w:szCs w:val="28"/>
          <w:rtl w:val="true"/>
          <w:lang w:bidi="fa-IR"/>
        </w:rPr>
        <w:t>.</w:t>
      </w:r>
    </w:p>
    <w:p>
      <w:pPr>
        <w:pStyle w:val="Heading6"/>
        <w:numPr>
          <w:ilvl w:val="5"/>
          <w:numId w:val="1"/>
        </w:numPr>
        <w:rPr/>
      </w:pPr>
      <w:bookmarkStart w:id="1472" w:name="__RefHeading___Toc2566330_3650668749"/>
      <w:bookmarkStart w:id="1473" w:name="_Toc674"/>
      <w:bookmarkEnd w:id="1472"/>
      <w:r>
        <w:rPr>
          <w:rtl w:val="true"/>
        </w:rPr>
        <w:t>[ (</w:t>
      </w:r>
      <w:r>
        <w:rPr>
          <w:rtl w:val="true"/>
        </w:rPr>
        <w:t xml:space="preserve">مسألة </w:t>
      </w:r>
      <w:r>
        <w:rPr/>
        <w:t>12</w:t>
      </w:r>
      <w:r>
        <w:rPr>
          <w:rtl w:val="true"/>
        </w:rPr>
        <w:t xml:space="preserve">): </w:t>
      </w:r>
      <w:r>
        <w:rPr>
          <w:rtl w:val="true"/>
        </w:rPr>
        <w:t>استثنی ممّا لا یؤکل</w:t>
      </w:r>
      <w:r>
        <w:rPr>
          <w:rtl w:val="true"/>
        </w:rPr>
        <w:t xml:space="preserve">: </w:t>
      </w:r>
      <w:r>
        <w:rPr>
          <w:rtl w:val="true"/>
        </w:rPr>
        <w:t>الخزّ و السنجاب</w:t>
      </w:r>
      <w:r>
        <w:rPr>
          <w:rtl w:val="true"/>
        </w:rPr>
        <w:t>]</w:t>
      </w:r>
      <w:bookmarkEnd w:id="147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استثنی ممّا لا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 و السنجاب </w:t>
      </w:r>
      <w:r>
        <w:rPr>
          <w:rStyle w:val="FootnoteAnchor"/>
          <w:rtl w:val="true"/>
        </w:rPr>
        <w:footnoteReference w:id="440"/>
      </w:r>
      <w:r>
        <w:rPr>
          <w:rFonts w:ascii="IRNazanin" w:hAnsi="IRNazanin" w:eastAsia="IRNazanin"/>
          <w:color w:val="111111"/>
          <w:sz w:val="28"/>
          <w:sz w:val="28"/>
          <w:szCs w:val="28"/>
          <w:rtl w:val="true"/>
          <w:lang w:bidi="fa-IR"/>
        </w:rPr>
        <w:t>، إلّا أنّ الذی یسمّونه الآن بالخزّ لم یعلم أنّه الخزّ، و مع ذلک لا بأس بالصلاة فیه لمن اشتبه حاله بعد ما جوّزنا الصلاة فی</w:t>
      </w:r>
      <w:bookmarkStart w:id="1474" w:name="pg1809_18938"/>
    </w:p>
    <w:p>
      <w:pPr>
        <w:pStyle w:val="BookText"/>
        <w:rPr/>
      </w:pPr>
      <w:bookmarkEnd w:id="1474"/>
      <w:r>
        <w:rPr>
          <w:rFonts w:ascii="IRNazanin" w:hAnsi="IRNazanin" w:eastAsia="IRNazanin"/>
          <w:color w:val="111111"/>
          <w:sz w:val="28"/>
          <w:sz w:val="28"/>
          <w:szCs w:val="28"/>
          <w:rtl w:val="true"/>
          <w:lang w:bidi="fa-IR"/>
        </w:rPr>
        <w:t>المشتبه، و إن کان الأحوط شدیداً الاجتناب عنه</w:t>
      </w:r>
      <w:r>
        <w:rPr>
          <w:rFonts w:eastAsia="IRNazanin" w:cs="IRNazanin"/>
          <w:color w:val="111111"/>
          <w:sz w:val="28"/>
          <w:szCs w:val="28"/>
          <w:rtl w:val="true"/>
          <w:lang w:bidi="fa-IR"/>
        </w:rPr>
        <w:t>.</w:t>
      </w:r>
    </w:p>
    <w:p>
      <w:pPr>
        <w:pStyle w:val="Heading6"/>
        <w:numPr>
          <w:ilvl w:val="5"/>
          <w:numId w:val="1"/>
        </w:numPr>
        <w:rPr/>
      </w:pPr>
      <w:bookmarkStart w:id="1475" w:name="__RefHeading___Toc2566332_3650668749"/>
      <w:bookmarkStart w:id="1476" w:name="_Toc675"/>
      <w:bookmarkEnd w:id="1475"/>
      <w:r>
        <w:rPr>
          <w:rtl w:val="true"/>
        </w:rPr>
        <w:t>[ (</w:t>
      </w:r>
      <w:r>
        <w:rPr>
          <w:rtl w:val="true"/>
        </w:rPr>
        <w:t xml:space="preserve">مسألة </w:t>
      </w:r>
      <w:r>
        <w:rPr/>
        <w:t>13</w:t>
      </w:r>
      <w:r>
        <w:rPr>
          <w:rtl w:val="true"/>
        </w:rPr>
        <w:t xml:space="preserve">): </w:t>
      </w:r>
      <w:r>
        <w:rPr>
          <w:rtl w:val="true"/>
        </w:rPr>
        <w:t>لا بأس بفضلات الإنسان کشعره و ریقه و لبنه</w:t>
      </w:r>
      <w:r>
        <w:rPr>
          <w:rtl w:val="true"/>
        </w:rPr>
        <w:t>]</w:t>
      </w:r>
      <w:bookmarkEnd w:id="1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بفضلات الإنسان کشعره و ریقه و لبنه؛ سواء کان لنفسه أو لغیره، فلا بأس بالشعر الموصول بالشعر و صحّت الصلاة فیه؛ سواء کان من الرجل أو المرأة</w:t>
      </w:r>
      <w:r>
        <w:rPr>
          <w:rFonts w:eastAsia="IRNazanin" w:cs="IRNazanin"/>
          <w:color w:val="111111"/>
          <w:sz w:val="28"/>
          <w:szCs w:val="28"/>
          <w:rtl w:val="true"/>
          <w:lang w:bidi="fa-IR"/>
        </w:rPr>
        <w:t>.</w:t>
      </w:r>
    </w:p>
    <w:p>
      <w:pPr>
        <w:pStyle w:val="Heading6"/>
        <w:numPr>
          <w:ilvl w:val="5"/>
          <w:numId w:val="1"/>
        </w:numPr>
        <w:rPr/>
      </w:pPr>
      <w:bookmarkStart w:id="1477" w:name="__RefHeading___Toc2566334_3650668749"/>
      <w:bookmarkStart w:id="1478" w:name="_Toc676"/>
      <w:bookmarkEnd w:id="1477"/>
      <w:r>
        <w:rPr>
          <w:rtl w:val="true"/>
        </w:rPr>
        <w:t>[</w:t>
      </w:r>
      <w:r>
        <w:rPr>
          <w:rtl w:val="true"/>
        </w:rPr>
        <w:t>الرابع</w:t>
      </w:r>
      <w:r>
        <w:rPr>
          <w:rtl w:val="true"/>
        </w:rPr>
        <w:t xml:space="preserve">: </w:t>
      </w:r>
      <w:r>
        <w:rPr>
          <w:rtl w:val="true"/>
        </w:rPr>
        <w:t>أن لا یکون الساتر بل مطلق اللباس من الذهب للرجال فی الصلاة</w:t>
      </w:r>
      <w:r>
        <w:rPr>
          <w:rtl w:val="true"/>
        </w:rPr>
        <w:t>]</w:t>
      </w:r>
      <w:bookmarkEnd w:id="1478"/>
    </w:p>
    <w:p>
      <w:pPr>
        <w:pStyle w:val="Heading6"/>
        <w:numPr>
          <w:ilvl w:val="5"/>
          <w:numId w:val="1"/>
        </w:numPr>
        <w:rPr/>
      </w:pPr>
      <w:bookmarkStart w:id="1479" w:name="__RefHeading___Toc2566336_3650668749"/>
      <w:bookmarkStart w:id="1480" w:name="_Toc677"/>
      <w:bookmarkEnd w:id="1479"/>
      <w:r>
        <w:rPr>
          <w:rtl w:val="true"/>
        </w:rPr>
        <w:t>اشارة</w:t>
      </w:r>
      <w:bookmarkEnd w:id="1480"/>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الساتر بل مطلق اللباس من الذهب للرجال فی الصلاة و غیرها و لو کان حلیّاً کالخاتم و نحوه</w:t>
      </w:r>
      <w:r>
        <w:rPr>
          <w:rFonts w:eastAsia="IRNazanin" w:cs="IRNazanin"/>
          <w:color w:val="111111"/>
          <w:sz w:val="28"/>
          <w:szCs w:val="28"/>
          <w:rtl w:val="true"/>
          <w:lang w:bidi="fa-IR"/>
        </w:rPr>
        <w:t>.</w:t>
      </w:r>
    </w:p>
    <w:p>
      <w:pPr>
        <w:pStyle w:val="Heading6"/>
        <w:numPr>
          <w:ilvl w:val="5"/>
          <w:numId w:val="1"/>
        </w:numPr>
        <w:rPr/>
      </w:pPr>
      <w:bookmarkStart w:id="1481" w:name="__RefHeading___Toc2566338_3650668749"/>
      <w:bookmarkStart w:id="1482" w:name="_Toc678"/>
      <w:bookmarkEnd w:id="1481"/>
      <w:r>
        <w:rPr>
          <w:rtl w:val="true"/>
        </w:rPr>
        <w:t>[ (</w:t>
      </w:r>
      <w:r>
        <w:rPr>
          <w:rtl w:val="true"/>
        </w:rPr>
        <w:t xml:space="preserve">مسألة </w:t>
      </w:r>
      <w:r>
        <w:rPr/>
        <w:t>14</w:t>
      </w:r>
      <w:r>
        <w:rPr>
          <w:rtl w:val="true"/>
        </w:rPr>
        <w:t xml:space="preserve">): </w:t>
      </w:r>
      <w:r>
        <w:rPr>
          <w:rtl w:val="true"/>
        </w:rPr>
        <w:t>لا بأس بشدّ الأسنان بالذهب</w:t>
      </w:r>
      <w:r>
        <w:rPr>
          <w:rtl w:val="true"/>
        </w:rPr>
        <w:t>]</w:t>
      </w:r>
      <w:bookmarkEnd w:id="1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بشدّ الأسنان بالذهب، بل و لا ترکیبها به فی الصلاة و غیرها، نعم فی مثل الثنایا ممّا کان ظاهراً و قصد به التزیّن لا یخلو من إشکال فالأحوط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بأس بکون قاب الساعة من الذهب و استصحابها فی الصلاة، نعم إذا کان زنجیر الساعة من الذهب و علّقه علیٰ رقبته أو علّق رأسه بلباسه یشکل الصلاة معه، بخلاف ما إذا کان غیر معلّق، و إن کان معه فی جیبه فلا بأس به</w:t>
      </w:r>
      <w:r>
        <w:rPr>
          <w:rFonts w:eastAsia="IRNazanin" w:cs="IRNazanin"/>
          <w:color w:val="111111"/>
          <w:sz w:val="28"/>
          <w:szCs w:val="28"/>
          <w:rtl w:val="true"/>
          <w:lang w:bidi="fa-IR"/>
        </w:rPr>
        <w:t>.</w:t>
      </w:r>
    </w:p>
    <w:p>
      <w:pPr>
        <w:pStyle w:val="Heading6"/>
        <w:numPr>
          <w:ilvl w:val="5"/>
          <w:numId w:val="1"/>
        </w:numPr>
        <w:rPr/>
      </w:pPr>
      <w:bookmarkStart w:id="1483" w:name="__RefHeading___Toc2566340_3650668749"/>
      <w:bookmarkStart w:id="1484" w:name="_Toc679"/>
      <w:bookmarkEnd w:id="1483"/>
      <w:r>
        <w:rPr>
          <w:rtl w:val="true"/>
        </w:rPr>
        <w:t>[</w:t>
      </w:r>
      <w:r>
        <w:rPr>
          <w:rtl w:val="true"/>
        </w:rPr>
        <w:t>الخامس</w:t>
      </w:r>
      <w:r>
        <w:rPr>
          <w:rtl w:val="true"/>
        </w:rPr>
        <w:t xml:space="preserve">: </w:t>
      </w:r>
      <w:r>
        <w:rPr>
          <w:rtl w:val="true"/>
        </w:rPr>
        <w:t>أن لا یکون حریراً محضاً للرجال</w:t>
      </w:r>
      <w:r>
        <w:rPr>
          <w:rtl w:val="true"/>
        </w:rPr>
        <w:t>]</w:t>
      </w:r>
      <w:bookmarkEnd w:id="1484"/>
    </w:p>
    <w:p>
      <w:pPr>
        <w:pStyle w:val="Heading6"/>
        <w:numPr>
          <w:ilvl w:val="5"/>
          <w:numId w:val="1"/>
        </w:numPr>
        <w:rPr/>
      </w:pPr>
      <w:bookmarkStart w:id="1485" w:name="__RefHeading___Toc2566342_3650668749"/>
      <w:bookmarkStart w:id="1486" w:name="_Toc680"/>
      <w:bookmarkEnd w:id="1485"/>
      <w:r>
        <w:rPr>
          <w:rtl w:val="true"/>
        </w:rPr>
        <w:t>اشارة</w:t>
      </w:r>
      <w:bookmarkEnd w:id="1486"/>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حریراً محضاً للرجال، بل لا یجوز لبسه لهم فی غیر الصلاة أیضاً و إن کان ممّا لا تتمّ فیه الصلاة منفرداً کالتکّة و القلنسوة و نحوهما علی الأحوط، و المراد به ما یشمل القزّ، و یجوز للنساء و لو فی الصلاة و للرجال فی الضرورة و فی الحرب</w:t>
      </w:r>
      <w:r>
        <w:rPr>
          <w:rFonts w:eastAsia="IRNazanin" w:cs="IRNazanin"/>
          <w:color w:val="111111"/>
          <w:sz w:val="28"/>
          <w:szCs w:val="28"/>
          <w:rtl w:val="true"/>
          <w:lang w:bidi="fa-IR"/>
        </w:rPr>
        <w:t>.</w:t>
      </w:r>
    </w:p>
    <w:p>
      <w:pPr>
        <w:pStyle w:val="Heading6"/>
        <w:numPr>
          <w:ilvl w:val="5"/>
          <w:numId w:val="1"/>
        </w:numPr>
        <w:rPr/>
      </w:pPr>
      <w:bookmarkStart w:id="1487" w:name="__RefHeading___Toc2566344_3650668749"/>
      <w:bookmarkStart w:id="1488" w:name="_Toc681"/>
      <w:bookmarkEnd w:id="1487"/>
      <w:r>
        <w:rPr>
          <w:rtl w:val="true"/>
        </w:rPr>
        <w:t>[ (</w:t>
      </w:r>
      <w:r>
        <w:rPr>
          <w:rtl w:val="true"/>
        </w:rPr>
        <w:t xml:space="preserve">مسألة </w:t>
      </w:r>
      <w:r>
        <w:rPr/>
        <w:t>15</w:t>
      </w:r>
      <w:r>
        <w:rPr>
          <w:rtl w:val="true"/>
        </w:rPr>
        <w:t xml:space="preserve">): </w:t>
      </w:r>
      <w:r>
        <w:rPr>
          <w:rtl w:val="true"/>
        </w:rPr>
        <w:t>الذی یحرم علی الرجال خصوص لبس الحریر، فلا بأس بالافتراش و الرکوب علیه</w:t>
      </w:r>
      <w:r>
        <w:rPr>
          <w:rtl w:val="true"/>
        </w:rPr>
        <w:t>]</w:t>
      </w:r>
      <w:bookmarkEnd w:id="1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یحرم علی الرجال خصوص لبس الحریر، فلا بأس بالافتراش و الرکوب علیه و التدثّر به </w:t>
      </w:r>
      <w:r>
        <w:rPr>
          <w:rStyle w:val="FootnoteAnchor"/>
          <w:rtl w:val="true"/>
        </w:rPr>
        <w:footnoteReference w:id="441"/>
      </w:r>
      <w:r>
        <w:rPr>
          <w:rFonts w:ascii="IRNazanin" w:hAnsi="IRNazanin" w:eastAsia="IRNazanin"/>
          <w:color w:val="111111"/>
          <w:sz w:val="28"/>
          <w:sz w:val="28"/>
          <w:szCs w:val="28"/>
          <w:rtl w:val="true"/>
          <w:lang w:bidi="fa-IR"/>
        </w:rPr>
        <w:t>و لا بزرّ الثیاب و أعلامها و السفائف و القیاطین الموضوعة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بأس بعصابة الجروح و القروح و حفیظة المسلوس و غیر ذلک، بل و لا بأس بأن یرقّع الثوب به و لا الکفّ به إذا لم یکونا بمقدار یصدق معه لبس الحریر و إن کان الأحوط فی الکفّ أن لا یزید علیٰ مقدار أربع أصابع مضمومة، بل الأحوط ملاحظة التقدیر المزبور فی الرقاع أیضاً</w:t>
      </w:r>
      <w:r>
        <w:rPr>
          <w:rFonts w:eastAsia="IRNazanin" w:cs="IRNazanin"/>
          <w:color w:val="111111"/>
          <w:sz w:val="28"/>
          <w:szCs w:val="28"/>
          <w:rtl w:val="true"/>
          <w:lang w:bidi="fa-IR"/>
        </w:rPr>
        <w:t>.</w:t>
      </w:r>
    </w:p>
    <w:p>
      <w:pPr>
        <w:pStyle w:val="Heading6"/>
        <w:numPr>
          <w:ilvl w:val="5"/>
          <w:numId w:val="1"/>
        </w:numPr>
        <w:rPr/>
      </w:pPr>
      <w:bookmarkStart w:id="1489" w:name="__RefHeading___Toc2566346_3650668749"/>
      <w:bookmarkStart w:id="1490" w:name="_Toc682"/>
      <w:bookmarkEnd w:id="1489"/>
      <w:r>
        <w:rPr>
          <w:rtl w:val="true"/>
        </w:rPr>
        <w:t>[ (</w:t>
      </w:r>
      <w:r>
        <w:rPr>
          <w:rtl w:val="true"/>
        </w:rPr>
        <w:t xml:space="preserve">مسألة </w:t>
      </w:r>
      <w:r>
        <w:rPr/>
        <w:t>16</w:t>
      </w:r>
      <w:r>
        <w:rPr>
          <w:rtl w:val="true"/>
        </w:rPr>
        <w:t xml:space="preserve">): </w:t>
      </w:r>
      <w:r>
        <w:rPr>
          <w:rtl w:val="true"/>
        </w:rPr>
        <w:t>قد عرفت أنّ المحرّم لبس الحریر المحض</w:t>
      </w:r>
      <w:r>
        <w:rPr>
          <w:rtl w:val="true"/>
        </w:rPr>
        <w:t>]</w:t>
      </w:r>
      <w:bookmarkEnd w:id="149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المحرّم لبس الحریر المحض أی الخالص الذی لم یمتزج بغیره فلا بأس بالممتزج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المدار علیٰ صدق مسمّی الامتزاج الذی به یخرج عن المحوضة و لو کان الخلیط بقدر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الخلیط من جهة صحّة الصلاة فیه کونه من جنس ما یصحّ الصلاة فیه، فلا یکفی مزجه بصوف أو وبر ما لا یؤکل لحمه و إن</w:t>
      </w:r>
      <w:bookmarkStart w:id="1491" w:name="pg1809_18940"/>
    </w:p>
    <w:p>
      <w:pPr>
        <w:pStyle w:val="BookText"/>
        <w:rPr/>
      </w:pPr>
      <w:bookmarkEnd w:id="1491"/>
      <w:r>
        <w:rPr>
          <w:rFonts w:ascii="IRNazanin" w:hAnsi="IRNazanin" w:eastAsia="IRNazanin"/>
          <w:color w:val="111111"/>
          <w:sz w:val="28"/>
          <w:sz w:val="28"/>
          <w:szCs w:val="28"/>
          <w:rtl w:val="true"/>
          <w:lang w:bidi="fa-IR"/>
        </w:rPr>
        <w:t>کان کافیاً فی رفع حرمة 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الثوب المنسوج من الإبریسم المفتول بالذهب یحرم لبسه کما لا یصحّ الصلاة فیه</w:t>
      </w:r>
      <w:r>
        <w:rPr>
          <w:rFonts w:eastAsia="IRNazanin" w:cs="IRNazanin"/>
          <w:color w:val="111111"/>
          <w:sz w:val="28"/>
          <w:szCs w:val="28"/>
          <w:rtl w:val="true"/>
          <w:lang w:bidi="fa-IR"/>
        </w:rPr>
        <w:t>.</w:t>
      </w:r>
    </w:p>
    <w:p>
      <w:pPr>
        <w:pStyle w:val="Heading6"/>
        <w:numPr>
          <w:ilvl w:val="5"/>
          <w:numId w:val="1"/>
        </w:numPr>
        <w:rPr/>
      </w:pPr>
      <w:bookmarkStart w:id="1492" w:name="__RefHeading___Toc2566348_3650668749"/>
      <w:bookmarkStart w:id="1493" w:name="_Toc683"/>
      <w:bookmarkEnd w:id="1492"/>
      <w:r>
        <w:rPr>
          <w:rtl w:val="true"/>
        </w:rPr>
        <w:t>[ (</w:t>
      </w:r>
      <w:r>
        <w:rPr>
          <w:rtl w:val="true"/>
        </w:rPr>
        <w:t xml:space="preserve">مسألة </w:t>
      </w:r>
      <w:r>
        <w:rPr/>
        <w:t>17</w:t>
      </w:r>
      <w:r>
        <w:rPr>
          <w:rtl w:val="true"/>
        </w:rPr>
        <w:t xml:space="preserve">): </w:t>
      </w:r>
      <w:r>
        <w:rPr>
          <w:rtl w:val="true"/>
        </w:rPr>
        <w:t>لبس لباس الشهرة و إن کان حراماً</w:t>
      </w:r>
      <w:r>
        <w:rPr>
          <w:rtl w:val="true"/>
        </w:rPr>
        <w:t>]</w:t>
      </w:r>
      <w:bookmarkEnd w:id="1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لباس الشهرة و إن کان حراماً </w:t>
      </w:r>
      <w:r>
        <w:rPr>
          <w:rStyle w:val="FootnoteAnchor"/>
          <w:rtl w:val="true"/>
        </w:rPr>
        <w:footnoteReference w:id="442"/>
      </w:r>
      <w:r>
        <w:rPr>
          <w:rFonts w:ascii="IRNazanin" w:hAnsi="IRNazanin" w:eastAsia="IRNazanin"/>
          <w:color w:val="111111"/>
          <w:sz w:val="28"/>
          <w:sz w:val="28"/>
          <w:szCs w:val="28"/>
          <w:rtl w:val="true"/>
          <w:lang w:bidi="fa-IR"/>
        </w:rPr>
        <w:t>و کذا ما یختصّ بالنساء للرجال و بالعکس علی الأحوط لکن لا یضرّ لبسها بالصلاة</w:t>
      </w:r>
      <w:r>
        <w:rPr>
          <w:rFonts w:eastAsia="IRNazanin" w:cs="IRNazanin"/>
          <w:color w:val="111111"/>
          <w:sz w:val="28"/>
          <w:szCs w:val="28"/>
          <w:rtl w:val="true"/>
          <w:lang w:bidi="fa-IR"/>
        </w:rPr>
        <w:t>.</w:t>
      </w:r>
    </w:p>
    <w:p>
      <w:pPr>
        <w:pStyle w:val="Heading6"/>
        <w:numPr>
          <w:ilvl w:val="5"/>
          <w:numId w:val="1"/>
        </w:numPr>
        <w:rPr/>
      </w:pPr>
      <w:bookmarkStart w:id="1494" w:name="__RefHeading___Toc2566350_3650668749"/>
      <w:bookmarkStart w:id="1495" w:name="_Toc684"/>
      <w:bookmarkEnd w:id="1494"/>
      <w:r>
        <w:rPr>
          <w:rtl w:val="true"/>
        </w:rPr>
        <w:t>[ (</w:t>
      </w:r>
      <w:r>
        <w:rPr>
          <w:rtl w:val="true"/>
        </w:rPr>
        <w:t xml:space="preserve">مسألة </w:t>
      </w:r>
      <w:r>
        <w:rPr/>
        <w:t>18</w:t>
      </w:r>
      <w:r>
        <w:rPr>
          <w:rtl w:val="true"/>
        </w:rPr>
        <w:t xml:space="preserve">): </w:t>
      </w:r>
      <w:r>
        <w:rPr>
          <w:rtl w:val="true"/>
        </w:rPr>
        <w:t>لو شکّ فی أنّ اللباس أو الخاتم ذهب أو غیره</w:t>
      </w:r>
      <w:r>
        <w:rPr>
          <w:rtl w:val="true"/>
        </w:rPr>
        <w:t>]</w:t>
      </w:r>
      <w:bookmarkEnd w:id="1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أنّ اللباس أو الخاتم ذهب أو غیره یجوز لبسه و الصلاة فیه، و کذلک الحال فیما شکّ أنّه من الحریر أو غیره، و من هذا القبیل اللباس المتعارف فی زماننا المسمّی بالشعری لمن لم یعرف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شکّ فی أنّه حریر محض أو ممتزج فالأحوط </w:t>
      </w:r>
      <w:r>
        <w:rPr>
          <w:rStyle w:val="FootnoteAnchor"/>
          <w:rtl w:val="true"/>
        </w:rPr>
        <w:footnoteReference w:id="443"/>
      </w:r>
      <w:r>
        <w:rPr>
          <w:rFonts w:ascii="IRNazanin" w:hAnsi="IRNazanin" w:eastAsia="IRNazanin"/>
          <w:color w:val="111111"/>
          <w:sz w:val="28"/>
          <w:sz w:val="28"/>
          <w:szCs w:val="28"/>
          <w:rtl w:val="true"/>
          <w:lang w:bidi="fa-IR"/>
        </w:rPr>
        <w:t>الاجتناب عنه</w:t>
      </w:r>
      <w:r>
        <w:rPr>
          <w:rFonts w:eastAsia="IRNazanin" w:cs="IRNazanin"/>
          <w:color w:val="111111"/>
          <w:sz w:val="28"/>
          <w:szCs w:val="28"/>
          <w:rtl w:val="true"/>
          <w:lang w:bidi="fa-IR"/>
        </w:rPr>
        <w:t>.</w:t>
      </w:r>
    </w:p>
    <w:p>
      <w:pPr>
        <w:pStyle w:val="Heading6"/>
        <w:numPr>
          <w:ilvl w:val="5"/>
          <w:numId w:val="1"/>
        </w:numPr>
        <w:rPr/>
      </w:pPr>
      <w:bookmarkStart w:id="1496" w:name="__RefHeading___Toc2566352_3650668749"/>
      <w:bookmarkStart w:id="1497" w:name="_Toc685"/>
      <w:bookmarkEnd w:id="1496"/>
      <w:r>
        <w:rPr>
          <w:rtl w:val="true"/>
        </w:rPr>
        <w:t>[ (</w:t>
      </w:r>
      <w:r>
        <w:rPr>
          <w:rtl w:val="true"/>
        </w:rPr>
        <w:t xml:space="preserve">مسألة </w:t>
      </w:r>
      <w:r>
        <w:rPr/>
        <w:t>19</w:t>
      </w:r>
      <w:r>
        <w:rPr>
          <w:rtl w:val="true"/>
        </w:rPr>
        <w:t xml:space="preserve">): </w:t>
      </w:r>
      <w:r>
        <w:rPr>
          <w:rtl w:val="true"/>
        </w:rPr>
        <w:t>لا بأس بلبس الصبیّ الحریر</w:t>
      </w:r>
      <w:r>
        <w:rPr>
          <w:rtl w:val="true"/>
        </w:rPr>
        <w:t>]</w:t>
      </w:r>
      <w:bookmarkEnd w:id="1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بلبس الصبیّ الحریر فلا یحرم علی الولیّ إلباسه، و لا یجب علیه نزعه منه، و لکن لا تصحّ </w:t>
      </w:r>
      <w:r>
        <w:rPr>
          <w:rStyle w:val="FootnoteAnchor"/>
          <w:rtl w:val="true"/>
        </w:rPr>
        <w:footnoteReference w:id="444"/>
      </w:r>
      <w:r>
        <w:rPr>
          <w:rFonts w:ascii="IRNazanin" w:hAnsi="IRNazanin" w:eastAsia="IRNazanin"/>
          <w:color w:val="111111"/>
          <w:sz w:val="28"/>
          <w:sz w:val="28"/>
          <w:szCs w:val="28"/>
          <w:rtl w:val="true"/>
          <w:lang w:bidi="fa-IR"/>
        </w:rPr>
        <w:t>صلاته فیه</w:t>
      </w:r>
      <w:r>
        <w:rPr>
          <w:rFonts w:eastAsia="IRNazanin" w:cs="IRNazanin"/>
          <w:color w:val="111111"/>
          <w:sz w:val="28"/>
          <w:szCs w:val="28"/>
          <w:rtl w:val="true"/>
          <w:lang w:bidi="fa-IR"/>
        </w:rPr>
        <w:t>.</w:t>
      </w:r>
    </w:p>
    <w:p>
      <w:pPr>
        <w:pStyle w:val="Heading5"/>
        <w:numPr>
          <w:ilvl w:val="4"/>
          <w:numId w:val="1"/>
        </w:numPr>
        <w:rPr/>
      </w:pPr>
      <w:bookmarkStart w:id="1498" w:name="__RefHeading___Toc2566354_3650668749"/>
      <w:bookmarkStart w:id="1499" w:name="_Toc686"/>
      <w:bookmarkEnd w:id="1498"/>
      <w:r>
        <w:rPr>
          <w:rtl w:val="true"/>
        </w:rPr>
        <w:t>[ (</w:t>
      </w:r>
      <w:r>
        <w:rPr>
          <w:rtl w:val="true"/>
        </w:rPr>
        <w:t xml:space="preserve">مسألة </w:t>
      </w:r>
      <w:r>
        <w:rPr/>
        <w:t>20</w:t>
      </w:r>
      <w:r>
        <w:rPr>
          <w:rtl w:val="true"/>
        </w:rPr>
        <w:t xml:space="preserve">): </w:t>
      </w:r>
      <w:r>
        <w:rPr>
          <w:rtl w:val="true"/>
        </w:rPr>
        <w:t>إذا لم یجد المصلّی ساتراً حتّی الورق و الحشیش</w:t>
      </w:r>
      <w:r>
        <w:rPr>
          <w:rtl w:val="true"/>
        </w:rPr>
        <w:t>]</w:t>
      </w:r>
      <w:bookmarkEnd w:id="1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یجد </w:t>
      </w:r>
      <w:r>
        <w:rPr>
          <w:rStyle w:val="FootnoteAnchor"/>
          <w:rtl w:val="true"/>
        </w:rPr>
        <w:footnoteReference w:id="445"/>
      </w:r>
      <w:r>
        <w:rPr>
          <w:rFonts w:ascii="IRNazanin" w:hAnsi="IRNazanin" w:eastAsia="IRNazanin"/>
          <w:color w:val="111111"/>
          <w:sz w:val="28"/>
          <w:sz w:val="28"/>
          <w:szCs w:val="28"/>
          <w:rtl w:val="true"/>
          <w:lang w:bidi="fa-IR"/>
        </w:rPr>
        <w:t>المصلّی ساتراً حتّی الورق و الحشیش فإن وجد ما یستر به عورته حتّی الطین أو الماء الکدر أو حفرة یلج فیها و یتستّر بها صلّیٰ صلاة المختار، و إن لم یجد ذلک فإن لم یکن ناظر فالأحوط تکرار الصلاة؛ بأن یصلّی صلاة المختار تارة و قائماً مومئاً للرکوع و السجود، و أُخری واضعاً یدیه علیٰ قبله فی حال القیام علی الأحوط، و إن لم یأمن من النظر صلّیٰ جالساً منحنیاً للرکوع و السجود بمقدار لا یبدو عورته</w:t>
      </w:r>
      <w:r>
        <w:rPr>
          <w:rFonts w:eastAsia="IRNazanin" w:cs="IRNazanin"/>
          <w:color w:val="111111"/>
          <w:sz w:val="28"/>
          <w:szCs w:val="28"/>
          <w:rtl w:val="true"/>
          <w:lang w:bidi="fa-IR"/>
        </w:rPr>
        <w:t>.</w:t>
      </w:r>
    </w:p>
    <w:p>
      <w:pPr>
        <w:pStyle w:val="Heading5"/>
        <w:numPr>
          <w:ilvl w:val="4"/>
          <w:numId w:val="1"/>
        </w:numPr>
        <w:rPr/>
      </w:pPr>
      <w:bookmarkStart w:id="1500" w:name="__RefHeading___Toc2566356_3650668749"/>
      <w:bookmarkStart w:id="1501" w:name="_Toc687"/>
      <w:bookmarkEnd w:id="1500"/>
      <w:r>
        <w:rPr>
          <w:rtl w:val="true"/>
        </w:rPr>
        <w:t>[ (</w:t>
      </w:r>
      <w:r>
        <w:rPr>
          <w:rtl w:val="true"/>
        </w:rPr>
        <w:t xml:space="preserve">مسألة </w:t>
      </w:r>
      <w:r>
        <w:rPr/>
        <w:t>21</w:t>
      </w:r>
      <w:r>
        <w:rPr>
          <w:rtl w:val="true"/>
        </w:rPr>
        <w:t xml:space="preserve">): </w:t>
      </w:r>
      <w:r>
        <w:rPr>
          <w:rtl w:val="true"/>
        </w:rPr>
        <w:t>یجب تأخیر الصلاة عن أوّل الوقت إذا لم یکن عنده ساتر</w:t>
      </w:r>
      <w:r>
        <w:rPr>
          <w:rtl w:val="true"/>
        </w:rPr>
        <w:t>]</w:t>
      </w:r>
      <w:bookmarkEnd w:id="150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Style w:val="FootnoteAnchor"/>
          <w:rtl w:val="true"/>
        </w:rPr>
        <w:footnoteReference w:id="446"/>
      </w:r>
      <w:r>
        <w:rPr>
          <w:rFonts w:ascii="IRNazanin" w:hAnsi="IRNazanin" w:eastAsia="IRNazanin"/>
          <w:color w:val="111111"/>
          <w:sz w:val="28"/>
          <w:sz w:val="28"/>
          <w:szCs w:val="28"/>
          <w:rtl w:val="true"/>
          <w:lang w:bidi="fa-IR"/>
        </w:rPr>
        <w:t>تأخیر الصلاة عن أوّل الوقت إذا لم یکن عنده ساتر و احتمل وجوده فی آخر الوقت</w:t>
      </w:r>
      <w:r>
        <w:rPr>
          <w:rFonts w:eastAsia="IRNazanin" w:cs="IRNazanin"/>
          <w:color w:val="111111"/>
          <w:sz w:val="28"/>
          <w:szCs w:val="28"/>
          <w:rtl w:val="true"/>
          <w:lang w:bidi="fa-IR"/>
        </w:rPr>
        <w:t>.</w:t>
      </w:r>
      <w:bookmarkStart w:id="1502" w:name="pg1809_18942"/>
    </w:p>
    <w:p>
      <w:pPr>
        <w:pStyle w:val="Heading4"/>
        <w:numPr>
          <w:ilvl w:val="3"/>
          <w:numId w:val="1"/>
        </w:numPr>
        <w:rPr/>
      </w:pPr>
      <w:bookmarkStart w:id="1503" w:name="__RefHeading___Toc2566358_3650668749"/>
      <w:bookmarkStart w:id="1504" w:name="_Toc688"/>
      <w:bookmarkEnd w:id="1502"/>
      <w:bookmarkEnd w:id="1503"/>
      <w:r>
        <w:rPr>
          <w:rtl w:val="true"/>
        </w:rPr>
        <w:t>[</w:t>
      </w:r>
      <w:r>
        <w:rPr>
          <w:rtl w:val="true"/>
        </w:rPr>
        <w:t>المقدّمة الرابعة</w:t>
      </w:r>
      <w:r>
        <w:rPr>
          <w:rtl w:val="true"/>
        </w:rPr>
        <w:t xml:space="preserve">: </w:t>
      </w:r>
      <w:r>
        <w:rPr>
          <w:rtl w:val="true"/>
        </w:rPr>
        <w:t>المکان</w:t>
      </w:r>
      <w:r>
        <w:rPr>
          <w:rtl w:val="true"/>
        </w:rPr>
        <w:t>]</w:t>
      </w:r>
      <w:bookmarkEnd w:id="1504"/>
    </w:p>
    <w:p>
      <w:pPr>
        <w:pStyle w:val="Heading5"/>
        <w:numPr>
          <w:ilvl w:val="4"/>
          <w:numId w:val="1"/>
        </w:numPr>
        <w:rPr/>
      </w:pPr>
      <w:bookmarkStart w:id="1505" w:name="__RefHeading___Toc2566360_3650668749"/>
      <w:bookmarkStart w:id="1506" w:name="_Toc689"/>
      <w:bookmarkEnd w:id="1505"/>
      <w:r>
        <w:rPr>
          <w:rtl w:val="true"/>
        </w:rPr>
        <w:t>اشارة</w:t>
      </w:r>
      <w:bookmarkEnd w:id="1506"/>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w:t>
      </w:r>
    </w:p>
    <w:p>
      <w:pPr>
        <w:pStyle w:val="Heading5"/>
        <w:numPr>
          <w:ilvl w:val="4"/>
          <w:numId w:val="1"/>
        </w:numPr>
        <w:rPr/>
      </w:pPr>
      <w:bookmarkStart w:id="1507" w:name="__RefHeading___Toc2566362_3650668749"/>
      <w:bookmarkStart w:id="1508" w:name="_Toc690"/>
      <w:bookmarkEnd w:id="1507"/>
      <w:r>
        <w:rPr>
          <w:rtl w:val="true"/>
        </w:rPr>
        <w:t>[ (</w:t>
      </w:r>
      <w:r>
        <w:rPr>
          <w:rtl w:val="true"/>
        </w:rPr>
        <w:t xml:space="preserve">مسألة </w:t>
      </w:r>
      <w:r>
        <w:rPr/>
        <w:t>1</w:t>
      </w:r>
      <w:r>
        <w:rPr>
          <w:rtl w:val="true"/>
        </w:rPr>
        <w:t xml:space="preserve">): </w:t>
      </w:r>
      <w:r>
        <w:rPr>
          <w:rtl w:val="true"/>
        </w:rPr>
        <w:t>کلّ مکان یجوز الصلاة فیه إلّا المغصوب عیناً أو منفعة</w:t>
      </w:r>
      <w:r>
        <w:rPr>
          <w:rtl w:val="true"/>
        </w:rPr>
        <w:t>]</w:t>
      </w:r>
      <w:bookmarkEnd w:id="1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مکان یجوز الصلاة فیه إلّا المغصوب عیناً أو منفعة، و فی حکم الغصب ما تعلّق به حقّ الغیر کالرهن و حقّ المیّت إذا أوصیٰ بالثلث و لم یخرج بعد، بل ما تعلّق به حقّ السبق؛ بأن سبق شخص إلیٰ مکان من المسجد أو غیره للصلاة فیه و لم یعرض عنه علی الأحوط، لو لم یکن الأقویٰ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یبطل الصلاة فی المغصوب إذا کان عالماً بالغصبیّة و کان مختاراً، من غیر فرق بین الفریضة و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الجاهل بالغصبیّة و المضطرّ و المحبوس بباطل و الناسی </w:t>
      </w:r>
      <w:r>
        <w:rPr>
          <w:rStyle w:val="FootnoteAnchor"/>
          <w:rtl w:val="true"/>
        </w:rPr>
        <w:footnoteReference w:id="448"/>
      </w:r>
      <w:r>
        <w:rPr>
          <w:rFonts w:ascii="IRNazanin" w:hAnsi="IRNazanin" w:eastAsia="IRNazanin"/>
          <w:color w:val="111111"/>
          <w:sz w:val="28"/>
          <w:sz w:val="28"/>
          <w:szCs w:val="28"/>
          <w:rtl w:val="true"/>
          <w:lang w:bidi="fa-IR"/>
        </w:rPr>
        <w:t>فصلاتهم و الحالة هذه صحیحة، و صلاة المضطرّ کصلاة غیره بقیام و رکوع و سجود</w:t>
      </w:r>
      <w:r>
        <w:rPr>
          <w:rFonts w:eastAsia="IRNazanin" w:cs="IRNazanin"/>
          <w:color w:val="111111"/>
          <w:sz w:val="28"/>
          <w:szCs w:val="28"/>
          <w:rtl w:val="true"/>
          <w:lang w:bidi="fa-IR"/>
        </w:rPr>
        <w:t>.</w:t>
      </w:r>
    </w:p>
    <w:p>
      <w:pPr>
        <w:pStyle w:val="Heading5"/>
        <w:numPr>
          <w:ilvl w:val="4"/>
          <w:numId w:val="1"/>
        </w:numPr>
        <w:rPr/>
      </w:pPr>
      <w:bookmarkStart w:id="1509" w:name="__RefHeading___Toc2566364_3650668749"/>
      <w:bookmarkStart w:id="1510" w:name="_Toc691"/>
      <w:bookmarkEnd w:id="1509"/>
      <w:r>
        <w:rPr>
          <w:rtl w:val="true"/>
        </w:rPr>
        <w:t>[ (</w:t>
      </w:r>
      <w:r>
        <w:rPr>
          <w:rtl w:val="true"/>
        </w:rPr>
        <w:t xml:space="preserve">مسألة </w:t>
      </w:r>
      <w:r>
        <w:rPr/>
        <w:t>2</w:t>
      </w:r>
      <w:r>
        <w:rPr>
          <w:rtl w:val="true"/>
        </w:rPr>
        <w:t xml:space="preserve">): </w:t>
      </w:r>
      <w:r>
        <w:rPr>
          <w:rtl w:val="true"/>
        </w:rPr>
        <w:t>الأرض المغصوبة المجهول مالکها لا یجوز الصلاة فیها</w:t>
      </w:r>
      <w:r>
        <w:rPr>
          <w:rtl w:val="true"/>
        </w:rPr>
        <w:t>]</w:t>
      </w:r>
      <w:bookmarkEnd w:id="1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المغصوبة المجهول مالکها لا یجوز الصلاة فیها و یرجع أمرها إلی الحاکم الشرعی، و کذا فی الأرض المشترکة إلّا بإذن جمیع الشرکاء</w:t>
      </w:r>
      <w:r>
        <w:rPr>
          <w:rFonts w:eastAsia="IRNazanin" w:cs="IRNazanin"/>
          <w:color w:val="111111"/>
          <w:sz w:val="28"/>
          <w:szCs w:val="28"/>
          <w:rtl w:val="true"/>
          <w:lang w:bidi="fa-IR"/>
        </w:rPr>
        <w:t>.</w:t>
      </w:r>
    </w:p>
    <w:p>
      <w:pPr>
        <w:pStyle w:val="Heading5"/>
        <w:numPr>
          <w:ilvl w:val="4"/>
          <w:numId w:val="1"/>
        </w:numPr>
        <w:rPr/>
      </w:pPr>
      <w:bookmarkStart w:id="1511" w:name="__RefHeading___Toc2566366_3650668749"/>
      <w:bookmarkStart w:id="1512" w:name="_Toc692"/>
      <w:bookmarkEnd w:id="1511"/>
      <w:r>
        <w:rPr>
          <w:rtl w:val="true"/>
        </w:rPr>
        <w:t>[ (</w:t>
      </w:r>
      <w:r>
        <w:rPr>
          <w:rtl w:val="true"/>
        </w:rPr>
        <w:t xml:space="preserve">مسألة </w:t>
      </w:r>
      <w:r>
        <w:rPr/>
        <w:t>3</w:t>
      </w:r>
      <w:r>
        <w:rPr>
          <w:rtl w:val="true"/>
        </w:rPr>
        <w:t xml:space="preserve">): </w:t>
      </w:r>
      <w:r>
        <w:rPr>
          <w:rtl w:val="true"/>
        </w:rPr>
        <w:t>لا تبطل الصلاة تحت السقف المغصوب</w:t>
      </w:r>
      <w:r>
        <w:rPr>
          <w:rtl w:val="true"/>
        </w:rPr>
        <w:t>]</w:t>
      </w:r>
      <w:bookmarkEnd w:id="1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الصلاة تحت السقف المغصوب و فی الخیمة المغصوبة و الصهوة و الدار التی وقع غصب فی بعض سؤرها، إذا کان ما یقع فیه الصلاة مباحاً و إن کان الأحوط الاجتناب فی الجمیع</w:t>
      </w:r>
      <w:r>
        <w:rPr>
          <w:rFonts w:eastAsia="IRNazanin" w:cs="IRNazanin"/>
          <w:color w:val="111111"/>
          <w:sz w:val="28"/>
          <w:szCs w:val="28"/>
          <w:rtl w:val="true"/>
          <w:lang w:bidi="fa-IR"/>
        </w:rPr>
        <w:t>.</w:t>
      </w:r>
    </w:p>
    <w:p>
      <w:pPr>
        <w:pStyle w:val="Heading5"/>
        <w:numPr>
          <w:ilvl w:val="4"/>
          <w:numId w:val="1"/>
        </w:numPr>
        <w:rPr/>
      </w:pPr>
      <w:bookmarkStart w:id="1513" w:name="__RefHeading___Toc2566368_3650668749"/>
      <w:bookmarkStart w:id="1514" w:name="_Toc693"/>
      <w:bookmarkEnd w:id="1513"/>
      <w:r>
        <w:rPr>
          <w:rtl w:val="true"/>
        </w:rPr>
        <w:t>[ (</w:t>
      </w:r>
      <w:r>
        <w:rPr>
          <w:rtl w:val="true"/>
        </w:rPr>
        <w:t xml:space="preserve">مسألة </w:t>
      </w:r>
      <w:r>
        <w:rPr/>
        <w:t>4</w:t>
      </w:r>
      <w:r>
        <w:rPr>
          <w:rtl w:val="true"/>
        </w:rPr>
        <w:t xml:space="preserve">): </w:t>
      </w:r>
      <w:r>
        <w:rPr>
          <w:rtl w:val="true"/>
        </w:rPr>
        <w:t>إذا اشتریٰ داراً بعین المال الذی تعلّق به الخمس أو الزکاة</w:t>
      </w:r>
      <w:r>
        <w:rPr>
          <w:rtl w:val="true"/>
        </w:rPr>
        <w:t>]</w:t>
      </w:r>
      <w:bookmarkEnd w:id="1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داراً بعین المال الذی تعلّق به الخمس أو الزکاة یشکل الصلاة فیها إلّا إذا جعل الحقّ فی ذمّته بوجه شرعیّ و لو بالمصالحة مع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یشکل تصرّفات الورثة من الصلاة و غیرها فی ترکة مورّثهم إذا کان علیه حقوق الناس کالمظالم أو الزکاة أو الخمس قبل أداء ما علیه من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یشکل </w:t>
      </w:r>
      <w:r>
        <w:rPr>
          <w:rStyle w:val="FootnoteAnchor"/>
          <w:rtl w:val="true"/>
        </w:rPr>
        <w:footnoteReference w:id="449"/>
      </w:r>
      <w:r>
        <w:rPr>
          <w:rFonts w:ascii="IRNazanin" w:hAnsi="IRNazanin" w:eastAsia="IRNazanin"/>
          <w:color w:val="111111"/>
          <w:sz w:val="28"/>
          <w:sz w:val="28"/>
          <w:szCs w:val="28"/>
          <w:rtl w:val="true"/>
          <w:lang w:bidi="fa-IR"/>
        </w:rPr>
        <w:t xml:space="preserve">تصرّفاتهم حتّی الصلاة فی ترکة المیّت إذا کان علیه دین مستغرق للترکة، بل و غیر المستغرق إلّا مع رضا </w:t>
      </w:r>
      <w:r>
        <w:rPr>
          <w:rStyle w:val="FootnoteAnchor"/>
          <w:rtl w:val="true"/>
        </w:rPr>
        <w:footnoteReference w:id="450"/>
      </w:r>
      <w:r>
        <w:rPr>
          <w:rFonts w:ascii="IRNazanin" w:hAnsi="IRNazanin" w:eastAsia="IRNazanin"/>
          <w:color w:val="111111"/>
          <w:sz w:val="28"/>
          <w:sz w:val="28"/>
          <w:szCs w:val="28"/>
          <w:rtl w:val="true"/>
          <w:lang w:bidi="fa-IR"/>
        </w:rPr>
        <w:t>الدیّان أو کون الورثة بانین علی الأداء غیر متسامحین</w:t>
      </w:r>
      <w:r>
        <w:rPr>
          <w:rFonts w:eastAsia="IRNazanin" w:cs="IRNazanin"/>
          <w:color w:val="111111"/>
          <w:sz w:val="28"/>
          <w:szCs w:val="28"/>
          <w:rtl w:val="true"/>
          <w:lang w:bidi="fa-IR"/>
        </w:rPr>
        <w:t>.</w:t>
      </w:r>
    </w:p>
    <w:p>
      <w:pPr>
        <w:pStyle w:val="Heading5"/>
        <w:numPr>
          <w:ilvl w:val="4"/>
          <w:numId w:val="1"/>
        </w:numPr>
        <w:rPr/>
      </w:pPr>
      <w:bookmarkStart w:id="1515" w:name="__RefHeading___Toc2566370_3650668749"/>
      <w:bookmarkStart w:id="1516" w:name="_Toc694"/>
      <w:bookmarkEnd w:id="1515"/>
      <w:r>
        <w:rPr>
          <w:rtl w:val="true"/>
        </w:rPr>
        <w:t>[ (</w:t>
      </w:r>
      <w:r>
        <w:rPr>
          <w:rtl w:val="true"/>
        </w:rPr>
        <w:t xml:space="preserve">مسألة </w:t>
      </w:r>
      <w:r>
        <w:rPr/>
        <w:t>5</w:t>
      </w:r>
      <w:r>
        <w:rPr>
          <w:rtl w:val="true"/>
        </w:rPr>
        <w:t xml:space="preserve">): </w:t>
      </w:r>
      <w:r>
        <w:rPr>
          <w:rtl w:val="true"/>
        </w:rPr>
        <w:t>المدار فی جواز التصرّف و الصلاة فی ملک الغیر علیٰ إحراز رضائه</w:t>
      </w:r>
      <w:r>
        <w:rPr>
          <w:rtl w:val="true"/>
        </w:rPr>
        <w:t>]</w:t>
      </w:r>
      <w:bookmarkEnd w:id="151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فی جواز التصرّف و الصلاة فی ملک الغیر علیٰ إحراز رضائه و طیب نفسه و إن لم یأذن صریحاً؛ بأن علم ذلک بالقرائن و شاهد الحال و ظواهر تکشف عن رضاه کشفاً اطمئنانیّاً لا یعتنیٰ باحتمال الخلاف، و ذلک کالمضائف المفتوحة الأبواب و الحمّامات و الخانات و نحو ذلک</w:t>
      </w:r>
      <w:r>
        <w:rPr>
          <w:rFonts w:eastAsia="IRNazanin" w:cs="IRNazanin"/>
          <w:color w:val="111111"/>
          <w:sz w:val="28"/>
          <w:szCs w:val="28"/>
          <w:rtl w:val="true"/>
          <w:lang w:bidi="fa-IR"/>
        </w:rPr>
        <w:t>.</w:t>
      </w:r>
      <w:bookmarkStart w:id="1517" w:name="pg1809_18944"/>
    </w:p>
    <w:p>
      <w:pPr>
        <w:pStyle w:val="Heading5"/>
        <w:numPr>
          <w:ilvl w:val="4"/>
          <w:numId w:val="1"/>
        </w:numPr>
        <w:rPr/>
      </w:pPr>
      <w:bookmarkStart w:id="1518" w:name="__RefHeading___Toc2566372_3650668749"/>
      <w:bookmarkStart w:id="1519" w:name="_Toc695"/>
      <w:bookmarkEnd w:id="1517"/>
      <w:bookmarkEnd w:id="1518"/>
      <w:r>
        <w:rPr>
          <w:rtl w:val="true"/>
        </w:rPr>
        <w:t>[ (</w:t>
      </w:r>
      <w:r>
        <w:rPr>
          <w:rtl w:val="true"/>
        </w:rPr>
        <w:t xml:space="preserve">مسألة </w:t>
      </w:r>
      <w:r>
        <w:rPr/>
        <w:t>6</w:t>
      </w:r>
      <w:r>
        <w:rPr>
          <w:rtl w:val="true"/>
        </w:rPr>
        <w:t xml:space="preserve">): </w:t>
      </w:r>
      <w:r>
        <w:rPr>
          <w:rtl w:val="true"/>
        </w:rPr>
        <w:t>یجوز الصلاة فی الأراضی المتّسعة</w:t>
      </w:r>
      <w:r>
        <w:rPr>
          <w:rtl w:val="true"/>
        </w:rPr>
        <w:t>]</w:t>
      </w:r>
      <w:bookmarkEnd w:id="1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الصلاة فی الأراضی المتّسعة کالصحاری و المزارع و البساتین التی لم یبن علیها الحیطان، بل و سائر التصرّفات الیسیرة ممّا جرت علیه السیرة کالاستطراقات العادیّة الغیر المضرّة و الجلوس و النوم فیها و غیر ذلک، و لا یجب التفحّص عن ملّاکها، من غیر فرق بین کونهم کاملین أو قاصرین کالصغار و 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مع ظهور الکراهة و المنع عن ملّاکها و لو بوضع ما یمنع المارّة عن الدخول فیها یشکل </w:t>
      </w:r>
      <w:r>
        <w:rPr>
          <w:rStyle w:val="FootnoteAnchor"/>
          <w:rtl w:val="true"/>
        </w:rPr>
        <w:footnoteReference w:id="451"/>
      </w:r>
      <w:r>
        <w:rPr>
          <w:rFonts w:ascii="IRNazanin" w:hAnsi="IRNazanin" w:eastAsia="IRNazanin"/>
          <w:color w:val="111111"/>
          <w:sz w:val="28"/>
          <w:sz w:val="28"/>
          <w:szCs w:val="28"/>
          <w:rtl w:val="true"/>
          <w:lang w:bidi="fa-IR"/>
        </w:rPr>
        <w:t>جمیع ما ذکر و أشباهها</w:t>
      </w:r>
      <w:r>
        <w:rPr>
          <w:rFonts w:eastAsia="IRNazanin" w:cs="IRNazanin"/>
          <w:color w:val="111111"/>
          <w:sz w:val="28"/>
          <w:szCs w:val="28"/>
          <w:rtl w:val="true"/>
          <w:lang w:bidi="fa-IR"/>
        </w:rPr>
        <w:t>.</w:t>
      </w:r>
    </w:p>
    <w:p>
      <w:pPr>
        <w:pStyle w:val="Heading5"/>
        <w:numPr>
          <w:ilvl w:val="4"/>
          <w:numId w:val="1"/>
        </w:numPr>
        <w:rPr/>
      </w:pPr>
      <w:bookmarkStart w:id="1520" w:name="__RefHeading___Toc2566374_3650668749"/>
      <w:bookmarkStart w:id="1521" w:name="_Toc696"/>
      <w:bookmarkEnd w:id="1520"/>
      <w:r>
        <w:rPr>
          <w:rtl w:val="true"/>
        </w:rPr>
        <w:t>[ (</w:t>
      </w:r>
      <w:r>
        <w:rPr>
          <w:rtl w:val="true"/>
        </w:rPr>
        <w:t xml:space="preserve">مسألة </w:t>
      </w:r>
      <w:r>
        <w:rPr/>
        <w:t>7</w:t>
      </w:r>
      <w:r>
        <w:rPr>
          <w:rtl w:val="true"/>
        </w:rPr>
        <w:t xml:space="preserve">): </w:t>
      </w:r>
      <w:r>
        <w:rPr>
          <w:rtl w:val="true"/>
        </w:rPr>
        <w:t>المراد بالمکان الذی تبطل الصلاة بغصبه ما استقرّ علیه المصلّی</w:t>
      </w:r>
      <w:r>
        <w:rPr>
          <w:rtl w:val="true"/>
        </w:rPr>
        <w:t>]</w:t>
      </w:r>
      <w:bookmarkEnd w:id="15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بالمکان الذی تبطل الصلاة بغصبه ما استقرّ علیه المصلّی و لو بوسائط </w:t>
      </w:r>
      <w:r>
        <w:rPr>
          <w:rStyle w:val="FootnoteAnchor"/>
          <w:rtl w:val="true"/>
        </w:rPr>
        <w:footnoteReference w:id="452"/>
      </w:r>
      <w:r>
        <w:rPr>
          <w:rFonts w:ascii="IRNazanin" w:hAnsi="IRNazanin" w:eastAsia="IRNazanin"/>
          <w:color w:val="111111"/>
          <w:sz w:val="28"/>
          <w:sz w:val="28"/>
          <w:szCs w:val="28"/>
          <w:rtl w:val="true"/>
          <w:lang w:bidi="fa-IR"/>
        </w:rPr>
        <w:t>، أو ما شغله من الفضاء فی قیامه و رکوعه و سجوده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یجتمعان و قد یفترقان؛ ففی الصلاة فی الأرض المغصوبة اجتمع الغصب من جهة المقرّ مع الغصب من جهة الفضاء، و علی الجناح المباح الخارج إلی الفضاء الغیر المباح تحقّق الغصب من جهة الفضاء دون المقرّ، و علی الفراش المغصوب المطروح علیٰ أرض مباح تحقّق من جهة المقرّ دون الفضاء</w:t>
      </w:r>
      <w:r>
        <w:rPr>
          <w:rFonts w:eastAsia="IRNazanin" w:cs="IRNazanin"/>
          <w:color w:val="111111"/>
          <w:sz w:val="28"/>
          <w:szCs w:val="28"/>
          <w:rtl w:val="true"/>
          <w:lang w:bidi="fa-IR"/>
        </w:rPr>
        <w:t>.</w:t>
      </w:r>
    </w:p>
    <w:p>
      <w:pPr>
        <w:pStyle w:val="Heading5"/>
        <w:numPr>
          <w:ilvl w:val="4"/>
          <w:numId w:val="1"/>
        </w:numPr>
        <w:rPr/>
      </w:pPr>
      <w:bookmarkStart w:id="1522" w:name="__RefHeading___Toc2566376_3650668749"/>
      <w:bookmarkStart w:id="1523" w:name="_Toc697"/>
      <w:bookmarkEnd w:id="1522"/>
      <w:r>
        <w:rPr>
          <w:rtl w:val="true"/>
        </w:rPr>
        <w:t>[ (</w:t>
      </w:r>
      <w:r>
        <w:rPr>
          <w:rtl w:val="true"/>
        </w:rPr>
        <w:t xml:space="preserve">مسألة </w:t>
      </w:r>
      <w:r>
        <w:rPr/>
        <w:t>8</w:t>
      </w:r>
      <w:r>
        <w:rPr>
          <w:rtl w:val="true"/>
        </w:rPr>
        <w:t xml:space="preserve">): </w:t>
      </w:r>
      <w:r>
        <w:rPr>
          <w:rtl w:val="true"/>
        </w:rPr>
        <w:t>الأقویٰ صحّة صلاة کلّ من الرجل و المرأة مع المحاذاة أو تقدّم المرأة</w:t>
      </w:r>
      <w:r>
        <w:rPr>
          <w:rtl w:val="true"/>
        </w:rPr>
        <w:t>]</w:t>
      </w:r>
      <w:bookmarkEnd w:id="152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صحّة صلاة کلّ من الرجل و المرأة مع المحاذاة أو تقدّم المرأة، لکن علیٰ کراهیة بالنسبة إلیهما مع تقارنهما فی الشروع فی الصلاة، و بالنسبة إلی المتأخّر منهما مع اختلافهما، و الأحوط لهما ترک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فعلا فالأحوط إعادتهما للصلاة مع التقارن و إعادة المتأخّر منهما مع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الحکم المذکور کراهة أو حرمة بین المحارم و غیرهم و بین کونهما بالغین أو غیر بالغین أو مختلفین، بل یعمّ الحکم الزوج و الزوجة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ترتفع الکراهة أو الحرمة بوجود الحائل و بالبعد بینهما عشرة أذرع</w:t>
      </w:r>
      <w:bookmarkStart w:id="1524" w:name="pg1809_18946"/>
    </w:p>
    <w:p>
      <w:pPr>
        <w:pStyle w:val="BookText"/>
        <w:rPr/>
      </w:pPr>
      <w:bookmarkEnd w:id="1524"/>
      <w:r>
        <w:rPr>
          <w:rFonts w:ascii="IRNazanin" w:hAnsi="IRNazanin" w:eastAsia="IRNazanin"/>
          <w:color w:val="111111"/>
          <w:sz w:val="28"/>
          <w:sz w:val="28"/>
          <w:szCs w:val="28"/>
          <w:rtl w:val="true"/>
          <w:lang w:bidi="fa-IR"/>
        </w:rPr>
        <w:t>بذراع الید و بتأخّر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فی الحائل کونه بحیث یمنع المشاهدة، کما أنّ الأحوط فی التأخّر کون مسجدها وراء موقفه و إن لم یبعد کفایة مطلقهما</w:t>
      </w:r>
      <w:r>
        <w:rPr>
          <w:rFonts w:eastAsia="IRNazanin" w:cs="IRNazanin"/>
          <w:color w:val="111111"/>
          <w:sz w:val="28"/>
          <w:szCs w:val="28"/>
          <w:rtl w:val="true"/>
          <w:lang w:bidi="fa-IR"/>
        </w:rPr>
        <w:t>.</w:t>
      </w:r>
    </w:p>
    <w:p>
      <w:pPr>
        <w:pStyle w:val="Heading5"/>
        <w:numPr>
          <w:ilvl w:val="4"/>
          <w:numId w:val="1"/>
        </w:numPr>
        <w:rPr/>
      </w:pPr>
      <w:bookmarkStart w:id="1525" w:name="__RefHeading___Toc2566378_3650668749"/>
      <w:bookmarkStart w:id="1526" w:name="_Toc698"/>
      <w:bookmarkEnd w:id="1525"/>
      <w:r>
        <w:rPr>
          <w:rtl w:val="true"/>
        </w:rPr>
        <w:t>[ (</w:t>
      </w:r>
      <w:r>
        <w:rPr>
          <w:rtl w:val="true"/>
        </w:rPr>
        <w:t xml:space="preserve">مسألة </w:t>
      </w:r>
      <w:r>
        <w:rPr/>
        <w:t>9</w:t>
      </w:r>
      <w:r>
        <w:rPr>
          <w:rtl w:val="true"/>
        </w:rPr>
        <w:t xml:space="preserve">): </w:t>
      </w:r>
      <w:r>
        <w:rPr>
          <w:rtl w:val="true"/>
        </w:rPr>
        <w:t>الأحوط أن لا یتقدّم فی الصلاة علیٰ قبر المعصوم</w:t>
      </w:r>
      <w:r>
        <w:rPr>
          <w:rtl w:val="true"/>
        </w:rPr>
        <w:t>]</w:t>
      </w:r>
      <w:bookmarkEnd w:id="1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أن لا یتقدّم فی الصلاة علیٰ قبر المعصوم، بل و لا یساویه </w:t>
      </w:r>
      <w:r>
        <w:rPr>
          <w:rStyle w:val="FootnoteAnchor"/>
          <w:rtl w:val="true"/>
        </w:rPr>
        <w:footnoteReference w:id="453"/>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یرتفع الحکم بالبعد المفرط علیٰ وجه لا یصدق معه التقدّم و المحاذاة و یخرج عن صدق وحدة المکان، و کذا بالحائل الرافع لسوء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لیس منه الشبّاک و الصندوق الشریف و ثوبه</w:t>
      </w:r>
      <w:r>
        <w:rPr>
          <w:rFonts w:eastAsia="IRNazanin" w:cs="IRNazanin"/>
          <w:color w:val="111111"/>
          <w:sz w:val="28"/>
          <w:szCs w:val="28"/>
          <w:rtl w:val="true"/>
          <w:lang w:bidi="fa-IR"/>
        </w:rPr>
        <w:t>.</w:t>
      </w:r>
    </w:p>
    <w:p>
      <w:pPr>
        <w:pStyle w:val="Heading5"/>
        <w:numPr>
          <w:ilvl w:val="4"/>
          <w:numId w:val="1"/>
        </w:numPr>
        <w:rPr/>
      </w:pPr>
      <w:bookmarkStart w:id="1527" w:name="__RefHeading___Toc2566380_3650668749"/>
      <w:bookmarkStart w:id="1528" w:name="_Toc699"/>
      <w:bookmarkEnd w:id="1527"/>
      <w:r>
        <w:rPr>
          <w:rtl w:val="true"/>
        </w:rPr>
        <w:t>[ (</w:t>
      </w:r>
      <w:r>
        <w:rPr>
          <w:rtl w:val="true"/>
        </w:rPr>
        <w:t xml:space="preserve">مسألة </w:t>
      </w:r>
      <w:r>
        <w:rPr/>
        <w:t>10</w:t>
      </w:r>
      <w:r>
        <w:rPr>
          <w:rtl w:val="true"/>
        </w:rPr>
        <w:t xml:space="preserve">): </w:t>
      </w:r>
      <w:r>
        <w:rPr>
          <w:rtl w:val="true"/>
        </w:rPr>
        <w:t>لا تعتبر الطهارة فی مکان المصلّی إلّا مع تعدّی النجاسة</w:t>
      </w:r>
      <w:r>
        <w:rPr>
          <w:rtl w:val="true"/>
        </w:rPr>
        <w:t>]</w:t>
      </w:r>
      <w:bookmarkEnd w:id="1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تعتبر الطهارة فی مکان المصلّی إلّا مع تعدّی النجاسة </w:t>
      </w:r>
      <w:r>
        <w:rPr>
          <w:rStyle w:val="FootnoteAnchor"/>
          <w:rtl w:val="true"/>
        </w:rPr>
        <w:footnoteReference w:id="454"/>
      </w:r>
      <w:r>
        <w:rPr>
          <w:rFonts w:ascii="IRNazanin" w:hAnsi="IRNazanin" w:eastAsia="IRNazanin"/>
          <w:color w:val="111111"/>
          <w:sz w:val="28"/>
          <w:sz w:val="28"/>
          <w:szCs w:val="28"/>
          <w:rtl w:val="true"/>
          <w:lang w:bidi="fa-IR"/>
        </w:rPr>
        <w:t>إلی الثوب أو البدن، نعم تعتبر فی خصوص مسجد الجبهة کما مرّ، و یعتبر فیه أیضاً مع الاختیار کونه أرضاً أو نباتاً أو قرطاساً، و أفضل الثلاثة التربة الحسینیّة التی تخرق الحجب السبع و تنوّر إلی الأرضین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السجود علیٰ ما خرج عن اسم الأرض من المعادن کالذهب و الفضّة و القیر و نحو ذلک، و کذا ما خرج عن اسم النبات کالرماد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جواز السجود علی الخزف و الآجر و النورة و الجصّ المطبوخین و کذا الفحم تأمّل و إشکال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علی الجصّ قبل الطبخ و طین الأرمنی و حجر الرحی بل و بعض أصناف المرمر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یعتبر فی جواز السجود علی النبات أن یکون من غیر المأکول و الملبوس، فلا یجوز السجود علیٰ ما فی أیدی الناس من المآکل و الملابس کالمخبوز و المطبوخ و الحبوب المعتاد أکلها من الحنطة و الشعیر و نحوهما و الفواکه و البقول المأکولة و الثمرة المأکولة و لو قبل وصولها إلیٰ زمان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w:t>
      </w:r>
      <w:r>
        <w:rPr>
          <w:rStyle w:val="FootnoteAnchor"/>
          <w:rtl w:val="true"/>
        </w:rPr>
        <w:footnoteReference w:id="457"/>
      </w:r>
      <w:r>
        <w:rPr>
          <w:rFonts w:ascii="IRNazanin" w:hAnsi="IRNazanin" w:eastAsia="IRNazanin"/>
          <w:color w:val="111111"/>
          <w:sz w:val="28"/>
          <w:sz w:val="28"/>
          <w:szCs w:val="28"/>
          <w:rtl w:val="true"/>
          <w:lang w:bidi="fa-IR"/>
        </w:rPr>
        <w:t>بالسجود علیٰ قشورها و نواها بعد</w:t>
      </w:r>
      <w:bookmarkStart w:id="1529" w:name="pg1809_18948"/>
    </w:p>
    <w:p>
      <w:pPr>
        <w:pStyle w:val="BookText"/>
        <w:rPr/>
      </w:pPr>
      <w:bookmarkEnd w:id="1529"/>
      <w:r>
        <w:rPr>
          <w:rFonts w:ascii="IRNazanin" w:hAnsi="IRNazanin" w:eastAsia="IRNazanin"/>
          <w:color w:val="111111"/>
          <w:sz w:val="28"/>
          <w:sz w:val="28"/>
          <w:szCs w:val="28"/>
          <w:rtl w:val="true"/>
          <w:lang w:bidi="fa-IR"/>
        </w:rPr>
        <w:t>انفصالهما عنها دون المتّصل بها، کما أنّه لا بأس بغیر المأکول منها کالحنظل و الخرنوب و نحوهما، و کذا لا بأس بالتبن و القصیل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یمنع شرب التتن من جواز السجود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جواز السجود علیٰ نخالة الحنطة و الشعیر إشکال فلا یترک الاحتیاط، و کذا علیٰ قشر البطّیخ و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الجواز فی قشر الأرز و الرمّان بعد الانفصال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الملبوس کالکلام فی المأکول، فلا یجوز علی القطن و الکتّان و لو قبل وصولهما استعداد الغزل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بالسجود علیٰ خشبهما و غیره کالورق و الخوص و نحوهما ممّا لم یکن معدّاً لاتّخاذ الملابس المعتادة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حینئذٍ بالسجود علی القبقاب و الثوب المنسوج من الخوص مثلًا، فضلًا عن البوریا و الحصیر و المروحة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ترک السجود علی القنّب و کذا علی القرطاس </w:t>
      </w:r>
      <w:r>
        <w:rPr>
          <w:rStyle w:val="FootnoteAnchor"/>
          <w:rtl w:val="true"/>
        </w:rPr>
        <w:footnoteReference w:id="458"/>
      </w:r>
      <w:r>
        <w:rPr>
          <w:rFonts w:ascii="IRNazanin" w:hAnsi="IRNazanin" w:eastAsia="IRNazanin"/>
          <w:color w:val="111111"/>
          <w:sz w:val="28"/>
          <w:sz w:val="28"/>
          <w:szCs w:val="28"/>
          <w:rtl w:val="true"/>
          <w:lang w:bidi="fa-IR"/>
        </w:rPr>
        <w:t>المتّخذ من غیر النبات کالمتّخذ من الحریر و الإبریسم</w:t>
      </w:r>
      <w:r>
        <w:rPr>
          <w:rFonts w:eastAsia="IRNazanin" w:cs="IRNazanin"/>
          <w:color w:val="111111"/>
          <w:sz w:val="28"/>
          <w:szCs w:val="28"/>
          <w:rtl w:val="true"/>
          <w:lang w:bidi="fa-IR"/>
        </w:rPr>
        <w:t>.</w:t>
      </w:r>
    </w:p>
    <w:p>
      <w:pPr>
        <w:pStyle w:val="Heading5"/>
        <w:numPr>
          <w:ilvl w:val="4"/>
          <w:numId w:val="1"/>
        </w:numPr>
        <w:rPr/>
      </w:pPr>
      <w:bookmarkStart w:id="1530" w:name="__RefHeading___Toc2566382_3650668749"/>
      <w:bookmarkStart w:id="1531" w:name="_Toc700"/>
      <w:bookmarkEnd w:id="1530"/>
      <w:r>
        <w:rPr>
          <w:rtl w:val="true"/>
        </w:rPr>
        <w:t>[ (</w:t>
      </w:r>
      <w:r>
        <w:rPr>
          <w:rtl w:val="true"/>
        </w:rPr>
        <w:t xml:space="preserve">مسألة </w:t>
      </w:r>
      <w:r>
        <w:rPr/>
        <w:t>11</w:t>
      </w:r>
      <w:r>
        <w:rPr>
          <w:rtl w:val="true"/>
        </w:rPr>
        <w:t xml:space="preserve">): </w:t>
      </w:r>
      <w:r>
        <w:rPr>
          <w:rtl w:val="true"/>
        </w:rPr>
        <w:t>یعتبر فیما یسجد علیه مع الاختیار کونه بحیث یمکن تمکین الجبهة علیه</w:t>
      </w:r>
      <w:r>
        <w:rPr>
          <w:rtl w:val="true"/>
        </w:rPr>
        <w:t>]</w:t>
      </w:r>
      <w:bookmarkEnd w:id="1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فیما یسجد علیه مع الاختیار کونه بحیث یمکن تمکین الجبهة علیه، فلا یجوز علی الوحل الغیر المتماسک، بل و لا علی التراب الذی لا یتمکّن الجبهة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إمکان التمکین علی الطین لا بأس بالسجود علیه و إن لصق بجبهته، لکن یجب إزالته للسجدة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عنده إلّا الطین الغیر المتماسک سجد علیه بالوضع من غیر اعتماد</w:t>
      </w:r>
      <w:r>
        <w:rPr>
          <w:rFonts w:eastAsia="IRNazanin" w:cs="IRNazanin"/>
          <w:color w:val="111111"/>
          <w:sz w:val="28"/>
          <w:szCs w:val="28"/>
          <w:rtl w:val="true"/>
          <w:lang w:bidi="fa-IR"/>
        </w:rPr>
        <w:t>.</w:t>
      </w:r>
    </w:p>
    <w:p>
      <w:pPr>
        <w:pStyle w:val="Heading5"/>
        <w:numPr>
          <w:ilvl w:val="4"/>
          <w:numId w:val="1"/>
        </w:numPr>
        <w:rPr/>
      </w:pPr>
      <w:bookmarkStart w:id="1532" w:name="__RefHeading___Toc2566384_3650668749"/>
      <w:bookmarkStart w:id="1533" w:name="_Toc701"/>
      <w:bookmarkEnd w:id="1532"/>
      <w:r>
        <w:rPr>
          <w:rtl w:val="true"/>
        </w:rPr>
        <w:t>[ (</w:t>
      </w:r>
      <w:r>
        <w:rPr>
          <w:rtl w:val="true"/>
        </w:rPr>
        <w:t xml:space="preserve">مسألة </w:t>
      </w:r>
      <w:r>
        <w:rPr/>
        <w:t>12</w:t>
      </w:r>
      <w:r>
        <w:rPr>
          <w:rtl w:val="true"/>
        </w:rPr>
        <w:t xml:space="preserve">): </w:t>
      </w:r>
      <w:r>
        <w:rPr>
          <w:rtl w:val="true"/>
        </w:rPr>
        <w:t>إذا کان فی الأرض ذات الطین و الوحل بحیث لو جلس للسجود و التشهّد یتلطّخ به بدنه و ثیابه</w:t>
      </w:r>
      <w:r>
        <w:rPr>
          <w:rtl w:val="true"/>
        </w:rPr>
        <w:t>]</w:t>
      </w:r>
      <w:bookmarkEnd w:id="1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فی الأرض ذات الطین و الوحل بحیث لو جلس للسجود و التشهّد یتلطّخ به بدنه و ثیابه و لم یکن له مکان آخر جاز له الصلاة قائماً مومئاً للسجود و یتشهّد قائماً، لکن الأحوط </w:t>
      </w:r>
      <w:r>
        <w:rPr>
          <w:rStyle w:val="FootnoteAnchor"/>
          <w:rtl w:val="true"/>
        </w:rPr>
        <w:footnoteReference w:id="459"/>
      </w:r>
      <w:r>
        <w:rPr>
          <w:rFonts w:ascii="IRNazanin" w:hAnsi="IRNazanin" w:eastAsia="IRNazanin"/>
          <w:color w:val="111111"/>
          <w:sz w:val="28"/>
          <w:sz w:val="28"/>
          <w:szCs w:val="28"/>
          <w:rtl w:val="true"/>
          <w:lang w:bidi="fa-IR"/>
        </w:rPr>
        <w:t>مع عدم الحرج الشدید الجلوس لهما و إن تلطّخ بدنه و ثیابه</w:t>
      </w:r>
      <w:r>
        <w:rPr>
          <w:rFonts w:eastAsia="IRNazanin" w:cs="IRNazanin"/>
          <w:color w:val="111111"/>
          <w:sz w:val="28"/>
          <w:szCs w:val="28"/>
          <w:rtl w:val="true"/>
          <w:lang w:bidi="fa-IR"/>
        </w:rPr>
        <w:t>.</w:t>
      </w:r>
    </w:p>
    <w:p>
      <w:pPr>
        <w:pStyle w:val="Heading5"/>
        <w:numPr>
          <w:ilvl w:val="4"/>
          <w:numId w:val="1"/>
        </w:numPr>
        <w:rPr/>
      </w:pPr>
      <w:bookmarkStart w:id="1534" w:name="__RefHeading___Toc2566386_3650668749"/>
      <w:bookmarkStart w:id="1535" w:name="_Toc702"/>
      <w:bookmarkEnd w:id="1534"/>
      <w:r>
        <w:rPr>
          <w:rtl w:val="true"/>
        </w:rPr>
        <w:t>[ (</w:t>
      </w:r>
      <w:r>
        <w:rPr>
          <w:rtl w:val="true"/>
        </w:rPr>
        <w:t xml:space="preserve">مسألة </w:t>
      </w:r>
      <w:r>
        <w:rPr/>
        <w:t>13</w:t>
      </w:r>
      <w:r>
        <w:rPr>
          <w:rtl w:val="true"/>
        </w:rPr>
        <w:t xml:space="preserve">): </w:t>
      </w:r>
      <w:r>
        <w:rPr>
          <w:rtl w:val="true"/>
        </w:rPr>
        <w:t>إذا لم یکن عنده ما یصحّ السجود علیه أو کان و لم یتمکّن من السجود علیه</w:t>
      </w:r>
      <w:r>
        <w:rPr>
          <w:rtl w:val="true"/>
        </w:rPr>
        <w:t>]</w:t>
      </w:r>
      <w:bookmarkEnd w:id="153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عنده ما یصحّ السجود علیه أو کان و لم یتمکّن من السجود علیه لحرّ أو برد أو تقیّة أو غیرها سجد علیٰ ثوب القطن أو الکتّان و إن لم یکن </w:t>
      </w:r>
      <w:r>
        <w:rPr>
          <w:rStyle w:val="FootnoteAnchor"/>
          <w:rtl w:val="true"/>
        </w:rPr>
        <w:footnoteReference w:id="460"/>
      </w:r>
      <w:r>
        <w:rPr>
          <w:rFonts w:ascii="IRNazanin" w:hAnsi="IRNazanin" w:eastAsia="IRNazanin"/>
          <w:color w:val="111111"/>
          <w:sz w:val="28"/>
          <w:sz w:val="28"/>
          <w:szCs w:val="28"/>
          <w:rtl w:val="true"/>
          <w:lang w:bidi="fa-IR"/>
        </w:rPr>
        <w:t>سجد علیٰ ظهر کفّه، و إن لم یتمکّن فعلی المعادن</w:t>
      </w:r>
      <w:r>
        <w:rPr>
          <w:rFonts w:eastAsia="IRNazanin" w:cs="IRNazanin"/>
          <w:color w:val="111111"/>
          <w:sz w:val="28"/>
          <w:szCs w:val="28"/>
          <w:rtl w:val="true"/>
          <w:lang w:bidi="fa-IR"/>
        </w:rPr>
        <w:t>.</w:t>
      </w:r>
      <w:bookmarkStart w:id="1536" w:name="pg1809_18950"/>
    </w:p>
    <w:p>
      <w:pPr>
        <w:pStyle w:val="Heading5"/>
        <w:numPr>
          <w:ilvl w:val="4"/>
          <w:numId w:val="1"/>
        </w:numPr>
        <w:rPr/>
      </w:pPr>
      <w:bookmarkStart w:id="1537" w:name="__RefHeading___Toc2566388_3650668749"/>
      <w:bookmarkStart w:id="1538" w:name="_Toc703"/>
      <w:bookmarkEnd w:id="1536"/>
      <w:bookmarkEnd w:id="1537"/>
      <w:r>
        <w:rPr>
          <w:rtl w:val="true"/>
        </w:rPr>
        <w:t>[ (</w:t>
      </w:r>
      <w:r>
        <w:rPr>
          <w:rtl w:val="true"/>
        </w:rPr>
        <w:t xml:space="preserve">مسألة </w:t>
      </w:r>
      <w:r>
        <w:rPr/>
        <w:t>14</w:t>
      </w:r>
      <w:r>
        <w:rPr>
          <w:rtl w:val="true"/>
        </w:rPr>
        <w:t xml:space="preserve">): </w:t>
      </w:r>
      <w:r>
        <w:rPr>
          <w:rtl w:val="true"/>
        </w:rPr>
        <w:t>إذا فقد ما یصحّ السجود علیه فی أثناء الصلاة</w:t>
      </w:r>
      <w:r>
        <w:rPr>
          <w:rtl w:val="true"/>
        </w:rPr>
        <w:t>]</w:t>
      </w:r>
      <w:bookmarkEnd w:id="1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فقد ما یصحّ السجود علیه فی أثناء الصلاة قطعها فی سعة الوقت و فی الضیق یسجد علیٰ ثوبه القطن أو الکتّان، ثمّ علیٰ ظهر الکفّ، ثمّ علی المعادن علی الترتیب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9" w:name="__RefHeading___Toc2566390_3650668749"/>
      <w:bookmarkStart w:id="1540" w:name="_Toc704"/>
      <w:bookmarkEnd w:id="1539"/>
      <w:r>
        <w:rPr>
          <w:rtl w:val="true"/>
        </w:rPr>
        <w:t>[ (</w:t>
      </w:r>
      <w:r>
        <w:rPr>
          <w:rtl w:val="true"/>
        </w:rPr>
        <w:t xml:space="preserve">مسألة </w:t>
      </w:r>
      <w:r>
        <w:rPr/>
        <w:t>15</w:t>
      </w:r>
      <w:r>
        <w:rPr>
          <w:rtl w:val="true"/>
        </w:rPr>
        <w:t xml:space="preserve">): </w:t>
      </w:r>
      <w:r>
        <w:rPr>
          <w:rtl w:val="true"/>
        </w:rPr>
        <w:t>یعتبر فی المکان الذی یصلّی فیه الفریضة أن یکون قارّاً غیر مضطرب</w:t>
      </w:r>
      <w:r>
        <w:rPr>
          <w:rtl w:val="true"/>
        </w:rPr>
        <w:t>]</w:t>
      </w:r>
      <w:bookmarkEnd w:id="1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المکان الذی یصلّی فیه الفریضة أن یکون قارّاً غیر مضطرب، فلو صلّی اختیاراً فی سفینة أو علیٰ سریر أو بیدر فإن فات الاستقرار المعتبر فی الفریضة بطلت صلاته، و إن حصل الاستقرار بحیث یصدق علیه أنّه مستقرّ مطمئنّ صحّت صلاته و إن کانت فی سفینة سائرة و شبهها کالکاری و الشمندفر و نحوهما، لکن یجب المحافظة علیٰ بقیّة ما یجب فی الصلاة من الاستقبال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الاختیار، أمّا مع الاضطرار فلا بأس فیصلّی ماشیاً و علی الدابّة و فی السفینة الغیر المستقرّة، لکن مع مراعاة الاستقبال بما أمکنه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ینحرف إلی القبلة کلّما انحرفت الدابّة أو السفینة، فإن لم یتمکّن من الاستقبال إلّا فی تکبیرة الإحرام اقتصر علیٰ ذلک و إن لم یتمکّن من الاستقبال أصلًا سقط لکن یجب علیه تحرّی الأقرب إلی القبلة فالأقرب، و کذا بالنسبة إلیٰ غیر الاستقبال ممّا هو واجب فی الصلاة فإنّه یأتی بما یتمکّن منه أو بدله و یسقط ما تقتضی الضرورة سقوطه</w:t>
      </w:r>
      <w:r>
        <w:rPr>
          <w:rFonts w:eastAsia="IRNazanin" w:cs="IRNazanin"/>
          <w:color w:val="111111"/>
          <w:sz w:val="28"/>
          <w:szCs w:val="28"/>
          <w:rtl w:val="true"/>
          <w:lang w:bidi="fa-IR"/>
        </w:rPr>
        <w:t>.</w:t>
      </w:r>
    </w:p>
    <w:p>
      <w:pPr>
        <w:pStyle w:val="Heading5"/>
        <w:numPr>
          <w:ilvl w:val="4"/>
          <w:numId w:val="1"/>
        </w:numPr>
        <w:rPr/>
      </w:pPr>
      <w:bookmarkStart w:id="1541" w:name="__RefHeading___Toc2566392_3650668749"/>
      <w:bookmarkStart w:id="1542" w:name="_Toc705"/>
      <w:bookmarkEnd w:id="1541"/>
      <w:r>
        <w:rPr>
          <w:rtl w:val="true"/>
        </w:rPr>
        <w:t>[ (</w:t>
      </w:r>
      <w:r>
        <w:rPr>
          <w:rtl w:val="true"/>
        </w:rPr>
        <w:t xml:space="preserve">مسألة </w:t>
      </w:r>
      <w:r>
        <w:rPr/>
        <w:t>16</w:t>
      </w:r>
      <w:r>
        <w:rPr>
          <w:rtl w:val="true"/>
        </w:rPr>
        <w:t xml:space="preserve">): </w:t>
      </w:r>
      <w:r>
        <w:rPr>
          <w:rtl w:val="true"/>
        </w:rPr>
        <w:t>یستحبّ الصلاة فی المساجد</w:t>
      </w:r>
      <w:r>
        <w:rPr>
          <w:rtl w:val="true"/>
        </w:rPr>
        <w:t>]</w:t>
      </w:r>
      <w:bookmarkEnd w:id="1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الصلاة فی المساجد، بل یکره عدم حضورها بغیر عذر کالمطر؛ خصوصاً لجار المسجد حتّی ورد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أفضلها مسجد الحرام فإنّ الصلاة فیه تعدل ألف ألف صلاة، ثمّ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الصلاة فیه عشرة آلاف، ثمّ مسجد الکوفة و الأقصیٰ، و الصلاة فیهما تعدل ألف صلاة، ثمّ المسجد الجامع و فیه تعدل مائة صلاة، ثمّ مسجد القبیلة و فیه تعدل خمساً و عشرین، ثمّ مسجد السوق و فیه تعدل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الأفضل للنساء الصلاة فی بیوتهنّ، و الأفضل بیت المخدع، و کذا یستحبّ الصلاة فی مشاهد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مشهد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حائر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1543" w:name="__RefHeading___Toc2566394_3650668749"/>
      <w:bookmarkStart w:id="1544" w:name="_Toc706"/>
      <w:bookmarkEnd w:id="1543"/>
      <w:r>
        <w:rPr>
          <w:rtl w:val="true"/>
        </w:rPr>
        <w:t>[ (</w:t>
      </w:r>
      <w:r>
        <w:rPr>
          <w:rtl w:val="true"/>
        </w:rPr>
        <w:t xml:space="preserve">مسألة </w:t>
      </w:r>
      <w:r>
        <w:rPr/>
        <w:t>17</w:t>
      </w:r>
      <w:r>
        <w:rPr>
          <w:rtl w:val="true"/>
        </w:rPr>
        <w:t xml:space="preserve">): </w:t>
      </w:r>
      <w:r>
        <w:rPr>
          <w:rtl w:val="true"/>
        </w:rPr>
        <w:t>یکره تعطیل المسجد</w:t>
      </w:r>
      <w:r>
        <w:rPr>
          <w:rtl w:val="true"/>
        </w:rPr>
        <w:t>]</w:t>
      </w:r>
      <w:bookmarkEnd w:id="154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تعطیل المسجد فإنّه أحد الثلاثة الذین یشکون إلی اللّٰه عزّ و جلّ یوم</w:t>
      </w:r>
      <w:bookmarkStart w:id="1545" w:name="pg1809_18951"/>
    </w:p>
    <w:p>
      <w:pPr>
        <w:pStyle w:val="BookText"/>
        <w:rPr/>
      </w:pPr>
      <w:bookmarkEnd w:id="1545"/>
      <w:r>
        <w:rPr>
          <w:rFonts w:ascii="IRNazanin" w:hAnsi="IRNazanin" w:eastAsia="IRNazanin"/>
          <w:color w:val="111111"/>
          <w:sz w:val="28"/>
          <w:sz w:val="28"/>
          <w:szCs w:val="28"/>
          <w:rtl w:val="true"/>
          <w:lang w:bidi="fa-IR"/>
        </w:rPr>
        <w:t>القیامة، و 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بین جهّال و مصحف معلّق قد وقع علیه الغبار لا یقرأ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مشیٰ إلیٰ مسجد من مساجد اللّٰه فله بکلّ خطوة خطاها حتّی یرجع إلیٰ منزله عشر حسنات و محی عنه عشر سیّئات و رفع له عشر درجات</w:t>
      </w:r>
      <w:r>
        <w:rPr>
          <w:rFonts w:eastAsia="IRNazanin" w:cs="IRNazanin"/>
          <w:color w:val="111111"/>
          <w:sz w:val="28"/>
          <w:szCs w:val="28"/>
          <w:rtl w:val="true"/>
          <w:lang w:bidi="fa-IR"/>
        </w:rPr>
        <w:t>.</w:t>
      </w:r>
    </w:p>
    <w:p>
      <w:pPr>
        <w:pStyle w:val="Heading5"/>
        <w:numPr>
          <w:ilvl w:val="4"/>
          <w:numId w:val="1"/>
        </w:numPr>
        <w:rPr/>
      </w:pPr>
      <w:bookmarkStart w:id="1546" w:name="__RefHeading___Toc2566396_3650668749"/>
      <w:bookmarkStart w:id="1547" w:name="_Toc707"/>
      <w:bookmarkEnd w:id="1546"/>
      <w:r>
        <w:rPr>
          <w:rtl w:val="true"/>
        </w:rPr>
        <w:t>[ (</w:t>
      </w:r>
      <w:r>
        <w:rPr>
          <w:rtl w:val="true"/>
        </w:rPr>
        <w:t xml:space="preserve">مسألة </w:t>
      </w:r>
      <w:r>
        <w:rPr/>
        <w:t>18</w:t>
      </w:r>
      <w:r>
        <w:rPr>
          <w:rtl w:val="true"/>
        </w:rPr>
        <w:t xml:space="preserve">): </w:t>
      </w:r>
      <w:r>
        <w:rPr>
          <w:rtl w:val="true"/>
        </w:rPr>
        <w:t>من المستحبّات الأکیدة بناء المسجد</w:t>
      </w:r>
      <w:r>
        <w:rPr>
          <w:rtl w:val="true"/>
        </w:rPr>
        <w:t>]</w:t>
      </w:r>
      <w:bookmarkEnd w:id="1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المستحبّات الأکیدة بناء المسجد و فیه أجر عظیم و ثواب جسیم فعن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4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بنیٰ مسجداً فی الدنیا أعطاه اللّٰه لکلّ شبر منه مسیرة أربعین ألف عام مدینة من ذهب و فضّة و لؤلؤ و زبرجد</w:t>
      </w:r>
      <w:r>
        <w:rPr>
          <w:rFonts w:eastAsia="IRNazanin" w:cs="IRNazanin"/>
          <w:color w:val="111111"/>
          <w:sz w:val="28"/>
          <w:szCs w:val="28"/>
          <w:rtl w:val="true"/>
          <w:lang w:bidi="fa-IR"/>
        </w:rPr>
        <w:t>».</w:t>
      </w:r>
    </w:p>
    <w:p>
      <w:pPr>
        <w:pStyle w:val="Heading5"/>
        <w:numPr>
          <w:ilvl w:val="4"/>
          <w:numId w:val="1"/>
        </w:numPr>
        <w:rPr/>
      </w:pPr>
      <w:bookmarkStart w:id="1548" w:name="__RefHeading___Toc2566398_3650668749"/>
      <w:bookmarkStart w:id="1549" w:name="_Toc708"/>
      <w:bookmarkEnd w:id="1548"/>
      <w:r>
        <w:rPr>
          <w:rtl w:val="true"/>
        </w:rPr>
        <w:t>[ (</w:t>
      </w:r>
      <w:r>
        <w:rPr>
          <w:rtl w:val="true"/>
        </w:rPr>
        <w:t xml:space="preserve">مسألة </w:t>
      </w:r>
      <w:r>
        <w:rPr/>
        <w:t>19</w:t>
      </w:r>
      <w:r>
        <w:rPr>
          <w:rtl w:val="true"/>
        </w:rPr>
        <w:t xml:space="preserve">): </w:t>
      </w:r>
      <w:r>
        <w:rPr>
          <w:rtl w:val="true"/>
        </w:rPr>
        <w:t>المشهور اعتبار إجراء صیغة الوقف فی صیرورة الأرض مسجداً</w:t>
      </w:r>
      <w:r>
        <w:rPr>
          <w:rtl w:val="true"/>
        </w:rPr>
        <w:t>]</w:t>
      </w:r>
      <w:bookmarkEnd w:id="15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اعتبار إجراء صیغة الوقف فی صیرورة الأرض مسجداً؛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وقفتها مسجداً قربة إلی الهّٰ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الأقویٰ کفایة البناء بقصد کونه مسجداً مع صلاة شخص واحد فیه بإذن البانی، فیجری علیه حکم المسجدیّة و إن لم تجرِ الصیغة</w:t>
      </w:r>
      <w:r>
        <w:rPr>
          <w:rFonts w:eastAsia="IRNazanin" w:cs="IRNazanin"/>
          <w:color w:val="111111"/>
          <w:sz w:val="28"/>
          <w:szCs w:val="28"/>
          <w:rtl w:val="true"/>
          <w:lang w:bidi="fa-IR"/>
        </w:rPr>
        <w:t>.</w:t>
      </w:r>
    </w:p>
    <w:p>
      <w:pPr>
        <w:pStyle w:val="Heading5"/>
        <w:numPr>
          <w:ilvl w:val="4"/>
          <w:numId w:val="1"/>
        </w:numPr>
        <w:rPr/>
      </w:pPr>
      <w:bookmarkStart w:id="1550" w:name="__RefHeading___Toc2566400_3650668749"/>
      <w:bookmarkStart w:id="1551" w:name="_Toc709"/>
      <w:bookmarkEnd w:id="1550"/>
      <w:r>
        <w:rPr>
          <w:rtl w:val="true"/>
        </w:rPr>
        <w:t>[ (</w:t>
      </w:r>
      <w:r>
        <w:rPr>
          <w:rtl w:val="true"/>
        </w:rPr>
        <w:t xml:space="preserve">مسألة </w:t>
      </w:r>
      <w:r>
        <w:rPr/>
        <w:t>20</w:t>
      </w:r>
      <w:r>
        <w:rPr>
          <w:rtl w:val="true"/>
        </w:rPr>
        <w:t xml:space="preserve">): </w:t>
      </w:r>
      <w:r>
        <w:rPr>
          <w:rtl w:val="true"/>
        </w:rPr>
        <w:t>تکره الصلاة فی الحمّام حتّی المسلخ منه</w:t>
      </w:r>
      <w:r>
        <w:rPr>
          <w:rtl w:val="true"/>
        </w:rPr>
        <w:t>]</w:t>
      </w:r>
      <w:bookmarkEnd w:id="155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تکره الصلاة </w:t>
      </w:r>
      <w:r>
        <w:rPr>
          <w:rStyle w:val="FootnoteAnchor"/>
          <w:rtl w:val="true"/>
        </w:rPr>
        <w:footnoteReference w:id="463"/>
      </w:r>
      <w:r>
        <w:rPr>
          <w:rFonts w:ascii="IRNazanin" w:hAnsi="IRNazanin" w:eastAsia="IRNazanin"/>
          <w:color w:val="111111"/>
          <w:sz w:val="28"/>
          <w:sz w:val="28"/>
          <w:szCs w:val="28"/>
          <w:rtl w:val="true"/>
          <w:lang w:bidi="fa-IR"/>
        </w:rPr>
        <w:t>فی الحمّام حتّی المسلخ منه، و فی المزبلة و المجزرة و المکان المتّخذ للکنیف و لو سطحاً متّخذاً مبالًا، و بیت المسکر، و فی أعطان الإبل، و فی مرابط الخیل و البغال و الحمیر و البقر، و مرابض الغنم، و فی الطرق إن لم تضرّ بالمارّة و إلّا حرمت، و فی قری النمل، و فی مجاری المیاه و إن لم یتوقّع جریانها فیها فعلًا، و فی الأرض السبخة، و فی کلّ أرض نزل فیها عذاب، و علی الثلج، و فی معابد النیران بل کلّ بیت أُعدّ لإضرام النار فیه، و علی القبر أو إلی القبر أو بین القبور، و ترتفع الکراهة فی الأخیر و سابقه بالحائل و ببعد عشرة أذرع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بالصلاة خلف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علیٰ یمینها و شمالها و إن کان الأولی الصلاة عند الرأس علیٰ وجه لا یساوی الإمام، و کذا تکره و بین یدیه نار مضرمة أو سراج أو تمثال ذی الروح و تزول فی الأخیر بالتغطیة، و تکره و بین یدیه مصحف أو کتاب مفتوح أو کان مقابله باب مفتوح أو حائط ینزّ من بالوعة یبال فیها و ترتفع بستره</w:t>
      </w:r>
      <w:r>
        <w:rPr>
          <w:rFonts w:eastAsia="IRNazanin" w:cs="IRNazanin"/>
          <w:color w:val="111111"/>
          <w:sz w:val="28"/>
          <w:szCs w:val="28"/>
          <w:rtl w:val="true"/>
          <w:lang w:bidi="fa-IR"/>
        </w:rPr>
        <w:t>.</w:t>
      </w:r>
      <w:bookmarkStart w:id="1552" w:name="pg1809_18953"/>
    </w:p>
    <w:p>
      <w:pPr>
        <w:pStyle w:val="Heading4"/>
        <w:numPr>
          <w:ilvl w:val="3"/>
          <w:numId w:val="1"/>
        </w:numPr>
        <w:rPr/>
      </w:pPr>
      <w:bookmarkStart w:id="1553" w:name="__RefHeading___Toc2566402_3650668749"/>
      <w:bookmarkStart w:id="1554" w:name="_Toc710"/>
      <w:bookmarkEnd w:id="1552"/>
      <w:bookmarkEnd w:id="1553"/>
      <w:r>
        <w:rPr>
          <w:rtl w:val="true"/>
        </w:rPr>
        <w:t>[</w:t>
      </w:r>
      <w:r>
        <w:rPr>
          <w:rtl w:val="true"/>
        </w:rPr>
        <w:t>المقدّمة الخامسة</w:t>
      </w:r>
      <w:r>
        <w:rPr>
          <w:rtl w:val="true"/>
        </w:rPr>
        <w:t xml:space="preserve">: </w:t>
      </w:r>
      <w:r>
        <w:rPr>
          <w:rtl w:val="true"/>
        </w:rPr>
        <w:t>فی الأذان و الإقامة</w:t>
      </w:r>
      <w:r>
        <w:rPr>
          <w:rtl w:val="true"/>
        </w:rPr>
        <w:t>]</w:t>
      </w:r>
      <w:bookmarkEnd w:id="1554"/>
    </w:p>
    <w:p>
      <w:pPr>
        <w:pStyle w:val="Heading5"/>
        <w:numPr>
          <w:ilvl w:val="4"/>
          <w:numId w:val="1"/>
        </w:numPr>
        <w:rPr/>
      </w:pPr>
      <w:bookmarkStart w:id="1555" w:name="__RefHeading___Toc2566404_3650668749"/>
      <w:bookmarkStart w:id="1556" w:name="_Toc711"/>
      <w:bookmarkEnd w:id="1555"/>
      <w:r>
        <w:rPr>
          <w:rtl w:val="true"/>
        </w:rPr>
        <w:t>اشارة</w:t>
      </w:r>
      <w:bookmarkEnd w:id="1556"/>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و الإقامة</w:t>
      </w:r>
    </w:p>
    <w:p>
      <w:pPr>
        <w:pStyle w:val="Heading5"/>
        <w:numPr>
          <w:ilvl w:val="4"/>
          <w:numId w:val="1"/>
        </w:numPr>
        <w:rPr/>
      </w:pPr>
      <w:bookmarkStart w:id="1557" w:name="__RefHeading___Toc2566406_3650668749"/>
      <w:bookmarkStart w:id="1558" w:name="_Toc712"/>
      <w:bookmarkEnd w:id="1557"/>
      <w:r>
        <w:rPr>
          <w:rtl w:val="true"/>
        </w:rPr>
        <w:t>[ (</w:t>
      </w:r>
      <w:r>
        <w:rPr>
          <w:rtl w:val="true"/>
        </w:rPr>
        <w:t xml:space="preserve">مسألة </w:t>
      </w:r>
      <w:r>
        <w:rPr/>
        <w:t>1</w:t>
      </w:r>
      <w:r>
        <w:rPr>
          <w:rtl w:val="true"/>
        </w:rPr>
        <w:t xml:space="preserve">): </w:t>
      </w:r>
      <w:r>
        <w:rPr>
          <w:rtl w:val="true"/>
        </w:rPr>
        <w:t>الأذان و الإقامة لا إشکال فی تأکّد رجحانهما للصلوات الخمس</w:t>
      </w:r>
      <w:r>
        <w:rPr>
          <w:rtl w:val="true"/>
        </w:rPr>
        <w:t>]</w:t>
      </w:r>
      <w:bookmarkEnd w:id="1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و الإقامة لا إشکال فی تأکّد رجحانهما للصلوات الخمس أداءً و قضاءً، حضراً و سفراً، فی الصحّة و المرض، للجامع و المنفرد، للرجال و النساء، حتّی قال بعض بوجوبهما و خصّه بعض بالصبح و المغرب و بعضهم بالجماعة، و الأقوی استحباب الأذان مطلقاً، و أمّا الإقامة فلا یترک </w:t>
      </w:r>
      <w:r>
        <w:rPr>
          <w:rStyle w:val="FootnoteAnchor"/>
          <w:rtl w:val="true"/>
        </w:rPr>
        <w:footnoteReference w:id="464"/>
      </w:r>
      <w:r>
        <w:rPr>
          <w:rFonts w:ascii="IRNazanin" w:hAnsi="IRNazanin" w:eastAsia="IRNazanin"/>
          <w:color w:val="111111"/>
          <w:sz w:val="28"/>
          <w:sz w:val="28"/>
          <w:szCs w:val="28"/>
          <w:rtl w:val="true"/>
          <w:lang w:bidi="fa-IR"/>
        </w:rPr>
        <w:t>الاحتیاط فی الإتیان بها بالنسبة إلی الرجال فی کلّ من الصلوات الخمس</w:t>
      </w:r>
      <w:r>
        <w:rPr>
          <w:rFonts w:eastAsia="IRNazanin" w:cs="IRNazanin"/>
          <w:color w:val="111111"/>
          <w:sz w:val="28"/>
          <w:szCs w:val="28"/>
          <w:rtl w:val="true"/>
          <w:lang w:bidi="fa-IR"/>
        </w:rPr>
        <w:t>.</w:t>
      </w:r>
    </w:p>
    <w:p>
      <w:pPr>
        <w:pStyle w:val="Heading5"/>
        <w:numPr>
          <w:ilvl w:val="4"/>
          <w:numId w:val="1"/>
        </w:numPr>
        <w:rPr/>
      </w:pPr>
      <w:bookmarkStart w:id="1559" w:name="__RefHeading___Toc2566408_3650668749"/>
      <w:bookmarkStart w:id="1560" w:name="_Toc713"/>
      <w:bookmarkEnd w:id="1559"/>
      <w:r>
        <w:rPr>
          <w:rtl w:val="true"/>
        </w:rPr>
        <w:t>[ (</w:t>
      </w:r>
      <w:r>
        <w:rPr>
          <w:rtl w:val="true"/>
        </w:rPr>
        <w:t xml:space="preserve">مسألة </w:t>
      </w:r>
      <w:r>
        <w:rPr/>
        <w:t>2</w:t>
      </w:r>
      <w:r>
        <w:rPr>
          <w:rtl w:val="true"/>
        </w:rPr>
        <w:t xml:space="preserve">): </w:t>
      </w:r>
      <w:r>
        <w:rPr>
          <w:rtl w:val="true"/>
        </w:rPr>
        <w:t>یسقط الأذان فی العصر و العشاء إذا جمع بینهما و بین الظهر و المغرب</w:t>
      </w:r>
      <w:r>
        <w:rPr>
          <w:rtl w:val="true"/>
        </w:rPr>
        <w:t>]</w:t>
      </w:r>
      <w:bookmarkEnd w:id="1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الأذان فی العصر و العشاء إذا جمع بینهما و بین الظهر و المغرب؛ من غیر فرق بین موارد استحباب الجمع، مثل عصر یوم الجمعة و عصر یوم عرفة و عشاء لیلة العید فی المزدلفة؛ حیث إنّه یستحبّ الجمع بین الصلاتین فی هذه المواضع الثلاثة و بین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یتحقّق التفریق المقابل للجمع بطول الزمان بین الصلاتین و بفعل النافلة الموظّفة بینهما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فبإتیان نافلة العصر بین الظهرین و نافلة المغرب بین العشاءین یتحقّق التفریق الموجب لعدم سقوط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الأقوی </w:t>
      </w:r>
      <w:r>
        <w:rPr>
          <w:rStyle w:val="FootnoteAnchor"/>
          <w:rtl w:val="true"/>
        </w:rPr>
        <w:footnoteReference w:id="465"/>
      </w:r>
      <w:r>
        <w:rPr>
          <w:rFonts w:ascii="IRNazanin" w:hAnsi="IRNazanin" w:eastAsia="IRNazanin"/>
          <w:color w:val="111111"/>
          <w:sz w:val="28"/>
          <w:sz w:val="28"/>
          <w:szCs w:val="28"/>
          <w:rtl w:val="true"/>
          <w:lang w:bidi="fa-IR"/>
        </w:rPr>
        <w:t>أنّ سقوط الأذان فی موارد الجمع عزیمة؛ بمعنی عدم المشروعیّة، فیحرم إتیانه بقصدها خصوصاً فی عصر یوم الجمعة إذا جمعت مع الظهر أو الجمعة</w:t>
      </w:r>
      <w:r>
        <w:rPr>
          <w:rFonts w:eastAsia="IRNazanin" w:cs="IRNazanin"/>
          <w:color w:val="111111"/>
          <w:sz w:val="28"/>
          <w:szCs w:val="28"/>
          <w:rtl w:val="true"/>
          <w:lang w:bidi="fa-IR"/>
        </w:rPr>
        <w:t>.</w:t>
      </w:r>
    </w:p>
    <w:p>
      <w:pPr>
        <w:pStyle w:val="Heading5"/>
        <w:numPr>
          <w:ilvl w:val="4"/>
          <w:numId w:val="1"/>
        </w:numPr>
        <w:rPr/>
      </w:pPr>
      <w:bookmarkStart w:id="1561" w:name="__RefHeading___Toc2566410_3650668749"/>
      <w:bookmarkStart w:id="1562" w:name="_Toc714"/>
      <w:bookmarkEnd w:id="1561"/>
      <w:r>
        <w:rPr>
          <w:rtl w:val="true"/>
        </w:rPr>
        <w:t>[ (</w:t>
      </w:r>
      <w:r>
        <w:rPr>
          <w:rtl w:val="true"/>
        </w:rPr>
        <w:t xml:space="preserve">مسألة </w:t>
      </w:r>
      <w:r>
        <w:rPr/>
        <w:t>3</w:t>
      </w:r>
      <w:r>
        <w:rPr>
          <w:rtl w:val="true"/>
        </w:rPr>
        <w:t xml:space="preserve">): </w:t>
      </w:r>
      <w:r>
        <w:rPr>
          <w:rtl w:val="true"/>
        </w:rPr>
        <w:t>یسقط الأذان مع الإقامة فی مواضع</w:t>
      </w:r>
      <w:r>
        <w:rPr>
          <w:rtl w:val="true"/>
        </w:rPr>
        <w:t>]</w:t>
      </w:r>
      <w:bookmarkEnd w:id="156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الأذان مع الإقامة فی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للداخل فی الجماعة التی أذّنوا و أقاموا لها و إن لم یسمعهما و لم یکن حاضراً حینهما و کان مسبوقاً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 مسجد فیه جماعة لم تتفرّق؛ سواء قصد الإتیان إلیها أم لا، و سواء صلّیٰ جماعة إماماً أو مأموماً أو منفرداً، فلو تفرّقت بمعنی سیلانها فی الأزقّة أو أعرضوا عن الصلاة و تعقیبها و إن بقوا فی مکانهم لم یسقطا عنه، کما أنّهما لا یسقطان لو کانت الجماعة السابقة بغیر أذان و إقامة و لو کان ترکهم لهما من جهة اکتفائهم بالسماع من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فیما إذا کانت</w:t>
      </w:r>
      <w:bookmarkStart w:id="1563" w:name="pg1809_18955"/>
    </w:p>
    <w:p>
      <w:pPr>
        <w:pStyle w:val="BookText"/>
        <w:rPr/>
      </w:pPr>
      <w:bookmarkEnd w:id="1563"/>
      <w:r>
        <w:rPr>
          <w:rFonts w:ascii="IRNazanin" w:hAnsi="IRNazanin" w:eastAsia="IRNazanin"/>
          <w:color w:val="111111"/>
          <w:sz w:val="28"/>
          <w:sz w:val="28"/>
          <w:szCs w:val="28"/>
          <w:rtl w:val="true"/>
          <w:lang w:bidi="fa-IR"/>
        </w:rPr>
        <w:t>باطلة من جهة فسق الإمام مع علم المأمومین به أو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مع عدم اتّحاد مکان الصلاتین عرفاً بأن کانت إحداهما داخل المسجد مثلًا و الأُخری علیٰ سطحه أو بعدت إحداهما عن الأُخریٰ کثیراً، و هل یختصّ الحکم بالمسجد أو یجری فی غیره أیضاً؟ محلّ إشکال </w:t>
      </w:r>
      <w:r>
        <w:rPr>
          <w:rStyle w:val="FootnoteAnchor"/>
          <w:rtl w:val="true"/>
        </w:rPr>
        <w:footnoteReference w:id="466"/>
      </w:r>
      <w:r>
        <w:rPr>
          <w:rFonts w:ascii="IRNazanin" w:hAnsi="IRNazanin" w:eastAsia="IRNazanin"/>
          <w:color w:val="111111"/>
          <w:sz w:val="28"/>
          <w:sz w:val="28"/>
          <w:szCs w:val="28"/>
          <w:rtl w:val="true"/>
          <w:lang w:bidi="fa-IR"/>
        </w:rPr>
        <w:t>، و کذا الإشکال فیما إذا لم تکن صلاته مع صلاة الجماعة أدائیّتین؛ بأن کانت إحداهما أو کلتاهما قضائیّة؛ عن النفس أو الغیر، علیٰ وجه التبرّع أو الإجارة، و کذا فیما إذا لم تشترکا فی الوقت کما إذا کانت الجماعة السابقة عصراً و هو یرید أن یصلّی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الإتیان بهما فی موارد الإشکال بعنوان الرجاء و احتمال المطلوبیّة</w:t>
      </w:r>
      <w:r>
        <w:rPr>
          <w:rFonts w:eastAsia="IRNazanin" w:cs="IRNazanin"/>
          <w:color w:val="111111"/>
          <w:sz w:val="28"/>
          <w:szCs w:val="28"/>
          <w:rtl w:val="true"/>
          <w:lang w:bidi="fa-IR"/>
        </w:rPr>
        <w:t>.</w:t>
      </w:r>
    </w:p>
    <w:p>
      <w:pPr>
        <w:pStyle w:val="Heading4"/>
        <w:numPr>
          <w:ilvl w:val="3"/>
          <w:numId w:val="1"/>
        </w:numPr>
        <w:rPr/>
      </w:pPr>
      <w:bookmarkStart w:id="1564" w:name="__RefHeading___Toc2566412_3650668749"/>
      <w:bookmarkStart w:id="1565" w:name="_Toc715"/>
      <w:bookmarkEnd w:id="1564"/>
      <w:r>
        <w:rPr>
          <w:rtl w:val="true"/>
        </w:rPr>
        <w:t>[</w:t>
      </w:r>
      <w:r>
        <w:rPr>
          <w:rtl w:val="true"/>
        </w:rPr>
        <w:t>المقدّمة السادسة</w:t>
      </w:r>
      <w:r>
        <w:rPr>
          <w:rtl w:val="true"/>
        </w:rPr>
        <w:t xml:space="preserve">: </w:t>
      </w:r>
      <w:r>
        <w:rPr>
          <w:rtl w:val="true"/>
        </w:rPr>
        <w:t>إحضار القلب فی الصلاة</w:t>
      </w:r>
      <w:r>
        <w:rPr>
          <w:rtl w:val="true"/>
        </w:rPr>
        <w:t>]</w:t>
      </w:r>
      <w:bookmarkEnd w:id="1565"/>
    </w:p>
    <w:p>
      <w:pPr>
        <w:pStyle w:val="Heading5"/>
        <w:numPr>
          <w:ilvl w:val="4"/>
          <w:numId w:val="1"/>
        </w:numPr>
        <w:rPr/>
      </w:pPr>
      <w:bookmarkStart w:id="1566" w:name="__RefHeading___Toc2566414_3650668749"/>
      <w:bookmarkStart w:id="1567" w:name="_Toc716"/>
      <w:bookmarkEnd w:id="1566"/>
      <w:r>
        <w:rPr>
          <w:rtl w:val="true"/>
        </w:rPr>
        <w:t>اشارة</w:t>
      </w:r>
      <w:bookmarkEnd w:id="1567"/>
    </w:p>
    <w:p>
      <w:pPr>
        <w:pStyle w:val="BookText"/>
        <w:rPr/>
      </w:pPr>
      <w:r>
        <w:rPr>
          <w:rFonts w:ascii="IRNazanin" w:hAnsi="IRNazanin" w:eastAsia="IRNazanin"/>
          <w:color w:val="111111"/>
          <w:sz w:val="28"/>
          <w:sz w:val="28"/>
          <w:szCs w:val="28"/>
          <w:rtl w:val="true"/>
          <w:lang w:bidi="fa-IR"/>
        </w:rPr>
        <w:t>المقدّمة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إحضار القلب فی الصلاة</w:t>
      </w:r>
    </w:p>
    <w:p>
      <w:pPr>
        <w:pStyle w:val="Heading5"/>
        <w:numPr>
          <w:ilvl w:val="4"/>
          <w:numId w:val="1"/>
        </w:numPr>
        <w:rPr/>
      </w:pPr>
      <w:bookmarkStart w:id="1568" w:name="__RefHeading___Toc2566416_3650668749"/>
      <w:bookmarkStart w:id="1569" w:name="_Toc717"/>
      <w:bookmarkEnd w:id="1568"/>
      <w:r>
        <w:rPr>
          <w:rtl w:val="true"/>
        </w:rPr>
        <w:t>[ (</w:t>
      </w:r>
      <w:r>
        <w:rPr>
          <w:rtl w:val="true"/>
        </w:rPr>
        <w:t xml:space="preserve">مسألة </w:t>
      </w:r>
      <w:r>
        <w:rPr/>
        <w:t>1</w:t>
      </w:r>
      <w:r>
        <w:rPr>
          <w:rtl w:val="true"/>
        </w:rPr>
        <w:t xml:space="preserve">): </w:t>
      </w:r>
      <w:r>
        <w:rPr>
          <w:rtl w:val="true"/>
        </w:rPr>
        <w:t>ینبغی للمصلّی إحضار قلبه فی تمام الصلاة فی أقوالها و أفعالها</w:t>
      </w:r>
      <w:r>
        <w:rPr>
          <w:rtl w:val="true"/>
        </w:rPr>
        <w:t>]</w:t>
      </w:r>
      <w:bookmarkEnd w:id="156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للمصلّی إحضار قلبه فی تمام الصلاة فی أقوالها و أفعالها، فإنّه لا یحسب للعبد من صلاته إلّا ما أقبل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الإقبال الالتفات التامّ إلی الصلاة و إلی ما یقول فیها و التوجّه الکامل نحو حضرة المعبود جلّ جلاله و استشعار عظمته و جلال هیبته و تفریغ قلبه عمّا عداه، فیریٰ نفسه متمثّلًا بین یدی ملک الملوک عظیم العظماء مخاطباً له مناجیاً إیّاه، فإذا استشعر إلیٰ ذلک و وقع فی قلبه هیبته یهابه، ثمّ یریٰ نفسه مقصّراً فی أداء حقّه فیخافه ثمّ یلاحظ سعة رحمته فیرجو ثوابه، فیحصل له حالة بین الخوف و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صفة الکاملین و لها درجات شتّیٰ و مراتب لا تحصی علیٰ حسب درجات المتعبّدین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له الخضوع و الخشوع و السکینة و الوقار و الزیّ الحسن و الطیب و السواک قبل الدخول فیها و التمشیط، و ینبغی أن یصلّی صلاة مودّع؛ فیجدّد التوبة و الإنابة و الاستغفار، و أن یقوم بین یدی ربّه قیام العبد الذلیل بین یدی مولاه، و أن یکون صادقاً فی مقالته إِیّٰاکَ نَعْبُدُ وَ إِیّٰاکَ نَسْتَعِینُ لا یقول هذا القول و هو عابد لهواه و مستعین بغیر مولاه، و ینبغی له أیضاً أن یبذل جهده فی التحذّر عن موانع القبول من العجب و الحسد و الکبر و الغیبة و حبس الزکاة و سائر الحقوق الواجبة فإنّ ذلک کلّه من موانع قبول الصلاة</w:t>
      </w:r>
      <w:r>
        <w:rPr>
          <w:rFonts w:eastAsia="IRNazanin" w:cs="IRNazanin"/>
          <w:color w:val="111111"/>
          <w:sz w:val="28"/>
          <w:szCs w:val="28"/>
          <w:rtl w:val="true"/>
          <w:lang w:bidi="fa-IR"/>
        </w:rPr>
        <w:t>.</w:t>
      </w:r>
      <w:bookmarkStart w:id="1570" w:name="pg1809_18957"/>
    </w:p>
    <w:p>
      <w:pPr>
        <w:pStyle w:val="Heading3"/>
        <w:numPr>
          <w:ilvl w:val="2"/>
          <w:numId w:val="1"/>
        </w:numPr>
        <w:rPr/>
      </w:pPr>
      <w:bookmarkStart w:id="1571" w:name="__RefHeading___Toc2566418_3650668749"/>
      <w:bookmarkStart w:id="1572" w:name="_Toc718"/>
      <w:bookmarkEnd w:id="1570"/>
      <w:bookmarkEnd w:id="1571"/>
      <w:r>
        <w:rPr>
          <w:rtl w:val="true"/>
        </w:rPr>
        <w:t>[</w:t>
      </w:r>
      <w:r>
        <w:rPr>
          <w:rtl w:val="true"/>
        </w:rPr>
        <w:t>فصل فی أفعال الصلاة</w:t>
      </w:r>
      <w:r>
        <w:rPr>
          <w:rtl w:val="true"/>
        </w:rPr>
        <w:t>]</w:t>
      </w:r>
      <w:bookmarkEnd w:id="1572"/>
    </w:p>
    <w:p>
      <w:pPr>
        <w:pStyle w:val="Heading4"/>
        <w:numPr>
          <w:ilvl w:val="3"/>
          <w:numId w:val="1"/>
        </w:numPr>
        <w:rPr/>
      </w:pPr>
      <w:bookmarkStart w:id="1573" w:name="__RefHeading___Toc2566420_3650668749"/>
      <w:bookmarkStart w:id="1574" w:name="_Toc719"/>
      <w:bookmarkEnd w:id="1573"/>
      <w:r>
        <w:rPr>
          <w:rtl w:val="true"/>
        </w:rPr>
        <w:t>اشارة</w:t>
      </w:r>
      <w:bookmarkEnd w:id="1574"/>
    </w:p>
    <w:p>
      <w:pPr>
        <w:pStyle w:val="BookText"/>
        <w:rPr/>
      </w:pPr>
      <w:r>
        <w:rPr>
          <w:rFonts w:ascii="IRNazanin" w:hAnsi="IRNazanin" w:eastAsia="IRNazanin"/>
          <w:color w:val="111111"/>
          <w:sz w:val="28"/>
          <w:sz w:val="28"/>
          <w:szCs w:val="28"/>
          <w:rtl w:val="true"/>
          <w:lang w:bidi="fa-IR"/>
        </w:rPr>
        <w:t>فصل فی أفعال الصلاة و هی واجبة و مسنونة، و الواجب 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و تکبیرة الإحرام و القیام و الرکوع و السجود و القراءة و الذکر و التشهّد و التسلیم و الترتیب و الموالاة، و الخمسة الاولیٰ أرکان </w:t>
      </w:r>
      <w:r>
        <w:rPr>
          <w:rStyle w:val="FootnoteAnchor"/>
          <w:rtl w:val="true"/>
        </w:rPr>
        <w:footnoteReference w:id="467"/>
      </w:r>
      <w:r>
        <w:rPr>
          <w:rFonts w:ascii="IRNazanin" w:hAnsi="IRNazanin" w:eastAsia="IRNazanin"/>
          <w:color w:val="111111"/>
          <w:sz w:val="28"/>
          <w:sz w:val="28"/>
          <w:szCs w:val="28"/>
          <w:rtl w:val="true"/>
          <w:lang w:bidi="fa-IR"/>
        </w:rPr>
        <w:t>بمعنی أنّه تبطل الصلاة بزیادتها أو نقصانها عمداً و سهواً، لکن لا یتصوّر الزیادة فی النیّة بناءً علی الداعی، و بناءً علی الإخطار غیر قادحة، و باقی الواجبات لا تبطل الصلاة بزیادتها أو نقصانها إلّا مع العمد دون السهو</w:t>
      </w:r>
      <w:r>
        <w:rPr>
          <w:rFonts w:eastAsia="IRNazanin" w:cs="IRNazanin"/>
          <w:color w:val="111111"/>
          <w:sz w:val="28"/>
          <w:szCs w:val="28"/>
          <w:rtl w:val="true"/>
          <w:lang w:bidi="fa-IR"/>
        </w:rPr>
        <w:t>.</w:t>
      </w:r>
    </w:p>
    <w:p>
      <w:pPr>
        <w:pStyle w:val="Heading4"/>
        <w:numPr>
          <w:ilvl w:val="3"/>
          <w:numId w:val="1"/>
        </w:numPr>
        <w:rPr/>
      </w:pPr>
      <w:bookmarkStart w:id="1575" w:name="__RefHeading___Toc2566422_3650668749"/>
      <w:bookmarkStart w:id="1576" w:name="_Toc720"/>
      <w:bookmarkEnd w:id="1575"/>
      <w:r>
        <w:rPr>
          <w:rtl w:val="true"/>
        </w:rPr>
        <w:t>[</w:t>
      </w:r>
      <w:r>
        <w:rPr>
          <w:rtl w:val="true"/>
        </w:rPr>
        <w:t>القول فی النیّة</w:t>
      </w:r>
      <w:r>
        <w:rPr>
          <w:rtl w:val="true"/>
        </w:rPr>
        <w:t>]</w:t>
      </w:r>
      <w:bookmarkEnd w:id="1576"/>
    </w:p>
    <w:p>
      <w:pPr>
        <w:pStyle w:val="Heading5"/>
        <w:numPr>
          <w:ilvl w:val="4"/>
          <w:numId w:val="1"/>
        </w:numPr>
        <w:rPr/>
      </w:pPr>
      <w:bookmarkStart w:id="1577" w:name="__RefHeading___Toc2566424_3650668749"/>
      <w:bookmarkStart w:id="1578" w:name="_Toc721"/>
      <w:bookmarkEnd w:id="1577"/>
      <w:r>
        <w:rPr>
          <w:rtl w:val="true"/>
        </w:rPr>
        <w:t>اشارة</w:t>
      </w:r>
      <w:bookmarkEnd w:id="1578"/>
    </w:p>
    <w:p>
      <w:pPr>
        <w:pStyle w:val="BookText"/>
        <w:rPr/>
      </w:pPr>
      <w:r>
        <w:rPr>
          <w:rFonts w:ascii="IRNazanin" w:hAnsi="IRNazanin" w:eastAsia="IRNazanin"/>
          <w:color w:val="111111"/>
          <w:sz w:val="28"/>
          <w:sz w:val="28"/>
          <w:szCs w:val="28"/>
          <w:rtl w:val="true"/>
          <w:lang w:bidi="fa-IR"/>
        </w:rPr>
        <w:t>القول فی النیّة</w:t>
      </w:r>
    </w:p>
    <w:p>
      <w:pPr>
        <w:pStyle w:val="Heading5"/>
        <w:numPr>
          <w:ilvl w:val="4"/>
          <w:numId w:val="1"/>
        </w:numPr>
        <w:rPr/>
      </w:pPr>
      <w:bookmarkStart w:id="1579" w:name="__RefHeading___Toc2566426_3650668749"/>
      <w:bookmarkStart w:id="1580" w:name="_Toc722"/>
      <w:bookmarkEnd w:id="1579"/>
      <w:r>
        <w:rPr>
          <w:rtl w:val="true"/>
        </w:rPr>
        <w:t>[ (</w:t>
      </w:r>
      <w:r>
        <w:rPr>
          <w:rtl w:val="true"/>
        </w:rPr>
        <w:t xml:space="preserve">مسألة </w:t>
      </w:r>
      <w:r>
        <w:rPr/>
        <w:t>1</w:t>
      </w:r>
      <w:r>
        <w:rPr>
          <w:rtl w:val="true"/>
        </w:rPr>
        <w:t xml:space="preserve">): </w:t>
      </w:r>
      <w:r>
        <w:rPr>
          <w:rtl w:val="true"/>
        </w:rPr>
        <w:t>النیّة عبارة عن قصد الفعل قربة إلی اللّٰه تعالیٰ و امتثالًا لأمره</w:t>
      </w:r>
      <w:r>
        <w:rPr>
          <w:rtl w:val="true"/>
        </w:rPr>
        <w:t>]</w:t>
      </w:r>
      <w:bookmarkEnd w:id="15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عبارة عن قصد الفعل قربة إلی اللّٰه تعالیٰ و امتثالًا لأمره، و ذلک إمّا لأنّه أهلٌ للعبادة و هو أعلاها </w:t>
      </w:r>
      <w:r>
        <w:rPr>
          <w:rStyle w:val="FootnoteAnchor"/>
          <w:rtl w:val="true"/>
        </w:rPr>
        <w:footnoteReference w:id="468"/>
      </w:r>
      <w:r>
        <w:rPr>
          <w:rFonts w:ascii="IRNazanin" w:hAnsi="IRNazanin" w:eastAsia="IRNazanin"/>
          <w:color w:val="111111"/>
          <w:sz w:val="28"/>
          <w:sz w:val="28"/>
          <w:szCs w:val="28"/>
          <w:rtl w:val="true"/>
          <w:lang w:bidi="fa-IR"/>
        </w:rPr>
        <w:t>أو جزاءً لشکر نعمته أو طلباً لرضاه أو خوفاً من سخطه أو رجاءً لثوابه و هذا أدناها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فی النیّة اللفظ؛ لأنّها أمر قلبیّ، کما لا یجب فیها الإخطار و هو الحدیث الفکری و التصوّر القلبی بأن یرتّب فی فکره و خزانة خیاله مثلًا آتی بالصلاة الفلانیّة التی هی ذات أفعال و أقوال لغرض الامتثال شکراً للّٰه، بل یکفی الداعی و هو الإرادة الإجمالیّة المؤثّرة فی صدور الفعل المنبعثة عمّا فی نفسه من الغایات علیٰ وجه یخرج به عن الساهی و الغافل و یدخل فعله فی فعل الفاعل المختار کسائر أفعاله الإرادیّة و الاختیاریّة، و یکون الباعث و المحرّک للعمل الامتثال</w:t>
      </w:r>
      <w:r>
        <w:rPr>
          <w:rFonts w:eastAsia="IRNazanin" w:cs="IRNazanin"/>
          <w:color w:val="111111"/>
          <w:sz w:val="28"/>
          <w:szCs w:val="28"/>
          <w:rtl w:val="true"/>
          <w:lang w:bidi="fa-IR"/>
        </w:rPr>
        <w:t>.</w:t>
      </w:r>
    </w:p>
    <w:p>
      <w:pPr>
        <w:pStyle w:val="Heading5"/>
        <w:numPr>
          <w:ilvl w:val="4"/>
          <w:numId w:val="1"/>
        </w:numPr>
        <w:rPr/>
      </w:pPr>
      <w:bookmarkStart w:id="1581" w:name="__RefHeading___Toc2566428_3650668749"/>
      <w:bookmarkStart w:id="1582" w:name="_Toc723"/>
      <w:bookmarkEnd w:id="1581"/>
      <w:r>
        <w:rPr>
          <w:rtl w:val="true"/>
        </w:rPr>
        <w:t>[ (</w:t>
      </w:r>
      <w:r>
        <w:rPr>
          <w:rtl w:val="true"/>
        </w:rPr>
        <w:t xml:space="preserve">مسألة </w:t>
      </w:r>
      <w:r>
        <w:rPr/>
        <w:t>2</w:t>
      </w:r>
      <w:r>
        <w:rPr>
          <w:rtl w:val="true"/>
        </w:rPr>
        <w:t xml:space="preserve">): </w:t>
      </w:r>
      <w:r>
        <w:rPr>
          <w:rtl w:val="true"/>
        </w:rPr>
        <w:t>یعتبر الإخلاص فی النیّة</w:t>
      </w:r>
      <w:r>
        <w:rPr>
          <w:rtl w:val="true"/>
        </w:rPr>
        <w:t>]</w:t>
      </w:r>
      <w:bookmarkEnd w:id="1582"/>
    </w:p>
    <w:p>
      <w:pPr>
        <w:pStyle w:val="Heading6"/>
        <w:numPr>
          <w:ilvl w:val="5"/>
          <w:numId w:val="1"/>
        </w:numPr>
        <w:rPr/>
      </w:pPr>
      <w:bookmarkStart w:id="1583" w:name="__RefHeading___Toc2566430_3650668749"/>
      <w:bookmarkStart w:id="1584" w:name="_Toc724"/>
      <w:bookmarkEnd w:id="1583"/>
      <w:r>
        <w:rPr>
          <w:rtl w:val="true"/>
        </w:rPr>
        <w:t>اشارة</w:t>
      </w:r>
      <w:bookmarkEnd w:id="158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الإخلاص فی النیّة، فمتیٰ ضمّ إلیها ما ینافیه بطل؛ خصوصاً الریاء فإنّه إذا دخل فی النیّة علیٰ أیّ حال یکون مفسداً؛ سواء کان فی الابتداء أو فی الأثناء فی الأجزاء الواجبة، و أمّا المندوبة ففی کون الریاء فیها مبطلًا للعمل تأمّل </w:t>
      </w:r>
      <w:r>
        <w:rPr>
          <w:rStyle w:val="FootnoteAnchor"/>
          <w:rtl w:val="true"/>
        </w:rPr>
        <w:footnoteReference w:id="469"/>
      </w:r>
      <w:r>
        <w:rPr>
          <w:rFonts w:ascii="IRNazanin" w:hAnsi="IRNazanin" w:eastAsia="IRNazanin"/>
          <w:color w:val="111111"/>
          <w:sz w:val="28"/>
          <w:sz w:val="28"/>
          <w:szCs w:val="28"/>
          <w:rtl w:val="true"/>
          <w:lang w:bidi="fa-IR"/>
        </w:rPr>
        <w:t>و إشکال، و کذلک فی الأوصاف، ککون الصلاة فی المسجد أو جماعة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الریاء المتأخّر و إن</w:t>
      </w:r>
      <w:bookmarkStart w:id="1585" w:name="pg1809_18959"/>
    </w:p>
    <w:p>
      <w:pPr>
        <w:pStyle w:val="BookText"/>
        <w:rPr/>
      </w:pPr>
      <w:bookmarkEnd w:id="1585"/>
      <w:r>
        <w:rPr>
          <w:rFonts w:ascii="IRNazanin" w:hAnsi="IRNazanin" w:eastAsia="IRNazanin"/>
          <w:color w:val="111111"/>
          <w:sz w:val="28"/>
          <w:sz w:val="28"/>
          <w:szCs w:val="28"/>
          <w:rtl w:val="true"/>
          <w:lang w:bidi="fa-IR"/>
        </w:rPr>
        <w:t>لم یکن مبطلًا کما لو أخبر بما فعله من طاعة رغبة فی الأغراض الدنیویّة من المدح و الثناء و الجاه و المال</w:t>
      </w:r>
      <w:r>
        <w:rPr>
          <w:rFonts w:eastAsia="IRNazanin" w:cs="IRNazanin"/>
          <w:color w:val="111111"/>
          <w:sz w:val="28"/>
          <w:szCs w:val="28"/>
          <w:rtl w:val="true"/>
          <w:lang w:bidi="fa-IR"/>
        </w:rPr>
        <w:t>.</w:t>
      </w:r>
    </w:p>
    <w:p>
      <w:pPr>
        <w:pStyle w:val="Heading6"/>
        <w:numPr>
          <w:ilvl w:val="5"/>
          <w:numId w:val="1"/>
        </w:numPr>
        <w:rPr/>
      </w:pPr>
      <w:bookmarkStart w:id="1586" w:name="__RefHeading___Toc2566432_3650668749"/>
      <w:bookmarkStart w:id="1587" w:name="_Toc725"/>
      <w:bookmarkEnd w:id="1586"/>
      <w:r>
        <w:rPr>
          <w:rtl w:val="true"/>
        </w:rPr>
        <w:t>[</w:t>
      </w:r>
      <w:r>
        <w:rPr>
          <w:rtl w:val="true"/>
        </w:rPr>
        <w:t>فائدة</w:t>
      </w:r>
      <w:r>
        <w:rPr>
          <w:rtl w:val="true"/>
        </w:rPr>
        <w:t>]</w:t>
      </w:r>
      <w:bookmarkEnd w:id="1587"/>
    </w:p>
    <w:p>
      <w:pPr>
        <w:pStyle w:val="BookText"/>
        <w:rPr/>
      </w:pPr>
      <w:r>
        <w:rPr>
          <w:rFonts w:ascii="IRNazanin" w:hAnsi="IRNazanin" w:eastAsia="IRNazanin"/>
          <w:color w:val="111111"/>
          <w:sz w:val="28"/>
          <w:sz w:val="28"/>
          <w:szCs w:val="28"/>
          <w:rtl w:val="true"/>
          <w:lang w:bidi="fa-IR"/>
        </w:rPr>
        <w:t xml:space="preserve">فائدة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المرائی یوم القیامة ینادی بأربعة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یا فاجر یا غادر یا خاسر ضلّ سعیک و بطل أجرک و لا خلاق لک، التمس الأجر ممّن کنت تعمل له یا مخادع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یعطی الدنیا بعمل الآخرة و لا یعطی الآخرة بعمل الدنیا، فإذا أنت أخلصت النیّة و جرّدت الهمّة للآخرة حصلت لک الدنیا و الآخرة</w:t>
      </w:r>
      <w:r>
        <w:rPr>
          <w:rFonts w:eastAsia="IRNazanin" w:cs="IRNazanin"/>
          <w:color w:val="111111"/>
          <w:sz w:val="28"/>
          <w:szCs w:val="28"/>
          <w:rtl w:val="true"/>
          <w:lang w:bidi="fa-IR"/>
        </w:rPr>
        <w:t>».</w:t>
      </w:r>
    </w:p>
    <w:p>
      <w:pPr>
        <w:pStyle w:val="Heading5"/>
        <w:numPr>
          <w:ilvl w:val="4"/>
          <w:numId w:val="1"/>
        </w:numPr>
        <w:rPr/>
      </w:pPr>
      <w:bookmarkStart w:id="1588" w:name="__RefHeading___Toc2566434_3650668749"/>
      <w:bookmarkStart w:id="1589" w:name="_Toc726"/>
      <w:bookmarkEnd w:id="1588"/>
      <w:r>
        <w:rPr>
          <w:rtl w:val="true"/>
        </w:rPr>
        <w:t>[ (</w:t>
      </w:r>
      <w:r>
        <w:rPr>
          <w:rtl w:val="true"/>
        </w:rPr>
        <w:t xml:space="preserve">مسألة </w:t>
      </w:r>
      <w:r>
        <w:rPr/>
        <w:t>3</w:t>
      </w:r>
      <w:r>
        <w:rPr>
          <w:rtl w:val="true"/>
        </w:rPr>
        <w:t xml:space="preserve">): </w:t>
      </w:r>
      <w:r>
        <w:rPr>
          <w:rtl w:val="true"/>
        </w:rPr>
        <w:t>غیر الریاء من الضمائم المباحة أو الراجحة إن کانت مقصودة تبعاً و کان الداعی و الغرض الأصلی امتثال الأمر الصلاتی</w:t>
      </w:r>
      <w:r>
        <w:rPr>
          <w:rtl w:val="true"/>
        </w:rPr>
        <w:t>]</w:t>
      </w:r>
      <w:bookmarkEnd w:id="1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الریاء من الضمائم المباحة أو الراجحة إن کانت مقصودة تبعاً و کان الداعی و الغرض الأصلی امتثال الأمر الصلاتی فلا إشکال، و إن کان بالعکس بطلت بلا إشکال، و کذا إذا کان کلّ منهما جزءً للداعی بحیث لو لم ینضمّ کلّ منهما إلی الآخر لم یکن باعثاً و محرّکاً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 کلّ منهما داعیاً مستقلا فالأقوی الصحّة فی الراجحة، بل لا یبعد فی المباحة و إن کان الأحوط </w:t>
      </w:r>
      <w:r>
        <w:rPr>
          <w:rStyle w:val="FootnoteAnchor"/>
          <w:rtl w:val="true"/>
        </w:rPr>
        <w:footnoteReference w:id="470"/>
      </w:r>
      <w:r>
        <w:rPr>
          <w:rFonts w:ascii="Amiri" w:hAnsi="Amiri" w:eastAsia="Amiri" w:cs="Amiri"/>
          <w:color w:val="111111"/>
          <w:sz w:val="28"/>
          <w:sz w:val="28"/>
          <w:szCs w:val="28"/>
          <w:rtl w:val="true"/>
          <w:lang w:bidi="ar-SA"/>
        </w:rPr>
        <w:t>الإعادة</w:t>
      </w:r>
      <w:r>
        <w:rPr>
          <w:rFonts w:eastAsia="Amiri" w:cs="Amiri" w:ascii="Amiri" w:hAnsi="Amiri"/>
          <w:color w:val="111111"/>
          <w:sz w:val="28"/>
          <w:szCs w:val="28"/>
          <w:rtl w:val="true"/>
          <w:lang w:bidi="ar-SA"/>
        </w:rPr>
        <w:t>.</w:t>
      </w:r>
    </w:p>
    <w:p>
      <w:pPr>
        <w:pStyle w:val="Heading5"/>
        <w:numPr>
          <w:ilvl w:val="4"/>
          <w:numId w:val="1"/>
        </w:numPr>
        <w:rPr/>
      </w:pPr>
      <w:bookmarkStart w:id="1590" w:name="__RefHeading___Toc2566436_3650668749"/>
      <w:bookmarkStart w:id="1591" w:name="_Toc727"/>
      <w:bookmarkEnd w:id="1590"/>
      <w:r>
        <w:rPr>
          <w:rtl w:val="true"/>
        </w:rPr>
        <w:t>[ (</w:t>
      </w:r>
      <w:r>
        <w:rPr>
          <w:rtl w:val="true"/>
        </w:rPr>
        <w:t xml:space="preserve">مسألة </w:t>
      </w:r>
      <w:r>
        <w:rPr/>
        <w:t>4</w:t>
      </w:r>
      <w:r>
        <w:rPr>
          <w:rtl w:val="true"/>
        </w:rPr>
        <w:t xml:space="preserve">): </w:t>
      </w:r>
      <w:r>
        <w:rPr>
          <w:rtl w:val="true"/>
        </w:rPr>
        <w:t>إذا رفع صوته بالذکر أو القراءة لإعلام الغیر</w:t>
      </w:r>
      <w:r>
        <w:rPr>
          <w:rtl w:val="true"/>
        </w:rPr>
        <w:t>]</w:t>
      </w:r>
      <w:bookmarkEnd w:id="1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صوته بالذکر أو القراءة لإعلام الغیر لم یبطل بعد ما کان أصل إتیانهما بقصد الامتثال، و کذلک لو أوقع صلاته فی مکان أو زمان خاصّ لغرض من الأغراض المباحة بحیث یکون أصل الإتیان بداعی الامتثال و کان الداعی علی اختیار ذلک المکان أو الزمان ذلک الغرض کالبرودة و نحوها</w:t>
      </w:r>
      <w:r>
        <w:rPr>
          <w:rFonts w:eastAsia="IRNazanin" w:cs="IRNazanin"/>
          <w:color w:val="111111"/>
          <w:sz w:val="28"/>
          <w:szCs w:val="28"/>
          <w:rtl w:val="true"/>
          <w:lang w:bidi="fa-IR"/>
        </w:rPr>
        <w:t>.</w:t>
      </w:r>
    </w:p>
    <w:p>
      <w:pPr>
        <w:pStyle w:val="Heading5"/>
        <w:numPr>
          <w:ilvl w:val="4"/>
          <w:numId w:val="1"/>
        </w:numPr>
        <w:rPr/>
      </w:pPr>
      <w:bookmarkStart w:id="1592" w:name="__RefHeading___Toc2566438_3650668749"/>
      <w:bookmarkStart w:id="1593" w:name="_Toc728"/>
      <w:bookmarkEnd w:id="1592"/>
      <w:r>
        <w:rPr>
          <w:rtl w:val="true"/>
        </w:rPr>
        <w:t>[ (</w:t>
      </w:r>
      <w:r>
        <w:rPr>
          <w:rtl w:val="true"/>
        </w:rPr>
        <w:t xml:space="preserve">مسألة </w:t>
      </w:r>
      <w:r>
        <w:rPr/>
        <w:t>5</w:t>
      </w:r>
      <w:r>
        <w:rPr>
          <w:rtl w:val="true"/>
        </w:rPr>
        <w:t xml:space="preserve">): </w:t>
      </w:r>
      <w:r>
        <w:rPr>
          <w:rtl w:val="true"/>
        </w:rPr>
        <w:t>یجب تعیین نوع الصلاة التی یأتی بها فی القصد و لو إجمالًا</w:t>
      </w:r>
      <w:r>
        <w:rPr>
          <w:rtl w:val="true"/>
        </w:rPr>
        <w:t>]</w:t>
      </w:r>
      <w:bookmarkEnd w:id="1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تعیین نوع الصلاة التی یأتی بها فی القصد و لو إجمالًا؛ بأن ینوی مثلًا ما اشتغلت به ذمّته إذا کان متّحداً أو ما اشتغلت به ذمّته أوّلًا من الصلاتین أو ثانیاً إذا کان متعدّداً</w:t>
      </w:r>
      <w:r>
        <w:rPr>
          <w:rFonts w:eastAsia="IRNazanin" w:cs="IRNazanin"/>
          <w:color w:val="111111"/>
          <w:sz w:val="28"/>
          <w:szCs w:val="28"/>
          <w:rtl w:val="true"/>
          <w:lang w:bidi="fa-IR"/>
        </w:rPr>
        <w:t>.</w:t>
      </w:r>
    </w:p>
    <w:p>
      <w:pPr>
        <w:pStyle w:val="Heading5"/>
        <w:numPr>
          <w:ilvl w:val="4"/>
          <w:numId w:val="1"/>
        </w:numPr>
        <w:rPr/>
      </w:pPr>
      <w:bookmarkStart w:id="1594" w:name="__RefHeading___Toc2566440_3650668749"/>
      <w:bookmarkStart w:id="1595" w:name="_Toc729"/>
      <w:bookmarkEnd w:id="1594"/>
      <w:r>
        <w:rPr>
          <w:rtl w:val="true"/>
        </w:rPr>
        <w:t>[ (</w:t>
      </w:r>
      <w:r>
        <w:rPr>
          <w:rtl w:val="true"/>
        </w:rPr>
        <w:t xml:space="preserve">مسألة </w:t>
      </w:r>
      <w:r>
        <w:rPr/>
        <w:t>6</w:t>
      </w:r>
      <w:r>
        <w:rPr>
          <w:rtl w:val="true"/>
        </w:rPr>
        <w:t xml:space="preserve">): </w:t>
      </w:r>
      <w:r>
        <w:rPr>
          <w:rtl w:val="true"/>
        </w:rPr>
        <w:t>لا یجب قصد الأداء و القضاء بعد قصد العنوان الذی یتّصف بصفتی القضاء و الأداء</w:t>
      </w:r>
      <w:r>
        <w:rPr>
          <w:rtl w:val="true"/>
        </w:rPr>
        <w:t>]</w:t>
      </w:r>
      <w:bookmarkEnd w:id="159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قصد الأداء و القضاء بعد قصد العنوان الذی یتّصف بصفتی القضاء و الأداء کالظهریّة و العصریّة مثلًا و لو علیٰ نحو الإجمال، فلو نوی الإتیان بصلاة الظهر</w:t>
      </w:r>
      <w:bookmarkStart w:id="1596" w:name="pg1809_18961"/>
    </w:p>
    <w:p>
      <w:pPr>
        <w:pStyle w:val="BookText"/>
        <w:rPr/>
      </w:pPr>
      <w:bookmarkEnd w:id="1596"/>
      <w:r>
        <w:rPr>
          <w:rFonts w:ascii="IRNazanin" w:hAnsi="IRNazanin" w:eastAsia="IRNazanin"/>
          <w:color w:val="111111"/>
          <w:sz w:val="28"/>
          <w:sz w:val="28"/>
          <w:szCs w:val="28"/>
          <w:rtl w:val="true"/>
          <w:lang w:bidi="fa-IR"/>
        </w:rPr>
        <w:t>الواجبة علیه فعلًا و لم یشتغل ذمّته بالقضاء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اشتغلت ذمّته بالقضاء أیضاً لا یکفی ذلک بل لا بدّ من تعیین ما یأتی به و أنّه فرض لذلک الیوم أو غیره، و لو کان من قصده امتثال الأمر المتعلّق به فعلًا و تخیّل أنّ الوقت باقٍ و هو أمر أدائیّ فبان انقضاء الوقت و أنّه کان قضائیّاً صحّت صلاته و وقعت قضاء</w:t>
      </w:r>
      <w:r>
        <w:rPr>
          <w:rFonts w:eastAsia="IRNazanin" w:cs="IRNazanin"/>
          <w:color w:val="111111"/>
          <w:sz w:val="28"/>
          <w:szCs w:val="28"/>
          <w:rtl w:val="true"/>
          <w:lang w:bidi="fa-IR"/>
        </w:rPr>
        <w:t>.</w:t>
      </w:r>
    </w:p>
    <w:p>
      <w:pPr>
        <w:pStyle w:val="Heading5"/>
        <w:numPr>
          <w:ilvl w:val="4"/>
          <w:numId w:val="1"/>
        </w:numPr>
        <w:rPr/>
      </w:pPr>
      <w:bookmarkStart w:id="1597" w:name="__RefHeading___Toc2566442_3650668749"/>
      <w:bookmarkStart w:id="1598" w:name="_Toc730"/>
      <w:bookmarkEnd w:id="1597"/>
      <w:r>
        <w:rPr>
          <w:rtl w:val="true"/>
        </w:rPr>
        <w:t>[ (</w:t>
      </w:r>
      <w:r>
        <w:rPr>
          <w:rtl w:val="true"/>
        </w:rPr>
        <w:t xml:space="preserve">مسألة </w:t>
      </w:r>
      <w:r>
        <w:rPr/>
        <w:t>7</w:t>
      </w:r>
      <w:r>
        <w:rPr>
          <w:rtl w:val="true"/>
        </w:rPr>
        <w:t xml:space="preserve">): </w:t>
      </w:r>
      <w:r>
        <w:rPr>
          <w:rtl w:val="true"/>
        </w:rPr>
        <w:t>لا یجب نیّة القصر و الإتمام فی موضع تعیّنهما</w:t>
      </w:r>
      <w:r>
        <w:rPr>
          <w:rtl w:val="true"/>
        </w:rPr>
        <w:t>]</w:t>
      </w:r>
      <w:bookmarkEnd w:id="1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نیّة القصر و الإتمام فی موضع تعیّنهما، بل و فی أماکن التخییر أیضاً، فلو شرع فی صلاة الظهر مثلًا مع التردید و البناء علیٰ أنّه بعد التشهّد الأوّل إمّا یسلّم علی الرکعتین أو یلحق بهما الأخیرتین صحّت، بل لو عیّن </w:t>
      </w:r>
      <w:r>
        <w:rPr>
          <w:rStyle w:val="FootnoteAnchor"/>
          <w:rtl w:val="true"/>
        </w:rPr>
        <w:footnoteReference w:id="471"/>
      </w:r>
      <w:r>
        <w:rPr>
          <w:rFonts w:ascii="IRNazanin" w:hAnsi="IRNazanin" w:eastAsia="IRNazanin"/>
          <w:color w:val="111111"/>
          <w:sz w:val="28"/>
          <w:sz w:val="28"/>
          <w:szCs w:val="28"/>
          <w:rtl w:val="true"/>
          <w:lang w:bidi="fa-IR"/>
        </w:rPr>
        <w:t>أحدهما فی النیّة لم یلتزم به علی الأظهر و کان له العدول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علیه ذلک فیما لو نوی القصر فشکّ بین الاثنتین و الثلاث بعد إکمال السجدتین فإنّه یعدل إلی التمام و یعالج صلاته عن الفساد، و إن کان فی تعیّن ذلک علیه بل فی کون العلاج مجدیاً نظر و إشکال، و الأحوط العدول و العلاج ثمّ إعادة الصلاة</w:t>
      </w:r>
      <w:r>
        <w:rPr>
          <w:rFonts w:eastAsia="IRNazanin" w:cs="IRNazanin"/>
          <w:color w:val="111111"/>
          <w:sz w:val="28"/>
          <w:szCs w:val="28"/>
          <w:rtl w:val="true"/>
          <w:lang w:bidi="fa-IR"/>
        </w:rPr>
        <w:t>.</w:t>
      </w:r>
    </w:p>
    <w:p>
      <w:pPr>
        <w:pStyle w:val="Heading5"/>
        <w:numPr>
          <w:ilvl w:val="4"/>
          <w:numId w:val="1"/>
        </w:numPr>
        <w:rPr/>
      </w:pPr>
      <w:bookmarkStart w:id="1599" w:name="__RefHeading___Toc2566444_3650668749"/>
      <w:bookmarkStart w:id="1600" w:name="_Toc731"/>
      <w:bookmarkEnd w:id="1599"/>
      <w:r>
        <w:rPr>
          <w:rtl w:val="true"/>
        </w:rPr>
        <w:t>[ (</w:t>
      </w:r>
      <w:r>
        <w:rPr>
          <w:rtl w:val="true"/>
        </w:rPr>
        <w:t xml:space="preserve">مسألة </w:t>
      </w:r>
      <w:r>
        <w:rPr/>
        <w:t>8</w:t>
      </w:r>
      <w:r>
        <w:rPr>
          <w:rtl w:val="true"/>
        </w:rPr>
        <w:t xml:space="preserve">): </w:t>
      </w:r>
      <w:r>
        <w:rPr>
          <w:rtl w:val="true"/>
        </w:rPr>
        <w:t>لا یجب قصد الوجوب و الندب</w:t>
      </w:r>
      <w:r>
        <w:rPr>
          <w:rtl w:val="true"/>
        </w:rPr>
        <w:t>]</w:t>
      </w:r>
      <w:bookmarkEnd w:id="1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قصد الوجوب و الندب بل یکفی قصد القربة المطلقة و إن کان الأحوط قصدهما</w:t>
      </w:r>
      <w:r>
        <w:rPr>
          <w:rFonts w:eastAsia="IRNazanin" w:cs="IRNazanin"/>
          <w:color w:val="111111"/>
          <w:sz w:val="28"/>
          <w:szCs w:val="28"/>
          <w:rtl w:val="true"/>
          <w:lang w:bidi="fa-IR"/>
        </w:rPr>
        <w:t>.</w:t>
      </w:r>
    </w:p>
    <w:p>
      <w:pPr>
        <w:pStyle w:val="Heading5"/>
        <w:numPr>
          <w:ilvl w:val="4"/>
          <w:numId w:val="1"/>
        </w:numPr>
        <w:rPr/>
      </w:pPr>
      <w:bookmarkStart w:id="1601" w:name="__RefHeading___Toc2566446_3650668749"/>
      <w:bookmarkStart w:id="1602" w:name="_Toc732"/>
      <w:bookmarkEnd w:id="1601"/>
      <w:r>
        <w:rPr>
          <w:rtl w:val="true"/>
        </w:rPr>
        <w:t>[ (</w:t>
      </w:r>
      <w:r>
        <w:rPr>
          <w:rtl w:val="true"/>
        </w:rPr>
        <w:t xml:space="preserve">مسألة </w:t>
      </w:r>
      <w:r>
        <w:rPr/>
        <w:t>9</w:t>
      </w:r>
      <w:r>
        <w:rPr>
          <w:rtl w:val="true"/>
        </w:rPr>
        <w:t xml:space="preserve">): </w:t>
      </w:r>
      <w:r>
        <w:rPr>
          <w:rtl w:val="true"/>
        </w:rPr>
        <w:t>لا یجب حین النیّة تصوّر الصلاة تفصیلًا بل یکفی الإجمال</w:t>
      </w:r>
      <w:r>
        <w:rPr>
          <w:rtl w:val="true"/>
        </w:rPr>
        <w:t>]</w:t>
      </w:r>
      <w:bookmarkEnd w:id="1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حین النیّة تصوّر الصلاة تفصیلًا بل یکفی الإجمال</w:t>
      </w:r>
      <w:r>
        <w:rPr>
          <w:rFonts w:eastAsia="IRNazanin" w:cs="IRNazanin"/>
          <w:color w:val="111111"/>
          <w:sz w:val="28"/>
          <w:szCs w:val="28"/>
          <w:rtl w:val="true"/>
          <w:lang w:bidi="fa-IR"/>
        </w:rPr>
        <w:t>.</w:t>
      </w:r>
    </w:p>
    <w:p>
      <w:pPr>
        <w:pStyle w:val="Heading5"/>
        <w:numPr>
          <w:ilvl w:val="4"/>
          <w:numId w:val="1"/>
        </w:numPr>
        <w:rPr/>
      </w:pPr>
      <w:bookmarkStart w:id="1603" w:name="__RefHeading___Toc2566448_3650668749"/>
      <w:bookmarkStart w:id="1604" w:name="_Toc733"/>
      <w:bookmarkEnd w:id="1603"/>
      <w:r>
        <w:rPr>
          <w:rtl w:val="true"/>
        </w:rPr>
        <w:t>[ (</w:t>
      </w:r>
      <w:r>
        <w:rPr>
          <w:rtl w:val="true"/>
        </w:rPr>
        <w:t xml:space="preserve">مسألة </w:t>
      </w:r>
      <w:r>
        <w:rPr/>
        <w:t>10</w:t>
      </w:r>
      <w:r>
        <w:rPr>
          <w:rtl w:val="true"/>
        </w:rPr>
        <w:t xml:space="preserve">): </w:t>
      </w:r>
      <w:r>
        <w:rPr>
          <w:rtl w:val="true"/>
        </w:rPr>
        <w:t>لو نویٰ فی أثناء الصلاة قطعها أو الإتیان بالقاطع</w:t>
      </w:r>
      <w:r>
        <w:rPr>
          <w:rtl w:val="true"/>
        </w:rPr>
        <w:t>]</w:t>
      </w:r>
      <w:bookmarkEnd w:id="160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نویٰ فی أثناء الصلاة قطعها أو الإتیان بالقاطع </w:t>
      </w:r>
      <w:r>
        <w:rPr>
          <w:rStyle w:val="FootnoteAnchor"/>
          <w:rtl w:val="true"/>
        </w:rPr>
        <w:footnoteReference w:id="472"/>
      </w:r>
      <w:r>
        <w:rPr>
          <w:rFonts w:ascii="IRNazanin" w:hAnsi="IRNazanin" w:eastAsia="IRNazanin"/>
          <w:color w:val="111111"/>
          <w:sz w:val="28"/>
          <w:sz w:val="28"/>
          <w:szCs w:val="28"/>
          <w:rtl w:val="true"/>
          <w:lang w:bidi="fa-IR"/>
        </w:rPr>
        <w:t>فإن أتمّ صلاته علیٰ تلک الحال بطلت، و کذا لو أتی ببعض الأجزاء ثمّ عاد إلی النیّة الأُولیٰ و اکتفیٰ بما أتی به، و أمّا لو عاد إلی النیّة الأُولیٰ قبل أن یأتی بشی‌ء لم یبطل و إن کان الأحوط الإتمام ثمّ الإعادة</w:t>
      </w:r>
      <w:r>
        <w:rPr>
          <w:rFonts w:eastAsia="IRNazanin" w:cs="IRNazanin"/>
          <w:color w:val="111111"/>
          <w:sz w:val="28"/>
          <w:szCs w:val="28"/>
          <w:rtl w:val="true"/>
          <w:lang w:bidi="fa-IR"/>
        </w:rPr>
        <w:t>.</w:t>
      </w:r>
      <w:bookmarkStart w:id="1605" w:name="pg1809_18963"/>
    </w:p>
    <w:p>
      <w:pPr>
        <w:pStyle w:val="Heading5"/>
        <w:numPr>
          <w:ilvl w:val="4"/>
          <w:numId w:val="1"/>
        </w:numPr>
        <w:rPr/>
      </w:pPr>
      <w:bookmarkStart w:id="1606" w:name="__RefHeading___Toc2566450_3650668749"/>
      <w:bookmarkStart w:id="1607" w:name="_Toc734"/>
      <w:bookmarkEnd w:id="1605"/>
      <w:bookmarkEnd w:id="1606"/>
      <w:r>
        <w:rPr>
          <w:rtl w:val="true"/>
        </w:rPr>
        <w:t>[ (</w:t>
      </w:r>
      <w:r>
        <w:rPr>
          <w:rtl w:val="true"/>
        </w:rPr>
        <w:t xml:space="preserve">مسألة </w:t>
      </w:r>
      <w:r>
        <w:rPr/>
        <w:t>11</w:t>
      </w:r>
      <w:r>
        <w:rPr>
          <w:rtl w:val="true"/>
        </w:rPr>
        <w:t xml:space="preserve">): </w:t>
      </w:r>
      <w:r>
        <w:rPr>
          <w:rtl w:val="true"/>
        </w:rPr>
        <w:t>لو شکّ فیما بیده أنّه عیّنها ظهراً أو عصراً و یدری أنّه لم یأت بالظهر قبل ذلک</w:t>
      </w:r>
      <w:r>
        <w:rPr>
          <w:rtl w:val="true"/>
        </w:rPr>
        <w:t>]</w:t>
      </w:r>
      <w:bookmarkEnd w:id="1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فیما بیده أنّه عیّنها ظهراً أو عصراً و یدری أنّه لم یأت بالظهر قبل ذلک، ینویها ظهراً </w:t>
      </w:r>
      <w:r>
        <w:rPr>
          <w:rStyle w:val="FootnoteAnchor"/>
          <w:rtl w:val="true"/>
        </w:rPr>
        <w:footnoteReference w:id="473"/>
      </w:r>
      <w:r>
        <w:rPr>
          <w:rFonts w:ascii="IRNazanin" w:hAnsi="IRNazanin" w:eastAsia="IRNazanin"/>
          <w:color w:val="111111"/>
          <w:sz w:val="28"/>
          <w:sz w:val="28"/>
          <w:szCs w:val="28"/>
          <w:rtl w:val="true"/>
          <w:lang w:bidi="fa-IR"/>
        </w:rPr>
        <w:t>، و أمّا إن أتی بالظهر قبل ذلک یرفع الید عنها و یستأنف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رأی نفسه فی صلاة العصر و شکّ فی أنّه من أوّل الأمر نواها أو نوی الظهر، بنیٰ علیٰ أنّه من أوّل الأمر نواها</w:t>
      </w:r>
      <w:r>
        <w:rPr>
          <w:rFonts w:eastAsia="IRNazanin" w:cs="IRNazanin"/>
          <w:color w:val="111111"/>
          <w:sz w:val="28"/>
          <w:szCs w:val="28"/>
          <w:rtl w:val="true"/>
          <w:lang w:bidi="fa-IR"/>
        </w:rPr>
        <w:t>.</w:t>
      </w:r>
    </w:p>
    <w:p>
      <w:pPr>
        <w:pStyle w:val="Heading5"/>
        <w:numPr>
          <w:ilvl w:val="4"/>
          <w:numId w:val="1"/>
        </w:numPr>
        <w:rPr/>
      </w:pPr>
      <w:bookmarkStart w:id="1608" w:name="__RefHeading___Toc2566452_3650668749"/>
      <w:bookmarkStart w:id="1609" w:name="_Toc735"/>
      <w:bookmarkEnd w:id="1608"/>
      <w:r>
        <w:rPr>
          <w:rtl w:val="true"/>
        </w:rPr>
        <w:t>[ (</w:t>
      </w:r>
      <w:r>
        <w:rPr>
          <w:rtl w:val="true"/>
        </w:rPr>
        <w:t xml:space="preserve">مسألة </w:t>
      </w:r>
      <w:r>
        <w:rPr/>
        <w:t>12</w:t>
      </w:r>
      <w:r>
        <w:rPr>
          <w:rtl w:val="true"/>
        </w:rPr>
        <w:t xml:space="preserve">): </w:t>
      </w:r>
      <w:r>
        <w:rPr>
          <w:rtl w:val="true"/>
        </w:rPr>
        <w:t>یجوز العدول من صلاة إلیٰ أُخری فی مواضع</w:t>
      </w:r>
      <w:r>
        <w:rPr>
          <w:rtl w:val="true"/>
        </w:rPr>
        <w:t>]</w:t>
      </w:r>
      <w:bookmarkEnd w:id="1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العدول من صلاة إلیٰ أُخری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الصلاتین المؤدّاتین المرتّبتین کالظهرین و العشاءین إذا دخل فی الثانیة قبل الاولیٰ سهواً أو نسیاناً؛ فإنّه یجب أن یعدل إلیها إذا تذکّر فی الأثناء و لم یتجاوز محلّ العدول، بخلاف ما إذا تذکّر بعد الفراغ أو بعد تجاوز محلّ العدول، کما إذا دخل فی رکوع الرکعة الرابعة من العشاء فتذکّر ترک المغرب فلا عدول، بل یصحّ </w:t>
      </w:r>
      <w:r>
        <w:rPr>
          <w:rStyle w:val="FootnoteAnchor"/>
          <w:rtl w:val="true"/>
        </w:rPr>
        <w:footnoteReference w:id="474"/>
      </w:r>
      <w:r>
        <w:rPr>
          <w:rFonts w:ascii="IRNazanin" w:hAnsi="IRNazanin" w:eastAsia="IRNazanin"/>
          <w:color w:val="111111"/>
          <w:sz w:val="28"/>
          <w:sz w:val="28"/>
          <w:szCs w:val="28"/>
          <w:rtl w:val="true"/>
          <w:lang w:bidi="fa-IR"/>
        </w:rPr>
        <w:t>اللاحقة فیأتی بعد بالسابقة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بحکم الصلاتین المؤدّاتین الصلاتان المقضیّتان المرتّبتان </w:t>
      </w:r>
      <w:r>
        <w:rPr>
          <w:rStyle w:val="FootnoteAnchor"/>
          <w:rtl w:val="true"/>
        </w:rPr>
        <w:footnoteReference w:id="475"/>
      </w:r>
      <w:r>
        <w:rPr>
          <w:rFonts w:ascii="IRNazanin" w:hAnsi="IRNazanin" w:eastAsia="IRNazanin"/>
          <w:color w:val="111111"/>
          <w:sz w:val="28"/>
          <w:sz w:val="28"/>
          <w:szCs w:val="28"/>
          <w:rtl w:val="true"/>
          <w:lang w:bidi="fa-IR"/>
        </w:rPr>
        <w:t>، کما إذا فات الظهران أو العشاءان من یوم واحد فشرع فی قضائهما مقدّماً للثانیة علی الاولیٰ فتذکّر فی الأثناء عدل إلیها إذا بقی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فی الحاضرة فذکر أنّ علیه قضاء فإنّه یستحبّ </w:t>
      </w:r>
      <w:r>
        <w:rPr>
          <w:rStyle w:val="FootnoteAnchor"/>
          <w:rtl w:val="true"/>
        </w:rPr>
        <w:footnoteReference w:id="476"/>
      </w:r>
      <w:r>
        <w:rPr>
          <w:rFonts w:ascii="IRNazanin" w:hAnsi="IRNazanin" w:eastAsia="IRNazanin"/>
          <w:color w:val="111111"/>
          <w:sz w:val="28"/>
          <w:sz w:val="28"/>
          <w:szCs w:val="28"/>
          <w:rtl w:val="true"/>
          <w:lang w:bidi="fa-IR"/>
        </w:rPr>
        <w:t>أن یعدل إلیه مع بقاء المحلّ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الفریضة إلی النافلة، و ذلک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ظهر یوم الجمعة لمن نسی قراءة سورة الجمعة و قرأ سورة أُخری و بلغ النصف أو تجاوزه</w:t>
      </w:r>
      <w:r>
        <w:rPr>
          <w:rFonts w:eastAsia="IRNazanin" w:cs="IRNazanin"/>
          <w:color w:val="111111"/>
          <w:sz w:val="28"/>
          <w:szCs w:val="28"/>
          <w:rtl w:val="true"/>
          <w:lang w:bidi="fa-IR"/>
        </w:rPr>
        <w:t>.</w:t>
      </w:r>
      <w:bookmarkStart w:id="1610" w:name="pg1809_18965"/>
    </w:p>
    <w:p>
      <w:pPr>
        <w:pStyle w:val="BookText"/>
        <w:rPr/>
      </w:pPr>
      <w:bookmarkEnd w:id="1610"/>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متشاغلًا بالصلاة و أُقیمت الجماعة و خاف السبق فیجوز له العدول إلی النافلة و إتمامها رکعتین لیلحق بها</w:t>
      </w:r>
      <w:r>
        <w:rPr>
          <w:rFonts w:eastAsia="IRNazanin" w:cs="IRNazanin"/>
          <w:color w:val="111111"/>
          <w:sz w:val="28"/>
          <w:szCs w:val="28"/>
          <w:rtl w:val="true"/>
          <w:lang w:bidi="fa-IR"/>
        </w:rPr>
        <w:t>.</w:t>
      </w:r>
    </w:p>
    <w:p>
      <w:pPr>
        <w:pStyle w:val="Heading5"/>
        <w:numPr>
          <w:ilvl w:val="4"/>
          <w:numId w:val="1"/>
        </w:numPr>
        <w:rPr/>
      </w:pPr>
      <w:bookmarkStart w:id="1611" w:name="__RefHeading___Toc2566454_3650668749"/>
      <w:bookmarkStart w:id="1612" w:name="_Toc736"/>
      <w:bookmarkEnd w:id="1611"/>
      <w:r>
        <w:rPr>
          <w:rtl w:val="true"/>
        </w:rPr>
        <w:t>[ (</w:t>
      </w:r>
      <w:r>
        <w:rPr>
          <w:rtl w:val="true"/>
        </w:rPr>
        <w:t xml:space="preserve">مسألة </w:t>
      </w:r>
      <w:r>
        <w:rPr/>
        <w:t>13</w:t>
      </w:r>
      <w:r>
        <w:rPr>
          <w:rtl w:val="true"/>
        </w:rPr>
        <w:t xml:space="preserve">): </w:t>
      </w:r>
      <w:r>
        <w:rPr>
          <w:rtl w:val="true"/>
        </w:rPr>
        <w:t>لا یجوز العدول من النفل إلی الفرض</w:t>
      </w:r>
      <w:r>
        <w:rPr>
          <w:rtl w:val="true"/>
        </w:rPr>
        <w:t>]</w:t>
      </w:r>
      <w:bookmarkEnd w:id="1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العدول من النفل إلی الفرض و لا من النفل إلی النفل حتّی فیما کان منه کالفرائض فی التوقیت و السبق و اللحوق، و کذا لا یجوز العدول من الفائتة إلی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دخل فی فائتة ثمّ ذکر فی أثنائها أنّ الحاضرة قد ضاق وقتها قطعها و شرع فی الحاضرة، و لا یجوز العدول عنها إلیها، و کذا لا یجوز العدول فی الحاضرتین المرتّبتین من السابقة إلی اللاحقة، بخلاف العکس کما مرّ، فلو دخل فی الظهر بتخیّل عدم إتیانها فبان فی الأثناء إتیانها، لم یجز له العدول إلی العصر، و إذا عدل فی موضع لا یجوز العدول بطلتا معاً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3" w:name="__RefHeading___Toc2566456_3650668749"/>
      <w:bookmarkStart w:id="1614" w:name="_Toc737"/>
      <w:bookmarkEnd w:id="1613"/>
      <w:r>
        <w:rPr>
          <w:rtl w:val="true"/>
        </w:rPr>
        <w:t>[ (</w:t>
      </w:r>
      <w:r>
        <w:rPr>
          <w:rtl w:val="true"/>
        </w:rPr>
        <w:t xml:space="preserve">مسألة </w:t>
      </w:r>
      <w:r>
        <w:rPr/>
        <w:t>14</w:t>
      </w:r>
      <w:r>
        <w:rPr>
          <w:rtl w:val="true"/>
        </w:rPr>
        <w:t xml:space="preserve">): </w:t>
      </w:r>
      <w:r>
        <w:rPr>
          <w:rtl w:val="true"/>
        </w:rPr>
        <w:t>إذا دخل فی رکعتین من صلاة اللیل مثلًا بقصد الرکعتین الثانیتین فتبیّن أنّه لم یصلّ الأوّلتین</w:t>
      </w:r>
      <w:r>
        <w:rPr>
          <w:rtl w:val="true"/>
        </w:rPr>
        <w:t>]</w:t>
      </w:r>
      <w:bookmarkEnd w:id="1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فی رکعتین من صلاة اللیل مثلًا بقصد الرکعتین الثانیتین فتبیّن أنّه لم یصلّ الأوّلتین، صحّت و حسبت له الأوّلتان قهراً، و لیس هذا من باب العدول و لا یحتاج إلیه؛ حیث إنّ الأوّلیة و الثانویّة لا یعتبر فیهما القصد، بل المدار علیٰ ما هو الواقع</w:t>
      </w:r>
      <w:r>
        <w:rPr>
          <w:rFonts w:eastAsia="IRNazanin" w:cs="IRNazanin"/>
          <w:color w:val="111111"/>
          <w:sz w:val="28"/>
          <w:szCs w:val="28"/>
          <w:rtl w:val="true"/>
          <w:lang w:bidi="fa-IR"/>
        </w:rPr>
        <w:t>.</w:t>
      </w:r>
    </w:p>
    <w:p>
      <w:pPr>
        <w:pStyle w:val="Heading4"/>
        <w:numPr>
          <w:ilvl w:val="3"/>
          <w:numId w:val="1"/>
        </w:numPr>
        <w:rPr/>
      </w:pPr>
      <w:bookmarkStart w:id="1615" w:name="__RefHeading___Toc2566458_3650668749"/>
      <w:bookmarkStart w:id="1616" w:name="_Toc738"/>
      <w:bookmarkEnd w:id="1615"/>
      <w:r>
        <w:rPr>
          <w:rtl w:val="true"/>
        </w:rPr>
        <w:t>[</w:t>
      </w:r>
      <w:r>
        <w:rPr>
          <w:rtl w:val="true"/>
        </w:rPr>
        <w:t>القول فی تکبیرة الإحرام</w:t>
      </w:r>
      <w:r>
        <w:rPr>
          <w:rtl w:val="true"/>
        </w:rPr>
        <w:t>]</w:t>
      </w:r>
      <w:bookmarkEnd w:id="1616"/>
    </w:p>
    <w:p>
      <w:pPr>
        <w:pStyle w:val="Heading5"/>
        <w:numPr>
          <w:ilvl w:val="4"/>
          <w:numId w:val="1"/>
        </w:numPr>
        <w:rPr/>
      </w:pPr>
      <w:bookmarkStart w:id="1617" w:name="__RefHeading___Toc2566460_3650668749"/>
      <w:bookmarkStart w:id="1618" w:name="_Toc739"/>
      <w:bookmarkEnd w:id="1617"/>
      <w:r>
        <w:rPr>
          <w:rtl w:val="true"/>
        </w:rPr>
        <w:t>اشارة</w:t>
      </w:r>
      <w:bookmarkEnd w:id="161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فی تکبیرة الإحرام و تسمّی تکبیرة الافتتاح أیضاً، و صورتها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تغییر، و لا یجزی مرادفها من العربیّة و لا ترجمتها بغیر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رکن کما عرفت تبطل الصلاة بنقصانها عمداً و سهواً و کذا بزیادتها، فإذا کبّر للافتتاح ثمّ زاد ثانیة للافتتاح أیضاً عمداً أو سهواً بطلت الصلاة و احتاج إلیٰ ثالثة فإن أبطلها برابعة احتاج إلیٰ خامسة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فیها القیام التامّ فلو ترکه عمداً أو سهواً بطلت، بل لا بدّ من تقدیمه علیها مقدّمة، من غیر فرق فی ذلک بین المأموم الذی أدرک الإمام راکعاً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ینبغی التربّص فی الجملة حتّی یعلم وقوع التکبیر تامّاً قائماً، و الأحوط کون الاستقرار فی القیام کالقیام فی البطلان بترکه حال التکبیر عمداً و سهواً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bookmarkStart w:id="1619" w:name="pg1809_18967"/>
    </w:p>
    <w:p>
      <w:pPr>
        <w:pStyle w:val="Heading5"/>
        <w:numPr>
          <w:ilvl w:val="4"/>
          <w:numId w:val="1"/>
        </w:numPr>
        <w:rPr/>
      </w:pPr>
      <w:bookmarkStart w:id="1620" w:name="__RefHeading___Toc2566462_3650668749"/>
      <w:bookmarkStart w:id="1621" w:name="_Toc740"/>
      <w:bookmarkEnd w:id="1619"/>
      <w:bookmarkEnd w:id="1620"/>
      <w:r>
        <w:rPr>
          <w:rtl w:val="true"/>
        </w:rPr>
        <w:t>[ (</w:t>
      </w:r>
      <w:r>
        <w:rPr>
          <w:rtl w:val="true"/>
        </w:rPr>
        <w:t xml:space="preserve">مسألة </w:t>
      </w:r>
      <w:r>
        <w:rPr/>
        <w:t>1</w:t>
      </w:r>
      <w:r>
        <w:rPr>
          <w:rtl w:val="true"/>
        </w:rPr>
        <w:t xml:space="preserve">): </w:t>
      </w:r>
      <w:r>
        <w:rPr>
          <w:rtl w:val="true"/>
        </w:rPr>
        <w:t>الظاهر جواز وصلها بما قبلها من الدعاء</w:t>
      </w:r>
      <w:r>
        <w:rPr>
          <w:rtl w:val="true"/>
        </w:rPr>
        <w:t>]</w:t>
      </w:r>
      <w:bookmarkEnd w:id="1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جواز وصلها </w:t>
      </w:r>
      <w:r>
        <w:rPr>
          <w:rStyle w:val="FootnoteAnchor"/>
          <w:rtl w:val="true"/>
        </w:rPr>
        <w:footnoteReference w:id="479"/>
      </w:r>
      <w:r>
        <w:rPr>
          <w:rFonts w:ascii="IRNazanin" w:hAnsi="IRNazanin" w:eastAsia="IRNazanin"/>
          <w:color w:val="111111"/>
          <w:sz w:val="28"/>
          <w:sz w:val="28"/>
          <w:szCs w:val="28"/>
          <w:rtl w:val="true"/>
          <w:lang w:bidi="fa-IR"/>
        </w:rPr>
        <w:t xml:space="preserve">بما قبلها من الدعاء فیحذف الهمزة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وصلها بما بعدها من الاستعاذة أو البسملة، فیظهر إعراب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الأحوط عدم الوصل خصوصاً فی الأوّل، کما أنّ الأحوط تفخیم اللام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الأقویٰ جواز ترکه</w:t>
      </w:r>
      <w:r>
        <w:rPr>
          <w:rFonts w:eastAsia="IRNazanin" w:cs="IRNazanin"/>
          <w:color w:val="111111"/>
          <w:sz w:val="28"/>
          <w:szCs w:val="28"/>
          <w:rtl w:val="true"/>
          <w:lang w:bidi="fa-IR"/>
        </w:rPr>
        <w:t>.</w:t>
      </w:r>
    </w:p>
    <w:p>
      <w:pPr>
        <w:pStyle w:val="Heading5"/>
        <w:numPr>
          <w:ilvl w:val="4"/>
          <w:numId w:val="1"/>
        </w:numPr>
        <w:rPr/>
      </w:pPr>
      <w:bookmarkStart w:id="1622" w:name="__RefHeading___Toc2566464_3650668749"/>
      <w:bookmarkStart w:id="1623" w:name="_Toc741"/>
      <w:bookmarkEnd w:id="1622"/>
      <w:r>
        <w:rPr>
          <w:rtl w:val="true"/>
        </w:rPr>
        <w:t>[ (</w:t>
      </w:r>
      <w:r>
        <w:rPr>
          <w:rtl w:val="true"/>
        </w:rPr>
        <w:t xml:space="preserve">مسألة </w:t>
      </w:r>
      <w:r>
        <w:rPr/>
        <w:t>2</w:t>
      </w:r>
      <w:r>
        <w:rPr>
          <w:rtl w:val="true"/>
        </w:rPr>
        <w:t xml:space="preserve">): </w:t>
      </w:r>
      <w:r>
        <w:rPr>
          <w:rtl w:val="true"/>
        </w:rPr>
        <w:t>یستحبّ زیادة ستّ تکبیرات علیٰ تکبیرة الإحرام قبلها أو بعدها أو بالتوزیع</w:t>
      </w:r>
      <w:r>
        <w:rPr>
          <w:rtl w:val="true"/>
        </w:rPr>
        <w:t>]</w:t>
      </w:r>
      <w:bookmarkEnd w:id="1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زیادة ستّ تکبیرات علیٰ تکبیرة الإحرام قبلها أو بعدها أو بالتوزیع، و الأحوط الأوّل، فیجعل الافتتاح الأخیرة، و الأفضل أن یأتی بالثلاث ولاءً 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الملک الحقّ لا إله إلّا أنت سبحانک إنّی ظلمت نفسی فاغفر لی ذنبی، إنّه لا یغفر الذنوب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یأتی باثنتین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لبّیک و سعدیک و الخیر فی یدیک و الشرّ لیس إلیک و المهدیّ من هدیت، لا ملجأ منک إلّا إلیک، سُبحانک و حنانیک، تبارکت و تعالیت، سبحانک ربّ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یأتی باثنتین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وَجْهِیَ لِلَّذِی فَطَرَ السَّمٰاوٰاتِ وَ الْأَرْضَ عالم الغیب و الشهادة حَنِیفاً مسلماً وَ مٰا أَنَا مِنَ الْمُشْرِکِینَ، إِنَّ صَلٰاتِی وَ نُسُکِی وَ مَحْیٰایَ وَ مَمٰاتِی لِلّٰهِ رَبِّ الْعٰالَمِینَ لٰا شَرِیکَ لَهُ وَ بِذٰلِکَ أُمِرْتُ و أنا من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یشرع فی الاستعاذة و سورة الحمد</w:t>
      </w:r>
      <w:r>
        <w:rPr>
          <w:rFonts w:eastAsia="Amiri" w:cs="Amiri" w:ascii="Amiri" w:hAnsi="Amiri"/>
          <w:color w:val="111111"/>
          <w:sz w:val="28"/>
          <w:szCs w:val="28"/>
          <w:rtl w:val="true"/>
          <w:lang w:bidi="ar-SA"/>
        </w:rPr>
        <w:t>.</w:t>
      </w:r>
    </w:p>
    <w:p>
      <w:pPr>
        <w:pStyle w:val="Heading5"/>
        <w:numPr>
          <w:ilvl w:val="4"/>
          <w:numId w:val="1"/>
        </w:numPr>
        <w:rPr/>
      </w:pPr>
      <w:bookmarkStart w:id="1624" w:name="__RefHeading___Toc2566466_3650668749"/>
      <w:bookmarkStart w:id="1625" w:name="_Toc742"/>
      <w:bookmarkEnd w:id="1624"/>
      <w:r>
        <w:rPr>
          <w:rtl w:val="true"/>
        </w:rPr>
        <w:t>[ (</w:t>
      </w:r>
      <w:r>
        <w:rPr>
          <w:rtl w:val="true"/>
        </w:rPr>
        <w:t xml:space="preserve">مسألة </w:t>
      </w:r>
      <w:r>
        <w:rPr/>
        <w:t>3</w:t>
      </w:r>
      <w:r>
        <w:rPr>
          <w:rtl w:val="true"/>
        </w:rPr>
        <w:t xml:space="preserve">): </w:t>
      </w:r>
      <w:r>
        <w:rPr>
          <w:rtl w:val="true"/>
        </w:rPr>
        <w:t>یستحبّ للإمام الجهر بتکبیرة الإحرام</w:t>
      </w:r>
      <w:r>
        <w:rPr>
          <w:rtl w:val="true"/>
        </w:rPr>
        <w:t>]</w:t>
      </w:r>
      <w:bookmarkEnd w:id="1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للإمام الجهر بتکبیرة الإحرام بحیث یسمع من خلفه و الإسرار بالستّ الباقیة</w:t>
      </w:r>
      <w:r>
        <w:rPr>
          <w:rFonts w:eastAsia="IRNazanin" w:cs="IRNazanin"/>
          <w:color w:val="111111"/>
          <w:sz w:val="28"/>
          <w:szCs w:val="28"/>
          <w:rtl w:val="true"/>
          <w:lang w:bidi="fa-IR"/>
        </w:rPr>
        <w:t>.</w:t>
      </w:r>
    </w:p>
    <w:p>
      <w:pPr>
        <w:pStyle w:val="Heading5"/>
        <w:numPr>
          <w:ilvl w:val="4"/>
          <w:numId w:val="1"/>
        </w:numPr>
        <w:rPr/>
      </w:pPr>
      <w:bookmarkStart w:id="1626" w:name="__RefHeading___Toc2566468_3650668749"/>
      <w:bookmarkStart w:id="1627" w:name="_Toc743"/>
      <w:bookmarkEnd w:id="1626"/>
      <w:r>
        <w:rPr>
          <w:rtl w:val="true"/>
        </w:rPr>
        <w:t>[ (</w:t>
      </w:r>
      <w:r>
        <w:rPr>
          <w:rtl w:val="true"/>
        </w:rPr>
        <w:t xml:space="preserve">مسألة </w:t>
      </w:r>
      <w:r>
        <w:rPr/>
        <w:t>4</w:t>
      </w:r>
      <w:r>
        <w:rPr>
          <w:rtl w:val="true"/>
        </w:rPr>
        <w:t xml:space="preserve">): </w:t>
      </w:r>
      <w:r>
        <w:rPr>
          <w:rtl w:val="true"/>
        </w:rPr>
        <w:t>یستحبّ رفع الیدین عند التکبیر إلی الأُذنین أو إلیٰ حیال وجهه مبتدئاً بالتکبیر</w:t>
      </w:r>
      <w:r>
        <w:rPr>
          <w:rtl w:val="true"/>
        </w:rPr>
        <w:t>]</w:t>
      </w:r>
      <w:bookmarkEnd w:id="1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رفع الیدین عند التکبیر إلی الأُذنین أو إلیٰ حیال وجهه مبتدئاً بالتکبیر بابتداء الرفع و منتهیاً بانتهائه، و الأولی أن لا یتجاوز الأُذنین و أن یضمّ أصابع الکفّین و یستقبل بباطنهما القبلة</w:t>
      </w:r>
      <w:r>
        <w:rPr>
          <w:rFonts w:eastAsia="IRNazanin" w:cs="IRNazanin"/>
          <w:color w:val="111111"/>
          <w:sz w:val="28"/>
          <w:szCs w:val="28"/>
          <w:rtl w:val="true"/>
          <w:lang w:bidi="fa-IR"/>
        </w:rPr>
        <w:t>.</w:t>
      </w:r>
    </w:p>
    <w:p>
      <w:pPr>
        <w:pStyle w:val="Heading5"/>
        <w:numPr>
          <w:ilvl w:val="4"/>
          <w:numId w:val="1"/>
        </w:numPr>
        <w:rPr/>
      </w:pPr>
      <w:bookmarkStart w:id="1628" w:name="__RefHeading___Toc2566470_3650668749"/>
      <w:bookmarkStart w:id="1629" w:name="_Toc744"/>
      <w:bookmarkEnd w:id="1628"/>
      <w:r>
        <w:rPr>
          <w:rtl w:val="true"/>
        </w:rPr>
        <w:t>[ (</w:t>
      </w:r>
      <w:r>
        <w:rPr>
          <w:rtl w:val="true"/>
        </w:rPr>
        <w:t xml:space="preserve">مسألة </w:t>
      </w:r>
      <w:r>
        <w:rPr/>
        <w:t>5</w:t>
      </w:r>
      <w:r>
        <w:rPr>
          <w:rtl w:val="true"/>
        </w:rPr>
        <w:t xml:space="preserve">): </w:t>
      </w:r>
      <w:r>
        <w:rPr>
          <w:rtl w:val="true"/>
        </w:rPr>
        <w:t>إذا کبّر ثمّ شکّ فی کونه تکبیرة الإحرام أو الرکوع</w:t>
      </w:r>
      <w:r>
        <w:rPr>
          <w:rtl w:val="true"/>
        </w:rPr>
        <w:t>]</w:t>
      </w:r>
      <w:bookmarkEnd w:id="1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کبّر ثمّ شکّ </w:t>
      </w:r>
      <w:r>
        <w:rPr>
          <w:rStyle w:val="FootnoteAnchor"/>
          <w:rtl w:val="true"/>
        </w:rPr>
        <w:footnoteReference w:id="480"/>
      </w:r>
      <w:r>
        <w:rPr>
          <w:rFonts w:ascii="IRNazanin" w:hAnsi="IRNazanin" w:eastAsia="IRNazanin"/>
          <w:color w:val="111111"/>
          <w:sz w:val="28"/>
          <w:sz w:val="28"/>
          <w:szCs w:val="28"/>
          <w:rtl w:val="true"/>
          <w:lang w:bidi="fa-IR"/>
        </w:rPr>
        <w:t>فی کونه تکبیرة الإحرام أو الرکوع بنیٰ علی الأوّل</w:t>
      </w:r>
      <w:r>
        <w:rPr>
          <w:rFonts w:eastAsia="IRNazanin" w:cs="IRNazanin"/>
          <w:color w:val="111111"/>
          <w:sz w:val="28"/>
          <w:szCs w:val="28"/>
          <w:rtl w:val="true"/>
          <w:lang w:bidi="fa-IR"/>
        </w:rPr>
        <w:t>.</w:t>
      </w:r>
    </w:p>
    <w:p>
      <w:pPr>
        <w:pStyle w:val="Heading4"/>
        <w:numPr>
          <w:ilvl w:val="3"/>
          <w:numId w:val="1"/>
        </w:numPr>
        <w:rPr/>
      </w:pPr>
      <w:bookmarkStart w:id="1630" w:name="__RefHeading___Toc2566472_3650668749"/>
      <w:bookmarkStart w:id="1631" w:name="_Toc745"/>
      <w:bookmarkEnd w:id="1630"/>
      <w:r>
        <w:rPr>
          <w:rtl w:val="true"/>
        </w:rPr>
        <w:t>[</w:t>
      </w:r>
      <w:r>
        <w:rPr>
          <w:rtl w:val="true"/>
        </w:rPr>
        <w:t>القول فی القیام</w:t>
      </w:r>
      <w:r>
        <w:rPr>
          <w:rtl w:val="true"/>
        </w:rPr>
        <w:t>]</w:t>
      </w:r>
      <w:bookmarkEnd w:id="1631"/>
    </w:p>
    <w:p>
      <w:pPr>
        <w:pStyle w:val="Heading5"/>
        <w:numPr>
          <w:ilvl w:val="4"/>
          <w:numId w:val="1"/>
        </w:numPr>
        <w:rPr/>
      </w:pPr>
      <w:bookmarkStart w:id="1632" w:name="__RefHeading___Toc2566474_3650668749"/>
      <w:bookmarkStart w:id="1633" w:name="_Toc746"/>
      <w:bookmarkEnd w:id="1632"/>
      <w:r>
        <w:rPr>
          <w:rtl w:val="true"/>
        </w:rPr>
        <w:t>اشارة</w:t>
      </w:r>
      <w:bookmarkEnd w:id="1633"/>
    </w:p>
    <w:p>
      <w:pPr>
        <w:pStyle w:val="BookText"/>
        <w:rPr/>
      </w:pPr>
      <w:r>
        <w:rPr>
          <w:rFonts w:ascii="IRNazanin" w:hAnsi="IRNazanin" w:eastAsia="IRNazanin"/>
          <w:color w:val="111111"/>
          <w:sz w:val="28"/>
          <w:sz w:val="28"/>
          <w:szCs w:val="28"/>
          <w:rtl w:val="true"/>
          <w:lang w:bidi="fa-IR"/>
        </w:rPr>
        <w:t>القول فی القیام</w:t>
      </w:r>
    </w:p>
    <w:p>
      <w:pPr>
        <w:pStyle w:val="Heading5"/>
        <w:numPr>
          <w:ilvl w:val="4"/>
          <w:numId w:val="1"/>
        </w:numPr>
        <w:rPr/>
      </w:pPr>
      <w:bookmarkStart w:id="1634" w:name="__RefHeading___Toc2566476_3650668749"/>
      <w:bookmarkStart w:id="1635" w:name="_Toc747"/>
      <w:bookmarkEnd w:id="1634"/>
      <w:r>
        <w:rPr>
          <w:rtl w:val="true"/>
        </w:rPr>
        <w:t>[ (</w:t>
      </w:r>
      <w:r>
        <w:rPr>
          <w:rtl w:val="true"/>
        </w:rPr>
        <w:t xml:space="preserve">مسألة </w:t>
      </w:r>
      <w:r>
        <w:rPr/>
        <w:t>1</w:t>
      </w:r>
      <w:r>
        <w:rPr>
          <w:rtl w:val="true"/>
        </w:rPr>
        <w:t xml:space="preserve">): </w:t>
      </w:r>
      <w:r>
        <w:rPr>
          <w:rtl w:val="true"/>
        </w:rPr>
        <w:t>القیام رکن فی تکبیرة الإحرام التی تقارنها النیّة</w:t>
      </w:r>
      <w:r>
        <w:rPr>
          <w:rtl w:val="true"/>
        </w:rPr>
        <w:t>]</w:t>
      </w:r>
      <w:bookmarkEnd w:id="163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رکن فی تکبیرة الإحرام التی تقارنها النیّة، و فی الرکوع، و هو الذی یقع الرکوع عنه، و هو المعبّر عنه بالقیام المتّصل بالرکوع؛ فمن أخلّ به فی هاتین</w:t>
      </w:r>
      <w:bookmarkStart w:id="1636" w:name="pg1809_18969"/>
    </w:p>
    <w:p>
      <w:pPr>
        <w:pStyle w:val="BookText"/>
        <w:rPr/>
      </w:pPr>
      <w:bookmarkEnd w:id="1636"/>
      <w:r>
        <w:rPr>
          <w:rFonts w:ascii="IRNazanin" w:hAnsi="IRNazanin" w:eastAsia="IRNazanin"/>
          <w:color w:val="111111"/>
          <w:sz w:val="28"/>
          <w:sz w:val="28"/>
          <w:szCs w:val="28"/>
          <w:rtl w:val="true"/>
          <w:lang w:bidi="fa-IR"/>
        </w:rPr>
        <w:t>الصورتین عمداً أو سهواً بأن کبّر للافتتاح و هو جالس أو سها و صلّی رکعة تامّة من جلوس أو ذکر حال الرکوع و قام منحنیاً برکوعه أو ذکر قبل تمام الرکوع و قام متقوّساً و غیر منتصب و لو ساهیاً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القیام فی غیر هاتین الصورتین واجب لیس برکن لا تبطل الصلاة بنقصانه إلّا عن عمد دون السهو کالقیام حال القراءة، فمن سها و قرأ جالساً ثمّ ذکر و قام فصلاته صحیحة، و کذا الزیادة کما لو قام ساهیاً فی محلّ القعود</w:t>
      </w:r>
      <w:r>
        <w:rPr>
          <w:rFonts w:eastAsia="IRNazanin" w:cs="IRNazanin"/>
          <w:color w:val="111111"/>
          <w:sz w:val="28"/>
          <w:szCs w:val="28"/>
          <w:rtl w:val="true"/>
          <w:lang w:bidi="fa-IR"/>
        </w:rPr>
        <w:t>.</w:t>
      </w:r>
    </w:p>
    <w:p>
      <w:pPr>
        <w:pStyle w:val="Heading5"/>
        <w:numPr>
          <w:ilvl w:val="4"/>
          <w:numId w:val="1"/>
        </w:numPr>
        <w:rPr/>
      </w:pPr>
      <w:bookmarkStart w:id="1637" w:name="__RefHeading___Toc2566478_3650668749"/>
      <w:bookmarkStart w:id="1638" w:name="_Toc748"/>
      <w:bookmarkEnd w:id="1637"/>
      <w:r>
        <w:rPr>
          <w:rtl w:val="true"/>
        </w:rPr>
        <w:t>[ (</w:t>
      </w:r>
      <w:r>
        <w:rPr>
          <w:rtl w:val="true"/>
        </w:rPr>
        <w:t xml:space="preserve">مسألة </w:t>
      </w:r>
      <w:r>
        <w:rPr/>
        <w:t>2</w:t>
      </w:r>
      <w:r>
        <w:rPr>
          <w:rtl w:val="true"/>
        </w:rPr>
        <w:t xml:space="preserve">): </w:t>
      </w:r>
      <w:r>
        <w:rPr>
          <w:rtl w:val="true"/>
        </w:rPr>
        <w:t>یجب مع الإمکان الاعتدال فی القیام و الانتصاب بحسب حال المصلّی</w:t>
      </w:r>
      <w:r>
        <w:rPr>
          <w:rtl w:val="true"/>
        </w:rPr>
        <w:t>]</w:t>
      </w:r>
      <w:bookmarkEnd w:id="1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مع الإمکان الاعتدال فی القیام و الانتصاب بحسب حال المصلّی، فلو انحنیٰ أو مال إلیٰ أحد الجانبین بطل، بل الأحوط الأولیٰ نصب العنق، و إن کان الأقویٰ جواز إطراق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الاستناد إلیٰ شی‌ء حال القیام مع الاختیار، نعم لا بأس به مع الاضطرار، فیستند حینئذٍ علیٰ إنسان أو جدار أو خشبة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القعود مستقلا مع التمکّن من القیام مستنداً</w:t>
      </w:r>
      <w:r>
        <w:rPr>
          <w:rFonts w:eastAsia="IRNazanin" w:cs="IRNazanin"/>
          <w:color w:val="111111"/>
          <w:sz w:val="28"/>
          <w:szCs w:val="28"/>
          <w:rtl w:val="true"/>
          <w:lang w:bidi="fa-IR"/>
        </w:rPr>
        <w:t>.</w:t>
      </w:r>
    </w:p>
    <w:p>
      <w:pPr>
        <w:pStyle w:val="Heading5"/>
        <w:numPr>
          <w:ilvl w:val="4"/>
          <w:numId w:val="1"/>
        </w:numPr>
        <w:rPr/>
      </w:pPr>
      <w:bookmarkStart w:id="1639" w:name="__RefHeading___Toc2566480_3650668749"/>
      <w:bookmarkStart w:id="1640" w:name="_Toc749"/>
      <w:bookmarkEnd w:id="1639"/>
      <w:r>
        <w:rPr>
          <w:rtl w:val="true"/>
        </w:rPr>
        <w:t>[ (</w:t>
      </w:r>
      <w:r>
        <w:rPr>
          <w:rtl w:val="true"/>
        </w:rPr>
        <w:t xml:space="preserve">مسألة </w:t>
      </w:r>
      <w:r>
        <w:rPr/>
        <w:t>3</w:t>
      </w:r>
      <w:r>
        <w:rPr>
          <w:rtl w:val="true"/>
        </w:rPr>
        <w:t xml:space="preserve">): </w:t>
      </w:r>
      <w:r>
        <w:rPr>
          <w:rtl w:val="true"/>
        </w:rPr>
        <w:t>یعتبر فی القیام عدم التفریج الفاحش بین الرجلین</w:t>
      </w:r>
      <w:r>
        <w:rPr>
          <w:rtl w:val="true"/>
        </w:rPr>
        <w:t>]</w:t>
      </w:r>
      <w:bookmarkEnd w:id="1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القیام عدم التفریج الفاحش بین الرجلین بحیث یخرج عن صدق القیام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1" w:name="__RefHeading___Toc2566482_3650668749"/>
      <w:bookmarkStart w:id="1642" w:name="_Toc750"/>
      <w:bookmarkEnd w:id="1641"/>
      <w:r>
        <w:rPr>
          <w:rtl w:val="true"/>
        </w:rPr>
        <w:t>[ (</w:t>
      </w:r>
      <w:r>
        <w:rPr>
          <w:rtl w:val="true"/>
        </w:rPr>
        <w:t xml:space="preserve">مسألة </w:t>
      </w:r>
      <w:r>
        <w:rPr/>
        <w:t>4</w:t>
      </w:r>
      <w:r>
        <w:rPr>
          <w:rtl w:val="true"/>
        </w:rPr>
        <w:t xml:space="preserve">): </w:t>
      </w:r>
      <w:r>
        <w:rPr>
          <w:rtl w:val="true"/>
        </w:rPr>
        <w:t>لا یجب التسویة بین الرجلین فی الاعتماد</w:t>
      </w:r>
      <w:r>
        <w:rPr>
          <w:rtl w:val="true"/>
        </w:rPr>
        <w:t>]</w:t>
      </w:r>
      <w:bookmarkEnd w:id="16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التسویة بین الرجلین فی 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الأحوط الوقوف علی القدمین </w:t>
      </w:r>
      <w:r>
        <w:rPr>
          <w:rStyle w:val="FootnoteAnchor"/>
          <w:rtl w:val="true"/>
        </w:rPr>
        <w:footnoteReference w:id="482"/>
      </w:r>
      <w:r>
        <w:rPr>
          <w:rFonts w:ascii="IRNazanin" w:hAnsi="IRNazanin" w:eastAsia="IRNazanin"/>
          <w:color w:val="111111"/>
          <w:sz w:val="28"/>
          <w:sz w:val="28"/>
          <w:szCs w:val="28"/>
          <w:rtl w:val="true"/>
          <w:lang w:bidi="fa-IR"/>
        </w:rPr>
        <w:t>لا علیٰ قدم واحدة و لا علی الأصابع و لا علیٰ أصل القدمین</w:t>
      </w:r>
      <w:r>
        <w:rPr>
          <w:rFonts w:eastAsia="IRNazanin" w:cs="IRNazanin"/>
          <w:color w:val="111111"/>
          <w:sz w:val="28"/>
          <w:szCs w:val="28"/>
          <w:rtl w:val="true"/>
          <w:lang w:bidi="fa-IR"/>
        </w:rPr>
        <w:t>.</w:t>
      </w:r>
    </w:p>
    <w:p>
      <w:pPr>
        <w:pStyle w:val="Heading5"/>
        <w:numPr>
          <w:ilvl w:val="4"/>
          <w:numId w:val="1"/>
        </w:numPr>
        <w:rPr/>
      </w:pPr>
      <w:bookmarkStart w:id="1643" w:name="__RefHeading___Toc2566484_3650668749"/>
      <w:bookmarkStart w:id="1644" w:name="_Toc751"/>
      <w:bookmarkEnd w:id="1643"/>
      <w:r>
        <w:rPr>
          <w:rtl w:val="true"/>
        </w:rPr>
        <w:t>[ (</w:t>
      </w:r>
      <w:r>
        <w:rPr>
          <w:rtl w:val="true"/>
        </w:rPr>
        <w:t xml:space="preserve">مسألة </w:t>
      </w:r>
      <w:r>
        <w:rPr/>
        <w:t>5</w:t>
      </w:r>
      <w:r>
        <w:rPr>
          <w:rtl w:val="true"/>
        </w:rPr>
        <w:t xml:space="preserve">): </w:t>
      </w:r>
      <w:r>
        <w:rPr>
          <w:rtl w:val="true"/>
        </w:rPr>
        <w:t>إذا لم یقدر علی القیام أصلًا و لو مستنداً أو منحنیاً أو متفرّجاً</w:t>
      </w:r>
      <w:r>
        <w:rPr>
          <w:rtl w:val="true"/>
        </w:rPr>
        <w:t>]</w:t>
      </w:r>
      <w:bookmarkEnd w:id="16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یقدر علی القیام أصلًا و لو مستنداً أو منحنیاً أو متفرّجاً، و بالجملة لم یقدر علیٰ جمیع أنواع القیام حتّی الاضطراری منه بجمیع أنحائه، صلّیٰ من جلوس، و کان الانتصاب جالساً کالانتصاب قائماً، فلا یجوز فیه الاستناد و التمایل مع التمکّن من الاستقلال و الانتصاب، و یجوز مع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تعذّر الجلوس أصلًا صلّیٰ مضطجعاً علی الجانب الأیمن کالمدفون، فإن تعذّر منه فعلی الأیسر عکس الأوّل، فإن تعذّر صلّیٰ مستلقیاً کالمحتضر</w:t>
      </w:r>
      <w:r>
        <w:rPr>
          <w:rFonts w:eastAsia="IRNazanin" w:cs="IRNazanin"/>
          <w:color w:val="111111"/>
          <w:sz w:val="28"/>
          <w:szCs w:val="28"/>
          <w:rtl w:val="true"/>
          <w:lang w:bidi="fa-IR"/>
        </w:rPr>
        <w:t>.</w:t>
      </w:r>
    </w:p>
    <w:p>
      <w:pPr>
        <w:pStyle w:val="Heading5"/>
        <w:numPr>
          <w:ilvl w:val="4"/>
          <w:numId w:val="1"/>
        </w:numPr>
        <w:rPr/>
      </w:pPr>
      <w:bookmarkStart w:id="1645" w:name="__RefHeading___Toc2566486_3650668749"/>
      <w:bookmarkStart w:id="1646" w:name="_Toc752"/>
      <w:bookmarkEnd w:id="1645"/>
      <w:r>
        <w:rPr>
          <w:rtl w:val="true"/>
        </w:rPr>
        <w:t>[ (</w:t>
      </w:r>
      <w:r>
        <w:rPr>
          <w:rtl w:val="true"/>
        </w:rPr>
        <w:t xml:space="preserve">مسألة </w:t>
      </w:r>
      <w:r>
        <w:rPr/>
        <w:t>6</w:t>
      </w:r>
      <w:r>
        <w:rPr>
          <w:rtl w:val="true"/>
        </w:rPr>
        <w:t xml:space="preserve">): </w:t>
      </w:r>
      <w:r>
        <w:rPr>
          <w:rtl w:val="true"/>
        </w:rPr>
        <w:t>إذا تمکّن من القیام و لم یتمکّن من الرکوع قائماً</w:t>
      </w:r>
      <w:r>
        <w:rPr>
          <w:rtl w:val="true"/>
        </w:rPr>
        <w:t>]</w:t>
      </w:r>
      <w:bookmarkEnd w:id="164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تمکّن من القیام و لم یتمکّن من الرکوع قائماً صلّیٰ قائماً ثمّ جلس و رکع جالساً، و إن لم یتمکّن من الرکوع و السجود أصلًا </w:t>
      </w:r>
      <w:r>
        <w:rPr>
          <w:rStyle w:val="FootnoteAnchor"/>
          <w:rtl w:val="true"/>
        </w:rPr>
        <w:footnoteReference w:id="483"/>
      </w:r>
      <w:r>
        <w:rPr>
          <w:rFonts w:ascii="Amiri" w:hAnsi="Amiri" w:eastAsia="Amiri" w:cs="Amiri"/>
          <w:color w:val="111111"/>
          <w:sz w:val="28"/>
          <w:sz w:val="28"/>
          <w:szCs w:val="28"/>
          <w:rtl w:val="true"/>
          <w:lang w:bidi="ar-SA"/>
        </w:rPr>
        <w:t>حتّی جالساً صلّیٰ قائماً و أومأ</w:t>
      </w:r>
      <w:bookmarkStart w:id="1647" w:name="pg1809_18971"/>
    </w:p>
    <w:p>
      <w:pPr>
        <w:pStyle w:val="BookText"/>
        <w:rPr/>
      </w:pPr>
      <w:bookmarkEnd w:id="1647"/>
      <w:r>
        <w:rPr>
          <w:rFonts w:ascii="IRNazanin" w:hAnsi="IRNazanin" w:eastAsia="IRNazanin"/>
          <w:color w:val="111111"/>
          <w:sz w:val="28"/>
          <w:sz w:val="28"/>
          <w:szCs w:val="28"/>
          <w:rtl w:val="true"/>
          <w:lang w:bidi="fa-IR"/>
        </w:rPr>
        <w:t>للرکوع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فیما إذا تمکّن من الجلوس أن یکون إیماؤه للسجود جالساً، بل الأحوط وضع ما یصحّ السجود علیه علیٰ جبهته إن أمکن</w:t>
      </w:r>
      <w:r>
        <w:rPr>
          <w:rFonts w:eastAsia="IRNazanin" w:cs="IRNazanin"/>
          <w:color w:val="111111"/>
          <w:sz w:val="28"/>
          <w:szCs w:val="28"/>
          <w:rtl w:val="true"/>
          <w:lang w:bidi="fa-IR"/>
        </w:rPr>
        <w:t>.</w:t>
      </w:r>
    </w:p>
    <w:p>
      <w:pPr>
        <w:pStyle w:val="Heading5"/>
        <w:numPr>
          <w:ilvl w:val="4"/>
          <w:numId w:val="1"/>
        </w:numPr>
        <w:rPr/>
      </w:pPr>
      <w:bookmarkStart w:id="1648" w:name="__RefHeading___Toc2566488_3650668749"/>
      <w:bookmarkStart w:id="1649" w:name="_Toc753"/>
      <w:bookmarkEnd w:id="1648"/>
      <w:r>
        <w:rPr>
          <w:rtl w:val="true"/>
        </w:rPr>
        <w:t>[ (</w:t>
      </w:r>
      <w:r>
        <w:rPr>
          <w:rtl w:val="true"/>
        </w:rPr>
        <w:t xml:space="preserve">مسألة </w:t>
      </w:r>
      <w:r>
        <w:rPr/>
        <w:t>7</w:t>
      </w:r>
      <w:r>
        <w:rPr>
          <w:rtl w:val="true"/>
        </w:rPr>
        <w:t xml:space="preserve">): </w:t>
      </w:r>
      <w:r>
        <w:rPr>
          <w:rtl w:val="true"/>
        </w:rPr>
        <w:t>إذا قدر علی القیام فی بعض الرکعات دون الجمیع</w:t>
      </w:r>
      <w:r>
        <w:rPr>
          <w:rtl w:val="true"/>
        </w:rPr>
        <w:t>]</w:t>
      </w:r>
      <w:bookmarkEnd w:id="16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 علی القیام فی بعض الرکعات دون الجمیع وجب أن یقوم إلیٰ أن یحسّ من نفسه العجز فیجلس، ثمّ إذا أحسّ من نفسه القدرة علی القیام قام و هکذا</w:t>
      </w:r>
      <w:r>
        <w:rPr>
          <w:rFonts w:eastAsia="IRNazanin" w:cs="IRNazanin"/>
          <w:color w:val="111111"/>
          <w:sz w:val="28"/>
          <w:szCs w:val="28"/>
          <w:rtl w:val="true"/>
          <w:lang w:bidi="fa-IR"/>
        </w:rPr>
        <w:t>.</w:t>
      </w:r>
    </w:p>
    <w:p>
      <w:pPr>
        <w:pStyle w:val="Heading5"/>
        <w:numPr>
          <w:ilvl w:val="4"/>
          <w:numId w:val="1"/>
        </w:numPr>
        <w:rPr/>
      </w:pPr>
      <w:bookmarkStart w:id="1650" w:name="__RefHeading___Toc2566490_3650668749"/>
      <w:bookmarkStart w:id="1651" w:name="_Toc754"/>
      <w:bookmarkEnd w:id="1650"/>
      <w:r>
        <w:rPr>
          <w:rtl w:val="true"/>
        </w:rPr>
        <w:t>[ (</w:t>
      </w:r>
      <w:r>
        <w:rPr>
          <w:rtl w:val="true"/>
        </w:rPr>
        <w:t xml:space="preserve">مسألة </w:t>
      </w:r>
      <w:r>
        <w:rPr/>
        <w:t>8</w:t>
      </w:r>
      <w:r>
        <w:rPr>
          <w:rtl w:val="true"/>
        </w:rPr>
        <w:t xml:space="preserve">): </w:t>
      </w:r>
      <w:r>
        <w:rPr>
          <w:rtl w:val="true"/>
        </w:rPr>
        <w:t>یجب الاستقرار فی القیام و غیره من أفعال الفریضة</w:t>
      </w:r>
      <w:r>
        <w:rPr>
          <w:rtl w:val="true"/>
        </w:rPr>
        <w:t>]</w:t>
      </w:r>
      <w:bookmarkEnd w:id="1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الاستقرار فی القیام و غیره من أفعال الفریضة کالرکوع و السجود و القعود؛ فمن تعذّر علیه الاستقرار و کان متمکّناً من الوقوف مضطرباً قدّمه علی القعود مستقرّاً، و کذا الرکوع و الذکر و رفع الرأس فیأتی بکلّ منها مضطرباً، و لا ینتقل إلی الجلوس و إن حصل به الاستقرار</w:t>
      </w:r>
      <w:r>
        <w:rPr>
          <w:rFonts w:eastAsia="IRNazanin" w:cs="IRNazanin"/>
          <w:color w:val="111111"/>
          <w:sz w:val="28"/>
          <w:szCs w:val="28"/>
          <w:rtl w:val="true"/>
          <w:lang w:bidi="fa-IR"/>
        </w:rPr>
        <w:t>.</w:t>
      </w:r>
    </w:p>
    <w:p>
      <w:pPr>
        <w:pStyle w:val="Heading4"/>
        <w:numPr>
          <w:ilvl w:val="3"/>
          <w:numId w:val="1"/>
        </w:numPr>
        <w:rPr/>
      </w:pPr>
      <w:bookmarkStart w:id="1652" w:name="__RefHeading___Toc2566492_3650668749"/>
      <w:bookmarkStart w:id="1653" w:name="_Toc755"/>
      <w:bookmarkEnd w:id="1652"/>
      <w:r>
        <w:rPr>
          <w:rtl w:val="true"/>
        </w:rPr>
        <w:t>[</w:t>
      </w:r>
      <w:r>
        <w:rPr>
          <w:rtl w:val="true"/>
        </w:rPr>
        <w:t>القول فی القراءة و الذکر</w:t>
      </w:r>
      <w:r>
        <w:rPr>
          <w:rtl w:val="true"/>
        </w:rPr>
        <w:t>]</w:t>
      </w:r>
      <w:bookmarkEnd w:id="1653"/>
    </w:p>
    <w:p>
      <w:pPr>
        <w:pStyle w:val="Heading5"/>
        <w:numPr>
          <w:ilvl w:val="4"/>
          <w:numId w:val="1"/>
        </w:numPr>
        <w:rPr/>
      </w:pPr>
      <w:bookmarkStart w:id="1654" w:name="__RefHeading___Toc2566494_3650668749"/>
      <w:bookmarkStart w:id="1655" w:name="_Toc756"/>
      <w:bookmarkEnd w:id="1654"/>
      <w:r>
        <w:rPr>
          <w:rtl w:val="true"/>
        </w:rPr>
        <w:t>اشارة</w:t>
      </w:r>
      <w:bookmarkEnd w:id="1655"/>
    </w:p>
    <w:p>
      <w:pPr>
        <w:pStyle w:val="BookText"/>
        <w:rPr/>
      </w:pPr>
      <w:r>
        <w:rPr>
          <w:rFonts w:ascii="IRNazanin" w:hAnsi="IRNazanin" w:eastAsia="IRNazanin"/>
          <w:color w:val="111111"/>
          <w:sz w:val="28"/>
          <w:sz w:val="28"/>
          <w:szCs w:val="28"/>
          <w:rtl w:val="true"/>
          <w:lang w:bidi="fa-IR"/>
        </w:rPr>
        <w:t>القول فی القراءة و الذکر</w:t>
      </w:r>
    </w:p>
    <w:p>
      <w:pPr>
        <w:pStyle w:val="Heading5"/>
        <w:numPr>
          <w:ilvl w:val="4"/>
          <w:numId w:val="1"/>
        </w:numPr>
        <w:rPr/>
      </w:pPr>
      <w:bookmarkStart w:id="1656" w:name="__RefHeading___Toc2566496_3650668749"/>
      <w:bookmarkStart w:id="1657" w:name="_Toc757"/>
      <w:bookmarkEnd w:id="1656"/>
      <w:r>
        <w:rPr>
          <w:rtl w:val="true"/>
        </w:rPr>
        <w:t>[ (</w:t>
      </w:r>
      <w:r>
        <w:rPr>
          <w:rtl w:val="true"/>
        </w:rPr>
        <w:t xml:space="preserve">مسألة </w:t>
      </w:r>
      <w:r>
        <w:rPr/>
        <w:t>1</w:t>
      </w:r>
      <w:r>
        <w:rPr>
          <w:rtl w:val="true"/>
        </w:rPr>
        <w:t xml:space="preserve">): </w:t>
      </w:r>
      <w:r>
        <w:rPr>
          <w:rtl w:val="true"/>
        </w:rPr>
        <w:t>یجب فی الرکعة الاولیٰ و الثانیة من الفرائض قراءة الحمد و سورة کاملة عقیبها</w:t>
      </w:r>
      <w:r>
        <w:rPr>
          <w:rtl w:val="true"/>
        </w:rPr>
        <w:t>]</w:t>
      </w:r>
      <w:bookmarkEnd w:id="16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فی الرکعة الاولیٰ و الثانیة من الفرائض قراءة الحمد و سورة کاملة عقیبها، و له ترک السورة فی بعض الأحوال، بل قد یجب </w:t>
      </w:r>
      <w:r>
        <w:rPr>
          <w:rStyle w:val="FootnoteAnchor"/>
          <w:rtl w:val="true"/>
        </w:rPr>
        <w:footnoteReference w:id="484"/>
      </w:r>
      <w:r>
        <w:rPr>
          <w:rFonts w:ascii="IRNazanin" w:hAnsi="IRNazanin" w:eastAsia="IRNazanin"/>
          <w:color w:val="111111"/>
          <w:sz w:val="28"/>
          <w:sz w:val="28"/>
          <w:szCs w:val="28"/>
          <w:rtl w:val="true"/>
          <w:lang w:bidi="fa-IR"/>
        </w:rPr>
        <w:t>مع ضیق الوقت و الخوف و نحوهما من أفراد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قدّمها علی الفاتحة عمداً استأنف الصلاة، و لو قدّمها سهواً و ذکر قبل الرکوع فإن لم یکن قرأ الفاتحة بعدها أعادها بعد أن یقرأ الفاتحة، و إن قرأها بعدها أعادها دون الفاتحة</w:t>
      </w:r>
      <w:r>
        <w:rPr>
          <w:rFonts w:eastAsia="IRNazanin" w:cs="IRNazanin"/>
          <w:color w:val="111111"/>
          <w:sz w:val="28"/>
          <w:szCs w:val="28"/>
          <w:rtl w:val="true"/>
          <w:lang w:bidi="fa-IR"/>
        </w:rPr>
        <w:t>.</w:t>
      </w:r>
    </w:p>
    <w:p>
      <w:pPr>
        <w:pStyle w:val="Heading5"/>
        <w:numPr>
          <w:ilvl w:val="4"/>
          <w:numId w:val="1"/>
        </w:numPr>
        <w:rPr/>
      </w:pPr>
      <w:bookmarkStart w:id="1658" w:name="__RefHeading___Toc2566498_3650668749"/>
      <w:bookmarkStart w:id="1659" w:name="_Toc758"/>
      <w:bookmarkEnd w:id="1658"/>
      <w:r>
        <w:rPr>
          <w:rtl w:val="true"/>
        </w:rPr>
        <w:t>[ (</w:t>
      </w:r>
      <w:r>
        <w:rPr>
          <w:rtl w:val="true"/>
        </w:rPr>
        <w:t xml:space="preserve">مسألة </w:t>
      </w:r>
      <w:r>
        <w:rPr/>
        <w:t>2</w:t>
      </w:r>
      <w:r>
        <w:rPr>
          <w:rtl w:val="true"/>
        </w:rPr>
        <w:t xml:space="preserve">): </w:t>
      </w:r>
      <w:r>
        <w:rPr>
          <w:rtl w:val="true"/>
        </w:rPr>
        <w:t>یجب قراءة الحمد فی النوافل کالفرائض</w:t>
      </w:r>
      <w:r>
        <w:rPr>
          <w:rtl w:val="true"/>
        </w:rPr>
        <w:t>]</w:t>
      </w:r>
      <w:bookmarkEnd w:id="1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قراءة الحمد فی النوافل کالفرائض؛ بمعنی کونها شرطاً فی صحّتها، و أمّا السورة فلا یجب فی شی‌ء منها و إن وجبت بالعارض بالنذر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النوافل التی وردت فی کیفیّتها سور خاصّة یعتبر فی الإتیان بتلک النافلة تلک السورة، إلّا إذا علم أنّ إتیانها بتلک السورة شرط لکمالها لا لأصل مشروعیّتها و صحّتها</w:t>
      </w:r>
      <w:r>
        <w:rPr>
          <w:rFonts w:eastAsia="IRNazanin" w:cs="IRNazanin"/>
          <w:color w:val="111111"/>
          <w:sz w:val="28"/>
          <w:szCs w:val="28"/>
          <w:rtl w:val="true"/>
          <w:lang w:bidi="fa-IR"/>
        </w:rPr>
        <w:t>.</w:t>
      </w:r>
    </w:p>
    <w:p>
      <w:pPr>
        <w:pStyle w:val="Heading5"/>
        <w:numPr>
          <w:ilvl w:val="4"/>
          <w:numId w:val="1"/>
        </w:numPr>
        <w:rPr/>
      </w:pPr>
      <w:bookmarkStart w:id="1660" w:name="__RefHeading___Toc2566500_3650668749"/>
      <w:bookmarkStart w:id="1661" w:name="_Toc759"/>
      <w:bookmarkEnd w:id="1660"/>
      <w:r>
        <w:rPr>
          <w:rtl w:val="true"/>
        </w:rPr>
        <w:t>[ (</w:t>
      </w:r>
      <w:r>
        <w:rPr>
          <w:rtl w:val="true"/>
        </w:rPr>
        <w:t xml:space="preserve">مسألة </w:t>
      </w:r>
      <w:r>
        <w:rPr/>
        <w:t>3</w:t>
      </w:r>
      <w:r>
        <w:rPr>
          <w:rtl w:val="true"/>
        </w:rPr>
        <w:t xml:space="preserve">): </w:t>
      </w:r>
      <w:r>
        <w:rPr>
          <w:rtl w:val="true"/>
        </w:rPr>
        <w:t>الأقویٰ جواز قراءة أزید من سورة واحدة فی رکعة فی الفریضة</w:t>
      </w:r>
      <w:r>
        <w:rPr>
          <w:rtl w:val="true"/>
        </w:rPr>
        <w:t>]</w:t>
      </w:r>
      <w:bookmarkEnd w:id="166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 قراءة أزید من سورة واحدة فی رکعة فی الفریضة لکن علیٰ کراهیة، بخلاف النافلة فلا کراهة فیها، و إن کان الأحوط ترکها فی الفریضة</w:t>
      </w:r>
      <w:r>
        <w:rPr>
          <w:rFonts w:eastAsia="IRNazanin" w:cs="IRNazanin"/>
          <w:color w:val="111111"/>
          <w:sz w:val="28"/>
          <w:szCs w:val="28"/>
          <w:rtl w:val="true"/>
          <w:lang w:bidi="fa-IR"/>
        </w:rPr>
        <w:t>.</w:t>
      </w:r>
      <w:bookmarkStart w:id="1662" w:name="pg1809_18973"/>
    </w:p>
    <w:p>
      <w:pPr>
        <w:pStyle w:val="BookText"/>
        <w:rPr/>
      </w:pPr>
      <w:bookmarkEnd w:id="1662"/>
      <w:r>
        <w:rPr>
          <w:rFonts w:ascii="IRNazanin" w:hAnsi="IRNazanin" w:eastAsia="IRNazanin"/>
          <w:color w:val="111111"/>
          <w:sz w:val="28"/>
          <w:sz w:val="28"/>
          <w:szCs w:val="28"/>
          <w:rtl w:val="true"/>
          <w:lang w:bidi="fa-IR"/>
        </w:rPr>
        <w:t>الفراغ منها و قد فات الوقت أتمّ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لا یجوز قراءة إحدیٰ سور العزائم فی الفریضة علیٰ إشکال </w:t>
      </w:r>
      <w:r>
        <w:rPr>
          <w:rStyle w:val="FootnoteAnchor"/>
          <w:rtl w:val="true"/>
        </w:rPr>
        <w:footnoteReference w:id="485"/>
      </w:r>
      <w:r>
        <w:rPr>
          <w:rFonts w:ascii="IRNazanin" w:hAnsi="IRNazanin" w:eastAsia="IRNazanin"/>
          <w:color w:val="111111"/>
          <w:sz w:val="28"/>
          <w:sz w:val="28"/>
          <w:szCs w:val="28"/>
          <w:rtl w:val="true"/>
          <w:lang w:bidi="fa-IR"/>
        </w:rPr>
        <w:t xml:space="preserve">و لو قرأها نسیاناً إلیٰ أن وصل إلیٰ آیة السجدة أو استمعها و هو فی الصلاة فالأحوط </w:t>
      </w:r>
      <w:r>
        <w:rPr>
          <w:rStyle w:val="FootnoteAnchor"/>
          <w:rtl w:val="true"/>
        </w:rPr>
        <w:footnoteReference w:id="486"/>
      </w:r>
      <w:r>
        <w:rPr>
          <w:rFonts w:ascii="IRNazanin" w:hAnsi="IRNazanin" w:eastAsia="IRNazanin"/>
          <w:color w:val="111111"/>
          <w:sz w:val="28"/>
          <w:sz w:val="28"/>
          <w:szCs w:val="28"/>
          <w:rtl w:val="true"/>
          <w:lang w:bidi="fa-IR"/>
        </w:rPr>
        <w:t>أن یومئ إلی السجدة و هو فی الصلاة ثمّ یسجد بعد الفراغ</w:t>
      </w:r>
      <w:r>
        <w:rPr>
          <w:rFonts w:eastAsia="IRNazanin" w:cs="IRNazanin"/>
          <w:color w:val="111111"/>
          <w:sz w:val="28"/>
          <w:szCs w:val="28"/>
          <w:rtl w:val="true"/>
          <w:lang w:bidi="fa-IR"/>
        </w:rPr>
        <w:t>.</w:t>
      </w:r>
    </w:p>
    <w:p>
      <w:pPr>
        <w:pStyle w:val="Heading5"/>
        <w:numPr>
          <w:ilvl w:val="4"/>
          <w:numId w:val="1"/>
        </w:numPr>
        <w:rPr/>
      </w:pPr>
      <w:bookmarkStart w:id="1663" w:name="__RefHeading___Toc2566502_3650668749"/>
      <w:bookmarkStart w:id="1664" w:name="_Toc760"/>
      <w:bookmarkEnd w:id="1663"/>
      <w:r>
        <w:rPr>
          <w:rtl w:val="true"/>
        </w:rPr>
        <w:t>[ (</w:t>
      </w:r>
      <w:r>
        <w:rPr>
          <w:rtl w:val="true"/>
        </w:rPr>
        <w:t xml:space="preserve">مسألة </w:t>
      </w:r>
      <w:r>
        <w:rPr/>
        <w:t>5</w:t>
      </w:r>
      <w:r>
        <w:rPr>
          <w:rtl w:val="true"/>
        </w:rPr>
        <w:t xml:space="preserve">): </w:t>
      </w:r>
      <w:r>
        <w:rPr>
          <w:rtl w:val="true"/>
        </w:rPr>
        <w:t>البسملة جزء من کلّ سورة</w:t>
      </w:r>
      <w:r>
        <w:rPr>
          <w:rtl w:val="true"/>
        </w:rPr>
        <w:t>]</w:t>
      </w:r>
      <w:bookmarkEnd w:id="1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البسملة جزء من کلّ سورة فیجب قراءتها عدا سورة البراءة</w:t>
      </w:r>
      <w:r>
        <w:rPr>
          <w:rFonts w:eastAsia="IRNazanin" w:cs="IRNazanin"/>
          <w:color w:val="111111"/>
          <w:sz w:val="28"/>
          <w:szCs w:val="28"/>
          <w:rtl w:val="true"/>
          <w:lang w:bidi="fa-IR"/>
        </w:rPr>
        <w:t>.</w:t>
      </w:r>
    </w:p>
    <w:p>
      <w:pPr>
        <w:pStyle w:val="Heading5"/>
        <w:numPr>
          <w:ilvl w:val="4"/>
          <w:numId w:val="1"/>
        </w:numPr>
        <w:rPr/>
      </w:pPr>
      <w:bookmarkStart w:id="1665" w:name="__RefHeading___Toc2566504_3650668749"/>
      <w:bookmarkStart w:id="1666" w:name="_Toc761"/>
      <w:bookmarkEnd w:id="1665"/>
      <w:r>
        <w:rPr>
          <w:rtl w:val="true"/>
        </w:rPr>
        <w:t>[ (</w:t>
      </w:r>
      <w:r>
        <w:rPr>
          <w:rtl w:val="true"/>
        </w:rPr>
        <w:t xml:space="preserve">مسألة </w:t>
      </w:r>
      <w:r>
        <w:rPr/>
        <w:t>6</w:t>
      </w:r>
      <w:r>
        <w:rPr>
          <w:rtl w:val="true"/>
        </w:rPr>
        <w:t xml:space="preserve">): </w:t>
      </w:r>
      <w:r>
        <w:rPr>
          <w:rtl w:val="true"/>
        </w:rPr>
        <w:t xml:space="preserve">سورتا </w:t>
      </w:r>
      <w:r>
        <w:rPr>
          <w:rtl w:val="true"/>
        </w:rPr>
        <w:t>«</w:t>
      </w:r>
      <w:r>
        <w:rPr>
          <w:rtl w:val="true"/>
        </w:rPr>
        <w:t>الفیل</w:t>
      </w:r>
      <w:r>
        <w:rPr>
          <w:rtl w:val="true"/>
        </w:rPr>
        <w:t xml:space="preserve">» </w:t>
      </w:r>
      <w:r>
        <w:rPr>
          <w:rtl w:val="true"/>
        </w:rPr>
        <w:t xml:space="preserve">و </w:t>
      </w:r>
      <w:r>
        <w:rPr>
          <w:rtl w:val="true"/>
        </w:rPr>
        <w:t>«</w:t>
      </w:r>
      <w:r>
        <w:rPr>
          <w:rtl w:val="true"/>
        </w:rPr>
        <w:t>لإیلاف</w:t>
      </w:r>
      <w:r>
        <w:rPr>
          <w:rtl w:val="true"/>
        </w:rPr>
        <w:t xml:space="preserve">» </w:t>
      </w:r>
      <w:r>
        <w:rPr>
          <w:rtl w:val="true"/>
        </w:rPr>
        <w:t>سورة واحدة</w:t>
      </w:r>
      <w:r>
        <w:rPr>
          <w:rtl w:val="true"/>
        </w:rPr>
        <w:t>]</w:t>
      </w:r>
      <w:bookmarkEnd w:id="1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واحدة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یجزی واحدة منها، بل لا بدّ من الجمع مرتّباً مع البسملة الواقعة فی البین</w:t>
      </w:r>
      <w:r>
        <w:rPr>
          <w:rFonts w:eastAsia="IRNazanin" w:cs="IRNazanin"/>
          <w:color w:val="111111"/>
          <w:sz w:val="28"/>
          <w:szCs w:val="28"/>
          <w:rtl w:val="true"/>
          <w:lang w:bidi="fa-IR"/>
        </w:rPr>
        <w:t>.</w:t>
      </w:r>
    </w:p>
    <w:p>
      <w:pPr>
        <w:pStyle w:val="Heading5"/>
        <w:numPr>
          <w:ilvl w:val="4"/>
          <w:numId w:val="1"/>
        </w:numPr>
        <w:rPr/>
      </w:pPr>
      <w:bookmarkStart w:id="1667" w:name="__RefHeading___Toc2566506_3650668749"/>
      <w:bookmarkStart w:id="1668" w:name="_Toc762"/>
      <w:bookmarkEnd w:id="1667"/>
      <w:r>
        <w:rPr>
          <w:rtl w:val="true"/>
        </w:rPr>
        <w:t>[ (</w:t>
      </w:r>
      <w:r>
        <w:rPr>
          <w:rtl w:val="true"/>
        </w:rPr>
        <w:t xml:space="preserve">مسألة </w:t>
      </w:r>
      <w:r>
        <w:rPr/>
        <w:t>7</w:t>
      </w:r>
      <w:r>
        <w:rPr>
          <w:rtl w:val="true"/>
        </w:rPr>
        <w:t xml:space="preserve">): </w:t>
      </w:r>
      <w:r>
        <w:rPr>
          <w:rtl w:val="true"/>
        </w:rPr>
        <w:t>یجب تعیین السورة عند الشروع فی البسملة علی الأحوط</w:t>
      </w:r>
      <w:r>
        <w:rPr>
          <w:rtl w:val="true"/>
        </w:rPr>
        <w:t>]</w:t>
      </w:r>
      <w:bookmarkEnd w:id="16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تعیین السورة عند الشروع فی البسملة علی الأحوط </w:t>
      </w:r>
      <w:r>
        <w:rPr>
          <w:rStyle w:val="FootnoteAnchor"/>
          <w:rtl w:val="true"/>
        </w:rPr>
        <w:footnoteReference w:id="487"/>
      </w:r>
      <w:r>
        <w:rPr>
          <w:rFonts w:ascii="IRNazanin" w:hAnsi="IRNazanin" w:eastAsia="IRNazanin"/>
          <w:color w:val="111111"/>
          <w:sz w:val="28"/>
          <w:sz w:val="28"/>
          <w:szCs w:val="28"/>
          <w:rtl w:val="true"/>
          <w:lang w:bidi="fa-IR"/>
        </w:rPr>
        <w:t>، و لو عیّن سورة ثمّ عدل إلیٰ غیرها یجب إعادة البسملة للمعدول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عیّن سورة عند البسملة ثمّ نسیها و لم یدر ما عیّن أعاد البسملة مع تعیین سورة معیّنة، و لو کان بانیاً من أوّل الصلاة أن یقرأ سورة معیّنة فنسی و قرأ غیرها أو کانت عادته قراءة سورة فقرأ غیرها کفیٰ و لم یجب إعادة السورة</w:t>
      </w:r>
      <w:r>
        <w:rPr>
          <w:rFonts w:eastAsia="IRNazanin" w:cs="IRNazanin"/>
          <w:color w:val="111111"/>
          <w:sz w:val="28"/>
          <w:szCs w:val="28"/>
          <w:rtl w:val="true"/>
          <w:lang w:bidi="fa-IR"/>
        </w:rPr>
        <w:t>.</w:t>
      </w:r>
    </w:p>
    <w:p>
      <w:pPr>
        <w:pStyle w:val="Heading5"/>
        <w:numPr>
          <w:ilvl w:val="4"/>
          <w:numId w:val="1"/>
        </w:numPr>
        <w:rPr/>
      </w:pPr>
      <w:bookmarkStart w:id="1669" w:name="__RefHeading___Toc2566508_3650668749"/>
      <w:bookmarkStart w:id="1670" w:name="_Toc763"/>
      <w:bookmarkEnd w:id="1669"/>
      <w:r>
        <w:rPr>
          <w:rtl w:val="true"/>
        </w:rPr>
        <w:t>[ (</w:t>
      </w:r>
      <w:r>
        <w:rPr>
          <w:rtl w:val="true"/>
        </w:rPr>
        <w:t xml:space="preserve">مسألة </w:t>
      </w:r>
      <w:r>
        <w:rPr/>
        <w:t>8</w:t>
      </w:r>
      <w:r>
        <w:rPr>
          <w:rtl w:val="true"/>
        </w:rPr>
        <w:t xml:space="preserve">): </w:t>
      </w:r>
      <w:r>
        <w:rPr>
          <w:rtl w:val="true"/>
        </w:rPr>
        <w:t>یجوز العدول اختیاراً من سورة إلیٰ غیرها ما لم یبلغ النصف</w:t>
      </w:r>
      <w:r>
        <w:rPr>
          <w:rtl w:val="true"/>
        </w:rPr>
        <w:t>]</w:t>
      </w:r>
      <w:bookmarkEnd w:id="16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العدول اختیاراً من سورة إلیٰ غیرها ما لم یبلغ النصف، 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یجوز العدول منهما إلیٰ غیرهما و لا من إحداهما إلی الأُخریٰ بمجرّد الشروع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العدول منهما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فی ظهر یوم الجمعة </w:t>
      </w:r>
      <w:r>
        <w:rPr>
          <w:rStyle w:val="FootnoteAnchor"/>
          <w:rtl w:val="true"/>
        </w:rPr>
        <w:footnoteReference w:id="489"/>
      </w:r>
      <w:r>
        <w:rPr>
          <w:rFonts w:ascii="IRNazanin" w:hAnsi="IRNazanin" w:eastAsia="IRNazanin"/>
          <w:color w:val="111111"/>
          <w:sz w:val="28"/>
          <w:sz w:val="28"/>
          <w:szCs w:val="28"/>
          <w:rtl w:val="true"/>
          <w:lang w:bidi="fa-IR"/>
        </w:rPr>
        <w:t>ما لم یبلغ النصف إذا شرع فیهما نسیاناً</w:t>
      </w:r>
      <w:r>
        <w:rPr>
          <w:rFonts w:eastAsia="IRNazanin" w:cs="IRNazanin"/>
          <w:color w:val="111111"/>
          <w:sz w:val="28"/>
          <w:szCs w:val="28"/>
          <w:rtl w:val="true"/>
          <w:lang w:bidi="fa-IR"/>
        </w:rPr>
        <w:t>.</w:t>
      </w:r>
    </w:p>
    <w:p>
      <w:pPr>
        <w:pStyle w:val="Heading5"/>
        <w:numPr>
          <w:ilvl w:val="4"/>
          <w:numId w:val="1"/>
        </w:numPr>
        <w:rPr/>
      </w:pPr>
      <w:bookmarkStart w:id="1671" w:name="__RefHeading___Toc2566510_3650668749"/>
      <w:bookmarkStart w:id="1672" w:name="_Toc764"/>
      <w:bookmarkEnd w:id="1671"/>
      <w:r>
        <w:rPr>
          <w:rtl w:val="true"/>
        </w:rPr>
        <w:t>[ (</w:t>
      </w:r>
      <w:r>
        <w:rPr>
          <w:rtl w:val="true"/>
        </w:rPr>
        <w:t xml:space="preserve">مسألة </w:t>
      </w:r>
      <w:r>
        <w:rPr/>
        <w:t>9</w:t>
      </w:r>
      <w:r>
        <w:rPr>
          <w:rtl w:val="true"/>
        </w:rPr>
        <w:t xml:space="preserve">): </w:t>
      </w:r>
      <w:r>
        <w:rPr>
          <w:rtl w:val="true"/>
        </w:rPr>
        <w:t>یجب الإخفات بالقراءة عدا البسملة فی الظهر و العصر</w:t>
      </w:r>
      <w:r>
        <w:rPr>
          <w:rtl w:val="true"/>
        </w:rPr>
        <w:t>]</w:t>
      </w:r>
      <w:bookmarkEnd w:id="167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الإخفات بالقراءة عدا البسملة فی الظهر و العصر، و یجب علی الرجال الجهر بها فی الصبح و أُولیی المغرب و العشاء، فمن عکس عامداً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یعذر الناسی </w:t>
      </w:r>
      <w:r>
        <w:rPr>
          <w:rStyle w:val="FootnoteAnchor"/>
          <w:rtl w:val="true"/>
        </w:rPr>
        <w:footnoteReference w:id="490"/>
      </w:r>
      <w:r>
        <w:rPr>
          <w:rFonts w:ascii="IRNazanin" w:hAnsi="IRNazanin" w:eastAsia="IRNazanin"/>
          <w:color w:val="111111"/>
          <w:sz w:val="28"/>
          <w:sz w:val="28"/>
          <w:szCs w:val="28"/>
          <w:rtl w:val="true"/>
          <w:lang w:bidi="fa-IR"/>
        </w:rPr>
        <w:t>و الجاهل بالحکم من أصله الغیر المتنبّه للسؤال، بل لا یعیدان ما وقع منهما من القراءة بعد ارتفاع العذر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العالم به فی الجملة إلّا أنّه جهل محلّه أو نساه، و الجاهل بأصل الحکم المتنبّه للسؤال عنه و لم یسأل فالأحوط لهما الاستئناف، و إن کان الأقوی الصحّة مع حصول نیّة القربة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جهر علی النساء بل یتخیّرن بینه</w:t>
      </w:r>
      <w:bookmarkStart w:id="1673" w:name="pg1809_18975"/>
    </w:p>
    <w:p>
      <w:pPr>
        <w:pStyle w:val="BookText"/>
        <w:rPr/>
      </w:pPr>
      <w:bookmarkEnd w:id="1673"/>
      <w:r>
        <w:rPr>
          <w:rFonts w:ascii="IRNazanin" w:hAnsi="IRNazanin" w:eastAsia="IRNazanin"/>
          <w:color w:val="111111"/>
          <w:sz w:val="28"/>
          <w:sz w:val="28"/>
          <w:szCs w:val="28"/>
          <w:rtl w:val="true"/>
          <w:lang w:bidi="fa-IR"/>
        </w:rPr>
        <w:t>و بین الإخفات مع عدم الأجنبیّ، أمّا الإخفات فیجب علیهنّ فیما یجب علی الرجال و یُعذرن فیما یُعذرون فیه</w:t>
      </w:r>
      <w:r>
        <w:rPr>
          <w:rFonts w:eastAsia="IRNazanin" w:cs="IRNazanin"/>
          <w:color w:val="111111"/>
          <w:sz w:val="28"/>
          <w:szCs w:val="28"/>
          <w:rtl w:val="true"/>
          <w:lang w:bidi="fa-IR"/>
        </w:rPr>
        <w:t>.</w:t>
      </w:r>
    </w:p>
    <w:p>
      <w:pPr>
        <w:pStyle w:val="Heading5"/>
        <w:numPr>
          <w:ilvl w:val="4"/>
          <w:numId w:val="1"/>
        </w:numPr>
        <w:rPr/>
      </w:pPr>
      <w:bookmarkStart w:id="1674" w:name="__RefHeading___Toc2566512_3650668749"/>
      <w:bookmarkStart w:id="1675" w:name="_Toc765"/>
      <w:bookmarkEnd w:id="1674"/>
      <w:r>
        <w:rPr>
          <w:rtl w:val="true"/>
        </w:rPr>
        <w:t>[ (</w:t>
      </w:r>
      <w:r>
        <w:rPr>
          <w:rtl w:val="true"/>
        </w:rPr>
        <w:t xml:space="preserve">مسألة </w:t>
      </w:r>
      <w:r>
        <w:rPr/>
        <w:t>10</w:t>
      </w:r>
      <w:r>
        <w:rPr>
          <w:rtl w:val="true"/>
        </w:rPr>
        <w:t xml:space="preserve">): </w:t>
      </w:r>
      <w:r>
        <w:rPr>
          <w:rtl w:val="true"/>
        </w:rPr>
        <w:t>یستحبّ للرجال الجهر بالبسملة فی الظهرین للحمد و السورة</w:t>
      </w:r>
      <w:r>
        <w:rPr>
          <w:rtl w:val="true"/>
        </w:rPr>
        <w:t>]</w:t>
      </w:r>
      <w:bookmarkEnd w:id="16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للرجال الجهر بالبسملة فی الظهرین للحمد و السورة، کما أنّه یستحبّ له الجهر بالقراءة فی ظهر </w:t>
      </w:r>
      <w:r>
        <w:rPr>
          <w:rStyle w:val="FootnoteAnchor"/>
          <w:rtl w:val="true"/>
        </w:rPr>
        <w:footnoteReference w:id="491"/>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w:t>
      </w:r>
    </w:p>
    <w:p>
      <w:pPr>
        <w:pStyle w:val="Heading5"/>
        <w:numPr>
          <w:ilvl w:val="4"/>
          <w:numId w:val="1"/>
        </w:numPr>
        <w:rPr/>
      </w:pPr>
      <w:bookmarkStart w:id="1676" w:name="__RefHeading___Toc2566514_3650668749"/>
      <w:bookmarkStart w:id="1677" w:name="_Toc766"/>
      <w:bookmarkEnd w:id="1676"/>
      <w:r>
        <w:rPr>
          <w:rtl w:val="true"/>
        </w:rPr>
        <w:t>[ (</w:t>
      </w:r>
      <w:r>
        <w:rPr>
          <w:rtl w:val="true"/>
        </w:rPr>
        <w:t xml:space="preserve">مسألة </w:t>
      </w:r>
      <w:r>
        <w:rPr/>
        <w:t>11</w:t>
      </w:r>
      <w:r>
        <w:rPr>
          <w:rtl w:val="true"/>
        </w:rPr>
        <w:t xml:space="preserve">): </w:t>
      </w:r>
      <w:r>
        <w:rPr>
          <w:rtl w:val="true"/>
        </w:rPr>
        <w:t>مناط الجهر و الإخفات ظهور جوهر الصوت و عدمه</w:t>
      </w:r>
      <w:r>
        <w:rPr>
          <w:rtl w:val="true"/>
        </w:rPr>
        <w:t>]</w:t>
      </w:r>
      <w:bookmarkEnd w:id="1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الجهر و الإخفات ظهور جوهر الصوت و عدمه لا سماع من بجانبه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الإفراط فی الجهر کالصیاح، کما أنّه لا یجوز فی الإخفات بحیث لا یسمع نفسه مع عدم المانع</w:t>
      </w:r>
      <w:r>
        <w:rPr>
          <w:rFonts w:eastAsia="IRNazanin" w:cs="IRNazanin"/>
          <w:color w:val="111111"/>
          <w:sz w:val="28"/>
          <w:szCs w:val="28"/>
          <w:rtl w:val="true"/>
          <w:lang w:bidi="fa-IR"/>
        </w:rPr>
        <w:t>.</w:t>
      </w:r>
    </w:p>
    <w:p>
      <w:pPr>
        <w:pStyle w:val="Heading5"/>
        <w:numPr>
          <w:ilvl w:val="4"/>
          <w:numId w:val="1"/>
        </w:numPr>
        <w:rPr/>
      </w:pPr>
      <w:bookmarkStart w:id="1678" w:name="__RefHeading___Toc2566516_3650668749"/>
      <w:bookmarkStart w:id="1679" w:name="_Toc767"/>
      <w:bookmarkEnd w:id="1678"/>
      <w:r>
        <w:rPr>
          <w:rtl w:val="true"/>
        </w:rPr>
        <w:t>[ (</w:t>
      </w:r>
      <w:r>
        <w:rPr>
          <w:rtl w:val="true"/>
        </w:rPr>
        <w:t xml:space="preserve">مسألة </w:t>
      </w:r>
      <w:r>
        <w:rPr/>
        <w:t>12</w:t>
      </w:r>
      <w:r>
        <w:rPr>
          <w:rtl w:val="true"/>
        </w:rPr>
        <w:t xml:space="preserve">): </w:t>
      </w:r>
      <w:r>
        <w:rPr>
          <w:rtl w:val="true"/>
        </w:rPr>
        <w:t>یجب القراءة الصحیحة</w:t>
      </w:r>
      <w:r>
        <w:rPr>
          <w:rtl w:val="true"/>
        </w:rPr>
        <w:t>]</w:t>
      </w:r>
      <w:bookmarkEnd w:id="1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القراءة الصحیحة، فلو صلّیٰ و قد أخلّ عامداً بحرف أو حرکة أو تشدید أو نحو ذلک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یحسن الفاتحة أو السورة یجب علیه تعلّمهما</w:t>
      </w:r>
      <w:r>
        <w:rPr>
          <w:rFonts w:eastAsia="IRNazanin" w:cs="IRNazanin"/>
          <w:color w:val="111111"/>
          <w:sz w:val="28"/>
          <w:szCs w:val="28"/>
          <w:rtl w:val="true"/>
          <w:lang w:bidi="fa-IR"/>
        </w:rPr>
        <w:t>.</w:t>
      </w:r>
    </w:p>
    <w:p>
      <w:pPr>
        <w:pStyle w:val="Heading5"/>
        <w:numPr>
          <w:ilvl w:val="4"/>
          <w:numId w:val="1"/>
        </w:numPr>
        <w:rPr/>
      </w:pPr>
      <w:bookmarkStart w:id="1680" w:name="__RefHeading___Toc2566518_3650668749"/>
      <w:bookmarkStart w:id="1681" w:name="_Toc768"/>
      <w:bookmarkEnd w:id="1680"/>
      <w:r>
        <w:rPr>
          <w:rtl w:val="true"/>
        </w:rPr>
        <w:t>[ (</w:t>
      </w:r>
      <w:r>
        <w:rPr>
          <w:rtl w:val="true"/>
        </w:rPr>
        <w:t xml:space="preserve">مسألة </w:t>
      </w:r>
      <w:r>
        <w:rPr/>
        <w:t>13</w:t>
      </w:r>
      <w:r>
        <w:rPr>
          <w:rtl w:val="true"/>
        </w:rPr>
        <w:t xml:space="preserve">): </w:t>
      </w:r>
      <w:r>
        <w:rPr>
          <w:rtl w:val="true"/>
        </w:rPr>
        <w:t>المدار فی صحّة القراءة علیٰ أداء الحروف من مخارجها</w:t>
      </w:r>
      <w:r>
        <w:rPr>
          <w:rtl w:val="true"/>
        </w:rPr>
        <w:t>]</w:t>
      </w:r>
      <w:bookmarkEnd w:id="168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فی صحّة القراءة علیٰ أداء الحروف من مخارجها علیٰ نحو یعدّه أهل اللسان مؤدّیاً للحرف الفلانی دون حرف آخر، و مراعاة حرکات البنیة، و ما له دخل فی هیئة الکلمة و الحرکات و السکنات الإعرابیّة و البنائیّة علیٰ وفق ما ضبطه علماء العربیّة، و حذف همزة </w:t>
      </w:r>
      <w:r>
        <w:rPr>
          <w:rStyle w:val="FootnoteAnchor"/>
          <w:rtl w:val="true"/>
        </w:rPr>
        <w:footnoteReference w:id="492"/>
      </w:r>
      <w:r>
        <w:rPr>
          <w:rFonts w:ascii="IRNazanin" w:hAnsi="IRNazanin" w:eastAsia="IRNazanin"/>
          <w:color w:val="111111"/>
          <w:sz w:val="28"/>
          <w:sz w:val="28"/>
          <w:szCs w:val="28"/>
          <w:rtl w:val="true"/>
          <w:lang w:bidi="fa-IR"/>
        </w:rPr>
        <w:t xml:space="preserve">الوصل فی الدرج کهمزة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إثبات همزة القطع کهمزة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یلزم مراعاة تدقیقات علماء التجوید فی تعیین مخارج الحروف؛ فضلًا عمّا یرجع إلیٰ صفاتها من الشدّة و الرخاوة و الاستعلاء و الاستسفال و التفخیم و الترقیق و غیر ذلک و لا الإدغام الکبیر </w:t>
      </w:r>
      <w:r>
        <w:rPr>
          <w:rStyle w:val="FootnoteAnchor"/>
          <w:rtl w:val="true"/>
        </w:rPr>
        <w:footnoteReference w:id="493"/>
      </w:r>
      <w:r>
        <w:rPr>
          <w:rFonts w:ascii="Amiri" w:hAnsi="Amiri" w:eastAsia="Amiri" w:cs="Amiri"/>
          <w:color w:val="111111"/>
          <w:sz w:val="28"/>
          <w:sz w:val="28"/>
          <w:szCs w:val="28"/>
          <w:rtl w:val="true"/>
          <w:lang w:bidi="ar-SA"/>
        </w:rPr>
        <w:t xml:space="preserve">و هو إدراج الحرف المتحرّک بعد إسکانه فی حرف مماثل له مع کونهما فی کلمتین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بَیْنَ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بإدراج المیم فی المیم أو مقارب له و لو فی کلمة واحدة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یَرْزُقُکُمْ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 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بإدراج القاف فی الکاف و الحاء فی العین، بل و لا بعض أقسام الإدغام الصغیر کإدراج الساکن الأصلی فیما یقاربه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بإدراج النون فی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مراعاة المدّ اللازم و هو ما کان حرف المدّ و سبباه أعنی الهمزة و السکون فی کلمة واحدة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ترک الوقف علی المتحرّک و الوصل مع السکون و إدغام التنوین و النون الساکنة فی حروف</w:t>
      </w:r>
      <w:bookmarkStart w:id="1682" w:name="pg1809_18977"/>
    </w:p>
    <w:p>
      <w:pPr>
        <w:pStyle w:val="BookText"/>
        <w:rPr/>
      </w:pPr>
      <w:bookmarkEnd w:id="1682"/>
      <w:r>
        <w:rPr>
          <w:rFonts w:ascii="IRNazanin" w:hAnsi="IRNazanin" w:eastAsia="IRNazanin"/>
          <w:color w:val="111111"/>
          <w:sz w:val="28"/>
          <w:sz w:val="28"/>
          <w:szCs w:val="28"/>
          <w:rtl w:val="true"/>
          <w:lang w:bidi="fa-IR"/>
        </w:rPr>
        <w:t>یرملون و إن کان المترجّح فی النظر عدم لزوم شی‌ء ممّا ذکر</w:t>
      </w:r>
      <w:r>
        <w:rPr>
          <w:rFonts w:eastAsia="IRNazanin" w:cs="IRNazanin"/>
          <w:color w:val="111111"/>
          <w:sz w:val="28"/>
          <w:szCs w:val="28"/>
          <w:rtl w:val="true"/>
          <w:lang w:bidi="fa-IR"/>
        </w:rPr>
        <w:t>.</w:t>
      </w:r>
    </w:p>
    <w:p>
      <w:pPr>
        <w:pStyle w:val="Heading5"/>
        <w:numPr>
          <w:ilvl w:val="4"/>
          <w:numId w:val="1"/>
        </w:numPr>
        <w:rPr/>
      </w:pPr>
      <w:bookmarkStart w:id="1683" w:name="__RefHeading___Toc2566520_3650668749"/>
      <w:bookmarkStart w:id="1684" w:name="_Toc769"/>
      <w:bookmarkEnd w:id="1683"/>
      <w:r>
        <w:rPr>
          <w:rtl w:val="true"/>
        </w:rPr>
        <w:t>[ (</w:t>
      </w:r>
      <w:r>
        <w:rPr>
          <w:rtl w:val="true"/>
        </w:rPr>
        <w:t xml:space="preserve">مسألة </w:t>
      </w:r>
      <w:r>
        <w:rPr/>
        <w:t>14</w:t>
      </w:r>
      <w:r>
        <w:rPr>
          <w:rtl w:val="true"/>
        </w:rPr>
        <w:t xml:space="preserve">): </w:t>
      </w:r>
      <w:r>
        <w:rPr>
          <w:rtl w:val="true"/>
        </w:rPr>
        <w:t>الأحوط القراءة بإحدی القراءات السبع</w:t>
      </w:r>
      <w:r>
        <w:rPr>
          <w:rtl w:val="true"/>
        </w:rPr>
        <w:t>]</w:t>
      </w:r>
      <w:bookmarkEnd w:id="1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w:t>
      </w:r>
      <w:r>
        <w:rPr>
          <w:rStyle w:val="FootnoteAnchor"/>
          <w:rtl w:val="true"/>
        </w:rPr>
        <w:footnoteReference w:id="494"/>
      </w:r>
      <w:r>
        <w:rPr>
          <w:rFonts w:ascii="IRNazanin" w:hAnsi="IRNazanin" w:eastAsia="IRNazanin"/>
          <w:color w:val="111111"/>
          <w:sz w:val="28"/>
          <w:sz w:val="28"/>
          <w:szCs w:val="28"/>
          <w:rtl w:val="true"/>
          <w:lang w:bidi="fa-IR"/>
        </w:rPr>
        <w:t>القراءة بإحدی القراءات السبع، و إن کان الأقویٰ عدم وجوبها و کفایة القراءة علی النهج العربی، و إن خالفهم فی حرکة بنیة أو إعراب</w:t>
      </w:r>
      <w:r>
        <w:rPr>
          <w:rFonts w:eastAsia="IRNazanin" w:cs="IRNazanin"/>
          <w:color w:val="111111"/>
          <w:sz w:val="28"/>
          <w:szCs w:val="28"/>
          <w:rtl w:val="true"/>
          <w:lang w:bidi="fa-IR"/>
        </w:rPr>
        <w:t>.</w:t>
      </w:r>
    </w:p>
    <w:p>
      <w:pPr>
        <w:pStyle w:val="Heading5"/>
        <w:numPr>
          <w:ilvl w:val="4"/>
          <w:numId w:val="1"/>
        </w:numPr>
        <w:rPr/>
      </w:pPr>
      <w:bookmarkStart w:id="1685" w:name="__RefHeading___Toc2566522_3650668749"/>
      <w:bookmarkStart w:id="1686" w:name="_Toc770"/>
      <w:bookmarkEnd w:id="1685"/>
      <w:r>
        <w:rPr>
          <w:rtl w:val="true"/>
        </w:rPr>
        <w:t>[ (</w:t>
      </w:r>
      <w:r>
        <w:rPr>
          <w:rtl w:val="true"/>
        </w:rPr>
        <w:t xml:space="preserve">مسألة </w:t>
      </w:r>
      <w:r>
        <w:rPr/>
        <w:t>15</w:t>
      </w:r>
      <w:r>
        <w:rPr>
          <w:rtl w:val="true"/>
        </w:rPr>
        <w:t xml:space="preserve">): </w:t>
      </w:r>
      <w:r>
        <w:rPr>
          <w:rtl w:val="true"/>
        </w:rPr>
        <w:t xml:space="preserve">یجوز قراءة </w:t>
      </w:r>
      <w:r>
        <w:rPr>
          <w:rtl w:val="true"/>
        </w:rPr>
        <w:t>«</w:t>
      </w:r>
      <w:r>
        <w:rPr>
          <w:rtl w:val="true"/>
        </w:rPr>
        <w:t>مَالِکِ یَوْمِ الدِّینِ</w:t>
      </w:r>
      <w:r>
        <w:rPr>
          <w:rtl w:val="true"/>
        </w:rPr>
        <w:t xml:space="preserve">» </w:t>
      </w:r>
      <w:r>
        <w:rPr>
          <w:rtl w:val="true"/>
        </w:rPr>
        <w:t xml:space="preserve">و </w:t>
      </w:r>
      <w:r>
        <w:rPr>
          <w:rtl w:val="true"/>
        </w:rPr>
        <w:t>«</w:t>
      </w:r>
      <w:r>
        <w:rPr>
          <w:rtl w:val="true"/>
        </w:rPr>
        <w:t>مَلِکِ یَوْمِ الدِّینِ</w:t>
      </w:r>
      <w:r>
        <w:rPr>
          <w:rtl w:val="true"/>
        </w:rPr>
        <w:t>»]</w:t>
      </w:r>
      <w:bookmarkEnd w:id="1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 الثانی أرجح </w:t>
      </w:r>
      <w:r>
        <w:rPr>
          <w:rStyle w:val="FootnoteAnchor"/>
          <w:rtl w:val="true"/>
        </w:rPr>
        <w:footnoteReference w:id="495"/>
      </w:r>
      <w:r>
        <w:rPr>
          <w:rFonts w:ascii="IRNazanin" w:hAnsi="IRNazanin" w:eastAsia="IRNazanin"/>
          <w:color w:val="111111"/>
          <w:sz w:val="28"/>
          <w:sz w:val="28"/>
          <w:szCs w:val="28"/>
          <w:rtl w:val="true"/>
          <w:lang w:bidi="fa-IR"/>
        </w:rPr>
        <w:t xml:space="preserve">، و کذا 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یقرأ بالصاد و السین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أربعة بضمّ الفاء أو سکونه مع الهمزة أو الواو، و الأرجح أن یقرأ بالهمزة مع ضمّ الفاء، و أدونها بالواو مع إسکان الفاء</w:t>
      </w:r>
      <w:r>
        <w:rPr>
          <w:rFonts w:eastAsia="IRNazanin" w:cs="IRNazanin"/>
          <w:color w:val="111111"/>
          <w:sz w:val="28"/>
          <w:szCs w:val="28"/>
          <w:rtl w:val="true"/>
          <w:lang w:bidi="fa-IR"/>
        </w:rPr>
        <w:t>.</w:t>
      </w:r>
    </w:p>
    <w:p>
      <w:pPr>
        <w:pStyle w:val="Heading5"/>
        <w:numPr>
          <w:ilvl w:val="4"/>
          <w:numId w:val="1"/>
        </w:numPr>
        <w:rPr/>
      </w:pPr>
      <w:bookmarkStart w:id="1687" w:name="__RefHeading___Toc2566524_3650668749"/>
      <w:bookmarkStart w:id="1688" w:name="_Toc771"/>
      <w:bookmarkEnd w:id="1687"/>
      <w:r>
        <w:rPr>
          <w:rtl w:val="true"/>
        </w:rPr>
        <w:t>[ (</w:t>
      </w:r>
      <w:r>
        <w:rPr>
          <w:rtl w:val="true"/>
        </w:rPr>
        <w:t xml:space="preserve">مسألة </w:t>
      </w:r>
      <w:r>
        <w:rPr/>
        <w:t>16</w:t>
      </w:r>
      <w:r>
        <w:rPr>
          <w:rtl w:val="true"/>
        </w:rPr>
        <w:t xml:space="preserve">): </w:t>
      </w:r>
      <w:r>
        <w:rPr>
          <w:rtl w:val="true"/>
        </w:rPr>
        <w:t>من لا یقدر إلّا علی الملحون أو تبدیل بعض الحروف و لا یستطیع أن یتعلّم أجزأه ذلک</w:t>
      </w:r>
      <w:r>
        <w:rPr>
          <w:rtl w:val="true"/>
        </w:rPr>
        <w:t>]</w:t>
      </w:r>
      <w:bookmarkEnd w:id="1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یقدر إلّا علی الملحون أو تبدیل بعض الحروف و لا یستطیع أن یتعلّم أجزأه ذلک، و لا یجب علیه الائتمام و إن کان أحوط، بخلاف من کان قادراً علی التصحیح و التعلّم و لم یتعلّم فإنّه یجب علیه </w:t>
      </w:r>
      <w:r>
        <w:rPr>
          <w:rStyle w:val="FootnoteAnchor"/>
          <w:rtl w:val="true"/>
        </w:rPr>
        <w:footnoteReference w:id="496"/>
      </w:r>
      <w:r>
        <w:rPr>
          <w:rFonts w:ascii="IRNazanin" w:hAnsi="IRNazanin" w:eastAsia="IRNazanin"/>
          <w:color w:val="111111"/>
          <w:sz w:val="28"/>
          <w:sz w:val="28"/>
          <w:szCs w:val="28"/>
          <w:rtl w:val="true"/>
          <w:lang w:bidi="fa-IR"/>
        </w:rPr>
        <w:t>الائتمام مع الإمکان</w:t>
      </w:r>
      <w:r>
        <w:rPr>
          <w:rFonts w:eastAsia="IRNazanin" w:cs="IRNazanin"/>
          <w:color w:val="111111"/>
          <w:sz w:val="28"/>
          <w:szCs w:val="28"/>
          <w:rtl w:val="true"/>
          <w:lang w:bidi="fa-IR"/>
        </w:rPr>
        <w:t>.</w:t>
      </w:r>
    </w:p>
    <w:p>
      <w:pPr>
        <w:pStyle w:val="Heading5"/>
        <w:numPr>
          <w:ilvl w:val="4"/>
          <w:numId w:val="1"/>
        </w:numPr>
        <w:rPr/>
      </w:pPr>
      <w:bookmarkStart w:id="1689" w:name="__RefHeading___Toc2566526_3650668749"/>
      <w:bookmarkStart w:id="1690" w:name="_Toc772"/>
      <w:bookmarkEnd w:id="1689"/>
      <w:r>
        <w:rPr>
          <w:rtl w:val="true"/>
        </w:rPr>
        <w:t>[ (</w:t>
      </w:r>
      <w:r>
        <w:rPr>
          <w:rtl w:val="true"/>
        </w:rPr>
        <w:t xml:space="preserve">مسألة </w:t>
      </w:r>
      <w:r>
        <w:rPr/>
        <w:t>17</w:t>
      </w:r>
      <w:r>
        <w:rPr>
          <w:rtl w:val="true"/>
        </w:rPr>
        <w:t xml:space="preserve">): </w:t>
      </w:r>
      <w:r>
        <w:rPr>
          <w:rtl w:val="true"/>
        </w:rPr>
        <w:t>یتخیّر فیما عدا الرکعتین الأُولیین من فرائضه بین الذکر و الفاتحة</w:t>
      </w:r>
      <w:r>
        <w:rPr>
          <w:rtl w:val="true"/>
        </w:rPr>
        <w:t>]</w:t>
      </w:r>
      <w:bookmarkEnd w:id="16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یتخیّر فیما عدا الرکعتین الأُولیین من فرائضه بین الذکر و الفاتحة، و الأفضل الذکر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یجب المحافظة علی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یجزی أن یقول ذلک مرّة واحدة، و الأحوط التکرار ثلاثاً، فتکون اثنی عشر تسبیحة، و الأولی إضافة الاستغفار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الإخفات فی الذکر و فی القراءة حتّی البسملة علی الأحوط إذا اختار الإتیان بها بدل الذکر، و لا یجب اتّفاق الرکعتین الأخیرتین فی القراءة و الذکر، بل له القراءة فی إحداهما و الذکر فی الأُخریٰ</w:t>
      </w:r>
      <w:r>
        <w:rPr>
          <w:rFonts w:eastAsia="IRNazanin" w:cs="IRNazanin"/>
          <w:color w:val="111111"/>
          <w:sz w:val="28"/>
          <w:szCs w:val="28"/>
          <w:rtl w:val="true"/>
          <w:lang w:bidi="fa-IR"/>
        </w:rPr>
        <w:t>.</w:t>
      </w:r>
    </w:p>
    <w:p>
      <w:pPr>
        <w:pStyle w:val="Heading5"/>
        <w:numPr>
          <w:ilvl w:val="4"/>
          <w:numId w:val="1"/>
        </w:numPr>
        <w:rPr/>
      </w:pPr>
      <w:bookmarkStart w:id="1691" w:name="__RefHeading___Toc2566528_3650668749"/>
      <w:bookmarkStart w:id="1692" w:name="_Toc773"/>
      <w:bookmarkEnd w:id="1691"/>
      <w:r>
        <w:rPr>
          <w:rtl w:val="true"/>
        </w:rPr>
        <w:t>[ (</w:t>
      </w:r>
      <w:r>
        <w:rPr>
          <w:rtl w:val="true"/>
        </w:rPr>
        <w:t xml:space="preserve">مسألة </w:t>
      </w:r>
      <w:r>
        <w:rPr/>
        <w:t>18</w:t>
      </w:r>
      <w:r>
        <w:rPr>
          <w:rtl w:val="true"/>
        </w:rPr>
        <w:t xml:space="preserve">): </w:t>
      </w:r>
      <w:r>
        <w:rPr>
          <w:rtl w:val="true"/>
        </w:rPr>
        <w:t>لو قصد التسبیح مثلًا فسبق لسانه إلی القراءة</w:t>
      </w:r>
      <w:r>
        <w:rPr>
          <w:rtl w:val="true"/>
        </w:rPr>
        <w:t>]</w:t>
      </w:r>
      <w:bookmarkEnd w:id="169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قصد التسبیح مثلًا فسبق لسانه إلی القراءة فالأحوط </w:t>
      </w:r>
      <w:r>
        <w:rPr>
          <w:rStyle w:val="FootnoteAnchor"/>
          <w:rtl w:val="true"/>
        </w:rPr>
        <w:footnoteReference w:id="498"/>
      </w:r>
      <w:r>
        <w:rPr>
          <w:rFonts w:ascii="IRNazanin" w:hAnsi="IRNazanin" w:eastAsia="IRNazanin"/>
          <w:color w:val="111111"/>
          <w:sz w:val="28"/>
          <w:sz w:val="28"/>
          <w:szCs w:val="28"/>
          <w:rtl w:val="true"/>
          <w:lang w:bidi="fa-IR"/>
        </w:rPr>
        <w:t>عدم الاجتزاء به، أمّا لو فعل ذلک غافلًا من غیر قصد إلیٰ أحدهما اجتزأ به و إن کان من عادته خلافه، بل و إن کان عازماً من أوّل الصلاة علیٰ غیره، و الأحوط استئناف غیره</w:t>
      </w:r>
      <w:r>
        <w:rPr>
          <w:rFonts w:eastAsia="IRNazanin" w:cs="IRNazanin"/>
          <w:color w:val="111111"/>
          <w:sz w:val="28"/>
          <w:szCs w:val="28"/>
          <w:rtl w:val="true"/>
          <w:lang w:bidi="fa-IR"/>
        </w:rPr>
        <w:t>.</w:t>
      </w:r>
      <w:bookmarkStart w:id="1693" w:name="pg1809_18979"/>
    </w:p>
    <w:p>
      <w:pPr>
        <w:pStyle w:val="Heading5"/>
        <w:numPr>
          <w:ilvl w:val="4"/>
          <w:numId w:val="1"/>
        </w:numPr>
        <w:rPr/>
      </w:pPr>
      <w:bookmarkStart w:id="1694" w:name="__RefHeading___Toc2566530_3650668749"/>
      <w:bookmarkStart w:id="1695" w:name="_Toc774"/>
      <w:bookmarkEnd w:id="1693"/>
      <w:bookmarkEnd w:id="1694"/>
      <w:r>
        <w:rPr>
          <w:rtl w:val="true"/>
        </w:rPr>
        <w:t>[ (</w:t>
      </w:r>
      <w:r>
        <w:rPr>
          <w:rtl w:val="true"/>
        </w:rPr>
        <w:t xml:space="preserve">مسألة </w:t>
      </w:r>
      <w:r>
        <w:rPr/>
        <w:t>19</w:t>
      </w:r>
      <w:r>
        <w:rPr>
          <w:rtl w:val="true"/>
        </w:rPr>
        <w:t xml:space="preserve">): </w:t>
      </w:r>
      <w:r>
        <w:rPr>
          <w:rtl w:val="true"/>
        </w:rPr>
        <w:t>إذا قرأ الفاتحة بتخیّل أنّه فی الأُولیین فتبیّن کونه فی الأخیرتین</w:t>
      </w:r>
      <w:r>
        <w:rPr>
          <w:rtl w:val="true"/>
        </w:rPr>
        <w:t>]</w:t>
      </w:r>
      <w:bookmarkEnd w:id="16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 الفاتحة بتخیّل أنّه فی الأُولیین فتبیّن کونه فی الأخیرتین یجتزئ به، کالعکس بأن قرأها بتخیّل أنّه فی الأخیرتین فتبیّن کونه فی الأُولیین</w:t>
      </w:r>
      <w:r>
        <w:rPr>
          <w:rFonts w:eastAsia="IRNazanin" w:cs="IRNazanin"/>
          <w:color w:val="111111"/>
          <w:sz w:val="28"/>
          <w:szCs w:val="28"/>
          <w:rtl w:val="true"/>
          <w:lang w:bidi="fa-IR"/>
        </w:rPr>
        <w:t>.</w:t>
      </w:r>
    </w:p>
    <w:p>
      <w:pPr>
        <w:pStyle w:val="Heading5"/>
        <w:numPr>
          <w:ilvl w:val="4"/>
          <w:numId w:val="1"/>
        </w:numPr>
        <w:rPr/>
      </w:pPr>
      <w:bookmarkStart w:id="1696" w:name="__RefHeading___Toc2566532_3650668749"/>
      <w:bookmarkStart w:id="1697" w:name="_Toc775"/>
      <w:bookmarkEnd w:id="1696"/>
      <w:r>
        <w:rPr>
          <w:rtl w:val="true"/>
        </w:rPr>
        <w:t>[ (</w:t>
      </w:r>
      <w:r>
        <w:rPr>
          <w:rtl w:val="true"/>
        </w:rPr>
        <w:t xml:space="preserve">مسألة </w:t>
      </w:r>
      <w:r>
        <w:rPr/>
        <w:t>20</w:t>
      </w:r>
      <w:r>
        <w:rPr>
          <w:rtl w:val="true"/>
        </w:rPr>
        <w:t xml:space="preserve">): </w:t>
      </w:r>
      <w:r>
        <w:rPr>
          <w:rtl w:val="true"/>
        </w:rPr>
        <w:t>الأحوط أن لا یزید علیٰ ثلاث تسبیحات إلّا بقصد الذکر المطلق</w:t>
      </w:r>
      <w:r>
        <w:rPr>
          <w:rtl w:val="true"/>
        </w:rPr>
        <w:t>]</w:t>
      </w:r>
      <w:bookmarkEnd w:id="1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لا یزید علیٰ ثلاث تسبیحات إلّا بقصد الذکر المطلق</w:t>
      </w:r>
      <w:r>
        <w:rPr>
          <w:rFonts w:eastAsia="IRNazanin" w:cs="IRNazanin"/>
          <w:color w:val="111111"/>
          <w:sz w:val="28"/>
          <w:szCs w:val="28"/>
          <w:rtl w:val="true"/>
          <w:lang w:bidi="fa-IR"/>
        </w:rPr>
        <w:t>.</w:t>
      </w:r>
    </w:p>
    <w:p>
      <w:pPr>
        <w:pStyle w:val="Heading5"/>
        <w:numPr>
          <w:ilvl w:val="4"/>
          <w:numId w:val="1"/>
        </w:numPr>
        <w:rPr/>
      </w:pPr>
      <w:bookmarkStart w:id="1698" w:name="__RefHeading___Toc2566534_3650668749"/>
      <w:bookmarkStart w:id="1699" w:name="_Toc776"/>
      <w:bookmarkEnd w:id="1698"/>
      <w:r>
        <w:rPr>
          <w:rtl w:val="true"/>
        </w:rPr>
        <w:t>[ (</w:t>
      </w:r>
      <w:r>
        <w:rPr>
          <w:rtl w:val="true"/>
        </w:rPr>
        <w:t xml:space="preserve">مسألة </w:t>
      </w:r>
      <w:r>
        <w:rPr/>
        <w:t>21</w:t>
      </w:r>
      <w:r>
        <w:rPr>
          <w:rtl w:val="true"/>
        </w:rPr>
        <w:t xml:space="preserve">): </w:t>
      </w:r>
      <w:r>
        <w:rPr>
          <w:rtl w:val="true"/>
        </w:rPr>
        <w:t xml:space="preserve">یستحبّ قراءة </w:t>
      </w:r>
      <w:r>
        <w:rPr>
          <w:rtl w:val="true"/>
        </w:rPr>
        <w:t>«</w:t>
      </w:r>
      <w:r>
        <w:rPr>
          <w:rtl w:val="true"/>
        </w:rPr>
        <w:t>عَمَّ یَتسائَلُون</w:t>
      </w:r>
      <w:r>
        <w:rPr>
          <w:rtl w:val="true"/>
        </w:rPr>
        <w:t xml:space="preserve">» </w:t>
      </w:r>
      <w:r>
        <w:rPr>
          <w:rtl w:val="true"/>
        </w:rPr>
        <w:t xml:space="preserve">أو </w:t>
      </w:r>
      <w:r>
        <w:rPr>
          <w:rtl w:val="true"/>
        </w:rPr>
        <w:t>«</w:t>
      </w:r>
      <w:r>
        <w:rPr>
          <w:rtl w:val="true"/>
        </w:rPr>
        <w:t>هَلْ أتی</w:t>
      </w:r>
      <w:r>
        <w:rPr>
          <w:rtl w:val="true"/>
        </w:rPr>
        <w:t xml:space="preserve">» </w:t>
      </w:r>
      <w:r>
        <w:rPr>
          <w:rtl w:val="true"/>
        </w:rPr>
        <w:t xml:space="preserve">أو </w:t>
      </w:r>
      <w:r>
        <w:rPr>
          <w:rtl w:val="true"/>
        </w:rPr>
        <w:t>«</w:t>
      </w:r>
      <w:r>
        <w:rPr>
          <w:rtl w:val="true"/>
        </w:rPr>
        <w:t>الغاشیة</w:t>
      </w:r>
      <w:r>
        <w:rPr>
          <w:rtl w:val="true"/>
        </w:rPr>
        <w:t xml:space="preserve">» </w:t>
      </w:r>
      <w:r>
        <w:rPr>
          <w:rtl w:val="true"/>
        </w:rPr>
        <w:t xml:space="preserve">أو </w:t>
      </w:r>
      <w:r>
        <w:rPr>
          <w:rtl w:val="true"/>
        </w:rPr>
        <w:t>«</w:t>
      </w:r>
      <w:r>
        <w:rPr>
          <w:rtl w:val="true"/>
        </w:rPr>
        <w:t>القیامة</w:t>
      </w:r>
      <w:r>
        <w:rPr>
          <w:rtl w:val="true"/>
        </w:rPr>
        <w:t xml:space="preserve">» </w:t>
      </w:r>
      <w:r>
        <w:rPr>
          <w:rtl w:val="true"/>
        </w:rPr>
        <w:t>و أشباهها فی صلاة الصبح</w:t>
      </w:r>
      <w:r>
        <w:rPr>
          <w:rtl w:val="true"/>
        </w:rPr>
        <w:t>]</w:t>
      </w:r>
      <w:bookmarkEnd w:id="1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أشباهها فی صلاة الصبح، و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نحوهما فی الظهر و العشاء، و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العصر و المغرب، و قراءة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الرکعة الاولیٰ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الثانیة فی الظهر و العصر من یوم الجمعة، و کذا فی صبح یوم الجمعة، أو یقرأ فیها فی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الثانیة، و کذا فی العشاء </w:t>
      </w:r>
      <w:r>
        <w:rPr>
          <w:rStyle w:val="FootnoteAnchor"/>
          <w:rtl w:val="true"/>
        </w:rPr>
        <w:footnoteReference w:id="499"/>
      </w:r>
      <w:r>
        <w:rPr>
          <w:rFonts w:ascii="IRNazanin" w:hAnsi="IRNazanin" w:eastAsia="IRNazanin"/>
          <w:color w:val="111111"/>
          <w:sz w:val="28"/>
          <w:sz w:val="28"/>
          <w:szCs w:val="28"/>
          <w:rtl w:val="true"/>
          <w:lang w:bidi="fa-IR"/>
        </w:rPr>
        <w:t xml:space="preserve">فی لیلة الجمعة یقرأ فی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مغربها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الثانیة، کما أنّه یستحبّ فی کلّ صلاة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الثانیة</w:t>
      </w:r>
      <w:r>
        <w:rPr>
          <w:rFonts w:eastAsia="IRNazanin" w:cs="IRNazanin"/>
          <w:color w:val="111111"/>
          <w:sz w:val="28"/>
          <w:szCs w:val="28"/>
          <w:rtl w:val="true"/>
          <w:lang w:bidi="fa-IR"/>
        </w:rPr>
        <w:t>.</w:t>
      </w:r>
    </w:p>
    <w:p>
      <w:pPr>
        <w:pStyle w:val="Heading5"/>
        <w:numPr>
          <w:ilvl w:val="4"/>
          <w:numId w:val="1"/>
        </w:numPr>
        <w:rPr/>
      </w:pPr>
      <w:bookmarkStart w:id="1700" w:name="__RefHeading___Toc2566536_3650668749"/>
      <w:bookmarkStart w:id="1701" w:name="_Toc777"/>
      <w:bookmarkEnd w:id="1700"/>
      <w:r>
        <w:rPr>
          <w:rtl w:val="true"/>
        </w:rPr>
        <w:t>[ (</w:t>
      </w:r>
      <w:r>
        <w:rPr>
          <w:rtl w:val="true"/>
        </w:rPr>
        <w:t xml:space="preserve">مسألة </w:t>
      </w:r>
      <w:r>
        <w:rPr/>
        <w:t>22</w:t>
      </w:r>
      <w:r>
        <w:rPr>
          <w:rtl w:val="true"/>
        </w:rPr>
        <w:t xml:space="preserve">): </w:t>
      </w:r>
      <w:r>
        <w:rPr>
          <w:rtl w:val="true"/>
        </w:rPr>
        <w:t>قد عرفت أنّه یجب الاستقرار حال القراءة و الأذکار</w:t>
      </w:r>
      <w:r>
        <w:rPr>
          <w:rtl w:val="true"/>
        </w:rPr>
        <w:t>]</w:t>
      </w:r>
      <w:bookmarkEnd w:id="17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یجب الاستقرار حال القراءة و الأذکار، فلو أراد حالهما التقدّم أو التأخّر أو الانحناء لغرض من الأغراض یجب أن یسکت حال الحرکة، لکن لا یضرّ مثل تحریک الید أو أصابع الرجلین و إن کان الترک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تحرّک حال القراءة قهراً فالأحوط إعادة ما قرأه فی تلک الحالة</w:t>
      </w:r>
      <w:r>
        <w:rPr>
          <w:rFonts w:eastAsia="IRNazanin" w:cs="IRNazanin"/>
          <w:color w:val="111111"/>
          <w:sz w:val="28"/>
          <w:szCs w:val="28"/>
          <w:rtl w:val="true"/>
          <w:lang w:bidi="fa-IR"/>
        </w:rPr>
        <w:t>.</w:t>
      </w:r>
    </w:p>
    <w:p>
      <w:pPr>
        <w:pStyle w:val="Heading5"/>
        <w:numPr>
          <w:ilvl w:val="4"/>
          <w:numId w:val="1"/>
        </w:numPr>
        <w:rPr/>
      </w:pPr>
      <w:bookmarkStart w:id="1702" w:name="__RefHeading___Toc2566538_3650668749"/>
      <w:bookmarkStart w:id="1703" w:name="_Toc778"/>
      <w:bookmarkEnd w:id="1702"/>
      <w:r>
        <w:rPr>
          <w:rtl w:val="true"/>
        </w:rPr>
        <w:t>[ (</w:t>
      </w:r>
      <w:r>
        <w:rPr>
          <w:rtl w:val="true"/>
        </w:rPr>
        <w:t xml:space="preserve">مسألة </w:t>
      </w:r>
      <w:r>
        <w:rPr/>
        <w:t>23</w:t>
      </w:r>
      <w:r>
        <w:rPr>
          <w:rtl w:val="true"/>
        </w:rPr>
        <w:t xml:space="preserve">): </w:t>
      </w:r>
      <w:r>
        <w:rPr>
          <w:rtl w:val="true"/>
        </w:rPr>
        <w:t>إذا شکّ فی صحّة قراءة آیة أو کلمة یجب إعادتها إذا لم یتجاوز</w:t>
      </w:r>
      <w:r>
        <w:rPr>
          <w:rtl w:val="true"/>
        </w:rPr>
        <w:t>]</w:t>
      </w:r>
      <w:bookmarkEnd w:id="17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صحّة قراءة آیة أو کلمة یجب إعادتها إذا لم یتجاوز، و یجوز بقصد الاحتیاط مع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ثانیاً أو ثالثاً لا بأس بتکرارها ما لم یکن عن وسوسة فلا یعتنی بالشکّ</w:t>
      </w:r>
      <w:r>
        <w:rPr>
          <w:rFonts w:eastAsia="IRNazanin" w:cs="IRNazanin"/>
          <w:color w:val="111111"/>
          <w:sz w:val="28"/>
          <w:szCs w:val="28"/>
          <w:rtl w:val="true"/>
          <w:lang w:bidi="fa-IR"/>
        </w:rPr>
        <w:t>.</w:t>
      </w:r>
    </w:p>
    <w:p>
      <w:pPr>
        <w:pStyle w:val="Heading4"/>
        <w:numPr>
          <w:ilvl w:val="3"/>
          <w:numId w:val="1"/>
        </w:numPr>
        <w:rPr/>
      </w:pPr>
      <w:bookmarkStart w:id="1704" w:name="__RefHeading___Toc2566540_3650668749"/>
      <w:bookmarkStart w:id="1705" w:name="_Toc779"/>
      <w:bookmarkEnd w:id="1704"/>
      <w:r>
        <w:rPr>
          <w:rtl w:val="true"/>
        </w:rPr>
        <w:t>[</w:t>
      </w:r>
      <w:r>
        <w:rPr>
          <w:rtl w:val="true"/>
        </w:rPr>
        <w:t>القول فی الرکوع</w:t>
      </w:r>
      <w:r>
        <w:rPr>
          <w:rtl w:val="true"/>
        </w:rPr>
        <w:t>]</w:t>
      </w:r>
      <w:bookmarkEnd w:id="1705"/>
    </w:p>
    <w:p>
      <w:pPr>
        <w:pStyle w:val="Heading5"/>
        <w:numPr>
          <w:ilvl w:val="4"/>
          <w:numId w:val="1"/>
        </w:numPr>
        <w:rPr/>
      </w:pPr>
      <w:bookmarkStart w:id="1706" w:name="__RefHeading___Toc2566542_3650668749"/>
      <w:bookmarkStart w:id="1707" w:name="_Toc780"/>
      <w:bookmarkEnd w:id="1706"/>
      <w:r>
        <w:rPr>
          <w:rtl w:val="true"/>
        </w:rPr>
        <w:t>اشارة</w:t>
      </w:r>
      <w:bookmarkEnd w:id="1707"/>
    </w:p>
    <w:p>
      <w:pPr>
        <w:pStyle w:val="BookText"/>
        <w:rPr/>
      </w:pPr>
      <w:r>
        <w:rPr>
          <w:rFonts w:ascii="IRNazanin" w:hAnsi="IRNazanin" w:eastAsia="IRNazanin"/>
          <w:color w:val="111111"/>
          <w:sz w:val="28"/>
          <w:sz w:val="28"/>
          <w:szCs w:val="28"/>
          <w:rtl w:val="true"/>
          <w:lang w:bidi="fa-IR"/>
        </w:rPr>
        <w:t>القول فی الرکوع</w:t>
      </w:r>
    </w:p>
    <w:p>
      <w:pPr>
        <w:pStyle w:val="Heading5"/>
        <w:numPr>
          <w:ilvl w:val="4"/>
          <w:numId w:val="1"/>
        </w:numPr>
        <w:rPr/>
      </w:pPr>
      <w:bookmarkStart w:id="1708" w:name="__RefHeading___Toc2566544_3650668749"/>
      <w:bookmarkStart w:id="1709" w:name="_Toc781"/>
      <w:bookmarkEnd w:id="1708"/>
      <w:r>
        <w:rPr>
          <w:rtl w:val="true"/>
        </w:rPr>
        <w:t>[ (</w:t>
      </w:r>
      <w:r>
        <w:rPr>
          <w:rtl w:val="true"/>
        </w:rPr>
        <w:t xml:space="preserve">مسألة </w:t>
      </w:r>
      <w:r>
        <w:rPr/>
        <w:t>1</w:t>
      </w:r>
      <w:r>
        <w:rPr>
          <w:rtl w:val="true"/>
        </w:rPr>
        <w:t xml:space="preserve">): </w:t>
      </w:r>
      <w:r>
        <w:rPr>
          <w:rtl w:val="true"/>
        </w:rPr>
        <w:t>یجب فی کلّ رکعة من الفرائض الیومیّة رکوع واحد</w:t>
      </w:r>
      <w:r>
        <w:rPr>
          <w:rtl w:val="true"/>
        </w:rPr>
        <w:t>]</w:t>
      </w:r>
      <w:bookmarkEnd w:id="170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فی کلّ رکعة من الفرائض الیومیّة رکوع واحد، و هو رکن تبطل الصلاة بزیادته و نقصانه عمداً و سهواً إلّا فی الجماعة </w:t>
      </w:r>
      <w:r>
        <w:rPr>
          <w:rStyle w:val="FootnoteAnchor"/>
          <w:rtl w:val="true"/>
        </w:rPr>
        <w:footnoteReference w:id="500"/>
      </w:r>
      <w:r>
        <w:rPr>
          <w:rFonts w:ascii="IRNazanin" w:hAnsi="IRNazanin" w:eastAsia="IRNazanin"/>
          <w:color w:val="111111"/>
          <w:sz w:val="28"/>
          <w:sz w:val="28"/>
          <w:szCs w:val="28"/>
          <w:rtl w:val="true"/>
          <w:lang w:bidi="fa-IR"/>
        </w:rPr>
        <w:t>للمتابعة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فیه من الانحناء</w:t>
      </w:r>
      <w:bookmarkStart w:id="1710" w:name="pg1809_18981"/>
    </w:p>
    <w:p>
      <w:pPr>
        <w:pStyle w:val="BookText"/>
        <w:rPr/>
      </w:pPr>
      <w:bookmarkEnd w:id="1710"/>
      <w:r>
        <w:rPr>
          <w:rFonts w:ascii="IRNazanin" w:hAnsi="IRNazanin" w:eastAsia="IRNazanin"/>
          <w:color w:val="111111"/>
          <w:sz w:val="28"/>
          <w:sz w:val="28"/>
          <w:szCs w:val="28"/>
          <w:rtl w:val="true"/>
          <w:lang w:bidi="fa-IR"/>
        </w:rPr>
        <w:t>المتعارف بحیث تصل الید إلی الرکبة، و الأحوط وصول الراحة إلیها فلا یکفی مسمّی الانحناء</w:t>
      </w:r>
      <w:r>
        <w:rPr>
          <w:rFonts w:eastAsia="IRNazanin" w:cs="IRNazanin"/>
          <w:color w:val="111111"/>
          <w:sz w:val="28"/>
          <w:szCs w:val="28"/>
          <w:rtl w:val="true"/>
          <w:lang w:bidi="fa-IR"/>
        </w:rPr>
        <w:t>.</w:t>
      </w:r>
    </w:p>
    <w:p>
      <w:pPr>
        <w:pStyle w:val="Heading5"/>
        <w:numPr>
          <w:ilvl w:val="4"/>
          <w:numId w:val="1"/>
        </w:numPr>
        <w:rPr/>
      </w:pPr>
      <w:bookmarkStart w:id="1711" w:name="__RefHeading___Toc2566546_3650668749"/>
      <w:bookmarkStart w:id="1712" w:name="_Toc782"/>
      <w:bookmarkEnd w:id="1711"/>
      <w:r>
        <w:rPr>
          <w:rtl w:val="true"/>
        </w:rPr>
        <w:t>[ (</w:t>
      </w:r>
      <w:r>
        <w:rPr>
          <w:rtl w:val="true"/>
        </w:rPr>
        <w:t xml:space="preserve">مسألة </w:t>
      </w:r>
      <w:r>
        <w:rPr/>
        <w:t>2</w:t>
      </w:r>
      <w:r>
        <w:rPr>
          <w:rtl w:val="true"/>
        </w:rPr>
        <w:t xml:space="preserve">): </w:t>
      </w:r>
      <w:r>
        <w:rPr>
          <w:rtl w:val="true"/>
        </w:rPr>
        <w:t>من لم یتمکّن من الانحناء المزبور اعتمد</w:t>
      </w:r>
      <w:r>
        <w:rPr>
          <w:rtl w:val="true"/>
        </w:rPr>
        <w:t>]</w:t>
      </w:r>
      <w:bookmarkEnd w:id="17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یتمکّن من الانحناء المزبور اعتمد، فإن لم یتمکّن و لو بالاعتماد أتی بالممکن منه و لا ینتقل إلی الجلوس و إن تمکّن من الرکوع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یتمکّن من الانحناء أصلًا انتقل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صلاة أُخری بالإیماء قائماً، فإن لم یتمکّن من الرکوع جالساً أجزأ الإیماء حینئذٍ فیومئ برأسه قائماً، فإن لم یتمکّن غمض عینیه للرکوع و فتحهما للرفع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رکوع الجالس بالانحناء الذی یحصل به مسمّاه عرفاً </w:t>
      </w:r>
      <w:r>
        <w:rPr>
          <w:rStyle w:val="FootnoteAnchor"/>
          <w:rtl w:val="true"/>
        </w:rPr>
        <w:footnoteReference w:id="501"/>
      </w:r>
      <w:r>
        <w:rPr>
          <w:rFonts w:ascii="IRNazanin" w:hAnsi="IRNazanin" w:eastAsia="IRNazanin"/>
          <w:color w:val="111111"/>
          <w:sz w:val="28"/>
          <w:sz w:val="28"/>
          <w:szCs w:val="28"/>
          <w:rtl w:val="true"/>
          <w:lang w:bidi="fa-IR"/>
        </w:rPr>
        <w:t>و یتحقّق بانحنائه بحیث یساوی وجهه رکبتیه، و الأفضل له الزیادة علیٰ ذلک بحیث یحاذی مسجده</w:t>
      </w:r>
      <w:r>
        <w:rPr>
          <w:rFonts w:eastAsia="IRNazanin" w:cs="IRNazanin"/>
          <w:color w:val="111111"/>
          <w:sz w:val="28"/>
          <w:szCs w:val="28"/>
          <w:rtl w:val="true"/>
          <w:lang w:bidi="fa-IR"/>
        </w:rPr>
        <w:t>.</w:t>
      </w:r>
    </w:p>
    <w:p>
      <w:pPr>
        <w:pStyle w:val="Heading5"/>
        <w:numPr>
          <w:ilvl w:val="4"/>
          <w:numId w:val="1"/>
        </w:numPr>
        <w:rPr/>
      </w:pPr>
      <w:bookmarkStart w:id="1713" w:name="__RefHeading___Toc2566548_3650668749"/>
      <w:bookmarkStart w:id="1714" w:name="_Toc783"/>
      <w:bookmarkEnd w:id="1713"/>
      <w:r>
        <w:rPr>
          <w:rtl w:val="true"/>
        </w:rPr>
        <w:t>[ (</w:t>
      </w:r>
      <w:r>
        <w:rPr>
          <w:rtl w:val="true"/>
        </w:rPr>
        <w:t xml:space="preserve">مسألة </w:t>
      </w:r>
      <w:r>
        <w:rPr/>
        <w:t>3</w:t>
      </w:r>
      <w:r>
        <w:rPr>
          <w:rtl w:val="true"/>
        </w:rPr>
        <w:t xml:space="preserve">): </w:t>
      </w:r>
      <w:r>
        <w:rPr>
          <w:rtl w:val="true"/>
        </w:rPr>
        <w:t>یعتبر فی الانحناء أن یکون بقصد الرکوع</w:t>
      </w:r>
      <w:r>
        <w:rPr>
          <w:rtl w:val="true"/>
        </w:rPr>
        <w:t>]</w:t>
      </w:r>
      <w:bookmarkEnd w:id="17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الانحناء أن یکون بقصد الرکوع، فلو انحنیٰ بقصد وضع شی‌ء علی الأرض مثلًا لا یکفی فی جعله رکوعاً، بل لا بدّ من القیام ثمّ الانحناء للرکوع</w:t>
      </w:r>
      <w:r>
        <w:rPr>
          <w:rFonts w:eastAsia="IRNazanin" w:cs="IRNazanin"/>
          <w:color w:val="111111"/>
          <w:sz w:val="28"/>
          <w:szCs w:val="28"/>
          <w:rtl w:val="true"/>
          <w:lang w:bidi="fa-IR"/>
        </w:rPr>
        <w:t>.</w:t>
      </w:r>
    </w:p>
    <w:p>
      <w:pPr>
        <w:pStyle w:val="Heading5"/>
        <w:numPr>
          <w:ilvl w:val="4"/>
          <w:numId w:val="1"/>
        </w:numPr>
        <w:rPr/>
      </w:pPr>
      <w:bookmarkStart w:id="1715" w:name="__RefHeading___Toc2566550_3650668749"/>
      <w:bookmarkStart w:id="1716" w:name="_Toc784"/>
      <w:bookmarkEnd w:id="1715"/>
      <w:r>
        <w:rPr>
          <w:rtl w:val="true"/>
        </w:rPr>
        <w:t>[ (</w:t>
      </w:r>
      <w:r>
        <w:rPr>
          <w:rtl w:val="true"/>
        </w:rPr>
        <w:t xml:space="preserve">مسألة </w:t>
      </w:r>
      <w:r>
        <w:rPr/>
        <w:t>4</w:t>
      </w:r>
      <w:r>
        <w:rPr>
          <w:rtl w:val="true"/>
        </w:rPr>
        <w:t xml:space="preserve">): </w:t>
      </w:r>
      <w:r>
        <w:rPr>
          <w:rtl w:val="true"/>
        </w:rPr>
        <w:t>من کان کالراکع خلقةً أو لعارض إن تمکّن من الانتصاب و لو بالاعتماد</w:t>
      </w:r>
      <w:r>
        <w:rPr>
          <w:rtl w:val="true"/>
        </w:rPr>
        <w:t>]</w:t>
      </w:r>
      <w:bookmarkEnd w:id="1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کالراکع خلقةً أو لعارض إن تمکّن من الانتصاب و لو بالاعتماد لتحصیل القیام الواجب لیرکع عنه وجب، و إن لم یتمکّن من الانتصاب التامّ فالانتصاب فی الجملة و ما هو أقرب إلی القیام لیرکع عنه، و إن لم یتمکّن أصلًا وجب أن ینحنی أزید من المقدار الحاصل إذا لم یخرج بذلک عن حدّ الرکوع، و إن لم یتمکّن من ذلک بأن لم یقدر علیٰ زیادة الانحناء أو کان انحناؤه بالغاً أقصی مراتب الرکوع بحیث لو زید خرج عن حدّه نوی الرکوع بانحنائه، و الأحوط </w:t>
      </w:r>
      <w:r>
        <w:rPr>
          <w:rStyle w:val="FootnoteAnchor"/>
          <w:rtl w:val="true"/>
        </w:rPr>
        <w:footnoteReference w:id="502"/>
      </w:r>
      <w:r>
        <w:rPr>
          <w:rFonts w:ascii="IRNazanin" w:hAnsi="IRNazanin" w:eastAsia="IRNazanin"/>
          <w:color w:val="111111"/>
          <w:sz w:val="28"/>
          <w:sz w:val="28"/>
          <w:szCs w:val="28"/>
          <w:rtl w:val="true"/>
          <w:lang w:bidi="fa-IR"/>
        </w:rPr>
        <w:t>أن یومئ برأسه إلیه أیضاً</w:t>
      </w:r>
      <w:r>
        <w:rPr>
          <w:rFonts w:eastAsia="IRNazanin" w:cs="IRNazanin"/>
          <w:color w:val="111111"/>
          <w:sz w:val="28"/>
          <w:szCs w:val="28"/>
          <w:rtl w:val="true"/>
          <w:lang w:bidi="fa-IR"/>
        </w:rPr>
        <w:t>.</w:t>
      </w:r>
    </w:p>
    <w:p>
      <w:pPr>
        <w:pStyle w:val="Heading5"/>
        <w:numPr>
          <w:ilvl w:val="4"/>
          <w:numId w:val="1"/>
        </w:numPr>
        <w:rPr/>
      </w:pPr>
      <w:bookmarkStart w:id="1717" w:name="__RefHeading___Toc2566552_3650668749"/>
      <w:bookmarkStart w:id="1718" w:name="_Toc785"/>
      <w:bookmarkEnd w:id="1717"/>
      <w:r>
        <w:rPr>
          <w:rtl w:val="true"/>
        </w:rPr>
        <w:t>[ (</w:t>
      </w:r>
      <w:r>
        <w:rPr>
          <w:rtl w:val="true"/>
        </w:rPr>
        <w:t xml:space="preserve">مسألة </w:t>
      </w:r>
      <w:r>
        <w:rPr/>
        <w:t>5</w:t>
      </w:r>
      <w:r>
        <w:rPr>
          <w:rtl w:val="true"/>
        </w:rPr>
        <w:t xml:space="preserve">): </w:t>
      </w:r>
      <w:r>
        <w:rPr>
          <w:rtl w:val="true"/>
        </w:rPr>
        <w:t>إذا نسی الرکوع فهویٰ إلی السجود و تذکّر قبل وضع جبهته علی الأرض</w:t>
      </w:r>
      <w:r>
        <w:rPr>
          <w:rtl w:val="true"/>
        </w:rPr>
        <w:t>]</w:t>
      </w:r>
      <w:bookmarkEnd w:id="171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الرکوع فهویٰ إلی السجود و تذکّر قبل وضع جبهته علی الأرض رجع إلی القیام ثمّ رکع، و لا یکفی أن یقوم منحنیاً إلیٰ حدّ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تذکّر بعد الدخول فی السجدة الأُولیٰ أو بعد رفع الرأس منها فالأحوط العود إلی الرکوع کما مرّ و إتمام الصلاة ثمّ إعادتها</w:t>
      </w:r>
      <w:r>
        <w:rPr>
          <w:rFonts w:eastAsia="IRNazanin" w:cs="IRNazanin"/>
          <w:color w:val="111111"/>
          <w:sz w:val="28"/>
          <w:szCs w:val="28"/>
          <w:rtl w:val="true"/>
          <w:lang w:bidi="fa-IR"/>
        </w:rPr>
        <w:t>.</w:t>
      </w:r>
      <w:bookmarkStart w:id="1719" w:name="pg1809_18982"/>
    </w:p>
    <w:p>
      <w:pPr>
        <w:pStyle w:val="BookText"/>
        <w:rPr/>
      </w:pPr>
      <w:bookmarkEnd w:id="1719"/>
      <w:r>
        <w:rPr>
          <w:rFonts w:ascii="IRNazanin" w:hAnsi="IRNazanin" w:eastAsia="IRNazanin"/>
          <w:color w:val="111111"/>
          <w:sz w:val="28"/>
          <w:sz w:val="28"/>
          <w:szCs w:val="28"/>
          <w:rtl w:val="true"/>
          <w:lang w:bidi="fa-IR"/>
        </w:rPr>
        <w:t xml:space="preserve">تذکّر قبل أن یخرج عن حدّه بقی علیٰ تلک الحال مطمئنّاً و أتی بالذکر، و إن تذکّر بعد خروجه عن حدّه، ففی وجوب العود إلیٰ حدّه و الإتیان بالذکر مطمئنّاً، أو العود إلی القیام و استئناف الرکوع عن قیام، أو القیام بقصد الرفع عن الرکوع ثمّ الهویّ إلی السجود وجوه </w:t>
      </w:r>
      <w:r>
        <w:rPr>
          <w:rStyle w:val="FootnoteAnchor"/>
          <w:rtl w:val="true"/>
        </w:rPr>
        <w:footnoteReference w:id="503"/>
      </w:r>
      <w:r>
        <w:rPr>
          <w:rFonts w:ascii="IRNazanin" w:hAnsi="IRNazanin" w:eastAsia="IRNazanin"/>
          <w:color w:val="111111"/>
          <w:sz w:val="28"/>
          <w:sz w:val="28"/>
          <w:szCs w:val="28"/>
          <w:rtl w:val="true"/>
          <w:lang w:bidi="fa-IR"/>
        </w:rPr>
        <w:t>، لا یخلو أوّلها عن رجحان، لکنّ الأحوط العود ثمّ إعادة الصلاة بعد الإتمام</w:t>
      </w:r>
      <w:r>
        <w:rPr>
          <w:rFonts w:eastAsia="IRNazanin" w:cs="IRNazanin"/>
          <w:color w:val="111111"/>
          <w:sz w:val="28"/>
          <w:szCs w:val="28"/>
          <w:rtl w:val="true"/>
          <w:lang w:bidi="fa-IR"/>
        </w:rPr>
        <w:t>.</w:t>
      </w:r>
    </w:p>
    <w:p>
      <w:pPr>
        <w:pStyle w:val="Heading5"/>
        <w:numPr>
          <w:ilvl w:val="4"/>
          <w:numId w:val="1"/>
        </w:numPr>
        <w:rPr/>
      </w:pPr>
      <w:bookmarkStart w:id="1720" w:name="__RefHeading___Toc2566554_3650668749"/>
      <w:bookmarkStart w:id="1721" w:name="_Toc786"/>
      <w:bookmarkEnd w:id="1720"/>
      <w:r>
        <w:rPr>
          <w:rtl w:val="true"/>
        </w:rPr>
        <w:t>[ (</w:t>
      </w:r>
      <w:r>
        <w:rPr>
          <w:rtl w:val="true"/>
        </w:rPr>
        <w:t xml:space="preserve">مسألة </w:t>
      </w:r>
      <w:r>
        <w:rPr/>
        <w:t>7</w:t>
      </w:r>
      <w:r>
        <w:rPr>
          <w:rtl w:val="true"/>
        </w:rPr>
        <w:t xml:space="preserve">): </w:t>
      </w:r>
      <w:r>
        <w:rPr>
          <w:rtl w:val="true"/>
        </w:rPr>
        <w:t>یجب الذکر فی الرکوع</w:t>
      </w:r>
      <w:r>
        <w:rPr>
          <w:rtl w:val="true"/>
        </w:rPr>
        <w:t>]</w:t>
      </w:r>
      <w:bookmarkEnd w:id="17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الذکر فی الرکوع، و الأحوط لزوماً </w:t>
      </w:r>
      <w:r>
        <w:rPr>
          <w:rStyle w:val="FootnoteAnchor"/>
          <w:rtl w:val="true"/>
        </w:rPr>
        <w:footnoteReference w:id="504"/>
      </w:r>
      <w:r>
        <w:rPr>
          <w:rFonts w:ascii="IRNazanin" w:hAnsi="IRNazanin" w:eastAsia="IRNazanin"/>
          <w:color w:val="111111"/>
          <w:sz w:val="28"/>
          <w:sz w:val="28"/>
          <w:szCs w:val="28"/>
          <w:rtl w:val="true"/>
          <w:lang w:bidi="fa-IR"/>
        </w:rPr>
        <w:t xml:space="preserve">التسبیح مخیّراً بین الثلاث من الصغریٰ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التسبیحة الکبری التامّة المجزیة عن التثلیث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الأحوط الأولی اختیار الأخیرة، و أحوط منه تکریرها ثلاثاً</w:t>
      </w:r>
      <w:r>
        <w:rPr>
          <w:rFonts w:eastAsia="IRNazanin" w:cs="IRNazanin"/>
          <w:color w:val="111111"/>
          <w:sz w:val="28"/>
          <w:szCs w:val="28"/>
          <w:rtl w:val="true"/>
          <w:lang w:bidi="fa-IR"/>
        </w:rPr>
        <w:t>.</w:t>
      </w:r>
    </w:p>
    <w:p>
      <w:pPr>
        <w:pStyle w:val="Heading5"/>
        <w:numPr>
          <w:ilvl w:val="4"/>
          <w:numId w:val="1"/>
        </w:numPr>
        <w:rPr/>
      </w:pPr>
      <w:bookmarkStart w:id="1722" w:name="__RefHeading___Toc2566556_3650668749"/>
      <w:bookmarkStart w:id="1723" w:name="_Toc787"/>
      <w:bookmarkEnd w:id="1722"/>
      <w:r>
        <w:rPr>
          <w:rtl w:val="true"/>
        </w:rPr>
        <w:t>[ (</w:t>
      </w:r>
      <w:r>
        <w:rPr>
          <w:rtl w:val="true"/>
        </w:rPr>
        <w:t xml:space="preserve">مسألة </w:t>
      </w:r>
      <w:r>
        <w:rPr/>
        <w:t>8</w:t>
      </w:r>
      <w:r>
        <w:rPr>
          <w:rtl w:val="true"/>
        </w:rPr>
        <w:t xml:space="preserve">): </w:t>
      </w:r>
      <w:r>
        <w:rPr>
          <w:rtl w:val="true"/>
        </w:rPr>
        <w:t>تجب الطمأنینة حال الذکر الواجب</w:t>
      </w:r>
      <w:r>
        <w:rPr>
          <w:rtl w:val="true"/>
        </w:rPr>
        <w:t>]</w:t>
      </w:r>
      <w:bookmarkEnd w:id="1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الطمأنینة حال الذکر الواجب، فإن ترکها عمداً بطلت صلاته بخلاف السهو و إن کان الأحوط الاستئناف معه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شرع فی الذکر الواجب عامداً قبل الوصول إلیٰ حدّ الراکع أو بعده قبل الطمأنینة أو أتمّه حال الرفع قبل الخروج عن اسمه أو بعده لم یجز الذکر المزبور قطعاً، فهل تبطل </w:t>
      </w:r>
      <w:r>
        <w:rPr>
          <w:rStyle w:val="FootnoteAnchor"/>
          <w:rtl w:val="true"/>
        </w:rPr>
        <w:footnoteReference w:id="505"/>
      </w:r>
      <w:r>
        <w:rPr>
          <w:rFonts w:ascii="IRNazanin" w:hAnsi="IRNazanin" w:eastAsia="IRNazanin"/>
          <w:color w:val="111111"/>
          <w:sz w:val="28"/>
          <w:sz w:val="28"/>
          <w:szCs w:val="28"/>
          <w:rtl w:val="true"/>
          <w:lang w:bidi="fa-IR"/>
        </w:rPr>
        <w:t>صلاته و إن أتی بذکر جدید أم لا؟ وجهان، و الأحوط إتمامها ثمّ استئنافها، بل الأحوط له ذلک فی الذکر المندوب أیضاً لو جاء به کذلک بقصد الخصوصیة و إلّا فلا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یتمکّن من الطمأنینة لمرض أو غیره سقطت، لکن یجب علیه إکمال الذکر الواجب قبل الخروج من مسمّی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أیضاً رفع الرأس منه حتّی ینتصب قائماً مطمئنّاً فیه، فلو سجد قبل ذلک عامداً بطلت صلاته</w:t>
      </w:r>
      <w:r>
        <w:rPr>
          <w:rFonts w:eastAsia="IRNazanin" w:cs="IRNazanin"/>
          <w:color w:val="111111"/>
          <w:sz w:val="28"/>
          <w:szCs w:val="28"/>
          <w:rtl w:val="true"/>
          <w:lang w:bidi="fa-IR"/>
        </w:rPr>
        <w:t>.</w:t>
      </w:r>
    </w:p>
    <w:p>
      <w:pPr>
        <w:pStyle w:val="Heading5"/>
        <w:numPr>
          <w:ilvl w:val="4"/>
          <w:numId w:val="1"/>
        </w:numPr>
        <w:rPr/>
      </w:pPr>
      <w:bookmarkStart w:id="1724" w:name="__RefHeading___Toc2566558_3650668749"/>
      <w:bookmarkStart w:id="1725" w:name="_Toc788"/>
      <w:bookmarkEnd w:id="1724"/>
      <w:r>
        <w:rPr>
          <w:rtl w:val="true"/>
        </w:rPr>
        <w:t>[ (</w:t>
      </w:r>
      <w:r>
        <w:rPr>
          <w:rtl w:val="true"/>
        </w:rPr>
        <w:t xml:space="preserve">مسألة </w:t>
      </w:r>
      <w:r>
        <w:rPr/>
        <w:t>9</w:t>
      </w:r>
      <w:r>
        <w:rPr>
          <w:rtl w:val="true"/>
        </w:rPr>
        <w:t xml:space="preserve">): </w:t>
      </w:r>
      <w:r>
        <w:rPr>
          <w:rtl w:val="true"/>
        </w:rPr>
        <w:t>یستحبّ التکبیر للرکوع و هو قائم منتصب</w:t>
      </w:r>
      <w:r>
        <w:rPr>
          <w:rtl w:val="true"/>
        </w:rPr>
        <w:t>]</w:t>
      </w:r>
      <w:bookmarkEnd w:id="172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التکبیر للرکوع و هو قائم منتصب، و الأحوط عدم ترکه و رفع الیدین حال التکبیر و وضع الکفّین مفرّجات الأصابع علی الرکبتین حال الرکوع، و الأحوط</w:t>
      </w:r>
      <w:bookmarkStart w:id="1726" w:name="pg1809_18984"/>
    </w:p>
    <w:p>
      <w:pPr>
        <w:pStyle w:val="BookText"/>
        <w:rPr/>
      </w:pPr>
      <w:bookmarkEnd w:id="1726"/>
      <w:r>
        <w:rPr>
          <w:rFonts w:ascii="IRNazanin" w:hAnsi="IRNazanin" w:eastAsia="IRNazanin"/>
          <w:color w:val="111111"/>
          <w:sz w:val="28"/>
          <w:sz w:val="28"/>
          <w:szCs w:val="28"/>
          <w:rtl w:val="true"/>
          <w:lang w:bidi="fa-IR"/>
        </w:rPr>
        <w:t>عدم ترکه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یستحبّ ردّ الرکبتین إلی الخلف و تسویة الظهر و مدّ العنق و التجنیح بالمرفقین، و أن تضع المرأة یدیها علیٰ فخذیها فوق الرکبتین، و اختیار التسبیحة الکبری و تکرارها ثلاثاً أو خمساً أو سبعاً بل أزید، و رفع الیدین للانتصاب من الرکوع، و أن یقول بعد الانتصاب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یکبّر للسجود و یرفع یدیه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أن یطأطئ رأسه حال الرکوع و أن یضمّ یدیه إلیٰ جنبیه و أن یدخل یدیه بین رکبتیه</w:t>
      </w:r>
      <w:r>
        <w:rPr>
          <w:rFonts w:eastAsia="IRNazanin" w:cs="IRNazanin"/>
          <w:color w:val="111111"/>
          <w:sz w:val="28"/>
          <w:szCs w:val="28"/>
          <w:rtl w:val="true"/>
          <w:lang w:bidi="fa-IR"/>
        </w:rPr>
        <w:t>.</w:t>
      </w:r>
    </w:p>
    <w:p>
      <w:pPr>
        <w:pStyle w:val="Heading4"/>
        <w:numPr>
          <w:ilvl w:val="3"/>
          <w:numId w:val="1"/>
        </w:numPr>
        <w:rPr/>
      </w:pPr>
      <w:bookmarkStart w:id="1727" w:name="__RefHeading___Toc2566560_3650668749"/>
      <w:bookmarkStart w:id="1728" w:name="_Toc789"/>
      <w:bookmarkEnd w:id="1727"/>
      <w:r>
        <w:rPr>
          <w:rtl w:val="true"/>
        </w:rPr>
        <w:t>[</w:t>
      </w:r>
      <w:r>
        <w:rPr>
          <w:rtl w:val="true"/>
        </w:rPr>
        <w:t>القول فی السجود</w:t>
      </w:r>
      <w:r>
        <w:rPr>
          <w:rtl w:val="true"/>
        </w:rPr>
        <w:t>]</w:t>
      </w:r>
      <w:bookmarkEnd w:id="1728"/>
    </w:p>
    <w:p>
      <w:pPr>
        <w:pStyle w:val="Heading5"/>
        <w:numPr>
          <w:ilvl w:val="4"/>
          <w:numId w:val="1"/>
        </w:numPr>
        <w:rPr/>
      </w:pPr>
      <w:bookmarkStart w:id="1729" w:name="__RefHeading___Toc2566562_3650668749"/>
      <w:bookmarkStart w:id="1730" w:name="_Toc790"/>
      <w:bookmarkEnd w:id="1729"/>
      <w:r>
        <w:rPr>
          <w:rtl w:val="true"/>
        </w:rPr>
        <w:t>اشارة</w:t>
      </w:r>
      <w:bookmarkEnd w:id="1730"/>
    </w:p>
    <w:p>
      <w:pPr>
        <w:pStyle w:val="BookText"/>
        <w:rPr/>
      </w:pPr>
      <w:r>
        <w:rPr>
          <w:rFonts w:ascii="IRNazanin" w:hAnsi="IRNazanin" w:eastAsia="IRNazanin"/>
          <w:color w:val="111111"/>
          <w:sz w:val="28"/>
          <w:sz w:val="28"/>
          <w:szCs w:val="28"/>
          <w:rtl w:val="true"/>
          <w:lang w:bidi="fa-IR"/>
        </w:rPr>
        <w:t>القول فی السجود</w:t>
      </w:r>
    </w:p>
    <w:p>
      <w:pPr>
        <w:pStyle w:val="Heading5"/>
        <w:numPr>
          <w:ilvl w:val="4"/>
          <w:numId w:val="1"/>
        </w:numPr>
        <w:rPr/>
      </w:pPr>
      <w:bookmarkStart w:id="1731" w:name="__RefHeading___Toc2566564_3650668749"/>
      <w:bookmarkStart w:id="1732" w:name="_Toc791"/>
      <w:bookmarkEnd w:id="1731"/>
      <w:r>
        <w:rPr>
          <w:rtl w:val="true"/>
        </w:rPr>
        <w:t>[</w:t>
      </w:r>
      <w:r>
        <w:rPr>
          <w:rtl w:val="true"/>
        </w:rPr>
        <w:t>مسائل</w:t>
      </w:r>
      <w:r>
        <w:rPr>
          <w:rtl w:val="true"/>
        </w:rPr>
        <w:t>]</w:t>
      </w:r>
      <w:bookmarkEnd w:id="1732"/>
    </w:p>
    <w:p>
      <w:pPr>
        <w:pStyle w:val="Heading6"/>
        <w:numPr>
          <w:ilvl w:val="5"/>
          <w:numId w:val="1"/>
        </w:numPr>
        <w:rPr/>
      </w:pPr>
      <w:bookmarkStart w:id="1733" w:name="__RefHeading___Toc2566566_3650668749"/>
      <w:bookmarkStart w:id="1734" w:name="_Toc792"/>
      <w:bookmarkEnd w:id="1733"/>
      <w:r>
        <w:rPr>
          <w:rtl w:val="true"/>
        </w:rPr>
        <w:t>[ (</w:t>
      </w:r>
      <w:r>
        <w:rPr>
          <w:rtl w:val="true"/>
        </w:rPr>
        <w:t xml:space="preserve">مسألة </w:t>
      </w:r>
      <w:r>
        <w:rPr/>
        <w:t>1</w:t>
      </w:r>
      <w:r>
        <w:rPr>
          <w:rtl w:val="true"/>
        </w:rPr>
        <w:t xml:space="preserve">): </w:t>
      </w:r>
      <w:r>
        <w:rPr>
          <w:rtl w:val="true"/>
        </w:rPr>
        <w:t>یجب فی کلّ رکعة سجدتان</w:t>
      </w:r>
      <w:r>
        <w:rPr>
          <w:rtl w:val="true"/>
        </w:rPr>
        <w:t>]</w:t>
      </w:r>
      <w:bookmarkEnd w:id="173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کلّ رکعة سجدتان، و هما معاً رکن تبطل الصلاة بزیادتهما معاً فی الرکعة الواحدة و نقصانهما کذلک عمداً أو سهواً، فلو أخلّ بواحدة زیادة أو نقصاناً سهواً فلا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فیه من الانحناء و وضع الجبهة علیٰ وجه یتحقّق به مسمّاه، و علیٰ هذا مدار الرکنیّة و الزیادة العمدیة و السهویة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 السجود أُمور أُخر لا مدخلیّة لها فی ذلک؛ منها السجود علیٰ ستّة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الکفّین و الرکبتین و الإبهامین، و یجب الباطن فی الکفّین، و الأحوط الاستیعاب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الاختیار، و أمّا مع الضرورة فیجزی مسمّی الباطن، و لو لم یقدر إلّا علیٰ ضمّ أصابعه إلیٰ کفّه و السجود علیها یجتزئ به، و مع تعذّر ذلک کلّه یجزی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إمکانه أیضاً لکونه مقطوع الکفّ أو لغیر ذلک ینتقل إلی الأقرب فالأقرب من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الرکبتان یجب صدق مسمّی السجود علیٰ ظاهرهما و إن لم یستوعبه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الإبهامان فالأحوط مراعاة طرفیهما، و لا یجب الاستیعاب فی الجبهة بل یکفی صدق السجود علیٰ مسمّاها، و یتحقّق بمقدار الدرهم </w:t>
      </w:r>
      <w:r>
        <w:rPr>
          <w:rStyle w:val="FootnoteAnchor"/>
          <w:rtl w:val="true"/>
        </w:rPr>
        <w:footnoteReference w:id="506"/>
      </w:r>
      <w:r>
        <w:rPr>
          <w:rFonts w:ascii="IRNazanin" w:hAnsi="IRNazanin" w:eastAsia="IRNazanin"/>
          <w:color w:val="111111"/>
          <w:sz w:val="28"/>
          <w:sz w:val="28"/>
          <w:szCs w:val="28"/>
          <w:rtl w:val="true"/>
          <w:lang w:bidi="fa-IR"/>
        </w:rPr>
        <w:t xml:space="preserve">، و الأحوط عدم الأنقص، کما أنّ الأحوط کونه مجتمعاً لا متفرّقاً و إن کان الأقویٰ جوازه، فیجوز علی السبحة الغیر المطبوخة </w:t>
      </w:r>
      <w:r>
        <w:rPr>
          <w:rStyle w:val="FootnoteAnchor"/>
          <w:rtl w:val="true"/>
        </w:rPr>
        <w:footnoteReference w:id="507"/>
      </w:r>
      <w:r>
        <w:rPr>
          <w:rFonts w:ascii="IRNazanin" w:hAnsi="IRNazanin" w:eastAsia="IRNazanin"/>
          <w:color w:val="111111"/>
          <w:sz w:val="28"/>
          <w:sz w:val="28"/>
          <w:szCs w:val="28"/>
          <w:rtl w:val="true"/>
          <w:lang w:bidi="fa-IR"/>
        </w:rPr>
        <w:t xml:space="preserve">إذا کان مجموع ما وقع علیه الجبهة بمقدار الدرهم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رفع ما یمنع من مباشرتها لمحلّ السجود من وسخ أو غیره فیها أو فیه؛ حتّی لو لصق بجبهته تربة أو تراب أو حصاة و نحوها فی السجدة الأُولیٰ، یجب إزالتها للسجدة الثانیة علی الأحوط لو</w:t>
      </w:r>
      <w:bookmarkStart w:id="1735" w:name="pg1809_18987"/>
    </w:p>
    <w:p>
      <w:pPr>
        <w:pStyle w:val="BookText"/>
        <w:rPr/>
      </w:pPr>
      <w:bookmarkEnd w:id="1735"/>
      <w:r>
        <w:rPr>
          <w:rFonts w:ascii="IRNazanin" w:hAnsi="IRNazanin" w:eastAsia="IRNazanin"/>
          <w:color w:val="111111"/>
          <w:sz w:val="28"/>
          <w:sz w:val="28"/>
          <w:szCs w:val="28"/>
          <w:rtl w:val="true"/>
          <w:lang w:bidi="fa-IR"/>
        </w:rPr>
        <w:t>لم یکن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بالجبهة هنا ما بین قصاص الشعر و طرف الأنف الأعلی و الحاجبین طولًا و ما بین الجبینین عرضاً</w:t>
      </w:r>
      <w:r>
        <w:rPr>
          <w:rFonts w:eastAsia="IRNazanin" w:cs="IRNazanin"/>
          <w:color w:val="111111"/>
          <w:sz w:val="28"/>
          <w:szCs w:val="28"/>
          <w:rtl w:val="true"/>
          <w:lang w:bidi="fa-IR"/>
        </w:rPr>
        <w:t>.</w:t>
      </w:r>
    </w:p>
    <w:p>
      <w:pPr>
        <w:pStyle w:val="Heading6"/>
        <w:numPr>
          <w:ilvl w:val="5"/>
          <w:numId w:val="1"/>
        </w:numPr>
        <w:rPr/>
      </w:pPr>
      <w:bookmarkStart w:id="1736" w:name="__RefHeading___Toc2566568_3650668749"/>
      <w:bookmarkStart w:id="1737" w:name="_Toc793"/>
      <w:bookmarkEnd w:id="1736"/>
      <w:r>
        <w:rPr>
          <w:rtl w:val="true"/>
        </w:rPr>
        <w:t>[ (</w:t>
      </w:r>
      <w:r>
        <w:rPr>
          <w:rtl w:val="true"/>
        </w:rPr>
        <w:t xml:space="preserve">مسألة </w:t>
      </w:r>
      <w:r>
        <w:rPr/>
        <w:t>2</w:t>
      </w:r>
      <w:r>
        <w:rPr>
          <w:rtl w:val="true"/>
        </w:rPr>
        <w:t xml:space="preserve">): </w:t>
      </w:r>
      <w:r>
        <w:rPr>
          <w:rtl w:val="true"/>
        </w:rPr>
        <w:t>الأحوط الاعتماد علی الأعضاء السبعة فلا یجزی مجرّد المماسّة</w:t>
      </w:r>
      <w:r>
        <w:rPr>
          <w:rtl w:val="true"/>
        </w:rPr>
        <w:t>]</w:t>
      </w:r>
      <w:bookmarkEnd w:id="17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الاعتماد علی الأعضاء السبعة فلا یجزی مجرّد المماسّة، و لا یجب مساواتها فی الاعتماد، کما لا یضرّ مشارکة غیرها معها فیه کالذراع مع الکفّین و سائر أصابع الرجلین مع الإبهامین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الذکر علیٰ نحو ما تقدّم فی الرکوع، إلّا أنّ هنا یبدّل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التسبیحة التامّة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الطمأنینة بمقدار الذکر نحو ما سمعته فی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کون المساجد السبعة فی محالّها إلیٰ تمامه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بتعمّد رفع ما عدا الجبهة منها قبل الشروع فی الذکر مثلًا ثمّ وضعه حاله، فضلًا عن السهو، من غیر فرق بین کونه لغرض کالحکّ و نحوه أو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الجبهة علیٰ ما یصحّ السجود علیه من الأرض أو ما ینبت منها، غیر المأکول و الملبوس علیٰ ما مرّ فی مبحث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الرأس من السجدة الأُولیٰ معتدلًا مطمئنّاً، کما سمعته فی رفع الرأس من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ینحنی للسجود حتّی یساوی موضع جبهته موقفه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ارتفع أحدهما علی الآخر لم تصحّ الصلاة، إلّا أن یکون التفاوت بینهما قدر لبنة موضوعة علیٰ سطحها الأکبر، أو أربع أصابع مضمومات، فلا بأس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التساوی فی باقی المساجد؛ لا فی بعضها مع بعض و لا بالنسبة إلی الجبهة، فلا یقدح حینئذٍ ارتفاع مکانها أو انخفاضه ما لم یخرج به السجود عن مسمّاه</w:t>
      </w:r>
      <w:r>
        <w:rPr>
          <w:rFonts w:eastAsia="IRNazanin" w:cs="IRNazanin"/>
          <w:color w:val="111111"/>
          <w:sz w:val="28"/>
          <w:szCs w:val="28"/>
          <w:rtl w:val="true"/>
          <w:lang w:bidi="fa-IR"/>
        </w:rPr>
        <w:t>.</w:t>
      </w:r>
    </w:p>
    <w:p>
      <w:pPr>
        <w:pStyle w:val="Heading6"/>
        <w:numPr>
          <w:ilvl w:val="5"/>
          <w:numId w:val="1"/>
        </w:numPr>
        <w:rPr/>
      </w:pPr>
      <w:bookmarkStart w:id="1738" w:name="__RefHeading___Toc2566570_3650668749"/>
      <w:bookmarkStart w:id="1739" w:name="_Toc794"/>
      <w:bookmarkEnd w:id="1738"/>
      <w:r>
        <w:rPr>
          <w:rtl w:val="true"/>
        </w:rPr>
        <w:t>[ (</w:t>
      </w:r>
      <w:r>
        <w:rPr>
          <w:rtl w:val="true"/>
        </w:rPr>
        <w:t xml:space="preserve">مسألة </w:t>
      </w:r>
      <w:r>
        <w:rPr/>
        <w:t>3</w:t>
      </w:r>
      <w:r>
        <w:rPr>
          <w:rtl w:val="true"/>
        </w:rPr>
        <w:t xml:space="preserve">): </w:t>
      </w:r>
      <w:r>
        <w:rPr>
          <w:rtl w:val="true"/>
        </w:rPr>
        <w:t>المراد بالموقف الذی یجب عدم التفاوت بینه و بین موضع الجبهة</w:t>
      </w:r>
      <w:r>
        <w:rPr>
          <w:rtl w:val="true"/>
        </w:rPr>
        <w:t>]</w:t>
      </w:r>
      <w:bookmarkEnd w:id="173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بالموقف الذی یجب عدم التفاوت بینه و بین موضع الجبهة أزید عن مقدار لبنة، ما وقع علیه اعتماد أسافل البدن فی حال السجود و هو الرکبتان، فلا یلاحظ </w:t>
      </w:r>
      <w:r>
        <w:rPr>
          <w:rStyle w:val="FootnoteAnchor"/>
          <w:rtl w:val="true"/>
        </w:rPr>
        <w:footnoteReference w:id="510"/>
      </w:r>
      <w:bookmarkStart w:id="1740" w:name="pg1809_18989"/>
    </w:p>
    <w:p>
      <w:pPr>
        <w:pStyle w:val="BookText"/>
        <w:rPr/>
      </w:pPr>
      <w:bookmarkEnd w:id="1740"/>
      <w:r>
        <w:rPr>
          <w:rFonts w:ascii="IRNazanin" w:hAnsi="IRNazanin" w:eastAsia="IRNazanin"/>
          <w:color w:val="111111"/>
          <w:sz w:val="28"/>
          <w:sz w:val="28"/>
          <w:szCs w:val="28"/>
          <w:rtl w:val="true"/>
          <w:lang w:bidi="fa-IR"/>
        </w:rPr>
        <w:t>الإبهامان و القدمان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تساوی محلّ رکبتیه مع موضع جبهته و وضع إبهامیه علیٰ مکان أخفض من موضع جبهته بأزید من لبنة؛ بأن أدخل تمام مشط قدمه فی ذلک المکان المنخفض لم یکن به بأس، بخلاف العکس بأن کان رکبتاه علیٰ مکان أخفض عن محلّ الجبهة بأزید من لبنة و وضع الإبهامین علیٰ أکمة ساوت محلّها</w:t>
      </w:r>
      <w:r>
        <w:rPr>
          <w:rFonts w:eastAsia="IRNazanin" w:cs="IRNazanin"/>
          <w:color w:val="111111"/>
          <w:sz w:val="28"/>
          <w:szCs w:val="28"/>
          <w:rtl w:val="true"/>
          <w:lang w:bidi="fa-IR"/>
        </w:rPr>
        <w:t>.</w:t>
      </w:r>
    </w:p>
    <w:p>
      <w:pPr>
        <w:pStyle w:val="Heading6"/>
        <w:numPr>
          <w:ilvl w:val="5"/>
          <w:numId w:val="1"/>
        </w:numPr>
        <w:rPr/>
      </w:pPr>
      <w:bookmarkStart w:id="1741" w:name="__RefHeading___Toc2566572_3650668749"/>
      <w:bookmarkStart w:id="1742" w:name="_Toc795"/>
      <w:bookmarkEnd w:id="1741"/>
      <w:r>
        <w:rPr>
          <w:rtl w:val="true"/>
        </w:rPr>
        <w:t>[ (</w:t>
      </w:r>
      <w:r>
        <w:rPr>
          <w:rtl w:val="true"/>
        </w:rPr>
        <w:t xml:space="preserve">مسألة </w:t>
      </w:r>
      <w:r>
        <w:rPr/>
        <w:t>4</w:t>
      </w:r>
      <w:r>
        <w:rPr>
          <w:rtl w:val="true"/>
        </w:rPr>
        <w:t xml:space="preserve">): </w:t>
      </w:r>
      <w:r>
        <w:rPr>
          <w:rtl w:val="true"/>
        </w:rPr>
        <w:t>لو وقعت جبهته علیٰ مکان مرتفع أزید من المقدار المغتفر</w:t>
      </w:r>
      <w:r>
        <w:rPr>
          <w:rtl w:val="true"/>
        </w:rPr>
        <w:t>]</w:t>
      </w:r>
      <w:bookmarkEnd w:id="17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وقعت جبهته علیٰ مکان مرتفع أزید من المقدار المغتفر فإن کان الارتفاع بمقدار لا یصدق معه السجود عرفاً جاز رفعها </w:t>
      </w:r>
      <w:r>
        <w:rPr>
          <w:rStyle w:val="FootnoteAnchor"/>
          <w:rtl w:val="true"/>
        </w:rPr>
        <w:footnoteReference w:id="511"/>
      </w:r>
      <w:r>
        <w:rPr>
          <w:rFonts w:ascii="IRNazanin" w:hAnsi="IRNazanin" w:eastAsia="IRNazanin"/>
          <w:color w:val="111111"/>
          <w:sz w:val="28"/>
          <w:sz w:val="28"/>
          <w:szCs w:val="28"/>
          <w:rtl w:val="true"/>
          <w:lang w:bidi="fa-IR"/>
        </w:rPr>
        <w:t>و وضعها ثانیاً کما یجوز جرّها، و إن کان بمقدار یصدق معه السجدة عرفاً فالأحوط الجرّ إلی الأسفل، و لو لم یمکن الجرّ فالأحوط الرفع و الوضع ثمّ إعادة الصلاة بعد إتمامها</w:t>
      </w:r>
      <w:r>
        <w:rPr>
          <w:rFonts w:eastAsia="IRNazanin" w:cs="IRNazanin"/>
          <w:color w:val="111111"/>
          <w:sz w:val="28"/>
          <w:szCs w:val="28"/>
          <w:rtl w:val="true"/>
          <w:lang w:bidi="fa-IR"/>
        </w:rPr>
        <w:t>.</w:t>
      </w:r>
    </w:p>
    <w:p>
      <w:pPr>
        <w:pStyle w:val="Heading6"/>
        <w:numPr>
          <w:ilvl w:val="5"/>
          <w:numId w:val="1"/>
        </w:numPr>
        <w:rPr/>
      </w:pPr>
      <w:bookmarkStart w:id="1743" w:name="__RefHeading___Toc2566574_3650668749"/>
      <w:bookmarkStart w:id="1744" w:name="_Toc796"/>
      <w:bookmarkEnd w:id="1743"/>
      <w:r>
        <w:rPr>
          <w:rtl w:val="true"/>
        </w:rPr>
        <w:t>[ (</w:t>
      </w:r>
      <w:r>
        <w:rPr>
          <w:rtl w:val="true"/>
        </w:rPr>
        <w:t xml:space="preserve">مسألة </w:t>
      </w:r>
      <w:r>
        <w:rPr/>
        <w:t>5</w:t>
      </w:r>
      <w:r>
        <w:rPr>
          <w:rtl w:val="true"/>
        </w:rPr>
        <w:t xml:space="preserve">): </w:t>
      </w:r>
      <w:r>
        <w:rPr>
          <w:rtl w:val="true"/>
        </w:rPr>
        <w:t>لو وضع جبهته علی الممنوع من السجود علیه جرّها عنه جرّاً إلیٰ ما یجوز السجود علیه</w:t>
      </w:r>
      <w:r>
        <w:rPr>
          <w:rtl w:val="true"/>
        </w:rPr>
        <w:t>]</w:t>
      </w:r>
      <w:bookmarkEnd w:id="1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 </w:t>
      </w:r>
      <w:r>
        <w:rPr>
          <w:rStyle w:val="FootnoteAnchor"/>
          <w:rtl w:val="true"/>
        </w:rPr>
        <w:footnoteReference w:id="512"/>
      </w:r>
      <w:r>
        <w:rPr>
          <w:rFonts w:ascii="IRNazanin" w:hAnsi="IRNazanin" w:eastAsia="IRNazanin"/>
          <w:color w:val="111111"/>
          <w:sz w:val="28"/>
          <w:sz w:val="28"/>
          <w:szCs w:val="28"/>
          <w:rtl w:val="true"/>
          <w:lang w:bidi="fa-IR"/>
        </w:rPr>
        <w:t>جبهته علی الممنوع من السجود علیه جرّها عنه جرّاً إلیٰ ما یجوز السجود علیه و لیس له رفعها عنه؛ لأنّه یستلزم زیادة 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یمکن إلّا الرفع المستلزم لذلک فالأحوط إتمام صلاته ثمّ استئنافها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الالتفات إلیه بعد الإتیان بالذکر الواجب أو بعد رفع الرأس من السجود کفاه الإتمام، علیٰ إشکال فی الأوّل، فلا یترک الاحتیاط بإعادة الذکر </w:t>
      </w:r>
      <w:r>
        <w:rPr>
          <w:rStyle w:val="FootnoteAnchor"/>
          <w:rtl w:val="true"/>
        </w:rPr>
        <w:footnoteReference w:id="513"/>
      </w:r>
      <w:r>
        <w:rPr>
          <w:rFonts w:ascii="IRNazanin" w:hAnsi="IRNazanin" w:eastAsia="IRNazanin"/>
          <w:color w:val="111111"/>
          <w:sz w:val="28"/>
          <w:sz w:val="28"/>
          <w:szCs w:val="28"/>
          <w:rtl w:val="true"/>
          <w:lang w:bidi="fa-IR"/>
        </w:rPr>
        <w:t>، بل إعادة الصلاة أیضاً</w:t>
      </w:r>
      <w:r>
        <w:rPr>
          <w:rFonts w:eastAsia="IRNazanin" w:cs="IRNazanin"/>
          <w:color w:val="111111"/>
          <w:sz w:val="28"/>
          <w:szCs w:val="28"/>
          <w:rtl w:val="true"/>
          <w:lang w:bidi="fa-IR"/>
        </w:rPr>
        <w:t>.</w:t>
      </w:r>
    </w:p>
    <w:p>
      <w:pPr>
        <w:pStyle w:val="Heading6"/>
        <w:numPr>
          <w:ilvl w:val="5"/>
          <w:numId w:val="1"/>
        </w:numPr>
        <w:rPr/>
      </w:pPr>
      <w:bookmarkStart w:id="1745" w:name="__RefHeading___Toc2566576_3650668749"/>
      <w:bookmarkStart w:id="1746" w:name="_Toc797"/>
      <w:bookmarkEnd w:id="1745"/>
      <w:r>
        <w:rPr>
          <w:rtl w:val="true"/>
        </w:rPr>
        <w:t>[ (</w:t>
      </w:r>
      <w:r>
        <w:rPr>
          <w:rtl w:val="true"/>
        </w:rPr>
        <w:t xml:space="preserve">مسألة </w:t>
      </w:r>
      <w:r>
        <w:rPr/>
        <w:t>6</w:t>
      </w:r>
      <w:r>
        <w:rPr>
          <w:rtl w:val="true"/>
        </w:rPr>
        <w:t xml:space="preserve">): </w:t>
      </w:r>
      <w:r>
        <w:rPr>
          <w:rtl w:val="true"/>
        </w:rPr>
        <w:t>من کان بجبهته علّة کالدمل</w:t>
      </w:r>
      <w:r>
        <w:rPr>
          <w:rtl w:val="true"/>
        </w:rPr>
        <w:t>]</w:t>
      </w:r>
      <w:bookmarkEnd w:id="1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بجبهته علّة کالدمل إن لم یستوعبها و أمکن وضع الموضع السلیم منها علی الأرض و لو بحفر حفیرة و جعل الدمل فیها وجب، و إن استوعبها أو لم یمکن وضع الموضع السلیم منها علیها و لو بحفر حفیرة سجد علیٰ أحد الجبینین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الأولی تقدیم الأیمن علی الأیسر، و إن تعذّر سجد علیٰ ذقنه، فإن تعذّر اقتصر علی الانحناء الممکن و سقط عنه </w:t>
      </w:r>
      <w:r>
        <w:rPr>
          <w:rStyle w:val="FootnoteAnchor"/>
          <w:rtl w:val="true"/>
        </w:rPr>
        <w:footnoteReference w:id="514"/>
      </w:r>
      <w:r>
        <w:rPr>
          <w:rFonts w:ascii="IRNazanin" w:hAnsi="IRNazanin" w:eastAsia="IRNazanin"/>
          <w:color w:val="111111"/>
          <w:sz w:val="28"/>
          <w:sz w:val="28"/>
          <w:szCs w:val="28"/>
          <w:rtl w:val="true"/>
          <w:lang w:bidi="fa-IR"/>
        </w:rPr>
        <w:t>الوضع علی الأرض من أصله</w:t>
      </w:r>
      <w:r>
        <w:rPr>
          <w:rFonts w:eastAsia="IRNazanin" w:cs="IRNazanin"/>
          <w:color w:val="111111"/>
          <w:sz w:val="28"/>
          <w:szCs w:val="28"/>
          <w:rtl w:val="true"/>
          <w:lang w:bidi="fa-IR"/>
        </w:rPr>
        <w:t>.</w:t>
      </w:r>
    </w:p>
    <w:p>
      <w:pPr>
        <w:pStyle w:val="Heading6"/>
        <w:numPr>
          <w:ilvl w:val="5"/>
          <w:numId w:val="1"/>
        </w:numPr>
        <w:rPr/>
      </w:pPr>
      <w:bookmarkStart w:id="1747" w:name="__RefHeading___Toc2566578_3650668749"/>
      <w:bookmarkStart w:id="1748" w:name="_Toc798"/>
      <w:bookmarkEnd w:id="1747"/>
      <w:r>
        <w:rPr>
          <w:rtl w:val="true"/>
        </w:rPr>
        <w:t>[ (</w:t>
      </w:r>
      <w:r>
        <w:rPr>
          <w:rtl w:val="true"/>
        </w:rPr>
        <w:t xml:space="preserve">مسألة </w:t>
      </w:r>
      <w:r>
        <w:rPr/>
        <w:t>7</w:t>
      </w:r>
      <w:r>
        <w:rPr>
          <w:rtl w:val="true"/>
        </w:rPr>
        <w:t xml:space="preserve">): </w:t>
      </w:r>
      <w:r>
        <w:rPr>
          <w:rtl w:val="true"/>
        </w:rPr>
        <w:t>إذا ارتفعت الجبهة من الأرض قهراً و عادت إلیها قهراً لم یتکرّر السجدة</w:t>
      </w:r>
      <w:r>
        <w:rPr>
          <w:rtl w:val="true"/>
        </w:rPr>
        <w:t>]</w:t>
      </w:r>
      <w:bookmarkEnd w:id="174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ارتفعت الجبهة من الأرض قهراً و عادت إلیها قهراً لم یتکرّر السجدة، فإن</w:t>
      </w:r>
      <w:bookmarkStart w:id="1749" w:name="pg1809_18990"/>
    </w:p>
    <w:p>
      <w:pPr>
        <w:pStyle w:val="BookText"/>
        <w:rPr/>
      </w:pPr>
      <w:bookmarkEnd w:id="1749"/>
      <w:r>
        <w:rPr>
          <w:rFonts w:ascii="IRNazanin" w:hAnsi="IRNazanin" w:eastAsia="IRNazanin"/>
          <w:color w:val="111111"/>
          <w:sz w:val="28"/>
          <w:sz w:val="28"/>
          <w:szCs w:val="28"/>
          <w:rtl w:val="true"/>
          <w:lang w:bidi="fa-IR"/>
        </w:rPr>
        <w:t xml:space="preserve">کان ارتفاعها قبل القرار الذی به یتحقّق </w:t>
      </w:r>
      <w:r>
        <w:rPr>
          <w:rStyle w:val="FootnoteAnchor"/>
          <w:rtl w:val="true"/>
        </w:rPr>
        <w:footnoteReference w:id="515"/>
      </w:r>
      <w:r>
        <w:rPr>
          <w:rFonts w:ascii="IRNazanin" w:hAnsi="IRNazanin" w:eastAsia="IRNazanin"/>
          <w:color w:val="111111"/>
          <w:sz w:val="28"/>
          <w:sz w:val="28"/>
          <w:szCs w:val="28"/>
          <w:rtl w:val="true"/>
          <w:lang w:bidi="fa-IR"/>
        </w:rPr>
        <w:t>مسمّی السجود یأتی بالذکر وجوباً، و إن کان بعده و قبل الذکر فالأحوط أن یأتی به بنیّة القربة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عودها قهراً بأن لم یقدر علیٰ إمساکها بعد ارتفاعها، و أمّا مع القدرة علیه ففی الصورة الأُولیٰ حیث لم یتحقّق السجدة بوصول الجبهة یجب أن یأتی بها إمّا بأن یعود من حیث ارتفع أو یجلس ثمّ یسجد، و أمّا فی الصورة الثانیة یحسب الوضع الأوّل سجدة، فیجلس و یأتی بالأُخریٰ إن کانت الاولیٰ، و یکتفی بها إن کانت الثانیة</w:t>
      </w:r>
      <w:r>
        <w:rPr>
          <w:rFonts w:eastAsia="IRNazanin" w:cs="IRNazanin"/>
          <w:color w:val="111111"/>
          <w:sz w:val="28"/>
          <w:szCs w:val="28"/>
          <w:rtl w:val="true"/>
          <w:lang w:bidi="fa-IR"/>
        </w:rPr>
        <w:t>.</w:t>
      </w:r>
    </w:p>
    <w:p>
      <w:pPr>
        <w:pStyle w:val="Heading6"/>
        <w:numPr>
          <w:ilvl w:val="5"/>
          <w:numId w:val="1"/>
        </w:numPr>
        <w:rPr/>
      </w:pPr>
      <w:bookmarkStart w:id="1750" w:name="__RefHeading___Toc2566580_3650668749"/>
      <w:bookmarkStart w:id="1751" w:name="_Toc799"/>
      <w:bookmarkEnd w:id="1750"/>
      <w:r>
        <w:rPr>
          <w:rtl w:val="true"/>
        </w:rPr>
        <w:t>[ (</w:t>
      </w:r>
      <w:r>
        <w:rPr>
          <w:rtl w:val="true"/>
        </w:rPr>
        <w:t xml:space="preserve">مسألة </w:t>
      </w:r>
      <w:r>
        <w:rPr/>
        <w:t>8</w:t>
      </w:r>
      <w:r>
        <w:rPr>
          <w:rtl w:val="true"/>
        </w:rPr>
        <w:t xml:space="preserve">): </w:t>
      </w:r>
      <w:r>
        <w:rPr>
          <w:rtl w:val="true"/>
        </w:rPr>
        <w:t>من عجز عن السجود انحنیٰ بقدر ما یتمکّن</w:t>
      </w:r>
      <w:r>
        <w:rPr>
          <w:rtl w:val="true"/>
        </w:rPr>
        <w:t>]</w:t>
      </w:r>
      <w:bookmarkEnd w:id="17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عجز عن السجود انحنیٰ بقدر ما یتمکّن و رفع المسجد إلیٰ جبهته واضعاً للجبهة علیه باعتماد؛ محافظاً علیٰ ما عرفت وجوبه من الذکر و الطمأنینة و نحوهما حتّی وضع باقی المساجد فی محالّها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یتمکّن من الانحناء أصلًا أومأ إلیه بالرأس فإن لم یتمکّن فبالعینین، و الأحوط له رفع المسجد مع ذلک إذا تمکّن من وضع الجبهة علیه، بل لا یترک </w:t>
      </w:r>
      <w:r>
        <w:rPr>
          <w:rStyle w:val="FootnoteAnchor"/>
          <w:rtl w:val="true"/>
        </w:rPr>
        <w:footnoteReference w:id="516"/>
      </w:r>
      <w:r>
        <w:rPr>
          <w:rFonts w:ascii="IRNazanin" w:hAnsi="IRNazanin" w:eastAsia="IRNazanin"/>
          <w:color w:val="111111"/>
          <w:sz w:val="28"/>
          <w:sz w:val="28"/>
          <w:szCs w:val="28"/>
          <w:rtl w:val="true"/>
          <w:lang w:bidi="fa-IR"/>
        </w:rPr>
        <w:t>الاحتیاط فی وضع ما یتمکّن منه من المساجد فی محلّه</w:t>
      </w:r>
      <w:r>
        <w:rPr>
          <w:rFonts w:eastAsia="IRNazanin" w:cs="IRNazanin"/>
          <w:color w:val="111111"/>
          <w:sz w:val="28"/>
          <w:szCs w:val="28"/>
          <w:rtl w:val="true"/>
          <w:lang w:bidi="fa-IR"/>
        </w:rPr>
        <w:t>.</w:t>
      </w:r>
    </w:p>
    <w:p>
      <w:pPr>
        <w:pStyle w:val="Heading6"/>
        <w:numPr>
          <w:ilvl w:val="5"/>
          <w:numId w:val="1"/>
        </w:numPr>
        <w:rPr/>
      </w:pPr>
      <w:bookmarkStart w:id="1752" w:name="__RefHeading___Toc2566582_3650668749"/>
      <w:bookmarkStart w:id="1753" w:name="_Toc800"/>
      <w:bookmarkEnd w:id="1752"/>
      <w:r>
        <w:rPr>
          <w:rtl w:val="true"/>
        </w:rPr>
        <w:t>[ (</w:t>
      </w:r>
      <w:r>
        <w:rPr>
          <w:rtl w:val="true"/>
        </w:rPr>
        <w:t xml:space="preserve">مسألة </w:t>
      </w:r>
      <w:r>
        <w:rPr/>
        <w:t>9</w:t>
      </w:r>
      <w:r>
        <w:rPr>
          <w:rtl w:val="true"/>
        </w:rPr>
        <w:t xml:space="preserve">): </w:t>
      </w:r>
      <w:r>
        <w:rPr>
          <w:rtl w:val="true"/>
        </w:rPr>
        <w:t>یستحبّ التکبیر حال الانتصاب من الرکوع للأخذ فی السجود و للرفع منه</w:t>
      </w:r>
      <w:r>
        <w:rPr>
          <w:rtl w:val="true"/>
        </w:rPr>
        <w:t>]</w:t>
      </w:r>
      <w:bookmarkEnd w:id="175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التکبیر حال الانتصاب من الرکوع للأخذ فی السجود و للرفع منه و السبق بالیدین إلی الأرض عند الهویّ إلیه، و استیعاب الجبهة علیٰ ما یصحّ السجود علیه، و الإرغام بمسمّی الأنف علیٰ مسمّیٰ ما یصحّ السجود علیه، و الأحوط عدم ترکه، و تسویة موضع الجبهة مع الموقف بل جمیع المساجد، و بسط الکفّین مضمومتی الأصابع حتّی الإبهام حذاء الأُذنین موجّهاً بهما إلی القبلة، و التجافی حال السجود بمعنی رفع البطن عن الأرض، و التجنیح بأن یرفع مرفقیه عن الأرض مفرّجاً بین عضدیه و جنبیه مبعّداً یدیه عن بدنه جاعلًا یدیه کالجناحین، و الدعاء بالمأثور قبل الشروع فی الذکر و بعد رفع الرأس من السجدة الأُولیٰ، و اختیار التسبیحة الکبری و تکرارها، و الختم علی الوتر، و الدعاء فی السجود أو الأخیر بما یرید من حاجات الدنیا و الآخرة و خصوصاً طلب الرزق الحلال؛ بأن</w:t>
      </w:r>
      <w:bookmarkStart w:id="1754" w:name="pg1809_18992"/>
    </w:p>
    <w:p>
      <w:pPr>
        <w:pStyle w:val="BookText"/>
        <w:rPr/>
      </w:pPr>
      <w:bookmarkEnd w:id="1754"/>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خیر المسئولین و یا خیر المعطین ارزقنی و ارزق عیالی من فضلک فإنّک ذو الفضل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التورّک فی الجلوس بین السجدتین </w:t>
      </w:r>
      <w:r>
        <w:rPr>
          <w:rStyle w:val="FootnoteAnchor"/>
          <w:rtl w:val="true"/>
        </w:rPr>
        <w:footnoteReference w:id="517"/>
      </w:r>
      <w:r>
        <w:rPr>
          <w:rFonts w:ascii="IRNazanin" w:hAnsi="IRNazanin" w:eastAsia="IRNazanin"/>
          <w:color w:val="111111"/>
          <w:sz w:val="28"/>
          <w:sz w:val="28"/>
          <w:szCs w:val="28"/>
          <w:rtl w:val="true"/>
          <w:lang w:bidi="fa-IR"/>
        </w:rPr>
        <w:t>بأن یجلس علیٰ فخذه الأیسر جاعلًا ظهر القدم الیمنیٰ فی بطن الیسریٰ، و أن یقول بین السجدتین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ربّی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وضع الیدین حال الجلوس علی الفخذین؛ الیمنیٰ علی الیمنیٰ و الیسری علی الیسریٰ، و الجلوس مطمئنّاً بعد رفع الرأس من السجدة الثانیة قبل أن یقوم، و هو المسمّی بجلسة الاستراحة، و الأحوط لزوماً عدم ترکها بل وجوبها لا یخلو من قوّة </w:t>
      </w:r>
      <w:r>
        <w:rPr>
          <w:rStyle w:val="FootnoteAnchor"/>
          <w:rtl w:val="true"/>
        </w:rPr>
        <w:footnoteReference w:id="518"/>
      </w:r>
      <w:r>
        <w:rPr>
          <w:rFonts w:ascii="IRNazanin" w:hAnsi="IRNazanin" w:eastAsia="IRNazanin"/>
          <w:color w:val="111111"/>
          <w:sz w:val="28"/>
          <w:sz w:val="28"/>
          <w:szCs w:val="28"/>
          <w:rtl w:val="true"/>
          <w:lang w:bidi="fa-IR"/>
        </w:rPr>
        <w:t>، و أن یقول إذا أراد النهوض إلی القیام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بحولک و قوّتک أقوم و أقعد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یعتمد علیٰ یدیه عند النهوض من غیر عجن بهما؛ أی لا یقبضهما بل یبسطهما علی الأرض</w:t>
      </w:r>
      <w:r>
        <w:rPr>
          <w:rFonts w:eastAsia="IRNazanin" w:cs="IRNazanin"/>
          <w:color w:val="111111"/>
          <w:sz w:val="28"/>
          <w:szCs w:val="28"/>
          <w:rtl w:val="true"/>
          <w:lang w:bidi="fa-IR"/>
        </w:rPr>
        <w:t>.</w:t>
      </w:r>
    </w:p>
    <w:p>
      <w:pPr>
        <w:pStyle w:val="Heading5"/>
        <w:numPr>
          <w:ilvl w:val="4"/>
          <w:numId w:val="1"/>
        </w:numPr>
        <w:rPr/>
      </w:pPr>
      <w:bookmarkStart w:id="1755" w:name="__RefHeading___Toc2566584_3650668749"/>
      <w:bookmarkStart w:id="1756" w:name="_Toc801"/>
      <w:bookmarkEnd w:id="1755"/>
      <w:r>
        <w:rPr>
          <w:rtl w:val="true"/>
        </w:rPr>
        <w:t>[</w:t>
      </w:r>
      <w:r>
        <w:rPr>
          <w:rtl w:val="true"/>
        </w:rPr>
        <w:t>القول فی سجدتی التلاوة و الشکر</w:t>
      </w:r>
      <w:r>
        <w:rPr>
          <w:rtl w:val="true"/>
        </w:rPr>
        <w:t>]</w:t>
      </w:r>
      <w:bookmarkEnd w:id="1756"/>
    </w:p>
    <w:p>
      <w:pPr>
        <w:pStyle w:val="Heading6"/>
        <w:numPr>
          <w:ilvl w:val="5"/>
          <w:numId w:val="1"/>
        </w:numPr>
        <w:rPr/>
      </w:pPr>
      <w:bookmarkStart w:id="1757" w:name="__RefHeading___Toc2566586_3650668749"/>
      <w:bookmarkStart w:id="1758" w:name="_Toc802"/>
      <w:bookmarkEnd w:id="1757"/>
      <w:r>
        <w:rPr>
          <w:rtl w:val="true"/>
        </w:rPr>
        <w:t>اشارة</w:t>
      </w:r>
      <w:bookmarkEnd w:id="1758"/>
    </w:p>
    <w:p>
      <w:pPr>
        <w:pStyle w:val="BookText"/>
        <w:rPr/>
      </w:pPr>
      <w:r>
        <w:rPr>
          <w:rFonts w:ascii="IRNazanin" w:hAnsi="IRNazanin" w:eastAsia="IRNazanin"/>
          <w:color w:val="111111"/>
          <w:sz w:val="28"/>
          <w:sz w:val="28"/>
          <w:szCs w:val="28"/>
          <w:rtl w:val="true"/>
          <w:lang w:bidi="fa-IR"/>
        </w:rPr>
        <w:t>القول فی سجدتی التلاوة و الشکر</w:t>
      </w:r>
    </w:p>
    <w:p>
      <w:pPr>
        <w:pStyle w:val="Heading6"/>
        <w:numPr>
          <w:ilvl w:val="5"/>
          <w:numId w:val="1"/>
        </w:numPr>
        <w:rPr/>
      </w:pPr>
      <w:bookmarkStart w:id="1759" w:name="__RefHeading___Toc2566588_3650668749"/>
      <w:bookmarkStart w:id="1760" w:name="_Toc803"/>
      <w:bookmarkEnd w:id="1759"/>
      <w:r>
        <w:rPr>
          <w:rtl w:val="true"/>
        </w:rPr>
        <w:t>[ (</w:t>
      </w:r>
      <w:r>
        <w:rPr>
          <w:rtl w:val="true"/>
        </w:rPr>
        <w:t xml:space="preserve">مسألة </w:t>
      </w:r>
      <w:r>
        <w:rPr/>
        <w:t>1</w:t>
      </w:r>
      <w:r>
        <w:rPr>
          <w:rtl w:val="true"/>
        </w:rPr>
        <w:t xml:space="preserve">): </w:t>
      </w:r>
      <w:r>
        <w:rPr>
          <w:rtl w:val="true"/>
        </w:rPr>
        <w:t>یجب السجود عند تلاوة آیات أربع فی السور الأربع</w:t>
      </w:r>
      <w:r>
        <w:rPr>
          <w:rtl w:val="true"/>
        </w:rPr>
        <w:t>]</w:t>
      </w:r>
      <w:bookmarkEnd w:id="17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السجود عند تلاوة آیات أربع فی السور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یَسْتَکْبِرُونَ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تَعْبُدُونَ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عند استماعها دون سماعها علی الأظهر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مجموع الآیة فلا یجب بقراءة بعضها و لو لفظ السجدة منها و إن کان أحوط، و وجوبها فوریّ لا یجوز تأخیرها، و لو أخّرها و لو عصیاناً یجب إتیانها فیما بعد</w:t>
      </w:r>
      <w:r>
        <w:rPr>
          <w:rFonts w:eastAsia="IRNazanin" w:cs="IRNazanin"/>
          <w:color w:val="111111"/>
          <w:sz w:val="28"/>
          <w:szCs w:val="28"/>
          <w:rtl w:val="true"/>
          <w:lang w:bidi="fa-IR"/>
        </w:rPr>
        <w:t>.</w:t>
      </w:r>
    </w:p>
    <w:p>
      <w:pPr>
        <w:pStyle w:val="Heading6"/>
        <w:numPr>
          <w:ilvl w:val="5"/>
          <w:numId w:val="1"/>
        </w:numPr>
        <w:rPr/>
      </w:pPr>
      <w:bookmarkStart w:id="1761" w:name="__RefHeading___Toc2566590_3650668749"/>
      <w:bookmarkStart w:id="1762" w:name="_Toc804"/>
      <w:bookmarkEnd w:id="1761"/>
      <w:r>
        <w:rPr>
          <w:rtl w:val="true"/>
        </w:rPr>
        <w:t>[ (</w:t>
      </w:r>
      <w:r>
        <w:rPr>
          <w:rtl w:val="true"/>
        </w:rPr>
        <w:t xml:space="preserve">مسألة </w:t>
      </w:r>
      <w:r>
        <w:rPr/>
        <w:t>2</w:t>
      </w:r>
      <w:r>
        <w:rPr>
          <w:rtl w:val="true"/>
        </w:rPr>
        <w:t xml:space="preserve">): </w:t>
      </w:r>
      <w:r>
        <w:rPr>
          <w:rtl w:val="true"/>
        </w:rPr>
        <w:t>یتکرّر السجود مع تکرّر السبب مع التعاقب و تخلّل السجود قطعاً</w:t>
      </w:r>
      <w:r>
        <w:rPr>
          <w:rtl w:val="true"/>
        </w:rPr>
        <w:t>]</w:t>
      </w:r>
      <w:bookmarkEnd w:id="17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یتکرّر السجود مع تکرّر السبب مع التعاقب و تخلّل السجود قطعاً، أمّا مع عدم التعاقب أو عدم تخلّل السجود ففیه تأمّل </w:t>
      </w:r>
      <w:r>
        <w:rPr>
          <w:rStyle w:val="FootnoteAnchor"/>
          <w:rtl w:val="true"/>
        </w:rPr>
        <w:footnoteReference w:id="520"/>
      </w:r>
      <w:r>
        <w:rPr>
          <w:rFonts w:ascii="IRNazanin" w:hAnsi="IRNazanin" w:eastAsia="IRNazanin"/>
          <w:color w:val="111111"/>
          <w:sz w:val="28"/>
          <w:sz w:val="28"/>
          <w:szCs w:val="28"/>
          <w:rtl w:val="true"/>
          <w:lang w:bidi="fa-IR"/>
        </w:rPr>
        <w:t>و إشکال</w:t>
      </w:r>
      <w:r>
        <w:rPr>
          <w:rFonts w:eastAsia="IRNazanin" w:cs="IRNazanin"/>
          <w:color w:val="111111"/>
          <w:sz w:val="28"/>
          <w:szCs w:val="28"/>
          <w:rtl w:val="true"/>
          <w:lang w:bidi="fa-IR"/>
        </w:rPr>
        <w:t>.</w:t>
      </w:r>
    </w:p>
    <w:p>
      <w:pPr>
        <w:pStyle w:val="Heading6"/>
        <w:numPr>
          <w:ilvl w:val="5"/>
          <w:numId w:val="1"/>
        </w:numPr>
        <w:rPr/>
      </w:pPr>
      <w:bookmarkStart w:id="1763" w:name="__RefHeading___Toc2566592_3650668749"/>
      <w:bookmarkStart w:id="1764" w:name="_Toc805"/>
      <w:bookmarkEnd w:id="1763"/>
      <w:r>
        <w:rPr>
          <w:rtl w:val="true"/>
        </w:rPr>
        <w:t>[ (</w:t>
      </w:r>
      <w:r>
        <w:rPr>
          <w:rtl w:val="true"/>
        </w:rPr>
        <w:t xml:space="preserve">مسألة </w:t>
      </w:r>
      <w:r>
        <w:rPr/>
        <w:t>3</w:t>
      </w:r>
      <w:r>
        <w:rPr>
          <w:rtl w:val="true"/>
        </w:rPr>
        <w:t xml:space="preserve">): </w:t>
      </w:r>
      <w:r>
        <w:rPr>
          <w:rtl w:val="true"/>
        </w:rPr>
        <w:t>إذا قرأها أو استمعها فی حال السجود یجب رفع الرأس منه ثمّ الوضع</w:t>
      </w:r>
      <w:r>
        <w:rPr>
          <w:rtl w:val="true"/>
        </w:rPr>
        <w:t>]</w:t>
      </w:r>
      <w:bookmarkEnd w:id="176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قرأها أو استمعها فی حال السجود یجب رفع الرأس منه ثمّ الوضع، و لا یکفی البقاء بقصده و لا الجرّ إلیٰ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فیما إذا کان جبهته علی الأرض لا بقصد السجدة فسمع أو قرأ آیة السجدة</w:t>
      </w:r>
      <w:r>
        <w:rPr>
          <w:rFonts w:eastAsia="IRNazanin" w:cs="IRNazanin"/>
          <w:color w:val="111111"/>
          <w:sz w:val="28"/>
          <w:szCs w:val="28"/>
          <w:rtl w:val="true"/>
          <w:lang w:bidi="fa-IR"/>
        </w:rPr>
        <w:t>.</w:t>
      </w:r>
      <w:bookmarkStart w:id="1765" w:name="pg1809_18994"/>
    </w:p>
    <w:p>
      <w:pPr>
        <w:pStyle w:val="Heading6"/>
        <w:numPr>
          <w:ilvl w:val="5"/>
          <w:numId w:val="1"/>
        </w:numPr>
        <w:rPr/>
      </w:pPr>
      <w:bookmarkStart w:id="1766" w:name="__RefHeading___Toc2566594_3650668749"/>
      <w:bookmarkStart w:id="1767" w:name="_Toc806"/>
      <w:bookmarkEnd w:id="1765"/>
      <w:bookmarkEnd w:id="1766"/>
      <w:r>
        <w:rPr>
          <w:rtl w:val="true"/>
        </w:rPr>
        <w:t>[ (</w:t>
      </w:r>
      <w:r>
        <w:rPr>
          <w:rtl w:val="true"/>
        </w:rPr>
        <w:t xml:space="preserve">مسألة </w:t>
      </w:r>
      <w:r>
        <w:rPr/>
        <w:t>4</w:t>
      </w:r>
      <w:r>
        <w:rPr>
          <w:rtl w:val="true"/>
        </w:rPr>
        <w:t xml:space="preserve">): </w:t>
      </w:r>
      <w:r>
        <w:rPr>
          <w:rtl w:val="true"/>
        </w:rPr>
        <w:t>الظاهر أنّه یعتبر فی وجوب السجدة علی المستمع کون المسموع صادراً بعنوان التلاوة و قصد القرآنیّة</w:t>
      </w:r>
      <w:r>
        <w:rPr>
          <w:rtl w:val="true"/>
        </w:rPr>
        <w:t>]</w:t>
      </w:r>
      <w:bookmarkEnd w:id="1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یعتبر فی وجوب السجدة علی المستمع کون المسموع صادراً بعنوان التلاوة و قصد القرآنیّة، فلو تکلّم شخص بالآیة لا بقصد القرآنیّة لا یجب السجود بسماعها، و کذا لو سمعها من صبیّ غیر ممیّز أو من النائم أو من صندوق حبس الصوت، و إن کان الأحوط السجود فی الجمیع علی اختلاف مراتب الاحتیاط فیها، بل لا یترک </w:t>
      </w:r>
      <w:r>
        <w:rPr>
          <w:rStyle w:val="FootnoteAnchor"/>
          <w:rtl w:val="true"/>
        </w:rPr>
        <w:footnoteReference w:id="521"/>
      </w:r>
      <w:r>
        <w:rPr>
          <w:rFonts w:ascii="Amiri" w:hAnsi="Amiri" w:eastAsia="Amiri" w:cs="Amiri"/>
          <w:color w:val="111111"/>
          <w:sz w:val="28"/>
          <w:sz w:val="28"/>
          <w:szCs w:val="28"/>
          <w:rtl w:val="true"/>
          <w:lang w:bidi="ar-SA"/>
        </w:rPr>
        <w:t>فی أوّلها</w:t>
      </w:r>
      <w:r>
        <w:rPr>
          <w:rFonts w:eastAsia="Amiri" w:cs="Amiri" w:ascii="Amiri" w:hAnsi="Amiri"/>
          <w:color w:val="111111"/>
          <w:sz w:val="28"/>
          <w:szCs w:val="28"/>
          <w:rtl w:val="true"/>
          <w:lang w:bidi="ar-SA"/>
        </w:rPr>
        <w:t>.</w:t>
      </w:r>
    </w:p>
    <w:p>
      <w:pPr>
        <w:pStyle w:val="Heading6"/>
        <w:numPr>
          <w:ilvl w:val="5"/>
          <w:numId w:val="1"/>
        </w:numPr>
        <w:rPr/>
      </w:pPr>
      <w:bookmarkStart w:id="1768" w:name="__RefHeading___Toc2566596_3650668749"/>
      <w:bookmarkStart w:id="1769" w:name="_Toc807"/>
      <w:bookmarkEnd w:id="1768"/>
      <w:r>
        <w:rPr>
          <w:rtl w:val="true"/>
        </w:rPr>
        <w:t>[ (</w:t>
      </w:r>
      <w:r>
        <w:rPr>
          <w:rtl w:val="true"/>
        </w:rPr>
        <w:t xml:space="preserve">مسألة </w:t>
      </w:r>
      <w:r>
        <w:rPr/>
        <w:t>5</w:t>
      </w:r>
      <w:r>
        <w:rPr>
          <w:rtl w:val="true"/>
        </w:rPr>
        <w:t xml:space="preserve">): </w:t>
      </w:r>
      <w:r>
        <w:rPr>
          <w:rtl w:val="true"/>
        </w:rPr>
        <w:t>یعتبر فی السماع تمییز الحروف و الکلمات</w:t>
      </w:r>
      <w:r>
        <w:rPr>
          <w:rtl w:val="true"/>
        </w:rPr>
        <w:t>]</w:t>
      </w:r>
      <w:bookmarkEnd w:id="17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السماع تمییز الحروف و الکلمات، فلا یکفی سماع الهمهمة و إن کان أحوط</w:t>
      </w:r>
      <w:r>
        <w:rPr>
          <w:rFonts w:eastAsia="IRNazanin" w:cs="IRNazanin"/>
          <w:color w:val="111111"/>
          <w:sz w:val="28"/>
          <w:szCs w:val="28"/>
          <w:rtl w:val="true"/>
          <w:lang w:bidi="fa-IR"/>
        </w:rPr>
        <w:t>.</w:t>
      </w:r>
    </w:p>
    <w:p>
      <w:pPr>
        <w:pStyle w:val="Heading6"/>
        <w:numPr>
          <w:ilvl w:val="5"/>
          <w:numId w:val="1"/>
        </w:numPr>
        <w:rPr/>
      </w:pPr>
      <w:bookmarkStart w:id="1770" w:name="__RefHeading___Toc2566598_3650668749"/>
      <w:bookmarkStart w:id="1771" w:name="_Toc808"/>
      <w:bookmarkEnd w:id="1770"/>
      <w:r>
        <w:rPr>
          <w:rtl w:val="true"/>
        </w:rPr>
        <w:t>[ (</w:t>
      </w:r>
      <w:r>
        <w:rPr>
          <w:rtl w:val="true"/>
        </w:rPr>
        <w:t xml:space="preserve">مسألة </w:t>
      </w:r>
      <w:r>
        <w:rPr/>
        <w:t>6</w:t>
      </w:r>
      <w:r>
        <w:rPr>
          <w:rtl w:val="true"/>
        </w:rPr>
        <w:t xml:space="preserve">): </w:t>
      </w:r>
      <w:r>
        <w:rPr>
          <w:rtl w:val="true"/>
        </w:rPr>
        <w:t>یعتبر فی هذا السجود بعد تحقّق مسمّاه النیّة و إباحة المکان</w:t>
      </w:r>
      <w:r>
        <w:rPr>
          <w:rtl w:val="true"/>
        </w:rPr>
        <w:t>]</w:t>
      </w:r>
      <w:bookmarkEnd w:id="17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هذا السجود بعد تحقّق مسمّاه النیّة و إباحة المکان، و الأحوط </w:t>
      </w:r>
      <w:r>
        <w:rPr>
          <w:rStyle w:val="FootnoteAnchor"/>
          <w:rtl w:val="true"/>
        </w:rPr>
        <w:footnoteReference w:id="522"/>
      </w:r>
      <w:r>
        <w:rPr>
          <w:rFonts w:ascii="IRNazanin" w:hAnsi="IRNazanin" w:eastAsia="IRNazanin"/>
          <w:color w:val="111111"/>
          <w:sz w:val="28"/>
          <w:sz w:val="28"/>
          <w:szCs w:val="28"/>
          <w:rtl w:val="true"/>
          <w:lang w:bidi="fa-IR"/>
        </w:rPr>
        <w:t>وضع المواضع السبعة و وضع الجبهة علیٰ ما یصحّ السجود علیه، بل اعتبار عدم کونه مأکولًا و ملبوساً 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فیه الاستقبال و لا الطهارة من الحدث و لا من الخبث و لا طهارة موضع الجبهة و لا ستر العورة فضلًا عن صفات الساتر</w:t>
      </w:r>
      <w:r>
        <w:rPr>
          <w:rFonts w:eastAsia="IRNazanin" w:cs="IRNazanin"/>
          <w:color w:val="111111"/>
          <w:sz w:val="28"/>
          <w:szCs w:val="28"/>
          <w:rtl w:val="true"/>
          <w:lang w:bidi="fa-IR"/>
        </w:rPr>
        <w:t>.</w:t>
      </w:r>
    </w:p>
    <w:p>
      <w:pPr>
        <w:pStyle w:val="Heading6"/>
        <w:numPr>
          <w:ilvl w:val="5"/>
          <w:numId w:val="1"/>
        </w:numPr>
        <w:rPr/>
      </w:pPr>
      <w:bookmarkStart w:id="1772" w:name="__RefHeading___Toc2566600_3650668749"/>
      <w:bookmarkStart w:id="1773" w:name="_Toc809"/>
      <w:bookmarkEnd w:id="1772"/>
      <w:r>
        <w:rPr>
          <w:rtl w:val="true"/>
        </w:rPr>
        <w:t>[ (</w:t>
      </w:r>
      <w:r>
        <w:rPr>
          <w:rtl w:val="true"/>
        </w:rPr>
        <w:t xml:space="preserve">مسألة </w:t>
      </w:r>
      <w:r>
        <w:rPr/>
        <w:t>7</w:t>
      </w:r>
      <w:r>
        <w:rPr>
          <w:rtl w:val="true"/>
        </w:rPr>
        <w:t xml:space="preserve">): </w:t>
      </w:r>
      <w:r>
        <w:rPr>
          <w:rtl w:val="true"/>
        </w:rPr>
        <w:t>لیس فی هذا السجود تشهّد و لا تسلیم</w:t>
      </w:r>
      <w:r>
        <w:rPr>
          <w:rtl w:val="true"/>
        </w:rPr>
        <w:t>]</w:t>
      </w:r>
      <w:bookmarkEnd w:id="1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هذا السجود تشهّد و لا تسلیم، بل و لا تکبیرة افتتاح، نعم یستحبّ التکبیر للرفع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یجب فیه الذکر و إن استحبّ، و یکفی فیه کلّ 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الأولی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حقّا حقّا لا إله إلّا اللّٰه إیماناً و تصدیقاً لا إله إلّا اللّٰه عبودیّة و رِقّاً، سجدتُ لک یا ربّ تعبّداً و رقّاً لا مستنکفاً و لا مستکبراً، بل أنا عبد ذلیل خائف مستجیر</w:t>
      </w:r>
      <w:r>
        <w:rPr>
          <w:rFonts w:eastAsia="Amiri" w:cs="Amiri" w:ascii="Amiri" w:hAnsi="Amiri"/>
          <w:color w:val="111111"/>
          <w:sz w:val="28"/>
          <w:szCs w:val="28"/>
          <w:rtl w:val="true"/>
          <w:lang w:bidi="ar-SA"/>
        </w:rPr>
        <w:t>».</w:t>
      </w:r>
    </w:p>
    <w:p>
      <w:pPr>
        <w:pStyle w:val="Heading6"/>
        <w:numPr>
          <w:ilvl w:val="5"/>
          <w:numId w:val="1"/>
        </w:numPr>
        <w:rPr/>
      </w:pPr>
      <w:bookmarkStart w:id="1774" w:name="__RefHeading___Toc2566602_3650668749"/>
      <w:bookmarkStart w:id="1775" w:name="_Toc810"/>
      <w:bookmarkEnd w:id="1774"/>
      <w:r>
        <w:rPr>
          <w:rtl w:val="true"/>
        </w:rPr>
        <w:t>[ (</w:t>
      </w:r>
      <w:r>
        <w:rPr>
          <w:rtl w:val="true"/>
        </w:rPr>
        <w:t xml:space="preserve">مسألة </w:t>
      </w:r>
      <w:r>
        <w:rPr/>
        <w:t>8</w:t>
      </w:r>
      <w:r>
        <w:rPr>
          <w:rtl w:val="true"/>
        </w:rPr>
        <w:t xml:space="preserve">): </w:t>
      </w:r>
      <w:r>
        <w:rPr>
          <w:rtl w:val="true"/>
        </w:rPr>
        <w:t>السجود للّٰه عزّ و جلّ فی نفسه من أعظم العبادات</w:t>
      </w:r>
      <w:r>
        <w:rPr>
          <w:rtl w:val="true"/>
        </w:rPr>
        <w:t>]</w:t>
      </w:r>
      <w:bookmarkEnd w:id="177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للّٰه عزّ و جلّ فی نفسه من أعظم العبادات، بل ما عُبد اللّٰه بمثله، و ما من عمل أشدّ علیٰ إبلیس من أن یریٰ ابن آدم ساجداً؛ لأنّه أُمر بالسجود فعصی و هذا أُمر بالسجود فأطاع و نجی، و أقرب ما یکون العبد إلی اللّٰه و 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أکیداً للشکر للّٰه عند تجدّد کلّ نعمة و دفع کلّ نقمة و عند تذکّرهما و للتوفیق لأداء کلّ فریضة أو نافلة بل کلّ فعل خیر حتّی الصلح بین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الاقتصار علیٰ واحدة، و الأفضل أن یأتی باثنتین بمعنی الفصل بینهما بتعفیر الخدّین أو الجبینین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هذا السجود مجرّد وضع الجبهة مع النیّة، و الأحوط فیها وضع المساجد السبعة و وضع الجبهة علیٰ ما</w:t>
      </w:r>
      <w:bookmarkStart w:id="1776" w:name="pg1809_18996"/>
    </w:p>
    <w:p>
      <w:pPr>
        <w:pStyle w:val="BookText"/>
        <w:rPr/>
      </w:pPr>
      <w:bookmarkEnd w:id="1776"/>
      <w:r>
        <w:rPr>
          <w:rFonts w:ascii="Amiri" w:hAnsi="Amiri" w:eastAsia="Amiri" w:cs="Amiri"/>
          <w:color w:val="111111"/>
          <w:sz w:val="28"/>
          <w:sz w:val="28"/>
          <w:szCs w:val="28"/>
          <w:rtl w:val="true"/>
          <w:lang w:bidi="ar-SA"/>
        </w:rPr>
        <w:t>یصحّ السجود علیه، بل اعتبار عدم کونه ملبوساً أو مأکولًا لا یخلو من قوّة کما تقدّم فی سجود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فیه افتراش الذراعین و إلصاق الجؤجؤ و الصدر و البطن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یشترط فیه الذکر و إن استحبّ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شکراً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شکراً شکراً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 یکفی ثلاث مرّات بل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ما یقال فیه ما ورد عن مولانا 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و 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اشْهدُکَ و أُشهِدُ ملائکتکَ و أنبیاءک و رُسلکَ و جمیعَ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أنتَ اللّٰه ربّی و الإسلام دینی و محمّداً نبیّی و علیّاً و الحسن و الحسین تعدّهم إلیٰ آخرهم أئمّتی، بهم أتولّی و من أعدائهم أتبرّأ، اللهمّ إنّی أَنشدکَ دَمَ المظلومِ ثلاثاً اللهمّ إنّی أَنشدک بإیوائک علیٰ نفسک لأعدائکَ لتهلکنّهُم بأیدینا و أیدی المؤمنین، اللهمّ إنّی أنشدُکَ بإیوائک علیٰ نفسک لأولیائک لتظفِرنّهُم بعدوِّکَ و عدوّهم أن تُصلّی علیٰ محمّدٍ و علی المستحفظین من آل محمّدٍ ثلاثاً اللهمّ إنّی أسألکَ الیُسرَ بعد العُسر ثلاثاً ثمّ تضع خدّک الأیمن علی الأرض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کهفی حین تعیینی المذاهب و تضیقُ علیَّ الأرض بما رَحُبت یا بارئَ خلقی رحمةً بی و قد کنتَ عن خلقی غنیّاً صلِّ علیٰ محمّدٍ و علی المستحفظین من آلِ محمّدٍ، ثمّ تضع خدّک الأیسر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و یا مُعزَّ کُلِّ ذلیل قَد و عِزَّتکَ بلغَ مجهودی ثلاثاً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حَنّانُ یا مَنّانُ یا کاشِفَ الکرب العظام، ثمّ تعود للسجود فتقول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شکراً، ثمّ تسأل حاجتک تُقضیٰ إن شاء اللّٰه تعالیٰ</w:t>
      </w:r>
      <w:r>
        <w:rPr>
          <w:rFonts w:eastAsia="Amiri" w:cs="Amiri" w:ascii="Amiri" w:hAnsi="Amiri"/>
          <w:color w:val="111111"/>
          <w:sz w:val="28"/>
          <w:szCs w:val="28"/>
          <w:rtl w:val="true"/>
          <w:lang w:bidi="ar-SA"/>
        </w:rPr>
        <w:t>».</w:t>
      </w:r>
    </w:p>
    <w:p>
      <w:pPr>
        <w:pStyle w:val="Heading4"/>
        <w:numPr>
          <w:ilvl w:val="3"/>
          <w:numId w:val="1"/>
        </w:numPr>
        <w:rPr/>
      </w:pPr>
      <w:bookmarkStart w:id="1777" w:name="__RefHeading___Toc2566604_3650668749"/>
      <w:bookmarkStart w:id="1778" w:name="_Toc811"/>
      <w:bookmarkEnd w:id="1777"/>
      <w:r>
        <w:rPr>
          <w:rtl w:val="true"/>
        </w:rPr>
        <w:t>[</w:t>
      </w:r>
      <w:r>
        <w:rPr>
          <w:rtl w:val="true"/>
        </w:rPr>
        <w:t>القول فی التشهّد</w:t>
      </w:r>
      <w:r>
        <w:rPr>
          <w:rtl w:val="true"/>
        </w:rPr>
        <w:t>]</w:t>
      </w:r>
      <w:bookmarkEnd w:id="1778"/>
    </w:p>
    <w:p>
      <w:pPr>
        <w:pStyle w:val="Heading5"/>
        <w:numPr>
          <w:ilvl w:val="4"/>
          <w:numId w:val="1"/>
        </w:numPr>
        <w:rPr/>
      </w:pPr>
      <w:bookmarkStart w:id="1779" w:name="__RefHeading___Toc2566606_3650668749"/>
      <w:bookmarkStart w:id="1780" w:name="_Toc812"/>
      <w:bookmarkEnd w:id="1779"/>
      <w:r>
        <w:rPr>
          <w:rtl w:val="true"/>
        </w:rPr>
        <w:t>اشارة</w:t>
      </w:r>
      <w:bookmarkEnd w:id="1780"/>
    </w:p>
    <w:p>
      <w:pPr>
        <w:pStyle w:val="BookText"/>
        <w:rPr/>
      </w:pPr>
      <w:r>
        <w:rPr>
          <w:rFonts w:ascii="IRNazanin" w:hAnsi="IRNazanin" w:eastAsia="IRNazanin"/>
          <w:color w:val="111111"/>
          <w:sz w:val="28"/>
          <w:sz w:val="28"/>
          <w:szCs w:val="28"/>
          <w:rtl w:val="true"/>
          <w:lang w:bidi="fa-IR"/>
        </w:rPr>
        <w:t>القول فی التشهّد</w:t>
      </w:r>
    </w:p>
    <w:p>
      <w:pPr>
        <w:pStyle w:val="Heading5"/>
        <w:numPr>
          <w:ilvl w:val="4"/>
          <w:numId w:val="1"/>
        </w:numPr>
        <w:rPr/>
      </w:pPr>
      <w:bookmarkStart w:id="1781" w:name="__RefHeading___Toc2566608_3650668749"/>
      <w:bookmarkStart w:id="1782" w:name="_Toc813"/>
      <w:bookmarkEnd w:id="1781"/>
      <w:r>
        <w:rPr>
          <w:rtl w:val="true"/>
        </w:rPr>
        <w:t>[ (</w:t>
      </w:r>
      <w:r>
        <w:rPr>
          <w:rtl w:val="true"/>
        </w:rPr>
        <w:t xml:space="preserve">مسألة </w:t>
      </w:r>
      <w:r>
        <w:rPr/>
        <w:t>1</w:t>
      </w:r>
      <w:r>
        <w:rPr>
          <w:rtl w:val="true"/>
        </w:rPr>
        <w:t xml:space="preserve">): </w:t>
      </w:r>
      <w:r>
        <w:rPr>
          <w:rtl w:val="true"/>
        </w:rPr>
        <w:t>یجب التشهّد فی الثنائیّة مرّة بعد رفع الرأس من السجدة الأخیرة</w:t>
      </w:r>
      <w:r>
        <w:rPr>
          <w:rtl w:val="true"/>
        </w:rPr>
        <w:t>]</w:t>
      </w:r>
      <w:bookmarkEnd w:id="178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التشهّد فی الثنائیّة مرّة بعد رفع الرأس من السجدة الأخیرة، و فی الثلاثیة و الرباعیّة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بعد رفع الرأس من السجدة الأخیرة فی الرکعة الثانیة، و الثانیة بعد رفع الرأس منها فی الرکعة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واجب غیر رکن فلو ترکه عمداً بطلت الصلاة دون السهو حتّی رکع، و إن وجب علیه قضاؤه بعد الفراغ کما یأتی فی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الواجب فیه الشهادتان ثمّ الصلاة علیٰ محمّد و آله، و الأحوط </w:t>
      </w:r>
      <w:r>
        <w:rPr>
          <w:rStyle w:val="FootnoteAnchor"/>
          <w:rtl w:val="true"/>
        </w:rPr>
        <w:footnoteReference w:id="523"/>
      </w:r>
      <w:r>
        <w:rPr>
          <w:rFonts w:ascii="IRNazanin" w:hAnsi="IRNazanin" w:eastAsia="IRNazanin"/>
          <w:color w:val="111111"/>
          <w:sz w:val="28"/>
          <w:sz w:val="28"/>
          <w:szCs w:val="28"/>
          <w:rtl w:val="true"/>
          <w:lang w:bidi="fa-IR"/>
        </w:rPr>
        <w:t>فی عبارته أن یقول</w:t>
      </w:r>
      <w:r>
        <w:rPr>
          <w:rFonts w:eastAsia="IRNazanin" w:cs="IRNazanin"/>
          <w:color w:val="111111"/>
          <w:sz w:val="28"/>
          <w:szCs w:val="28"/>
          <w:rtl w:val="true"/>
          <w:lang w:bidi="fa-IR"/>
        </w:rPr>
        <w:t>:</w:t>
      </w:r>
      <w:bookmarkStart w:id="1783" w:name="pg1809_18998"/>
    </w:p>
    <w:p>
      <w:pPr>
        <w:pStyle w:val="BookText"/>
        <w:rPr/>
      </w:pPr>
      <w:bookmarkEnd w:id="17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 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الابتداء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الحمد للّٰه و خیر الأسماءِ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الحُسنیٰ کلُّها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یقول بعد الصلاة علی النبیّ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تَقَبّلْ شفاعته </w:t>
      </w:r>
      <w:r>
        <w:rPr>
          <w:rStyle w:val="FootnoteAnchor"/>
          <w:rtl w:val="true"/>
        </w:rPr>
        <w:footnoteReference w:id="524"/>
      </w:r>
      <w:r>
        <w:rPr>
          <w:rFonts w:ascii="IRNazanin" w:hAnsi="IRNazanin" w:eastAsia="IRNazanin"/>
          <w:color w:val="111111"/>
          <w:sz w:val="28"/>
          <w:sz w:val="28"/>
          <w:szCs w:val="28"/>
          <w:rtl w:val="true"/>
          <w:lang w:bidi="fa-IR"/>
        </w:rPr>
        <w:t>فی أُمّته و 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فیه اللفظ الصحیح الموافق للعربیّة، و من عجز عنه وجب علیه تعلّمه</w:t>
      </w:r>
      <w:r>
        <w:rPr>
          <w:rFonts w:eastAsia="IRNazanin" w:cs="IRNazanin"/>
          <w:color w:val="111111"/>
          <w:sz w:val="28"/>
          <w:szCs w:val="28"/>
          <w:rtl w:val="true"/>
          <w:lang w:bidi="fa-IR"/>
        </w:rPr>
        <w:t>.</w:t>
      </w:r>
    </w:p>
    <w:p>
      <w:pPr>
        <w:pStyle w:val="Heading5"/>
        <w:numPr>
          <w:ilvl w:val="4"/>
          <w:numId w:val="1"/>
        </w:numPr>
        <w:rPr/>
      </w:pPr>
      <w:bookmarkStart w:id="1784" w:name="__RefHeading___Toc2566610_3650668749"/>
      <w:bookmarkStart w:id="1785" w:name="_Toc814"/>
      <w:bookmarkEnd w:id="1784"/>
      <w:r>
        <w:rPr>
          <w:rtl w:val="true"/>
        </w:rPr>
        <w:t>[ (</w:t>
      </w:r>
      <w:r>
        <w:rPr>
          <w:rtl w:val="true"/>
        </w:rPr>
        <w:t xml:space="preserve">مسألة </w:t>
      </w:r>
      <w:r>
        <w:rPr/>
        <w:t>2</w:t>
      </w:r>
      <w:r>
        <w:rPr>
          <w:rtl w:val="true"/>
        </w:rPr>
        <w:t xml:space="preserve">): </w:t>
      </w:r>
      <w:r>
        <w:rPr>
          <w:rtl w:val="true"/>
        </w:rPr>
        <w:t>یجب الجلوس مطمئنّاً حال التشهّد بأیّ کیفیّة کان</w:t>
      </w:r>
      <w:r>
        <w:rPr>
          <w:rtl w:val="true"/>
        </w:rPr>
        <w:t>]</w:t>
      </w:r>
      <w:bookmarkEnd w:id="17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الجلوس مطمئنّاً حال التشهّد بأیّ کیفیّة کان، نعم الأحوط </w:t>
      </w:r>
      <w:r>
        <w:rPr>
          <w:rStyle w:val="FootnoteAnchor"/>
          <w:rtl w:val="true"/>
        </w:rPr>
        <w:footnoteReference w:id="525"/>
      </w:r>
      <w:r>
        <w:rPr>
          <w:rFonts w:ascii="IRNazanin" w:hAnsi="IRNazanin" w:eastAsia="IRNazanin"/>
          <w:color w:val="111111"/>
          <w:sz w:val="28"/>
          <w:sz w:val="28"/>
          <w:szCs w:val="28"/>
          <w:rtl w:val="true"/>
          <w:lang w:bidi="fa-IR"/>
        </w:rPr>
        <w:t>ترک الإقعاء؛ و هو أن یعتمد بصدور قدمیه علی الأرض و یجلس علیٰ عقبیه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فیه التورّک کما یستحبّ ذلک بین السجدتین و بعدهما کما تقدّم</w:t>
      </w:r>
      <w:r>
        <w:rPr>
          <w:rFonts w:eastAsia="IRNazanin" w:cs="IRNazanin"/>
          <w:color w:val="111111"/>
          <w:sz w:val="28"/>
          <w:szCs w:val="28"/>
          <w:rtl w:val="true"/>
          <w:lang w:bidi="fa-IR"/>
        </w:rPr>
        <w:t>.</w:t>
      </w:r>
    </w:p>
    <w:p>
      <w:pPr>
        <w:pStyle w:val="Heading4"/>
        <w:numPr>
          <w:ilvl w:val="3"/>
          <w:numId w:val="1"/>
        </w:numPr>
        <w:rPr/>
      </w:pPr>
      <w:bookmarkStart w:id="1786" w:name="__RefHeading___Toc2566612_3650668749"/>
      <w:bookmarkStart w:id="1787" w:name="_Toc815"/>
      <w:bookmarkEnd w:id="1786"/>
      <w:r>
        <w:rPr>
          <w:rtl w:val="true"/>
        </w:rPr>
        <w:t>[</w:t>
      </w:r>
      <w:r>
        <w:rPr>
          <w:rtl w:val="true"/>
        </w:rPr>
        <w:t>القول فی التسلیم</w:t>
      </w:r>
      <w:r>
        <w:rPr>
          <w:rtl w:val="true"/>
        </w:rPr>
        <w:t>]</w:t>
      </w:r>
      <w:bookmarkEnd w:id="1787"/>
    </w:p>
    <w:p>
      <w:pPr>
        <w:pStyle w:val="Heading5"/>
        <w:numPr>
          <w:ilvl w:val="4"/>
          <w:numId w:val="1"/>
        </w:numPr>
        <w:rPr/>
      </w:pPr>
      <w:bookmarkStart w:id="1788" w:name="__RefHeading___Toc2566614_3650668749"/>
      <w:bookmarkStart w:id="1789" w:name="_Toc816"/>
      <w:bookmarkEnd w:id="1788"/>
      <w:r>
        <w:rPr>
          <w:rtl w:val="true"/>
        </w:rPr>
        <w:t>اشارة</w:t>
      </w:r>
      <w:bookmarkEnd w:id="1789"/>
    </w:p>
    <w:p>
      <w:pPr>
        <w:pStyle w:val="BookText"/>
        <w:rPr/>
      </w:pPr>
      <w:r>
        <w:rPr>
          <w:rFonts w:ascii="IRNazanin" w:hAnsi="IRNazanin" w:eastAsia="IRNazanin"/>
          <w:color w:val="111111"/>
          <w:sz w:val="28"/>
          <w:sz w:val="28"/>
          <w:szCs w:val="28"/>
          <w:rtl w:val="true"/>
          <w:lang w:bidi="fa-IR"/>
        </w:rPr>
        <w:t>القول فی التسلیم</w:t>
      </w:r>
    </w:p>
    <w:p>
      <w:pPr>
        <w:pStyle w:val="Heading5"/>
        <w:numPr>
          <w:ilvl w:val="4"/>
          <w:numId w:val="1"/>
        </w:numPr>
        <w:rPr/>
      </w:pPr>
      <w:bookmarkStart w:id="1790" w:name="__RefHeading___Toc2566616_3650668749"/>
      <w:bookmarkStart w:id="1791" w:name="_Toc817"/>
      <w:bookmarkEnd w:id="1790"/>
      <w:r>
        <w:rPr>
          <w:rtl w:val="true"/>
        </w:rPr>
        <w:t>[ (</w:t>
      </w:r>
      <w:r>
        <w:rPr>
          <w:rtl w:val="true"/>
        </w:rPr>
        <w:t xml:space="preserve">مسألة </w:t>
      </w:r>
      <w:r>
        <w:rPr/>
        <w:t>1</w:t>
      </w:r>
      <w:r>
        <w:rPr>
          <w:rtl w:val="true"/>
        </w:rPr>
        <w:t xml:space="preserve">): </w:t>
      </w:r>
      <w:r>
        <w:rPr>
          <w:rtl w:val="true"/>
        </w:rPr>
        <w:t>التسلیم واجب فی الصلاة و جزء منها علیٰ إشکال</w:t>
      </w:r>
      <w:r>
        <w:rPr>
          <w:rtl w:val="true"/>
        </w:rPr>
        <w:t>]</w:t>
      </w:r>
      <w:bookmarkEnd w:id="17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التسلیم واجب فی الصلاة و جزء منها علیٰ إشکال </w:t>
      </w:r>
      <w:r>
        <w:rPr>
          <w:rStyle w:val="FootnoteAnchor"/>
          <w:rtl w:val="true"/>
        </w:rPr>
        <w:footnoteReference w:id="526"/>
      </w:r>
      <w:r>
        <w:rPr>
          <w:rFonts w:ascii="IRNazanin" w:hAnsi="IRNazanin" w:eastAsia="IRNazanin"/>
          <w:color w:val="111111"/>
          <w:sz w:val="28"/>
          <w:sz w:val="28"/>
          <w:szCs w:val="28"/>
          <w:rtl w:val="true"/>
          <w:lang w:bidi="fa-IR"/>
        </w:rPr>
        <w:t>فی الصیغة الثانیة و یتوقّف تحلّل المنافیات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صیغتان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الأحوط </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الاجتزاء بالثانیة، و الأحوط عدم الاجتزاء </w:t>
      </w:r>
      <w:r>
        <w:rPr>
          <w:rStyle w:val="FootnoteAnchor"/>
          <w:rtl w:val="true"/>
        </w:rPr>
        <w:footnoteReference w:id="528"/>
      </w:r>
      <w:r>
        <w:rPr>
          <w:rFonts w:ascii="IRNazanin" w:hAnsi="IRNazanin" w:eastAsia="IRNazanin"/>
          <w:color w:val="111111"/>
          <w:sz w:val="28"/>
          <w:sz w:val="28"/>
          <w:szCs w:val="28"/>
          <w:rtl w:val="true"/>
          <w:lang w:bidi="fa-IR"/>
        </w:rPr>
        <w:t>بالأُولیٰ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توابع التشهّد لا یحصل بها تحلیل و لا تبطل الصلاة بترکها عمداً، فضلًا عن السهو، لکن الأحوط المحافظة علیها، کما أنّ الأحوط الجمع بین الصیغتین بعدها مقدّماً للصیغة الاولیٰ</w:t>
      </w:r>
      <w:r>
        <w:rPr>
          <w:rFonts w:eastAsia="IRNazanin" w:cs="IRNazanin"/>
          <w:color w:val="111111"/>
          <w:sz w:val="28"/>
          <w:szCs w:val="28"/>
          <w:rtl w:val="true"/>
          <w:lang w:bidi="fa-IR"/>
        </w:rPr>
        <w:t>.</w:t>
      </w:r>
    </w:p>
    <w:p>
      <w:pPr>
        <w:pStyle w:val="Heading5"/>
        <w:numPr>
          <w:ilvl w:val="4"/>
          <w:numId w:val="1"/>
        </w:numPr>
        <w:rPr/>
      </w:pPr>
      <w:bookmarkStart w:id="1792" w:name="__RefHeading___Toc2566618_3650668749"/>
      <w:bookmarkStart w:id="1793" w:name="_Toc818"/>
      <w:bookmarkEnd w:id="1792"/>
      <w:r>
        <w:rPr>
          <w:rtl w:val="true"/>
        </w:rPr>
        <w:t>[ (</w:t>
      </w:r>
      <w:r>
        <w:rPr>
          <w:rtl w:val="true"/>
        </w:rPr>
        <w:t xml:space="preserve">مسألة </w:t>
      </w:r>
      <w:r>
        <w:rPr/>
        <w:t>2</w:t>
      </w:r>
      <w:r>
        <w:rPr>
          <w:rtl w:val="true"/>
        </w:rPr>
        <w:t xml:space="preserve">): </w:t>
      </w:r>
      <w:r>
        <w:rPr>
          <w:rtl w:val="true"/>
        </w:rPr>
        <w:t>یجب فی التسلیم بکلّ من الصیغتین العربیّة و الإعراب</w:t>
      </w:r>
      <w:r>
        <w:rPr>
          <w:rtl w:val="true"/>
        </w:rPr>
        <w:t>]</w:t>
      </w:r>
      <w:bookmarkEnd w:id="179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التسلیم بکلّ من الصیغتین العربیّة و الإعراب، و یجب تعلّمه کما سمعته فی التشهّد، کما أنّه یجب الجلوس حالته مطمئنّاً، و یستحبّ فیه التورّک</w:t>
      </w:r>
      <w:r>
        <w:rPr>
          <w:rFonts w:eastAsia="IRNazanin" w:cs="IRNazanin"/>
          <w:color w:val="111111"/>
          <w:sz w:val="28"/>
          <w:szCs w:val="28"/>
          <w:rtl w:val="true"/>
          <w:lang w:bidi="fa-IR"/>
        </w:rPr>
        <w:t>.</w:t>
      </w:r>
      <w:bookmarkStart w:id="1794" w:name="pg1809_19000"/>
    </w:p>
    <w:p>
      <w:pPr>
        <w:pStyle w:val="Heading4"/>
        <w:numPr>
          <w:ilvl w:val="3"/>
          <w:numId w:val="1"/>
        </w:numPr>
        <w:rPr/>
      </w:pPr>
      <w:bookmarkStart w:id="1795" w:name="__RefHeading___Toc2566620_3650668749"/>
      <w:bookmarkStart w:id="1796" w:name="_Toc819"/>
      <w:bookmarkEnd w:id="1794"/>
      <w:bookmarkEnd w:id="1795"/>
      <w:r>
        <w:rPr>
          <w:rtl w:val="true"/>
        </w:rPr>
        <w:t>[</w:t>
      </w:r>
      <w:r>
        <w:rPr>
          <w:rtl w:val="true"/>
        </w:rPr>
        <w:t>القول فی الترتیب</w:t>
      </w:r>
      <w:r>
        <w:rPr>
          <w:rtl w:val="true"/>
        </w:rPr>
        <w:t>]</w:t>
      </w:r>
      <w:bookmarkEnd w:id="1796"/>
    </w:p>
    <w:p>
      <w:pPr>
        <w:pStyle w:val="Heading5"/>
        <w:numPr>
          <w:ilvl w:val="4"/>
          <w:numId w:val="1"/>
        </w:numPr>
        <w:rPr/>
      </w:pPr>
      <w:bookmarkStart w:id="1797" w:name="__RefHeading___Toc2566622_3650668749"/>
      <w:bookmarkStart w:id="1798" w:name="_Toc820"/>
      <w:bookmarkEnd w:id="1797"/>
      <w:r>
        <w:rPr>
          <w:rtl w:val="true"/>
        </w:rPr>
        <w:t>اشارة</w:t>
      </w:r>
      <w:bookmarkEnd w:id="1798"/>
    </w:p>
    <w:p>
      <w:pPr>
        <w:pStyle w:val="BookText"/>
        <w:rPr/>
      </w:pPr>
      <w:r>
        <w:rPr>
          <w:rFonts w:ascii="IRNazanin" w:hAnsi="IRNazanin" w:eastAsia="IRNazanin"/>
          <w:color w:val="111111"/>
          <w:sz w:val="28"/>
          <w:sz w:val="28"/>
          <w:szCs w:val="28"/>
          <w:rtl w:val="true"/>
          <w:lang w:bidi="fa-IR"/>
        </w:rPr>
        <w:t>القول فی الترتیب</w:t>
      </w:r>
    </w:p>
    <w:p>
      <w:pPr>
        <w:pStyle w:val="Heading5"/>
        <w:numPr>
          <w:ilvl w:val="4"/>
          <w:numId w:val="1"/>
        </w:numPr>
        <w:rPr/>
      </w:pPr>
      <w:bookmarkStart w:id="1799" w:name="__RefHeading___Toc2566624_3650668749"/>
      <w:bookmarkStart w:id="1800" w:name="_Toc821"/>
      <w:bookmarkEnd w:id="1799"/>
      <w:r>
        <w:rPr>
          <w:rtl w:val="true"/>
        </w:rPr>
        <w:t>[ (</w:t>
      </w:r>
      <w:r>
        <w:rPr>
          <w:rtl w:val="true"/>
        </w:rPr>
        <w:t xml:space="preserve">مسألة </w:t>
      </w:r>
      <w:r>
        <w:rPr/>
        <w:t>1</w:t>
      </w:r>
      <w:r>
        <w:rPr>
          <w:rtl w:val="true"/>
        </w:rPr>
        <w:t xml:space="preserve">): </w:t>
      </w:r>
      <w:r>
        <w:rPr>
          <w:rtl w:val="true"/>
        </w:rPr>
        <w:t>یجب الترتیب فی أفعال الصلاة</w:t>
      </w:r>
      <w:r>
        <w:rPr>
          <w:rtl w:val="true"/>
        </w:rPr>
        <w:t>]</w:t>
      </w:r>
      <w:bookmarkEnd w:id="18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الترتیب فی أفعال الصلاة فیجب تقدیم تکبیرة الإحرام علی القراءة و الفاتحة علی السورة و هی علی الرکوع و هو علی السجود و هکذا، فمن صلّیٰ و قد قدّم مؤخّراً أو أخّر مقدّماً عمداً بطلت صلاته، و کذا لو کان ساهیاً و قد قدّم رکناً علیٰ رکن، أمّا لو قدّم رکناً علیٰ ما لیس برکن سهواً کما لو رکع قبل القراءة فلا بأس </w:t>
      </w:r>
      <w:r>
        <w:rPr>
          <w:rStyle w:val="FootnoteAnchor"/>
          <w:rtl w:val="true"/>
        </w:rPr>
        <w:footnoteReference w:id="529"/>
      </w:r>
      <w:r>
        <w:rPr>
          <w:rFonts w:ascii="IRNazanin" w:hAnsi="IRNazanin" w:eastAsia="IRNazanin"/>
          <w:color w:val="111111"/>
          <w:sz w:val="28"/>
          <w:sz w:val="28"/>
          <w:szCs w:val="28"/>
          <w:rtl w:val="true"/>
          <w:lang w:bidi="fa-IR"/>
        </w:rPr>
        <w:t>و یمضی فی صلاته، کما أنّه لا بأس بتقدیم غیر الأرکان بعضها علیٰ بعض سهواً، و لکن هنا یعود إلیٰ ما یحصل به الترتیب مع إمکانه و تصحّ صلاته</w:t>
      </w:r>
      <w:r>
        <w:rPr>
          <w:rFonts w:eastAsia="IRNazanin" w:cs="IRNazanin"/>
          <w:color w:val="111111"/>
          <w:sz w:val="28"/>
          <w:szCs w:val="28"/>
          <w:rtl w:val="true"/>
          <w:lang w:bidi="fa-IR"/>
        </w:rPr>
        <w:t>.</w:t>
      </w:r>
    </w:p>
    <w:p>
      <w:pPr>
        <w:pStyle w:val="Heading4"/>
        <w:numPr>
          <w:ilvl w:val="3"/>
          <w:numId w:val="1"/>
        </w:numPr>
        <w:rPr/>
      </w:pPr>
      <w:bookmarkStart w:id="1801" w:name="__RefHeading___Toc2566626_3650668749"/>
      <w:bookmarkStart w:id="1802" w:name="_Toc822"/>
      <w:bookmarkEnd w:id="1801"/>
      <w:r>
        <w:rPr>
          <w:rtl w:val="true"/>
        </w:rPr>
        <w:t>[</w:t>
      </w:r>
      <w:r>
        <w:rPr>
          <w:rtl w:val="true"/>
        </w:rPr>
        <w:t>القول فی الموالاة</w:t>
      </w:r>
      <w:r>
        <w:rPr>
          <w:rtl w:val="true"/>
        </w:rPr>
        <w:t>]</w:t>
      </w:r>
      <w:bookmarkEnd w:id="1802"/>
    </w:p>
    <w:p>
      <w:pPr>
        <w:pStyle w:val="Heading5"/>
        <w:numPr>
          <w:ilvl w:val="4"/>
          <w:numId w:val="1"/>
        </w:numPr>
        <w:rPr/>
      </w:pPr>
      <w:bookmarkStart w:id="1803" w:name="__RefHeading___Toc2566628_3650668749"/>
      <w:bookmarkStart w:id="1804" w:name="_Toc823"/>
      <w:bookmarkEnd w:id="1803"/>
      <w:r>
        <w:rPr>
          <w:rtl w:val="true"/>
        </w:rPr>
        <w:t>اشارة</w:t>
      </w:r>
      <w:bookmarkEnd w:id="1804"/>
    </w:p>
    <w:p>
      <w:pPr>
        <w:pStyle w:val="BookText"/>
        <w:rPr/>
      </w:pPr>
      <w:r>
        <w:rPr>
          <w:rFonts w:ascii="IRNazanin" w:hAnsi="IRNazanin" w:eastAsia="IRNazanin"/>
          <w:color w:val="111111"/>
          <w:sz w:val="28"/>
          <w:sz w:val="28"/>
          <w:szCs w:val="28"/>
          <w:rtl w:val="true"/>
          <w:lang w:bidi="fa-IR"/>
        </w:rPr>
        <w:t>القول فی الموالاة</w:t>
      </w:r>
    </w:p>
    <w:p>
      <w:pPr>
        <w:pStyle w:val="Heading5"/>
        <w:numPr>
          <w:ilvl w:val="4"/>
          <w:numId w:val="1"/>
        </w:numPr>
        <w:rPr/>
      </w:pPr>
      <w:bookmarkStart w:id="1805" w:name="__RefHeading___Toc2566630_3650668749"/>
      <w:bookmarkStart w:id="1806" w:name="_Toc824"/>
      <w:bookmarkEnd w:id="1805"/>
      <w:r>
        <w:rPr>
          <w:rtl w:val="true"/>
        </w:rPr>
        <w:t>[ (</w:t>
      </w:r>
      <w:r>
        <w:rPr>
          <w:rtl w:val="true"/>
        </w:rPr>
        <w:t xml:space="preserve">مسألة </w:t>
      </w:r>
      <w:r>
        <w:rPr/>
        <w:t>1</w:t>
      </w:r>
      <w:r>
        <w:rPr>
          <w:rtl w:val="true"/>
        </w:rPr>
        <w:t xml:space="preserve">): </w:t>
      </w:r>
      <w:r>
        <w:rPr>
          <w:rtl w:val="true"/>
        </w:rPr>
        <w:t>یجب الموالاة فی أفعال الصلاة</w:t>
      </w:r>
      <w:r>
        <w:rPr>
          <w:rtl w:val="true"/>
        </w:rPr>
        <w:t>]</w:t>
      </w:r>
      <w:bookmarkEnd w:id="18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الموالاة فی أفعال الصلاة؛ بمعنی عدم الفصل بین أفعالها علیٰ وجه تنمحی صورتها بحیث یصحّ سلب الاسم عنها، فلو ترک الموالاة بالمعنی المزبور عمداً أو سهواً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الموالاة بمعنی المتابعة العرفیّة التی لا یقدح فیها التخلّل فی الجملة فهی واجبة </w:t>
      </w:r>
      <w:r>
        <w:rPr>
          <w:rStyle w:val="FootnoteAnchor"/>
          <w:rtl w:val="true"/>
        </w:rPr>
        <w:footnoteReference w:id="530"/>
      </w:r>
      <w:r>
        <w:rPr>
          <w:rFonts w:ascii="IRNazanin" w:hAnsi="IRNazanin" w:eastAsia="IRNazanin"/>
          <w:color w:val="111111"/>
          <w:sz w:val="28"/>
          <w:sz w:val="28"/>
          <w:szCs w:val="28"/>
          <w:rtl w:val="true"/>
          <w:lang w:bidi="fa-IR"/>
        </w:rPr>
        <w:t>أیضاً، لکن لا تبطل الصلاة بترکها عمداً دون السهو</w:t>
      </w:r>
      <w:r>
        <w:rPr>
          <w:rFonts w:eastAsia="IRNazanin" w:cs="IRNazanin"/>
          <w:color w:val="111111"/>
          <w:sz w:val="28"/>
          <w:szCs w:val="28"/>
          <w:rtl w:val="true"/>
          <w:lang w:bidi="fa-IR"/>
        </w:rPr>
        <w:t>.</w:t>
      </w:r>
    </w:p>
    <w:p>
      <w:pPr>
        <w:pStyle w:val="Heading5"/>
        <w:numPr>
          <w:ilvl w:val="4"/>
          <w:numId w:val="1"/>
        </w:numPr>
        <w:rPr/>
      </w:pPr>
      <w:bookmarkStart w:id="1807" w:name="__RefHeading___Toc2566632_3650668749"/>
      <w:bookmarkStart w:id="1808" w:name="_Toc825"/>
      <w:bookmarkEnd w:id="1807"/>
      <w:r>
        <w:rPr>
          <w:rtl w:val="true"/>
        </w:rPr>
        <w:t>[ (</w:t>
      </w:r>
      <w:r>
        <w:rPr>
          <w:rtl w:val="true"/>
        </w:rPr>
        <w:t xml:space="preserve">مسألة </w:t>
      </w:r>
      <w:r>
        <w:rPr/>
        <w:t>2</w:t>
      </w:r>
      <w:r>
        <w:rPr>
          <w:rtl w:val="true"/>
        </w:rPr>
        <w:t xml:space="preserve">): </w:t>
      </w:r>
      <w:r>
        <w:rPr>
          <w:rtl w:val="true"/>
        </w:rPr>
        <w:t>کما یجب الموالاة فی أفعال الصلاة بالنسبة إلیٰ بعضها مع بعض یجب الموالاة فی القراءة</w:t>
      </w:r>
      <w:r>
        <w:rPr>
          <w:rtl w:val="true"/>
        </w:rPr>
        <w:t>]</w:t>
      </w:r>
      <w:bookmarkEnd w:id="180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یجب الموالاة فی أفعال الصلاة بالنسبة إلیٰ بعضها مع بعض یجب الموالاة فی القراءة و التکبیر و الذکر و التسبیح بالنسبة إلی الآیات و الکلمات بل و الحروف، فمن ترک الموالاة عمداً فی أحد المذکورات الموجب لمحو أسمائها بطلت صلاته </w:t>
      </w:r>
      <w:r>
        <w:rPr>
          <w:rStyle w:val="FootnoteAnchor"/>
          <w:rtl w:val="true"/>
        </w:rPr>
        <w:footnoteReference w:id="531"/>
      </w:r>
      <w:r>
        <w:rPr>
          <w:rFonts w:ascii="IRNazanin" w:hAnsi="IRNazanin" w:eastAsia="IRNazanin"/>
          <w:color w:val="111111"/>
          <w:sz w:val="28"/>
          <w:sz w:val="28"/>
          <w:szCs w:val="28"/>
          <w:rtl w:val="true"/>
          <w:lang w:bidi="fa-IR"/>
        </w:rPr>
        <w:t>، و إن کان سهواً فلا بأس؛ لعدم بطلان الصلاة بنسیانه أصلًا فضلًا عن موالاته، فیعید ما یحصل به الموالاة إذا لم یتجاوز المحلّ، لکن هذا إذا لم یکن فوات الموالاة المزبورة فی أحد الأُمور المذکورة موجباً لفوات موالاة الصلاة بالمعنی المزبور، أمّا إذا کان کذلک فقد عرفت البطلان و لو مع السهو</w:t>
      </w:r>
      <w:r>
        <w:rPr>
          <w:rFonts w:eastAsia="IRNazanin" w:cs="IRNazanin"/>
          <w:color w:val="111111"/>
          <w:sz w:val="28"/>
          <w:szCs w:val="28"/>
          <w:rtl w:val="true"/>
          <w:lang w:bidi="fa-IR"/>
        </w:rPr>
        <w:t>.</w:t>
      </w:r>
      <w:bookmarkStart w:id="1809" w:name="pg1809_19002"/>
    </w:p>
    <w:p>
      <w:pPr>
        <w:pStyle w:val="Heading4"/>
        <w:numPr>
          <w:ilvl w:val="3"/>
          <w:numId w:val="1"/>
        </w:numPr>
        <w:rPr/>
      </w:pPr>
      <w:bookmarkStart w:id="1810" w:name="__RefHeading___Toc2566634_3650668749"/>
      <w:bookmarkStart w:id="1811" w:name="_Toc826"/>
      <w:bookmarkEnd w:id="1809"/>
      <w:bookmarkEnd w:id="1810"/>
      <w:r>
        <w:rPr>
          <w:rtl w:val="true"/>
        </w:rPr>
        <w:t>[</w:t>
      </w:r>
      <w:r>
        <w:rPr>
          <w:rtl w:val="true"/>
        </w:rPr>
        <w:t>بقی أمران</w:t>
      </w:r>
      <w:r>
        <w:rPr>
          <w:rtl w:val="true"/>
        </w:rPr>
        <w:t xml:space="preserve">: </w:t>
      </w:r>
      <w:r>
        <w:rPr>
          <w:rtl w:val="true"/>
        </w:rPr>
        <w:t>القنوت و التعقیب</w:t>
      </w:r>
      <w:r>
        <w:rPr>
          <w:rtl w:val="true"/>
        </w:rPr>
        <w:t>]</w:t>
      </w:r>
      <w:bookmarkEnd w:id="1811"/>
    </w:p>
    <w:p>
      <w:pPr>
        <w:pStyle w:val="Heading5"/>
        <w:numPr>
          <w:ilvl w:val="4"/>
          <w:numId w:val="1"/>
        </w:numPr>
        <w:rPr/>
      </w:pPr>
      <w:bookmarkStart w:id="1812" w:name="__RefHeading___Toc2566636_3650668749"/>
      <w:bookmarkStart w:id="1813" w:name="_Toc827"/>
      <w:bookmarkEnd w:id="1812"/>
      <w:r>
        <w:rPr>
          <w:rtl w:val="true"/>
        </w:rPr>
        <w:t>اشارة</w:t>
      </w:r>
      <w:bookmarkEnd w:id="1813"/>
    </w:p>
    <w:p>
      <w:pPr>
        <w:pStyle w:val="BookText"/>
        <w:rPr/>
      </w:pPr>
      <w:r>
        <w:rPr>
          <w:rFonts w:ascii="IRNazanin" w:hAnsi="IRNazanin" w:eastAsia="IRNazanin"/>
          <w:color w:val="111111"/>
          <w:sz w:val="28"/>
          <w:sz w:val="28"/>
          <w:szCs w:val="28"/>
          <w:rtl w:val="true"/>
          <w:lang w:bidi="fa-IR"/>
        </w:rPr>
        <w:t>بقی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و التعقیب</w:t>
      </w:r>
      <w:r>
        <w:rPr>
          <w:rFonts w:eastAsia="IRNazanin" w:cs="IRNazanin"/>
          <w:color w:val="111111"/>
          <w:sz w:val="28"/>
          <w:szCs w:val="28"/>
          <w:rtl w:val="true"/>
          <w:lang w:bidi="fa-IR"/>
        </w:rPr>
        <w:t>.</w:t>
      </w:r>
    </w:p>
    <w:p>
      <w:pPr>
        <w:pStyle w:val="Heading5"/>
        <w:numPr>
          <w:ilvl w:val="4"/>
          <w:numId w:val="1"/>
        </w:numPr>
        <w:rPr/>
      </w:pPr>
      <w:bookmarkStart w:id="1814" w:name="__RefHeading___Toc2566638_3650668749"/>
      <w:bookmarkStart w:id="1815" w:name="_Toc828"/>
      <w:bookmarkEnd w:id="1814"/>
      <w:r>
        <w:rPr>
          <w:rtl w:val="true"/>
        </w:rPr>
        <w:t>[</w:t>
      </w:r>
      <w:r>
        <w:rPr>
          <w:rtl w:val="true"/>
        </w:rPr>
        <w:t>القول فی القنوت</w:t>
      </w:r>
      <w:r>
        <w:rPr>
          <w:rtl w:val="true"/>
        </w:rPr>
        <w:t>]</w:t>
      </w:r>
      <w:bookmarkEnd w:id="1815"/>
    </w:p>
    <w:p>
      <w:pPr>
        <w:pStyle w:val="Heading6"/>
        <w:numPr>
          <w:ilvl w:val="5"/>
          <w:numId w:val="1"/>
        </w:numPr>
        <w:rPr/>
      </w:pPr>
      <w:bookmarkStart w:id="1816" w:name="__RefHeading___Toc2566640_3650668749"/>
      <w:bookmarkStart w:id="1817" w:name="_Toc829"/>
      <w:bookmarkEnd w:id="1816"/>
      <w:r>
        <w:rPr>
          <w:rtl w:val="true"/>
        </w:rPr>
        <w:t>اشارة</w:t>
      </w:r>
      <w:bookmarkEnd w:id="1817"/>
    </w:p>
    <w:p>
      <w:pPr>
        <w:pStyle w:val="BookText"/>
        <w:rPr/>
      </w:pPr>
      <w:r>
        <w:rPr>
          <w:rFonts w:ascii="IRNazanin" w:hAnsi="IRNazanin" w:eastAsia="IRNazanin"/>
          <w:color w:val="111111"/>
          <w:sz w:val="28"/>
          <w:sz w:val="28"/>
          <w:szCs w:val="28"/>
          <w:rtl w:val="true"/>
          <w:lang w:bidi="fa-IR"/>
        </w:rPr>
        <w:t>القول فی القنوت</w:t>
      </w:r>
    </w:p>
    <w:p>
      <w:pPr>
        <w:pStyle w:val="Heading6"/>
        <w:numPr>
          <w:ilvl w:val="5"/>
          <w:numId w:val="1"/>
        </w:numPr>
        <w:rPr/>
      </w:pPr>
      <w:bookmarkStart w:id="1818" w:name="__RefHeading___Toc2566642_3650668749"/>
      <w:bookmarkStart w:id="1819" w:name="_Toc830"/>
      <w:bookmarkEnd w:id="1818"/>
      <w:r>
        <w:rPr>
          <w:rtl w:val="true"/>
        </w:rPr>
        <w:t>[ (</w:t>
      </w:r>
      <w:r>
        <w:rPr>
          <w:rtl w:val="true"/>
        </w:rPr>
        <w:t xml:space="preserve">مسألة </w:t>
      </w:r>
      <w:r>
        <w:rPr/>
        <w:t>1</w:t>
      </w:r>
      <w:r>
        <w:rPr>
          <w:rtl w:val="true"/>
        </w:rPr>
        <w:t xml:space="preserve">): </w:t>
      </w:r>
      <w:r>
        <w:rPr>
          <w:rtl w:val="true"/>
        </w:rPr>
        <w:t>یستحبّ القنوت فی الفرائض الیومیّة</w:t>
      </w:r>
      <w:r>
        <w:rPr>
          <w:rtl w:val="true"/>
        </w:rPr>
        <w:t>]</w:t>
      </w:r>
      <w:bookmarkEnd w:id="18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القنوت فی الفرائض الیومیّة و یتأکّد فی الجهریّة، بل الأحوط عدم ترکه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محلّه قبل الرکوع فی الرکعة الثانیة بعد الفراغ عن القراءة، نعم لو نساه أتی به بعد رفع الرأس من الرکوع و هوی إلی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یذکره فی هذا الحال و ذکره بعد ذلک فلا یأتی به حتّی یفرغ من صلاته فیأتی به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یذکره إلّا بعد انصرافه فعله متی ذکره و لو طال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ترکه عمداً فلا یأتی به بعد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أیضاً فی کلّ نافلة ثنائیّة فی المحلّ المزبور، بل و وحدانیّة کالوتر، بل هو فیها من المؤکّد، و محلّه ما عرفت؛ و هو قبل الرکوع بعد القراءة، نعم استحبابه فی صلاة الشفع محلّ تأمّل </w:t>
      </w:r>
      <w:r>
        <w:rPr>
          <w:rStyle w:val="FootnoteAnchor"/>
          <w:rtl w:val="true"/>
        </w:rPr>
        <w:footnoteReference w:id="532"/>
      </w:r>
      <w:r>
        <w:rPr>
          <w:rFonts w:ascii="IRNazanin" w:hAnsi="IRNazanin" w:eastAsia="IRNazanin"/>
          <w:color w:val="111111"/>
          <w:sz w:val="28"/>
          <w:sz w:val="28"/>
          <w:szCs w:val="28"/>
          <w:rtl w:val="true"/>
          <w:lang w:bidi="fa-IR"/>
        </w:rPr>
        <w:t>و إشکال فالأحوط إتیانه فیها رجاءً</w:t>
      </w:r>
      <w:r>
        <w:rPr>
          <w:rFonts w:eastAsia="IRNazanin" w:cs="IRNazanin"/>
          <w:color w:val="111111"/>
          <w:sz w:val="28"/>
          <w:szCs w:val="28"/>
          <w:rtl w:val="true"/>
          <w:lang w:bidi="fa-IR"/>
        </w:rPr>
        <w:t>.</w:t>
      </w:r>
    </w:p>
    <w:p>
      <w:pPr>
        <w:pStyle w:val="Heading6"/>
        <w:numPr>
          <w:ilvl w:val="5"/>
          <w:numId w:val="1"/>
        </w:numPr>
        <w:rPr/>
      </w:pPr>
      <w:bookmarkStart w:id="1820" w:name="__RefHeading___Toc2566644_3650668749"/>
      <w:bookmarkStart w:id="1821" w:name="_Toc831"/>
      <w:bookmarkEnd w:id="1820"/>
      <w:r>
        <w:rPr>
          <w:rtl w:val="true"/>
        </w:rPr>
        <w:t>[ (</w:t>
      </w:r>
      <w:r>
        <w:rPr>
          <w:rtl w:val="true"/>
        </w:rPr>
        <w:t xml:space="preserve">مسألة </w:t>
      </w:r>
      <w:r>
        <w:rPr/>
        <w:t>2</w:t>
      </w:r>
      <w:r>
        <w:rPr>
          <w:rtl w:val="true"/>
        </w:rPr>
        <w:t xml:space="preserve">): </w:t>
      </w:r>
      <w:r>
        <w:rPr>
          <w:rtl w:val="true"/>
        </w:rPr>
        <w:t>لا یعتبر فی القنوت قول مخصوص</w:t>
      </w:r>
      <w:r>
        <w:rPr>
          <w:rtl w:val="true"/>
        </w:rPr>
        <w:t>]</w:t>
      </w:r>
      <w:bookmarkEnd w:id="18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فی القنوت قول مخصوص، بل یکفی فیه کلّما تیسّر من ذکر و دعاء و حمد و ثناء، بل یجزی البسملة مرّة واحدة،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أو ثلاث مرّات، کما یجزی الاقتصار علی الصلاة علی النبیّ و آله، و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ریب فی رجحان 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الأدعیة فیه، بل و الأدعیة التی فی القرآن و کلمات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یجزی من المأثور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لنا و ارحمنا و عافِنا و اعفُ عنّا إنّک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یستحبّ فیه الجهر؛ سواء کانت الصلاة جهریّة أو إخفاتیّة، إماماً أو منفرداً، بل أو مأموماً إذا لم یسمع الإمام صوته</w:t>
      </w:r>
      <w:r>
        <w:rPr>
          <w:rFonts w:eastAsia="IRNazanin" w:cs="IRNazanin"/>
          <w:color w:val="111111"/>
          <w:sz w:val="28"/>
          <w:szCs w:val="28"/>
          <w:rtl w:val="true"/>
          <w:lang w:bidi="fa-IR"/>
        </w:rPr>
        <w:t>.</w:t>
      </w:r>
    </w:p>
    <w:p>
      <w:pPr>
        <w:pStyle w:val="Heading6"/>
        <w:numPr>
          <w:ilvl w:val="5"/>
          <w:numId w:val="1"/>
        </w:numPr>
        <w:rPr/>
      </w:pPr>
      <w:bookmarkStart w:id="1822" w:name="__RefHeading___Toc2566646_3650668749"/>
      <w:bookmarkStart w:id="1823" w:name="_Toc832"/>
      <w:bookmarkEnd w:id="1822"/>
      <w:r>
        <w:rPr>
          <w:rtl w:val="true"/>
        </w:rPr>
        <w:t>[ (</w:t>
      </w:r>
      <w:r>
        <w:rPr>
          <w:rtl w:val="true"/>
        </w:rPr>
        <w:t xml:space="preserve">مسألة </w:t>
      </w:r>
      <w:r>
        <w:rPr/>
        <w:t>3</w:t>
      </w:r>
      <w:r>
        <w:rPr>
          <w:rtl w:val="true"/>
        </w:rPr>
        <w:t xml:space="preserve">): </w:t>
      </w:r>
      <w:r>
        <w:rPr>
          <w:rtl w:val="true"/>
        </w:rPr>
        <w:t>لا یعتبر رفع الیدین فی القنوت علیٰ إشکال</w:t>
      </w:r>
      <w:r>
        <w:rPr>
          <w:rtl w:val="true"/>
        </w:rPr>
        <w:t>]</w:t>
      </w:r>
      <w:bookmarkEnd w:id="18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رفع الیدین فی القنوت علیٰ إشکال فالأحوط عدم ترکه</w:t>
      </w:r>
      <w:r>
        <w:rPr>
          <w:rFonts w:eastAsia="IRNazanin" w:cs="IRNazanin"/>
          <w:color w:val="111111"/>
          <w:sz w:val="28"/>
          <w:szCs w:val="28"/>
          <w:rtl w:val="true"/>
          <w:lang w:bidi="fa-IR"/>
        </w:rPr>
        <w:t>.</w:t>
      </w:r>
    </w:p>
    <w:p>
      <w:pPr>
        <w:pStyle w:val="Heading6"/>
        <w:numPr>
          <w:ilvl w:val="5"/>
          <w:numId w:val="1"/>
        </w:numPr>
        <w:rPr/>
      </w:pPr>
      <w:bookmarkStart w:id="1824" w:name="__RefHeading___Toc2566648_3650668749"/>
      <w:bookmarkStart w:id="1825" w:name="_Toc833"/>
      <w:bookmarkEnd w:id="1824"/>
      <w:r>
        <w:rPr>
          <w:rtl w:val="true"/>
        </w:rPr>
        <w:t>[ (</w:t>
      </w:r>
      <w:r>
        <w:rPr>
          <w:rtl w:val="true"/>
        </w:rPr>
        <w:t xml:space="preserve">مسألة </w:t>
      </w:r>
      <w:r>
        <w:rPr/>
        <w:t>4</w:t>
      </w:r>
      <w:r>
        <w:rPr>
          <w:rtl w:val="true"/>
        </w:rPr>
        <w:t xml:space="preserve">): </w:t>
      </w:r>
      <w:r>
        <w:rPr>
          <w:rtl w:val="true"/>
        </w:rPr>
        <w:t>یجوز الدعاء فی القنوت و فی غیره بالملحون مادّة أو إعراباً</w:t>
      </w:r>
      <w:r>
        <w:rPr>
          <w:rtl w:val="true"/>
        </w:rPr>
        <w:t>]</w:t>
      </w:r>
      <w:bookmarkEnd w:id="182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الدعاء فی القنوت و فی غیره بالملحون مادّة أو إعراباً إذا لم یکن فاحشاً أو مغیّراً للمعنیٰ، و کذا الدعاء فی غیره و الأذکار المندوبة و الأحوط الترک مطلقاً، أمّا الأذکار الواجبة فلا یجوز فیها غیر العربیّة الصحیحة</w:t>
      </w:r>
      <w:r>
        <w:rPr>
          <w:rFonts w:eastAsia="IRNazanin" w:cs="IRNazanin"/>
          <w:color w:val="111111"/>
          <w:sz w:val="28"/>
          <w:szCs w:val="28"/>
          <w:rtl w:val="true"/>
          <w:lang w:bidi="fa-IR"/>
        </w:rPr>
        <w:t>.</w:t>
      </w:r>
      <w:bookmarkStart w:id="1826" w:name="pg1809_19004"/>
    </w:p>
    <w:p>
      <w:pPr>
        <w:pStyle w:val="Heading5"/>
        <w:numPr>
          <w:ilvl w:val="4"/>
          <w:numId w:val="1"/>
        </w:numPr>
        <w:rPr/>
      </w:pPr>
      <w:bookmarkStart w:id="1827" w:name="__RefHeading___Toc2566650_3650668749"/>
      <w:bookmarkStart w:id="1828" w:name="_Toc834"/>
      <w:bookmarkEnd w:id="1826"/>
      <w:bookmarkEnd w:id="1827"/>
      <w:r>
        <w:rPr>
          <w:rtl w:val="true"/>
        </w:rPr>
        <w:t>[</w:t>
      </w:r>
      <w:r>
        <w:rPr>
          <w:rtl w:val="true"/>
        </w:rPr>
        <w:t>القول فی التعقیب</w:t>
      </w:r>
      <w:r>
        <w:rPr>
          <w:rtl w:val="true"/>
        </w:rPr>
        <w:t>]</w:t>
      </w:r>
      <w:bookmarkEnd w:id="1828"/>
    </w:p>
    <w:p>
      <w:pPr>
        <w:pStyle w:val="Heading6"/>
        <w:numPr>
          <w:ilvl w:val="5"/>
          <w:numId w:val="1"/>
        </w:numPr>
        <w:rPr/>
      </w:pPr>
      <w:bookmarkStart w:id="1829" w:name="__RefHeading___Toc2566652_3650668749"/>
      <w:bookmarkStart w:id="1830" w:name="_Toc835"/>
      <w:bookmarkEnd w:id="1829"/>
      <w:r>
        <w:rPr>
          <w:rtl w:val="true"/>
        </w:rPr>
        <w:t>اشارة</w:t>
      </w:r>
      <w:bookmarkEnd w:id="1830"/>
    </w:p>
    <w:p>
      <w:pPr>
        <w:pStyle w:val="BookText"/>
        <w:rPr/>
      </w:pPr>
      <w:r>
        <w:rPr>
          <w:rFonts w:ascii="IRNazanin" w:hAnsi="IRNazanin" w:eastAsia="IRNazanin"/>
          <w:color w:val="111111"/>
          <w:sz w:val="28"/>
          <w:sz w:val="28"/>
          <w:szCs w:val="28"/>
          <w:rtl w:val="true"/>
          <w:lang w:bidi="fa-IR"/>
        </w:rPr>
        <w:t>القول فی التعقیب</w:t>
      </w:r>
    </w:p>
    <w:p>
      <w:pPr>
        <w:pStyle w:val="Heading6"/>
        <w:numPr>
          <w:ilvl w:val="5"/>
          <w:numId w:val="1"/>
        </w:numPr>
        <w:rPr/>
      </w:pPr>
      <w:bookmarkStart w:id="1831" w:name="__RefHeading___Toc2566654_3650668749"/>
      <w:bookmarkStart w:id="1832" w:name="_Toc836"/>
      <w:bookmarkEnd w:id="1831"/>
      <w:r>
        <w:rPr>
          <w:rtl w:val="true"/>
        </w:rPr>
        <w:t>[ (</w:t>
      </w:r>
      <w:r>
        <w:rPr>
          <w:rtl w:val="true"/>
        </w:rPr>
        <w:t xml:space="preserve">مسألة </w:t>
      </w:r>
      <w:r>
        <w:rPr/>
        <w:t>1</w:t>
      </w:r>
      <w:r>
        <w:rPr>
          <w:rtl w:val="true"/>
        </w:rPr>
        <w:t xml:space="preserve">): </w:t>
      </w:r>
      <w:r>
        <w:rPr>
          <w:rtl w:val="true"/>
        </w:rPr>
        <w:t>یستحبّ التعقیب بعد الفراغ من الصلاة</w:t>
      </w:r>
      <w:r>
        <w:rPr>
          <w:rtl w:val="true"/>
        </w:rPr>
        <w:t>]</w:t>
      </w:r>
      <w:bookmarkEnd w:id="1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التعقیب بعد الفراغ من الصلاة و لو نافلة و إن کان فی الفریضة آکد، خصوصاً فی صلاة الغداة، و هو أبلغ فی طلب الرزق من الضرب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الاشتغال بالدعاء و بالذکر بل کلّ قول حسن راجح شرعاً بالذات؛ من قرآن أو دعاء أو ثناء أو تنزیه أو غیر ذلک</w:t>
      </w:r>
      <w:r>
        <w:rPr>
          <w:rFonts w:eastAsia="IRNazanin" w:cs="IRNazanin"/>
          <w:color w:val="111111"/>
          <w:sz w:val="28"/>
          <w:szCs w:val="28"/>
          <w:rtl w:val="true"/>
          <w:lang w:bidi="fa-IR"/>
        </w:rPr>
        <w:t>.</w:t>
      </w:r>
    </w:p>
    <w:p>
      <w:pPr>
        <w:pStyle w:val="Heading6"/>
        <w:numPr>
          <w:ilvl w:val="5"/>
          <w:numId w:val="1"/>
        </w:numPr>
        <w:rPr/>
      </w:pPr>
      <w:bookmarkStart w:id="1833" w:name="__RefHeading___Toc2566656_3650668749"/>
      <w:bookmarkStart w:id="1834" w:name="_Toc837"/>
      <w:bookmarkEnd w:id="1833"/>
      <w:r>
        <w:rPr>
          <w:rtl w:val="true"/>
        </w:rPr>
        <w:t>[ (</w:t>
      </w:r>
      <w:r>
        <w:rPr>
          <w:rtl w:val="true"/>
        </w:rPr>
        <w:t xml:space="preserve">مسألة </w:t>
      </w:r>
      <w:r>
        <w:rPr/>
        <w:t>2</w:t>
      </w:r>
      <w:r>
        <w:rPr>
          <w:rtl w:val="true"/>
        </w:rPr>
        <w:t xml:space="preserve">): </w:t>
      </w:r>
      <w:r>
        <w:rPr>
          <w:rtl w:val="true"/>
        </w:rPr>
        <w:t>یعتبر فی التعقیب أن یکون متّصلًا بالفراغ من الصلاة علیٰ وجه لا یشارکه الاشتغال بشی‌ء آخر</w:t>
      </w:r>
      <w:r>
        <w:rPr>
          <w:rtl w:val="true"/>
        </w:rPr>
        <w:t>]</w:t>
      </w:r>
      <w:bookmarkEnd w:id="1834"/>
    </w:p>
    <w:p>
      <w:pPr>
        <w:pStyle w:val="Heading6"/>
        <w:numPr>
          <w:ilvl w:val="5"/>
          <w:numId w:val="1"/>
        </w:numPr>
        <w:rPr/>
      </w:pPr>
      <w:bookmarkStart w:id="1835" w:name="__RefHeading___Toc2566658_3650668749"/>
      <w:bookmarkStart w:id="1836" w:name="_Toc838"/>
      <w:bookmarkEnd w:id="1835"/>
      <w:r>
        <w:rPr>
          <w:rtl w:val="true"/>
        </w:rPr>
        <w:t>اشارة</w:t>
      </w:r>
      <w:bookmarkEnd w:id="18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التعقیب أن یکون متّصلًا بالفراغ من الصلاة علیٰ وجه لا یشارکه الاشتغال بشی‌ء آخر کالصنعة و نحوها ممّا تذهب به هیئته عند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فیه الجلوس فی مکانه الذی صلّیٰ فیه و الاستقبال 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یعتبر فیه قول مخصوص کما عرفت، نعم لا ریب فی أنّ الأفضل و الأرجح 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 الأدعیة و الأذکار ممّا تضمّنته کتب الدعاء و الأخبار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بین مشترکات و مختصّات، و نذکر نبذاً من المشترکات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التکبیرات الثلاث بعد التسلیم رافعاً بها یدیه علیٰ هیئة غیرها من التکبیرات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الزهراء سلام اللّٰه علیها الذی ما عُبد اللّٰه بشی‌ء من التحمید أفضل منه، بل هو فی کلّ یوم فی دبر کلّ صلاة أحبّ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صلاة ألف رکعة فی کلّ یوم، و لم یلزمه عبد فشقی، و ما قاله عبد قبل أن یثنی رجلیه من المکتوبة إلّا غفر اللّٰه له و أوجب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مستحبّ فی نفسه و إن لم یکن فی التعقیب، نعم هو مؤکّد فیه و عند إرادة النوم لدفع الرؤیا السیّئة، و لا یختصّ التعقیب به فی الفرائض بل هو مستحبّ بعد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کیفیّته </w:t>
      </w:r>
      <w:r>
        <w:rPr>
          <w:rStyle w:val="FootnoteAnchor"/>
          <w:rtl w:val="true"/>
        </w:rPr>
        <w:footnoteReference w:id="533"/>
      </w:r>
      <w:r>
        <w:rPr>
          <w:rFonts w:ascii="IRNazanin" w:hAnsi="IRNazanin" w:eastAsia="IRNazanin"/>
          <w:color w:val="111111"/>
          <w:sz w:val="28"/>
          <w:sz w:val="28"/>
          <w:szCs w:val="28"/>
          <w:rtl w:val="true"/>
          <w:lang w:bidi="fa-IR"/>
        </w:rPr>
        <w:t>أربع و ثلاثون تکبیرة ثمّ ثلاث و ثلاثون تحمیدة ثمّ ثلاث و ثلاثون تسبیحة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أن یکون تسبیح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تسبیح بطین القبر الشریف و لو کان مشویّاً، بل السبحة منه تسبّح بید الرجل من غیر أن یسبّح و یکتب له ذلک التسبیح و إن کان غافلًا، و الأولی اتّخاذها بعدد التکبیر فی خیط 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فی عدد التکبیر أو التحمید أو التسبیح بنیٰ علی الأقلّ إن لم یتجاوز المحلّ، و لو سها فزاد علیٰ عدد التکبیر أو غیره رفع الید عن الزائد و بنیٰ علی الأربع و ثلاثین أو الثلاث و ثلاثین، و الأولی أن یبنی علیٰ واحدة ثمّ یکمل العدد</w:t>
      </w:r>
      <w:r>
        <w:rPr>
          <w:rFonts w:eastAsia="IRNazanin" w:cs="IRNazanin"/>
          <w:color w:val="111111"/>
          <w:sz w:val="28"/>
          <w:szCs w:val="28"/>
          <w:rtl w:val="true"/>
          <w:lang w:bidi="fa-IR"/>
        </w:rPr>
        <w:t>.</w:t>
      </w:r>
      <w:bookmarkStart w:id="1837" w:name="pg1809_19006"/>
    </w:p>
    <w:p>
      <w:pPr>
        <w:pStyle w:val="Heading6"/>
        <w:numPr>
          <w:ilvl w:val="5"/>
          <w:numId w:val="1"/>
        </w:numPr>
        <w:rPr/>
      </w:pPr>
      <w:bookmarkStart w:id="1838" w:name="__RefHeading___Toc2566660_3650668749"/>
      <w:bookmarkStart w:id="1839" w:name="_Toc839"/>
      <w:bookmarkEnd w:id="1837"/>
      <w:bookmarkEnd w:id="1838"/>
      <w:r>
        <w:rPr>
          <w:rtl w:val="true"/>
        </w:rPr>
        <w:t>[</w:t>
      </w:r>
      <w:r>
        <w:rPr>
          <w:rtl w:val="true"/>
        </w:rPr>
        <w:t>و منها</w:t>
      </w:r>
      <w:r>
        <w:rPr>
          <w:rtl w:val="true"/>
        </w:rPr>
        <w:t>:]</w:t>
      </w:r>
      <w:bookmarkEnd w:id="1839"/>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وحده أنجزَ وعده و نصرَ عبده و أعزَّ جُنده و غلب الأحزاب وحده، فله المُلک و له الحمد یُحیی و یمیت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و أجرنی من النار و ارزقنی الجنّة و زوّجنی من الحور العین</w:t>
      </w:r>
      <w:r>
        <w:rPr>
          <w:rFonts w:eastAsia="Amiri" w:cs="Amiri" w:ascii="Amiri" w:hAnsi="Amiri"/>
          <w:color w:val="111111"/>
          <w:sz w:val="28"/>
          <w:szCs w:val="28"/>
          <w:rtl w:val="true"/>
          <w:lang w:bidi="ar-SA"/>
        </w:rPr>
        <w:t>».</w:t>
      </w:r>
    </w:p>
    <w:p>
      <w:pPr>
        <w:pStyle w:val="Heading6"/>
        <w:numPr>
          <w:ilvl w:val="5"/>
          <w:numId w:val="1"/>
        </w:numPr>
        <w:rPr/>
      </w:pPr>
      <w:bookmarkStart w:id="1840" w:name="__RefHeading___Toc2566662_3650668749"/>
      <w:bookmarkStart w:id="1841" w:name="_Toc840"/>
      <w:bookmarkEnd w:id="1840"/>
      <w:r>
        <w:rPr>
          <w:rtl w:val="true"/>
        </w:rPr>
        <w:t>[</w:t>
      </w:r>
      <w:r>
        <w:rPr>
          <w:rtl w:val="true"/>
        </w:rPr>
        <w:t>و منها</w:t>
      </w:r>
      <w:r>
        <w:rPr>
          <w:rtl w:val="true"/>
        </w:rPr>
        <w:t>]</w:t>
      </w:r>
      <w:bookmarkEnd w:id="1841"/>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اهدنی من عندک و أفِض علیَّ من فضلک و انشر علیَّ من رحمتک و أنزل علیَّ من برکاتک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بوجهک الکریم و عزّتِک التی لا ترام و قدرتک التی لا یمتنع منها شی‌ء من شرّ الدنیا و الآخرة و من شرّ الأوجاع کلِّها، و لا حول و لا قوّة إلّا باللّٰه العلیّ العظیم</w:t>
      </w:r>
      <w:r>
        <w:rPr>
          <w:rFonts w:eastAsia="IRNazanin" w:cs="IRNazanin"/>
          <w:color w:val="111111"/>
          <w:sz w:val="28"/>
          <w:szCs w:val="28"/>
          <w:rtl w:val="true"/>
          <w:lang w:bidi="fa-IR"/>
        </w:rPr>
        <w:t>».</w:t>
      </w:r>
    </w:p>
    <w:p>
      <w:pPr>
        <w:pStyle w:val="Heading6"/>
        <w:numPr>
          <w:ilvl w:val="5"/>
          <w:numId w:val="1"/>
        </w:numPr>
        <w:rPr/>
      </w:pPr>
      <w:bookmarkStart w:id="1842" w:name="__RefHeading___Toc2566664_3650668749"/>
      <w:bookmarkStart w:id="1843" w:name="_Toc841"/>
      <w:bookmarkEnd w:id="1842"/>
      <w:r>
        <w:rPr>
          <w:rtl w:val="true"/>
        </w:rPr>
        <w:t>[</w:t>
      </w:r>
      <w:r>
        <w:rPr>
          <w:rtl w:val="true"/>
        </w:rPr>
        <w:t>و منها</w:t>
      </w:r>
      <w:r>
        <w:rPr>
          <w:rtl w:val="true"/>
        </w:rPr>
        <w:t>:]</w:t>
      </w:r>
      <w:bookmarkEnd w:id="184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کلّ خیرٍ أحاط به علمک، و أعوذ بک من کلّ شرّ أحاط به علمک، اللهمّ إنّی أسألک عافیتک فی أُموری کلّها، و أعوذ بک من خزی الدنیا و عذاب الآخرة</w:t>
      </w:r>
      <w:r>
        <w:rPr>
          <w:rFonts w:eastAsia="IRNazanin" w:cs="IRNazanin"/>
          <w:color w:val="111111"/>
          <w:sz w:val="28"/>
          <w:szCs w:val="28"/>
          <w:rtl w:val="true"/>
          <w:lang w:bidi="fa-IR"/>
        </w:rPr>
        <w:t>».</w:t>
      </w:r>
    </w:p>
    <w:p>
      <w:pPr>
        <w:pStyle w:val="Heading6"/>
        <w:numPr>
          <w:ilvl w:val="5"/>
          <w:numId w:val="1"/>
        </w:numPr>
        <w:rPr/>
      </w:pPr>
      <w:bookmarkStart w:id="1844" w:name="__RefHeading___Toc2566666_3650668749"/>
      <w:bookmarkStart w:id="1845" w:name="_Toc842"/>
      <w:bookmarkEnd w:id="1844"/>
      <w:r>
        <w:rPr>
          <w:rtl w:val="true"/>
        </w:rPr>
        <w:t>[</w:t>
      </w:r>
      <w:r>
        <w:rPr>
          <w:rtl w:val="true"/>
        </w:rPr>
        <w:t>و منها</w:t>
      </w:r>
      <w:r>
        <w:rPr>
          <w:rtl w:val="true"/>
        </w:rPr>
        <w:t>]</w:t>
      </w:r>
      <w:bookmarkEnd w:id="184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أو ثلاثین</w:t>
      </w:r>
      <w:r>
        <w:rPr>
          <w:rFonts w:eastAsia="Amiri" w:cs="Amiri" w:ascii="Amiri" w:hAnsi="Amiri"/>
          <w:color w:val="111111"/>
          <w:sz w:val="28"/>
          <w:szCs w:val="28"/>
          <w:rtl w:val="true"/>
          <w:lang w:bidi="ar-SA"/>
        </w:rPr>
        <w:t>.</w:t>
      </w:r>
    </w:p>
    <w:p>
      <w:pPr>
        <w:pStyle w:val="Heading6"/>
        <w:numPr>
          <w:ilvl w:val="5"/>
          <w:numId w:val="1"/>
        </w:numPr>
        <w:rPr/>
      </w:pPr>
      <w:bookmarkStart w:id="1846" w:name="__RefHeading___Toc2566668_3650668749"/>
      <w:bookmarkStart w:id="1847" w:name="_Toc843"/>
      <w:bookmarkEnd w:id="1846"/>
      <w:r>
        <w:rPr>
          <w:rtl w:val="true"/>
        </w:rPr>
        <w:t>[</w:t>
      </w:r>
      <w:r>
        <w:rPr>
          <w:rtl w:val="true"/>
        </w:rPr>
        <w:t>و منها</w:t>
      </w:r>
      <w:r>
        <w:rPr>
          <w:rtl w:val="true"/>
        </w:rPr>
        <w:t>]</w:t>
      </w:r>
      <w:bookmarkEnd w:id="184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آیة الکرسی و الفاتحة و آیة شَهِدَ اللّٰهُ أَنَّهُ لٰا إِلٰهَ إِلّٰا هُوَ و آیة قُلِ اللّٰهُمَّ مٰالِکَ الْمُلْکِ</w:t>
      </w:r>
      <w:r>
        <w:rPr>
          <w:rFonts w:eastAsia="Amiri" w:cs="Amiri" w:ascii="Amiri" w:hAnsi="Amiri"/>
          <w:color w:val="111111"/>
          <w:sz w:val="28"/>
          <w:szCs w:val="28"/>
          <w:rtl w:val="true"/>
          <w:lang w:bidi="ar-SA"/>
        </w:rPr>
        <w:t>.</w:t>
      </w:r>
    </w:p>
    <w:p>
      <w:pPr>
        <w:pStyle w:val="Heading6"/>
        <w:numPr>
          <w:ilvl w:val="5"/>
          <w:numId w:val="1"/>
        </w:numPr>
        <w:rPr/>
      </w:pPr>
      <w:bookmarkStart w:id="1848" w:name="__RefHeading___Toc2566670_3650668749"/>
      <w:bookmarkStart w:id="1849" w:name="_Toc844"/>
      <w:bookmarkEnd w:id="1848"/>
      <w:r>
        <w:rPr>
          <w:rtl w:val="true"/>
        </w:rPr>
        <w:t>[</w:t>
      </w:r>
      <w:r>
        <w:rPr>
          <w:rtl w:val="true"/>
        </w:rPr>
        <w:t>و منها</w:t>
      </w:r>
      <w:r>
        <w:rPr>
          <w:rtl w:val="true"/>
        </w:rPr>
        <w:t>]</w:t>
      </w:r>
      <w:bookmarkEnd w:id="184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الإقرار بالنبیّ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6"/>
        <w:numPr>
          <w:ilvl w:val="5"/>
          <w:numId w:val="1"/>
        </w:numPr>
        <w:rPr/>
      </w:pPr>
      <w:bookmarkStart w:id="1850" w:name="__RefHeading___Toc2566672_3650668749"/>
      <w:bookmarkStart w:id="1851" w:name="_Toc845"/>
      <w:bookmarkEnd w:id="1850"/>
      <w:r>
        <w:rPr>
          <w:rtl w:val="true"/>
        </w:rPr>
        <w:t>[</w:t>
      </w:r>
      <w:r>
        <w:rPr>
          <w:rtl w:val="true"/>
        </w:rPr>
        <w:t>و منها</w:t>
      </w:r>
      <w:r>
        <w:rPr>
          <w:rtl w:val="true"/>
        </w:rPr>
        <w:t>]</w:t>
      </w:r>
      <w:bookmarkEnd w:id="185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الشکر، و قد مرّ کیفیّته سابقاً</w:t>
      </w:r>
      <w:r>
        <w:rPr>
          <w:rFonts w:eastAsia="IRNazanin" w:cs="IRNazanin"/>
          <w:color w:val="111111"/>
          <w:sz w:val="28"/>
          <w:szCs w:val="28"/>
          <w:rtl w:val="true"/>
          <w:lang w:bidi="fa-IR"/>
        </w:rPr>
        <w:t>.</w:t>
      </w:r>
    </w:p>
    <w:p>
      <w:pPr>
        <w:pStyle w:val="Heading6"/>
        <w:numPr>
          <w:ilvl w:val="5"/>
          <w:numId w:val="1"/>
        </w:numPr>
        <w:rPr/>
      </w:pPr>
      <w:bookmarkStart w:id="1852" w:name="__RefHeading___Toc2566674_3650668749"/>
      <w:bookmarkStart w:id="1853" w:name="_Toc846"/>
      <w:bookmarkEnd w:id="1852"/>
      <w:r>
        <w:rPr>
          <w:rtl w:val="true"/>
        </w:rPr>
        <w:t>[ (</w:t>
      </w:r>
      <w:r>
        <w:rPr>
          <w:rtl w:val="true"/>
        </w:rPr>
        <w:t xml:space="preserve">مسألة </w:t>
      </w:r>
      <w:r>
        <w:rPr/>
        <w:t>3</w:t>
      </w:r>
      <w:r>
        <w:rPr>
          <w:rtl w:val="true"/>
        </w:rPr>
        <w:t xml:space="preserve">): </w:t>
      </w:r>
      <w:r>
        <w:rPr>
          <w:rtl w:val="true"/>
        </w:rPr>
        <w:t>تختصّ المرأة فی الصلاة بآداب</w:t>
      </w:r>
      <w:r>
        <w:rPr>
          <w:rtl w:val="true"/>
        </w:rPr>
        <w:t>]</w:t>
      </w:r>
      <w:bookmarkEnd w:id="18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 المرأة فی الصلاة بآداب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الزینة بالحلیّ و الخضاب و الإخفات فی قولها و الجمع بین قدمیها فی حال القیام و ضمّ ثدییها بیدیها حاله و وضع یدیها علیٰ فخذیها حال الرکوع غیر رادّة رکبتیها إلیٰ ورائها و البدأة للسجود بالقعود و التضمّم حاله لاطئة بالأرض فیه غیر متجافیة و التربّع فی جلوسها مطلقاً، بخلاف الرجل فی جمیع ما ذکر کما مرّ</w:t>
      </w:r>
      <w:r>
        <w:rPr>
          <w:rFonts w:eastAsia="IRNazanin" w:cs="IRNazanin"/>
          <w:color w:val="111111"/>
          <w:sz w:val="28"/>
          <w:szCs w:val="28"/>
          <w:rtl w:val="true"/>
          <w:lang w:bidi="fa-IR"/>
        </w:rPr>
        <w:t>.</w:t>
      </w:r>
    </w:p>
    <w:p>
      <w:pPr>
        <w:pStyle w:val="Heading3"/>
        <w:numPr>
          <w:ilvl w:val="2"/>
          <w:numId w:val="1"/>
        </w:numPr>
        <w:rPr/>
      </w:pPr>
      <w:bookmarkStart w:id="1854" w:name="__RefHeading___Toc2566676_3650668749"/>
      <w:bookmarkStart w:id="1855" w:name="_Toc847"/>
      <w:bookmarkEnd w:id="1854"/>
      <w:r>
        <w:rPr>
          <w:rtl w:val="true"/>
        </w:rPr>
        <w:t>[</w:t>
      </w:r>
      <w:r>
        <w:rPr>
          <w:rtl w:val="true"/>
        </w:rPr>
        <w:t>القول فی مبطلات الصلاة</w:t>
      </w:r>
      <w:r>
        <w:rPr>
          <w:rtl w:val="true"/>
        </w:rPr>
        <w:t>]</w:t>
      </w:r>
      <w:bookmarkEnd w:id="1855"/>
    </w:p>
    <w:p>
      <w:pPr>
        <w:pStyle w:val="Heading4"/>
        <w:numPr>
          <w:ilvl w:val="3"/>
          <w:numId w:val="1"/>
        </w:numPr>
        <w:rPr/>
      </w:pPr>
      <w:bookmarkStart w:id="1856" w:name="__RefHeading___Toc2566678_3650668749"/>
      <w:bookmarkStart w:id="1857" w:name="_Toc848"/>
      <w:bookmarkEnd w:id="1856"/>
      <w:r>
        <w:rPr>
          <w:rtl w:val="true"/>
        </w:rPr>
        <w:t>اشارة</w:t>
      </w:r>
      <w:bookmarkEnd w:id="1857"/>
    </w:p>
    <w:p>
      <w:pPr>
        <w:pStyle w:val="BookText"/>
        <w:rPr/>
      </w:pPr>
      <w:r>
        <w:rPr>
          <w:rFonts w:ascii="IRNazanin" w:hAnsi="IRNazanin" w:eastAsia="IRNazanin"/>
          <w:color w:val="111111"/>
          <w:sz w:val="28"/>
          <w:sz w:val="28"/>
          <w:szCs w:val="28"/>
          <w:rtl w:val="true"/>
          <w:lang w:bidi="fa-IR"/>
        </w:rPr>
        <w:t>القول فی مبطلات الصلاة و هی أُمور</w:t>
      </w:r>
      <w:r>
        <w:rPr>
          <w:rFonts w:eastAsia="IRNazanin" w:cs="IRNazanin"/>
          <w:color w:val="111111"/>
          <w:sz w:val="28"/>
          <w:szCs w:val="28"/>
          <w:rtl w:val="true"/>
          <w:lang w:bidi="fa-IR"/>
        </w:rPr>
        <w:t>:</w:t>
      </w:r>
    </w:p>
    <w:p>
      <w:pPr>
        <w:pStyle w:val="Heading4"/>
        <w:numPr>
          <w:ilvl w:val="3"/>
          <w:numId w:val="1"/>
        </w:numPr>
        <w:rPr/>
      </w:pPr>
      <w:bookmarkStart w:id="1858" w:name="__RefHeading___Toc2566680_3650668749"/>
      <w:bookmarkStart w:id="1859" w:name="_Toc849"/>
      <w:bookmarkEnd w:id="1858"/>
      <w:r>
        <w:rPr>
          <w:rtl w:val="true"/>
        </w:rPr>
        <w:t>[</w:t>
      </w:r>
      <w:r>
        <w:rPr>
          <w:rtl w:val="true"/>
        </w:rPr>
        <w:t>أحدها</w:t>
      </w:r>
      <w:r>
        <w:rPr>
          <w:rtl w:val="true"/>
        </w:rPr>
        <w:t xml:space="preserve">: </w:t>
      </w:r>
      <w:r>
        <w:rPr>
          <w:rtl w:val="true"/>
        </w:rPr>
        <w:t>الحدث الأصغر و الأکبر</w:t>
      </w:r>
      <w:r>
        <w:rPr>
          <w:rtl w:val="true"/>
        </w:rPr>
        <w:t>]</w:t>
      </w:r>
      <w:bookmarkEnd w:id="185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الحدث الأصغر و الأکبر فإنّه مبطل لها أینما وقع فیها و لو عند المیم من التسلیم علی الأحوط </w:t>
      </w:r>
      <w:r>
        <w:rPr>
          <w:rStyle w:val="FootnoteAnchor"/>
          <w:rtl w:val="true"/>
        </w:rPr>
        <w:footnoteReference w:id="534"/>
      </w:r>
      <w:r>
        <w:rPr>
          <w:rFonts w:ascii="IRNazanin" w:hAnsi="IRNazanin" w:eastAsia="IRNazanin"/>
          <w:color w:val="111111"/>
          <w:sz w:val="28"/>
          <w:sz w:val="28"/>
          <w:szCs w:val="28"/>
          <w:rtl w:val="true"/>
          <w:lang w:bidi="fa-IR"/>
        </w:rPr>
        <w:t>عمداً أو سهواً أو سبقاً، عدا المسلوس و المبطون و المستحاضة کما مرّ</w:t>
      </w:r>
      <w:r>
        <w:rPr>
          <w:rFonts w:eastAsia="IRNazanin" w:cs="IRNazanin"/>
          <w:color w:val="111111"/>
          <w:sz w:val="28"/>
          <w:szCs w:val="28"/>
          <w:rtl w:val="true"/>
          <w:lang w:bidi="fa-IR"/>
        </w:rPr>
        <w:t>.</w:t>
      </w:r>
      <w:bookmarkStart w:id="1860" w:name="pg1809_19008"/>
    </w:p>
    <w:p>
      <w:pPr>
        <w:pStyle w:val="Heading4"/>
        <w:numPr>
          <w:ilvl w:val="3"/>
          <w:numId w:val="1"/>
        </w:numPr>
        <w:rPr/>
      </w:pPr>
      <w:bookmarkStart w:id="1861" w:name="__RefHeading___Toc2566682_3650668749"/>
      <w:bookmarkStart w:id="1862" w:name="_Toc850"/>
      <w:bookmarkEnd w:id="1860"/>
      <w:bookmarkEnd w:id="1861"/>
      <w:r>
        <w:rPr>
          <w:rtl w:val="true"/>
        </w:rPr>
        <w:t>[</w:t>
      </w:r>
      <w:r>
        <w:rPr>
          <w:rtl w:val="true"/>
        </w:rPr>
        <w:t>ثانیها</w:t>
      </w:r>
      <w:r>
        <w:rPr>
          <w:rtl w:val="true"/>
        </w:rPr>
        <w:t xml:space="preserve">: </w:t>
      </w:r>
      <w:r>
        <w:rPr>
          <w:rtl w:val="true"/>
        </w:rPr>
        <w:t>التکفیر</w:t>
      </w:r>
      <w:r>
        <w:rPr>
          <w:rtl w:val="true"/>
        </w:rPr>
        <w:t>]</w:t>
      </w:r>
      <w:bookmarkEnd w:id="1862"/>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التکفیر و هو وضع إحدی الیدین علی الأُخریٰ نحو ما یصنعه غیرنا، و هو مبطل علی الأحوط </w:t>
      </w:r>
      <w:r>
        <w:rPr>
          <w:rStyle w:val="FootnoteAnchor"/>
          <w:rtl w:val="true"/>
        </w:rPr>
        <w:footnoteReference w:id="535"/>
      </w:r>
      <w:r>
        <w:rPr>
          <w:rFonts w:ascii="IRNazanin" w:hAnsi="IRNazanin" w:eastAsia="IRNazanin"/>
          <w:color w:val="111111"/>
          <w:sz w:val="28"/>
          <w:sz w:val="28"/>
          <w:szCs w:val="28"/>
          <w:rtl w:val="true"/>
          <w:lang w:bidi="fa-IR"/>
        </w:rPr>
        <w:t>مع العمد دون السهو، و إن کان الأحوط فیه الاستئناف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به حال التقیّة</w:t>
      </w:r>
      <w:r>
        <w:rPr>
          <w:rFonts w:eastAsia="IRNazanin" w:cs="IRNazanin"/>
          <w:color w:val="111111"/>
          <w:sz w:val="28"/>
          <w:szCs w:val="28"/>
          <w:rtl w:val="true"/>
          <w:lang w:bidi="fa-IR"/>
        </w:rPr>
        <w:t>.</w:t>
      </w:r>
    </w:p>
    <w:p>
      <w:pPr>
        <w:pStyle w:val="Heading4"/>
        <w:numPr>
          <w:ilvl w:val="3"/>
          <w:numId w:val="1"/>
        </w:numPr>
        <w:rPr/>
      </w:pPr>
      <w:bookmarkStart w:id="1863" w:name="__RefHeading___Toc2566684_3650668749"/>
      <w:bookmarkStart w:id="1864" w:name="_Toc851"/>
      <w:bookmarkEnd w:id="1863"/>
      <w:r>
        <w:rPr>
          <w:rtl w:val="true"/>
        </w:rPr>
        <w:t>[</w:t>
      </w:r>
      <w:r>
        <w:rPr>
          <w:rtl w:val="true"/>
        </w:rPr>
        <w:t>ثالثها</w:t>
      </w:r>
      <w:r>
        <w:rPr>
          <w:rtl w:val="true"/>
        </w:rPr>
        <w:t xml:space="preserve">: </w:t>
      </w:r>
      <w:r>
        <w:rPr>
          <w:rtl w:val="true"/>
        </w:rPr>
        <w:t>الالتفات بکلّ البدن إلی الخلف أو إلی الیمین أو الشمال</w:t>
      </w:r>
      <w:r>
        <w:rPr>
          <w:rtl w:val="true"/>
        </w:rPr>
        <w:t>]</w:t>
      </w:r>
      <w:bookmarkEnd w:id="1864"/>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 بکلّ البدن إلی الخلف أو إلی الیمین أو الشمال، بل و ما بینهما علیٰ وجه یخرج به عن الاستقبال، فإنّ تعمّد ذلک کلّه مبطل للصلاة، بل الالتفات بکلّ البدن بما یخرج به عمّا بین المشرق و المغرب مبطل أیضاً حتّی مع السهو و القسر و لو بمرور شخص یزدحم به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یبطلها الالتفات بالوجه یمیناً و شمالًا </w:t>
      </w:r>
      <w:r>
        <w:rPr>
          <w:rStyle w:val="FootnoteAnchor"/>
          <w:rtl w:val="true"/>
        </w:rPr>
        <w:footnoteReference w:id="536"/>
      </w:r>
      <w:r>
        <w:rPr>
          <w:rFonts w:ascii="IRNazanin" w:hAnsi="IRNazanin" w:eastAsia="IRNazanin"/>
          <w:color w:val="111111"/>
          <w:sz w:val="28"/>
          <w:sz w:val="28"/>
          <w:szCs w:val="28"/>
          <w:rtl w:val="true"/>
          <w:lang w:bidi="fa-IR"/>
        </w:rPr>
        <w:t>مع بقاء البدن مستقبلًا إلّا أنّه مکروه و الأحوط اجتنابه، بل فی الالتفات الفاحش إشکال فلا یترک فیه الاحتیاط</w:t>
      </w:r>
      <w:r>
        <w:rPr>
          <w:rFonts w:eastAsia="IRNazanin" w:cs="IRNazanin"/>
          <w:color w:val="111111"/>
          <w:sz w:val="28"/>
          <w:szCs w:val="28"/>
          <w:rtl w:val="true"/>
          <w:lang w:bidi="fa-IR"/>
        </w:rPr>
        <w:t>.</w:t>
      </w:r>
    </w:p>
    <w:p>
      <w:pPr>
        <w:pStyle w:val="Heading4"/>
        <w:numPr>
          <w:ilvl w:val="3"/>
          <w:numId w:val="1"/>
        </w:numPr>
        <w:rPr/>
      </w:pPr>
      <w:bookmarkStart w:id="1865" w:name="__RefHeading___Toc2566686_3650668749"/>
      <w:bookmarkStart w:id="1866" w:name="_Toc852"/>
      <w:bookmarkEnd w:id="1865"/>
      <w:r>
        <w:rPr>
          <w:rtl w:val="true"/>
        </w:rPr>
        <w:t>[</w:t>
      </w:r>
      <w:r>
        <w:rPr>
          <w:rtl w:val="true"/>
        </w:rPr>
        <w:t>رابعها</w:t>
      </w:r>
      <w:r>
        <w:rPr>
          <w:rtl w:val="true"/>
        </w:rPr>
        <w:t xml:space="preserve">: </w:t>
      </w:r>
      <w:r>
        <w:rPr>
          <w:rtl w:val="true"/>
        </w:rPr>
        <w:t>تعمّد الکلام و لو بحرفین مهملین</w:t>
      </w:r>
      <w:r>
        <w:rPr>
          <w:rtl w:val="true"/>
        </w:rPr>
        <w:t>]</w:t>
      </w:r>
      <w:bookmarkEnd w:id="1866"/>
    </w:p>
    <w:p>
      <w:pPr>
        <w:pStyle w:val="Heading5"/>
        <w:numPr>
          <w:ilvl w:val="4"/>
          <w:numId w:val="1"/>
        </w:numPr>
        <w:rPr/>
      </w:pPr>
      <w:bookmarkStart w:id="1867" w:name="__RefHeading___Toc2566688_3650668749"/>
      <w:bookmarkStart w:id="1868" w:name="_Toc853"/>
      <w:bookmarkEnd w:id="1867"/>
      <w:r>
        <w:rPr>
          <w:rtl w:val="true"/>
        </w:rPr>
        <w:t>اشارة</w:t>
      </w:r>
      <w:bookmarkEnd w:id="1868"/>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الکلام و لو بحرفین مهملین </w:t>
      </w:r>
      <w:r>
        <w:rPr>
          <w:rStyle w:val="FootnoteAnchor"/>
          <w:rtl w:val="true"/>
        </w:rPr>
        <w:footnoteReference w:id="537"/>
      </w:r>
      <w:r>
        <w:rPr>
          <w:rFonts w:ascii="IRNazanin" w:hAnsi="IRNazanin" w:eastAsia="IRNazanin"/>
          <w:color w:val="111111"/>
          <w:sz w:val="28"/>
          <w:sz w:val="28"/>
          <w:szCs w:val="28"/>
          <w:rtl w:val="true"/>
          <w:lang w:bidi="fa-IR"/>
        </w:rPr>
        <w:t xml:space="preserve">أو حرف مفهم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مبطل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یبطلها ما وقع سهواً و لو لزعم کمال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بأس بردّ سلام التحیّة بل هو واجب، نعم لا بطلان بترک الردّ و إن اشتغل بالضدّ من قراءة و نحوها و إنّما علیه الإثم خاصّة</w:t>
      </w:r>
      <w:r>
        <w:rPr>
          <w:rFonts w:eastAsia="IRNazanin" w:cs="IRNazanin"/>
          <w:color w:val="111111"/>
          <w:sz w:val="28"/>
          <w:szCs w:val="28"/>
          <w:rtl w:val="true"/>
          <w:lang w:bidi="fa-IR"/>
        </w:rPr>
        <w:t>.</w:t>
      </w:r>
    </w:p>
    <w:p>
      <w:pPr>
        <w:pStyle w:val="Heading5"/>
        <w:numPr>
          <w:ilvl w:val="4"/>
          <w:numId w:val="1"/>
        </w:numPr>
        <w:rPr/>
      </w:pPr>
      <w:bookmarkStart w:id="1869" w:name="__RefHeading___Toc2566690_3650668749"/>
      <w:bookmarkStart w:id="1870" w:name="_Toc854"/>
      <w:bookmarkEnd w:id="1869"/>
      <w:r>
        <w:rPr>
          <w:rtl w:val="true"/>
        </w:rPr>
        <w:t>[ (</w:t>
      </w:r>
      <w:r>
        <w:rPr>
          <w:rtl w:val="true"/>
        </w:rPr>
        <w:t xml:space="preserve">مسألة </w:t>
      </w:r>
      <w:r>
        <w:rPr/>
        <w:t>1</w:t>
      </w:r>
      <w:r>
        <w:rPr>
          <w:rtl w:val="true"/>
        </w:rPr>
        <w:t xml:space="preserve">): </w:t>
      </w:r>
      <w:r>
        <w:rPr>
          <w:rtl w:val="true"/>
        </w:rPr>
        <w:t>لا بأس بالذکر و الدعاء و قراءة القرآن</w:t>
      </w:r>
      <w:r>
        <w:rPr>
          <w:rtl w:val="true"/>
        </w:rPr>
        <w:t>]</w:t>
      </w:r>
      <w:bookmarkEnd w:id="187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بالذکر و الدعاء و قراءة القرآن غیر ما یوجب السجود فی جمیع أحوال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جواز الدعاء مع مخاطبة الغیر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و إشکال </w:t>
      </w:r>
      <w:r>
        <w:rPr>
          <w:rStyle w:val="FootnoteAnchor"/>
          <w:rtl w:val="true"/>
        </w:rPr>
        <w:footnoteReference w:id="538"/>
      </w:r>
      <w:r>
        <w:rPr>
          <w:rFonts w:ascii="IRNazanin" w:hAnsi="IRNazanin" w:eastAsia="IRNazanin"/>
          <w:color w:val="111111"/>
          <w:sz w:val="28"/>
          <w:sz w:val="28"/>
          <w:szCs w:val="28"/>
          <w:rtl w:val="true"/>
          <w:lang w:bidi="fa-IR"/>
        </w:rPr>
        <w:t>،</w:t>
      </w:r>
      <w:bookmarkStart w:id="1871" w:name="pg1809_19010"/>
    </w:p>
    <w:p>
      <w:pPr>
        <w:pStyle w:val="BookText"/>
        <w:rPr/>
      </w:pPr>
      <w:bookmarkEnd w:id="1871"/>
      <w:r>
        <w:rPr>
          <w:rFonts w:ascii="IRNazanin" w:hAnsi="IRNazanin" w:eastAsia="IRNazanin"/>
          <w:color w:val="111111"/>
          <w:sz w:val="28"/>
          <w:sz w:val="28"/>
          <w:szCs w:val="28"/>
          <w:rtl w:val="true"/>
          <w:lang w:bidi="fa-IR"/>
        </w:rPr>
        <w:t>و مثله ما إذا قال للغیر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صبّحک اللّٰه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 اللّٰه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الدعاء، و أمّا إذا قصد مجرّد التحیّة فلا إشکال فی عدم الجواز کالابتداء بالسلام</w:t>
      </w:r>
      <w:r>
        <w:rPr>
          <w:rFonts w:eastAsia="IRNazanin" w:cs="IRNazanin"/>
          <w:color w:val="111111"/>
          <w:sz w:val="28"/>
          <w:szCs w:val="28"/>
          <w:rtl w:val="true"/>
          <w:lang w:bidi="fa-IR"/>
        </w:rPr>
        <w:t>.</w:t>
      </w:r>
    </w:p>
    <w:p>
      <w:pPr>
        <w:pStyle w:val="Heading5"/>
        <w:numPr>
          <w:ilvl w:val="4"/>
          <w:numId w:val="1"/>
        </w:numPr>
        <w:rPr/>
      </w:pPr>
      <w:bookmarkStart w:id="1872" w:name="__RefHeading___Toc2566692_3650668749"/>
      <w:bookmarkStart w:id="1873" w:name="_Toc855"/>
      <w:bookmarkEnd w:id="1872"/>
      <w:r>
        <w:rPr>
          <w:rtl w:val="true"/>
        </w:rPr>
        <w:t>[ (</w:t>
      </w:r>
      <w:r>
        <w:rPr>
          <w:rtl w:val="true"/>
        </w:rPr>
        <w:t xml:space="preserve">مسألة </w:t>
      </w:r>
      <w:r>
        <w:rPr/>
        <w:t>2</w:t>
      </w:r>
      <w:r>
        <w:rPr>
          <w:rtl w:val="true"/>
        </w:rPr>
        <w:t xml:space="preserve">): </w:t>
      </w:r>
      <w:r>
        <w:rPr>
          <w:rtl w:val="true"/>
        </w:rPr>
        <w:t>یجب أن یکون ردّ السلام فی أثناء الصلاة</w:t>
      </w:r>
      <w:r>
        <w:rPr>
          <w:rtl w:val="true"/>
        </w:rPr>
        <w:t>]</w:t>
      </w:r>
      <w:bookmarkEnd w:id="18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یکون ردّ السلام فی أثناء الصلاة بمثل ما سلّم </w:t>
      </w:r>
      <w:r>
        <w:rPr>
          <w:rStyle w:val="FootnoteAnchor"/>
          <w:rtl w:val="true"/>
        </w:rPr>
        <w:footnoteReference w:id="539"/>
      </w:r>
      <w:r>
        <w:rPr>
          <w:rFonts w:ascii="IRNazanin" w:hAnsi="IRNazanin" w:eastAsia="IRNazanin"/>
          <w:color w:val="111111"/>
          <w:sz w:val="28"/>
          <w:sz w:val="28"/>
          <w:szCs w:val="28"/>
          <w:rtl w:val="true"/>
          <w:lang w:bidi="fa-IR"/>
        </w:rPr>
        <w:t>،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الأحوط المماثلة فی التعریف و التنکیر و الإفراد و الجمع، فلا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بالعکس،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غیر حال الصلاة فیستحبّ الردّ بالأحسن بأن یقول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السلام و رحمة اللّٰه و برکاته</w:t>
      </w:r>
      <w:r>
        <w:rPr>
          <w:rFonts w:eastAsia="IRNazanin" w:cs="IRNazanin"/>
          <w:color w:val="111111"/>
          <w:sz w:val="28"/>
          <w:szCs w:val="28"/>
          <w:rtl w:val="true"/>
          <w:lang w:bidi="fa-IR"/>
        </w:rPr>
        <w:t>».</w:t>
      </w:r>
    </w:p>
    <w:p>
      <w:pPr>
        <w:pStyle w:val="Heading5"/>
        <w:numPr>
          <w:ilvl w:val="4"/>
          <w:numId w:val="1"/>
        </w:numPr>
        <w:rPr/>
      </w:pPr>
      <w:bookmarkStart w:id="1874" w:name="__RefHeading___Toc2566694_3650668749"/>
      <w:bookmarkStart w:id="1875" w:name="_Toc856"/>
      <w:bookmarkEnd w:id="1874"/>
      <w:r>
        <w:rPr>
          <w:rtl w:val="true"/>
        </w:rPr>
        <w:t>[ (</w:t>
      </w:r>
      <w:r>
        <w:rPr>
          <w:rtl w:val="true"/>
        </w:rPr>
        <w:t xml:space="preserve">مسألة </w:t>
      </w:r>
      <w:r>
        <w:rPr/>
        <w:t>3</w:t>
      </w:r>
      <w:r>
        <w:rPr>
          <w:rtl w:val="true"/>
        </w:rPr>
        <w:t xml:space="preserve">): </w:t>
      </w:r>
      <w:r>
        <w:rPr>
          <w:rtl w:val="true"/>
        </w:rPr>
        <w:t>لو سلّم بالملحون وجب الجواب صحیحاً</w:t>
      </w:r>
      <w:r>
        <w:rPr>
          <w:rtl w:val="true"/>
        </w:rPr>
        <w:t>]</w:t>
      </w:r>
      <w:bookmarkEnd w:id="1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بالملحون </w:t>
      </w:r>
      <w:r>
        <w:rPr>
          <w:rStyle w:val="FootnoteAnchor"/>
          <w:rtl w:val="true"/>
        </w:rPr>
        <w:footnoteReference w:id="540"/>
      </w:r>
      <w:r>
        <w:rPr>
          <w:rFonts w:ascii="IRNazanin" w:hAnsi="IRNazanin" w:eastAsia="IRNazanin"/>
          <w:color w:val="111111"/>
          <w:sz w:val="28"/>
          <w:sz w:val="28"/>
          <w:szCs w:val="28"/>
          <w:rtl w:val="true"/>
          <w:lang w:bidi="fa-IR"/>
        </w:rPr>
        <w:t>وجب الجواب صحیحاً</w:t>
      </w:r>
      <w:r>
        <w:rPr>
          <w:rFonts w:eastAsia="IRNazanin" w:cs="IRNazanin"/>
          <w:color w:val="111111"/>
          <w:sz w:val="28"/>
          <w:szCs w:val="28"/>
          <w:rtl w:val="true"/>
          <w:lang w:bidi="fa-IR"/>
        </w:rPr>
        <w:t>.</w:t>
      </w:r>
    </w:p>
    <w:p>
      <w:pPr>
        <w:pStyle w:val="Heading5"/>
        <w:numPr>
          <w:ilvl w:val="4"/>
          <w:numId w:val="1"/>
        </w:numPr>
        <w:rPr/>
      </w:pPr>
      <w:bookmarkStart w:id="1876" w:name="__RefHeading___Toc2566696_3650668749"/>
      <w:bookmarkStart w:id="1877" w:name="_Toc857"/>
      <w:bookmarkEnd w:id="1876"/>
      <w:r>
        <w:rPr>
          <w:rtl w:val="true"/>
        </w:rPr>
        <w:t>[ (</w:t>
      </w:r>
      <w:r>
        <w:rPr>
          <w:rtl w:val="true"/>
        </w:rPr>
        <w:t xml:space="preserve">مسألة </w:t>
      </w:r>
      <w:r>
        <w:rPr/>
        <w:t>4</w:t>
      </w:r>
      <w:r>
        <w:rPr>
          <w:rtl w:val="true"/>
        </w:rPr>
        <w:t xml:space="preserve">): </w:t>
      </w:r>
      <w:r>
        <w:rPr>
          <w:rtl w:val="true"/>
        </w:rPr>
        <w:t>لو کان المسلّم صبیّاً ممیّزاً یجوز بل یجب الردّ</w:t>
      </w:r>
      <w:r>
        <w:rPr>
          <w:rtl w:val="true"/>
        </w:rPr>
        <w:t>]</w:t>
      </w:r>
      <w:bookmarkEnd w:id="1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المسلّم صبیّاً ممیّزاً یجوز بل یجب الردّ، و الأحوط </w:t>
      </w:r>
      <w:r>
        <w:rPr>
          <w:rStyle w:val="FootnoteAnchor"/>
          <w:rtl w:val="true"/>
        </w:rPr>
        <w:footnoteReference w:id="541"/>
      </w:r>
      <w:r>
        <w:rPr>
          <w:rFonts w:ascii="IRNazanin" w:hAnsi="IRNazanin" w:eastAsia="IRNazanin"/>
          <w:color w:val="111111"/>
          <w:sz w:val="28"/>
          <w:sz w:val="28"/>
          <w:szCs w:val="28"/>
          <w:rtl w:val="true"/>
          <w:lang w:bidi="fa-IR"/>
        </w:rPr>
        <w:t>قصد القرآنیّة</w:t>
      </w:r>
      <w:r>
        <w:rPr>
          <w:rFonts w:eastAsia="IRNazanin" w:cs="IRNazanin"/>
          <w:color w:val="111111"/>
          <w:sz w:val="28"/>
          <w:szCs w:val="28"/>
          <w:rtl w:val="true"/>
          <w:lang w:bidi="fa-IR"/>
        </w:rPr>
        <w:t>.</w:t>
      </w:r>
    </w:p>
    <w:p>
      <w:pPr>
        <w:pStyle w:val="Heading5"/>
        <w:numPr>
          <w:ilvl w:val="4"/>
          <w:numId w:val="1"/>
        </w:numPr>
        <w:rPr/>
      </w:pPr>
      <w:bookmarkStart w:id="1878" w:name="__RefHeading___Toc2566698_3650668749"/>
      <w:bookmarkStart w:id="1879" w:name="_Toc858"/>
      <w:bookmarkEnd w:id="1878"/>
      <w:r>
        <w:rPr>
          <w:rtl w:val="true"/>
        </w:rPr>
        <w:t>[ (</w:t>
      </w:r>
      <w:r>
        <w:rPr>
          <w:rtl w:val="true"/>
        </w:rPr>
        <w:t xml:space="preserve">مسألة </w:t>
      </w:r>
      <w:r>
        <w:rPr/>
        <w:t>5</w:t>
      </w:r>
      <w:r>
        <w:rPr>
          <w:rtl w:val="true"/>
        </w:rPr>
        <w:t xml:space="preserve">): </w:t>
      </w:r>
      <w:r>
        <w:rPr>
          <w:rtl w:val="true"/>
        </w:rPr>
        <w:t>لو سلّم علیٰ جماعة کان المصلّی أحدهم فردّ الجواب غیره لم یجز له الردّ</w:t>
      </w:r>
      <w:r>
        <w:rPr>
          <w:rtl w:val="true"/>
        </w:rPr>
        <w:t>]</w:t>
      </w:r>
      <w:bookmarkEnd w:id="18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علیٰ جماعة کان المصلّی أحدهم فردّ الجواب غیره لم یجز </w:t>
      </w:r>
      <w:r>
        <w:rPr>
          <w:rStyle w:val="FootnoteAnchor"/>
          <w:rtl w:val="true"/>
        </w:rPr>
        <w:footnoteReference w:id="542"/>
      </w:r>
      <w:r>
        <w:rPr>
          <w:rFonts w:ascii="IRNazanin" w:hAnsi="IRNazanin" w:eastAsia="IRNazanin"/>
          <w:color w:val="111111"/>
          <w:sz w:val="28"/>
          <w:sz w:val="28"/>
          <w:szCs w:val="28"/>
          <w:rtl w:val="true"/>
          <w:lang w:bidi="fa-IR"/>
        </w:rPr>
        <w:t>له الردّ، و کذا إذا کان بین جماعة فسلّم واحد علیهم و شکّ فی أنّه قصده أیضاً أم لا، لا یجوز له الجواب</w:t>
      </w:r>
      <w:r>
        <w:rPr>
          <w:rFonts w:eastAsia="IRNazanin" w:cs="IRNazanin"/>
          <w:color w:val="111111"/>
          <w:sz w:val="28"/>
          <w:szCs w:val="28"/>
          <w:rtl w:val="true"/>
          <w:lang w:bidi="fa-IR"/>
        </w:rPr>
        <w:t>.</w:t>
      </w:r>
    </w:p>
    <w:p>
      <w:pPr>
        <w:pStyle w:val="Heading5"/>
        <w:numPr>
          <w:ilvl w:val="4"/>
          <w:numId w:val="1"/>
        </w:numPr>
        <w:rPr/>
      </w:pPr>
      <w:bookmarkStart w:id="1880" w:name="__RefHeading___Toc2566700_3650668749"/>
      <w:bookmarkStart w:id="1881" w:name="_Toc859"/>
      <w:bookmarkEnd w:id="1880"/>
      <w:r>
        <w:rPr>
          <w:rtl w:val="true"/>
        </w:rPr>
        <w:t>[ (</w:t>
      </w:r>
      <w:r>
        <w:rPr>
          <w:rtl w:val="true"/>
        </w:rPr>
        <w:t xml:space="preserve">مسألة </w:t>
      </w:r>
      <w:r>
        <w:rPr/>
        <w:t>6</w:t>
      </w:r>
      <w:r>
        <w:rPr>
          <w:rtl w:val="true"/>
        </w:rPr>
        <w:t xml:space="preserve">): </w:t>
      </w:r>
      <w:r>
        <w:rPr>
          <w:rtl w:val="true"/>
        </w:rPr>
        <w:t>یجب إسماع ردّ السلام فی حال الصلاة و غیرها</w:t>
      </w:r>
      <w:r>
        <w:rPr>
          <w:rtl w:val="true"/>
        </w:rPr>
        <w:t>]</w:t>
      </w:r>
      <w:bookmarkEnd w:id="188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إسماع ردّ السلام فی حال الصلاة و غیرها؛ بمعنی رفع الصوت به علی المتعارف بحیث لو لم یکن مانع عن السماع لسمعه، فإذا کان بعیداً </w:t>
      </w:r>
      <w:r>
        <w:rPr>
          <w:rStyle w:val="FootnoteAnchor"/>
          <w:rtl w:val="true"/>
        </w:rPr>
        <w:footnoteReference w:id="543"/>
      </w:r>
      <w:r>
        <w:rPr>
          <w:rFonts w:ascii="IRNazanin" w:hAnsi="IRNazanin" w:eastAsia="IRNazanin"/>
          <w:color w:val="111111"/>
          <w:sz w:val="28"/>
          <w:sz w:val="28"/>
          <w:szCs w:val="28"/>
          <w:rtl w:val="true"/>
          <w:lang w:bidi="fa-IR"/>
        </w:rPr>
        <w:t>أو أصمّ بحیث لا یسمع الصوت أصلًا أو یحتاج إسماعه إلی المبالغة فی رفعه یکفی الجواب علی المتعارف بحیث لو لم یکن بعیداً أو أصمّ لسمعه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أمکن أن ینبّهه إلی الجواب و لو بالإشارة لا یبعد وجوبه</w:t>
      </w:r>
      <w:r>
        <w:rPr>
          <w:rFonts w:eastAsia="IRNazanin" w:cs="IRNazanin"/>
          <w:color w:val="111111"/>
          <w:sz w:val="28"/>
          <w:szCs w:val="28"/>
          <w:rtl w:val="true"/>
          <w:lang w:bidi="fa-IR"/>
        </w:rPr>
        <w:t>.</w:t>
      </w:r>
      <w:bookmarkStart w:id="1882" w:name="pg1809_19013"/>
    </w:p>
    <w:p>
      <w:pPr>
        <w:pStyle w:val="Heading5"/>
        <w:numPr>
          <w:ilvl w:val="4"/>
          <w:numId w:val="1"/>
        </w:numPr>
        <w:rPr/>
      </w:pPr>
      <w:bookmarkStart w:id="1883" w:name="__RefHeading___Toc2566702_3650668749"/>
      <w:bookmarkStart w:id="1884" w:name="_Toc860"/>
      <w:bookmarkEnd w:id="1882"/>
      <w:bookmarkEnd w:id="1883"/>
      <w:r>
        <w:rPr>
          <w:rtl w:val="true"/>
        </w:rPr>
        <w:t>[ (</w:t>
      </w:r>
      <w:r>
        <w:rPr>
          <w:rtl w:val="true"/>
        </w:rPr>
        <w:t xml:space="preserve">مسألة </w:t>
      </w:r>
      <w:r>
        <w:rPr/>
        <w:t>7</w:t>
      </w:r>
      <w:r>
        <w:rPr>
          <w:rtl w:val="true"/>
        </w:rPr>
        <w:t xml:space="preserve">): </w:t>
      </w:r>
      <w:r>
        <w:rPr>
          <w:rtl w:val="true"/>
        </w:rPr>
        <w:t>یجب الفوریّة العرفیّة فی الجواب</w:t>
      </w:r>
      <w:r>
        <w:rPr>
          <w:rtl w:val="true"/>
        </w:rPr>
        <w:t>]</w:t>
      </w:r>
      <w:bookmarkEnd w:id="18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الفوریّة العرفیّة فی الجواب، فلا یجوز تأخیرها علیٰ وجه لا یصدق معه الجواب و ردّ التحیّة، فلو أخّره عصیاناً أو نسیاناً إلیٰ ذلک الحدّ سقط فلا یجوز فی حال الصلاة و لا یجب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شکّ فی بلوغ التأخیر إلیٰ ذلک الحدّ وجب </w:t>
      </w:r>
      <w:r>
        <w:rPr>
          <w:rStyle w:val="FootnoteAnchor"/>
          <w:rtl w:val="true"/>
        </w:rPr>
        <w:footnoteReference w:id="544"/>
      </w:r>
      <w:r>
        <w:rPr>
          <w:rFonts w:ascii="IRNazanin" w:hAnsi="IRNazanin" w:eastAsia="IRNazanin"/>
          <w:color w:val="111111"/>
          <w:sz w:val="28"/>
          <w:sz w:val="28"/>
          <w:szCs w:val="28"/>
          <w:rtl w:val="true"/>
          <w:lang w:bidi="fa-IR"/>
        </w:rPr>
        <w:t>فی حال الصلاة فضلًا عن غیرها</w:t>
      </w:r>
      <w:r>
        <w:rPr>
          <w:rFonts w:eastAsia="IRNazanin" w:cs="IRNazanin"/>
          <w:color w:val="111111"/>
          <w:sz w:val="28"/>
          <w:szCs w:val="28"/>
          <w:rtl w:val="true"/>
          <w:lang w:bidi="fa-IR"/>
        </w:rPr>
        <w:t>.</w:t>
      </w:r>
    </w:p>
    <w:p>
      <w:pPr>
        <w:pStyle w:val="Heading5"/>
        <w:numPr>
          <w:ilvl w:val="4"/>
          <w:numId w:val="1"/>
        </w:numPr>
        <w:rPr/>
      </w:pPr>
      <w:bookmarkStart w:id="1885" w:name="__RefHeading___Toc2566704_3650668749"/>
      <w:bookmarkStart w:id="1886" w:name="_Toc861"/>
      <w:bookmarkEnd w:id="1885"/>
      <w:r>
        <w:rPr>
          <w:rtl w:val="true"/>
        </w:rPr>
        <w:t>[ (</w:t>
      </w:r>
      <w:r>
        <w:rPr>
          <w:rtl w:val="true"/>
        </w:rPr>
        <w:t xml:space="preserve">مسألة </w:t>
      </w:r>
      <w:r>
        <w:rPr/>
        <w:t>8</w:t>
      </w:r>
      <w:r>
        <w:rPr>
          <w:rtl w:val="true"/>
        </w:rPr>
        <w:t xml:space="preserve">): </w:t>
      </w:r>
      <w:r>
        <w:rPr>
          <w:rtl w:val="true"/>
        </w:rPr>
        <w:t>الابتداء بالسلام مستحبّ کفائیّ</w:t>
      </w:r>
      <w:r>
        <w:rPr>
          <w:rtl w:val="true"/>
        </w:rPr>
        <w:t>]</w:t>
      </w:r>
      <w:bookmarkEnd w:id="18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بالسلام مستحبّ کفائیّ، کما أنّ ردّه واجب کفائیّ، فلو دخل جماعة علیٰ جماعة یکفی فی الوظیفة الاستحبابیّة تسلیم شخص واحد و یجتزئ بجواب شخص واحد من الجماعتین</w:t>
      </w:r>
      <w:r>
        <w:rPr>
          <w:rFonts w:eastAsia="IRNazanin" w:cs="IRNazanin"/>
          <w:color w:val="111111"/>
          <w:sz w:val="28"/>
          <w:szCs w:val="28"/>
          <w:rtl w:val="true"/>
          <w:lang w:bidi="fa-IR"/>
        </w:rPr>
        <w:t>.</w:t>
      </w:r>
    </w:p>
    <w:p>
      <w:pPr>
        <w:pStyle w:val="Heading5"/>
        <w:numPr>
          <w:ilvl w:val="4"/>
          <w:numId w:val="1"/>
        </w:numPr>
        <w:rPr/>
      </w:pPr>
      <w:bookmarkStart w:id="1887" w:name="__RefHeading___Toc2566706_3650668749"/>
      <w:bookmarkStart w:id="1888" w:name="_Toc862"/>
      <w:bookmarkEnd w:id="1887"/>
      <w:r>
        <w:rPr>
          <w:rtl w:val="true"/>
        </w:rPr>
        <w:t>[ (</w:t>
      </w:r>
      <w:r>
        <w:rPr>
          <w:rtl w:val="true"/>
        </w:rPr>
        <w:t xml:space="preserve">مسألة </w:t>
      </w:r>
      <w:r>
        <w:rPr/>
        <w:t>9</w:t>
      </w:r>
      <w:r>
        <w:rPr>
          <w:rtl w:val="true"/>
        </w:rPr>
        <w:t xml:space="preserve">): </w:t>
      </w:r>
      <w:r>
        <w:rPr>
          <w:rtl w:val="true"/>
        </w:rPr>
        <w:t>إذا سلّم أحد علیٰ أحد شخصین و لم یعلما أنّه أیّهما أراد</w:t>
      </w:r>
      <w:r>
        <w:rPr>
          <w:rtl w:val="true"/>
        </w:rPr>
        <w:t>]</w:t>
      </w:r>
      <w:bookmarkEnd w:id="18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أحد علیٰ أحد شخصین و لم یعلما أنّه أیّهما أراد لا یجب الردّ علیٰ واحد منهما، و لا یجب علیهما الفحص و السؤال، و إن کان الأحوط الردّ من کلّ منهما إذا کانا فی غیر حال الصلاة</w:t>
      </w:r>
      <w:r>
        <w:rPr>
          <w:rFonts w:eastAsia="IRNazanin" w:cs="IRNazanin"/>
          <w:color w:val="111111"/>
          <w:sz w:val="28"/>
          <w:szCs w:val="28"/>
          <w:rtl w:val="true"/>
          <w:lang w:bidi="fa-IR"/>
        </w:rPr>
        <w:t>.</w:t>
      </w:r>
    </w:p>
    <w:p>
      <w:pPr>
        <w:pStyle w:val="Heading5"/>
        <w:numPr>
          <w:ilvl w:val="4"/>
          <w:numId w:val="1"/>
        </w:numPr>
        <w:rPr/>
      </w:pPr>
      <w:bookmarkStart w:id="1889" w:name="__RefHeading___Toc2566708_3650668749"/>
      <w:bookmarkStart w:id="1890" w:name="_Toc863"/>
      <w:bookmarkEnd w:id="1889"/>
      <w:r>
        <w:rPr>
          <w:rtl w:val="true"/>
        </w:rPr>
        <w:t>[ (</w:t>
      </w:r>
      <w:r>
        <w:rPr>
          <w:rtl w:val="true"/>
        </w:rPr>
        <w:t xml:space="preserve">مسألة </w:t>
      </w:r>
      <w:r>
        <w:rPr/>
        <w:t>10</w:t>
      </w:r>
      <w:r>
        <w:rPr>
          <w:rtl w:val="true"/>
        </w:rPr>
        <w:t xml:space="preserve">): </w:t>
      </w:r>
      <w:r>
        <w:rPr>
          <w:rtl w:val="true"/>
        </w:rPr>
        <w:t>إذا سلّم شخصان کلّ علی الآخر یجب علیٰ کلّ منهما ردّ سلام الآخر</w:t>
      </w:r>
      <w:r>
        <w:rPr>
          <w:rtl w:val="true"/>
        </w:rPr>
        <w:t>]</w:t>
      </w:r>
      <w:bookmarkEnd w:id="18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شخصان کلّ علی الآخر یجب علیٰ کلّ منهما ردّ سلام الآخر حتّی من وقع سلامه الأوّل عقیب سلام الآخر؛ حیث إنّه لم یقصد به الردّ بل الابتداء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انعکس الأمر بأن سلّم کلّ منهما بعنوان الردّ بزعم أنّه سلّم علیه الآخر لا یجب علیٰ واحد منهما ردّ سلام الآخر و إن کان الأحوط فیما لو تقارنا، و مع عدمه فالأحوط لمن </w:t>
      </w:r>
      <w:r>
        <w:rPr>
          <w:rStyle w:val="FootnoteAnchor"/>
          <w:rtl w:val="true"/>
        </w:rPr>
        <w:footnoteReference w:id="545"/>
      </w:r>
      <w:r>
        <w:rPr>
          <w:rFonts w:ascii="Amiri" w:hAnsi="Amiri" w:eastAsia="Amiri" w:cs="Amiri"/>
          <w:color w:val="111111"/>
          <w:sz w:val="28"/>
          <w:sz w:val="28"/>
          <w:szCs w:val="28"/>
          <w:rtl w:val="true"/>
          <w:lang w:bidi="ar-SA"/>
        </w:rPr>
        <w:t>تقدّم سلامه ردّ سلام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شخص علیٰ أحد بعنوان الردّ بزعم أنّه سلّم علیه مع أنّه لم یسلّم علیه و تنبّه إلیٰ ذلک المسلَّم علیه فالأحوط أن یردّ </w:t>
      </w:r>
      <w:r>
        <w:rPr>
          <w:rStyle w:val="FootnoteAnchor"/>
          <w:rtl w:val="true"/>
        </w:rPr>
        <w:footnoteReference w:id="546"/>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Heading4"/>
        <w:numPr>
          <w:ilvl w:val="3"/>
          <w:numId w:val="1"/>
        </w:numPr>
        <w:rPr/>
      </w:pPr>
      <w:bookmarkStart w:id="1891" w:name="__RefHeading___Toc2566710_3650668749"/>
      <w:bookmarkStart w:id="1892" w:name="_Toc864"/>
      <w:bookmarkEnd w:id="1891"/>
      <w:r>
        <w:rPr>
          <w:rtl w:val="true"/>
        </w:rPr>
        <w:t>[</w:t>
      </w:r>
      <w:r>
        <w:rPr>
          <w:rtl w:val="true"/>
        </w:rPr>
        <w:t>خامسها</w:t>
      </w:r>
      <w:r>
        <w:rPr>
          <w:rtl w:val="true"/>
        </w:rPr>
        <w:t xml:space="preserve">: </w:t>
      </w:r>
      <w:r>
        <w:rPr>
          <w:rtl w:val="true"/>
        </w:rPr>
        <w:t>القهقهة و لو اضطراراً</w:t>
      </w:r>
      <w:r>
        <w:rPr>
          <w:rtl w:val="true"/>
        </w:rPr>
        <w:t>]</w:t>
      </w:r>
      <w:bookmarkEnd w:id="189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القهقهة و لو اضطراراً، نعم لا بأس بالسهو منها کما لا بأس بالتبسّم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القهقهة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الضحک المشتمل علی الصوت </w:t>
      </w:r>
      <w:r>
        <w:rPr>
          <w:rStyle w:val="FootnoteAnchor"/>
          <w:rtl w:val="true"/>
        </w:rPr>
        <w:footnoteReference w:id="547"/>
      </w:r>
      <w:r>
        <w:rPr>
          <w:rFonts w:ascii="IRNazanin" w:hAnsi="IRNazanin" w:eastAsia="IRNazanin"/>
          <w:color w:val="111111"/>
          <w:sz w:val="28"/>
          <w:sz w:val="28"/>
          <w:szCs w:val="28"/>
          <w:rtl w:val="true"/>
          <w:lang w:bidi="fa-IR"/>
        </w:rPr>
        <w:t xml:space="preserve">و لو اشتمل علیه تقدیراً، کمن منع نفسه عنه إلّا أنّه قد امتلأ جوفه ضحکاً و احمرّ وجهه و ارتعش مثلًا، أبطلها أیضاً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bookmarkStart w:id="1893" w:name="pg1809_19015"/>
    </w:p>
    <w:p>
      <w:pPr>
        <w:pStyle w:val="BookText"/>
        <w:rPr/>
      </w:pPr>
      <w:bookmarkEnd w:id="1893"/>
      <w:r>
        <w:rPr>
          <w:rFonts w:ascii="Amiri" w:hAnsi="Amiri" w:eastAsia="Amiri" w:cs="Amiri"/>
          <w:color w:val="111111"/>
          <w:sz w:val="28"/>
          <w:sz w:val="28"/>
          <w:szCs w:val="28"/>
          <w:rtl w:val="true"/>
          <w:lang w:bidi="ar-SA"/>
        </w:rPr>
        <w:t>علیٰ أمر أُخرویّ أو طلب أمر دنیویّ من اللّٰه تعالیٰ، خصوصاً إذا کان المطلوب راجحاً شرعاً، فإنّه غیر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الغیر المشتمل علیٰ صوت ففیه إشکال </w:t>
      </w:r>
      <w:r>
        <w:rPr>
          <w:rStyle w:val="FootnoteAnchor"/>
          <w:rtl w:val="true"/>
        </w:rPr>
        <w:footnoteReference w:id="549"/>
      </w:r>
      <w:r>
        <w:rPr>
          <w:rFonts w:ascii="IRNazanin" w:hAnsi="IRNazanin" w:eastAsia="IRNazanin"/>
          <w:color w:val="111111"/>
          <w:sz w:val="28"/>
          <w:sz w:val="28"/>
          <w:szCs w:val="28"/>
          <w:rtl w:val="true"/>
          <w:lang w:bidi="fa-IR"/>
        </w:rPr>
        <w:t>، فلا یترک الاحتیاط فی الاستئناف، کما أنّ الأحوط ذلک فیمن غلب علیه البکاء قهراً بل 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جواز البکاء علیٰ سیّد الشهداء أرواحنا فداه تأمّل و إشکال، فلا یترک الاحتیاط</w:t>
      </w:r>
      <w:r>
        <w:rPr>
          <w:rFonts w:eastAsia="IRNazanin" w:cs="IRNazanin"/>
          <w:color w:val="111111"/>
          <w:sz w:val="28"/>
          <w:szCs w:val="28"/>
          <w:rtl w:val="true"/>
          <w:lang w:bidi="fa-IR"/>
        </w:rPr>
        <w:t>.</w:t>
      </w:r>
    </w:p>
    <w:p>
      <w:pPr>
        <w:pStyle w:val="Heading4"/>
        <w:numPr>
          <w:ilvl w:val="3"/>
          <w:numId w:val="1"/>
        </w:numPr>
        <w:rPr/>
      </w:pPr>
      <w:bookmarkStart w:id="1894" w:name="__RefHeading___Toc2566712_3650668749"/>
      <w:bookmarkStart w:id="1895" w:name="_Toc865"/>
      <w:bookmarkEnd w:id="1894"/>
      <w:r>
        <w:rPr>
          <w:rtl w:val="true"/>
        </w:rPr>
        <w:t>[</w:t>
      </w:r>
      <w:r>
        <w:rPr>
          <w:rtl w:val="true"/>
        </w:rPr>
        <w:t>سابعها</w:t>
      </w:r>
      <w:r>
        <w:rPr>
          <w:rtl w:val="true"/>
        </w:rPr>
        <w:t xml:space="preserve">: </w:t>
      </w:r>
      <w:r>
        <w:rPr>
          <w:rtl w:val="true"/>
        </w:rPr>
        <w:t>کلّ فعل ماحٍ لها مُذهِب لصورتها علیٰ وجه یصحّ سلب الاسم عنها</w:t>
      </w:r>
      <w:r>
        <w:rPr>
          <w:rtl w:val="true"/>
        </w:rPr>
        <w:t>]</w:t>
      </w:r>
      <w:bookmarkEnd w:id="1895"/>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فعل ماحٍ لها مُذهِب لصورتها علیٰ وجه یصحّ سلب الاسم عنها و إن کان قلیلًا کالوثبة </w:t>
      </w:r>
      <w:r>
        <w:rPr>
          <w:rStyle w:val="FootnoteAnchor"/>
          <w:rtl w:val="true"/>
        </w:rPr>
        <w:footnoteReference w:id="550"/>
      </w:r>
      <w:r>
        <w:rPr>
          <w:rFonts w:ascii="IRNazanin" w:hAnsi="IRNazanin" w:eastAsia="IRNazanin"/>
          <w:color w:val="111111"/>
          <w:sz w:val="28"/>
          <w:sz w:val="28"/>
          <w:szCs w:val="28"/>
          <w:rtl w:val="true"/>
          <w:lang w:bidi="fa-IR"/>
        </w:rPr>
        <w:t>و الصفقة لعباً و العفطة هزواً و نحوها فإنّه مبطل لها عمداً و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الغیر الماحی لها فإن کان مفوّتاً للموالاة فیها؛ بمعنی المتابعة العرفیّة فهو مبطل مع العمد </w:t>
      </w:r>
      <w:r>
        <w:rPr>
          <w:rStyle w:val="FootnoteAnchor"/>
          <w:rtl w:val="true"/>
        </w:rPr>
        <w:footnoteReference w:id="551"/>
      </w:r>
      <w:r>
        <w:rPr>
          <w:rFonts w:ascii="IRNazanin" w:hAnsi="IRNazanin" w:eastAsia="IRNazanin"/>
          <w:color w:val="111111"/>
          <w:sz w:val="28"/>
          <w:sz w:val="28"/>
          <w:szCs w:val="28"/>
          <w:rtl w:val="true"/>
          <w:lang w:bidi="fa-IR"/>
        </w:rPr>
        <w:t>دون السهو، و إن لم یکن مفوّتاً لها فعمدة غیر مبطل فضلًا عن سهوه و إن کان کثیراً، کحرکة الأصابع و نحوها و الإشارة بالید أو غیرها لنداء أحد و قتل الحیّة و العقرب و حمل الطفل و وضعه و ضمّه و إرضاعه و عدّ الاستغفار فی الوتر بالسبحة و نحوها و عدّ الرکعات بالحصیٰ و مناولة الشیخ العصی و الجهر بالذکر و القرآن للإعلام، و غیر ذلک ممّا هو غیر مناف للموالاة و لا ماح للصورة و إن کان کثیراً</w:t>
      </w:r>
      <w:r>
        <w:rPr>
          <w:rFonts w:eastAsia="IRNazanin" w:cs="IRNazanin"/>
          <w:color w:val="111111"/>
          <w:sz w:val="28"/>
          <w:szCs w:val="28"/>
          <w:rtl w:val="true"/>
          <w:lang w:bidi="fa-IR"/>
        </w:rPr>
        <w:t>.</w:t>
      </w:r>
    </w:p>
    <w:p>
      <w:pPr>
        <w:pStyle w:val="Heading4"/>
        <w:numPr>
          <w:ilvl w:val="3"/>
          <w:numId w:val="1"/>
        </w:numPr>
        <w:rPr/>
      </w:pPr>
      <w:bookmarkStart w:id="1896" w:name="__RefHeading___Toc2566714_3650668749"/>
      <w:bookmarkStart w:id="1897" w:name="_Toc866"/>
      <w:bookmarkEnd w:id="1896"/>
      <w:r>
        <w:rPr>
          <w:rtl w:val="true"/>
        </w:rPr>
        <w:t>[</w:t>
      </w:r>
      <w:r>
        <w:rPr>
          <w:rtl w:val="true"/>
        </w:rPr>
        <w:t>ثامنها</w:t>
      </w:r>
      <w:r>
        <w:rPr>
          <w:rtl w:val="true"/>
        </w:rPr>
        <w:t xml:space="preserve">: </w:t>
      </w:r>
      <w:r>
        <w:rPr>
          <w:rtl w:val="true"/>
        </w:rPr>
        <w:t>الأکل و الشرب و إن کانا قلیلین</w:t>
      </w:r>
      <w:r>
        <w:rPr>
          <w:rtl w:val="true"/>
        </w:rPr>
        <w:t>]</w:t>
      </w:r>
      <w:bookmarkEnd w:id="1897"/>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الأکل و الشرب و إن کانا قلیلین </w:t>
      </w:r>
      <w:r>
        <w:rPr>
          <w:rStyle w:val="FootnoteAnchor"/>
          <w:rtl w:val="true"/>
        </w:rPr>
        <w:footnoteReference w:id="552"/>
      </w:r>
      <w:r>
        <w:rPr>
          <w:rFonts w:ascii="IRNazanin" w:hAnsi="IRNazanin" w:eastAsia="IRNazanin"/>
          <w:color w:val="111111"/>
          <w:sz w:val="28"/>
          <w:sz w:val="28"/>
          <w:szCs w:val="28"/>
          <w:rtl w:val="true"/>
          <w:lang w:bidi="fa-IR"/>
        </w:rPr>
        <w:t xml:space="preserve">، نعم لا بأس بابتلاع بقایا الطعام فی الفم و أن یمسک </w:t>
      </w:r>
      <w:r>
        <w:rPr>
          <w:rStyle w:val="FootnoteAnchor"/>
          <w:rtl w:val="true"/>
        </w:rPr>
        <w:footnoteReference w:id="553"/>
      </w:r>
      <w:r>
        <w:rPr>
          <w:rFonts w:ascii="IRNazanin" w:hAnsi="IRNazanin" w:eastAsia="IRNazanin"/>
          <w:color w:val="111111"/>
          <w:sz w:val="28"/>
          <w:sz w:val="28"/>
          <w:szCs w:val="28"/>
          <w:rtl w:val="true"/>
          <w:lang w:bidi="fa-IR"/>
        </w:rPr>
        <w:t>فی فیه قلیلًا من السکّر الذی یذوب و ینزل شیئاً فشیئاً، و نحو ذلک ممّا هو غیر ماح للصورة و لا مفوّت للموالاة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فی جمیع ما سمعته من المبطلات بین الفریضة و النافلة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یستثنیٰ من ذلک شرب الماء للعطشان المتشاغل بالدعاء فی الوتر، العازم علیٰ صوم ذلک الیوم إذا خشی مفاجاة الفجر و کان الماء أمامه و احتاج إلیٰ خطوتین أو ثلاثة، فإنّه یجوز له التخطّی و الشرب حتّی یروی؛ و إن طال زمانه إذا لم یفعل غیر ذلک من منافیات الصلاة، حتّی إذا أراد العود إلیٰ مکانه رجع القهقری لئلّا یستدبر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w:t>
      </w:r>
      <w:bookmarkStart w:id="1898" w:name="pg1809_19016"/>
    </w:p>
    <w:p>
      <w:pPr>
        <w:pStyle w:val="BookText"/>
        <w:rPr/>
      </w:pPr>
      <w:bookmarkEnd w:id="1898"/>
      <w:r>
        <w:rPr>
          <w:rFonts w:ascii="IRNazanin" w:hAnsi="IRNazanin" w:eastAsia="IRNazanin"/>
          <w:color w:val="111111"/>
          <w:sz w:val="28"/>
          <w:sz w:val="28"/>
          <w:szCs w:val="28"/>
          <w:rtl w:val="true"/>
          <w:lang w:bidi="fa-IR"/>
        </w:rPr>
        <w:t>الاقتصار علیٰ خصوص شرب الماء دون الأکل و إن قلّ زمانه، کما أنّ الأحوط الاقتصار علیٰ خصوص الوتر دون سائر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الظاهر </w:t>
      </w:r>
      <w:r>
        <w:rPr>
          <w:rStyle w:val="FootnoteAnchor"/>
          <w:rtl w:val="true"/>
        </w:rPr>
        <w:footnoteReference w:id="555"/>
      </w:r>
      <w:r>
        <w:rPr>
          <w:rFonts w:ascii="IRNazanin" w:hAnsi="IRNazanin" w:eastAsia="IRNazanin"/>
          <w:color w:val="111111"/>
          <w:sz w:val="28"/>
          <w:sz w:val="28"/>
          <w:szCs w:val="28"/>
          <w:rtl w:val="true"/>
          <w:lang w:bidi="fa-IR"/>
        </w:rPr>
        <w:t>عدم الاقتصار علیٰ حال الدعاء فیلحق بها غیرها من أحوالها</w:t>
      </w:r>
      <w:r>
        <w:rPr>
          <w:rFonts w:eastAsia="IRNazanin" w:cs="IRNazanin"/>
          <w:color w:val="111111"/>
          <w:sz w:val="28"/>
          <w:szCs w:val="28"/>
          <w:rtl w:val="true"/>
          <w:lang w:bidi="fa-IR"/>
        </w:rPr>
        <w:t>.</w:t>
      </w:r>
    </w:p>
    <w:p>
      <w:pPr>
        <w:pStyle w:val="Heading4"/>
        <w:numPr>
          <w:ilvl w:val="3"/>
          <w:numId w:val="1"/>
        </w:numPr>
        <w:rPr/>
      </w:pPr>
      <w:bookmarkStart w:id="1899" w:name="__RefHeading___Toc2566716_3650668749"/>
      <w:bookmarkStart w:id="1900" w:name="_Toc867"/>
      <w:bookmarkEnd w:id="1899"/>
      <w:r>
        <w:rPr>
          <w:rtl w:val="true"/>
        </w:rPr>
        <w:t>[</w:t>
      </w:r>
      <w:r>
        <w:rPr>
          <w:rtl w:val="true"/>
        </w:rPr>
        <w:t>تاسعها</w:t>
      </w:r>
      <w:r>
        <w:rPr>
          <w:rtl w:val="true"/>
        </w:rPr>
        <w:t xml:space="preserve">: </w:t>
      </w:r>
      <w:r>
        <w:rPr>
          <w:rtl w:val="true"/>
        </w:rPr>
        <w:t xml:space="preserve">تعمّد قول </w:t>
      </w:r>
      <w:r>
        <w:rPr>
          <w:rtl w:val="true"/>
        </w:rPr>
        <w:t>«</w:t>
      </w:r>
      <w:r>
        <w:rPr>
          <w:rtl w:val="true"/>
        </w:rPr>
        <w:t>آمّین</w:t>
      </w:r>
      <w:r>
        <w:rPr>
          <w:rtl w:val="true"/>
        </w:rPr>
        <w:t xml:space="preserve">» </w:t>
      </w:r>
      <w:r>
        <w:rPr>
          <w:rtl w:val="true"/>
        </w:rPr>
        <w:t>بعد تمام الفاتحة لغیر تقیّة</w:t>
      </w:r>
      <w:r>
        <w:rPr>
          <w:rtl w:val="true"/>
        </w:rPr>
        <w:t>]</w:t>
      </w:r>
      <w:bookmarkEnd w:id="1900"/>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 الفاتحة لغیر تقیّة، أمّا الساهی فلا بأس، کما لا بأس به مع التقیّة</w:t>
      </w:r>
      <w:r>
        <w:rPr>
          <w:rFonts w:eastAsia="IRNazanin" w:cs="IRNazanin"/>
          <w:color w:val="111111"/>
          <w:sz w:val="28"/>
          <w:szCs w:val="28"/>
          <w:rtl w:val="true"/>
          <w:lang w:bidi="fa-IR"/>
        </w:rPr>
        <w:t>.</w:t>
      </w:r>
    </w:p>
    <w:p>
      <w:pPr>
        <w:pStyle w:val="Heading4"/>
        <w:numPr>
          <w:ilvl w:val="3"/>
          <w:numId w:val="1"/>
        </w:numPr>
        <w:rPr/>
      </w:pPr>
      <w:bookmarkStart w:id="1901" w:name="__RefHeading___Toc2566718_3650668749"/>
      <w:bookmarkStart w:id="1902" w:name="_Toc868"/>
      <w:bookmarkEnd w:id="1901"/>
      <w:r>
        <w:rPr>
          <w:rtl w:val="true"/>
        </w:rPr>
        <w:t>[</w:t>
      </w:r>
      <w:r>
        <w:rPr>
          <w:rtl w:val="true"/>
        </w:rPr>
        <w:t>عاشرها</w:t>
      </w:r>
      <w:r>
        <w:rPr>
          <w:rtl w:val="true"/>
        </w:rPr>
        <w:t xml:space="preserve">: </w:t>
      </w:r>
      <w:r>
        <w:rPr>
          <w:rtl w:val="true"/>
        </w:rPr>
        <w:t>الشکّ فی عدد غیر الرباعیّة من الفرائض</w:t>
      </w:r>
      <w:r>
        <w:rPr>
          <w:rtl w:val="true"/>
        </w:rPr>
        <w:t>]</w:t>
      </w:r>
      <w:bookmarkEnd w:id="1902"/>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عدد غیر الرباعیّة من الفرائض و الأُولیین منها کما تسمعه فی محلّه إن شاء اللّٰه</w:t>
      </w:r>
      <w:r>
        <w:rPr>
          <w:rFonts w:eastAsia="IRNazanin" w:cs="IRNazanin"/>
          <w:color w:val="111111"/>
          <w:sz w:val="28"/>
          <w:szCs w:val="28"/>
          <w:rtl w:val="true"/>
          <w:lang w:bidi="fa-IR"/>
        </w:rPr>
        <w:t>.</w:t>
      </w:r>
    </w:p>
    <w:p>
      <w:pPr>
        <w:pStyle w:val="Heading4"/>
        <w:numPr>
          <w:ilvl w:val="3"/>
          <w:numId w:val="1"/>
        </w:numPr>
        <w:rPr/>
      </w:pPr>
      <w:bookmarkStart w:id="1903" w:name="__RefHeading___Toc2566720_3650668749"/>
      <w:bookmarkStart w:id="1904" w:name="_Toc869"/>
      <w:bookmarkEnd w:id="1903"/>
      <w:r>
        <w:rPr>
          <w:rtl w:val="true"/>
        </w:rPr>
        <w:t>[</w:t>
      </w:r>
      <w:r>
        <w:rPr>
          <w:rtl w:val="true"/>
        </w:rPr>
        <w:t>حادی عشرها</w:t>
      </w:r>
      <w:r>
        <w:rPr>
          <w:rtl w:val="true"/>
        </w:rPr>
        <w:t xml:space="preserve">: </w:t>
      </w:r>
      <w:r>
        <w:rPr>
          <w:rtl w:val="true"/>
        </w:rPr>
        <w:t>زیادة جزء فیها أو نقصانه</w:t>
      </w:r>
      <w:r>
        <w:rPr>
          <w:rtl w:val="true"/>
        </w:rPr>
        <w:t>]</w:t>
      </w:r>
      <w:bookmarkEnd w:id="1904"/>
    </w:p>
    <w:p>
      <w:pPr>
        <w:pStyle w:val="BookText"/>
        <w:rPr/>
      </w:pPr>
      <w:r>
        <w:rPr>
          <w:rFonts w:ascii="IRNazanin" w:hAnsi="IRNazanin" w:eastAsia="IRNazanin"/>
          <w:color w:val="111111"/>
          <w:sz w:val="28"/>
          <w:sz w:val="28"/>
          <w:szCs w:val="28"/>
          <w:rtl w:val="true"/>
          <w:lang w:bidi="fa-IR"/>
        </w:rPr>
        <w:t>حادی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جزء </w:t>
      </w:r>
      <w:r>
        <w:rPr>
          <w:rStyle w:val="FootnoteAnchor"/>
          <w:rtl w:val="true"/>
        </w:rPr>
        <w:footnoteReference w:id="556"/>
      </w:r>
      <w:r>
        <w:rPr>
          <w:rFonts w:ascii="IRNazanin" w:hAnsi="IRNazanin" w:eastAsia="IRNazanin"/>
          <w:color w:val="111111"/>
          <w:sz w:val="28"/>
          <w:sz w:val="28"/>
          <w:szCs w:val="28"/>
          <w:rtl w:val="true"/>
          <w:lang w:bidi="fa-IR"/>
        </w:rPr>
        <w:t>فیها أو نقصانه، کما عرفته و تعرفه أیضاً</w:t>
      </w:r>
      <w:r>
        <w:rPr>
          <w:rFonts w:eastAsia="IRNazanin" w:cs="IRNazanin"/>
          <w:color w:val="111111"/>
          <w:sz w:val="28"/>
          <w:szCs w:val="28"/>
          <w:rtl w:val="true"/>
          <w:lang w:bidi="fa-IR"/>
        </w:rPr>
        <w:t>.</w:t>
      </w:r>
    </w:p>
    <w:p>
      <w:pPr>
        <w:pStyle w:val="Heading4"/>
        <w:numPr>
          <w:ilvl w:val="3"/>
          <w:numId w:val="1"/>
        </w:numPr>
        <w:rPr/>
      </w:pPr>
      <w:bookmarkStart w:id="1905" w:name="__RefHeading___Toc2566722_3650668749"/>
      <w:bookmarkStart w:id="1906" w:name="_Toc870"/>
      <w:bookmarkEnd w:id="1905"/>
      <w:r>
        <w:rPr>
          <w:rtl w:val="true"/>
        </w:rPr>
        <w:t>[ (</w:t>
      </w:r>
      <w:r>
        <w:rPr>
          <w:rtl w:val="true"/>
        </w:rPr>
        <w:t xml:space="preserve">مسألة </w:t>
      </w:r>
      <w:r>
        <w:rPr/>
        <w:t>11</w:t>
      </w:r>
      <w:r>
        <w:rPr>
          <w:rtl w:val="true"/>
        </w:rPr>
        <w:t xml:space="preserve">): </w:t>
      </w:r>
      <w:r>
        <w:rPr>
          <w:rtl w:val="true"/>
        </w:rPr>
        <w:t>یکره فی الصلاة مضافاً إلیٰ ما سمعته سابقاً نفخ موضع السجود و العبث و البصاق</w:t>
      </w:r>
      <w:r>
        <w:rPr>
          <w:rtl w:val="true"/>
        </w:rPr>
        <w:t>]</w:t>
      </w:r>
      <w:bookmarkEnd w:id="19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فی الصلاة مضافاً إلیٰ ما سمعته سابقاً نفخ </w:t>
      </w:r>
      <w:r>
        <w:rPr>
          <w:rStyle w:val="FootnoteAnchor"/>
          <w:rtl w:val="true"/>
        </w:rPr>
        <w:footnoteReference w:id="557"/>
      </w:r>
      <w:r>
        <w:rPr>
          <w:rFonts w:ascii="IRNazanin" w:hAnsi="IRNazanin" w:eastAsia="IRNazanin"/>
          <w:color w:val="111111"/>
          <w:sz w:val="28"/>
          <w:sz w:val="28"/>
          <w:szCs w:val="28"/>
          <w:rtl w:val="true"/>
          <w:lang w:bidi="fa-IR"/>
        </w:rPr>
        <w:t>موضع السجود و العبث و البصاق و فرقعة الأصابع و التمطّی و التثاؤب الاختیاری و التأوّه و الأنین و مدافعة البول و الغائط ما لم یصل إلیٰ حدّ الضرر فیحرم حینئذٍ و إن کانت الصلاة صحیحة معه</w:t>
      </w:r>
      <w:r>
        <w:rPr>
          <w:rFonts w:eastAsia="IRNazanin" w:cs="IRNazanin"/>
          <w:color w:val="111111"/>
          <w:sz w:val="28"/>
          <w:szCs w:val="28"/>
          <w:rtl w:val="true"/>
          <w:lang w:bidi="fa-IR"/>
        </w:rPr>
        <w:t>.</w:t>
      </w:r>
    </w:p>
    <w:p>
      <w:pPr>
        <w:pStyle w:val="Heading4"/>
        <w:numPr>
          <w:ilvl w:val="3"/>
          <w:numId w:val="1"/>
        </w:numPr>
        <w:rPr/>
      </w:pPr>
      <w:bookmarkStart w:id="1907" w:name="__RefHeading___Toc2566724_3650668749"/>
      <w:bookmarkStart w:id="1908" w:name="_Toc871"/>
      <w:bookmarkEnd w:id="1907"/>
      <w:r>
        <w:rPr>
          <w:rtl w:val="true"/>
        </w:rPr>
        <w:t>[ (</w:t>
      </w:r>
      <w:r>
        <w:rPr>
          <w:rtl w:val="true"/>
        </w:rPr>
        <w:t xml:space="preserve">مسألة </w:t>
      </w:r>
      <w:r>
        <w:rPr/>
        <w:t>12</w:t>
      </w:r>
      <w:r>
        <w:rPr>
          <w:rtl w:val="true"/>
        </w:rPr>
        <w:t xml:space="preserve">): </w:t>
      </w:r>
      <w:r>
        <w:rPr>
          <w:rtl w:val="true"/>
        </w:rPr>
        <w:t>لا یجوز قطع الفریضة اختیاراً</w:t>
      </w:r>
      <w:r>
        <w:rPr>
          <w:rtl w:val="true"/>
        </w:rPr>
        <w:t>]</w:t>
      </w:r>
      <w:bookmarkEnd w:id="19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قطع الفریضة اختیاراً، بل النافلة أیضاً علی الأحوط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تقطع الفریضة فضلًا عن النافلة للخوف علیٰ نفسه أو نفس محترمة أو علیٰ عرضه أو ماله المعتدّ به و نحو ذلک، بل قد یجب قطعها فی بعض هذه الأحوال، لکن لو عصیٰ فلم یقطعها حینئذٍ أثِم و صحّت صلاته</w:t>
      </w:r>
      <w:r>
        <w:rPr>
          <w:rFonts w:eastAsia="IRNazanin" w:cs="IRNazanin"/>
          <w:color w:val="111111"/>
          <w:sz w:val="28"/>
          <w:szCs w:val="28"/>
          <w:rtl w:val="true"/>
          <w:lang w:bidi="fa-IR"/>
        </w:rPr>
        <w:t>.</w:t>
      </w:r>
    </w:p>
    <w:p>
      <w:pPr>
        <w:pStyle w:val="Heading3"/>
        <w:numPr>
          <w:ilvl w:val="2"/>
          <w:numId w:val="1"/>
        </w:numPr>
        <w:rPr/>
      </w:pPr>
      <w:bookmarkStart w:id="1909" w:name="__RefHeading___Toc2566726_3650668749"/>
      <w:bookmarkStart w:id="1910" w:name="_Toc872"/>
      <w:bookmarkEnd w:id="1909"/>
      <w:r>
        <w:rPr>
          <w:rtl w:val="true"/>
        </w:rPr>
        <w:t>[</w:t>
      </w:r>
      <w:r>
        <w:rPr>
          <w:rtl w:val="true"/>
        </w:rPr>
        <w:t>القول فی صلاة الآیات</w:t>
      </w:r>
      <w:r>
        <w:rPr>
          <w:rtl w:val="true"/>
        </w:rPr>
        <w:t>]</w:t>
      </w:r>
      <w:bookmarkEnd w:id="1910"/>
    </w:p>
    <w:p>
      <w:pPr>
        <w:pStyle w:val="Heading4"/>
        <w:numPr>
          <w:ilvl w:val="3"/>
          <w:numId w:val="1"/>
        </w:numPr>
        <w:rPr/>
      </w:pPr>
      <w:bookmarkStart w:id="1911" w:name="__RefHeading___Toc2566728_3650668749"/>
      <w:bookmarkStart w:id="1912" w:name="_Toc873"/>
      <w:bookmarkEnd w:id="1911"/>
      <w:r>
        <w:rPr>
          <w:rtl w:val="true"/>
        </w:rPr>
        <w:t>اشارة</w:t>
      </w:r>
      <w:bookmarkEnd w:id="1912"/>
    </w:p>
    <w:p>
      <w:pPr>
        <w:pStyle w:val="BookText"/>
        <w:rPr/>
      </w:pPr>
      <w:r>
        <w:rPr>
          <w:rFonts w:ascii="IRNazanin" w:hAnsi="IRNazanin" w:eastAsia="IRNazanin"/>
          <w:color w:val="111111"/>
          <w:sz w:val="28"/>
          <w:sz w:val="28"/>
          <w:szCs w:val="28"/>
          <w:rtl w:val="true"/>
          <w:lang w:bidi="fa-IR"/>
        </w:rPr>
        <w:t>القول فی صلاة الآیات</w:t>
      </w:r>
    </w:p>
    <w:p>
      <w:pPr>
        <w:pStyle w:val="Heading4"/>
        <w:numPr>
          <w:ilvl w:val="3"/>
          <w:numId w:val="1"/>
        </w:numPr>
        <w:rPr/>
      </w:pPr>
      <w:bookmarkStart w:id="1913" w:name="__RefHeading___Toc2566730_3650668749"/>
      <w:bookmarkStart w:id="1914" w:name="_Toc874"/>
      <w:bookmarkEnd w:id="1913"/>
      <w:r>
        <w:rPr>
          <w:rtl w:val="true"/>
        </w:rPr>
        <w:t>[ (</w:t>
      </w:r>
      <w:r>
        <w:rPr>
          <w:rtl w:val="true"/>
        </w:rPr>
        <w:t xml:space="preserve">مسألة </w:t>
      </w:r>
      <w:r>
        <w:rPr/>
        <w:t>1</w:t>
      </w:r>
      <w:r>
        <w:rPr>
          <w:rtl w:val="true"/>
        </w:rPr>
        <w:t xml:space="preserve">): </w:t>
      </w:r>
      <w:r>
        <w:rPr>
          <w:rtl w:val="true"/>
        </w:rPr>
        <w:t>سبب هذه الصلاة کسوف الشمس و خسوف القمر</w:t>
      </w:r>
      <w:r>
        <w:rPr>
          <w:rtl w:val="true"/>
        </w:rPr>
        <w:t>]</w:t>
      </w:r>
      <w:bookmarkEnd w:id="191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هذه الصلاة کسوف الشمس و خسوف القمر و لو بعضهما و الزلزلة و کلّ آیة مخوفة عند غالب الناس؛ سماویّة کانت کالریح السوداء أو الحمراء أو</w:t>
      </w:r>
      <w:bookmarkStart w:id="1915" w:name="pg1809_19019"/>
    </w:p>
    <w:p>
      <w:pPr>
        <w:pStyle w:val="BookText"/>
        <w:rPr/>
      </w:pPr>
      <w:bookmarkEnd w:id="1915"/>
      <w:r>
        <w:rPr>
          <w:rFonts w:ascii="IRNazanin" w:hAnsi="IRNazanin" w:eastAsia="IRNazanin"/>
          <w:color w:val="111111"/>
          <w:sz w:val="28"/>
          <w:sz w:val="28"/>
          <w:szCs w:val="28"/>
          <w:rtl w:val="true"/>
          <w:lang w:bidi="fa-IR"/>
        </w:rPr>
        <w:t xml:space="preserve">الصفراء الغیر المعتادة و الظلمة الشدیدة و الصیحة و الهدّة و النار التی تظهر فی السماء و غیر ذلک، أو أرضیّة </w:t>
      </w:r>
      <w:r>
        <w:rPr>
          <w:rStyle w:val="FootnoteAnchor"/>
          <w:rtl w:val="true"/>
        </w:rPr>
        <w:footnoteReference w:id="559"/>
      </w:r>
      <w:r>
        <w:rPr>
          <w:rFonts w:ascii="IRNazanin" w:hAnsi="IRNazanin" w:eastAsia="IRNazanin"/>
          <w:color w:val="111111"/>
          <w:sz w:val="28"/>
          <w:sz w:val="28"/>
          <w:szCs w:val="28"/>
          <w:rtl w:val="true"/>
          <w:lang w:bidi="fa-IR"/>
        </w:rPr>
        <w:t>کالخسف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عبرة بغیر المخوف و لا بخوف النادر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یعتبر الخوف فی الکسوفین و الزلزلة، فتجب الصلاة مطلقاً و إن لم یحصل منها خوف</w:t>
      </w:r>
      <w:r>
        <w:rPr>
          <w:rFonts w:eastAsia="IRNazanin" w:cs="IRNazanin"/>
          <w:color w:val="111111"/>
          <w:sz w:val="28"/>
          <w:szCs w:val="28"/>
          <w:rtl w:val="true"/>
          <w:lang w:bidi="fa-IR"/>
        </w:rPr>
        <w:t>.</w:t>
      </w:r>
    </w:p>
    <w:p>
      <w:pPr>
        <w:pStyle w:val="Heading4"/>
        <w:numPr>
          <w:ilvl w:val="3"/>
          <w:numId w:val="1"/>
        </w:numPr>
        <w:rPr/>
      </w:pPr>
      <w:bookmarkStart w:id="1916" w:name="__RefHeading___Toc2566732_3650668749"/>
      <w:bookmarkStart w:id="1917" w:name="_Toc875"/>
      <w:bookmarkEnd w:id="1916"/>
      <w:r>
        <w:rPr>
          <w:rtl w:val="true"/>
        </w:rPr>
        <w:t>[ (</w:t>
      </w:r>
      <w:r>
        <w:rPr>
          <w:rtl w:val="true"/>
        </w:rPr>
        <w:t xml:space="preserve">مسألة </w:t>
      </w:r>
      <w:r>
        <w:rPr/>
        <w:t>2</w:t>
      </w:r>
      <w:r>
        <w:rPr>
          <w:rtl w:val="true"/>
        </w:rPr>
        <w:t xml:space="preserve">): </w:t>
      </w:r>
      <w:r>
        <w:rPr>
          <w:rtl w:val="true"/>
        </w:rPr>
        <w:t>الظاهر أنّ المدار فی کسوف النیّرین صدق اسمه</w:t>
      </w:r>
      <w:r>
        <w:rPr>
          <w:rtl w:val="true"/>
        </w:rPr>
        <w:t>]</w:t>
      </w:r>
      <w:bookmarkEnd w:id="19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المدار فی کسوف النیّرین صدق اسمه و إن لم یستند إلیٰ سببیة المتعارفین؛ من حیلولة الأرض و القمر، فیکفی انکسافهما ببعض الکواکب الأُخر أو بسبب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قلیلًا </w:t>
      </w:r>
      <w:r>
        <w:rPr>
          <w:rStyle w:val="FootnoteAnchor"/>
          <w:rtl w:val="true"/>
        </w:rPr>
        <w:footnoteReference w:id="560"/>
      </w:r>
      <w:r>
        <w:rPr>
          <w:rFonts w:ascii="IRNazanin" w:hAnsi="IRNazanin" w:eastAsia="IRNazanin"/>
          <w:color w:val="111111"/>
          <w:sz w:val="28"/>
          <w:sz w:val="28"/>
          <w:szCs w:val="28"/>
          <w:rtl w:val="true"/>
          <w:lang w:bidi="fa-IR"/>
        </w:rPr>
        <w:t>جدّاً بحیث لا یظهر للحواسّ المتعارفة و إن أدرکته بعض الحواسّ الخارقة أو بواسطة بعض الآلات المصنوعة فالظاهر عدم الاعتبار به و إن کان مستنداً إلیٰ أحد سببیة المتعارفین</w:t>
      </w:r>
      <w:r>
        <w:rPr>
          <w:rFonts w:eastAsia="IRNazanin" w:cs="IRNazanin"/>
          <w:color w:val="111111"/>
          <w:sz w:val="28"/>
          <w:szCs w:val="28"/>
          <w:rtl w:val="true"/>
          <w:lang w:bidi="fa-IR"/>
        </w:rPr>
        <w:t>.</w:t>
      </w:r>
    </w:p>
    <w:p>
      <w:pPr>
        <w:pStyle w:val="Heading4"/>
        <w:numPr>
          <w:ilvl w:val="3"/>
          <w:numId w:val="1"/>
        </w:numPr>
        <w:rPr/>
      </w:pPr>
      <w:bookmarkStart w:id="1918" w:name="__RefHeading___Toc2566734_3650668749"/>
      <w:bookmarkStart w:id="1919" w:name="_Toc876"/>
      <w:bookmarkEnd w:id="1918"/>
      <w:r>
        <w:rPr>
          <w:rtl w:val="true"/>
        </w:rPr>
        <w:t>[ (</w:t>
      </w:r>
      <w:r>
        <w:rPr>
          <w:rtl w:val="true"/>
        </w:rPr>
        <w:t xml:space="preserve">مسألة </w:t>
      </w:r>
      <w:r>
        <w:rPr/>
        <w:t>3</w:t>
      </w:r>
      <w:r>
        <w:rPr>
          <w:rtl w:val="true"/>
        </w:rPr>
        <w:t xml:space="preserve">): </w:t>
      </w:r>
      <w:r>
        <w:rPr>
          <w:rtl w:val="true"/>
        </w:rPr>
        <w:t>وقت أداء صلاة الکسوفین من حین الشروع إلیٰ تمام الانجلاء</w:t>
      </w:r>
      <w:r>
        <w:rPr>
          <w:rtl w:val="true"/>
        </w:rPr>
        <w:t>]</w:t>
      </w:r>
      <w:bookmarkEnd w:id="19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أداء صلاة الکسوفین من حین الشروع إلیٰ تمام الانجلاء، و الأحوط </w:t>
      </w:r>
      <w:r>
        <w:rPr>
          <w:rStyle w:val="FootnoteAnchor"/>
          <w:rtl w:val="true"/>
        </w:rPr>
        <w:footnoteReference w:id="561"/>
      </w:r>
      <w:r>
        <w:rPr>
          <w:rFonts w:ascii="IRNazanin" w:hAnsi="IRNazanin" w:eastAsia="IRNazanin"/>
          <w:color w:val="111111"/>
          <w:sz w:val="28"/>
          <w:sz w:val="28"/>
          <w:szCs w:val="28"/>
          <w:rtl w:val="true"/>
          <w:lang w:bidi="fa-IR"/>
        </w:rPr>
        <w:t>المبادرة إلیها قبل الأخذ فی الانجلاء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أخّر عنه أتی بها لا بنیّة الأداء و القضاء بل بنیّة القربة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الزلزلة و نحوها ممّا لا تسع وقتها الصلاة غالباً کالهدّة و الصیحة فهی من ذوات الأسباب لا الأوقات فتجب حال الآیة، فإن عصیٰ فبعدها طول العمر، و الکلّ أداءٌ</w:t>
      </w:r>
      <w:r>
        <w:rPr>
          <w:rFonts w:eastAsia="IRNazanin" w:cs="IRNazanin"/>
          <w:color w:val="111111"/>
          <w:sz w:val="28"/>
          <w:szCs w:val="28"/>
          <w:rtl w:val="true"/>
          <w:lang w:bidi="fa-IR"/>
        </w:rPr>
        <w:t>.</w:t>
      </w:r>
    </w:p>
    <w:p>
      <w:pPr>
        <w:pStyle w:val="Heading4"/>
        <w:numPr>
          <w:ilvl w:val="3"/>
          <w:numId w:val="1"/>
        </w:numPr>
        <w:rPr/>
      </w:pPr>
      <w:bookmarkStart w:id="1920" w:name="__RefHeading___Toc2566736_3650668749"/>
      <w:bookmarkStart w:id="1921" w:name="_Toc877"/>
      <w:bookmarkEnd w:id="1920"/>
      <w:r>
        <w:rPr>
          <w:rtl w:val="true"/>
        </w:rPr>
        <w:t>[ (</w:t>
      </w:r>
      <w:r>
        <w:rPr>
          <w:rtl w:val="true"/>
        </w:rPr>
        <w:t xml:space="preserve">مسألة </w:t>
      </w:r>
      <w:r>
        <w:rPr/>
        <w:t>4</w:t>
      </w:r>
      <w:r>
        <w:rPr>
          <w:rtl w:val="true"/>
        </w:rPr>
        <w:t xml:space="preserve">): </w:t>
      </w:r>
      <w:r>
        <w:rPr>
          <w:rtl w:val="true"/>
        </w:rPr>
        <w:t>یختصّ الوجوب بمن فی بلد الآیة</w:t>
      </w:r>
      <w:r>
        <w:rPr>
          <w:rtl w:val="true"/>
        </w:rPr>
        <w:t>]</w:t>
      </w:r>
      <w:bookmarkEnd w:id="19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الوجوب بمن فی بلد الآیة فلا تجب علیٰ غیرهم، نعم یقویٰ إلحاق المتّصل بذلک المکان ممّا یعدّ معه کالمکان الواحد</w:t>
      </w:r>
      <w:r>
        <w:rPr>
          <w:rFonts w:eastAsia="IRNazanin" w:cs="IRNazanin"/>
          <w:color w:val="111111"/>
          <w:sz w:val="28"/>
          <w:szCs w:val="28"/>
          <w:rtl w:val="true"/>
          <w:lang w:bidi="fa-IR"/>
        </w:rPr>
        <w:t>.</w:t>
      </w:r>
    </w:p>
    <w:p>
      <w:pPr>
        <w:pStyle w:val="Heading4"/>
        <w:numPr>
          <w:ilvl w:val="3"/>
          <w:numId w:val="1"/>
        </w:numPr>
        <w:rPr/>
      </w:pPr>
      <w:bookmarkStart w:id="1922" w:name="__RefHeading___Toc2566738_3650668749"/>
      <w:bookmarkStart w:id="1923" w:name="_Toc878"/>
      <w:bookmarkEnd w:id="1922"/>
      <w:r>
        <w:rPr>
          <w:rtl w:val="true"/>
        </w:rPr>
        <w:t>[ (</w:t>
      </w:r>
      <w:r>
        <w:rPr>
          <w:rtl w:val="true"/>
        </w:rPr>
        <w:t xml:space="preserve">مسألة </w:t>
      </w:r>
      <w:r>
        <w:rPr/>
        <w:t>5</w:t>
      </w:r>
      <w:r>
        <w:rPr>
          <w:rtl w:val="true"/>
        </w:rPr>
        <w:t xml:space="preserve">): </w:t>
      </w:r>
      <w:r>
        <w:rPr>
          <w:rtl w:val="true"/>
        </w:rPr>
        <w:t>تثبت الآیة و کذا وقتها و مقدار مکثها بالعلم</w:t>
      </w:r>
      <w:r>
        <w:rPr>
          <w:rtl w:val="true"/>
        </w:rPr>
        <w:t>]</w:t>
      </w:r>
      <w:bookmarkEnd w:id="19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الآیة و کذا وقتها و مقدار مکثها بالعلم، و شهادة العدلین بل و بالعدل </w:t>
      </w:r>
      <w:r>
        <w:rPr>
          <w:rStyle w:val="FootnoteAnchor"/>
          <w:rtl w:val="true"/>
        </w:rPr>
        <w:footnoteReference w:id="562"/>
      </w:r>
      <w:r>
        <w:rPr>
          <w:rFonts w:ascii="IRNazanin" w:hAnsi="IRNazanin" w:eastAsia="IRNazanin"/>
          <w:color w:val="111111"/>
          <w:sz w:val="28"/>
          <w:sz w:val="28"/>
          <w:szCs w:val="28"/>
          <w:rtl w:val="true"/>
          <w:lang w:bidi="fa-IR"/>
        </w:rPr>
        <w:t>الواحد، و إخبار الرصدی الذی یطمئنّ بصدقه أیضاً علی الأحوط لو لم یکن الأقویٰ</w:t>
      </w:r>
      <w:r>
        <w:rPr>
          <w:rFonts w:eastAsia="IRNazanin" w:cs="IRNazanin"/>
          <w:color w:val="111111"/>
          <w:sz w:val="28"/>
          <w:szCs w:val="28"/>
          <w:rtl w:val="true"/>
          <w:lang w:bidi="fa-IR"/>
        </w:rPr>
        <w:t>.</w:t>
      </w:r>
    </w:p>
    <w:p>
      <w:pPr>
        <w:pStyle w:val="Heading4"/>
        <w:numPr>
          <w:ilvl w:val="3"/>
          <w:numId w:val="1"/>
        </w:numPr>
        <w:rPr/>
      </w:pPr>
      <w:bookmarkStart w:id="1924" w:name="__RefHeading___Toc2566740_3650668749"/>
      <w:bookmarkStart w:id="1925" w:name="_Toc879"/>
      <w:bookmarkEnd w:id="1924"/>
      <w:r>
        <w:rPr>
          <w:rtl w:val="true"/>
        </w:rPr>
        <w:t>[ (</w:t>
      </w:r>
      <w:r>
        <w:rPr>
          <w:rtl w:val="true"/>
        </w:rPr>
        <w:t xml:space="preserve">مسألة </w:t>
      </w:r>
      <w:r>
        <w:rPr/>
        <w:t>6</w:t>
      </w:r>
      <w:r>
        <w:rPr>
          <w:rtl w:val="true"/>
        </w:rPr>
        <w:t xml:space="preserve">): </w:t>
      </w:r>
      <w:r>
        <w:rPr>
          <w:rtl w:val="true"/>
        </w:rPr>
        <w:t>تجب هذه الصلاة علیٰ کلّ مکلّف</w:t>
      </w:r>
      <w:r>
        <w:rPr>
          <w:rtl w:val="true"/>
        </w:rPr>
        <w:t>]</w:t>
      </w:r>
      <w:bookmarkEnd w:id="192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هذه الصلاة علیٰ کلّ مکلّف، و فی سقوطها عن الحائض و النفساء</w:t>
      </w:r>
      <w:bookmarkStart w:id="1926" w:name="pg1809_19021"/>
    </w:p>
    <w:p>
      <w:pPr>
        <w:pStyle w:val="BookText"/>
        <w:rPr/>
      </w:pPr>
      <w:bookmarkEnd w:id="1926"/>
      <w:r>
        <w:rPr>
          <w:rFonts w:ascii="IRNazanin" w:hAnsi="IRNazanin" w:eastAsia="IRNazanin"/>
          <w:color w:val="111111"/>
          <w:sz w:val="28"/>
          <w:sz w:val="28"/>
          <w:szCs w:val="28"/>
          <w:rtl w:val="true"/>
          <w:lang w:bidi="fa-IR"/>
        </w:rPr>
        <w:t xml:space="preserve">کالیومیّة إشکال </w:t>
      </w:r>
      <w:r>
        <w:rPr>
          <w:rStyle w:val="FootnoteAnchor"/>
          <w:rtl w:val="true"/>
        </w:rPr>
        <w:footnoteReference w:id="563"/>
      </w:r>
      <w:r>
        <w:rPr>
          <w:rFonts w:ascii="IRNazanin" w:hAnsi="IRNazanin" w:eastAsia="IRNazanin"/>
          <w:color w:val="111111"/>
          <w:sz w:val="28"/>
          <w:sz w:val="28"/>
          <w:szCs w:val="28"/>
          <w:rtl w:val="true"/>
          <w:lang w:bidi="fa-IR"/>
        </w:rPr>
        <w:t>، فلا یترک الاحتیاط بقضاء ذات الوقت کالکسوفین و أداء غیرها بعد الطهر</w:t>
      </w:r>
      <w:r>
        <w:rPr>
          <w:rFonts w:eastAsia="IRNazanin" w:cs="IRNazanin"/>
          <w:color w:val="111111"/>
          <w:sz w:val="28"/>
          <w:szCs w:val="28"/>
          <w:rtl w:val="true"/>
          <w:lang w:bidi="fa-IR"/>
        </w:rPr>
        <w:t>.</w:t>
      </w:r>
    </w:p>
    <w:p>
      <w:pPr>
        <w:pStyle w:val="Heading4"/>
        <w:numPr>
          <w:ilvl w:val="3"/>
          <w:numId w:val="1"/>
        </w:numPr>
        <w:rPr/>
      </w:pPr>
      <w:bookmarkStart w:id="1927" w:name="__RefHeading___Toc2566742_3650668749"/>
      <w:bookmarkStart w:id="1928" w:name="_Toc880"/>
      <w:bookmarkEnd w:id="1927"/>
      <w:r>
        <w:rPr>
          <w:rtl w:val="true"/>
        </w:rPr>
        <w:t>[ (</w:t>
      </w:r>
      <w:r>
        <w:rPr>
          <w:rtl w:val="true"/>
        </w:rPr>
        <w:t xml:space="preserve">مسألة </w:t>
      </w:r>
      <w:r>
        <w:rPr/>
        <w:t>7</w:t>
      </w:r>
      <w:r>
        <w:rPr>
          <w:rtl w:val="true"/>
        </w:rPr>
        <w:t xml:space="preserve">): </w:t>
      </w:r>
      <w:r>
        <w:rPr>
          <w:rtl w:val="true"/>
        </w:rPr>
        <w:t>من لم یعلم بالکسوف حتّی خرج الوقت الذی هو تمام الانجلاء و لم یحترق جمیع القرص</w:t>
      </w:r>
      <w:r>
        <w:rPr>
          <w:rtl w:val="true"/>
        </w:rPr>
        <w:t>]</w:t>
      </w:r>
      <w:bookmarkEnd w:id="19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یعلم بالکسوف حتّی خرج الوقت الذی هو تمام الانجلاء و لم یحترق جمیع القرص لم یجب علیه القضاء، أمّا إذا علم و أهمل و لو نسیاناً أو احترق جمیع القرص وجب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سائر الآیات فمع التأخیر متعمّداً أو لأجل النسیان یجب الإتیان بها ما دام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لم یعلم بها حتّی مضی الزمان المتّصل بالآیة ففی وجوب الصلاة بعد العلم بها إشکال </w:t>
      </w:r>
      <w:r>
        <w:rPr>
          <w:rStyle w:val="FootnoteAnchor"/>
          <w:rtl w:val="true"/>
        </w:rPr>
        <w:footnoteReference w:id="564"/>
      </w:r>
      <w:r>
        <w:rPr>
          <w:rFonts w:ascii="IRNazanin" w:hAnsi="IRNazanin" w:eastAsia="IRNazanin"/>
          <w:color w:val="111111"/>
          <w:sz w:val="28"/>
          <w:sz w:val="28"/>
          <w:szCs w:val="28"/>
          <w:rtl w:val="true"/>
          <w:lang w:bidi="fa-IR"/>
        </w:rPr>
        <w:t>، فلا یترک الاحتیاط</w:t>
      </w:r>
      <w:r>
        <w:rPr>
          <w:rFonts w:eastAsia="IRNazanin" w:cs="IRNazanin"/>
          <w:color w:val="111111"/>
          <w:sz w:val="28"/>
          <w:szCs w:val="28"/>
          <w:rtl w:val="true"/>
          <w:lang w:bidi="fa-IR"/>
        </w:rPr>
        <w:t>.</w:t>
      </w:r>
    </w:p>
    <w:p>
      <w:pPr>
        <w:pStyle w:val="Heading4"/>
        <w:numPr>
          <w:ilvl w:val="3"/>
          <w:numId w:val="1"/>
        </w:numPr>
        <w:rPr/>
      </w:pPr>
      <w:bookmarkStart w:id="1929" w:name="__RefHeading___Toc2566744_3650668749"/>
      <w:bookmarkStart w:id="1930" w:name="_Toc881"/>
      <w:bookmarkEnd w:id="1929"/>
      <w:r>
        <w:rPr>
          <w:rtl w:val="true"/>
        </w:rPr>
        <w:t>[ (</w:t>
      </w:r>
      <w:r>
        <w:rPr>
          <w:rtl w:val="true"/>
        </w:rPr>
        <w:t xml:space="preserve">مسألة </w:t>
      </w:r>
      <w:r>
        <w:rPr/>
        <w:t>8</w:t>
      </w:r>
      <w:r>
        <w:rPr>
          <w:rtl w:val="true"/>
        </w:rPr>
        <w:t xml:space="preserve">): </w:t>
      </w:r>
      <w:r>
        <w:rPr>
          <w:rtl w:val="true"/>
        </w:rPr>
        <w:t>إذا أخبر جماعة غیر عدول بالکسوف</w:t>
      </w:r>
      <w:r>
        <w:rPr>
          <w:rtl w:val="true"/>
        </w:rPr>
        <w:t>]</w:t>
      </w:r>
      <w:bookmarkEnd w:id="19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 جماعة غیر عدول بالکسوف و لم یحصل له العلم بصدقهم و بعد مضیّ الوقت تبیّن صدقهم فالظاهر إلحاقه بالجهل، فلا یجب القضاء مع عدم احتراق القرص، و کذا لو أخبر شاهدان و لم یعلم عدالتهما ثمّ ثبتت عدالتهما بعد الوقت، لکن الأحوط القضاء خصوصاً فی الصورة الثانیة، بل لا یترک فیها</w:t>
      </w:r>
      <w:r>
        <w:rPr>
          <w:rFonts w:eastAsia="IRNazanin" w:cs="IRNazanin"/>
          <w:color w:val="111111"/>
          <w:sz w:val="28"/>
          <w:szCs w:val="28"/>
          <w:rtl w:val="true"/>
          <w:lang w:bidi="fa-IR"/>
        </w:rPr>
        <w:t>.</w:t>
      </w:r>
    </w:p>
    <w:p>
      <w:pPr>
        <w:pStyle w:val="Heading4"/>
        <w:numPr>
          <w:ilvl w:val="3"/>
          <w:numId w:val="1"/>
        </w:numPr>
        <w:rPr/>
      </w:pPr>
      <w:bookmarkStart w:id="1931" w:name="__RefHeading___Toc2566746_3650668749"/>
      <w:bookmarkStart w:id="1932" w:name="_Toc882"/>
      <w:bookmarkEnd w:id="1931"/>
      <w:r>
        <w:rPr>
          <w:rtl w:val="true"/>
        </w:rPr>
        <w:t>[ (</w:t>
      </w:r>
      <w:r>
        <w:rPr>
          <w:rtl w:val="true"/>
        </w:rPr>
        <w:t xml:space="preserve">مسألة </w:t>
      </w:r>
      <w:r>
        <w:rPr/>
        <w:t>9</w:t>
      </w:r>
      <w:r>
        <w:rPr>
          <w:rtl w:val="true"/>
        </w:rPr>
        <w:t xml:space="preserve">): </w:t>
      </w:r>
      <w:r>
        <w:rPr>
          <w:rtl w:val="true"/>
        </w:rPr>
        <w:t>صلاة الآیات رکعتان فی کلّ واحدة منهما خمس رکوعات</w:t>
      </w:r>
      <w:r>
        <w:rPr>
          <w:rtl w:val="true"/>
        </w:rPr>
        <w:t>]</w:t>
      </w:r>
      <w:bookmarkEnd w:id="193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الآیات رکعتان فی کلّ واحدة منهما خمس رکوعات، فیکون المجموع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یحرم مقارناً للنیّة کما فی الفریضة، ثمّ یقرأ الحمد و السورة، ثمّ یرکع، ثمّ یرفع رأسه، ثمّ یقرأ الحمد و السورة، ثمّ یرکع، ثمّ یرفع رأسه و هکذا حتّی یتمّ خمساً علیٰ هذا الترتیب، ثمّ یسجد سجدتین بعد رفع رأسه من الرکوع الخامس، ثمّ یقوم و یفعل ثانیاً کما فعل أوّلًا، ثمّ یتشهّد و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السورة بین کونها متّحدة فی الجمیع أو متغایرة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تفریق سورة کاملة علی الرکوعات الخمسة من کلّ رکعة فیقرأ بعد تکبیرة الإحرام الفاتحة، ثمّ یقرأ بعدها آیة من سورة أو أقلّ أو أکثر، ثمّ یرکع، ثمّ یرفع رأسه و یقرأ بعضاً آخر من تلک السورة متّصلًا بما قرأه منها أوّلًا ثمّ یرکع، ثمّ یرفع رأسه و یقرأ بعضاً آخر منها کذلک، و هکذا إلی الرکوع الخامس حتّی یتمّ سورة، ثمّ یرکع، ثمّ یسجد، ثمّ یقوم إلی الثانیة و یصنع کما صنع فی الرکعة الأُولیٰ، فیکون فی کلّ رکعة الفاتحة مرّة مع سورة تامّة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الاقتصار علیٰ بعض</w:t>
      </w:r>
      <w:bookmarkStart w:id="1933" w:name="pg1809_19023"/>
    </w:p>
    <w:p>
      <w:pPr>
        <w:pStyle w:val="BookText"/>
        <w:rPr/>
      </w:pPr>
      <w:bookmarkEnd w:id="1933"/>
      <w:r>
        <w:rPr>
          <w:rFonts w:ascii="IRNazanin" w:hAnsi="IRNazanin" w:eastAsia="IRNazanin"/>
          <w:color w:val="111111"/>
          <w:sz w:val="28"/>
          <w:sz w:val="28"/>
          <w:szCs w:val="28"/>
          <w:rtl w:val="true"/>
          <w:lang w:bidi="fa-IR"/>
        </w:rPr>
        <w:t>سورة فی تمام الرکعة، کما أنّه فی صورة تفریق السورة علی الرکوعات لا یشرع الفاتحة إلّا مرّة واحدة فی القیام الأوّل بعد التکبیرة إلّا إذا أکمل السورة فی القیام الثانی أو الثالث مثلًا فإنّه یجب علیه فی القیام اللاحق بعد الرکوع قراءة الفاتحة ثمّ سورة أو بعضها، و هکذا کلّما رکع عن تمام سورة وجبت الفاتحة فی القیام منه بخلاف ما لو رکع عن بعضها فإنّه یقرأ من حیث قطع و لا یعید الحمد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رکع الرکوع الخامس عن بعض سورة فسجد ثمّ قام للثانیة فالأقویٰ </w:t>
      </w:r>
      <w:r>
        <w:rPr>
          <w:rStyle w:val="FootnoteAnchor"/>
          <w:rtl w:val="true"/>
        </w:rPr>
        <w:footnoteReference w:id="565"/>
      </w:r>
      <w:r>
        <w:rPr>
          <w:rFonts w:ascii="IRNazanin" w:hAnsi="IRNazanin" w:eastAsia="IRNazanin"/>
          <w:color w:val="111111"/>
          <w:sz w:val="28"/>
          <w:sz w:val="28"/>
          <w:szCs w:val="28"/>
          <w:rtl w:val="true"/>
          <w:lang w:bidi="fa-IR"/>
        </w:rPr>
        <w:t>وجوب الفاتحة ثمّ القراءة من حیث قطع</w:t>
      </w:r>
      <w:r>
        <w:rPr>
          <w:rFonts w:eastAsia="IRNazanin" w:cs="IRNazanin"/>
          <w:color w:val="111111"/>
          <w:sz w:val="28"/>
          <w:szCs w:val="28"/>
          <w:rtl w:val="true"/>
          <w:lang w:bidi="fa-IR"/>
        </w:rPr>
        <w:t>.</w:t>
      </w:r>
    </w:p>
    <w:p>
      <w:pPr>
        <w:pStyle w:val="Heading4"/>
        <w:numPr>
          <w:ilvl w:val="3"/>
          <w:numId w:val="1"/>
        </w:numPr>
        <w:rPr/>
      </w:pPr>
      <w:bookmarkStart w:id="1934" w:name="__RefHeading___Toc2566748_3650668749"/>
      <w:bookmarkStart w:id="1935" w:name="_Toc883"/>
      <w:bookmarkEnd w:id="1934"/>
      <w:r>
        <w:rPr>
          <w:rtl w:val="true"/>
        </w:rPr>
        <w:t>[ (</w:t>
      </w:r>
      <w:r>
        <w:rPr>
          <w:rtl w:val="true"/>
        </w:rPr>
        <w:t xml:space="preserve">مسألة </w:t>
      </w:r>
      <w:r>
        <w:rPr/>
        <w:t>10</w:t>
      </w:r>
      <w:r>
        <w:rPr>
          <w:rtl w:val="true"/>
        </w:rPr>
        <w:t xml:space="preserve">): </w:t>
      </w:r>
      <w:r>
        <w:rPr>
          <w:rtl w:val="true"/>
        </w:rPr>
        <w:t>یعتبر فی الصلاة هاهنا ما یعتبر فی الفریضة من الشرائط و غیرها</w:t>
      </w:r>
      <w:r>
        <w:rPr>
          <w:rtl w:val="true"/>
        </w:rPr>
        <w:t>]</w:t>
      </w:r>
      <w:bookmarkEnd w:id="19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الصلاة هاهنا ما یعتبر فی الفریضة من الشرائط و غیرها من حیث اتّحادها معها فی جمیع ما عرفته و تعرفه؛ من واجب و ندب فی القیام و القعود و الرکوع و السجود و فی الشرائط و أحکام السهو و الشکّ فی الزیادة و النقیصة بالنسبة إلی الرکعات و غیرها، فلو شکّ فی عدد رکعاتها بطلت کما فی کلّ فریضة ثنائیّة؛ فإنّها منها و إن اشتملت رکعتها علیٰ خمس رکوعات، و لو نقص رکوعاً منها أو زاده عمداً أو سهواً بطلت صلاته لأنّها أرکان، و کذا القیام المتّصل بها علیٰ نحو ما تقدّم فی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فی رکوعها فکالفریضة أیضاً یأتی به ما دام فی المحلّ و یمضی إن خرج عنه، و لا تبطل صلاته بذلک إلّا إذا بان له بعد ذلک النقصان أو رجع الشکّ فی ذلک إلی الشکّ فی الرکعات، کما إذا لم یعلم أنّه الخامس فیکون آخر الرکعة الأُولیٰ أو السادس فیکون أوّل الرکعة الثانیة</w:t>
      </w:r>
      <w:r>
        <w:rPr>
          <w:rFonts w:eastAsia="IRNazanin" w:cs="IRNazanin"/>
          <w:color w:val="111111"/>
          <w:sz w:val="28"/>
          <w:szCs w:val="28"/>
          <w:rtl w:val="true"/>
          <w:lang w:bidi="fa-IR"/>
        </w:rPr>
        <w:t>.</w:t>
      </w:r>
    </w:p>
    <w:p>
      <w:pPr>
        <w:pStyle w:val="Heading4"/>
        <w:numPr>
          <w:ilvl w:val="3"/>
          <w:numId w:val="1"/>
        </w:numPr>
        <w:rPr/>
      </w:pPr>
      <w:bookmarkStart w:id="1936" w:name="__RefHeading___Toc2566750_3650668749"/>
      <w:bookmarkStart w:id="1937" w:name="_Toc884"/>
      <w:bookmarkEnd w:id="1936"/>
      <w:r>
        <w:rPr>
          <w:rtl w:val="true"/>
        </w:rPr>
        <w:t>[ (</w:t>
      </w:r>
      <w:r>
        <w:rPr>
          <w:rtl w:val="true"/>
        </w:rPr>
        <w:t xml:space="preserve">مسألة </w:t>
      </w:r>
      <w:r>
        <w:rPr/>
        <w:t>11</w:t>
      </w:r>
      <w:r>
        <w:rPr>
          <w:rtl w:val="true"/>
        </w:rPr>
        <w:t xml:space="preserve">): </w:t>
      </w:r>
      <w:r>
        <w:rPr>
          <w:rtl w:val="true"/>
        </w:rPr>
        <w:t>یستحبّ فیها الجهر بالقراءة لیلًا أو نهاراً</w:t>
      </w:r>
      <w:r>
        <w:rPr>
          <w:rtl w:val="true"/>
        </w:rPr>
        <w:t>]</w:t>
      </w:r>
      <w:bookmarkEnd w:id="193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فیها الجهر بالقراءة لیلًا أو نهاراً حتّی صلاة کسوف الشمس، و أن یکبّر عند کلّ هویّ للرکوع و کلّ رفع منه إلّا فی الرفع من الخامس و العاشر، فإنّه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فیها التطویل خصوصاً فی کسوف الشمس و قراءة السور الطوال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و إکمال السورة فی کلّ قیام، و أن یجلس فی مصلّاه مشتغلًا بالدعاء و الذکر إلیٰ تمام الانجلاء أو یعید الصلاة إذا فرغ من الصلاة قبل تمام الانجلاء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فیها أیضاً فی کلّ قیام ثان بعد القراءة قنوت، فیکون فی مجموع الرکعتین خمس قنوتات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الاجتزاء بقنوتین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قبل الرکوع </w:t>
      </w:r>
      <w:r>
        <w:rPr>
          <w:rStyle w:val="FootnoteAnchor"/>
          <w:rtl w:val="true"/>
        </w:rPr>
        <w:footnoteReference w:id="566"/>
      </w:r>
      <w:r>
        <w:rPr>
          <w:rFonts w:ascii="IRNazanin" w:hAnsi="IRNazanin" w:eastAsia="IRNazanin"/>
          <w:color w:val="111111"/>
          <w:sz w:val="28"/>
          <w:sz w:val="28"/>
          <w:szCs w:val="28"/>
          <w:rtl w:val="true"/>
          <w:lang w:bidi="fa-IR"/>
        </w:rPr>
        <w:t>الخامس و الثانی قبل العاشر، و یجوز الاقتصار علی الأخیر منها</w:t>
      </w:r>
      <w:r>
        <w:rPr>
          <w:rFonts w:eastAsia="IRNazanin" w:cs="IRNazanin"/>
          <w:color w:val="111111"/>
          <w:sz w:val="28"/>
          <w:szCs w:val="28"/>
          <w:rtl w:val="true"/>
          <w:lang w:bidi="fa-IR"/>
        </w:rPr>
        <w:t>.</w:t>
      </w:r>
      <w:bookmarkStart w:id="1938" w:name="pg1809_19025"/>
    </w:p>
    <w:p>
      <w:pPr>
        <w:pStyle w:val="Heading4"/>
        <w:numPr>
          <w:ilvl w:val="3"/>
          <w:numId w:val="1"/>
        </w:numPr>
        <w:rPr/>
      </w:pPr>
      <w:bookmarkStart w:id="1939" w:name="__RefHeading___Toc2566752_3650668749"/>
      <w:bookmarkStart w:id="1940" w:name="_Toc885"/>
      <w:bookmarkEnd w:id="1938"/>
      <w:bookmarkEnd w:id="1939"/>
      <w:r>
        <w:rPr>
          <w:rtl w:val="true"/>
        </w:rPr>
        <w:t>[ (</w:t>
      </w:r>
      <w:r>
        <w:rPr>
          <w:rtl w:val="true"/>
        </w:rPr>
        <w:t xml:space="preserve">مسألة </w:t>
      </w:r>
      <w:r>
        <w:rPr/>
        <w:t>12</w:t>
      </w:r>
      <w:r>
        <w:rPr>
          <w:rtl w:val="true"/>
        </w:rPr>
        <w:t xml:space="preserve">): </w:t>
      </w:r>
      <w:r>
        <w:rPr>
          <w:rtl w:val="true"/>
        </w:rPr>
        <w:t>یستحبّ فیها الجماعة</w:t>
      </w:r>
      <w:r>
        <w:rPr>
          <w:rtl w:val="true"/>
        </w:rPr>
        <w:t>]</w:t>
      </w:r>
      <w:bookmarkEnd w:id="19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فیها الجماعة، و یتحمّل فیها الإمام عن المأموم القراءة خاصّة کما فی الیومیّة دون غیرها من الأفعال و الأقوال، و الأحوط للمأموم الدخول فی الجماعة قبل الرکوع الأوّل أو فیه من الرکعة الأُولیٰ أو الثانیة حتّی ینتظم صلاته</w:t>
      </w:r>
      <w:r>
        <w:rPr>
          <w:rFonts w:eastAsia="IRNazanin" w:cs="IRNazanin"/>
          <w:color w:val="111111"/>
          <w:sz w:val="28"/>
          <w:szCs w:val="28"/>
          <w:rtl w:val="true"/>
          <w:lang w:bidi="fa-IR"/>
        </w:rPr>
        <w:t>.</w:t>
      </w:r>
    </w:p>
    <w:p>
      <w:pPr>
        <w:pStyle w:val="Heading3"/>
        <w:numPr>
          <w:ilvl w:val="2"/>
          <w:numId w:val="1"/>
        </w:numPr>
        <w:rPr/>
      </w:pPr>
      <w:bookmarkStart w:id="1941" w:name="__RefHeading___Toc2566754_3650668749"/>
      <w:bookmarkStart w:id="1942" w:name="_Toc886"/>
      <w:bookmarkEnd w:id="1941"/>
      <w:r>
        <w:rPr>
          <w:rtl w:val="true"/>
        </w:rPr>
        <w:t>[</w:t>
      </w:r>
      <w:r>
        <w:rPr>
          <w:rtl w:val="true"/>
        </w:rPr>
        <w:t>القول فی الخلل الواقع فی الصلاة</w:t>
      </w:r>
      <w:r>
        <w:rPr>
          <w:rtl w:val="true"/>
        </w:rPr>
        <w:t>]</w:t>
      </w:r>
      <w:bookmarkEnd w:id="1942"/>
    </w:p>
    <w:p>
      <w:pPr>
        <w:pStyle w:val="Heading4"/>
        <w:numPr>
          <w:ilvl w:val="3"/>
          <w:numId w:val="1"/>
        </w:numPr>
        <w:rPr/>
      </w:pPr>
      <w:bookmarkStart w:id="1943" w:name="__RefHeading___Toc2566756_3650668749"/>
      <w:bookmarkStart w:id="1944" w:name="_Toc887"/>
      <w:bookmarkEnd w:id="1943"/>
      <w:r>
        <w:rPr>
          <w:rtl w:val="true"/>
        </w:rPr>
        <w:t>اشارة</w:t>
      </w:r>
      <w:bookmarkEnd w:id="1944"/>
    </w:p>
    <w:p>
      <w:pPr>
        <w:pStyle w:val="BookText"/>
        <w:rPr/>
      </w:pPr>
      <w:r>
        <w:rPr>
          <w:rFonts w:ascii="IRNazanin" w:hAnsi="IRNazanin" w:eastAsia="IRNazanin"/>
          <w:color w:val="111111"/>
          <w:sz w:val="28"/>
          <w:sz w:val="28"/>
          <w:szCs w:val="28"/>
          <w:rtl w:val="true"/>
          <w:lang w:bidi="fa-IR"/>
        </w:rPr>
        <w:t>القول فی الخلل الواقع فی الصلاة</w:t>
      </w:r>
    </w:p>
    <w:p>
      <w:pPr>
        <w:pStyle w:val="Heading4"/>
        <w:numPr>
          <w:ilvl w:val="3"/>
          <w:numId w:val="1"/>
        </w:numPr>
        <w:rPr/>
      </w:pPr>
      <w:bookmarkStart w:id="1945" w:name="__RefHeading___Toc2566758_3650668749"/>
      <w:bookmarkStart w:id="1946" w:name="_Toc888"/>
      <w:bookmarkEnd w:id="1945"/>
      <w:r>
        <w:rPr>
          <w:rtl w:val="true"/>
        </w:rPr>
        <w:t>[</w:t>
      </w:r>
      <w:r>
        <w:rPr>
          <w:rtl w:val="true"/>
        </w:rPr>
        <w:t>مسائل</w:t>
      </w:r>
      <w:r>
        <w:rPr>
          <w:rtl w:val="true"/>
        </w:rPr>
        <w:t>]</w:t>
      </w:r>
      <w:bookmarkEnd w:id="1946"/>
    </w:p>
    <w:p>
      <w:pPr>
        <w:pStyle w:val="Heading5"/>
        <w:numPr>
          <w:ilvl w:val="4"/>
          <w:numId w:val="1"/>
        </w:numPr>
        <w:rPr/>
      </w:pPr>
      <w:bookmarkStart w:id="1947" w:name="__RefHeading___Toc2566760_3650668749"/>
      <w:bookmarkStart w:id="1948" w:name="_Toc889"/>
      <w:bookmarkEnd w:id="1947"/>
      <w:r>
        <w:rPr>
          <w:rtl w:val="true"/>
        </w:rPr>
        <w:t>[ (</w:t>
      </w:r>
      <w:r>
        <w:rPr>
          <w:rtl w:val="true"/>
        </w:rPr>
        <w:t xml:space="preserve">مسألة </w:t>
      </w:r>
      <w:r>
        <w:rPr/>
        <w:t>1</w:t>
      </w:r>
      <w:r>
        <w:rPr>
          <w:rtl w:val="true"/>
        </w:rPr>
        <w:t xml:space="preserve">): </w:t>
      </w:r>
      <w:r>
        <w:rPr>
          <w:rtl w:val="true"/>
        </w:rPr>
        <w:t>من أخلّ بالطهارة من الحدث بطلت صلاته مع العمد و السهو و العلم و الجهل</w:t>
      </w:r>
      <w:r>
        <w:rPr>
          <w:rtl w:val="true"/>
        </w:rPr>
        <w:t>]</w:t>
      </w:r>
      <w:bookmarkEnd w:id="19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 بالطهارة من الحدث بطلت صلاته مع العمد و السهو و العلم و الجهل، بخلاف الطهارة من الخبث، فإنّک قد عرفت تفصیل الحال فیها، کما عرفت تفصیل الحال فی غیرها من الشرائط، کالوقت و الاستقبال و الستر و غیرها فی محالّها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أخلّ بشی‌ء من واجبات صلاته عمداً بطلت صلاته و لو حرکة من قراءتها و أذکارها الواجبة کما عرفته سابقاً، و کذا من زاد فیها جزءً متعمّداً؛ قولًا أو فعلًا، من غیر فرق بین کونه رکناً أو غیره، بل و لا بین کونه موافقاً لأجزاء الصلاة أو مخالفاً لها، و إن کان الحکم فی المخالف بل و فی غیر الجزء الرکنی لا یخلو من تأمّل و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 تحقّق الزیادة فی غیر الأرکان الإتیان بالشی‌ء بعنوان أنّه من الصلاة أو أجزائها، فلیس منها الإتیان بالقراءة و الذکر و الدعاء فی أثنائها إذا لم یأت بها بعنوان أنّها منها، فلا بأس بها ما لم یحصل بها المحو للصورة، کما لا بأس بتخلّل الأفعال المباحة الخارجیّة کحکّ الجسد و نحوه إذا لم یکن مفوّتاً للموالاة أو ماحیاً للصورة کما عرفت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الزیادة السهویة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زاد رکعة أو رکناً من رکوع أو سجدتین من رکعة أو تکبیرة الإحرام سهواً بطلت صلاته علیٰ إشکال 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زیادة القیام الرکنی فلا تتحقّق إلّا مع زیادة الرکوع أو تکبیرة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النیّة فبناءً علیٰ أنّها الداعی لا یتصوّر زیادتها، و علی القول بالإخطار لا تضرّ زیادتها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زیادة غیر الأرکان سهواً فلا تبطل الصلاة و إن أوجبت سجدتی السهو علی الأحوط کما سیأتی</w:t>
      </w:r>
      <w:r>
        <w:rPr>
          <w:rFonts w:eastAsia="IRNazanin" w:cs="IRNazanin"/>
          <w:color w:val="111111"/>
          <w:sz w:val="28"/>
          <w:szCs w:val="28"/>
          <w:rtl w:val="true"/>
          <w:lang w:bidi="fa-IR"/>
        </w:rPr>
        <w:t>.</w:t>
      </w:r>
    </w:p>
    <w:p>
      <w:pPr>
        <w:pStyle w:val="Heading5"/>
        <w:numPr>
          <w:ilvl w:val="4"/>
          <w:numId w:val="1"/>
        </w:numPr>
        <w:rPr/>
      </w:pPr>
      <w:bookmarkStart w:id="1949" w:name="__RefHeading___Toc2566762_3650668749"/>
      <w:bookmarkStart w:id="1950" w:name="_Toc890"/>
      <w:bookmarkEnd w:id="1949"/>
      <w:r>
        <w:rPr>
          <w:rtl w:val="true"/>
        </w:rPr>
        <w:t>[ (</w:t>
      </w:r>
      <w:r>
        <w:rPr>
          <w:rtl w:val="true"/>
        </w:rPr>
        <w:t xml:space="preserve">مسألة </w:t>
      </w:r>
      <w:r>
        <w:rPr/>
        <w:t>2</w:t>
      </w:r>
      <w:r>
        <w:rPr>
          <w:rtl w:val="true"/>
        </w:rPr>
        <w:t xml:space="preserve">): </w:t>
      </w:r>
      <w:r>
        <w:rPr>
          <w:rtl w:val="true"/>
        </w:rPr>
        <w:t>من نقص شیئاً من واجبات صلاته سهواً و لم یذکره إلّا بعد تجاوز محلّه</w:t>
      </w:r>
      <w:r>
        <w:rPr>
          <w:rtl w:val="true"/>
        </w:rPr>
        <w:t>]</w:t>
      </w:r>
      <w:bookmarkEnd w:id="195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نقص شیئاً من واجبات صلاته سهواً و لم یذکره إلّا بعد تجاوز محلّه، فإن کان رکناً بطلت صلاته، و إلّا فصلاته صحیحة و لا شی‌ء علیه، إلّا سجود السهو </w:t>
      </w:r>
      <w:r>
        <w:rPr>
          <w:rStyle w:val="FootnoteAnchor"/>
          <w:rtl w:val="true"/>
        </w:rPr>
        <w:footnoteReference w:id="56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قضاء الجزء المنسیّ بعد الفراغ من صلاته إن کان المنسیّ التشهّد أو إحدی السجدتین، و لا یقضی من الأجزاء المنسیّة غیرهما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ذکر الجزء المنسیّ فی محلّه تدارکه و إن کان رکناً و أعاد ما فعله ممّا هو مترتّب علیه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بتجاوز المحلّ الدخول فی رکن آخر بعده أو کون محلّ إتیان المنسیّ فعلًا خاصّاً، و قد جاز محلّ ذلک الفعل کالذکر فی الرکوع و السجود إذا نسیه و تذکّر بعد رفع الرأس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نسی الرکوع حتّی دخل فی السجدة الثانیة أو نسی السجدتین حتّی دخل فی الرکوع من الرکعة الثانیة بطلت صلاته، بخلاف ما لو نسی الرکوع و تذکّر قبل أن یدخل فی السجدة الأُولیٰ أو نسی السجدتین و تذکّر قبل الرکوع رجع و أتی بالمنسیّ و أعاد ما فعله سابقاً ممّا هو مترتّب علیه، و لو نسی الرکوع و تذکّر بعد الإتیان بالسجدة الاولی الأحوط أن یرجع إلی المنسیّ و یعید الصلاة بعد إتمامها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نسی القراءة و الذکر أو بعضهما أو الترتیب فیهما و ذکر قبل أن یصل إلیٰ حدّ الراکع تدارک ما نسیه و أعاد ما فعله ممّا هو مترتّب بعده، و من نسی القیام أو الطمأنینة فی الذکر أو القراءة و ذکر قبل الرکوع، الأحوط إعادتهما بقصد القربة المطلقة لا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فیما لو نسی الجهر و الإخفات فی القراءة الظاهر عدم وجوب تلافیهما، و إن کان الأحوط فیهما التدارک </w:t>
      </w:r>
      <w:r>
        <w:rPr>
          <w:rStyle w:val="FootnoteAnchor"/>
          <w:rtl w:val="true"/>
        </w:rPr>
        <w:footnoteReference w:id="568"/>
      </w:r>
      <w:r>
        <w:rPr>
          <w:rFonts w:ascii="IRNazanin" w:hAnsi="IRNazanin" w:eastAsia="IRNazanin"/>
          <w:color w:val="111111"/>
          <w:sz w:val="28"/>
          <w:sz w:val="28"/>
          <w:szCs w:val="28"/>
          <w:rtl w:val="true"/>
          <w:lang w:bidi="fa-IR"/>
        </w:rPr>
        <w:t>أیضاً بقصد القربة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نسی الانتصاب من الرکوع أو الطمأنینة فیه و ذکر قبل أن یدخل فی السجود انتصب مطمئنّاً </w:t>
      </w:r>
      <w:r>
        <w:rPr>
          <w:rStyle w:val="FootnoteAnchor"/>
          <w:rtl w:val="true"/>
        </w:rPr>
        <w:footnoteReference w:id="569"/>
      </w:r>
      <w:r>
        <w:rPr>
          <w:rFonts w:ascii="IRNazanin" w:hAnsi="IRNazanin" w:eastAsia="IRNazanin"/>
          <w:color w:val="111111"/>
          <w:sz w:val="28"/>
          <w:sz w:val="28"/>
          <w:szCs w:val="28"/>
          <w:rtl w:val="true"/>
          <w:lang w:bidi="fa-IR"/>
        </w:rPr>
        <w:t>و مضیٰ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نسی الذکر فی السجود أو الطمأنینة فیه أو وضع أحد المساجد حاله و ذکر قبل أن یخرج عن مسمّی السجود أتی بالذکر، لکن إذا کان المنسیّ الطمأنینة </w:t>
      </w:r>
      <w:r>
        <w:rPr>
          <w:rStyle w:val="FootnoteAnchor"/>
          <w:rtl w:val="true"/>
        </w:rPr>
        <w:footnoteReference w:id="570"/>
      </w:r>
      <w:r>
        <w:rPr>
          <w:rFonts w:ascii="IRNazanin" w:hAnsi="IRNazanin" w:eastAsia="IRNazanin"/>
          <w:color w:val="111111"/>
          <w:sz w:val="28"/>
          <w:sz w:val="28"/>
          <w:szCs w:val="28"/>
          <w:rtl w:val="true"/>
          <w:lang w:bidi="fa-IR"/>
        </w:rPr>
        <w:t>یأتی به بقصد القربة المطلقة لا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ذکر بعد رفع الرأس من السجود فقد جاز محلّ تدارک المنسیّ فیمضی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نسی الانتصاب من السجود الأوّل أو الطمأنینة فیه و ذکر قبل الدخول فی مسمّی السجود الثانی انتصب مطمئنّاً و مضیٰ فی صلاته، بخلاف ما لو ذکر بعد الدخول فی السجود الثانی فإنّه قد جاز محلّ تدارکه فیمضی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نسی السجدة الواحدة أو التشهّد أو بعضه و ذکر قبل الوصول</w:t>
      </w:r>
      <w:bookmarkStart w:id="1951" w:name="pg1809_19030"/>
    </w:p>
    <w:p>
      <w:pPr>
        <w:pStyle w:val="BookText"/>
        <w:rPr/>
      </w:pPr>
      <w:bookmarkEnd w:id="1951"/>
      <w:r>
        <w:rPr>
          <w:rFonts w:ascii="IRNazanin" w:hAnsi="IRNazanin" w:eastAsia="IRNazanin"/>
          <w:color w:val="111111"/>
          <w:sz w:val="28"/>
          <w:sz w:val="28"/>
          <w:szCs w:val="28"/>
          <w:rtl w:val="true"/>
          <w:lang w:bidi="fa-IR"/>
        </w:rPr>
        <w:t>إلیٰ حدّ الراکع أو قبل التسلیم إذا کان المنسیّ السجدة الأخیرة أو التشهّد الأخیر یتدارک المنسیّ، و یعید ما فعله ممّا هو مترتّب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نسی سجدة واحدة أو التشهّد من الرکعة الأخیرة و ذکر بعد التسلیم، فإن کان بعد فعل ما یبطل الصلاة عمداً و سهواً کالحدث، فقد جاز محلّ الرجوع و التدارک و إنّما علیه قضاء المنسیّ و سجدتا السهو کما یأتی، و أمّا إن کان قبل ذلک فالأحوط فی صورة نسیان السجدة الإتیان بها من دون تعیین للأداء و القضاء ثمّ التشهّد ثمّ التسلیم احتیاطاً </w:t>
      </w:r>
      <w:r>
        <w:rPr>
          <w:rStyle w:val="FootnoteAnchor"/>
          <w:rtl w:val="true"/>
        </w:rPr>
        <w:footnoteReference w:id="571"/>
      </w:r>
      <w:r>
        <w:rPr>
          <w:rFonts w:ascii="IRNazanin" w:hAnsi="IRNazanin" w:eastAsia="IRNazanin"/>
          <w:color w:val="111111"/>
          <w:sz w:val="28"/>
          <w:sz w:val="28"/>
          <w:szCs w:val="28"/>
          <w:rtl w:val="true"/>
          <w:lang w:bidi="fa-IR"/>
        </w:rPr>
        <w:t>، و فی صورة نسیان التشهّد الإتیان به کذلک ثمّ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نسی التسلیم و ذکره قبل حصول ما یبطل الصلاة عمداً و سهواً تدارکه، فإن لم یتدارکه و لا تدارک ما ذکرناه ممّا ذکره فی المحلّ بطلت صلاته</w:t>
      </w:r>
      <w:r>
        <w:rPr>
          <w:rFonts w:eastAsia="IRNazanin" w:cs="IRNazanin"/>
          <w:color w:val="111111"/>
          <w:sz w:val="28"/>
          <w:szCs w:val="28"/>
          <w:rtl w:val="true"/>
          <w:lang w:bidi="fa-IR"/>
        </w:rPr>
        <w:t>.</w:t>
      </w:r>
    </w:p>
    <w:p>
      <w:pPr>
        <w:pStyle w:val="Heading5"/>
        <w:numPr>
          <w:ilvl w:val="4"/>
          <w:numId w:val="1"/>
        </w:numPr>
        <w:rPr/>
      </w:pPr>
      <w:bookmarkStart w:id="1952" w:name="__RefHeading___Toc2566764_3650668749"/>
      <w:bookmarkStart w:id="1953" w:name="_Toc891"/>
      <w:bookmarkEnd w:id="1952"/>
      <w:r>
        <w:rPr>
          <w:rtl w:val="true"/>
        </w:rPr>
        <w:t>[ (</w:t>
      </w:r>
      <w:r>
        <w:rPr>
          <w:rtl w:val="true"/>
        </w:rPr>
        <w:t xml:space="preserve">مسألة </w:t>
      </w:r>
      <w:r>
        <w:rPr/>
        <w:t>3</w:t>
      </w:r>
      <w:r>
        <w:rPr>
          <w:rtl w:val="true"/>
        </w:rPr>
        <w:t xml:space="preserve">): </w:t>
      </w:r>
      <w:r>
        <w:rPr>
          <w:rtl w:val="true"/>
        </w:rPr>
        <w:t>من نسی الرکعة الأخیرة مثلًا فذکرها بعد التشهّد قبل التسلیم قام و أتی بها</w:t>
      </w:r>
      <w:r>
        <w:rPr>
          <w:rtl w:val="true"/>
        </w:rPr>
        <w:t>]</w:t>
      </w:r>
      <w:bookmarkEnd w:id="19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الرکعة الأخیرة مثلًا فذکرها بعد التشهّد قبل التسلیم قام و أتی بها، و لو ذکرها بعد التسلیم، قبل فعل ما یبطل سهواً قام و أتمّ، و لو ذکرها بعده استأنف الصلاة من رأس، من غیر فرق بین الرباعیّة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نسی أکثر من رکعة، و کذا یستأنف لو زاد رکعة قبل التسلیم بعد التشهّد أو قبله</w:t>
      </w:r>
      <w:r>
        <w:rPr>
          <w:rFonts w:eastAsia="IRNazanin" w:cs="IRNazanin"/>
          <w:color w:val="111111"/>
          <w:sz w:val="28"/>
          <w:szCs w:val="28"/>
          <w:rtl w:val="true"/>
          <w:lang w:bidi="fa-IR"/>
        </w:rPr>
        <w:t>.</w:t>
      </w:r>
    </w:p>
    <w:p>
      <w:pPr>
        <w:pStyle w:val="Heading5"/>
        <w:numPr>
          <w:ilvl w:val="4"/>
          <w:numId w:val="1"/>
        </w:numPr>
        <w:rPr/>
      </w:pPr>
      <w:bookmarkStart w:id="1954" w:name="__RefHeading___Toc2566766_3650668749"/>
      <w:bookmarkStart w:id="1955" w:name="_Toc892"/>
      <w:bookmarkEnd w:id="1954"/>
      <w:r>
        <w:rPr>
          <w:rtl w:val="true"/>
        </w:rPr>
        <w:t>[ (</w:t>
      </w:r>
      <w:r>
        <w:rPr>
          <w:rtl w:val="true"/>
        </w:rPr>
        <w:t xml:space="preserve">مسألة </w:t>
      </w:r>
      <w:r>
        <w:rPr/>
        <w:t>4</w:t>
      </w:r>
      <w:r>
        <w:rPr>
          <w:rtl w:val="true"/>
        </w:rPr>
        <w:t xml:space="preserve">): </w:t>
      </w:r>
      <w:r>
        <w:rPr>
          <w:rtl w:val="true"/>
        </w:rPr>
        <w:t>لو علم إجمالًا قبل أن یدخل فی الرکوع</w:t>
      </w:r>
      <w:r>
        <w:rPr>
          <w:rtl w:val="true"/>
        </w:rPr>
        <w:t>]</w:t>
      </w:r>
      <w:bookmarkEnd w:id="19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إجمالًا قبل أن یدخل فی الرکوع </w:t>
      </w:r>
      <w:r>
        <w:rPr>
          <w:rStyle w:val="FootnoteAnchor"/>
          <w:rtl w:val="true"/>
        </w:rPr>
        <w:footnoteReference w:id="572"/>
      </w:r>
      <w:r>
        <w:rPr>
          <w:rFonts w:ascii="IRNazanin" w:hAnsi="IRNazanin" w:eastAsia="IRNazanin"/>
          <w:color w:val="111111"/>
          <w:sz w:val="28"/>
          <w:sz w:val="28"/>
          <w:szCs w:val="28"/>
          <w:rtl w:val="true"/>
          <w:lang w:bidi="fa-IR"/>
        </w:rPr>
        <w:t>إمّا بفوات سجدتین من الرکعة السابقة أو القراءة من هذه الرکعة یکتفی بالإتیان بالقراءة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حصل له العلم الإجمالی المذکور بعد الإتیان بالقنوت </w:t>
      </w:r>
      <w:r>
        <w:rPr>
          <w:rStyle w:val="FootnoteAnchor"/>
          <w:rtl w:val="true"/>
        </w:rPr>
        <w:footnoteReference w:id="573"/>
      </w:r>
      <w:r>
        <w:rPr>
          <w:rFonts w:ascii="IRNazanin" w:hAnsi="IRNazanin" w:eastAsia="IRNazanin"/>
          <w:color w:val="111111"/>
          <w:sz w:val="28"/>
          <w:sz w:val="28"/>
          <w:szCs w:val="28"/>
          <w:rtl w:val="true"/>
          <w:lang w:bidi="fa-IR"/>
        </w:rPr>
        <w:t>یجب علیه العود لتدارکهما و صحّت صلاته علی الأقویٰ، و الاحتیاط مع ذلک بإعادة الصلاة لا ینبغی ترکه</w:t>
      </w:r>
      <w:r>
        <w:rPr>
          <w:rFonts w:eastAsia="IRNazanin" w:cs="IRNazanin"/>
          <w:color w:val="111111"/>
          <w:sz w:val="28"/>
          <w:szCs w:val="28"/>
          <w:rtl w:val="true"/>
          <w:lang w:bidi="fa-IR"/>
        </w:rPr>
        <w:t>.</w:t>
      </w:r>
    </w:p>
    <w:p>
      <w:pPr>
        <w:pStyle w:val="Heading5"/>
        <w:numPr>
          <w:ilvl w:val="4"/>
          <w:numId w:val="1"/>
        </w:numPr>
        <w:rPr/>
      </w:pPr>
      <w:bookmarkStart w:id="1956" w:name="__RefHeading___Toc2566768_3650668749"/>
      <w:bookmarkStart w:id="1957" w:name="_Toc893"/>
      <w:bookmarkEnd w:id="1956"/>
      <w:r>
        <w:rPr>
          <w:rtl w:val="true"/>
        </w:rPr>
        <w:t>[ (</w:t>
      </w:r>
      <w:r>
        <w:rPr>
          <w:rtl w:val="true"/>
        </w:rPr>
        <w:t xml:space="preserve">مسألة </w:t>
      </w:r>
      <w:r>
        <w:rPr/>
        <w:t>5</w:t>
      </w:r>
      <w:r>
        <w:rPr>
          <w:rtl w:val="true"/>
        </w:rPr>
        <w:t xml:space="preserve">): </w:t>
      </w:r>
      <w:r>
        <w:rPr>
          <w:rtl w:val="true"/>
        </w:rPr>
        <w:t>إذا علم بعد الفراغ أنّه ترک سجدتین و لم یدر أنّهما من رکعة أو رکعتین</w:t>
      </w:r>
      <w:r>
        <w:rPr>
          <w:rtl w:val="true"/>
        </w:rPr>
        <w:t>]</w:t>
      </w:r>
      <w:bookmarkEnd w:id="195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بعد الفراغ أنّه ترک سجدتین و لم یدر أنّهما من رکعة أو رکعتین فالأحوط </w:t>
      </w:r>
      <w:r>
        <w:rPr>
          <w:rStyle w:val="FootnoteAnchor"/>
          <w:rtl w:val="true"/>
        </w:rPr>
        <w:footnoteReference w:id="574"/>
      </w:r>
      <w:r>
        <w:rPr>
          <w:rFonts w:ascii="IRNazanin" w:hAnsi="IRNazanin" w:eastAsia="IRNazanin"/>
          <w:color w:val="111111"/>
          <w:sz w:val="28"/>
          <w:sz w:val="28"/>
          <w:szCs w:val="28"/>
          <w:rtl w:val="true"/>
          <w:lang w:bidi="fa-IR"/>
        </w:rPr>
        <w:t>أن یأتی بقضاء سجدتین ثمّ الإتیان بسجدتی السهو مرّتین ثمّ إعادة الصلاة، و کذا إذا کان فی الأثناء و کان بعد الدخول فی الرکوع؛ فإنّ الأحوط إتمام الصلاة ثمّ إعادتها بعد قضاء سجدتین و الإتیان بسجدتی السهو مرّتین، و لکنّ الأقویٰ جواز الاکتفاء بالإعادة</w:t>
      </w:r>
      <w:bookmarkStart w:id="1958" w:name="pg1809_19032"/>
    </w:p>
    <w:p>
      <w:pPr>
        <w:pStyle w:val="BookText"/>
        <w:rPr/>
      </w:pPr>
      <w:bookmarkEnd w:id="1958"/>
      <w:r>
        <w:rPr>
          <w:rFonts w:ascii="IRNazanin" w:hAnsi="IRNazanin" w:eastAsia="IRNazanin"/>
          <w:color w:val="111111"/>
          <w:sz w:val="28"/>
          <w:sz w:val="28"/>
          <w:szCs w:val="28"/>
          <w:rtl w:val="true"/>
          <w:lang w:bidi="fa-IR"/>
        </w:rPr>
        <w:t>فی الصورتین، و أمّا لو کان فی الأثناء و قبل الدخول فی الرکوع فله صور لا یسع هذا المختصر تفصیلها</w:t>
      </w:r>
      <w:r>
        <w:rPr>
          <w:rFonts w:eastAsia="IRNazanin" w:cs="IRNazanin"/>
          <w:color w:val="111111"/>
          <w:sz w:val="28"/>
          <w:szCs w:val="28"/>
          <w:rtl w:val="true"/>
          <w:lang w:bidi="fa-IR"/>
        </w:rPr>
        <w:t>.</w:t>
      </w:r>
    </w:p>
    <w:p>
      <w:pPr>
        <w:pStyle w:val="Heading5"/>
        <w:numPr>
          <w:ilvl w:val="4"/>
          <w:numId w:val="1"/>
        </w:numPr>
        <w:rPr/>
      </w:pPr>
      <w:bookmarkStart w:id="1959" w:name="__RefHeading___Toc2566770_3650668749"/>
      <w:bookmarkStart w:id="1960" w:name="_Toc894"/>
      <w:bookmarkEnd w:id="1959"/>
      <w:r>
        <w:rPr>
          <w:rtl w:val="true"/>
        </w:rPr>
        <w:t>[ (</w:t>
      </w:r>
      <w:r>
        <w:rPr>
          <w:rtl w:val="true"/>
        </w:rPr>
        <w:t xml:space="preserve">مسألة </w:t>
      </w:r>
      <w:r>
        <w:rPr/>
        <w:t>6</w:t>
      </w:r>
      <w:r>
        <w:rPr>
          <w:rtl w:val="true"/>
        </w:rPr>
        <w:t xml:space="preserve">): </w:t>
      </w:r>
      <w:r>
        <w:rPr>
          <w:rtl w:val="true"/>
        </w:rPr>
        <w:t>إذا علم بعد القیام إلی الثالثة أنّه ترک التشهّد، و لا یدری أنّه ترک السجدة أیضاً أم لا</w:t>
      </w:r>
      <w:r>
        <w:rPr>
          <w:rtl w:val="true"/>
        </w:rPr>
        <w:t>]</w:t>
      </w:r>
      <w:bookmarkEnd w:id="19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بعد القیام إلی الثالثة أنّه ترک التشهّد، و لا یدری أنّه ترک السجدة أیضاً أم لا، الأحوط </w:t>
      </w:r>
      <w:r>
        <w:rPr>
          <w:rStyle w:val="FootnoteAnchor"/>
          <w:rtl w:val="true"/>
        </w:rPr>
        <w:footnoteReference w:id="575"/>
      </w:r>
      <w:r>
        <w:rPr>
          <w:rFonts w:ascii="IRNazanin" w:hAnsi="IRNazanin" w:eastAsia="IRNazanin"/>
          <w:color w:val="111111"/>
          <w:sz w:val="28"/>
          <w:sz w:val="28"/>
          <w:szCs w:val="28"/>
          <w:rtl w:val="true"/>
          <w:lang w:bidi="fa-IR"/>
        </w:rPr>
        <w:t>الإتیان بالسجدة ثمّ التشهّد و إتمام الصلاة ثمّ إعادتها</w:t>
      </w:r>
      <w:r>
        <w:rPr>
          <w:rFonts w:eastAsia="IRNazanin" w:cs="IRNazanin"/>
          <w:color w:val="111111"/>
          <w:sz w:val="28"/>
          <w:szCs w:val="28"/>
          <w:rtl w:val="true"/>
          <w:lang w:bidi="fa-IR"/>
        </w:rPr>
        <w:t>.</w:t>
      </w:r>
    </w:p>
    <w:p>
      <w:pPr>
        <w:pStyle w:val="Heading4"/>
        <w:numPr>
          <w:ilvl w:val="3"/>
          <w:numId w:val="1"/>
        </w:numPr>
        <w:rPr/>
      </w:pPr>
      <w:bookmarkStart w:id="1961" w:name="__RefHeading___Toc2566772_3650668749"/>
      <w:bookmarkStart w:id="1962" w:name="_Toc895"/>
      <w:bookmarkEnd w:id="1961"/>
      <w:r>
        <w:rPr>
          <w:rtl w:val="true"/>
        </w:rPr>
        <w:t>[</w:t>
      </w:r>
      <w:r>
        <w:rPr>
          <w:rtl w:val="true"/>
        </w:rPr>
        <w:t>القول فی الشکّ</w:t>
      </w:r>
      <w:r>
        <w:rPr>
          <w:rtl w:val="true"/>
        </w:rPr>
        <w:t>]</w:t>
      </w:r>
      <w:bookmarkEnd w:id="1962"/>
    </w:p>
    <w:p>
      <w:pPr>
        <w:pStyle w:val="Heading5"/>
        <w:numPr>
          <w:ilvl w:val="4"/>
          <w:numId w:val="1"/>
        </w:numPr>
        <w:rPr/>
      </w:pPr>
      <w:bookmarkStart w:id="1963" w:name="__RefHeading___Toc2566774_3650668749"/>
      <w:bookmarkStart w:id="1964" w:name="_Toc896"/>
      <w:bookmarkEnd w:id="1963"/>
      <w:r>
        <w:rPr>
          <w:rtl w:val="true"/>
        </w:rPr>
        <w:t>اشارة</w:t>
      </w:r>
      <w:bookmarkEnd w:id="1964"/>
    </w:p>
    <w:p>
      <w:pPr>
        <w:pStyle w:val="BookText"/>
        <w:rPr/>
      </w:pPr>
      <w:r>
        <w:rPr>
          <w:rFonts w:ascii="IRNazanin" w:hAnsi="IRNazanin" w:eastAsia="IRNazanin"/>
          <w:color w:val="111111"/>
          <w:sz w:val="28"/>
          <w:sz w:val="28"/>
          <w:szCs w:val="28"/>
          <w:rtl w:val="true"/>
          <w:lang w:bidi="fa-IR"/>
        </w:rPr>
        <w:t>القول فی الشکّ</w:t>
      </w:r>
    </w:p>
    <w:p>
      <w:pPr>
        <w:pStyle w:val="Heading5"/>
        <w:numPr>
          <w:ilvl w:val="4"/>
          <w:numId w:val="1"/>
        </w:numPr>
        <w:rPr/>
      </w:pPr>
      <w:bookmarkStart w:id="1965" w:name="__RefHeading___Toc2566776_3650668749"/>
      <w:bookmarkStart w:id="1966" w:name="_Toc897"/>
      <w:bookmarkEnd w:id="1965"/>
      <w:r>
        <w:rPr>
          <w:rtl w:val="true"/>
        </w:rPr>
        <w:t>[</w:t>
      </w:r>
      <w:r>
        <w:rPr>
          <w:rtl w:val="true"/>
        </w:rPr>
        <w:t>مسائل</w:t>
      </w:r>
      <w:r>
        <w:rPr>
          <w:rtl w:val="true"/>
        </w:rPr>
        <w:t>]</w:t>
      </w:r>
      <w:bookmarkEnd w:id="1966"/>
    </w:p>
    <w:p>
      <w:pPr>
        <w:pStyle w:val="Heading6"/>
        <w:numPr>
          <w:ilvl w:val="5"/>
          <w:numId w:val="1"/>
        </w:numPr>
        <w:rPr/>
      </w:pPr>
      <w:bookmarkStart w:id="1967" w:name="__RefHeading___Toc2566778_3650668749"/>
      <w:bookmarkStart w:id="1968" w:name="_Toc898"/>
      <w:bookmarkEnd w:id="1967"/>
      <w:r>
        <w:rPr>
          <w:rtl w:val="true"/>
        </w:rPr>
        <w:t>اشارة</w:t>
      </w:r>
      <w:bookmarkEnd w:id="1968"/>
    </w:p>
    <w:p>
      <w:pPr>
        <w:pStyle w:val="BookText"/>
        <w:rPr/>
      </w:pPr>
      <w:r>
        <w:rPr>
          <w:rFonts w:ascii="IRNazanin" w:hAnsi="IRNazanin" w:eastAsia="IRNazanin"/>
          <w:color w:val="111111"/>
          <w:sz w:val="28"/>
          <w:sz w:val="28"/>
          <w:szCs w:val="28"/>
          <w:rtl w:val="true"/>
          <w:lang w:bidi="fa-IR"/>
        </w:rPr>
        <w:t>و هو إمّا فی أصل الصلاة و إمّا فی أجزائها و إمّا فی رکعاتها</w:t>
      </w:r>
      <w:r>
        <w:rPr>
          <w:rFonts w:eastAsia="IRNazanin" w:cs="IRNazanin"/>
          <w:color w:val="111111"/>
          <w:sz w:val="28"/>
          <w:szCs w:val="28"/>
          <w:rtl w:val="true"/>
          <w:lang w:bidi="fa-IR"/>
        </w:rPr>
        <w:t>.</w:t>
      </w:r>
    </w:p>
    <w:p>
      <w:pPr>
        <w:pStyle w:val="Heading6"/>
        <w:numPr>
          <w:ilvl w:val="5"/>
          <w:numId w:val="1"/>
        </w:numPr>
        <w:rPr/>
      </w:pPr>
      <w:bookmarkStart w:id="1969" w:name="__RefHeading___Toc2566780_3650668749"/>
      <w:bookmarkStart w:id="1970" w:name="_Toc899"/>
      <w:bookmarkEnd w:id="1969"/>
      <w:r>
        <w:rPr>
          <w:rtl w:val="true"/>
        </w:rPr>
        <w:t>[ (</w:t>
      </w:r>
      <w:r>
        <w:rPr>
          <w:rtl w:val="true"/>
        </w:rPr>
        <w:t xml:space="preserve">مسألة </w:t>
      </w:r>
      <w:r>
        <w:rPr/>
        <w:t>1</w:t>
      </w:r>
      <w:r>
        <w:rPr>
          <w:rtl w:val="true"/>
        </w:rPr>
        <w:t xml:space="preserve">): </w:t>
      </w:r>
      <w:r>
        <w:rPr>
          <w:rtl w:val="true"/>
        </w:rPr>
        <w:t>من شکّ فی الصلاة فلم یدر أنّه صلّیٰ أم لا</w:t>
      </w:r>
      <w:r>
        <w:rPr>
          <w:rtl w:val="true"/>
        </w:rPr>
        <w:t>]</w:t>
      </w:r>
      <w:bookmarkEnd w:id="19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فی الصلاة فلم یدر أنّه صلّیٰ أم لا، فإن کان بعد مضیّ الوقت لم یلتفت و بنیٰ علی الإتیان بها و إن کان فی أثنائه أتی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الظنّ بالإتیان و عدمه هنا حکمه حکم الشکّ</w:t>
      </w:r>
      <w:r>
        <w:rPr>
          <w:rFonts w:eastAsia="IRNazanin" w:cs="IRNazanin"/>
          <w:color w:val="111111"/>
          <w:sz w:val="28"/>
          <w:szCs w:val="28"/>
          <w:rtl w:val="true"/>
          <w:lang w:bidi="fa-IR"/>
        </w:rPr>
        <w:t>.</w:t>
      </w:r>
    </w:p>
    <w:p>
      <w:pPr>
        <w:pStyle w:val="Heading6"/>
        <w:numPr>
          <w:ilvl w:val="5"/>
          <w:numId w:val="1"/>
        </w:numPr>
        <w:rPr/>
      </w:pPr>
      <w:bookmarkStart w:id="1971" w:name="__RefHeading___Toc2566782_3650668749"/>
      <w:bookmarkStart w:id="1972" w:name="_Toc900"/>
      <w:bookmarkEnd w:id="1971"/>
      <w:r>
        <w:rPr>
          <w:rtl w:val="true"/>
        </w:rPr>
        <w:t>[ (</w:t>
      </w:r>
      <w:r>
        <w:rPr>
          <w:rtl w:val="true"/>
        </w:rPr>
        <w:t xml:space="preserve">مسألة </w:t>
      </w:r>
      <w:r>
        <w:rPr/>
        <w:t>2</w:t>
      </w:r>
      <w:r>
        <w:rPr>
          <w:rtl w:val="true"/>
        </w:rPr>
        <w:t xml:space="preserve">): </w:t>
      </w:r>
      <w:r>
        <w:rPr>
          <w:rtl w:val="true"/>
        </w:rPr>
        <w:t>لو علم أنّه صلّی العصر و لم یدر أنّه صلّی الظهر أیضاً أم لا</w:t>
      </w:r>
      <w:r>
        <w:rPr>
          <w:rtl w:val="true"/>
        </w:rPr>
        <w:t>]</w:t>
      </w:r>
      <w:bookmarkEnd w:id="19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أنّه صلّی العصر و لم یدر أنّه صلّی الظهر أیضاً أم لا، فالأحوط بل الأقویٰ وجوب الإتیان بها حتّی فیما لو لم یبق من الوقت إلّا مقدار الاختصاص بالعصر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لم یبق إلّا هذا المقدار و علم بعد الإتیان بالعصر أو شکّ فیه </w:t>
      </w:r>
      <w:r>
        <w:rPr>
          <w:rStyle w:val="FootnoteAnchor"/>
          <w:rtl w:val="true"/>
        </w:rPr>
        <w:footnoteReference w:id="576"/>
      </w:r>
      <w:r>
        <w:rPr>
          <w:rFonts w:ascii="IRNazanin" w:hAnsi="IRNazanin" w:eastAsia="IRNazanin"/>
          <w:color w:val="111111"/>
          <w:sz w:val="28"/>
          <w:sz w:val="28"/>
          <w:szCs w:val="28"/>
          <w:rtl w:val="true"/>
          <w:lang w:bidi="fa-IR"/>
        </w:rPr>
        <w:t>، و کان شاکّاً فی الإتیان بالظهر أتی بالعصر و جریٰ حکم الشکّ بعد الوقت فی الظهر</w:t>
      </w:r>
      <w:r>
        <w:rPr>
          <w:rFonts w:eastAsia="IRNazanin" w:cs="IRNazanin"/>
          <w:color w:val="111111"/>
          <w:sz w:val="28"/>
          <w:szCs w:val="28"/>
          <w:rtl w:val="true"/>
          <w:lang w:bidi="fa-IR"/>
        </w:rPr>
        <w:t>.</w:t>
      </w:r>
    </w:p>
    <w:p>
      <w:pPr>
        <w:pStyle w:val="Heading6"/>
        <w:numPr>
          <w:ilvl w:val="5"/>
          <w:numId w:val="1"/>
        </w:numPr>
        <w:rPr/>
      </w:pPr>
      <w:bookmarkStart w:id="1973" w:name="__RefHeading___Toc2566784_3650668749"/>
      <w:bookmarkStart w:id="1974" w:name="_Toc901"/>
      <w:bookmarkEnd w:id="1973"/>
      <w:r>
        <w:rPr>
          <w:rtl w:val="true"/>
        </w:rPr>
        <w:t>[ (</w:t>
      </w:r>
      <w:r>
        <w:rPr>
          <w:rtl w:val="true"/>
        </w:rPr>
        <w:t xml:space="preserve">مسألة </w:t>
      </w:r>
      <w:r>
        <w:rPr/>
        <w:t>3</w:t>
      </w:r>
      <w:r>
        <w:rPr>
          <w:rtl w:val="true"/>
        </w:rPr>
        <w:t xml:space="preserve">): </w:t>
      </w:r>
      <w:r>
        <w:rPr>
          <w:rtl w:val="true"/>
        </w:rPr>
        <w:t>إذا شکّ فی بقاء الوقت و عدمه یلحقه حکم البقاء</w:t>
      </w:r>
      <w:r>
        <w:rPr>
          <w:rtl w:val="true"/>
        </w:rPr>
        <w:t>]</w:t>
      </w:r>
      <w:bookmarkEnd w:id="19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بقاء الوقت و عدمه یلحقه حکم البقاء</w:t>
      </w:r>
      <w:r>
        <w:rPr>
          <w:rFonts w:eastAsia="IRNazanin" w:cs="IRNazanin"/>
          <w:color w:val="111111"/>
          <w:sz w:val="28"/>
          <w:szCs w:val="28"/>
          <w:rtl w:val="true"/>
          <w:lang w:bidi="fa-IR"/>
        </w:rPr>
        <w:t>.</w:t>
      </w:r>
    </w:p>
    <w:p>
      <w:pPr>
        <w:pStyle w:val="Heading6"/>
        <w:numPr>
          <w:ilvl w:val="5"/>
          <w:numId w:val="1"/>
        </w:numPr>
        <w:rPr/>
      </w:pPr>
      <w:bookmarkStart w:id="1975" w:name="__RefHeading___Toc2566786_3650668749"/>
      <w:bookmarkStart w:id="1976" w:name="_Toc902"/>
      <w:bookmarkEnd w:id="1975"/>
      <w:r>
        <w:rPr>
          <w:rtl w:val="true"/>
        </w:rPr>
        <w:t>[ (</w:t>
      </w:r>
      <w:r>
        <w:rPr>
          <w:rtl w:val="true"/>
        </w:rPr>
        <w:t xml:space="preserve">مسألة </w:t>
      </w:r>
      <w:r>
        <w:rPr/>
        <w:t>4</w:t>
      </w:r>
      <w:r>
        <w:rPr>
          <w:rtl w:val="true"/>
        </w:rPr>
        <w:t xml:space="preserve">): </w:t>
      </w:r>
      <w:r>
        <w:rPr>
          <w:rtl w:val="true"/>
        </w:rPr>
        <w:t>لو شکّ فی أثناء صلاة العصر فی أنّه صلّی الظهر أم لا</w:t>
      </w:r>
      <w:r>
        <w:rPr>
          <w:rtl w:val="true"/>
        </w:rPr>
        <w:t>]</w:t>
      </w:r>
      <w:bookmarkEnd w:id="19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أثناء صلاة العصر فی أنّه صلّی الظهر أم لا، فإن کان فی وقت اختصاص العصر بنیٰ علی الإتیان بالظهر و إن کان فی الوقت المشترک بنیٰ علیٰ عدم الإتیان بها، فیعدل إلیها</w:t>
      </w:r>
      <w:r>
        <w:rPr>
          <w:rFonts w:eastAsia="IRNazanin" w:cs="IRNazanin"/>
          <w:color w:val="111111"/>
          <w:sz w:val="28"/>
          <w:szCs w:val="28"/>
          <w:rtl w:val="true"/>
          <w:lang w:bidi="fa-IR"/>
        </w:rPr>
        <w:t>.</w:t>
      </w:r>
    </w:p>
    <w:p>
      <w:pPr>
        <w:pStyle w:val="Heading6"/>
        <w:numPr>
          <w:ilvl w:val="5"/>
          <w:numId w:val="1"/>
        </w:numPr>
        <w:rPr/>
      </w:pPr>
      <w:bookmarkStart w:id="1977" w:name="__RefHeading___Toc2566788_3650668749"/>
      <w:bookmarkStart w:id="1978" w:name="_Toc903"/>
      <w:bookmarkEnd w:id="1977"/>
      <w:r>
        <w:rPr>
          <w:rtl w:val="true"/>
        </w:rPr>
        <w:t>[ (</w:t>
      </w:r>
      <w:r>
        <w:rPr>
          <w:rtl w:val="true"/>
        </w:rPr>
        <w:t xml:space="preserve">مسألة </w:t>
      </w:r>
      <w:r>
        <w:rPr/>
        <w:t>5</w:t>
      </w:r>
      <w:r>
        <w:rPr>
          <w:rtl w:val="true"/>
        </w:rPr>
        <w:t xml:space="preserve">): </w:t>
      </w:r>
      <w:r>
        <w:rPr>
          <w:rtl w:val="true"/>
        </w:rPr>
        <w:t>إذا علم أنّه صلّیٰ إحدی الصلاتین من الظهر أو العصر و لم یدر المعیّن منهما</w:t>
      </w:r>
      <w:r>
        <w:rPr>
          <w:rtl w:val="true"/>
        </w:rPr>
        <w:t>]</w:t>
      </w:r>
      <w:bookmarkEnd w:id="197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أنّه صلّیٰ إحدی الصلاتین من الظهر أو العصر و لم یدر المعیّن منهما، فإن کان فی وقت الاختصاص بالعصر یأتی به و یبنی </w:t>
      </w:r>
      <w:r>
        <w:rPr>
          <w:rStyle w:val="FootnoteAnchor"/>
          <w:rtl w:val="true"/>
        </w:rPr>
        <w:footnoteReference w:id="577"/>
      </w:r>
      <w:r>
        <w:rPr>
          <w:rFonts w:ascii="IRNazanin" w:hAnsi="IRNazanin" w:eastAsia="IRNazanin"/>
          <w:color w:val="111111"/>
          <w:sz w:val="28"/>
          <w:sz w:val="28"/>
          <w:szCs w:val="28"/>
          <w:rtl w:val="true"/>
          <w:lang w:bidi="fa-IR"/>
        </w:rPr>
        <w:t>علی الإتیان بالظهر، و إن کان فی الوقت المشترک أتی بأربع رکعات بقصد ما فی الذمّة، و لو علم أنّه صلّیٰ إحدی العشاءین ففی وقت الاختصاص بالعشاء یبنی علی الإتیان بالمغرب و یأتی بالعشاء، و فی الوقت المشترک یأتی بالصلاتین</w:t>
      </w:r>
      <w:r>
        <w:rPr>
          <w:rFonts w:eastAsia="IRNazanin" w:cs="IRNazanin"/>
          <w:color w:val="111111"/>
          <w:sz w:val="28"/>
          <w:szCs w:val="28"/>
          <w:rtl w:val="true"/>
          <w:lang w:bidi="fa-IR"/>
        </w:rPr>
        <w:t>.</w:t>
      </w:r>
      <w:bookmarkStart w:id="1979" w:name="pg1809_19034"/>
    </w:p>
    <w:p>
      <w:pPr>
        <w:pStyle w:val="Heading6"/>
        <w:numPr>
          <w:ilvl w:val="5"/>
          <w:numId w:val="1"/>
        </w:numPr>
        <w:rPr/>
      </w:pPr>
      <w:bookmarkStart w:id="1980" w:name="__RefHeading___Toc2566790_3650668749"/>
      <w:bookmarkStart w:id="1981" w:name="_Toc904"/>
      <w:bookmarkEnd w:id="1979"/>
      <w:bookmarkEnd w:id="1980"/>
      <w:r>
        <w:rPr>
          <w:rtl w:val="true"/>
        </w:rPr>
        <w:t>[ (</w:t>
      </w:r>
      <w:r>
        <w:rPr>
          <w:rtl w:val="true"/>
        </w:rPr>
        <w:t xml:space="preserve">مسألة </w:t>
      </w:r>
      <w:r>
        <w:rPr/>
        <w:t>6</w:t>
      </w:r>
      <w:r>
        <w:rPr>
          <w:rtl w:val="true"/>
        </w:rPr>
        <w:t xml:space="preserve">): </w:t>
      </w:r>
      <w:r>
        <w:rPr>
          <w:rtl w:val="true"/>
        </w:rPr>
        <w:t>إنّما لا یلتفت بالشکّ فی الصلاة بعد الوقت و یبنی علیٰ إتیانها فیما إذا کان حدوثه بعده</w:t>
      </w:r>
      <w:r>
        <w:rPr>
          <w:rtl w:val="true"/>
        </w:rPr>
        <w:t>]</w:t>
      </w:r>
      <w:bookmarkEnd w:id="19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لا یلتفت بالشکّ فی الصلاة بعد الوقت و یبنی علیٰ إتیانها فیما إذا کان حدوثه بعده، فإذا شکّ فیها فی أثناء الوقت و نسی الإتیان بها حتّی خرج الوقت وجب قضاؤها و إن کان شاکّاً فعلًا فی إتیانها فی الوقت</w:t>
      </w:r>
      <w:r>
        <w:rPr>
          <w:rFonts w:eastAsia="IRNazanin" w:cs="IRNazanin"/>
          <w:color w:val="111111"/>
          <w:sz w:val="28"/>
          <w:szCs w:val="28"/>
          <w:rtl w:val="true"/>
          <w:lang w:bidi="fa-IR"/>
        </w:rPr>
        <w:t>.</w:t>
      </w:r>
    </w:p>
    <w:p>
      <w:pPr>
        <w:pStyle w:val="Heading6"/>
        <w:numPr>
          <w:ilvl w:val="5"/>
          <w:numId w:val="1"/>
        </w:numPr>
        <w:rPr/>
      </w:pPr>
      <w:bookmarkStart w:id="1982" w:name="__RefHeading___Toc2566792_3650668749"/>
      <w:bookmarkStart w:id="1983" w:name="_Toc905"/>
      <w:bookmarkEnd w:id="1982"/>
      <w:r>
        <w:rPr>
          <w:rtl w:val="true"/>
        </w:rPr>
        <w:t>[ (</w:t>
      </w:r>
      <w:r>
        <w:rPr>
          <w:rtl w:val="true"/>
        </w:rPr>
        <w:t xml:space="preserve">مسألة </w:t>
      </w:r>
      <w:r>
        <w:rPr/>
        <w:t>7</w:t>
      </w:r>
      <w:r>
        <w:rPr>
          <w:rtl w:val="true"/>
        </w:rPr>
        <w:t xml:space="preserve">): </w:t>
      </w:r>
      <w:r>
        <w:rPr>
          <w:rtl w:val="true"/>
        </w:rPr>
        <w:t>إذا شکّ و اعتقد أنّه خارج الوقت ثمّ تبیّن بعد الوقت أنّ شکّه کان فی أثناء الوقت</w:t>
      </w:r>
      <w:r>
        <w:rPr>
          <w:rtl w:val="true"/>
        </w:rPr>
        <w:t>]</w:t>
      </w:r>
      <w:bookmarkEnd w:id="19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و اعتقد أنّه خارج الوقت ثمّ تبیّن بعد الوقت أنّ شکّه کان فی أثناء الوقت، یجب علیه قضاؤها بخلاف العکس؛ بأن اعتقد حال الشکّ أنّه فی الوقت فترک الإتیان بها عمداً أو سهواً ثمّ تبیّن أنّه کان خارج الوقت، فلیس علیه القضاء</w:t>
      </w:r>
      <w:r>
        <w:rPr>
          <w:rFonts w:eastAsia="IRNazanin" w:cs="IRNazanin"/>
          <w:color w:val="111111"/>
          <w:sz w:val="28"/>
          <w:szCs w:val="28"/>
          <w:rtl w:val="true"/>
          <w:lang w:bidi="fa-IR"/>
        </w:rPr>
        <w:t>.</w:t>
      </w:r>
    </w:p>
    <w:p>
      <w:pPr>
        <w:pStyle w:val="Heading6"/>
        <w:numPr>
          <w:ilvl w:val="5"/>
          <w:numId w:val="1"/>
        </w:numPr>
        <w:rPr/>
      </w:pPr>
      <w:bookmarkStart w:id="1984" w:name="__RefHeading___Toc2566794_3650668749"/>
      <w:bookmarkStart w:id="1985" w:name="_Toc906"/>
      <w:bookmarkEnd w:id="1984"/>
      <w:r>
        <w:rPr>
          <w:rtl w:val="true"/>
        </w:rPr>
        <w:t>[ (</w:t>
      </w:r>
      <w:r>
        <w:rPr>
          <w:rtl w:val="true"/>
        </w:rPr>
        <w:t xml:space="preserve">مسألة </w:t>
      </w:r>
      <w:r>
        <w:rPr/>
        <w:t>8</w:t>
      </w:r>
      <w:r>
        <w:rPr>
          <w:rtl w:val="true"/>
        </w:rPr>
        <w:t xml:space="preserve">): </w:t>
      </w:r>
      <w:r>
        <w:rPr>
          <w:rtl w:val="true"/>
        </w:rPr>
        <w:t>حکم کثیر الشکّ فی الإتیان بالصلاة و عدمه حکم غیره</w:t>
      </w:r>
      <w:r>
        <w:rPr>
          <w:rtl w:val="true"/>
        </w:rPr>
        <w:t>]</w:t>
      </w:r>
      <w:bookmarkEnd w:id="19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کثیر الشکّ فی الإتیان بالصلاة و عدمه حکم غیره، فیجری فیه التفصیل بین کونه فی الوقت و خارجه، نعم فی الوسواسی الظاهر أنّه یبنی علی الإتیان بها و إن کان فی الوقت</w:t>
      </w:r>
      <w:r>
        <w:rPr>
          <w:rFonts w:eastAsia="IRNazanin" w:cs="IRNazanin"/>
          <w:color w:val="111111"/>
          <w:sz w:val="28"/>
          <w:szCs w:val="28"/>
          <w:rtl w:val="true"/>
          <w:lang w:bidi="fa-IR"/>
        </w:rPr>
        <w:t>.</w:t>
      </w:r>
    </w:p>
    <w:p>
      <w:pPr>
        <w:pStyle w:val="Heading5"/>
        <w:numPr>
          <w:ilvl w:val="4"/>
          <w:numId w:val="1"/>
        </w:numPr>
        <w:rPr/>
      </w:pPr>
      <w:bookmarkStart w:id="1986" w:name="__RefHeading___Toc2566796_3650668749"/>
      <w:bookmarkStart w:id="1987" w:name="_Toc907"/>
      <w:bookmarkEnd w:id="1986"/>
      <w:r>
        <w:rPr>
          <w:rtl w:val="true"/>
        </w:rPr>
        <w:t>[</w:t>
      </w:r>
      <w:r>
        <w:rPr>
          <w:rtl w:val="true"/>
        </w:rPr>
        <w:t>القول فی الشکّ فی شی‌ء من أفعال الصلاة</w:t>
      </w:r>
      <w:r>
        <w:rPr>
          <w:rtl w:val="true"/>
        </w:rPr>
        <w:t>]</w:t>
      </w:r>
      <w:bookmarkEnd w:id="1987"/>
    </w:p>
    <w:p>
      <w:pPr>
        <w:pStyle w:val="Heading6"/>
        <w:numPr>
          <w:ilvl w:val="5"/>
          <w:numId w:val="1"/>
        </w:numPr>
        <w:rPr/>
      </w:pPr>
      <w:bookmarkStart w:id="1988" w:name="__RefHeading___Toc2566798_3650668749"/>
      <w:bookmarkStart w:id="1989" w:name="_Toc908"/>
      <w:bookmarkEnd w:id="1988"/>
      <w:r>
        <w:rPr>
          <w:rtl w:val="true"/>
        </w:rPr>
        <w:t>اشارة</w:t>
      </w:r>
      <w:bookmarkEnd w:id="1989"/>
    </w:p>
    <w:p>
      <w:pPr>
        <w:pStyle w:val="BookText"/>
        <w:rPr/>
      </w:pPr>
      <w:r>
        <w:rPr>
          <w:rFonts w:ascii="IRNazanin" w:hAnsi="IRNazanin" w:eastAsia="IRNazanin"/>
          <w:color w:val="111111"/>
          <w:sz w:val="28"/>
          <w:sz w:val="28"/>
          <w:szCs w:val="28"/>
          <w:rtl w:val="true"/>
          <w:lang w:bidi="fa-IR"/>
        </w:rPr>
        <w:t>القول فی الشکّ فی شی‌ء من أفعال الصلاة</w:t>
      </w:r>
    </w:p>
    <w:p>
      <w:pPr>
        <w:pStyle w:val="Heading6"/>
        <w:numPr>
          <w:ilvl w:val="5"/>
          <w:numId w:val="1"/>
        </w:numPr>
        <w:rPr/>
      </w:pPr>
      <w:bookmarkStart w:id="1990" w:name="__RefHeading___Toc2566800_3650668749"/>
      <w:bookmarkStart w:id="1991" w:name="_Toc909"/>
      <w:bookmarkEnd w:id="1990"/>
      <w:r>
        <w:rPr>
          <w:rtl w:val="true"/>
        </w:rPr>
        <w:t>[ (</w:t>
      </w:r>
      <w:r>
        <w:rPr>
          <w:rtl w:val="true"/>
        </w:rPr>
        <w:t xml:space="preserve">مسألة </w:t>
      </w:r>
      <w:r>
        <w:rPr/>
        <w:t>1</w:t>
      </w:r>
      <w:r>
        <w:rPr>
          <w:rtl w:val="true"/>
        </w:rPr>
        <w:t xml:space="preserve">): </w:t>
      </w:r>
      <w:r>
        <w:rPr>
          <w:rtl w:val="true"/>
        </w:rPr>
        <w:t>من شکّ فی شی‌ء من أفعال الصلاة فإن کان قبل الدخول فی غیره ممّا هو مترتّب علیه</w:t>
      </w:r>
      <w:r>
        <w:rPr>
          <w:rtl w:val="true"/>
        </w:rPr>
        <w:t>]</w:t>
      </w:r>
      <w:bookmarkEnd w:id="199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 فی شی‌ء من أفعال الصلاة فإن کان قبل الدخول فی غیره ممّا هو مترتّب علیه وجب الإتیان به، کما إذا شکّ فی تکبیرة الإحرام قبل أن یدخل فی القراءة أو فی الحمد، و لم یدخل فی السورة أو فیها قبل الرکوع أو فیه قبل الهویّ إلی السجود أو فیه و لم یدخل فی القیام أو التشهّد، و إن کان بعد الدخول فی غیره ممّا هو مترتّب علیه و إن کان مندوباً لم یلتفت و بنیٰ علی الإتیان به؛ من غیر فرق بین الأُولیین و الأخیرتین، فحینئذٍ لا یلتفت إلی الشکّ فی الفاتحة و هو آخذ فی السورة، و لا إلی السورة و هو فی القنوت، و لا إلی الرکوع أو الانتصاب و هو فی الهویّ للسجود، و لا إلی السجود و هو قائم أو فی التشهّد، و لا إلی التشهّد و هو قائم، نعم یجب تدارکه </w:t>
      </w:r>
      <w:r>
        <w:rPr>
          <w:rStyle w:val="FootnoteAnchor"/>
          <w:rtl w:val="true"/>
        </w:rPr>
        <w:footnoteReference w:id="578"/>
      </w:r>
      <w:r>
        <w:rPr>
          <w:rFonts w:ascii="IRNazanin" w:hAnsi="IRNazanin" w:eastAsia="IRNazanin"/>
          <w:color w:val="111111"/>
          <w:sz w:val="28"/>
          <w:sz w:val="28"/>
          <w:szCs w:val="28"/>
          <w:rtl w:val="true"/>
          <w:lang w:bidi="fa-IR"/>
        </w:rPr>
        <w:t>لو شکّ فیه و هو آخذ فی القیام، و کذلک السجود لو شکّ فیه کذلک</w:t>
      </w:r>
      <w:r>
        <w:rPr>
          <w:rFonts w:eastAsia="IRNazanin" w:cs="IRNazanin"/>
          <w:color w:val="111111"/>
          <w:sz w:val="28"/>
          <w:szCs w:val="28"/>
          <w:rtl w:val="true"/>
          <w:lang w:bidi="fa-IR"/>
        </w:rPr>
        <w:t>.</w:t>
      </w:r>
      <w:bookmarkStart w:id="1992" w:name="pg1809_19036"/>
    </w:p>
    <w:p>
      <w:pPr>
        <w:pStyle w:val="BookText"/>
        <w:rPr/>
      </w:pPr>
      <w:bookmarkEnd w:id="1992"/>
      <w:r>
        <w:rPr>
          <w:rFonts w:ascii="IRNazanin" w:hAnsi="IRNazanin" w:eastAsia="IRNazanin"/>
          <w:color w:val="111111"/>
          <w:sz w:val="28"/>
          <w:sz w:val="28"/>
          <w:szCs w:val="28"/>
          <w:rtl w:val="true"/>
          <w:lang w:bidi="fa-IR"/>
        </w:rPr>
        <w:t xml:space="preserve">الآیة و هو فی آخرها، فالأحوط </w:t>
      </w:r>
      <w:r>
        <w:rPr>
          <w:rStyle w:val="FootnoteAnchor"/>
          <w:rtl w:val="true"/>
        </w:rPr>
        <w:footnoteReference w:id="579"/>
      </w:r>
      <w:r>
        <w:rPr>
          <w:rFonts w:ascii="IRNazanin" w:hAnsi="IRNazanin" w:eastAsia="IRNazanin"/>
          <w:color w:val="111111"/>
          <w:sz w:val="28"/>
          <w:sz w:val="28"/>
          <w:szCs w:val="28"/>
          <w:rtl w:val="true"/>
          <w:lang w:bidi="fa-IR"/>
        </w:rPr>
        <w:t>فی هذه الصور الإتیان بالمشکوک بقصد القربة المطلقة</w:t>
      </w:r>
      <w:r>
        <w:rPr>
          <w:rFonts w:eastAsia="IRNazanin" w:cs="IRNazanin"/>
          <w:color w:val="111111"/>
          <w:sz w:val="28"/>
          <w:szCs w:val="28"/>
          <w:rtl w:val="true"/>
          <w:lang w:bidi="fa-IR"/>
        </w:rPr>
        <w:t>.</w:t>
      </w:r>
    </w:p>
    <w:p>
      <w:pPr>
        <w:pStyle w:val="Heading6"/>
        <w:numPr>
          <w:ilvl w:val="5"/>
          <w:numId w:val="1"/>
        </w:numPr>
        <w:rPr/>
      </w:pPr>
      <w:bookmarkStart w:id="1993" w:name="__RefHeading___Toc2566802_3650668749"/>
      <w:bookmarkStart w:id="1994" w:name="_Toc910"/>
      <w:bookmarkEnd w:id="1993"/>
      <w:r>
        <w:rPr>
          <w:rtl w:val="true"/>
        </w:rPr>
        <w:t>[ (</w:t>
      </w:r>
      <w:r>
        <w:rPr>
          <w:rtl w:val="true"/>
        </w:rPr>
        <w:t xml:space="preserve">مسألة </w:t>
      </w:r>
      <w:r>
        <w:rPr/>
        <w:t>3</w:t>
      </w:r>
      <w:r>
        <w:rPr>
          <w:rtl w:val="true"/>
        </w:rPr>
        <w:t xml:space="preserve">): </w:t>
      </w:r>
      <w:r>
        <w:rPr>
          <w:rtl w:val="true"/>
        </w:rPr>
        <w:t>لو شکّ فی صحّة الواقع و فساده لا فی أصل الوقوع لم یلتفت</w:t>
      </w:r>
      <w:r>
        <w:rPr>
          <w:rtl w:val="true"/>
        </w:rPr>
        <w:t>]</w:t>
      </w:r>
      <w:bookmarkEnd w:id="19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صحّة الواقع و فساده لا فی أصل الوقوع لم یلتفت و إن کان فی المحلّ، لکن الاحتیاط فی الصورة الثانیة لا ینبغی ترکه، بل لا یترک </w:t>
      </w:r>
      <w:r>
        <w:rPr>
          <w:rStyle w:val="FootnoteAnchor"/>
          <w:rtl w:val="true"/>
        </w:rPr>
        <w:footnoteReference w:id="580"/>
      </w:r>
      <w:r>
        <w:rPr>
          <w:rFonts w:ascii="IRNazanin" w:hAnsi="IRNazanin" w:eastAsia="IRNazanin"/>
          <w:color w:val="111111"/>
          <w:sz w:val="28"/>
          <w:sz w:val="28"/>
          <w:szCs w:val="28"/>
          <w:rtl w:val="true"/>
          <w:lang w:bidi="fa-IR"/>
        </w:rPr>
        <w:t>بإعادة القراءة أو الذکر بنیّة القربة المطلقة، و فی مثل الرکوع و السجود بإتمام الصلاة ثمّ الإعادة</w:t>
      </w:r>
      <w:r>
        <w:rPr>
          <w:rFonts w:eastAsia="IRNazanin" w:cs="IRNazanin"/>
          <w:color w:val="111111"/>
          <w:sz w:val="28"/>
          <w:szCs w:val="28"/>
          <w:rtl w:val="true"/>
          <w:lang w:bidi="fa-IR"/>
        </w:rPr>
        <w:t>.</w:t>
      </w:r>
    </w:p>
    <w:p>
      <w:pPr>
        <w:pStyle w:val="Heading6"/>
        <w:numPr>
          <w:ilvl w:val="5"/>
          <w:numId w:val="1"/>
        </w:numPr>
        <w:rPr/>
      </w:pPr>
      <w:bookmarkStart w:id="1995" w:name="__RefHeading___Toc2566804_3650668749"/>
      <w:bookmarkStart w:id="1996" w:name="_Toc911"/>
      <w:bookmarkEnd w:id="1995"/>
      <w:r>
        <w:rPr>
          <w:rtl w:val="true"/>
        </w:rPr>
        <w:t>[ (</w:t>
      </w:r>
      <w:r>
        <w:rPr>
          <w:rtl w:val="true"/>
        </w:rPr>
        <w:t xml:space="preserve">مسألة </w:t>
      </w:r>
      <w:r>
        <w:rPr/>
        <w:t>4</w:t>
      </w:r>
      <w:r>
        <w:rPr>
          <w:rtl w:val="true"/>
        </w:rPr>
        <w:t xml:space="preserve">): </w:t>
      </w:r>
      <w:r>
        <w:rPr>
          <w:rtl w:val="true"/>
        </w:rPr>
        <w:t>لو شکّ فی التسلیم لم یلتفت إذا کان قد دخل فیما هو مترتّب علی الفراغ من التعقیب</w:t>
      </w:r>
      <w:r>
        <w:rPr>
          <w:rtl w:val="true"/>
        </w:rPr>
        <w:t>]</w:t>
      </w:r>
      <w:bookmarkEnd w:id="19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التسلیم لم یلتفت إذا کان قد دخل فیما هو مترتّب علی الفراغ من التعقیب و نحوه، أو فی بعض المنافیات، أو نحو ذلک ممّا لا یفعله المسلّم إلّا بعد الفراغ، کما أنّ المأموم إذا شکّ فی التکبیر و قد کان فی هیئة المصلّی </w:t>
      </w:r>
      <w:r>
        <w:rPr>
          <w:rStyle w:val="FootnoteAnchor"/>
          <w:rtl w:val="true"/>
        </w:rPr>
        <w:footnoteReference w:id="581"/>
      </w:r>
      <w:r>
        <w:rPr>
          <w:rFonts w:ascii="IRNazanin" w:hAnsi="IRNazanin" w:eastAsia="IRNazanin"/>
          <w:color w:val="111111"/>
          <w:sz w:val="28"/>
          <w:sz w:val="28"/>
          <w:szCs w:val="28"/>
          <w:rtl w:val="true"/>
          <w:lang w:bidi="fa-IR"/>
        </w:rPr>
        <w:t>جماعة من الإنصات و وضع الیدین علی الفخذین و نحو ذلک لم یلتفت</w:t>
      </w:r>
      <w:r>
        <w:rPr>
          <w:rFonts w:eastAsia="IRNazanin" w:cs="IRNazanin"/>
          <w:color w:val="111111"/>
          <w:sz w:val="28"/>
          <w:szCs w:val="28"/>
          <w:rtl w:val="true"/>
          <w:lang w:bidi="fa-IR"/>
        </w:rPr>
        <w:t>.</w:t>
      </w:r>
    </w:p>
    <w:p>
      <w:pPr>
        <w:pStyle w:val="Heading6"/>
        <w:numPr>
          <w:ilvl w:val="5"/>
          <w:numId w:val="1"/>
        </w:numPr>
        <w:rPr/>
      </w:pPr>
      <w:bookmarkStart w:id="1997" w:name="__RefHeading___Toc2566806_3650668749"/>
      <w:bookmarkStart w:id="1998" w:name="_Toc912"/>
      <w:bookmarkEnd w:id="1997"/>
      <w:r>
        <w:rPr>
          <w:rtl w:val="true"/>
        </w:rPr>
        <w:t>[ (</w:t>
      </w:r>
      <w:r>
        <w:rPr>
          <w:rtl w:val="true"/>
        </w:rPr>
        <w:t xml:space="preserve">مسألة </w:t>
      </w:r>
      <w:r>
        <w:rPr/>
        <w:t>5</w:t>
      </w:r>
      <w:r>
        <w:rPr>
          <w:rtl w:val="true"/>
        </w:rPr>
        <w:t xml:space="preserve">): </w:t>
      </w:r>
      <w:r>
        <w:rPr>
          <w:rtl w:val="true"/>
        </w:rPr>
        <w:t>کلّ مشکوک أتی به لأنّه فی المحلّ ثمّ ذکر أنّه فعله</w:t>
      </w:r>
      <w:r>
        <w:rPr>
          <w:rtl w:val="true"/>
        </w:rPr>
        <w:t>]</w:t>
      </w:r>
      <w:bookmarkEnd w:id="19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مشکوک أتی به لأنّه فی المحلّ ثمّ ذکر أنّه فعله، فإنّه لا یبطل الصلاة إلّا أن یکون رکناً، کما أنّه لا یبطل أیضاً إذا لم یأت به؛ لأنّه خرج عن المحلّ فبان عدم فعله ما لم یکن رکناً بعد أن لا یمکن تدارکه؛ بأن کان داخلًا فی رکن آخر و إلّا تدارکه مطلقاً</w:t>
      </w:r>
      <w:r>
        <w:rPr>
          <w:rFonts w:eastAsia="IRNazanin" w:cs="IRNazanin"/>
          <w:color w:val="111111"/>
          <w:sz w:val="28"/>
          <w:szCs w:val="28"/>
          <w:rtl w:val="true"/>
          <w:lang w:bidi="fa-IR"/>
        </w:rPr>
        <w:t>.</w:t>
      </w:r>
    </w:p>
    <w:p>
      <w:pPr>
        <w:pStyle w:val="Heading6"/>
        <w:numPr>
          <w:ilvl w:val="5"/>
          <w:numId w:val="1"/>
        </w:numPr>
        <w:rPr/>
      </w:pPr>
      <w:bookmarkStart w:id="1999" w:name="__RefHeading___Toc2566808_3650668749"/>
      <w:bookmarkStart w:id="2000" w:name="_Toc913"/>
      <w:bookmarkEnd w:id="1999"/>
      <w:r>
        <w:rPr>
          <w:rtl w:val="true"/>
        </w:rPr>
        <w:t>[ (</w:t>
      </w:r>
      <w:r>
        <w:rPr>
          <w:rtl w:val="true"/>
        </w:rPr>
        <w:t xml:space="preserve">مسألة </w:t>
      </w:r>
      <w:r>
        <w:rPr/>
        <w:t>6</w:t>
      </w:r>
      <w:r>
        <w:rPr>
          <w:rtl w:val="true"/>
        </w:rPr>
        <w:t xml:space="preserve">): </w:t>
      </w:r>
      <w:r>
        <w:rPr>
          <w:rtl w:val="true"/>
        </w:rPr>
        <w:t>لو شکّ و هو فی فعل أنّه هل شکّ فی بعض الأفعال المتقدّمة علیه سابقاً أم لا</w:t>
      </w:r>
      <w:r>
        <w:rPr>
          <w:rtl w:val="true"/>
        </w:rPr>
        <w:t>]</w:t>
      </w:r>
      <w:bookmarkEnd w:id="20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و هو فی فعل أنّه هل شکّ فی بعض الأفعال المتقدّمة علیه سابقاً أم لا، لم یلتفت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شکّ أنّه هل سها کذلک أو لا، بل هو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شکّ فی السهو و عدمه و کان فی محلّ یتلافیٰ فیه المشکوک أتی به</w:t>
      </w:r>
      <w:r>
        <w:rPr>
          <w:rFonts w:eastAsia="IRNazanin" w:cs="IRNazanin"/>
          <w:color w:val="111111"/>
          <w:sz w:val="28"/>
          <w:szCs w:val="28"/>
          <w:rtl w:val="true"/>
          <w:lang w:bidi="fa-IR"/>
        </w:rPr>
        <w:t>.</w:t>
      </w:r>
    </w:p>
    <w:p>
      <w:pPr>
        <w:pStyle w:val="Heading5"/>
        <w:numPr>
          <w:ilvl w:val="4"/>
          <w:numId w:val="1"/>
        </w:numPr>
        <w:rPr/>
      </w:pPr>
      <w:bookmarkStart w:id="2001" w:name="__RefHeading___Toc2566810_3650668749"/>
      <w:bookmarkStart w:id="2002" w:name="_Toc914"/>
      <w:bookmarkEnd w:id="2001"/>
      <w:r>
        <w:rPr>
          <w:rtl w:val="true"/>
        </w:rPr>
        <w:t>[</w:t>
      </w:r>
      <w:r>
        <w:rPr>
          <w:rtl w:val="true"/>
        </w:rPr>
        <w:t>القول فی الشکّ فی عدد رکعات الفریضة</w:t>
      </w:r>
      <w:r>
        <w:rPr>
          <w:rtl w:val="true"/>
        </w:rPr>
        <w:t>]</w:t>
      </w:r>
      <w:bookmarkEnd w:id="2002"/>
    </w:p>
    <w:p>
      <w:pPr>
        <w:pStyle w:val="Heading6"/>
        <w:numPr>
          <w:ilvl w:val="5"/>
          <w:numId w:val="1"/>
        </w:numPr>
        <w:rPr/>
      </w:pPr>
      <w:bookmarkStart w:id="2003" w:name="__RefHeading___Toc2566812_3650668749"/>
      <w:bookmarkStart w:id="2004" w:name="_Toc915"/>
      <w:bookmarkEnd w:id="2003"/>
      <w:r>
        <w:rPr>
          <w:rtl w:val="true"/>
        </w:rPr>
        <w:t>اشارة</w:t>
      </w:r>
      <w:bookmarkEnd w:id="2004"/>
    </w:p>
    <w:p>
      <w:pPr>
        <w:pStyle w:val="BookText"/>
        <w:rPr/>
      </w:pPr>
      <w:r>
        <w:rPr>
          <w:rFonts w:ascii="IRNazanin" w:hAnsi="IRNazanin" w:eastAsia="IRNazanin"/>
          <w:color w:val="111111"/>
          <w:sz w:val="28"/>
          <w:sz w:val="28"/>
          <w:szCs w:val="28"/>
          <w:rtl w:val="true"/>
          <w:lang w:bidi="fa-IR"/>
        </w:rPr>
        <w:t>القول فی الشکّ فی عدد رکعات الفریضة</w:t>
      </w:r>
    </w:p>
    <w:p>
      <w:pPr>
        <w:pStyle w:val="Heading6"/>
        <w:numPr>
          <w:ilvl w:val="5"/>
          <w:numId w:val="1"/>
        </w:numPr>
        <w:rPr/>
      </w:pPr>
      <w:bookmarkStart w:id="2005" w:name="__RefHeading___Toc2566814_3650668749"/>
      <w:bookmarkStart w:id="2006" w:name="_Toc916"/>
      <w:bookmarkEnd w:id="2005"/>
      <w:r>
        <w:rPr>
          <w:rtl w:val="true"/>
        </w:rPr>
        <w:t>[ (</w:t>
      </w:r>
      <w:r>
        <w:rPr>
          <w:rtl w:val="true"/>
        </w:rPr>
        <w:t xml:space="preserve">مسألة </w:t>
      </w:r>
      <w:r>
        <w:rPr/>
        <w:t>1</w:t>
      </w:r>
      <w:r>
        <w:rPr>
          <w:rtl w:val="true"/>
        </w:rPr>
        <w:t xml:space="preserve">): </w:t>
      </w:r>
      <w:r>
        <w:rPr>
          <w:rtl w:val="true"/>
        </w:rPr>
        <w:t>لا حکم للشکّ المزبور بمجرّد حصوله إن زال بعد ذلک</w:t>
      </w:r>
      <w:r>
        <w:rPr>
          <w:rtl w:val="true"/>
        </w:rPr>
        <w:t>]</w:t>
      </w:r>
      <w:bookmarkEnd w:id="200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للشکّ المزبور بمجرّد حصوله إن زال بعد ذلک، بل بعد استقراره، فحینئذٍ یکون مفسداً للثنائیّة و الثلاثیّة و الأُولیین من الرباعیّة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یصحّ فی صور مخصوصة منها بعد إحراز الأُولیین منها الحاصل برفع الرأس من السجدة الأخیرة، و أمّا مع إکمال الذکر الواجب فیها فالأحوط </w:t>
      </w:r>
      <w:r>
        <w:rPr>
          <w:rStyle w:val="FootnoteAnchor"/>
          <w:rtl w:val="true"/>
        </w:rPr>
        <w:footnoteReference w:id="582"/>
      </w:r>
      <w:r>
        <w:rPr>
          <w:rFonts w:ascii="Amiri" w:hAnsi="Amiri" w:eastAsia="Amiri" w:cs="Amiri"/>
          <w:color w:val="111111"/>
          <w:sz w:val="28"/>
          <w:sz w:val="28"/>
          <w:szCs w:val="28"/>
          <w:rtl w:val="true"/>
          <w:lang w:bidi="ar-SA"/>
        </w:rPr>
        <w:t>معه البناء ثمّ 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الاولیٰ من الصور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الاثنین و الثلاث بعد إکمال السجدتین فإنّه یبنی علی الثلاث و یأتی بالرابعة و یتمّ صلاته ثمّ یحتاط برکعة من قیام أو رکعتین من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الأولی الجمع بینهما مع تقدیم رکعة القیام ثمّ استئناف الصلاة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 الأربع فی أیّ موضع کان، فإنّه یبنی علی الأربع، و حکمه کالسابق حتّی فی الاحتیاط إلّا فی تقدیم الرکعة من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 الأربع بعد إکمال السجدتین، فإنّه یبنی علی الأربع و یتمّ صلاته، ثمّ یحتاط برکعتین من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 الثلاث و الأربع بعد إکمال السجدتین، فإنّه یبنی علی الأربع و یتمّ صلاته ثمّ یحتاط برکعتین من قیام و رکعتین من جلوس، و الأحوط بل الأقویٰ تأخیر الرکعتین من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الأربع و الخمس و له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رفع الرأس من السجدة الأخیرة، فیبنی علی الأربع و یتشهّد و یسلّم ثمّ یسجد سجدتی السهو، 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القیام، فیهدم و یجلس و یرجع شکّه </w:t>
      </w:r>
      <w:r>
        <w:rPr>
          <w:rStyle w:val="FootnoteAnchor"/>
          <w:rtl w:val="true"/>
        </w:rPr>
        <w:footnoteReference w:id="583"/>
      </w:r>
      <w:r>
        <w:rPr>
          <w:rFonts w:ascii="IRNazanin" w:hAnsi="IRNazanin" w:eastAsia="IRNazanin"/>
          <w:color w:val="111111"/>
          <w:sz w:val="28"/>
          <w:sz w:val="28"/>
          <w:szCs w:val="28"/>
          <w:rtl w:val="true"/>
          <w:lang w:bidi="fa-IR"/>
        </w:rPr>
        <w:t>إلیٰ ما بین الثلاث و الأربع، فیتمّ صلاته ثمّ یحتاط برکعة من قیام أو رکعتین من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 الخمس حال القیام فإنّه یهدم و یرجع شکّه إلیٰ ما بین الاثنتین و الأربع فیتمّ صلاته و یعمل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 الأربع و الخمس حال القیام، فإنّه یهدم القیام و یرجع شکّه إلی الشکّ بین الاثنتین و الثلاث و الأربع، فیتمّ صلاته و یعمل عمله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الخمس و الستّ حال القیام، یهدم القیام و یرجع شکّه إلیٰ ما بین</w:t>
      </w:r>
      <w:bookmarkStart w:id="2007" w:name="pg1809_19040"/>
    </w:p>
    <w:p>
      <w:pPr>
        <w:pStyle w:val="BookText"/>
        <w:rPr/>
      </w:pPr>
      <w:bookmarkEnd w:id="2007"/>
      <w:r>
        <w:rPr>
          <w:rFonts w:ascii="IRNazanin" w:hAnsi="IRNazanin" w:eastAsia="IRNazanin"/>
          <w:color w:val="111111"/>
          <w:sz w:val="28"/>
          <w:sz w:val="28"/>
          <w:szCs w:val="28"/>
          <w:rtl w:val="true"/>
          <w:lang w:bidi="fa-IR"/>
        </w:rPr>
        <w:t xml:space="preserve">الأربع و الخمس، فیتمّ و یسجد سجدتی السهو مرّتین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الأحوط فی الصور الأربع المتأخّرة استئناف الصلاة من رأس مع ذلک</w:t>
      </w:r>
      <w:r>
        <w:rPr>
          <w:rFonts w:eastAsia="IRNazanin" w:cs="IRNazanin"/>
          <w:color w:val="111111"/>
          <w:sz w:val="28"/>
          <w:szCs w:val="28"/>
          <w:rtl w:val="true"/>
          <w:lang w:bidi="fa-IR"/>
        </w:rPr>
        <w:t>.</w:t>
      </w:r>
    </w:p>
    <w:p>
      <w:pPr>
        <w:pStyle w:val="Heading6"/>
        <w:numPr>
          <w:ilvl w:val="5"/>
          <w:numId w:val="1"/>
        </w:numPr>
        <w:rPr/>
      </w:pPr>
      <w:bookmarkStart w:id="2008" w:name="__RefHeading___Toc2566816_3650668749"/>
      <w:bookmarkStart w:id="2009" w:name="_Toc917"/>
      <w:bookmarkEnd w:id="2008"/>
      <w:r>
        <w:rPr>
          <w:rtl w:val="true"/>
        </w:rPr>
        <w:t>[ (</w:t>
      </w:r>
      <w:r>
        <w:rPr>
          <w:rtl w:val="true"/>
        </w:rPr>
        <w:t xml:space="preserve">مسألة </w:t>
      </w:r>
      <w:r>
        <w:rPr/>
        <w:t>2</w:t>
      </w:r>
      <w:r>
        <w:rPr>
          <w:rtl w:val="true"/>
        </w:rPr>
        <w:t xml:space="preserve">): </w:t>
      </w:r>
      <w:r>
        <w:rPr>
          <w:rtl w:val="true"/>
        </w:rPr>
        <w:t>إذا شکّ بین الثلاث و الأربع، أو بین الثلاث و الخمس</w:t>
      </w:r>
      <w:r>
        <w:rPr>
          <w:rtl w:val="true"/>
        </w:rPr>
        <w:t>]</w:t>
      </w:r>
      <w:bookmarkEnd w:id="20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بین الثلاث و الأربع، أو بین الثلاث و الخمس، أو بین الثلاث و الأربع و الخمس فی حال القیام و علم أنّه ترک سجدة أو سجدتین من الرکعة السابقة بطلت الصلاة؛ لأنّه یجب علیه </w:t>
      </w:r>
      <w:r>
        <w:rPr>
          <w:rStyle w:val="FootnoteAnchor"/>
          <w:rtl w:val="true"/>
        </w:rPr>
        <w:footnoteReference w:id="585"/>
      </w:r>
      <w:r>
        <w:rPr>
          <w:rFonts w:ascii="IRNazanin" w:hAnsi="IRNazanin" w:eastAsia="IRNazanin"/>
          <w:color w:val="111111"/>
          <w:sz w:val="28"/>
          <w:sz w:val="28"/>
          <w:szCs w:val="28"/>
          <w:rtl w:val="true"/>
          <w:lang w:bidi="fa-IR"/>
        </w:rPr>
        <w:t>الهدم لتدارک السجدة أو السجدتین، فیرجع شکّه إلیٰ ما قبل الإکمال</w:t>
      </w:r>
      <w:r>
        <w:rPr>
          <w:rFonts w:eastAsia="IRNazanin" w:cs="IRNazanin"/>
          <w:color w:val="111111"/>
          <w:sz w:val="28"/>
          <w:szCs w:val="28"/>
          <w:rtl w:val="true"/>
          <w:lang w:bidi="fa-IR"/>
        </w:rPr>
        <w:t>.</w:t>
      </w:r>
    </w:p>
    <w:p>
      <w:pPr>
        <w:pStyle w:val="Heading6"/>
        <w:numPr>
          <w:ilvl w:val="5"/>
          <w:numId w:val="1"/>
        </w:numPr>
        <w:rPr/>
      </w:pPr>
      <w:bookmarkStart w:id="2010" w:name="__RefHeading___Toc2566818_3650668749"/>
      <w:bookmarkStart w:id="2011" w:name="_Toc918"/>
      <w:bookmarkEnd w:id="2010"/>
      <w:r>
        <w:rPr>
          <w:rtl w:val="true"/>
        </w:rPr>
        <w:t>[ (</w:t>
      </w:r>
      <w:r>
        <w:rPr>
          <w:rtl w:val="true"/>
        </w:rPr>
        <w:t xml:space="preserve">مسألة </w:t>
      </w:r>
      <w:r>
        <w:rPr/>
        <w:t>3</w:t>
      </w:r>
      <w:r>
        <w:rPr>
          <w:rtl w:val="true"/>
        </w:rPr>
        <w:t xml:space="preserve">): </w:t>
      </w:r>
      <w:r>
        <w:rPr>
          <w:rtl w:val="true"/>
        </w:rPr>
        <w:t>فی الشکوک المعتبر فیها إکمال السجدتین إذا شکّ فی الإکمال و عدمه</w:t>
      </w:r>
      <w:r>
        <w:rPr>
          <w:rtl w:val="true"/>
        </w:rPr>
        <w:t>]</w:t>
      </w:r>
      <w:bookmarkEnd w:id="20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الشکوک المعتبر فیها إکمال السجدتین إذا شکّ فی الإکمال و عدمه، فإن کان حال الجلوس قبل القیام أو التشهّد بطلت الصلاة؛ لأنّه محکوم بعدم الإتیان بالسجدتین أو إحداهما فیکون قبل الإکمال، و إن کان بعد تجاوز المحلّ لم تبطل </w:t>
      </w:r>
      <w:r>
        <w:rPr>
          <w:rStyle w:val="FootnoteAnchor"/>
          <w:rtl w:val="true"/>
        </w:rPr>
        <w:footnoteReference w:id="586"/>
      </w:r>
      <w:r>
        <w:rPr>
          <w:rFonts w:ascii="IRNazanin" w:hAnsi="IRNazanin" w:eastAsia="IRNazanin"/>
          <w:color w:val="111111"/>
          <w:sz w:val="28"/>
          <w:sz w:val="28"/>
          <w:szCs w:val="28"/>
          <w:rtl w:val="true"/>
          <w:lang w:bidi="fa-IR"/>
        </w:rPr>
        <w:t>لأنّه محکوم بالإتیان شرعاً فیکون بعد الإکمال</w:t>
      </w:r>
      <w:r>
        <w:rPr>
          <w:rFonts w:eastAsia="IRNazanin" w:cs="IRNazanin"/>
          <w:color w:val="111111"/>
          <w:sz w:val="28"/>
          <w:szCs w:val="28"/>
          <w:rtl w:val="true"/>
          <w:lang w:bidi="fa-IR"/>
        </w:rPr>
        <w:t>.</w:t>
      </w:r>
    </w:p>
    <w:p>
      <w:pPr>
        <w:pStyle w:val="Heading6"/>
        <w:numPr>
          <w:ilvl w:val="5"/>
          <w:numId w:val="1"/>
        </w:numPr>
        <w:rPr/>
      </w:pPr>
      <w:bookmarkStart w:id="2012" w:name="__RefHeading___Toc2566820_3650668749"/>
      <w:bookmarkStart w:id="2013" w:name="_Toc919"/>
      <w:bookmarkEnd w:id="2012"/>
      <w:r>
        <w:rPr>
          <w:rtl w:val="true"/>
        </w:rPr>
        <w:t>[ (</w:t>
      </w:r>
      <w:r>
        <w:rPr>
          <w:rtl w:val="true"/>
        </w:rPr>
        <w:t xml:space="preserve">مسألة </w:t>
      </w:r>
      <w:r>
        <w:rPr/>
        <w:t>4</w:t>
      </w:r>
      <w:r>
        <w:rPr>
          <w:rtl w:val="true"/>
        </w:rPr>
        <w:t xml:space="preserve">): </w:t>
      </w:r>
      <w:r>
        <w:rPr>
          <w:rtl w:val="true"/>
        </w:rPr>
        <w:t>الشکّ فی الرکعات ما عدا الصور المزبورة موجب للبطلان</w:t>
      </w:r>
      <w:r>
        <w:rPr>
          <w:rtl w:val="true"/>
        </w:rPr>
        <w:t>]</w:t>
      </w:r>
      <w:bookmarkEnd w:id="20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الرکعات ما عدا الصور المزبورة موجب للبطلان، نعم لا یبعد الصحّة </w:t>
      </w:r>
      <w:r>
        <w:rPr>
          <w:rStyle w:val="FootnoteAnchor"/>
          <w:rtl w:val="true"/>
        </w:rPr>
        <w:footnoteReference w:id="587"/>
      </w:r>
      <w:r>
        <w:rPr>
          <w:rFonts w:ascii="IRNazanin" w:hAnsi="IRNazanin" w:eastAsia="IRNazanin"/>
          <w:color w:val="111111"/>
          <w:sz w:val="28"/>
          <w:sz w:val="28"/>
          <w:szCs w:val="28"/>
          <w:rtl w:val="true"/>
          <w:lang w:bidi="fa-IR"/>
        </w:rPr>
        <w:t>فیما کان الطرف الأقلّ أربع و کان بعد إکمال السجدتین فیبنی علیها و ینفی الزائد و یتمّ الصلاة ثمّ یأتی بسجدتی السهو، کما فی الشکّ بین الأربع و الخمس، بل و کذلک فیما إذا شکّ بین الأربع و الأقلّ منها و الأکثر و کان بعد إکمال السجدتین، کما إذا شکّ بین الثلاث و الأربع و الستّ، فلا یبعد أن یعمل عمل الشکّ بین الثلاث و الأربع و عمل الشکّ بین الأربع و الخمس فیبنی علی الأربع و یأتی بصلاة الاحتیاط، ثمّ یسجد سجدتی السهو، و الاحتیاط مع ذلک بالإعادة لا ینبغی ترکه</w:t>
      </w:r>
      <w:r>
        <w:rPr>
          <w:rFonts w:eastAsia="IRNazanin" w:cs="IRNazanin"/>
          <w:color w:val="111111"/>
          <w:sz w:val="28"/>
          <w:szCs w:val="28"/>
          <w:rtl w:val="true"/>
          <w:lang w:bidi="fa-IR"/>
        </w:rPr>
        <w:t>.</w:t>
      </w:r>
    </w:p>
    <w:p>
      <w:pPr>
        <w:pStyle w:val="Heading6"/>
        <w:numPr>
          <w:ilvl w:val="5"/>
          <w:numId w:val="1"/>
        </w:numPr>
        <w:rPr/>
      </w:pPr>
      <w:bookmarkStart w:id="2014" w:name="__RefHeading___Toc2566822_3650668749"/>
      <w:bookmarkStart w:id="2015" w:name="_Toc920"/>
      <w:bookmarkEnd w:id="2014"/>
      <w:r>
        <w:rPr>
          <w:rtl w:val="true"/>
        </w:rPr>
        <w:t>[ (</w:t>
      </w:r>
      <w:r>
        <w:rPr>
          <w:rtl w:val="true"/>
        </w:rPr>
        <w:t xml:space="preserve">مسألة </w:t>
      </w:r>
      <w:r>
        <w:rPr/>
        <w:t>5</w:t>
      </w:r>
      <w:r>
        <w:rPr>
          <w:rtl w:val="true"/>
        </w:rPr>
        <w:t xml:space="preserve">): </w:t>
      </w:r>
      <w:r>
        <w:rPr>
          <w:rtl w:val="true"/>
        </w:rPr>
        <w:t>لو علم و هو فی الصلاة أنّه شکّ سابقاً بین الاثنتین و الثلاث</w:t>
      </w:r>
      <w:r>
        <w:rPr>
          <w:rtl w:val="true"/>
        </w:rPr>
        <w:t>]</w:t>
      </w:r>
      <w:bookmarkEnd w:id="201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و هو فی الصلاة أنّه شکّ سابقاً بین الاثنتین و الثلاث و لا یدری أنّه</w:t>
      </w:r>
      <w:bookmarkStart w:id="2016" w:name="pg1809_19042"/>
    </w:p>
    <w:p>
      <w:pPr>
        <w:pStyle w:val="BookText"/>
        <w:rPr/>
      </w:pPr>
      <w:bookmarkEnd w:id="2016"/>
      <w:r>
        <w:rPr>
          <w:rFonts w:ascii="IRNazanin" w:hAnsi="IRNazanin" w:eastAsia="IRNazanin"/>
          <w:color w:val="111111"/>
          <w:sz w:val="28"/>
          <w:sz w:val="28"/>
          <w:szCs w:val="28"/>
          <w:rtl w:val="true"/>
          <w:lang w:bidi="fa-IR"/>
        </w:rPr>
        <w:t xml:space="preserve">کان قبل إکمال السجدتین أو بعده بنیٰ علی الثانی </w:t>
      </w:r>
      <w:r>
        <w:rPr>
          <w:rStyle w:val="FootnoteAnchor"/>
          <w:rtl w:val="true"/>
        </w:rPr>
        <w:footnoteReference w:id="588"/>
      </w:r>
      <w:r>
        <w:rPr>
          <w:rFonts w:ascii="IRNazanin" w:hAnsi="IRNazanin" w:eastAsia="IRNazanin"/>
          <w:color w:val="111111"/>
          <w:sz w:val="28"/>
          <w:sz w:val="28"/>
          <w:szCs w:val="28"/>
          <w:rtl w:val="true"/>
          <w:lang w:bidi="fa-IR"/>
        </w:rPr>
        <w:t>و عمل عمله، و کذا إذا کان ذلک بعد الفراغ من الصلاة و الأحوط البناء و عمل الشکّ ثمّ إعادة الصلاة</w:t>
      </w:r>
      <w:r>
        <w:rPr>
          <w:rFonts w:eastAsia="IRNazanin" w:cs="IRNazanin"/>
          <w:color w:val="111111"/>
          <w:sz w:val="28"/>
          <w:szCs w:val="28"/>
          <w:rtl w:val="true"/>
          <w:lang w:bidi="fa-IR"/>
        </w:rPr>
        <w:t>.</w:t>
      </w:r>
    </w:p>
    <w:p>
      <w:pPr>
        <w:pStyle w:val="Heading6"/>
        <w:numPr>
          <w:ilvl w:val="5"/>
          <w:numId w:val="1"/>
        </w:numPr>
        <w:rPr/>
      </w:pPr>
      <w:bookmarkStart w:id="2017" w:name="__RefHeading___Toc2566824_3650668749"/>
      <w:bookmarkStart w:id="2018" w:name="_Toc921"/>
      <w:bookmarkEnd w:id="2017"/>
      <w:r>
        <w:rPr>
          <w:rtl w:val="true"/>
        </w:rPr>
        <w:t>[ (</w:t>
      </w:r>
      <w:r>
        <w:rPr>
          <w:rtl w:val="true"/>
        </w:rPr>
        <w:t xml:space="preserve">مسألة </w:t>
      </w:r>
      <w:r>
        <w:rPr/>
        <w:t>6</w:t>
      </w:r>
      <w:r>
        <w:rPr>
          <w:rtl w:val="true"/>
        </w:rPr>
        <w:t xml:space="preserve">): </w:t>
      </w:r>
      <w:r>
        <w:rPr>
          <w:rtl w:val="true"/>
        </w:rPr>
        <w:t>لو شکّ بعد الفراغ أنّ شکّه کان موجباً لرکعة أو رکعتین</w:t>
      </w:r>
      <w:r>
        <w:rPr>
          <w:rtl w:val="true"/>
        </w:rPr>
        <w:t>]</w:t>
      </w:r>
      <w:bookmarkEnd w:id="20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بعد الفراغ أنّ شکّه کان موجباً لرکعة أو رکعتین، فالأحوط الإتیان بهما ثمّ إعادة الصلاة، و کذا لو لم یدر أنّه أیّ شکّ کان من الشکوک الصحیحة فإنّه یعید الصلاة بعد الإتیان بموجب الجمیع، و یحصل ذلک بالإتیان برکعتین من قیام و رکعتین من جلوس و سجود السهو، و إن لم ینحصر المحتملات فی الشکوک الصحیحة، بل احتمل بعض الوجوه الباطلة استأنف الصلاة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19" w:name="__RefHeading___Toc2566826_3650668749"/>
      <w:bookmarkStart w:id="2020" w:name="_Toc922"/>
      <w:bookmarkEnd w:id="2019"/>
      <w:r>
        <w:rPr>
          <w:rtl w:val="true"/>
        </w:rPr>
        <w:t>[ (</w:t>
      </w:r>
      <w:r>
        <w:rPr>
          <w:rtl w:val="true"/>
        </w:rPr>
        <w:t xml:space="preserve">مسألة </w:t>
      </w:r>
      <w:r>
        <w:rPr/>
        <w:t>7</w:t>
      </w:r>
      <w:r>
        <w:rPr>
          <w:rtl w:val="true"/>
        </w:rPr>
        <w:t xml:space="preserve">): </w:t>
      </w:r>
      <w:r>
        <w:rPr>
          <w:rtl w:val="true"/>
        </w:rPr>
        <w:t>إذا عرض له أحد الشکوک و لم یعلم الوظیفة</w:t>
      </w:r>
      <w:r>
        <w:rPr>
          <w:rtl w:val="true"/>
        </w:rPr>
        <w:t>]</w:t>
      </w:r>
      <w:bookmarkEnd w:id="20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 له أحد الشکوک و لم یعلم الوظیفة، فإن لم یسع الوقت أو لم یتمکّن من التعلّم فی الوقت تعیّن علیه العمل علی الراجح من المحتملات لو کان، أو أحدها لو لم یکن و یتمّ صلاته، و إذا تبیّن له بعد ذلک أنّ العمل مخالف للواقع استأنف الصلاة و لو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اتّسع الوقت و تمکّن من التعلّم فی الوقت یقطع الصلاة و إن جاز له إتمام العمل علیٰ طبق بعض المحتملات ثمّ التعلّم، فإن کان موافقاً اکتفیٰ به و إلّا أعاد؛ و إن کان الأحوط الإعادة حتّی مع الموافقة</w:t>
      </w:r>
      <w:r>
        <w:rPr>
          <w:rFonts w:eastAsia="IRNazanin" w:cs="IRNazanin"/>
          <w:color w:val="111111"/>
          <w:sz w:val="28"/>
          <w:szCs w:val="28"/>
          <w:rtl w:val="true"/>
          <w:lang w:bidi="fa-IR"/>
        </w:rPr>
        <w:t>.</w:t>
      </w:r>
    </w:p>
    <w:p>
      <w:pPr>
        <w:pStyle w:val="Heading6"/>
        <w:numPr>
          <w:ilvl w:val="5"/>
          <w:numId w:val="1"/>
        </w:numPr>
        <w:rPr/>
      </w:pPr>
      <w:bookmarkStart w:id="2021" w:name="__RefHeading___Toc2566828_3650668749"/>
      <w:bookmarkStart w:id="2022" w:name="_Toc923"/>
      <w:bookmarkEnd w:id="2021"/>
      <w:r>
        <w:rPr>
          <w:rtl w:val="true"/>
        </w:rPr>
        <w:t>[ (</w:t>
      </w:r>
      <w:r>
        <w:rPr>
          <w:rtl w:val="true"/>
        </w:rPr>
        <w:t xml:space="preserve">مسألة </w:t>
      </w:r>
      <w:r>
        <w:rPr/>
        <w:t>8</w:t>
      </w:r>
      <w:r>
        <w:rPr>
          <w:rtl w:val="true"/>
        </w:rPr>
        <w:t xml:space="preserve">): </w:t>
      </w:r>
      <w:r>
        <w:rPr>
          <w:rtl w:val="true"/>
        </w:rPr>
        <w:t>لو انقلب شکّه بعد الفراغ إلیٰ شکّ آخر</w:t>
      </w:r>
      <w:r>
        <w:rPr>
          <w:rtl w:val="true"/>
        </w:rPr>
        <w:t>]</w:t>
      </w:r>
      <w:bookmarkEnd w:id="202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انقلب شکّه بعد الفراغ إلیٰ شکّ آخر، کما إذا شکّ بین الاثنتین و الأربع و بعد الصلاة انقلب إلی الثلاث و الأربع، أو شکّ بین الاثنتین و الثلاث و الأربع فانقلب إلی الثلاث و الأربع صحّت صلاته </w:t>
      </w:r>
      <w:r>
        <w:rPr>
          <w:rStyle w:val="FootnoteAnchor"/>
          <w:rtl w:val="true"/>
        </w:rPr>
        <w:footnoteReference w:id="590"/>
      </w:r>
      <w:r>
        <w:rPr>
          <w:rFonts w:ascii="IRNazanin" w:hAnsi="IRNazanin" w:eastAsia="IRNazanin"/>
          <w:color w:val="111111"/>
          <w:sz w:val="28"/>
          <w:sz w:val="28"/>
          <w:szCs w:val="28"/>
          <w:rtl w:val="true"/>
          <w:lang w:bidi="fa-IR"/>
        </w:rPr>
        <w:t>و لا شی‌ء علیه، و إن کان الأحوط عمل الشکّ الثانی خصوصاً فی 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ینقلب إلیٰ ما یعلم معه بالنقیصة کالمثالین المذکورین، و أمّا إذا انقلب إلیٰ ذلک کما إذا شکّ بین الاثنتین و الأربع ثمّ انقلب بعد الصلاة إلی الاثنتین و الثلاث، فلا شکّ فی أنّ اللازم أن یعمل عمل الشکّ المنقلب إلیه لتبیّن کونه فی الصلاة و أنّ السلام وقع فی غیر محلّه، فیضیف إلیٰ عمل الشکّ الثانی سجدتی السهو للسلام فی غیر محلّه</w:t>
      </w:r>
      <w:r>
        <w:rPr>
          <w:rFonts w:eastAsia="IRNazanin" w:cs="IRNazanin"/>
          <w:color w:val="111111"/>
          <w:sz w:val="28"/>
          <w:szCs w:val="28"/>
          <w:rtl w:val="true"/>
          <w:lang w:bidi="fa-IR"/>
        </w:rPr>
        <w:t>.</w:t>
      </w:r>
      <w:bookmarkStart w:id="2023" w:name="pg1809_19044"/>
    </w:p>
    <w:p>
      <w:pPr>
        <w:pStyle w:val="Heading6"/>
        <w:numPr>
          <w:ilvl w:val="5"/>
          <w:numId w:val="1"/>
        </w:numPr>
        <w:rPr/>
      </w:pPr>
      <w:bookmarkStart w:id="2024" w:name="__RefHeading___Toc2566830_3650668749"/>
      <w:bookmarkStart w:id="2025" w:name="_Toc924"/>
      <w:bookmarkEnd w:id="2023"/>
      <w:bookmarkEnd w:id="2024"/>
      <w:r>
        <w:rPr>
          <w:rtl w:val="true"/>
        </w:rPr>
        <w:t>[ (</w:t>
      </w:r>
      <w:r>
        <w:rPr>
          <w:rtl w:val="true"/>
        </w:rPr>
        <w:t xml:space="preserve">مسألة </w:t>
      </w:r>
      <w:r>
        <w:rPr/>
        <w:t>9</w:t>
      </w:r>
      <w:r>
        <w:rPr>
          <w:rtl w:val="true"/>
        </w:rPr>
        <w:t xml:space="preserve">): </w:t>
      </w:r>
      <w:r>
        <w:rPr>
          <w:rtl w:val="true"/>
        </w:rPr>
        <w:t>إذا شکّ بین الاثنتین و الثلاث فبنیٰ علی الثلاث ثمّ شکّ</w:t>
      </w:r>
      <w:r>
        <w:rPr>
          <w:rtl w:val="true"/>
        </w:rPr>
        <w:t>]</w:t>
      </w:r>
      <w:bookmarkEnd w:id="20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بین الاثنتین و الثلاث فبنیٰ علی الثلاث ثمّ شکّ بین الثلاث البنائی و الأربع فالظاهر انقلاب شکّه إلی الشکّ بین الاثنتین و الثلاث و الأربع فیعمل عمله</w:t>
      </w:r>
      <w:r>
        <w:rPr>
          <w:rFonts w:eastAsia="IRNazanin" w:cs="IRNazanin"/>
          <w:color w:val="111111"/>
          <w:sz w:val="28"/>
          <w:szCs w:val="28"/>
          <w:rtl w:val="true"/>
          <w:lang w:bidi="fa-IR"/>
        </w:rPr>
        <w:t>.</w:t>
      </w:r>
    </w:p>
    <w:p>
      <w:pPr>
        <w:pStyle w:val="Heading6"/>
        <w:numPr>
          <w:ilvl w:val="5"/>
          <w:numId w:val="1"/>
        </w:numPr>
        <w:rPr/>
      </w:pPr>
      <w:bookmarkStart w:id="2026" w:name="__RefHeading___Toc2566832_3650668749"/>
      <w:bookmarkStart w:id="2027" w:name="_Toc925"/>
      <w:bookmarkEnd w:id="2026"/>
      <w:r>
        <w:rPr>
          <w:rtl w:val="true"/>
        </w:rPr>
        <w:t>[ (</w:t>
      </w:r>
      <w:r>
        <w:rPr>
          <w:rtl w:val="true"/>
        </w:rPr>
        <w:t xml:space="preserve">مسألة </w:t>
      </w:r>
      <w:r>
        <w:rPr/>
        <w:t>10</w:t>
      </w:r>
      <w:r>
        <w:rPr>
          <w:rtl w:val="true"/>
        </w:rPr>
        <w:t xml:space="preserve">): </w:t>
      </w:r>
      <w:r>
        <w:rPr>
          <w:rtl w:val="true"/>
        </w:rPr>
        <w:t>لو شکّ بین الاثنتین و الثلاث فبنیٰ علی الثلاث</w:t>
      </w:r>
      <w:r>
        <w:rPr>
          <w:rtl w:val="true"/>
        </w:rPr>
        <w:t>]</w:t>
      </w:r>
      <w:bookmarkEnd w:id="20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بین الاثنتین و الثلاث فبنیٰ علی الثلاث، فلمّا أتی بالرابعة تیقّن أنّه حین الشکّ لم یأت بالثلاثة، لکن یشکّ فی أنّه فی ذلک الحین أتی برکعة أو رکعتین، یرجع شکّه بالنسبة إلیٰ حاله الفعلی بین الاثنتین و الثلاث فیعمل عمله</w:t>
      </w:r>
      <w:r>
        <w:rPr>
          <w:rFonts w:eastAsia="IRNazanin" w:cs="IRNazanin"/>
          <w:color w:val="111111"/>
          <w:sz w:val="28"/>
          <w:szCs w:val="28"/>
          <w:rtl w:val="true"/>
          <w:lang w:bidi="fa-IR"/>
        </w:rPr>
        <w:t>.</w:t>
      </w:r>
    </w:p>
    <w:p>
      <w:pPr>
        <w:pStyle w:val="Heading6"/>
        <w:numPr>
          <w:ilvl w:val="5"/>
          <w:numId w:val="1"/>
        </w:numPr>
        <w:rPr/>
      </w:pPr>
      <w:bookmarkStart w:id="2028" w:name="__RefHeading___Toc2566834_3650668749"/>
      <w:bookmarkStart w:id="2029" w:name="_Toc926"/>
      <w:bookmarkEnd w:id="2028"/>
      <w:r>
        <w:rPr>
          <w:rtl w:val="true"/>
        </w:rPr>
        <w:t>[ (</w:t>
      </w:r>
      <w:r>
        <w:rPr>
          <w:rtl w:val="true"/>
        </w:rPr>
        <w:t xml:space="preserve">مسألة </w:t>
      </w:r>
      <w:r>
        <w:rPr/>
        <w:t>11</w:t>
      </w:r>
      <w:r>
        <w:rPr>
          <w:rtl w:val="true"/>
        </w:rPr>
        <w:t xml:space="preserve">): </w:t>
      </w:r>
      <w:r>
        <w:rPr>
          <w:rtl w:val="true"/>
        </w:rPr>
        <w:t>من کان عاجزاً عن القیام و عرض له أحد الشکوک الصحیحة</w:t>
      </w:r>
      <w:r>
        <w:rPr>
          <w:rtl w:val="true"/>
        </w:rPr>
        <w:t>]</w:t>
      </w:r>
      <w:bookmarkEnd w:id="20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عاجزاً عن القیام و عرض له أحد الشکوک الصحیحة، فالظاهر أنّ صلاته الاحتیاطیة القیامیّة تصیر جلوسیّة، و ما کانت جلوسیّة بالتعیین تبقیٰ علیٰ حالها و أمّا الجلوسیّة التی تکون بدلًا عن القیامیّة ینتفی موضوعها، فلیست مشروعة </w:t>
      </w:r>
      <w:r>
        <w:rPr>
          <w:rStyle w:val="FootnoteAnchor"/>
          <w:rtl w:val="true"/>
        </w:rPr>
        <w:footnoteReference w:id="591"/>
      </w:r>
      <w:r>
        <w:rPr>
          <w:rFonts w:ascii="IRNazanin" w:hAnsi="IRNazanin" w:eastAsia="IRNazanin"/>
          <w:color w:val="111111"/>
          <w:sz w:val="28"/>
          <w:sz w:val="28"/>
          <w:szCs w:val="28"/>
          <w:rtl w:val="true"/>
          <w:lang w:bidi="fa-IR"/>
        </w:rPr>
        <w:t>ففی الشکّ بین الاثنتین و الثلاث أو الشکّ بین الثلاث و الأربع تتعیّن رکعة جالساً و لیس لها بدل، و فی الشکّ بین الاثنتین و الأربع یتعیّن رکعتان جالساً، و فی الشکّ بین الاثنتین و الثلاث و الأربع رکعتان جالساً ثمّ رکعتان أُخریان جالساً، و الأحوط فی الجمیع إعادة الصلاة بعد العمل المذکور</w:t>
      </w:r>
      <w:r>
        <w:rPr>
          <w:rFonts w:eastAsia="IRNazanin" w:cs="IRNazanin"/>
          <w:color w:val="111111"/>
          <w:sz w:val="28"/>
          <w:szCs w:val="28"/>
          <w:rtl w:val="true"/>
          <w:lang w:bidi="fa-IR"/>
        </w:rPr>
        <w:t>.</w:t>
      </w:r>
    </w:p>
    <w:p>
      <w:pPr>
        <w:pStyle w:val="Heading6"/>
        <w:numPr>
          <w:ilvl w:val="5"/>
          <w:numId w:val="1"/>
        </w:numPr>
        <w:rPr/>
      </w:pPr>
      <w:bookmarkStart w:id="2030" w:name="__RefHeading___Toc2566836_3650668749"/>
      <w:bookmarkStart w:id="2031" w:name="_Toc927"/>
      <w:bookmarkEnd w:id="2030"/>
      <w:r>
        <w:rPr>
          <w:rtl w:val="true"/>
        </w:rPr>
        <w:t>[ (</w:t>
      </w:r>
      <w:r>
        <w:rPr>
          <w:rtl w:val="true"/>
        </w:rPr>
        <w:t xml:space="preserve">مسألة </w:t>
      </w:r>
      <w:r>
        <w:rPr/>
        <w:t>12</w:t>
      </w:r>
      <w:r>
        <w:rPr>
          <w:rtl w:val="true"/>
        </w:rPr>
        <w:t xml:space="preserve">): </w:t>
      </w:r>
      <w:r>
        <w:rPr>
          <w:rtl w:val="true"/>
        </w:rPr>
        <w:t>لا یجوز فی الشکوک الصحیحة قطع الصلاة و استئنافها</w:t>
      </w:r>
      <w:r>
        <w:rPr>
          <w:rtl w:val="true"/>
        </w:rPr>
        <w:t>]</w:t>
      </w:r>
      <w:bookmarkEnd w:id="20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فی الشکوک الصحیحة قطع الصلاة و استئنافها، بل یجب فی کلّ منها العمل علیٰ وظیفته، نعم لو أبطل صلاته ثمّ استأنفها صحّت صلاته المستأنفة و إن کان آثماً فی الإبطال</w:t>
      </w:r>
      <w:r>
        <w:rPr>
          <w:rFonts w:eastAsia="IRNazanin" w:cs="IRNazanin"/>
          <w:color w:val="111111"/>
          <w:sz w:val="28"/>
          <w:szCs w:val="28"/>
          <w:rtl w:val="true"/>
          <w:lang w:bidi="fa-IR"/>
        </w:rPr>
        <w:t>.</w:t>
      </w:r>
    </w:p>
    <w:p>
      <w:pPr>
        <w:pStyle w:val="Heading6"/>
        <w:numPr>
          <w:ilvl w:val="5"/>
          <w:numId w:val="1"/>
        </w:numPr>
        <w:rPr/>
      </w:pPr>
      <w:bookmarkStart w:id="2032" w:name="__RefHeading___Toc2566838_3650668749"/>
      <w:bookmarkStart w:id="2033" w:name="_Toc928"/>
      <w:bookmarkEnd w:id="2032"/>
      <w:r>
        <w:rPr>
          <w:rtl w:val="true"/>
        </w:rPr>
        <w:t>[ (</w:t>
      </w:r>
      <w:r>
        <w:rPr>
          <w:rtl w:val="true"/>
        </w:rPr>
        <w:t xml:space="preserve">مسألة </w:t>
      </w:r>
      <w:r>
        <w:rPr/>
        <w:t>13</w:t>
      </w:r>
      <w:r>
        <w:rPr>
          <w:rtl w:val="true"/>
        </w:rPr>
        <w:t xml:space="preserve">): </w:t>
      </w:r>
      <w:r>
        <w:rPr>
          <w:rtl w:val="true"/>
        </w:rPr>
        <w:t>فی الشکوک الباطلة إذا غفل عن شکّه و أتمّ الصلاة ثمّ تبیّن له الموافقة للواقع</w:t>
      </w:r>
      <w:r>
        <w:rPr>
          <w:rtl w:val="true"/>
        </w:rPr>
        <w:t>]</w:t>
      </w:r>
      <w:bookmarkEnd w:id="20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الشکوک الباطلة إذا غفل عن شکّه و أتمّ الصلاة ثمّ تبیّن له الموافقة للواقع ففی الصحّة و عدمها وجهان، أوجههما البطلان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34" w:name="__RefHeading___Toc2566840_3650668749"/>
      <w:bookmarkStart w:id="2035" w:name="_Toc929"/>
      <w:bookmarkEnd w:id="2034"/>
      <w:r>
        <w:rPr>
          <w:rtl w:val="true"/>
        </w:rPr>
        <w:t>[ (</w:t>
      </w:r>
      <w:r>
        <w:rPr>
          <w:rtl w:val="true"/>
        </w:rPr>
        <w:t xml:space="preserve">مسألة </w:t>
      </w:r>
      <w:r>
        <w:rPr/>
        <w:t>14</w:t>
      </w:r>
      <w:r>
        <w:rPr>
          <w:rtl w:val="true"/>
        </w:rPr>
        <w:t xml:space="preserve">): </w:t>
      </w:r>
      <w:r>
        <w:rPr>
          <w:rtl w:val="true"/>
        </w:rPr>
        <w:t>لو کان المسافر فی أحد مواطن التخییر فنویٰ بصلاته القصر و شکّ فی الرکعات بطلت</w:t>
      </w:r>
      <w:r>
        <w:rPr>
          <w:rtl w:val="true"/>
        </w:rPr>
        <w:t>]</w:t>
      </w:r>
      <w:bookmarkEnd w:id="203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المسافر فی أحد مواطن التخییر فنویٰ بصلاته القصر و شکّ فی الرکعات بطلت، و هل یجدیه العدول إلی التمام و یعالج به صلاته عن الفساد؟ فیه نظر </w:t>
      </w:r>
      <w:r>
        <w:rPr>
          <w:rStyle w:val="FootnoteAnchor"/>
          <w:rtl w:val="true"/>
        </w:rPr>
        <w:footnoteReference w:id="593"/>
      </w:r>
      <w:r>
        <w:rPr>
          <w:rFonts w:ascii="IRNazanin" w:hAnsi="IRNazanin" w:eastAsia="IRNazanin"/>
          <w:color w:val="111111"/>
          <w:sz w:val="28"/>
          <w:sz w:val="28"/>
          <w:szCs w:val="28"/>
          <w:rtl w:val="true"/>
          <w:lang w:bidi="fa-IR"/>
        </w:rPr>
        <w:t>و إشکال کما مرّ فی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عرض له الشکّ بعد العدول صحّ</w:t>
      </w:r>
      <w:r>
        <w:rPr>
          <w:rFonts w:eastAsia="IRNazanin" w:cs="IRNazanin"/>
          <w:color w:val="111111"/>
          <w:sz w:val="28"/>
          <w:szCs w:val="28"/>
          <w:rtl w:val="true"/>
          <w:lang w:bidi="fa-IR"/>
        </w:rPr>
        <w:t>.</w:t>
      </w:r>
      <w:bookmarkStart w:id="2036" w:name="pg1809_19046"/>
    </w:p>
    <w:p>
      <w:pPr>
        <w:pStyle w:val="BookText"/>
        <w:rPr/>
      </w:pPr>
      <w:bookmarkEnd w:id="2036"/>
      <w:r>
        <w:rPr>
          <w:rFonts w:ascii="IRNazanin" w:hAnsi="IRNazanin" w:eastAsia="IRNazanin"/>
          <w:color w:val="111111"/>
          <w:sz w:val="28"/>
          <w:sz w:val="28"/>
          <w:szCs w:val="28"/>
          <w:rtl w:val="true"/>
          <w:lang w:bidi="fa-IR"/>
        </w:rPr>
        <w:t>إتیان التشهّد فی هذه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جهة الشکّ فی الرکعات فیبنی علی الثلاث، و أمّا من جهة التشهّد فالأقوی الجمع </w:t>
      </w:r>
      <w:r>
        <w:rPr>
          <w:rStyle w:val="FootnoteAnchor"/>
          <w:rtl w:val="true"/>
        </w:rPr>
        <w:footnoteReference w:id="594"/>
      </w:r>
      <w:r>
        <w:rPr>
          <w:rFonts w:ascii="IRNazanin" w:hAnsi="IRNazanin" w:eastAsia="IRNazanin"/>
          <w:color w:val="111111"/>
          <w:sz w:val="28"/>
          <w:sz w:val="28"/>
          <w:szCs w:val="28"/>
          <w:rtl w:val="true"/>
          <w:lang w:bidi="fa-IR"/>
        </w:rPr>
        <w:t>بین الإتیان به و قضاؤه بعد الصلاة؛ للعلم الإجمالی بوجوب أحدهما، و کذلک لو شکّ و هو قائم بین الثلاث و الأربع مع علمه بعدم الإتیان بالتشهّد فی الثانیة وجب علیه العود لإتیانه ثمّ قضاؤه بعد الصلاة</w:t>
      </w:r>
      <w:r>
        <w:rPr>
          <w:rFonts w:eastAsia="IRNazanin" w:cs="IRNazanin"/>
          <w:color w:val="111111"/>
          <w:sz w:val="28"/>
          <w:szCs w:val="28"/>
          <w:rtl w:val="true"/>
          <w:lang w:bidi="fa-IR"/>
        </w:rPr>
        <w:t>.</w:t>
      </w:r>
    </w:p>
    <w:p>
      <w:pPr>
        <w:pStyle w:val="Heading5"/>
        <w:numPr>
          <w:ilvl w:val="4"/>
          <w:numId w:val="1"/>
        </w:numPr>
        <w:rPr/>
      </w:pPr>
      <w:bookmarkStart w:id="2037" w:name="__RefHeading___Toc2566842_3650668749"/>
      <w:bookmarkStart w:id="2038" w:name="_Toc930"/>
      <w:bookmarkEnd w:id="2037"/>
      <w:r>
        <w:rPr>
          <w:rtl w:val="true"/>
        </w:rPr>
        <w:t>[</w:t>
      </w:r>
      <w:r>
        <w:rPr>
          <w:rtl w:val="true"/>
        </w:rPr>
        <w:t>القول فی الشکوک التی لا اعتبار بها</w:t>
      </w:r>
      <w:r>
        <w:rPr>
          <w:rtl w:val="true"/>
        </w:rPr>
        <w:t>]</w:t>
      </w:r>
      <w:bookmarkEnd w:id="2038"/>
    </w:p>
    <w:p>
      <w:pPr>
        <w:pStyle w:val="Heading6"/>
        <w:numPr>
          <w:ilvl w:val="5"/>
          <w:numId w:val="1"/>
        </w:numPr>
        <w:rPr/>
      </w:pPr>
      <w:bookmarkStart w:id="2039" w:name="__RefHeading___Toc2566844_3650668749"/>
      <w:bookmarkStart w:id="2040" w:name="_Toc931"/>
      <w:bookmarkEnd w:id="2039"/>
      <w:r>
        <w:rPr>
          <w:rtl w:val="true"/>
        </w:rPr>
        <w:t>اشارة</w:t>
      </w:r>
      <w:bookmarkEnd w:id="2040"/>
    </w:p>
    <w:p>
      <w:pPr>
        <w:pStyle w:val="BookText"/>
        <w:rPr/>
      </w:pPr>
      <w:r>
        <w:rPr>
          <w:rFonts w:ascii="IRNazanin" w:hAnsi="IRNazanin" w:eastAsia="IRNazanin"/>
          <w:color w:val="111111"/>
          <w:sz w:val="28"/>
          <w:sz w:val="28"/>
          <w:szCs w:val="28"/>
          <w:rtl w:val="true"/>
          <w:lang w:bidi="fa-IR"/>
        </w:rPr>
        <w:t>القول فی الشکوک التی لا اعتبار بها و هی فی مواضع</w:t>
      </w:r>
      <w:r>
        <w:rPr>
          <w:rFonts w:eastAsia="IRNazanin" w:cs="IRNazanin"/>
          <w:color w:val="111111"/>
          <w:sz w:val="28"/>
          <w:szCs w:val="28"/>
          <w:rtl w:val="true"/>
          <w:lang w:bidi="fa-IR"/>
        </w:rPr>
        <w:t>:</w:t>
      </w:r>
    </w:p>
    <w:p>
      <w:pPr>
        <w:pStyle w:val="Heading6"/>
        <w:numPr>
          <w:ilvl w:val="5"/>
          <w:numId w:val="1"/>
        </w:numPr>
        <w:rPr/>
      </w:pPr>
      <w:bookmarkStart w:id="2041" w:name="__RefHeading___Toc2566846_3650668749"/>
      <w:bookmarkStart w:id="2042" w:name="_Toc932"/>
      <w:bookmarkEnd w:id="2041"/>
      <w:r>
        <w:rPr>
          <w:rtl w:val="true"/>
        </w:rPr>
        <w:t>[</w:t>
      </w:r>
      <w:r>
        <w:rPr>
          <w:rtl w:val="true"/>
        </w:rPr>
        <w:t>منها</w:t>
      </w:r>
      <w:r>
        <w:rPr>
          <w:rtl w:val="true"/>
        </w:rPr>
        <w:t xml:space="preserve">: </w:t>
      </w:r>
      <w:r>
        <w:rPr>
          <w:rtl w:val="true"/>
        </w:rPr>
        <w:t>الشکّ بعد تجاوز المحلّ</w:t>
      </w:r>
      <w:r>
        <w:rPr>
          <w:rtl w:val="true"/>
        </w:rPr>
        <w:t>]</w:t>
      </w:r>
      <w:bookmarkEnd w:id="2042"/>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 بعد تجاوز المحلّ و قد مرّ</w:t>
      </w:r>
      <w:r>
        <w:rPr>
          <w:rFonts w:eastAsia="Amiri" w:cs="Amiri" w:ascii="Amiri" w:hAnsi="Amiri"/>
          <w:color w:val="111111"/>
          <w:sz w:val="28"/>
          <w:szCs w:val="28"/>
          <w:rtl w:val="true"/>
          <w:lang w:bidi="ar-SA"/>
        </w:rPr>
        <w:t>.</w:t>
      </w:r>
    </w:p>
    <w:p>
      <w:pPr>
        <w:pStyle w:val="Heading6"/>
        <w:numPr>
          <w:ilvl w:val="5"/>
          <w:numId w:val="1"/>
        </w:numPr>
        <w:rPr/>
      </w:pPr>
      <w:bookmarkStart w:id="2043" w:name="__RefHeading___Toc2566848_3650668749"/>
      <w:bookmarkStart w:id="2044" w:name="_Toc933"/>
      <w:bookmarkEnd w:id="2043"/>
      <w:r>
        <w:rPr>
          <w:rtl w:val="true"/>
        </w:rPr>
        <w:t>[</w:t>
      </w:r>
      <w:r>
        <w:rPr>
          <w:rtl w:val="true"/>
        </w:rPr>
        <w:t>و منها</w:t>
      </w:r>
      <w:r>
        <w:rPr>
          <w:rtl w:val="true"/>
        </w:rPr>
        <w:t xml:space="preserve">: </w:t>
      </w:r>
      <w:r>
        <w:rPr>
          <w:rtl w:val="true"/>
        </w:rPr>
        <w:t>الشکّ فی الصلاة بعد الوقت</w:t>
      </w:r>
      <w:r>
        <w:rPr>
          <w:rtl w:val="true"/>
        </w:rPr>
        <w:t>]</w:t>
      </w:r>
      <w:bookmarkEnd w:id="204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الصلاة بعد الوقت و قد مرّ أیضاً</w:t>
      </w:r>
      <w:r>
        <w:rPr>
          <w:rFonts w:eastAsia="IRNazanin" w:cs="IRNazanin"/>
          <w:color w:val="111111"/>
          <w:sz w:val="28"/>
          <w:szCs w:val="28"/>
          <w:rtl w:val="true"/>
          <w:lang w:bidi="fa-IR"/>
        </w:rPr>
        <w:t>.</w:t>
      </w:r>
    </w:p>
    <w:p>
      <w:pPr>
        <w:pStyle w:val="Heading6"/>
        <w:numPr>
          <w:ilvl w:val="5"/>
          <w:numId w:val="1"/>
        </w:numPr>
        <w:rPr/>
      </w:pPr>
      <w:bookmarkStart w:id="2045" w:name="__RefHeading___Toc2566850_3650668749"/>
      <w:bookmarkStart w:id="2046" w:name="_Toc934"/>
      <w:bookmarkEnd w:id="2045"/>
      <w:r>
        <w:rPr>
          <w:rtl w:val="true"/>
        </w:rPr>
        <w:t>[</w:t>
      </w:r>
      <w:r>
        <w:rPr>
          <w:rtl w:val="true"/>
        </w:rPr>
        <w:t>و منها</w:t>
      </w:r>
      <w:r>
        <w:rPr>
          <w:rtl w:val="true"/>
        </w:rPr>
        <w:t xml:space="preserve">: </w:t>
      </w:r>
      <w:r>
        <w:rPr>
          <w:rtl w:val="true"/>
        </w:rPr>
        <w:t>الشکّ بعد الفراغ من الصلاة</w:t>
      </w:r>
      <w:r>
        <w:rPr>
          <w:rtl w:val="true"/>
        </w:rPr>
        <w:t>]</w:t>
      </w:r>
      <w:bookmarkEnd w:id="204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بعد الفراغ من الصلاة؛ سواء تعلّق بشروطها أو أجزائها أو رکعاتها بشرط أن یکون أحد طرفی الشکّ الصحّة، فلو شکّ فی الرباعیة أنّه صلّیٰ ثلاثاً أو أربع أو خمس، و فی الثلاثیة أنّه صلّیٰ ثلاثاً أو أربع، و فی الثنائیّة أنّه صلّی اثنتین أو ثلاثاً بنیٰ علی الصحیح فی الکلّ، بخلاف ما إذا شکّ فی الرباعیّة أنّه صلّیٰ ثلاثاً أو خمساً و فی الثلاثیّة أنّه صلّی اثنتین أو أربع بطلت؛ للعلم الإجمالی بالزیادة أو النقیصة</w:t>
      </w:r>
      <w:r>
        <w:rPr>
          <w:rFonts w:eastAsia="IRNazanin" w:cs="IRNazanin"/>
          <w:color w:val="111111"/>
          <w:sz w:val="28"/>
          <w:szCs w:val="28"/>
          <w:rtl w:val="true"/>
          <w:lang w:bidi="fa-IR"/>
        </w:rPr>
        <w:t>.</w:t>
      </w:r>
    </w:p>
    <w:p>
      <w:pPr>
        <w:pStyle w:val="Heading6"/>
        <w:numPr>
          <w:ilvl w:val="5"/>
          <w:numId w:val="1"/>
        </w:numPr>
        <w:rPr/>
      </w:pPr>
      <w:bookmarkStart w:id="2047" w:name="__RefHeading___Toc2566852_3650668749"/>
      <w:bookmarkStart w:id="2048" w:name="_Toc935"/>
      <w:bookmarkEnd w:id="2047"/>
      <w:r>
        <w:rPr>
          <w:rtl w:val="true"/>
        </w:rPr>
        <w:t>[</w:t>
      </w:r>
      <w:r>
        <w:rPr>
          <w:rtl w:val="true"/>
        </w:rPr>
        <w:t>و منها</w:t>
      </w:r>
      <w:r>
        <w:rPr>
          <w:rtl w:val="true"/>
        </w:rPr>
        <w:t xml:space="preserve">: </w:t>
      </w:r>
      <w:r>
        <w:rPr>
          <w:rtl w:val="true"/>
        </w:rPr>
        <w:t>شکّ کثیر الشکّ</w:t>
      </w:r>
      <w:r>
        <w:rPr>
          <w:rtl w:val="true"/>
        </w:rPr>
        <w:t>]</w:t>
      </w:r>
      <w:bookmarkEnd w:id="2048"/>
    </w:p>
    <w:p>
      <w:pPr>
        <w:pStyle w:val="Heading6"/>
        <w:numPr>
          <w:ilvl w:val="5"/>
          <w:numId w:val="1"/>
        </w:numPr>
        <w:rPr/>
      </w:pPr>
      <w:bookmarkStart w:id="2049" w:name="__RefHeading___Toc2566854_3650668749"/>
      <w:bookmarkStart w:id="2050" w:name="_Toc936"/>
      <w:bookmarkEnd w:id="2049"/>
      <w:r>
        <w:rPr>
          <w:rtl w:val="true"/>
        </w:rPr>
        <w:t>اشارة</w:t>
      </w:r>
      <w:bookmarkEnd w:id="205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کثیر الشکّ؛ سواء کان فی الرکعات أو الأفعال أو الشرائط، فیبنی علیٰ وقوع ما شکّ فیه و إن کان فی محلّه إلّا إذا کان مفسداً فیبنی علیٰ عدم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کثیر الشکّ فی شی‌ء خاصّ أو فی صلاة خاصّة یختصّ الحکم به، فلو شکّ فی غیر ذلک الفعل یعمل عمل الشکّ</w:t>
      </w:r>
      <w:r>
        <w:rPr>
          <w:rFonts w:eastAsia="IRNazanin" w:cs="IRNazanin"/>
          <w:color w:val="111111"/>
          <w:sz w:val="28"/>
          <w:szCs w:val="28"/>
          <w:rtl w:val="true"/>
          <w:lang w:bidi="fa-IR"/>
        </w:rPr>
        <w:t>.</w:t>
      </w:r>
    </w:p>
    <w:p>
      <w:pPr>
        <w:pStyle w:val="Heading6"/>
        <w:numPr>
          <w:ilvl w:val="5"/>
          <w:numId w:val="1"/>
        </w:numPr>
        <w:rPr/>
      </w:pPr>
      <w:bookmarkStart w:id="2051" w:name="__RefHeading___Toc2566856_3650668749"/>
      <w:bookmarkStart w:id="2052" w:name="_Toc937"/>
      <w:bookmarkEnd w:id="2051"/>
      <w:r>
        <w:rPr>
          <w:rtl w:val="true"/>
        </w:rPr>
        <w:t>[ (</w:t>
      </w:r>
      <w:r>
        <w:rPr>
          <w:rtl w:val="true"/>
        </w:rPr>
        <w:t xml:space="preserve">مسألة </w:t>
      </w:r>
      <w:r>
        <w:rPr/>
        <w:t>1</w:t>
      </w:r>
      <w:r>
        <w:rPr>
          <w:rtl w:val="true"/>
        </w:rPr>
        <w:t xml:space="preserve">): </w:t>
      </w:r>
      <w:r>
        <w:rPr>
          <w:rtl w:val="true"/>
        </w:rPr>
        <w:t>المرجع فی کثرة الشکّ إلی العرف</w:t>
      </w:r>
      <w:r>
        <w:rPr>
          <w:rtl w:val="true"/>
        </w:rPr>
        <w:t>]</w:t>
      </w:r>
      <w:bookmarkEnd w:id="20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فی کثرة الشکّ إلی العرف، و لا یبعد تحقّقه فیما إذا لم تخل منه ثلاث صلوات متوالیة من الشکّ، و یعتبر فی صدقها أن لا یکون ذلک من جهة عروض عارض؛ من خوف أو غضب أو همّ و نحو ذلک ممّا یوجب اغتشاش الحواسّ</w:t>
      </w:r>
      <w:r>
        <w:rPr>
          <w:rFonts w:eastAsia="IRNazanin" w:cs="IRNazanin"/>
          <w:color w:val="111111"/>
          <w:sz w:val="28"/>
          <w:szCs w:val="28"/>
          <w:rtl w:val="true"/>
          <w:lang w:bidi="fa-IR"/>
        </w:rPr>
        <w:t>.</w:t>
      </w:r>
    </w:p>
    <w:p>
      <w:pPr>
        <w:pStyle w:val="Heading6"/>
        <w:numPr>
          <w:ilvl w:val="5"/>
          <w:numId w:val="1"/>
        </w:numPr>
        <w:rPr/>
      </w:pPr>
      <w:bookmarkStart w:id="2053" w:name="__RefHeading___Toc2566858_3650668749"/>
      <w:bookmarkStart w:id="2054" w:name="_Toc938"/>
      <w:bookmarkEnd w:id="2053"/>
      <w:r>
        <w:rPr>
          <w:rtl w:val="true"/>
        </w:rPr>
        <w:t>[ (</w:t>
      </w:r>
      <w:r>
        <w:rPr>
          <w:rtl w:val="true"/>
        </w:rPr>
        <w:t xml:space="preserve">مسألة </w:t>
      </w:r>
      <w:r>
        <w:rPr/>
        <w:t>2</w:t>
      </w:r>
      <w:r>
        <w:rPr>
          <w:rtl w:val="true"/>
        </w:rPr>
        <w:t xml:space="preserve">): </w:t>
      </w:r>
      <w:r>
        <w:rPr>
          <w:rtl w:val="true"/>
        </w:rPr>
        <w:t>لو شکّ فی أنّه حصل له حالة کثرة الشکّ أم لا</w:t>
      </w:r>
      <w:r>
        <w:rPr>
          <w:rtl w:val="true"/>
        </w:rPr>
        <w:t>]</w:t>
      </w:r>
      <w:bookmarkEnd w:id="205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أنّه حصل له حالة کثرة الشکّ أم لا، بنیٰ علیٰ عدمها </w:t>
      </w:r>
      <w:r>
        <w:rPr>
          <w:rStyle w:val="FootnoteAnchor"/>
          <w:rtl w:val="true"/>
        </w:rPr>
        <w:footnoteReference w:id="595"/>
      </w:r>
      <w:r>
        <w:rPr>
          <w:rFonts w:ascii="Amiri" w:hAnsi="Amiri" w:eastAsia="Amiri" w:cs="Amiri"/>
          <w:color w:val="111111"/>
          <w:sz w:val="28"/>
          <w:sz w:val="28"/>
          <w:szCs w:val="28"/>
          <w:rtl w:val="true"/>
          <w:lang w:bidi="ar-SA"/>
        </w:rPr>
        <w:t>، کما أنّ</w:t>
      </w:r>
      <w:bookmarkStart w:id="2055" w:name="pg1809_19048"/>
    </w:p>
    <w:p>
      <w:pPr>
        <w:pStyle w:val="BookText"/>
        <w:rPr/>
      </w:pPr>
      <w:bookmarkEnd w:id="2055"/>
      <w:r>
        <w:rPr>
          <w:rFonts w:ascii="IRNazanin" w:hAnsi="IRNazanin" w:eastAsia="IRNazanin"/>
          <w:color w:val="111111"/>
          <w:sz w:val="28"/>
          <w:sz w:val="28"/>
          <w:szCs w:val="28"/>
          <w:rtl w:val="true"/>
          <w:lang w:bidi="fa-IR"/>
        </w:rPr>
        <w:t>کثیر الشکّ لو شکّ فی زوال تلک الحالة بنیٰ علیٰ بقائها</w:t>
      </w:r>
      <w:r>
        <w:rPr>
          <w:rFonts w:eastAsia="IRNazanin" w:cs="IRNazanin"/>
          <w:color w:val="111111"/>
          <w:sz w:val="28"/>
          <w:szCs w:val="28"/>
          <w:rtl w:val="true"/>
          <w:lang w:bidi="fa-IR"/>
        </w:rPr>
        <w:t>.</w:t>
      </w:r>
    </w:p>
    <w:p>
      <w:pPr>
        <w:pStyle w:val="Heading6"/>
        <w:numPr>
          <w:ilvl w:val="5"/>
          <w:numId w:val="1"/>
        </w:numPr>
        <w:rPr/>
      </w:pPr>
      <w:bookmarkStart w:id="2056" w:name="__RefHeading___Toc2566860_3650668749"/>
      <w:bookmarkStart w:id="2057" w:name="_Toc939"/>
      <w:bookmarkEnd w:id="2056"/>
      <w:r>
        <w:rPr>
          <w:rtl w:val="true"/>
        </w:rPr>
        <w:t>[ (</w:t>
      </w:r>
      <w:r>
        <w:rPr>
          <w:rtl w:val="true"/>
        </w:rPr>
        <w:t xml:space="preserve">مسألة </w:t>
      </w:r>
      <w:r>
        <w:rPr/>
        <w:t>3</w:t>
      </w:r>
      <w:r>
        <w:rPr>
          <w:rtl w:val="true"/>
        </w:rPr>
        <w:t xml:space="preserve">): </w:t>
      </w:r>
      <w:r>
        <w:rPr>
          <w:rtl w:val="true"/>
        </w:rPr>
        <w:t>لا یجوز لکثیر الشکّ الاعتناء بشکّه</w:t>
      </w:r>
      <w:r>
        <w:rPr>
          <w:rtl w:val="true"/>
        </w:rPr>
        <w:t>]</w:t>
      </w:r>
      <w:bookmarkEnd w:id="20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لکثیر الشکّ الاعتناء بشکّه، فلو شکّ فی الرکوع فی المحلّ لا یجوز أن یرکع و إلّا بطلت صلاته، نعم فی الشکّ فی القراءة أو الذکر لو أتی بقصد القربة المطلقة لا بأس به </w:t>
      </w:r>
      <w:r>
        <w:rPr>
          <w:rStyle w:val="FootnoteAnchor"/>
          <w:rtl w:val="true"/>
        </w:rPr>
        <w:footnoteReference w:id="596"/>
      </w:r>
      <w:r>
        <w:rPr>
          <w:rFonts w:ascii="IRNazanin" w:hAnsi="IRNazanin" w:eastAsia="IRNazanin"/>
          <w:color w:val="111111"/>
          <w:sz w:val="28"/>
          <w:sz w:val="28"/>
          <w:szCs w:val="28"/>
          <w:rtl w:val="true"/>
          <w:lang w:bidi="fa-IR"/>
        </w:rPr>
        <w:t>ما لم یکن بحدّ الوسواس</w:t>
      </w:r>
      <w:r>
        <w:rPr>
          <w:rFonts w:eastAsia="IRNazanin" w:cs="IRNazanin"/>
          <w:color w:val="111111"/>
          <w:sz w:val="28"/>
          <w:szCs w:val="28"/>
          <w:rtl w:val="true"/>
          <w:lang w:bidi="fa-IR"/>
        </w:rPr>
        <w:t>.</w:t>
      </w:r>
    </w:p>
    <w:p>
      <w:pPr>
        <w:pStyle w:val="Heading6"/>
        <w:numPr>
          <w:ilvl w:val="5"/>
          <w:numId w:val="1"/>
        </w:numPr>
        <w:rPr/>
      </w:pPr>
      <w:bookmarkStart w:id="2058" w:name="__RefHeading___Toc2566862_3650668749"/>
      <w:bookmarkStart w:id="2059" w:name="_Toc940"/>
      <w:bookmarkEnd w:id="2058"/>
      <w:r>
        <w:rPr>
          <w:rtl w:val="true"/>
        </w:rPr>
        <w:t>[</w:t>
      </w:r>
      <w:r>
        <w:rPr>
          <w:rtl w:val="true"/>
        </w:rPr>
        <w:t>و منها</w:t>
      </w:r>
      <w:r>
        <w:rPr>
          <w:rtl w:val="true"/>
        </w:rPr>
        <w:t xml:space="preserve">: </w:t>
      </w:r>
      <w:r>
        <w:rPr>
          <w:rtl w:val="true"/>
        </w:rPr>
        <w:t>شکّ کلّ من الإمام و المأموم فی الرکعات مع حفظ الآخر</w:t>
      </w:r>
      <w:r>
        <w:rPr>
          <w:rtl w:val="true"/>
        </w:rPr>
        <w:t>]</w:t>
      </w:r>
      <w:bookmarkEnd w:id="2059"/>
    </w:p>
    <w:p>
      <w:pPr>
        <w:pStyle w:val="Heading6"/>
        <w:numPr>
          <w:ilvl w:val="5"/>
          <w:numId w:val="1"/>
        </w:numPr>
        <w:rPr/>
      </w:pPr>
      <w:bookmarkStart w:id="2060" w:name="__RefHeading___Toc2566864_3650668749"/>
      <w:bookmarkStart w:id="2061" w:name="_Toc941"/>
      <w:bookmarkEnd w:id="2060"/>
      <w:r>
        <w:rPr>
          <w:rtl w:val="true"/>
        </w:rPr>
        <w:t>اشارة</w:t>
      </w:r>
      <w:bookmarkEnd w:id="206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کلّ من الإمام و المأموم فی الرکعات مع حفظ الآخر فإنّه یرجع الشاکّ منهما إلی الآخر، و لا یجری الحکم </w:t>
      </w:r>
      <w:r>
        <w:rPr>
          <w:rStyle w:val="FootnoteAnchor"/>
          <w:rtl w:val="true"/>
        </w:rPr>
        <w:footnoteReference w:id="597"/>
      </w:r>
      <w:r>
        <w:rPr>
          <w:rFonts w:ascii="IRNazanin" w:hAnsi="IRNazanin" w:eastAsia="IRNazanin"/>
          <w:color w:val="111111"/>
          <w:sz w:val="28"/>
          <w:sz w:val="28"/>
          <w:szCs w:val="28"/>
          <w:rtl w:val="true"/>
          <w:lang w:bidi="fa-IR"/>
        </w:rPr>
        <w:t>فی الشکّ فی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الظانّ منهما </w:t>
      </w:r>
      <w:r>
        <w:rPr>
          <w:rStyle w:val="FootnoteAnchor"/>
          <w:rtl w:val="true"/>
        </w:rPr>
        <w:footnoteReference w:id="598"/>
      </w:r>
      <w:r>
        <w:rPr>
          <w:rFonts w:ascii="IRNazanin" w:hAnsi="IRNazanin" w:eastAsia="IRNazanin"/>
          <w:color w:val="111111"/>
          <w:sz w:val="28"/>
          <w:sz w:val="28"/>
          <w:szCs w:val="28"/>
          <w:rtl w:val="true"/>
          <w:lang w:bidi="fa-IR"/>
        </w:rPr>
        <w:t xml:space="preserve">یرجع إلی المتیقّن، بل لا یبعد </w:t>
      </w:r>
      <w:r>
        <w:rPr>
          <w:rStyle w:val="FootnoteAnchor"/>
          <w:rtl w:val="true"/>
        </w:rPr>
        <w:footnoteReference w:id="599"/>
      </w:r>
      <w:r>
        <w:rPr>
          <w:rFonts w:ascii="IRNazanin" w:hAnsi="IRNazanin" w:eastAsia="IRNazanin"/>
          <w:color w:val="111111"/>
          <w:sz w:val="28"/>
          <w:sz w:val="28"/>
          <w:szCs w:val="28"/>
          <w:rtl w:val="true"/>
          <w:lang w:bidi="fa-IR"/>
        </w:rPr>
        <w:t>رجوع الشاکّ إلی الظانّ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الإمام شاکّاً و المأمومون مختلفین فی الاعتقاد لم یرجع إلیهم، نعم لو کان بعضهم شاکّاً و بعضهم متیقّناً رجع إلی المتیقّن منهم، بل یرجع الشاکّ منهم بعد ذلک إلی الإمام إذا حصل له الظنّ، و أمّا مع عدم حصوله له ففیه إشکال </w:t>
      </w:r>
      <w:r>
        <w:rPr>
          <w:rStyle w:val="FootnoteAnchor"/>
          <w:rtl w:val="true"/>
        </w:rPr>
        <w:footnoteReference w:id="600"/>
      </w:r>
      <w:r>
        <w:rPr>
          <w:rFonts w:ascii="IRNazanin" w:hAnsi="IRNazanin" w:eastAsia="IRNazanin"/>
          <w:color w:val="111111"/>
          <w:sz w:val="28"/>
          <w:sz w:val="28"/>
          <w:szCs w:val="28"/>
          <w:rtl w:val="true"/>
          <w:lang w:bidi="fa-IR"/>
        </w:rPr>
        <w:t>، لا یترک الاحتیاط بالرجوع، ثمّ إعادة الصلاة بعد تمامها</w:t>
      </w:r>
      <w:r>
        <w:rPr>
          <w:rFonts w:eastAsia="IRNazanin" w:cs="IRNazanin"/>
          <w:color w:val="111111"/>
          <w:sz w:val="28"/>
          <w:szCs w:val="28"/>
          <w:rtl w:val="true"/>
          <w:lang w:bidi="fa-IR"/>
        </w:rPr>
        <w:t>.</w:t>
      </w:r>
    </w:p>
    <w:p>
      <w:pPr>
        <w:pStyle w:val="Heading6"/>
        <w:numPr>
          <w:ilvl w:val="5"/>
          <w:numId w:val="1"/>
        </w:numPr>
        <w:rPr/>
      </w:pPr>
      <w:bookmarkStart w:id="2062" w:name="__RefHeading___Toc2566866_3650668749"/>
      <w:bookmarkStart w:id="2063" w:name="_Toc942"/>
      <w:bookmarkEnd w:id="2062"/>
      <w:r>
        <w:rPr>
          <w:rtl w:val="true"/>
        </w:rPr>
        <w:t>[ (</w:t>
      </w:r>
      <w:r>
        <w:rPr>
          <w:rtl w:val="true"/>
        </w:rPr>
        <w:t xml:space="preserve">مسألة </w:t>
      </w:r>
      <w:r>
        <w:rPr/>
        <w:t>4</w:t>
      </w:r>
      <w:r>
        <w:rPr>
          <w:rtl w:val="true"/>
        </w:rPr>
        <w:t xml:space="preserve">): </w:t>
      </w:r>
      <w:r>
        <w:rPr>
          <w:rtl w:val="true"/>
        </w:rPr>
        <w:t>إذا عرض الشکّ لکلّ من الإمام و المأموم فإن اتّحد شکّهما</w:t>
      </w:r>
      <w:r>
        <w:rPr>
          <w:rtl w:val="true"/>
        </w:rPr>
        <w:t>]</w:t>
      </w:r>
      <w:bookmarkEnd w:id="20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 الشکّ لکلّ من الإمام و المأموم فإن اتّحد شکّهما عمل کلّ منهما عمل ذلک الشکّ، کما أنّه لو اختلف شکّهما و لم یکن بین شکّیهما رابطة کما إذا شکّ أحدهما بین الاثنتین و الثلاث و الآخر بین الأربع و الخمس ینفرد المأموم و یعمل کلّ منهما عمل شکّه، و أمّا إذا کان بینهما رابطة و قدر مشترک کما إذا شکّ أحدهما بین الاثنتین و الثلاث و الآخر بین الثلاث و الأربع فإنّ الثلاث طرف شکّ کلّ منهما یبنیان علیٰ ذلک القدر المشترک؛ لأنّ ذلک قضیّة رجوع الشاکّ منهما إلی الحافظ، حیث إنّ الشاکّ بین الاثنتین و الثلاث معتقد بعدم الأربع و شاکّ فی الثلاث، و الشاکّ بین الثلاث و الأربع معتقد بوجود الثلاث و شاکّ فی الأربع؛ فالأوّل یرجع إلی الثانی فی تحقّق الثلاث، و الثانی یرجع إلی الأوّل فی نفی الأربع فینتج بناءهما علی الثلاث، و الأحوط مع ذلک إعادة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یکتفیٰ فی تحقّق الاحتیاط فی الأوّل البناء علی الثلاث و الإتیان بصلاة الاحتیاط</w:t>
      </w:r>
      <w:r>
        <w:rPr>
          <w:rFonts w:eastAsia="IRNazanin" w:cs="IRNazanin"/>
          <w:color w:val="111111"/>
          <w:sz w:val="28"/>
          <w:szCs w:val="28"/>
          <w:rtl w:val="true"/>
          <w:lang w:bidi="fa-IR"/>
        </w:rPr>
        <w:t>.</w:t>
      </w:r>
    </w:p>
    <w:p>
      <w:pPr>
        <w:pStyle w:val="Heading6"/>
        <w:numPr>
          <w:ilvl w:val="5"/>
          <w:numId w:val="1"/>
        </w:numPr>
        <w:rPr/>
      </w:pPr>
      <w:bookmarkStart w:id="2064" w:name="__RefHeading___Toc2566868_3650668749"/>
      <w:bookmarkStart w:id="2065" w:name="_Toc943"/>
      <w:bookmarkEnd w:id="2064"/>
      <w:r>
        <w:rPr>
          <w:rtl w:val="true"/>
        </w:rPr>
        <w:t>[</w:t>
      </w:r>
      <w:r>
        <w:rPr>
          <w:rtl w:val="true"/>
        </w:rPr>
        <w:t>و منها</w:t>
      </w:r>
      <w:r>
        <w:rPr>
          <w:rtl w:val="true"/>
        </w:rPr>
        <w:t xml:space="preserve">: </w:t>
      </w:r>
      <w:r>
        <w:rPr>
          <w:rtl w:val="true"/>
        </w:rPr>
        <w:t>الشکّ فی رکعات النافلة</w:t>
      </w:r>
      <w:r>
        <w:rPr>
          <w:rtl w:val="true"/>
        </w:rPr>
        <w:t>]</w:t>
      </w:r>
      <w:bookmarkEnd w:id="2065"/>
    </w:p>
    <w:p>
      <w:pPr>
        <w:pStyle w:val="Heading6"/>
        <w:numPr>
          <w:ilvl w:val="5"/>
          <w:numId w:val="1"/>
        </w:numPr>
        <w:rPr/>
      </w:pPr>
      <w:bookmarkStart w:id="2066" w:name="__RefHeading___Toc2566870_3650668749"/>
      <w:bookmarkStart w:id="2067" w:name="_Toc944"/>
      <w:bookmarkEnd w:id="2066"/>
      <w:r>
        <w:rPr>
          <w:rtl w:val="true"/>
        </w:rPr>
        <w:t>اشارة</w:t>
      </w:r>
      <w:bookmarkEnd w:id="206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رکعات النافلة؛ سواء کانت رکعة کصلاة الوتر، أو رکعتین کسائر</w:t>
      </w:r>
      <w:bookmarkStart w:id="2068" w:name="pg1809_19050"/>
    </w:p>
    <w:p>
      <w:pPr>
        <w:pStyle w:val="BookText"/>
        <w:rPr/>
      </w:pPr>
      <w:bookmarkEnd w:id="2068"/>
      <w:r>
        <w:rPr>
          <w:rFonts w:ascii="IRNazanin" w:hAnsi="IRNazanin" w:eastAsia="IRNazanin"/>
          <w:color w:val="111111"/>
          <w:sz w:val="28"/>
          <w:sz w:val="28"/>
          <w:szCs w:val="28"/>
          <w:rtl w:val="true"/>
          <w:lang w:bidi="fa-IR"/>
        </w:rPr>
        <w:t>النوافل، فیتخیّر بین البناء علی الأقلّ أو الأکثر و إن کان الأوّل هو الأفضل، إلّا أن یکون الأکثر مفسداً، فیتعیّن البناء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الشکّ فی أفعال النافلة فهو کالشکّ فی أفعال الفریضة أتی به إذا کان فی المحلّ و لم یلتفت إذا کان بعد تجاوز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فیها قضاء السجدة المنسیّة و لا التشهّد المنسیّ، کما أنّه لا یجب سجود السهو فیها لموجباته</w:t>
      </w:r>
      <w:r>
        <w:rPr>
          <w:rFonts w:eastAsia="IRNazanin" w:cs="IRNazanin"/>
          <w:color w:val="111111"/>
          <w:sz w:val="28"/>
          <w:szCs w:val="28"/>
          <w:rtl w:val="true"/>
          <w:lang w:bidi="fa-IR"/>
        </w:rPr>
        <w:t>.</w:t>
      </w:r>
    </w:p>
    <w:p>
      <w:pPr>
        <w:pStyle w:val="Heading6"/>
        <w:numPr>
          <w:ilvl w:val="5"/>
          <w:numId w:val="1"/>
        </w:numPr>
        <w:rPr/>
      </w:pPr>
      <w:bookmarkStart w:id="2069" w:name="__RefHeading___Toc2566872_3650668749"/>
      <w:bookmarkStart w:id="2070" w:name="_Toc945"/>
      <w:bookmarkEnd w:id="2069"/>
      <w:r>
        <w:rPr>
          <w:rtl w:val="true"/>
        </w:rPr>
        <w:t>[ (</w:t>
      </w:r>
      <w:r>
        <w:rPr>
          <w:rtl w:val="true"/>
        </w:rPr>
        <w:t xml:space="preserve">مسألة </w:t>
      </w:r>
      <w:r>
        <w:rPr/>
        <w:t>5</w:t>
      </w:r>
      <w:r>
        <w:rPr>
          <w:rtl w:val="true"/>
        </w:rPr>
        <w:t xml:space="preserve">): </w:t>
      </w:r>
      <w:r>
        <w:rPr>
          <w:rtl w:val="true"/>
        </w:rPr>
        <w:t>النوافل التی لها کیفیّة خاصّة أو سورة مخصوصة</w:t>
      </w:r>
      <w:r>
        <w:rPr>
          <w:rtl w:val="true"/>
        </w:rPr>
        <w:t>]</w:t>
      </w:r>
      <w:bookmarkEnd w:id="20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النوافل التی لها کیفیّة خاصّة أو سورة مخصوصة کصلاتی لیلة الدفن و الغفیلة إذا نسی فیها تلک الکیفیّة، فإن أمکن الرجوع و التدارک رجع و تدارک و إن لم یمکن أعادها؛ لأنّ الصلاة و إن صحّت إلّا أنّها لا تکون تلک الصلاة المخصوصة، نعم لو نسی بعض التسبیحات فی صلاة جعفر قضاه متی تذکّر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1" w:name="__RefHeading___Toc2566874_3650668749"/>
      <w:bookmarkStart w:id="2072" w:name="_Toc946"/>
      <w:bookmarkEnd w:id="2071"/>
      <w:r>
        <w:rPr>
          <w:rtl w:val="true"/>
        </w:rPr>
        <w:t>[</w:t>
      </w:r>
      <w:r>
        <w:rPr>
          <w:rtl w:val="true"/>
        </w:rPr>
        <w:t>القول فی حکم الظنّ فی أفعال الصلاة و رکعاتها</w:t>
      </w:r>
      <w:r>
        <w:rPr>
          <w:rtl w:val="true"/>
        </w:rPr>
        <w:t>]</w:t>
      </w:r>
      <w:bookmarkEnd w:id="2072"/>
    </w:p>
    <w:p>
      <w:pPr>
        <w:pStyle w:val="Heading6"/>
        <w:numPr>
          <w:ilvl w:val="5"/>
          <w:numId w:val="1"/>
        </w:numPr>
        <w:rPr/>
      </w:pPr>
      <w:bookmarkStart w:id="2073" w:name="__RefHeading___Toc2566876_3650668749"/>
      <w:bookmarkStart w:id="2074" w:name="_Toc947"/>
      <w:bookmarkEnd w:id="2073"/>
      <w:r>
        <w:rPr>
          <w:rtl w:val="true"/>
        </w:rPr>
        <w:t>اشارة</w:t>
      </w:r>
      <w:bookmarkEnd w:id="2074"/>
    </w:p>
    <w:p>
      <w:pPr>
        <w:pStyle w:val="BookText"/>
        <w:rPr/>
      </w:pPr>
      <w:r>
        <w:rPr>
          <w:rFonts w:ascii="IRNazanin" w:hAnsi="IRNazanin" w:eastAsia="IRNazanin"/>
          <w:color w:val="111111"/>
          <w:sz w:val="28"/>
          <w:sz w:val="28"/>
          <w:szCs w:val="28"/>
          <w:rtl w:val="true"/>
          <w:lang w:bidi="fa-IR"/>
        </w:rPr>
        <w:t>القول فی حکم الظنّ فی أفعال الصلاة و رکعاتها</w:t>
      </w:r>
    </w:p>
    <w:p>
      <w:pPr>
        <w:pStyle w:val="Heading6"/>
        <w:numPr>
          <w:ilvl w:val="5"/>
          <w:numId w:val="1"/>
        </w:numPr>
        <w:rPr/>
      </w:pPr>
      <w:bookmarkStart w:id="2075" w:name="__RefHeading___Toc2566878_3650668749"/>
      <w:bookmarkStart w:id="2076" w:name="_Toc948"/>
      <w:bookmarkEnd w:id="2075"/>
      <w:r>
        <w:rPr>
          <w:rtl w:val="true"/>
        </w:rPr>
        <w:t>[ (</w:t>
      </w:r>
      <w:r>
        <w:rPr>
          <w:rtl w:val="true"/>
        </w:rPr>
        <w:t xml:space="preserve">مسألة </w:t>
      </w:r>
      <w:r>
        <w:rPr/>
        <w:t>1</w:t>
      </w:r>
      <w:r>
        <w:rPr>
          <w:rtl w:val="true"/>
        </w:rPr>
        <w:t xml:space="preserve">): </w:t>
      </w:r>
      <w:r>
        <w:rPr>
          <w:rtl w:val="true"/>
        </w:rPr>
        <w:t>الظنّ فی عدد الرکعات إذا کان متعلّقاً بالرکعتین الأخیرتین من الرباعیة کالیقین</w:t>
      </w:r>
      <w:r>
        <w:rPr>
          <w:rtl w:val="true"/>
        </w:rPr>
        <w:t>]</w:t>
      </w:r>
      <w:bookmarkEnd w:id="20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فی عدد الرکعات إذا کان متعلّقاً بالرکعتین الأخیرتین من الرباعیة کالیقین، فیجب العمل بمقتضاه و لو کان مسبوقاً بالشکّ، فلو شکّ أوّلًا ثمّ ظنّ بعد ذلک فیما کان شاکّاً فیه کان العمل علی الأخیر کالعکس، و کذا لو انقلب شکّه إلیٰ شکّ آخر عمل بالأخیر، فلو شکّ فی حال القیام بین الثلاث و الأربع فبنیٰ علی الأربع فلمّا رفع رأسه من السجود شکّ بین الأربع و الخمس عمل عمل الشکّ الثانی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الظنّ فی الثنائیّة و الثلاثیّة و الرکعتین الأُولیین من الرباعیّة کالظنّ فی الأفعال، ففی اعتباره إشکال </w:t>
      </w:r>
      <w:r>
        <w:rPr>
          <w:rStyle w:val="FootnoteAnchor"/>
          <w:rtl w:val="true"/>
        </w:rPr>
        <w:footnoteReference w:id="602"/>
      </w:r>
      <w:r>
        <w:rPr>
          <w:rFonts w:ascii="IRNazanin" w:hAnsi="IRNazanin" w:eastAsia="IRNazanin"/>
          <w:color w:val="111111"/>
          <w:sz w:val="28"/>
          <w:sz w:val="28"/>
          <w:szCs w:val="28"/>
          <w:rtl w:val="true"/>
          <w:lang w:bidi="fa-IR"/>
        </w:rPr>
        <w:t>خصوصاً فی الأفعال، فلا یترک الاحتیاط فیما لو خالف الظنّ مع وظیفة الشکّ کما إذا ظنّ بالإتیان و هو فی المحلّ بإتیان مثل القراءة بنیّة القربة المطلقة و إتیان مثل الرکوع ثمّ الإعادة، و کذا إذا ظنّ بعدم الإتیان بعد المحلّ</w:t>
      </w:r>
      <w:r>
        <w:rPr>
          <w:rFonts w:eastAsia="IRNazanin" w:cs="IRNazanin"/>
          <w:color w:val="111111"/>
          <w:sz w:val="28"/>
          <w:szCs w:val="28"/>
          <w:rtl w:val="true"/>
          <w:lang w:bidi="fa-IR"/>
        </w:rPr>
        <w:t>.</w:t>
      </w:r>
    </w:p>
    <w:p>
      <w:pPr>
        <w:pStyle w:val="Heading6"/>
        <w:numPr>
          <w:ilvl w:val="5"/>
          <w:numId w:val="1"/>
        </w:numPr>
        <w:rPr/>
      </w:pPr>
      <w:bookmarkStart w:id="2077" w:name="__RefHeading___Toc2566880_3650668749"/>
      <w:bookmarkStart w:id="2078" w:name="_Toc949"/>
      <w:bookmarkEnd w:id="2077"/>
      <w:r>
        <w:rPr>
          <w:rtl w:val="true"/>
        </w:rPr>
        <w:t>[ (</w:t>
      </w:r>
      <w:r>
        <w:rPr>
          <w:rtl w:val="true"/>
        </w:rPr>
        <w:t xml:space="preserve">مسألة </w:t>
      </w:r>
      <w:r>
        <w:rPr/>
        <w:t>2</w:t>
      </w:r>
      <w:r>
        <w:rPr>
          <w:rtl w:val="true"/>
        </w:rPr>
        <w:t xml:space="preserve">): </w:t>
      </w:r>
      <w:r>
        <w:rPr>
          <w:rtl w:val="true"/>
        </w:rPr>
        <w:t>لو تردّد فی أنّ الحاصل له ظنّ أو شکّ کما یتّفق کثیراً لبعض الناس کان ذلک شکّاً</w:t>
      </w:r>
      <w:r>
        <w:rPr>
          <w:rtl w:val="true"/>
        </w:rPr>
        <w:t>]</w:t>
      </w:r>
      <w:bookmarkEnd w:id="207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تردّد فی أنّ الحاصل له ظنّ أو شکّ کما یتّفق کثیراً لبعض الناس کان ذلک شکّاً </w:t>
      </w:r>
      <w:r>
        <w:rPr>
          <w:rStyle w:val="FootnoteAnchor"/>
          <w:rtl w:val="true"/>
        </w:rPr>
        <w:footnoteReference w:id="603"/>
      </w:r>
      <w:r>
        <w:rPr>
          <w:rFonts w:ascii="IRNazanin" w:hAnsi="IRNazanin" w:eastAsia="IRNazanin"/>
          <w:color w:val="111111"/>
          <w:sz w:val="28"/>
          <w:sz w:val="28"/>
          <w:szCs w:val="28"/>
          <w:rtl w:val="true"/>
          <w:lang w:bidi="fa-IR"/>
        </w:rPr>
        <w:t>، نعم لو کان مسبوقاً بالظنّ لا یبعد البناء علیه</w:t>
      </w:r>
      <w:r>
        <w:rPr>
          <w:rFonts w:eastAsia="IRNazanin" w:cs="IRNazanin"/>
          <w:color w:val="111111"/>
          <w:sz w:val="28"/>
          <w:szCs w:val="28"/>
          <w:rtl w:val="true"/>
          <w:lang w:bidi="fa-IR"/>
        </w:rPr>
        <w:t>.</w:t>
      </w:r>
      <w:bookmarkStart w:id="2079" w:name="pg1809_19052"/>
    </w:p>
    <w:p>
      <w:pPr>
        <w:pStyle w:val="Heading5"/>
        <w:numPr>
          <w:ilvl w:val="4"/>
          <w:numId w:val="1"/>
        </w:numPr>
        <w:rPr/>
      </w:pPr>
      <w:bookmarkStart w:id="2080" w:name="__RefHeading___Toc2566882_3650668749"/>
      <w:bookmarkStart w:id="2081" w:name="_Toc950"/>
      <w:bookmarkEnd w:id="2079"/>
      <w:bookmarkEnd w:id="2080"/>
      <w:r>
        <w:rPr>
          <w:rtl w:val="true"/>
        </w:rPr>
        <w:t>[</w:t>
      </w:r>
      <w:r>
        <w:rPr>
          <w:rtl w:val="true"/>
        </w:rPr>
        <w:t>القول فی رکعات الاحتیاط</w:t>
      </w:r>
      <w:r>
        <w:rPr>
          <w:rtl w:val="true"/>
        </w:rPr>
        <w:t>]</w:t>
      </w:r>
      <w:bookmarkEnd w:id="2081"/>
    </w:p>
    <w:p>
      <w:pPr>
        <w:pStyle w:val="Heading6"/>
        <w:numPr>
          <w:ilvl w:val="5"/>
          <w:numId w:val="1"/>
        </w:numPr>
        <w:rPr/>
      </w:pPr>
      <w:bookmarkStart w:id="2082" w:name="__RefHeading___Toc2566884_3650668749"/>
      <w:bookmarkStart w:id="2083" w:name="_Toc951"/>
      <w:bookmarkEnd w:id="2082"/>
      <w:r>
        <w:rPr>
          <w:rtl w:val="true"/>
        </w:rPr>
        <w:t>اشارة</w:t>
      </w:r>
      <w:bookmarkEnd w:id="2083"/>
    </w:p>
    <w:p>
      <w:pPr>
        <w:pStyle w:val="BookText"/>
        <w:rPr/>
      </w:pPr>
      <w:r>
        <w:rPr>
          <w:rFonts w:ascii="IRNazanin" w:hAnsi="IRNazanin" w:eastAsia="IRNazanin"/>
          <w:color w:val="111111"/>
          <w:sz w:val="28"/>
          <w:sz w:val="28"/>
          <w:szCs w:val="28"/>
          <w:rtl w:val="true"/>
          <w:lang w:bidi="fa-IR"/>
        </w:rPr>
        <w:t>القول فی رکعات الاحتیاط</w:t>
      </w:r>
    </w:p>
    <w:p>
      <w:pPr>
        <w:pStyle w:val="Heading6"/>
        <w:numPr>
          <w:ilvl w:val="5"/>
          <w:numId w:val="1"/>
        </w:numPr>
        <w:rPr/>
      </w:pPr>
      <w:bookmarkStart w:id="2084" w:name="__RefHeading___Toc2566886_3650668749"/>
      <w:bookmarkStart w:id="2085" w:name="_Toc952"/>
      <w:bookmarkEnd w:id="2084"/>
      <w:r>
        <w:rPr>
          <w:rtl w:val="true"/>
        </w:rPr>
        <w:t>[ (</w:t>
      </w:r>
      <w:r>
        <w:rPr>
          <w:rtl w:val="true"/>
        </w:rPr>
        <w:t xml:space="preserve">مسألة </w:t>
      </w:r>
      <w:r>
        <w:rPr/>
        <w:t>1</w:t>
      </w:r>
      <w:r>
        <w:rPr>
          <w:rtl w:val="true"/>
        </w:rPr>
        <w:t xml:space="preserve">): </w:t>
      </w:r>
      <w:r>
        <w:rPr>
          <w:rtl w:val="true"/>
        </w:rPr>
        <w:t>رکعات الاحتیاط واجبة</w:t>
      </w:r>
      <w:r>
        <w:rPr>
          <w:rtl w:val="true"/>
        </w:rPr>
        <w:t>]</w:t>
      </w:r>
      <w:bookmarkEnd w:id="20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رکعات الاحتیاط واجبة فلا یجوز ترکها و إعادة الصلاة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المبادرة إلیها بعد الفراغ من الصلاة، کما أنّه لا یجوز الفصل بینها و بین الصلاة بالمنافی، فإن فعل ذلک فالأحوط الإتیان بها و إعادة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أتی بالمنافی قبل صلاة الاحتیاط ثمّ تبیّن له تمامیّة الصلاة لا یجب إعادتها</w:t>
      </w:r>
      <w:r>
        <w:rPr>
          <w:rFonts w:eastAsia="IRNazanin" w:cs="IRNazanin"/>
          <w:color w:val="111111"/>
          <w:sz w:val="28"/>
          <w:szCs w:val="28"/>
          <w:rtl w:val="true"/>
          <w:lang w:bidi="fa-IR"/>
        </w:rPr>
        <w:t>.</w:t>
      </w:r>
    </w:p>
    <w:p>
      <w:pPr>
        <w:pStyle w:val="Heading6"/>
        <w:numPr>
          <w:ilvl w:val="5"/>
          <w:numId w:val="1"/>
        </w:numPr>
        <w:rPr/>
      </w:pPr>
      <w:bookmarkStart w:id="2086" w:name="__RefHeading___Toc2566888_3650668749"/>
      <w:bookmarkStart w:id="2087" w:name="_Toc953"/>
      <w:bookmarkEnd w:id="2086"/>
      <w:r>
        <w:rPr>
          <w:rtl w:val="true"/>
        </w:rPr>
        <w:t>[ (</w:t>
      </w:r>
      <w:r>
        <w:rPr>
          <w:rtl w:val="true"/>
        </w:rPr>
        <w:t xml:space="preserve">مسألة </w:t>
      </w:r>
      <w:r>
        <w:rPr/>
        <w:t>2</w:t>
      </w:r>
      <w:r>
        <w:rPr>
          <w:rtl w:val="true"/>
        </w:rPr>
        <w:t xml:space="preserve">): </w:t>
      </w:r>
      <w:r>
        <w:rPr>
          <w:rtl w:val="true"/>
        </w:rPr>
        <w:t>لا بدّ فی صلاة الاحتیاط من النیّة و تکبیرة الإحرام و قراءة الفاتحة سرّاً</w:t>
      </w:r>
      <w:r>
        <w:rPr>
          <w:rtl w:val="true"/>
        </w:rPr>
        <w:t>]</w:t>
      </w:r>
      <w:bookmarkEnd w:id="20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فی صلاة الاحتیاط من النیّة و تکبیرة الإحرام و قراءة الفاتحة سرّاً </w:t>
      </w:r>
      <w:r>
        <w:rPr>
          <w:rStyle w:val="FootnoteAnchor"/>
          <w:rtl w:val="true"/>
        </w:rPr>
        <w:footnoteReference w:id="604"/>
      </w:r>
      <w:r>
        <w:rPr>
          <w:rFonts w:ascii="IRNazanin" w:hAnsi="IRNazanin" w:eastAsia="IRNazanin"/>
          <w:color w:val="111111"/>
          <w:sz w:val="28"/>
          <w:sz w:val="28"/>
          <w:szCs w:val="28"/>
          <w:rtl w:val="true"/>
          <w:lang w:bidi="fa-IR"/>
        </w:rPr>
        <w:t>، حتّی فی البسملة علی الأحوط و رکوع و سجود و تشهّد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قنوت فیها و إن کانت رکعتین، کما أنّه لا سورة فیها</w:t>
      </w:r>
      <w:r>
        <w:rPr>
          <w:rFonts w:eastAsia="IRNazanin" w:cs="IRNazanin"/>
          <w:color w:val="111111"/>
          <w:sz w:val="28"/>
          <w:szCs w:val="28"/>
          <w:rtl w:val="true"/>
          <w:lang w:bidi="fa-IR"/>
        </w:rPr>
        <w:t>.</w:t>
      </w:r>
    </w:p>
    <w:p>
      <w:pPr>
        <w:pStyle w:val="Heading6"/>
        <w:numPr>
          <w:ilvl w:val="5"/>
          <w:numId w:val="1"/>
        </w:numPr>
        <w:rPr/>
      </w:pPr>
      <w:bookmarkStart w:id="2088" w:name="__RefHeading___Toc2566890_3650668749"/>
      <w:bookmarkStart w:id="2089" w:name="_Toc954"/>
      <w:bookmarkEnd w:id="2088"/>
      <w:r>
        <w:rPr>
          <w:rtl w:val="true"/>
        </w:rPr>
        <w:t>[ (</w:t>
      </w:r>
      <w:r>
        <w:rPr>
          <w:rtl w:val="true"/>
        </w:rPr>
        <w:t xml:space="preserve">مسألة </w:t>
      </w:r>
      <w:r>
        <w:rPr/>
        <w:t>3</w:t>
      </w:r>
      <w:r>
        <w:rPr>
          <w:rtl w:val="true"/>
        </w:rPr>
        <w:t xml:space="preserve">): </w:t>
      </w:r>
      <w:r>
        <w:rPr>
          <w:rtl w:val="true"/>
        </w:rPr>
        <w:t>لو نسی رکناً فی رکعات الاحتیاط أو زاده فیها بطلت</w:t>
      </w:r>
      <w:r>
        <w:rPr>
          <w:rtl w:val="true"/>
        </w:rPr>
        <w:t>]</w:t>
      </w:r>
      <w:bookmarkEnd w:id="20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رکناً فی رکعات الاحتیاط أو زاده فیها بطلت فلا یترک الاحتیاط بفعل الاحتیاط ثمّ استئناف الصلاة</w:t>
      </w:r>
      <w:r>
        <w:rPr>
          <w:rFonts w:eastAsia="IRNazanin" w:cs="IRNazanin"/>
          <w:color w:val="111111"/>
          <w:sz w:val="28"/>
          <w:szCs w:val="28"/>
          <w:rtl w:val="true"/>
          <w:lang w:bidi="fa-IR"/>
        </w:rPr>
        <w:t>.</w:t>
      </w:r>
    </w:p>
    <w:p>
      <w:pPr>
        <w:pStyle w:val="Heading6"/>
        <w:numPr>
          <w:ilvl w:val="5"/>
          <w:numId w:val="1"/>
        </w:numPr>
        <w:rPr/>
      </w:pPr>
      <w:bookmarkStart w:id="2090" w:name="__RefHeading___Toc2566892_3650668749"/>
      <w:bookmarkStart w:id="2091" w:name="_Toc955"/>
      <w:bookmarkEnd w:id="2090"/>
      <w:r>
        <w:rPr>
          <w:rtl w:val="true"/>
        </w:rPr>
        <w:t>[ (</w:t>
      </w:r>
      <w:r>
        <w:rPr>
          <w:rtl w:val="true"/>
        </w:rPr>
        <w:t xml:space="preserve">مسألة </w:t>
      </w:r>
      <w:r>
        <w:rPr/>
        <w:t>4</w:t>
      </w:r>
      <w:r>
        <w:rPr>
          <w:rtl w:val="true"/>
        </w:rPr>
        <w:t xml:space="preserve">): </w:t>
      </w:r>
      <w:r>
        <w:rPr>
          <w:rtl w:val="true"/>
        </w:rPr>
        <w:t>لو بان الاستغناء عن صلاة الاحتیاط قبل الشروع فیها</w:t>
      </w:r>
      <w:r>
        <w:rPr>
          <w:rtl w:val="true"/>
        </w:rPr>
        <w:t>]</w:t>
      </w:r>
      <w:bookmarkEnd w:id="209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بان الاستغناء عن صلاة الاحتیاط قبل الشروع فیها لا یجب الإتیان بها، و إن کان بعد الفراغ منها وقعت نافلة، و إن کان فی الأثناء أتمّها کذلک، و الأحوط له إضافة رکعة ثانیة لو کانت رکعة من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تبیّن نقص الصلاة بعد الفراغ من صلاة الاحتیاط فإن کان النقص بمقدار ما فعله </w:t>
      </w:r>
      <w:r>
        <w:rPr>
          <w:rStyle w:val="FootnoteAnchor"/>
          <w:rtl w:val="true"/>
        </w:rPr>
        <w:footnoteReference w:id="605"/>
      </w:r>
      <w:r>
        <w:rPr>
          <w:rFonts w:ascii="IRNazanin" w:hAnsi="IRNazanin" w:eastAsia="IRNazanin"/>
          <w:color w:val="111111"/>
          <w:sz w:val="28"/>
          <w:sz w:val="28"/>
          <w:szCs w:val="28"/>
          <w:rtl w:val="true"/>
          <w:lang w:bidi="fa-IR"/>
        </w:rPr>
        <w:t xml:space="preserve">من الاحتیاط کما إذا شکّ بین الثلاث و الأربع و بعد صلاة الاحتیاط تبیّن کونها ثلاثاً تمّت صلاته و الأحوط الاستئناف، و إن کان أزید منه کما إذا شکّ بین الثلاث و الأربع فبنیٰ علی الأربع و صلّی صلاة الاحتیاط فتبیّن کونها رکعتین و أنّ الناقص رکعتان فالظاهر عدم کفایة صلاة الاحتیاط بل یجب </w:t>
      </w:r>
      <w:r>
        <w:rPr>
          <w:rStyle w:val="FootnoteAnchor"/>
          <w:rtl w:val="true"/>
        </w:rPr>
        <w:footnoteReference w:id="606"/>
      </w:r>
      <w:r>
        <w:rPr>
          <w:rFonts w:ascii="IRNazanin" w:hAnsi="IRNazanin" w:eastAsia="IRNazanin"/>
          <w:color w:val="111111"/>
          <w:sz w:val="28"/>
          <w:sz w:val="28"/>
          <w:szCs w:val="28"/>
          <w:rtl w:val="true"/>
          <w:lang w:bidi="fa-IR"/>
        </w:rPr>
        <w:t>إعادة الصلاة، و کذا لو تبیّن کون النقص أقلّ منه کما إذا شکّ بین الاثنتین و الأربع فبنیٰ علی الأربع و أتی برکعتین من قیام ثمّ تبیّن کون صلاته ثلاث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تبیّن النقص فی أثناء صلاة الاحتیاط فإمّا</w:t>
      </w:r>
      <w:bookmarkStart w:id="2092" w:name="pg1809_19055"/>
    </w:p>
    <w:p>
      <w:pPr>
        <w:pStyle w:val="BookText"/>
        <w:rPr/>
      </w:pPr>
      <w:bookmarkEnd w:id="2092"/>
      <w:r>
        <w:rPr>
          <w:rFonts w:ascii="IRNazanin" w:hAnsi="IRNazanin" w:eastAsia="IRNazanin"/>
          <w:color w:val="111111"/>
          <w:sz w:val="28"/>
          <w:sz w:val="28"/>
          <w:szCs w:val="28"/>
          <w:rtl w:val="true"/>
          <w:lang w:bidi="fa-IR"/>
        </w:rPr>
        <w:t xml:space="preserve">أن یکون ما بیده من صلاة الاحتیاط موافقاً لما نقص من الصلاة کمّاً و کیفاً، و إمّا أن یکون مخالفاً له کذلک، و إمّا أن یکون موافقاً له فی أحدهما، و الأقوی الاکتفاء </w:t>
      </w:r>
      <w:r>
        <w:rPr>
          <w:rStyle w:val="FootnoteAnchor"/>
          <w:rtl w:val="true"/>
        </w:rPr>
        <w:footnoteReference w:id="607"/>
      </w:r>
      <w:r>
        <w:rPr>
          <w:rFonts w:ascii="IRNazanin" w:hAnsi="IRNazanin" w:eastAsia="IRNazanin"/>
          <w:color w:val="111111"/>
          <w:sz w:val="28"/>
          <w:sz w:val="28"/>
          <w:szCs w:val="28"/>
          <w:rtl w:val="true"/>
          <w:lang w:bidi="fa-IR"/>
        </w:rPr>
        <w:t>بإتمام صلاة الاحتیاط فی الصورة الأُولیٰ و إلغاء صلاة الاحتیاط و الرجوع إلیٰ حکم تذکّر النقص فی باقی الصور، و الأحوط مع ذلک إعادة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تبیّن النقص قبل الدخول فی الاحتیاط کان له حکم من نقص رکعة من التدارک الذی قد عرفته فلا تکفی صلاة الاحتیاط، بل اللازم حینئذٍ إتمام ما نقص و سجدتا السهو للسلام فی غیر محلّه</w:t>
      </w:r>
      <w:r>
        <w:rPr>
          <w:rFonts w:eastAsia="IRNazanin" w:cs="IRNazanin"/>
          <w:color w:val="111111"/>
          <w:sz w:val="28"/>
          <w:szCs w:val="28"/>
          <w:rtl w:val="true"/>
          <w:lang w:bidi="fa-IR"/>
        </w:rPr>
        <w:t>.</w:t>
      </w:r>
    </w:p>
    <w:p>
      <w:pPr>
        <w:pStyle w:val="Heading6"/>
        <w:numPr>
          <w:ilvl w:val="5"/>
          <w:numId w:val="1"/>
        </w:numPr>
        <w:rPr/>
      </w:pPr>
      <w:bookmarkStart w:id="2093" w:name="__RefHeading___Toc2566894_3650668749"/>
      <w:bookmarkStart w:id="2094" w:name="_Toc956"/>
      <w:bookmarkEnd w:id="2093"/>
      <w:r>
        <w:rPr>
          <w:rtl w:val="true"/>
        </w:rPr>
        <w:t>[ (</w:t>
      </w:r>
      <w:r>
        <w:rPr>
          <w:rtl w:val="true"/>
        </w:rPr>
        <w:t xml:space="preserve">مسألة </w:t>
      </w:r>
      <w:r>
        <w:rPr/>
        <w:t>5</w:t>
      </w:r>
      <w:r>
        <w:rPr>
          <w:rtl w:val="true"/>
        </w:rPr>
        <w:t xml:space="preserve">): </w:t>
      </w:r>
      <w:r>
        <w:rPr>
          <w:rtl w:val="true"/>
        </w:rPr>
        <w:t>لو شکّ فی إتیان صلاة الاحتیاط</w:t>
      </w:r>
      <w:r>
        <w:rPr>
          <w:rtl w:val="true"/>
        </w:rPr>
        <w:t>]</w:t>
      </w:r>
      <w:bookmarkEnd w:id="20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إتیان صلاة الاحتیاط فإن کان بعد الوقت لا یلتفت إلیه، و إن کان فی الوقت فإن لم یدخل فی فعل آخر و لم یأت بالمنافی و لم یحصل الفصل الطویل بنیٰ علیٰ عدم الإتیان، و مع أحد الأُمور الثلاثة فللبناء علی الإتیان بها وجه، و لکن الأحوط الإتیان بها ثمّ إعادة الصلاة</w:t>
      </w:r>
      <w:r>
        <w:rPr>
          <w:rFonts w:eastAsia="IRNazanin" w:cs="IRNazanin"/>
          <w:color w:val="111111"/>
          <w:sz w:val="28"/>
          <w:szCs w:val="28"/>
          <w:rtl w:val="true"/>
          <w:lang w:bidi="fa-IR"/>
        </w:rPr>
        <w:t>.</w:t>
      </w:r>
    </w:p>
    <w:p>
      <w:pPr>
        <w:pStyle w:val="Heading6"/>
        <w:numPr>
          <w:ilvl w:val="5"/>
          <w:numId w:val="1"/>
        </w:numPr>
        <w:rPr/>
      </w:pPr>
      <w:bookmarkStart w:id="2095" w:name="__RefHeading___Toc2566896_3650668749"/>
      <w:bookmarkStart w:id="2096" w:name="_Toc957"/>
      <w:bookmarkEnd w:id="2095"/>
      <w:r>
        <w:rPr>
          <w:rtl w:val="true"/>
        </w:rPr>
        <w:t>[ (</w:t>
      </w:r>
      <w:r>
        <w:rPr>
          <w:rtl w:val="true"/>
        </w:rPr>
        <w:t xml:space="preserve">مسألة </w:t>
      </w:r>
      <w:r>
        <w:rPr/>
        <w:t>6</w:t>
      </w:r>
      <w:r>
        <w:rPr>
          <w:rtl w:val="true"/>
        </w:rPr>
        <w:t xml:space="preserve">): </w:t>
      </w:r>
      <w:r>
        <w:rPr>
          <w:rtl w:val="true"/>
        </w:rPr>
        <w:t>لو شکّ فی فعل من أفعالها أتی به لو کان فی المحلّ</w:t>
      </w:r>
      <w:r>
        <w:rPr>
          <w:rtl w:val="true"/>
        </w:rPr>
        <w:t>]</w:t>
      </w:r>
      <w:bookmarkEnd w:id="20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فعل من أفعالها أتی به لو کان فی المحلّ، و بنیٰ علی الإتیان لو تجاوز کالشکّ فی أفعال أصل الصلاة، و لو شکّ فی رکعاتها فلا یبعد </w:t>
      </w:r>
      <w:r>
        <w:rPr>
          <w:rStyle w:val="FootnoteAnchor"/>
          <w:rtl w:val="true"/>
        </w:rPr>
        <w:footnoteReference w:id="608"/>
      </w:r>
      <w:r>
        <w:rPr>
          <w:rFonts w:ascii="IRNazanin" w:hAnsi="IRNazanin" w:eastAsia="IRNazanin"/>
          <w:color w:val="111111"/>
          <w:sz w:val="28"/>
          <w:sz w:val="28"/>
          <w:szCs w:val="28"/>
          <w:rtl w:val="true"/>
          <w:lang w:bidi="fa-IR"/>
        </w:rPr>
        <w:t>وجوب البناء علی الأکثر إلّا أن یکون مبطلًا فیبنی علی الأقلّ، لکنّ الأحوط مع ذلک إعادتها ثمّ إعادة أصل الصلاة</w:t>
      </w:r>
      <w:r>
        <w:rPr>
          <w:rFonts w:eastAsia="IRNazanin" w:cs="IRNazanin"/>
          <w:color w:val="111111"/>
          <w:sz w:val="28"/>
          <w:szCs w:val="28"/>
          <w:rtl w:val="true"/>
          <w:lang w:bidi="fa-IR"/>
        </w:rPr>
        <w:t>.</w:t>
      </w:r>
    </w:p>
    <w:p>
      <w:pPr>
        <w:pStyle w:val="Heading6"/>
        <w:numPr>
          <w:ilvl w:val="5"/>
          <w:numId w:val="1"/>
        </w:numPr>
        <w:rPr/>
      </w:pPr>
      <w:bookmarkStart w:id="2097" w:name="__RefHeading___Toc2566898_3650668749"/>
      <w:bookmarkStart w:id="2098" w:name="_Toc958"/>
      <w:bookmarkEnd w:id="2097"/>
      <w:r>
        <w:rPr>
          <w:rtl w:val="true"/>
        </w:rPr>
        <w:t>[ (</w:t>
      </w:r>
      <w:r>
        <w:rPr>
          <w:rtl w:val="true"/>
        </w:rPr>
        <w:t xml:space="preserve">مسألة </w:t>
      </w:r>
      <w:r>
        <w:rPr/>
        <w:t>7</w:t>
      </w:r>
      <w:r>
        <w:rPr>
          <w:rtl w:val="true"/>
        </w:rPr>
        <w:t xml:space="preserve">): </w:t>
      </w:r>
      <w:r>
        <w:rPr>
          <w:rtl w:val="true"/>
        </w:rPr>
        <w:t>إذا نسیها و دخل فی صلاة أُخری من نافلة أو فریضة قطعها</w:t>
      </w:r>
      <w:r>
        <w:rPr>
          <w:rtl w:val="true"/>
        </w:rPr>
        <w:t>]</w:t>
      </w:r>
      <w:bookmarkEnd w:id="209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نسیها و دخل فی صلاة أُخری من نافلة أو فریضة قطعها </w:t>
      </w:r>
      <w:r>
        <w:rPr>
          <w:rStyle w:val="FootnoteAnchor"/>
          <w:rtl w:val="true"/>
        </w:rPr>
        <w:footnoteReference w:id="609"/>
      </w:r>
      <w:r>
        <w:rPr>
          <w:rFonts w:ascii="IRNazanin" w:hAnsi="IRNazanin" w:eastAsia="IRNazanin"/>
          <w:color w:val="111111"/>
          <w:sz w:val="28"/>
          <w:sz w:val="28"/>
          <w:szCs w:val="28"/>
          <w:rtl w:val="true"/>
          <w:lang w:bidi="fa-IR"/>
        </w:rPr>
        <w:t>و أتی بها خصوصاً فیما إذا کانت الثانیة مرتّبة علی الاولیٰ، و الأحوط مع ذلک إعادة أصل الصلاة</w:t>
      </w:r>
      <w:r>
        <w:rPr>
          <w:rFonts w:eastAsia="IRNazanin" w:cs="IRNazanin"/>
          <w:color w:val="111111"/>
          <w:sz w:val="28"/>
          <w:szCs w:val="28"/>
          <w:rtl w:val="true"/>
          <w:lang w:bidi="fa-IR"/>
        </w:rPr>
        <w:t>.</w:t>
      </w:r>
      <w:bookmarkStart w:id="2099" w:name="pg1809_19057"/>
    </w:p>
    <w:p>
      <w:pPr>
        <w:pStyle w:val="Heading4"/>
        <w:numPr>
          <w:ilvl w:val="3"/>
          <w:numId w:val="1"/>
        </w:numPr>
        <w:rPr/>
      </w:pPr>
      <w:bookmarkStart w:id="2100" w:name="__RefHeading___Toc2566900_3650668749"/>
      <w:bookmarkStart w:id="2101" w:name="_Toc959"/>
      <w:bookmarkEnd w:id="2099"/>
      <w:bookmarkEnd w:id="2100"/>
      <w:r>
        <w:rPr>
          <w:rtl w:val="true"/>
        </w:rPr>
        <w:t>[</w:t>
      </w:r>
      <w:r>
        <w:rPr>
          <w:rtl w:val="true"/>
        </w:rPr>
        <w:t>القول فی الأجزاء المنسیّة</w:t>
      </w:r>
      <w:r>
        <w:rPr>
          <w:rtl w:val="true"/>
        </w:rPr>
        <w:t>]</w:t>
      </w:r>
      <w:bookmarkEnd w:id="2101"/>
    </w:p>
    <w:p>
      <w:pPr>
        <w:pStyle w:val="Heading5"/>
        <w:numPr>
          <w:ilvl w:val="4"/>
          <w:numId w:val="1"/>
        </w:numPr>
        <w:rPr/>
      </w:pPr>
      <w:bookmarkStart w:id="2102" w:name="__RefHeading___Toc2566902_3650668749"/>
      <w:bookmarkStart w:id="2103" w:name="_Toc960"/>
      <w:bookmarkEnd w:id="2102"/>
      <w:r>
        <w:rPr>
          <w:rtl w:val="true"/>
        </w:rPr>
        <w:t>اشارة</w:t>
      </w:r>
      <w:bookmarkEnd w:id="2103"/>
    </w:p>
    <w:p>
      <w:pPr>
        <w:pStyle w:val="BookText"/>
        <w:rPr/>
      </w:pPr>
      <w:r>
        <w:rPr>
          <w:rFonts w:ascii="IRNazanin" w:hAnsi="IRNazanin" w:eastAsia="IRNazanin"/>
          <w:color w:val="111111"/>
          <w:sz w:val="28"/>
          <w:sz w:val="28"/>
          <w:szCs w:val="28"/>
          <w:rtl w:val="true"/>
          <w:lang w:bidi="fa-IR"/>
        </w:rPr>
        <w:t>القول فی الأجزاء المنسیّة</w:t>
      </w:r>
    </w:p>
    <w:p>
      <w:pPr>
        <w:pStyle w:val="Heading5"/>
        <w:numPr>
          <w:ilvl w:val="4"/>
          <w:numId w:val="1"/>
        </w:numPr>
        <w:rPr/>
      </w:pPr>
      <w:bookmarkStart w:id="2104" w:name="__RefHeading___Toc2566904_3650668749"/>
      <w:bookmarkStart w:id="2105" w:name="_Toc961"/>
      <w:bookmarkEnd w:id="2104"/>
      <w:r>
        <w:rPr>
          <w:rtl w:val="true"/>
        </w:rPr>
        <w:t>[ (</w:t>
      </w:r>
      <w:r>
        <w:rPr>
          <w:rtl w:val="true"/>
        </w:rPr>
        <w:t xml:space="preserve">مسألة </w:t>
      </w:r>
      <w:r>
        <w:rPr/>
        <w:t>1</w:t>
      </w:r>
      <w:r>
        <w:rPr>
          <w:rtl w:val="true"/>
        </w:rPr>
        <w:t xml:space="preserve">): </w:t>
      </w:r>
      <w:r>
        <w:rPr>
          <w:rtl w:val="true"/>
        </w:rPr>
        <w:t>قد عرفت أنّه لا یقضیٰ من الأجزاء المنسیّة فی الصلاة غیر السجود و التشهّد</w:t>
      </w:r>
      <w:r>
        <w:rPr>
          <w:rtl w:val="true"/>
        </w:rPr>
        <w:t>]</w:t>
      </w:r>
      <w:bookmarkEnd w:id="2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أنّه لا یقضیٰ من الأجزاء المنسیّة فی الصلاة غیر السجود و التشهّد </w:t>
      </w:r>
      <w:r>
        <w:rPr>
          <w:rStyle w:val="FootnoteAnchor"/>
          <w:rtl w:val="true"/>
        </w:rPr>
        <w:footnoteReference w:id="610"/>
      </w:r>
      <w:r>
        <w:rPr>
          <w:rFonts w:ascii="IRNazanin" w:hAnsi="IRNazanin" w:eastAsia="IRNazanin"/>
          <w:color w:val="111111"/>
          <w:sz w:val="28"/>
          <w:sz w:val="28"/>
          <w:szCs w:val="28"/>
          <w:rtl w:val="true"/>
          <w:lang w:bidi="fa-IR"/>
        </w:rPr>
        <w:t xml:space="preserve">و أبعاضه خصوصاً الصلاة علی النبیّ و آله، فینوی أنّهما عوض ذلک المنسیّ مقارناً بالنیّة لأوّلهما محافظاً علیٰ ما کان واجباً فیهما حال الصلاة، فإنّهما کالصلاة فی الشرائط و الموانع، بل لا یجوز الفصل بینهما و بین الصلاة بالمنافی علی الأحوط، فلو فعل </w:t>
      </w:r>
      <w:r>
        <w:rPr>
          <w:rStyle w:val="FootnoteAnchor"/>
          <w:rtl w:val="true"/>
        </w:rPr>
        <w:footnoteReference w:id="611"/>
      </w:r>
      <w:r>
        <w:rPr>
          <w:rFonts w:ascii="IRNazanin" w:hAnsi="IRNazanin" w:eastAsia="IRNazanin"/>
          <w:color w:val="111111"/>
          <w:sz w:val="28"/>
          <w:sz w:val="28"/>
          <w:szCs w:val="28"/>
          <w:rtl w:val="true"/>
          <w:lang w:bidi="fa-IR"/>
        </w:rPr>
        <w:t>فلا یترک الاحتیاط فی استئناف الصلاة بعد فعلهما کما مرّ مثله فی الاحتیاط</w:t>
      </w:r>
      <w:r>
        <w:rPr>
          <w:rFonts w:eastAsia="IRNazanin" w:cs="IRNazanin"/>
          <w:color w:val="111111"/>
          <w:sz w:val="28"/>
          <w:szCs w:val="28"/>
          <w:rtl w:val="true"/>
          <w:lang w:bidi="fa-IR"/>
        </w:rPr>
        <w:t>.</w:t>
      </w:r>
    </w:p>
    <w:p>
      <w:pPr>
        <w:pStyle w:val="Heading5"/>
        <w:numPr>
          <w:ilvl w:val="4"/>
          <w:numId w:val="1"/>
        </w:numPr>
        <w:rPr/>
      </w:pPr>
      <w:bookmarkStart w:id="2106" w:name="__RefHeading___Toc2566906_3650668749"/>
      <w:bookmarkStart w:id="2107" w:name="_Toc962"/>
      <w:bookmarkEnd w:id="2106"/>
      <w:r>
        <w:rPr>
          <w:rtl w:val="true"/>
        </w:rPr>
        <w:t>[ (</w:t>
      </w:r>
      <w:r>
        <w:rPr>
          <w:rtl w:val="true"/>
        </w:rPr>
        <w:t xml:space="preserve">مسألة </w:t>
      </w:r>
      <w:r>
        <w:rPr/>
        <w:t>2</w:t>
      </w:r>
      <w:r>
        <w:rPr>
          <w:rtl w:val="true"/>
        </w:rPr>
        <w:t xml:space="preserve">): </w:t>
      </w:r>
      <w:r>
        <w:rPr>
          <w:rtl w:val="true"/>
        </w:rPr>
        <w:t>لو تکرّر نسیان السجدة أو التشهّد یتکرّر قضاؤهما بعدد المنسیّ</w:t>
      </w:r>
      <w:r>
        <w:rPr>
          <w:rtl w:val="true"/>
        </w:rPr>
        <w:t>]</w:t>
      </w:r>
      <w:bookmarkEnd w:id="2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تکرّر نسیان السجدة أو التشهّد یتکرّر قضاؤهما بعدد المنسیّ و لا یشترط التعیین و لا ملاحظة الترتیب، نعم لو نسی السجدة و التشهّد معاً فالأحوط تقدیم قضاء السابق منهما فی الفوت، و لو لم یعلم السابق احتاط بالتکرار فیأتی بما قدّمه مؤخّراً أیضاً</w:t>
      </w:r>
      <w:r>
        <w:rPr>
          <w:rFonts w:eastAsia="IRNazanin" w:cs="IRNazanin"/>
          <w:color w:val="111111"/>
          <w:sz w:val="28"/>
          <w:szCs w:val="28"/>
          <w:rtl w:val="true"/>
          <w:lang w:bidi="fa-IR"/>
        </w:rPr>
        <w:t>.</w:t>
      </w:r>
    </w:p>
    <w:p>
      <w:pPr>
        <w:pStyle w:val="Heading5"/>
        <w:numPr>
          <w:ilvl w:val="4"/>
          <w:numId w:val="1"/>
        </w:numPr>
        <w:rPr/>
      </w:pPr>
      <w:bookmarkStart w:id="2108" w:name="__RefHeading___Toc2566908_3650668749"/>
      <w:bookmarkStart w:id="2109" w:name="_Toc963"/>
      <w:bookmarkEnd w:id="2108"/>
      <w:r>
        <w:rPr>
          <w:rtl w:val="true"/>
        </w:rPr>
        <w:t>[ (</w:t>
      </w:r>
      <w:r>
        <w:rPr>
          <w:rtl w:val="true"/>
        </w:rPr>
        <w:t xml:space="preserve">مسألة </w:t>
      </w:r>
      <w:r>
        <w:rPr/>
        <w:t>3</w:t>
      </w:r>
      <w:r>
        <w:rPr>
          <w:rtl w:val="true"/>
        </w:rPr>
        <w:t xml:space="preserve">): </w:t>
      </w:r>
      <w:r>
        <w:rPr>
          <w:rtl w:val="true"/>
        </w:rPr>
        <w:t>لا یجب التسلیم فی التشهّد القضائی</w:t>
      </w:r>
      <w:r>
        <w:rPr>
          <w:rtl w:val="true"/>
        </w:rPr>
        <w:t>]</w:t>
      </w:r>
      <w:bookmarkEnd w:id="2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التسلیم فی التشهّد القضائی، کما لا یجب التشهّد و التسلیم فی السجدة القضائیّة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المنسیّ التشهّد الأخیر فالأحوط إتیانه </w:t>
      </w:r>
      <w:r>
        <w:rPr>
          <w:rStyle w:val="FootnoteAnchor"/>
          <w:rtl w:val="true"/>
        </w:rPr>
        <w:footnoteReference w:id="612"/>
      </w:r>
      <w:r>
        <w:rPr>
          <w:rFonts w:ascii="IRNazanin" w:hAnsi="IRNazanin" w:eastAsia="IRNazanin"/>
          <w:color w:val="111111"/>
          <w:sz w:val="28"/>
          <w:sz w:val="28"/>
          <w:szCs w:val="28"/>
          <w:rtl w:val="true"/>
          <w:lang w:bidi="fa-IR"/>
        </w:rPr>
        <w:t>بقصد القربة من غیر نیّة الأداء و القضاء مع الإتیان بالسلام بعده، کما أنّ الأحوط فی نسیان السجدة من الرکعة الأخیرة إتیانها کذلک مع الإتیان بالتشهّد و التسلیم؛ لاحتمال وقوع السلام فی الأوّل و التشهّد و التسلیم فی الثانی فی غیر محلّه، و کان تدارکهما بعنوان الجزئیّة للصلاة لا بعنوان القضاء</w:t>
      </w:r>
      <w:r>
        <w:rPr>
          <w:rFonts w:eastAsia="IRNazanin" w:cs="IRNazanin"/>
          <w:color w:val="111111"/>
          <w:sz w:val="28"/>
          <w:szCs w:val="28"/>
          <w:rtl w:val="true"/>
          <w:lang w:bidi="fa-IR"/>
        </w:rPr>
        <w:t>.</w:t>
      </w:r>
    </w:p>
    <w:p>
      <w:pPr>
        <w:pStyle w:val="Heading5"/>
        <w:numPr>
          <w:ilvl w:val="4"/>
          <w:numId w:val="1"/>
        </w:numPr>
        <w:rPr/>
      </w:pPr>
      <w:bookmarkStart w:id="2110" w:name="__RefHeading___Toc2566910_3650668749"/>
      <w:bookmarkStart w:id="2111" w:name="_Toc964"/>
      <w:bookmarkEnd w:id="2110"/>
      <w:r>
        <w:rPr>
          <w:rtl w:val="true"/>
        </w:rPr>
        <w:t>[ (</w:t>
      </w:r>
      <w:r>
        <w:rPr>
          <w:rtl w:val="true"/>
        </w:rPr>
        <w:t xml:space="preserve">مسألة </w:t>
      </w:r>
      <w:r>
        <w:rPr/>
        <w:t>4</w:t>
      </w:r>
      <w:r>
        <w:rPr>
          <w:rtl w:val="true"/>
        </w:rPr>
        <w:t xml:space="preserve">): </w:t>
      </w:r>
      <w:r>
        <w:rPr>
          <w:rtl w:val="true"/>
        </w:rPr>
        <w:t>لو اعتقد نسیان السجدة أو التشهّد مع فوات محلّ تدارکهما</w:t>
      </w:r>
      <w:r>
        <w:rPr>
          <w:rtl w:val="true"/>
        </w:rPr>
        <w:t>]</w:t>
      </w:r>
      <w:bookmarkEnd w:id="2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اعتقد نسیان السجدة أو التشهّد مع فوات محلّ تدارکهما ثمّ بعد الفراغ من الصلاة انقلب اعتقاده شکّاً، الأحوط </w:t>
      </w:r>
      <w:r>
        <w:rPr>
          <w:rStyle w:val="FootnoteAnchor"/>
          <w:rtl w:val="true"/>
        </w:rPr>
        <w:footnoteReference w:id="613"/>
      </w:r>
      <w:r>
        <w:rPr>
          <w:rFonts w:ascii="IRNazanin" w:hAnsi="IRNazanin" w:eastAsia="IRNazanin"/>
          <w:color w:val="111111"/>
          <w:sz w:val="28"/>
          <w:sz w:val="28"/>
          <w:szCs w:val="28"/>
          <w:rtl w:val="true"/>
          <w:lang w:bidi="fa-IR"/>
        </w:rPr>
        <w:t>وجوب القضاء</w:t>
      </w:r>
      <w:r>
        <w:rPr>
          <w:rFonts w:eastAsia="IRNazanin" w:cs="IRNazanin"/>
          <w:color w:val="111111"/>
          <w:sz w:val="28"/>
          <w:szCs w:val="28"/>
          <w:rtl w:val="true"/>
          <w:lang w:bidi="fa-IR"/>
        </w:rPr>
        <w:t>.</w:t>
      </w:r>
    </w:p>
    <w:p>
      <w:pPr>
        <w:pStyle w:val="Heading5"/>
        <w:numPr>
          <w:ilvl w:val="4"/>
          <w:numId w:val="1"/>
        </w:numPr>
        <w:rPr/>
      </w:pPr>
      <w:bookmarkStart w:id="2112" w:name="__RefHeading___Toc2566912_3650668749"/>
      <w:bookmarkStart w:id="2113" w:name="_Toc965"/>
      <w:bookmarkEnd w:id="2112"/>
      <w:r>
        <w:rPr>
          <w:rtl w:val="true"/>
        </w:rPr>
        <w:t>[ (</w:t>
      </w:r>
      <w:r>
        <w:rPr>
          <w:rtl w:val="true"/>
        </w:rPr>
        <w:t xml:space="preserve">مسألة </w:t>
      </w:r>
      <w:r>
        <w:rPr/>
        <w:t>5</w:t>
      </w:r>
      <w:r>
        <w:rPr>
          <w:rtl w:val="true"/>
        </w:rPr>
        <w:t xml:space="preserve">): </w:t>
      </w:r>
      <w:r>
        <w:rPr>
          <w:rtl w:val="true"/>
        </w:rPr>
        <w:t>لو شکّ فی أنّ الفائت سجدة واحدة أو سجدتان من رکعتین بنیٰ علی الأقلّ</w:t>
      </w:r>
      <w:r>
        <w:rPr>
          <w:rtl w:val="true"/>
        </w:rPr>
        <w:t>]</w:t>
      </w:r>
      <w:bookmarkEnd w:id="211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أنّ الفائت سجدة واحدة أو سجدتان من رکعتین بنیٰ علی الأقلّ</w:t>
      </w:r>
      <w:r>
        <w:rPr>
          <w:rFonts w:eastAsia="IRNazanin" w:cs="IRNazanin"/>
          <w:color w:val="111111"/>
          <w:sz w:val="28"/>
          <w:szCs w:val="28"/>
          <w:rtl w:val="true"/>
          <w:lang w:bidi="fa-IR"/>
        </w:rPr>
        <w:t>.</w:t>
      </w:r>
      <w:bookmarkStart w:id="2114" w:name="pg1809_19059"/>
    </w:p>
    <w:p>
      <w:pPr>
        <w:pStyle w:val="Heading5"/>
        <w:numPr>
          <w:ilvl w:val="4"/>
          <w:numId w:val="1"/>
        </w:numPr>
        <w:rPr/>
      </w:pPr>
      <w:bookmarkStart w:id="2115" w:name="__RefHeading___Toc2566914_3650668749"/>
      <w:bookmarkStart w:id="2116" w:name="_Toc966"/>
      <w:bookmarkEnd w:id="2114"/>
      <w:bookmarkEnd w:id="2115"/>
      <w:r>
        <w:rPr>
          <w:rtl w:val="true"/>
        </w:rPr>
        <w:t>[ (</w:t>
      </w:r>
      <w:r>
        <w:rPr>
          <w:rtl w:val="true"/>
        </w:rPr>
        <w:t xml:space="preserve">مسألة </w:t>
      </w:r>
      <w:r>
        <w:rPr/>
        <w:t>6</w:t>
      </w:r>
      <w:r>
        <w:rPr>
          <w:rtl w:val="true"/>
        </w:rPr>
        <w:t xml:space="preserve">): </w:t>
      </w:r>
      <w:r>
        <w:rPr>
          <w:rtl w:val="true"/>
        </w:rPr>
        <w:t>لو نسی قضاء السجدة أو التشهّد و تذکّر بعد الدخول فی صلاة أُخری</w:t>
      </w:r>
      <w:r>
        <w:rPr>
          <w:rtl w:val="true"/>
        </w:rPr>
        <w:t>]</w:t>
      </w:r>
      <w:bookmarkEnd w:id="2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نسی قضاء السجدة أو التشهّد و تذکّر بعد الدخول فی صلاة أُخری قطعها و أتی به، حتّی إذا کانت الثانیة فریضة </w:t>
      </w:r>
      <w:r>
        <w:rPr>
          <w:rStyle w:val="FootnoteAnchor"/>
          <w:rtl w:val="true"/>
        </w:rPr>
        <w:footnoteReference w:id="614"/>
      </w:r>
      <w:r>
        <w:rPr>
          <w:rFonts w:ascii="Amiri" w:hAnsi="Amiri" w:eastAsia="Amiri" w:cs="Amiri"/>
          <w:color w:val="111111"/>
          <w:sz w:val="28"/>
          <w:sz w:val="28"/>
          <w:szCs w:val="28"/>
          <w:rtl w:val="true"/>
          <w:lang w:bidi="ar-SA"/>
        </w:rPr>
        <w:t>، خصوصاً إذا کانت مرتّبة علی الاولیٰ</w:t>
      </w:r>
      <w:r>
        <w:rPr>
          <w:rFonts w:eastAsia="Amiri" w:cs="Amiri" w:ascii="Amiri" w:hAnsi="Amiri"/>
          <w:color w:val="111111"/>
          <w:sz w:val="28"/>
          <w:szCs w:val="28"/>
          <w:rtl w:val="true"/>
          <w:lang w:bidi="ar-SA"/>
        </w:rPr>
        <w:t>.</w:t>
      </w:r>
    </w:p>
    <w:p>
      <w:pPr>
        <w:pStyle w:val="Heading5"/>
        <w:numPr>
          <w:ilvl w:val="4"/>
          <w:numId w:val="1"/>
        </w:numPr>
        <w:rPr/>
      </w:pPr>
      <w:bookmarkStart w:id="2117" w:name="__RefHeading___Toc2566916_3650668749"/>
      <w:bookmarkStart w:id="2118" w:name="_Toc967"/>
      <w:bookmarkEnd w:id="2117"/>
      <w:r>
        <w:rPr>
          <w:rtl w:val="true"/>
        </w:rPr>
        <w:t>[ (</w:t>
      </w:r>
      <w:r>
        <w:rPr>
          <w:rtl w:val="true"/>
        </w:rPr>
        <w:t xml:space="preserve">مسألة </w:t>
      </w:r>
      <w:r>
        <w:rPr/>
        <w:t>7</w:t>
      </w:r>
      <w:r>
        <w:rPr>
          <w:rtl w:val="true"/>
        </w:rPr>
        <w:t xml:space="preserve">): </w:t>
      </w:r>
      <w:r>
        <w:rPr>
          <w:rtl w:val="true"/>
        </w:rPr>
        <w:t>لو کان علیه قضاء أحدهما فی صلاة الظهر و ضاق وقت العصر</w:t>
      </w:r>
      <w:r>
        <w:rPr>
          <w:rtl w:val="true"/>
        </w:rPr>
        <w:t>]</w:t>
      </w:r>
      <w:bookmarkEnd w:id="2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علیه قضاء أحدهما فی صلاة الظهر و ضاق وقت العصر فإن أدرک منها رکعة قدّمهما </w:t>
      </w:r>
      <w:r>
        <w:rPr>
          <w:rStyle w:val="FootnoteAnchor"/>
          <w:rtl w:val="true"/>
        </w:rPr>
        <w:footnoteReference w:id="615"/>
      </w:r>
      <w:r>
        <w:rPr>
          <w:rFonts w:ascii="IRNazanin" w:hAnsi="IRNazanin" w:eastAsia="IRNazanin"/>
          <w:color w:val="111111"/>
          <w:sz w:val="28"/>
          <w:sz w:val="28"/>
          <w:szCs w:val="28"/>
          <w:rtl w:val="true"/>
          <w:lang w:bidi="fa-IR"/>
        </w:rPr>
        <w:t>و إلّا قدّم العصر و قضی الجزء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لو کان علیه صلاة الاحتیاط للظهر و ضاق وقت العصر، لکن فی هذه الصورة مع تقدیم العصر یحتاط بإعادة الظهر أیضاً بعد الإتیان باحتیاطها</w:t>
      </w:r>
      <w:r>
        <w:rPr>
          <w:rFonts w:eastAsia="IRNazanin" w:cs="IRNazanin"/>
          <w:color w:val="111111"/>
          <w:sz w:val="28"/>
          <w:szCs w:val="28"/>
          <w:rtl w:val="true"/>
          <w:lang w:bidi="fa-IR"/>
        </w:rPr>
        <w:t>.</w:t>
      </w:r>
    </w:p>
    <w:p>
      <w:pPr>
        <w:pStyle w:val="Heading4"/>
        <w:numPr>
          <w:ilvl w:val="3"/>
          <w:numId w:val="1"/>
        </w:numPr>
        <w:rPr/>
      </w:pPr>
      <w:bookmarkStart w:id="2119" w:name="__RefHeading___Toc2566918_3650668749"/>
      <w:bookmarkStart w:id="2120" w:name="_Toc968"/>
      <w:bookmarkEnd w:id="2119"/>
      <w:r>
        <w:rPr>
          <w:rtl w:val="true"/>
        </w:rPr>
        <w:t>[</w:t>
      </w:r>
      <w:r>
        <w:rPr>
          <w:rtl w:val="true"/>
        </w:rPr>
        <w:t>القول فی سجود السهو</w:t>
      </w:r>
      <w:r>
        <w:rPr>
          <w:rtl w:val="true"/>
        </w:rPr>
        <w:t>]</w:t>
      </w:r>
      <w:bookmarkEnd w:id="2120"/>
    </w:p>
    <w:p>
      <w:pPr>
        <w:pStyle w:val="Heading5"/>
        <w:numPr>
          <w:ilvl w:val="4"/>
          <w:numId w:val="1"/>
        </w:numPr>
        <w:rPr/>
      </w:pPr>
      <w:bookmarkStart w:id="2121" w:name="__RefHeading___Toc2566920_3650668749"/>
      <w:bookmarkStart w:id="2122" w:name="_Toc969"/>
      <w:bookmarkEnd w:id="2121"/>
      <w:r>
        <w:rPr>
          <w:rtl w:val="true"/>
        </w:rPr>
        <w:t>اشارة</w:t>
      </w:r>
      <w:bookmarkEnd w:id="2122"/>
    </w:p>
    <w:p>
      <w:pPr>
        <w:pStyle w:val="BookText"/>
        <w:rPr/>
      </w:pPr>
      <w:r>
        <w:rPr>
          <w:rFonts w:ascii="IRNazanin" w:hAnsi="IRNazanin" w:eastAsia="IRNazanin"/>
          <w:color w:val="111111"/>
          <w:sz w:val="28"/>
          <w:sz w:val="28"/>
          <w:szCs w:val="28"/>
          <w:rtl w:val="true"/>
          <w:lang w:bidi="fa-IR"/>
        </w:rPr>
        <w:t>القول فی سجود السهو</w:t>
      </w:r>
    </w:p>
    <w:p>
      <w:pPr>
        <w:pStyle w:val="Heading5"/>
        <w:numPr>
          <w:ilvl w:val="4"/>
          <w:numId w:val="1"/>
        </w:numPr>
        <w:rPr/>
      </w:pPr>
      <w:bookmarkStart w:id="2123" w:name="__RefHeading___Toc2566922_3650668749"/>
      <w:bookmarkStart w:id="2124" w:name="_Toc970"/>
      <w:bookmarkEnd w:id="2123"/>
      <w:r>
        <w:rPr>
          <w:rtl w:val="true"/>
        </w:rPr>
        <w:t>[ (</w:t>
      </w:r>
      <w:r>
        <w:rPr>
          <w:rtl w:val="true"/>
        </w:rPr>
        <w:t xml:space="preserve">مسألة </w:t>
      </w:r>
      <w:r>
        <w:rPr/>
        <w:t>1</w:t>
      </w:r>
      <w:r>
        <w:rPr>
          <w:rtl w:val="true"/>
        </w:rPr>
        <w:t xml:space="preserve">): </w:t>
      </w:r>
      <w:r>
        <w:rPr>
          <w:rtl w:val="true"/>
        </w:rPr>
        <w:t>یجب سجود السهو للکلام ساهیاً و لو لظنّ الخروج</w:t>
      </w:r>
      <w:r>
        <w:rPr>
          <w:rtl w:val="true"/>
        </w:rPr>
        <w:t>]</w:t>
      </w:r>
      <w:bookmarkEnd w:id="2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سجود السهو للکلام ساهیاً و لو لظنّ الخروج، و السلام </w:t>
      </w:r>
      <w:r>
        <w:rPr>
          <w:rStyle w:val="FootnoteAnchor"/>
          <w:rtl w:val="true"/>
        </w:rPr>
        <w:footnoteReference w:id="616"/>
      </w:r>
      <w:r>
        <w:rPr>
          <w:rFonts w:ascii="IRNazanin" w:hAnsi="IRNazanin" w:eastAsia="IRNazanin"/>
          <w:color w:val="111111"/>
          <w:sz w:val="28"/>
          <w:sz w:val="28"/>
          <w:szCs w:val="28"/>
          <w:rtl w:val="true"/>
          <w:lang w:bidi="fa-IR"/>
        </w:rPr>
        <w:t xml:space="preserve">فی غیر محلّه، و نسیان السجدة الواحدة إذا فات محلّ تدارکها، و نسیان التشهّد مع فوت محلّ تدارکه، و الشکّ بین الأربع و الخمس، و الأحوط إتیانه لکلّ زیادة فی الصلاة و نقیصة لم یذکرها فی محلّها، و إن کان الأقویٰ عدم وجوبه لغیر ما ذکر، نعم لا یترک </w:t>
      </w:r>
      <w:r>
        <w:rPr>
          <w:rStyle w:val="FootnoteAnchor"/>
          <w:rtl w:val="true"/>
        </w:rPr>
        <w:footnoteReference w:id="617"/>
      </w:r>
      <w:r>
        <w:rPr>
          <w:rFonts w:ascii="IRNazanin" w:hAnsi="IRNazanin" w:eastAsia="IRNazanin"/>
          <w:color w:val="111111"/>
          <w:sz w:val="28"/>
          <w:sz w:val="28"/>
          <w:szCs w:val="28"/>
          <w:rtl w:val="true"/>
          <w:lang w:bidi="fa-IR"/>
        </w:rPr>
        <w:t>الاحتیاط فی القیام فی موضع القعود و بالعکس، و الکلام و إن طال له سجدتا سهو إن کان کلاماً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تعدّد کما لو تذکّر فی الأثناء ثمّ سها بعد ذلک فتکلّم تعدّد السجود</w:t>
      </w:r>
      <w:r>
        <w:rPr>
          <w:rFonts w:eastAsia="IRNazanin" w:cs="IRNazanin"/>
          <w:color w:val="111111"/>
          <w:sz w:val="28"/>
          <w:szCs w:val="28"/>
          <w:rtl w:val="true"/>
          <w:lang w:bidi="fa-IR"/>
        </w:rPr>
        <w:t>.</w:t>
      </w:r>
    </w:p>
    <w:p>
      <w:pPr>
        <w:pStyle w:val="Heading5"/>
        <w:numPr>
          <w:ilvl w:val="4"/>
          <w:numId w:val="1"/>
        </w:numPr>
        <w:rPr/>
      </w:pPr>
      <w:bookmarkStart w:id="2125" w:name="__RefHeading___Toc2566924_3650668749"/>
      <w:bookmarkStart w:id="2126" w:name="_Toc971"/>
      <w:bookmarkEnd w:id="2125"/>
      <w:r>
        <w:rPr>
          <w:rtl w:val="true"/>
        </w:rPr>
        <w:t>[ (</w:t>
      </w:r>
      <w:r>
        <w:rPr>
          <w:rtl w:val="true"/>
        </w:rPr>
        <w:t xml:space="preserve">مسألة </w:t>
      </w:r>
      <w:r>
        <w:rPr/>
        <w:t>2</w:t>
      </w:r>
      <w:r>
        <w:rPr>
          <w:rtl w:val="true"/>
        </w:rPr>
        <w:t xml:space="preserve">): </w:t>
      </w:r>
      <w:r>
        <w:rPr>
          <w:rtl w:val="true"/>
        </w:rPr>
        <w:t>التسلیم الزائد لو وقع مرّة واحدة و لو بجمیع صیغه</w:t>
      </w:r>
      <w:r>
        <w:rPr>
          <w:rtl w:val="true"/>
        </w:rPr>
        <w:t>]</w:t>
      </w:r>
      <w:bookmarkEnd w:id="2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الزائد لو وقع مرّة واحدة و لو بجمیع صیغه سجد له سجدتی السهو مرّة واحدة و إن تعدّد سجد له متعدّداً، و الأحوط تعدّده لکلّ تسلیم، و کذا الحال فی التسبیحات الأربع</w:t>
      </w:r>
      <w:r>
        <w:rPr>
          <w:rFonts w:eastAsia="IRNazanin" w:cs="IRNazanin"/>
          <w:color w:val="111111"/>
          <w:sz w:val="28"/>
          <w:szCs w:val="28"/>
          <w:rtl w:val="true"/>
          <w:lang w:bidi="fa-IR"/>
        </w:rPr>
        <w:t>.</w:t>
      </w:r>
    </w:p>
    <w:p>
      <w:pPr>
        <w:pStyle w:val="Heading5"/>
        <w:numPr>
          <w:ilvl w:val="4"/>
          <w:numId w:val="1"/>
        </w:numPr>
        <w:rPr/>
      </w:pPr>
      <w:bookmarkStart w:id="2127" w:name="__RefHeading___Toc2566926_3650668749"/>
      <w:bookmarkStart w:id="2128" w:name="_Toc972"/>
      <w:bookmarkEnd w:id="2127"/>
      <w:r>
        <w:rPr>
          <w:rtl w:val="true"/>
        </w:rPr>
        <w:t>[ (</w:t>
      </w:r>
      <w:r>
        <w:rPr>
          <w:rtl w:val="true"/>
        </w:rPr>
        <w:t xml:space="preserve">مسألة </w:t>
      </w:r>
      <w:r>
        <w:rPr/>
        <w:t>3</w:t>
      </w:r>
      <w:r>
        <w:rPr>
          <w:rtl w:val="true"/>
        </w:rPr>
        <w:t xml:space="preserve">): </w:t>
      </w:r>
      <w:r>
        <w:rPr>
          <w:rtl w:val="true"/>
        </w:rPr>
        <w:t>لو کان علیه سجود سهو و أجزاء منسیّة و رکعات احتیاطیّة أخّر السجود عنهما</w:t>
      </w:r>
      <w:r>
        <w:rPr>
          <w:rtl w:val="true"/>
        </w:rPr>
        <w:t>]</w:t>
      </w:r>
      <w:bookmarkEnd w:id="2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علیه سجود سهو و أجزاء منسیّة و رکعات احتیاطیّة أخّر السجود عنهما و یتخیّر فی الأجزاء و الرکعات فی تقدیم أحدهما علی الآخر، و إن کان الأحوط </w:t>
      </w:r>
      <w:r>
        <w:rPr>
          <w:rStyle w:val="FootnoteAnchor"/>
          <w:rtl w:val="true"/>
        </w:rPr>
        <w:footnoteReference w:id="618"/>
      </w:r>
      <w:r>
        <w:rPr>
          <w:rFonts w:ascii="IRNazanin" w:hAnsi="IRNazanin" w:eastAsia="IRNazanin"/>
          <w:color w:val="111111"/>
          <w:sz w:val="28"/>
          <w:sz w:val="28"/>
          <w:szCs w:val="28"/>
          <w:rtl w:val="true"/>
          <w:lang w:bidi="fa-IR"/>
        </w:rPr>
        <w:t>تقدیم الرکعات الاحتیاطیّة</w:t>
      </w:r>
      <w:r>
        <w:rPr>
          <w:rFonts w:eastAsia="IRNazanin" w:cs="IRNazanin"/>
          <w:color w:val="111111"/>
          <w:sz w:val="28"/>
          <w:szCs w:val="28"/>
          <w:rtl w:val="true"/>
          <w:lang w:bidi="fa-IR"/>
        </w:rPr>
        <w:t>.</w:t>
      </w:r>
    </w:p>
    <w:p>
      <w:pPr>
        <w:pStyle w:val="Heading5"/>
        <w:numPr>
          <w:ilvl w:val="4"/>
          <w:numId w:val="1"/>
        </w:numPr>
        <w:rPr/>
      </w:pPr>
      <w:bookmarkStart w:id="2129" w:name="__RefHeading___Toc2566928_3650668749"/>
      <w:bookmarkStart w:id="2130" w:name="_Toc973"/>
      <w:bookmarkEnd w:id="2129"/>
      <w:r>
        <w:rPr>
          <w:rtl w:val="true"/>
        </w:rPr>
        <w:t>[ (</w:t>
      </w:r>
      <w:r>
        <w:rPr>
          <w:rtl w:val="true"/>
        </w:rPr>
        <w:t xml:space="preserve">مسألة </w:t>
      </w:r>
      <w:r>
        <w:rPr/>
        <w:t>4</w:t>
      </w:r>
      <w:r>
        <w:rPr>
          <w:rtl w:val="true"/>
        </w:rPr>
        <w:t xml:space="preserve">): </w:t>
      </w:r>
      <w:r>
        <w:rPr>
          <w:rtl w:val="true"/>
        </w:rPr>
        <w:t>یجب المبادرة إلیٰ سجود السهو بعد الصلاة</w:t>
      </w:r>
      <w:r>
        <w:rPr>
          <w:rtl w:val="true"/>
        </w:rPr>
        <w:t>]</w:t>
      </w:r>
      <w:bookmarkEnd w:id="213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المبادرة إلیٰ سجود السهو بعد الصلاة و یعصی بالتأخیر، لکن</w:t>
      </w:r>
      <w:bookmarkStart w:id="2131" w:name="pg1809_19061"/>
    </w:p>
    <w:p>
      <w:pPr>
        <w:pStyle w:val="BookText"/>
        <w:rPr/>
      </w:pPr>
      <w:bookmarkEnd w:id="2131"/>
      <w:r>
        <w:rPr>
          <w:rFonts w:ascii="IRNazanin" w:hAnsi="IRNazanin" w:eastAsia="IRNazanin"/>
          <w:color w:val="111111"/>
          <w:sz w:val="28"/>
          <w:sz w:val="28"/>
          <w:szCs w:val="28"/>
          <w:rtl w:val="true"/>
          <w:lang w:bidi="fa-IR"/>
        </w:rPr>
        <w:t>صلاته صحیحة و لم یسقط وجوب السجود عنه بذلک و لا فوریّته فیسجد مبادراً، کما أنّه لو نسیه مثلًا یسجد حین الذکر کذلک، فلو أخّره عصیٰ أیضاً</w:t>
      </w:r>
      <w:r>
        <w:rPr>
          <w:rFonts w:eastAsia="IRNazanin" w:cs="IRNazanin"/>
          <w:color w:val="111111"/>
          <w:sz w:val="28"/>
          <w:szCs w:val="28"/>
          <w:rtl w:val="true"/>
          <w:lang w:bidi="fa-IR"/>
        </w:rPr>
        <w:t>.</w:t>
      </w:r>
    </w:p>
    <w:p>
      <w:pPr>
        <w:pStyle w:val="Heading5"/>
        <w:numPr>
          <w:ilvl w:val="4"/>
          <w:numId w:val="1"/>
        </w:numPr>
        <w:rPr/>
      </w:pPr>
      <w:bookmarkStart w:id="2132" w:name="__RefHeading___Toc2566930_3650668749"/>
      <w:bookmarkStart w:id="2133" w:name="_Toc974"/>
      <w:bookmarkEnd w:id="2132"/>
      <w:r>
        <w:rPr>
          <w:rtl w:val="true"/>
        </w:rPr>
        <w:t>[ (</w:t>
      </w:r>
      <w:r>
        <w:rPr>
          <w:rtl w:val="true"/>
        </w:rPr>
        <w:t xml:space="preserve">مسألة </w:t>
      </w:r>
      <w:r>
        <w:rPr/>
        <w:t>5</w:t>
      </w:r>
      <w:r>
        <w:rPr>
          <w:rtl w:val="true"/>
        </w:rPr>
        <w:t xml:space="preserve">): </w:t>
      </w:r>
      <w:r>
        <w:rPr>
          <w:rtl w:val="true"/>
        </w:rPr>
        <w:t>یجب فی السجود المزبور النیّة مقارناً لأوّل مسمّاه</w:t>
      </w:r>
      <w:r>
        <w:rPr>
          <w:rtl w:val="true"/>
        </w:rPr>
        <w:t>]</w:t>
      </w:r>
      <w:bookmarkEnd w:id="2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السجود المزبور النیّة مقارناً لأوّل مسمّاه و لو بالاستمرار من الهویّ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فیه تعیین السبب و لو مع التعدّد، کما أنّه لا یجب الترتیب فیه بترتیب أسبابه علی الأقویٰ، و لا یجب فیه التکبیر و إن کان الأحوط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فیه </w:t>
      </w:r>
      <w:r>
        <w:rPr>
          <w:rStyle w:val="FootnoteAnchor"/>
          <w:rtl w:val="true"/>
        </w:rPr>
        <w:footnoteReference w:id="619"/>
      </w:r>
      <w:r>
        <w:rPr>
          <w:rFonts w:ascii="IRNazanin" w:hAnsi="IRNazanin" w:eastAsia="IRNazanin"/>
          <w:color w:val="111111"/>
          <w:sz w:val="28"/>
          <w:sz w:val="28"/>
          <w:szCs w:val="28"/>
          <w:rtl w:val="true"/>
          <w:lang w:bidi="fa-IR"/>
        </w:rPr>
        <w:t xml:space="preserve">جمیع ما یجب فی سجود الصلاة علی الأحوط خصوصاً فی وضع المساجد السبعة، و عدم وضع الجبهة علی المأکول و الملبوس بل اعتبارهما لا یخلو من قوّة، و یجب فیه الذکر </w:t>
      </w:r>
      <w:r>
        <w:rPr>
          <w:rStyle w:val="FootnoteAnchor"/>
          <w:rtl w:val="true"/>
        </w:rPr>
        <w:footnoteReference w:id="620"/>
      </w:r>
      <w:r>
        <w:rPr>
          <w:rFonts w:ascii="Amiri" w:hAnsi="Amiri" w:eastAsia="Amiri" w:cs="Amiri"/>
          <w:color w:val="111111"/>
          <w:sz w:val="28"/>
          <w:sz w:val="28"/>
          <w:szCs w:val="28"/>
          <w:rtl w:val="true"/>
          <w:lang w:bidi="ar-SA"/>
        </w:rPr>
        <w:t>المخصوص فیقول فی کلّ من السجدتین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صلّی اللّٰه علیٰ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اللهمّ صلِّ علیٰ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السلام علیک أیّها النبیُّ و رحمةُ اللّٰه و 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اختیار الأخیر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یجب بعد رفع الرأس من السجدة الأخیرة التشهّد و التسلیم، و الواجب من التسلیم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التشهّد المتعارف منه فی الصلاة</w:t>
      </w:r>
      <w:r>
        <w:rPr>
          <w:rFonts w:eastAsia="Amiri" w:cs="Amiri" w:ascii="Amiri" w:hAnsi="Amiri"/>
          <w:color w:val="111111"/>
          <w:sz w:val="28"/>
          <w:szCs w:val="28"/>
          <w:rtl w:val="true"/>
          <w:lang w:bidi="ar-SA"/>
        </w:rPr>
        <w:t>.</w:t>
      </w:r>
    </w:p>
    <w:p>
      <w:pPr>
        <w:pStyle w:val="Heading5"/>
        <w:numPr>
          <w:ilvl w:val="4"/>
          <w:numId w:val="1"/>
        </w:numPr>
        <w:rPr/>
      </w:pPr>
      <w:bookmarkStart w:id="2134" w:name="__RefHeading___Toc2566932_3650668749"/>
      <w:bookmarkStart w:id="2135" w:name="_Toc975"/>
      <w:bookmarkEnd w:id="2134"/>
      <w:r>
        <w:rPr>
          <w:rtl w:val="true"/>
        </w:rPr>
        <w:t>[ (</w:t>
      </w:r>
      <w:r>
        <w:rPr>
          <w:rtl w:val="true"/>
        </w:rPr>
        <w:t xml:space="preserve">مسألة </w:t>
      </w:r>
      <w:r>
        <w:rPr/>
        <w:t>6</w:t>
      </w:r>
      <w:r>
        <w:rPr>
          <w:rtl w:val="true"/>
        </w:rPr>
        <w:t xml:space="preserve">): </w:t>
      </w:r>
      <w:r>
        <w:rPr>
          <w:rtl w:val="true"/>
        </w:rPr>
        <w:t>لو شکّ فی تحقّق موجبه بنیٰ علیٰ عدمه</w:t>
      </w:r>
      <w:r>
        <w:rPr>
          <w:rtl w:val="true"/>
        </w:rPr>
        <w:t>]</w:t>
      </w:r>
      <w:bookmarkEnd w:id="2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تحقّق موجبه بنیٰ علیٰ عدمه، و لو شکّ فی إتیانه بعد العلم بوجوبه وجب الإتیان به، و لو علم بالموجب و تردّد بین الأقلّ و الأکثر بنیٰ علی الأقلّ، و لو شکّ فی فعل من أفعاله فإن کان فی المحلّ أتی به و إن تجاوز لم یلتفت، و إذا شکّ فی أنّه سجد سجدتین أو واحدة بنیٰ علی الأقلّ إلّا إذا دخل فی التشهّد، و لو علم بأنّه زاد سجدة أو علم أنّه نقص واحدة أعاد</w:t>
      </w:r>
      <w:r>
        <w:rPr>
          <w:rFonts w:eastAsia="IRNazanin" w:cs="IRNazanin"/>
          <w:color w:val="111111"/>
          <w:sz w:val="28"/>
          <w:szCs w:val="28"/>
          <w:rtl w:val="true"/>
          <w:lang w:bidi="fa-IR"/>
        </w:rPr>
        <w:t>.</w:t>
      </w:r>
    </w:p>
    <w:p>
      <w:pPr>
        <w:pStyle w:val="Heading3"/>
        <w:numPr>
          <w:ilvl w:val="2"/>
          <w:numId w:val="1"/>
        </w:numPr>
        <w:rPr/>
      </w:pPr>
      <w:bookmarkStart w:id="2136" w:name="__RefHeading___Toc2566934_3650668749"/>
      <w:bookmarkStart w:id="2137" w:name="_Toc976"/>
      <w:bookmarkEnd w:id="2136"/>
      <w:r>
        <w:rPr>
          <w:rtl w:val="true"/>
        </w:rPr>
        <w:t>[</w:t>
      </w:r>
      <w:r>
        <w:rPr>
          <w:rtl w:val="true"/>
        </w:rPr>
        <w:t>القول فی صلاة القضاء</w:t>
      </w:r>
      <w:r>
        <w:rPr>
          <w:rtl w:val="true"/>
        </w:rPr>
        <w:t>]</w:t>
      </w:r>
      <w:bookmarkEnd w:id="2137"/>
    </w:p>
    <w:p>
      <w:pPr>
        <w:pStyle w:val="Heading4"/>
        <w:numPr>
          <w:ilvl w:val="3"/>
          <w:numId w:val="1"/>
        </w:numPr>
        <w:rPr/>
      </w:pPr>
      <w:bookmarkStart w:id="2138" w:name="__RefHeading___Toc2566936_3650668749"/>
      <w:bookmarkStart w:id="2139" w:name="_Toc977"/>
      <w:bookmarkEnd w:id="2138"/>
      <w:r>
        <w:rPr>
          <w:rtl w:val="true"/>
        </w:rPr>
        <w:t>اشارة</w:t>
      </w:r>
      <w:bookmarkEnd w:id="2139"/>
    </w:p>
    <w:p>
      <w:pPr>
        <w:pStyle w:val="BookText"/>
        <w:rPr/>
      </w:pPr>
      <w:r>
        <w:rPr>
          <w:rFonts w:ascii="IRNazanin" w:hAnsi="IRNazanin" w:eastAsia="IRNazanin"/>
          <w:color w:val="111111"/>
          <w:sz w:val="28"/>
          <w:sz w:val="28"/>
          <w:szCs w:val="28"/>
          <w:rtl w:val="true"/>
          <w:lang w:bidi="fa-IR"/>
        </w:rPr>
        <w:t>القول فی صلاة القضاء</w:t>
      </w:r>
    </w:p>
    <w:p>
      <w:pPr>
        <w:pStyle w:val="Heading4"/>
        <w:numPr>
          <w:ilvl w:val="3"/>
          <w:numId w:val="1"/>
        </w:numPr>
        <w:rPr/>
      </w:pPr>
      <w:bookmarkStart w:id="2140" w:name="__RefHeading___Toc2566938_3650668749"/>
      <w:bookmarkStart w:id="2141" w:name="_Toc978"/>
      <w:bookmarkEnd w:id="2140"/>
      <w:r>
        <w:rPr>
          <w:rtl w:val="true"/>
        </w:rPr>
        <w:t>[</w:t>
      </w:r>
      <w:r>
        <w:rPr>
          <w:rtl w:val="true"/>
        </w:rPr>
        <w:t>مسائل</w:t>
      </w:r>
      <w:r>
        <w:rPr>
          <w:rtl w:val="true"/>
        </w:rPr>
        <w:t>]</w:t>
      </w:r>
      <w:bookmarkEnd w:id="2141"/>
    </w:p>
    <w:p>
      <w:pPr>
        <w:pStyle w:val="Heading5"/>
        <w:numPr>
          <w:ilvl w:val="4"/>
          <w:numId w:val="1"/>
        </w:numPr>
        <w:rPr/>
      </w:pPr>
      <w:bookmarkStart w:id="2142" w:name="__RefHeading___Toc2566940_3650668749"/>
      <w:bookmarkStart w:id="2143" w:name="_Toc979"/>
      <w:bookmarkEnd w:id="2142"/>
      <w:r>
        <w:rPr>
          <w:rtl w:val="true"/>
        </w:rPr>
        <w:t>اشارة</w:t>
      </w:r>
      <w:bookmarkEnd w:id="214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قضاء الصلوات الیومیّة </w:t>
      </w:r>
      <w:r>
        <w:rPr>
          <w:rStyle w:val="FootnoteAnchor"/>
          <w:rtl w:val="true"/>
        </w:rPr>
        <w:footnoteReference w:id="621"/>
      </w:r>
      <w:r>
        <w:rPr>
          <w:rFonts w:ascii="IRNazanin" w:hAnsi="IRNazanin" w:eastAsia="IRNazanin"/>
          <w:color w:val="111111"/>
          <w:sz w:val="28"/>
          <w:sz w:val="28"/>
          <w:szCs w:val="28"/>
          <w:rtl w:val="true"/>
          <w:lang w:bidi="fa-IR"/>
        </w:rPr>
        <w:t>التی فاتت فی أوقاتها عمداً أو سهواً أو جهلًا أو لأجل النوم المستوعب للوقت و غیر ذلک، و کذا المأتیّ بها فاسداً لفقد شرط أو جزء یوجب ترکه</w:t>
      </w:r>
      <w:bookmarkStart w:id="2144" w:name="pg1809_19063"/>
    </w:p>
    <w:p>
      <w:pPr>
        <w:pStyle w:val="BookText"/>
        <w:rPr/>
      </w:pPr>
      <w:bookmarkEnd w:id="2144"/>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یجب قضاء ما ترکه الصبیّ فی زمان صباه و المجنون فی حال جنونه و المغمیٰ علیه إذا لم یکن إغماؤه بفعله </w:t>
      </w:r>
      <w:r>
        <w:rPr>
          <w:rStyle w:val="FootnoteAnchor"/>
          <w:rtl w:val="true"/>
        </w:rPr>
        <w:footnoteReference w:id="622"/>
      </w:r>
      <w:r>
        <w:rPr>
          <w:rFonts w:ascii="IRNazanin" w:hAnsi="IRNazanin" w:eastAsia="IRNazanin"/>
          <w:color w:val="111111"/>
          <w:sz w:val="28"/>
          <w:sz w:val="28"/>
          <w:szCs w:val="28"/>
          <w:rtl w:val="true"/>
          <w:lang w:bidi="fa-IR"/>
        </w:rPr>
        <w:t>و الکافر الأصلی، دون المرتدّ فإنّه یجب علیه قضاء ما فاته فی حال ارتداده بعد التوبة، و تصحّ منه و إن کان عن فطرة علی الأصحّ و الحائض و النفساء مع استیعاب الوقت</w:t>
      </w:r>
      <w:r>
        <w:rPr>
          <w:rFonts w:eastAsia="IRNazanin" w:cs="IRNazanin"/>
          <w:color w:val="111111"/>
          <w:sz w:val="28"/>
          <w:szCs w:val="28"/>
          <w:rtl w:val="true"/>
          <w:lang w:bidi="fa-IR"/>
        </w:rPr>
        <w:t>.</w:t>
      </w:r>
    </w:p>
    <w:p>
      <w:pPr>
        <w:pStyle w:val="Heading5"/>
        <w:numPr>
          <w:ilvl w:val="4"/>
          <w:numId w:val="1"/>
        </w:numPr>
        <w:rPr/>
      </w:pPr>
      <w:bookmarkStart w:id="2145" w:name="__RefHeading___Toc2566942_3650668749"/>
      <w:bookmarkStart w:id="2146" w:name="_Toc980"/>
      <w:bookmarkEnd w:id="2145"/>
      <w:r>
        <w:rPr>
          <w:rtl w:val="true"/>
        </w:rPr>
        <w:t>[ (</w:t>
      </w:r>
      <w:r>
        <w:rPr>
          <w:rtl w:val="true"/>
        </w:rPr>
        <w:t xml:space="preserve">مسألة </w:t>
      </w:r>
      <w:r>
        <w:rPr/>
        <w:t>1</w:t>
      </w:r>
      <w:r>
        <w:rPr>
          <w:rtl w:val="true"/>
        </w:rPr>
        <w:t xml:space="preserve">): </w:t>
      </w:r>
      <w:r>
        <w:rPr>
          <w:rtl w:val="true"/>
        </w:rPr>
        <w:t>یجب علی المخالف بعد استبصاره قضاء ما فات منه</w:t>
      </w:r>
      <w:r>
        <w:rPr>
          <w:rtl w:val="true"/>
        </w:rPr>
        <w:t>]</w:t>
      </w:r>
      <w:bookmarkEnd w:id="2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المخالف بعد استبصاره قضاء ما فات منه أو أتی به علیٰ وجه یخالف مذهبه، بخلاف ما إذا أتی به علیٰ وفق مذهبه فإنّه لا یجب علیه قضاؤها و إن کانت فاسدة بحسب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الوقت باقیاً یجب علیه الأداء و حینئذٍ لو ترکه یجب علیه القضاء</w:t>
      </w:r>
      <w:r>
        <w:rPr>
          <w:rFonts w:eastAsia="IRNazanin" w:cs="IRNazanin"/>
          <w:color w:val="111111"/>
          <w:sz w:val="28"/>
          <w:szCs w:val="28"/>
          <w:rtl w:val="true"/>
          <w:lang w:bidi="fa-IR"/>
        </w:rPr>
        <w:t>.</w:t>
      </w:r>
    </w:p>
    <w:p>
      <w:pPr>
        <w:pStyle w:val="Heading5"/>
        <w:numPr>
          <w:ilvl w:val="4"/>
          <w:numId w:val="1"/>
        </w:numPr>
        <w:rPr/>
      </w:pPr>
      <w:bookmarkStart w:id="2147" w:name="__RefHeading___Toc2566944_3650668749"/>
      <w:bookmarkStart w:id="2148" w:name="_Toc981"/>
      <w:bookmarkEnd w:id="2147"/>
      <w:r>
        <w:rPr>
          <w:rtl w:val="true"/>
        </w:rPr>
        <w:t>[ (</w:t>
      </w:r>
      <w:r>
        <w:rPr>
          <w:rtl w:val="true"/>
        </w:rPr>
        <w:t xml:space="preserve">مسألة </w:t>
      </w:r>
      <w:r>
        <w:rPr/>
        <w:t>2</w:t>
      </w:r>
      <w:r>
        <w:rPr>
          <w:rtl w:val="true"/>
        </w:rPr>
        <w:t xml:space="preserve">): </w:t>
      </w:r>
      <w:r>
        <w:rPr>
          <w:rtl w:val="true"/>
        </w:rPr>
        <w:t>إذا بلغ الصبیّ أو أفاق المجنون أو المغمیٰ علیه فی الوقت وجب علیهم الأداء</w:t>
      </w:r>
      <w:r>
        <w:rPr>
          <w:rtl w:val="true"/>
        </w:rPr>
        <w:t>]</w:t>
      </w:r>
      <w:bookmarkEnd w:id="2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الصبیّ أو أفاق المجنون أو المغمیٰ علیه فی الوقت وجب علیهم الأداء و إن لم یدرکوا إلّا مقدار رکعة </w:t>
      </w:r>
      <w:r>
        <w:rPr>
          <w:rStyle w:val="FootnoteAnchor"/>
          <w:rtl w:val="true"/>
        </w:rPr>
        <w:footnoteReference w:id="623"/>
      </w:r>
      <w:r>
        <w:rPr>
          <w:rFonts w:ascii="IRNazanin" w:hAnsi="IRNazanin" w:eastAsia="IRNazanin"/>
          <w:color w:val="111111"/>
          <w:sz w:val="28"/>
          <w:sz w:val="28"/>
          <w:szCs w:val="28"/>
          <w:rtl w:val="true"/>
          <w:lang w:bidi="fa-IR"/>
        </w:rPr>
        <w:t>، و مع الترک یجب علیهم القضاء، و کذلک الحائض و النفساء إذا زال عذرهما، کما أنّه إذا طرأ الجنون أو الإغماء أو الحیض أو النفاس بعد مضیّ مقدار صلاة المختار من أوّل الوقت بحسب حالهم من السفر و الحضر و الوضوء و التیمّم و لم یأتوا بالصلاة وجب علیهم القضاء</w:t>
      </w:r>
      <w:r>
        <w:rPr>
          <w:rFonts w:eastAsia="IRNazanin" w:cs="IRNazanin"/>
          <w:color w:val="111111"/>
          <w:sz w:val="28"/>
          <w:szCs w:val="28"/>
          <w:rtl w:val="true"/>
          <w:lang w:bidi="fa-IR"/>
        </w:rPr>
        <w:t>.</w:t>
      </w:r>
    </w:p>
    <w:p>
      <w:pPr>
        <w:pStyle w:val="Heading5"/>
        <w:numPr>
          <w:ilvl w:val="4"/>
          <w:numId w:val="1"/>
        </w:numPr>
        <w:rPr/>
      </w:pPr>
      <w:bookmarkStart w:id="2149" w:name="__RefHeading___Toc2566946_3650668749"/>
      <w:bookmarkStart w:id="2150" w:name="_Toc982"/>
      <w:bookmarkEnd w:id="2149"/>
      <w:r>
        <w:rPr>
          <w:rtl w:val="true"/>
        </w:rPr>
        <w:t>[ (</w:t>
      </w:r>
      <w:r>
        <w:rPr>
          <w:rtl w:val="true"/>
        </w:rPr>
        <w:t xml:space="preserve">مسألة </w:t>
      </w:r>
      <w:r>
        <w:rPr/>
        <w:t>3</w:t>
      </w:r>
      <w:r>
        <w:rPr>
          <w:rtl w:val="true"/>
        </w:rPr>
        <w:t xml:space="preserve">): </w:t>
      </w:r>
      <w:r>
        <w:rPr>
          <w:rtl w:val="true"/>
        </w:rPr>
        <w:t>فاقد الطهورین یجب علیه القضاء</w:t>
      </w:r>
      <w:r>
        <w:rPr>
          <w:rtl w:val="true"/>
        </w:rPr>
        <w:t>]</w:t>
      </w:r>
      <w:bookmarkEnd w:id="2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الطهورین یجب علیه القضاء و لا یترک </w:t>
      </w:r>
      <w:r>
        <w:rPr>
          <w:rStyle w:val="FootnoteAnchor"/>
          <w:rtl w:val="true"/>
        </w:rPr>
        <w:footnoteReference w:id="624"/>
      </w:r>
      <w:r>
        <w:rPr>
          <w:rFonts w:ascii="IRNazanin" w:hAnsi="IRNazanin" w:eastAsia="IRNazanin"/>
          <w:color w:val="111111"/>
          <w:sz w:val="28"/>
          <w:sz w:val="28"/>
          <w:szCs w:val="28"/>
          <w:rtl w:val="true"/>
          <w:lang w:bidi="fa-IR"/>
        </w:rPr>
        <w:t>الاحتیاط بالإتیان بالأداء أیضاً</w:t>
      </w:r>
      <w:r>
        <w:rPr>
          <w:rFonts w:eastAsia="IRNazanin" w:cs="IRNazanin"/>
          <w:color w:val="111111"/>
          <w:sz w:val="28"/>
          <w:szCs w:val="28"/>
          <w:rtl w:val="true"/>
          <w:lang w:bidi="fa-IR"/>
        </w:rPr>
        <w:t>.</w:t>
      </w:r>
    </w:p>
    <w:p>
      <w:pPr>
        <w:pStyle w:val="Heading5"/>
        <w:numPr>
          <w:ilvl w:val="4"/>
          <w:numId w:val="1"/>
        </w:numPr>
        <w:rPr/>
      </w:pPr>
      <w:bookmarkStart w:id="2151" w:name="__RefHeading___Toc2566948_3650668749"/>
      <w:bookmarkStart w:id="2152" w:name="_Toc983"/>
      <w:bookmarkEnd w:id="2151"/>
      <w:r>
        <w:rPr>
          <w:rtl w:val="true"/>
        </w:rPr>
        <w:t>[ (</w:t>
      </w:r>
      <w:r>
        <w:rPr>
          <w:rtl w:val="true"/>
        </w:rPr>
        <w:t xml:space="preserve">مسألة </w:t>
      </w:r>
      <w:r>
        <w:rPr/>
        <w:t>4</w:t>
      </w:r>
      <w:r>
        <w:rPr>
          <w:rtl w:val="true"/>
        </w:rPr>
        <w:t xml:space="preserve">): </w:t>
      </w:r>
      <w:r>
        <w:rPr>
          <w:rtl w:val="true"/>
        </w:rPr>
        <w:t>یجب قضاء غیر الیومیّة سوی العیدین</w:t>
      </w:r>
      <w:r>
        <w:rPr>
          <w:rtl w:val="true"/>
        </w:rPr>
        <w:t>]</w:t>
      </w:r>
      <w:bookmarkEnd w:id="2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قضاء غیر الیومیّة سوی العیدین </w:t>
      </w:r>
      <w:r>
        <w:rPr>
          <w:rStyle w:val="FootnoteAnchor"/>
          <w:rtl w:val="true"/>
        </w:rPr>
        <w:footnoteReference w:id="625"/>
      </w:r>
      <w:r>
        <w:rPr>
          <w:rFonts w:ascii="IRNazanin" w:hAnsi="IRNazanin" w:eastAsia="IRNazanin"/>
          <w:color w:val="111111"/>
          <w:sz w:val="28"/>
          <w:sz w:val="28"/>
          <w:szCs w:val="28"/>
          <w:rtl w:val="true"/>
          <w:lang w:bidi="fa-IR"/>
        </w:rPr>
        <w:t xml:space="preserve">حتّی المنذورة فی وقت معیّن علی الأقویٰ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3" w:name="__RefHeading___Toc2566950_3650668749"/>
      <w:bookmarkStart w:id="2154" w:name="_Toc984"/>
      <w:bookmarkEnd w:id="2153"/>
      <w:r>
        <w:rPr>
          <w:rtl w:val="true"/>
        </w:rPr>
        <w:t>[ (</w:t>
      </w:r>
      <w:r>
        <w:rPr>
          <w:rtl w:val="true"/>
        </w:rPr>
        <w:t xml:space="preserve">مسألة </w:t>
      </w:r>
      <w:r>
        <w:rPr/>
        <w:t>5</w:t>
      </w:r>
      <w:r>
        <w:rPr>
          <w:rtl w:val="true"/>
        </w:rPr>
        <w:t xml:space="preserve">): </w:t>
      </w:r>
      <w:r>
        <w:rPr>
          <w:rtl w:val="true"/>
        </w:rPr>
        <w:t>یجوز قضاء الفرائض فی کلّ وقت من لیل أو نهار أو سفر أو حضر</w:t>
      </w:r>
      <w:r>
        <w:rPr>
          <w:rtl w:val="true"/>
        </w:rPr>
        <w:t>]</w:t>
      </w:r>
      <w:bookmarkEnd w:id="215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قضاء الفرائض فی کلّ وقت من لیل أو نهار أو سفر أو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یصلّی فی السفر ما فات فی الحضر تماماً، کما أنّه یصلّی فی الحضر ما فات فی السفر قصراً، کما سیأتی فی 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فی أوّل الوقت حاضراً و فی آخر الوقت</w:t>
      </w:r>
      <w:bookmarkStart w:id="2155" w:name="pg1809_19065"/>
    </w:p>
    <w:p>
      <w:pPr>
        <w:pStyle w:val="BookText"/>
        <w:rPr/>
      </w:pPr>
      <w:bookmarkEnd w:id="2155"/>
      <w:r>
        <w:rPr>
          <w:rFonts w:ascii="IRNazanin" w:hAnsi="IRNazanin" w:eastAsia="IRNazanin"/>
          <w:color w:val="111111"/>
          <w:sz w:val="28"/>
          <w:sz w:val="28"/>
          <w:szCs w:val="28"/>
          <w:rtl w:val="true"/>
          <w:lang w:bidi="fa-IR"/>
        </w:rPr>
        <w:t xml:space="preserve">مسافراً أو بالعکس، فالعبرة بحال الفوت علی الأصحّ </w:t>
      </w:r>
      <w:r>
        <w:rPr>
          <w:rStyle w:val="FootnoteAnchor"/>
          <w:rtl w:val="true"/>
        </w:rPr>
        <w:footnoteReference w:id="627"/>
      </w:r>
      <w:r>
        <w:rPr>
          <w:rFonts w:ascii="IRNazanin" w:hAnsi="IRNazanin" w:eastAsia="IRNazanin"/>
          <w:color w:val="111111"/>
          <w:sz w:val="28"/>
          <w:sz w:val="28"/>
          <w:szCs w:val="28"/>
          <w:rtl w:val="true"/>
          <w:lang w:bidi="fa-IR"/>
        </w:rPr>
        <w:t>، فیقضی قصراً فی الأوّل و تماماً فی الثانی، و إذا فاتته فیما یجب علیه فیه الاحتیاط بالجمع بین القصر و التمام فالقضاء کذلک</w:t>
      </w:r>
      <w:r>
        <w:rPr>
          <w:rFonts w:eastAsia="IRNazanin" w:cs="IRNazanin"/>
          <w:color w:val="111111"/>
          <w:sz w:val="28"/>
          <w:szCs w:val="28"/>
          <w:rtl w:val="true"/>
          <w:lang w:bidi="fa-IR"/>
        </w:rPr>
        <w:t>.</w:t>
      </w:r>
    </w:p>
    <w:p>
      <w:pPr>
        <w:pStyle w:val="Heading5"/>
        <w:numPr>
          <w:ilvl w:val="4"/>
          <w:numId w:val="1"/>
        </w:numPr>
        <w:rPr/>
      </w:pPr>
      <w:bookmarkStart w:id="2156" w:name="__RefHeading___Toc2566952_3650668749"/>
      <w:bookmarkStart w:id="2157" w:name="_Toc985"/>
      <w:bookmarkEnd w:id="2156"/>
      <w:r>
        <w:rPr>
          <w:rtl w:val="true"/>
        </w:rPr>
        <w:t>[ (</w:t>
      </w:r>
      <w:r>
        <w:rPr>
          <w:rtl w:val="true"/>
        </w:rPr>
        <w:t xml:space="preserve">مسألة </w:t>
      </w:r>
      <w:r>
        <w:rPr/>
        <w:t>6</w:t>
      </w:r>
      <w:r>
        <w:rPr>
          <w:rtl w:val="true"/>
        </w:rPr>
        <w:t xml:space="preserve">): </w:t>
      </w:r>
      <w:r>
        <w:rPr>
          <w:rtl w:val="true"/>
        </w:rPr>
        <w:t>إذا فاتت الصلاة فی أماکن التخییر</w:t>
      </w:r>
      <w:r>
        <w:rPr>
          <w:rtl w:val="true"/>
        </w:rPr>
        <w:t>]</w:t>
      </w:r>
      <w:bookmarkEnd w:id="2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فاتت الصلاة فی أماکن التخییر، فالظاهر التخییر فی القضاء أیضاً إذا قضاها فی تلک الأماکن، و تعیّن القصر </w:t>
      </w:r>
      <w:r>
        <w:rPr>
          <w:rStyle w:val="FootnoteAnchor"/>
          <w:rtl w:val="true"/>
        </w:rPr>
        <w:footnoteReference w:id="628"/>
      </w:r>
      <w:r>
        <w:rPr>
          <w:rFonts w:ascii="IRNazanin" w:hAnsi="IRNazanin" w:eastAsia="IRNazanin"/>
          <w:color w:val="111111"/>
          <w:sz w:val="28"/>
          <w:sz w:val="28"/>
          <w:szCs w:val="28"/>
          <w:rtl w:val="true"/>
          <w:lang w:bidi="fa-IR"/>
        </w:rPr>
        <w:t>إذا قضاها فی غیرها</w:t>
      </w:r>
      <w:r>
        <w:rPr>
          <w:rFonts w:eastAsia="IRNazanin" w:cs="IRNazanin"/>
          <w:color w:val="111111"/>
          <w:sz w:val="28"/>
          <w:szCs w:val="28"/>
          <w:rtl w:val="true"/>
          <w:lang w:bidi="fa-IR"/>
        </w:rPr>
        <w:t>.</w:t>
      </w:r>
    </w:p>
    <w:p>
      <w:pPr>
        <w:pStyle w:val="Heading5"/>
        <w:numPr>
          <w:ilvl w:val="4"/>
          <w:numId w:val="1"/>
        </w:numPr>
        <w:rPr/>
      </w:pPr>
      <w:bookmarkStart w:id="2158" w:name="__RefHeading___Toc2566954_3650668749"/>
      <w:bookmarkStart w:id="2159" w:name="_Toc986"/>
      <w:bookmarkEnd w:id="2158"/>
      <w:r>
        <w:rPr>
          <w:rtl w:val="true"/>
        </w:rPr>
        <w:t>[ (</w:t>
      </w:r>
      <w:r>
        <w:rPr>
          <w:rtl w:val="true"/>
        </w:rPr>
        <w:t xml:space="preserve">مسألة </w:t>
      </w:r>
      <w:r>
        <w:rPr/>
        <w:t>7</w:t>
      </w:r>
      <w:r>
        <w:rPr>
          <w:rtl w:val="true"/>
        </w:rPr>
        <w:t xml:space="preserve">): </w:t>
      </w:r>
      <w:r>
        <w:rPr>
          <w:rtl w:val="true"/>
        </w:rPr>
        <w:t>یستحبّ قضاء النوافل الرواتب</w:t>
      </w:r>
      <w:r>
        <w:rPr>
          <w:rtl w:val="true"/>
        </w:rPr>
        <w:t>]</w:t>
      </w:r>
      <w:bookmarkEnd w:id="2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Style w:val="FootnoteAnchor"/>
          <w:rtl w:val="true"/>
        </w:rPr>
        <w:footnoteReference w:id="629"/>
      </w:r>
      <w:r>
        <w:rPr>
          <w:rFonts w:ascii="IRNazanin" w:hAnsi="IRNazanin" w:eastAsia="IRNazanin"/>
          <w:color w:val="111111"/>
          <w:sz w:val="28"/>
          <w:sz w:val="28"/>
          <w:szCs w:val="28"/>
          <w:rtl w:val="true"/>
          <w:lang w:bidi="fa-IR"/>
        </w:rPr>
        <w:t xml:space="preserve">قضاء النوافل الرواتب و من عجز عن قضائها استحبّ له التصدّق </w:t>
      </w:r>
      <w:r>
        <w:rPr>
          <w:rStyle w:val="FootnoteAnchor"/>
          <w:rtl w:val="true"/>
        </w:rPr>
        <w:footnoteReference w:id="630"/>
      </w:r>
      <w:r>
        <w:rPr>
          <w:rFonts w:ascii="IRNazanin" w:hAnsi="IRNazanin" w:eastAsia="IRNazanin"/>
          <w:color w:val="111111"/>
          <w:sz w:val="28"/>
          <w:sz w:val="28"/>
          <w:szCs w:val="28"/>
          <w:rtl w:val="true"/>
          <w:lang w:bidi="fa-IR"/>
        </w:rPr>
        <w:t>عن کلّ رکعتین بمدّ و إن لم یتمکّن فعن کلّ أربع رکعات بمدّ و إن لم یتمکّن فمدّ لصلاة اللیل و مدّ لصلاة النهار</w:t>
      </w:r>
      <w:r>
        <w:rPr>
          <w:rFonts w:eastAsia="IRNazanin" w:cs="IRNazanin"/>
          <w:color w:val="111111"/>
          <w:sz w:val="28"/>
          <w:szCs w:val="28"/>
          <w:rtl w:val="true"/>
          <w:lang w:bidi="fa-IR"/>
        </w:rPr>
        <w:t>.</w:t>
      </w:r>
    </w:p>
    <w:p>
      <w:pPr>
        <w:pStyle w:val="Heading5"/>
        <w:numPr>
          <w:ilvl w:val="4"/>
          <w:numId w:val="1"/>
        </w:numPr>
        <w:rPr/>
      </w:pPr>
      <w:bookmarkStart w:id="2160" w:name="__RefHeading___Toc2566956_3650668749"/>
      <w:bookmarkStart w:id="2161" w:name="_Toc987"/>
      <w:bookmarkEnd w:id="2160"/>
      <w:r>
        <w:rPr>
          <w:rtl w:val="true"/>
        </w:rPr>
        <w:t>[ (</w:t>
      </w:r>
      <w:r>
        <w:rPr>
          <w:rtl w:val="true"/>
        </w:rPr>
        <w:t xml:space="preserve">مسألة </w:t>
      </w:r>
      <w:r>
        <w:rPr/>
        <w:t>8</w:t>
      </w:r>
      <w:r>
        <w:rPr>
          <w:rtl w:val="true"/>
        </w:rPr>
        <w:t xml:space="preserve">): </w:t>
      </w:r>
      <w:r>
        <w:rPr>
          <w:rtl w:val="true"/>
        </w:rPr>
        <w:t>إذا تعدّدت الفوائت فالأقویٰ عدم وجوب الترتیب فی قضائها</w:t>
      </w:r>
      <w:r>
        <w:rPr>
          <w:rtl w:val="true"/>
        </w:rPr>
        <w:t>]</w:t>
      </w:r>
      <w:bookmarkEnd w:id="2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تعدّدت الفوائت فالأقویٰ </w:t>
      </w:r>
      <w:r>
        <w:rPr>
          <w:rStyle w:val="FootnoteAnchor"/>
          <w:rtl w:val="true"/>
        </w:rPr>
        <w:footnoteReference w:id="631"/>
      </w:r>
      <w:r>
        <w:rPr>
          <w:rFonts w:ascii="IRNazanin" w:hAnsi="IRNazanin" w:eastAsia="IRNazanin"/>
          <w:color w:val="111111"/>
          <w:sz w:val="28"/>
          <w:sz w:val="28"/>
          <w:szCs w:val="28"/>
          <w:rtl w:val="true"/>
          <w:lang w:bidi="fa-IR"/>
        </w:rPr>
        <w:t>عدم وجوب الترتیب فی قضائها؛ بمعنی تقدیم قضاء السابق فی الفوات علی اللاحق إلّا إذا کانت من یوم واحد و کان الترتیب معتبراً فی أدائها شرعاً کالظهرین و العشاءین، فإذا فات الظهر من یوم و العصر من یوم آخر، أو الصبح من یوم و الظهر من یوم آخر یجوز له تقدیم قضاء ما تأخّر فواته، و کذا إذا فات الصبح و الظهر معاً أو العصر و المغرب أو العصر و العشاء من یوم واحد، بخلاف ما إذا فات الظهران أو العشاءان من یوم واحد فإنّه لا یجوز تقدیم قضاء العصر علی الظهر و العشاء علی المغرب، و لکنّ الأحوط ملاحظة الترتیب مطلقاً</w:t>
      </w:r>
      <w:r>
        <w:rPr>
          <w:rFonts w:eastAsia="IRNazanin" w:cs="IRNazanin"/>
          <w:color w:val="111111"/>
          <w:sz w:val="28"/>
          <w:szCs w:val="28"/>
          <w:rtl w:val="true"/>
          <w:lang w:bidi="fa-IR"/>
        </w:rPr>
        <w:t>.</w:t>
      </w:r>
    </w:p>
    <w:p>
      <w:pPr>
        <w:pStyle w:val="Heading5"/>
        <w:numPr>
          <w:ilvl w:val="4"/>
          <w:numId w:val="1"/>
        </w:numPr>
        <w:rPr/>
      </w:pPr>
      <w:bookmarkStart w:id="2162" w:name="__RefHeading___Toc2566958_3650668749"/>
      <w:bookmarkStart w:id="2163" w:name="_Toc988"/>
      <w:bookmarkEnd w:id="2162"/>
      <w:r>
        <w:rPr>
          <w:rtl w:val="true"/>
        </w:rPr>
        <w:t>[ (</w:t>
      </w:r>
      <w:r>
        <w:rPr>
          <w:rtl w:val="true"/>
        </w:rPr>
        <w:t xml:space="preserve">مسألة </w:t>
      </w:r>
      <w:r>
        <w:rPr/>
        <w:t>9</w:t>
      </w:r>
      <w:r>
        <w:rPr>
          <w:rtl w:val="true"/>
        </w:rPr>
        <w:t xml:space="preserve">): </w:t>
      </w:r>
      <w:r>
        <w:rPr>
          <w:rtl w:val="true"/>
        </w:rPr>
        <w:t>لو علم أنّ علیه إحدی الصلوات الخمس من غیر تعیین</w:t>
      </w:r>
      <w:r>
        <w:rPr>
          <w:rtl w:val="true"/>
        </w:rPr>
        <w:t>]</w:t>
      </w:r>
      <w:bookmarkEnd w:id="216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أنّ علیه إحدی الصلوات الخمس من غیر تعیین، یکفیه صبح و مغرب و أربع رکعات بقصد ما فی الذمّة مردّدة بین الظهر و العصر و العشاء مخیّراً فیها بین الجهر و الإخفات، و إذا کان مسافراً یکفیه مغرب و رکعتان مردّدتان بین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یعلم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کان حاضراً أو مسافراً یأتی بمغرب و رکعتین مردّدتین بین الأربع و أربع رکعات مردّدة بین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علم أنّ علیه اثنتین من الخمس من یوم أتی بصبح ثمّ أربع رکعات مردّدة بین الظهر و العصر ثمّ مغرب ثمّ عشاء </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علم أنّه کان فی السفر أتی باثنتین مردّدتین بین الصبح و الظهر ثمّ رکعتین للعصر ثمّ مغرب ثمّ رکعتین للعشاء، و إن لم یعلم أنّه کان مسافراً أو حاضراً، أتی برکعتین مردّدتین بین الصبح و الظهر ثمّ رکعتین للعصر ثمّ المغرب ثمّ رکعتین للعشاء ثمّ أربع رکعات للظهر ثمّ أربع رکعات مردّدة بین العصر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علم أنّ علیه ثلاث من الخمس و کان حاضراً، وجب علیه الإتیان بالخمس علی الترتیب، و إن کان فی السفر یکفیه أربع صلوات؛ رکعتان مردّدتان بین الصبح و الظهر ثمّ رکعتان للعصر ثمّ المغرب ثمّ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علم بفوات أربع منها أتی بالخمس تماماً إذا کان فی الحضر و قصراً إذا کان فی السفر</w:t>
      </w:r>
      <w:r>
        <w:rPr>
          <w:rFonts w:eastAsia="IRNazanin" w:cs="IRNazanin"/>
          <w:color w:val="111111"/>
          <w:sz w:val="28"/>
          <w:szCs w:val="28"/>
          <w:rtl w:val="true"/>
          <w:lang w:bidi="fa-IR"/>
        </w:rPr>
        <w:t>.</w:t>
      </w:r>
      <w:bookmarkStart w:id="2164" w:name="pg1809_19069"/>
    </w:p>
    <w:p>
      <w:pPr>
        <w:pStyle w:val="Heading5"/>
        <w:numPr>
          <w:ilvl w:val="4"/>
          <w:numId w:val="1"/>
        </w:numPr>
        <w:rPr/>
      </w:pPr>
      <w:bookmarkStart w:id="2165" w:name="__RefHeading___Toc2566960_3650668749"/>
      <w:bookmarkStart w:id="2166" w:name="_Toc989"/>
      <w:bookmarkEnd w:id="2164"/>
      <w:bookmarkEnd w:id="2165"/>
      <w:r>
        <w:rPr>
          <w:rtl w:val="true"/>
        </w:rPr>
        <w:t>[ (</w:t>
      </w:r>
      <w:r>
        <w:rPr>
          <w:rtl w:val="true"/>
        </w:rPr>
        <w:t xml:space="preserve">مسألة </w:t>
      </w:r>
      <w:r>
        <w:rPr/>
        <w:t>10</w:t>
      </w:r>
      <w:r>
        <w:rPr>
          <w:rtl w:val="true"/>
        </w:rPr>
        <w:t xml:space="preserve">): </w:t>
      </w:r>
      <w:r>
        <w:rPr>
          <w:rtl w:val="true"/>
        </w:rPr>
        <w:t>إذا علم بفوات صلاة معیّنة کالصبح مثلًا مرّات و لم یعلم عددها</w:t>
      </w:r>
      <w:r>
        <w:rPr>
          <w:rtl w:val="true"/>
        </w:rPr>
        <w:t>]</w:t>
      </w:r>
      <w:bookmarkEnd w:id="2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بفوات صلاة معیّنة کالصبح مثلًا مرّات و لم یعلم عددها یجوز الاکتفاء بالقدر المعلوم علی الأقویٰ، و لکنّ الأحوط التکرار بمقدار یحصل منه العلم بالفراغ خصوصاً مع سبق العلم بالمقدار و حصول النسیان بعده، بل الاحتیاط فیه لا یترک </w:t>
      </w:r>
      <w:r>
        <w:rPr>
          <w:rStyle w:val="FootnoteAnchor"/>
          <w:rtl w:val="true"/>
        </w:rPr>
        <w:footnoteReference w:id="633"/>
      </w:r>
      <w:r>
        <w:rPr>
          <w:rFonts w:ascii="IRNazanin" w:hAnsi="IRNazanin" w:eastAsia="IRNazanin"/>
          <w:color w:val="111111"/>
          <w:sz w:val="28"/>
          <w:sz w:val="28"/>
          <w:szCs w:val="28"/>
          <w:rtl w:val="true"/>
          <w:lang w:bidi="fa-IR"/>
        </w:rPr>
        <w:t>، و کذلک الحال فیما إذا فاتت منه صلوات أیّام لا یعلم عددها</w:t>
      </w:r>
      <w:r>
        <w:rPr>
          <w:rFonts w:eastAsia="IRNazanin" w:cs="IRNazanin"/>
          <w:color w:val="111111"/>
          <w:sz w:val="28"/>
          <w:szCs w:val="28"/>
          <w:rtl w:val="true"/>
          <w:lang w:bidi="fa-IR"/>
        </w:rPr>
        <w:t>.</w:t>
      </w:r>
    </w:p>
    <w:p>
      <w:pPr>
        <w:pStyle w:val="Heading5"/>
        <w:numPr>
          <w:ilvl w:val="4"/>
          <w:numId w:val="1"/>
        </w:numPr>
        <w:rPr/>
      </w:pPr>
      <w:bookmarkStart w:id="2167" w:name="__RefHeading___Toc2566962_3650668749"/>
      <w:bookmarkStart w:id="2168" w:name="_Toc990"/>
      <w:bookmarkEnd w:id="2167"/>
      <w:r>
        <w:rPr>
          <w:rtl w:val="true"/>
        </w:rPr>
        <w:t>[ (</w:t>
      </w:r>
      <w:r>
        <w:rPr>
          <w:rtl w:val="true"/>
        </w:rPr>
        <w:t xml:space="preserve">مسألة </w:t>
      </w:r>
      <w:r>
        <w:rPr/>
        <w:t>11</w:t>
      </w:r>
      <w:r>
        <w:rPr>
          <w:rtl w:val="true"/>
        </w:rPr>
        <w:t xml:space="preserve">): </w:t>
      </w:r>
      <w:r>
        <w:rPr>
          <w:rtl w:val="true"/>
        </w:rPr>
        <w:t>لا یجب الفور فی القضاء</w:t>
      </w:r>
      <w:r>
        <w:rPr>
          <w:rtl w:val="true"/>
        </w:rPr>
        <w:t>]</w:t>
      </w:r>
      <w:bookmarkEnd w:id="2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الفور فی القضاء، بل هو موسّع ما دام العمر إذا لم ینجرّ إلی المسامحة فی أداء التکلیف و التهاون به</w:t>
      </w:r>
      <w:r>
        <w:rPr>
          <w:rFonts w:eastAsia="IRNazanin" w:cs="IRNazanin"/>
          <w:color w:val="111111"/>
          <w:sz w:val="28"/>
          <w:szCs w:val="28"/>
          <w:rtl w:val="true"/>
          <w:lang w:bidi="fa-IR"/>
        </w:rPr>
        <w:t>.</w:t>
      </w:r>
    </w:p>
    <w:p>
      <w:pPr>
        <w:pStyle w:val="Heading5"/>
        <w:numPr>
          <w:ilvl w:val="4"/>
          <w:numId w:val="1"/>
        </w:numPr>
        <w:rPr/>
      </w:pPr>
      <w:bookmarkStart w:id="2169" w:name="__RefHeading___Toc2566964_3650668749"/>
      <w:bookmarkStart w:id="2170" w:name="_Toc991"/>
      <w:bookmarkEnd w:id="2169"/>
      <w:r>
        <w:rPr>
          <w:rtl w:val="true"/>
        </w:rPr>
        <w:t>[ (</w:t>
      </w:r>
      <w:r>
        <w:rPr>
          <w:rtl w:val="true"/>
        </w:rPr>
        <w:t xml:space="preserve">مسألة </w:t>
      </w:r>
      <w:r>
        <w:rPr/>
        <w:t>12</w:t>
      </w:r>
      <w:r>
        <w:rPr>
          <w:rtl w:val="true"/>
        </w:rPr>
        <w:t xml:space="preserve">): </w:t>
      </w:r>
      <w:r>
        <w:rPr>
          <w:rtl w:val="true"/>
        </w:rPr>
        <w:t>الأحوط لذوی الأعذار تأخیر القضاء إلیٰ زمان رفع العذر</w:t>
      </w:r>
      <w:r>
        <w:rPr>
          <w:rtl w:val="true"/>
        </w:rPr>
        <w:t>]</w:t>
      </w:r>
      <w:bookmarkEnd w:id="2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لذوی الأعذار تأخیر القضاء إلیٰ زمان رفع العذر إلّا إذا علم ببقائه إلیٰ آخر العمر أو خاف </w:t>
      </w:r>
      <w:r>
        <w:rPr>
          <w:rStyle w:val="FootnoteAnchor"/>
          <w:rtl w:val="true"/>
        </w:rPr>
        <w:footnoteReference w:id="634"/>
      </w:r>
      <w:r>
        <w:rPr>
          <w:rFonts w:ascii="IRNazanin" w:hAnsi="IRNazanin" w:eastAsia="IRNazanin"/>
          <w:color w:val="111111"/>
          <w:sz w:val="28"/>
          <w:sz w:val="28"/>
          <w:szCs w:val="28"/>
          <w:rtl w:val="true"/>
          <w:lang w:bidi="fa-IR"/>
        </w:rPr>
        <w:t xml:space="preserve">مفاجاة الموت، نعم فیما إذا کان معذوراً عن الطهارة المائیّة الظاهر جواز </w:t>
      </w:r>
      <w:r>
        <w:rPr>
          <w:rStyle w:val="FootnoteAnchor"/>
          <w:rtl w:val="true"/>
        </w:rPr>
        <w:footnoteReference w:id="635"/>
      </w:r>
      <w:r>
        <w:rPr>
          <w:rFonts w:ascii="IRNazanin" w:hAnsi="IRNazanin" w:eastAsia="IRNazanin"/>
          <w:color w:val="111111"/>
          <w:sz w:val="28"/>
          <w:sz w:val="28"/>
          <w:szCs w:val="28"/>
          <w:rtl w:val="true"/>
          <w:lang w:bidi="fa-IR"/>
        </w:rPr>
        <w:t>القضاء مع الترابیّة، حتّی مع رجاء زوال العذر فیما بعد</w:t>
      </w:r>
      <w:r>
        <w:rPr>
          <w:rFonts w:eastAsia="IRNazanin" w:cs="IRNazanin"/>
          <w:color w:val="111111"/>
          <w:sz w:val="28"/>
          <w:szCs w:val="28"/>
          <w:rtl w:val="true"/>
          <w:lang w:bidi="fa-IR"/>
        </w:rPr>
        <w:t>.</w:t>
      </w:r>
    </w:p>
    <w:p>
      <w:pPr>
        <w:pStyle w:val="Heading5"/>
        <w:numPr>
          <w:ilvl w:val="4"/>
          <w:numId w:val="1"/>
        </w:numPr>
        <w:rPr/>
      </w:pPr>
      <w:bookmarkStart w:id="2171" w:name="__RefHeading___Toc2566966_3650668749"/>
      <w:bookmarkStart w:id="2172" w:name="_Toc992"/>
      <w:bookmarkEnd w:id="2171"/>
      <w:r>
        <w:rPr>
          <w:rtl w:val="true"/>
        </w:rPr>
        <w:t>[ (</w:t>
      </w:r>
      <w:r>
        <w:rPr>
          <w:rtl w:val="true"/>
        </w:rPr>
        <w:t xml:space="preserve">مسألة </w:t>
      </w:r>
      <w:r>
        <w:rPr/>
        <w:t>13</w:t>
      </w:r>
      <w:r>
        <w:rPr>
          <w:rtl w:val="true"/>
        </w:rPr>
        <w:t xml:space="preserve">): </w:t>
      </w:r>
      <w:r>
        <w:rPr>
          <w:rtl w:val="true"/>
        </w:rPr>
        <w:t>لا یجب تقدیم الفائتة علی الحاضرة</w:t>
      </w:r>
      <w:r>
        <w:rPr>
          <w:rtl w:val="true"/>
        </w:rPr>
        <w:t>]</w:t>
      </w:r>
      <w:bookmarkEnd w:id="2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تقدیم الفائتة علی الحاضرة، فیجوز الاشتغال بالحاضرة لمن علیه القضاء، و إن کان الأحوط </w:t>
      </w:r>
      <w:r>
        <w:rPr>
          <w:rStyle w:val="FootnoteAnchor"/>
          <w:rtl w:val="true"/>
        </w:rPr>
        <w:footnoteReference w:id="636"/>
      </w:r>
      <w:r>
        <w:rPr>
          <w:rFonts w:ascii="IRNazanin" w:hAnsi="IRNazanin" w:eastAsia="IRNazanin"/>
          <w:color w:val="111111"/>
          <w:sz w:val="28"/>
          <w:sz w:val="28"/>
          <w:szCs w:val="28"/>
          <w:rtl w:val="true"/>
          <w:lang w:bidi="fa-IR"/>
        </w:rPr>
        <w:t>تقدیمها علیها خصوصاً فی فائتة ذلک الیوم، بل إذا شرع فی الحاضرة قبلها استحبّ له العدول منها إلیها إذا لم یتجاوز محلّ العدول</w:t>
      </w:r>
      <w:r>
        <w:rPr>
          <w:rFonts w:eastAsia="IRNazanin" w:cs="IRNazanin"/>
          <w:color w:val="111111"/>
          <w:sz w:val="28"/>
          <w:szCs w:val="28"/>
          <w:rtl w:val="true"/>
          <w:lang w:bidi="fa-IR"/>
        </w:rPr>
        <w:t>.</w:t>
      </w:r>
    </w:p>
    <w:p>
      <w:pPr>
        <w:pStyle w:val="Heading5"/>
        <w:numPr>
          <w:ilvl w:val="4"/>
          <w:numId w:val="1"/>
        </w:numPr>
        <w:rPr/>
      </w:pPr>
      <w:bookmarkStart w:id="2173" w:name="__RefHeading___Toc2566968_3650668749"/>
      <w:bookmarkStart w:id="2174" w:name="_Toc993"/>
      <w:bookmarkEnd w:id="2173"/>
      <w:r>
        <w:rPr>
          <w:rtl w:val="true"/>
        </w:rPr>
        <w:t>[ (</w:t>
      </w:r>
      <w:r>
        <w:rPr>
          <w:rtl w:val="true"/>
        </w:rPr>
        <w:t xml:space="preserve">مسألة </w:t>
      </w:r>
      <w:r>
        <w:rPr/>
        <w:t>14</w:t>
      </w:r>
      <w:r>
        <w:rPr>
          <w:rtl w:val="true"/>
        </w:rPr>
        <w:t xml:space="preserve">): </w:t>
      </w:r>
      <w:r>
        <w:rPr>
          <w:rtl w:val="true"/>
        </w:rPr>
        <w:t>یجوز لمن علیه القضاء الإتیان بالنوافل علی الأقویٰ</w:t>
      </w:r>
      <w:r>
        <w:rPr>
          <w:rtl w:val="true"/>
        </w:rPr>
        <w:t>]</w:t>
      </w:r>
      <w:bookmarkEnd w:id="2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لمن علیه القضاء الإتیان بالنوافل علی الأقویٰ، کما یجوز الإتیان بها أیضاً بعد دخول الوقت قبل إتیان الفریضة</w:t>
      </w:r>
      <w:r>
        <w:rPr>
          <w:rFonts w:eastAsia="IRNazanin" w:cs="IRNazanin"/>
          <w:color w:val="111111"/>
          <w:sz w:val="28"/>
          <w:szCs w:val="28"/>
          <w:rtl w:val="true"/>
          <w:lang w:bidi="fa-IR"/>
        </w:rPr>
        <w:t>.</w:t>
      </w:r>
    </w:p>
    <w:p>
      <w:pPr>
        <w:pStyle w:val="Heading5"/>
        <w:numPr>
          <w:ilvl w:val="4"/>
          <w:numId w:val="1"/>
        </w:numPr>
        <w:rPr/>
      </w:pPr>
      <w:bookmarkStart w:id="2175" w:name="__RefHeading___Toc2566970_3650668749"/>
      <w:bookmarkStart w:id="2176" w:name="_Toc994"/>
      <w:bookmarkEnd w:id="2175"/>
      <w:r>
        <w:rPr>
          <w:rtl w:val="true"/>
        </w:rPr>
        <w:t>[ (</w:t>
      </w:r>
      <w:r>
        <w:rPr>
          <w:rtl w:val="true"/>
        </w:rPr>
        <w:t xml:space="preserve">مسألة </w:t>
      </w:r>
      <w:r>
        <w:rPr/>
        <w:t>15</w:t>
      </w:r>
      <w:r>
        <w:rPr>
          <w:rtl w:val="true"/>
        </w:rPr>
        <w:t xml:space="preserve">): </w:t>
      </w:r>
      <w:r>
        <w:rPr>
          <w:rtl w:val="true"/>
        </w:rPr>
        <w:t>یجوز الإتیان بالقضاء جماعة</w:t>
      </w:r>
      <w:r>
        <w:rPr>
          <w:rtl w:val="true"/>
        </w:rPr>
        <w:t>]</w:t>
      </w:r>
      <w:bookmarkEnd w:id="2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الإتیان بالقضاء جماعة؛ سواء کان الإمام قاضیاً أو مؤدّیاً، بل یستحبّ ذلک، و لا یجب اتّحاد صلاة الإمام و المأموم</w:t>
      </w:r>
      <w:r>
        <w:rPr>
          <w:rFonts w:eastAsia="IRNazanin" w:cs="IRNazanin"/>
          <w:color w:val="111111"/>
          <w:sz w:val="28"/>
          <w:szCs w:val="28"/>
          <w:rtl w:val="true"/>
          <w:lang w:bidi="fa-IR"/>
        </w:rPr>
        <w:t>.</w:t>
      </w:r>
    </w:p>
    <w:p>
      <w:pPr>
        <w:pStyle w:val="Heading5"/>
        <w:numPr>
          <w:ilvl w:val="4"/>
          <w:numId w:val="1"/>
        </w:numPr>
        <w:rPr/>
      </w:pPr>
      <w:bookmarkStart w:id="2177" w:name="__RefHeading___Toc2566972_3650668749"/>
      <w:bookmarkStart w:id="2178" w:name="_Toc995"/>
      <w:bookmarkEnd w:id="2177"/>
      <w:r>
        <w:rPr>
          <w:rtl w:val="true"/>
        </w:rPr>
        <w:t>[ (</w:t>
      </w:r>
      <w:r>
        <w:rPr>
          <w:rtl w:val="true"/>
        </w:rPr>
        <w:t xml:space="preserve">مسألة </w:t>
      </w:r>
      <w:r>
        <w:rPr/>
        <w:t>16</w:t>
      </w:r>
      <w:r>
        <w:rPr>
          <w:rtl w:val="true"/>
        </w:rPr>
        <w:t xml:space="preserve">): </w:t>
      </w:r>
      <w:r>
        <w:rPr>
          <w:rtl w:val="true"/>
        </w:rPr>
        <w:t>یجب علی الولیّ و هو الولد الأکبر قضاء ما فات عن والده من الصلاة</w:t>
      </w:r>
      <w:r>
        <w:rPr>
          <w:rtl w:val="true"/>
        </w:rPr>
        <w:t>]</w:t>
      </w:r>
      <w:bookmarkEnd w:id="217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الولیّ و هو الولد الأکبر قضاء ما فات عن والده من الصلاة لعذر من نوم أو مرض </w:t>
      </w:r>
      <w:r>
        <w:rPr>
          <w:rStyle w:val="FootnoteAnchor"/>
          <w:rtl w:val="true"/>
        </w:rPr>
        <w:footnoteReference w:id="637"/>
      </w:r>
      <w:r>
        <w:rPr>
          <w:rFonts w:ascii="IRNazanin" w:hAnsi="IRNazanin" w:eastAsia="IRNazanin"/>
          <w:color w:val="111111"/>
          <w:sz w:val="28"/>
          <w:sz w:val="28"/>
          <w:szCs w:val="28"/>
          <w:rtl w:val="true"/>
          <w:lang w:bidi="fa-IR"/>
        </w:rPr>
        <w:t xml:space="preserve">و نحو ذلک، و الأحوط </w:t>
      </w:r>
      <w:r>
        <w:rPr>
          <w:rStyle w:val="FootnoteAnchor"/>
          <w:rtl w:val="true"/>
        </w:rPr>
        <w:footnoteReference w:id="638"/>
      </w:r>
      <w:r>
        <w:rPr>
          <w:rFonts w:ascii="IRNazanin" w:hAnsi="IRNazanin" w:eastAsia="IRNazanin"/>
          <w:color w:val="111111"/>
          <w:sz w:val="28"/>
          <w:sz w:val="28"/>
          <w:szCs w:val="28"/>
          <w:rtl w:val="true"/>
          <w:lang w:bidi="fa-IR"/>
        </w:rPr>
        <w:t>إلحاق الوالدة بالوالد، و ما ترکه عمداً بما</w:t>
      </w:r>
      <w:bookmarkStart w:id="2179" w:name="pg1809_19071"/>
    </w:p>
    <w:p>
      <w:pPr>
        <w:pStyle w:val="BookText"/>
        <w:rPr/>
      </w:pPr>
      <w:bookmarkEnd w:id="2179"/>
      <w:r>
        <w:rPr>
          <w:rFonts w:ascii="IRNazanin" w:hAnsi="IRNazanin" w:eastAsia="IRNazanin"/>
          <w:color w:val="111111"/>
          <w:sz w:val="28"/>
          <w:sz w:val="28"/>
          <w:szCs w:val="28"/>
          <w:rtl w:val="true"/>
          <w:lang w:bidi="fa-IR"/>
        </w:rPr>
        <w:t xml:space="preserve">ترکه لعذر، بل لا یترک </w:t>
      </w:r>
      <w:r>
        <w:rPr>
          <w:rStyle w:val="FootnoteAnchor"/>
          <w:rtl w:val="true"/>
        </w:rPr>
        <w:footnoteReference w:id="639"/>
      </w:r>
      <w:r>
        <w:rPr>
          <w:rFonts w:ascii="IRNazanin" w:hAnsi="IRNazanin" w:eastAsia="IRNazanin"/>
          <w:color w:val="111111"/>
          <w:sz w:val="28"/>
          <w:sz w:val="28"/>
          <w:szCs w:val="28"/>
          <w:rtl w:val="true"/>
          <w:lang w:bidi="fa-IR"/>
        </w:rPr>
        <w:t>الاحتیاط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الظاهر </w:t>
      </w:r>
      <w:r>
        <w:rPr>
          <w:rStyle w:val="FootnoteAnchor"/>
          <w:rtl w:val="true"/>
        </w:rPr>
        <w:footnoteReference w:id="640"/>
      </w:r>
      <w:r>
        <w:rPr>
          <w:rFonts w:ascii="IRNazanin" w:hAnsi="IRNazanin" w:eastAsia="IRNazanin"/>
          <w:color w:val="111111"/>
          <w:sz w:val="28"/>
          <w:sz w:val="28"/>
          <w:szCs w:val="28"/>
          <w:rtl w:val="true"/>
          <w:lang w:bidi="fa-IR"/>
        </w:rPr>
        <w:t>أنّه لا یجب علیه قضاء ما أتی به فاسداً من جهة إخلاله بما اعتبر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یجب علیه قضاء ما فات عن المیّت من صلاة نفسه دون ما وجب علیه بالإجارة أو من جهة کونه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علی البنات و لا علیٰ غیر الولد الأکبر من الذکور و لا علی الذکور من سائر الأقارب کالأب و الأخ و العمّ و الخال و إن کان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مات الولد الأکبر بعد والده لا یجب علیٰ من دونه فی السنّ من 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فی الولیّ أن یکون بالغاً عاقلًا عند الموت فیجب علی الصبیّ إذا بلغ، و المجنون إذا عقل، کما أنّه لا یعتبر کونه وارثاً فیجب علی الممنوع منه بسبب القتل أو الرقّ أو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تساوی ولدان فی السنّ یقسّط القضاء علیهما، و لو کان کسر یجب علیهما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علی الولیّ المباشرة بل یجوز له أن یستأجر، و الأجیر یقصد النیابة عن المیّت لا عن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باشر الولیّ یراعی تکلیف نفسه باجتهاد أو تقلید فی أحکام الشکّ و السهو، بل و فی أجزاء الصلاة و شرائطها دون تکلیف المیّت، کما أنّه یراعی تکلیف نفسه فی أصل وجوب القضاء إذا اختلف مقتضیٰ تقلیده أو اجتهاده مع المیّت</w:t>
      </w:r>
      <w:r>
        <w:rPr>
          <w:rFonts w:eastAsia="IRNazanin" w:cs="IRNazanin"/>
          <w:color w:val="111111"/>
          <w:sz w:val="28"/>
          <w:szCs w:val="28"/>
          <w:rtl w:val="true"/>
          <w:lang w:bidi="fa-IR"/>
        </w:rPr>
        <w:t>.</w:t>
      </w:r>
    </w:p>
    <w:p>
      <w:pPr>
        <w:pStyle w:val="Heading4"/>
        <w:numPr>
          <w:ilvl w:val="3"/>
          <w:numId w:val="1"/>
        </w:numPr>
        <w:rPr/>
      </w:pPr>
      <w:bookmarkStart w:id="2180" w:name="__RefHeading___Toc2566974_3650668749"/>
      <w:bookmarkStart w:id="2181" w:name="_Toc996"/>
      <w:bookmarkEnd w:id="2180"/>
      <w:r>
        <w:rPr>
          <w:rtl w:val="true"/>
        </w:rPr>
        <w:t>[</w:t>
      </w:r>
      <w:r>
        <w:rPr>
          <w:rtl w:val="true"/>
        </w:rPr>
        <w:t>القول فی صلاة الاستئجار</w:t>
      </w:r>
      <w:r>
        <w:rPr>
          <w:rtl w:val="true"/>
        </w:rPr>
        <w:t>]</w:t>
      </w:r>
      <w:bookmarkEnd w:id="2181"/>
    </w:p>
    <w:p>
      <w:pPr>
        <w:pStyle w:val="Heading5"/>
        <w:numPr>
          <w:ilvl w:val="4"/>
          <w:numId w:val="1"/>
        </w:numPr>
        <w:rPr/>
      </w:pPr>
      <w:bookmarkStart w:id="2182" w:name="__RefHeading___Toc2566976_3650668749"/>
      <w:bookmarkStart w:id="2183" w:name="_Toc997"/>
      <w:bookmarkEnd w:id="2182"/>
      <w:r>
        <w:rPr>
          <w:rtl w:val="true"/>
        </w:rPr>
        <w:t>اشارة</w:t>
      </w:r>
      <w:bookmarkEnd w:id="218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فی صلاة الاستئجار یجوز الاستئجار للنیابة عن الأموات فی قضاء الصلوات کسائر العبادات، کما یجوز النیابة عنهم تبرّعاً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یقصد النائب بفعله أجیراً کان أو متبرّعاً النیابة و البدلیّة عن فعل المنوب عنه و فراغ ذمّته، و تفرغ بذلک ذمّته و یتقرّب به و یثاب علیه کما یثاب النائب أیضاً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یعتبر </w:t>
      </w:r>
      <w:r>
        <w:rPr>
          <w:rStyle w:val="FootnoteAnchor"/>
          <w:rtl w:val="true"/>
        </w:rPr>
        <w:footnoteReference w:id="641"/>
      </w:r>
      <w:r>
        <w:rPr>
          <w:rFonts w:ascii="IRNazanin" w:hAnsi="IRNazanin" w:eastAsia="IRNazanin"/>
          <w:color w:val="111111"/>
          <w:sz w:val="28"/>
          <w:sz w:val="28"/>
          <w:szCs w:val="28"/>
          <w:rtl w:val="true"/>
          <w:lang w:bidi="fa-IR"/>
        </w:rPr>
        <w:t>فیه قصد القربة علی النحو الذی یعمل المکلّف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تعیین</w:t>
      </w:r>
      <w:bookmarkStart w:id="2184" w:name="pg1809_19073"/>
    </w:p>
    <w:p>
      <w:pPr>
        <w:pStyle w:val="BookText"/>
        <w:rPr/>
      </w:pPr>
      <w:bookmarkEnd w:id="2184"/>
      <w:r>
        <w:rPr>
          <w:rFonts w:ascii="IRNazanin" w:hAnsi="IRNazanin" w:eastAsia="IRNazanin"/>
          <w:color w:val="111111"/>
          <w:sz w:val="28"/>
          <w:sz w:val="28"/>
          <w:szCs w:val="28"/>
          <w:rtl w:val="true"/>
          <w:lang w:bidi="fa-IR"/>
        </w:rPr>
        <w:t>المیّت المنوب عنه فی قصده و لو بالإجمال کصاحب المال و نحوه</w:t>
      </w:r>
      <w:r>
        <w:rPr>
          <w:rFonts w:eastAsia="IRNazanin" w:cs="IRNazanin"/>
          <w:color w:val="111111"/>
          <w:sz w:val="28"/>
          <w:szCs w:val="28"/>
          <w:rtl w:val="true"/>
          <w:lang w:bidi="fa-IR"/>
        </w:rPr>
        <w:t>.</w:t>
      </w:r>
    </w:p>
    <w:p>
      <w:pPr>
        <w:pStyle w:val="Heading5"/>
        <w:numPr>
          <w:ilvl w:val="4"/>
          <w:numId w:val="1"/>
        </w:numPr>
        <w:rPr/>
      </w:pPr>
      <w:bookmarkStart w:id="2185" w:name="__RefHeading___Toc2566978_3650668749"/>
      <w:bookmarkStart w:id="2186" w:name="_Toc998"/>
      <w:bookmarkEnd w:id="2185"/>
      <w:r>
        <w:rPr>
          <w:rtl w:val="true"/>
        </w:rPr>
        <w:t>[ (</w:t>
      </w:r>
      <w:r>
        <w:rPr>
          <w:rtl w:val="true"/>
        </w:rPr>
        <w:t xml:space="preserve">مسألة </w:t>
      </w:r>
      <w:r>
        <w:rPr/>
        <w:t>1</w:t>
      </w:r>
      <w:r>
        <w:rPr>
          <w:rtl w:val="true"/>
        </w:rPr>
        <w:t xml:space="preserve">): </w:t>
      </w:r>
      <w:r>
        <w:rPr>
          <w:rtl w:val="true"/>
        </w:rPr>
        <w:t>یجب علیٰ من علیه واجب من الصلاة و الصیام الإیصاء باستئجاره</w:t>
      </w:r>
      <w:r>
        <w:rPr>
          <w:rtl w:val="true"/>
        </w:rPr>
        <w:t>]</w:t>
      </w:r>
      <w:bookmarkEnd w:id="2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من علیه واجب من الصلاة و الصیام الإیصاء باستئجاره، و یجب علی الوصیّ إخراجها من الثلث، و هذا بخلاف الحجّ و الواجبات المالیّة کالزکاة و الخمس و المظالم و الکفّارات فإنّها تخرج من أصل المال؛ أوصیٰ بها أو لم یوص، إلّا إذا أوصیٰ بأن تخرج من الثلث فتخرج منه، فإن لم یفِ بها یخرج الزائد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أوصیٰ بأن یقضیٰ عنه الصلاة و الصوم و لم یکن له ترکة لا یجب علی الوصیّ و لا علی الوارث </w:t>
      </w:r>
      <w:r>
        <w:rPr>
          <w:rStyle w:val="FootnoteAnchor"/>
          <w:rtl w:val="true"/>
        </w:rPr>
        <w:footnoteReference w:id="642"/>
      </w:r>
      <w:r>
        <w:rPr>
          <w:rFonts w:ascii="IRNazanin" w:hAnsi="IRNazanin" w:eastAsia="IRNazanin"/>
          <w:color w:val="111111"/>
          <w:sz w:val="28"/>
          <w:sz w:val="28"/>
          <w:szCs w:val="28"/>
          <w:rtl w:val="true"/>
          <w:lang w:bidi="fa-IR"/>
        </w:rPr>
        <w:t>المباشرة و لا الاستئجار من مالهما، نعم یجب علیٰ ولیّه قضاء ما فات منه إمّا بالمباشرة أو الاستئجار من ماله و إن لم یوص به کما مرّ</w:t>
      </w:r>
      <w:r>
        <w:rPr>
          <w:rFonts w:eastAsia="IRNazanin" w:cs="IRNazanin"/>
          <w:color w:val="111111"/>
          <w:sz w:val="28"/>
          <w:szCs w:val="28"/>
          <w:rtl w:val="true"/>
          <w:lang w:bidi="fa-IR"/>
        </w:rPr>
        <w:t>.</w:t>
      </w:r>
    </w:p>
    <w:p>
      <w:pPr>
        <w:pStyle w:val="Heading5"/>
        <w:numPr>
          <w:ilvl w:val="4"/>
          <w:numId w:val="1"/>
        </w:numPr>
        <w:rPr/>
      </w:pPr>
      <w:bookmarkStart w:id="2187" w:name="__RefHeading___Toc2566980_3650668749"/>
      <w:bookmarkStart w:id="2188" w:name="_Toc999"/>
      <w:bookmarkEnd w:id="2187"/>
      <w:r>
        <w:rPr>
          <w:rtl w:val="true"/>
        </w:rPr>
        <w:t>[ (</w:t>
      </w:r>
      <w:r>
        <w:rPr>
          <w:rtl w:val="true"/>
        </w:rPr>
        <w:t xml:space="preserve">مسألة </w:t>
      </w:r>
      <w:r>
        <w:rPr/>
        <w:t>2</w:t>
      </w:r>
      <w:r>
        <w:rPr>
          <w:rtl w:val="true"/>
        </w:rPr>
        <w:t xml:space="preserve">): </w:t>
      </w:r>
      <w:r>
        <w:rPr>
          <w:rtl w:val="true"/>
        </w:rPr>
        <w:t>إذا آجر نفسه لصلاة أو صوم أو حجّ فمات قبل الإتیان به</w:t>
      </w:r>
      <w:r>
        <w:rPr>
          <w:rtl w:val="true"/>
        </w:rPr>
        <w:t>]</w:t>
      </w:r>
      <w:bookmarkEnd w:id="2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نفسه لصلاة أو صوم أو حجّ فمات قبل الإتیان به فإن اشترط علیه المباشرة بطلت الإجارة بالنسبة إلیٰ ما بقی علیه و تشتغل ذمّته بمال الإجارة إن قبضه فیخرج من ترکته، و إن لم یشترط المباشرة وجب الاستئجار من ترکته إن کان له ترکة، و إلّا فلا یجب علی الورثة کما فی سائر الدیون إذا لم یکن له ترکة</w:t>
      </w:r>
      <w:r>
        <w:rPr>
          <w:rFonts w:eastAsia="IRNazanin" w:cs="IRNazanin"/>
          <w:color w:val="111111"/>
          <w:sz w:val="28"/>
          <w:szCs w:val="28"/>
          <w:rtl w:val="true"/>
          <w:lang w:bidi="fa-IR"/>
        </w:rPr>
        <w:t>.</w:t>
      </w:r>
    </w:p>
    <w:p>
      <w:pPr>
        <w:pStyle w:val="Heading5"/>
        <w:numPr>
          <w:ilvl w:val="4"/>
          <w:numId w:val="1"/>
        </w:numPr>
        <w:rPr/>
      </w:pPr>
      <w:bookmarkStart w:id="2189" w:name="__RefHeading___Toc2566982_3650668749"/>
      <w:bookmarkStart w:id="2190" w:name="_Toc1000"/>
      <w:bookmarkEnd w:id="2189"/>
      <w:r>
        <w:rPr>
          <w:rtl w:val="true"/>
        </w:rPr>
        <w:t>[ (</w:t>
      </w:r>
      <w:r>
        <w:rPr>
          <w:rtl w:val="true"/>
        </w:rPr>
        <w:t xml:space="preserve">مسألة </w:t>
      </w:r>
      <w:r>
        <w:rPr/>
        <w:t>3</w:t>
      </w:r>
      <w:r>
        <w:rPr>
          <w:rtl w:val="true"/>
        </w:rPr>
        <w:t xml:space="preserve">): </w:t>
      </w:r>
      <w:r>
        <w:rPr>
          <w:rtl w:val="true"/>
        </w:rPr>
        <w:t>یشترط فی الأجیر أن یکون عارفاً بأجزاء الصلاة و شرائطها و منافیاتها و أحکام الخلل</w:t>
      </w:r>
      <w:r>
        <w:rPr>
          <w:rtl w:val="true"/>
        </w:rPr>
        <w:t>]</w:t>
      </w:r>
      <w:bookmarkEnd w:id="2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الأجیر أن یکون عارفاً بأجزاء الصلاة و شرائطها و منافیاتها و أحکام الخلل و غیرها عن اجتهاد أو تقلید صحیح، نعم لا یبعد جواز استئجار تارک الاجتهاد و التقلید إذا کان عارفاً بکیفیّة الاحتیاط و کان محتاطاً فی عمله</w:t>
      </w:r>
      <w:r>
        <w:rPr>
          <w:rFonts w:eastAsia="IRNazanin" w:cs="IRNazanin"/>
          <w:color w:val="111111"/>
          <w:sz w:val="28"/>
          <w:szCs w:val="28"/>
          <w:rtl w:val="true"/>
          <w:lang w:bidi="fa-IR"/>
        </w:rPr>
        <w:t>.</w:t>
      </w:r>
    </w:p>
    <w:p>
      <w:pPr>
        <w:pStyle w:val="Heading5"/>
        <w:numPr>
          <w:ilvl w:val="4"/>
          <w:numId w:val="1"/>
        </w:numPr>
        <w:rPr/>
      </w:pPr>
      <w:bookmarkStart w:id="2191" w:name="__RefHeading___Toc2566984_3650668749"/>
      <w:bookmarkStart w:id="2192" w:name="_Toc1001"/>
      <w:bookmarkEnd w:id="2191"/>
      <w:r>
        <w:rPr>
          <w:rtl w:val="true"/>
        </w:rPr>
        <w:t>[ (</w:t>
      </w:r>
      <w:r>
        <w:rPr>
          <w:rtl w:val="true"/>
        </w:rPr>
        <w:t xml:space="preserve">مسألة </w:t>
      </w:r>
      <w:r>
        <w:rPr/>
        <w:t>4</w:t>
      </w:r>
      <w:r>
        <w:rPr>
          <w:rtl w:val="true"/>
        </w:rPr>
        <w:t xml:space="preserve">): </w:t>
      </w:r>
      <w:r>
        <w:rPr>
          <w:rtl w:val="true"/>
        </w:rPr>
        <w:t>لا یشترط عدالة الأجیر بل یکفی کونه أمیناً</w:t>
      </w:r>
      <w:r>
        <w:rPr>
          <w:rtl w:val="true"/>
        </w:rPr>
        <w:t>]</w:t>
      </w:r>
      <w:bookmarkEnd w:id="2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عدالة الأجیر بل یکفی کونه أمیناً بحیث یطمئنّ بإتیانه علی الوجه الصحیح و إن لم یکن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یعتبر فیه البلوغ فلا یصحّ استئجار الصبیّ الممیّز و نیابته و إن علم إتیانه علی الوجه الصحیح؟ لا یبعد عدمه بناءً علیٰ ما هو الحقّ من شرعیّة عباداته و إن کان الأحوط خلافه</w:t>
      </w:r>
      <w:r>
        <w:rPr>
          <w:rFonts w:eastAsia="IRNazanin" w:cs="IRNazanin"/>
          <w:color w:val="111111"/>
          <w:sz w:val="28"/>
          <w:szCs w:val="28"/>
          <w:rtl w:val="true"/>
          <w:lang w:bidi="fa-IR"/>
        </w:rPr>
        <w:t>.</w:t>
      </w:r>
    </w:p>
    <w:p>
      <w:pPr>
        <w:pStyle w:val="Heading5"/>
        <w:numPr>
          <w:ilvl w:val="4"/>
          <w:numId w:val="1"/>
        </w:numPr>
        <w:rPr/>
      </w:pPr>
      <w:bookmarkStart w:id="2193" w:name="__RefHeading___Toc2566986_3650668749"/>
      <w:bookmarkStart w:id="2194" w:name="_Toc1002"/>
      <w:bookmarkEnd w:id="2193"/>
      <w:r>
        <w:rPr>
          <w:rtl w:val="true"/>
        </w:rPr>
        <w:t>[ (</w:t>
      </w:r>
      <w:r>
        <w:rPr>
          <w:rtl w:val="true"/>
        </w:rPr>
        <w:t xml:space="preserve">مسألة </w:t>
      </w:r>
      <w:r>
        <w:rPr/>
        <w:t>5</w:t>
      </w:r>
      <w:r>
        <w:rPr>
          <w:rtl w:val="true"/>
        </w:rPr>
        <w:t xml:space="preserve">): </w:t>
      </w:r>
      <w:r>
        <w:rPr>
          <w:rtl w:val="true"/>
        </w:rPr>
        <w:t>لا یجوز استئجار ذوی الأعذار</w:t>
      </w:r>
      <w:r>
        <w:rPr>
          <w:rtl w:val="true"/>
        </w:rPr>
        <w:t>]</w:t>
      </w:r>
      <w:bookmarkEnd w:id="2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استئجار ذوی الأعذار کالعاجز عن القیام مع وجود غیره، بل لو تجدّد له العجز ینتظر زمان رفعه، و إن ضاق الوقت انفسخت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یبعد صحّة استئجار ذی الجبیرة و من کان تکلیفه التیمّم و إن کان الأحوط </w:t>
      </w:r>
      <w:r>
        <w:rPr>
          <w:rStyle w:val="FootnoteAnchor"/>
          <w:rtl w:val="true"/>
        </w:rPr>
        <w:footnoteReference w:id="643"/>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p>
    <w:p>
      <w:pPr>
        <w:pStyle w:val="Heading5"/>
        <w:numPr>
          <w:ilvl w:val="4"/>
          <w:numId w:val="1"/>
        </w:numPr>
        <w:rPr/>
      </w:pPr>
      <w:bookmarkStart w:id="2195" w:name="__RefHeading___Toc2566988_3650668749"/>
      <w:bookmarkStart w:id="2196" w:name="_Toc1003"/>
      <w:bookmarkEnd w:id="2195"/>
      <w:r>
        <w:rPr>
          <w:rtl w:val="true"/>
        </w:rPr>
        <w:t>[ (</w:t>
      </w:r>
      <w:r>
        <w:rPr>
          <w:rtl w:val="true"/>
        </w:rPr>
        <w:t xml:space="preserve">مسألة </w:t>
      </w:r>
      <w:r>
        <w:rPr/>
        <w:t>6</w:t>
      </w:r>
      <w:r>
        <w:rPr>
          <w:rtl w:val="true"/>
        </w:rPr>
        <w:t xml:space="preserve">): </w:t>
      </w:r>
      <w:r>
        <w:rPr>
          <w:rtl w:val="true"/>
        </w:rPr>
        <w:t>لو حصل للأجیر سهو أو شکّ یعمل بحکمه علیٰ طبق اجتهاده أو تقلیده</w:t>
      </w:r>
      <w:r>
        <w:rPr>
          <w:rtl w:val="true"/>
        </w:rPr>
        <w:t>]</w:t>
      </w:r>
      <w:bookmarkEnd w:id="219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 للأجیر سهو أو شکّ یعمل بحکمه علیٰ طبق اجتهاده أو تقلیده و إن</w:t>
      </w:r>
      <w:bookmarkStart w:id="2197" w:name="pg1809_19075"/>
    </w:p>
    <w:p>
      <w:pPr>
        <w:pStyle w:val="BookText"/>
        <w:rPr/>
      </w:pPr>
      <w:bookmarkEnd w:id="2197"/>
      <w:r>
        <w:rPr>
          <w:rFonts w:ascii="IRNazanin" w:hAnsi="IRNazanin" w:eastAsia="IRNazanin"/>
          <w:color w:val="111111"/>
          <w:sz w:val="28"/>
          <w:sz w:val="28"/>
          <w:szCs w:val="28"/>
          <w:rtl w:val="true"/>
          <w:lang w:bidi="fa-IR"/>
        </w:rPr>
        <w:t xml:space="preserve">خالف حکم المیّت، کما أنّه یجب علیه أن یأتی بالصلاة علیٰ مقتضیٰ تکلیفه و اعتقاده من تقلیده أو اجتهاده إذا استؤجر علی الإتیان بالعمل الصحیح، نعم لو عیّن له کیفیّة خاصّة لا یجوز له </w:t>
      </w:r>
      <w:r>
        <w:rPr>
          <w:rStyle w:val="FootnoteAnchor"/>
          <w:rtl w:val="true"/>
        </w:rPr>
        <w:footnoteReference w:id="644"/>
      </w:r>
      <w:r>
        <w:rPr>
          <w:rFonts w:ascii="IRNazanin" w:hAnsi="IRNazanin" w:eastAsia="IRNazanin"/>
          <w:color w:val="111111"/>
          <w:sz w:val="28"/>
          <w:sz w:val="28"/>
          <w:szCs w:val="28"/>
          <w:rtl w:val="true"/>
          <w:lang w:bidi="fa-IR"/>
        </w:rPr>
        <w:t>التعدّی عنها</w:t>
      </w:r>
      <w:r>
        <w:rPr>
          <w:rFonts w:eastAsia="IRNazanin" w:cs="IRNazanin"/>
          <w:color w:val="111111"/>
          <w:sz w:val="28"/>
          <w:szCs w:val="28"/>
          <w:rtl w:val="true"/>
          <w:lang w:bidi="fa-IR"/>
        </w:rPr>
        <w:t>.</w:t>
      </w:r>
    </w:p>
    <w:p>
      <w:pPr>
        <w:pStyle w:val="Heading5"/>
        <w:numPr>
          <w:ilvl w:val="4"/>
          <w:numId w:val="1"/>
        </w:numPr>
        <w:rPr/>
      </w:pPr>
      <w:bookmarkStart w:id="2198" w:name="__RefHeading___Toc2566990_3650668749"/>
      <w:bookmarkStart w:id="2199" w:name="_Toc1004"/>
      <w:bookmarkEnd w:id="2198"/>
      <w:r>
        <w:rPr>
          <w:rtl w:val="true"/>
        </w:rPr>
        <w:t>[ (</w:t>
      </w:r>
      <w:r>
        <w:rPr>
          <w:rtl w:val="true"/>
        </w:rPr>
        <w:t xml:space="preserve">مسألة </w:t>
      </w:r>
      <w:r>
        <w:rPr/>
        <w:t>7</w:t>
      </w:r>
      <w:r>
        <w:rPr>
          <w:rtl w:val="true"/>
        </w:rPr>
        <w:t xml:space="preserve">): </w:t>
      </w:r>
      <w:r>
        <w:rPr>
          <w:rtl w:val="true"/>
        </w:rPr>
        <w:t>یجوز استئجار کلّ من الرجل و المرأة للآخر</w:t>
      </w:r>
      <w:r>
        <w:rPr>
          <w:rtl w:val="true"/>
        </w:rPr>
        <w:t>]</w:t>
      </w:r>
      <w:bookmarkEnd w:id="2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استئجار کلّ من الرجل و المرأة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الجهر و الإخفات و کیفیّة التستّر و شرائط اللباس یراعیٰ حال المباشر النائب لا المنوب عنه، فالرجل یجهر فی الجهریّة و إن کان نائباً عن المرأة، و المرأة مخیّرة فیها و إن کانت نائبة عن الرجل</w:t>
      </w:r>
      <w:r>
        <w:rPr>
          <w:rFonts w:eastAsia="IRNazanin" w:cs="IRNazanin"/>
          <w:color w:val="111111"/>
          <w:sz w:val="28"/>
          <w:szCs w:val="28"/>
          <w:rtl w:val="true"/>
          <w:lang w:bidi="fa-IR"/>
        </w:rPr>
        <w:t>.</w:t>
      </w:r>
    </w:p>
    <w:p>
      <w:pPr>
        <w:pStyle w:val="Heading5"/>
        <w:numPr>
          <w:ilvl w:val="4"/>
          <w:numId w:val="1"/>
        </w:numPr>
        <w:rPr/>
      </w:pPr>
      <w:bookmarkStart w:id="2200" w:name="__RefHeading___Toc2566992_3650668749"/>
      <w:bookmarkStart w:id="2201" w:name="_Toc1005"/>
      <w:bookmarkEnd w:id="2200"/>
      <w:r>
        <w:rPr>
          <w:rtl w:val="true"/>
        </w:rPr>
        <w:t>[ (</w:t>
      </w:r>
      <w:r>
        <w:rPr>
          <w:rtl w:val="true"/>
        </w:rPr>
        <w:t xml:space="preserve">مسألة </w:t>
      </w:r>
      <w:r>
        <w:rPr/>
        <w:t>8</w:t>
      </w:r>
      <w:r>
        <w:rPr>
          <w:rtl w:val="true"/>
        </w:rPr>
        <w:t xml:space="preserve">): </w:t>
      </w:r>
      <w:r>
        <w:rPr>
          <w:rtl w:val="true"/>
        </w:rPr>
        <w:t>أنّه لا یجب الترتیب فی القضاء</w:t>
      </w:r>
      <w:r>
        <w:rPr>
          <w:rtl w:val="true"/>
        </w:rPr>
        <w:t>]</w:t>
      </w:r>
      <w:bookmarkEnd w:id="2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فی السابق أنّه لا یجب </w:t>
      </w:r>
      <w:r>
        <w:rPr>
          <w:rStyle w:val="FootnoteAnchor"/>
          <w:rtl w:val="true"/>
        </w:rPr>
        <w:footnoteReference w:id="645"/>
      </w:r>
      <w:r>
        <w:rPr>
          <w:rFonts w:ascii="IRNazanin" w:hAnsi="IRNazanin" w:eastAsia="IRNazanin"/>
          <w:color w:val="111111"/>
          <w:sz w:val="28"/>
          <w:sz w:val="28"/>
          <w:szCs w:val="28"/>
          <w:rtl w:val="true"/>
          <w:lang w:bidi="fa-IR"/>
        </w:rPr>
        <w:t>الترتیب فی القضاء، فإذا استؤجر جماعة للنیابة عن واحد فی قضاء صلاته لا یجب تعیین الوقت لکلّ منهم حذراً من وقوع صلاة بعضهم مقارناً لصلاة البعض الآخر، فلا یتحقّق الترتیب؛ لما عرفت من عدم وجوبه، مع أنّه لو قلنا به فالمسلّم عدم جواز تقدیم اللاحق لا وجوب تقدیم السابق، فلا یضرّ المقارنة</w:t>
      </w:r>
      <w:r>
        <w:rPr>
          <w:rFonts w:eastAsia="IRNazanin" w:cs="IRNazanin"/>
          <w:color w:val="111111"/>
          <w:sz w:val="28"/>
          <w:szCs w:val="28"/>
          <w:rtl w:val="true"/>
          <w:lang w:bidi="fa-IR"/>
        </w:rPr>
        <w:t>.</w:t>
      </w:r>
    </w:p>
    <w:p>
      <w:pPr>
        <w:pStyle w:val="Heading5"/>
        <w:numPr>
          <w:ilvl w:val="4"/>
          <w:numId w:val="1"/>
        </w:numPr>
        <w:rPr/>
      </w:pPr>
      <w:bookmarkStart w:id="2202" w:name="__RefHeading___Toc2566994_3650668749"/>
      <w:bookmarkStart w:id="2203" w:name="_Toc1006"/>
      <w:bookmarkEnd w:id="2202"/>
      <w:r>
        <w:rPr>
          <w:rtl w:val="true"/>
        </w:rPr>
        <w:t>[ (</w:t>
      </w:r>
      <w:r>
        <w:rPr>
          <w:rtl w:val="true"/>
        </w:rPr>
        <w:t xml:space="preserve">مسألة </w:t>
      </w:r>
      <w:r>
        <w:rPr/>
        <w:t>9</w:t>
      </w:r>
      <w:r>
        <w:rPr>
          <w:rtl w:val="true"/>
        </w:rPr>
        <w:t xml:space="preserve">): </w:t>
      </w:r>
      <w:r>
        <w:rPr>
          <w:rtl w:val="true"/>
        </w:rPr>
        <w:t>لا یجوز للأجیر أن یستأجر غیره للعمل بلا إذن من المستأجر</w:t>
      </w:r>
      <w:r>
        <w:rPr>
          <w:rtl w:val="true"/>
        </w:rPr>
        <w:t>]</w:t>
      </w:r>
      <w:bookmarkEnd w:id="2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للأجیر أن یستأجر غیره للعمل بلا إذن من المستأجر، نعم لو تقبّل العمل من دون أن یؤاجر نفسه له یجوز أن یستأجر غیره له لکن حینئذٍ لا یجوز أن </w:t>
      </w:r>
      <w:r>
        <w:rPr>
          <w:rStyle w:val="FootnoteAnchor"/>
          <w:rtl w:val="true"/>
        </w:rPr>
        <w:footnoteReference w:id="646"/>
      </w:r>
      <w:r>
        <w:rPr>
          <w:rFonts w:ascii="IRNazanin" w:hAnsi="IRNazanin" w:eastAsia="IRNazanin"/>
          <w:color w:val="111111"/>
          <w:sz w:val="28"/>
          <w:sz w:val="28"/>
          <w:szCs w:val="28"/>
          <w:rtl w:val="true"/>
          <w:lang w:bidi="fa-IR"/>
        </w:rPr>
        <w:t>یستأجره بأقلّ من الأُجرة المجعولة له، إلّا إذا أتی ببعض العمل و إن قلّ</w:t>
      </w:r>
      <w:r>
        <w:rPr>
          <w:rFonts w:eastAsia="IRNazanin" w:cs="IRNazanin"/>
          <w:color w:val="111111"/>
          <w:sz w:val="28"/>
          <w:szCs w:val="28"/>
          <w:rtl w:val="true"/>
          <w:lang w:bidi="fa-IR"/>
        </w:rPr>
        <w:t>.</w:t>
      </w:r>
    </w:p>
    <w:p>
      <w:pPr>
        <w:pStyle w:val="Heading5"/>
        <w:numPr>
          <w:ilvl w:val="4"/>
          <w:numId w:val="1"/>
        </w:numPr>
        <w:rPr/>
      </w:pPr>
      <w:bookmarkStart w:id="2204" w:name="__RefHeading___Toc2566996_3650668749"/>
      <w:bookmarkStart w:id="2205" w:name="_Toc1007"/>
      <w:bookmarkEnd w:id="2204"/>
      <w:r>
        <w:rPr>
          <w:rtl w:val="true"/>
        </w:rPr>
        <w:t>[ (</w:t>
      </w:r>
      <w:r>
        <w:rPr>
          <w:rtl w:val="true"/>
        </w:rPr>
        <w:t xml:space="preserve">مسألة </w:t>
      </w:r>
      <w:r>
        <w:rPr/>
        <w:t>10</w:t>
      </w:r>
      <w:r>
        <w:rPr>
          <w:rtl w:val="true"/>
        </w:rPr>
        <w:t xml:space="preserve">): </w:t>
      </w:r>
      <w:r>
        <w:rPr>
          <w:rtl w:val="true"/>
        </w:rPr>
        <w:t>إذا عیّن للأجیر وقتاً أو مدّة و لم یأت بالعمل أو تمامه فی تلک المدّة لیس له أن یأتی به بعدها</w:t>
      </w:r>
      <w:r>
        <w:rPr>
          <w:rtl w:val="true"/>
        </w:rPr>
        <w:t>]</w:t>
      </w:r>
      <w:bookmarkEnd w:id="220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عیّن للأجیر وقتاً أو مدّة و لم یأت بالعمل أو تمامه فی تلک المدّة لیس له أن یأتی به بعدها إلّا بإذن من المستأجر، و لو أتی به فهو کالمتبرّع لا یستحقّ اجرة، نعم لو کان الإتیان بالعمل فی الوقت المعیّن و المدّة المضروبة بعنوان الاشتراط یستحقّ الأُجرة المسمّاة و إن کان للمستأجر خیار الفسخ من جهة تخلّف الشرط، فإذا فسخ یرجع إلی الأجیر بالأُجرة المسمّاة و هو یستحقّ اجرة المثل للعمل</w:t>
      </w:r>
      <w:r>
        <w:rPr>
          <w:rFonts w:eastAsia="IRNazanin" w:cs="IRNazanin"/>
          <w:color w:val="111111"/>
          <w:sz w:val="28"/>
          <w:szCs w:val="28"/>
          <w:rtl w:val="true"/>
          <w:lang w:bidi="fa-IR"/>
        </w:rPr>
        <w:t>.</w:t>
      </w:r>
      <w:bookmarkStart w:id="2206" w:name="pg1809_19077"/>
    </w:p>
    <w:p>
      <w:pPr>
        <w:pStyle w:val="Heading5"/>
        <w:numPr>
          <w:ilvl w:val="4"/>
          <w:numId w:val="1"/>
        </w:numPr>
        <w:rPr/>
      </w:pPr>
      <w:bookmarkStart w:id="2207" w:name="__RefHeading___Toc2566998_3650668749"/>
      <w:bookmarkStart w:id="2208" w:name="_Toc1008"/>
      <w:bookmarkEnd w:id="2206"/>
      <w:bookmarkEnd w:id="2207"/>
      <w:r>
        <w:rPr>
          <w:rtl w:val="true"/>
        </w:rPr>
        <w:t>[ (</w:t>
      </w:r>
      <w:r>
        <w:rPr>
          <w:rtl w:val="true"/>
        </w:rPr>
        <w:t xml:space="preserve">مسألة </w:t>
      </w:r>
      <w:r>
        <w:rPr/>
        <w:t>11</w:t>
      </w:r>
      <w:r>
        <w:rPr>
          <w:rtl w:val="true"/>
        </w:rPr>
        <w:t xml:space="preserve">): </w:t>
      </w:r>
      <w:r>
        <w:rPr>
          <w:rtl w:val="true"/>
        </w:rPr>
        <w:t>إذا تبیّن بعد العمل بطلان الإجارة استحقّ الأجیر اجرة المثل بعمله</w:t>
      </w:r>
      <w:r>
        <w:rPr>
          <w:rtl w:val="true"/>
        </w:rPr>
        <w:t>]</w:t>
      </w:r>
      <w:bookmarkEnd w:id="2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بعد العمل بطلان الإجارة استحقّ الأجیر اجرة المثل بعمله، و کذا إذا فسخت الإجارة من جهة الغبن أو غیره</w:t>
      </w:r>
      <w:r>
        <w:rPr>
          <w:rFonts w:eastAsia="IRNazanin" w:cs="IRNazanin"/>
          <w:color w:val="111111"/>
          <w:sz w:val="28"/>
          <w:szCs w:val="28"/>
          <w:rtl w:val="true"/>
          <w:lang w:bidi="fa-IR"/>
        </w:rPr>
        <w:t>.</w:t>
      </w:r>
    </w:p>
    <w:p>
      <w:pPr>
        <w:pStyle w:val="Heading5"/>
        <w:numPr>
          <w:ilvl w:val="4"/>
          <w:numId w:val="1"/>
        </w:numPr>
        <w:rPr/>
      </w:pPr>
      <w:bookmarkStart w:id="2209" w:name="__RefHeading___Toc2567000_3650668749"/>
      <w:bookmarkStart w:id="2210" w:name="_Toc1009"/>
      <w:bookmarkEnd w:id="2209"/>
      <w:r>
        <w:rPr>
          <w:rtl w:val="true"/>
        </w:rPr>
        <w:t>[ (</w:t>
      </w:r>
      <w:r>
        <w:rPr>
          <w:rtl w:val="true"/>
        </w:rPr>
        <w:t xml:space="preserve">مسألة </w:t>
      </w:r>
      <w:r>
        <w:rPr/>
        <w:t>12</w:t>
      </w:r>
      <w:r>
        <w:rPr>
          <w:rtl w:val="true"/>
        </w:rPr>
        <w:t xml:space="preserve">): </w:t>
      </w:r>
      <w:r>
        <w:rPr>
          <w:rtl w:val="true"/>
        </w:rPr>
        <w:t>إذا لم یعیّن کیفیّة العمل من حیث الإتیان بالمستحبّات یجب الإتیان بالمستحبّات المتعارفة</w:t>
      </w:r>
      <w:r>
        <w:rPr>
          <w:rtl w:val="true"/>
        </w:rPr>
        <w:t>]</w:t>
      </w:r>
      <w:bookmarkEnd w:id="2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یعیّن </w:t>
      </w:r>
      <w:r>
        <w:rPr>
          <w:rStyle w:val="FootnoteAnchor"/>
          <w:rtl w:val="true"/>
        </w:rPr>
        <w:footnoteReference w:id="647"/>
      </w:r>
      <w:r>
        <w:rPr>
          <w:rFonts w:ascii="IRNazanin" w:hAnsi="IRNazanin" w:eastAsia="IRNazanin"/>
          <w:color w:val="111111"/>
          <w:sz w:val="28"/>
          <w:sz w:val="28"/>
          <w:szCs w:val="28"/>
          <w:rtl w:val="true"/>
          <w:lang w:bidi="fa-IR"/>
        </w:rPr>
        <w:t xml:space="preserve">کیفیّة العمل من حیث الإتیان بالمستحبّات یجب الإتیان بالمستحبّات المتعارفة کالإقامة </w:t>
      </w:r>
      <w:r>
        <w:rPr>
          <w:rStyle w:val="FootnoteAnchor"/>
          <w:rtl w:val="true"/>
        </w:rPr>
        <w:footnoteReference w:id="648"/>
      </w:r>
      <w:r>
        <w:rPr>
          <w:rFonts w:ascii="IRNazanin" w:hAnsi="IRNazanin" w:eastAsia="IRNazanin"/>
          <w:color w:val="111111"/>
          <w:sz w:val="28"/>
          <w:sz w:val="28"/>
          <w:szCs w:val="28"/>
          <w:rtl w:val="true"/>
          <w:lang w:bidi="fa-IR"/>
        </w:rPr>
        <w:t>و القنوت و تکبیرة الرکوع و نحو ذلک</w:t>
      </w:r>
      <w:r>
        <w:rPr>
          <w:rFonts w:eastAsia="IRNazanin" w:cs="IRNazanin"/>
          <w:color w:val="111111"/>
          <w:sz w:val="28"/>
          <w:szCs w:val="28"/>
          <w:rtl w:val="true"/>
          <w:lang w:bidi="fa-IR"/>
        </w:rPr>
        <w:t>.</w:t>
      </w:r>
    </w:p>
    <w:p>
      <w:pPr>
        <w:pStyle w:val="Heading3"/>
        <w:numPr>
          <w:ilvl w:val="2"/>
          <w:numId w:val="1"/>
        </w:numPr>
        <w:rPr/>
      </w:pPr>
      <w:bookmarkStart w:id="2211" w:name="__RefHeading___Toc2567002_3650668749"/>
      <w:bookmarkStart w:id="2212" w:name="_Toc1010"/>
      <w:bookmarkEnd w:id="2211"/>
      <w:r>
        <w:rPr>
          <w:rtl w:val="true"/>
        </w:rPr>
        <w:t>[</w:t>
      </w:r>
      <w:r>
        <w:rPr>
          <w:rtl w:val="true"/>
        </w:rPr>
        <w:t>القول فی صلاة العیدین</w:t>
      </w:r>
      <w:r>
        <w:rPr>
          <w:rtl w:val="true"/>
        </w:rPr>
        <w:t xml:space="preserve">: </w:t>
      </w:r>
      <w:r>
        <w:rPr>
          <w:rtl w:val="true"/>
        </w:rPr>
        <w:t>الفطر و الأضحیٰ</w:t>
      </w:r>
      <w:r>
        <w:rPr>
          <w:rtl w:val="true"/>
        </w:rPr>
        <w:t>]</w:t>
      </w:r>
      <w:bookmarkEnd w:id="2212"/>
    </w:p>
    <w:p>
      <w:pPr>
        <w:pStyle w:val="Heading4"/>
        <w:numPr>
          <w:ilvl w:val="3"/>
          <w:numId w:val="1"/>
        </w:numPr>
        <w:rPr/>
      </w:pPr>
      <w:bookmarkStart w:id="2213" w:name="__RefHeading___Toc2567004_3650668749"/>
      <w:bookmarkStart w:id="2214" w:name="_Toc1011"/>
      <w:bookmarkEnd w:id="2213"/>
      <w:r>
        <w:rPr>
          <w:rtl w:val="true"/>
        </w:rPr>
        <w:t>اشارة</w:t>
      </w:r>
      <w:bookmarkEnd w:id="221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فی صلاة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 و الأضحیٰ و هی واجبة مع حضور </w:t>
      </w:r>
      <w:r>
        <w:rPr>
          <w:rStyle w:val="FootnoteAnchor"/>
          <w:rtl w:val="true"/>
        </w:rPr>
        <w:footnoteReference w:id="649"/>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بسط یده، و مستحبّة جماعة </w:t>
      </w:r>
      <w:r>
        <w:rPr>
          <w:rStyle w:val="FootnoteAnchor"/>
          <w:rtl w:val="true"/>
        </w:rPr>
        <w:footnoteReference w:id="650"/>
      </w:r>
      <w:r>
        <w:rPr>
          <w:rFonts w:ascii="IRNazanin" w:hAnsi="IRNazanin" w:eastAsia="IRNazanin"/>
          <w:color w:val="111111"/>
          <w:sz w:val="28"/>
          <w:sz w:val="28"/>
          <w:szCs w:val="28"/>
          <w:rtl w:val="true"/>
          <w:lang w:bidi="fa-IR"/>
        </w:rPr>
        <w:t>و فرادی فی زمان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وقتها من طلوع الشمس إلی الزوال، و لا قضاء لها لو فاتت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رکعتان فی کلّ منهما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و الأفضل أن یقرأ فی الأُولیٰ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یکبّر بعد السورة فی الأُولیٰ خمس تکبیرات و یقنت خمس قنوتات؛ بعد کلّ تکبیرة قنوت، و فی الثانیة أربع تکبیرات و أربع قنوتات بعد کلّ تکبیرة 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یجزی فی القنوت کلّ ما جریٰ علی اللسان من ذکر و دعاء، کسائر الصلوات، و الأفضل ما هو المأثور؛ و هو أن </w:t>
      </w:r>
      <w:r>
        <w:rPr>
          <w:rStyle w:val="FootnoteAnchor"/>
          <w:rtl w:val="true"/>
        </w:rPr>
        <w:footnoteReference w:id="651"/>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أهلَ الکبریاءِ و العظمة و أهلَ الجودِ و الجبروت و أهلَ العفوِ و الرحمة و أهلَ التقوی و المغفرة، أسألُک بحقّ هذا الیوم الذی جعلتَه للمسلمین عیداً و لمحمّدٍ صلّی اللّٰه علیه و آله ذُخراً و شرفاً و کرامةً و مزیداً، أن تصلّی علیٰ محمّدٍ و آل محمّدٍ، و أن تُدْخلَنی فی کلّ خیرٍ أدخلت فیه محمّداً و آلَ محمّدٍ، و أن تُخرِجنی من کلِّ سوءٍ أخرجتَ منه محمّداً و آلَ محمّدٍ، صلواتُک علیه و علیهم، اللهمّ إنّی أسألُک خیرَ ما سألکَ به عبادُکَ الصالحون، و أعوذُ بِکَ ممّا استعاذ منه عبادُک المخلصون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بخطبتین بعد الصلاة و یجوز </w:t>
      </w:r>
      <w:r>
        <w:rPr>
          <w:rStyle w:val="FootnoteAnchor"/>
          <w:rtl w:val="true"/>
        </w:rPr>
        <w:footnoteReference w:id="652"/>
      </w:r>
      <w:r>
        <w:rPr>
          <w:rFonts w:ascii="IRNazanin" w:hAnsi="IRNazanin" w:eastAsia="IRNazanin"/>
          <w:color w:val="111111"/>
          <w:sz w:val="28"/>
          <w:sz w:val="28"/>
          <w:szCs w:val="28"/>
          <w:rtl w:val="true"/>
          <w:lang w:bidi="fa-IR"/>
        </w:rPr>
        <w:t>ترکهما فی زمان</w:t>
      </w:r>
      <w:bookmarkStart w:id="2215" w:name="pg1809_19080"/>
    </w:p>
    <w:p>
      <w:pPr>
        <w:pStyle w:val="BookText"/>
        <w:rPr/>
      </w:pPr>
      <w:bookmarkEnd w:id="2215"/>
      <w:r>
        <w:rPr>
          <w:rFonts w:ascii="IRNazanin" w:hAnsi="IRNazanin" w:eastAsia="IRNazanin"/>
          <w:color w:val="111111"/>
          <w:sz w:val="28"/>
          <w:sz w:val="28"/>
          <w:szCs w:val="28"/>
          <w:rtl w:val="true"/>
          <w:lang w:bidi="fa-IR"/>
        </w:rPr>
        <w:t>الغیبة و إن کانت الصلاة بجماعة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فیها الجهر بالقراءة للإمام و المنفرد و رفع الیدین حال التکبیرات و الإصحار بها إلّا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أن یصلّی تحت السقف</w:t>
      </w:r>
      <w:r>
        <w:rPr>
          <w:rFonts w:eastAsia="IRNazanin" w:cs="IRNazanin"/>
          <w:color w:val="111111"/>
          <w:sz w:val="28"/>
          <w:szCs w:val="28"/>
          <w:rtl w:val="true"/>
          <w:lang w:bidi="fa-IR"/>
        </w:rPr>
        <w:t>.</w:t>
      </w:r>
    </w:p>
    <w:p>
      <w:pPr>
        <w:pStyle w:val="Heading4"/>
        <w:numPr>
          <w:ilvl w:val="3"/>
          <w:numId w:val="1"/>
        </w:numPr>
        <w:rPr/>
      </w:pPr>
      <w:bookmarkStart w:id="2216" w:name="__RefHeading___Toc2567006_3650668749"/>
      <w:bookmarkStart w:id="2217" w:name="_Toc1012"/>
      <w:bookmarkEnd w:id="2216"/>
      <w:r>
        <w:rPr>
          <w:rtl w:val="true"/>
        </w:rPr>
        <w:t>[ (</w:t>
      </w:r>
      <w:r>
        <w:rPr>
          <w:rtl w:val="true"/>
        </w:rPr>
        <w:t xml:space="preserve">مسألة </w:t>
      </w:r>
      <w:r>
        <w:rPr/>
        <w:t>1</w:t>
      </w:r>
      <w:r>
        <w:rPr>
          <w:rtl w:val="true"/>
        </w:rPr>
        <w:t xml:space="preserve">): </w:t>
      </w:r>
      <w:r>
        <w:rPr>
          <w:rtl w:val="true"/>
        </w:rPr>
        <w:t>لا یتحمّل الإمام فی هذه الصلاة ما عدا القراءة</w:t>
      </w:r>
      <w:r>
        <w:rPr>
          <w:rtl w:val="true"/>
        </w:rPr>
        <w:t>]</w:t>
      </w:r>
      <w:bookmarkEnd w:id="2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یتحمّل الإمام فی هذه الصلاة ما عدا القراءة کسائر الصلوات</w:t>
      </w:r>
      <w:r>
        <w:rPr>
          <w:rFonts w:eastAsia="IRNazanin" w:cs="IRNazanin"/>
          <w:color w:val="111111"/>
          <w:sz w:val="28"/>
          <w:szCs w:val="28"/>
          <w:rtl w:val="true"/>
          <w:lang w:bidi="fa-IR"/>
        </w:rPr>
        <w:t>.</w:t>
      </w:r>
    </w:p>
    <w:p>
      <w:pPr>
        <w:pStyle w:val="Heading4"/>
        <w:numPr>
          <w:ilvl w:val="3"/>
          <w:numId w:val="1"/>
        </w:numPr>
        <w:rPr/>
      </w:pPr>
      <w:bookmarkStart w:id="2218" w:name="__RefHeading___Toc2567008_3650668749"/>
      <w:bookmarkStart w:id="2219" w:name="_Toc1013"/>
      <w:bookmarkEnd w:id="2218"/>
      <w:r>
        <w:rPr>
          <w:rtl w:val="true"/>
        </w:rPr>
        <w:t>[ (</w:t>
      </w:r>
      <w:r>
        <w:rPr>
          <w:rtl w:val="true"/>
        </w:rPr>
        <w:t xml:space="preserve">مسألة </w:t>
      </w:r>
      <w:r>
        <w:rPr/>
        <w:t>2</w:t>
      </w:r>
      <w:r>
        <w:rPr>
          <w:rtl w:val="true"/>
        </w:rPr>
        <w:t xml:space="preserve">): </w:t>
      </w:r>
      <w:r>
        <w:rPr>
          <w:rtl w:val="true"/>
        </w:rPr>
        <w:t>إذا شکّ فی التکبیرات أو القنوتات بنیٰ علی الأقلّ</w:t>
      </w:r>
      <w:r>
        <w:rPr>
          <w:rtl w:val="true"/>
        </w:rPr>
        <w:t>]</w:t>
      </w:r>
      <w:bookmarkEnd w:id="2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التکبیرات أو القنوتات بنیٰ علی الأقلّ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0" w:name="__RefHeading___Toc2567010_3650668749"/>
      <w:bookmarkStart w:id="2221" w:name="_Toc1014"/>
      <w:bookmarkEnd w:id="2220"/>
      <w:r>
        <w:rPr>
          <w:rtl w:val="true"/>
        </w:rPr>
        <w:t>[ (</w:t>
      </w:r>
      <w:r>
        <w:rPr>
          <w:rtl w:val="true"/>
        </w:rPr>
        <w:t xml:space="preserve">مسألة </w:t>
      </w:r>
      <w:r>
        <w:rPr/>
        <w:t>3</w:t>
      </w:r>
      <w:r>
        <w:rPr>
          <w:rtl w:val="true"/>
        </w:rPr>
        <w:t xml:space="preserve">): </w:t>
      </w:r>
      <w:r>
        <w:rPr>
          <w:rtl w:val="true"/>
        </w:rPr>
        <w:t>إذا أتی بموجب سجود السهو فیها فالأحوط إتیانه</w:t>
      </w:r>
      <w:r>
        <w:rPr>
          <w:rtl w:val="true"/>
        </w:rPr>
        <w:t>]</w:t>
      </w:r>
      <w:bookmarkEnd w:id="2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 بموجب سجود السهو فیها فالأحوط إتیانه </w:t>
      </w:r>
      <w:r>
        <w:rPr>
          <w:rStyle w:val="FootnoteAnchor"/>
          <w:rtl w:val="true"/>
        </w:rPr>
        <w:footnoteReference w:id="654"/>
      </w:r>
      <w:r>
        <w:rPr>
          <w:rFonts w:ascii="IRNazanin" w:hAnsi="IRNazanin" w:eastAsia="IRNazanin"/>
          <w:color w:val="111111"/>
          <w:sz w:val="28"/>
          <w:sz w:val="28"/>
          <w:szCs w:val="28"/>
          <w:rtl w:val="true"/>
          <w:lang w:bidi="fa-IR"/>
        </w:rPr>
        <w:t>و إن کان عدم وجوبه فی صورة استحبابها لا یخلو من قوّة، و کذا الحال فی قضاء التشهّد و السجدة المنسیّین</w:t>
      </w:r>
      <w:r>
        <w:rPr>
          <w:rFonts w:eastAsia="IRNazanin" w:cs="IRNazanin"/>
          <w:color w:val="111111"/>
          <w:sz w:val="28"/>
          <w:szCs w:val="28"/>
          <w:rtl w:val="true"/>
          <w:lang w:bidi="fa-IR"/>
        </w:rPr>
        <w:t>.</w:t>
      </w:r>
    </w:p>
    <w:p>
      <w:pPr>
        <w:pStyle w:val="Heading4"/>
        <w:numPr>
          <w:ilvl w:val="3"/>
          <w:numId w:val="1"/>
        </w:numPr>
        <w:rPr/>
      </w:pPr>
      <w:bookmarkStart w:id="2222" w:name="__RefHeading___Toc2567012_3650668749"/>
      <w:bookmarkStart w:id="2223" w:name="_Toc1015"/>
      <w:bookmarkEnd w:id="2222"/>
      <w:r>
        <w:rPr>
          <w:rtl w:val="true"/>
        </w:rPr>
        <w:t>[ (</w:t>
      </w:r>
      <w:r>
        <w:rPr>
          <w:rtl w:val="true"/>
        </w:rPr>
        <w:t xml:space="preserve">مسألة </w:t>
      </w:r>
      <w:r>
        <w:rPr/>
        <w:t>4</w:t>
      </w:r>
      <w:r>
        <w:rPr>
          <w:rtl w:val="true"/>
        </w:rPr>
        <w:t xml:space="preserve">): </w:t>
      </w:r>
      <w:r>
        <w:rPr>
          <w:rtl w:val="true"/>
        </w:rPr>
        <w:t xml:space="preserve">لیس فی هذه الصلاة أذان و لا إقامة، نعم یستحبّ أن یقول المؤذّن </w:t>
      </w:r>
      <w:r>
        <w:rPr>
          <w:rtl w:val="true"/>
        </w:rPr>
        <w:t>«</w:t>
      </w:r>
      <w:r>
        <w:rPr>
          <w:rtl w:val="true"/>
        </w:rPr>
        <w:t>الصلاة</w:t>
      </w:r>
      <w:r>
        <w:rPr>
          <w:rtl w:val="true"/>
        </w:rPr>
        <w:t xml:space="preserve">» </w:t>
      </w:r>
      <w:r>
        <w:rPr>
          <w:rtl w:val="true"/>
        </w:rPr>
        <w:t>ثلاثاً</w:t>
      </w:r>
      <w:r>
        <w:rPr>
          <w:rtl w:val="true"/>
        </w:rPr>
        <w:t>]</w:t>
      </w:r>
      <w:bookmarkEnd w:id="2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هذه الصلاة أذان و لا إقامة، نعم یستحبّ أن یقول المؤذّن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pStyle w:val="Heading3"/>
        <w:numPr>
          <w:ilvl w:val="2"/>
          <w:numId w:val="1"/>
        </w:numPr>
        <w:rPr/>
      </w:pPr>
      <w:bookmarkStart w:id="2224" w:name="__RefHeading___Toc2567014_3650668749"/>
      <w:bookmarkStart w:id="2225" w:name="_Toc1016"/>
      <w:bookmarkEnd w:id="2224"/>
      <w:r>
        <w:rPr>
          <w:rtl w:val="true"/>
        </w:rPr>
        <w:t>[</w:t>
      </w:r>
      <w:r>
        <w:rPr>
          <w:rtl w:val="true"/>
        </w:rPr>
        <w:t>القول فی بعض الصلوات المندوبة</w:t>
      </w:r>
      <w:r>
        <w:rPr>
          <w:rtl w:val="true"/>
        </w:rPr>
        <w:t>]</w:t>
      </w:r>
      <w:bookmarkEnd w:id="2225"/>
    </w:p>
    <w:p>
      <w:pPr>
        <w:pStyle w:val="Heading4"/>
        <w:numPr>
          <w:ilvl w:val="3"/>
          <w:numId w:val="1"/>
        </w:numPr>
        <w:rPr/>
      </w:pPr>
      <w:bookmarkStart w:id="2226" w:name="__RefHeading___Toc2567016_3650668749"/>
      <w:bookmarkStart w:id="2227" w:name="_Toc1017"/>
      <w:bookmarkEnd w:id="2226"/>
      <w:r>
        <w:rPr>
          <w:rtl w:val="true"/>
        </w:rPr>
        <w:t>اشارة</w:t>
      </w:r>
      <w:bookmarkEnd w:id="2227"/>
    </w:p>
    <w:p>
      <w:pPr>
        <w:pStyle w:val="BookText"/>
        <w:rPr/>
      </w:pPr>
      <w:r>
        <w:rPr>
          <w:rFonts w:ascii="IRNazanin" w:hAnsi="IRNazanin" w:eastAsia="IRNazanin"/>
          <w:color w:val="111111"/>
          <w:sz w:val="28"/>
          <w:sz w:val="28"/>
          <w:szCs w:val="28"/>
          <w:rtl w:val="true"/>
          <w:lang w:bidi="fa-IR"/>
        </w:rPr>
        <w:t>القول فی بعض الصلوات المندوبة</w:t>
      </w:r>
    </w:p>
    <w:p>
      <w:pPr>
        <w:pStyle w:val="Heading4"/>
        <w:numPr>
          <w:ilvl w:val="3"/>
          <w:numId w:val="1"/>
        </w:numPr>
        <w:rPr/>
      </w:pPr>
      <w:bookmarkStart w:id="2228" w:name="__RefHeading___Toc2567018_3650668749"/>
      <w:bookmarkStart w:id="2229" w:name="_Toc1018"/>
      <w:bookmarkEnd w:id="2228"/>
      <w:r>
        <w:rPr>
          <w:rtl w:val="true"/>
        </w:rPr>
        <w:t>[</w:t>
      </w:r>
      <w:r>
        <w:rPr>
          <w:rtl w:val="true"/>
        </w:rPr>
        <w:t>فمنها</w:t>
      </w:r>
      <w:r>
        <w:rPr>
          <w:rtl w:val="true"/>
        </w:rPr>
        <w:t xml:space="preserve">: </w:t>
      </w:r>
      <w:r>
        <w:rPr>
          <w:rtl w:val="true"/>
        </w:rPr>
        <w:t>صلاة جعفر بن أبی طالب</w:t>
      </w:r>
      <w:r>
        <w:rPr>
          <w:rtl w:val="true"/>
        </w:rPr>
        <w:t>]</w:t>
      </w:r>
      <w:bookmarkEnd w:id="2229"/>
    </w:p>
    <w:p>
      <w:pPr>
        <w:pStyle w:val="Heading5"/>
        <w:numPr>
          <w:ilvl w:val="4"/>
          <w:numId w:val="1"/>
        </w:numPr>
        <w:rPr/>
      </w:pPr>
      <w:bookmarkStart w:id="2230" w:name="__RefHeading___Toc2567020_3650668749"/>
      <w:bookmarkStart w:id="2231" w:name="_Toc1019"/>
      <w:bookmarkEnd w:id="2230"/>
      <w:r>
        <w:rPr>
          <w:rtl w:val="true"/>
        </w:rPr>
        <w:t>اشارة</w:t>
      </w:r>
      <w:bookmarkEnd w:id="2231"/>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جعفر بن أبی طالب و هی من المستحبّات الأکیدة و من المشهورات بین العامّة و الخاصّة و ممّا حباه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عمّه حین قدومه من سفره حبّا له و کرامةً علیه،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لجعفر حین قدومه من الحبشة یوم 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أمنحک؟ أ لا أُعطیک؟ أ لا أحبوک؟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الناس أنّه یعطیه ذهباً أو فضّة، فأشرف الناس لذلک،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أُعطیک شیئاً إن أنت صنعته فی کلّ یوم کان خیراً لک من الدنیا و ما فیها، فإن صنعته بین یومین غفر اللّٰه لک ما بینهما أو کلّ جمعة أو کلّ شهر أو کلّ سنة غفر لک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 أوقاتها یوم الجمعة حین ارتفاع الشمس، و یجوز احتسابها من نوافل اللیل أو النهار تحسب له من نوافله و تحسب له من صلاة جعفر کما فی الخبر، فینوی بصلاة جعفر نافلة المغرب مثلًا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أربع رکعات بتسلیمتین، یقرأ فی کلّ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سورة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مرّة، و یقولها فی الرکوع عشر مرّات،</w:t>
      </w:r>
      <w:bookmarkStart w:id="2232" w:name="pg1809_19082"/>
    </w:p>
    <w:p>
      <w:pPr>
        <w:pStyle w:val="BookText"/>
        <w:rPr/>
      </w:pPr>
      <w:bookmarkEnd w:id="2232"/>
      <w:r>
        <w:rPr>
          <w:rFonts w:ascii="IRNazanin" w:hAnsi="IRNazanin" w:eastAsia="IRNazanin"/>
          <w:color w:val="111111"/>
          <w:sz w:val="28"/>
          <w:sz w:val="28"/>
          <w:szCs w:val="28"/>
          <w:rtl w:val="true"/>
          <w:lang w:bidi="fa-IR"/>
        </w:rPr>
        <w:t>و کذا بعد رفع الرأس منه عشر مرّات، و کذا فی السجدة الأُولیٰ، و بعد رفع الرأس منها، و فی السجدة الثانیة، و بعد رفع الرأس منها یقولها عشر مرّات، فتکون فی کلّ رکعة خمسة و سبعون مرّة و مجموعها ثلاثمائة تسبیحة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الاکتفاء بالتسبیحات عن ذکر الرکوع و السجود، و الأحوط عدم الاکتفاء بها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تتعیّن فیها سورة مخصوصة، لکن الأفضل أن یقرأ فی الرکعة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pStyle w:val="Heading5"/>
        <w:numPr>
          <w:ilvl w:val="4"/>
          <w:numId w:val="1"/>
        </w:numPr>
        <w:rPr/>
      </w:pPr>
      <w:bookmarkStart w:id="2233" w:name="__RefHeading___Toc2567022_3650668749"/>
      <w:bookmarkStart w:id="2234" w:name="_Toc1020"/>
      <w:bookmarkEnd w:id="2233"/>
      <w:r>
        <w:rPr>
          <w:rtl w:val="true"/>
        </w:rPr>
        <w:t>[ (</w:t>
      </w:r>
      <w:r>
        <w:rPr>
          <w:rtl w:val="true"/>
        </w:rPr>
        <w:t xml:space="preserve">مسألة </w:t>
      </w:r>
      <w:r>
        <w:rPr/>
        <w:t>1</w:t>
      </w:r>
      <w:r>
        <w:rPr>
          <w:rtl w:val="true"/>
        </w:rPr>
        <w:t xml:space="preserve">): </w:t>
      </w:r>
      <w:r>
        <w:rPr>
          <w:rtl w:val="true"/>
        </w:rPr>
        <w:t>یجوز تأخیر التسبیحات إلیٰ ما بعد الصلاة إذا کان مستعجلًا</w:t>
      </w:r>
      <w:r>
        <w:rPr>
          <w:rtl w:val="true"/>
        </w:rPr>
        <w:t>]</w:t>
      </w:r>
      <w:bookmarkEnd w:id="2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تأخیر التسبیحات إلیٰ ما بعد الصلاة إذا کان مستعجلًا، کما یجوز التفریق فی أصل الصلاة إذا کانت له حاجة ضروریّة فیأتی برکعتین و بعد قضاء تلک الحاجة یأتی بالبقیّة</w:t>
      </w:r>
      <w:r>
        <w:rPr>
          <w:rFonts w:eastAsia="IRNazanin" w:cs="IRNazanin"/>
          <w:color w:val="111111"/>
          <w:sz w:val="28"/>
          <w:szCs w:val="28"/>
          <w:rtl w:val="true"/>
          <w:lang w:bidi="fa-IR"/>
        </w:rPr>
        <w:t>.</w:t>
      </w:r>
    </w:p>
    <w:p>
      <w:pPr>
        <w:pStyle w:val="Heading5"/>
        <w:numPr>
          <w:ilvl w:val="4"/>
          <w:numId w:val="1"/>
        </w:numPr>
        <w:rPr/>
      </w:pPr>
      <w:bookmarkStart w:id="2235" w:name="__RefHeading___Toc2567024_3650668749"/>
      <w:bookmarkStart w:id="2236" w:name="_Toc1021"/>
      <w:bookmarkEnd w:id="2235"/>
      <w:r>
        <w:rPr>
          <w:rtl w:val="true"/>
        </w:rPr>
        <w:t>[ (</w:t>
      </w:r>
      <w:r>
        <w:rPr>
          <w:rtl w:val="true"/>
        </w:rPr>
        <w:t xml:space="preserve">مسألة </w:t>
      </w:r>
      <w:r>
        <w:rPr/>
        <w:t>2</w:t>
      </w:r>
      <w:r>
        <w:rPr>
          <w:rtl w:val="true"/>
        </w:rPr>
        <w:t xml:space="preserve">): </w:t>
      </w:r>
      <w:r>
        <w:rPr>
          <w:rtl w:val="true"/>
        </w:rPr>
        <w:t>لو سها عن بعض التسبیحات فی محلّها فإن تذکّرها فی بعض المحالّ الأُخر</w:t>
      </w:r>
      <w:r>
        <w:rPr>
          <w:rtl w:val="true"/>
        </w:rPr>
        <w:t>]</w:t>
      </w:r>
      <w:bookmarkEnd w:id="2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سها عن بعض التسبیحات فی محلّها فإن تذکّرها فی بعض المحالّ الأُخر قضاها فی ذلک المحلّ مضافاً إلیٰ وظیفته، فإذا نسی تسبیحات الرکوع و تذکّرها بعد رفع الرأس منه سبّح عشرین تسبیحة، و هکذا فی باقی المحالّ و الأحوال، و إن لم یتذکّرها إلّا بعد الصلاة قضاها بعدها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7" w:name="__RefHeading___Toc2567026_3650668749"/>
      <w:bookmarkStart w:id="2238" w:name="_Toc1022"/>
      <w:bookmarkEnd w:id="2237"/>
      <w:r>
        <w:rPr>
          <w:rtl w:val="true"/>
        </w:rPr>
        <w:t>[ (</w:t>
      </w:r>
      <w:r>
        <w:rPr>
          <w:rtl w:val="true"/>
        </w:rPr>
        <w:t xml:space="preserve">مسألة </w:t>
      </w:r>
      <w:r>
        <w:rPr/>
        <w:t>3</w:t>
      </w:r>
      <w:r>
        <w:rPr>
          <w:rtl w:val="true"/>
        </w:rPr>
        <w:t xml:space="preserve">): </w:t>
      </w:r>
      <w:r>
        <w:rPr>
          <w:rtl w:val="true"/>
        </w:rPr>
        <w:t>یستحبّ أن یقول فی السجدة الثانیة من الرکعة الرابعة بعد التسبیحات</w:t>
      </w:r>
      <w:r>
        <w:rPr>
          <w:rtl w:val="true"/>
        </w:rPr>
        <w:t>]</w:t>
      </w:r>
      <w:bookmarkEnd w:id="2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یقول فی السجدة الثانیة من الرکعة الرابعة بعد التسبیحات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لبِسَ العِزَّ و الوَقارَ، یا مَن تَعَطّفَ بالمجدِ و تَکَرّمَ به، یا من لا ینبغی التسبیحُ إلّا لهُ، یا من أحصی کلَّ شی‌ءٍ عِلمُه، یا ذا النعمة و الطول، یا ذا المنّ و الفضلِ، یا ذا القدرةِ و الکرمِ أسألُکَ بمعاقد العزِّ من عرشِک و منتهی الرحمة من کتابِکَ و باسمکَ الأعظم الأعلی و کلماتِک التامّاتِ أن تُصَلّی علیٰ محمّدٍ و آل محمّد و أن تفعل بی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یذکر حاجاته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أن یدعو بعد الفراغ من الصلاة ما رواه الشیخ الطوسی و السید بن طاوس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صلاة جعفر و رفع یدیه و دعا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ربّ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انقطع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ربّاه یا ربّاه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انقطع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انقطع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اللّٰه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انقطع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حیّ یا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انقطع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رحیم یا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انقطع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رحمان یا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w:t>
      </w:r>
      <w:bookmarkStart w:id="2239" w:name="pg1809_19084"/>
    </w:p>
    <w:p>
      <w:pPr>
        <w:pStyle w:val="BookText"/>
        <w:rPr/>
      </w:pPr>
      <w:bookmarkEnd w:id="22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أفتتح القولَ بحمدِک و أنطقُ بالثناء علیک و أُمجّدک و لا غایة لمدحِک و أُثنی علیک و من یبلغُ غایةَ ثنائِک و أمدَ مجدِک؟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 لخلیقتِکَ کُنه معرفَة مجدک؟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زمنٍ لم تکن ممدوحاً بفضلِکَ موصوفاً بمجدک عوّاداً علی المُذنِبین بحلمک؟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سکّانُ أرضِک عن طاعَتک فکُنتَ علیهم عطوفاً بجودک جواداً بفضلک عوّاداً بکرمک، یا لا إلٰه إلّا أنتَ المنّان ذو الجلالِ و الإکرام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مفضّل إذا کانت لک حاجة مهمّة فصلّ هذه الصلاة و ادع بهذا الدعاء و سل حاجتک یقضها اللّٰه إن شاء اللّٰه و به الثقة</w:t>
      </w:r>
      <w:r>
        <w:rPr>
          <w:rFonts w:eastAsia="Amiri" w:cs="Amiri" w:ascii="Amiri" w:hAnsi="Amiri"/>
          <w:color w:val="111111"/>
          <w:sz w:val="28"/>
          <w:szCs w:val="28"/>
          <w:rtl w:val="true"/>
          <w:lang w:bidi="ar-SA"/>
        </w:rPr>
        <w:t>».</w:t>
      </w:r>
    </w:p>
    <w:p>
      <w:pPr>
        <w:pStyle w:val="Heading4"/>
        <w:numPr>
          <w:ilvl w:val="3"/>
          <w:numId w:val="1"/>
        </w:numPr>
        <w:rPr/>
      </w:pPr>
      <w:bookmarkStart w:id="2240" w:name="__RefHeading___Toc2567028_3650668749"/>
      <w:bookmarkStart w:id="2241" w:name="_Toc1023"/>
      <w:bookmarkEnd w:id="2240"/>
      <w:r>
        <w:rPr>
          <w:rtl w:val="true"/>
        </w:rPr>
        <w:t>[</w:t>
      </w:r>
      <w:r>
        <w:rPr>
          <w:rtl w:val="true"/>
        </w:rPr>
        <w:t>و منها</w:t>
      </w:r>
      <w:r>
        <w:rPr>
          <w:rtl w:val="true"/>
        </w:rPr>
        <w:t xml:space="preserve">: </w:t>
      </w:r>
      <w:r>
        <w:rPr>
          <w:rtl w:val="true"/>
        </w:rPr>
        <w:t>صلاة الغفیلة</w:t>
      </w:r>
      <w:r>
        <w:rPr>
          <w:rtl w:val="true"/>
        </w:rPr>
        <w:t>]</w:t>
      </w:r>
      <w:bookmarkEnd w:id="2241"/>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الغفیلة و هی رکعتان بین المغرب و العشاء، و الظاهر أنّها غیر نافلة المغرب، یقرأ فی الأُولیٰ بعد الحمد وَ ذَا النُّونِ إِذْ ذَهَبَ مُغٰاضِباً فَظَنَّ أَنْ لَنْ نَقْدِرَ عَلَیْهِ فَنٰادیٰ فِی الظُّلُمٰاتِ أَنْ لٰا إِلٰهَ إِلّٰا أَنْتَ سُبْحٰانَکَ إِنِّی کُنْتُ مِنَ الظّٰالِمِینَ فَاسْتَجَبْنٰا لَهُ وَ نَجَّیْنٰاهُ مِنَ الْغَمِّ وَ کَذٰلِکَ نُنْجِی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بعد الحمد وَ عِنْدَهُ مَفٰاتِحُ الْغَیْبِ لٰا یَعْلَمُهٰا إِلّٰا هُوَ وَ یَعْلَمُ مٰا فِی الْبَرِّ وَ الْبَحْرِ وَ مٰا تَسْقُطُ مِنْ وَرَقَةٍ إِلّٰا یَعْلَمُهٰا وَ لٰا حَبَّةٍ فِی ظُلُمٰاتِ الْأَرْضِ وَ لٰا رَطْبٍ وَ لٰا یٰابِسٍ إِلّٰا فِی کِتٰابٍ مُبِینٍ، ثمّ یرفع یدیه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بمفاتح الغیب التی لا یعلمها إلّا أنت أن تصلّی علیٰ محمّدٍ و آل محمّدٍ و أن تفعل بی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یذکر حاجته، 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ولیّ نعمتی و القادر علیٰ طلبتی تعلمُ حاجتی فأسألُک بحقِّ محمّدٍ و آله علیه و علیهم السلام لمّا قضیتها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اللّٰه حاجته أعطاه اللّٰه ما سأل إن شاء اللّٰه تعالیٰ</w:t>
      </w:r>
      <w:r>
        <w:rPr>
          <w:rFonts w:eastAsia="Amiri" w:cs="Amiri" w:ascii="Amiri" w:hAnsi="Amiri"/>
          <w:color w:val="111111"/>
          <w:sz w:val="28"/>
          <w:szCs w:val="28"/>
          <w:rtl w:val="true"/>
          <w:lang w:bidi="ar-SA"/>
        </w:rPr>
        <w:t>.</w:t>
      </w:r>
    </w:p>
    <w:p>
      <w:pPr>
        <w:pStyle w:val="Heading4"/>
        <w:numPr>
          <w:ilvl w:val="3"/>
          <w:numId w:val="1"/>
        </w:numPr>
        <w:rPr/>
      </w:pPr>
      <w:bookmarkStart w:id="2242" w:name="__RefHeading___Toc2567030_3650668749"/>
      <w:bookmarkStart w:id="2243" w:name="_Toc1024"/>
      <w:bookmarkEnd w:id="2242"/>
      <w:r>
        <w:rPr>
          <w:rtl w:val="true"/>
        </w:rPr>
        <w:t>[</w:t>
      </w:r>
      <w:r>
        <w:rPr>
          <w:rtl w:val="true"/>
        </w:rPr>
        <w:t>و منها</w:t>
      </w:r>
      <w:r>
        <w:rPr>
          <w:rtl w:val="true"/>
        </w:rPr>
        <w:t xml:space="preserve">: </w:t>
      </w:r>
      <w:r>
        <w:rPr>
          <w:rtl w:val="true"/>
        </w:rPr>
        <w:t>صلاة أوّل کلّ شهر</w:t>
      </w:r>
      <w:r>
        <w:rPr>
          <w:rtl w:val="true"/>
        </w:rPr>
        <w:t>]</w:t>
      </w:r>
      <w:bookmarkEnd w:id="224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أوّل کلّ شهر یصلّی رکعتین یقرأ فی الأُولیٰ بعد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ثلاثین مرّة و فی الثانیة بعد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ثلاثین مرّة، و یتصدّق بما یتیسّر یشتری به سلامة ذلک الشهر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یقرأ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وَ مٰا مِنْ دَابَّةٍ فِی الْأَرْضِ إِلّٰا عَلَی اللّٰهِ رِزْقُهٰا وَ یَعْلَمُ مُسْتَقَرَّهٰا وَ مُسْتَوْدَعَهٰا کُلٌّ فِی کِتٰابٍ مُبِینٍ، بسم</w:t>
      </w:r>
      <w:bookmarkStart w:id="2244" w:name="pg1809_19086"/>
    </w:p>
    <w:p>
      <w:pPr>
        <w:pStyle w:val="BookText"/>
        <w:rPr/>
      </w:pPr>
      <w:bookmarkEnd w:id="2244"/>
      <w:r>
        <w:rPr>
          <w:rFonts w:ascii="Amiri" w:hAnsi="Amiri" w:eastAsia="Amiri" w:cs="Amiri"/>
          <w:color w:val="111111"/>
          <w:sz w:val="28"/>
          <w:sz w:val="28"/>
          <w:szCs w:val="28"/>
          <w:rtl w:val="true"/>
          <w:lang w:bidi="ar-SA"/>
        </w:rPr>
        <w:t>اللّٰه الرحمن الرحیم وَ إِنْ یَمْسَسْکَ اللّٰهُ بِضُرٍّ فَلٰا کٰاشِفَ لَهُ إِلّٰا هُوَ وَ إِنْ یُرِدْکَ بِخَیْرٍ فَلٰا رَادَّ لِفَضْلِهِ یُصِیبُ بِهِ مَنْ یَشٰاءُ مِنْ عِبٰادِهِ وَ هُوَ الْغَفُورُ الرَّحِیمُ، بسم اللّٰه الرحمن الرحیم سَیَجْعَلُ اللّٰهُ بَعْدَ عُسْرٍ یُسْراً، مٰا شٰاءَ اللّٰهُ لٰا قُوَّةَ إِلّٰا بِاللّٰهِ، حَسْبُنَا اللّٰهُ وَ نِعْمَ الْوَکِیلُ، وَ أُفَوِّضُ أَمْرِی إِلَی اللّٰهِ إِنَّ اللّٰهَ بَصِیرٌ بِالْعِبٰادِ، 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لِمٰا أَنْزَلْتَ إِلَیَّ مِنْ خَیْرٍ فَقِیرٌ، رَبِّ لٰا تَذَرْنِی فَرْداً وَ أَنْتَ خَیْرُ الْوٰارِثِینَ و لیس لها وقت معیّن، و یجوز الإتیان بها فی تمام الیوم</w:t>
      </w:r>
      <w:r>
        <w:rPr>
          <w:rFonts w:eastAsia="Amiri" w:cs="Amiri" w:ascii="Amiri" w:hAnsi="Amiri"/>
          <w:color w:val="111111"/>
          <w:sz w:val="28"/>
          <w:szCs w:val="28"/>
          <w:rtl w:val="true"/>
          <w:lang w:bidi="ar-SA"/>
        </w:rPr>
        <w:t>.</w:t>
      </w:r>
    </w:p>
    <w:p>
      <w:pPr>
        <w:pStyle w:val="Heading4"/>
        <w:numPr>
          <w:ilvl w:val="3"/>
          <w:numId w:val="1"/>
        </w:numPr>
        <w:rPr/>
      </w:pPr>
      <w:bookmarkStart w:id="2245" w:name="__RefHeading___Toc2567032_3650668749"/>
      <w:bookmarkStart w:id="2246" w:name="_Toc1025"/>
      <w:bookmarkEnd w:id="2245"/>
      <w:r>
        <w:rPr>
          <w:rtl w:val="true"/>
        </w:rPr>
        <w:t>[</w:t>
      </w:r>
      <w:r>
        <w:rPr>
          <w:rtl w:val="true"/>
        </w:rPr>
        <w:t>و منها</w:t>
      </w:r>
      <w:r>
        <w:rPr>
          <w:rtl w:val="true"/>
        </w:rPr>
        <w:t xml:space="preserve">: </w:t>
      </w:r>
      <w:r>
        <w:rPr>
          <w:rtl w:val="true"/>
        </w:rPr>
        <w:t>صلاة لیلة الدفن</w:t>
      </w:r>
      <w:r>
        <w:rPr>
          <w:rtl w:val="true"/>
        </w:rPr>
        <w:t>]</w:t>
      </w:r>
      <w:bookmarkEnd w:id="224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لیلة الدفن، و قد مرّت فی باب الدفن من أحکام الأموات</w:t>
      </w:r>
      <w:r>
        <w:rPr>
          <w:rFonts w:eastAsia="IRNazanin" w:cs="IRNazanin"/>
          <w:color w:val="111111"/>
          <w:sz w:val="28"/>
          <w:szCs w:val="28"/>
          <w:rtl w:val="true"/>
          <w:lang w:bidi="fa-IR"/>
        </w:rPr>
        <w:t>.</w:t>
      </w:r>
    </w:p>
    <w:p>
      <w:pPr>
        <w:pStyle w:val="Heading4"/>
        <w:numPr>
          <w:ilvl w:val="3"/>
          <w:numId w:val="1"/>
        </w:numPr>
        <w:rPr/>
      </w:pPr>
      <w:bookmarkStart w:id="2247" w:name="__RefHeading___Toc2567034_3650668749"/>
      <w:bookmarkStart w:id="2248" w:name="_Toc1026"/>
      <w:bookmarkEnd w:id="2247"/>
      <w:r>
        <w:rPr>
          <w:rtl w:val="true"/>
        </w:rPr>
        <w:t>[</w:t>
      </w:r>
      <w:r>
        <w:rPr>
          <w:rtl w:val="true"/>
        </w:rPr>
        <w:t>و منها</w:t>
      </w:r>
      <w:r>
        <w:rPr>
          <w:rtl w:val="true"/>
        </w:rPr>
        <w:t xml:space="preserve">: </w:t>
      </w:r>
      <w:r>
        <w:rPr>
          <w:rtl w:val="true"/>
        </w:rPr>
        <w:t>صلاة الحاجة</w:t>
      </w:r>
      <w:r>
        <w:rPr>
          <w:rtl w:val="true"/>
        </w:rPr>
        <w:t>]</w:t>
      </w:r>
      <w:bookmarkEnd w:id="224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الحاجة و هی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معتبر عن عبد الرحیم </w:t>
      </w:r>
      <w:r>
        <w:rPr>
          <w:rStyle w:val="FootnoteAnchor"/>
          <w:rtl w:val="true"/>
        </w:rPr>
        <w:footnoteReference w:id="656"/>
      </w:r>
      <w:r>
        <w:rPr>
          <w:rFonts w:ascii="Amiri" w:hAnsi="Amiri" w:eastAsia="Amiri" w:cs="Amiri"/>
          <w:color w:val="111111"/>
          <w:sz w:val="28"/>
          <w:sz w:val="28"/>
          <w:szCs w:val="28"/>
          <w:rtl w:val="true"/>
          <w:lang w:bidi="ar-SA"/>
        </w:rPr>
        <w:t>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اخترعت دعاء،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دعنی من اختراعک، إذا نزل بک أمر فافزع إلیٰ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رکعتین تهدیهما إلیٰ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تغتسل و تصلّی رکعتین تستفتح بهما افتتاح الفریضة و تشهّد تشهّد الفریضة، فإذا فرغت من التشهّد و سلمت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السلامُ و منک السلامُ و إلیک یرجع السلامُ، اللهمّ صلِّ علیٰ محمّدٍ و آل محمّدٍ، و بلِّغ روح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 السلام و أرواح الأئمّة الصالحین سلامی، و اردد علیّ منهم السلامَ، و السلامُ علیهم و رحمةُ اللّٰه و برکاتُهُ، اللهمّ إنّ هاتین الرکعتین هدیّةٌ منّی إلیٰ رسول اللّٰه فأثبنی علیهما ما أمّلتُ و رجوت فیکَ و فی رسولِکَ یا ولیّ المؤمنینَ، ثمّ تخرّ ساجداً فتقول أربعین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حیُّ یا قیّومُ یا حیّاً لا یموت یا حیّ لا إلٰه إلّا أنت یا ذا الجلال و الإکرام یا أرحم الراحمین، ثمّ ضع خدّک الأیمن فتقولها أربعین مرّة، ثمّ ضع خدّک الأیسر فتقولها أربعین مرّة، ثمّ ترفع رأسک و تمدّ یدیک فتقول أربعین مرّة، ثمّ تردّ یدک إلیٰ رقبتک و تلوذ بسبّابتک و تقول ذلک أربعین مرّة، ثمّ خذ لحیتک بیدک الیسریٰ و ابک أو تباک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أشکو إلی اللّٰه و إلیک حاجتی و إلی أهل بیتک الراشدین حاجتی و بکم أتوجّه إلی اللّٰه فی حاجتی، ثمّ تسجد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یا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ینقطع نفسک صلِّ علیٰ محمّد و آل محمّد و افعل بی کذا و کذا و تذکر حاجتک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الضامن علی اللّٰه عزّ و جلّ</w:t>
      </w:r>
      <w:bookmarkStart w:id="2249" w:name="pg1809_19088"/>
    </w:p>
    <w:p>
      <w:pPr>
        <w:pStyle w:val="BookText"/>
        <w:rPr/>
      </w:pPr>
      <w:bookmarkEnd w:id="2249"/>
      <w:r>
        <w:rPr>
          <w:rFonts w:ascii="Amiri" w:hAnsi="Amiri" w:eastAsia="Amiri" w:cs="Amiri"/>
          <w:color w:val="111111"/>
          <w:sz w:val="28"/>
          <w:sz w:val="28"/>
          <w:szCs w:val="28"/>
          <w:rtl w:val="true"/>
          <w:lang w:bidi="ar-SA"/>
        </w:rPr>
        <w:t>أن لا یبرح حتّی تقضیٰ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جرّب مراراً</w:t>
      </w:r>
      <w:r>
        <w:rPr>
          <w:rFonts w:eastAsia="Amiri" w:cs="Amiri" w:ascii="Amiri" w:hAnsi="Amiri"/>
          <w:color w:val="111111"/>
          <w:sz w:val="28"/>
          <w:szCs w:val="28"/>
          <w:rtl w:val="true"/>
          <w:lang w:bidi="ar-SA"/>
        </w:rPr>
        <w:t>.</w:t>
      </w:r>
    </w:p>
    <w:p>
      <w:pPr>
        <w:pStyle w:val="Heading4"/>
        <w:numPr>
          <w:ilvl w:val="3"/>
          <w:numId w:val="1"/>
        </w:numPr>
        <w:rPr/>
      </w:pPr>
      <w:bookmarkStart w:id="2250" w:name="__RefHeading___Toc2567036_3650668749"/>
      <w:bookmarkStart w:id="2251" w:name="_Toc1027"/>
      <w:bookmarkEnd w:id="2250"/>
      <w:r>
        <w:rPr>
          <w:rtl w:val="true"/>
        </w:rPr>
        <w:t>[</w:t>
      </w:r>
      <w:r>
        <w:rPr>
          <w:rtl w:val="true"/>
        </w:rPr>
        <w:t>و منها</w:t>
      </w:r>
      <w:r>
        <w:rPr>
          <w:rtl w:val="true"/>
        </w:rPr>
        <w:t xml:space="preserve">: </w:t>
      </w:r>
      <w:r>
        <w:rPr>
          <w:rtl w:val="true"/>
        </w:rPr>
        <w:t xml:space="preserve">ما عن </w:t>
      </w:r>
      <w:r>
        <w:rPr>
          <w:rtl w:val="true"/>
        </w:rPr>
        <w:t>«</w:t>
      </w:r>
      <w:r>
        <w:rPr>
          <w:rtl w:val="true"/>
        </w:rPr>
        <w:t>الأمالی</w:t>
      </w:r>
      <w:r>
        <w:rPr>
          <w:rtl w:val="true"/>
        </w:rPr>
        <w:t xml:space="preserve">» </w:t>
      </w:r>
      <w:r>
        <w:rPr>
          <w:rtl w:val="true"/>
        </w:rPr>
        <w:t>بإسناده إلی الحذّاء</w:t>
      </w:r>
      <w:r>
        <w:rPr>
          <w:rtl w:val="true"/>
        </w:rPr>
        <w:t>]</w:t>
      </w:r>
      <w:bookmarkEnd w:id="2251"/>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کانت له إلی اللّٰه حاجة فلیقصد إلیٰ مسجد الکوفة و یسبغ وضوءه و یصلّی فی المسجد رکعتین یقرأ فی کلّ واحدة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سبع سور معها؛ و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فرغ من الرکعتین و تشهّد و سلم سأل اللّٰه حاجته فإنّها تقضیٰ بعون اللّٰه إن شاء اللّٰه</w:t>
      </w:r>
      <w:r>
        <w:rPr>
          <w:rFonts w:eastAsia="Amiri" w:cs="Amiri" w:ascii="Amiri" w:hAnsi="Amiri"/>
          <w:color w:val="111111"/>
          <w:sz w:val="28"/>
          <w:szCs w:val="28"/>
          <w:rtl w:val="true"/>
          <w:lang w:bidi="ar-SA"/>
        </w:rPr>
        <w:t>.</w:t>
      </w:r>
    </w:p>
    <w:p>
      <w:pPr>
        <w:pStyle w:val="Heading4"/>
        <w:numPr>
          <w:ilvl w:val="3"/>
          <w:numId w:val="1"/>
        </w:numPr>
        <w:rPr/>
      </w:pPr>
      <w:bookmarkStart w:id="2252" w:name="__RefHeading___Toc2567038_3650668749"/>
      <w:bookmarkStart w:id="2253" w:name="_Toc1028"/>
      <w:bookmarkEnd w:id="2252"/>
      <w:r>
        <w:rPr>
          <w:rtl w:val="true"/>
        </w:rPr>
        <w:t>[ (</w:t>
      </w:r>
      <w:r>
        <w:rPr>
          <w:rtl w:val="true"/>
        </w:rPr>
        <w:t xml:space="preserve">مسألة </w:t>
      </w:r>
      <w:r>
        <w:rPr/>
        <w:t>1</w:t>
      </w:r>
      <w:r>
        <w:rPr>
          <w:rtl w:val="true"/>
        </w:rPr>
        <w:t xml:space="preserve">): </w:t>
      </w:r>
      <w:r>
        <w:rPr>
          <w:rtl w:val="true"/>
        </w:rPr>
        <w:t>یجوز إتیان الصلوات المندوبة جالساً اختیاراً</w:t>
      </w:r>
      <w:r>
        <w:rPr>
          <w:rtl w:val="true"/>
        </w:rPr>
        <w:t>]</w:t>
      </w:r>
      <w:bookmarkEnd w:id="2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إتیان الصلوات المندوبة جالساً اختیاراً و کذا ماشیاً و راکباً، کما یجوز إتیان رکعة قائماً و رکعة جالساً لکن إتیانها قائماً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إذا أتی بها جالساً احتساب کلّ رکعتین برکعة، فیأتی فی نافلة الصبح مثلًا أربع رکعات بتسلیمتین جالساً بدل رکعتین قائماً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وجبت النافلة بنذر و نحوه فالظاهر بقاء حکمها فیجوز اختیار الجلوس فیها</w:t>
      </w:r>
      <w:r>
        <w:rPr>
          <w:rFonts w:eastAsia="IRNazanin" w:cs="IRNazanin"/>
          <w:color w:val="111111"/>
          <w:sz w:val="28"/>
          <w:szCs w:val="28"/>
          <w:rtl w:val="true"/>
          <w:lang w:bidi="fa-IR"/>
        </w:rPr>
        <w:t>.</w:t>
      </w:r>
    </w:p>
    <w:p>
      <w:pPr>
        <w:pStyle w:val="Heading3"/>
        <w:numPr>
          <w:ilvl w:val="2"/>
          <w:numId w:val="1"/>
        </w:numPr>
        <w:rPr/>
      </w:pPr>
      <w:bookmarkStart w:id="2254" w:name="__RefHeading___Toc2567040_3650668749"/>
      <w:bookmarkStart w:id="2255" w:name="_Toc1029"/>
      <w:bookmarkEnd w:id="2254"/>
      <w:r>
        <w:rPr>
          <w:rtl w:val="true"/>
        </w:rPr>
        <w:t>[</w:t>
      </w:r>
      <w:r>
        <w:rPr>
          <w:rtl w:val="true"/>
        </w:rPr>
        <w:t>فصل فی صلاة المسافر</w:t>
      </w:r>
      <w:r>
        <w:rPr>
          <w:rtl w:val="true"/>
        </w:rPr>
        <w:t>]</w:t>
      </w:r>
      <w:bookmarkEnd w:id="2255"/>
    </w:p>
    <w:p>
      <w:pPr>
        <w:pStyle w:val="Heading4"/>
        <w:numPr>
          <w:ilvl w:val="3"/>
          <w:numId w:val="1"/>
        </w:numPr>
        <w:rPr/>
      </w:pPr>
      <w:bookmarkStart w:id="2256" w:name="__RefHeading___Toc2567042_3650668749"/>
      <w:bookmarkStart w:id="2257" w:name="_Toc1030"/>
      <w:bookmarkEnd w:id="2256"/>
      <w:r>
        <w:rPr>
          <w:rtl w:val="true"/>
        </w:rPr>
        <w:t>اشارة</w:t>
      </w:r>
      <w:bookmarkEnd w:id="2257"/>
    </w:p>
    <w:p>
      <w:pPr>
        <w:pStyle w:val="BookText"/>
        <w:rPr/>
      </w:pPr>
      <w:r>
        <w:rPr>
          <w:rFonts w:ascii="IRNazanin" w:hAnsi="IRNazanin" w:eastAsia="IRNazanin"/>
          <w:color w:val="111111"/>
          <w:sz w:val="28"/>
          <w:sz w:val="28"/>
          <w:szCs w:val="28"/>
          <w:rtl w:val="true"/>
          <w:lang w:bidi="fa-IR"/>
        </w:rPr>
        <w:t>فصل فی صلاة المسافر یجب القصر علی المسافر فی الصلوات الرباعیّة مع اجتماع الشروط الآتیة، و أمّا الصبح و المغرب فلا قصر فیهما</w:t>
      </w:r>
      <w:r>
        <w:rPr>
          <w:rFonts w:eastAsia="IRNazanin" w:cs="IRNazanin"/>
          <w:color w:val="111111"/>
          <w:sz w:val="28"/>
          <w:szCs w:val="28"/>
          <w:rtl w:val="true"/>
          <w:lang w:bidi="fa-IR"/>
        </w:rPr>
        <w:t>.</w:t>
      </w:r>
    </w:p>
    <w:p>
      <w:pPr>
        <w:pStyle w:val="Heading4"/>
        <w:numPr>
          <w:ilvl w:val="3"/>
          <w:numId w:val="1"/>
        </w:numPr>
        <w:rPr/>
      </w:pPr>
      <w:bookmarkStart w:id="2258" w:name="__RefHeading___Toc2567044_3650668749"/>
      <w:bookmarkStart w:id="2259" w:name="_Toc1031"/>
      <w:bookmarkEnd w:id="2258"/>
      <w:r>
        <w:rPr>
          <w:rtl w:val="true"/>
        </w:rPr>
        <w:t>[</w:t>
      </w:r>
      <w:r>
        <w:rPr>
          <w:rtl w:val="true"/>
        </w:rPr>
        <w:t>و یشترط فی التقصیر للمسافر أُمور</w:t>
      </w:r>
      <w:r>
        <w:rPr>
          <w:rtl w:val="true"/>
        </w:rPr>
        <w:t>]</w:t>
      </w:r>
      <w:bookmarkEnd w:id="2259"/>
    </w:p>
    <w:p>
      <w:pPr>
        <w:pStyle w:val="Heading5"/>
        <w:numPr>
          <w:ilvl w:val="4"/>
          <w:numId w:val="1"/>
        </w:numPr>
        <w:rPr/>
      </w:pPr>
      <w:bookmarkStart w:id="2260" w:name="__RefHeading___Toc2567046_3650668749"/>
      <w:bookmarkStart w:id="2261" w:name="_Toc1032"/>
      <w:bookmarkEnd w:id="2260"/>
      <w:r>
        <w:rPr>
          <w:rtl w:val="true"/>
        </w:rPr>
        <w:t>اشارة</w:t>
      </w:r>
      <w:bookmarkEnd w:id="2261"/>
    </w:p>
    <w:p>
      <w:pPr>
        <w:pStyle w:val="BookText"/>
        <w:rPr/>
      </w:pPr>
      <w:r>
        <w:rPr>
          <w:rFonts w:ascii="IRNazanin" w:hAnsi="IRNazanin" w:eastAsia="IRNazanin"/>
          <w:color w:val="111111"/>
          <w:sz w:val="28"/>
          <w:sz w:val="28"/>
          <w:szCs w:val="28"/>
          <w:rtl w:val="true"/>
          <w:lang w:bidi="fa-IR"/>
        </w:rPr>
        <w:t>و یشترط فی التقصیر للمسافر أُمور</w:t>
      </w:r>
      <w:r>
        <w:rPr>
          <w:rFonts w:eastAsia="IRNazanin" w:cs="IRNazanin"/>
          <w:color w:val="111111"/>
          <w:sz w:val="28"/>
          <w:szCs w:val="28"/>
          <w:rtl w:val="true"/>
          <w:lang w:bidi="fa-IR"/>
        </w:rPr>
        <w:t>:</w:t>
      </w:r>
    </w:p>
    <w:p>
      <w:pPr>
        <w:pStyle w:val="Heading5"/>
        <w:numPr>
          <w:ilvl w:val="4"/>
          <w:numId w:val="1"/>
        </w:numPr>
        <w:rPr/>
      </w:pPr>
      <w:bookmarkStart w:id="2262" w:name="__RefHeading___Toc2567048_3650668749"/>
      <w:bookmarkStart w:id="2263" w:name="_Toc1033"/>
      <w:bookmarkEnd w:id="2262"/>
      <w:r>
        <w:rPr>
          <w:rtl w:val="true"/>
        </w:rPr>
        <w:t>[</w:t>
      </w:r>
      <w:r>
        <w:rPr>
          <w:rtl w:val="true"/>
        </w:rPr>
        <w:t>أحدها</w:t>
      </w:r>
      <w:r>
        <w:rPr>
          <w:rtl w:val="true"/>
        </w:rPr>
        <w:t xml:space="preserve">: </w:t>
      </w:r>
      <w:r>
        <w:rPr>
          <w:rtl w:val="true"/>
        </w:rPr>
        <w:t>المسافة</w:t>
      </w:r>
      <w:r>
        <w:rPr>
          <w:rtl w:val="true"/>
        </w:rPr>
        <w:t>]</w:t>
      </w:r>
      <w:bookmarkEnd w:id="2263"/>
    </w:p>
    <w:p>
      <w:pPr>
        <w:pStyle w:val="Heading6"/>
        <w:numPr>
          <w:ilvl w:val="5"/>
          <w:numId w:val="1"/>
        </w:numPr>
        <w:rPr/>
      </w:pPr>
      <w:bookmarkStart w:id="2264" w:name="__RefHeading___Toc2567050_3650668749"/>
      <w:bookmarkStart w:id="2265" w:name="_Toc1034"/>
      <w:bookmarkEnd w:id="2264"/>
      <w:r>
        <w:rPr>
          <w:rtl w:val="true"/>
        </w:rPr>
        <w:t>اشارة</w:t>
      </w:r>
      <w:bookmarkEnd w:id="2265"/>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المسافة؛ و هی ثمانیة فراسخ امتدادیّة ذهاباً أو إیاباً أو ملفّقة بشرط عدم کون الذهاب أقلّ من أربعة؛ سواء اتّصل إیابه بذهابه و لم یقطعه بمبیت لیلة فصاعداً فی الأثناء أو قطعه بذلک لا علیٰ وجه تحصل به الإقامة القاطعة للسفر و لا غیرها من قواطعه فیقصّر و یفطر، إلّا أنّ الأحوط احتیاطاً شدیداً فی الصورة الأخیرة التمام مع ذلک و قضاء الصوم</w:t>
      </w:r>
      <w:r>
        <w:rPr>
          <w:rFonts w:eastAsia="IRNazanin" w:cs="IRNazanin"/>
          <w:color w:val="111111"/>
          <w:sz w:val="28"/>
          <w:szCs w:val="28"/>
          <w:rtl w:val="true"/>
          <w:lang w:bidi="fa-IR"/>
        </w:rPr>
        <w:t>.</w:t>
      </w:r>
    </w:p>
    <w:p>
      <w:pPr>
        <w:pStyle w:val="Heading6"/>
        <w:numPr>
          <w:ilvl w:val="5"/>
          <w:numId w:val="1"/>
        </w:numPr>
        <w:rPr/>
      </w:pPr>
      <w:bookmarkStart w:id="2266" w:name="__RefHeading___Toc2567052_3650668749"/>
      <w:bookmarkStart w:id="2267" w:name="_Toc1035"/>
      <w:bookmarkEnd w:id="2266"/>
      <w:r>
        <w:rPr>
          <w:rtl w:val="true"/>
        </w:rPr>
        <w:t>[ (</w:t>
      </w:r>
      <w:r>
        <w:rPr>
          <w:rtl w:val="true"/>
        </w:rPr>
        <w:t xml:space="preserve">مسألة </w:t>
      </w:r>
      <w:r>
        <w:rPr/>
        <w:t>1</w:t>
      </w:r>
      <w:r>
        <w:rPr>
          <w:rtl w:val="true"/>
        </w:rPr>
        <w:t xml:space="preserve">): </w:t>
      </w:r>
      <w:r>
        <w:rPr>
          <w:rtl w:val="true"/>
        </w:rPr>
        <w:t>الفرسخ ثلاثة أمیال، و المیل أربعة آلاف ذراع بذراع الید</w:t>
      </w:r>
      <w:r>
        <w:rPr>
          <w:rtl w:val="true"/>
        </w:rPr>
        <w:t>]</w:t>
      </w:r>
      <w:bookmarkEnd w:id="2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الفرسخ ثلاثة أمیال، و المیل أربعة آلاف ذراع بذراع الید الذی طوله عرض أربع و عشرین إصبعاً و کلّ إصبع عرض سبع شعیرات و کلّ شعیرة عرض سبع شعرات من أوسط شعر البرذون، فإن نقصت عن ذلک و لو یسیراً بقی علی التمام</w:t>
      </w:r>
      <w:r>
        <w:rPr>
          <w:rFonts w:eastAsia="IRNazanin" w:cs="IRNazanin"/>
          <w:color w:val="111111"/>
          <w:sz w:val="28"/>
          <w:szCs w:val="28"/>
          <w:rtl w:val="true"/>
          <w:lang w:bidi="fa-IR"/>
        </w:rPr>
        <w:t>.</w:t>
      </w:r>
    </w:p>
    <w:p>
      <w:pPr>
        <w:pStyle w:val="Heading6"/>
        <w:numPr>
          <w:ilvl w:val="5"/>
          <w:numId w:val="1"/>
        </w:numPr>
        <w:rPr/>
      </w:pPr>
      <w:bookmarkStart w:id="2268" w:name="__RefHeading___Toc2567054_3650668749"/>
      <w:bookmarkStart w:id="2269" w:name="_Toc1036"/>
      <w:bookmarkEnd w:id="2268"/>
      <w:r>
        <w:rPr>
          <w:rtl w:val="true"/>
        </w:rPr>
        <w:t>[ (</w:t>
      </w:r>
      <w:r>
        <w:rPr>
          <w:rtl w:val="true"/>
        </w:rPr>
        <w:t xml:space="preserve">مسألة </w:t>
      </w:r>
      <w:r>
        <w:rPr/>
        <w:t>2</w:t>
      </w:r>
      <w:r>
        <w:rPr>
          <w:rtl w:val="true"/>
        </w:rPr>
        <w:t xml:space="preserve">): </w:t>
      </w:r>
      <w:r>
        <w:rPr>
          <w:rtl w:val="true"/>
        </w:rPr>
        <w:t>إذا کان الذهاب خمسة فراسخ و الإیاب ثلاثة وجب القصر</w:t>
      </w:r>
      <w:r>
        <w:rPr>
          <w:rtl w:val="true"/>
        </w:rPr>
        <w:t>]</w:t>
      </w:r>
      <w:bookmarkEnd w:id="226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الذهاب خمسة فراسخ و الإیاب ثلاثة وجب القصر بخلاف العکس، و لو تردّد فی أقلّ من أربعة فراسخ ذاهباً و جائیاً مرّات حتّی بلغ المجموع ثمانیة لم یقصّر</w:t>
      </w:r>
      <w:bookmarkStart w:id="2270" w:name="pg1809_19090"/>
    </w:p>
    <w:p>
      <w:pPr>
        <w:pStyle w:val="BookText"/>
        <w:rPr/>
      </w:pPr>
      <w:bookmarkEnd w:id="2270"/>
      <w:r>
        <w:rPr>
          <w:rFonts w:ascii="IRNazanin" w:hAnsi="IRNazanin" w:eastAsia="IRNazanin"/>
          <w:color w:val="111111"/>
          <w:sz w:val="28"/>
          <w:sz w:val="28"/>
          <w:szCs w:val="28"/>
          <w:rtl w:val="true"/>
          <w:lang w:bidi="fa-IR"/>
        </w:rPr>
        <w:t>و إن لم یصل إلیٰ حدّ الترخّص، فلا بدّ فی التلفیق أن یکون المجموع من ذهاب واحد و إیاب واحد ثمانیة</w:t>
      </w:r>
      <w:r>
        <w:rPr>
          <w:rFonts w:eastAsia="IRNazanin" w:cs="IRNazanin"/>
          <w:color w:val="111111"/>
          <w:sz w:val="28"/>
          <w:szCs w:val="28"/>
          <w:rtl w:val="true"/>
          <w:lang w:bidi="fa-IR"/>
        </w:rPr>
        <w:t>.</w:t>
      </w:r>
    </w:p>
    <w:p>
      <w:pPr>
        <w:pStyle w:val="Heading6"/>
        <w:numPr>
          <w:ilvl w:val="5"/>
          <w:numId w:val="1"/>
        </w:numPr>
        <w:rPr/>
      </w:pPr>
      <w:bookmarkStart w:id="2271" w:name="__RefHeading___Toc2567056_3650668749"/>
      <w:bookmarkStart w:id="2272" w:name="_Toc1037"/>
      <w:bookmarkEnd w:id="2271"/>
      <w:r>
        <w:rPr>
          <w:rtl w:val="true"/>
        </w:rPr>
        <w:t>[ (</w:t>
      </w:r>
      <w:r>
        <w:rPr>
          <w:rtl w:val="true"/>
        </w:rPr>
        <w:t xml:space="preserve">مسألة </w:t>
      </w:r>
      <w:r>
        <w:rPr/>
        <w:t>3</w:t>
      </w:r>
      <w:r>
        <w:rPr>
          <w:rtl w:val="true"/>
        </w:rPr>
        <w:t xml:space="preserve">): </w:t>
      </w:r>
      <w:r>
        <w:rPr>
          <w:rtl w:val="true"/>
        </w:rPr>
        <w:t>لو کان للبلد طریقان و الأبعد منهما مسافة دون الأقرب</w:t>
      </w:r>
      <w:r>
        <w:rPr>
          <w:rtl w:val="true"/>
        </w:rPr>
        <w:t>]</w:t>
      </w:r>
      <w:bookmarkEnd w:id="2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للبلد طریقان و الأبعد منهما مسافة دون الأقرب، فإن سلک الأبعد قصّر، و إن سلک الأقرب أتمّ، و إذا ذهب من الأقرب و رجع من الأبعد فإذا کان الأقرب أربعة فراسخ أو أزید قصّر دون ما إذا کان أقلّ</w:t>
      </w:r>
      <w:r>
        <w:rPr>
          <w:rFonts w:eastAsia="IRNazanin" w:cs="IRNazanin"/>
          <w:color w:val="111111"/>
          <w:sz w:val="28"/>
          <w:szCs w:val="28"/>
          <w:rtl w:val="true"/>
          <w:lang w:bidi="fa-IR"/>
        </w:rPr>
        <w:t>.</w:t>
      </w:r>
    </w:p>
    <w:p>
      <w:pPr>
        <w:pStyle w:val="Heading6"/>
        <w:numPr>
          <w:ilvl w:val="5"/>
          <w:numId w:val="1"/>
        </w:numPr>
        <w:rPr/>
      </w:pPr>
      <w:bookmarkStart w:id="2273" w:name="__RefHeading___Toc2567058_3650668749"/>
      <w:bookmarkStart w:id="2274" w:name="_Toc1038"/>
      <w:bookmarkEnd w:id="2273"/>
      <w:r>
        <w:rPr>
          <w:rtl w:val="true"/>
        </w:rPr>
        <w:t>[ (</w:t>
      </w:r>
      <w:r>
        <w:rPr>
          <w:rtl w:val="true"/>
        </w:rPr>
        <w:t xml:space="preserve">مسألة </w:t>
      </w:r>
      <w:r>
        <w:rPr/>
        <w:t>4</w:t>
      </w:r>
      <w:r>
        <w:rPr>
          <w:rtl w:val="true"/>
        </w:rPr>
        <w:t xml:space="preserve">): </w:t>
      </w:r>
      <w:r>
        <w:rPr>
          <w:rtl w:val="true"/>
        </w:rPr>
        <w:t>مبدأ حساب المسافة سور البلد</w:t>
      </w:r>
      <w:r>
        <w:rPr>
          <w:rtl w:val="true"/>
        </w:rPr>
        <w:t>]</w:t>
      </w:r>
      <w:bookmarkEnd w:id="2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حساب المسافة سور البلد و فیما لا سور له آخر البیوت، هذا فی غیر البلدان الکبار الخارقة، و أمّا فیها فهو آخر المحلّة إذا کان منفصل المحالّ </w:t>
      </w:r>
      <w:r>
        <w:rPr>
          <w:rStyle w:val="FootnoteAnchor"/>
          <w:rtl w:val="true"/>
        </w:rPr>
        <w:footnoteReference w:id="657"/>
      </w:r>
      <w:r>
        <w:rPr>
          <w:rFonts w:ascii="IRNazanin" w:hAnsi="IRNazanin" w:eastAsia="IRNazanin"/>
          <w:color w:val="111111"/>
          <w:sz w:val="28"/>
          <w:sz w:val="28"/>
          <w:szCs w:val="28"/>
          <w:rtl w:val="true"/>
          <w:lang w:bidi="fa-IR"/>
        </w:rPr>
        <w:t xml:space="preserve">، و أمّا مع الاتّصال ففیه إشکال لا یترک الاحتیاط بالجمع فیها فیما إذا لم یبلغ المسافة من آخر البلد و کان بمقدارها إذا لوحظ آخر المحلّة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75" w:name="__RefHeading___Toc2567060_3650668749"/>
      <w:bookmarkStart w:id="2276" w:name="_Toc1039"/>
      <w:bookmarkEnd w:id="2275"/>
      <w:r>
        <w:rPr>
          <w:rtl w:val="true"/>
        </w:rPr>
        <w:t>[ (</w:t>
      </w:r>
      <w:r>
        <w:rPr>
          <w:rtl w:val="true"/>
        </w:rPr>
        <w:t xml:space="preserve">مسألة </w:t>
      </w:r>
      <w:r>
        <w:rPr/>
        <w:t>5</w:t>
      </w:r>
      <w:r>
        <w:rPr>
          <w:rtl w:val="true"/>
        </w:rPr>
        <w:t xml:space="preserve">): </w:t>
      </w:r>
      <w:r>
        <w:rPr>
          <w:rtl w:val="true"/>
        </w:rPr>
        <w:t>إذا کان قاصداً للرواح إلیٰ بلد، و کان شاکّاً فی کونه مسافة أو معتقداً للعدم</w:t>
      </w:r>
      <w:r>
        <w:rPr>
          <w:rtl w:val="true"/>
        </w:rPr>
        <w:t>]</w:t>
      </w:r>
      <w:bookmarkEnd w:id="2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قاصداً للرواح إلیٰ بلد، و کان شاکّاً فی کونه مسافة أو معتقداً للعدم، ثمّ بان فی أثناء السیر کونه مسافة یقصّر و إن لم یکن الباقی مسافة</w:t>
      </w:r>
      <w:r>
        <w:rPr>
          <w:rFonts w:eastAsia="IRNazanin" w:cs="IRNazanin"/>
          <w:color w:val="111111"/>
          <w:sz w:val="28"/>
          <w:szCs w:val="28"/>
          <w:rtl w:val="true"/>
          <w:lang w:bidi="fa-IR"/>
        </w:rPr>
        <w:t>.</w:t>
      </w:r>
    </w:p>
    <w:p>
      <w:pPr>
        <w:pStyle w:val="Heading6"/>
        <w:numPr>
          <w:ilvl w:val="5"/>
          <w:numId w:val="1"/>
        </w:numPr>
        <w:rPr/>
      </w:pPr>
      <w:bookmarkStart w:id="2277" w:name="__RefHeading___Toc2567062_3650668749"/>
      <w:bookmarkStart w:id="2278" w:name="_Toc1040"/>
      <w:bookmarkEnd w:id="2277"/>
      <w:r>
        <w:rPr>
          <w:rtl w:val="true"/>
        </w:rPr>
        <w:t>[ (</w:t>
      </w:r>
      <w:r>
        <w:rPr>
          <w:rtl w:val="true"/>
        </w:rPr>
        <w:t xml:space="preserve">مسألة </w:t>
      </w:r>
      <w:r>
        <w:rPr/>
        <w:t>6</w:t>
      </w:r>
      <w:r>
        <w:rPr>
          <w:rtl w:val="true"/>
        </w:rPr>
        <w:t xml:space="preserve">): </w:t>
      </w:r>
      <w:r>
        <w:rPr>
          <w:rtl w:val="true"/>
        </w:rPr>
        <w:t>تثبت المسافة بالعلم و بالبیّنة</w:t>
      </w:r>
      <w:r>
        <w:rPr>
          <w:rtl w:val="true"/>
        </w:rPr>
        <w:t>]</w:t>
      </w:r>
      <w:bookmarkEnd w:id="2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المسافة بالعلم و بالبیّنة، بل و خبر العدل الواحد فی وجه لا یخلو من إشکال، فلا یترک الاحتیاط بالجمع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شکّ فی بلوغها أو ظنّ به بقی علی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یکلّف الاختبار بالمسافة المستلزم للحرج، نعم یجب </w:t>
      </w:r>
      <w:r>
        <w:rPr>
          <w:rStyle w:val="FootnoteAnchor"/>
          <w:rtl w:val="true"/>
        </w:rPr>
        <w:footnoteReference w:id="659"/>
      </w:r>
      <w:r>
        <w:rPr>
          <w:rFonts w:ascii="IRNazanin" w:hAnsi="IRNazanin" w:eastAsia="IRNazanin"/>
          <w:color w:val="111111"/>
          <w:sz w:val="28"/>
          <w:sz w:val="28"/>
          <w:szCs w:val="28"/>
          <w:rtl w:val="true"/>
          <w:lang w:bidi="fa-IR"/>
        </w:rPr>
        <w:t>السؤال و نحوه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شکّ العامّی </w:t>
      </w:r>
      <w:r>
        <w:rPr>
          <w:rStyle w:val="FootnoteAnchor"/>
          <w:rtl w:val="true"/>
        </w:rPr>
        <w:footnoteReference w:id="660"/>
      </w:r>
      <w:r>
        <w:rPr>
          <w:rFonts w:ascii="IRNazanin" w:hAnsi="IRNazanin" w:eastAsia="IRNazanin"/>
          <w:color w:val="111111"/>
          <w:sz w:val="28"/>
          <w:sz w:val="28"/>
          <w:szCs w:val="28"/>
          <w:rtl w:val="true"/>
          <w:lang w:bidi="fa-IR"/>
        </w:rPr>
        <w:t>فی مقدار المسافة شرعاً من جهة جهله بها وجب علیه الاحتیاط بالجمع</w:t>
      </w:r>
      <w:r>
        <w:rPr>
          <w:rFonts w:eastAsia="IRNazanin" w:cs="IRNazanin"/>
          <w:color w:val="111111"/>
          <w:sz w:val="28"/>
          <w:szCs w:val="28"/>
          <w:rtl w:val="true"/>
          <w:lang w:bidi="fa-IR"/>
        </w:rPr>
        <w:t>.</w:t>
      </w:r>
    </w:p>
    <w:p>
      <w:pPr>
        <w:pStyle w:val="Heading6"/>
        <w:numPr>
          <w:ilvl w:val="5"/>
          <w:numId w:val="1"/>
        </w:numPr>
        <w:rPr/>
      </w:pPr>
      <w:bookmarkStart w:id="2279" w:name="__RefHeading___Toc2567064_3650668749"/>
      <w:bookmarkStart w:id="2280" w:name="_Toc1041"/>
      <w:bookmarkEnd w:id="2279"/>
      <w:r>
        <w:rPr>
          <w:rtl w:val="true"/>
        </w:rPr>
        <w:t>[ (</w:t>
      </w:r>
      <w:r>
        <w:rPr>
          <w:rtl w:val="true"/>
        </w:rPr>
        <w:t xml:space="preserve">مسألة </w:t>
      </w:r>
      <w:r>
        <w:rPr/>
        <w:t>7</w:t>
      </w:r>
      <w:r>
        <w:rPr>
          <w:rtl w:val="true"/>
        </w:rPr>
        <w:t xml:space="preserve">): </w:t>
      </w:r>
      <w:r>
        <w:rPr>
          <w:rtl w:val="true"/>
        </w:rPr>
        <w:t>لو اعتقد کونه مسافة فقصّر</w:t>
      </w:r>
      <w:r>
        <w:rPr>
          <w:rtl w:val="true"/>
        </w:rPr>
        <w:t>]</w:t>
      </w:r>
      <w:bookmarkEnd w:id="2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اعتقد کونه مسافة فقصّر، ثمّ ظهر عدمها وجبت الإعادة، و کذا لو اعتقد عدم کونه مسافة فأتمّ، ثمّ ظهر کونه مسافة فإنّه یجب علیه الإعادة فی الوقت علی الأقویٰ و فی خارجه علی الأحوط</w:t>
      </w:r>
      <w:r>
        <w:rPr>
          <w:rFonts w:eastAsia="IRNazanin" w:cs="IRNazanin"/>
          <w:color w:val="111111"/>
          <w:sz w:val="28"/>
          <w:szCs w:val="28"/>
          <w:rtl w:val="true"/>
          <w:lang w:bidi="fa-IR"/>
        </w:rPr>
        <w:t>.</w:t>
      </w:r>
    </w:p>
    <w:p>
      <w:pPr>
        <w:pStyle w:val="Heading6"/>
        <w:numPr>
          <w:ilvl w:val="5"/>
          <w:numId w:val="1"/>
        </w:numPr>
        <w:rPr/>
      </w:pPr>
      <w:bookmarkStart w:id="2281" w:name="__RefHeading___Toc2567066_3650668749"/>
      <w:bookmarkStart w:id="2282" w:name="_Toc1042"/>
      <w:bookmarkEnd w:id="2281"/>
      <w:r>
        <w:rPr>
          <w:rtl w:val="true"/>
        </w:rPr>
        <w:t>[ (</w:t>
      </w:r>
      <w:r>
        <w:rPr>
          <w:rtl w:val="true"/>
        </w:rPr>
        <w:t xml:space="preserve">مسألة </w:t>
      </w:r>
      <w:r>
        <w:rPr/>
        <w:t>8</w:t>
      </w:r>
      <w:r>
        <w:rPr>
          <w:rtl w:val="true"/>
        </w:rPr>
        <w:t xml:space="preserve">): </w:t>
      </w:r>
      <w:r>
        <w:rPr>
          <w:rtl w:val="true"/>
        </w:rPr>
        <w:t>فی المسافة المستدیرة الذهاب هو السیر إلی المقصد</w:t>
      </w:r>
      <w:r>
        <w:rPr>
          <w:rtl w:val="true"/>
        </w:rPr>
        <w:t>]</w:t>
      </w:r>
      <w:bookmarkEnd w:id="228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المسافة المستدیرة الذهاب هو السیر إلی المقصد إذا کان فی منتصف الدائرة؛ أعنی النقطة المقابلة لمبدإ السیر أو بعده، و أمّا لو کان المقصد قبله ففیه</w:t>
      </w:r>
      <w:bookmarkStart w:id="2283" w:name="pg1809_19092"/>
    </w:p>
    <w:p>
      <w:pPr>
        <w:pStyle w:val="BookText"/>
        <w:rPr/>
      </w:pPr>
      <w:bookmarkEnd w:id="2283"/>
      <w:r>
        <w:rPr>
          <w:rFonts w:ascii="IRNazanin" w:hAnsi="IRNazanin" w:eastAsia="IRNazanin"/>
          <w:color w:val="111111"/>
          <w:sz w:val="28"/>
          <w:sz w:val="28"/>
          <w:szCs w:val="28"/>
          <w:rtl w:val="true"/>
          <w:lang w:bidi="fa-IR"/>
        </w:rPr>
        <w:t xml:space="preserve">إشکال </w:t>
      </w:r>
      <w:r>
        <w:rPr>
          <w:rStyle w:val="FootnoteAnchor"/>
          <w:rtl w:val="true"/>
        </w:rPr>
        <w:footnoteReference w:id="661"/>
      </w:r>
      <w:r>
        <w:rPr>
          <w:rFonts w:ascii="IRNazanin" w:hAnsi="IRNazanin" w:eastAsia="IRNazanin"/>
          <w:color w:val="111111"/>
          <w:sz w:val="28"/>
          <w:sz w:val="28"/>
          <w:szCs w:val="28"/>
          <w:rtl w:val="true"/>
          <w:lang w:bidi="fa-IR"/>
        </w:rPr>
        <w:t>، فعلی المختار من اعتبار عدم کون الذهاب أقلّ من أربعة إذا کان المجموع ثمانیة و کان من البلد إلیه أقلّ من أربعة فلا یترک الاحتیاط بالجمع</w:t>
      </w:r>
      <w:r>
        <w:rPr>
          <w:rFonts w:eastAsia="IRNazanin" w:cs="IRNazanin"/>
          <w:color w:val="111111"/>
          <w:sz w:val="28"/>
          <w:szCs w:val="28"/>
          <w:rtl w:val="true"/>
          <w:lang w:bidi="fa-IR"/>
        </w:rPr>
        <w:t>.</w:t>
      </w:r>
    </w:p>
    <w:p>
      <w:pPr>
        <w:pStyle w:val="Heading5"/>
        <w:numPr>
          <w:ilvl w:val="4"/>
          <w:numId w:val="1"/>
        </w:numPr>
        <w:rPr/>
      </w:pPr>
      <w:bookmarkStart w:id="2284" w:name="__RefHeading___Toc2567068_3650668749"/>
      <w:bookmarkStart w:id="2285" w:name="_Toc1043"/>
      <w:bookmarkEnd w:id="2284"/>
      <w:r>
        <w:rPr>
          <w:rtl w:val="true"/>
        </w:rPr>
        <w:t>[</w:t>
      </w:r>
      <w:r>
        <w:rPr>
          <w:rtl w:val="true"/>
        </w:rPr>
        <w:t>ثانیها</w:t>
      </w:r>
      <w:r>
        <w:rPr>
          <w:rtl w:val="true"/>
        </w:rPr>
        <w:t xml:space="preserve">: </w:t>
      </w:r>
      <w:r>
        <w:rPr>
          <w:rtl w:val="true"/>
        </w:rPr>
        <w:t>قصد قطع المسافة من حین الخروج</w:t>
      </w:r>
      <w:r>
        <w:rPr>
          <w:rtl w:val="true"/>
        </w:rPr>
        <w:t>]</w:t>
      </w:r>
      <w:bookmarkEnd w:id="2285"/>
    </w:p>
    <w:p>
      <w:pPr>
        <w:pStyle w:val="Heading6"/>
        <w:numPr>
          <w:ilvl w:val="5"/>
          <w:numId w:val="1"/>
        </w:numPr>
        <w:rPr/>
      </w:pPr>
      <w:bookmarkStart w:id="2286" w:name="__RefHeading___Toc2567070_3650668749"/>
      <w:bookmarkStart w:id="2287" w:name="_Toc1044"/>
      <w:bookmarkEnd w:id="2286"/>
      <w:r>
        <w:rPr>
          <w:rtl w:val="true"/>
        </w:rPr>
        <w:t>اشارة</w:t>
      </w:r>
      <w:bookmarkEnd w:id="2287"/>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قطع المسافة من حین الخروج، فلو قصد ما دونها و بعد الوصول إلی المقصد قصد مقداراً آخر دونها و هکذا، یتمّ فی الذهاب و إن کان المجموع أزید من مسافة التقصیر بکثیر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شرع فی العود یقصّر إذا کملت المسافة فما زاد، و کذا لا یقصّر لو لم یکن له مقصد معیّن و لا یدری أیّ مقدار یقطع، کما لو طلب عبداً آبقاً أو دابّة شاردة و لم یدر إلیٰ أین مسیره، فلا یقصّر فی ذهابه و إن قطع مسافات، نعم یقصّر فی العود إذا کان مسافة، کما أنّه یقصّر لو عیّن فی الأثناء مقصداً یبلغ المسافة و لو بالتلفیق </w:t>
      </w:r>
      <w:r>
        <w:rPr>
          <w:rStyle w:val="FootnoteAnchor"/>
          <w:rtl w:val="true"/>
        </w:rPr>
        <w:footnoteReference w:id="662"/>
      </w:r>
      <w:r>
        <w:rPr>
          <w:rFonts w:ascii="IRNazanin" w:hAnsi="IRNazanin" w:eastAsia="IRNazanin"/>
          <w:color w:val="111111"/>
          <w:sz w:val="28"/>
          <w:sz w:val="28"/>
          <w:szCs w:val="28"/>
          <w:rtl w:val="true"/>
          <w:lang w:bidi="fa-IR"/>
        </w:rPr>
        <w:t>، و کذا لا یقصّر لو خرج إلیٰ ما دون الأربعة و ینتظر رفقة إن تیسّروا سافر معهم و إلّا فلا، أو کان سفره منوطاً بحصول أمر و لم یطمئنّ بتیسّر الرفقة أو حصول ذلک الأمر</w:t>
      </w:r>
      <w:r>
        <w:rPr>
          <w:rFonts w:eastAsia="IRNazanin" w:cs="IRNazanin"/>
          <w:color w:val="111111"/>
          <w:sz w:val="28"/>
          <w:szCs w:val="28"/>
          <w:rtl w:val="true"/>
          <w:lang w:bidi="fa-IR"/>
        </w:rPr>
        <w:t>.</w:t>
      </w:r>
    </w:p>
    <w:p>
      <w:pPr>
        <w:pStyle w:val="Heading6"/>
        <w:numPr>
          <w:ilvl w:val="5"/>
          <w:numId w:val="1"/>
        </w:numPr>
        <w:rPr/>
      </w:pPr>
      <w:bookmarkStart w:id="2288" w:name="__RefHeading___Toc2567072_3650668749"/>
      <w:bookmarkStart w:id="2289" w:name="_Toc1045"/>
      <w:bookmarkEnd w:id="2288"/>
      <w:r>
        <w:rPr>
          <w:rtl w:val="true"/>
        </w:rPr>
        <w:t>[ (</w:t>
      </w:r>
      <w:r>
        <w:rPr>
          <w:rtl w:val="true"/>
        </w:rPr>
        <w:t xml:space="preserve">مسألة </w:t>
      </w:r>
      <w:r>
        <w:rPr/>
        <w:t>9</w:t>
      </w:r>
      <w:r>
        <w:rPr>
          <w:rtl w:val="true"/>
        </w:rPr>
        <w:t xml:space="preserve">): </w:t>
      </w:r>
      <w:r>
        <w:rPr>
          <w:rtl w:val="true"/>
        </w:rPr>
        <w:t>المدار علیٰ قصد قطع المسافة</w:t>
      </w:r>
      <w:r>
        <w:rPr>
          <w:rtl w:val="true"/>
        </w:rPr>
        <w:t>]</w:t>
      </w:r>
      <w:bookmarkEnd w:id="2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علیٰ قصد قطع المسافة و إن حصل ذلک منه فی أیّام مع عدم تخلّل أحد قواطع السفر ما لم یخرج بذلک عن صدق اسم السفر عرفاً، کما لو قطع فی کلّ یوم مقداراً یسیراً جدّاً للتنزّه و نحوه، لا من جهة صعوبة السیر فإنّه یتمّ حینئذٍ و الأحوط الجمع</w:t>
      </w:r>
      <w:r>
        <w:rPr>
          <w:rFonts w:eastAsia="IRNazanin" w:cs="IRNazanin"/>
          <w:color w:val="111111"/>
          <w:sz w:val="28"/>
          <w:szCs w:val="28"/>
          <w:rtl w:val="true"/>
          <w:lang w:bidi="fa-IR"/>
        </w:rPr>
        <w:t>.</w:t>
      </w:r>
    </w:p>
    <w:p>
      <w:pPr>
        <w:pStyle w:val="Heading6"/>
        <w:numPr>
          <w:ilvl w:val="5"/>
          <w:numId w:val="1"/>
        </w:numPr>
        <w:rPr/>
      </w:pPr>
      <w:bookmarkStart w:id="2290" w:name="__RefHeading___Toc2567074_3650668749"/>
      <w:bookmarkStart w:id="2291" w:name="_Toc1046"/>
      <w:bookmarkEnd w:id="2290"/>
      <w:r>
        <w:rPr>
          <w:rtl w:val="true"/>
        </w:rPr>
        <w:t>[ (</w:t>
      </w:r>
      <w:r>
        <w:rPr>
          <w:rtl w:val="true"/>
        </w:rPr>
        <w:t xml:space="preserve">مسألة </w:t>
      </w:r>
      <w:r>
        <w:rPr/>
        <w:t>10</w:t>
      </w:r>
      <w:r>
        <w:rPr>
          <w:rtl w:val="true"/>
        </w:rPr>
        <w:t xml:space="preserve">): </w:t>
      </w:r>
      <w:r>
        <w:rPr>
          <w:rtl w:val="true"/>
        </w:rPr>
        <w:t>لا یعتبر فی قصد المسافة أن یکون مستقلا</w:t>
      </w:r>
      <w:r>
        <w:rPr>
          <w:rtl w:val="true"/>
        </w:rPr>
        <w:t>]</w:t>
      </w:r>
      <w:bookmarkEnd w:id="2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قصد المسافة أن یکون مستقلا، بل یکفی و لو کان من جهة التبعیّة؛ سواء کان لوجوب الطاعة کالزوجة و العبد أو قهراً کالأسیر أو اختیاراً کالخادم بشرط العلم بکون قصد المتبوع مسافة و إلّا بقی علی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وجوب الاستخبار تأمّل </w:t>
      </w:r>
      <w:r>
        <w:rPr>
          <w:rStyle w:val="FootnoteAnchor"/>
          <w:rtl w:val="true"/>
        </w:rPr>
        <w:footnoteReference w:id="663"/>
      </w:r>
      <w:r>
        <w:rPr>
          <w:rFonts w:ascii="IRNazanin" w:hAnsi="IRNazanin" w:eastAsia="IRNazanin"/>
          <w:color w:val="111111"/>
          <w:sz w:val="28"/>
          <w:sz w:val="28"/>
          <w:szCs w:val="28"/>
          <w:rtl w:val="true"/>
          <w:lang w:bidi="fa-IR"/>
        </w:rPr>
        <w:t>و إن کان أحوط، و لا یجب علی المتبوع الإخبار و إن أوجبنا علی التابع الاستخبار</w:t>
      </w:r>
      <w:r>
        <w:rPr>
          <w:rFonts w:eastAsia="IRNazanin" w:cs="IRNazanin"/>
          <w:color w:val="111111"/>
          <w:sz w:val="28"/>
          <w:szCs w:val="28"/>
          <w:rtl w:val="true"/>
          <w:lang w:bidi="fa-IR"/>
        </w:rPr>
        <w:t>.</w:t>
      </w:r>
    </w:p>
    <w:p>
      <w:pPr>
        <w:pStyle w:val="Heading6"/>
        <w:numPr>
          <w:ilvl w:val="5"/>
          <w:numId w:val="1"/>
        </w:numPr>
        <w:rPr/>
      </w:pPr>
      <w:bookmarkStart w:id="2292" w:name="__RefHeading___Toc2567076_3650668749"/>
      <w:bookmarkStart w:id="2293" w:name="_Toc1047"/>
      <w:bookmarkEnd w:id="2292"/>
      <w:r>
        <w:rPr>
          <w:rtl w:val="true"/>
        </w:rPr>
        <w:t>[ (</w:t>
      </w:r>
      <w:r>
        <w:rPr>
          <w:rtl w:val="true"/>
        </w:rPr>
        <w:t xml:space="preserve">مسألة </w:t>
      </w:r>
      <w:r>
        <w:rPr/>
        <w:t>11</w:t>
      </w:r>
      <w:r>
        <w:rPr>
          <w:rtl w:val="true"/>
        </w:rPr>
        <w:t xml:space="preserve">): </w:t>
      </w:r>
      <w:r>
        <w:rPr>
          <w:rtl w:val="true"/>
        </w:rPr>
        <w:t>إذا اعتقد التابع أنّ متبوعه لم یقصد المسافة أو شکّ فی ذلک</w:t>
      </w:r>
      <w:r>
        <w:rPr>
          <w:rtl w:val="true"/>
        </w:rPr>
        <w:t>]</w:t>
      </w:r>
      <w:bookmarkEnd w:id="2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التابع أنّ متبوعه لم یقصد المسافة أو شکّ فی ذلک، و علم فی الأثناء أنّه کان قاصداً لها، فإن کان الباقی مسافة یجب علیه القصر و إلّا فالظاهر أنّه یجب علیه التمام</w:t>
      </w:r>
      <w:r>
        <w:rPr>
          <w:rFonts w:eastAsia="IRNazanin" w:cs="IRNazanin"/>
          <w:color w:val="111111"/>
          <w:sz w:val="28"/>
          <w:szCs w:val="28"/>
          <w:rtl w:val="true"/>
          <w:lang w:bidi="fa-IR"/>
        </w:rPr>
        <w:t>.</w:t>
      </w:r>
    </w:p>
    <w:p>
      <w:pPr>
        <w:pStyle w:val="Heading5"/>
        <w:numPr>
          <w:ilvl w:val="4"/>
          <w:numId w:val="1"/>
        </w:numPr>
        <w:rPr/>
      </w:pPr>
      <w:bookmarkStart w:id="2294" w:name="__RefHeading___Toc2567078_3650668749"/>
      <w:bookmarkStart w:id="2295" w:name="_Toc1048"/>
      <w:bookmarkEnd w:id="2294"/>
      <w:r>
        <w:rPr>
          <w:rtl w:val="true"/>
        </w:rPr>
        <w:t>[</w:t>
      </w:r>
      <w:r>
        <w:rPr>
          <w:rtl w:val="true"/>
        </w:rPr>
        <w:t>ثالثها</w:t>
      </w:r>
      <w:r>
        <w:rPr>
          <w:rtl w:val="true"/>
        </w:rPr>
        <w:t xml:space="preserve">: </w:t>
      </w:r>
      <w:r>
        <w:rPr>
          <w:rtl w:val="true"/>
        </w:rPr>
        <w:t>استمرار القصد</w:t>
      </w:r>
      <w:r>
        <w:rPr>
          <w:rtl w:val="true"/>
        </w:rPr>
        <w:t>]</w:t>
      </w:r>
      <w:bookmarkEnd w:id="2295"/>
    </w:p>
    <w:p>
      <w:pPr>
        <w:pStyle w:val="Heading6"/>
        <w:numPr>
          <w:ilvl w:val="5"/>
          <w:numId w:val="1"/>
        </w:numPr>
        <w:rPr/>
      </w:pPr>
      <w:bookmarkStart w:id="2296" w:name="__RefHeading___Toc2567080_3650668749"/>
      <w:bookmarkStart w:id="2297" w:name="_Toc1049"/>
      <w:bookmarkEnd w:id="2296"/>
      <w:r>
        <w:rPr>
          <w:rtl w:val="true"/>
        </w:rPr>
        <w:t>اشارة</w:t>
      </w:r>
      <w:bookmarkEnd w:id="229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القصد، فلو عدل عنه قبل بلوغ أربعة فراسخ أو تردّد أتمّ و مضی ما</w:t>
      </w:r>
      <w:bookmarkStart w:id="2298" w:name="pg1809_19094"/>
    </w:p>
    <w:p>
      <w:pPr>
        <w:pStyle w:val="BookText"/>
        <w:rPr/>
      </w:pPr>
      <w:bookmarkEnd w:id="2298"/>
      <w:r>
        <w:rPr>
          <w:rFonts w:ascii="IRNazanin" w:hAnsi="IRNazanin" w:eastAsia="IRNazanin"/>
          <w:color w:val="111111"/>
          <w:sz w:val="28"/>
          <w:sz w:val="28"/>
          <w:szCs w:val="28"/>
          <w:rtl w:val="true"/>
          <w:lang w:bidi="fa-IR"/>
        </w:rPr>
        <w:t>صلّاهُ قصراً، و لا یحتاج إلیٰ إعادته فی الوقت فضلًا عن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العدول أو التردّد بعد بلوغ الأربعة بقی علی التقصیر و إن لم یرجع لیومه، إذا کان عازماً علی العود قبل عشرة أیّام</w:t>
      </w:r>
      <w:r>
        <w:rPr>
          <w:rFonts w:eastAsia="IRNazanin" w:cs="IRNazanin"/>
          <w:color w:val="111111"/>
          <w:sz w:val="28"/>
          <w:szCs w:val="28"/>
          <w:rtl w:val="true"/>
          <w:lang w:bidi="fa-IR"/>
        </w:rPr>
        <w:t>.</w:t>
      </w:r>
    </w:p>
    <w:p>
      <w:pPr>
        <w:pStyle w:val="Heading6"/>
        <w:numPr>
          <w:ilvl w:val="5"/>
          <w:numId w:val="1"/>
        </w:numPr>
        <w:rPr/>
      </w:pPr>
      <w:bookmarkStart w:id="2299" w:name="__RefHeading___Toc2567082_3650668749"/>
      <w:bookmarkStart w:id="2300" w:name="_Toc1050"/>
      <w:bookmarkEnd w:id="2299"/>
      <w:r>
        <w:rPr>
          <w:rtl w:val="true"/>
        </w:rPr>
        <w:t>[ (</w:t>
      </w:r>
      <w:r>
        <w:rPr>
          <w:rtl w:val="true"/>
        </w:rPr>
        <w:t xml:space="preserve">مسألة </w:t>
      </w:r>
      <w:r>
        <w:rPr/>
        <w:t>12</w:t>
      </w:r>
      <w:r>
        <w:rPr>
          <w:rtl w:val="true"/>
        </w:rPr>
        <w:t xml:space="preserve">): </w:t>
      </w:r>
      <w:r>
        <w:rPr>
          <w:rtl w:val="true"/>
        </w:rPr>
        <w:t>یکفی فی استمرار القصد بقاء قصد النوع</w:t>
      </w:r>
      <w:r>
        <w:rPr>
          <w:rtl w:val="true"/>
        </w:rPr>
        <w:t>]</w:t>
      </w:r>
      <w:bookmarkEnd w:id="2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استمرار القصد بقاء قصد النوع و إن عدل عن الشخص، کما لو قصد السفر إلیٰ مکان خاصّ فعدل فی أثناء الطریق إلیٰ آخر یبلغ ما مضی مع ما بقی إلیه مسافة، فإنّه یقصّر حینئذٍ علی الأصحّ، کما أنّه یقصّر لو کان من أوّل الأمر قاصداً للنوع دون الشخص؛ بأن یشرع فی السفر قاصداً للرواح إلیٰ أحد الأمکنة التی کلّها مسافة و لم یعیّن أحدها بل أوکل التعیین إلیٰ ما بعد الوصول إلیٰ آخر الحدّ المشترک بینها</w:t>
      </w:r>
      <w:r>
        <w:rPr>
          <w:rFonts w:eastAsia="IRNazanin" w:cs="IRNazanin"/>
          <w:color w:val="111111"/>
          <w:sz w:val="28"/>
          <w:szCs w:val="28"/>
          <w:rtl w:val="true"/>
          <w:lang w:bidi="fa-IR"/>
        </w:rPr>
        <w:t>.</w:t>
      </w:r>
    </w:p>
    <w:p>
      <w:pPr>
        <w:pStyle w:val="Heading6"/>
        <w:numPr>
          <w:ilvl w:val="5"/>
          <w:numId w:val="1"/>
        </w:numPr>
        <w:rPr/>
      </w:pPr>
      <w:bookmarkStart w:id="2301" w:name="__RefHeading___Toc2567084_3650668749"/>
      <w:bookmarkStart w:id="2302" w:name="_Toc1051"/>
      <w:bookmarkEnd w:id="2301"/>
      <w:r>
        <w:rPr>
          <w:rtl w:val="true"/>
        </w:rPr>
        <w:t>[ (</w:t>
      </w:r>
      <w:r>
        <w:rPr>
          <w:rtl w:val="true"/>
        </w:rPr>
        <w:t xml:space="preserve">مسألة </w:t>
      </w:r>
      <w:r>
        <w:rPr/>
        <w:t>13</w:t>
      </w:r>
      <w:r>
        <w:rPr>
          <w:rtl w:val="true"/>
        </w:rPr>
        <w:t xml:space="preserve">): </w:t>
      </w:r>
      <w:r>
        <w:rPr>
          <w:rtl w:val="true"/>
        </w:rPr>
        <w:t>لو تردّد فی الأثناء قبل بلوغ أربعة فراسخ ثمّ عاد إلی الجزم</w:t>
      </w:r>
      <w:r>
        <w:rPr>
          <w:rtl w:val="true"/>
        </w:rPr>
        <w:t>]</w:t>
      </w:r>
      <w:bookmarkEnd w:id="2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تردّد فی الأثناء قبل بلوغ أربعة فراسخ ثمّ عاد إلی الجزم، فإن لم یقطع شیئاً من الطریق بعد التردّد بقی علی القصر و إن لم یکن ما بقی مسافة و لو ملفّقة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قطع شیئاً منه بعده فإن کان ما بقی مسافة بقی علی القصر أیضاً، و أمّا إن لم یکن مسافة، فلا إشکال فی وجوب التمام إذا لم یکن ما بقی بضمّ ما قطع قبل حصول التردّد مسافة، و أمّا إذا کان المجموع بإسقاط ما تخلّل فی البین مسافة ففی وجوب التمام أو العود إلی التقصیر إشکال </w:t>
      </w:r>
      <w:r>
        <w:rPr>
          <w:rStyle w:val="FootnoteAnchor"/>
          <w:rtl w:val="true"/>
        </w:rPr>
        <w:footnoteReference w:id="664"/>
      </w:r>
      <w:r>
        <w:rPr>
          <w:rFonts w:ascii="IRNazanin" w:hAnsi="IRNazanin" w:eastAsia="IRNazanin"/>
          <w:color w:val="111111"/>
          <w:sz w:val="28"/>
          <w:sz w:val="28"/>
          <w:szCs w:val="28"/>
          <w:rtl w:val="true"/>
          <w:lang w:bidi="fa-IR"/>
        </w:rPr>
        <w:t>فلا یترک الاحتیاط بالجمع</w:t>
      </w:r>
      <w:r>
        <w:rPr>
          <w:rFonts w:eastAsia="IRNazanin" w:cs="IRNazanin"/>
          <w:color w:val="111111"/>
          <w:sz w:val="28"/>
          <w:szCs w:val="28"/>
          <w:rtl w:val="true"/>
          <w:lang w:bidi="fa-IR"/>
        </w:rPr>
        <w:t>.</w:t>
      </w:r>
    </w:p>
    <w:p>
      <w:pPr>
        <w:pStyle w:val="Heading5"/>
        <w:numPr>
          <w:ilvl w:val="4"/>
          <w:numId w:val="1"/>
        </w:numPr>
        <w:rPr/>
      </w:pPr>
      <w:bookmarkStart w:id="2303" w:name="__RefHeading___Toc2567086_3650668749"/>
      <w:bookmarkStart w:id="2304" w:name="_Toc1052"/>
      <w:bookmarkEnd w:id="2303"/>
      <w:r>
        <w:rPr>
          <w:rtl w:val="true"/>
        </w:rPr>
        <w:t>[</w:t>
      </w:r>
      <w:r>
        <w:rPr>
          <w:rtl w:val="true"/>
        </w:rPr>
        <w:t>رابعها</w:t>
      </w:r>
      <w:r>
        <w:rPr>
          <w:rtl w:val="true"/>
        </w:rPr>
        <w:t xml:space="preserve">: </w:t>
      </w:r>
      <w:r>
        <w:rPr>
          <w:rtl w:val="true"/>
        </w:rPr>
        <w:t>أن لا ینوی قطع المسافة بإقامة عشرة أیّام فصاعداً فی أثنائها</w:t>
      </w:r>
      <w:r>
        <w:rPr>
          <w:rtl w:val="true"/>
        </w:rPr>
        <w:t>]</w:t>
      </w:r>
      <w:bookmarkEnd w:id="2304"/>
    </w:p>
    <w:p>
      <w:pPr>
        <w:pStyle w:val="Heading6"/>
        <w:numPr>
          <w:ilvl w:val="5"/>
          <w:numId w:val="1"/>
        </w:numPr>
        <w:rPr/>
      </w:pPr>
      <w:bookmarkStart w:id="2305" w:name="__RefHeading___Toc2567088_3650668749"/>
      <w:bookmarkStart w:id="2306" w:name="_Toc1053"/>
      <w:bookmarkEnd w:id="2305"/>
      <w:r>
        <w:rPr>
          <w:rtl w:val="true"/>
        </w:rPr>
        <w:t>اشارة</w:t>
      </w:r>
      <w:bookmarkEnd w:id="2306"/>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ینوی قطع المسافة بإقامة عشرة أیّام فصاعداً فی أثنائها أو مرور فی وطنه کذلک، کما لو عزم علیٰ قطع أربعة فراسخ قاصداً لنیّة الإقامة فی أثنائها أو علیٰ رأسها، أو کان له وطن کذلک و قد قصد المرور به فإنّه یتمّ حینئذٍ، و کذا لو کان متردّداً فی نیّة الإقامة أو المرور فی المنزل المزبور علیٰ وجه ینافی القصد إلیٰ قطع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لم یکن کذلک کما إذا قصدها و لکن یحتمل </w:t>
      </w:r>
      <w:r>
        <w:rPr>
          <w:rStyle w:val="FootnoteAnchor"/>
          <w:rtl w:val="true"/>
        </w:rPr>
        <w:footnoteReference w:id="665"/>
      </w:r>
      <w:r>
        <w:rPr>
          <w:rFonts w:ascii="IRNazanin" w:hAnsi="IRNazanin" w:eastAsia="IRNazanin"/>
          <w:color w:val="111111"/>
          <w:sz w:val="28"/>
          <w:sz w:val="28"/>
          <w:szCs w:val="28"/>
          <w:rtl w:val="true"/>
          <w:lang w:bidi="fa-IR"/>
        </w:rPr>
        <w:t>عروض مقتضٍ لنیّة الإقامة أو المرور فی المنزل فی الأثناء فإنّه یقصّر</w:t>
      </w:r>
      <w:r>
        <w:rPr>
          <w:rFonts w:eastAsia="IRNazanin" w:cs="IRNazanin"/>
          <w:color w:val="111111"/>
          <w:sz w:val="28"/>
          <w:szCs w:val="28"/>
          <w:rtl w:val="true"/>
          <w:lang w:bidi="fa-IR"/>
        </w:rPr>
        <w:t>.</w:t>
      </w:r>
    </w:p>
    <w:p>
      <w:pPr>
        <w:pStyle w:val="Heading6"/>
        <w:numPr>
          <w:ilvl w:val="5"/>
          <w:numId w:val="1"/>
        </w:numPr>
        <w:rPr/>
      </w:pPr>
      <w:bookmarkStart w:id="2307" w:name="__RefHeading___Toc2567090_3650668749"/>
      <w:bookmarkStart w:id="2308" w:name="_Toc1054"/>
      <w:bookmarkEnd w:id="2307"/>
      <w:r>
        <w:rPr>
          <w:rtl w:val="true"/>
        </w:rPr>
        <w:t>[ (</w:t>
      </w:r>
      <w:r>
        <w:rPr>
          <w:rtl w:val="true"/>
        </w:rPr>
        <w:t xml:space="preserve">مسألة </w:t>
      </w:r>
      <w:r>
        <w:rPr/>
        <w:t>14</w:t>
      </w:r>
      <w:r>
        <w:rPr>
          <w:rtl w:val="true"/>
        </w:rPr>
        <w:t xml:space="preserve">): </w:t>
      </w:r>
      <w:r>
        <w:rPr>
          <w:rtl w:val="true"/>
        </w:rPr>
        <w:t>لو کان حین الشروع قاصداً للإقامة أو المرور علی الوطن</w:t>
      </w:r>
      <w:r>
        <w:rPr>
          <w:rtl w:val="true"/>
        </w:rPr>
        <w:t>]</w:t>
      </w:r>
      <w:bookmarkEnd w:id="230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حین الشروع قاصداً للإقامة أو المرور علی الوطن قبل بلوغ</w:t>
      </w:r>
      <w:bookmarkStart w:id="2309" w:name="pg1809_19097"/>
    </w:p>
    <w:p>
      <w:pPr>
        <w:pStyle w:val="BookText"/>
        <w:rPr/>
      </w:pPr>
      <w:bookmarkEnd w:id="2309"/>
      <w:r>
        <w:rPr>
          <w:rFonts w:ascii="IRNazanin" w:hAnsi="IRNazanin" w:eastAsia="IRNazanin"/>
          <w:color w:val="111111"/>
          <w:sz w:val="28"/>
          <w:sz w:val="28"/>
          <w:szCs w:val="28"/>
          <w:rtl w:val="true"/>
          <w:lang w:bidi="fa-IR"/>
        </w:rPr>
        <w:t>الثمانیة أو کان متردّداً ثمّ عدل و بنیٰ علیٰ عدم الأمرین فإن کان ما بقی بعد العدول مسافة و لو ملفّقة قصّر و إلّا فلا</w:t>
      </w:r>
      <w:r>
        <w:rPr>
          <w:rFonts w:eastAsia="IRNazanin" w:cs="IRNazanin"/>
          <w:color w:val="111111"/>
          <w:sz w:val="28"/>
          <w:szCs w:val="28"/>
          <w:rtl w:val="true"/>
          <w:lang w:bidi="fa-IR"/>
        </w:rPr>
        <w:t>.</w:t>
      </w:r>
    </w:p>
    <w:p>
      <w:pPr>
        <w:pStyle w:val="Heading6"/>
        <w:numPr>
          <w:ilvl w:val="5"/>
          <w:numId w:val="1"/>
        </w:numPr>
        <w:rPr/>
      </w:pPr>
      <w:bookmarkStart w:id="2310" w:name="__RefHeading___Toc2567092_3650668749"/>
      <w:bookmarkStart w:id="2311" w:name="_Toc1055"/>
      <w:bookmarkEnd w:id="2310"/>
      <w:r>
        <w:rPr>
          <w:rtl w:val="true"/>
        </w:rPr>
        <w:t>[ (</w:t>
      </w:r>
      <w:r>
        <w:rPr>
          <w:rtl w:val="true"/>
        </w:rPr>
        <w:t xml:space="preserve">مسألة </w:t>
      </w:r>
      <w:r>
        <w:rPr/>
        <w:t>15</w:t>
      </w:r>
      <w:r>
        <w:rPr>
          <w:rtl w:val="true"/>
        </w:rPr>
        <w:t xml:space="preserve">): </w:t>
      </w:r>
      <w:r>
        <w:rPr>
          <w:rtl w:val="true"/>
        </w:rPr>
        <w:t>لو لم یکن من نیّته الإقامة و قطع مقداراً من المسافة</w:t>
      </w:r>
      <w:r>
        <w:rPr>
          <w:rtl w:val="true"/>
        </w:rPr>
        <w:t>]</w:t>
      </w:r>
      <w:bookmarkEnd w:id="2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من نیّته الإقامة و قطع مقداراً من المسافة، ثمّ بدا له قبل بلوغ الثمانیة، ثمّ عدل عمّا بدا له و عزم علیٰ عدم الإقامة، فإذا کان ما بقی بعد العدول عمّا بدا له مسافة قصّر بلا إشکال، و کذا إن لم یکن کذلک و لم یقطع بین العزمین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 قطع شیئاً بینهما فهل یضمّ ما مضی قبل العدول إلیٰ ما بقی إذا کان المجموع مسافة بإسقاط ما تخلّل فی البین؟ فیه إشکال </w:t>
      </w:r>
      <w:r>
        <w:rPr>
          <w:rStyle w:val="FootnoteAnchor"/>
          <w:rtl w:val="true"/>
        </w:rPr>
        <w:footnoteReference w:id="666"/>
      </w:r>
      <w:r>
        <w:rPr>
          <w:rFonts w:ascii="IRNazanin" w:hAnsi="IRNazanin" w:eastAsia="IRNazanin"/>
          <w:color w:val="111111"/>
          <w:sz w:val="28"/>
          <w:sz w:val="28"/>
          <w:szCs w:val="28"/>
          <w:rtl w:val="true"/>
          <w:lang w:bidi="fa-IR"/>
        </w:rPr>
        <w:t>، فلا یترک الاحتیاط بالجمع، نظیر ما مرّ فی الشرط الثالث</w:t>
      </w:r>
      <w:r>
        <w:rPr>
          <w:rFonts w:eastAsia="IRNazanin" w:cs="IRNazanin"/>
          <w:color w:val="111111"/>
          <w:sz w:val="28"/>
          <w:szCs w:val="28"/>
          <w:rtl w:val="true"/>
          <w:lang w:bidi="fa-IR"/>
        </w:rPr>
        <w:t>.</w:t>
      </w:r>
    </w:p>
    <w:p>
      <w:pPr>
        <w:pStyle w:val="Heading5"/>
        <w:numPr>
          <w:ilvl w:val="4"/>
          <w:numId w:val="1"/>
        </w:numPr>
        <w:rPr/>
      </w:pPr>
      <w:bookmarkStart w:id="2312" w:name="__RefHeading___Toc2567094_3650668749"/>
      <w:bookmarkStart w:id="2313" w:name="_Toc1056"/>
      <w:bookmarkEnd w:id="2312"/>
      <w:r>
        <w:rPr>
          <w:rtl w:val="true"/>
        </w:rPr>
        <w:t>[</w:t>
      </w:r>
      <w:r>
        <w:rPr>
          <w:rtl w:val="true"/>
        </w:rPr>
        <w:t>خامسها</w:t>
      </w:r>
      <w:r>
        <w:rPr>
          <w:rtl w:val="true"/>
        </w:rPr>
        <w:t xml:space="preserve">: </w:t>
      </w:r>
      <w:r>
        <w:rPr>
          <w:rtl w:val="true"/>
        </w:rPr>
        <w:t>أن یکون السفر سائغاً</w:t>
      </w:r>
      <w:r>
        <w:rPr>
          <w:rtl w:val="true"/>
        </w:rPr>
        <w:t>]</w:t>
      </w:r>
      <w:bookmarkEnd w:id="2313"/>
    </w:p>
    <w:p>
      <w:pPr>
        <w:pStyle w:val="Heading6"/>
        <w:numPr>
          <w:ilvl w:val="5"/>
          <w:numId w:val="1"/>
        </w:numPr>
        <w:rPr/>
      </w:pPr>
      <w:bookmarkStart w:id="2314" w:name="__RefHeading___Toc2567096_3650668749"/>
      <w:bookmarkStart w:id="2315" w:name="_Toc1057"/>
      <w:bookmarkEnd w:id="2314"/>
      <w:r>
        <w:rPr>
          <w:rtl w:val="true"/>
        </w:rPr>
        <w:t>اشارة</w:t>
      </w:r>
      <w:bookmarkEnd w:id="2315"/>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السفر سائغاً، فلو کان معصیة لم یقصّر؛ سواء کان نفسه معصیة کإباق العبد و نحوه، أو غایته کالسفر لقطع الطریق و نیل المظالم من قبل السلطان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منه ما وقع المحرّم فی أثنائه مثل الغیبة و نحوها ممّا لیس غایة للسفر فیبقیٰ علی القصر، بل لیس منه ما إذا رکب دابّة مغصوبة علی الأقویٰ، بل و لیس منه ما کان ضدّاً لواجب قد ترکه و سافر علی الأقویٰ، کما إذا کان مدیوناً و سافر مع مطالبة الدیّان و إمکان الأداء فی الحضر دون السفر و نحو ذلک، نعم لا یترک الاحتیاط بالجمع فیما إذا کان السفر لأجل التوصّل إلیٰ ترک الواجب و إن کان تعیّن الإتمام حینئذٍ لا یخلو من قوّة</w:t>
      </w:r>
      <w:r>
        <w:rPr>
          <w:rFonts w:eastAsia="IRNazanin" w:cs="IRNazanin"/>
          <w:color w:val="111111"/>
          <w:sz w:val="28"/>
          <w:szCs w:val="28"/>
          <w:rtl w:val="true"/>
          <w:lang w:bidi="fa-IR"/>
        </w:rPr>
        <w:t>.</w:t>
      </w:r>
    </w:p>
    <w:p>
      <w:pPr>
        <w:pStyle w:val="Heading6"/>
        <w:numPr>
          <w:ilvl w:val="5"/>
          <w:numId w:val="1"/>
        </w:numPr>
        <w:rPr/>
      </w:pPr>
      <w:bookmarkStart w:id="2316" w:name="__RefHeading___Toc2567098_3650668749"/>
      <w:bookmarkStart w:id="2317" w:name="_Toc1058"/>
      <w:bookmarkEnd w:id="2316"/>
      <w:r>
        <w:rPr>
          <w:rtl w:val="true"/>
        </w:rPr>
        <w:t>[ (</w:t>
      </w:r>
      <w:r>
        <w:rPr>
          <w:rtl w:val="true"/>
        </w:rPr>
        <w:t xml:space="preserve">مسألة </w:t>
      </w:r>
      <w:r>
        <w:rPr/>
        <w:t>16</w:t>
      </w:r>
      <w:r>
        <w:rPr>
          <w:rtl w:val="true"/>
        </w:rPr>
        <w:t xml:space="preserve">): </w:t>
      </w:r>
      <w:r>
        <w:rPr>
          <w:rtl w:val="true"/>
        </w:rPr>
        <w:t>التابع للجائر یقصّر إذا کان مجبوراً فی سفره</w:t>
      </w:r>
      <w:r>
        <w:rPr>
          <w:rtl w:val="true"/>
        </w:rPr>
        <w:t>]</w:t>
      </w:r>
      <w:bookmarkEnd w:id="2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 للجائر یقصّر إذا کان مجبوراً فی سفره، أو کان قصده دفع مظلمة و نحوه من الأغراض الصحیحة، و أمّا إذا کان من قصده إعانة الجائر فی جوره أو کان سفره و متابعته له تقویة لشوکته </w:t>
      </w:r>
      <w:r>
        <w:rPr>
          <w:rStyle w:val="FootnoteAnchor"/>
          <w:rtl w:val="true"/>
        </w:rPr>
        <w:footnoteReference w:id="667"/>
      </w:r>
      <w:r>
        <w:rPr>
          <w:rFonts w:ascii="IRNazanin" w:hAnsi="IRNazanin" w:eastAsia="IRNazanin"/>
          <w:color w:val="111111"/>
          <w:sz w:val="28"/>
          <w:sz w:val="28"/>
          <w:szCs w:val="28"/>
          <w:rtl w:val="true"/>
          <w:lang w:bidi="fa-IR"/>
        </w:rPr>
        <w:t>و معاضدة له فی جهة ظلمه، وجب علیه التمام</w:t>
      </w:r>
      <w:r>
        <w:rPr>
          <w:rFonts w:eastAsia="IRNazanin" w:cs="IRNazanin"/>
          <w:color w:val="111111"/>
          <w:sz w:val="28"/>
          <w:szCs w:val="28"/>
          <w:rtl w:val="true"/>
          <w:lang w:bidi="fa-IR"/>
        </w:rPr>
        <w:t>.</w:t>
      </w:r>
    </w:p>
    <w:p>
      <w:pPr>
        <w:pStyle w:val="Heading6"/>
        <w:numPr>
          <w:ilvl w:val="5"/>
          <w:numId w:val="1"/>
        </w:numPr>
        <w:rPr/>
      </w:pPr>
      <w:bookmarkStart w:id="2318" w:name="__RefHeading___Toc2567100_3650668749"/>
      <w:bookmarkStart w:id="2319" w:name="_Toc1059"/>
      <w:bookmarkEnd w:id="2318"/>
      <w:r>
        <w:rPr>
          <w:rtl w:val="true"/>
        </w:rPr>
        <w:t>[ (</w:t>
      </w:r>
      <w:r>
        <w:rPr>
          <w:rtl w:val="true"/>
        </w:rPr>
        <w:t xml:space="preserve">مسألة </w:t>
      </w:r>
      <w:r>
        <w:rPr/>
        <w:t>17</w:t>
      </w:r>
      <w:r>
        <w:rPr>
          <w:rtl w:val="true"/>
        </w:rPr>
        <w:t xml:space="preserve">): </w:t>
      </w:r>
      <w:r>
        <w:rPr>
          <w:rtl w:val="true"/>
        </w:rPr>
        <w:t>لو کانت غایة السفر طاعة و معصیة معاً یقصّر</w:t>
      </w:r>
      <w:r>
        <w:rPr>
          <w:rtl w:val="true"/>
        </w:rPr>
        <w:t>]</w:t>
      </w:r>
      <w:bookmarkEnd w:id="231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غایة السفر طاعة و معصیة معاً یقصّر، إذا کان داعی المعصیة تبعاً؛ بحیث ینسب السفر إلی الطاعة، و یتمّ فی غیره، و الأحوط الجمع فیما إذا اشترکا </w:t>
      </w:r>
      <w:r>
        <w:rPr>
          <w:rStyle w:val="FootnoteAnchor"/>
          <w:rtl w:val="true"/>
        </w:rPr>
        <w:footnoteReference w:id="668"/>
      </w:r>
      <w:r>
        <w:rPr>
          <w:rFonts w:ascii="IRNazanin" w:hAnsi="IRNazanin" w:eastAsia="IRNazanin"/>
          <w:color w:val="111111"/>
          <w:sz w:val="28"/>
          <w:sz w:val="28"/>
          <w:szCs w:val="28"/>
          <w:rtl w:val="true"/>
          <w:lang w:bidi="fa-IR"/>
        </w:rPr>
        <w:t>بحیث لولا اجتماعهما لم یسافر، بل لا یترک الاحتیاط فی هذه الصورة</w:t>
      </w:r>
      <w:r>
        <w:rPr>
          <w:rFonts w:eastAsia="IRNazanin" w:cs="IRNazanin"/>
          <w:color w:val="111111"/>
          <w:sz w:val="28"/>
          <w:szCs w:val="28"/>
          <w:rtl w:val="true"/>
          <w:lang w:bidi="fa-IR"/>
        </w:rPr>
        <w:t>.</w:t>
      </w:r>
      <w:bookmarkStart w:id="2320" w:name="pg1809_19099"/>
    </w:p>
    <w:p>
      <w:pPr>
        <w:pStyle w:val="Heading6"/>
        <w:numPr>
          <w:ilvl w:val="5"/>
          <w:numId w:val="1"/>
        </w:numPr>
        <w:rPr/>
      </w:pPr>
      <w:bookmarkStart w:id="2321" w:name="__RefHeading___Toc2567102_3650668749"/>
      <w:bookmarkStart w:id="2322" w:name="_Toc1060"/>
      <w:bookmarkEnd w:id="2320"/>
      <w:bookmarkEnd w:id="2321"/>
      <w:r>
        <w:rPr>
          <w:rtl w:val="true"/>
        </w:rPr>
        <w:t>[ (</w:t>
      </w:r>
      <w:r>
        <w:rPr>
          <w:rtl w:val="true"/>
        </w:rPr>
        <w:t xml:space="preserve">مسألة </w:t>
      </w:r>
      <w:r>
        <w:rPr/>
        <w:t>18</w:t>
      </w:r>
      <w:r>
        <w:rPr>
          <w:rtl w:val="true"/>
        </w:rPr>
        <w:t xml:space="preserve">): </w:t>
      </w:r>
      <w:r>
        <w:rPr>
          <w:rtl w:val="true"/>
        </w:rPr>
        <w:t>لو کان ابتداء سفره طاعة ثمّ قصد المعصیة فی الأثناء انقطع ترخّصه</w:t>
      </w:r>
      <w:r>
        <w:rPr>
          <w:rtl w:val="true"/>
        </w:rPr>
        <w:t>]</w:t>
      </w:r>
      <w:bookmarkEnd w:id="2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ابتداء سفره طاعة ثمّ قصد المعصیة فی الأثناء انقطع ترخّصه </w:t>
      </w:r>
      <w:r>
        <w:rPr>
          <w:rStyle w:val="FootnoteAnchor"/>
          <w:rtl w:val="true"/>
        </w:rPr>
        <w:footnoteReference w:id="669"/>
      </w:r>
      <w:r>
        <w:rPr>
          <w:rFonts w:ascii="IRNazanin" w:hAnsi="IRNazanin" w:eastAsia="IRNazanin"/>
          <w:color w:val="111111"/>
          <w:sz w:val="28"/>
          <w:sz w:val="28"/>
          <w:szCs w:val="28"/>
          <w:rtl w:val="true"/>
          <w:lang w:bidi="fa-IR"/>
        </w:rPr>
        <w:t>، و إن کان قد قطع مسافات و لا یجب إعادة ما صلّاهُ قصراً، فلو عاد إلیٰ قصد الطاعة قبل أن یضرب فی الأرض عاد حکمه فیجب علیه القصر، و کذلک فیما إذا کان بعد ضربه فی الأرض و کان الباقی مسافة و لو ملفّقة؛ بأن کان الذهاب إلی المقصد أربعة أو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لم یکن الباقی مسافة فإن کان مجموع ما مضی مع ما بقی بعد طرح ما تخلّل فی البین من المصاحب للمعصیة بقدر المسافة یجب القصر، و الأحوط ضمّ التمام أیضاً، و إن لم یکن المجموع مسافة إلّا بضمّ ما تخلّل من المصاحب للمعصیة ففیه إشکال </w:t>
      </w:r>
      <w:r>
        <w:rPr>
          <w:rStyle w:val="FootnoteAnchor"/>
          <w:rtl w:val="true"/>
        </w:rPr>
        <w:footnoteReference w:id="670"/>
      </w:r>
      <w:r>
        <w:rPr>
          <w:rFonts w:ascii="IRNazanin" w:hAnsi="IRNazanin" w:eastAsia="IRNazanin"/>
          <w:color w:val="111111"/>
          <w:sz w:val="28"/>
          <w:sz w:val="28"/>
          <w:szCs w:val="28"/>
          <w:rtl w:val="true"/>
          <w:lang w:bidi="fa-IR"/>
        </w:rPr>
        <w:t>، فلا یترک الاحتیاط بالجمع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ابتداء سفره معصیة ثمّ عدل إلی الطاعة یقصّر، إن کان الباقی مسافة و لو ملفّقة، و إلّا بقی علی التمام </w:t>
      </w:r>
      <w:r>
        <w:rPr>
          <w:rStyle w:val="FootnoteAnchor"/>
          <w:rtl w:val="true"/>
        </w:rPr>
        <w:footnoteReference w:id="671"/>
      </w:r>
      <w:r>
        <w:rPr>
          <w:rFonts w:ascii="IRNazanin" w:hAnsi="IRNazanin" w:eastAsia="IRNazanin"/>
          <w:color w:val="111111"/>
          <w:sz w:val="28"/>
          <w:sz w:val="28"/>
          <w:szCs w:val="28"/>
          <w:rtl w:val="true"/>
          <w:lang w:bidi="fa-IR"/>
        </w:rPr>
        <w:t>، و الأحوط الجمع</w:t>
      </w:r>
      <w:r>
        <w:rPr>
          <w:rFonts w:eastAsia="IRNazanin" w:cs="IRNazanin"/>
          <w:color w:val="111111"/>
          <w:sz w:val="28"/>
          <w:szCs w:val="28"/>
          <w:rtl w:val="true"/>
          <w:lang w:bidi="fa-IR"/>
        </w:rPr>
        <w:t>.</w:t>
      </w:r>
    </w:p>
    <w:p>
      <w:pPr>
        <w:pStyle w:val="Heading6"/>
        <w:numPr>
          <w:ilvl w:val="5"/>
          <w:numId w:val="1"/>
        </w:numPr>
        <w:rPr/>
      </w:pPr>
      <w:bookmarkStart w:id="2323" w:name="__RefHeading___Toc2567104_3650668749"/>
      <w:bookmarkStart w:id="2324" w:name="_Toc1061"/>
      <w:bookmarkEnd w:id="2323"/>
      <w:r>
        <w:rPr>
          <w:rtl w:val="true"/>
        </w:rPr>
        <w:t>[ (</w:t>
      </w:r>
      <w:r>
        <w:rPr>
          <w:rtl w:val="true"/>
        </w:rPr>
        <w:t xml:space="preserve">مسألة </w:t>
      </w:r>
      <w:r>
        <w:rPr/>
        <w:t>19</w:t>
      </w:r>
      <w:r>
        <w:rPr>
          <w:rtl w:val="true"/>
        </w:rPr>
        <w:t xml:space="preserve">): </w:t>
      </w:r>
      <w:r>
        <w:rPr>
          <w:rtl w:val="true"/>
        </w:rPr>
        <w:t>لو کان ابتداء سفره معصیة فنوی الصوم</w:t>
      </w:r>
      <w:r>
        <w:rPr>
          <w:rtl w:val="true"/>
        </w:rPr>
        <w:t>]</w:t>
      </w:r>
      <w:bookmarkEnd w:id="2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ابتداء سفره معصیة فنوی الصوم، ثمّ عدل إلی الطاعة فإن کان قبل الزوال وجب الإفطار </w:t>
      </w:r>
      <w:r>
        <w:rPr>
          <w:rStyle w:val="FootnoteAnchor"/>
          <w:rtl w:val="true"/>
        </w:rPr>
        <w:footnoteReference w:id="672"/>
      </w:r>
      <w:r>
        <w:rPr>
          <w:rFonts w:ascii="IRNazanin" w:hAnsi="IRNazanin" w:eastAsia="IRNazanin"/>
          <w:color w:val="111111"/>
          <w:sz w:val="28"/>
          <w:sz w:val="28"/>
          <w:szCs w:val="28"/>
          <w:rtl w:val="true"/>
          <w:lang w:bidi="fa-IR"/>
        </w:rPr>
        <w:t>و إن کان بعده لا یبعد الصحّة، لکن الأحوط الإتمام ثمّ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طاعة فی الابتداء ثمّ عدل إلی المعصیة فی الأثناء فإن کان قبل الزوال و لم یتناول شیئاً نوی الصوم و صحّ منه </w:t>
      </w:r>
      <w:r>
        <w:rPr>
          <w:rStyle w:val="FootnoteAnchor"/>
          <w:rtl w:val="true"/>
        </w:rPr>
        <w:footnoteReference w:id="673"/>
      </w:r>
      <w:r>
        <w:rPr>
          <w:rFonts w:ascii="IRNazanin" w:hAnsi="IRNazanin" w:eastAsia="IRNazanin"/>
          <w:color w:val="111111"/>
          <w:sz w:val="28"/>
          <w:sz w:val="28"/>
          <w:szCs w:val="28"/>
          <w:rtl w:val="true"/>
          <w:lang w:bidi="fa-IR"/>
        </w:rPr>
        <w:t>، و إن کان بعد تناول المفطر أو بعد الزوال لم یجب علیه الصوم</w:t>
      </w:r>
      <w:r>
        <w:rPr>
          <w:rFonts w:eastAsia="IRNazanin" w:cs="IRNazanin"/>
          <w:color w:val="111111"/>
          <w:sz w:val="28"/>
          <w:szCs w:val="28"/>
          <w:rtl w:val="true"/>
          <w:lang w:bidi="fa-IR"/>
        </w:rPr>
        <w:t>.</w:t>
      </w:r>
    </w:p>
    <w:p>
      <w:pPr>
        <w:pStyle w:val="Heading6"/>
        <w:numPr>
          <w:ilvl w:val="5"/>
          <w:numId w:val="1"/>
        </w:numPr>
        <w:rPr/>
      </w:pPr>
      <w:bookmarkStart w:id="2325" w:name="__RefHeading___Toc2567106_3650668749"/>
      <w:bookmarkStart w:id="2326" w:name="_Toc1062"/>
      <w:bookmarkEnd w:id="2325"/>
      <w:r>
        <w:rPr>
          <w:rtl w:val="true"/>
        </w:rPr>
        <w:t>[ (</w:t>
      </w:r>
      <w:r>
        <w:rPr>
          <w:rtl w:val="true"/>
        </w:rPr>
        <w:t xml:space="preserve">مسألة </w:t>
      </w:r>
      <w:r>
        <w:rPr/>
        <w:t>20</w:t>
      </w:r>
      <w:r>
        <w:rPr>
          <w:rtl w:val="true"/>
        </w:rPr>
        <w:t xml:space="preserve">): </w:t>
      </w:r>
      <w:r>
        <w:rPr>
          <w:rtl w:val="true"/>
        </w:rPr>
        <w:t>الراجع من سفر المعصیة إن کان بعد التوبة</w:t>
      </w:r>
      <w:r>
        <w:rPr>
          <w:rtl w:val="true"/>
        </w:rPr>
        <w:t>]</w:t>
      </w:r>
      <w:bookmarkEnd w:id="232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الراجع من سفر المعصیة إن کان بعد التوبة </w:t>
      </w:r>
      <w:r>
        <w:rPr>
          <w:rStyle w:val="FootnoteAnchor"/>
          <w:rtl w:val="true"/>
        </w:rPr>
        <w:footnoteReference w:id="674"/>
      </w:r>
      <w:r>
        <w:rPr>
          <w:rFonts w:ascii="IRNazanin" w:hAnsi="IRNazanin" w:eastAsia="IRNazanin"/>
          <w:color w:val="111111"/>
          <w:sz w:val="28"/>
          <w:sz w:val="28"/>
          <w:szCs w:val="28"/>
          <w:rtl w:val="true"/>
          <w:lang w:bidi="fa-IR"/>
        </w:rPr>
        <w:t>یقصّر، و إن کان مع عدم التوبة فلا یبعد وجوب التمام علیه؛ لأنّ العود یعدّ جزءً من سفر المعصیة و الأحوط الجمع</w:t>
      </w:r>
      <w:r>
        <w:rPr>
          <w:rFonts w:eastAsia="IRNazanin" w:cs="IRNazanin"/>
          <w:color w:val="111111"/>
          <w:sz w:val="28"/>
          <w:szCs w:val="28"/>
          <w:rtl w:val="true"/>
          <w:lang w:bidi="fa-IR"/>
        </w:rPr>
        <w:t>.</w:t>
      </w:r>
      <w:bookmarkStart w:id="2327" w:name="pg1809_19101"/>
    </w:p>
    <w:p>
      <w:pPr>
        <w:pStyle w:val="BookText"/>
        <w:rPr/>
      </w:pPr>
      <w:bookmarkEnd w:id="2327"/>
      <w:r>
        <w:rPr>
          <w:rFonts w:ascii="IRNazanin" w:hAnsi="IRNazanin" w:eastAsia="IRNazanin"/>
          <w:color w:val="111111"/>
          <w:sz w:val="28"/>
          <w:sz w:val="28"/>
          <w:szCs w:val="28"/>
          <w:rtl w:val="true"/>
          <w:lang w:bidi="fa-IR"/>
        </w:rPr>
        <w:t>کان للقوت یقصّر، و کذا ما کان للتجارة بالنسبة إلی الإفطار، و أمّا بالنسبة إلی الصلاة ففیه إشکال و الأحوط الجمع بین القصر و التمام، و لا یلحق به السفر بقصد مجرّد التنزّه فلا یوجب التمام</w:t>
      </w:r>
      <w:r>
        <w:rPr>
          <w:rFonts w:eastAsia="IRNazanin" w:cs="IRNazanin"/>
          <w:color w:val="111111"/>
          <w:sz w:val="28"/>
          <w:szCs w:val="28"/>
          <w:rtl w:val="true"/>
          <w:lang w:bidi="fa-IR"/>
        </w:rPr>
        <w:t>.</w:t>
      </w:r>
    </w:p>
    <w:p>
      <w:pPr>
        <w:pStyle w:val="Heading5"/>
        <w:numPr>
          <w:ilvl w:val="4"/>
          <w:numId w:val="1"/>
        </w:numPr>
        <w:rPr/>
      </w:pPr>
      <w:bookmarkStart w:id="2328" w:name="__RefHeading___Toc2567108_3650668749"/>
      <w:bookmarkStart w:id="2329" w:name="_Toc1063"/>
      <w:bookmarkEnd w:id="2328"/>
      <w:r>
        <w:rPr>
          <w:rtl w:val="true"/>
        </w:rPr>
        <w:t>[</w:t>
      </w:r>
      <w:r>
        <w:rPr>
          <w:rtl w:val="true"/>
        </w:rPr>
        <w:t>سادسها</w:t>
      </w:r>
      <w:r>
        <w:rPr>
          <w:rtl w:val="true"/>
        </w:rPr>
        <w:t xml:space="preserve">: </w:t>
      </w:r>
      <w:r>
        <w:rPr>
          <w:rtl w:val="true"/>
        </w:rPr>
        <w:t>أن لا یکون کبعض أهل البوادی</w:t>
      </w:r>
      <w:r>
        <w:rPr>
          <w:rtl w:val="true"/>
        </w:rPr>
        <w:t>]</w:t>
      </w:r>
      <w:bookmarkEnd w:id="2329"/>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کبعض أهل البوادی </w:t>
      </w:r>
      <w:r>
        <w:rPr>
          <w:rStyle w:val="FootnoteAnchor"/>
          <w:rtl w:val="true"/>
        </w:rPr>
        <w:footnoteReference w:id="675"/>
      </w:r>
      <w:r>
        <w:rPr>
          <w:rFonts w:ascii="IRNazanin" w:hAnsi="IRNazanin" w:eastAsia="IRNazanin"/>
          <w:color w:val="111111"/>
          <w:sz w:val="28"/>
          <w:sz w:val="28"/>
          <w:szCs w:val="28"/>
          <w:rtl w:val="true"/>
          <w:lang w:bidi="fa-IR"/>
        </w:rPr>
        <w:t>الذین یدورون فی البراری و ینزلون فی محلّ الماء و العشب و الکلأ و لم یتّخذوا مقرّاً معیّناً، فیجب علیٰ أمثال هؤلاء التمام فی سیرهم المخصوص؛ لأنّ بیوتهم معهم فلا یصدق علیهم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سافروا لمقصد آخر من حجّ أو زیارة و نحوهما قصّروا کغیرهم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سار أحدهم لاختیار منزل مخصوص أو لطلب محلّ الماء أو العشب أو الکلإ و کان یبلغ مسافة ففی وجوب القصر أو التمام علیه إشکال فلا یترک الاحتیاط بالجمع</w:t>
      </w:r>
      <w:r>
        <w:rPr>
          <w:rFonts w:eastAsia="IRNazanin" w:cs="IRNazanin"/>
          <w:color w:val="111111"/>
          <w:sz w:val="28"/>
          <w:szCs w:val="28"/>
          <w:rtl w:val="true"/>
          <w:lang w:bidi="fa-IR"/>
        </w:rPr>
        <w:t>.</w:t>
      </w:r>
    </w:p>
    <w:p>
      <w:pPr>
        <w:pStyle w:val="Heading5"/>
        <w:numPr>
          <w:ilvl w:val="4"/>
          <w:numId w:val="1"/>
        </w:numPr>
        <w:rPr/>
      </w:pPr>
      <w:bookmarkStart w:id="2330" w:name="__RefHeading___Toc2567110_3650668749"/>
      <w:bookmarkStart w:id="2331" w:name="_Toc1064"/>
      <w:bookmarkEnd w:id="2330"/>
      <w:r>
        <w:rPr>
          <w:rtl w:val="true"/>
        </w:rPr>
        <w:t>[</w:t>
      </w:r>
      <w:r>
        <w:rPr>
          <w:rtl w:val="true"/>
        </w:rPr>
        <w:t>سابعها</w:t>
      </w:r>
      <w:r>
        <w:rPr>
          <w:rtl w:val="true"/>
        </w:rPr>
        <w:t xml:space="preserve">: </w:t>
      </w:r>
      <w:r>
        <w:rPr>
          <w:rtl w:val="true"/>
        </w:rPr>
        <w:t>أن لا یتّخذ السفر عملًا له</w:t>
      </w:r>
      <w:r>
        <w:rPr>
          <w:rtl w:val="true"/>
        </w:rPr>
        <w:t>]</w:t>
      </w:r>
      <w:bookmarkEnd w:id="2331"/>
    </w:p>
    <w:p>
      <w:pPr>
        <w:pStyle w:val="Heading6"/>
        <w:numPr>
          <w:ilvl w:val="5"/>
          <w:numId w:val="1"/>
        </w:numPr>
        <w:rPr/>
      </w:pPr>
      <w:bookmarkStart w:id="2332" w:name="__RefHeading___Toc2567112_3650668749"/>
      <w:bookmarkStart w:id="2333" w:name="_Toc1065"/>
      <w:bookmarkEnd w:id="2332"/>
      <w:r>
        <w:rPr>
          <w:rtl w:val="true"/>
        </w:rPr>
        <w:t>اشارة</w:t>
      </w:r>
      <w:bookmarkEnd w:id="2333"/>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یتّخذ السفر عملًا له کالمکاری و الملّاح و غیرهما من أصحاب السفن و الساعی و نحوهم ممّن عمله ذلک، فإنّ هؤلاء یتمّون الصلاة فی سفرهم الذی هو عمل لهم، و إن استعملوه لأنفسهم لا لغیرهم کحمل المکاری مثلًا متاعه و أهله من مکان إلیٰ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یقصّرون فی السفر الذی لیس عملًا لهم کما لو فارق الملّاح مثلًا سفینته و سافر للزیارة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المدار علیٰ صدق اتّخاذ السفر عملًا و شغلًا له، و یتحقّق ذلک بالعزم علیٰ ذلک مع الاشتغال بالسفر مقداراً معتدّاً به من الزمان، و لو کان فی سفرة واحدة </w:t>
      </w:r>
      <w:r>
        <w:rPr>
          <w:rStyle w:val="FootnoteAnchor"/>
          <w:rtl w:val="true"/>
        </w:rPr>
        <w:footnoteReference w:id="676"/>
      </w:r>
      <w:r>
        <w:rPr>
          <w:rFonts w:ascii="IRNazanin" w:hAnsi="IRNazanin" w:eastAsia="IRNazanin"/>
          <w:color w:val="111111"/>
          <w:sz w:val="28"/>
          <w:sz w:val="28"/>
          <w:szCs w:val="28"/>
          <w:rtl w:val="true"/>
          <w:lang w:bidi="fa-IR"/>
        </w:rPr>
        <w:t>لطولها و تکرّر ذلک منه من مکان غیر بلده إلیٰ مکان آخر فلا یعتبر فی تحقّق ذلک تعدّد السفر ثلاث مرّات أو مرّتین، نعم ربّما لا یتحقّق إلّا بالتعدّد فیما إذا کان تلبّسه و اشتغاله بالسفر فی أوّل الأمر فی زمان قصیر فیحتاج فی تحقّقه إلی التکرّر، و الظاهر کفایة سفرتین فیتمّ فی الثانیة و إن کان الأحوط فیها الجمع و تعیّن التمام فی الثالثة</w:t>
      </w:r>
      <w:r>
        <w:rPr>
          <w:rFonts w:eastAsia="IRNazanin" w:cs="IRNazanin"/>
          <w:color w:val="111111"/>
          <w:sz w:val="28"/>
          <w:szCs w:val="28"/>
          <w:rtl w:val="true"/>
          <w:lang w:bidi="fa-IR"/>
        </w:rPr>
        <w:t>.</w:t>
      </w:r>
    </w:p>
    <w:p>
      <w:pPr>
        <w:pStyle w:val="Heading6"/>
        <w:numPr>
          <w:ilvl w:val="5"/>
          <w:numId w:val="1"/>
        </w:numPr>
        <w:rPr/>
      </w:pPr>
      <w:bookmarkStart w:id="2334" w:name="__RefHeading___Toc2567114_3650668749"/>
      <w:bookmarkStart w:id="2335" w:name="_Toc1066"/>
      <w:bookmarkEnd w:id="2334"/>
      <w:r>
        <w:rPr>
          <w:rtl w:val="true"/>
        </w:rPr>
        <w:t>[ (</w:t>
      </w:r>
      <w:r>
        <w:rPr>
          <w:rtl w:val="true"/>
        </w:rPr>
        <w:t xml:space="preserve">مسألة </w:t>
      </w:r>
      <w:r>
        <w:rPr/>
        <w:t>22</w:t>
      </w:r>
      <w:r>
        <w:rPr>
          <w:rtl w:val="true"/>
        </w:rPr>
        <w:t xml:space="preserve">): </w:t>
      </w:r>
      <w:r>
        <w:rPr>
          <w:rtl w:val="true"/>
        </w:rPr>
        <w:t>من کان شغله المکاراة فی الصیف دون الشتاء أو بالعکس</w:t>
      </w:r>
      <w:r>
        <w:rPr>
          <w:rtl w:val="true"/>
        </w:rPr>
        <w:t>]</w:t>
      </w:r>
      <w:bookmarkEnd w:id="233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شغله المکاراة فی الصیف دون الشتاء أو بالعکس الظاهر أنّه یجب علیه التمام و إن کان الأحوط الجمع، و أمّا مثل الحملداریّة الذین یتشاغلون بالسفر فی</w:t>
      </w:r>
      <w:bookmarkStart w:id="2336" w:name="pg1809_19103"/>
    </w:p>
    <w:p>
      <w:pPr>
        <w:pStyle w:val="BookText"/>
        <w:rPr/>
      </w:pPr>
      <w:bookmarkEnd w:id="2336"/>
      <w:r>
        <w:rPr>
          <w:rFonts w:ascii="IRNazanin" w:hAnsi="IRNazanin" w:eastAsia="IRNazanin"/>
          <w:color w:val="111111"/>
          <w:sz w:val="28"/>
          <w:sz w:val="28"/>
          <w:szCs w:val="28"/>
          <w:rtl w:val="true"/>
          <w:lang w:bidi="fa-IR"/>
        </w:rPr>
        <w:t>خصوص أشهر الحجّ فالظاهر وجوب القصر علیهم</w:t>
      </w:r>
      <w:r>
        <w:rPr>
          <w:rFonts w:eastAsia="IRNazanin" w:cs="IRNazanin"/>
          <w:color w:val="111111"/>
          <w:sz w:val="28"/>
          <w:szCs w:val="28"/>
          <w:rtl w:val="true"/>
          <w:lang w:bidi="fa-IR"/>
        </w:rPr>
        <w:t>.</w:t>
      </w:r>
    </w:p>
    <w:p>
      <w:pPr>
        <w:pStyle w:val="Heading6"/>
        <w:numPr>
          <w:ilvl w:val="5"/>
          <w:numId w:val="1"/>
        </w:numPr>
        <w:rPr/>
      </w:pPr>
      <w:bookmarkStart w:id="2337" w:name="__RefHeading___Toc2567116_3650668749"/>
      <w:bookmarkStart w:id="2338" w:name="_Toc1067"/>
      <w:bookmarkEnd w:id="2337"/>
      <w:r>
        <w:rPr>
          <w:rtl w:val="true"/>
        </w:rPr>
        <w:t>[ (</w:t>
      </w:r>
      <w:r>
        <w:rPr>
          <w:rtl w:val="true"/>
        </w:rPr>
        <w:t xml:space="preserve">مسألة </w:t>
      </w:r>
      <w:r>
        <w:rPr/>
        <w:t>23</w:t>
      </w:r>
      <w:r>
        <w:rPr>
          <w:rtl w:val="true"/>
        </w:rPr>
        <w:t xml:space="preserve">): </w:t>
      </w:r>
      <w:r>
        <w:rPr>
          <w:rtl w:val="true"/>
        </w:rPr>
        <w:t>یعتبر فی استمرار من عمله السفر علی التمام</w:t>
      </w:r>
      <w:r>
        <w:rPr>
          <w:rtl w:val="true"/>
        </w:rPr>
        <w:t>]</w:t>
      </w:r>
      <w:bookmarkEnd w:id="2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استمرار من عمله السفر علی التمام، أن لا یقیم فی بلده عشرة أیّام و لو غیر منویّة، أو فی غیره عشرة إذا کانت منویّة </w:t>
      </w:r>
      <w:r>
        <w:rPr>
          <w:rStyle w:val="FootnoteAnchor"/>
          <w:rtl w:val="true"/>
        </w:rPr>
        <w:footnoteReference w:id="677"/>
      </w:r>
      <w:r>
        <w:rPr>
          <w:rFonts w:ascii="IRNazanin" w:hAnsi="IRNazanin" w:eastAsia="IRNazanin"/>
          <w:color w:val="111111"/>
          <w:sz w:val="28"/>
          <w:sz w:val="28"/>
          <w:szCs w:val="28"/>
          <w:rtl w:val="true"/>
          <w:lang w:bidi="fa-IR"/>
        </w:rPr>
        <w:t>، و إلّا انقطع حکم عملیّة السفر و عاد إلی القصر، لکن فی السفرة الأُولیٰ خاصّة دون الثانیة، فضلًا عن الثالثة، و إن کان الأحوط فیهما الجمع</w:t>
      </w:r>
      <w:r>
        <w:rPr>
          <w:rFonts w:eastAsia="IRNazanin" w:cs="IRNazanin"/>
          <w:color w:val="111111"/>
          <w:sz w:val="28"/>
          <w:szCs w:val="28"/>
          <w:rtl w:val="true"/>
          <w:lang w:bidi="fa-IR"/>
        </w:rPr>
        <w:t>.</w:t>
      </w:r>
    </w:p>
    <w:p>
      <w:pPr>
        <w:pStyle w:val="Heading6"/>
        <w:numPr>
          <w:ilvl w:val="5"/>
          <w:numId w:val="1"/>
        </w:numPr>
        <w:rPr/>
      </w:pPr>
      <w:bookmarkStart w:id="2339" w:name="__RefHeading___Toc2567118_3650668749"/>
      <w:bookmarkStart w:id="2340" w:name="_Toc1068"/>
      <w:bookmarkEnd w:id="2339"/>
      <w:r>
        <w:rPr>
          <w:rtl w:val="true"/>
        </w:rPr>
        <w:t>[ (</w:t>
      </w:r>
      <w:r>
        <w:rPr>
          <w:rtl w:val="true"/>
        </w:rPr>
        <w:t xml:space="preserve">مسألة </w:t>
      </w:r>
      <w:r>
        <w:rPr/>
        <w:t>24</w:t>
      </w:r>
      <w:r>
        <w:rPr>
          <w:rtl w:val="true"/>
        </w:rPr>
        <w:t xml:space="preserve">): </w:t>
      </w:r>
      <w:r>
        <w:rPr>
          <w:rtl w:val="true"/>
        </w:rPr>
        <w:t>إذا لم یکن شغله السفر لکن عرض له عارض فسافر أسفاراً عدیدة یقصّر</w:t>
      </w:r>
      <w:r>
        <w:rPr>
          <w:rtl w:val="true"/>
        </w:rPr>
        <w:t>]</w:t>
      </w:r>
      <w:bookmarkEnd w:id="2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شغله السفر لکن عرض له عارض فسافر أسفاراً عدیدة یقصّر، کما لو کان له شغل فی بلد و قد احتاج إلی التردّد إلیه مرّات عدیدة، بل و کذا فیما إذا کان من منزله إلی الحائر الحسینی مثلًا مسافة و نذر أو بنیٰ علیٰ أن یزوره کلّ لیلة جمعة إلیٰ مدّة، فإنّ الظاهر أنّه لیس ممّن یجب علیه التمام، نعم الظاهر أنّه منه السائح فی الأرض الذی لم یتّخذ وطناً، و لو ادخل ذلک فی العنوان السابق أعنی من کان بیته معه لم یکن بعیداً، و کیف کان یجب علیه التمام</w:t>
      </w:r>
      <w:r>
        <w:rPr>
          <w:rFonts w:eastAsia="IRNazanin" w:cs="IRNazanin"/>
          <w:color w:val="111111"/>
          <w:sz w:val="28"/>
          <w:szCs w:val="28"/>
          <w:rtl w:val="true"/>
          <w:lang w:bidi="fa-IR"/>
        </w:rPr>
        <w:t>.</w:t>
      </w:r>
    </w:p>
    <w:p>
      <w:pPr>
        <w:pStyle w:val="Heading6"/>
        <w:numPr>
          <w:ilvl w:val="5"/>
          <w:numId w:val="1"/>
        </w:numPr>
        <w:rPr/>
      </w:pPr>
      <w:bookmarkStart w:id="2341" w:name="__RefHeading___Toc2567120_3650668749"/>
      <w:bookmarkStart w:id="2342" w:name="_Toc1069"/>
      <w:bookmarkEnd w:id="2341"/>
      <w:r>
        <w:rPr>
          <w:rtl w:val="true"/>
        </w:rPr>
        <w:t>[ (</w:t>
      </w:r>
      <w:r>
        <w:rPr>
          <w:rtl w:val="true"/>
        </w:rPr>
        <w:t xml:space="preserve">مسألة </w:t>
      </w:r>
      <w:r>
        <w:rPr/>
        <w:t>25</w:t>
      </w:r>
      <w:r>
        <w:rPr>
          <w:rtl w:val="true"/>
        </w:rPr>
        <w:t xml:space="preserve">): </w:t>
      </w:r>
      <w:r>
        <w:rPr>
          <w:rtl w:val="true"/>
        </w:rPr>
        <w:t>و ممّن شغله السفر الراعی الذی لیس له مکان مخصوص</w:t>
      </w:r>
      <w:r>
        <w:rPr>
          <w:rtl w:val="true"/>
        </w:rPr>
        <w:t>]</w:t>
      </w:r>
      <w:bookmarkEnd w:id="2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شغله السفر الراعی الذی لیس له مکان مخصوص </w:t>
      </w:r>
      <w:r>
        <w:rPr>
          <w:rStyle w:val="FootnoteAnchor"/>
          <w:rtl w:val="true"/>
        </w:rPr>
        <w:footnoteReference w:id="678"/>
      </w:r>
      <w:r>
        <w:rPr>
          <w:rFonts w:ascii="IRNazanin" w:hAnsi="IRNazanin" w:eastAsia="IRNazanin"/>
          <w:color w:val="111111"/>
          <w:sz w:val="28"/>
          <w:sz w:val="28"/>
          <w:szCs w:val="28"/>
          <w:rtl w:val="true"/>
          <w:lang w:bidi="fa-IR"/>
        </w:rPr>
        <w:t>و التاجر الذی یدور فی تجارته، فیجب علیهما التمام</w:t>
      </w:r>
      <w:r>
        <w:rPr>
          <w:rFonts w:eastAsia="IRNazanin" w:cs="IRNazanin"/>
          <w:color w:val="111111"/>
          <w:sz w:val="28"/>
          <w:szCs w:val="28"/>
          <w:rtl w:val="true"/>
          <w:lang w:bidi="fa-IR"/>
        </w:rPr>
        <w:t>.</w:t>
      </w:r>
    </w:p>
    <w:p>
      <w:pPr>
        <w:pStyle w:val="Heading5"/>
        <w:numPr>
          <w:ilvl w:val="4"/>
          <w:numId w:val="1"/>
        </w:numPr>
        <w:rPr/>
      </w:pPr>
      <w:bookmarkStart w:id="2343" w:name="__RefHeading___Toc2567122_3650668749"/>
      <w:bookmarkStart w:id="2344" w:name="_Toc1070"/>
      <w:bookmarkEnd w:id="2343"/>
      <w:r>
        <w:rPr>
          <w:rtl w:val="true"/>
        </w:rPr>
        <w:t>[</w:t>
      </w:r>
      <w:r>
        <w:rPr>
          <w:rtl w:val="true"/>
        </w:rPr>
        <w:t>ثامنها</w:t>
      </w:r>
      <w:r>
        <w:rPr>
          <w:rtl w:val="true"/>
        </w:rPr>
        <w:t xml:space="preserve">: </w:t>
      </w:r>
      <w:r>
        <w:rPr>
          <w:rtl w:val="true"/>
        </w:rPr>
        <w:t>أن یضرب فی الأرض حتّی یصل إلیٰ محلّ الترخّص فلا یقصّر قبله</w:t>
      </w:r>
      <w:r>
        <w:rPr>
          <w:rtl w:val="true"/>
        </w:rPr>
        <w:t>]</w:t>
      </w:r>
      <w:bookmarkEnd w:id="2344"/>
    </w:p>
    <w:p>
      <w:pPr>
        <w:pStyle w:val="Heading6"/>
        <w:numPr>
          <w:ilvl w:val="5"/>
          <w:numId w:val="1"/>
        </w:numPr>
        <w:rPr/>
      </w:pPr>
      <w:bookmarkStart w:id="2345" w:name="__RefHeading___Toc2567124_3650668749"/>
      <w:bookmarkStart w:id="2346" w:name="_Toc1071"/>
      <w:bookmarkEnd w:id="2345"/>
      <w:r>
        <w:rPr>
          <w:rtl w:val="true"/>
        </w:rPr>
        <w:t>اشارة</w:t>
      </w:r>
      <w:bookmarkEnd w:id="2346"/>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یضرب فی الأرض حتّی یصل إلیٰ محلّ الترخّص فلا یقصّر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الذی یخفیٰ علیه فیه الأذان أو یتواریٰ عنه فیه صور الجدران و أشکالها لا أشباحها، و لا یترک الاحتیاط فی مراعاة حصولهما معاً</w:t>
      </w:r>
      <w:r>
        <w:rPr>
          <w:rFonts w:eastAsia="IRNazanin" w:cs="IRNazanin"/>
          <w:color w:val="111111"/>
          <w:sz w:val="28"/>
          <w:szCs w:val="28"/>
          <w:rtl w:val="true"/>
          <w:lang w:bidi="fa-IR"/>
        </w:rPr>
        <w:t>.</w:t>
      </w:r>
    </w:p>
    <w:p>
      <w:pPr>
        <w:pStyle w:val="Heading6"/>
        <w:numPr>
          <w:ilvl w:val="5"/>
          <w:numId w:val="1"/>
        </w:numPr>
        <w:rPr/>
      </w:pPr>
      <w:bookmarkStart w:id="2347" w:name="__RefHeading___Toc2567126_3650668749"/>
      <w:bookmarkStart w:id="2348" w:name="_Toc1072"/>
      <w:bookmarkEnd w:id="2347"/>
      <w:r>
        <w:rPr>
          <w:rtl w:val="true"/>
        </w:rPr>
        <w:t>[ (</w:t>
      </w:r>
      <w:r>
        <w:rPr>
          <w:rtl w:val="true"/>
        </w:rPr>
        <w:t xml:space="preserve">مسألة </w:t>
      </w:r>
      <w:r>
        <w:rPr/>
        <w:t>26</w:t>
      </w:r>
      <w:r>
        <w:rPr>
          <w:rtl w:val="true"/>
        </w:rPr>
        <w:t xml:space="preserve">): </w:t>
      </w:r>
      <w:r>
        <w:rPr>
          <w:rtl w:val="true"/>
        </w:rPr>
        <w:t>کما یعتبر فی التقصیر الوصول إلیٰ محلّ الترخّص إذا سافر من بلده</w:t>
      </w:r>
      <w:r>
        <w:rPr>
          <w:rtl w:val="true"/>
        </w:rPr>
        <w:t>]</w:t>
      </w:r>
      <w:bookmarkEnd w:id="2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یعتبر فی التقصیر الوصول إلیٰ محلّ الترخّص إذا سافر من بلده کذلک یعتبر فی السفر من محلّ الإقامة بل و من محلّ التردّد ثلاثین یوماً، و إن کان الأولیٰ فیهما مراعاة الاحتیاط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49" w:name="__RefHeading___Toc2567128_3650668749"/>
      <w:bookmarkStart w:id="2350" w:name="_Toc1073"/>
      <w:bookmarkEnd w:id="2349"/>
      <w:r>
        <w:rPr>
          <w:rtl w:val="true"/>
        </w:rPr>
        <w:t>[ (</w:t>
      </w:r>
      <w:r>
        <w:rPr>
          <w:rtl w:val="true"/>
        </w:rPr>
        <w:t xml:space="preserve">مسألة </w:t>
      </w:r>
      <w:r>
        <w:rPr/>
        <w:t>27</w:t>
      </w:r>
      <w:r>
        <w:rPr>
          <w:rtl w:val="true"/>
        </w:rPr>
        <w:t xml:space="preserve">): </w:t>
      </w:r>
      <w:r>
        <w:rPr>
          <w:rtl w:val="true"/>
        </w:rPr>
        <w:t>کما أنّه من شروط القصر فی ابتداء السفر الوصول إلیٰ حدّ الترخّص</w:t>
      </w:r>
      <w:r>
        <w:rPr>
          <w:rtl w:val="true"/>
        </w:rPr>
        <w:t>]</w:t>
      </w:r>
      <w:bookmarkEnd w:id="235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من شروط القصر فی ابتداء السفر الوصول إلیٰ حدّ الترخّص، کذلک عند العود ینقطع حکم السفر بالوصول إلیه فیجب </w:t>
      </w:r>
      <w:r>
        <w:rPr>
          <w:rStyle w:val="FootnoteAnchor"/>
          <w:rtl w:val="true"/>
        </w:rPr>
        <w:footnoteReference w:id="680"/>
      </w:r>
      <w:r>
        <w:rPr>
          <w:rFonts w:ascii="IRNazanin" w:hAnsi="IRNazanin" w:eastAsia="IRNazanin"/>
          <w:color w:val="111111"/>
          <w:sz w:val="28"/>
          <w:sz w:val="28"/>
          <w:szCs w:val="28"/>
          <w:rtl w:val="true"/>
          <w:lang w:bidi="fa-IR"/>
        </w:rPr>
        <w:t>علیه التمام، و إن کان الأحوط</w:t>
      </w:r>
      <w:bookmarkStart w:id="2351" w:name="pg1809_19105"/>
    </w:p>
    <w:p>
      <w:pPr>
        <w:pStyle w:val="BookText"/>
        <w:rPr/>
      </w:pPr>
      <w:bookmarkEnd w:id="2351"/>
      <w:r>
        <w:rPr>
          <w:rFonts w:ascii="IRNazanin" w:hAnsi="IRNazanin" w:eastAsia="IRNazanin"/>
          <w:color w:val="111111"/>
          <w:sz w:val="28"/>
          <w:sz w:val="28"/>
          <w:szCs w:val="28"/>
          <w:rtl w:val="true"/>
          <w:lang w:bidi="fa-IR"/>
        </w:rPr>
        <w:t>تأخیر الصلاة إلی الدخول فی منزله أو الجمع بین القصر و التمام إذا صلّیٰ بعد الوصول إلی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المحلّ الذی عزم علی الإقامة فیه فهل یعتبر فیه حدّ الترخّص، فینقطع حکم السفر بالوصول إلیه أو لا؟ فیه إشکال، فلا یترک الاحتیاط إمّا بتأخیر الصلاة إلیه أو الجمع</w:t>
      </w:r>
      <w:r>
        <w:rPr>
          <w:rFonts w:eastAsia="IRNazanin" w:cs="IRNazanin"/>
          <w:color w:val="111111"/>
          <w:sz w:val="28"/>
          <w:szCs w:val="28"/>
          <w:rtl w:val="true"/>
          <w:lang w:bidi="fa-IR"/>
        </w:rPr>
        <w:t>.</w:t>
      </w:r>
    </w:p>
    <w:p>
      <w:pPr>
        <w:pStyle w:val="Heading6"/>
        <w:numPr>
          <w:ilvl w:val="5"/>
          <w:numId w:val="1"/>
        </w:numPr>
        <w:rPr/>
      </w:pPr>
      <w:bookmarkStart w:id="2352" w:name="__RefHeading___Toc2567130_3650668749"/>
      <w:bookmarkStart w:id="2353" w:name="_Toc1074"/>
      <w:bookmarkEnd w:id="2352"/>
      <w:r>
        <w:rPr>
          <w:rtl w:val="true"/>
        </w:rPr>
        <w:t>[ (</w:t>
      </w:r>
      <w:r>
        <w:rPr>
          <w:rtl w:val="true"/>
        </w:rPr>
        <w:t xml:space="preserve">مسألة </w:t>
      </w:r>
      <w:r>
        <w:rPr/>
        <w:t>28</w:t>
      </w:r>
      <w:r>
        <w:rPr>
          <w:rtl w:val="true"/>
        </w:rPr>
        <w:t xml:space="preserve">): </w:t>
      </w:r>
      <w:r>
        <w:rPr>
          <w:rtl w:val="true"/>
        </w:rPr>
        <w:t>المدار فی عین الرائی و اذُن السامع و صوت المؤذّن</w:t>
      </w:r>
      <w:r>
        <w:rPr>
          <w:rtl w:val="true"/>
        </w:rPr>
        <w:t>]</w:t>
      </w:r>
      <w:bookmarkEnd w:id="2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فی عین الرائی و اذُن السامع و صوت المؤذّن و الهواء علی المتوسّط المعتدل</w:t>
      </w:r>
      <w:r>
        <w:rPr>
          <w:rFonts w:eastAsia="IRNazanin" w:cs="IRNazanin"/>
          <w:color w:val="111111"/>
          <w:sz w:val="28"/>
          <w:szCs w:val="28"/>
          <w:rtl w:val="true"/>
          <w:lang w:bidi="fa-IR"/>
        </w:rPr>
        <w:t>.</w:t>
      </w:r>
    </w:p>
    <w:p>
      <w:pPr>
        <w:pStyle w:val="Heading6"/>
        <w:numPr>
          <w:ilvl w:val="5"/>
          <w:numId w:val="1"/>
        </w:numPr>
        <w:rPr/>
      </w:pPr>
      <w:bookmarkStart w:id="2354" w:name="__RefHeading___Toc2567132_3650668749"/>
      <w:bookmarkStart w:id="2355" w:name="_Toc1075"/>
      <w:bookmarkEnd w:id="2354"/>
      <w:r>
        <w:rPr>
          <w:rtl w:val="true"/>
        </w:rPr>
        <w:t>[ (</w:t>
      </w:r>
      <w:r>
        <w:rPr>
          <w:rtl w:val="true"/>
        </w:rPr>
        <w:t xml:space="preserve">مسألة </w:t>
      </w:r>
      <w:r>
        <w:rPr/>
        <w:t>29</w:t>
      </w:r>
      <w:r>
        <w:rPr>
          <w:rtl w:val="true"/>
        </w:rPr>
        <w:t xml:space="preserve">): </w:t>
      </w:r>
      <w:r>
        <w:rPr>
          <w:rtl w:val="true"/>
        </w:rPr>
        <w:t>یکفی فی خفاء الأذان عدم تمیّز فصوله</w:t>
      </w:r>
      <w:r>
        <w:rPr>
          <w:rtl w:val="true"/>
        </w:rPr>
        <w:t>]</w:t>
      </w:r>
      <w:bookmarkEnd w:id="2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خفاء الأذان عدم تمیّز فصوله، و یحتمل أن یکون المعتبر خفاء أصل الصوت حتّی المتردّد بین کونه أذاناً أو غیره، أو خفاؤه بحیث لا یتمیّز </w:t>
      </w:r>
      <w:r>
        <w:rPr>
          <w:rStyle w:val="FootnoteAnchor"/>
          <w:rtl w:val="true"/>
        </w:rPr>
        <w:footnoteReference w:id="681"/>
      </w:r>
      <w:r>
        <w:rPr>
          <w:rFonts w:ascii="IRNazanin" w:hAnsi="IRNazanin" w:eastAsia="IRNazanin"/>
          <w:color w:val="111111"/>
          <w:sz w:val="28"/>
          <w:sz w:val="28"/>
          <w:szCs w:val="28"/>
          <w:rtl w:val="true"/>
          <w:lang w:bidi="fa-IR"/>
        </w:rPr>
        <w:t>بین کونه أذاناً أو غیره، فینبغی رعایة الاحتیاط فی جمیع الصور</w:t>
      </w:r>
      <w:r>
        <w:rPr>
          <w:rFonts w:eastAsia="IRNazanin" w:cs="IRNazanin"/>
          <w:color w:val="111111"/>
          <w:sz w:val="28"/>
          <w:szCs w:val="28"/>
          <w:rtl w:val="true"/>
          <w:lang w:bidi="fa-IR"/>
        </w:rPr>
        <w:t>.</w:t>
      </w:r>
    </w:p>
    <w:p>
      <w:pPr>
        <w:pStyle w:val="Heading6"/>
        <w:numPr>
          <w:ilvl w:val="5"/>
          <w:numId w:val="1"/>
        </w:numPr>
        <w:rPr/>
      </w:pPr>
      <w:bookmarkStart w:id="2356" w:name="__RefHeading___Toc2567134_3650668749"/>
      <w:bookmarkStart w:id="2357" w:name="_Toc1076"/>
      <w:bookmarkEnd w:id="2356"/>
      <w:r>
        <w:rPr>
          <w:rtl w:val="true"/>
        </w:rPr>
        <w:t>[ (</w:t>
      </w:r>
      <w:r>
        <w:rPr>
          <w:rtl w:val="true"/>
        </w:rPr>
        <w:t xml:space="preserve">مسألة </w:t>
      </w:r>
      <w:r>
        <w:rPr/>
        <w:t>30</w:t>
      </w:r>
      <w:r>
        <w:rPr>
          <w:rtl w:val="true"/>
        </w:rPr>
        <w:t xml:space="preserve">): </w:t>
      </w:r>
      <w:r>
        <w:rPr>
          <w:rtl w:val="true"/>
        </w:rPr>
        <w:t>إذا لم یکن هناک بیوت و لا جدران یعتبر التقدیر</w:t>
      </w:r>
      <w:r>
        <w:rPr>
          <w:rtl w:val="true"/>
        </w:rPr>
        <w:t>]</w:t>
      </w:r>
      <w:bookmarkEnd w:id="2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هناک بیوت و لا جدران یعتبر التقدیر، نعم فی بیوت الأعراب و نحوهم ممّن لا جدران لبیوتهم یکفی </w:t>
      </w:r>
      <w:r>
        <w:rPr>
          <w:rStyle w:val="FootnoteAnchor"/>
          <w:rtl w:val="true"/>
        </w:rPr>
        <w:footnoteReference w:id="682"/>
      </w:r>
      <w:r>
        <w:rPr>
          <w:rFonts w:ascii="IRNazanin" w:hAnsi="IRNazanin" w:eastAsia="IRNazanin"/>
          <w:color w:val="111111"/>
          <w:sz w:val="28"/>
          <w:sz w:val="28"/>
          <w:szCs w:val="28"/>
          <w:rtl w:val="true"/>
          <w:lang w:bidi="fa-IR"/>
        </w:rPr>
        <w:t>خفاؤها و لا یحتاج إلیٰ تقدیر الجدران</w:t>
      </w:r>
      <w:r>
        <w:rPr>
          <w:rFonts w:eastAsia="IRNazanin" w:cs="IRNazanin"/>
          <w:color w:val="111111"/>
          <w:sz w:val="28"/>
          <w:szCs w:val="28"/>
          <w:rtl w:val="true"/>
          <w:lang w:bidi="fa-IR"/>
        </w:rPr>
        <w:t>.</w:t>
      </w:r>
    </w:p>
    <w:p>
      <w:pPr>
        <w:pStyle w:val="Heading6"/>
        <w:numPr>
          <w:ilvl w:val="5"/>
          <w:numId w:val="1"/>
        </w:numPr>
        <w:rPr/>
      </w:pPr>
      <w:bookmarkStart w:id="2358" w:name="__RefHeading___Toc2567136_3650668749"/>
      <w:bookmarkStart w:id="2359" w:name="_Toc1077"/>
      <w:bookmarkEnd w:id="2358"/>
      <w:r>
        <w:rPr>
          <w:rtl w:val="true"/>
        </w:rPr>
        <w:t>[ (</w:t>
      </w:r>
      <w:r>
        <w:rPr>
          <w:rtl w:val="true"/>
        </w:rPr>
        <w:t xml:space="preserve">مسألة </w:t>
      </w:r>
      <w:r>
        <w:rPr/>
        <w:t>31</w:t>
      </w:r>
      <w:r>
        <w:rPr>
          <w:rtl w:val="true"/>
        </w:rPr>
        <w:t xml:space="preserve">): </w:t>
      </w:r>
      <w:r>
        <w:rPr>
          <w:rtl w:val="true"/>
        </w:rPr>
        <w:t>إذا شکّ فی البلوغ إلیٰ حدّ الترخّص بنیٰ علیٰ عدمه</w:t>
      </w:r>
      <w:r>
        <w:rPr>
          <w:rtl w:val="true"/>
        </w:rPr>
        <w:t>]</w:t>
      </w:r>
      <w:bookmarkEnd w:id="2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شکّ فی البلوغ إلیٰ حدّ الترخّص بنیٰ علیٰ عدمه </w:t>
      </w:r>
      <w:r>
        <w:rPr>
          <w:rStyle w:val="FootnoteAnchor"/>
          <w:rtl w:val="true"/>
        </w:rPr>
        <w:footnoteReference w:id="683"/>
      </w:r>
      <w:r>
        <w:rPr>
          <w:rFonts w:ascii="IRNazanin" w:hAnsi="IRNazanin" w:eastAsia="IRNazanin"/>
          <w:color w:val="111111"/>
          <w:sz w:val="28"/>
          <w:sz w:val="28"/>
          <w:szCs w:val="28"/>
          <w:rtl w:val="true"/>
          <w:lang w:bidi="fa-IR"/>
        </w:rPr>
        <w:t>، فیبقیٰ علی التمام فی الذهاب و علی القصر فی الإیاب</w:t>
      </w:r>
      <w:r>
        <w:rPr>
          <w:rFonts w:eastAsia="IRNazanin" w:cs="IRNazanin"/>
          <w:color w:val="111111"/>
          <w:sz w:val="28"/>
          <w:szCs w:val="28"/>
          <w:rtl w:val="true"/>
          <w:lang w:bidi="fa-IR"/>
        </w:rPr>
        <w:t>.</w:t>
      </w:r>
    </w:p>
    <w:p>
      <w:pPr>
        <w:pStyle w:val="Heading6"/>
        <w:numPr>
          <w:ilvl w:val="5"/>
          <w:numId w:val="1"/>
        </w:numPr>
        <w:rPr/>
      </w:pPr>
      <w:bookmarkStart w:id="2360" w:name="__RefHeading___Toc2567138_3650668749"/>
      <w:bookmarkStart w:id="2361" w:name="_Toc1078"/>
      <w:bookmarkEnd w:id="2360"/>
      <w:r>
        <w:rPr>
          <w:rtl w:val="true"/>
        </w:rPr>
        <w:t>[ (</w:t>
      </w:r>
      <w:r>
        <w:rPr>
          <w:rtl w:val="true"/>
        </w:rPr>
        <w:t xml:space="preserve">مسألة </w:t>
      </w:r>
      <w:r>
        <w:rPr/>
        <w:t>32</w:t>
      </w:r>
      <w:r>
        <w:rPr>
          <w:rtl w:val="true"/>
        </w:rPr>
        <w:t xml:space="preserve">): </w:t>
      </w:r>
      <w:r>
        <w:rPr>
          <w:rtl w:val="true"/>
        </w:rPr>
        <w:t>إذا کان فی السفینة و نحوها، فشرع فی الصلاة قبل حدّ الترخّص بنیّة التمام، ثمّ وصل إلیه فی الأثناء</w:t>
      </w:r>
      <w:r>
        <w:rPr>
          <w:rtl w:val="true"/>
        </w:rPr>
        <w:t>]</w:t>
      </w:r>
      <w:bookmarkEnd w:id="236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فی السفینة و نحوها، فشرع فی الصلاة قبل حدّ الترخّص بنیّة التمام، ثمّ وصل إلیه فی الأثناء، فإن کان قبل الدخول فی رکوع الرکعة الثالثة أتمّها قصراً و صحّت </w:t>
      </w:r>
      <w:r>
        <w:rPr>
          <w:rStyle w:val="FootnoteAnchor"/>
          <w:rtl w:val="true"/>
        </w:rPr>
        <w:footnoteReference w:id="684"/>
      </w:r>
      <w:r>
        <w:rPr>
          <w:rFonts w:ascii="IRNazanin" w:hAnsi="IRNazanin" w:eastAsia="IRNazanin"/>
          <w:color w:val="111111"/>
          <w:sz w:val="28"/>
          <w:sz w:val="28"/>
          <w:szCs w:val="28"/>
          <w:rtl w:val="true"/>
          <w:lang w:bidi="fa-IR"/>
        </w:rPr>
        <w:t>، و إن کان بعده ففیه إشکال، فلا یترک الاحتیاط بإتمامها تماماً ثمّ إعادتها قصراً، و لو کان فی حال العود و شرع فی الصلاة بنیّة القصر قبل الوصول إلی الحدّ ثمّ فی الأثناء وصل إلیه أتمّها تماماً</w:t>
      </w:r>
      <w:r>
        <w:rPr>
          <w:rFonts w:eastAsia="IRNazanin" w:cs="IRNazanin"/>
          <w:color w:val="111111"/>
          <w:sz w:val="28"/>
          <w:szCs w:val="28"/>
          <w:rtl w:val="true"/>
          <w:lang w:bidi="fa-IR"/>
        </w:rPr>
        <w:t>.</w:t>
      </w:r>
      <w:bookmarkStart w:id="2362" w:name="pg1809_19107"/>
    </w:p>
    <w:p>
      <w:pPr>
        <w:pStyle w:val="Heading4"/>
        <w:numPr>
          <w:ilvl w:val="3"/>
          <w:numId w:val="1"/>
        </w:numPr>
        <w:rPr/>
      </w:pPr>
      <w:bookmarkStart w:id="2363" w:name="__RefHeading___Toc2567140_3650668749"/>
      <w:bookmarkStart w:id="2364" w:name="_Toc1079"/>
      <w:bookmarkEnd w:id="2362"/>
      <w:bookmarkEnd w:id="2363"/>
      <w:r>
        <w:rPr>
          <w:rtl w:val="true"/>
        </w:rPr>
        <w:t>[</w:t>
      </w:r>
      <w:r>
        <w:rPr>
          <w:rtl w:val="true"/>
        </w:rPr>
        <w:t>القول فی قواطع السفر</w:t>
      </w:r>
      <w:r>
        <w:rPr>
          <w:rtl w:val="true"/>
        </w:rPr>
        <w:t>]</w:t>
      </w:r>
      <w:bookmarkEnd w:id="2364"/>
    </w:p>
    <w:p>
      <w:pPr>
        <w:pStyle w:val="Heading5"/>
        <w:numPr>
          <w:ilvl w:val="4"/>
          <w:numId w:val="1"/>
        </w:numPr>
        <w:rPr/>
      </w:pPr>
      <w:bookmarkStart w:id="2365" w:name="__RefHeading___Toc2567142_3650668749"/>
      <w:bookmarkStart w:id="2366" w:name="_Toc1080"/>
      <w:bookmarkEnd w:id="2365"/>
      <w:r>
        <w:rPr>
          <w:rtl w:val="true"/>
        </w:rPr>
        <w:t>اشارة</w:t>
      </w:r>
      <w:bookmarkEnd w:id="2366"/>
    </w:p>
    <w:p>
      <w:pPr>
        <w:pStyle w:val="BookText"/>
        <w:rPr/>
      </w:pPr>
      <w:r>
        <w:rPr>
          <w:rFonts w:ascii="IRNazanin" w:hAnsi="IRNazanin" w:eastAsia="IRNazanin"/>
          <w:color w:val="111111"/>
          <w:sz w:val="28"/>
          <w:sz w:val="28"/>
          <w:szCs w:val="28"/>
          <w:rtl w:val="true"/>
          <w:lang w:bidi="fa-IR"/>
        </w:rPr>
        <w:t>القول فی قواطع السفر و هی أُمور</w:t>
      </w:r>
      <w:r>
        <w:rPr>
          <w:rFonts w:eastAsia="IRNazanin" w:cs="IRNazanin"/>
          <w:color w:val="111111"/>
          <w:sz w:val="28"/>
          <w:szCs w:val="28"/>
          <w:rtl w:val="true"/>
          <w:lang w:bidi="fa-IR"/>
        </w:rPr>
        <w:t>:</w:t>
      </w:r>
    </w:p>
    <w:p>
      <w:pPr>
        <w:pStyle w:val="Heading5"/>
        <w:numPr>
          <w:ilvl w:val="4"/>
          <w:numId w:val="1"/>
        </w:numPr>
        <w:rPr/>
      </w:pPr>
      <w:bookmarkStart w:id="2367" w:name="__RefHeading___Toc2567144_3650668749"/>
      <w:bookmarkStart w:id="2368" w:name="_Toc1081"/>
      <w:bookmarkEnd w:id="2367"/>
      <w:r>
        <w:rPr>
          <w:rtl w:val="true"/>
        </w:rPr>
        <w:t>[</w:t>
      </w:r>
      <w:r>
        <w:rPr>
          <w:rtl w:val="true"/>
        </w:rPr>
        <w:t>أحدها</w:t>
      </w:r>
      <w:r>
        <w:rPr>
          <w:rtl w:val="true"/>
        </w:rPr>
        <w:t xml:space="preserve">: </w:t>
      </w:r>
      <w:r>
        <w:rPr>
          <w:rtl w:val="true"/>
        </w:rPr>
        <w:t>الوطن</w:t>
      </w:r>
      <w:r>
        <w:rPr>
          <w:rtl w:val="true"/>
        </w:rPr>
        <w:t>]</w:t>
      </w:r>
      <w:bookmarkEnd w:id="2368"/>
    </w:p>
    <w:p>
      <w:pPr>
        <w:pStyle w:val="Heading6"/>
        <w:numPr>
          <w:ilvl w:val="5"/>
          <w:numId w:val="1"/>
        </w:numPr>
        <w:rPr/>
      </w:pPr>
      <w:bookmarkStart w:id="2369" w:name="__RefHeading___Toc2567146_3650668749"/>
      <w:bookmarkStart w:id="2370" w:name="_Toc1082"/>
      <w:bookmarkEnd w:id="2369"/>
      <w:r>
        <w:rPr>
          <w:rtl w:val="true"/>
        </w:rPr>
        <w:t>اشارة</w:t>
      </w:r>
      <w:bookmarkEnd w:id="2370"/>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 فینقطع السفر بالمرور علیه و یحتاج فی القصر بعده إلیٰ قصد مسافة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المکان الذی اتّخذه مسکناً </w:t>
      </w:r>
      <w:r>
        <w:rPr>
          <w:rStyle w:val="FootnoteAnchor"/>
          <w:rtl w:val="true"/>
        </w:rPr>
        <w:footnoteReference w:id="685"/>
      </w:r>
      <w:r>
        <w:rPr>
          <w:rFonts w:ascii="IRNazanin" w:hAnsi="IRNazanin" w:eastAsia="IRNazanin"/>
          <w:color w:val="111111"/>
          <w:sz w:val="28"/>
          <w:sz w:val="28"/>
          <w:szCs w:val="28"/>
          <w:rtl w:val="true"/>
          <w:lang w:bidi="fa-IR"/>
        </w:rPr>
        <w:t>و مقرّاً له دائماً؛ سواء کان مسکناً لأبویه و مسقط رأسه أو ممّا استجدّه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فیه حصول ملک و لا إقامة ستّة أشهر، نعم یعتبر فی المستجدّ الإقامة فیه بمقدار یصدق عرفاً أنّه وطنه و مسکنه</w:t>
      </w:r>
      <w:r>
        <w:rPr>
          <w:rFonts w:eastAsia="IRNazanin" w:cs="IRNazanin"/>
          <w:color w:val="111111"/>
          <w:sz w:val="28"/>
          <w:szCs w:val="28"/>
          <w:rtl w:val="true"/>
          <w:lang w:bidi="fa-IR"/>
        </w:rPr>
        <w:t>.</w:t>
      </w:r>
    </w:p>
    <w:p>
      <w:pPr>
        <w:pStyle w:val="Heading6"/>
        <w:numPr>
          <w:ilvl w:val="5"/>
          <w:numId w:val="1"/>
        </w:numPr>
        <w:rPr/>
      </w:pPr>
      <w:bookmarkStart w:id="2371" w:name="__RefHeading___Toc2567148_3650668749"/>
      <w:bookmarkStart w:id="2372" w:name="_Toc1083"/>
      <w:bookmarkEnd w:id="2371"/>
      <w:r>
        <w:rPr>
          <w:rtl w:val="true"/>
        </w:rPr>
        <w:t>[ (</w:t>
      </w:r>
      <w:r>
        <w:rPr>
          <w:rtl w:val="true"/>
        </w:rPr>
        <w:t xml:space="preserve">مسألة </w:t>
      </w:r>
      <w:r>
        <w:rPr/>
        <w:t>1</w:t>
      </w:r>
      <w:r>
        <w:rPr>
          <w:rtl w:val="true"/>
        </w:rPr>
        <w:t xml:space="preserve">): </w:t>
      </w:r>
      <w:r>
        <w:rPr>
          <w:rtl w:val="true"/>
        </w:rPr>
        <w:t>إذا أعرض عن وطنه الأصلی أو المستجدّ و توطّن فی غیره</w:t>
      </w:r>
      <w:r>
        <w:rPr>
          <w:rtl w:val="true"/>
        </w:rPr>
        <w:t>]</w:t>
      </w:r>
      <w:bookmarkEnd w:id="2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أعرض عن وطنه الأصلی أو المستجدّ و توطّن فی غیره، فإن لم یکن له فیه ملک، أو کان و لم یکن قابلًا للسکنیٰ، أو کان و لم یسکن فیه ستّة أشهر بقصد التوطّن الأبدی یزول عنه حکم الوطنیّة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له ملک و قد سکن فیه بعد اتّخاذه وطناً دائماً ستّة أشهر فالمشهور علیٰ أنّه بحکم الوطن الفعلی و یسمّونه بالوطن الشرعی، فیوجبون علیه التمام بالمرور علیه ما دام ملکه باقیاً فیه، بل قال بعضهم بوجوب التمام فیما إذا کان له فیه ملک غیر قابل للسکنیٰ أیضاً و لو نخلة و نحوها، بل فیما إذا سکن ستّة أشهر و لو لم یکن بقصد التوطّن دائماً بل بقصد التجارة مثلًا، و الأقوی خلاف ذلک کلّه من عدم جریان حکم الوطن علیٰ جمیع الأقسام، و أنّ بالإعراض عن الوطن الأصلی أو الاتّخاذی یزول حکم الوطنیّة مطلقاً، و إن کان الأحوط الجمع بین إجراء حکم الوطن و غیره فی جمیع الصور خصوصاً الصورة الأُولیٰ</w:t>
      </w:r>
      <w:r>
        <w:rPr>
          <w:rFonts w:eastAsia="IRNazanin" w:cs="IRNazanin"/>
          <w:color w:val="111111"/>
          <w:sz w:val="28"/>
          <w:szCs w:val="28"/>
          <w:rtl w:val="true"/>
          <w:lang w:bidi="fa-IR"/>
        </w:rPr>
        <w:t>.</w:t>
      </w:r>
    </w:p>
    <w:p>
      <w:pPr>
        <w:pStyle w:val="Heading6"/>
        <w:numPr>
          <w:ilvl w:val="5"/>
          <w:numId w:val="1"/>
        </w:numPr>
        <w:rPr/>
      </w:pPr>
      <w:bookmarkStart w:id="2373" w:name="__RefHeading___Toc2567150_3650668749"/>
      <w:bookmarkStart w:id="2374" w:name="_Toc1084"/>
      <w:bookmarkEnd w:id="2373"/>
      <w:r>
        <w:rPr>
          <w:rtl w:val="true"/>
        </w:rPr>
        <w:t>[ (</w:t>
      </w:r>
      <w:r>
        <w:rPr>
          <w:rtl w:val="true"/>
        </w:rPr>
        <w:t xml:space="preserve">مسألة </w:t>
      </w:r>
      <w:r>
        <w:rPr/>
        <w:t>2</w:t>
      </w:r>
      <w:r>
        <w:rPr>
          <w:rtl w:val="true"/>
        </w:rPr>
        <w:t xml:space="preserve">): </w:t>
      </w:r>
      <w:r>
        <w:rPr>
          <w:rtl w:val="true"/>
        </w:rPr>
        <w:t>یمکن أن یکون للإنسان وطنان فعلیّان فی زمان واحد</w:t>
      </w:r>
      <w:r>
        <w:rPr>
          <w:rtl w:val="true"/>
        </w:rPr>
        <w:t>]</w:t>
      </w:r>
      <w:bookmarkEnd w:id="237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للإنسان وطنان فعلیّان فی زمان واحد؛ بأن جعل بلدین مسکناً له دائماً فیقیم فی کلّ منهما ستّة أشهر مثلًا فی کلّ سنة، بل یمکن أن یکون له ثلاثة أوطان أو أزید </w:t>
      </w:r>
      <w:r>
        <w:rPr>
          <w:rStyle w:val="FootnoteAnchor"/>
          <w:rtl w:val="true"/>
        </w:rPr>
        <w:footnoteReference w:id="686"/>
      </w:r>
      <w:r>
        <w:rPr>
          <w:rFonts w:ascii="IRNazanin" w:hAnsi="IRNazanin" w:eastAsia="IRNazanin"/>
          <w:color w:val="111111"/>
          <w:sz w:val="28"/>
          <w:sz w:val="28"/>
          <w:szCs w:val="28"/>
          <w:rtl w:val="true"/>
          <w:lang w:bidi="fa-IR"/>
        </w:rPr>
        <w:t>بأن یکون کلّ منها مسکناً له بأن یقیم فی کلّ منها مقداراً من السنة، فیجری علیٰ کلّ منها حکم الوطنیّة؛ من کونه قاطعاً للسفر بمجرّد المرور إلیه و غیر ذلک</w:t>
      </w:r>
      <w:r>
        <w:rPr>
          <w:rFonts w:eastAsia="IRNazanin" w:cs="IRNazanin"/>
          <w:color w:val="111111"/>
          <w:sz w:val="28"/>
          <w:szCs w:val="28"/>
          <w:rtl w:val="true"/>
          <w:lang w:bidi="fa-IR"/>
        </w:rPr>
        <w:t>.</w:t>
      </w:r>
      <w:bookmarkStart w:id="2375" w:name="pg1809_19109"/>
    </w:p>
    <w:p>
      <w:pPr>
        <w:pStyle w:val="Heading6"/>
        <w:numPr>
          <w:ilvl w:val="5"/>
          <w:numId w:val="1"/>
        </w:numPr>
        <w:rPr/>
      </w:pPr>
      <w:bookmarkStart w:id="2376" w:name="__RefHeading___Toc2567152_3650668749"/>
      <w:bookmarkStart w:id="2377" w:name="_Toc1085"/>
      <w:bookmarkEnd w:id="2375"/>
      <w:bookmarkEnd w:id="2376"/>
      <w:r>
        <w:rPr>
          <w:rtl w:val="true"/>
        </w:rPr>
        <w:t>[ (</w:t>
      </w:r>
      <w:r>
        <w:rPr>
          <w:rtl w:val="true"/>
        </w:rPr>
        <w:t xml:space="preserve">مسألة </w:t>
      </w:r>
      <w:r>
        <w:rPr/>
        <w:t>3</w:t>
      </w:r>
      <w:r>
        <w:rPr>
          <w:rtl w:val="true"/>
        </w:rPr>
        <w:t xml:space="preserve">): </w:t>
      </w:r>
      <w:r>
        <w:rPr>
          <w:rtl w:val="true"/>
        </w:rPr>
        <w:t>الظاهر أنّ الأولاد الصغار تابعون لأبویهم</w:t>
      </w:r>
      <w:r>
        <w:rPr>
          <w:rtl w:val="true"/>
        </w:rPr>
        <w:t>]</w:t>
      </w:r>
      <w:bookmarkEnd w:id="2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الأولاد الصغار </w:t>
      </w:r>
      <w:r>
        <w:rPr>
          <w:rStyle w:val="FootnoteAnchor"/>
          <w:rtl w:val="true"/>
        </w:rPr>
        <w:footnoteReference w:id="687"/>
      </w:r>
      <w:r>
        <w:rPr>
          <w:rFonts w:ascii="IRNazanin" w:hAnsi="IRNazanin" w:eastAsia="IRNazanin"/>
          <w:color w:val="111111"/>
          <w:sz w:val="28"/>
          <w:sz w:val="28"/>
          <w:szCs w:val="28"/>
          <w:rtl w:val="true"/>
          <w:lang w:bidi="fa-IR"/>
        </w:rPr>
        <w:t>تابعون لأبویهم، فیعدّ وطنهما وطناً لهم حتّی بعد بلوغهم ما لم یعرضوا عنه، و لا یحتاج إلیٰ أن یقصدوا التوطّن فیه مستقلا، نعم إذا اتّخذا وطناً و معهما أولادهما البالغون فلا یکون وطنهما وطناً لهم إلّا أن یقصدوا التوطّن فیه أیضاً</w:t>
      </w:r>
      <w:r>
        <w:rPr>
          <w:rFonts w:eastAsia="IRNazanin" w:cs="IRNazanin"/>
          <w:color w:val="111111"/>
          <w:sz w:val="28"/>
          <w:szCs w:val="28"/>
          <w:rtl w:val="true"/>
          <w:lang w:bidi="fa-IR"/>
        </w:rPr>
        <w:t>.</w:t>
      </w:r>
    </w:p>
    <w:p>
      <w:pPr>
        <w:pStyle w:val="Heading6"/>
        <w:numPr>
          <w:ilvl w:val="5"/>
          <w:numId w:val="1"/>
        </w:numPr>
        <w:rPr/>
      </w:pPr>
      <w:bookmarkStart w:id="2378" w:name="__RefHeading___Toc2567154_3650668749"/>
      <w:bookmarkStart w:id="2379" w:name="_Toc1086"/>
      <w:bookmarkEnd w:id="2378"/>
      <w:r>
        <w:rPr>
          <w:rtl w:val="true"/>
        </w:rPr>
        <w:t>[ (</w:t>
      </w:r>
      <w:r>
        <w:rPr>
          <w:rtl w:val="true"/>
        </w:rPr>
        <w:t xml:space="preserve">مسألة </w:t>
      </w:r>
      <w:r>
        <w:rPr/>
        <w:t>4</w:t>
      </w:r>
      <w:r>
        <w:rPr>
          <w:rtl w:val="true"/>
        </w:rPr>
        <w:t xml:space="preserve">): </w:t>
      </w:r>
      <w:r>
        <w:rPr>
          <w:rtl w:val="true"/>
        </w:rPr>
        <w:t>إذا حصل له التردّد فی المهاجرة عن الوطن الأصلی فالظاهر بقاؤه علی الوطنیّة</w:t>
      </w:r>
      <w:r>
        <w:rPr>
          <w:rtl w:val="true"/>
        </w:rPr>
        <w:t>]</w:t>
      </w:r>
      <w:bookmarkEnd w:id="2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له التردّد فی المهاجرة عن الوطن الأصلی فالظاهر بقاؤه علی الوطنیّة ما لم یتحقّق الخروج و الإعراض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الوطن المستجدّ فلا إشکال فی زواله إن کان ذلک قبل أن یبقیٰ فیه مقداراً یتوقّف علیه صدق الوطن عرفاً، و إن کان بعد ذلک ففی زوال حکم الوطنیّة بمجرّد ذلک من دون تحقّق الخروج و الإعراض تأمّل و إشکال </w:t>
      </w:r>
      <w:r>
        <w:rPr>
          <w:rStyle w:val="FootnoteAnchor"/>
          <w:rtl w:val="true"/>
        </w:rPr>
        <w:footnoteReference w:id="688"/>
      </w:r>
      <w:r>
        <w:rPr>
          <w:rFonts w:ascii="IRNazanin" w:hAnsi="IRNazanin" w:eastAsia="IRNazanin"/>
          <w:color w:val="111111"/>
          <w:sz w:val="28"/>
          <w:sz w:val="28"/>
          <w:szCs w:val="28"/>
          <w:rtl w:val="true"/>
          <w:lang w:bidi="fa-IR"/>
        </w:rPr>
        <w:t>، فلا یترک الاحتیاط فیه بالجمع بین أحکام الوطن و غیره</w:t>
      </w:r>
      <w:r>
        <w:rPr>
          <w:rFonts w:eastAsia="IRNazanin" w:cs="IRNazanin"/>
          <w:color w:val="111111"/>
          <w:sz w:val="28"/>
          <w:szCs w:val="28"/>
          <w:rtl w:val="true"/>
          <w:lang w:bidi="fa-IR"/>
        </w:rPr>
        <w:t>.</w:t>
      </w:r>
    </w:p>
    <w:p>
      <w:pPr>
        <w:pStyle w:val="Heading5"/>
        <w:numPr>
          <w:ilvl w:val="4"/>
          <w:numId w:val="1"/>
        </w:numPr>
        <w:rPr/>
      </w:pPr>
      <w:bookmarkStart w:id="2380" w:name="__RefHeading___Toc2567156_3650668749"/>
      <w:bookmarkStart w:id="2381" w:name="_Toc1087"/>
      <w:bookmarkEnd w:id="2380"/>
      <w:r>
        <w:rPr>
          <w:rtl w:val="true"/>
        </w:rPr>
        <w:t>[</w:t>
      </w:r>
      <w:r>
        <w:rPr>
          <w:rtl w:val="true"/>
        </w:rPr>
        <w:t>الثانی من قواطع السفر</w:t>
      </w:r>
      <w:r>
        <w:rPr>
          <w:rtl w:val="true"/>
        </w:rPr>
        <w:t xml:space="preserve">: </w:t>
      </w:r>
      <w:r>
        <w:rPr>
          <w:rtl w:val="true"/>
        </w:rPr>
        <w:t>العزم علیٰ إقامة عشرة أیّام متوالیات</w:t>
      </w:r>
      <w:r>
        <w:rPr>
          <w:rtl w:val="true"/>
        </w:rPr>
        <w:t>]</w:t>
      </w:r>
      <w:bookmarkEnd w:id="2381"/>
    </w:p>
    <w:p>
      <w:pPr>
        <w:pStyle w:val="Heading6"/>
        <w:numPr>
          <w:ilvl w:val="5"/>
          <w:numId w:val="1"/>
        </w:numPr>
        <w:rPr/>
      </w:pPr>
      <w:bookmarkStart w:id="2382" w:name="__RefHeading___Toc2567158_3650668749"/>
      <w:bookmarkStart w:id="2383" w:name="_Toc1088"/>
      <w:bookmarkEnd w:id="2382"/>
      <w:r>
        <w:rPr>
          <w:rtl w:val="true"/>
        </w:rPr>
        <w:t>اشارة</w:t>
      </w:r>
      <w:bookmarkEnd w:id="2383"/>
    </w:p>
    <w:p>
      <w:pPr>
        <w:pStyle w:val="BookText"/>
        <w:rPr/>
      </w:pPr>
      <w:r>
        <w:rPr>
          <w:rFonts w:ascii="IRNazanin" w:hAnsi="IRNazanin" w:eastAsia="IRNazanin"/>
          <w:color w:val="111111"/>
          <w:sz w:val="28"/>
          <w:sz w:val="28"/>
          <w:szCs w:val="28"/>
          <w:rtl w:val="true"/>
          <w:lang w:bidi="fa-IR"/>
        </w:rPr>
        <w:t>الثانی من قواطع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 إقامة عشرة أیّام متوالیات أو العلم ببقائه و إن کان لا عن اختیار</w:t>
      </w:r>
      <w:r>
        <w:rPr>
          <w:rFonts w:eastAsia="IRNazanin" w:cs="IRNazanin"/>
          <w:color w:val="111111"/>
          <w:sz w:val="28"/>
          <w:szCs w:val="28"/>
          <w:rtl w:val="true"/>
          <w:lang w:bidi="fa-IR"/>
        </w:rPr>
        <w:t>.</w:t>
      </w:r>
    </w:p>
    <w:p>
      <w:pPr>
        <w:pStyle w:val="Heading6"/>
        <w:numPr>
          <w:ilvl w:val="5"/>
          <w:numId w:val="1"/>
        </w:numPr>
        <w:rPr/>
      </w:pPr>
      <w:bookmarkStart w:id="2384" w:name="__RefHeading___Toc2567160_3650668749"/>
      <w:bookmarkStart w:id="2385" w:name="_Toc1089"/>
      <w:bookmarkEnd w:id="2384"/>
      <w:r>
        <w:rPr>
          <w:rtl w:val="true"/>
        </w:rPr>
        <w:t>[ (</w:t>
      </w:r>
      <w:r>
        <w:rPr>
          <w:rtl w:val="true"/>
        </w:rPr>
        <w:t xml:space="preserve">مسألة </w:t>
      </w:r>
      <w:r>
        <w:rPr/>
        <w:t>5</w:t>
      </w:r>
      <w:r>
        <w:rPr>
          <w:rtl w:val="true"/>
        </w:rPr>
        <w:t xml:space="preserve">): </w:t>
      </w:r>
      <w:r>
        <w:rPr>
          <w:rtl w:val="true"/>
        </w:rPr>
        <w:t>اللیالی المتوسّطة داخلة دون اللیلة الاولیٰ و الأخیرة</w:t>
      </w:r>
      <w:r>
        <w:rPr>
          <w:rtl w:val="true"/>
        </w:rPr>
        <w:t>]</w:t>
      </w:r>
      <w:bookmarkEnd w:id="238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اللیالی المتوسّطة داخلة دون اللیلة الاولیٰ و الأخیرة، فیکفی عشرة أیّام و تسع لیال، و یکفی تلفیق الیوم المنکسر من یوم آخر علی الأقویٰ، کما إذا نوی المقام عند الزوال من الیوم الأوّل إلی الزوال من الیوم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الیوم طلوع الفجر الثانی علی الأقویٰ، فلو دخل حین طلوع الشمس کان انتهاء العشرة طلوع الشمس من الحادی عشر لا غروب الشمس من العاشر</w:t>
      </w:r>
      <w:r>
        <w:rPr>
          <w:rFonts w:eastAsia="IRNazanin" w:cs="IRNazanin"/>
          <w:color w:val="111111"/>
          <w:sz w:val="28"/>
          <w:szCs w:val="28"/>
          <w:rtl w:val="true"/>
          <w:lang w:bidi="fa-IR"/>
        </w:rPr>
        <w:t>.</w:t>
      </w:r>
      <w:bookmarkStart w:id="2386" w:name="pg1809_19111"/>
    </w:p>
    <w:p>
      <w:pPr>
        <w:pStyle w:val="BookText"/>
        <w:rPr/>
      </w:pPr>
      <w:bookmarkEnd w:id="2386"/>
      <w:r>
        <w:rPr>
          <w:rFonts w:ascii="IRNazanin" w:hAnsi="IRNazanin" w:eastAsia="IRNazanin"/>
          <w:color w:val="111111"/>
          <w:sz w:val="28"/>
          <w:sz w:val="28"/>
          <w:szCs w:val="28"/>
          <w:rtl w:val="true"/>
          <w:lang w:bidi="fa-IR"/>
        </w:rPr>
        <w:t>واحداً کجانبی الحلّة و بغداد، فلو قصد الإقامة فی مجموع الجانبین یکفی فی انقطاع حکم السفر</w:t>
      </w:r>
      <w:r>
        <w:rPr>
          <w:rFonts w:eastAsia="IRNazanin" w:cs="IRNazanin"/>
          <w:color w:val="111111"/>
          <w:sz w:val="28"/>
          <w:szCs w:val="28"/>
          <w:rtl w:val="true"/>
          <w:lang w:bidi="fa-IR"/>
        </w:rPr>
        <w:t>.</w:t>
      </w:r>
    </w:p>
    <w:p>
      <w:pPr>
        <w:pStyle w:val="Heading6"/>
        <w:numPr>
          <w:ilvl w:val="5"/>
          <w:numId w:val="1"/>
        </w:numPr>
        <w:rPr/>
      </w:pPr>
      <w:bookmarkStart w:id="2387" w:name="__RefHeading___Toc2567162_3650668749"/>
      <w:bookmarkStart w:id="2388" w:name="_Toc1090"/>
      <w:bookmarkEnd w:id="2387"/>
      <w:r>
        <w:rPr>
          <w:rtl w:val="true"/>
        </w:rPr>
        <w:t>[ (</w:t>
      </w:r>
      <w:r>
        <w:rPr>
          <w:rtl w:val="true"/>
        </w:rPr>
        <w:t xml:space="preserve">مسألة </w:t>
      </w:r>
      <w:r>
        <w:rPr/>
        <w:t>7</w:t>
      </w:r>
      <w:r>
        <w:rPr>
          <w:rtl w:val="true"/>
        </w:rPr>
        <w:t xml:space="preserve">): </w:t>
      </w:r>
      <w:r>
        <w:rPr>
          <w:rtl w:val="true"/>
        </w:rPr>
        <w:t>لا یعتبر فی نیّة الإقامة قصد عدم الخروج عن خطّة سور البلد</w:t>
      </w:r>
      <w:r>
        <w:rPr>
          <w:rtl w:val="true"/>
        </w:rPr>
        <w:t>]</w:t>
      </w:r>
      <w:bookmarkEnd w:id="2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نیّة الإقامة قصد عدم الخروج عن خطّة سور البلد، بل لو قصد حال نیّتها الخروج إلیٰ بعض بساتینها و مزارعها جریٰ علیه حکم المقیم، بل لو کان من نیّته الخروج عن حدّ الترخّص بل إلیٰ ما دون الأربعة أیضاً لا یضرّ إذا کان من قصده الرجوع قریباً؛ بأن کان مکثه مقدار ساعتین أو ثلاث ساعات مثلًا بحیث لا یخرج عن صدق إقامة عشرة أیّام فی ذلک البلد عرفاً، و أمّا الزائد علیٰ ذلک ففیه إشکال، خصوصاً إذا کان قصده المبیت</w:t>
      </w:r>
      <w:r>
        <w:rPr>
          <w:rFonts w:eastAsia="IRNazanin" w:cs="IRNazanin"/>
          <w:color w:val="111111"/>
          <w:sz w:val="28"/>
          <w:szCs w:val="28"/>
          <w:rtl w:val="true"/>
          <w:lang w:bidi="fa-IR"/>
        </w:rPr>
        <w:t>.</w:t>
      </w:r>
    </w:p>
    <w:p>
      <w:pPr>
        <w:pStyle w:val="Heading6"/>
        <w:numPr>
          <w:ilvl w:val="5"/>
          <w:numId w:val="1"/>
        </w:numPr>
        <w:rPr/>
      </w:pPr>
      <w:bookmarkStart w:id="2389" w:name="__RefHeading___Toc2567164_3650668749"/>
      <w:bookmarkStart w:id="2390" w:name="_Toc1091"/>
      <w:bookmarkEnd w:id="2389"/>
      <w:r>
        <w:rPr>
          <w:rtl w:val="true"/>
        </w:rPr>
        <w:t>[ (</w:t>
      </w:r>
      <w:r>
        <w:rPr>
          <w:rtl w:val="true"/>
        </w:rPr>
        <w:t xml:space="preserve">مسألة </w:t>
      </w:r>
      <w:r>
        <w:rPr/>
        <w:t>8</w:t>
      </w:r>
      <w:r>
        <w:rPr>
          <w:rtl w:val="true"/>
        </w:rPr>
        <w:t xml:space="preserve">): </w:t>
      </w:r>
      <w:r>
        <w:rPr>
          <w:rtl w:val="true"/>
        </w:rPr>
        <w:t>لا یکفی القصد الإجمالی فی تحقّق الإقامة</w:t>
      </w:r>
      <w:r>
        <w:rPr>
          <w:rtl w:val="true"/>
        </w:rPr>
        <w:t>]</w:t>
      </w:r>
      <w:bookmarkEnd w:id="2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القصد الإجمالی فی تحقّق الإقامة، فالتابع للغیر کالزوجة و العبد و الرفیق إذا کان قاصداً للمقام بمقدار ما قصده المتبوع لا یکفی و إن کان المتبوع قاصداً لإقامة العشرة إذا لم یدر من أوّل الأمر مقدار قصده، فإذا تبیّن له بعد أیّام أنّه کان قاصداً للعشرة یبقیٰ علی القصر، إلّا إذا نویٰ بعد ذلک بقاء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قاصداً للمقام إلیٰ آخر الشهر أو إلیٰ یوم العید مثلًا و کان فی الواقع عشرة أیّام و لم یکن عالماً به حین القصد لا یبعد کفایته </w:t>
      </w:r>
      <w:r>
        <w:rPr>
          <w:rStyle w:val="FootnoteAnchor"/>
          <w:rtl w:val="true"/>
        </w:rPr>
        <w:footnoteReference w:id="689"/>
      </w:r>
      <w:r>
        <w:rPr>
          <w:rFonts w:ascii="IRNazanin" w:hAnsi="IRNazanin" w:eastAsia="IRNazanin"/>
          <w:color w:val="111111"/>
          <w:sz w:val="28"/>
          <w:sz w:val="28"/>
          <w:szCs w:val="28"/>
          <w:rtl w:val="true"/>
          <w:lang w:bidi="fa-IR"/>
        </w:rPr>
        <w:t>، و أنّه یجب علیه التمام لو تبیّن له بعد أیّام أنّه عشرة أیّام، لکن الأحوط فیه الجمع بین القصر و التمام</w:t>
      </w:r>
      <w:r>
        <w:rPr>
          <w:rFonts w:eastAsia="IRNazanin" w:cs="IRNazanin"/>
          <w:color w:val="111111"/>
          <w:sz w:val="28"/>
          <w:szCs w:val="28"/>
          <w:rtl w:val="true"/>
          <w:lang w:bidi="fa-IR"/>
        </w:rPr>
        <w:t>.</w:t>
      </w:r>
    </w:p>
    <w:p>
      <w:pPr>
        <w:pStyle w:val="Heading6"/>
        <w:numPr>
          <w:ilvl w:val="5"/>
          <w:numId w:val="1"/>
        </w:numPr>
        <w:rPr/>
      </w:pPr>
      <w:bookmarkStart w:id="2391" w:name="__RefHeading___Toc2567166_3650668749"/>
      <w:bookmarkStart w:id="2392" w:name="_Toc1092"/>
      <w:bookmarkEnd w:id="2391"/>
      <w:r>
        <w:rPr>
          <w:rtl w:val="true"/>
        </w:rPr>
        <w:t>[ (</w:t>
      </w:r>
      <w:r>
        <w:rPr>
          <w:rtl w:val="true"/>
        </w:rPr>
        <w:t xml:space="preserve">مسألة </w:t>
      </w:r>
      <w:r>
        <w:rPr/>
        <w:t>9</w:t>
      </w:r>
      <w:r>
        <w:rPr>
          <w:rtl w:val="true"/>
        </w:rPr>
        <w:t xml:space="preserve">): </w:t>
      </w:r>
      <w:r>
        <w:rPr>
          <w:rtl w:val="true"/>
        </w:rPr>
        <w:t>إذا عزم علی الإقامة ثمّ عدل عن قصده فإن صلّیٰ مع العزم المذکور رباعیّة بتمام</w:t>
      </w:r>
      <w:r>
        <w:rPr>
          <w:rtl w:val="true"/>
        </w:rPr>
        <w:t>]</w:t>
      </w:r>
      <w:bookmarkEnd w:id="2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عزم علی الإقامة ثمّ عدل عن قصده فإن صلّیٰ مع العزم المذکور رباعیّة بتمام بقی علی التمام ما دام فی ذلک المکان و لو کان من قصده الارتحال بعد ساعة أو ساعتین، و إن لم یصلِّ أو صلّیٰ صلاة لیس فیه تقصیر کالصبح یرجع بعد العدول إلی القصر، و لو صلّیٰ رباعیّة تماماً مع الغفلة عن عزمه علی الإقامة أو صلّاها تماماً لشرف البقعة بعد الغفلة عن نیّة الإقامة ثمّ عدل عنها فالأحوط فیهما </w:t>
      </w:r>
      <w:r>
        <w:rPr>
          <w:rStyle w:val="FootnoteAnchor"/>
          <w:rtl w:val="true"/>
        </w:rPr>
        <w:footnoteReference w:id="690"/>
      </w:r>
      <w:r>
        <w:rPr>
          <w:rFonts w:ascii="IRNazanin" w:hAnsi="IRNazanin" w:eastAsia="IRNazanin"/>
          <w:color w:val="111111"/>
          <w:sz w:val="28"/>
          <w:sz w:val="28"/>
          <w:szCs w:val="28"/>
          <w:rtl w:val="true"/>
          <w:lang w:bidi="fa-IR"/>
        </w:rPr>
        <w:t>الجمع بین القصر و التمام، و إن کان تعیّن الثانی فی الأوّل و الأوّل فی الثانی لا یخلو من قوّة</w:t>
      </w:r>
      <w:r>
        <w:rPr>
          <w:rFonts w:eastAsia="IRNazanin" w:cs="IRNazanin"/>
          <w:color w:val="111111"/>
          <w:sz w:val="28"/>
          <w:szCs w:val="28"/>
          <w:rtl w:val="true"/>
          <w:lang w:bidi="fa-IR"/>
        </w:rPr>
        <w:t>.</w:t>
      </w:r>
    </w:p>
    <w:p>
      <w:pPr>
        <w:pStyle w:val="Heading6"/>
        <w:numPr>
          <w:ilvl w:val="5"/>
          <w:numId w:val="1"/>
        </w:numPr>
        <w:rPr/>
      </w:pPr>
      <w:bookmarkStart w:id="2393" w:name="__RefHeading___Toc2567168_3650668749"/>
      <w:bookmarkStart w:id="2394" w:name="_Toc1093"/>
      <w:bookmarkEnd w:id="2393"/>
      <w:r>
        <w:rPr>
          <w:rtl w:val="true"/>
        </w:rPr>
        <w:t>[ (</w:t>
      </w:r>
      <w:r>
        <w:rPr>
          <w:rtl w:val="true"/>
        </w:rPr>
        <w:t xml:space="preserve">مسألة </w:t>
      </w:r>
      <w:r>
        <w:rPr/>
        <w:t>10</w:t>
      </w:r>
      <w:r>
        <w:rPr>
          <w:rtl w:val="true"/>
        </w:rPr>
        <w:t xml:space="preserve">): </w:t>
      </w:r>
      <w:r>
        <w:rPr>
          <w:rtl w:val="true"/>
        </w:rPr>
        <w:t>لو فاتته الصلاة علیٰ وجه یجب علیه قضاؤها</w:t>
      </w:r>
      <w:r>
        <w:rPr>
          <w:rtl w:val="true"/>
        </w:rPr>
        <w:t>]</w:t>
      </w:r>
      <w:bookmarkEnd w:id="239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فاتته الصلاة علیٰ وجه یجب علیه قضاؤها، فقضاها تماماً ثمّ عدل عن</w:t>
      </w:r>
      <w:bookmarkStart w:id="2395" w:name="pg1809_19113"/>
    </w:p>
    <w:p>
      <w:pPr>
        <w:pStyle w:val="BookText"/>
        <w:rPr/>
      </w:pPr>
      <w:bookmarkEnd w:id="2395"/>
      <w:r>
        <w:rPr>
          <w:rFonts w:ascii="IRNazanin" w:hAnsi="IRNazanin" w:eastAsia="IRNazanin"/>
          <w:color w:val="111111"/>
          <w:sz w:val="28"/>
          <w:sz w:val="28"/>
          <w:szCs w:val="28"/>
          <w:rtl w:val="true"/>
          <w:lang w:bidi="fa-IR"/>
        </w:rPr>
        <w:t>نیّة الإقامة بقی علیٰ حکم التمام علیٰ إشکال، فالأحوط الجمع، و أمّا إن عدل عنها قبل قضائها فالظاهر العود إلی القصر</w:t>
      </w:r>
      <w:r>
        <w:rPr>
          <w:rFonts w:eastAsia="IRNazanin" w:cs="IRNazanin"/>
          <w:color w:val="111111"/>
          <w:sz w:val="28"/>
          <w:szCs w:val="28"/>
          <w:rtl w:val="true"/>
          <w:lang w:bidi="fa-IR"/>
        </w:rPr>
        <w:t>.</w:t>
      </w:r>
    </w:p>
    <w:p>
      <w:pPr>
        <w:pStyle w:val="Heading6"/>
        <w:numPr>
          <w:ilvl w:val="5"/>
          <w:numId w:val="1"/>
        </w:numPr>
        <w:rPr/>
      </w:pPr>
      <w:bookmarkStart w:id="2396" w:name="__RefHeading___Toc2567170_3650668749"/>
      <w:bookmarkStart w:id="2397" w:name="_Toc1094"/>
      <w:bookmarkEnd w:id="2396"/>
      <w:r>
        <w:rPr>
          <w:rtl w:val="true"/>
        </w:rPr>
        <w:t>[ (</w:t>
      </w:r>
      <w:r>
        <w:rPr>
          <w:rtl w:val="true"/>
        </w:rPr>
        <w:t xml:space="preserve">مسألة </w:t>
      </w:r>
      <w:r>
        <w:rPr/>
        <w:t>11</w:t>
      </w:r>
      <w:r>
        <w:rPr>
          <w:rtl w:val="true"/>
        </w:rPr>
        <w:t xml:space="preserve">): </w:t>
      </w:r>
      <w:r>
        <w:rPr>
          <w:rtl w:val="true"/>
        </w:rPr>
        <w:t>إذا عزم علی الإقامة فنوی الصوم</w:t>
      </w:r>
      <w:r>
        <w:rPr>
          <w:rtl w:val="true"/>
        </w:rPr>
        <w:t>]</w:t>
      </w:r>
      <w:bookmarkEnd w:id="2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عزم علی الإقامة فنوی الصوم، ثمّ عدل بعد الزوال قبل الصلاة تماماً رجع إلی القصر فی صلاته لکن صحّ صومه، فهو کمن صام ثمّ سافر بعد الزوال</w:t>
      </w:r>
      <w:r>
        <w:rPr>
          <w:rFonts w:eastAsia="IRNazanin" w:cs="IRNazanin"/>
          <w:color w:val="111111"/>
          <w:sz w:val="28"/>
          <w:szCs w:val="28"/>
          <w:rtl w:val="true"/>
          <w:lang w:bidi="fa-IR"/>
        </w:rPr>
        <w:t>.</w:t>
      </w:r>
    </w:p>
    <w:p>
      <w:pPr>
        <w:pStyle w:val="Heading6"/>
        <w:numPr>
          <w:ilvl w:val="5"/>
          <w:numId w:val="1"/>
        </w:numPr>
        <w:rPr/>
      </w:pPr>
      <w:bookmarkStart w:id="2398" w:name="__RefHeading___Toc2567172_3650668749"/>
      <w:bookmarkStart w:id="2399" w:name="_Toc1095"/>
      <w:bookmarkEnd w:id="2398"/>
      <w:r>
        <w:rPr>
          <w:rtl w:val="true"/>
        </w:rPr>
        <w:t>[ (</w:t>
      </w:r>
      <w:r>
        <w:rPr>
          <w:rtl w:val="true"/>
        </w:rPr>
        <w:t xml:space="preserve">مسألة </w:t>
      </w:r>
      <w:r>
        <w:rPr/>
        <w:t>12</w:t>
      </w:r>
      <w:r>
        <w:rPr>
          <w:rtl w:val="true"/>
        </w:rPr>
        <w:t xml:space="preserve">): </w:t>
      </w:r>
      <w:r>
        <w:rPr>
          <w:rtl w:val="true"/>
        </w:rPr>
        <w:t>لا فرق فی العدول عن قصد الإقامة بین أن یعزم علیٰ عدمها أو یتردّد فیها</w:t>
      </w:r>
      <w:r>
        <w:rPr>
          <w:rtl w:val="true"/>
        </w:rPr>
        <w:t>]</w:t>
      </w:r>
      <w:bookmarkEnd w:id="2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العدول عن قصد الإقامة بین أن یعزم علیٰ عدمها أو یتردّد فیها فی أنّه لو کان بعد الصلاة تماماً بقی علی التمام و لو کان قبله رجع إلی القصر</w:t>
      </w:r>
      <w:r>
        <w:rPr>
          <w:rFonts w:eastAsia="IRNazanin" w:cs="IRNazanin"/>
          <w:color w:val="111111"/>
          <w:sz w:val="28"/>
          <w:szCs w:val="28"/>
          <w:rtl w:val="true"/>
          <w:lang w:bidi="fa-IR"/>
        </w:rPr>
        <w:t>.</w:t>
      </w:r>
    </w:p>
    <w:p>
      <w:pPr>
        <w:pStyle w:val="Heading6"/>
        <w:numPr>
          <w:ilvl w:val="5"/>
          <w:numId w:val="1"/>
        </w:numPr>
        <w:rPr/>
      </w:pPr>
      <w:bookmarkStart w:id="2400" w:name="__RefHeading___Toc2567174_3650668749"/>
      <w:bookmarkStart w:id="2401" w:name="_Toc1096"/>
      <w:bookmarkEnd w:id="2400"/>
      <w:r>
        <w:rPr>
          <w:rtl w:val="true"/>
        </w:rPr>
        <w:t>[ (</w:t>
      </w:r>
      <w:r>
        <w:rPr>
          <w:rtl w:val="true"/>
        </w:rPr>
        <w:t xml:space="preserve">مسألة </w:t>
      </w:r>
      <w:r>
        <w:rPr/>
        <w:t>13</w:t>
      </w:r>
      <w:r>
        <w:rPr>
          <w:rtl w:val="true"/>
        </w:rPr>
        <w:t xml:space="preserve">): </w:t>
      </w:r>
      <w:r>
        <w:rPr>
          <w:rtl w:val="true"/>
        </w:rPr>
        <w:t>إذا تمّت العشرة لا یحتاج فی البقاء علی التمام إلیٰ إقامة جدیدة</w:t>
      </w:r>
      <w:r>
        <w:rPr>
          <w:rtl w:val="true"/>
        </w:rPr>
        <w:t>]</w:t>
      </w:r>
      <w:bookmarkEnd w:id="2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تمّت العشرة لا یحتاج فی البقاء علی التمام إلیٰ إقامة جدیدة، بل قد عرفت بقاء حکمه بمجرّد النیّة مع صلاة واحدة تماماً، فما دام لم ینشئ سفراً جدیداً یبقیٰ علی التمام</w:t>
      </w:r>
      <w:r>
        <w:rPr>
          <w:rFonts w:eastAsia="IRNazanin" w:cs="IRNazanin"/>
          <w:color w:val="111111"/>
          <w:sz w:val="28"/>
          <w:szCs w:val="28"/>
          <w:rtl w:val="true"/>
          <w:lang w:bidi="fa-IR"/>
        </w:rPr>
        <w:t>.</w:t>
      </w:r>
    </w:p>
    <w:p>
      <w:pPr>
        <w:pStyle w:val="Heading6"/>
        <w:numPr>
          <w:ilvl w:val="5"/>
          <w:numId w:val="1"/>
        </w:numPr>
        <w:rPr/>
      </w:pPr>
      <w:bookmarkStart w:id="2402" w:name="__RefHeading___Toc2567176_3650668749"/>
      <w:bookmarkStart w:id="2403" w:name="_Toc1097"/>
      <w:bookmarkEnd w:id="2402"/>
      <w:r>
        <w:rPr>
          <w:rtl w:val="true"/>
        </w:rPr>
        <w:t>[ (</w:t>
      </w:r>
      <w:r>
        <w:rPr>
          <w:rtl w:val="true"/>
        </w:rPr>
        <w:t xml:space="preserve">مسألة </w:t>
      </w:r>
      <w:r>
        <w:rPr/>
        <w:t>14</w:t>
      </w:r>
      <w:r>
        <w:rPr>
          <w:rtl w:val="true"/>
        </w:rPr>
        <w:t xml:space="preserve">): </w:t>
      </w:r>
      <w:r>
        <w:rPr>
          <w:rtl w:val="true"/>
        </w:rPr>
        <w:t>إذا قصد الإقامة و استقرّ حکم التمام</w:t>
      </w:r>
      <w:r>
        <w:rPr>
          <w:rtl w:val="true"/>
        </w:rPr>
        <w:t>]</w:t>
      </w:r>
      <w:bookmarkEnd w:id="240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قصد الإقامة و استقرّ حکم التمام </w:t>
      </w:r>
      <w:r>
        <w:rPr>
          <w:rStyle w:val="FootnoteAnchor"/>
          <w:rtl w:val="true"/>
        </w:rPr>
        <w:footnoteReference w:id="691"/>
      </w:r>
      <w:r>
        <w:rPr>
          <w:rFonts w:ascii="IRNazanin" w:hAnsi="IRNazanin" w:eastAsia="IRNazanin"/>
          <w:color w:val="111111"/>
          <w:sz w:val="28"/>
          <w:sz w:val="28"/>
          <w:szCs w:val="28"/>
          <w:rtl w:val="true"/>
          <w:lang w:bidi="fa-IR"/>
        </w:rPr>
        <w:t xml:space="preserve">سواء تمّت العشرة أو لم تتمّ، لکن صلّیٰ صلاة واحدة بتمام ثمّ خرج إلیٰ ما دون المسافة، و کان من نیّته العود إلیٰ محلّ الإقامة من حیث إنّه محلّ إقامته؛ بأن کان رحله باقیاً فیه و لم یعرض عنه فإن کان من نیّته مقام عشرة أیّام فیه بعد العود إلیه، فلا إشکال فی بقائه علیٰ حکم التمام، و إذا لم یکن من نیّته ذلک سواء کان متردّداً أو ناویاً للعدم فالأقویٰ أیضاً البقاء علی التمام </w:t>
      </w:r>
      <w:r>
        <w:rPr>
          <w:rStyle w:val="FootnoteAnchor"/>
          <w:rtl w:val="true"/>
        </w:rPr>
        <w:footnoteReference w:id="692"/>
      </w:r>
      <w:r>
        <w:rPr>
          <w:rFonts w:ascii="IRNazanin" w:hAnsi="IRNazanin" w:eastAsia="IRNazanin"/>
          <w:color w:val="111111"/>
          <w:sz w:val="28"/>
          <w:sz w:val="28"/>
          <w:szCs w:val="28"/>
          <w:rtl w:val="true"/>
          <w:lang w:bidi="fa-IR"/>
        </w:rPr>
        <w:t xml:space="preserve">فی الذهاب و المقصد و الإیاب و محلّ الإقامة ما لم ینشئ سفراً جدیداً، و إن کان الأحوط الجمع خصوصاً فی الإیاب </w:t>
      </w:r>
      <w:r>
        <w:rPr>
          <w:rStyle w:val="FootnoteAnchor"/>
          <w:rtl w:val="true"/>
        </w:rPr>
        <w:footnoteReference w:id="693"/>
      </w:r>
      <w:r>
        <w:rPr>
          <w:rFonts w:ascii="IRNazanin" w:hAnsi="IRNazanin" w:eastAsia="IRNazanin"/>
          <w:color w:val="111111"/>
          <w:sz w:val="28"/>
          <w:sz w:val="28"/>
          <w:szCs w:val="28"/>
          <w:rtl w:val="true"/>
          <w:lang w:bidi="fa-IR"/>
        </w:rPr>
        <w:t>و محلّ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مُنشئاً للسفر من حین الخروج عن محلّ الإقامة و کان ناویاً للعود إلیه من حیث إنّه أحد منازله فی سفره الجدید کان حکمه وجوب القصر فی الجمیع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إذا لم یکن من نیّته الخروج فی أثناء العشرة إلیٰ ما دون المسافة من أوّل الأمر، و إلّا فقد مرّ أنّه إن کان من قصده العود قریباً یکون حکمه التمام و إلّا ففیه إشکال، و لو خرج إلیٰ ما دون المسافة و کان متردّداً فی العود إلیٰ محلّ الإقامة و عدمه</w:t>
      </w:r>
      <w:bookmarkStart w:id="2404" w:name="pg1809_19115"/>
    </w:p>
    <w:p>
      <w:pPr>
        <w:pStyle w:val="BookText"/>
        <w:rPr/>
      </w:pPr>
      <w:bookmarkEnd w:id="2404"/>
      <w:r>
        <w:rPr>
          <w:rFonts w:ascii="IRNazanin" w:hAnsi="IRNazanin" w:eastAsia="IRNazanin"/>
          <w:color w:val="111111"/>
          <w:sz w:val="28"/>
          <w:sz w:val="28"/>
          <w:szCs w:val="28"/>
          <w:rtl w:val="true"/>
          <w:lang w:bidi="fa-IR"/>
        </w:rPr>
        <w:t xml:space="preserve">أو ذاهلًا عنه، فلا یترک </w:t>
      </w:r>
      <w:r>
        <w:rPr>
          <w:rStyle w:val="FootnoteAnchor"/>
          <w:rtl w:val="true"/>
        </w:rPr>
        <w:footnoteReference w:id="695"/>
      </w:r>
      <w:r>
        <w:rPr>
          <w:rFonts w:ascii="IRNazanin" w:hAnsi="IRNazanin" w:eastAsia="IRNazanin"/>
          <w:color w:val="111111"/>
          <w:sz w:val="28"/>
          <w:sz w:val="28"/>
          <w:szCs w:val="28"/>
          <w:rtl w:val="true"/>
          <w:lang w:bidi="fa-IR"/>
        </w:rPr>
        <w:t>الاحتیاط بالجمع بین القصر و التمام فی الذهاب و المقصد و الإیاب و محلّ الإقامة إذا عاد إلیه إلیٰ أن یعزم علی الإقامة أو ینشئ السفر</w:t>
      </w:r>
      <w:r>
        <w:rPr>
          <w:rFonts w:eastAsia="IRNazanin" w:cs="IRNazanin"/>
          <w:color w:val="111111"/>
          <w:sz w:val="28"/>
          <w:szCs w:val="28"/>
          <w:rtl w:val="true"/>
          <w:lang w:bidi="fa-IR"/>
        </w:rPr>
        <w:t>.</w:t>
      </w:r>
    </w:p>
    <w:p>
      <w:pPr>
        <w:pStyle w:val="Heading6"/>
        <w:numPr>
          <w:ilvl w:val="5"/>
          <w:numId w:val="1"/>
        </w:numPr>
        <w:rPr/>
      </w:pPr>
      <w:bookmarkStart w:id="2405" w:name="__RefHeading___Toc2567178_3650668749"/>
      <w:bookmarkStart w:id="2406" w:name="_Toc1098"/>
      <w:bookmarkEnd w:id="2405"/>
      <w:r>
        <w:rPr>
          <w:rtl w:val="true"/>
        </w:rPr>
        <w:t>[ (</w:t>
      </w:r>
      <w:r>
        <w:rPr>
          <w:rtl w:val="true"/>
        </w:rPr>
        <w:t xml:space="preserve">مسألة </w:t>
      </w:r>
      <w:r>
        <w:rPr/>
        <w:t>15</w:t>
      </w:r>
      <w:r>
        <w:rPr>
          <w:rtl w:val="true"/>
        </w:rPr>
        <w:t xml:space="preserve">): </w:t>
      </w:r>
      <w:r>
        <w:rPr>
          <w:rtl w:val="true"/>
        </w:rPr>
        <w:t>إذا بدا للمقیم السفر ثمّ بدا له العود إلیٰ محلّ الإقامة و البقاء عشرة أیّام</w:t>
      </w:r>
      <w:r>
        <w:rPr>
          <w:rtl w:val="true"/>
        </w:rPr>
        <w:t>]</w:t>
      </w:r>
      <w:bookmarkEnd w:id="2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بدا للمقیم السفر ثمّ بدا له العود إلیٰ محلّ الإقامة و البقاء عشرة أیّام، فإن کان ذلک بعد بلوغ أربعة فراسخ قصّر فی الذهاب و المقصد و العود، و إن کان قبله فیقصّر حال الخروج بعد التجاوز عن حدّ الترخّص إلیٰ حال العزم علی العود و یتمّ عند العزم علیه، و لا یجب علیه قضاء ما صلّیٰ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بدا له العود بدون إقامة جدیدة بقی علی القصر حتّی فی محلّ الإقامة؛ لأنّ المفروض الإعراض عنه</w:t>
      </w:r>
      <w:r>
        <w:rPr>
          <w:rFonts w:eastAsia="IRNazanin" w:cs="IRNazanin"/>
          <w:color w:val="111111"/>
          <w:sz w:val="28"/>
          <w:szCs w:val="28"/>
          <w:rtl w:val="true"/>
          <w:lang w:bidi="fa-IR"/>
        </w:rPr>
        <w:t>.</w:t>
      </w:r>
    </w:p>
    <w:p>
      <w:pPr>
        <w:pStyle w:val="Heading6"/>
        <w:numPr>
          <w:ilvl w:val="5"/>
          <w:numId w:val="1"/>
        </w:numPr>
        <w:rPr/>
      </w:pPr>
      <w:bookmarkStart w:id="2407" w:name="__RefHeading___Toc2567180_3650668749"/>
      <w:bookmarkStart w:id="2408" w:name="_Toc1099"/>
      <w:bookmarkEnd w:id="2407"/>
      <w:r>
        <w:rPr>
          <w:rtl w:val="true"/>
        </w:rPr>
        <w:t>[ (</w:t>
      </w:r>
      <w:r>
        <w:rPr>
          <w:rtl w:val="true"/>
        </w:rPr>
        <w:t xml:space="preserve">مسألة </w:t>
      </w:r>
      <w:r>
        <w:rPr/>
        <w:t>16</w:t>
      </w:r>
      <w:r>
        <w:rPr>
          <w:rtl w:val="true"/>
        </w:rPr>
        <w:t xml:space="preserve">): </w:t>
      </w:r>
      <w:r>
        <w:rPr>
          <w:rtl w:val="true"/>
        </w:rPr>
        <w:t>لو دخل فی الصلاة بنیّة القصر، ثمّ بدا له الإقامة فی أثنائها أتمّها</w:t>
      </w:r>
      <w:r>
        <w:rPr>
          <w:rtl w:val="true"/>
        </w:rPr>
        <w:t>]</w:t>
      </w:r>
      <w:bookmarkEnd w:id="2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دخل فی الصلاة بنیّة القصر، ثمّ بدا له الإقامة فی أثنائها أتمّها، و لو نوی الإقامة و دخل فی الصلاة بنیّة التمام ثمّ عدل عنها فی الأثناء، فإن کان قبل الدخول فی رکوع الثالثة أتمّها قصراً، و إن کان بعده قبل الفراغ من الصلاة فلا یترک </w:t>
      </w:r>
      <w:r>
        <w:rPr>
          <w:rStyle w:val="FootnoteAnchor"/>
          <w:rtl w:val="true"/>
        </w:rPr>
        <w:footnoteReference w:id="696"/>
      </w:r>
      <w:r>
        <w:rPr>
          <w:rFonts w:ascii="IRNazanin" w:hAnsi="IRNazanin" w:eastAsia="IRNazanin"/>
          <w:color w:val="111111"/>
          <w:sz w:val="28"/>
          <w:sz w:val="28"/>
          <w:szCs w:val="28"/>
          <w:rtl w:val="true"/>
          <w:lang w:bidi="fa-IR"/>
        </w:rPr>
        <w:t>الاحتیاط بإتمامها تماماً ثمّ إعادتها قصراً و الجمع بین القصر و التمام ما لم یسافر</w:t>
      </w:r>
      <w:r>
        <w:rPr>
          <w:rFonts w:eastAsia="IRNazanin" w:cs="IRNazanin"/>
          <w:color w:val="111111"/>
          <w:sz w:val="28"/>
          <w:szCs w:val="28"/>
          <w:rtl w:val="true"/>
          <w:lang w:bidi="fa-IR"/>
        </w:rPr>
        <w:t>.</w:t>
      </w:r>
    </w:p>
    <w:p>
      <w:pPr>
        <w:pStyle w:val="Heading5"/>
        <w:numPr>
          <w:ilvl w:val="4"/>
          <w:numId w:val="1"/>
        </w:numPr>
        <w:rPr/>
      </w:pPr>
      <w:bookmarkStart w:id="2409" w:name="__RefHeading___Toc2567182_3650668749"/>
      <w:bookmarkStart w:id="2410" w:name="_Toc1100"/>
      <w:bookmarkEnd w:id="2409"/>
      <w:r>
        <w:rPr>
          <w:rtl w:val="true"/>
        </w:rPr>
        <w:t>[</w:t>
      </w:r>
      <w:r>
        <w:rPr>
          <w:rtl w:val="true"/>
        </w:rPr>
        <w:t>الثالث من القواطع</w:t>
      </w:r>
      <w:r>
        <w:rPr>
          <w:rtl w:val="true"/>
        </w:rPr>
        <w:t xml:space="preserve">: </w:t>
      </w:r>
      <w:r>
        <w:rPr>
          <w:rtl w:val="true"/>
        </w:rPr>
        <w:t>البقاء ثلاثین یوماً فی مکان متردّداً</w:t>
      </w:r>
      <w:r>
        <w:rPr>
          <w:rtl w:val="true"/>
        </w:rPr>
        <w:t>]</w:t>
      </w:r>
      <w:bookmarkEnd w:id="2410"/>
    </w:p>
    <w:p>
      <w:pPr>
        <w:pStyle w:val="Heading6"/>
        <w:numPr>
          <w:ilvl w:val="5"/>
          <w:numId w:val="1"/>
        </w:numPr>
        <w:rPr/>
      </w:pPr>
      <w:bookmarkStart w:id="2411" w:name="__RefHeading___Toc2567184_3650668749"/>
      <w:bookmarkStart w:id="2412" w:name="_Toc1101"/>
      <w:bookmarkEnd w:id="2411"/>
      <w:r>
        <w:rPr>
          <w:rtl w:val="true"/>
        </w:rPr>
        <w:t>اشارة</w:t>
      </w:r>
      <w:bookmarkEnd w:id="2412"/>
    </w:p>
    <w:p>
      <w:pPr>
        <w:pStyle w:val="BookText"/>
        <w:rPr/>
      </w:pPr>
      <w:r>
        <w:rPr>
          <w:rFonts w:ascii="IRNazanin" w:hAnsi="IRNazanin" w:eastAsia="IRNazanin"/>
          <w:color w:val="111111"/>
          <w:sz w:val="28"/>
          <w:sz w:val="28"/>
          <w:szCs w:val="28"/>
          <w:rtl w:val="true"/>
          <w:lang w:bidi="fa-IR"/>
        </w:rPr>
        <w:t>الثالث من القواطع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ثلاثین یوماً فی مکان متردّداً، و یلحق بالتردّد ما إذا عزم علی الخروج غداً أو بعد غدٍ ثمّ لم یخرج و هکذا إلیٰ أن مضی ثلاثون یوماً، بل یلحق به أیضاً إذا عزم علی الإقامة تسعة أیّام مثلًا ثمّ بعدها عزم علیٰ إقامة تسعة اخریٰ و هکذا، فیقصّر إلیٰ ثلاثین یوماً ثمّ یتمّ و لو لم یبق إلّا مقدار صلاة واحدة</w:t>
      </w:r>
      <w:r>
        <w:rPr>
          <w:rFonts w:eastAsia="IRNazanin" w:cs="IRNazanin"/>
          <w:color w:val="111111"/>
          <w:sz w:val="28"/>
          <w:szCs w:val="28"/>
          <w:rtl w:val="true"/>
          <w:lang w:bidi="fa-IR"/>
        </w:rPr>
        <w:t>.</w:t>
      </w:r>
    </w:p>
    <w:p>
      <w:pPr>
        <w:pStyle w:val="Heading6"/>
        <w:numPr>
          <w:ilvl w:val="5"/>
          <w:numId w:val="1"/>
        </w:numPr>
        <w:rPr/>
      </w:pPr>
      <w:bookmarkStart w:id="2413" w:name="__RefHeading___Toc2567186_3650668749"/>
      <w:bookmarkStart w:id="2414" w:name="_Toc1102"/>
      <w:bookmarkEnd w:id="2413"/>
      <w:r>
        <w:rPr>
          <w:rtl w:val="true"/>
        </w:rPr>
        <w:t>[ (</w:t>
      </w:r>
      <w:r>
        <w:rPr>
          <w:rtl w:val="true"/>
        </w:rPr>
        <w:t xml:space="preserve">مسألة </w:t>
      </w:r>
      <w:r>
        <w:rPr/>
        <w:t>17</w:t>
      </w:r>
      <w:r>
        <w:rPr>
          <w:rtl w:val="true"/>
        </w:rPr>
        <w:t xml:space="preserve">): </w:t>
      </w:r>
      <w:r>
        <w:rPr>
          <w:rtl w:val="true"/>
        </w:rPr>
        <w:t>الظاهر إلحاق الشهر الهلالی بثلاثین یوماً</w:t>
      </w:r>
      <w:r>
        <w:rPr>
          <w:rtl w:val="true"/>
        </w:rPr>
        <w:t>]</w:t>
      </w:r>
      <w:bookmarkEnd w:id="2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إلحاق الشهر الهلالی بثلاثین یوماً إذا کان تردّده من أوّل الشهر</w:t>
      </w:r>
      <w:r>
        <w:rPr>
          <w:rFonts w:eastAsia="IRNazanin" w:cs="IRNazanin"/>
          <w:color w:val="111111"/>
          <w:sz w:val="28"/>
          <w:szCs w:val="28"/>
          <w:rtl w:val="true"/>
          <w:lang w:bidi="fa-IR"/>
        </w:rPr>
        <w:t>.</w:t>
      </w:r>
    </w:p>
    <w:p>
      <w:pPr>
        <w:pStyle w:val="Heading6"/>
        <w:numPr>
          <w:ilvl w:val="5"/>
          <w:numId w:val="1"/>
        </w:numPr>
        <w:rPr/>
      </w:pPr>
      <w:bookmarkStart w:id="2415" w:name="__RefHeading___Toc2567188_3650668749"/>
      <w:bookmarkStart w:id="2416" w:name="_Toc1103"/>
      <w:bookmarkEnd w:id="2415"/>
      <w:r>
        <w:rPr>
          <w:rtl w:val="true"/>
        </w:rPr>
        <w:t>[ (</w:t>
      </w:r>
      <w:r>
        <w:rPr>
          <w:rtl w:val="true"/>
        </w:rPr>
        <w:t xml:space="preserve">مسألة </w:t>
      </w:r>
      <w:r>
        <w:rPr/>
        <w:t>18</w:t>
      </w:r>
      <w:r>
        <w:rPr>
          <w:rtl w:val="true"/>
        </w:rPr>
        <w:t xml:space="preserve">): </w:t>
      </w:r>
      <w:r>
        <w:rPr>
          <w:rtl w:val="true"/>
        </w:rPr>
        <w:t>یشترط اتّحاد مکان التردّد کمحلّ الإقامة</w:t>
      </w:r>
      <w:r>
        <w:rPr>
          <w:rtl w:val="true"/>
        </w:rPr>
        <w:t>]</w:t>
      </w:r>
      <w:bookmarkEnd w:id="2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اتّحاد مکان التردّد کمحلّ الإقامة، فمع التعدّد لا ینقطع حکم السفر</w:t>
      </w:r>
      <w:r>
        <w:rPr>
          <w:rFonts w:eastAsia="IRNazanin" w:cs="IRNazanin"/>
          <w:color w:val="111111"/>
          <w:sz w:val="28"/>
          <w:szCs w:val="28"/>
          <w:rtl w:val="true"/>
          <w:lang w:bidi="fa-IR"/>
        </w:rPr>
        <w:t>.</w:t>
      </w:r>
    </w:p>
    <w:p>
      <w:pPr>
        <w:pStyle w:val="Heading6"/>
        <w:numPr>
          <w:ilvl w:val="5"/>
          <w:numId w:val="1"/>
        </w:numPr>
        <w:rPr/>
      </w:pPr>
      <w:bookmarkStart w:id="2417" w:name="__RefHeading___Toc2567190_3650668749"/>
      <w:bookmarkStart w:id="2418" w:name="_Toc1104"/>
      <w:bookmarkEnd w:id="2417"/>
      <w:r>
        <w:rPr>
          <w:rtl w:val="true"/>
        </w:rPr>
        <w:t>[ (</w:t>
      </w:r>
      <w:r>
        <w:rPr>
          <w:rtl w:val="true"/>
        </w:rPr>
        <w:t xml:space="preserve">مسألة </w:t>
      </w:r>
      <w:r>
        <w:rPr/>
        <w:t>19</w:t>
      </w:r>
      <w:r>
        <w:rPr>
          <w:rtl w:val="true"/>
        </w:rPr>
        <w:t xml:space="preserve">): </w:t>
      </w:r>
      <w:r>
        <w:rPr>
          <w:rtl w:val="true"/>
        </w:rPr>
        <w:t>حکم المتردّد ثلاثین یوماً</w:t>
      </w:r>
      <w:r>
        <w:rPr>
          <w:rtl w:val="true"/>
        </w:rPr>
        <w:t>]</w:t>
      </w:r>
      <w:bookmarkEnd w:id="2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Style w:val="FootnoteAnchor"/>
          <w:rtl w:val="true"/>
        </w:rPr>
        <w:footnoteReference w:id="697"/>
      </w:r>
      <w:r>
        <w:rPr>
          <w:rFonts w:ascii="IRNazanin" w:hAnsi="IRNazanin" w:eastAsia="IRNazanin"/>
          <w:color w:val="111111"/>
          <w:sz w:val="28"/>
          <w:sz w:val="28"/>
          <w:szCs w:val="28"/>
          <w:rtl w:val="true"/>
          <w:lang w:bidi="fa-IR"/>
        </w:rPr>
        <w:t>المتردّد ثلاثین یوماً؛ إذا خرج عن مکان التردّد إلیٰ ما دون المسافة و کان من نیّته العود إلیٰ ذلک المکان حکم المقیم، و قد مرّ حکمه</w:t>
      </w:r>
      <w:r>
        <w:rPr>
          <w:rFonts w:eastAsia="IRNazanin" w:cs="IRNazanin"/>
          <w:color w:val="111111"/>
          <w:sz w:val="28"/>
          <w:szCs w:val="28"/>
          <w:rtl w:val="true"/>
          <w:lang w:bidi="fa-IR"/>
        </w:rPr>
        <w:t>.</w:t>
      </w:r>
    </w:p>
    <w:p>
      <w:pPr>
        <w:pStyle w:val="Heading6"/>
        <w:numPr>
          <w:ilvl w:val="5"/>
          <w:numId w:val="1"/>
        </w:numPr>
        <w:rPr/>
      </w:pPr>
      <w:bookmarkStart w:id="2419" w:name="__RefHeading___Toc2567192_3650668749"/>
      <w:bookmarkStart w:id="2420" w:name="_Toc1105"/>
      <w:bookmarkEnd w:id="2419"/>
      <w:r>
        <w:rPr>
          <w:rtl w:val="true"/>
        </w:rPr>
        <w:t>[ (</w:t>
      </w:r>
      <w:r>
        <w:rPr>
          <w:rtl w:val="true"/>
        </w:rPr>
        <w:t xml:space="preserve">مسألة </w:t>
      </w:r>
      <w:r>
        <w:rPr/>
        <w:t>20</w:t>
      </w:r>
      <w:r>
        <w:rPr>
          <w:rtl w:val="true"/>
        </w:rPr>
        <w:t xml:space="preserve">): </w:t>
      </w:r>
      <w:r>
        <w:rPr>
          <w:rtl w:val="true"/>
        </w:rPr>
        <w:t>لو تردّد فی مکان تسعة و عشرین مثلًا أو أقلّ ثمّ سافر إلیٰ مکان آخر و بقی متردّداً فیه</w:t>
      </w:r>
      <w:r>
        <w:rPr>
          <w:rtl w:val="true"/>
        </w:rPr>
        <w:t>]</w:t>
      </w:r>
      <w:bookmarkEnd w:id="242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تردّد فی مکان تسعة و عشرین مثلًا أو أقلّ ثمّ سافر إلیٰ مکان آخر و بقی متردّداً فیه کذلک بقی علی القصر ما دام کذلک إلّا إذا نوی الإقامة فی مکان أو بقی متردّداً ثلاثین یوماً</w:t>
      </w:r>
      <w:r>
        <w:rPr>
          <w:rFonts w:eastAsia="IRNazanin" w:cs="IRNazanin"/>
          <w:color w:val="111111"/>
          <w:sz w:val="28"/>
          <w:szCs w:val="28"/>
          <w:rtl w:val="true"/>
          <w:lang w:bidi="fa-IR"/>
        </w:rPr>
        <w:t>.</w:t>
      </w:r>
      <w:bookmarkStart w:id="2421" w:name="pg1809_19117"/>
    </w:p>
    <w:p>
      <w:pPr>
        <w:pStyle w:val="Heading4"/>
        <w:numPr>
          <w:ilvl w:val="3"/>
          <w:numId w:val="1"/>
        </w:numPr>
        <w:rPr/>
      </w:pPr>
      <w:bookmarkStart w:id="2422" w:name="__RefHeading___Toc2567194_3650668749"/>
      <w:bookmarkStart w:id="2423" w:name="_Toc1106"/>
      <w:bookmarkEnd w:id="2421"/>
      <w:bookmarkEnd w:id="2422"/>
      <w:r>
        <w:rPr>
          <w:rtl w:val="true"/>
        </w:rPr>
        <w:t>[</w:t>
      </w:r>
      <w:r>
        <w:rPr>
          <w:rtl w:val="true"/>
        </w:rPr>
        <w:t>القول فی أحکام المسافر</w:t>
      </w:r>
      <w:r>
        <w:rPr>
          <w:rtl w:val="true"/>
        </w:rPr>
        <w:t>]</w:t>
      </w:r>
      <w:bookmarkEnd w:id="2423"/>
    </w:p>
    <w:p>
      <w:pPr>
        <w:pStyle w:val="Heading5"/>
        <w:numPr>
          <w:ilvl w:val="4"/>
          <w:numId w:val="1"/>
        </w:numPr>
        <w:rPr/>
      </w:pPr>
      <w:bookmarkStart w:id="2424" w:name="__RefHeading___Toc2567196_3650668749"/>
      <w:bookmarkStart w:id="2425" w:name="_Toc1107"/>
      <w:bookmarkEnd w:id="2424"/>
      <w:r>
        <w:rPr>
          <w:rtl w:val="true"/>
        </w:rPr>
        <w:t>اشارة</w:t>
      </w:r>
      <w:bookmarkEnd w:id="2425"/>
    </w:p>
    <w:p>
      <w:pPr>
        <w:pStyle w:val="BookText"/>
        <w:rPr/>
      </w:pPr>
      <w:r>
        <w:rPr>
          <w:rFonts w:ascii="IRNazanin" w:hAnsi="IRNazanin" w:eastAsia="IRNazanin"/>
          <w:color w:val="111111"/>
          <w:sz w:val="28"/>
          <w:sz w:val="28"/>
          <w:szCs w:val="28"/>
          <w:rtl w:val="true"/>
          <w:lang w:bidi="fa-IR"/>
        </w:rPr>
        <w:t>القول فی أحکام المسافر قد عرفت أنّه تسقط عن المسافر بعد تحقّق الشرائط رکعتان من الرباعیات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الظهرین و العشاء، کما أنّه تسقط عنه نوافل الظهرین، و تبقیٰ بقیّة النوافل حتّی نافلة العشاء علی الأقویٰ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6" w:name="__RefHeading___Toc2567198_3650668749"/>
      <w:bookmarkStart w:id="2427" w:name="_Toc1108"/>
      <w:bookmarkEnd w:id="2426"/>
      <w:r>
        <w:rPr>
          <w:rtl w:val="true"/>
        </w:rPr>
        <w:t>[ (</w:t>
      </w:r>
      <w:r>
        <w:rPr>
          <w:rtl w:val="true"/>
        </w:rPr>
        <w:t xml:space="preserve">مسألة </w:t>
      </w:r>
      <w:r>
        <w:rPr/>
        <w:t>1</w:t>
      </w:r>
      <w:r>
        <w:rPr>
          <w:rtl w:val="true"/>
        </w:rPr>
        <w:t xml:space="preserve">): </w:t>
      </w:r>
      <w:r>
        <w:rPr>
          <w:rtl w:val="true"/>
        </w:rPr>
        <w:t>لو صلّی المسافر بعد تحقّق شرائط القصر تماماً</w:t>
      </w:r>
      <w:r>
        <w:rPr>
          <w:rtl w:val="true"/>
        </w:rPr>
        <w:t>]</w:t>
      </w:r>
      <w:bookmarkEnd w:id="2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المسافر بعد تحقّق شرائط القصر تماماً فإن کان عالماً بالحکم و الموضوع بطلت صلاته و أعاده فی الوقت و خارجه، و إن کان جاهلًا بأصل الحکم و أنّ حکم المسافر التقصیر لم یجب علیه الإعادة فضلًا عن القضاء، و أمّا إن کان عالماً بأصل الحکم و جاهلًا ببعض الخصوصیّات مثل جهله بأنّ السفر إلیٰ أربعة فراسخ مع قصد الرجوع یوجب القصر، أو أنّ کثیر السفر إذا أقام فی بلده عشرة أیّام یجب علیه القصر فی السفر الأوّل فأتمّ و نحو ذلک، وجب علیه الإعادة فی الوقت و القضاء فی خارجه، و کذا إذا کان عالماً بالحکم و جاهلًا بالموضوع، کما إذا تخیّل عدم کون مقصده مسافة فأتمّ مع کونه مسافة، و أمّا إذا کان ناسیاً لسفره فأتمّ فإن تذکّر فی الوقت وجب علیه الإعادة، و إن تذکّر فی خارجه لا یجب علیه القضاء</w:t>
      </w:r>
      <w:r>
        <w:rPr>
          <w:rFonts w:eastAsia="IRNazanin" w:cs="IRNazanin"/>
          <w:color w:val="111111"/>
          <w:sz w:val="28"/>
          <w:szCs w:val="28"/>
          <w:rtl w:val="true"/>
          <w:lang w:bidi="fa-IR"/>
        </w:rPr>
        <w:t>.</w:t>
      </w:r>
    </w:p>
    <w:p>
      <w:pPr>
        <w:pStyle w:val="Heading5"/>
        <w:numPr>
          <w:ilvl w:val="4"/>
          <w:numId w:val="1"/>
        </w:numPr>
        <w:rPr/>
      </w:pPr>
      <w:bookmarkStart w:id="2428" w:name="__RefHeading___Toc2567200_3650668749"/>
      <w:bookmarkStart w:id="2429" w:name="_Toc1109"/>
      <w:bookmarkEnd w:id="2428"/>
      <w:r>
        <w:rPr>
          <w:rtl w:val="true"/>
        </w:rPr>
        <w:t>[ (</w:t>
      </w:r>
      <w:r>
        <w:rPr>
          <w:rtl w:val="true"/>
        </w:rPr>
        <w:t xml:space="preserve">مسألة </w:t>
      </w:r>
      <w:r>
        <w:rPr/>
        <w:t>2</w:t>
      </w:r>
      <w:r>
        <w:rPr>
          <w:rtl w:val="true"/>
        </w:rPr>
        <w:t xml:space="preserve">): </w:t>
      </w:r>
      <w:r>
        <w:rPr>
          <w:rtl w:val="true"/>
        </w:rPr>
        <w:t>یلحق الصوم بالصلاة فیما ذکر</w:t>
      </w:r>
      <w:r>
        <w:rPr>
          <w:rtl w:val="true"/>
        </w:rPr>
        <w:t>]</w:t>
      </w:r>
      <w:bookmarkEnd w:id="2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یلحق الصوم بالصلاة فیما ذکر </w:t>
      </w:r>
      <w:r>
        <w:rPr>
          <w:rStyle w:val="FootnoteAnchor"/>
          <w:rtl w:val="true"/>
        </w:rPr>
        <w:footnoteReference w:id="699"/>
      </w:r>
      <w:r>
        <w:rPr>
          <w:rFonts w:ascii="IRNazanin" w:hAnsi="IRNazanin" w:eastAsia="IRNazanin"/>
          <w:color w:val="111111"/>
          <w:sz w:val="28"/>
          <w:sz w:val="28"/>
          <w:szCs w:val="28"/>
          <w:rtl w:val="true"/>
          <w:lang w:bidi="fa-IR"/>
        </w:rPr>
        <w:t>علی الأقویٰ، فیبطل مع العلم و العمد و یصحّ مع الجهل بأصل الحکم دون الجهل بالخصوصیّات و دون الجهل بالموضوع</w:t>
      </w:r>
      <w:r>
        <w:rPr>
          <w:rFonts w:eastAsia="IRNazanin" w:cs="IRNazanin"/>
          <w:color w:val="111111"/>
          <w:sz w:val="28"/>
          <w:szCs w:val="28"/>
          <w:rtl w:val="true"/>
          <w:lang w:bidi="fa-IR"/>
        </w:rPr>
        <w:t>.</w:t>
      </w:r>
    </w:p>
    <w:p>
      <w:pPr>
        <w:pStyle w:val="Heading5"/>
        <w:numPr>
          <w:ilvl w:val="4"/>
          <w:numId w:val="1"/>
        </w:numPr>
        <w:rPr/>
      </w:pPr>
      <w:bookmarkStart w:id="2430" w:name="__RefHeading___Toc2567202_3650668749"/>
      <w:bookmarkStart w:id="2431" w:name="_Toc1110"/>
      <w:bookmarkEnd w:id="2430"/>
      <w:r>
        <w:rPr>
          <w:rtl w:val="true"/>
        </w:rPr>
        <w:t>[ (</w:t>
      </w:r>
      <w:r>
        <w:rPr>
          <w:rtl w:val="true"/>
        </w:rPr>
        <w:t xml:space="preserve">مسألة </w:t>
      </w:r>
      <w:r>
        <w:rPr/>
        <w:t>3</w:t>
      </w:r>
      <w:r>
        <w:rPr>
          <w:rtl w:val="true"/>
        </w:rPr>
        <w:t xml:space="preserve">): </w:t>
      </w:r>
      <w:r>
        <w:rPr>
          <w:rtl w:val="true"/>
        </w:rPr>
        <w:t>لو قصّر من کانت وظیفته التمام بطلت صلاته مطلقاً</w:t>
      </w:r>
      <w:r>
        <w:rPr>
          <w:rtl w:val="true"/>
        </w:rPr>
        <w:t>]</w:t>
      </w:r>
      <w:bookmarkEnd w:id="2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قصّر من کانت وظیفته التمام بطلت صلاته مطلقاً حتّی فی المقیم المقصّر للجهل بأنّ حکمه التمام</w:t>
      </w:r>
      <w:r>
        <w:rPr>
          <w:rFonts w:eastAsia="IRNazanin" w:cs="IRNazanin"/>
          <w:color w:val="111111"/>
          <w:sz w:val="28"/>
          <w:szCs w:val="28"/>
          <w:rtl w:val="true"/>
          <w:lang w:bidi="fa-IR"/>
        </w:rPr>
        <w:t>.</w:t>
      </w:r>
    </w:p>
    <w:p>
      <w:pPr>
        <w:pStyle w:val="Heading5"/>
        <w:numPr>
          <w:ilvl w:val="4"/>
          <w:numId w:val="1"/>
        </w:numPr>
        <w:rPr/>
      </w:pPr>
      <w:bookmarkStart w:id="2432" w:name="__RefHeading___Toc2567204_3650668749"/>
      <w:bookmarkStart w:id="2433" w:name="_Toc1111"/>
      <w:bookmarkEnd w:id="2432"/>
      <w:r>
        <w:rPr>
          <w:rtl w:val="true"/>
        </w:rPr>
        <w:t>[ (</w:t>
      </w:r>
      <w:r>
        <w:rPr>
          <w:rtl w:val="true"/>
        </w:rPr>
        <w:t xml:space="preserve">مسألة </w:t>
      </w:r>
      <w:r>
        <w:rPr/>
        <w:t>4</w:t>
      </w:r>
      <w:r>
        <w:rPr>
          <w:rtl w:val="true"/>
        </w:rPr>
        <w:t xml:space="preserve">): </w:t>
      </w:r>
      <w:r>
        <w:rPr>
          <w:rtl w:val="true"/>
        </w:rPr>
        <w:t>إذا تذکّر الناسی للسفر فی أثناء الصلاة</w:t>
      </w:r>
      <w:r>
        <w:rPr>
          <w:rtl w:val="true"/>
        </w:rPr>
        <w:t>]</w:t>
      </w:r>
      <w:bookmarkEnd w:id="2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تذکّر الناسی للسفر فی أثناء الصلاة، فإن کان قبل الدخول فی رکوع الرکعة الثالثة أتمّ الصلاة قصراً و اجتزأ بها، و إن تذکّر بعد ذلک بطلت و وجبت علیه الإعادة مع سعة الوقت و لو بإدراک رکعة من الوقت</w:t>
      </w:r>
      <w:r>
        <w:rPr>
          <w:rFonts w:eastAsia="IRNazanin" w:cs="IRNazanin"/>
          <w:color w:val="111111"/>
          <w:sz w:val="28"/>
          <w:szCs w:val="28"/>
          <w:rtl w:val="true"/>
          <w:lang w:bidi="fa-IR"/>
        </w:rPr>
        <w:t>.</w:t>
      </w:r>
    </w:p>
    <w:p>
      <w:pPr>
        <w:pStyle w:val="Heading5"/>
        <w:numPr>
          <w:ilvl w:val="4"/>
          <w:numId w:val="1"/>
        </w:numPr>
        <w:rPr/>
      </w:pPr>
      <w:bookmarkStart w:id="2434" w:name="__RefHeading___Toc2567206_3650668749"/>
      <w:bookmarkStart w:id="2435" w:name="_Toc1112"/>
      <w:bookmarkEnd w:id="2434"/>
      <w:r>
        <w:rPr>
          <w:rtl w:val="true"/>
        </w:rPr>
        <w:t>[ (</w:t>
      </w:r>
      <w:r>
        <w:rPr>
          <w:rtl w:val="true"/>
        </w:rPr>
        <w:t xml:space="preserve">مسألة </w:t>
      </w:r>
      <w:r>
        <w:rPr/>
        <w:t>5</w:t>
      </w:r>
      <w:r>
        <w:rPr>
          <w:rtl w:val="true"/>
        </w:rPr>
        <w:t xml:space="preserve">): </w:t>
      </w:r>
      <w:r>
        <w:rPr>
          <w:rtl w:val="true"/>
        </w:rPr>
        <w:t>إذا دخل الوقت و هو حاضر متمکّن من فعل الصلاة ثمّ سافر قبل أن یصلّی</w:t>
      </w:r>
      <w:r>
        <w:rPr>
          <w:rtl w:val="true"/>
        </w:rPr>
        <w:t>]</w:t>
      </w:r>
      <w:bookmarkEnd w:id="243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الوقت و هو حاضر متمکّن من فعل الصلاة ثمّ سافر قبل أن یصلّی</w:t>
      </w:r>
      <w:bookmarkStart w:id="2436" w:name="pg1809_19119"/>
    </w:p>
    <w:p>
      <w:pPr>
        <w:pStyle w:val="BookText"/>
        <w:rPr/>
      </w:pPr>
      <w:bookmarkEnd w:id="2436"/>
      <w:r>
        <w:rPr>
          <w:rFonts w:ascii="Amiri" w:hAnsi="Amiri" w:eastAsia="Amiri" w:cs="Amiri"/>
          <w:color w:val="111111"/>
          <w:sz w:val="28"/>
          <w:sz w:val="28"/>
          <w:szCs w:val="28"/>
          <w:rtl w:val="true"/>
          <w:lang w:bidi="ar-SA"/>
        </w:rPr>
        <w:t xml:space="preserve">حتّی تجاوز محلّ الترخّص و الوقت باقٍ قصّر، و الأحوط الإتمام </w:t>
      </w:r>
      <w:r>
        <w:rPr>
          <w:rStyle w:val="FootnoteAnchor"/>
          <w:rtl w:val="true"/>
        </w:rPr>
        <w:footnoteReference w:id="700"/>
      </w:r>
      <w:r>
        <w:rPr>
          <w:rFonts w:ascii="IRNazanin" w:hAnsi="IRNazanin" w:eastAsia="IRNazanin"/>
          <w:color w:val="111111"/>
          <w:sz w:val="28"/>
          <w:sz w:val="28"/>
          <w:szCs w:val="28"/>
          <w:rtl w:val="true"/>
          <w:lang w:bidi="fa-IR"/>
        </w:rPr>
        <w:t>معه، کما أنّه لو دخل الوقت و هو مسافر فحضر قبل أن یصلّی و الوقت باقٍ فإنّه یتمّ، و الأحوط القصر معه</w:t>
      </w:r>
      <w:r>
        <w:rPr>
          <w:rFonts w:eastAsia="IRNazanin" w:cs="IRNazanin"/>
          <w:color w:val="111111"/>
          <w:sz w:val="28"/>
          <w:szCs w:val="28"/>
          <w:rtl w:val="true"/>
          <w:lang w:bidi="fa-IR"/>
        </w:rPr>
        <w:t>.</w:t>
      </w:r>
    </w:p>
    <w:p>
      <w:pPr>
        <w:pStyle w:val="Heading5"/>
        <w:numPr>
          <w:ilvl w:val="4"/>
          <w:numId w:val="1"/>
        </w:numPr>
        <w:rPr/>
      </w:pPr>
      <w:bookmarkStart w:id="2437" w:name="__RefHeading___Toc2567208_3650668749"/>
      <w:bookmarkStart w:id="2438" w:name="_Toc1113"/>
      <w:bookmarkEnd w:id="2437"/>
      <w:r>
        <w:rPr>
          <w:rtl w:val="true"/>
        </w:rPr>
        <w:t>[ (</w:t>
      </w:r>
      <w:r>
        <w:rPr>
          <w:rtl w:val="true"/>
        </w:rPr>
        <w:t xml:space="preserve">مسألة </w:t>
      </w:r>
      <w:r>
        <w:rPr/>
        <w:t>6</w:t>
      </w:r>
      <w:r>
        <w:rPr>
          <w:rtl w:val="true"/>
        </w:rPr>
        <w:t xml:space="preserve">): </w:t>
      </w:r>
      <w:r>
        <w:rPr>
          <w:rtl w:val="true"/>
        </w:rPr>
        <w:t>إذا فاتت منه الصلاة فی الحضر یجب علیه قضاؤها تماماً</w:t>
      </w:r>
      <w:r>
        <w:rPr>
          <w:rtl w:val="true"/>
        </w:rPr>
        <w:t>]</w:t>
      </w:r>
      <w:bookmarkEnd w:id="2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 منه الصلاة فی الحضر یجب علیه قضاؤها تماماً و لو فی السفر، کما أنّه إذا فاتت منه فی السفر یجب علیه قضاؤها قصراً و لو فی الحضر</w:t>
      </w:r>
      <w:r>
        <w:rPr>
          <w:rFonts w:eastAsia="IRNazanin" w:cs="IRNazanin"/>
          <w:color w:val="111111"/>
          <w:sz w:val="28"/>
          <w:szCs w:val="28"/>
          <w:rtl w:val="true"/>
          <w:lang w:bidi="fa-IR"/>
        </w:rPr>
        <w:t>.</w:t>
      </w:r>
    </w:p>
    <w:p>
      <w:pPr>
        <w:pStyle w:val="Heading5"/>
        <w:numPr>
          <w:ilvl w:val="4"/>
          <w:numId w:val="1"/>
        </w:numPr>
        <w:rPr/>
      </w:pPr>
      <w:bookmarkStart w:id="2439" w:name="__RefHeading___Toc2567210_3650668749"/>
      <w:bookmarkStart w:id="2440" w:name="_Toc1114"/>
      <w:bookmarkEnd w:id="2439"/>
      <w:r>
        <w:rPr>
          <w:rtl w:val="true"/>
        </w:rPr>
        <w:t>[ (</w:t>
      </w:r>
      <w:r>
        <w:rPr>
          <w:rtl w:val="true"/>
        </w:rPr>
        <w:t xml:space="preserve">مسألة </w:t>
      </w:r>
      <w:r>
        <w:rPr/>
        <w:t>7</w:t>
      </w:r>
      <w:r>
        <w:rPr>
          <w:rtl w:val="true"/>
        </w:rPr>
        <w:t xml:space="preserve">): </w:t>
      </w:r>
      <w:r>
        <w:rPr>
          <w:rtl w:val="true"/>
        </w:rPr>
        <w:t>إذا فاتت منه الصلاة و کان فی أوّل الوقت حاضراً و فی آخره مسافراً</w:t>
      </w:r>
      <w:r>
        <w:rPr>
          <w:rtl w:val="true"/>
        </w:rPr>
        <w:t>]</w:t>
      </w:r>
      <w:bookmarkEnd w:id="2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فاتت منه الصلاة و کان فی أوّل الوقت حاضراً و فی آخره مسافراً و بالعکس الأقویٰ </w:t>
      </w:r>
      <w:r>
        <w:rPr>
          <w:rStyle w:val="FootnoteAnchor"/>
          <w:rtl w:val="true"/>
        </w:rPr>
        <w:footnoteReference w:id="701"/>
      </w:r>
      <w:r>
        <w:rPr>
          <w:rFonts w:ascii="IRNazanin" w:hAnsi="IRNazanin" w:eastAsia="IRNazanin"/>
          <w:color w:val="111111"/>
          <w:sz w:val="28"/>
          <w:sz w:val="28"/>
          <w:szCs w:val="28"/>
          <w:rtl w:val="true"/>
          <w:lang w:bidi="fa-IR"/>
        </w:rPr>
        <w:t>مراعاة حال الفوت؛ و هو آخر الوقت فی القضاء، فیقضی الأوّل قصراً و الثانی تماماً</w:t>
      </w:r>
      <w:r>
        <w:rPr>
          <w:rFonts w:eastAsia="IRNazanin" w:cs="IRNazanin"/>
          <w:color w:val="111111"/>
          <w:sz w:val="28"/>
          <w:szCs w:val="28"/>
          <w:rtl w:val="true"/>
          <w:lang w:bidi="fa-IR"/>
        </w:rPr>
        <w:t>.</w:t>
      </w:r>
    </w:p>
    <w:p>
      <w:pPr>
        <w:pStyle w:val="Heading5"/>
        <w:numPr>
          <w:ilvl w:val="4"/>
          <w:numId w:val="1"/>
        </w:numPr>
        <w:rPr/>
      </w:pPr>
      <w:bookmarkStart w:id="2441" w:name="__RefHeading___Toc2567212_3650668749"/>
      <w:bookmarkStart w:id="2442" w:name="_Toc1115"/>
      <w:bookmarkEnd w:id="2441"/>
      <w:r>
        <w:rPr>
          <w:rtl w:val="true"/>
        </w:rPr>
        <w:t>[ (</w:t>
      </w:r>
      <w:r>
        <w:rPr>
          <w:rtl w:val="true"/>
        </w:rPr>
        <w:t xml:space="preserve">مسألة </w:t>
      </w:r>
      <w:r>
        <w:rPr/>
        <w:t>8</w:t>
      </w:r>
      <w:r>
        <w:rPr>
          <w:rtl w:val="true"/>
        </w:rPr>
        <w:t xml:space="preserve">): </w:t>
      </w:r>
      <w:r>
        <w:rPr>
          <w:rtl w:val="true"/>
        </w:rPr>
        <w:t>یتخیّر المسافر مع عدم قصد الإقامة بین القصر و الإتمام فی الأماکن الأربعة</w:t>
      </w:r>
      <w:r>
        <w:rPr>
          <w:rtl w:val="true"/>
        </w:rPr>
        <w:t>]</w:t>
      </w:r>
      <w:bookmarkEnd w:id="2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یتخیّر المسافر مع عدم قصد الإقامة بین القصر و الإتمام فی الأماکن الأربعة؛ و هی مسجد الحرام و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الکوفة و الحائر الحسینی علیٰ مشرّفه السلام و الإتمام أفضل، و إلحاق بلدی مکّة و المدینة بمسجدیهما لا یخلو من قوّة، و لا یلحق </w:t>
      </w:r>
      <w:r>
        <w:rPr>
          <w:rStyle w:val="FootnoteAnchor"/>
          <w:rtl w:val="true"/>
        </w:rPr>
        <w:footnoteReference w:id="702"/>
      </w:r>
      <w:r>
        <w:rPr>
          <w:rFonts w:ascii="IRNazanin" w:hAnsi="IRNazanin" w:eastAsia="IRNazanin"/>
          <w:color w:val="111111"/>
          <w:sz w:val="28"/>
          <w:sz w:val="28"/>
          <w:szCs w:val="28"/>
          <w:rtl w:val="true"/>
          <w:lang w:bidi="fa-IR"/>
        </w:rPr>
        <w:t>بها سائر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المساجد بین السطوح و الصحن و المواضع المنخفضة کبیت الطشت فی مسجد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دخول تمام الروضة الشریفة فی الحائر، فیمتدّ من طرف الرأس إلی الشبّاک المتّصل بالرواق، و من طرف الرجل إلی الباب و الشبّاک المتّصلین بالرواق، و من الخلف إلیٰ حدّ المسجد، و إن کان دخول المسجد و الرواق الشریف فیه أیضاً لا یخلو من قوّة، لکنّ الاحتیاط بالقصر لا ینبغی ترکه</w:t>
      </w:r>
      <w:r>
        <w:rPr>
          <w:rFonts w:eastAsia="IRNazanin" w:cs="IRNazanin"/>
          <w:color w:val="111111"/>
          <w:sz w:val="28"/>
          <w:szCs w:val="28"/>
          <w:rtl w:val="true"/>
          <w:lang w:bidi="fa-IR"/>
        </w:rPr>
        <w:t>.</w:t>
      </w:r>
    </w:p>
    <w:p>
      <w:pPr>
        <w:pStyle w:val="Heading5"/>
        <w:numPr>
          <w:ilvl w:val="4"/>
          <w:numId w:val="1"/>
        </w:numPr>
        <w:rPr/>
      </w:pPr>
      <w:bookmarkStart w:id="2443" w:name="__RefHeading___Toc2567214_3650668749"/>
      <w:bookmarkStart w:id="2444" w:name="_Toc1116"/>
      <w:bookmarkEnd w:id="2443"/>
      <w:r>
        <w:rPr>
          <w:rtl w:val="true"/>
        </w:rPr>
        <w:t>[ (</w:t>
      </w:r>
      <w:r>
        <w:rPr>
          <w:rtl w:val="true"/>
        </w:rPr>
        <w:t xml:space="preserve">مسألة </w:t>
      </w:r>
      <w:r>
        <w:rPr/>
        <w:t>9</w:t>
      </w:r>
      <w:r>
        <w:rPr>
          <w:rtl w:val="true"/>
        </w:rPr>
        <w:t xml:space="preserve">): </w:t>
      </w:r>
      <w:r>
        <w:rPr>
          <w:rtl w:val="true"/>
        </w:rPr>
        <w:t>التخییر فی هذه الأماکن استمراریّ</w:t>
      </w:r>
      <w:r>
        <w:rPr>
          <w:rtl w:val="true"/>
        </w:rPr>
        <w:t>]</w:t>
      </w:r>
      <w:bookmarkEnd w:id="2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فی هذه الأماکن استمراریّ، فیجوز لمن شرع فی الصلاة بنیّة القصر العدول إلی التمام و بالعکس ما لم یتجاوز محلّ العدول، بل لا بأس بأن ینوی الصلاة من غیر تعیین للقصر أو التمام من أوّل الأمر</w:t>
      </w:r>
      <w:r>
        <w:rPr>
          <w:rFonts w:eastAsia="IRNazanin" w:cs="IRNazanin"/>
          <w:color w:val="111111"/>
          <w:sz w:val="28"/>
          <w:szCs w:val="28"/>
          <w:rtl w:val="true"/>
          <w:lang w:bidi="fa-IR"/>
        </w:rPr>
        <w:t>.</w:t>
      </w:r>
    </w:p>
    <w:p>
      <w:pPr>
        <w:pStyle w:val="Heading5"/>
        <w:numPr>
          <w:ilvl w:val="4"/>
          <w:numId w:val="1"/>
        </w:numPr>
        <w:rPr/>
      </w:pPr>
      <w:bookmarkStart w:id="2445" w:name="__RefHeading___Toc2567216_3650668749"/>
      <w:bookmarkStart w:id="2446" w:name="_Toc1117"/>
      <w:bookmarkEnd w:id="2445"/>
      <w:r>
        <w:rPr>
          <w:rtl w:val="true"/>
        </w:rPr>
        <w:t>[ (</w:t>
      </w:r>
      <w:r>
        <w:rPr>
          <w:rtl w:val="true"/>
        </w:rPr>
        <w:t xml:space="preserve">مسألة </w:t>
      </w:r>
      <w:r>
        <w:rPr/>
        <w:t>10</w:t>
      </w:r>
      <w:r>
        <w:rPr>
          <w:rtl w:val="true"/>
        </w:rPr>
        <w:t xml:space="preserve">): </w:t>
      </w:r>
      <w:r>
        <w:rPr>
          <w:rtl w:val="true"/>
        </w:rPr>
        <w:t>لا یلحق الصوم بالصلاة فی التخییر المزبور</w:t>
      </w:r>
      <w:r>
        <w:rPr>
          <w:rtl w:val="true"/>
        </w:rPr>
        <w:t>]</w:t>
      </w:r>
      <w:bookmarkEnd w:id="2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یلحق الصوم بالصلاة فی التخییر المزبور فلا یصحّ له الصوم فیها ما لم ینو الإقامة أو بقی متردّداً ثلاثین یوماً</w:t>
      </w:r>
      <w:r>
        <w:rPr>
          <w:rFonts w:eastAsia="IRNazanin" w:cs="IRNazanin"/>
          <w:color w:val="111111"/>
          <w:sz w:val="28"/>
          <w:szCs w:val="28"/>
          <w:rtl w:val="true"/>
          <w:lang w:bidi="fa-IR"/>
        </w:rPr>
        <w:t>.</w:t>
      </w:r>
    </w:p>
    <w:p>
      <w:pPr>
        <w:pStyle w:val="Heading5"/>
        <w:numPr>
          <w:ilvl w:val="4"/>
          <w:numId w:val="1"/>
        </w:numPr>
        <w:rPr/>
      </w:pPr>
      <w:bookmarkStart w:id="2447" w:name="__RefHeading___Toc2567218_3650668749"/>
      <w:bookmarkStart w:id="2448" w:name="_Toc1118"/>
      <w:bookmarkEnd w:id="2447"/>
      <w:r>
        <w:rPr>
          <w:rtl w:val="true"/>
        </w:rPr>
        <w:t>[ (</w:t>
      </w:r>
      <w:r>
        <w:rPr>
          <w:rtl w:val="true"/>
        </w:rPr>
        <w:t xml:space="preserve">مسألة </w:t>
      </w:r>
      <w:r>
        <w:rPr/>
        <w:t>11</w:t>
      </w:r>
      <w:r>
        <w:rPr>
          <w:rtl w:val="true"/>
        </w:rPr>
        <w:t xml:space="preserve">): </w:t>
      </w:r>
      <w:r>
        <w:rPr>
          <w:rtl w:val="true"/>
        </w:rPr>
        <w:t>یستحبّ أن یقول عقیب کلّ صلاة مقصورة ثلاثین مرّة</w:t>
      </w:r>
      <w:r>
        <w:rPr>
          <w:rtl w:val="true"/>
        </w:rPr>
        <w:t>]</w:t>
      </w:r>
      <w:bookmarkEnd w:id="244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یقول عقیب کلّ صلاة مقصورة ثلاثین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أکبر</w:t>
      </w:r>
      <w:r>
        <w:rPr>
          <w:rFonts w:eastAsia="Amiri" w:cs="Amiri" w:ascii="Amiri" w:hAnsi="Amiri"/>
          <w:color w:val="111111"/>
          <w:sz w:val="28"/>
          <w:szCs w:val="28"/>
          <w:rtl w:val="true"/>
          <w:lang w:bidi="ar-SA"/>
        </w:rPr>
        <w:t>».</w:t>
      </w:r>
      <w:bookmarkStart w:id="2449" w:name="pg1809_19121"/>
    </w:p>
    <w:p>
      <w:pPr>
        <w:pStyle w:val="Heading3"/>
        <w:numPr>
          <w:ilvl w:val="2"/>
          <w:numId w:val="1"/>
        </w:numPr>
        <w:rPr/>
      </w:pPr>
      <w:bookmarkStart w:id="2450" w:name="__RefHeading___Toc2567220_3650668749"/>
      <w:bookmarkStart w:id="2451" w:name="_Toc1119"/>
      <w:bookmarkEnd w:id="2449"/>
      <w:bookmarkEnd w:id="2450"/>
      <w:r>
        <w:rPr>
          <w:rtl w:val="true"/>
        </w:rPr>
        <w:t>[</w:t>
      </w:r>
      <w:r>
        <w:rPr>
          <w:rtl w:val="true"/>
        </w:rPr>
        <w:t>فصل فی صلاة الجماعة</w:t>
      </w:r>
      <w:r>
        <w:rPr>
          <w:rtl w:val="true"/>
        </w:rPr>
        <w:t>]</w:t>
      </w:r>
      <w:bookmarkEnd w:id="2451"/>
    </w:p>
    <w:p>
      <w:pPr>
        <w:pStyle w:val="Heading4"/>
        <w:numPr>
          <w:ilvl w:val="3"/>
          <w:numId w:val="1"/>
        </w:numPr>
        <w:rPr/>
      </w:pPr>
      <w:bookmarkStart w:id="2452" w:name="__RefHeading___Toc2567222_3650668749"/>
      <w:bookmarkStart w:id="2453" w:name="_Toc1120"/>
      <w:bookmarkEnd w:id="2452"/>
      <w:r>
        <w:rPr>
          <w:rtl w:val="true"/>
        </w:rPr>
        <w:t>اشارة</w:t>
      </w:r>
      <w:bookmarkEnd w:id="2453"/>
    </w:p>
    <w:p>
      <w:pPr>
        <w:pStyle w:val="BookText"/>
        <w:rPr/>
      </w:pPr>
      <w:r>
        <w:rPr>
          <w:rFonts w:ascii="IRNazanin" w:hAnsi="IRNazanin" w:eastAsia="IRNazanin"/>
          <w:color w:val="111111"/>
          <w:sz w:val="28"/>
          <w:sz w:val="28"/>
          <w:szCs w:val="28"/>
          <w:rtl w:val="true"/>
          <w:lang w:bidi="fa-IR"/>
        </w:rPr>
        <w:t>فصل فی صلاة الجماعة</w:t>
      </w:r>
    </w:p>
    <w:p>
      <w:pPr>
        <w:pStyle w:val="Heading4"/>
        <w:numPr>
          <w:ilvl w:val="3"/>
          <w:numId w:val="1"/>
        </w:numPr>
        <w:rPr/>
      </w:pPr>
      <w:bookmarkStart w:id="2454" w:name="__RefHeading___Toc2567224_3650668749"/>
      <w:bookmarkStart w:id="2455" w:name="_Toc1121"/>
      <w:bookmarkEnd w:id="2454"/>
      <w:r>
        <w:rPr>
          <w:rtl w:val="true"/>
        </w:rPr>
        <w:t>[</w:t>
      </w:r>
      <w:r>
        <w:rPr>
          <w:rtl w:val="true"/>
        </w:rPr>
        <w:t>مسائل</w:t>
      </w:r>
      <w:r>
        <w:rPr>
          <w:rtl w:val="true"/>
        </w:rPr>
        <w:t>]</w:t>
      </w:r>
      <w:bookmarkEnd w:id="2455"/>
    </w:p>
    <w:p>
      <w:pPr>
        <w:pStyle w:val="Heading5"/>
        <w:numPr>
          <w:ilvl w:val="4"/>
          <w:numId w:val="1"/>
        </w:numPr>
        <w:rPr/>
      </w:pPr>
      <w:bookmarkStart w:id="2456" w:name="__RefHeading___Toc2567226_3650668749"/>
      <w:bookmarkStart w:id="2457" w:name="_Toc1122"/>
      <w:bookmarkEnd w:id="2456"/>
      <w:r>
        <w:rPr>
          <w:rtl w:val="true"/>
        </w:rPr>
        <w:t>اشارة</w:t>
      </w:r>
      <w:bookmarkEnd w:id="2457"/>
    </w:p>
    <w:p>
      <w:pPr>
        <w:pStyle w:val="BookText"/>
        <w:rPr/>
      </w:pPr>
      <w:r>
        <w:rPr>
          <w:rFonts w:ascii="IRNazanin" w:hAnsi="IRNazanin" w:eastAsia="IRNazanin"/>
          <w:color w:val="111111"/>
          <w:sz w:val="28"/>
          <w:sz w:val="28"/>
          <w:szCs w:val="28"/>
          <w:rtl w:val="true"/>
          <w:lang w:bidi="fa-IR"/>
        </w:rPr>
        <w:t>و هی من المستحبّات الأکیدة فی جمیع الفرائض خصوصاً الیومیّة، و یتأکّد فی الصبح و العشاءین، و لها ثواب عظیم یبهر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واجبة بالأصل لا شرعاً و لا شرطاً إلّا فی الجمعة مع الشرائط المذکورة فی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تشرع فی شی‌ء من النوافل الأصلیّة و إن وجبت بالعارض بنذر و نحوه عدا صلاة الاستسقاء، و لا بأس بها فیما صار نفلًا بالعارض کصلاة العیدین </w:t>
      </w:r>
      <w:r>
        <w:rPr>
          <w:rStyle w:val="FootnoteAnchor"/>
          <w:rtl w:val="true"/>
        </w:rPr>
        <w:footnoteReference w:id="703"/>
      </w:r>
      <w:r>
        <w:rPr>
          <w:rFonts w:ascii="IRNazanin" w:hAnsi="IRNazanin" w:eastAsia="IRNazanin"/>
          <w:color w:val="111111"/>
          <w:sz w:val="28"/>
          <w:sz w:val="28"/>
          <w:szCs w:val="28"/>
          <w:rtl w:val="true"/>
          <w:lang w:bidi="fa-IR"/>
        </w:rPr>
        <w:t>مع عدم اجتماع شرائط الوجوب</w:t>
      </w:r>
      <w:r>
        <w:rPr>
          <w:rFonts w:eastAsia="IRNazanin" w:cs="IRNazanin"/>
          <w:color w:val="111111"/>
          <w:sz w:val="28"/>
          <w:szCs w:val="28"/>
          <w:rtl w:val="true"/>
          <w:lang w:bidi="fa-IR"/>
        </w:rPr>
        <w:t>.</w:t>
      </w:r>
    </w:p>
    <w:p>
      <w:pPr>
        <w:pStyle w:val="Heading5"/>
        <w:numPr>
          <w:ilvl w:val="4"/>
          <w:numId w:val="1"/>
        </w:numPr>
        <w:rPr/>
      </w:pPr>
      <w:bookmarkStart w:id="2458" w:name="__RefHeading___Toc2567228_3650668749"/>
      <w:bookmarkStart w:id="2459" w:name="_Toc1123"/>
      <w:bookmarkEnd w:id="2458"/>
      <w:r>
        <w:rPr>
          <w:rtl w:val="true"/>
        </w:rPr>
        <w:t>[ (</w:t>
      </w:r>
      <w:r>
        <w:rPr>
          <w:rtl w:val="true"/>
        </w:rPr>
        <w:t xml:space="preserve">مسألة </w:t>
      </w:r>
      <w:r>
        <w:rPr/>
        <w:t>1</w:t>
      </w:r>
      <w:r>
        <w:rPr>
          <w:rtl w:val="true"/>
        </w:rPr>
        <w:t xml:space="preserve">): </w:t>
      </w:r>
      <w:r>
        <w:rPr>
          <w:rtl w:val="true"/>
        </w:rPr>
        <w:t>لا یشترط فی صحّة الجماعة اتّحاد صلاة الإمام و المأموم نوعاً أو کیفیّة</w:t>
      </w:r>
      <w:r>
        <w:rPr>
          <w:rtl w:val="true"/>
        </w:rPr>
        <w:t>]</w:t>
      </w:r>
      <w:bookmarkEnd w:id="2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صحّة الجماعة اتّحاد صلاة الإمام و المأموم نوعاً أو کیفیّة فیأتمّ مصلّی الیومیّة أیّ صلاة کانت بمصلّی الیومیّة کذلک و إن اختلفتا فی القصر و التمام أو الأداء و القضاء، و کذا مصلّی الآیة بمصلّیها و إن اختلفت الآیتان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یجوز اقتداء الیومیّة بالعیدین و الآیات و صلاة الأموات، بل و صلاة الاحتیاط و صلاة الطواف و بالعکس، و کذا لا یجوز اقتداء کلّ من الخمس بعضها ببعض بل مشروعیة الجماعة فی صلاة الطواف محلّ إشکال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0" w:name="__RefHeading___Toc2567230_3650668749"/>
      <w:bookmarkStart w:id="2461" w:name="_Toc1124"/>
      <w:bookmarkEnd w:id="2460"/>
      <w:r>
        <w:rPr>
          <w:rtl w:val="true"/>
        </w:rPr>
        <w:t>[ (</w:t>
      </w:r>
      <w:r>
        <w:rPr>
          <w:rtl w:val="true"/>
        </w:rPr>
        <w:t xml:space="preserve">مسألة </w:t>
      </w:r>
      <w:r>
        <w:rPr/>
        <w:t>2</w:t>
      </w:r>
      <w:r>
        <w:rPr>
          <w:rtl w:val="true"/>
        </w:rPr>
        <w:t xml:space="preserve">): </w:t>
      </w:r>
      <w:r>
        <w:rPr>
          <w:rtl w:val="true"/>
        </w:rPr>
        <w:t>أقلّ عدد تنعقد به الجماعة فی غیر الجمعة و العیدین اثنان</w:t>
      </w:r>
      <w:r>
        <w:rPr>
          <w:rtl w:val="true"/>
        </w:rPr>
        <w:t>]</w:t>
      </w:r>
      <w:bookmarkEnd w:id="2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عدد تنعقد به الجماعة فی غیر الجمعة و العیدین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الإمام؛ سواء کان المأموم رجلًا أو امرأة بل و صبیّاً ممیّزاً علی الأقویٰ</w:t>
      </w:r>
      <w:r>
        <w:rPr>
          <w:rFonts w:eastAsia="IRNazanin" w:cs="IRNazanin"/>
          <w:color w:val="111111"/>
          <w:sz w:val="28"/>
          <w:szCs w:val="28"/>
          <w:rtl w:val="true"/>
          <w:lang w:bidi="fa-IR"/>
        </w:rPr>
        <w:t>.</w:t>
      </w:r>
    </w:p>
    <w:p>
      <w:pPr>
        <w:pStyle w:val="Heading5"/>
        <w:numPr>
          <w:ilvl w:val="4"/>
          <w:numId w:val="1"/>
        </w:numPr>
        <w:rPr/>
      </w:pPr>
      <w:bookmarkStart w:id="2462" w:name="__RefHeading___Toc2567232_3650668749"/>
      <w:bookmarkStart w:id="2463" w:name="_Toc1125"/>
      <w:bookmarkEnd w:id="2462"/>
      <w:r>
        <w:rPr>
          <w:rtl w:val="true"/>
        </w:rPr>
        <w:t>[ (</w:t>
      </w:r>
      <w:r>
        <w:rPr>
          <w:rtl w:val="true"/>
        </w:rPr>
        <w:t xml:space="preserve">مسألة </w:t>
      </w:r>
      <w:r>
        <w:rPr/>
        <w:t>3</w:t>
      </w:r>
      <w:r>
        <w:rPr>
          <w:rtl w:val="true"/>
        </w:rPr>
        <w:t xml:space="preserve">): </w:t>
      </w:r>
      <w:r>
        <w:rPr>
          <w:rtl w:val="true"/>
        </w:rPr>
        <w:t>لا یشترط فی انعقاد الجماعة فی غیر الجمعة و العیدین</w:t>
      </w:r>
      <w:r>
        <w:rPr>
          <w:rtl w:val="true"/>
        </w:rPr>
        <w:t>]</w:t>
      </w:r>
      <w:bookmarkEnd w:id="246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فی انعقاد الجماعة فی غیر الجمعة و العیدین </w:t>
      </w:r>
      <w:r>
        <w:rPr>
          <w:rStyle w:val="FootnoteAnchor"/>
          <w:rtl w:val="true"/>
        </w:rPr>
        <w:footnoteReference w:id="705"/>
      </w:r>
      <w:r>
        <w:rPr>
          <w:rFonts w:ascii="IRNazanin" w:hAnsi="IRNazanin" w:eastAsia="IRNazanin"/>
          <w:color w:val="111111"/>
          <w:sz w:val="28"/>
          <w:sz w:val="28"/>
          <w:szCs w:val="28"/>
          <w:rtl w:val="true"/>
          <w:lang w:bidi="fa-IR"/>
        </w:rPr>
        <w:t>نیّة الإمام الجماعة و الإمامة؛ و إن توقّف حصول الثواب فی حقّه علیها، و أمّا المأموم فلا بدّ له من نیّة الاقتداء، فلو لم ینوه لم تنعقد الجماعة و إن تابع الإمام فی الأقوال و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وحدة الإمام، فلو نوی الاقتداء باثنین لم تتحقّق الجماعة و لو کانا متقارنین، و کذا یجب تعیین الإمام بالاسم أو الوصف أو الإشارة الذهنیّة أو الخارجیّة؛ کأن ینوی الاقتداء بهذا الحاضر و لو لم یعرفه باسمه و وصفه، إلّا أنّه یعلم کونه عادلًا صالحاً للاقتداء، فلو نوی الاقتداء بأحد هذین لم تقع الجماعة و إن کان من قصده تعیین أحدهما بعد ذلک</w:t>
      </w:r>
      <w:r>
        <w:rPr>
          <w:rFonts w:eastAsia="IRNazanin" w:cs="IRNazanin"/>
          <w:color w:val="111111"/>
          <w:sz w:val="28"/>
          <w:szCs w:val="28"/>
          <w:rtl w:val="true"/>
          <w:lang w:bidi="fa-IR"/>
        </w:rPr>
        <w:t>.</w:t>
      </w:r>
      <w:bookmarkStart w:id="2464" w:name="pg1809_19124"/>
    </w:p>
    <w:p>
      <w:pPr>
        <w:pStyle w:val="Heading5"/>
        <w:numPr>
          <w:ilvl w:val="4"/>
          <w:numId w:val="1"/>
        </w:numPr>
        <w:rPr/>
      </w:pPr>
      <w:bookmarkStart w:id="2465" w:name="__RefHeading___Toc2567234_3650668749"/>
      <w:bookmarkStart w:id="2466" w:name="_Toc1126"/>
      <w:bookmarkEnd w:id="2464"/>
      <w:bookmarkEnd w:id="2465"/>
      <w:r>
        <w:rPr>
          <w:rtl w:val="true"/>
        </w:rPr>
        <w:t>[ (</w:t>
      </w:r>
      <w:r>
        <w:rPr>
          <w:rtl w:val="true"/>
        </w:rPr>
        <w:t xml:space="preserve">مسألة </w:t>
      </w:r>
      <w:r>
        <w:rPr/>
        <w:t>4</w:t>
      </w:r>
      <w:r>
        <w:rPr>
          <w:rtl w:val="true"/>
        </w:rPr>
        <w:t xml:space="preserve">): </w:t>
      </w:r>
      <w:r>
        <w:rPr>
          <w:rtl w:val="true"/>
        </w:rPr>
        <w:t>لو شکّ فی أنّه نوی الائتمام أم لا، بنیٰ علی العدم</w:t>
      </w:r>
      <w:r>
        <w:rPr>
          <w:rtl w:val="true"/>
        </w:rPr>
        <w:t>]</w:t>
      </w:r>
      <w:bookmarkEnd w:id="2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أنّه نوی الائتمام أم لا، بنیٰ علی العدم و إن علم أنّه قام بنیّة الدخول فی الجماعة، نعم لو ظهر فیه حال الائتمام </w:t>
      </w:r>
      <w:r>
        <w:rPr>
          <w:rStyle w:val="FootnoteAnchor"/>
          <w:rtl w:val="true"/>
        </w:rPr>
        <w:footnoteReference w:id="706"/>
      </w:r>
      <w:r>
        <w:rPr>
          <w:rFonts w:ascii="IRNazanin" w:hAnsi="IRNazanin" w:eastAsia="IRNazanin"/>
          <w:color w:val="111111"/>
          <w:sz w:val="28"/>
          <w:sz w:val="28"/>
          <w:szCs w:val="28"/>
          <w:rtl w:val="true"/>
          <w:lang w:bidi="fa-IR"/>
        </w:rPr>
        <w:t>کالإنصات و نحوه بنیٰ علیه</w:t>
      </w:r>
      <w:r>
        <w:rPr>
          <w:rFonts w:eastAsia="IRNazanin" w:cs="IRNazanin"/>
          <w:color w:val="111111"/>
          <w:sz w:val="28"/>
          <w:szCs w:val="28"/>
          <w:rtl w:val="true"/>
          <w:lang w:bidi="fa-IR"/>
        </w:rPr>
        <w:t>.</w:t>
      </w:r>
    </w:p>
    <w:p>
      <w:pPr>
        <w:pStyle w:val="Heading5"/>
        <w:numPr>
          <w:ilvl w:val="4"/>
          <w:numId w:val="1"/>
        </w:numPr>
        <w:rPr/>
      </w:pPr>
      <w:bookmarkStart w:id="2467" w:name="__RefHeading___Toc2567236_3650668749"/>
      <w:bookmarkStart w:id="2468" w:name="_Toc1127"/>
      <w:bookmarkEnd w:id="2467"/>
      <w:r>
        <w:rPr>
          <w:rtl w:val="true"/>
        </w:rPr>
        <w:t>[ (</w:t>
      </w:r>
      <w:r>
        <w:rPr>
          <w:rtl w:val="true"/>
        </w:rPr>
        <w:t xml:space="preserve">مسألة </w:t>
      </w:r>
      <w:r>
        <w:rPr/>
        <w:t>5</w:t>
      </w:r>
      <w:r>
        <w:rPr>
          <w:rtl w:val="true"/>
        </w:rPr>
        <w:t xml:space="preserve">): </w:t>
      </w:r>
      <w:r>
        <w:rPr>
          <w:rtl w:val="true"/>
        </w:rPr>
        <w:t>إذا نوی الاقتداء بشخص علیٰ أنّه زید فبان أنّه عمرو</w:t>
      </w:r>
      <w:r>
        <w:rPr>
          <w:rtl w:val="true"/>
        </w:rPr>
        <w:t>]</w:t>
      </w:r>
      <w:bookmarkEnd w:id="2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نوی الاقتداء بشخص علیٰ أنّه زید فبان أنّه عمرو، فإن لم یکن عمرو عادلًا بطلت جماعته، بل و صلاته </w:t>
      </w:r>
      <w:r>
        <w:rPr>
          <w:rStyle w:val="FootnoteAnchor"/>
          <w:rtl w:val="true"/>
        </w:rPr>
        <w:footnoteReference w:id="707"/>
      </w:r>
      <w:r>
        <w:rPr>
          <w:rFonts w:ascii="IRNazanin" w:hAnsi="IRNazanin" w:eastAsia="IRNazanin"/>
          <w:color w:val="111111"/>
          <w:sz w:val="28"/>
          <w:sz w:val="28"/>
          <w:szCs w:val="28"/>
          <w:rtl w:val="true"/>
          <w:lang w:bidi="fa-IR"/>
        </w:rPr>
        <w:t xml:space="preserve">أیضاً إذا أتی بما یخالف صلاة المنفرد، و إن کان عادلًا ففی المسألة صورتان </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أن یکون قصده الاقتداء بزید و تخیّل أنّ الحاضر هو زید، و فی هذه الصورة تبطل جماعته، بل و صلاته أیضاً إن خالفت صلاة المنفرد،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قصده الاقتداء بهذا الحاضر، و لکن تخیّل أنّه زید فبان أنّه عمرو، و فی هذه الصورة تصحّ جماعته و صلاته</w:t>
      </w:r>
      <w:r>
        <w:rPr>
          <w:rFonts w:eastAsia="IRNazanin" w:cs="IRNazanin"/>
          <w:color w:val="111111"/>
          <w:sz w:val="28"/>
          <w:szCs w:val="28"/>
          <w:rtl w:val="true"/>
          <w:lang w:bidi="fa-IR"/>
        </w:rPr>
        <w:t>.</w:t>
      </w:r>
    </w:p>
    <w:p>
      <w:pPr>
        <w:pStyle w:val="Heading5"/>
        <w:numPr>
          <w:ilvl w:val="4"/>
          <w:numId w:val="1"/>
        </w:numPr>
        <w:rPr/>
      </w:pPr>
      <w:bookmarkStart w:id="2469" w:name="__RefHeading___Toc2567238_3650668749"/>
      <w:bookmarkStart w:id="2470" w:name="_Toc1128"/>
      <w:bookmarkEnd w:id="2469"/>
      <w:r>
        <w:rPr>
          <w:rtl w:val="true"/>
        </w:rPr>
        <w:t>[ (</w:t>
      </w:r>
      <w:r>
        <w:rPr>
          <w:rtl w:val="true"/>
        </w:rPr>
        <w:t xml:space="preserve">مسألة </w:t>
      </w:r>
      <w:r>
        <w:rPr/>
        <w:t>6</w:t>
      </w:r>
      <w:r>
        <w:rPr>
          <w:rtl w:val="true"/>
        </w:rPr>
        <w:t xml:space="preserve">): </w:t>
      </w:r>
      <w:r>
        <w:rPr>
          <w:rtl w:val="true"/>
        </w:rPr>
        <w:t>لا یجوز للمنفرد العدول إلی الائتمام فی الأثناء</w:t>
      </w:r>
      <w:r>
        <w:rPr>
          <w:rtl w:val="true"/>
        </w:rPr>
        <w:t>]</w:t>
      </w:r>
      <w:bookmarkEnd w:id="2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w:t>
      </w:r>
      <w:r>
        <w:rPr>
          <w:rStyle w:val="FootnoteAnchor"/>
          <w:rtl w:val="true"/>
        </w:rPr>
        <w:footnoteReference w:id="709"/>
      </w:r>
      <w:r>
        <w:rPr>
          <w:rFonts w:ascii="IRNazanin" w:hAnsi="IRNazanin" w:eastAsia="IRNazanin"/>
          <w:color w:val="111111"/>
          <w:sz w:val="28"/>
          <w:sz w:val="28"/>
          <w:szCs w:val="28"/>
          <w:rtl w:val="true"/>
          <w:lang w:bidi="fa-IR"/>
        </w:rPr>
        <w:t>للمنفرد العدول إلی الائتمام فی الأثناء</w:t>
      </w:r>
      <w:r>
        <w:rPr>
          <w:rFonts w:eastAsia="IRNazanin" w:cs="IRNazanin"/>
          <w:color w:val="111111"/>
          <w:sz w:val="28"/>
          <w:szCs w:val="28"/>
          <w:rtl w:val="true"/>
          <w:lang w:bidi="fa-IR"/>
        </w:rPr>
        <w:t>.</w:t>
      </w:r>
    </w:p>
    <w:p>
      <w:pPr>
        <w:pStyle w:val="Heading5"/>
        <w:numPr>
          <w:ilvl w:val="4"/>
          <w:numId w:val="1"/>
        </w:numPr>
        <w:rPr/>
      </w:pPr>
      <w:bookmarkStart w:id="2471" w:name="__RefHeading___Toc2567240_3650668749"/>
      <w:bookmarkStart w:id="2472" w:name="_Toc1129"/>
      <w:bookmarkEnd w:id="2471"/>
      <w:r>
        <w:rPr>
          <w:rtl w:val="true"/>
        </w:rPr>
        <w:t>[ (</w:t>
      </w:r>
      <w:r>
        <w:rPr>
          <w:rtl w:val="true"/>
        </w:rPr>
        <w:t xml:space="preserve">مسألة </w:t>
      </w:r>
      <w:r>
        <w:rPr/>
        <w:t>7</w:t>
      </w:r>
      <w:r>
        <w:rPr>
          <w:rtl w:val="true"/>
        </w:rPr>
        <w:t xml:space="preserve">): </w:t>
      </w:r>
      <w:r>
        <w:rPr>
          <w:rtl w:val="true"/>
        </w:rPr>
        <w:t>یجوز العدول من الائتمام إلی الانفراد و لو اختیاراً فی جمیع أحوال الصلاة</w:t>
      </w:r>
      <w:r>
        <w:rPr>
          <w:rtl w:val="true"/>
        </w:rPr>
        <w:t>]</w:t>
      </w:r>
      <w:bookmarkEnd w:id="2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العدول من الائتمام إلی الانفراد و لو اختیاراً فی جمیع أحوال الصلاة و إن کان من نیّته ذلک فی أوّل الصلاة، لکن الأحوط </w:t>
      </w:r>
      <w:r>
        <w:rPr>
          <w:rStyle w:val="FootnoteAnchor"/>
          <w:rtl w:val="true"/>
        </w:rPr>
        <w:footnoteReference w:id="710"/>
      </w:r>
      <w:r>
        <w:rPr>
          <w:rFonts w:ascii="IRNazanin" w:hAnsi="IRNazanin" w:eastAsia="IRNazanin"/>
          <w:color w:val="111111"/>
          <w:sz w:val="28"/>
          <w:sz w:val="28"/>
          <w:szCs w:val="28"/>
          <w:rtl w:val="true"/>
          <w:lang w:bidi="fa-IR"/>
        </w:rPr>
        <w:t>عدم العدول إلّا لضرورة و لو دنیویّة خصوصاً فی الصورة الثانیة</w:t>
      </w:r>
      <w:r>
        <w:rPr>
          <w:rFonts w:eastAsia="IRNazanin" w:cs="IRNazanin"/>
          <w:color w:val="111111"/>
          <w:sz w:val="28"/>
          <w:szCs w:val="28"/>
          <w:rtl w:val="true"/>
          <w:lang w:bidi="fa-IR"/>
        </w:rPr>
        <w:t>.</w:t>
      </w:r>
    </w:p>
    <w:p>
      <w:pPr>
        <w:pStyle w:val="Heading5"/>
        <w:numPr>
          <w:ilvl w:val="4"/>
          <w:numId w:val="1"/>
        </w:numPr>
        <w:rPr/>
      </w:pPr>
      <w:bookmarkStart w:id="2473" w:name="__RefHeading___Toc2567242_3650668749"/>
      <w:bookmarkStart w:id="2474" w:name="_Toc1130"/>
      <w:bookmarkEnd w:id="2473"/>
      <w:r>
        <w:rPr>
          <w:rtl w:val="true"/>
        </w:rPr>
        <w:t>[ (</w:t>
      </w:r>
      <w:r>
        <w:rPr>
          <w:rtl w:val="true"/>
        </w:rPr>
        <w:t xml:space="preserve">مسألة </w:t>
      </w:r>
      <w:r>
        <w:rPr/>
        <w:t>8</w:t>
      </w:r>
      <w:r>
        <w:rPr>
          <w:rtl w:val="true"/>
        </w:rPr>
        <w:t xml:space="preserve">): </w:t>
      </w:r>
      <w:r>
        <w:rPr>
          <w:rtl w:val="true"/>
        </w:rPr>
        <w:t>إذا نوی الانفراد بعد قراءة الإمام قبل الرکوع لا یجب علیه القراءة</w:t>
      </w:r>
      <w:r>
        <w:rPr>
          <w:rtl w:val="true"/>
        </w:rPr>
        <w:t>]</w:t>
      </w:r>
      <w:bookmarkEnd w:id="2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الانفراد بعد قراءة الإمام قبل الرکوع لا یجب علیه القراءة، بل لو کان فی أثناء القراءة یکفیه بعد نیّة الانفراد قراءة ما بقی منها، و إن کان الأحوط استئنافها بقصد القربة المطلقة خصوصاً فی الصورة الثانیة</w:t>
      </w:r>
      <w:r>
        <w:rPr>
          <w:rFonts w:eastAsia="IRNazanin" w:cs="IRNazanin"/>
          <w:color w:val="111111"/>
          <w:sz w:val="28"/>
          <w:szCs w:val="28"/>
          <w:rtl w:val="true"/>
          <w:lang w:bidi="fa-IR"/>
        </w:rPr>
        <w:t>.</w:t>
      </w:r>
    </w:p>
    <w:p>
      <w:pPr>
        <w:pStyle w:val="Heading5"/>
        <w:numPr>
          <w:ilvl w:val="4"/>
          <w:numId w:val="1"/>
        </w:numPr>
        <w:rPr/>
      </w:pPr>
      <w:bookmarkStart w:id="2475" w:name="__RefHeading___Toc2567244_3650668749"/>
      <w:bookmarkStart w:id="2476" w:name="_Toc1131"/>
      <w:bookmarkEnd w:id="2475"/>
      <w:r>
        <w:rPr>
          <w:rtl w:val="true"/>
        </w:rPr>
        <w:t>[ (</w:t>
      </w:r>
      <w:r>
        <w:rPr>
          <w:rtl w:val="true"/>
        </w:rPr>
        <w:t xml:space="preserve">مسألة </w:t>
      </w:r>
      <w:r>
        <w:rPr/>
        <w:t>9</w:t>
      </w:r>
      <w:r>
        <w:rPr>
          <w:rtl w:val="true"/>
        </w:rPr>
        <w:t xml:space="preserve">): </w:t>
      </w:r>
      <w:r>
        <w:rPr>
          <w:rtl w:val="true"/>
        </w:rPr>
        <w:t>لو نوی الانفراد فی الأثناء لا یجوز له العود إلی الائتمام</w:t>
      </w:r>
      <w:r>
        <w:rPr>
          <w:rtl w:val="true"/>
        </w:rPr>
        <w:t>]</w:t>
      </w:r>
      <w:bookmarkEnd w:id="2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نوی الانفراد فی الأثناء لا یجوز له </w:t>
      </w:r>
      <w:r>
        <w:rPr>
          <w:rStyle w:val="FootnoteAnchor"/>
          <w:rtl w:val="true"/>
        </w:rPr>
        <w:footnoteReference w:id="711"/>
      </w:r>
      <w:r>
        <w:rPr>
          <w:rFonts w:ascii="IRNazanin" w:hAnsi="IRNazanin" w:eastAsia="IRNazanin"/>
          <w:color w:val="111111"/>
          <w:sz w:val="28"/>
          <w:sz w:val="28"/>
          <w:szCs w:val="28"/>
          <w:rtl w:val="true"/>
          <w:lang w:bidi="fa-IR"/>
        </w:rPr>
        <w:t>العود إلی الائتمام، کما أنّه لا یجوز للمنفرد العدول إلی الائتمام فی الأثناء</w:t>
      </w:r>
      <w:r>
        <w:rPr>
          <w:rFonts w:eastAsia="IRNazanin" w:cs="IRNazanin"/>
          <w:color w:val="111111"/>
          <w:sz w:val="28"/>
          <w:szCs w:val="28"/>
          <w:rtl w:val="true"/>
          <w:lang w:bidi="fa-IR"/>
        </w:rPr>
        <w:t>.</w:t>
      </w:r>
    </w:p>
    <w:p>
      <w:pPr>
        <w:pStyle w:val="Heading5"/>
        <w:numPr>
          <w:ilvl w:val="4"/>
          <w:numId w:val="1"/>
        </w:numPr>
        <w:rPr/>
      </w:pPr>
      <w:bookmarkStart w:id="2477" w:name="__RefHeading___Toc2567246_3650668749"/>
      <w:bookmarkStart w:id="2478" w:name="_Toc1132"/>
      <w:bookmarkEnd w:id="2477"/>
      <w:r>
        <w:rPr>
          <w:rtl w:val="true"/>
        </w:rPr>
        <w:t>[ (</w:t>
      </w:r>
      <w:r>
        <w:rPr>
          <w:rtl w:val="true"/>
        </w:rPr>
        <w:t xml:space="preserve">مسألة </w:t>
      </w:r>
      <w:r>
        <w:rPr/>
        <w:t>10</w:t>
      </w:r>
      <w:r>
        <w:rPr>
          <w:rtl w:val="true"/>
        </w:rPr>
        <w:t xml:space="preserve">): </w:t>
      </w:r>
      <w:r>
        <w:rPr>
          <w:rtl w:val="true"/>
        </w:rPr>
        <w:t>إذا لم یدرک الإمام إلّا فی الرکوع قبل أن یرفع رأسه منه و لو بعد الذکر</w:t>
      </w:r>
      <w:r>
        <w:rPr>
          <w:rtl w:val="true"/>
        </w:rPr>
        <w:t>]</w:t>
      </w:r>
      <w:bookmarkEnd w:id="247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یدرک الإمام إلّا فی الرکوع قبل أن یرفع رأسه منه و لو بعد الذکر، أو</w:t>
      </w:r>
      <w:bookmarkStart w:id="2479" w:name="pg1809_19126"/>
    </w:p>
    <w:p>
      <w:pPr>
        <w:pStyle w:val="BookText"/>
        <w:rPr/>
      </w:pPr>
      <w:bookmarkEnd w:id="2479"/>
      <w:r>
        <w:rPr>
          <w:rFonts w:ascii="IRNazanin" w:hAnsi="IRNazanin" w:eastAsia="IRNazanin"/>
          <w:color w:val="111111"/>
          <w:sz w:val="28"/>
          <w:sz w:val="28"/>
          <w:szCs w:val="28"/>
          <w:rtl w:val="true"/>
          <w:lang w:bidi="fa-IR"/>
        </w:rPr>
        <w:t xml:space="preserve">أدرکه قبله لکن لم یدخل فی الصلاة إلیٰ أن رکع جاز له الدخول معه و تحسب له رکعة، و هو منتهیٰ ما یدرک به الرکعة فی ابتداء الجماعة، فإدراک الرکعة فی ابتداء الجماعة یتوقّف علیٰ إدراک رکوع الإمام قبل الشروع فی رفع رأسه، و أمّا فی الرکعات الأُخر فلا یضرّ </w:t>
      </w:r>
      <w:r>
        <w:rPr>
          <w:rStyle w:val="FootnoteAnchor"/>
          <w:rtl w:val="true"/>
        </w:rPr>
        <w:footnoteReference w:id="712"/>
      </w:r>
      <w:r>
        <w:rPr>
          <w:rFonts w:ascii="IRNazanin" w:hAnsi="IRNazanin" w:eastAsia="IRNazanin"/>
          <w:color w:val="111111"/>
          <w:sz w:val="28"/>
          <w:sz w:val="28"/>
          <w:szCs w:val="28"/>
          <w:rtl w:val="true"/>
          <w:lang w:bidi="fa-IR"/>
        </w:rPr>
        <w:t>عدم إدراک الرکوع مع الإمام؛ بأن رکع بعد رفع رأسه منه</w:t>
      </w:r>
      <w:r>
        <w:rPr>
          <w:rFonts w:eastAsia="IRNazanin" w:cs="IRNazanin"/>
          <w:color w:val="111111"/>
          <w:sz w:val="28"/>
          <w:szCs w:val="28"/>
          <w:rtl w:val="true"/>
          <w:lang w:bidi="fa-IR"/>
        </w:rPr>
        <w:t>.</w:t>
      </w:r>
    </w:p>
    <w:p>
      <w:pPr>
        <w:pStyle w:val="Heading5"/>
        <w:numPr>
          <w:ilvl w:val="4"/>
          <w:numId w:val="1"/>
        </w:numPr>
        <w:rPr/>
      </w:pPr>
      <w:bookmarkStart w:id="2480" w:name="__RefHeading___Toc2567248_3650668749"/>
      <w:bookmarkStart w:id="2481" w:name="_Toc1133"/>
      <w:bookmarkEnd w:id="2480"/>
      <w:r>
        <w:rPr>
          <w:rtl w:val="true"/>
        </w:rPr>
        <w:t>[ (</w:t>
      </w:r>
      <w:r>
        <w:rPr>
          <w:rtl w:val="true"/>
        </w:rPr>
        <w:t xml:space="preserve">مسألة </w:t>
      </w:r>
      <w:r>
        <w:rPr/>
        <w:t>11</w:t>
      </w:r>
      <w:r>
        <w:rPr>
          <w:rtl w:val="true"/>
        </w:rPr>
        <w:t xml:space="preserve">): </w:t>
      </w:r>
      <w:r>
        <w:rPr>
          <w:rtl w:val="true"/>
        </w:rPr>
        <w:t>الظاهر أنّه إذا دخل فی الجماعة فی أوّل الرکعة أو فی أثناء القراءة</w:t>
      </w:r>
      <w:r>
        <w:rPr>
          <w:rtl w:val="true"/>
        </w:rPr>
        <w:t>]</w:t>
      </w:r>
      <w:bookmarkEnd w:id="2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إذا دخل فی الجماعة فی أوّل الرکعة أو فی أثناء القراءة و اتّفق أنّه تأخّر عن الإمام فی الرکوع و ما لحق به فیه صحّت صلاته و جماعته و تحسب له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 فی المسألة السابقة من أنّ إدراک الرکعة فی ابتداء الجماعة یتوقّف علیٰ إدراک رکوع الإمام قبل الشروع فی رفع رأسه مختصّ بما إذا دخل فی الجماعة فی حال رکوع الإمام أو قبله بعد تمام القراءة لا فیما إذا دخل فیها من أوّل الرکعة أو فی أثنائها</w:t>
      </w:r>
      <w:r>
        <w:rPr>
          <w:rFonts w:eastAsia="IRNazanin" w:cs="IRNazanin"/>
          <w:color w:val="111111"/>
          <w:sz w:val="28"/>
          <w:szCs w:val="28"/>
          <w:rtl w:val="true"/>
          <w:lang w:bidi="fa-IR"/>
        </w:rPr>
        <w:t>.</w:t>
      </w:r>
    </w:p>
    <w:p>
      <w:pPr>
        <w:pStyle w:val="Heading5"/>
        <w:numPr>
          <w:ilvl w:val="4"/>
          <w:numId w:val="1"/>
        </w:numPr>
        <w:rPr/>
      </w:pPr>
      <w:bookmarkStart w:id="2482" w:name="__RefHeading___Toc2567250_3650668749"/>
      <w:bookmarkStart w:id="2483" w:name="_Toc1134"/>
      <w:bookmarkEnd w:id="2482"/>
      <w:r>
        <w:rPr>
          <w:rtl w:val="true"/>
        </w:rPr>
        <w:t>[ (</w:t>
      </w:r>
      <w:r>
        <w:rPr>
          <w:rtl w:val="true"/>
        </w:rPr>
        <w:t xml:space="preserve">مسألة </w:t>
      </w:r>
      <w:r>
        <w:rPr/>
        <w:t>12</w:t>
      </w:r>
      <w:r>
        <w:rPr>
          <w:rtl w:val="true"/>
        </w:rPr>
        <w:t xml:space="preserve">): </w:t>
      </w:r>
      <w:r>
        <w:rPr>
          <w:rtl w:val="true"/>
        </w:rPr>
        <w:t>لو رکع بتخیّل أنّه یدرک الإمام راکعاً</w:t>
      </w:r>
      <w:r>
        <w:rPr>
          <w:rtl w:val="true"/>
        </w:rPr>
        <w:t>]</w:t>
      </w:r>
      <w:bookmarkEnd w:id="2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رکع بتخیّل أنّه یدرک الإمام راکعاً و لم یدرکه بطلت </w:t>
      </w:r>
      <w:r>
        <w:rPr>
          <w:rStyle w:val="FootnoteAnchor"/>
          <w:rtl w:val="true"/>
        </w:rPr>
        <w:footnoteReference w:id="713"/>
      </w:r>
      <w:r>
        <w:rPr>
          <w:rFonts w:ascii="IRNazanin" w:hAnsi="IRNazanin" w:eastAsia="IRNazanin"/>
          <w:color w:val="111111"/>
          <w:sz w:val="28"/>
          <w:sz w:val="28"/>
          <w:szCs w:val="28"/>
          <w:rtl w:val="true"/>
          <w:lang w:bidi="fa-IR"/>
        </w:rPr>
        <w:t>صلاته، بل و کذا لو شکّ فی إدراکه و عدمه</w:t>
      </w:r>
      <w:r>
        <w:rPr>
          <w:rFonts w:eastAsia="IRNazanin" w:cs="IRNazanin"/>
          <w:color w:val="111111"/>
          <w:sz w:val="28"/>
          <w:szCs w:val="28"/>
          <w:rtl w:val="true"/>
          <w:lang w:bidi="fa-IR"/>
        </w:rPr>
        <w:t>.</w:t>
      </w:r>
    </w:p>
    <w:p>
      <w:pPr>
        <w:pStyle w:val="Heading5"/>
        <w:numPr>
          <w:ilvl w:val="4"/>
          <w:numId w:val="1"/>
        </w:numPr>
        <w:rPr/>
      </w:pPr>
      <w:bookmarkStart w:id="2484" w:name="__RefHeading___Toc2567252_3650668749"/>
      <w:bookmarkStart w:id="2485" w:name="_Toc1135"/>
      <w:bookmarkEnd w:id="2484"/>
      <w:r>
        <w:rPr>
          <w:rtl w:val="true"/>
        </w:rPr>
        <w:t>[ (</w:t>
      </w:r>
      <w:r>
        <w:rPr>
          <w:rtl w:val="true"/>
        </w:rPr>
        <w:t xml:space="preserve">مسألة </w:t>
      </w:r>
      <w:r>
        <w:rPr/>
        <w:t>13</w:t>
      </w:r>
      <w:r>
        <w:rPr>
          <w:rtl w:val="true"/>
        </w:rPr>
        <w:t xml:space="preserve">): </w:t>
      </w:r>
      <w:r>
        <w:rPr>
          <w:rtl w:val="true"/>
        </w:rPr>
        <w:t>الأحوط عدم الدخول فی الجماعة بقصد الرکوع مع الإمام إلّا مع الاطمئنان بإدراکه</w:t>
      </w:r>
      <w:r>
        <w:rPr>
          <w:rtl w:val="true"/>
        </w:rPr>
        <w:t>]</w:t>
      </w:r>
      <w:bookmarkEnd w:id="2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w:t>
      </w:r>
      <w:r>
        <w:rPr>
          <w:rStyle w:val="FootnoteAnchor"/>
          <w:rtl w:val="true"/>
        </w:rPr>
        <w:footnoteReference w:id="714"/>
      </w:r>
      <w:r>
        <w:rPr>
          <w:rFonts w:ascii="IRNazanin" w:hAnsi="IRNazanin" w:eastAsia="IRNazanin"/>
          <w:color w:val="111111"/>
          <w:sz w:val="28"/>
          <w:sz w:val="28"/>
          <w:szCs w:val="28"/>
          <w:rtl w:val="true"/>
          <w:lang w:bidi="fa-IR"/>
        </w:rPr>
        <w:t>عدم الدخول فی الجماعة بقصد الرکوع مع الإمام إلّا مع الاطمئنان بإدراکه، نعم لا بأس بأن یکبّر للإحرام بقصد أنّه إن أدرکه لحق و إلّا انفرد قبل الرکوع أو انتظر الرکعة الثانیة</w:t>
      </w:r>
      <w:r>
        <w:rPr>
          <w:rFonts w:eastAsia="IRNazanin" w:cs="IRNazanin"/>
          <w:color w:val="111111"/>
          <w:sz w:val="28"/>
          <w:szCs w:val="28"/>
          <w:rtl w:val="true"/>
          <w:lang w:bidi="fa-IR"/>
        </w:rPr>
        <w:t>.</w:t>
      </w:r>
    </w:p>
    <w:p>
      <w:pPr>
        <w:pStyle w:val="Heading5"/>
        <w:numPr>
          <w:ilvl w:val="4"/>
          <w:numId w:val="1"/>
        </w:numPr>
        <w:rPr/>
      </w:pPr>
      <w:bookmarkStart w:id="2486" w:name="__RefHeading___Toc2567254_3650668749"/>
      <w:bookmarkStart w:id="2487" w:name="_Toc1136"/>
      <w:bookmarkEnd w:id="2486"/>
      <w:r>
        <w:rPr>
          <w:rtl w:val="true"/>
        </w:rPr>
        <w:t>[ (</w:t>
      </w:r>
      <w:r>
        <w:rPr>
          <w:rtl w:val="true"/>
        </w:rPr>
        <w:t xml:space="preserve">مسألة </w:t>
      </w:r>
      <w:r>
        <w:rPr/>
        <w:t>14</w:t>
      </w:r>
      <w:r>
        <w:rPr>
          <w:rtl w:val="true"/>
        </w:rPr>
        <w:t xml:space="preserve">): </w:t>
      </w:r>
      <w:r>
        <w:rPr>
          <w:rtl w:val="true"/>
        </w:rPr>
        <w:t>لو نوی الائتمام و کبّر فرفع الإمام رأسه قبل أن یرکع</w:t>
      </w:r>
      <w:r>
        <w:rPr>
          <w:rtl w:val="true"/>
        </w:rPr>
        <w:t>]</w:t>
      </w:r>
      <w:bookmarkEnd w:id="2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نوی الائتمام و کبّر فرفع الإمام رأسه قبل أن یرکع لزمه الانفراد أو انتظار الإمام قائماً إلی الرکعة الأُخریٰ، فیجعلها الاولیٰ له، علیٰ إشکال </w:t>
      </w:r>
      <w:r>
        <w:rPr>
          <w:rStyle w:val="FootnoteAnchor"/>
          <w:rtl w:val="true"/>
        </w:rPr>
        <w:footnoteReference w:id="715"/>
      </w:r>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w:t>
      </w:r>
    </w:p>
    <w:p>
      <w:pPr>
        <w:pStyle w:val="Heading5"/>
        <w:numPr>
          <w:ilvl w:val="4"/>
          <w:numId w:val="1"/>
        </w:numPr>
        <w:rPr/>
      </w:pPr>
      <w:bookmarkStart w:id="2488" w:name="__RefHeading___Toc2567256_3650668749"/>
      <w:bookmarkStart w:id="2489" w:name="_Toc1137"/>
      <w:bookmarkEnd w:id="2488"/>
      <w:r>
        <w:rPr>
          <w:rtl w:val="true"/>
        </w:rPr>
        <w:t>[ (</w:t>
      </w:r>
      <w:r>
        <w:rPr>
          <w:rtl w:val="true"/>
        </w:rPr>
        <w:t xml:space="preserve">مسألة </w:t>
      </w:r>
      <w:r>
        <w:rPr/>
        <w:t>15</w:t>
      </w:r>
      <w:r>
        <w:rPr>
          <w:rtl w:val="true"/>
        </w:rPr>
        <w:t xml:space="preserve">): </w:t>
      </w:r>
      <w:r>
        <w:rPr>
          <w:rtl w:val="true"/>
        </w:rPr>
        <w:t>إذا أدرک الإمام فی السجدة الأُولیٰ أو الثانیة من الرکعة الأخیرة و أراد إدراک فضل الجماعة نویٰ و کبّر</w:t>
      </w:r>
      <w:r>
        <w:rPr>
          <w:rtl w:val="true"/>
        </w:rPr>
        <w:t>]</w:t>
      </w:r>
      <w:bookmarkEnd w:id="248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أدرک الإمام فی السجدة الأُولیٰ أو الثانیة من الرکعة الأخیرة و أراد إدراک فضل الجماعة نویٰ و کبّر </w:t>
      </w:r>
      <w:r>
        <w:rPr>
          <w:rStyle w:val="FootnoteAnchor"/>
          <w:rtl w:val="true"/>
        </w:rPr>
        <w:footnoteReference w:id="716"/>
      </w:r>
      <w:r>
        <w:rPr>
          <w:rFonts w:ascii="IRNazanin" w:hAnsi="IRNazanin" w:eastAsia="IRNazanin"/>
          <w:color w:val="111111"/>
          <w:sz w:val="28"/>
          <w:sz w:val="28"/>
          <w:szCs w:val="28"/>
          <w:rtl w:val="true"/>
          <w:lang w:bidi="fa-IR"/>
        </w:rPr>
        <w:t>و سجد معه السجدة أو السجدتین و تشهّد ثمّ یقوم بعد</w:t>
      </w:r>
      <w:bookmarkStart w:id="2490" w:name="pg1809_19128"/>
    </w:p>
    <w:p>
      <w:pPr>
        <w:pStyle w:val="BookText"/>
        <w:rPr/>
      </w:pPr>
      <w:bookmarkEnd w:id="2490"/>
      <w:r>
        <w:rPr>
          <w:rFonts w:ascii="IRNazanin" w:hAnsi="IRNazanin" w:eastAsia="IRNazanin"/>
          <w:color w:val="111111"/>
          <w:sz w:val="28"/>
          <w:sz w:val="28"/>
          <w:szCs w:val="28"/>
          <w:rtl w:val="true"/>
          <w:lang w:bidi="fa-IR"/>
        </w:rPr>
        <w:t>تسلیم الإمام و یستأنف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یکتفی بتلک النیّة و ذلک التکبیر، بل إذا أدرکه فی التشهّد الأخیر یجوز له الدخول معه؛ بأن ینوی و یکبّر ثمّ یجلس معه و یتشهّد، فإذا سلّم الإمام یقوم فیصلّی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هذه الصورة یکتفی بتلک النیّة و ذلک التکبیر، و یحصل له بذلک فضل الجماعة و إن لم یدرک رکعة</w:t>
      </w:r>
      <w:r>
        <w:rPr>
          <w:rFonts w:eastAsia="IRNazanin" w:cs="IRNazanin"/>
          <w:color w:val="111111"/>
          <w:sz w:val="28"/>
          <w:szCs w:val="28"/>
          <w:rtl w:val="true"/>
          <w:lang w:bidi="fa-IR"/>
        </w:rPr>
        <w:t>.</w:t>
      </w:r>
    </w:p>
    <w:p>
      <w:pPr>
        <w:pStyle w:val="Heading4"/>
        <w:numPr>
          <w:ilvl w:val="3"/>
          <w:numId w:val="1"/>
        </w:numPr>
        <w:rPr/>
      </w:pPr>
      <w:bookmarkStart w:id="2491" w:name="__RefHeading___Toc2567258_3650668749"/>
      <w:bookmarkStart w:id="2492" w:name="_Toc1138"/>
      <w:bookmarkEnd w:id="2491"/>
      <w:r>
        <w:rPr>
          <w:rtl w:val="true"/>
        </w:rPr>
        <w:t>[</w:t>
      </w:r>
      <w:r>
        <w:rPr>
          <w:rtl w:val="true"/>
        </w:rPr>
        <w:t>القول فی شرائط الجماعة</w:t>
      </w:r>
      <w:r>
        <w:rPr>
          <w:rtl w:val="true"/>
        </w:rPr>
        <w:t>]</w:t>
      </w:r>
      <w:bookmarkEnd w:id="2492"/>
    </w:p>
    <w:p>
      <w:pPr>
        <w:pStyle w:val="Heading5"/>
        <w:numPr>
          <w:ilvl w:val="4"/>
          <w:numId w:val="1"/>
        </w:numPr>
        <w:rPr/>
      </w:pPr>
      <w:bookmarkStart w:id="2493" w:name="__RefHeading___Toc2567260_3650668749"/>
      <w:bookmarkStart w:id="2494" w:name="_Toc1139"/>
      <w:bookmarkEnd w:id="2493"/>
      <w:r>
        <w:rPr>
          <w:rtl w:val="true"/>
        </w:rPr>
        <w:t>اشارة</w:t>
      </w:r>
      <w:bookmarkEnd w:id="2494"/>
    </w:p>
    <w:p>
      <w:pPr>
        <w:pStyle w:val="BookText"/>
        <w:rPr/>
      </w:pPr>
      <w:r>
        <w:rPr>
          <w:rFonts w:ascii="IRNazanin" w:hAnsi="IRNazanin" w:eastAsia="IRNazanin"/>
          <w:color w:val="111111"/>
          <w:sz w:val="28"/>
          <w:sz w:val="28"/>
          <w:szCs w:val="28"/>
          <w:rtl w:val="true"/>
          <w:lang w:bidi="fa-IR"/>
        </w:rPr>
        <w:t>القول فی شرائط الجماعة مضافاً إلیٰ ما مرّ، و هی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بین المأموم و الإمام أو بین بعض المأمومین مع البعض الآخر ممّن یکون واسطة فی اتّصاله بالإمام حائل یمنع المشاهدة، و إنّما یعتبر ذلک إذا کان المأموم رجلًا، أمّا المرأة فلا بأس </w:t>
      </w:r>
      <w:r>
        <w:rPr>
          <w:rStyle w:val="FootnoteAnchor"/>
          <w:rtl w:val="true"/>
        </w:rPr>
        <w:footnoteReference w:id="717"/>
      </w:r>
      <w:r>
        <w:rPr>
          <w:rFonts w:ascii="IRNazanin" w:hAnsi="IRNazanin" w:eastAsia="IRNazanin"/>
          <w:color w:val="111111"/>
          <w:sz w:val="28"/>
          <w:sz w:val="28"/>
          <w:szCs w:val="28"/>
          <w:rtl w:val="true"/>
          <w:lang w:bidi="fa-IR"/>
        </w:rPr>
        <w:t>بالحائل بینها و بین الإمام أو غیره من المأمومین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موقف الإمام أعلیٰ من موقف المأمومین علوّاً معتدّاً به، و لا بأس بغیر المعتدّ به ممّا هو دون الشبر </w:t>
      </w:r>
      <w:r>
        <w:rPr>
          <w:rStyle w:val="FootnoteAnchor"/>
          <w:rtl w:val="true"/>
        </w:rPr>
        <w:footnoteReference w:id="718"/>
      </w:r>
      <w:r>
        <w:rPr>
          <w:rFonts w:ascii="IRNazanin" w:hAnsi="IRNazanin" w:eastAsia="IRNazanin"/>
          <w:color w:val="111111"/>
          <w:sz w:val="28"/>
          <w:sz w:val="28"/>
          <w:szCs w:val="28"/>
          <w:rtl w:val="true"/>
          <w:lang w:bidi="fa-IR"/>
        </w:rPr>
        <w:t xml:space="preserve">، کما أنّه لا بأس بعلوّ المأموم علی الإمام و لو بکثیر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یتباعد المأموم عن الإمام أو عن الصفّ المتقدّم علیه بما یکون کثیراً فی العادة، و الأحوط تقدیره بأن لا یکون بین مسجد المأموم و موقف الإمام أو بین مسجد اللاحق و موقف السابق أزید من مقدار الخطوة المتعارفة، و أحوط منه أن یکون مسجد اللاحق وراء موقف السابق بلا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یتقدّم المأموم علی الإمام فی الموقف، و الأحوط تأخّره عنه و لو یسیراً، و لا یضرّ تقدّم المأموم فی رکوعه و سجوده لطول قامته بعد عدم تقدّمه فی الموقف، و إن کان الأحوط مراعاته فی جمیع الأحوال، خصوصاً حال الجلوس بالنسبة إلیٰ رکبتیه</w:t>
      </w:r>
      <w:r>
        <w:rPr>
          <w:rFonts w:eastAsia="IRNazanin" w:cs="IRNazanin"/>
          <w:color w:val="111111"/>
          <w:sz w:val="28"/>
          <w:szCs w:val="28"/>
          <w:rtl w:val="true"/>
          <w:lang w:bidi="fa-IR"/>
        </w:rPr>
        <w:t>.</w:t>
      </w:r>
    </w:p>
    <w:p>
      <w:pPr>
        <w:pStyle w:val="Heading5"/>
        <w:numPr>
          <w:ilvl w:val="4"/>
          <w:numId w:val="1"/>
        </w:numPr>
        <w:rPr/>
      </w:pPr>
      <w:bookmarkStart w:id="2495" w:name="__RefHeading___Toc2567262_3650668749"/>
      <w:bookmarkStart w:id="2496" w:name="_Toc1140"/>
      <w:bookmarkEnd w:id="2495"/>
      <w:r>
        <w:rPr>
          <w:rtl w:val="true"/>
        </w:rPr>
        <w:t>[ (</w:t>
      </w:r>
      <w:r>
        <w:rPr>
          <w:rtl w:val="true"/>
        </w:rPr>
        <w:t xml:space="preserve">مسألة </w:t>
      </w:r>
      <w:r>
        <w:rPr/>
        <w:t>1</w:t>
      </w:r>
      <w:r>
        <w:rPr>
          <w:rtl w:val="true"/>
        </w:rPr>
        <w:t xml:space="preserve">): </w:t>
      </w:r>
      <w:r>
        <w:rPr>
          <w:rtl w:val="true"/>
        </w:rPr>
        <w:t>لیس من الحائل الظلمة و الغبار المانعان من المشاهدة</w:t>
      </w:r>
      <w:r>
        <w:rPr>
          <w:rtl w:val="true"/>
        </w:rPr>
        <w:t>]</w:t>
      </w:r>
      <w:bookmarkEnd w:id="249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الحائل الظلمة و الغبار المانعان من المشاهدة و کذا النهر و الطریق إذا لم یکن فیهما بُعد ممنوع فی الجماعة، بل الظاهر عدم کون الشبّاک أیضاً من الحائل إلّا</w:t>
      </w:r>
      <w:bookmarkStart w:id="2497" w:name="pg1809_19130"/>
    </w:p>
    <w:p>
      <w:pPr>
        <w:pStyle w:val="BookText"/>
        <w:rPr/>
      </w:pPr>
      <w:bookmarkEnd w:id="2497"/>
      <w:r>
        <w:rPr>
          <w:rFonts w:ascii="IRNazanin" w:hAnsi="IRNazanin" w:eastAsia="IRNazanin"/>
          <w:color w:val="111111"/>
          <w:sz w:val="28"/>
          <w:sz w:val="28"/>
          <w:szCs w:val="28"/>
          <w:rtl w:val="true"/>
          <w:lang w:bidi="fa-IR"/>
        </w:rPr>
        <w:t xml:space="preserve">مع ضیق الثقب بحیث یصدق علیه السترة و الجدار، نعم إذا کان الحائل زجاجاً فالظاهر عدم جوازه </w:t>
      </w:r>
      <w:r>
        <w:rPr>
          <w:rStyle w:val="FootnoteAnchor"/>
          <w:rtl w:val="true"/>
        </w:rPr>
        <w:footnoteReference w:id="720"/>
      </w:r>
      <w:r>
        <w:rPr>
          <w:rFonts w:ascii="IRNazanin" w:hAnsi="IRNazanin" w:eastAsia="IRNazanin"/>
          <w:color w:val="111111"/>
          <w:sz w:val="28"/>
          <w:sz w:val="28"/>
          <w:szCs w:val="28"/>
          <w:rtl w:val="true"/>
          <w:lang w:bidi="fa-IR"/>
        </w:rPr>
        <w:t>و إن کان یحکی ما وراءه</w:t>
      </w:r>
      <w:r>
        <w:rPr>
          <w:rFonts w:eastAsia="IRNazanin" w:cs="IRNazanin"/>
          <w:color w:val="111111"/>
          <w:sz w:val="28"/>
          <w:szCs w:val="28"/>
          <w:rtl w:val="true"/>
          <w:lang w:bidi="fa-IR"/>
        </w:rPr>
        <w:t>.</w:t>
      </w:r>
    </w:p>
    <w:p>
      <w:pPr>
        <w:pStyle w:val="Heading5"/>
        <w:numPr>
          <w:ilvl w:val="4"/>
          <w:numId w:val="1"/>
        </w:numPr>
        <w:rPr/>
      </w:pPr>
      <w:bookmarkStart w:id="2498" w:name="__RefHeading___Toc2567264_3650668749"/>
      <w:bookmarkStart w:id="2499" w:name="_Toc1141"/>
      <w:bookmarkEnd w:id="2498"/>
      <w:r>
        <w:rPr>
          <w:rtl w:val="true"/>
        </w:rPr>
        <w:t>[ (</w:t>
      </w:r>
      <w:r>
        <w:rPr>
          <w:rtl w:val="true"/>
        </w:rPr>
        <w:t xml:space="preserve">مسألة </w:t>
      </w:r>
      <w:r>
        <w:rPr/>
        <w:t>2</w:t>
      </w:r>
      <w:r>
        <w:rPr>
          <w:rtl w:val="true"/>
        </w:rPr>
        <w:t xml:space="preserve">): </w:t>
      </w:r>
      <w:r>
        <w:rPr>
          <w:rtl w:val="true"/>
        </w:rPr>
        <w:t>لا بأس بالحائل القصیر الذی لا یمنع المشاهدة فی أحوال الصلاة</w:t>
      </w:r>
      <w:r>
        <w:rPr>
          <w:rtl w:val="true"/>
        </w:rPr>
        <w:t>]</w:t>
      </w:r>
      <w:bookmarkEnd w:id="2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بالحائل القصیر الذی لا یمنع المشاهدة فی أحوال الصلاة و إن کان مانعاً منها حال السجود کمقدار شبر بل و أزید أیضاً، نعم إذا کان مانعاً حال الجلوس فیه إشکال، فلا یترک فیه الاحتیاط</w:t>
      </w:r>
      <w:r>
        <w:rPr>
          <w:rFonts w:eastAsia="IRNazanin" w:cs="IRNazanin"/>
          <w:color w:val="111111"/>
          <w:sz w:val="28"/>
          <w:szCs w:val="28"/>
          <w:rtl w:val="true"/>
          <w:lang w:bidi="fa-IR"/>
        </w:rPr>
        <w:t>.</w:t>
      </w:r>
    </w:p>
    <w:p>
      <w:pPr>
        <w:pStyle w:val="Heading5"/>
        <w:numPr>
          <w:ilvl w:val="4"/>
          <w:numId w:val="1"/>
        </w:numPr>
        <w:rPr/>
      </w:pPr>
      <w:bookmarkStart w:id="2500" w:name="__RefHeading___Toc2567266_3650668749"/>
      <w:bookmarkStart w:id="2501" w:name="_Toc1142"/>
      <w:bookmarkEnd w:id="2500"/>
      <w:r>
        <w:rPr>
          <w:rtl w:val="true"/>
        </w:rPr>
        <w:t>[ (</w:t>
      </w:r>
      <w:r>
        <w:rPr>
          <w:rtl w:val="true"/>
        </w:rPr>
        <w:t xml:space="preserve">مسألة </w:t>
      </w:r>
      <w:r>
        <w:rPr/>
        <w:t>3</w:t>
      </w:r>
      <w:r>
        <w:rPr>
          <w:rtl w:val="true"/>
        </w:rPr>
        <w:t xml:space="preserve">): </w:t>
      </w:r>
      <w:r>
        <w:rPr>
          <w:rtl w:val="true"/>
        </w:rPr>
        <w:t>لا یقدح حیلولة المأمومین المتقدّمین و إن لم یدخلوا فی الصلاة إذا کانوا متهیّئین له</w:t>
      </w:r>
      <w:r>
        <w:rPr>
          <w:rtl w:val="true"/>
        </w:rPr>
        <w:t>]</w:t>
      </w:r>
      <w:bookmarkEnd w:id="2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یقدح حیلولة المأمومین المتقدّمین و إن لم یدخلوا فی الصلاة إذا کانوا متهیّئین له، کما لا یقدح عدم مشاهدة بعض الصفّ الأوّل أو أکثرهم للإمام إذا کان ذلک من جهة استطالة الصفّ، و کذا عدم مشاهدة بعض الصفّ الثانی للصفّ الأوّل إذا کان من جهة أطولیّة الثانی من الأوّل</w:t>
      </w:r>
      <w:r>
        <w:rPr>
          <w:rFonts w:eastAsia="IRNazanin" w:cs="IRNazanin"/>
          <w:color w:val="111111"/>
          <w:sz w:val="28"/>
          <w:szCs w:val="28"/>
          <w:rtl w:val="true"/>
          <w:lang w:bidi="fa-IR"/>
        </w:rPr>
        <w:t>.</w:t>
      </w:r>
    </w:p>
    <w:p>
      <w:pPr>
        <w:pStyle w:val="Heading5"/>
        <w:numPr>
          <w:ilvl w:val="4"/>
          <w:numId w:val="1"/>
        </w:numPr>
        <w:rPr/>
      </w:pPr>
      <w:bookmarkStart w:id="2502" w:name="__RefHeading___Toc2567268_3650668749"/>
      <w:bookmarkStart w:id="2503" w:name="_Toc1143"/>
      <w:bookmarkEnd w:id="2502"/>
      <w:r>
        <w:rPr>
          <w:rtl w:val="true"/>
        </w:rPr>
        <w:t>[ (</w:t>
      </w:r>
      <w:r>
        <w:rPr>
          <w:rtl w:val="true"/>
        </w:rPr>
        <w:t xml:space="preserve">مسألة </w:t>
      </w:r>
      <w:r>
        <w:rPr/>
        <w:t>4</w:t>
      </w:r>
      <w:r>
        <w:rPr>
          <w:rtl w:val="true"/>
        </w:rPr>
        <w:t xml:space="preserve">): </w:t>
      </w:r>
      <w:r>
        <w:rPr>
          <w:rtl w:val="true"/>
        </w:rPr>
        <w:t>إذا وصلت الصفوف إلیٰ باب المسجد مثلًا و وقف صفّ فی خارج المسجد</w:t>
      </w:r>
      <w:r>
        <w:rPr>
          <w:rtl w:val="true"/>
        </w:rPr>
        <w:t>]</w:t>
      </w:r>
      <w:bookmarkEnd w:id="2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وصلت الصفوف إلیٰ باب المسجد مثلًا و وقف صفّ فی خارج المسجد بحیث وقف واحد منهم مثلًا بحیال الباب و الباقون فی جانبیه، فالظاهر صحّة </w:t>
      </w:r>
      <w:r>
        <w:rPr>
          <w:rStyle w:val="FootnoteAnchor"/>
          <w:rtl w:val="true"/>
        </w:rPr>
        <w:footnoteReference w:id="721"/>
      </w:r>
      <w:r>
        <w:rPr>
          <w:rFonts w:ascii="IRNazanin" w:hAnsi="IRNazanin" w:eastAsia="IRNazanin"/>
          <w:color w:val="111111"/>
          <w:sz w:val="28"/>
          <w:sz w:val="28"/>
          <w:szCs w:val="28"/>
          <w:rtl w:val="true"/>
          <w:lang w:bidi="fa-IR"/>
        </w:rPr>
        <w:t>صلاة الجمیع</w:t>
      </w:r>
      <w:r>
        <w:rPr>
          <w:rFonts w:eastAsia="IRNazanin" w:cs="IRNazanin"/>
          <w:color w:val="111111"/>
          <w:sz w:val="28"/>
          <w:szCs w:val="28"/>
          <w:rtl w:val="true"/>
          <w:lang w:bidi="fa-IR"/>
        </w:rPr>
        <w:t>.</w:t>
      </w:r>
    </w:p>
    <w:p>
      <w:pPr>
        <w:pStyle w:val="Heading5"/>
        <w:numPr>
          <w:ilvl w:val="4"/>
          <w:numId w:val="1"/>
        </w:numPr>
        <w:rPr/>
      </w:pPr>
      <w:bookmarkStart w:id="2504" w:name="__RefHeading___Toc2567270_3650668749"/>
      <w:bookmarkStart w:id="2505" w:name="_Toc1144"/>
      <w:bookmarkEnd w:id="2504"/>
      <w:r>
        <w:rPr>
          <w:rtl w:val="true"/>
        </w:rPr>
        <w:t>[ (</w:t>
      </w:r>
      <w:r>
        <w:rPr>
          <w:rtl w:val="true"/>
        </w:rPr>
        <w:t xml:space="preserve">مسألة </w:t>
      </w:r>
      <w:r>
        <w:rPr/>
        <w:t>5</w:t>
      </w:r>
      <w:r>
        <w:rPr>
          <w:rtl w:val="true"/>
        </w:rPr>
        <w:t xml:space="preserve">): </w:t>
      </w:r>
      <w:r>
        <w:rPr>
          <w:rtl w:val="true"/>
        </w:rPr>
        <w:t>لو تجدّد الحائل أو البعد فی الأثناء فالأقویٰ کونه کالابتداء</w:t>
      </w:r>
      <w:r>
        <w:rPr>
          <w:rtl w:val="true"/>
        </w:rPr>
        <w:t>]</w:t>
      </w:r>
      <w:bookmarkEnd w:id="25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تجدّد الحائل أو البعد فی الأثناء فالأقویٰ کونه کالابتداء، فتبطل الجماعة و یصیر منفرداً</w:t>
      </w:r>
      <w:r>
        <w:rPr>
          <w:rFonts w:eastAsia="IRNazanin" w:cs="IRNazanin"/>
          <w:color w:val="111111"/>
          <w:sz w:val="28"/>
          <w:szCs w:val="28"/>
          <w:rtl w:val="true"/>
          <w:lang w:bidi="fa-IR"/>
        </w:rPr>
        <w:t>.</w:t>
      </w:r>
    </w:p>
    <w:p>
      <w:pPr>
        <w:pStyle w:val="Heading5"/>
        <w:numPr>
          <w:ilvl w:val="4"/>
          <w:numId w:val="1"/>
        </w:numPr>
        <w:rPr/>
      </w:pPr>
      <w:bookmarkStart w:id="2506" w:name="__RefHeading___Toc2567272_3650668749"/>
      <w:bookmarkStart w:id="2507" w:name="_Toc1145"/>
      <w:bookmarkEnd w:id="2506"/>
      <w:r>
        <w:rPr>
          <w:rtl w:val="true"/>
        </w:rPr>
        <w:t>[ (</w:t>
      </w:r>
      <w:r>
        <w:rPr>
          <w:rtl w:val="true"/>
        </w:rPr>
        <w:t xml:space="preserve">مسألة </w:t>
      </w:r>
      <w:r>
        <w:rPr/>
        <w:t>6</w:t>
      </w:r>
      <w:r>
        <w:rPr>
          <w:rtl w:val="true"/>
        </w:rPr>
        <w:t xml:space="preserve">): </w:t>
      </w:r>
      <w:r>
        <w:rPr>
          <w:rtl w:val="true"/>
        </w:rPr>
        <w:t>لا بأس بالحائل الغیر المستقرّ کمرور إنسان أو حیوان</w:t>
      </w:r>
      <w:r>
        <w:rPr>
          <w:rtl w:val="true"/>
        </w:rPr>
        <w:t>]</w:t>
      </w:r>
      <w:bookmarkEnd w:id="2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بالحائل الغیر المستقرّ کمرور إنسان أو حیوان، نعم إذا اتّصلت المارّة لا یجوز و إن کانوا غیر مستقرّین؛ لاستقرار المنع حینئذٍ</w:t>
      </w:r>
      <w:r>
        <w:rPr>
          <w:rFonts w:eastAsia="IRNazanin" w:cs="IRNazanin"/>
          <w:color w:val="111111"/>
          <w:sz w:val="28"/>
          <w:szCs w:val="28"/>
          <w:rtl w:val="true"/>
          <w:lang w:bidi="fa-IR"/>
        </w:rPr>
        <w:t>.</w:t>
      </w:r>
    </w:p>
    <w:p>
      <w:pPr>
        <w:pStyle w:val="Heading5"/>
        <w:numPr>
          <w:ilvl w:val="4"/>
          <w:numId w:val="1"/>
        </w:numPr>
        <w:rPr/>
      </w:pPr>
      <w:bookmarkStart w:id="2508" w:name="__RefHeading___Toc2567274_3650668749"/>
      <w:bookmarkStart w:id="2509" w:name="_Toc1146"/>
      <w:bookmarkEnd w:id="2508"/>
      <w:r>
        <w:rPr>
          <w:rtl w:val="true"/>
        </w:rPr>
        <w:t>[ (</w:t>
      </w:r>
      <w:r>
        <w:rPr>
          <w:rtl w:val="true"/>
        </w:rPr>
        <w:t xml:space="preserve">مسألة </w:t>
      </w:r>
      <w:r>
        <w:rPr/>
        <w:t>7</w:t>
      </w:r>
      <w:r>
        <w:rPr>
          <w:rtl w:val="true"/>
        </w:rPr>
        <w:t xml:space="preserve">): </w:t>
      </w:r>
      <w:r>
        <w:rPr>
          <w:rtl w:val="true"/>
        </w:rPr>
        <w:t>إذا انتهت صلاة الصفّ المتقدّم یشکل اقتداء المتأخّر</w:t>
      </w:r>
      <w:r>
        <w:rPr>
          <w:rtl w:val="true"/>
        </w:rPr>
        <w:t>]</w:t>
      </w:r>
      <w:bookmarkEnd w:id="25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انتهت صلاة الصفّ المتقدّم یشکل اقتداء المتأخّر إلّا إذا عادوا </w:t>
      </w:r>
      <w:r>
        <w:rPr>
          <w:rStyle w:val="FootnoteAnchor"/>
          <w:rtl w:val="true"/>
        </w:rPr>
        <w:footnoteReference w:id="722"/>
      </w:r>
      <w:r>
        <w:rPr>
          <w:rFonts w:ascii="IRNazanin" w:hAnsi="IRNazanin" w:eastAsia="IRNazanin"/>
          <w:color w:val="111111"/>
          <w:sz w:val="28"/>
          <w:sz w:val="28"/>
          <w:szCs w:val="28"/>
          <w:rtl w:val="true"/>
          <w:lang w:bidi="fa-IR"/>
        </w:rPr>
        <w:t>إلی الجماعة بلا فصل</w:t>
      </w:r>
      <w:r>
        <w:rPr>
          <w:rFonts w:eastAsia="IRNazanin" w:cs="IRNazanin"/>
          <w:color w:val="111111"/>
          <w:sz w:val="28"/>
          <w:szCs w:val="28"/>
          <w:rtl w:val="true"/>
          <w:lang w:bidi="fa-IR"/>
        </w:rPr>
        <w:t>.</w:t>
      </w:r>
    </w:p>
    <w:p>
      <w:pPr>
        <w:pStyle w:val="Heading5"/>
        <w:numPr>
          <w:ilvl w:val="4"/>
          <w:numId w:val="1"/>
        </w:numPr>
        <w:rPr/>
      </w:pPr>
      <w:bookmarkStart w:id="2510" w:name="__RefHeading___Toc2567276_3650668749"/>
      <w:bookmarkStart w:id="2511" w:name="_Toc1147"/>
      <w:bookmarkEnd w:id="2510"/>
      <w:r>
        <w:rPr>
          <w:rtl w:val="true"/>
        </w:rPr>
        <w:t>[ (</w:t>
      </w:r>
      <w:r>
        <w:rPr>
          <w:rtl w:val="true"/>
        </w:rPr>
        <w:t xml:space="preserve">مسألة </w:t>
      </w:r>
      <w:r>
        <w:rPr/>
        <w:t>8</w:t>
      </w:r>
      <w:r>
        <w:rPr>
          <w:rtl w:val="true"/>
        </w:rPr>
        <w:t xml:space="preserve">): </w:t>
      </w:r>
      <w:r>
        <w:rPr>
          <w:rtl w:val="true"/>
        </w:rPr>
        <w:t>إذا علم ببطلان الصفّ المتقدّم تبطل جماعة المتأخّر من جهة الفصل</w:t>
      </w:r>
      <w:r>
        <w:rPr>
          <w:rtl w:val="true"/>
        </w:rPr>
        <w:t>]</w:t>
      </w:r>
      <w:bookmarkEnd w:id="251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ببطلان الصفّ المتقدّم تبطل جماعة المتأخّر من جهة الفصل أو</w:t>
      </w:r>
      <w:bookmarkStart w:id="2512" w:name="pg1809_19132"/>
    </w:p>
    <w:p>
      <w:pPr>
        <w:pStyle w:val="BookText"/>
        <w:rPr/>
      </w:pPr>
      <w:bookmarkEnd w:id="2512"/>
      <w:r>
        <w:rPr>
          <w:rFonts w:ascii="IRNazanin" w:hAnsi="IRNazanin" w:eastAsia="IRNazanin"/>
          <w:color w:val="111111"/>
          <w:sz w:val="28"/>
          <w:sz w:val="28"/>
          <w:szCs w:val="28"/>
          <w:rtl w:val="true"/>
          <w:lang w:bidi="fa-IR"/>
        </w:rPr>
        <w:t>الحیلولة، نعم مع الجهل بحالهم تحمل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یکفی </w:t>
      </w:r>
      <w:r>
        <w:rPr>
          <w:rStyle w:val="FootnoteAnchor"/>
          <w:rtl w:val="true"/>
        </w:rPr>
        <w:footnoteReference w:id="723"/>
      </w:r>
      <w:r>
        <w:rPr>
          <w:rFonts w:ascii="IRNazanin" w:hAnsi="IRNazanin" w:eastAsia="IRNazanin"/>
          <w:color w:val="111111"/>
          <w:sz w:val="28"/>
          <w:sz w:val="28"/>
          <w:szCs w:val="28"/>
          <w:rtl w:val="true"/>
          <w:lang w:bidi="fa-IR"/>
        </w:rPr>
        <w:t>کون صلاتهم صحیحة بحسب تقلیدهم و إن کانت باطلة بحسب تقلید الصفّ المتأخّر</w:t>
      </w:r>
      <w:r>
        <w:rPr>
          <w:rFonts w:eastAsia="IRNazanin" w:cs="IRNazanin"/>
          <w:color w:val="111111"/>
          <w:sz w:val="28"/>
          <w:szCs w:val="28"/>
          <w:rtl w:val="true"/>
          <w:lang w:bidi="fa-IR"/>
        </w:rPr>
        <w:t>.</w:t>
      </w:r>
    </w:p>
    <w:p>
      <w:pPr>
        <w:pStyle w:val="Heading5"/>
        <w:numPr>
          <w:ilvl w:val="4"/>
          <w:numId w:val="1"/>
        </w:numPr>
        <w:rPr/>
      </w:pPr>
      <w:bookmarkStart w:id="2513" w:name="__RefHeading___Toc2567278_3650668749"/>
      <w:bookmarkStart w:id="2514" w:name="_Toc1148"/>
      <w:bookmarkEnd w:id="2513"/>
      <w:r>
        <w:rPr>
          <w:rtl w:val="true"/>
        </w:rPr>
        <w:t>[ (</w:t>
      </w:r>
      <w:r>
        <w:rPr>
          <w:rtl w:val="true"/>
        </w:rPr>
        <w:t xml:space="preserve">مسألة </w:t>
      </w:r>
      <w:r>
        <w:rPr/>
        <w:t>9</w:t>
      </w:r>
      <w:r>
        <w:rPr>
          <w:rtl w:val="true"/>
        </w:rPr>
        <w:t xml:space="preserve">): </w:t>
      </w:r>
      <w:r>
        <w:rPr>
          <w:rtl w:val="true"/>
        </w:rPr>
        <w:t>یجوز لأهل الصفّ المتأخّر الإحرام قبل إحرام المتقدّم إذا کانوا قائمین متهیّئین</w:t>
      </w:r>
      <w:r>
        <w:rPr>
          <w:rtl w:val="true"/>
        </w:rPr>
        <w:t>]</w:t>
      </w:r>
      <w:bookmarkEnd w:id="2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لأهل الصفّ المتأخّر الإحرام قبل إحرام المتقدّم إذا کانوا قائمین متهیّئین </w:t>
      </w:r>
      <w:r>
        <w:rPr>
          <w:rStyle w:val="FootnoteAnchor"/>
          <w:rtl w:val="true"/>
        </w:rPr>
        <w:footnoteReference w:id="724"/>
      </w:r>
      <w:r>
        <w:rPr>
          <w:rFonts w:ascii="IRNazanin" w:hAnsi="IRNazanin" w:eastAsia="IRNazanin"/>
          <w:color w:val="111111"/>
          <w:sz w:val="28"/>
          <w:sz w:val="28"/>
          <w:szCs w:val="28"/>
          <w:rtl w:val="true"/>
          <w:lang w:bidi="fa-IR"/>
        </w:rPr>
        <w:t>للإحرام</w:t>
      </w:r>
      <w:r>
        <w:rPr>
          <w:rFonts w:eastAsia="IRNazanin" w:cs="IRNazanin"/>
          <w:color w:val="111111"/>
          <w:sz w:val="28"/>
          <w:szCs w:val="28"/>
          <w:rtl w:val="true"/>
          <w:lang w:bidi="fa-IR"/>
        </w:rPr>
        <w:t>.</w:t>
      </w:r>
    </w:p>
    <w:p>
      <w:pPr>
        <w:pStyle w:val="Heading4"/>
        <w:numPr>
          <w:ilvl w:val="3"/>
          <w:numId w:val="1"/>
        </w:numPr>
        <w:rPr/>
      </w:pPr>
      <w:bookmarkStart w:id="2515" w:name="__RefHeading___Toc2567280_3650668749"/>
      <w:bookmarkStart w:id="2516" w:name="_Toc1149"/>
      <w:bookmarkEnd w:id="2515"/>
      <w:r>
        <w:rPr>
          <w:rtl w:val="true"/>
        </w:rPr>
        <w:t>[</w:t>
      </w:r>
      <w:r>
        <w:rPr>
          <w:rtl w:val="true"/>
        </w:rPr>
        <w:t>القول فی أحکام الجماعة</w:t>
      </w:r>
      <w:r>
        <w:rPr>
          <w:rtl w:val="true"/>
        </w:rPr>
        <w:t>]</w:t>
      </w:r>
      <w:bookmarkEnd w:id="2516"/>
    </w:p>
    <w:p>
      <w:pPr>
        <w:pStyle w:val="Heading5"/>
        <w:numPr>
          <w:ilvl w:val="4"/>
          <w:numId w:val="1"/>
        </w:numPr>
        <w:rPr/>
      </w:pPr>
      <w:bookmarkStart w:id="2517" w:name="__RefHeading___Toc2567282_3650668749"/>
      <w:bookmarkStart w:id="2518" w:name="_Toc1150"/>
      <w:bookmarkEnd w:id="2517"/>
      <w:r>
        <w:rPr>
          <w:rtl w:val="true"/>
        </w:rPr>
        <w:t>اشارة</w:t>
      </w:r>
      <w:bookmarkEnd w:id="2518"/>
    </w:p>
    <w:p>
      <w:pPr>
        <w:pStyle w:val="BookText"/>
        <w:rPr/>
      </w:pPr>
      <w:r>
        <w:rPr>
          <w:rFonts w:ascii="IRNazanin" w:hAnsi="IRNazanin" w:eastAsia="IRNazanin"/>
          <w:color w:val="111111"/>
          <w:sz w:val="28"/>
          <w:sz w:val="28"/>
          <w:szCs w:val="28"/>
          <w:rtl w:val="true"/>
          <w:lang w:bidi="fa-IR"/>
        </w:rPr>
        <w:t>القول فی أحکام الجماعة الأحوط بل الأقویٰ وجوب ترک المأموم القراءة فی الرکعتین الأُولیین من الإخفاتیّة، و کذا فی الأُولیین من الجهریّة إذا سمع صوت الإمام و لو الهمهمة، و أمّا إذا لم یسمع حتّی الهمهمة جاز بل استحبّ له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الأخیرتین من الجهریّة أو الإخفاتیّة فهو کالمنفرد </w:t>
      </w:r>
      <w:r>
        <w:rPr>
          <w:rStyle w:val="FootnoteAnchor"/>
          <w:rtl w:val="true"/>
        </w:rPr>
        <w:footnoteReference w:id="725"/>
      </w:r>
      <w:r>
        <w:rPr>
          <w:rFonts w:ascii="IRNazanin" w:hAnsi="IRNazanin" w:eastAsia="IRNazanin"/>
          <w:color w:val="111111"/>
          <w:sz w:val="28"/>
          <w:sz w:val="28"/>
          <w:szCs w:val="28"/>
          <w:rtl w:val="true"/>
          <w:lang w:bidi="fa-IR"/>
        </w:rPr>
        <w:t>یجب علیه القراءة أو التسبیح مخیّراً بینهما؛ سمع قراءة الإمام أو لم یسمع</w:t>
      </w:r>
      <w:r>
        <w:rPr>
          <w:rFonts w:eastAsia="IRNazanin" w:cs="IRNazanin"/>
          <w:color w:val="111111"/>
          <w:sz w:val="28"/>
          <w:szCs w:val="28"/>
          <w:rtl w:val="true"/>
          <w:lang w:bidi="fa-IR"/>
        </w:rPr>
        <w:t>.</w:t>
      </w:r>
    </w:p>
    <w:p>
      <w:pPr>
        <w:pStyle w:val="Heading5"/>
        <w:numPr>
          <w:ilvl w:val="4"/>
          <w:numId w:val="1"/>
        </w:numPr>
        <w:rPr/>
      </w:pPr>
      <w:bookmarkStart w:id="2519" w:name="__RefHeading___Toc2567284_3650668749"/>
      <w:bookmarkStart w:id="2520" w:name="_Toc1151"/>
      <w:bookmarkEnd w:id="2519"/>
      <w:r>
        <w:rPr>
          <w:rtl w:val="true"/>
        </w:rPr>
        <w:t>[ (</w:t>
      </w:r>
      <w:r>
        <w:rPr>
          <w:rtl w:val="true"/>
        </w:rPr>
        <w:t xml:space="preserve">مسألة </w:t>
      </w:r>
      <w:r>
        <w:rPr/>
        <w:t>1</w:t>
      </w:r>
      <w:r>
        <w:rPr>
          <w:rtl w:val="true"/>
        </w:rPr>
        <w:t xml:space="preserve">): </w:t>
      </w:r>
      <w:r>
        <w:rPr>
          <w:rtl w:val="true"/>
        </w:rPr>
        <w:t>لا فرق بین کون عدم السماع للبعد أو لکثرة الأصوات أو للصمم أو لغیر ذلک</w:t>
      </w:r>
      <w:r>
        <w:rPr>
          <w:rtl w:val="true"/>
        </w:rPr>
        <w:t>]</w:t>
      </w:r>
      <w:bookmarkEnd w:id="2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کون عدم السماع للبعد أو لکثرة الأصوات أو للصمم أو لغیر ذلک</w:t>
      </w:r>
      <w:r>
        <w:rPr>
          <w:rFonts w:eastAsia="IRNazanin" w:cs="IRNazanin"/>
          <w:color w:val="111111"/>
          <w:sz w:val="28"/>
          <w:szCs w:val="28"/>
          <w:rtl w:val="true"/>
          <w:lang w:bidi="fa-IR"/>
        </w:rPr>
        <w:t>.</w:t>
      </w:r>
    </w:p>
    <w:p>
      <w:pPr>
        <w:pStyle w:val="Heading5"/>
        <w:numPr>
          <w:ilvl w:val="4"/>
          <w:numId w:val="1"/>
        </w:numPr>
        <w:rPr/>
      </w:pPr>
      <w:bookmarkStart w:id="2521" w:name="__RefHeading___Toc2567286_3650668749"/>
      <w:bookmarkStart w:id="2522" w:name="_Toc1152"/>
      <w:bookmarkEnd w:id="2521"/>
      <w:r>
        <w:rPr>
          <w:rtl w:val="true"/>
        </w:rPr>
        <w:t>[ (</w:t>
      </w:r>
      <w:r>
        <w:rPr>
          <w:rtl w:val="true"/>
        </w:rPr>
        <w:t xml:space="preserve">مسألة </w:t>
      </w:r>
      <w:r>
        <w:rPr/>
        <w:t>2</w:t>
      </w:r>
      <w:r>
        <w:rPr>
          <w:rtl w:val="true"/>
        </w:rPr>
        <w:t xml:space="preserve">): </w:t>
      </w:r>
      <w:r>
        <w:rPr>
          <w:rtl w:val="true"/>
        </w:rPr>
        <w:t>إذا سمع بعض قراءة الإمام دون البعض فالأحوط ترک القراءة مطلقاً</w:t>
      </w:r>
      <w:r>
        <w:rPr>
          <w:rtl w:val="true"/>
        </w:rPr>
        <w:t>]</w:t>
      </w:r>
      <w:bookmarkEnd w:id="2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بعض قراءة الإمام دون البعض فالأحوط ترک القراءة مطلقاً</w:t>
      </w:r>
      <w:r>
        <w:rPr>
          <w:rFonts w:eastAsia="IRNazanin" w:cs="IRNazanin"/>
          <w:color w:val="111111"/>
          <w:sz w:val="28"/>
          <w:szCs w:val="28"/>
          <w:rtl w:val="true"/>
          <w:lang w:bidi="fa-IR"/>
        </w:rPr>
        <w:t>.</w:t>
      </w:r>
    </w:p>
    <w:p>
      <w:pPr>
        <w:pStyle w:val="Heading5"/>
        <w:numPr>
          <w:ilvl w:val="4"/>
          <w:numId w:val="1"/>
        </w:numPr>
        <w:rPr/>
      </w:pPr>
      <w:bookmarkStart w:id="2523" w:name="__RefHeading___Toc2567288_3650668749"/>
      <w:bookmarkStart w:id="2524" w:name="_Toc1153"/>
      <w:bookmarkEnd w:id="2523"/>
      <w:r>
        <w:rPr>
          <w:rtl w:val="true"/>
        </w:rPr>
        <w:t>[ (</w:t>
      </w:r>
      <w:r>
        <w:rPr>
          <w:rtl w:val="true"/>
        </w:rPr>
        <w:t xml:space="preserve">مسألة </w:t>
      </w:r>
      <w:r>
        <w:rPr/>
        <w:t>3</w:t>
      </w:r>
      <w:r>
        <w:rPr>
          <w:rtl w:val="true"/>
        </w:rPr>
        <w:t xml:space="preserve">): </w:t>
      </w:r>
      <w:r>
        <w:rPr>
          <w:rtl w:val="true"/>
        </w:rPr>
        <w:t>إذا شکّ فی السماع و عدمه أو أنّ المسموع صوت الإمام أو غیره</w:t>
      </w:r>
      <w:r>
        <w:rPr>
          <w:rtl w:val="true"/>
        </w:rPr>
        <w:t>]</w:t>
      </w:r>
      <w:bookmarkEnd w:id="2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السماع و عدمه أو أنّ المسموع صوت الإمام أو غیره فالأحوط </w:t>
      </w:r>
      <w:r>
        <w:rPr>
          <w:rStyle w:val="FootnoteAnchor"/>
          <w:rtl w:val="true"/>
        </w:rPr>
        <w:footnoteReference w:id="726"/>
      </w:r>
      <w:r>
        <w:rPr>
          <w:rFonts w:ascii="IRNazanin" w:hAnsi="IRNazanin" w:eastAsia="IRNazanin"/>
          <w:color w:val="111111"/>
          <w:sz w:val="28"/>
          <w:sz w:val="28"/>
          <w:szCs w:val="28"/>
          <w:rtl w:val="true"/>
          <w:lang w:bidi="fa-IR"/>
        </w:rPr>
        <w:t>ترک القراءة</w:t>
      </w:r>
      <w:r>
        <w:rPr>
          <w:rFonts w:eastAsia="IRNazanin" w:cs="IRNazanin"/>
          <w:color w:val="111111"/>
          <w:sz w:val="28"/>
          <w:szCs w:val="28"/>
          <w:rtl w:val="true"/>
          <w:lang w:bidi="fa-IR"/>
        </w:rPr>
        <w:t>.</w:t>
      </w:r>
    </w:p>
    <w:p>
      <w:pPr>
        <w:pStyle w:val="Heading5"/>
        <w:numPr>
          <w:ilvl w:val="4"/>
          <w:numId w:val="1"/>
        </w:numPr>
        <w:rPr/>
      </w:pPr>
      <w:bookmarkStart w:id="2525" w:name="__RefHeading___Toc2567290_3650668749"/>
      <w:bookmarkStart w:id="2526" w:name="_Toc1154"/>
      <w:bookmarkEnd w:id="2525"/>
      <w:r>
        <w:rPr>
          <w:rtl w:val="true"/>
        </w:rPr>
        <w:t>[ (</w:t>
      </w:r>
      <w:r>
        <w:rPr>
          <w:rtl w:val="true"/>
        </w:rPr>
        <w:t xml:space="preserve">مسألة </w:t>
      </w:r>
      <w:r>
        <w:rPr/>
        <w:t>4</w:t>
      </w:r>
      <w:r>
        <w:rPr>
          <w:rtl w:val="true"/>
        </w:rPr>
        <w:t xml:space="preserve">): </w:t>
      </w:r>
      <w:r>
        <w:rPr>
          <w:rtl w:val="true"/>
        </w:rPr>
        <w:t>لا یجب علی المأموم الطمأنینة حال قراءة الإمام و إن کان الأحوط ذلک</w:t>
      </w:r>
      <w:r>
        <w:rPr>
          <w:rtl w:val="true"/>
        </w:rPr>
        <w:t>]</w:t>
      </w:r>
      <w:bookmarkEnd w:id="2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 المأموم الطمأنینة حال قراءة الإمام و إن کان الأحوط ذلک، و کذا لا تجب المبادرة إلی القیام حال قراءته فی الرکعة الثانیة، فیجوز </w:t>
      </w:r>
      <w:r>
        <w:rPr>
          <w:rStyle w:val="FootnoteAnchor"/>
          <w:rtl w:val="true"/>
        </w:rPr>
        <w:footnoteReference w:id="727"/>
      </w:r>
      <w:r>
        <w:rPr>
          <w:rFonts w:ascii="IRNazanin" w:hAnsi="IRNazanin" w:eastAsia="IRNazanin"/>
          <w:color w:val="111111"/>
          <w:sz w:val="28"/>
          <w:sz w:val="28"/>
          <w:szCs w:val="28"/>
          <w:rtl w:val="true"/>
          <w:lang w:bidi="fa-IR"/>
        </w:rPr>
        <w:t>أن یطیل سجوده و یقوم بعد أن قرأ الإمام بعض القراءة</w:t>
      </w:r>
      <w:r>
        <w:rPr>
          <w:rFonts w:eastAsia="IRNazanin" w:cs="IRNazanin"/>
          <w:color w:val="111111"/>
          <w:sz w:val="28"/>
          <w:szCs w:val="28"/>
          <w:rtl w:val="true"/>
          <w:lang w:bidi="fa-IR"/>
        </w:rPr>
        <w:t>.</w:t>
      </w:r>
    </w:p>
    <w:p>
      <w:pPr>
        <w:pStyle w:val="Heading5"/>
        <w:numPr>
          <w:ilvl w:val="4"/>
          <w:numId w:val="1"/>
        </w:numPr>
        <w:rPr/>
      </w:pPr>
      <w:bookmarkStart w:id="2527" w:name="__RefHeading___Toc2567292_3650668749"/>
      <w:bookmarkStart w:id="2528" w:name="_Toc1155"/>
      <w:bookmarkEnd w:id="2527"/>
      <w:r>
        <w:rPr>
          <w:rtl w:val="true"/>
        </w:rPr>
        <w:t>[ (</w:t>
      </w:r>
      <w:r>
        <w:rPr>
          <w:rtl w:val="true"/>
        </w:rPr>
        <w:t xml:space="preserve">مسألة </w:t>
      </w:r>
      <w:r>
        <w:rPr/>
        <w:t>5</w:t>
      </w:r>
      <w:r>
        <w:rPr>
          <w:rtl w:val="true"/>
        </w:rPr>
        <w:t xml:space="preserve">): </w:t>
      </w:r>
      <w:r>
        <w:rPr>
          <w:rtl w:val="true"/>
        </w:rPr>
        <w:t>لا یتحمّل الإمام عن المأموم شیئاً غیر القراءة فی الأُولیین إذا ائتمّ به فیهما</w:t>
      </w:r>
      <w:r>
        <w:rPr>
          <w:rtl w:val="true"/>
        </w:rPr>
        <w:t>]</w:t>
      </w:r>
      <w:bookmarkEnd w:id="252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یتحمّل الإمام عن المأموم شیئاً غیر القراءة فی الأُولیین إذا ائتمّ به فیهما، و أمّا فی الأخیرتین فهو کالمنفرد و إن قرأ الإمام فیهما الحمد و سمع المأموم قراءته، و إذا لم یدرک الأُولیین وجب علیه القراءة فیهما؛ لأنّهما أوّلتا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یمهله الإمام لإتمامها</w:t>
      </w:r>
      <w:bookmarkStart w:id="2529" w:name="pg1809_19134"/>
    </w:p>
    <w:p>
      <w:pPr>
        <w:pStyle w:val="BookText"/>
        <w:rPr/>
      </w:pPr>
      <w:bookmarkEnd w:id="2529"/>
      <w:r>
        <w:rPr>
          <w:rFonts w:ascii="IRNazanin" w:hAnsi="IRNazanin" w:eastAsia="IRNazanin"/>
          <w:color w:val="111111"/>
          <w:sz w:val="28"/>
          <w:sz w:val="28"/>
          <w:szCs w:val="28"/>
          <w:rtl w:val="true"/>
          <w:lang w:bidi="fa-IR"/>
        </w:rPr>
        <w:t xml:space="preserve">اقتصر علی الحمد و ترک السورة و لحق به فی الرکوع، و إن لم یمهله عن الحمد أیضاً فالأحوط </w:t>
      </w:r>
      <w:r>
        <w:rPr>
          <w:rStyle w:val="FootnoteAnchor"/>
          <w:rtl w:val="true"/>
        </w:rPr>
        <w:footnoteReference w:id="728"/>
      </w:r>
      <w:r>
        <w:rPr>
          <w:rFonts w:ascii="IRNazanin" w:hAnsi="IRNazanin" w:eastAsia="IRNazanin"/>
          <w:color w:val="111111"/>
          <w:sz w:val="28"/>
          <w:sz w:val="28"/>
          <w:szCs w:val="28"/>
          <w:rtl w:val="true"/>
          <w:lang w:bidi="fa-IR"/>
        </w:rPr>
        <w:t>قصد الانفراد</w:t>
      </w:r>
      <w:r>
        <w:rPr>
          <w:rFonts w:eastAsia="IRNazanin" w:cs="IRNazanin"/>
          <w:color w:val="111111"/>
          <w:sz w:val="28"/>
          <w:szCs w:val="28"/>
          <w:rtl w:val="true"/>
          <w:lang w:bidi="fa-IR"/>
        </w:rPr>
        <w:t>.</w:t>
      </w:r>
    </w:p>
    <w:p>
      <w:pPr>
        <w:pStyle w:val="Heading5"/>
        <w:numPr>
          <w:ilvl w:val="4"/>
          <w:numId w:val="1"/>
        </w:numPr>
        <w:rPr/>
      </w:pPr>
      <w:bookmarkStart w:id="2530" w:name="__RefHeading___Toc2567294_3650668749"/>
      <w:bookmarkStart w:id="2531" w:name="_Toc1156"/>
      <w:bookmarkEnd w:id="2530"/>
      <w:r>
        <w:rPr>
          <w:rtl w:val="true"/>
        </w:rPr>
        <w:t>[ (</w:t>
      </w:r>
      <w:r>
        <w:rPr>
          <w:rtl w:val="true"/>
        </w:rPr>
        <w:t xml:space="preserve">مسألة </w:t>
      </w:r>
      <w:r>
        <w:rPr/>
        <w:t>6</w:t>
      </w:r>
      <w:r>
        <w:rPr>
          <w:rtl w:val="true"/>
        </w:rPr>
        <w:t xml:space="preserve">): </w:t>
      </w:r>
      <w:r>
        <w:rPr>
          <w:rtl w:val="true"/>
        </w:rPr>
        <w:t>إذا أدرک الإمام فی الرکعة الثانیة، تحمّل عنه القراءة فیها و یتابع الإمام فی القنوت و التشهّد</w:t>
      </w:r>
      <w:r>
        <w:rPr>
          <w:rtl w:val="true"/>
        </w:rPr>
        <w:t>]</w:t>
      </w:r>
      <w:bookmarkEnd w:id="2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الإمام فی الرکعة الثانیة، تحمّل عنه القراءة فیها و یتابع الإمام فی القنوت و التشهّد، و الأحوط التجافی فیه، ثمّ بعد القیام إلی الثانیة یجب القراءة فیها لکونها ثالثة الإمام؛ سواء قرأ الإمام فیها الحمد أو التسبیح</w:t>
      </w:r>
      <w:r>
        <w:rPr>
          <w:rFonts w:eastAsia="IRNazanin" w:cs="IRNazanin"/>
          <w:color w:val="111111"/>
          <w:sz w:val="28"/>
          <w:szCs w:val="28"/>
          <w:rtl w:val="true"/>
          <w:lang w:bidi="fa-IR"/>
        </w:rPr>
        <w:t>.</w:t>
      </w:r>
    </w:p>
    <w:p>
      <w:pPr>
        <w:pStyle w:val="Heading5"/>
        <w:numPr>
          <w:ilvl w:val="4"/>
          <w:numId w:val="1"/>
        </w:numPr>
        <w:rPr/>
      </w:pPr>
      <w:bookmarkStart w:id="2532" w:name="__RefHeading___Toc2567296_3650668749"/>
      <w:bookmarkStart w:id="2533" w:name="_Toc1157"/>
      <w:bookmarkEnd w:id="2532"/>
      <w:r>
        <w:rPr>
          <w:rtl w:val="true"/>
        </w:rPr>
        <w:t>[ (</w:t>
      </w:r>
      <w:r>
        <w:rPr>
          <w:rtl w:val="true"/>
        </w:rPr>
        <w:t xml:space="preserve">مسألة </w:t>
      </w:r>
      <w:r>
        <w:rPr/>
        <w:t>7</w:t>
      </w:r>
      <w:r>
        <w:rPr>
          <w:rtl w:val="true"/>
        </w:rPr>
        <w:t xml:space="preserve">): </w:t>
      </w:r>
      <w:r>
        <w:rPr>
          <w:rtl w:val="true"/>
        </w:rPr>
        <w:t>إذا قرأ المأموم خلف الإمام وجوباً کما إذا کان مسبوقاً برکعة أو رکعتین، أو استحباباً</w:t>
      </w:r>
      <w:r>
        <w:rPr>
          <w:rtl w:val="true"/>
        </w:rPr>
        <w:t>]</w:t>
      </w:r>
      <w:bookmarkEnd w:id="2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 المأموم خلف الإمام وجوباً کما إذا کان مسبوقاً برکعة أو رکعتین، أو استحباباً کما فی الأُولیین إذا لم یسمع صوت الإمام فی الصلاة الجهریّة تجب علیه الإخفات و إن کانت الصلاة جهریّة</w:t>
      </w:r>
      <w:r>
        <w:rPr>
          <w:rFonts w:eastAsia="IRNazanin" w:cs="IRNazanin"/>
          <w:color w:val="111111"/>
          <w:sz w:val="28"/>
          <w:szCs w:val="28"/>
          <w:rtl w:val="true"/>
          <w:lang w:bidi="fa-IR"/>
        </w:rPr>
        <w:t>.</w:t>
      </w:r>
    </w:p>
    <w:p>
      <w:pPr>
        <w:pStyle w:val="Heading5"/>
        <w:numPr>
          <w:ilvl w:val="4"/>
          <w:numId w:val="1"/>
        </w:numPr>
        <w:rPr/>
      </w:pPr>
      <w:bookmarkStart w:id="2534" w:name="__RefHeading___Toc2567298_3650668749"/>
      <w:bookmarkStart w:id="2535" w:name="_Toc1158"/>
      <w:bookmarkEnd w:id="2534"/>
      <w:r>
        <w:rPr>
          <w:rtl w:val="true"/>
        </w:rPr>
        <w:t>[ (</w:t>
      </w:r>
      <w:r>
        <w:rPr>
          <w:rtl w:val="true"/>
        </w:rPr>
        <w:t xml:space="preserve">مسألة </w:t>
      </w:r>
      <w:r>
        <w:rPr/>
        <w:t>8</w:t>
      </w:r>
      <w:r>
        <w:rPr>
          <w:rtl w:val="true"/>
        </w:rPr>
        <w:t xml:space="preserve">): </w:t>
      </w:r>
      <w:r>
        <w:rPr>
          <w:rtl w:val="true"/>
        </w:rPr>
        <w:t>إذا أدرک الإمام فی الأخیرتین فدخل فی الصلاة معه قبل رکوعه وجب علیه القراءة</w:t>
      </w:r>
      <w:r>
        <w:rPr>
          <w:rtl w:val="true"/>
        </w:rPr>
        <w:t>]</w:t>
      </w:r>
      <w:bookmarkEnd w:id="25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الإمام فی الأخیرتین فدخل فی الصلاة معه قبل رکوعه وجب علیه القراءة و إذا لم یمهله ترک السورة، و إذا علم أنّه لو دخل معه لم یمهله لإتمام الفاتحة، فالأحوط عدم الدخول إلّا بعد رکوعه فیحرم و یرکع معه، و لیس علیه الفاتحة حینئذٍ</w:t>
      </w:r>
      <w:r>
        <w:rPr>
          <w:rFonts w:eastAsia="IRNazanin" w:cs="IRNazanin"/>
          <w:color w:val="111111"/>
          <w:sz w:val="28"/>
          <w:szCs w:val="28"/>
          <w:rtl w:val="true"/>
          <w:lang w:bidi="fa-IR"/>
        </w:rPr>
        <w:t>.</w:t>
      </w:r>
    </w:p>
    <w:p>
      <w:pPr>
        <w:pStyle w:val="Heading5"/>
        <w:numPr>
          <w:ilvl w:val="4"/>
          <w:numId w:val="1"/>
        </w:numPr>
        <w:rPr/>
      </w:pPr>
      <w:bookmarkStart w:id="2536" w:name="__RefHeading___Toc2567300_3650668749"/>
      <w:bookmarkStart w:id="2537" w:name="_Toc1159"/>
      <w:bookmarkEnd w:id="2536"/>
      <w:r>
        <w:rPr>
          <w:rtl w:val="true"/>
        </w:rPr>
        <w:t>[ (</w:t>
      </w:r>
      <w:r>
        <w:rPr>
          <w:rtl w:val="true"/>
        </w:rPr>
        <w:t xml:space="preserve">مسألة </w:t>
      </w:r>
      <w:r>
        <w:rPr/>
        <w:t>9</w:t>
      </w:r>
      <w:r>
        <w:rPr>
          <w:rtl w:val="true"/>
        </w:rPr>
        <w:t xml:space="preserve">): </w:t>
      </w:r>
      <w:r>
        <w:rPr>
          <w:rtl w:val="true"/>
        </w:rPr>
        <w:t>یجب متابعة المأموم للإمام فی الأفعال</w:t>
      </w:r>
      <w:r>
        <w:rPr>
          <w:rtl w:val="true"/>
        </w:rPr>
        <w:t>]</w:t>
      </w:r>
      <w:bookmarkEnd w:id="2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متابعة المأموم للإمام فی الأفعال؛ بمعنی أن لا یتقدّم فیها علیه و لا یتأخّر عنه تأخّراً فاحشاً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الأقوال فالأقویٰ عدم وجوبها فیها عدا تکبیرة الإحرام </w:t>
      </w:r>
      <w:r>
        <w:rPr>
          <w:rStyle w:val="FootnoteAnchor"/>
          <w:rtl w:val="true"/>
        </w:rPr>
        <w:footnoteReference w:id="729"/>
      </w:r>
      <w:r>
        <w:rPr>
          <w:rFonts w:ascii="IRNazanin" w:hAnsi="IRNazanin" w:eastAsia="IRNazanin"/>
          <w:color w:val="111111"/>
          <w:sz w:val="28"/>
          <w:sz w:val="28"/>
          <w:szCs w:val="28"/>
          <w:rtl w:val="true"/>
          <w:lang w:bidi="fa-IR"/>
        </w:rPr>
        <w:t xml:space="preserve">، من غیر فرق بین المسموع منها و غیره، و إن کان أحوط فی المسموع و فی خصوص التسلیم، و لو ترک المتابعة فیما وجبت فیه عصیٰ و لکن صحّت صلاته </w:t>
      </w:r>
      <w:r>
        <w:rPr>
          <w:rStyle w:val="FootnoteAnchor"/>
          <w:rtl w:val="true"/>
        </w:rPr>
        <w:footnoteReference w:id="730"/>
      </w:r>
      <w:r>
        <w:rPr>
          <w:rFonts w:ascii="IRNazanin" w:hAnsi="IRNazanin" w:eastAsia="IRNazanin"/>
          <w:color w:val="111111"/>
          <w:sz w:val="28"/>
          <w:sz w:val="28"/>
          <w:szCs w:val="28"/>
          <w:rtl w:val="true"/>
          <w:lang w:bidi="fa-IR"/>
        </w:rPr>
        <w:t>بل جماعته أیضاً، نعم لو تقدّم أو تأخّر فاحشاً علیٰ وجه ذهبت هیئة الجماعة بطلت جماعته</w:t>
      </w:r>
      <w:r>
        <w:rPr>
          <w:rFonts w:eastAsia="IRNazanin" w:cs="IRNazanin"/>
          <w:color w:val="111111"/>
          <w:sz w:val="28"/>
          <w:szCs w:val="28"/>
          <w:rtl w:val="true"/>
          <w:lang w:bidi="fa-IR"/>
        </w:rPr>
        <w:t>.</w:t>
      </w:r>
    </w:p>
    <w:p>
      <w:pPr>
        <w:pStyle w:val="Heading5"/>
        <w:numPr>
          <w:ilvl w:val="4"/>
          <w:numId w:val="1"/>
        </w:numPr>
        <w:rPr/>
      </w:pPr>
      <w:bookmarkStart w:id="2538" w:name="__RefHeading___Toc2567302_3650668749"/>
      <w:bookmarkStart w:id="2539" w:name="_Toc1160"/>
      <w:bookmarkEnd w:id="2538"/>
      <w:r>
        <w:rPr>
          <w:rtl w:val="true"/>
        </w:rPr>
        <w:t>[ (</w:t>
      </w:r>
      <w:r>
        <w:rPr>
          <w:rtl w:val="true"/>
        </w:rPr>
        <w:t xml:space="preserve">مسألة </w:t>
      </w:r>
      <w:r>
        <w:rPr/>
        <w:t>10</w:t>
      </w:r>
      <w:r>
        <w:rPr>
          <w:rtl w:val="true"/>
        </w:rPr>
        <w:t xml:space="preserve">): </w:t>
      </w:r>
      <w:r>
        <w:rPr>
          <w:rtl w:val="true"/>
        </w:rPr>
        <w:t>لو أحرم قبل الإمام سهواً أو بزعم أنّه قد کبّر کان منفرداً</w:t>
      </w:r>
      <w:r>
        <w:rPr>
          <w:rtl w:val="true"/>
        </w:rPr>
        <w:t>]</w:t>
      </w:r>
      <w:bookmarkEnd w:id="2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 قبل الإمام سهواً أو بزعم أنّه قد کبّر کان منفرداً، فإن أراد الجماعة عدل إلی النافلة و أتمّها رکعتین</w:t>
      </w:r>
      <w:r>
        <w:rPr>
          <w:rFonts w:eastAsia="IRNazanin" w:cs="IRNazanin"/>
          <w:color w:val="111111"/>
          <w:sz w:val="28"/>
          <w:szCs w:val="28"/>
          <w:rtl w:val="true"/>
          <w:lang w:bidi="fa-IR"/>
        </w:rPr>
        <w:t>.</w:t>
      </w:r>
    </w:p>
    <w:p>
      <w:pPr>
        <w:pStyle w:val="Heading5"/>
        <w:numPr>
          <w:ilvl w:val="4"/>
          <w:numId w:val="1"/>
        </w:numPr>
        <w:rPr/>
      </w:pPr>
      <w:bookmarkStart w:id="2540" w:name="__RefHeading___Toc2567304_3650668749"/>
      <w:bookmarkStart w:id="2541" w:name="_Toc1161"/>
      <w:bookmarkEnd w:id="2540"/>
      <w:r>
        <w:rPr>
          <w:rtl w:val="true"/>
        </w:rPr>
        <w:t>[ (</w:t>
      </w:r>
      <w:r>
        <w:rPr>
          <w:rtl w:val="true"/>
        </w:rPr>
        <w:t xml:space="preserve">مسألة </w:t>
      </w:r>
      <w:r>
        <w:rPr/>
        <w:t>11</w:t>
      </w:r>
      <w:r>
        <w:rPr>
          <w:rtl w:val="true"/>
        </w:rPr>
        <w:t xml:space="preserve">): </w:t>
      </w:r>
      <w:r>
        <w:rPr>
          <w:rtl w:val="true"/>
        </w:rPr>
        <w:t>إذا رفع رأسه من الرکوع أو السجود قبل الإمام سهواً</w:t>
      </w:r>
      <w:r>
        <w:rPr>
          <w:rtl w:val="true"/>
        </w:rPr>
        <w:t>]</w:t>
      </w:r>
      <w:bookmarkEnd w:id="254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رأسه من الرکوع أو السجود قبل الإمام سهواً أو لزعم رفع الإمام</w:t>
      </w:r>
      <w:bookmarkStart w:id="2542" w:name="pg1809_19137"/>
    </w:p>
    <w:p>
      <w:pPr>
        <w:pStyle w:val="BookText"/>
        <w:rPr/>
      </w:pPr>
      <w:bookmarkEnd w:id="2542"/>
      <w:r>
        <w:rPr>
          <w:rFonts w:ascii="IRNazanin" w:hAnsi="IRNazanin" w:eastAsia="IRNazanin"/>
          <w:color w:val="111111"/>
          <w:sz w:val="28"/>
          <w:sz w:val="28"/>
          <w:szCs w:val="28"/>
          <w:rtl w:val="true"/>
          <w:lang w:bidi="fa-IR"/>
        </w:rPr>
        <w:t xml:space="preserve">رأسه وجب علیه العود و المتابعة، و لا یضرّ زیادة الرکن حینئذٍ، و إن لم یعد أثم و صحّت صلاته </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رفع رأسه قبل الإمام عامداً </w:t>
      </w:r>
      <w:r>
        <w:rPr>
          <w:rStyle w:val="FootnoteAnchor"/>
          <w:rtl w:val="true"/>
        </w:rPr>
        <w:footnoteReference w:id="732"/>
      </w:r>
      <w:r>
        <w:rPr>
          <w:rFonts w:ascii="IRNazanin" w:hAnsi="IRNazanin" w:eastAsia="IRNazanin"/>
          <w:color w:val="111111"/>
          <w:sz w:val="28"/>
          <w:sz w:val="28"/>
          <w:szCs w:val="28"/>
          <w:rtl w:val="true"/>
          <w:lang w:bidi="fa-IR"/>
        </w:rPr>
        <w:t>أثم و لم یجز له المتابعة، فإن تابع عمداً بطلت صلاته للزیادة العمدیّة، و لو تابع سهواً فکذلک إذا کان رکناً کالرکوع</w:t>
      </w:r>
      <w:r>
        <w:rPr>
          <w:rFonts w:eastAsia="IRNazanin" w:cs="IRNazanin"/>
          <w:color w:val="111111"/>
          <w:sz w:val="28"/>
          <w:szCs w:val="28"/>
          <w:rtl w:val="true"/>
          <w:lang w:bidi="fa-IR"/>
        </w:rPr>
        <w:t>.</w:t>
      </w:r>
    </w:p>
    <w:p>
      <w:pPr>
        <w:pStyle w:val="Heading5"/>
        <w:numPr>
          <w:ilvl w:val="4"/>
          <w:numId w:val="1"/>
        </w:numPr>
        <w:rPr/>
      </w:pPr>
      <w:bookmarkStart w:id="2543" w:name="__RefHeading___Toc2567306_3650668749"/>
      <w:bookmarkStart w:id="2544" w:name="_Toc1162"/>
      <w:bookmarkEnd w:id="2543"/>
      <w:r>
        <w:rPr>
          <w:rtl w:val="true"/>
        </w:rPr>
        <w:t>[ (</w:t>
      </w:r>
      <w:r>
        <w:rPr>
          <w:rtl w:val="true"/>
        </w:rPr>
        <w:t xml:space="preserve">مسألة </w:t>
      </w:r>
      <w:r>
        <w:rPr/>
        <w:t>12</w:t>
      </w:r>
      <w:r>
        <w:rPr>
          <w:rtl w:val="true"/>
        </w:rPr>
        <w:t xml:space="preserve">): </w:t>
      </w:r>
      <w:r>
        <w:rPr>
          <w:rtl w:val="true"/>
        </w:rPr>
        <w:t>لو رفع رأسه من الرکوع قبل الإمام سهواً ثمّ عاد إلیه للمتابعة</w:t>
      </w:r>
      <w:r>
        <w:rPr>
          <w:rtl w:val="true"/>
        </w:rPr>
        <w:t>]</w:t>
      </w:r>
      <w:bookmarkEnd w:id="2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رفع رأسه من الرکوع قبل الإمام سهواً ثمّ عاد إلیه للمتابعة فرفع الإمام رأسه قبل وصوله إلیٰ حدّ الرکوع لا یبعد بطلان صلاته، و الأحوط إتمام الصلاة ثمّ الإعادة</w:t>
      </w:r>
      <w:r>
        <w:rPr>
          <w:rFonts w:eastAsia="IRNazanin" w:cs="IRNazanin"/>
          <w:color w:val="111111"/>
          <w:sz w:val="28"/>
          <w:szCs w:val="28"/>
          <w:rtl w:val="true"/>
          <w:lang w:bidi="fa-IR"/>
        </w:rPr>
        <w:t>.</w:t>
      </w:r>
    </w:p>
    <w:p>
      <w:pPr>
        <w:pStyle w:val="Heading5"/>
        <w:numPr>
          <w:ilvl w:val="4"/>
          <w:numId w:val="1"/>
        </w:numPr>
        <w:rPr/>
      </w:pPr>
      <w:bookmarkStart w:id="2545" w:name="__RefHeading___Toc2567308_3650668749"/>
      <w:bookmarkStart w:id="2546" w:name="_Toc1163"/>
      <w:bookmarkEnd w:id="2545"/>
      <w:r>
        <w:rPr>
          <w:rtl w:val="true"/>
        </w:rPr>
        <w:t>[ (</w:t>
      </w:r>
      <w:r>
        <w:rPr>
          <w:rtl w:val="true"/>
        </w:rPr>
        <w:t xml:space="preserve">مسألة </w:t>
      </w:r>
      <w:r>
        <w:rPr/>
        <w:t>13</w:t>
      </w:r>
      <w:r>
        <w:rPr>
          <w:rtl w:val="true"/>
        </w:rPr>
        <w:t xml:space="preserve">): </w:t>
      </w:r>
      <w:r>
        <w:rPr>
          <w:rtl w:val="true"/>
        </w:rPr>
        <w:t>لو رفع رأسه من السجود فرأی الإمام فی السجدة فتخیّل أنّها الاولیٰ فعاد إلیها بقصد المتابعة فبان کونها الثانیة</w:t>
      </w:r>
      <w:r>
        <w:rPr>
          <w:rtl w:val="true"/>
        </w:rPr>
        <w:t>]</w:t>
      </w:r>
      <w:bookmarkEnd w:id="2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رفع رأسه من السجود فرأی الإمام فی السجدة فتخیّل أنّها الاولیٰ فعاد إلیها بقصد المتابعة فبان کونها الثانیة حسبت ثانیة </w:t>
      </w:r>
      <w:r>
        <w:rPr>
          <w:rStyle w:val="FootnoteAnchor"/>
          <w:rtl w:val="true"/>
        </w:rPr>
        <w:footnoteReference w:id="733"/>
      </w:r>
      <w:r>
        <w:rPr>
          <w:rFonts w:ascii="IRNazanin" w:hAnsi="IRNazanin" w:eastAsia="IRNazanin"/>
          <w:color w:val="111111"/>
          <w:sz w:val="28"/>
          <w:sz w:val="28"/>
          <w:szCs w:val="28"/>
          <w:rtl w:val="true"/>
          <w:lang w:bidi="fa-IR"/>
        </w:rPr>
        <w:t xml:space="preserve">، و إن تخیّل أنّها الثانیة فسجد اخریٰ بقصد الثانیة فبان أنّها الاولیٰ حسبت متابعة </w:t>
      </w:r>
      <w:r>
        <w:rPr>
          <w:rStyle w:val="FootnoteAnchor"/>
          <w:rtl w:val="true"/>
        </w:rPr>
        <w:footnoteReference w:id="734"/>
      </w:r>
      <w:r>
        <w:rPr>
          <w:rFonts w:ascii="IRNazanin" w:hAnsi="IRNazanin" w:eastAsia="IRNazanin"/>
          <w:color w:val="111111"/>
          <w:sz w:val="28"/>
          <w:sz w:val="28"/>
          <w:szCs w:val="28"/>
          <w:rtl w:val="true"/>
          <w:lang w:bidi="fa-IR"/>
        </w:rPr>
        <w:t>، و الأحوط إعادة الصلاة فی الصورتین و لا سیّما فی الثانیة</w:t>
      </w:r>
      <w:r>
        <w:rPr>
          <w:rFonts w:eastAsia="IRNazanin" w:cs="IRNazanin"/>
          <w:color w:val="111111"/>
          <w:sz w:val="28"/>
          <w:szCs w:val="28"/>
          <w:rtl w:val="true"/>
          <w:lang w:bidi="fa-IR"/>
        </w:rPr>
        <w:t>.</w:t>
      </w:r>
    </w:p>
    <w:p>
      <w:pPr>
        <w:pStyle w:val="Heading5"/>
        <w:numPr>
          <w:ilvl w:val="4"/>
          <w:numId w:val="1"/>
        </w:numPr>
        <w:rPr/>
      </w:pPr>
      <w:bookmarkStart w:id="2547" w:name="__RefHeading___Toc2567310_3650668749"/>
      <w:bookmarkStart w:id="2548" w:name="_Toc1164"/>
      <w:bookmarkEnd w:id="2547"/>
      <w:r>
        <w:rPr>
          <w:rtl w:val="true"/>
        </w:rPr>
        <w:t>[ (</w:t>
      </w:r>
      <w:r>
        <w:rPr>
          <w:rtl w:val="true"/>
        </w:rPr>
        <w:t xml:space="preserve">مسألة </w:t>
      </w:r>
      <w:r>
        <w:rPr/>
        <w:t>14</w:t>
      </w:r>
      <w:r>
        <w:rPr>
          <w:rtl w:val="true"/>
        </w:rPr>
        <w:t xml:space="preserve">): </w:t>
      </w:r>
      <w:r>
        <w:rPr>
          <w:rtl w:val="true"/>
        </w:rPr>
        <w:t>إذا رکع أو سجد قبل الإمام عمداً لا یجوز له المتابعة</w:t>
      </w:r>
      <w:r>
        <w:rPr>
          <w:rtl w:val="true"/>
        </w:rPr>
        <w:t>]</w:t>
      </w:r>
      <w:bookmarkEnd w:id="2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رکع أو سجد قبل الإمام عمداً لا یجوز له المتابعة، و أمّا إذا کان سهواً وجبت </w:t>
      </w:r>
      <w:r>
        <w:rPr>
          <w:rStyle w:val="FootnoteAnchor"/>
          <w:rtl w:val="true"/>
        </w:rPr>
        <w:footnoteReference w:id="735"/>
      </w:r>
      <w:r>
        <w:rPr>
          <w:rFonts w:ascii="IRNazanin" w:hAnsi="IRNazanin" w:eastAsia="IRNazanin"/>
          <w:color w:val="111111"/>
          <w:sz w:val="28"/>
          <w:sz w:val="28"/>
          <w:szCs w:val="28"/>
          <w:rtl w:val="true"/>
          <w:lang w:bidi="fa-IR"/>
        </w:rPr>
        <w:t>بالعود إلی القیام أو الجلوس ثمّ الرکوع أو السجود معه، و الأحوط مع ذلک الإعادة بعد الإتمام</w:t>
      </w:r>
      <w:r>
        <w:rPr>
          <w:rFonts w:eastAsia="IRNazanin" w:cs="IRNazanin"/>
          <w:color w:val="111111"/>
          <w:sz w:val="28"/>
          <w:szCs w:val="28"/>
          <w:rtl w:val="true"/>
          <w:lang w:bidi="fa-IR"/>
        </w:rPr>
        <w:t>.</w:t>
      </w:r>
    </w:p>
    <w:p>
      <w:pPr>
        <w:pStyle w:val="Heading5"/>
        <w:numPr>
          <w:ilvl w:val="4"/>
          <w:numId w:val="1"/>
        </w:numPr>
        <w:rPr/>
      </w:pPr>
      <w:bookmarkStart w:id="2549" w:name="__RefHeading___Toc2567312_3650668749"/>
      <w:bookmarkStart w:id="2550" w:name="_Toc1165"/>
      <w:bookmarkEnd w:id="2549"/>
      <w:r>
        <w:rPr>
          <w:rtl w:val="true"/>
        </w:rPr>
        <w:t>[ (</w:t>
      </w:r>
      <w:r>
        <w:rPr>
          <w:rtl w:val="true"/>
        </w:rPr>
        <w:t xml:space="preserve">مسألة </w:t>
      </w:r>
      <w:r>
        <w:rPr/>
        <w:t>15</w:t>
      </w:r>
      <w:r>
        <w:rPr>
          <w:rtl w:val="true"/>
        </w:rPr>
        <w:t xml:space="preserve">): </w:t>
      </w:r>
      <w:r>
        <w:rPr>
          <w:rtl w:val="true"/>
        </w:rPr>
        <w:t>إذا کان مشتغلًا بالنافلة فأُقیمت الجماعة و خاف عدم إدراکها جاز</w:t>
      </w:r>
      <w:r>
        <w:rPr>
          <w:rtl w:val="true"/>
        </w:rPr>
        <w:t>]</w:t>
      </w:r>
      <w:bookmarkEnd w:id="255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مشتغلًا بالنافلة فأُقیمت الجماعة و خاف عدم إدراکها جاز </w:t>
      </w:r>
      <w:r>
        <w:rPr>
          <w:rStyle w:val="FootnoteAnchor"/>
          <w:rtl w:val="true"/>
        </w:rPr>
        <w:footnoteReference w:id="736"/>
      </w:r>
      <w:r>
        <w:rPr>
          <w:rFonts w:ascii="IRNazanin" w:hAnsi="IRNazanin" w:eastAsia="IRNazanin"/>
          <w:color w:val="111111"/>
          <w:sz w:val="28"/>
          <w:sz w:val="28"/>
          <w:szCs w:val="28"/>
          <w:rtl w:val="true"/>
          <w:lang w:bidi="fa-IR"/>
        </w:rPr>
        <w:t>له قطعها، و لو کان مشتغلًا بالفریضة منفرداً استحبّ له العدول إلی النافلة و إتمامها رکعتین إذا لم یتجاوز محلّ العدول، کما إذا دخل فی رکوع الرکعة الثالثة</w:t>
      </w:r>
      <w:r>
        <w:rPr>
          <w:rFonts w:eastAsia="IRNazanin" w:cs="IRNazanin"/>
          <w:color w:val="111111"/>
          <w:sz w:val="28"/>
          <w:szCs w:val="28"/>
          <w:rtl w:val="true"/>
          <w:lang w:bidi="fa-IR"/>
        </w:rPr>
        <w:t>.</w:t>
      </w:r>
      <w:bookmarkStart w:id="2551" w:name="pg1809_19139"/>
    </w:p>
    <w:p>
      <w:pPr>
        <w:pStyle w:val="Heading4"/>
        <w:numPr>
          <w:ilvl w:val="3"/>
          <w:numId w:val="1"/>
        </w:numPr>
        <w:rPr/>
      </w:pPr>
      <w:bookmarkStart w:id="2552" w:name="__RefHeading___Toc2567314_3650668749"/>
      <w:bookmarkStart w:id="2553" w:name="_Toc1166"/>
      <w:bookmarkEnd w:id="2551"/>
      <w:bookmarkEnd w:id="2552"/>
      <w:r>
        <w:rPr>
          <w:rtl w:val="true"/>
        </w:rPr>
        <w:t>[</w:t>
      </w:r>
      <w:r>
        <w:rPr>
          <w:rtl w:val="true"/>
        </w:rPr>
        <w:t>القول فی شرائط إمام الجماعة</w:t>
      </w:r>
      <w:r>
        <w:rPr>
          <w:rtl w:val="true"/>
        </w:rPr>
        <w:t>]</w:t>
      </w:r>
      <w:bookmarkEnd w:id="2553"/>
    </w:p>
    <w:p>
      <w:pPr>
        <w:pStyle w:val="Heading5"/>
        <w:numPr>
          <w:ilvl w:val="4"/>
          <w:numId w:val="1"/>
        </w:numPr>
        <w:rPr/>
      </w:pPr>
      <w:bookmarkStart w:id="2554" w:name="__RefHeading___Toc2567316_3650668749"/>
      <w:bookmarkStart w:id="2555" w:name="_Toc1167"/>
      <w:bookmarkEnd w:id="2554"/>
      <w:r>
        <w:rPr>
          <w:rtl w:val="true"/>
        </w:rPr>
        <w:t>اشارة</w:t>
      </w:r>
      <w:bookmarkEnd w:id="2555"/>
    </w:p>
    <w:p>
      <w:pPr>
        <w:pStyle w:val="BookText"/>
        <w:rPr/>
      </w:pPr>
      <w:r>
        <w:rPr>
          <w:rFonts w:ascii="IRNazanin" w:hAnsi="IRNazanin" w:eastAsia="IRNazanin"/>
          <w:color w:val="111111"/>
          <w:sz w:val="28"/>
          <w:sz w:val="28"/>
          <w:szCs w:val="28"/>
          <w:rtl w:val="true"/>
          <w:lang w:bidi="fa-IR"/>
        </w:rPr>
        <w:t>القول فی شرائط إمام الجماعة و یشترط فیه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و طهارة المولد، و العقل، و البلوغ إذا کان المأموم بالغاً </w:t>
      </w:r>
      <w:r>
        <w:rPr>
          <w:rStyle w:val="FootnoteAnchor"/>
          <w:rtl w:val="true"/>
        </w:rPr>
        <w:footnoteReference w:id="737"/>
      </w:r>
      <w:r>
        <w:rPr>
          <w:rFonts w:ascii="IRNazanin" w:hAnsi="IRNazanin" w:eastAsia="IRNazanin"/>
          <w:color w:val="111111"/>
          <w:sz w:val="28"/>
          <w:sz w:val="28"/>
          <w:szCs w:val="28"/>
          <w:rtl w:val="true"/>
          <w:lang w:bidi="fa-IR"/>
        </w:rPr>
        <w:t xml:space="preserve">، و الذکورة إذا کان المأموم ذکراً بل مطلقاً علی الأحوط، و العدالة، فلا تجوز الصلاة خلف الفاسق و لا مجهول الحال؛ و هی حالة نفسانیّة باعثة علیٰ ملازمة التقوی مانعة عن ارتکاب الکبائر التی </w:t>
      </w:r>
      <w:r>
        <w:rPr>
          <w:rStyle w:val="FootnoteAnchor"/>
          <w:rtl w:val="true"/>
        </w:rPr>
        <w:footnoteReference w:id="738"/>
      </w:r>
      <w:r>
        <w:rPr>
          <w:rFonts w:ascii="IRNazanin" w:hAnsi="IRNazanin" w:eastAsia="IRNazanin"/>
          <w:color w:val="111111"/>
          <w:sz w:val="28"/>
          <w:sz w:val="28"/>
          <w:szCs w:val="28"/>
          <w:rtl w:val="true"/>
          <w:lang w:bidi="fa-IR"/>
        </w:rPr>
        <w:t xml:space="preserve">منها الإصرار علی الصغائر و عن منافیات المروءة؛ و هی کلّ ما </w:t>
      </w:r>
      <w:r>
        <w:rPr>
          <w:rStyle w:val="FootnoteAnchor"/>
          <w:rtl w:val="true"/>
        </w:rPr>
        <w:footnoteReference w:id="739"/>
      </w:r>
      <w:r>
        <w:rPr>
          <w:rFonts w:ascii="IRNazanin" w:hAnsi="IRNazanin" w:eastAsia="IRNazanin"/>
          <w:color w:val="111111"/>
          <w:sz w:val="28"/>
          <w:sz w:val="28"/>
          <w:szCs w:val="28"/>
          <w:rtl w:val="true"/>
          <w:lang w:bidi="fa-IR"/>
        </w:rPr>
        <w:t>دلّ ارتکابها علیٰ مهانة النفس و قلّة الحیاء و عدم المبالاة بالدین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کلّ معصیة ورد التوعید علیها بالنار </w:t>
      </w:r>
      <w:r>
        <w:rPr>
          <w:rStyle w:val="FootnoteAnchor"/>
          <w:rtl w:val="true"/>
        </w:rPr>
        <w:footnoteReference w:id="740"/>
      </w:r>
      <w:r>
        <w:rPr>
          <w:rFonts w:ascii="IRNazanin" w:hAnsi="IRNazanin" w:eastAsia="IRNazanin"/>
          <w:color w:val="111111"/>
          <w:sz w:val="28"/>
          <w:sz w:val="28"/>
          <w:szCs w:val="28"/>
          <w:rtl w:val="true"/>
          <w:lang w:bidi="fa-IR"/>
        </w:rPr>
        <w:t xml:space="preserve">أو ورد النصّ بکونها کبیرة </w:t>
      </w:r>
      <w:r>
        <w:rPr>
          <w:rStyle w:val="FootnoteAnchor"/>
          <w:rtl w:val="true"/>
        </w:rPr>
        <w:footnoteReference w:id="741"/>
      </w:r>
      <w:r>
        <w:rPr>
          <w:rFonts w:ascii="Amiri" w:hAnsi="Amiri" w:eastAsia="Amiri" w:cs="Amiri"/>
          <w:color w:val="111111"/>
          <w:sz w:val="28"/>
          <w:sz w:val="28"/>
          <w:szCs w:val="28"/>
          <w:rtl w:val="true"/>
          <w:lang w:bidi="ar-SA"/>
        </w:rPr>
        <w:t xml:space="preserve">، کالإشراک باللّٰه </w:t>
      </w:r>
      <w:r>
        <w:rPr>
          <w:rStyle w:val="FootnoteAnchor"/>
          <w:rtl w:val="true"/>
        </w:rPr>
        <w:footnoteReference w:id="742"/>
      </w:r>
      <w:r>
        <w:rPr>
          <w:rFonts w:ascii="IRNazanin" w:hAnsi="IRNazanin" w:eastAsia="IRNazanin"/>
          <w:color w:val="111111"/>
          <w:sz w:val="28"/>
          <w:sz w:val="28"/>
          <w:szCs w:val="28"/>
          <w:rtl w:val="true"/>
          <w:lang w:bidi="fa-IR"/>
        </w:rPr>
        <w:t>، و إنکار ما أنزله، و الیأس من روحه، و الأمن من مکره، و الکذب علیه أو علیٰ رسوله أو أوصیائه، و محاربة أولیائه، و قتل النفس التی حرّمها اللّٰه إلّا بالحقّ، و عقوق الوالدین، و أکل مال الیتیم ظلماً، و قذف المحصنة، و الفرار من الزحف، و قطیعة الرحم، و السحر، و الزنا، و اللواط، و السرقة، و الیمین الغموس، و کتمان الشهادة، و شهادة الزور، و نقض العهد، و الحیف فی الوصیّة، و شرب الخمر، و أکل الربا، و أکل السحت و القمار، و أکل المیتة و الدم و لحم الخنزیر و ما أُهلَّ لغیر اللّٰه من غیر ضرورة، و البخس فی المکیال و المیزان، و التعرّب بعد الهجرة، و معونة الظالمین و الرکون إلیهم، و حبس الحقوق من غیر عذر، و الکذب، و الکبر، و الإسراف، و التبذیر، و الخیانة، و الغیبة،</w:t>
      </w:r>
      <w:bookmarkStart w:id="2556" w:name="pg1809_19141"/>
    </w:p>
    <w:p>
      <w:pPr>
        <w:pStyle w:val="BookText"/>
        <w:rPr/>
      </w:pPr>
      <w:bookmarkEnd w:id="2556"/>
      <w:r>
        <w:rPr>
          <w:rFonts w:ascii="IRNazanin" w:hAnsi="IRNazanin" w:eastAsia="IRNazanin"/>
          <w:color w:val="111111"/>
          <w:sz w:val="28"/>
          <w:sz w:val="28"/>
          <w:szCs w:val="28"/>
          <w:rtl w:val="true"/>
          <w:lang w:bidi="fa-IR"/>
        </w:rPr>
        <w:t>و النمیمة، و الاشتغال بالملاهی، و الاستخفاف بالحجّ، و ترک الصلاة، و منع الزکاة، و الإصرار علی الصغائر من الذنوب</w:t>
      </w:r>
      <w:r>
        <w:rPr>
          <w:rFonts w:eastAsia="IRNazanin" w:cs="IRNazanin"/>
          <w:color w:val="111111"/>
          <w:sz w:val="28"/>
          <w:szCs w:val="28"/>
          <w:rtl w:val="true"/>
          <w:lang w:bidi="fa-IR"/>
        </w:rPr>
        <w:t>.</w:t>
      </w:r>
    </w:p>
    <w:p>
      <w:pPr>
        <w:pStyle w:val="Heading5"/>
        <w:numPr>
          <w:ilvl w:val="4"/>
          <w:numId w:val="1"/>
        </w:numPr>
        <w:rPr/>
      </w:pPr>
      <w:bookmarkStart w:id="2557" w:name="__RefHeading___Toc2567318_3650668749"/>
      <w:bookmarkStart w:id="2558" w:name="_Toc1168"/>
      <w:bookmarkEnd w:id="2557"/>
      <w:r>
        <w:rPr>
          <w:rtl w:val="true"/>
        </w:rPr>
        <w:t>[ (</w:t>
      </w:r>
      <w:r>
        <w:rPr>
          <w:rtl w:val="true"/>
        </w:rPr>
        <w:t xml:space="preserve">مسألة </w:t>
      </w:r>
      <w:r>
        <w:rPr/>
        <w:t>1</w:t>
      </w:r>
      <w:r>
        <w:rPr>
          <w:rtl w:val="true"/>
        </w:rPr>
        <w:t xml:space="preserve">): </w:t>
      </w:r>
      <w:r>
        <w:rPr>
          <w:rtl w:val="true"/>
        </w:rPr>
        <w:t>الإصرار الموجب لدخول الصغیرة فی الکبیرة هو المداومة و الملازمة علی المعصیة من دون تخلّل التوبة</w:t>
      </w:r>
      <w:r>
        <w:rPr>
          <w:rtl w:val="true"/>
        </w:rPr>
        <w:t>]</w:t>
      </w:r>
      <w:bookmarkEnd w:id="2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الإصرار الموجب لدخول الصغیرة فی الکبیرة هو المداومة و الملازمة علی المعصیة من دون تخلّل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یکون من الإصرار العزم علی العود إلی المعصیة بعد ارتکابها و إن لم یعد إلیها، خصوصاً إذا کان عزمه علی العود حال ارتکاب المعصیة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عدم تحقّقه بمجرّد عدم التوبة بعد المعصیة من دون العزم علی العود إلیها</w:t>
      </w:r>
      <w:r>
        <w:rPr>
          <w:rFonts w:eastAsia="IRNazanin" w:cs="IRNazanin"/>
          <w:color w:val="111111"/>
          <w:sz w:val="28"/>
          <w:szCs w:val="28"/>
          <w:rtl w:val="true"/>
          <w:lang w:bidi="fa-IR"/>
        </w:rPr>
        <w:t>.</w:t>
      </w:r>
    </w:p>
    <w:p>
      <w:pPr>
        <w:pStyle w:val="Heading5"/>
        <w:numPr>
          <w:ilvl w:val="4"/>
          <w:numId w:val="1"/>
        </w:numPr>
        <w:rPr/>
      </w:pPr>
      <w:bookmarkStart w:id="2559" w:name="__RefHeading___Toc2567320_3650668749"/>
      <w:bookmarkStart w:id="2560" w:name="_Toc1169"/>
      <w:bookmarkEnd w:id="2559"/>
      <w:r>
        <w:rPr>
          <w:rtl w:val="true"/>
        </w:rPr>
        <w:t>[ (</w:t>
      </w:r>
      <w:r>
        <w:rPr>
          <w:rtl w:val="true"/>
        </w:rPr>
        <w:t xml:space="preserve">مسألة </w:t>
      </w:r>
      <w:r>
        <w:rPr/>
        <w:t>2</w:t>
      </w:r>
      <w:r>
        <w:rPr>
          <w:rtl w:val="true"/>
        </w:rPr>
        <w:t xml:space="preserve">): </w:t>
      </w:r>
      <w:r>
        <w:rPr>
          <w:rtl w:val="true"/>
        </w:rPr>
        <w:t>الأقویٰ جواز تصدّی الإمامة لمن یعرف نفسه بعدم العدالة مع اعتقاد المأمومین عدالته</w:t>
      </w:r>
      <w:r>
        <w:rPr>
          <w:rtl w:val="true"/>
        </w:rPr>
        <w:t>]</w:t>
      </w:r>
      <w:bookmarkEnd w:id="2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 تصدّی الإمامة لمن یعرف نفسه بعدم العدالة مع اعتقاد المأمومین عدالته و إن کان الأحوط الترک</w:t>
      </w:r>
      <w:r>
        <w:rPr>
          <w:rFonts w:eastAsia="IRNazanin" w:cs="IRNazanin"/>
          <w:color w:val="111111"/>
          <w:sz w:val="28"/>
          <w:szCs w:val="28"/>
          <w:rtl w:val="true"/>
          <w:lang w:bidi="fa-IR"/>
        </w:rPr>
        <w:t>.</w:t>
      </w:r>
    </w:p>
    <w:p>
      <w:pPr>
        <w:pStyle w:val="Heading5"/>
        <w:numPr>
          <w:ilvl w:val="4"/>
          <w:numId w:val="1"/>
        </w:numPr>
        <w:rPr/>
      </w:pPr>
      <w:bookmarkStart w:id="2561" w:name="__RefHeading___Toc2567322_3650668749"/>
      <w:bookmarkStart w:id="2562" w:name="_Toc1170"/>
      <w:bookmarkEnd w:id="2561"/>
      <w:r>
        <w:rPr>
          <w:rtl w:val="true"/>
        </w:rPr>
        <w:t>[ (</w:t>
      </w:r>
      <w:r>
        <w:rPr>
          <w:rtl w:val="true"/>
        </w:rPr>
        <w:t xml:space="preserve">مسألة </w:t>
      </w:r>
      <w:r>
        <w:rPr/>
        <w:t>3</w:t>
      </w:r>
      <w:r>
        <w:rPr>
          <w:rtl w:val="true"/>
        </w:rPr>
        <w:t xml:space="preserve">): </w:t>
      </w:r>
      <w:r>
        <w:rPr>
          <w:rtl w:val="true"/>
        </w:rPr>
        <w:t>تثبت عدالة الإمام بالبیّنة و الشیاع الموجب للاطمئنان</w:t>
      </w:r>
      <w:r>
        <w:rPr>
          <w:rtl w:val="true"/>
        </w:rPr>
        <w:t>]</w:t>
      </w:r>
      <w:bookmarkEnd w:id="2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عدالة الإمام بالبیّنة و الشیاع الموجب للاطمئنان، بل یکفی الوثوق و الاطمئنان من أیّ وجه حصل و لو من جهة اقتداء جماعة به من أهل البصیرة و الصلاح لا من الهمج الرعاع و الجهّال، کما أنّه یکفی حسن الظاهر الکاشف ظنّاً </w:t>
      </w:r>
      <w:r>
        <w:rPr>
          <w:rStyle w:val="FootnoteAnchor"/>
          <w:rtl w:val="true"/>
        </w:rPr>
        <w:footnoteReference w:id="743"/>
      </w:r>
      <w:r>
        <w:rPr>
          <w:rFonts w:ascii="IRNazanin" w:hAnsi="IRNazanin" w:eastAsia="IRNazanin"/>
          <w:color w:val="111111"/>
          <w:sz w:val="28"/>
          <w:sz w:val="28"/>
          <w:szCs w:val="28"/>
          <w:rtl w:val="true"/>
          <w:lang w:bidi="fa-IR"/>
        </w:rPr>
        <w:t>عن تلک الحالة النفسانیّة الباعثة علیٰ ملازمة التقوی</w:t>
      </w:r>
      <w:r>
        <w:rPr>
          <w:rFonts w:eastAsia="IRNazanin" w:cs="IRNazanin"/>
          <w:color w:val="111111"/>
          <w:sz w:val="28"/>
          <w:szCs w:val="28"/>
          <w:rtl w:val="true"/>
          <w:lang w:bidi="fa-IR"/>
        </w:rPr>
        <w:t>.</w:t>
      </w:r>
    </w:p>
    <w:p>
      <w:pPr>
        <w:pStyle w:val="Heading5"/>
        <w:numPr>
          <w:ilvl w:val="4"/>
          <w:numId w:val="1"/>
        </w:numPr>
        <w:rPr/>
      </w:pPr>
      <w:bookmarkStart w:id="2563" w:name="__RefHeading___Toc2567324_3650668749"/>
      <w:bookmarkStart w:id="2564" w:name="_Toc1171"/>
      <w:bookmarkEnd w:id="2563"/>
      <w:r>
        <w:rPr>
          <w:rtl w:val="true"/>
        </w:rPr>
        <w:t>[ (</w:t>
      </w:r>
      <w:r>
        <w:rPr>
          <w:rtl w:val="true"/>
        </w:rPr>
        <w:t xml:space="preserve">مسألة </w:t>
      </w:r>
      <w:r>
        <w:rPr/>
        <w:t>4</w:t>
      </w:r>
      <w:r>
        <w:rPr>
          <w:rtl w:val="true"/>
        </w:rPr>
        <w:t xml:space="preserve">): </w:t>
      </w:r>
      <w:r>
        <w:rPr>
          <w:rtl w:val="true"/>
        </w:rPr>
        <w:t>لا یجوز إمامة القاعد للقائمین و لا المضطجع للقاعدین</w:t>
      </w:r>
      <w:r>
        <w:rPr>
          <w:rtl w:val="true"/>
        </w:rPr>
        <w:t>]</w:t>
      </w:r>
      <w:bookmarkEnd w:id="2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إمامة القاعد للقائمین و لا المضطجع للقاعدین و لا من لا یحسن القراءة بعدم تأدیة الحرف من مخرجه أو إبداله بغیره حتّی اللحن فی الإعراب و إن کان لعدم استطاعته لغیره ممّن یحسنها، و کذا الأخرس للناطق و إن کان ممّن لا یحسنها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w:t>
      </w:r>
      <w:r>
        <w:rPr>
          <w:rStyle w:val="FootnoteAnchor"/>
          <w:rtl w:val="true"/>
        </w:rPr>
        <w:footnoteReference w:id="744"/>
      </w:r>
      <w:r>
        <w:rPr>
          <w:rFonts w:ascii="IRNazanin" w:hAnsi="IRNazanin" w:eastAsia="IRNazanin"/>
          <w:color w:val="111111"/>
          <w:sz w:val="28"/>
          <w:sz w:val="28"/>
          <w:szCs w:val="28"/>
          <w:rtl w:val="true"/>
          <w:lang w:bidi="fa-IR"/>
        </w:rPr>
        <w:t>بإمامة من لا یحسن القراءة فی غیر المحلّ الذی یتحمّلها الإمام عن المأموم کالرکعتین الأخیرتین إذا کان ذلک لعدم استطاعته حتّی لمن یحسنها فیه</w:t>
      </w:r>
      <w:r>
        <w:rPr>
          <w:rFonts w:eastAsia="IRNazanin" w:cs="IRNazanin"/>
          <w:color w:val="111111"/>
          <w:sz w:val="28"/>
          <w:szCs w:val="28"/>
          <w:rtl w:val="true"/>
          <w:lang w:bidi="fa-IR"/>
        </w:rPr>
        <w:t>.</w:t>
      </w:r>
    </w:p>
    <w:p>
      <w:pPr>
        <w:pStyle w:val="Heading5"/>
        <w:numPr>
          <w:ilvl w:val="4"/>
          <w:numId w:val="1"/>
        </w:numPr>
        <w:rPr/>
      </w:pPr>
      <w:bookmarkStart w:id="2565" w:name="__RefHeading___Toc2567326_3650668749"/>
      <w:bookmarkStart w:id="2566" w:name="_Toc1172"/>
      <w:bookmarkEnd w:id="2565"/>
      <w:r>
        <w:rPr>
          <w:rtl w:val="true"/>
        </w:rPr>
        <w:t>[ (</w:t>
      </w:r>
      <w:r>
        <w:rPr>
          <w:rtl w:val="true"/>
        </w:rPr>
        <w:t xml:space="preserve">مسألة </w:t>
      </w:r>
      <w:r>
        <w:rPr/>
        <w:t>5</w:t>
      </w:r>
      <w:r>
        <w:rPr>
          <w:rtl w:val="true"/>
        </w:rPr>
        <w:t xml:space="preserve">): </w:t>
      </w:r>
      <w:r>
        <w:rPr>
          <w:rtl w:val="true"/>
        </w:rPr>
        <w:t>لا بأس بإمامة القاعد للقاعد و المضطجع لمثله</w:t>
      </w:r>
      <w:r>
        <w:rPr>
          <w:rtl w:val="true"/>
        </w:rPr>
        <w:t>]</w:t>
      </w:r>
      <w:bookmarkEnd w:id="256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745"/>
      </w:r>
      <w:r>
        <w:rPr>
          <w:rFonts w:ascii="IRNazanin" w:hAnsi="IRNazanin" w:eastAsia="IRNazanin"/>
          <w:color w:val="111111"/>
          <w:sz w:val="28"/>
          <w:sz w:val="28"/>
          <w:szCs w:val="28"/>
          <w:rtl w:val="true"/>
          <w:lang w:bidi="fa-IR"/>
        </w:rPr>
        <w:t>بإمامة القاعد للقاعد و المضطجع لمثله، کما أنّه لا بأس بإمامة المتیمّم للمتوضّئ، و ذی الجبیرة لغیره، و مستصحب النجاسة من جهة العذر لغیره، بل</w:t>
      </w:r>
      <w:bookmarkStart w:id="2567" w:name="pg1809_19144"/>
    </w:p>
    <w:p>
      <w:pPr>
        <w:pStyle w:val="BookText"/>
        <w:rPr/>
      </w:pPr>
      <w:bookmarkEnd w:id="2567"/>
      <w:r>
        <w:rPr>
          <w:rFonts w:ascii="IRNazanin" w:hAnsi="IRNazanin" w:eastAsia="IRNazanin"/>
          <w:color w:val="111111"/>
          <w:sz w:val="28"/>
          <w:sz w:val="28"/>
          <w:szCs w:val="28"/>
          <w:rtl w:val="true"/>
          <w:lang w:bidi="fa-IR"/>
        </w:rPr>
        <w:t>لا یبعد جواز إمامة المسلوس و المبطون لغیرهما فضلًا عن مثلهما</w:t>
      </w:r>
      <w:r>
        <w:rPr>
          <w:rFonts w:eastAsia="IRNazanin" w:cs="IRNazanin"/>
          <w:color w:val="111111"/>
          <w:sz w:val="28"/>
          <w:szCs w:val="28"/>
          <w:rtl w:val="true"/>
          <w:lang w:bidi="fa-IR"/>
        </w:rPr>
        <w:t>.</w:t>
      </w:r>
    </w:p>
    <w:p>
      <w:pPr>
        <w:pStyle w:val="Heading5"/>
        <w:numPr>
          <w:ilvl w:val="4"/>
          <w:numId w:val="1"/>
        </w:numPr>
        <w:rPr/>
      </w:pPr>
      <w:bookmarkStart w:id="2568" w:name="__RefHeading___Toc2567328_3650668749"/>
      <w:bookmarkStart w:id="2569" w:name="_Toc1173"/>
      <w:bookmarkEnd w:id="2568"/>
      <w:r>
        <w:rPr>
          <w:rtl w:val="true"/>
        </w:rPr>
        <w:t>[ (</w:t>
      </w:r>
      <w:r>
        <w:rPr>
          <w:rtl w:val="true"/>
        </w:rPr>
        <w:t xml:space="preserve">مسألة </w:t>
      </w:r>
      <w:r>
        <w:rPr/>
        <w:t>6</w:t>
      </w:r>
      <w:r>
        <w:rPr>
          <w:rtl w:val="true"/>
        </w:rPr>
        <w:t xml:space="preserve">): </w:t>
      </w:r>
      <w:r>
        <w:rPr>
          <w:rtl w:val="true"/>
        </w:rPr>
        <w:t>إذا اختلف الإمام مع المأموم فی المسائل المتعلّقة بالصلاة</w:t>
      </w:r>
      <w:r>
        <w:rPr>
          <w:rtl w:val="true"/>
        </w:rPr>
        <w:t>]</w:t>
      </w:r>
      <w:bookmarkEnd w:id="2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الإمام مع المأموم فی المسائل المتعلّقة بالصلاة اجتهاداً أو تقلیداً صحّ الاقتداء إذا اتّحدا فی العمل؛ کما إذا رأی أحدهما اجتهاداً أو تقلیداً وجوب السورة و الآخر عدمه یجوز اقتداء الأوّل بالثانی إذا قرأها و إن لم یوجبها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مع المخالفة فی العمل فیشکل </w:t>
      </w:r>
      <w:r>
        <w:rPr>
          <w:rStyle w:val="FootnoteAnchor"/>
          <w:rtl w:val="true"/>
        </w:rPr>
        <w:footnoteReference w:id="746"/>
      </w:r>
      <w:r>
        <w:rPr>
          <w:rFonts w:ascii="IRNazanin" w:hAnsi="IRNazanin" w:eastAsia="IRNazanin"/>
          <w:color w:val="111111"/>
          <w:sz w:val="28"/>
          <w:sz w:val="28"/>
          <w:szCs w:val="28"/>
          <w:rtl w:val="true"/>
          <w:lang w:bidi="fa-IR"/>
        </w:rPr>
        <w:t>جواز الاقتداء خصوصاً فیما یتعلّق بقراءة الإمام التی یتحمّلها عن المأموم إذا أتی بما رآه المأموم باطلًا، فلا یترک الاحتیاط فیه بترک 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لم یعلم اختلافهما فی المسائل أو تخالفهما </w:t>
      </w:r>
      <w:r>
        <w:rPr>
          <w:rStyle w:val="FootnoteAnchor"/>
          <w:rtl w:val="true"/>
        </w:rPr>
        <w:footnoteReference w:id="747"/>
      </w:r>
      <w:r>
        <w:rPr>
          <w:rFonts w:ascii="IRNazanin" w:hAnsi="IRNazanin" w:eastAsia="IRNazanin"/>
          <w:color w:val="111111"/>
          <w:sz w:val="28"/>
          <w:sz w:val="28"/>
          <w:szCs w:val="28"/>
          <w:rtl w:val="true"/>
          <w:lang w:bidi="fa-IR"/>
        </w:rPr>
        <w:t>فی العمل یجوز الائتمام و لا یجب الفحص و السؤال</w:t>
      </w:r>
      <w:r>
        <w:rPr>
          <w:rFonts w:eastAsia="IRNazanin" w:cs="IRNazanin"/>
          <w:color w:val="111111"/>
          <w:sz w:val="28"/>
          <w:szCs w:val="28"/>
          <w:rtl w:val="true"/>
          <w:lang w:bidi="fa-IR"/>
        </w:rPr>
        <w:t>.</w:t>
      </w:r>
    </w:p>
    <w:p>
      <w:pPr>
        <w:pStyle w:val="Heading5"/>
        <w:numPr>
          <w:ilvl w:val="4"/>
          <w:numId w:val="1"/>
        </w:numPr>
        <w:rPr/>
      </w:pPr>
      <w:bookmarkStart w:id="2570" w:name="__RefHeading___Toc2567330_3650668749"/>
      <w:bookmarkStart w:id="2571" w:name="_Toc1174"/>
      <w:bookmarkEnd w:id="2570"/>
      <w:r>
        <w:rPr>
          <w:rtl w:val="true"/>
        </w:rPr>
        <w:t>[ (</w:t>
      </w:r>
      <w:r>
        <w:rPr>
          <w:rtl w:val="true"/>
        </w:rPr>
        <w:t xml:space="preserve">مسألة </w:t>
      </w:r>
      <w:r>
        <w:rPr/>
        <w:t>7</w:t>
      </w:r>
      <w:r>
        <w:rPr>
          <w:rtl w:val="true"/>
        </w:rPr>
        <w:t xml:space="preserve">): </w:t>
      </w:r>
      <w:r>
        <w:rPr>
          <w:rtl w:val="true"/>
        </w:rPr>
        <w:t>إذا دخل الإمام فی الصلاة معتقداً دخول الوقت و المأموم معتقد عدمه أو شاکّ فیه</w:t>
      </w:r>
      <w:r>
        <w:rPr>
          <w:rtl w:val="true"/>
        </w:rPr>
        <w:t>]</w:t>
      </w:r>
      <w:bookmarkEnd w:id="2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الإمام فی الصلاة معتقداً دخول الوقت و المأموم معتقد عدمه أو شاکّ فیه لا یجوز له الائتمام فی الصلاة، نعم إذا علم بالدخول فی أثناء صلاة الإمام جاز له </w:t>
      </w:r>
      <w:r>
        <w:rPr>
          <w:rStyle w:val="FootnoteAnchor"/>
          <w:rtl w:val="true"/>
        </w:rPr>
        <w:footnoteReference w:id="748"/>
      </w:r>
      <w:r>
        <w:rPr>
          <w:rFonts w:ascii="IRNazanin" w:hAnsi="IRNazanin" w:eastAsia="IRNazanin"/>
          <w:color w:val="111111"/>
          <w:sz w:val="28"/>
          <w:sz w:val="28"/>
          <w:szCs w:val="28"/>
          <w:rtl w:val="true"/>
          <w:lang w:bidi="fa-IR"/>
        </w:rPr>
        <w:t>الائتمام به</w:t>
      </w:r>
      <w:r>
        <w:rPr>
          <w:rFonts w:eastAsia="IRNazanin" w:cs="IRNazanin"/>
          <w:color w:val="111111"/>
          <w:sz w:val="28"/>
          <w:szCs w:val="28"/>
          <w:rtl w:val="true"/>
          <w:lang w:bidi="fa-IR"/>
        </w:rPr>
        <w:t>.</w:t>
      </w:r>
    </w:p>
    <w:p>
      <w:pPr>
        <w:pStyle w:val="Heading5"/>
        <w:numPr>
          <w:ilvl w:val="4"/>
          <w:numId w:val="1"/>
        </w:numPr>
        <w:rPr/>
      </w:pPr>
      <w:bookmarkStart w:id="2572" w:name="__RefHeading___Toc2567332_3650668749"/>
      <w:bookmarkStart w:id="2573" w:name="_Toc1175"/>
      <w:bookmarkEnd w:id="2572"/>
      <w:r>
        <w:rPr>
          <w:rtl w:val="true"/>
        </w:rPr>
        <w:t>[ (</w:t>
      </w:r>
      <w:r>
        <w:rPr>
          <w:rtl w:val="true"/>
        </w:rPr>
        <w:t xml:space="preserve">مسألة </w:t>
      </w:r>
      <w:r>
        <w:rPr/>
        <w:t>8</w:t>
      </w:r>
      <w:r>
        <w:rPr>
          <w:rtl w:val="true"/>
        </w:rPr>
        <w:t xml:space="preserve">): </w:t>
      </w:r>
      <w:r>
        <w:rPr>
          <w:rtl w:val="true"/>
        </w:rPr>
        <w:t>إذا تشاحّ الأئمّة لا لغرض دنیوی یقدح فی العدالة یرجّح من قدّمه المأمومون</w:t>
      </w:r>
      <w:r>
        <w:rPr>
          <w:rtl w:val="true"/>
        </w:rPr>
        <w:t>]</w:t>
      </w:r>
      <w:bookmarkEnd w:id="257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تشاحّ </w:t>
      </w:r>
      <w:r>
        <w:rPr>
          <w:rStyle w:val="FootnoteAnchor"/>
          <w:rtl w:val="true"/>
        </w:rPr>
        <w:footnoteReference w:id="749"/>
      </w:r>
      <w:r>
        <w:rPr>
          <w:rFonts w:ascii="IRNazanin" w:hAnsi="IRNazanin" w:eastAsia="IRNazanin"/>
          <w:color w:val="111111"/>
          <w:sz w:val="28"/>
          <w:sz w:val="28"/>
          <w:szCs w:val="28"/>
          <w:rtl w:val="true"/>
          <w:lang w:bidi="fa-IR"/>
        </w:rPr>
        <w:t>الأئمّة لا لغرض دنیوی یقدح فی العدالة یرجّح من قدّمه المأمومون، و مع الاختلاف یقدّم الفقیه الجامع للشرائط، فإن لم یکن أو تعدّد یقدّم الأجود قراءة ثمّ الأفقه فی أحکام الصلاة ثمّ الأسنّ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الراتب فی المسجد أولیٰ بالإمامة من غیره و إن کان أفضل، لکن الأولیٰ له تقدیم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صاحب المنزل أولیٰ من غیره المأذون فی الصلاة، و الأولی أیضاً تقدیم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الهاشمی أولیٰ من غیره المساوی له فی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الترجیحات المذکورة إنّما هی من باب الأفضلیّة و الاستحباب لا علیٰ وجه</w:t>
      </w:r>
      <w:bookmarkStart w:id="2574" w:name="pg1809_19146"/>
    </w:p>
    <w:p>
      <w:pPr>
        <w:pStyle w:val="BookText"/>
        <w:rPr/>
      </w:pPr>
      <w:bookmarkEnd w:id="2574"/>
      <w:r>
        <w:rPr>
          <w:rFonts w:ascii="IRNazanin" w:hAnsi="IRNazanin" w:eastAsia="IRNazanin"/>
          <w:color w:val="111111"/>
          <w:sz w:val="28"/>
          <w:sz w:val="28"/>
          <w:szCs w:val="28"/>
          <w:rtl w:val="true"/>
          <w:lang w:bidi="fa-IR"/>
        </w:rPr>
        <w:t xml:space="preserve">اللزوم و الإیجاب حتّی فی أولویّة الإمام الراتب، فلا یحرم </w:t>
      </w:r>
      <w:r>
        <w:rPr>
          <w:rStyle w:val="FootnoteAnchor"/>
          <w:rtl w:val="true"/>
        </w:rPr>
        <w:footnoteReference w:id="750"/>
      </w:r>
      <w:r>
        <w:rPr>
          <w:rFonts w:ascii="IRNazanin" w:hAnsi="IRNazanin" w:eastAsia="IRNazanin"/>
          <w:color w:val="111111"/>
          <w:sz w:val="28"/>
          <w:sz w:val="28"/>
          <w:szCs w:val="28"/>
          <w:rtl w:val="true"/>
          <w:lang w:bidi="fa-IR"/>
        </w:rPr>
        <w:t>مزاحمة الغیر له و إن کان مفضولًا من جمیع الجهات أیضاً</w:t>
      </w:r>
      <w:r>
        <w:rPr>
          <w:rFonts w:eastAsia="IRNazanin" w:cs="IRNazanin"/>
          <w:color w:val="111111"/>
          <w:sz w:val="28"/>
          <w:szCs w:val="28"/>
          <w:rtl w:val="true"/>
          <w:lang w:bidi="fa-IR"/>
        </w:rPr>
        <w:t>.</w:t>
      </w:r>
    </w:p>
    <w:p>
      <w:pPr>
        <w:pStyle w:val="Heading5"/>
        <w:numPr>
          <w:ilvl w:val="4"/>
          <w:numId w:val="1"/>
        </w:numPr>
        <w:rPr/>
      </w:pPr>
      <w:bookmarkStart w:id="2575" w:name="__RefHeading___Toc2567334_3650668749"/>
      <w:bookmarkStart w:id="2576" w:name="_Toc1176"/>
      <w:bookmarkEnd w:id="2575"/>
      <w:r>
        <w:rPr>
          <w:rtl w:val="true"/>
        </w:rPr>
        <w:t>[ (</w:t>
      </w:r>
      <w:r>
        <w:rPr>
          <w:rtl w:val="true"/>
        </w:rPr>
        <w:t xml:space="preserve">مسألة </w:t>
      </w:r>
      <w:r>
        <w:rPr/>
        <w:t>9</w:t>
      </w:r>
      <w:r>
        <w:rPr>
          <w:rtl w:val="true"/>
        </w:rPr>
        <w:t xml:space="preserve">): </w:t>
      </w:r>
      <w:r>
        <w:rPr>
          <w:rtl w:val="true"/>
        </w:rPr>
        <w:t>یکره إمامة الأجذم و الأبرص</w:t>
      </w:r>
      <w:r>
        <w:rPr>
          <w:rtl w:val="true"/>
        </w:rPr>
        <w:t>]</w:t>
      </w:r>
      <w:bookmarkEnd w:id="2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إمامة الأجذم و الأبرص </w:t>
      </w:r>
      <w:r>
        <w:rPr>
          <w:rStyle w:val="FootnoteAnchor"/>
          <w:rtl w:val="true"/>
        </w:rPr>
        <w:footnoteReference w:id="751"/>
      </w:r>
      <w:r>
        <w:rPr>
          <w:rFonts w:ascii="IRNazanin" w:hAnsi="IRNazanin" w:eastAsia="IRNazanin"/>
          <w:color w:val="111111"/>
          <w:sz w:val="28"/>
          <w:sz w:val="28"/>
          <w:szCs w:val="28"/>
          <w:rtl w:val="true"/>
          <w:lang w:bidi="fa-IR"/>
        </w:rPr>
        <w:t>و الأغلف المعذور فی ترک الختان و المحدود بعد توبته و من یکره المأمومون إمامته و المتیمّم للمتطهّر، بل الأولیٰ عدم إمامة کلّ ناقص للکامل</w:t>
      </w:r>
      <w:r>
        <w:rPr>
          <w:rFonts w:eastAsia="IRNazanin" w:cs="IRNazanin"/>
          <w:color w:val="111111"/>
          <w:sz w:val="28"/>
          <w:szCs w:val="28"/>
          <w:rtl w:val="true"/>
          <w:lang w:bidi="fa-IR"/>
        </w:rPr>
        <w:t>.</w:t>
      </w:r>
    </w:p>
    <w:p>
      <w:pPr>
        <w:pStyle w:val="Heading5"/>
        <w:numPr>
          <w:ilvl w:val="4"/>
          <w:numId w:val="1"/>
        </w:numPr>
        <w:rPr/>
      </w:pPr>
      <w:bookmarkStart w:id="2577" w:name="__RefHeading___Toc2567336_3650668749"/>
      <w:bookmarkStart w:id="2578" w:name="_Toc1177"/>
      <w:bookmarkEnd w:id="2577"/>
      <w:r>
        <w:rPr>
          <w:rtl w:val="true"/>
        </w:rPr>
        <w:t>[ (</w:t>
      </w:r>
      <w:r>
        <w:rPr>
          <w:rtl w:val="true"/>
        </w:rPr>
        <w:t xml:space="preserve">مسألة </w:t>
      </w:r>
      <w:r>
        <w:rPr/>
        <w:t>10</w:t>
      </w:r>
      <w:r>
        <w:rPr>
          <w:rtl w:val="true"/>
        </w:rPr>
        <w:t xml:space="preserve">): </w:t>
      </w:r>
      <w:r>
        <w:rPr>
          <w:rtl w:val="true"/>
        </w:rPr>
        <w:t>إذا علم المأموم بطلان صلاة الإمام من جهة کونه محدثاً</w:t>
      </w:r>
      <w:r>
        <w:rPr>
          <w:rtl w:val="true"/>
        </w:rPr>
        <w:t>]</w:t>
      </w:r>
      <w:bookmarkEnd w:id="2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المأموم بطلان صلاة الإمام من جهة کونه محدثاً أو تارکاً لرکن و نحوه لا یجوز له الاقتداء به و إن اعتقد الإمام صحّتها جهلًا أو سهواً</w:t>
      </w:r>
      <w:r>
        <w:rPr>
          <w:rFonts w:eastAsia="IRNazanin" w:cs="IRNazanin"/>
          <w:color w:val="111111"/>
          <w:sz w:val="28"/>
          <w:szCs w:val="28"/>
          <w:rtl w:val="true"/>
          <w:lang w:bidi="fa-IR"/>
        </w:rPr>
        <w:t>.</w:t>
      </w:r>
    </w:p>
    <w:p>
      <w:pPr>
        <w:pStyle w:val="Heading5"/>
        <w:numPr>
          <w:ilvl w:val="4"/>
          <w:numId w:val="1"/>
        </w:numPr>
        <w:rPr/>
      </w:pPr>
      <w:bookmarkStart w:id="2579" w:name="__RefHeading___Toc2567338_3650668749"/>
      <w:bookmarkStart w:id="2580" w:name="_Toc1178"/>
      <w:bookmarkEnd w:id="2579"/>
      <w:r>
        <w:rPr>
          <w:rtl w:val="true"/>
        </w:rPr>
        <w:t>[ (</w:t>
      </w:r>
      <w:r>
        <w:rPr>
          <w:rtl w:val="true"/>
        </w:rPr>
        <w:t xml:space="preserve">مسألة </w:t>
      </w:r>
      <w:r>
        <w:rPr/>
        <w:t>11</w:t>
      </w:r>
      <w:r>
        <w:rPr>
          <w:rtl w:val="true"/>
        </w:rPr>
        <w:t xml:space="preserve">): </w:t>
      </w:r>
      <w:r>
        <w:rPr>
          <w:rtl w:val="true"/>
        </w:rPr>
        <w:t>إذا رأی المأموم فی ثوب الإمام نجاسة غیر معفوّ عنها</w:t>
      </w:r>
      <w:r>
        <w:rPr>
          <w:rtl w:val="true"/>
        </w:rPr>
        <w:t>]</w:t>
      </w:r>
      <w:bookmarkEnd w:id="25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المأموم فی ثوب الإمام نجاسة غیر معفوّ عنها فإن علم أنّه قد نسیها لا یجوز الاقتداء به و إن علم کونه جاهلًا بها یجوز الاقتداء به، و إذا لم یدر أنّه جاهل أو ناسٍ ففی جواز الاقتداء به تأمّل و إشکال فلا یترک الاحتیاط</w:t>
      </w:r>
      <w:r>
        <w:rPr>
          <w:rFonts w:eastAsia="IRNazanin" w:cs="IRNazanin"/>
          <w:color w:val="111111"/>
          <w:sz w:val="28"/>
          <w:szCs w:val="28"/>
          <w:rtl w:val="true"/>
          <w:lang w:bidi="fa-IR"/>
        </w:rPr>
        <w:t>.</w:t>
      </w:r>
    </w:p>
    <w:p>
      <w:pPr>
        <w:pStyle w:val="Heading5"/>
        <w:numPr>
          <w:ilvl w:val="4"/>
          <w:numId w:val="1"/>
        </w:numPr>
        <w:rPr/>
      </w:pPr>
      <w:bookmarkStart w:id="2581" w:name="__RefHeading___Toc2567340_3650668749"/>
      <w:bookmarkStart w:id="2582" w:name="_Toc1179"/>
      <w:bookmarkEnd w:id="2581"/>
      <w:r>
        <w:rPr>
          <w:rtl w:val="true"/>
        </w:rPr>
        <w:t>[ (</w:t>
      </w:r>
      <w:r>
        <w:rPr>
          <w:rtl w:val="true"/>
        </w:rPr>
        <w:t xml:space="preserve">مسألة </w:t>
      </w:r>
      <w:r>
        <w:rPr/>
        <w:t>12</w:t>
      </w:r>
      <w:r>
        <w:rPr>
          <w:rtl w:val="true"/>
        </w:rPr>
        <w:t xml:space="preserve">): </w:t>
      </w:r>
      <w:r>
        <w:rPr>
          <w:rtl w:val="true"/>
        </w:rPr>
        <w:t>إذا تبیّن بعد الصلاة کون الإمام فاسقاً أو محدثاً مثلًا</w:t>
      </w:r>
      <w:r>
        <w:rPr>
          <w:rtl w:val="true"/>
        </w:rPr>
        <w:t>]</w:t>
      </w:r>
      <w:bookmarkEnd w:id="258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تبیّن بعد الصلاة کون الإمام فاسقاً أو محدثاً مثلًا انکشف بطلان </w:t>
      </w:r>
      <w:r>
        <w:rPr>
          <w:rStyle w:val="FootnoteAnchor"/>
          <w:rtl w:val="true"/>
        </w:rPr>
        <w:footnoteReference w:id="752"/>
      </w:r>
      <w:r>
        <w:rPr>
          <w:rFonts w:ascii="IRNazanin" w:hAnsi="IRNazanin" w:eastAsia="IRNazanin"/>
          <w:color w:val="111111"/>
          <w:sz w:val="28"/>
          <w:sz w:val="28"/>
          <w:szCs w:val="28"/>
          <w:rtl w:val="true"/>
          <w:lang w:bidi="fa-IR"/>
        </w:rPr>
        <w:t>الجماعة لکن صلاة المأموم صحیحة إذا لم یزد رکناً أو نحوه ممّا یخلّ بصلاة المنفرد، و أمّا ترک القراءة یکون کترکها سهواً فلا یضرّ بصحّة صلاته</w:t>
      </w:r>
      <w:r>
        <w:rPr>
          <w:rFonts w:eastAsia="IRNazanin" w:cs="IRNazanin"/>
          <w:color w:val="111111"/>
          <w:sz w:val="28"/>
          <w:szCs w:val="28"/>
          <w:rtl w:val="true"/>
          <w:lang w:bidi="fa-IR"/>
        </w:rPr>
        <w:t>.</w:t>
      </w:r>
      <w:bookmarkStart w:id="2583" w:name="pg1809_19148"/>
    </w:p>
    <w:p>
      <w:pPr>
        <w:pStyle w:val="Heading2"/>
        <w:numPr>
          <w:ilvl w:val="1"/>
          <w:numId w:val="1"/>
        </w:numPr>
        <w:rPr/>
      </w:pPr>
      <w:bookmarkStart w:id="2584" w:name="__RefHeading___Toc2567342_3650668749"/>
      <w:bookmarkStart w:id="2585" w:name="_Toc1180"/>
      <w:bookmarkEnd w:id="2583"/>
      <w:bookmarkEnd w:id="2584"/>
      <w:r>
        <w:rPr>
          <w:rtl w:val="true"/>
        </w:rPr>
        <w:t>[</w:t>
      </w:r>
      <w:r>
        <w:rPr>
          <w:rtl w:val="true"/>
        </w:rPr>
        <w:t>کتاب الصوم</w:t>
      </w:r>
      <w:r>
        <w:rPr>
          <w:rtl w:val="true"/>
        </w:rPr>
        <w:t>]</w:t>
      </w:r>
      <w:bookmarkEnd w:id="2585"/>
    </w:p>
    <w:p>
      <w:pPr>
        <w:pStyle w:val="Heading3"/>
        <w:numPr>
          <w:ilvl w:val="2"/>
          <w:numId w:val="1"/>
        </w:numPr>
        <w:rPr/>
      </w:pPr>
      <w:bookmarkStart w:id="2586" w:name="__RefHeading___Toc2567344_3650668749"/>
      <w:bookmarkStart w:id="2587" w:name="_Toc1181"/>
      <w:bookmarkEnd w:id="2586"/>
      <w:r>
        <w:rPr>
          <w:rtl w:val="true"/>
        </w:rPr>
        <w:t>اشارة</w:t>
      </w:r>
      <w:bookmarkEnd w:id="2587"/>
    </w:p>
    <w:p>
      <w:pPr>
        <w:pStyle w:val="BookText"/>
        <w:rPr/>
      </w:pPr>
      <w:r>
        <w:rPr>
          <w:rFonts w:ascii="IRNazanin" w:hAnsi="IRNazanin" w:eastAsia="IRNazanin"/>
          <w:color w:val="111111"/>
          <w:sz w:val="28"/>
          <w:sz w:val="28"/>
          <w:szCs w:val="28"/>
          <w:rtl w:val="true"/>
          <w:lang w:bidi="fa-IR"/>
        </w:rPr>
        <w:t>کتاب الصوم و فیه فصولٌ</w:t>
      </w:r>
      <w:r>
        <w:rPr>
          <w:rFonts w:eastAsia="IRNazanin" w:cs="IRNazanin"/>
          <w:color w:val="111111"/>
          <w:sz w:val="28"/>
          <w:szCs w:val="28"/>
          <w:rtl w:val="true"/>
          <w:lang w:bidi="fa-IR"/>
        </w:rPr>
        <w:t>:</w:t>
      </w:r>
    </w:p>
    <w:p>
      <w:pPr>
        <w:pStyle w:val="Heading3"/>
        <w:numPr>
          <w:ilvl w:val="2"/>
          <w:numId w:val="1"/>
        </w:numPr>
        <w:rPr/>
      </w:pPr>
      <w:bookmarkStart w:id="2588" w:name="__RefHeading___Toc2567346_3650668749"/>
      <w:bookmarkStart w:id="2589" w:name="_Toc1182"/>
      <w:bookmarkEnd w:id="2588"/>
      <w:r>
        <w:rPr>
          <w:rtl w:val="true"/>
        </w:rPr>
        <w:t>[</w:t>
      </w:r>
      <w:r>
        <w:rPr>
          <w:rtl w:val="true"/>
        </w:rPr>
        <w:t>فصل فی النیّة</w:t>
      </w:r>
      <w:r>
        <w:rPr>
          <w:rtl w:val="true"/>
        </w:rPr>
        <w:t>]</w:t>
      </w:r>
      <w:bookmarkEnd w:id="2589"/>
    </w:p>
    <w:p>
      <w:pPr>
        <w:pStyle w:val="Heading4"/>
        <w:numPr>
          <w:ilvl w:val="3"/>
          <w:numId w:val="1"/>
        </w:numPr>
        <w:rPr/>
      </w:pPr>
      <w:bookmarkStart w:id="2590" w:name="__RefHeading___Toc2567348_3650668749"/>
      <w:bookmarkStart w:id="2591" w:name="_Toc1183"/>
      <w:bookmarkEnd w:id="2590"/>
      <w:r>
        <w:rPr>
          <w:rtl w:val="true"/>
        </w:rPr>
        <w:t>اشارة</w:t>
      </w:r>
      <w:bookmarkEnd w:id="2591"/>
    </w:p>
    <w:p>
      <w:pPr>
        <w:pStyle w:val="BookText"/>
        <w:rPr/>
      </w:pPr>
      <w:r>
        <w:rPr>
          <w:rFonts w:ascii="IRNazanin" w:hAnsi="IRNazanin" w:eastAsia="IRNazanin"/>
          <w:color w:val="111111"/>
          <w:sz w:val="28"/>
          <w:sz w:val="28"/>
          <w:szCs w:val="28"/>
          <w:rtl w:val="true"/>
          <w:lang w:bidi="fa-IR"/>
        </w:rPr>
        <w:t>فصل فی النیّة</w:t>
      </w:r>
    </w:p>
    <w:p>
      <w:pPr>
        <w:pStyle w:val="Heading4"/>
        <w:numPr>
          <w:ilvl w:val="3"/>
          <w:numId w:val="1"/>
        </w:numPr>
        <w:rPr/>
      </w:pPr>
      <w:bookmarkStart w:id="2592" w:name="__RefHeading___Toc2567350_3650668749"/>
      <w:bookmarkStart w:id="2593" w:name="_Toc1184"/>
      <w:bookmarkEnd w:id="2592"/>
      <w:r>
        <w:rPr>
          <w:rtl w:val="true"/>
        </w:rPr>
        <w:t>[ (</w:t>
      </w:r>
      <w:r>
        <w:rPr>
          <w:rtl w:val="true"/>
        </w:rPr>
        <w:t xml:space="preserve">مسألة </w:t>
      </w:r>
      <w:r>
        <w:rPr/>
        <w:t>1</w:t>
      </w:r>
      <w:r>
        <w:rPr>
          <w:rtl w:val="true"/>
        </w:rPr>
        <w:t xml:space="preserve">): </w:t>
      </w:r>
      <w:r>
        <w:rPr>
          <w:rtl w:val="true"/>
        </w:rPr>
        <w:t>یشترط فی الصوم النیّة</w:t>
      </w:r>
      <w:r>
        <w:rPr>
          <w:rtl w:val="true"/>
        </w:rPr>
        <w:t>]</w:t>
      </w:r>
      <w:bookmarkEnd w:id="2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الصوم النیّة؛ بأن یقصد إلیٰ تلک العبادة المقرّرة فی الشریعة و یعزم علی الإمساک عن المفطرات المعهودة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العلم بالمفطرات علی التفصیل فلو نوی الإمساک عن کلّ مفطر یضرّ بالصوم و لم یعلم بمفطریّة بعض الأشیاء کالاحتقان أو القی‌ء مثلًا أو زعم عدم مفطریّته و لکن لم یرتکبه صحّ صومه، و کذا لو نوی الإمساک عن أُمور یعلم باشتمالها علی المفطرات صحّ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فی النیّة بعد القصد و القربة و الإخلاص سویٰ تعیین الصوم الذی قصد إطاعة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صوم شهر رمضان نیّة صوم غد من غیر حاجة إلیٰ تعیینه، بل لو نویٰ غیره فیه جاهلًا به أو ناسیاً له صحّ و وقع عن رمضان، بخلاف العالم به فإنّه لا یقع لواحد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فیما عدا شهر رمضان من التعیین؛ بمعنی القصد إلیٰ صنف الصوم المخصوص کالکفّارة و القضاء و النذر المطلق بل المعیّن أیضاً علی الأقویٰ، و یکفی التعیین الإجمالی کما إذا کان ما وجب فی ذمّته صنفاً واحداً فقصد ما فی ذمّته فإنّه 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عدم اعتبار التعیین فی المندوب المطلق، فلو نویٰ صوم غد متقرّباً إلی اللّٰه تعالیٰ صحّ و وقع ندباً إذا کان الزمان صالحاً له و کان الشخص ممّن یجوز له أن یتطوّع بالصوم، بل و کذا المندوب المعیّن أیضاً إذا کان تعیّنه بالزمان الخاصّ کأیّام البیض و الجمعة و الخمیس، نعم فی إحراز ثواب الخصوصیّة یعتبر إحراز ذلک الیوم و قصده</w:t>
      </w:r>
      <w:r>
        <w:rPr>
          <w:rFonts w:eastAsia="IRNazanin" w:cs="IRNazanin"/>
          <w:color w:val="111111"/>
          <w:sz w:val="28"/>
          <w:szCs w:val="28"/>
          <w:rtl w:val="true"/>
          <w:lang w:bidi="fa-IR"/>
        </w:rPr>
        <w:t>.</w:t>
      </w:r>
    </w:p>
    <w:p>
      <w:pPr>
        <w:pStyle w:val="Heading4"/>
        <w:numPr>
          <w:ilvl w:val="3"/>
          <w:numId w:val="1"/>
        </w:numPr>
        <w:rPr/>
      </w:pPr>
      <w:bookmarkStart w:id="2594" w:name="__RefHeading___Toc2567352_3650668749"/>
      <w:bookmarkStart w:id="2595" w:name="_Toc1185"/>
      <w:bookmarkEnd w:id="2594"/>
      <w:r>
        <w:rPr>
          <w:rtl w:val="true"/>
        </w:rPr>
        <w:t>[ (</w:t>
      </w:r>
      <w:r>
        <w:rPr>
          <w:rtl w:val="true"/>
        </w:rPr>
        <w:t xml:space="preserve">مسألة </w:t>
      </w:r>
      <w:r>
        <w:rPr/>
        <w:t>2</w:t>
      </w:r>
      <w:r>
        <w:rPr>
          <w:rtl w:val="true"/>
        </w:rPr>
        <w:t xml:space="preserve">): </w:t>
      </w:r>
      <w:r>
        <w:rPr>
          <w:rtl w:val="true"/>
        </w:rPr>
        <w:t>یعتبر فی القضاء عن الغیر نیّة النیابة و لو لم یکن فی ذمّته صوم آخر لنفسه</w:t>
      </w:r>
      <w:r>
        <w:rPr>
          <w:rtl w:val="true"/>
        </w:rPr>
        <w:t>]</w:t>
      </w:r>
      <w:bookmarkEnd w:id="2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القضاء عن الغیر نیّة النیابة و لو لم یکن فی ذمّته صوم آخر لنفسه</w:t>
      </w:r>
      <w:r>
        <w:rPr>
          <w:rFonts w:eastAsia="IRNazanin" w:cs="IRNazanin"/>
          <w:color w:val="111111"/>
          <w:sz w:val="28"/>
          <w:szCs w:val="28"/>
          <w:rtl w:val="true"/>
          <w:lang w:bidi="fa-IR"/>
        </w:rPr>
        <w:t>.</w:t>
      </w:r>
    </w:p>
    <w:p>
      <w:pPr>
        <w:pStyle w:val="Heading4"/>
        <w:numPr>
          <w:ilvl w:val="3"/>
          <w:numId w:val="1"/>
        </w:numPr>
        <w:rPr/>
      </w:pPr>
      <w:bookmarkStart w:id="2596" w:name="__RefHeading___Toc2567354_3650668749"/>
      <w:bookmarkStart w:id="2597" w:name="_Toc1186"/>
      <w:bookmarkEnd w:id="2596"/>
      <w:r>
        <w:rPr>
          <w:rtl w:val="true"/>
        </w:rPr>
        <w:t>[ (</w:t>
      </w:r>
      <w:r>
        <w:rPr>
          <w:rtl w:val="true"/>
        </w:rPr>
        <w:t xml:space="preserve">مسألة </w:t>
      </w:r>
      <w:r>
        <w:rPr/>
        <w:t>3</w:t>
      </w:r>
      <w:r>
        <w:rPr>
          <w:rtl w:val="true"/>
        </w:rPr>
        <w:t xml:space="preserve">): </w:t>
      </w:r>
      <w:r>
        <w:rPr>
          <w:rtl w:val="true"/>
        </w:rPr>
        <w:t>لا یقع فی شهر رمضان صوم غیره واجباً کان أو ندباً</w:t>
      </w:r>
      <w:r>
        <w:rPr>
          <w:rtl w:val="true"/>
        </w:rPr>
        <w:t>]</w:t>
      </w:r>
      <w:bookmarkEnd w:id="259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فی شهر رمضان صوم غیره واجباً کان أو ندباً سواء کان مکلّفاً</w:t>
      </w:r>
      <w:bookmarkStart w:id="2598" w:name="pg1809_19150"/>
    </w:p>
    <w:p>
      <w:pPr>
        <w:pStyle w:val="BookText"/>
        <w:rPr/>
      </w:pPr>
      <w:bookmarkEnd w:id="2598"/>
      <w:r>
        <w:rPr>
          <w:rFonts w:ascii="IRNazanin" w:hAnsi="IRNazanin" w:eastAsia="IRNazanin"/>
          <w:color w:val="111111"/>
          <w:sz w:val="28"/>
          <w:sz w:val="28"/>
          <w:szCs w:val="28"/>
          <w:rtl w:val="true"/>
          <w:lang w:bidi="fa-IR"/>
        </w:rPr>
        <w:t>بصومه أو لا کالمسافر و نحوه، نعم مع الجهل بکونه رمضاناً أو نسیانه لو نویٰ فیه غیر صومه یقع من رمضان کما مرّ</w:t>
      </w:r>
      <w:r>
        <w:rPr>
          <w:rFonts w:eastAsia="IRNazanin" w:cs="IRNazanin"/>
          <w:color w:val="111111"/>
          <w:sz w:val="28"/>
          <w:szCs w:val="28"/>
          <w:rtl w:val="true"/>
          <w:lang w:bidi="fa-IR"/>
        </w:rPr>
        <w:t>.</w:t>
      </w:r>
    </w:p>
    <w:p>
      <w:pPr>
        <w:pStyle w:val="Heading4"/>
        <w:numPr>
          <w:ilvl w:val="3"/>
          <w:numId w:val="1"/>
        </w:numPr>
        <w:rPr/>
      </w:pPr>
      <w:bookmarkStart w:id="2599" w:name="__RefHeading___Toc2567356_3650668749"/>
      <w:bookmarkStart w:id="2600" w:name="_Toc1187"/>
      <w:bookmarkEnd w:id="2599"/>
      <w:r>
        <w:rPr>
          <w:rtl w:val="true"/>
        </w:rPr>
        <w:t>[ (</w:t>
      </w:r>
      <w:r>
        <w:rPr>
          <w:rtl w:val="true"/>
        </w:rPr>
        <w:t xml:space="preserve">مسألة </w:t>
      </w:r>
      <w:r>
        <w:rPr/>
        <w:t>4</w:t>
      </w:r>
      <w:r>
        <w:rPr>
          <w:rtl w:val="true"/>
        </w:rPr>
        <w:t xml:space="preserve">): </w:t>
      </w:r>
      <w:r>
        <w:rPr>
          <w:rtl w:val="true"/>
        </w:rPr>
        <w:t>محلّ النیّة فی الواجب المعیّن رمضاناً کان أو غیره مع التنبّه المقارنة لطلوع الفجر الصادق</w:t>
      </w:r>
      <w:r>
        <w:rPr>
          <w:rtl w:val="true"/>
        </w:rPr>
        <w:t>]</w:t>
      </w:r>
      <w:bookmarkEnd w:id="2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النیّة </w:t>
      </w:r>
      <w:r>
        <w:rPr>
          <w:rStyle w:val="FootnoteAnchor"/>
          <w:rtl w:val="true"/>
        </w:rPr>
        <w:footnoteReference w:id="753"/>
      </w:r>
      <w:r>
        <w:rPr>
          <w:rFonts w:ascii="IRNazanin" w:hAnsi="IRNazanin" w:eastAsia="IRNazanin"/>
          <w:color w:val="111111"/>
          <w:sz w:val="28"/>
          <w:sz w:val="28"/>
          <w:szCs w:val="28"/>
          <w:rtl w:val="true"/>
          <w:lang w:bidi="fa-IR"/>
        </w:rPr>
        <w:t>فی الواجب المعیّن رمضاناً کان أو غیره مع التنبّه المقارنة لطلوع الفجر الصادق أو فی أیّ جزء من لیلة الیوم الذی یرید صومه و إن نام أو تناول المفطر بعدها فیها مع استمرار العزم علیٰ مقتضاها إلیٰ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التنبّه و الالتفات، و أمّا مع النسیان أو الغفلة أو الجهل بکونه رمضاناً فیمتدّ وقتها إلی الزوال لو لم یتناول المفطر قبله، و کذا لو فاتته النیّة لعذر آخر </w:t>
      </w:r>
      <w:r>
        <w:rPr>
          <w:rStyle w:val="FootnoteAnchor"/>
          <w:rtl w:val="true"/>
        </w:rPr>
        <w:footnoteReference w:id="754"/>
      </w:r>
      <w:r>
        <w:rPr>
          <w:rFonts w:ascii="IRNazanin" w:hAnsi="IRNazanin" w:eastAsia="IRNazanin"/>
          <w:color w:val="111111"/>
          <w:sz w:val="28"/>
          <w:sz w:val="28"/>
          <w:szCs w:val="28"/>
          <w:rtl w:val="true"/>
          <w:lang w:bidi="fa-IR"/>
        </w:rPr>
        <w:t>من مرض أو سفر فزال عذره قبل الزوال و لم یتناول مفطراً، و إذا زالت الشمس فقد فات محلّها، و یمتدّ محلّها اختیاراً فی غیر المعیّن إلی الزوال دون ما بعده، فلو أصبح ناویاً للإفطار و لم یکن تناول مفطراً فبدا له قبل الزوال أن یصوم قضاءً من شهر رمضان أو کفّارة أو نذراً مطلقاً جاز و صحّ دون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محلّها فی المندوب یمتدّ إلیٰ أن یبقیٰ من الغروب زمان یمکن تجدیدها فیه</w:t>
      </w:r>
      <w:r>
        <w:rPr>
          <w:rFonts w:eastAsia="IRNazanin" w:cs="IRNazanin"/>
          <w:color w:val="111111"/>
          <w:sz w:val="28"/>
          <w:szCs w:val="28"/>
          <w:rtl w:val="true"/>
          <w:lang w:bidi="fa-IR"/>
        </w:rPr>
        <w:t>.</w:t>
      </w:r>
    </w:p>
    <w:p>
      <w:pPr>
        <w:pStyle w:val="Heading4"/>
        <w:numPr>
          <w:ilvl w:val="3"/>
          <w:numId w:val="1"/>
        </w:numPr>
        <w:rPr/>
      </w:pPr>
      <w:bookmarkStart w:id="2601" w:name="__RefHeading___Toc2567358_3650668749"/>
      <w:bookmarkStart w:id="2602" w:name="_Toc1188"/>
      <w:bookmarkEnd w:id="2601"/>
      <w:r>
        <w:rPr>
          <w:rtl w:val="true"/>
        </w:rPr>
        <w:t>[ (</w:t>
      </w:r>
      <w:r>
        <w:rPr>
          <w:rtl w:val="true"/>
        </w:rPr>
        <w:t xml:space="preserve">مسألة </w:t>
      </w:r>
      <w:r>
        <w:rPr/>
        <w:t>5</w:t>
      </w:r>
      <w:r>
        <w:rPr>
          <w:rtl w:val="true"/>
        </w:rPr>
        <w:t xml:space="preserve">): </w:t>
      </w:r>
      <w:r>
        <w:rPr>
          <w:rtl w:val="true"/>
        </w:rPr>
        <w:t>یوم الشکّ فی أنّه من شعبان أو رمضان یبنیٰ علیٰ أنّه من شعبان فلا یجب صومه</w:t>
      </w:r>
      <w:r>
        <w:rPr>
          <w:rtl w:val="true"/>
        </w:rPr>
        <w:t>]</w:t>
      </w:r>
      <w:bookmarkEnd w:id="2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الشکّ فی أنّه من شعبان أو رمضان یبنیٰ علیٰ أنّه من شعبان فلا یجب صومه، و لو صامه بنیّة أنّه من شعبان ندباً أجزأه عن رمضان لو بان بعد ذلک أنّه من رمضان، و کذا لو صامه بنیّة أنّه منه قضاءً أو نذراً أجزأه لو صادف، و لو صامه بنیّة أنّه من رمضان لم یقع لأحدهما، و کذا لو صامه علیٰ </w:t>
      </w:r>
      <w:r>
        <w:rPr>
          <w:rStyle w:val="FootnoteAnchor"/>
          <w:rtl w:val="true"/>
        </w:rPr>
        <w:footnoteReference w:id="755"/>
      </w:r>
      <w:r>
        <w:rPr>
          <w:rFonts w:ascii="IRNazanin" w:hAnsi="IRNazanin" w:eastAsia="IRNazanin"/>
          <w:color w:val="111111"/>
          <w:sz w:val="28"/>
          <w:sz w:val="28"/>
          <w:szCs w:val="28"/>
          <w:rtl w:val="true"/>
          <w:lang w:bidi="fa-IR"/>
        </w:rPr>
        <w:t>أنّه إن کان من شهر رمضان کان واجباً و إلّا کان مندوباً علیٰ وجه التردید فی النیّة</w:t>
      </w:r>
      <w:r>
        <w:rPr>
          <w:rFonts w:eastAsia="IRNazanin" w:cs="IRNazanin"/>
          <w:color w:val="111111"/>
          <w:sz w:val="28"/>
          <w:szCs w:val="28"/>
          <w:rtl w:val="true"/>
          <w:lang w:bidi="fa-IR"/>
        </w:rPr>
        <w:t>.</w:t>
      </w:r>
    </w:p>
    <w:p>
      <w:pPr>
        <w:pStyle w:val="Heading4"/>
        <w:numPr>
          <w:ilvl w:val="3"/>
          <w:numId w:val="1"/>
        </w:numPr>
        <w:rPr/>
      </w:pPr>
      <w:bookmarkStart w:id="2603" w:name="__RefHeading___Toc2567360_3650668749"/>
      <w:bookmarkStart w:id="2604" w:name="_Toc1189"/>
      <w:bookmarkEnd w:id="2603"/>
      <w:r>
        <w:rPr>
          <w:rtl w:val="true"/>
        </w:rPr>
        <w:t>[ (</w:t>
      </w:r>
      <w:r>
        <w:rPr>
          <w:rtl w:val="true"/>
        </w:rPr>
        <w:t xml:space="preserve">مسألة </w:t>
      </w:r>
      <w:r>
        <w:rPr/>
        <w:t>6</w:t>
      </w:r>
      <w:r>
        <w:rPr>
          <w:rtl w:val="true"/>
        </w:rPr>
        <w:t xml:space="preserve">): </w:t>
      </w:r>
      <w:r>
        <w:rPr>
          <w:rtl w:val="true"/>
        </w:rPr>
        <w:t>لو کان فی یوم الشکّ بانیاً علی الإفطار، ثمّ ظهر فی أثناء النهار أنّه من شهر رمضان</w:t>
      </w:r>
      <w:r>
        <w:rPr>
          <w:rtl w:val="true"/>
        </w:rPr>
        <w:t>]</w:t>
      </w:r>
      <w:bookmarkEnd w:id="260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یوم الشکّ بانیاً علی الإفطار، ثمّ ظهر فی أثناء النهار أنّه من شهر رمضان فإن تناول المفطر أو لم یتناوله لکن ظهر الحال بعد الزوال یجب علیه إمساک بقیّة النهار تأدّباً و قضاء ذلک الیوم، و إن کان قبل الزوال و لم یتناول شیئاً یجدّد النیّة و أجزأ عنه</w:t>
      </w:r>
      <w:r>
        <w:rPr>
          <w:rFonts w:eastAsia="IRNazanin" w:cs="IRNazanin"/>
          <w:color w:val="111111"/>
          <w:sz w:val="28"/>
          <w:szCs w:val="28"/>
          <w:rtl w:val="true"/>
          <w:lang w:bidi="fa-IR"/>
        </w:rPr>
        <w:t>.</w:t>
      </w:r>
      <w:bookmarkStart w:id="2605" w:name="pg1809_19152"/>
    </w:p>
    <w:p>
      <w:pPr>
        <w:pStyle w:val="Heading4"/>
        <w:numPr>
          <w:ilvl w:val="3"/>
          <w:numId w:val="1"/>
        </w:numPr>
        <w:rPr/>
      </w:pPr>
      <w:bookmarkStart w:id="2606" w:name="__RefHeading___Toc2567362_3650668749"/>
      <w:bookmarkStart w:id="2607" w:name="_Toc1190"/>
      <w:bookmarkEnd w:id="2605"/>
      <w:bookmarkEnd w:id="2606"/>
      <w:r>
        <w:rPr>
          <w:rtl w:val="true"/>
        </w:rPr>
        <w:t>[ (</w:t>
      </w:r>
      <w:r>
        <w:rPr>
          <w:rtl w:val="true"/>
        </w:rPr>
        <w:t xml:space="preserve">مسألة </w:t>
      </w:r>
      <w:r>
        <w:rPr/>
        <w:t>7</w:t>
      </w:r>
      <w:r>
        <w:rPr>
          <w:rtl w:val="true"/>
        </w:rPr>
        <w:t xml:space="preserve">): </w:t>
      </w:r>
      <w:r>
        <w:rPr>
          <w:rtl w:val="true"/>
        </w:rPr>
        <w:t>لو صام یوم الشکّ بنیّة أنّه من شعبان ثمّ تناول المفطر نسیاناً و تبیّن بعد ذلک</w:t>
      </w:r>
      <w:r>
        <w:rPr>
          <w:rtl w:val="true"/>
        </w:rPr>
        <w:t>]</w:t>
      </w:r>
      <w:bookmarkEnd w:id="2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صام یوم الشکّ بنیّة أنّه من شعبان ثمّ تناول المفطر نسیاناً و تبیّن بعد ذلک أنّه من رمضان أجزأ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أفسد صومه بریاء و نحوه لم یجزه من رمضان، حتّی لو تبیّن له کونه منه قبل الزوال و جدّد النیّة</w:t>
      </w:r>
      <w:r>
        <w:rPr>
          <w:rFonts w:eastAsia="IRNazanin" w:cs="IRNazanin"/>
          <w:color w:val="111111"/>
          <w:sz w:val="28"/>
          <w:szCs w:val="28"/>
          <w:rtl w:val="true"/>
          <w:lang w:bidi="fa-IR"/>
        </w:rPr>
        <w:t>.</w:t>
      </w:r>
    </w:p>
    <w:p>
      <w:pPr>
        <w:pStyle w:val="Heading4"/>
        <w:numPr>
          <w:ilvl w:val="3"/>
          <w:numId w:val="1"/>
        </w:numPr>
        <w:rPr/>
      </w:pPr>
      <w:bookmarkStart w:id="2608" w:name="__RefHeading___Toc2567364_3650668749"/>
      <w:bookmarkStart w:id="2609" w:name="_Toc1191"/>
      <w:bookmarkEnd w:id="2608"/>
      <w:r>
        <w:rPr>
          <w:rtl w:val="true"/>
        </w:rPr>
        <w:t>[ (</w:t>
      </w:r>
      <w:r>
        <w:rPr>
          <w:rtl w:val="true"/>
        </w:rPr>
        <w:t xml:space="preserve">مسألة </w:t>
      </w:r>
      <w:r>
        <w:rPr/>
        <w:t>8</w:t>
      </w:r>
      <w:r>
        <w:rPr>
          <w:rtl w:val="true"/>
        </w:rPr>
        <w:t xml:space="preserve">): </w:t>
      </w:r>
      <w:r>
        <w:rPr>
          <w:rtl w:val="true"/>
        </w:rPr>
        <w:t>کما یجب النیّة فی ابتداء الصوم یجب الاستدامة علیٰ مقتضاها فی أثنائه</w:t>
      </w:r>
      <w:r>
        <w:rPr>
          <w:rtl w:val="true"/>
        </w:rPr>
        <w:t>]</w:t>
      </w:r>
      <w:bookmarkEnd w:id="2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یجب النیّة فی ابتداء الصوم یجب الاستدامة علیٰ مقتضاها فی أثنائه، فلو نوی القطع فی الواجب المعیّن؛ بمعنی أنّه أنشأ رفع الید عمّا تلبّس به من الصوم بطل علی الأحوط </w:t>
      </w:r>
      <w:r>
        <w:rPr>
          <w:rStyle w:val="FootnoteAnchor"/>
          <w:rtl w:val="true"/>
        </w:rPr>
        <w:footnoteReference w:id="756"/>
      </w:r>
      <w:r>
        <w:rPr>
          <w:rFonts w:ascii="IRNazanin" w:hAnsi="IRNazanin" w:eastAsia="IRNazanin"/>
          <w:color w:val="111111"/>
          <w:sz w:val="28"/>
          <w:sz w:val="28"/>
          <w:szCs w:val="28"/>
          <w:rtl w:val="true"/>
          <w:lang w:bidi="fa-IR"/>
        </w:rPr>
        <w:t>و إن عاد إلیٰ نیّة الصوم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ذلک لزعم اختلال فی صومه ثمّ بان عدمه لم یبطل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ینافی الاستدامة المزبورة التردّد </w:t>
      </w:r>
      <w:r>
        <w:rPr>
          <w:rStyle w:val="FootnoteAnchor"/>
          <w:rtl w:val="true"/>
        </w:rPr>
        <w:footnoteReference w:id="757"/>
      </w:r>
      <w:r>
        <w:rPr>
          <w:rFonts w:ascii="IRNazanin" w:hAnsi="IRNazanin" w:eastAsia="IRNazanin"/>
          <w:color w:val="111111"/>
          <w:sz w:val="28"/>
          <w:sz w:val="28"/>
          <w:szCs w:val="28"/>
          <w:rtl w:val="true"/>
          <w:lang w:bidi="fa-IR"/>
        </w:rPr>
        <w:t>فی الأثناء، نعم لو کان تردّده فی البطلان و عدمه لعروض عارض لم یدر أنّه مبطل لصومه أم لا، لم یکن فیه بأس و إن استمرّ ذلک إلیٰ أن یسأل عنه، و أمّا غیر الواجب المعیّن فلو نوی القطع ثمّ رجع قبل الزوال صحّ صومه</w:t>
      </w:r>
      <w:r>
        <w:rPr>
          <w:rFonts w:eastAsia="IRNazanin" w:cs="IRNazanin"/>
          <w:color w:val="111111"/>
          <w:sz w:val="28"/>
          <w:szCs w:val="28"/>
          <w:rtl w:val="true"/>
          <w:lang w:bidi="fa-IR"/>
        </w:rPr>
        <w:t>.</w:t>
      </w:r>
    </w:p>
    <w:p>
      <w:pPr>
        <w:pStyle w:val="Heading3"/>
        <w:numPr>
          <w:ilvl w:val="2"/>
          <w:numId w:val="1"/>
        </w:numPr>
        <w:rPr/>
      </w:pPr>
      <w:bookmarkStart w:id="2610" w:name="__RefHeading___Toc2567366_3650668749"/>
      <w:bookmarkStart w:id="2611" w:name="_Toc1192"/>
      <w:bookmarkEnd w:id="2610"/>
      <w:r>
        <w:rPr>
          <w:rtl w:val="true"/>
        </w:rPr>
        <w:t>[</w:t>
      </w:r>
      <w:r>
        <w:rPr>
          <w:rtl w:val="true"/>
        </w:rPr>
        <w:t>القول فیما یجب الإمساک عنه</w:t>
      </w:r>
      <w:r>
        <w:rPr>
          <w:rtl w:val="true"/>
        </w:rPr>
        <w:t>]</w:t>
      </w:r>
      <w:bookmarkEnd w:id="2611"/>
    </w:p>
    <w:p>
      <w:pPr>
        <w:pStyle w:val="Heading4"/>
        <w:numPr>
          <w:ilvl w:val="3"/>
          <w:numId w:val="1"/>
        </w:numPr>
        <w:rPr/>
      </w:pPr>
      <w:bookmarkStart w:id="2612" w:name="__RefHeading___Toc2567368_3650668749"/>
      <w:bookmarkStart w:id="2613" w:name="_Toc1193"/>
      <w:bookmarkEnd w:id="2612"/>
      <w:r>
        <w:rPr>
          <w:rtl w:val="true"/>
        </w:rPr>
        <w:t>اشارة</w:t>
      </w:r>
      <w:bookmarkEnd w:id="2613"/>
    </w:p>
    <w:p>
      <w:pPr>
        <w:pStyle w:val="BookText"/>
        <w:rPr/>
      </w:pPr>
      <w:r>
        <w:rPr>
          <w:rFonts w:ascii="IRNazanin" w:hAnsi="IRNazanin" w:eastAsia="IRNazanin"/>
          <w:color w:val="111111"/>
          <w:sz w:val="28"/>
          <w:sz w:val="28"/>
          <w:szCs w:val="28"/>
          <w:rtl w:val="true"/>
          <w:lang w:bidi="fa-IR"/>
        </w:rPr>
        <w:t xml:space="preserve">القول فیما یجب الإمساک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الصائم الإمساک عن أُمور</w:t>
      </w:r>
      <w:r>
        <w:rPr>
          <w:rFonts w:eastAsia="IRNazanin" w:cs="IRNazanin"/>
          <w:color w:val="111111"/>
          <w:sz w:val="28"/>
          <w:szCs w:val="28"/>
          <w:rtl w:val="true"/>
          <w:lang w:bidi="fa-IR"/>
        </w:rPr>
        <w:t>:</w:t>
      </w:r>
    </w:p>
    <w:p>
      <w:pPr>
        <w:pStyle w:val="Heading4"/>
        <w:numPr>
          <w:ilvl w:val="3"/>
          <w:numId w:val="1"/>
        </w:numPr>
        <w:rPr/>
      </w:pPr>
      <w:bookmarkStart w:id="2614" w:name="__RefHeading___Toc2567370_3650668749"/>
      <w:bookmarkStart w:id="2615" w:name="_Toc1194"/>
      <w:bookmarkEnd w:id="2614"/>
      <w:r>
        <w:rPr>
          <w:rtl w:val="true"/>
        </w:rPr>
        <w:t>[</w:t>
      </w:r>
      <w:r>
        <w:rPr>
          <w:rtl w:val="true"/>
        </w:rPr>
        <w:t>الأوّل و الثانی</w:t>
      </w:r>
      <w:r>
        <w:rPr>
          <w:rtl w:val="true"/>
        </w:rPr>
        <w:t xml:space="preserve">: </w:t>
      </w:r>
      <w:r>
        <w:rPr>
          <w:rtl w:val="true"/>
        </w:rPr>
        <w:t>الأکل و الشرب المعتاد</w:t>
      </w:r>
      <w:r>
        <w:rPr>
          <w:rtl w:val="true"/>
        </w:rPr>
        <w:t>]</w:t>
      </w:r>
      <w:bookmarkEnd w:id="2615"/>
    </w:p>
    <w:p>
      <w:pPr>
        <w:pStyle w:val="Heading5"/>
        <w:numPr>
          <w:ilvl w:val="4"/>
          <w:numId w:val="1"/>
        </w:numPr>
        <w:rPr/>
      </w:pPr>
      <w:bookmarkStart w:id="2616" w:name="__RefHeading___Toc2567372_3650668749"/>
      <w:bookmarkStart w:id="2617" w:name="_Toc1195"/>
      <w:bookmarkEnd w:id="2616"/>
      <w:r>
        <w:rPr>
          <w:rtl w:val="true"/>
        </w:rPr>
        <w:t>اشارة</w:t>
      </w:r>
      <w:bookmarkEnd w:id="2617"/>
    </w:p>
    <w:p>
      <w:pPr>
        <w:pStyle w:val="BookText"/>
        <w:rPr/>
      </w:pP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 الشرب المعتاد کالخبز و الماء و غیره کالحصاة و عصارة الأشجار و لو کان قلیلًا جدّاً کعشر حبّة الحنطة أو عشر قطرة من الماء</w:t>
      </w:r>
      <w:r>
        <w:rPr>
          <w:rFonts w:eastAsia="IRNazanin" w:cs="IRNazanin"/>
          <w:color w:val="111111"/>
          <w:sz w:val="28"/>
          <w:szCs w:val="28"/>
          <w:rtl w:val="true"/>
          <w:lang w:bidi="fa-IR"/>
        </w:rPr>
        <w:t>.</w:t>
      </w:r>
    </w:p>
    <w:p>
      <w:pPr>
        <w:pStyle w:val="Heading5"/>
        <w:numPr>
          <w:ilvl w:val="4"/>
          <w:numId w:val="1"/>
        </w:numPr>
        <w:rPr/>
      </w:pPr>
      <w:bookmarkStart w:id="2618" w:name="__RefHeading___Toc2567374_3650668749"/>
      <w:bookmarkStart w:id="2619" w:name="_Toc1196"/>
      <w:bookmarkEnd w:id="2618"/>
      <w:r>
        <w:rPr>
          <w:rtl w:val="true"/>
        </w:rPr>
        <w:t>[ (</w:t>
      </w:r>
      <w:r>
        <w:rPr>
          <w:rtl w:val="true"/>
        </w:rPr>
        <w:t xml:space="preserve">مسألة </w:t>
      </w:r>
      <w:r>
        <w:rPr/>
        <w:t>2</w:t>
      </w:r>
      <w:r>
        <w:rPr>
          <w:rtl w:val="true"/>
        </w:rPr>
        <w:t xml:space="preserve">): </w:t>
      </w:r>
      <w:r>
        <w:rPr>
          <w:rtl w:val="true"/>
        </w:rPr>
        <w:t>المدار علیٰ صدق الأکل و الشرب و لو کان علی النحو الغیر المتعارف</w:t>
      </w:r>
      <w:r>
        <w:rPr>
          <w:rtl w:val="true"/>
        </w:rPr>
        <w:t>]</w:t>
      </w:r>
      <w:bookmarkEnd w:id="26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علیٰ صدق الأکل و الشرب و لو کان علی النحو الغیر المتعارف، فإذا أوصل الماء إلی الجوف من طریق أنفه، فالظاهر صدق الشرب علیه و إن کان بنحو غیر متعارف</w:t>
      </w:r>
      <w:r>
        <w:rPr>
          <w:rFonts w:eastAsia="IRNazanin" w:cs="IRNazanin"/>
          <w:color w:val="111111"/>
          <w:sz w:val="28"/>
          <w:szCs w:val="28"/>
          <w:rtl w:val="true"/>
          <w:lang w:bidi="fa-IR"/>
        </w:rPr>
        <w:t>.</w:t>
      </w:r>
    </w:p>
    <w:p>
      <w:pPr>
        <w:pStyle w:val="Heading4"/>
        <w:numPr>
          <w:ilvl w:val="3"/>
          <w:numId w:val="1"/>
        </w:numPr>
        <w:rPr/>
      </w:pPr>
      <w:bookmarkStart w:id="2620" w:name="__RefHeading___Toc2567376_3650668749"/>
      <w:bookmarkStart w:id="2621" w:name="_Toc1197"/>
      <w:bookmarkEnd w:id="2620"/>
      <w:r>
        <w:rPr>
          <w:rtl w:val="true"/>
        </w:rPr>
        <w:t>[</w:t>
      </w:r>
      <w:r>
        <w:rPr>
          <w:rtl w:val="true"/>
        </w:rPr>
        <w:t>الثالث</w:t>
      </w:r>
      <w:r>
        <w:rPr>
          <w:rtl w:val="true"/>
        </w:rPr>
        <w:t xml:space="preserve">: </w:t>
      </w:r>
      <w:r>
        <w:rPr>
          <w:rtl w:val="true"/>
        </w:rPr>
        <w:t>الجماع</w:t>
      </w:r>
      <w:r>
        <w:rPr>
          <w:rtl w:val="true"/>
        </w:rPr>
        <w:t>]</w:t>
      </w:r>
      <w:bookmarkEnd w:id="262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للذکر و الأُنثیٰ و البهیمة؛ قبلًا أو دبراً، حیّاً أو میّتاً، صغیراً أو کبیراً،</w:t>
      </w:r>
      <w:bookmarkStart w:id="2622" w:name="pg1809_19154"/>
    </w:p>
    <w:p>
      <w:pPr>
        <w:pStyle w:val="BookText"/>
        <w:rPr/>
      </w:pPr>
      <w:bookmarkEnd w:id="2622"/>
      <w:r>
        <w:rPr>
          <w:rFonts w:ascii="IRNazanin" w:hAnsi="IRNazanin" w:eastAsia="IRNazanin"/>
          <w:color w:val="111111"/>
          <w:sz w:val="28"/>
          <w:sz w:val="28"/>
          <w:szCs w:val="28"/>
          <w:rtl w:val="true"/>
          <w:lang w:bidi="fa-IR"/>
        </w:rPr>
        <w:t>واطئاً کان الصائم أو موطوءاً، فتعمّد ذلک مبطل لصومه و إن لم ینزل، نعم لا بطلان مع النسیان أو القهر المانع عن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جامع نسیاناً أو جبراً </w:t>
      </w:r>
      <w:r>
        <w:rPr>
          <w:rStyle w:val="FootnoteAnchor"/>
          <w:rtl w:val="true"/>
        </w:rPr>
        <w:footnoteReference w:id="758"/>
      </w:r>
      <w:r>
        <w:rPr>
          <w:rFonts w:ascii="IRNazanin" w:hAnsi="IRNazanin" w:eastAsia="IRNazanin"/>
          <w:color w:val="111111"/>
          <w:sz w:val="28"/>
          <w:sz w:val="28"/>
          <w:szCs w:val="28"/>
          <w:rtl w:val="true"/>
          <w:lang w:bidi="fa-IR"/>
        </w:rPr>
        <w:t>فتذکّر و ارتفع الجبر فی الأثناء وجب الإخراج فوراً، فإن تراخی بطل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قصد التفخیذ مثلًا فدخل بلا قصد لم 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قصد الإدخال فلم یتحقّق کان مبطلًا من جهة نیّة المفطر </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یتحقّق الجماع بغیبوبة الحشفة أو مقدارها </w:t>
      </w:r>
      <w:r>
        <w:rPr>
          <w:rStyle w:val="FootnoteAnchor"/>
          <w:rtl w:val="true"/>
        </w:rPr>
        <w:footnoteReference w:id="760"/>
      </w:r>
      <w:r>
        <w:rPr>
          <w:rFonts w:ascii="IRNazanin" w:hAnsi="IRNazanin" w:eastAsia="IRNazanin"/>
          <w:color w:val="111111"/>
          <w:sz w:val="28"/>
          <w:sz w:val="28"/>
          <w:szCs w:val="28"/>
          <w:rtl w:val="true"/>
          <w:lang w:bidi="fa-IR"/>
        </w:rPr>
        <w:t>من مقطوعها</w:t>
      </w:r>
      <w:r>
        <w:rPr>
          <w:rFonts w:eastAsia="IRNazanin" w:cs="IRNazanin"/>
          <w:color w:val="111111"/>
          <w:sz w:val="28"/>
          <w:szCs w:val="28"/>
          <w:rtl w:val="true"/>
          <w:lang w:bidi="fa-IR"/>
        </w:rPr>
        <w:t>.</w:t>
      </w:r>
    </w:p>
    <w:p>
      <w:pPr>
        <w:pStyle w:val="Heading4"/>
        <w:numPr>
          <w:ilvl w:val="3"/>
          <w:numId w:val="1"/>
        </w:numPr>
        <w:rPr/>
      </w:pPr>
      <w:bookmarkStart w:id="2623" w:name="__RefHeading___Toc2567378_3650668749"/>
      <w:bookmarkStart w:id="2624" w:name="_Toc1198"/>
      <w:bookmarkEnd w:id="2623"/>
      <w:r>
        <w:rPr>
          <w:rtl w:val="true"/>
        </w:rPr>
        <w:t>[</w:t>
      </w:r>
      <w:r>
        <w:rPr>
          <w:rtl w:val="true"/>
        </w:rPr>
        <w:t>الرابع</w:t>
      </w:r>
      <w:r>
        <w:rPr>
          <w:rtl w:val="true"/>
        </w:rPr>
        <w:t xml:space="preserve">: </w:t>
      </w:r>
      <w:r>
        <w:rPr>
          <w:rtl w:val="true"/>
        </w:rPr>
        <w:t>إنزال المنیّ باستمناء</w:t>
      </w:r>
      <w:r>
        <w:rPr>
          <w:rtl w:val="true"/>
        </w:rPr>
        <w:t>]</w:t>
      </w:r>
      <w:bookmarkEnd w:id="2624"/>
    </w:p>
    <w:p>
      <w:pPr>
        <w:pStyle w:val="Heading5"/>
        <w:numPr>
          <w:ilvl w:val="4"/>
          <w:numId w:val="1"/>
        </w:numPr>
        <w:rPr/>
      </w:pPr>
      <w:bookmarkStart w:id="2625" w:name="__RefHeading___Toc2567380_3650668749"/>
      <w:bookmarkStart w:id="2626" w:name="_Toc1199"/>
      <w:bookmarkEnd w:id="2625"/>
      <w:r>
        <w:rPr>
          <w:rtl w:val="true"/>
        </w:rPr>
        <w:t>اشارة</w:t>
      </w:r>
      <w:bookmarkEnd w:id="2626"/>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إنزال المنیّ باستمناء أو ملامسة أو قبلة أو تفخیذ أو نحو ذلک من الأفعال التی یقصد بها حصوله، فإنّه مبطل للصوم بجمیع أفراده، بل لو لم یقصد حصوله و کان من عادته ذلک بالفعل المزبور فهو کذلک أیضاً، نعم لو سبقه المنیّ من دون إیجاد شی‌ء ممّا یقتضیه منه لم یکن علیه شی‌ء، فإنّه حینئذٍ کالمحتلم فی نهار الصوم و الناسی</w:t>
      </w:r>
      <w:r>
        <w:rPr>
          <w:rFonts w:eastAsia="IRNazanin" w:cs="IRNazanin"/>
          <w:color w:val="111111"/>
          <w:sz w:val="28"/>
          <w:szCs w:val="28"/>
          <w:rtl w:val="true"/>
          <w:lang w:bidi="fa-IR"/>
        </w:rPr>
        <w:t>.</w:t>
      </w:r>
    </w:p>
    <w:p>
      <w:pPr>
        <w:pStyle w:val="Heading5"/>
        <w:numPr>
          <w:ilvl w:val="4"/>
          <w:numId w:val="1"/>
        </w:numPr>
        <w:rPr/>
      </w:pPr>
      <w:bookmarkStart w:id="2627" w:name="__RefHeading___Toc2567382_3650668749"/>
      <w:bookmarkStart w:id="2628" w:name="_Toc1200"/>
      <w:bookmarkEnd w:id="2627"/>
      <w:r>
        <w:rPr>
          <w:rtl w:val="true"/>
        </w:rPr>
        <w:t>[ (</w:t>
      </w:r>
      <w:r>
        <w:rPr>
          <w:rtl w:val="true"/>
        </w:rPr>
        <w:t xml:space="preserve">مسألة </w:t>
      </w:r>
      <w:r>
        <w:rPr/>
        <w:t>3</w:t>
      </w:r>
      <w:r>
        <w:rPr>
          <w:rtl w:val="true"/>
        </w:rPr>
        <w:t xml:space="preserve">): </w:t>
      </w:r>
      <w:r>
        <w:rPr>
          <w:rtl w:val="true"/>
        </w:rPr>
        <w:t>لا بأس بالاستبراء</w:t>
      </w:r>
      <w:r>
        <w:rPr>
          <w:rtl w:val="true"/>
        </w:rPr>
        <w:t>]</w:t>
      </w:r>
      <w:bookmarkEnd w:id="2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بالاستبراء </w:t>
      </w:r>
      <w:r>
        <w:rPr>
          <w:rStyle w:val="FootnoteAnchor"/>
          <w:rtl w:val="true"/>
        </w:rPr>
        <w:footnoteReference w:id="761"/>
      </w:r>
      <w:r>
        <w:rPr>
          <w:rFonts w:ascii="IRNazanin" w:hAnsi="IRNazanin" w:eastAsia="IRNazanin"/>
          <w:color w:val="111111"/>
          <w:sz w:val="28"/>
          <w:sz w:val="28"/>
          <w:szCs w:val="28"/>
          <w:rtl w:val="true"/>
          <w:lang w:bidi="fa-IR"/>
        </w:rPr>
        <w:t>بالبول أو الخرطات لمن احتلم فی النهار و إن علم بخروج بقایا المنیّ فی المجریٰ، کما أنّه لا یجب علیه التحفّظ من خروج المنیّ بعد الإنزال إن استیقظ قبله، خصوصاً مع الحرج أو الإضرار</w:t>
      </w:r>
      <w:r>
        <w:rPr>
          <w:rFonts w:eastAsia="IRNazanin" w:cs="IRNazanin"/>
          <w:color w:val="111111"/>
          <w:sz w:val="28"/>
          <w:szCs w:val="28"/>
          <w:rtl w:val="true"/>
          <w:lang w:bidi="fa-IR"/>
        </w:rPr>
        <w:t>.</w:t>
      </w:r>
    </w:p>
    <w:p>
      <w:pPr>
        <w:pStyle w:val="Heading4"/>
        <w:numPr>
          <w:ilvl w:val="3"/>
          <w:numId w:val="1"/>
        </w:numPr>
        <w:rPr/>
      </w:pPr>
      <w:bookmarkStart w:id="2629" w:name="__RefHeading___Toc2567384_3650668749"/>
      <w:bookmarkStart w:id="2630" w:name="_Toc1201"/>
      <w:bookmarkEnd w:id="2629"/>
      <w:r>
        <w:rPr>
          <w:rtl w:val="true"/>
        </w:rPr>
        <w:t>[</w:t>
      </w:r>
      <w:r>
        <w:rPr>
          <w:rtl w:val="true"/>
        </w:rPr>
        <w:t>الخامس</w:t>
      </w:r>
      <w:r>
        <w:rPr>
          <w:rtl w:val="true"/>
        </w:rPr>
        <w:t xml:space="preserve">: </w:t>
      </w:r>
      <w:r>
        <w:rPr>
          <w:rtl w:val="true"/>
        </w:rPr>
        <w:t>تعمّد البقاء علی الجنابة إلی الفجر فی شهر رمضان و قضائه</w:t>
      </w:r>
      <w:r>
        <w:rPr>
          <w:rtl w:val="true"/>
        </w:rPr>
        <w:t>]</w:t>
      </w:r>
      <w:bookmarkEnd w:id="2630"/>
    </w:p>
    <w:p>
      <w:pPr>
        <w:pStyle w:val="Heading5"/>
        <w:numPr>
          <w:ilvl w:val="4"/>
          <w:numId w:val="1"/>
        </w:numPr>
        <w:rPr/>
      </w:pPr>
      <w:bookmarkStart w:id="2631" w:name="__RefHeading___Toc2567386_3650668749"/>
      <w:bookmarkStart w:id="2632" w:name="_Toc1202"/>
      <w:bookmarkEnd w:id="2631"/>
      <w:r>
        <w:rPr>
          <w:rtl w:val="true"/>
        </w:rPr>
        <w:t>اشارة</w:t>
      </w:r>
      <w:bookmarkEnd w:id="2632"/>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البقاء علی الجنابة إلی الفجر فی شهر رمضان و قضائه، بل الأقویٰ فی الثانی البطلان بالإصباح جنباً و إن لم یکن عن عمد، کما أنّ الأقویٰ أیضاً بطلان صوم شهر رمضان بنسیان غسل الجنابة لیلًا قبل الفجر حتّی مضی علیه یوم أو أیّام، بل الأحوط </w:t>
      </w:r>
      <w:r>
        <w:rPr>
          <w:rStyle w:val="FootnoteAnchor"/>
          <w:rtl w:val="true"/>
        </w:rPr>
        <w:footnoteReference w:id="762"/>
      </w:r>
      <w:r>
        <w:rPr>
          <w:rFonts w:ascii="IRNazanin" w:hAnsi="IRNazanin" w:eastAsia="IRNazanin"/>
          <w:color w:val="111111"/>
          <w:sz w:val="28"/>
          <w:sz w:val="28"/>
          <w:szCs w:val="28"/>
          <w:rtl w:val="true"/>
          <w:lang w:bidi="fa-IR"/>
        </w:rPr>
        <w:t>إلحاق غیر شهر رمضان من النذر المعیّن و نحوه به، و أمّا غیر شهر رمضان و قضائه من الواجب المعیّن و الموسّع و المندوب ففی بطلانه بسبب تعمّد البقاء علی الجنابة إشکال، أحوطه ذلک خصوصاً فی الواجب الموسّع، و أقواه العدم خصوصاً فی المندوب</w:t>
      </w:r>
      <w:r>
        <w:rPr>
          <w:rFonts w:eastAsia="IRNazanin" w:cs="IRNazanin"/>
          <w:color w:val="111111"/>
          <w:sz w:val="28"/>
          <w:szCs w:val="28"/>
          <w:rtl w:val="true"/>
          <w:lang w:bidi="fa-IR"/>
        </w:rPr>
        <w:t>.</w:t>
      </w:r>
    </w:p>
    <w:p>
      <w:pPr>
        <w:pStyle w:val="Heading5"/>
        <w:numPr>
          <w:ilvl w:val="4"/>
          <w:numId w:val="1"/>
        </w:numPr>
        <w:rPr/>
      </w:pPr>
      <w:bookmarkStart w:id="2633" w:name="__RefHeading___Toc2567388_3650668749"/>
      <w:bookmarkStart w:id="2634" w:name="_Toc1203"/>
      <w:bookmarkEnd w:id="2633"/>
      <w:r>
        <w:rPr>
          <w:rtl w:val="true"/>
        </w:rPr>
        <w:t>[ (</w:t>
      </w:r>
      <w:r>
        <w:rPr>
          <w:rtl w:val="true"/>
        </w:rPr>
        <w:t xml:space="preserve">مسألة </w:t>
      </w:r>
      <w:r>
        <w:rPr/>
        <w:t>4</w:t>
      </w:r>
      <w:r>
        <w:rPr>
          <w:rtl w:val="true"/>
        </w:rPr>
        <w:t xml:space="preserve">): </w:t>
      </w:r>
      <w:r>
        <w:rPr>
          <w:rtl w:val="true"/>
        </w:rPr>
        <w:t>من أحدث سبب الجنابة فی وقت لا یسع الغسل و لا التیمّم</w:t>
      </w:r>
      <w:r>
        <w:rPr>
          <w:rtl w:val="true"/>
        </w:rPr>
        <w:t>]</w:t>
      </w:r>
      <w:bookmarkEnd w:id="263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أحدث سبب الجنابة فی وقت لا یسع الغسل و لا التیمّم فهو کمتعمّد البقاء</w:t>
      </w:r>
      <w:bookmarkStart w:id="2635" w:name="pg1809_19156"/>
    </w:p>
    <w:p>
      <w:pPr>
        <w:pStyle w:val="BookText"/>
        <w:rPr/>
      </w:pPr>
      <w:bookmarkEnd w:id="2635"/>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وسع التیمّم خاصّة عصیٰ و صحّ الصوم المعیّن و الأحوط القضاء</w:t>
      </w:r>
      <w:r>
        <w:rPr>
          <w:rFonts w:eastAsia="IRNazanin" w:cs="IRNazanin"/>
          <w:color w:val="111111"/>
          <w:sz w:val="28"/>
          <w:szCs w:val="28"/>
          <w:rtl w:val="true"/>
          <w:lang w:bidi="fa-IR"/>
        </w:rPr>
        <w:t>.</w:t>
      </w:r>
    </w:p>
    <w:p>
      <w:pPr>
        <w:pStyle w:val="Heading5"/>
        <w:numPr>
          <w:ilvl w:val="4"/>
          <w:numId w:val="1"/>
        </w:numPr>
        <w:rPr/>
      </w:pPr>
      <w:bookmarkStart w:id="2636" w:name="__RefHeading___Toc2567390_3650668749"/>
      <w:bookmarkStart w:id="2637" w:name="_Toc1204"/>
      <w:bookmarkEnd w:id="2636"/>
      <w:r>
        <w:rPr>
          <w:rtl w:val="true"/>
        </w:rPr>
        <w:t>[ (</w:t>
      </w:r>
      <w:r>
        <w:rPr>
          <w:rtl w:val="true"/>
        </w:rPr>
        <w:t xml:space="preserve">مسألة </w:t>
      </w:r>
      <w:r>
        <w:rPr/>
        <w:t>5</w:t>
      </w:r>
      <w:r>
        <w:rPr>
          <w:rtl w:val="true"/>
        </w:rPr>
        <w:t xml:space="preserve">): </w:t>
      </w:r>
      <w:r>
        <w:rPr>
          <w:rtl w:val="true"/>
        </w:rPr>
        <w:t>لو ظنّ السعة و أجنب فبان الخلاف لم یکن علیه شی‌ء إذا کان مع المراعاة</w:t>
      </w:r>
      <w:r>
        <w:rPr>
          <w:rtl w:val="true"/>
        </w:rPr>
        <w:t>]</w:t>
      </w:r>
      <w:bookmarkEnd w:id="2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ظنّ السعة و أجنب فبان الخلاف لم یکن علیه شی‌ء إذا کان مع المراعاة، أمّا مع عدمها فعلیه القضاء</w:t>
      </w:r>
      <w:r>
        <w:rPr>
          <w:rFonts w:eastAsia="IRNazanin" w:cs="IRNazanin"/>
          <w:color w:val="111111"/>
          <w:sz w:val="28"/>
          <w:szCs w:val="28"/>
          <w:rtl w:val="true"/>
          <w:lang w:bidi="fa-IR"/>
        </w:rPr>
        <w:t>.</w:t>
      </w:r>
    </w:p>
    <w:p>
      <w:pPr>
        <w:pStyle w:val="Heading5"/>
        <w:numPr>
          <w:ilvl w:val="4"/>
          <w:numId w:val="1"/>
        </w:numPr>
        <w:rPr/>
      </w:pPr>
      <w:bookmarkStart w:id="2638" w:name="__RefHeading___Toc2567392_3650668749"/>
      <w:bookmarkStart w:id="2639" w:name="_Toc1205"/>
      <w:bookmarkEnd w:id="2638"/>
      <w:r>
        <w:rPr>
          <w:rtl w:val="true"/>
        </w:rPr>
        <w:t>[ (</w:t>
      </w:r>
      <w:r>
        <w:rPr>
          <w:rtl w:val="true"/>
        </w:rPr>
        <w:t xml:space="preserve">مسألة </w:t>
      </w:r>
      <w:r>
        <w:rPr/>
        <w:t>6</w:t>
      </w:r>
      <w:r>
        <w:rPr>
          <w:rtl w:val="true"/>
        </w:rPr>
        <w:t xml:space="preserve">): </w:t>
      </w:r>
      <w:r>
        <w:rPr>
          <w:rtl w:val="true"/>
        </w:rPr>
        <w:t>کما یبطل الصوم بالبقاء علی الجنابة متعمّداً کذا یبطل بالبقاء علیٰ حدث الحیض و النفاس إلیٰ طلوع الفجر</w:t>
      </w:r>
      <w:r>
        <w:rPr>
          <w:rtl w:val="true"/>
        </w:rPr>
        <w:t>]</w:t>
      </w:r>
      <w:bookmarkEnd w:id="2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یبطل الصوم بالبقاء علی الجنابة متعمّداً کذا یبطل بالبقاء علیٰ حدث الحیض و النفاس إلیٰ طلوع الفجر، فإذا طهرتا منهما قبل الفجر وجب علیهما الاغتسال أو التیمّم، و مع ترکهما عمداً یبطل صومهما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یشترط فی صحّة صوم المستحاضة علی الأحوط </w:t>
      </w:r>
      <w:r>
        <w:rPr>
          <w:rStyle w:val="FootnoteAnchor"/>
          <w:rtl w:val="true"/>
        </w:rPr>
        <w:footnoteReference w:id="763"/>
      </w:r>
      <w:r>
        <w:rPr>
          <w:rFonts w:ascii="IRNazanin" w:hAnsi="IRNazanin" w:eastAsia="IRNazanin"/>
          <w:color w:val="111111"/>
          <w:sz w:val="28"/>
          <w:sz w:val="28"/>
          <w:szCs w:val="28"/>
          <w:rtl w:val="true"/>
          <w:lang w:bidi="fa-IR"/>
        </w:rPr>
        <w:t>الأغسال النهاریّة التی للصلاة دون غیرها، فلو استحاضت قبل الإتیان بصلاة الصبح أو الظهرین بما یوجب الغسل کالمتوسّطة و الکثیرة فترکت الغسل بطل صومها، بخلاف ما لو استحاضت بعد الإتیان بصلاة الظهرین فترکت الغسل إلی الغروب فإنّه لا یبطل صومها</w:t>
      </w:r>
      <w:r>
        <w:rPr>
          <w:rFonts w:eastAsia="IRNazanin" w:cs="IRNazanin"/>
          <w:color w:val="111111"/>
          <w:sz w:val="28"/>
          <w:szCs w:val="28"/>
          <w:rtl w:val="true"/>
          <w:lang w:bidi="fa-IR"/>
        </w:rPr>
        <w:t>.</w:t>
      </w:r>
    </w:p>
    <w:p>
      <w:pPr>
        <w:pStyle w:val="Heading5"/>
        <w:numPr>
          <w:ilvl w:val="4"/>
          <w:numId w:val="1"/>
        </w:numPr>
        <w:rPr/>
      </w:pPr>
      <w:bookmarkStart w:id="2640" w:name="__RefHeading___Toc2567394_3650668749"/>
      <w:bookmarkStart w:id="2641" w:name="_Toc1206"/>
      <w:bookmarkEnd w:id="2640"/>
      <w:r>
        <w:rPr>
          <w:rtl w:val="true"/>
        </w:rPr>
        <w:t>[ (</w:t>
      </w:r>
      <w:r>
        <w:rPr>
          <w:rtl w:val="true"/>
        </w:rPr>
        <w:t xml:space="preserve">مسألة </w:t>
      </w:r>
      <w:r>
        <w:rPr/>
        <w:t>7</w:t>
      </w:r>
      <w:r>
        <w:rPr>
          <w:rtl w:val="true"/>
        </w:rPr>
        <w:t xml:space="preserve">): </w:t>
      </w:r>
      <w:r>
        <w:rPr>
          <w:rtl w:val="true"/>
        </w:rPr>
        <w:t>فاقد الطهورین یسقط عنه اشتراط رفع الحدث لصحّة صومه</w:t>
      </w:r>
      <w:r>
        <w:rPr>
          <w:rtl w:val="true"/>
        </w:rPr>
        <w:t>]</w:t>
      </w:r>
      <w:bookmarkEnd w:id="2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الطهورین یسقط عنه اشتراط رفع الحدث لصحّة صومه، فیصحّ منه مع البقاء علی الجنابة أو مع حدث الحیض أو النفاس، نعم فیما یفسده البقاء علی الجنابة مطلقاً و لو لا عن عمد کقضاء شهر رمضان فالظاهر البطلان</w:t>
      </w:r>
      <w:r>
        <w:rPr>
          <w:rFonts w:eastAsia="IRNazanin" w:cs="IRNazanin"/>
          <w:color w:val="111111"/>
          <w:sz w:val="28"/>
          <w:szCs w:val="28"/>
          <w:rtl w:val="true"/>
          <w:lang w:bidi="fa-IR"/>
        </w:rPr>
        <w:t>.</w:t>
      </w:r>
    </w:p>
    <w:p>
      <w:pPr>
        <w:pStyle w:val="Heading5"/>
        <w:numPr>
          <w:ilvl w:val="4"/>
          <w:numId w:val="1"/>
        </w:numPr>
        <w:rPr/>
      </w:pPr>
      <w:bookmarkStart w:id="2642" w:name="__RefHeading___Toc2567396_3650668749"/>
      <w:bookmarkStart w:id="2643" w:name="_Toc1207"/>
      <w:bookmarkEnd w:id="2642"/>
      <w:r>
        <w:rPr>
          <w:rtl w:val="true"/>
        </w:rPr>
        <w:t>[ (</w:t>
      </w:r>
      <w:r>
        <w:rPr>
          <w:rtl w:val="true"/>
        </w:rPr>
        <w:t xml:space="preserve">مسألة </w:t>
      </w:r>
      <w:r>
        <w:rPr/>
        <w:t>8</w:t>
      </w:r>
      <w:r>
        <w:rPr>
          <w:rtl w:val="true"/>
        </w:rPr>
        <w:t xml:space="preserve">): </w:t>
      </w:r>
      <w:r>
        <w:rPr>
          <w:rtl w:val="true"/>
        </w:rPr>
        <w:t>لا یشترط فی صحّة الصوم الغسل لمسّ المیّت</w:t>
      </w:r>
      <w:r>
        <w:rPr>
          <w:rtl w:val="true"/>
        </w:rPr>
        <w:t>]</w:t>
      </w:r>
      <w:bookmarkEnd w:id="2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صحّة الصوم الغسل لمسّ المیّت، کما لا یضرّ مسّه فی أثناء النهار</w:t>
      </w:r>
      <w:r>
        <w:rPr>
          <w:rFonts w:eastAsia="IRNazanin" w:cs="IRNazanin"/>
          <w:color w:val="111111"/>
          <w:sz w:val="28"/>
          <w:szCs w:val="28"/>
          <w:rtl w:val="true"/>
          <w:lang w:bidi="fa-IR"/>
        </w:rPr>
        <w:t>.</w:t>
      </w:r>
    </w:p>
    <w:p>
      <w:pPr>
        <w:pStyle w:val="Heading5"/>
        <w:numPr>
          <w:ilvl w:val="4"/>
          <w:numId w:val="1"/>
        </w:numPr>
        <w:rPr/>
      </w:pPr>
      <w:bookmarkStart w:id="2644" w:name="__RefHeading___Toc2567398_3650668749"/>
      <w:bookmarkStart w:id="2645" w:name="_Toc1208"/>
      <w:bookmarkEnd w:id="2644"/>
      <w:r>
        <w:rPr>
          <w:rtl w:val="true"/>
        </w:rPr>
        <w:t>[ (</w:t>
      </w:r>
      <w:r>
        <w:rPr>
          <w:rtl w:val="true"/>
        </w:rPr>
        <w:t xml:space="preserve">مسألة </w:t>
      </w:r>
      <w:r>
        <w:rPr/>
        <w:t>9</w:t>
      </w:r>
      <w:r>
        <w:rPr>
          <w:rtl w:val="true"/>
        </w:rPr>
        <w:t xml:space="preserve">): </w:t>
      </w:r>
      <w:r>
        <w:rPr>
          <w:rtl w:val="true"/>
        </w:rPr>
        <w:t>من لم یتمکّن من الغسل لفقد الماء أو لغیره من أسباب التیمّم و لو لضیق الوقت</w:t>
      </w:r>
      <w:r>
        <w:rPr>
          <w:rtl w:val="true"/>
        </w:rPr>
        <w:t>]</w:t>
      </w:r>
      <w:bookmarkEnd w:id="264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یتمکّن من الغسل لفقد الماء أو لغیره من أسباب التیمّم و لو لضیق الوقت وجب علیه التیمّم للصوم، فمن ترکه حتّی أصبح کان کتارک الغسل، نعم یجب علیه </w:t>
      </w:r>
      <w:r>
        <w:rPr>
          <w:rStyle w:val="FootnoteAnchor"/>
          <w:rtl w:val="true"/>
        </w:rPr>
        <w:footnoteReference w:id="764"/>
      </w:r>
      <w:r>
        <w:rPr>
          <w:rFonts w:ascii="IRNazanin" w:hAnsi="IRNazanin" w:eastAsia="IRNazanin"/>
          <w:color w:val="111111"/>
          <w:sz w:val="28"/>
          <w:sz w:val="28"/>
          <w:szCs w:val="28"/>
          <w:rtl w:val="true"/>
          <w:lang w:bidi="fa-IR"/>
        </w:rPr>
        <w:t>البقاء علی التیمّم مستیقظاً حتّی یصبح علی الأحوط</w:t>
      </w:r>
      <w:r>
        <w:rPr>
          <w:rFonts w:eastAsia="IRNazanin" w:cs="IRNazanin"/>
          <w:color w:val="111111"/>
          <w:sz w:val="28"/>
          <w:szCs w:val="28"/>
          <w:rtl w:val="true"/>
          <w:lang w:bidi="fa-IR"/>
        </w:rPr>
        <w:t>.</w:t>
      </w:r>
      <w:bookmarkStart w:id="2646" w:name="pg1809_19158"/>
    </w:p>
    <w:p>
      <w:pPr>
        <w:pStyle w:val="BookText"/>
        <w:rPr/>
      </w:pPr>
      <w:bookmarkEnd w:id="2646"/>
      <w:r>
        <w:rPr>
          <w:rFonts w:ascii="IRNazanin" w:hAnsi="IRNazanin" w:eastAsia="IRNazanin"/>
          <w:color w:val="111111"/>
          <w:sz w:val="28"/>
          <w:sz w:val="28"/>
          <w:szCs w:val="28"/>
          <w:rtl w:val="true"/>
          <w:lang w:bidi="fa-IR"/>
        </w:rPr>
        <w:t>رمضان، و صحّ إن کان غیره أو مندوباً، إلّا أنّ الأحوط إلحاقهما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یعلم بوقت وقوع الجنابة أو علم بوقوعها نهاراً کان کمن احتلم أو سبق منیّه فی النهار بغیر اختیار و لا یبطل صومه؛ من غیر فرق بین الموسّع و غیره و المندوب، و لا یجب علیه البدار إلی الغسل، کما لا یجب علیٰ کلّ من أجنب بالنهار بدون اختیار و إن کان هو الأحوط</w:t>
      </w:r>
      <w:r>
        <w:rPr>
          <w:rFonts w:eastAsia="IRNazanin" w:cs="IRNazanin"/>
          <w:color w:val="111111"/>
          <w:sz w:val="28"/>
          <w:szCs w:val="28"/>
          <w:rtl w:val="true"/>
          <w:lang w:bidi="fa-IR"/>
        </w:rPr>
        <w:t>.</w:t>
      </w:r>
    </w:p>
    <w:p>
      <w:pPr>
        <w:pStyle w:val="Heading5"/>
        <w:numPr>
          <w:ilvl w:val="4"/>
          <w:numId w:val="1"/>
        </w:numPr>
        <w:rPr/>
      </w:pPr>
      <w:bookmarkStart w:id="2647" w:name="__RefHeading___Toc2567400_3650668749"/>
      <w:bookmarkStart w:id="2648" w:name="_Toc1209"/>
      <w:bookmarkEnd w:id="2647"/>
      <w:r>
        <w:rPr>
          <w:rtl w:val="true"/>
        </w:rPr>
        <w:t>[ (</w:t>
      </w:r>
      <w:r>
        <w:rPr>
          <w:rtl w:val="true"/>
        </w:rPr>
        <w:t xml:space="preserve">مسألة </w:t>
      </w:r>
      <w:r>
        <w:rPr/>
        <w:t>11</w:t>
      </w:r>
      <w:r>
        <w:rPr>
          <w:rtl w:val="true"/>
        </w:rPr>
        <w:t xml:space="preserve">): </w:t>
      </w:r>
      <w:r>
        <w:rPr>
          <w:rtl w:val="true"/>
        </w:rPr>
        <w:t>من أجنب فی اللیل فی شهر رمضان جاز له أن ینام قبل الاغتسال</w:t>
      </w:r>
      <w:r>
        <w:rPr>
          <w:rtl w:val="true"/>
        </w:rPr>
        <w:t>]</w:t>
      </w:r>
      <w:bookmarkEnd w:id="2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أجنب فی اللیل فی شهر رمضان جاز له أن ینام قبل الاغتسال إن احتمل الاستیقاظ حتّی بعد الانتباه و الانتباهتین بل و أزید خصوصاً مع اعتیاد الاستیقاظ، فلا یکون نومه حراماً، و إن کان الأحوط شدیداً ترک النوم الثانی فما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نام مع احتمال الاستیقاظ فلم یستیقظ حتّی طلع الفجر فإن کان بانیاً علیٰ عدم الاغتسال لو استیقظ أو متردّداً </w:t>
      </w:r>
      <w:r>
        <w:rPr>
          <w:rStyle w:val="FootnoteAnchor"/>
          <w:rtl w:val="true"/>
        </w:rPr>
        <w:footnoteReference w:id="765"/>
      </w:r>
      <w:r>
        <w:rPr>
          <w:rFonts w:ascii="IRNazanin" w:hAnsi="IRNazanin" w:eastAsia="IRNazanin"/>
          <w:color w:val="111111"/>
          <w:sz w:val="28"/>
          <w:sz w:val="28"/>
          <w:szCs w:val="28"/>
          <w:rtl w:val="true"/>
          <w:lang w:bidi="fa-IR"/>
        </w:rPr>
        <w:t xml:space="preserve">فیه لحقه حکم متعمّد البقاء جنباً، فعلیه القضاء مع الکفّارة کما یأتی، و إن کان بانیاً علی الاغتسال لا شی‌ء علیه </w:t>
      </w:r>
      <w:r>
        <w:rPr>
          <w:rStyle w:val="FootnoteAnchor"/>
          <w:rtl w:val="true"/>
        </w:rPr>
        <w:footnoteReference w:id="766"/>
      </w:r>
      <w:r>
        <w:rPr>
          <w:rFonts w:ascii="IRNazanin" w:hAnsi="IRNazanin" w:eastAsia="IRNazanin"/>
          <w:color w:val="111111"/>
          <w:sz w:val="28"/>
          <w:sz w:val="28"/>
          <w:szCs w:val="28"/>
          <w:rtl w:val="true"/>
          <w:lang w:bidi="fa-IR"/>
        </w:rPr>
        <w:t>لا القضاء و لا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انتبه ثمّ نام ثانیاً حتّی طلع الفجر بطل صومه فیجب علیه الإمساک تأدّباً و القضاء، و لو عاد إلی النوم ثالثاً و لم ینتبه فعلیه الکفّارة أیضاً علی المشهور، و فیه تردّد بل عدم وجوبها لا یخلو من قوّة، لکن الاحتیاط لا ینبغی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ذاهلًا و غافلًا عن الاغتسال و لم یکن بانیاً علی الاغتسال و لا بانیاً علیٰ ترکه ففی لحوقه بالأوّل أو الثانی وجهان، أوجههما الأوّل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9" w:name="__RefHeading___Toc2567402_3650668749"/>
      <w:bookmarkStart w:id="2650" w:name="_Toc1210"/>
      <w:bookmarkEnd w:id="2649"/>
      <w:r>
        <w:rPr>
          <w:rtl w:val="true"/>
        </w:rPr>
        <w:t>[</w:t>
      </w:r>
      <w:r>
        <w:rPr>
          <w:rtl w:val="true"/>
        </w:rPr>
        <w:t>السادس</w:t>
      </w:r>
      <w:r>
        <w:rPr>
          <w:rtl w:val="true"/>
        </w:rPr>
        <w:t xml:space="preserve">: </w:t>
      </w:r>
      <w:r>
        <w:rPr>
          <w:rtl w:val="true"/>
        </w:rPr>
        <w:t xml:space="preserve">تعمّد الکذب علی اللّٰه و رسوله و الأئمّة </w:t>
      </w:r>
      <w:r>
        <w:rPr>
          <w:rtl w:val="true"/>
        </w:rPr>
        <w:t>(</w:t>
      </w:r>
      <w:r>
        <w:rPr>
          <w:rtl w:val="true"/>
        </w:rPr>
        <w:t>علیهم السّلام</w:t>
      </w:r>
      <w:r>
        <w:rPr>
          <w:rtl w:val="true"/>
        </w:rPr>
        <w:t xml:space="preserve">) </w:t>
      </w:r>
      <w:r>
        <w:rPr>
          <w:rtl w:val="true"/>
        </w:rPr>
        <w:t>و کذا باقی الأنبیاء و الأوصیاء علی الأحوط</w:t>
      </w:r>
      <w:r>
        <w:rPr>
          <w:rtl w:val="true"/>
        </w:rPr>
        <w:t>]</w:t>
      </w:r>
      <w:bookmarkEnd w:id="2650"/>
    </w:p>
    <w:p>
      <w:pPr>
        <w:pStyle w:val="Heading5"/>
        <w:numPr>
          <w:ilvl w:val="4"/>
          <w:numId w:val="1"/>
        </w:numPr>
        <w:rPr/>
      </w:pPr>
      <w:bookmarkStart w:id="2651" w:name="__RefHeading___Toc2567404_3650668749"/>
      <w:bookmarkStart w:id="2652" w:name="_Toc1211"/>
      <w:bookmarkEnd w:id="2651"/>
      <w:r>
        <w:rPr>
          <w:rtl w:val="true"/>
        </w:rPr>
        <w:t>اشارة</w:t>
      </w:r>
      <w:bookmarkEnd w:id="265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الکذب علی اللّٰه و رسوله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باقی الأنبیاء و الأوصیاء علی الأحوط </w:t>
      </w:r>
      <w:r>
        <w:rPr>
          <w:rStyle w:val="FootnoteAnchor"/>
          <w:rtl w:val="true"/>
        </w:rPr>
        <w:footnoteReference w:id="768"/>
      </w:r>
      <w:r>
        <w:rPr>
          <w:rFonts w:ascii="IRNazanin" w:hAnsi="IRNazanin" w:eastAsia="IRNazanin"/>
          <w:color w:val="111111"/>
          <w:sz w:val="28"/>
          <w:sz w:val="28"/>
          <w:szCs w:val="28"/>
          <w:rtl w:val="true"/>
          <w:lang w:bidi="fa-IR"/>
        </w:rPr>
        <w:t xml:space="preserve">من غیر فرق </w:t>
      </w:r>
      <w:r>
        <w:rPr>
          <w:rStyle w:val="FootnoteAnchor"/>
          <w:rtl w:val="true"/>
        </w:rPr>
        <w:footnoteReference w:id="769"/>
      </w:r>
      <w:r>
        <w:rPr>
          <w:rFonts w:ascii="IRNazanin" w:hAnsi="IRNazanin" w:eastAsia="IRNazanin"/>
          <w:color w:val="111111"/>
          <w:sz w:val="28"/>
          <w:sz w:val="28"/>
          <w:szCs w:val="28"/>
          <w:rtl w:val="true"/>
          <w:lang w:bidi="fa-IR"/>
        </w:rPr>
        <w:t xml:space="preserve">بین کونه فی الدنیا أو الدین و بین کونه بالقول أو بالکتابة أو الإشارة أو الکنایة و نحوها ممّا یصدق علیه الکذب علیهم، فلو سأله سائل هل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فأشار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صومه، و کذا لو</w:t>
      </w:r>
      <w:bookmarkStart w:id="2653" w:name="pg1809_19161"/>
    </w:p>
    <w:p>
      <w:pPr>
        <w:pStyle w:val="BookText"/>
        <w:rPr/>
      </w:pPr>
      <w:bookmarkEnd w:id="2653"/>
      <w:r>
        <w:rPr>
          <w:rFonts w:ascii="IRNazanin" w:hAnsi="IRNazanin" w:eastAsia="IRNazanin"/>
          <w:color w:val="111111"/>
          <w:sz w:val="28"/>
          <w:sz w:val="28"/>
          <w:szCs w:val="28"/>
          <w:rtl w:val="true"/>
          <w:lang w:bidi="fa-IR"/>
        </w:rPr>
        <w:t xml:space="preserve">أخبر صادقاً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أخبرتُ به عنه کذب، أو أخبر کاذباً فی اللیل ثمّ قال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أخبرتُ به فی اللیل صدق، فسد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عدم القصد الجدّی إلی الإخبار؛ بأن کان هازلًا و لاغیاً لا یترتّب علیه الفساد</w:t>
      </w:r>
      <w:r>
        <w:rPr>
          <w:rFonts w:eastAsia="IRNazanin" w:cs="IRNazanin"/>
          <w:color w:val="111111"/>
          <w:sz w:val="28"/>
          <w:szCs w:val="28"/>
          <w:rtl w:val="true"/>
          <w:lang w:bidi="fa-IR"/>
        </w:rPr>
        <w:t>.</w:t>
      </w:r>
    </w:p>
    <w:p>
      <w:pPr>
        <w:pStyle w:val="Heading5"/>
        <w:numPr>
          <w:ilvl w:val="4"/>
          <w:numId w:val="1"/>
        </w:numPr>
        <w:rPr/>
      </w:pPr>
      <w:bookmarkStart w:id="2654" w:name="__RefHeading___Toc2567406_3650668749"/>
      <w:bookmarkStart w:id="2655" w:name="_Toc1212"/>
      <w:bookmarkEnd w:id="2654"/>
      <w:r>
        <w:rPr>
          <w:rtl w:val="true"/>
        </w:rPr>
        <w:t>[ (</w:t>
      </w:r>
      <w:r>
        <w:rPr>
          <w:rtl w:val="true"/>
        </w:rPr>
        <w:t xml:space="preserve">مسألة </w:t>
      </w:r>
      <w:r>
        <w:rPr/>
        <w:t>12</w:t>
      </w:r>
      <w:r>
        <w:rPr>
          <w:rtl w:val="true"/>
        </w:rPr>
        <w:t xml:space="preserve">): </w:t>
      </w:r>
      <w:r>
        <w:rPr>
          <w:rtl w:val="true"/>
        </w:rPr>
        <w:t>إذا قصد الصدق فبان کذباً لم یضرّ</w:t>
      </w:r>
      <w:r>
        <w:rPr>
          <w:rtl w:val="true"/>
        </w:rPr>
        <w:t>]</w:t>
      </w:r>
      <w:bookmarkEnd w:id="2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الصدق فبان کذباً لم یضرّ و کذا إذا قصد الکذب فبان صدقاً، نعم مع العلم بمفطریّته داخل فی قصد المفطر و قد مرّ حکمه</w:t>
      </w:r>
      <w:r>
        <w:rPr>
          <w:rFonts w:eastAsia="IRNazanin" w:cs="IRNazanin"/>
          <w:color w:val="111111"/>
          <w:sz w:val="28"/>
          <w:szCs w:val="28"/>
          <w:rtl w:val="true"/>
          <w:lang w:bidi="fa-IR"/>
        </w:rPr>
        <w:t>.</w:t>
      </w:r>
    </w:p>
    <w:p>
      <w:pPr>
        <w:pStyle w:val="Heading5"/>
        <w:numPr>
          <w:ilvl w:val="4"/>
          <w:numId w:val="1"/>
        </w:numPr>
        <w:rPr/>
      </w:pPr>
      <w:bookmarkStart w:id="2656" w:name="__RefHeading___Toc2567408_3650668749"/>
      <w:bookmarkStart w:id="2657" w:name="_Toc1213"/>
      <w:bookmarkEnd w:id="2656"/>
      <w:r>
        <w:rPr>
          <w:rtl w:val="true"/>
        </w:rPr>
        <w:t>[ (</w:t>
      </w:r>
      <w:r>
        <w:rPr>
          <w:rtl w:val="true"/>
        </w:rPr>
        <w:t xml:space="preserve">مسألة </w:t>
      </w:r>
      <w:r>
        <w:rPr/>
        <w:t>13</w:t>
      </w:r>
      <w:r>
        <w:rPr>
          <w:rtl w:val="true"/>
        </w:rPr>
        <w:t xml:space="preserve">): </w:t>
      </w:r>
      <w:r>
        <w:rPr>
          <w:rtl w:val="true"/>
        </w:rPr>
        <w:t>لا فرق بین أن یکون الکذب مجعولًا له أو لغیره</w:t>
      </w:r>
      <w:r>
        <w:rPr>
          <w:rtl w:val="true"/>
        </w:rPr>
        <w:t>]</w:t>
      </w:r>
      <w:bookmarkEnd w:id="26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أن یکون الکذب مجعولًا له أو لغیره، کما إذا کان مذکوراً فی بعض کتب التواریخ أو الأخبار إذا کان علیٰ وجه الإخبار، نعم لا بأس </w:t>
      </w:r>
      <w:r>
        <w:rPr>
          <w:rStyle w:val="FootnoteAnchor"/>
          <w:rtl w:val="true"/>
        </w:rPr>
        <w:footnoteReference w:id="770"/>
      </w:r>
      <w:r>
        <w:rPr>
          <w:rFonts w:ascii="IRNazanin" w:hAnsi="IRNazanin" w:eastAsia="IRNazanin"/>
          <w:color w:val="111111"/>
          <w:sz w:val="28"/>
          <w:sz w:val="28"/>
          <w:szCs w:val="28"/>
          <w:rtl w:val="true"/>
          <w:lang w:bidi="fa-IR"/>
        </w:rPr>
        <w:t>بنقله إذا کان علیٰ وجه الحکایة و النقل من الشخص الفلانی أو کتابه</w:t>
      </w:r>
      <w:r>
        <w:rPr>
          <w:rFonts w:eastAsia="IRNazanin" w:cs="IRNazanin"/>
          <w:color w:val="111111"/>
          <w:sz w:val="28"/>
          <w:szCs w:val="28"/>
          <w:rtl w:val="true"/>
          <w:lang w:bidi="fa-IR"/>
        </w:rPr>
        <w:t>.</w:t>
      </w:r>
    </w:p>
    <w:p>
      <w:pPr>
        <w:pStyle w:val="Heading4"/>
        <w:numPr>
          <w:ilvl w:val="3"/>
          <w:numId w:val="1"/>
        </w:numPr>
        <w:rPr/>
      </w:pPr>
      <w:bookmarkStart w:id="2658" w:name="__RefHeading___Toc2567410_3650668749"/>
      <w:bookmarkStart w:id="2659" w:name="_Toc1214"/>
      <w:bookmarkEnd w:id="2658"/>
      <w:r>
        <w:rPr>
          <w:rtl w:val="true"/>
        </w:rPr>
        <w:t>[</w:t>
      </w:r>
      <w:r>
        <w:rPr>
          <w:rtl w:val="true"/>
        </w:rPr>
        <w:t>السابع</w:t>
      </w:r>
      <w:r>
        <w:rPr>
          <w:rtl w:val="true"/>
        </w:rPr>
        <w:t xml:space="preserve">: </w:t>
      </w:r>
      <w:r>
        <w:rPr>
          <w:rtl w:val="true"/>
        </w:rPr>
        <w:t>رمس الرأس فی الماء علی الأحوط و لو مع خروج البدن</w:t>
      </w:r>
      <w:r>
        <w:rPr>
          <w:rtl w:val="true"/>
        </w:rPr>
        <w:t>]</w:t>
      </w:r>
      <w:bookmarkEnd w:id="2659"/>
    </w:p>
    <w:p>
      <w:pPr>
        <w:pStyle w:val="Heading5"/>
        <w:numPr>
          <w:ilvl w:val="4"/>
          <w:numId w:val="1"/>
        </w:numPr>
        <w:rPr/>
      </w:pPr>
      <w:bookmarkStart w:id="2660" w:name="__RefHeading___Toc2567412_3650668749"/>
      <w:bookmarkStart w:id="2661" w:name="_Toc1215"/>
      <w:bookmarkEnd w:id="2660"/>
      <w:r>
        <w:rPr>
          <w:rtl w:val="true"/>
        </w:rPr>
        <w:t>اشارة</w:t>
      </w:r>
      <w:bookmarkEnd w:id="2661"/>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رمس الرأس فی الماء علی الأحوط و لو مع خروج البدن، و الأحوط إلحاق المضاف </w:t>
      </w:r>
      <w:r>
        <w:rPr>
          <w:rStyle w:val="FootnoteAnchor"/>
          <w:rtl w:val="true"/>
        </w:rPr>
        <w:footnoteReference w:id="771"/>
      </w:r>
      <w:r>
        <w:rPr>
          <w:rFonts w:ascii="IRNazanin" w:hAnsi="IRNazanin" w:eastAsia="IRNazanin"/>
          <w:color w:val="111111"/>
          <w:sz w:val="28"/>
          <w:sz w:val="28"/>
          <w:szCs w:val="28"/>
          <w:rtl w:val="true"/>
          <w:lang w:bidi="fa-IR"/>
        </w:rPr>
        <w:t>بالماء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بالإفاضة أو نحوها ممّا لا یسمّیٰ رمساً و إن کثر الماء، بل لا بأس برمس البعض و إن کان المنافذ، و لا بغمس التمام علی التعاقب؛ بأن غمس نصفه مثلًا ثمّ أخرجه و غمس نصفه الآخر</w:t>
      </w:r>
      <w:r>
        <w:rPr>
          <w:rFonts w:eastAsia="IRNazanin" w:cs="IRNazanin"/>
          <w:color w:val="111111"/>
          <w:sz w:val="28"/>
          <w:szCs w:val="28"/>
          <w:rtl w:val="true"/>
          <w:lang w:bidi="fa-IR"/>
        </w:rPr>
        <w:t>.</w:t>
      </w:r>
    </w:p>
    <w:p>
      <w:pPr>
        <w:pStyle w:val="Heading5"/>
        <w:numPr>
          <w:ilvl w:val="4"/>
          <w:numId w:val="1"/>
        </w:numPr>
        <w:rPr/>
      </w:pPr>
      <w:bookmarkStart w:id="2662" w:name="__RefHeading___Toc2567414_3650668749"/>
      <w:bookmarkStart w:id="2663" w:name="_Toc1216"/>
      <w:bookmarkEnd w:id="2662"/>
      <w:r>
        <w:rPr>
          <w:rtl w:val="true"/>
        </w:rPr>
        <w:t>[ (</w:t>
      </w:r>
      <w:r>
        <w:rPr>
          <w:rtl w:val="true"/>
        </w:rPr>
        <w:t xml:space="preserve">مسألة </w:t>
      </w:r>
      <w:r>
        <w:rPr/>
        <w:t>14</w:t>
      </w:r>
      <w:r>
        <w:rPr>
          <w:rtl w:val="true"/>
        </w:rPr>
        <w:t xml:space="preserve">): </w:t>
      </w:r>
      <w:r>
        <w:rPr>
          <w:rtl w:val="true"/>
        </w:rPr>
        <w:t>إذا ألقیٰ نفسه فی الماء بتخیّل عدم الرمس فحصل</w:t>
      </w:r>
      <w:r>
        <w:rPr>
          <w:rtl w:val="true"/>
        </w:rPr>
        <w:t>]</w:t>
      </w:r>
      <w:bookmarkEnd w:id="2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ألقیٰ نفسه فی الماء بتخیّل عدم الرمس فحصل لم یبطل </w:t>
      </w:r>
      <w:r>
        <w:rPr>
          <w:rStyle w:val="FootnoteAnchor"/>
          <w:rtl w:val="true"/>
        </w:rPr>
        <w:footnoteReference w:id="772"/>
      </w:r>
      <w:r>
        <w:rPr>
          <w:rFonts w:ascii="IRNazanin" w:hAnsi="IRNazanin" w:eastAsia="IRNazanin"/>
          <w:color w:val="111111"/>
          <w:sz w:val="28"/>
          <w:sz w:val="28"/>
          <w:szCs w:val="28"/>
          <w:rtl w:val="true"/>
          <w:lang w:bidi="fa-IR"/>
        </w:rPr>
        <w:t>صومه</w:t>
      </w:r>
      <w:r>
        <w:rPr>
          <w:rFonts w:eastAsia="IRNazanin" w:cs="IRNazanin"/>
          <w:color w:val="111111"/>
          <w:sz w:val="28"/>
          <w:szCs w:val="28"/>
          <w:rtl w:val="true"/>
          <w:lang w:bidi="fa-IR"/>
        </w:rPr>
        <w:t>.</w:t>
      </w:r>
    </w:p>
    <w:p>
      <w:pPr>
        <w:pStyle w:val="Heading5"/>
        <w:numPr>
          <w:ilvl w:val="4"/>
          <w:numId w:val="1"/>
        </w:numPr>
        <w:rPr/>
      </w:pPr>
      <w:bookmarkStart w:id="2664" w:name="__RefHeading___Toc2567416_3650668749"/>
      <w:bookmarkStart w:id="2665" w:name="_Toc1217"/>
      <w:bookmarkEnd w:id="2664"/>
      <w:r>
        <w:rPr>
          <w:rtl w:val="true"/>
        </w:rPr>
        <w:t>[ (</w:t>
      </w:r>
      <w:r>
        <w:rPr>
          <w:rtl w:val="true"/>
        </w:rPr>
        <w:t xml:space="preserve">مسألة </w:t>
      </w:r>
      <w:r>
        <w:rPr/>
        <w:t>15</w:t>
      </w:r>
      <w:r>
        <w:rPr>
          <w:rtl w:val="true"/>
        </w:rPr>
        <w:t xml:space="preserve">): </w:t>
      </w:r>
      <w:r>
        <w:rPr>
          <w:rtl w:val="true"/>
        </w:rPr>
        <w:t>لو ارتمس الصائم مغتسلًا</w:t>
      </w:r>
      <w:r>
        <w:rPr>
          <w:rtl w:val="true"/>
        </w:rPr>
        <w:t>]</w:t>
      </w:r>
      <w:bookmarkEnd w:id="266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ارتمس الصائم مغتسلًا، فإن کان تطوّعاً أو واجباً موسّعاً بطل صومه و صحّ غسله، و إن کان واجباً معیّناً فإن قصد الغسل بأوّل مسمّی الارتماس بطل صومه و غسله معاً </w:t>
      </w:r>
      <w:r>
        <w:rPr>
          <w:rStyle w:val="FootnoteAnchor"/>
          <w:rtl w:val="true"/>
        </w:rPr>
        <w:footnoteReference w:id="773"/>
      </w:r>
      <w:r>
        <w:rPr>
          <w:rFonts w:ascii="IRNazanin" w:hAnsi="IRNazanin" w:eastAsia="IRNazanin"/>
          <w:color w:val="111111"/>
          <w:sz w:val="28"/>
          <w:sz w:val="28"/>
          <w:szCs w:val="28"/>
          <w:rtl w:val="true"/>
          <w:lang w:bidi="fa-IR"/>
        </w:rPr>
        <w:t xml:space="preserve">، و إن نواه بالمکث أو الخروج صحّ غسله دون صومه فی غیر شهر رمضان، و أمّا فیه بطلا معاً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bookmarkStart w:id="2666" w:name="pg1809_19163"/>
    </w:p>
    <w:p>
      <w:pPr>
        <w:pStyle w:val="Heading4"/>
        <w:numPr>
          <w:ilvl w:val="3"/>
          <w:numId w:val="1"/>
        </w:numPr>
        <w:rPr/>
      </w:pPr>
      <w:bookmarkStart w:id="2667" w:name="__RefHeading___Toc2567418_3650668749"/>
      <w:bookmarkStart w:id="2668" w:name="_Toc1218"/>
      <w:bookmarkEnd w:id="2666"/>
      <w:bookmarkEnd w:id="2667"/>
      <w:r>
        <w:rPr>
          <w:rtl w:val="true"/>
        </w:rPr>
        <w:t>[</w:t>
      </w:r>
      <w:r>
        <w:rPr>
          <w:rtl w:val="true"/>
        </w:rPr>
        <w:t>الثامن</w:t>
      </w:r>
      <w:r>
        <w:rPr>
          <w:rtl w:val="true"/>
        </w:rPr>
        <w:t xml:space="preserve">: </w:t>
      </w:r>
      <w:r>
        <w:rPr>
          <w:rtl w:val="true"/>
        </w:rPr>
        <w:t>إیصال الغبار الغلیظ إلی الحلق</w:t>
      </w:r>
      <w:r>
        <w:rPr>
          <w:rtl w:val="true"/>
        </w:rPr>
        <w:t>]</w:t>
      </w:r>
      <w:bookmarkEnd w:id="2668"/>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إیصال الغبار الغلیظ إلی الحلق بل و غیر الغلیظ </w:t>
      </w:r>
      <w:r>
        <w:rPr>
          <w:rStyle w:val="FootnoteAnchor"/>
          <w:rtl w:val="true"/>
        </w:rPr>
        <w:footnoteReference w:id="775"/>
      </w:r>
      <w:r>
        <w:rPr>
          <w:rFonts w:ascii="IRNazanin" w:hAnsi="IRNazanin" w:eastAsia="IRNazanin"/>
          <w:color w:val="111111"/>
          <w:sz w:val="28"/>
          <w:sz w:val="28"/>
          <w:szCs w:val="28"/>
          <w:rtl w:val="true"/>
          <w:lang w:bidi="fa-IR"/>
        </w:rPr>
        <w:t>أیضاً علی الأحوط؛ سواء کان بإثارته بنفسه بکنس و نحوه، أو بإثارة غیره، أو بإثارة الهواء مع تمکینه من الوصول لعدم التحفّظ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w:t>
      </w:r>
      <w:r>
        <w:rPr>
          <w:rStyle w:val="FootnoteAnchor"/>
          <w:rtl w:val="true"/>
        </w:rPr>
        <w:footnoteReference w:id="776"/>
      </w:r>
      <w:r>
        <w:rPr>
          <w:rFonts w:ascii="IRNazanin" w:hAnsi="IRNazanin" w:eastAsia="IRNazanin"/>
          <w:color w:val="111111"/>
          <w:sz w:val="28"/>
          <w:sz w:val="28"/>
          <w:szCs w:val="28"/>
          <w:rtl w:val="true"/>
          <w:lang w:bidi="fa-IR"/>
        </w:rPr>
        <w:t>بما یعسر التحرّز عنه، کما أنّه لا بأس به مع النسیان أو الغفلة أو القهر أو تخیّل عدم الوصول إلّا إذا خرج بهیئة الطین إلیٰ فضاء الفم ثمّ ابتلعه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یلحق </w:t>
      </w:r>
      <w:r>
        <w:rPr>
          <w:rStyle w:val="FootnoteAnchor"/>
          <w:rtl w:val="true"/>
        </w:rPr>
        <w:footnoteReference w:id="777"/>
      </w:r>
      <w:r>
        <w:rPr>
          <w:rFonts w:ascii="IRNazanin" w:hAnsi="IRNazanin" w:eastAsia="IRNazanin"/>
          <w:color w:val="111111"/>
          <w:sz w:val="28"/>
          <w:sz w:val="28"/>
          <w:szCs w:val="28"/>
          <w:rtl w:val="true"/>
          <w:lang w:bidi="fa-IR"/>
        </w:rPr>
        <w:t>بالغبار البخار و دخان التنباک و نحوه علی الأحوط</w:t>
      </w:r>
      <w:r>
        <w:rPr>
          <w:rFonts w:eastAsia="IRNazanin" w:cs="IRNazanin"/>
          <w:color w:val="111111"/>
          <w:sz w:val="28"/>
          <w:szCs w:val="28"/>
          <w:rtl w:val="true"/>
          <w:lang w:bidi="fa-IR"/>
        </w:rPr>
        <w:t>.</w:t>
      </w:r>
    </w:p>
    <w:p>
      <w:pPr>
        <w:pStyle w:val="Heading4"/>
        <w:numPr>
          <w:ilvl w:val="3"/>
          <w:numId w:val="1"/>
        </w:numPr>
        <w:rPr/>
      </w:pPr>
      <w:bookmarkStart w:id="2669" w:name="__RefHeading___Toc2567420_3650668749"/>
      <w:bookmarkStart w:id="2670" w:name="_Toc1219"/>
      <w:bookmarkEnd w:id="2669"/>
      <w:r>
        <w:rPr>
          <w:rtl w:val="true"/>
        </w:rPr>
        <w:t>[</w:t>
      </w:r>
      <w:r>
        <w:rPr>
          <w:rtl w:val="true"/>
        </w:rPr>
        <w:t>التاسع</w:t>
      </w:r>
      <w:r>
        <w:rPr>
          <w:rtl w:val="true"/>
        </w:rPr>
        <w:t xml:space="preserve">: </w:t>
      </w:r>
      <w:r>
        <w:rPr>
          <w:rtl w:val="true"/>
        </w:rPr>
        <w:t>الحقنة بالمائع</w:t>
      </w:r>
      <w:r>
        <w:rPr>
          <w:rtl w:val="true"/>
        </w:rPr>
        <w:t>]</w:t>
      </w:r>
      <w:bookmarkEnd w:id="2670"/>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الحقنة بالمائع و لو لمرض و نحوه، نعم لا بأس بالجامد </w:t>
      </w:r>
      <w:r>
        <w:rPr>
          <w:rStyle w:val="FootnoteAnchor"/>
          <w:rtl w:val="true"/>
        </w:rPr>
        <w:footnoteReference w:id="778"/>
      </w:r>
      <w:r>
        <w:rPr>
          <w:rFonts w:ascii="IRNazanin" w:hAnsi="IRNazanin" w:eastAsia="IRNazanin"/>
          <w:color w:val="111111"/>
          <w:sz w:val="28"/>
          <w:sz w:val="28"/>
          <w:szCs w:val="28"/>
          <w:rtl w:val="true"/>
          <w:lang w:bidi="fa-IR"/>
        </w:rPr>
        <w:t>مع أنّ الأحوط اجتنابه، کما أنّه لا بأس بوصول الدواء إلیٰ جوفه من جرحه</w:t>
      </w:r>
      <w:r>
        <w:rPr>
          <w:rFonts w:eastAsia="IRNazanin" w:cs="IRNazanin"/>
          <w:color w:val="111111"/>
          <w:sz w:val="28"/>
          <w:szCs w:val="28"/>
          <w:rtl w:val="true"/>
          <w:lang w:bidi="fa-IR"/>
        </w:rPr>
        <w:t>.</w:t>
      </w:r>
    </w:p>
    <w:p>
      <w:pPr>
        <w:pStyle w:val="Heading4"/>
        <w:numPr>
          <w:ilvl w:val="3"/>
          <w:numId w:val="1"/>
        </w:numPr>
        <w:rPr/>
      </w:pPr>
      <w:bookmarkStart w:id="2671" w:name="__RefHeading___Toc2567422_3650668749"/>
      <w:bookmarkStart w:id="2672" w:name="_Toc1220"/>
      <w:bookmarkEnd w:id="2671"/>
      <w:r>
        <w:rPr>
          <w:rtl w:val="true"/>
        </w:rPr>
        <w:t>[</w:t>
      </w:r>
      <w:r>
        <w:rPr>
          <w:rtl w:val="true"/>
        </w:rPr>
        <w:t>العاشر</w:t>
      </w:r>
      <w:r>
        <w:rPr>
          <w:rtl w:val="true"/>
        </w:rPr>
        <w:t xml:space="preserve">: </w:t>
      </w:r>
      <w:r>
        <w:rPr>
          <w:rtl w:val="true"/>
        </w:rPr>
        <w:t>تعمّد القی‌ء</w:t>
      </w:r>
      <w:r>
        <w:rPr>
          <w:rtl w:val="true"/>
        </w:rPr>
        <w:t>]</w:t>
      </w:r>
      <w:bookmarkEnd w:id="2672"/>
    </w:p>
    <w:p>
      <w:pPr>
        <w:pStyle w:val="Heading5"/>
        <w:numPr>
          <w:ilvl w:val="4"/>
          <w:numId w:val="1"/>
        </w:numPr>
        <w:rPr/>
      </w:pPr>
      <w:bookmarkStart w:id="2673" w:name="__RefHeading___Toc2567424_3650668749"/>
      <w:bookmarkStart w:id="2674" w:name="_Toc1221"/>
      <w:bookmarkEnd w:id="2673"/>
      <w:r>
        <w:rPr>
          <w:rtl w:val="true"/>
        </w:rPr>
        <w:t>اشارة</w:t>
      </w:r>
      <w:bookmarkEnd w:id="2674"/>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القی‌ء و إن کان للضرورة دون ما کان منه بلا عمد، و المدار علیٰ صدق مسمّاه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ابتلع فی اللیل ما یجب علیه قیؤه بالنهار فسد صومه </w:t>
      </w:r>
      <w:r>
        <w:rPr>
          <w:rStyle w:val="FootnoteAnchor"/>
          <w:rtl w:val="true"/>
        </w:rPr>
        <w:footnoteReference w:id="779"/>
      </w:r>
      <w:r>
        <w:rPr>
          <w:rFonts w:ascii="IRNazanin" w:hAnsi="IRNazanin" w:eastAsia="IRNazanin"/>
          <w:color w:val="111111"/>
          <w:sz w:val="28"/>
          <w:sz w:val="28"/>
          <w:szCs w:val="28"/>
          <w:rtl w:val="true"/>
          <w:lang w:bidi="fa-IR"/>
        </w:rPr>
        <w:t>مع انحصار إخراجه بذلک، نعم لو لم ینحصر فیه صحّ</w:t>
      </w:r>
      <w:r>
        <w:rPr>
          <w:rFonts w:eastAsia="IRNazanin" w:cs="IRNazanin"/>
          <w:color w:val="111111"/>
          <w:sz w:val="28"/>
          <w:szCs w:val="28"/>
          <w:rtl w:val="true"/>
          <w:lang w:bidi="fa-IR"/>
        </w:rPr>
        <w:t>.</w:t>
      </w:r>
    </w:p>
    <w:p>
      <w:pPr>
        <w:pStyle w:val="Heading5"/>
        <w:numPr>
          <w:ilvl w:val="4"/>
          <w:numId w:val="1"/>
        </w:numPr>
        <w:rPr/>
      </w:pPr>
      <w:bookmarkStart w:id="2675" w:name="__RefHeading___Toc2567426_3650668749"/>
      <w:bookmarkStart w:id="2676" w:name="_Toc1222"/>
      <w:bookmarkEnd w:id="2675"/>
      <w:r>
        <w:rPr>
          <w:rtl w:val="true"/>
        </w:rPr>
        <w:t>[ (</w:t>
      </w:r>
      <w:r>
        <w:rPr>
          <w:rtl w:val="true"/>
        </w:rPr>
        <w:t xml:space="preserve">مسألة </w:t>
      </w:r>
      <w:r>
        <w:rPr/>
        <w:t>16</w:t>
      </w:r>
      <w:r>
        <w:rPr>
          <w:rtl w:val="true"/>
        </w:rPr>
        <w:t xml:space="preserve">): </w:t>
      </w:r>
      <w:r>
        <w:rPr>
          <w:rtl w:val="true"/>
        </w:rPr>
        <w:t>لو خرج بالتجشّؤ شی‌ء و وصل إلیٰ فضاء الفم</w:t>
      </w:r>
      <w:r>
        <w:rPr>
          <w:rtl w:val="true"/>
        </w:rPr>
        <w:t>]</w:t>
      </w:r>
      <w:bookmarkEnd w:id="267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بالتجشّؤ شی‌ء و وصل إلیٰ فضاء الفم، ثمّ نزل من غیر اختیار لم یبطل صومه، بخلاف ما إذا بلعه اختیاراً فإنّه یبطل صومه و علیه القضاء و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للصائم التجشّؤ اختیاراً إذا علم بأنّه یخرج معه شی‌ء یصدق علیه القی‌ء أو ینحدر بعد الخروج بلا اختیار، و أمّا إذا لم یعلم بذلک، بل احتمله فلا بأس </w:t>
      </w:r>
      <w:r>
        <w:rPr>
          <w:rStyle w:val="FootnoteAnchor"/>
          <w:rtl w:val="true"/>
        </w:rPr>
        <w:footnoteReference w:id="780"/>
      </w:r>
      <w:r>
        <w:rPr>
          <w:rFonts w:ascii="IRNazanin" w:hAnsi="IRNazanin" w:eastAsia="IRNazanin"/>
          <w:color w:val="111111"/>
          <w:sz w:val="28"/>
          <w:sz w:val="28"/>
          <w:szCs w:val="28"/>
          <w:rtl w:val="true"/>
          <w:lang w:bidi="fa-IR"/>
        </w:rPr>
        <w:t>به، بل لو ترتّب علیه</w:t>
      </w:r>
      <w:bookmarkStart w:id="2677" w:name="pg1809_19164"/>
    </w:p>
    <w:p>
      <w:pPr>
        <w:pStyle w:val="BookText"/>
        <w:rPr/>
      </w:pPr>
      <w:bookmarkEnd w:id="2677"/>
      <w:r>
        <w:rPr>
          <w:rFonts w:ascii="IRNazanin" w:hAnsi="IRNazanin" w:eastAsia="IRNazanin"/>
          <w:color w:val="111111"/>
          <w:sz w:val="28"/>
          <w:sz w:val="28"/>
          <w:szCs w:val="28"/>
          <w:rtl w:val="true"/>
          <w:lang w:bidi="fa-IR"/>
        </w:rPr>
        <w:t>حینئذٍ الخروج و الانحدار لم یبطل صومه</w:t>
      </w:r>
      <w:r>
        <w:rPr>
          <w:rFonts w:eastAsia="IRNazanin" w:cs="IRNazanin"/>
          <w:color w:val="111111"/>
          <w:sz w:val="28"/>
          <w:szCs w:val="28"/>
          <w:rtl w:val="true"/>
          <w:lang w:bidi="fa-IR"/>
        </w:rPr>
        <w:t>.</w:t>
      </w:r>
    </w:p>
    <w:p>
      <w:pPr>
        <w:pStyle w:val="Heading5"/>
        <w:numPr>
          <w:ilvl w:val="4"/>
          <w:numId w:val="1"/>
        </w:numPr>
        <w:rPr/>
      </w:pPr>
      <w:bookmarkStart w:id="2678" w:name="__RefHeading___Toc2567428_3650668749"/>
      <w:bookmarkStart w:id="2679" w:name="_Toc1223"/>
      <w:bookmarkEnd w:id="2678"/>
      <w:r>
        <w:rPr>
          <w:rtl w:val="true"/>
        </w:rPr>
        <w:t>[ (</w:t>
      </w:r>
      <w:r>
        <w:rPr>
          <w:rtl w:val="true"/>
        </w:rPr>
        <w:t xml:space="preserve">مسألة </w:t>
      </w:r>
      <w:r>
        <w:rPr/>
        <w:t>17</w:t>
      </w:r>
      <w:r>
        <w:rPr>
          <w:rtl w:val="true"/>
        </w:rPr>
        <w:t xml:space="preserve">): </w:t>
      </w:r>
      <w:r>
        <w:rPr>
          <w:rtl w:val="true"/>
        </w:rPr>
        <w:t>لا یفسد الصوم بابتلاع البصاق المجتمع فی الفم</w:t>
      </w:r>
      <w:r>
        <w:rPr>
          <w:rtl w:val="true"/>
        </w:rPr>
        <w:t>]</w:t>
      </w:r>
      <w:bookmarkEnd w:id="2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یفسد الصوم بابتلاع البصاق المجتمع فی الفم و إن کان بتذکّر ما کان سبباً فی جمعه، و لا بابتلاع النخامة التی لم تصل إلیٰ فضاء الفم؛ من غیر فرق بین النازلة من الرأس و الخارجة من الصدر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الواصلة إلیٰ فضاء الفم فلا یترک الاحتیاط بترک ابتلاعها، نعم لو خرجت عن الفم ثمّ ابتلعها بطل صومه قطعاً، و کذا البصاق، بل لو کانت فی فمه حصاة فأخرجها و علیها بلّة من الریق ثمّ أعادها و ابتلع الریق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بلّ الخیّاط الخیط بریقه ثمّ ردّه إلی الفم و ابتلع ما علیه من الرطوبة بطل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استاک و أخرج المسواک المبلّل بالریق ثمّ ردّه و ابتلع ما علیه من الرطوبة، إلّا إذا استهلک ما کان علیه من الرطوبة فی ریقه علیٰ وجه لا یصدق أنّه ابتلع ریقه مع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ذوق المرق و مضغ الطعام و المتخلّف من ماء المضمضة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یفسده العلک علی الأصحّ و إن وجد منه طعماً فی ریقه ما لم یکن ذلک بتفتّت أجزائه و لو کان بنحو الذوبان فی الفم</w:t>
      </w:r>
      <w:r>
        <w:rPr>
          <w:rFonts w:eastAsia="IRNazanin" w:cs="IRNazanin"/>
          <w:color w:val="111111"/>
          <w:sz w:val="28"/>
          <w:szCs w:val="28"/>
          <w:rtl w:val="true"/>
          <w:lang w:bidi="fa-IR"/>
        </w:rPr>
        <w:t>.</w:t>
      </w:r>
    </w:p>
    <w:p>
      <w:pPr>
        <w:pStyle w:val="Heading5"/>
        <w:numPr>
          <w:ilvl w:val="4"/>
          <w:numId w:val="1"/>
        </w:numPr>
        <w:rPr/>
      </w:pPr>
      <w:bookmarkStart w:id="2680" w:name="__RefHeading___Toc2567430_3650668749"/>
      <w:bookmarkStart w:id="2681" w:name="_Toc1224"/>
      <w:bookmarkEnd w:id="2680"/>
      <w:r>
        <w:rPr>
          <w:rtl w:val="true"/>
        </w:rPr>
        <w:t>[ (</w:t>
      </w:r>
      <w:r>
        <w:rPr>
          <w:rtl w:val="true"/>
        </w:rPr>
        <w:t xml:space="preserve">مسألة </w:t>
      </w:r>
      <w:r>
        <w:rPr/>
        <w:t>18</w:t>
      </w:r>
      <w:r>
        <w:rPr>
          <w:rtl w:val="true"/>
        </w:rPr>
        <w:t xml:space="preserve">): </w:t>
      </w:r>
      <w:r>
        <w:rPr>
          <w:rtl w:val="true"/>
        </w:rPr>
        <w:t>کلّ ما عرفت أنّه یفسد الصوم ما عدا البقاء علی الجنابة الذی مرّ تفصیل الکلام فیه إنّما یفسده إذا وقع عن عمد</w:t>
      </w:r>
      <w:r>
        <w:rPr>
          <w:rtl w:val="true"/>
        </w:rPr>
        <w:t>]</w:t>
      </w:r>
      <w:bookmarkEnd w:id="268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عرفت أنّه یفسد الصوم ما عدا البقاء علی الجنابة الذی مرّ تفصیل الکلام فیه إنّما یفسده إذا وقع عن عمد لا بدونه کالنسیان أو عدم القصد فإنّه لا یفسد الصوم بأقسامه، بخلاف العمد فإنّه یفسده بأقسامه، من غیر فرق بین العالم بالحکم و الجاهل به </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العمد من أکل ناسیاً فظنّ فساد صومه فأفطر عامداً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المکره المؤجر فی حلقه مثلًا لا یبطل صومه، بخلاف المکره علیٰ تناول المفطر بنفسه فإنّه یفطر و لو کان لتقیّة </w:t>
      </w:r>
      <w:r>
        <w:rPr>
          <w:rStyle w:val="FootnoteAnchor"/>
          <w:rtl w:val="true"/>
        </w:rPr>
        <w:footnoteReference w:id="782"/>
      </w:r>
      <w:r>
        <w:rPr>
          <w:rFonts w:ascii="IRNazanin" w:hAnsi="IRNazanin" w:eastAsia="IRNazanin"/>
          <w:color w:val="111111"/>
          <w:sz w:val="28"/>
          <w:sz w:val="28"/>
          <w:szCs w:val="28"/>
          <w:rtl w:val="true"/>
          <w:lang w:bidi="fa-IR"/>
        </w:rPr>
        <w:t>کالإفطار معهم فی عیدهم</w:t>
      </w:r>
      <w:r>
        <w:rPr>
          <w:rFonts w:eastAsia="IRNazanin" w:cs="IRNazanin"/>
          <w:color w:val="111111"/>
          <w:sz w:val="28"/>
          <w:szCs w:val="28"/>
          <w:rtl w:val="true"/>
          <w:lang w:bidi="fa-IR"/>
        </w:rPr>
        <w:t>.</w:t>
      </w:r>
      <w:bookmarkStart w:id="2682" w:name="pg1809_19166"/>
    </w:p>
    <w:p>
      <w:pPr>
        <w:pStyle w:val="Heading3"/>
        <w:numPr>
          <w:ilvl w:val="2"/>
          <w:numId w:val="1"/>
        </w:numPr>
        <w:rPr/>
      </w:pPr>
      <w:bookmarkStart w:id="2683" w:name="__RefHeading___Toc2567432_3650668749"/>
      <w:bookmarkStart w:id="2684" w:name="_Toc1225"/>
      <w:bookmarkEnd w:id="2682"/>
      <w:bookmarkEnd w:id="2683"/>
      <w:r>
        <w:rPr>
          <w:rtl w:val="true"/>
        </w:rPr>
        <w:t>[</w:t>
      </w:r>
      <w:r>
        <w:rPr>
          <w:rtl w:val="true"/>
        </w:rPr>
        <w:t>القول فیما یکره للصائم ارتکابه</w:t>
      </w:r>
      <w:r>
        <w:rPr>
          <w:rtl w:val="true"/>
        </w:rPr>
        <w:t>]</w:t>
      </w:r>
      <w:bookmarkEnd w:id="2684"/>
    </w:p>
    <w:p>
      <w:pPr>
        <w:pStyle w:val="Heading4"/>
        <w:numPr>
          <w:ilvl w:val="3"/>
          <w:numId w:val="1"/>
        </w:numPr>
        <w:rPr/>
      </w:pPr>
      <w:bookmarkStart w:id="2685" w:name="__RefHeading___Toc2567434_3650668749"/>
      <w:bookmarkStart w:id="2686" w:name="_Toc1226"/>
      <w:bookmarkEnd w:id="2685"/>
      <w:r>
        <w:rPr>
          <w:rtl w:val="true"/>
        </w:rPr>
        <w:t>اشارة</w:t>
      </w:r>
      <w:bookmarkEnd w:id="2686"/>
    </w:p>
    <w:p>
      <w:pPr>
        <w:pStyle w:val="BookText"/>
        <w:rPr/>
      </w:pPr>
      <w:r>
        <w:rPr>
          <w:rFonts w:ascii="IRNazanin" w:hAnsi="IRNazanin" w:eastAsia="IRNazanin"/>
          <w:color w:val="111111"/>
          <w:sz w:val="28"/>
          <w:sz w:val="28"/>
          <w:szCs w:val="28"/>
          <w:rtl w:val="true"/>
          <w:lang w:bidi="fa-IR"/>
        </w:rPr>
        <w:t>القول فیما یکره للصائم ارتکابه</w:t>
      </w:r>
    </w:p>
    <w:p>
      <w:pPr>
        <w:pStyle w:val="Heading4"/>
        <w:numPr>
          <w:ilvl w:val="3"/>
          <w:numId w:val="1"/>
        </w:numPr>
        <w:rPr/>
      </w:pPr>
      <w:bookmarkStart w:id="2687" w:name="__RefHeading___Toc2567436_3650668749"/>
      <w:bookmarkStart w:id="2688" w:name="_Toc1227"/>
      <w:bookmarkEnd w:id="2687"/>
      <w:r>
        <w:rPr>
          <w:rtl w:val="true"/>
        </w:rPr>
        <w:t>[ (</w:t>
      </w:r>
      <w:r>
        <w:rPr>
          <w:rtl w:val="true"/>
        </w:rPr>
        <w:t xml:space="preserve">مسألة </w:t>
      </w:r>
      <w:r>
        <w:rPr/>
        <w:t>1</w:t>
      </w:r>
      <w:r>
        <w:rPr>
          <w:rtl w:val="true"/>
        </w:rPr>
        <w:t xml:space="preserve">): </w:t>
      </w:r>
      <w:r>
        <w:rPr>
          <w:rtl w:val="true"/>
        </w:rPr>
        <w:t>یکره للصائم أُمور</w:t>
      </w:r>
      <w:r>
        <w:rPr>
          <w:rtl w:val="true"/>
        </w:rPr>
        <w:t>]</w:t>
      </w:r>
      <w:bookmarkEnd w:id="2688"/>
    </w:p>
    <w:p>
      <w:pPr>
        <w:pStyle w:val="Heading5"/>
        <w:numPr>
          <w:ilvl w:val="4"/>
          <w:numId w:val="1"/>
        </w:numPr>
        <w:rPr/>
      </w:pPr>
      <w:bookmarkStart w:id="2689" w:name="__RefHeading___Toc2567438_3650668749"/>
      <w:bookmarkStart w:id="2690" w:name="_Toc1228"/>
      <w:bookmarkEnd w:id="2689"/>
      <w:r>
        <w:rPr>
          <w:rtl w:val="true"/>
        </w:rPr>
        <w:t>اشارة</w:t>
      </w:r>
      <w:bookmarkEnd w:id="26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للصائم أُمور</w:t>
      </w:r>
      <w:r>
        <w:rPr>
          <w:rFonts w:eastAsia="IRNazanin" w:cs="IRNazanin"/>
          <w:color w:val="111111"/>
          <w:sz w:val="28"/>
          <w:szCs w:val="28"/>
          <w:rtl w:val="true"/>
          <w:lang w:bidi="fa-IR"/>
        </w:rPr>
        <w:t>:</w:t>
      </w:r>
    </w:p>
    <w:p>
      <w:pPr>
        <w:pStyle w:val="Heading5"/>
        <w:numPr>
          <w:ilvl w:val="4"/>
          <w:numId w:val="1"/>
        </w:numPr>
        <w:rPr/>
      </w:pPr>
      <w:bookmarkStart w:id="2691" w:name="__RefHeading___Toc2567440_3650668749"/>
      <w:bookmarkStart w:id="2692" w:name="_Toc1229"/>
      <w:bookmarkEnd w:id="2691"/>
      <w:r>
        <w:rPr>
          <w:rtl w:val="true"/>
        </w:rPr>
        <w:t>[</w:t>
      </w:r>
      <w:r>
        <w:rPr>
          <w:rtl w:val="true"/>
        </w:rPr>
        <w:t>منها</w:t>
      </w:r>
      <w:r>
        <w:rPr>
          <w:rtl w:val="true"/>
        </w:rPr>
        <w:t xml:space="preserve">: </w:t>
      </w:r>
      <w:r>
        <w:rPr>
          <w:rtl w:val="true"/>
        </w:rPr>
        <w:t>مباشرة النساء</w:t>
      </w:r>
      <w:r>
        <w:rPr>
          <w:rtl w:val="true"/>
        </w:rPr>
        <w:t>]</w:t>
      </w:r>
      <w:bookmarkEnd w:id="2692"/>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النساء تقبیلًا و لمساً و ملاعبة لمن تتحرّک شهوته و لم یقصد الإنزال بذلک و لا کان من عادته، و إلّا حرم فی الصوم المعیّن، بل الأولیٰ ترک ذلک حتّی لمن لم تتحرّک شهوته بذلک عادة مع احتمال التحرّک </w:t>
      </w:r>
      <w:r>
        <w:rPr>
          <w:rStyle w:val="FootnoteAnchor"/>
          <w:rtl w:val="true"/>
        </w:rPr>
        <w:footnoteReference w:id="783"/>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Heading5"/>
        <w:numPr>
          <w:ilvl w:val="4"/>
          <w:numId w:val="1"/>
        </w:numPr>
        <w:rPr/>
      </w:pPr>
      <w:bookmarkStart w:id="2693" w:name="__RefHeading___Toc2567442_3650668749"/>
      <w:bookmarkStart w:id="2694" w:name="_Toc1230"/>
      <w:bookmarkEnd w:id="2693"/>
      <w:r>
        <w:rPr>
          <w:rtl w:val="true"/>
        </w:rPr>
        <w:t>[</w:t>
      </w:r>
      <w:r>
        <w:rPr>
          <w:rtl w:val="true"/>
        </w:rPr>
        <w:t>و منها</w:t>
      </w:r>
      <w:r>
        <w:rPr>
          <w:rtl w:val="true"/>
        </w:rPr>
        <w:t xml:space="preserve">: </w:t>
      </w:r>
      <w:r>
        <w:rPr>
          <w:rtl w:val="true"/>
        </w:rPr>
        <w:t>الاکتحال</w:t>
      </w:r>
      <w:r>
        <w:rPr>
          <w:rtl w:val="true"/>
        </w:rPr>
        <w:t>]</w:t>
      </w:r>
      <w:bookmarkEnd w:id="269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الاکتحال </w:t>
      </w:r>
      <w:r>
        <w:rPr>
          <w:rStyle w:val="FootnoteAnchor"/>
          <w:rtl w:val="true"/>
        </w:rPr>
        <w:footnoteReference w:id="784"/>
      </w:r>
      <w:r>
        <w:rPr>
          <w:rFonts w:ascii="IRNazanin" w:hAnsi="IRNazanin" w:eastAsia="IRNazanin"/>
          <w:color w:val="111111"/>
          <w:sz w:val="28"/>
          <w:sz w:val="28"/>
          <w:szCs w:val="28"/>
          <w:rtl w:val="true"/>
          <w:lang w:bidi="fa-IR"/>
        </w:rPr>
        <w:t>خصوصاً إذا کان بالذرّ أو شبهه أو کان فیه مسک أو یصل منه أو یخاف وصوله أو یجد طعمه فی الحلق لما فیه من الصبر و نحوه</w:t>
      </w:r>
      <w:r>
        <w:rPr>
          <w:rFonts w:eastAsia="IRNazanin" w:cs="IRNazanin"/>
          <w:color w:val="111111"/>
          <w:sz w:val="28"/>
          <w:szCs w:val="28"/>
          <w:rtl w:val="true"/>
          <w:lang w:bidi="fa-IR"/>
        </w:rPr>
        <w:t>.</w:t>
      </w:r>
    </w:p>
    <w:p>
      <w:pPr>
        <w:pStyle w:val="Heading5"/>
        <w:numPr>
          <w:ilvl w:val="4"/>
          <w:numId w:val="1"/>
        </w:numPr>
        <w:rPr/>
      </w:pPr>
      <w:bookmarkStart w:id="2695" w:name="__RefHeading___Toc2567444_3650668749"/>
      <w:bookmarkStart w:id="2696" w:name="_Toc1231"/>
      <w:bookmarkEnd w:id="2695"/>
      <w:r>
        <w:rPr>
          <w:rtl w:val="true"/>
        </w:rPr>
        <w:t>[</w:t>
      </w:r>
      <w:r>
        <w:rPr>
          <w:rtl w:val="true"/>
        </w:rPr>
        <w:t>و منها</w:t>
      </w:r>
      <w:r>
        <w:rPr>
          <w:rtl w:val="true"/>
        </w:rPr>
        <w:t xml:space="preserve">: </w:t>
      </w:r>
      <w:r>
        <w:rPr>
          <w:rtl w:val="true"/>
        </w:rPr>
        <w:t>إخراج الدم المضعف</w:t>
      </w:r>
      <w:r>
        <w:rPr>
          <w:rtl w:val="true"/>
        </w:rPr>
        <w:t>]</w:t>
      </w:r>
      <w:bookmarkEnd w:id="269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الدم المضعف؛ بحجامة أو غیرها، بل کلّ ما یورث ذلک أو یصیر سبباً لهیجان المرّة من غیر فرق بین شهر رمضان و غیره و إن اشتدّ فیه، بل یحرم ذلک فیه، بل فی مطلق الصوم المعیّن إذا علم حصول الغشیان المبطل و لم تکن ضرورة تدعو إلیه</w:t>
      </w:r>
      <w:r>
        <w:rPr>
          <w:rFonts w:eastAsia="IRNazanin" w:cs="IRNazanin"/>
          <w:color w:val="111111"/>
          <w:sz w:val="28"/>
          <w:szCs w:val="28"/>
          <w:rtl w:val="true"/>
          <w:lang w:bidi="fa-IR"/>
        </w:rPr>
        <w:t>.</w:t>
      </w:r>
    </w:p>
    <w:p>
      <w:pPr>
        <w:pStyle w:val="Heading5"/>
        <w:numPr>
          <w:ilvl w:val="4"/>
          <w:numId w:val="1"/>
        </w:numPr>
        <w:rPr/>
      </w:pPr>
      <w:bookmarkStart w:id="2697" w:name="__RefHeading___Toc2567446_3650668749"/>
      <w:bookmarkStart w:id="2698" w:name="_Toc1232"/>
      <w:bookmarkEnd w:id="2697"/>
      <w:r>
        <w:rPr>
          <w:rtl w:val="true"/>
        </w:rPr>
        <w:t>[</w:t>
      </w:r>
      <w:r>
        <w:rPr>
          <w:rtl w:val="true"/>
        </w:rPr>
        <w:t>و منها</w:t>
      </w:r>
      <w:r>
        <w:rPr>
          <w:rtl w:val="true"/>
        </w:rPr>
        <w:t xml:space="preserve">: </w:t>
      </w:r>
      <w:r>
        <w:rPr>
          <w:rtl w:val="true"/>
        </w:rPr>
        <w:t>دخول الحمّام</w:t>
      </w:r>
      <w:r>
        <w:rPr>
          <w:rtl w:val="true"/>
        </w:rPr>
        <w:t>]</w:t>
      </w:r>
      <w:bookmarkEnd w:id="269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الحمّام إذا خشی به الضعف</w:t>
      </w:r>
      <w:r>
        <w:rPr>
          <w:rFonts w:eastAsia="IRNazanin" w:cs="IRNazanin"/>
          <w:color w:val="111111"/>
          <w:sz w:val="28"/>
          <w:szCs w:val="28"/>
          <w:rtl w:val="true"/>
          <w:lang w:bidi="fa-IR"/>
        </w:rPr>
        <w:t>.</w:t>
      </w:r>
    </w:p>
    <w:p>
      <w:pPr>
        <w:pStyle w:val="Heading5"/>
        <w:numPr>
          <w:ilvl w:val="4"/>
          <w:numId w:val="1"/>
        </w:numPr>
        <w:rPr/>
      </w:pPr>
      <w:bookmarkStart w:id="2699" w:name="__RefHeading___Toc2567448_3650668749"/>
      <w:bookmarkStart w:id="2700" w:name="_Toc1233"/>
      <w:bookmarkEnd w:id="2699"/>
      <w:r>
        <w:rPr>
          <w:rtl w:val="true"/>
        </w:rPr>
        <w:t>[</w:t>
      </w:r>
      <w:r>
        <w:rPr>
          <w:rtl w:val="true"/>
        </w:rPr>
        <w:t>و منها</w:t>
      </w:r>
      <w:r>
        <w:rPr>
          <w:rtl w:val="true"/>
        </w:rPr>
        <w:t xml:space="preserve">: </w:t>
      </w:r>
      <w:r>
        <w:rPr>
          <w:rtl w:val="true"/>
        </w:rPr>
        <w:t>السعوط</w:t>
      </w:r>
      <w:r>
        <w:rPr>
          <w:rtl w:val="true"/>
        </w:rPr>
        <w:t>]</w:t>
      </w:r>
      <w:bookmarkEnd w:id="270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السعوط، و خصوصاً مع العلم بوصوله إلی الدماغ أو الجوف، بل یفسد الصوم مع التعدّی إلی الحلق</w:t>
      </w:r>
      <w:r>
        <w:rPr>
          <w:rFonts w:eastAsia="IRNazanin" w:cs="IRNazanin"/>
          <w:color w:val="111111"/>
          <w:sz w:val="28"/>
          <w:szCs w:val="28"/>
          <w:rtl w:val="true"/>
          <w:lang w:bidi="fa-IR"/>
        </w:rPr>
        <w:t>.</w:t>
      </w:r>
    </w:p>
    <w:p>
      <w:pPr>
        <w:pStyle w:val="Heading5"/>
        <w:numPr>
          <w:ilvl w:val="4"/>
          <w:numId w:val="1"/>
        </w:numPr>
        <w:rPr/>
      </w:pPr>
      <w:bookmarkStart w:id="2701" w:name="__RefHeading___Toc2567450_3650668749"/>
      <w:bookmarkStart w:id="2702" w:name="_Toc1234"/>
      <w:bookmarkEnd w:id="2701"/>
      <w:r>
        <w:rPr>
          <w:rtl w:val="true"/>
        </w:rPr>
        <w:t>[</w:t>
      </w:r>
      <w:r>
        <w:rPr>
          <w:rtl w:val="true"/>
        </w:rPr>
        <w:t>و منها</w:t>
      </w:r>
      <w:r>
        <w:rPr>
          <w:rtl w:val="true"/>
        </w:rPr>
        <w:t xml:space="preserve">: </w:t>
      </w:r>
      <w:r>
        <w:rPr>
          <w:rtl w:val="true"/>
        </w:rPr>
        <w:t>شمّ الریاحین</w:t>
      </w:r>
      <w:r>
        <w:rPr>
          <w:rtl w:val="true"/>
        </w:rPr>
        <w:t>]</w:t>
      </w:r>
      <w:bookmarkEnd w:id="270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الریاحین، خصوصاً النرجس، و المراد بها کلّ نبت طیّب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بالطیب فإنّه تحفة الصائم، لکن الأولیٰ ترک المسک منه، بل یکره التطیّب به للصائم، کما أنّ الأولیٰ ترک شمّ الرائحة الغلیظة حتّی تصل إلی الحلق</w:t>
      </w:r>
      <w:r>
        <w:rPr>
          <w:rFonts w:eastAsia="IRNazanin" w:cs="IRNazanin"/>
          <w:color w:val="111111"/>
          <w:sz w:val="28"/>
          <w:szCs w:val="28"/>
          <w:rtl w:val="true"/>
          <w:lang w:bidi="fa-IR"/>
        </w:rPr>
        <w:t>.</w:t>
      </w:r>
    </w:p>
    <w:p>
      <w:pPr>
        <w:pStyle w:val="Heading4"/>
        <w:numPr>
          <w:ilvl w:val="3"/>
          <w:numId w:val="1"/>
        </w:numPr>
        <w:rPr/>
      </w:pPr>
      <w:bookmarkStart w:id="2703" w:name="__RefHeading___Toc2567452_3650668749"/>
      <w:bookmarkStart w:id="2704" w:name="_Toc1235"/>
      <w:bookmarkEnd w:id="2703"/>
      <w:r>
        <w:rPr>
          <w:rtl w:val="true"/>
        </w:rPr>
        <w:t>[ (</w:t>
      </w:r>
      <w:r>
        <w:rPr>
          <w:rtl w:val="true"/>
        </w:rPr>
        <w:t xml:space="preserve">مسألة </w:t>
      </w:r>
      <w:r>
        <w:rPr/>
        <w:t>2</w:t>
      </w:r>
      <w:r>
        <w:rPr>
          <w:rtl w:val="true"/>
        </w:rPr>
        <w:t xml:space="preserve">): </w:t>
      </w:r>
      <w:r>
        <w:rPr>
          <w:rtl w:val="true"/>
        </w:rPr>
        <w:t>لا بأس باستنقاع الرجل فی الماء</w:t>
      </w:r>
      <w:r>
        <w:rPr>
          <w:rtl w:val="true"/>
        </w:rPr>
        <w:t>]</w:t>
      </w:r>
      <w:bookmarkEnd w:id="270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باستنقاع الرجل فی الماء، و یکره للامرأة، کما أنّه یکره لهما بلّ الثوب و وضعه علی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بمضغ الطعام للصبیّ و لا زقّ الطائر و لا ذوق المرق و لا غیرها ممّا لا یتعدّی إلی الحلق، أو تعدّیٰ من غیر قصد أو مع القصد و لکن عن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یکون أصل الوضع فی الفم لغرض صحیح أو لا، نعم یکره الذوق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بالسواک بالیابس بل هو مستحبّ، نعم لا یبعد الکراهة بالرطب، کما أنّه یکره نزع الضرس بل مطلق ما فیه إدماء</w:t>
      </w:r>
      <w:r>
        <w:rPr>
          <w:rFonts w:eastAsia="IRNazanin" w:cs="IRNazanin"/>
          <w:color w:val="111111"/>
          <w:sz w:val="28"/>
          <w:szCs w:val="28"/>
          <w:rtl w:val="true"/>
          <w:lang w:bidi="fa-IR"/>
        </w:rPr>
        <w:t>.</w:t>
      </w:r>
      <w:bookmarkStart w:id="2705" w:name="pg1809_19168"/>
    </w:p>
    <w:p>
      <w:pPr>
        <w:pStyle w:val="Heading3"/>
        <w:numPr>
          <w:ilvl w:val="2"/>
          <w:numId w:val="1"/>
        </w:numPr>
        <w:rPr/>
      </w:pPr>
      <w:bookmarkStart w:id="2706" w:name="__RefHeading___Toc2567454_3650668749"/>
      <w:bookmarkStart w:id="2707" w:name="_Toc1236"/>
      <w:bookmarkEnd w:id="2705"/>
      <w:bookmarkEnd w:id="2706"/>
      <w:r>
        <w:rPr>
          <w:rtl w:val="true"/>
        </w:rPr>
        <w:t>[</w:t>
      </w:r>
      <w:r>
        <w:rPr>
          <w:rtl w:val="true"/>
        </w:rPr>
        <w:t>القول فیما یترتّب علی الإفطار</w:t>
      </w:r>
      <w:r>
        <w:rPr>
          <w:rtl w:val="true"/>
        </w:rPr>
        <w:t>]</w:t>
      </w:r>
      <w:bookmarkEnd w:id="2707"/>
    </w:p>
    <w:p>
      <w:pPr>
        <w:pStyle w:val="Heading4"/>
        <w:numPr>
          <w:ilvl w:val="3"/>
          <w:numId w:val="1"/>
        </w:numPr>
        <w:rPr/>
      </w:pPr>
      <w:bookmarkStart w:id="2708" w:name="__RefHeading___Toc2567456_3650668749"/>
      <w:bookmarkStart w:id="2709" w:name="_Toc1237"/>
      <w:bookmarkEnd w:id="2708"/>
      <w:r>
        <w:rPr>
          <w:rtl w:val="true"/>
        </w:rPr>
        <w:t>اشارة</w:t>
      </w:r>
      <w:bookmarkEnd w:id="2709"/>
    </w:p>
    <w:p>
      <w:pPr>
        <w:pStyle w:val="BookText"/>
        <w:rPr/>
      </w:pPr>
      <w:r>
        <w:rPr>
          <w:rFonts w:ascii="IRNazanin" w:hAnsi="IRNazanin" w:eastAsia="IRNazanin"/>
          <w:color w:val="111111"/>
          <w:sz w:val="28"/>
          <w:sz w:val="28"/>
          <w:szCs w:val="28"/>
          <w:rtl w:val="true"/>
          <w:lang w:bidi="fa-IR"/>
        </w:rPr>
        <w:t>القول فیما یترتّب علی الإفطار</w:t>
      </w:r>
    </w:p>
    <w:p>
      <w:pPr>
        <w:pStyle w:val="Heading4"/>
        <w:numPr>
          <w:ilvl w:val="3"/>
          <w:numId w:val="1"/>
        </w:numPr>
        <w:rPr/>
      </w:pPr>
      <w:bookmarkStart w:id="2710" w:name="__RefHeading___Toc2567458_3650668749"/>
      <w:bookmarkStart w:id="2711" w:name="_Toc1238"/>
      <w:bookmarkEnd w:id="2710"/>
      <w:r>
        <w:rPr>
          <w:rtl w:val="true"/>
        </w:rPr>
        <w:t>[ (</w:t>
      </w:r>
      <w:r>
        <w:rPr>
          <w:rtl w:val="true"/>
        </w:rPr>
        <w:t xml:space="preserve">مسألة </w:t>
      </w:r>
      <w:r>
        <w:rPr/>
        <w:t>1</w:t>
      </w:r>
      <w:r>
        <w:rPr>
          <w:rtl w:val="true"/>
        </w:rPr>
        <w:t xml:space="preserve">): </w:t>
      </w:r>
      <w:r>
        <w:rPr>
          <w:rtl w:val="true"/>
        </w:rPr>
        <w:t>الإتیان بالمفطرات المذکورة کما أنّه موجب للقضاء یوجب الکفّارة</w:t>
      </w:r>
      <w:r>
        <w:rPr>
          <w:rtl w:val="true"/>
        </w:rPr>
        <w:t>]</w:t>
      </w:r>
      <w:bookmarkEnd w:id="27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الإتیان بالمفطرات المذکورة کما أنّه موجب للقضاء یوجب الکفّارة </w:t>
      </w:r>
      <w:r>
        <w:rPr>
          <w:rStyle w:val="FootnoteAnchor"/>
          <w:rtl w:val="true"/>
        </w:rPr>
        <w:footnoteReference w:id="785"/>
      </w:r>
      <w:r>
        <w:rPr>
          <w:rFonts w:ascii="IRNazanin" w:hAnsi="IRNazanin" w:eastAsia="IRNazanin"/>
          <w:color w:val="111111"/>
          <w:sz w:val="28"/>
          <w:sz w:val="28"/>
          <w:szCs w:val="28"/>
          <w:rtl w:val="true"/>
          <w:lang w:bidi="fa-IR"/>
        </w:rPr>
        <w:t>إذا کان مع العمد و الاختیار من غیر کره و لا إجبار إلّا فی القی‌ء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بین العالم و الجاهل إذا کان مقصّراً </w:t>
      </w:r>
      <w:r>
        <w:rPr>
          <w:rStyle w:val="FootnoteAnchor"/>
          <w:rtl w:val="true"/>
        </w:rPr>
        <w:footnoteReference w:id="786"/>
      </w:r>
      <w:r>
        <w:rPr>
          <w:rFonts w:ascii="IRNazanin" w:hAnsi="IRNazanin" w:eastAsia="IRNazanin"/>
          <w:color w:val="111111"/>
          <w:sz w:val="28"/>
          <w:sz w:val="28"/>
          <w:szCs w:val="28"/>
          <w:rtl w:val="true"/>
          <w:lang w:bidi="fa-IR"/>
        </w:rPr>
        <w:t>، و أمّا إذا کان قاصراً غیر ملتفت إلی السؤال فالظاهر عدم وجوب الکفّارة علیه و إن کان أحوط</w:t>
      </w:r>
      <w:r>
        <w:rPr>
          <w:rFonts w:eastAsia="IRNazanin" w:cs="IRNazanin"/>
          <w:color w:val="111111"/>
          <w:sz w:val="28"/>
          <w:szCs w:val="28"/>
          <w:rtl w:val="true"/>
          <w:lang w:bidi="fa-IR"/>
        </w:rPr>
        <w:t>.</w:t>
      </w:r>
    </w:p>
    <w:p>
      <w:pPr>
        <w:pStyle w:val="Heading4"/>
        <w:numPr>
          <w:ilvl w:val="3"/>
          <w:numId w:val="1"/>
        </w:numPr>
        <w:rPr/>
      </w:pPr>
      <w:bookmarkStart w:id="2712" w:name="__RefHeading___Toc2567460_3650668749"/>
      <w:bookmarkStart w:id="2713" w:name="_Toc1239"/>
      <w:bookmarkEnd w:id="2712"/>
      <w:r>
        <w:rPr>
          <w:rtl w:val="true"/>
        </w:rPr>
        <w:t>[ (</w:t>
      </w:r>
      <w:r>
        <w:rPr>
          <w:rtl w:val="true"/>
        </w:rPr>
        <w:t xml:space="preserve">مسألة </w:t>
      </w:r>
      <w:r>
        <w:rPr/>
        <w:t>2</w:t>
      </w:r>
      <w:r>
        <w:rPr>
          <w:rtl w:val="true"/>
        </w:rPr>
        <w:t xml:space="preserve">): </w:t>
      </w:r>
      <w:r>
        <w:rPr>
          <w:rtl w:val="true"/>
        </w:rPr>
        <w:t>کفّارة إفطار صوم شهر رمضان أُمور ثلاثة</w:t>
      </w:r>
      <w:r>
        <w:rPr>
          <w:rtl w:val="true"/>
        </w:rPr>
        <w:t>]</w:t>
      </w:r>
      <w:bookmarkEnd w:id="2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إفطار صوم شهر رمضان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و صیام شهرین متتابعین و إطعام ستّین مسکیناً مخیّراً بینها، و إن کان الأحوط الترتیب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w:t>
      </w:r>
      <w:r>
        <w:rPr>
          <w:rStyle w:val="FootnoteAnchor"/>
          <w:rtl w:val="true"/>
        </w:rPr>
        <w:footnoteReference w:id="787"/>
      </w:r>
      <w:r>
        <w:rPr>
          <w:rFonts w:ascii="IRNazanin" w:hAnsi="IRNazanin" w:eastAsia="IRNazanin"/>
          <w:color w:val="111111"/>
          <w:sz w:val="28"/>
          <w:sz w:val="28"/>
          <w:szCs w:val="28"/>
          <w:rtl w:val="true"/>
          <w:lang w:bidi="fa-IR"/>
        </w:rPr>
        <w:t>الجمع بین الخصال إذا أفطر بشی‌ء محرّم کأکل المغصوب و شرب الخمر و الجماع المحرّم و نحو ذلک</w:t>
      </w:r>
      <w:r>
        <w:rPr>
          <w:rFonts w:eastAsia="IRNazanin" w:cs="IRNazanin"/>
          <w:color w:val="111111"/>
          <w:sz w:val="28"/>
          <w:szCs w:val="28"/>
          <w:rtl w:val="true"/>
          <w:lang w:bidi="fa-IR"/>
        </w:rPr>
        <w:t>.</w:t>
      </w:r>
    </w:p>
    <w:p>
      <w:pPr>
        <w:pStyle w:val="Heading4"/>
        <w:numPr>
          <w:ilvl w:val="3"/>
          <w:numId w:val="1"/>
        </w:numPr>
        <w:rPr/>
      </w:pPr>
      <w:bookmarkStart w:id="2714" w:name="__RefHeading___Toc2567462_3650668749"/>
      <w:bookmarkStart w:id="2715" w:name="_Toc1240"/>
      <w:bookmarkEnd w:id="2714"/>
      <w:r>
        <w:rPr>
          <w:rtl w:val="true"/>
        </w:rPr>
        <w:t>[ (</w:t>
      </w:r>
      <w:r>
        <w:rPr>
          <w:rtl w:val="true"/>
        </w:rPr>
        <w:t xml:space="preserve">مسألة </w:t>
      </w:r>
      <w:r>
        <w:rPr/>
        <w:t>3</w:t>
      </w:r>
      <w:r>
        <w:rPr>
          <w:rtl w:val="true"/>
        </w:rPr>
        <w:t xml:space="preserve">): </w:t>
      </w:r>
      <w:r>
        <w:rPr>
          <w:rtl w:val="true"/>
        </w:rPr>
        <w:t>الأقویٰ أنّه لا تتکرّر الکفّارة بتکرّر الموجب فی یوم واحد فی غیر الجماع</w:t>
      </w:r>
      <w:r>
        <w:rPr>
          <w:rtl w:val="true"/>
        </w:rPr>
        <w:t>]</w:t>
      </w:r>
      <w:bookmarkEnd w:id="2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أنّه لا تتکرّر الکفّارة بتکرّر الموجب فی یوم واحد فی غیر الجماع و إن اختلف جنس الموجب، و أمّا هو فالأقویٰ </w:t>
      </w:r>
      <w:r>
        <w:rPr>
          <w:rStyle w:val="FootnoteAnchor"/>
          <w:rtl w:val="true"/>
        </w:rPr>
        <w:footnoteReference w:id="788"/>
      </w:r>
      <w:r>
        <w:rPr>
          <w:rFonts w:ascii="Amiri" w:hAnsi="Amiri" w:eastAsia="Amiri" w:cs="Amiri"/>
          <w:color w:val="111111"/>
          <w:sz w:val="28"/>
          <w:sz w:val="28"/>
          <w:szCs w:val="28"/>
          <w:rtl w:val="true"/>
          <w:lang w:bidi="ar-SA"/>
        </w:rPr>
        <w:t>تکرّرها بتکرّره</w:t>
      </w:r>
      <w:r>
        <w:rPr>
          <w:rFonts w:eastAsia="Amiri" w:cs="Amiri" w:ascii="Amiri" w:hAnsi="Amiri"/>
          <w:color w:val="111111"/>
          <w:sz w:val="28"/>
          <w:szCs w:val="28"/>
          <w:rtl w:val="true"/>
          <w:lang w:bidi="ar-SA"/>
        </w:rPr>
        <w:t>.</w:t>
      </w:r>
    </w:p>
    <w:p>
      <w:pPr>
        <w:pStyle w:val="Heading4"/>
        <w:numPr>
          <w:ilvl w:val="3"/>
          <w:numId w:val="1"/>
        </w:numPr>
        <w:rPr/>
      </w:pPr>
      <w:bookmarkStart w:id="2716" w:name="__RefHeading___Toc2567464_3650668749"/>
      <w:bookmarkStart w:id="2717" w:name="_Toc1241"/>
      <w:bookmarkEnd w:id="2716"/>
      <w:r>
        <w:rPr>
          <w:rtl w:val="true"/>
        </w:rPr>
        <w:t>[ (</w:t>
      </w:r>
      <w:r>
        <w:rPr>
          <w:rtl w:val="true"/>
        </w:rPr>
        <w:t xml:space="preserve">مسألة </w:t>
      </w:r>
      <w:r>
        <w:rPr/>
        <w:t>4</w:t>
      </w:r>
      <w:r>
        <w:rPr>
          <w:rtl w:val="true"/>
        </w:rPr>
        <w:t xml:space="preserve">): </w:t>
      </w:r>
      <w:r>
        <w:rPr>
          <w:rtl w:val="true"/>
        </w:rPr>
        <w:t>لا تجب الکفّارة إلّا فی إفطار صوم شهر رمضان و قضائه بعد الزوال و النذر المعیّن</w:t>
      </w:r>
      <w:r>
        <w:rPr>
          <w:rtl w:val="true"/>
        </w:rPr>
        <w:t>]</w:t>
      </w:r>
      <w:bookmarkEnd w:id="27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الکفّارة إلّا فی إفطار صوم شهر رمضان و قضائه بعد الزوال و النذر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تجب فیما عدا ذلک من أقسام الصوم؛ واجباً کان أو مندوباً، أفطر قبل الزوال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جماعة من الأصحاب وجوبها فی صوم الاعتکاف إذا وجب، و هم بین معمّم لها لجمیع المفطرات و بین مخصّص لها بالجماع، و لکن الظاهر اختصاصها بالجماع، کما أنّ الظاهر أنّها لأجل نفس الاعتکاف لا لأجل الصوم؛ و لذا لا فرق بین وقوعه فی اللیل أو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وقع فی نهار شهر رمضان تجب الکفّارتان، کما أنّه لو وقع الإفطار فیه بغیر الجماع تجب کفّارة شهر رمضان</w:t>
      </w:r>
      <w:r>
        <w:rPr>
          <w:rFonts w:eastAsia="IRNazanin" w:cs="IRNazanin"/>
          <w:color w:val="111111"/>
          <w:sz w:val="28"/>
          <w:szCs w:val="28"/>
          <w:rtl w:val="true"/>
          <w:lang w:bidi="fa-IR"/>
        </w:rPr>
        <w:t>.</w:t>
      </w:r>
    </w:p>
    <w:p>
      <w:pPr>
        <w:pStyle w:val="Heading4"/>
        <w:numPr>
          <w:ilvl w:val="3"/>
          <w:numId w:val="1"/>
        </w:numPr>
        <w:rPr/>
      </w:pPr>
      <w:bookmarkStart w:id="2718" w:name="__RefHeading___Toc2567466_3650668749"/>
      <w:bookmarkStart w:id="2719" w:name="_Toc1242"/>
      <w:bookmarkEnd w:id="2718"/>
      <w:r>
        <w:rPr>
          <w:rtl w:val="true"/>
        </w:rPr>
        <w:t>[ (</w:t>
      </w:r>
      <w:r>
        <w:rPr>
          <w:rtl w:val="true"/>
        </w:rPr>
        <w:t xml:space="preserve">مسألة </w:t>
      </w:r>
      <w:r>
        <w:rPr/>
        <w:t>5</w:t>
      </w:r>
      <w:r>
        <w:rPr>
          <w:rtl w:val="true"/>
        </w:rPr>
        <w:t xml:space="preserve">): </w:t>
      </w:r>
      <w:r>
        <w:rPr>
          <w:rtl w:val="true"/>
        </w:rPr>
        <w:t>إذا أفطر متعمّداً ثمّ سافر لم تسقط عنه الکفّارة</w:t>
      </w:r>
      <w:r>
        <w:rPr>
          <w:rtl w:val="true"/>
        </w:rPr>
        <w:t>]</w:t>
      </w:r>
      <w:bookmarkEnd w:id="271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أفطر متعمّداً ثمّ سافر لم تسقط </w:t>
      </w:r>
      <w:r>
        <w:rPr>
          <w:rStyle w:val="FootnoteAnchor"/>
          <w:rtl w:val="true"/>
        </w:rPr>
        <w:footnoteReference w:id="789"/>
      </w:r>
      <w:r>
        <w:rPr>
          <w:rFonts w:ascii="IRNazanin" w:hAnsi="IRNazanin" w:eastAsia="IRNazanin"/>
          <w:color w:val="111111"/>
          <w:sz w:val="28"/>
          <w:sz w:val="28"/>
          <w:szCs w:val="28"/>
          <w:rtl w:val="true"/>
          <w:lang w:bidi="fa-IR"/>
        </w:rPr>
        <w:t>عنه الکفّارة؛ سواء سافر بعد الزوال</w:t>
      </w:r>
      <w:bookmarkStart w:id="2720" w:name="pg1809_19170"/>
    </w:p>
    <w:p>
      <w:pPr>
        <w:pStyle w:val="BookText"/>
        <w:rPr/>
      </w:pPr>
      <w:bookmarkEnd w:id="2720"/>
      <w:r>
        <w:rPr>
          <w:rFonts w:ascii="IRNazanin" w:hAnsi="IRNazanin" w:eastAsia="IRNazanin"/>
          <w:color w:val="111111"/>
          <w:sz w:val="28"/>
          <w:sz w:val="28"/>
          <w:szCs w:val="28"/>
          <w:rtl w:val="true"/>
          <w:lang w:bidi="fa-IR"/>
        </w:rPr>
        <w:t>أو قبله، بل و کذا لو سافر و أفطر قبل الوصول إلیٰ حدّ الترخّص، بل الأحوط احتیاطاً لا یترک</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عدم سقوطها فیما لو أفطر متعمّداً ثمّ عرض له عارض قهریّ من حیض أو نفاس أو مرض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أفطر یوم الشکّ فی آخر الشهر ثمّ تبیّن أنّه من شوّال فالأقویٰ سقوط الکفّارة کالقضاء</w:t>
      </w:r>
      <w:r>
        <w:rPr>
          <w:rFonts w:eastAsia="IRNazanin" w:cs="IRNazanin"/>
          <w:color w:val="111111"/>
          <w:sz w:val="28"/>
          <w:szCs w:val="28"/>
          <w:rtl w:val="true"/>
          <w:lang w:bidi="fa-IR"/>
        </w:rPr>
        <w:t>.</w:t>
      </w:r>
    </w:p>
    <w:p>
      <w:pPr>
        <w:pStyle w:val="Heading4"/>
        <w:numPr>
          <w:ilvl w:val="3"/>
          <w:numId w:val="1"/>
        </w:numPr>
        <w:rPr/>
      </w:pPr>
      <w:bookmarkStart w:id="2721" w:name="__RefHeading___Toc2567468_3650668749"/>
      <w:bookmarkStart w:id="2722" w:name="_Toc1243"/>
      <w:bookmarkEnd w:id="2721"/>
      <w:r>
        <w:rPr>
          <w:rtl w:val="true"/>
        </w:rPr>
        <w:t>[ (</w:t>
      </w:r>
      <w:r>
        <w:rPr>
          <w:rtl w:val="true"/>
        </w:rPr>
        <w:t xml:space="preserve">مسألة </w:t>
      </w:r>
      <w:r>
        <w:rPr/>
        <w:t>6</w:t>
      </w:r>
      <w:r>
        <w:rPr>
          <w:rtl w:val="true"/>
        </w:rPr>
        <w:t xml:space="preserve">): </w:t>
      </w:r>
      <w:r>
        <w:rPr>
          <w:rtl w:val="true"/>
        </w:rPr>
        <w:t>إذا جامع زوجته فی شهر رمضان و هما صائمان</w:t>
      </w:r>
      <w:r>
        <w:rPr>
          <w:rtl w:val="true"/>
        </w:rPr>
        <w:t>]</w:t>
      </w:r>
      <w:bookmarkEnd w:id="27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جامع زوجته فی شهر رمضان و هما صائمان، فإن طاوعته فعلی کلّ منهما کفّارته و تعزیره؛ و هو خمسة و عشرون سوطاً، و إذا أکرهها علیٰ ذلک یتحمّل عنها کفّارتها و تعزیرها، و إن أکرهها فی الابتداء ثمّ طاوعته فی الأثناء فالأحوط </w:t>
      </w:r>
      <w:r>
        <w:rPr>
          <w:rStyle w:val="FootnoteAnchor"/>
          <w:rtl w:val="true"/>
        </w:rPr>
        <w:footnoteReference w:id="791"/>
      </w:r>
      <w:r>
        <w:rPr>
          <w:rFonts w:ascii="IRNazanin" w:hAnsi="IRNazanin" w:eastAsia="IRNazanin"/>
          <w:color w:val="111111"/>
          <w:sz w:val="28"/>
          <w:sz w:val="28"/>
          <w:szCs w:val="28"/>
          <w:rtl w:val="true"/>
          <w:lang w:bidi="fa-IR"/>
        </w:rPr>
        <w:t>کفّارة منها و کفّارتان منه، بل 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تلحق بالزوجة المکرهة الأمة و الأجنبیّة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الزوجة بین الدائمة و المنقطعة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أکرهت الزوجة زوجها لا تتحمّل عنه شیئاً</w:t>
      </w:r>
      <w:r>
        <w:rPr>
          <w:rFonts w:eastAsia="IRNazanin" w:cs="IRNazanin"/>
          <w:color w:val="111111"/>
          <w:sz w:val="28"/>
          <w:szCs w:val="28"/>
          <w:rtl w:val="true"/>
          <w:lang w:bidi="fa-IR"/>
        </w:rPr>
        <w:t>.</w:t>
      </w:r>
    </w:p>
    <w:p>
      <w:pPr>
        <w:pStyle w:val="Heading4"/>
        <w:numPr>
          <w:ilvl w:val="3"/>
          <w:numId w:val="1"/>
        </w:numPr>
        <w:rPr/>
      </w:pPr>
      <w:bookmarkStart w:id="2723" w:name="__RefHeading___Toc2567470_3650668749"/>
      <w:bookmarkStart w:id="2724" w:name="_Toc1244"/>
      <w:bookmarkEnd w:id="2723"/>
      <w:r>
        <w:rPr>
          <w:rtl w:val="true"/>
        </w:rPr>
        <w:t>[ (</w:t>
      </w:r>
      <w:r>
        <w:rPr>
          <w:rtl w:val="true"/>
        </w:rPr>
        <w:t xml:space="preserve">مسألة </w:t>
      </w:r>
      <w:r>
        <w:rPr/>
        <w:t>7</w:t>
      </w:r>
      <w:r>
        <w:rPr>
          <w:rtl w:val="true"/>
        </w:rPr>
        <w:t xml:space="preserve">): </w:t>
      </w:r>
      <w:r>
        <w:rPr>
          <w:rtl w:val="true"/>
        </w:rPr>
        <w:t>إذا کان مفطراً لکونه مسافراً أو مریضاً مثلًا و کانت زوجته صائمة</w:t>
      </w:r>
      <w:r>
        <w:rPr>
          <w:rtl w:val="true"/>
        </w:rPr>
        <w:t>]</w:t>
      </w:r>
      <w:bookmarkEnd w:id="2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مفطراً لکونه مسافراً أو مریضاً مثلًا و کانت زوجته صائمة لا یجوز إکراهها علی الجماع، و إن فعل لا یتحمّل </w:t>
      </w:r>
      <w:r>
        <w:rPr>
          <w:rStyle w:val="FootnoteAnchor"/>
          <w:rtl w:val="true"/>
        </w:rPr>
        <w:footnoteReference w:id="792"/>
      </w:r>
      <w:r>
        <w:rPr>
          <w:rFonts w:ascii="IRNazanin" w:hAnsi="IRNazanin" w:eastAsia="IRNazanin"/>
          <w:color w:val="111111"/>
          <w:sz w:val="28"/>
          <w:sz w:val="28"/>
          <w:szCs w:val="28"/>
          <w:rtl w:val="true"/>
          <w:lang w:bidi="fa-IR"/>
        </w:rPr>
        <w:t>عنها الکفّارة و لا التعزیر</w:t>
      </w:r>
      <w:r>
        <w:rPr>
          <w:rFonts w:eastAsia="IRNazanin" w:cs="IRNazanin"/>
          <w:color w:val="111111"/>
          <w:sz w:val="28"/>
          <w:szCs w:val="28"/>
          <w:rtl w:val="true"/>
          <w:lang w:bidi="fa-IR"/>
        </w:rPr>
        <w:t>.</w:t>
      </w:r>
    </w:p>
    <w:p>
      <w:pPr>
        <w:pStyle w:val="Heading4"/>
        <w:numPr>
          <w:ilvl w:val="3"/>
          <w:numId w:val="1"/>
        </w:numPr>
        <w:rPr/>
      </w:pPr>
      <w:bookmarkStart w:id="2725" w:name="__RefHeading___Toc2567472_3650668749"/>
      <w:bookmarkStart w:id="2726" w:name="_Toc1245"/>
      <w:bookmarkEnd w:id="2725"/>
      <w:r>
        <w:rPr>
          <w:rtl w:val="true"/>
        </w:rPr>
        <w:t>[ (</w:t>
      </w:r>
      <w:r>
        <w:rPr>
          <w:rtl w:val="true"/>
        </w:rPr>
        <w:t xml:space="preserve">مسألة </w:t>
      </w:r>
      <w:r>
        <w:rPr/>
        <w:t>8</w:t>
      </w:r>
      <w:r>
        <w:rPr>
          <w:rtl w:val="true"/>
        </w:rPr>
        <w:t xml:space="preserve">): </w:t>
      </w:r>
      <w:r>
        <w:rPr>
          <w:rtl w:val="true"/>
        </w:rPr>
        <w:t>مصرف کفّارة إطعام الفقراء</w:t>
      </w:r>
      <w:r>
        <w:rPr>
          <w:rtl w:val="true"/>
        </w:rPr>
        <w:t>]</w:t>
      </w:r>
      <w:bookmarkEnd w:id="272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کفّارة إطعام الفقراء إمّا بإشباعهم و إمّا بالتسلیم إلیهم کلّ واحد مُدّاً من حنطة أو شعیر أو دقیق أو أرُز أو خبز أو غیر ذلک من أقسام الطعام، و الأحوط 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یکفی </w:t>
      </w:r>
      <w:r>
        <w:rPr>
          <w:rStyle w:val="FootnoteAnchor"/>
          <w:rtl w:val="true"/>
        </w:rPr>
        <w:footnoteReference w:id="793"/>
      </w:r>
      <w:r>
        <w:rPr>
          <w:rFonts w:ascii="IRNazanin" w:hAnsi="IRNazanin" w:eastAsia="IRNazanin"/>
          <w:color w:val="111111"/>
          <w:sz w:val="28"/>
          <w:sz w:val="28"/>
          <w:szCs w:val="28"/>
          <w:rtl w:val="true"/>
          <w:lang w:bidi="fa-IR"/>
        </w:rPr>
        <w:t xml:space="preserve">فی کفّارة واحدة إشباع شخص واحد مرّتین أو مرّات أو إعطاؤه مدّین أو أمداداً بل لا بدّ من ستّین نفساً، نعم إذا کان للفقیر عیالات متعدّدة یجوز </w:t>
      </w:r>
      <w:r>
        <w:rPr>
          <w:rStyle w:val="FootnoteAnchor"/>
          <w:rtl w:val="true"/>
        </w:rPr>
        <w:footnoteReference w:id="794"/>
      </w:r>
      <w:r>
        <w:rPr>
          <w:rFonts w:ascii="IRNazanin" w:hAnsi="IRNazanin" w:eastAsia="IRNazanin"/>
          <w:color w:val="111111"/>
          <w:sz w:val="28"/>
          <w:sz w:val="28"/>
          <w:szCs w:val="28"/>
          <w:rtl w:val="true"/>
          <w:lang w:bidi="fa-IR"/>
        </w:rPr>
        <w:t>إعطاؤه بعدد الجمیع لکلّ واحد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 ربع الصاع، و هو ستّمائة مثقال و أربعة عشر مثقالًا و ربع مثقال، فالمدّ مائة و خمسون مثقالًا و ثلاثة مثاقیل و نصف مثقال و ربع ربع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أعطیٰ</w:t>
      </w:r>
      <w:bookmarkStart w:id="2727" w:name="pg1809_19172"/>
    </w:p>
    <w:p>
      <w:pPr>
        <w:pStyle w:val="BookText"/>
        <w:rPr/>
      </w:pPr>
      <w:bookmarkEnd w:id="2727"/>
      <w:r>
        <w:rPr>
          <w:rFonts w:ascii="IRNazanin" w:hAnsi="IRNazanin" w:eastAsia="IRNazanin"/>
          <w:color w:val="111111"/>
          <w:sz w:val="28"/>
          <w:sz w:val="28"/>
          <w:szCs w:val="28"/>
          <w:rtl w:val="true"/>
          <w:lang w:bidi="fa-IR"/>
        </w:rPr>
        <w:t>ثلاثة أرباع الوقیة من حقّة النجف فقد زاد أزید من واحد و عشرین مثقالًا؛ إذ ثلاثة أرباع الوقیة مائة و خمسة و سبعون مثقالًا</w:t>
      </w:r>
      <w:r>
        <w:rPr>
          <w:rFonts w:eastAsia="IRNazanin" w:cs="IRNazanin"/>
          <w:color w:val="111111"/>
          <w:sz w:val="28"/>
          <w:szCs w:val="28"/>
          <w:rtl w:val="true"/>
          <w:lang w:bidi="fa-IR"/>
        </w:rPr>
        <w:t>.</w:t>
      </w:r>
    </w:p>
    <w:p>
      <w:pPr>
        <w:pStyle w:val="Heading4"/>
        <w:numPr>
          <w:ilvl w:val="3"/>
          <w:numId w:val="1"/>
        </w:numPr>
        <w:rPr/>
      </w:pPr>
      <w:bookmarkStart w:id="2728" w:name="__RefHeading___Toc2567474_3650668749"/>
      <w:bookmarkStart w:id="2729" w:name="_Toc1246"/>
      <w:bookmarkEnd w:id="2728"/>
      <w:r>
        <w:rPr>
          <w:rtl w:val="true"/>
        </w:rPr>
        <w:t>[ (</w:t>
      </w:r>
      <w:r>
        <w:rPr>
          <w:rtl w:val="true"/>
        </w:rPr>
        <w:t xml:space="preserve">مسألة </w:t>
      </w:r>
      <w:r>
        <w:rPr/>
        <w:t>9</w:t>
      </w:r>
      <w:r>
        <w:rPr>
          <w:rtl w:val="true"/>
        </w:rPr>
        <w:t xml:space="preserve">): </w:t>
      </w:r>
      <w:r>
        <w:rPr>
          <w:rtl w:val="true"/>
        </w:rPr>
        <w:t>یجوز التبرّع بالکفّارة عن المیّت</w:t>
      </w:r>
      <w:r>
        <w:rPr>
          <w:rtl w:val="true"/>
        </w:rPr>
        <w:t>]</w:t>
      </w:r>
      <w:bookmarkEnd w:id="27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التبرّع بالکفّارة عن المیّت؛ صوماً کانت أو غیره، و فی جواز التبرّع بها عن الحیّ إشکال و الأحوط العدم خصوصاً فی الصوم</w:t>
      </w:r>
      <w:r>
        <w:rPr>
          <w:rFonts w:eastAsia="IRNazanin" w:cs="IRNazanin"/>
          <w:color w:val="111111"/>
          <w:sz w:val="28"/>
          <w:szCs w:val="28"/>
          <w:rtl w:val="true"/>
          <w:lang w:bidi="fa-IR"/>
        </w:rPr>
        <w:t>.</w:t>
      </w:r>
    </w:p>
    <w:p>
      <w:pPr>
        <w:pStyle w:val="Heading4"/>
        <w:numPr>
          <w:ilvl w:val="3"/>
          <w:numId w:val="1"/>
        </w:numPr>
        <w:rPr/>
      </w:pPr>
      <w:bookmarkStart w:id="2730" w:name="__RefHeading___Toc2567476_3650668749"/>
      <w:bookmarkStart w:id="2731" w:name="_Toc1247"/>
      <w:bookmarkEnd w:id="2730"/>
      <w:r>
        <w:rPr>
          <w:rtl w:val="true"/>
        </w:rPr>
        <w:t>[ (</w:t>
      </w:r>
      <w:r>
        <w:rPr>
          <w:rtl w:val="true"/>
        </w:rPr>
        <w:t xml:space="preserve">مسألة </w:t>
      </w:r>
      <w:r>
        <w:rPr/>
        <w:t>10</w:t>
      </w:r>
      <w:r>
        <w:rPr>
          <w:rtl w:val="true"/>
        </w:rPr>
        <w:t xml:space="preserve">): </w:t>
      </w:r>
      <w:r>
        <w:rPr>
          <w:rtl w:val="true"/>
        </w:rPr>
        <w:t>یکفی فی حصول التتابع فی الشهرین صوم الشهر الأوّل و یوم من الشهر الثانی</w:t>
      </w:r>
      <w:r>
        <w:rPr>
          <w:rtl w:val="true"/>
        </w:rPr>
        <w:t>]</w:t>
      </w:r>
      <w:bookmarkEnd w:id="27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حصول التتابع فی الشهرین صوم الشهر الأوّل و یوم من الشهر الثانی، و یجوز له التفریق فی البقیّة و لو اختیاراً لا 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الشهر الأوّل </w:t>
      </w:r>
      <w:r>
        <w:rPr>
          <w:rStyle w:val="FootnoteAnchor"/>
          <w:rtl w:val="true"/>
        </w:rPr>
        <w:footnoteReference w:id="795"/>
      </w:r>
      <w:r>
        <w:rPr>
          <w:rFonts w:ascii="IRNazanin" w:hAnsi="IRNazanin" w:eastAsia="IRNazanin"/>
          <w:color w:val="111111"/>
          <w:sz w:val="28"/>
          <w:sz w:val="28"/>
          <w:szCs w:val="28"/>
          <w:rtl w:val="true"/>
          <w:lang w:bidi="fa-IR"/>
        </w:rPr>
        <w:t>فإذا أفطر فی أثنائه لا لعذر یجب استئنافه، و إذا أفطر لعذر من الأعذار کالمرض و الحیض و النفاس و السفر الاضطراریّ لم یجب استئنافه، بل یبنی علیٰ ما مضی، و من العذر ما إذا نسی النیّة حتّی فات وقتها بأن تذکّر بعد الزوال</w:t>
      </w:r>
      <w:r>
        <w:rPr>
          <w:rFonts w:eastAsia="IRNazanin" w:cs="IRNazanin"/>
          <w:color w:val="111111"/>
          <w:sz w:val="28"/>
          <w:szCs w:val="28"/>
          <w:rtl w:val="true"/>
          <w:lang w:bidi="fa-IR"/>
        </w:rPr>
        <w:t>.</w:t>
      </w:r>
    </w:p>
    <w:p>
      <w:pPr>
        <w:pStyle w:val="Heading4"/>
        <w:numPr>
          <w:ilvl w:val="3"/>
          <w:numId w:val="1"/>
        </w:numPr>
        <w:rPr/>
      </w:pPr>
      <w:bookmarkStart w:id="2732" w:name="__RefHeading___Toc2567478_3650668749"/>
      <w:bookmarkStart w:id="2733" w:name="_Toc1248"/>
      <w:bookmarkEnd w:id="2732"/>
      <w:r>
        <w:rPr>
          <w:rtl w:val="true"/>
        </w:rPr>
        <w:t>[ (</w:t>
      </w:r>
      <w:r>
        <w:rPr>
          <w:rtl w:val="true"/>
        </w:rPr>
        <w:t xml:space="preserve">مسألة </w:t>
      </w:r>
      <w:r>
        <w:rPr/>
        <w:t>11</w:t>
      </w:r>
      <w:r>
        <w:rPr>
          <w:rtl w:val="true"/>
        </w:rPr>
        <w:t xml:space="preserve">): </w:t>
      </w:r>
      <w:r>
        <w:rPr>
          <w:rtl w:val="true"/>
        </w:rPr>
        <w:t>من عجز عن الخصال الثلاث فی کفّارة شهر رمضان</w:t>
      </w:r>
      <w:r>
        <w:rPr>
          <w:rtl w:val="true"/>
        </w:rPr>
        <w:t>]</w:t>
      </w:r>
      <w:bookmarkEnd w:id="27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عجز عن الخصال الثلاث فی کفّارة شهر رمضان تخیّر </w:t>
      </w:r>
      <w:r>
        <w:rPr>
          <w:rStyle w:val="FootnoteAnchor"/>
          <w:rtl w:val="true"/>
        </w:rPr>
        <w:footnoteReference w:id="796"/>
      </w:r>
      <w:r>
        <w:rPr>
          <w:rFonts w:ascii="IRNazanin" w:hAnsi="IRNazanin" w:eastAsia="IRNazanin"/>
          <w:color w:val="111111"/>
          <w:sz w:val="28"/>
          <w:sz w:val="28"/>
          <w:szCs w:val="28"/>
          <w:rtl w:val="true"/>
          <w:lang w:bidi="fa-IR"/>
        </w:rPr>
        <w:t>بین أن یصوم ثمانیة عشر یوماً أو یتصدّق بما یطیق، و لو عجز أتی بالممکن منهما، و إن لم یقدر علیٰ شی‌ء منهما استغفر اللّٰه و لو مرّة بدلًا عن الکفّارة، و إن تمکّن بعد ذلک منها أتی بها</w:t>
      </w:r>
      <w:r>
        <w:rPr>
          <w:rFonts w:eastAsia="IRNazanin" w:cs="IRNazanin"/>
          <w:color w:val="111111"/>
          <w:sz w:val="28"/>
          <w:szCs w:val="28"/>
          <w:rtl w:val="true"/>
          <w:lang w:bidi="fa-IR"/>
        </w:rPr>
        <w:t>.</w:t>
      </w:r>
    </w:p>
    <w:p>
      <w:pPr>
        <w:pStyle w:val="Heading4"/>
        <w:numPr>
          <w:ilvl w:val="3"/>
          <w:numId w:val="1"/>
        </w:numPr>
        <w:rPr/>
      </w:pPr>
      <w:bookmarkStart w:id="2734" w:name="__RefHeading___Toc2567480_3650668749"/>
      <w:bookmarkStart w:id="2735" w:name="_Toc1249"/>
      <w:bookmarkEnd w:id="2734"/>
      <w:r>
        <w:rPr>
          <w:rtl w:val="true"/>
        </w:rPr>
        <w:t>[ (</w:t>
      </w:r>
      <w:r>
        <w:rPr>
          <w:rtl w:val="true"/>
        </w:rPr>
        <w:t xml:space="preserve">مسألة </w:t>
      </w:r>
      <w:r>
        <w:rPr/>
        <w:t>12</w:t>
      </w:r>
      <w:r>
        <w:rPr>
          <w:rtl w:val="true"/>
        </w:rPr>
        <w:t xml:space="preserve">): </w:t>
      </w:r>
      <w:r>
        <w:rPr>
          <w:rtl w:val="true"/>
        </w:rPr>
        <w:t>یجب القضاء دون الکفّارة فی موارد</w:t>
      </w:r>
      <w:r>
        <w:rPr>
          <w:rtl w:val="true"/>
        </w:rPr>
        <w:t>]</w:t>
      </w:r>
      <w:bookmarkEnd w:id="2735"/>
    </w:p>
    <w:p>
      <w:pPr>
        <w:pStyle w:val="Heading5"/>
        <w:numPr>
          <w:ilvl w:val="4"/>
          <w:numId w:val="1"/>
        </w:numPr>
        <w:rPr/>
      </w:pPr>
      <w:bookmarkStart w:id="2736" w:name="__RefHeading___Toc2567482_3650668749"/>
      <w:bookmarkStart w:id="2737" w:name="_Toc1250"/>
      <w:bookmarkEnd w:id="2736"/>
      <w:r>
        <w:rPr>
          <w:rtl w:val="true"/>
        </w:rPr>
        <w:t>اشارة</w:t>
      </w:r>
      <w:bookmarkEnd w:id="27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p>
    <w:p>
      <w:pPr>
        <w:pStyle w:val="Heading5"/>
        <w:numPr>
          <w:ilvl w:val="4"/>
          <w:numId w:val="1"/>
        </w:numPr>
        <w:rPr/>
      </w:pPr>
      <w:bookmarkStart w:id="2738" w:name="__RefHeading___Toc2567484_3650668749"/>
      <w:bookmarkStart w:id="2739" w:name="_Toc1251"/>
      <w:bookmarkEnd w:id="2738"/>
      <w:r>
        <w:rPr>
          <w:rtl w:val="true"/>
        </w:rPr>
        <w:t>[</w:t>
      </w:r>
      <w:r>
        <w:rPr>
          <w:rtl w:val="true"/>
        </w:rPr>
        <w:t>أحدها</w:t>
      </w:r>
      <w:r>
        <w:rPr>
          <w:rtl w:val="true"/>
        </w:rPr>
        <w:t xml:space="preserve">: </w:t>
      </w:r>
      <w:r>
        <w:rPr>
          <w:rtl w:val="true"/>
        </w:rPr>
        <w:t>فیما إذا نام المجنب فی اللیل ثانیاً بعد انتباهه من النوم</w:t>
      </w:r>
      <w:r>
        <w:rPr>
          <w:rtl w:val="true"/>
        </w:rPr>
        <w:t>]</w:t>
      </w:r>
      <w:bookmarkEnd w:id="2739"/>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نام المجنب فی اللیل ثانیاً بعد انتباهه من النوم و استمرّ نومه إلیٰ أن طلع الفجر، بل الأقویٰ ذلک فی النوم الثالث الواقع بعد انتباهتین، و إن کان الأحوط شدیداً فیه ما هو المشهور من وجوب الکفّارة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النوم الذی احتلم فیه لا یعدّ </w:t>
      </w:r>
      <w:r>
        <w:rPr>
          <w:rStyle w:val="FootnoteAnchor"/>
          <w:rtl w:val="true"/>
        </w:rPr>
        <w:footnoteReference w:id="797"/>
      </w:r>
      <w:r>
        <w:rPr>
          <w:rFonts w:ascii="IRNazanin" w:hAnsi="IRNazanin" w:eastAsia="IRNazanin"/>
          <w:color w:val="111111"/>
          <w:sz w:val="28"/>
          <w:sz w:val="28"/>
          <w:szCs w:val="28"/>
          <w:rtl w:val="true"/>
          <w:lang w:bidi="fa-IR"/>
        </w:rPr>
        <w:t>من النومة الأُولیٰ حتّی یکون النوم بعده النومة الثانیة</w:t>
      </w:r>
      <w:r>
        <w:rPr>
          <w:rFonts w:eastAsia="IRNazanin" w:cs="IRNazanin"/>
          <w:color w:val="111111"/>
          <w:sz w:val="28"/>
          <w:szCs w:val="28"/>
          <w:rtl w:val="true"/>
          <w:lang w:bidi="fa-IR"/>
        </w:rPr>
        <w:t>.</w:t>
      </w:r>
    </w:p>
    <w:p>
      <w:pPr>
        <w:pStyle w:val="Heading5"/>
        <w:numPr>
          <w:ilvl w:val="4"/>
          <w:numId w:val="1"/>
        </w:numPr>
        <w:rPr/>
      </w:pPr>
      <w:bookmarkStart w:id="2740" w:name="__RefHeading___Toc2567486_3650668749"/>
      <w:bookmarkStart w:id="2741" w:name="_Toc1252"/>
      <w:bookmarkEnd w:id="2740"/>
      <w:r>
        <w:rPr>
          <w:rtl w:val="true"/>
        </w:rPr>
        <w:t>[</w:t>
      </w:r>
      <w:r>
        <w:rPr>
          <w:rtl w:val="true"/>
        </w:rPr>
        <w:t>الثانی</w:t>
      </w:r>
      <w:r>
        <w:rPr>
          <w:rtl w:val="true"/>
        </w:rPr>
        <w:t xml:space="preserve">: </w:t>
      </w:r>
      <w:r>
        <w:rPr>
          <w:rtl w:val="true"/>
        </w:rPr>
        <w:t>إذا أبطل صومه لمجرّد عدم النیّة</w:t>
      </w:r>
      <w:r>
        <w:rPr>
          <w:rtl w:val="true"/>
        </w:rPr>
        <w:t>]</w:t>
      </w:r>
      <w:bookmarkEnd w:id="274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أبطل صومه لمجرّد عدم النیّة </w:t>
      </w:r>
      <w:r>
        <w:rPr>
          <w:rStyle w:val="FootnoteAnchor"/>
          <w:rtl w:val="true"/>
        </w:rPr>
        <w:footnoteReference w:id="798"/>
      </w:r>
      <w:r>
        <w:rPr>
          <w:rFonts w:ascii="IRNazanin" w:hAnsi="IRNazanin" w:eastAsia="IRNazanin"/>
          <w:color w:val="111111"/>
          <w:sz w:val="28"/>
          <w:sz w:val="28"/>
          <w:szCs w:val="28"/>
          <w:rtl w:val="true"/>
          <w:lang w:bidi="fa-IR"/>
        </w:rPr>
        <w:t>مع عدم الإتیان بشی‌ء من المفطرات</w:t>
      </w:r>
      <w:r>
        <w:rPr>
          <w:rFonts w:eastAsia="IRNazanin" w:cs="IRNazanin"/>
          <w:color w:val="111111"/>
          <w:sz w:val="28"/>
          <w:szCs w:val="28"/>
          <w:rtl w:val="true"/>
          <w:lang w:bidi="fa-IR"/>
        </w:rPr>
        <w:t>.</w:t>
      </w:r>
    </w:p>
    <w:p>
      <w:pPr>
        <w:pStyle w:val="Heading5"/>
        <w:numPr>
          <w:ilvl w:val="4"/>
          <w:numId w:val="1"/>
        </w:numPr>
        <w:rPr/>
      </w:pPr>
      <w:bookmarkStart w:id="2742" w:name="__RefHeading___Toc2567488_3650668749"/>
      <w:bookmarkStart w:id="2743" w:name="_Toc1253"/>
      <w:bookmarkEnd w:id="2742"/>
      <w:r>
        <w:rPr>
          <w:rtl w:val="true"/>
        </w:rPr>
        <w:t>[</w:t>
      </w:r>
      <w:r>
        <w:rPr>
          <w:rtl w:val="true"/>
        </w:rPr>
        <w:t>الثالث</w:t>
      </w:r>
      <w:r>
        <w:rPr>
          <w:rtl w:val="true"/>
        </w:rPr>
        <w:t xml:space="preserve">: </w:t>
      </w:r>
      <w:r>
        <w:rPr>
          <w:rtl w:val="true"/>
        </w:rPr>
        <w:t>إذا نسی غسل الجنابة</w:t>
      </w:r>
      <w:r>
        <w:rPr>
          <w:rtl w:val="true"/>
        </w:rPr>
        <w:t>]</w:t>
      </w:r>
      <w:bookmarkEnd w:id="274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غسل الجنابة و مضیٰ علیه یوم أو أیّام کما مرّ</w:t>
      </w:r>
      <w:r>
        <w:rPr>
          <w:rFonts w:eastAsia="IRNazanin" w:cs="IRNazanin"/>
          <w:color w:val="111111"/>
          <w:sz w:val="28"/>
          <w:szCs w:val="28"/>
          <w:rtl w:val="true"/>
          <w:lang w:bidi="fa-IR"/>
        </w:rPr>
        <w:t>.</w:t>
      </w:r>
    </w:p>
    <w:p>
      <w:pPr>
        <w:pStyle w:val="Heading5"/>
        <w:numPr>
          <w:ilvl w:val="4"/>
          <w:numId w:val="1"/>
        </w:numPr>
        <w:rPr/>
      </w:pPr>
      <w:bookmarkStart w:id="2744" w:name="__RefHeading___Toc2567490_3650668749"/>
      <w:bookmarkStart w:id="2745" w:name="_Toc1254"/>
      <w:bookmarkEnd w:id="2744"/>
      <w:r>
        <w:rPr>
          <w:rtl w:val="true"/>
        </w:rPr>
        <w:t>[</w:t>
      </w:r>
      <w:r>
        <w:rPr>
          <w:rtl w:val="true"/>
        </w:rPr>
        <w:t>الرابع</w:t>
      </w:r>
      <w:r>
        <w:rPr>
          <w:rtl w:val="true"/>
        </w:rPr>
        <w:t xml:space="preserve">: </w:t>
      </w:r>
      <w:r>
        <w:rPr>
          <w:rtl w:val="true"/>
        </w:rPr>
        <w:t>إذا أتی بالمفطر قبل مراعاة الفجر ثمّ ظهر سبق طلوعه</w:t>
      </w:r>
      <w:r>
        <w:rPr>
          <w:rtl w:val="true"/>
        </w:rPr>
        <w:t>]</w:t>
      </w:r>
      <w:bookmarkEnd w:id="274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بالمفطر قبل مراعاة الفجر ثمّ ظهر سبق طلوعه؛ سواء کان قادراً علی</w:t>
      </w:r>
      <w:bookmarkStart w:id="2746" w:name="pg1809_19174"/>
    </w:p>
    <w:p>
      <w:pPr>
        <w:pStyle w:val="BookText"/>
        <w:rPr/>
      </w:pPr>
      <w:bookmarkEnd w:id="2746"/>
      <w:r>
        <w:rPr>
          <w:rFonts w:ascii="Amiri" w:hAnsi="Amiri" w:eastAsia="Amiri" w:cs="Amiri"/>
          <w:color w:val="111111"/>
          <w:sz w:val="28"/>
          <w:sz w:val="28"/>
          <w:szCs w:val="28"/>
          <w:rtl w:val="true"/>
          <w:lang w:bidi="ar-SA"/>
        </w:rPr>
        <w:t xml:space="preserve">المراعاة أو عاجزاً عنها </w:t>
      </w:r>
      <w:r>
        <w:rPr>
          <w:rStyle w:val="FootnoteAnchor"/>
          <w:rtl w:val="true"/>
        </w:rPr>
        <w:footnoteReference w:id="799"/>
      </w:r>
      <w:r>
        <w:rPr>
          <w:rFonts w:ascii="IRNazanin" w:hAnsi="IRNazanin" w:eastAsia="IRNazanin"/>
          <w:color w:val="111111"/>
          <w:sz w:val="28"/>
          <w:sz w:val="28"/>
          <w:szCs w:val="28"/>
          <w:rtl w:val="true"/>
          <w:lang w:bidi="fa-IR"/>
        </w:rPr>
        <w:t xml:space="preserve">، و کذا مع المراعاة و عدم التیقّن ببقاء اللیل بأن کان شاکّاً فی الطلوع أو ظانّاً </w:t>
      </w:r>
      <w:r>
        <w:rPr>
          <w:rStyle w:val="FootnoteAnchor"/>
          <w:rtl w:val="true"/>
        </w:rPr>
        <w:footnoteReference w:id="800"/>
      </w:r>
      <w:r>
        <w:rPr>
          <w:rFonts w:ascii="IRNazanin" w:hAnsi="IRNazanin" w:eastAsia="IRNazanin"/>
          <w:color w:val="111111"/>
          <w:sz w:val="28"/>
          <w:sz w:val="28"/>
          <w:szCs w:val="28"/>
          <w:rtl w:val="true"/>
          <w:lang w:bidi="fa-IR"/>
        </w:rPr>
        <w:t>به فأکل ثمّ تبیّن 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راعی و تیقّن البقاء فأکل ثمّ تبیّن خلافه صحّ صومه، هذا فی صوم شهر رمضان، و أمّا غیره من أقسام الصوم حتّی الواجب المعیّن فالظاهر بطلانه بوقوع الأکل بعد طلوع الفجر مطلقاً حتّی مع المراعاة و تیقّن بقاء اللیل</w:t>
      </w:r>
      <w:r>
        <w:rPr>
          <w:rFonts w:eastAsia="IRNazanin" w:cs="IRNazanin"/>
          <w:color w:val="111111"/>
          <w:sz w:val="28"/>
          <w:szCs w:val="28"/>
          <w:rtl w:val="true"/>
          <w:lang w:bidi="fa-IR"/>
        </w:rPr>
        <w:t>.</w:t>
      </w:r>
    </w:p>
    <w:p>
      <w:pPr>
        <w:pStyle w:val="Heading5"/>
        <w:numPr>
          <w:ilvl w:val="4"/>
          <w:numId w:val="1"/>
        </w:numPr>
        <w:rPr/>
      </w:pPr>
      <w:bookmarkStart w:id="2747" w:name="__RefHeading___Toc2567492_3650668749"/>
      <w:bookmarkStart w:id="2748" w:name="_Toc1255"/>
      <w:bookmarkEnd w:id="2747"/>
      <w:r>
        <w:rPr>
          <w:rtl w:val="true"/>
        </w:rPr>
        <w:t>[</w:t>
      </w:r>
      <w:r>
        <w:rPr>
          <w:rtl w:val="true"/>
        </w:rPr>
        <w:t>الخامس</w:t>
      </w:r>
      <w:r>
        <w:rPr>
          <w:rtl w:val="true"/>
        </w:rPr>
        <w:t xml:space="preserve">: </w:t>
      </w:r>
      <w:r>
        <w:rPr>
          <w:rtl w:val="true"/>
        </w:rPr>
        <w:t>الأکل تعویلًا علیٰ من أخبر ببقاء اللیل</w:t>
      </w:r>
      <w:r>
        <w:rPr>
          <w:rtl w:val="true"/>
        </w:rPr>
        <w:t>]</w:t>
      </w:r>
      <w:bookmarkEnd w:id="2748"/>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تعویلًا علیٰ من أخبر ببقاء اللیل مع کون الفجر طالعاً</w:t>
      </w:r>
      <w:r>
        <w:rPr>
          <w:rFonts w:eastAsia="IRNazanin" w:cs="IRNazanin"/>
          <w:color w:val="111111"/>
          <w:sz w:val="28"/>
          <w:szCs w:val="28"/>
          <w:rtl w:val="true"/>
          <w:lang w:bidi="fa-IR"/>
        </w:rPr>
        <w:t>.</w:t>
      </w:r>
    </w:p>
    <w:p>
      <w:pPr>
        <w:pStyle w:val="Heading5"/>
        <w:numPr>
          <w:ilvl w:val="4"/>
          <w:numId w:val="1"/>
        </w:numPr>
        <w:rPr/>
      </w:pPr>
      <w:bookmarkStart w:id="2749" w:name="__RefHeading___Toc2567494_3650668749"/>
      <w:bookmarkStart w:id="2750" w:name="_Toc1256"/>
      <w:bookmarkEnd w:id="2749"/>
      <w:r>
        <w:rPr>
          <w:rtl w:val="true"/>
        </w:rPr>
        <w:t>[</w:t>
      </w:r>
      <w:r>
        <w:rPr>
          <w:rtl w:val="true"/>
        </w:rPr>
        <w:t>السادس</w:t>
      </w:r>
      <w:r>
        <w:rPr>
          <w:rtl w:val="true"/>
        </w:rPr>
        <w:t xml:space="preserve">: </w:t>
      </w:r>
      <w:r>
        <w:rPr>
          <w:rtl w:val="true"/>
        </w:rPr>
        <w:t>الأکل إذا أخبره مخبر بطلوع الفجر</w:t>
      </w:r>
      <w:r>
        <w:rPr>
          <w:rtl w:val="true"/>
        </w:rPr>
        <w:t>]</w:t>
      </w:r>
      <w:bookmarkEnd w:id="2750"/>
    </w:p>
    <w:p>
      <w:pPr>
        <w:pStyle w:val="Heading6"/>
        <w:numPr>
          <w:ilvl w:val="5"/>
          <w:numId w:val="1"/>
        </w:numPr>
        <w:rPr/>
      </w:pPr>
      <w:bookmarkStart w:id="2751" w:name="__RefHeading___Toc2567496_3650668749"/>
      <w:bookmarkStart w:id="2752" w:name="_Toc1257"/>
      <w:bookmarkEnd w:id="2751"/>
      <w:r>
        <w:rPr>
          <w:rtl w:val="true"/>
        </w:rPr>
        <w:t>اشارة</w:t>
      </w:r>
      <w:bookmarkEnd w:id="2752"/>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إذا أخبره مخبر بطلوع الفجر لزعمه سخریّة المخبر</w:t>
      </w:r>
      <w:r>
        <w:rPr>
          <w:rFonts w:eastAsia="IRNazanin" w:cs="IRNazanin"/>
          <w:color w:val="111111"/>
          <w:sz w:val="28"/>
          <w:szCs w:val="28"/>
          <w:rtl w:val="true"/>
          <w:lang w:bidi="fa-IR"/>
        </w:rPr>
        <w:t>.</w:t>
      </w:r>
    </w:p>
    <w:p>
      <w:pPr>
        <w:pStyle w:val="Heading6"/>
        <w:numPr>
          <w:ilvl w:val="5"/>
          <w:numId w:val="1"/>
        </w:numPr>
        <w:rPr/>
      </w:pPr>
      <w:bookmarkStart w:id="2753" w:name="__RefHeading___Toc2567498_3650668749"/>
      <w:bookmarkStart w:id="2754" w:name="_Toc1258"/>
      <w:bookmarkEnd w:id="2753"/>
      <w:r>
        <w:rPr>
          <w:rtl w:val="true"/>
        </w:rPr>
        <w:t>[ (</w:t>
      </w:r>
      <w:r>
        <w:rPr>
          <w:rtl w:val="true"/>
        </w:rPr>
        <w:t xml:space="preserve">مسألة </w:t>
      </w:r>
      <w:r>
        <w:rPr/>
        <w:t>13</w:t>
      </w:r>
      <w:r>
        <w:rPr>
          <w:rtl w:val="true"/>
        </w:rPr>
        <w:t xml:space="preserve">): </w:t>
      </w:r>
      <w:r>
        <w:rPr>
          <w:rtl w:val="true"/>
        </w:rPr>
        <w:t>یجوز لمن لم یتیقّن بطلوع الفجر تناول المفطر من دون فحص</w:t>
      </w:r>
      <w:r>
        <w:rPr>
          <w:rtl w:val="true"/>
        </w:rPr>
        <w:t>]</w:t>
      </w:r>
      <w:bookmarkEnd w:id="27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لمن لم یتیقّن بطلوع الفجر تناول المفطر من دون فحص، فلو أکل أو شرب و الحال هذه و لم یتبیّن الطلوع و لا عدمه لم یکن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عدم التیقّن بدخول اللیل فلا یجوز له الإفطار، فلو أفطر و الحال هذه یجب علیه القضاء و الکفّارة و إن لم یحصل له التیقّن ببقاء النهار و بقی علیٰ شکّه</w:t>
      </w:r>
      <w:r>
        <w:rPr>
          <w:rFonts w:eastAsia="IRNazanin" w:cs="IRNazanin"/>
          <w:color w:val="111111"/>
          <w:sz w:val="28"/>
          <w:szCs w:val="28"/>
          <w:rtl w:val="true"/>
          <w:lang w:bidi="fa-IR"/>
        </w:rPr>
        <w:t>.</w:t>
      </w:r>
    </w:p>
    <w:p>
      <w:pPr>
        <w:pStyle w:val="Heading5"/>
        <w:numPr>
          <w:ilvl w:val="4"/>
          <w:numId w:val="1"/>
        </w:numPr>
        <w:rPr/>
      </w:pPr>
      <w:bookmarkStart w:id="2755" w:name="__RefHeading___Toc2567500_3650668749"/>
      <w:bookmarkStart w:id="2756" w:name="_Toc1259"/>
      <w:bookmarkEnd w:id="2755"/>
      <w:r>
        <w:rPr>
          <w:rtl w:val="true"/>
        </w:rPr>
        <w:t>[</w:t>
      </w:r>
      <w:r>
        <w:rPr>
          <w:rtl w:val="true"/>
        </w:rPr>
        <w:t>السابع</w:t>
      </w:r>
      <w:r>
        <w:rPr>
          <w:rtl w:val="true"/>
        </w:rPr>
        <w:t xml:space="preserve">: </w:t>
      </w:r>
      <w:r>
        <w:rPr>
          <w:rtl w:val="true"/>
        </w:rPr>
        <w:t>الإفطار تقلیداً لمن أخبر بدخول اللیل</w:t>
      </w:r>
      <w:r>
        <w:rPr>
          <w:rtl w:val="true"/>
        </w:rPr>
        <w:t>]</w:t>
      </w:r>
      <w:bookmarkEnd w:id="2756"/>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الإفطار تقلیداً لمن أخبر بدخول اللیل و لم یدخل إذا کان المخبر ممّن جاز التعویل علیٰ إخباره، کما إذا أخبره عدلان بل عدل واحد، و إلّا فالأقویٰ وجوب الکفّارة أیضاً</w:t>
      </w:r>
      <w:r>
        <w:rPr>
          <w:rFonts w:eastAsia="IRNazanin" w:cs="IRNazanin"/>
          <w:color w:val="111111"/>
          <w:sz w:val="28"/>
          <w:szCs w:val="28"/>
          <w:rtl w:val="true"/>
          <w:lang w:bidi="fa-IR"/>
        </w:rPr>
        <w:t>.</w:t>
      </w:r>
    </w:p>
    <w:p>
      <w:pPr>
        <w:pStyle w:val="Heading5"/>
        <w:numPr>
          <w:ilvl w:val="4"/>
          <w:numId w:val="1"/>
        </w:numPr>
        <w:rPr/>
      </w:pPr>
      <w:bookmarkStart w:id="2757" w:name="__RefHeading___Toc2567502_3650668749"/>
      <w:bookmarkStart w:id="2758" w:name="_Toc1260"/>
      <w:bookmarkEnd w:id="2757"/>
      <w:r>
        <w:rPr>
          <w:rtl w:val="true"/>
        </w:rPr>
        <w:t>[</w:t>
      </w:r>
      <w:r>
        <w:rPr>
          <w:rtl w:val="true"/>
        </w:rPr>
        <w:t>الثامن</w:t>
      </w:r>
      <w:r>
        <w:rPr>
          <w:rtl w:val="true"/>
        </w:rPr>
        <w:t xml:space="preserve">: </w:t>
      </w:r>
      <w:r>
        <w:rPr>
          <w:rtl w:val="true"/>
        </w:rPr>
        <w:t>الإفطار لظلمة قطع بدخول اللیل منها و لم یدخل</w:t>
      </w:r>
      <w:r>
        <w:rPr>
          <w:rtl w:val="true"/>
        </w:rPr>
        <w:t>]</w:t>
      </w:r>
      <w:bookmarkEnd w:id="2758"/>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الإفطار لظلمة قطع بدخول اللیل منها و لم یدخل، مع عدم وجود علّة فی السماء، و أمّا لو کانت فی السماء علّة فظنّ دخول اللیل فأفطر ثمّ بان له الخطأ لا یجب القضاء</w:t>
      </w:r>
      <w:r>
        <w:rPr>
          <w:rFonts w:eastAsia="IRNazanin" w:cs="IRNazanin"/>
          <w:color w:val="111111"/>
          <w:sz w:val="28"/>
          <w:szCs w:val="28"/>
          <w:rtl w:val="true"/>
          <w:lang w:bidi="fa-IR"/>
        </w:rPr>
        <w:t>.</w:t>
      </w:r>
    </w:p>
    <w:p>
      <w:pPr>
        <w:pStyle w:val="Heading5"/>
        <w:numPr>
          <w:ilvl w:val="4"/>
          <w:numId w:val="1"/>
        </w:numPr>
        <w:rPr/>
      </w:pPr>
      <w:bookmarkStart w:id="2759" w:name="__RefHeading___Toc2567504_3650668749"/>
      <w:bookmarkStart w:id="2760" w:name="_Toc1261"/>
      <w:bookmarkEnd w:id="2759"/>
      <w:r>
        <w:rPr>
          <w:rtl w:val="true"/>
        </w:rPr>
        <w:t>[</w:t>
      </w:r>
      <w:r>
        <w:rPr>
          <w:rtl w:val="true"/>
        </w:rPr>
        <w:t>التاسع</w:t>
      </w:r>
      <w:r>
        <w:rPr>
          <w:rtl w:val="true"/>
        </w:rPr>
        <w:t xml:space="preserve">: </w:t>
      </w:r>
      <w:r>
        <w:rPr>
          <w:rtl w:val="true"/>
        </w:rPr>
        <w:t>إدخال الماء فی الفم للتبرّد بمضمضة أو غیرها فسبقه و دخل الحلق</w:t>
      </w:r>
      <w:r>
        <w:rPr>
          <w:rtl w:val="true"/>
        </w:rPr>
        <w:t>]</w:t>
      </w:r>
      <w:bookmarkEnd w:id="276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الماء فی الفم للتبرّد بمضمضة أو غیرها فسبقه و دخل الحلق، و کذا لو أدخله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نسی فابتلعه فلا قضاء علیه، و کذا لو تمضمض لوضوء الصلاة فسبقه الماء فلا یجب علیه القضاء، و الأحوط </w:t>
      </w:r>
      <w:r>
        <w:rPr>
          <w:rStyle w:val="FootnoteAnchor"/>
          <w:rtl w:val="true"/>
        </w:rPr>
        <w:footnoteReference w:id="801"/>
      </w:r>
      <w:r>
        <w:rPr>
          <w:rFonts w:ascii="IRNazanin" w:hAnsi="IRNazanin" w:eastAsia="IRNazanin"/>
          <w:color w:val="111111"/>
          <w:sz w:val="28"/>
          <w:sz w:val="28"/>
          <w:szCs w:val="28"/>
          <w:rtl w:val="true"/>
          <w:lang w:bidi="fa-IR"/>
        </w:rPr>
        <w:t>الاقتصار علیٰ ما کان الوضوء لصلاة الفریضة</w:t>
      </w:r>
      <w:r>
        <w:rPr>
          <w:rFonts w:eastAsia="IRNazanin" w:cs="IRNazanin"/>
          <w:color w:val="111111"/>
          <w:sz w:val="28"/>
          <w:szCs w:val="28"/>
          <w:rtl w:val="true"/>
          <w:lang w:bidi="fa-IR"/>
        </w:rPr>
        <w:t>.</w:t>
      </w:r>
      <w:bookmarkStart w:id="2761" w:name="pg1809_19177"/>
    </w:p>
    <w:p>
      <w:pPr>
        <w:pStyle w:val="Heading3"/>
        <w:numPr>
          <w:ilvl w:val="2"/>
          <w:numId w:val="1"/>
        </w:numPr>
        <w:rPr/>
      </w:pPr>
      <w:bookmarkStart w:id="2762" w:name="__RefHeading___Toc2567506_3650668749"/>
      <w:bookmarkStart w:id="2763" w:name="_Toc1262"/>
      <w:bookmarkEnd w:id="2761"/>
      <w:bookmarkEnd w:id="2762"/>
      <w:r>
        <w:rPr>
          <w:rtl w:val="true"/>
        </w:rPr>
        <w:t>[</w:t>
      </w:r>
      <w:r>
        <w:rPr>
          <w:rtl w:val="true"/>
        </w:rPr>
        <w:t>القول فی شرائط صحّة الصوم و وجوبه</w:t>
      </w:r>
      <w:r>
        <w:rPr>
          <w:rtl w:val="true"/>
        </w:rPr>
        <w:t>]</w:t>
      </w:r>
      <w:bookmarkEnd w:id="2763"/>
    </w:p>
    <w:p>
      <w:pPr>
        <w:pStyle w:val="Heading4"/>
        <w:numPr>
          <w:ilvl w:val="3"/>
          <w:numId w:val="1"/>
        </w:numPr>
        <w:rPr/>
      </w:pPr>
      <w:bookmarkStart w:id="2764" w:name="__RefHeading___Toc2567508_3650668749"/>
      <w:bookmarkStart w:id="2765" w:name="_Toc1263"/>
      <w:bookmarkEnd w:id="2764"/>
      <w:r>
        <w:rPr>
          <w:rtl w:val="true"/>
        </w:rPr>
        <w:t>اشارة</w:t>
      </w:r>
      <w:bookmarkEnd w:id="2765"/>
    </w:p>
    <w:p>
      <w:pPr>
        <w:pStyle w:val="BookText"/>
        <w:rPr/>
      </w:pPr>
      <w:r>
        <w:rPr>
          <w:rFonts w:ascii="IRNazanin" w:hAnsi="IRNazanin" w:eastAsia="IRNazanin"/>
          <w:color w:val="111111"/>
          <w:sz w:val="28"/>
          <w:sz w:val="28"/>
          <w:szCs w:val="28"/>
          <w:rtl w:val="true"/>
          <w:lang w:bidi="fa-IR"/>
        </w:rPr>
        <w:t>القول فی شرائط صحّة الصوم و وجوبه</w:t>
      </w:r>
    </w:p>
    <w:p>
      <w:pPr>
        <w:pStyle w:val="Heading4"/>
        <w:numPr>
          <w:ilvl w:val="3"/>
          <w:numId w:val="1"/>
        </w:numPr>
        <w:rPr/>
      </w:pPr>
      <w:bookmarkStart w:id="2766" w:name="__RefHeading___Toc2567510_3650668749"/>
      <w:bookmarkStart w:id="2767" w:name="_Toc1264"/>
      <w:bookmarkEnd w:id="2766"/>
      <w:r>
        <w:rPr>
          <w:rtl w:val="true"/>
        </w:rPr>
        <w:t>[ (</w:t>
      </w:r>
      <w:r>
        <w:rPr>
          <w:rtl w:val="true"/>
        </w:rPr>
        <w:t xml:space="preserve">مسألة </w:t>
      </w:r>
      <w:r>
        <w:rPr/>
        <w:t>1</w:t>
      </w:r>
      <w:r>
        <w:rPr>
          <w:rtl w:val="true"/>
        </w:rPr>
        <w:t xml:space="preserve">): </w:t>
      </w:r>
      <w:r>
        <w:rPr>
          <w:rtl w:val="true"/>
        </w:rPr>
        <w:t>شرائط صحّة الصوم أُمور</w:t>
      </w:r>
      <w:r>
        <w:rPr>
          <w:rtl w:val="true"/>
        </w:rPr>
        <w:t xml:space="preserve">: </w:t>
      </w:r>
      <w:r>
        <w:rPr>
          <w:rtl w:val="true"/>
        </w:rPr>
        <w:t>الإسلام، و الإیمان، و العقل، و الخلوّ من الحیض و النفاس</w:t>
      </w:r>
      <w:r>
        <w:rPr>
          <w:rtl w:val="true"/>
        </w:rPr>
        <w:t>]</w:t>
      </w:r>
      <w:bookmarkEnd w:id="2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صحّة الصوم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 الإیمان، و العقل، و الخلوّ من الحیض و النفاس، فلا یصحّ من غیر المؤمن و لو فی جزء من النهار، فلو ارتدّ فی الأثناء ثمّ عاد لم یصحّ و إن کان الصوم معیّناً و جدّد النیّة قبل الزوال، و کذا من المجنون و لو أدواراً مستغرقاً للنهار أو بعضه، و کذا السکران و المغمیٰ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الصحّة مع سبق النیّة منهما لا یخلو من قوّة </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من النائم إذا سبقت منه النیّة فی اللیل و إن استوعب تمام النهار، و کذا لا یصحّ الصوم من الحائض و النفساء و إن فاجأهما الدم قبل الغروب بلحظة أو انقطع عنهما بعد الفجر بلحظة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شرائط صحّة الصوم عدم المرض أو الرمد الذی یضرّه الصوم لإیجابه شدّته أو طول برئه أو شدّة ألمه؛ سواء حصل الیقین بذلک أو الظنّ أو الاحتمال الموجب للخوف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یلحق به الخوف </w:t>
      </w:r>
      <w:r>
        <w:rPr>
          <w:rStyle w:val="FootnoteAnchor"/>
          <w:rtl w:val="true"/>
        </w:rPr>
        <w:footnoteReference w:id="803"/>
      </w:r>
      <w:r>
        <w:rPr>
          <w:rFonts w:ascii="IRNazanin" w:hAnsi="IRNazanin" w:eastAsia="IRNazanin"/>
          <w:color w:val="111111"/>
          <w:sz w:val="28"/>
          <w:sz w:val="28"/>
          <w:szCs w:val="28"/>
          <w:rtl w:val="true"/>
          <w:lang w:bidi="fa-IR"/>
        </w:rPr>
        <w:t>من حدوث المرض و الضرر بسببه فإنّه لا یصحّ معه الصوم و یجوز بل یجب علیه الإفطار، و لا یکفی الضعف و إن کان مفرطاً، نعم لو کان ممّا لا یتحمّل عادة جاز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صام بزعم عدم الضرر فبان الخلاف بعد الفراغ من الصوم ففی الصحّة إشکال </w:t>
      </w:r>
      <w:r>
        <w:rPr>
          <w:rStyle w:val="FootnoteAnchor"/>
          <w:rtl w:val="true"/>
        </w:rPr>
        <w:footnoteReference w:id="804"/>
      </w:r>
      <w:r>
        <w:rPr>
          <w:rFonts w:ascii="IRNazanin" w:hAnsi="IRNazanin" w:eastAsia="IRNazanin"/>
          <w:color w:val="111111"/>
          <w:sz w:val="28"/>
          <w:sz w:val="28"/>
          <w:szCs w:val="28"/>
          <w:rtl w:val="true"/>
          <w:lang w:bidi="fa-IR"/>
        </w:rPr>
        <w:t>، فلا یترک الاحتیاط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شرائط الصحّة أن لا یکون مسافراً سفراً یوجب قصر الصلاة فإنّه لا یصحّ منه الصوم حتّی المندوب علی الأقویٰ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استثنی فی الصوم الواجب ثلاثة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ثلاثة أیّام بدل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بدل البدنة ممّن أفاض من عرفات قبل الغروب عامداً، و هو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النذر المشترط إیقاعه فی خصوص السفر أو المصرّح بأن یوقع سفراً و حضراً دون النذر المطلق</w:t>
      </w:r>
      <w:r>
        <w:rPr>
          <w:rFonts w:eastAsia="IRNazanin" w:cs="IRNazanin"/>
          <w:color w:val="111111"/>
          <w:sz w:val="28"/>
          <w:szCs w:val="28"/>
          <w:rtl w:val="true"/>
          <w:lang w:bidi="fa-IR"/>
        </w:rPr>
        <w:t>.</w:t>
      </w:r>
      <w:bookmarkStart w:id="2768" w:name="pg1809_19179"/>
    </w:p>
    <w:p>
      <w:pPr>
        <w:pStyle w:val="BookText"/>
        <w:rPr/>
      </w:pPr>
      <w:bookmarkEnd w:id="2768"/>
      <w:r>
        <w:rPr>
          <w:rFonts w:ascii="IRNazanin" w:hAnsi="IRNazanin" w:eastAsia="IRNazanin"/>
          <w:color w:val="111111"/>
          <w:sz w:val="28"/>
          <w:sz w:val="28"/>
          <w:szCs w:val="28"/>
          <w:rtl w:val="true"/>
          <w:lang w:bidi="fa-IR"/>
        </w:rPr>
        <w:t xml:space="preserve">صوم واجب من قضاء أو کفّارة أو غیرها؛ و إن کان تعمیم الحکم إلیٰ غیر القضاء محلّ إشکال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9" w:name="__RefHeading___Toc2567512_3650668749"/>
      <w:bookmarkStart w:id="2770" w:name="_Toc1265"/>
      <w:bookmarkEnd w:id="2769"/>
      <w:r>
        <w:rPr>
          <w:rtl w:val="true"/>
        </w:rPr>
        <w:t>[ (</w:t>
      </w:r>
      <w:r>
        <w:rPr>
          <w:rtl w:val="true"/>
        </w:rPr>
        <w:t xml:space="preserve">مسألة </w:t>
      </w:r>
      <w:r>
        <w:rPr/>
        <w:t>3</w:t>
      </w:r>
      <w:r>
        <w:rPr>
          <w:rtl w:val="true"/>
        </w:rPr>
        <w:t xml:space="preserve">): </w:t>
      </w:r>
      <w:r>
        <w:rPr>
          <w:rtl w:val="true"/>
        </w:rPr>
        <w:t>کلّ ما ذکرنا من أنّه شرط للصحّة شرط للوجوب أیضاً غیر الإسلام و الإیمان</w:t>
      </w:r>
      <w:r>
        <w:rPr>
          <w:rtl w:val="true"/>
        </w:rPr>
        <w:t>]</w:t>
      </w:r>
      <w:bookmarkEnd w:id="27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ذکرنا من أنّه شرط للصحّة شرط للوجوب أیضاً غیر الإسلام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شرائط الوجوب أیضاً البلوغ فلا یجب علی الصبیّ إلّا إذا کمل قبل الفجر أو نوی </w:t>
      </w:r>
      <w:r>
        <w:rPr>
          <w:rStyle w:val="FootnoteAnchor"/>
          <w:rtl w:val="true"/>
        </w:rPr>
        <w:footnoteReference w:id="806"/>
      </w:r>
      <w:r>
        <w:rPr>
          <w:rFonts w:ascii="IRNazanin" w:hAnsi="IRNazanin" w:eastAsia="IRNazanin"/>
          <w:color w:val="111111"/>
          <w:sz w:val="28"/>
          <w:sz w:val="28"/>
          <w:szCs w:val="28"/>
          <w:rtl w:val="true"/>
          <w:lang w:bidi="fa-IR"/>
        </w:rPr>
        <w:t>الصوم تطوّعاً و کمل فی أثناء النهار، بل فیما إذا کمل قبل الزوال و لم یتناول شیئاً لا یبعد وجوب الصوم علیه و تجدید النیّة</w:t>
      </w:r>
      <w:r>
        <w:rPr>
          <w:rFonts w:eastAsia="IRNazanin" w:cs="IRNazanin"/>
          <w:color w:val="111111"/>
          <w:sz w:val="28"/>
          <w:szCs w:val="28"/>
          <w:rtl w:val="true"/>
          <w:lang w:bidi="fa-IR"/>
        </w:rPr>
        <w:t>.</w:t>
      </w:r>
    </w:p>
    <w:p>
      <w:pPr>
        <w:pStyle w:val="Heading4"/>
        <w:numPr>
          <w:ilvl w:val="3"/>
          <w:numId w:val="1"/>
        </w:numPr>
        <w:rPr/>
      </w:pPr>
      <w:bookmarkStart w:id="2771" w:name="__RefHeading___Toc2567514_3650668749"/>
      <w:bookmarkStart w:id="2772" w:name="_Toc1266"/>
      <w:bookmarkEnd w:id="2771"/>
      <w:r>
        <w:rPr>
          <w:rtl w:val="true"/>
        </w:rPr>
        <w:t>[ (</w:t>
      </w:r>
      <w:r>
        <w:rPr>
          <w:rtl w:val="true"/>
        </w:rPr>
        <w:t xml:space="preserve">مسألة </w:t>
      </w:r>
      <w:r>
        <w:rPr/>
        <w:t>4</w:t>
      </w:r>
      <w:r>
        <w:rPr>
          <w:rtl w:val="true"/>
        </w:rPr>
        <w:t xml:space="preserve">): </w:t>
      </w:r>
      <w:r>
        <w:rPr>
          <w:rtl w:val="true"/>
        </w:rPr>
        <w:t>إذا کان حاضراً فخرج إلی السفر فإن کان قبل الزوال وجب علیه الإفطار</w:t>
      </w:r>
      <w:r>
        <w:rPr>
          <w:rtl w:val="true"/>
        </w:rPr>
        <w:t>]</w:t>
      </w:r>
      <w:bookmarkEnd w:id="27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حاضراً فخرج إلی السفر فإن کان قبل الزوال وجب علیه الإفطار و إن کان بعده وجب علیه البقاء علیٰ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مسافراً و حضر بلده أو بلداً عزم علی الإقامة فیه عشرة أیّام فإن کان قبل الزوال و لم یتناول المفطر وجب علیه الصوم، و إن کان بعده أو قبله لکن تناول المفطر فلا یجب علیه</w:t>
      </w:r>
      <w:r>
        <w:rPr>
          <w:rFonts w:eastAsia="IRNazanin" w:cs="IRNazanin"/>
          <w:color w:val="111111"/>
          <w:sz w:val="28"/>
          <w:szCs w:val="28"/>
          <w:rtl w:val="true"/>
          <w:lang w:bidi="fa-IR"/>
        </w:rPr>
        <w:t>.</w:t>
      </w:r>
    </w:p>
    <w:p>
      <w:pPr>
        <w:pStyle w:val="Heading4"/>
        <w:numPr>
          <w:ilvl w:val="3"/>
          <w:numId w:val="1"/>
        </w:numPr>
        <w:rPr/>
      </w:pPr>
      <w:bookmarkStart w:id="2773" w:name="__RefHeading___Toc2567516_3650668749"/>
      <w:bookmarkStart w:id="2774" w:name="_Toc1267"/>
      <w:bookmarkEnd w:id="2773"/>
      <w:r>
        <w:rPr>
          <w:rtl w:val="true"/>
        </w:rPr>
        <w:t>[ (</w:t>
      </w:r>
      <w:r>
        <w:rPr>
          <w:rtl w:val="true"/>
        </w:rPr>
        <w:t xml:space="preserve">مسألة </w:t>
      </w:r>
      <w:r>
        <w:rPr/>
        <w:t>5</w:t>
      </w:r>
      <w:r>
        <w:rPr>
          <w:rtl w:val="true"/>
        </w:rPr>
        <w:t xml:space="preserve">): </w:t>
      </w:r>
      <w:r>
        <w:rPr>
          <w:rtl w:val="true"/>
        </w:rPr>
        <w:t>المسافر الجاهل بالحکم لو صام صحّ صومه</w:t>
      </w:r>
      <w:r>
        <w:rPr>
          <w:rtl w:val="true"/>
        </w:rPr>
        <w:t>]</w:t>
      </w:r>
      <w:bookmarkEnd w:id="27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المسافر الجاهل بالحکم لو صام صحّ صومه و یجزیه علیٰ حسب ما عرفته فی جاهل حکم الصلاة؛ إذ القصر کالإفطار و الصیام کالتمام فیجری هنا حینئذٍ جمیع ما ذکرناه </w:t>
      </w:r>
      <w:r>
        <w:rPr>
          <w:rStyle w:val="FootnoteAnchor"/>
          <w:rtl w:val="true"/>
        </w:rPr>
        <w:footnoteReference w:id="807"/>
      </w:r>
      <w:r>
        <w:rPr>
          <w:rFonts w:ascii="IRNazanin" w:hAnsi="IRNazanin" w:eastAsia="IRNazanin"/>
          <w:color w:val="111111"/>
          <w:sz w:val="28"/>
          <w:sz w:val="28"/>
          <w:szCs w:val="28"/>
          <w:rtl w:val="true"/>
          <w:lang w:bidi="fa-IR"/>
        </w:rPr>
        <w:t>بالنسبة إلی الصلاة، فمن کان یجب علیه التمام کالمکاری و العاصی بسفره و المقیم و المتردّد ثلاثین یوماً و غیر ذلک یجب علیه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یتعیّن علیه الإفطار فی الأماکن الأربعة و إن جاز له الإتمام، کما أنّه یتعیّن علیه البقاء علی الصوم لو خرج بعد الزوال و إن وجب علیه القصر، و یتعیّن علیه الإفطار لو قدم بعده و إن وجب علیه التمام إذا لم یکن قد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المدار فی قصر الصلاة علیٰ وصول المسافر حدّ الترخّص فکذا هو المدار فی قصر الصوم، فلیس له الإفطار قبل الوصول إلیه بل لو فعل کانت علیه مع القضاء الکفّارة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5" w:name="__RefHeading___Toc2567518_3650668749"/>
      <w:bookmarkStart w:id="2776" w:name="_Toc1268"/>
      <w:bookmarkEnd w:id="2775"/>
      <w:r>
        <w:rPr>
          <w:rtl w:val="true"/>
        </w:rPr>
        <w:t>[ (</w:t>
      </w:r>
      <w:r>
        <w:rPr>
          <w:rtl w:val="true"/>
        </w:rPr>
        <w:t xml:space="preserve">مسألة </w:t>
      </w:r>
      <w:r>
        <w:rPr/>
        <w:t>6</w:t>
      </w:r>
      <w:r>
        <w:rPr>
          <w:rtl w:val="true"/>
        </w:rPr>
        <w:t xml:space="preserve">): </w:t>
      </w:r>
      <w:r>
        <w:rPr>
          <w:rtl w:val="true"/>
        </w:rPr>
        <w:t>یجوز علی الأصحّ السفر اختیاراً فی شهر رمضان</w:t>
      </w:r>
      <w:r>
        <w:rPr>
          <w:rtl w:val="true"/>
        </w:rPr>
        <w:t>]</w:t>
      </w:r>
      <w:bookmarkEnd w:id="277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علی الأصحّ السفر اختیاراً فی شهر رمضان و لو کان للفرار من الصوم، لکن علیٰ کراهیة قبل أن یمضی منه ثلاثة و عشرون یوماً، إلّا فی حجّ أو عمرة أو</w:t>
      </w:r>
      <w:bookmarkStart w:id="2777" w:name="pg1809_19181"/>
    </w:p>
    <w:p>
      <w:pPr>
        <w:pStyle w:val="BookText"/>
        <w:rPr/>
      </w:pPr>
      <w:bookmarkEnd w:id="2777"/>
      <w:r>
        <w:rPr>
          <w:rFonts w:ascii="IRNazanin" w:hAnsi="IRNazanin" w:eastAsia="IRNazanin"/>
          <w:color w:val="111111"/>
          <w:sz w:val="28"/>
          <w:sz w:val="28"/>
          <w:szCs w:val="28"/>
          <w:rtl w:val="true"/>
          <w:lang w:bidi="fa-IR"/>
        </w:rPr>
        <w:t>مال یخاف تلفه أو أخ یخاف هلاکه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غیر صوم شهر رمضان من الواجب المعیّن فالأحوط ترک </w:t>
      </w:r>
      <w:r>
        <w:rPr>
          <w:rStyle w:val="FootnoteAnchor"/>
          <w:rtl w:val="true"/>
        </w:rPr>
        <w:footnoteReference w:id="809"/>
      </w:r>
      <w:r>
        <w:rPr>
          <w:rFonts w:ascii="IRNazanin" w:hAnsi="IRNazanin" w:eastAsia="IRNazanin"/>
          <w:color w:val="111111"/>
          <w:sz w:val="28"/>
          <w:sz w:val="28"/>
          <w:szCs w:val="28"/>
          <w:rtl w:val="true"/>
          <w:lang w:bidi="fa-IR"/>
        </w:rPr>
        <w:t>السفر مع الاختیار، کما أنّه لو کان مسافراً فالأحوط الإقامة لإتیانه مع الإمکان</w:t>
      </w:r>
      <w:r>
        <w:rPr>
          <w:rFonts w:eastAsia="IRNazanin" w:cs="IRNazanin"/>
          <w:color w:val="111111"/>
          <w:sz w:val="28"/>
          <w:szCs w:val="28"/>
          <w:rtl w:val="true"/>
          <w:lang w:bidi="fa-IR"/>
        </w:rPr>
        <w:t>.</w:t>
      </w:r>
    </w:p>
    <w:p>
      <w:pPr>
        <w:pStyle w:val="Heading4"/>
        <w:numPr>
          <w:ilvl w:val="3"/>
          <w:numId w:val="1"/>
        </w:numPr>
        <w:rPr/>
      </w:pPr>
      <w:bookmarkStart w:id="2778" w:name="__RefHeading___Toc2567520_3650668749"/>
      <w:bookmarkStart w:id="2779" w:name="_Toc1269"/>
      <w:bookmarkEnd w:id="2778"/>
      <w:r>
        <w:rPr>
          <w:rtl w:val="true"/>
        </w:rPr>
        <w:t>[ (</w:t>
      </w:r>
      <w:r>
        <w:rPr>
          <w:rtl w:val="true"/>
        </w:rPr>
        <w:t xml:space="preserve">مسألة </w:t>
      </w:r>
      <w:r>
        <w:rPr/>
        <w:t>7</w:t>
      </w:r>
      <w:r>
        <w:rPr>
          <w:rtl w:val="true"/>
        </w:rPr>
        <w:t xml:space="preserve">): </w:t>
      </w:r>
      <w:r>
        <w:rPr>
          <w:rtl w:val="true"/>
        </w:rPr>
        <w:t>یکره للمسافر فی شهر رمضان بل کلّ من یجوز له الإفطار</w:t>
      </w:r>
      <w:r>
        <w:rPr>
          <w:rtl w:val="true"/>
        </w:rPr>
        <w:t>]</w:t>
      </w:r>
      <w:bookmarkEnd w:id="27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للمسافر فی شهر رمضان بل کلّ من یجوز له الإفطار التملّؤ من الطعام و الشراب و کذا الجماع فی النهار، بل الأحوط ترکه و إن کان الأقویٰ جوازه</w:t>
      </w:r>
      <w:r>
        <w:rPr>
          <w:rFonts w:eastAsia="IRNazanin" w:cs="IRNazanin"/>
          <w:color w:val="111111"/>
          <w:sz w:val="28"/>
          <w:szCs w:val="28"/>
          <w:rtl w:val="true"/>
          <w:lang w:bidi="fa-IR"/>
        </w:rPr>
        <w:t>.</w:t>
      </w:r>
    </w:p>
    <w:p>
      <w:pPr>
        <w:pStyle w:val="Heading4"/>
        <w:numPr>
          <w:ilvl w:val="3"/>
          <w:numId w:val="1"/>
        </w:numPr>
        <w:rPr/>
      </w:pPr>
      <w:bookmarkStart w:id="2780" w:name="__RefHeading___Toc2567522_3650668749"/>
      <w:bookmarkStart w:id="2781" w:name="_Toc1270"/>
      <w:bookmarkEnd w:id="2780"/>
      <w:r>
        <w:rPr>
          <w:rtl w:val="true"/>
        </w:rPr>
        <w:t>[ (</w:t>
      </w:r>
      <w:r>
        <w:rPr>
          <w:rtl w:val="true"/>
        </w:rPr>
        <w:t xml:space="preserve">مسألة </w:t>
      </w:r>
      <w:r>
        <w:rPr/>
        <w:t>8</w:t>
      </w:r>
      <w:r>
        <w:rPr>
          <w:rtl w:val="true"/>
        </w:rPr>
        <w:t xml:space="preserve">): </w:t>
      </w:r>
      <w:r>
        <w:rPr>
          <w:rtl w:val="true"/>
        </w:rPr>
        <w:t>یجوز الإفطار فی شهر رمضان لأشخاص</w:t>
      </w:r>
      <w:r>
        <w:rPr>
          <w:rtl w:val="true"/>
        </w:rPr>
        <w:t xml:space="preserve">: </w:t>
      </w:r>
      <w:r>
        <w:rPr>
          <w:rtl w:val="true"/>
        </w:rPr>
        <w:t>الشیخ و الشیخة إذا تعذّر أو تعسّر علیهما الصوم</w:t>
      </w:r>
      <w:r>
        <w:rPr>
          <w:rtl w:val="true"/>
        </w:rPr>
        <w:t>]</w:t>
      </w:r>
      <w:bookmarkEnd w:id="27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الإفطار فی شهر رمضان 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و الشیخة إذا تعذّر أو تعسّر علیهما الصوم، و من به داء العطش؛ سواء لم یقدر علی الصبر أو تعسّر علیه، و الحامل المقرب التی یضرّ بها أو بولدها الصوم، و المرضعة القلیلة اللبن إذا أضرّ بها أو بولدها الصوم، فإنّ جمیع هذه الأشخاص یفطرون، لکن یجب </w:t>
      </w:r>
      <w:r>
        <w:rPr>
          <w:rStyle w:val="FootnoteAnchor"/>
          <w:rtl w:val="true"/>
        </w:rPr>
        <w:footnoteReference w:id="810"/>
      </w:r>
      <w:r>
        <w:rPr>
          <w:rFonts w:ascii="IRNazanin" w:hAnsi="IRNazanin" w:eastAsia="IRNazanin"/>
          <w:color w:val="111111"/>
          <w:sz w:val="28"/>
          <w:sz w:val="28"/>
          <w:szCs w:val="28"/>
          <w:rtl w:val="true"/>
          <w:lang w:bidi="fa-IR"/>
        </w:rPr>
        <w:t>علیٰ کلّ واحد منهم التکفیر؛ بأن یتصدّق بدل کلّ یوم بمدّ من الطعام و الأحوط مدّان</w:t>
      </w:r>
      <w:r>
        <w:rPr>
          <w:rFonts w:eastAsia="IRNazanin" w:cs="IRNazanin"/>
          <w:color w:val="111111"/>
          <w:sz w:val="28"/>
          <w:szCs w:val="28"/>
          <w:rtl w:val="true"/>
          <w:lang w:bidi="fa-IR"/>
        </w:rPr>
        <w:t>.</w:t>
      </w:r>
    </w:p>
    <w:p>
      <w:pPr>
        <w:pStyle w:val="Heading4"/>
        <w:numPr>
          <w:ilvl w:val="3"/>
          <w:numId w:val="1"/>
        </w:numPr>
        <w:rPr/>
      </w:pPr>
      <w:bookmarkStart w:id="2782" w:name="__RefHeading___Toc2567524_3650668749"/>
      <w:bookmarkStart w:id="2783" w:name="_Toc1271"/>
      <w:bookmarkEnd w:id="2782"/>
      <w:r>
        <w:rPr>
          <w:rtl w:val="true"/>
        </w:rPr>
        <w:t>[ (</w:t>
      </w:r>
      <w:r>
        <w:rPr>
          <w:rtl w:val="true"/>
        </w:rPr>
        <w:t xml:space="preserve">مسألة </w:t>
      </w:r>
      <w:r>
        <w:rPr/>
        <w:t>9</w:t>
      </w:r>
      <w:r>
        <w:rPr>
          <w:rtl w:val="true"/>
        </w:rPr>
        <w:t xml:space="preserve">): </w:t>
      </w:r>
      <w:r>
        <w:rPr>
          <w:rtl w:val="true"/>
        </w:rPr>
        <w:t>لا فرق فی المرضعة بین أن یکون الولد لها أو متبرّعة برضاعه أو مستأجرة</w:t>
      </w:r>
      <w:r>
        <w:rPr>
          <w:rtl w:val="true"/>
        </w:rPr>
        <w:t>]</w:t>
      </w:r>
      <w:bookmarkEnd w:id="27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المرضعة بین أن یکون الولد لها أو متبرّعة برضاعه أو مستأجرة، و الأحوط بل الأقوی </w:t>
      </w:r>
      <w:r>
        <w:rPr>
          <w:rStyle w:val="FootnoteAnchor"/>
          <w:rtl w:val="true"/>
        </w:rPr>
        <w:footnoteReference w:id="811"/>
      </w:r>
      <w:r>
        <w:rPr>
          <w:rFonts w:ascii="IRNazanin" w:hAnsi="IRNazanin" w:eastAsia="IRNazanin"/>
          <w:color w:val="111111"/>
          <w:sz w:val="28"/>
          <w:sz w:val="28"/>
          <w:szCs w:val="28"/>
          <w:rtl w:val="true"/>
          <w:lang w:bidi="fa-IR"/>
        </w:rPr>
        <w:t>الاقتصار علیٰ صورة عدم وجود من یقوم مقامها فی الرضاع تبرّعاً أو بأُجرة من أبیه أو منها أو من متبرّع</w:t>
      </w:r>
      <w:r>
        <w:rPr>
          <w:rFonts w:eastAsia="IRNazanin" w:cs="IRNazanin"/>
          <w:color w:val="111111"/>
          <w:sz w:val="28"/>
          <w:szCs w:val="28"/>
          <w:rtl w:val="true"/>
          <w:lang w:bidi="fa-IR"/>
        </w:rPr>
        <w:t>.</w:t>
      </w:r>
    </w:p>
    <w:p>
      <w:pPr>
        <w:pStyle w:val="Heading4"/>
        <w:numPr>
          <w:ilvl w:val="3"/>
          <w:numId w:val="1"/>
        </w:numPr>
        <w:rPr/>
      </w:pPr>
      <w:bookmarkStart w:id="2784" w:name="__RefHeading___Toc2567526_3650668749"/>
      <w:bookmarkStart w:id="2785" w:name="_Toc1272"/>
      <w:bookmarkEnd w:id="2784"/>
      <w:r>
        <w:rPr>
          <w:rtl w:val="true"/>
        </w:rPr>
        <w:t>[ (</w:t>
      </w:r>
      <w:r>
        <w:rPr>
          <w:rtl w:val="true"/>
        </w:rPr>
        <w:t xml:space="preserve">مسألة </w:t>
      </w:r>
      <w:r>
        <w:rPr/>
        <w:t>10</w:t>
      </w:r>
      <w:r>
        <w:rPr>
          <w:rtl w:val="true"/>
        </w:rPr>
        <w:t xml:space="preserve">): </w:t>
      </w:r>
      <w:r>
        <w:rPr>
          <w:rtl w:val="true"/>
        </w:rPr>
        <w:t>یجب علی الحامل و المرضعة القضاء بعد ذلک</w:t>
      </w:r>
      <w:r>
        <w:rPr>
          <w:rtl w:val="true"/>
        </w:rPr>
        <w:t>]</w:t>
      </w:r>
      <w:bookmarkEnd w:id="27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الحامل و المرضعة القضاء بعد ذلک، کما أنّ الأحوط بل الأقویٰ </w:t>
      </w:r>
      <w:r>
        <w:rPr>
          <w:rStyle w:val="FootnoteAnchor"/>
          <w:rtl w:val="true"/>
        </w:rPr>
        <w:footnoteReference w:id="812"/>
      </w:r>
      <w:r>
        <w:rPr>
          <w:rFonts w:ascii="IRNazanin" w:hAnsi="IRNazanin" w:eastAsia="IRNazanin"/>
          <w:color w:val="111111"/>
          <w:sz w:val="28"/>
          <w:sz w:val="28"/>
          <w:szCs w:val="28"/>
          <w:rtl w:val="true"/>
          <w:lang w:bidi="fa-IR"/>
        </w:rPr>
        <w:t>وجوب القضاء علی الأوّلین أیضاً لو تمکّنا بعد ذلک</w:t>
      </w:r>
      <w:r>
        <w:rPr>
          <w:rFonts w:eastAsia="IRNazanin" w:cs="IRNazanin"/>
          <w:color w:val="111111"/>
          <w:sz w:val="28"/>
          <w:szCs w:val="28"/>
          <w:rtl w:val="true"/>
          <w:lang w:bidi="fa-IR"/>
        </w:rPr>
        <w:t>.</w:t>
      </w:r>
    </w:p>
    <w:p>
      <w:pPr>
        <w:pStyle w:val="Heading3"/>
        <w:numPr>
          <w:ilvl w:val="2"/>
          <w:numId w:val="1"/>
        </w:numPr>
        <w:rPr/>
      </w:pPr>
      <w:bookmarkStart w:id="2786" w:name="__RefHeading___Toc2567528_3650668749"/>
      <w:bookmarkStart w:id="2787" w:name="_Toc1273"/>
      <w:bookmarkEnd w:id="2786"/>
      <w:r>
        <w:rPr>
          <w:rtl w:val="true"/>
        </w:rPr>
        <w:t>[</w:t>
      </w:r>
      <w:r>
        <w:rPr>
          <w:rtl w:val="true"/>
        </w:rPr>
        <w:t>القول فی طریق ثبوت هلال شهر رمضان و شوال</w:t>
      </w:r>
      <w:r>
        <w:rPr>
          <w:rtl w:val="true"/>
        </w:rPr>
        <w:t>]</w:t>
      </w:r>
      <w:bookmarkEnd w:id="2787"/>
    </w:p>
    <w:p>
      <w:pPr>
        <w:pStyle w:val="Heading4"/>
        <w:numPr>
          <w:ilvl w:val="3"/>
          <w:numId w:val="1"/>
        </w:numPr>
        <w:rPr/>
      </w:pPr>
      <w:bookmarkStart w:id="2788" w:name="__RefHeading___Toc2567530_3650668749"/>
      <w:bookmarkStart w:id="2789" w:name="_Toc1274"/>
      <w:bookmarkEnd w:id="2788"/>
      <w:r>
        <w:rPr>
          <w:rtl w:val="true"/>
        </w:rPr>
        <w:t>اشارة</w:t>
      </w:r>
      <w:bookmarkEnd w:id="278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فی طریق ثبوت هلال شهر رمضان و شوال یثبت الهلال بالرؤیة و إن تفرّد بها الرائی، و التواتر و الشیاع المفیدین للعلم، و مضیّ ثلاثین یوماً من الشهر السابق و بالبیّنة الشرعیّة و هی شهادة عدلین، و حکم الحاکم الذی</w:t>
      </w:r>
      <w:bookmarkStart w:id="2790" w:name="pg1809_19183"/>
    </w:p>
    <w:p>
      <w:pPr>
        <w:pStyle w:val="BookText"/>
        <w:rPr/>
      </w:pPr>
      <w:bookmarkEnd w:id="2790"/>
      <w:r>
        <w:rPr>
          <w:rFonts w:ascii="IRNazanin" w:hAnsi="IRNazanin" w:eastAsia="IRNazanin"/>
          <w:color w:val="111111"/>
          <w:sz w:val="28"/>
          <w:sz w:val="28"/>
          <w:szCs w:val="28"/>
          <w:rtl w:val="true"/>
          <w:lang w:bidi="fa-IR"/>
        </w:rPr>
        <w:t>لم یعلم خطؤه و لا خطأ مستنده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اعتبار بقول المنجّمین و لا بتطوّق الهلال أو غیبوبته بعد الشفق فی ثبوت کونه للّیلة السابقة و إن أفاد الظنّ</w:t>
      </w:r>
      <w:r>
        <w:rPr>
          <w:rFonts w:eastAsia="IRNazanin" w:cs="IRNazanin"/>
          <w:color w:val="111111"/>
          <w:sz w:val="28"/>
          <w:szCs w:val="28"/>
          <w:rtl w:val="true"/>
          <w:lang w:bidi="fa-IR"/>
        </w:rPr>
        <w:t>.</w:t>
      </w:r>
    </w:p>
    <w:p>
      <w:pPr>
        <w:pStyle w:val="Heading4"/>
        <w:numPr>
          <w:ilvl w:val="3"/>
          <w:numId w:val="1"/>
        </w:numPr>
        <w:rPr/>
      </w:pPr>
      <w:bookmarkStart w:id="2791" w:name="__RefHeading___Toc2567532_3650668749"/>
      <w:bookmarkStart w:id="2792" w:name="_Toc1275"/>
      <w:bookmarkEnd w:id="2791"/>
      <w:r>
        <w:rPr>
          <w:rtl w:val="true"/>
        </w:rPr>
        <w:t>[ (</w:t>
      </w:r>
      <w:r>
        <w:rPr>
          <w:rtl w:val="true"/>
        </w:rPr>
        <w:t xml:space="preserve">مسألة </w:t>
      </w:r>
      <w:r>
        <w:rPr/>
        <w:t>1</w:t>
      </w:r>
      <w:r>
        <w:rPr>
          <w:rtl w:val="true"/>
        </w:rPr>
        <w:t xml:space="preserve">): </w:t>
      </w:r>
      <w:r>
        <w:rPr>
          <w:rtl w:val="true"/>
        </w:rPr>
        <w:t>لا بدّ فی قبول شهادة البیّنة أن تشهد بالرؤیة</w:t>
      </w:r>
      <w:r>
        <w:rPr>
          <w:rtl w:val="true"/>
        </w:rPr>
        <w:t>]</w:t>
      </w:r>
      <w:bookmarkEnd w:id="27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قبول شهادة البیّنة أن تشهد بالرؤیة، فلا تکفی الشهادة العلمیّة</w:t>
      </w:r>
      <w:r>
        <w:rPr>
          <w:rFonts w:eastAsia="IRNazanin" w:cs="IRNazanin"/>
          <w:color w:val="111111"/>
          <w:sz w:val="28"/>
          <w:szCs w:val="28"/>
          <w:rtl w:val="true"/>
          <w:lang w:bidi="fa-IR"/>
        </w:rPr>
        <w:t>.</w:t>
      </w:r>
    </w:p>
    <w:p>
      <w:pPr>
        <w:pStyle w:val="Heading4"/>
        <w:numPr>
          <w:ilvl w:val="3"/>
          <w:numId w:val="1"/>
        </w:numPr>
        <w:rPr/>
      </w:pPr>
      <w:bookmarkStart w:id="2793" w:name="__RefHeading___Toc2567534_3650668749"/>
      <w:bookmarkStart w:id="2794" w:name="_Toc1276"/>
      <w:bookmarkEnd w:id="2793"/>
      <w:r>
        <w:rPr>
          <w:rtl w:val="true"/>
        </w:rPr>
        <w:t>[ (</w:t>
      </w:r>
      <w:r>
        <w:rPr>
          <w:rtl w:val="true"/>
        </w:rPr>
        <w:t xml:space="preserve">مسألة </w:t>
      </w:r>
      <w:r>
        <w:rPr/>
        <w:t>2</w:t>
      </w:r>
      <w:r>
        <w:rPr>
          <w:rtl w:val="true"/>
        </w:rPr>
        <w:t xml:space="preserve">): </w:t>
      </w:r>
      <w:r>
        <w:rPr>
          <w:rtl w:val="true"/>
        </w:rPr>
        <w:t>لا یعتبر فی حجّیة البیّنة قیامها عند الحاکم الشرعیّ</w:t>
      </w:r>
      <w:r>
        <w:rPr>
          <w:rtl w:val="true"/>
        </w:rPr>
        <w:t>]</w:t>
      </w:r>
      <w:bookmarkEnd w:id="27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حجّیة البیّنة قیامها عند الحاکم الشرعیّ، فهی حجّة لکلّ من قامت عنده، بل لو قامت عند الحاکم و ردّ شهادتها من جهة عدم ثبوت عدالة الشاهد عنده و کانا عادلین عند غیره یجب ترتیب الأثر علیها من الصوم أو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یعتبر اتّحادهما فی زمان الرؤیة بعد توافقهما علی الرؤیة فی اللیل، نعم یعتبر توافقهما فی الأوصاف </w:t>
      </w:r>
      <w:r>
        <w:rPr>
          <w:rStyle w:val="FootnoteAnchor"/>
          <w:rtl w:val="true"/>
        </w:rPr>
        <w:footnoteReference w:id="813"/>
      </w:r>
      <w:r>
        <w:rPr>
          <w:rFonts w:ascii="IRNazanin" w:hAnsi="IRNazanin" w:eastAsia="IRNazanin"/>
          <w:color w:val="111111"/>
          <w:sz w:val="28"/>
          <w:sz w:val="28"/>
          <w:szCs w:val="28"/>
          <w:rtl w:val="true"/>
          <w:lang w:bidi="fa-IR"/>
        </w:rPr>
        <w:t>بمعنی أنّه إن تصدّیا للوصف لم یتخالفا فیه، فلو أطلقا أو وصف أحدهما و أطلق الآخر کفیٰ</w:t>
      </w:r>
      <w:r>
        <w:rPr>
          <w:rFonts w:eastAsia="IRNazanin" w:cs="IRNazanin"/>
          <w:color w:val="111111"/>
          <w:sz w:val="28"/>
          <w:szCs w:val="28"/>
          <w:rtl w:val="true"/>
          <w:lang w:bidi="fa-IR"/>
        </w:rPr>
        <w:t>.</w:t>
      </w:r>
    </w:p>
    <w:p>
      <w:pPr>
        <w:pStyle w:val="Heading4"/>
        <w:numPr>
          <w:ilvl w:val="3"/>
          <w:numId w:val="1"/>
        </w:numPr>
        <w:rPr/>
      </w:pPr>
      <w:bookmarkStart w:id="2795" w:name="__RefHeading___Toc2567536_3650668749"/>
      <w:bookmarkStart w:id="2796" w:name="_Toc1277"/>
      <w:bookmarkEnd w:id="2795"/>
      <w:r>
        <w:rPr>
          <w:rtl w:val="true"/>
        </w:rPr>
        <w:t>[ (</w:t>
      </w:r>
      <w:r>
        <w:rPr>
          <w:rtl w:val="true"/>
        </w:rPr>
        <w:t xml:space="preserve">مسألة </w:t>
      </w:r>
      <w:r>
        <w:rPr/>
        <w:t>3</w:t>
      </w:r>
      <w:r>
        <w:rPr>
          <w:rtl w:val="true"/>
        </w:rPr>
        <w:t xml:space="preserve">): </w:t>
      </w:r>
      <w:r>
        <w:rPr>
          <w:rtl w:val="true"/>
        </w:rPr>
        <w:t>لا اعتبار فی ثبوت الهلال بشهادة أربع من النساء</w:t>
      </w:r>
      <w:r>
        <w:rPr>
          <w:rtl w:val="true"/>
        </w:rPr>
        <w:t>]</w:t>
      </w:r>
      <w:bookmarkEnd w:id="27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فی ثبوت الهلال بشهادة أربع من النساء و لا برجل و امرأتین و لا بشاهد واحد مع ضمّ الیمین</w:t>
      </w:r>
      <w:r>
        <w:rPr>
          <w:rFonts w:eastAsia="IRNazanin" w:cs="IRNazanin"/>
          <w:color w:val="111111"/>
          <w:sz w:val="28"/>
          <w:szCs w:val="28"/>
          <w:rtl w:val="true"/>
          <w:lang w:bidi="fa-IR"/>
        </w:rPr>
        <w:t>.</w:t>
      </w:r>
    </w:p>
    <w:p>
      <w:pPr>
        <w:pStyle w:val="Heading4"/>
        <w:numPr>
          <w:ilvl w:val="3"/>
          <w:numId w:val="1"/>
        </w:numPr>
        <w:rPr/>
      </w:pPr>
      <w:bookmarkStart w:id="2797" w:name="__RefHeading___Toc2567538_3650668749"/>
      <w:bookmarkStart w:id="2798" w:name="_Toc1278"/>
      <w:bookmarkEnd w:id="2797"/>
      <w:r>
        <w:rPr>
          <w:rtl w:val="true"/>
        </w:rPr>
        <w:t>[ (</w:t>
      </w:r>
      <w:r>
        <w:rPr>
          <w:rtl w:val="true"/>
        </w:rPr>
        <w:t xml:space="preserve">مسألة </w:t>
      </w:r>
      <w:r>
        <w:rPr/>
        <w:t>4</w:t>
      </w:r>
      <w:r>
        <w:rPr>
          <w:rtl w:val="true"/>
        </w:rPr>
        <w:t xml:space="preserve">): </w:t>
      </w:r>
      <w:r>
        <w:rPr>
          <w:rtl w:val="true"/>
        </w:rPr>
        <w:t>لا فرق أن تکون البیّنة من البلد أو خارجه إذا کان فی السماء علّة</w:t>
      </w:r>
      <w:r>
        <w:rPr>
          <w:rtl w:val="true"/>
        </w:rPr>
        <w:t>]</w:t>
      </w:r>
      <w:bookmarkEnd w:id="27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أن تکون البیّنة من البلد أو خارجه إذا کان فی السماء علّة، و أمّا مع الصحو ففی حجّیتها من البلد تأمّل </w:t>
      </w:r>
      <w:r>
        <w:rPr>
          <w:rStyle w:val="FootnoteAnchor"/>
          <w:rtl w:val="true"/>
        </w:rPr>
        <w:footnoteReference w:id="814"/>
      </w:r>
      <w:r>
        <w:rPr>
          <w:rFonts w:ascii="IRNazanin" w:hAnsi="IRNazanin" w:eastAsia="IRNazanin"/>
          <w:color w:val="111111"/>
          <w:sz w:val="28"/>
          <w:sz w:val="28"/>
          <w:szCs w:val="28"/>
          <w:rtl w:val="true"/>
          <w:lang w:bidi="fa-IR"/>
        </w:rPr>
        <w:t>و إشکال</w:t>
      </w:r>
      <w:r>
        <w:rPr>
          <w:rFonts w:eastAsia="IRNazanin" w:cs="IRNazanin"/>
          <w:color w:val="111111"/>
          <w:sz w:val="28"/>
          <w:szCs w:val="28"/>
          <w:rtl w:val="true"/>
          <w:lang w:bidi="fa-IR"/>
        </w:rPr>
        <w:t>.</w:t>
      </w:r>
    </w:p>
    <w:p>
      <w:pPr>
        <w:pStyle w:val="Heading4"/>
        <w:numPr>
          <w:ilvl w:val="3"/>
          <w:numId w:val="1"/>
        </w:numPr>
        <w:rPr/>
      </w:pPr>
      <w:bookmarkStart w:id="2799" w:name="__RefHeading___Toc2567540_3650668749"/>
      <w:bookmarkStart w:id="2800" w:name="_Toc1279"/>
      <w:bookmarkEnd w:id="2799"/>
      <w:r>
        <w:rPr>
          <w:rtl w:val="true"/>
        </w:rPr>
        <w:t>[ (</w:t>
      </w:r>
      <w:r>
        <w:rPr>
          <w:rtl w:val="true"/>
        </w:rPr>
        <w:t xml:space="preserve">مسألة </w:t>
      </w:r>
      <w:r>
        <w:rPr/>
        <w:t>5</w:t>
      </w:r>
      <w:r>
        <w:rPr>
          <w:rtl w:val="true"/>
        </w:rPr>
        <w:t xml:space="preserve">): </w:t>
      </w:r>
      <w:r>
        <w:rPr>
          <w:rtl w:val="true"/>
        </w:rPr>
        <w:t>لا یختصّ حجّیة حکم الحاکم بمقلّدیه</w:t>
      </w:r>
      <w:r>
        <w:rPr>
          <w:rtl w:val="true"/>
        </w:rPr>
        <w:t>]</w:t>
      </w:r>
      <w:bookmarkEnd w:id="28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حجّیة حکم الحاکم بمقلّدیه، بل حجّة حتّی علیٰ حاکم آخر إذا لم یثبت عنده خلافه أو خطأ مستنده</w:t>
      </w:r>
      <w:r>
        <w:rPr>
          <w:rFonts w:eastAsia="IRNazanin" w:cs="IRNazanin"/>
          <w:color w:val="111111"/>
          <w:sz w:val="28"/>
          <w:szCs w:val="28"/>
          <w:rtl w:val="true"/>
          <w:lang w:bidi="fa-IR"/>
        </w:rPr>
        <w:t>.</w:t>
      </w:r>
    </w:p>
    <w:p>
      <w:pPr>
        <w:pStyle w:val="Heading4"/>
        <w:numPr>
          <w:ilvl w:val="3"/>
          <w:numId w:val="1"/>
        </w:numPr>
        <w:rPr/>
      </w:pPr>
      <w:bookmarkStart w:id="2801" w:name="__RefHeading___Toc2567542_3650668749"/>
      <w:bookmarkStart w:id="2802" w:name="_Toc1280"/>
      <w:bookmarkEnd w:id="2801"/>
      <w:r>
        <w:rPr>
          <w:rtl w:val="true"/>
        </w:rPr>
        <w:t>[ (</w:t>
      </w:r>
      <w:r>
        <w:rPr>
          <w:rtl w:val="true"/>
        </w:rPr>
        <w:t xml:space="preserve">مسألة </w:t>
      </w:r>
      <w:r>
        <w:rPr/>
        <w:t>6</w:t>
      </w:r>
      <w:r>
        <w:rPr>
          <w:rtl w:val="true"/>
        </w:rPr>
        <w:t xml:space="preserve">): </w:t>
      </w:r>
      <w:r>
        <w:rPr>
          <w:rtl w:val="true"/>
        </w:rPr>
        <w:t>إذا ثبتت الرؤیة فی بلد آخر و لم تثبت فی بلده فإن کانا متقاربین أو علم توافق افقهما کفیٰ</w:t>
      </w:r>
      <w:r>
        <w:rPr>
          <w:rtl w:val="true"/>
        </w:rPr>
        <w:t>]</w:t>
      </w:r>
      <w:bookmarkEnd w:id="280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ثبتت الرؤیة فی بلد آخر و لم تثبت فی بلده فإن کانا متقاربین أو علم توافق افقهما کفیٰ و إلّا فلا</w:t>
      </w:r>
      <w:r>
        <w:rPr>
          <w:rFonts w:eastAsia="IRNazanin" w:cs="IRNazanin"/>
          <w:color w:val="111111"/>
          <w:sz w:val="28"/>
          <w:szCs w:val="28"/>
          <w:rtl w:val="true"/>
          <w:lang w:bidi="fa-IR"/>
        </w:rPr>
        <w:t>.</w:t>
      </w:r>
      <w:bookmarkStart w:id="2803" w:name="pg1809_19185"/>
    </w:p>
    <w:p>
      <w:pPr>
        <w:pStyle w:val="Heading4"/>
        <w:numPr>
          <w:ilvl w:val="3"/>
          <w:numId w:val="1"/>
        </w:numPr>
        <w:rPr/>
      </w:pPr>
      <w:bookmarkStart w:id="2804" w:name="__RefHeading___Toc2567544_3650668749"/>
      <w:bookmarkStart w:id="2805" w:name="_Toc1281"/>
      <w:bookmarkEnd w:id="2803"/>
      <w:bookmarkEnd w:id="2804"/>
      <w:r>
        <w:rPr>
          <w:rtl w:val="true"/>
        </w:rPr>
        <w:t>[ (</w:t>
      </w:r>
      <w:r>
        <w:rPr>
          <w:rtl w:val="true"/>
        </w:rPr>
        <w:t xml:space="preserve">مسألة </w:t>
      </w:r>
      <w:r>
        <w:rPr/>
        <w:t>7</w:t>
      </w:r>
      <w:r>
        <w:rPr>
          <w:rtl w:val="true"/>
        </w:rPr>
        <w:t xml:space="preserve">): </w:t>
      </w:r>
      <w:r>
        <w:rPr>
          <w:rtl w:val="true"/>
        </w:rPr>
        <w:t>لا یجوز الاعتماد علی التلغراف فی الإخبار عن الرؤیة</w:t>
      </w:r>
      <w:r>
        <w:rPr>
          <w:rtl w:val="true"/>
        </w:rPr>
        <w:t>]</w:t>
      </w:r>
      <w:bookmarkEnd w:id="28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الاعتماد علی التلغراف فی الإخبار عن الرؤیة إلّا إذا تقارب البلدان و علم و تحقّق ثبوتها </w:t>
      </w:r>
      <w:r>
        <w:rPr>
          <w:rStyle w:val="FootnoteAnchor"/>
          <w:rtl w:val="true"/>
        </w:rPr>
        <w:footnoteReference w:id="815"/>
      </w:r>
      <w:r>
        <w:rPr>
          <w:rFonts w:ascii="IRNazanin" w:hAnsi="IRNazanin" w:eastAsia="IRNazanin"/>
          <w:color w:val="111111"/>
          <w:sz w:val="28"/>
          <w:sz w:val="28"/>
          <w:szCs w:val="28"/>
          <w:rtl w:val="true"/>
          <w:lang w:bidi="fa-IR"/>
        </w:rPr>
        <w:t>هناک إمّا بحکم الحاکم أو بالبیّنة الشرعیّة</w:t>
      </w:r>
      <w:r>
        <w:rPr>
          <w:rFonts w:eastAsia="IRNazanin" w:cs="IRNazanin"/>
          <w:color w:val="111111"/>
          <w:sz w:val="28"/>
          <w:szCs w:val="28"/>
          <w:rtl w:val="true"/>
          <w:lang w:bidi="fa-IR"/>
        </w:rPr>
        <w:t>.</w:t>
      </w:r>
    </w:p>
    <w:p>
      <w:pPr>
        <w:pStyle w:val="Heading3"/>
        <w:numPr>
          <w:ilvl w:val="2"/>
          <w:numId w:val="1"/>
        </w:numPr>
        <w:rPr/>
      </w:pPr>
      <w:bookmarkStart w:id="2806" w:name="__RefHeading___Toc2567546_3650668749"/>
      <w:bookmarkStart w:id="2807" w:name="_Toc1282"/>
      <w:bookmarkEnd w:id="2806"/>
      <w:r>
        <w:rPr>
          <w:rtl w:val="true"/>
        </w:rPr>
        <w:t>[</w:t>
      </w:r>
      <w:r>
        <w:rPr>
          <w:rtl w:val="true"/>
        </w:rPr>
        <w:t>القول فی قضاء صوم شهر رمضان</w:t>
      </w:r>
      <w:r>
        <w:rPr>
          <w:rtl w:val="true"/>
        </w:rPr>
        <w:t>]</w:t>
      </w:r>
      <w:bookmarkEnd w:id="2807"/>
    </w:p>
    <w:p>
      <w:pPr>
        <w:pStyle w:val="Heading4"/>
        <w:numPr>
          <w:ilvl w:val="3"/>
          <w:numId w:val="1"/>
        </w:numPr>
        <w:rPr/>
      </w:pPr>
      <w:bookmarkStart w:id="2808" w:name="__RefHeading___Toc2567548_3650668749"/>
      <w:bookmarkStart w:id="2809" w:name="_Toc1283"/>
      <w:bookmarkEnd w:id="2808"/>
      <w:r>
        <w:rPr>
          <w:rtl w:val="true"/>
        </w:rPr>
        <w:t>اشارة</w:t>
      </w:r>
      <w:bookmarkEnd w:id="2809"/>
    </w:p>
    <w:p>
      <w:pPr>
        <w:pStyle w:val="BookText"/>
        <w:rPr/>
      </w:pPr>
      <w:r>
        <w:rPr>
          <w:rFonts w:ascii="IRNazanin" w:hAnsi="IRNazanin" w:eastAsia="IRNazanin"/>
          <w:color w:val="111111"/>
          <w:sz w:val="28"/>
          <w:sz w:val="28"/>
          <w:szCs w:val="28"/>
          <w:rtl w:val="true"/>
          <w:lang w:bidi="fa-IR"/>
        </w:rPr>
        <w:t>القول فی قضاء صوم شهر رمضان لا یجب علی الصبیّ قضاء ما أفطر فی زمان صباه، و لا علی المجنون و المغمیٰ علیه قضاء ما أفطرا فی حال عذرهما، و لا علی الکافر الأصلی قضاء ما أفطر فی حال کفره، و یجب علیٰ غیرهم حتّی المرتدّ بالنسبة إلیٰ زمان ردّته و کذا الحائض و النفساء و إن لم یجب علیهما قضاء الصلاة</w:t>
      </w:r>
      <w:r>
        <w:rPr>
          <w:rFonts w:eastAsia="IRNazanin" w:cs="IRNazanin"/>
          <w:color w:val="111111"/>
          <w:sz w:val="28"/>
          <w:szCs w:val="28"/>
          <w:rtl w:val="true"/>
          <w:lang w:bidi="fa-IR"/>
        </w:rPr>
        <w:t>.</w:t>
      </w:r>
    </w:p>
    <w:p>
      <w:pPr>
        <w:pStyle w:val="Heading4"/>
        <w:numPr>
          <w:ilvl w:val="3"/>
          <w:numId w:val="1"/>
        </w:numPr>
        <w:rPr/>
      </w:pPr>
      <w:bookmarkStart w:id="2810" w:name="__RefHeading___Toc2567550_3650668749"/>
      <w:bookmarkStart w:id="2811" w:name="_Toc1284"/>
      <w:bookmarkEnd w:id="2810"/>
      <w:r>
        <w:rPr>
          <w:rtl w:val="true"/>
        </w:rPr>
        <w:t>[ (</w:t>
      </w:r>
      <w:r>
        <w:rPr>
          <w:rtl w:val="true"/>
        </w:rPr>
        <w:t xml:space="preserve">مسألة </w:t>
      </w:r>
      <w:r>
        <w:rPr/>
        <w:t>1</w:t>
      </w:r>
      <w:r>
        <w:rPr>
          <w:rtl w:val="true"/>
        </w:rPr>
        <w:t xml:space="preserve">): </w:t>
      </w:r>
      <w:r>
        <w:rPr>
          <w:rtl w:val="true"/>
        </w:rPr>
        <w:t>قد عرفت سابقاً وجوب الصوم علیٰ من بلغ قبل الزوال و لم یتناول شیئاً</w:t>
      </w:r>
      <w:r>
        <w:rPr>
          <w:rtl w:val="true"/>
        </w:rPr>
        <w:t>]</w:t>
      </w:r>
      <w:bookmarkEnd w:id="2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سابقاً وجوب الصوم </w:t>
      </w:r>
      <w:r>
        <w:rPr>
          <w:rStyle w:val="FootnoteAnchor"/>
          <w:rtl w:val="true"/>
        </w:rPr>
        <w:footnoteReference w:id="816"/>
      </w:r>
      <w:r>
        <w:rPr>
          <w:rFonts w:ascii="IRNazanin" w:hAnsi="IRNazanin" w:eastAsia="IRNazanin"/>
          <w:color w:val="111111"/>
          <w:sz w:val="28"/>
          <w:sz w:val="28"/>
          <w:szCs w:val="28"/>
          <w:rtl w:val="true"/>
          <w:lang w:bidi="fa-IR"/>
        </w:rPr>
        <w:t>علیٰ من بلغ قبل الزوال و لم یتناول شیئاً و کذا علیٰ من نوی الصوم ندباً و بلغ فی أثناء النهار، فیتّبعه وجوب القضاء لو أفطرا</w:t>
      </w:r>
      <w:r>
        <w:rPr>
          <w:rFonts w:eastAsia="IRNazanin" w:cs="IRNazanin"/>
          <w:color w:val="111111"/>
          <w:sz w:val="28"/>
          <w:szCs w:val="28"/>
          <w:rtl w:val="true"/>
          <w:lang w:bidi="fa-IR"/>
        </w:rPr>
        <w:t>.</w:t>
      </w:r>
    </w:p>
    <w:p>
      <w:pPr>
        <w:pStyle w:val="Heading4"/>
        <w:numPr>
          <w:ilvl w:val="3"/>
          <w:numId w:val="1"/>
        </w:numPr>
        <w:rPr/>
      </w:pPr>
      <w:bookmarkStart w:id="2812" w:name="__RefHeading___Toc2567552_3650668749"/>
      <w:bookmarkStart w:id="2813" w:name="_Toc1285"/>
      <w:bookmarkEnd w:id="2812"/>
      <w:r>
        <w:rPr>
          <w:rtl w:val="true"/>
        </w:rPr>
        <w:t>[ (</w:t>
      </w:r>
      <w:r>
        <w:rPr>
          <w:rtl w:val="true"/>
        </w:rPr>
        <w:t xml:space="preserve">مسألة </w:t>
      </w:r>
      <w:r>
        <w:rPr/>
        <w:t>2</w:t>
      </w:r>
      <w:r>
        <w:rPr>
          <w:rtl w:val="true"/>
        </w:rPr>
        <w:t xml:space="preserve">): </w:t>
      </w:r>
      <w:r>
        <w:rPr>
          <w:rtl w:val="true"/>
        </w:rPr>
        <w:t>یجب القضاء علیٰ من فاته الصوم لسکر</w:t>
      </w:r>
      <w:r>
        <w:rPr>
          <w:rtl w:val="true"/>
        </w:rPr>
        <w:t>]</w:t>
      </w:r>
      <w:bookmarkEnd w:id="28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Style w:val="FootnoteAnchor"/>
          <w:rtl w:val="true"/>
        </w:rPr>
        <w:footnoteReference w:id="817"/>
      </w:r>
      <w:r>
        <w:rPr>
          <w:rFonts w:ascii="IRNazanin" w:hAnsi="IRNazanin" w:eastAsia="IRNazanin"/>
          <w:color w:val="111111"/>
          <w:sz w:val="28"/>
          <w:sz w:val="28"/>
          <w:szCs w:val="28"/>
          <w:rtl w:val="true"/>
          <w:lang w:bidi="fa-IR"/>
        </w:rPr>
        <w:t>القضاء علیٰ من فاته الصوم لسکر؛ سواء کان شرب المسکر للتداوی أو علیٰ وجه الحرام</w:t>
      </w:r>
      <w:r>
        <w:rPr>
          <w:rFonts w:eastAsia="IRNazanin" w:cs="IRNazanin"/>
          <w:color w:val="111111"/>
          <w:sz w:val="28"/>
          <w:szCs w:val="28"/>
          <w:rtl w:val="true"/>
          <w:lang w:bidi="fa-IR"/>
        </w:rPr>
        <w:t>.</w:t>
      </w:r>
    </w:p>
    <w:p>
      <w:pPr>
        <w:pStyle w:val="Heading4"/>
        <w:numPr>
          <w:ilvl w:val="3"/>
          <w:numId w:val="1"/>
        </w:numPr>
        <w:rPr/>
      </w:pPr>
      <w:bookmarkStart w:id="2814" w:name="__RefHeading___Toc2567554_3650668749"/>
      <w:bookmarkStart w:id="2815" w:name="_Toc1286"/>
      <w:bookmarkEnd w:id="2814"/>
      <w:r>
        <w:rPr>
          <w:rtl w:val="true"/>
        </w:rPr>
        <w:t>[ (</w:t>
      </w:r>
      <w:r>
        <w:rPr>
          <w:rtl w:val="true"/>
        </w:rPr>
        <w:t xml:space="preserve">مسألة </w:t>
      </w:r>
      <w:r>
        <w:rPr/>
        <w:t>3</w:t>
      </w:r>
      <w:r>
        <w:rPr>
          <w:rtl w:val="true"/>
        </w:rPr>
        <w:t xml:space="preserve">): </w:t>
      </w:r>
      <w:r>
        <w:rPr>
          <w:rtl w:val="true"/>
        </w:rPr>
        <w:t>المخالف إذا استبصر لا یقضی ما أتی به علیٰ وفق مذهبه</w:t>
      </w:r>
      <w:r>
        <w:rPr>
          <w:rtl w:val="true"/>
        </w:rPr>
        <w:t>]</w:t>
      </w:r>
      <w:bookmarkEnd w:id="28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 إذا استبصر لا یقضی ما أتی به علیٰ وفق مذهبه </w:t>
      </w:r>
      <w:r>
        <w:rPr>
          <w:rStyle w:val="FootnoteAnchor"/>
          <w:rtl w:val="true"/>
        </w:rPr>
        <w:footnoteReference w:id="818"/>
      </w:r>
      <w:r>
        <w:rPr>
          <w:rFonts w:ascii="IRNazanin" w:hAnsi="IRNazanin" w:eastAsia="IRNazanin"/>
          <w:color w:val="111111"/>
          <w:sz w:val="28"/>
          <w:sz w:val="28"/>
          <w:szCs w:val="28"/>
          <w:rtl w:val="true"/>
          <w:lang w:bidi="fa-IR"/>
        </w:rPr>
        <w:t>کالصلاة، و أمّا ما فاته فی تلک الحال یجب علیه قضاؤه</w:t>
      </w:r>
      <w:r>
        <w:rPr>
          <w:rFonts w:eastAsia="IRNazanin" w:cs="IRNazanin"/>
          <w:color w:val="111111"/>
          <w:sz w:val="28"/>
          <w:szCs w:val="28"/>
          <w:rtl w:val="true"/>
          <w:lang w:bidi="fa-IR"/>
        </w:rPr>
        <w:t>.</w:t>
      </w:r>
    </w:p>
    <w:p>
      <w:pPr>
        <w:pStyle w:val="Heading4"/>
        <w:numPr>
          <w:ilvl w:val="3"/>
          <w:numId w:val="1"/>
        </w:numPr>
        <w:rPr/>
      </w:pPr>
      <w:bookmarkStart w:id="2816" w:name="__RefHeading___Toc2567556_3650668749"/>
      <w:bookmarkStart w:id="2817" w:name="_Toc1287"/>
      <w:bookmarkEnd w:id="2816"/>
      <w:r>
        <w:rPr>
          <w:rtl w:val="true"/>
        </w:rPr>
        <w:t>[ (</w:t>
      </w:r>
      <w:r>
        <w:rPr>
          <w:rtl w:val="true"/>
        </w:rPr>
        <w:t xml:space="preserve">مسألة </w:t>
      </w:r>
      <w:r>
        <w:rPr/>
        <w:t>4</w:t>
      </w:r>
      <w:r>
        <w:rPr>
          <w:rtl w:val="true"/>
        </w:rPr>
        <w:t xml:space="preserve">): </w:t>
      </w:r>
      <w:r>
        <w:rPr>
          <w:rtl w:val="true"/>
        </w:rPr>
        <w:t>لا یجب الفور فی القضاء</w:t>
      </w:r>
      <w:r>
        <w:rPr>
          <w:rtl w:val="true"/>
        </w:rPr>
        <w:t>]</w:t>
      </w:r>
      <w:bookmarkEnd w:id="28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الفور فی القضاء، نعم لا یجوز تأخیر القضاء إلیٰ رمضان آخر، و إذا أخّر یکون موسّعاً بعد ذلک</w:t>
      </w:r>
      <w:r>
        <w:rPr>
          <w:rFonts w:eastAsia="IRNazanin" w:cs="IRNazanin"/>
          <w:color w:val="111111"/>
          <w:sz w:val="28"/>
          <w:szCs w:val="28"/>
          <w:rtl w:val="true"/>
          <w:lang w:bidi="fa-IR"/>
        </w:rPr>
        <w:t>.</w:t>
      </w:r>
    </w:p>
    <w:p>
      <w:pPr>
        <w:pStyle w:val="Heading4"/>
        <w:numPr>
          <w:ilvl w:val="3"/>
          <w:numId w:val="1"/>
        </w:numPr>
        <w:rPr/>
      </w:pPr>
      <w:bookmarkStart w:id="2818" w:name="__RefHeading___Toc2567558_3650668749"/>
      <w:bookmarkStart w:id="2819" w:name="_Toc1288"/>
      <w:bookmarkEnd w:id="2818"/>
      <w:r>
        <w:rPr>
          <w:rtl w:val="true"/>
        </w:rPr>
        <w:t>[ (</w:t>
      </w:r>
      <w:r>
        <w:rPr>
          <w:rtl w:val="true"/>
        </w:rPr>
        <w:t xml:space="preserve">مسألة </w:t>
      </w:r>
      <w:r>
        <w:rPr/>
        <w:t>5</w:t>
      </w:r>
      <w:r>
        <w:rPr>
          <w:rtl w:val="true"/>
        </w:rPr>
        <w:t xml:space="preserve">): </w:t>
      </w:r>
      <w:r>
        <w:rPr>
          <w:rtl w:val="true"/>
        </w:rPr>
        <w:t>لا یجب الترتیب فی القضاء و لا تعیین الأیّام</w:t>
      </w:r>
      <w:r>
        <w:rPr>
          <w:rtl w:val="true"/>
        </w:rPr>
        <w:t>]</w:t>
      </w:r>
      <w:bookmarkEnd w:id="28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الترتیب فی القضاء و لا تعیین الأیّام فلو کان علیه أیّام فصام بعددها کفیٰ و إن لم یعیّن الأوّل و الثانی و هکذا</w:t>
      </w:r>
      <w:r>
        <w:rPr>
          <w:rFonts w:eastAsia="IRNazanin" w:cs="IRNazanin"/>
          <w:color w:val="111111"/>
          <w:sz w:val="28"/>
          <w:szCs w:val="28"/>
          <w:rtl w:val="true"/>
          <w:lang w:bidi="fa-IR"/>
        </w:rPr>
        <w:t>.</w:t>
      </w:r>
    </w:p>
    <w:p>
      <w:pPr>
        <w:pStyle w:val="Heading4"/>
        <w:numPr>
          <w:ilvl w:val="3"/>
          <w:numId w:val="1"/>
        </w:numPr>
        <w:rPr/>
      </w:pPr>
      <w:bookmarkStart w:id="2820" w:name="__RefHeading___Toc2567560_3650668749"/>
      <w:bookmarkStart w:id="2821" w:name="_Toc1289"/>
      <w:bookmarkEnd w:id="2820"/>
      <w:r>
        <w:rPr>
          <w:rtl w:val="true"/>
        </w:rPr>
        <w:t>[ (</w:t>
      </w:r>
      <w:r>
        <w:rPr>
          <w:rtl w:val="true"/>
        </w:rPr>
        <w:t xml:space="preserve">مسألة </w:t>
      </w:r>
      <w:r>
        <w:rPr/>
        <w:t>6</w:t>
      </w:r>
      <w:r>
        <w:rPr>
          <w:rtl w:val="true"/>
        </w:rPr>
        <w:t xml:space="preserve">): </w:t>
      </w:r>
      <w:r>
        <w:rPr>
          <w:rtl w:val="true"/>
        </w:rPr>
        <w:t>لو کان علیه قضاء رمضانین أو أکثر یتخیّر بین تقدیم السابق و تأخیره</w:t>
      </w:r>
      <w:r>
        <w:rPr>
          <w:rtl w:val="true"/>
        </w:rPr>
        <w:t>]</w:t>
      </w:r>
      <w:bookmarkEnd w:id="282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علیه قضاء رمضانین أو أکثر یتخیّر بین تقدیم السابق و تأخیره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علیه قضاء رمضان هذه السنة مع قضاء رمضان سابق و لم یسع الوقت للّاحق لو قدّم السابق؛ بأن لا یبقیٰ إلیٰ رمضان آخر زمان یسع قضاء اللاحق، یتعیّن قضاء</w:t>
      </w:r>
      <w:bookmarkStart w:id="2822" w:name="pg1809_19187"/>
    </w:p>
    <w:p>
      <w:pPr>
        <w:pStyle w:val="BookText"/>
        <w:rPr/>
      </w:pPr>
      <w:bookmarkEnd w:id="2822"/>
      <w:r>
        <w:rPr>
          <w:rFonts w:ascii="IRNazanin" w:hAnsi="IRNazanin" w:eastAsia="IRNazanin"/>
          <w:color w:val="111111"/>
          <w:sz w:val="28"/>
          <w:sz w:val="28"/>
          <w:szCs w:val="28"/>
          <w:rtl w:val="true"/>
          <w:lang w:bidi="fa-IR"/>
        </w:rPr>
        <w:t>اللاحق قبل السابق، و لو عکس و الحال هذه فالظاهر صحّة ما قدّمه و إن عصیٰ بتأخیر ما أخّره، و لزمه الکفّارة؛ أعنی کفّارة التأخیر</w:t>
      </w:r>
      <w:r>
        <w:rPr>
          <w:rFonts w:eastAsia="IRNazanin" w:cs="IRNazanin"/>
          <w:color w:val="111111"/>
          <w:sz w:val="28"/>
          <w:szCs w:val="28"/>
          <w:rtl w:val="true"/>
          <w:lang w:bidi="fa-IR"/>
        </w:rPr>
        <w:t>.</w:t>
      </w:r>
    </w:p>
    <w:p>
      <w:pPr>
        <w:pStyle w:val="Heading4"/>
        <w:numPr>
          <w:ilvl w:val="3"/>
          <w:numId w:val="1"/>
        </w:numPr>
        <w:rPr/>
      </w:pPr>
      <w:bookmarkStart w:id="2823" w:name="__RefHeading___Toc2567562_3650668749"/>
      <w:bookmarkStart w:id="2824" w:name="_Toc1290"/>
      <w:bookmarkEnd w:id="2823"/>
      <w:r>
        <w:rPr>
          <w:rtl w:val="true"/>
        </w:rPr>
        <w:t>[ (</w:t>
      </w:r>
      <w:r>
        <w:rPr>
          <w:rtl w:val="true"/>
        </w:rPr>
        <w:t xml:space="preserve">مسألة </w:t>
      </w:r>
      <w:r>
        <w:rPr/>
        <w:t>7</w:t>
      </w:r>
      <w:r>
        <w:rPr>
          <w:rtl w:val="true"/>
        </w:rPr>
        <w:t xml:space="preserve">): </w:t>
      </w:r>
      <w:r>
        <w:rPr>
          <w:rtl w:val="true"/>
        </w:rPr>
        <w:t>إذا فاته صوم رمضان بمرض أو حیض أو نفاس و مات قبل أن یخرج منه</w:t>
      </w:r>
      <w:r>
        <w:rPr>
          <w:rtl w:val="true"/>
        </w:rPr>
        <w:t>]</w:t>
      </w:r>
      <w:bookmarkEnd w:id="28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فاته صوم رمضان بمرض أو حیض أو نفاس و مات قبل أن یخرج منه لم یجب القضاء و إن استحبّ النیابة عنه</w:t>
      </w:r>
      <w:r>
        <w:rPr>
          <w:rFonts w:eastAsia="IRNazanin" w:cs="IRNazanin"/>
          <w:color w:val="111111"/>
          <w:sz w:val="28"/>
          <w:szCs w:val="28"/>
          <w:rtl w:val="true"/>
          <w:lang w:bidi="fa-IR"/>
        </w:rPr>
        <w:t>.</w:t>
      </w:r>
    </w:p>
    <w:p>
      <w:pPr>
        <w:pStyle w:val="Heading4"/>
        <w:numPr>
          <w:ilvl w:val="3"/>
          <w:numId w:val="1"/>
        </w:numPr>
        <w:rPr/>
      </w:pPr>
      <w:bookmarkStart w:id="2825" w:name="__RefHeading___Toc2567564_3650668749"/>
      <w:bookmarkStart w:id="2826" w:name="_Toc1291"/>
      <w:bookmarkEnd w:id="2825"/>
      <w:r>
        <w:rPr>
          <w:rtl w:val="true"/>
        </w:rPr>
        <w:t>[ (</w:t>
      </w:r>
      <w:r>
        <w:rPr>
          <w:rtl w:val="true"/>
        </w:rPr>
        <w:t xml:space="preserve">مسألة </w:t>
      </w:r>
      <w:r>
        <w:rPr/>
        <w:t>8</w:t>
      </w:r>
      <w:r>
        <w:rPr>
          <w:rtl w:val="true"/>
        </w:rPr>
        <w:t xml:space="preserve">): </w:t>
      </w:r>
      <w:r>
        <w:rPr>
          <w:rtl w:val="true"/>
        </w:rPr>
        <w:t>إذا فاته شهر رمضان أو بعضه لعذر و استمرّ إلیٰ رمضان آخر</w:t>
      </w:r>
      <w:r>
        <w:rPr>
          <w:rtl w:val="true"/>
        </w:rPr>
        <w:t>]</w:t>
      </w:r>
      <w:bookmarkEnd w:id="28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فاته شهر رمضان أو بعضه لعذر و استمرّ إلیٰ رمضان آخر، فإن کان العذر هو المرض سقط قضاؤه و کفّر عن کلّ یوم بمدّ و لا یجزی القضاء عن التکفیر، و إن کان العذر غیر المرض کالسفر و نحوه فالأحوط </w:t>
      </w:r>
      <w:r>
        <w:rPr>
          <w:rStyle w:val="FootnoteAnchor"/>
          <w:rtl w:val="true"/>
        </w:rPr>
        <w:footnoteReference w:id="819"/>
      </w:r>
      <w:r>
        <w:rPr>
          <w:rFonts w:ascii="IRNazanin" w:hAnsi="IRNazanin" w:eastAsia="IRNazanin"/>
          <w:color w:val="111111"/>
          <w:sz w:val="28"/>
          <w:sz w:val="28"/>
          <w:szCs w:val="28"/>
          <w:rtl w:val="true"/>
          <w:lang w:bidi="fa-IR"/>
        </w:rPr>
        <w:t>احتیاطاً لا یترک الجمع بین القضاء و المدّ، و کذا إن کان سبب الفوت هو المرض و کان العذر فی التأخیر غیره أو العکس فإنّ الأحوط فیها الجمع أیضاً</w:t>
      </w:r>
      <w:r>
        <w:rPr>
          <w:rFonts w:eastAsia="IRNazanin" w:cs="IRNazanin"/>
          <w:color w:val="111111"/>
          <w:sz w:val="28"/>
          <w:szCs w:val="28"/>
          <w:rtl w:val="true"/>
          <w:lang w:bidi="fa-IR"/>
        </w:rPr>
        <w:t>.</w:t>
      </w:r>
    </w:p>
    <w:p>
      <w:pPr>
        <w:pStyle w:val="Heading4"/>
        <w:numPr>
          <w:ilvl w:val="3"/>
          <w:numId w:val="1"/>
        </w:numPr>
        <w:rPr/>
      </w:pPr>
      <w:bookmarkStart w:id="2827" w:name="__RefHeading___Toc2567566_3650668749"/>
      <w:bookmarkStart w:id="2828" w:name="_Toc1292"/>
      <w:bookmarkEnd w:id="2827"/>
      <w:r>
        <w:rPr>
          <w:rtl w:val="true"/>
        </w:rPr>
        <w:t>[ (</w:t>
      </w:r>
      <w:r>
        <w:rPr>
          <w:rtl w:val="true"/>
        </w:rPr>
        <w:t xml:space="preserve">مسألة </w:t>
      </w:r>
      <w:r>
        <w:rPr/>
        <w:t>9</w:t>
      </w:r>
      <w:r>
        <w:rPr>
          <w:rtl w:val="true"/>
        </w:rPr>
        <w:t xml:space="preserve">): </w:t>
      </w:r>
      <w:r>
        <w:rPr>
          <w:rtl w:val="true"/>
        </w:rPr>
        <w:t>إذا فاته شهر رمضان أو بعضه لا لعذر بل متعمّداً و لم یأت بالقضاء إلیٰ رمضان آخر</w:t>
      </w:r>
      <w:r>
        <w:rPr>
          <w:rtl w:val="true"/>
        </w:rPr>
        <w:t>]</w:t>
      </w:r>
      <w:bookmarkEnd w:id="28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فاته شهر رمضان أو بعضه لا لعذر بل متعمّداً و لم یأت بالقضاء إلیٰ رمضان آخر وجب علیه مضافاً إلیٰ کفّارة الإفطار العمدی التکفیر بمدّ بدل کلّ یوم و القضاء فیما بعد، و کذا یجب التکفیر بمدّ إن فاته لعذر و لم یستمرّ ذلک العذر و لم یطرأ عذر آخر، بل کان قادراً غیر معذور فتهاون فی القضاء حتّی جاء رمضان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عازماً علی القضاء بعد ارتفاع العذر فاتّفق طروّ عذر آخر عند الضیق فلا یبعد </w:t>
      </w:r>
      <w:r>
        <w:rPr>
          <w:rStyle w:val="FootnoteAnchor"/>
          <w:rtl w:val="true"/>
        </w:rPr>
        <w:footnoteReference w:id="820"/>
      </w:r>
      <w:r>
        <w:rPr>
          <w:rFonts w:ascii="IRNazanin" w:hAnsi="IRNazanin" w:eastAsia="IRNazanin"/>
          <w:color w:val="111111"/>
          <w:sz w:val="28"/>
          <w:sz w:val="28"/>
          <w:szCs w:val="28"/>
          <w:rtl w:val="true"/>
          <w:lang w:bidi="fa-IR"/>
        </w:rPr>
        <w:t>کفایة القضاء، لکن لا یترک الاحتیاط بالجمع بین التکفیر و القضاء</w:t>
      </w:r>
      <w:r>
        <w:rPr>
          <w:rFonts w:eastAsia="IRNazanin" w:cs="IRNazanin"/>
          <w:color w:val="111111"/>
          <w:sz w:val="28"/>
          <w:szCs w:val="28"/>
          <w:rtl w:val="true"/>
          <w:lang w:bidi="fa-IR"/>
        </w:rPr>
        <w:t>.</w:t>
      </w:r>
    </w:p>
    <w:p>
      <w:pPr>
        <w:pStyle w:val="Heading4"/>
        <w:numPr>
          <w:ilvl w:val="3"/>
          <w:numId w:val="1"/>
        </w:numPr>
        <w:rPr/>
      </w:pPr>
      <w:bookmarkStart w:id="2829" w:name="__RefHeading___Toc2567568_3650668749"/>
      <w:bookmarkStart w:id="2830" w:name="_Toc1293"/>
      <w:bookmarkEnd w:id="2829"/>
      <w:r>
        <w:rPr>
          <w:rtl w:val="true"/>
        </w:rPr>
        <w:t>[ (</w:t>
      </w:r>
      <w:r>
        <w:rPr>
          <w:rtl w:val="true"/>
        </w:rPr>
        <w:t xml:space="preserve">مسألة </w:t>
      </w:r>
      <w:r>
        <w:rPr/>
        <w:t>10</w:t>
      </w:r>
      <w:r>
        <w:rPr>
          <w:rtl w:val="true"/>
        </w:rPr>
        <w:t xml:space="preserve">): </w:t>
      </w:r>
      <w:r>
        <w:rPr>
          <w:rtl w:val="true"/>
        </w:rPr>
        <w:t>لا تتکرّر کفّارة التأخیر بتکرّر السنین</w:t>
      </w:r>
      <w:r>
        <w:rPr>
          <w:rtl w:val="true"/>
        </w:rPr>
        <w:t>]</w:t>
      </w:r>
      <w:bookmarkEnd w:id="28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تتکرّر کفّارة التأخیر بتکرّر السنین، فإذا فاته ثلاثة أیّام من ثلاث رمضانات متتالیات و لم یقضها وجب علیه کفّارة واحدة للأوّل و کفّارة أُخری للثانی و القضاء للثالث إذا لم یتأخّر إلی الرمضان الرابع</w:t>
      </w:r>
      <w:r>
        <w:rPr>
          <w:rFonts w:eastAsia="IRNazanin" w:cs="IRNazanin"/>
          <w:color w:val="111111"/>
          <w:sz w:val="28"/>
          <w:szCs w:val="28"/>
          <w:rtl w:val="true"/>
          <w:lang w:bidi="fa-IR"/>
        </w:rPr>
        <w:t>.</w:t>
      </w:r>
    </w:p>
    <w:p>
      <w:pPr>
        <w:pStyle w:val="Heading4"/>
        <w:numPr>
          <w:ilvl w:val="3"/>
          <w:numId w:val="1"/>
        </w:numPr>
        <w:rPr/>
      </w:pPr>
      <w:bookmarkStart w:id="2831" w:name="__RefHeading___Toc2567570_3650668749"/>
      <w:bookmarkStart w:id="2832" w:name="_Toc1294"/>
      <w:bookmarkEnd w:id="2831"/>
      <w:r>
        <w:rPr>
          <w:rtl w:val="true"/>
        </w:rPr>
        <w:t>[ (</w:t>
      </w:r>
      <w:r>
        <w:rPr>
          <w:rtl w:val="true"/>
        </w:rPr>
        <w:t xml:space="preserve">مسألة </w:t>
      </w:r>
      <w:r>
        <w:rPr/>
        <w:t>11</w:t>
      </w:r>
      <w:r>
        <w:rPr>
          <w:rtl w:val="true"/>
        </w:rPr>
        <w:t xml:space="preserve">): </w:t>
      </w:r>
      <w:r>
        <w:rPr>
          <w:rtl w:val="true"/>
        </w:rPr>
        <w:t>یجوز إعطاء کفّارة أیّام عدیدة من رمضان واحد أو أزید لفقیر واحد</w:t>
      </w:r>
      <w:r>
        <w:rPr>
          <w:rtl w:val="true"/>
        </w:rPr>
        <w:t>]</w:t>
      </w:r>
      <w:bookmarkEnd w:id="2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إعطاء کفّارة أیّام عدیدة من رمضان واحد أو أزید لفقیر واحد، فلا یجب إعطاء کلّ فقیر مدّاً واحداً لیوم واحد</w:t>
      </w:r>
      <w:r>
        <w:rPr>
          <w:rFonts w:eastAsia="IRNazanin" w:cs="IRNazanin"/>
          <w:color w:val="111111"/>
          <w:sz w:val="28"/>
          <w:szCs w:val="28"/>
          <w:rtl w:val="true"/>
          <w:lang w:bidi="fa-IR"/>
        </w:rPr>
        <w:t>.</w:t>
      </w:r>
    </w:p>
    <w:p>
      <w:pPr>
        <w:pStyle w:val="Heading4"/>
        <w:numPr>
          <w:ilvl w:val="3"/>
          <w:numId w:val="1"/>
        </w:numPr>
        <w:rPr/>
      </w:pPr>
      <w:bookmarkStart w:id="2833" w:name="__RefHeading___Toc2567572_3650668749"/>
      <w:bookmarkStart w:id="2834" w:name="_Toc1295"/>
      <w:bookmarkEnd w:id="2833"/>
      <w:r>
        <w:rPr>
          <w:rtl w:val="true"/>
        </w:rPr>
        <w:t>[ (</w:t>
      </w:r>
      <w:r>
        <w:rPr>
          <w:rtl w:val="true"/>
        </w:rPr>
        <w:t xml:space="preserve">مسألة </w:t>
      </w:r>
      <w:r>
        <w:rPr/>
        <w:t>12</w:t>
      </w:r>
      <w:r>
        <w:rPr>
          <w:rtl w:val="true"/>
        </w:rPr>
        <w:t xml:space="preserve">): </w:t>
      </w:r>
      <w:r>
        <w:rPr>
          <w:rtl w:val="true"/>
        </w:rPr>
        <w:t>یجوز الإفطار قبل الزوال فی قضاء شهر رمضان ما لم یتضیّق</w:t>
      </w:r>
      <w:r>
        <w:rPr>
          <w:rtl w:val="true"/>
        </w:rPr>
        <w:t>]</w:t>
      </w:r>
      <w:bookmarkEnd w:id="283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الإفطار قبل الزوال فی قضاء شهر رمضان ما لم یتضیّق، أمّا بعد الزوال فیحرم، بل تجب به الکفّارة و إن لم یجب الإمساک بقیّة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الکفّارة هنا إطعام</w:t>
      </w:r>
      <w:bookmarkStart w:id="2835" w:name="pg1809_19189"/>
    </w:p>
    <w:p>
      <w:pPr>
        <w:pStyle w:val="BookText"/>
        <w:rPr/>
      </w:pPr>
      <w:bookmarkEnd w:id="2835"/>
      <w:r>
        <w:rPr>
          <w:rFonts w:ascii="IRNazanin" w:hAnsi="IRNazanin" w:eastAsia="IRNazanin"/>
          <w:color w:val="111111"/>
          <w:sz w:val="28"/>
          <w:sz w:val="28"/>
          <w:szCs w:val="28"/>
          <w:rtl w:val="true"/>
          <w:lang w:bidi="fa-IR"/>
        </w:rPr>
        <w:t>عشرة مساکین لکلّ مسکین مدّ، فإن لم یمکنه صام ثلاثة أیّام</w:t>
      </w:r>
      <w:r>
        <w:rPr>
          <w:rFonts w:eastAsia="IRNazanin" w:cs="IRNazanin"/>
          <w:color w:val="111111"/>
          <w:sz w:val="28"/>
          <w:szCs w:val="28"/>
          <w:rtl w:val="true"/>
          <w:lang w:bidi="fa-IR"/>
        </w:rPr>
        <w:t>.</w:t>
      </w:r>
    </w:p>
    <w:p>
      <w:pPr>
        <w:pStyle w:val="Heading4"/>
        <w:numPr>
          <w:ilvl w:val="3"/>
          <w:numId w:val="1"/>
        </w:numPr>
        <w:rPr/>
      </w:pPr>
      <w:bookmarkStart w:id="2836" w:name="__RefHeading___Toc2567574_3650668749"/>
      <w:bookmarkStart w:id="2837" w:name="_Toc1296"/>
      <w:bookmarkEnd w:id="2836"/>
      <w:r>
        <w:rPr>
          <w:rtl w:val="true"/>
        </w:rPr>
        <w:t>[ (</w:t>
      </w:r>
      <w:r>
        <w:rPr>
          <w:rtl w:val="true"/>
        </w:rPr>
        <w:t xml:space="preserve">مسألة </w:t>
      </w:r>
      <w:r>
        <w:rPr/>
        <w:t>13</w:t>
      </w:r>
      <w:r>
        <w:rPr>
          <w:rtl w:val="true"/>
        </w:rPr>
        <w:t xml:space="preserve">): </w:t>
      </w:r>
      <w:r>
        <w:rPr>
          <w:rtl w:val="true"/>
        </w:rPr>
        <w:t>الصوم کالصلاة فی أنّه یجب علی الولیّ قضاء ما فات عنه لعذر</w:t>
      </w:r>
      <w:r>
        <w:rPr>
          <w:rtl w:val="true"/>
        </w:rPr>
        <w:t>]</w:t>
      </w:r>
      <w:bookmarkEnd w:id="28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کالصلاة فی أنّه یجب علی الولیّ قضاء ما فات عنه لعذر </w:t>
      </w:r>
      <w:r>
        <w:rPr>
          <w:rStyle w:val="FootnoteAnchor"/>
          <w:rtl w:val="true"/>
        </w:rPr>
        <w:footnoteReference w:id="821"/>
      </w:r>
      <w:r>
        <w:rPr>
          <w:rFonts w:ascii="IRNazanin" w:hAnsi="IRNazanin" w:eastAsia="IRNazanin"/>
          <w:color w:val="111111"/>
          <w:sz w:val="28"/>
          <w:sz w:val="28"/>
          <w:szCs w:val="28"/>
          <w:rtl w:val="true"/>
          <w:lang w:bidi="fa-IR"/>
        </w:rPr>
        <w:t>، لکن فیما إذا کان فوته یوجب القضاء، فإذا فاته لعذر و مات فی أثناء رمضان أو کان مریضاً و استمرّ مرضه إلیٰ رمضان آخر لا یجب لسقوط القضاء حینئذٍ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ما إذا ترک المیّت ما یمکن التصدّق به عنه و عدمه، و إن کان الأحوط فی الأوّل مع رضا الورثة الجمع بین التصدّق و القضاء، و قد تقدّم فی قضاء الصلاة بعض الفروع المتعلّقة بالمقام</w:t>
      </w:r>
      <w:r>
        <w:rPr>
          <w:rFonts w:eastAsia="IRNazanin" w:cs="IRNazanin"/>
          <w:color w:val="111111"/>
          <w:sz w:val="28"/>
          <w:szCs w:val="28"/>
          <w:rtl w:val="true"/>
          <w:lang w:bidi="fa-IR"/>
        </w:rPr>
        <w:t>.</w:t>
      </w:r>
    </w:p>
    <w:p>
      <w:pPr>
        <w:pStyle w:val="Heading3"/>
        <w:numPr>
          <w:ilvl w:val="2"/>
          <w:numId w:val="1"/>
        </w:numPr>
        <w:rPr/>
      </w:pPr>
      <w:bookmarkStart w:id="2838" w:name="__RefHeading___Toc2567576_3650668749"/>
      <w:bookmarkStart w:id="2839" w:name="_Toc1297"/>
      <w:bookmarkEnd w:id="2838"/>
      <w:r>
        <w:rPr>
          <w:rtl w:val="true"/>
        </w:rPr>
        <w:t>[</w:t>
      </w:r>
      <w:r>
        <w:rPr>
          <w:rtl w:val="true"/>
        </w:rPr>
        <w:t>القول فی أقسام الصوم</w:t>
      </w:r>
      <w:r>
        <w:rPr>
          <w:rtl w:val="true"/>
        </w:rPr>
        <w:t>]</w:t>
      </w:r>
      <w:bookmarkEnd w:id="2839"/>
    </w:p>
    <w:p>
      <w:pPr>
        <w:pStyle w:val="Heading4"/>
        <w:numPr>
          <w:ilvl w:val="3"/>
          <w:numId w:val="1"/>
        </w:numPr>
        <w:rPr/>
      </w:pPr>
      <w:bookmarkStart w:id="2840" w:name="__RefHeading___Toc2567578_3650668749"/>
      <w:bookmarkStart w:id="2841" w:name="_Toc1298"/>
      <w:bookmarkEnd w:id="2840"/>
      <w:r>
        <w:rPr>
          <w:rtl w:val="true"/>
        </w:rPr>
        <w:t>اشارة</w:t>
      </w:r>
      <w:bookmarkEnd w:id="2841"/>
    </w:p>
    <w:p>
      <w:pPr>
        <w:pStyle w:val="BookText"/>
        <w:rPr/>
      </w:pPr>
      <w:r>
        <w:rPr>
          <w:rFonts w:ascii="IRNazanin" w:hAnsi="IRNazanin" w:eastAsia="IRNazanin"/>
          <w:color w:val="111111"/>
          <w:sz w:val="28"/>
          <w:sz w:val="28"/>
          <w:szCs w:val="28"/>
          <w:rtl w:val="true"/>
          <w:lang w:bidi="fa-IR"/>
        </w:rPr>
        <w:t>القول فی أقسام الصوم و 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مندوب و مکروه و محظور، فالواجب من الصوم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 و صوم الکفّارة، و صوم القضاء، و صوم دم المتعة فی الحجّ، و صوم النذر و العهد و الیمین و نحوها، و صوم الیوم الثالث من أیّام الاعتکاف</w:t>
      </w:r>
      <w:r>
        <w:rPr>
          <w:rFonts w:eastAsia="IRNazanin" w:cs="IRNazanin"/>
          <w:color w:val="111111"/>
          <w:sz w:val="28"/>
          <w:szCs w:val="28"/>
          <w:rtl w:val="true"/>
          <w:lang w:bidi="fa-IR"/>
        </w:rPr>
        <w:t>.</w:t>
      </w:r>
    </w:p>
    <w:p>
      <w:pPr>
        <w:pStyle w:val="Heading4"/>
        <w:numPr>
          <w:ilvl w:val="3"/>
          <w:numId w:val="1"/>
        </w:numPr>
        <w:rPr/>
      </w:pPr>
      <w:bookmarkStart w:id="2842" w:name="__RefHeading___Toc2567580_3650668749"/>
      <w:bookmarkStart w:id="2843" w:name="_Toc1299"/>
      <w:bookmarkEnd w:id="2842"/>
      <w:r>
        <w:rPr>
          <w:rtl w:val="true"/>
        </w:rPr>
        <w:t>[</w:t>
      </w:r>
      <w:r>
        <w:rPr>
          <w:rtl w:val="true"/>
        </w:rPr>
        <w:t>القول فی صوم الکفّارة</w:t>
      </w:r>
      <w:r>
        <w:rPr>
          <w:rtl w:val="true"/>
        </w:rPr>
        <w:t>]</w:t>
      </w:r>
      <w:bookmarkEnd w:id="2843"/>
    </w:p>
    <w:p>
      <w:pPr>
        <w:pStyle w:val="Heading5"/>
        <w:numPr>
          <w:ilvl w:val="4"/>
          <w:numId w:val="1"/>
        </w:numPr>
        <w:rPr/>
      </w:pPr>
      <w:bookmarkStart w:id="2844" w:name="__RefHeading___Toc2567582_3650668749"/>
      <w:bookmarkStart w:id="2845" w:name="_Toc1300"/>
      <w:bookmarkEnd w:id="2844"/>
      <w:r>
        <w:rPr>
          <w:rtl w:val="true"/>
        </w:rPr>
        <w:t>اشارة</w:t>
      </w:r>
      <w:bookmarkEnd w:id="2845"/>
    </w:p>
    <w:p>
      <w:pPr>
        <w:pStyle w:val="BookText"/>
        <w:rPr/>
      </w:pPr>
      <w:r>
        <w:rPr>
          <w:rFonts w:ascii="IRNazanin" w:hAnsi="IRNazanin" w:eastAsia="IRNazanin"/>
          <w:color w:val="111111"/>
          <w:sz w:val="28"/>
          <w:sz w:val="28"/>
          <w:szCs w:val="28"/>
          <w:rtl w:val="true"/>
          <w:lang w:bidi="fa-IR"/>
        </w:rPr>
        <w:t>القول فی صوم الکفّارة و هو علیٰ أقسام</w:t>
      </w:r>
      <w:r>
        <w:rPr>
          <w:rFonts w:eastAsia="IRNazanin" w:cs="IRNazanin"/>
          <w:color w:val="111111"/>
          <w:sz w:val="28"/>
          <w:szCs w:val="28"/>
          <w:rtl w:val="true"/>
          <w:lang w:bidi="fa-IR"/>
        </w:rPr>
        <w:t>:</w:t>
      </w:r>
    </w:p>
    <w:p>
      <w:pPr>
        <w:pStyle w:val="Heading5"/>
        <w:numPr>
          <w:ilvl w:val="4"/>
          <w:numId w:val="1"/>
        </w:numPr>
        <w:rPr/>
      </w:pPr>
      <w:bookmarkStart w:id="2846" w:name="__RefHeading___Toc2567584_3650668749"/>
      <w:bookmarkStart w:id="2847" w:name="_Toc1301"/>
      <w:bookmarkEnd w:id="2846"/>
      <w:r>
        <w:rPr>
          <w:rtl w:val="true"/>
        </w:rPr>
        <w:t>[</w:t>
      </w:r>
      <w:r>
        <w:rPr>
          <w:rtl w:val="true"/>
        </w:rPr>
        <w:t>منها</w:t>
      </w:r>
      <w:r>
        <w:rPr>
          <w:rtl w:val="true"/>
        </w:rPr>
        <w:t xml:space="preserve">: </w:t>
      </w:r>
      <w:r>
        <w:rPr>
          <w:rtl w:val="true"/>
        </w:rPr>
        <w:t>ما یجب مع غیره</w:t>
      </w:r>
      <w:r>
        <w:rPr>
          <w:rtl w:val="true"/>
        </w:rPr>
        <w:t>]</w:t>
      </w:r>
      <w:bookmarkEnd w:id="284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مع غیره؛ و هی کفّارة قتل العمد، و کفّارة من أفطر فی شهر رمضان علیٰ محرّم، فإنّه تجب فیهما </w:t>
      </w:r>
      <w:r>
        <w:rPr>
          <w:rStyle w:val="FootnoteAnchor"/>
          <w:rtl w:val="true"/>
        </w:rPr>
        <w:footnoteReference w:id="822"/>
      </w:r>
      <w:r>
        <w:rPr>
          <w:rFonts w:ascii="IRNazanin" w:hAnsi="IRNazanin" w:eastAsia="IRNazanin"/>
          <w:color w:val="111111"/>
          <w:sz w:val="28"/>
          <w:sz w:val="28"/>
          <w:szCs w:val="28"/>
          <w:rtl w:val="true"/>
          <w:lang w:bidi="fa-IR"/>
        </w:rPr>
        <w:t>الخصال الثلاث</w:t>
      </w:r>
      <w:r>
        <w:rPr>
          <w:rFonts w:eastAsia="IRNazanin" w:cs="IRNazanin"/>
          <w:color w:val="111111"/>
          <w:sz w:val="28"/>
          <w:szCs w:val="28"/>
          <w:rtl w:val="true"/>
          <w:lang w:bidi="fa-IR"/>
        </w:rPr>
        <w:t>.</w:t>
      </w:r>
    </w:p>
    <w:p>
      <w:pPr>
        <w:pStyle w:val="Heading5"/>
        <w:numPr>
          <w:ilvl w:val="4"/>
          <w:numId w:val="1"/>
        </w:numPr>
        <w:rPr/>
      </w:pPr>
      <w:bookmarkStart w:id="2848" w:name="__RefHeading___Toc2567586_3650668749"/>
      <w:bookmarkStart w:id="2849" w:name="_Toc1302"/>
      <w:bookmarkEnd w:id="2848"/>
      <w:r>
        <w:rPr>
          <w:rtl w:val="true"/>
        </w:rPr>
        <w:t>[</w:t>
      </w:r>
      <w:r>
        <w:rPr>
          <w:rtl w:val="true"/>
        </w:rPr>
        <w:t>و منها</w:t>
      </w:r>
      <w:r>
        <w:rPr>
          <w:rtl w:val="true"/>
        </w:rPr>
        <w:t xml:space="preserve">: </w:t>
      </w:r>
      <w:r>
        <w:rPr>
          <w:rtl w:val="true"/>
        </w:rPr>
        <w:t>ما یجب فیه الصوم بعد العجز عن غیره</w:t>
      </w:r>
      <w:r>
        <w:rPr>
          <w:rtl w:val="true"/>
        </w:rPr>
        <w:t>]</w:t>
      </w:r>
      <w:bookmarkEnd w:id="284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فیه الصوم بعد العجز عن غیره؛ و هی کفّارة الظهار و کفّارة قتل الخطأ، فإنّ وجوب الصوم فیهما بعد العجز عن العتق، و کفّارة الإفطار فی قضاء شهر رمضان، فإنّ الصوم فیها بعد العجز عن الإطعام، و کفّارة الیمین و هی عتق رقبة أو إطعام عشرة مساکین أو کسوتهم، و إن لم یقدر فصیام ثلاثة أیّام، و کفّارة صید النعامة، فإنّها صیام</w:t>
      </w:r>
      <w:bookmarkStart w:id="2850" w:name="pg1809_19191"/>
    </w:p>
    <w:p>
      <w:pPr>
        <w:pStyle w:val="BookText"/>
        <w:rPr/>
      </w:pPr>
      <w:bookmarkEnd w:id="2850"/>
      <w:r>
        <w:rPr>
          <w:rFonts w:ascii="IRNazanin" w:hAnsi="IRNazanin" w:eastAsia="IRNazanin"/>
          <w:color w:val="111111"/>
          <w:sz w:val="28"/>
          <w:sz w:val="28"/>
          <w:szCs w:val="28"/>
          <w:rtl w:val="true"/>
          <w:lang w:bidi="fa-IR"/>
        </w:rPr>
        <w:t xml:space="preserve">ثمانیة عشر یوماً بعد العجز عن البدنة </w:t>
      </w:r>
      <w:r>
        <w:rPr>
          <w:rStyle w:val="FootnoteAnchor"/>
          <w:rtl w:val="true"/>
        </w:rPr>
        <w:footnoteReference w:id="823"/>
      </w:r>
      <w:r>
        <w:rPr>
          <w:rFonts w:ascii="IRNazanin" w:hAnsi="IRNazanin" w:eastAsia="IRNazanin"/>
          <w:color w:val="111111"/>
          <w:sz w:val="28"/>
          <w:sz w:val="28"/>
          <w:szCs w:val="28"/>
          <w:rtl w:val="true"/>
          <w:lang w:bidi="fa-IR"/>
        </w:rPr>
        <w:t xml:space="preserve">، و کفّارة صید البقر الوحشیّ، صوم تسعة أیّام بعد العجز عن ذبح </w:t>
      </w:r>
      <w:r>
        <w:rPr>
          <w:rStyle w:val="FootnoteAnchor"/>
          <w:rtl w:val="true"/>
        </w:rPr>
        <w:footnoteReference w:id="824"/>
      </w:r>
      <w:r>
        <w:rPr>
          <w:rFonts w:ascii="IRNazanin" w:hAnsi="IRNazanin" w:eastAsia="IRNazanin"/>
          <w:color w:val="111111"/>
          <w:sz w:val="28"/>
          <w:sz w:val="28"/>
          <w:szCs w:val="28"/>
          <w:rtl w:val="true"/>
          <w:lang w:bidi="fa-IR"/>
        </w:rPr>
        <w:t xml:space="preserve">البقرة، و کفّارة صید الغزال، صوم ثلاثة أیّام بعد العجز عن شاة </w:t>
      </w:r>
      <w:r>
        <w:rPr>
          <w:rStyle w:val="FootnoteAnchor"/>
          <w:rtl w:val="true"/>
        </w:rPr>
        <w:footnoteReference w:id="825"/>
      </w:r>
      <w:r>
        <w:rPr>
          <w:rFonts w:ascii="IRNazanin" w:hAnsi="IRNazanin" w:eastAsia="IRNazanin"/>
          <w:color w:val="111111"/>
          <w:sz w:val="28"/>
          <w:sz w:val="28"/>
          <w:szCs w:val="28"/>
          <w:rtl w:val="true"/>
          <w:lang w:bidi="fa-IR"/>
        </w:rPr>
        <w:t xml:space="preserve">، و کفّارة الإفاضة من عرفات قبل الغروب عامداً، ثمانیة عشر یوماً بعد العجز عن بدنة، و کفّارة خدش المرأة وجهها فی المصاب حتّی أدمته و نتفها رأسها فیه، و کفّارة شقّ الرجل ثوبه علیٰ زوجته </w:t>
      </w:r>
      <w:r>
        <w:rPr>
          <w:rStyle w:val="FootnoteAnchor"/>
          <w:rtl w:val="true"/>
        </w:rPr>
        <w:footnoteReference w:id="826"/>
      </w:r>
      <w:r>
        <w:rPr>
          <w:rFonts w:ascii="IRNazanin" w:hAnsi="IRNazanin" w:eastAsia="IRNazanin"/>
          <w:color w:val="111111"/>
          <w:sz w:val="28"/>
          <w:sz w:val="28"/>
          <w:szCs w:val="28"/>
          <w:rtl w:val="true"/>
          <w:lang w:bidi="fa-IR"/>
        </w:rPr>
        <w:t>، فإنّهما ککفّارة الیمین</w:t>
      </w:r>
      <w:r>
        <w:rPr>
          <w:rFonts w:eastAsia="IRNazanin" w:cs="IRNazanin"/>
          <w:color w:val="111111"/>
          <w:sz w:val="28"/>
          <w:szCs w:val="28"/>
          <w:rtl w:val="true"/>
          <w:lang w:bidi="fa-IR"/>
        </w:rPr>
        <w:t>.</w:t>
      </w:r>
    </w:p>
    <w:p>
      <w:pPr>
        <w:pStyle w:val="Heading5"/>
        <w:numPr>
          <w:ilvl w:val="4"/>
          <w:numId w:val="1"/>
        </w:numPr>
        <w:rPr/>
      </w:pPr>
      <w:bookmarkStart w:id="2851" w:name="__RefHeading___Toc2567588_3650668749"/>
      <w:bookmarkStart w:id="2852" w:name="_Toc1303"/>
      <w:bookmarkEnd w:id="2851"/>
      <w:r>
        <w:rPr>
          <w:rtl w:val="true"/>
        </w:rPr>
        <w:t>[</w:t>
      </w:r>
      <w:r>
        <w:rPr>
          <w:rtl w:val="true"/>
        </w:rPr>
        <w:t>و منها</w:t>
      </w:r>
      <w:r>
        <w:rPr>
          <w:rtl w:val="true"/>
        </w:rPr>
        <w:t xml:space="preserve">: </w:t>
      </w:r>
      <w:r>
        <w:rPr>
          <w:rtl w:val="true"/>
        </w:rPr>
        <w:t>ما یجب فیه الصوم مخیّراً بینه و بین غیره</w:t>
      </w:r>
      <w:r>
        <w:rPr>
          <w:rtl w:val="true"/>
        </w:rPr>
        <w:t>]</w:t>
      </w:r>
      <w:bookmarkEnd w:id="2852"/>
    </w:p>
    <w:p>
      <w:pPr>
        <w:pStyle w:val="Heading6"/>
        <w:numPr>
          <w:ilvl w:val="5"/>
          <w:numId w:val="1"/>
        </w:numPr>
        <w:rPr/>
      </w:pPr>
      <w:bookmarkStart w:id="2853" w:name="__RefHeading___Toc2567590_3650668749"/>
      <w:bookmarkStart w:id="2854" w:name="_Toc1304"/>
      <w:bookmarkEnd w:id="2853"/>
      <w:r>
        <w:rPr>
          <w:rtl w:val="true"/>
        </w:rPr>
        <w:t>اشارة</w:t>
      </w:r>
      <w:bookmarkEnd w:id="285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فیه الصوم مخیّراً بینه و بین غیره، و هی کفّارة الإفطار فی شهر رمضان و کفّارة الاعتکاف و کفّارة جزّ المرأة شعرها فی المصاب، فإنّ کلّ هذه مخیّرة بین الخصال الثلاث، و کذا کفّارة النذر و العهد علی المشهور </w:t>
      </w:r>
      <w:r>
        <w:rPr>
          <w:rStyle w:val="FootnoteAnchor"/>
          <w:rtl w:val="true"/>
        </w:rPr>
        <w:footnoteReference w:id="827"/>
      </w:r>
      <w:r>
        <w:rPr>
          <w:rFonts w:ascii="IRNazanin" w:hAnsi="IRNazanin" w:eastAsia="IRNazanin"/>
          <w:color w:val="111111"/>
          <w:sz w:val="28"/>
          <w:sz w:val="28"/>
          <w:szCs w:val="28"/>
          <w:rtl w:val="true"/>
          <w:lang w:bidi="fa-IR"/>
        </w:rPr>
        <w:t>، و الأقوی عندی أنّ کفّارة النذر ککفّارة الیمین</w:t>
      </w:r>
      <w:r>
        <w:rPr>
          <w:rFonts w:eastAsia="IRNazanin" w:cs="IRNazanin"/>
          <w:color w:val="111111"/>
          <w:sz w:val="28"/>
          <w:szCs w:val="28"/>
          <w:rtl w:val="true"/>
          <w:lang w:bidi="fa-IR"/>
        </w:rPr>
        <w:t>.</w:t>
      </w:r>
      <w:bookmarkStart w:id="2855" w:name="pg1809_19193"/>
    </w:p>
    <w:p>
      <w:pPr>
        <w:pStyle w:val="Heading6"/>
        <w:numPr>
          <w:ilvl w:val="5"/>
          <w:numId w:val="1"/>
        </w:numPr>
        <w:rPr/>
      </w:pPr>
      <w:bookmarkStart w:id="2856" w:name="__RefHeading___Toc2567592_3650668749"/>
      <w:bookmarkStart w:id="2857" w:name="_Toc1305"/>
      <w:bookmarkEnd w:id="2855"/>
      <w:bookmarkEnd w:id="2856"/>
      <w:r>
        <w:rPr>
          <w:rtl w:val="true"/>
        </w:rPr>
        <w:t>[ (</w:t>
      </w:r>
      <w:r>
        <w:rPr>
          <w:rtl w:val="true"/>
        </w:rPr>
        <w:t xml:space="preserve">مسألة </w:t>
      </w:r>
      <w:r>
        <w:rPr/>
        <w:t>1</w:t>
      </w:r>
      <w:r>
        <w:rPr>
          <w:rtl w:val="true"/>
        </w:rPr>
        <w:t xml:space="preserve">): </w:t>
      </w:r>
      <w:r>
        <w:rPr>
          <w:rtl w:val="true"/>
        </w:rPr>
        <w:t>یجب التتابع فی صوم شهرین من کفّارة الجمع أو کفّارة التخییر</w:t>
      </w:r>
      <w:r>
        <w:rPr>
          <w:rtl w:val="true"/>
        </w:rPr>
        <w:t>]</w:t>
      </w:r>
      <w:bookmarkEnd w:id="28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التتابع فی صوم شهرین من کفّارة الجمع أو کفّارة التخییر </w:t>
      </w:r>
      <w:r>
        <w:rPr>
          <w:rStyle w:val="FootnoteAnchor"/>
          <w:rtl w:val="true"/>
        </w:rPr>
        <w:footnoteReference w:id="828"/>
      </w:r>
      <w:r>
        <w:rPr>
          <w:rFonts w:ascii="IRNazanin" w:hAnsi="IRNazanin" w:eastAsia="IRNazanin"/>
          <w:color w:val="111111"/>
          <w:sz w:val="28"/>
          <w:sz w:val="28"/>
          <w:szCs w:val="28"/>
          <w:rtl w:val="true"/>
          <w:lang w:bidi="fa-IR"/>
        </w:rPr>
        <w:t xml:space="preserve">، و یکفی فی حصوله صوم الشهر الأوّل و یوم من الشهر الثانی کما مرّ، و کذا یجب </w:t>
      </w:r>
      <w:r>
        <w:rPr>
          <w:rStyle w:val="FootnoteAnchor"/>
          <w:rtl w:val="true"/>
        </w:rPr>
        <w:footnoteReference w:id="829"/>
      </w:r>
      <w:r>
        <w:rPr>
          <w:rFonts w:ascii="IRNazanin" w:hAnsi="IRNazanin" w:eastAsia="IRNazanin"/>
          <w:color w:val="111111"/>
          <w:sz w:val="28"/>
          <w:sz w:val="28"/>
          <w:szCs w:val="28"/>
          <w:rtl w:val="true"/>
          <w:lang w:bidi="fa-IR"/>
        </w:rPr>
        <w:t>التتابع فی الثمانیة عشر بدل الشهرین، بل هو الأحوط فی صیام سائر الکفّارات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بالتتابع فیما یشترط فیه التتابع الإفطار فی الأثناء لعذر من الأعذار فیبنی علیٰ ما مضی کما تقدّم</w:t>
      </w:r>
      <w:r>
        <w:rPr>
          <w:rFonts w:eastAsia="IRNazanin" w:cs="IRNazanin"/>
          <w:color w:val="111111"/>
          <w:sz w:val="28"/>
          <w:szCs w:val="28"/>
          <w:rtl w:val="true"/>
          <w:lang w:bidi="fa-IR"/>
        </w:rPr>
        <w:t>.</w:t>
      </w:r>
    </w:p>
    <w:p>
      <w:pPr>
        <w:pStyle w:val="Heading4"/>
        <w:numPr>
          <w:ilvl w:val="3"/>
          <w:numId w:val="1"/>
        </w:numPr>
        <w:rPr/>
      </w:pPr>
      <w:bookmarkStart w:id="2858" w:name="__RefHeading___Toc2567594_3650668749"/>
      <w:bookmarkStart w:id="2859" w:name="_Toc1306"/>
      <w:bookmarkEnd w:id="2858"/>
      <w:r>
        <w:rPr>
          <w:rtl w:val="true"/>
        </w:rPr>
        <w:t>[</w:t>
      </w:r>
      <w:r>
        <w:rPr>
          <w:rtl w:val="true"/>
        </w:rPr>
        <w:t>و أمّا المندوب من الصوم</w:t>
      </w:r>
      <w:r>
        <w:rPr>
          <w:rtl w:val="true"/>
        </w:rPr>
        <w:t>]</w:t>
      </w:r>
      <w:bookmarkEnd w:id="2859"/>
    </w:p>
    <w:p>
      <w:pPr>
        <w:pStyle w:val="BookText"/>
        <w:rPr/>
      </w:pPr>
      <w:r>
        <w:rPr>
          <w:rFonts w:ascii="IRNazanin" w:hAnsi="IRNazanin" w:eastAsia="IRNazanin"/>
          <w:color w:val="111111"/>
          <w:sz w:val="28"/>
          <w:sz w:val="28"/>
          <w:szCs w:val="28"/>
          <w:rtl w:val="true"/>
          <w:lang w:bidi="fa-IR"/>
        </w:rPr>
        <w:t>و أمّا المندوب من الصوم فالمؤکّد منه أفراد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ثلاثة أیّام من کلّ شهر، و أفضل کیفیّتها أوّل خمیس منه و آخر خمیس منه و أوّل أربعاء فی العشر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اللیالی البیض، و هی الثالث عشر و الرابع عشر و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الغدیر، و هو الثامن عشر من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مولود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السابع عشر من ربیع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مبعثه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الیوم السابع و العشرون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دحو الأرض، و هو الیوم الخامس و العشرون من ذی القعدة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عرفة لمن لم یضعفه الصوم عمّا عزم علیه من الدعاء مع تحقّق الهلال علیٰ وجه لا یحتمل وقوعه فی یوم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المباهلة </w:t>
      </w:r>
      <w:r>
        <w:rPr>
          <w:rStyle w:val="FootnoteAnchor"/>
          <w:rtl w:val="true"/>
        </w:rPr>
        <w:footnoteReference w:id="830"/>
      </w:r>
      <w:r>
        <w:rPr>
          <w:rFonts w:ascii="IRNazanin" w:hAnsi="IRNazanin" w:eastAsia="IRNazanin"/>
          <w:color w:val="111111"/>
          <w:sz w:val="28"/>
          <w:sz w:val="28"/>
          <w:szCs w:val="28"/>
          <w:rtl w:val="true"/>
          <w:lang w:bidi="fa-IR"/>
        </w:rPr>
        <w:t>، و هو الرابع و العشرون من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خمیس و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ذی الحجّة، بل کلّ یوم من أوّله إلی یوم التاسع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 شعبان کلّا أو بعضاً و لو یوماً من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یوم من المحرّم و ثالثه و سابعه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ستّة أیّام </w:t>
      </w:r>
      <w:r>
        <w:rPr>
          <w:rStyle w:val="FootnoteAnchor"/>
          <w:rtl w:val="true"/>
        </w:rPr>
        <w:footnoteReference w:id="832"/>
      </w:r>
      <w:r>
        <w:rPr>
          <w:rFonts w:ascii="IRNazanin" w:hAnsi="IRNazanin" w:eastAsia="IRNazanin"/>
          <w:color w:val="111111"/>
          <w:sz w:val="28"/>
          <w:sz w:val="28"/>
          <w:szCs w:val="28"/>
          <w:rtl w:val="true"/>
          <w:lang w:bidi="fa-IR"/>
        </w:rPr>
        <w:t>بعد عید الفطر، و الأولی جعلها بعد ثلاثة أیّام أحدها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النصف </w:t>
      </w:r>
      <w:r>
        <w:rPr>
          <w:rStyle w:val="FootnoteAnchor"/>
          <w:rtl w:val="true"/>
        </w:rPr>
        <w:footnoteReference w:id="833"/>
      </w:r>
      <w:r>
        <w:rPr>
          <w:rFonts w:ascii="Amiri" w:hAnsi="Amiri" w:eastAsia="Amiri" w:cs="Amiri"/>
          <w:color w:val="111111"/>
          <w:sz w:val="28"/>
          <w:sz w:val="28"/>
          <w:szCs w:val="28"/>
          <w:rtl w:val="true"/>
          <w:lang w:bidi="ar-SA"/>
        </w:rPr>
        <w:t>من جمادی الأُولیٰ</w:t>
      </w:r>
      <w:r>
        <w:rPr>
          <w:rFonts w:eastAsia="Amiri" w:cs="Amiri" w:ascii="Amiri" w:hAnsi="Amiri"/>
          <w:color w:val="111111"/>
          <w:sz w:val="28"/>
          <w:szCs w:val="28"/>
          <w:rtl w:val="true"/>
          <w:lang w:bidi="ar-SA"/>
        </w:rPr>
        <w:t>.</w:t>
      </w:r>
      <w:bookmarkStart w:id="2860" w:name="pg1809_19195"/>
    </w:p>
    <w:p>
      <w:pPr>
        <w:pStyle w:val="Heading4"/>
        <w:numPr>
          <w:ilvl w:val="3"/>
          <w:numId w:val="1"/>
        </w:numPr>
        <w:rPr/>
      </w:pPr>
      <w:bookmarkStart w:id="2861" w:name="__RefHeading___Toc2567596_3650668749"/>
      <w:bookmarkStart w:id="2862" w:name="_Toc1307"/>
      <w:bookmarkEnd w:id="2860"/>
      <w:bookmarkEnd w:id="2861"/>
      <w:r>
        <w:rPr>
          <w:rtl w:val="true"/>
        </w:rPr>
        <w:t>[</w:t>
      </w:r>
      <w:r>
        <w:rPr>
          <w:rtl w:val="true"/>
        </w:rPr>
        <w:t>و أمّا المکروه</w:t>
      </w:r>
      <w:r>
        <w:rPr>
          <w:rtl w:val="true"/>
        </w:rPr>
        <w:t>]</w:t>
      </w:r>
      <w:bookmarkEnd w:id="2862"/>
    </w:p>
    <w:p>
      <w:pPr>
        <w:pStyle w:val="Heading5"/>
        <w:numPr>
          <w:ilvl w:val="4"/>
          <w:numId w:val="1"/>
        </w:numPr>
        <w:rPr/>
      </w:pPr>
      <w:bookmarkStart w:id="2863" w:name="__RefHeading___Toc2567598_3650668749"/>
      <w:bookmarkStart w:id="2864" w:name="_Toc1308"/>
      <w:bookmarkEnd w:id="2863"/>
      <w:r>
        <w:rPr>
          <w:rtl w:val="true"/>
        </w:rPr>
        <w:t>اشارة</w:t>
      </w:r>
      <w:bookmarkEnd w:id="2864"/>
    </w:p>
    <w:p>
      <w:pPr>
        <w:pStyle w:val="BookText"/>
        <w:rPr/>
      </w:pPr>
      <w:r>
        <w:rPr>
          <w:rFonts w:ascii="IRNazanin" w:hAnsi="IRNazanin" w:eastAsia="IRNazanin"/>
          <w:color w:val="111111"/>
          <w:sz w:val="28"/>
          <w:sz w:val="28"/>
          <w:szCs w:val="28"/>
          <w:rtl w:val="true"/>
          <w:lang w:bidi="fa-IR"/>
        </w:rPr>
        <w:t xml:space="preserve">و أمّا المکروه فصوم یوم عرفة </w:t>
      </w:r>
      <w:r>
        <w:rPr>
          <w:rStyle w:val="FootnoteAnchor"/>
          <w:rtl w:val="true"/>
        </w:rPr>
        <w:footnoteReference w:id="834"/>
      </w:r>
      <w:r>
        <w:rPr>
          <w:rFonts w:ascii="IRNazanin" w:hAnsi="IRNazanin" w:eastAsia="IRNazanin"/>
          <w:color w:val="111111"/>
          <w:sz w:val="28"/>
          <w:sz w:val="28"/>
          <w:szCs w:val="28"/>
          <w:rtl w:val="true"/>
          <w:lang w:bidi="fa-IR"/>
        </w:rPr>
        <w:t>لمن خاف أن یُضعفه عن الدعاء الذی هو أفضل من الصوم، و کذا صومه مع الشکّ فی الهلال و لو لوجود غیم و نحوه خوفاً من أن یکون یوم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أیضاً صوم الضیف نافلة من دون إذن مضیفه و کذا مع النهی، و إن کان الأحوط ترکه حینئذٍ، بل الأحوط ترکه مع عدم الإذن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یکره صوم الولد من غیر إذن والده و مع النهی ما لم یکن بذلک إیذاء له من حیث الشفقة، بل لا یترک </w:t>
      </w:r>
      <w:r>
        <w:rPr>
          <w:rStyle w:val="FootnoteAnchor"/>
          <w:rtl w:val="true"/>
        </w:rPr>
        <w:footnoteReference w:id="835"/>
      </w:r>
      <w:r>
        <w:rPr>
          <w:rFonts w:ascii="IRNazanin" w:hAnsi="IRNazanin" w:eastAsia="IRNazanin"/>
          <w:color w:val="111111"/>
          <w:sz w:val="28"/>
          <w:sz w:val="28"/>
          <w:szCs w:val="28"/>
          <w:rtl w:val="true"/>
          <w:lang w:bidi="fa-IR"/>
        </w:rPr>
        <w:t>الاحتیاط فی ترک الصوم مع عدم الإذن فضلًا عن النهی، کما أنّ الأحوط إجراء الحکم علی الولد و إن نزل و الوالد و إن علا، بل الأولیٰ مراعاة إذن الوالدة أیضاً</w:t>
      </w:r>
      <w:r>
        <w:rPr>
          <w:rFonts w:eastAsia="IRNazanin" w:cs="IRNazanin"/>
          <w:color w:val="111111"/>
          <w:sz w:val="28"/>
          <w:szCs w:val="28"/>
          <w:rtl w:val="true"/>
          <w:lang w:bidi="fa-IR"/>
        </w:rPr>
        <w:t>.</w:t>
      </w:r>
    </w:p>
    <w:p>
      <w:pPr>
        <w:pStyle w:val="Heading5"/>
        <w:numPr>
          <w:ilvl w:val="4"/>
          <w:numId w:val="1"/>
        </w:numPr>
        <w:rPr/>
      </w:pPr>
      <w:bookmarkStart w:id="2865" w:name="__RefHeading___Toc2567600_3650668749"/>
      <w:bookmarkStart w:id="2866" w:name="_Toc1309"/>
      <w:bookmarkEnd w:id="2865"/>
      <w:r>
        <w:rPr>
          <w:rtl w:val="true"/>
        </w:rPr>
        <w:t>[ (</w:t>
      </w:r>
      <w:r>
        <w:rPr>
          <w:rtl w:val="true"/>
        </w:rPr>
        <w:t xml:space="preserve">مسألة </w:t>
      </w:r>
      <w:r>
        <w:rPr/>
        <w:t>1</w:t>
      </w:r>
      <w:r>
        <w:rPr>
          <w:rtl w:val="true"/>
        </w:rPr>
        <w:t xml:space="preserve">): </w:t>
      </w:r>
      <w:r>
        <w:rPr>
          <w:rtl w:val="true"/>
        </w:rPr>
        <w:t>یستحبّ للصائم ندباً أو موسّعاً الإفطار</w:t>
      </w:r>
      <w:r>
        <w:rPr>
          <w:rtl w:val="true"/>
        </w:rPr>
        <w:t>]</w:t>
      </w:r>
      <w:bookmarkEnd w:id="28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للصائم ندباً أو موسّعاً الإفطار؛ إذا دعاه أخوه المؤمن إلیٰ طعام، من غیر فرق بین من هیّأ له طعاماً و غیره، و بین من شقّ علیه المخالفة و غیره</w:t>
      </w:r>
      <w:r>
        <w:rPr>
          <w:rFonts w:eastAsia="IRNazanin" w:cs="IRNazanin"/>
          <w:color w:val="111111"/>
          <w:sz w:val="28"/>
          <w:szCs w:val="28"/>
          <w:rtl w:val="true"/>
          <w:lang w:bidi="fa-IR"/>
        </w:rPr>
        <w:t>.</w:t>
      </w:r>
    </w:p>
    <w:p>
      <w:pPr>
        <w:pStyle w:val="Heading4"/>
        <w:numPr>
          <w:ilvl w:val="3"/>
          <w:numId w:val="1"/>
        </w:numPr>
        <w:rPr/>
      </w:pPr>
      <w:bookmarkStart w:id="2867" w:name="__RefHeading___Toc2567602_3650668749"/>
      <w:bookmarkStart w:id="2868" w:name="_Toc1310"/>
      <w:bookmarkEnd w:id="2867"/>
      <w:r>
        <w:rPr>
          <w:rtl w:val="true"/>
        </w:rPr>
        <w:t>[</w:t>
      </w:r>
      <w:r>
        <w:rPr>
          <w:rtl w:val="true"/>
        </w:rPr>
        <w:t>و أمّا المحظور</w:t>
      </w:r>
      <w:r>
        <w:rPr>
          <w:rtl w:val="true"/>
        </w:rPr>
        <w:t>]</w:t>
      </w:r>
      <w:bookmarkEnd w:id="286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المحظور فصوم یومی العیدین و صوم أیّام التشریق لمن کان بمنیٰ؛ ناسکاً أو لٰا، علیٰ تأمّل </w:t>
      </w:r>
      <w:r>
        <w:rPr>
          <w:rStyle w:val="FootnoteAnchor"/>
          <w:rtl w:val="true"/>
        </w:rPr>
        <w:footnoteReference w:id="836"/>
      </w:r>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صوم یوم الثلاثین من شعبان بنیّة أنّه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الصوم وفاءً عن نذر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الصوم ساکتاً علیٰ معنیٰ نیّته کذلک و لو فی بعض الیوم، و لا بأس به إذا لم یکن السکوت منویّاً فیه و لو فی تمام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یحرم أیضاً صوم الوصال، و الأقوی کونه للأعمّ من نیّة صوم یوم و لیلة إلی السحر و یومین مع لیلة، و لا بأس بتأخیر الإفطار إلی السحر و إلی اللیلة الثانیة مع عدم النیّة، و إن کان الأحوط اجتنابه، کما أنّ الأحوط عدم صوم الزوجة و المملوک تطوّعاً بدون إذن الزوج و السیّد، بل لا یبعد </w:t>
      </w:r>
      <w:r>
        <w:rPr>
          <w:rStyle w:val="FootnoteAnchor"/>
          <w:rtl w:val="true"/>
        </w:rPr>
        <w:footnoteReference w:id="837"/>
      </w:r>
      <w:r>
        <w:rPr>
          <w:rFonts w:ascii="IRNazanin" w:hAnsi="IRNazanin" w:eastAsia="IRNazanin"/>
          <w:color w:val="111111"/>
          <w:sz w:val="28"/>
          <w:sz w:val="28"/>
          <w:szCs w:val="28"/>
          <w:rtl w:val="true"/>
          <w:lang w:bidi="fa-IR"/>
        </w:rPr>
        <w:t>عدم الجواز مع المزاحمة لحقّ السیّد و الزوج، و لا یترک الاحتیاط مع النهی مطلقاً</w:t>
      </w:r>
      <w:r>
        <w:rPr>
          <w:rFonts w:eastAsia="IRNazanin" w:cs="IRNazanin"/>
          <w:color w:val="111111"/>
          <w:sz w:val="28"/>
          <w:szCs w:val="28"/>
          <w:rtl w:val="true"/>
          <w:lang w:bidi="fa-IR"/>
        </w:rPr>
        <w:t>.</w:t>
      </w:r>
      <w:bookmarkStart w:id="2869" w:name="pg1809_19197"/>
    </w:p>
    <w:p>
      <w:pPr>
        <w:pStyle w:val="Heading3"/>
        <w:numPr>
          <w:ilvl w:val="2"/>
          <w:numId w:val="1"/>
        </w:numPr>
        <w:rPr/>
      </w:pPr>
      <w:bookmarkStart w:id="2870" w:name="__RefHeading___Toc2567604_3650668749"/>
      <w:bookmarkStart w:id="2871" w:name="_Toc1311"/>
      <w:bookmarkEnd w:id="2869"/>
      <w:bookmarkEnd w:id="2870"/>
      <w:r>
        <w:rPr>
          <w:rtl w:val="true"/>
        </w:rPr>
        <w:t>[</w:t>
      </w:r>
      <w:r>
        <w:rPr>
          <w:rtl w:val="true"/>
        </w:rPr>
        <w:t>خاتمة فی الاعتکاف</w:t>
      </w:r>
      <w:r>
        <w:rPr>
          <w:rtl w:val="true"/>
        </w:rPr>
        <w:t>]</w:t>
      </w:r>
      <w:bookmarkEnd w:id="2871"/>
    </w:p>
    <w:p>
      <w:pPr>
        <w:pStyle w:val="Heading4"/>
        <w:numPr>
          <w:ilvl w:val="3"/>
          <w:numId w:val="1"/>
        </w:numPr>
        <w:rPr/>
      </w:pPr>
      <w:bookmarkStart w:id="2872" w:name="__RefHeading___Toc2567606_3650668749"/>
      <w:bookmarkStart w:id="2873" w:name="_Toc1312"/>
      <w:bookmarkEnd w:id="2872"/>
      <w:r>
        <w:rPr>
          <w:rtl w:val="true"/>
        </w:rPr>
        <w:t>اشارة</w:t>
      </w:r>
      <w:bookmarkEnd w:id="2873"/>
    </w:p>
    <w:p>
      <w:pPr>
        <w:pStyle w:val="BookText"/>
        <w:rPr/>
      </w:pPr>
      <w:r>
        <w:rPr>
          <w:rFonts w:ascii="IRNazanin" w:hAnsi="IRNazanin" w:eastAsia="IRNazanin"/>
          <w:color w:val="111111"/>
          <w:sz w:val="28"/>
          <w:sz w:val="28"/>
          <w:szCs w:val="28"/>
          <w:rtl w:val="true"/>
          <w:lang w:bidi="fa-IR"/>
        </w:rPr>
        <w:t>خاتمة فی الاعتکاف و هو اللبث فی المسجد بقصد التعبّد به، و لا یعتبر فیه ضمّ قصد عبادة أُخری خارجة عنه و إن کان هو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مستحبّ بأصل الشرع و ربّما یجب لعارض؛ من نذر أو عهد أو یمین أو إجارة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فی کلّ وقت یصحّ فیه الصوم، و أفضل أوقاته شهر رمضان و أفضله العشر الأُخر منه و الکلام فی شروطه و أحکامه</w:t>
      </w:r>
      <w:r>
        <w:rPr>
          <w:rFonts w:eastAsia="IRNazanin" w:cs="IRNazanin"/>
          <w:color w:val="111111"/>
          <w:sz w:val="28"/>
          <w:szCs w:val="28"/>
          <w:rtl w:val="true"/>
          <w:lang w:bidi="fa-IR"/>
        </w:rPr>
        <w:t>.</w:t>
      </w:r>
    </w:p>
    <w:p>
      <w:pPr>
        <w:pStyle w:val="Heading4"/>
        <w:numPr>
          <w:ilvl w:val="3"/>
          <w:numId w:val="1"/>
        </w:numPr>
        <w:rPr/>
      </w:pPr>
      <w:bookmarkStart w:id="2874" w:name="__RefHeading___Toc2567608_3650668749"/>
      <w:bookmarkStart w:id="2875" w:name="_Toc1313"/>
      <w:bookmarkEnd w:id="2874"/>
      <w:r>
        <w:rPr>
          <w:rtl w:val="true"/>
        </w:rPr>
        <w:t>[</w:t>
      </w:r>
      <w:r>
        <w:rPr>
          <w:rtl w:val="true"/>
        </w:rPr>
        <w:t>القول فی شروطه</w:t>
      </w:r>
      <w:r>
        <w:rPr>
          <w:rtl w:val="true"/>
        </w:rPr>
        <w:t>]</w:t>
      </w:r>
      <w:bookmarkEnd w:id="2875"/>
    </w:p>
    <w:p>
      <w:pPr>
        <w:pStyle w:val="Heading5"/>
        <w:numPr>
          <w:ilvl w:val="4"/>
          <w:numId w:val="1"/>
        </w:numPr>
        <w:rPr/>
      </w:pPr>
      <w:bookmarkStart w:id="2876" w:name="__RefHeading___Toc2567610_3650668749"/>
      <w:bookmarkStart w:id="2877" w:name="_Toc1314"/>
      <w:bookmarkEnd w:id="2876"/>
      <w:r>
        <w:rPr>
          <w:rtl w:val="true"/>
        </w:rPr>
        <w:t>اشارة</w:t>
      </w:r>
      <w:bookmarkEnd w:id="2877"/>
    </w:p>
    <w:p>
      <w:pPr>
        <w:pStyle w:val="BookText"/>
        <w:rPr/>
      </w:pPr>
      <w:r>
        <w:rPr>
          <w:rFonts w:ascii="IRNazanin" w:hAnsi="IRNazanin" w:eastAsia="IRNazanin"/>
          <w:color w:val="111111"/>
          <w:sz w:val="28"/>
          <w:sz w:val="28"/>
          <w:szCs w:val="28"/>
          <w:rtl w:val="true"/>
          <w:lang w:bidi="fa-IR"/>
        </w:rPr>
        <w:t>القول فی شروطه</w:t>
      </w:r>
    </w:p>
    <w:p>
      <w:pPr>
        <w:pStyle w:val="Heading5"/>
        <w:numPr>
          <w:ilvl w:val="4"/>
          <w:numId w:val="1"/>
        </w:numPr>
        <w:rPr/>
      </w:pPr>
      <w:bookmarkStart w:id="2878" w:name="__RefHeading___Toc2567612_3650668749"/>
      <w:bookmarkStart w:id="2879" w:name="_Toc1315"/>
      <w:bookmarkEnd w:id="2878"/>
      <w:r>
        <w:rPr>
          <w:rtl w:val="true"/>
        </w:rPr>
        <w:t>[</w:t>
      </w:r>
      <w:r>
        <w:rPr>
          <w:rtl w:val="true"/>
        </w:rPr>
        <w:t>یشترط فی صحّته أُمور</w:t>
      </w:r>
      <w:r>
        <w:rPr>
          <w:rtl w:val="true"/>
        </w:rPr>
        <w:t>]</w:t>
      </w:r>
      <w:bookmarkEnd w:id="2879"/>
    </w:p>
    <w:p>
      <w:pPr>
        <w:pStyle w:val="Heading6"/>
        <w:numPr>
          <w:ilvl w:val="5"/>
          <w:numId w:val="1"/>
        </w:numPr>
        <w:rPr/>
      </w:pPr>
      <w:bookmarkStart w:id="2880" w:name="__RefHeading___Toc2567614_3650668749"/>
      <w:bookmarkStart w:id="2881" w:name="_Toc1316"/>
      <w:bookmarkEnd w:id="2880"/>
      <w:r>
        <w:rPr>
          <w:rtl w:val="true"/>
        </w:rPr>
        <w:t>اشارة</w:t>
      </w:r>
      <w:bookmarkEnd w:id="2881"/>
    </w:p>
    <w:p>
      <w:pPr>
        <w:pStyle w:val="BookText"/>
        <w:rPr/>
      </w:pPr>
      <w:r>
        <w:rPr>
          <w:rFonts w:ascii="Amiri" w:hAnsi="Amiri" w:eastAsia="Amiri" w:cs="Amiri"/>
          <w:color w:val="111111"/>
          <w:sz w:val="28"/>
          <w:sz w:val="28"/>
          <w:szCs w:val="28"/>
          <w:rtl w:val="true"/>
          <w:lang w:bidi="ar-SA"/>
        </w:rPr>
        <w:t>یشترط فی صحّته أُمور</w:t>
      </w:r>
      <w:r>
        <w:rPr>
          <w:rFonts w:eastAsia="Amiri" w:cs="Amiri" w:ascii="Amiri" w:hAnsi="Amiri"/>
          <w:color w:val="111111"/>
          <w:sz w:val="28"/>
          <w:szCs w:val="28"/>
          <w:rtl w:val="true"/>
          <w:lang w:bidi="ar-SA"/>
        </w:rPr>
        <w:t>:</w:t>
      </w:r>
    </w:p>
    <w:p>
      <w:pPr>
        <w:pStyle w:val="Heading6"/>
        <w:numPr>
          <w:ilvl w:val="5"/>
          <w:numId w:val="1"/>
        </w:numPr>
        <w:rPr/>
      </w:pPr>
      <w:bookmarkStart w:id="2882" w:name="__RefHeading___Toc2567616_3650668749"/>
      <w:bookmarkStart w:id="2883" w:name="_Toc1317"/>
      <w:bookmarkEnd w:id="2882"/>
      <w:r>
        <w:rPr>
          <w:rtl w:val="true"/>
        </w:rPr>
        <w:t>[</w:t>
      </w:r>
      <w:r>
        <w:rPr>
          <w:rtl w:val="true"/>
        </w:rPr>
        <w:t>الأوّل</w:t>
      </w:r>
      <w:r>
        <w:rPr>
          <w:rtl w:val="true"/>
        </w:rPr>
        <w:t xml:space="preserve">: </w:t>
      </w:r>
      <w:r>
        <w:rPr>
          <w:rtl w:val="true"/>
        </w:rPr>
        <w:t>العقل</w:t>
      </w:r>
      <w:r>
        <w:rPr>
          <w:rtl w:val="true"/>
        </w:rPr>
        <w:t>]</w:t>
      </w:r>
      <w:bookmarkEnd w:id="288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یصحّ من المجنون و لو أدواراً فی دوره، و لا من السکران و غیره من فاقدی العقل</w:t>
      </w:r>
      <w:r>
        <w:rPr>
          <w:rFonts w:eastAsia="IRNazanin" w:cs="IRNazanin"/>
          <w:color w:val="111111"/>
          <w:sz w:val="28"/>
          <w:szCs w:val="28"/>
          <w:rtl w:val="true"/>
          <w:lang w:bidi="fa-IR"/>
        </w:rPr>
        <w:t>.</w:t>
      </w:r>
    </w:p>
    <w:p>
      <w:pPr>
        <w:pStyle w:val="Heading6"/>
        <w:numPr>
          <w:ilvl w:val="5"/>
          <w:numId w:val="1"/>
        </w:numPr>
        <w:rPr/>
      </w:pPr>
      <w:bookmarkStart w:id="2884" w:name="__RefHeading___Toc2567618_3650668749"/>
      <w:bookmarkStart w:id="2885" w:name="_Toc1318"/>
      <w:bookmarkEnd w:id="2884"/>
      <w:r>
        <w:rPr>
          <w:rtl w:val="true"/>
        </w:rPr>
        <w:t>[</w:t>
      </w:r>
      <w:r>
        <w:rPr>
          <w:rtl w:val="true"/>
        </w:rPr>
        <w:t>الثانی</w:t>
      </w:r>
      <w:r>
        <w:rPr>
          <w:rtl w:val="true"/>
        </w:rPr>
        <w:t xml:space="preserve">: </w:t>
      </w:r>
      <w:r>
        <w:rPr>
          <w:rtl w:val="true"/>
        </w:rPr>
        <w:t>النیّة</w:t>
      </w:r>
      <w:r>
        <w:rPr>
          <w:rtl w:val="true"/>
        </w:rPr>
        <w:t>]</w:t>
      </w:r>
      <w:bookmarkEnd w:id="288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 لا یعتبر فیها بعد التعیین أزید من الإخلاص و قصد القربة، و لا یعتبر فیها قصد الوجه؛ من الوجوب أو الندب کغیره من العبادات و إن کان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یقصد الوجوب فی الواجب و الندب فی المندوب و إن وجب فیه الثالث کما یأتی، و الأولی ملاحظته فی ابتداء النیّة، بل تجدید نیّة الوجوب للیوم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النیّة فی ابتداء الاعتکاف أوّل الفجر من الیوم الأوّل؛ بمعنی عدم جواز تأخیرها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یشرع فیه فی أوّل اللیل أو فی أثنائه، فینویه حین الشروع، بل الأحوط إدخال اللیلة الأُولیٰ أیضاً و النیّة من أوّلها</w:t>
      </w:r>
      <w:r>
        <w:rPr>
          <w:rFonts w:eastAsia="IRNazanin" w:cs="IRNazanin"/>
          <w:color w:val="111111"/>
          <w:sz w:val="28"/>
          <w:szCs w:val="28"/>
          <w:rtl w:val="true"/>
          <w:lang w:bidi="fa-IR"/>
        </w:rPr>
        <w:t>.</w:t>
      </w:r>
    </w:p>
    <w:p>
      <w:pPr>
        <w:pStyle w:val="Heading6"/>
        <w:numPr>
          <w:ilvl w:val="5"/>
          <w:numId w:val="1"/>
        </w:numPr>
        <w:rPr/>
      </w:pPr>
      <w:bookmarkStart w:id="2886" w:name="__RefHeading___Toc2567620_3650668749"/>
      <w:bookmarkStart w:id="2887" w:name="_Toc1319"/>
      <w:bookmarkEnd w:id="2886"/>
      <w:r>
        <w:rPr>
          <w:rtl w:val="true"/>
        </w:rPr>
        <w:t>[</w:t>
      </w:r>
      <w:r>
        <w:rPr>
          <w:rtl w:val="true"/>
        </w:rPr>
        <w:t>الثالث</w:t>
      </w:r>
      <w:r>
        <w:rPr>
          <w:rtl w:val="true"/>
        </w:rPr>
        <w:t xml:space="preserve">: </w:t>
      </w:r>
      <w:r>
        <w:rPr>
          <w:rtl w:val="true"/>
        </w:rPr>
        <w:t>الصوم</w:t>
      </w:r>
      <w:r>
        <w:rPr>
          <w:rtl w:val="true"/>
        </w:rPr>
        <w:t>]</w:t>
      </w:r>
      <w:bookmarkEnd w:id="288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فلا یصحّ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یعتبر فیه کونه له، فیکفی صوم غیره؛ واجباً کان أو مستحبّاً، مؤدّیاً عن نفسه أو متحمّلًا عن غیره، من غیر فرق بین أقسام الاعتکاف و أنواع الصیام، حتّی أنّه یصحّ إیقاع الاعتکاف المنذور و الإجاری </w:t>
      </w:r>
      <w:r>
        <w:rPr>
          <w:rStyle w:val="FootnoteAnchor"/>
          <w:rtl w:val="true"/>
        </w:rPr>
        <w:footnoteReference w:id="838"/>
      </w:r>
      <w:r>
        <w:rPr>
          <w:rFonts w:ascii="IRNazanin" w:hAnsi="IRNazanin" w:eastAsia="IRNazanin"/>
          <w:color w:val="111111"/>
          <w:sz w:val="28"/>
          <w:sz w:val="28"/>
          <w:szCs w:val="28"/>
          <w:rtl w:val="true"/>
          <w:lang w:bidi="fa-IR"/>
        </w:rPr>
        <w:t>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نذر الاعتکاف فی أیّام معیّنة و کان علیه صوم منذور أجزأه الصوم فی أیّام الاعتکاف وفاءً عن النذر</w:t>
      </w:r>
      <w:r>
        <w:rPr>
          <w:rFonts w:eastAsia="IRNazanin" w:cs="IRNazanin"/>
          <w:color w:val="111111"/>
          <w:sz w:val="28"/>
          <w:szCs w:val="28"/>
          <w:rtl w:val="true"/>
          <w:lang w:bidi="fa-IR"/>
        </w:rPr>
        <w:t>.</w:t>
      </w:r>
    </w:p>
    <w:p>
      <w:pPr>
        <w:pStyle w:val="Heading6"/>
        <w:numPr>
          <w:ilvl w:val="5"/>
          <w:numId w:val="1"/>
        </w:numPr>
        <w:rPr/>
      </w:pPr>
      <w:bookmarkStart w:id="2888" w:name="__RefHeading___Toc2567622_3650668749"/>
      <w:bookmarkStart w:id="2889" w:name="_Toc1320"/>
      <w:bookmarkEnd w:id="2888"/>
      <w:r>
        <w:rPr>
          <w:rtl w:val="true"/>
        </w:rPr>
        <w:t>[</w:t>
      </w:r>
      <w:r>
        <w:rPr>
          <w:rtl w:val="true"/>
        </w:rPr>
        <w:t>الرابع</w:t>
      </w:r>
      <w:r>
        <w:rPr>
          <w:rtl w:val="true"/>
        </w:rPr>
        <w:t xml:space="preserve">: </w:t>
      </w:r>
      <w:r>
        <w:rPr>
          <w:rtl w:val="true"/>
        </w:rPr>
        <w:t>أن لا یکون أقلّ من ثلاثة أیّام بلیالیها المتوسّطة</w:t>
      </w:r>
      <w:r>
        <w:rPr>
          <w:rtl w:val="true"/>
        </w:rPr>
        <w:t>]</w:t>
      </w:r>
      <w:bookmarkEnd w:id="288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أقلّ من ثلاثة أیّام بلیالیها المتوسّطة، و أمّا الأزید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حدّ لأکثره و إن وجب الثالث لکلّ اثنین، فإذا اعتکف خمسة أیّام وجب السادس، و إذا صار</w:t>
      </w:r>
      <w:bookmarkStart w:id="2890" w:name="pg1809_19201"/>
    </w:p>
    <w:p>
      <w:pPr>
        <w:pStyle w:val="BookText"/>
        <w:rPr/>
      </w:pPr>
      <w:bookmarkEnd w:id="2890"/>
      <w:r>
        <w:rPr>
          <w:rFonts w:ascii="IRNazanin" w:hAnsi="IRNazanin" w:eastAsia="IRNazanin"/>
          <w:color w:val="111111"/>
          <w:sz w:val="28"/>
          <w:sz w:val="28"/>
          <w:szCs w:val="28"/>
          <w:rtl w:val="true"/>
          <w:lang w:bidi="fa-IR"/>
        </w:rPr>
        <w:t xml:space="preserve">ثمانیة وجب التاسع </w:t>
      </w:r>
      <w:r>
        <w:rPr>
          <w:rStyle w:val="FootnoteAnchor"/>
          <w:rtl w:val="true"/>
        </w:rPr>
        <w:footnoteReference w:id="839"/>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من طلوع الفجر إلیٰ زوال الحمرة المشرقیّة، فلو اعتکف من طلوع الفجر إلی الغروب من الیوم الثالث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إدخال اللیلة الأُولیٰ و لا الرابعة و إن جاز کما عرفت، و فی کفایة الثلاثة التلفیقیّة بأن یشرع من زوال یوم مثلًا إلیٰ زوال الیوم الرابع تأمّل و إشکال</w:t>
      </w:r>
      <w:r>
        <w:rPr>
          <w:rFonts w:eastAsia="IRNazanin" w:cs="IRNazanin"/>
          <w:color w:val="111111"/>
          <w:sz w:val="28"/>
          <w:szCs w:val="28"/>
          <w:rtl w:val="true"/>
          <w:lang w:bidi="fa-IR"/>
        </w:rPr>
        <w:t>.</w:t>
      </w:r>
    </w:p>
    <w:p>
      <w:pPr>
        <w:pStyle w:val="Heading6"/>
        <w:numPr>
          <w:ilvl w:val="5"/>
          <w:numId w:val="1"/>
        </w:numPr>
        <w:rPr/>
      </w:pPr>
      <w:bookmarkStart w:id="2891" w:name="__RefHeading___Toc2567624_3650668749"/>
      <w:bookmarkStart w:id="2892" w:name="_Toc1321"/>
      <w:bookmarkEnd w:id="2891"/>
      <w:r>
        <w:rPr>
          <w:rtl w:val="true"/>
        </w:rPr>
        <w:t>[</w:t>
      </w:r>
      <w:r>
        <w:rPr>
          <w:rtl w:val="true"/>
        </w:rPr>
        <w:t>الخامس</w:t>
      </w:r>
      <w:r>
        <w:rPr>
          <w:rtl w:val="true"/>
        </w:rPr>
        <w:t xml:space="preserve">: </w:t>
      </w:r>
      <w:r>
        <w:rPr>
          <w:rtl w:val="true"/>
        </w:rPr>
        <w:t>أن یکون فی مسجد جامع</w:t>
      </w:r>
      <w:r>
        <w:rPr>
          <w:rtl w:val="true"/>
        </w:rPr>
        <w:t>]</w:t>
      </w:r>
      <w:bookmarkEnd w:id="2892"/>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فی مسجد جامع </w:t>
      </w:r>
      <w:r>
        <w:rPr>
          <w:rStyle w:val="FootnoteAnchor"/>
          <w:rtl w:val="true"/>
        </w:rPr>
        <w:footnoteReference w:id="840"/>
      </w:r>
      <w:r>
        <w:rPr>
          <w:rFonts w:ascii="IRNazanin" w:hAnsi="IRNazanin" w:eastAsia="IRNazanin"/>
          <w:color w:val="111111"/>
          <w:sz w:val="28"/>
          <w:sz w:val="28"/>
          <w:szCs w:val="28"/>
          <w:rtl w:val="true"/>
          <w:lang w:bidi="fa-IR"/>
        </w:rPr>
        <w:t>فلا یکفی غیره کمسجد القبیلة أو السوق، و الأحوط مع الإمکان کونه فی أحد المساجد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الحرام و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الکوفة و مسجد البصرة</w:t>
      </w:r>
      <w:r>
        <w:rPr>
          <w:rFonts w:eastAsia="IRNazanin" w:cs="IRNazanin"/>
          <w:color w:val="111111"/>
          <w:sz w:val="28"/>
          <w:szCs w:val="28"/>
          <w:rtl w:val="true"/>
          <w:lang w:bidi="fa-IR"/>
        </w:rPr>
        <w:t>.</w:t>
      </w:r>
    </w:p>
    <w:p>
      <w:pPr>
        <w:pStyle w:val="Heading6"/>
        <w:numPr>
          <w:ilvl w:val="5"/>
          <w:numId w:val="1"/>
        </w:numPr>
        <w:rPr/>
      </w:pPr>
      <w:bookmarkStart w:id="2893" w:name="__RefHeading___Toc2567626_3650668749"/>
      <w:bookmarkStart w:id="2894" w:name="_Toc1322"/>
      <w:bookmarkEnd w:id="2893"/>
      <w:r>
        <w:rPr>
          <w:rtl w:val="true"/>
        </w:rPr>
        <w:t>[</w:t>
      </w:r>
      <w:r>
        <w:rPr>
          <w:rtl w:val="true"/>
        </w:rPr>
        <w:t>السادس</w:t>
      </w:r>
      <w:r>
        <w:rPr>
          <w:rtl w:val="true"/>
        </w:rPr>
        <w:t xml:space="preserve">: </w:t>
      </w:r>
      <w:r>
        <w:rPr>
          <w:rtl w:val="true"/>
        </w:rPr>
        <w:t>إذن من یعتبر إذنه کالسیّد بالنسبة إلیٰ مملوکه مطلقاً</w:t>
      </w:r>
      <w:r>
        <w:rPr>
          <w:rtl w:val="true"/>
        </w:rPr>
        <w:t>]</w:t>
      </w:r>
      <w:bookmarkEnd w:id="2894"/>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من یعتبر إذنه کالسیّد بالنسبة إلیٰ مملوکه مطلقاً، نعم إذا کان مبعّضاً و هایاه المولی بأن جعل له أیّاماً و له أیّاماً یجوز له إیقاعه فی أیّامه بدون إذن سیّده، بل مع المنع أیضاً، و کذا المستأجر بالنسبة إلیٰ أجیره الخاصّ </w:t>
      </w:r>
      <w:r>
        <w:rPr>
          <w:rStyle w:val="FootnoteAnchor"/>
          <w:rtl w:val="true"/>
        </w:rPr>
        <w:footnoteReference w:id="841"/>
      </w:r>
      <w:r>
        <w:rPr>
          <w:rFonts w:ascii="IRNazanin" w:hAnsi="IRNazanin" w:eastAsia="IRNazanin"/>
          <w:color w:val="111111"/>
          <w:sz w:val="28"/>
          <w:sz w:val="28"/>
          <w:szCs w:val="28"/>
          <w:rtl w:val="true"/>
          <w:lang w:bidi="fa-IR"/>
        </w:rPr>
        <w:t xml:space="preserve">، و الزوج بالنسبة إلی الزوجة إذا کان منافیاً لحقّه </w:t>
      </w:r>
      <w:r>
        <w:rPr>
          <w:rStyle w:val="FootnoteAnchor"/>
          <w:rtl w:val="true"/>
        </w:rPr>
        <w:footnoteReference w:id="842"/>
      </w:r>
      <w:r>
        <w:rPr>
          <w:rFonts w:ascii="IRNazanin" w:hAnsi="IRNazanin" w:eastAsia="IRNazanin"/>
          <w:color w:val="111111"/>
          <w:sz w:val="28"/>
          <w:sz w:val="28"/>
          <w:szCs w:val="28"/>
          <w:rtl w:val="true"/>
          <w:lang w:bidi="fa-IR"/>
        </w:rPr>
        <w:t>، و الوالدین بالنسبة إلیٰ ولدهما إذا کان مستلزماً لإیذائهما، و أمّا مع عدم المنافاة و عدم الإیذاء فلا یعتبر إذنهم و إن کان أحوط</w:t>
      </w:r>
      <w:r>
        <w:rPr>
          <w:rFonts w:eastAsia="IRNazanin" w:cs="IRNazanin"/>
          <w:color w:val="111111"/>
          <w:sz w:val="28"/>
          <w:szCs w:val="28"/>
          <w:rtl w:val="true"/>
          <w:lang w:bidi="fa-IR"/>
        </w:rPr>
        <w:t>.</w:t>
      </w:r>
    </w:p>
    <w:p>
      <w:pPr>
        <w:pStyle w:val="Heading6"/>
        <w:numPr>
          <w:ilvl w:val="5"/>
          <w:numId w:val="1"/>
        </w:numPr>
        <w:rPr/>
      </w:pPr>
      <w:bookmarkStart w:id="2895" w:name="__RefHeading___Toc2567628_3650668749"/>
      <w:bookmarkStart w:id="2896" w:name="_Toc1323"/>
      <w:bookmarkEnd w:id="2895"/>
      <w:r>
        <w:rPr>
          <w:rtl w:val="true"/>
        </w:rPr>
        <w:t>[</w:t>
      </w:r>
      <w:r>
        <w:rPr>
          <w:rtl w:val="true"/>
        </w:rPr>
        <w:t>السابع</w:t>
      </w:r>
      <w:r>
        <w:rPr>
          <w:rtl w:val="true"/>
        </w:rPr>
        <w:t xml:space="preserve">: </w:t>
      </w:r>
      <w:r>
        <w:rPr>
          <w:rtl w:val="true"/>
        </w:rPr>
        <w:t>استدامة اللبث فی المسجد</w:t>
      </w:r>
      <w:r>
        <w:rPr>
          <w:rtl w:val="true"/>
        </w:rPr>
        <w:t>]</w:t>
      </w:r>
      <w:bookmarkEnd w:id="2896"/>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استدامة اللبث فی المسجد فلو خرج عمداً اختیاراً لغیر الأسباب المبیحة بطل و لو کان جاهلًا بالحکم، نعم لو خرج ناسیاً أو مکرهاً لم یبطل، و کذا لو خرج لضرورة عقلًا أو شرعاً أو عادة کقضاء الحاجة من بول أو غائط أو للاغتسال من الجنابة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یجب الاغتسال </w:t>
      </w:r>
      <w:r>
        <w:rPr>
          <w:rStyle w:val="FootnoteAnchor"/>
          <w:rtl w:val="true"/>
        </w:rPr>
        <w:footnoteReference w:id="843"/>
      </w:r>
      <w:r>
        <w:rPr>
          <w:rFonts w:ascii="IRNazanin" w:hAnsi="IRNazanin" w:eastAsia="IRNazanin"/>
          <w:color w:val="111111"/>
          <w:sz w:val="28"/>
          <w:sz w:val="28"/>
          <w:szCs w:val="28"/>
          <w:rtl w:val="true"/>
          <w:lang w:bidi="fa-IR"/>
        </w:rPr>
        <w:t>فی المسجد و إن أمکن من دون تلویث و إن کان أحوط</w:t>
      </w:r>
      <w:r>
        <w:rPr>
          <w:rFonts w:eastAsia="IRNazanin" w:cs="IRNazanin"/>
          <w:color w:val="111111"/>
          <w:sz w:val="28"/>
          <w:szCs w:val="28"/>
          <w:rtl w:val="true"/>
          <w:lang w:bidi="fa-IR"/>
        </w:rPr>
        <w:t>.</w:t>
      </w:r>
    </w:p>
    <w:p>
      <w:pPr>
        <w:pStyle w:val="Heading5"/>
        <w:numPr>
          <w:ilvl w:val="4"/>
          <w:numId w:val="1"/>
        </w:numPr>
        <w:rPr/>
      </w:pPr>
      <w:bookmarkStart w:id="2897" w:name="__RefHeading___Toc2567630_3650668749"/>
      <w:bookmarkStart w:id="2898" w:name="_Toc1324"/>
      <w:bookmarkEnd w:id="2897"/>
      <w:r>
        <w:rPr>
          <w:rtl w:val="true"/>
        </w:rPr>
        <w:t>[ (</w:t>
      </w:r>
      <w:r>
        <w:rPr>
          <w:rtl w:val="true"/>
        </w:rPr>
        <w:t xml:space="preserve">مسألة </w:t>
      </w:r>
      <w:r>
        <w:rPr/>
        <w:t>1</w:t>
      </w:r>
      <w:r>
        <w:rPr>
          <w:rtl w:val="true"/>
        </w:rPr>
        <w:t xml:space="preserve">): </w:t>
      </w:r>
      <w:r>
        <w:rPr>
          <w:rtl w:val="true"/>
        </w:rPr>
        <w:t>لا یشترط فی صحّة الاعتکاف البلوغ</w:t>
      </w:r>
      <w:r>
        <w:rPr>
          <w:rtl w:val="true"/>
        </w:rPr>
        <w:t>]</w:t>
      </w:r>
      <w:bookmarkEnd w:id="28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صحّة الاعتکاف البلوغ فیصحّ من الصبیّ الممیّز علی الأقویٰ</w:t>
      </w:r>
      <w:r>
        <w:rPr>
          <w:rFonts w:eastAsia="IRNazanin" w:cs="IRNazanin"/>
          <w:color w:val="111111"/>
          <w:sz w:val="28"/>
          <w:szCs w:val="28"/>
          <w:rtl w:val="true"/>
          <w:lang w:bidi="fa-IR"/>
        </w:rPr>
        <w:t>.</w:t>
      </w:r>
    </w:p>
    <w:p>
      <w:pPr>
        <w:pStyle w:val="Heading5"/>
        <w:numPr>
          <w:ilvl w:val="4"/>
          <w:numId w:val="1"/>
        </w:numPr>
        <w:rPr/>
      </w:pPr>
      <w:bookmarkStart w:id="2899" w:name="__RefHeading___Toc2567632_3650668749"/>
      <w:bookmarkStart w:id="2900" w:name="_Toc1325"/>
      <w:bookmarkEnd w:id="2899"/>
      <w:r>
        <w:rPr>
          <w:rtl w:val="true"/>
        </w:rPr>
        <w:t>[ (</w:t>
      </w:r>
      <w:r>
        <w:rPr>
          <w:rtl w:val="true"/>
        </w:rPr>
        <w:t xml:space="preserve">مسألة </w:t>
      </w:r>
      <w:r>
        <w:rPr/>
        <w:t>2</w:t>
      </w:r>
      <w:r>
        <w:rPr>
          <w:rtl w:val="true"/>
        </w:rPr>
        <w:t xml:space="preserve">): </w:t>
      </w:r>
      <w:r>
        <w:rPr>
          <w:rtl w:val="true"/>
        </w:rPr>
        <w:t>لا یجوز العدول من اعتکاف إلی اعتکاف آخر</w:t>
      </w:r>
      <w:r>
        <w:rPr>
          <w:rtl w:val="true"/>
        </w:rPr>
        <w:t>]</w:t>
      </w:r>
      <w:bookmarkEnd w:id="290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العدول من اعتکاف إلی اعتکاف آخر و إن اتّحدا فی الوجوب و الندب، و لا عن نیابة شخص إلیٰ نیابة شخص آخر، و لا عن نیابة غیره إلیٰ نفسه و بالعکس</w:t>
      </w:r>
      <w:r>
        <w:rPr>
          <w:rFonts w:eastAsia="IRNazanin" w:cs="IRNazanin"/>
          <w:color w:val="111111"/>
          <w:sz w:val="28"/>
          <w:szCs w:val="28"/>
          <w:rtl w:val="true"/>
          <w:lang w:bidi="fa-IR"/>
        </w:rPr>
        <w:t>.</w:t>
      </w:r>
      <w:bookmarkStart w:id="2901" w:name="pg1809_19203"/>
    </w:p>
    <w:p>
      <w:pPr>
        <w:pStyle w:val="Heading5"/>
        <w:numPr>
          <w:ilvl w:val="4"/>
          <w:numId w:val="1"/>
        </w:numPr>
        <w:rPr/>
      </w:pPr>
      <w:bookmarkStart w:id="2902" w:name="__RefHeading___Toc2567634_3650668749"/>
      <w:bookmarkStart w:id="2903" w:name="_Toc1326"/>
      <w:bookmarkEnd w:id="2901"/>
      <w:bookmarkEnd w:id="2902"/>
      <w:r>
        <w:rPr>
          <w:rtl w:val="true"/>
        </w:rPr>
        <w:t>[ (</w:t>
      </w:r>
      <w:r>
        <w:rPr>
          <w:rtl w:val="true"/>
        </w:rPr>
        <w:t xml:space="preserve">مسألة </w:t>
      </w:r>
      <w:r>
        <w:rPr/>
        <w:t>3</w:t>
      </w:r>
      <w:r>
        <w:rPr>
          <w:rtl w:val="true"/>
        </w:rPr>
        <w:t xml:space="preserve">): </w:t>
      </w:r>
      <w:r>
        <w:rPr>
          <w:rtl w:val="true"/>
        </w:rPr>
        <w:t>یجوز قطع الاعتکاف المندوب فی الیومین الأوّلین</w:t>
      </w:r>
      <w:r>
        <w:rPr>
          <w:rtl w:val="true"/>
        </w:rPr>
        <w:t>]</w:t>
      </w:r>
      <w:bookmarkEnd w:id="29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قطع الاعتکاف المندوب فی الیومین الأوّلین، و بعد تمامهما یجب الثالث، بل یجب الثالث لکلّ اثنین </w:t>
      </w:r>
      <w:r>
        <w:rPr>
          <w:rStyle w:val="FootnoteAnchor"/>
          <w:rtl w:val="true"/>
        </w:rPr>
        <w:footnoteReference w:id="844"/>
      </w:r>
      <w:r>
        <w:rPr>
          <w:rFonts w:ascii="IRNazanin" w:hAnsi="IRNazanin" w:eastAsia="IRNazanin"/>
          <w:color w:val="111111"/>
          <w:sz w:val="28"/>
          <w:sz w:val="28"/>
          <w:szCs w:val="28"/>
          <w:rtl w:val="true"/>
          <w:lang w:bidi="fa-IR"/>
        </w:rPr>
        <w:t>علی الأقویٰ کما تقدّم، و أمّا المنذور فإن کان معیّناً فلا یجوز قطعه مطلقاً و إلّا فکالمندوب</w:t>
      </w:r>
      <w:r>
        <w:rPr>
          <w:rFonts w:eastAsia="IRNazanin" w:cs="IRNazanin"/>
          <w:color w:val="111111"/>
          <w:sz w:val="28"/>
          <w:szCs w:val="28"/>
          <w:rtl w:val="true"/>
          <w:lang w:bidi="fa-IR"/>
        </w:rPr>
        <w:t>.</w:t>
      </w:r>
    </w:p>
    <w:p>
      <w:pPr>
        <w:pStyle w:val="Heading5"/>
        <w:numPr>
          <w:ilvl w:val="4"/>
          <w:numId w:val="1"/>
        </w:numPr>
        <w:rPr/>
      </w:pPr>
      <w:bookmarkStart w:id="2904" w:name="__RefHeading___Toc2567636_3650668749"/>
      <w:bookmarkStart w:id="2905" w:name="_Toc1327"/>
      <w:bookmarkEnd w:id="2904"/>
      <w:r>
        <w:rPr>
          <w:rtl w:val="true"/>
        </w:rPr>
        <w:t>[ (</w:t>
      </w:r>
      <w:r>
        <w:rPr>
          <w:rtl w:val="true"/>
        </w:rPr>
        <w:t xml:space="preserve">مسألة </w:t>
      </w:r>
      <w:r>
        <w:rPr/>
        <w:t>4</w:t>
      </w:r>
      <w:r>
        <w:rPr>
          <w:rtl w:val="true"/>
        </w:rPr>
        <w:t xml:space="preserve">): </w:t>
      </w:r>
      <w:r>
        <w:rPr>
          <w:rtl w:val="true"/>
        </w:rPr>
        <w:t>لا بدّ من کون الأیّام الثلاثة متّصلة</w:t>
      </w:r>
      <w:r>
        <w:rPr>
          <w:rtl w:val="true"/>
        </w:rPr>
        <w:t>]</w:t>
      </w:r>
      <w:bookmarkEnd w:id="29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کون الأیّام الثلاثة متّصلة و یدخل اللیلتان المتوسّطتان کما أشرنا إلیه، فلو نذر اعتکاف ثلاثة أیّام منفصلة أو من دون اللیلتین لم ینعقد إذا کان المنذور الاعتکاف الشرعی، و کذا لو نذر اعتکاف یوم أو یومین مقیّداً بعدم الزیادة، نعم لو لم یقیّده به صحّ و وجب ضمّ یوم أو یومین</w:t>
      </w:r>
      <w:r>
        <w:rPr>
          <w:rFonts w:eastAsia="IRNazanin" w:cs="IRNazanin"/>
          <w:color w:val="111111"/>
          <w:sz w:val="28"/>
          <w:szCs w:val="28"/>
          <w:rtl w:val="true"/>
          <w:lang w:bidi="fa-IR"/>
        </w:rPr>
        <w:t>.</w:t>
      </w:r>
    </w:p>
    <w:p>
      <w:pPr>
        <w:pStyle w:val="Heading5"/>
        <w:numPr>
          <w:ilvl w:val="4"/>
          <w:numId w:val="1"/>
        </w:numPr>
        <w:rPr/>
      </w:pPr>
      <w:bookmarkStart w:id="2906" w:name="__RefHeading___Toc2567638_3650668749"/>
      <w:bookmarkStart w:id="2907" w:name="_Toc1328"/>
      <w:bookmarkEnd w:id="2906"/>
      <w:r>
        <w:rPr>
          <w:rtl w:val="true"/>
        </w:rPr>
        <w:t>[ (</w:t>
      </w:r>
      <w:r>
        <w:rPr>
          <w:rtl w:val="true"/>
        </w:rPr>
        <w:t xml:space="preserve">مسألة </w:t>
      </w:r>
      <w:r>
        <w:rPr/>
        <w:t>5</w:t>
      </w:r>
      <w:r>
        <w:rPr>
          <w:rtl w:val="true"/>
        </w:rPr>
        <w:t xml:space="preserve">): </w:t>
      </w:r>
      <w:r>
        <w:rPr>
          <w:rtl w:val="true"/>
        </w:rPr>
        <w:t>لو نذر اعتکاف شهر یجزیه ما بین الهلالین و إن کان ناقصاً</w:t>
      </w:r>
      <w:r>
        <w:rPr>
          <w:rtl w:val="true"/>
        </w:rPr>
        <w:t>]</w:t>
      </w:r>
      <w:bookmarkEnd w:id="29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اعتکاف شهر یجزیه ما بین الهلالین و إن کان ناقصاً، لکن یضمّ إلیه حینئذٍ یوماً بناءً علیٰ وجوب کلّ ثالث، کما هو الأقویٰ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8" w:name="__RefHeading___Toc2567640_3650668749"/>
      <w:bookmarkStart w:id="2909" w:name="_Toc1329"/>
      <w:bookmarkEnd w:id="2908"/>
      <w:r>
        <w:rPr>
          <w:rtl w:val="true"/>
        </w:rPr>
        <w:t>[ (</w:t>
      </w:r>
      <w:r>
        <w:rPr>
          <w:rtl w:val="true"/>
        </w:rPr>
        <w:t xml:space="preserve">مسألة </w:t>
      </w:r>
      <w:r>
        <w:rPr/>
        <w:t>6</w:t>
      </w:r>
      <w:r>
        <w:rPr>
          <w:rtl w:val="true"/>
        </w:rPr>
        <w:t xml:space="preserve">): </w:t>
      </w:r>
      <w:r>
        <w:rPr>
          <w:rtl w:val="true"/>
        </w:rPr>
        <w:t>یعتبر فی الاعتکاف الواحد وحدة المسجد</w:t>
      </w:r>
      <w:r>
        <w:rPr>
          <w:rtl w:val="true"/>
        </w:rPr>
        <w:t>]</w:t>
      </w:r>
      <w:bookmarkEnd w:id="29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الاعتکاف الواحد وحدة المسجد، فلا یجوز أن یجعله فی مسجدین و لو کانا متّصلین </w:t>
      </w:r>
      <w:r>
        <w:rPr>
          <w:rStyle w:val="FootnoteAnchor"/>
          <w:rtl w:val="true"/>
        </w:rPr>
        <w:footnoteReference w:id="846"/>
      </w:r>
      <w:r>
        <w:rPr>
          <w:rFonts w:ascii="IRNazanin" w:hAnsi="IRNazanin" w:eastAsia="IRNazanin"/>
          <w:color w:val="111111"/>
          <w:sz w:val="28"/>
          <w:sz w:val="28"/>
          <w:szCs w:val="28"/>
          <w:rtl w:val="true"/>
          <w:lang w:bidi="fa-IR"/>
        </w:rPr>
        <w:t>، نعم لو کان اتّصالهما علیٰ نحو یعدّان مسجداً واحداً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تعذّر إتمام الاعتکاف فی محلّ النیّة لخوف أو هدم و نحو ذلک بطل و لا یجزیه إتمامه فی جامع آخر</w:t>
      </w:r>
      <w:r>
        <w:rPr>
          <w:rFonts w:eastAsia="IRNazanin" w:cs="IRNazanin"/>
          <w:color w:val="111111"/>
          <w:sz w:val="28"/>
          <w:szCs w:val="28"/>
          <w:rtl w:val="true"/>
          <w:lang w:bidi="fa-IR"/>
        </w:rPr>
        <w:t>.</w:t>
      </w:r>
    </w:p>
    <w:p>
      <w:pPr>
        <w:pStyle w:val="Heading5"/>
        <w:numPr>
          <w:ilvl w:val="4"/>
          <w:numId w:val="1"/>
        </w:numPr>
        <w:rPr/>
      </w:pPr>
      <w:bookmarkStart w:id="2910" w:name="__RefHeading___Toc2567642_3650668749"/>
      <w:bookmarkStart w:id="2911" w:name="_Toc1330"/>
      <w:bookmarkEnd w:id="2910"/>
      <w:r>
        <w:rPr>
          <w:rtl w:val="true"/>
        </w:rPr>
        <w:t>[ (</w:t>
      </w:r>
      <w:r>
        <w:rPr>
          <w:rtl w:val="true"/>
        </w:rPr>
        <w:t xml:space="preserve">مسألة </w:t>
      </w:r>
      <w:r>
        <w:rPr/>
        <w:t>7</w:t>
      </w:r>
      <w:r>
        <w:rPr>
          <w:rtl w:val="true"/>
        </w:rPr>
        <w:t xml:space="preserve">): </w:t>
      </w:r>
      <w:r>
        <w:rPr>
          <w:rtl w:val="true"/>
        </w:rPr>
        <w:t>سطوح المساجد و سرادیبها و محاریبها من المساجد</w:t>
      </w:r>
      <w:r>
        <w:rPr>
          <w:rtl w:val="true"/>
        </w:rPr>
        <w:t>]</w:t>
      </w:r>
      <w:bookmarkEnd w:id="29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المساجد و سرادیبها و محاریبها من المساجد، فحکمها حکمها ما لم یعلم خروجها، بخلاف سنائدها و مضافاتها کالدهلیز و نحوه فإنّها لیس منها ما لم یعلم دخولها و جعلها جزءً منها، و من ذلک بقعتا مسلم بن عقیل و هانی فإنّ الظاهر أنّهما خارجان عن مسجد الکوفة</w:t>
      </w:r>
      <w:r>
        <w:rPr>
          <w:rFonts w:eastAsia="IRNazanin" w:cs="IRNazanin"/>
          <w:color w:val="111111"/>
          <w:sz w:val="28"/>
          <w:szCs w:val="28"/>
          <w:rtl w:val="true"/>
          <w:lang w:bidi="fa-IR"/>
        </w:rPr>
        <w:t>.</w:t>
      </w:r>
    </w:p>
    <w:p>
      <w:pPr>
        <w:pStyle w:val="Heading5"/>
        <w:numPr>
          <w:ilvl w:val="4"/>
          <w:numId w:val="1"/>
        </w:numPr>
        <w:rPr/>
      </w:pPr>
      <w:bookmarkStart w:id="2912" w:name="__RefHeading___Toc2567644_3650668749"/>
      <w:bookmarkStart w:id="2913" w:name="_Toc1331"/>
      <w:bookmarkEnd w:id="2912"/>
      <w:r>
        <w:rPr>
          <w:rtl w:val="true"/>
        </w:rPr>
        <w:t>[ (</w:t>
      </w:r>
      <w:r>
        <w:rPr>
          <w:rtl w:val="true"/>
        </w:rPr>
        <w:t xml:space="preserve">مسألة </w:t>
      </w:r>
      <w:r>
        <w:rPr/>
        <w:t>8</w:t>
      </w:r>
      <w:r>
        <w:rPr>
          <w:rtl w:val="true"/>
        </w:rPr>
        <w:t xml:space="preserve">): </w:t>
      </w:r>
      <w:r>
        <w:rPr>
          <w:rtl w:val="true"/>
        </w:rPr>
        <w:t>إذا عیّن موضعاً خاصّاً من المسجد محلّا لاعتکافه لم یتعیّن</w:t>
      </w:r>
      <w:r>
        <w:rPr>
          <w:rtl w:val="true"/>
        </w:rPr>
        <w:t>]</w:t>
      </w:r>
      <w:bookmarkEnd w:id="29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عیّن موضعاً خاصّاً من المسجد محلّا لاعتکافه لم یتعیّن </w:t>
      </w:r>
      <w:r>
        <w:rPr>
          <w:rStyle w:val="FootnoteAnchor"/>
          <w:rtl w:val="true"/>
        </w:rPr>
        <w:footnoteReference w:id="847"/>
      </w:r>
      <w:r>
        <w:rPr>
          <w:rFonts w:ascii="IRNazanin" w:hAnsi="IRNazanin" w:eastAsia="IRNazanin"/>
          <w:color w:val="111111"/>
          <w:sz w:val="28"/>
          <w:sz w:val="28"/>
          <w:szCs w:val="28"/>
          <w:rtl w:val="true"/>
          <w:lang w:bidi="fa-IR"/>
        </w:rPr>
        <w:t>و یکون قصده و تعیینه لغواً، حتّی فیما لو عیّن السطح دون الأسفل أو العکس</w:t>
      </w:r>
      <w:r>
        <w:rPr>
          <w:rFonts w:eastAsia="IRNazanin" w:cs="IRNazanin"/>
          <w:color w:val="111111"/>
          <w:sz w:val="28"/>
          <w:szCs w:val="28"/>
          <w:rtl w:val="true"/>
          <w:lang w:bidi="fa-IR"/>
        </w:rPr>
        <w:t>.</w:t>
      </w:r>
    </w:p>
    <w:p>
      <w:pPr>
        <w:pStyle w:val="Heading5"/>
        <w:numPr>
          <w:ilvl w:val="4"/>
          <w:numId w:val="1"/>
        </w:numPr>
        <w:rPr/>
      </w:pPr>
      <w:bookmarkStart w:id="2914" w:name="__RefHeading___Toc2567646_3650668749"/>
      <w:bookmarkStart w:id="2915" w:name="_Toc1332"/>
      <w:bookmarkEnd w:id="2914"/>
      <w:r>
        <w:rPr>
          <w:rtl w:val="true"/>
        </w:rPr>
        <w:t>[ (</w:t>
      </w:r>
      <w:r>
        <w:rPr>
          <w:rtl w:val="true"/>
        </w:rPr>
        <w:t xml:space="preserve">مسألة </w:t>
      </w:r>
      <w:r>
        <w:rPr/>
        <w:t>9</w:t>
      </w:r>
      <w:r>
        <w:rPr>
          <w:rtl w:val="true"/>
        </w:rPr>
        <w:t xml:space="preserve">): </w:t>
      </w:r>
      <w:r>
        <w:rPr>
          <w:rtl w:val="true"/>
        </w:rPr>
        <w:t>من الضرورات المبیحة للخروج</w:t>
      </w:r>
      <w:r>
        <w:rPr>
          <w:rtl w:val="true"/>
        </w:rPr>
        <w:t xml:space="preserve">: </w:t>
      </w:r>
      <w:r>
        <w:rPr>
          <w:rtl w:val="true"/>
        </w:rPr>
        <w:t>إقامة الشهادة، و حضور الجماعة</w:t>
      </w:r>
      <w:r>
        <w:rPr>
          <w:rtl w:val="true"/>
        </w:rPr>
        <w:t>]</w:t>
      </w:r>
      <w:bookmarkEnd w:id="291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الضرورات المبیحة للخروج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الشهادة، و حضور الجماعة </w:t>
      </w:r>
      <w:r>
        <w:rPr>
          <w:rStyle w:val="FootnoteAnchor"/>
          <w:rtl w:val="true"/>
        </w:rPr>
        <w:footnoteReference w:id="848"/>
      </w:r>
      <w:r>
        <w:rPr>
          <w:rFonts w:ascii="IRNazanin" w:hAnsi="IRNazanin" w:eastAsia="IRNazanin"/>
          <w:color w:val="111111"/>
          <w:sz w:val="28"/>
          <w:sz w:val="28"/>
          <w:szCs w:val="28"/>
          <w:rtl w:val="true"/>
          <w:lang w:bidi="fa-IR"/>
        </w:rPr>
        <w:t>،</w:t>
      </w:r>
      <w:bookmarkStart w:id="2916" w:name="pg1809_19207"/>
    </w:p>
    <w:p>
      <w:pPr>
        <w:pStyle w:val="BookText"/>
        <w:rPr/>
      </w:pPr>
      <w:bookmarkEnd w:id="2916"/>
      <w:r>
        <w:rPr>
          <w:rFonts w:ascii="IRNazanin" w:hAnsi="IRNazanin" w:eastAsia="IRNazanin"/>
          <w:color w:val="111111"/>
          <w:sz w:val="28"/>
          <w:sz w:val="28"/>
          <w:szCs w:val="28"/>
          <w:rtl w:val="true"/>
          <w:lang w:bidi="fa-IR"/>
        </w:rPr>
        <w:t xml:space="preserve">و عیادة </w:t>
      </w:r>
      <w:r>
        <w:rPr>
          <w:rStyle w:val="FootnoteAnchor"/>
          <w:rtl w:val="true"/>
        </w:rPr>
        <w:footnoteReference w:id="849"/>
      </w:r>
      <w:r>
        <w:rPr>
          <w:rFonts w:ascii="IRNazanin" w:hAnsi="IRNazanin" w:eastAsia="IRNazanin"/>
          <w:color w:val="111111"/>
          <w:sz w:val="28"/>
          <w:sz w:val="28"/>
          <w:szCs w:val="28"/>
          <w:rtl w:val="true"/>
          <w:lang w:bidi="fa-IR"/>
        </w:rPr>
        <w:t>المریض، و تشییع الجنازة، و تشییع المسافر، و استقبال القادم، و غیر ذلک و إن لم یتعیّن علیه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الضابط کلّ ما یلزم الخروج إلیه عقلًا أو شرعاً أو عادةً من الأُمور الواجبة أو الراجحة؛ سواء کانت متعلّقة بأُمور الدنیا أو الآخرة، حصل ضرر بترک الخروج إلیها أو لا، نعم الأحوط مراعاة أقرب الطرق و الاقتصار علیٰ مقدار الحاجة و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أن لا یجلس تحت الظلال مع الإمکان بل و لا یمشی </w:t>
      </w:r>
      <w:r>
        <w:rPr>
          <w:rStyle w:val="FootnoteAnchor"/>
          <w:rtl w:val="true"/>
        </w:rPr>
        <w:footnoteReference w:id="850"/>
      </w:r>
      <w:r>
        <w:rPr>
          <w:rFonts w:ascii="Amiri" w:hAnsi="Amiri" w:eastAsia="Amiri" w:cs="Amiri"/>
          <w:color w:val="111111"/>
          <w:sz w:val="28"/>
          <w:sz w:val="28"/>
          <w:szCs w:val="28"/>
          <w:rtl w:val="true"/>
          <w:lang w:bidi="ar-SA"/>
        </w:rPr>
        <w:t>تحته، بل الأحوط عدم الجلوس مطلقاً إلّا مع الضرورة</w:t>
      </w:r>
      <w:r>
        <w:rPr>
          <w:rFonts w:eastAsia="Amiri" w:cs="Amiri" w:ascii="Amiri" w:hAnsi="Amiri"/>
          <w:color w:val="111111"/>
          <w:sz w:val="28"/>
          <w:szCs w:val="28"/>
          <w:rtl w:val="true"/>
          <w:lang w:bidi="ar-SA"/>
        </w:rPr>
        <w:t>.</w:t>
      </w:r>
    </w:p>
    <w:p>
      <w:pPr>
        <w:pStyle w:val="Heading5"/>
        <w:numPr>
          <w:ilvl w:val="4"/>
          <w:numId w:val="1"/>
        </w:numPr>
        <w:rPr/>
      </w:pPr>
      <w:bookmarkStart w:id="2917" w:name="__RefHeading___Toc2567648_3650668749"/>
      <w:bookmarkStart w:id="2918" w:name="_Toc1333"/>
      <w:bookmarkEnd w:id="2917"/>
      <w:r>
        <w:rPr>
          <w:rtl w:val="true"/>
        </w:rPr>
        <w:t>[ (</w:t>
      </w:r>
      <w:r>
        <w:rPr>
          <w:rtl w:val="true"/>
        </w:rPr>
        <w:t xml:space="preserve">مسألة </w:t>
      </w:r>
      <w:r>
        <w:rPr/>
        <w:t>10</w:t>
      </w:r>
      <w:r>
        <w:rPr>
          <w:rtl w:val="true"/>
        </w:rPr>
        <w:t xml:space="preserve">): </w:t>
      </w:r>
      <w:r>
        <w:rPr>
          <w:rtl w:val="true"/>
        </w:rPr>
        <w:t>لو أجنب فی المسجد وجب علیه الخروج للاغتسال إذا لم یمکن إیقاعه فیه</w:t>
      </w:r>
      <w:r>
        <w:rPr>
          <w:rtl w:val="true"/>
        </w:rPr>
        <w:t>]</w:t>
      </w:r>
      <w:bookmarkEnd w:id="29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أجنب فی المسجد وجب علیه الخروج للاغتسال إذا لم یمکن إیقاعه فیه </w:t>
      </w:r>
      <w:r>
        <w:rPr>
          <w:rStyle w:val="FootnoteAnchor"/>
          <w:rtl w:val="true"/>
        </w:rPr>
        <w:footnoteReference w:id="851"/>
      </w:r>
      <w:r>
        <w:rPr>
          <w:rFonts w:ascii="IRNazanin" w:hAnsi="IRNazanin" w:eastAsia="IRNazanin"/>
          <w:color w:val="111111"/>
          <w:sz w:val="28"/>
          <w:sz w:val="28"/>
          <w:szCs w:val="28"/>
          <w:rtl w:val="true"/>
          <w:lang w:bidi="fa-IR"/>
        </w:rPr>
        <w:t>و لو ترک الخروج بطل اعتکافه من جهة حرمة لبثه</w:t>
      </w:r>
      <w:r>
        <w:rPr>
          <w:rFonts w:eastAsia="IRNazanin" w:cs="IRNazanin"/>
          <w:color w:val="111111"/>
          <w:sz w:val="28"/>
          <w:szCs w:val="28"/>
          <w:rtl w:val="true"/>
          <w:lang w:bidi="fa-IR"/>
        </w:rPr>
        <w:t>.</w:t>
      </w:r>
    </w:p>
    <w:p>
      <w:pPr>
        <w:pStyle w:val="Heading5"/>
        <w:numPr>
          <w:ilvl w:val="4"/>
          <w:numId w:val="1"/>
        </w:numPr>
        <w:rPr/>
      </w:pPr>
      <w:bookmarkStart w:id="2919" w:name="__RefHeading___Toc2567650_3650668749"/>
      <w:bookmarkStart w:id="2920" w:name="_Toc1334"/>
      <w:bookmarkEnd w:id="2919"/>
      <w:r>
        <w:rPr>
          <w:rtl w:val="true"/>
        </w:rPr>
        <w:t>[ (</w:t>
      </w:r>
      <w:r>
        <w:rPr>
          <w:rtl w:val="true"/>
        </w:rPr>
        <w:t xml:space="preserve">مسألة </w:t>
      </w:r>
      <w:r>
        <w:rPr/>
        <w:t>11</w:t>
      </w:r>
      <w:r>
        <w:rPr>
          <w:rtl w:val="true"/>
        </w:rPr>
        <w:t xml:space="preserve">): </w:t>
      </w:r>
      <w:r>
        <w:rPr>
          <w:rtl w:val="true"/>
        </w:rPr>
        <w:t>لو غصب مکاناً فی المسجد بأن دفع من سبق إلیه و جلس فیه بطل</w:t>
      </w:r>
      <w:r>
        <w:rPr>
          <w:rtl w:val="true"/>
        </w:rPr>
        <w:t>]</w:t>
      </w:r>
      <w:bookmarkEnd w:id="29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غصب مکاناً فی المسجد بأن دفع من سبق إلیه و جلس فیه بطل </w:t>
      </w:r>
      <w:r>
        <w:rPr>
          <w:rStyle w:val="FootnoteAnchor"/>
          <w:rtl w:val="true"/>
        </w:rPr>
        <w:footnoteReference w:id="852"/>
      </w:r>
      <w:r>
        <w:rPr>
          <w:rFonts w:ascii="IRNazanin" w:hAnsi="IRNazanin" w:eastAsia="IRNazanin"/>
          <w:color w:val="111111"/>
          <w:sz w:val="28"/>
          <w:sz w:val="28"/>
          <w:szCs w:val="28"/>
          <w:rtl w:val="true"/>
          <w:lang w:bidi="fa-IR"/>
        </w:rPr>
        <w:t>اعتکافه، و کذا لو جلس علیٰ فراش مغصوب علیٰ تأمّل و إشکال فیهما، نعم لو کان جاهلًا بالغصب أو ناسیاً له فلا إشکال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فرش المسجد بتراب أو آجر مغصوب فإن أمکن إزالته و التحرّز عنه یکون کالفراش المغصوب و إلّا فلا مانع من الکون علیه علیٰ إشکال، فالأحوط </w:t>
      </w:r>
      <w:r>
        <w:rPr>
          <w:rStyle w:val="FootnoteAnchor"/>
          <w:rtl w:val="true"/>
        </w:rPr>
        <w:footnoteReference w:id="853"/>
      </w:r>
      <w:r>
        <w:rPr>
          <w:rFonts w:ascii="IRNazanin" w:hAnsi="IRNazanin" w:eastAsia="IRNazanin"/>
          <w:color w:val="111111"/>
          <w:sz w:val="28"/>
          <w:sz w:val="28"/>
          <w:szCs w:val="28"/>
          <w:rtl w:val="true"/>
          <w:lang w:bidi="fa-IR"/>
        </w:rPr>
        <w:t>الاجتناب</w:t>
      </w:r>
      <w:r>
        <w:rPr>
          <w:rFonts w:eastAsia="IRNazanin" w:cs="IRNazanin"/>
          <w:color w:val="111111"/>
          <w:sz w:val="28"/>
          <w:szCs w:val="28"/>
          <w:rtl w:val="true"/>
          <w:lang w:bidi="fa-IR"/>
        </w:rPr>
        <w:t>.</w:t>
      </w:r>
    </w:p>
    <w:p>
      <w:pPr>
        <w:pStyle w:val="Heading5"/>
        <w:numPr>
          <w:ilvl w:val="4"/>
          <w:numId w:val="1"/>
        </w:numPr>
        <w:rPr/>
      </w:pPr>
      <w:bookmarkStart w:id="2921" w:name="__RefHeading___Toc2567652_3650668749"/>
      <w:bookmarkStart w:id="2922" w:name="_Toc1335"/>
      <w:bookmarkEnd w:id="2921"/>
      <w:r>
        <w:rPr>
          <w:rtl w:val="true"/>
        </w:rPr>
        <w:t>[ (</w:t>
      </w:r>
      <w:r>
        <w:rPr>
          <w:rtl w:val="true"/>
        </w:rPr>
        <w:t xml:space="preserve">مسألة </w:t>
      </w:r>
      <w:r>
        <w:rPr/>
        <w:t>12</w:t>
      </w:r>
      <w:r>
        <w:rPr>
          <w:rtl w:val="true"/>
        </w:rPr>
        <w:t xml:space="preserve">): </w:t>
      </w:r>
      <w:r>
        <w:rPr>
          <w:rtl w:val="true"/>
        </w:rPr>
        <w:t>لو طال الخروج فی مورد الضرورة بحیث انمحت صورة الاعتکاف بطل</w:t>
      </w:r>
      <w:r>
        <w:rPr>
          <w:rtl w:val="true"/>
        </w:rPr>
        <w:t>]</w:t>
      </w:r>
      <w:bookmarkEnd w:id="29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طال الخروج فی مورد الضرورة بحیث انمحت صورة الاعتکاف بطل</w:t>
      </w:r>
      <w:r>
        <w:rPr>
          <w:rFonts w:eastAsia="IRNazanin" w:cs="IRNazanin"/>
          <w:color w:val="111111"/>
          <w:sz w:val="28"/>
          <w:szCs w:val="28"/>
          <w:rtl w:val="true"/>
          <w:lang w:bidi="fa-IR"/>
        </w:rPr>
        <w:t>.</w:t>
      </w:r>
    </w:p>
    <w:p>
      <w:pPr>
        <w:pStyle w:val="Heading5"/>
        <w:numPr>
          <w:ilvl w:val="4"/>
          <w:numId w:val="1"/>
        </w:numPr>
        <w:rPr/>
      </w:pPr>
      <w:bookmarkStart w:id="2923" w:name="__RefHeading___Toc2567654_3650668749"/>
      <w:bookmarkStart w:id="2924" w:name="_Toc1336"/>
      <w:bookmarkEnd w:id="2923"/>
      <w:r>
        <w:rPr>
          <w:rtl w:val="true"/>
        </w:rPr>
        <w:t>[ (</w:t>
      </w:r>
      <w:r>
        <w:rPr>
          <w:rtl w:val="true"/>
        </w:rPr>
        <w:t xml:space="preserve">مسألة </w:t>
      </w:r>
      <w:r>
        <w:rPr/>
        <w:t>13</w:t>
      </w:r>
      <w:r>
        <w:rPr>
          <w:rtl w:val="true"/>
        </w:rPr>
        <w:t xml:space="preserve">): </w:t>
      </w:r>
      <w:r>
        <w:rPr>
          <w:rtl w:val="true"/>
        </w:rPr>
        <w:t>یجوز للمعتکف أن یشترط حین النیّة الرجوع عن اعتکافه متی شاء حتّی الیوم الثالث</w:t>
      </w:r>
      <w:r>
        <w:rPr>
          <w:rtl w:val="true"/>
        </w:rPr>
        <w:t>]</w:t>
      </w:r>
      <w:bookmarkEnd w:id="292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للمعتکف أن یشترط حین النیّة الرجوع عن اعتکافه متی شاء حتّی الیوم الثالث؛ سواء علّقه علیٰ عروض عارض أم لا </w:t>
      </w:r>
      <w:r>
        <w:rPr>
          <w:rStyle w:val="FootnoteAnchor"/>
          <w:rtl w:val="true"/>
        </w:rPr>
        <w:footnoteReference w:id="854"/>
      </w:r>
      <w:r>
        <w:rPr>
          <w:rFonts w:ascii="Amiri" w:hAnsi="Amiri" w:eastAsia="Amiri" w:cs="Amiri"/>
          <w:color w:val="111111"/>
          <w:sz w:val="28"/>
          <w:sz w:val="28"/>
          <w:szCs w:val="28"/>
          <w:rtl w:val="true"/>
          <w:lang w:bidi="ar-SA"/>
        </w:rPr>
        <w:t>، فهو علیٰ حسب ما شرط إن عامّاً</w:t>
      </w:r>
      <w:bookmarkStart w:id="2925" w:name="pg1809_19210"/>
    </w:p>
    <w:p>
      <w:pPr>
        <w:pStyle w:val="BookText"/>
        <w:rPr/>
      </w:pPr>
      <w:bookmarkEnd w:id="2925"/>
      <w:r>
        <w:rPr>
          <w:rFonts w:ascii="IRNazanin" w:hAnsi="IRNazanin" w:eastAsia="IRNazanin"/>
          <w:color w:val="111111"/>
          <w:sz w:val="28"/>
          <w:sz w:val="28"/>
          <w:szCs w:val="28"/>
          <w:rtl w:val="true"/>
          <w:lang w:bidi="fa-IR"/>
        </w:rPr>
        <w:t>فعامّ و إن خاصّاً فخاصّ، کما یصحّ للناذر اشتراط ذلک فی نذره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أن أعتکف بشرط أن یکون لی الرجوع عند عروض کذا مثلًا فیجوز له الرجوع، و لا یترتّب علیه إثم و لا حنث و لا قضاء، و إن لم یشترط ذلک حین الشروع فی الاعتکاف، و إن کان الأحوط </w:t>
      </w:r>
      <w:r>
        <w:rPr>
          <w:rStyle w:val="FootnoteAnchor"/>
          <w:rtl w:val="true"/>
        </w:rPr>
        <w:footnoteReference w:id="855"/>
      </w:r>
      <w:r>
        <w:rPr>
          <w:rFonts w:ascii="IRNazanin" w:hAnsi="IRNazanin" w:eastAsia="IRNazanin"/>
          <w:color w:val="111111"/>
          <w:sz w:val="28"/>
          <w:sz w:val="28"/>
          <w:szCs w:val="28"/>
          <w:rtl w:val="true"/>
          <w:lang w:bidi="fa-IR"/>
        </w:rPr>
        <w:t>ذکر الشرط فی حال الشروع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اعتبار بالشرط المذکور قبل عقد نیّة الاعتکاف و لا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 حین النیّة ثمّ أسقط حکم شرطه فالظاهر عدم سقوطه</w:t>
      </w:r>
      <w:r>
        <w:rPr>
          <w:rFonts w:eastAsia="IRNazanin" w:cs="IRNazanin"/>
          <w:color w:val="111111"/>
          <w:sz w:val="28"/>
          <w:szCs w:val="28"/>
          <w:rtl w:val="true"/>
          <w:lang w:bidi="fa-IR"/>
        </w:rPr>
        <w:t>.</w:t>
      </w:r>
    </w:p>
    <w:p>
      <w:pPr>
        <w:pStyle w:val="Heading4"/>
        <w:numPr>
          <w:ilvl w:val="3"/>
          <w:numId w:val="1"/>
        </w:numPr>
        <w:rPr/>
      </w:pPr>
      <w:bookmarkStart w:id="2926" w:name="__RefHeading___Toc2567656_3650668749"/>
      <w:bookmarkStart w:id="2927" w:name="_Toc1337"/>
      <w:bookmarkEnd w:id="2926"/>
      <w:r>
        <w:rPr>
          <w:rtl w:val="true"/>
        </w:rPr>
        <w:t>[</w:t>
      </w:r>
      <w:r>
        <w:rPr>
          <w:rtl w:val="true"/>
        </w:rPr>
        <w:t>القول فی أحکام الاعتکاف</w:t>
      </w:r>
      <w:r>
        <w:rPr>
          <w:rtl w:val="true"/>
        </w:rPr>
        <w:t>]</w:t>
      </w:r>
      <w:bookmarkEnd w:id="2927"/>
    </w:p>
    <w:p>
      <w:pPr>
        <w:pStyle w:val="Heading5"/>
        <w:numPr>
          <w:ilvl w:val="4"/>
          <w:numId w:val="1"/>
        </w:numPr>
        <w:rPr/>
      </w:pPr>
      <w:bookmarkStart w:id="2928" w:name="__RefHeading___Toc2567658_3650668749"/>
      <w:bookmarkStart w:id="2929" w:name="_Toc1338"/>
      <w:bookmarkEnd w:id="2928"/>
      <w:r>
        <w:rPr>
          <w:rtl w:val="true"/>
        </w:rPr>
        <w:t>اشارة</w:t>
      </w:r>
      <w:bookmarkEnd w:id="2929"/>
    </w:p>
    <w:p>
      <w:pPr>
        <w:pStyle w:val="BookText"/>
        <w:rPr/>
      </w:pPr>
      <w:r>
        <w:rPr>
          <w:rFonts w:ascii="IRNazanin" w:hAnsi="IRNazanin" w:eastAsia="IRNazanin"/>
          <w:color w:val="111111"/>
          <w:sz w:val="28"/>
          <w:sz w:val="28"/>
          <w:szCs w:val="28"/>
          <w:rtl w:val="true"/>
          <w:lang w:bidi="fa-IR"/>
        </w:rPr>
        <w:t>القول فی أحکام الاعتکاف</w:t>
      </w:r>
    </w:p>
    <w:p>
      <w:pPr>
        <w:pStyle w:val="Heading5"/>
        <w:numPr>
          <w:ilvl w:val="4"/>
          <w:numId w:val="1"/>
        </w:numPr>
        <w:rPr/>
      </w:pPr>
      <w:bookmarkStart w:id="2930" w:name="__RefHeading___Toc2567660_3650668749"/>
      <w:bookmarkStart w:id="2931" w:name="_Toc1339"/>
      <w:bookmarkEnd w:id="2930"/>
      <w:r>
        <w:rPr>
          <w:rtl w:val="true"/>
        </w:rPr>
        <w:t>[</w:t>
      </w:r>
      <w:r>
        <w:rPr>
          <w:rtl w:val="true"/>
        </w:rPr>
        <w:t>یحرم علی المعتکف أُمور</w:t>
      </w:r>
      <w:r>
        <w:rPr>
          <w:rtl w:val="true"/>
        </w:rPr>
        <w:t>]</w:t>
      </w:r>
      <w:bookmarkEnd w:id="2931"/>
    </w:p>
    <w:p>
      <w:pPr>
        <w:pStyle w:val="Heading6"/>
        <w:numPr>
          <w:ilvl w:val="5"/>
          <w:numId w:val="1"/>
        </w:numPr>
        <w:rPr/>
      </w:pPr>
      <w:bookmarkStart w:id="2932" w:name="__RefHeading___Toc2567662_3650668749"/>
      <w:bookmarkStart w:id="2933" w:name="_Toc1340"/>
      <w:bookmarkEnd w:id="2932"/>
      <w:r>
        <w:rPr>
          <w:rtl w:val="true"/>
        </w:rPr>
        <w:t>اشارة</w:t>
      </w:r>
      <w:bookmarkEnd w:id="2933"/>
    </w:p>
    <w:p>
      <w:pPr>
        <w:pStyle w:val="BookText"/>
        <w:rPr/>
      </w:pPr>
      <w:r>
        <w:rPr>
          <w:rFonts w:ascii="IRNazanin" w:hAnsi="IRNazanin" w:eastAsia="IRNazanin"/>
          <w:color w:val="111111"/>
          <w:sz w:val="28"/>
          <w:sz w:val="28"/>
          <w:szCs w:val="28"/>
          <w:rtl w:val="true"/>
          <w:lang w:bidi="fa-IR"/>
        </w:rPr>
        <w:t>یحرم علی المعتکف أُمور</w:t>
      </w:r>
      <w:r>
        <w:rPr>
          <w:rFonts w:eastAsia="IRNazanin" w:cs="IRNazanin"/>
          <w:color w:val="111111"/>
          <w:sz w:val="28"/>
          <w:szCs w:val="28"/>
          <w:rtl w:val="true"/>
          <w:lang w:bidi="fa-IR"/>
        </w:rPr>
        <w:t>:</w:t>
      </w:r>
    </w:p>
    <w:p>
      <w:pPr>
        <w:pStyle w:val="Heading6"/>
        <w:numPr>
          <w:ilvl w:val="5"/>
          <w:numId w:val="1"/>
        </w:numPr>
        <w:rPr/>
      </w:pPr>
      <w:bookmarkStart w:id="2934" w:name="__RefHeading___Toc2567664_3650668749"/>
      <w:bookmarkStart w:id="2935" w:name="_Toc1341"/>
      <w:bookmarkEnd w:id="2934"/>
      <w:r>
        <w:rPr>
          <w:rtl w:val="true"/>
        </w:rPr>
        <w:t>[</w:t>
      </w:r>
      <w:r>
        <w:rPr>
          <w:rtl w:val="true"/>
        </w:rPr>
        <w:t>منها</w:t>
      </w:r>
      <w:r>
        <w:rPr>
          <w:rtl w:val="true"/>
        </w:rPr>
        <w:t xml:space="preserve">: </w:t>
      </w:r>
      <w:r>
        <w:rPr>
          <w:rtl w:val="true"/>
        </w:rPr>
        <w:t>مباشرة النساء</w:t>
      </w:r>
      <w:r>
        <w:rPr>
          <w:rtl w:val="true"/>
        </w:rPr>
        <w:t>]</w:t>
      </w:r>
      <w:bookmarkEnd w:id="2935"/>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النساء بالجماع بل و باللمس و التقبیل بشهوة، بل هی مبطلة للاعتکاف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الرجل و المرأة فیحرم ذلک علی المعتکفة أیضاً</w:t>
      </w:r>
      <w:r>
        <w:rPr>
          <w:rFonts w:eastAsia="IRNazanin" w:cs="IRNazanin"/>
          <w:color w:val="111111"/>
          <w:sz w:val="28"/>
          <w:szCs w:val="28"/>
          <w:rtl w:val="true"/>
          <w:lang w:bidi="fa-IR"/>
        </w:rPr>
        <w:t>.</w:t>
      </w:r>
    </w:p>
    <w:p>
      <w:pPr>
        <w:pStyle w:val="Heading6"/>
        <w:numPr>
          <w:ilvl w:val="5"/>
          <w:numId w:val="1"/>
        </w:numPr>
        <w:rPr/>
      </w:pPr>
      <w:bookmarkStart w:id="2936" w:name="__RefHeading___Toc2567666_3650668749"/>
      <w:bookmarkStart w:id="2937" w:name="_Toc1342"/>
      <w:bookmarkEnd w:id="2936"/>
      <w:r>
        <w:rPr>
          <w:rtl w:val="true"/>
        </w:rPr>
        <w:t>[</w:t>
      </w:r>
      <w:r>
        <w:rPr>
          <w:rtl w:val="true"/>
        </w:rPr>
        <w:t>و منها</w:t>
      </w:r>
      <w:r>
        <w:rPr>
          <w:rtl w:val="true"/>
        </w:rPr>
        <w:t xml:space="preserve">: </w:t>
      </w:r>
      <w:r>
        <w:rPr>
          <w:rtl w:val="true"/>
        </w:rPr>
        <w:t>الاستمناء</w:t>
      </w:r>
      <w:r>
        <w:rPr>
          <w:rtl w:val="true"/>
        </w:rPr>
        <w:t>]</w:t>
      </w:r>
      <w:bookmarkEnd w:id="293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 علی الأحوط</w:t>
      </w:r>
      <w:r>
        <w:rPr>
          <w:rFonts w:eastAsia="IRNazanin" w:cs="IRNazanin"/>
          <w:color w:val="111111"/>
          <w:sz w:val="28"/>
          <w:szCs w:val="28"/>
          <w:rtl w:val="true"/>
          <w:lang w:bidi="fa-IR"/>
        </w:rPr>
        <w:t>.</w:t>
      </w:r>
    </w:p>
    <w:p>
      <w:pPr>
        <w:pStyle w:val="Heading6"/>
        <w:numPr>
          <w:ilvl w:val="5"/>
          <w:numId w:val="1"/>
        </w:numPr>
        <w:rPr/>
      </w:pPr>
      <w:bookmarkStart w:id="2938" w:name="__RefHeading___Toc2567668_3650668749"/>
      <w:bookmarkStart w:id="2939" w:name="_Toc1343"/>
      <w:bookmarkEnd w:id="2938"/>
      <w:r>
        <w:rPr>
          <w:rtl w:val="true"/>
        </w:rPr>
        <w:t>[</w:t>
      </w:r>
      <w:r>
        <w:rPr>
          <w:rtl w:val="true"/>
        </w:rPr>
        <w:t>و منها</w:t>
      </w:r>
      <w:r>
        <w:rPr>
          <w:rtl w:val="true"/>
        </w:rPr>
        <w:t xml:space="preserve">: </w:t>
      </w:r>
      <w:r>
        <w:rPr>
          <w:rtl w:val="true"/>
        </w:rPr>
        <w:t>شمّ الطیب و الریحان متلذّذاً</w:t>
      </w:r>
      <w:r>
        <w:rPr>
          <w:rtl w:val="true"/>
        </w:rPr>
        <w:t>]</w:t>
      </w:r>
      <w:bookmarkEnd w:id="2939"/>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الطیب و الریحان متلذّذاً، ففاقد حاسّة الشمّ خارج</w:t>
      </w:r>
      <w:r>
        <w:rPr>
          <w:rFonts w:eastAsia="Amiri" w:cs="Amiri" w:ascii="Amiri" w:hAnsi="Amiri"/>
          <w:color w:val="111111"/>
          <w:sz w:val="28"/>
          <w:szCs w:val="28"/>
          <w:rtl w:val="true"/>
          <w:lang w:bidi="ar-SA"/>
        </w:rPr>
        <w:t>.</w:t>
      </w:r>
    </w:p>
    <w:p>
      <w:pPr>
        <w:pStyle w:val="Heading6"/>
        <w:numPr>
          <w:ilvl w:val="5"/>
          <w:numId w:val="1"/>
        </w:numPr>
        <w:rPr/>
      </w:pPr>
      <w:bookmarkStart w:id="2940" w:name="__RefHeading___Toc2567670_3650668749"/>
      <w:bookmarkStart w:id="2941" w:name="_Toc1344"/>
      <w:bookmarkEnd w:id="2940"/>
      <w:r>
        <w:rPr>
          <w:rtl w:val="true"/>
        </w:rPr>
        <w:t>[</w:t>
      </w:r>
      <w:r>
        <w:rPr>
          <w:rtl w:val="true"/>
        </w:rPr>
        <w:t>و منها</w:t>
      </w:r>
      <w:r>
        <w:rPr>
          <w:rtl w:val="true"/>
        </w:rPr>
        <w:t xml:space="preserve">: </w:t>
      </w:r>
      <w:r>
        <w:rPr>
          <w:rtl w:val="true"/>
        </w:rPr>
        <w:t>البیع و الشراء</w:t>
      </w:r>
      <w:r>
        <w:rPr>
          <w:rtl w:val="true"/>
        </w:rPr>
        <w:t>]</w:t>
      </w:r>
      <w:bookmarkEnd w:id="294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و الشراء، و الأحوط ترک غیرهما أیضاً من أنواع التجارة کالصلح و الإجارة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وقعت المعاملة صحّت و ترتّب علیها الأثر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بالاشتغال بالأُمور الدنیویّة من أصناف المعایش حتّی الخیاطة و النساجة و نحوهما و إن کان الأحوط الاجتناب، نعم لا بأس بها مع الاضطرار، بل لا بأس بالبیع و الشراء إذا مسّت الحاجة إلیهما للأکل و الشرب، حتّی مع إمکان </w:t>
      </w:r>
      <w:r>
        <w:rPr>
          <w:rStyle w:val="FootnoteAnchor"/>
          <w:rtl w:val="true"/>
        </w:rPr>
        <w:footnoteReference w:id="856"/>
      </w:r>
      <w:r>
        <w:rPr>
          <w:rFonts w:ascii="IRNazanin" w:hAnsi="IRNazanin" w:eastAsia="IRNazanin"/>
          <w:color w:val="111111"/>
          <w:sz w:val="28"/>
          <w:sz w:val="28"/>
          <w:szCs w:val="28"/>
          <w:rtl w:val="true"/>
          <w:lang w:bidi="fa-IR"/>
        </w:rPr>
        <w:t>توکیل الغیر و النقل بغیر البیع و إن کان الأحوط الاقتصار علیٰ صورة تعذّرهما</w:t>
      </w:r>
      <w:r>
        <w:rPr>
          <w:rFonts w:eastAsia="IRNazanin" w:cs="IRNazanin"/>
          <w:color w:val="111111"/>
          <w:sz w:val="28"/>
          <w:szCs w:val="28"/>
          <w:rtl w:val="true"/>
          <w:lang w:bidi="fa-IR"/>
        </w:rPr>
        <w:t>.</w:t>
      </w:r>
    </w:p>
    <w:p>
      <w:pPr>
        <w:pStyle w:val="Heading6"/>
        <w:numPr>
          <w:ilvl w:val="5"/>
          <w:numId w:val="1"/>
        </w:numPr>
        <w:rPr/>
      </w:pPr>
      <w:bookmarkStart w:id="2942" w:name="__RefHeading___Toc2567672_3650668749"/>
      <w:bookmarkStart w:id="2943" w:name="_Toc1345"/>
      <w:bookmarkEnd w:id="2942"/>
      <w:r>
        <w:rPr>
          <w:rtl w:val="true"/>
        </w:rPr>
        <w:t>[</w:t>
      </w:r>
      <w:r>
        <w:rPr>
          <w:rtl w:val="true"/>
        </w:rPr>
        <w:t>و منها</w:t>
      </w:r>
      <w:r>
        <w:rPr>
          <w:rtl w:val="true"/>
        </w:rPr>
        <w:t xml:space="preserve">: </w:t>
      </w:r>
      <w:r>
        <w:rPr>
          <w:rtl w:val="true"/>
        </w:rPr>
        <w:t>المجادلة علیٰ أمر دنیوی أو دینی إذا کانت لأجل الغلبة و إظهار الفضیلة</w:t>
      </w:r>
      <w:r>
        <w:rPr>
          <w:rtl w:val="true"/>
        </w:rPr>
        <w:t>]</w:t>
      </w:r>
      <w:bookmarkEnd w:id="294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المجادلة علیٰ أمر دنیوی أو دینی إذا کانت لأجل الغلبة و إظهار الفضیلة، فإن کانت بقصد إظهار الحقّ و ردّ الخصم عن الخطأ فلا بأس بها، بل هی حینئذٍ من أفضل الطاعات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للمعتکف اجتناب ما یجتنبه المحرم، لکنّ الأقویٰ خلافه، خصوصاً لبس المخیط و إزالة الشعر و أکل الصید و عقد النکاح، فإنّ جمیع ذلک جائز له</w:t>
      </w:r>
      <w:r>
        <w:rPr>
          <w:rFonts w:eastAsia="IRNazanin" w:cs="IRNazanin"/>
          <w:color w:val="111111"/>
          <w:sz w:val="28"/>
          <w:szCs w:val="28"/>
          <w:rtl w:val="true"/>
          <w:lang w:bidi="fa-IR"/>
        </w:rPr>
        <w:t>.</w:t>
      </w:r>
      <w:bookmarkStart w:id="2944" w:name="pg1809_19213"/>
    </w:p>
    <w:p>
      <w:pPr>
        <w:pStyle w:val="Heading5"/>
        <w:numPr>
          <w:ilvl w:val="4"/>
          <w:numId w:val="1"/>
        </w:numPr>
        <w:rPr/>
      </w:pPr>
      <w:bookmarkStart w:id="2945" w:name="__RefHeading___Toc2567674_3650668749"/>
      <w:bookmarkStart w:id="2946" w:name="_Toc1346"/>
      <w:bookmarkEnd w:id="2944"/>
      <w:bookmarkEnd w:id="2945"/>
      <w:r>
        <w:rPr>
          <w:rtl w:val="true"/>
        </w:rPr>
        <w:t>[ (</w:t>
      </w:r>
      <w:r>
        <w:rPr>
          <w:rtl w:val="true"/>
        </w:rPr>
        <w:t xml:space="preserve">مسألة </w:t>
      </w:r>
      <w:r>
        <w:rPr/>
        <w:t>1</w:t>
      </w:r>
      <w:r>
        <w:rPr>
          <w:rtl w:val="true"/>
        </w:rPr>
        <w:t xml:space="preserve">): </w:t>
      </w:r>
      <w:r>
        <w:rPr>
          <w:rtl w:val="true"/>
        </w:rPr>
        <w:t>لا فرق فی حرمة ما سمعته علی المعتکف</w:t>
      </w:r>
      <w:r>
        <w:rPr>
          <w:rtl w:val="true"/>
        </w:rPr>
        <w:t>]</w:t>
      </w:r>
      <w:bookmarkEnd w:id="29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حرمة ما سمعته علی المعتکف بین اللیل و النهار عدا الإفطار</w:t>
      </w:r>
      <w:r>
        <w:rPr>
          <w:rFonts w:eastAsia="IRNazanin" w:cs="IRNazanin"/>
          <w:color w:val="111111"/>
          <w:sz w:val="28"/>
          <w:szCs w:val="28"/>
          <w:rtl w:val="true"/>
          <w:lang w:bidi="fa-IR"/>
        </w:rPr>
        <w:t>.</w:t>
      </w:r>
    </w:p>
    <w:p>
      <w:pPr>
        <w:pStyle w:val="Heading5"/>
        <w:numPr>
          <w:ilvl w:val="4"/>
          <w:numId w:val="1"/>
        </w:numPr>
        <w:rPr/>
      </w:pPr>
      <w:bookmarkStart w:id="2947" w:name="__RefHeading___Toc2567676_3650668749"/>
      <w:bookmarkStart w:id="2948" w:name="_Toc1347"/>
      <w:bookmarkEnd w:id="2947"/>
      <w:r>
        <w:rPr>
          <w:rtl w:val="true"/>
        </w:rPr>
        <w:t>[ (</w:t>
      </w:r>
      <w:r>
        <w:rPr>
          <w:rtl w:val="true"/>
        </w:rPr>
        <w:t xml:space="preserve">مسألة </w:t>
      </w:r>
      <w:r>
        <w:rPr/>
        <w:t>2</w:t>
      </w:r>
      <w:r>
        <w:rPr>
          <w:rtl w:val="true"/>
        </w:rPr>
        <w:t xml:space="preserve">): </w:t>
      </w:r>
      <w:r>
        <w:rPr>
          <w:rtl w:val="true"/>
        </w:rPr>
        <w:t>یفسد الاعتکاف کلّما یفسد الصوم من حیث اشتراطه به فبطلانه یوجب بطلانه</w:t>
      </w:r>
      <w:r>
        <w:rPr>
          <w:rtl w:val="true"/>
        </w:rPr>
        <w:t>]</w:t>
      </w:r>
      <w:bookmarkEnd w:id="29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یفسد الاعتکاف کلّما یفسد الصوم من حیث اشتراطه به فبطلانه یوجب بطلانه، و کذا یفسده الجماع و لو وقع فی اللیل و کذا اللمس و التقبیل بشهوة، بل الأحوط بطلانه بسائر ما ذکر من المحرّمات أیضاً، نعم بطلانه بها مختصّ بحال العمد </w:t>
      </w:r>
      <w:r>
        <w:rPr>
          <w:rStyle w:val="FootnoteAnchor"/>
          <w:rtl w:val="true"/>
        </w:rPr>
        <w:footnoteReference w:id="857"/>
      </w:r>
      <w:r>
        <w:rPr>
          <w:rFonts w:ascii="IRNazanin" w:hAnsi="IRNazanin" w:eastAsia="IRNazanin"/>
          <w:color w:val="111111"/>
          <w:sz w:val="28"/>
          <w:sz w:val="28"/>
          <w:szCs w:val="28"/>
          <w:rtl w:val="true"/>
          <w:lang w:bidi="fa-IR"/>
        </w:rPr>
        <w:t>و الاختیار بخلاف الجماع فإنّه یفسده و لو وقع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فسد بأحد المفسدات فإن کان واجباً معیّناً وجب قضاؤه و لا یجب الفور فیه و إن کان أحوط، و إن کان غیر معیّن وجب استئنافه، و کذا یجب قضاؤه إذا کان مندوباً و أفسده بعد الیومین، و أمّا إذا کان قبلهما فلا شی‌ء علیه، بل فی مشروعیّة قضائه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یجب القضاء أو الاستئناف فی الاعتکاف الواجب إذا لم یشترط فیه الرجوع و إلّا فلا قضاء و لا استئناف</w:t>
      </w:r>
      <w:r>
        <w:rPr>
          <w:rFonts w:eastAsia="IRNazanin" w:cs="IRNazanin"/>
          <w:color w:val="111111"/>
          <w:sz w:val="28"/>
          <w:szCs w:val="28"/>
          <w:rtl w:val="true"/>
          <w:lang w:bidi="fa-IR"/>
        </w:rPr>
        <w:t>.</w:t>
      </w:r>
    </w:p>
    <w:p>
      <w:pPr>
        <w:pStyle w:val="Heading5"/>
        <w:numPr>
          <w:ilvl w:val="4"/>
          <w:numId w:val="1"/>
        </w:numPr>
        <w:rPr/>
      </w:pPr>
      <w:bookmarkStart w:id="2949" w:name="__RefHeading___Toc2567678_3650668749"/>
      <w:bookmarkStart w:id="2950" w:name="_Toc1348"/>
      <w:bookmarkEnd w:id="2949"/>
      <w:r>
        <w:rPr>
          <w:rtl w:val="true"/>
        </w:rPr>
        <w:t>[ (</w:t>
      </w:r>
      <w:r>
        <w:rPr>
          <w:rtl w:val="true"/>
        </w:rPr>
        <w:t xml:space="preserve">مسألة </w:t>
      </w:r>
      <w:r>
        <w:rPr/>
        <w:t>3</w:t>
      </w:r>
      <w:r>
        <w:rPr>
          <w:rtl w:val="true"/>
        </w:rPr>
        <w:t xml:space="preserve">): </w:t>
      </w:r>
      <w:r>
        <w:rPr>
          <w:rtl w:val="true"/>
        </w:rPr>
        <w:t>إذا أفسد الاعتکاف الواجب بالجماع و لو لیلًا وجبت الکفّارة</w:t>
      </w:r>
      <w:r>
        <w:rPr>
          <w:rtl w:val="true"/>
        </w:rPr>
        <w:t>]</w:t>
      </w:r>
      <w:bookmarkEnd w:id="29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أفسد الاعتکاف الواجب </w:t>
      </w:r>
      <w:r>
        <w:rPr>
          <w:rStyle w:val="FootnoteAnchor"/>
          <w:rtl w:val="true"/>
        </w:rPr>
        <w:footnoteReference w:id="858"/>
      </w:r>
      <w:r>
        <w:rPr>
          <w:rFonts w:ascii="IRNazanin" w:hAnsi="IRNazanin" w:eastAsia="IRNazanin"/>
          <w:color w:val="111111"/>
          <w:sz w:val="28"/>
          <w:sz w:val="28"/>
          <w:szCs w:val="28"/>
          <w:rtl w:val="true"/>
          <w:lang w:bidi="fa-IR"/>
        </w:rPr>
        <w:t>بالجماع و لو لیلًا وجبت الکفّارة و لا تجب فی سائر المحرّمات و إن کان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کفّارته ککفّارة شهر رمضان و إن کان الأحوط کونها مرتّبة ککفّارة الظهار</w:t>
      </w:r>
      <w:r>
        <w:rPr>
          <w:rFonts w:eastAsia="IRNazanin" w:cs="IRNazanin"/>
          <w:color w:val="111111"/>
          <w:sz w:val="28"/>
          <w:szCs w:val="28"/>
          <w:rtl w:val="true"/>
          <w:lang w:bidi="fa-IR"/>
        </w:rPr>
        <w:t>.</w:t>
      </w:r>
    </w:p>
    <w:p>
      <w:pPr>
        <w:pStyle w:val="Heading5"/>
        <w:numPr>
          <w:ilvl w:val="4"/>
          <w:numId w:val="1"/>
        </w:numPr>
        <w:rPr/>
      </w:pPr>
      <w:bookmarkStart w:id="2951" w:name="__RefHeading___Toc2567680_3650668749"/>
      <w:bookmarkStart w:id="2952" w:name="_Toc1349"/>
      <w:bookmarkEnd w:id="2951"/>
      <w:r>
        <w:rPr>
          <w:rtl w:val="true"/>
        </w:rPr>
        <w:t>[ (</w:t>
      </w:r>
      <w:r>
        <w:rPr>
          <w:rtl w:val="true"/>
        </w:rPr>
        <w:t xml:space="preserve">مسألة </w:t>
      </w:r>
      <w:r>
        <w:rPr/>
        <w:t>4</w:t>
      </w:r>
      <w:r>
        <w:rPr>
          <w:rtl w:val="true"/>
        </w:rPr>
        <w:t xml:space="preserve">): </w:t>
      </w:r>
      <w:r>
        <w:rPr>
          <w:rtl w:val="true"/>
        </w:rPr>
        <w:t>إذا أفسد الاعتکاف الواجب بالجماع فی نهار شهر رمضان فعلیه کفّارتان</w:t>
      </w:r>
      <w:r>
        <w:rPr>
          <w:rtl w:val="true"/>
        </w:rPr>
        <w:t>]</w:t>
      </w:r>
      <w:bookmarkEnd w:id="295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أفسد الاعتکاف الواجب بالجماع فی نهار شهر رمضان فعلیه کفّارتان و کذا فی قضاء شهر رمضان إذا کان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أکره زوجته الصائمة فی شهر رمضان فإن لم تکن معتکفة فعلیه کفّارات ثلاث؛ إحداها عن نفسه لاعتکافه، و الثانیة عن نفسه لصومه، و الثالثة عن زوجته لصومها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معتکفة فکذلک علی الأقویٰ و إن کان الأحوط أربع کفّارات بزیادة کفّارة أُخری عن زوجته لاعتکافها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الزوجة مطاوعة فعلی کلّ منهما کفّارة واحدة إن کان فی اللیل و کفّارتان إذا کان فی النهار</w:t>
      </w:r>
      <w:r>
        <w:rPr>
          <w:rFonts w:eastAsia="IRNazanin" w:cs="IRNazanin"/>
          <w:color w:val="111111"/>
          <w:sz w:val="28"/>
          <w:szCs w:val="28"/>
          <w:rtl w:val="true"/>
          <w:lang w:bidi="fa-IR"/>
        </w:rPr>
        <w:t>.</w:t>
      </w:r>
      <w:bookmarkStart w:id="2953" w:name="pg1809_19216"/>
    </w:p>
    <w:p>
      <w:pPr>
        <w:pStyle w:val="Heading2"/>
        <w:numPr>
          <w:ilvl w:val="1"/>
          <w:numId w:val="1"/>
        </w:numPr>
        <w:rPr/>
      </w:pPr>
      <w:bookmarkStart w:id="2954" w:name="__RefHeading___Toc2567682_3650668749"/>
      <w:bookmarkStart w:id="2955" w:name="_Toc1350"/>
      <w:bookmarkEnd w:id="2953"/>
      <w:bookmarkEnd w:id="2954"/>
      <w:r>
        <w:rPr>
          <w:rtl w:val="true"/>
        </w:rPr>
        <w:t>[</w:t>
      </w:r>
      <w:r>
        <w:rPr>
          <w:rtl w:val="true"/>
        </w:rPr>
        <w:t>کتاب الزکاة</w:t>
      </w:r>
      <w:r>
        <w:rPr>
          <w:rtl w:val="true"/>
        </w:rPr>
        <w:t>]</w:t>
      </w:r>
      <w:bookmarkEnd w:id="2955"/>
    </w:p>
    <w:p>
      <w:pPr>
        <w:pStyle w:val="Heading3"/>
        <w:numPr>
          <w:ilvl w:val="2"/>
          <w:numId w:val="1"/>
        </w:numPr>
        <w:rPr/>
      </w:pPr>
      <w:bookmarkStart w:id="2956" w:name="__RefHeading___Toc2567684_3650668749"/>
      <w:bookmarkStart w:id="2957" w:name="_Toc1351"/>
      <w:bookmarkEnd w:id="2956"/>
      <w:r>
        <w:rPr>
          <w:rtl w:val="true"/>
        </w:rPr>
        <w:t>اشارة</w:t>
      </w:r>
      <w:bookmarkEnd w:id="2957"/>
    </w:p>
    <w:p>
      <w:pPr>
        <w:pStyle w:val="BookText"/>
        <w:rPr/>
      </w:pPr>
      <w:r>
        <w:rPr>
          <w:rFonts w:ascii="IRNazanin" w:hAnsi="IRNazanin" w:eastAsia="IRNazanin"/>
          <w:color w:val="111111"/>
          <w:sz w:val="28"/>
          <w:sz w:val="28"/>
          <w:szCs w:val="28"/>
          <w:rtl w:val="true"/>
          <w:lang w:bidi="fa-IR"/>
        </w:rPr>
        <w:t xml:space="preserve">کتاب الزکاة و هی فی الجملة من ضروریّات الدین، و إنّ منکرها مندرج </w:t>
      </w:r>
      <w:r>
        <w:rPr>
          <w:rStyle w:val="FootnoteAnchor"/>
          <w:rtl w:val="true"/>
        </w:rPr>
        <w:footnoteReference w:id="859"/>
      </w:r>
      <w:r>
        <w:rPr>
          <w:rFonts w:ascii="IRNazanin" w:hAnsi="IRNazanin" w:eastAsia="IRNazanin"/>
          <w:color w:val="111111"/>
          <w:sz w:val="28"/>
          <w:sz w:val="28"/>
          <w:szCs w:val="28"/>
          <w:rtl w:val="true"/>
          <w:lang w:bidi="fa-IR"/>
        </w:rPr>
        <w:t>فی سبیل الکافرین، و إنّ مانع قیراط منها لیس من المؤمنین و لا من المسلمین، و لیمت إن شاء یهودیّاً و إن شاء نصرانیّاً، و ما من ذی مال أو نخل أو زرع أو کرم یمنع من زکاة ماله إلّا قلّده اللّٰه تربة أرضه یطوّق بها من سبع أرضین إلیٰ یوم القیامة، و ما من أحد یمنع من زکاة ماله شیئاً إلّا جعل اللّٰه ذلک ثعباناً من النار مطوّقاً فی عنقه ینهش لحمه حتّی یفرغ من الحساب، و إنّ اللّٰه یحبسه یوم القیامة بقاع قفر و یسلّط اللّٰه علیه شجاعاً أقرع أی ثعباناً لا شعر فی رأسه لکثرة سمّه یریده و هو یحید عنه فإذا رأی أنّه لا یتخلّص منه أمکنه من یده فقضمها کما یقضم الفحل ثمّ یصیر طوقاً فی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فضل الزکاة فعظیم و ثوابها جسیم، و یکفیک ما ورد فی فضل الصدقة الشاملة لها من أنّ اللّٰه یربّیها لصاحبها کما یربّی الرجل فصیله، فیأتی بها یوم القیامة مثل أُحُد، و أنّها تدفع میتة السوء و تفکّ من لحی سبعمائة شیطان، و أنّها تطفئ غضب الربّ و تمحو الذنب العظیم و تهوّن الحساب و تنمی المال و یزید فی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مقصدان</w:t>
      </w:r>
      <w:r>
        <w:rPr>
          <w:rFonts w:eastAsia="IRNazanin" w:cs="IRNazanin"/>
          <w:color w:val="111111"/>
          <w:sz w:val="28"/>
          <w:szCs w:val="28"/>
          <w:rtl w:val="true"/>
          <w:lang w:bidi="fa-IR"/>
        </w:rPr>
        <w:t>:</w:t>
      </w:r>
    </w:p>
    <w:p>
      <w:pPr>
        <w:pStyle w:val="Heading3"/>
        <w:numPr>
          <w:ilvl w:val="2"/>
          <w:numId w:val="1"/>
        </w:numPr>
        <w:rPr/>
      </w:pPr>
      <w:bookmarkStart w:id="2958" w:name="__RefHeading___Toc2567686_3650668749"/>
      <w:bookmarkStart w:id="2959" w:name="_Toc1352"/>
      <w:bookmarkEnd w:id="2958"/>
      <w:r>
        <w:rPr>
          <w:rtl w:val="true"/>
        </w:rPr>
        <w:t>[</w:t>
      </w:r>
      <w:r>
        <w:rPr>
          <w:rtl w:val="true"/>
        </w:rPr>
        <w:t>المقصد الأوّل</w:t>
      </w:r>
      <w:r>
        <w:rPr>
          <w:rtl w:val="true"/>
        </w:rPr>
        <w:t xml:space="preserve">: </w:t>
      </w:r>
      <w:r>
        <w:rPr>
          <w:rtl w:val="true"/>
        </w:rPr>
        <w:t>فی زکاة المال</w:t>
      </w:r>
      <w:r>
        <w:rPr>
          <w:rtl w:val="true"/>
        </w:rPr>
        <w:t>]</w:t>
      </w:r>
      <w:bookmarkEnd w:id="2959"/>
    </w:p>
    <w:p>
      <w:pPr>
        <w:pStyle w:val="Heading4"/>
        <w:numPr>
          <w:ilvl w:val="3"/>
          <w:numId w:val="1"/>
        </w:numPr>
        <w:rPr/>
      </w:pPr>
      <w:bookmarkStart w:id="2960" w:name="__RefHeading___Toc2567688_3650668749"/>
      <w:bookmarkStart w:id="2961" w:name="_Toc1353"/>
      <w:bookmarkEnd w:id="2960"/>
      <w:r>
        <w:rPr>
          <w:rtl w:val="true"/>
        </w:rPr>
        <w:t>اشارة</w:t>
      </w:r>
      <w:bookmarkEnd w:id="296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زکاة المال و الکلام فیمن تجب علیه الزکاة و فیما تجب فیه و فیمن تصرف إلیه و فی أوصاف المستحقّین لها</w:t>
      </w:r>
      <w:r>
        <w:rPr>
          <w:rFonts w:eastAsia="IRNazanin" w:cs="IRNazanin"/>
          <w:color w:val="111111"/>
          <w:sz w:val="28"/>
          <w:szCs w:val="28"/>
          <w:rtl w:val="true"/>
          <w:lang w:bidi="fa-IR"/>
        </w:rPr>
        <w:t>.</w:t>
      </w:r>
      <w:bookmarkStart w:id="2962" w:name="pg1809_19218"/>
    </w:p>
    <w:p>
      <w:pPr>
        <w:pStyle w:val="Heading4"/>
        <w:numPr>
          <w:ilvl w:val="3"/>
          <w:numId w:val="1"/>
        </w:numPr>
        <w:rPr/>
      </w:pPr>
      <w:bookmarkStart w:id="2963" w:name="__RefHeading___Toc2567690_3650668749"/>
      <w:bookmarkStart w:id="2964" w:name="_Toc1354"/>
      <w:bookmarkEnd w:id="2962"/>
      <w:bookmarkEnd w:id="2963"/>
      <w:r>
        <w:rPr>
          <w:rtl w:val="true"/>
        </w:rPr>
        <w:t>[</w:t>
      </w:r>
      <w:r>
        <w:rPr>
          <w:rtl w:val="true"/>
        </w:rPr>
        <w:t>القول فیمن تجبُ علیه الزکاة</w:t>
      </w:r>
      <w:r>
        <w:rPr>
          <w:rtl w:val="true"/>
        </w:rPr>
        <w:t>]</w:t>
      </w:r>
      <w:bookmarkEnd w:id="2964"/>
    </w:p>
    <w:p>
      <w:pPr>
        <w:pStyle w:val="Heading5"/>
        <w:numPr>
          <w:ilvl w:val="4"/>
          <w:numId w:val="1"/>
        </w:numPr>
        <w:rPr/>
      </w:pPr>
      <w:bookmarkStart w:id="2965" w:name="__RefHeading___Toc2567692_3650668749"/>
      <w:bookmarkStart w:id="2966" w:name="_Toc1355"/>
      <w:bookmarkEnd w:id="2965"/>
      <w:r>
        <w:rPr>
          <w:rtl w:val="true"/>
        </w:rPr>
        <w:t>اشارة</w:t>
      </w:r>
      <w:bookmarkEnd w:id="2966"/>
    </w:p>
    <w:p>
      <w:pPr>
        <w:pStyle w:val="BookText"/>
        <w:rPr/>
      </w:pPr>
      <w:r>
        <w:rPr>
          <w:rFonts w:ascii="IRNazanin" w:hAnsi="IRNazanin" w:eastAsia="IRNazanin"/>
          <w:color w:val="111111"/>
          <w:sz w:val="28"/>
          <w:sz w:val="28"/>
          <w:szCs w:val="28"/>
          <w:rtl w:val="true"/>
          <w:lang w:bidi="fa-IR"/>
        </w:rPr>
        <w:t>القول فیمن تجبُ علیه الزکاة</w:t>
      </w:r>
    </w:p>
    <w:p>
      <w:pPr>
        <w:pStyle w:val="Heading5"/>
        <w:numPr>
          <w:ilvl w:val="4"/>
          <w:numId w:val="1"/>
        </w:numPr>
        <w:rPr/>
      </w:pPr>
      <w:bookmarkStart w:id="2967" w:name="__RefHeading___Toc2567694_3650668749"/>
      <w:bookmarkStart w:id="2968" w:name="_Toc1356"/>
      <w:bookmarkEnd w:id="2967"/>
      <w:r>
        <w:rPr>
          <w:rtl w:val="true"/>
        </w:rPr>
        <w:t>[ (</w:t>
      </w:r>
      <w:r>
        <w:rPr>
          <w:rtl w:val="true"/>
        </w:rPr>
        <w:t xml:space="preserve">مسألة </w:t>
      </w:r>
      <w:r>
        <w:rPr/>
        <w:t>1</w:t>
      </w:r>
      <w:r>
        <w:rPr>
          <w:rtl w:val="true"/>
        </w:rPr>
        <w:t xml:space="preserve">): </w:t>
      </w:r>
      <w:r>
        <w:rPr>
          <w:rtl w:val="true"/>
        </w:rPr>
        <w:t>یشترط فیمن تجب علیه الزکاة أُمور</w:t>
      </w:r>
      <w:r>
        <w:rPr>
          <w:rtl w:val="true"/>
        </w:rPr>
        <w:t>]</w:t>
      </w:r>
      <w:bookmarkEnd w:id="2968"/>
    </w:p>
    <w:p>
      <w:pPr>
        <w:pStyle w:val="Heading6"/>
        <w:numPr>
          <w:ilvl w:val="5"/>
          <w:numId w:val="1"/>
        </w:numPr>
        <w:rPr/>
      </w:pPr>
      <w:bookmarkStart w:id="2969" w:name="__RefHeading___Toc2567696_3650668749"/>
      <w:bookmarkStart w:id="2970" w:name="_Toc1357"/>
      <w:bookmarkEnd w:id="2969"/>
      <w:r>
        <w:rPr>
          <w:rtl w:val="true"/>
        </w:rPr>
        <w:t>اشارة</w:t>
      </w:r>
      <w:bookmarkEnd w:id="29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فیمن تجب علیه الزکاة أُمور</w:t>
      </w:r>
      <w:r>
        <w:rPr>
          <w:rFonts w:eastAsia="IRNazanin" w:cs="IRNazanin"/>
          <w:color w:val="111111"/>
          <w:sz w:val="28"/>
          <w:szCs w:val="28"/>
          <w:rtl w:val="true"/>
          <w:lang w:bidi="fa-IR"/>
        </w:rPr>
        <w:t>:</w:t>
      </w:r>
    </w:p>
    <w:p>
      <w:pPr>
        <w:pStyle w:val="Heading6"/>
        <w:numPr>
          <w:ilvl w:val="5"/>
          <w:numId w:val="1"/>
        </w:numPr>
        <w:rPr/>
      </w:pPr>
      <w:bookmarkStart w:id="2971" w:name="__RefHeading___Toc2567698_3650668749"/>
      <w:bookmarkStart w:id="2972" w:name="_Toc1358"/>
      <w:bookmarkEnd w:id="2971"/>
      <w:r>
        <w:rPr>
          <w:rtl w:val="true"/>
        </w:rPr>
        <w:t>[</w:t>
      </w:r>
      <w:r>
        <w:rPr>
          <w:rtl w:val="true"/>
        </w:rPr>
        <w:t>أحدها</w:t>
      </w:r>
      <w:r>
        <w:rPr>
          <w:rtl w:val="true"/>
        </w:rPr>
        <w:t xml:space="preserve">: </w:t>
      </w:r>
      <w:r>
        <w:rPr>
          <w:rtl w:val="true"/>
        </w:rPr>
        <w:t>البلوغ</w:t>
      </w:r>
      <w:r>
        <w:rPr>
          <w:rtl w:val="true"/>
        </w:rPr>
        <w:t>]</w:t>
      </w:r>
      <w:bookmarkEnd w:id="2972"/>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فلا تجب علیٰ غیر البالغ، نعم إذا اتّجر له الولیّ الشرعی استحبّ له إخراج الزکاة من ماله، کما أنّه یستحبّ له أیضاً إخراجها من غلّاته، و أمّا مواشیه فالأحوط </w:t>
      </w:r>
      <w:r>
        <w:rPr>
          <w:rStyle w:val="FootnoteAnchor"/>
          <w:rtl w:val="true"/>
        </w:rPr>
        <w:footnoteReference w:id="860"/>
      </w:r>
      <w:r>
        <w:rPr>
          <w:rFonts w:ascii="IRNazanin" w:hAnsi="IRNazanin" w:eastAsia="IRNazanin"/>
          <w:color w:val="111111"/>
          <w:sz w:val="28"/>
          <w:sz w:val="28"/>
          <w:szCs w:val="28"/>
          <w:rtl w:val="true"/>
          <w:lang w:bidi="fa-IR"/>
        </w:rPr>
        <w:t>الترک، و المتولّی لإخراجها الولیّ لا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المعتبر البلوغ أوّل الحول فیما اعتبر فیه الحول، و فی غیره البلوغ قبل وقت التعلّق</w:t>
      </w:r>
      <w:r>
        <w:rPr>
          <w:rFonts w:eastAsia="IRNazanin" w:cs="IRNazanin"/>
          <w:color w:val="111111"/>
          <w:sz w:val="28"/>
          <w:szCs w:val="28"/>
          <w:rtl w:val="true"/>
          <w:lang w:bidi="fa-IR"/>
        </w:rPr>
        <w:t>.</w:t>
      </w:r>
    </w:p>
    <w:p>
      <w:pPr>
        <w:pStyle w:val="Heading6"/>
        <w:numPr>
          <w:ilvl w:val="5"/>
          <w:numId w:val="1"/>
        </w:numPr>
        <w:rPr/>
      </w:pPr>
      <w:bookmarkStart w:id="2973" w:name="__RefHeading___Toc2567700_3650668749"/>
      <w:bookmarkStart w:id="2974" w:name="_Toc1359"/>
      <w:bookmarkEnd w:id="2973"/>
      <w:r>
        <w:rPr>
          <w:rtl w:val="true"/>
        </w:rPr>
        <w:t>[</w:t>
      </w:r>
      <w:r>
        <w:rPr>
          <w:rtl w:val="true"/>
        </w:rPr>
        <w:t>ثانیها</w:t>
      </w:r>
      <w:r>
        <w:rPr>
          <w:rtl w:val="true"/>
        </w:rPr>
        <w:t xml:space="preserve">: </w:t>
      </w:r>
      <w:r>
        <w:rPr>
          <w:rtl w:val="true"/>
        </w:rPr>
        <w:t>العقل</w:t>
      </w:r>
      <w:r>
        <w:rPr>
          <w:rtl w:val="true"/>
        </w:rPr>
        <w:t>]</w:t>
      </w:r>
      <w:bookmarkEnd w:id="2974"/>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تجب فی مال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المعتبر العقل فی تمام الحول فیما اعتبر فیه الحول، و حال التعلّق فیما لم یعتبر فیه کالبلوغ، فإذا عرض الجنون فیما یعتبر فیه الحول و لو فی زمان قصیر </w:t>
      </w:r>
      <w:r>
        <w:rPr>
          <w:rStyle w:val="FootnoteAnchor"/>
          <w:rtl w:val="true"/>
        </w:rPr>
        <w:footnoteReference w:id="861"/>
      </w:r>
      <w:r>
        <w:rPr>
          <w:rFonts w:ascii="IRNazanin" w:hAnsi="IRNazanin" w:eastAsia="IRNazanin"/>
          <w:color w:val="111111"/>
          <w:sz w:val="28"/>
          <w:sz w:val="28"/>
          <w:szCs w:val="28"/>
          <w:rtl w:val="true"/>
          <w:lang w:bidi="fa-IR"/>
        </w:rPr>
        <w:t>یقطع الحول بخلاف النوم، بل و السکر و الإغماء علی الأقویٰ</w:t>
      </w:r>
      <w:r>
        <w:rPr>
          <w:rFonts w:eastAsia="IRNazanin" w:cs="IRNazanin"/>
          <w:color w:val="111111"/>
          <w:sz w:val="28"/>
          <w:szCs w:val="28"/>
          <w:rtl w:val="true"/>
          <w:lang w:bidi="fa-IR"/>
        </w:rPr>
        <w:t>.</w:t>
      </w:r>
    </w:p>
    <w:p>
      <w:pPr>
        <w:pStyle w:val="Heading6"/>
        <w:numPr>
          <w:ilvl w:val="5"/>
          <w:numId w:val="1"/>
        </w:numPr>
        <w:rPr/>
      </w:pPr>
      <w:bookmarkStart w:id="2975" w:name="__RefHeading___Toc2567702_3650668749"/>
      <w:bookmarkStart w:id="2976" w:name="_Toc1360"/>
      <w:bookmarkEnd w:id="2975"/>
      <w:r>
        <w:rPr>
          <w:rtl w:val="true"/>
        </w:rPr>
        <w:t>[</w:t>
      </w:r>
      <w:r>
        <w:rPr>
          <w:rtl w:val="true"/>
        </w:rPr>
        <w:t>ثالثها</w:t>
      </w:r>
      <w:r>
        <w:rPr>
          <w:rtl w:val="true"/>
        </w:rPr>
        <w:t xml:space="preserve">: </w:t>
      </w:r>
      <w:r>
        <w:rPr>
          <w:rtl w:val="true"/>
        </w:rPr>
        <w:t>الحرّیّة</w:t>
      </w:r>
      <w:r>
        <w:rPr>
          <w:rtl w:val="true"/>
        </w:rPr>
        <w:t>]</w:t>
      </w:r>
      <w:bookmarkEnd w:id="2976"/>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الحرّیّة، فلا زکاة علی العبد و إن قلنا بملکه کما هو الأقویٰ </w:t>
      </w:r>
      <w:r>
        <w:rPr>
          <w:rStyle w:val="FootnoteAnchor"/>
          <w:rtl w:val="true"/>
        </w:rPr>
        <w:footnoteReference w:id="862"/>
      </w:r>
      <w:r>
        <w:rPr>
          <w:rFonts w:ascii="IRNazanin" w:hAnsi="IRNazanin" w:eastAsia="IRNazanin"/>
          <w:color w:val="111111"/>
          <w:sz w:val="28"/>
          <w:sz w:val="28"/>
          <w:szCs w:val="28"/>
          <w:rtl w:val="true"/>
          <w:lang w:bidi="fa-IR"/>
        </w:rPr>
        <w:t>، فإذا ملّکه السیّد نصاباً لا تجب الزکاة علیٰ واحد منهما، و کذا فیما إذا کان بید العبد مال من السیّد مع عدم تمکّنه من التصرّف فیه عرفاً، و أمّا إن کان متمکّناً عرفاً من التصرّف فیه یجب زکاته علی السیّد مع جامعیّته لشرائط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العبد بین أقسامه، نعم المبعّض یجب علیه إذا کان ما یوزّع علیٰ شقصه الحرّ بقدر النصاب مع اجتماع سائر الشرائط</w:t>
      </w:r>
      <w:r>
        <w:rPr>
          <w:rFonts w:eastAsia="IRNazanin" w:cs="IRNazanin"/>
          <w:color w:val="111111"/>
          <w:sz w:val="28"/>
          <w:szCs w:val="28"/>
          <w:rtl w:val="true"/>
          <w:lang w:bidi="fa-IR"/>
        </w:rPr>
        <w:t>.</w:t>
      </w:r>
    </w:p>
    <w:p>
      <w:pPr>
        <w:pStyle w:val="Heading6"/>
        <w:numPr>
          <w:ilvl w:val="5"/>
          <w:numId w:val="1"/>
        </w:numPr>
        <w:rPr/>
      </w:pPr>
      <w:bookmarkStart w:id="2977" w:name="__RefHeading___Toc2567704_3650668749"/>
      <w:bookmarkStart w:id="2978" w:name="_Toc1361"/>
      <w:bookmarkEnd w:id="2977"/>
      <w:r>
        <w:rPr>
          <w:rtl w:val="true"/>
        </w:rPr>
        <w:t>[</w:t>
      </w:r>
      <w:r>
        <w:rPr>
          <w:rtl w:val="true"/>
        </w:rPr>
        <w:t>رابعها</w:t>
      </w:r>
      <w:r>
        <w:rPr>
          <w:rtl w:val="true"/>
        </w:rPr>
        <w:t xml:space="preserve">: </w:t>
      </w:r>
      <w:r>
        <w:rPr>
          <w:rtl w:val="true"/>
        </w:rPr>
        <w:t>الملک</w:t>
      </w:r>
      <w:r>
        <w:rPr>
          <w:rtl w:val="true"/>
        </w:rPr>
        <w:t>]</w:t>
      </w:r>
      <w:bookmarkEnd w:id="2978"/>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فلا زکاة علی الموهوب و لا علی القرض إلّا بعد القبض؛ لکونه شرطاً لتملّک الموهوب له و المقترض، و لا علی الموصی به إلّا بعد الوفاة و القبول، بناءً علیٰ ما هو المشهور </w:t>
      </w:r>
      <w:r>
        <w:rPr>
          <w:rStyle w:val="FootnoteAnchor"/>
          <w:rtl w:val="true"/>
        </w:rPr>
        <w:footnoteReference w:id="863"/>
      </w:r>
      <w:r>
        <w:rPr>
          <w:rFonts w:ascii="IRNazanin" w:hAnsi="IRNazanin" w:eastAsia="IRNazanin"/>
          <w:color w:val="111111"/>
          <w:sz w:val="28"/>
          <w:sz w:val="28"/>
          <w:szCs w:val="28"/>
          <w:rtl w:val="true"/>
          <w:lang w:bidi="fa-IR"/>
        </w:rPr>
        <w:t>من اعتبار القبول فی حصول الملکیّة للموصیٰ له، و لکن عدم اعتباره لا یخلو من وجه، فلا یترک الاحتیاط</w:t>
      </w:r>
      <w:r>
        <w:rPr>
          <w:rFonts w:eastAsia="IRNazanin" w:cs="IRNazanin"/>
          <w:color w:val="111111"/>
          <w:sz w:val="28"/>
          <w:szCs w:val="28"/>
          <w:rtl w:val="true"/>
          <w:lang w:bidi="fa-IR"/>
        </w:rPr>
        <w:t>.</w:t>
      </w:r>
    </w:p>
    <w:p>
      <w:pPr>
        <w:pStyle w:val="Heading6"/>
        <w:numPr>
          <w:ilvl w:val="5"/>
          <w:numId w:val="1"/>
        </w:numPr>
        <w:rPr/>
      </w:pPr>
      <w:bookmarkStart w:id="2979" w:name="__RefHeading___Toc2567706_3650668749"/>
      <w:bookmarkStart w:id="2980" w:name="_Toc1362"/>
      <w:bookmarkEnd w:id="2979"/>
      <w:r>
        <w:rPr>
          <w:rtl w:val="true"/>
        </w:rPr>
        <w:t>[</w:t>
      </w:r>
      <w:r>
        <w:rPr>
          <w:rtl w:val="true"/>
        </w:rPr>
        <w:t>خامسها</w:t>
      </w:r>
      <w:r>
        <w:rPr>
          <w:rtl w:val="true"/>
        </w:rPr>
        <w:t xml:space="preserve">: </w:t>
      </w:r>
      <w:r>
        <w:rPr>
          <w:rtl w:val="true"/>
        </w:rPr>
        <w:t>تمام التمکّن من التصرّف</w:t>
      </w:r>
      <w:r>
        <w:rPr>
          <w:rtl w:val="true"/>
        </w:rPr>
        <w:t>]</w:t>
      </w:r>
      <w:bookmarkEnd w:id="298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التمکّن من التصرّف، فلا زکاة فی الوقف و إن کان خاصّاً، و لا فی نمائه إذا کان عامّاً و إن انحصر فی واحد، و لا فی المرهون، نعم لا یترک الاحتیاط فیما لو أمکن فکّه </w:t>
      </w:r>
      <w:r>
        <w:rPr>
          <w:rStyle w:val="FootnoteAnchor"/>
          <w:rtl w:val="true"/>
        </w:rPr>
        <w:footnoteReference w:id="864"/>
      </w:r>
      <w:r>
        <w:rPr>
          <w:rFonts w:ascii="IRNazanin" w:hAnsi="IRNazanin" w:eastAsia="IRNazanin"/>
          <w:color w:val="111111"/>
          <w:sz w:val="28"/>
          <w:sz w:val="28"/>
          <w:szCs w:val="28"/>
          <w:rtl w:val="true"/>
          <w:lang w:bidi="fa-IR"/>
        </w:rPr>
        <w:t>، و کذا لا زکاة فی المجحود و إن کانت عنده بیّنة یتمکّن من انتزاعه بها أو بیمین، و لا</w:t>
      </w:r>
      <w:bookmarkStart w:id="2981" w:name="pg1809_19220"/>
    </w:p>
    <w:p>
      <w:pPr>
        <w:pStyle w:val="BookText"/>
        <w:rPr/>
      </w:pPr>
      <w:bookmarkEnd w:id="2981"/>
      <w:r>
        <w:rPr>
          <w:rFonts w:ascii="IRNazanin" w:hAnsi="IRNazanin" w:eastAsia="IRNazanin"/>
          <w:color w:val="111111"/>
          <w:sz w:val="28"/>
          <w:sz w:val="28"/>
          <w:szCs w:val="28"/>
          <w:rtl w:val="true"/>
          <w:lang w:bidi="fa-IR"/>
        </w:rPr>
        <w:t>فی المسروق، و لا فی المدفون الذی نسی مکانه، و لا فی الضالّ، و لا فی الساقط فی البحر، و لا فی المورّث عن غائب مثلًا و لم یصل إلیه أو إلیٰ وکیله، و لا فی الدین و إن تمکّن من استیفائه</w:t>
      </w:r>
      <w:r>
        <w:rPr>
          <w:rFonts w:eastAsia="IRNazanin" w:cs="IRNazanin"/>
          <w:color w:val="111111"/>
          <w:sz w:val="28"/>
          <w:szCs w:val="28"/>
          <w:rtl w:val="true"/>
          <w:lang w:bidi="fa-IR"/>
        </w:rPr>
        <w:t>.</w:t>
      </w:r>
    </w:p>
    <w:p>
      <w:pPr>
        <w:pStyle w:val="Heading6"/>
        <w:numPr>
          <w:ilvl w:val="5"/>
          <w:numId w:val="1"/>
        </w:numPr>
        <w:rPr/>
      </w:pPr>
      <w:bookmarkStart w:id="2982" w:name="__RefHeading___Toc2567708_3650668749"/>
      <w:bookmarkStart w:id="2983" w:name="_Toc1363"/>
      <w:bookmarkEnd w:id="2982"/>
      <w:r>
        <w:rPr>
          <w:rtl w:val="true"/>
        </w:rPr>
        <w:t>[</w:t>
      </w:r>
      <w:r>
        <w:rPr>
          <w:rtl w:val="true"/>
        </w:rPr>
        <w:t>سادسها</w:t>
      </w:r>
      <w:r>
        <w:rPr>
          <w:rtl w:val="true"/>
        </w:rPr>
        <w:t xml:space="preserve">: </w:t>
      </w:r>
      <w:r>
        <w:rPr>
          <w:rtl w:val="true"/>
        </w:rPr>
        <w:t>بلوغ النصاب</w:t>
      </w:r>
      <w:r>
        <w:rPr>
          <w:rtl w:val="true"/>
        </w:rPr>
        <w:t>]</w:t>
      </w:r>
      <w:bookmarkEnd w:id="2983"/>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النصاب کما سیأتی تفصیله</w:t>
      </w:r>
      <w:r>
        <w:rPr>
          <w:rFonts w:eastAsia="IRNazanin" w:cs="IRNazanin"/>
          <w:color w:val="111111"/>
          <w:sz w:val="28"/>
          <w:szCs w:val="28"/>
          <w:rtl w:val="true"/>
          <w:lang w:bidi="fa-IR"/>
        </w:rPr>
        <w:t>.</w:t>
      </w:r>
    </w:p>
    <w:p>
      <w:pPr>
        <w:pStyle w:val="Heading5"/>
        <w:numPr>
          <w:ilvl w:val="4"/>
          <w:numId w:val="1"/>
        </w:numPr>
        <w:rPr/>
      </w:pPr>
      <w:bookmarkStart w:id="2984" w:name="__RefHeading___Toc2567710_3650668749"/>
      <w:bookmarkStart w:id="2985" w:name="_Toc1364"/>
      <w:bookmarkEnd w:id="2984"/>
      <w:r>
        <w:rPr>
          <w:rtl w:val="true"/>
        </w:rPr>
        <w:t>[ (</w:t>
      </w:r>
      <w:r>
        <w:rPr>
          <w:rtl w:val="true"/>
        </w:rPr>
        <w:t xml:space="preserve">مسألة </w:t>
      </w:r>
      <w:r>
        <w:rPr/>
        <w:t>2</w:t>
      </w:r>
      <w:r>
        <w:rPr>
          <w:rtl w:val="true"/>
        </w:rPr>
        <w:t xml:space="preserve">): </w:t>
      </w:r>
      <w:r>
        <w:rPr>
          <w:rtl w:val="true"/>
        </w:rPr>
        <w:t>لو شکّ فی البلوغ حین التعلّق أو فی التعلّق حین البلوغ لم یجب الإخراج</w:t>
      </w:r>
      <w:r>
        <w:rPr>
          <w:rtl w:val="true"/>
        </w:rPr>
        <w:t>]</w:t>
      </w:r>
      <w:bookmarkEnd w:id="29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البلوغ حین التعلّق أو فی التعلّق حین البلوغ لم یجب الإخراج، و کذا الحال فی الشکّ فی حدوث العقل فی زمان التعلّق مع کونه مسبوقاً بالجنون، و أمّا لو کان مسبوقاً بالعقل و شکّ فی طروّ الجنون حال التعلّق وجب الإخراج</w:t>
      </w:r>
      <w:r>
        <w:rPr>
          <w:rFonts w:eastAsia="IRNazanin" w:cs="IRNazanin"/>
          <w:color w:val="111111"/>
          <w:sz w:val="28"/>
          <w:szCs w:val="28"/>
          <w:rtl w:val="true"/>
          <w:lang w:bidi="fa-IR"/>
        </w:rPr>
        <w:t>.</w:t>
      </w:r>
    </w:p>
    <w:p>
      <w:pPr>
        <w:pStyle w:val="Heading5"/>
        <w:numPr>
          <w:ilvl w:val="4"/>
          <w:numId w:val="1"/>
        </w:numPr>
        <w:rPr/>
      </w:pPr>
      <w:bookmarkStart w:id="2986" w:name="__RefHeading___Toc2567712_3650668749"/>
      <w:bookmarkStart w:id="2987" w:name="_Toc1365"/>
      <w:bookmarkEnd w:id="2986"/>
      <w:r>
        <w:rPr>
          <w:rtl w:val="true"/>
        </w:rPr>
        <w:t>[ (</w:t>
      </w:r>
      <w:r>
        <w:rPr>
          <w:rtl w:val="true"/>
        </w:rPr>
        <w:t xml:space="preserve">مسألة </w:t>
      </w:r>
      <w:r>
        <w:rPr/>
        <w:t>3</w:t>
      </w:r>
      <w:r>
        <w:rPr>
          <w:rtl w:val="true"/>
        </w:rPr>
        <w:t xml:space="preserve">): </w:t>
      </w:r>
      <w:r>
        <w:rPr>
          <w:rtl w:val="true"/>
        </w:rPr>
        <w:t>یعتبر تمام التمکّن من التصرّف فیما یعتبر فیه الحول فی تمام الحول</w:t>
      </w:r>
      <w:r>
        <w:rPr>
          <w:rtl w:val="true"/>
        </w:rPr>
        <w:t>]</w:t>
      </w:r>
      <w:bookmarkEnd w:id="29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تمام التمکّن من التصرّف فیما یعتبر فیه الحول فی تمام الحول فإذا طرأ ذلک فی أثناء الحول ثمّ ارتفع انقطع الحول و یحتاج إلیٰ حول جدید، و أمّا فیما لا یعتبر فیه الحول ففی اعتباره حال تعلّق الوجوب تأمّل و إشکال، أقواه ذلک و أحوطه العدم</w:t>
      </w:r>
      <w:r>
        <w:rPr>
          <w:rFonts w:eastAsia="IRNazanin" w:cs="IRNazanin"/>
          <w:color w:val="111111"/>
          <w:sz w:val="28"/>
          <w:szCs w:val="28"/>
          <w:rtl w:val="true"/>
          <w:lang w:bidi="fa-IR"/>
        </w:rPr>
        <w:t>.</w:t>
      </w:r>
    </w:p>
    <w:p>
      <w:pPr>
        <w:pStyle w:val="Heading5"/>
        <w:numPr>
          <w:ilvl w:val="4"/>
          <w:numId w:val="1"/>
        </w:numPr>
        <w:rPr/>
      </w:pPr>
      <w:bookmarkStart w:id="2988" w:name="__RefHeading___Toc2567714_3650668749"/>
      <w:bookmarkStart w:id="2989" w:name="_Toc1366"/>
      <w:bookmarkEnd w:id="2988"/>
      <w:r>
        <w:rPr>
          <w:rtl w:val="true"/>
        </w:rPr>
        <w:t>[ (</w:t>
      </w:r>
      <w:r>
        <w:rPr>
          <w:rtl w:val="true"/>
        </w:rPr>
        <w:t xml:space="preserve">مسألة </w:t>
      </w:r>
      <w:r>
        <w:rPr/>
        <w:t>4</w:t>
      </w:r>
      <w:r>
        <w:rPr>
          <w:rtl w:val="true"/>
        </w:rPr>
        <w:t xml:space="preserve">): </w:t>
      </w:r>
      <w:r>
        <w:rPr>
          <w:rtl w:val="true"/>
        </w:rPr>
        <w:t>ثبوت الخیار لغیر المالک لا یمنع من تعلّق الزکاة</w:t>
      </w:r>
      <w:r>
        <w:rPr>
          <w:rtl w:val="true"/>
        </w:rPr>
        <w:t>]</w:t>
      </w:r>
      <w:bookmarkEnd w:id="29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الخیار لغیر المالک لا یمنع </w:t>
      </w:r>
      <w:r>
        <w:rPr>
          <w:rStyle w:val="FootnoteAnchor"/>
          <w:rtl w:val="true"/>
        </w:rPr>
        <w:footnoteReference w:id="865"/>
      </w:r>
      <w:r>
        <w:rPr>
          <w:rFonts w:ascii="IRNazanin" w:hAnsi="IRNazanin" w:eastAsia="IRNazanin"/>
          <w:color w:val="111111"/>
          <w:sz w:val="28"/>
          <w:sz w:val="28"/>
          <w:szCs w:val="28"/>
          <w:rtl w:val="true"/>
          <w:lang w:bidi="fa-IR"/>
        </w:rPr>
        <w:t>من تعلّق الزکاة، فلو اشتریٰ نصاباً من الغنم و کان للبائع الخیار جریٰ فی الحول من حین العقد لا من حین انقضائه</w:t>
      </w:r>
      <w:r>
        <w:rPr>
          <w:rFonts w:eastAsia="IRNazanin" w:cs="IRNazanin"/>
          <w:color w:val="111111"/>
          <w:sz w:val="28"/>
          <w:szCs w:val="28"/>
          <w:rtl w:val="true"/>
          <w:lang w:bidi="fa-IR"/>
        </w:rPr>
        <w:t>.</w:t>
      </w:r>
    </w:p>
    <w:p>
      <w:pPr>
        <w:pStyle w:val="Heading5"/>
        <w:numPr>
          <w:ilvl w:val="4"/>
          <w:numId w:val="1"/>
        </w:numPr>
        <w:rPr/>
      </w:pPr>
      <w:bookmarkStart w:id="2990" w:name="__RefHeading___Toc2567716_3650668749"/>
      <w:bookmarkStart w:id="2991" w:name="_Toc1367"/>
      <w:bookmarkEnd w:id="2990"/>
      <w:r>
        <w:rPr>
          <w:rtl w:val="true"/>
        </w:rPr>
        <w:t>[ (</w:t>
      </w:r>
      <w:r>
        <w:rPr>
          <w:rtl w:val="true"/>
        </w:rPr>
        <w:t xml:space="preserve">مسألة </w:t>
      </w:r>
      <w:r>
        <w:rPr/>
        <w:t>5</w:t>
      </w:r>
      <w:r>
        <w:rPr>
          <w:rtl w:val="true"/>
        </w:rPr>
        <w:t xml:space="preserve">): </w:t>
      </w:r>
      <w:r>
        <w:rPr>
          <w:rtl w:val="true"/>
        </w:rPr>
        <w:t>إنّما لا تتعلّق الزکاة بنماء الوقف العامّ قبل أن یقبضه من ینطبق علیه عنوان الموقوف علیه</w:t>
      </w:r>
      <w:r>
        <w:rPr>
          <w:rtl w:val="true"/>
        </w:rPr>
        <w:t>]</w:t>
      </w:r>
      <w:bookmarkEnd w:id="29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لا تتعلّق الزکاة بنماء الوقف العامّ قبل أن یقبضه من ینطبق علیه عنوان الموقوف علیه، و أمّا بعد القبض فهو کسائر أمواله تتعلّق به مع اجتماع شرائطه، فإذا کان نخیل بستان وقفاً علی الفقراء و بعد ظهور الثمر و قبل بدوّ الصلاح دفع المتولّی ما علی النخیل إلیٰ بعض الفقراء و سلم إلیه فبدا صلاحها عنده تتعلّق بها الزکاة مع اجتماع الشرائط، و کذا لو کانت أغنام وقفاً علی الفقراء؛ بأن یکون نتاجها لهم فقبض الفقیر منها مقدار النصاب و جریٰ فی الحول عنده</w:t>
      </w:r>
      <w:r>
        <w:rPr>
          <w:rFonts w:eastAsia="IRNazanin" w:cs="IRNazanin"/>
          <w:color w:val="111111"/>
          <w:sz w:val="28"/>
          <w:szCs w:val="28"/>
          <w:rtl w:val="true"/>
          <w:lang w:bidi="fa-IR"/>
        </w:rPr>
        <w:t>.</w:t>
      </w:r>
    </w:p>
    <w:p>
      <w:pPr>
        <w:pStyle w:val="Heading5"/>
        <w:numPr>
          <w:ilvl w:val="4"/>
          <w:numId w:val="1"/>
        </w:numPr>
        <w:rPr/>
      </w:pPr>
      <w:bookmarkStart w:id="2992" w:name="__RefHeading___Toc2567718_3650668749"/>
      <w:bookmarkStart w:id="2993" w:name="_Toc1368"/>
      <w:bookmarkEnd w:id="2992"/>
      <w:r>
        <w:rPr>
          <w:rtl w:val="true"/>
        </w:rPr>
        <w:t>[ (</w:t>
      </w:r>
      <w:r>
        <w:rPr>
          <w:rtl w:val="true"/>
        </w:rPr>
        <w:t xml:space="preserve">مسألة </w:t>
      </w:r>
      <w:r>
        <w:rPr/>
        <w:t>6</w:t>
      </w:r>
      <w:r>
        <w:rPr>
          <w:rtl w:val="true"/>
        </w:rPr>
        <w:t xml:space="preserve">): </w:t>
      </w:r>
      <w:r>
        <w:rPr>
          <w:rtl w:val="true"/>
        </w:rPr>
        <w:t>زکاة القرض علی المقترض بعد القبض و جریان الحول عنده</w:t>
      </w:r>
      <w:r>
        <w:rPr>
          <w:rtl w:val="true"/>
        </w:rPr>
        <w:t>]</w:t>
      </w:r>
      <w:bookmarkEnd w:id="299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القرض علی المقترض بعد القبض و جریان الحول عنده، و لیس علی المقرض و الدائن شی‌ء قبل أن یستوفی طلبه، فما دام لم یستوفه و لو اختیاراً، بل و لو فراراً من الزکاة لم تجب علیه</w:t>
      </w:r>
      <w:r>
        <w:rPr>
          <w:rFonts w:eastAsia="IRNazanin" w:cs="IRNazanin"/>
          <w:color w:val="111111"/>
          <w:sz w:val="28"/>
          <w:szCs w:val="28"/>
          <w:rtl w:val="true"/>
          <w:lang w:bidi="fa-IR"/>
        </w:rPr>
        <w:t>.</w:t>
      </w:r>
      <w:bookmarkStart w:id="2994" w:name="pg1809_19223"/>
    </w:p>
    <w:p>
      <w:pPr>
        <w:pStyle w:val="BookText"/>
        <w:rPr/>
      </w:pPr>
      <w:bookmarkEnd w:id="2994"/>
      <w:r>
        <w:rPr>
          <w:rFonts w:ascii="IRNazanin" w:hAnsi="IRNazanin" w:eastAsia="IRNazanin"/>
          <w:color w:val="111111"/>
          <w:sz w:val="28"/>
          <w:sz w:val="28"/>
          <w:szCs w:val="28"/>
          <w:rtl w:val="true"/>
          <w:lang w:bidi="fa-IR"/>
        </w:rPr>
        <w:t>متمکّناً و قد مضی علیه سنون جریٰ فی الحول من حینه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استحبّ زکاته لسنة واحدة ممّا مضی، بل یقوی </w:t>
      </w:r>
      <w:r>
        <w:rPr>
          <w:rStyle w:val="FootnoteAnchor"/>
          <w:rtl w:val="true"/>
        </w:rPr>
        <w:footnoteReference w:id="866"/>
      </w:r>
      <w:r>
        <w:rPr>
          <w:rFonts w:ascii="IRNazanin" w:hAnsi="IRNazanin" w:eastAsia="IRNazanin"/>
          <w:color w:val="111111"/>
          <w:sz w:val="28"/>
          <w:sz w:val="28"/>
          <w:szCs w:val="28"/>
          <w:rtl w:val="true"/>
          <w:lang w:bidi="fa-IR"/>
        </w:rPr>
        <w:t>استحبابها بمضیّ سنة واحدة أیضاً</w:t>
      </w:r>
      <w:r>
        <w:rPr>
          <w:rFonts w:eastAsia="IRNazanin" w:cs="IRNazanin"/>
          <w:color w:val="111111"/>
          <w:sz w:val="28"/>
          <w:szCs w:val="28"/>
          <w:rtl w:val="true"/>
          <w:lang w:bidi="fa-IR"/>
        </w:rPr>
        <w:t>.</w:t>
      </w:r>
    </w:p>
    <w:p>
      <w:pPr>
        <w:pStyle w:val="Heading5"/>
        <w:numPr>
          <w:ilvl w:val="4"/>
          <w:numId w:val="1"/>
        </w:numPr>
        <w:rPr/>
      </w:pPr>
      <w:bookmarkStart w:id="2995" w:name="__RefHeading___Toc2567720_3650668749"/>
      <w:bookmarkStart w:id="2996" w:name="_Toc1369"/>
      <w:bookmarkEnd w:id="2995"/>
      <w:r>
        <w:rPr>
          <w:rtl w:val="true"/>
        </w:rPr>
        <w:t>[ (</w:t>
      </w:r>
      <w:r>
        <w:rPr>
          <w:rtl w:val="true"/>
        </w:rPr>
        <w:t xml:space="preserve">مسألة </w:t>
      </w:r>
      <w:r>
        <w:rPr/>
        <w:t>8</w:t>
      </w:r>
      <w:r>
        <w:rPr>
          <w:rtl w:val="true"/>
        </w:rPr>
        <w:t xml:space="preserve">): </w:t>
      </w:r>
      <w:r>
        <w:rPr>
          <w:rtl w:val="true"/>
        </w:rPr>
        <w:t>إذا کان المال الزکوی مشترکاً بین اثنین أو أزید یعتبر النصاب بالنسبة إلی الحصص لا المجموع</w:t>
      </w:r>
      <w:r>
        <w:rPr>
          <w:rtl w:val="true"/>
        </w:rPr>
        <w:t>]</w:t>
      </w:r>
      <w:bookmarkEnd w:id="29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المال الزکوی مشترکاً بین اثنین أو أزید یعتبر النصاب بالنسبة إلی الحصص لا المجموع، فکلّ من بلغت حصّته حدّ النصاب وجبت علیه الزکاة، دون من لم تبلغ حصّته حدّه</w:t>
      </w:r>
      <w:r>
        <w:rPr>
          <w:rFonts w:eastAsia="IRNazanin" w:cs="IRNazanin"/>
          <w:color w:val="111111"/>
          <w:sz w:val="28"/>
          <w:szCs w:val="28"/>
          <w:rtl w:val="true"/>
          <w:lang w:bidi="fa-IR"/>
        </w:rPr>
        <w:t>.</w:t>
      </w:r>
    </w:p>
    <w:p>
      <w:pPr>
        <w:pStyle w:val="Heading5"/>
        <w:numPr>
          <w:ilvl w:val="4"/>
          <w:numId w:val="1"/>
        </w:numPr>
        <w:rPr/>
      </w:pPr>
      <w:bookmarkStart w:id="2997" w:name="__RefHeading___Toc2567722_3650668749"/>
      <w:bookmarkStart w:id="2998" w:name="_Toc1370"/>
      <w:bookmarkEnd w:id="2997"/>
      <w:r>
        <w:rPr>
          <w:rtl w:val="true"/>
        </w:rPr>
        <w:t>[ (</w:t>
      </w:r>
      <w:r>
        <w:rPr>
          <w:rtl w:val="true"/>
        </w:rPr>
        <w:t xml:space="preserve">مسألة </w:t>
      </w:r>
      <w:r>
        <w:rPr/>
        <w:t>9</w:t>
      </w:r>
      <w:r>
        <w:rPr>
          <w:rtl w:val="true"/>
        </w:rPr>
        <w:t xml:space="preserve">): </w:t>
      </w:r>
      <w:r>
        <w:rPr>
          <w:rtl w:val="true"/>
        </w:rPr>
        <w:t>لو استطاع الحجّ بالنصاب فإن تمّ الحول أو تعلّق الوجوب قبل سیر القافلة و التمکّن من الذهاب</w:t>
      </w:r>
      <w:r>
        <w:rPr>
          <w:rtl w:val="true"/>
        </w:rPr>
        <w:t>]</w:t>
      </w:r>
      <w:bookmarkEnd w:id="29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استطاع الحجّ بالنصاب فإن تمّ الحول أو تعلّق الوجوب قبل سیر القافلة و التمکّن من الذهاب وجبت الزکاة، فإن بقیت الاستطاعة بعد إخراجها وجب الحجّ و إلّا فلا، و إن کان تمام الحول بعد زمان سیر القافلة و أمکن صرف النصاب أو بعضه فی الحجّ وجب الحجّ، فإن صرفه فیه سقط وجوب الزکاة و إن عصیٰ و لم یحجّ وجبت الزکاة بعد تمام الحول، و لو تقارن خروج القافلة مع تمام الحول أو تعلّق الوجوب وجبت الزکاة دون الحجّ</w:t>
      </w:r>
      <w:r>
        <w:rPr>
          <w:rFonts w:eastAsia="IRNazanin" w:cs="IRNazanin"/>
          <w:color w:val="111111"/>
          <w:sz w:val="28"/>
          <w:szCs w:val="28"/>
          <w:rtl w:val="true"/>
          <w:lang w:bidi="fa-IR"/>
        </w:rPr>
        <w:t>.</w:t>
      </w:r>
    </w:p>
    <w:p>
      <w:pPr>
        <w:pStyle w:val="Heading5"/>
        <w:numPr>
          <w:ilvl w:val="4"/>
          <w:numId w:val="1"/>
        </w:numPr>
        <w:rPr/>
      </w:pPr>
      <w:bookmarkStart w:id="2999" w:name="__RefHeading___Toc2567724_3650668749"/>
      <w:bookmarkStart w:id="3000" w:name="_Toc1371"/>
      <w:bookmarkEnd w:id="2999"/>
      <w:r>
        <w:rPr>
          <w:rtl w:val="true"/>
        </w:rPr>
        <w:t>[ (</w:t>
      </w:r>
      <w:r>
        <w:rPr>
          <w:rtl w:val="true"/>
        </w:rPr>
        <w:t xml:space="preserve">مسألة </w:t>
      </w:r>
      <w:r>
        <w:rPr/>
        <w:t>10</w:t>
      </w:r>
      <w:r>
        <w:rPr>
          <w:rtl w:val="true"/>
        </w:rPr>
        <w:t xml:space="preserve">): </w:t>
      </w:r>
      <w:r>
        <w:rPr>
          <w:rtl w:val="true"/>
        </w:rPr>
        <w:t>الکافر تجب علیه الزکاة و إن لم تصحّ منه لو أدّاها</w:t>
      </w:r>
      <w:r>
        <w:rPr>
          <w:rtl w:val="true"/>
        </w:rPr>
        <w:t>]</w:t>
      </w:r>
      <w:bookmarkEnd w:id="30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الکافر تجب علیه الزکاة و إن لم تصحّ منه لو أدّاها، نعم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أخذها منه قهراً، بل یقویٰ أنّ له أخذ عوضها منه لو کان قد أتلفها، نعم لو أسلم بعد ما وجبت علیه سقطت عنه و إن کانت العین موجودة علیٰ إشکال، هذا إذا بقی علیٰ کفره إلیٰ تمام الحول، و أمّا لو أسلم قبله و لو بلحظة فالظاهر وجوب الزکاة علیه</w:t>
      </w:r>
      <w:r>
        <w:rPr>
          <w:rFonts w:eastAsia="IRNazanin" w:cs="IRNazanin"/>
          <w:color w:val="111111"/>
          <w:sz w:val="28"/>
          <w:szCs w:val="28"/>
          <w:rtl w:val="true"/>
          <w:lang w:bidi="fa-IR"/>
        </w:rPr>
        <w:t>.</w:t>
      </w:r>
    </w:p>
    <w:p>
      <w:pPr>
        <w:pStyle w:val="Heading4"/>
        <w:numPr>
          <w:ilvl w:val="3"/>
          <w:numId w:val="1"/>
        </w:numPr>
        <w:rPr/>
      </w:pPr>
      <w:bookmarkStart w:id="3001" w:name="__RefHeading___Toc2567726_3650668749"/>
      <w:bookmarkStart w:id="3002" w:name="_Toc1372"/>
      <w:bookmarkEnd w:id="3001"/>
      <w:r>
        <w:rPr>
          <w:rtl w:val="true"/>
        </w:rPr>
        <w:t>[</w:t>
      </w:r>
      <w:r>
        <w:rPr>
          <w:rtl w:val="true"/>
        </w:rPr>
        <w:t>القول فیما یجب فیه الزکاة و ما یستحبّ</w:t>
      </w:r>
      <w:r>
        <w:rPr>
          <w:rtl w:val="true"/>
        </w:rPr>
        <w:t>]</w:t>
      </w:r>
      <w:bookmarkEnd w:id="3002"/>
    </w:p>
    <w:p>
      <w:pPr>
        <w:pStyle w:val="Heading5"/>
        <w:numPr>
          <w:ilvl w:val="4"/>
          <w:numId w:val="1"/>
        </w:numPr>
        <w:rPr/>
      </w:pPr>
      <w:bookmarkStart w:id="3003" w:name="__RefHeading___Toc2567728_3650668749"/>
      <w:bookmarkStart w:id="3004" w:name="_Toc1373"/>
      <w:bookmarkEnd w:id="3003"/>
      <w:r>
        <w:rPr>
          <w:rtl w:val="true"/>
        </w:rPr>
        <w:t>اشارة</w:t>
      </w:r>
      <w:bookmarkEnd w:id="300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فیما یجب فیه الزکاة و ما یستحبّ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الزکاة فی الأنعام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و البقر و الغنم، و النقدین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و الفضّة، و الغلّات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 الشعیر و التمر و الزبیب، و لا تجب فیما عدا هذه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تستحبّ فی کلّ ما أنبت الأرض ممّا یکال </w:t>
      </w:r>
      <w:r>
        <w:rPr>
          <w:rStyle w:val="FootnoteAnchor"/>
          <w:rtl w:val="true"/>
        </w:rPr>
        <w:footnoteReference w:id="867"/>
      </w:r>
      <w:r>
        <w:rPr>
          <w:rFonts w:ascii="IRNazanin" w:hAnsi="IRNazanin" w:eastAsia="IRNazanin"/>
          <w:color w:val="111111"/>
          <w:sz w:val="28"/>
          <w:sz w:val="28"/>
          <w:szCs w:val="28"/>
          <w:rtl w:val="true"/>
          <w:lang w:bidi="fa-IR"/>
        </w:rPr>
        <w:t>أو یوزن؛ من الحبوب و الثمار و غیرها حتّی الأُشنان، دون الخضر و البقول کالقتّ و الباذنجان و الخیار و البطّیخ و نحو</w:t>
      </w:r>
      <w:bookmarkStart w:id="3005" w:name="pg1809_19225"/>
    </w:p>
    <w:p>
      <w:pPr>
        <w:pStyle w:val="BookText"/>
        <w:rPr/>
      </w:pPr>
      <w:bookmarkEnd w:id="3005"/>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تستحبّ أیضاً فی مال التجارة علی الأصحّ و فی الخیل الإناث دون الذکور منها و دون البغال و الحمیر و الرقیق</w:t>
      </w:r>
      <w:r>
        <w:rPr>
          <w:rFonts w:eastAsia="IRNazanin" w:cs="IRNazanin"/>
          <w:color w:val="111111"/>
          <w:sz w:val="28"/>
          <w:szCs w:val="28"/>
          <w:rtl w:val="true"/>
          <w:lang w:bidi="fa-IR"/>
        </w:rPr>
        <w:t>.</w:t>
      </w:r>
    </w:p>
    <w:p>
      <w:pPr>
        <w:pStyle w:val="Heading5"/>
        <w:numPr>
          <w:ilvl w:val="4"/>
          <w:numId w:val="1"/>
        </w:numPr>
        <w:rPr/>
      </w:pPr>
      <w:bookmarkStart w:id="3006" w:name="__RefHeading___Toc2567730_3650668749"/>
      <w:bookmarkStart w:id="3007" w:name="_Toc1374"/>
      <w:bookmarkEnd w:id="3006"/>
      <w:r>
        <w:rPr>
          <w:rtl w:val="true"/>
        </w:rPr>
        <w:t>[</w:t>
      </w:r>
      <w:r>
        <w:rPr>
          <w:rtl w:val="true"/>
        </w:rPr>
        <w:t>و الکلام فی التسعة المزبورة التی یجب فیها الزکاة یقع فی ثلاثة فصول</w:t>
      </w:r>
      <w:r>
        <w:rPr>
          <w:rtl w:val="true"/>
        </w:rPr>
        <w:t>]</w:t>
      </w:r>
      <w:bookmarkEnd w:id="3007"/>
    </w:p>
    <w:p>
      <w:pPr>
        <w:pStyle w:val="Heading6"/>
        <w:numPr>
          <w:ilvl w:val="5"/>
          <w:numId w:val="1"/>
        </w:numPr>
        <w:rPr/>
      </w:pPr>
      <w:bookmarkStart w:id="3008" w:name="__RefHeading___Toc2567732_3650668749"/>
      <w:bookmarkStart w:id="3009" w:name="_Toc1375"/>
      <w:bookmarkEnd w:id="3008"/>
      <w:r>
        <w:rPr>
          <w:rtl w:val="true"/>
        </w:rPr>
        <w:t>اشارة</w:t>
      </w:r>
      <w:bookmarkEnd w:id="3009"/>
    </w:p>
    <w:p>
      <w:pPr>
        <w:pStyle w:val="BookText"/>
        <w:rPr/>
      </w:pPr>
      <w:r>
        <w:rPr>
          <w:rFonts w:ascii="IRNazanin" w:hAnsi="IRNazanin" w:eastAsia="IRNazanin"/>
          <w:color w:val="111111"/>
          <w:sz w:val="28"/>
          <w:sz w:val="28"/>
          <w:szCs w:val="28"/>
          <w:rtl w:val="true"/>
          <w:lang w:bidi="fa-IR"/>
        </w:rPr>
        <w:t>و الکلام فی التسعة المزبورة التی یجب فیها الزکاة یقع فی ثلاثة فصول</w:t>
      </w:r>
      <w:r>
        <w:rPr>
          <w:rFonts w:eastAsia="IRNazanin" w:cs="IRNazanin"/>
          <w:color w:val="111111"/>
          <w:sz w:val="28"/>
          <w:szCs w:val="28"/>
          <w:rtl w:val="true"/>
          <w:lang w:bidi="fa-IR"/>
        </w:rPr>
        <w:t>:</w:t>
      </w:r>
    </w:p>
    <w:p>
      <w:pPr>
        <w:pStyle w:val="Heading6"/>
        <w:numPr>
          <w:ilvl w:val="5"/>
          <w:numId w:val="1"/>
        </w:numPr>
        <w:rPr/>
      </w:pPr>
      <w:bookmarkStart w:id="3010" w:name="__RefHeading___Toc2567734_3650668749"/>
      <w:bookmarkStart w:id="3011" w:name="_Toc1376"/>
      <w:bookmarkEnd w:id="3010"/>
      <w:r>
        <w:rPr>
          <w:rtl w:val="true"/>
        </w:rPr>
        <w:t>[</w:t>
      </w:r>
      <w:r>
        <w:rPr>
          <w:rtl w:val="true"/>
        </w:rPr>
        <w:t>الفصل الأوّل</w:t>
      </w:r>
      <w:r>
        <w:rPr>
          <w:rtl w:val="true"/>
        </w:rPr>
        <w:t xml:space="preserve">: </w:t>
      </w:r>
      <w:r>
        <w:rPr>
          <w:rtl w:val="true"/>
        </w:rPr>
        <w:t>فی زکاة الأنعام</w:t>
      </w:r>
      <w:r>
        <w:rPr>
          <w:rtl w:val="true"/>
        </w:rPr>
        <w:t>]</w:t>
      </w:r>
      <w:bookmarkEnd w:id="3011"/>
    </w:p>
    <w:p>
      <w:pPr>
        <w:pStyle w:val="Heading6"/>
        <w:numPr>
          <w:ilvl w:val="5"/>
          <w:numId w:val="1"/>
        </w:numPr>
        <w:rPr/>
      </w:pPr>
      <w:bookmarkStart w:id="3012" w:name="__RefHeading___Toc2567736_3650668749"/>
      <w:bookmarkStart w:id="3013" w:name="_Toc1377"/>
      <w:bookmarkEnd w:id="3012"/>
      <w:r>
        <w:rPr>
          <w:rtl w:val="true"/>
        </w:rPr>
        <w:t>اشارة</w:t>
      </w:r>
      <w:bookmarkEnd w:id="3013"/>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زکاة الأنعام و شرائط وجوبها مضافاً إلی الشرائط العامّة السابقة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و السوم، و الحول، و أن لا تکون عوامل</w:t>
      </w:r>
      <w:r>
        <w:rPr>
          <w:rFonts w:eastAsia="IRNazanin" w:cs="IRNazanin"/>
          <w:color w:val="111111"/>
          <w:sz w:val="28"/>
          <w:szCs w:val="28"/>
          <w:rtl w:val="true"/>
          <w:lang w:bidi="fa-IR"/>
        </w:rPr>
        <w:t>.</w:t>
      </w:r>
    </w:p>
    <w:p>
      <w:pPr>
        <w:pStyle w:val="Heading6"/>
        <w:numPr>
          <w:ilvl w:val="5"/>
          <w:numId w:val="1"/>
        </w:numPr>
        <w:rPr/>
      </w:pPr>
      <w:bookmarkStart w:id="3014" w:name="__RefHeading___Toc2567738_3650668749"/>
      <w:bookmarkStart w:id="3015" w:name="_Toc1378"/>
      <w:bookmarkEnd w:id="3014"/>
      <w:r>
        <w:rPr>
          <w:rtl w:val="true"/>
        </w:rPr>
        <w:t>[</w:t>
      </w:r>
      <w:r>
        <w:rPr>
          <w:rtl w:val="true"/>
        </w:rPr>
        <w:t>القول فی النصاب</w:t>
      </w:r>
      <w:r>
        <w:rPr>
          <w:rtl w:val="true"/>
        </w:rPr>
        <w:t>]</w:t>
      </w:r>
      <w:bookmarkEnd w:id="3015"/>
    </w:p>
    <w:p>
      <w:pPr>
        <w:pStyle w:val="Heading6"/>
        <w:numPr>
          <w:ilvl w:val="5"/>
          <w:numId w:val="1"/>
        </w:numPr>
        <w:rPr/>
      </w:pPr>
      <w:bookmarkStart w:id="3016" w:name="__RefHeading___Toc2567740_3650668749"/>
      <w:bookmarkStart w:id="3017" w:name="_Toc1379"/>
      <w:bookmarkEnd w:id="3016"/>
      <w:r>
        <w:rPr>
          <w:rtl w:val="true"/>
        </w:rPr>
        <w:t>اشارة</w:t>
      </w:r>
      <w:bookmarkEnd w:id="3017"/>
    </w:p>
    <w:p>
      <w:pPr>
        <w:pStyle w:val="BookText"/>
        <w:rPr/>
      </w:pPr>
      <w:r>
        <w:rPr>
          <w:rFonts w:ascii="IRNazanin" w:hAnsi="IRNazanin" w:eastAsia="IRNazanin"/>
          <w:color w:val="111111"/>
          <w:sz w:val="28"/>
          <w:sz w:val="28"/>
          <w:szCs w:val="28"/>
          <w:rtl w:val="true"/>
          <w:lang w:bidi="fa-IR"/>
        </w:rPr>
        <w:t>القول فی النصاب</w:t>
      </w:r>
    </w:p>
    <w:p>
      <w:pPr>
        <w:pStyle w:val="Heading6"/>
        <w:numPr>
          <w:ilvl w:val="5"/>
          <w:numId w:val="1"/>
        </w:numPr>
        <w:rPr/>
      </w:pPr>
      <w:bookmarkStart w:id="3018" w:name="__RefHeading___Toc2567742_3650668749"/>
      <w:bookmarkStart w:id="3019" w:name="_Toc1380"/>
      <w:bookmarkEnd w:id="3018"/>
      <w:r>
        <w:rPr>
          <w:rtl w:val="true"/>
        </w:rPr>
        <w:t>[ (</w:t>
      </w:r>
      <w:r>
        <w:rPr>
          <w:rtl w:val="true"/>
        </w:rPr>
        <w:t xml:space="preserve">مسألة </w:t>
      </w:r>
      <w:r>
        <w:rPr/>
        <w:t>1</w:t>
      </w:r>
      <w:r>
        <w:rPr>
          <w:rtl w:val="true"/>
        </w:rPr>
        <w:t xml:space="preserve">): </w:t>
      </w:r>
      <w:r>
        <w:rPr>
          <w:rtl w:val="true"/>
        </w:rPr>
        <w:t>فی الإبل اثنا عشر نصاباً</w:t>
      </w:r>
      <w:r>
        <w:rPr>
          <w:rtl w:val="true"/>
        </w:rPr>
        <w:t>]</w:t>
      </w:r>
      <w:bookmarkEnd w:id="30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الإبل اثنا عشر نصاباً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فیها شاة، ثمّ عشرة و فیها شاتان، ثمّ خمسة عشر و فیها ثلاثة شیاه، ثمّ عشرون و فیها أربع شیاه، ثمّ خمس و عشرون و فیها خمس شیاه، ثمّ ستّ و عشرون و فیها بنت مخاض، ثمّ ستّ و ثلاثون و فیها بنت لبون، ثمّ ستّ و أربعون و فیها حقّة، ثمّ إحدیٰ و ستّون و فیها جذعة، ثمّ ستّ و سبعون و فیها بنتا لبون، ثمّ إحدیٰ و تسعون و فیها حقّتان، ثمّ مائة و إحدی و عشرون، ففی کلّ خمسین حقّة و فی کلّ أربعین بنت لبون؛ بمعنی وجوب مراعاة المطابق منهما، و لو لم تحصل المطابقة إلّا بهما لوحظا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یتخیّر مع المطابقة بکلّ منهما أو بهما، و علیٰ هذا لا یتصوّر صورة عدم المطابقة بل هی حاصلة فی العقود بأحد الوجوه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اشتمل علی النیف و هو ما بین العقدین من الواحد إلیٰ تسعة لا یتصوّر المطابقة فتراعیٰ علیٰ وجه یستوعب الجمیع ما عدا النیف و یعفی عنه، ففی مائة و إحدی و عشرین یحسب ثلاث أربعینات و تدفع ثلاث بنات لبون، و فی مائة و ثلاثین یحسب أربعینین و خمسین فتدفع بنتا لبون و حقّة، و فی مائة و أربعین یحسب خمسینین و أربعین فتدفع حقّتان و بنت لبون، و إذا بلغ مأة و خمسین یحسب ثلاث خمسینات فتدفع ثلاث حقق، و فی مائة و ستّین یحسب أربع أربعینات و تدفع أربع بنات لبون إلیٰ أن بلغ مائتین فیتخیّر بین أن یحسبها خمس أربعینات و یعطی خمس بنات لبون و أن یحسبها أربع خمسینات و یعطی أربع حقق</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البقر و منه الجاموس نصابان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و أربعون، و فی کلّ ثلاثین تبیع أو تبیعة</w:t>
      </w:r>
      <w:bookmarkStart w:id="3020" w:name="pg1809_19227"/>
    </w:p>
    <w:p>
      <w:pPr>
        <w:pStyle w:val="BookText"/>
        <w:rPr/>
      </w:pPr>
      <w:bookmarkEnd w:id="3020"/>
      <w:r>
        <w:rPr>
          <w:rFonts w:ascii="IRNazanin" w:hAnsi="IRNazanin" w:eastAsia="IRNazanin"/>
          <w:color w:val="111111"/>
          <w:sz w:val="28"/>
          <w:sz w:val="28"/>
          <w:szCs w:val="28"/>
          <w:rtl w:val="true"/>
          <w:lang w:bidi="fa-IR"/>
        </w:rPr>
        <w:t>و فی کلّ أربعین مسنّة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مراعاة المطابقة هنا أیضاً، و لا یتصوّر عدم المطابقة إذا لوحظ أحدهما أو کلّ منهما أو 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ثلاثین تبیع أو تبیعة و فی أربعین مسنّة و ما بینهما عفو، کما أنّ ما بین أربعین إلیٰ ستّین عفو أیضاً، فإذا بلغ الستین فلا یتصوّر عدم المطابقة فی العقود إذا لوحظا بأحد الوجوه المزبورة، ففی الستین یلاحظ الثلاثون و یدفع تبیعان، و فی السبعین یلاحظ ثلاثون مع أربعین فیعطی تبیع و مسنّة، و فی الثمانین یحسب أربعینین و یدفع مسنّتان، و فی التسعین یحسب ثلاث ثلاثینات و یدفع ثلاث تبیعات، و فی المائة یحسب ثلاثینین و أربعین فیعطی تبیعتان و مسنّة، و فی المائة و العشرین یتخیّر بین أن یحسبها أربع ثلاثینات أو ثلاث أربعینات و یعفی عن النیف و هو ما بین العقود کما فی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و فیها شاة، ثمّ مائة و إحدی و عشرون و فیها شاتان، ثمّ مائتان و واحدة و فیها ثلاث شیاه، ثمّ ثلاثمائة </w:t>
      </w:r>
      <w:r>
        <w:rPr>
          <w:rStyle w:val="FootnoteAnchor"/>
          <w:rtl w:val="true"/>
        </w:rPr>
        <w:footnoteReference w:id="868"/>
      </w:r>
      <w:r>
        <w:rPr>
          <w:rFonts w:ascii="IRNazanin" w:hAnsi="IRNazanin" w:eastAsia="IRNazanin"/>
          <w:color w:val="111111"/>
          <w:sz w:val="28"/>
          <w:sz w:val="28"/>
          <w:szCs w:val="28"/>
          <w:rtl w:val="true"/>
          <w:lang w:bidi="fa-IR"/>
        </w:rPr>
        <w:t>و واحدة و فیها أربع شیاه، ثمّ أربعمائة فصاعداً ففی کلّ مائة شاة بالغاً ما بلغ</w:t>
      </w:r>
      <w:r>
        <w:rPr>
          <w:rFonts w:eastAsia="IRNazanin" w:cs="IRNazanin"/>
          <w:color w:val="111111"/>
          <w:sz w:val="28"/>
          <w:szCs w:val="28"/>
          <w:rtl w:val="true"/>
          <w:lang w:bidi="fa-IR"/>
        </w:rPr>
        <w:t>.</w:t>
      </w:r>
    </w:p>
    <w:p>
      <w:pPr>
        <w:pStyle w:val="Heading6"/>
        <w:numPr>
          <w:ilvl w:val="5"/>
          <w:numId w:val="1"/>
        </w:numPr>
        <w:rPr/>
      </w:pPr>
      <w:bookmarkStart w:id="3021" w:name="__RefHeading___Toc2567744_3650668749"/>
      <w:bookmarkStart w:id="3022" w:name="_Toc1381"/>
      <w:bookmarkEnd w:id="3021"/>
      <w:r>
        <w:rPr>
          <w:rtl w:val="true"/>
        </w:rPr>
        <w:t>[ (</w:t>
      </w:r>
      <w:r>
        <w:rPr>
          <w:rtl w:val="true"/>
        </w:rPr>
        <w:t xml:space="preserve">مسألة </w:t>
      </w:r>
      <w:r>
        <w:rPr/>
        <w:t>2</w:t>
      </w:r>
      <w:r>
        <w:rPr>
          <w:rtl w:val="true"/>
        </w:rPr>
        <w:t xml:space="preserve">): </w:t>
      </w:r>
      <w:r>
        <w:rPr>
          <w:rtl w:val="true"/>
        </w:rPr>
        <w:t>تجب الزکاة فی کلّ نصاب من نصب هذه الأجناس</w:t>
      </w:r>
      <w:r>
        <w:rPr>
          <w:rtl w:val="true"/>
        </w:rPr>
        <w:t>]</w:t>
      </w:r>
      <w:bookmarkEnd w:id="30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الزکاة فی کلّ نصاب من نصب هذه 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یجب شی‌ء فیما نقص عن النصاب، کما أنّه لا یجب فیما بین النصابین شی‌ء غیر ما وجب </w:t>
      </w:r>
      <w:r>
        <w:rPr>
          <w:rStyle w:val="FootnoteAnchor"/>
          <w:rtl w:val="true"/>
        </w:rPr>
        <w:footnoteReference w:id="869"/>
      </w:r>
      <w:r>
        <w:rPr>
          <w:rFonts w:ascii="IRNazanin" w:hAnsi="IRNazanin" w:eastAsia="IRNazanin"/>
          <w:color w:val="111111"/>
          <w:sz w:val="28"/>
          <w:sz w:val="28"/>
          <w:szCs w:val="28"/>
          <w:rtl w:val="true"/>
          <w:lang w:bidi="fa-IR"/>
        </w:rPr>
        <w:t>فی النصاب السابق</w:t>
      </w:r>
      <w:r>
        <w:rPr>
          <w:rFonts w:eastAsia="IRNazanin" w:cs="IRNazanin"/>
          <w:color w:val="111111"/>
          <w:sz w:val="28"/>
          <w:szCs w:val="28"/>
          <w:rtl w:val="true"/>
          <w:lang w:bidi="fa-IR"/>
        </w:rPr>
        <w:t>.</w:t>
      </w:r>
    </w:p>
    <w:p>
      <w:pPr>
        <w:pStyle w:val="Heading6"/>
        <w:numPr>
          <w:ilvl w:val="5"/>
          <w:numId w:val="1"/>
        </w:numPr>
        <w:rPr/>
      </w:pPr>
      <w:bookmarkStart w:id="3023" w:name="__RefHeading___Toc2567746_3650668749"/>
      <w:bookmarkStart w:id="3024" w:name="_Toc1382"/>
      <w:bookmarkEnd w:id="3023"/>
      <w:r>
        <w:rPr>
          <w:rtl w:val="true"/>
        </w:rPr>
        <w:t>[ (</w:t>
      </w:r>
      <w:r>
        <w:rPr>
          <w:rtl w:val="true"/>
        </w:rPr>
        <w:t xml:space="preserve">مسألة </w:t>
      </w:r>
      <w:r>
        <w:rPr/>
        <w:t>3</w:t>
      </w:r>
      <w:r>
        <w:rPr>
          <w:rtl w:val="true"/>
        </w:rPr>
        <w:t xml:space="preserve">): </w:t>
      </w:r>
      <w:r>
        <w:rPr>
          <w:rtl w:val="true"/>
        </w:rPr>
        <w:t>بنت المخاض</w:t>
      </w:r>
      <w:r>
        <w:rPr>
          <w:rtl w:val="true"/>
        </w:rPr>
        <w:t xml:space="preserve">: </w:t>
      </w:r>
      <w:r>
        <w:rPr>
          <w:rtl w:val="true"/>
        </w:rPr>
        <w:t>ما دخلت فی السنة الثانیة و کذا التبیع و التبیعة</w:t>
      </w:r>
      <w:r>
        <w:rPr>
          <w:rtl w:val="true"/>
        </w:rPr>
        <w:t>]</w:t>
      </w:r>
      <w:bookmarkEnd w:id="30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دخلت فی السنة الثانیة و کذا التبیع و التبیعة، و بنت اللبون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دخلت فی الثالثة و کذا المسنّة، و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الداخلة فی الرابعة، و الجذعة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دخلت فی الخامسة</w:t>
      </w:r>
      <w:r>
        <w:rPr>
          <w:rFonts w:eastAsia="IRNazanin" w:cs="IRNazanin"/>
          <w:color w:val="111111"/>
          <w:sz w:val="28"/>
          <w:szCs w:val="28"/>
          <w:rtl w:val="true"/>
          <w:lang w:bidi="fa-IR"/>
        </w:rPr>
        <w:t>.</w:t>
      </w:r>
    </w:p>
    <w:p>
      <w:pPr>
        <w:pStyle w:val="Heading6"/>
        <w:numPr>
          <w:ilvl w:val="5"/>
          <w:numId w:val="1"/>
        </w:numPr>
        <w:rPr/>
      </w:pPr>
      <w:bookmarkStart w:id="3025" w:name="__RefHeading___Toc2567748_3650668749"/>
      <w:bookmarkStart w:id="3026" w:name="_Toc1383"/>
      <w:bookmarkEnd w:id="3025"/>
      <w:r>
        <w:rPr>
          <w:rtl w:val="true"/>
        </w:rPr>
        <w:t>[ (</w:t>
      </w:r>
      <w:r>
        <w:rPr>
          <w:rtl w:val="true"/>
        </w:rPr>
        <w:t xml:space="preserve">مسألة </w:t>
      </w:r>
      <w:r>
        <w:rPr/>
        <w:t>4</w:t>
      </w:r>
      <w:r>
        <w:rPr>
          <w:rtl w:val="true"/>
        </w:rPr>
        <w:t xml:space="preserve">): </w:t>
      </w:r>
      <w:r>
        <w:rPr>
          <w:rtl w:val="true"/>
        </w:rPr>
        <w:t>من وجب علیه سنّ من الإبل کبنت المخاض مثلًا و لم تکن عنده و کان عنده أعلیٰ منها بسنّ</w:t>
      </w:r>
      <w:r>
        <w:rPr>
          <w:rtl w:val="true"/>
        </w:rPr>
        <w:t>]</w:t>
      </w:r>
      <w:bookmarkEnd w:id="302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سنّ من الإبل کبنت المخاض مثلًا و لم تکن عنده و کان عنده أعلیٰ منها بسنّ کبنت اللبون دفعها و أخذ شاتین أو عشرین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ما عنده</w:t>
      </w:r>
      <w:bookmarkStart w:id="3027" w:name="pg1809_19229"/>
    </w:p>
    <w:p>
      <w:pPr>
        <w:pStyle w:val="BookText"/>
        <w:rPr/>
      </w:pPr>
      <w:bookmarkEnd w:id="3027"/>
      <w:r>
        <w:rPr>
          <w:rFonts w:ascii="IRNazanin" w:hAnsi="IRNazanin" w:eastAsia="IRNazanin"/>
          <w:color w:val="111111"/>
          <w:sz w:val="28"/>
          <w:sz w:val="28"/>
          <w:szCs w:val="28"/>
          <w:rtl w:val="true"/>
          <w:lang w:bidi="fa-IR"/>
        </w:rPr>
        <w:t>أخفض بسنّ دفعها و دفع معها شاتین أو عشرین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یجزی </w:t>
      </w:r>
      <w:r>
        <w:rPr>
          <w:rStyle w:val="FootnoteAnchor"/>
          <w:rtl w:val="true"/>
        </w:rPr>
        <w:footnoteReference w:id="870"/>
      </w:r>
      <w:r>
        <w:rPr>
          <w:rFonts w:ascii="IRNazanin" w:hAnsi="IRNazanin" w:eastAsia="IRNazanin"/>
          <w:color w:val="111111"/>
          <w:sz w:val="28"/>
          <w:sz w:val="28"/>
          <w:szCs w:val="28"/>
          <w:rtl w:val="true"/>
          <w:lang w:bidi="fa-IR"/>
        </w:rPr>
        <w:t xml:space="preserve">ابن اللبون عن بنت المخاض اختیاراً و إن کان الأحوط الاقتصار علیٰ حال عدم وجدانها عنده، نعم إذا لم یکونا معاً عنده تخیّر </w:t>
      </w:r>
      <w:r>
        <w:rPr>
          <w:rStyle w:val="FootnoteAnchor"/>
          <w:rtl w:val="true"/>
        </w:rPr>
        <w:footnoteReference w:id="871"/>
      </w:r>
      <w:r>
        <w:rPr>
          <w:rFonts w:ascii="IRNazanin" w:hAnsi="IRNazanin" w:eastAsia="IRNazanin"/>
          <w:color w:val="111111"/>
          <w:sz w:val="28"/>
          <w:sz w:val="28"/>
          <w:szCs w:val="28"/>
          <w:rtl w:val="true"/>
          <w:lang w:bidi="fa-IR"/>
        </w:rPr>
        <w:t>فی شراء أیّهما شاء</w:t>
      </w:r>
      <w:r>
        <w:rPr>
          <w:rFonts w:eastAsia="IRNazanin" w:cs="IRNazanin"/>
          <w:color w:val="111111"/>
          <w:sz w:val="28"/>
          <w:szCs w:val="28"/>
          <w:rtl w:val="true"/>
          <w:lang w:bidi="fa-IR"/>
        </w:rPr>
        <w:t>.</w:t>
      </w:r>
    </w:p>
    <w:p>
      <w:pPr>
        <w:pStyle w:val="Heading6"/>
        <w:numPr>
          <w:ilvl w:val="5"/>
          <w:numId w:val="1"/>
        </w:numPr>
        <w:rPr/>
      </w:pPr>
      <w:bookmarkStart w:id="3028" w:name="__RefHeading___Toc2567750_3650668749"/>
      <w:bookmarkStart w:id="3029" w:name="_Toc1384"/>
      <w:bookmarkEnd w:id="3028"/>
      <w:r>
        <w:rPr>
          <w:rtl w:val="true"/>
        </w:rPr>
        <w:t>[ (</w:t>
      </w:r>
      <w:r>
        <w:rPr>
          <w:rtl w:val="true"/>
        </w:rPr>
        <w:t xml:space="preserve">مسألة </w:t>
      </w:r>
      <w:r>
        <w:rPr/>
        <w:t>5</w:t>
      </w:r>
      <w:r>
        <w:rPr>
          <w:rtl w:val="true"/>
        </w:rPr>
        <w:t xml:space="preserve">): </w:t>
      </w:r>
      <w:r>
        <w:rPr>
          <w:rtl w:val="true"/>
        </w:rPr>
        <w:t>لا یضمّ مال إنسان إلیٰ غیره و إن کان مشترکاً أو مختلطاً</w:t>
      </w:r>
      <w:r>
        <w:rPr>
          <w:rtl w:val="true"/>
        </w:rPr>
        <w:t>]</w:t>
      </w:r>
      <w:bookmarkEnd w:id="30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 مال إنسان إلیٰ غیره و إن کان مشترکاً أو مختلطاً متّحد المسرح و المراح و المشرب و الفحل و الحالب و المحلب، بل یعتبر فی مال کلّ واحد منهما بلوغ النصاب و لو بتلفیق الکسور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یفرّق بین مالی المالک الواحد و لو تباعد مکانهما</w:t>
      </w:r>
      <w:r>
        <w:rPr>
          <w:rFonts w:eastAsia="IRNazanin" w:cs="IRNazanin"/>
          <w:color w:val="111111"/>
          <w:sz w:val="28"/>
          <w:szCs w:val="28"/>
          <w:rtl w:val="true"/>
          <w:lang w:bidi="fa-IR"/>
        </w:rPr>
        <w:t>.</w:t>
      </w:r>
    </w:p>
    <w:p>
      <w:pPr>
        <w:pStyle w:val="Heading6"/>
        <w:numPr>
          <w:ilvl w:val="5"/>
          <w:numId w:val="1"/>
        </w:numPr>
        <w:rPr/>
      </w:pPr>
      <w:bookmarkStart w:id="3030" w:name="__RefHeading___Toc2567752_3650668749"/>
      <w:bookmarkStart w:id="3031" w:name="_Toc1385"/>
      <w:bookmarkEnd w:id="3030"/>
      <w:r>
        <w:rPr>
          <w:rtl w:val="true"/>
        </w:rPr>
        <w:t>[</w:t>
      </w:r>
      <w:r>
        <w:rPr>
          <w:rtl w:val="true"/>
        </w:rPr>
        <w:t>القول فی السوم؛ أی الرعی</w:t>
      </w:r>
      <w:r>
        <w:rPr>
          <w:rtl w:val="true"/>
        </w:rPr>
        <w:t>]</w:t>
      </w:r>
      <w:bookmarkEnd w:id="3031"/>
    </w:p>
    <w:p>
      <w:pPr>
        <w:pStyle w:val="Heading6"/>
        <w:numPr>
          <w:ilvl w:val="5"/>
          <w:numId w:val="1"/>
        </w:numPr>
        <w:rPr/>
      </w:pPr>
      <w:bookmarkStart w:id="3032" w:name="__RefHeading___Toc2567754_3650668749"/>
      <w:bookmarkStart w:id="3033" w:name="_Toc1386"/>
      <w:bookmarkEnd w:id="3032"/>
      <w:r>
        <w:rPr>
          <w:rtl w:val="true"/>
        </w:rPr>
        <w:t>اشارة</w:t>
      </w:r>
      <w:bookmarkEnd w:id="3033"/>
    </w:p>
    <w:p>
      <w:pPr>
        <w:pStyle w:val="BookText"/>
        <w:rPr/>
      </w:pPr>
      <w:r>
        <w:rPr>
          <w:rFonts w:ascii="IRNazanin" w:hAnsi="IRNazanin" w:eastAsia="IRNazanin"/>
          <w:color w:val="111111"/>
          <w:sz w:val="28"/>
          <w:sz w:val="28"/>
          <w:szCs w:val="28"/>
          <w:rtl w:val="true"/>
          <w:lang w:bidi="fa-IR"/>
        </w:rPr>
        <w:t>القول فی السوم؛ أی الرعی</w:t>
      </w:r>
    </w:p>
    <w:p>
      <w:pPr>
        <w:pStyle w:val="Heading6"/>
        <w:numPr>
          <w:ilvl w:val="5"/>
          <w:numId w:val="1"/>
        </w:numPr>
        <w:rPr/>
      </w:pPr>
      <w:bookmarkStart w:id="3034" w:name="__RefHeading___Toc2567756_3650668749"/>
      <w:bookmarkStart w:id="3035" w:name="_Toc1387"/>
      <w:bookmarkEnd w:id="3034"/>
      <w:r>
        <w:rPr>
          <w:rtl w:val="true"/>
        </w:rPr>
        <w:t>[ (</w:t>
      </w:r>
      <w:r>
        <w:rPr>
          <w:rtl w:val="true"/>
        </w:rPr>
        <w:t xml:space="preserve">مسألة </w:t>
      </w:r>
      <w:r>
        <w:rPr/>
        <w:t>1</w:t>
      </w:r>
      <w:r>
        <w:rPr>
          <w:rtl w:val="true"/>
        </w:rPr>
        <w:t xml:space="preserve">): </w:t>
      </w:r>
      <w:r>
        <w:rPr>
          <w:rtl w:val="true"/>
        </w:rPr>
        <w:t>یعتبر السوم تمام الحول</w:t>
      </w:r>
      <w:r>
        <w:rPr>
          <w:rtl w:val="true"/>
        </w:rPr>
        <w:t>]</w:t>
      </w:r>
      <w:bookmarkEnd w:id="30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السوم تمام الحول فلو علفت فی أثنائه بما یخرجها عن اسم السائمة فی الحول عرفاً فلا زکاة، نعم لا عبرة باللحظة و نحوها ممّا لا یخرج به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قدح الیوم أو الیومین فی الصدق العرفی إشکال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36" w:name="__RefHeading___Toc2567758_3650668749"/>
      <w:bookmarkStart w:id="3037" w:name="_Toc1388"/>
      <w:bookmarkEnd w:id="3036"/>
      <w:r>
        <w:rPr>
          <w:rtl w:val="true"/>
        </w:rPr>
        <w:t>[ (</w:t>
      </w:r>
      <w:r>
        <w:rPr>
          <w:rtl w:val="true"/>
        </w:rPr>
        <w:t xml:space="preserve">مسألة </w:t>
      </w:r>
      <w:r>
        <w:rPr/>
        <w:t>2</w:t>
      </w:r>
      <w:r>
        <w:rPr>
          <w:rtl w:val="true"/>
        </w:rPr>
        <w:t xml:space="preserve">): </w:t>
      </w:r>
      <w:r>
        <w:rPr>
          <w:rtl w:val="true"/>
        </w:rPr>
        <w:t>لا فرق فی سقوط الزکاة فی المعلوفة بین أن یکون العَلْفُ بنفسها أو علّفها مالکها أو غیره</w:t>
      </w:r>
      <w:r>
        <w:rPr>
          <w:rtl w:val="true"/>
        </w:rPr>
        <w:t>]</w:t>
      </w:r>
      <w:bookmarkEnd w:id="303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سقوط الزکاة فی المعلوفة بین أن یکون العَلْفُ بنفسها أو علّفها مالکها أو غیره؛ من ماله أو من مال المالک، بإذنه أو غیر إذنه، کما أنّه لا فرق بین أن یکون بالاختیار أو لأجل الاضطرار أو لوجود مانع عن السوم من ثلج و نحوه، و کذا لا فرق بین أن یعلفها بالعلف المجزوز أو یرسلها لترعی بنفسها فی الزرع المملوک فإنّها تخرج عن السوم بذلک کلّه، نعم الظاهر عدم خروجها عن صدق السوم باستئجار المرعیٰ أو بشرائه إذا لم یکن مزروعاً </w:t>
      </w:r>
      <w:r>
        <w:rPr>
          <w:rStyle w:val="FootnoteAnchor"/>
          <w:rtl w:val="true"/>
        </w:rPr>
        <w:footnoteReference w:id="873"/>
      </w:r>
      <w:r>
        <w:rPr>
          <w:rFonts w:ascii="IRNazanin" w:hAnsi="IRNazanin" w:eastAsia="IRNazanin"/>
          <w:color w:val="111111"/>
          <w:sz w:val="28"/>
          <w:sz w:val="28"/>
          <w:szCs w:val="28"/>
          <w:rtl w:val="true"/>
          <w:lang w:bidi="fa-IR"/>
        </w:rPr>
        <w:t>، کما أنّه لا تخرج عنه بما یدفع إلی الظالم علی الرعی فی الأرض المباحة</w:t>
      </w:r>
      <w:r>
        <w:rPr>
          <w:rFonts w:eastAsia="IRNazanin" w:cs="IRNazanin"/>
          <w:color w:val="111111"/>
          <w:sz w:val="28"/>
          <w:szCs w:val="28"/>
          <w:rtl w:val="true"/>
          <w:lang w:bidi="fa-IR"/>
        </w:rPr>
        <w:t>.</w:t>
      </w:r>
      <w:bookmarkStart w:id="3038" w:name="pg1809_19231"/>
    </w:p>
    <w:p>
      <w:pPr>
        <w:pStyle w:val="Heading6"/>
        <w:numPr>
          <w:ilvl w:val="5"/>
          <w:numId w:val="1"/>
        </w:numPr>
        <w:rPr/>
      </w:pPr>
      <w:bookmarkStart w:id="3039" w:name="__RefHeading___Toc2567760_3650668749"/>
      <w:bookmarkStart w:id="3040" w:name="_Toc1389"/>
      <w:bookmarkEnd w:id="3038"/>
      <w:bookmarkEnd w:id="3039"/>
      <w:r>
        <w:rPr>
          <w:rtl w:val="true"/>
        </w:rPr>
        <w:t>[</w:t>
      </w:r>
      <w:r>
        <w:rPr>
          <w:rtl w:val="true"/>
        </w:rPr>
        <w:t>القول فی الحول</w:t>
      </w:r>
      <w:r>
        <w:rPr>
          <w:rtl w:val="true"/>
        </w:rPr>
        <w:t>]</w:t>
      </w:r>
      <w:bookmarkEnd w:id="3040"/>
    </w:p>
    <w:p>
      <w:pPr>
        <w:pStyle w:val="Heading6"/>
        <w:numPr>
          <w:ilvl w:val="5"/>
          <w:numId w:val="1"/>
        </w:numPr>
        <w:rPr/>
      </w:pPr>
      <w:bookmarkStart w:id="3041" w:name="__RefHeading___Toc2567762_3650668749"/>
      <w:bookmarkStart w:id="3042" w:name="_Toc1390"/>
      <w:bookmarkEnd w:id="3041"/>
      <w:r>
        <w:rPr>
          <w:rtl w:val="true"/>
        </w:rPr>
        <w:t>اشارة</w:t>
      </w:r>
      <w:bookmarkEnd w:id="3042"/>
    </w:p>
    <w:p>
      <w:pPr>
        <w:pStyle w:val="BookText"/>
        <w:rPr/>
      </w:pPr>
      <w:r>
        <w:rPr>
          <w:rFonts w:ascii="IRNazanin" w:hAnsi="IRNazanin" w:eastAsia="IRNazanin"/>
          <w:color w:val="111111"/>
          <w:sz w:val="28"/>
          <w:sz w:val="28"/>
          <w:szCs w:val="28"/>
          <w:rtl w:val="true"/>
          <w:lang w:bidi="fa-IR"/>
        </w:rPr>
        <w:t>القول فی الحول</w:t>
      </w:r>
    </w:p>
    <w:p>
      <w:pPr>
        <w:pStyle w:val="Heading6"/>
        <w:numPr>
          <w:ilvl w:val="5"/>
          <w:numId w:val="1"/>
        </w:numPr>
        <w:rPr/>
      </w:pPr>
      <w:bookmarkStart w:id="3043" w:name="__RefHeading___Toc2567764_3650668749"/>
      <w:bookmarkStart w:id="3044" w:name="_Toc1391"/>
      <w:bookmarkEnd w:id="3043"/>
      <w:r>
        <w:rPr>
          <w:rtl w:val="true"/>
        </w:rPr>
        <w:t>[ (</w:t>
      </w:r>
      <w:r>
        <w:rPr>
          <w:rtl w:val="true"/>
        </w:rPr>
        <w:t xml:space="preserve">مسألة </w:t>
      </w:r>
      <w:r>
        <w:rPr/>
        <w:t>1</w:t>
      </w:r>
      <w:r>
        <w:rPr>
          <w:rtl w:val="true"/>
        </w:rPr>
        <w:t xml:space="preserve">): </w:t>
      </w:r>
      <w:r>
        <w:rPr>
          <w:rtl w:val="true"/>
        </w:rPr>
        <w:t>یتحقّق الحول بتمام الأحد عشر شهراً</w:t>
      </w:r>
      <w:r>
        <w:rPr>
          <w:rtl w:val="true"/>
        </w:rPr>
        <w:t>]</w:t>
      </w:r>
      <w:bookmarkEnd w:id="30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یتحقّق الحول بتمام الأحد عشر شهراً، لکن لا یستقرّ </w:t>
      </w:r>
      <w:r>
        <w:rPr>
          <w:rStyle w:val="FootnoteAnchor"/>
          <w:rtl w:val="true"/>
        </w:rPr>
        <w:footnoteReference w:id="874"/>
      </w:r>
      <w:r>
        <w:rPr>
          <w:rFonts w:ascii="IRNazanin" w:hAnsi="IRNazanin" w:eastAsia="IRNazanin"/>
          <w:color w:val="111111"/>
          <w:sz w:val="28"/>
          <w:sz w:val="28"/>
          <w:szCs w:val="28"/>
          <w:rtl w:val="true"/>
          <w:lang w:bidi="fa-IR"/>
        </w:rPr>
        <w:t>الوجوب به علی الأقویٰ و إن کان الأحوط البناء علی الاستقرار به، و کیف کان فالأقوی احتساب الثانی عشر من الحول الأوّل لا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لو اختلّ أحد شروط وجوبها فی أثناء أحد عشر لا بعده بطل الحول، کما لو نقصت عن النصاب أو لم یتمکّن من التصرّف فیها أو عاوضها بغیر جنسها و إن کان زکویّاً أو بجنسها کغنم سائمة ستّة أشهر بغنم کذلک أو بمثلها کالضأن بالضأن أو غیر ذلک، بل الظاهر بطلان الحول بذلک و إن فعله فراراً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اختلّ أحدها فی الشهر الثانی عشر فعلی ما قوّیناه من عدم الاستقرار یبطل الحول، و علی القول الآخر لم یبطل و هو الأحوط</w:t>
      </w:r>
      <w:r>
        <w:rPr>
          <w:rFonts w:eastAsia="IRNazanin" w:cs="IRNazanin"/>
          <w:color w:val="111111"/>
          <w:sz w:val="28"/>
          <w:szCs w:val="28"/>
          <w:rtl w:val="true"/>
          <w:lang w:bidi="fa-IR"/>
        </w:rPr>
        <w:t>.</w:t>
      </w:r>
    </w:p>
    <w:p>
      <w:pPr>
        <w:pStyle w:val="Heading6"/>
        <w:numPr>
          <w:ilvl w:val="5"/>
          <w:numId w:val="1"/>
        </w:numPr>
        <w:rPr/>
      </w:pPr>
      <w:bookmarkStart w:id="3045" w:name="__RefHeading___Toc2567766_3650668749"/>
      <w:bookmarkStart w:id="3046" w:name="_Toc1392"/>
      <w:bookmarkEnd w:id="3045"/>
      <w:r>
        <w:rPr>
          <w:rtl w:val="true"/>
        </w:rPr>
        <w:t>[ (</w:t>
      </w:r>
      <w:r>
        <w:rPr>
          <w:rtl w:val="true"/>
        </w:rPr>
        <w:t xml:space="preserve">مسألة </w:t>
      </w:r>
      <w:r>
        <w:rPr/>
        <w:t>2</w:t>
      </w:r>
      <w:r>
        <w:rPr>
          <w:rtl w:val="true"/>
        </w:rPr>
        <w:t xml:space="preserve">): </w:t>
      </w:r>
      <w:r>
        <w:rPr>
          <w:rtl w:val="true"/>
        </w:rPr>
        <w:t>لو کان مالکاً للنصاب لا أزید فحال علیه أحوال</w:t>
      </w:r>
      <w:r>
        <w:rPr>
          <w:rtl w:val="true"/>
        </w:rPr>
        <w:t>]</w:t>
      </w:r>
      <w:bookmarkEnd w:id="304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مالکاً للنصاب لا أزید فحال علیه أحوال فإن أخرج فی کلّ سنة زکاته من غیره تکرّرت لبقاء النصاب حینئذٍ و عدم نقصانه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أخّر إخراج الزکاة عن آخر الحول و لو بزمان یسیر کما هو الغالب یتأخّر مبدأ الحول اللاحق عن تمام الحول السابق و بذلک المقدار، فلا یجری النصاب فی الحول الجدید إلّا بعد إخراج زکاته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أخرج زکاته منه و لم یخرج أصلًا لیس علیه إلّا زکاة سنة واحدة لعدم بقاء النصاب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مالکاً لما زاد علی النصاب و مضیٰ علیه أحوال و لم یؤدّ زکاته یجب علیه زکاة ما مضی من السنین بما زاد علیٰ تلک الزیادة بواحد، فلو کان عنده واحدة و أربعون من الغنم و مضیٰ علیه أحوال و لم یؤدّ زکاتها یجب علیه زکاة سنتین، و لو کان عنده اثنتان و أربعون یجب علیه زکاة ثلاث سنین و لو کان ثلاث و أربعون یجب علیه زکاة أربع سنین</w:t>
      </w:r>
      <w:bookmarkStart w:id="3047" w:name="pg1809_19233"/>
    </w:p>
    <w:p>
      <w:pPr>
        <w:pStyle w:val="BookText"/>
        <w:rPr/>
      </w:pPr>
      <w:bookmarkEnd w:id="3047"/>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تجب فیما زاد لنقصانه عن النصاب</w:t>
      </w:r>
      <w:r>
        <w:rPr>
          <w:rFonts w:eastAsia="IRNazanin" w:cs="IRNazanin"/>
          <w:color w:val="111111"/>
          <w:sz w:val="28"/>
          <w:szCs w:val="28"/>
          <w:rtl w:val="true"/>
          <w:lang w:bidi="fa-IR"/>
        </w:rPr>
        <w:t>.</w:t>
      </w:r>
    </w:p>
    <w:p>
      <w:pPr>
        <w:pStyle w:val="Heading6"/>
        <w:numPr>
          <w:ilvl w:val="5"/>
          <w:numId w:val="1"/>
        </w:numPr>
        <w:rPr/>
      </w:pPr>
      <w:bookmarkStart w:id="3048" w:name="__RefHeading___Toc2567768_3650668749"/>
      <w:bookmarkStart w:id="3049" w:name="_Toc1393"/>
      <w:bookmarkEnd w:id="3048"/>
      <w:r>
        <w:rPr>
          <w:rtl w:val="true"/>
        </w:rPr>
        <w:t>[ (</w:t>
      </w:r>
      <w:r>
        <w:rPr>
          <w:rtl w:val="true"/>
        </w:rPr>
        <w:t xml:space="preserve">مسألة </w:t>
      </w:r>
      <w:r>
        <w:rPr/>
        <w:t>3</w:t>
      </w:r>
      <w:r>
        <w:rPr>
          <w:rtl w:val="true"/>
        </w:rPr>
        <w:t xml:space="preserve">): </w:t>
      </w:r>
      <w:r>
        <w:rPr>
          <w:rtl w:val="true"/>
        </w:rPr>
        <w:t>مالک النصاب إذا حصل له فی أثناء الحول ملک جدید</w:t>
      </w:r>
      <w:r>
        <w:rPr>
          <w:rtl w:val="true"/>
        </w:rPr>
        <w:t>]</w:t>
      </w:r>
      <w:bookmarkEnd w:id="30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النصاب إذا حصل له فی أثناء الحول ملک جدید بالنتاج أو بالإرث أو الشراء و نحوها فإن کان بمقدار العفو و لم یکن نصاباً مستقلا و لا مکمّلًا لنصاب آخر فلا شی‌ء علیه، کما إذا کانت عنده أربعون من الغنم فولدت أربعین أو کان عنده خمس من الإبل فولدت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کان نصاباً مستقلا کخمس من الإبل قد ولدت خمساً أو مکمّلًا لنصاب آخر؛ بأن کان بمقدار لو انضمّ إلی الأصل بعد إخراج الفریضة خرج من ذلک النصاب و دخل فی نصاب آخر، کما لو ولدت أحد و ثلاثون من البقر عشراً، أو ثلاثون منه أحد عشر، ففی الأوّل یعتبر لکلّ من القدیم و الجدید حول بانفراده، فإذا ولدت خمس من الإبل خمساً بعد ستّة أشهر من حولها یخرج شاة بعد تمام حول الأصل و شاة اخریٰ </w:t>
      </w:r>
      <w:r>
        <w:rPr>
          <w:rStyle w:val="FootnoteAnchor"/>
          <w:rtl w:val="true"/>
        </w:rPr>
        <w:footnoteReference w:id="875"/>
      </w:r>
      <w:r>
        <w:rPr>
          <w:rFonts w:ascii="IRNazanin" w:hAnsi="IRNazanin" w:eastAsia="IRNazanin"/>
          <w:color w:val="111111"/>
          <w:sz w:val="28"/>
          <w:sz w:val="28"/>
          <w:szCs w:val="28"/>
          <w:rtl w:val="true"/>
          <w:lang w:bidi="fa-IR"/>
        </w:rPr>
        <w:t>بعد تمام حول الأولاد، و یکون مبدأ حول الأولاد مع التفرّق فی الولادة بعد نتاج الأخیر الذی یکمل به الخمسة، و فی الثانی یستأنف حولًا واحداً للمجموع بعد تمام حول الأصل، و یکون مبدأ حول المجموع عند زمان انتهاء حول الأصل، و لیس مبدأ حول الأولاد حین الاستغناء بالرعی عن اللبن حتّی فیما إذا کانت أُمّها معلوفة علی الأقویٰ</w:t>
      </w:r>
      <w:r>
        <w:rPr>
          <w:rFonts w:eastAsia="IRNazanin" w:cs="IRNazanin"/>
          <w:color w:val="111111"/>
          <w:sz w:val="28"/>
          <w:szCs w:val="28"/>
          <w:rtl w:val="true"/>
          <w:lang w:bidi="fa-IR"/>
        </w:rPr>
        <w:t>.</w:t>
      </w:r>
    </w:p>
    <w:p>
      <w:pPr>
        <w:pStyle w:val="Heading6"/>
        <w:numPr>
          <w:ilvl w:val="5"/>
          <w:numId w:val="1"/>
        </w:numPr>
        <w:rPr/>
      </w:pPr>
      <w:bookmarkStart w:id="3050" w:name="__RefHeading___Toc2567770_3650668749"/>
      <w:bookmarkStart w:id="3051" w:name="_Toc1394"/>
      <w:bookmarkEnd w:id="3050"/>
      <w:r>
        <w:rPr>
          <w:rtl w:val="true"/>
        </w:rPr>
        <w:t>[</w:t>
      </w:r>
      <w:r>
        <w:rPr>
          <w:rtl w:val="true"/>
        </w:rPr>
        <w:t>القول فی الشرط الرابع؛ أی عدم کونها عوامل</w:t>
      </w:r>
      <w:r>
        <w:rPr>
          <w:rtl w:val="true"/>
        </w:rPr>
        <w:t>]</w:t>
      </w:r>
      <w:bookmarkEnd w:id="3051"/>
    </w:p>
    <w:p>
      <w:pPr>
        <w:pStyle w:val="Heading6"/>
        <w:numPr>
          <w:ilvl w:val="5"/>
          <w:numId w:val="1"/>
        </w:numPr>
        <w:rPr/>
      </w:pPr>
      <w:bookmarkStart w:id="3052" w:name="__RefHeading___Toc2567772_3650668749"/>
      <w:bookmarkStart w:id="3053" w:name="_Toc1395"/>
      <w:bookmarkEnd w:id="3052"/>
      <w:r>
        <w:rPr>
          <w:rtl w:val="true"/>
        </w:rPr>
        <w:t>اشارة</w:t>
      </w:r>
      <w:bookmarkEnd w:id="3053"/>
    </w:p>
    <w:p>
      <w:pPr>
        <w:pStyle w:val="BookText"/>
        <w:rPr/>
      </w:pPr>
      <w:r>
        <w:rPr>
          <w:rFonts w:ascii="IRNazanin" w:hAnsi="IRNazanin" w:eastAsia="IRNazanin"/>
          <w:color w:val="111111"/>
          <w:sz w:val="28"/>
          <w:sz w:val="28"/>
          <w:szCs w:val="28"/>
          <w:rtl w:val="true"/>
          <w:lang w:bidi="fa-IR"/>
        </w:rPr>
        <w:t>القول فی الشرط الرابع؛ أی عدم کونها عوامل</w:t>
      </w:r>
    </w:p>
    <w:p>
      <w:pPr>
        <w:pStyle w:val="Heading6"/>
        <w:numPr>
          <w:ilvl w:val="5"/>
          <w:numId w:val="1"/>
        </w:numPr>
        <w:rPr/>
      </w:pPr>
      <w:bookmarkStart w:id="3054" w:name="__RefHeading___Toc2567774_3650668749"/>
      <w:bookmarkStart w:id="3055" w:name="_Toc1396"/>
      <w:bookmarkEnd w:id="3054"/>
      <w:r>
        <w:rPr>
          <w:rtl w:val="true"/>
        </w:rPr>
        <w:t>[ (</w:t>
      </w:r>
      <w:r>
        <w:rPr>
          <w:rtl w:val="true"/>
        </w:rPr>
        <w:t xml:space="preserve">مسألة </w:t>
      </w:r>
      <w:r>
        <w:rPr/>
        <w:t>1</w:t>
      </w:r>
      <w:r>
        <w:rPr>
          <w:rtl w:val="true"/>
        </w:rPr>
        <w:t xml:space="preserve">): </w:t>
      </w:r>
      <w:r>
        <w:rPr>
          <w:rtl w:val="true"/>
        </w:rPr>
        <w:t>یعتبر فیها أن لا تکون عوامل فی تمام الحول</w:t>
      </w:r>
      <w:r>
        <w:rPr>
          <w:rtl w:val="true"/>
        </w:rPr>
        <w:t>]</w:t>
      </w:r>
      <w:bookmarkEnd w:id="3055"/>
    </w:p>
    <w:p>
      <w:pPr>
        <w:pStyle w:val="Heading6"/>
        <w:numPr>
          <w:ilvl w:val="5"/>
          <w:numId w:val="1"/>
        </w:numPr>
        <w:rPr/>
      </w:pPr>
      <w:bookmarkStart w:id="3056" w:name="__RefHeading___Toc2567776_3650668749"/>
      <w:bookmarkStart w:id="3057" w:name="_Toc1397"/>
      <w:bookmarkEnd w:id="3056"/>
      <w:r>
        <w:rPr>
          <w:rtl w:val="true"/>
        </w:rPr>
        <w:t>اشارة</w:t>
      </w:r>
      <w:bookmarkEnd w:id="305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فیها أن لا تکون عوامل فی تمام الحول فلو کانت کذلک و لو فی بعض الحول فلا زکاة فیها و إن کانت 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المرجع فی صدق العوامل العرف</w:t>
      </w:r>
      <w:r>
        <w:rPr>
          <w:rFonts w:eastAsia="IRNazanin" w:cs="IRNazanin"/>
          <w:color w:val="111111"/>
          <w:sz w:val="28"/>
          <w:szCs w:val="28"/>
          <w:rtl w:val="true"/>
          <w:lang w:bidi="fa-IR"/>
        </w:rPr>
        <w:t>.</w:t>
      </w:r>
      <w:bookmarkStart w:id="3058" w:name="pg1809_19235"/>
    </w:p>
    <w:p>
      <w:pPr>
        <w:pStyle w:val="Heading6"/>
        <w:numPr>
          <w:ilvl w:val="5"/>
          <w:numId w:val="1"/>
        </w:numPr>
        <w:rPr/>
      </w:pPr>
      <w:bookmarkStart w:id="3059" w:name="__RefHeading___Toc2567778_3650668749"/>
      <w:bookmarkStart w:id="3060" w:name="_Toc1398"/>
      <w:bookmarkEnd w:id="3058"/>
      <w:bookmarkEnd w:id="3059"/>
      <w:r>
        <w:rPr>
          <w:rtl w:val="true"/>
        </w:rPr>
        <w:t>[ (</w:t>
      </w:r>
      <w:r>
        <w:rPr>
          <w:rtl w:val="true"/>
        </w:rPr>
        <w:t xml:space="preserve">مسألة </w:t>
      </w:r>
      <w:r>
        <w:rPr/>
        <w:t>2</w:t>
      </w:r>
      <w:r>
        <w:rPr>
          <w:rtl w:val="true"/>
        </w:rPr>
        <w:t xml:space="preserve">): </w:t>
      </w:r>
      <w:r>
        <w:rPr>
          <w:rtl w:val="true"/>
        </w:rPr>
        <w:t>لا تؤخذ المریضة من نصاب السلیم</w:t>
      </w:r>
      <w:r>
        <w:rPr>
          <w:rtl w:val="true"/>
        </w:rPr>
        <w:t>]</w:t>
      </w:r>
      <w:bookmarkEnd w:id="30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تؤخذ المریضة من نصاب السلیم، و لا الهرمة من نصاب الشابّ، و لا ذات العوار من نصاب السلیم و إن عدّت منه، أمّا لو کان النصاب جمیعه مریضاً بمرض متّحد لم یکلّف شراء صحیحة و أجزأت مریضة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بعضه صحیحاً و بعضه مریضاً، فالأحوط إن لم یکن أقوی إخراج صحیحة من أواسط الشیاه من غیر ملاحظة التقسیط، و کذا لا تؤخذ الربّیٰ و هی الشاة الوالدة إلیٰ خمسة عشر یوماً و إن بذلها المالک، إلّا إذا کان النصاب کلّه کذلک، و کذا لا تؤخذ الأکولة و هی السمینة المعدّة للأکل و لا فحل الضراب، بل لا یعدّ الجمیع من النصاب علی الأقویٰ، و إن کان الأحوط عدّها منه</w:t>
      </w:r>
      <w:r>
        <w:rPr>
          <w:rFonts w:eastAsia="IRNazanin" w:cs="IRNazanin"/>
          <w:color w:val="111111"/>
          <w:sz w:val="28"/>
          <w:szCs w:val="28"/>
          <w:rtl w:val="true"/>
          <w:lang w:bidi="fa-IR"/>
        </w:rPr>
        <w:t>.</w:t>
      </w:r>
    </w:p>
    <w:p>
      <w:pPr>
        <w:pStyle w:val="Heading6"/>
        <w:numPr>
          <w:ilvl w:val="5"/>
          <w:numId w:val="1"/>
        </w:numPr>
        <w:rPr/>
      </w:pPr>
      <w:bookmarkStart w:id="3061" w:name="__RefHeading___Toc2567780_3650668749"/>
      <w:bookmarkStart w:id="3062" w:name="_Toc1399"/>
      <w:bookmarkEnd w:id="3061"/>
      <w:r>
        <w:rPr>
          <w:rtl w:val="true"/>
        </w:rPr>
        <w:t>[ (</w:t>
      </w:r>
      <w:r>
        <w:rPr>
          <w:rtl w:val="true"/>
        </w:rPr>
        <w:t xml:space="preserve">مسألة </w:t>
      </w:r>
      <w:r>
        <w:rPr/>
        <w:t>3</w:t>
      </w:r>
      <w:r>
        <w:rPr>
          <w:rtl w:val="true"/>
        </w:rPr>
        <w:t xml:space="preserve">): </w:t>
      </w:r>
      <w:r>
        <w:rPr>
          <w:rtl w:val="true"/>
        </w:rPr>
        <w:t>الشاة المأخوذة فی الزکاة فی الغنم و الإبل و فی الجبر</w:t>
      </w:r>
      <w:r>
        <w:rPr>
          <w:rtl w:val="true"/>
        </w:rPr>
        <w:t>]</w:t>
      </w:r>
      <w:bookmarkEnd w:id="30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المأخوذة فی الزکاة فی الغنم و الإبل و فی الجبر أقلّ ما یراد منها ما کمل له سنة و دخل فی الثانیة إن کان من الضأن، و ما دخل فی الثالثة إن کان من 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یجزی الذکر عن الأُنثیٰ و بالعکس، و المعز عن الضأن و بالعکس؛ لأنّهما جنس واحد فی الزکاة کالبقر و الجاموس، و الإبل العراب و البخاتی</w:t>
      </w:r>
      <w:r>
        <w:rPr>
          <w:rFonts w:eastAsia="IRNazanin" w:cs="IRNazanin"/>
          <w:color w:val="111111"/>
          <w:sz w:val="28"/>
          <w:szCs w:val="28"/>
          <w:rtl w:val="true"/>
          <w:lang w:bidi="fa-IR"/>
        </w:rPr>
        <w:t>.</w:t>
      </w:r>
    </w:p>
    <w:p>
      <w:pPr>
        <w:pStyle w:val="Heading6"/>
        <w:numPr>
          <w:ilvl w:val="5"/>
          <w:numId w:val="1"/>
        </w:numPr>
        <w:rPr/>
      </w:pPr>
      <w:bookmarkStart w:id="3063" w:name="__RefHeading___Toc2567782_3650668749"/>
      <w:bookmarkStart w:id="3064" w:name="_Toc1400"/>
      <w:bookmarkEnd w:id="3063"/>
      <w:r>
        <w:rPr>
          <w:rtl w:val="true"/>
        </w:rPr>
        <w:t>[ (</w:t>
      </w:r>
      <w:r>
        <w:rPr>
          <w:rtl w:val="true"/>
        </w:rPr>
        <w:t xml:space="preserve">مسألة </w:t>
      </w:r>
      <w:r>
        <w:rPr/>
        <w:t>4</w:t>
      </w:r>
      <w:r>
        <w:rPr>
          <w:rtl w:val="true"/>
        </w:rPr>
        <w:t xml:space="preserve">): </w:t>
      </w:r>
      <w:r>
        <w:rPr>
          <w:rtl w:val="true"/>
        </w:rPr>
        <w:t>إذا کان للمالک أموال متفرّقة فی أماکن مختلفة</w:t>
      </w:r>
      <w:r>
        <w:rPr>
          <w:rtl w:val="true"/>
        </w:rPr>
        <w:t>]</w:t>
      </w:r>
      <w:bookmarkEnd w:id="30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للمالک أموال متفرّقة فی أماکن مختلفة کان له إخراج الزکاة من أیّها شاء، و لا یتعیّن علیه أن یدفع من النصاب و لا من جنس ما تعلّقت به الزکاة بل له أن یخرج من غیر جنس </w:t>
      </w:r>
      <w:r>
        <w:rPr>
          <w:rStyle w:val="FootnoteAnchor"/>
          <w:rtl w:val="true"/>
        </w:rPr>
        <w:footnoteReference w:id="876"/>
      </w:r>
      <w:r>
        <w:rPr>
          <w:rFonts w:ascii="IRNazanin" w:hAnsi="IRNazanin" w:eastAsia="IRNazanin"/>
          <w:color w:val="111111"/>
          <w:sz w:val="28"/>
          <w:sz w:val="28"/>
          <w:szCs w:val="28"/>
          <w:rtl w:val="true"/>
          <w:lang w:bidi="fa-IR"/>
        </w:rPr>
        <w:t>الفریضة بالقیمة السوقیّة، و لا یتعیّن ذلک علیه دراهم و دنانیر و إن کان الإخراج من العین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المدار فی القیمة قیمة وقت الأداء و کذا بلده لو کانت العین تالفة، و أمّا لو کانت موجودة فالظاهر أنّ المدار علیٰ قیمة البلد الذی هی فیه</w:t>
      </w:r>
      <w:r>
        <w:rPr>
          <w:rFonts w:eastAsia="IRNazanin" w:cs="IRNazanin"/>
          <w:color w:val="111111"/>
          <w:sz w:val="28"/>
          <w:szCs w:val="28"/>
          <w:rtl w:val="true"/>
          <w:lang w:bidi="fa-IR"/>
        </w:rPr>
        <w:t>.</w:t>
      </w:r>
    </w:p>
    <w:p>
      <w:pPr>
        <w:pStyle w:val="Heading6"/>
        <w:numPr>
          <w:ilvl w:val="5"/>
          <w:numId w:val="1"/>
        </w:numPr>
        <w:rPr/>
      </w:pPr>
      <w:bookmarkStart w:id="3065" w:name="__RefHeading___Toc2567784_3650668749"/>
      <w:bookmarkStart w:id="3066" w:name="_Toc1401"/>
      <w:bookmarkEnd w:id="3065"/>
      <w:r>
        <w:rPr>
          <w:rtl w:val="true"/>
        </w:rPr>
        <w:t>[</w:t>
      </w:r>
      <w:r>
        <w:rPr>
          <w:rtl w:val="true"/>
        </w:rPr>
        <w:t>الفصل الثانی</w:t>
      </w:r>
      <w:r>
        <w:rPr>
          <w:rtl w:val="true"/>
        </w:rPr>
        <w:t xml:space="preserve">: </w:t>
      </w:r>
      <w:r>
        <w:rPr>
          <w:rtl w:val="true"/>
        </w:rPr>
        <w:t>فی زکاة النقدین</w:t>
      </w:r>
      <w:r>
        <w:rPr>
          <w:rtl w:val="true"/>
        </w:rPr>
        <w:t>]</w:t>
      </w:r>
      <w:bookmarkEnd w:id="3066"/>
    </w:p>
    <w:p>
      <w:pPr>
        <w:pStyle w:val="Heading6"/>
        <w:numPr>
          <w:ilvl w:val="5"/>
          <w:numId w:val="1"/>
        </w:numPr>
        <w:rPr/>
      </w:pPr>
      <w:bookmarkStart w:id="3067" w:name="__RefHeading___Toc2567786_3650668749"/>
      <w:bookmarkStart w:id="3068" w:name="_Toc1402"/>
      <w:bookmarkEnd w:id="3067"/>
      <w:r>
        <w:rPr>
          <w:rtl w:val="true"/>
        </w:rPr>
        <w:t>اشارة</w:t>
      </w:r>
      <w:bookmarkEnd w:id="3068"/>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زکاة النقدین</w:t>
      </w:r>
    </w:p>
    <w:p>
      <w:pPr>
        <w:pStyle w:val="Heading6"/>
        <w:numPr>
          <w:ilvl w:val="5"/>
          <w:numId w:val="1"/>
        </w:numPr>
        <w:rPr/>
      </w:pPr>
      <w:bookmarkStart w:id="3069" w:name="__RefHeading___Toc2567788_3650668749"/>
      <w:bookmarkStart w:id="3070" w:name="_Toc1403"/>
      <w:bookmarkEnd w:id="3069"/>
      <w:r>
        <w:rPr>
          <w:rtl w:val="true"/>
        </w:rPr>
        <w:t>[</w:t>
      </w:r>
      <w:r>
        <w:rPr>
          <w:rtl w:val="true"/>
        </w:rPr>
        <w:t>و یعتبر فیها مضافاً إلیٰ ما عرفت من الشرائط العامّة أُمور</w:t>
      </w:r>
      <w:r>
        <w:rPr>
          <w:rtl w:val="true"/>
        </w:rPr>
        <w:t>]</w:t>
      </w:r>
      <w:bookmarkEnd w:id="3070"/>
    </w:p>
    <w:p>
      <w:pPr>
        <w:pStyle w:val="Heading6"/>
        <w:numPr>
          <w:ilvl w:val="5"/>
          <w:numId w:val="1"/>
        </w:numPr>
        <w:rPr/>
      </w:pPr>
      <w:bookmarkStart w:id="3071" w:name="__RefHeading___Toc2567790_3650668749"/>
      <w:bookmarkStart w:id="3072" w:name="_Toc1404"/>
      <w:bookmarkEnd w:id="3071"/>
      <w:r>
        <w:rPr>
          <w:rtl w:val="true"/>
        </w:rPr>
        <w:t>اشارة</w:t>
      </w:r>
      <w:bookmarkEnd w:id="3072"/>
    </w:p>
    <w:p>
      <w:pPr>
        <w:pStyle w:val="BookText"/>
        <w:rPr/>
      </w:pPr>
      <w:r>
        <w:rPr>
          <w:rFonts w:ascii="IRNazanin" w:hAnsi="IRNazanin" w:eastAsia="IRNazanin"/>
          <w:color w:val="111111"/>
          <w:sz w:val="28"/>
          <w:sz w:val="28"/>
          <w:szCs w:val="28"/>
          <w:rtl w:val="true"/>
          <w:lang w:bidi="fa-IR"/>
        </w:rPr>
        <w:t>و یعتبر فیها مضافاً إلیٰ ما عرفت من الشرائط العامّة أُمور</w:t>
      </w:r>
      <w:r>
        <w:rPr>
          <w:rFonts w:eastAsia="IRNazanin" w:cs="IRNazanin"/>
          <w:color w:val="111111"/>
          <w:sz w:val="28"/>
          <w:szCs w:val="28"/>
          <w:rtl w:val="true"/>
          <w:lang w:bidi="fa-IR"/>
        </w:rPr>
        <w:t>:</w:t>
      </w:r>
    </w:p>
    <w:p>
      <w:pPr>
        <w:pStyle w:val="Heading6"/>
        <w:numPr>
          <w:ilvl w:val="5"/>
          <w:numId w:val="1"/>
        </w:numPr>
        <w:rPr/>
      </w:pPr>
      <w:bookmarkStart w:id="3073" w:name="__RefHeading___Toc2567792_3650668749"/>
      <w:bookmarkStart w:id="3074" w:name="_Toc1405"/>
      <w:bookmarkEnd w:id="3073"/>
      <w:r>
        <w:rPr>
          <w:rtl w:val="true"/>
        </w:rPr>
        <w:t>[</w:t>
      </w:r>
      <w:r>
        <w:rPr>
          <w:rtl w:val="true"/>
        </w:rPr>
        <w:t>الأوّل</w:t>
      </w:r>
      <w:r>
        <w:rPr>
          <w:rtl w:val="true"/>
        </w:rPr>
        <w:t xml:space="preserve">: </w:t>
      </w:r>
      <w:r>
        <w:rPr>
          <w:rtl w:val="true"/>
        </w:rPr>
        <w:t>النصاب</w:t>
      </w:r>
      <w:r>
        <w:rPr>
          <w:rtl w:val="true"/>
        </w:rPr>
        <w:t>]</w:t>
      </w:r>
      <w:bookmarkEnd w:id="307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و هو فی الذهب عشرون دیناراً و فیه عشرة قراریط عبارة عن نصف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الدینار مثقال شرعی و هو ثلاثة أرباع الصیرفی، فیکون العشرون دیناراً خمسة عشر مثقالًا صیرفیّاً، و زکاته ربع المثقال و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زکاة فیما دون عشرین و لا فیما</w:t>
      </w:r>
      <w:bookmarkStart w:id="3075" w:name="pg1809_19237"/>
    </w:p>
    <w:p>
      <w:pPr>
        <w:pStyle w:val="BookText"/>
        <w:rPr/>
      </w:pPr>
      <w:bookmarkEnd w:id="3075"/>
      <w:r>
        <w:rPr>
          <w:rFonts w:ascii="IRNazanin" w:hAnsi="IRNazanin" w:eastAsia="IRNazanin"/>
          <w:color w:val="111111"/>
          <w:sz w:val="28"/>
          <w:sz w:val="28"/>
          <w:szCs w:val="28"/>
          <w:rtl w:val="true"/>
          <w:lang w:bidi="fa-IR"/>
        </w:rPr>
        <w:t xml:space="preserve">زاد </w:t>
      </w:r>
      <w:r>
        <w:rPr>
          <w:rStyle w:val="FootnoteAnchor"/>
          <w:rtl w:val="true"/>
        </w:rPr>
        <w:footnoteReference w:id="877"/>
      </w:r>
      <w:r>
        <w:rPr>
          <w:rFonts w:ascii="IRNazanin" w:hAnsi="IRNazanin" w:eastAsia="IRNazanin"/>
          <w:color w:val="111111"/>
          <w:sz w:val="28"/>
          <w:sz w:val="28"/>
          <w:szCs w:val="28"/>
          <w:rtl w:val="true"/>
          <w:lang w:bidi="fa-IR"/>
        </w:rPr>
        <w:t>علیها حتّی یبلغ أربعة دنانیر، و هی ثلاثة مثاقیل صیرفیّة ففیها قیراطان؛ إذ کلّ دینار عشرون قیراطاً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کلّما زاد أربعة و لیس فیما نقص عن أربعة دنانیر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نصاب الفضّة مائتا درهم و فیها خمسة دراهم، ثمّ کلّما زاد أربعین کان فیها درهم بالغاً ما بلغ، و لیس فیما دون المائتین و لا فیما دون الأربعین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دوانیق عبارة عن نصف مثقال شرعیّ و خمسه؛ لأنّ کلّ عشرة دراهم سبعة مثاقیل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الضابط الکلّی فی تأدیة زکاة النقدین أنّهما بعد ما بلغا حدّ النصاب أعنی عشرین دیناراً أو مائتی درهم یعطی من کلّ أربعین واحداً، فقد أدّی ما وجب علیه و إن زاد علی المفروض فی بعض الصور بقلیل، و لا بأس به بل أحسن و زاد خیراً</w:t>
      </w:r>
      <w:r>
        <w:rPr>
          <w:rFonts w:eastAsia="IRNazanin" w:cs="IRNazanin"/>
          <w:color w:val="111111"/>
          <w:sz w:val="28"/>
          <w:szCs w:val="28"/>
          <w:rtl w:val="true"/>
          <w:lang w:bidi="fa-IR"/>
        </w:rPr>
        <w:t>.</w:t>
      </w:r>
    </w:p>
    <w:p>
      <w:pPr>
        <w:pStyle w:val="Heading6"/>
        <w:numPr>
          <w:ilvl w:val="5"/>
          <w:numId w:val="1"/>
        </w:numPr>
        <w:rPr/>
      </w:pPr>
      <w:bookmarkStart w:id="3076" w:name="__RefHeading___Toc2567794_3650668749"/>
      <w:bookmarkStart w:id="3077" w:name="_Toc1406"/>
      <w:bookmarkEnd w:id="3076"/>
      <w:r>
        <w:rPr>
          <w:rtl w:val="true"/>
        </w:rPr>
        <w:t>[</w:t>
      </w:r>
      <w:r>
        <w:rPr>
          <w:rtl w:val="true"/>
        </w:rPr>
        <w:t>الثانی</w:t>
      </w:r>
      <w:r>
        <w:rPr>
          <w:rtl w:val="true"/>
        </w:rPr>
        <w:t xml:space="preserve">: </w:t>
      </w:r>
      <w:r>
        <w:rPr>
          <w:rtl w:val="true"/>
        </w:rPr>
        <w:t>کونهما منقوشین بسکّة المعاملة</w:t>
      </w:r>
      <w:r>
        <w:rPr>
          <w:rtl w:val="true"/>
        </w:rPr>
        <w:t>]</w:t>
      </w:r>
      <w:bookmarkEnd w:id="307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کونهما منقوشین بسکّة المعاملة و لو ببعض الأزمنة من سلطان و الأمکنة أو شبهه، بسکّة إسلام و کفر، بکتابة أو غیرها و لو صارا ممسوحین بالعارض، و أمّا الممسوحان بالأصل فلا تجب فیهما إلّا إذا کانا رائجین فتجب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اتّخذ المسکوک حلیة للزینة مثلًا لم یتغیّر </w:t>
      </w:r>
      <w:r>
        <w:rPr>
          <w:rStyle w:val="FootnoteAnchor"/>
          <w:rtl w:val="true"/>
        </w:rPr>
        <w:footnoteReference w:id="878"/>
      </w:r>
      <w:r>
        <w:rPr>
          <w:rFonts w:ascii="IRNazanin" w:hAnsi="IRNazanin" w:eastAsia="IRNazanin"/>
          <w:color w:val="111111"/>
          <w:sz w:val="28"/>
          <w:sz w:val="28"/>
          <w:szCs w:val="28"/>
          <w:rtl w:val="true"/>
          <w:lang w:bidi="fa-IR"/>
        </w:rPr>
        <w:t>الحکم زاده الاتّخاذ أو نقّصه فی القیمة ما دامت المعاملة به علیٰ وجهها ممکنة، أمّا لو تغیّرت بالاتّخاذ بحیث لم تبق المعاملة بها فلا زکاة</w:t>
      </w:r>
      <w:r>
        <w:rPr>
          <w:rFonts w:eastAsia="IRNazanin" w:cs="IRNazanin"/>
          <w:color w:val="111111"/>
          <w:sz w:val="28"/>
          <w:szCs w:val="28"/>
          <w:rtl w:val="true"/>
          <w:lang w:bidi="fa-IR"/>
        </w:rPr>
        <w:t>.</w:t>
      </w:r>
    </w:p>
    <w:p>
      <w:pPr>
        <w:pStyle w:val="Heading6"/>
        <w:numPr>
          <w:ilvl w:val="5"/>
          <w:numId w:val="1"/>
        </w:numPr>
        <w:rPr/>
      </w:pPr>
      <w:bookmarkStart w:id="3078" w:name="__RefHeading___Toc2567796_3650668749"/>
      <w:bookmarkStart w:id="3079" w:name="_Toc1407"/>
      <w:bookmarkEnd w:id="3078"/>
      <w:r>
        <w:rPr>
          <w:rtl w:val="true"/>
        </w:rPr>
        <w:t>[</w:t>
      </w:r>
      <w:r>
        <w:rPr>
          <w:rtl w:val="true"/>
        </w:rPr>
        <w:t>الثالث</w:t>
      </w:r>
      <w:r>
        <w:rPr>
          <w:rtl w:val="true"/>
        </w:rPr>
        <w:t xml:space="preserve">: </w:t>
      </w:r>
      <w:r>
        <w:rPr>
          <w:rtl w:val="true"/>
        </w:rPr>
        <w:t>الحول</w:t>
      </w:r>
      <w:r>
        <w:rPr>
          <w:rtl w:val="true"/>
        </w:rPr>
        <w:t>]</w:t>
      </w:r>
      <w:bookmarkEnd w:id="307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 و یعتبر أن یکون النصاب موجوداً فیه أجمع، فلو نقص عن النصاب فی أثنائه أو تبدّلت أعیان النصاب بجنسه أو بغیر جنسه أو بالسبک لا بقصد الفرار بل و معه لم تجب فیه زکاة، و إن استحبّ إخراجها إذا کان السبک بقصد الفرار بل هو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سبک الدراهم و الدنانیر بعد وجوب الزکاة بحول الحول لم تسقط الزکاة</w:t>
      </w:r>
      <w:r>
        <w:rPr>
          <w:rFonts w:eastAsia="IRNazanin" w:cs="IRNazanin"/>
          <w:color w:val="111111"/>
          <w:sz w:val="28"/>
          <w:szCs w:val="28"/>
          <w:rtl w:val="true"/>
          <w:lang w:bidi="fa-IR"/>
        </w:rPr>
        <w:t>.</w:t>
      </w:r>
    </w:p>
    <w:p>
      <w:pPr>
        <w:pStyle w:val="Heading6"/>
        <w:numPr>
          <w:ilvl w:val="5"/>
          <w:numId w:val="1"/>
        </w:numPr>
        <w:rPr/>
      </w:pPr>
      <w:bookmarkStart w:id="3080" w:name="__RefHeading___Toc2567798_3650668749"/>
      <w:bookmarkStart w:id="3081" w:name="_Toc1408"/>
      <w:bookmarkEnd w:id="3080"/>
      <w:r>
        <w:rPr>
          <w:rtl w:val="true"/>
        </w:rPr>
        <w:t>[ (</w:t>
      </w:r>
      <w:r>
        <w:rPr>
          <w:rtl w:val="true"/>
        </w:rPr>
        <w:t xml:space="preserve">مسألة </w:t>
      </w:r>
      <w:r>
        <w:rPr/>
        <w:t>1</w:t>
      </w:r>
      <w:r>
        <w:rPr>
          <w:rtl w:val="true"/>
        </w:rPr>
        <w:t xml:space="preserve">): </w:t>
      </w:r>
      <w:r>
        <w:rPr>
          <w:rtl w:val="true"/>
        </w:rPr>
        <w:t>تضمّ الدراهم و الدنانیر بعضها إلیٰ بعض بالنسبة إلیٰ تحقّق النصاب</w:t>
      </w:r>
      <w:r>
        <w:rPr>
          <w:rtl w:val="true"/>
        </w:rPr>
        <w:t>]</w:t>
      </w:r>
      <w:bookmarkEnd w:id="308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 الدراهم و الدنانیر بعضها إلیٰ بعض بالنسبة إلیٰ تحقّق النصاب، و إن اختلفت من حیث الاسم و السکّة، بل و من حیث القیمة و اختلاف الرغبة، فیضمّ القِران العجمیّ إلی المجیدیّ و الروپیة، بل یضمّ الرائج الفعلی إلی المهجور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w:t>
      </w:r>
      <w:bookmarkStart w:id="3082" w:name="pg1809_19239"/>
    </w:p>
    <w:p>
      <w:pPr>
        <w:pStyle w:val="BookText"/>
        <w:rPr/>
      </w:pPr>
      <w:bookmarkEnd w:id="3082"/>
      <w:r>
        <w:rPr>
          <w:rFonts w:ascii="IRNazanin" w:hAnsi="IRNazanin" w:eastAsia="IRNazanin"/>
          <w:color w:val="111111"/>
          <w:sz w:val="28"/>
          <w:sz w:val="28"/>
          <w:szCs w:val="28"/>
          <w:rtl w:val="true"/>
          <w:lang w:bidi="fa-IR"/>
        </w:rPr>
        <w:t xml:space="preserve">إخراج الزکاة فإن تطوّع المالک بالإخراج من الأرغب و الفرد الأکمل فقد أحسن و زاد خیراً و إلّا أخرج من کلّ بقسطه و نسبته فی الأحوط </w:t>
      </w:r>
      <w:r>
        <w:rPr>
          <w:rStyle w:val="FootnoteAnchor"/>
          <w:rtl w:val="true"/>
        </w:rPr>
        <w:footnoteReference w:id="879"/>
      </w:r>
      <w:r>
        <w:rPr>
          <w:rFonts w:ascii="IRNazanin" w:hAnsi="IRNazanin" w:eastAsia="IRNazanin"/>
          <w:color w:val="111111"/>
          <w:sz w:val="28"/>
          <w:sz w:val="28"/>
          <w:szCs w:val="28"/>
          <w:rtl w:val="true"/>
          <w:lang w:bidi="fa-IR"/>
        </w:rPr>
        <w:t>، و إن کان الأقویٰ جواز الاجتزاء بالفرد الأدون عن الجمیع</w:t>
      </w:r>
      <w:r>
        <w:rPr>
          <w:rFonts w:eastAsia="IRNazanin" w:cs="IRNazanin"/>
          <w:color w:val="111111"/>
          <w:sz w:val="28"/>
          <w:szCs w:val="28"/>
          <w:rtl w:val="true"/>
          <w:lang w:bidi="fa-IR"/>
        </w:rPr>
        <w:t>.</w:t>
      </w:r>
    </w:p>
    <w:p>
      <w:pPr>
        <w:pStyle w:val="Heading6"/>
        <w:numPr>
          <w:ilvl w:val="5"/>
          <w:numId w:val="1"/>
        </w:numPr>
        <w:rPr/>
      </w:pPr>
      <w:bookmarkStart w:id="3083" w:name="__RefHeading___Toc2567800_3650668749"/>
      <w:bookmarkStart w:id="3084" w:name="_Toc1409"/>
      <w:bookmarkEnd w:id="3083"/>
      <w:r>
        <w:rPr>
          <w:rtl w:val="true"/>
        </w:rPr>
        <w:t>[ (</w:t>
      </w:r>
      <w:r>
        <w:rPr>
          <w:rtl w:val="true"/>
        </w:rPr>
        <w:t xml:space="preserve">مسألة </w:t>
      </w:r>
      <w:r>
        <w:rPr/>
        <w:t>2</w:t>
      </w:r>
      <w:r>
        <w:rPr>
          <w:rtl w:val="true"/>
        </w:rPr>
        <w:t xml:space="preserve">): </w:t>
      </w:r>
      <w:r>
        <w:rPr>
          <w:rtl w:val="true"/>
        </w:rPr>
        <w:t>الدراهم المغشوشة بما یخرجها عن اسم الفضّة الخالصة و لو الردیئة</w:t>
      </w:r>
      <w:r>
        <w:rPr>
          <w:rtl w:val="true"/>
        </w:rPr>
        <w:t>]</w:t>
      </w:r>
      <w:bookmarkEnd w:id="30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 المغشوشة بما یخرجها عن اسم الفضّة الخالصة و لو الردیئة لا زکاة فیها حتّی بلغ خالصها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فیه و لم یکن طریق إلی التعرّف لم تجب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وجوب التصفیة و نحوها للاختبار تأمّل و إشکال، أحوطه ذلک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85" w:name="__RefHeading___Toc2567802_3650668749"/>
      <w:bookmarkStart w:id="3086" w:name="_Toc1410"/>
      <w:bookmarkEnd w:id="3085"/>
      <w:r>
        <w:rPr>
          <w:rtl w:val="true"/>
        </w:rPr>
        <w:t>[ (</w:t>
      </w:r>
      <w:r>
        <w:rPr>
          <w:rtl w:val="true"/>
        </w:rPr>
        <w:t xml:space="preserve">مسألة </w:t>
      </w:r>
      <w:r>
        <w:rPr/>
        <w:t>3</w:t>
      </w:r>
      <w:r>
        <w:rPr>
          <w:rtl w:val="true"/>
        </w:rPr>
        <w:t xml:space="preserve">): </w:t>
      </w:r>
      <w:r>
        <w:rPr>
          <w:rtl w:val="true"/>
        </w:rPr>
        <w:t>لو أخرج المغشوشة زکاة عن الخالصة أو المغشوشة</w:t>
      </w:r>
      <w:r>
        <w:rPr>
          <w:rtl w:val="true"/>
        </w:rPr>
        <w:t>]</w:t>
      </w:r>
      <w:bookmarkEnd w:id="30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أخرج المغشوشة زکاة عن الخالصة أو المغشوشة فإن علم بأنّ ما فیها من الفضّة الخالصة بمقدار الفریضة فهو و إلّا فلا بدّ من تحصیل العلم بذلک، و لو بإعطاء مقدار یعلم بأنّ ما فیه من الفضّة الخالصة لیس بأنقص منها</w:t>
      </w:r>
      <w:r>
        <w:rPr>
          <w:rFonts w:eastAsia="IRNazanin" w:cs="IRNazanin"/>
          <w:color w:val="111111"/>
          <w:sz w:val="28"/>
          <w:szCs w:val="28"/>
          <w:rtl w:val="true"/>
          <w:lang w:bidi="fa-IR"/>
        </w:rPr>
        <w:t>.</w:t>
      </w:r>
    </w:p>
    <w:p>
      <w:pPr>
        <w:pStyle w:val="Heading6"/>
        <w:numPr>
          <w:ilvl w:val="5"/>
          <w:numId w:val="1"/>
        </w:numPr>
        <w:rPr/>
      </w:pPr>
      <w:bookmarkStart w:id="3087" w:name="__RefHeading___Toc2567804_3650668749"/>
      <w:bookmarkStart w:id="3088" w:name="_Toc1411"/>
      <w:bookmarkEnd w:id="3087"/>
      <w:r>
        <w:rPr>
          <w:rtl w:val="true"/>
        </w:rPr>
        <w:t>[ (</w:t>
      </w:r>
      <w:r>
        <w:rPr>
          <w:rtl w:val="true"/>
        </w:rPr>
        <w:t xml:space="preserve">مسألة </w:t>
      </w:r>
      <w:r>
        <w:rPr/>
        <w:t>4</w:t>
      </w:r>
      <w:r>
        <w:rPr>
          <w:rtl w:val="true"/>
        </w:rPr>
        <w:t xml:space="preserve">): </w:t>
      </w:r>
      <w:r>
        <w:rPr>
          <w:rtl w:val="true"/>
        </w:rPr>
        <w:t>لو ملک النصاب و لم یعلم هل فیه غشّ أم لا؟</w:t>
      </w:r>
      <w:r>
        <w:rPr>
          <w:rtl w:val="true"/>
        </w:rPr>
        <w:t>]</w:t>
      </w:r>
      <w:bookmarkEnd w:id="30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ملک النصاب و لم یعلم هل فیه غشّ أم لا؟ وجبت </w:t>
      </w:r>
      <w:r>
        <w:rPr>
          <w:rStyle w:val="FootnoteAnchor"/>
          <w:rtl w:val="true"/>
        </w:rPr>
        <w:footnoteReference w:id="881"/>
      </w:r>
      <w:r>
        <w:rPr>
          <w:rFonts w:ascii="IRNazanin" w:hAnsi="IRNazanin" w:eastAsia="IRNazanin"/>
          <w:color w:val="111111"/>
          <w:sz w:val="28"/>
          <w:sz w:val="28"/>
          <w:szCs w:val="28"/>
          <w:rtl w:val="true"/>
          <w:lang w:bidi="fa-IR"/>
        </w:rPr>
        <w:t>الزکاة علی الأحوط، لو لم یکن الأقویٰ</w:t>
      </w:r>
      <w:r>
        <w:rPr>
          <w:rFonts w:eastAsia="IRNazanin" w:cs="IRNazanin"/>
          <w:color w:val="111111"/>
          <w:sz w:val="28"/>
          <w:szCs w:val="28"/>
          <w:rtl w:val="true"/>
          <w:lang w:bidi="fa-IR"/>
        </w:rPr>
        <w:t>.</w:t>
      </w:r>
    </w:p>
    <w:p>
      <w:pPr>
        <w:pStyle w:val="Heading6"/>
        <w:numPr>
          <w:ilvl w:val="5"/>
          <w:numId w:val="1"/>
        </w:numPr>
        <w:rPr/>
      </w:pPr>
      <w:bookmarkStart w:id="3089" w:name="__RefHeading___Toc2567806_3650668749"/>
      <w:bookmarkStart w:id="3090" w:name="_Toc1412"/>
      <w:bookmarkEnd w:id="3089"/>
      <w:r>
        <w:rPr>
          <w:rtl w:val="true"/>
        </w:rPr>
        <w:t>[ (</w:t>
      </w:r>
      <w:r>
        <w:rPr>
          <w:rtl w:val="true"/>
        </w:rPr>
        <w:t xml:space="preserve">مسألة </w:t>
      </w:r>
      <w:r>
        <w:rPr/>
        <w:t>5</w:t>
      </w:r>
      <w:r>
        <w:rPr>
          <w:rtl w:val="true"/>
        </w:rPr>
        <w:t xml:space="preserve">): </w:t>
      </w:r>
      <w:r>
        <w:rPr>
          <w:rtl w:val="true"/>
        </w:rPr>
        <w:t>إذا اقترض النصاب و ترکه بحاله عنده حتّی حال علیه الحول</w:t>
      </w:r>
      <w:r>
        <w:rPr>
          <w:rtl w:val="true"/>
        </w:rPr>
        <w:t>]</w:t>
      </w:r>
      <w:bookmarkEnd w:id="30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اقترض النصاب و ترکه بحاله عنده حتّی حال علیه الحول یکون زکاته علیه لا علی المقرض، بل لو شرط کونها علیه لم یلزم الشرط إذا کان المقصود وجوبها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شرط علیه التبرّع عنه بأداء ما وجب علیه یلزم علیه علیٰ إشکال </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یفعل و لم یفِ بالشرط لم تسقط عن المقترض بل یجب علیه أداؤها من ماله</w:t>
      </w:r>
      <w:r>
        <w:rPr>
          <w:rFonts w:eastAsia="IRNazanin" w:cs="IRNazanin"/>
          <w:color w:val="111111"/>
          <w:sz w:val="28"/>
          <w:szCs w:val="28"/>
          <w:rtl w:val="true"/>
          <w:lang w:bidi="fa-IR"/>
        </w:rPr>
        <w:t>.</w:t>
      </w:r>
    </w:p>
    <w:p>
      <w:pPr>
        <w:pStyle w:val="Heading6"/>
        <w:numPr>
          <w:ilvl w:val="5"/>
          <w:numId w:val="1"/>
        </w:numPr>
        <w:rPr/>
      </w:pPr>
      <w:bookmarkStart w:id="3091" w:name="__RefHeading___Toc2567808_3650668749"/>
      <w:bookmarkStart w:id="3092" w:name="_Toc1413"/>
      <w:bookmarkEnd w:id="3091"/>
      <w:r>
        <w:rPr>
          <w:rtl w:val="true"/>
        </w:rPr>
        <w:t>[</w:t>
      </w:r>
      <w:r>
        <w:rPr>
          <w:rtl w:val="true"/>
        </w:rPr>
        <w:t>الفصل الثالث</w:t>
      </w:r>
      <w:r>
        <w:rPr>
          <w:rtl w:val="true"/>
        </w:rPr>
        <w:t xml:space="preserve">: </w:t>
      </w:r>
      <w:r>
        <w:rPr>
          <w:rtl w:val="true"/>
        </w:rPr>
        <w:t>فی زکاة الغلّات</w:t>
      </w:r>
      <w:r>
        <w:rPr>
          <w:rtl w:val="true"/>
        </w:rPr>
        <w:t>]</w:t>
      </w:r>
      <w:bookmarkEnd w:id="3092"/>
    </w:p>
    <w:p>
      <w:pPr>
        <w:pStyle w:val="Heading6"/>
        <w:numPr>
          <w:ilvl w:val="5"/>
          <w:numId w:val="1"/>
        </w:numPr>
        <w:rPr/>
      </w:pPr>
      <w:bookmarkStart w:id="3093" w:name="__RefHeading___Toc2567810_3650668749"/>
      <w:bookmarkStart w:id="3094" w:name="_Toc1414"/>
      <w:bookmarkEnd w:id="3093"/>
      <w:r>
        <w:rPr>
          <w:rtl w:val="true"/>
        </w:rPr>
        <w:t>اشارة</w:t>
      </w:r>
      <w:bookmarkEnd w:id="309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زکاة الغلّات و قد عرفت أنّه لا یجب الزکاة إلّا فی أربعة 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الحنطة و الشعیر و التمر و 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w:t>
      </w:r>
      <w:r>
        <w:rPr>
          <w:rStyle w:val="FootnoteAnchor"/>
          <w:rtl w:val="true"/>
        </w:rPr>
        <w:footnoteReference w:id="883"/>
      </w:r>
      <w:r>
        <w:rPr>
          <w:rFonts w:ascii="IRNazanin" w:hAnsi="IRNazanin" w:eastAsia="IRNazanin"/>
          <w:color w:val="111111"/>
          <w:sz w:val="28"/>
          <w:sz w:val="28"/>
          <w:szCs w:val="28"/>
          <w:rtl w:val="true"/>
          <w:lang w:bidi="fa-IR"/>
        </w:rPr>
        <w:t xml:space="preserve">إلحاق السلت الذی هو کالشعیر فی طبعه و کالحنطة فی ملاسته و عدم القشر بالشعیر، و إلحاق العلس الذی هو کالحنطة بالحنطة، بل فی الثانی لا یخلو من قوّة </w:t>
      </w:r>
      <w:r>
        <w:rPr>
          <w:rStyle w:val="FootnoteAnchor"/>
          <w:rtl w:val="true"/>
        </w:rPr>
        <w:footnoteReference w:id="884"/>
      </w:r>
      <w:r>
        <w:rPr>
          <w:rFonts w:ascii="IRNazanin" w:hAnsi="IRNazanin" w:eastAsia="IRNazanin"/>
          <w:color w:val="111111"/>
          <w:sz w:val="28"/>
          <w:sz w:val="28"/>
          <w:szCs w:val="28"/>
          <w:rtl w:val="true"/>
          <w:lang w:bidi="fa-IR"/>
        </w:rPr>
        <w:t>لقوّة احتمال کونه نوعاً من الحنطة فی کلّ قشر حبّتان، و لا تجب الزکاة</w:t>
      </w:r>
      <w:bookmarkStart w:id="3095" w:name="pg1809_19241"/>
    </w:p>
    <w:p>
      <w:pPr>
        <w:pStyle w:val="BookText"/>
        <w:rPr/>
      </w:pPr>
      <w:bookmarkEnd w:id="3095"/>
      <w:r>
        <w:rPr>
          <w:rFonts w:ascii="IRNazanin" w:hAnsi="IRNazanin" w:eastAsia="IRNazanin"/>
          <w:color w:val="111111"/>
          <w:sz w:val="28"/>
          <w:sz w:val="28"/>
          <w:szCs w:val="28"/>
          <w:rtl w:val="true"/>
          <w:lang w:bidi="fa-IR"/>
        </w:rPr>
        <w:t xml:space="preserve">فی غیرها و إن استحبّت </w:t>
      </w:r>
      <w:r>
        <w:rPr>
          <w:rStyle w:val="FootnoteAnchor"/>
          <w:rtl w:val="true"/>
        </w:rPr>
        <w:footnoteReference w:id="885"/>
      </w:r>
      <w:r>
        <w:rPr>
          <w:rFonts w:ascii="IRNazanin" w:hAnsi="IRNazanin" w:eastAsia="IRNazanin"/>
          <w:color w:val="111111"/>
          <w:sz w:val="28"/>
          <w:sz w:val="28"/>
          <w:szCs w:val="28"/>
          <w:rtl w:val="true"/>
          <w:lang w:bidi="fa-IR"/>
        </w:rPr>
        <w:t>فی کلّ ما تنبت الأرض ممّا یکال أو یوزن من الحبوب کالأرز و الماش و الذرة و نحو ذلک لا الخضر و البقول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ما یستحبّ فیه الزکاة حکم ما تجب فیه؛ من اعتبار بلوغ النصاب و قدره و مقدار ما یخرج منه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فی زکاة الغلّات فی مطالب</w:t>
      </w:r>
      <w:r>
        <w:rPr>
          <w:rFonts w:eastAsia="IRNazanin" w:cs="IRNazanin"/>
          <w:color w:val="111111"/>
          <w:sz w:val="28"/>
          <w:szCs w:val="28"/>
          <w:rtl w:val="true"/>
          <w:lang w:bidi="fa-IR"/>
        </w:rPr>
        <w:t>:</w:t>
      </w:r>
    </w:p>
    <w:p>
      <w:pPr>
        <w:pStyle w:val="Heading6"/>
        <w:numPr>
          <w:ilvl w:val="5"/>
          <w:numId w:val="1"/>
        </w:numPr>
        <w:rPr/>
      </w:pPr>
      <w:bookmarkStart w:id="3096" w:name="__RefHeading___Toc2567812_3650668749"/>
      <w:bookmarkStart w:id="3097" w:name="_Toc1415"/>
      <w:bookmarkEnd w:id="3096"/>
      <w:r>
        <w:rPr>
          <w:rtl w:val="true"/>
        </w:rPr>
        <w:t>[</w:t>
      </w:r>
      <w:r>
        <w:rPr>
          <w:rtl w:val="true"/>
        </w:rPr>
        <w:t>المطلب الأوّل</w:t>
      </w:r>
      <w:r>
        <w:rPr>
          <w:rtl w:val="true"/>
        </w:rPr>
        <w:t xml:space="preserve">: </w:t>
      </w:r>
      <w:r>
        <w:rPr>
          <w:rtl w:val="true"/>
        </w:rPr>
        <w:t>یعتبر فی الزکاة أمران</w:t>
      </w:r>
      <w:r>
        <w:rPr>
          <w:rtl w:val="true"/>
        </w:rPr>
        <w:t>]</w:t>
      </w:r>
      <w:bookmarkEnd w:id="3097"/>
    </w:p>
    <w:p>
      <w:pPr>
        <w:pStyle w:val="Heading6"/>
        <w:numPr>
          <w:ilvl w:val="5"/>
          <w:numId w:val="1"/>
        </w:numPr>
        <w:rPr/>
      </w:pPr>
      <w:bookmarkStart w:id="3098" w:name="__RefHeading___Toc2567814_3650668749"/>
      <w:bookmarkStart w:id="3099" w:name="_Toc1416"/>
      <w:bookmarkEnd w:id="3098"/>
      <w:r>
        <w:rPr>
          <w:rtl w:val="true"/>
        </w:rPr>
        <w:t>اشارة</w:t>
      </w:r>
      <w:bookmarkEnd w:id="3099"/>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فی الزکاة أمران</w:t>
      </w:r>
      <w:r>
        <w:rPr>
          <w:rFonts w:eastAsia="IRNazanin" w:cs="IRNazanin"/>
          <w:color w:val="111111"/>
          <w:sz w:val="28"/>
          <w:szCs w:val="28"/>
          <w:rtl w:val="true"/>
          <w:lang w:bidi="fa-IR"/>
        </w:rPr>
        <w:t>:</w:t>
      </w:r>
    </w:p>
    <w:p>
      <w:pPr>
        <w:pStyle w:val="Heading6"/>
        <w:numPr>
          <w:ilvl w:val="5"/>
          <w:numId w:val="1"/>
        </w:numPr>
        <w:rPr/>
      </w:pPr>
      <w:bookmarkStart w:id="3100" w:name="__RefHeading___Toc2567816_3650668749"/>
      <w:bookmarkStart w:id="3101" w:name="_Toc1417"/>
      <w:bookmarkEnd w:id="3100"/>
      <w:r>
        <w:rPr>
          <w:rtl w:val="true"/>
        </w:rPr>
        <w:t>[</w:t>
      </w:r>
      <w:r>
        <w:rPr>
          <w:rtl w:val="true"/>
        </w:rPr>
        <w:t>الأوّل</w:t>
      </w:r>
      <w:r>
        <w:rPr>
          <w:rtl w:val="true"/>
        </w:rPr>
        <w:t xml:space="preserve">: </w:t>
      </w:r>
      <w:r>
        <w:rPr>
          <w:rtl w:val="true"/>
        </w:rPr>
        <w:t>بلوغ النصاب</w:t>
      </w:r>
      <w:r>
        <w:rPr>
          <w:rtl w:val="true"/>
        </w:rPr>
        <w:t>]</w:t>
      </w:r>
      <w:bookmarkEnd w:id="3101"/>
    </w:p>
    <w:p>
      <w:pPr>
        <w:pStyle w:val="Heading6"/>
        <w:numPr>
          <w:ilvl w:val="5"/>
          <w:numId w:val="1"/>
        </w:numPr>
        <w:rPr/>
      </w:pPr>
      <w:bookmarkStart w:id="3102" w:name="__RefHeading___Toc2567818_3650668749"/>
      <w:bookmarkStart w:id="3103" w:name="_Toc1418"/>
      <w:bookmarkEnd w:id="3102"/>
      <w:r>
        <w:rPr>
          <w:rtl w:val="true"/>
        </w:rPr>
        <w:t>اشارة</w:t>
      </w:r>
      <w:bookmarkEnd w:id="310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النصاب و هو خمسة أوسق، و الوسق ستّون صاعاً فهو ثلاثمائة صاع، و الصاع تسعة أرطال بالعراقی و ستّة بالمدنی؛ لأنّه أربعة أمداد، و المدّ رطلان و ربع بالعراقی و رطل و نصف بالمدنی، فیکون النصاب ألفین و سبعمائة رطل بالعراقی و ألف و ثمانمائة رطل بالمدنی، و الرطل العراقی مائة و ثلاثون درهماً عبارة عن إحدیٰ و تسعین مثقالًا شرعیّاً و ثمانیة و ستّین مثقالًا و ربع مثقال صیرفی؛ لأنّ المثقال الشرعی ثلاثة أرباع المثقال الصیرفی و بحسب حقّة النجف التی هی عبارة عن تسعمائة و ثلاثة و ثلاثین مثقالًا صیرفیّاً و ثلث مثقال ثمان وزنات و خمس حقق و نصف إلّا ثمانیة و خمسین مثقالًا و ثلث مثقال، و بعیار الإسلامبول و هو مائتان و ثمانون مثقالًا سبع و عشرون وزنة و عشر حقق و خمسة و ثلاثون مثقالًا، و بالمنّ الشاه المتداول فی بعض بلاد إیران الذی هو عبارة عن ألف و مأتی مثقال و ثمانین مثقالًا صیرفیّاً مائة منّ و أربعة و أربعون منّاً إلّا خمسة و أربعون مثقالًا صیرفیّاً، و بالمنّ التبریزی المتداول فی غالب بلاد إیران مائتان و ثمانیة و ثمانون منّاً إلّا خمسة و أربعین مثقالًا صیرفیّاً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زکاة فی الناقص عن النصاب و لو یسیراً، کما أنّه یجب الزکاة فی النصاب و ما زاد علیه و لو یسیراً</w:t>
      </w:r>
      <w:r>
        <w:rPr>
          <w:rFonts w:eastAsia="IRNazanin" w:cs="IRNazanin"/>
          <w:color w:val="111111"/>
          <w:sz w:val="28"/>
          <w:szCs w:val="28"/>
          <w:rtl w:val="true"/>
          <w:lang w:bidi="fa-IR"/>
        </w:rPr>
        <w:t>.</w:t>
      </w:r>
    </w:p>
    <w:p>
      <w:pPr>
        <w:pStyle w:val="Heading6"/>
        <w:numPr>
          <w:ilvl w:val="5"/>
          <w:numId w:val="1"/>
        </w:numPr>
        <w:rPr/>
      </w:pPr>
      <w:bookmarkStart w:id="3104" w:name="__RefHeading___Toc2567820_3650668749"/>
      <w:bookmarkStart w:id="3105" w:name="_Toc1419"/>
      <w:bookmarkEnd w:id="3104"/>
      <w:r>
        <w:rPr>
          <w:rtl w:val="true"/>
        </w:rPr>
        <w:t>[ (</w:t>
      </w:r>
      <w:r>
        <w:rPr>
          <w:rtl w:val="true"/>
        </w:rPr>
        <w:t xml:space="preserve">مسألة </w:t>
      </w:r>
      <w:r>
        <w:rPr/>
        <w:t>1</w:t>
      </w:r>
      <w:r>
        <w:rPr>
          <w:rtl w:val="true"/>
        </w:rPr>
        <w:t xml:space="preserve">): </w:t>
      </w:r>
      <w:r>
        <w:rPr>
          <w:rtl w:val="true"/>
        </w:rPr>
        <w:t>المدار فی بلوغ النصاب ملاحظة حال الجفاف</w:t>
      </w:r>
      <w:r>
        <w:rPr>
          <w:rtl w:val="true"/>
        </w:rPr>
        <w:t>]</w:t>
      </w:r>
      <w:bookmarkEnd w:id="310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فی بلوغ النصاب ملاحظة حال الجفاف و إن کان زمان التعلّق قبل ذلک، فلو کان عنده خمسة أوسق من الرطب لکن ینقص عنها حال الجفاف فلا زکاة، حتّی أنّ مثل البربن و شبهه ممّا یؤکل رطباً إنّما تجب الزکاة فیه إذا بلغ النصاب تمراً و إن قلّ</w:t>
      </w:r>
      <w:bookmarkStart w:id="3106" w:name="pg1809_19243"/>
    </w:p>
    <w:p>
      <w:pPr>
        <w:pStyle w:val="BookText"/>
        <w:rPr/>
      </w:pPr>
      <w:bookmarkEnd w:id="3106"/>
      <w:r>
        <w:rPr>
          <w:rFonts w:ascii="IRNazanin" w:hAnsi="IRNazanin" w:eastAsia="IRNazanin"/>
          <w:color w:val="111111"/>
          <w:sz w:val="28"/>
          <w:sz w:val="28"/>
          <w:szCs w:val="28"/>
          <w:rtl w:val="true"/>
          <w:lang w:bidi="fa-IR"/>
        </w:rPr>
        <w:t>التمر منه، و لو فرض عدم صدق التمر علیٰ یابسه لم تجب الزکاة</w:t>
      </w:r>
      <w:r>
        <w:rPr>
          <w:rFonts w:eastAsia="IRNazanin" w:cs="IRNazanin"/>
          <w:color w:val="111111"/>
          <w:sz w:val="28"/>
          <w:szCs w:val="28"/>
          <w:rtl w:val="true"/>
          <w:lang w:bidi="fa-IR"/>
        </w:rPr>
        <w:t>.</w:t>
      </w:r>
    </w:p>
    <w:p>
      <w:pPr>
        <w:pStyle w:val="Heading6"/>
        <w:numPr>
          <w:ilvl w:val="5"/>
          <w:numId w:val="1"/>
        </w:numPr>
        <w:rPr/>
      </w:pPr>
      <w:bookmarkStart w:id="3107" w:name="__RefHeading___Toc2567822_3650668749"/>
      <w:bookmarkStart w:id="3108" w:name="_Toc1420"/>
      <w:bookmarkEnd w:id="3107"/>
      <w:r>
        <w:rPr>
          <w:rtl w:val="true"/>
        </w:rPr>
        <w:t>[ (</w:t>
      </w:r>
      <w:r>
        <w:rPr>
          <w:rtl w:val="true"/>
        </w:rPr>
        <w:t xml:space="preserve">مسألة </w:t>
      </w:r>
      <w:r>
        <w:rPr/>
        <w:t>2</w:t>
      </w:r>
      <w:r>
        <w:rPr>
          <w:rtl w:val="true"/>
        </w:rPr>
        <w:t xml:space="preserve">): </w:t>
      </w:r>
      <w:r>
        <w:rPr>
          <w:rtl w:val="true"/>
        </w:rPr>
        <w:t>إذا کان له نخیل أو کروم أو زروع فی بلاد متباعدة یدرک بعضها قبل بعض</w:t>
      </w:r>
      <w:r>
        <w:rPr>
          <w:rtl w:val="true"/>
        </w:rPr>
        <w:t>]</w:t>
      </w:r>
      <w:bookmarkEnd w:id="3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نخیل أو کروم أو زروع فی بلاد متباعدة یدرک بعضها قبل بعض و لو بشهر أو شهرین أو أکثر بعضها إلیٰ بعض بعد أن کان الثمرتان لعام واحد، و حینئذٍ إن بلغ النصاب ما أدرک منه تعلّق الوجوب و وجب ما هو فریضة المدرک، و ما لم یدرک إنّما یجب ما هو فریضته عند إدراکه قلّ أو کثر، و إن لم یبلغ النصاب ما سبق إدراکه تربّص فی الزکاة حتّی یدرک ما یکمل النصاب، و لو کان له نخل یُطلع أو کرم یُثمر فی عام مرّتین ضمّ الثانی إلی الأوّل علیٰ إشکال</w:t>
      </w:r>
      <w:r>
        <w:rPr>
          <w:rFonts w:eastAsia="IRNazanin" w:cs="IRNazanin"/>
          <w:color w:val="111111"/>
          <w:sz w:val="28"/>
          <w:szCs w:val="28"/>
          <w:rtl w:val="true"/>
          <w:lang w:bidi="fa-IR"/>
        </w:rPr>
        <w:t>.</w:t>
      </w:r>
    </w:p>
    <w:p>
      <w:pPr>
        <w:pStyle w:val="Heading6"/>
        <w:numPr>
          <w:ilvl w:val="5"/>
          <w:numId w:val="1"/>
        </w:numPr>
        <w:rPr/>
      </w:pPr>
      <w:bookmarkStart w:id="3109" w:name="__RefHeading___Toc2567824_3650668749"/>
      <w:bookmarkStart w:id="3110" w:name="_Toc1421"/>
      <w:bookmarkEnd w:id="3109"/>
      <w:r>
        <w:rPr>
          <w:rtl w:val="true"/>
        </w:rPr>
        <w:t>[</w:t>
      </w:r>
      <w:r>
        <w:rPr>
          <w:rtl w:val="true"/>
        </w:rPr>
        <w:t>الأمر الثانی</w:t>
      </w:r>
      <w:r>
        <w:rPr>
          <w:rtl w:val="true"/>
        </w:rPr>
        <w:t xml:space="preserve">: </w:t>
      </w:r>
      <w:r>
        <w:rPr>
          <w:rtl w:val="true"/>
        </w:rPr>
        <w:t>التملّک بالزراعة إن کان ممّا یزرع</w:t>
      </w:r>
      <w:r>
        <w:rPr>
          <w:rtl w:val="true"/>
        </w:rPr>
        <w:t>]</w:t>
      </w:r>
      <w:bookmarkEnd w:id="3110"/>
    </w:p>
    <w:p>
      <w:pPr>
        <w:pStyle w:val="Heading6"/>
        <w:numPr>
          <w:ilvl w:val="5"/>
          <w:numId w:val="1"/>
        </w:numPr>
        <w:rPr/>
      </w:pPr>
      <w:bookmarkStart w:id="3111" w:name="__RefHeading___Toc2567826_3650668749"/>
      <w:bookmarkStart w:id="3112" w:name="_Toc1422"/>
      <w:bookmarkEnd w:id="3111"/>
      <w:r>
        <w:rPr>
          <w:rtl w:val="true"/>
        </w:rPr>
        <w:t>اشارة</w:t>
      </w:r>
      <w:bookmarkEnd w:id="3112"/>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التملّک بالزراعة إن کان ممّا یزرع، أو انتقال الزرع أو الثمرة مع الشجرة أو منفردة إلیٰ ملکه قبل تعلّق </w:t>
      </w:r>
      <w:r>
        <w:rPr>
          <w:rStyle w:val="FootnoteAnchor"/>
          <w:rtl w:val="true"/>
        </w:rPr>
        <w:footnoteReference w:id="886"/>
      </w:r>
      <w:r>
        <w:rPr>
          <w:rFonts w:ascii="IRNazanin" w:hAnsi="IRNazanin" w:eastAsia="IRNazanin"/>
          <w:color w:val="111111"/>
          <w:sz w:val="28"/>
          <w:sz w:val="28"/>
          <w:szCs w:val="28"/>
          <w:rtl w:val="true"/>
          <w:lang w:bidi="fa-IR"/>
        </w:rPr>
        <w:t>الزکاة، فتجب علیه الزکاة حینئذٍ و إن لم یکن زارعاً</w:t>
      </w:r>
      <w:r>
        <w:rPr>
          <w:rFonts w:eastAsia="IRNazanin" w:cs="IRNazanin"/>
          <w:color w:val="111111"/>
          <w:sz w:val="28"/>
          <w:szCs w:val="28"/>
          <w:rtl w:val="true"/>
          <w:lang w:bidi="fa-IR"/>
        </w:rPr>
        <w:t>.</w:t>
      </w:r>
    </w:p>
    <w:p>
      <w:pPr>
        <w:pStyle w:val="Heading6"/>
        <w:numPr>
          <w:ilvl w:val="5"/>
          <w:numId w:val="1"/>
        </w:numPr>
        <w:rPr/>
      </w:pPr>
      <w:bookmarkStart w:id="3113" w:name="__RefHeading___Toc2567828_3650668749"/>
      <w:bookmarkStart w:id="3114" w:name="_Toc1423"/>
      <w:bookmarkEnd w:id="3113"/>
      <w:r>
        <w:rPr>
          <w:rtl w:val="true"/>
        </w:rPr>
        <w:t>[ (</w:t>
      </w:r>
      <w:r>
        <w:rPr>
          <w:rtl w:val="true"/>
        </w:rPr>
        <w:t xml:space="preserve">مسألة </w:t>
      </w:r>
      <w:r>
        <w:rPr/>
        <w:t>3</w:t>
      </w:r>
      <w:r>
        <w:rPr>
          <w:rtl w:val="true"/>
        </w:rPr>
        <w:t xml:space="preserve">): </w:t>
      </w:r>
      <w:r>
        <w:rPr>
          <w:rtl w:val="true"/>
        </w:rPr>
        <w:t>المشهور أنّ وقت تعلّق الزکاة عند اشتداد الحبّ فی الزرع</w:t>
      </w:r>
      <w:r>
        <w:rPr>
          <w:rtl w:val="true"/>
        </w:rPr>
        <w:t>]</w:t>
      </w:r>
      <w:bookmarkEnd w:id="3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Style w:val="FootnoteAnchor"/>
          <w:rtl w:val="true"/>
        </w:rPr>
        <w:footnoteReference w:id="887"/>
      </w:r>
      <w:r>
        <w:rPr>
          <w:rFonts w:ascii="IRNazanin" w:hAnsi="IRNazanin" w:eastAsia="IRNazanin"/>
          <w:color w:val="111111"/>
          <w:sz w:val="28"/>
          <w:sz w:val="28"/>
          <w:szCs w:val="28"/>
          <w:rtl w:val="true"/>
          <w:lang w:bidi="fa-IR"/>
        </w:rPr>
        <w:t>أنّ وقت تعلّق الزکاة عند اشتداد الحبّ فی الزرع، و حین بدوّ الصلاح أعنی حین الاصفرار أو الاحمرار فی ثمرة النخل، و حین انعقاد الحصرم فی ثمرة الکرم،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المدار علی التسمیة حنطة أو شعیراً أو تمراً أو عنباً، و القول الأوّل لا یخلو عن رجحان </w:t>
      </w:r>
      <w:r>
        <w:rPr>
          <w:rStyle w:val="FootnoteAnchor"/>
          <w:rtl w:val="true"/>
        </w:rPr>
        <w:footnoteReference w:id="888"/>
      </w:r>
      <w:r>
        <w:rPr>
          <w:rFonts w:ascii="IRNazanin" w:hAnsi="IRNazanin" w:eastAsia="IRNazanin"/>
          <w:color w:val="111111"/>
          <w:sz w:val="28"/>
          <w:sz w:val="28"/>
          <w:szCs w:val="28"/>
          <w:rtl w:val="true"/>
          <w:lang w:bidi="fa-IR"/>
        </w:rPr>
        <w:t>لکن لا یخلو عن إشکال، فلا یترک مراعاة الاحتیاط فی الثمرة المترتّبة علی القولین فی المسألة</w:t>
      </w:r>
      <w:r>
        <w:rPr>
          <w:rFonts w:eastAsia="IRNazanin" w:cs="IRNazanin"/>
          <w:color w:val="111111"/>
          <w:sz w:val="28"/>
          <w:szCs w:val="28"/>
          <w:rtl w:val="true"/>
          <w:lang w:bidi="fa-IR"/>
        </w:rPr>
        <w:t>.</w:t>
      </w:r>
    </w:p>
    <w:p>
      <w:pPr>
        <w:pStyle w:val="Heading6"/>
        <w:numPr>
          <w:ilvl w:val="5"/>
          <w:numId w:val="1"/>
        </w:numPr>
        <w:rPr/>
      </w:pPr>
      <w:bookmarkStart w:id="3115" w:name="__RefHeading___Toc2567830_3650668749"/>
      <w:bookmarkStart w:id="3116" w:name="_Toc1424"/>
      <w:bookmarkEnd w:id="3115"/>
      <w:r>
        <w:rPr>
          <w:rtl w:val="true"/>
        </w:rPr>
        <w:t>[ (</w:t>
      </w:r>
      <w:r>
        <w:rPr>
          <w:rtl w:val="true"/>
        </w:rPr>
        <w:t xml:space="preserve">مسألة </w:t>
      </w:r>
      <w:r>
        <w:rPr/>
        <w:t>4</w:t>
      </w:r>
      <w:r>
        <w:rPr>
          <w:rtl w:val="true"/>
        </w:rPr>
        <w:t xml:space="preserve">): </w:t>
      </w:r>
      <w:r>
        <w:rPr>
          <w:rtl w:val="true"/>
        </w:rPr>
        <w:t>وقت وجوب الإخراج حین تصفیة الغلّة و اجتذاذ التمر و اقتطاف الزبیب</w:t>
      </w:r>
      <w:r>
        <w:rPr>
          <w:rtl w:val="true"/>
        </w:rPr>
        <w:t>]</w:t>
      </w:r>
      <w:bookmarkEnd w:id="3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وجوب الإخراج حین تصفیة الغلّة و اجتذاذ التمر و اقتطاف الزبیب، و هذا هو الوقت الذی لو أخّرها عنه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للساعی مطالبة المالک فیه و یلزمه القبول، و لو طالبه قبله لم یجب علیه القبول و إن جاز له </w:t>
      </w:r>
      <w:r>
        <w:rPr>
          <w:rStyle w:val="FootnoteAnchor"/>
          <w:rtl w:val="true"/>
        </w:rPr>
        <w:footnoteReference w:id="889"/>
      </w:r>
      <w:r>
        <w:rPr>
          <w:rFonts w:ascii="IRNazanin" w:hAnsi="IRNazanin" w:eastAsia="IRNazanin"/>
          <w:color w:val="111111"/>
          <w:sz w:val="28"/>
          <w:sz w:val="28"/>
          <w:szCs w:val="28"/>
          <w:rtl w:val="true"/>
          <w:lang w:bidi="fa-IR"/>
        </w:rPr>
        <w:t>الإخراج بعد زمان التعلّق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 الساعی القبول فوقت وجوب الأداء غیر وقت التعلّق</w:t>
      </w:r>
      <w:r>
        <w:rPr>
          <w:rFonts w:eastAsia="IRNazanin" w:cs="IRNazanin"/>
          <w:color w:val="111111"/>
          <w:sz w:val="28"/>
          <w:szCs w:val="28"/>
          <w:rtl w:val="true"/>
          <w:lang w:bidi="fa-IR"/>
        </w:rPr>
        <w:t>.</w:t>
      </w:r>
    </w:p>
    <w:p>
      <w:pPr>
        <w:pStyle w:val="Heading6"/>
        <w:numPr>
          <w:ilvl w:val="5"/>
          <w:numId w:val="1"/>
        </w:numPr>
        <w:rPr/>
      </w:pPr>
      <w:bookmarkStart w:id="3117" w:name="__RefHeading___Toc2567832_3650668749"/>
      <w:bookmarkStart w:id="3118" w:name="_Toc1425"/>
      <w:bookmarkEnd w:id="3117"/>
      <w:r>
        <w:rPr>
          <w:rtl w:val="true"/>
        </w:rPr>
        <w:t>[ (</w:t>
      </w:r>
      <w:r>
        <w:rPr>
          <w:rtl w:val="true"/>
        </w:rPr>
        <w:t xml:space="preserve">مسألة </w:t>
      </w:r>
      <w:r>
        <w:rPr/>
        <w:t>5</w:t>
      </w:r>
      <w:r>
        <w:rPr>
          <w:rtl w:val="true"/>
        </w:rPr>
        <w:t xml:space="preserve">): </w:t>
      </w:r>
      <w:r>
        <w:rPr>
          <w:rtl w:val="true"/>
        </w:rPr>
        <w:t>لو أراد المالک الاقتطاف حصرماً أو عنباً أو بسراً أو رطباً</w:t>
      </w:r>
      <w:r>
        <w:rPr>
          <w:rtl w:val="true"/>
        </w:rPr>
        <w:t>]</w:t>
      </w:r>
      <w:bookmarkEnd w:id="311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أراد المالک الاقتطاف حصرماً أو عنباً أو بسراً أو رطباً جاز و وجب </w:t>
      </w:r>
      <w:r>
        <w:rPr>
          <w:rStyle w:val="FootnoteAnchor"/>
          <w:rtl w:val="true"/>
        </w:rPr>
        <w:footnoteReference w:id="890"/>
      </w:r>
      <w:bookmarkStart w:id="3119" w:name="pg1809_19245"/>
    </w:p>
    <w:p>
      <w:pPr>
        <w:pStyle w:val="BookText"/>
        <w:rPr/>
      </w:pPr>
      <w:bookmarkEnd w:id="3119"/>
      <w:r>
        <w:rPr>
          <w:rFonts w:ascii="IRNazanin" w:hAnsi="IRNazanin" w:eastAsia="IRNazanin"/>
          <w:color w:val="111111"/>
          <w:sz w:val="28"/>
          <w:sz w:val="28"/>
          <w:szCs w:val="28"/>
          <w:rtl w:val="true"/>
          <w:lang w:bidi="fa-IR"/>
        </w:rPr>
        <w:t>أداء الزکاة حینئذٍ من العین أو القیمة، بعد فرض بلوغها تمرها و زبیبها النصاب</w:t>
      </w:r>
      <w:r>
        <w:rPr>
          <w:rFonts w:eastAsia="IRNazanin" w:cs="IRNazanin"/>
          <w:color w:val="111111"/>
          <w:sz w:val="28"/>
          <w:szCs w:val="28"/>
          <w:rtl w:val="true"/>
          <w:lang w:bidi="fa-IR"/>
        </w:rPr>
        <w:t>.</w:t>
      </w:r>
    </w:p>
    <w:p>
      <w:pPr>
        <w:pStyle w:val="Heading6"/>
        <w:numPr>
          <w:ilvl w:val="5"/>
          <w:numId w:val="1"/>
        </w:numPr>
        <w:rPr/>
      </w:pPr>
      <w:bookmarkStart w:id="3120" w:name="__RefHeading___Toc2567834_3650668749"/>
      <w:bookmarkStart w:id="3121" w:name="_Toc1426"/>
      <w:bookmarkEnd w:id="3120"/>
      <w:r>
        <w:rPr>
          <w:rtl w:val="true"/>
        </w:rPr>
        <w:t>[ (</w:t>
      </w:r>
      <w:r>
        <w:rPr>
          <w:rtl w:val="true"/>
        </w:rPr>
        <w:t xml:space="preserve">مسألة </w:t>
      </w:r>
      <w:r>
        <w:rPr/>
        <w:t>6</w:t>
      </w:r>
      <w:r>
        <w:rPr>
          <w:rtl w:val="true"/>
        </w:rPr>
        <w:t xml:space="preserve">): </w:t>
      </w:r>
      <w:r>
        <w:rPr>
          <w:rtl w:val="true"/>
        </w:rPr>
        <w:t>یجوز للمالک دفع الزکاة و الثمر علی الشجر</w:t>
      </w:r>
      <w:r>
        <w:rPr>
          <w:rtl w:val="true"/>
        </w:rPr>
        <w:t>]</w:t>
      </w:r>
      <w:bookmarkEnd w:id="3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للمالک دفع الزکاة و الثمر علی الشجر </w:t>
      </w:r>
      <w:r>
        <w:rPr>
          <w:rStyle w:val="FootnoteAnchor"/>
          <w:rtl w:val="true"/>
        </w:rPr>
        <w:footnoteReference w:id="891"/>
      </w:r>
      <w:r>
        <w:rPr>
          <w:rFonts w:ascii="IRNazanin" w:hAnsi="IRNazanin" w:eastAsia="IRNazanin"/>
          <w:color w:val="111111"/>
          <w:sz w:val="28"/>
          <w:sz w:val="28"/>
          <w:szCs w:val="28"/>
          <w:rtl w:val="true"/>
          <w:lang w:bidi="fa-IR"/>
        </w:rPr>
        <w:t>قبل الجذاذ منه أو من قیمته</w:t>
      </w:r>
      <w:r>
        <w:rPr>
          <w:rFonts w:eastAsia="IRNazanin" w:cs="IRNazanin"/>
          <w:color w:val="111111"/>
          <w:sz w:val="28"/>
          <w:szCs w:val="28"/>
          <w:rtl w:val="true"/>
          <w:lang w:bidi="fa-IR"/>
        </w:rPr>
        <w:t>.</w:t>
      </w:r>
    </w:p>
    <w:p>
      <w:pPr>
        <w:pStyle w:val="Heading6"/>
        <w:numPr>
          <w:ilvl w:val="5"/>
          <w:numId w:val="1"/>
        </w:numPr>
        <w:rPr/>
      </w:pPr>
      <w:bookmarkStart w:id="3122" w:name="__RefHeading___Toc2567836_3650668749"/>
      <w:bookmarkStart w:id="3123" w:name="_Toc1427"/>
      <w:bookmarkEnd w:id="3122"/>
      <w:r>
        <w:rPr>
          <w:rtl w:val="true"/>
        </w:rPr>
        <w:t>[ (</w:t>
      </w:r>
      <w:r>
        <w:rPr>
          <w:rtl w:val="true"/>
        </w:rPr>
        <w:t xml:space="preserve">مسألة </w:t>
      </w:r>
      <w:r>
        <w:rPr/>
        <w:t>7</w:t>
      </w:r>
      <w:r>
        <w:rPr>
          <w:rtl w:val="true"/>
        </w:rPr>
        <w:t xml:space="preserve">): </w:t>
      </w:r>
      <w:r>
        <w:rPr>
          <w:rtl w:val="true"/>
        </w:rPr>
        <w:t>إذا ملک نخلًا مثلًا قبل أن یبدو صلاح ثمرته</w:t>
      </w:r>
      <w:r>
        <w:rPr>
          <w:rtl w:val="true"/>
        </w:rPr>
        <w:t>]</w:t>
      </w:r>
      <w:bookmarkEnd w:id="3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ملک نخلًا مثلًا قبل أن یبدو </w:t>
      </w:r>
      <w:r>
        <w:rPr>
          <w:rStyle w:val="FootnoteAnchor"/>
          <w:rtl w:val="true"/>
        </w:rPr>
        <w:footnoteReference w:id="892"/>
      </w:r>
      <w:r>
        <w:rPr>
          <w:rFonts w:ascii="IRNazanin" w:hAnsi="IRNazanin" w:eastAsia="IRNazanin"/>
          <w:color w:val="111111"/>
          <w:sz w:val="28"/>
          <w:sz w:val="28"/>
          <w:szCs w:val="28"/>
          <w:rtl w:val="true"/>
          <w:lang w:bidi="fa-IR"/>
        </w:rPr>
        <w:t>صلاح ثمرته أو ثمراً قبل أن یبدو صلاحه أو زرعاً قبل اشتداد حبّه فالزکاة علیه بعد زمان التعلّق مع اجتماع الشرائط، بخلاف ما إذا ملک بعد زمان التعلّق فإنّ الزکاة علیٰ من انتقل عنه ممّن کان مالکاً حال التعلّق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لو باعه مثلًا قبل أداء ما علیه صحّ </w:t>
      </w:r>
      <w:r>
        <w:rPr>
          <w:rStyle w:val="FootnoteAnchor"/>
          <w:rtl w:val="true"/>
        </w:rPr>
        <w:footnoteReference w:id="893"/>
      </w:r>
      <w:r>
        <w:rPr>
          <w:rFonts w:ascii="IRNazanin" w:hAnsi="IRNazanin" w:eastAsia="IRNazanin"/>
          <w:color w:val="111111"/>
          <w:sz w:val="28"/>
          <w:sz w:val="28"/>
          <w:szCs w:val="28"/>
          <w:rtl w:val="true"/>
          <w:lang w:bidi="fa-IR"/>
        </w:rPr>
        <w:t>علی الأصحّ، و حینئذٍ فإن علم المشتری بأدائه أو احتمله لیس علیه شی‌ء و إن علم بعدم أدائه یجب علیه أداؤه و یرجع بها علی البائع</w:t>
      </w:r>
      <w:r>
        <w:rPr>
          <w:rFonts w:eastAsia="IRNazanin" w:cs="IRNazanin"/>
          <w:color w:val="111111"/>
          <w:sz w:val="28"/>
          <w:szCs w:val="28"/>
          <w:rtl w:val="true"/>
          <w:lang w:bidi="fa-IR"/>
        </w:rPr>
        <w:t>.</w:t>
      </w:r>
    </w:p>
    <w:p>
      <w:pPr>
        <w:pStyle w:val="Heading6"/>
        <w:numPr>
          <w:ilvl w:val="5"/>
          <w:numId w:val="1"/>
        </w:numPr>
        <w:rPr/>
      </w:pPr>
      <w:bookmarkStart w:id="3124" w:name="__RefHeading___Toc2567838_3650668749"/>
      <w:bookmarkStart w:id="3125" w:name="_Toc1428"/>
      <w:bookmarkEnd w:id="3124"/>
      <w:r>
        <w:rPr>
          <w:rtl w:val="true"/>
        </w:rPr>
        <w:t>[ (</w:t>
      </w:r>
      <w:r>
        <w:rPr>
          <w:rtl w:val="true"/>
        </w:rPr>
        <w:t xml:space="preserve">مسألة </w:t>
      </w:r>
      <w:r>
        <w:rPr/>
        <w:t>8</w:t>
      </w:r>
      <w:r>
        <w:rPr>
          <w:rtl w:val="true"/>
        </w:rPr>
        <w:t xml:space="preserve">): </w:t>
      </w:r>
      <w:r>
        <w:rPr>
          <w:rtl w:val="true"/>
        </w:rPr>
        <w:t>إذا باع الزرع أو الثمر و شکّ فی أنّ البیع کان بعد زمان التعلّق</w:t>
      </w:r>
      <w:r>
        <w:rPr>
          <w:rtl w:val="true"/>
        </w:rPr>
        <w:t>]</w:t>
      </w:r>
      <w:bookmarkEnd w:id="3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الزرع أو الثمر و شکّ فی أنّ البیع کان بعد زمان التعلّق حتّی تکون الزکاة علیه أو قبله حتّی تکون علی المشتری لم یکن علیه شی‌ء، إلّا إذا علم زمان التعلّق و جهل زمان البیع، فیجب علیه حینئذٍ إخراجها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شکّ المشتری فی ذلک فإن کان قاطعاً بأنّ البائع لم یؤدّ زکاته علیٰ تقدیر کون الشراء بعد زمان التعلّق یجب علیه إخراجها مطلقاً </w:t>
      </w:r>
      <w:r>
        <w:rPr>
          <w:rStyle w:val="FootnoteAnchor"/>
          <w:rtl w:val="true"/>
        </w:rPr>
        <w:footnoteReference w:id="894"/>
      </w:r>
      <w:r>
        <w:rPr>
          <w:rFonts w:ascii="IRNazanin" w:hAnsi="IRNazanin" w:eastAsia="IRNazanin"/>
          <w:color w:val="111111"/>
          <w:sz w:val="28"/>
          <w:sz w:val="28"/>
          <w:szCs w:val="28"/>
          <w:rtl w:val="true"/>
          <w:lang w:bidi="fa-IR"/>
        </w:rPr>
        <w:t>، و إن لم یکن قاطعاً بذلک بل کان قاطعاً بأدائها علیٰ ذلک التقدیر أو احتمله لیس علیه شی‌ء مطلقاً حتّی فیما إذا علم زمان البیع و شکّ فی تقدّم التعلّق و تأخّره علی الأقویٰ، و إن کان الأحوط فی هذه الصورة إخراجها</w:t>
      </w:r>
      <w:r>
        <w:rPr>
          <w:rFonts w:eastAsia="IRNazanin" w:cs="IRNazanin"/>
          <w:color w:val="111111"/>
          <w:sz w:val="28"/>
          <w:szCs w:val="28"/>
          <w:rtl w:val="true"/>
          <w:lang w:bidi="fa-IR"/>
        </w:rPr>
        <w:t>.</w:t>
      </w:r>
    </w:p>
    <w:p>
      <w:pPr>
        <w:pStyle w:val="Heading6"/>
        <w:numPr>
          <w:ilvl w:val="5"/>
          <w:numId w:val="1"/>
        </w:numPr>
        <w:rPr/>
      </w:pPr>
      <w:bookmarkStart w:id="3126" w:name="__RefHeading___Toc2567840_3650668749"/>
      <w:bookmarkStart w:id="3127" w:name="_Toc1429"/>
      <w:bookmarkEnd w:id="3126"/>
      <w:r>
        <w:rPr>
          <w:rtl w:val="true"/>
        </w:rPr>
        <w:t>[ (</w:t>
      </w:r>
      <w:r>
        <w:rPr>
          <w:rtl w:val="true"/>
        </w:rPr>
        <w:t xml:space="preserve">مسألة </w:t>
      </w:r>
      <w:r>
        <w:rPr/>
        <w:t>9</w:t>
      </w:r>
      <w:r>
        <w:rPr>
          <w:rtl w:val="true"/>
        </w:rPr>
        <w:t xml:space="preserve">): </w:t>
      </w:r>
      <w:r>
        <w:rPr>
          <w:rtl w:val="true"/>
        </w:rPr>
        <w:t>إذا مات المالک بعد تعلّق الزکاة و قبل إخراجها تخرج من ترکته</w:t>
      </w:r>
      <w:r>
        <w:rPr>
          <w:rtl w:val="true"/>
        </w:rPr>
        <w:t>]</w:t>
      </w:r>
      <w:bookmarkEnd w:id="312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المالک بعد تعلّق الزکاة و قبل إخراجها تخرج من ترکته </w:t>
      </w:r>
      <w:r>
        <w:rPr>
          <w:rStyle w:val="FootnoteAnchor"/>
          <w:rtl w:val="true"/>
        </w:rPr>
        <w:footnoteReference w:id="895"/>
      </w:r>
      <w:r>
        <w:rPr>
          <w:rFonts w:ascii="IRNazanin" w:hAnsi="IRNazanin" w:eastAsia="IRNazanin"/>
          <w:color w:val="111111"/>
          <w:sz w:val="28"/>
          <w:sz w:val="28"/>
          <w:szCs w:val="28"/>
          <w:rtl w:val="true"/>
          <w:lang w:bidi="fa-IR"/>
        </w:rPr>
        <w:t>و إذا مات</w:t>
      </w:r>
      <w:bookmarkStart w:id="3128" w:name="pg1809_19247"/>
    </w:p>
    <w:p>
      <w:pPr>
        <w:pStyle w:val="BookText"/>
        <w:rPr/>
      </w:pPr>
      <w:bookmarkEnd w:id="3128"/>
      <w:r>
        <w:rPr>
          <w:rFonts w:ascii="IRNazanin" w:hAnsi="IRNazanin" w:eastAsia="IRNazanin"/>
          <w:color w:val="111111"/>
          <w:sz w:val="28"/>
          <w:sz w:val="28"/>
          <w:szCs w:val="28"/>
          <w:rtl w:val="true"/>
          <w:lang w:bidi="fa-IR"/>
        </w:rPr>
        <w:t xml:space="preserve">قبله وجب </w:t>
      </w:r>
      <w:r>
        <w:rPr>
          <w:rStyle w:val="FootnoteAnchor"/>
          <w:rtl w:val="true"/>
        </w:rPr>
        <w:footnoteReference w:id="896"/>
      </w:r>
      <w:r>
        <w:rPr>
          <w:rFonts w:ascii="IRNazanin" w:hAnsi="IRNazanin" w:eastAsia="IRNazanin"/>
          <w:color w:val="111111"/>
          <w:sz w:val="28"/>
          <w:sz w:val="28"/>
          <w:szCs w:val="28"/>
          <w:rtl w:val="true"/>
          <w:lang w:bidi="fa-IR"/>
        </w:rPr>
        <w:t>علیٰ من بلغ سهمه النصاب من الورثة مع اجتماع سائر الشرائط فإذا لم یبلغ سهم واحد منهم النصاب فلا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لم یعلم أنّ الموت کان قبل زمان التعلّق أو بعده فمن بلغ سهمه النصاب یجب علیه إخراج زکاة حصّته؛ للعلم </w:t>
      </w:r>
      <w:r>
        <w:rPr>
          <w:rStyle w:val="FootnoteAnchor"/>
          <w:rtl w:val="true"/>
        </w:rPr>
        <w:footnoteReference w:id="897"/>
      </w:r>
      <w:r>
        <w:rPr>
          <w:rFonts w:ascii="IRNazanin" w:hAnsi="IRNazanin" w:eastAsia="IRNazanin"/>
          <w:color w:val="111111"/>
          <w:sz w:val="28"/>
          <w:sz w:val="28"/>
          <w:szCs w:val="28"/>
          <w:rtl w:val="true"/>
          <w:lang w:bidi="fa-IR"/>
        </w:rPr>
        <w:t xml:space="preserve">بکونها متعلّقة للحقّ الزکاتی علیٰ أیّ حال و إن لم یعلم بأنّ التعلّق کان فی زمان حیاة مورّثه أو بعده، و من لم یبلغ نصیبه حدّ النصاب لا یجب علیه شی‌ء إلّا إذا علم زمان التعلّق و شکّ فی زمان الموت، فیجب علیه إخراجها علی الأحوط </w:t>
      </w:r>
      <w:r>
        <w:rPr>
          <w:rStyle w:val="FootnoteAnchor"/>
          <w:rtl w:val="true"/>
        </w:rPr>
        <w:footnoteReference w:id="898"/>
      </w:r>
      <w:r>
        <w:rPr>
          <w:rFonts w:ascii="IRNazanin" w:hAnsi="IRNazanin" w:eastAsia="IRNazanin"/>
          <w:color w:val="111111"/>
          <w:sz w:val="28"/>
          <w:sz w:val="28"/>
          <w:szCs w:val="28"/>
          <w:rtl w:val="true"/>
          <w:lang w:bidi="fa-IR"/>
        </w:rPr>
        <w:t>لو لم یکن الأقویٰ</w:t>
      </w:r>
      <w:r>
        <w:rPr>
          <w:rFonts w:eastAsia="IRNazanin" w:cs="IRNazanin"/>
          <w:color w:val="111111"/>
          <w:sz w:val="28"/>
          <w:szCs w:val="28"/>
          <w:rtl w:val="true"/>
          <w:lang w:bidi="fa-IR"/>
        </w:rPr>
        <w:t>.</w:t>
      </w:r>
    </w:p>
    <w:p>
      <w:pPr>
        <w:pStyle w:val="Heading6"/>
        <w:numPr>
          <w:ilvl w:val="5"/>
          <w:numId w:val="1"/>
        </w:numPr>
        <w:rPr/>
      </w:pPr>
      <w:bookmarkStart w:id="3129" w:name="__RefHeading___Toc2567842_3650668749"/>
      <w:bookmarkStart w:id="3130" w:name="_Toc1430"/>
      <w:bookmarkEnd w:id="3129"/>
      <w:r>
        <w:rPr>
          <w:rtl w:val="true"/>
        </w:rPr>
        <w:t>[ (</w:t>
      </w:r>
      <w:r>
        <w:rPr>
          <w:rtl w:val="true"/>
        </w:rPr>
        <w:t xml:space="preserve">مسألة </w:t>
      </w:r>
      <w:r>
        <w:rPr/>
        <w:t>10</w:t>
      </w:r>
      <w:r>
        <w:rPr>
          <w:rtl w:val="true"/>
        </w:rPr>
        <w:t xml:space="preserve">): </w:t>
      </w:r>
      <w:r>
        <w:rPr>
          <w:rtl w:val="true"/>
        </w:rPr>
        <w:t>لو مات الزارع أو مالک النخل أو الکرم و کان علیه دین</w:t>
      </w:r>
      <w:r>
        <w:rPr>
          <w:rtl w:val="true"/>
        </w:rPr>
        <w:t>]</w:t>
      </w:r>
      <w:bookmarkEnd w:id="313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الزارع أو مالک النخل أو الکرم و کان علیه دین، فإن کان موته بعد تعلّق الوجوب وجب إخراج الزکاة کما مرّ، حتّی فیما إذا کان الدین مستوعباً للترکة، و لا یتحاصّ الغرماء مع أرباب الزکاة إلّا إذا صارت فی ذمّته فی زمان حیاته بسبب إتلافه أو التلف مع التفریط فیقع التحاصّ بینهم کسائر الدیون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موته قبل تعلّق الوجوب، فإن کان قبل ظهور </w:t>
      </w:r>
      <w:r>
        <w:rPr>
          <w:rStyle w:val="FootnoteAnchor"/>
          <w:rtl w:val="true"/>
        </w:rPr>
        <w:footnoteReference w:id="899"/>
      </w:r>
      <w:r>
        <w:rPr>
          <w:rFonts w:ascii="IRNazanin" w:hAnsi="IRNazanin" w:eastAsia="IRNazanin"/>
          <w:color w:val="111111"/>
          <w:sz w:val="28"/>
          <w:sz w:val="28"/>
          <w:szCs w:val="28"/>
          <w:rtl w:val="true"/>
          <w:lang w:bidi="fa-IR"/>
        </w:rPr>
        <w:t>الحبّ و الثمر وجب الزکاة علیٰ من بلغ نصیبه حدّ النصاب من الورثة مع اجتماع الشرائط کما مرّ، و لا یمنع دین المیّت عن تعلّق الزکاة بالنماء الحاصل فی ملک الورثة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بعد ظهوره فإن کان الورثة قد أدّوا الدین أو ضمنوه برضا</w:t>
      </w:r>
      <w:bookmarkStart w:id="3131" w:name="pg1809_19249"/>
    </w:p>
    <w:p>
      <w:pPr>
        <w:pStyle w:val="BookText"/>
        <w:rPr/>
      </w:pPr>
      <w:bookmarkEnd w:id="3131"/>
      <w:r>
        <w:rPr>
          <w:rFonts w:ascii="IRNazanin" w:hAnsi="IRNazanin" w:eastAsia="IRNazanin"/>
          <w:color w:val="111111"/>
          <w:sz w:val="28"/>
          <w:sz w:val="28"/>
          <w:szCs w:val="28"/>
          <w:rtl w:val="true"/>
          <w:lang w:bidi="fa-IR"/>
        </w:rPr>
        <w:t>الدیّان قبل تعلّق الوجوب وجبت الزکاة علیٰ من بلغ سهمه النصاب، و إلّا فالظاهر عدم وجوبها فیما إذا کان الدین مستوعباً، و فیما قابل الدین إذا کان غیر مستوعب و إن کان الأحوط الإخراج مع الغرامة للدیّان أو استرضائهم</w:t>
      </w:r>
      <w:r>
        <w:rPr>
          <w:rFonts w:eastAsia="IRNazanin" w:cs="IRNazanin"/>
          <w:color w:val="111111"/>
          <w:sz w:val="28"/>
          <w:szCs w:val="28"/>
          <w:rtl w:val="true"/>
          <w:lang w:bidi="fa-IR"/>
        </w:rPr>
        <w:t>.</w:t>
      </w:r>
    </w:p>
    <w:p>
      <w:pPr>
        <w:pStyle w:val="Heading6"/>
        <w:numPr>
          <w:ilvl w:val="5"/>
          <w:numId w:val="1"/>
        </w:numPr>
        <w:rPr/>
      </w:pPr>
      <w:bookmarkStart w:id="3132" w:name="__RefHeading___Toc2567844_3650668749"/>
      <w:bookmarkStart w:id="3133" w:name="_Toc1431"/>
      <w:bookmarkEnd w:id="3132"/>
      <w:r>
        <w:rPr>
          <w:rtl w:val="true"/>
        </w:rPr>
        <w:t>[ (</w:t>
      </w:r>
      <w:r>
        <w:rPr>
          <w:rtl w:val="true"/>
        </w:rPr>
        <w:t xml:space="preserve">مسألة </w:t>
      </w:r>
      <w:r>
        <w:rPr/>
        <w:t>11</w:t>
      </w:r>
      <w:r>
        <w:rPr>
          <w:rtl w:val="true"/>
        </w:rPr>
        <w:t xml:space="preserve">): </w:t>
      </w:r>
      <w:r>
        <w:rPr>
          <w:rtl w:val="true"/>
        </w:rPr>
        <w:t>فی المزارعة و المساقاة الصحیحتین حیث إنّ الحاصل مشترک بین المالک و العامل</w:t>
      </w:r>
      <w:r>
        <w:rPr>
          <w:rtl w:val="true"/>
        </w:rPr>
        <w:t>]</w:t>
      </w:r>
      <w:bookmarkEnd w:id="3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المزارعة و المساقاة الصحیحتین حیث إنّ الحاصل مشترک بین المالک و العامل یجب علیٰ کلّ منهما الزکاة فی حصّته مع اجتماع الشرائط بالنسبة إلیه، بخلاف الأرض المستأجرة للزراعة فإنّ الزکاة علی المستأجر مع اجتماع الشرائط و لیس علی المؤجر شی‌ء و إن کانت الأُجرة من جنس الحنطة و الشعیر</w:t>
      </w:r>
      <w:r>
        <w:rPr>
          <w:rFonts w:eastAsia="IRNazanin" w:cs="IRNazanin"/>
          <w:color w:val="111111"/>
          <w:sz w:val="28"/>
          <w:szCs w:val="28"/>
          <w:rtl w:val="true"/>
          <w:lang w:bidi="fa-IR"/>
        </w:rPr>
        <w:t>.</w:t>
      </w:r>
    </w:p>
    <w:p>
      <w:pPr>
        <w:pStyle w:val="Heading6"/>
        <w:numPr>
          <w:ilvl w:val="5"/>
          <w:numId w:val="1"/>
        </w:numPr>
        <w:rPr/>
      </w:pPr>
      <w:bookmarkStart w:id="3134" w:name="__RefHeading___Toc2567846_3650668749"/>
      <w:bookmarkStart w:id="3135" w:name="_Toc1432"/>
      <w:bookmarkEnd w:id="3134"/>
      <w:r>
        <w:rPr>
          <w:rtl w:val="true"/>
        </w:rPr>
        <w:t>[ (</w:t>
      </w:r>
      <w:r>
        <w:rPr>
          <w:rtl w:val="true"/>
        </w:rPr>
        <w:t xml:space="preserve">مسألة </w:t>
      </w:r>
      <w:r>
        <w:rPr/>
        <w:t>12</w:t>
      </w:r>
      <w:r>
        <w:rPr>
          <w:rtl w:val="true"/>
        </w:rPr>
        <w:t xml:space="preserve">): </w:t>
      </w:r>
      <w:r>
        <w:rPr>
          <w:rtl w:val="true"/>
        </w:rPr>
        <w:t>فی المزارعة الفاسدة یکون الزکاة علیٰ صاحب البذر و یکون أُجرة الأرض و العامل من المؤن</w:t>
      </w:r>
      <w:r>
        <w:rPr>
          <w:rtl w:val="true"/>
        </w:rPr>
        <w:t>]</w:t>
      </w:r>
      <w:bookmarkEnd w:id="3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المزارعة الفاسدة یکون الزکاة علیٰ صاحب البذر و یکون أُجرة الأرض و العامل من المؤن، فبناءً علیٰ کون الزکاة بعد إخراجها تخرج قبل إخراجها، و أمّا فی المساقاة الفاسدة یکون الزکاة علیٰ صاحب الأُصول و تحسب اجرة مثل عمل المساقی من المؤن</w:t>
      </w:r>
      <w:r>
        <w:rPr>
          <w:rFonts w:eastAsia="IRNazanin" w:cs="IRNazanin"/>
          <w:color w:val="111111"/>
          <w:sz w:val="28"/>
          <w:szCs w:val="28"/>
          <w:rtl w:val="true"/>
          <w:lang w:bidi="fa-IR"/>
        </w:rPr>
        <w:t>.</w:t>
      </w:r>
    </w:p>
    <w:p>
      <w:pPr>
        <w:pStyle w:val="Heading6"/>
        <w:numPr>
          <w:ilvl w:val="5"/>
          <w:numId w:val="1"/>
        </w:numPr>
        <w:rPr/>
      </w:pPr>
      <w:bookmarkStart w:id="3136" w:name="__RefHeading___Toc2567848_3650668749"/>
      <w:bookmarkStart w:id="3137" w:name="_Toc1433"/>
      <w:bookmarkEnd w:id="3136"/>
      <w:r>
        <w:rPr>
          <w:rtl w:val="true"/>
        </w:rPr>
        <w:t>[ (</w:t>
      </w:r>
      <w:r>
        <w:rPr>
          <w:rtl w:val="true"/>
        </w:rPr>
        <w:t xml:space="preserve">مسألة </w:t>
      </w:r>
      <w:r>
        <w:rPr/>
        <w:t>13</w:t>
      </w:r>
      <w:r>
        <w:rPr>
          <w:rtl w:val="true"/>
        </w:rPr>
        <w:t xml:space="preserve">): </w:t>
      </w:r>
      <w:r>
        <w:rPr>
          <w:rtl w:val="true"/>
        </w:rPr>
        <w:t>إذا کان عنده أنواع من التمر کالزاهدی و الخستاوی و القنطار و غیر ذلک</w:t>
      </w:r>
      <w:r>
        <w:rPr>
          <w:rtl w:val="true"/>
        </w:rPr>
        <w:t>]</w:t>
      </w:r>
      <w:bookmarkEnd w:id="3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أنواع من التمر کالزاهدی و الخستاوی و القنطار و غیر ذلک یضمّ بعضها إلیٰ بعض بالنسبة إلیٰ بلوغ النصاب، و الأحوط الأخذ من کلّ نوع بحصّته و إن کان الأقویٰ جواز الاجتزاء بمطلق الجیّد عن الکلّ و إن اشتمل علی الأجود، و لا یجوز دفع الردی‌ء عن الجیّد علی الأحوط، و هکذا الحال فی أنواع العنب</w:t>
      </w:r>
      <w:r>
        <w:rPr>
          <w:rFonts w:eastAsia="IRNazanin" w:cs="IRNazanin"/>
          <w:color w:val="111111"/>
          <w:sz w:val="28"/>
          <w:szCs w:val="28"/>
          <w:rtl w:val="true"/>
          <w:lang w:bidi="fa-IR"/>
        </w:rPr>
        <w:t>.</w:t>
      </w:r>
    </w:p>
    <w:p>
      <w:pPr>
        <w:pStyle w:val="Heading6"/>
        <w:numPr>
          <w:ilvl w:val="5"/>
          <w:numId w:val="1"/>
        </w:numPr>
        <w:rPr/>
      </w:pPr>
      <w:bookmarkStart w:id="3138" w:name="__RefHeading___Toc2567850_3650668749"/>
      <w:bookmarkStart w:id="3139" w:name="_Toc1434"/>
      <w:bookmarkEnd w:id="3138"/>
      <w:r>
        <w:rPr>
          <w:rtl w:val="true"/>
        </w:rPr>
        <w:t>[ (</w:t>
      </w:r>
      <w:r>
        <w:rPr>
          <w:rtl w:val="true"/>
        </w:rPr>
        <w:t xml:space="preserve">مسألة </w:t>
      </w:r>
      <w:r>
        <w:rPr/>
        <w:t>14</w:t>
      </w:r>
      <w:r>
        <w:rPr>
          <w:rtl w:val="true"/>
        </w:rPr>
        <w:t xml:space="preserve">): </w:t>
      </w:r>
      <w:r>
        <w:rPr>
          <w:rtl w:val="true"/>
        </w:rPr>
        <w:t>یجوز تعیین مقدار ثمر النخل و الکرم و تقدیر ما یجی‌ء منهما</w:t>
      </w:r>
      <w:r>
        <w:rPr>
          <w:rtl w:val="true"/>
        </w:rPr>
        <w:t>]</w:t>
      </w:r>
      <w:bookmarkEnd w:id="313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Style w:val="FootnoteAnchor"/>
          <w:rtl w:val="true"/>
        </w:rPr>
        <w:footnoteReference w:id="900"/>
      </w:r>
      <w:r>
        <w:rPr>
          <w:rFonts w:ascii="IRNazanin" w:hAnsi="IRNazanin" w:eastAsia="IRNazanin"/>
          <w:color w:val="111111"/>
          <w:sz w:val="28"/>
          <w:sz w:val="28"/>
          <w:szCs w:val="28"/>
          <w:rtl w:val="true"/>
          <w:lang w:bidi="fa-IR"/>
        </w:rPr>
        <w:t>تعیین مقدار ثمر النخل و الکرم و تقدیر ما یجی‌ء منهما تمراً أو زبیباً بخَرص أهل الخبرة، و یتبعه تعیین النصاب و تعیین مقدار الزکاة به و وقته بعد بدوّ الصلاح الذی هو زمن التعلّق و فائدته جواز تصرّف المالک فی الثمر کیف شاء بعده، من</w:t>
      </w:r>
      <w:bookmarkStart w:id="3140" w:name="pg1809_19251"/>
    </w:p>
    <w:p>
      <w:pPr>
        <w:pStyle w:val="BookText"/>
        <w:rPr/>
      </w:pPr>
      <w:bookmarkEnd w:id="3140"/>
      <w:r>
        <w:rPr>
          <w:rFonts w:ascii="IRNazanin" w:hAnsi="IRNazanin" w:eastAsia="IRNazanin"/>
          <w:color w:val="111111"/>
          <w:sz w:val="28"/>
          <w:sz w:val="28"/>
          <w:szCs w:val="28"/>
          <w:rtl w:val="true"/>
          <w:lang w:bidi="fa-IR"/>
        </w:rPr>
        <w:t>دون احتیاج إلی الضبط و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الخارص هو الساعی بنفسه أو بغیره بل یقویٰ جوازه من المالک بنفسه إذا کان عارفاً أو بعارف آخر إذا کان عدلًا مع احتمال جواز الاکتفاء بأمانته و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فیه الصیغة بل یکتفیٰ بعمل الخرص و بیانه ثمّ إن زاد ما فی ید المالک عمّا عیّن بالخرص کان له و إن نقص کان علیه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تلفت الثمرة أو بعضها بآفة سماویّة أو أرضیّة أو ظلم ظالم لم یضمن</w:t>
      </w:r>
      <w:r>
        <w:rPr>
          <w:rFonts w:eastAsia="IRNazanin" w:cs="IRNazanin"/>
          <w:color w:val="111111"/>
          <w:sz w:val="28"/>
          <w:szCs w:val="28"/>
          <w:rtl w:val="true"/>
          <w:lang w:bidi="fa-IR"/>
        </w:rPr>
        <w:t>.</w:t>
      </w:r>
    </w:p>
    <w:p>
      <w:pPr>
        <w:pStyle w:val="Heading6"/>
        <w:numPr>
          <w:ilvl w:val="5"/>
          <w:numId w:val="1"/>
        </w:numPr>
        <w:rPr/>
      </w:pPr>
      <w:bookmarkStart w:id="3141" w:name="__RefHeading___Toc2567852_3650668749"/>
      <w:bookmarkStart w:id="3142" w:name="_Toc1435"/>
      <w:bookmarkEnd w:id="3141"/>
      <w:r>
        <w:rPr>
          <w:rtl w:val="true"/>
        </w:rPr>
        <w:t>[</w:t>
      </w:r>
      <w:r>
        <w:rPr>
          <w:rtl w:val="true"/>
        </w:rPr>
        <w:t>المطلب الثانی</w:t>
      </w:r>
      <w:r>
        <w:rPr>
          <w:rtl w:val="true"/>
        </w:rPr>
        <w:t xml:space="preserve">: </w:t>
      </w:r>
      <w:r>
        <w:rPr>
          <w:rtl w:val="true"/>
        </w:rPr>
        <w:t>إنّما تجب الزکاة بعد إخراج ما یأخذه السلطان من عین الحاصل بعنوان المقاسمة</w:t>
      </w:r>
      <w:r>
        <w:rPr>
          <w:rtl w:val="true"/>
        </w:rPr>
        <w:t>]</w:t>
      </w:r>
      <w:bookmarkEnd w:id="3142"/>
    </w:p>
    <w:p>
      <w:pPr>
        <w:pStyle w:val="Heading6"/>
        <w:numPr>
          <w:ilvl w:val="5"/>
          <w:numId w:val="1"/>
        </w:numPr>
        <w:rPr/>
      </w:pPr>
      <w:bookmarkStart w:id="3143" w:name="__RefHeading___Toc2567854_3650668749"/>
      <w:bookmarkStart w:id="3144" w:name="_Toc1436"/>
      <w:bookmarkEnd w:id="3143"/>
      <w:r>
        <w:rPr>
          <w:rtl w:val="true"/>
        </w:rPr>
        <w:t>اشارة</w:t>
      </w:r>
      <w:bookmarkEnd w:id="3144"/>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تجب الزکاة بعد إخراج ما یأخذه السلطان من عین الحاصل بعنوان المقاسمة، بل و ما یأخذه نقداً باسم الخراج </w:t>
      </w:r>
      <w:r>
        <w:rPr>
          <w:rStyle w:val="FootnoteAnchor"/>
          <w:rtl w:val="true"/>
        </w:rPr>
        <w:footnoteReference w:id="901"/>
      </w:r>
      <w:r>
        <w:rPr>
          <w:rFonts w:ascii="IRNazanin" w:hAnsi="IRNazanin" w:eastAsia="IRNazanin"/>
          <w:color w:val="111111"/>
          <w:sz w:val="28"/>
          <w:sz w:val="28"/>
          <w:szCs w:val="28"/>
          <w:rtl w:val="true"/>
          <w:lang w:bidi="fa-IR"/>
        </w:rPr>
        <w:t>أیضاً علی الأصحّ، و أمّا ما یأخذه العمّال زائداً علیٰ ما قرّره السلطان ظلماً، فإن کانوا یأخذونه من نفس الغلّة قهراً فالظلم وارد علی الکلّ و لا یضمن المالک حصّة الفقراء و یکون بحکم الخراج فی أنّ اعتبار الزکاة بعد إخراجه، و إن کانوا یأخذونه من غیرها فالأحوط الضمان، خصوصاً إذا کان الظلم شخصیّاً بل هو حینئذٍ 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یعتبر إخراج الخراج بالنسبة إلی اعتبار الزکاة فیخرج من الوسط ثمّ یؤدّی العشر أو نصف العشر ممّا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اعتبار النصاب فإن کان ما ضرب علی الأرض بعنوان المقاسمة فلا إشکال فی اعتباره بعده؛ بمعنی أنّه یلاحظ بلوغ النصاب فی حصّته لا فی المجموع منها و من حصّة السلطان، و أمّا إن کان بغیر عنوان المقاسمة ففیه إشکال، و الأحوط لو لم یکن الأقوی اعتباره قبله</w:t>
      </w:r>
      <w:r>
        <w:rPr>
          <w:rFonts w:eastAsia="IRNazanin" w:cs="IRNazanin"/>
          <w:color w:val="111111"/>
          <w:sz w:val="28"/>
          <w:szCs w:val="28"/>
          <w:rtl w:val="true"/>
          <w:lang w:bidi="fa-IR"/>
        </w:rPr>
        <w:t>.</w:t>
      </w:r>
    </w:p>
    <w:p>
      <w:pPr>
        <w:pStyle w:val="Heading6"/>
        <w:numPr>
          <w:ilvl w:val="5"/>
          <w:numId w:val="1"/>
        </w:numPr>
        <w:rPr/>
      </w:pPr>
      <w:bookmarkStart w:id="3145" w:name="__RefHeading___Toc2567856_3650668749"/>
      <w:bookmarkStart w:id="3146" w:name="_Toc1437"/>
      <w:bookmarkEnd w:id="3145"/>
      <w:r>
        <w:rPr>
          <w:rtl w:val="true"/>
        </w:rPr>
        <w:t>[ (</w:t>
      </w:r>
      <w:r>
        <w:rPr>
          <w:rtl w:val="true"/>
        </w:rPr>
        <w:t xml:space="preserve">مسألة </w:t>
      </w:r>
      <w:r>
        <w:rPr/>
        <w:t>15</w:t>
      </w:r>
      <w:r>
        <w:rPr>
          <w:rtl w:val="true"/>
        </w:rPr>
        <w:t xml:space="preserve">): </w:t>
      </w:r>
      <w:r>
        <w:rPr>
          <w:rtl w:val="true"/>
        </w:rPr>
        <w:t>الظاهر عدم اختصاص حکم الخراج بما یأخذه السلطان المخالف المدّعی للخلافة و الولایة</w:t>
      </w:r>
      <w:r>
        <w:rPr>
          <w:rtl w:val="true"/>
        </w:rPr>
        <w:t>]</w:t>
      </w:r>
      <w:bookmarkEnd w:id="314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اختصاص حکم الخراج بما یأخذه السلطان المخالف المدّعی للخلافة و الولایة علی المسلمین بغیر استحقاق، بل یعمّ سلاطین الشیعة الذین لا یدّعون ذلک، بل لا یبعد شموله لکلّ مستول علیٰ جبایة الخراج حتّی فیما إذا لم یکن سلطان کبعض الحکومات المتشکّلة فی هذه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تعمیم الحکم لغیر الأراضی الخراجیّة مثل ما یأخذه الجائر من أراضی الصلح، أو التی کانت مواتاً فتملّکت بالإحیاء وجه، بل لا یخلو من قوّة</w:t>
      </w:r>
      <w:r>
        <w:rPr>
          <w:rFonts w:eastAsia="IRNazanin" w:cs="IRNazanin"/>
          <w:color w:val="111111"/>
          <w:sz w:val="28"/>
          <w:szCs w:val="28"/>
          <w:rtl w:val="true"/>
          <w:lang w:bidi="fa-IR"/>
        </w:rPr>
        <w:t>.</w:t>
      </w:r>
      <w:bookmarkStart w:id="3147" w:name="pg1809_19253"/>
    </w:p>
    <w:p>
      <w:pPr>
        <w:pStyle w:val="Heading6"/>
        <w:numPr>
          <w:ilvl w:val="5"/>
          <w:numId w:val="1"/>
        </w:numPr>
        <w:rPr/>
      </w:pPr>
      <w:bookmarkStart w:id="3148" w:name="__RefHeading___Toc2567858_3650668749"/>
      <w:bookmarkStart w:id="3149" w:name="_Toc1438"/>
      <w:bookmarkEnd w:id="3147"/>
      <w:bookmarkEnd w:id="3148"/>
      <w:r>
        <w:rPr>
          <w:rtl w:val="true"/>
        </w:rPr>
        <w:t>[ (</w:t>
      </w:r>
      <w:r>
        <w:rPr>
          <w:rtl w:val="true"/>
        </w:rPr>
        <w:t xml:space="preserve">مسألة </w:t>
      </w:r>
      <w:r>
        <w:rPr/>
        <w:t>16</w:t>
      </w:r>
      <w:r>
        <w:rPr>
          <w:rtl w:val="true"/>
        </w:rPr>
        <w:t xml:space="preserve">): </w:t>
      </w:r>
      <w:r>
        <w:rPr>
          <w:rtl w:val="true"/>
        </w:rPr>
        <w:t>الأقوی اعتبار خروج المؤن جمیعها من غیر فرق بین السابقة علیٰ زمان التعلّق و اللاحقة</w:t>
      </w:r>
      <w:r>
        <w:rPr>
          <w:rtl w:val="true"/>
        </w:rPr>
        <w:t>]</w:t>
      </w:r>
      <w:bookmarkEnd w:id="3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اعتبار خروج المؤن جمیعها من غیر فرق بین السابقة علیٰ زمان التعلّق و اللاحقة، و الأحوط لو لم یکن الأقوی اعتبار النصاب قبل إخراجها، فإذا بلغ الحاصل حدّ النصاب تعلّق به الزکاة مع اجتماع سائر الشرائط لکنّه تخرج المؤن من الوسط ثمّ یخرج العشر أو نصف العشر من الباقی قلّ أو کثر، نعم لو استوعبت المئونة تمام الحاصل فلا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بالمئونة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یغرمه المالک فی نفقة هذه الثمرة و یصرفه من الأموال فی تنمیتها أو حفظها کالبذر، و ثمن الماء المشتریٰ لسقیها، و أُجرة الفلّاح و الحارث و الحارس و الساقی و الحصّاد و الجذّاذ، و أُجرة العوامل التی یستأجرها للزرع، و أُجرة الأرض و لو کانت غصباً و لم ینو إعطاء أُجرتها لمالکها، و ما یصرفه فی تجفیف الثمرة و إصلاح موضع الشمس و إصلاح النخل بتکریب و نحوه، و ما یصرفه فی تسطیح الأرض و تنقیة النهر، بل و فی إحداثه لو کان هذا الزرع أو النخل أو الکرم محتاجاً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لیس منها ما یصرفه مالک البستان مثلًا فی حفر بئر أو نهر أو بناء دولاب أو ناعور أو حائط أو طوف و نحو ذلک ممّا یعدّ من مئونة تعمیر البستان لا من مئونة ثمرته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صرف ذلک ضامن النخیل و الکرم و مشتری الثمرة لأجل الثمر الذی اشتراه یکون من مئونته، و لا یحسب منها اجرة المالک إذا کان هو العامل و لا اجرة ولده أو زوجته أو الأجنبیّ المتبرّعین بالعمل، و کذا أُجرة الأرض و العوامل إذا کانت مملوکة له، بل الأحوط عدم احتساب ثمن العوامل و الآلات و الأدوات التی یشتریها للزرع و السقی ممّا یبقیٰ عینها بعد استیفاء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احتساب ما یرد علیها من النقص بسبب استعمالها فی الزرع و السقی وجه، لکن الأحوط خلافه، و فی احتساب ثمن الزرع و الثمر من المؤن إشکال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50" w:name="__RefHeading___Toc2567860_3650668749"/>
      <w:bookmarkStart w:id="3151" w:name="_Toc1439"/>
      <w:bookmarkEnd w:id="3150"/>
      <w:r>
        <w:rPr>
          <w:rtl w:val="true"/>
        </w:rPr>
        <w:t>[ (</w:t>
      </w:r>
      <w:r>
        <w:rPr>
          <w:rtl w:val="true"/>
        </w:rPr>
        <w:t xml:space="preserve">مسألة </w:t>
      </w:r>
      <w:r>
        <w:rPr/>
        <w:t>17</w:t>
      </w:r>
      <w:r>
        <w:rPr>
          <w:rtl w:val="true"/>
        </w:rPr>
        <w:t xml:space="preserve">): </w:t>
      </w:r>
      <w:r>
        <w:rPr>
          <w:rtl w:val="true"/>
        </w:rPr>
        <w:t>الظاهر أنّه یلاحظ فی البذر قیمته یوم الزرع لا مثله</w:t>
      </w:r>
      <w:r>
        <w:rPr>
          <w:rtl w:val="true"/>
        </w:rPr>
        <w:t>]</w:t>
      </w:r>
      <w:bookmarkEnd w:id="315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یلاحظ فی البذر قیمته یوم الزرع لا مثله؛ سواء کان من ماله أو اشتراه، فلو کان بعضه من ماله الغیر المزکّی تعلّق زکاته من العشر أو نصف العشر بذمّته </w:t>
      </w:r>
      <w:r>
        <w:rPr>
          <w:rStyle w:val="FootnoteAnchor"/>
          <w:rtl w:val="true"/>
        </w:rPr>
        <w:footnoteReference w:id="903"/>
      </w:r>
      <w:r>
        <w:rPr>
          <w:rFonts w:ascii="IRNazanin" w:hAnsi="IRNazanin" w:eastAsia="IRNazanin"/>
          <w:color w:val="111111"/>
          <w:sz w:val="28"/>
          <w:sz w:val="28"/>
          <w:szCs w:val="28"/>
          <w:rtl w:val="true"/>
          <w:lang w:bidi="fa-IR"/>
        </w:rPr>
        <w:t>و یحسب قیمة البقیّة من مئونة هذا الزرع</w:t>
      </w:r>
      <w:r>
        <w:rPr>
          <w:rFonts w:eastAsia="IRNazanin" w:cs="IRNazanin"/>
          <w:color w:val="111111"/>
          <w:sz w:val="28"/>
          <w:szCs w:val="28"/>
          <w:rtl w:val="true"/>
          <w:lang w:bidi="fa-IR"/>
        </w:rPr>
        <w:t>.</w:t>
      </w:r>
      <w:bookmarkStart w:id="3152" w:name="pg1809_19255"/>
    </w:p>
    <w:p>
      <w:pPr>
        <w:pStyle w:val="Heading6"/>
        <w:numPr>
          <w:ilvl w:val="5"/>
          <w:numId w:val="1"/>
        </w:numPr>
        <w:rPr/>
      </w:pPr>
      <w:bookmarkStart w:id="3153" w:name="__RefHeading___Toc2567862_3650668749"/>
      <w:bookmarkStart w:id="3154" w:name="_Toc1440"/>
      <w:bookmarkEnd w:id="3152"/>
      <w:bookmarkEnd w:id="3153"/>
      <w:r>
        <w:rPr>
          <w:rtl w:val="true"/>
        </w:rPr>
        <w:t>[ (</w:t>
      </w:r>
      <w:r>
        <w:rPr>
          <w:rtl w:val="true"/>
        </w:rPr>
        <w:t xml:space="preserve">مسألة </w:t>
      </w:r>
      <w:r>
        <w:rPr/>
        <w:t>18</w:t>
      </w:r>
      <w:r>
        <w:rPr>
          <w:rtl w:val="true"/>
        </w:rPr>
        <w:t xml:space="preserve">): </w:t>
      </w:r>
      <w:r>
        <w:rPr>
          <w:rtl w:val="true"/>
        </w:rPr>
        <w:t>لو کان مع الزکوی غیره وزّعت المئونة علیهما</w:t>
      </w:r>
      <w:r>
        <w:rPr>
          <w:rtl w:val="true"/>
        </w:rPr>
        <w:t>]</w:t>
      </w:r>
      <w:bookmarkEnd w:id="3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مع الزکوی غیره وزّعت المئونة علیهما، و کذا الخراج </w:t>
      </w:r>
      <w:r>
        <w:rPr>
          <w:rStyle w:val="FootnoteAnchor"/>
          <w:rtl w:val="true"/>
        </w:rPr>
        <w:footnoteReference w:id="904"/>
      </w:r>
      <w:r>
        <w:rPr>
          <w:rFonts w:ascii="IRNazanin" w:hAnsi="IRNazanin" w:eastAsia="IRNazanin"/>
          <w:color w:val="111111"/>
          <w:sz w:val="28"/>
          <w:sz w:val="28"/>
          <w:szCs w:val="28"/>
          <w:rtl w:val="true"/>
          <w:lang w:bidi="fa-IR"/>
        </w:rPr>
        <w:t>الذی یأخذه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توزیعها علی التبن و الحبّ وجه، إلّا أنّ الأوجه خلافه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55" w:name="__RefHeading___Toc2567864_3650668749"/>
      <w:bookmarkStart w:id="3156" w:name="_Toc1441"/>
      <w:bookmarkEnd w:id="3155"/>
      <w:r>
        <w:rPr>
          <w:rtl w:val="true"/>
        </w:rPr>
        <w:t>[ (</w:t>
      </w:r>
      <w:r>
        <w:rPr>
          <w:rtl w:val="true"/>
        </w:rPr>
        <w:t xml:space="preserve">مسألة </w:t>
      </w:r>
      <w:r>
        <w:rPr/>
        <w:t>19</w:t>
      </w:r>
      <w:r>
        <w:rPr>
          <w:rtl w:val="true"/>
        </w:rPr>
        <w:t xml:space="preserve">): </w:t>
      </w:r>
      <w:r>
        <w:rPr>
          <w:rtl w:val="true"/>
        </w:rPr>
        <w:t>إذا کان للعمل مدخلیّة فی ثمر سنین عدیدة</w:t>
      </w:r>
      <w:r>
        <w:rPr>
          <w:rtl w:val="true"/>
        </w:rPr>
        <w:t>]</w:t>
      </w:r>
      <w:bookmarkEnd w:id="3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للعمل مدخلیّة فی ثمر سنین عدیدة یجوز احتسابه </w:t>
      </w:r>
      <w:r>
        <w:rPr>
          <w:rStyle w:val="FootnoteAnchor"/>
          <w:rtl w:val="true"/>
        </w:rPr>
        <w:footnoteReference w:id="906"/>
      </w:r>
      <w:r>
        <w:rPr>
          <w:rFonts w:ascii="IRNazanin" w:hAnsi="IRNazanin" w:eastAsia="IRNazanin"/>
          <w:color w:val="111111"/>
          <w:sz w:val="28"/>
          <w:sz w:val="28"/>
          <w:szCs w:val="28"/>
          <w:rtl w:val="true"/>
          <w:lang w:bidi="fa-IR"/>
        </w:rPr>
        <w:t>من مئونة السنة الأُولیٰ، فیکون غیرها بلا مئونة، کما أنّه یجوز التوزیع علی السنین</w:t>
      </w:r>
      <w:r>
        <w:rPr>
          <w:rFonts w:eastAsia="IRNazanin" w:cs="IRNazanin"/>
          <w:color w:val="111111"/>
          <w:sz w:val="28"/>
          <w:szCs w:val="28"/>
          <w:rtl w:val="true"/>
          <w:lang w:bidi="fa-IR"/>
        </w:rPr>
        <w:t>.</w:t>
      </w:r>
    </w:p>
    <w:p>
      <w:pPr>
        <w:pStyle w:val="Heading6"/>
        <w:numPr>
          <w:ilvl w:val="5"/>
          <w:numId w:val="1"/>
        </w:numPr>
        <w:rPr/>
      </w:pPr>
      <w:bookmarkStart w:id="3157" w:name="__RefHeading___Toc2567866_3650668749"/>
      <w:bookmarkStart w:id="3158" w:name="_Toc1442"/>
      <w:bookmarkEnd w:id="3157"/>
      <w:r>
        <w:rPr>
          <w:rtl w:val="true"/>
        </w:rPr>
        <w:t>[ (</w:t>
      </w:r>
      <w:r>
        <w:rPr>
          <w:rtl w:val="true"/>
        </w:rPr>
        <w:t xml:space="preserve">مسألة </w:t>
      </w:r>
      <w:r>
        <w:rPr/>
        <w:t>20</w:t>
      </w:r>
      <w:r>
        <w:rPr>
          <w:rtl w:val="true"/>
        </w:rPr>
        <w:t xml:space="preserve">): </w:t>
      </w:r>
      <w:r>
        <w:rPr>
          <w:rtl w:val="true"/>
        </w:rPr>
        <w:t>إذا شکّ فی کون شی‌ء من المؤن أو لا</w:t>
      </w:r>
      <w:r>
        <w:rPr>
          <w:rtl w:val="true"/>
        </w:rPr>
        <w:t>]</w:t>
      </w:r>
      <w:bookmarkEnd w:id="3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کون شی‌ء من المؤن أو لا، لم یحسب منها</w:t>
      </w:r>
      <w:r>
        <w:rPr>
          <w:rFonts w:eastAsia="IRNazanin" w:cs="IRNazanin"/>
          <w:color w:val="111111"/>
          <w:sz w:val="28"/>
          <w:szCs w:val="28"/>
          <w:rtl w:val="true"/>
          <w:lang w:bidi="fa-IR"/>
        </w:rPr>
        <w:t>.</w:t>
      </w:r>
    </w:p>
    <w:p>
      <w:pPr>
        <w:pStyle w:val="Heading6"/>
        <w:numPr>
          <w:ilvl w:val="5"/>
          <w:numId w:val="1"/>
        </w:numPr>
        <w:rPr/>
      </w:pPr>
      <w:bookmarkStart w:id="3159" w:name="__RefHeading___Toc2567868_3650668749"/>
      <w:bookmarkStart w:id="3160" w:name="_Toc1443"/>
      <w:bookmarkEnd w:id="3159"/>
      <w:r>
        <w:rPr>
          <w:rtl w:val="true"/>
        </w:rPr>
        <w:t>[</w:t>
      </w:r>
      <w:r>
        <w:rPr>
          <w:rtl w:val="true"/>
        </w:rPr>
        <w:t>المطلب الثالث</w:t>
      </w:r>
      <w:r>
        <w:rPr>
          <w:rtl w:val="true"/>
        </w:rPr>
        <w:t xml:space="preserve">: </w:t>
      </w:r>
      <w:r>
        <w:rPr>
          <w:rtl w:val="true"/>
        </w:rPr>
        <w:t>کلّما سقی سیحاً و لو بحفر نهر و نحوه أو بعلًا</w:t>
      </w:r>
      <w:r>
        <w:rPr>
          <w:rtl w:val="true"/>
        </w:rPr>
        <w:t>]</w:t>
      </w:r>
      <w:bookmarkEnd w:id="3160"/>
    </w:p>
    <w:p>
      <w:pPr>
        <w:pStyle w:val="Heading6"/>
        <w:numPr>
          <w:ilvl w:val="5"/>
          <w:numId w:val="1"/>
        </w:numPr>
        <w:rPr/>
      </w:pPr>
      <w:bookmarkStart w:id="3161" w:name="__RefHeading___Toc2567870_3650668749"/>
      <w:bookmarkStart w:id="3162" w:name="_Toc1444"/>
      <w:bookmarkEnd w:id="3161"/>
      <w:r>
        <w:rPr>
          <w:rtl w:val="true"/>
        </w:rPr>
        <w:t>اشارة</w:t>
      </w:r>
      <w:bookmarkEnd w:id="3162"/>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 سقی سیحاً و لو بحفر نهر و نحوه أو بعلًا و هو ما یشرب بعروقه أو عذیاً و هو ما یسقیٰ بالمطر ففیه العشر، و ما یسقیٰ بالعلاج بالدلو و الدوالی و النواضح و نحوها من العلاجات ففیه نصف العشر، و إن سقی بهما فالحکم للأکثر </w:t>
      </w:r>
      <w:r>
        <w:rPr>
          <w:rStyle w:val="FootnoteAnchor"/>
          <w:rtl w:val="true"/>
        </w:rPr>
        <w:footnoteReference w:id="907"/>
      </w:r>
      <w:r>
        <w:rPr>
          <w:rFonts w:ascii="IRNazanin" w:hAnsi="IRNazanin" w:eastAsia="IRNazanin"/>
          <w:color w:val="111111"/>
          <w:sz w:val="28"/>
          <w:sz w:val="28"/>
          <w:szCs w:val="28"/>
          <w:rtl w:val="true"/>
          <w:lang w:bidi="fa-IR"/>
        </w:rPr>
        <w:t xml:space="preserve">الذی یسند السقی إلیه عرفاً، و إن تساویا بحیث لم یتحقّق الإسناد المزبور بل یصدق أنّه سقی بهما، ففی نصفه العشر و فی نصفه الآخر نصف العشر، و مع الشکّ فالواجب الأقلّ </w:t>
      </w:r>
      <w:r>
        <w:rPr>
          <w:rStyle w:val="FootnoteAnchor"/>
          <w:rtl w:val="true"/>
        </w:rPr>
        <w:footnoteReference w:id="908"/>
      </w:r>
      <w:r>
        <w:rPr>
          <w:rFonts w:ascii="IRNazanin" w:hAnsi="IRNazanin" w:eastAsia="IRNazanin"/>
          <w:color w:val="111111"/>
          <w:sz w:val="28"/>
          <w:sz w:val="28"/>
          <w:szCs w:val="28"/>
          <w:rtl w:val="true"/>
          <w:lang w:bidi="fa-IR"/>
        </w:rPr>
        <w:t>و الأحوط الأکثر</w:t>
      </w:r>
      <w:r>
        <w:rPr>
          <w:rFonts w:eastAsia="IRNazanin" w:cs="IRNazanin"/>
          <w:color w:val="111111"/>
          <w:sz w:val="28"/>
          <w:szCs w:val="28"/>
          <w:rtl w:val="true"/>
          <w:lang w:bidi="fa-IR"/>
        </w:rPr>
        <w:t>.</w:t>
      </w:r>
    </w:p>
    <w:p>
      <w:pPr>
        <w:pStyle w:val="Heading6"/>
        <w:numPr>
          <w:ilvl w:val="5"/>
          <w:numId w:val="1"/>
        </w:numPr>
        <w:rPr/>
      </w:pPr>
      <w:bookmarkStart w:id="3163" w:name="__RefHeading___Toc2567872_3650668749"/>
      <w:bookmarkStart w:id="3164" w:name="_Toc1445"/>
      <w:bookmarkEnd w:id="3163"/>
      <w:r>
        <w:rPr>
          <w:rtl w:val="true"/>
        </w:rPr>
        <w:t>[ (</w:t>
      </w:r>
      <w:r>
        <w:rPr>
          <w:rtl w:val="true"/>
        </w:rPr>
        <w:t xml:space="preserve">مسألة </w:t>
      </w:r>
      <w:r>
        <w:rPr/>
        <w:t>21</w:t>
      </w:r>
      <w:r>
        <w:rPr>
          <w:rtl w:val="true"/>
        </w:rPr>
        <w:t xml:space="preserve">): </w:t>
      </w:r>
      <w:r>
        <w:rPr>
          <w:rtl w:val="true"/>
        </w:rPr>
        <w:t>الأمطار العادیة فی أیّام السنة لا تخرج ما یسقیٰ بالدوالی عن حکمه</w:t>
      </w:r>
      <w:r>
        <w:rPr>
          <w:rtl w:val="true"/>
        </w:rPr>
        <w:t>]</w:t>
      </w:r>
      <w:bookmarkEnd w:id="3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الأمطار العادیة فی أیّام السنة لا تخرج ما یسقیٰ بالدوالی عن حکمه، إلّا إذا استغنیٰ بها عن الدوالی أو صار مشترکاً بینهما</w:t>
      </w:r>
      <w:r>
        <w:rPr>
          <w:rFonts w:eastAsia="IRNazanin" w:cs="IRNazanin"/>
          <w:color w:val="111111"/>
          <w:sz w:val="28"/>
          <w:szCs w:val="28"/>
          <w:rtl w:val="true"/>
          <w:lang w:bidi="fa-IR"/>
        </w:rPr>
        <w:t>.</w:t>
      </w:r>
    </w:p>
    <w:p>
      <w:pPr>
        <w:pStyle w:val="Heading6"/>
        <w:numPr>
          <w:ilvl w:val="5"/>
          <w:numId w:val="1"/>
        </w:numPr>
        <w:rPr/>
      </w:pPr>
      <w:bookmarkStart w:id="3165" w:name="__RefHeading___Toc2567874_3650668749"/>
      <w:bookmarkStart w:id="3166" w:name="_Toc1446"/>
      <w:bookmarkEnd w:id="3165"/>
      <w:r>
        <w:rPr>
          <w:rtl w:val="true"/>
        </w:rPr>
        <w:t>[ (</w:t>
      </w:r>
      <w:r>
        <w:rPr>
          <w:rtl w:val="true"/>
        </w:rPr>
        <w:t xml:space="preserve">مسألة </w:t>
      </w:r>
      <w:r>
        <w:rPr/>
        <w:t>22</w:t>
      </w:r>
      <w:r>
        <w:rPr>
          <w:rtl w:val="true"/>
        </w:rPr>
        <w:t xml:space="preserve">): </w:t>
      </w:r>
      <w:r>
        <w:rPr>
          <w:rtl w:val="true"/>
        </w:rPr>
        <w:t>لو أخرج شخص الماء بالدوالی علیٰ أرض مباحة مثلًا عبثاً أو لغرض، فزرعها آخر و شرب الزرع بعروقه</w:t>
      </w:r>
      <w:r>
        <w:rPr>
          <w:rtl w:val="true"/>
        </w:rPr>
        <w:t>]</w:t>
      </w:r>
      <w:bookmarkEnd w:id="316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أخرج شخص الماء بالدوالی علیٰ أرض مباحة مثلًا عبثاً أو لغرض، فزرعها آخر و شرب الزرع بعروقه یجب العشر علی الأقویٰ، و کذا إذا أخرجه هو بنفسه لغرض آخر غیر الزرع ثمّ بدا له أن یزرع زرعاً یشرب بعروقه، بل و کذا إذا أخرجه لزرع فزاد و جریٰ علیٰ أرض أُخری فبدا له أن یزرع فیها زرعاً یشرب بعروقه</w:t>
      </w:r>
      <w:r>
        <w:rPr>
          <w:rFonts w:eastAsia="IRNazanin" w:cs="IRNazanin"/>
          <w:color w:val="111111"/>
          <w:sz w:val="28"/>
          <w:szCs w:val="28"/>
          <w:rtl w:val="true"/>
          <w:lang w:bidi="fa-IR"/>
        </w:rPr>
        <w:t>.</w:t>
      </w:r>
      <w:bookmarkStart w:id="3167" w:name="pg1809_19257"/>
    </w:p>
    <w:p>
      <w:pPr>
        <w:pStyle w:val="Heading5"/>
        <w:numPr>
          <w:ilvl w:val="4"/>
          <w:numId w:val="1"/>
        </w:numPr>
        <w:rPr/>
      </w:pPr>
      <w:bookmarkStart w:id="3168" w:name="__RefHeading___Toc2567876_3650668749"/>
      <w:bookmarkStart w:id="3169" w:name="_Toc1447"/>
      <w:bookmarkEnd w:id="3167"/>
      <w:bookmarkEnd w:id="3168"/>
      <w:r>
        <w:rPr>
          <w:rtl w:val="true"/>
        </w:rPr>
        <w:t>[</w:t>
      </w:r>
      <w:r>
        <w:rPr>
          <w:rtl w:val="true"/>
        </w:rPr>
        <w:t>القول فیما یستحبّ فیه الزکاة</w:t>
      </w:r>
      <w:r>
        <w:rPr>
          <w:rtl w:val="true"/>
        </w:rPr>
        <w:t>]</w:t>
      </w:r>
      <w:bookmarkEnd w:id="3169"/>
    </w:p>
    <w:p>
      <w:pPr>
        <w:pStyle w:val="Heading6"/>
        <w:numPr>
          <w:ilvl w:val="5"/>
          <w:numId w:val="1"/>
        </w:numPr>
        <w:rPr/>
      </w:pPr>
      <w:bookmarkStart w:id="3170" w:name="__RefHeading___Toc2567878_3650668749"/>
      <w:bookmarkStart w:id="3171" w:name="_Toc1448"/>
      <w:bookmarkEnd w:id="3170"/>
      <w:r>
        <w:rPr>
          <w:rtl w:val="true"/>
        </w:rPr>
        <w:t>اشارة</w:t>
      </w:r>
      <w:bookmarkEnd w:id="3171"/>
    </w:p>
    <w:p>
      <w:pPr>
        <w:pStyle w:val="BookText"/>
        <w:rPr/>
      </w:pPr>
      <w:r>
        <w:rPr>
          <w:rFonts w:ascii="IRNazanin" w:hAnsi="IRNazanin" w:eastAsia="IRNazanin"/>
          <w:color w:val="111111"/>
          <w:sz w:val="28"/>
          <w:sz w:val="28"/>
          <w:szCs w:val="28"/>
          <w:rtl w:val="true"/>
          <w:lang w:bidi="fa-IR"/>
        </w:rPr>
        <w:t>القول فیما یستحبّ فیه الزکاة و هی أُمور</w:t>
      </w:r>
      <w:r>
        <w:rPr>
          <w:rFonts w:eastAsia="IRNazanin" w:cs="IRNazanin"/>
          <w:color w:val="111111"/>
          <w:sz w:val="28"/>
          <w:szCs w:val="28"/>
          <w:rtl w:val="true"/>
          <w:lang w:bidi="fa-IR"/>
        </w:rPr>
        <w:t>:</w:t>
      </w:r>
    </w:p>
    <w:p>
      <w:pPr>
        <w:pStyle w:val="Heading6"/>
        <w:numPr>
          <w:ilvl w:val="5"/>
          <w:numId w:val="1"/>
        </w:numPr>
        <w:rPr/>
      </w:pPr>
      <w:bookmarkStart w:id="3172" w:name="__RefHeading___Toc2567880_3650668749"/>
      <w:bookmarkStart w:id="3173" w:name="_Toc1449"/>
      <w:bookmarkEnd w:id="3172"/>
      <w:r>
        <w:rPr>
          <w:rtl w:val="true"/>
        </w:rPr>
        <w:t>[</w:t>
      </w:r>
      <w:r>
        <w:rPr>
          <w:rtl w:val="true"/>
        </w:rPr>
        <w:t>الأوّل</w:t>
      </w:r>
      <w:r>
        <w:rPr>
          <w:rtl w:val="true"/>
        </w:rPr>
        <w:t xml:space="preserve">: </w:t>
      </w:r>
      <w:r>
        <w:rPr>
          <w:rtl w:val="true"/>
        </w:rPr>
        <w:t>مال التجارة</w:t>
      </w:r>
      <w:r>
        <w:rPr>
          <w:rtl w:val="true"/>
        </w:rPr>
        <w:t>]</w:t>
      </w:r>
      <w:bookmarkEnd w:id="317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التجارة </w:t>
      </w:r>
      <w:r>
        <w:rPr>
          <w:rStyle w:val="FootnoteAnchor"/>
          <w:rtl w:val="true"/>
        </w:rPr>
        <w:footnoteReference w:id="909"/>
      </w:r>
      <w:r>
        <w:rPr>
          <w:rFonts w:ascii="IRNazanin" w:hAnsi="IRNazanin" w:eastAsia="IRNazanin"/>
          <w:color w:val="111111"/>
          <w:sz w:val="28"/>
          <w:sz w:val="28"/>
          <w:szCs w:val="28"/>
          <w:rtl w:val="true"/>
          <w:lang w:bidi="fa-IR"/>
        </w:rPr>
        <w:t>علی الأصحّ، و هو المال الذی وقع مورداً للتجارة و الاکتساب؛ بأن عووض بمال آخر و قصد به الاسترباح؛ سواء کان تملّکه لذلک المال بعقد المعاوضة أو بمثل الهبة و الصلح المجّانی أو الإرث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یکفی فی الدخول فی هذا العنوان إعداد المال للتجارة و إن لم یقع فعلًا مورداً لها و لم یتّجر به أم لا؟ فیه إشکال، أقواهما الثانی، و إن کان الأحوط هو الأوّل، فلو ملک مالًا بالمعاوضة أو غیرها قاصداً به الاقتناء أو الصرف فی مئونته ثمّ بدا له أن یکتسب به و نوی الاتّجار به لم یکن من مال التجارة ما لم یشتغل بالاکتساب به ببیعه أو جعله ثمناً لشی‌ء، نعم لو کان مورداً للاتّجار عند المنتقل عنه کما إذا ورّث ابن التاجر أموال تجارة أبیه و نوی الاتّجار بها، ففی الاکتفاء بذلک وجه إلّا أنّ الأوجه خلافه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فیه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بلوغه حدّ النصاب؛ و هو نصاب أحد النقدین، فلا زکاة فیما لم یبلغ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الحول من حین دورانه فی التجارة علیٰ ما قوّیناه و من حین قصدها علی الاحتمال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إبقاؤه </w:t>
      </w:r>
      <w:r>
        <w:rPr>
          <w:rStyle w:val="FootnoteAnchor"/>
          <w:rtl w:val="true"/>
        </w:rPr>
        <w:footnoteReference w:id="910"/>
      </w:r>
      <w:r>
        <w:rPr>
          <w:rFonts w:ascii="IRNazanin" w:hAnsi="IRNazanin" w:eastAsia="IRNazanin"/>
          <w:color w:val="111111"/>
          <w:sz w:val="28"/>
          <w:sz w:val="28"/>
          <w:szCs w:val="28"/>
          <w:rtl w:val="true"/>
          <w:lang w:bidi="fa-IR"/>
        </w:rPr>
        <w:t>طول الحول لأجل تحصیل رأس المال أو الزیادة، فلو کان رأس ماله مائة دینار مثلًا فصار یطلب فی أثناء السنة بنقیصة و لو بمقدار قیراط یوماً من الأیّام سقطت الزکاة، و کذا لو نویٰ به القنیة کذلک، و قدر الزکاة فیه ربع العشر کما فی النقدین، و إذا کان المتاع عروضاً یکفی بلوغ قیمته حدّ النصاب بأحد النقدین و إن لم یبلغ حدّه بحسب النقد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لهذه الزکاة مسائل و فروع لم نتعرّضها لقلّة الابتلاء بها</w:t>
      </w:r>
      <w:r>
        <w:rPr>
          <w:rFonts w:eastAsia="IRNazanin" w:cs="IRNazanin"/>
          <w:color w:val="111111"/>
          <w:sz w:val="28"/>
          <w:szCs w:val="28"/>
          <w:rtl w:val="true"/>
          <w:lang w:bidi="fa-IR"/>
        </w:rPr>
        <w:t>.</w:t>
      </w:r>
      <w:bookmarkStart w:id="3174" w:name="pg1809_19260"/>
    </w:p>
    <w:p>
      <w:pPr>
        <w:pStyle w:val="Heading6"/>
        <w:numPr>
          <w:ilvl w:val="5"/>
          <w:numId w:val="1"/>
        </w:numPr>
        <w:rPr/>
      </w:pPr>
      <w:bookmarkStart w:id="3175" w:name="__RefHeading___Toc2567882_3650668749"/>
      <w:bookmarkStart w:id="3176" w:name="_Toc1450"/>
      <w:bookmarkEnd w:id="3174"/>
      <w:bookmarkEnd w:id="3175"/>
      <w:r>
        <w:rPr>
          <w:rtl w:val="true"/>
        </w:rPr>
        <w:t>[</w:t>
      </w:r>
      <w:r>
        <w:rPr>
          <w:rtl w:val="true"/>
        </w:rPr>
        <w:t>الثانی ممّا تستحبّ فیه الزکاة</w:t>
      </w:r>
      <w:r>
        <w:rPr>
          <w:rtl w:val="true"/>
        </w:rPr>
        <w:t xml:space="preserve">: </w:t>
      </w:r>
      <w:r>
        <w:rPr>
          <w:rtl w:val="true"/>
        </w:rPr>
        <w:t>کلّ ما یکال أو یوزن</w:t>
      </w:r>
      <w:r>
        <w:rPr>
          <w:rtl w:val="true"/>
        </w:rPr>
        <w:t>]</w:t>
      </w:r>
      <w:bookmarkEnd w:id="3176"/>
    </w:p>
    <w:p>
      <w:pPr>
        <w:pStyle w:val="BookText"/>
        <w:rPr/>
      </w:pPr>
      <w:r>
        <w:rPr>
          <w:rFonts w:ascii="IRNazanin" w:hAnsi="IRNazanin" w:eastAsia="IRNazanin"/>
          <w:color w:val="111111"/>
          <w:sz w:val="28"/>
          <w:sz w:val="28"/>
          <w:szCs w:val="28"/>
          <w:rtl w:val="true"/>
          <w:lang w:bidi="fa-IR"/>
        </w:rPr>
        <w:t>الثانی ممّا تستحبّ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یکال </w:t>
      </w:r>
      <w:r>
        <w:rPr>
          <w:rStyle w:val="FootnoteAnchor"/>
          <w:rtl w:val="true"/>
        </w:rPr>
        <w:footnoteReference w:id="911"/>
      </w:r>
      <w:r>
        <w:rPr>
          <w:rFonts w:ascii="IRNazanin" w:hAnsi="IRNazanin" w:eastAsia="IRNazanin"/>
          <w:color w:val="111111"/>
          <w:sz w:val="28"/>
          <w:sz w:val="28"/>
          <w:szCs w:val="28"/>
          <w:rtl w:val="true"/>
          <w:lang w:bidi="fa-IR"/>
        </w:rPr>
        <w:t>أو یوزن غیر الغلّات الأربع عدا الخضر کالبقل و الفواکه و الباذنجان و الخیار و البطّیخ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حکمها حکم الغلّات الأربع فی قدر النصاب و قدر ما یخرج منها من العشر أو نصف العشر و إخراج الخراج و المؤن و غیر ذلک</w:t>
      </w:r>
      <w:r>
        <w:rPr>
          <w:rFonts w:eastAsia="IRNazanin" w:cs="IRNazanin"/>
          <w:color w:val="111111"/>
          <w:sz w:val="28"/>
          <w:szCs w:val="28"/>
          <w:rtl w:val="true"/>
          <w:lang w:bidi="fa-IR"/>
        </w:rPr>
        <w:t>.</w:t>
      </w:r>
    </w:p>
    <w:p>
      <w:pPr>
        <w:pStyle w:val="Heading6"/>
        <w:numPr>
          <w:ilvl w:val="5"/>
          <w:numId w:val="1"/>
        </w:numPr>
        <w:rPr/>
      </w:pPr>
      <w:bookmarkStart w:id="3177" w:name="__RefHeading___Toc2567884_3650668749"/>
      <w:bookmarkStart w:id="3178" w:name="_Toc1451"/>
      <w:bookmarkEnd w:id="3177"/>
      <w:r>
        <w:rPr>
          <w:rtl w:val="true"/>
        </w:rPr>
        <w:t>[</w:t>
      </w:r>
      <w:r>
        <w:rPr>
          <w:rtl w:val="true"/>
        </w:rPr>
        <w:t>الثالث</w:t>
      </w:r>
      <w:r>
        <w:rPr>
          <w:rtl w:val="true"/>
        </w:rPr>
        <w:t xml:space="preserve">: </w:t>
      </w:r>
      <w:r>
        <w:rPr>
          <w:rtl w:val="true"/>
        </w:rPr>
        <w:t>الخیل الإناث بشرط کونها سائمة و حال علیها الحول</w:t>
      </w:r>
      <w:r>
        <w:rPr>
          <w:rtl w:val="true"/>
        </w:rPr>
        <w:t>]</w:t>
      </w:r>
      <w:bookmarkEnd w:id="317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الخیل </w:t>
      </w:r>
      <w:r>
        <w:rPr>
          <w:rStyle w:val="FootnoteAnchor"/>
          <w:rtl w:val="true"/>
        </w:rPr>
        <w:footnoteReference w:id="912"/>
      </w:r>
      <w:r>
        <w:rPr>
          <w:rFonts w:ascii="IRNazanin" w:hAnsi="IRNazanin" w:eastAsia="IRNazanin"/>
          <w:color w:val="111111"/>
          <w:sz w:val="28"/>
          <w:sz w:val="28"/>
          <w:szCs w:val="28"/>
          <w:rtl w:val="true"/>
          <w:lang w:bidi="fa-IR"/>
        </w:rPr>
        <w:t>الإناث بشرط کونها سائمة و حال علیها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العتاق منها و هی التی تولّدت من عربیّین عن کلّ فرس منها فی کلّ سنة دیناران، و فی البرذون فی کلّ سنة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ثبوتها حتّی مع الاشتراک، فلو اشترک جماعة فی فرس تثبت الزکاة بینهم</w:t>
      </w:r>
      <w:r>
        <w:rPr>
          <w:rFonts w:eastAsia="IRNazanin" w:cs="IRNazanin"/>
          <w:color w:val="111111"/>
          <w:sz w:val="28"/>
          <w:szCs w:val="28"/>
          <w:rtl w:val="true"/>
          <w:lang w:bidi="fa-IR"/>
        </w:rPr>
        <w:t>.</w:t>
      </w:r>
    </w:p>
    <w:p>
      <w:pPr>
        <w:pStyle w:val="Heading6"/>
        <w:numPr>
          <w:ilvl w:val="5"/>
          <w:numId w:val="1"/>
        </w:numPr>
        <w:rPr/>
      </w:pPr>
      <w:bookmarkStart w:id="3179" w:name="__RefHeading___Toc2567886_3650668749"/>
      <w:bookmarkStart w:id="3180" w:name="_Toc1452"/>
      <w:bookmarkEnd w:id="3179"/>
      <w:r>
        <w:rPr>
          <w:rtl w:val="true"/>
        </w:rPr>
        <w:t>[</w:t>
      </w:r>
      <w:r>
        <w:rPr>
          <w:rtl w:val="true"/>
        </w:rPr>
        <w:t>الرابع</w:t>
      </w:r>
      <w:r>
        <w:rPr>
          <w:rtl w:val="true"/>
        </w:rPr>
        <w:t xml:space="preserve">: </w:t>
      </w:r>
      <w:r>
        <w:rPr>
          <w:rtl w:val="true"/>
        </w:rPr>
        <w:t>حاصل العقار المتّخذة للنماء</w:t>
      </w:r>
      <w:r>
        <w:rPr>
          <w:rtl w:val="true"/>
        </w:rPr>
        <w:t>]</w:t>
      </w:r>
      <w:bookmarkEnd w:id="3180"/>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العقار </w:t>
      </w:r>
      <w:r>
        <w:rPr>
          <w:rStyle w:val="FootnoteAnchor"/>
          <w:rtl w:val="true"/>
        </w:rPr>
        <w:footnoteReference w:id="913"/>
      </w:r>
      <w:r>
        <w:rPr>
          <w:rFonts w:ascii="IRNazanin" w:hAnsi="IRNazanin" w:eastAsia="IRNazanin"/>
          <w:color w:val="111111"/>
          <w:sz w:val="28"/>
          <w:sz w:val="28"/>
          <w:szCs w:val="28"/>
          <w:rtl w:val="true"/>
          <w:lang w:bidi="fa-IR"/>
        </w:rPr>
        <w:t>المتّخذة للنماء من الدکاکین و المساکن و الحمّامات و الخانات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اعتبار نصاب </w:t>
      </w:r>
      <w:r>
        <w:rPr>
          <w:rStyle w:val="FootnoteAnchor"/>
          <w:rtl w:val="true"/>
        </w:rPr>
        <w:footnoteReference w:id="914"/>
      </w:r>
      <w:r>
        <w:rPr>
          <w:rFonts w:ascii="IRNazanin" w:hAnsi="IRNazanin" w:eastAsia="IRNazanin"/>
          <w:color w:val="111111"/>
          <w:sz w:val="28"/>
          <w:sz w:val="28"/>
          <w:szCs w:val="28"/>
          <w:rtl w:val="true"/>
          <w:lang w:bidi="fa-IR"/>
        </w:rPr>
        <w:t>النقدین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 المخرج ربع العشر</w:t>
      </w:r>
      <w:r>
        <w:rPr>
          <w:rFonts w:eastAsia="IRNazanin" w:cs="IRNazanin"/>
          <w:color w:val="111111"/>
          <w:sz w:val="28"/>
          <w:szCs w:val="28"/>
          <w:rtl w:val="true"/>
          <w:lang w:bidi="fa-IR"/>
        </w:rPr>
        <w:t>.</w:t>
      </w:r>
    </w:p>
    <w:p>
      <w:pPr>
        <w:pStyle w:val="Heading6"/>
        <w:numPr>
          <w:ilvl w:val="5"/>
          <w:numId w:val="1"/>
        </w:numPr>
        <w:rPr/>
      </w:pPr>
      <w:bookmarkStart w:id="3181" w:name="__RefHeading___Toc2567888_3650668749"/>
      <w:bookmarkStart w:id="3182" w:name="_Toc1453"/>
      <w:bookmarkEnd w:id="3181"/>
      <w:r>
        <w:rPr>
          <w:rtl w:val="true"/>
        </w:rPr>
        <w:t>[</w:t>
      </w:r>
      <w:r>
        <w:rPr>
          <w:rtl w:val="true"/>
        </w:rPr>
        <w:t>الخامس</w:t>
      </w:r>
      <w:r>
        <w:rPr>
          <w:rtl w:val="true"/>
        </w:rPr>
        <w:t xml:space="preserve">: </w:t>
      </w:r>
      <w:r>
        <w:rPr>
          <w:rtl w:val="true"/>
        </w:rPr>
        <w:t>الحلیّ</w:t>
      </w:r>
      <w:r>
        <w:rPr>
          <w:rtl w:val="true"/>
        </w:rPr>
        <w:t>]</w:t>
      </w:r>
      <w:bookmarkEnd w:id="3182"/>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 فإنّ زکاته إعارته</w:t>
      </w:r>
      <w:r>
        <w:rPr>
          <w:rFonts w:eastAsia="IRNazanin" w:cs="IRNazanin"/>
          <w:color w:val="111111"/>
          <w:sz w:val="28"/>
          <w:szCs w:val="28"/>
          <w:rtl w:val="true"/>
          <w:lang w:bidi="fa-IR"/>
        </w:rPr>
        <w:t>.</w:t>
      </w:r>
    </w:p>
    <w:p>
      <w:pPr>
        <w:pStyle w:val="Heading4"/>
        <w:numPr>
          <w:ilvl w:val="3"/>
          <w:numId w:val="1"/>
        </w:numPr>
        <w:rPr/>
      </w:pPr>
      <w:bookmarkStart w:id="3183" w:name="__RefHeading___Toc2567890_3650668749"/>
      <w:bookmarkStart w:id="3184" w:name="_Toc1454"/>
      <w:bookmarkEnd w:id="3183"/>
      <w:r>
        <w:rPr>
          <w:rtl w:val="true"/>
        </w:rPr>
        <w:t>[</w:t>
      </w:r>
      <w:r>
        <w:rPr>
          <w:rtl w:val="true"/>
        </w:rPr>
        <w:t>القول فی أصناف المستحقّین للزکاة و مصارفها</w:t>
      </w:r>
      <w:r>
        <w:rPr>
          <w:rtl w:val="true"/>
        </w:rPr>
        <w:t>]</w:t>
      </w:r>
      <w:bookmarkEnd w:id="3184"/>
    </w:p>
    <w:p>
      <w:pPr>
        <w:pStyle w:val="Heading5"/>
        <w:numPr>
          <w:ilvl w:val="4"/>
          <w:numId w:val="1"/>
        </w:numPr>
        <w:rPr/>
      </w:pPr>
      <w:bookmarkStart w:id="3185" w:name="__RefHeading___Toc2567892_3650668749"/>
      <w:bookmarkStart w:id="3186" w:name="_Toc1455"/>
      <w:bookmarkEnd w:id="3185"/>
      <w:r>
        <w:rPr>
          <w:rtl w:val="true"/>
        </w:rPr>
        <w:t>اشارة</w:t>
      </w:r>
      <w:bookmarkEnd w:id="3186"/>
    </w:p>
    <w:p>
      <w:pPr>
        <w:pStyle w:val="BookText"/>
        <w:rPr/>
      </w:pPr>
      <w:r>
        <w:rPr>
          <w:rFonts w:ascii="IRNazanin" w:hAnsi="IRNazanin" w:eastAsia="IRNazanin"/>
          <w:color w:val="111111"/>
          <w:sz w:val="28"/>
          <w:sz w:val="28"/>
          <w:szCs w:val="28"/>
          <w:rtl w:val="true"/>
          <w:lang w:bidi="fa-IR"/>
        </w:rPr>
        <w:t>القول فی أصناف المستحقّین للزکاة و مصارفها و هی ثمانیة</w:t>
      </w:r>
      <w:r>
        <w:rPr>
          <w:rFonts w:eastAsia="IRNazanin" w:cs="IRNazanin"/>
          <w:color w:val="111111"/>
          <w:sz w:val="28"/>
          <w:szCs w:val="28"/>
          <w:rtl w:val="true"/>
          <w:lang w:bidi="fa-IR"/>
        </w:rPr>
        <w:t>:</w:t>
      </w:r>
    </w:p>
    <w:p>
      <w:pPr>
        <w:pStyle w:val="Heading5"/>
        <w:numPr>
          <w:ilvl w:val="4"/>
          <w:numId w:val="1"/>
        </w:numPr>
        <w:rPr/>
      </w:pPr>
      <w:bookmarkStart w:id="3187" w:name="__RefHeading___Toc2567894_3650668749"/>
      <w:bookmarkStart w:id="3188" w:name="_Toc1456"/>
      <w:bookmarkEnd w:id="3187"/>
      <w:r>
        <w:rPr>
          <w:rtl w:val="true"/>
        </w:rPr>
        <w:t>[</w:t>
      </w:r>
      <w:r>
        <w:rPr>
          <w:rtl w:val="true"/>
        </w:rPr>
        <w:t>الأوّل و الثانی</w:t>
      </w:r>
      <w:r>
        <w:rPr>
          <w:rtl w:val="true"/>
        </w:rPr>
        <w:t xml:space="preserve">: </w:t>
      </w:r>
      <w:r>
        <w:rPr>
          <w:rtl w:val="true"/>
        </w:rPr>
        <w:t>الفقراء و المساکین</w:t>
      </w:r>
      <w:r>
        <w:rPr>
          <w:rtl w:val="true"/>
        </w:rPr>
        <w:t>]</w:t>
      </w:r>
      <w:bookmarkEnd w:id="3188"/>
    </w:p>
    <w:p>
      <w:pPr>
        <w:pStyle w:val="Heading6"/>
        <w:numPr>
          <w:ilvl w:val="5"/>
          <w:numId w:val="1"/>
        </w:numPr>
        <w:rPr/>
      </w:pPr>
      <w:bookmarkStart w:id="3189" w:name="__RefHeading___Toc2567896_3650668749"/>
      <w:bookmarkStart w:id="3190" w:name="_Toc1457"/>
      <w:bookmarkEnd w:id="3189"/>
      <w:r>
        <w:rPr>
          <w:rtl w:val="true"/>
        </w:rPr>
        <w:t>اشارة</w:t>
      </w:r>
      <w:bookmarkEnd w:id="3190"/>
    </w:p>
    <w:p>
      <w:pPr>
        <w:pStyle w:val="BookText"/>
        <w:rPr/>
      </w:pP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الفقراء و المساکین، و الثانی أسوأ حالًا من الأوّل، و هم الذین لا یملکون مئونة سنتهم اللائقة بحالهم لهم و لمن یقومون به لا فعلًا و لا قوّة، فمن کان ذا اکتساب یمون به نفسه و عیاله علیٰ وجه یلیق بحاله لیس من الفقراء و المساکین و لا یحلّ له الزکاة، و کذا صاحب الصنعة و الضیعة و غیرهما ممّا یحصل به مئونته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القادر علی الاکتساب و لکن لم یفعل تکاسلًا فلا یترک </w:t>
      </w:r>
      <w:r>
        <w:rPr>
          <w:rStyle w:val="FootnoteAnchor"/>
          <w:rtl w:val="true"/>
        </w:rPr>
        <w:footnoteReference w:id="915"/>
      </w:r>
      <w:r>
        <w:rPr>
          <w:rFonts w:ascii="IRNazanin" w:hAnsi="IRNazanin" w:eastAsia="IRNazanin"/>
          <w:color w:val="111111"/>
          <w:sz w:val="28"/>
          <w:sz w:val="28"/>
          <w:szCs w:val="28"/>
          <w:rtl w:val="true"/>
          <w:lang w:bidi="fa-IR"/>
        </w:rPr>
        <w:t>الاحتیاط فی اجتنابه عن أخذ الزکاة</w:t>
      </w:r>
      <w:r>
        <w:rPr>
          <w:rFonts w:eastAsia="IRNazanin" w:cs="IRNazanin"/>
          <w:color w:val="111111"/>
          <w:sz w:val="28"/>
          <w:szCs w:val="28"/>
          <w:rtl w:val="true"/>
          <w:lang w:bidi="fa-IR"/>
        </w:rPr>
        <w:t>.</w:t>
      </w:r>
    </w:p>
    <w:p>
      <w:pPr>
        <w:pStyle w:val="Heading6"/>
        <w:numPr>
          <w:ilvl w:val="5"/>
          <w:numId w:val="1"/>
        </w:numPr>
        <w:rPr/>
      </w:pPr>
      <w:bookmarkStart w:id="3191" w:name="__RefHeading___Toc2567898_3650668749"/>
      <w:bookmarkStart w:id="3192" w:name="_Toc1458"/>
      <w:bookmarkEnd w:id="3191"/>
      <w:r>
        <w:rPr>
          <w:rtl w:val="true"/>
        </w:rPr>
        <w:t>[ (</w:t>
      </w:r>
      <w:r>
        <w:rPr>
          <w:rtl w:val="true"/>
        </w:rPr>
        <w:t xml:space="preserve">مسألة </w:t>
      </w:r>
      <w:r>
        <w:rPr/>
        <w:t>1</w:t>
      </w:r>
      <w:r>
        <w:rPr>
          <w:rtl w:val="true"/>
        </w:rPr>
        <w:t xml:space="preserve">): </w:t>
      </w:r>
      <w:r>
        <w:rPr>
          <w:rtl w:val="true"/>
        </w:rPr>
        <w:t>مبدأ السنة التی تدور صفتا الفقر و الغنیٰ مدار مالکیّة مئونتها و عدمها هو زمان إعطاء الزکاة</w:t>
      </w:r>
      <w:r>
        <w:rPr>
          <w:rtl w:val="true"/>
        </w:rPr>
        <w:t>]</w:t>
      </w:r>
      <w:bookmarkEnd w:id="319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السنة التی تدور صفتا الفقر و الغنیٰ مدار مالکیّة مئونتها و عدمها هو زمان إعطاء الزکاة، فیلاحظ کفایته و عدمها فی ذلک الزمان، فکلّ زمان کان مالکاً لمقدار کفایة سنته کان غنیّاً، فإذا نقص عن ذلک بعد صرف بعضه یصیر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تتبدّل صفتا الفقر و الغنیٰ لشخص فی یوم واحد مرّات عدیدة</w:t>
      </w:r>
      <w:r>
        <w:rPr>
          <w:rFonts w:eastAsia="IRNazanin" w:cs="IRNazanin"/>
          <w:color w:val="111111"/>
          <w:sz w:val="28"/>
          <w:szCs w:val="28"/>
          <w:rtl w:val="true"/>
          <w:lang w:bidi="fa-IR"/>
        </w:rPr>
        <w:t>.</w:t>
      </w:r>
      <w:bookmarkStart w:id="3193" w:name="pg1809_19262"/>
    </w:p>
    <w:p>
      <w:pPr>
        <w:pStyle w:val="Heading6"/>
        <w:numPr>
          <w:ilvl w:val="5"/>
          <w:numId w:val="1"/>
        </w:numPr>
        <w:rPr/>
      </w:pPr>
      <w:bookmarkStart w:id="3194" w:name="__RefHeading___Toc2567900_3650668749"/>
      <w:bookmarkStart w:id="3195" w:name="_Toc1459"/>
      <w:bookmarkEnd w:id="3193"/>
      <w:bookmarkEnd w:id="3194"/>
      <w:r>
        <w:rPr>
          <w:rtl w:val="true"/>
        </w:rPr>
        <w:t>[ (</w:t>
      </w:r>
      <w:r>
        <w:rPr>
          <w:rtl w:val="true"/>
        </w:rPr>
        <w:t xml:space="preserve">مسألة </w:t>
      </w:r>
      <w:r>
        <w:rPr/>
        <w:t>2</w:t>
      </w:r>
      <w:r>
        <w:rPr>
          <w:rtl w:val="true"/>
        </w:rPr>
        <w:t xml:space="preserve">): </w:t>
      </w:r>
      <w:r>
        <w:rPr>
          <w:rtl w:val="true"/>
        </w:rPr>
        <w:t>لو کان له رأس مال یکفی لمئونة سنته لکن لم یکفه ربحه</w:t>
      </w:r>
      <w:r>
        <w:rPr>
          <w:rtl w:val="true"/>
        </w:rPr>
        <w:t>]</w:t>
      </w:r>
      <w:bookmarkEnd w:id="3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رأس مال یکفی لمئونة سنته لکن لم یکفه ربحه، أو ضیعة تقوم قیمتها بمئونة سنة أو سنوات و لکن لا تکفیه عائداتها لا یکون غنیّاً، فیجوز له أن یبقیها و یأخذ من الزکاة بقیّة المئونة</w:t>
      </w:r>
      <w:r>
        <w:rPr>
          <w:rFonts w:eastAsia="IRNazanin" w:cs="IRNazanin"/>
          <w:color w:val="111111"/>
          <w:sz w:val="28"/>
          <w:szCs w:val="28"/>
          <w:rtl w:val="true"/>
          <w:lang w:bidi="fa-IR"/>
        </w:rPr>
        <w:t>.</w:t>
      </w:r>
    </w:p>
    <w:p>
      <w:pPr>
        <w:pStyle w:val="Heading6"/>
        <w:numPr>
          <w:ilvl w:val="5"/>
          <w:numId w:val="1"/>
        </w:numPr>
        <w:rPr/>
      </w:pPr>
      <w:bookmarkStart w:id="3196" w:name="__RefHeading___Toc2567902_3650668749"/>
      <w:bookmarkStart w:id="3197" w:name="_Toc1460"/>
      <w:bookmarkEnd w:id="3196"/>
      <w:r>
        <w:rPr>
          <w:rtl w:val="true"/>
        </w:rPr>
        <w:t>[ (</w:t>
      </w:r>
      <w:r>
        <w:rPr>
          <w:rtl w:val="true"/>
        </w:rPr>
        <w:t xml:space="preserve">مسألة </w:t>
      </w:r>
      <w:r>
        <w:rPr/>
        <w:t>3</w:t>
      </w:r>
      <w:r>
        <w:rPr>
          <w:rtl w:val="true"/>
        </w:rPr>
        <w:t xml:space="preserve">): </w:t>
      </w:r>
      <w:r>
        <w:rPr>
          <w:rtl w:val="true"/>
        </w:rPr>
        <w:t>یجوز إعطاء الفقیر أزید من مقدار مئونة سنته</w:t>
      </w:r>
      <w:r>
        <w:rPr>
          <w:rtl w:val="true"/>
        </w:rPr>
        <w:t>]</w:t>
      </w:r>
      <w:bookmarkEnd w:id="3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إعطاء </w:t>
      </w:r>
      <w:r>
        <w:rPr>
          <w:rStyle w:val="FootnoteAnchor"/>
          <w:rtl w:val="true"/>
        </w:rPr>
        <w:footnoteReference w:id="916"/>
      </w:r>
      <w:r>
        <w:rPr>
          <w:rFonts w:ascii="IRNazanin" w:hAnsi="IRNazanin" w:eastAsia="IRNazanin"/>
          <w:color w:val="111111"/>
          <w:sz w:val="28"/>
          <w:sz w:val="28"/>
          <w:szCs w:val="28"/>
          <w:rtl w:val="true"/>
          <w:lang w:bidi="fa-IR"/>
        </w:rPr>
        <w:t>الفقیر أزید من مقدار مئونة سنته، بل یجوز دفع ما یکفیه لسنین لکن دفعة لا تدریجاً، نعم فی المکتسب الذی لا یفی کسبه و صاحب الضیعة التی لا یفی حاصلها و التاجر الذی لا یکفی ربحه، الأحوط الاقتصار علیٰ إعطاء التتمّة</w:t>
      </w:r>
      <w:r>
        <w:rPr>
          <w:rFonts w:eastAsia="IRNazanin" w:cs="IRNazanin"/>
          <w:color w:val="111111"/>
          <w:sz w:val="28"/>
          <w:szCs w:val="28"/>
          <w:rtl w:val="true"/>
          <w:lang w:bidi="fa-IR"/>
        </w:rPr>
        <w:t>.</w:t>
      </w:r>
    </w:p>
    <w:p>
      <w:pPr>
        <w:pStyle w:val="Heading6"/>
        <w:numPr>
          <w:ilvl w:val="5"/>
          <w:numId w:val="1"/>
        </w:numPr>
        <w:rPr/>
      </w:pPr>
      <w:bookmarkStart w:id="3198" w:name="__RefHeading___Toc2567904_3650668749"/>
      <w:bookmarkStart w:id="3199" w:name="_Toc1461"/>
      <w:bookmarkEnd w:id="3198"/>
      <w:r>
        <w:rPr>
          <w:rtl w:val="true"/>
        </w:rPr>
        <w:t>[ (</w:t>
      </w:r>
      <w:r>
        <w:rPr>
          <w:rtl w:val="true"/>
        </w:rPr>
        <w:t xml:space="preserve">مسألة </w:t>
      </w:r>
      <w:r>
        <w:rPr/>
        <w:t>4</w:t>
      </w:r>
      <w:r>
        <w:rPr>
          <w:rtl w:val="true"/>
        </w:rPr>
        <w:t xml:space="preserve">): </w:t>
      </w:r>
      <w:r>
        <w:rPr>
          <w:rtl w:val="true"/>
        </w:rPr>
        <w:t>دار السکنی و الخادم و فرس الرکوب المحتاج إلیها بحسب حاله</w:t>
      </w:r>
      <w:r>
        <w:rPr>
          <w:rtl w:val="true"/>
        </w:rPr>
        <w:t>]</w:t>
      </w:r>
      <w:bookmarkEnd w:id="3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السکنی و الخادم و فرس الرکوب المحتاج إلیها بحسب حاله و لو لعزّة و شرفه و الثیاب و الألبسة الصیفیّة و الشتویّة و السفریّة و الحضریّة و لو کانت للتجمّل و الفروش و الظروف و غیر ذلک لا یمنع من إعطاء الزکاة، نعم لو کان عنده أزید من مقدار حاجته المتعارفة بحسب حاله بحیث لو صرفها تکفی لمئونة سنته لا یجوز له أخذ الزکاة</w:t>
      </w:r>
      <w:r>
        <w:rPr>
          <w:rFonts w:eastAsia="IRNazanin" w:cs="IRNazanin"/>
          <w:color w:val="111111"/>
          <w:sz w:val="28"/>
          <w:szCs w:val="28"/>
          <w:rtl w:val="true"/>
          <w:lang w:bidi="fa-IR"/>
        </w:rPr>
        <w:t>.</w:t>
      </w:r>
    </w:p>
    <w:p>
      <w:pPr>
        <w:pStyle w:val="Heading6"/>
        <w:numPr>
          <w:ilvl w:val="5"/>
          <w:numId w:val="1"/>
        </w:numPr>
        <w:rPr/>
      </w:pPr>
      <w:bookmarkStart w:id="3200" w:name="__RefHeading___Toc2567906_3650668749"/>
      <w:bookmarkStart w:id="3201" w:name="_Toc1462"/>
      <w:bookmarkEnd w:id="3200"/>
      <w:r>
        <w:rPr>
          <w:rtl w:val="true"/>
        </w:rPr>
        <w:t>[ (</w:t>
      </w:r>
      <w:r>
        <w:rPr>
          <w:rtl w:val="true"/>
        </w:rPr>
        <w:t xml:space="preserve">مسألة </w:t>
      </w:r>
      <w:r>
        <w:rPr/>
        <w:t>5</w:t>
      </w:r>
      <w:r>
        <w:rPr>
          <w:rtl w:val="true"/>
        </w:rPr>
        <w:t xml:space="preserve">): </w:t>
      </w:r>
      <w:r>
        <w:rPr>
          <w:rtl w:val="true"/>
        </w:rPr>
        <w:t>إذا کان قادراً علی التکسّب و لو بالاحتطاب و الاحتشاش لکن ینافی شأنه</w:t>
      </w:r>
      <w:r>
        <w:rPr>
          <w:rtl w:val="true"/>
        </w:rPr>
        <w:t>]</w:t>
      </w:r>
      <w:bookmarkEnd w:id="3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قادراً علی التکسّب و لو بالاحتطاب و الاحتشاش لکن ینافی شأنه أو یشقّ علیه مشقّة شدیدة لکبر أو مرض و نحو ذلک یجوز له أخذ الزکاة، و کذا إذا کان صاحب صنعة أو حرفة لا یمکنه الاشتغال بها لفقد الأسباب أو عدم الطالب</w:t>
      </w:r>
      <w:r>
        <w:rPr>
          <w:rFonts w:eastAsia="IRNazanin" w:cs="IRNazanin"/>
          <w:color w:val="111111"/>
          <w:sz w:val="28"/>
          <w:szCs w:val="28"/>
          <w:rtl w:val="true"/>
          <w:lang w:bidi="fa-IR"/>
        </w:rPr>
        <w:t>.</w:t>
      </w:r>
    </w:p>
    <w:p>
      <w:pPr>
        <w:pStyle w:val="Heading6"/>
        <w:numPr>
          <w:ilvl w:val="5"/>
          <w:numId w:val="1"/>
        </w:numPr>
        <w:rPr/>
      </w:pPr>
      <w:bookmarkStart w:id="3202" w:name="__RefHeading___Toc2567908_3650668749"/>
      <w:bookmarkStart w:id="3203" w:name="_Toc1463"/>
      <w:bookmarkEnd w:id="3202"/>
      <w:r>
        <w:rPr>
          <w:rtl w:val="true"/>
        </w:rPr>
        <w:t>[ (</w:t>
      </w:r>
      <w:r>
        <w:rPr>
          <w:rtl w:val="true"/>
        </w:rPr>
        <w:t xml:space="preserve">مسألة </w:t>
      </w:r>
      <w:r>
        <w:rPr/>
        <w:t>6</w:t>
      </w:r>
      <w:r>
        <w:rPr>
          <w:rtl w:val="true"/>
        </w:rPr>
        <w:t xml:space="preserve">): </w:t>
      </w:r>
      <w:r>
        <w:rPr>
          <w:rtl w:val="true"/>
        </w:rPr>
        <w:t>إذا لم یکن له حرفة و صنعة لائقة بشأنه فعلًا</w:t>
      </w:r>
      <w:r>
        <w:rPr>
          <w:rtl w:val="true"/>
        </w:rPr>
        <w:t>]</w:t>
      </w:r>
      <w:bookmarkEnd w:id="3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له حرفة و صنعة لائقة بشأنه فعلًا و لکن یقدر علیٰ تعلّمها بغیر مشقّة شدیدة ففی جواز ترکه التعلّم و أخذه الزکاة إشکال، فلا یترک الاحتیاط، نعم لا إشکال فی جواز أخذها فیما إذا اشتغل بالتعلّم ما دام مشتغلًا به</w:t>
      </w:r>
      <w:r>
        <w:rPr>
          <w:rFonts w:eastAsia="IRNazanin" w:cs="IRNazanin"/>
          <w:color w:val="111111"/>
          <w:sz w:val="28"/>
          <w:szCs w:val="28"/>
          <w:rtl w:val="true"/>
          <w:lang w:bidi="fa-IR"/>
        </w:rPr>
        <w:t>.</w:t>
      </w:r>
    </w:p>
    <w:p>
      <w:pPr>
        <w:pStyle w:val="Heading6"/>
        <w:numPr>
          <w:ilvl w:val="5"/>
          <w:numId w:val="1"/>
        </w:numPr>
        <w:rPr/>
      </w:pPr>
      <w:bookmarkStart w:id="3204" w:name="__RefHeading___Toc2567910_3650668749"/>
      <w:bookmarkStart w:id="3205" w:name="_Toc1464"/>
      <w:bookmarkEnd w:id="3204"/>
      <w:r>
        <w:rPr>
          <w:rtl w:val="true"/>
        </w:rPr>
        <w:t>[ (</w:t>
      </w:r>
      <w:r>
        <w:rPr>
          <w:rtl w:val="true"/>
        </w:rPr>
        <w:t xml:space="preserve">مسألة </w:t>
      </w:r>
      <w:r>
        <w:rPr/>
        <w:t>7</w:t>
      </w:r>
      <w:r>
        <w:rPr>
          <w:rtl w:val="true"/>
        </w:rPr>
        <w:t xml:space="preserve">): </w:t>
      </w:r>
      <w:r>
        <w:rPr>
          <w:rtl w:val="true"/>
        </w:rPr>
        <w:t>یجوز لطالب العلم القادر علی التکسّب اللائق بشأنه أخذ الزکاة</w:t>
      </w:r>
      <w:r>
        <w:rPr>
          <w:rtl w:val="true"/>
        </w:rPr>
        <w:t>]</w:t>
      </w:r>
      <w:bookmarkEnd w:id="3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لطالب العلم القادر علی التکسّب اللائق بشأنه أخذ الزکاة </w:t>
      </w:r>
      <w:r>
        <w:rPr>
          <w:rStyle w:val="FootnoteAnchor"/>
          <w:rtl w:val="true"/>
        </w:rPr>
        <w:footnoteReference w:id="917"/>
      </w:r>
      <w:r>
        <w:rPr>
          <w:rFonts w:ascii="IRNazanin" w:hAnsi="IRNazanin" w:eastAsia="IRNazanin"/>
          <w:color w:val="111111"/>
          <w:sz w:val="28"/>
          <w:sz w:val="28"/>
          <w:szCs w:val="28"/>
          <w:rtl w:val="true"/>
          <w:lang w:bidi="fa-IR"/>
        </w:rPr>
        <w:t>إذا کان التکسّب مانعاً عن الاشتغال أو موجباً للفتور فیه؛ سواء کان ممّا یجب تعلّمه عیناً أو کفایة أم یستحبّ</w:t>
      </w:r>
      <w:r>
        <w:rPr>
          <w:rFonts w:eastAsia="IRNazanin" w:cs="IRNazanin"/>
          <w:color w:val="111111"/>
          <w:sz w:val="28"/>
          <w:szCs w:val="28"/>
          <w:rtl w:val="true"/>
          <w:lang w:bidi="fa-IR"/>
        </w:rPr>
        <w:t>.</w:t>
      </w:r>
    </w:p>
    <w:p>
      <w:pPr>
        <w:pStyle w:val="Heading6"/>
        <w:numPr>
          <w:ilvl w:val="5"/>
          <w:numId w:val="1"/>
        </w:numPr>
        <w:rPr/>
      </w:pPr>
      <w:bookmarkStart w:id="3206" w:name="__RefHeading___Toc2567912_3650668749"/>
      <w:bookmarkStart w:id="3207" w:name="_Toc1465"/>
      <w:bookmarkEnd w:id="3206"/>
      <w:r>
        <w:rPr>
          <w:rtl w:val="true"/>
        </w:rPr>
        <w:t>[ (</w:t>
      </w:r>
      <w:r>
        <w:rPr>
          <w:rtl w:val="true"/>
        </w:rPr>
        <w:t xml:space="preserve">مسألة </w:t>
      </w:r>
      <w:r>
        <w:rPr/>
        <w:t>8</w:t>
      </w:r>
      <w:r>
        <w:rPr>
          <w:rtl w:val="true"/>
        </w:rPr>
        <w:t xml:space="preserve">): </w:t>
      </w:r>
      <w:r>
        <w:rPr>
          <w:rtl w:val="true"/>
        </w:rPr>
        <w:t>لو شکّ أنّ ما فی یده کافٍ لمئونة سنته لا یجوز له أخذ الزکاة</w:t>
      </w:r>
      <w:r>
        <w:rPr>
          <w:rtl w:val="true"/>
        </w:rPr>
        <w:t>]</w:t>
      </w:r>
      <w:bookmarkEnd w:id="3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أنّ ما فی یده کافٍ لمئونة سنته لا یجوز له أخذ الزکاة، إلّا إذا کان مسبوقاً بعدم وجود ما به الکفایة ثمّ وجد ما یشکّ فی کفایته</w:t>
      </w:r>
      <w:r>
        <w:rPr>
          <w:rFonts w:eastAsia="IRNazanin" w:cs="IRNazanin"/>
          <w:color w:val="111111"/>
          <w:sz w:val="28"/>
          <w:szCs w:val="28"/>
          <w:rtl w:val="true"/>
          <w:lang w:bidi="fa-IR"/>
        </w:rPr>
        <w:t>.</w:t>
      </w:r>
    </w:p>
    <w:p>
      <w:pPr>
        <w:pStyle w:val="Heading6"/>
        <w:numPr>
          <w:ilvl w:val="5"/>
          <w:numId w:val="1"/>
        </w:numPr>
        <w:rPr/>
      </w:pPr>
      <w:bookmarkStart w:id="3208" w:name="__RefHeading___Toc2567914_3650668749"/>
      <w:bookmarkStart w:id="3209" w:name="_Toc1466"/>
      <w:bookmarkEnd w:id="3208"/>
      <w:r>
        <w:rPr>
          <w:rtl w:val="true"/>
        </w:rPr>
        <w:t>[ (</w:t>
      </w:r>
      <w:r>
        <w:rPr>
          <w:rtl w:val="true"/>
        </w:rPr>
        <w:t xml:space="preserve">مسألة </w:t>
      </w:r>
      <w:r>
        <w:rPr/>
        <w:t>9</w:t>
      </w:r>
      <w:r>
        <w:rPr>
          <w:rtl w:val="true"/>
        </w:rPr>
        <w:t xml:space="preserve">): </w:t>
      </w:r>
      <w:r>
        <w:rPr>
          <w:rtl w:val="true"/>
        </w:rPr>
        <w:t>لو کان له دین علی الفقیر جاز احتسابه زکاة</w:t>
      </w:r>
      <w:r>
        <w:rPr>
          <w:rtl w:val="true"/>
        </w:rPr>
        <w:t>]</w:t>
      </w:r>
      <w:bookmarkEnd w:id="320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دین علی الفقیر جاز احتسابه زکاة و لو کان میّتاً، بشرط أن</w:t>
      </w:r>
      <w:bookmarkStart w:id="3210" w:name="pg1809_19264"/>
    </w:p>
    <w:p>
      <w:pPr>
        <w:pStyle w:val="BookText"/>
        <w:rPr/>
      </w:pPr>
      <w:bookmarkEnd w:id="3210"/>
      <w:r>
        <w:rPr>
          <w:rFonts w:ascii="IRNazanin" w:hAnsi="IRNazanin" w:eastAsia="IRNazanin"/>
          <w:color w:val="111111"/>
          <w:sz w:val="28"/>
          <w:sz w:val="28"/>
          <w:szCs w:val="28"/>
          <w:rtl w:val="true"/>
          <w:lang w:bidi="fa-IR"/>
        </w:rPr>
        <w:t>لا یکون له ترکة تفی بدینه، و إلّا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له ترکة لکن لا یمکن استیفاء الدین منها من جهة امتناع الورثة أو غیره فالظاهر الجواز</w:t>
      </w:r>
      <w:r>
        <w:rPr>
          <w:rFonts w:eastAsia="IRNazanin" w:cs="IRNazanin"/>
          <w:color w:val="111111"/>
          <w:sz w:val="28"/>
          <w:szCs w:val="28"/>
          <w:rtl w:val="true"/>
          <w:lang w:bidi="fa-IR"/>
        </w:rPr>
        <w:t>.</w:t>
      </w:r>
    </w:p>
    <w:p>
      <w:pPr>
        <w:pStyle w:val="Heading6"/>
        <w:numPr>
          <w:ilvl w:val="5"/>
          <w:numId w:val="1"/>
        </w:numPr>
        <w:rPr/>
      </w:pPr>
      <w:bookmarkStart w:id="3211" w:name="__RefHeading___Toc2567916_3650668749"/>
      <w:bookmarkStart w:id="3212" w:name="_Toc1467"/>
      <w:bookmarkEnd w:id="3211"/>
      <w:r>
        <w:rPr>
          <w:rtl w:val="true"/>
        </w:rPr>
        <w:t>[ (</w:t>
      </w:r>
      <w:r>
        <w:rPr>
          <w:rtl w:val="true"/>
        </w:rPr>
        <w:t xml:space="preserve">مسألة </w:t>
      </w:r>
      <w:r>
        <w:rPr/>
        <w:t>10</w:t>
      </w:r>
      <w:r>
        <w:rPr>
          <w:rtl w:val="true"/>
        </w:rPr>
        <w:t xml:space="preserve">): </w:t>
      </w:r>
      <w:r>
        <w:rPr>
          <w:rtl w:val="true"/>
        </w:rPr>
        <w:t>لو ادّعی الفقر فإن عرف صدقه أو کذبه عومل به</w:t>
      </w:r>
      <w:r>
        <w:rPr>
          <w:rtl w:val="true"/>
        </w:rPr>
        <w:t>]</w:t>
      </w:r>
      <w:bookmarkEnd w:id="3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الفقر فإن عرف صدقه أو کذبه عومل به، و لو جهل حاله اعطی من غیر یمین مع سبق فقره، و إلّا فالأحوط اعتبار الظنّ بصدقه الناشئ من ظهور حاله، خصوصاً مع سبق غناه</w:t>
      </w:r>
      <w:r>
        <w:rPr>
          <w:rFonts w:eastAsia="IRNazanin" w:cs="IRNazanin"/>
          <w:color w:val="111111"/>
          <w:sz w:val="28"/>
          <w:szCs w:val="28"/>
          <w:rtl w:val="true"/>
          <w:lang w:bidi="fa-IR"/>
        </w:rPr>
        <w:t>.</w:t>
      </w:r>
    </w:p>
    <w:p>
      <w:pPr>
        <w:pStyle w:val="Heading6"/>
        <w:numPr>
          <w:ilvl w:val="5"/>
          <w:numId w:val="1"/>
        </w:numPr>
        <w:rPr/>
      </w:pPr>
      <w:bookmarkStart w:id="3213" w:name="__RefHeading___Toc2567918_3650668749"/>
      <w:bookmarkStart w:id="3214" w:name="_Toc1468"/>
      <w:bookmarkEnd w:id="3213"/>
      <w:r>
        <w:rPr>
          <w:rtl w:val="true"/>
        </w:rPr>
        <w:t>[ (</w:t>
      </w:r>
      <w:r>
        <w:rPr>
          <w:rtl w:val="true"/>
        </w:rPr>
        <w:t xml:space="preserve">مسألة </w:t>
      </w:r>
      <w:r>
        <w:rPr/>
        <w:t>11</w:t>
      </w:r>
      <w:r>
        <w:rPr>
          <w:rtl w:val="true"/>
        </w:rPr>
        <w:t xml:space="preserve">): </w:t>
      </w:r>
      <w:r>
        <w:rPr>
          <w:rtl w:val="true"/>
        </w:rPr>
        <w:t>لا یجب إعلام الفقیر أنّ المدفوع إلیه زکاة</w:t>
      </w:r>
      <w:r>
        <w:rPr>
          <w:rtl w:val="true"/>
        </w:rPr>
        <w:t>]</w:t>
      </w:r>
      <w:bookmarkEnd w:id="3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إعلام الفقیر أنّ المدفوع إلیه زکاة، بل یستحبّ صرفها إلیه علیٰ وجه الصلة ظاهراً و الزکاة واقعاً إذا کان ممّن یترفّع و یدخله الحیاء منها</w:t>
      </w:r>
      <w:r>
        <w:rPr>
          <w:rFonts w:eastAsia="IRNazanin" w:cs="IRNazanin"/>
          <w:color w:val="111111"/>
          <w:sz w:val="28"/>
          <w:szCs w:val="28"/>
          <w:rtl w:val="true"/>
          <w:lang w:bidi="fa-IR"/>
        </w:rPr>
        <w:t>.</w:t>
      </w:r>
    </w:p>
    <w:p>
      <w:pPr>
        <w:pStyle w:val="Heading6"/>
        <w:numPr>
          <w:ilvl w:val="5"/>
          <w:numId w:val="1"/>
        </w:numPr>
        <w:rPr/>
      </w:pPr>
      <w:bookmarkStart w:id="3215" w:name="__RefHeading___Toc2567920_3650668749"/>
      <w:bookmarkStart w:id="3216" w:name="_Toc1469"/>
      <w:bookmarkEnd w:id="3215"/>
      <w:r>
        <w:rPr>
          <w:rtl w:val="true"/>
        </w:rPr>
        <w:t>[ (</w:t>
      </w:r>
      <w:r>
        <w:rPr>
          <w:rtl w:val="true"/>
        </w:rPr>
        <w:t xml:space="preserve">مسألة </w:t>
      </w:r>
      <w:r>
        <w:rPr/>
        <w:t>12</w:t>
      </w:r>
      <w:r>
        <w:rPr>
          <w:rtl w:val="true"/>
        </w:rPr>
        <w:t xml:space="preserve">): </w:t>
      </w:r>
      <w:r>
        <w:rPr>
          <w:rtl w:val="true"/>
        </w:rPr>
        <w:t>لو دفع الزکاة إلیٰ شخص علیٰ أنّه فقیر فبان غنیّاً ارتجعت منه مع بقاء العین</w:t>
      </w:r>
      <w:r>
        <w:rPr>
          <w:rtl w:val="true"/>
        </w:rPr>
        <w:t>]</w:t>
      </w:r>
      <w:bookmarkEnd w:id="3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دفع الزکاة إلیٰ شخص علیٰ أنّه فقیر فبان غنیّاً ارتجعت منه مع بقاء العین، بل و مع تلفها أیضاً مع علم القابض بکونها زکاة و إن کان جاهلًا بحرمتها علی الغنیّ، بخلاف ما إذا کان جاهلًا بکونها زکاة فإنّه لا ضمان </w:t>
      </w:r>
      <w:r>
        <w:rPr>
          <w:rStyle w:val="FootnoteAnchor"/>
          <w:rtl w:val="true"/>
        </w:rPr>
        <w:footnoteReference w:id="918"/>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الزکاة المعزولة و غیرها، و کذا الحال فیما لو دفعها إلیٰ غنیّ جاهلًا بحرمتها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تعذّر ارتجاعها فی الصورتین أو تلفت بلا ضمان أو معه و تعذّر أخذ العوض منه کان ضامناً </w:t>
      </w:r>
      <w:r>
        <w:rPr>
          <w:rStyle w:val="FootnoteAnchor"/>
          <w:rtl w:val="true"/>
        </w:rPr>
        <w:footnoteReference w:id="919"/>
      </w:r>
      <w:r>
        <w:rPr>
          <w:rFonts w:ascii="IRNazanin" w:hAnsi="IRNazanin" w:eastAsia="IRNazanin"/>
          <w:color w:val="111111"/>
          <w:sz w:val="28"/>
          <w:sz w:val="28"/>
          <w:szCs w:val="28"/>
          <w:rtl w:val="true"/>
          <w:lang w:bidi="fa-IR"/>
        </w:rPr>
        <w:t>و علیه الزکاة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الدافع هو المجتهد أو وکیله لا ضمان علیه، بل و لا علی المالک أیضاً إذا کان دفعه إلی المجتهد بعنوان أنّه ولیّ عامّ علی الفقراء، و أمّا إذا کان بعنوان الوکالة عن المالک فالظاهر ضمانه فیجب علیه أداء الزکاة ثانیاً</w:t>
      </w:r>
      <w:r>
        <w:rPr>
          <w:rFonts w:eastAsia="IRNazanin" w:cs="IRNazanin"/>
          <w:color w:val="111111"/>
          <w:sz w:val="28"/>
          <w:szCs w:val="28"/>
          <w:rtl w:val="true"/>
          <w:lang w:bidi="fa-IR"/>
        </w:rPr>
        <w:t>.</w:t>
      </w:r>
    </w:p>
    <w:p>
      <w:pPr>
        <w:pStyle w:val="Heading5"/>
        <w:numPr>
          <w:ilvl w:val="4"/>
          <w:numId w:val="1"/>
        </w:numPr>
        <w:rPr/>
      </w:pPr>
      <w:bookmarkStart w:id="3217" w:name="__RefHeading___Toc2567922_3650668749"/>
      <w:bookmarkStart w:id="3218" w:name="_Toc1470"/>
      <w:bookmarkEnd w:id="3217"/>
      <w:r>
        <w:rPr>
          <w:rtl w:val="true"/>
        </w:rPr>
        <w:t>[</w:t>
      </w:r>
      <w:r>
        <w:rPr>
          <w:rtl w:val="true"/>
        </w:rPr>
        <w:t>الثالث</w:t>
      </w:r>
      <w:r>
        <w:rPr>
          <w:rtl w:val="true"/>
        </w:rPr>
        <w:t xml:space="preserve">: </w:t>
      </w:r>
      <w:r>
        <w:rPr>
          <w:rtl w:val="true"/>
        </w:rPr>
        <w:t>العاملون علیها</w:t>
      </w:r>
      <w:r>
        <w:rPr>
          <w:rtl w:val="true"/>
        </w:rPr>
        <w:t>]</w:t>
      </w:r>
      <w:bookmarkEnd w:id="321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العاملون علیها و هم الساعون فی جبایتها المنصوبون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لأخذها و ضبطها و حسابها فإنّ لهم من الزکاة سهماً لأجل عملهم و إن کانوا أغنیاء، و الإمام أو نائبه مخیّر بین أن یقدّر لهم جعالة مقدّرة أو اجرة عن مدّة مقرّرة و بین أن لا یجعل لهم جعلًا فیعطیهم ما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سقوط هذا الصنف فی زمان الغیبة و لو مع بسط ید نائبها فی بعض الأقطار تأمّل </w:t>
      </w:r>
      <w:r>
        <w:rPr>
          <w:rStyle w:val="FootnoteAnchor"/>
          <w:rtl w:val="true"/>
        </w:rPr>
        <w:footnoteReference w:id="920"/>
      </w:r>
      <w:r>
        <w:rPr>
          <w:rFonts w:ascii="IRNazanin" w:hAnsi="IRNazanin" w:eastAsia="IRNazanin"/>
          <w:color w:val="111111"/>
          <w:sz w:val="28"/>
          <w:sz w:val="28"/>
          <w:szCs w:val="28"/>
          <w:rtl w:val="true"/>
          <w:lang w:bidi="fa-IR"/>
        </w:rPr>
        <w:t>و إشکال</w:t>
      </w:r>
      <w:r>
        <w:rPr>
          <w:rFonts w:eastAsia="IRNazanin" w:cs="IRNazanin"/>
          <w:color w:val="111111"/>
          <w:sz w:val="28"/>
          <w:szCs w:val="28"/>
          <w:rtl w:val="true"/>
          <w:lang w:bidi="fa-IR"/>
        </w:rPr>
        <w:t>.</w:t>
      </w:r>
    </w:p>
    <w:p>
      <w:pPr>
        <w:pStyle w:val="Heading5"/>
        <w:numPr>
          <w:ilvl w:val="4"/>
          <w:numId w:val="1"/>
        </w:numPr>
        <w:rPr/>
      </w:pPr>
      <w:bookmarkStart w:id="3219" w:name="__RefHeading___Toc2567924_3650668749"/>
      <w:bookmarkStart w:id="3220" w:name="_Toc1471"/>
      <w:bookmarkEnd w:id="3219"/>
      <w:r>
        <w:rPr>
          <w:rtl w:val="true"/>
        </w:rPr>
        <w:t>[</w:t>
      </w:r>
      <w:r>
        <w:rPr>
          <w:rtl w:val="true"/>
        </w:rPr>
        <w:t>الرابع</w:t>
      </w:r>
      <w:r>
        <w:rPr>
          <w:rtl w:val="true"/>
        </w:rPr>
        <w:t xml:space="preserve">: </w:t>
      </w:r>
      <w:r>
        <w:rPr>
          <w:rtl w:val="true"/>
        </w:rPr>
        <w:t>المؤلّفة قلوبهم</w:t>
      </w:r>
      <w:r>
        <w:rPr>
          <w:rtl w:val="true"/>
        </w:rPr>
        <w:t>]</w:t>
      </w:r>
      <w:bookmarkEnd w:id="322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المؤلّفة قلوبهم، و هم الکفّار الذین یراد الفتهم إلی الجهاد أو للإسلام و المسلمون</w:t>
      </w:r>
      <w:bookmarkStart w:id="3221" w:name="pg1809_19266"/>
    </w:p>
    <w:p>
      <w:pPr>
        <w:pStyle w:val="BookText"/>
        <w:rPr/>
      </w:pPr>
      <w:bookmarkEnd w:id="3221"/>
      <w:r>
        <w:rPr>
          <w:rFonts w:ascii="IRNazanin" w:hAnsi="IRNazanin" w:eastAsia="IRNazanin"/>
          <w:color w:val="111111"/>
          <w:sz w:val="28"/>
          <w:sz w:val="28"/>
          <w:szCs w:val="28"/>
          <w:rtl w:val="true"/>
          <w:lang w:bidi="fa-IR"/>
        </w:rPr>
        <w:t>الذین عقائدهم ضعیفة، و الظاهر عدم سقوطه فی هذا الزمان</w:t>
      </w:r>
      <w:r>
        <w:rPr>
          <w:rFonts w:eastAsia="IRNazanin" w:cs="IRNazanin"/>
          <w:color w:val="111111"/>
          <w:sz w:val="28"/>
          <w:szCs w:val="28"/>
          <w:rtl w:val="true"/>
          <w:lang w:bidi="fa-IR"/>
        </w:rPr>
        <w:t>.</w:t>
      </w:r>
    </w:p>
    <w:p>
      <w:pPr>
        <w:pStyle w:val="Heading5"/>
        <w:numPr>
          <w:ilvl w:val="4"/>
          <w:numId w:val="1"/>
        </w:numPr>
        <w:rPr/>
      </w:pPr>
      <w:bookmarkStart w:id="3222" w:name="__RefHeading___Toc2567926_3650668749"/>
      <w:bookmarkStart w:id="3223" w:name="_Toc1472"/>
      <w:bookmarkEnd w:id="3222"/>
      <w:r>
        <w:rPr>
          <w:rtl w:val="true"/>
        </w:rPr>
        <w:t>[</w:t>
      </w:r>
      <w:r>
        <w:rPr>
          <w:rtl w:val="true"/>
        </w:rPr>
        <w:t>الخامس</w:t>
      </w:r>
      <w:r>
        <w:rPr>
          <w:rtl w:val="true"/>
        </w:rPr>
        <w:t xml:space="preserve">: </w:t>
      </w:r>
      <w:r>
        <w:rPr>
          <w:rtl w:val="true"/>
        </w:rPr>
        <w:t>فی الرقاب</w:t>
      </w:r>
      <w:r>
        <w:rPr>
          <w:rtl w:val="true"/>
        </w:rPr>
        <w:t>]</w:t>
      </w:r>
      <w:bookmarkEnd w:id="3223"/>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الرقاب، و هم المکاتبون العاجزون عن أداء مال الکتابة، و العبید تحت الشدّة بل مطلق عتق العبد، لکن مع عدم </w:t>
      </w:r>
      <w:r>
        <w:rPr>
          <w:rStyle w:val="FootnoteAnchor"/>
          <w:rtl w:val="true"/>
        </w:rPr>
        <w:footnoteReference w:id="921"/>
      </w:r>
      <w:r>
        <w:rPr>
          <w:rFonts w:ascii="IRNazanin" w:hAnsi="IRNazanin" w:eastAsia="IRNazanin"/>
          <w:color w:val="111111"/>
          <w:sz w:val="28"/>
          <w:sz w:val="28"/>
          <w:szCs w:val="28"/>
          <w:rtl w:val="true"/>
          <w:lang w:bidi="fa-IR"/>
        </w:rPr>
        <w:t>وجود المستحقّ للزکاة بخلاف الأوّل فإنّه یشتری و یعتق و إن وجد المستحقّ</w:t>
      </w:r>
      <w:r>
        <w:rPr>
          <w:rFonts w:eastAsia="IRNazanin" w:cs="IRNazanin"/>
          <w:color w:val="111111"/>
          <w:sz w:val="28"/>
          <w:szCs w:val="28"/>
          <w:rtl w:val="true"/>
          <w:lang w:bidi="fa-IR"/>
        </w:rPr>
        <w:t>.</w:t>
      </w:r>
    </w:p>
    <w:p>
      <w:pPr>
        <w:pStyle w:val="Heading5"/>
        <w:numPr>
          <w:ilvl w:val="4"/>
          <w:numId w:val="1"/>
        </w:numPr>
        <w:rPr/>
      </w:pPr>
      <w:bookmarkStart w:id="3224" w:name="__RefHeading___Toc2567928_3650668749"/>
      <w:bookmarkStart w:id="3225" w:name="_Toc1473"/>
      <w:bookmarkEnd w:id="3224"/>
      <w:r>
        <w:rPr>
          <w:rtl w:val="true"/>
        </w:rPr>
        <w:t>[</w:t>
      </w:r>
      <w:r>
        <w:rPr>
          <w:rtl w:val="true"/>
        </w:rPr>
        <w:t>السادس</w:t>
      </w:r>
      <w:r>
        <w:rPr>
          <w:rtl w:val="true"/>
        </w:rPr>
        <w:t xml:space="preserve">: </w:t>
      </w:r>
      <w:r>
        <w:rPr>
          <w:rtl w:val="true"/>
        </w:rPr>
        <w:t>الغارمون</w:t>
      </w:r>
      <w:r>
        <w:rPr>
          <w:rtl w:val="true"/>
        </w:rPr>
        <w:t>]</w:t>
      </w:r>
      <w:bookmarkEnd w:id="3225"/>
    </w:p>
    <w:p>
      <w:pPr>
        <w:pStyle w:val="Heading6"/>
        <w:numPr>
          <w:ilvl w:val="5"/>
          <w:numId w:val="1"/>
        </w:numPr>
        <w:rPr/>
      </w:pPr>
      <w:bookmarkStart w:id="3226" w:name="__RefHeading___Toc2567930_3650668749"/>
      <w:bookmarkStart w:id="3227" w:name="_Toc1474"/>
      <w:bookmarkEnd w:id="3226"/>
      <w:r>
        <w:rPr>
          <w:rtl w:val="true"/>
        </w:rPr>
        <w:t>اشارة</w:t>
      </w:r>
      <w:bookmarkEnd w:id="3227"/>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الغارمون، و هم الذین علّتهم الدیون فی غیر معصیة و لا إسراف و لم یتمکّنوا من وفائِها و لو ملکوا قوت سنتهم</w:t>
      </w:r>
      <w:r>
        <w:rPr>
          <w:rFonts w:eastAsia="IRNazanin" w:cs="IRNazanin"/>
          <w:color w:val="111111"/>
          <w:sz w:val="28"/>
          <w:szCs w:val="28"/>
          <w:rtl w:val="true"/>
          <w:lang w:bidi="fa-IR"/>
        </w:rPr>
        <w:t>.</w:t>
      </w:r>
    </w:p>
    <w:p>
      <w:pPr>
        <w:pStyle w:val="Heading6"/>
        <w:numPr>
          <w:ilvl w:val="5"/>
          <w:numId w:val="1"/>
        </w:numPr>
        <w:rPr/>
      </w:pPr>
      <w:bookmarkStart w:id="3228" w:name="__RefHeading___Toc2567932_3650668749"/>
      <w:bookmarkStart w:id="3229" w:name="_Toc1475"/>
      <w:bookmarkEnd w:id="3228"/>
      <w:r>
        <w:rPr>
          <w:rtl w:val="true"/>
        </w:rPr>
        <w:t>[ (</w:t>
      </w:r>
      <w:r>
        <w:rPr>
          <w:rtl w:val="true"/>
        </w:rPr>
        <w:t xml:space="preserve">مسألة </w:t>
      </w:r>
      <w:r>
        <w:rPr/>
        <w:t>13</w:t>
      </w:r>
      <w:r>
        <w:rPr>
          <w:rtl w:val="true"/>
        </w:rPr>
        <w:t xml:space="preserve">): </w:t>
      </w:r>
      <w:r>
        <w:rPr>
          <w:rtl w:val="true"/>
        </w:rPr>
        <w:t>المراد بالدین کلّ ما اشتغلت به الذمّة</w:t>
      </w:r>
      <w:r>
        <w:rPr>
          <w:rtl w:val="true"/>
        </w:rPr>
        <w:t>]</w:t>
      </w:r>
      <w:bookmarkEnd w:id="3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بالدین کلّ ما اشتغلت به الذمّة، و لو کان مهراً لزوجته أو غرامة لما أتلفه أو تلف عنده مضموناً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اعتبار الحلول فیه تأمّل و إشکال، أحوطه اعتباره و أقواه العدم</w:t>
      </w:r>
      <w:r>
        <w:rPr>
          <w:rFonts w:eastAsia="IRNazanin" w:cs="IRNazanin"/>
          <w:color w:val="111111"/>
          <w:sz w:val="28"/>
          <w:szCs w:val="28"/>
          <w:rtl w:val="true"/>
          <w:lang w:bidi="fa-IR"/>
        </w:rPr>
        <w:t>.</w:t>
      </w:r>
    </w:p>
    <w:p>
      <w:pPr>
        <w:pStyle w:val="Heading6"/>
        <w:numPr>
          <w:ilvl w:val="5"/>
          <w:numId w:val="1"/>
        </w:numPr>
        <w:rPr/>
      </w:pPr>
      <w:bookmarkStart w:id="3230" w:name="__RefHeading___Toc2567934_3650668749"/>
      <w:bookmarkStart w:id="3231" w:name="_Toc1476"/>
      <w:bookmarkEnd w:id="3230"/>
      <w:r>
        <w:rPr>
          <w:rtl w:val="true"/>
        </w:rPr>
        <w:t>[ (</w:t>
      </w:r>
      <w:r>
        <w:rPr>
          <w:rtl w:val="true"/>
        </w:rPr>
        <w:t xml:space="preserve">مسألة </w:t>
      </w:r>
      <w:r>
        <w:rPr/>
        <w:t>14</w:t>
      </w:r>
      <w:r>
        <w:rPr>
          <w:rtl w:val="true"/>
        </w:rPr>
        <w:t xml:space="preserve">): </w:t>
      </w:r>
      <w:r>
        <w:rPr>
          <w:rtl w:val="true"/>
        </w:rPr>
        <w:t>لو کان المدیون کسوباً یتمکّن من قضاء الدین تدریجاً</w:t>
      </w:r>
      <w:r>
        <w:rPr>
          <w:rtl w:val="true"/>
        </w:rPr>
        <w:t>]</w:t>
      </w:r>
      <w:bookmarkEnd w:id="3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المدیون کسوباً یتمکّن من قضاء الدین تدریجاً فإن لم یرض بذلک الدیّان و یطلبون منه التعجیل فلا إشکال فی جواز إعطائه من هذا السهم، و إن رضوا بذلک و لم یطالبوه فالأحوط عدم إعطائه</w:t>
      </w:r>
      <w:r>
        <w:rPr>
          <w:rFonts w:eastAsia="IRNazanin" w:cs="IRNazanin"/>
          <w:color w:val="111111"/>
          <w:sz w:val="28"/>
          <w:szCs w:val="28"/>
          <w:rtl w:val="true"/>
          <w:lang w:bidi="fa-IR"/>
        </w:rPr>
        <w:t>.</w:t>
      </w:r>
    </w:p>
    <w:p>
      <w:pPr>
        <w:pStyle w:val="Heading6"/>
        <w:numPr>
          <w:ilvl w:val="5"/>
          <w:numId w:val="1"/>
        </w:numPr>
        <w:rPr/>
      </w:pPr>
      <w:bookmarkStart w:id="3232" w:name="__RefHeading___Toc2567936_3650668749"/>
      <w:bookmarkStart w:id="3233" w:name="_Toc1477"/>
      <w:bookmarkEnd w:id="3232"/>
      <w:r>
        <w:rPr>
          <w:rtl w:val="true"/>
        </w:rPr>
        <w:t>[ (</w:t>
      </w:r>
      <w:r>
        <w:rPr>
          <w:rtl w:val="true"/>
        </w:rPr>
        <w:t xml:space="preserve">مسألة </w:t>
      </w:r>
      <w:r>
        <w:rPr/>
        <w:t>15</w:t>
      </w:r>
      <w:r>
        <w:rPr>
          <w:rtl w:val="true"/>
        </w:rPr>
        <w:t xml:space="preserve">): </w:t>
      </w:r>
      <w:r>
        <w:rPr>
          <w:rtl w:val="true"/>
        </w:rPr>
        <w:t>لو کان المدیون ممّن تجب نفقته علیٰ من علیه الزکاة جاز له إعطاؤه</w:t>
      </w:r>
      <w:r>
        <w:rPr>
          <w:rtl w:val="true"/>
        </w:rPr>
        <w:t>]</w:t>
      </w:r>
      <w:bookmarkEnd w:id="3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المدیون ممّن تجب نفقته علیٰ من علیه الزکاة جاز له إعطاؤه لوفاء دینه و إن لم یجز إعطاؤه لنفقته</w:t>
      </w:r>
      <w:r>
        <w:rPr>
          <w:rFonts w:eastAsia="IRNazanin" w:cs="IRNazanin"/>
          <w:color w:val="111111"/>
          <w:sz w:val="28"/>
          <w:szCs w:val="28"/>
          <w:rtl w:val="true"/>
          <w:lang w:bidi="fa-IR"/>
        </w:rPr>
        <w:t>.</w:t>
      </w:r>
    </w:p>
    <w:p>
      <w:pPr>
        <w:pStyle w:val="Heading6"/>
        <w:numPr>
          <w:ilvl w:val="5"/>
          <w:numId w:val="1"/>
        </w:numPr>
        <w:rPr/>
      </w:pPr>
      <w:bookmarkStart w:id="3234" w:name="__RefHeading___Toc2567938_3650668749"/>
      <w:bookmarkStart w:id="3235" w:name="_Toc1478"/>
      <w:bookmarkEnd w:id="3234"/>
      <w:r>
        <w:rPr>
          <w:rtl w:val="true"/>
        </w:rPr>
        <w:t>[ (</w:t>
      </w:r>
      <w:r>
        <w:rPr>
          <w:rtl w:val="true"/>
        </w:rPr>
        <w:t xml:space="preserve">مسألة </w:t>
      </w:r>
      <w:r>
        <w:rPr/>
        <w:t>16</w:t>
      </w:r>
      <w:r>
        <w:rPr>
          <w:rtl w:val="true"/>
        </w:rPr>
        <w:t xml:space="preserve">): </w:t>
      </w:r>
      <w:r>
        <w:rPr>
          <w:rtl w:val="true"/>
        </w:rPr>
        <w:t>کیفیّة صرف الزکاة فی هذا المصرف</w:t>
      </w:r>
      <w:r>
        <w:rPr>
          <w:rtl w:val="true"/>
        </w:rPr>
        <w:t>]</w:t>
      </w:r>
      <w:bookmarkEnd w:id="3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صرف الزکاة فی هذا المصرف إمّا بدفعها إلی المدیون لیوفی دینه و إمّا بالدفع إلی الدائن وفاءً عن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الغریم مدیوناً لمن علیه الزکاة جاز له احتساب ما فی ذمّته زکاة، کما جاز له أن یحتسب ما عنده من الزکاة وفاء للدین الذی علی الغریم، یبرأ بذلک ذمّته و إن لم یقبض الزکاة و لم یوکّل المالک فی قبضها بل و لم یکن له اطّلاع</w:t>
      </w:r>
      <w:r>
        <w:rPr>
          <w:rFonts w:eastAsia="IRNazanin" w:cs="IRNazanin"/>
          <w:color w:val="111111"/>
          <w:sz w:val="28"/>
          <w:szCs w:val="28"/>
          <w:rtl w:val="true"/>
          <w:lang w:bidi="fa-IR"/>
        </w:rPr>
        <w:t>.</w:t>
      </w:r>
    </w:p>
    <w:p>
      <w:pPr>
        <w:pStyle w:val="Heading6"/>
        <w:numPr>
          <w:ilvl w:val="5"/>
          <w:numId w:val="1"/>
        </w:numPr>
        <w:rPr/>
      </w:pPr>
      <w:bookmarkStart w:id="3236" w:name="__RefHeading___Toc2567940_3650668749"/>
      <w:bookmarkStart w:id="3237" w:name="_Toc1479"/>
      <w:bookmarkEnd w:id="3236"/>
      <w:r>
        <w:rPr>
          <w:rtl w:val="true"/>
        </w:rPr>
        <w:t>[ (</w:t>
      </w:r>
      <w:r>
        <w:rPr>
          <w:rtl w:val="true"/>
        </w:rPr>
        <w:t xml:space="preserve">مسألة </w:t>
      </w:r>
      <w:r>
        <w:rPr/>
        <w:t>17</w:t>
      </w:r>
      <w:r>
        <w:rPr>
          <w:rtl w:val="true"/>
        </w:rPr>
        <w:t xml:space="preserve">): </w:t>
      </w:r>
      <w:r>
        <w:rPr>
          <w:rtl w:val="true"/>
        </w:rPr>
        <w:t>إذا کان لمن علیه الزکاة دین علیٰ شخص، و کان لذلک الشخص دین علیٰ فقیر</w:t>
      </w:r>
      <w:r>
        <w:rPr>
          <w:rtl w:val="true"/>
        </w:rPr>
        <w:t>]</w:t>
      </w:r>
      <w:bookmarkEnd w:id="323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لمن علیه الزکاة دین علیٰ شخص، و کان لذلک الشخص دین علیٰ فقیر جاز له احتساب ما علیٰ ذلک الشخص زکاة ثمّ احتسابه له وفاء عمّا له علیٰ ذلک الفقیر، کما جاز أن یحیله ذلک الشخص علیٰ ذلک الفقیر، فیبرأ بذلک ذمّة ذلک الشخص عن دین من علیه الزکاة و ذمّة الفقیر عن دین ذلک الشخص، و یشتغل لمن علیه الزکاة،</w:t>
      </w:r>
      <w:bookmarkStart w:id="3238" w:name="pg1809_19268"/>
    </w:p>
    <w:p>
      <w:pPr>
        <w:pStyle w:val="BookText"/>
        <w:rPr/>
      </w:pPr>
      <w:bookmarkEnd w:id="3238"/>
      <w:r>
        <w:rPr>
          <w:rFonts w:ascii="IRNazanin" w:hAnsi="IRNazanin" w:eastAsia="IRNazanin"/>
          <w:color w:val="111111"/>
          <w:sz w:val="28"/>
          <w:sz w:val="28"/>
          <w:szCs w:val="28"/>
          <w:rtl w:val="true"/>
          <w:lang w:bidi="fa-IR"/>
        </w:rPr>
        <w:t>فیحسب ما فی ذمّته زکاة کما فی المسألة السابقة</w:t>
      </w:r>
      <w:r>
        <w:rPr>
          <w:rFonts w:eastAsia="IRNazanin" w:cs="IRNazanin"/>
          <w:color w:val="111111"/>
          <w:sz w:val="28"/>
          <w:szCs w:val="28"/>
          <w:rtl w:val="true"/>
          <w:lang w:bidi="fa-IR"/>
        </w:rPr>
        <w:t>.</w:t>
      </w:r>
    </w:p>
    <w:p>
      <w:pPr>
        <w:pStyle w:val="Heading6"/>
        <w:numPr>
          <w:ilvl w:val="5"/>
          <w:numId w:val="1"/>
        </w:numPr>
        <w:rPr/>
      </w:pPr>
      <w:bookmarkStart w:id="3239" w:name="__RefHeading___Toc2567942_3650668749"/>
      <w:bookmarkStart w:id="3240" w:name="_Toc1480"/>
      <w:bookmarkEnd w:id="3239"/>
      <w:r>
        <w:rPr>
          <w:rtl w:val="true"/>
        </w:rPr>
        <w:t>[ (</w:t>
      </w:r>
      <w:r>
        <w:rPr>
          <w:rtl w:val="true"/>
        </w:rPr>
        <w:t xml:space="preserve">مسألة </w:t>
      </w:r>
      <w:r>
        <w:rPr/>
        <w:t>18</w:t>
      </w:r>
      <w:r>
        <w:rPr>
          <w:rtl w:val="true"/>
        </w:rPr>
        <w:t xml:space="preserve">): </w:t>
      </w:r>
      <w:r>
        <w:rPr>
          <w:rtl w:val="true"/>
        </w:rPr>
        <w:t>قد عرفت اعتبار کون الدین فی غیر معصیة</w:t>
      </w:r>
      <w:r>
        <w:rPr>
          <w:rtl w:val="true"/>
        </w:rPr>
        <w:t>]</w:t>
      </w:r>
      <w:bookmarkEnd w:id="3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اعتبار کون الدین فی غیر معصیة، و المدار علیٰ صرفه فیها لا علیٰ کون الاستدانة لأجلها، فلو استدان لا للمعصیة فصرفه فیها لم یعط من هذا السهم بخلاف العکس</w:t>
      </w:r>
      <w:r>
        <w:rPr>
          <w:rFonts w:eastAsia="IRNazanin" w:cs="IRNazanin"/>
          <w:color w:val="111111"/>
          <w:sz w:val="28"/>
          <w:szCs w:val="28"/>
          <w:rtl w:val="true"/>
          <w:lang w:bidi="fa-IR"/>
        </w:rPr>
        <w:t>.</w:t>
      </w:r>
    </w:p>
    <w:p>
      <w:pPr>
        <w:pStyle w:val="Heading5"/>
        <w:numPr>
          <w:ilvl w:val="4"/>
          <w:numId w:val="1"/>
        </w:numPr>
        <w:rPr/>
      </w:pPr>
      <w:bookmarkStart w:id="3241" w:name="__RefHeading___Toc2567944_3650668749"/>
      <w:bookmarkStart w:id="3242" w:name="_Toc1481"/>
      <w:bookmarkEnd w:id="3241"/>
      <w:r>
        <w:rPr>
          <w:rtl w:val="true"/>
        </w:rPr>
        <w:t>[</w:t>
      </w:r>
      <w:r>
        <w:rPr>
          <w:rtl w:val="true"/>
        </w:rPr>
        <w:t>السابع</w:t>
      </w:r>
      <w:r>
        <w:rPr>
          <w:rtl w:val="true"/>
        </w:rPr>
        <w:t xml:space="preserve">: </w:t>
      </w:r>
      <w:r>
        <w:rPr>
          <w:rtl w:val="true"/>
        </w:rPr>
        <w:t>فی سبیل اللّٰه</w:t>
      </w:r>
      <w:r>
        <w:rPr>
          <w:rtl w:val="true"/>
        </w:rPr>
        <w:t>]</w:t>
      </w:r>
      <w:bookmarkEnd w:id="3242"/>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سبیل اللّٰه، و هو جمیع </w:t>
      </w:r>
      <w:r>
        <w:rPr>
          <w:rStyle w:val="FootnoteAnchor"/>
          <w:rtl w:val="true"/>
        </w:rPr>
        <w:footnoteReference w:id="922"/>
      </w:r>
      <w:r>
        <w:rPr>
          <w:rFonts w:ascii="IRNazanin" w:hAnsi="IRNazanin" w:eastAsia="IRNazanin"/>
          <w:color w:val="111111"/>
          <w:sz w:val="28"/>
          <w:sz w:val="28"/>
          <w:szCs w:val="28"/>
          <w:rtl w:val="true"/>
          <w:lang w:bidi="fa-IR"/>
        </w:rPr>
        <w:t>سبل الخیر کبناء القناطر و المدارس و الخانات و بناء المساجد و إعانة الحاجّ و الزائرین و إکرام العلماء و المشتغلین و تخلیص الشیعة من ید الظالمین و نحو ذلک، نعم الأحوط اعتبار الفقر فی الزائر و الحاجّ و نحوهما، إلّا أنّ الأقویٰ خلافه، لکن مع عدم التمکّن من الزیارة و الحجّ و نحوهما من مالهم، بل یجوز دفع هذا السهم فی کلّ قربة و إن تمکّن المدفوع إلیه من فعلها بغیر الزکاة</w:t>
      </w:r>
      <w:r>
        <w:rPr>
          <w:rFonts w:eastAsia="IRNazanin" w:cs="IRNazanin"/>
          <w:color w:val="111111"/>
          <w:sz w:val="28"/>
          <w:szCs w:val="28"/>
          <w:rtl w:val="true"/>
          <w:lang w:bidi="fa-IR"/>
        </w:rPr>
        <w:t>.</w:t>
      </w:r>
    </w:p>
    <w:p>
      <w:pPr>
        <w:pStyle w:val="Heading5"/>
        <w:numPr>
          <w:ilvl w:val="4"/>
          <w:numId w:val="1"/>
        </w:numPr>
        <w:rPr/>
      </w:pPr>
      <w:bookmarkStart w:id="3243" w:name="__RefHeading___Toc2567946_3650668749"/>
      <w:bookmarkStart w:id="3244" w:name="_Toc1482"/>
      <w:bookmarkEnd w:id="3243"/>
      <w:r>
        <w:rPr>
          <w:rtl w:val="true"/>
        </w:rPr>
        <w:t>[</w:t>
      </w:r>
      <w:r>
        <w:rPr>
          <w:rtl w:val="true"/>
        </w:rPr>
        <w:t>الثامن</w:t>
      </w:r>
      <w:r>
        <w:rPr>
          <w:rtl w:val="true"/>
        </w:rPr>
        <w:t xml:space="preserve">: </w:t>
      </w:r>
      <w:r>
        <w:rPr>
          <w:rtl w:val="true"/>
        </w:rPr>
        <w:t>ابن السبیل</w:t>
      </w:r>
      <w:r>
        <w:rPr>
          <w:rtl w:val="true"/>
        </w:rPr>
        <w:t>]</w:t>
      </w:r>
      <w:bookmarkEnd w:id="3244"/>
    </w:p>
    <w:p>
      <w:pPr>
        <w:pStyle w:val="Heading6"/>
        <w:numPr>
          <w:ilvl w:val="5"/>
          <w:numId w:val="1"/>
        </w:numPr>
        <w:rPr/>
      </w:pPr>
      <w:bookmarkStart w:id="3245" w:name="__RefHeading___Toc2567948_3650668749"/>
      <w:bookmarkStart w:id="3246" w:name="_Toc1483"/>
      <w:bookmarkEnd w:id="3245"/>
      <w:r>
        <w:rPr>
          <w:rtl w:val="true"/>
        </w:rPr>
        <w:t>اشارة</w:t>
      </w:r>
      <w:bookmarkEnd w:id="3246"/>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السبیل، و هو المنقطع به فی الغربة و إن کان غنیّاً فی بلده إذا کان سفره مباحاً، فلو کان فی معصیة لم یعط، و کذا لو تمکّن من الاقتراض أو غیره فیدفع إلیه من الزکاة مقدار ما یوصله إلیٰ بلده علیٰ وجه یلیق بحاله و شأنه أو إلیٰ محلّ یمکنه تحصیل النفقة و لو بالاستدانة، و لو وصل إلیٰ بلده و فضل ممّا اعطی شی‌ء و لو بسبب التقتیر علیٰ نفسه أعاده علی الأقویٰ، حتّی فی مثل الدابّة و الثیاب و نحوها، فیدفعه إلی الحاکم </w:t>
      </w:r>
      <w:r>
        <w:rPr>
          <w:rStyle w:val="FootnoteAnchor"/>
          <w:rtl w:val="true"/>
        </w:rPr>
        <w:footnoteReference w:id="923"/>
      </w:r>
      <w:r>
        <w:rPr>
          <w:rFonts w:ascii="IRNazanin" w:hAnsi="IRNazanin" w:eastAsia="IRNazanin"/>
          <w:color w:val="111111"/>
          <w:sz w:val="28"/>
          <w:sz w:val="28"/>
          <w:szCs w:val="28"/>
          <w:rtl w:val="true"/>
          <w:lang w:bidi="fa-IR"/>
        </w:rPr>
        <w:t>و یعلمه بأنّه من الزکاة لیصرفه فی مصرفها</w:t>
      </w:r>
      <w:r>
        <w:rPr>
          <w:rFonts w:eastAsia="IRNazanin" w:cs="IRNazanin"/>
          <w:color w:val="111111"/>
          <w:sz w:val="28"/>
          <w:szCs w:val="28"/>
          <w:rtl w:val="true"/>
          <w:lang w:bidi="fa-IR"/>
        </w:rPr>
        <w:t>.</w:t>
      </w:r>
    </w:p>
    <w:p>
      <w:pPr>
        <w:pStyle w:val="Heading6"/>
        <w:numPr>
          <w:ilvl w:val="5"/>
          <w:numId w:val="1"/>
        </w:numPr>
        <w:rPr/>
      </w:pPr>
      <w:bookmarkStart w:id="3247" w:name="__RefHeading___Toc2567950_3650668749"/>
      <w:bookmarkStart w:id="3248" w:name="_Toc1484"/>
      <w:bookmarkEnd w:id="3247"/>
      <w:r>
        <w:rPr>
          <w:rtl w:val="true"/>
        </w:rPr>
        <w:t>[ (</w:t>
      </w:r>
      <w:r>
        <w:rPr>
          <w:rtl w:val="true"/>
        </w:rPr>
        <w:t xml:space="preserve">مسألة </w:t>
      </w:r>
      <w:r>
        <w:rPr/>
        <w:t>19</w:t>
      </w:r>
      <w:r>
        <w:rPr>
          <w:rtl w:val="true"/>
        </w:rPr>
        <w:t xml:space="preserve">): </w:t>
      </w:r>
      <w:r>
        <w:rPr>
          <w:rtl w:val="true"/>
        </w:rPr>
        <w:t>إذا التزم بنذر أو شبهه أن یعطی زکاته فقیراً معیّناً یتعیّن</w:t>
      </w:r>
      <w:r>
        <w:rPr>
          <w:rtl w:val="true"/>
        </w:rPr>
        <w:t>]</w:t>
      </w:r>
      <w:bookmarkEnd w:id="324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التزم بنذر أو شبهه أن یعطی زکاته فقیراً معیّناً یتعیّن و وجب علیه اختیاره و تعیینه، لکن لو سها و أعطی غیره أجزأ، و لا یجوز استرداده منه حتّی مع بقاء العین؛ لأنّه قد ملکها بالقبض، بل الظاهر أنّ الحکم کذلک فیما لو أعطاه مع الالتفات و العمد، و إن أثم حینئذٍ بسبب مخالفة النذر مثلًا و تجب علیه الکفّارة</w:t>
      </w:r>
      <w:r>
        <w:rPr>
          <w:rFonts w:eastAsia="IRNazanin" w:cs="IRNazanin"/>
          <w:color w:val="111111"/>
          <w:sz w:val="28"/>
          <w:szCs w:val="28"/>
          <w:rtl w:val="true"/>
          <w:lang w:bidi="fa-IR"/>
        </w:rPr>
        <w:t>.</w:t>
      </w:r>
      <w:bookmarkStart w:id="3249" w:name="pg1809_19270"/>
    </w:p>
    <w:p>
      <w:pPr>
        <w:pStyle w:val="Heading4"/>
        <w:numPr>
          <w:ilvl w:val="3"/>
          <w:numId w:val="1"/>
        </w:numPr>
        <w:rPr/>
      </w:pPr>
      <w:bookmarkStart w:id="3250" w:name="__RefHeading___Toc2567952_3650668749"/>
      <w:bookmarkStart w:id="3251" w:name="_Toc1485"/>
      <w:bookmarkEnd w:id="3249"/>
      <w:bookmarkEnd w:id="3250"/>
      <w:r>
        <w:rPr>
          <w:rtl w:val="true"/>
        </w:rPr>
        <w:t>[</w:t>
      </w:r>
      <w:r>
        <w:rPr>
          <w:rtl w:val="true"/>
        </w:rPr>
        <w:t>القول فی أوصاف المستحقّین للزکاة</w:t>
      </w:r>
      <w:r>
        <w:rPr>
          <w:rtl w:val="true"/>
        </w:rPr>
        <w:t>]</w:t>
      </w:r>
      <w:bookmarkEnd w:id="3251"/>
    </w:p>
    <w:p>
      <w:pPr>
        <w:pStyle w:val="Heading5"/>
        <w:numPr>
          <w:ilvl w:val="4"/>
          <w:numId w:val="1"/>
        </w:numPr>
        <w:rPr/>
      </w:pPr>
      <w:bookmarkStart w:id="3252" w:name="__RefHeading___Toc2567954_3650668749"/>
      <w:bookmarkStart w:id="3253" w:name="_Toc1486"/>
      <w:bookmarkEnd w:id="3252"/>
      <w:r>
        <w:rPr>
          <w:rtl w:val="true"/>
        </w:rPr>
        <w:t>اشارة</w:t>
      </w:r>
      <w:bookmarkEnd w:id="3253"/>
    </w:p>
    <w:p>
      <w:pPr>
        <w:pStyle w:val="BookText"/>
        <w:rPr/>
      </w:pPr>
      <w:r>
        <w:rPr>
          <w:rFonts w:ascii="IRNazanin" w:hAnsi="IRNazanin" w:eastAsia="IRNazanin"/>
          <w:color w:val="111111"/>
          <w:sz w:val="28"/>
          <w:sz w:val="28"/>
          <w:szCs w:val="28"/>
          <w:rtl w:val="true"/>
          <w:lang w:bidi="fa-IR"/>
        </w:rPr>
        <w:t>القول فی أوصاف المستحقّین للزکاة و هی أُمور</w:t>
      </w:r>
      <w:r>
        <w:rPr>
          <w:rFonts w:eastAsia="IRNazanin" w:cs="IRNazanin"/>
          <w:color w:val="111111"/>
          <w:sz w:val="28"/>
          <w:szCs w:val="28"/>
          <w:rtl w:val="true"/>
          <w:lang w:bidi="fa-IR"/>
        </w:rPr>
        <w:t>:</w:t>
      </w:r>
    </w:p>
    <w:p>
      <w:pPr>
        <w:pStyle w:val="Heading5"/>
        <w:numPr>
          <w:ilvl w:val="4"/>
          <w:numId w:val="1"/>
        </w:numPr>
        <w:rPr/>
      </w:pPr>
      <w:bookmarkStart w:id="3254" w:name="__RefHeading___Toc2567956_3650668749"/>
      <w:bookmarkStart w:id="3255" w:name="_Toc1487"/>
      <w:bookmarkEnd w:id="3254"/>
      <w:r>
        <w:rPr>
          <w:rtl w:val="true"/>
        </w:rPr>
        <w:t>[</w:t>
      </w:r>
      <w:r>
        <w:rPr>
          <w:rtl w:val="true"/>
        </w:rPr>
        <w:t>الأوّل</w:t>
      </w:r>
      <w:r>
        <w:rPr>
          <w:rtl w:val="true"/>
        </w:rPr>
        <w:t xml:space="preserve">: </w:t>
      </w:r>
      <w:r>
        <w:rPr>
          <w:rtl w:val="true"/>
        </w:rPr>
        <w:t>الإیمان</w:t>
      </w:r>
      <w:r>
        <w:rPr>
          <w:rtl w:val="true"/>
        </w:rPr>
        <w:t>]</w:t>
      </w:r>
      <w:bookmarkEnd w:id="325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فلا یعطی الکافر و لا المخالف للحقّ و إن کان من فرق الشیعة، بل و لا المستضعف من فرق المخالفین إلّا من سهم الْمُؤَلَّفَةِ قُلُوبُهُمْ کما مرّ، نعم یعطی </w:t>
      </w:r>
      <w:r>
        <w:rPr>
          <w:rStyle w:val="FootnoteAnchor"/>
          <w:rtl w:val="true"/>
        </w:rPr>
        <w:footnoteReference w:id="924"/>
      </w:r>
      <w:r>
        <w:rPr>
          <w:rFonts w:ascii="IRNazanin" w:hAnsi="IRNazanin" w:eastAsia="IRNazanin"/>
          <w:color w:val="111111"/>
          <w:sz w:val="28"/>
          <w:sz w:val="28"/>
          <w:szCs w:val="28"/>
          <w:rtl w:val="true"/>
          <w:lang w:bidi="fa-IR"/>
        </w:rPr>
        <w:t>المستضعف من زکاة الفطرة مع عدم وجود المؤمنین فی ذلک البلد، و لا یعطی ابن الزنا من المؤمنین فی حال صغره فضلًا عمّن کان 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یعطی أطفال الفرقة الحقّة من غیر فرق بین الذکر و الأُنثی و لا بین الممیّز و غیره، بل لو تولّد بین المؤمن </w:t>
      </w:r>
      <w:r>
        <w:rPr>
          <w:rStyle w:val="FootnoteAnchor"/>
          <w:rtl w:val="true"/>
        </w:rPr>
        <w:footnoteReference w:id="925"/>
      </w:r>
      <w:r>
        <w:rPr>
          <w:rFonts w:ascii="IRNazanin" w:hAnsi="IRNazanin" w:eastAsia="IRNazanin"/>
          <w:color w:val="111111"/>
          <w:sz w:val="28"/>
          <w:sz w:val="28"/>
          <w:szCs w:val="28"/>
          <w:rtl w:val="true"/>
          <w:lang w:bidi="fa-IR"/>
        </w:rPr>
        <w:t>و غیره اعطی منها أیضاً خصوصاً إذا کان الأب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تعطیٰ بید الطفل بل یدفع إلیٰ ولیّه أو یصرفها علیه بنفسه أو بواسطة أمین، و المجنون کالطفل، أمّا السفیه فیجوز الدفع إلیه و إن تعلّق الحجر به</w:t>
      </w:r>
      <w:r>
        <w:rPr>
          <w:rFonts w:eastAsia="IRNazanin" w:cs="IRNazanin"/>
          <w:color w:val="111111"/>
          <w:sz w:val="28"/>
          <w:szCs w:val="28"/>
          <w:rtl w:val="true"/>
          <w:lang w:bidi="fa-IR"/>
        </w:rPr>
        <w:t>.</w:t>
      </w:r>
    </w:p>
    <w:p>
      <w:pPr>
        <w:pStyle w:val="Heading5"/>
        <w:numPr>
          <w:ilvl w:val="4"/>
          <w:numId w:val="1"/>
        </w:numPr>
        <w:rPr/>
      </w:pPr>
      <w:bookmarkStart w:id="3256" w:name="__RefHeading___Toc2567958_3650668749"/>
      <w:bookmarkStart w:id="3257" w:name="_Toc1488"/>
      <w:bookmarkEnd w:id="3256"/>
      <w:r>
        <w:rPr>
          <w:rtl w:val="true"/>
        </w:rPr>
        <w:t>[</w:t>
      </w:r>
      <w:r>
        <w:rPr>
          <w:rtl w:val="true"/>
        </w:rPr>
        <w:t>الثانی</w:t>
      </w:r>
      <w:r>
        <w:rPr>
          <w:rtl w:val="true"/>
        </w:rPr>
        <w:t xml:space="preserve">: </w:t>
      </w:r>
      <w:r>
        <w:rPr>
          <w:rtl w:val="true"/>
        </w:rPr>
        <w:t>العدالة علی الأحوط</w:t>
      </w:r>
      <w:r>
        <w:rPr>
          <w:rtl w:val="true"/>
        </w:rPr>
        <w:t>]</w:t>
      </w:r>
      <w:bookmarkEnd w:id="325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علی الأحوط، فلا یعطیٰ غیر العدل سیّما المتجاهر </w:t>
      </w:r>
      <w:r>
        <w:rPr>
          <w:rStyle w:val="FootnoteAnchor"/>
          <w:rtl w:val="true"/>
        </w:rPr>
        <w:footnoteReference w:id="926"/>
      </w:r>
      <w:r>
        <w:rPr>
          <w:rFonts w:ascii="IRNazanin" w:hAnsi="IRNazanin" w:eastAsia="IRNazanin"/>
          <w:color w:val="111111"/>
          <w:sz w:val="28"/>
          <w:sz w:val="28"/>
          <w:szCs w:val="28"/>
          <w:rtl w:val="true"/>
          <w:lang w:bidi="fa-IR"/>
        </w:rPr>
        <w:t>بارتکاب الکبائر، و إن کان الأقوی الاکتفاء بالإیمان، و إن تفاوتت فی الأفراد مراتب الرجحان، نعم یقویٰ عدم الجواز إذا کان فی الدفع إعانة علی الإثم أو إغراء بالقبیح، و فی المنع ردع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اعتبارها فی العامل </w:t>
      </w:r>
      <w:r>
        <w:rPr>
          <w:rStyle w:val="FootnoteAnchor"/>
          <w:rtl w:val="true"/>
        </w:rPr>
        <w:footnoteReference w:id="927"/>
      </w:r>
      <w:r>
        <w:rPr>
          <w:rFonts w:ascii="IRNazanin" w:hAnsi="IRNazanin" w:eastAsia="IRNazanin"/>
          <w:color w:val="111111"/>
          <w:sz w:val="28"/>
          <w:sz w:val="28"/>
          <w:szCs w:val="28"/>
          <w:rtl w:val="true"/>
          <w:lang w:bidi="fa-IR"/>
        </w:rPr>
        <w:t>، أمّا فی الغارم و ابن السبیل و الرقاب فغیر معتبرة، فضلًا عن المؤلّفة و فی سبیل اللّٰه</w:t>
      </w:r>
      <w:r>
        <w:rPr>
          <w:rFonts w:eastAsia="IRNazanin" w:cs="IRNazanin"/>
          <w:color w:val="111111"/>
          <w:sz w:val="28"/>
          <w:szCs w:val="28"/>
          <w:rtl w:val="true"/>
          <w:lang w:bidi="fa-IR"/>
        </w:rPr>
        <w:t>.</w:t>
      </w:r>
    </w:p>
    <w:p>
      <w:pPr>
        <w:pStyle w:val="Heading5"/>
        <w:numPr>
          <w:ilvl w:val="4"/>
          <w:numId w:val="1"/>
        </w:numPr>
        <w:rPr/>
      </w:pPr>
      <w:bookmarkStart w:id="3258" w:name="__RefHeading___Toc2567960_3650668749"/>
      <w:bookmarkStart w:id="3259" w:name="_Toc1489"/>
      <w:bookmarkEnd w:id="3258"/>
      <w:r>
        <w:rPr>
          <w:rtl w:val="true"/>
        </w:rPr>
        <w:t>[</w:t>
      </w:r>
      <w:r>
        <w:rPr>
          <w:rtl w:val="true"/>
        </w:rPr>
        <w:t>الوصف الثالث</w:t>
      </w:r>
      <w:r>
        <w:rPr>
          <w:rtl w:val="true"/>
        </w:rPr>
        <w:t xml:space="preserve">: </w:t>
      </w:r>
      <w:r>
        <w:rPr>
          <w:rtl w:val="true"/>
        </w:rPr>
        <w:t>أن لا یکون ممّن تجب نفقته علی المالک</w:t>
      </w:r>
      <w:r>
        <w:rPr>
          <w:rtl w:val="true"/>
        </w:rPr>
        <w:t>]</w:t>
      </w:r>
      <w:bookmarkEnd w:id="3259"/>
    </w:p>
    <w:p>
      <w:pPr>
        <w:pStyle w:val="Heading6"/>
        <w:numPr>
          <w:ilvl w:val="5"/>
          <w:numId w:val="1"/>
        </w:numPr>
        <w:rPr/>
      </w:pPr>
      <w:bookmarkStart w:id="3260" w:name="__RefHeading___Toc2567962_3650668749"/>
      <w:bookmarkStart w:id="3261" w:name="_Toc1490"/>
      <w:bookmarkEnd w:id="3260"/>
      <w:r>
        <w:rPr>
          <w:rtl w:val="true"/>
        </w:rPr>
        <w:t>اشارة</w:t>
      </w:r>
      <w:bookmarkEnd w:id="326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الوصف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ممّن تجب نفقته علی المالک کالأبوین و إن علوا، و الأولاد و إن سفلوا، و الزوجة الدائمة التی لم یسقط عنه وجوب نفقتها بشرط أو غیره من الأسباب الشرعیّة، و المملوک سواء کان آبقاً أو مطیعاً، فلا یجوز دفعها إلیهم للإنفاق و إن سقط عنه وجوبه لعجزه، من غیر فرق بین إعطاء تمام الإنفاق من الزکاة أو إتمام ما یجب علیه بها،</w:t>
      </w:r>
      <w:bookmarkStart w:id="3262" w:name="pg1809_19272"/>
    </w:p>
    <w:p>
      <w:pPr>
        <w:pStyle w:val="BookText"/>
        <w:rPr/>
      </w:pPr>
      <w:bookmarkEnd w:id="3262"/>
      <w:r>
        <w:rPr>
          <w:rFonts w:ascii="IRNazanin" w:hAnsi="IRNazanin" w:eastAsia="IRNazanin"/>
          <w:color w:val="111111"/>
          <w:sz w:val="28"/>
          <w:sz w:val="28"/>
          <w:szCs w:val="28"/>
          <w:rtl w:val="true"/>
          <w:lang w:bidi="fa-IR"/>
        </w:rPr>
        <w:t>کما لو کان قادراً علیٰ إطعامهم و عجز عن إکسائهم فأراد إعطاء إکسائهم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جوازه للتوسعة علیهم و إن کان الأحوط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دفعها لهم لأجل إنفاقهم علیٰ من تجب نفقته علیهم دونه کالزوجة للوالد أو الولد، و المملوک لهما مثلًا، کما أنّه یجوز دفع الغیر لهم و لو للإنفاق، نعم لو کان من یجب علیه باذلًا فالأحوط </w:t>
      </w:r>
      <w:r>
        <w:rPr>
          <w:rStyle w:val="FootnoteAnchor"/>
          <w:rtl w:val="true"/>
        </w:rPr>
        <w:footnoteReference w:id="928"/>
      </w:r>
      <w:r>
        <w:rPr>
          <w:rFonts w:ascii="IRNazanin" w:hAnsi="IRNazanin" w:eastAsia="IRNazanin"/>
          <w:color w:val="111111"/>
          <w:sz w:val="28"/>
          <w:sz w:val="28"/>
          <w:szCs w:val="28"/>
          <w:rtl w:val="true"/>
          <w:lang w:bidi="fa-IR"/>
        </w:rPr>
        <w:t>عدم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عال بأحد تبرّعاً جاز له دفع زکاته له فضلًا عن غیره للإنفاق فضلًا عن التوسعة، من غیر فرق بین کون المعال به المزبور قریباً أو أجنبیّا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بدفع الزوجة زکاتها للزوج و إن أنفقها علیها، و کذا غیرها ممّن تجب نفقته علیه بسبب من الأسباب</w:t>
      </w:r>
      <w:r>
        <w:rPr>
          <w:rFonts w:eastAsia="IRNazanin" w:cs="IRNazanin"/>
          <w:color w:val="111111"/>
          <w:sz w:val="28"/>
          <w:szCs w:val="28"/>
          <w:rtl w:val="true"/>
          <w:lang w:bidi="fa-IR"/>
        </w:rPr>
        <w:t>.</w:t>
      </w:r>
    </w:p>
    <w:p>
      <w:pPr>
        <w:pStyle w:val="Heading6"/>
        <w:numPr>
          <w:ilvl w:val="5"/>
          <w:numId w:val="1"/>
        </w:numPr>
        <w:rPr/>
      </w:pPr>
      <w:bookmarkStart w:id="3263" w:name="__RefHeading___Toc2567964_3650668749"/>
      <w:bookmarkStart w:id="3264" w:name="_Toc1491"/>
      <w:bookmarkEnd w:id="3263"/>
      <w:r>
        <w:rPr>
          <w:rtl w:val="true"/>
        </w:rPr>
        <w:t>[ (</w:t>
      </w:r>
      <w:r>
        <w:rPr>
          <w:rtl w:val="true"/>
        </w:rPr>
        <w:t xml:space="preserve">مسألة </w:t>
      </w:r>
      <w:r>
        <w:rPr/>
        <w:t>1</w:t>
      </w:r>
      <w:r>
        <w:rPr>
          <w:rtl w:val="true"/>
        </w:rPr>
        <w:t xml:space="preserve">): </w:t>
      </w:r>
      <w:r>
        <w:rPr>
          <w:rtl w:val="true"/>
        </w:rPr>
        <w:t>الممنوع إعطاؤه لواجبی النفقة هو ما کان من سهم الفقراء و لأجل فقرهم</w:t>
      </w:r>
      <w:r>
        <w:rPr>
          <w:rtl w:val="true"/>
        </w:rPr>
        <w:t>]</w:t>
      </w:r>
      <w:bookmarkEnd w:id="3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الممنوع إعطاؤه لواجبی النفقة هو ما کان من سهم الفقراء و لأجل فقرهم، و أمّا من غیره کسهم الغارمین و الْمُؤَلَّفَةِ قُلُوبُهُمْ و سَبِیلِ اللّٰهِ و الرقاب و ابْنِ السَّبِیلِ </w:t>
      </w:r>
      <w:r>
        <w:rPr>
          <w:rStyle w:val="FootnoteAnchor"/>
          <w:rtl w:val="true"/>
        </w:rPr>
        <w:footnoteReference w:id="929"/>
      </w:r>
      <w:r>
        <w:rPr>
          <w:rFonts w:ascii="IRNazanin" w:hAnsi="IRNazanin" w:eastAsia="IRNazanin"/>
          <w:color w:val="111111"/>
          <w:sz w:val="28"/>
          <w:sz w:val="28"/>
          <w:szCs w:val="28"/>
          <w:rtl w:val="true"/>
          <w:lang w:bidi="fa-IR"/>
        </w:rPr>
        <w:t xml:space="preserve">إذا کانوا من مصادیقها فلا مانع منه علیٰ إشکال فی الأخیر، فیجوز للوالد إعطاء الزکاة إلیٰ ولده المشتغل لتحصیل الکتب العلمیّة أو غیره ممّا یحتاج إلیه الطلبة من سهم سبیل اللّٰه، بل یجوز له إعطاؤها له للصرف فی مئونة التزویج </w:t>
      </w:r>
      <w:r>
        <w:rPr>
          <w:rStyle w:val="FootnoteAnchor"/>
          <w:rtl w:val="true"/>
        </w:rPr>
        <w:footnoteReference w:id="930"/>
      </w:r>
      <w:r>
        <w:rPr>
          <w:rFonts w:ascii="IRNazanin" w:hAnsi="IRNazanin" w:eastAsia="IRNazanin"/>
          <w:color w:val="111111"/>
          <w:sz w:val="28"/>
          <w:sz w:val="28"/>
          <w:szCs w:val="28"/>
          <w:rtl w:val="true"/>
          <w:lang w:bidi="fa-IR"/>
        </w:rPr>
        <w:t>أو إعانة له فی المسیر إلی الحجّ أو الزیارة من السهم المزبور</w:t>
      </w:r>
      <w:r>
        <w:rPr>
          <w:rFonts w:eastAsia="IRNazanin" w:cs="IRNazanin"/>
          <w:color w:val="111111"/>
          <w:sz w:val="28"/>
          <w:szCs w:val="28"/>
          <w:rtl w:val="true"/>
          <w:lang w:bidi="fa-IR"/>
        </w:rPr>
        <w:t>.</w:t>
      </w:r>
    </w:p>
    <w:p>
      <w:pPr>
        <w:pStyle w:val="Heading6"/>
        <w:numPr>
          <w:ilvl w:val="5"/>
          <w:numId w:val="1"/>
        </w:numPr>
        <w:rPr/>
      </w:pPr>
      <w:bookmarkStart w:id="3265" w:name="__RefHeading___Toc2567966_3650668749"/>
      <w:bookmarkStart w:id="3266" w:name="_Toc1492"/>
      <w:bookmarkEnd w:id="3265"/>
      <w:r>
        <w:rPr>
          <w:rtl w:val="true"/>
        </w:rPr>
        <w:t>[ (</w:t>
      </w:r>
      <w:r>
        <w:rPr>
          <w:rtl w:val="true"/>
        </w:rPr>
        <w:t xml:space="preserve">مسألة </w:t>
      </w:r>
      <w:r>
        <w:rPr/>
        <w:t>2</w:t>
      </w:r>
      <w:r>
        <w:rPr>
          <w:rtl w:val="true"/>
        </w:rPr>
        <w:t xml:space="preserve">): </w:t>
      </w:r>
      <w:r>
        <w:rPr>
          <w:rtl w:val="true"/>
        </w:rPr>
        <w:t>یجوز دفع الزکاة إلی الزوجة الدائمة التی سقط وجوب نفقتها بالشرط و نحوه</w:t>
      </w:r>
      <w:r>
        <w:rPr>
          <w:rtl w:val="true"/>
        </w:rPr>
        <w:t>]</w:t>
      </w:r>
      <w:bookmarkEnd w:id="3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دفع الزکاة إلی الزوجة الدائمة التی سقط وجوب نفقتها بالشرط و نحوه، نعم فیما إذا کان سقوط نفقتها لأجل النشوز یشکل جواز الدفع إلیها لتمکّنها من تحصیلها 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دفعها إلی المتمتّع بها حتّی من زوجها، نعم لو وجبت علی الزوج نفقتها من جهة الشرط أو نحوه لا یجوز له أن یدفع إلیها بل لغیره أیضاً مع یساره و کونه باذلًا</w:t>
      </w:r>
      <w:r>
        <w:rPr>
          <w:rFonts w:eastAsia="IRNazanin" w:cs="IRNazanin"/>
          <w:color w:val="111111"/>
          <w:sz w:val="28"/>
          <w:szCs w:val="28"/>
          <w:rtl w:val="true"/>
          <w:lang w:bidi="fa-IR"/>
        </w:rPr>
        <w:t>.</w:t>
      </w:r>
    </w:p>
    <w:p>
      <w:pPr>
        <w:pStyle w:val="Heading5"/>
        <w:numPr>
          <w:ilvl w:val="4"/>
          <w:numId w:val="1"/>
        </w:numPr>
        <w:rPr/>
      </w:pPr>
      <w:bookmarkStart w:id="3267" w:name="__RefHeading___Toc2567968_3650668749"/>
      <w:bookmarkStart w:id="3268" w:name="_Toc1493"/>
      <w:bookmarkEnd w:id="3267"/>
      <w:r>
        <w:rPr>
          <w:rtl w:val="true"/>
        </w:rPr>
        <w:t>[</w:t>
      </w:r>
      <w:r>
        <w:rPr>
          <w:rtl w:val="true"/>
        </w:rPr>
        <w:t>الوصف الرابع</w:t>
      </w:r>
      <w:r>
        <w:rPr>
          <w:rtl w:val="true"/>
        </w:rPr>
        <w:t xml:space="preserve">: </w:t>
      </w:r>
      <w:r>
        <w:rPr>
          <w:rtl w:val="true"/>
        </w:rPr>
        <w:t>أن لا یکون هاشمیّاً إذا کانت الزکاة من غیره</w:t>
      </w:r>
      <w:r>
        <w:rPr>
          <w:rtl w:val="true"/>
        </w:rPr>
        <w:t>]</w:t>
      </w:r>
      <w:bookmarkEnd w:id="326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الوصف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هاشمیّاً إذا کانت الزکاة من غیره، أمّا زکاة الهاشمی فلا بأس بتناولها منه، کما أنّه لا بأس بتناولها من غیره مع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الأحوط إن لم یکن أقوی الاقتصار علیٰ قدر الضرورة یوماً فیوماً، کما أنّ الأحوط اجتناب مطلق الصدقة</w:t>
      </w:r>
      <w:bookmarkStart w:id="3269" w:name="pg1809_19274"/>
    </w:p>
    <w:p>
      <w:pPr>
        <w:pStyle w:val="BookText"/>
        <w:rPr/>
      </w:pPr>
      <w:bookmarkEnd w:id="3269"/>
      <w:r>
        <w:rPr>
          <w:rFonts w:ascii="IRNazanin" w:hAnsi="IRNazanin" w:eastAsia="IRNazanin"/>
          <w:color w:val="111111"/>
          <w:sz w:val="28"/>
          <w:sz w:val="28"/>
          <w:szCs w:val="28"/>
          <w:rtl w:val="true"/>
          <w:lang w:bidi="fa-IR"/>
        </w:rPr>
        <w:t>الواجبة و لو بالعارض و إن کان الأقویٰ خلافه، نعم لا بأس بدفع الصدقة المندوبة إلیهم و لو زکاة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المشکوک کونه هاشمیّاً و لم یکن بیّنة أو شیاع بحکم غیره فیعطیٰ من الزکاة، نعم لو ادّعیٰ کونه هاشمیّاً لا یدفع إلیه الزکاة من جهة إقراره بعدم الاستحقاق لا من جهة ثبوت مدّعاه بمجرّد دعواه؛ و لذا لا یعطی من الخمس أیضاً بذلک ما لم یثبت صحّة دعواه من الخارج</w:t>
      </w:r>
      <w:r>
        <w:rPr>
          <w:rFonts w:eastAsia="IRNazanin" w:cs="IRNazanin"/>
          <w:color w:val="111111"/>
          <w:sz w:val="28"/>
          <w:szCs w:val="28"/>
          <w:rtl w:val="true"/>
          <w:lang w:bidi="fa-IR"/>
        </w:rPr>
        <w:t>.</w:t>
      </w:r>
    </w:p>
    <w:p>
      <w:pPr>
        <w:pStyle w:val="Heading4"/>
        <w:numPr>
          <w:ilvl w:val="3"/>
          <w:numId w:val="1"/>
        </w:numPr>
        <w:rPr/>
      </w:pPr>
      <w:bookmarkStart w:id="3270" w:name="__RefHeading___Toc2567970_3650668749"/>
      <w:bookmarkStart w:id="3271" w:name="_Toc1494"/>
      <w:bookmarkEnd w:id="3270"/>
      <w:r>
        <w:rPr>
          <w:rtl w:val="true"/>
        </w:rPr>
        <w:t>[</w:t>
      </w:r>
      <w:r>
        <w:rPr>
          <w:rtl w:val="true"/>
        </w:rPr>
        <w:t>القول فی بقیّة أحکام الزکاة</w:t>
      </w:r>
      <w:r>
        <w:rPr>
          <w:rtl w:val="true"/>
        </w:rPr>
        <w:t>]</w:t>
      </w:r>
      <w:bookmarkEnd w:id="3271"/>
    </w:p>
    <w:p>
      <w:pPr>
        <w:pStyle w:val="Heading5"/>
        <w:numPr>
          <w:ilvl w:val="4"/>
          <w:numId w:val="1"/>
        </w:numPr>
        <w:rPr/>
      </w:pPr>
      <w:bookmarkStart w:id="3272" w:name="__RefHeading___Toc2567972_3650668749"/>
      <w:bookmarkStart w:id="3273" w:name="_Toc1495"/>
      <w:bookmarkEnd w:id="3272"/>
      <w:r>
        <w:rPr>
          <w:rtl w:val="true"/>
        </w:rPr>
        <w:t>اشارة</w:t>
      </w:r>
      <w:bookmarkEnd w:id="3273"/>
    </w:p>
    <w:p>
      <w:pPr>
        <w:pStyle w:val="BookText"/>
        <w:rPr/>
      </w:pPr>
      <w:r>
        <w:rPr>
          <w:rFonts w:ascii="IRNazanin" w:hAnsi="IRNazanin" w:eastAsia="IRNazanin"/>
          <w:color w:val="111111"/>
          <w:sz w:val="28"/>
          <w:sz w:val="28"/>
          <w:szCs w:val="28"/>
          <w:rtl w:val="true"/>
          <w:lang w:bidi="fa-IR"/>
        </w:rPr>
        <w:t>القول فی بقیّة أحکام الزکاة</w:t>
      </w:r>
    </w:p>
    <w:p>
      <w:pPr>
        <w:pStyle w:val="Heading5"/>
        <w:numPr>
          <w:ilvl w:val="4"/>
          <w:numId w:val="1"/>
        </w:numPr>
        <w:rPr/>
      </w:pPr>
      <w:bookmarkStart w:id="3274" w:name="__RefHeading___Toc2567974_3650668749"/>
      <w:bookmarkStart w:id="3275" w:name="_Toc1496"/>
      <w:bookmarkEnd w:id="3274"/>
      <w:r>
        <w:rPr>
          <w:rtl w:val="true"/>
        </w:rPr>
        <w:t>[ (</w:t>
      </w:r>
      <w:r>
        <w:rPr>
          <w:rtl w:val="true"/>
        </w:rPr>
        <w:t xml:space="preserve">مسألة </w:t>
      </w:r>
      <w:r>
        <w:rPr/>
        <w:t>1</w:t>
      </w:r>
      <w:r>
        <w:rPr>
          <w:rtl w:val="true"/>
        </w:rPr>
        <w:t xml:space="preserve">): </w:t>
      </w:r>
      <w:r>
        <w:rPr>
          <w:rtl w:val="true"/>
        </w:rPr>
        <w:t>لا یجب بسط الزکاة علی الأصناف الثمانیة</w:t>
      </w:r>
      <w:r>
        <w:rPr>
          <w:rtl w:val="true"/>
        </w:rPr>
        <w:t>]</w:t>
      </w:r>
      <w:bookmarkEnd w:id="3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بسط الزکاة علی الأصناف الثمانیة و إن استحبّ مع سعتها و وجودهم، فیجوز التخصیص ببعضها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یجب فی کلّ صنف البسط علیٰ أفراده و إن تعدّدت، فیجوز التخصیص ببعضهم</w:t>
      </w:r>
      <w:r>
        <w:rPr>
          <w:rFonts w:eastAsia="IRNazanin" w:cs="IRNazanin"/>
          <w:color w:val="111111"/>
          <w:sz w:val="28"/>
          <w:szCs w:val="28"/>
          <w:rtl w:val="true"/>
          <w:lang w:bidi="fa-IR"/>
        </w:rPr>
        <w:t>.</w:t>
      </w:r>
    </w:p>
    <w:p>
      <w:pPr>
        <w:pStyle w:val="Heading5"/>
        <w:numPr>
          <w:ilvl w:val="4"/>
          <w:numId w:val="1"/>
        </w:numPr>
        <w:rPr/>
      </w:pPr>
      <w:bookmarkStart w:id="3276" w:name="__RefHeading___Toc2567976_3650668749"/>
      <w:bookmarkStart w:id="3277" w:name="_Toc1497"/>
      <w:bookmarkEnd w:id="3276"/>
      <w:r>
        <w:rPr>
          <w:rtl w:val="true"/>
        </w:rPr>
        <w:t>[ (</w:t>
      </w:r>
      <w:r>
        <w:rPr>
          <w:rtl w:val="true"/>
        </w:rPr>
        <w:t xml:space="preserve">مسألة </w:t>
      </w:r>
      <w:r>
        <w:rPr/>
        <w:t>2</w:t>
      </w:r>
      <w:r>
        <w:rPr>
          <w:rtl w:val="true"/>
        </w:rPr>
        <w:t xml:space="preserve">): </w:t>
      </w:r>
      <w:r>
        <w:rPr>
          <w:rtl w:val="true"/>
        </w:rPr>
        <w:t>تجب النیّة فی الزکاة و لا تجب فیها أزید من القربة و التعیین</w:t>
      </w:r>
      <w:r>
        <w:rPr>
          <w:rtl w:val="true"/>
        </w:rPr>
        <w:t>]</w:t>
      </w:r>
      <w:bookmarkEnd w:id="327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النیّة فی الزکاة و لا تجب فیها أزید من القربة و التعیین دون الوجوب و الندب و إن کان هو الأحوط، فلو کان علیه زکاة و کفّارة مثلًا وجب تعیین أحدهما حین الدفع، بل الأحوط </w:t>
      </w:r>
      <w:r>
        <w:rPr>
          <w:rStyle w:val="FootnoteAnchor"/>
          <w:rtl w:val="true"/>
        </w:rPr>
        <w:footnoteReference w:id="931"/>
      </w:r>
      <w:r>
        <w:rPr>
          <w:rFonts w:ascii="IRNazanin" w:hAnsi="IRNazanin" w:eastAsia="IRNazanin"/>
          <w:color w:val="111111"/>
          <w:sz w:val="28"/>
          <w:sz w:val="28"/>
          <w:szCs w:val="28"/>
          <w:rtl w:val="true"/>
          <w:lang w:bidi="fa-IR"/>
        </w:rPr>
        <w:t>إن لم یکن أقوی ذلک بالنسبة إلیٰ زکاة المال و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یعتبر تعیین الجنس الذی تخرج منه الزکاة أنّه من الأنعام أو النقدین أو الغلّات، فیکفی </w:t>
      </w:r>
      <w:r>
        <w:rPr>
          <w:rStyle w:val="FootnoteAnchor"/>
          <w:rtl w:val="true"/>
        </w:rPr>
        <w:footnoteReference w:id="932"/>
      </w:r>
      <w:r>
        <w:rPr>
          <w:rFonts w:ascii="IRNazanin" w:hAnsi="IRNazanin" w:eastAsia="IRNazanin"/>
          <w:color w:val="111111"/>
          <w:sz w:val="28"/>
          <w:sz w:val="28"/>
          <w:szCs w:val="28"/>
          <w:rtl w:val="true"/>
          <w:lang w:bidi="fa-IR"/>
        </w:rPr>
        <w:t>مجرّد قصد کونه زکاة، من غیر فرق بین أن یکون محلّ الوجوب متّحداً أو متعدّداً، بل و من غیر فرق بین اتّحاد نوع الحقّ، کما لو کان عنده أربعون من الغنم و خمس من الإبل و تعدّده کنصاب من النقدین و واحد من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لو عیّن تعیّن و یتولّاها الحاکم عن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وکّل أحداً فی أداء زکاته یتولّی الوکیل النیّة إذا کان المال الذی یزکّیه عند الوکیل و کان مخرجاً للزکاة، و أمّا إذا أخرج زکاته و دفع إلیٰ شخص لیوصله إلیٰ محلّه کان هو المباشر</w:t>
      </w:r>
      <w:bookmarkStart w:id="3278" w:name="pg1809_19277"/>
    </w:p>
    <w:p>
      <w:pPr>
        <w:pStyle w:val="BookText"/>
        <w:rPr/>
      </w:pPr>
      <w:bookmarkEnd w:id="3278"/>
      <w:r>
        <w:rPr>
          <w:rFonts w:ascii="IRNazanin" w:hAnsi="IRNazanin" w:eastAsia="IRNazanin"/>
          <w:color w:val="111111"/>
          <w:sz w:val="28"/>
          <w:sz w:val="28"/>
          <w:szCs w:val="28"/>
          <w:rtl w:val="true"/>
          <w:lang w:bidi="fa-IR"/>
        </w:rPr>
        <w:t xml:space="preserve">للنیّة حین دفعها إلیٰ ذلک الشخص </w:t>
      </w:r>
      <w:r>
        <w:rPr>
          <w:rStyle w:val="FootnoteAnchor"/>
          <w:rtl w:val="true"/>
        </w:rPr>
        <w:footnoteReference w:id="933"/>
      </w:r>
      <w:r>
        <w:rPr>
          <w:rFonts w:ascii="IRNazanin" w:hAnsi="IRNazanin" w:eastAsia="IRNazanin"/>
          <w:color w:val="111111"/>
          <w:sz w:val="28"/>
          <w:sz w:val="28"/>
          <w:szCs w:val="28"/>
          <w:rtl w:val="true"/>
          <w:lang w:bidi="fa-IR"/>
        </w:rPr>
        <w:t>، و لا یحتاج إلیٰ نیّة أُخری من الوکیل حین الإیصال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دفع المال إلی الفقیر بلا نیّة فله تجدید النیّة و لو بعد زمان طویل مع بقاء العین، و أمّا لو کانت تالفة فإن کان مضموناً </w:t>
      </w:r>
      <w:r>
        <w:rPr>
          <w:rStyle w:val="FootnoteAnchor"/>
          <w:rtl w:val="true"/>
        </w:rPr>
        <w:footnoteReference w:id="934"/>
      </w:r>
      <w:r>
        <w:rPr>
          <w:rFonts w:ascii="IRNazanin" w:hAnsi="IRNazanin" w:eastAsia="IRNazanin"/>
          <w:color w:val="111111"/>
          <w:sz w:val="28"/>
          <w:sz w:val="28"/>
          <w:szCs w:val="28"/>
          <w:rtl w:val="true"/>
          <w:lang w:bidi="fa-IR"/>
        </w:rPr>
        <w:t>و اشتغلت ذمّة الآخذ به له أن یحسبها زکاة کسائر الدیون، و أمّا مع تلفها بلا ضمان فلا محلّ لما ینویها زکاة</w:t>
      </w:r>
      <w:r>
        <w:rPr>
          <w:rFonts w:eastAsia="IRNazanin" w:cs="IRNazanin"/>
          <w:color w:val="111111"/>
          <w:sz w:val="28"/>
          <w:szCs w:val="28"/>
          <w:rtl w:val="true"/>
          <w:lang w:bidi="fa-IR"/>
        </w:rPr>
        <w:t>.</w:t>
      </w:r>
    </w:p>
    <w:p>
      <w:pPr>
        <w:pStyle w:val="Heading5"/>
        <w:numPr>
          <w:ilvl w:val="4"/>
          <w:numId w:val="1"/>
        </w:numPr>
        <w:rPr/>
      </w:pPr>
      <w:bookmarkStart w:id="3279" w:name="__RefHeading___Toc2567978_3650668749"/>
      <w:bookmarkStart w:id="3280" w:name="_Toc1498"/>
      <w:bookmarkEnd w:id="3279"/>
      <w:r>
        <w:rPr>
          <w:rtl w:val="true"/>
        </w:rPr>
        <w:t>[ (</w:t>
      </w:r>
      <w:r>
        <w:rPr>
          <w:rtl w:val="true"/>
        </w:rPr>
        <w:t xml:space="preserve">مسألة </w:t>
      </w:r>
      <w:r>
        <w:rPr/>
        <w:t>3</w:t>
      </w:r>
      <w:r>
        <w:rPr>
          <w:rtl w:val="true"/>
        </w:rPr>
        <w:t xml:space="preserve">): </w:t>
      </w:r>
      <w:r>
        <w:rPr>
          <w:rtl w:val="true"/>
        </w:rPr>
        <w:t>لو کان له مال غائب و دفع إلی الفقیر مقدار زکاته و نویٰ أنّه إن کان باقیاً فهذا زکاته</w:t>
      </w:r>
      <w:r>
        <w:rPr>
          <w:rtl w:val="true"/>
        </w:rPr>
        <w:t>]</w:t>
      </w:r>
      <w:bookmarkEnd w:id="3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مال غائب و دفع إلی الفقیر مقدار زکاته و نویٰ أنّه إن کان باقیاً فهذا زکاته و إن کان تالفاً فهذا صدقة مستحبّة أو من طرف المظالم مثلًا صحّ و أجزأ</w:t>
      </w:r>
      <w:r>
        <w:rPr>
          <w:rFonts w:eastAsia="IRNazanin" w:cs="IRNazanin"/>
          <w:color w:val="111111"/>
          <w:sz w:val="28"/>
          <w:szCs w:val="28"/>
          <w:rtl w:val="true"/>
          <w:lang w:bidi="fa-IR"/>
        </w:rPr>
        <w:t>.</w:t>
      </w:r>
    </w:p>
    <w:p>
      <w:pPr>
        <w:pStyle w:val="Heading5"/>
        <w:numPr>
          <w:ilvl w:val="4"/>
          <w:numId w:val="1"/>
        </w:numPr>
        <w:rPr/>
      </w:pPr>
      <w:bookmarkStart w:id="3281" w:name="__RefHeading___Toc2567980_3650668749"/>
      <w:bookmarkStart w:id="3282" w:name="_Toc1499"/>
      <w:bookmarkEnd w:id="3281"/>
      <w:r>
        <w:rPr>
          <w:rtl w:val="true"/>
        </w:rPr>
        <w:t>[ (</w:t>
      </w:r>
      <w:r>
        <w:rPr>
          <w:rtl w:val="true"/>
        </w:rPr>
        <w:t xml:space="preserve">مسألة </w:t>
      </w:r>
      <w:r>
        <w:rPr/>
        <w:t>4</w:t>
      </w:r>
      <w:r>
        <w:rPr>
          <w:rtl w:val="true"/>
        </w:rPr>
        <w:t xml:space="preserve">): </w:t>
      </w:r>
      <w:r>
        <w:rPr>
          <w:rtl w:val="true"/>
        </w:rPr>
        <w:t>الأحوط لو لم یکن الأقویٰ عدم تأخیر إخراج الزکاة</w:t>
      </w:r>
      <w:r>
        <w:rPr>
          <w:rtl w:val="true"/>
        </w:rPr>
        <w:t>]</w:t>
      </w:r>
      <w:bookmarkEnd w:id="3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لو لم یکن الأقویٰ عدم تأخیر إخراج الزکاة و لو بالعزل مع الإمکان عن وقت وجوبه الذی یتّحد </w:t>
      </w:r>
      <w:r>
        <w:rPr>
          <w:rStyle w:val="FootnoteAnchor"/>
          <w:rtl w:val="true"/>
        </w:rPr>
        <w:footnoteReference w:id="935"/>
      </w:r>
      <w:r>
        <w:rPr>
          <w:rFonts w:ascii="IRNazanin" w:hAnsi="IRNazanin" w:eastAsia="IRNazanin"/>
          <w:color w:val="111111"/>
          <w:sz w:val="28"/>
          <w:sz w:val="28"/>
          <w:szCs w:val="28"/>
          <w:rtl w:val="true"/>
          <w:lang w:bidi="fa-IR"/>
        </w:rPr>
        <w:t xml:space="preserve">مع وقت التعلّق فیما یعتبر فیه الحول کالنقدین و یغایره فی غیره کالغلّات، بل الأحوط عدم تأخیر الدفع و الإیصال أیضاً مع وجود المستحقّ و إن کان الأقوی الجواز إلیٰ شهر أو شهرین </w:t>
      </w:r>
      <w:r>
        <w:rPr>
          <w:rStyle w:val="FootnoteAnchor"/>
          <w:rtl w:val="true"/>
        </w:rPr>
        <w:footnoteReference w:id="936"/>
      </w:r>
      <w:r>
        <w:rPr>
          <w:rFonts w:ascii="IRNazanin" w:hAnsi="IRNazanin" w:eastAsia="IRNazanin"/>
          <w:color w:val="111111"/>
          <w:sz w:val="28"/>
          <w:sz w:val="28"/>
          <w:szCs w:val="28"/>
          <w:rtl w:val="true"/>
          <w:lang w:bidi="fa-IR"/>
        </w:rPr>
        <w:t>، خصوصاً مع انتظار مستحقّ معیّن أو الأفضل، و یضمنها لو تلفت بالتأخیر لغیر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تقدیمها قبل وقت الوجوب إلّا علیٰ جهة القرض علی المستحقّ، فإذا جاء الوقت احتسبها علیه زکاة مع بقاء القابض علیٰ صفة الاستحقاق و الدافع و المال علیٰ صفة الوجوب، و له أن یستعید منه و یدفع إلیٰ غیره إلّا أنّ الأولیٰ و الأحوط الاحتساب حینئذٍ لا الاستعادة</w:t>
      </w:r>
      <w:r>
        <w:rPr>
          <w:rFonts w:eastAsia="IRNazanin" w:cs="IRNazanin"/>
          <w:color w:val="111111"/>
          <w:sz w:val="28"/>
          <w:szCs w:val="28"/>
          <w:rtl w:val="true"/>
          <w:lang w:bidi="fa-IR"/>
        </w:rPr>
        <w:t>.</w:t>
      </w:r>
    </w:p>
    <w:p>
      <w:pPr>
        <w:pStyle w:val="Heading5"/>
        <w:numPr>
          <w:ilvl w:val="4"/>
          <w:numId w:val="1"/>
        </w:numPr>
        <w:rPr/>
      </w:pPr>
      <w:bookmarkStart w:id="3283" w:name="__RefHeading___Toc2567982_3650668749"/>
      <w:bookmarkStart w:id="3284" w:name="_Toc1500"/>
      <w:bookmarkEnd w:id="3283"/>
      <w:r>
        <w:rPr>
          <w:rtl w:val="true"/>
        </w:rPr>
        <w:t>[ (</w:t>
      </w:r>
      <w:r>
        <w:rPr>
          <w:rtl w:val="true"/>
        </w:rPr>
        <w:t xml:space="preserve">مسألة </w:t>
      </w:r>
      <w:r>
        <w:rPr/>
        <w:t>5</w:t>
      </w:r>
      <w:r>
        <w:rPr>
          <w:rtl w:val="true"/>
        </w:rPr>
        <w:t xml:space="preserve">): </w:t>
      </w:r>
      <w:r>
        <w:rPr>
          <w:rtl w:val="true"/>
        </w:rPr>
        <w:t>الأفضل بل الأحوط دفع الزکاة إلی الفقیه فی زمن الغیبة</w:t>
      </w:r>
      <w:r>
        <w:rPr>
          <w:rtl w:val="true"/>
        </w:rPr>
        <w:t>]</w:t>
      </w:r>
      <w:bookmarkEnd w:id="3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بل الأحوط دفع الزکاة إلی الفقیه فی زمن الغیبة، سیّما إذا طلبه؛ لأنّه أعرف بمواقعها، و إن کان الأقویٰ عدم وجوبه إلّا إذا طلبها بنحو الحکم و الإیجاب لأداء نظره إلیٰ مصلحة موجبة و کان المالک مقلّداً </w:t>
      </w:r>
      <w:r>
        <w:rPr>
          <w:rStyle w:val="FootnoteAnchor"/>
          <w:rtl w:val="true"/>
        </w:rPr>
        <w:footnoteReference w:id="937"/>
      </w:r>
      <w:r>
        <w:rPr>
          <w:rFonts w:ascii="IRNazanin" w:hAnsi="IRNazanin" w:eastAsia="IRNazanin"/>
          <w:color w:val="111111"/>
          <w:sz w:val="28"/>
          <w:sz w:val="28"/>
          <w:szCs w:val="28"/>
          <w:rtl w:val="true"/>
          <w:lang w:bidi="fa-IR"/>
        </w:rPr>
        <w:t>له فیجب علیه اتّباعه</w:t>
      </w:r>
      <w:r>
        <w:rPr>
          <w:rFonts w:eastAsia="IRNazanin" w:cs="IRNazanin"/>
          <w:color w:val="111111"/>
          <w:sz w:val="28"/>
          <w:szCs w:val="28"/>
          <w:rtl w:val="true"/>
          <w:lang w:bidi="fa-IR"/>
        </w:rPr>
        <w:t>.</w:t>
      </w:r>
    </w:p>
    <w:p>
      <w:pPr>
        <w:pStyle w:val="Heading5"/>
        <w:numPr>
          <w:ilvl w:val="4"/>
          <w:numId w:val="1"/>
        </w:numPr>
        <w:rPr/>
      </w:pPr>
      <w:bookmarkStart w:id="3285" w:name="__RefHeading___Toc2567984_3650668749"/>
      <w:bookmarkStart w:id="3286" w:name="_Toc1501"/>
      <w:bookmarkEnd w:id="3285"/>
      <w:r>
        <w:rPr>
          <w:rtl w:val="true"/>
        </w:rPr>
        <w:t>[ (</w:t>
      </w:r>
      <w:r>
        <w:rPr>
          <w:rtl w:val="true"/>
        </w:rPr>
        <w:t xml:space="preserve">مسألة </w:t>
      </w:r>
      <w:r>
        <w:rPr/>
        <w:t>6</w:t>
      </w:r>
      <w:r>
        <w:rPr>
          <w:rtl w:val="true"/>
        </w:rPr>
        <w:t xml:space="preserve">): </w:t>
      </w:r>
      <w:r>
        <w:rPr>
          <w:rtl w:val="true"/>
        </w:rPr>
        <w:t>یستحبّ ترجیح الأقارب علی الأجانب</w:t>
      </w:r>
      <w:r>
        <w:rPr>
          <w:rtl w:val="true"/>
        </w:rPr>
        <w:t>]</w:t>
      </w:r>
      <w:bookmarkEnd w:id="328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ترجیح الأقارب علی الأجانب، و أهل الفضل و الفقه و العقل علیٰ غیرهم، و من لا یسأل من الفقراء علیٰ أهل السؤال</w:t>
      </w:r>
      <w:r>
        <w:rPr>
          <w:rFonts w:eastAsia="IRNazanin" w:cs="IRNazanin"/>
          <w:color w:val="111111"/>
          <w:sz w:val="28"/>
          <w:szCs w:val="28"/>
          <w:rtl w:val="true"/>
          <w:lang w:bidi="fa-IR"/>
        </w:rPr>
        <w:t>.</w:t>
      </w:r>
      <w:bookmarkStart w:id="3287" w:name="pg1809_19279"/>
    </w:p>
    <w:p>
      <w:pPr>
        <w:pStyle w:val="Heading5"/>
        <w:numPr>
          <w:ilvl w:val="4"/>
          <w:numId w:val="1"/>
        </w:numPr>
        <w:rPr/>
      </w:pPr>
      <w:bookmarkStart w:id="3288" w:name="__RefHeading___Toc2567986_3650668749"/>
      <w:bookmarkStart w:id="3289" w:name="_Toc1502"/>
      <w:bookmarkEnd w:id="3287"/>
      <w:bookmarkEnd w:id="3288"/>
      <w:r>
        <w:rPr>
          <w:rtl w:val="true"/>
        </w:rPr>
        <w:t>[ (</w:t>
      </w:r>
      <w:r>
        <w:rPr>
          <w:rtl w:val="true"/>
        </w:rPr>
        <w:t xml:space="preserve">مسألة </w:t>
      </w:r>
      <w:r>
        <w:rPr/>
        <w:t>7</w:t>
      </w:r>
      <w:r>
        <w:rPr>
          <w:rtl w:val="true"/>
        </w:rPr>
        <w:t xml:space="preserve">): </w:t>
      </w:r>
      <w:r>
        <w:rPr>
          <w:rtl w:val="true"/>
        </w:rPr>
        <w:t>یجوز عزل الزکاة و تعیینها فی مال مخصوص</w:t>
      </w:r>
      <w:r>
        <w:rPr>
          <w:rtl w:val="true"/>
        </w:rPr>
        <w:t>]</w:t>
      </w:r>
      <w:bookmarkEnd w:id="3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عزل الزکاة و تعیینها فی مال مخصوص و إن کان من غیر الجنس </w:t>
      </w:r>
      <w:r>
        <w:rPr>
          <w:rStyle w:val="FootnoteAnchor"/>
          <w:rtl w:val="true"/>
        </w:rPr>
        <w:footnoteReference w:id="938"/>
      </w:r>
      <w:r>
        <w:rPr>
          <w:rFonts w:ascii="IRNazanin" w:hAnsi="IRNazanin" w:eastAsia="IRNazanin"/>
          <w:color w:val="111111"/>
          <w:sz w:val="28"/>
          <w:sz w:val="28"/>
          <w:szCs w:val="28"/>
          <w:rtl w:val="true"/>
          <w:lang w:bidi="fa-IR"/>
        </w:rPr>
        <w:t xml:space="preserve">حتّی مع وجود المستحقّ، و حینئذٍ تکون أمانة فی یده لا یضمنها إلّا بالتعدّی أو التفریط </w:t>
      </w:r>
      <w:r>
        <w:rPr>
          <w:rStyle w:val="FootnoteAnchor"/>
          <w:rtl w:val="true"/>
        </w:rPr>
        <w:footnoteReference w:id="939"/>
      </w:r>
      <w:r>
        <w:rPr>
          <w:rFonts w:ascii="IRNazanin" w:hAnsi="IRNazanin" w:eastAsia="IRNazanin"/>
          <w:color w:val="111111"/>
          <w:sz w:val="28"/>
          <w:sz w:val="28"/>
          <w:szCs w:val="28"/>
          <w:rtl w:val="true"/>
          <w:lang w:bidi="fa-IR"/>
        </w:rPr>
        <w:t>، و لیس له تبدیلها بعد العزل</w:t>
      </w:r>
      <w:r>
        <w:rPr>
          <w:rFonts w:eastAsia="IRNazanin" w:cs="IRNazanin"/>
          <w:color w:val="111111"/>
          <w:sz w:val="28"/>
          <w:szCs w:val="28"/>
          <w:rtl w:val="true"/>
          <w:lang w:bidi="fa-IR"/>
        </w:rPr>
        <w:t>.</w:t>
      </w:r>
    </w:p>
    <w:p>
      <w:pPr>
        <w:pStyle w:val="Heading5"/>
        <w:numPr>
          <w:ilvl w:val="4"/>
          <w:numId w:val="1"/>
        </w:numPr>
        <w:rPr/>
      </w:pPr>
      <w:bookmarkStart w:id="3290" w:name="__RefHeading___Toc2567988_3650668749"/>
      <w:bookmarkStart w:id="3291" w:name="_Toc1503"/>
      <w:bookmarkEnd w:id="3290"/>
      <w:r>
        <w:rPr>
          <w:rtl w:val="true"/>
        </w:rPr>
        <w:t>[ (</w:t>
      </w:r>
      <w:r>
        <w:rPr>
          <w:rtl w:val="true"/>
        </w:rPr>
        <w:t xml:space="preserve">مسألة </w:t>
      </w:r>
      <w:r>
        <w:rPr/>
        <w:t>8</w:t>
      </w:r>
      <w:r>
        <w:rPr>
          <w:rtl w:val="true"/>
        </w:rPr>
        <w:t xml:space="preserve">): </w:t>
      </w:r>
      <w:r>
        <w:rPr>
          <w:rtl w:val="true"/>
        </w:rPr>
        <w:t>لو أتلف الزکاة المعزولة متلف</w:t>
      </w:r>
      <w:r>
        <w:rPr>
          <w:rtl w:val="true"/>
        </w:rPr>
        <w:t>]</w:t>
      </w:r>
      <w:bookmarkEnd w:id="3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أتلف الزکاة المعزولة متلف، فإن کان مع عدم التأخیر الموجب للضمان یکون الضمان علی المتلف دون المالک، و إن کان مع التأخیر المزبور یکون الضمان علیهما و إن کان قرار الضمان علی المتلف</w:t>
      </w:r>
      <w:r>
        <w:rPr>
          <w:rFonts w:eastAsia="IRNazanin" w:cs="IRNazanin"/>
          <w:color w:val="111111"/>
          <w:sz w:val="28"/>
          <w:szCs w:val="28"/>
          <w:rtl w:val="true"/>
          <w:lang w:bidi="fa-IR"/>
        </w:rPr>
        <w:t>.</w:t>
      </w:r>
    </w:p>
    <w:p>
      <w:pPr>
        <w:pStyle w:val="Heading5"/>
        <w:numPr>
          <w:ilvl w:val="4"/>
          <w:numId w:val="1"/>
        </w:numPr>
        <w:rPr/>
      </w:pPr>
      <w:bookmarkStart w:id="3292" w:name="__RefHeading___Toc2567990_3650668749"/>
      <w:bookmarkStart w:id="3293" w:name="_Toc1504"/>
      <w:bookmarkEnd w:id="3292"/>
      <w:r>
        <w:rPr>
          <w:rtl w:val="true"/>
        </w:rPr>
        <w:t>[ (</w:t>
      </w:r>
      <w:r>
        <w:rPr>
          <w:rtl w:val="true"/>
        </w:rPr>
        <w:t xml:space="preserve">مسألة </w:t>
      </w:r>
      <w:r>
        <w:rPr/>
        <w:t>9</w:t>
      </w:r>
      <w:r>
        <w:rPr>
          <w:rtl w:val="true"/>
        </w:rPr>
        <w:t xml:space="preserve">): </w:t>
      </w:r>
      <w:r>
        <w:rPr>
          <w:rtl w:val="true"/>
        </w:rPr>
        <w:t>إذا اتّجر بما عزله یکون الخسارة علیه و الربح للفقیر</w:t>
      </w:r>
      <w:r>
        <w:rPr>
          <w:rtl w:val="true"/>
        </w:rPr>
        <w:t>]</w:t>
      </w:r>
      <w:bookmarkEnd w:id="3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اتّجر بما عزله یکون الخسارة علیه و الربح للفقیر </w:t>
      </w:r>
      <w:r>
        <w:rPr>
          <w:rStyle w:val="FootnoteAnchor"/>
          <w:rtl w:val="true"/>
        </w:rPr>
        <w:footnoteReference w:id="940"/>
      </w:r>
      <w:r>
        <w:rPr>
          <w:rFonts w:ascii="IRNazanin" w:hAnsi="IRNazanin" w:eastAsia="IRNazanin"/>
          <w:color w:val="111111"/>
          <w:sz w:val="28"/>
          <w:sz w:val="28"/>
          <w:szCs w:val="28"/>
          <w:rtl w:val="true"/>
          <w:lang w:bidi="fa-IR"/>
        </w:rPr>
        <w:t>، و کذا إذا اتّجر بالنصاب قبل إخراج الزکاة علی الأحوط، فیوزّع الربح علی الفقیر و المالک بالنسبة و إن کان الأقوی اختصاص الربح بالمالک</w:t>
      </w:r>
      <w:r>
        <w:rPr>
          <w:rFonts w:eastAsia="IRNazanin" w:cs="IRNazanin"/>
          <w:color w:val="111111"/>
          <w:sz w:val="28"/>
          <w:szCs w:val="28"/>
          <w:rtl w:val="true"/>
          <w:lang w:bidi="fa-IR"/>
        </w:rPr>
        <w:t>.</w:t>
      </w:r>
    </w:p>
    <w:p>
      <w:pPr>
        <w:pStyle w:val="Heading5"/>
        <w:numPr>
          <w:ilvl w:val="4"/>
          <w:numId w:val="1"/>
        </w:numPr>
        <w:rPr/>
      </w:pPr>
      <w:bookmarkStart w:id="3294" w:name="__RefHeading___Toc2567992_3650668749"/>
      <w:bookmarkStart w:id="3295" w:name="_Toc1505"/>
      <w:bookmarkEnd w:id="3294"/>
      <w:r>
        <w:rPr>
          <w:rtl w:val="true"/>
        </w:rPr>
        <w:t>[ (</w:t>
      </w:r>
      <w:r>
        <w:rPr>
          <w:rtl w:val="true"/>
        </w:rPr>
        <w:t xml:space="preserve">مسألة </w:t>
      </w:r>
      <w:r>
        <w:rPr/>
        <w:t>10</w:t>
      </w:r>
      <w:r>
        <w:rPr>
          <w:rtl w:val="true"/>
        </w:rPr>
        <w:t xml:space="preserve">): </w:t>
      </w:r>
      <w:r>
        <w:rPr>
          <w:rtl w:val="true"/>
        </w:rPr>
        <w:t>یجوز نقل الزکاة من بلده؛ سواء وجد المستحقّ فی البلد أو لم یوجد</w:t>
      </w:r>
      <w:r>
        <w:rPr>
          <w:rtl w:val="true"/>
        </w:rPr>
        <w:t>]</w:t>
      </w:r>
      <w:bookmarkEnd w:id="3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نقل الزکاة من بلده؛ سواء وجد المستحقّ فی البلد أو لم یوجد، و لو تلفت یضمن فی الأوّل دون الثانی، کما أنّ مئونة النقل علیه مطلقاً</w:t>
      </w:r>
      <w:r>
        <w:rPr>
          <w:rFonts w:eastAsia="IRNazanin" w:cs="IRNazanin"/>
          <w:color w:val="111111"/>
          <w:sz w:val="28"/>
          <w:szCs w:val="28"/>
          <w:rtl w:val="true"/>
          <w:lang w:bidi="fa-IR"/>
        </w:rPr>
        <w:t>.</w:t>
      </w:r>
    </w:p>
    <w:p>
      <w:pPr>
        <w:pStyle w:val="Heading5"/>
        <w:numPr>
          <w:ilvl w:val="4"/>
          <w:numId w:val="1"/>
        </w:numPr>
        <w:rPr/>
      </w:pPr>
      <w:bookmarkStart w:id="3296" w:name="__RefHeading___Toc2567994_3650668749"/>
      <w:bookmarkStart w:id="3297" w:name="_Toc1506"/>
      <w:bookmarkEnd w:id="3296"/>
      <w:r>
        <w:rPr>
          <w:rtl w:val="true"/>
        </w:rPr>
        <w:t>[ (</w:t>
      </w:r>
      <w:r>
        <w:rPr>
          <w:rtl w:val="true"/>
        </w:rPr>
        <w:t xml:space="preserve">مسألة </w:t>
      </w:r>
      <w:r>
        <w:rPr/>
        <w:t>11</w:t>
      </w:r>
      <w:r>
        <w:rPr>
          <w:rtl w:val="true"/>
        </w:rPr>
        <w:t xml:space="preserve">): </w:t>
      </w:r>
      <w:r>
        <w:rPr>
          <w:rtl w:val="true"/>
        </w:rPr>
        <w:t>إذا قبض الفقیه الزکاة بعنوان الولایة علی الفقیر برئت ذمّة المالک</w:t>
      </w:r>
      <w:r>
        <w:rPr>
          <w:rtl w:val="true"/>
        </w:rPr>
        <w:t>]</w:t>
      </w:r>
      <w:bookmarkEnd w:id="3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 الفقیه الزکاة بعنوان الولایة علی الفقیر برئت ذمّة المالک، و إن تلفت عنده بتفریط أو غیره أو أعطیٰ لغیر المستحقّ اشتباهاً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قبضها بعنوان الوکالة عن المالک لم تبرأ ذمّته إلّا إذا أعطیٰ للمستحقّ</w:t>
      </w:r>
      <w:r>
        <w:rPr>
          <w:rFonts w:eastAsia="IRNazanin" w:cs="IRNazanin"/>
          <w:color w:val="111111"/>
          <w:sz w:val="28"/>
          <w:szCs w:val="28"/>
          <w:rtl w:val="true"/>
          <w:lang w:bidi="fa-IR"/>
        </w:rPr>
        <w:t>.</w:t>
      </w:r>
    </w:p>
    <w:p>
      <w:pPr>
        <w:pStyle w:val="Heading5"/>
        <w:numPr>
          <w:ilvl w:val="4"/>
          <w:numId w:val="1"/>
        </w:numPr>
        <w:rPr/>
      </w:pPr>
      <w:bookmarkStart w:id="3298" w:name="__RefHeading___Toc2567996_3650668749"/>
      <w:bookmarkStart w:id="3299" w:name="_Toc1507"/>
      <w:bookmarkEnd w:id="3298"/>
      <w:r>
        <w:rPr>
          <w:rtl w:val="true"/>
        </w:rPr>
        <w:t>[ (</w:t>
      </w:r>
      <w:r>
        <w:rPr>
          <w:rtl w:val="true"/>
        </w:rPr>
        <w:t xml:space="preserve">مسألة </w:t>
      </w:r>
      <w:r>
        <w:rPr/>
        <w:t>12</w:t>
      </w:r>
      <w:r>
        <w:rPr>
          <w:rtl w:val="true"/>
        </w:rPr>
        <w:t xml:space="preserve">): </w:t>
      </w:r>
      <w:r>
        <w:rPr>
          <w:rtl w:val="true"/>
        </w:rPr>
        <w:t>إذا احتاجت الزکاة إلیٰ کیل أو وزن کانت اجرة الکیّال و الوزّان علی المالک</w:t>
      </w:r>
      <w:r>
        <w:rPr>
          <w:rtl w:val="true"/>
        </w:rPr>
        <w:t>]</w:t>
      </w:r>
      <w:bookmarkEnd w:id="3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احتاجت الزکاة إلیٰ کیل أو وزن کانت اجرة الکیّال و الوزّان علی المالک لا علی الزکاة</w:t>
      </w:r>
      <w:r>
        <w:rPr>
          <w:rFonts w:eastAsia="IRNazanin" w:cs="IRNazanin"/>
          <w:color w:val="111111"/>
          <w:sz w:val="28"/>
          <w:szCs w:val="28"/>
          <w:rtl w:val="true"/>
          <w:lang w:bidi="fa-IR"/>
        </w:rPr>
        <w:t>.</w:t>
      </w:r>
    </w:p>
    <w:p>
      <w:pPr>
        <w:pStyle w:val="Heading5"/>
        <w:numPr>
          <w:ilvl w:val="4"/>
          <w:numId w:val="1"/>
        </w:numPr>
        <w:rPr/>
      </w:pPr>
      <w:bookmarkStart w:id="3300" w:name="__RefHeading___Toc2567998_3650668749"/>
      <w:bookmarkStart w:id="3301" w:name="_Toc1508"/>
      <w:bookmarkEnd w:id="3300"/>
      <w:r>
        <w:rPr>
          <w:rtl w:val="true"/>
        </w:rPr>
        <w:t>[ (</w:t>
      </w:r>
      <w:r>
        <w:rPr>
          <w:rtl w:val="true"/>
        </w:rPr>
        <w:t xml:space="preserve">مسألة </w:t>
      </w:r>
      <w:r>
        <w:rPr/>
        <w:t>13</w:t>
      </w:r>
      <w:r>
        <w:rPr>
          <w:rtl w:val="true"/>
        </w:rPr>
        <w:t xml:space="preserve">): </w:t>
      </w:r>
      <w:r>
        <w:rPr>
          <w:rtl w:val="true"/>
        </w:rPr>
        <w:t>من کانت علیه الزکاة و أدرکته الوفاة</w:t>
      </w:r>
      <w:r>
        <w:rPr>
          <w:rtl w:val="true"/>
        </w:rPr>
        <w:t>]</w:t>
      </w:r>
      <w:bookmarkEnd w:id="330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علیه الزکاة و أدرکته الوفاة یجب علیه الإیصاء بإخراجها من</w:t>
      </w:r>
      <w:bookmarkStart w:id="3302" w:name="pg1809_19281"/>
    </w:p>
    <w:p>
      <w:pPr>
        <w:pStyle w:val="BookText"/>
        <w:rPr/>
      </w:pPr>
      <w:bookmarkEnd w:id="3302"/>
      <w:r>
        <w:rPr>
          <w:rFonts w:ascii="IRNazanin" w:hAnsi="IRNazanin" w:eastAsia="IRNazanin"/>
          <w:color w:val="111111"/>
          <w:sz w:val="28"/>
          <w:sz w:val="28"/>
          <w:szCs w:val="28"/>
          <w:rtl w:val="true"/>
          <w:lang w:bidi="fa-IR"/>
        </w:rPr>
        <w:t>ترکته، و کذا سائر الحقوق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الوارث أو الوصیّ مستحقّاً جاز احتسابه </w:t>
      </w:r>
      <w:r>
        <w:rPr>
          <w:rStyle w:val="FootnoteAnchor"/>
          <w:rtl w:val="true"/>
        </w:rPr>
        <w:footnoteReference w:id="941"/>
      </w:r>
      <w:r>
        <w:rPr>
          <w:rFonts w:ascii="IRNazanin" w:hAnsi="IRNazanin" w:eastAsia="IRNazanin"/>
          <w:color w:val="111111"/>
          <w:sz w:val="28"/>
          <w:sz w:val="28"/>
          <w:szCs w:val="28"/>
          <w:rtl w:val="true"/>
          <w:lang w:bidi="fa-IR"/>
        </w:rPr>
        <w:t xml:space="preserve">علیه، لکن یستحبّ </w:t>
      </w:r>
      <w:r>
        <w:rPr>
          <w:rStyle w:val="FootnoteAnchor"/>
          <w:rtl w:val="true"/>
        </w:rPr>
        <w:footnoteReference w:id="942"/>
      </w:r>
      <w:r>
        <w:rPr>
          <w:rFonts w:ascii="IRNazanin" w:hAnsi="IRNazanin" w:eastAsia="IRNazanin"/>
          <w:color w:val="111111"/>
          <w:sz w:val="28"/>
          <w:sz w:val="28"/>
          <w:szCs w:val="28"/>
          <w:rtl w:val="true"/>
          <w:lang w:bidi="fa-IR"/>
        </w:rPr>
        <w:t>دفع شی‌ء منه إلیٰ غیرهما</w:t>
      </w:r>
      <w:r>
        <w:rPr>
          <w:rFonts w:eastAsia="IRNazanin" w:cs="IRNazanin"/>
          <w:color w:val="111111"/>
          <w:sz w:val="28"/>
          <w:szCs w:val="28"/>
          <w:rtl w:val="true"/>
          <w:lang w:bidi="fa-IR"/>
        </w:rPr>
        <w:t>.</w:t>
      </w:r>
    </w:p>
    <w:p>
      <w:pPr>
        <w:pStyle w:val="Heading5"/>
        <w:numPr>
          <w:ilvl w:val="4"/>
          <w:numId w:val="1"/>
        </w:numPr>
        <w:rPr/>
      </w:pPr>
      <w:bookmarkStart w:id="3303" w:name="__RefHeading___Toc2568000_3650668749"/>
      <w:bookmarkStart w:id="3304" w:name="_Toc1509"/>
      <w:bookmarkEnd w:id="3303"/>
      <w:r>
        <w:rPr>
          <w:rtl w:val="true"/>
        </w:rPr>
        <w:t>[ (</w:t>
      </w:r>
      <w:r>
        <w:rPr>
          <w:rtl w:val="true"/>
        </w:rPr>
        <w:t xml:space="preserve">مسألة </w:t>
      </w:r>
      <w:r>
        <w:rPr/>
        <w:t>14</w:t>
      </w:r>
      <w:r>
        <w:rPr>
          <w:rtl w:val="true"/>
        </w:rPr>
        <w:t xml:space="preserve">): </w:t>
      </w:r>
      <w:r>
        <w:rPr>
          <w:rtl w:val="true"/>
        </w:rPr>
        <w:t>یکره لربّ المال أن یطلب من الفقیر تملّک ما دفعه إلیه صدقة و لو مندوبة</w:t>
      </w:r>
      <w:r>
        <w:rPr>
          <w:rtl w:val="true"/>
        </w:rPr>
        <w:t>]</w:t>
      </w:r>
      <w:bookmarkEnd w:id="3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لربّ المال أن یطلب من الفقیر تملّک ما دفعه إلیه صدقة و لو مندوبة؛ سواء کان التملّک مجّاناً أو بالعوض، نعم لو أراد الفقیر بیعه بعد تقویمه عند من أراد کان المالک أحقّ به </w:t>
      </w:r>
      <w:r>
        <w:rPr>
          <w:rStyle w:val="FootnoteAnchor"/>
          <w:rtl w:val="true"/>
        </w:rPr>
        <w:footnoteReference w:id="943"/>
      </w:r>
      <w:r>
        <w:rPr>
          <w:rFonts w:ascii="IRNazanin" w:hAnsi="IRNazanin" w:eastAsia="IRNazanin"/>
          <w:color w:val="111111"/>
          <w:sz w:val="28"/>
          <w:sz w:val="28"/>
          <w:szCs w:val="28"/>
          <w:rtl w:val="true"/>
          <w:lang w:bidi="fa-IR"/>
        </w:rPr>
        <w:t>من غیره من دون کراهة، و کذا لو کانت جزء حیوان لا یتمکّن الفقیر من الانتفاع به و لا یشتریه غیر المالک أو یحصل للمالک ضرر بشراء غیره جاز شراؤه من دون کراهة</w:t>
      </w:r>
      <w:r>
        <w:rPr>
          <w:rFonts w:eastAsia="IRNazanin" w:cs="IRNazanin"/>
          <w:color w:val="111111"/>
          <w:sz w:val="28"/>
          <w:szCs w:val="28"/>
          <w:rtl w:val="true"/>
          <w:lang w:bidi="fa-IR"/>
        </w:rPr>
        <w:t>.</w:t>
      </w:r>
    </w:p>
    <w:p>
      <w:pPr>
        <w:pStyle w:val="Heading3"/>
        <w:numPr>
          <w:ilvl w:val="2"/>
          <w:numId w:val="1"/>
        </w:numPr>
        <w:rPr/>
      </w:pPr>
      <w:bookmarkStart w:id="3305" w:name="__RefHeading___Toc2568002_3650668749"/>
      <w:bookmarkStart w:id="3306" w:name="_Toc1510"/>
      <w:bookmarkEnd w:id="3305"/>
      <w:r>
        <w:rPr>
          <w:rtl w:val="true"/>
        </w:rPr>
        <w:t>[</w:t>
      </w:r>
      <w:r>
        <w:rPr>
          <w:rtl w:val="true"/>
        </w:rPr>
        <w:t>المقصد الثانی</w:t>
      </w:r>
      <w:r>
        <w:rPr>
          <w:rtl w:val="true"/>
        </w:rPr>
        <w:t xml:space="preserve">: </w:t>
      </w:r>
      <w:r>
        <w:rPr>
          <w:rtl w:val="true"/>
        </w:rPr>
        <w:t>فی زکاة الأبدان</w:t>
      </w:r>
      <w:r>
        <w:rPr>
          <w:rtl w:val="true"/>
        </w:rPr>
        <w:t>]</w:t>
      </w:r>
      <w:bookmarkEnd w:id="3306"/>
    </w:p>
    <w:p>
      <w:pPr>
        <w:pStyle w:val="Heading4"/>
        <w:numPr>
          <w:ilvl w:val="3"/>
          <w:numId w:val="1"/>
        </w:numPr>
        <w:rPr/>
      </w:pPr>
      <w:bookmarkStart w:id="3307" w:name="__RefHeading___Toc2568004_3650668749"/>
      <w:bookmarkStart w:id="3308" w:name="_Toc1511"/>
      <w:bookmarkEnd w:id="3307"/>
      <w:r>
        <w:rPr>
          <w:rtl w:val="true"/>
        </w:rPr>
        <w:t>اشارة</w:t>
      </w:r>
      <w:bookmarkEnd w:id="3308"/>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زکاة الأبدان المسمّاة بزکاة الفطرة، التی یتخوّف الموت علیٰ من لم تدفع عنه، و هی من تمام الصوم کما أنّ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فیمن تجب علیه و فی جنسها و فی قدرها و فی وقتها و فی مصرفها</w:t>
      </w:r>
      <w:r>
        <w:rPr>
          <w:rFonts w:eastAsia="IRNazanin" w:cs="IRNazanin"/>
          <w:color w:val="111111"/>
          <w:sz w:val="28"/>
          <w:szCs w:val="28"/>
          <w:rtl w:val="true"/>
          <w:lang w:bidi="fa-IR"/>
        </w:rPr>
        <w:t>.</w:t>
      </w:r>
    </w:p>
    <w:p>
      <w:pPr>
        <w:pStyle w:val="Heading4"/>
        <w:numPr>
          <w:ilvl w:val="3"/>
          <w:numId w:val="1"/>
        </w:numPr>
        <w:rPr/>
      </w:pPr>
      <w:bookmarkStart w:id="3309" w:name="__RefHeading___Toc2568006_3650668749"/>
      <w:bookmarkStart w:id="3310" w:name="_Toc1512"/>
      <w:bookmarkEnd w:id="3309"/>
      <w:r>
        <w:rPr>
          <w:rtl w:val="true"/>
        </w:rPr>
        <w:t>[</w:t>
      </w:r>
      <w:r>
        <w:rPr>
          <w:rtl w:val="true"/>
        </w:rPr>
        <w:t>القول فیمن تجب علیه</w:t>
      </w:r>
      <w:r>
        <w:rPr>
          <w:rtl w:val="true"/>
        </w:rPr>
        <w:t>]</w:t>
      </w:r>
      <w:bookmarkEnd w:id="3310"/>
    </w:p>
    <w:p>
      <w:pPr>
        <w:pStyle w:val="Heading5"/>
        <w:numPr>
          <w:ilvl w:val="4"/>
          <w:numId w:val="1"/>
        </w:numPr>
        <w:rPr/>
      </w:pPr>
      <w:bookmarkStart w:id="3311" w:name="__RefHeading___Toc2568008_3650668749"/>
      <w:bookmarkStart w:id="3312" w:name="_Toc1513"/>
      <w:bookmarkEnd w:id="3311"/>
      <w:r>
        <w:rPr>
          <w:rtl w:val="true"/>
        </w:rPr>
        <w:t>اشارة</w:t>
      </w:r>
      <w:bookmarkEnd w:id="3312"/>
    </w:p>
    <w:p>
      <w:pPr>
        <w:pStyle w:val="BookText"/>
        <w:rPr/>
      </w:pPr>
      <w:r>
        <w:rPr>
          <w:rFonts w:ascii="IRNazanin" w:hAnsi="IRNazanin" w:eastAsia="IRNazanin"/>
          <w:color w:val="111111"/>
          <w:sz w:val="28"/>
          <w:sz w:val="28"/>
          <w:szCs w:val="28"/>
          <w:rtl w:val="true"/>
          <w:lang w:bidi="fa-IR"/>
        </w:rPr>
        <w:t>القول فیمن تجب علیه</w:t>
      </w:r>
    </w:p>
    <w:p>
      <w:pPr>
        <w:pStyle w:val="Heading5"/>
        <w:numPr>
          <w:ilvl w:val="4"/>
          <w:numId w:val="1"/>
        </w:numPr>
        <w:rPr/>
      </w:pPr>
      <w:bookmarkStart w:id="3313" w:name="__RefHeading___Toc2568010_3650668749"/>
      <w:bookmarkStart w:id="3314" w:name="_Toc1514"/>
      <w:bookmarkEnd w:id="3313"/>
      <w:r>
        <w:rPr>
          <w:rtl w:val="true"/>
        </w:rPr>
        <w:t>[ (</w:t>
      </w:r>
      <w:r>
        <w:rPr>
          <w:rtl w:val="true"/>
        </w:rPr>
        <w:t xml:space="preserve">مسألة </w:t>
      </w:r>
      <w:r>
        <w:rPr/>
        <w:t>1</w:t>
      </w:r>
      <w:r>
        <w:rPr>
          <w:rtl w:val="true"/>
        </w:rPr>
        <w:t xml:space="preserve">): </w:t>
      </w:r>
      <w:r>
        <w:rPr>
          <w:rtl w:val="true"/>
        </w:rPr>
        <w:t>تجب زکاة الفطرة علی المکلّف الحرّ الغنیّ فعلًا أو قوّةً</w:t>
      </w:r>
      <w:r>
        <w:rPr>
          <w:rtl w:val="true"/>
        </w:rPr>
        <w:t>]</w:t>
      </w:r>
      <w:bookmarkEnd w:id="331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زکاة الفطرة علی المکلّف الحرّ الغنیّ فعلًا أو قوّةً، فلا تجب علی الصبیّ و المجنون و لو کان أدواریّاً </w:t>
      </w:r>
      <w:r>
        <w:rPr>
          <w:rStyle w:val="FootnoteAnchor"/>
          <w:rtl w:val="true"/>
        </w:rPr>
        <w:footnoteReference w:id="944"/>
      </w:r>
      <w:r>
        <w:rPr>
          <w:rFonts w:ascii="IRNazanin" w:hAnsi="IRNazanin" w:eastAsia="IRNazanin"/>
          <w:color w:val="111111"/>
          <w:sz w:val="28"/>
          <w:sz w:val="28"/>
          <w:szCs w:val="28"/>
          <w:rtl w:val="true"/>
          <w:lang w:bidi="fa-IR"/>
        </w:rPr>
        <w:t xml:space="preserve">، و لا یجب علیٰ ولیّهما أن یؤدّی عنهما من مالهما، بل یقویٰ سقوطها عنهما بالنسبة إلیٰ من یعولان به أیضاً، و لا علیٰ من أهلّ شوّال علیه و هو مغمی علیه مثلًا، و لا علی المملوک، و لا علی الفقیر الذی لا یملک مئونة سنته له و لعیاله زائداً علیٰ ما یقابل الدین </w:t>
      </w:r>
      <w:r>
        <w:rPr>
          <w:rStyle w:val="FootnoteAnchor"/>
          <w:rtl w:val="true"/>
        </w:rPr>
        <w:footnoteReference w:id="945"/>
      </w:r>
      <w:r>
        <w:rPr>
          <w:rFonts w:ascii="IRNazanin" w:hAnsi="IRNazanin" w:eastAsia="IRNazanin"/>
          <w:color w:val="111111"/>
          <w:sz w:val="28"/>
          <w:sz w:val="28"/>
          <w:szCs w:val="28"/>
          <w:rtl w:val="true"/>
          <w:lang w:bidi="fa-IR"/>
        </w:rPr>
        <w:t>و مستثنیاته لا فعلًا و لا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لمن زاد علیٰ مئونة یومه و لیلته</w:t>
      </w:r>
      <w:bookmarkStart w:id="3315" w:name="pg1809_19283"/>
    </w:p>
    <w:p>
      <w:pPr>
        <w:pStyle w:val="BookText"/>
        <w:rPr/>
      </w:pPr>
      <w:bookmarkEnd w:id="3315"/>
      <w:r>
        <w:rPr>
          <w:rFonts w:ascii="IRNazanin" w:hAnsi="IRNazanin" w:eastAsia="IRNazanin"/>
          <w:color w:val="111111"/>
          <w:sz w:val="28"/>
          <w:sz w:val="28"/>
          <w:szCs w:val="28"/>
          <w:rtl w:val="true"/>
          <w:lang w:bidi="fa-IR"/>
        </w:rPr>
        <w:t xml:space="preserve">صاع إخراجها، بل یستحبّ للفقیر مطلقاً إخراجها و لو بأن یدیر صاعاً علیٰ عیاله ثمّ یتصدّق به </w:t>
      </w:r>
      <w:r>
        <w:rPr>
          <w:rStyle w:val="FootnoteAnchor"/>
          <w:rtl w:val="true"/>
        </w:rPr>
        <w:footnoteReference w:id="946"/>
      </w:r>
      <w:r>
        <w:rPr>
          <w:rFonts w:ascii="IRNazanin" w:hAnsi="IRNazanin" w:eastAsia="IRNazanin"/>
          <w:color w:val="111111"/>
          <w:sz w:val="28"/>
          <w:sz w:val="28"/>
          <w:szCs w:val="28"/>
          <w:rtl w:val="true"/>
          <w:lang w:bidi="fa-IR"/>
        </w:rPr>
        <w:t>علی الأجنبیّ بعد أن ینتهی الدور إلیه</w:t>
      </w:r>
      <w:r>
        <w:rPr>
          <w:rFonts w:eastAsia="IRNazanin" w:cs="IRNazanin"/>
          <w:color w:val="111111"/>
          <w:sz w:val="28"/>
          <w:szCs w:val="28"/>
          <w:rtl w:val="true"/>
          <w:lang w:bidi="fa-IR"/>
        </w:rPr>
        <w:t>.</w:t>
      </w:r>
    </w:p>
    <w:p>
      <w:pPr>
        <w:pStyle w:val="Heading5"/>
        <w:numPr>
          <w:ilvl w:val="4"/>
          <w:numId w:val="1"/>
        </w:numPr>
        <w:rPr/>
      </w:pPr>
      <w:bookmarkStart w:id="3316" w:name="__RefHeading___Toc2568012_3650668749"/>
      <w:bookmarkStart w:id="3317" w:name="_Toc1515"/>
      <w:bookmarkEnd w:id="3316"/>
      <w:r>
        <w:rPr>
          <w:rtl w:val="true"/>
        </w:rPr>
        <w:t>[ (</w:t>
      </w:r>
      <w:r>
        <w:rPr>
          <w:rtl w:val="true"/>
        </w:rPr>
        <w:t xml:space="preserve">مسألة </w:t>
      </w:r>
      <w:r>
        <w:rPr/>
        <w:t>2</w:t>
      </w:r>
      <w:r>
        <w:rPr>
          <w:rtl w:val="true"/>
        </w:rPr>
        <w:t xml:space="preserve">): </w:t>
      </w:r>
      <w:r>
        <w:rPr>
          <w:rtl w:val="true"/>
        </w:rPr>
        <w:t>إنّما یعتبر وجود الشرائط المزبورة عند دخول لیلة العید</w:t>
      </w:r>
      <w:r>
        <w:rPr>
          <w:rtl w:val="true"/>
        </w:rPr>
        <w:t>]</w:t>
      </w:r>
      <w:bookmarkEnd w:id="3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یعتبر وجود الشرائط المزبورة عند دخول </w:t>
      </w:r>
      <w:r>
        <w:rPr>
          <w:rStyle w:val="FootnoteAnchor"/>
          <w:rtl w:val="true"/>
        </w:rPr>
        <w:footnoteReference w:id="947"/>
      </w:r>
      <w:r>
        <w:rPr>
          <w:rFonts w:ascii="IRNazanin" w:hAnsi="IRNazanin" w:eastAsia="IRNazanin"/>
          <w:color w:val="111111"/>
          <w:sz w:val="28"/>
          <w:sz w:val="28"/>
          <w:szCs w:val="28"/>
          <w:rtl w:val="true"/>
          <w:lang w:bidi="fa-IR"/>
        </w:rPr>
        <w:t>لیلة العید، فلا یکفی وجودها قبله إذا زال عنده، و لا بعده لو لم تکن عنده، فلو اجتمعت الشرائط عند الغروب بعد فقدها تجب الفطرة کما لو بلغ الصبیّ أو زال جنونه أو أفاق من الإغماء أو ملک ما به صار غنیّاً أو تحرّر، بخلاف ما إذا فقدت عنده بعد ما کان موجوداً قبله کما لو جنّ أو أُغمی علیه أو صار فقیراً قبل الغروب و لو بلحظة أو مقارناً له، فإنّه لا تجب علیهم، و کذا لو حصلت بعده کما لو بلغ أو زال جنونه مثلًا بعد الغروب، نعم یستحبّ إذا کان ذلک قبل الزوال من یوم العید</w:t>
      </w:r>
      <w:r>
        <w:rPr>
          <w:rFonts w:eastAsia="IRNazanin" w:cs="IRNazanin"/>
          <w:color w:val="111111"/>
          <w:sz w:val="28"/>
          <w:szCs w:val="28"/>
          <w:rtl w:val="true"/>
          <w:lang w:bidi="fa-IR"/>
        </w:rPr>
        <w:t>.</w:t>
      </w:r>
    </w:p>
    <w:p>
      <w:pPr>
        <w:pStyle w:val="Heading5"/>
        <w:numPr>
          <w:ilvl w:val="4"/>
          <w:numId w:val="1"/>
        </w:numPr>
        <w:rPr/>
      </w:pPr>
      <w:bookmarkStart w:id="3318" w:name="__RefHeading___Toc2568014_3650668749"/>
      <w:bookmarkStart w:id="3319" w:name="_Toc1516"/>
      <w:bookmarkEnd w:id="3318"/>
      <w:r>
        <w:rPr>
          <w:rtl w:val="true"/>
        </w:rPr>
        <w:t>[ (</w:t>
      </w:r>
      <w:r>
        <w:rPr>
          <w:rtl w:val="true"/>
        </w:rPr>
        <w:t xml:space="preserve">مسألة </w:t>
      </w:r>
      <w:r>
        <w:rPr/>
        <w:t>3</w:t>
      </w:r>
      <w:r>
        <w:rPr>
          <w:rtl w:val="true"/>
        </w:rPr>
        <w:t xml:space="preserve">): </w:t>
      </w:r>
      <w:r>
        <w:rPr>
          <w:rtl w:val="true"/>
        </w:rPr>
        <w:t>یجب علیٰ من استکمل الشرائط المزبورة إخراجها عن نفسه و عمّن یعول به</w:t>
      </w:r>
      <w:r>
        <w:rPr>
          <w:rtl w:val="true"/>
        </w:rPr>
        <w:t>]</w:t>
      </w:r>
      <w:bookmarkEnd w:id="3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من استکمل الشرائط المزبورة إخراجها عن نفسه و عمّن یعول به؛ من مسلم و کافر و حرّ و عبد و صغیر و کبیر حتّی المولود الذی یولد قبل هلال شوّال و لو بلحظة، و کذا کلّ من یدخل فی عیلولته قبل الهلال حتّی الضیف علی الأحوط </w:t>
      </w:r>
      <w:r>
        <w:rPr>
          <w:rStyle w:val="FootnoteAnchor"/>
          <w:rtl w:val="true"/>
        </w:rPr>
        <w:footnoteReference w:id="948"/>
      </w:r>
      <w:r>
        <w:rPr>
          <w:rFonts w:ascii="IRNazanin" w:hAnsi="IRNazanin" w:eastAsia="IRNazanin"/>
          <w:color w:val="111111"/>
          <w:sz w:val="28"/>
          <w:sz w:val="28"/>
          <w:szCs w:val="28"/>
          <w:rtl w:val="true"/>
          <w:lang w:bidi="fa-IR"/>
        </w:rPr>
        <w:t>و إن لم یتحقّق منه الأکل، بخلاف المولود بعد الهلال، و کذا کلّ من دخل فی عیلولته کذلک فإنّه لا یجب علیه فطرتهم، نعم هو مستحبّ إذا کان قبل الزوال</w:t>
      </w:r>
      <w:r>
        <w:rPr>
          <w:rFonts w:eastAsia="IRNazanin" w:cs="IRNazanin"/>
          <w:color w:val="111111"/>
          <w:sz w:val="28"/>
          <w:szCs w:val="28"/>
          <w:rtl w:val="true"/>
          <w:lang w:bidi="fa-IR"/>
        </w:rPr>
        <w:t>.</w:t>
      </w:r>
    </w:p>
    <w:p>
      <w:pPr>
        <w:pStyle w:val="Heading5"/>
        <w:numPr>
          <w:ilvl w:val="4"/>
          <w:numId w:val="1"/>
        </w:numPr>
        <w:rPr/>
      </w:pPr>
      <w:bookmarkStart w:id="3320" w:name="__RefHeading___Toc2568016_3650668749"/>
      <w:bookmarkStart w:id="3321" w:name="_Toc1517"/>
      <w:bookmarkEnd w:id="3320"/>
      <w:r>
        <w:rPr>
          <w:rtl w:val="true"/>
        </w:rPr>
        <w:t>[ (</w:t>
      </w:r>
      <w:r>
        <w:rPr>
          <w:rtl w:val="true"/>
        </w:rPr>
        <w:t xml:space="preserve">مسألة </w:t>
      </w:r>
      <w:r>
        <w:rPr/>
        <w:t>4</w:t>
      </w:r>
      <w:r>
        <w:rPr>
          <w:rtl w:val="true"/>
        </w:rPr>
        <w:t xml:space="preserve">): </w:t>
      </w:r>
      <w:r>
        <w:rPr>
          <w:rtl w:val="true"/>
        </w:rPr>
        <w:t>کلّ من وجبت فطرته علیٰ غیره لضیافة أو عیلولة سقطت عنه</w:t>
      </w:r>
      <w:r>
        <w:rPr>
          <w:rtl w:val="true"/>
        </w:rPr>
        <w:t>]</w:t>
      </w:r>
      <w:bookmarkEnd w:id="332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وجبت فطرته علیٰ غیره لضیافة أو عیلولة سقطت عنه و لو کان غنیّاً جامعاً لشرائط الوجوب لو انفرد، نعم یقویٰ </w:t>
      </w:r>
      <w:r>
        <w:rPr>
          <w:rStyle w:val="FootnoteAnchor"/>
          <w:rtl w:val="true"/>
        </w:rPr>
        <w:footnoteReference w:id="949"/>
      </w:r>
      <w:r>
        <w:rPr>
          <w:rFonts w:ascii="IRNazanin" w:hAnsi="IRNazanin" w:eastAsia="IRNazanin"/>
          <w:color w:val="111111"/>
          <w:sz w:val="28"/>
          <w:sz w:val="28"/>
          <w:szCs w:val="28"/>
          <w:rtl w:val="true"/>
          <w:lang w:bidi="fa-IR"/>
        </w:rPr>
        <w:t xml:space="preserve">وجوبها علیه لو کان غنیّاً و المضیف أو المعیل فقیراً، بل الأحوط إخراجه </w:t>
      </w:r>
      <w:r>
        <w:rPr>
          <w:rStyle w:val="FootnoteAnchor"/>
          <w:rtl w:val="true"/>
        </w:rPr>
        <w:footnoteReference w:id="950"/>
      </w:r>
      <w:r>
        <w:rPr>
          <w:rFonts w:ascii="IRNazanin" w:hAnsi="IRNazanin" w:eastAsia="IRNazanin"/>
          <w:color w:val="111111"/>
          <w:sz w:val="28"/>
          <w:sz w:val="28"/>
          <w:szCs w:val="28"/>
          <w:rtl w:val="true"/>
          <w:lang w:bidi="fa-IR"/>
        </w:rPr>
        <w:t xml:space="preserve">عن نفسه لو علم بعدم إخراج الغیر الذی قد خوطب بها نسیاناً أو عصیاناً، بل الأحوط فی الضیف الذی وجبت علیه لو انفرد إخراجها و لو مع إخراج المضیف أیضاً إذا لم یعدّ من عیاله </w:t>
      </w:r>
      <w:r>
        <w:rPr>
          <w:rStyle w:val="FootnoteAnchor"/>
          <w:rtl w:val="true"/>
        </w:rPr>
        <w:footnoteReference w:id="951"/>
      </w:r>
      <w:r>
        <w:rPr>
          <w:rFonts w:ascii="IRNazanin" w:hAnsi="IRNazanin" w:eastAsia="IRNazanin"/>
          <w:color w:val="111111"/>
          <w:sz w:val="28"/>
          <w:sz w:val="28"/>
          <w:szCs w:val="28"/>
          <w:rtl w:val="true"/>
          <w:lang w:bidi="fa-IR"/>
        </w:rPr>
        <w:t>عرفاً لطول مقامه و البناء علی البقاء عنده</w:t>
      </w:r>
      <w:bookmarkStart w:id="3322" w:name="pg1809_19285"/>
    </w:p>
    <w:p>
      <w:pPr>
        <w:pStyle w:val="BookText"/>
        <w:rPr/>
      </w:pPr>
      <w:bookmarkEnd w:id="3322"/>
      <w:r>
        <w:rPr>
          <w:rFonts w:ascii="IRNazanin" w:hAnsi="IRNazanin" w:eastAsia="IRNazanin"/>
          <w:color w:val="111111"/>
          <w:sz w:val="28"/>
          <w:sz w:val="28"/>
          <w:szCs w:val="28"/>
          <w:rtl w:val="true"/>
          <w:lang w:bidi="fa-IR"/>
        </w:rPr>
        <w:t>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أنّ الأحوط فی هذه الصورة إخراجهما </w:t>
      </w:r>
      <w:r>
        <w:rPr>
          <w:rStyle w:val="FootnoteAnchor"/>
          <w:rtl w:val="true"/>
        </w:rPr>
        <w:footnoteReference w:id="952"/>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p>
    <w:p>
      <w:pPr>
        <w:pStyle w:val="Heading5"/>
        <w:numPr>
          <w:ilvl w:val="4"/>
          <w:numId w:val="1"/>
        </w:numPr>
        <w:rPr/>
      </w:pPr>
      <w:bookmarkStart w:id="3323" w:name="__RefHeading___Toc2568018_3650668749"/>
      <w:bookmarkStart w:id="3324" w:name="_Toc1518"/>
      <w:bookmarkEnd w:id="3323"/>
      <w:r>
        <w:rPr>
          <w:rtl w:val="true"/>
        </w:rPr>
        <w:t>[ (</w:t>
      </w:r>
      <w:r>
        <w:rPr>
          <w:rtl w:val="true"/>
        </w:rPr>
        <w:t xml:space="preserve">مسألة </w:t>
      </w:r>
      <w:r>
        <w:rPr/>
        <w:t>5</w:t>
      </w:r>
      <w:r>
        <w:rPr>
          <w:rtl w:val="true"/>
        </w:rPr>
        <w:t xml:space="preserve">): </w:t>
      </w:r>
      <w:r>
        <w:rPr>
          <w:rtl w:val="true"/>
        </w:rPr>
        <w:t>الغائب عن عیالاته یجب علیه أن یخرجها عنهم</w:t>
      </w:r>
      <w:r>
        <w:rPr>
          <w:rtl w:val="true"/>
        </w:rPr>
        <w:t>]</w:t>
      </w:r>
      <w:bookmarkEnd w:id="3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الغائب عن عیالاته یجب علیه أن یخرجها عنهم إلّا إذا وکّلهم </w:t>
      </w:r>
      <w:r>
        <w:rPr>
          <w:rStyle w:val="FootnoteAnchor"/>
          <w:rtl w:val="true"/>
        </w:rPr>
        <w:footnoteReference w:id="953"/>
      </w:r>
      <w:r>
        <w:rPr>
          <w:rFonts w:ascii="IRNazanin" w:hAnsi="IRNazanin" w:eastAsia="IRNazanin"/>
          <w:color w:val="111111"/>
          <w:sz w:val="28"/>
          <w:sz w:val="28"/>
          <w:szCs w:val="28"/>
          <w:rtl w:val="true"/>
          <w:lang w:bidi="fa-IR"/>
        </w:rPr>
        <w:t>فی أن یخرجوا فطرتهم من ماله الذی ترکه عندهم</w:t>
      </w:r>
      <w:r>
        <w:rPr>
          <w:rFonts w:eastAsia="IRNazanin" w:cs="IRNazanin"/>
          <w:color w:val="111111"/>
          <w:sz w:val="28"/>
          <w:szCs w:val="28"/>
          <w:rtl w:val="true"/>
          <w:lang w:bidi="fa-IR"/>
        </w:rPr>
        <w:t>.</w:t>
      </w:r>
    </w:p>
    <w:p>
      <w:pPr>
        <w:pStyle w:val="Heading5"/>
        <w:numPr>
          <w:ilvl w:val="4"/>
          <w:numId w:val="1"/>
        </w:numPr>
        <w:rPr/>
      </w:pPr>
      <w:bookmarkStart w:id="3325" w:name="__RefHeading___Toc2568020_3650668749"/>
      <w:bookmarkStart w:id="3326" w:name="_Toc1519"/>
      <w:bookmarkEnd w:id="3325"/>
      <w:r>
        <w:rPr>
          <w:rtl w:val="true"/>
        </w:rPr>
        <w:t>[ (</w:t>
      </w:r>
      <w:r>
        <w:rPr>
          <w:rtl w:val="true"/>
        </w:rPr>
        <w:t xml:space="preserve">مسألة </w:t>
      </w:r>
      <w:r>
        <w:rPr/>
        <w:t>6</w:t>
      </w:r>
      <w:r>
        <w:rPr>
          <w:rtl w:val="true"/>
        </w:rPr>
        <w:t xml:space="preserve">): </w:t>
      </w:r>
      <w:r>
        <w:rPr>
          <w:rtl w:val="true"/>
        </w:rPr>
        <w:t>الظاهر أنّ المدار فی العیال علی العیلولة الفعلیّة لا علیٰ وجوب النفقة</w:t>
      </w:r>
      <w:r>
        <w:rPr>
          <w:rtl w:val="true"/>
        </w:rPr>
        <w:t>]</w:t>
      </w:r>
      <w:bookmarkEnd w:id="3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المدار فی العیال علی العیلولة الفعلیّة لا علیٰ وجوب النفقة و إن کان الأحوط مراعاة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له زوجة دائمة فإن کانت فی عیلولته وجبت فطرتها علیه و إن لم تجب نفقتها علیه لنشوز و غیره، و أمّا مع عدم العیلولة لا تجب فطرتها علیه و إن وجبت نفقتها علیه، و حینئذٍ إن عالها غیر الزوج یجب علیٰ ذلک الغیر و إن لم یعلها أحد و کانت غنیّة ففطرتها علیٰ نفسها و إن کانت فقیرة لم تجب فطرتها علیٰ أحد، و کذلک الحال فی المملوک</w:t>
      </w:r>
      <w:r>
        <w:rPr>
          <w:rFonts w:eastAsia="IRNazanin" w:cs="IRNazanin"/>
          <w:color w:val="111111"/>
          <w:sz w:val="28"/>
          <w:szCs w:val="28"/>
          <w:rtl w:val="true"/>
          <w:lang w:bidi="fa-IR"/>
        </w:rPr>
        <w:t>.</w:t>
      </w:r>
    </w:p>
    <w:p>
      <w:pPr>
        <w:pStyle w:val="Heading5"/>
        <w:numPr>
          <w:ilvl w:val="4"/>
          <w:numId w:val="1"/>
        </w:numPr>
        <w:rPr/>
      </w:pPr>
      <w:bookmarkStart w:id="3327" w:name="__RefHeading___Toc2568022_3650668749"/>
      <w:bookmarkStart w:id="3328" w:name="_Toc1520"/>
      <w:bookmarkEnd w:id="3327"/>
      <w:r>
        <w:rPr>
          <w:rtl w:val="true"/>
        </w:rPr>
        <w:t>[ (</w:t>
      </w:r>
      <w:r>
        <w:rPr>
          <w:rtl w:val="true"/>
        </w:rPr>
        <w:t xml:space="preserve">مسألة </w:t>
      </w:r>
      <w:r>
        <w:rPr/>
        <w:t>7</w:t>
      </w:r>
      <w:r>
        <w:rPr>
          <w:rtl w:val="true"/>
        </w:rPr>
        <w:t xml:space="preserve">): </w:t>
      </w:r>
      <w:r>
        <w:rPr>
          <w:rtl w:val="true"/>
        </w:rPr>
        <w:t>لو کان شخص فی عیال اثنین یجب فطرته علیهما مع یسارهما</w:t>
      </w:r>
      <w:r>
        <w:rPr>
          <w:rtl w:val="true"/>
        </w:rPr>
        <w:t>]</w:t>
      </w:r>
      <w:bookmarkEnd w:id="3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شخص فی عیال اثنین یجب فطرته علیهما مع یسارهما، و مع یسار أحدهما یجب </w:t>
      </w:r>
      <w:r>
        <w:rPr>
          <w:rStyle w:val="FootnoteAnchor"/>
          <w:rtl w:val="true"/>
        </w:rPr>
        <w:footnoteReference w:id="954"/>
      </w:r>
      <w:r>
        <w:rPr>
          <w:rFonts w:ascii="IRNazanin" w:hAnsi="IRNazanin" w:eastAsia="IRNazanin"/>
          <w:color w:val="111111"/>
          <w:sz w:val="28"/>
          <w:sz w:val="28"/>
          <w:szCs w:val="28"/>
          <w:rtl w:val="true"/>
          <w:lang w:bidi="fa-IR"/>
        </w:rPr>
        <w:t>علیه حصّته دون الآخر</w:t>
      </w:r>
      <w:r>
        <w:rPr>
          <w:rFonts w:eastAsia="IRNazanin" w:cs="IRNazanin"/>
          <w:color w:val="111111"/>
          <w:sz w:val="28"/>
          <w:szCs w:val="28"/>
          <w:rtl w:val="true"/>
          <w:lang w:bidi="fa-IR"/>
        </w:rPr>
        <w:t>.</w:t>
      </w:r>
    </w:p>
    <w:p>
      <w:pPr>
        <w:pStyle w:val="Heading5"/>
        <w:numPr>
          <w:ilvl w:val="4"/>
          <w:numId w:val="1"/>
        </w:numPr>
        <w:rPr/>
      </w:pPr>
      <w:bookmarkStart w:id="3329" w:name="__RefHeading___Toc2568024_3650668749"/>
      <w:bookmarkStart w:id="3330" w:name="_Toc1521"/>
      <w:bookmarkEnd w:id="3329"/>
      <w:r>
        <w:rPr>
          <w:rtl w:val="true"/>
        </w:rPr>
        <w:t>[ (</w:t>
      </w:r>
      <w:r>
        <w:rPr>
          <w:rtl w:val="true"/>
        </w:rPr>
        <w:t xml:space="preserve">مسألة </w:t>
      </w:r>
      <w:r>
        <w:rPr/>
        <w:t>8</w:t>
      </w:r>
      <w:r>
        <w:rPr>
          <w:rtl w:val="true"/>
        </w:rPr>
        <w:t xml:space="preserve">): </w:t>
      </w:r>
      <w:r>
        <w:rPr>
          <w:rtl w:val="true"/>
        </w:rPr>
        <w:t>یحرم فطرة غیر الهاشمیّ علی الهاشمیّ</w:t>
      </w:r>
      <w:r>
        <w:rPr>
          <w:rtl w:val="true"/>
        </w:rPr>
        <w:t>]</w:t>
      </w:r>
      <w:bookmarkEnd w:id="3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فطرة غیر الهاشمیّ علی الهاشمیّ، و المدار علی المعیل لا العیال و الأحوط مراعاة کلیهما</w:t>
      </w:r>
      <w:r>
        <w:rPr>
          <w:rFonts w:eastAsia="IRNazanin" w:cs="IRNazanin"/>
          <w:color w:val="111111"/>
          <w:sz w:val="28"/>
          <w:szCs w:val="28"/>
          <w:rtl w:val="true"/>
          <w:lang w:bidi="fa-IR"/>
        </w:rPr>
        <w:t>.</w:t>
      </w:r>
    </w:p>
    <w:p>
      <w:pPr>
        <w:pStyle w:val="Heading5"/>
        <w:numPr>
          <w:ilvl w:val="4"/>
          <w:numId w:val="1"/>
        </w:numPr>
        <w:rPr/>
      </w:pPr>
      <w:bookmarkStart w:id="3331" w:name="__RefHeading___Toc2568026_3650668749"/>
      <w:bookmarkStart w:id="3332" w:name="_Toc1522"/>
      <w:bookmarkEnd w:id="3331"/>
      <w:r>
        <w:rPr>
          <w:rtl w:val="true"/>
        </w:rPr>
        <w:t>[ (</w:t>
      </w:r>
      <w:r>
        <w:rPr>
          <w:rtl w:val="true"/>
        </w:rPr>
        <w:t xml:space="preserve">مسألة </w:t>
      </w:r>
      <w:r>
        <w:rPr/>
        <w:t>9</w:t>
      </w:r>
      <w:r>
        <w:rPr>
          <w:rtl w:val="true"/>
        </w:rPr>
        <w:t xml:space="preserve">): </w:t>
      </w:r>
      <w:r>
        <w:rPr>
          <w:rtl w:val="true"/>
        </w:rPr>
        <w:t>یجب فیها النیّة کغیرها من العبادات</w:t>
      </w:r>
      <w:r>
        <w:rPr>
          <w:rtl w:val="true"/>
        </w:rPr>
        <w:t>]</w:t>
      </w:r>
      <w:bookmarkEnd w:id="333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فیها النیّة کغیرها من العبادات، و یجوز أن یتولّیٰ إخراجها من خوطب بها بنفسه أو بتوکیل غیره، و یتولّی الوکیل النیّة و إن کان قصد التقرّب من الموکّل بتوکیله له </w:t>
      </w:r>
      <w:r>
        <w:rPr>
          <w:rStyle w:val="FootnoteAnchor"/>
          <w:rtl w:val="true"/>
        </w:rPr>
        <w:footnoteReference w:id="955"/>
      </w:r>
      <w:r>
        <w:rPr>
          <w:rFonts w:ascii="IRNazanin" w:hAnsi="IRNazanin" w:eastAsia="IRNazanin"/>
          <w:color w:val="111111"/>
          <w:sz w:val="28"/>
          <w:sz w:val="28"/>
          <w:szCs w:val="28"/>
          <w:rtl w:val="true"/>
          <w:lang w:bidi="fa-IR"/>
        </w:rPr>
        <w:t>، نعم لو کان الغیر وکیلًا فی الإیصال دون الإخراج یکون المتولّی للنیّة هو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یوکّل غیره فی الدفع من ماله و الرجوع إلیه، فیکون بمنزلة التوکیل فی دفعه من مال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التوکیل فی دفعه من ماله بدون الرجوع إلیه فهو توکیل فی التبرّع عنه، و هو لا یخلو عن إشکال </w:t>
      </w:r>
      <w:r>
        <w:rPr>
          <w:rStyle w:val="FootnoteAnchor"/>
          <w:rtl w:val="true"/>
        </w:rPr>
        <w:footnoteReference w:id="956"/>
      </w:r>
      <w:r>
        <w:rPr>
          <w:rFonts w:ascii="IRNazanin" w:hAnsi="IRNazanin" w:eastAsia="IRNazanin"/>
          <w:color w:val="111111"/>
          <w:sz w:val="28"/>
          <w:sz w:val="28"/>
          <w:szCs w:val="28"/>
          <w:rtl w:val="true"/>
          <w:lang w:bidi="fa-IR"/>
        </w:rPr>
        <w:t>کأصل التبرّع بها</w:t>
      </w:r>
      <w:r>
        <w:rPr>
          <w:rFonts w:eastAsia="IRNazanin" w:cs="IRNazanin"/>
          <w:color w:val="111111"/>
          <w:sz w:val="28"/>
          <w:szCs w:val="28"/>
          <w:rtl w:val="true"/>
          <w:lang w:bidi="fa-IR"/>
        </w:rPr>
        <w:t>.</w:t>
      </w:r>
      <w:bookmarkStart w:id="3333" w:name="pg1809_19287"/>
    </w:p>
    <w:p>
      <w:pPr>
        <w:pStyle w:val="Heading4"/>
        <w:numPr>
          <w:ilvl w:val="3"/>
          <w:numId w:val="1"/>
        </w:numPr>
        <w:rPr/>
      </w:pPr>
      <w:bookmarkStart w:id="3334" w:name="__RefHeading___Toc2568028_3650668749"/>
      <w:bookmarkStart w:id="3335" w:name="_Toc1523"/>
      <w:bookmarkEnd w:id="3333"/>
      <w:bookmarkEnd w:id="3334"/>
      <w:r>
        <w:rPr>
          <w:rtl w:val="true"/>
        </w:rPr>
        <w:t>[</w:t>
      </w:r>
      <w:r>
        <w:rPr>
          <w:rtl w:val="true"/>
        </w:rPr>
        <w:t>القول فی جنسها</w:t>
      </w:r>
      <w:r>
        <w:rPr>
          <w:rtl w:val="true"/>
        </w:rPr>
        <w:t>]</w:t>
      </w:r>
      <w:bookmarkEnd w:id="3335"/>
    </w:p>
    <w:p>
      <w:pPr>
        <w:pStyle w:val="Heading5"/>
        <w:numPr>
          <w:ilvl w:val="4"/>
          <w:numId w:val="1"/>
        </w:numPr>
        <w:rPr/>
      </w:pPr>
      <w:bookmarkStart w:id="3336" w:name="__RefHeading___Toc2568030_3650668749"/>
      <w:bookmarkStart w:id="3337" w:name="_Toc1524"/>
      <w:bookmarkEnd w:id="3336"/>
      <w:r>
        <w:rPr>
          <w:rtl w:val="true"/>
        </w:rPr>
        <w:t>اشارة</w:t>
      </w:r>
      <w:bookmarkEnd w:id="3337"/>
    </w:p>
    <w:p>
      <w:pPr>
        <w:pStyle w:val="BookText"/>
        <w:rPr/>
      </w:pPr>
      <w:r>
        <w:rPr>
          <w:rFonts w:ascii="IRNazanin" w:hAnsi="IRNazanin" w:eastAsia="IRNazanin"/>
          <w:color w:val="111111"/>
          <w:sz w:val="28"/>
          <w:sz w:val="28"/>
          <w:szCs w:val="28"/>
          <w:rtl w:val="true"/>
          <w:lang w:bidi="fa-IR"/>
        </w:rPr>
        <w:t>القول فی جنسها</w:t>
      </w:r>
    </w:p>
    <w:p>
      <w:pPr>
        <w:pStyle w:val="Heading5"/>
        <w:numPr>
          <w:ilvl w:val="4"/>
          <w:numId w:val="1"/>
        </w:numPr>
        <w:rPr/>
      </w:pPr>
      <w:bookmarkStart w:id="3338" w:name="__RefHeading___Toc2568032_3650668749"/>
      <w:bookmarkStart w:id="3339" w:name="_Toc1525"/>
      <w:bookmarkEnd w:id="3338"/>
      <w:r>
        <w:rPr>
          <w:rtl w:val="true"/>
        </w:rPr>
        <w:t>[ (</w:t>
      </w:r>
      <w:r>
        <w:rPr>
          <w:rtl w:val="true"/>
        </w:rPr>
        <w:t xml:space="preserve">مسألة </w:t>
      </w:r>
      <w:r>
        <w:rPr/>
        <w:t>1</w:t>
      </w:r>
      <w:r>
        <w:rPr>
          <w:rtl w:val="true"/>
        </w:rPr>
        <w:t xml:space="preserve">): </w:t>
      </w:r>
      <w:r>
        <w:rPr>
          <w:rtl w:val="true"/>
        </w:rPr>
        <w:t>الضابط فی جنسها ما غلب فی القوت لغالب الناس</w:t>
      </w:r>
      <w:r>
        <w:rPr>
          <w:rtl w:val="true"/>
        </w:rPr>
        <w:t>]</w:t>
      </w:r>
      <w:bookmarkEnd w:id="3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الضابط فی جنسها ما غلب فی القوت لغالب </w:t>
      </w:r>
      <w:r>
        <w:rPr>
          <w:rStyle w:val="FootnoteAnchor"/>
          <w:rtl w:val="true"/>
        </w:rPr>
        <w:footnoteReference w:id="957"/>
      </w:r>
      <w:r>
        <w:rPr>
          <w:rFonts w:ascii="IRNazanin" w:hAnsi="IRNazanin" w:eastAsia="IRNazanin"/>
          <w:color w:val="111111"/>
          <w:sz w:val="28"/>
          <w:sz w:val="28"/>
          <w:szCs w:val="28"/>
          <w:rtl w:val="true"/>
          <w:lang w:bidi="fa-IR"/>
        </w:rPr>
        <w:t xml:space="preserve">الناس کالحنطة و الشعیر و التمر و الزبیب و الأرز و الأقط و اللبن، و الأحوط الاقتصار علیها و إن أجزأ غیرها </w:t>
      </w:r>
      <w:r>
        <w:rPr>
          <w:rStyle w:val="FootnoteAnchor"/>
          <w:rtl w:val="true"/>
        </w:rPr>
        <w:footnoteReference w:id="958"/>
      </w:r>
      <w:r>
        <w:rPr>
          <w:rFonts w:ascii="IRNazanin" w:hAnsi="IRNazanin" w:eastAsia="IRNazanin"/>
          <w:color w:val="111111"/>
          <w:sz w:val="28"/>
          <w:sz w:val="28"/>
          <w:szCs w:val="28"/>
          <w:rtl w:val="true"/>
          <w:lang w:bidi="fa-IR"/>
        </w:rPr>
        <w:t xml:space="preserve">کالذرة و نحوها، إلّا أنّ الأحوط دفع غیرها قیمة </w:t>
      </w:r>
      <w:r>
        <w:rPr>
          <w:rStyle w:val="FootnoteAnchor"/>
          <w:rtl w:val="true"/>
        </w:rPr>
        <w:footnoteReference w:id="959"/>
      </w:r>
      <w:r>
        <w:rPr>
          <w:rFonts w:ascii="IRNazanin" w:hAnsi="IRNazanin" w:eastAsia="IRNazanin"/>
          <w:color w:val="111111"/>
          <w:sz w:val="28"/>
          <w:sz w:val="28"/>
          <w:szCs w:val="28"/>
          <w:rtl w:val="true"/>
          <w:lang w:bidi="fa-IR"/>
        </w:rPr>
        <w:t>، و أحوط منه الاقتصار علی الأربعة الأُوَل مع اللبن، و أحوط منه الأربعة و دفع ما عداها قیمة، بل الأحوط دفع الدقیق و الخبز قیمة فضلًا عن غیرهما</w:t>
      </w:r>
      <w:r>
        <w:rPr>
          <w:rFonts w:eastAsia="IRNazanin" w:cs="IRNazanin"/>
          <w:color w:val="111111"/>
          <w:sz w:val="28"/>
          <w:szCs w:val="28"/>
          <w:rtl w:val="true"/>
          <w:lang w:bidi="fa-IR"/>
        </w:rPr>
        <w:t>.</w:t>
      </w:r>
    </w:p>
    <w:p>
      <w:pPr>
        <w:pStyle w:val="Heading5"/>
        <w:numPr>
          <w:ilvl w:val="4"/>
          <w:numId w:val="1"/>
        </w:numPr>
        <w:rPr/>
      </w:pPr>
      <w:bookmarkStart w:id="3340" w:name="__RefHeading___Toc2568034_3650668749"/>
      <w:bookmarkStart w:id="3341" w:name="_Toc1526"/>
      <w:bookmarkEnd w:id="3340"/>
      <w:r>
        <w:rPr>
          <w:rtl w:val="true"/>
        </w:rPr>
        <w:t>[ (</w:t>
      </w:r>
      <w:r>
        <w:rPr>
          <w:rtl w:val="true"/>
        </w:rPr>
        <w:t xml:space="preserve">مسألة </w:t>
      </w:r>
      <w:r>
        <w:rPr/>
        <w:t>2</w:t>
      </w:r>
      <w:r>
        <w:rPr>
          <w:rtl w:val="true"/>
        </w:rPr>
        <w:t xml:space="preserve">): </w:t>
      </w:r>
      <w:r>
        <w:rPr>
          <w:rtl w:val="true"/>
        </w:rPr>
        <w:t>یعتبر فی المدفوع فطرة أن یکون صحیحاً</w:t>
      </w:r>
      <w:r>
        <w:rPr>
          <w:rtl w:val="true"/>
        </w:rPr>
        <w:t>]</w:t>
      </w:r>
      <w:bookmarkEnd w:id="3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المدفوع فطرة أن یکون صحیحاً، فلا یجزی المعیب، کما لا یجزی الممزوج بما لا یتسامح فیه إلّا علیٰ جهة القیمة؛ لأنّ الأقویٰ </w:t>
      </w:r>
      <w:r>
        <w:rPr>
          <w:rStyle w:val="FootnoteAnchor"/>
          <w:rtl w:val="true"/>
        </w:rPr>
        <w:footnoteReference w:id="960"/>
      </w:r>
      <w:r>
        <w:rPr>
          <w:rFonts w:ascii="IRNazanin" w:hAnsi="IRNazanin" w:eastAsia="IRNazanin"/>
          <w:color w:val="111111"/>
          <w:sz w:val="28"/>
          <w:sz w:val="28"/>
          <w:szCs w:val="28"/>
          <w:rtl w:val="true"/>
          <w:lang w:bidi="fa-IR"/>
        </w:rPr>
        <w:t>الاجتزاء بالقیمة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تعتبر بحسب حال وقت الإخراج و بلده</w:t>
      </w:r>
      <w:r>
        <w:rPr>
          <w:rFonts w:eastAsia="IRNazanin" w:cs="IRNazanin"/>
          <w:color w:val="111111"/>
          <w:sz w:val="28"/>
          <w:szCs w:val="28"/>
          <w:rtl w:val="true"/>
          <w:lang w:bidi="fa-IR"/>
        </w:rPr>
        <w:t>.</w:t>
      </w:r>
    </w:p>
    <w:p>
      <w:pPr>
        <w:pStyle w:val="Heading5"/>
        <w:numPr>
          <w:ilvl w:val="4"/>
          <w:numId w:val="1"/>
        </w:numPr>
        <w:rPr/>
      </w:pPr>
      <w:bookmarkStart w:id="3342" w:name="__RefHeading___Toc2568036_3650668749"/>
      <w:bookmarkStart w:id="3343" w:name="_Toc1527"/>
      <w:bookmarkEnd w:id="3342"/>
      <w:r>
        <w:rPr>
          <w:rtl w:val="true"/>
        </w:rPr>
        <w:t>[ (</w:t>
      </w:r>
      <w:r>
        <w:rPr>
          <w:rtl w:val="true"/>
        </w:rPr>
        <w:t xml:space="preserve">مسألة </w:t>
      </w:r>
      <w:r>
        <w:rPr/>
        <w:t>3</w:t>
      </w:r>
      <w:r>
        <w:rPr>
          <w:rtl w:val="true"/>
        </w:rPr>
        <w:t xml:space="preserve">): </w:t>
      </w:r>
      <w:r>
        <w:rPr>
          <w:rtl w:val="true"/>
        </w:rPr>
        <w:t>الأفضل إخراج التمر ثمّ الزبیب ثمّ غالب قوت البلد</w:t>
      </w:r>
      <w:r>
        <w:rPr>
          <w:rtl w:val="true"/>
        </w:rPr>
        <w:t>]</w:t>
      </w:r>
      <w:bookmarkEnd w:id="334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إخراج التمر ثمّ الزبیب ثمّ غالب </w:t>
      </w:r>
      <w:r>
        <w:rPr>
          <w:rStyle w:val="FootnoteAnchor"/>
          <w:rtl w:val="true"/>
        </w:rPr>
        <w:footnoteReference w:id="961"/>
      </w:r>
      <w:r>
        <w:rPr>
          <w:rFonts w:ascii="IRNazanin" w:hAnsi="IRNazanin" w:eastAsia="IRNazanin"/>
          <w:color w:val="111111"/>
          <w:sz w:val="28"/>
          <w:sz w:val="28"/>
          <w:szCs w:val="28"/>
          <w:rtl w:val="true"/>
          <w:lang w:bidi="fa-IR"/>
        </w:rPr>
        <w:t>قوت البلد، و قد یترجّح الأنفع بملاحظة المرجّحات الخارجیّة کما یرجّح لمن یکون قوته من البرّ الأعلی الدفع منه لا من البرّ الأدون و لا من الشعیر</w:t>
      </w:r>
      <w:r>
        <w:rPr>
          <w:rFonts w:eastAsia="IRNazanin" w:cs="IRNazanin"/>
          <w:color w:val="111111"/>
          <w:sz w:val="28"/>
          <w:szCs w:val="28"/>
          <w:rtl w:val="true"/>
          <w:lang w:bidi="fa-IR"/>
        </w:rPr>
        <w:t>.</w:t>
      </w:r>
      <w:bookmarkStart w:id="3344" w:name="pg1809_19289"/>
    </w:p>
    <w:p>
      <w:pPr>
        <w:pStyle w:val="Heading4"/>
        <w:numPr>
          <w:ilvl w:val="3"/>
          <w:numId w:val="1"/>
        </w:numPr>
        <w:rPr/>
      </w:pPr>
      <w:bookmarkStart w:id="3345" w:name="__RefHeading___Toc2568038_3650668749"/>
      <w:bookmarkStart w:id="3346" w:name="_Toc1528"/>
      <w:bookmarkEnd w:id="3344"/>
      <w:bookmarkEnd w:id="3345"/>
      <w:r>
        <w:rPr>
          <w:rtl w:val="true"/>
        </w:rPr>
        <w:t>[</w:t>
      </w:r>
      <w:r>
        <w:rPr>
          <w:rtl w:val="true"/>
        </w:rPr>
        <w:t>القول فی قدرها</w:t>
      </w:r>
      <w:r>
        <w:rPr>
          <w:rtl w:val="true"/>
        </w:rPr>
        <w:t>]</w:t>
      </w:r>
      <w:bookmarkEnd w:id="3346"/>
    </w:p>
    <w:p>
      <w:pPr>
        <w:pStyle w:val="BookText"/>
        <w:rPr/>
      </w:pPr>
      <w:r>
        <w:rPr>
          <w:rFonts w:ascii="IRNazanin" w:hAnsi="IRNazanin" w:eastAsia="IRNazanin"/>
          <w:color w:val="111111"/>
          <w:sz w:val="28"/>
          <w:sz w:val="28"/>
          <w:szCs w:val="28"/>
          <w:rtl w:val="true"/>
          <w:lang w:bidi="fa-IR"/>
        </w:rPr>
        <w:t>القول فی قدرها و هو صاع من جمیع الأقوات حتّی اللبن، و الصاع أربعة أمداد و هی تسعة أرطال بالعراقی و ستّة بالمدنی، و هی عبارة عن ستّمائة و أربعة عشر مثقالًا صیرفیّاً و ربع مثقال، فیکون بحسب حقّة النجف التی هی تسعمائة مثقال و ثلاثة و ثلاثون مثقالًا و ثلث مثقال نصف حقّة و نصف وقیّة و أحد و ثلاثون مثقالًا إلّا مقدار حمّصتین، و بحسب حقّة إسلامبول و هی مائتان و ثمانون مثقالًا حقّتان و ثلاثة أرباع الوقیّة و مثقال و ثلاثة أرباع المثقال، و بحسب المنّ الشاهی و هو ألف و مائتان و ثمانون مثقالًا نصف منّ إلّا خمسة و عشرون مثقالًا و ثلاثة أرباع المثقال</w:t>
      </w:r>
      <w:r>
        <w:rPr>
          <w:rFonts w:eastAsia="IRNazanin" w:cs="IRNazanin"/>
          <w:color w:val="111111"/>
          <w:sz w:val="28"/>
          <w:szCs w:val="28"/>
          <w:rtl w:val="true"/>
          <w:lang w:bidi="fa-IR"/>
        </w:rPr>
        <w:t>.</w:t>
      </w:r>
    </w:p>
    <w:p>
      <w:pPr>
        <w:pStyle w:val="Heading4"/>
        <w:numPr>
          <w:ilvl w:val="3"/>
          <w:numId w:val="1"/>
        </w:numPr>
        <w:rPr/>
      </w:pPr>
      <w:bookmarkStart w:id="3347" w:name="__RefHeading___Toc2568040_3650668749"/>
      <w:bookmarkStart w:id="3348" w:name="_Toc1529"/>
      <w:bookmarkEnd w:id="3347"/>
      <w:r>
        <w:rPr>
          <w:rtl w:val="true"/>
        </w:rPr>
        <w:t>[</w:t>
      </w:r>
      <w:r>
        <w:rPr>
          <w:rtl w:val="true"/>
        </w:rPr>
        <w:t>القول فی وقت وجوبها</w:t>
      </w:r>
      <w:r>
        <w:rPr>
          <w:rtl w:val="true"/>
        </w:rPr>
        <w:t>]</w:t>
      </w:r>
      <w:bookmarkEnd w:id="3348"/>
    </w:p>
    <w:p>
      <w:pPr>
        <w:pStyle w:val="Heading5"/>
        <w:numPr>
          <w:ilvl w:val="4"/>
          <w:numId w:val="1"/>
        </w:numPr>
        <w:rPr/>
      </w:pPr>
      <w:bookmarkStart w:id="3349" w:name="__RefHeading___Toc2568042_3650668749"/>
      <w:bookmarkStart w:id="3350" w:name="_Toc1530"/>
      <w:bookmarkEnd w:id="3349"/>
      <w:r>
        <w:rPr>
          <w:rtl w:val="true"/>
        </w:rPr>
        <w:t>اشارة</w:t>
      </w:r>
      <w:bookmarkEnd w:id="3350"/>
    </w:p>
    <w:p>
      <w:pPr>
        <w:pStyle w:val="BookText"/>
        <w:rPr/>
      </w:pPr>
      <w:r>
        <w:rPr>
          <w:rFonts w:ascii="IRNazanin" w:hAnsi="IRNazanin" w:eastAsia="IRNazanin"/>
          <w:color w:val="111111"/>
          <w:sz w:val="28"/>
          <w:sz w:val="28"/>
          <w:szCs w:val="28"/>
          <w:rtl w:val="true"/>
          <w:lang w:bidi="fa-IR"/>
        </w:rPr>
        <w:t>القول فی وقت وجوبها و هو دخول لیلة العید، و یستمرّ وقت دفع الفطرة من حین وجوبها إلیٰ وقت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الأفضل </w:t>
      </w:r>
      <w:r>
        <w:rPr>
          <w:rStyle w:val="FootnoteAnchor"/>
          <w:rtl w:val="true"/>
        </w:rPr>
        <w:footnoteReference w:id="962"/>
      </w:r>
      <w:r>
        <w:rPr>
          <w:rFonts w:ascii="IRNazanin" w:hAnsi="IRNazanin" w:eastAsia="IRNazanin"/>
          <w:color w:val="111111"/>
          <w:sz w:val="28"/>
          <w:sz w:val="28"/>
          <w:szCs w:val="28"/>
          <w:rtl w:val="true"/>
          <w:lang w:bidi="fa-IR"/>
        </w:rPr>
        <w:t xml:space="preserve">النهار قبل صلاة العید، بل لا یترک الاحتیاط بالنسبة إلیٰ قبلیّة الصلاة لو صلّیٰ؛ فإن خرج وقت الفطرة و کان قد عزلها دفعها لمستحقّها، و إن لم یکن قد عزلها فالأحوط الأقویٰ </w:t>
      </w:r>
      <w:r>
        <w:rPr>
          <w:rStyle w:val="FootnoteAnchor"/>
          <w:rtl w:val="true"/>
        </w:rPr>
        <w:footnoteReference w:id="963"/>
      </w:r>
      <w:r>
        <w:rPr>
          <w:rFonts w:ascii="IRNazanin" w:hAnsi="IRNazanin" w:eastAsia="IRNazanin"/>
          <w:color w:val="111111"/>
          <w:sz w:val="28"/>
          <w:sz w:val="28"/>
          <w:szCs w:val="28"/>
          <w:rtl w:val="true"/>
          <w:lang w:bidi="fa-IR"/>
        </w:rPr>
        <w:t>عدم سقوطها، بل یؤدّیها ناویاً بها القربة من غیر تعرّض للأداء و القضاء</w:t>
      </w:r>
      <w:r>
        <w:rPr>
          <w:rFonts w:eastAsia="IRNazanin" w:cs="IRNazanin"/>
          <w:color w:val="111111"/>
          <w:sz w:val="28"/>
          <w:szCs w:val="28"/>
          <w:rtl w:val="true"/>
          <w:lang w:bidi="fa-IR"/>
        </w:rPr>
        <w:t>.</w:t>
      </w:r>
    </w:p>
    <w:p>
      <w:pPr>
        <w:pStyle w:val="Heading5"/>
        <w:numPr>
          <w:ilvl w:val="4"/>
          <w:numId w:val="1"/>
        </w:numPr>
        <w:rPr/>
      </w:pPr>
      <w:bookmarkStart w:id="3351" w:name="__RefHeading___Toc2568044_3650668749"/>
      <w:bookmarkStart w:id="3352" w:name="_Toc1531"/>
      <w:bookmarkEnd w:id="3351"/>
      <w:r>
        <w:rPr>
          <w:rtl w:val="true"/>
        </w:rPr>
        <w:t>[ (</w:t>
      </w:r>
      <w:r>
        <w:rPr>
          <w:rtl w:val="true"/>
        </w:rPr>
        <w:t xml:space="preserve">مسألة </w:t>
      </w:r>
      <w:r>
        <w:rPr/>
        <w:t>1</w:t>
      </w:r>
      <w:r>
        <w:rPr>
          <w:rtl w:val="true"/>
        </w:rPr>
        <w:t xml:space="preserve">): </w:t>
      </w:r>
      <w:r>
        <w:rPr>
          <w:rtl w:val="true"/>
        </w:rPr>
        <w:t>لا یجوز تقدیمها علیٰ وقتها فی غیر شهر رمضان</w:t>
      </w:r>
      <w:r>
        <w:rPr>
          <w:rtl w:val="true"/>
        </w:rPr>
        <w:t>]</w:t>
      </w:r>
      <w:bookmarkEnd w:id="3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تقدیمها علیٰ وقتها فی غیر شهر رمضان، بل فیه أیضاً علی الأحوط، نعم لا بأس بإعطاء الفقیر قرضاً ثمّ احتسابه علیه فطرة عند مجی‌ء وقتها</w:t>
      </w:r>
      <w:r>
        <w:rPr>
          <w:rFonts w:eastAsia="IRNazanin" w:cs="IRNazanin"/>
          <w:color w:val="111111"/>
          <w:sz w:val="28"/>
          <w:szCs w:val="28"/>
          <w:rtl w:val="true"/>
          <w:lang w:bidi="fa-IR"/>
        </w:rPr>
        <w:t>.</w:t>
      </w:r>
    </w:p>
    <w:p>
      <w:pPr>
        <w:pStyle w:val="Heading5"/>
        <w:numPr>
          <w:ilvl w:val="4"/>
          <w:numId w:val="1"/>
        </w:numPr>
        <w:rPr/>
      </w:pPr>
      <w:bookmarkStart w:id="3353" w:name="__RefHeading___Toc2568046_3650668749"/>
      <w:bookmarkStart w:id="3354" w:name="_Toc1532"/>
      <w:bookmarkEnd w:id="3353"/>
      <w:r>
        <w:rPr>
          <w:rtl w:val="true"/>
        </w:rPr>
        <w:t>[ (</w:t>
      </w:r>
      <w:r>
        <w:rPr>
          <w:rtl w:val="true"/>
        </w:rPr>
        <w:t xml:space="preserve">مسألة </w:t>
      </w:r>
      <w:r>
        <w:rPr/>
        <w:t>2</w:t>
      </w:r>
      <w:r>
        <w:rPr>
          <w:rtl w:val="true"/>
        </w:rPr>
        <w:t xml:space="preserve">): </w:t>
      </w:r>
      <w:r>
        <w:rPr>
          <w:rtl w:val="true"/>
        </w:rPr>
        <w:t>یجوز عزل الفطرة و تعیینها فی مال مخصوص من الأجناس أو غیرها</w:t>
      </w:r>
      <w:r>
        <w:rPr>
          <w:rtl w:val="true"/>
        </w:rPr>
        <w:t>]</w:t>
      </w:r>
      <w:bookmarkEnd w:id="335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عزل الفطرة و تعیینها فی مال مخصوص من الأجناس أو غیرها </w:t>
      </w:r>
      <w:r>
        <w:rPr>
          <w:rStyle w:val="FootnoteAnchor"/>
          <w:rtl w:val="true"/>
        </w:rPr>
        <w:footnoteReference w:id="964"/>
      </w:r>
      <w:r>
        <w:rPr>
          <w:rFonts w:ascii="IRNazanin" w:hAnsi="IRNazanin" w:eastAsia="IRNazanin"/>
          <w:color w:val="111111"/>
          <w:sz w:val="28"/>
          <w:sz w:val="28"/>
          <w:szCs w:val="28"/>
          <w:rtl w:val="true"/>
          <w:lang w:bidi="fa-IR"/>
        </w:rPr>
        <w:t>بقیمتها، و لو عزل أقلّ منها اختصّ الحکم به و بقی البقیّة غیر معزولة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عزلها فی الأزید ففی انعزالها بذلک حتّی یکون المعزول مشترکاً بینه و بین الزکاة إشکال، نعم لو عیّنها فی مال مشترک بینه و بین غیره مشاعاً فالأظهر انعزالها بذلک إذا کان حصّته بقدرها أو أقلّ</w:t>
      </w:r>
      <w:bookmarkStart w:id="3355" w:name="pg1809_19291"/>
    </w:p>
    <w:p>
      <w:pPr>
        <w:pStyle w:val="BookText"/>
        <w:rPr/>
      </w:pPr>
      <w:bookmarkEnd w:id="3355"/>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إن خرج الوقت و قد عزلها فی الوقت جاز تأخیر دفعها إلی المستحقّ خصوصاً مع ملاحظة بعض المرجّحات؛ و إن کان یضمنه مع التمکّن و وجود المستحقّ لو تلف، بخلافه فیما إذا لم یتمکّن فإنّه لا یضمن إلّا مع التعدّی و التفریط فی حفظه کسائر الأمانات</w:t>
      </w:r>
      <w:r>
        <w:rPr>
          <w:rFonts w:eastAsia="IRNazanin" w:cs="IRNazanin"/>
          <w:color w:val="111111"/>
          <w:sz w:val="28"/>
          <w:szCs w:val="28"/>
          <w:rtl w:val="true"/>
          <w:lang w:bidi="fa-IR"/>
        </w:rPr>
        <w:t>.</w:t>
      </w:r>
    </w:p>
    <w:p>
      <w:pPr>
        <w:pStyle w:val="Heading5"/>
        <w:numPr>
          <w:ilvl w:val="4"/>
          <w:numId w:val="1"/>
        </w:numPr>
        <w:rPr/>
      </w:pPr>
      <w:bookmarkStart w:id="3356" w:name="__RefHeading___Toc2568048_3650668749"/>
      <w:bookmarkStart w:id="3357" w:name="_Toc1533"/>
      <w:bookmarkEnd w:id="3356"/>
      <w:r>
        <w:rPr>
          <w:rtl w:val="true"/>
        </w:rPr>
        <w:t>[ (</w:t>
      </w:r>
      <w:r>
        <w:rPr>
          <w:rtl w:val="true"/>
        </w:rPr>
        <w:t xml:space="preserve">مسألة </w:t>
      </w:r>
      <w:r>
        <w:rPr/>
        <w:t>3</w:t>
      </w:r>
      <w:r>
        <w:rPr>
          <w:rtl w:val="true"/>
        </w:rPr>
        <w:t xml:space="preserve">): </w:t>
      </w:r>
      <w:r>
        <w:rPr>
          <w:rtl w:val="true"/>
        </w:rPr>
        <w:t>الأحوط عدم نقلها بعد العزل إلیٰ بلد آخر مع وجود المستحقّ و عدم تأخیرها کذلک</w:t>
      </w:r>
      <w:r>
        <w:rPr>
          <w:rtl w:val="true"/>
        </w:rPr>
        <w:t>]</w:t>
      </w:r>
      <w:bookmarkEnd w:id="3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w:t>
      </w:r>
      <w:r>
        <w:rPr>
          <w:rStyle w:val="FootnoteAnchor"/>
          <w:rtl w:val="true"/>
        </w:rPr>
        <w:footnoteReference w:id="965"/>
      </w:r>
      <w:r>
        <w:rPr>
          <w:rFonts w:ascii="IRNazanin" w:hAnsi="IRNazanin" w:eastAsia="IRNazanin"/>
          <w:color w:val="111111"/>
          <w:sz w:val="28"/>
          <w:sz w:val="28"/>
          <w:szCs w:val="28"/>
          <w:rtl w:val="true"/>
          <w:lang w:bidi="fa-IR"/>
        </w:rPr>
        <w:t>عدم نقلها بعد العزل إلیٰ بلد آخر مع وجود المستحقّ و عدم تأخیرها کذلک، و إن کان الأقوی الجواز مع الضمان</w:t>
      </w:r>
      <w:r>
        <w:rPr>
          <w:rFonts w:eastAsia="IRNazanin" w:cs="IRNazanin"/>
          <w:color w:val="111111"/>
          <w:sz w:val="28"/>
          <w:szCs w:val="28"/>
          <w:rtl w:val="true"/>
          <w:lang w:bidi="fa-IR"/>
        </w:rPr>
        <w:t>.</w:t>
      </w:r>
    </w:p>
    <w:p>
      <w:pPr>
        <w:pStyle w:val="Heading4"/>
        <w:numPr>
          <w:ilvl w:val="3"/>
          <w:numId w:val="1"/>
        </w:numPr>
        <w:rPr/>
      </w:pPr>
      <w:bookmarkStart w:id="3358" w:name="__RefHeading___Toc2568050_3650668749"/>
      <w:bookmarkStart w:id="3359" w:name="_Toc1534"/>
      <w:bookmarkEnd w:id="3358"/>
      <w:r>
        <w:rPr>
          <w:rtl w:val="true"/>
        </w:rPr>
        <w:t>[</w:t>
      </w:r>
      <w:r>
        <w:rPr>
          <w:rtl w:val="true"/>
        </w:rPr>
        <w:t>القول فی مصرفها</w:t>
      </w:r>
      <w:r>
        <w:rPr>
          <w:rtl w:val="true"/>
        </w:rPr>
        <w:t>]</w:t>
      </w:r>
      <w:bookmarkEnd w:id="335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فی مصرفها و الأحوط الاقتصار </w:t>
      </w:r>
      <w:r>
        <w:rPr>
          <w:rStyle w:val="FootnoteAnchor"/>
          <w:rtl w:val="true"/>
        </w:rPr>
        <w:footnoteReference w:id="966"/>
      </w:r>
      <w:r>
        <w:rPr>
          <w:rFonts w:ascii="IRNazanin" w:hAnsi="IRNazanin" w:eastAsia="IRNazanin"/>
          <w:color w:val="111111"/>
          <w:sz w:val="28"/>
          <w:sz w:val="28"/>
          <w:szCs w:val="28"/>
          <w:rtl w:val="true"/>
          <w:lang w:bidi="fa-IR"/>
        </w:rPr>
        <w:t>علیٰ دفعها للفقراء المؤمنین و أطفالهم، بل المساکین منهم و إن لم یکونوا عدولًا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إعطاؤها للمستضعفین من المخالفین عند عدم وجود المؤمنین و إن لم نقل به فی زکاة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أن لا یدفع للفقیر أقلّ من صاع أو قیمته و إن اجتمع جماعة لا تسعهم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أن یعطی الواحد أصواعاً بل ما یغنیه </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اختصاص ذوی الأرحام و الجیران و أهل الهجرة فی الدین و العفّة و العقل و غیرهم ممّن یکون فیه أحد المرجّحات، و لا یشترط العدالة فیمن یدفع إلیه، نعم الأحوط </w:t>
      </w:r>
      <w:r>
        <w:rPr>
          <w:rStyle w:val="FootnoteAnchor"/>
          <w:rtl w:val="true"/>
        </w:rPr>
        <w:footnoteReference w:id="968"/>
      </w:r>
      <w:r>
        <w:rPr>
          <w:rFonts w:ascii="IRNazanin" w:hAnsi="IRNazanin" w:eastAsia="IRNazanin"/>
          <w:color w:val="111111"/>
          <w:sz w:val="28"/>
          <w:sz w:val="28"/>
          <w:szCs w:val="28"/>
          <w:rtl w:val="true"/>
          <w:lang w:bidi="fa-IR"/>
        </w:rPr>
        <w:t>أن لا یدفع إلیٰ شارب الخمر و المتجاهر بالمعصیة و الهاتک لجلباب الحیاء، کما أنّه لا یجوز أن یدفع إلیٰ من یصرفها فی المعصیة</w:t>
      </w:r>
      <w:r>
        <w:rPr>
          <w:rFonts w:eastAsia="IRNazanin" w:cs="IRNazanin"/>
          <w:color w:val="111111"/>
          <w:sz w:val="28"/>
          <w:szCs w:val="28"/>
          <w:rtl w:val="true"/>
          <w:lang w:bidi="fa-IR"/>
        </w:rPr>
        <w:t>.</w:t>
      </w:r>
      <w:bookmarkStart w:id="3360" w:name="pg1809_19293"/>
    </w:p>
    <w:p>
      <w:pPr>
        <w:pStyle w:val="Heading2"/>
        <w:numPr>
          <w:ilvl w:val="1"/>
          <w:numId w:val="1"/>
        </w:numPr>
        <w:rPr/>
      </w:pPr>
      <w:bookmarkStart w:id="3361" w:name="__RefHeading___Toc2568052_3650668749"/>
      <w:bookmarkStart w:id="3362" w:name="_Toc1535"/>
      <w:bookmarkEnd w:id="3360"/>
      <w:bookmarkEnd w:id="3361"/>
      <w:r>
        <w:rPr>
          <w:rtl w:val="true"/>
        </w:rPr>
        <w:t>[</w:t>
      </w:r>
      <w:r>
        <w:rPr>
          <w:rtl w:val="true"/>
        </w:rPr>
        <w:t>کتاب الخمس</w:t>
      </w:r>
      <w:r>
        <w:rPr>
          <w:rtl w:val="true"/>
        </w:rPr>
        <w:t>]</w:t>
      </w:r>
      <w:bookmarkEnd w:id="3362"/>
    </w:p>
    <w:p>
      <w:pPr>
        <w:pStyle w:val="Heading3"/>
        <w:numPr>
          <w:ilvl w:val="2"/>
          <w:numId w:val="1"/>
        </w:numPr>
        <w:rPr/>
      </w:pPr>
      <w:bookmarkStart w:id="3363" w:name="__RefHeading___Toc2568054_3650668749"/>
      <w:bookmarkStart w:id="3364" w:name="_Toc1536"/>
      <w:bookmarkEnd w:id="3363"/>
      <w:r>
        <w:rPr>
          <w:rtl w:val="true"/>
        </w:rPr>
        <w:t>اشارة</w:t>
      </w:r>
      <w:bookmarkEnd w:id="3364"/>
    </w:p>
    <w:p>
      <w:pPr>
        <w:pStyle w:val="BookText"/>
        <w:rPr/>
      </w:pPr>
      <w:r>
        <w:rPr>
          <w:rFonts w:ascii="IRNazanin" w:hAnsi="IRNazanin" w:eastAsia="IRNazanin"/>
          <w:color w:val="111111"/>
          <w:sz w:val="28"/>
          <w:sz w:val="28"/>
          <w:szCs w:val="28"/>
          <w:rtl w:val="true"/>
          <w:lang w:bidi="fa-IR"/>
        </w:rPr>
        <w:t xml:space="preserve">کتاب الخمس الذی جعله اللّٰه تعالیٰ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ذرّیّته عوضاً عن الزکاة التی هی من أوساخ أیدی الناس إکراماً لهم، و من منع منه درهماً کان من الظالمین لهم و الغاصبین لحقّهم، فعن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إلٰه إلّا هو حیث حرّم علینا الصدقة أبدلنا بها الخمس، فالصدقة علینا حرام و الخمس لنا فریضة و الکرامة لنا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یعذر عبد اشتریٰ من الخمس شیئاً أن یقول یا ربّ اشتریته بمالی حتّی یأذن له أهل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مولانا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لأحد أن یشتری من الخمس شیئاً حتّی یصل إلینا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أیسر ما یدخل به العبد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من مال الیتیم درهماً و نحن الیتیم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فیما یجب فیه الخمس و فی مستحقّیه و کیفیّة قسمته بینهم و فی الأنفال</w:t>
      </w:r>
      <w:r>
        <w:rPr>
          <w:rFonts w:eastAsia="IRNazanin" w:cs="IRNazanin"/>
          <w:color w:val="111111"/>
          <w:sz w:val="28"/>
          <w:szCs w:val="28"/>
          <w:rtl w:val="true"/>
          <w:lang w:bidi="fa-IR"/>
        </w:rPr>
        <w:t>.</w:t>
      </w:r>
    </w:p>
    <w:p>
      <w:pPr>
        <w:pStyle w:val="Heading3"/>
        <w:numPr>
          <w:ilvl w:val="2"/>
          <w:numId w:val="1"/>
        </w:numPr>
        <w:rPr/>
      </w:pPr>
      <w:bookmarkStart w:id="3365" w:name="__RefHeading___Toc2568056_3650668749"/>
      <w:bookmarkStart w:id="3366" w:name="_Toc1537"/>
      <w:bookmarkEnd w:id="3365"/>
      <w:r>
        <w:rPr>
          <w:rtl w:val="true"/>
        </w:rPr>
        <w:t>[</w:t>
      </w:r>
      <w:r>
        <w:rPr>
          <w:rtl w:val="true"/>
        </w:rPr>
        <w:t>القول فیما یجب فیه الخمس</w:t>
      </w:r>
      <w:r>
        <w:rPr>
          <w:rtl w:val="true"/>
        </w:rPr>
        <w:t>]</w:t>
      </w:r>
      <w:bookmarkEnd w:id="3366"/>
    </w:p>
    <w:p>
      <w:pPr>
        <w:pStyle w:val="Heading4"/>
        <w:numPr>
          <w:ilvl w:val="3"/>
          <w:numId w:val="1"/>
        </w:numPr>
        <w:rPr/>
      </w:pPr>
      <w:bookmarkStart w:id="3367" w:name="__RefHeading___Toc2568058_3650668749"/>
      <w:bookmarkStart w:id="3368" w:name="_Toc1538"/>
      <w:bookmarkEnd w:id="3367"/>
      <w:r>
        <w:rPr>
          <w:rtl w:val="true"/>
        </w:rPr>
        <w:t>اشارة</w:t>
      </w:r>
      <w:bookmarkEnd w:id="3368"/>
    </w:p>
    <w:p>
      <w:pPr>
        <w:pStyle w:val="BookText"/>
        <w:rPr/>
      </w:pPr>
      <w:r>
        <w:rPr>
          <w:rFonts w:ascii="IRNazanin" w:hAnsi="IRNazanin" w:eastAsia="IRNazanin"/>
          <w:color w:val="111111"/>
          <w:sz w:val="28"/>
          <w:sz w:val="28"/>
          <w:szCs w:val="28"/>
          <w:rtl w:val="true"/>
          <w:lang w:bidi="fa-IR"/>
        </w:rPr>
        <w:t>القول فیما یجب فیه الخمس یجب الخمس فی سبعة أشیاء</w:t>
      </w:r>
      <w:r>
        <w:rPr>
          <w:rFonts w:eastAsia="IRNazanin" w:cs="IRNazanin"/>
          <w:color w:val="111111"/>
          <w:sz w:val="28"/>
          <w:szCs w:val="28"/>
          <w:rtl w:val="true"/>
          <w:lang w:bidi="fa-IR"/>
        </w:rPr>
        <w:t>:</w:t>
      </w:r>
    </w:p>
    <w:p>
      <w:pPr>
        <w:pStyle w:val="Heading4"/>
        <w:numPr>
          <w:ilvl w:val="3"/>
          <w:numId w:val="1"/>
        </w:numPr>
        <w:rPr/>
      </w:pPr>
      <w:bookmarkStart w:id="3369" w:name="__RefHeading___Toc2568060_3650668749"/>
      <w:bookmarkStart w:id="3370" w:name="_Toc1539"/>
      <w:bookmarkEnd w:id="3369"/>
      <w:r>
        <w:rPr>
          <w:rtl w:val="true"/>
        </w:rPr>
        <w:t>[</w:t>
      </w:r>
      <w:r>
        <w:rPr>
          <w:rtl w:val="true"/>
        </w:rPr>
        <w:t>الأوّل</w:t>
      </w:r>
      <w:r>
        <w:rPr>
          <w:rtl w:val="true"/>
        </w:rPr>
        <w:t xml:space="preserve">: </w:t>
      </w:r>
      <w:r>
        <w:rPr>
          <w:rtl w:val="true"/>
        </w:rPr>
        <w:t>ما یغتنم قهراً من أهل الحرب</w:t>
      </w:r>
      <w:r>
        <w:rPr>
          <w:rtl w:val="true"/>
        </w:rPr>
        <w:t>]</w:t>
      </w:r>
      <w:bookmarkEnd w:id="337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یغتنم قهراً </w:t>
      </w:r>
      <w:r>
        <w:rPr>
          <w:rStyle w:val="FootnoteAnchor"/>
          <w:rtl w:val="true"/>
        </w:rPr>
        <w:footnoteReference w:id="969"/>
      </w:r>
      <w:r>
        <w:rPr>
          <w:rFonts w:ascii="IRNazanin" w:hAnsi="IRNazanin" w:eastAsia="IRNazanin"/>
          <w:color w:val="111111"/>
          <w:sz w:val="28"/>
          <w:sz w:val="28"/>
          <w:szCs w:val="28"/>
          <w:rtl w:val="true"/>
          <w:lang w:bidi="fa-IR"/>
        </w:rPr>
        <w:t xml:space="preserve">من أهل الحرب، الذین یستحلّ دماؤهم و أموالهم و سبی نسائهم و أطفالهم إذا کان الغزو معهم بإذن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ما حواه العسکر و ما لم یحوه کالأرض و نحوها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اغتنم بالغزو من غیر إذنه فإن کان فی حال الحضور و التمکّن من الاستئذان من الإمام فهو من الأنفال و سیأتی أنّها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کان فی حال الغیبة و عدم التمکّن من الاستئذان منه فالأحوط بل الأقویٰ وجوب الخمس فیه، سیّما إذا کان للدعاء إلی الإسلام، و کذا ما اغتنم منهم عند الدفاع معهم إذا</w:t>
      </w:r>
      <w:bookmarkStart w:id="3371" w:name="pg1809_19295"/>
    </w:p>
    <w:p>
      <w:pPr>
        <w:pStyle w:val="BookText"/>
        <w:rPr/>
      </w:pPr>
      <w:bookmarkEnd w:id="3371"/>
      <w:r>
        <w:rPr>
          <w:rFonts w:ascii="IRNazanin" w:hAnsi="IRNazanin" w:eastAsia="IRNazanin"/>
          <w:color w:val="111111"/>
          <w:sz w:val="28"/>
          <w:sz w:val="28"/>
          <w:szCs w:val="28"/>
          <w:rtl w:val="true"/>
          <w:lang w:bidi="fa-IR"/>
        </w:rPr>
        <w:t>هجموا علی المسلمین فی أماکنهم و لو فی زمن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اغتنم منهم بالسرقة </w:t>
      </w:r>
      <w:r>
        <w:rPr>
          <w:rStyle w:val="FootnoteAnchor"/>
          <w:rtl w:val="true"/>
        </w:rPr>
        <w:footnoteReference w:id="970"/>
      </w:r>
      <w:r>
        <w:rPr>
          <w:rFonts w:ascii="IRNazanin" w:hAnsi="IRNazanin" w:eastAsia="IRNazanin"/>
          <w:color w:val="111111"/>
          <w:sz w:val="28"/>
          <w:sz w:val="28"/>
          <w:szCs w:val="28"/>
          <w:rtl w:val="true"/>
          <w:lang w:bidi="fa-IR"/>
        </w:rPr>
        <w:t>و الغیلة و بالربا و الدعوی الباطلة و نحوها و إن کان الأحوط إخراج الخمس منها من حیث کونه غنیمة لا فائدة فلا یحتاج إلیٰ مراعاة مئونة السنة و غیرها لکن الأقویٰ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فی وجوب الخمس فی الغنیمة بلوغها عشرین دیناراً علی الأصحّ، نعم یعتبر فیه أن لا یکون غصباً من مسلم أو ذمّی أو معاهد و نحوهم من محترمی المال، بخلاف ما کان فی أیدیهم من أهل الحرب و إن لم یکن الحرب معهم فی تلک الغزوة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یقوی إلحاق الناصب بأهل الحرب فی إباحة ما اغتنم منهم و تعلّق الخمس به، بل الظاهر جواز أخذ ماله أین ما وجد و بأیّ نحو کان و وجوب إخراج خمسه</w:t>
      </w:r>
      <w:r>
        <w:rPr>
          <w:rFonts w:eastAsia="IRNazanin" w:cs="IRNazanin"/>
          <w:color w:val="111111"/>
          <w:sz w:val="28"/>
          <w:szCs w:val="28"/>
          <w:rtl w:val="true"/>
          <w:lang w:bidi="fa-IR"/>
        </w:rPr>
        <w:t>.</w:t>
      </w:r>
    </w:p>
    <w:p>
      <w:pPr>
        <w:pStyle w:val="Heading4"/>
        <w:numPr>
          <w:ilvl w:val="3"/>
          <w:numId w:val="1"/>
        </w:numPr>
        <w:rPr/>
      </w:pPr>
      <w:bookmarkStart w:id="3372" w:name="__RefHeading___Toc2568062_3650668749"/>
      <w:bookmarkStart w:id="3373" w:name="_Toc1540"/>
      <w:bookmarkEnd w:id="3372"/>
      <w:r>
        <w:rPr>
          <w:rtl w:val="true"/>
        </w:rPr>
        <w:t>[</w:t>
      </w:r>
      <w:r>
        <w:rPr>
          <w:rtl w:val="true"/>
        </w:rPr>
        <w:t>الثانی</w:t>
      </w:r>
      <w:r>
        <w:rPr>
          <w:rtl w:val="true"/>
        </w:rPr>
        <w:t xml:space="preserve">: </w:t>
      </w:r>
      <w:r>
        <w:rPr>
          <w:rtl w:val="true"/>
        </w:rPr>
        <w:t>المعدِن</w:t>
      </w:r>
      <w:r>
        <w:rPr>
          <w:rtl w:val="true"/>
        </w:rPr>
        <w:t>]</w:t>
      </w:r>
      <w:bookmarkEnd w:id="3373"/>
    </w:p>
    <w:p>
      <w:pPr>
        <w:pStyle w:val="Heading5"/>
        <w:numPr>
          <w:ilvl w:val="4"/>
          <w:numId w:val="1"/>
        </w:numPr>
        <w:rPr/>
      </w:pPr>
      <w:bookmarkStart w:id="3374" w:name="__RefHeading___Toc2568064_3650668749"/>
      <w:bookmarkStart w:id="3375" w:name="_Toc1541"/>
      <w:bookmarkEnd w:id="3374"/>
      <w:r>
        <w:rPr>
          <w:rtl w:val="true"/>
        </w:rPr>
        <w:t>اشارة</w:t>
      </w:r>
      <w:bookmarkEnd w:id="337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 بکسر الدال و المرجع فیه عقلاء العرف، و منه الذهب و الفضّة و الرصاص و الحدید و الصفر و الزئبق و الیاقوت و الزبرجد و الفیروزج و العقیق و القیر و النفط و الکبریت و السبخ و الکحل و الزرنیخ و الملح بل و الجصّ و المغرة و طین الغسل و الأرمنی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شکّ فی أنّه منه لا خمس فیه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یعتبر فیه بعد إخراج مئونة الإخراج و التصفیة مثلًا بلوغ عشرین دیناراً </w:t>
      </w:r>
      <w:r>
        <w:rPr>
          <w:rStyle w:val="FootnoteAnchor"/>
          <w:rtl w:val="true"/>
        </w:rPr>
        <w:footnoteReference w:id="971"/>
      </w:r>
      <w:r>
        <w:rPr>
          <w:rFonts w:ascii="IRNazanin" w:hAnsi="IRNazanin" w:eastAsia="IRNazanin"/>
          <w:color w:val="111111"/>
          <w:sz w:val="28"/>
          <w:sz w:val="28"/>
          <w:szCs w:val="28"/>
          <w:rtl w:val="true"/>
          <w:lang w:bidi="fa-IR"/>
        </w:rPr>
        <w:t xml:space="preserve">أو ما یکون قیمته ذلک حال الإخراج، و إن کان الأحوط إخراجه من المعدن البالغ دیناراً بل مطلقاً </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الإخراج دفعة علی الأقویٰ فلو أخرج دفعات و کان المجموع نصاباً وجب خمس المجموع حتّی فیما لو أخرج أقلّ من النصاب و أعرض ثمّ عاد فأکمله علی الأحوط لو لم یکن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اشترک جماعة فی استخراج المعدن فهل یعتبر بلوغ نصیب کلّ واحد منهم النصاب أو یکفی بلوغ المجموع نصاباً؟ الأحوط الثانی و إن کان الأوّل لا یخلو من قوّة </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اشتمل معدن واحد علیٰ جنسین أو أزید کفیٰ بلوغ قیمة المجموع نصاباً علی الأحوط لو لم یکن </w:t>
      </w:r>
      <w:r>
        <w:rPr>
          <w:rStyle w:val="FootnoteAnchor"/>
          <w:rtl w:val="true"/>
        </w:rPr>
        <w:footnoteReference w:id="974"/>
      </w:r>
      <w:r>
        <w:rPr>
          <w:rFonts w:ascii="IRNazanin" w:hAnsi="IRNazanin" w:eastAsia="IRNazanin"/>
          <w:color w:val="111111"/>
          <w:sz w:val="28"/>
          <w:sz w:val="28"/>
          <w:szCs w:val="28"/>
          <w:rtl w:val="true"/>
          <w:lang w:bidi="fa-IR"/>
        </w:rPr>
        <w:t xml:space="preserve">الأقویٰ، و أمّا لو کانت معادن متعدّدة، فإن کانت من جنس واحد یضمّ بعضها </w:t>
      </w:r>
      <w:r>
        <w:rPr>
          <w:rStyle w:val="FootnoteAnchor"/>
          <w:rtl w:val="true"/>
        </w:rPr>
        <w:footnoteReference w:id="975"/>
      </w:r>
      <w:r>
        <w:rPr>
          <w:rFonts w:ascii="Amiri" w:hAnsi="Amiri" w:eastAsia="Amiri" w:cs="Amiri"/>
          <w:color w:val="111111"/>
          <w:sz w:val="28"/>
          <w:sz w:val="28"/>
          <w:szCs w:val="28"/>
          <w:rtl w:val="true"/>
          <w:lang w:bidi="ar-SA"/>
        </w:rPr>
        <w:t>إلیٰ</w:t>
      </w:r>
      <w:bookmarkStart w:id="3376" w:name="pg1809_19296"/>
    </w:p>
    <w:p>
      <w:pPr>
        <w:pStyle w:val="BookText"/>
        <w:rPr/>
      </w:pPr>
      <w:bookmarkEnd w:id="3376"/>
      <w:r>
        <w:rPr>
          <w:rFonts w:ascii="IRNazanin" w:hAnsi="IRNazanin" w:eastAsia="IRNazanin"/>
          <w:color w:val="111111"/>
          <w:sz w:val="28"/>
          <w:sz w:val="28"/>
          <w:szCs w:val="28"/>
          <w:rtl w:val="true"/>
          <w:lang w:bidi="fa-IR"/>
        </w:rPr>
        <w:t>بعض علی الأقویٰ خصوصاً إذا کانت متقاربة، و أمّا لو کانت أجناساً مختلفة اعتبر فی الخارج من کلّ منها النصاب دون المجموع علی الأقویٰ</w:t>
      </w:r>
      <w:r>
        <w:rPr>
          <w:rFonts w:eastAsia="IRNazanin" w:cs="IRNazanin"/>
          <w:color w:val="111111"/>
          <w:sz w:val="28"/>
          <w:szCs w:val="28"/>
          <w:rtl w:val="true"/>
          <w:lang w:bidi="fa-IR"/>
        </w:rPr>
        <w:t>.</w:t>
      </w:r>
    </w:p>
    <w:p>
      <w:pPr>
        <w:pStyle w:val="Heading5"/>
        <w:numPr>
          <w:ilvl w:val="4"/>
          <w:numId w:val="1"/>
        </w:numPr>
        <w:rPr/>
      </w:pPr>
      <w:bookmarkStart w:id="3377" w:name="__RefHeading___Toc2568066_3650668749"/>
      <w:bookmarkStart w:id="3378" w:name="_Toc1542"/>
      <w:bookmarkEnd w:id="3377"/>
      <w:r>
        <w:rPr>
          <w:rtl w:val="true"/>
        </w:rPr>
        <w:t>[ (</w:t>
      </w:r>
      <w:r>
        <w:rPr>
          <w:rtl w:val="true"/>
        </w:rPr>
        <w:t xml:space="preserve">مسألة </w:t>
      </w:r>
      <w:r>
        <w:rPr/>
        <w:t>1</w:t>
      </w:r>
      <w:r>
        <w:rPr>
          <w:rtl w:val="true"/>
        </w:rPr>
        <w:t xml:space="preserve">): </w:t>
      </w:r>
      <w:r>
        <w:rPr>
          <w:rtl w:val="true"/>
        </w:rPr>
        <w:t>لا فرق فی وجوب إخراج خمس المعدن بین کونه فی أرض مباحة أو مملوکة</w:t>
      </w:r>
      <w:r>
        <w:rPr>
          <w:rtl w:val="true"/>
        </w:rPr>
        <w:t>]</w:t>
      </w:r>
      <w:bookmarkEnd w:id="3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وجوب إخراج خمس المعدن بین کونه فی أرض مباحة أو مملوکة، و إن کان الأوّل لمن استنبطه و الثانی اختصّ بصاحب الأرض و إن أخرجه غیره، و حینئذٍ فإن کان بأمر من مالکها یکون الخمس بعد استثناء المئونة؛ و منها اجرة المخرج إذا لم یکن متبرّعاً، و إن کان لا بأمر منه یکون له المخرج و علیه الخمس من دون استثناء المئونة؛ لأنّه لم یصرف علیه مئونة، و لیس علیه ما صرفه المخرج؛ لأنّه لم یکن بأمره، و لو کان المعدن فی الأرض المفتوحة عنوة فإن کان فی معمورها التی هی للمسلمین و أخرجه أحد المسلمین ملکه </w:t>
      </w:r>
      <w:r>
        <w:rPr>
          <w:rStyle w:val="FootnoteAnchor"/>
          <w:rtl w:val="true"/>
        </w:rPr>
        <w:footnoteReference w:id="976"/>
      </w:r>
      <w:r>
        <w:rPr>
          <w:rFonts w:ascii="IRNazanin" w:hAnsi="IRNazanin" w:eastAsia="IRNazanin"/>
          <w:color w:val="111111"/>
          <w:sz w:val="28"/>
          <w:sz w:val="28"/>
          <w:szCs w:val="28"/>
          <w:rtl w:val="true"/>
          <w:lang w:bidi="fa-IR"/>
        </w:rPr>
        <w:t>و علیه الخمس، و إن أخرجه غیر المسلم ففی تملّکه إشکال، و إن کان فی مواتها حال الفتح یملکها المخرج و علیه الخمس و لو کان کافراً کسائر الأراضی المباحة، و لو استنبط المعدن صبیّ أو مجنون تعلّق الخمس به فی الأقویٰ و إن وجب علی الولیّ الإخراج</w:t>
      </w:r>
      <w:r>
        <w:rPr>
          <w:rFonts w:eastAsia="IRNazanin" w:cs="IRNazanin"/>
          <w:color w:val="111111"/>
          <w:sz w:val="28"/>
          <w:szCs w:val="28"/>
          <w:rtl w:val="true"/>
          <w:lang w:bidi="fa-IR"/>
        </w:rPr>
        <w:t>.</w:t>
      </w:r>
    </w:p>
    <w:p>
      <w:pPr>
        <w:pStyle w:val="Heading5"/>
        <w:numPr>
          <w:ilvl w:val="4"/>
          <w:numId w:val="1"/>
        </w:numPr>
        <w:rPr/>
      </w:pPr>
      <w:bookmarkStart w:id="3379" w:name="__RefHeading___Toc2568068_3650668749"/>
      <w:bookmarkStart w:id="3380" w:name="_Toc1543"/>
      <w:bookmarkEnd w:id="3379"/>
      <w:r>
        <w:rPr>
          <w:rtl w:val="true"/>
        </w:rPr>
        <w:t>[ (</w:t>
      </w:r>
      <w:r>
        <w:rPr>
          <w:rtl w:val="true"/>
        </w:rPr>
        <w:t xml:space="preserve">مسألة </w:t>
      </w:r>
      <w:r>
        <w:rPr/>
        <w:t>2</w:t>
      </w:r>
      <w:r>
        <w:rPr>
          <w:rtl w:val="true"/>
        </w:rPr>
        <w:t xml:space="preserve">): </w:t>
      </w:r>
      <w:r>
        <w:rPr>
          <w:rtl w:val="true"/>
        </w:rPr>
        <w:t>قد عرفت أنّه لا فرق فی تعلّق الخمس بما خرج من المعدن بین کون المخرج مسلماً أو کافراً</w:t>
      </w:r>
      <w:r>
        <w:rPr>
          <w:rtl w:val="true"/>
        </w:rPr>
        <w:t>]</w:t>
      </w:r>
      <w:bookmarkEnd w:id="338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لا فرق فی تعلّق الخمس بما خرج من المعدن بین کون المخرج مسلماً أو کافراً إذا کان فی أراضی مملوکة أو مباحة، فالمعادن التی بید الکفّار من الذهب و الفضّة و الحدید و النفط و غیرها حتّی ما یستخرجون من الفحم الحجری یتعلّق بها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مقتضی القاعدة عدم حلّ ما تشتری منهم علینا قبل إخراج خمسها و وجوب تخمیسها علینا، إلّا أنّه قد أُبیح لنا ذلک فإنّ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أباحوا لشیعتهم خمس الأموال الغیر المخمّسة المنتقلة إلیهم ممّن لا یعتقد وجوب الخمس کافراً کان أو غیره </w:t>
      </w:r>
      <w:r>
        <w:rPr>
          <w:rStyle w:val="FootnoteAnchor"/>
          <w:rtl w:val="true"/>
        </w:rPr>
        <w:footnoteReference w:id="977"/>
      </w:r>
      <w:r>
        <w:rPr>
          <w:rFonts w:ascii="IRNazanin" w:hAnsi="IRNazanin" w:eastAsia="IRNazanin"/>
          <w:color w:val="111111"/>
          <w:sz w:val="28"/>
          <w:sz w:val="28"/>
          <w:szCs w:val="28"/>
          <w:rtl w:val="true"/>
          <w:lang w:bidi="fa-IR"/>
        </w:rPr>
        <w:t>، و سواء کان من</w:t>
      </w:r>
      <w:bookmarkStart w:id="3381" w:name="pg1809_19298"/>
    </w:p>
    <w:p>
      <w:pPr>
        <w:pStyle w:val="BookText"/>
        <w:rPr/>
      </w:pPr>
      <w:bookmarkEnd w:id="3381"/>
      <w:r>
        <w:rPr>
          <w:rFonts w:ascii="IRNazanin" w:hAnsi="IRNazanin" w:eastAsia="IRNazanin"/>
          <w:color w:val="111111"/>
          <w:sz w:val="28"/>
          <w:sz w:val="28"/>
          <w:szCs w:val="28"/>
          <w:rtl w:val="true"/>
          <w:lang w:bidi="fa-IR"/>
        </w:rPr>
        <w:t>ربح تجارة أو غیره</w:t>
      </w:r>
      <w:r>
        <w:rPr>
          <w:rFonts w:eastAsia="IRNazanin" w:cs="IRNazanin"/>
          <w:color w:val="111111"/>
          <w:sz w:val="28"/>
          <w:szCs w:val="28"/>
          <w:rtl w:val="true"/>
          <w:lang w:bidi="fa-IR"/>
        </w:rPr>
        <w:t>.</w:t>
      </w:r>
    </w:p>
    <w:p>
      <w:pPr>
        <w:pStyle w:val="Heading4"/>
        <w:numPr>
          <w:ilvl w:val="3"/>
          <w:numId w:val="1"/>
        </w:numPr>
        <w:rPr/>
      </w:pPr>
      <w:bookmarkStart w:id="3382" w:name="__RefHeading___Toc2568070_3650668749"/>
      <w:bookmarkStart w:id="3383" w:name="_Toc1544"/>
      <w:bookmarkEnd w:id="3382"/>
      <w:r>
        <w:rPr>
          <w:rtl w:val="true"/>
        </w:rPr>
        <w:t>[</w:t>
      </w:r>
      <w:r>
        <w:rPr>
          <w:rtl w:val="true"/>
        </w:rPr>
        <w:t>الثالث</w:t>
      </w:r>
      <w:r>
        <w:rPr>
          <w:rtl w:val="true"/>
        </w:rPr>
        <w:t xml:space="preserve">: </w:t>
      </w:r>
      <w:r>
        <w:rPr>
          <w:rtl w:val="true"/>
        </w:rPr>
        <w:t>الکنز الذی یرجع فی مسمّاه إلی العرف إذا لم یعرف صاحبه</w:t>
      </w:r>
      <w:r>
        <w:rPr>
          <w:rtl w:val="true"/>
        </w:rPr>
        <w:t>]</w:t>
      </w:r>
      <w:bookmarkEnd w:id="338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 الذی یرجع فی مسمّاه إلی العرف إذا لم یعرف صاحبه؛ سواء کان فی بلاد الکفّار أو فی الأرض الموات أو الخربة من بلاد الإسلام؛ سواء کان علیه أثر الإسلام أم لا، ففی جمیع هذه الصور یکون ملکاً لواجده و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وجده فی أرض مملوکة للواجد بابتیاع و نحوه عرّفه المالک قبله مع احتمال کونه له، فإن عرفه یعطی له، و إن لم یعرفه عرّفه السابق إلیٰ أن ینتهی إلیٰ من لا یعرفه </w:t>
      </w:r>
      <w:r>
        <w:rPr>
          <w:rStyle w:val="FootnoteAnchor"/>
          <w:rtl w:val="true"/>
        </w:rPr>
        <w:footnoteReference w:id="978"/>
      </w:r>
      <w:r>
        <w:rPr>
          <w:rFonts w:ascii="IRNazanin" w:hAnsi="IRNazanin" w:eastAsia="IRNazanin"/>
          <w:color w:val="111111"/>
          <w:sz w:val="28"/>
          <w:sz w:val="28"/>
          <w:szCs w:val="28"/>
          <w:rtl w:val="true"/>
          <w:lang w:bidi="fa-IR"/>
        </w:rPr>
        <w:t>، فیکون للواجد و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فیه الخمس حتّی یبلغ عشرین دیناراً فی الذهب و مائتی درهم فی الفضّة و بأیّهما کان فی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بالکنز فی الأحوط ما یوجد فی جوف الدابّة المشتراة مثلًا فیجب فیه الخمس بعد عدم معرفة البائع، و لا یعتبر فیه بلوغ النصاب، بل یلحق به أیضاً فی الأحوط ما یوجد فی جوف السمکة، بل لا تعریف فیه للبائع إلّا فی فرض نادر، بل الأحوط أیضاً إلحاق غیر السمکة و الدابّة من الحیوان بهما</w:t>
      </w:r>
      <w:r>
        <w:rPr>
          <w:rFonts w:eastAsia="IRNazanin" w:cs="IRNazanin"/>
          <w:color w:val="111111"/>
          <w:sz w:val="28"/>
          <w:szCs w:val="28"/>
          <w:rtl w:val="true"/>
          <w:lang w:bidi="fa-IR"/>
        </w:rPr>
        <w:t>.</w:t>
      </w:r>
    </w:p>
    <w:p>
      <w:pPr>
        <w:pStyle w:val="Heading4"/>
        <w:numPr>
          <w:ilvl w:val="3"/>
          <w:numId w:val="1"/>
        </w:numPr>
        <w:rPr/>
      </w:pPr>
      <w:bookmarkStart w:id="3384" w:name="__RefHeading___Toc2568072_3650668749"/>
      <w:bookmarkStart w:id="3385" w:name="_Toc1545"/>
      <w:bookmarkEnd w:id="3384"/>
      <w:r>
        <w:rPr>
          <w:rtl w:val="true"/>
        </w:rPr>
        <w:t>[</w:t>
      </w:r>
      <w:r>
        <w:rPr>
          <w:rtl w:val="true"/>
        </w:rPr>
        <w:t>الرابع</w:t>
      </w:r>
      <w:r>
        <w:rPr>
          <w:rtl w:val="true"/>
        </w:rPr>
        <w:t xml:space="preserve">: </w:t>
      </w:r>
      <w:r>
        <w:rPr>
          <w:rtl w:val="true"/>
        </w:rPr>
        <w:t>الغوص</w:t>
      </w:r>
      <w:r>
        <w:rPr>
          <w:rtl w:val="true"/>
        </w:rPr>
        <w:t>]</w:t>
      </w:r>
      <w:bookmarkEnd w:id="3385"/>
    </w:p>
    <w:p>
      <w:pPr>
        <w:pStyle w:val="Heading5"/>
        <w:numPr>
          <w:ilvl w:val="4"/>
          <w:numId w:val="1"/>
        </w:numPr>
        <w:rPr/>
      </w:pPr>
      <w:bookmarkStart w:id="3386" w:name="__RefHeading___Toc2568074_3650668749"/>
      <w:bookmarkStart w:id="3387" w:name="_Toc1546"/>
      <w:bookmarkEnd w:id="3386"/>
      <w:r>
        <w:rPr>
          <w:rtl w:val="true"/>
        </w:rPr>
        <w:t>اشارة</w:t>
      </w:r>
      <w:bookmarkEnd w:id="3387"/>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الغوص فکلّما یخرج به من الجواهر مثل اللؤلؤ و المرجان و غیرهما </w:t>
      </w:r>
      <w:r>
        <w:rPr>
          <w:rStyle w:val="FootnoteAnchor"/>
          <w:rtl w:val="true"/>
        </w:rPr>
        <w:footnoteReference w:id="979"/>
      </w:r>
      <w:r>
        <w:rPr>
          <w:rFonts w:ascii="IRNazanin" w:hAnsi="IRNazanin" w:eastAsia="IRNazanin"/>
          <w:color w:val="111111"/>
          <w:sz w:val="28"/>
          <w:sz w:val="28"/>
          <w:szCs w:val="28"/>
          <w:rtl w:val="true"/>
          <w:lang w:bidi="fa-IR"/>
        </w:rPr>
        <w:t>یجب فیه الخمس بشرط أن یبلغ قیمته دیناراً فصاعداً، فلا خمس فیما ینقص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اتّحاد النوع و عدمه و بین الدفعة و الدفعات، فیضمّ بعضها إلیٰ بعض، فلو بلغ قیمة المجموع دیناراً وجب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اشترک جماعة فی الإخراج فهو کما اشترک جماعة فی استخراج المعدن و قد تقدّم</w:t>
      </w:r>
      <w:r>
        <w:rPr>
          <w:rFonts w:eastAsia="IRNazanin" w:cs="IRNazanin"/>
          <w:color w:val="111111"/>
          <w:sz w:val="28"/>
          <w:szCs w:val="28"/>
          <w:rtl w:val="true"/>
          <w:lang w:bidi="fa-IR"/>
        </w:rPr>
        <w:t>.</w:t>
      </w:r>
    </w:p>
    <w:p>
      <w:pPr>
        <w:pStyle w:val="Heading5"/>
        <w:numPr>
          <w:ilvl w:val="4"/>
          <w:numId w:val="1"/>
        </w:numPr>
        <w:rPr/>
      </w:pPr>
      <w:bookmarkStart w:id="3388" w:name="__RefHeading___Toc2568076_3650668749"/>
      <w:bookmarkStart w:id="3389" w:name="_Toc1547"/>
      <w:bookmarkEnd w:id="3388"/>
      <w:r>
        <w:rPr>
          <w:rtl w:val="true"/>
        </w:rPr>
        <w:t>[ (</w:t>
      </w:r>
      <w:r>
        <w:rPr>
          <w:rtl w:val="true"/>
        </w:rPr>
        <w:t xml:space="preserve">مسألة </w:t>
      </w:r>
      <w:r>
        <w:rPr/>
        <w:t>1</w:t>
      </w:r>
      <w:r>
        <w:rPr>
          <w:rtl w:val="true"/>
        </w:rPr>
        <w:t xml:space="preserve">): </w:t>
      </w:r>
      <w:r>
        <w:rPr>
          <w:rtl w:val="true"/>
        </w:rPr>
        <w:t>إذا أخرج الجواهر من البحر ببعض الآلات من دون غوص یکون بحکم الغوص علی الأحوط</w:t>
      </w:r>
      <w:r>
        <w:rPr>
          <w:rtl w:val="true"/>
        </w:rPr>
        <w:t>]</w:t>
      </w:r>
      <w:bookmarkEnd w:id="3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أخرج الجواهر من البحر ببعض الآلات من دون غوص یکون بحکم الغوص علی الأحوط، نعم لو خرج بنفسه علی الساحل أو علیٰ وجه الماء فأخذه من غیر غوص لم یجب فیه الخمس من هذه الجهة بل یدخل فی أرباح المکاسب </w:t>
      </w:r>
      <w:r>
        <w:rPr>
          <w:rStyle w:val="FootnoteAnchor"/>
          <w:rtl w:val="true"/>
        </w:rPr>
        <w:footnoteReference w:id="980"/>
      </w:r>
      <w:r>
        <w:rPr>
          <w:rFonts w:ascii="IRNazanin" w:hAnsi="IRNazanin" w:eastAsia="IRNazanin"/>
          <w:color w:val="111111"/>
          <w:sz w:val="28"/>
          <w:sz w:val="28"/>
          <w:szCs w:val="28"/>
          <w:rtl w:val="true"/>
          <w:lang w:bidi="fa-IR"/>
        </w:rPr>
        <w:t>، فیعتبر فیه إخراج مئونة السنة و لا یعتبر فیه النصاب</w:t>
      </w:r>
      <w:r>
        <w:rPr>
          <w:rFonts w:eastAsia="IRNazanin" w:cs="IRNazanin"/>
          <w:color w:val="111111"/>
          <w:sz w:val="28"/>
          <w:szCs w:val="28"/>
          <w:rtl w:val="true"/>
          <w:lang w:bidi="fa-IR"/>
        </w:rPr>
        <w:t>.</w:t>
      </w:r>
    </w:p>
    <w:p>
      <w:pPr>
        <w:pStyle w:val="Heading5"/>
        <w:numPr>
          <w:ilvl w:val="4"/>
          <w:numId w:val="1"/>
        </w:numPr>
        <w:rPr/>
      </w:pPr>
      <w:bookmarkStart w:id="3390" w:name="__RefHeading___Toc2568078_3650668749"/>
      <w:bookmarkStart w:id="3391" w:name="_Toc1548"/>
      <w:bookmarkEnd w:id="3390"/>
      <w:r>
        <w:rPr>
          <w:rtl w:val="true"/>
        </w:rPr>
        <w:t>[ (</w:t>
      </w:r>
      <w:r>
        <w:rPr>
          <w:rtl w:val="true"/>
        </w:rPr>
        <w:t xml:space="preserve">مسألة </w:t>
      </w:r>
      <w:r>
        <w:rPr/>
        <w:t>2</w:t>
      </w:r>
      <w:r>
        <w:rPr>
          <w:rtl w:val="true"/>
        </w:rPr>
        <w:t xml:space="preserve">): </w:t>
      </w:r>
      <w:r>
        <w:rPr>
          <w:rtl w:val="true"/>
        </w:rPr>
        <w:t>لا فرق بین ما یخرج من البحر بالغوص و بین ما یخرج من الأنهار الکبیرة</w:t>
      </w:r>
      <w:r>
        <w:rPr>
          <w:rtl w:val="true"/>
        </w:rPr>
        <w:t>]</w:t>
      </w:r>
      <w:bookmarkEnd w:id="339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ما یخرج من البحر بالغوص و بین ما یخرج من الأنهار الکبیرة کدجلة و النیل و الفرات إذا فرض تکوّن الجوهر فیها کالبحر</w:t>
      </w:r>
      <w:r>
        <w:rPr>
          <w:rFonts w:eastAsia="IRNazanin" w:cs="IRNazanin"/>
          <w:color w:val="111111"/>
          <w:sz w:val="28"/>
          <w:szCs w:val="28"/>
          <w:rtl w:val="true"/>
          <w:lang w:bidi="fa-IR"/>
        </w:rPr>
        <w:t>.</w:t>
      </w:r>
      <w:bookmarkStart w:id="3392" w:name="pg1809_19300"/>
    </w:p>
    <w:p>
      <w:pPr>
        <w:pStyle w:val="Heading5"/>
        <w:numPr>
          <w:ilvl w:val="4"/>
          <w:numId w:val="1"/>
        </w:numPr>
        <w:rPr/>
      </w:pPr>
      <w:bookmarkStart w:id="3393" w:name="__RefHeading___Toc2568080_3650668749"/>
      <w:bookmarkStart w:id="3394" w:name="_Toc1549"/>
      <w:bookmarkEnd w:id="3392"/>
      <w:bookmarkEnd w:id="3393"/>
      <w:r>
        <w:rPr>
          <w:rtl w:val="true"/>
        </w:rPr>
        <w:t>[ (</w:t>
      </w:r>
      <w:r>
        <w:rPr>
          <w:rtl w:val="true"/>
        </w:rPr>
        <w:t xml:space="preserve">مسألة </w:t>
      </w:r>
      <w:r>
        <w:rPr/>
        <w:t>3</w:t>
      </w:r>
      <w:r>
        <w:rPr>
          <w:rtl w:val="true"/>
        </w:rPr>
        <w:t xml:space="preserve">): </w:t>
      </w:r>
      <w:r>
        <w:rPr>
          <w:rtl w:val="true"/>
        </w:rPr>
        <w:t>إذا غرق شی‌ء فی البحر و أعرض عنه مالکه فأخرجه الغوّاص ملکه</w:t>
      </w:r>
      <w:r>
        <w:rPr>
          <w:rtl w:val="true"/>
        </w:rPr>
        <w:t>]</w:t>
      </w:r>
      <w:bookmarkEnd w:id="3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غرق شی‌ء فی البحر و أعرض عنه مالکه فأخرجه الغوّاص ملکه، و هل یلحق به حکم الغوص؟ الأحوط إجراء حکمه </w:t>
      </w:r>
      <w:r>
        <w:rPr>
          <w:rStyle w:val="FootnoteAnchor"/>
          <w:rtl w:val="true"/>
        </w:rPr>
        <w:footnoteReference w:id="981"/>
      </w:r>
      <w:r>
        <w:rPr>
          <w:rFonts w:ascii="IRNazanin" w:hAnsi="IRNazanin" w:eastAsia="IRNazanin"/>
          <w:color w:val="111111"/>
          <w:sz w:val="28"/>
          <w:sz w:val="28"/>
          <w:szCs w:val="28"/>
          <w:rtl w:val="true"/>
          <w:lang w:bidi="fa-IR"/>
        </w:rPr>
        <w:t>علیه، خصوصاً إذا کان مثل اللؤلؤ و المرجان</w:t>
      </w:r>
      <w:r>
        <w:rPr>
          <w:rFonts w:eastAsia="IRNazanin" w:cs="IRNazanin"/>
          <w:color w:val="111111"/>
          <w:sz w:val="28"/>
          <w:szCs w:val="28"/>
          <w:rtl w:val="true"/>
          <w:lang w:bidi="fa-IR"/>
        </w:rPr>
        <w:t>.</w:t>
      </w:r>
    </w:p>
    <w:p>
      <w:pPr>
        <w:pStyle w:val="Heading5"/>
        <w:numPr>
          <w:ilvl w:val="4"/>
          <w:numId w:val="1"/>
        </w:numPr>
        <w:rPr/>
      </w:pPr>
      <w:bookmarkStart w:id="3395" w:name="__RefHeading___Toc2568082_3650668749"/>
      <w:bookmarkStart w:id="3396" w:name="_Toc1550"/>
      <w:bookmarkEnd w:id="3395"/>
      <w:r>
        <w:rPr>
          <w:rtl w:val="true"/>
        </w:rPr>
        <w:t>[ (</w:t>
      </w:r>
      <w:r>
        <w:rPr>
          <w:rtl w:val="true"/>
        </w:rPr>
        <w:t xml:space="preserve">مسألة </w:t>
      </w:r>
      <w:r>
        <w:rPr/>
        <w:t>4</w:t>
      </w:r>
      <w:r>
        <w:rPr>
          <w:rtl w:val="true"/>
        </w:rPr>
        <w:t xml:space="preserve">): </w:t>
      </w:r>
      <w:r>
        <w:rPr>
          <w:rtl w:val="true"/>
        </w:rPr>
        <w:t>العنبر</w:t>
      </w:r>
      <w:r>
        <w:rPr>
          <w:rtl w:val="true"/>
        </w:rPr>
        <w:t>]</w:t>
      </w:r>
      <w:bookmarkEnd w:id="3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العنبر إذا أخرج بالغوص جریٰ علیه حکمه، و إن أخذ علیٰ وجه الماء أو الساحل ففی إجراء حکمه علیه إشکال </w:t>
      </w:r>
      <w:r>
        <w:rPr>
          <w:rStyle w:val="FootnoteAnchor"/>
          <w:rtl w:val="true"/>
        </w:rPr>
        <w:footnoteReference w:id="982"/>
      </w:r>
      <w:r>
        <w:rPr>
          <w:rFonts w:ascii="IRNazanin" w:hAnsi="IRNazanin" w:eastAsia="IRNazanin"/>
          <w:color w:val="111111"/>
          <w:sz w:val="28"/>
          <w:sz w:val="28"/>
          <w:szCs w:val="28"/>
          <w:rtl w:val="true"/>
          <w:lang w:bidi="fa-IR"/>
        </w:rPr>
        <w:t>، أحوطه ذلک، بل الأحوط عدم اعتبار النصاب</w:t>
      </w:r>
      <w:r>
        <w:rPr>
          <w:rFonts w:eastAsia="IRNazanin" w:cs="IRNazanin"/>
          <w:color w:val="111111"/>
          <w:sz w:val="28"/>
          <w:szCs w:val="28"/>
          <w:rtl w:val="true"/>
          <w:lang w:bidi="fa-IR"/>
        </w:rPr>
        <w:t>.</w:t>
      </w:r>
    </w:p>
    <w:p>
      <w:pPr>
        <w:pStyle w:val="Heading5"/>
        <w:numPr>
          <w:ilvl w:val="4"/>
          <w:numId w:val="1"/>
        </w:numPr>
        <w:rPr/>
      </w:pPr>
      <w:bookmarkStart w:id="3397" w:name="__RefHeading___Toc2568084_3650668749"/>
      <w:bookmarkStart w:id="3398" w:name="_Toc1551"/>
      <w:bookmarkEnd w:id="3397"/>
      <w:r>
        <w:rPr>
          <w:rtl w:val="true"/>
        </w:rPr>
        <w:t>[ (</w:t>
      </w:r>
      <w:r>
        <w:rPr>
          <w:rtl w:val="true"/>
        </w:rPr>
        <w:t xml:space="preserve">مسألة </w:t>
      </w:r>
      <w:r>
        <w:rPr/>
        <w:t>5</w:t>
      </w:r>
      <w:r>
        <w:rPr>
          <w:rtl w:val="true"/>
        </w:rPr>
        <w:t xml:space="preserve">): </w:t>
      </w:r>
      <w:r>
        <w:rPr>
          <w:rtl w:val="true"/>
        </w:rPr>
        <w:t>إنّما یجب الخمس فی الغوص و المعدن و الکنز بعد إخراج ما یغرمه</w:t>
      </w:r>
      <w:r>
        <w:rPr>
          <w:rtl w:val="true"/>
        </w:rPr>
        <w:t>]</w:t>
      </w:r>
      <w:bookmarkEnd w:id="3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یجب الخمس فی الغوص و المعدن و الکنز بعد إخراج ما یغرمه علی الحفر و السبک و الغوص و الآلات و نحو ذلک، بل یقوی اعتبار النصاب بعد الإخراج</w:t>
      </w:r>
      <w:r>
        <w:rPr>
          <w:rFonts w:eastAsia="IRNazanin" w:cs="IRNazanin"/>
          <w:color w:val="111111"/>
          <w:sz w:val="28"/>
          <w:szCs w:val="28"/>
          <w:rtl w:val="true"/>
          <w:lang w:bidi="fa-IR"/>
        </w:rPr>
        <w:t>.</w:t>
      </w:r>
    </w:p>
    <w:p>
      <w:pPr>
        <w:pStyle w:val="Heading4"/>
        <w:numPr>
          <w:ilvl w:val="3"/>
          <w:numId w:val="1"/>
        </w:numPr>
        <w:rPr/>
      </w:pPr>
      <w:bookmarkStart w:id="3399" w:name="__RefHeading___Toc2568086_3650668749"/>
      <w:bookmarkStart w:id="3400" w:name="_Toc1552"/>
      <w:bookmarkEnd w:id="3399"/>
      <w:r>
        <w:rPr>
          <w:rtl w:val="true"/>
        </w:rPr>
        <w:t>[</w:t>
      </w:r>
      <w:r>
        <w:rPr>
          <w:rtl w:val="true"/>
        </w:rPr>
        <w:t>الخامس</w:t>
      </w:r>
      <w:r>
        <w:rPr>
          <w:rtl w:val="true"/>
        </w:rPr>
        <w:t xml:space="preserve">: </w:t>
      </w:r>
      <w:r>
        <w:rPr>
          <w:rtl w:val="true"/>
        </w:rPr>
        <w:t>ما یفضل عن مئونته له و لعیاله من الصناعات و الزراعات و أرباح التجارات</w:t>
      </w:r>
      <w:r>
        <w:rPr>
          <w:rtl w:val="true"/>
        </w:rPr>
        <w:t>]</w:t>
      </w:r>
      <w:bookmarkEnd w:id="3400"/>
    </w:p>
    <w:p>
      <w:pPr>
        <w:pStyle w:val="Heading5"/>
        <w:numPr>
          <w:ilvl w:val="4"/>
          <w:numId w:val="1"/>
        </w:numPr>
        <w:rPr/>
      </w:pPr>
      <w:bookmarkStart w:id="3401" w:name="__RefHeading___Toc2568088_3650668749"/>
      <w:bookmarkStart w:id="3402" w:name="_Toc1553"/>
      <w:bookmarkEnd w:id="3401"/>
      <w:r>
        <w:rPr>
          <w:rtl w:val="true"/>
        </w:rPr>
        <w:t>اشارة</w:t>
      </w:r>
      <w:bookmarkEnd w:id="3402"/>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یفضل عن مئونته له و لعیاله من الصناعات و الزراعات و أرباح التجارات بل و سائر التکسّبات و لو بحیازة مباحات أو استنماءات أو استنتاج أو ارتفاع قیمة أو غیر ذلک ممّا یدخل تحت مسمّی التکسّب، و الأحوط تعلّقه بکلّ فائدة </w:t>
      </w:r>
      <w:r>
        <w:rPr>
          <w:rStyle w:val="FootnoteAnchor"/>
          <w:rtl w:val="true"/>
        </w:rPr>
        <w:footnoteReference w:id="983"/>
      </w:r>
      <w:r>
        <w:rPr>
          <w:rFonts w:ascii="IRNazanin" w:hAnsi="IRNazanin" w:eastAsia="IRNazanin"/>
          <w:color w:val="111111"/>
          <w:sz w:val="28"/>
          <w:sz w:val="28"/>
          <w:szCs w:val="28"/>
          <w:rtl w:val="true"/>
          <w:lang w:bidi="fa-IR"/>
        </w:rPr>
        <w:t xml:space="preserve">و إن لم یدخل تحت مسمّی التکسّب، و علیٰ هذا فالأحوط تعلّقه بنحو الهبات و الهدایا و الجوائز و المیراث الذی لم یحتسب، بل الأحوط تعلّقه بمطلق المیراث و المهر و عوض الخلع، و إن کان الأقویٰ عدم تعلّقه بهذه الثلاثة، کما أنّه لا خمس فیما ملک بالخمس أو الزکاة و إن زاد عن مئونة السنة، نعم یجب الخمس فی نمائها </w:t>
      </w:r>
      <w:r>
        <w:rPr>
          <w:rStyle w:val="FootnoteAnchor"/>
          <w:rtl w:val="true"/>
        </w:rPr>
        <w:footnoteReference w:id="984"/>
      </w:r>
      <w:r>
        <w:rPr>
          <w:rFonts w:ascii="IRNazanin" w:hAnsi="IRNazanin" w:eastAsia="IRNazanin"/>
          <w:color w:val="111111"/>
          <w:sz w:val="28"/>
          <w:sz w:val="28"/>
          <w:szCs w:val="28"/>
          <w:rtl w:val="true"/>
          <w:lang w:bidi="fa-IR"/>
        </w:rPr>
        <w:t>إذا نمت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ملک بالصدقة المندوبة فالأحوط إعطاء خمسها إذا زادت عن مئونة السنة</w:t>
      </w:r>
      <w:r>
        <w:rPr>
          <w:rFonts w:eastAsia="IRNazanin" w:cs="IRNazanin"/>
          <w:color w:val="111111"/>
          <w:sz w:val="28"/>
          <w:szCs w:val="28"/>
          <w:rtl w:val="true"/>
          <w:lang w:bidi="fa-IR"/>
        </w:rPr>
        <w:t>.</w:t>
      </w:r>
    </w:p>
    <w:p>
      <w:pPr>
        <w:pStyle w:val="Heading5"/>
        <w:numPr>
          <w:ilvl w:val="4"/>
          <w:numId w:val="1"/>
        </w:numPr>
        <w:rPr/>
      </w:pPr>
      <w:bookmarkStart w:id="3403" w:name="__RefHeading___Toc2568090_3650668749"/>
      <w:bookmarkStart w:id="3404" w:name="_Toc1554"/>
      <w:bookmarkEnd w:id="3403"/>
      <w:r>
        <w:rPr>
          <w:rtl w:val="true"/>
        </w:rPr>
        <w:t>[ (</w:t>
      </w:r>
      <w:r>
        <w:rPr>
          <w:rtl w:val="true"/>
        </w:rPr>
        <w:t xml:space="preserve">مسألة </w:t>
      </w:r>
      <w:r>
        <w:rPr/>
        <w:t>1</w:t>
      </w:r>
      <w:r>
        <w:rPr>
          <w:rtl w:val="true"/>
        </w:rPr>
        <w:t xml:space="preserve">): </w:t>
      </w:r>
      <w:r>
        <w:rPr>
          <w:rtl w:val="true"/>
        </w:rPr>
        <w:t>إذا کان عنده من الأعیان التی لم یتعلّق بها الخمس أو أدّی خمسها و ارتفعت قیمتها السوقیّة</w:t>
      </w:r>
      <w:r>
        <w:rPr>
          <w:rtl w:val="true"/>
        </w:rPr>
        <w:t>]</w:t>
      </w:r>
      <w:bookmarkEnd w:id="340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من الأعیان التی لم یتعلّق بها الخمس أو أدّی خمسها و ارتفعت قیمتها السوقیّة لم یجب علیه خمس تلک الزیادة إذا لم تکن العین من مال التجارة و رأس مالها، کما إذا کان المقصود من شرائها و إبقائها اقتناؤها و الانتفاع بمنافعها و نمائها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المقصود الاتّجار بها فالظاهر وجوب خمس ارتفاع قیمتها بعد تمام السنة إذا أمکن</w:t>
      </w:r>
      <w:bookmarkStart w:id="3405" w:name="pg1809_19302"/>
    </w:p>
    <w:p>
      <w:pPr>
        <w:pStyle w:val="BookText"/>
        <w:rPr/>
      </w:pPr>
      <w:bookmarkEnd w:id="3405"/>
      <w:r>
        <w:rPr>
          <w:rFonts w:ascii="IRNazanin" w:hAnsi="IRNazanin" w:eastAsia="IRNazanin"/>
          <w:color w:val="111111"/>
          <w:sz w:val="28"/>
          <w:sz w:val="28"/>
          <w:szCs w:val="28"/>
          <w:rtl w:val="true"/>
          <w:lang w:bidi="fa-IR"/>
        </w:rPr>
        <w:t>بیعها و أخذ قیمتها، و إذا لم یمکن بیعها إلّا فی السنة التالیة تکون الزیادة من أرباح تلک السنة لا السنة الماضیة علی الأظهر</w:t>
      </w:r>
      <w:r>
        <w:rPr>
          <w:rFonts w:eastAsia="IRNazanin" w:cs="IRNazanin"/>
          <w:color w:val="111111"/>
          <w:sz w:val="28"/>
          <w:szCs w:val="28"/>
          <w:rtl w:val="true"/>
          <w:lang w:bidi="fa-IR"/>
        </w:rPr>
        <w:t>.</w:t>
      </w:r>
    </w:p>
    <w:p>
      <w:pPr>
        <w:pStyle w:val="Heading5"/>
        <w:numPr>
          <w:ilvl w:val="4"/>
          <w:numId w:val="1"/>
        </w:numPr>
        <w:rPr/>
      </w:pPr>
      <w:bookmarkStart w:id="3406" w:name="__RefHeading___Toc2568092_3650668749"/>
      <w:bookmarkStart w:id="3407" w:name="_Toc1555"/>
      <w:bookmarkEnd w:id="3406"/>
      <w:r>
        <w:rPr>
          <w:rtl w:val="true"/>
        </w:rPr>
        <w:t>[ (</w:t>
      </w:r>
      <w:r>
        <w:rPr>
          <w:rtl w:val="true"/>
        </w:rPr>
        <w:t xml:space="preserve">مسألة </w:t>
      </w:r>
      <w:r>
        <w:rPr/>
        <w:t>2</w:t>
      </w:r>
      <w:r>
        <w:rPr>
          <w:rtl w:val="true"/>
        </w:rPr>
        <w:t xml:space="preserve">): </w:t>
      </w:r>
      <w:r>
        <w:rPr>
          <w:rtl w:val="true"/>
        </w:rPr>
        <w:t>إذا کانت بعض الأموال التی یتّجر بها و ارتفعت قیمتها موجودة عنده فی آخر السنة و بعضها دیناً علی الناس</w:t>
      </w:r>
      <w:r>
        <w:rPr>
          <w:rtl w:val="true"/>
        </w:rPr>
        <w:t>]</w:t>
      </w:r>
      <w:bookmarkEnd w:id="3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بعض الأموال التی یتّجر بها و ارتفعت قیمتها موجودة عنده فی آخر السنة و بعضها دیناً علی الناس فإن باع الموجودة أو أمکن بیعها و أخذ قیمتها یجب علیه خمس ربحها و زیادة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علی الناس فإن کان یطمئنّ باستحصالها بحیث یکون ما فی ذمّتهم کالموجود عنده یخمّس المقدار الزائد علیٰ رأس ماله، و أمّا ما لا یطمئنّ باستحصالها یصبر إلیٰ زمان تحصیلها فإذا حصّلها فی السنة التالیة أو بعدها تکون الزیادة من أرباح تلک السنة</w:t>
      </w:r>
      <w:r>
        <w:rPr>
          <w:rFonts w:eastAsia="IRNazanin" w:cs="IRNazanin"/>
          <w:color w:val="111111"/>
          <w:sz w:val="28"/>
          <w:szCs w:val="28"/>
          <w:rtl w:val="true"/>
          <w:lang w:bidi="fa-IR"/>
        </w:rPr>
        <w:t>.</w:t>
      </w:r>
    </w:p>
    <w:p>
      <w:pPr>
        <w:pStyle w:val="Heading5"/>
        <w:numPr>
          <w:ilvl w:val="4"/>
          <w:numId w:val="1"/>
        </w:numPr>
        <w:rPr/>
      </w:pPr>
      <w:bookmarkStart w:id="3408" w:name="__RefHeading___Toc2568094_3650668749"/>
      <w:bookmarkStart w:id="3409" w:name="_Toc1556"/>
      <w:bookmarkEnd w:id="3408"/>
      <w:r>
        <w:rPr>
          <w:rtl w:val="true"/>
        </w:rPr>
        <w:t>[ (</w:t>
      </w:r>
      <w:r>
        <w:rPr>
          <w:rtl w:val="true"/>
        </w:rPr>
        <w:t xml:space="preserve">مسألة </w:t>
      </w:r>
      <w:r>
        <w:rPr/>
        <w:t>3</w:t>
      </w:r>
      <w:r>
        <w:rPr>
          <w:rtl w:val="true"/>
        </w:rPr>
        <w:t xml:space="preserve">): </w:t>
      </w:r>
      <w:r>
        <w:rPr>
          <w:rtl w:val="true"/>
        </w:rPr>
        <w:t>الخمس فی هذا القسم بعد إخراج الغرامات و المصارف التی تصرف فی تحصیل النماء و الربح</w:t>
      </w:r>
      <w:r>
        <w:rPr>
          <w:rtl w:val="true"/>
        </w:rPr>
        <w:t>]</w:t>
      </w:r>
      <w:bookmarkEnd w:id="3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فی هذا القسم بعد إخراج الغرامات و المصارف التی تصرف فی تحصیل النماء و الربح، و إنّما یتعلّق بالفاضل عن مئونة السنة، أوّلها حال الشروع فی التکسّب فیمن عمله التکسّب و استفادة الفوائد تدریجیّاً یوماً فیوماً أو فی یوم دون یوم مثلًا، و فی غیره من حین حصول الربح و الفائدة، فالزارع یجعل مبدأ سنته حین حصول فائدة الزرع و وصولها بیده و هو عند تصفیة الغلّة و من کان عنده النخیل و الأشجار المثمرة یکون مبدأ سنته وقت اجتذاذ التمر و اقتطاف الثمرة، نعم لو باع الزرع أو الثمار قبل ذلک یکون زمان استفادته وقت البیع و تملّک الثمن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0" w:name="__RefHeading___Toc2568096_3650668749"/>
      <w:bookmarkStart w:id="3411" w:name="_Toc1557"/>
      <w:bookmarkEnd w:id="3410"/>
      <w:r>
        <w:rPr>
          <w:rtl w:val="true"/>
        </w:rPr>
        <w:t>[ (</w:t>
      </w:r>
      <w:r>
        <w:rPr>
          <w:rtl w:val="true"/>
        </w:rPr>
        <w:t xml:space="preserve">مسألة </w:t>
      </w:r>
      <w:r>
        <w:rPr/>
        <w:t>4</w:t>
      </w:r>
      <w:r>
        <w:rPr>
          <w:rtl w:val="true"/>
        </w:rPr>
        <w:t xml:space="preserve">): </w:t>
      </w:r>
      <w:r>
        <w:rPr>
          <w:rtl w:val="true"/>
        </w:rPr>
        <w:t>المراد بالمئونة ما ینفقه علیٰ نفسه و عیاله الواجبی النفقة و غیرهم</w:t>
      </w:r>
      <w:r>
        <w:rPr>
          <w:rtl w:val="true"/>
        </w:rPr>
        <w:t>]</w:t>
      </w:r>
      <w:bookmarkEnd w:id="341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بالمئونة ما ینفقه علیٰ نفسه و عیاله الواجبی النفقة و غیرهم، و منها ما یصرفه فی زیاراته و صدقاته و جوائزه و هدایاه و أضیافه و مصانعاته و الحقوق اللازمة له بنذر أو کفّارة و نحو ذلک، و ما یحتاج إلیه من دابّة أو جاریة أو عبد أو دار أو فرش أو کتب، بل و ما یحتاج إلیه لتزویج أولاده و اختتانهم، و ما یحتاج إلیه فی المرض و فی موت أحد عیاله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یعتبر فیه الاقتصار علی اللائق بحاله دون ما یعدّ سفهاً و سرفاً، فلو زاد علیٰ ذلک لا یحسب منها، بل الأحوط </w:t>
      </w:r>
      <w:r>
        <w:rPr>
          <w:rStyle w:val="FootnoteAnchor"/>
          <w:rtl w:val="true"/>
        </w:rPr>
        <w:footnoteReference w:id="986"/>
      </w:r>
      <w:r>
        <w:rPr>
          <w:rFonts w:ascii="Amiri" w:hAnsi="Amiri" w:eastAsia="Amiri" w:cs="Amiri"/>
          <w:color w:val="111111"/>
          <w:sz w:val="28"/>
          <w:sz w:val="28"/>
          <w:szCs w:val="28"/>
          <w:rtl w:val="true"/>
          <w:lang w:bidi="ar-SA"/>
        </w:rPr>
        <w:t>مراعاة الوسط من المئونة دون الفرد</w:t>
      </w:r>
      <w:bookmarkStart w:id="3412" w:name="pg1809_19304"/>
    </w:p>
    <w:p>
      <w:pPr>
        <w:pStyle w:val="BookText"/>
        <w:rPr/>
      </w:pPr>
      <w:bookmarkEnd w:id="3412"/>
      <w:r>
        <w:rPr>
          <w:rFonts w:ascii="IRNazanin" w:hAnsi="IRNazanin" w:eastAsia="IRNazanin"/>
          <w:color w:val="111111"/>
          <w:sz w:val="28"/>
          <w:sz w:val="28"/>
          <w:szCs w:val="28"/>
          <w:rtl w:val="true"/>
          <w:lang w:bidi="fa-IR"/>
        </w:rPr>
        <w:t>العالی منها الغیر اللائق بحاله و إن لم یعدّ سرفاً بل سعة، و إن کان الأقویٰ عدم وجوب مراعاته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المناط فی المئونة ما یصرف فعلًا لا مقدارها، فلو قتّر علیٰ نفسه أو تبرّع بها متبرّع لم یحسب له، بل لو وجب علیه فی أثناء السنة صرف المال فی شی‌ء کالمشی إلی الحجّ أو أداء دین أو کفّارة و نحو ذلک و لم یصرف فیه عصیاناً لم یحسب مقداره منها علی الأقویٰ</w:t>
      </w:r>
      <w:r>
        <w:rPr>
          <w:rFonts w:eastAsia="IRNazanin" w:cs="IRNazanin"/>
          <w:color w:val="111111"/>
          <w:sz w:val="28"/>
          <w:szCs w:val="28"/>
          <w:rtl w:val="true"/>
          <w:lang w:bidi="fa-IR"/>
        </w:rPr>
        <w:t>.</w:t>
      </w:r>
    </w:p>
    <w:p>
      <w:pPr>
        <w:pStyle w:val="Heading5"/>
        <w:numPr>
          <w:ilvl w:val="4"/>
          <w:numId w:val="1"/>
        </w:numPr>
        <w:rPr/>
      </w:pPr>
      <w:bookmarkStart w:id="3413" w:name="__RefHeading___Toc2568098_3650668749"/>
      <w:bookmarkStart w:id="3414" w:name="_Toc1558"/>
      <w:bookmarkEnd w:id="3413"/>
      <w:r>
        <w:rPr>
          <w:rtl w:val="true"/>
        </w:rPr>
        <w:t>[ (</w:t>
      </w:r>
      <w:r>
        <w:rPr>
          <w:rtl w:val="true"/>
        </w:rPr>
        <w:t xml:space="preserve">مسألة </w:t>
      </w:r>
      <w:r>
        <w:rPr/>
        <w:t>5</w:t>
      </w:r>
      <w:r>
        <w:rPr>
          <w:rtl w:val="true"/>
        </w:rPr>
        <w:t xml:space="preserve">): </w:t>
      </w:r>
      <w:r>
        <w:rPr>
          <w:rtl w:val="true"/>
        </w:rPr>
        <w:t>إذا کان له أنواع من الاستفادات من التجارة و الزرع و عمل الید</w:t>
      </w:r>
      <w:r>
        <w:rPr>
          <w:rtl w:val="true"/>
        </w:rPr>
        <w:t>]</w:t>
      </w:r>
      <w:bookmarkEnd w:id="3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أنواع من الاستفادات من التجارة و الزرع و عمل الید و غیر ذلک یلاحظ فی آخر السنة مجموع ما استفاده من الجمیع فیخمّس الفاضل عن مئونة سنته، و لا یلزم أن یلاحظ لکلّ فائدة سنته علیٰ حدة</w:t>
      </w:r>
      <w:r>
        <w:rPr>
          <w:rFonts w:eastAsia="IRNazanin" w:cs="IRNazanin"/>
          <w:color w:val="111111"/>
          <w:sz w:val="28"/>
          <w:szCs w:val="28"/>
          <w:rtl w:val="true"/>
          <w:lang w:bidi="fa-IR"/>
        </w:rPr>
        <w:t>.</w:t>
      </w:r>
    </w:p>
    <w:p>
      <w:pPr>
        <w:pStyle w:val="Heading5"/>
        <w:numPr>
          <w:ilvl w:val="4"/>
          <w:numId w:val="1"/>
        </w:numPr>
        <w:rPr/>
      </w:pPr>
      <w:bookmarkStart w:id="3415" w:name="__RefHeading___Toc2568100_3650668749"/>
      <w:bookmarkStart w:id="3416" w:name="_Toc1559"/>
      <w:bookmarkEnd w:id="3415"/>
      <w:r>
        <w:rPr>
          <w:rtl w:val="true"/>
        </w:rPr>
        <w:t>[ (</w:t>
      </w:r>
      <w:r>
        <w:rPr>
          <w:rtl w:val="true"/>
        </w:rPr>
        <w:t xml:space="preserve">مسألة </w:t>
      </w:r>
      <w:r>
        <w:rPr/>
        <w:t>6</w:t>
      </w:r>
      <w:r>
        <w:rPr>
          <w:rtl w:val="true"/>
        </w:rPr>
        <w:t xml:space="preserve">): </w:t>
      </w:r>
      <w:r>
        <w:rPr>
          <w:rtl w:val="true"/>
        </w:rPr>
        <w:t>الأحوط بل الأقویٰ عدم احتساب رأس المال مع الحاجة إلیه من المئونة</w:t>
      </w:r>
      <w:r>
        <w:rPr>
          <w:rtl w:val="true"/>
        </w:rPr>
        <w:t>]</w:t>
      </w:r>
      <w:bookmarkEnd w:id="3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بل الأقویٰ عدم احتساب </w:t>
      </w:r>
      <w:r>
        <w:rPr>
          <w:rStyle w:val="FootnoteAnchor"/>
          <w:rtl w:val="true"/>
        </w:rPr>
        <w:footnoteReference w:id="987"/>
      </w:r>
      <w:r>
        <w:rPr>
          <w:rFonts w:ascii="IRNazanin" w:hAnsi="IRNazanin" w:eastAsia="IRNazanin"/>
          <w:color w:val="111111"/>
          <w:sz w:val="28"/>
          <w:sz w:val="28"/>
          <w:szCs w:val="28"/>
          <w:rtl w:val="true"/>
          <w:lang w:bidi="fa-IR"/>
        </w:rPr>
        <w:t>رأس المال مع الحاجة إلیه من المئونة، فیجب علیه خمسه إذا کان من أرباح مکاسبه، فإذا لم یکن له مال فاستفاد بإجارة أو غیرها مقداراً و أراد أن یجعله رأس المال للتجارة و یتّجر به یجب علیه إخراج خمس ذلک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 الملک الذی یشتریه من الأرباح لیستفید من عائداته</w:t>
      </w:r>
      <w:r>
        <w:rPr>
          <w:rFonts w:eastAsia="IRNazanin" w:cs="IRNazanin"/>
          <w:color w:val="111111"/>
          <w:sz w:val="28"/>
          <w:szCs w:val="28"/>
          <w:rtl w:val="true"/>
          <w:lang w:bidi="fa-IR"/>
        </w:rPr>
        <w:t>.</w:t>
      </w:r>
    </w:p>
    <w:p>
      <w:pPr>
        <w:pStyle w:val="Heading5"/>
        <w:numPr>
          <w:ilvl w:val="4"/>
          <w:numId w:val="1"/>
        </w:numPr>
        <w:rPr/>
      </w:pPr>
      <w:bookmarkStart w:id="3417" w:name="__RefHeading___Toc2568102_3650668749"/>
      <w:bookmarkStart w:id="3418" w:name="_Toc1560"/>
      <w:bookmarkEnd w:id="3417"/>
      <w:r>
        <w:rPr>
          <w:rtl w:val="true"/>
        </w:rPr>
        <w:t>[ (</w:t>
      </w:r>
      <w:r>
        <w:rPr>
          <w:rtl w:val="true"/>
        </w:rPr>
        <w:t xml:space="preserve">مسألة </w:t>
      </w:r>
      <w:r>
        <w:rPr/>
        <w:t>7</w:t>
      </w:r>
      <w:r>
        <w:rPr>
          <w:rtl w:val="true"/>
        </w:rPr>
        <w:t xml:space="preserve">): </w:t>
      </w:r>
      <w:r>
        <w:rPr>
          <w:rtl w:val="true"/>
        </w:rPr>
        <w:t>إذا کان عنده أعیان من بستان أو حیوان مثلًا و لم یتعلّق بها الخمس</w:t>
      </w:r>
      <w:r>
        <w:rPr>
          <w:rtl w:val="true"/>
        </w:rPr>
        <w:t>]</w:t>
      </w:r>
      <w:bookmarkEnd w:id="3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أعیان من بستان أو حیوان مثلًا و لم یتعلّق بها الخمس کما إذا انتقل إلیه بالإرث أو تعلّق بها لکن أدّاه،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یبقیها للتکسّب بعینها کالأشجار الغیر المثمرة التی لا ینتفع إلّا بخشبها و ما یقطع من أغصانها فأبقاها للتکسّب بخشبها و أغصانها، و کالغنم الذکر الذی یبقیه لیکبر و یسمن فیکتسب بلحمه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للتکسّب بنمائها المنفصل کالأشجار المثمرة التی یکون المقصود الانتفاع بثمرها، و کالأغنام الأُنثی التی ینتفع بنتاجها و لبنها و صوفها 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للتعیّش بنمائها؛ بأن کان لأکل عیاله و أضیافه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الصورة الأُولیٰ فیتعلّق الخمس بنمائها المتّصل فضلًا عن المنفصل کالصوف و الشعر و الوبر، و فی الثانیة لا یتعلّق الخمس بنمائها المتّصل و إنّما یتعلّق بنمائها المنفصل، کما أنّ فی الثالثة یتعلّق بما زاد علیٰ ما صرف فی أمر معیشتها</w:t>
      </w:r>
      <w:r>
        <w:rPr>
          <w:rFonts w:eastAsia="IRNazanin" w:cs="IRNazanin"/>
          <w:color w:val="111111"/>
          <w:sz w:val="28"/>
          <w:szCs w:val="28"/>
          <w:rtl w:val="true"/>
          <w:lang w:bidi="fa-IR"/>
        </w:rPr>
        <w:t>.</w:t>
      </w:r>
    </w:p>
    <w:p>
      <w:pPr>
        <w:pStyle w:val="Heading5"/>
        <w:numPr>
          <w:ilvl w:val="4"/>
          <w:numId w:val="1"/>
        </w:numPr>
        <w:rPr/>
      </w:pPr>
      <w:bookmarkStart w:id="3419" w:name="__RefHeading___Toc2568104_3650668749"/>
      <w:bookmarkStart w:id="3420" w:name="_Toc1561"/>
      <w:bookmarkEnd w:id="3419"/>
      <w:r>
        <w:rPr>
          <w:rtl w:val="true"/>
        </w:rPr>
        <w:t>[ (</w:t>
      </w:r>
      <w:r>
        <w:rPr>
          <w:rtl w:val="true"/>
        </w:rPr>
        <w:t xml:space="preserve">مسألة </w:t>
      </w:r>
      <w:r>
        <w:rPr/>
        <w:t>8</w:t>
      </w:r>
      <w:r>
        <w:rPr>
          <w:rtl w:val="true"/>
        </w:rPr>
        <w:t xml:space="preserve">): </w:t>
      </w:r>
      <w:r>
        <w:rPr>
          <w:rtl w:val="true"/>
        </w:rPr>
        <w:t>لو اتّجر برأس ماله فی السنة فی نوع واحد من التجارة فباع و اشتریٰ مراراً</w:t>
      </w:r>
      <w:r>
        <w:rPr>
          <w:rtl w:val="true"/>
        </w:rPr>
        <w:t>]</w:t>
      </w:r>
      <w:bookmarkEnd w:id="342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اتّجر برأس ماله فی السنة فی نوع واحد من التجارة فباع و اشتریٰ مراراً</w:t>
      </w:r>
      <w:bookmarkStart w:id="3421" w:name="pg1809_19306"/>
    </w:p>
    <w:p>
      <w:pPr>
        <w:pStyle w:val="BookText"/>
        <w:rPr/>
      </w:pPr>
      <w:bookmarkEnd w:id="3421"/>
      <w:r>
        <w:rPr>
          <w:rFonts w:ascii="IRNazanin" w:hAnsi="IRNazanin" w:eastAsia="IRNazanin"/>
          <w:color w:val="111111"/>
          <w:sz w:val="28"/>
          <w:sz w:val="28"/>
          <w:szCs w:val="28"/>
          <w:rtl w:val="true"/>
          <w:lang w:bidi="fa-IR"/>
        </w:rPr>
        <w:t>فخسر فی بعضها و ربح فی بعض آخر یجبر الخسران بالربح، فإذا تساویا فلا ربح و إذا زاد الربح فقد ربح فی تلک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اتّجر به أنواعاً من التجارة فالأحوط </w:t>
      </w:r>
      <w:r>
        <w:rPr>
          <w:rStyle w:val="FootnoteAnchor"/>
          <w:rtl w:val="true"/>
        </w:rPr>
        <w:footnoteReference w:id="988"/>
      </w:r>
      <w:r>
        <w:rPr>
          <w:rFonts w:ascii="IRNazanin" w:hAnsi="IRNazanin" w:eastAsia="IRNazanin"/>
          <w:color w:val="111111"/>
          <w:sz w:val="28"/>
          <w:sz w:val="28"/>
          <w:szCs w:val="28"/>
          <w:rtl w:val="true"/>
          <w:lang w:bidi="fa-IR"/>
        </w:rPr>
        <w:t>عدم جبران خسارة بعضها بربح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بعدم الجبران فیما لو کان له تجارة و زراعة فخسر فی إحداهما و ربح فی أُخری، بل عدم الجبر هاهنا هو الأقویٰ</w:t>
      </w:r>
      <w:r>
        <w:rPr>
          <w:rFonts w:eastAsia="IRNazanin" w:cs="IRNazanin"/>
          <w:color w:val="111111"/>
          <w:sz w:val="28"/>
          <w:szCs w:val="28"/>
          <w:rtl w:val="true"/>
          <w:lang w:bidi="fa-IR"/>
        </w:rPr>
        <w:t>.</w:t>
      </w:r>
    </w:p>
    <w:p>
      <w:pPr>
        <w:pStyle w:val="Heading5"/>
        <w:numPr>
          <w:ilvl w:val="4"/>
          <w:numId w:val="1"/>
        </w:numPr>
        <w:rPr/>
      </w:pPr>
      <w:bookmarkStart w:id="3422" w:name="__RefHeading___Toc2568106_3650668749"/>
      <w:bookmarkStart w:id="3423" w:name="_Toc1562"/>
      <w:bookmarkEnd w:id="3422"/>
      <w:r>
        <w:rPr>
          <w:rtl w:val="true"/>
        </w:rPr>
        <w:t>[ (</w:t>
      </w:r>
      <w:r>
        <w:rPr>
          <w:rtl w:val="true"/>
        </w:rPr>
        <w:t xml:space="preserve">مسألة </w:t>
      </w:r>
      <w:r>
        <w:rPr/>
        <w:t>9</w:t>
      </w:r>
      <w:r>
        <w:rPr>
          <w:rtl w:val="true"/>
        </w:rPr>
        <w:t xml:space="preserve">): </w:t>
      </w:r>
      <w:r>
        <w:rPr>
          <w:rtl w:val="true"/>
        </w:rPr>
        <w:t>إذا اشتریٰ لمئونة سنته من أرباحه بعض الأشیاء کالحنطة و الشعیر و الدهن و الفحم و غیر ذلک و زاد منها مقدار فی آخر السنة</w:t>
      </w:r>
      <w:r>
        <w:rPr>
          <w:rtl w:val="true"/>
        </w:rPr>
        <w:t>]</w:t>
      </w:r>
      <w:bookmarkEnd w:id="3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لمئونة سنته من أرباحه بعض الأشیاء کالحنطة و الشعیر و الدهن و الفحم و غیر ذلک و زاد منها مقدار فی آخر السنة یجب إخراج خمسه قلیلًا کان أو کثیراً، و أمّا إذا اشتریٰ فرشاً أو فرساً أو ظرفاً و نحوها ممّا ینتفع بها مع بقاء عینها فالظاهر عدم وجوب الخمس فیها</w:t>
      </w:r>
      <w:r>
        <w:rPr>
          <w:rFonts w:eastAsia="IRNazanin" w:cs="IRNazanin"/>
          <w:color w:val="111111"/>
          <w:sz w:val="28"/>
          <w:szCs w:val="28"/>
          <w:rtl w:val="true"/>
          <w:lang w:bidi="fa-IR"/>
        </w:rPr>
        <w:t>.</w:t>
      </w:r>
    </w:p>
    <w:p>
      <w:pPr>
        <w:pStyle w:val="Heading5"/>
        <w:numPr>
          <w:ilvl w:val="4"/>
          <w:numId w:val="1"/>
        </w:numPr>
        <w:rPr/>
      </w:pPr>
      <w:bookmarkStart w:id="3424" w:name="__RefHeading___Toc2568108_3650668749"/>
      <w:bookmarkStart w:id="3425" w:name="_Toc1563"/>
      <w:bookmarkEnd w:id="3424"/>
      <w:r>
        <w:rPr>
          <w:rtl w:val="true"/>
        </w:rPr>
        <w:t>[ (</w:t>
      </w:r>
      <w:r>
        <w:rPr>
          <w:rtl w:val="true"/>
        </w:rPr>
        <w:t xml:space="preserve">مسألة </w:t>
      </w:r>
      <w:r>
        <w:rPr/>
        <w:t>10</w:t>
      </w:r>
      <w:r>
        <w:rPr>
          <w:rtl w:val="true"/>
        </w:rPr>
        <w:t xml:space="preserve">): </w:t>
      </w:r>
      <w:r>
        <w:rPr>
          <w:rtl w:val="true"/>
        </w:rPr>
        <w:t>إذا احتاج إلیٰ دار لسکناه مثلًا و لا یمکن شراؤها إلّا بإبقاء فضلة سنین متعدّدة</w:t>
      </w:r>
      <w:r>
        <w:rPr>
          <w:rtl w:val="true"/>
        </w:rPr>
        <w:t>]</w:t>
      </w:r>
      <w:bookmarkEnd w:id="342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احتاج إلیٰ دار لسکناه مثلًا و لا یمکن شراؤها إلّا بإبقاء فضلة سنین متعدّدة أو احتاج إلیٰ جمع صوف غنمه من سنین متعدّدة لأجل فراشه أو لباسه المحتاج إلیها، فالمقدار الذی یکمل به ثمن الدار فی السنة التی یشتریها و المقدار من الصوف الذی یکمل به الفراش أو اللباس فی السنة الأخیرة لا إشکال فی کونه من المئونة فلا یجب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أحرزه فی السنین السابقة ففی عدّه من المئونة إشکال </w:t>
      </w:r>
      <w:r>
        <w:rPr>
          <w:rStyle w:val="FootnoteAnchor"/>
          <w:rtl w:val="true"/>
        </w:rPr>
        <w:footnoteReference w:id="989"/>
      </w:r>
      <w:r>
        <w:rPr>
          <w:rFonts w:ascii="IRNazanin" w:hAnsi="IRNazanin" w:eastAsia="IRNazanin"/>
          <w:color w:val="111111"/>
          <w:sz w:val="28"/>
          <w:sz w:val="28"/>
          <w:szCs w:val="28"/>
          <w:rtl w:val="true"/>
          <w:lang w:bidi="fa-IR"/>
        </w:rPr>
        <w:t>فلا یترک الاحتیاط</w:t>
      </w:r>
      <w:r>
        <w:rPr>
          <w:rFonts w:eastAsia="IRNazanin" w:cs="IRNazanin"/>
          <w:color w:val="111111"/>
          <w:sz w:val="28"/>
          <w:szCs w:val="28"/>
          <w:rtl w:val="true"/>
          <w:lang w:bidi="fa-IR"/>
        </w:rPr>
        <w:t>.</w:t>
      </w:r>
      <w:bookmarkStart w:id="3426" w:name="pg1809_19308"/>
    </w:p>
    <w:p>
      <w:pPr>
        <w:pStyle w:val="Heading5"/>
        <w:numPr>
          <w:ilvl w:val="4"/>
          <w:numId w:val="1"/>
        </w:numPr>
        <w:rPr/>
      </w:pPr>
      <w:bookmarkStart w:id="3427" w:name="__RefHeading___Toc2568110_3650668749"/>
      <w:bookmarkStart w:id="3428" w:name="_Toc1564"/>
      <w:bookmarkEnd w:id="3426"/>
      <w:bookmarkEnd w:id="3427"/>
      <w:r>
        <w:rPr>
          <w:rtl w:val="true"/>
        </w:rPr>
        <w:t>[ (</w:t>
      </w:r>
      <w:r>
        <w:rPr>
          <w:rtl w:val="true"/>
        </w:rPr>
        <w:t xml:space="preserve">مسألة </w:t>
      </w:r>
      <w:r>
        <w:rPr/>
        <w:t>11</w:t>
      </w:r>
      <w:r>
        <w:rPr>
          <w:rtl w:val="true"/>
        </w:rPr>
        <w:t xml:space="preserve">): </w:t>
      </w:r>
      <w:r>
        <w:rPr>
          <w:rtl w:val="true"/>
        </w:rPr>
        <w:t>لو مات فی أثناء حول الربح سقط اعتبار إخراج مئونة بقیّة السنة علیٰ فرض حیاته</w:t>
      </w:r>
      <w:r>
        <w:rPr>
          <w:rtl w:val="true"/>
        </w:rPr>
        <w:t>]</w:t>
      </w:r>
      <w:bookmarkEnd w:id="3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فی أثناء حول الربح سقط اعتبار إخراج مئونة بقیّة السنة علیٰ فرض حیاته، و یخرج خمس ما فضل عن مئونته إلیٰ زمان الموت</w:t>
      </w:r>
      <w:r>
        <w:rPr>
          <w:rFonts w:eastAsia="IRNazanin" w:cs="IRNazanin"/>
          <w:color w:val="111111"/>
          <w:sz w:val="28"/>
          <w:szCs w:val="28"/>
          <w:rtl w:val="true"/>
          <w:lang w:bidi="fa-IR"/>
        </w:rPr>
        <w:t>.</w:t>
      </w:r>
    </w:p>
    <w:p>
      <w:pPr>
        <w:pStyle w:val="Heading5"/>
        <w:numPr>
          <w:ilvl w:val="4"/>
          <w:numId w:val="1"/>
        </w:numPr>
        <w:rPr/>
      </w:pPr>
      <w:bookmarkStart w:id="3429" w:name="__RefHeading___Toc2568112_3650668749"/>
      <w:bookmarkStart w:id="3430" w:name="_Toc1565"/>
      <w:bookmarkEnd w:id="3429"/>
      <w:r>
        <w:rPr>
          <w:rtl w:val="true"/>
        </w:rPr>
        <w:t>[ (</w:t>
      </w:r>
      <w:r>
        <w:rPr>
          <w:rtl w:val="true"/>
        </w:rPr>
        <w:t xml:space="preserve">مسألة </w:t>
      </w:r>
      <w:r>
        <w:rPr/>
        <w:t>12</w:t>
      </w:r>
      <w:r>
        <w:rPr>
          <w:rtl w:val="true"/>
        </w:rPr>
        <w:t xml:space="preserve">): </w:t>
      </w:r>
      <w:r>
        <w:rPr>
          <w:rtl w:val="true"/>
        </w:rPr>
        <w:t>لو کان عنده مال آخر لا خمس فیه، فالأقویٰ جواز إخراج المئونة من الربح دون المخمّس خاصّة</w:t>
      </w:r>
      <w:r>
        <w:rPr>
          <w:rtl w:val="true"/>
        </w:rPr>
        <w:t>]</w:t>
      </w:r>
      <w:bookmarkEnd w:id="3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عنده مال آخر لا خمس فیه، فالأقویٰ جواز إخراج المئونة من الربح دون المخمّس خاصّة و دون الإخراج منهما علی التوزیع و إن کان هو الأحوط سیّما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قام بمئونته غیره لوجوب أو تبرّع لم تحسب المئونة و وجب الخمس من الأصل</w:t>
      </w:r>
      <w:r>
        <w:rPr>
          <w:rFonts w:eastAsia="IRNazanin" w:cs="IRNazanin"/>
          <w:color w:val="111111"/>
          <w:sz w:val="28"/>
          <w:szCs w:val="28"/>
          <w:rtl w:val="true"/>
          <w:lang w:bidi="fa-IR"/>
        </w:rPr>
        <w:t>.</w:t>
      </w:r>
    </w:p>
    <w:p>
      <w:pPr>
        <w:pStyle w:val="Heading5"/>
        <w:numPr>
          <w:ilvl w:val="4"/>
          <w:numId w:val="1"/>
        </w:numPr>
        <w:rPr/>
      </w:pPr>
      <w:bookmarkStart w:id="3431" w:name="__RefHeading___Toc2568114_3650668749"/>
      <w:bookmarkStart w:id="3432" w:name="_Toc1566"/>
      <w:bookmarkEnd w:id="3431"/>
      <w:r>
        <w:rPr>
          <w:rtl w:val="true"/>
        </w:rPr>
        <w:t>[ (</w:t>
      </w:r>
      <w:r>
        <w:rPr>
          <w:rtl w:val="true"/>
        </w:rPr>
        <w:t xml:space="preserve">مسألة </w:t>
      </w:r>
      <w:r>
        <w:rPr/>
        <w:t>13</w:t>
      </w:r>
      <w:r>
        <w:rPr>
          <w:rtl w:val="true"/>
        </w:rPr>
        <w:t xml:space="preserve">): </w:t>
      </w:r>
      <w:r>
        <w:rPr>
          <w:rtl w:val="true"/>
        </w:rPr>
        <w:t>إذا استقرض من ابتداء سنته لمئونته أو اشتریٰ لها بعض الأشیاء فی الذمّة</w:t>
      </w:r>
      <w:r>
        <w:rPr>
          <w:rtl w:val="true"/>
        </w:rPr>
        <w:t>]</w:t>
      </w:r>
      <w:bookmarkEnd w:id="3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استقرض من ابتداء سنته لمئونته أو اشتریٰ لها بعض الأشیاء فی الذمّة أو صرف بعض رأس المال فیها قبل حصول الربح یجوز له وضع مقداره من الربح</w:t>
      </w:r>
      <w:r>
        <w:rPr>
          <w:rFonts w:eastAsia="IRNazanin" w:cs="IRNazanin"/>
          <w:color w:val="111111"/>
          <w:sz w:val="28"/>
          <w:szCs w:val="28"/>
          <w:rtl w:val="true"/>
          <w:lang w:bidi="fa-IR"/>
        </w:rPr>
        <w:t>.</w:t>
      </w:r>
    </w:p>
    <w:p>
      <w:pPr>
        <w:pStyle w:val="Heading5"/>
        <w:numPr>
          <w:ilvl w:val="4"/>
          <w:numId w:val="1"/>
        </w:numPr>
        <w:rPr/>
      </w:pPr>
      <w:bookmarkStart w:id="3433" w:name="__RefHeading___Toc2568116_3650668749"/>
      <w:bookmarkStart w:id="3434" w:name="_Toc1567"/>
      <w:bookmarkEnd w:id="3433"/>
      <w:r>
        <w:rPr>
          <w:rtl w:val="true"/>
        </w:rPr>
        <w:t>[ (</w:t>
      </w:r>
      <w:r>
        <w:rPr>
          <w:rtl w:val="true"/>
        </w:rPr>
        <w:t xml:space="preserve">مسألة </w:t>
      </w:r>
      <w:r>
        <w:rPr/>
        <w:t>14</w:t>
      </w:r>
      <w:r>
        <w:rPr>
          <w:rtl w:val="true"/>
        </w:rPr>
        <w:t xml:space="preserve">): </w:t>
      </w:r>
      <w:r>
        <w:rPr>
          <w:rtl w:val="true"/>
        </w:rPr>
        <w:t>الدین الحاصل قهراً مثل قیم المتلفات و أُروش الجنایات و یلحق بها النذور و الکفّارات</w:t>
      </w:r>
      <w:r>
        <w:rPr>
          <w:rtl w:val="true"/>
        </w:rPr>
        <w:t>]</w:t>
      </w:r>
      <w:bookmarkEnd w:id="3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الحاصل قهراً مثل قیم المتلفات و أُروش الجنایات و یلحق بها النذور و الکفّارات یکون أداؤه فی کلّ سنة من مئونة تلک السنة، فیوضع من فوائدها و أرباحها کسائر المؤن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الحاصل بالاستقراض و النسیئة و غیر ذلک، فإن کان لأجل مئونة سنة الربح فیوضع منها أیضاً، بل لو لم یؤدّه أیضاً یجوز له وضع مقداره منها کما عرفت فی المسألة السابقة، و أمّا إن کان لأجل مئونة السنوات السابقة فأدّاه فی السنة اللاحقة فکون أدائه من مئونة تلک السنة حتّی یوضع من فوائدها و أرباحها محلّ تأمّل </w:t>
      </w:r>
      <w:r>
        <w:rPr>
          <w:rStyle w:val="FootnoteAnchor"/>
          <w:rtl w:val="true"/>
        </w:rPr>
        <w:footnoteReference w:id="990"/>
      </w:r>
      <w:r>
        <w:rPr>
          <w:rFonts w:ascii="IRNazanin" w:hAnsi="IRNazanin" w:eastAsia="IRNazanin"/>
          <w:color w:val="111111"/>
          <w:sz w:val="28"/>
          <w:sz w:val="28"/>
          <w:szCs w:val="28"/>
          <w:rtl w:val="true"/>
          <w:lang w:bidi="fa-IR"/>
        </w:rPr>
        <w:t>و إشکال فلا یترک الاحتیاط</w:t>
      </w:r>
      <w:r>
        <w:rPr>
          <w:rFonts w:eastAsia="IRNazanin" w:cs="IRNazanin"/>
          <w:color w:val="111111"/>
          <w:sz w:val="28"/>
          <w:szCs w:val="28"/>
          <w:rtl w:val="true"/>
          <w:lang w:bidi="fa-IR"/>
        </w:rPr>
        <w:t>.</w:t>
      </w:r>
    </w:p>
    <w:p>
      <w:pPr>
        <w:pStyle w:val="Heading5"/>
        <w:numPr>
          <w:ilvl w:val="4"/>
          <w:numId w:val="1"/>
        </w:numPr>
        <w:rPr/>
      </w:pPr>
      <w:bookmarkStart w:id="3435" w:name="__RefHeading___Toc2568118_3650668749"/>
      <w:bookmarkStart w:id="3436" w:name="_Toc1568"/>
      <w:bookmarkEnd w:id="3435"/>
      <w:r>
        <w:rPr>
          <w:rtl w:val="true"/>
        </w:rPr>
        <w:t>[ (</w:t>
      </w:r>
      <w:r>
        <w:rPr>
          <w:rtl w:val="true"/>
        </w:rPr>
        <w:t xml:space="preserve">مسألة </w:t>
      </w:r>
      <w:r>
        <w:rPr/>
        <w:t>15</w:t>
      </w:r>
      <w:r>
        <w:rPr>
          <w:rtl w:val="true"/>
        </w:rPr>
        <w:t xml:space="preserve">): </w:t>
      </w:r>
      <w:r>
        <w:rPr>
          <w:rtl w:val="true"/>
        </w:rPr>
        <w:t>إذا استطاع فی عام الربح فإذا مشیٰ إلی الحجّ فی تلک السنة یکون مصارفه من المئونة</w:t>
      </w:r>
      <w:r>
        <w:rPr>
          <w:rtl w:val="true"/>
        </w:rPr>
        <w:t>]</w:t>
      </w:r>
      <w:bookmarkEnd w:id="343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استطاع فی عام الربح فإذا مشیٰ إلی الحجّ فی تلک السنة یکون مصارفه من المئونة فلا یتعلّق بها الخمس، و إذا أخّر الحجّ لعذر أو عصیاناً یجب إخراج خمسها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حصلت الاستطاعة من أرباح سنین متعدّدة وجب الخمس فیما سبق علیٰ عام الاستطاعة، و أمّا المقدار المتمّم لها فی تلک السنة فلا یجب خمسه إذا صرفه فی المشی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ما مرّ فیما سبق من أنّه إذا کان عنده مال مخمّس أو مال لا خمس فیه لا یتعیّن إخراج المئونة من ذلک المال و لا التوزیع، بل یجوز إخراج المئونة من الربح، فله أن یخرج جمیع مصارف الحجّ من أرباح السنة الأخیرة؛ مثلًا إذا کان مصارف الحجّ مائة و قد حصل عنده من فضلة السنین السابقة ثمانون و استفاد فی السنة الأخیرة مائة یجوز له</w:t>
      </w:r>
      <w:bookmarkStart w:id="3437" w:name="pg1809_19310"/>
    </w:p>
    <w:p>
      <w:pPr>
        <w:pStyle w:val="BookText"/>
        <w:rPr/>
      </w:pPr>
      <w:bookmarkEnd w:id="3437"/>
      <w:r>
        <w:rPr>
          <w:rFonts w:ascii="IRNazanin" w:hAnsi="IRNazanin" w:eastAsia="IRNazanin"/>
          <w:color w:val="111111"/>
          <w:sz w:val="28"/>
          <w:sz w:val="28"/>
          <w:szCs w:val="28"/>
          <w:rtl w:val="true"/>
          <w:lang w:bidi="fa-IR"/>
        </w:rPr>
        <w:t>أن یصرف جمیع ما استفاده فی السنة الأخیرة فی الحجّ، و لا یخرج خمسها و لا یتعیّن علیه ضمّ العشرین منه إلی الثمانین الحاصلة له من فضلة السنین السابقة و إخراج خمس الباقی و هو الثمانون</w:t>
      </w:r>
      <w:r>
        <w:rPr>
          <w:rFonts w:eastAsia="IRNazanin" w:cs="IRNazanin"/>
          <w:color w:val="111111"/>
          <w:sz w:val="28"/>
          <w:szCs w:val="28"/>
          <w:rtl w:val="true"/>
          <w:lang w:bidi="fa-IR"/>
        </w:rPr>
        <w:t>.</w:t>
      </w:r>
    </w:p>
    <w:p>
      <w:pPr>
        <w:pStyle w:val="Heading5"/>
        <w:numPr>
          <w:ilvl w:val="4"/>
          <w:numId w:val="1"/>
        </w:numPr>
        <w:rPr/>
      </w:pPr>
      <w:bookmarkStart w:id="3438" w:name="__RefHeading___Toc2568120_3650668749"/>
      <w:bookmarkStart w:id="3439" w:name="_Toc1569"/>
      <w:bookmarkEnd w:id="3438"/>
      <w:r>
        <w:rPr>
          <w:rtl w:val="true"/>
        </w:rPr>
        <w:t>[ (</w:t>
      </w:r>
      <w:r>
        <w:rPr>
          <w:rtl w:val="true"/>
        </w:rPr>
        <w:t xml:space="preserve">مسألة </w:t>
      </w:r>
      <w:r>
        <w:rPr/>
        <w:t>16</w:t>
      </w:r>
      <w:r>
        <w:rPr>
          <w:rtl w:val="true"/>
        </w:rPr>
        <w:t xml:space="preserve">): </w:t>
      </w:r>
      <w:r>
        <w:rPr>
          <w:rtl w:val="true"/>
        </w:rPr>
        <w:t>الخمس متعلّق بالعین</w:t>
      </w:r>
      <w:r>
        <w:rPr>
          <w:rtl w:val="true"/>
        </w:rPr>
        <w:t>]</w:t>
      </w:r>
      <w:bookmarkEnd w:id="3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متعلّق بالعین، و إن تخیّر </w:t>
      </w:r>
      <w:r>
        <w:rPr>
          <w:rStyle w:val="FootnoteAnchor"/>
          <w:rtl w:val="true"/>
        </w:rPr>
        <w:footnoteReference w:id="991"/>
      </w:r>
      <w:r>
        <w:rPr>
          <w:rFonts w:ascii="IRNazanin" w:hAnsi="IRNazanin" w:eastAsia="IRNazanin"/>
          <w:color w:val="111111"/>
          <w:sz w:val="28"/>
          <w:sz w:val="28"/>
          <w:szCs w:val="28"/>
          <w:rtl w:val="true"/>
          <w:lang w:bidi="fa-IR"/>
        </w:rPr>
        <w:t>المالک بین دفعه من العین أو من مال آخر و لیس له أن ینقل الخمس إلیٰ ذمّته ثمّ التصرّف فی المال الذی تعلّق 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 ذلک بالمصالحة مع الحاکم الشرعی أو وکیله فیجوز حینئذٍ التصرّف فیه</w:t>
      </w:r>
      <w:r>
        <w:rPr>
          <w:rFonts w:eastAsia="IRNazanin" w:cs="IRNazanin"/>
          <w:color w:val="111111"/>
          <w:sz w:val="28"/>
          <w:szCs w:val="28"/>
          <w:rtl w:val="true"/>
          <w:lang w:bidi="fa-IR"/>
        </w:rPr>
        <w:t>.</w:t>
      </w:r>
    </w:p>
    <w:p>
      <w:pPr>
        <w:pStyle w:val="Heading5"/>
        <w:numPr>
          <w:ilvl w:val="4"/>
          <w:numId w:val="1"/>
        </w:numPr>
        <w:rPr/>
      </w:pPr>
      <w:bookmarkStart w:id="3440" w:name="__RefHeading___Toc2568122_3650668749"/>
      <w:bookmarkStart w:id="3441" w:name="_Toc1570"/>
      <w:bookmarkEnd w:id="3440"/>
      <w:r>
        <w:rPr>
          <w:rtl w:val="true"/>
        </w:rPr>
        <w:t>[ (</w:t>
      </w:r>
      <w:r>
        <w:rPr>
          <w:rtl w:val="true"/>
        </w:rPr>
        <w:t xml:space="preserve">مسألة </w:t>
      </w:r>
      <w:r>
        <w:rPr/>
        <w:t>17</w:t>
      </w:r>
      <w:r>
        <w:rPr>
          <w:rtl w:val="true"/>
        </w:rPr>
        <w:t xml:space="preserve">): </w:t>
      </w:r>
      <w:r>
        <w:rPr>
          <w:rtl w:val="true"/>
        </w:rPr>
        <w:t>لا یعتبر الحول فی وجوب الخمس فی الأرباح و غیرها</w:t>
      </w:r>
      <w:r>
        <w:rPr>
          <w:rtl w:val="true"/>
        </w:rPr>
        <w:t>]</w:t>
      </w:r>
      <w:bookmarkEnd w:id="3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الحول فی وجوب الخمس فی الأرباح و غیرها و إن جاز التأخیر إلیه فی الأرباح احتیاطاً للمکتسب، و لو أراد التعجیل جاز له، و لیس له الرجوع بعد ذلک لو بان عدم الخمس مع تلف العین و عدم العلم </w:t>
      </w:r>
      <w:r>
        <w:rPr>
          <w:rStyle w:val="FootnoteAnchor"/>
          <w:rtl w:val="true"/>
        </w:rPr>
        <w:footnoteReference w:id="992"/>
      </w:r>
      <w:r>
        <w:rPr>
          <w:rFonts w:ascii="IRNazanin" w:hAnsi="IRNazanin" w:eastAsia="IRNazanin"/>
          <w:color w:val="111111"/>
          <w:sz w:val="28"/>
          <w:sz w:val="28"/>
          <w:szCs w:val="28"/>
          <w:rtl w:val="true"/>
          <w:lang w:bidi="fa-IR"/>
        </w:rPr>
        <w:t>بالحال</w:t>
      </w:r>
      <w:r>
        <w:rPr>
          <w:rFonts w:eastAsia="IRNazanin" w:cs="IRNazanin"/>
          <w:color w:val="111111"/>
          <w:sz w:val="28"/>
          <w:szCs w:val="28"/>
          <w:rtl w:val="true"/>
          <w:lang w:bidi="fa-IR"/>
        </w:rPr>
        <w:t>.</w:t>
      </w:r>
    </w:p>
    <w:p>
      <w:pPr>
        <w:pStyle w:val="Heading4"/>
        <w:numPr>
          <w:ilvl w:val="3"/>
          <w:numId w:val="1"/>
        </w:numPr>
        <w:rPr/>
      </w:pPr>
      <w:bookmarkStart w:id="3442" w:name="__RefHeading___Toc2568124_3650668749"/>
      <w:bookmarkStart w:id="3443" w:name="_Toc1571"/>
      <w:bookmarkEnd w:id="3442"/>
      <w:r>
        <w:rPr>
          <w:rtl w:val="true"/>
        </w:rPr>
        <w:t>[</w:t>
      </w:r>
      <w:r>
        <w:rPr>
          <w:rtl w:val="true"/>
        </w:rPr>
        <w:t>السادس</w:t>
      </w:r>
      <w:r>
        <w:rPr>
          <w:rtl w:val="true"/>
        </w:rPr>
        <w:t xml:space="preserve">: </w:t>
      </w:r>
      <w:r>
        <w:rPr>
          <w:rtl w:val="true"/>
        </w:rPr>
        <w:t>الأرض التی اشتراها الذمّی من مسلم</w:t>
      </w:r>
      <w:r>
        <w:rPr>
          <w:rtl w:val="true"/>
        </w:rPr>
        <w:t>]</w:t>
      </w:r>
      <w:bookmarkEnd w:id="3443"/>
    </w:p>
    <w:p>
      <w:pPr>
        <w:pStyle w:val="Heading5"/>
        <w:numPr>
          <w:ilvl w:val="4"/>
          <w:numId w:val="1"/>
        </w:numPr>
        <w:rPr/>
      </w:pPr>
      <w:bookmarkStart w:id="3444" w:name="__RefHeading___Toc2568126_3650668749"/>
      <w:bookmarkStart w:id="3445" w:name="_Toc1572"/>
      <w:bookmarkEnd w:id="3444"/>
      <w:r>
        <w:rPr>
          <w:rtl w:val="true"/>
        </w:rPr>
        <w:t>اشارة</w:t>
      </w:r>
      <w:bookmarkEnd w:id="344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التی اشتراها الذمّی من مسلم فإنّه یجب علی الذمّی خمسها، و یؤخذ منه قهراً إن لم یدفعه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کونها أرض مزرع و کونها أرض بستان أو دار أو حمّام أو دکّان أو خان أو غیرها، لکن إذا تعلّق البیع و الشراء بأرضها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تعلّق بها تبعاً بأن کان المبیع الدار و الحمّام مثلًا ففی تعلّق الخمس بأرضها تأمّل </w:t>
      </w:r>
      <w:r>
        <w:rPr>
          <w:rStyle w:val="FootnoteAnchor"/>
          <w:rtl w:val="true"/>
        </w:rPr>
        <w:footnoteReference w:id="993"/>
      </w:r>
      <w:r>
        <w:rPr>
          <w:rFonts w:ascii="IRNazanin" w:hAnsi="IRNazanin" w:eastAsia="IRNazanin"/>
          <w:color w:val="111111"/>
          <w:sz w:val="28"/>
          <w:sz w:val="28"/>
          <w:szCs w:val="28"/>
          <w:rtl w:val="true"/>
          <w:lang w:bidi="fa-IR"/>
        </w:rPr>
        <w:t>و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یختصّ وجوب الخمس بما إذا انتقلت إلیه بالشراء أو یعمّ سائر المعاوضات؟ فیه تردّد، و الأحوط اشتراط أداء الخمس علیه فی عقد المعاوضة فإنّه لا بأس باشتراط أدائه إلیٰ أهله فی مورد عدم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یصحّ اشتراط سقوطه فی مورد ثبوته، فلو اشترط الذمّی فی ضمن عقد المبایعة مع المسلم عدم الخمس لم یصحّ، و کذا لو اشترط کونه 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اشترط علیه أن یعطی مقداره عنه صحّ علیٰ إشکال </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باعها من ذمّی آخر أو مسلم و لو الأصلی، بل و لو ردّها إلی البائع المسلم بإقالة أو خیار </w:t>
      </w:r>
      <w:r>
        <w:rPr>
          <w:rStyle w:val="FootnoteAnchor"/>
          <w:rtl w:val="true"/>
        </w:rPr>
        <w:footnoteReference w:id="995"/>
      </w:r>
      <w:bookmarkStart w:id="3446" w:name="pg1809_19312"/>
    </w:p>
    <w:p>
      <w:pPr>
        <w:pStyle w:val="BookText"/>
        <w:rPr/>
      </w:pPr>
      <w:bookmarkEnd w:id="3446"/>
      <w:r>
        <w:rPr>
          <w:rFonts w:ascii="IRNazanin" w:hAnsi="IRNazanin" w:eastAsia="IRNazanin"/>
          <w:color w:val="111111"/>
          <w:sz w:val="28"/>
          <w:sz w:val="28"/>
          <w:szCs w:val="28"/>
          <w:rtl w:val="true"/>
          <w:lang w:bidi="fa-IR"/>
        </w:rPr>
        <w:t>لم یسقط عنه الخمس بذلک، کما أنّه لا یسقط عنه لو أسلم بعد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مصرف هذا الخمس مصرف غیره علی الأصحّ، نعم لا نصاب له و لا نیّة حتّی علی الحاکم لا حین الأخذ و لا حین الدفع علی الأصحّ</w:t>
      </w:r>
      <w:r>
        <w:rPr>
          <w:rFonts w:eastAsia="IRNazanin" w:cs="IRNazanin"/>
          <w:color w:val="111111"/>
          <w:sz w:val="28"/>
          <w:szCs w:val="28"/>
          <w:rtl w:val="true"/>
          <w:lang w:bidi="fa-IR"/>
        </w:rPr>
        <w:t>.</w:t>
      </w:r>
    </w:p>
    <w:p>
      <w:pPr>
        <w:pStyle w:val="Heading5"/>
        <w:numPr>
          <w:ilvl w:val="4"/>
          <w:numId w:val="1"/>
        </w:numPr>
        <w:rPr/>
      </w:pPr>
      <w:bookmarkStart w:id="3447" w:name="__RefHeading___Toc2568128_3650668749"/>
      <w:bookmarkStart w:id="3448" w:name="_Toc1573"/>
      <w:bookmarkEnd w:id="3447"/>
      <w:r>
        <w:rPr>
          <w:rtl w:val="true"/>
        </w:rPr>
        <w:t>[ (</w:t>
      </w:r>
      <w:r>
        <w:rPr>
          <w:rtl w:val="true"/>
        </w:rPr>
        <w:t xml:space="preserve">مسألة </w:t>
      </w:r>
      <w:r>
        <w:rPr/>
        <w:t>1</w:t>
      </w:r>
      <w:r>
        <w:rPr>
          <w:rtl w:val="true"/>
        </w:rPr>
        <w:t xml:space="preserve">): </w:t>
      </w:r>
      <w:r>
        <w:rPr>
          <w:rtl w:val="true"/>
        </w:rPr>
        <w:t>إنّما یتعلّق الخمس برقبة الأرض</w:t>
      </w:r>
      <w:r>
        <w:rPr>
          <w:rtl w:val="true"/>
        </w:rPr>
        <w:t>]</w:t>
      </w:r>
      <w:bookmarkEnd w:id="3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یتعلّق الخمس برقبة الأرض، و یتخیّر الذمّی بین دفع الخمس من عینها أو قیمتها </w:t>
      </w:r>
      <w:r>
        <w:rPr>
          <w:rStyle w:val="FootnoteAnchor"/>
          <w:rtl w:val="true"/>
        </w:rPr>
        <w:footnoteReference w:id="996"/>
      </w:r>
      <w:r>
        <w:rPr>
          <w:rFonts w:ascii="IRNazanin" w:hAnsi="IRNazanin" w:eastAsia="IRNazanin"/>
          <w:color w:val="111111"/>
          <w:sz w:val="28"/>
          <w:sz w:val="28"/>
          <w:szCs w:val="28"/>
          <w:rtl w:val="true"/>
          <w:lang w:bidi="fa-IR"/>
        </w:rPr>
        <w:t>، و لو کانت مشغولة بالغرس أو البناء لیس لولیّ الخمس قلعه و إن کان علیه اجرة مقدار الخمس لو لم یدفع القیمة و بقیت الأرض متعلّقة للخمس، و لو أراد دفع القیمة فی الأرض المشغولة بالزرع أو الغرس أو البناء تقوّم بوصف کونها مشغولة بها مع الأُجرة فیؤخذ خمسها</w:t>
      </w:r>
      <w:r>
        <w:rPr>
          <w:rFonts w:eastAsia="IRNazanin" w:cs="IRNazanin"/>
          <w:color w:val="111111"/>
          <w:sz w:val="28"/>
          <w:szCs w:val="28"/>
          <w:rtl w:val="true"/>
          <w:lang w:bidi="fa-IR"/>
        </w:rPr>
        <w:t>.</w:t>
      </w:r>
    </w:p>
    <w:p>
      <w:pPr>
        <w:pStyle w:val="Heading5"/>
        <w:numPr>
          <w:ilvl w:val="4"/>
          <w:numId w:val="1"/>
        </w:numPr>
        <w:rPr/>
      </w:pPr>
      <w:bookmarkStart w:id="3449" w:name="__RefHeading___Toc2568130_3650668749"/>
      <w:bookmarkStart w:id="3450" w:name="_Toc1574"/>
      <w:bookmarkEnd w:id="3449"/>
      <w:r>
        <w:rPr>
          <w:rtl w:val="true"/>
        </w:rPr>
        <w:t>[ (</w:t>
      </w:r>
      <w:r>
        <w:rPr>
          <w:rtl w:val="true"/>
        </w:rPr>
        <w:t xml:space="preserve">مسألة </w:t>
      </w:r>
      <w:r>
        <w:rPr/>
        <w:t>2</w:t>
      </w:r>
      <w:r>
        <w:rPr>
          <w:rtl w:val="true"/>
        </w:rPr>
        <w:t xml:space="preserve">): </w:t>
      </w:r>
      <w:r>
        <w:rPr>
          <w:rtl w:val="true"/>
        </w:rPr>
        <w:t>لو اشتری الذمّی الأرض المفتوحة عنوة</w:t>
      </w:r>
      <w:r>
        <w:rPr>
          <w:rtl w:val="true"/>
        </w:rPr>
        <w:t>]</w:t>
      </w:r>
      <w:bookmarkEnd w:id="3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اشتری الذمّی الأرض المفتوحة عنوة، فإن بیعت بنفسها فی مقام صحّ بیعها کذلک کما لو باعها ولیّ المسلمین فی مصالحهم أو باعها أهل الخمس من سهمهم الذی وصل إلیهم فلا إشکال فی وجوب الخمس علیه، و أمّا إذا بیعت تبعاً للآثار فیما کانت فیها آثار من غرس أو بناء ففیه إشکال، و أشکل منه فیما إذا انتقلت إلیه الأرض الزراعیّة بالشراء من المسلم المتقبّل من الحکومة الذی مرجعه إلیٰ تملّک حقّ الاختصاص الذی کان للمتقبّل، و الأحوط فی الصورتین </w:t>
      </w:r>
      <w:r>
        <w:rPr>
          <w:rStyle w:val="FootnoteAnchor"/>
          <w:rtl w:val="true"/>
        </w:rPr>
        <w:footnoteReference w:id="997"/>
      </w:r>
      <w:r>
        <w:rPr>
          <w:rFonts w:ascii="IRNazanin" w:hAnsi="IRNazanin" w:eastAsia="IRNazanin"/>
          <w:color w:val="111111"/>
          <w:sz w:val="28"/>
          <w:sz w:val="28"/>
          <w:szCs w:val="28"/>
          <w:rtl w:val="true"/>
          <w:lang w:bidi="fa-IR"/>
        </w:rPr>
        <w:t>اشتراط دفع الخمس إلیٰ أهله علیه</w:t>
      </w:r>
      <w:r>
        <w:rPr>
          <w:rFonts w:eastAsia="IRNazanin" w:cs="IRNazanin"/>
          <w:color w:val="111111"/>
          <w:sz w:val="28"/>
          <w:szCs w:val="28"/>
          <w:rtl w:val="true"/>
          <w:lang w:bidi="fa-IR"/>
        </w:rPr>
        <w:t>.</w:t>
      </w:r>
    </w:p>
    <w:p>
      <w:pPr>
        <w:pStyle w:val="Heading5"/>
        <w:numPr>
          <w:ilvl w:val="4"/>
          <w:numId w:val="1"/>
        </w:numPr>
        <w:rPr/>
      </w:pPr>
      <w:bookmarkStart w:id="3451" w:name="__RefHeading___Toc2568132_3650668749"/>
      <w:bookmarkStart w:id="3452" w:name="_Toc1575"/>
      <w:bookmarkEnd w:id="3451"/>
      <w:r>
        <w:rPr>
          <w:rtl w:val="true"/>
        </w:rPr>
        <w:t>[ (</w:t>
      </w:r>
      <w:r>
        <w:rPr>
          <w:rtl w:val="true"/>
        </w:rPr>
        <w:t xml:space="preserve">مسألة </w:t>
      </w:r>
      <w:r>
        <w:rPr/>
        <w:t>3</w:t>
      </w:r>
      <w:r>
        <w:rPr>
          <w:rtl w:val="true"/>
        </w:rPr>
        <w:t xml:space="preserve">): </w:t>
      </w:r>
      <w:r>
        <w:rPr>
          <w:rtl w:val="true"/>
        </w:rPr>
        <w:t>إذا اشتری الذمّی من ولیّ الخمس الخمس الذی وجب علیه</w:t>
      </w:r>
      <w:r>
        <w:rPr>
          <w:rtl w:val="true"/>
        </w:rPr>
        <w:t>]</w:t>
      </w:r>
      <w:bookmarkEnd w:id="3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 الذمّی من ولیّ الخمس الخمس الذی وجب علیه </w:t>
      </w:r>
      <w:r>
        <w:rPr>
          <w:rStyle w:val="FootnoteAnchor"/>
          <w:rtl w:val="true"/>
        </w:rPr>
        <w:footnoteReference w:id="998"/>
      </w:r>
      <w:r>
        <w:rPr>
          <w:rFonts w:ascii="IRNazanin" w:hAnsi="IRNazanin" w:eastAsia="IRNazanin"/>
          <w:color w:val="111111"/>
          <w:sz w:val="28"/>
          <w:sz w:val="28"/>
          <w:szCs w:val="28"/>
          <w:rtl w:val="true"/>
          <w:lang w:bidi="fa-IR"/>
        </w:rPr>
        <w:t>بالشراء وجب علیه خمس ذلک الخمس الذی اشتراه و هکذا</w:t>
      </w:r>
      <w:r>
        <w:rPr>
          <w:rFonts w:eastAsia="IRNazanin" w:cs="IRNazanin"/>
          <w:color w:val="111111"/>
          <w:sz w:val="28"/>
          <w:szCs w:val="28"/>
          <w:rtl w:val="true"/>
          <w:lang w:bidi="fa-IR"/>
        </w:rPr>
        <w:t>.</w:t>
      </w:r>
    </w:p>
    <w:p>
      <w:pPr>
        <w:pStyle w:val="Heading4"/>
        <w:numPr>
          <w:ilvl w:val="3"/>
          <w:numId w:val="1"/>
        </w:numPr>
        <w:rPr/>
      </w:pPr>
      <w:bookmarkStart w:id="3453" w:name="__RefHeading___Toc2568134_3650668749"/>
      <w:bookmarkStart w:id="3454" w:name="_Toc1576"/>
      <w:bookmarkEnd w:id="3453"/>
      <w:r>
        <w:rPr>
          <w:rtl w:val="true"/>
        </w:rPr>
        <w:t>[</w:t>
      </w:r>
      <w:r>
        <w:rPr>
          <w:rtl w:val="true"/>
        </w:rPr>
        <w:t>السابع</w:t>
      </w:r>
      <w:r>
        <w:rPr>
          <w:rtl w:val="true"/>
        </w:rPr>
        <w:t xml:space="preserve">: </w:t>
      </w:r>
      <w:r>
        <w:rPr>
          <w:rtl w:val="true"/>
        </w:rPr>
        <w:t>الحلال المختلط بالحرام مع عدم تمیّز صاحبه أصلًا</w:t>
      </w:r>
      <w:r>
        <w:rPr>
          <w:rtl w:val="true"/>
        </w:rPr>
        <w:t>]</w:t>
      </w:r>
      <w:bookmarkEnd w:id="3454"/>
    </w:p>
    <w:p>
      <w:pPr>
        <w:pStyle w:val="Heading5"/>
        <w:numPr>
          <w:ilvl w:val="4"/>
          <w:numId w:val="1"/>
        </w:numPr>
        <w:rPr/>
      </w:pPr>
      <w:bookmarkStart w:id="3455" w:name="__RefHeading___Toc2568136_3650668749"/>
      <w:bookmarkStart w:id="3456" w:name="_Toc1577"/>
      <w:bookmarkEnd w:id="3455"/>
      <w:r>
        <w:rPr>
          <w:rtl w:val="true"/>
        </w:rPr>
        <w:t>اشارة</w:t>
      </w:r>
      <w:bookmarkEnd w:id="345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المختلط بالحرام مع عدم تمیّز صاحبه أصلًا و لو فی عدد محصور و عدم العلم بقدره کذلک أیضاً فإنّه یخرج منه الخمس حینئذٍ، أمّا لو علم قدر المال فإن علم صاحبه أیضاً دفعه إلیه و لا خمس، بل لو علمه فی عدد محصور فالأحوط التخلّص منهم جمیعهم، فإن لم یمکن ففی استخراج المالک بالقرعة أو توزیع المال علیهم بالسویّة أو</w:t>
      </w:r>
      <w:bookmarkStart w:id="3457" w:name="pg1809_19315"/>
    </w:p>
    <w:p>
      <w:pPr>
        <w:pStyle w:val="BookText"/>
        <w:rPr/>
      </w:pPr>
      <w:bookmarkEnd w:id="3457"/>
      <w:r>
        <w:rPr>
          <w:rFonts w:ascii="IRNazanin" w:hAnsi="IRNazanin" w:eastAsia="IRNazanin"/>
          <w:color w:val="111111"/>
          <w:sz w:val="28"/>
          <w:sz w:val="28"/>
          <w:szCs w:val="28"/>
          <w:rtl w:val="true"/>
          <w:lang w:bidi="fa-IR"/>
        </w:rPr>
        <w:t xml:space="preserve">الرجوع إلیٰ حکم مجهول المالک وجوه؛ خیرها أوسطها </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جهل صاحبه أو کان فی عدد غیر محصور تصدّق بالمال علیٰ من شاء </w:t>
      </w:r>
      <w:r>
        <w:rPr>
          <w:rStyle w:val="FootnoteAnchor"/>
          <w:rtl w:val="true"/>
        </w:rPr>
        <w:footnoteReference w:id="1000"/>
      </w:r>
      <w:r>
        <w:rPr>
          <w:rFonts w:ascii="IRNazanin" w:hAnsi="IRNazanin" w:eastAsia="IRNazanin"/>
          <w:color w:val="111111"/>
          <w:sz w:val="28"/>
          <w:sz w:val="28"/>
          <w:szCs w:val="28"/>
          <w:rtl w:val="true"/>
          <w:lang w:bidi="fa-IR"/>
        </w:rPr>
        <w:t>ما لم یظنّه بالخصوص، و إلّا فلا یترک الاحتیاط حینئذٍ بالتصدّق به علیه إذا کان محلّا لذلک، نعم لا یجدی ظنّه بالخصوص فی 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المالک و جهل المقدار تخلّص منه بالصلح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مصرف هذا الخمس کمصرف غیره علی الأصحّ</w:t>
      </w:r>
      <w:r>
        <w:rPr>
          <w:rFonts w:eastAsia="IRNazanin" w:cs="IRNazanin"/>
          <w:color w:val="111111"/>
          <w:sz w:val="28"/>
          <w:szCs w:val="28"/>
          <w:rtl w:val="true"/>
          <w:lang w:bidi="fa-IR"/>
        </w:rPr>
        <w:t>.</w:t>
      </w:r>
    </w:p>
    <w:p>
      <w:pPr>
        <w:pStyle w:val="Heading5"/>
        <w:numPr>
          <w:ilvl w:val="4"/>
          <w:numId w:val="1"/>
        </w:numPr>
        <w:rPr/>
      </w:pPr>
      <w:bookmarkStart w:id="3458" w:name="__RefHeading___Toc2568138_3650668749"/>
      <w:bookmarkStart w:id="3459" w:name="_Toc1578"/>
      <w:bookmarkEnd w:id="3458"/>
      <w:r>
        <w:rPr>
          <w:rtl w:val="true"/>
        </w:rPr>
        <w:t>[ (</w:t>
      </w:r>
      <w:r>
        <w:rPr>
          <w:rtl w:val="true"/>
        </w:rPr>
        <w:t xml:space="preserve">مسألة </w:t>
      </w:r>
      <w:r>
        <w:rPr/>
        <w:t>1</w:t>
      </w:r>
      <w:r>
        <w:rPr>
          <w:rtl w:val="true"/>
        </w:rPr>
        <w:t xml:space="preserve">): </w:t>
      </w:r>
      <w:r>
        <w:rPr>
          <w:rtl w:val="true"/>
        </w:rPr>
        <w:t>لو علم أنّ مقدار الحرام أزید من الخمس و إن لم یعلم مقداره</w:t>
      </w:r>
      <w:r>
        <w:rPr>
          <w:rtl w:val="true"/>
        </w:rPr>
        <w:t>]</w:t>
      </w:r>
      <w:bookmarkEnd w:id="3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أنّ مقدار الحرام أزید من الخمس و إن لم یعلم مقداره فالظاهر کفایة إخراج الخمس فی تحلیل المال و تطهیره، إلّا أنّ الأحوط </w:t>
      </w:r>
      <w:r>
        <w:rPr>
          <w:rStyle w:val="FootnoteAnchor"/>
          <w:rtl w:val="true"/>
        </w:rPr>
        <w:footnoteReference w:id="1001"/>
      </w:r>
      <w:r>
        <w:rPr>
          <w:rFonts w:ascii="IRNazanin" w:hAnsi="IRNazanin" w:eastAsia="IRNazanin"/>
          <w:color w:val="111111"/>
          <w:sz w:val="28"/>
          <w:sz w:val="28"/>
          <w:szCs w:val="28"/>
          <w:rtl w:val="true"/>
          <w:lang w:bidi="fa-IR"/>
        </w:rPr>
        <w:t>مع إخراج الخمس المصالحة عن الحرام مع الحاکم الشرعی بما یرتفع به الیقین بالاشتغال و إجراء حکم مجهول المالک علیه</w:t>
      </w:r>
      <w:r>
        <w:rPr>
          <w:rFonts w:eastAsia="IRNazanin" w:cs="IRNazanin"/>
          <w:color w:val="111111"/>
          <w:sz w:val="28"/>
          <w:szCs w:val="28"/>
          <w:rtl w:val="true"/>
          <w:lang w:bidi="fa-IR"/>
        </w:rPr>
        <w:t>.</w:t>
      </w:r>
    </w:p>
    <w:p>
      <w:pPr>
        <w:pStyle w:val="Heading5"/>
        <w:numPr>
          <w:ilvl w:val="4"/>
          <w:numId w:val="1"/>
        </w:numPr>
        <w:rPr/>
      </w:pPr>
      <w:bookmarkStart w:id="3460" w:name="__RefHeading___Toc2568140_3650668749"/>
      <w:bookmarkStart w:id="3461" w:name="_Toc1579"/>
      <w:bookmarkEnd w:id="3460"/>
      <w:r>
        <w:rPr>
          <w:rtl w:val="true"/>
        </w:rPr>
        <w:t>[ (</w:t>
      </w:r>
      <w:r>
        <w:rPr>
          <w:rtl w:val="true"/>
        </w:rPr>
        <w:t xml:space="preserve">مسألة </w:t>
      </w:r>
      <w:r>
        <w:rPr/>
        <w:t>2</w:t>
      </w:r>
      <w:r>
        <w:rPr>
          <w:rtl w:val="true"/>
        </w:rPr>
        <w:t xml:space="preserve">): </w:t>
      </w:r>
      <w:r>
        <w:rPr>
          <w:rtl w:val="true"/>
        </w:rPr>
        <w:t>إذا کان حقّ الغیر فی ذمّته لا فی عین ماله لا محلّ للخمس</w:t>
      </w:r>
      <w:r>
        <w:rPr>
          <w:rtl w:val="true"/>
        </w:rPr>
        <w:t>]</w:t>
      </w:r>
      <w:bookmarkEnd w:id="3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حقّ الغیر فی ذمّته لا فی عین ماله لا محلّ للخمس، بل حینئذٍ إذا علم مقداره و لم یعلم صاحبه حتّی فی عدد محصور تصدّق بذلک المقدار عن صاحبه بإذن الحاکم الشرعی أو دفعه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علم صاحبه فی عدد محصور ففیه الوجوه السابقة؛ من القرعة أو التوزیع أو إجراء حکم مجهول المالک علیه، و خیرها أوسطها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یعلم مقداره و تردّد بین الأقلّ و الأکثر أخذ بالأقلّ و دفعه إلیٰ مالکه لو کان معلوماً بعینه، و إن کان مردّداً بین محصور فحکمه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مجهولًا أو معلوماً فی غیر المحصور تصدّق به کما مرّ </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حینئذٍ المصالحة مع الحاکم بمقدار متوسّط بین الأقلّ و الأکثر فیعامل مع ذلک المقدار معاملة معلوم المقدار</w:t>
      </w:r>
      <w:r>
        <w:rPr>
          <w:rFonts w:eastAsia="IRNazanin" w:cs="IRNazanin"/>
          <w:color w:val="111111"/>
          <w:sz w:val="28"/>
          <w:szCs w:val="28"/>
          <w:rtl w:val="true"/>
          <w:lang w:bidi="fa-IR"/>
        </w:rPr>
        <w:t>.</w:t>
      </w:r>
    </w:p>
    <w:p>
      <w:pPr>
        <w:pStyle w:val="Heading5"/>
        <w:numPr>
          <w:ilvl w:val="4"/>
          <w:numId w:val="1"/>
        </w:numPr>
        <w:rPr/>
      </w:pPr>
      <w:bookmarkStart w:id="3462" w:name="__RefHeading___Toc2568142_3650668749"/>
      <w:bookmarkStart w:id="3463" w:name="_Toc1580"/>
      <w:bookmarkEnd w:id="3462"/>
      <w:r>
        <w:rPr>
          <w:rtl w:val="true"/>
        </w:rPr>
        <w:t>[ (</w:t>
      </w:r>
      <w:r>
        <w:rPr>
          <w:rtl w:val="true"/>
        </w:rPr>
        <w:t xml:space="preserve">مسألة </w:t>
      </w:r>
      <w:r>
        <w:rPr/>
        <w:t>3</w:t>
      </w:r>
      <w:r>
        <w:rPr>
          <w:rtl w:val="true"/>
        </w:rPr>
        <w:t xml:space="preserve">): </w:t>
      </w:r>
      <w:r>
        <w:rPr>
          <w:rtl w:val="true"/>
        </w:rPr>
        <w:t>لو کان الحرام المختلط بالحلال من الخمس أو الزکاة أو الوقف الخاصّ أو العامّ</w:t>
      </w:r>
      <w:r>
        <w:rPr>
          <w:rtl w:val="true"/>
        </w:rPr>
        <w:t>]</w:t>
      </w:r>
      <w:bookmarkEnd w:id="3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الحرام المختلط بالحلال من الخمس أو الزکاة أو الوقف الخاصّ أو العامّ فهو کمعلوم المالک فلا یجزیه إخراج الخمس</w:t>
      </w:r>
      <w:r>
        <w:rPr>
          <w:rFonts w:eastAsia="IRNazanin" w:cs="IRNazanin"/>
          <w:color w:val="111111"/>
          <w:sz w:val="28"/>
          <w:szCs w:val="28"/>
          <w:rtl w:val="true"/>
          <w:lang w:bidi="fa-IR"/>
        </w:rPr>
        <w:t>.</w:t>
      </w:r>
    </w:p>
    <w:p>
      <w:pPr>
        <w:pStyle w:val="Heading5"/>
        <w:numPr>
          <w:ilvl w:val="4"/>
          <w:numId w:val="1"/>
        </w:numPr>
        <w:rPr/>
      </w:pPr>
      <w:bookmarkStart w:id="3464" w:name="__RefHeading___Toc2568144_3650668749"/>
      <w:bookmarkStart w:id="3465" w:name="_Toc1581"/>
      <w:bookmarkEnd w:id="3464"/>
      <w:r>
        <w:rPr>
          <w:rtl w:val="true"/>
        </w:rPr>
        <w:t>[ (</w:t>
      </w:r>
      <w:r>
        <w:rPr>
          <w:rtl w:val="true"/>
        </w:rPr>
        <w:t xml:space="preserve">مسألة </w:t>
      </w:r>
      <w:r>
        <w:rPr/>
        <w:t>4</w:t>
      </w:r>
      <w:r>
        <w:rPr>
          <w:rtl w:val="true"/>
        </w:rPr>
        <w:t xml:space="preserve">): </w:t>
      </w:r>
      <w:r>
        <w:rPr>
          <w:rtl w:val="true"/>
        </w:rPr>
        <w:t>لو کان الحلال الذی فی المختلط ممّا تعلّق به الخمس</w:t>
      </w:r>
      <w:r>
        <w:rPr>
          <w:rtl w:val="true"/>
        </w:rPr>
        <w:t>]</w:t>
      </w:r>
      <w:bookmarkEnd w:id="346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الحلال الذی فی المختلط ممّا تعلّق به الخمس وجب علیه بعد</w:t>
      </w:r>
      <w:bookmarkStart w:id="3466" w:name="pg1809_19317"/>
    </w:p>
    <w:p>
      <w:pPr>
        <w:pStyle w:val="BookText"/>
        <w:rPr/>
      </w:pPr>
      <w:bookmarkEnd w:id="3466"/>
      <w:r>
        <w:rPr>
          <w:rFonts w:ascii="IRNazanin" w:hAnsi="IRNazanin" w:eastAsia="IRNazanin"/>
          <w:color w:val="111111"/>
          <w:sz w:val="28"/>
          <w:sz w:val="28"/>
          <w:szCs w:val="28"/>
          <w:rtl w:val="true"/>
          <w:lang w:bidi="fa-IR"/>
        </w:rPr>
        <w:t xml:space="preserve">تخمیس التحلیل خمس آخر </w:t>
      </w:r>
      <w:r>
        <w:rPr>
          <w:rStyle w:val="FootnoteAnchor"/>
          <w:rtl w:val="true"/>
        </w:rPr>
        <w:footnoteReference w:id="1003"/>
      </w:r>
      <w:r>
        <w:rPr>
          <w:rFonts w:ascii="IRNazanin" w:hAnsi="IRNazanin" w:eastAsia="IRNazanin"/>
          <w:color w:val="111111"/>
          <w:sz w:val="28"/>
          <w:sz w:val="28"/>
          <w:szCs w:val="28"/>
          <w:rtl w:val="true"/>
          <w:lang w:bidi="fa-IR"/>
        </w:rPr>
        <w:t>للمال الحلال الذی فیه</w:t>
      </w:r>
      <w:r>
        <w:rPr>
          <w:rFonts w:eastAsia="IRNazanin" w:cs="IRNazanin"/>
          <w:color w:val="111111"/>
          <w:sz w:val="28"/>
          <w:szCs w:val="28"/>
          <w:rtl w:val="true"/>
          <w:lang w:bidi="fa-IR"/>
        </w:rPr>
        <w:t>.</w:t>
      </w:r>
    </w:p>
    <w:p>
      <w:pPr>
        <w:pStyle w:val="Heading5"/>
        <w:numPr>
          <w:ilvl w:val="4"/>
          <w:numId w:val="1"/>
        </w:numPr>
        <w:rPr/>
      </w:pPr>
      <w:bookmarkStart w:id="3467" w:name="__RefHeading___Toc2568146_3650668749"/>
      <w:bookmarkStart w:id="3468" w:name="_Toc1582"/>
      <w:bookmarkEnd w:id="3467"/>
      <w:r>
        <w:rPr>
          <w:rtl w:val="true"/>
        </w:rPr>
        <w:t>[ (</w:t>
      </w:r>
      <w:r>
        <w:rPr>
          <w:rtl w:val="true"/>
        </w:rPr>
        <w:t xml:space="preserve">مسألة </w:t>
      </w:r>
      <w:r>
        <w:rPr/>
        <w:t>5</w:t>
      </w:r>
      <w:r>
        <w:rPr>
          <w:rtl w:val="true"/>
        </w:rPr>
        <w:t xml:space="preserve">): </w:t>
      </w:r>
      <w:r>
        <w:rPr>
          <w:rtl w:val="true"/>
        </w:rPr>
        <w:t>لو تبیّن المالک بعد إخراج الخمس ضمنه</w:t>
      </w:r>
      <w:r>
        <w:rPr>
          <w:rtl w:val="true"/>
        </w:rPr>
        <w:t>]</w:t>
      </w:r>
      <w:bookmarkEnd w:id="3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تبیّن المالک بعد إخراج الخمس ضمنه، فعلیه غرامته له علی الأحوط لو لم یکن الأقویٰ </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علم بعد إخراج الخمس أنّ الحرام أقلّ منه لا یستردّ الزائد، و أمّا لو علم أنّه أزید منه فالأحوط </w:t>
      </w:r>
      <w:r>
        <w:rPr>
          <w:rStyle w:val="FootnoteAnchor"/>
          <w:rtl w:val="true"/>
        </w:rPr>
        <w:footnoteReference w:id="1005"/>
      </w:r>
      <w:r>
        <w:rPr>
          <w:rFonts w:ascii="IRNazanin" w:hAnsi="IRNazanin" w:eastAsia="IRNazanin"/>
          <w:color w:val="111111"/>
          <w:sz w:val="28"/>
          <w:sz w:val="28"/>
          <w:szCs w:val="28"/>
          <w:rtl w:val="true"/>
          <w:lang w:bidi="fa-IR"/>
        </w:rPr>
        <w:t>التصدّق بالزائد</w:t>
      </w:r>
      <w:r>
        <w:rPr>
          <w:rFonts w:eastAsia="IRNazanin" w:cs="IRNazanin"/>
          <w:color w:val="111111"/>
          <w:sz w:val="28"/>
          <w:szCs w:val="28"/>
          <w:rtl w:val="true"/>
          <w:lang w:bidi="fa-IR"/>
        </w:rPr>
        <w:t>.</w:t>
      </w:r>
    </w:p>
    <w:p>
      <w:pPr>
        <w:pStyle w:val="Heading5"/>
        <w:numPr>
          <w:ilvl w:val="4"/>
          <w:numId w:val="1"/>
        </w:numPr>
        <w:rPr/>
      </w:pPr>
      <w:bookmarkStart w:id="3469" w:name="__RefHeading___Toc2568148_3650668749"/>
      <w:bookmarkStart w:id="3470" w:name="_Toc1583"/>
      <w:bookmarkEnd w:id="3469"/>
      <w:r>
        <w:rPr>
          <w:rtl w:val="true"/>
        </w:rPr>
        <w:t>[ (</w:t>
      </w:r>
      <w:r>
        <w:rPr>
          <w:rtl w:val="true"/>
        </w:rPr>
        <w:t xml:space="preserve">مسألة </w:t>
      </w:r>
      <w:r>
        <w:rPr/>
        <w:t>6</w:t>
      </w:r>
      <w:r>
        <w:rPr>
          <w:rtl w:val="true"/>
        </w:rPr>
        <w:t xml:space="preserve">): </w:t>
      </w:r>
      <w:r>
        <w:rPr>
          <w:rtl w:val="true"/>
        </w:rPr>
        <w:t>لو تصرّف فی المال المختلط بالحرام بالإتلاف قبل إخراج الخمس صار الحرام فی ذمّته</w:t>
      </w:r>
      <w:r>
        <w:rPr>
          <w:rtl w:val="true"/>
        </w:rPr>
        <w:t>]</w:t>
      </w:r>
      <w:bookmarkEnd w:id="347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تصرّف فی المال المختلط بالحرام بالإتلاف قبل إخراج الخمس صار الحرام فی ذمّته، و الظاهر سقوط الخمس، فیجری علیه حکم ردّ المظالم؛ و هو وجوب التصدّق </w:t>
      </w:r>
      <w:r>
        <w:rPr>
          <w:rStyle w:val="FootnoteAnchor"/>
          <w:rtl w:val="true"/>
        </w:rPr>
        <w:footnoteReference w:id="1006"/>
      </w:r>
      <w:r>
        <w:rPr>
          <w:rFonts w:ascii="IRNazanin" w:hAnsi="IRNazanin" w:eastAsia="IRNazanin"/>
          <w:color w:val="111111"/>
          <w:sz w:val="28"/>
          <w:sz w:val="28"/>
          <w:szCs w:val="28"/>
          <w:rtl w:val="true"/>
          <w:lang w:bidi="fa-IR"/>
        </w:rPr>
        <w:t>، و الأحوط دفع مقدار الخمس إلی الهاشمی بقصد ما فی الذمّة بإذن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تصرّف فیه بمثل البیع یکون فضولیّاً بالنسبة إلی الحرام المجهول المقدار، فإن أمضاه الحاکم یصیر العوض إن کان مقبوضاً متعلّقاً للخمس؛ لصیرورته من المختلط بالحرام الذی لا یعلم مقداره و لم یعرف صاحبه، و یکون المعوّض بتمامه ملکاً للمشتری، و إن لم یمضه یکون العوض من المختلط بالحرام الذی جهل مقداره و علم صاحبه فیجری علیه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المعوّض فهو باقٍ علیٰ حکمه السابق فیجب تخمیسه، و لولیّ الخمس الرجوع إلی البائع کما له الرجوع إلی المشتری، فإن کان البائع أدّی خمسه صحّ البیع </w:t>
      </w:r>
      <w:r>
        <w:rPr>
          <w:rStyle w:val="FootnoteAnchor"/>
          <w:rtl w:val="true"/>
        </w:rPr>
        <w:footnoteReference w:id="1007"/>
      </w:r>
      <w:r>
        <w:rPr>
          <w:rFonts w:ascii="IRNazanin" w:hAnsi="IRNazanin" w:eastAsia="IRNazanin"/>
          <w:color w:val="111111"/>
          <w:sz w:val="28"/>
          <w:sz w:val="28"/>
          <w:szCs w:val="28"/>
          <w:rtl w:val="true"/>
          <w:lang w:bidi="fa-IR"/>
        </w:rPr>
        <w:t>و کان تمام الثمن له و تمام المبیع للمشتری، و کذا إن أدّاه المشتری من الخارج، لکنّه حینئذٍ یرجع إلی البائع بالخمس الذی أدّاه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أدّی من العین فالظاهر بقاء الأربعة أخماس من المبیع له، و یرجع إلی البائع بخمس الثمن</w:t>
      </w:r>
      <w:r>
        <w:rPr>
          <w:rFonts w:eastAsia="IRNazanin" w:cs="IRNazanin"/>
          <w:color w:val="111111"/>
          <w:sz w:val="28"/>
          <w:szCs w:val="28"/>
          <w:rtl w:val="true"/>
          <w:lang w:bidi="fa-IR"/>
        </w:rPr>
        <w:t>.</w:t>
      </w:r>
      <w:bookmarkStart w:id="3471" w:name="pg1809_19318"/>
    </w:p>
    <w:p>
      <w:pPr>
        <w:pStyle w:val="Heading3"/>
        <w:numPr>
          <w:ilvl w:val="2"/>
          <w:numId w:val="1"/>
        </w:numPr>
        <w:rPr/>
      </w:pPr>
      <w:bookmarkStart w:id="3472" w:name="__RefHeading___Toc2568150_3650668749"/>
      <w:bookmarkStart w:id="3473" w:name="_Toc1584"/>
      <w:bookmarkEnd w:id="3471"/>
      <w:bookmarkEnd w:id="3472"/>
      <w:r>
        <w:rPr>
          <w:rtl w:val="true"/>
        </w:rPr>
        <w:t>[</w:t>
      </w:r>
      <w:r>
        <w:rPr>
          <w:rtl w:val="true"/>
        </w:rPr>
        <w:t>القول فی قسمته و مستحقّه</w:t>
      </w:r>
      <w:r>
        <w:rPr>
          <w:rtl w:val="true"/>
        </w:rPr>
        <w:t>]</w:t>
      </w:r>
      <w:bookmarkEnd w:id="3473"/>
    </w:p>
    <w:p>
      <w:pPr>
        <w:pStyle w:val="Heading4"/>
        <w:numPr>
          <w:ilvl w:val="3"/>
          <w:numId w:val="1"/>
        </w:numPr>
        <w:rPr/>
      </w:pPr>
      <w:bookmarkStart w:id="3474" w:name="__RefHeading___Toc2568152_3650668749"/>
      <w:bookmarkStart w:id="3475" w:name="_Toc1585"/>
      <w:bookmarkEnd w:id="3474"/>
      <w:r>
        <w:rPr>
          <w:rtl w:val="true"/>
        </w:rPr>
        <w:t>اشارة</w:t>
      </w:r>
      <w:bookmarkEnd w:id="3475"/>
    </w:p>
    <w:p>
      <w:pPr>
        <w:pStyle w:val="BookText"/>
        <w:rPr/>
      </w:pPr>
      <w:r>
        <w:rPr>
          <w:rFonts w:ascii="IRNazanin" w:hAnsi="IRNazanin" w:eastAsia="IRNazanin"/>
          <w:color w:val="111111"/>
          <w:sz w:val="28"/>
          <w:sz w:val="28"/>
          <w:szCs w:val="28"/>
          <w:rtl w:val="true"/>
          <w:lang w:bidi="fa-IR"/>
        </w:rPr>
        <w:t>القول فی قسمته و مستحقّه</w:t>
      </w:r>
    </w:p>
    <w:p>
      <w:pPr>
        <w:pStyle w:val="Heading4"/>
        <w:numPr>
          <w:ilvl w:val="3"/>
          <w:numId w:val="1"/>
        </w:numPr>
        <w:rPr/>
      </w:pPr>
      <w:bookmarkStart w:id="3476" w:name="__RefHeading___Toc2568154_3650668749"/>
      <w:bookmarkStart w:id="3477" w:name="_Toc1586"/>
      <w:bookmarkEnd w:id="3476"/>
      <w:r>
        <w:rPr>
          <w:rtl w:val="true"/>
        </w:rPr>
        <w:t>[ (</w:t>
      </w:r>
      <w:r>
        <w:rPr>
          <w:rtl w:val="true"/>
        </w:rPr>
        <w:t xml:space="preserve">مسألة </w:t>
      </w:r>
      <w:r>
        <w:rPr/>
        <w:t>1</w:t>
      </w:r>
      <w:r>
        <w:rPr>
          <w:rtl w:val="true"/>
        </w:rPr>
        <w:t xml:space="preserve">): </w:t>
      </w:r>
      <w:r>
        <w:rPr>
          <w:rtl w:val="true"/>
        </w:rPr>
        <w:t>یقسّم الخمس ستّة أسهم</w:t>
      </w:r>
      <w:r>
        <w:rPr>
          <w:rtl w:val="true"/>
        </w:rPr>
        <w:t>]</w:t>
      </w:r>
      <w:bookmarkEnd w:id="3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الخمس ستّة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للّٰه تعالیٰ جلّ شأنه و سهم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هذه الثلاثة الآن لصاحب الأمر أرواحنا له الفداء و عجّل اللّٰه فرجه و ثلاثة للأیتام و المساکین و أبناء السبیل ممّن انتسب بالأب إلیٰ عبد المطّلب، فلو انتسب إلیه بالأُمّ لم یحلّ له الخمس و حلّت له الصدقة علی الأصحّ</w:t>
      </w:r>
      <w:r>
        <w:rPr>
          <w:rFonts w:eastAsia="IRNazanin" w:cs="IRNazanin"/>
          <w:color w:val="111111"/>
          <w:sz w:val="28"/>
          <w:szCs w:val="28"/>
          <w:rtl w:val="true"/>
          <w:lang w:bidi="fa-IR"/>
        </w:rPr>
        <w:t>.</w:t>
      </w:r>
    </w:p>
    <w:p>
      <w:pPr>
        <w:pStyle w:val="Heading4"/>
        <w:numPr>
          <w:ilvl w:val="3"/>
          <w:numId w:val="1"/>
        </w:numPr>
        <w:rPr/>
      </w:pPr>
      <w:bookmarkStart w:id="3478" w:name="__RefHeading___Toc2568156_3650668749"/>
      <w:bookmarkStart w:id="3479" w:name="_Toc1587"/>
      <w:bookmarkEnd w:id="3478"/>
      <w:r>
        <w:rPr>
          <w:rtl w:val="true"/>
        </w:rPr>
        <w:t>[ (</w:t>
      </w:r>
      <w:r>
        <w:rPr>
          <w:rtl w:val="true"/>
        </w:rPr>
        <w:t xml:space="preserve">مسألة </w:t>
      </w:r>
      <w:r>
        <w:rPr/>
        <w:t>2</w:t>
      </w:r>
      <w:r>
        <w:rPr>
          <w:rtl w:val="true"/>
        </w:rPr>
        <w:t xml:space="preserve">): </w:t>
      </w:r>
      <w:r>
        <w:rPr>
          <w:rtl w:val="true"/>
        </w:rPr>
        <w:t>یعتبر الإیمان أو ما فی حکمه فی جمیع مستحقّی الخمس</w:t>
      </w:r>
      <w:r>
        <w:rPr>
          <w:rtl w:val="true"/>
        </w:rPr>
        <w:t>]</w:t>
      </w:r>
      <w:bookmarkEnd w:id="3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الإیمان أو ما فی حکمه فی جمیع مستحقّی الخمس، و لا تعتبر العدالة علی الأصحّ، و إن کان الأولیٰ ملاحظة الرجحان فی الأفراد، سیّما المتجاهر </w:t>
      </w:r>
      <w:r>
        <w:rPr>
          <w:rStyle w:val="FootnoteAnchor"/>
          <w:rtl w:val="true"/>
        </w:rPr>
        <w:footnoteReference w:id="1008"/>
      </w:r>
      <w:r>
        <w:rPr>
          <w:rFonts w:ascii="IRNazanin" w:hAnsi="IRNazanin" w:eastAsia="IRNazanin"/>
          <w:color w:val="111111"/>
          <w:sz w:val="28"/>
          <w:sz w:val="28"/>
          <w:szCs w:val="28"/>
          <w:rtl w:val="true"/>
          <w:lang w:bidi="fa-IR"/>
        </w:rPr>
        <w:t>بارتکاب الکبائر فإنّه لا ینبغی الدفع إلیه منه، بل یقویٰ عدم الجواز إذا کان فی الدفع إعانة علی الإثم و العدوان و إغراء بالقبیح و فی المنع ردع عنه</w:t>
      </w:r>
      <w:r>
        <w:rPr>
          <w:rFonts w:eastAsia="IRNazanin" w:cs="IRNazanin"/>
          <w:color w:val="111111"/>
          <w:sz w:val="28"/>
          <w:szCs w:val="28"/>
          <w:rtl w:val="true"/>
          <w:lang w:bidi="fa-IR"/>
        </w:rPr>
        <w:t>.</w:t>
      </w:r>
    </w:p>
    <w:p>
      <w:pPr>
        <w:pStyle w:val="Heading4"/>
        <w:numPr>
          <w:ilvl w:val="3"/>
          <w:numId w:val="1"/>
        </w:numPr>
        <w:rPr/>
      </w:pPr>
      <w:bookmarkStart w:id="3480" w:name="__RefHeading___Toc2568158_3650668749"/>
      <w:bookmarkStart w:id="3481" w:name="_Toc1588"/>
      <w:bookmarkEnd w:id="3480"/>
      <w:r>
        <w:rPr>
          <w:rtl w:val="true"/>
        </w:rPr>
        <w:t>[ (</w:t>
      </w:r>
      <w:r>
        <w:rPr>
          <w:rtl w:val="true"/>
        </w:rPr>
        <w:t xml:space="preserve">مسألة </w:t>
      </w:r>
      <w:r>
        <w:rPr/>
        <w:t>3</w:t>
      </w:r>
      <w:r>
        <w:rPr>
          <w:rtl w:val="true"/>
        </w:rPr>
        <w:t xml:space="preserve">): </w:t>
      </w:r>
      <w:r>
        <w:rPr>
          <w:rtl w:val="true"/>
        </w:rPr>
        <w:t>الأقوی اعتبار الفقر فی الیتامیٰ</w:t>
      </w:r>
      <w:r>
        <w:rPr>
          <w:rtl w:val="true"/>
        </w:rPr>
        <w:t>]</w:t>
      </w:r>
      <w:bookmarkEnd w:id="3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اعتبار الفقر فی الیتامیٰ، أمّا ابن السبیل أی المسافر سفر طاعة أو غیر معصیة فلا یعتبر فیه الفقر فی بلده، نعم یعتبر الحاجة فی بلد التسلیم و إن کان غنیّاً فی بلده، کما عرفته فی الزکاة</w:t>
      </w:r>
      <w:r>
        <w:rPr>
          <w:rFonts w:eastAsia="IRNazanin" w:cs="IRNazanin"/>
          <w:color w:val="111111"/>
          <w:sz w:val="28"/>
          <w:szCs w:val="28"/>
          <w:rtl w:val="true"/>
          <w:lang w:bidi="fa-IR"/>
        </w:rPr>
        <w:t>.</w:t>
      </w:r>
    </w:p>
    <w:p>
      <w:pPr>
        <w:pStyle w:val="Heading4"/>
        <w:numPr>
          <w:ilvl w:val="3"/>
          <w:numId w:val="1"/>
        </w:numPr>
        <w:rPr/>
      </w:pPr>
      <w:bookmarkStart w:id="3482" w:name="__RefHeading___Toc2568160_3650668749"/>
      <w:bookmarkStart w:id="3483" w:name="_Toc1589"/>
      <w:bookmarkEnd w:id="3482"/>
      <w:r>
        <w:rPr>
          <w:rtl w:val="true"/>
        </w:rPr>
        <w:t>[ (</w:t>
      </w:r>
      <w:r>
        <w:rPr>
          <w:rtl w:val="true"/>
        </w:rPr>
        <w:t xml:space="preserve">مسألة </w:t>
      </w:r>
      <w:r>
        <w:rPr/>
        <w:t>4</w:t>
      </w:r>
      <w:r>
        <w:rPr>
          <w:rtl w:val="true"/>
        </w:rPr>
        <w:t xml:space="preserve">): </w:t>
      </w:r>
      <w:r>
        <w:rPr>
          <w:rtl w:val="true"/>
        </w:rPr>
        <w:t>الأحوط إن لم یکن أقوی عدم دفع من علیه الخمس لمن تجب نفقته علیه</w:t>
      </w:r>
      <w:r>
        <w:rPr>
          <w:rtl w:val="true"/>
        </w:rPr>
        <w:t>]</w:t>
      </w:r>
      <w:bookmarkEnd w:id="3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إن لم یکن أقوی عدم دفع من علیه الخمس لمن تجب نفقته علیه سیّما لزوجته إذا کان للنفقة، أمّا دفعه إلیهم لغیر ذلک ممّا یحتاجون إلیه و لم یکن واجباً علیه کالدواء مثلًا و نفقة من یعولون به فلا بأس، کما لا بأس بدفع خمس غیره إلیهم و لو للإنفاق، حتّی الزوجة المعسر زوجها</w:t>
      </w:r>
      <w:r>
        <w:rPr>
          <w:rFonts w:eastAsia="IRNazanin" w:cs="IRNazanin"/>
          <w:color w:val="111111"/>
          <w:sz w:val="28"/>
          <w:szCs w:val="28"/>
          <w:rtl w:val="true"/>
          <w:lang w:bidi="fa-IR"/>
        </w:rPr>
        <w:t>.</w:t>
      </w:r>
    </w:p>
    <w:p>
      <w:pPr>
        <w:pStyle w:val="Heading4"/>
        <w:numPr>
          <w:ilvl w:val="3"/>
          <w:numId w:val="1"/>
        </w:numPr>
        <w:rPr/>
      </w:pPr>
      <w:bookmarkStart w:id="3484" w:name="__RefHeading___Toc2568162_3650668749"/>
      <w:bookmarkStart w:id="3485" w:name="_Toc1590"/>
      <w:bookmarkEnd w:id="3484"/>
      <w:r>
        <w:rPr>
          <w:rtl w:val="true"/>
        </w:rPr>
        <w:t>[ (</w:t>
      </w:r>
      <w:r>
        <w:rPr>
          <w:rtl w:val="true"/>
        </w:rPr>
        <w:t xml:space="preserve">مسألة </w:t>
      </w:r>
      <w:r>
        <w:rPr/>
        <w:t>5</w:t>
      </w:r>
      <w:r>
        <w:rPr>
          <w:rtl w:val="true"/>
        </w:rPr>
        <w:t xml:space="preserve">): </w:t>
      </w:r>
      <w:r>
        <w:rPr>
          <w:rtl w:val="true"/>
        </w:rPr>
        <w:t>لا یصدّق مدّعی السیادة بمجرّد دعواه</w:t>
      </w:r>
      <w:r>
        <w:rPr>
          <w:rtl w:val="true"/>
        </w:rPr>
        <w:t>]</w:t>
      </w:r>
      <w:bookmarkEnd w:id="3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مدّعی السیادة بمجرّد دعواه، نعم یکفی فی ثبوتها کونه معروفاً و مشتهراً بها فی بلده من دون نکیر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الاحتیال فی الدفع إلی المجهول الحال بعد إحراز عدالته بالدفع إلیه بعنوان التوکیل فی الإیصال إلیٰ مستحقّه أیّ شخص کان حتّی الآخذ، و لکن الأولیٰ عدم إعمال هذا الاحتیال</w:t>
      </w:r>
      <w:r>
        <w:rPr>
          <w:rFonts w:eastAsia="IRNazanin" w:cs="IRNazanin"/>
          <w:color w:val="111111"/>
          <w:sz w:val="28"/>
          <w:szCs w:val="28"/>
          <w:rtl w:val="true"/>
          <w:lang w:bidi="fa-IR"/>
        </w:rPr>
        <w:t>.</w:t>
      </w:r>
    </w:p>
    <w:p>
      <w:pPr>
        <w:pStyle w:val="Heading4"/>
        <w:numPr>
          <w:ilvl w:val="3"/>
          <w:numId w:val="1"/>
        </w:numPr>
        <w:rPr/>
      </w:pPr>
      <w:bookmarkStart w:id="3486" w:name="__RefHeading___Toc2568164_3650668749"/>
      <w:bookmarkStart w:id="3487" w:name="_Toc1591"/>
      <w:bookmarkEnd w:id="3486"/>
      <w:r>
        <w:rPr>
          <w:rtl w:val="true"/>
        </w:rPr>
        <w:t>[ (</w:t>
      </w:r>
      <w:r>
        <w:rPr>
          <w:rtl w:val="true"/>
        </w:rPr>
        <w:t xml:space="preserve">مسألة </w:t>
      </w:r>
      <w:r>
        <w:rPr/>
        <w:t>6</w:t>
      </w:r>
      <w:r>
        <w:rPr>
          <w:rtl w:val="true"/>
        </w:rPr>
        <w:t xml:space="preserve">): </w:t>
      </w:r>
      <w:r>
        <w:rPr>
          <w:rtl w:val="true"/>
        </w:rPr>
        <w:t>الأحوط عدم دفع الخمس إلی المستحقّ أزید من مئونة سنة و لو دفعة</w:t>
      </w:r>
      <w:r>
        <w:rPr>
          <w:rtl w:val="true"/>
        </w:rPr>
        <w:t>]</w:t>
      </w:r>
      <w:bookmarkEnd w:id="348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عدم دفع الخمس إلی المستحقّ أزید من مئونة سنة و لو دفعة، کما أنّ الأحوط للمستحقّ عدم أخذه و إن جاز ذلک فی الزکاة دفعة کما مرّ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bookmarkStart w:id="3488" w:name="pg1809_19319"/>
    </w:p>
    <w:p>
      <w:pPr>
        <w:pStyle w:val="Heading4"/>
        <w:numPr>
          <w:ilvl w:val="3"/>
          <w:numId w:val="1"/>
        </w:numPr>
        <w:rPr/>
      </w:pPr>
      <w:bookmarkStart w:id="3489" w:name="__RefHeading___Toc2568166_3650668749"/>
      <w:bookmarkStart w:id="3490" w:name="_Toc1592"/>
      <w:bookmarkEnd w:id="3488"/>
      <w:bookmarkEnd w:id="3489"/>
      <w:r>
        <w:rPr>
          <w:rtl w:val="true"/>
        </w:rPr>
        <w:t>[ (</w:t>
      </w:r>
      <w:r>
        <w:rPr>
          <w:rtl w:val="true"/>
        </w:rPr>
        <w:t xml:space="preserve">مسألة </w:t>
      </w:r>
      <w:r>
        <w:rPr/>
        <w:t>7</w:t>
      </w:r>
      <w:r>
        <w:rPr>
          <w:rtl w:val="true"/>
        </w:rPr>
        <w:t xml:space="preserve">): </w:t>
      </w:r>
      <w:r>
        <w:rPr>
          <w:rtl w:val="true"/>
        </w:rPr>
        <w:t>النصف من الخمس الذی للأصناف الثلاثة أمره بید المالک</w:t>
      </w:r>
      <w:r>
        <w:rPr>
          <w:rtl w:val="true"/>
        </w:rPr>
        <w:t>]</w:t>
      </w:r>
      <w:bookmarkEnd w:id="3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من الخمس الذی للأصناف الثلاثة أمره بید المالک فیجوز له دفعه إلیهم بنفسه من دون مراجعة المجتهد، و إن کان الأولیٰ بل الأحوط </w:t>
      </w:r>
      <w:r>
        <w:rPr>
          <w:rStyle w:val="FootnoteAnchor"/>
          <w:rtl w:val="true"/>
        </w:rPr>
        <w:footnoteReference w:id="1010"/>
      </w:r>
      <w:r>
        <w:rPr>
          <w:rFonts w:ascii="IRNazanin" w:hAnsi="IRNazanin" w:eastAsia="IRNazanin"/>
          <w:color w:val="111111"/>
          <w:sz w:val="28"/>
          <w:sz w:val="28"/>
          <w:szCs w:val="28"/>
          <w:rtl w:val="true"/>
          <w:lang w:bidi="fa-IR"/>
        </w:rPr>
        <w:t xml:space="preserve">إیصاله إلیه أو الصرف بإذنه، و أمّا النصف الذی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راجع إلی المجتهد الجامع للشرائط، فلا بدّ من الإیصال إلیه حتّی یصرفه فیما یکون مصرفه بحسب فتواه، أو الصرف بإذنه فیما عیّن له من المصرف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یشکل دفعه إلیٰ غیر من یقلّده إلّا إذا کان المصرف عنده هو المصرف </w:t>
      </w:r>
      <w:r>
        <w:rPr>
          <w:rStyle w:val="FootnoteAnchor"/>
          <w:rtl w:val="true"/>
        </w:rPr>
        <w:footnoteReference w:id="1011"/>
      </w:r>
      <w:r>
        <w:rPr>
          <w:rFonts w:ascii="Amiri" w:hAnsi="Amiri" w:eastAsia="Amiri" w:cs="Amiri"/>
          <w:color w:val="111111"/>
          <w:sz w:val="28"/>
          <w:sz w:val="28"/>
          <w:szCs w:val="28"/>
          <w:rtl w:val="true"/>
          <w:lang w:bidi="ar-SA"/>
        </w:rPr>
        <w:t>عند مجتهده کمّاً و کیفاً</w:t>
      </w:r>
      <w:r>
        <w:rPr>
          <w:rFonts w:eastAsia="Amiri" w:cs="Amiri" w:ascii="Amiri" w:hAnsi="Amiri"/>
          <w:color w:val="111111"/>
          <w:sz w:val="28"/>
          <w:szCs w:val="28"/>
          <w:rtl w:val="true"/>
          <w:lang w:bidi="ar-SA"/>
        </w:rPr>
        <w:t>.</w:t>
      </w:r>
    </w:p>
    <w:p>
      <w:pPr>
        <w:pStyle w:val="Heading4"/>
        <w:numPr>
          <w:ilvl w:val="3"/>
          <w:numId w:val="1"/>
        </w:numPr>
        <w:rPr/>
      </w:pPr>
      <w:bookmarkStart w:id="3491" w:name="__RefHeading___Toc2568168_3650668749"/>
      <w:bookmarkStart w:id="3492" w:name="_Toc1593"/>
      <w:bookmarkEnd w:id="3491"/>
      <w:r>
        <w:rPr>
          <w:rtl w:val="true"/>
        </w:rPr>
        <w:t>[ (</w:t>
      </w:r>
      <w:r>
        <w:rPr>
          <w:rtl w:val="true"/>
        </w:rPr>
        <w:t xml:space="preserve">مسألة </w:t>
      </w:r>
      <w:r>
        <w:rPr/>
        <w:t>8</w:t>
      </w:r>
      <w:r>
        <w:rPr>
          <w:rtl w:val="true"/>
        </w:rPr>
        <w:t xml:space="preserve">): </w:t>
      </w:r>
      <w:r>
        <w:rPr>
          <w:rtl w:val="true"/>
        </w:rPr>
        <w:t>الأقویٰ جواز نقل الخمس إلیٰ بلد آخر</w:t>
      </w:r>
      <w:r>
        <w:rPr>
          <w:rtl w:val="true"/>
        </w:rPr>
        <w:t>]</w:t>
      </w:r>
      <w:bookmarkEnd w:id="3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 نقل الخمس إلیٰ بلد آخر، بل ربّما یترجّح عند وجود بعض المرجّحات حتّی مع وجود المستحقّ فی البلد، و إن ضمن له حینئذٍ لو تلف فی الطریق، بخلاف ما إذا لم یوجد فیه المستحقّ فإنّه لا ضمان علیه، و کذا لو کان النقل بإذن المجتهد و أمره فإنّه لا ضمان علیه حتّی مع وجود المستحقّ فی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وجب النقل لو لم یوجد المستحقّ فعلًا و لم یتوقّع وجوده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من النقل لو کان له مال فی بلد آخر فدفعه إلی المستحقّ عوضاً عمّا علیه فی بلده أو کان له دین علیٰ من فی بلد آخر فاحتسبه، بل و کذا لو نقل قدر الخمس من ماله إلیٰ بلد آخر فدفعه عوضاً </w:t>
      </w:r>
      <w:r>
        <w:rPr>
          <w:rStyle w:val="FootnoteAnchor"/>
          <w:rtl w:val="true"/>
        </w:rPr>
        <w:footnoteReference w:id="1012"/>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Heading4"/>
        <w:numPr>
          <w:ilvl w:val="3"/>
          <w:numId w:val="1"/>
        </w:numPr>
        <w:rPr/>
      </w:pPr>
      <w:bookmarkStart w:id="3493" w:name="__RefHeading___Toc2568170_3650668749"/>
      <w:bookmarkStart w:id="3494" w:name="_Toc1594"/>
      <w:bookmarkEnd w:id="3493"/>
      <w:r>
        <w:rPr>
          <w:rtl w:val="true"/>
        </w:rPr>
        <w:t>[ (</w:t>
      </w:r>
      <w:r>
        <w:rPr>
          <w:rtl w:val="true"/>
        </w:rPr>
        <w:t xml:space="preserve">مسألة </w:t>
      </w:r>
      <w:r>
        <w:rPr/>
        <w:t>9</w:t>
      </w:r>
      <w:r>
        <w:rPr>
          <w:rtl w:val="true"/>
        </w:rPr>
        <w:t xml:space="preserve">): </w:t>
      </w:r>
      <w:r>
        <w:rPr>
          <w:rtl w:val="true"/>
        </w:rPr>
        <w:t xml:space="preserve">لو کان المجتهد الجامع للشرائط فی غیر بلده یتعیّن نقل حصّة الإمام </w:t>
      </w:r>
      <w:r>
        <w:rPr>
          <w:rtl w:val="true"/>
        </w:rPr>
        <w:t>(</w:t>
      </w:r>
      <w:r>
        <w:rPr>
          <w:rtl w:val="true"/>
        </w:rPr>
        <w:t>علیه السّلام</w:t>
      </w:r>
      <w:r>
        <w:rPr>
          <w:rtl w:val="true"/>
        </w:rPr>
        <w:t xml:space="preserve">) </w:t>
      </w:r>
      <w:r>
        <w:rPr>
          <w:rtl w:val="true"/>
        </w:rPr>
        <w:t>إلیه</w:t>
      </w:r>
      <w:r>
        <w:rPr>
          <w:rtl w:val="true"/>
        </w:rPr>
        <w:t>]</w:t>
      </w:r>
      <w:bookmarkEnd w:id="3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المجتهد الجامع للشرائط فی غیر بلده یتعیّن نقل حصّة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أو الاستئذان منه فی صرفها فی بلده، بل الأقویٰ جواز ذلک لو وجد المجتهد فی بلده أیضاً </w:t>
      </w:r>
      <w:r>
        <w:rPr>
          <w:rStyle w:val="FootnoteAnchor"/>
          <w:rtl w:val="true"/>
        </w:rPr>
        <w:footnoteReference w:id="1013"/>
      </w:r>
      <w:r>
        <w:rPr>
          <w:rFonts w:ascii="IRNazanin" w:hAnsi="IRNazanin" w:eastAsia="IRNazanin"/>
          <w:color w:val="111111"/>
          <w:sz w:val="28"/>
          <w:sz w:val="28"/>
          <w:szCs w:val="28"/>
          <w:rtl w:val="true"/>
          <w:lang w:bidi="fa-IR"/>
        </w:rPr>
        <w:t>، بل الأولیٰ و الأحوط النقل إذا کان من فی بلد آخر أفضل أو کان هناک بعض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المجتهد الذی فی بلد آخر من یقلّده یتعیّن </w:t>
      </w:r>
      <w:r>
        <w:rPr>
          <w:rStyle w:val="FootnoteAnchor"/>
          <w:rtl w:val="true"/>
        </w:rPr>
        <w:footnoteReference w:id="1014"/>
      </w:r>
      <w:r>
        <w:rPr>
          <w:rFonts w:ascii="IRNazanin" w:hAnsi="IRNazanin" w:eastAsia="IRNazanin"/>
          <w:color w:val="111111"/>
          <w:sz w:val="28"/>
          <w:sz w:val="28"/>
          <w:szCs w:val="28"/>
          <w:rtl w:val="true"/>
          <w:lang w:bidi="fa-IR"/>
        </w:rPr>
        <w:t>النقل إلیه إلّا إذا أذن فی صرفه فی البلد</w:t>
      </w:r>
      <w:r>
        <w:rPr>
          <w:rFonts w:eastAsia="IRNazanin" w:cs="IRNazanin"/>
          <w:color w:val="111111"/>
          <w:sz w:val="28"/>
          <w:szCs w:val="28"/>
          <w:rtl w:val="true"/>
          <w:lang w:bidi="fa-IR"/>
        </w:rPr>
        <w:t>.</w:t>
      </w:r>
    </w:p>
    <w:p>
      <w:pPr>
        <w:pStyle w:val="Heading4"/>
        <w:numPr>
          <w:ilvl w:val="3"/>
          <w:numId w:val="1"/>
        </w:numPr>
        <w:rPr/>
      </w:pPr>
      <w:bookmarkStart w:id="3495" w:name="__RefHeading___Toc2568172_3650668749"/>
      <w:bookmarkStart w:id="3496" w:name="_Toc1595"/>
      <w:bookmarkEnd w:id="3495"/>
      <w:r>
        <w:rPr>
          <w:rtl w:val="true"/>
        </w:rPr>
        <w:t>[ (</w:t>
      </w:r>
      <w:r>
        <w:rPr>
          <w:rtl w:val="true"/>
        </w:rPr>
        <w:t xml:space="preserve">مسألة </w:t>
      </w:r>
      <w:r>
        <w:rPr/>
        <w:t>10</w:t>
      </w:r>
      <w:r>
        <w:rPr>
          <w:rtl w:val="true"/>
        </w:rPr>
        <w:t xml:space="preserve">): </w:t>
      </w:r>
      <w:r>
        <w:rPr>
          <w:rtl w:val="true"/>
        </w:rPr>
        <w:t>یجوز للمالک أن یدفع الخمس من مال آخر</w:t>
      </w:r>
      <w:r>
        <w:rPr>
          <w:rtl w:val="true"/>
        </w:rPr>
        <w:t>]</w:t>
      </w:r>
      <w:bookmarkEnd w:id="349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للمالک أن یدفع الخمس من مال آخر و إن کان عروضاً، و لا یعتبر </w:t>
      </w:r>
      <w:r>
        <w:rPr>
          <w:rStyle w:val="FootnoteAnchor"/>
          <w:rtl w:val="true"/>
        </w:rPr>
        <w:footnoteReference w:id="1015"/>
      </w:r>
      <w:r>
        <w:rPr>
          <w:rFonts w:ascii="IRNazanin" w:hAnsi="IRNazanin" w:eastAsia="IRNazanin"/>
          <w:color w:val="111111"/>
          <w:sz w:val="28"/>
          <w:sz w:val="28"/>
          <w:szCs w:val="28"/>
          <w:rtl w:val="true"/>
          <w:lang w:bidi="fa-IR"/>
        </w:rPr>
        <w:t xml:space="preserve">رضا المستحقّ أو المجتهد بالنسبة إلیٰ حقّ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یجب أن یکون بقیمته</w:t>
      </w:r>
      <w:bookmarkStart w:id="3497" w:name="pg1809_19320"/>
    </w:p>
    <w:p>
      <w:pPr>
        <w:pStyle w:val="BookText"/>
        <w:rPr/>
      </w:pPr>
      <w:bookmarkEnd w:id="3497"/>
      <w:r>
        <w:rPr>
          <w:rFonts w:ascii="IRNazanin" w:hAnsi="IRNazanin" w:eastAsia="IRNazanin"/>
          <w:color w:val="111111"/>
          <w:sz w:val="28"/>
          <w:sz w:val="28"/>
          <w:szCs w:val="28"/>
          <w:rtl w:val="true"/>
          <w:lang w:bidi="fa-IR"/>
        </w:rPr>
        <w:t>الواقعیّة، فلو حسب العروض بأزید من قیمتها لم تبرأ ذمّته و إن رضی به المستحقّ</w:t>
      </w:r>
      <w:r>
        <w:rPr>
          <w:rFonts w:eastAsia="IRNazanin" w:cs="IRNazanin"/>
          <w:color w:val="111111"/>
          <w:sz w:val="28"/>
          <w:szCs w:val="28"/>
          <w:rtl w:val="true"/>
          <w:lang w:bidi="fa-IR"/>
        </w:rPr>
        <w:t>.</w:t>
      </w:r>
    </w:p>
    <w:p>
      <w:pPr>
        <w:pStyle w:val="Heading4"/>
        <w:numPr>
          <w:ilvl w:val="3"/>
          <w:numId w:val="1"/>
        </w:numPr>
        <w:rPr/>
      </w:pPr>
      <w:bookmarkStart w:id="3498" w:name="__RefHeading___Toc2568174_3650668749"/>
      <w:bookmarkStart w:id="3499" w:name="_Toc1596"/>
      <w:bookmarkEnd w:id="3498"/>
      <w:r>
        <w:rPr>
          <w:rtl w:val="true"/>
        </w:rPr>
        <w:t>[ (</w:t>
      </w:r>
      <w:r>
        <w:rPr>
          <w:rtl w:val="true"/>
        </w:rPr>
        <w:t xml:space="preserve">مسألة </w:t>
      </w:r>
      <w:r>
        <w:rPr/>
        <w:t>11</w:t>
      </w:r>
      <w:r>
        <w:rPr>
          <w:rtl w:val="true"/>
        </w:rPr>
        <w:t xml:space="preserve">): </w:t>
      </w:r>
      <w:r>
        <w:rPr>
          <w:rtl w:val="true"/>
        </w:rPr>
        <w:t>إذا کان له فی ذمّة المستحقّ دین جاز له احتسابه خمساً</w:t>
      </w:r>
      <w:r>
        <w:rPr>
          <w:rtl w:val="true"/>
        </w:rPr>
        <w:t>]</w:t>
      </w:r>
      <w:bookmarkEnd w:id="3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له فی ذمّة المستحقّ دین جاز </w:t>
      </w:r>
      <w:r>
        <w:rPr>
          <w:rStyle w:val="FootnoteAnchor"/>
          <w:rtl w:val="true"/>
        </w:rPr>
        <w:footnoteReference w:id="1016"/>
      </w:r>
      <w:r>
        <w:rPr>
          <w:rFonts w:ascii="IRNazanin" w:hAnsi="IRNazanin" w:eastAsia="IRNazanin"/>
          <w:color w:val="111111"/>
          <w:sz w:val="28"/>
          <w:sz w:val="28"/>
          <w:szCs w:val="28"/>
          <w:rtl w:val="true"/>
          <w:lang w:bidi="fa-IR"/>
        </w:rPr>
        <w:t xml:space="preserve">له احتسابه خمساً، و فی حقّ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إلیٰ نظر المجتهد</w:t>
      </w:r>
      <w:r>
        <w:rPr>
          <w:rFonts w:eastAsia="IRNazanin" w:cs="IRNazanin"/>
          <w:color w:val="111111"/>
          <w:sz w:val="28"/>
          <w:szCs w:val="28"/>
          <w:rtl w:val="true"/>
          <w:lang w:bidi="fa-IR"/>
        </w:rPr>
        <w:t>.</w:t>
      </w:r>
    </w:p>
    <w:p>
      <w:pPr>
        <w:pStyle w:val="Heading4"/>
        <w:numPr>
          <w:ilvl w:val="3"/>
          <w:numId w:val="1"/>
        </w:numPr>
        <w:rPr/>
      </w:pPr>
      <w:bookmarkStart w:id="3500" w:name="__RefHeading___Toc2568176_3650668749"/>
      <w:bookmarkStart w:id="3501" w:name="_Toc1597"/>
      <w:bookmarkEnd w:id="3500"/>
      <w:r>
        <w:rPr>
          <w:rtl w:val="true"/>
        </w:rPr>
        <w:t>[ (</w:t>
      </w:r>
      <w:r>
        <w:rPr>
          <w:rtl w:val="true"/>
        </w:rPr>
        <w:t xml:space="preserve">مسألة </w:t>
      </w:r>
      <w:r>
        <w:rPr/>
        <w:t>12</w:t>
      </w:r>
      <w:r>
        <w:rPr>
          <w:rtl w:val="true"/>
        </w:rPr>
        <w:t xml:space="preserve">): </w:t>
      </w:r>
      <w:r>
        <w:rPr>
          <w:rtl w:val="true"/>
        </w:rPr>
        <w:t>لا یجوز للمستحقّ أن یأخذ من باب الخمس و یردّه علی المالک إلّا فی بعض الأحوال</w:t>
      </w:r>
      <w:r>
        <w:rPr>
          <w:rtl w:val="true"/>
        </w:rPr>
        <w:t>]</w:t>
      </w:r>
      <w:bookmarkEnd w:id="3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للمستحقّ أن یأخذ من باب الخمس و یردّه علی المالک إلّا فی بعض الأحوال، کما إذا کان علیه مبلغ کثیر و لم یقدر علیٰ أدائه بأن صار معسراً </w:t>
      </w:r>
      <w:r>
        <w:rPr>
          <w:rStyle w:val="FootnoteAnchor"/>
          <w:rtl w:val="true"/>
        </w:rPr>
        <w:footnoteReference w:id="1017"/>
      </w:r>
      <w:r>
        <w:rPr>
          <w:rFonts w:ascii="IRNazanin" w:hAnsi="IRNazanin" w:eastAsia="IRNazanin"/>
          <w:color w:val="111111"/>
          <w:sz w:val="28"/>
          <w:sz w:val="28"/>
          <w:szCs w:val="28"/>
          <w:rtl w:val="true"/>
          <w:lang w:bidi="fa-IR"/>
        </w:rPr>
        <w:t>و أراد تفریغ الذمّة فحینئذٍ لا مانع من أن یحتال بذلک لتفریغ ذمّته</w:t>
      </w:r>
      <w:r>
        <w:rPr>
          <w:rFonts w:eastAsia="IRNazanin" w:cs="IRNazanin"/>
          <w:color w:val="111111"/>
          <w:sz w:val="28"/>
          <w:szCs w:val="28"/>
          <w:rtl w:val="true"/>
          <w:lang w:bidi="fa-IR"/>
        </w:rPr>
        <w:t>.</w:t>
      </w:r>
    </w:p>
    <w:p>
      <w:pPr>
        <w:pStyle w:val="Heading4"/>
        <w:numPr>
          <w:ilvl w:val="3"/>
          <w:numId w:val="1"/>
        </w:numPr>
        <w:rPr/>
      </w:pPr>
      <w:bookmarkStart w:id="3502" w:name="__RefHeading___Toc2568178_3650668749"/>
      <w:bookmarkStart w:id="3503" w:name="_Toc1598"/>
      <w:bookmarkEnd w:id="3502"/>
      <w:r>
        <w:rPr>
          <w:rtl w:val="true"/>
        </w:rPr>
        <w:t>[ (</w:t>
      </w:r>
      <w:r>
        <w:rPr>
          <w:rtl w:val="true"/>
        </w:rPr>
        <w:t xml:space="preserve">مسألة </w:t>
      </w:r>
      <w:r>
        <w:rPr/>
        <w:t>13</w:t>
      </w:r>
      <w:r>
        <w:rPr>
          <w:rtl w:val="true"/>
        </w:rPr>
        <w:t xml:space="preserve">): </w:t>
      </w:r>
      <w:r>
        <w:rPr>
          <w:rtl w:val="true"/>
        </w:rPr>
        <w:t>إذا انتقل إلیٰ شخص مال فیه الخمس ممّن لا یعتقد وجوبه کالکفّار</w:t>
      </w:r>
      <w:r>
        <w:rPr>
          <w:rtl w:val="true"/>
        </w:rPr>
        <w:t>]</w:t>
      </w:r>
      <w:bookmarkEnd w:id="3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انتقل إلیٰ شخص مال فیه الخمس ممّن لا یعتقد وجوبه کالکفّار و المخالفین لم یجب علیه إخراجه و یحلّ له الجمیع فإنّ الأئمّة صلوات اللّٰه علیهم قد أباحوا لشیعتهم ذلک؛ سواء کان من ربح تجارة أو معدن أو غیر ذلک، و سواء کان من المناکح و المساکن و المتاجر أو غیرها، کما أنّهم أباحوا للشیعة فی أزمنة عدم بسط أیدیهم تقبّل الأراضی الخراجیّة من ید الجائر و المقاسمة معه و عطایاه </w:t>
      </w:r>
      <w:r>
        <w:rPr>
          <w:rStyle w:val="FootnoteAnchor"/>
          <w:rtl w:val="true"/>
        </w:rPr>
        <w:footnoteReference w:id="1018"/>
      </w:r>
      <w:r>
        <w:rPr>
          <w:rFonts w:ascii="IRNazanin" w:hAnsi="IRNazanin" w:eastAsia="IRNazanin"/>
          <w:color w:val="111111"/>
          <w:sz w:val="28"/>
          <w:sz w:val="28"/>
          <w:szCs w:val="28"/>
          <w:rtl w:val="true"/>
          <w:lang w:bidi="fa-IR"/>
        </w:rPr>
        <w:t>و أخذ الخراج منه و غیر ذلک ممّا یصل إلیهم منه و من أتباعه، و بالجملة نزّلوا الجائر منزلتهم و أمضوا أفعالهم بالنسبة إلیٰ ما یکون محلّ الابتلاء للشیعة صوناً لهم عن الوقوع فی الحرام و العسر و الحرج</w:t>
      </w:r>
      <w:r>
        <w:rPr>
          <w:rFonts w:eastAsia="IRNazanin" w:cs="IRNazanin"/>
          <w:color w:val="111111"/>
          <w:sz w:val="28"/>
          <w:szCs w:val="28"/>
          <w:rtl w:val="true"/>
          <w:lang w:bidi="fa-IR"/>
        </w:rPr>
        <w:t>.</w:t>
      </w:r>
    </w:p>
    <w:p>
      <w:pPr>
        <w:pStyle w:val="Heading3"/>
        <w:numPr>
          <w:ilvl w:val="2"/>
          <w:numId w:val="1"/>
        </w:numPr>
        <w:rPr/>
      </w:pPr>
      <w:bookmarkStart w:id="3504" w:name="__RefHeading___Toc2568180_3650668749"/>
      <w:bookmarkStart w:id="3505" w:name="_Toc1599"/>
      <w:bookmarkEnd w:id="3504"/>
      <w:r>
        <w:rPr>
          <w:rtl w:val="true"/>
        </w:rPr>
        <w:t>[</w:t>
      </w:r>
      <w:r>
        <w:rPr>
          <w:rtl w:val="true"/>
        </w:rPr>
        <w:t>القول فی الأنفال</w:t>
      </w:r>
      <w:r>
        <w:rPr>
          <w:rtl w:val="true"/>
        </w:rPr>
        <w:t>]</w:t>
      </w:r>
      <w:bookmarkEnd w:id="3505"/>
    </w:p>
    <w:p>
      <w:pPr>
        <w:pStyle w:val="Heading4"/>
        <w:numPr>
          <w:ilvl w:val="3"/>
          <w:numId w:val="1"/>
        </w:numPr>
        <w:rPr/>
      </w:pPr>
      <w:bookmarkStart w:id="3506" w:name="__RefHeading___Toc2568182_3650668749"/>
      <w:bookmarkStart w:id="3507" w:name="_Toc1600"/>
      <w:bookmarkEnd w:id="3506"/>
      <w:r>
        <w:rPr>
          <w:rtl w:val="true"/>
        </w:rPr>
        <w:t>اشارة</w:t>
      </w:r>
      <w:bookmarkEnd w:id="3507"/>
    </w:p>
    <w:p>
      <w:pPr>
        <w:pStyle w:val="BookText"/>
        <w:rPr/>
      </w:pPr>
      <w:r>
        <w:rPr>
          <w:rFonts w:ascii="IRNazanin" w:hAnsi="IRNazanin" w:eastAsia="IRNazanin"/>
          <w:color w:val="111111"/>
          <w:sz w:val="28"/>
          <w:sz w:val="28"/>
          <w:szCs w:val="28"/>
          <w:rtl w:val="true"/>
          <w:lang w:bidi="fa-IR"/>
        </w:rPr>
        <w:t xml:space="preserve">القول فی الأنفال و هی ما یستحقّه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جهة الخصوص لمنصب إمامته کما کان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لمنصب نبوّته و رئاسته الإلهیّة،</w:t>
      </w:r>
    </w:p>
    <w:p>
      <w:pPr>
        <w:pStyle w:val="Heading4"/>
        <w:numPr>
          <w:ilvl w:val="3"/>
          <w:numId w:val="1"/>
        </w:numPr>
        <w:rPr/>
      </w:pPr>
      <w:bookmarkStart w:id="3508" w:name="__RefHeading___Toc2568184_3650668749"/>
      <w:bookmarkStart w:id="3509" w:name="_Toc1601"/>
      <w:bookmarkEnd w:id="3508"/>
      <w:r>
        <w:rPr>
          <w:rtl w:val="true"/>
        </w:rPr>
        <w:t>[</w:t>
      </w:r>
      <w:r>
        <w:rPr>
          <w:rtl w:val="true"/>
        </w:rPr>
        <w:t>و هی أُمور</w:t>
      </w:r>
      <w:r>
        <w:rPr>
          <w:rtl w:val="true"/>
        </w:rPr>
        <w:t>]</w:t>
      </w:r>
      <w:bookmarkEnd w:id="3509"/>
    </w:p>
    <w:p>
      <w:pPr>
        <w:pStyle w:val="Heading5"/>
        <w:numPr>
          <w:ilvl w:val="4"/>
          <w:numId w:val="1"/>
        </w:numPr>
        <w:rPr/>
      </w:pPr>
      <w:bookmarkStart w:id="3510" w:name="__RefHeading___Toc2568186_3650668749"/>
      <w:bookmarkStart w:id="3511" w:name="_Toc1602"/>
      <w:bookmarkEnd w:id="3510"/>
      <w:r>
        <w:rPr>
          <w:rtl w:val="true"/>
        </w:rPr>
        <w:t>اشارة</w:t>
      </w:r>
      <w:bookmarkEnd w:id="3511"/>
    </w:p>
    <w:p>
      <w:pPr>
        <w:pStyle w:val="BookText"/>
        <w:rPr/>
      </w:pPr>
      <w:r>
        <w:rPr>
          <w:rFonts w:ascii="Amiri" w:hAnsi="Amiri" w:eastAsia="Amiri" w:cs="Amiri"/>
          <w:color w:val="111111"/>
          <w:sz w:val="28"/>
          <w:sz w:val="28"/>
          <w:szCs w:val="28"/>
          <w:rtl w:val="true"/>
          <w:lang w:bidi="ar-SA"/>
        </w:rPr>
        <w:t>و هی أُمور</w:t>
      </w:r>
      <w:r>
        <w:rPr>
          <w:rFonts w:eastAsia="Amiri" w:cs="Amiri" w:ascii="Amiri" w:hAnsi="Amiri"/>
          <w:color w:val="111111"/>
          <w:sz w:val="28"/>
          <w:szCs w:val="28"/>
          <w:rtl w:val="true"/>
          <w:lang w:bidi="ar-SA"/>
        </w:rPr>
        <w:t>:</w:t>
      </w:r>
    </w:p>
    <w:p>
      <w:pPr>
        <w:pStyle w:val="Heading5"/>
        <w:numPr>
          <w:ilvl w:val="4"/>
          <w:numId w:val="1"/>
        </w:numPr>
        <w:rPr/>
      </w:pPr>
      <w:bookmarkStart w:id="3512" w:name="__RefHeading___Toc2568188_3650668749"/>
      <w:bookmarkStart w:id="3513" w:name="_Toc1603"/>
      <w:bookmarkEnd w:id="3512"/>
      <w:r>
        <w:rPr>
          <w:rtl w:val="true"/>
        </w:rPr>
        <w:t>[</w:t>
      </w:r>
      <w:r>
        <w:rPr>
          <w:rtl w:val="true"/>
        </w:rPr>
        <w:t>منها</w:t>
      </w:r>
      <w:r>
        <w:rPr>
          <w:rtl w:val="true"/>
        </w:rPr>
        <w:t xml:space="preserve">: </w:t>
      </w:r>
      <w:r>
        <w:rPr>
          <w:rtl w:val="true"/>
        </w:rPr>
        <w:t>الأرض التی لم یوجف علیها بخیل و لا رکاب</w:t>
      </w:r>
      <w:r>
        <w:rPr>
          <w:rtl w:val="true"/>
        </w:rPr>
        <w:t>]</w:t>
      </w:r>
      <w:bookmarkEnd w:id="3513"/>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التی </w:t>
      </w:r>
      <w:r>
        <w:rPr>
          <w:rStyle w:val="FootnoteAnchor"/>
          <w:rtl w:val="true"/>
        </w:rPr>
        <w:footnoteReference w:id="1019"/>
      </w:r>
      <w:r>
        <w:rPr>
          <w:rFonts w:ascii="IRNazanin" w:hAnsi="IRNazanin" w:eastAsia="IRNazanin"/>
          <w:color w:val="111111"/>
          <w:sz w:val="28"/>
          <w:sz w:val="28"/>
          <w:szCs w:val="28"/>
          <w:rtl w:val="true"/>
          <w:lang w:bidi="fa-IR"/>
        </w:rPr>
        <w:t>لم یوجف علیها بخیل و لا رکاب؛ سواء انجلیٰ عنها أهلها أو أسلموها للمسلمین طوعاً</w:t>
      </w:r>
      <w:r>
        <w:rPr>
          <w:rFonts w:eastAsia="IRNazanin" w:cs="IRNazanin"/>
          <w:color w:val="111111"/>
          <w:sz w:val="28"/>
          <w:szCs w:val="28"/>
          <w:rtl w:val="true"/>
          <w:lang w:bidi="fa-IR"/>
        </w:rPr>
        <w:t>.</w:t>
      </w:r>
    </w:p>
    <w:p>
      <w:pPr>
        <w:pStyle w:val="Heading5"/>
        <w:numPr>
          <w:ilvl w:val="4"/>
          <w:numId w:val="1"/>
        </w:numPr>
        <w:rPr/>
      </w:pPr>
      <w:bookmarkStart w:id="3514" w:name="__RefHeading___Toc2568190_3650668749"/>
      <w:bookmarkStart w:id="3515" w:name="_Toc1604"/>
      <w:bookmarkEnd w:id="3514"/>
      <w:r>
        <w:rPr>
          <w:rtl w:val="true"/>
        </w:rPr>
        <w:t>[</w:t>
      </w:r>
      <w:r>
        <w:rPr>
          <w:rtl w:val="true"/>
        </w:rPr>
        <w:t>و منها</w:t>
      </w:r>
      <w:r>
        <w:rPr>
          <w:rtl w:val="true"/>
        </w:rPr>
        <w:t xml:space="preserve">: </w:t>
      </w:r>
      <w:r>
        <w:rPr>
          <w:rtl w:val="true"/>
        </w:rPr>
        <w:t>الأرض الموات التی لا ینتفع بها إلّا بتعمیرها</w:t>
      </w:r>
      <w:r>
        <w:rPr>
          <w:rtl w:val="true"/>
        </w:rPr>
        <w:t>]</w:t>
      </w:r>
      <w:bookmarkEnd w:id="351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الموات التی لا ینتفع بها إلّا بتعمیرها و إصلاحها لاستیجامها أو لانقطاع الماء عنها، أو لاستیلائه علیها أو لغیر ذلک؛ سواء لم یجر علیها ملک لأحد کالمفاوز أو جریٰ و لکن قد باد و لم یعلم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بها القری التی قد جلا أهلها فخربت کبابل و الکوفة</w:t>
      </w:r>
      <w:bookmarkStart w:id="3516" w:name="pg1809_19321"/>
    </w:p>
    <w:p>
      <w:pPr>
        <w:pStyle w:val="BookText"/>
        <w:rPr/>
      </w:pPr>
      <w:bookmarkEnd w:id="3516"/>
      <w:r>
        <w:rPr>
          <w:rFonts w:ascii="IRNazanin" w:hAnsi="IRNazanin" w:eastAsia="IRNazanin"/>
          <w:color w:val="111111"/>
          <w:sz w:val="28"/>
          <w:sz w:val="28"/>
          <w:szCs w:val="28"/>
          <w:rtl w:val="true"/>
          <w:lang w:bidi="fa-IR"/>
        </w:rPr>
        <w:t>و نحوهما فهی من الأنفال بأرضها و آثارها و آجرها و أحجارها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الموات الواقعة فی الأرض المفتوحة عنوة کغیرها علی الأقویٰ، نعم ما علم أنّها کانت معمورة حال الفتح فعرض لها الموتان بعد ذلک، ففی کونها من الأنفال أو باقیة علیٰ ملک المسلمین کالمعمورة فعلًا تردّد و إشکال، لا یخلو ثانیهما عن رجحان</w:t>
      </w:r>
      <w:r>
        <w:rPr>
          <w:rFonts w:eastAsia="IRNazanin" w:cs="IRNazanin"/>
          <w:color w:val="111111"/>
          <w:sz w:val="28"/>
          <w:szCs w:val="28"/>
          <w:rtl w:val="true"/>
          <w:lang w:bidi="fa-IR"/>
        </w:rPr>
        <w:t>.</w:t>
      </w:r>
    </w:p>
    <w:p>
      <w:pPr>
        <w:pStyle w:val="Heading5"/>
        <w:numPr>
          <w:ilvl w:val="4"/>
          <w:numId w:val="1"/>
        </w:numPr>
        <w:rPr/>
      </w:pPr>
      <w:bookmarkStart w:id="3517" w:name="__RefHeading___Toc2568192_3650668749"/>
      <w:bookmarkStart w:id="3518" w:name="_Toc1605"/>
      <w:bookmarkEnd w:id="3517"/>
      <w:r>
        <w:rPr>
          <w:rtl w:val="true"/>
        </w:rPr>
        <w:t>[</w:t>
      </w:r>
      <w:r>
        <w:rPr>
          <w:rtl w:val="true"/>
        </w:rPr>
        <w:t>و منها</w:t>
      </w:r>
      <w:r>
        <w:rPr>
          <w:rtl w:val="true"/>
        </w:rPr>
        <w:t xml:space="preserve">: </w:t>
      </w:r>
      <w:r>
        <w:rPr>
          <w:rtl w:val="true"/>
        </w:rPr>
        <w:t>سیف البحار و شطوط الأنهار</w:t>
      </w:r>
      <w:r>
        <w:rPr>
          <w:rtl w:val="true"/>
        </w:rPr>
        <w:t>]</w:t>
      </w:r>
      <w:bookmarkEnd w:id="351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البحار و شطوط الأنهار، بل کلّ أرض لا ربّ لها </w:t>
      </w:r>
      <w:r>
        <w:rPr>
          <w:rStyle w:val="FootnoteAnchor"/>
          <w:rtl w:val="true"/>
        </w:rPr>
        <w:footnoteReference w:id="1020"/>
      </w:r>
      <w:r>
        <w:rPr>
          <w:rFonts w:ascii="IRNazanin" w:hAnsi="IRNazanin" w:eastAsia="IRNazanin"/>
          <w:color w:val="111111"/>
          <w:sz w:val="28"/>
          <w:sz w:val="28"/>
          <w:szCs w:val="28"/>
          <w:rtl w:val="true"/>
          <w:lang w:bidi="fa-IR"/>
        </w:rPr>
        <w:t>، و إن لم تکن مواتاً بل کانت قابلة للانتفاع بها من غیر کلفة کالجزیرة التی تخرج فی دجلة و الفرات و نحوهما</w:t>
      </w:r>
      <w:r>
        <w:rPr>
          <w:rFonts w:eastAsia="IRNazanin" w:cs="IRNazanin"/>
          <w:color w:val="111111"/>
          <w:sz w:val="28"/>
          <w:szCs w:val="28"/>
          <w:rtl w:val="true"/>
          <w:lang w:bidi="fa-IR"/>
        </w:rPr>
        <w:t>.</w:t>
      </w:r>
    </w:p>
    <w:p>
      <w:pPr>
        <w:pStyle w:val="Heading5"/>
        <w:numPr>
          <w:ilvl w:val="4"/>
          <w:numId w:val="1"/>
        </w:numPr>
        <w:rPr/>
      </w:pPr>
      <w:bookmarkStart w:id="3519" w:name="__RefHeading___Toc2568194_3650668749"/>
      <w:bookmarkStart w:id="3520" w:name="_Toc1606"/>
      <w:bookmarkEnd w:id="3519"/>
      <w:r>
        <w:rPr>
          <w:rtl w:val="true"/>
        </w:rPr>
        <w:t>[</w:t>
      </w:r>
      <w:r>
        <w:rPr>
          <w:rtl w:val="true"/>
        </w:rPr>
        <w:t>و منها</w:t>
      </w:r>
      <w:r>
        <w:rPr>
          <w:rtl w:val="true"/>
        </w:rPr>
        <w:t xml:space="preserve">: </w:t>
      </w:r>
      <w:r>
        <w:rPr>
          <w:rtl w:val="true"/>
        </w:rPr>
        <w:t>رؤوس الجبال</w:t>
      </w:r>
      <w:r>
        <w:rPr>
          <w:rtl w:val="true"/>
        </w:rPr>
        <w:t>]</w:t>
      </w:r>
      <w:bookmarkEnd w:id="352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رؤوس الجبال و ما یکون بها من النبات و الأشجار و الأحجار و نحوها و بطون الأودیة و الآجام، و هی الأراضی الملتفّة بالقصب أو المملوءة من سائر الأشجار، من غیر فرق فی هذه الثلاثة بین ما کان فی أرض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الأرض المفتوحة عنوة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کان ملکاً لأحد ثمّ صار أجمة مثلًا فهو باقٍ علیٰ ما کان</w:t>
      </w:r>
      <w:r>
        <w:rPr>
          <w:rFonts w:eastAsia="IRNazanin" w:cs="IRNazanin"/>
          <w:color w:val="111111"/>
          <w:sz w:val="28"/>
          <w:szCs w:val="28"/>
          <w:rtl w:val="true"/>
          <w:lang w:bidi="fa-IR"/>
        </w:rPr>
        <w:t>.</w:t>
      </w:r>
    </w:p>
    <w:p>
      <w:pPr>
        <w:pStyle w:val="Heading5"/>
        <w:numPr>
          <w:ilvl w:val="4"/>
          <w:numId w:val="1"/>
        </w:numPr>
        <w:rPr/>
      </w:pPr>
      <w:bookmarkStart w:id="3521" w:name="__RefHeading___Toc2568196_3650668749"/>
      <w:bookmarkStart w:id="3522" w:name="_Toc1607"/>
      <w:bookmarkEnd w:id="3521"/>
      <w:r>
        <w:rPr>
          <w:rtl w:val="true"/>
        </w:rPr>
        <w:t>[</w:t>
      </w:r>
      <w:r>
        <w:rPr>
          <w:rtl w:val="true"/>
        </w:rPr>
        <w:t>و منها</w:t>
      </w:r>
      <w:r>
        <w:rPr>
          <w:rtl w:val="true"/>
        </w:rPr>
        <w:t xml:space="preserve">: </w:t>
      </w:r>
      <w:r>
        <w:rPr>
          <w:rtl w:val="true"/>
        </w:rPr>
        <w:t>ما کان للملوک من قطائع و صفایا</w:t>
      </w:r>
      <w:r>
        <w:rPr>
          <w:rtl w:val="true"/>
        </w:rPr>
        <w:t>]</w:t>
      </w:r>
      <w:bookmarkEnd w:id="352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للملوک من قطائع و صفایا</w:t>
      </w:r>
      <w:r>
        <w:rPr>
          <w:rFonts w:eastAsia="IRNazanin" w:cs="IRNazanin"/>
          <w:color w:val="111111"/>
          <w:sz w:val="28"/>
          <w:szCs w:val="28"/>
          <w:rtl w:val="true"/>
          <w:lang w:bidi="fa-IR"/>
        </w:rPr>
        <w:t>.</w:t>
      </w:r>
    </w:p>
    <w:p>
      <w:pPr>
        <w:pStyle w:val="Heading5"/>
        <w:numPr>
          <w:ilvl w:val="4"/>
          <w:numId w:val="1"/>
        </w:numPr>
        <w:rPr/>
      </w:pPr>
      <w:bookmarkStart w:id="3523" w:name="__RefHeading___Toc2568198_3650668749"/>
      <w:bookmarkStart w:id="3524" w:name="_Toc1608"/>
      <w:bookmarkEnd w:id="3523"/>
      <w:r>
        <w:rPr>
          <w:rtl w:val="true"/>
        </w:rPr>
        <w:t>[</w:t>
      </w:r>
      <w:r>
        <w:rPr>
          <w:rtl w:val="true"/>
        </w:rPr>
        <w:t>و منها</w:t>
      </w:r>
      <w:r>
        <w:rPr>
          <w:rtl w:val="true"/>
        </w:rPr>
        <w:t xml:space="preserve">: </w:t>
      </w:r>
      <w:r>
        <w:rPr>
          <w:rtl w:val="true"/>
        </w:rPr>
        <w:t>صفو الغنیمة</w:t>
      </w:r>
      <w:r>
        <w:rPr>
          <w:rtl w:val="true"/>
        </w:rPr>
        <w:t>]</w:t>
      </w:r>
      <w:bookmarkEnd w:id="352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 الغنیمة کفرس جواد و ثوب مرتفع و جاریة حسناء و سیف قاطع و درع فاخر و نحو ذلک</w:t>
      </w:r>
      <w:r>
        <w:rPr>
          <w:rFonts w:eastAsia="IRNazanin" w:cs="IRNazanin"/>
          <w:color w:val="111111"/>
          <w:sz w:val="28"/>
          <w:szCs w:val="28"/>
          <w:rtl w:val="true"/>
          <w:lang w:bidi="fa-IR"/>
        </w:rPr>
        <w:t>.</w:t>
      </w:r>
    </w:p>
    <w:p>
      <w:pPr>
        <w:pStyle w:val="Heading5"/>
        <w:numPr>
          <w:ilvl w:val="4"/>
          <w:numId w:val="1"/>
        </w:numPr>
        <w:rPr/>
      </w:pPr>
      <w:bookmarkStart w:id="3525" w:name="__RefHeading___Toc2568200_3650668749"/>
      <w:bookmarkStart w:id="3526" w:name="_Toc1609"/>
      <w:bookmarkEnd w:id="3525"/>
      <w:r>
        <w:rPr>
          <w:rtl w:val="true"/>
        </w:rPr>
        <w:t>[</w:t>
      </w:r>
      <w:r>
        <w:rPr>
          <w:rtl w:val="true"/>
        </w:rPr>
        <w:t>و منها</w:t>
      </w:r>
      <w:r>
        <w:rPr>
          <w:rtl w:val="true"/>
        </w:rPr>
        <w:t xml:space="preserve">: </w:t>
      </w:r>
      <w:r>
        <w:rPr>
          <w:rtl w:val="true"/>
        </w:rPr>
        <w:t>الغنائم</w:t>
      </w:r>
      <w:r>
        <w:rPr>
          <w:rtl w:val="true"/>
        </w:rPr>
        <w:t>]</w:t>
      </w:r>
      <w:bookmarkEnd w:id="352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الغنائم التی لیست بإذن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3527" w:name="__RefHeading___Toc2568202_3650668749"/>
      <w:bookmarkStart w:id="3528" w:name="_Toc1610"/>
      <w:bookmarkEnd w:id="3527"/>
      <w:r>
        <w:rPr>
          <w:rtl w:val="true"/>
        </w:rPr>
        <w:t>[</w:t>
      </w:r>
      <w:r>
        <w:rPr>
          <w:rtl w:val="true"/>
        </w:rPr>
        <w:t>و منها</w:t>
      </w:r>
      <w:r>
        <w:rPr>
          <w:rtl w:val="true"/>
        </w:rPr>
        <w:t xml:space="preserve">: </w:t>
      </w:r>
      <w:r>
        <w:rPr>
          <w:rtl w:val="true"/>
        </w:rPr>
        <w:t>إرث من لا وارث له</w:t>
      </w:r>
      <w:r>
        <w:rPr>
          <w:rtl w:val="true"/>
        </w:rPr>
        <w:t>]</w:t>
      </w:r>
      <w:bookmarkEnd w:id="352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 من لا وارث له</w:t>
      </w:r>
      <w:r>
        <w:rPr>
          <w:rFonts w:eastAsia="IRNazanin" w:cs="IRNazanin"/>
          <w:color w:val="111111"/>
          <w:sz w:val="28"/>
          <w:szCs w:val="28"/>
          <w:rtl w:val="true"/>
          <w:lang w:bidi="fa-IR"/>
        </w:rPr>
        <w:t>.</w:t>
      </w:r>
    </w:p>
    <w:p>
      <w:pPr>
        <w:pStyle w:val="Heading5"/>
        <w:numPr>
          <w:ilvl w:val="4"/>
          <w:numId w:val="1"/>
        </w:numPr>
        <w:rPr/>
      </w:pPr>
      <w:bookmarkStart w:id="3529" w:name="__RefHeading___Toc2568204_3650668749"/>
      <w:bookmarkStart w:id="3530" w:name="_Toc1611"/>
      <w:bookmarkEnd w:id="3529"/>
      <w:r>
        <w:rPr>
          <w:rtl w:val="true"/>
        </w:rPr>
        <w:t>[</w:t>
      </w:r>
      <w:r>
        <w:rPr>
          <w:rtl w:val="true"/>
        </w:rPr>
        <w:t>و منها</w:t>
      </w:r>
      <w:r>
        <w:rPr>
          <w:rtl w:val="true"/>
        </w:rPr>
        <w:t xml:space="preserve">: </w:t>
      </w:r>
      <w:r>
        <w:rPr>
          <w:rtl w:val="true"/>
        </w:rPr>
        <w:t>المعادن</w:t>
      </w:r>
      <w:r>
        <w:rPr>
          <w:rtl w:val="true"/>
        </w:rPr>
        <w:t>]</w:t>
      </w:r>
      <w:bookmarkEnd w:id="353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المعادن التی لم تکن لمالک خاصّ تبعاً للأرض أو بالإحیاء</w:t>
      </w:r>
      <w:r>
        <w:rPr>
          <w:rFonts w:eastAsia="IRNazanin" w:cs="IRNazanin"/>
          <w:color w:val="111111"/>
          <w:sz w:val="28"/>
          <w:szCs w:val="28"/>
          <w:rtl w:val="true"/>
          <w:lang w:bidi="fa-IR"/>
        </w:rPr>
        <w:t>.</w:t>
      </w:r>
    </w:p>
    <w:p>
      <w:pPr>
        <w:pStyle w:val="Heading4"/>
        <w:numPr>
          <w:ilvl w:val="3"/>
          <w:numId w:val="1"/>
        </w:numPr>
        <w:rPr/>
      </w:pPr>
      <w:bookmarkStart w:id="3531" w:name="__RefHeading___Toc2568206_3650668749"/>
      <w:bookmarkStart w:id="3532" w:name="_Toc1612"/>
      <w:bookmarkEnd w:id="3531"/>
      <w:r>
        <w:rPr>
          <w:rtl w:val="true"/>
        </w:rPr>
        <w:t>[ (</w:t>
      </w:r>
      <w:r>
        <w:rPr>
          <w:rtl w:val="true"/>
        </w:rPr>
        <w:t xml:space="preserve">مسألة </w:t>
      </w:r>
      <w:r>
        <w:rPr/>
        <w:t>1</w:t>
      </w:r>
      <w:r>
        <w:rPr>
          <w:rtl w:val="true"/>
        </w:rPr>
        <w:t xml:space="preserve">): </w:t>
      </w:r>
      <w:r>
        <w:rPr>
          <w:rtl w:val="true"/>
        </w:rPr>
        <w:t>الظاهر إباحة جمیع الأنفال للشیعة فی زمن الغیبة</w:t>
      </w:r>
      <w:r>
        <w:rPr>
          <w:rtl w:val="true"/>
        </w:rPr>
        <w:t>]</w:t>
      </w:r>
      <w:bookmarkEnd w:id="353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إباحة جمیع الأنفال للشیعة فی زمن الغیبة علیٰ وجه یجری علیها حکم الملک؛ من غیر فرق بین الغنیّ منهم و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الأحوط إن لم یکن </w:t>
      </w:r>
      <w:r>
        <w:rPr>
          <w:rStyle w:val="FootnoteAnchor"/>
          <w:rtl w:val="true"/>
        </w:rPr>
        <w:footnoteReference w:id="1021"/>
      </w:r>
      <w:r>
        <w:rPr>
          <w:rFonts w:ascii="IRNazanin" w:hAnsi="IRNazanin" w:eastAsia="IRNazanin"/>
          <w:color w:val="111111"/>
          <w:sz w:val="28"/>
          <w:sz w:val="28"/>
          <w:szCs w:val="28"/>
          <w:rtl w:val="true"/>
          <w:lang w:bidi="fa-IR"/>
        </w:rPr>
        <w:t>أقوی اعتبار الفقر فی إرث من لا وارث له، بل الأحوط تقسیمه فی فقراء بلده، و أحوط من ذلک إن لم یکن أقوی إیصاله إلیٰ نائب الغیبة، کما أنّ الأقویٰ حصول الملک لغیر الشیعی أیضاً بحیازة ما فی الأنفال من العشب و الحشیش و الحطب و غیرها بل و حصول الملک لهم أیضاً للموات بسبب الإحیاء کالشیعی</w:t>
      </w:r>
      <w:r>
        <w:rPr>
          <w:rFonts w:eastAsia="IRNazanin" w:cs="IRNazanin"/>
          <w:color w:val="111111"/>
          <w:sz w:val="28"/>
          <w:szCs w:val="28"/>
          <w:rtl w:val="true"/>
          <w:lang w:bidi="fa-IR"/>
        </w:rPr>
        <w:t>.</w:t>
      </w:r>
      <w:bookmarkStart w:id="3533" w:name="pg1809_19322"/>
    </w:p>
    <w:p>
      <w:pPr>
        <w:pStyle w:val="Heading2"/>
        <w:numPr>
          <w:ilvl w:val="1"/>
          <w:numId w:val="1"/>
        </w:numPr>
        <w:rPr/>
      </w:pPr>
      <w:bookmarkStart w:id="3534" w:name="__RefHeading___Toc2568208_3650668749"/>
      <w:bookmarkStart w:id="3535" w:name="_Toc1613"/>
      <w:bookmarkEnd w:id="3533"/>
      <w:bookmarkEnd w:id="3534"/>
      <w:r>
        <w:rPr>
          <w:rtl w:val="true"/>
        </w:rPr>
        <w:t>[</w:t>
      </w:r>
      <w:r>
        <w:rPr>
          <w:rtl w:val="true"/>
        </w:rPr>
        <w:t>کتاب المکاسب و المتاجِر</w:t>
      </w:r>
      <w:r>
        <w:rPr>
          <w:rtl w:val="true"/>
        </w:rPr>
        <w:t>]</w:t>
      </w:r>
      <w:bookmarkEnd w:id="3535"/>
    </w:p>
    <w:p>
      <w:pPr>
        <w:pStyle w:val="Heading3"/>
        <w:numPr>
          <w:ilvl w:val="2"/>
          <w:numId w:val="1"/>
        </w:numPr>
        <w:rPr/>
      </w:pPr>
      <w:bookmarkStart w:id="3536" w:name="__RefHeading___Toc2568210_3650668749"/>
      <w:bookmarkStart w:id="3537" w:name="_Toc1614"/>
      <w:bookmarkEnd w:id="3536"/>
      <w:r>
        <w:rPr>
          <w:rtl w:val="true"/>
        </w:rPr>
        <w:t>اشارة</w:t>
      </w:r>
      <w:bookmarkEnd w:id="3537"/>
    </w:p>
    <w:p>
      <w:pPr>
        <w:pStyle w:val="BookText"/>
        <w:rPr/>
      </w:pPr>
      <w:r>
        <w:rPr>
          <w:rFonts w:ascii="IRNazanin" w:hAnsi="IRNazanin" w:eastAsia="IRNazanin"/>
          <w:color w:val="111111"/>
          <w:sz w:val="28"/>
          <w:sz w:val="28"/>
          <w:szCs w:val="28"/>
          <w:rtl w:val="true"/>
          <w:lang w:bidi="fa-IR"/>
        </w:rPr>
        <w:t>کتاب المکاسب و المتاجِر و هی أنواع نذکرها و نذکر المسائل المتعلّقة بها فی طیّ 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تشتمل علیٰ مسائل</w:t>
      </w:r>
      <w:r>
        <w:rPr>
          <w:rFonts w:eastAsia="Amiri" w:cs="Amiri" w:ascii="Amiri" w:hAnsi="Amiri"/>
          <w:color w:val="111111"/>
          <w:sz w:val="28"/>
          <w:szCs w:val="28"/>
          <w:rtl w:val="true"/>
          <w:lang w:bidi="ar-SA"/>
        </w:rPr>
        <w:t>:</w:t>
      </w:r>
    </w:p>
    <w:p>
      <w:pPr>
        <w:pStyle w:val="Heading3"/>
        <w:numPr>
          <w:ilvl w:val="2"/>
          <w:numId w:val="1"/>
        </w:numPr>
        <w:rPr/>
      </w:pPr>
      <w:bookmarkStart w:id="3538" w:name="__RefHeading___Toc2568212_3650668749"/>
      <w:bookmarkStart w:id="3539" w:name="_Toc1615"/>
      <w:bookmarkEnd w:id="3538"/>
      <w:r>
        <w:rPr>
          <w:rtl w:val="true"/>
        </w:rPr>
        <w:t>[ (</w:t>
      </w:r>
      <w:r>
        <w:rPr>
          <w:rtl w:val="true"/>
        </w:rPr>
        <w:t xml:space="preserve">مسألة </w:t>
      </w:r>
      <w:r>
        <w:rPr/>
        <w:t>1</w:t>
      </w:r>
      <w:r>
        <w:rPr>
          <w:rtl w:val="true"/>
        </w:rPr>
        <w:t xml:space="preserve">): </w:t>
      </w:r>
      <w:r>
        <w:rPr>
          <w:rtl w:val="true"/>
        </w:rPr>
        <w:t>لا یجوز التکسّب بالأعیان النجسة بجمیع أنواعها</w:t>
      </w:r>
      <w:r>
        <w:rPr>
          <w:rtl w:val="true"/>
        </w:rPr>
        <w:t>]</w:t>
      </w:r>
      <w:bookmarkEnd w:id="3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التکسّب بالأعیان النجسة بجمیع أنواعها </w:t>
      </w:r>
      <w:r>
        <w:rPr>
          <w:rStyle w:val="FootnoteAnchor"/>
          <w:rtl w:val="true"/>
        </w:rPr>
        <w:footnoteReference w:id="1022"/>
      </w:r>
      <w:r>
        <w:rPr>
          <w:rFonts w:ascii="IRNazanin" w:hAnsi="IRNazanin" w:eastAsia="IRNazanin"/>
          <w:color w:val="111111"/>
          <w:sz w:val="28"/>
          <w:sz w:val="28"/>
          <w:szCs w:val="28"/>
          <w:rtl w:val="true"/>
          <w:lang w:bidi="fa-IR"/>
        </w:rPr>
        <w:t>بالبیع و الشراء و جعلها ثمناً فی البیع و اجرةً فی الإجارة و عوضاً للعمل فی الجعالة، بل مطلق المعاوضة علیها و لو بجعلها مهراً، أو عوضاً فی الخلع و نحو ذلک، بل یقویٰ عدم جواز هبتها و الصلح عنها بلا عوض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یدور حرمة بیعها و التکسّب بها مدار عدم المنفعة، بل یحرم ذلک و لو کانت لها منفعة محلّلة مقصودة کالتسمید فی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یستثنی من ذلک العصیر المغلیّ قبل ذهاب ثلثیه بناء علیٰ نجاسته و الکافر بجمیع أقسامه حتّی المرتدّ عن فطرة علی الأقویٰ و کلب الصید، و ربّما یلحق </w:t>
      </w:r>
      <w:r>
        <w:rPr>
          <w:rStyle w:val="FootnoteAnchor"/>
          <w:rtl w:val="true"/>
        </w:rPr>
        <w:footnoteReference w:id="1023"/>
      </w:r>
      <w:r>
        <w:rPr>
          <w:rFonts w:ascii="IRNazanin" w:hAnsi="IRNazanin" w:eastAsia="IRNazanin"/>
          <w:color w:val="111111"/>
          <w:sz w:val="28"/>
          <w:sz w:val="28"/>
          <w:szCs w:val="28"/>
          <w:rtl w:val="true"/>
          <w:lang w:bidi="fa-IR"/>
        </w:rPr>
        <w:t>به کلب الماشیة و الزرع و البستان و الدور أیضاً و فیه تأمّل و إشکال، نعم لا إشکال فی إجارتها و إعارتها</w:t>
      </w:r>
      <w:r>
        <w:rPr>
          <w:rFonts w:eastAsia="IRNazanin" w:cs="IRNazanin"/>
          <w:color w:val="111111"/>
          <w:sz w:val="28"/>
          <w:szCs w:val="28"/>
          <w:rtl w:val="true"/>
          <w:lang w:bidi="fa-IR"/>
        </w:rPr>
        <w:t>.</w:t>
      </w:r>
    </w:p>
    <w:p>
      <w:pPr>
        <w:pStyle w:val="Heading3"/>
        <w:numPr>
          <w:ilvl w:val="2"/>
          <w:numId w:val="1"/>
        </w:numPr>
        <w:rPr/>
      </w:pPr>
      <w:bookmarkStart w:id="3540" w:name="__RefHeading___Toc2568214_3650668749"/>
      <w:bookmarkStart w:id="3541" w:name="_Toc1616"/>
      <w:bookmarkEnd w:id="3540"/>
      <w:r>
        <w:rPr>
          <w:rtl w:val="true"/>
        </w:rPr>
        <w:t>[ (</w:t>
      </w:r>
      <w:r>
        <w:rPr>
          <w:rtl w:val="true"/>
        </w:rPr>
        <w:t xml:space="preserve">مسألة </w:t>
      </w:r>
      <w:r>
        <w:rPr/>
        <w:t>2</w:t>
      </w:r>
      <w:r>
        <w:rPr>
          <w:rtl w:val="true"/>
        </w:rPr>
        <w:t xml:space="preserve">): </w:t>
      </w:r>
      <w:r>
        <w:rPr>
          <w:rtl w:val="true"/>
        </w:rPr>
        <w:t>الأعیان النجسة عدا ما استثنی</w:t>
      </w:r>
      <w:r>
        <w:rPr>
          <w:rtl w:val="true"/>
        </w:rPr>
        <w:t>]</w:t>
      </w:r>
      <w:bookmarkEnd w:id="354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الأعیان النجسة عدا ما استثنی و إن لم یعامل معها شرعاً معاملة الأموال فلا یجوز الاکتساب بها و لا یصحّ جعلها عوضاً أو معوّضاً فی المعاوضات بل و لا هبتها و الصلح عنها کما عرفت لکن لمن کانت هی فی یده و تحت استیلائه حقّ اختصاص متعلّق بها، ناشئ إمّا من حیازتها، أو من کون أصلها مالًا له کما إذا مات حیوان له فصار میتة أو صار عنبه خمراً، و هذا الحقّ قابل للانتقال إلی الغیر بالإرث و غیره، فیصحّ أن</w:t>
      </w:r>
      <w:bookmarkStart w:id="3542" w:name="pg1809_19323"/>
    </w:p>
    <w:p>
      <w:pPr>
        <w:pStyle w:val="BookText"/>
        <w:rPr/>
      </w:pPr>
      <w:bookmarkEnd w:id="3542"/>
      <w:r>
        <w:rPr>
          <w:rFonts w:ascii="IRNazanin" w:hAnsi="IRNazanin" w:eastAsia="IRNazanin"/>
          <w:color w:val="111111"/>
          <w:sz w:val="28"/>
          <w:sz w:val="28"/>
          <w:szCs w:val="28"/>
          <w:rtl w:val="true"/>
          <w:lang w:bidi="fa-IR"/>
        </w:rPr>
        <w:t>یصالح عنه بلا عوض، بل بالعوض أیضاً لو جعل مقابلًا لذلک الحقّ لا عوضاً لنفس العین، لکنّه لا یخلو من إشکال، بل لا یبعد دخوله فی الاکتساب المحظور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بذل له مالًا لیرفع یده و یعرض عنها فیحوزها الباذل سلم من الإشکال، نظیر بذل المال لمن سبق إلیٰ مکان من الأمکنة المشترکة کالمسجد و المدرسة لیرفع یده عنه فیسکنه الباذل</w:t>
      </w:r>
      <w:r>
        <w:rPr>
          <w:rFonts w:eastAsia="IRNazanin" w:cs="IRNazanin"/>
          <w:color w:val="111111"/>
          <w:sz w:val="28"/>
          <w:szCs w:val="28"/>
          <w:rtl w:val="true"/>
          <w:lang w:bidi="fa-IR"/>
        </w:rPr>
        <w:t>.</w:t>
      </w:r>
    </w:p>
    <w:p>
      <w:pPr>
        <w:pStyle w:val="Heading3"/>
        <w:numPr>
          <w:ilvl w:val="2"/>
          <w:numId w:val="1"/>
        </w:numPr>
        <w:rPr/>
      </w:pPr>
      <w:bookmarkStart w:id="3543" w:name="__RefHeading___Toc2568216_3650668749"/>
      <w:bookmarkStart w:id="3544" w:name="_Toc1617"/>
      <w:bookmarkEnd w:id="3543"/>
      <w:r>
        <w:rPr>
          <w:rtl w:val="true"/>
        </w:rPr>
        <w:t>[ (</w:t>
      </w:r>
      <w:r>
        <w:rPr>
          <w:rtl w:val="true"/>
        </w:rPr>
        <w:t xml:space="preserve">مسألة </w:t>
      </w:r>
      <w:r>
        <w:rPr/>
        <w:t>3</w:t>
      </w:r>
      <w:r>
        <w:rPr>
          <w:rtl w:val="true"/>
        </w:rPr>
        <w:t xml:space="preserve">): </w:t>
      </w:r>
      <w:r>
        <w:rPr>
          <w:rtl w:val="true"/>
        </w:rPr>
        <w:t>لا إشکال فی جواز بیع ما لا تحلّه الحیاة من أجزاء المیتة</w:t>
      </w:r>
      <w:r>
        <w:rPr>
          <w:rtl w:val="true"/>
        </w:rPr>
        <w:t>]</w:t>
      </w:r>
      <w:bookmarkEnd w:id="3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بیع ما لا تحلّه الحیاة من أجزاء المیتة ممّا کانت له منفعة محلّلة مقصودة کشعرها و صوفها، بل و لبنها أیضاً إذا قلنا بطهارته کما مرّ فی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جواز بیع المیتة الطاهرة کالسمک الطافی إذا کانت له منفعة و لو من دهنه إشکال، لا یبعد الجواز، بل لا یخلو من قوّة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5" w:name="__RefHeading___Toc2568218_3650668749"/>
      <w:bookmarkStart w:id="3546" w:name="_Toc1618"/>
      <w:bookmarkEnd w:id="3545"/>
      <w:r>
        <w:rPr>
          <w:rtl w:val="true"/>
        </w:rPr>
        <w:t>[ (</w:t>
      </w:r>
      <w:r>
        <w:rPr>
          <w:rtl w:val="true"/>
        </w:rPr>
        <w:t xml:space="preserve">مسألة </w:t>
      </w:r>
      <w:r>
        <w:rPr/>
        <w:t>4</w:t>
      </w:r>
      <w:r>
        <w:rPr>
          <w:rtl w:val="true"/>
        </w:rPr>
        <w:t xml:space="preserve">): </w:t>
      </w:r>
      <w:r>
        <w:rPr>
          <w:rtl w:val="true"/>
        </w:rPr>
        <w:t>لا إشکال فی جواز بیع الأرواث الطاهرة إذا کانت لها منفعة</w:t>
      </w:r>
      <w:r>
        <w:rPr>
          <w:rtl w:val="true"/>
        </w:rPr>
        <w:t>]</w:t>
      </w:r>
      <w:bookmarkEnd w:id="3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بیع الأرواث الطاهرة إذا کانت لها 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الطاهر من الأبوال، فأمّا بول الإبل فیجوز بیعه بلا إشکال، و أمّا غیره ففیه إشکال لا یبعد الجواز فیما کان له منفعة محلّلة مقصودة</w:t>
      </w:r>
      <w:r>
        <w:rPr>
          <w:rFonts w:eastAsia="IRNazanin" w:cs="IRNazanin"/>
          <w:color w:val="111111"/>
          <w:sz w:val="28"/>
          <w:szCs w:val="28"/>
          <w:rtl w:val="true"/>
          <w:lang w:bidi="fa-IR"/>
        </w:rPr>
        <w:t>.</w:t>
      </w:r>
    </w:p>
    <w:p>
      <w:pPr>
        <w:pStyle w:val="Heading3"/>
        <w:numPr>
          <w:ilvl w:val="2"/>
          <w:numId w:val="1"/>
        </w:numPr>
        <w:rPr/>
      </w:pPr>
      <w:bookmarkStart w:id="3547" w:name="__RefHeading___Toc2568220_3650668749"/>
      <w:bookmarkStart w:id="3548" w:name="_Toc1619"/>
      <w:bookmarkEnd w:id="3547"/>
      <w:r>
        <w:rPr>
          <w:rtl w:val="true"/>
        </w:rPr>
        <w:t>[ (</w:t>
      </w:r>
      <w:r>
        <w:rPr>
          <w:rtl w:val="true"/>
        </w:rPr>
        <w:t xml:space="preserve">مسألة </w:t>
      </w:r>
      <w:r>
        <w:rPr/>
        <w:t>5</w:t>
      </w:r>
      <w:r>
        <w:rPr>
          <w:rtl w:val="true"/>
        </w:rPr>
        <w:t xml:space="preserve">): </w:t>
      </w:r>
      <w:r>
        <w:rPr>
          <w:rtl w:val="true"/>
        </w:rPr>
        <w:t>لا إشکال فی جواز بیع المتنجّس الذی یقبل التطهیر</w:t>
      </w:r>
      <w:r>
        <w:rPr>
          <w:rtl w:val="true"/>
        </w:rPr>
        <w:t>]</w:t>
      </w:r>
      <w:bookmarkEnd w:id="3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بیع المتنجّس الذی یقبل التطهیر، و کذا ما لا یقبله و لکن یمکن الانتفاع به مع وصف نجاسته فی حال الاختیار؛ بأن لا تکون منفعته المحلّلة المقصودة فی حال الضرورة متوقّفة علیٰ طهارته کالدهن المتنجّس الذی یمکن الانتفاع به بالإسراج و طلی السفن و الصبغ و الطین المتنجّسین و الصابون الذی لا یمکن تطهیره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لا یقبل التطهیر و کان الانتفاع به متوقّفاً علیٰ طهارته کالسکنجبین النجس و نحوه فلا یجوز بیعه و المعاوضة علیه</w:t>
      </w:r>
      <w:r>
        <w:rPr>
          <w:rFonts w:eastAsia="IRNazanin" w:cs="IRNazanin"/>
          <w:color w:val="111111"/>
          <w:sz w:val="28"/>
          <w:szCs w:val="28"/>
          <w:rtl w:val="true"/>
          <w:lang w:bidi="fa-IR"/>
        </w:rPr>
        <w:t>.</w:t>
      </w:r>
    </w:p>
    <w:p>
      <w:pPr>
        <w:pStyle w:val="Heading3"/>
        <w:numPr>
          <w:ilvl w:val="2"/>
          <w:numId w:val="1"/>
        </w:numPr>
        <w:rPr/>
      </w:pPr>
      <w:bookmarkStart w:id="3549" w:name="__RefHeading___Toc2568222_3650668749"/>
      <w:bookmarkStart w:id="3550" w:name="_Toc1620"/>
      <w:bookmarkEnd w:id="3549"/>
      <w:r>
        <w:rPr>
          <w:rtl w:val="true"/>
        </w:rPr>
        <w:t>[ (</w:t>
      </w:r>
      <w:r>
        <w:rPr>
          <w:rtl w:val="true"/>
        </w:rPr>
        <w:t xml:space="preserve">مسألة </w:t>
      </w:r>
      <w:r>
        <w:rPr/>
        <w:t>6</w:t>
      </w:r>
      <w:r>
        <w:rPr>
          <w:rtl w:val="true"/>
        </w:rPr>
        <w:t xml:space="preserve">): </w:t>
      </w:r>
      <w:r>
        <w:rPr>
          <w:rtl w:val="true"/>
        </w:rPr>
        <w:t>لا بأس ببیع التریاق المشتمل علیٰ لحوم الأفاعی</w:t>
      </w:r>
      <w:r>
        <w:rPr>
          <w:rtl w:val="true"/>
        </w:rPr>
        <w:t>]</w:t>
      </w:r>
      <w:bookmarkEnd w:id="355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ببیع التریاق المشتمل علیٰ لحوم الأفاعی </w:t>
      </w:r>
      <w:r>
        <w:rPr>
          <w:rStyle w:val="FootnoteAnchor"/>
          <w:rtl w:val="true"/>
        </w:rPr>
        <w:footnoteReference w:id="1025"/>
      </w:r>
      <w:r>
        <w:rPr>
          <w:rFonts w:ascii="IRNazanin" w:hAnsi="IRNazanin" w:eastAsia="IRNazanin"/>
          <w:color w:val="111111"/>
          <w:sz w:val="28"/>
          <w:sz w:val="28"/>
          <w:szCs w:val="28"/>
          <w:rtl w:val="true"/>
          <w:lang w:bidi="fa-IR"/>
        </w:rPr>
        <w:t>مع استهلاکها فیه کما هو الغالب، بل المتعارف، فجاز استعماله و ینتفع به منفعة محلّلة معتدّاً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المشتمل علی الخمر فلا یجوز بیعه؛ لعدم قابلیّته للتطهیر مع عدم حلّیّة الانتفاع به مع وصف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التداوی به عند الاضطرار لیس علیه المدار، بل المدار علیٰ حلّیّة الانتفاع بالشی‌ء فی حال الاختیار</w:t>
      </w:r>
      <w:r>
        <w:rPr>
          <w:rFonts w:eastAsia="IRNazanin" w:cs="IRNazanin"/>
          <w:color w:val="111111"/>
          <w:sz w:val="28"/>
          <w:szCs w:val="28"/>
          <w:rtl w:val="true"/>
          <w:lang w:bidi="fa-IR"/>
        </w:rPr>
        <w:t>.</w:t>
      </w:r>
      <w:bookmarkStart w:id="3551" w:name="pg1809_19324"/>
    </w:p>
    <w:p>
      <w:pPr>
        <w:pStyle w:val="Heading3"/>
        <w:numPr>
          <w:ilvl w:val="2"/>
          <w:numId w:val="1"/>
        </w:numPr>
        <w:rPr/>
      </w:pPr>
      <w:bookmarkStart w:id="3552" w:name="__RefHeading___Toc2568224_3650668749"/>
      <w:bookmarkStart w:id="3553" w:name="_Toc1621"/>
      <w:bookmarkEnd w:id="3551"/>
      <w:bookmarkEnd w:id="3552"/>
      <w:r>
        <w:rPr>
          <w:rtl w:val="true"/>
        </w:rPr>
        <w:t>[ (</w:t>
      </w:r>
      <w:r>
        <w:rPr>
          <w:rtl w:val="true"/>
        </w:rPr>
        <w:t xml:space="preserve">مسألة </w:t>
      </w:r>
      <w:r>
        <w:rPr/>
        <w:t>7</w:t>
      </w:r>
      <w:r>
        <w:rPr>
          <w:rtl w:val="true"/>
        </w:rPr>
        <w:t xml:space="preserve">): </w:t>
      </w:r>
      <w:r>
        <w:rPr>
          <w:rtl w:val="true"/>
        </w:rPr>
        <w:t>یجوز بیع الهرّة و یحلّ ثمنها بلا إشکال</w:t>
      </w:r>
      <w:r>
        <w:rPr>
          <w:rtl w:val="true"/>
        </w:rPr>
        <w:t>]</w:t>
      </w:r>
      <w:bookmarkEnd w:id="3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الهرّة و یحلّ ثمنها بلا إشکال، و أمّا غیرها من أنواع السباع فالظاهر جواز بیع ما کان منها ذا منفعة محلّلة مقصودة عند العقلاء، و کذا الحشرات، بل المسوخ أیضاً إذا کانت کذلک، فهذا هو المدار فی جمیع الأنواع، فلا إشکال فی بیع العلق الذی یمصّ الدم الفاسد و دود القزّ و نحل العسل و إن کانت من الحشرات، و کذا الفیل الذی ینتفع بظهره و عظمه و إن کان من المسوخ</w:t>
      </w:r>
      <w:r>
        <w:rPr>
          <w:rFonts w:eastAsia="IRNazanin" w:cs="IRNazanin"/>
          <w:color w:val="111111"/>
          <w:sz w:val="28"/>
          <w:szCs w:val="28"/>
          <w:rtl w:val="true"/>
          <w:lang w:bidi="fa-IR"/>
        </w:rPr>
        <w:t>.</w:t>
      </w:r>
    </w:p>
    <w:p>
      <w:pPr>
        <w:pStyle w:val="Heading3"/>
        <w:numPr>
          <w:ilvl w:val="2"/>
          <w:numId w:val="1"/>
        </w:numPr>
        <w:rPr/>
      </w:pPr>
      <w:bookmarkStart w:id="3554" w:name="__RefHeading___Toc2568226_3650668749"/>
      <w:bookmarkStart w:id="3555" w:name="_Toc1622"/>
      <w:bookmarkEnd w:id="3554"/>
      <w:r>
        <w:rPr>
          <w:rtl w:val="true"/>
        </w:rPr>
        <w:t>[ (</w:t>
      </w:r>
      <w:r>
        <w:rPr>
          <w:rtl w:val="true"/>
        </w:rPr>
        <w:t xml:space="preserve">مسألة </w:t>
      </w:r>
      <w:r>
        <w:rPr/>
        <w:t>8</w:t>
      </w:r>
      <w:r>
        <w:rPr>
          <w:rtl w:val="true"/>
        </w:rPr>
        <w:t xml:space="preserve">): </w:t>
      </w:r>
      <w:r>
        <w:rPr>
          <w:rtl w:val="true"/>
        </w:rPr>
        <w:t>یحرم بیع کلّ ما کان آلةً للحرام بحیث کانت منفعته المقصودة منحصرة فیه</w:t>
      </w:r>
      <w:r>
        <w:rPr>
          <w:rtl w:val="true"/>
        </w:rPr>
        <w:t>]</w:t>
      </w:r>
      <w:bookmarkEnd w:id="35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بیع کلّ ما کان آلةً للحرام بحیث کانت منفعته المقصودة منحصرة فیه؛ مثل آلات اللهو کالعیدان و المزامیر و البرابط و نحوها و آلات القمار کالنرد و الشطرنج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یحرم بیعها و شراؤها یحرم صنعتها و الأُجرة علیها، بل یجب کسرها و تغییر هیئتها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بیع مادّتها من الخشب و الصفر مثلًا بعد الکسر، بل قبله أیضاً إذا اشترط </w:t>
      </w:r>
      <w:r>
        <w:rPr>
          <w:rStyle w:val="FootnoteAnchor"/>
          <w:rtl w:val="true"/>
        </w:rPr>
        <w:footnoteReference w:id="1026"/>
      </w:r>
      <w:r>
        <w:rPr>
          <w:rFonts w:ascii="IRNazanin" w:hAnsi="IRNazanin" w:eastAsia="IRNazanin"/>
          <w:color w:val="111111"/>
          <w:sz w:val="28"/>
          <w:sz w:val="28"/>
          <w:szCs w:val="28"/>
          <w:rtl w:val="true"/>
          <w:lang w:bidi="fa-IR"/>
        </w:rPr>
        <w:t>علی المشتری کسرها، و أمّا مع عدم الاشتراط ففیه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أوانی الذهب و الفضّة فحرمة بیعها و عدمها مبنیّان علیٰ حرمة اقتنائها و التزیّن بها باقیة علیٰ صورتها و هیئتها و عدمها، فعلی الأوّل یحرم بیعها و شراؤها، بل و صیاغتها و أخذ الأُجرة علیها بخلافه علی الثانی، و قد مرّ فی أحکام الأوانی إنّ أحوطهما الأوّل و أظهرهما الثانی</w:t>
      </w:r>
      <w:r>
        <w:rPr>
          <w:rFonts w:eastAsia="IRNazanin" w:cs="IRNazanin"/>
          <w:color w:val="111111"/>
          <w:sz w:val="28"/>
          <w:szCs w:val="28"/>
          <w:rtl w:val="true"/>
          <w:lang w:bidi="fa-IR"/>
        </w:rPr>
        <w:t>.</w:t>
      </w:r>
    </w:p>
    <w:p>
      <w:pPr>
        <w:pStyle w:val="Heading3"/>
        <w:numPr>
          <w:ilvl w:val="2"/>
          <w:numId w:val="1"/>
        </w:numPr>
        <w:rPr/>
      </w:pPr>
      <w:bookmarkStart w:id="3556" w:name="__RefHeading___Toc2568228_3650668749"/>
      <w:bookmarkStart w:id="3557" w:name="_Toc1623"/>
      <w:bookmarkEnd w:id="3556"/>
      <w:r>
        <w:rPr>
          <w:rtl w:val="true"/>
        </w:rPr>
        <w:t>[ (</w:t>
      </w:r>
      <w:r>
        <w:rPr>
          <w:rtl w:val="true"/>
        </w:rPr>
        <w:t xml:space="preserve">مسألة </w:t>
      </w:r>
      <w:r>
        <w:rPr/>
        <w:t>9</w:t>
      </w:r>
      <w:r>
        <w:rPr>
          <w:rtl w:val="true"/>
        </w:rPr>
        <w:t xml:space="preserve">): </w:t>
      </w:r>
      <w:r>
        <w:rPr>
          <w:rtl w:val="true"/>
        </w:rPr>
        <w:t>الدراهم الخارجة و المغشوشة المعمولة لأجل غشّ الناس تحرم المعاملة بها</w:t>
      </w:r>
      <w:r>
        <w:rPr>
          <w:rtl w:val="true"/>
        </w:rPr>
        <w:t>]</w:t>
      </w:r>
      <w:bookmarkEnd w:id="3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الدراهم الخارجة و المغشوشة المعمولة لأجل غشّ الناس تحرم المعاملة بها و جعلها عوضاً أو معوّضاً فی المعاملات مع جهل من تدفع إلیه، بل مع علمه </w:t>
      </w:r>
      <w:r>
        <w:rPr>
          <w:rStyle w:val="FootnoteAnchor"/>
          <w:rtl w:val="true"/>
        </w:rPr>
        <w:footnoteReference w:id="1027"/>
      </w:r>
      <w:r>
        <w:rPr>
          <w:rFonts w:ascii="IRNazanin" w:hAnsi="IRNazanin" w:eastAsia="IRNazanin"/>
          <w:color w:val="111111"/>
          <w:sz w:val="28"/>
          <w:sz w:val="28"/>
          <w:szCs w:val="28"/>
          <w:rtl w:val="true"/>
          <w:lang w:bidi="fa-IR"/>
        </w:rPr>
        <w:t>و اطّلاعه أیضاً علی الأحوط لو لم یکن أقوی بل لا یبعد وجوب إتلافها و لو بکسرها دفعاً لمادّة الفساد</w:t>
      </w:r>
      <w:r>
        <w:rPr>
          <w:rFonts w:eastAsia="IRNazanin" w:cs="IRNazanin"/>
          <w:color w:val="111111"/>
          <w:sz w:val="28"/>
          <w:szCs w:val="28"/>
          <w:rtl w:val="true"/>
          <w:lang w:bidi="fa-IR"/>
        </w:rPr>
        <w:t>.</w:t>
      </w:r>
    </w:p>
    <w:p>
      <w:pPr>
        <w:pStyle w:val="Heading3"/>
        <w:numPr>
          <w:ilvl w:val="2"/>
          <w:numId w:val="1"/>
        </w:numPr>
        <w:rPr/>
      </w:pPr>
      <w:bookmarkStart w:id="3558" w:name="__RefHeading___Toc2568230_3650668749"/>
      <w:bookmarkStart w:id="3559" w:name="_Toc1624"/>
      <w:bookmarkEnd w:id="3558"/>
      <w:r>
        <w:rPr>
          <w:rtl w:val="true"/>
        </w:rPr>
        <w:t>[ (</w:t>
      </w:r>
      <w:r>
        <w:rPr>
          <w:rtl w:val="true"/>
        </w:rPr>
        <w:t xml:space="preserve">مسألة </w:t>
      </w:r>
      <w:r>
        <w:rPr/>
        <w:t>10</w:t>
      </w:r>
      <w:r>
        <w:rPr>
          <w:rtl w:val="true"/>
        </w:rPr>
        <w:t xml:space="preserve">): </w:t>
      </w:r>
      <w:r>
        <w:rPr>
          <w:rtl w:val="true"/>
        </w:rPr>
        <w:t>یحرم بیع العنب أو التمر لیعمل خمراً أو الخشب مثلًا لیعمل صنماً</w:t>
      </w:r>
      <w:r>
        <w:rPr>
          <w:rtl w:val="true"/>
        </w:rPr>
        <w:t>]</w:t>
      </w:r>
      <w:bookmarkEnd w:id="355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بیع العنب أو التمر لیعمل خمراً أو الخشب مثلًا لیعمل صنماً أو آلة للهو أو القمار و نحو ذلک، و ذلک إمّا بذکر صرفه فی المحرّم و الالتزام به فی العقد أو تواطئهما علیٰ ذلک، و لو بأن یقول المشتری لصاحب العنب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منّاً من العنب لأعمله خمراً، فباعه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تحرم إجارة المساکن لیباع، أو یحرز فیها الخمر، أو لیعمل فیها بعض الأُمور المحرّمة و إجارة السفن أو الحمولة لحمل الخمر و شبهها بأحد الوجهین</w:t>
      </w:r>
      <w:bookmarkStart w:id="3560" w:name="pg1809_19325"/>
    </w:p>
    <w:p>
      <w:pPr>
        <w:pStyle w:val="BookText"/>
        <w:rPr/>
      </w:pPr>
      <w:bookmarkEnd w:id="3560"/>
      <w:r>
        <w:rPr>
          <w:rFonts w:ascii="IRNazanin" w:hAnsi="IRNazanin" w:eastAsia="IRNazanin"/>
          <w:color w:val="111111"/>
          <w:sz w:val="28"/>
          <w:sz w:val="28"/>
          <w:szCs w:val="28"/>
          <w:rtl w:val="true"/>
          <w:lang w:bidi="fa-IR"/>
        </w:rPr>
        <w:t>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یحرم البیع و الإجارة فیما ذکر یفسدان أیضاً، فلا یحلّ له الثمن و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بیع العنب أو التمر مثلًا لمن یعلم أنّه یعمله خمراً من دون أن یبیعه له و إجارة المسکن لمن یعلم أنّه یجعله محرزاً له مثلًا من دون أن تکون الإجارة له، فالظاهر جوازه </w:t>
      </w:r>
      <w:r>
        <w:rPr>
          <w:rStyle w:val="FootnoteAnchor"/>
          <w:rtl w:val="true"/>
        </w:rPr>
        <w:footnoteReference w:id="1028"/>
      </w:r>
      <w:r>
        <w:rPr>
          <w:rFonts w:ascii="IRNazanin" w:hAnsi="IRNazanin" w:eastAsia="IRNazanin"/>
          <w:color w:val="111111"/>
          <w:sz w:val="28"/>
          <w:sz w:val="28"/>
          <w:szCs w:val="28"/>
          <w:rtl w:val="true"/>
          <w:lang w:bidi="fa-IR"/>
        </w:rPr>
        <w:t>و إن کان الأحوط ترکه</w:t>
      </w:r>
      <w:r>
        <w:rPr>
          <w:rFonts w:eastAsia="IRNazanin" w:cs="IRNazanin"/>
          <w:color w:val="111111"/>
          <w:sz w:val="28"/>
          <w:szCs w:val="28"/>
          <w:rtl w:val="true"/>
          <w:lang w:bidi="fa-IR"/>
        </w:rPr>
        <w:t>.</w:t>
      </w:r>
    </w:p>
    <w:p>
      <w:pPr>
        <w:pStyle w:val="Heading3"/>
        <w:numPr>
          <w:ilvl w:val="2"/>
          <w:numId w:val="1"/>
        </w:numPr>
        <w:rPr/>
      </w:pPr>
      <w:bookmarkStart w:id="3561" w:name="__RefHeading___Toc2568232_3650668749"/>
      <w:bookmarkStart w:id="3562" w:name="_Toc1625"/>
      <w:bookmarkEnd w:id="3561"/>
      <w:r>
        <w:rPr>
          <w:rtl w:val="true"/>
        </w:rPr>
        <w:t>[ (</w:t>
      </w:r>
      <w:r>
        <w:rPr>
          <w:rtl w:val="true"/>
        </w:rPr>
        <w:t xml:space="preserve">مسألة </w:t>
      </w:r>
      <w:r>
        <w:rPr/>
        <w:t>11</w:t>
      </w:r>
      <w:r>
        <w:rPr>
          <w:rtl w:val="true"/>
        </w:rPr>
        <w:t xml:space="preserve">): </w:t>
      </w:r>
      <w:r>
        <w:rPr>
          <w:rtl w:val="true"/>
        </w:rPr>
        <w:t>یحرم بیع السلاح لأعداء الدین حال مقاتلتهم مع المسلمین</w:t>
      </w:r>
      <w:r>
        <w:rPr>
          <w:rtl w:val="true"/>
        </w:rPr>
        <w:t>]</w:t>
      </w:r>
      <w:bookmarkEnd w:id="3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بیع السلاح لأعداء الدین حال مقاتلتهم مع المسلمین، بل حال مباینتهم معهم بحیث یخاف منهم علیهم و یکون ذلک تقویة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حال الهدنة </w:t>
      </w:r>
      <w:r>
        <w:rPr>
          <w:rStyle w:val="FootnoteAnchor"/>
          <w:rtl w:val="true"/>
        </w:rPr>
        <w:footnoteReference w:id="1029"/>
      </w:r>
      <w:r>
        <w:rPr>
          <w:rFonts w:ascii="IRNazanin" w:hAnsi="IRNazanin" w:eastAsia="IRNazanin"/>
          <w:color w:val="111111"/>
          <w:sz w:val="28"/>
          <w:sz w:val="28"/>
          <w:szCs w:val="28"/>
          <w:rtl w:val="true"/>
          <w:lang w:bidi="fa-IR"/>
        </w:rPr>
        <w:t>معهم أو فی زمان وقوع الحرب بین أنفسهم و مقاتلة بعضهم مع بعض لا بأس ببیعه لهم، خصوصاً إذا کان فی ذلک تقویة لمن لا یعادی المسلمین علیٰ من یعادیهم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بالکفّار من یعادی الفرقة الحقّة من سائر الفرق المسلمة و یخشی علیهم إذا بیع السلاح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التعدّی إلیٰ قطّاع الطریق و أشباههم، بل لا یبعد التعدّی من بیع السلاح لأعداء الدین إلیٰ بیع غیره لهم ممّا یکون سبباً لتقویتهم علیٰ أهل الحقّ کالزاد و الراحلة و الحمولة و نحوها</w:t>
      </w:r>
      <w:r>
        <w:rPr>
          <w:rFonts w:eastAsia="IRNazanin" w:cs="IRNazanin"/>
          <w:color w:val="111111"/>
          <w:sz w:val="28"/>
          <w:szCs w:val="28"/>
          <w:rtl w:val="true"/>
          <w:lang w:bidi="fa-IR"/>
        </w:rPr>
        <w:t>.</w:t>
      </w:r>
    </w:p>
    <w:p>
      <w:pPr>
        <w:pStyle w:val="Heading3"/>
        <w:numPr>
          <w:ilvl w:val="2"/>
          <w:numId w:val="1"/>
        </w:numPr>
        <w:rPr/>
      </w:pPr>
      <w:bookmarkStart w:id="3563" w:name="__RefHeading___Toc2568234_3650668749"/>
      <w:bookmarkStart w:id="3564" w:name="_Toc1626"/>
      <w:bookmarkEnd w:id="3563"/>
      <w:r>
        <w:rPr>
          <w:rtl w:val="true"/>
        </w:rPr>
        <w:t>[ (</w:t>
      </w:r>
      <w:r>
        <w:rPr>
          <w:rtl w:val="true"/>
        </w:rPr>
        <w:t xml:space="preserve">مسألة </w:t>
      </w:r>
      <w:r>
        <w:rPr/>
        <w:t>12</w:t>
      </w:r>
      <w:r>
        <w:rPr>
          <w:rtl w:val="true"/>
        </w:rPr>
        <w:t xml:space="preserve">): </w:t>
      </w:r>
      <w:r>
        <w:rPr>
          <w:rtl w:val="true"/>
        </w:rPr>
        <w:t>یحرم تصویر ذوات الأرواح من الإنسان و الحیوان إذا کانت الصورة مجسّمة</w:t>
      </w:r>
      <w:r>
        <w:rPr>
          <w:rtl w:val="true"/>
        </w:rPr>
        <w:t>]</w:t>
      </w:r>
      <w:bookmarkEnd w:id="356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تصویر ذوات الأرواح من الإنسان و الحیوان إذا کانت الصورة مجسّمة کالمعمولة من الشمع أو الخشب أو الفلزّات أو غیرها، و کذا مع عدم التجسیم أیضاً علی الأحوط </w:t>
      </w:r>
      <w:r>
        <w:rPr>
          <w:rStyle w:val="FootnoteAnchor"/>
          <w:rtl w:val="true"/>
        </w:rPr>
        <w:footnoteReference w:id="1030"/>
      </w:r>
      <w:r>
        <w:rPr>
          <w:rFonts w:ascii="IRNazanin" w:hAnsi="IRNazanin" w:eastAsia="IRNazanin"/>
          <w:color w:val="111111"/>
          <w:sz w:val="28"/>
          <w:sz w:val="28"/>
          <w:szCs w:val="28"/>
          <w:rtl w:val="true"/>
          <w:lang w:bidi="fa-IR"/>
        </w:rPr>
        <w:t>لو لم یکن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تصویر غیر ذوات الأرواح کالأشجار و الأوراد و نحوها فلا بأس به و لو مع التجسیم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أنحاء إیجاد الصورة من النقش و التخطیط و التطریز و الحکّ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لیس من التصویر العکس المتداول فی زماننا، فلا بأس به إذا لم یترتّب علیه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یحرم عمل التصویر من ذوات الأرواح یحرم التکسّب به و أخذ الأُجرة علیه فإنّ اللّٰه تعالیٰ إذا حرّم شیئاً حرّم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عمل الصور، و أمّا بیعها و اقتناؤها و استعمالها و النظر إلیها، فالأقویٰ جواز ذلک کلّه خصوصاً فی غیر المجسّمة، و لیست هی کآلات اللهو و شبهها ممّا یحرم اقتناؤها و إبقاؤها و یجب</w:t>
      </w:r>
      <w:bookmarkStart w:id="3565" w:name="pg1809_19326"/>
    </w:p>
    <w:p>
      <w:pPr>
        <w:pStyle w:val="BookText"/>
        <w:rPr/>
      </w:pPr>
      <w:bookmarkEnd w:id="3565"/>
      <w:r>
        <w:rPr>
          <w:rFonts w:ascii="IRNazanin" w:hAnsi="IRNazanin" w:eastAsia="IRNazanin"/>
          <w:color w:val="111111"/>
          <w:sz w:val="28"/>
          <w:sz w:val="28"/>
          <w:szCs w:val="28"/>
          <w:rtl w:val="true"/>
          <w:lang w:bidi="fa-IR"/>
        </w:rPr>
        <w:t xml:space="preserve">کسرها و إتلافها، نعم یکره اقتناؤها و إمساکها فی البیت، و لا سیّما المجسّمة منها فإنّ الکراهة بیعاً و اقتناءً فیها أشدّ </w:t>
      </w:r>
      <w:r>
        <w:rPr>
          <w:rStyle w:val="FootnoteAnchor"/>
          <w:rtl w:val="true"/>
        </w:rPr>
        <w:footnoteReference w:id="1031"/>
      </w:r>
      <w:r>
        <w:rPr>
          <w:rFonts w:ascii="IRNazanin" w:hAnsi="IRNazanin" w:eastAsia="IRNazanin"/>
          <w:color w:val="111111"/>
          <w:sz w:val="28"/>
          <w:sz w:val="28"/>
          <w:szCs w:val="28"/>
          <w:rtl w:val="true"/>
          <w:lang w:bidi="fa-IR"/>
        </w:rPr>
        <w:t>و آکد</w:t>
      </w:r>
      <w:r>
        <w:rPr>
          <w:rFonts w:eastAsia="IRNazanin" w:cs="IRNazanin"/>
          <w:color w:val="111111"/>
          <w:sz w:val="28"/>
          <w:szCs w:val="28"/>
          <w:rtl w:val="true"/>
          <w:lang w:bidi="fa-IR"/>
        </w:rPr>
        <w:t>.</w:t>
      </w:r>
    </w:p>
    <w:p>
      <w:pPr>
        <w:pStyle w:val="Heading3"/>
        <w:numPr>
          <w:ilvl w:val="2"/>
          <w:numId w:val="1"/>
        </w:numPr>
        <w:rPr/>
      </w:pPr>
      <w:bookmarkStart w:id="3566" w:name="__RefHeading___Toc2568236_3650668749"/>
      <w:bookmarkStart w:id="3567" w:name="_Toc1627"/>
      <w:bookmarkEnd w:id="3566"/>
      <w:r>
        <w:rPr>
          <w:rtl w:val="true"/>
        </w:rPr>
        <w:t>[ (</w:t>
      </w:r>
      <w:r>
        <w:rPr>
          <w:rtl w:val="true"/>
        </w:rPr>
        <w:t xml:space="preserve">مسألة </w:t>
      </w:r>
      <w:r>
        <w:rPr/>
        <w:t>13</w:t>
      </w:r>
      <w:r>
        <w:rPr>
          <w:rtl w:val="true"/>
        </w:rPr>
        <w:t xml:space="preserve">): </w:t>
      </w:r>
      <w:r>
        <w:rPr>
          <w:rtl w:val="true"/>
        </w:rPr>
        <w:t>الغناء حرام فعله و سماعه و التکسّب به</w:t>
      </w:r>
      <w:r>
        <w:rPr>
          <w:rtl w:val="true"/>
        </w:rPr>
        <w:t>]</w:t>
      </w:r>
      <w:bookmarkEnd w:id="3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حرام فعله و سماعه و التکسّب به، و لیس هو مجرّد تحسین الصوت، بل هو مدّ الصوت و ترجیعه بکیفیّة خاصّة مطربة تناسب مجالس اللهو و محافل الاستئناس و الطرب، و یوالم مع آلات الملاهی و 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بین استعماله فی کلام حقّ من قراءة أو دعاء أو مرثیة و غیره من شعر أو نثر، بل یتضاعف عقابه لو استعمله فیما یطاع به اللّٰه تعالیٰ کقراءة القرآن و نحوها، نعم قد یستثنیٰ غناء المغنّیات فی الأعراس </w:t>
      </w:r>
      <w:r>
        <w:rPr>
          <w:rStyle w:val="FootnoteAnchor"/>
          <w:rtl w:val="true"/>
        </w:rPr>
        <w:footnoteReference w:id="1032"/>
      </w:r>
      <w:r>
        <w:rPr>
          <w:rFonts w:ascii="IRNazanin" w:hAnsi="IRNazanin" w:eastAsia="IRNazanin"/>
          <w:color w:val="111111"/>
          <w:sz w:val="28"/>
          <w:sz w:val="28"/>
          <w:szCs w:val="28"/>
          <w:rtl w:val="true"/>
          <w:lang w:bidi="fa-IR"/>
        </w:rPr>
        <w:t>و لیس ببعید و إن کان الأحوط ترکه</w:t>
      </w:r>
      <w:r>
        <w:rPr>
          <w:rFonts w:eastAsia="IRNazanin" w:cs="IRNazanin"/>
          <w:color w:val="111111"/>
          <w:sz w:val="28"/>
          <w:szCs w:val="28"/>
          <w:rtl w:val="true"/>
          <w:lang w:bidi="fa-IR"/>
        </w:rPr>
        <w:t>.</w:t>
      </w:r>
    </w:p>
    <w:p>
      <w:pPr>
        <w:pStyle w:val="Heading3"/>
        <w:numPr>
          <w:ilvl w:val="2"/>
          <w:numId w:val="1"/>
        </w:numPr>
        <w:rPr/>
      </w:pPr>
      <w:bookmarkStart w:id="3568" w:name="__RefHeading___Toc2568238_3650668749"/>
      <w:bookmarkStart w:id="3569" w:name="_Toc1628"/>
      <w:bookmarkEnd w:id="3568"/>
      <w:r>
        <w:rPr>
          <w:rtl w:val="true"/>
        </w:rPr>
        <w:t>[ (</w:t>
      </w:r>
      <w:r>
        <w:rPr>
          <w:rtl w:val="true"/>
        </w:rPr>
        <w:t xml:space="preserve">مسألة </w:t>
      </w:r>
      <w:r>
        <w:rPr/>
        <w:t>14</w:t>
      </w:r>
      <w:r>
        <w:rPr>
          <w:rtl w:val="true"/>
        </w:rPr>
        <w:t xml:space="preserve">): </w:t>
      </w:r>
      <w:r>
        <w:rPr>
          <w:rtl w:val="true"/>
        </w:rPr>
        <w:t>معونة الظالمین فی ظلمهم</w:t>
      </w:r>
      <w:r>
        <w:rPr>
          <w:rtl w:val="true"/>
        </w:rPr>
        <w:t>]</w:t>
      </w:r>
      <w:bookmarkEnd w:id="3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معونة الظالمین فی ظلمهم، بل فی کلّ محرّم حرام بلا إشکال، بل ورد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إلیٰ ظالم لیعینه و هو یعلم أنّه ظالم فقد خرج عن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ینادی منادٍ أین الظلمة أین أعوان الظلمة أین أشباه الظلمة، حتّی من بریٰ لهم قلماً أو لاق لهم دواة فیجتمعون فی تابوت من حدید ثمّ یرمیٰ بهم فی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معونتهم فی غیر المحرّمات فالظاهر جوازه ما لم یعدّ من أعوانهم و حواشیهم و المنسوبین إلیهم، و لم یکن اسمه مقیّداً فی دفترهم و دیوانهم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0" w:name="__RefHeading___Toc2568240_3650668749"/>
      <w:bookmarkStart w:id="3571" w:name="_Toc1629"/>
      <w:bookmarkEnd w:id="3570"/>
      <w:r>
        <w:rPr>
          <w:rtl w:val="true"/>
        </w:rPr>
        <w:t>[ (</w:t>
      </w:r>
      <w:r>
        <w:rPr>
          <w:rtl w:val="true"/>
        </w:rPr>
        <w:t xml:space="preserve">مسألة </w:t>
      </w:r>
      <w:r>
        <w:rPr/>
        <w:t>15</w:t>
      </w:r>
      <w:r>
        <w:rPr>
          <w:rtl w:val="true"/>
        </w:rPr>
        <w:t xml:space="preserve">): </w:t>
      </w:r>
      <w:r>
        <w:rPr>
          <w:rtl w:val="true"/>
        </w:rPr>
        <w:t>یحرم حفظ کتب الضلال و نسخها و قراءتها و النظر فیها و درسها و تدریسها</w:t>
      </w:r>
      <w:r>
        <w:rPr>
          <w:rtl w:val="true"/>
        </w:rPr>
        <w:t>]</w:t>
      </w:r>
      <w:bookmarkEnd w:id="357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حفظ کتب الضلال و نسخها و قراءتها و النظر فیها و درسها و تدریسها إذا لم یکن غرض صحیح فی ذلک کأن یکون قاصداً لنقضها و إبطالها و کان أهلًا لذلک و کان مأموناً من الضلال، و أمّا مجرّد الاطّلاع علیٰ مطالبها فلیس من الأغراض الصحیحة المجوّزة لحفظها لغالب الناس من العوامّ الذین یخشیٰ علیهم الضلال و الزلل، فاللازم علیٰ أمثالهم التجنّب عن الکتب المشتملة علیٰ ما یخالف عقائد المسلمین، خصوصاً ما اشتمل منها علیٰ شبهات و مغالطات عجزوا عن حلّها و دفعها، و لا یجوز لهم شراؤها و إمساکها و حفظها، بل یجب علیهم إتلافها</w:t>
      </w:r>
      <w:r>
        <w:rPr>
          <w:rFonts w:eastAsia="IRNazanin" w:cs="IRNazanin"/>
          <w:color w:val="111111"/>
          <w:sz w:val="28"/>
          <w:szCs w:val="28"/>
          <w:rtl w:val="true"/>
          <w:lang w:bidi="fa-IR"/>
        </w:rPr>
        <w:t>.</w:t>
      </w:r>
      <w:bookmarkStart w:id="3572" w:name="pg1809_19327"/>
    </w:p>
    <w:p>
      <w:pPr>
        <w:pStyle w:val="Heading3"/>
        <w:numPr>
          <w:ilvl w:val="2"/>
          <w:numId w:val="1"/>
        </w:numPr>
        <w:rPr/>
      </w:pPr>
      <w:bookmarkStart w:id="3573" w:name="__RefHeading___Toc2568242_3650668749"/>
      <w:bookmarkStart w:id="3574" w:name="_Toc1630"/>
      <w:bookmarkEnd w:id="3572"/>
      <w:bookmarkEnd w:id="3573"/>
      <w:r>
        <w:rPr>
          <w:rtl w:val="true"/>
        </w:rPr>
        <w:t>[ (</w:t>
      </w:r>
      <w:r>
        <w:rPr>
          <w:rtl w:val="true"/>
        </w:rPr>
        <w:t xml:space="preserve">مسألة </w:t>
      </w:r>
      <w:r>
        <w:rPr/>
        <w:t>16</w:t>
      </w:r>
      <w:r>
        <w:rPr>
          <w:rtl w:val="true"/>
        </w:rPr>
        <w:t xml:space="preserve">): </w:t>
      </w:r>
      <w:r>
        <w:rPr>
          <w:rtl w:val="true"/>
        </w:rPr>
        <w:t>عمل السحر و تعلیمه و تعلّمه و التکسّب به حرام</w:t>
      </w:r>
      <w:r>
        <w:rPr>
          <w:rtl w:val="true"/>
        </w:rPr>
        <w:t>]</w:t>
      </w:r>
      <w:bookmarkEnd w:id="3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السحر و تعلیمه و تعلّمه و التکسّب به حرام، حتّی ورد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الساحر کالکافر، و من تعلّم شیئاً من السحر قلیلًا أو کثیراً فقد کفر و کان آخر عهده بربّه إلّا أن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بالسحر ما یعمل من کتابة أو تکلّم أو دخنة أو تصویر أو نفث أو عقد یؤثّر فی بدن المسحور أو قلبه أو عقله، فیؤثّر فی إحضاره أو إنامته أو إغمائه أو تحبیبه أو تبغیضه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به استخدام الملائکة و إحضار الجنّ و تسخیرهم و إحضار الأرواح و تسخیرها و أمثال ذلک، بل و یلحق به، أو یکون منه الشعبذة؛ و هی إراءة غیر الواقع واقعاً بسبب الحرکة السریعة، نظیر ما یریٰ من إدارة النار بالحرکة السریعة دائرة متّصلة مع أنّها بحسب الواقع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الکهانة؛ و هی تعاطی الأخبار عن الکائنات فی مستقبل الزمان بزعم أنّه یلقی إلیه الأخبار عنها بعض الجانّ، أو بزعم أنّه یعرف الأُمور بمقدّمات و أسباب یستدلّ بها علیٰ مواقعها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القیافة؛ و هی الاستناد إلیٰ علامات خاصّة فی إلحاق بعض الناس ببعض و سلب بعض عن بعض علیٰ خلاف ما جعل فی الشرع میزاناً للإلحاق و عدمه من الفراش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التنجیم؛ و هو الإخبار علی البتّ و الجزم عن حوادث الکون من الرخص و الغلاء و الجدب و الخصب و کثرة الأمطار و قلّتها و غیر ذلک من الخیر و الشرّ و النفع و الضرر مستنداً إلی الحرکات الفلکیّة و النظرات و الاتّصالات الکوکبیّة معتقداً تأثیرها </w:t>
      </w:r>
      <w:r>
        <w:rPr>
          <w:rStyle w:val="FootnoteAnchor"/>
          <w:rtl w:val="true"/>
        </w:rPr>
        <w:footnoteReference w:id="1034"/>
      </w:r>
      <w:r>
        <w:rPr>
          <w:rFonts w:ascii="IRNazanin" w:hAnsi="IRNazanin" w:eastAsia="IRNazanin"/>
          <w:color w:val="111111"/>
          <w:sz w:val="28"/>
          <w:sz w:val="28"/>
          <w:szCs w:val="28"/>
          <w:rtl w:val="true"/>
          <w:lang w:bidi="fa-IR"/>
        </w:rPr>
        <w:t>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منه الإخبار عن الخسوف و الکسوف و الأهلّة و اقتران الکواکب و انفصالها؛ لأنّ أمثال ذلک بسبب الحساب بعد ضبط الحرکات و مقادیرها و تعیین مدارات الکواکب و أوضاعها و لها أُصول و قواعد سدیدة عندهم، و الخطأ الواقع أحیاناً منهم فی ذلک ناشئ من الخطأ فی الحساب</w:t>
      </w:r>
      <w:r>
        <w:rPr>
          <w:rFonts w:eastAsia="IRNazanin" w:cs="IRNazanin"/>
          <w:color w:val="111111"/>
          <w:sz w:val="28"/>
          <w:szCs w:val="28"/>
          <w:rtl w:val="true"/>
          <w:lang w:bidi="fa-IR"/>
        </w:rPr>
        <w:t>.</w:t>
      </w:r>
    </w:p>
    <w:p>
      <w:pPr>
        <w:pStyle w:val="Heading3"/>
        <w:numPr>
          <w:ilvl w:val="2"/>
          <w:numId w:val="1"/>
        </w:numPr>
        <w:rPr/>
      </w:pPr>
      <w:bookmarkStart w:id="3575" w:name="__RefHeading___Toc2568244_3650668749"/>
      <w:bookmarkStart w:id="3576" w:name="_Toc1631"/>
      <w:bookmarkEnd w:id="3575"/>
      <w:r>
        <w:rPr>
          <w:rtl w:val="true"/>
        </w:rPr>
        <w:t>[ (</w:t>
      </w:r>
      <w:r>
        <w:rPr>
          <w:rtl w:val="true"/>
        </w:rPr>
        <w:t xml:space="preserve">مسألة </w:t>
      </w:r>
      <w:r>
        <w:rPr/>
        <w:t>17</w:t>
      </w:r>
      <w:r>
        <w:rPr>
          <w:rtl w:val="true"/>
        </w:rPr>
        <w:t xml:space="preserve">): </w:t>
      </w:r>
      <w:r>
        <w:rPr>
          <w:rtl w:val="true"/>
        </w:rPr>
        <w:t>یحرم الغشّ بما یخفیٰ فی البیع و الشراء</w:t>
      </w:r>
      <w:r>
        <w:rPr>
          <w:rtl w:val="true"/>
        </w:rPr>
        <w:t>]</w:t>
      </w:r>
      <w:bookmarkEnd w:id="357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الغشّ بما یخفیٰ فی البیع و الشراء کشوب اللبن بالماء و خلط الطعام الجیّد بالردی‌ء و مزج الدهن بالشحم و نحو ذلک من دون إعلام، ففی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غشّ مسلماً أو ضرّه أو ماکره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النبویّ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 مسلماً فی بیع أو شراء فلیس منّا و یحشر مع الیهود یوم القیامة؛ لأنّه من غشّ الناس فلیس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w:t>
      </w:r>
      <w:bookmarkStart w:id="3577" w:name="pg1809_19328"/>
    </w:p>
    <w:p>
      <w:pPr>
        <w:pStyle w:val="BookText"/>
        <w:rPr/>
      </w:pPr>
      <w:bookmarkEnd w:id="357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غشّنا فلیس منّا قالها ثلاثاً و من غشّ أخاه المسلم نزع اللّٰه برکةَ رزقه و سدّ علیه معیشته و وکّله إلیٰ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یبیع الدقیق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الغشّ فإنّ من غشّ غُشّ فی ماله فإن لم یکن له مال غشّ فی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یفسد أصل المعاملة بوقوع الغشّ و إن حرم فعله و أوجب الخیار للمغشوش بعد الاطّلاع، نعم لو کان الغشّ بإظهار الشی‌ء علیٰ خلاف جنسه کبیع المموّه علیٰ أنّه ذهب أو فضّة و نحو ذلک فسد أصل المعاملة</w:t>
      </w:r>
      <w:r>
        <w:rPr>
          <w:rFonts w:eastAsia="IRNazanin" w:cs="IRNazanin"/>
          <w:color w:val="111111"/>
          <w:sz w:val="28"/>
          <w:szCs w:val="28"/>
          <w:rtl w:val="true"/>
          <w:lang w:bidi="fa-IR"/>
        </w:rPr>
        <w:t>.</w:t>
      </w:r>
    </w:p>
    <w:p>
      <w:pPr>
        <w:pStyle w:val="Heading3"/>
        <w:numPr>
          <w:ilvl w:val="2"/>
          <w:numId w:val="1"/>
        </w:numPr>
        <w:rPr/>
      </w:pPr>
      <w:bookmarkStart w:id="3578" w:name="__RefHeading___Toc2568246_3650668749"/>
      <w:bookmarkStart w:id="3579" w:name="_Toc1632"/>
      <w:bookmarkEnd w:id="3578"/>
      <w:r>
        <w:rPr>
          <w:rtl w:val="true"/>
        </w:rPr>
        <w:t>[ (</w:t>
      </w:r>
      <w:r>
        <w:rPr>
          <w:rtl w:val="true"/>
        </w:rPr>
        <w:t xml:space="preserve">مسألة </w:t>
      </w:r>
      <w:r>
        <w:rPr/>
        <w:t>18</w:t>
      </w:r>
      <w:r>
        <w:rPr>
          <w:rtl w:val="true"/>
        </w:rPr>
        <w:t xml:space="preserve">): </w:t>
      </w:r>
      <w:r>
        <w:rPr>
          <w:rtl w:val="true"/>
        </w:rPr>
        <w:t>یحرم أخذ الأُجرة علیٰ ما یجب علیه فعله و لو کفائیّاً کتغسیل الموتی و تکفینهم و دفنهم</w:t>
      </w:r>
      <w:r>
        <w:rPr>
          <w:rtl w:val="true"/>
        </w:rPr>
        <w:t>]</w:t>
      </w:r>
      <w:bookmarkEnd w:id="3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أخذ الأُجرة علیٰ ما یجب علیه فعله و لو کفائیّاً </w:t>
      </w:r>
      <w:r>
        <w:rPr>
          <w:rStyle w:val="FootnoteAnchor"/>
          <w:rtl w:val="true"/>
        </w:rPr>
        <w:footnoteReference w:id="1035"/>
      </w:r>
      <w:r>
        <w:rPr>
          <w:rFonts w:ascii="IRNazanin" w:hAnsi="IRNazanin" w:eastAsia="IRNazanin"/>
          <w:color w:val="111111"/>
          <w:sz w:val="28"/>
          <w:sz w:val="28"/>
          <w:szCs w:val="28"/>
          <w:rtl w:val="true"/>
          <w:lang w:bidi="fa-IR"/>
        </w:rPr>
        <w:t>کتغسیل الموتی و تکفینهم و دفنهم، نعم لو کان الواجب توصّلیّاً کالدفن و لم یبذل المال لأجل أصل العمل، بل لأجل اختیار عمل خاصّ لا بأس به، فالمحرّم أخذ الأُجرة لأصل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اختار الولیّ مکاناً خاصّاً و قبراً مخصوصاً و أعطی المال للحفّار لحفر ذلک المکان الخاصّ، فالظاهر أنّه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بأس بأخذ الطبیب الأُجرة للحضور عند المریض، و إن أشکل أخذها لأجل أصل المعالجة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کان الواجب توصّلیّاً لا یشترط فیه قصد القربة کالدفن، و أمّا لو کان تعبّدیّاً یشترط فیه التقرّب کالتغسیل فلا یجوز أخذ الأُجرة علیه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بأخذها علیٰ بعض الأُمور الغیر الواجبة کما تقدّم فی غسل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یجب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مسائل الحلال و الحرام فلا یجوز أخذ الأُجرة علیه، و أمّا تعلیم الأطفال للقرآن فضلًا عن غیره من الکتابة و قراءة الخطّ و غیر ذلک فلا بأس بأخذ الأُجرة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بأخذ الأُجرة علی الواجبات أخذها علیٰ ما وجب علیٰ نفس الأجیر، و أمّا ما وجب علیٰ غیره و لا یعتبر فیه المباشرة فلا بأس بأخذ الأُجرة علیه حتّی فی العبادات التی یشرع فیها النیابة؛ حیث إنّ الأُجرة تکون فی قبال النیابة عنه، فلا بأس بالاستئجار للأموات فی العبادات کالحجّ و الصوم و الصلاة</w:t>
      </w:r>
      <w:r>
        <w:rPr>
          <w:rFonts w:eastAsia="IRNazanin" w:cs="IRNazanin"/>
          <w:color w:val="111111"/>
          <w:sz w:val="28"/>
          <w:szCs w:val="28"/>
          <w:rtl w:val="true"/>
          <w:lang w:bidi="fa-IR"/>
        </w:rPr>
        <w:t>.</w:t>
      </w:r>
    </w:p>
    <w:p>
      <w:pPr>
        <w:pStyle w:val="Heading3"/>
        <w:numPr>
          <w:ilvl w:val="2"/>
          <w:numId w:val="1"/>
        </w:numPr>
        <w:rPr/>
      </w:pPr>
      <w:bookmarkStart w:id="3580" w:name="__RefHeading___Toc2568248_3650668749"/>
      <w:bookmarkStart w:id="3581" w:name="_Toc1633"/>
      <w:bookmarkEnd w:id="3580"/>
      <w:r>
        <w:rPr>
          <w:rtl w:val="true"/>
        </w:rPr>
        <w:t>[ (</w:t>
      </w:r>
      <w:r>
        <w:rPr>
          <w:rtl w:val="true"/>
        </w:rPr>
        <w:t xml:space="preserve">مسألة </w:t>
      </w:r>
      <w:r>
        <w:rPr/>
        <w:t>19</w:t>
      </w:r>
      <w:r>
        <w:rPr>
          <w:rtl w:val="true"/>
        </w:rPr>
        <w:t xml:space="preserve">): </w:t>
      </w:r>
      <w:r>
        <w:rPr>
          <w:rtl w:val="true"/>
        </w:rPr>
        <w:t>کما أنّ فی الشرع معاملات و مکاسب محرّمة یجب الاجتناب عنها</w:t>
      </w:r>
      <w:r>
        <w:rPr>
          <w:rtl w:val="true"/>
        </w:rPr>
        <w:t>]</w:t>
      </w:r>
      <w:bookmarkEnd w:id="358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فی الشرع معاملات و مکاسب محرّمة یجب الاجتناب عنها کذلک مکاسب مکروهة ینبغی التنزّه عنها، و هی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بیع الصرف فإنّه لا یسلم من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الأکفان فإنّه لا یسلم من أن یسرّه الوباء و کثرة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الطعام فإنّه</w:t>
      </w:r>
      <w:bookmarkStart w:id="3582" w:name="pg1809_19329"/>
    </w:p>
    <w:p>
      <w:pPr>
        <w:pStyle w:val="BookText"/>
        <w:rPr/>
      </w:pPr>
      <w:bookmarkEnd w:id="3582"/>
      <w:r>
        <w:rPr>
          <w:rFonts w:ascii="IRNazanin" w:hAnsi="IRNazanin" w:eastAsia="IRNazanin"/>
          <w:color w:val="111111"/>
          <w:sz w:val="28"/>
          <w:sz w:val="28"/>
          <w:szCs w:val="28"/>
          <w:rtl w:val="true"/>
          <w:lang w:bidi="fa-IR"/>
        </w:rPr>
        <w:t>لا یسلم من الاحتکار و حبّ الغلاء و نزعت منه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الرقیق فإنّ شرّ الناس من باع الناس، و إنّما تکره البیوع المزبورة فیما إذا جعلها حرفة له علیٰ وجه یکون صیرفیّاً و بیّاع أکفان و حنّاطاً و نخّاساً، لا بمجرّد صدورها منه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الذبح و النحر صنعة فإنّ صاحبها یقسو قلبه و یسلب منه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صنعة الحیاکة فإنّ اللّٰه تعالیٰ قد سلب عن الحوکة عقولهم، و روی أنّ عقل أربعین معلّماً عقل حائک و عقل حائک عقل أمریة و المرأة لا عقل لها، بل ورد أنّ ولد الحائک لا ینجب إلیٰ سبعة أبطن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صنعة الحجامة و کسبها خصوصاً إذا کان یشترط الأُجرة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التکسّب بضراب الفحل بأن یؤاجره لذلک مع ضبطه بالمرّة أو المرّات المعیّنة أو بالمدّة أو بغیر الإجارة، نعم الظاهر أنّه لا کراهة فیما یعطیٰ له بعنوان الإهداء و الإکرام عوضاً عن ذلک</w:t>
      </w:r>
      <w:r>
        <w:rPr>
          <w:rFonts w:eastAsia="IRNazanin" w:cs="IRNazanin"/>
          <w:color w:val="111111"/>
          <w:sz w:val="28"/>
          <w:szCs w:val="28"/>
          <w:rtl w:val="true"/>
          <w:lang w:bidi="fa-IR"/>
        </w:rPr>
        <w:t>.</w:t>
      </w:r>
    </w:p>
    <w:p>
      <w:pPr>
        <w:pStyle w:val="Heading3"/>
        <w:numPr>
          <w:ilvl w:val="2"/>
          <w:numId w:val="1"/>
        </w:numPr>
        <w:rPr/>
      </w:pPr>
      <w:bookmarkStart w:id="3583" w:name="__RefHeading___Toc2568250_3650668749"/>
      <w:bookmarkStart w:id="3584" w:name="_Toc1634"/>
      <w:bookmarkEnd w:id="3583"/>
      <w:r>
        <w:rPr>
          <w:rtl w:val="true"/>
        </w:rPr>
        <w:t>[ (</w:t>
      </w:r>
      <w:r>
        <w:rPr>
          <w:rtl w:val="true"/>
        </w:rPr>
        <w:t xml:space="preserve">مسألة </w:t>
      </w:r>
      <w:r>
        <w:rPr/>
        <w:t>20</w:t>
      </w:r>
      <w:r>
        <w:rPr>
          <w:rtl w:val="true"/>
        </w:rPr>
        <w:t xml:space="preserve">): </w:t>
      </w:r>
      <w:r>
        <w:rPr>
          <w:rtl w:val="true"/>
        </w:rPr>
        <w:t>لا ریب أنّ التکسّب و تحصیل المعیشة بالکدّ و التعب محبوب عند الربّ</w:t>
      </w:r>
      <w:r>
        <w:rPr>
          <w:rtl w:val="true"/>
        </w:rPr>
        <w:t>]</w:t>
      </w:r>
      <w:bookmarkEnd w:id="3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 التکسّب و تحصیل المعیشة بالکدّ و التعب محبوب عند الربّ، فعن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سبعون جزءً، أفضلها طلب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مولانا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یحبّ المحترف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الدنیا استعفافاً عن الناس و سعیاً علیٰ أهله و تعطّفاً علیٰ جاره لقی اللّٰه عزّ و جلّ یوم القیامة و وجهه مثل القمر لیلة البدر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أفضل </w:t>
      </w:r>
      <w:r>
        <w:rPr>
          <w:rStyle w:val="FootnoteAnchor"/>
          <w:rtl w:val="true"/>
        </w:rPr>
        <w:footnoteReference w:id="1036"/>
      </w:r>
      <w:r>
        <w:rPr>
          <w:rFonts w:ascii="IRNazanin" w:hAnsi="IRNazanin" w:eastAsia="IRNazanin"/>
          <w:color w:val="111111"/>
          <w:sz w:val="28"/>
          <w:sz w:val="28"/>
          <w:szCs w:val="28"/>
          <w:rtl w:val="true"/>
          <w:lang w:bidi="fa-IR"/>
        </w:rPr>
        <w:t xml:space="preserve">المکاسب التجارة، فعن مولانا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اتّجروا بارک اللّٰه لکم فإنّی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عشرة أجزاء؛ تسعة أجزاء فی التجارة و واحد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خبر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تسعة أعشار الرزق فی التجارة و الجزء الباقی فی السابیاء؛ یعنی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الزرع و الغرس، و أفضله النخل، فعن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الأعمال الحرث تزرع فیأکل منه البرّ و الفاجر إلیٰ أن قال و یأکل منه البهائم و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ازرعوا و اغرسوا فلا و اللّٰه ما عمل الناس عملًا أحلّ و أطیب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الزارعون کنوز الأنام یزرعون طیّباً أخرجه اللّٰه عزّ و جلّ و هم یوم القیامة أحسن الناس مقاماً و أقربهم منزلة، یدعون المبارکین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الکیمیا الأکبر الزراعة ثمّ اقتناء الأغنام للاستفادة؛ فإنّ فیها البرکة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مولانا</w:t>
      </w:r>
      <w:bookmarkStart w:id="3585" w:name="pg1809_19330"/>
    </w:p>
    <w:p>
      <w:pPr>
        <w:pStyle w:val="BookText"/>
        <w:rPr/>
      </w:pPr>
      <w:bookmarkEnd w:id="3585"/>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اتّخذ أهل بیت شاة آتاهم اللّٰه برزقها و زاد فی أرزاقهم و ارتحل عنهم الفقر مرحلة، فإن اتّخذوا شاتین آتاهم اللّٰه بأرزاقهما و زاد فی أرزاقهم و ارتحل عنهم الفقر مرحلتین و إن اتّخذوا ثلاثة آتاهم اللّٰه بأرزاقها و ارتحل عنهم الفقر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أهل بیت تروح علیهم ثلاثون شاة إلّا لم تزل الملائکة تحرسهم حتّی یصبحوا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اقتناء البقر فإنّها تغدو بخیر و تروح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الإبل فقد نهی عن إکثارها، فعن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فیها الشقاء و الجفاء و العناء</w:t>
      </w:r>
      <w:r>
        <w:rPr>
          <w:rFonts w:eastAsia="IRNazanin" w:cs="IRNazanin"/>
          <w:color w:val="111111"/>
          <w:sz w:val="28"/>
          <w:szCs w:val="28"/>
          <w:rtl w:val="true"/>
          <w:lang w:bidi="fa-IR"/>
        </w:rPr>
        <w:t>».</w:t>
      </w:r>
    </w:p>
    <w:p>
      <w:pPr>
        <w:pStyle w:val="Heading3"/>
        <w:numPr>
          <w:ilvl w:val="2"/>
          <w:numId w:val="1"/>
        </w:numPr>
        <w:rPr/>
      </w:pPr>
      <w:bookmarkStart w:id="3586" w:name="__RefHeading___Toc2568252_3650668749"/>
      <w:bookmarkStart w:id="3587" w:name="_Toc1635"/>
      <w:bookmarkEnd w:id="3586"/>
      <w:r>
        <w:rPr>
          <w:rtl w:val="true"/>
        </w:rPr>
        <w:t>[ (</w:t>
      </w:r>
      <w:r>
        <w:rPr>
          <w:rtl w:val="true"/>
        </w:rPr>
        <w:t xml:space="preserve">مسألة </w:t>
      </w:r>
      <w:r>
        <w:rPr/>
        <w:t>21</w:t>
      </w:r>
      <w:r>
        <w:rPr>
          <w:rtl w:val="true"/>
        </w:rPr>
        <w:t xml:space="preserve">): </w:t>
      </w:r>
      <w:r>
        <w:rPr>
          <w:rtl w:val="true"/>
        </w:rPr>
        <w:t>یجب علیٰ کلّ من یباشر التجارة و سائر أنواع التکسّب</w:t>
      </w:r>
      <w:r>
        <w:rPr>
          <w:rtl w:val="true"/>
        </w:rPr>
        <w:t>]</w:t>
      </w:r>
      <w:bookmarkEnd w:id="3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کلّ من یباشر التجارة و سائر أنواع التکسّب تعلّم أحکامها و المسائل المتعلّقة بها لیعرف صحیحها عن فاسدها و یسلم من الربا، فعن مولانا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المنبر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التجار الفقه ثمّ المتجر، الفقه ثمّ المتجر، الفقه ثمّ المتجر، و اللّٰه للربا فی هذه الأُمّة أخفیٰ من دبیب النمل علی الصفا، شوبوا إیمانکم بالصدق، التاجر فاجر و الفاجر فی النار إلّا من أخذ الحقّ و أعطی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اتّجر بغیر علم ارتطم فی الربا ثمّ ارتطم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یقعدنّ فی السوق إلّا من یعقل الشراء و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التجارة فلیتفقّه فی دینه لیعلم بذلک ما یحلّ له ممّا یحرم علیه، و من لم یتفقّه فی دینه ثمّ اتّجر تورّط فی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 اللازم أن یکون عالماً و لو عن تقلید بحکم التجارة و المعاملة التی یوقعها حین إیقاعها، بل و لو بعد إیقاعها بأن یوقع معاملة مشکوکة فی صحّتها و فسادها ثمّ یسأل عن حکمها، فإذا تبیّن کونها صحیحة رتّب علیها الأثر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فیما اشتبه حکمه من جهة الحرمة و الحلّیّة لا من جهة مجرّد الفساد و الصحّة کموارد الشکّ فی کون المعاملة ربویّة </w:t>
      </w:r>
      <w:r>
        <w:rPr>
          <w:rStyle w:val="FootnoteAnchor"/>
          <w:rtl w:val="true"/>
        </w:rPr>
        <w:footnoteReference w:id="1037"/>
      </w:r>
      <w:r>
        <w:rPr>
          <w:rFonts w:ascii="IRNazanin" w:hAnsi="IRNazanin" w:eastAsia="IRNazanin"/>
          <w:color w:val="111111"/>
          <w:sz w:val="28"/>
          <w:sz w:val="28"/>
          <w:szCs w:val="28"/>
          <w:rtl w:val="true"/>
          <w:lang w:bidi="fa-IR"/>
        </w:rPr>
        <w:t>یجب علی الجاهل الاجتناب حتّی یسأل عن حکمه و یتعلّمه</w:t>
      </w:r>
      <w:r>
        <w:rPr>
          <w:rFonts w:eastAsia="IRNazanin" w:cs="IRNazanin"/>
          <w:color w:val="111111"/>
          <w:sz w:val="28"/>
          <w:szCs w:val="28"/>
          <w:rtl w:val="true"/>
          <w:lang w:bidi="fa-IR"/>
        </w:rPr>
        <w:t>.</w:t>
      </w:r>
    </w:p>
    <w:p>
      <w:pPr>
        <w:pStyle w:val="Heading3"/>
        <w:numPr>
          <w:ilvl w:val="2"/>
          <w:numId w:val="1"/>
        </w:numPr>
        <w:rPr/>
      </w:pPr>
      <w:bookmarkStart w:id="3588" w:name="__RefHeading___Toc2568254_3650668749"/>
      <w:bookmarkStart w:id="3589" w:name="_Toc1636"/>
      <w:bookmarkEnd w:id="3588"/>
      <w:r>
        <w:rPr>
          <w:rtl w:val="true"/>
        </w:rPr>
        <w:t>[ (</w:t>
      </w:r>
      <w:r>
        <w:rPr>
          <w:rtl w:val="true"/>
        </w:rPr>
        <w:t xml:space="preserve">مسألة </w:t>
      </w:r>
      <w:r>
        <w:rPr/>
        <w:t>22</w:t>
      </w:r>
      <w:r>
        <w:rPr>
          <w:rtl w:val="true"/>
        </w:rPr>
        <w:t xml:space="preserve">): </w:t>
      </w:r>
      <w:r>
        <w:rPr>
          <w:rtl w:val="true"/>
        </w:rPr>
        <w:t>للتجارة و التکسّب آداب مستحبّة و مکروهة</w:t>
      </w:r>
      <w:r>
        <w:rPr>
          <w:rtl w:val="true"/>
        </w:rPr>
        <w:t>]</w:t>
      </w:r>
      <w:bookmarkEnd w:id="3589"/>
    </w:p>
    <w:p>
      <w:pPr>
        <w:pStyle w:val="Heading4"/>
        <w:numPr>
          <w:ilvl w:val="3"/>
          <w:numId w:val="1"/>
        </w:numPr>
        <w:rPr/>
      </w:pPr>
      <w:bookmarkStart w:id="3590" w:name="__RefHeading___Toc2568256_3650668749"/>
      <w:bookmarkStart w:id="3591" w:name="_Toc1637"/>
      <w:bookmarkEnd w:id="3590"/>
      <w:r>
        <w:rPr>
          <w:rtl w:val="true"/>
        </w:rPr>
        <w:t>اشارة</w:t>
      </w:r>
      <w:bookmarkEnd w:id="3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للتجارة و التکسّب آداب مستحبّة و مکروهة</w:t>
      </w:r>
      <w:r>
        <w:rPr>
          <w:rFonts w:eastAsia="IRNazanin" w:cs="IRNazanin"/>
          <w:color w:val="111111"/>
          <w:sz w:val="28"/>
          <w:szCs w:val="28"/>
          <w:rtl w:val="true"/>
          <w:lang w:bidi="fa-IR"/>
        </w:rPr>
        <w:t>.</w:t>
      </w:r>
    </w:p>
    <w:p>
      <w:pPr>
        <w:pStyle w:val="Heading4"/>
        <w:numPr>
          <w:ilvl w:val="3"/>
          <w:numId w:val="1"/>
        </w:numPr>
        <w:rPr/>
      </w:pPr>
      <w:bookmarkStart w:id="3592" w:name="__RefHeading___Toc2568258_3650668749"/>
      <w:bookmarkStart w:id="3593" w:name="_Toc1638"/>
      <w:bookmarkEnd w:id="3592"/>
      <w:r>
        <w:rPr>
          <w:rtl w:val="true"/>
        </w:rPr>
        <w:t>[</w:t>
      </w:r>
      <w:r>
        <w:rPr>
          <w:rtl w:val="true"/>
        </w:rPr>
        <w:t>أمّا المستحبّة</w:t>
      </w:r>
      <w:r>
        <w:rPr>
          <w:rtl w:val="true"/>
        </w:rPr>
        <w:t>]</w:t>
      </w:r>
      <w:bookmarkEnd w:id="359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فأهمّها الإجمال فی الطلب و الاقتصاد فیه، فعن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طلبک المعیشة فوق کسب المضیّع و دون طلب الحریص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الروح الأمین نفث فی روعی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تموت نفس</w:t>
      </w:r>
      <w:bookmarkStart w:id="3594" w:name="pg1809_19331"/>
    </w:p>
    <w:p>
      <w:pPr>
        <w:pStyle w:val="BookText"/>
        <w:rPr/>
      </w:pPr>
      <w:bookmarkEnd w:id="3594"/>
      <w:r>
        <w:rPr>
          <w:rFonts w:ascii="IRNazanin" w:hAnsi="IRNazanin" w:eastAsia="IRNazanin"/>
          <w:color w:val="111111"/>
          <w:sz w:val="28"/>
          <w:sz w:val="28"/>
          <w:szCs w:val="28"/>
          <w:rtl w:val="true"/>
          <w:lang w:bidi="fa-IR"/>
        </w:rPr>
        <w:t>حتّی تستکمل رزقها، فاتّقوا اللّٰه عزّ و جلّ و أجملوا فی الطلب و لا یحملنّکم استبطاء شی‌ء من الرزق أن تطلبوه بشی‌ء من معصیة اللّٰه عزّ و جلّ فإنّ اللّٰه تبارک و تعالی قسّم الأرزاق بین خلقه حلالًا و لم یقسّمها حراماً، فمن اتّقی اللّٰه عزّ و جلّ و صبر آتاه اللّٰه برزقه من حلّه، و من هتک حجاب الستر و عجّل فأخذه من غیر حلّه قصّ به من رزقه الحلال و حوسب علیه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إقالة النادم فی البیع و الشراء لو استقاله، فأیّما عبد أقال مسلماً فی بیع أقاله اللّٰه عثرته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التسویة بین المبتاعین فی السعر، فلا یفرّق بین المماکس و غیره بأن یقلّل الثمن للأوّل و یزیده للثانی، نعم لو فرّق بینهم بسبب الفضل و الدین و نحو ذلک فالظاهر أنّه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یقبض لنفسه ناقصاً و یعطی راجحاً</w:t>
      </w:r>
      <w:r>
        <w:rPr>
          <w:rFonts w:eastAsia="IRNazanin" w:cs="IRNazanin"/>
          <w:color w:val="111111"/>
          <w:sz w:val="28"/>
          <w:szCs w:val="28"/>
          <w:rtl w:val="true"/>
          <w:lang w:bidi="fa-IR"/>
        </w:rPr>
        <w:t>.</w:t>
      </w:r>
    </w:p>
    <w:p>
      <w:pPr>
        <w:pStyle w:val="Heading4"/>
        <w:numPr>
          <w:ilvl w:val="3"/>
          <w:numId w:val="1"/>
        </w:numPr>
        <w:rPr/>
      </w:pPr>
      <w:bookmarkStart w:id="3595" w:name="__RefHeading___Toc2568260_3650668749"/>
      <w:bookmarkStart w:id="3596" w:name="_Toc1639"/>
      <w:bookmarkEnd w:id="3595"/>
      <w:r>
        <w:rPr>
          <w:rtl w:val="true"/>
        </w:rPr>
        <w:t>[</w:t>
      </w:r>
      <w:r>
        <w:rPr>
          <w:rtl w:val="true"/>
        </w:rPr>
        <w:t>و أمّا المکروهة</w:t>
      </w:r>
      <w:r>
        <w:rPr>
          <w:rtl w:val="true"/>
        </w:rPr>
        <w:t>]</w:t>
      </w:r>
      <w:bookmarkEnd w:id="359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المکروهة فأُمور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مدح البائع لِمٰا یبیعه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المشتری لِمٰا یشتریه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الیمین صادقاً علی البیع و الشراء، ففی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من کنّ فیه طاب مکسبه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لم یعب، و إذا باع لم یمدح، و لا یدلّس، و فیما بین ذلک لا یحلف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فی موضع یستتر فیه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الربح علی المؤمن و علیٰ من وعده بالإحسان إلّا مع الضرورة، أو کون الشراء </w:t>
      </w:r>
      <w:r>
        <w:rPr>
          <w:rStyle w:val="FootnoteAnchor"/>
          <w:rtl w:val="true"/>
        </w:rPr>
        <w:footnoteReference w:id="1038"/>
      </w:r>
      <w:r>
        <w:rPr>
          <w:rFonts w:ascii="IRNazanin" w:hAnsi="IRNazanin" w:eastAsia="IRNazanin"/>
          <w:color w:val="111111"/>
          <w:sz w:val="28"/>
          <w:sz w:val="28"/>
          <w:szCs w:val="28"/>
          <w:rtl w:val="true"/>
          <w:lang w:bidi="fa-IR"/>
        </w:rPr>
        <w:t>للتجارة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السوم ما 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إلی السوق أوّلًا و الخروج منه أخیراً، بل ینبغی أن یکون آخر داخل و أوّل خارج؛ عکس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مبایعة الأدنین الذین لا یبالون بما قالوا و ما قیل لهم و لا یسرّهم الإحسان و لا تسوؤهم الإساءة و الذین یحاسبون علی الشی‌ء الدنیّ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مبایعة ذوی العاهات و الأکراد و المحارف و من لم ینشأ فی الخیر کمستحدثی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التعرّض للکیل أو الوزن أو العدّ أو المساحة إذا لم یحسنه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الاستحطاط من الثمن بعد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سوم المؤمن علی الأظهر و قیل بالحرمة، و المراد به الزیادة فی الثمن، أو بذل مبیع غیر ما بذله البائع الأوّل لیکون الشراء أو البیع له بعد تراضی الأوّلین، و الإشراف علیٰ إیقاع العقد فی البین، فلا یکون منه الزیادة فیما إذا کان المبیع فی المزایدة</w:t>
      </w:r>
      <w:r>
        <w:rPr>
          <w:rFonts w:eastAsia="IRNazanin" w:cs="IRNazanin"/>
          <w:color w:val="111111"/>
          <w:sz w:val="28"/>
          <w:szCs w:val="28"/>
          <w:rtl w:val="true"/>
          <w:lang w:bidi="fa-IR"/>
        </w:rPr>
        <w:t>.</w:t>
      </w:r>
      <w:bookmarkStart w:id="3597" w:name="pg1809_19332"/>
    </w:p>
    <w:p>
      <w:pPr>
        <w:pStyle w:val="BookText"/>
        <w:rPr/>
      </w:pPr>
      <w:bookmarkEnd w:id="3597"/>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یتوکّل حاضر عارف بسعر البلد لباد غریب جاهل غافل؛ بأن یصیر وکیلًا عنه فی البیع و الشراء، ففی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یبیع حاضر لباد، دعوا الناس یرزق اللّٰه بعضهم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النبوی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الناس علیٰ غفلاتها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الرکبان و القوافل و استقبالهم للبیع علیهم أو الشراء منهم قبل وصولهم إلی البلد، و قیل یحرم و إن صحّ البیع و الشراء لو تلقّیٰ و باع أو اشتریٰ، و هو الأحوط و إن کان الأظهر الکراهة، و إنّما یکره أو یحرم بشروط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الخروج بقصد ذلک، فلو خرج لا لذلک فاتّفق الرکب لم یثبت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مسمّی الخروج من البلد، فلو تلقّی الرکب فی أوّل وصوله إلی البلد لم یثبت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دون الأربعة فراسخ، فلو تلقّیٰ فی الأربعة فصاعداً لم یثبت الحکم بل یکون سفر تجارة، و فی اعتبار کون الرکب جاهلًا بسعر البلد فیما یبیعه أو یشتریه وجه </w:t>
      </w:r>
      <w:r>
        <w:rPr>
          <w:rStyle w:val="FootnoteAnchor"/>
          <w:rtl w:val="true"/>
        </w:rPr>
        <w:footnoteReference w:id="1039"/>
      </w:r>
      <w:r>
        <w:rPr>
          <w:rFonts w:ascii="IRNazanin" w:hAnsi="IRNazanin" w:eastAsia="IRNazanin"/>
          <w:color w:val="111111"/>
          <w:sz w:val="28"/>
          <w:sz w:val="28"/>
          <w:szCs w:val="28"/>
          <w:rtl w:val="true"/>
          <w:lang w:bidi="fa-IR"/>
        </w:rPr>
        <w:t>و إن کان الأحوط التعمیم، و هل یعمّ الحکم غیر البیع و الشراء کالإجارة و نحوها؟ وجهان</w:t>
      </w:r>
      <w:r>
        <w:rPr>
          <w:rFonts w:eastAsia="IRNazanin" w:cs="IRNazanin"/>
          <w:color w:val="111111"/>
          <w:sz w:val="28"/>
          <w:szCs w:val="28"/>
          <w:rtl w:val="true"/>
          <w:lang w:bidi="fa-IR"/>
        </w:rPr>
        <w:t>.</w:t>
      </w:r>
    </w:p>
    <w:p>
      <w:pPr>
        <w:pStyle w:val="Heading3"/>
        <w:numPr>
          <w:ilvl w:val="2"/>
          <w:numId w:val="1"/>
        </w:numPr>
        <w:rPr/>
      </w:pPr>
      <w:bookmarkStart w:id="3598" w:name="__RefHeading___Toc2568262_3650668749"/>
      <w:bookmarkStart w:id="3599" w:name="_Toc1640"/>
      <w:bookmarkEnd w:id="3598"/>
      <w:r>
        <w:rPr>
          <w:rtl w:val="true"/>
        </w:rPr>
        <w:t>[ (</w:t>
      </w:r>
      <w:r>
        <w:rPr>
          <w:rtl w:val="true"/>
        </w:rPr>
        <w:t xml:space="preserve">مسألة </w:t>
      </w:r>
      <w:r>
        <w:rPr/>
        <w:t>23</w:t>
      </w:r>
      <w:r>
        <w:rPr>
          <w:rtl w:val="true"/>
        </w:rPr>
        <w:t xml:space="preserve">): </w:t>
      </w:r>
      <w:r>
        <w:rPr>
          <w:rtl w:val="true"/>
        </w:rPr>
        <w:t>الاحتکار</w:t>
      </w:r>
      <w:r>
        <w:rPr>
          <w:rtl w:val="true"/>
        </w:rPr>
        <w:t>]</w:t>
      </w:r>
      <w:bookmarkEnd w:id="359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الاحتکار و هو حبس الطعام و جمعه یتربّص به الغلاء حرام مع ضرورة المسلمین و حاجتهم و عدم وجود من یبذلهم قدر کفایتهم، فعن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طرق طائفة من بنی إسرائیل لیلًا عذاب و أصبحوا و قد فقدوا أربعة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الطبّالین و المغنّین و المحتکرین للطعام و الصیارفة؛ أکلة الربا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یحتکر الطعام إلّا خاطئ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اطّلعت فی النار فرأیت وادیاً فی جهنّم یغلی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لمن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المحتکرین و المدمنین للخمر و القوّادین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مجرّد حبس الطعام انتظاراً لعلوّ السعر مع عدم ضرورة الناس و وجود الباذل لیس بحرام و إن کان مکروهاً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یحبسه للبیع فی زمان الغلاء، بل کان لصرفه فی محاویجه لا حرمة و لا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یتحقّق الاحتکار بحبس الحنطة و الشعیر و التمر و الزبیب و الدهن، و کذا الزیت و الملح علی الأحوط لو لم یکن أقوی </w:t>
      </w:r>
      <w:r>
        <w:rPr>
          <w:rStyle w:val="FootnoteAnchor"/>
          <w:rtl w:val="true"/>
        </w:rPr>
        <w:footnoteReference w:id="1040"/>
      </w:r>
      <w:r>
        <w:rPr>
          <w:rFonts w:ascii="IRNazanin" w:hAnsi="IRNazanin" w:eastAsia="IRNazanin"/>
          <w:color w:val="111111"/>
          <w:sz w:val="28"/>
          <w:sz w:val="28"/>
          <w:szCs w:val="28"/>
          <w:rtl w:val="true"/>
          <w:lang w:bidi="fa-IR"/>
        </w:rPr>
        <w:t>بل لا یبعد تحقّقه فی کلّ ما یحتاج إلیه عامّة</w:t>
      </w:r>
      <w:bookmarkStart w:id="3600" w:name="pg1809_19333"/>
    </w:p>
    <w:p>
      <w:pPr>
        <w:pStyle w:val="BookText"/>
        <w:rPr/>
      </w:pPr>
      <w:bookmarkEnd w:id="3600"/>
      <w:r>
        <w:rPr>
          <w:rFonts w:ascii="IRNazanin" w:hAnsi="IRNazanin" w:eastAsia="IRNazanin"/>
          <w:color w:val="111111"/>
          <w:sz w:val="28"/>
          <w:sz w:val="28"/>
          <w:szCs w:val="28"/>
          <w:rtl w:val="true"/>
          <w:lang w:bidi="fa-IR"/>
        </w:rPr>
        <w:t>أهالی البلد من الأطعمة کالأرز و الذرة بالنسبة إلیٰ بعض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یجبر المحتکر علی البیع و لا یعیّن </w:t>
      </w:r>
      <w:r>
        <w:rPr>
          <w:rStyle w:val="FootnoteAnchor"/>
          <w:rtl w:val="true"/>
        </w:rPr>
        <w:footnoteReference w:id="1041"/>
      </w:r>
      <w:r>
        <w:rPr>
          <w:rFonts w:ascii="IRNazanin" w:hAnsi="IRNazanin" w:eastAsia="IRNazanin"/>
          <w:color w:val="111111"/>
          <w:sz w:val="28"/>
          <w:sz w:val="28"/>
          <w:szCs w:val="28"/>
          <w:rtl w:val="true"/>
          <w:lang w:bidi="fa-IR"/>
        </w:rPr>
        <w:t xml:space="preserve">علیه السعر، بل له أن یبیع بما شاء إلّا إذا أجحف فیجبر علی النزول </w:t>
      </w:r>
      <w:r>
        <w:rPr>
          <w:rStyle w:val="FootnoteAnchor"/>
          <w:rtl w:val="true"/>
        </w:rPr>
        <w:footnoteReference w:id="1042"/>
      </w:r>
      <w:r>
        <w:rPr>
          <w:rFonts w:ascii="IRNazanin" w:hAnsi="IRNazanin" w:eastAsia="IRNazanin"/>
          <w:color w:val="111111"/>
          <w:sz w:val="28"/>
          <w:sz w:val="28"/>
          <w:szCs w:val="28"/>
          <w:rtl w:val="true"/>
          <w:lang w:bidi="fa-IR"/>
        </w:rPr>
        <w:t>من دون تسعیر علیه</w:t>
      </w:r>
      <w:r>
        <w:rPr>
          <w:rFonts w:eastAsia="IRNazanin" w:cs="IRNazanin"/>
          <w:color w:val="111111"/>
          <w:sz w:val="28"/>
          <w:szCs w:val="28"/>
          <w:rtl w:val="true"/>
          <w:lang w:bidi="fa-IR"/>
        </w:rPr>
        <w:t>.</w:t>
      </w:r>
    </w:p>
    <w:p>
      <w:pPr>
        <w:pStyle w:val="Heading3"/>
        <w:numPr>
          <w:ilvl w:val="2"/>
          <w:numId w:val="1"/>
        </w:numPr>
        <w:rPr/>
      </w:pPr>
      <w:bookmarkStart w:id="3601" w:name="__RefHeading___Toc2568264_3650668749"/>
      <w:bookmarkStart w:id="3602" w:name="_Toc1641"/>
      <w:bookmarkEnd w:id="3601"/>
      <w:r>
        <w:rPr>
          <w:rtl w:val="true"/>
        </w:rPr>
        <w:t>[ (</w:t>
      </w:r>
      <w:r>
        <w:rPr>
          <w:rtl w:val="true"/>
        </w:rPr>
        <w:t xml:space="preserve">مسألة </w:t>
      </w:r>
      <w:r>
        <w:rPr/>
        <w:t>24</w:t>
      </w:r>
      <w:r>
        <w:rPr>
          <w:rtl w:val="true"/>
        </w:rPr>
        <w:t xml:space="preserve">): </w:t>
      </w:r>
      <w:r>
        <w:rPr>
          <w:rtl w:val="true"/>
        </w:rPr>
        <w:t>لا یجوز مع الاختیار الدخول فی الولایات و المناصب و الأشغال من قبل الجائر</w:t>
      </w:r>
      <w:r>
        <w:rPr>
          <w:rtl w:val="true"/>
        </w:rPr>
        <w:t>]</w:t>
      </w:r>
      <w:bookmarkEnd w:id="360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مع الاختیار الدخول فی الولایات و المناصب و الأشغال من قبل الجائر، و إن کان أصل الشغل مشروعاً مع قطع النظر عن کونه متولّیاً من قبل الجائر کجبایة الخراج و جمع الزکاة و تولّی المناصب الجندیّة و الأمنیّة و حکومة البلاد و نحو ذلک، فضلًا عمّا کان غیر مشروع فی نفسه کأخذ العشور و القمرک و غیر ذلک من أنواع الظلم المبتدعة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یسوّغ کلّ ذلک مع الجبر و الإکراه بإلزام من یخشیٰ من التخلّف عن إلزامه علیٰ نفسه أو عرضه أو ماله </w:t>
      </w:r>
      <w:r>
        <w:rPr>
          <w:rStyle w:val="FootnoteAnchor"/>
          <w:rtl w:val="true"/>
        </w:rPr>
        <w:footnoteReference w:id="1043"/>
      </w:r>
      <w:r>
        <w:rPr>
          <w:rFonts w:ascii="IRNazanin" w:hAnsi="IRNazanin" w:eastAsia="IRNazanin"/>
          <w:color w:val="111111"/>
          <w:sz w:val="28"/>
          <w:sz w:val="28"/>
          <w:szCs w:val="28"/>
          <w:rtl w:val="true"/>
          <w:lang w:bidi="fa-IR"/>
        </w:rPr>
        <w:t>، إلّا فی الدماء المحترمة فإنّه لا تقیّة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یسوّغ خصوص القسم الأوّل و هو الدخول فی الولایة علیٰ أمر مشروع فی نفسه للقیام بمصالح المسلمین و إخوانه فی الدین، فعن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کفّارة عمل السلطان قضاء حوائج الإخوان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زیاد بن أبی سلمة قال دخلت علیٰ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زیاد إنّک لتعمل عمل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لی مروّة و علیَّ عیال و لیس وراء ظهری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زیاد لأن أسقط من حالق فأتقطّع قطعة قطعة أحبّ إلیّ من أن أتولّی لهم عملًا أو أطأ بساط رجل منهم إلّا لماذا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جعلت فداک؟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لتفریج کربة عن مؤمن أو فکّ أسره أو قضاء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زیاد فإن ولّیت شیئاً من أعمالهم فأحسن إلیٰ إخوانک فواحدة بواحدة، و اللّٰه من وراء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الفضل بن عبد الرحمن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أستأذنه فی أعمال السلطان،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ما لم تغیّر حکماً و لم تبطل حدّا، و کفّارته قضاء حوائج إخوانکم</w:t>
      </w:r>
      <w:r>
        <w:rPr>
          <w:rFonts w:eastAsia="IRNazanin" w:cs="IRNazanin"/>
          <w:color w:val="111111"/>
          <w:sz w:val="28"/>
          <w:szCs w:val="28"/>
          <w:rtl w:val="true"/>
          <w:lang w:bidi="fa-IR"/>
        </w:rPr>
        <w:t>».</w:t>
      </w:r>
      <w:bookmarkStart w:id="3603" w:name="pg1809_19334"/>
    </w:p>
    <w:p>
      <w:pPr>
        <w:pStyle w:val="BookText"/>
        <w:rPr/>
      </w:pPr>
      <w:bookmarkEnd w:id="3603"/>
      <w:r>
        <w:rPr>
          <w:rFonts w:ascii="IRNazanin" w:hAnsi="IRNazanin" w:eastAsia="IRNazanin"/>
          <w:color w:val="111111"/>
          <w:sz w:val="28"/>
          <w:sz w:val="28"/>
          <w:szCs w:val="28"/>
          <w:rtl w:val="true"/>
          <w:lang w:bidi="fa-IR"/>
        </w:rPr>
        <w:t>بل لو کان دخوله فیها بقصد الإحسان إلی المؤمنین و دفع الضرر عنهم کان راجحاً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عن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الحثّ علیه و الترغیب فیه، فقد روی الصدوق عن مولانا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تبارک و تعالی مع السلطان أولیاء یدفع بهم عن 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و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عتقاء اللّٰه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محمّد بن إسماعیل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تعالیٰ بأبواب الظالمین من نوّر اللّٰه به البرهان، و مکّن له فی البلاد لیدفع بهم عن أولیائه، و یصلح اللّٰه بهم أُمور المسلمین، إلیهم یلجأ المؤمن من الضرّ، و إلیهم یفزع ذو الحاجة من شیعتنا، و بهم یؤمّن اللّٰه روعة المؤمن فی دار الظلم، أُولئک هم المؤمنون حقّا أُولئک أُمناء اللّٰه فی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خلقوا و اللّٰه للجنّة و خلقت لهم، فهنیئاً لهم، ما علیٰ أحدکم أن لو شاء لنال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جعلنی اللّٰه فداک؟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معهم فیسرّنا بإدخال السرور علی المؤمنین من شیعتنا، فکن منهم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هذا المعنیٰ کثیرة، بل ربّما بلغ الدخول فی بعض المناصب و الأشغال لبعض الأشخاص أحیاناً إلیٰ حدّ الوجوب، کما إذا تمکّن شخص بسببه علیٰ دفع مفسدة دینیّة، أو المنع عن بعض المنکرات الشرعیّة مثلًا، و مع ذلک فیها خطرات کثیرة إلّا لمن عصمه اللّٰه تعالیٰ</w:t>
      </w:r>
      <w:r>
        <w:rPr>
          <w:rFonts w:eastAsia="IRNazanin" w:cs="IRNazanin"/>
          <w:color w:val="111111"/>
          <w:sz w:val="28"/>
          <w:szCs w:val="28"/>
          <w:rtl w:val="true"/>
          <w:lang w:bidi="fa-IR"/>
        </w:rPr>
        <w:t>.</w:t>
      </w:r>
    </w:p>
    <w:p>
      <w:pPr>
        <w:pStyle w:val="Heading3"/>
        <w:numPr>
          <w:ilvl w:val="2"/>
          <w:numId w:val="1"/>
        </w:numPr>
        <w:rPr/>
      </w:pPr>
      <w:bookmarkStart w:id="3604" w:name="__RefHeading___Toc2568266_3650668749"/>
      <w:bookmarkStart w:id="3605" w:name="_Toc1642"/>
      <w:bookmarkEnd w:id="3604"/>
      <w:r>
        <w:rPr>
          <w:rtl w:val="true"/>
        </w:rPr>
        <w:t>[ (</w:t>
      </w:r>
      <w:r>
        <w:rPr>
          <w:rtl w:val="true"/>
        </w:rPr>
        <w:t xml:space="preserve">مسألة </w:t>
      </w:r>
      <w:r>
        <w:rPr/>
        <w:t>25</w:t>
      </w:r>
      <w:r>
        <w:rPr>
          <w:rtl w:val="true"/>
        </w:rPr>
        <w:t xml:space="preserve">): </w:t>
      </w:r>
      <w:r>
        <w:rPr>
          <w:rtl w:val="true"/>
        </w:rPr>
        <w:t>ما تأخذه الحکومة من الضریبة علی الأراضی</w:t>
      </w:r>
      <w:r>
        <w:rPr>
          <w:rtl w:val="true"/>
        </w:rPr>
        <w:t>]</w:t>
      </w:r>
      <w:bookmarkEnd w:id="360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تأخذه الحکومة من الضریبة علی الأراضی </w:t>
      </w:r>
      <w:r>
        <w:rPr>
          <w:rStyle w:val="FootnoteAnchor"/>
          <w:rtl w:val="true"/>
        </w:rPr>
        <w:footnoteReference w:id="1044"/>
      </w:r>
      <w:r>
        <w:rPr>
          <w:rFonts w:ascii="IRNazanin" w:hAnsi="IRNazanin" w:eastAsia="IRNazanin"/>
          <w:color w:val="111111"/>
          <w:sz w:val="28"/>
          <w:sz w:val="28"/>
          <w:szCs w:val="28"/>
          <w:rtl w:val="true"/>
          <w:lang w:bidi="fa-IR"/>
        </w:rPr>
        <w:t>جنساً أو نقداً و علی النخیل و الأشجار یعامل معه معاملة ما یأخذه السلطان العادل، فتبرأ ذمّة الدافع عمّا کان علیه من الخراج الذی هو اجرة الأرض الخراجیّة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لکلّ أحد شراؤه و أخذه مجّاناً و بالعوض و التصرّف فیه بأنواع التصرّف، بل لو لم تأخذه الحکومة و حوّل شخصاً علیٰ من علیه الخراج بمقدار فدفعه إلی المحتال یحلّ له و تبرأ ذمّة المحوّل علیه عمّا علیه، لکن الأحوط خصوصاً فی مثل هذه الأزمنة رجوع من ینتفع بهذه الأراضی و یتصرّف فیها فی أمر خراجها و کذلک من یصل إلیه من هذه الأموال شی‌ء إلیٰ حاکم الشرع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حکم السلطان المؤالف کالمخالف، و إن کان الاحتیاط بالرجوع إلیٰ حاکم الشرع فی الأوّل أشدّ</w:t>
      </w:r>
      <w:r>
        <w:rPr>
          <w:rFonts w:eastAsia="IRNazanin" w:cs="IRNazanin"/>
          <w:color w:val="111111"/>
          <w:sz w:val="28"/>
          <w:szCs w:val="28"/>
          <w:rtl w:val="true"/>
          <w:lang w:bidi="fa-IR"/>
        </w:rPr>
        <w:t>.</w:t>
      </w:r>
      <w:bookmarkStart w:id="3606" w:name="pg1809_19335"/>
    </w:p>
    <w:p>
      <w:pPr>
        <w:pStyle w:val="Heading3"/>
        <w:numPr>
          <w:ilvl w:val="2"/>
          <w:numId w:val="1"/>
        </w:numPr>
        <w:rPr/>
      </w:pPr>
      <w:bookmarkStart w:id="3607" w:name="__RefHeading___Toc2568268_3650668749"/>
      <w:bookmarkStart w:id="3608" w:name="_Toc1643"/>
      <w:bookmarkEnd w:id="3606"/>
      <w:bookmarkEnd w:id="3607"/>
      <w:r>
        <w:rPr>
          <w:rtl w:val="true"/>
        </w:rPr>
        <w:t>[ (</w:t>
      </w:r>
      <w:r>
        <w:rPr>
          <w:rtl w:val="true"/>
        </w:rPr>
        <w:t xml:space="preserve">مسألة </w:t>
      </w:r>
      <w:r>
        <w:rPr/>
        <w:t>26</w:t>
      </w:r>
      <w:r>
        <w:rPr>
          <w:rtl w:val="true"/>
        </w:rPr>
        <w:t xml:space="preserve">): </w:t>
      </w:r>
      <w:r>
        <w:rPr>
          <w:rtl w:val="true"/>
        </w:rPr>
        <w:t>یجوز لکلّ أحد أن یتقبّل الأراضی الخراجیّة</w:t>
      </w:r>
      <w:r>
        <w:rPr>
          <w:rtl w:val="true"/>
        </w:rPr>
        <w:t>]</w:t>
      </w:r>
      <w:bookmarkEnd w:id="3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لکلّ أحد أن یتقبّل الأراضی الخراجیّة، و یضمنها من الحکومة بشی‌ء، و ینتفع بها بنفسه بزرع أو غرس و غیره، أو یقبلها و یضمنها لغیره و لو بالزیادة </w:t>
      </w:r>
      <w:r>
        <w:rPr>
          <w:rStyle w:val="FootnoteAnchor"/>
          <w:rtl w:val="true"/>
        </w:rPr>
        <w:footnoteReference w:id="1045"/>
      </w:r>
      <w:r>
        <w:rPr>
          <w:rFonts w:ascii="IRNazanin" w:hAnsi="IRNazanin" w:eastAsia="IRNazanin"/>
          <w:color w:val="111111"/>
          <w:sz w:val="28"/>
          <w:sz w:val="28"/>
          <w:szCs w:val="28"/>
          <w:rtl w:val="true"/>
          <w:lang w:bidi="fa-IR"/>
        </w:rPr>
        <w:t>، کما یصنعه بعض الشیوخ و الزعماء؛ حیث یتقبّلون بعض الأراضی من الحکومة بضریبة مقرّرة، ثمّ یقبلونها قطعاً قطعاً لأشخاص بتلک الضریبة، أو بأزید منها</w:t>
      </w:r>
      <w:r>
        <w:rPr>
          <w:rFonts w:eastAsia="IRNazanin" w:cs="IRNazanin"/>
          <w:color w:val="111111"/>
          <w:sz w:val="28"/>
          <w:szCs w:val="28"/>
          <w:rtl w:val="true"/>
          <w:lang w:bidi="fa-IR"/>
        </w:rPr>
        <w:t>.</w:t>
      </w:r>
    </w:p>
    <w:p>
      <w:pPr>
        <w:pStyle w:val="Heading3"/>
        <w:numPr>
          <w:ilvl w:val="2"/>
          <w:numId w:val="1"/>
        </w:numPr>
        <w:rPr/>
      </w:pPr>
      <w:bookmarkStart w:id="3609" w:name="__RefHeading___Toc2568270_3650668749"/>
      <w:bookmarkStart w:id="3610" w:name="_Toc1644"/>
      <w:bookmarkEnd w:id="3609"/>
      <w:r>
        <w:rPr>
          <w:rtl w:val="true"/>
        </w:rPr>
        <w:t>[ (</w:t>
      </w:r>
      <w:r>
        <w:rPr>
          <w:rtl w:val="true"/>
        </w:rPr>
        <w:t xml:space="preserve">مسألة </w:t>
      </w:r>
      <w:r>
        <w:rPr/>
        <w:t>27</w:t>
      </w:r>
      <w:r>
        <w:rPr>
          <w:rtl w:val="true"/>
        </w:rPr>
        <w:t xml:space="preserve">): </w:t>
      </w:r>
      <w:r>
        <w:rPr>
          <w:rtl w:val="true"/>
        </w:rPr>
        <w:t>إذا دفع إنسان مالًا إلیٰ أحد لیصرفه فی طائفة و کان المدفوع إلیه بصفتهم</w:t>
      </w:r>
      <w:r>
        <w:rPr>
          <w:rtl w:val="true"/>
        </w:rPr>
        <w:t>]</w:t>
      </w:r>
      <w:bookmarkEnd w:id="361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دفع إنسان مالًا إلیٰ أحد لیصرفه فی طائفة و کان المدفوع إلیه بصفتهم </w:t>
      </w:r>
      <w:r>
        <w:rPr>
          <w:rStyle w:val="FootnoteAnchor"/>
          <w:rtl w:val="true"/>
        </w:rPr>
        <w:footnoteReference w:id="1046"/>
      </w:r>
      <w:r>
        <w:rPr>
          <w:rFonts w:ascii="IRNazanin" w:hAnsi="IRNazanin" w:eastAsia="IRNazanin"/>
          <w:color w:val="111111"/>
          <w:sz w:val="28"/>
          <w:sz w:val="28"/>
          <w:szCs w:val="28"/>
          <w:rtl w:val="true"/>
          <w:lang w:bidi="fa-IR"/>
        </w:rPr>
        <w:t>، کما إذا دفع إلیٰ فقیر مالًا زکاة أو غیرها لیصرفه فی الفقراء، أو إلیٰ شخص هاشمیّ؛ خمساً أو غیره لیصرفه فی السادة و لم یعیّن شخصاً معیّناً جاز له أن یأخذ مثل أحدهم من غیر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له أن یصرفه فی عیاله خصوصاً إذا أعطاه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للفقراء، أو مصرفه الفقراء أو السادة مثلًا، و إن کان الأحوط عدم أخذه منه شیئاً إلّا بإذن صریح</w:t>
      </w:r>
      <w:r>
        <w:rPr>
          <w:rFonts w:eastAsia="IRNazanin" w:cs="IRNazanin"/>
          <w:color w:val="111111"/>
          <w:sz w:val="28"/>
          <w:szCs w:val="28"/>
          <w:rtl w:val="true"/>
          <w:lang w:bidi="fa-IR"/>
        </w:rPr>
        <w:t>.</w:t>
      </w:r>
      <w:bookmarkStart w:id="3611" w:name="pg1809_19336"/>
    </w:p>
    <w:p>
      <w:pPr>
        <w:pStyle w:val="Heading2"/>
        <w:numPr>
          <w:ilvl w:val="1"/>
          <w:numId w:val="1"/>
        </w:numPr>
        <w:rPr/>
      </w:pPr>
      <w:bookmarkStart w:id="3612" w:name="__RefHeading___Toc2568272_3650668749"/>
      <w:bookmarkStart w:id="3613" w:name="_Toc1645"/>
      <w:bookmarkEnd w:id="3611"/>
      <w:bookmarkEnd w:id="3612"/>
      <w:r>
        <w:rPr>
          <w:rtl w:val="true"/>
        </w:rPr>
        <w:t>[</w:t>
      </w:r>
      <w:r>
        <w:rPr>
          <w:rtl w:val="true"/>
        </w:rPr>
        <w:t>کتاب البیع</w:t>
      </w:r>
      <w:r>
        <w:rPr>
          <w:rtl w:val="true"/>
        </w:rPr>
        <w:t>]</w:t>
      </w:r>
      <w:bookmarkEnd w:id="3613"/>
    </w:p>
    <w:p>
      <w:pPr>
        <w:pStyle w:val="Heading3"/>
        <w:numPr>
          <w:ilvl w:val="2"/>
          <w:numId w:val="1"/>
        </w:numPr>
        <w:rPr/>
      </w:pPr>
      <w:bookmarkStart w:id="3614" w:name="__RefHeading___Toc2568274_3650668749"/>
      <w:bookmarkStart w:id="3615" w:name="_Toc1646"/>
      <w:bookmarkEnd w:id="3614"/>
      <w:r>
        <w:rPr>
          <w:rtl w:val="true"/>
        </w:rPr>
        <w:t>اشارة</w:t>
      </w:r>
      <w:bookmarkEnd w:id="3615"/>
    </w:p>
    <w:p>
      <w:pPr>
        <w:pStyle w:val="BookText"/>
        <w:rPr/>
      </w:pPr>
      <w:r>
        <w:rPr>
          <w:rFonts w:ascii="IRNazanin" w:hAnsi="IRNazanin" w:eastAsia="IRNazanin"/>
          <w:color w:val="111111"/>
          <w:sz w:val="28"/>
          <w:sz w:val="28"/>
          <w:szCs w:val="28"/>
          <w:rtl w:val="true"/>
          <w:lang w:bidi="fa-IR"/>
        </w:rPr>
        <w:t>کتاب البیع</w:t>
      </w:r>
    </w:p>
    <w:p>
      <w:pPr>
        <w:pStyle w:val="Heading3"/>
        <w:numPr>
          <w:ilvl w:val="2"/>
          <w:numId w:val="1"/>
        </w:numPr>
        <w:rPr/>
      </w:pPr>
      <w:bookmarkStart w:id="3616" w:name="__RefHeading___Toc2568276_3650668749"/>
      <w:bookmarkStart w:id="3617" w:name="_Toc1647"/>
      <w:bookmarkEnd w:id="3616"/>
      <w:r>
        <w:rPr>
          <w:rtl w:val="true"/>
        </w:rPr>
        <w:t>[</w:t>
      </w:r>
      <w:r>
        <w:rPr>
          <w:rtl w:val="true"/>
        </w:rPr>
        <w:t>مسائل</w:t>
      </w:r>
      <w:r>
        <w:rPr>
          <w:rtl w:val="true"/>
        </w:rPr>
        <w:t>]</w:t>
      </w:r>
      <w:bookmarkEnd w:id="3617"/>
    </w:p>
    <w:p>
      <w:pPr>
        <w:pStyle w:val="Heading4"/>
        <w:numPr>
          <w:ilvl w:val="3"/>
          <w:numId w:val="1"/>
        </w:numPr>
        <w:rPr/>
      </w:pPr>
      <w:bookmarkStart w:id="3618" w:name="__RefHeading___Toc2568278_3650668749"/>
      <w:bookmarkStart w:id="3619" w:name="_Toc1648"/>
      <w:bookmarkEnd w:id="3618"/>
      <w:r>
        <w:rPr>
          <w:rtl w:val="true"/>
        </w:rPr>
        <w:t>[ (</w:t>
      </w:r>
      <w:r>
        <w:rPr>
          <w:rtl w:val="true"/>
        </w:rPr>
        <w:t xml:space="preserve">مسألة </w:t>
      </w:r>
      <w:r>
        <w:rPr/>
        <w:t>1</w:t>
      </w:r>
      <w:r>
        <w:rPr>
          <w:rtl w:val="true"/>
        </w:rPr>
        <w:t xml:space="preserve">): </w:t>
      </w:r>
      <w:r>
        <w:rPr>
          <w:rtl w:val="true"/>
        </w:rPr>
        <w:t>عقد البیع یحتاج إلیٰ إیجاب و قبول</w:t>
      </w:r>
      <w:r>
        <w:rPr>
          <w:rtl w:val="true"/>
        </w:rPr>
        <w:t>]</w:t>
      </w:r>
      <w:bookmarkEnd w:id="36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البیع یحتاج إلیٰ إیجاب و قبول، و الأقویٰ عدم اعتبار العربیّة، بل یقع بکلّ لغة و لو مع إمکان العربی، کما أنّه لا یعتبر فیه الصراحة، بل یقع بکلّ لفظ دالّ علی المقصود عند أهل المحاورة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نحوهما فی الإیجاب،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فی القبول، کما أنّ الظاهر عدم اعتبار الماضویّة فیجوز بالمضارع و إن کان المشهور اعتبارها، و لا ریب أنّه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یعتبر فیه عدم اللحن من حیث المادّة و الهیئة و الإعراب لو أوقعه بالعربی؟ الظاهر العدم إذا کان دالّاً علی المقصود عند أبناء المحاورة و عدّ ملحوناً من الکلام لا کلاماً آخر ذکر فی هذا المقام،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الباء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العین و سکون التاء، و أولی بذلک اللغات المحرّفة کالمتداولة بین أهل السواد و من ضاهاهم</w:t>
      </w:r>
      <w:r>
        <w:rPr>
          <w:rFonts w:eastAsia="IRNazanin" w:cs="IRNazanin"/>
          <w:color w:val="111111"/>
          <w:sz w:val="28"/>
          <w:szCs w:val="28"/>
          <w:rtl w:val="true"/>
          <w:lang w:bidi="fa-IR"/>
        </w:rPr>
        <w:t>.</w:t>
      </w:r>
    </w:p>
    <w:p>
      <w:pPr>
        <w:pStyle w:val="Heading4"/>
        <w:numPr>
          <w:ilvl w:val="3"/>
          <w:numId w:val="1"/>
        </w:numPr>
        <w:rPr/>
      </w:pPr>
      <w:bookmarkStart w:id="3620" w:name="__RefHeading___Toc2568280_3650668749"/>
      <w:bookmarkStart w:id="3621" w:name="_Toc1649"/>
      <w:bookmarkEnd w:id="3620"/>
      <w:r>
        <w:rPr>
          <w:rtl w:val="true"/>
        </w:rPr>
        <w:t>[ (</w:t>
      </w:r>
      <w:r>
        <w:rPr>
          <w:rtl w:val="true"/>
        </w:rPr>
        <w:t xml:space="preserve">مسألة </w:t>
      </w:r>
      <w:r>
        <w:rPr/>
        <w:t>2</w:t>
      </w:r>
      <w:r>
        <w:rPr>
          <w:rtl w:val="true"/>
        </w:rPr>
        <w:t xml:space="preserve">): </w:t>
      </w:r>
      <w:r>
        <w:rPr>
          <w:rtl w:val="true"/>
        </w:rPr>
        <w:t xml:space="preserve">الظاهر جواز تقدیم القبول علی الإیجاب إذا کان بمثل </w:t>
      </w:r>
      <w:r>
        <w:rPr>
          <w:rtl w:val="true"/>
        </w:rPr>
        <w:t>«</w:t>
      </w:r>
      <w:r>
        <w:rPr>
          <w:rtl w:val="true"/>
        </w:rPr>
        <w:t>اشتریتُ</w:t>
      </w:r>
      <w:r>
        <w:rPr>
          <w:rtl w:val="true"/>
        </w:rPr>
        <w:t>»]</w:t>
      </w:r>
      <w:bookmarkEnd w:id="3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جواز تقدیم القبول علی الإیجاب إذا کان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إذا کان بنحو الأمر و الاستیجاب کما إذا قال من یرید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الشی‌ء الفلانی بکذا، فقال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بعتکه بکذا، ففی صحّته و تمامیّة العقد به إشکال لا یبعد الصحّة، و إن کان الأحوط </w:t>
      </w:r>
      <w:r>
        <w:rPr>
          <w:rStyle w:val="FootnoteAnchor"/>
          <w:rtl w:val="true"/>
        </w:rPr>
        <w:footnoteReference w:id="1048"/>
      </w:r>
      <w:r>
        <w:rPr>
          <w:rFonts w:ascii="IRNazanin" w:hAnsi="IRNazanin" w:eastAsia="IRNazanin"/>
          <w:color w:val="111111"/>
          <w:sz w:val="28"/>
          <w:sz w:val="28"/>
          <w:szCs w:val="28"/>
          <w:rtl w:val="true"/>
          <w:lang w:bidi="fa-IR"/>
        </w:rPr>
        <w:t>إعادة المشتری القبول</w:t>
      </w:r>
      <w:r>
        <w:rPr>
          <w:rFonts w:eastAsia="IRNazanin" w:cs="IRNazanin"/>
          <w:color w:val="111111"/>
          <w:sz w:val="28"/>
          <w:szCs w:val="28"/>
          <w:rtl w:val="true"/>
          <w:lang w:bidi="fa-IR"/>
        </w:rPr>
        <w:t>.</w:t>
      </w:r>
    </w:p>
    <w:p>
      <w:pPr>
        <w:pStyle w:val="Heading4"/>
        <w:numPr>
          <w:ilvl w:val="3"/>
          <w:numId w:val="1"/>
        </w:numPr>
        <w:rPr/>
      </w:pPr>
      <w:bookmarkStart w:id="3622" w:name="__RefHeading___Toc2568282_3650668749"/>
      <w:bookmarkStart w:id="3623" w:name="_Toc1650"/>
      <w:bookmarkEnd w:id="3622"/>
      <w:r>
        <w:rPr>
          <w:rtl w:val="true"/>
        </w:rPr>
        <w:t>[ (</w:t>
      </w:r>
      <w:r>
        <w:rPr>
          <w:rtl w:val="true"/>
        </w:rPr>
        <w:t xml:space="preserve">مسألة </w:t>
      </w:r>
      <w:r>
        <w:rPr/>
        <w:t>3</w:t>
      </w:r>
      <w:r>
        <w:rPr>
          <w:rtl w:val="true"/>
        </w:rPr>
        <w:t xml:space="preserve">): </w:t>
      </w:r>
      <w:r>
        <w:rPr>
          <w:rtl w:val="true"/>
        </w:rPr>
        <w:t>یعتبر الموالاة بین الإیجاب و القبول</w:t>
      </w:r>
      <w:r>
        <w:rPr>
          <w:rtl w:val="true"/>
        </w:rPr>
        <w:t>]</w:t>
      </w:r>
      <w:bookmarkEnd w:id="3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الموالاة بین الإیجاب و القبول؛ بمعنی عدم الفصل الطویل بینهما بما یخرجهما عن عنوان العقد و المعاقدة، و لا یضرّ القلیل بحیث یصدق معه أنّ هذا قبول لذلک الإیجاب</w:t>
      </w:r>
      <w:r>
        <w:rPr>
          <w:rFonts w:eastAsia="IRNazanin" w:cs="IRNazanin"/>
          <w:color w:val="111111"/>
          <w:sz w:val="28"/>
          <w:szCs w:val="28"/>
          <w:rtl w:val="true"/>
          <w:lang w:bidi="fa-IR"/>
        </w:rPr>
        <w:t>.</w:t>
      </w:r>
    </w:p>
    <w:p>
      <w:pPr>
        <w:pStyle w:val="Heading4"/>
        <w:numPr>
          <w:ilvl w:val="3"/>
          <w:numId w:val="1"/>
        </w:numPr>
        <w:rPr/>
      </w:pPr>
      <w:bookmarkStart w:id="3624" w:name="__RefHeading___Toc2568284_3650668749"/>
      <w:bookmarkStart w:id="3625" w:name="_Toc1651"/>
      <w:bookmarkEnd w:id="3624"/>
      <w:r>
        <w:rPr>
          <w:rtl w:val="true"/>
        </w:rPr>
        <w:t>[ (</w:t>
      </w:r>
      <w:r>
        <w:rPr>
          <w:rtl w:val="true"/>
        </w:rPr>
        <w:t xml:space="preserve">مسألة </w:t>
      </w:r>
      <w:r>
        <w:rPr/>
        <w:t>4</w:t>
      </w:r>
      <w:r>
        <w:rPr>
          <w:rtl w:val="true"/>
        </w:rPr>
        <w:t xml:space="preserve">): </w:t>
      </w:r>
      <w:r>
        <w:rPr>
          <w:rtl w:val="true"/>
        </w:rPr>
        <w:t>یعتبر فی العقد التطابق بین الإیجاب و القبول</w:t>
      </w:r>
      <w:r>
        <w:rPr>
          <w:rtl w:val="true"/>
        </w:rPr>
        <w:t>]</w:t>
      </w:r>
      <w:bookmarkEnd w:id="362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العقد التطابق بین الإیجاب و القبول، فلو اختلفا بأن أوجب البائع</w:t>
      </w:r>
      <w:bookmarkStart w:id="3626" w:name="pg1809_19337"/>
    </w:p>
    <w:p>
      <w:pPr>
        <w:pStyle w:val="BookText"/>
        <w:rPr/>
      </w:pPr>
      <w:bookmarkEnd w:id="3626"/>
      <w:r>
        <w:rPr>
          <w:rFonts w:ascii="IRNazanin" w:hAnsi="IRNazanin" w:eastAsia="IRNazanin"/>
          <w:color w:val="111111"/>
          <w:sz w:val="28"/>
          <w:sz w:val="28"/>
          <w:szCs w:val="28"/>
          <w:rtl w:val="true"/>
          <w:lang w:bidi="fa-IR"/>
        </w:rPr>
        <w:t>البیع علیٰ وجه خاصّ من حیث المشتری أو المبیع أو الثمن أو توابع العقد من الشروط، و قبل المشتری علیٰ وجه آخر لم ینعقد، فلو 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هذا من موکّلک بکذا، فقال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لنفسی، لم ینعقد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هذا من موکّلک، فقال الموکّل الحاضر الغیر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لم یبعد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بکذا،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لموکّلی، فإن کان الموجب قاصداً وقوع البیع للمخاطب بما هو هو و بنفسه لم ینعقد، و أمّا إذا کان قاصداً له أعمّ من کونه أصیلًا أو کونه نائباً و وکیلًا صحّ و انعقد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بألف،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نصفه بألف أو بخمسمائة، لم ینعقد، بل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کلّ نصف </w:t>
      </w:r>
      <w:r>
        <w:rPr>
          <w:rStyle w:val="FootnoteAnchor"/>
          <w:rtl w:val="true"/>
        </w:rPr>
        <w:footnoteReference w:id="1049"/>
      </w:r>
      <w:r>
        <w:rPr>
          <w:rFonts w:ascii="IRNazanin" w:hAnsi="IRNazanin" w:eastAsia="IRNazanin"/>
          <w:color w:val="111111"/>
          <w:sz w:val="28"/>
          <w:sz w:val="28"/>
          <w:szCs w:val="28"/>
          <w:rtl w:val="true"/>
          <w:lang w:bidi="fa-IR"/>
        </w:rPr>
        <w:t>منه بخمسمائة، لا یخلو من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لشخصین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بعتکما هذا بألف،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نصفه بخمسمائة، لم ینعقد، و أمّا لو قال کلّ منهما ذلک لا یبعد الصحّة، لکنّه لا یخلو من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بهذا علیٰ أن یکون لی الخیار ثلاثة أیّام،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فإن فهم و لو من ظاهر الحال و المقام أنّه قصد شراءه علی الشرط الذی ذکره البائع صحّ و انعقد، و إن قصده مطلقاً و بلا شرط لم ینعقد، و أمّا لو انعکس بأن أوجب البائع بلا شرط و قبل المشتری معه، فلا ینعقد مشروطاً قطعاً، و هل ینعقد مطلقاً و بلا شرط؟ فیه إشکال</w:t>
      </w:r>
      <w:r>
        <w:rPr>
          <w:rFonts w:eastAsia="IRNazanin" w:cs="IRNazanin"/>
          <w:color w:val="111111"/>
          <w:sz w:val="28"/>
          <w:szCs w:val="28"/>
          <w:rtl w:val="true"/>
          <w:lang w:bidi="fa-IR"/>
        </w:rPr>
        <w:t>.</w:t>
      </w:r>
    </w:p>
    <w:p>
      <w:pPr>
        <w:pStyle w:val="Heading4"/>
        <w:numPr>
          <w:ilvl w:val="3"/>
          <w:numId w:val="1"/>
        </w:numPr>
        <w:rPr/>
      </w:pPr>
      <w:bookmarkStart w:id="3627" w:name="__RefHeading___Toc2568286_3650668749"/>
      <w:bookmarkStart w:id="3628" w:name="_Toc1652"/>
      <w:bookmarkEnd w:id="3627"/>
      <w:r>
        <w:rPr>
          <w:rtl w:val="true"/>
        </w:rPr>
        <w:t>[ (</w:t>
      </w:r>
      <w:r>
        <w:rPr>
          <w:rtl w:val="true"/>
        </w:rPr>
        <w:t xml:space="preserve">مسألة </w:t>
      </w:r>
      <w:r>
        <w:rPr/>
        <w:t>5</w:t>
      </w:r>
      <w:r>
        <w:rPr>
          <w:rtl w:val="true"/>
        </w:rPr>
        <w:t xml:space="preserve">): </w:t>
      </w:r>
      <w:r>
        <w:rPr>
          <w:rtl w:val="true"/>
        </w:rPr>
        <w:t>یقوم مقام اللفظ مع التعذّر لخرس و نحوه</w:t>
      </w:r>
      <w:r>
        <w:rPr>
          <w:rtl w:val="true"/>
        </w:rPr>
        <w:t>]</w:t>
      </w:r>
      <w:bookmarkEnd w:id="3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مقام اللفظ مع التعذّر لخرس و نحوه الإشارة المفهمة و لو مع التمکّن من التوکیل علی الأقویٰ، کما أنّه یقوم مقامه الکتابة </w:t>
      </w:r>
      <w:r>
        <w:rPr>
          <w:rStyle w:val="FootnoteAnchor"/>
          <w:rtl w:val="true"/>
        </w:rPr>
        <w:footnoteReference w:id="1050"/>
      </w:r>
      <w:r>
        <w:rPr>
          <w:rFonts w:ascii="IRNazanin" w:hAnsi="IRNazanin" w:eastAsia="IRNazanin"/>
          <w:color w:val="111111"/>
          <w:sz w:val="28"/>
          <w:sz w:val="28"/>
          <w:szCs w:val="28"/>
          <w:rtl w:val="true"/>
          <w:lang w:bidi="fa-IR"/>
        </w:rPr>
        <w:t>مع العجز عنه و عن الإشارة، و أمّا مع القدرة علیها فالظاهر تقدّمها علی الکتابة</w:t>
      </w:r>
      <w:r>
        <w:rPr>
          <w:rFonts w:eastAsia="IRNazanin" w:cs="IRNazanin"/>
          <w:color w:val="111111"/>
          <w:sz w:val="28"/>
          <w:szCs w:val="28"/>
          <w:rtl w:val="true"/>
          <w:lang w:bidi="fa-IR"/>
        </w:rPr>
        <w:t>.</w:t>
      </w:r>
    </w:p>
    <w:p>
      <w:pPr>
        <w:pStyle w:val="Heading4"/>
        <w:numPr>
          <w:ilvl w:val="3"/>
          <w:numId w:val="1"/>
        </w:numPr>
        <w:rPr/>
      </w:pPr>
      <w:bookmarkStart w:id="3629" w:name="__RefHeading___Toc2568288_3650668749"/>
      <w:bookmarkStart w:id="3630" w:name="_Toc1653"/>
      <w:bookmarkEnd w:id="3629"/>
      <w:r>
        <w:rPr>
          <w:rtl w:val="true"/>
        </w:rPr>
        <w:t>[ (</w:t>
      </w:r>
      <w:r>
        <w:rPr>
          <w:rtl w:val="true"/>
        </w:rPr>
        <w:t xml:space="preserve">مسألة </w:t>
      </w:r>
      <w:r>
        <w:rPr/>
        <w:t>6</w:t>
      </w:r>
      <w:r>
        <w:rPr>
          <w:rtl w:val="true"/>
        </w:rPr>
        <w:t xml:space="preserve">): </w:t>
      </w:r>
      <w:r>
        <w:rPr>
          <w:rtl w:val="true"/>
        </w:rPr>
        <w:t>الأقویٰ وقوع البیع بالمعاطاة</w:t>
      </w:r>
      <w:r>
        <w:rPr>
          <w:rtl w:val="true"/>
        </w:rPr>
        <w:t>]</w:t>
      </w:r>
      <w:bookmarkEnd w:id="363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وقوع البیع بالمعاطاة؛ سواء کان فی الحقیر أو الخطیر؛ و هی عبارة عن تسلیم العین بقصد کونها ملکاً للغیر بالعوض و تسلیم عین اخریٰ من آخر بعنوان العوضیّة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تحقّقها بمجرّد تسلیم المبیع بقصد التملیک بالعوض مع قصد المشتری فی أخذه التملّک بالعوض، فیجوز جعل الثمن کلّیّاً فی ذمّة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تحقّقها بتسلیم العوض فقط من المشتری إشکال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bookmarkStart w:id="3631" w:name="pg1809_19338"/>
    </w:p>
    <w:p>
      <w:pPr>
        <w:pStyle w:val="Heading4"/>
        <w:numPr>
          <w:ilvl w:val="3"/>
          <w:numId w:val="1"/>
        </w:numPr>
        <w:rPr/>
      </w:pPr>
      <w:bookmarkStart w:id="3632" w:name="__RefHeading___Toc2568290_3650668749"/>
      <w:bookmarkStart w:id="3633" w:name="_Toc1654"/>
      <w:bookmarkEnd w:id="3631"/>
      <w:bookmarkEnd w:id="3632"/>
      <w:r>
        <w:rPr>
          <w:rtl w:val="true"/>
        </w:rPr>
        <w:t>[ (</w:t>
      </w:r>
      <w:r>
        <w:rPr>
          <w:rtl w:val="true"/>
        </w:rPr>
        <w:t xml:space="preserve">مسألة </w:t>
      </w:r>
      <w:r>
        <w:rPr/>
        <w:t>7</w:t>
      </w:r>
      <w:r>
        <w:rPr>
          <w:rtl w:val="true"/>
        </w:rPr>
        <w:t xml:space="preserve">): </w:t>
      </w:r>
      <w:r>
        <w:rPr>
          <w:rtl w:val="true"/>
        </w:rPr>
        <w:t>الأقویٰ أنّه یعتبر فی المعاطاة جمیع ما اعتبر فی البیع العقدی</w:t>
      </w:r>
      <w:r>
        <w:rPr>
          <w:rtl w:val="true"/>
        </w:rPr>
        <w:t>]</w:t>
      </w:r>
      <w:bookmarkEnd w:id="36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أنّه یعتبر فی المعاطاة جمیع ما اعتبر فی البیع العقدی ما عدا الصیغة من الشروط الآتیة، فلا تصحّ مع فقد واحد منها؛ سواء کان ممّا اعتبر فی المتبایعین أو فی العوضین، کما أنّ الأقویٰ ثبوت الخیارات الآتیة فیها و لو بعد </w:t>
      </w:r>
      <w:r>
        <w:rPr>
          <w:rStyle w:val="FootnoteAnchor"/>
          <w:rtl w:val="true"/>
        </w:rPr>
        <w:footnoteReference w:id="1052"/>
      </w:r>
      <w:r>
        <w:rPr>
          <w:rFonts w:ascii="IRNazanin" w:hAnsi="IRNazanin" w:eastAsia="IRNazanin"/>
          <w:color w:val="111111"/>
          <w:sz w:val="28"/>
          <w:sz w:val="28"/>
          <w:szCs w:val="28"/>
          <w:rtl w:val="true"/>
          <w:lang w:bidi="fa-IR"/>
        </w:rPr>
        <w:t>لزومها بأحد الملزمات الآتیة إلّا إذا کان وجود الملزم منافیاً لثبوت الخیار و موجباً لسقوطه، کما إذا کان المأخوذ بالمعاطاة معیباً و لم یکن قائماً بعینه</w:t>
      </w:r>
      <w:r>
        <w:rPr>
          <w:rFonts w:eastAsia="IRNazanin" w:cs="IRNazanin"/>
          <w:color w:val="111111"/>
          <w:sz w:val="28"/>
          <w:szCs w:val="28"/>
          <w:rtl w:val="true"/>
          <w:lang w:bidi="fa-IR"/>
        </w:rPr>
        <w:t>.</w:t>
      </w:r>
    </w:p>
    <w:p>
      <w:pPr>
        <w:pStyle w:val="Heading4"/>
        <w:numPr>
          <w:ilvl w:val="3"/>
          <w:numId w:val="1"/>
        </w:numPr>
        <w:rPr/>
      </w:pPr>
      <w:bookmarkStart w:id="3634" w:name="__RefHeading___Toc2568292_3650668749"/>
      <w:bookmarkStart w:id="3635" w:name="_Toc1655"/>
      <w:bookmarkEnd w:id="3634"/>
      <w:r>
        <w:rPr>
          <w:rtl w:val="true"/>
        </w:rPr>
        <w:t>[ (</w:t>
      </w:r>
      <w:r>
        <w:rPr>
          <w:rtl w:val="true"/>
        </w:rPr>
        <w:t xml:space="preserve">مسألة </w:t>
      </w:r>
      <w:r>
        <w:rPr/>
        <w:t>8</w:t>
      </w:r>
      <w:r>
        <w:rPr>
          <w:rtl w:val="true"/>
        </w:rPr>
        <w:t xml:space="preserve">): </w:t>
      </w:r>
      <w:r>
        <w:rPr>
          <w:rtl w:val="true"/>
        </w:rPr>
        <w:t>البیع العقدی لازم من الطرفین إلّا مع وجود أحد الخیارات الآتیة</w:t>
      </w:r>
      <w:r>
        <w:rPr>
          <w:rtl w:val="true"/>
        </w:rPr>
        <w:t>]</w:t>
      </w:r>
      <w:bookmarkEnd w:id="3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العقدی لازم من الطرفین إلّا مع وجود أحد الخیارات الآتیة، نعم یجوز فسخه بالإقالة؛ و هی الفسخ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المعاطاة فالأقویٰ أنّها مفیدة للملک لکنّها جائزة </w:t>
      </w:r>
      <w:r>
        <w:rPr>
          <w:rStyle w:val="FootnoteAnchor"/>
          <w:rtl w:val="true"/>
        </w:rPr>
        <w:footnoteReference w:id="1053"/>
      </w:r>
      <w:r>
        <w:rPr>
          <w:rFonts w:ascii="IRNazanin" w:hAnsi="IRNazanin" w:eastAsia="IRNazanin"/>
          <w:color w:val="111111"/>
          <w:sz w:val="28"/>
          <w:sz w:val="28"/>
          <w:szCs w:val="28"/>
          <w:rtl w:val="true"/>
          <w:lang w:bidi="fa-IR"/>
        </w:rPr>
        <w:t>من الطرفین، و لا تلزم إلّا بتلف أحد العوضین، أو التصرّف المغیّر أو الناقل 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مات أحدهما لم یکن لوارثه الرجوع، و لکن لو جنّ فالظاهر قیام ولیّه مقامه فی الرجوع</w:t>
      </w:r>
      <w:r>
        <w:rPr>
          <w:rFonts w:eastAsia="IRNazanin" w:cs="IRNazanin"/>
          <w:color w:val="111111"/>
          <w:sz w:val="28"/>
          <w:szCs w:val="28"/>
          <w:rtl w:val="true"/>
          <w:lang w:bidi="fa-IR"/>
        </w:rPr>
        <w:t>.</w:t>
      </w:r>
    </w:p>
    <w:p>
      <w:pPr>
        <w:pStyle w:val="Heading4"/>
        <w:numPr>
          <w:ilvl w:val="3"/>
          <w:numId w:val="1"/>
        </w:numPr>
        <w:rPr/>
      </w:pPr>
      <w:bookmarkStart w:id="3636" w:name="__RefHeading___Toc2568294_3650668749"/>
      <w:bookmarkStart w:id="3637" w:name="_Toc1656"/>
      <w:bookmarkEnd w:id="3636"/>
      <w:r>
        <w:rPr>
          <w:rtl w:val="true"/>
        </w:rPr>
        <w:t>[ (</w:t>
      </w:r>
      <w:r>
        <w:rPr>
          <w:rtl w:val="true"/>
        </w:rPr>
        <w:t xml:space="preserve">مسألة </w:t>
      </w:r>
      <w:r>
        <w:rPr/>
        <w:t>9</w:t>
      </w:r>
      <w:r>
        <w:rPr>
          <w:rtl w:val="true"/>
        </w:rPr>
        <w:t xml:space="preserve">): </w:t>
      </w:r>
      <w:r>
        <w:rPr>
          <w:rtl w:val="true"/>
        </w:rPr>
        <w:t>البیع المعاطاتی لیس قابلًا للشروط</w:t>
      </w:r>
      <w:r>
        <w:rPr>
          <w:rtl w:val="true"/>
        </w:rPr>
        <w:t>]</w:t>
      </w:r>
      <w:bookmarkEnd w:id="3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المعاطاتی لیس قابلًا للشروط، فلو أُرید ثبوت خیار بالشرط أو سقوطه به أو شرط آخر حتّی جعل مدّة و أجل لأحد العوضین یلزم </w:t>
      </w:r>
      <w:r>
        <w:rPr>
          <w:rStyle w:val="FootnoteAnchor"/>
          <w:rtl w:val="true"/>
        </w:rPr>
        <w:footnoteReference w:id="1054"/>
      </w:r>
      <w:r>
        <w:rPr>
          <w:rFonts w:ascii="IRNazanin" w:hAnsi="IRNazanin" w:eastAsia="IRNazanin"/>
          <w:color w:val="111111"/>
          <w:sz w:val="28"/>
          <w:sz w:val="28"/>
          <w:szCs w:val="28"/>
          <w:rtl w:val="true"/>
          <w:lang w:bidi="fa-IR"/>
        </w:rPr>
        <w:t>إجراء صیغة البیع و إدراج ذلک الشرط فی ضمنها</w:t>
      </w:r>
      <w:r>
        <w:rPr>
          <w:rFonts w:eastAsia="IRNazanin" w:cs="IRNazanin"/>
          <w:color w:val="111111"/>
          <w:sz w:val="28"/>
          <w:szCs w:val="28"/>
          <w:rtl w:val="true"/>
          <w:lang w:bidi="fa-IR"/>
        </w:rPr>
        <w:t>.</w:t>
      </w:r>
    </w:p>
    <w:p>
      <w:pPr>
        <w:pStyle w:val="Heading4"/>
        <w:numPr>
          <w:ilvl w:val="3"/>
          <w:numId w:val="1"/>
        </w:numPr>
        <w:rPr/>
      </w:pPr>
      <w:bookmarkStart w:id="3638" w:name="__RefHeading___Toc2568296_3650668749"/>
      <w:bookmarkStart w:id="3639" w:name="_Toc1657"/>
      <w:bookmarkEnd w:id="3638"/>
      <w:r>
        <w:rPr>
          <w:rtl w:val="true"/>
        </w:rPr>
        <w:t>[ (</w:t>
      </w:r>
      <w:r>
        <w:rPr>
          <w:rtl w:val="true"/>
        </w:rPr>
        <w:t xml:space="preserve">مسألة </w:t>
      </w:r>
      <w:r>
        <w:rPr/>
        <w:t>10</w:t>
      </w:r>
      <w:r>
        <w:rPr>
          <w:rtl w:val="true"/>
        </w:rPr>
        <w:t xml:space="preserve">): </w:t>
      </w:r>
      <w:r>
        <w:rPr>
          <w:rtl w:val="true"/>
        </w:rPr>
        <w:t>هل تجری المعاطاة فی غیر البیع من سائر المعاملات</w:t>
      </w:r>
      <w:r>
        <w:rPr>
          <w:rtl w:val="true"/>
        </w:rPr>
        <w:t>]</w:t>
      </w:r>
      <w:bookmarkEnd w:id="3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تجری المعاطاة فی غیر البیع من سائر المعاملات، أو لا تجری فیها، أو تجری فی بعضها دون بعض؟ لعلّ الظاهر هو الأخیر، و نحن فیما بعد نشیر فی کلّ باب إلیٰ جریانها فیه و عدمه إن شاء اللّٰه تعالیٰ</w:t>
      </w:r>
      <w:r>
        <w:rPr>
          <w:rFonts w:eastAsia="IRNazanin" w:cs="IRNazanin"/>
          <w:color w:val="111111"/>
          <w:sz w:val="28"/>
          <w:szCs w:val="28"/>
          <w:rtl w:val="true"/>
          <w:lang w:bidi="fa-IR"/>
        </w:rPr>
        <w:t>.</w:t>
      </w:r>
    </w:p>
    <w:p>
      <w:pPr>
        <w:pStyle w:val="Heading4"/>
        <w:numPr>
          <w:ilvl w:val="3"/>
          <w:numId w:val="1"/>
        </w:numPr>
        <w:rPr/>
      </w:pPr>
      <w:bookmarkStart w:id="3640" w:name="__RefHeading___Toc2568298_3650668749"/>
      <w:bookmarkStart w:id="3641" w:name="_Toc1658"/>
      <w:bookmarkEnd w:id="3640"/>
      <w:r>
        <w:rPr>
          <w:rtl w:val="true"/>
        </w:rPr>
        <w:t>[ (</w:t>
      </w:r>
      <w:r>
        <w:rPr>
          <w:rtl w:val="true"/>
        </w:rPr>
        <w:t xml:space="preserve">مسألة </w:t>
      </w:r>
      <w:r>
        <w:rPr/>
        <w:t>11</w:t>
      </w:r>
      <w:r>
        <w:rPr>
          <w:rtl w:val="true"/>
        </w:rPr>
        <w:t xml:space="preserve">): </w:t>
      </w:r>
      <w:r>
        <w:rPr>
          <w:rtl w:val="true"/>
        </w:rPr>
        <w:t>کما یقع البیع و الشراء بمباشرة المالک یقع بالتوکیل أو الولایة من طرف واحد أو من الطرفین</w:t>
      </w:r>
      <w:r>
        <w:rPr>
          <w:rtl w:val="true"/>
        </w:rPr>
        <w:t>]</w:t>
      </w:r>
      <w:bookmarkEnd w:id="364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یقع البیع و الشراء بمباشرة المالک یقع بالتوکیل أو الولایة من طرف واحد أو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لشخص واحد تولّی طرفی العقد أصالة من طرف و وکالة أو ولایة من آخر، أو وکالة من الطرفین، أو ولایة منهما، أو وکالة من طرف و ولایة من آخر</w:t>
      </w:r>
      <w:r>
        <w:rPr>
          <w:rFonts w:eastAsia="IRNazanin" w:cs="IRNazanin"/>
          <w:color w:val="111111"/>
          <w:sz w:val="28"/>
          <w:szCs w:val="28"/>
          <w:rtl w:val="true"/>
          <w:lang w:bidi="fa-IR"/>
        </w:rPr>
        <w:t>.</w:t>
      </w:r>
      <w:bookmarkStart w:id="3642" w:name="pg1809_19339"/>
    </w:p>
    <w:p>
      <w:pPr>
        <w:pStyle w:val="Heading4"/>
        <w:numPr>
          <w:ilvl w:val="3"/>
          <w:numId w:val="1"/>
        </w:numPr>
        <w:rPr/>
      </w:pPr>
      <w:bookmarkStart w:id="3643" w:name="__RefHeading___Toc2568300_3650668749"/>
      <w:bookmarkStart w:id="3644" w:name="_Toc1659"/>
      <w:bookmarkEnd w:id="3642"/>
      <w:bookmarkEnd w:id="3643"/>
      <w:r>
        <w:rPr>
          <w:rtl w:val="true"/>
        </w:rPr>
        <w:t>[ (</w:t>
      </w:r>
      <w:r>
        <w:rPr>
          <w:rtl w:val="true"/>
        </w:rPr>
        <w:t xml:space="preserve">مسألة </w:t>
      </w:r>
      <w:r>
        <w:rPr/>
        <w:t>12</w:t>
      </w:r>
      <w:r>
        <w:rPr>
          <w:rtl w:val="true"/>
        </w:rPr>
        <w:t xml:space="preserve">): </w:t>
      </w:r>
      <w:r>
        <w:rPr>
          <w:rtl w:val="true"/>
        </w:rPr>
        <w:t>لا یجوز تعلیق البیع علیٰ شی‌ء غیر حاصل حین العقد</w:t>
      </w:r>
      <w:r>
        <w:rPr>
          <w:rtl w:val="true"/>
        </w:rPr>
        <w:t>]</w:t>
      </w:r>
      <w:bookmarkEnd w:id="36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w:t>
      </w:r>
      <w:r>
        <w:rPr>
          <w:rStyle w:val="FootnoteAnchor"/>
          <w:rtl w:val="true"/>
        </w:rPr>
        <w:footnoteReference w:id="1055"/>
      </w:r>
      <w:r>
        <w:rPr>
          <w:rFonts w:ascii="IRNazanin" w:hAnsi="IRNazanin" w:eastAsia="IRNazanin"/>
          <w:color w:val="111111"/>
          <w:sz w:val="28"/>
          <w:sz w:val="28"/>
          <w:szCs w:val="28"/>
          <w:rtl w:val="true"/>
          <w:lang w:bidi="fa-IR"/>
        </w:rPr>
        <w:t>تعلیق البیع علیٰ شی‌ء غیر حاصل حین العقد؛ سواء علم حصوله فیما بعد أم لا، و لا علیٰ شی‌ء مجهول الحصول حینه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تعلیقه علیٰ معلوم الحصول حینه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إن کان الیوم یوم السبت، مع العلم به، ففیه إشکال، لا یبعد الجواز</w:t>
      </w:r>
      <w:r>
        <w:rPr>
          <w:rFonts w:eastAsia="IRNazanin" w:cs="IRNazanin"/>
          <w:color w:val="111111"/>
          <w:sz w:val="28"/>
          <w:szCs w:val="28"/>
          <w:rtl w:val="true"/>
          <w:lang w:bidi="fa-IR"/>
        </w:rPr>
        <w:t>.</w:t>
      </w:r>
    </w:p>
    <w:p>
      <w:pPr>
        <w:pStyle w:val="Heading4"/>
        <w:numPr>
          <w:ilvl w:val="3"/>
          <w:numId w:val="1"/>
        </w:numPr>
        <w:rPr/>
      </w:pPr>
      <w:bookmarkStart w:id="3645" w:name="__RefHeading___Toc2568302_3650668749"/>
      <w:bookmarkStart w:id="3646" w:name="_Toc1660"/>
      <w:bookmarkEnd w:id="3645"/>
      <w:r>
        <w:rPr>
          <w:rtl w:val="true"/>
        </w:rPr>
        <w:t>[ (</w:t>
      </w:r>
      <w:r>
        <w:rPr>
          <w:rtl w:val="true"/>
        </w:rPr>
        <w:t xml:space="preserve">مسألة </w:t>
      </w:r>
      <w:r>
        <w:rPr/>
        <w:t>13</w:t>
      </w:r>
      <w:r>
        <w:rPr>
          <w:rtl w:val="true"/>
        </w:rPr>
        <w:t xml:space="preserve">): </w:t>
      </w:r>
      <w:r>
        <w:rPr>
          <w:rtl w:val="true"/>
        </w:rPr>
        <w:t>لو قبض المشتری ما ابتاعه بالعقد الفاسد لم یملکه و کان مضموناً علیه</w:t>
      </w:r>
      <w:r>
        <w:rPr>
          <w:rtl w:val="true"/>
        </w:rPr>
        <w:t>]</w:t>
      </w:r>
      <w:bookmarkEnd w:id="3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قبض المشتری ما ابتاعه بالعقد الفاسد لم یملکه و کان مضموناً علیه؛ بمعنی أنّه یجب علیه أن یردّه إلیٰ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تلف و لو بآفة سماویة یجب علیه ردّ عوضه من المثل أو القیمة، نعم لو کان کلّ من البائع و المشتری راضیاً بتصرّف الآخر فیما قبضه و لو علیٰ تقدیر فساده یباح لکلّ منهما التصرّف و الانتفاع بما قبضه و لو بإتلافه، و لا ضمان علیه</w:t>
      </w:r>
      <w:r>
        <w:rPr>
          <w:rFonts w:eastAsia="IRNazanin" w:cs="IRNazanin"/>
          <w:color w:val="111111"/>
          <w:sz w:val="28"/>
          <w:szCs w:val="28"/>
          <w:rtl w:val="true"/>
          <w:lang w:bidi="fa-IR"/>
        </w:rPr>
        <w:t>.</w:t>
      </w:r>
    </w:p>
    <w:p>
      <w:pPr>
        <w:pStyle w:val="Heading3"/>
        <w:numPr>
          <w:ilvl w:val="2"/>
          <w:numId w:val="1"/>
        </w:numPr>
        <w:rPr/>
      </w:pPr>
      <w:bookmarkStart w:id="3647" w:name="__RefHeading___Toc2568304_3650668749"/>
      <w:bookmarkStart w:id="3648" w:name="_Toc1661"/>
      <w:bookmarkEnd w:id="3647"/>
      <w:r>
        <w:rPr>
          <w:rtl w:val="true"/>
        </w:rPr>
        <w:t>[</w:t>
      </w:r>
      <w:r>
        <w:rPr>
          <w:rtl w:val="true"/>
        </w:rPr>
        <w:t>القول فی شروط البیع</w:t>
      </w:r>
      <w:r>
        <w:rPr>
          <w:rtl w:val="true"/>
        </w:rPr>
        <w:t>]</w:t>
      </w:r>
      <w:bookmarkEnd w:id="3648"/>
    </w:p>
    <w:p>
      <w:pPr>
        <w:pStyle w:val="Heading4"/>
        <w:numPr>
          <w:ilvl w:val="3"/>
          <w:numId w:val="1"/>
        </w:numPr>
        <w:rPr/>
      </w:pPr>
      <w:bookmarkStart w:id="3649" w:name="__RefHeading___Toc2568306_3650668749"/>
      <w:bookmarkStart w:id="3650" w:name="_Toc1662"/>
      <w:bookmarkEnd w:id="3649"/>
      <w:r>
        <w:rPr>
          <w:rtl w:val="true"/>
        </w:rPr>
        <w:t>اشارة</w:t>
      </w:r>
      <w:bookmarkEnd w:id="3650"/>
    </w:p>
    <w:p>
      <w:pPr>
        <w:pStyle w:val="BookText"/>
        <w:rPr/>
      </w:pPr>
      <w:r>
        <w:rPr>
          <w:rFonts w:ascii="IRNazanin" w:hAnsi="IRNazanin" w:eastAsia="IRNazanin"/>
          <w:color w:val="111111"/>
          <w:sz w:val="28"/>
          <w:sz w:val="28"/>
          <w:szCs w:val="28"/>
          <w:rtl w:val="true"/>
          <w:lang w:bidi="fa-IR"/>
        </w:rPr>
        <w:t>القول فی شروط البیع و هی إمّا فی المتعاقدین و إمّا فی العوضین</w:t>
      </w:r>
      <w:r>
        <w:rPr>
          <w:rFonts w:eastAsia="IRNazanin" w:cs="IRNazanin"/>
          <w:color w:val="111111"/>
          <w:sz w:val="28"/>
          <w:szCs w:val="28"/>
          <w:rtl w:val="true"/>
          <w:lang w:bidi="fa-IR"/>
        </w:rPr>
        <w:t>:</w:t>
      </w:r>
    </w:p>
    <w:p>
      <w:pPr>
        <w:pStyle w:val="Heading4"/>
        <w:numPr>
          <w:ilvl w:val="3"/>
          <w:numId w:val="1"/>
        </w:numPr>
        <w:rPr/>
      </w:pPr>
      <w:bookmarkStart w:id="3651" w:name="__RefHeading___Toc2568308_3650668749"/>
      <w:bookmarkStart w:id="3652" w:name="_Toc1663"/>
      <w:bookmarkEnd w:id="3651"/>
      <w:r>
        <w:rPr>
          <w:rtl w:val="true"/>
        </w:rPr>
        <w:t>[</w:t>
      </w:r>
      <w:r>
        <w:rPr>
          <w:rtl w:val="true"/>
        </w:rPr>
        <w:t>القول فی شرائط المتعاقدین</w:t>
      </w:r>
      <w:r>
        <w:rPr>
          <w:rtl w:val="true"/>
        </w:rPr>
        <w:t>]</w:t>
      </w:r>
      <w:bookmarkEnd w:id="3652"/>
    </w:p>
    <w:p>
      <w:pPr>
        <w:pStyle w:val="Heading5"/>
        <w:numPr>
          <w:ilvl w:val="4"/>
          <w:numId w:val="1"/>
        </w:numPr>
        <w:rPr/>
      </w:pPr>
      <w:bookmarkStart w:id="3653" w:name="__RefHeading___Toc2568310_3650668749"/>
      <w:bookmarkStart w:id="3654" w:name="_Toc1664"/>
      <w:bookmarkEnd w:id="3653"/>
      <w:r>
        <w:rPr>
          <w:rtl w:val="true"/>
        </w:rPr>
        <w:t>اشارة</w:t>
      </w:r>
      <w:bookmarkEnd w:id="3654"/>
    </w:p>
    <w:p>
      <w:pPr>
        <w:pStyle w:val="BookText"/>
        <w:rPr/>
      </w:pPr>
      <w:r>
        <w:rPr>
          <w:rFonts w:ascii="IRNazanin" w:hAnsi="IRNazanin" w:eastAsia="IRNazanin"/>
          <w:color w:val="111111"/>
          <w:sz w:val="28"/>
          <w:sz w:val="28"/>
          <w:szCs w:val="28"/>
          <w:rtl w:val="true"/>
          <w:lang w:bidi="fa-IR"/>
        </w:rPr>
        <w:t>القول فی شرائط المتعاقدین و هی أُمور</w:t>
      </w:r>
      <w:r>
        <w:rPr>
          <w:rFonts w:eastAsia="IRNazanin" w:cs="IRNazanin"/>
          <w:color w:val="111111"/>
          <w:sz w:val="28"/>
          <w:szCs w:val="28"/>
          <w:rtl w:val="true"/>
          <w:lang w:bidi="fa-IR"/>
        </w:rPr>
        <w:t>:</w:t>
      </w:r>
    </w:p>
    <w:p>
      <w:pPr>
        <w:pStyle w:val="Heading5"/>
        <w:numPr>
          <w:ilvl w:val="4"/>
          <w:numId w:val="1"/>
        </w:numPr>
        <w:rPr/>
      </w:pPr>
      <w:bookmarkStart w:id="3655" w:name="__RefHeading___Toc2568312_3650668749"/>
      <w:bookmarkStart w:id="3656" w:name="_Toc1665"/>
      <w:bookmarkEnd w:id="3655"/>
      <w:r>
        <w:rPr>
          <w:rtl w:val="true"/>
        </w:rPr>
        <w:t>[</w:t>
      </w:r>
      <w:r>
        <w:rPr>
          <w:rtl w:val="true"/>
        </w:rPr>
        <w:t>الأوّل</w:t>
      </w:r>
      <w:r>
        <w:rPr>
          <w:rtl w:val="true"/>
        </w:rPr>
        <w:t xml:space="preserve">: </w:t>
      </w:r>
      <w:r>
        <w:rPr>
          <w:rtl w:val="true"/>
        </w:rPr>
        <w:t>البلوغ</w:t>
      </w:r>
      <w:r>
        <w:rPr>
          <w:rtl w:val="true"/>
        </w:rPr>
        <w:t>]</w:t>
      </w:r>
      <w:bookmarkEnd w:id="3656"/>
    </w:p>
    <w:p>
      <w:pPr>
        <w:pStyle w:val="Heading6"/>
        <w:numPr>
          <w:ilvl w:val="5"/>
          <w:numId w:val="1"/>
        </w:numPr>
        <w:rPr/>
      </w:pPr>
      <w:bookmarkStart w:id="3657" w:name="__RefHeading___Toc2568314_3650668749"/>
      <w:bookmarkStart w:id="3658" w:name="_Toc1666"/>
      <w:bookmarkEnd w:id="3657"/>
      <w:r>
        <w:rPr>
          <w:rtl w:val="true"/>
        </w:rPr>
        <w:t>اشارة</w:t>
      </w:r>
      <w:bookmarkEnd w:id="365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فلا یصحّ بیع الصغیر و لو کان ممیّزاً و کان بإذن الولیّ إذا کان مستقلا </w:t>
      </w:r>
      <w:r>
        <w:rPr>
          <w:rStyle w:val="FootnoteAnchor"/>
          <w:rtl w:val="true"/>
        </w:rPr>
        <w:footnoteReference w:id="1056"/>
      </w:r>
      <w:r>
        <w:rPr>
          <w:rFonts w:ascii="IRNazanin" w:hAnsi="IRNazanin" w:eastAsia="IRNazanin"/>
          <w:color w:val="111111"/>
          <w:sz w:val="28"/>
          <w:sz w:val="28"/>
          <w:szCs w:val="28"/>
          <w:rtl w:val="true"/>
          <w:lang w:bidi="fa-IR"/>
        </w:rPr>
        <w:t>فی إیقاع المعاملة، نعم لو کان بمنزلة الآلة بحیث یکون حقیقة المعاملة بین البالغین لا بأس به</w:t>
      </w:r>
      <w:r>
        <w:rPr>
          <w:rFonts w:eastAsia="IRNazanin" w:cs="IRNazanin"/>
          <w:color w:val="111111"/>
          <w:sz w:val="28"/>
          <w:szCs w:val="28"/>
          <w:rtl w:val="true"/>
          <w:lang w:bidi="fa-IR"/>
        </w:rPr>
        <w:t>.</w:t>
      </w:r>
    </w:p>
    <w:p>
      <w:pPr>
        <w:pStyle w:val="Heading6"/>
        <w:numPr>
          <w:ilvl w:val="5"/>
          <w:numId w:val="1"/>
        </w:numPr>
        <w:rPr/>
      </w:pPr>
      <w:bookmarkStart w:id="3659" w:name="__RefHeading___Toc2568316_3650668749"/>
      <w:bookmarkStart w:id="3660" w:name="_Toc1667"/>
      <w:bookmarkEnd w:id="3659"/>
      <w:r>
        <w:rPr>
          <w:rtl w:val="true"/>
        </w:rPr>
        <w:t>[ (</w:t>
      </w:r>
      <w:r>
        <w:rPr>
          <w:rtl w:val="true"/>
        </w:rPr>
        <w:t xml:space="preserve">مسألة </w:t>
      </w:r>
      <w:r>
        <w:rPr/>
        <w:t>1</w:t>
      </w:r>
      <w:r>
        <w:rPr>
          <w:rtl w:val="true"/>
        </w:rPr>
        <w:t xml:space="preserve">): </w:t>
      </w:r>
      <w:r>
        <w:rPr>
          <w:rtl w:val="true"/>
        </w:rPr>
        <w:t>ظاهر المشهور أنّه کما لا تصحّ معاملة الصبیّ لنفسه کذلک لا تصحّ لغیره أیضاً إذا کان وکیلًا عنه</w:t>
      </w:r>
      <w:r>
        <w:rPr>
          <w:rtl w:val="true"/>
        </w:rPr>
        <w:t>]</w:t>
      </w:r>
      <w:bookmarkEnd w:id="366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المشهور </w:t>
      </w:r>
      <w:r>
        <w:rPr>
          <w:rStyle w:val="FootnoteAnchor"/>
          <w:rtl w:val="true"/>
        </w:rPr>
        <w:footnoteReference w:id="1057"/>
      </w:r>
      <w:r>
        <w:rPr>
          <w:rFonts w:ascii="IRNazanin" w:hAnsi="IRNazanin" w:eastAsia="IRNazanin"/>
          <w:color w:val="111111"/>
          <w:sz w:val="28"/>
          <w:sz w:val="28"/>
          <w:szCs w:val="28"/>
          <w:rtl w:val="true"/>
          <w:lang w:bidi="fa-IR"/>
        </w:rPr>
        <w:t>أنّه کما لا تصحّ معاملة الصبیّ لنفسه کذلک لا تصحّ لغیره أیضاً إذا کان وکیلًا عنه، حتّی فیما لو أذن له الولیّ فی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یصحّ منه مجرّد إجراء</w:t>
      </w:r>
      <w:bookmarkStart w:id="3661" w:name="pg1809_19340"/>
    </w:p>
    <w:p>
      <w:pPr>
        <w:pStyle w:val="BookText"/>
        <w:rPr/>
      </w:pPr>
      <w:bookmarkEnd w:id="3661"/>
      <w:r>
        <w:rPr>
          <w:rFonts w:ascii="IRNazanin" w:hAnsi="IRNazanin" w:eastAsia="IRNazanin"/>
          <w:color w:val="111111"/>
          <w:sz w:val="28"/>
          <w:sz w:val="28"/>
          <w:szCs w:val="28"/>
          <w:rtl w:val="true"/>
          <w:lang w:bidi="fa-IR"/>
        </w:rPr>
        <w:t>الصیغة و لو کان أصل المعاملة بین البالغین، فهو مسلوب العبارة و کان عقده کعقد الهازل و الغافل، و هذا التعمیم عندی محلّ نظر و إشکال</w:t>
      </w:r>
      <w:r>
        <w:rPr>
          <w:rFonts w:eastAsia="IRNazanin" w:cs="IRNazanin"/>
          <w:color w:val="111111"/>
          <w:sz w:val="28"/>
          <w:szCs w:val="28"/>
          <w:rtl w:val="true"/>
          <w:lang w:bidi="fa-IR"/>
        </w:rPr>
        <w:t>.</w:t>
      </w:r>
    </w:p>
    <w:p>
      <w:pPr>
        <w:pStyle w:val="Heading5"/>
        <w:numPr>
          <w:ilvl w:val="4"/>
          <w:numId w:val="1"/>
        </w:numPr>
        <w:rPr/>
      </w:pPr>
      <w:bookmarkStart w:id="3662" w:name="__RefHeading___Toc2568318_3650668749"/>
      <w:bookmarkStart w:id="3663" w:name="_Toc1668"/>
      <w:bookmarkEnd w:id="3662"/>
      <w:r>
        <w:rPr>
          <w:rtl w:val="true"/>
        </w:rPr>
        <w:t>[</w:t>
      </w:r>
      <w:r>
        <w:rPr>
          <w:rtl w:val="true"/>
        </w:rPr>
        <w:t>الثانی</w:t>
      </w:r>
      <w:r>
        <w:rPr>
          <w:rtl w:val="true"/>
        </w:rPr>
        <w:t xml:space="preserve">: </w:t>
      </w:r>
      <w:r>
        <w:rPr>
          <w:rtl w:val="true"/>
        </w:rPr>
        <w:t>العقل</w:t>
      </w:r>
      <w:r>
        <w:rPr>
          <w:rtl w:val="true"/>
        </w:rPr>
        <w:t>]</w:t>
      </w:r>
      <w:bookmarkEnd w:id="366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یصحّ بیع المجنون</w:t>
      </w:r>
      <w:r>
        <w:rPr>
          <w:rFonts w:eastAsia="IRNazanin" w:cs="IRNazanin"/>
          <w:color w:val="111111"/>
          <w:sz w:val="28"/>
          <w:szCs w:val="28"/>
          <w:rtl w:val="true"/>
          <w:lang w:bidi="fa-IR"/>
        </w:rPr>
        <w:t>.</w:t>
      </w:r>
    </w:p>
    <w:p>
      <w:pPr>
        <w:pStyle w:val="Heading5"/>
        <w:numPr>
          <w:ilvl w:val="4"/>
          <w:numId w:val="1"/>
        </w:numPr>
        <w:rPr/>
      </w:pPr>
      <w:bookmarkStart w:id="3664" w:name="__RefHeading___Toc2568320_3650668749"/>
      <w:bookmarkStart w:id="3665" w:name="_Toc1669"/>
      <w:bookmarkEnd w:id="3664"/>
      <w:r>
        <w:rPr>
          <w:rtl w:val="true"/>
        </w:rPr>
        <w:t>[</w:t>
      </w:r>
      <w:r>
        <w:rPr>
          <w:rtl w:val="true"/>
        </w:rPr>
        <w:t>الثالث</w:t>
      </w:r>
      <w:r>
        <w:rPr>
          <w:rtl w:val="true"/>
        </w:rPr>
        <w:t xml:space="preserve">: </w:t>
      </w:r>
      <w:r>
        <w:rPr>
          <w:rtl w:val="true"/>
        </w:rPr>
        <w:t>القصد</w:t>
      </w:r>
      <w:r>
        <w:rPr>
          <w:rtl w:val="true"/>
        </w:rPr>
        <w:t>]</w:t>
      </w:r>
      <w:bookmarkEnd w:id="366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فلا یصحّ بیع غیر القاصد کالهازل و الغالط و الساهی</w:t>
      </w:r>
      <w:r>
        <w:rPr>
          <w:rFonts w:eastAsia="IRNazanin" w:cs="IRNazanin"/>
          <w:color w:val="111111"/>
          <w:sz w:val="28"/>
          <w:szCs w:val="28"/>
          <w:rtl w:val="true"/>
          <w:lang w:bidi="fa-IR"/>
        </w:rPr>
        <w:t>.</w:t>
      </w:r>
    </w:p>
    <w:p>
      <w:pPr>
        <w:pStyle w:val="Heading5"/>
        <w:numPr>
          <w:ilvl w:val="4"/>
          <w:numId w:val="1"/>
        </w:numPr>
        <w:rPr/>
      </w:pPr>
      <w:bookmarkStart w:id="3666" w:name="__RefHeading___Toc2568322_3650668749"/>
      <w:bookmarkStart w:id="3667" w:name="_Toc1670"/>
      <w:bookmarkEnd w:id="3666"/>
      <w:r>
        <w:rPr>
          <w:rtl w:val="true"/>
        </w:rPr>
        <w:t>[</w:t>
      </w:r>
      <w:r>
        <w:rPr>
          <w:rtl w:val="true"/>
        </w:rPr>
        <w:t>الرابع</w:t>
      </w:r>
      <w:r>
        <w:rPr>
          <w:rtl w:val="true"/>
        </w:rPr>
        <w:t xml:space="preserve">: </w:t>
      </w:r>
      <w:r>
        <w:rPr>
          <w:rtl w:val="true"/>
        </w:rPr>
        <w:t>الاختیار</w:t>
      </w:r>
      <w:r>
        <w:rPr>
          <w:rtl w:val="true"/>
        </w:rPr>
        <w:t>]</w:t>
      </w:r>
      <w:bookmarkEnd w:id="3667"/>
    </w:p>
    <w:p>
      <w:pPr>
        <w:pStyle w:val="Heading6"/>
        <w:numPr>
          <w:ilvl w:val="5"/>
          <w:numId w:val="1"/>
        </w:numPr>
        <w:rPr/>
      </w:pPr>
      <w:bookmarkStart w:id="3668" w:name="__RefHeading___Toc2568324_3650668749"/>
      <w:bookmarkStart w:id="3669" w:name="_Toc1671"/>
      <w:bookmarkEnd w:id="3668"/>
      <w:r>
        <w:rPr>
          <w:rtl w:val="true"/>
        </w:rPr>
        <w:t>اشارة</w:t>
      </w:r>
      <w:bookmarkEnd w:id="3669"/>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فلا یقع البیع من المکرَه، و المراد به الخائف علیٰ ترک البیع من جهة توعید الغیر علیه بإیقاع ضرر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بصحّة البیع الاضطرار الموجب للإلجاء و إن کان حاصلًا من إلزام الغیر بشی‌ء، کما إذا ألزمه ظالم علیٰ دفع مال فالتجأ إلیٰ بیع ماله لدفع ذلک المال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الضرر المتوعّد به بین أن یکون متعلّقاً بنفس المکره نفساً أو عرضاً أو مالًا، أو بمن یکون متعلّقاً به کولده و عیاله ممّن یکون إیقاع محذور علیه بمنزلة إیقاعه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رضی المکره بالبیع بعد زوال الإکراه صحّ و لزم</w:t>
      </w:r>
      <w:r>
        <w:rPr>
          <w:rFonts w:eastAsia="IRNazanin" w:cs="IRNazanin"/>
          <w:color w:val="111111"/>
          <w:sz w:val="28"/>
          <w:szCs w:val="28"/>
          <w:rtl w:val="true"/>
          <w:lang w:bidi="fa-IR"/>
        </w:rPr>
        <w:t>.</w:t>
      </w:r>
    </w:p>
    <w:p>
      <w:pPr>
        <w:pStyle w:val="Heading6"/>
        <w:numPr>
          <w:ilvl w:val="5"/>
          <w:numId w:val="1"/>
        </w:numPr>
        <w:rPr/>
      </w:pPr>
      <w:bookmarkStart w:id="3670" w:name="__RefHeading___Toc2568326_3650668749"/>
      <w:bookmarkStart w:id="3671" w:name="_Toc1672"/>
      <w:bookmarkEnd w:id="3670"/>
      <w:r>
        <w:rPr>
          <w:rtl w:val="true"/>
        </w:rPr>
        <w:t>[ (</w:t>
      </w:r>
      <w:r>
        <w:rPr>
          <w:rtl w:val="true"/>
        </w:rPr>
        <w:t xml:space="preserve">مسألة </w:t>
      </w:r>
      <w:r>
        <w:rPr/>
        <w:t>2</w:t>
      </w:r>
      <w:r>
        <w:rPr>
          <w:rtl w:val="true"/>
        </w:rPr>
        <w:t xml:space="preserve">): </w:t>
      </w:r>
      <w:r>
        <w:rPr>
          <w:rtl w:val="true"/>
        </w:rPr>
        <w:t>الظاهر أنّه لا یعتبر فی صدق الإکراه عدم إمکان التفصّی بالتوریة</w:t>
      </w:r>
      <w:r>
        <w:rPr>
          <w:rtl w:val="true"/>
        </w:rPr>
        <w:t>]</w:t>
      </w:r>
      <w:bookmarkEnd w:id="36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لا یعتبر فی صدق الإکراه عدم إمکان التفصّی بالتوریة </w:t>
      </w:r>
      <w:r>
        <w:rPr>
          <w:rStyle w:val="FootnoteAnchor"/>
          <w:rtl w:val="true"/>
        </w:rPr>
        <w:footnoteReference w:id="1058"/>
      </w:r>
      <w:r>
        <w:rPr>
          <w:rFonts w:ascii="IRNazanin" w:hAnsi="IRNazanin" w:eastAsia="IRNazanin"/>
          <w:color w:val="111111"/>
          <w:sz w:val="28"/>
          <w:sz w:val="28"/>
          <w:szCs w:val="28"/>
          <w:rtl w:val="true"/>
          <w:lang w:bidi="fa-IR"/>
        </w:rPr>
        <w:t>، فلو الزم بالبیع و أُوعد علیٰ ترکه بإیقاع ضرر علیه فباع قاصداً للمعنیٰ مع إمکان أن لا یقصد أصلًا أو یقصد معنیٰ آخر غیر البیع یکون مکرهاً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متمکّناً من التفصّی بغیرها بأن یخلّص نفسه من المکرِه و من الضرر المتوعّد به مع عدم إیقاع البیع بما لم یکن ضرراً علیه؛ مثل أن یستعین بمن لیس ضرر و حرج فی استعانته، و مع ذلک لم یفعل و أوقع البیع لم یکن مکرَهاً علیه</w:t>
      </w:r>
      <w:r>
        <w:rPr>
          <w:rFonts w:eastAsia="IRNazanin" w:cs="IRNazanin"/>
          <w:color w:val="111111"/>
          <w:sz w:val="28"/>
          <w:szCs w:val="28"/>
          <w:rtl w:val="true"/>
          <w:lang w:bidi="fa-IR"/>
        </w:rPr>
        <w:t>.</w:t>
      </w:r>
    </w:p>
    <w:p>
      <w:pPr>
        <w:pStyle w:val="Heading6"/>
        <w:numPr>
          <w:ilvl w:val="5"/>
          <w:numId w:val="1"/>
        </w:numPr>
        <w:rPr/>
      </w:pPr>
      <w:bookmarkStart w:id="3672" w:name="__RefHeading___Toc2568328_3650668749"/>
      <w:bookmarkStart w:id="3673" w:name="_Toc1673"/>
      <w:bookmarkEnd w:id="3672"/>
      <w:r>
        <w:rPr>
          <w:rtl w:val="true"/>
        </w:rPr>
        <w:t>[ (</w:t>
      </w:r>
      <w:r>
        <w:rPr>
          <w:rtl w:val="true"/>
        </w:rPr>
        <w:t xml:space="preserve">مسألة </w:t>
      </w:r>
      <w:r>
        <w:rPr/>
        <w:t>3</w:t>
      </w:r>
      <w:r>
        <w:rPr>
          <w:rtl w:val="true"/>
        </w:rPr>
        <w:t xml:space="preserve">): </w:t>
      </w:r>
      <w:r>
        <w:rPr>
          <w:rtl w:val="true"/>
        </w:rPr>
        <w:t>لو أکرهه علیٰ أحد أمرین</w:t>
      </w:r>
      <w:r>
        <w:rPr>
          <w:rtl w:val="true"/>
        </w:rPr>
        <w:t xml:space="preserve">: </w:t>
      </w:r>
      <w:r>
        <w:rPr>
          <w:rtl w:val="true"/>
        </w:rPr>
        <w:t>إمّا بیع داره أو عمل آخر، فباع داره</w:t>
      </w:r>
      <w:r>
        <w:rPr>
          <w:rtl w:val="true"/>
        </w:rPr>
        <w:t>]</w:t>
      </w:r>
      <w:bookmarkEnd w:id="36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أکرهه علیٰ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بیع داره أو عمل آخر، فباع داره، فإن کان فی العمل الآخر محذور دینی أو دنیوی یتحرّز منه وقع البیع مکرهاً علیه، و إلّا وقع مختاراً</w:t>
      </w:r>
      <w:r>
        <w:rPr>
          <w:rFonts w:eastAsia="IRNazanin" w:cs="IRNazanin"/>
          <w:color w:val="111111"/>
          <w:sz w:val="28"/>
          <w:szCs w:val="28"/>
          <w:rtl w:val="true"/>
          <w:lang w:bidi="fa-IR"/>
        </w:rPr>
        <w:t>.</w:t>
      </w:r>
    </w:p>
    <w:p>
      <w:pPr>
        <w:pStyle w:val="Heading6"/>
        <w:numPr>
          <w:ilvl w:val="5"/>
          <w:numId w:val="1"/>
        </w:numPr>
        <w:rPr/>
      </w:pPr>
      <w:bookmarkStart w:id="3674" w:name="__RefHeading___Toc2568330_3650668749"/>
      <w:bookmarkStart w:id="3675" w:name="_Toc1674"/>
      <w:bookmarkEnd w:id="3674"/>
      <w:r>
        <w:rPr>
          <w:rtl w:val="true"/>
        </w:rPr>
        <w:t>[ (</w:t>
      </w:r>
      <w:r>
        <w:rPr>
          <w:rtl w:val="true"/>
        </w:rPr>
        <w:t xml:space="preserve">مسألة </w:t>
      </w:r>
      <w:r>
        <w:rPr/>
        <w:t>4</w:t>
      </w:r>
      <w:r>
        <w:rPr>
          <w:rtl w:val="true"/>
        </w:rPr>
        <w:t xml:space="preserve">): </w:t>
      </w:r>
      <w:r>
        <w:rPr>
          <w:rtl w:val="true"/>
        </w:rPr>
        <w:t>لو أکرهه علیٰ بیع أحد الشیئین علی التخییر فکلّ ما وقع منه یقع مکرَهاً علیه</w:t>
      </w:r>
      <w:r>
        <w:rPr>
          <w:rtl w:val="true"/>
        </w:rPr>
        <w:t>]</w:t>
      </w:r>
      <w:bookmarkEnd w:id="367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أکرهه علیٰ بیع أحد الشیئین علی التخییر فکلّ ما وقع منه یقع مکرَهاً علیه، و أمّا لو أوقعهما معاً، فإن کان تدریجاً فالظاهر وقوع الأوّل </w:t>
      </w:r>
      <w:r>
        <w:rPr>
          <w:rStyle w:val="FootnoteAnchor"/>
          <w:rtl w:val="true"/>
        </w:rPr>
        <w:footnoteReference w:id="1059"/>
      </w:r>
      <w:r>
        <w:rPr>
          <w:rFonts w:ascii="IRNazanin" w:hAnsi="IRNazanin" w:eastAsia="IRNazanin"/>
          <w:color w:val="111111"/>
          <w:sz w:val="28"/>
          <w:sz w:val="28"/>
          <w:szCs w:val="28"/>
          <w:rtl w:val="true"/>
          <w:lang w:bidi="fa-IR"/>
        </w:rPr>
        <w:t>مکرَهاً علیه دون الثانی، و أمّا لو أوقعهما دفعة ففی صحّة البیع بالنسبة إلیٰ کلیهما أو فساده کذلک أو صحّة</w:t>
      </w:r>
      <w:bookmarkStart w:id="3676" w:name="pg1809_19341"/>
    </w:p>
    <w:p>
      <w:pPr>
        <w:pStyle w:val="BookText"/>
        <w:rPr/>
      </w:pPr>
      <w:bookmarkEnd w:id="3676"/>
      <w:r>
        <w:rPr>
          <w:rFonts w:ascii="IRNazanin" w:hAnsi="IRNazanin" w:eastAsia="IRNazanin"/>
          <w:color w:val="111111"/>
          <w:sz w:val="28"/>
          <w:sz w:val="28"/>
          <w:szCs w:val="28"/>
          <w:rtl w:val="true"/>
          <w:lang w:bidi="fa-IR"/>
        </w:rPr>
        <w:t>أحدهما و التعیین بالقرعة وجوه، لا یخلو أوّلها من رجحان، و أمّا لو أکرهه علیٰ بیع معیّن فضمّ إلیه غیره و باعهما دفعة، فالظاهر البطلان فیما اکره علیه و الصحّة فی غیره</w:t>
      </w:r>
      <w:r>
        <w:rPr>
          <w:rFonts w:eastAsia="IRNazanin" w:cs="IRNazanin"/>
          <w:color w:val="111111"/>
          <w:sz w:val="28"/>
          <w:szCs w:val="28"/>
          <w:rtl w:val="true"/>
          <w:lang w:bidi="fa-IR"/>
        </w:rPr>
        <w:t>.</w:t>
      </w:r>
    </w:p>
    <w:p>
      <w:pPr>
        <w:pStyle w:val="Heading5"/>
        <w:numPr>
          <w:ilvl w:val="4"/>
          <w:numId w:val="1"/>
        </w:numPr>
        <w:rPr/>
      </w:pPr>
      <w:bookmarkStart w:id="3677" w:name="__RefHeading___Toc2568332_3650668749"/>
      <w:bookmarkStart w:id="3678" w:name="_Toc1675"/>
      <w:bookmarkEnd w:id="3677"/>
      <w:r>
        <w:rPr>
          <w:rtl w:val="true"/>
        </w:rPr>
        <w:t>[</w:t>
      </w:r>
      <w:r>
        <w:rPr>
          <w:rtl w:val="true"/>
        </w:rPr>
        <w:t>الخامس</w:t>
      </w:r>
      <w:r>
        <w:rPr>
          <w:rtl w:val="true"/>
        </w:rPr>
        <w:t xml:space="preserve">: </w:t>
      </w:r>
      <w:r>
        <w:rPr>
          <w:rtl w:val="true"/>
        </w:rPr>
        <w:t>کونهما مالکین للتصرّف</w:t>
      </w:r>
      <w:r>
        <w:rPr>
          <w:rtl w:val="true"/>
        </w:rPr>
        <w:t>]</w:t>
      </w:r>
      <w:bookmarkEnd w:id="3678"/>
    </w:p>
    <w:p>
      <w:pPr>
        <w:pStyle w:val="Heading6"/>
        <w:numPr>
          <w:ilvl w:val="5"/>
          <w:numId w:val="1"/>
        </w:numPr>
        <w:rPr/>
      </w:pPr>
      <w:bookmarkStart w:id="3679" w:name="__RefHeading___Toc2568334_3650668749"/>
      <w:bookmarkStart w:id="3680" w:name="_Toc1676"/>
      <w:bookmarkEnd w:id="3679"/>
      <w:r>
        <w:rPr>
          <w:rtl w:val="true"/>
        </w:rPr>
        <w:t>اشارة</w:t>
      </w:r>
      <w:bookmarkEnd w:id="3680"/>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کونهما مالکین للتصرّف، فلا تقع المعاملة من غیر المالک إذا لم یکن وکیلًا عنه أو ولیّاً علیه کالأب و الجدّ للأب و الوصیّ عنهما و الحاکم، و لا من المحجور علیه لسفه أو فلس أو غیر ذلک من أسباب الحجر</w:t>
      </w:r>
      <w:r>
        <w:rPr>
          <w:rFonts w:eastAsia="IRNazanin" w:cs="IRNazanin"/>
          <w:color w:val="111111"/>
          <w:sz w:val="28"/>
          <w:szCs w:val="28"/>
          <w:rtl w:val="true"/>
          <w:lang w:bidi="fa-IR"/>
        </w:rPr>
        <w:t>.</w:t>
      </w:r>
    </w:p>
    <w:p>
      <w:pPr>
        <w:pStyle w:val="Heading6"/>
        <w:numPr>
          <w:ilvl w:val="5"/>
          <w:numId w:val="1"/>
        </w:numPr>
        <w:rPr/>
      </w:pPr>
      <w:bookmarkStart w:id="3681" w:name="__RefHeading___Toc2568336_3650668749"/>
      <w:bookmarkStart w:id="3682" w:name="_Toc1677"/>
      <w:bookmarkEnd w:id="3681"/>
      <w:r>
        <w:rPr>
          <w:rtl w:val="true"/>
        </w:rPr>
        <w:t>[ (</w:t>
      </w:r>
      <w:r>
        <w:rPr>
          <w:rtl w:val="true"/>
        </w:rPr>
        <w:t xml:space="preserve">مسألة </w:t>
      </w:r>
      <w:r>
        <w:rPr/>
        <w:t>5</w:t>
      </w:r>
      <w:r>
        <w:rPr>
          <w:rtl w:val="true"/>
        </w:rPr>
        <w:t xml:space="preserve">): </w:t>
      </w:r>
      <w:r>
        <w:rPr>
          <w:rtl w:val="true"/>
        </w:rPr>
        <w:t>معنیٰ عدم الوقوع من غیر المالک من المسمّی بالفضولی أو المحجور علیه</w:t>
      </w:r>
      <w:r>
        <w:rPr>
          <w:rtl w:val="true"/>
        </w:rPr>
        <w:t>]</w:t>
      </w:r>
      <w:bookmarkEnd w:id="36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عدم الوقوع من غیر المالک من المسمّی بالفضولی أو المحجور علیه عدم اللزوم و النفوذ، لا کونه لغواً، فلو أجاز المالک العقد الواقع من غیر المالک أو الولیّ العقد الواقع من السفیه، أو الغرماء العقد الواقع من المفلّس صحّ و لزم</w:t>
      </w:r>
      <w:r>
        <w:rPr>
          <w:rFonts w:eastAsia="IRNazanin" w:cs="IRNazanin"/>
          <w:color w:val="111111"/>
          <w:sz w:val="28"/>
          <w:szCs w:val="28"/>
          <w:rtl w:val="true"/>
          <w:lang w:bidi="fa-IR"/>
        </w:rPr>
        <w:t>.</w:t>
      </w:r>
    </w:p>
    <w:p>
      <w:pPr>
        <w:pStyle w:val="Heading6"/>
        <w:numPr>
          <w:ilvl w:val="5"/>
          <w:numId w:val="1"/>
        </w:numPr>
        <w:rPr/>
      </w:pPr>
      <w:bookmarkStart w:id="3683" w:name="__RefHeading___Toc2568338_3650668749"/>
      <w:bookmarkStart w:id="3684" w:name="_Toc1678"/>
      <w:bookmarkEnd w:id="3683"/>
      <w:r>
        <w:rPr>
          <w:rtl w:val="true"/>
        </w:rPr>
        <w:t>[ (</w:t>
      </w:r>
      <w:r>
        <w:rPr>
          <w:rtl w:val="true"/>
        </w:rPr>
        <w:t xml:space="preserve">مسألة </w:t>
      </w:r>
      <w:r>
        <w:rPr/>
        <w:t>6</w:t>
      </w:r>
      <w:r>
        <w:rPr>
          <w:rtl w:val="true"/>
        </w:rPr>
        <w:t xml:space="preserve">): </w:t>
      </w:r>
      <w:r>
        <w:rPr>
          <w:rtl w:val="true"/>
        </w:rPr>
        <w:t>لا فرق فی صحّة البیع الصادر من غیر المالک مع إجازة المالک</w:t>
      </w:r>
      <w:r>
        <w:rPr>
          <w:rtl w:val="true"/>
        </w:rPr>
        <w:t>]</w:t>
      </w:r>
      <w:bookmarkEnd w:id="3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صحّة البیع الصادر من غیر المالک مع إجازة المالک بین ما إذا قصد وقوعه للمالک، و ما إذا قصد وقوعه لنفسه، کما فی بیع الغاصب و من اعتقد أنّه مالک و لیس بمالک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فرق علی الأوّل بین ما إذا سبقه منع المالک عن البیع و ما لم یسبقه المنع علیٰ إشکال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یعتبر فی تأثیر الإجازة عدم مسبوقیّتها بردّ المالک بعد العقد، فلو باع فضولًا و بعد ما عرض علی المالک قد ردّه ثمّ أجازه لغت الإجازة </w:t>
      </w:r>
      <w:r>
        <w:rPr>
          <w:rStyle w:val="FootnoteAnchor"/>
          <w:rtl w:val="true"/>
        </w:rPr>
        <w:footnoteReference w:id="1060"/>
      </w:r>
      <w:r>
        <w:rPr>
          <w:rFonts w:ascii="IRNazanin" w:hAnsi="IRNazanin" w:eastAsia="IRNazanin"/>
          <w:color w:val="111111"/>
          <w:sz w:val="28"/>
          <w:sz w:val="28"/>
          <w:szCs w:val="28"/>
          <w:rtl w:val="true"/>
          <w:lang w:bidi="fa-IR"/>
        </w:rPr>
        <w:t>، کما أنّه لو ردّ بعد الإجازة لغا الردّ</w:t>
      </w:r>
      <w:r>
        <w:rPr>
          <w:rFonts w:eastAsia="IRNazanin" w:cs="IRNazanin"/>
          <w:color w:val="111111"/>
          <w:sz w:val="28"/>
          <w:szCs w:val="28"/>
          <w:rtl w:val="true"/>
          <w:lang w:bidi="fa-IR"/>
        </w:rPr>
        <w:t>.</w:t>
      </w:r>
    </w:p>
    <w:p>
      <w:pPr>
        <w:pStyle w:val="Heading6"/>
        <w:numPr>
          <w:ilvl w:val="5"/>
          <w:numId w:val="1"/>
        </w:numPr>
        <w:rPr/>
      </w:pPr>
      <w:bookmarkStart w:id="3685" w:name="__RefHeading___Toc2568340_3650668749"/>
      <w:bookmarkStart w:id="3686" w:name="_Toc1679"/>
      <w:bookmarkEnd w:id="3685"/>
      <w:r>
        <w:rPr>
          <w:rtl w:val="true"/>
        </w:rPr>
        <w:t>[ (</w:t>
      </w:r>
      <w:r>
        <w:rPr>
          <w:rtl w:val="true"/>
        </w:rPr>
        <w:t xml:space="preserve">مسألة </w:t>
      </w:r>
      <w:r>
        <w:rPr/>
        <w:t>7</w:t>
      </w:r>
      <w:r>
        <w:rPr>
          <w:rtl w:val="true"/>
        </w:rPr>
        <w:t xml:space="preserve">): </w:t>
      </w:r>
      <w:r>
        <w:rPr>
          <w:rtl w:val="true"/>
        </w:rPr>
        <w:t>الإجازة من المالک کما تقع باللفظ الدالّ علی الرضا بالبیع بحسب متفاهم العرف</w:t>
      </w:r>
      <w:r>
        <w:rPr>
          <w:rtl w:val="true"/>
        </w:rPr>
        <w:t>]</w:t>
      </w:r>
      <w:bookmarkEnd w:id="36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من المالک کما تقع باللفظ الدالّ علی الرضا بالبیع بحسب متفاهم العرف و لو بالکنایة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أمضیت و أجزت و أنفذت و رضیت و شبه ذلک، و کقوله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فیه، و شبه ذلک من الکنایات، کذلک تقع بالفعل الکاشف عرفاً عن الرضا بالعقد کما إذا تصرّف فی الثمن، و من ذلک ما إذا أجاز البیع الواقع علیه؛ لأنّه مستلزم لإجازة البیع الواقع علی المثمن، و کما إذا مکّنت الزوجة من نفسها إذا زوّجت فضولًا</w:t>
      </w:r>
      <w:r>
        <w:rPr>
          <w:rFonts w:eastAsia="IRNazanin" w:cs="IRNazanin"/>
          <w:color w:val="111111"/>
          <w:sz w:val="28"/>
          <w:szCs w:val="28"/>
          <w:rtl w:val="true"/>
          <w:lang w:bidi="fa-IR"/>
        </w:rPr>
        <w:t>.</w:t>
      </w:r>
    </w:p>
    <w:p>
      <w:pPr>
        <w:pStyle w:val="Heading6"/>
        <w:numPr>
          <w:ilvl w:val="5"/>
          <w:numId w:val="1"/>
        </w:numPr>
        <w:rPr/>
      </w:pPr>
      <w:bookmarkStart w:id="3687" w:name="__RefHeading___Toc2568342_3650668749"/>
      <w:bookmarkStart w:id="3688" w:name="_Toc1680"/>
      <w:bookmarkEnd w:id="3687"/>
      <w:r>
        <w:rPr>
          <w:rtl w:val="true"/>
        </w:rPr>
        <w:t>[ (</w:t>
      </w:r>
      <w:r>
        <w:rPr>
          <w:rtl w:val="true"/>
        </w:rPr>
        <w:t xml:space="preserve">مسألة </w:t>
      </w:r>
      <w:r>
        <w:rPr/>
        <w:t>8</w:t>
      </w:r>
      <w:r>
        <w:rPr>
          <w:rtl w:val="true"/>
        </w:rPr>
        <w:t xml:space="preserve">): </w:t>
      </w:r>
      <w:r>
        <w:rPr>
          <w:rtl w:val="true"/>
        </w:rPr>
        <w:t>هل الإجازة کاشفة عن صحّة العقد الصادر من الفضولی من حین وقوعه</w:t>
      </w:r>
      <w:r>
        <w:rPr>
          <w:rtl w:val="true"/>
        </w:rPr>
        <w:t>]</w:t>
      </w:r>
      <w:bookmarkEnd w:id="368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الإجازة کاشفة عن صحّة العقد الصادر من الفضولی من حین وقوعه فتکشف عن أنّ المبیع کان ملکاً للمشتری و الثمن ملکاً للبائع من زمان وقوع العقد أو ناقلة؛ بمعنی کونها شرطاً لتأثیر العقد من حین وقوعها؟ الظاهر هو الثانی </w:t>
      </w:r>
      <w:r>
        <w:rPr>
          <w:rStyle w:val="FootnoteAnchor"/>
          <w:rtl w:val="true"/>
        </w:rPr>
        <w:footnoteReference w:id="1061"/>
      </w:r>
      <w:r>
        <w:rPr>
          <w:rFonts w:ascii="IRNazanin" w:hAnsi="IRNazanin" w:eastAsia="IRNazanin"/>
          <w:color w:val="111111"/>
          <w:sz w:val="28"/>
          <w:sz w:val="28"/>
          <w:szCs w:val="28"/>
          <w:rtl w:val="true"/>
          <w:lang w:bidi="fa-IR"/>
        </w:rPr>
        <w:t>، و تظهر الثمرة فی</w:t>
      </w:r>
      <w:bookmarkStart w:id="3689" w:name="pg1809_19342"/>
    </w:p>
    <w:p>
      <w:pPr>
        <w:pStyle w:val="BookText"/>
        <w:rPr/>
      </w:pPr>
      <w:bookmarkEnd w:id="3689"/>
      <w:r>
        <w:rPr>
          <w:rFonts w:ascii="IRNazanin" w:hAnsi="IRNazanin" w:eastAsia="IRNazanin"/>
          <w:color w:val="111111"/>
          <w:sz w:val="28"/>
          <w:sz w:val="28"/>
          <w:szCs w:val="28"/>
          <w:rtl w:val="true"/>
          <w:lang w:bidi="fa-IR"/>
        </w:rPr>
        <w:t>النماء المتخلّل بین العقد و الإجازة، فعلی الأوّل نماء المبیع للمشتری و نماء الثمن للبائع، و علی الثانی بالعکس</w:t>
      </w:r>
      <w:r>
        <w:rPr>
          <w:rFonts w:eastAsia="IRNazanin" w:cs="IRNazanin"/>
          <w:color w:val="111111"/>
          <w:sz w:val="28"/>
          <w:szCs w:val="28"/>
          <w:rtl w:val="true"/>
          <w:lang w:bidi="fa-IR"/>
        </w:rPr>
        <w:t>.</w:t>
      </w:r>
    </w:p>
    <w:p>
      <w:pPr>
        <w:pStyle w:val="Heading6"/>
        <w:numPr>
          <w:ilvl w:val="5"/>
          <w:numId w:val="1"/>
        </w:numPr>
        <w:rPr/>
      </w:pPr>
      <w:bookmarkStart w:id="3690" w:name="__RefHeading___Toc2568344_3650668749"/>
      <w:bookmarkStart w:id="3691" w:name="_Toc1681"/>
      <w:bookmarkEnd w:id="3690"/>
      <w:r>
        <w:rPr>
          <w:rtl w:val="true"/>
        </w:rPr>
        <w:t>[ (</w:t>
      </w:r>
      <w:r>
        <w:rPr>
          <w:rtl w:val="true"/>
        </w:rPr>
        <w:t xml:space="preserve">مسألة </w:t>
      </w:r>
      <w:r>
        <w:rPr/>
        <w:t>9</w:t>
      </w:r>
      <w:r>
        <w:rPr>
          <w:rtl w:val="true"/>
        </w:rPr>
        <w:t xml:space="preserve">): </w:t>
      </w:r>
      <w:r>
        <w:rPr>
          <w:rtl w:val="true"/>
        </w:rPr>
        <w:t>إذا کان المالک راضیاً بالبیع باطناً</w:t>
      </w:r>
      <w:r>
        <w:rPr>
          <w:rtl w:val="true"/>
        </w:rPr>
        <w:t>]</w:t>
      </w:r>
      <w:bookmarkEnd w:id="36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المالک راضیاً بالبیع باطناً، لکن لم یصدر منه إذن و توکیل للغیر فی البیع أو الشراء، فالظاهر أنّه لا یکفی فی الخروج عن الفضولیّة، فیحتاج فی نفوذه إلی الإجازة، سیّما إذا لم یلتفت حین العقد إلیٰ وقوعه، لکن کان بحیث لو کان ملتفتاً کان راضیاً</w:t>
      </w:r>
      <w:r>
        <w:rPr>
          <w:rFonts w:eastAsia="IRNazanin" w:cs="IRNazanin"/>
          <w:color w:val="111111"/>
          <w:sz w:val="28"/>
          <w:szCs w:val="28"/>
          <w:rtl w:val="true"/>
          <w:lang w:bidi="fa-IR"/>
        </w:rPr>
        <w:t>.</w:t>
      </w:r>
    </w:p>
    <w:p>
      <w:pPr>
        <w:pStyle w:val="Heading6"/>
        <w:numPr>
          <w:ilvl w:val="5"/>
          <w:numId w:val="1"/>
        </w:numPr>
        <w:rPr/>
      </w:pPr>
      <w:bookmarkStart w:id="3692" w:name="__RefHeading___Toc2568346_3650668749"/>
      <w:bookmarkStart w:id="3693" w:name="_Toc1682"/>
      <w:bookmarkEnd w:id="3692"/>
      <w:r>
        <w:rPr>
          <w:rtl w:val="true"/>
        </w:rPr>
        <w:t>[ (</w:t>
      </w:r>
      <w:r>
        <w:rPr>
          <w:rtl w:val="true"/>
        </w:rPr>
        <w:t xml:space="preserve">مسألة </w:t>
      </w:r>
      <w:r>
        <w:rPr/>
        <w:t>10</w:t>
      </w:r>
      <w:r>
        <w:rPr>
          <w:rtl w:val="true"/>
        </w:rPr>
        <w:t xml:space="preserve">): </w:t>
      </w:r>
      <w:r>
        <w:rPr>
          <w:rtl w:val="true"/>
        </w:rPr>
        <w:t>لا یشترط فی الفضولی قصد الفضولیّة</w:t>
      </w:r>
      <w:r>
        <w:rPr>
          <w:rtl w:val="true"/>
        </w:rPr>
        <w:t>]</w:t>
      </w:r>
      <w:bookmarkEnd w:id="36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الفضولی قصد الفضولیّة، فلو تخیّل کونه ولیّاً أو وکیلًا فتبیّن خلافه یکون من الفضولی و یصحّ بالإجازة، و أمّا العکس بأن تخیّل کونه غیر جائز التصرّف فتبیّن کونه وکیلًا أو ولیّاً، فالظاهر صحّته و عدم احتیاجه إلی الإجازة علیٰ إشکال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ما إذا تخیّل کونه غیر مالک فتبیّن کونه مالکاً، لکن عدم الصحّة و الاحتیاج إلی الإجازة فیه لا یخلو من قوّة</w:t>
      </w:r>
      <w:r>
        <w:rPr>
          <w:rFonts w:eastAsia="IRNazanin" w:cs="IRNazanin"/>
          <w:color w:val="111111"/>
          <w:sz w:val="28"/>
          <w:szCs w:val="28"/>
          <w:rtl w:val="true"/>
          <w:lang w:bidi="fa-IR"/>
        </w:rPr>
        <w:t>.</w:t>
      </w:r>
    </w:p>
    <w:p>
      <w:pPr>
        <w:pStyle w:val="Heading6"/>
        <w:numPr>
          <w:ilvl w:val="5"/>
          <w:numId w:val="1"/>
        </w:numPr>
        <w:rPr/>
      </w:pPr>
      <w:bookmarkStart w:id="3694" w:name="__RefHeading___Toc2568348_3650668749"/>
      <w:bookmarkStart w:id="3695" w:name="_Toc1683"/>
      <w:bookmarkEnd w:id="3694"/>
      <w:r>
        <w:rPr>
          <w:rtl w:val="true"/>
        </w:rPr>
        <w:t>[ (</w:t>
      </w:r>
      <w:r>
        <w:rPr>
          <w:rtl w:val="true"/>
        </w:rPr>
        <w:t xml:space="preserve">مسألة </w:t>
      </w:r>
      <w:r>
        <w:rPr/>
        <w:t>11</w:t>
      </w:r>
      <w:r>
        <w:rPr>
          <w:rtl w:val="true"/>
        </w:rPr>
        <w:t xml:space="preserve">): </w:t>
      </w:r>
      <w:r>
        <w:rPr>
          <w:rtl w:val="true"/>
        </w:rPr>
        <w:t>لو باع شیئاً فضولًا ثمّ ملکه إمّا باختیاره کالشراء أو بغیر اختیاره کالإرث صحّ بإجازته</w:t>
      </w:r>
      <w:r>
        <w:rPr>
          <w:rtl w:val="true"/>
        </w:rPr>
        <w:t>]</w:t>
      </w:r>
      <w:bookmarkEnd w:id="36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باع شیئاً فضولًا ثمّ ملکه إمّا باختیاره کالشراء أو بغیر اختیاره کالإرث صحّ بإجازته بعد ما ملکه علی الأقویٰ </w:t>
      </w:r>
      <w:r>
        <w:rPr>
          <w:rStyle w:val="FootnoteAnchor"/>
          <w:rtl w:val="true"/>
        </w:rPr>
        <w:footnoteReference w:id="1062"/>
      </w:r>
      <w:r>
        <w:rPr>
          <w:rFonts w:ascii="IRNazanin" w:hAnsi="IRNazanin" w:eastAsia="IRNazanin"/>
          <w:color w:val="111111"/>
          <w:sz w:val="28"/>
          <w:sz w:val="28"/>
          <w:szCs w:val="28"/>
          <w:rtl w:val="true"/>
          <w:lang w:bidi="fa-IR"/>
        </w:rPr>
        <w:t>، و لیس باطلًا بحیث لا تجدی الإجازة أصلًا، و لا صحیحاً بحیث لا حاجة إلیها؛ کما قال بکلّ منهما قائل</w:t>
      </w:r>
      <w:r>
        <w:rPr>
          <w:rFonts w:eastAsia="IRNazanin" w:cs="IRNazanin"/>
          <w:color w:val="111111"/>
          <w:sz w:val="28"/>
          <w:szCs w:val="28"/>
          <w:rtl w:val="true"/>
          <w:lang w:bidi="fa-IR"/>
        </w:rPr>
        <w:t>.</w:t>
      </w:r>
    </w:p>
    <w:p>
      <w:pPr>
        <w:pStyle w:val="Heading6"/>
        <w:numPr>
          <w:ilvl w:val="5"/>
          <w:numId w:val="1"/>
        </w:numPr>
        <w:rPr/>
      </w:pPr>
      <w:bookmarkStart w:id="3696" w:name="__RefHeading___Toc2568350_3650668749"/>
      <w:bookmarkStart w:id="3697" w:name="_Toc1684"/>
      <w:bookmarkEnd w:id="3696"/>
      <w:r>
        <w:rPr>
          <w:rtl w:val="true"/>
        </w:rPr>
        <w:t>[ (</w:t>
      </w:r>
      <w:r>
        <w:rPr>
          <w:rtl w:val="true"/>
        </w:rPr>
        <w:t xml:space="preserve">مسألة </w:t>
      </w:r>
      <w:r>
        <w:rPr/>
        <w:t>12</w:t>
      </w:r>
      <w:r>
        <w:rPr>
          <w:rtl w:val="true"/>
        </w:rPr>
        <w:t xml:space="preserve">): </w:t>
      </w:r>
      <w:r>
        <w:rPr>
          <w:rtl w:val="true"/>
        </w:rPr>
        <w:t>لا یعتبر فی المجیز أن یکون مالکاً حین العقد</w:t>
      </w:r>
      <w:r>
        <w:rPr>
          <w:rtl w:val="true"/>
        </w:rPr>
        <w:t>]</w:t>
      </w:r>
      <w:bookmarkEnd w:id="3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المجیز أن یکون مالکاً حین العقد، فیجوز أن یکون المالک حین العقد غیر المالک حین الإجازة، کما إذا مات المالک حین العقد قبل الإجازة فیصحّ بإجازة الوارث، و أولی بذلک ما إذا کان المالک حین العقد غیر جائز التصرّف لمانع من صغر أو سفه أو جنون أو غیر ذلک ثمّ ارتفع المانع، فإنّه یصحّ بإجازته</w:t>
      </w:r>
      <w:r>
        <w:rPr>
          <w:rFonts w:eastAsia="IRNazanin" w:cs="IRNazanin"/>
          <w:color w:val="111111"/>
          <w:sz w:val="28"/>
          <w:szCs w:val="28"/>
          <w:rtl w:val="true"/>
          <w:lang w:bidi="fa-IR"/>
        </w:rPr>
        <w:t>.</w:t>
      </w:r>
    </w:p>
    <w:p>
      <w:pPr>
        <w:pStyle w:val="Heading6"/>
        <w:numPr>
          <w:ilvl w:val="5"/>
          <w:numId w:val="1"/>
        </w:numPr>
        <w:rPr/>
      </w:pPr>
      <w:bookmarkStart w:id="3698" w:name="__RefHeading___Toc2568352_3650668749"/>
      <w:bookmarkStart w:id="3699" w:name="_Toc1685"/>
      <w:bookmarkEnd w:id="3698"/>
      <w:r>
        <w:rPr>
          <w:rtl w:val="true"/>
        </w:rPr>
        <w:t>[ (</w:t>
      </w:r>
      <w:r>
        <w:rPr>
          <w:rtl w:val="true"/>
        </w:rPr>
        <w:t xml:space="preserve">مسألة </w:t>
      </w:r>
      <w:r>
        <w:rPr/>
        <w:t>13</w:t>
      </w:r>
      <w:r>
        <w:rPr>
          <w:rtl w:val="true"/>
        </w:rPr>
        <w:t xml:space="preserve">): </w:t>
      </w:r>
      <w:r>
        <w:rPr>
          <w:rtl w:val="true"/>
        </w:rPr>
        <w:t>لو وقعت بیوع متعدّدة علیٰ مال الغیر، فإمّا أن تقع علیٰ نفس مال الغیر، أو علیٰ عوضه</w:t>
      </w:r>
      <w:r>
        <w:rPr>
          <w:rtl w:val="true"/>
        </w:rPr>
        <w:t>]</w:t>
      </w:r>
      <w:bookmarkEnd w:id="369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وقعت بیوع متعدّدة علیٰ مال الغیر، فإمّا أن تقع علیٰ نفس مال الغیر، أو علیٰ 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فإمّا أن تقع تلک البیوع من فضولی واحد کما إذا باع دار زید مکرّراً علیٰ أشخاص متعدّدة، و إمّا أن تقع من أشخاص متعدّدة کما إذا باعها من شخص بفرس، ثمّ باعها المشتری من شخص آخر بحمار، ثمّ باعها المشتری الثانی من شخص آخر بکتاب و هکذا، و علی الثانی فإمّا أن تکون من شخص واحد علی الأعواض و الأثمان</w:t>
      </w:r>
      <w:bookmarkStart w:id="3700" w:name="pg1809_19343"/>
    </w:p>
    <w:p>
      <w:pPr>
        <w:pStyle w:val="BookText"/>
        <w:rPr/>
      </w:pPr>
      <w:bookmarkEnd w:id="3700"/>
      <w:r>
        <w:rPr>
          <w:rFonts w:ascii="IRNazanin" w:hAnsi="IRNazanin" w:eastAsia="IRNazanin"/>
          <w:color w:val="111111"/>
          <w:sz w:val="28"/>
          <w:sz w:val="28"/>
          <w:szCs w:val="28"/>
          <w:rtl w:val="true"/>
          <w:lang w:bidi="fa-IR"/>
        </w:rPr>
        <w:t>بالترامی، کما إذا باع دار زید بثوب ثمّ باع الثوب ببقر ثمّ باع البقر بفراش و هکذا، و إمّا أن تقع علیٰ ثمن شخصی مراراً، کما إذا باع الثوب فی المثال المزبور مراراً علیٰ أشخاص متعدّدة، فهذه صور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للمالک فی جمیع هذه الصور أن یتتبّع البیوع و یجیز أیّ واحد شاء منها، و یصحّ بإجازته ذلک العقد المجاز، و أمّا غیره من البیوع فیحتاج إلیٰ شرح و تفصیل لا یناسب هذا المختصر</w:t>
      </w:r>
      <w:r>
        <w:rPr>
          <w:rFonts w:eastAsia="IRNazanin" w:cs="IRNazanin"/>
          <w:color w:val="111111"/>
          <w:sz w:val="28"/>
          <w:szCs w:val="28"/>
          <w:rtl w:val="true"/>
          <w:lang w:bidi="fa-IR"/>
        </w:rPr>
        <w:t>.</w:t>
      </w:r>
    </w:p>
    <w:p>
      <w:pPr>
        <w:pStyle w:val="Heading6"/>
        <w:numPr>
          <w:ilvl w:val="5"/>
          <w:numId w:val="1"/>
        </w:numPr>
        <w:rPr/>
      </w:pPr>
      <w:bookmarkStart w:id="3701" w:name="__RefHeading___Toc2568354_3650668749"/>
      <w:bookmarkStart w:id="3702" w:name="_Toc1686"/>
      <w:bookmarkEnd w:id="3701"/>
      <w:r>
        <w:rPr>
          <w:rtl w:val="true"/>
        </w:rPr>
        <w:t>[ (</w:t>
      </w:r>
      <w:r>
        <w:rPr>
          <w:rtl w:val="true"/>
        </w:rPr>
        <w:t xml:space="preserve">مسألة </w:t>
      </w:r>
      <w:r>
        <w:rPr/>
        <w:t>14</w:t>
      </w:r>
      <w:r>
        <w:rPr>
          <w:rtl w:val="true"/>
        </w:rPr>
        <w:t xml:space="preserve">): </w:t>
      </w:r>
      <w:r>
        <w:rPr>
          <w:rtl w:val="true"/>
        </w:rPr>
        <w:t>الردّ الذی یکون مانعاً عن تأثیر الإجازة</w:t>
      </w:r>
      <w:r>
        <w:rPr>
          <w:rtl w:val="true"/>
        </w:rPr>
        <w:t>]</w:t>
      </w:r>
      <w:bookmarkEnd w:id="37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الذی یکون مانعاً عن تأثیر الإجازة کما عرفته </w:t>
      </w:r>
      <w:r>
        <w:rPr>
          <w:rStyle w:val="FootnoteAnchor"/>
          <w:rtl w:val="true"/>
        </w:rPr>
        <w:footnoteReference w:id="1063"/>
      </w:r>
      <w:r>
        <w:rPr>
          <w:rFonts w:ascii="IRNazanin" w:hAnsi="IRNazanin" w:eastAsia="IRNazanin"/>
          <w:color w:val="111111"/>
          <w:sz w:val="28"/>
          <w:sz w:val="28"/>
          <w:szCs w:val="28"/>
          <w:rtl w:val="true"/>
          <w:lang w:bidi="fa-IR"/>
        </w:rPr>
        <w:t>سابقاً قد یکون مانعاً عن لحوقها مطلقاً و لو من غیر المالک حین العقد، و هو إمّا بالقول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 و رددت، و شبه ذلک ممّا هو ظاهر فیه، و إمّا بالفعل کما إذا تصرّف فیه بما یوجب فوات محلّ الإجازة عقلًا کالإتلاف أو شرعاً کالعتق، و قد یکون مانعاً عن لحوقها بالنسبة إلیٰ خصوص المالک حین العقد لا مطلقاً کالتصرّف الناقل للعین کالبیع و الهبة و نحوهما؛ حیث إنّ بذلک لا یفوت محلّ الإجازة إلّا بالنسبة إلی المنتقل عنه، و أمّا المنتقل إلیه فله أن یجیز بناءً علیٰ عدم اعتبار کون المجیز مالکاً حین العقد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الإجارة فالظاهر أنّه لا تکون مانعاً عن الإجازة مطلقاً حتّی بالنسبة إلی المالک المؤجر؛ لعدم التنافی بین الإجارة و الإجازة، غایة الأمر أنّه تنتقل العین بعد الإجارة إلی المشتری مسلوبة المنفعة</w:t>
      </w:r>
      <w:r>
        <w:rPr>
          <w:rFonts w:eastAsia="IRNazanin" w:cs="IRNazanin"/>
          <w:color w:val="111111"/>
          <w:sz w:val="28"/>
          <w:szCs w:val="28"/>
          <w:rtl w:val="true"/>
          <w:lang w:bidi="fa-IR"/>
        </w:rPr>
        <w:t>.</w:t>
      </w:r>
    </w:p>
    <w:p>
      <w:pPr>
        <w:pStyle w:val="Heading6"/>
        <w:numPr>
          <w:ilvl w:val="5"/>
          <w:numId w:val="1"/>
        </w:numPr>
        <w:rPr/>
      </w:pPr>
      <w:bookmarkStart w:id="3703" w:name="__RefHeading___Toc2568356_3650668749"/>
      <w:bookmarkStart w:id="3704" w:name="_Toc1687"/>
      <w:bookmarkEnd w:id="3703"/>
      <w:r>
        <w:rPr>
          <w:rtl w:val="true"/>
        </w:rPr>
        <w:t>[ (</w:t>
      </w:r>
      <w:r>
        <w:rPr>
          <w:rtl w:val="true"/>
        </w:rPr>
        <w:t xml:space="preserve">مسألة </w:t>
      </w:r>
      <w:r>
        <w:rPr/>
        <w:t>15</w:t>
      </w:r>
      <w:r>
        <w:rPr>
          <w:rtl w:val="true"/>
        </w:rPr>
        <w:t xml:space="preserve">): </w:t>
      </w:r>
      <w:r>
        <w:rPr>
          <w:rtl w:val="true"/>
        </w:rPr>
        <w:t>حیثما لم تتحقّق الإجازة من المالک سواء تحقّق منه الردّ أم لا کالمتردّد له انتزاع عین ماله مع بقائه</w:t>
      </w:r>
      <w:r>
        <w:rPr>
          <w:rtl w:val="true"/>
        </w:rPr>
        <w:t>]</w:t>
      </w:r>
      <w:bookmarkEnd w:id="370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حیثما لم تتحقّق الإجازة من المالک سواء تحقّق منه الردّ أم لا کالمتردّد له انتزاع عین ماله مع بقائه ممّن وجده فی یده، بل و له الرجوع بمنافعه المستوفاة </w:t>
      </w:r>
      <w:r>
        <w:rPr>
          <w:rStyle w:val="FootnoteAnchor"/>
          <w:rtl w:val="true"/>
        </w:rPr>
        <w:footnoteReference w:id="1064"/>
      </w:r>
      <w:r>
        <w:rPr>
          <w:rFonts w:ascii="IRNazanin" w:hAnsi="IRNazanin" w:eastAsia="IRNazanin"/>
          <w:color w:val="111111"/>
          <w:sz w:val="28"/>
          <w:sz w:val="28"/>
          <w:szCs w:val="28"/>
          <w:rtl w:val="true"/>
          <w:lang w:bidi="fa-IR"/>
        </w:rPr>
        <w:t xml:space="preserve">فی هذه المدّة، و له مطالبة البائع </w:t>
      </w:r>
      <w:r>
        <w:rPr>
          <w:rStyle w:val="FootnoteAnchor"/>
          <w:rtl w:val="true"/>
        </w:rPr>
        <w:footnoteReference w:id="1065"/>
      </w:r>
      <w:r>
        <w:rPr>
          <w:rFonts w:ascii="IRNazanin" w:hAnsi="IRNazanin" w:eastAsia="IRNazanin"/>
          <w:color w:val="111111"/>
          <w:sz w:val="28"/>
          <w:sz w:val="28"/>
          <w:szCs w:val="28"/>
          <w:rtl w:val="true"/>
          <w:lang w:bidi="fa-IR"/>
        </w:rPr>
        <w:t>الفضولی بردّ العین و منافعها إذا کانت فی یده و قد سلّمها إلی المشتری، بل لو کانت مئونة لردّها کانت علیه، هذا مع بقاء العین، و أمّا مع تلفها یرجع ببدلها إلیٰ من تلفت عنده و لو تعاقبت أیدی متعدّدة علیها بأن کانت مثلًا بید البائع الفضولی و سلّمها إلی المشتری و هو إلیٰ آخر و تلفت عنده یتخیّر المالک فی الرجوع بالبدل إلیٰ أیّ واحد منهم، و له الرجوع إلی الکلّ موزّعاً علیهم بالتساوی أو بالتفاوت، فإن رجع</w:t>
      </w:r>
      <w:bookmarkStart w:id="3705" w:name="pg1809_19344"/>
    </w:p>
    <w:p>
      <w:pPr>
        <w:pStyle w:val="BookText"/>
        <w:rPr/>
      </w:pPr>
      <w:bookmarkEnd w:id="3705"/>
      <w:r>
        <w:rPr>
          <w:rFonts w:ascii="IRNazanin" w:hAnsi="IRNazanin" w:eastAsia="IRNazanin"/>
          <w:color w:val="111111"/>
          <w:sz w:val="28"/>
          <w:sz w:val="28"/>
          <w:szCs w:val="28"/>
          <w:rtl w:val="true"/>
          <w:lang w:bidi="fa-IR"/>
        </w:rPr>
        <w:t>إلیٰ واحد سقط عن الباقین و لیس له الرجوع إلیهم بعد ذلک، هذا حکم المالک مع البائع الفضولی و المشتری و کلّ من صار عین ماله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المشتری مع البائع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علمه بکونه غیر مالک لیس له الرجوع إلیه بشی‌ء ممّا یرجع المالک إلیه و ما وردت من الخسارات علیه، حتّی أنّه إذا دفع الثمن إلی البائع و تلف عنده لیس له أن یرجع </w:t>
      </w:r>
      <w:r>
        <w:rPr>
          <w:rStyle w:val="FootnoteAnchor"/>
          <w:rtl w:val="true"/>
        </w:rPr>
        <w:footnoteReference w:id="1066"/>
      </w:r>
      <w:r>
        <w:rPr>
          <w:rFonts w:ascii="IRNazanin" w:hAnsi="IRNazanin" w:eastAsia="IRNazanin"/>
          <w:color w:val="111111"/>
          <w:sz w:val="28"/>
          <w:sz w:val="28"/>
          <w:szCs w:val="28"/>
          <w:rtl w:val="true"/>
          <w:lang w:bidi="fa-IR"/>
        </w:rPr>
        <w:t>إلیه، نعم له أن یستردّه لو کان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جهله فله أن یرجع إلیه بکلّ ما اغترم للمالک لو رجع إلیه، حتّی فیما إذا اغترم له بدل المنافع و النماءات التی استوفاها، فإذا اشتریٰ داراً مع جهله بکون البائع غیر مالک و أنّها مستحقّة للغیر و سکنها مدّة ثمّ جاء المالک و أخذ داره و أخذ منه اجرة مثل الدار فی تلک المدّة، له أن یرجع بها إلی البائع، و کذا یرجع إلیه بکلّ خسارة وردت علیه مثل إنفاق الدابّة و ما صرفه فی العمارة و ما تلف منه و ضاع من الغرس أو الزرع أو الحفر و غیرها، فإنّ البائع الغیر المالک ضامن لدرک جمیع ذلک، و للمشتری الجاهل أن یرجع بها إلیه</w:t>
      </w:r>
      <w:r>
        <w:rPr>
          <w:rFonts w:eastAsia="IRNazanin" w:cs="IRNazanin"/>
          <w:color w:val="111111"/>
          <w:sz w:val="28"/>
          <w:szCs w:val="28"/>
          <w:rtl w:val="true"/>
          <w:lang w:bidi="fa-IR"/>
        </w:rPr>
        <w:t>.</w:t>
      </w:r>
    </w:p>
    <w:p>
      <w:pPr>
        <w:pStyle w:val="Heading6"/>
        <w:numPr>
          <w:ilvl w:val="5"/>
          <w:numId w:val="1"/>
        </w:numPr>
        <w:rPr/>
      </w:pPr>
      <w:bookmarkStart w:id="3706" w:name="__RefHeading___Toc2568358_3650668749"/>
      <w:bookmarkStart w:id="3707" w:name="_Toc1688"/>
      <w:bookmarkEnd w:id="3706"/>
      <w:r>
        <w:rPr>
          <w:rtl w:val="true"/>
        </w:rPr>
        <w:t>[ (</w:t>
      </w:r>
      <w:r>
        <w:rPr>
          <w:rtl w:val="true"/>
        </w:rPr>
        <w:t xml:space="preserve">مسألة </w:t>
      </w:r>
      <w:r>
        <w:rPr/>
        <w:t>16</w:t>
      </w:r>
      <w:r>
        <w:rPr>
          <w:rtl w:val="true"/>
        </w:rPr>
        <w:t xml:space="preserve">): </w:t>
      </w:r>
      <w:r>
        <w:rPr>
          <w:rtl w:val="true"/>
        </w:rPr>
        <w:t>لو أحدث المشتری لمال الغیر فیما اشتراه بناءً أو غرساً أو زرعاً</w:t>
      </w:r>
      <w:r>
        <w:rPr>
          <w:rtl w:val="true"/>
        </w:rPr>
        <w:t>]</w:t>
      </w:r>
      <w:bookmarkEnd w:id="370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أحدث المشتری لمال الغیر فیما اشتراه بناءً أو غرساً أو زرعاً فللمالک إلزامه بإزالة ما أحدثه و تسویة الأرض و مطالبته بأرش النقص لو کان، من دون أن یضمن المالک ما یردّ علیه من الخسران، کما أنّ للمشتری إزالة ذلک مع ضمانه أرش النقص الوارد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للمالک إلزام المشتری بالإبقاء و لو مجّاناً، کما أنّه لیس للمشتری حقّ الإبقاء و لو بالأُجرة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حفر بئراً أو کریٰ نهراً مثلًا فی أرض اشتراها وجب علیه طمّها و ردّها إلی الحالة الاولیٰ لو أراده المالک و أمکن، و ضمن أرش النقص لو کان، و لیس له مطالبة المالک اجرة عمله أو ما صرفه فیه من ماله و إن زاد به القیمة، کما أنّه لیس له ردّه إلی الحالة الأُولیٰ بالطمّ و نحوه لو لم یرض به المالک، نعم یرجع بأُجرة عمله و کلّ ما صرف من ماله و کلّ خسارة وردت علیه إلی البائع الغاصب مع جهله لا مع علمه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فیما إذا أحدث المشتری فیما اشتراه صفة من دون أن یکون له عین فی العین المشتراة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طحن الحنطة أو غزل و نسج القطن أو صاغ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فروع کثیرة نتعرّض لها فی کتاب الغصب إن شاء اللّٰه تعالیٰ فإنّ المقام أحد مصادیقه أو ملحق به</w:t>
      </w:r>
      <w:r>
        <w:rPr>
          <w:rFonts w:eastAsia="IRNazanin" w:cs="IRNazanin"/>
          <w:color w:val="111111"/>
          <w:sz w:val="28"/>
          <w:szCs w:val="28"/>
          <w:rtl w:val="true"/>
          <w:lang w:bidi="fa-IR"/>
        </w:rPr>
        <w:t>.</w:t>
      </w:r>
      <w:bookmarkStart w:id="3708" w:name="pg1809_19345"/>
    </w:p>
    <w:p>
      <w:pPr>
        <w:pStyle w:val="Heading6"/>
        <w:numPr>
          <w:ilvl w:val="5"/>
          <w:numId w:val="1"/>
        </w:numPr>
        <w:rPr/>
      </w:pPr>
      <w:bookmarkStart w:id="3709" w:name="__RefHeading___Toc2568360_3650668749"/>
      <w:bookmarkStart w:id="3710" w:name="_Toc1689"/>
      <w:bookmarkEnd w:id="3708"/>
      <w:bookmarkEnd w:id="3709"/>
      <w:r>
        <w:rPr>
          <w:rtl w:val="true"/>
        </w:rPr>
        <w:t>[ (</w:t>
      </w:r>
      <w:r>
        <w:rPr>
          <w:rtl w:val="true"/>
        </w:rPr>
        <w:t xml:space="preserve">مسألة </w:t>
      </w:r>
      <w:r>
        <w:rPr/>
        <w:t>17</w:t>
      </w:r>
      <w:r>
        <w:rPr>
          <w:rtl w:val="true"/>
        </w:rPr>
        <w:t xml:space="preserve">): </w:t>
      </w:r>
      <w:r>
        <w:rPr>
          <w:rtl w:val="true"/>
        </w:rPr>
        <w:t>لو جمع البائع بین ملکه و ملک غیره</w:t>
      </w:r>
      <w:r>
        <w:rPr>
          <w:rtl w:val="true"/>
        </w:rPr>
        <w:t>]</w:t>
      </w:r>
      <w:bookmarkEnd w:id="37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جمع البائع بین ملکه و ملک غیره، أو باع ما کان مشترکاً بینه و بین غیره، نفذ البیع فی ملکه بما قابلة من الثمن، و نفوذه و صحّته فی ملک الغیر موقوف علیٰ إجازته، فإن أجازه و إلّا </w:t>
      </w:r>
      <w:r>
        <w:rPr>
          <w:rStyle w:val="FootnoteAnchor"/>
          <w:rtl w:val="true"/>
        </w:rPr>
        <w:footnoteReference w:id="1067"/>
      </w:r>
      <w:r>
        <w:rPr>
          <w:rFonts w:ascii="IRNazanin" w:hAnsi="IRNazanin" w:eastAsia="IRNazanin"/>
          <w:color w:val="111111"/>
          <w:sz w:val="28"/>
          <w:sz w:val="28"/>
          <w:szCs w:val="28"/>
          <w:rtl w:val="true"/>
          <w:lang w:bidi="fa-IR"/>
        </w:rPr>
        <w:t>فللمشتری خیار فسخ البیع من أصله من جهة التبعّض إن کان جاهلًا</w:t>
      </w:r>
      <w:r>
        <w:rPr>
          <w:rFonts w:eastAsia="IRNazanin" w:cs="IRNazanin"/>
          <w:color w:val="111111"/>
          <w:sz w:val="28"/>
          <w:szCs w:val="28"/>
          <w:rtl w:val="true"/>
          <w:lang w:bidi="fa-IR"/>
        </w:rPr>
        <w:t>.</w:t>
      </w:r>
    </w:p>
    <w:p>
      <w:pPr>
        <w:pStyle w:val="Heading6"/>
        <w:numPr>
          <w:ilvl w:val="5"/>
          <w:numId w:val="1"/>
        </w:numPr>
        <w:rPr/>
      </w:pPr>
      <w:bookmarkStart w:id="3711" w:name="__RefHeading___Toc2568362_3650668749"/>
      <w:bookmarkStart w:id="3712" w:name="_Toc1690"/>
      <w:bookmarkEnd w:id="3711"/>
      <w:r>
        <w:rPr>
          <w:rtl w:val="true"/>
        </w:rPr>
        <w:t>[ (</w:t>
      </w:r>
      <w:r>
        <w:rPr>
          <w:rtl w:val="true"/>
        </w:rPr>
        <w:t xml:space="preserve">مسألة </w:t>
      </w:r>
      <w:r>
        <w:rPr/>
        <w:t>18</w:t>
      </w:r>
      <w:r>
        <w:rPr>
          <w:rtl w:val="true"/>
        </w:rPr>
        <w:t xml:space="preserve">): </w:t>
      </w:r>
      <w:r>
        <w:rPr>
          <w:rtl w:val="true"/>
        </w:rPr>
        <w:t>طریق معرفة حصّة کلّ منهما من الثمن أن یقوّم کلّ منهما بقیمته الواقعیّة</w:t>
      </w:r>
      <w:r>
        <w:rPr>
          <w:rtl w:val="true"/>
        </w:rPr>
        <w:t>]</w:t>
      </w:r>
      <w:bookmarkEnd w:id="37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w:t>
      </w:r>
      <w:r>
        <w:rPr>
          <w:rStyle w:val="FootnoteAnchor"/>
          <w:rtl w:val="true"/>
        </w:rPr>
        <w:footnoteReference w:id="1068"/>
      </w:r>
      <w:r>
        <w:rPr>
          <w:rFonts w:ascii="IRNazanin" w:hAnsi="IRNazanin" w:eastAsia="IRNazanin"/>
          <w:color w:val="111111"/>
          <w:sz w:val="28"/>
          <w:sz w:val="28"/>
          <w:szCs w:val="28"/>
          <w:rtl w:val="true"/>
          <w:lang w:bidi="fa-IR"/>
        </w:rPr>
        <w:t>معرفة حصّة کلّ منهما من الثمن أن یقوّم کلّ منهما بقیمته الواقعیّة ثمّ یلاحظ نسبة قیمة أحدهما مع قیمة الآخر فیجعل نصیب کلّ منهما من الثمن بتلک النسبة، فإذا باعهما معاً بستّة و کان قیمة أحدهما ستّة و قیمة الآخر ثلاثة یکون حصّة ما کان قیمته ثلاثة من ستّة الثمن نصف حصّة الآخر منها، فلأحدهما اثنان و للآخر أربعة</w:t>
      </w:r>
      <w:r>
        <w:rPr>
          <w:rFonts w:eastAsia="IRNazanin" w:cs="IRNazanin"/>
          <w:color w:val="111111"/>
          <w:sz w:val="28"/>
          <w:szCs w:val="28"/>
          <w:rtl w:val="true"/>
          <w:lang w:bidi="fa-IR"/>
        </w:rPr>
        <w:t>.</w:t>
      </w:r>
    </w:p>
    <w:p>
      <w:pPr>
        <w:pStyle w:val="Heading6"/>
        <w:numPr>
          <w:ilvl w:val="5"/>
          <w:numId w:val="1"/>
        </w:numPr>
        <w:rPr/>
      </w:pPr>
      <w:bookmarkStart w:id="3713" w:name="__RefHeading___Toc2568364_3650668749"/>
      <w:bookmarkStart w:id="3714" w:name="_Toc1691"/>
      <w:bookmarkEnd w:id="3713"/>
      <w:r>
        <w:rPr>
          <w:rtl w:val="true"/>
        </w:rPr>
        <w:t>[ (</w:t>
      </w:r>
      <w:r>
        <w:rPr>
          <w:rtl w:val="true"/>
        </w:rPr>
        <w:t xml:space="preserve">مسألة </w:t>
      </w:r>
      <w:r>
        <w:rPr/>
        <w:t>19</w:t>
      </w:r>
      <w:r>
        <w:rPr>
          <w:rtl w:val="true"/>
        </w:rPr>
        <w:t xml:space="preserve">): </w:t>
      </w:r>
      <w:r>
        <w:rPr>
          <w:rtl w:val="true"/>
        </w:rPr>
        <w:t>یجوز للأب و الجدّ للأب و إن علا أن یتصرّفا فی مال الصغیر بالبیع و الشراء و الإجارة و غیرها</w:t>
      </w:r>
      <w:r>
        <w:rPr>
          <w:rtl w:val="true"/>
        </w:rPr>
        <w:t>]</w:t>
      </w:r>
      <w:bookmarkEnd w:id="37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للأب و الجدّ للأب و إن علا أن یتصرّفا فی مال الصغیر بالبیع و الشراء و الإجارة و غیرها، و کلّ منهما مستقلّ فی الولایة وجد الآخر معه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عدم اعتبار العدالة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یشترط فی نفوذ تصرّفهما المصلحة </w:t>
      </w:r>
      <w:r>
        <w:rPr>
          <w:rStyle w:val="FootnoteAnchor"/>
          <w:rtl w:val="true"/>
        </w:rPr>
        <w:footnoteReference w:id="1069"/>
      </w:r>
      <w:r>
        <w:rPr>
          <w:rFonts w:ascii="IRNazanin" w:hAnsi="IRNazanin" w:eastAsia="IRNazanin"/>
          <w:color w:val="111111"/>
          <w:sz w:val="28"/>
          <w:sz w:val="28"/>
          <w:szCs w:val="28"/>
          <w:rtl w:val="true"/>
          <w:lang w:bidi="fa-IR"/>
        </w:rPr>
        <w:t>، بل یکفی عدم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لهما الولایة فی ماله بأنواع التصرّفات لهما الولایة فی نفسه بالإجارة و التزویج و غیرهما إلّا الطلاق فلا یملکانه بل ینتظر 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یلحق به فسخ عقد النکاح عند موجبه و هبة المدّة فی المتعة؟ وجهان بل قولان، أقواهما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بین الأقارب من له الولایة علی الصغیر غیر الأب و الجدّ للأب، بل هم کلّهم کالأجانب حتّی الامّ و الأخ و الجدّ للُامّ</w:t>
      </w:r>
      <w:r>
        <w:rPr>
          <w:rFonts w:eastAsia="IRNazanin" w:cs="IRNazanin"/>
          <w:color w:val="111111"/>
          <w:sz w:val="28"/>
          <w:szCs w:val="28"/>
          <w:rtl w:val="true"/>
          <w:lang w:bidi="fa-IR"/>
        </w:rPr>
        <w:t>.</w:t>
      </w:r>
    </w:p>
    <w:p>
      <w:pPr>
        <w:pStyle w:val="Heading6"/>
        <w:numPr>
          <w:ilvl w:val="5"/>
          <w:numId w:val="1"/>
        </w:numPr>
        <w:rPr/>
      </w:pPr>
      <w:bookmarkStart w:id="3715" w:name="__RefHeading___Toc2568366_3650668749"/>
      <w:bookmarkStart w:id="3716" w:name="_Toc1692"/>
      <w:bookmarkEnd w:id="3715"/>
      <w:r>
        <w:rPr>
          <w:rtl w:val="true"/>
        </w:rPr>
        <w:t>[ (</w:t>
      </w:r>
      <w:r>
        <w:rPr>
          <w:rtl w:val="true"/>
        </w:rPr>
        <w:t xml:space="preserve">مسألة </w:t>
      </w:r>
      <w:r>
        <w:rPr/>
        <w:t>20</w:t>
      </w:r>
      <w:r>
        <w:rPr>
          <w:rtl w:val="true"/>
        </w:rPr>
        <w:t xml:space="preserve">): </w:t>
      </w:r>
      <w:r>
        <w:rPr>
          <w:rtl w:val="true"/>
        </w:rPr>
        <w:t>و کما للأب و الجدّ الولایة علی الصغیر فی زمان حیاتهما کذلک لهما نصب القیّم علیه بعد وفاتهما</w:t>
      </w:r>
      <w:r>
        <w:rPr>
          <w:rtl w:val="true"/>
        </w:rPr>
        <w:t>]</w:t>
      </w:r>
      <w:bookmarkEnd w:id="371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للأب و الجدّ الولایة علی الصغیر فی زمان حیاتهما کذلک لهما نصب القیّم علیه بعد وفاتهما، فینفذ منه ما کان ینفذ منهما علیٰ إشکال فی التزویج، إلّا أنّ الظاهر</w:t>
      </w:r>
      <w:bookmarkStart w:id="3717" w:name="pg1809_19346"/>
    </w:p>
    <w:p>
      <w:pPr>
        <w:pStyle w:val="BookText"/>
        <w:rPr/>
      </w:pPr>
      <w:bookmarkEnd w:id="3717"/>
      <w:r>
        <w:rPr>
          <w:rFonts w:ascii="IRNazanin" w:hAnsi="IRNazanin" w:eastAsia="IRNazanin"/>
          <w:color w:val="111111"/>
          <w:sz w:val="28"/>
          <w:sz w:val="28"/>
          <w:szCs w:val="28"/>
          <w:rtl w:val="true"/>
          <w:lang w:bidi="fa-IR"/>
        </w:rPr>
        <w:t xml:space="preserve">فیه اعتبار المصلحة، و لا یکفی مجرّد عدم المفسدة، کما أنّ الأحوط فیه لولا الأقویٰ </w:t>
      </w:r>
      <w:r>
        <w:rPr>
          <w:rStyle w:val="FootnoteAnchor"/>
          <w:rtl w:val="true"/>
        </w:rPr>
        <w:footnoteReference w:id="1070"/>
      </w:r>
      <w:r>
        <w:rPr>
          <w:rFonts w:ascii="IRNazanin" w:hAnsi="IRNazanin" w:eastAsia="IRNazanin"/>
          <w:color w:val="111111"/>
          <w:sz w:val="28"/>
          <w:sz w:val="28"/>
          <w:szCs w:val="28"/>
          <w:rtl w:val="true"/>
          <w:lang w:bidi="fa-IR"/>
        </w:rPr>
        <w:t>اعتبار العدالة، و سیأتی تفصیل ذلک فی کتاب الوصیّة</w:t>
      </w:r>
      <w:r>
        <w:rPr>
          <w:rFonts w:eastAsia="IRNazanin" w:cs="IRNazanin"/>
          <w:color w:val="111111"/>
          <w:sz w:val="28"/>
          <w:szCs w:val="28"/>
          <w:rtl w:val="true"/>
          <w:lang w:bidi="fa-IR"/>
        </w:rPr>
        <w:t>.</w:t>
      </w:r>
    </w:p>
    <w:p>
      <w:pPr>
        <w:pStyle w:val="Heading6"/>
        <w:numPr>
          <w:ilvl w:val="5"/>
          <w:numId w:val="1"/>
        </w:numPr>
        <w:rPr/>
      </w:pPr>
      <w:bookmarkStart w:id="3718" w:name="__RefHeading___Toc2568368_3650668749"/>
      <w:bookmarkStart w:id="3719" w:name="_Toc1693"/>
      <w:bookmarkEnd w:id="3718"/>
      <w:r>
        <w:rPr>
          <w:rtl w:val="true"/>
        </w:rPr>
        <w:t>[ (</w:t>
      </w:r>
      <w:r>
        <w:rPr>
          <w:rtl w:val="true"/>
        </w:rPr>
        <w:t xml:space="preserve">مسألة </w:t>
      </w:r>
      <w:r>
        <w:rPr/>
        <w:t>21</w:t>
      </w:r>
      <w:r>
        <w:rPr>
          <w:rtl w:val="true"/>
        </w:rPr>
        <w:t xml:space="preserve">): </w:t>
      </w:r>
      <w:r>
        <w:rPr>
          <w:rtl w:val="true"/>
        </w:rPr>
        <w:t>إذا فقد الأب و الجدّ و الوصیّ عنهما یکون للحاکم الشرعی</w:t>
      </w:r>
      <w:r>
        <w:rPr>
          <w:rtl w:val="true"/>
        </w:rPr>
        <w:t>]</w:t>
      </w:r>
      <w:bookmarkEnd w:id="37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الأب و الجدّ و الوصیّ عنهما یکون للحاکم الشرعی و هو المجتهد العادل ولایة التصرّف فی أموال الصغار مشروطاً بالغبطة و الصلاح، بل الأحوط له الاقتصار علیٰ ما إذا کان فی ترکه الضرر و الفساد، و حیث إنّ هذا تکلیف راجع إلیه فیتّبع رأیه و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فقد الحاکم یرجع الأمر إلیٰ عدول </w:t>
      </w:r>
      <w:r>
        <w:rPr>
          <w:rStyle w:val="FootnoteAnchor"/>
          <w:rtl w:val="true"/>
        </w:rPr>
        <w:footnoteReference w:id="1071"/>
      </w:r>
      <w:r>
        <w:rPr>
          <w:rFonts w:ascii="IRNazanin" w:hAnsi="IRNazanin" w:eastAsia="IRNazanin"/>
          <w:color w:val="111111"/>
          <w:sz w:val="28"/>
          <w:sz w:val="28"/>
          <w:szCs w:val="28"/>
          <w:rtl w:val="true"/>
          <w:lang w:bidi="fa-IR"/>
        </w:rPr>
        <w:t xml:space="preserve">المؤمنین فلهم ولایة التصرّف فی مال الصغیر بما یکون فی ترکه مفسدة </w:t>
      </w:r>
      <w:r>
        <w:rPr>
          <w:rStyle w:val="FootnoteAnchor"/>
          <w:rtl w:val="true"/>
        </w:rPr>
        <w:footnoteReference w:id="1072"/>
      </w:r>
      <w:r>
        <w:rPr>
          <w:rFonts w:ascii="IRNazanin" w:hAnsi="IRNazanin" w:eastAsia="IRNazanin"/>
          <w:color w:val="111111"/>
          <w:sz w:val="28"/>
          <w:sz w:val="28"/>
          <w:szCs w:val="28"/>
          <w:rtl w:val="true"/>
          <w:lang w:bidi="fa-IR"/>
        </w:rPr>
        <w:t>و فی فعله صلاح و غبطة</w:t>
      </w:r>
      <w:r>
        <w:rPr>
          <w:rFonts w:eastAsia="IRNazanin" w:cs="IRNazanin"/>
          <w:color w:val="111111"/>
          <w:sz w:val="28"/>
          <w:szCs w:val="28"/>
          <w:rtl w:val="true"/>
          <w:lang w:bidi="fa-IR"/>
        </w:rPr>
        <w:t>.</w:t>
      </w:r>
    </w:p>
    <w:p>
      <w:pPr>
        <w:pStyle w:val="Heading4"/>
        <w:numPr>
          <w:ilvl w:val="3"/>
          <w:numId w:val="1"/>
        </w:numPr>
        <w:rPr/>
      </w:pPr>
      <w:bookmarkStart w:id="3720" w:name="__RefHeading___Toc2568370_3650668749"/>
      <w:bookmarkStart w:id="3721" w:name="_Toc1694"/>
      <w:bookmarkEnd w:id="3720"/>
      <w:r>
        <w:rPr>
          <w:rtl w:val="true"/>
        </w:rPr>
        <w:t>[</w:t>
      </w:r>
      <w:r>
        <w:rPr>
          <w:rtl w:val="true"/>
        </w:rPr>
        <w:t>القول فی شروط العوضین</w:t>
      </w:r>
      <w:r>
        <w:rPr>
          <w:rtl w:val="true"/>
        </w:rPr>
        <w:t>]</w:t>
      </w:r>
      <w:bookmarkEnd w:id="3721"/>
    </w:p>
    <w:p>
      <w:pPr>
        <w:pStyle w:val="Heading5"/>
        <w:numPr>
          <w:ilvl w:val="4"/>
          <w:numId w:val="1"/>
        </w:numPr>
        <w:rPr/>
      </w:pPr>
      <w:bookmarkStart w:id="3722" w:name="__RefHeading___Toc2568372_3650668749"/>
      <w:bookmarkStart w:id="3723" w:name="_Toc1695"/>
      <w:bookmarkEnd w:id="3722"/>
      <w:r>
        <w:rPr>
          <w:rtl w:val="true"/>
        </w:rPr>
        <w:t>اشارة</w:t>
      </w:r>
      <w:bookmarkEnd w:id="3723"/>
    </w:p>
    <w:p>
      <w:pPr>
        <w:pStyle w:val="BookText"/>
        <w:rPr/>
      </w:pPr>
      <w:r>
        <w:rPr>
          <w:rFonts w:ascii="IRNazanin" w:hAnsi="IRNazanin" w:eastAsia="IRNazanin"/>
          <w:color w:val="111111"/>
          <w:sz w:val="28"/>
          <w:sz w:val="28"/>
          <w:szCs w:val="28"/>
          <w:rtl w:val="true"/>
          <w:lang w:bidi="fa-IR"/>
        </w:rPr>
        <w:t>القول فی شروط العوضین و هی أُمور</w:t>
      </w:r>
      <w:r>
        <w:rPr>
          <w:rFonts w:eastAsia="IRNazanin" w:cs="IRNazanin"/>
          <w:color w:val="111111"/>
          <w:sz w:val="28"/>
          <w:szCs w:val="28"/>
          <w:rtl w:val="true"/>
          <w:lang w:bidi="fa-IR"/>
        </w:rPr>
        <w:t>:</w:t>
      </w:r>
    </w:p>
    <w:p>
      <w:pPr>
        <w:pStyle w:val="Heading5"/>
        <w:numPr>
          <w:ilvl w:val="4"/>
          <w:numId w:val="1"/>
        </w:numPr>
        <w:rPr/>
      </w:pPr>
      <w:bookmarkStart w:id="3724" w:name="__RefHeading___Toc2568374_3650668749"/>
      <w:bookmarkStart w:id="3725" w:name="_Toc1696"/>
      <w:bookmarkEnd w:id="3724"/>
      <w:r>
        <w:rPr>
          <w:rtl w:val="true"/>
        </w:rPr>
        <w:t>[</w:t>
      </w:r>
      <w:r>
        <w:rPr>
          <w:rtl w:val="true"/>
        </w:rPr>
        <w:t>الأوّل</w:t>
      </w:r>
      <w:r>
        <w:rPr>
          <w:rtl w:val="true"/>
        </w:rPr>
        <w:t xml:space="preserve">: </w:t>
      </w:r>
      <w:r>
        <w:rPr>
          <w:rtl w:val="true"/>
        </w:rPr>
        <w:t>یشترط فی المبیع أن یکون عیناً متموّلًا</w:t>
      </w:r>
      <w:r>
        <w:rPr>
          <w:rtl w:val="true"/>
        </w:rPr>
        <w:t>]</w:t>
      </w:r>
      <w:bookmarkEnd w:id="372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المبیع أن یکون عیناً متموّلًا؛ سواء کان موجوداً فی الخارج أو کلّیّاً فی ذمّة البائع أو فی ذمّة غیره، کأن یبیع ما کان له فی ذمّة غیره بشی‌ء، فلا یجوز أن یکون منفعة کمنفعة الدار أو الدابّة، أو عملًا کخیاطة الثوب، أو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الثمن فیجوز أن یکون منفعة أو عملًا متموّلًا، بل یجوز أن یکون حقّا قابلًا للنقل و الانتقال کحقّی التحجیر و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جواز کونه حقّا قابلًا للإسقاط غیر قابل للنقل و الانتقال کحقّی الخیار و الشفعة إشکال</w:t>
      </w:r>
      <w:r>
        <w:rPr>
          <w:rFonts w:eastAsia="IRNazanin" w:cs="IRNazanin"/>
          <w:color w:val="111111"/>
          <w:sz w:val="28"/>
          <w:szCs w:val="28"/>
          <w:rtl w:val="true"/>
          <w:lang w:bidi="fa-IR"/>
        </w:rPr>
        <w:t>.</w:t>
      </w:r>
    </w:p>
    <w:p>
      <w:pPr>
        <w:pStyle w:val="Heading5"/>
        <w:numPr>
          <w:ilvl w:val="4"/>
          <w:numId w:val="1"/>
        </w:numPr>
        <w:rPr/>
      </w:pPr>
      <w:bookmarkStart w:id="3726" w:name="__RefHeading___Toc2568376_3650668749"/>
      <w:bookmarkStart w:id="3727" w:name="_Toc1697"/>
      <w:bookmarkEnd w:id="3726"/>
      <w:r>
        <w:rPr>
          <w:rtl w:val="true"/>
        </w:rPr>
        <w:t>[</w:t>
      </w:r>
      <w:r>
        <w:rPr>
          <w:rtl w:val="true"/>
        </w:rPr>
        <w:t>الثانی</w:t>
      </w:r>
      <w:r>
        <w:rPr>
          <w:rtl w:val="true"/>
        </w:rPr>
        <w:t xml:space="preserve">: </w:t>
      </w:r>
      <w:r>
        <w:rPr>
          <w:rtl w:val="true"/>
        </w:rPr>
        <w:t>تعیین مقدار ما کان مقدّراً بالکیل أو الوزن</w:t>
      </w:r>
      <w:r>
        <w:rPr>
          <w:rtl w:val="true"/>
        </w:rPr>
        <w:t>]</w:t>
      </w:r>
      <w:bookmarkEnd w:id="3727"/>
    </w:p>
    <w:p>
      <w:pPr>
        <w:pStyle w:val="Heading6"/>
        <w:numPr>
          <w:ilvl w:val="5"/>
          <w:numId w:val="1"/>
        </w:numPr>
        <w:rPr/>
      </w:pPr>
      <w:bookmarkStart w:id="3728" w:name="__RefHeading___Toc2568378_3650668749"/>
      <w:bookmarkStart w:id="3729" w:name="_Toc1698"/>
      <w:bookmarkEnd w:id="3728"/>
      <w:r>
        <w:rPr>
          <w:rtl w:val="true"/>
        </w:rPr>
        <w:t>اشارة</w:t>
      </w:r>
      <w:bookmarkEnd w:id="372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مقدار ما کان مقدّراً بالکیل أو الوزن أو العدّ بأحدها فی العوضین، فلا یکفی المشاهدة و لا تقدیره بغیر ما یکون به تقدیره، فلا یکفی تقدیر الموزون بالکیل أو العدّ، و المعدود بالوزن أو الکیل، نعم لا بأس بأن یکال جملة ممّا یعدّ أو ممّا یوزن، ثمّ یعدّ أو یوزن ما فی أحد المکاییل ثمّ یحسب الباقی بحسابه، و هذا لیس من تقدیر المعدود أو الموزون بالکیل کما لا یخفی</w:t>
      </w:r>
      <w:r>
        <w:rPr>
          <w:rFonts w:eastAsia="IRNazanin" w:cs="IRNazanin"/>
          <w:color w:val="111111"/>
          <w:sz w:val="28"/>
          <w:szCs w:val="28"/>
          <w:rtl w:val="true"/>
          <w:lang w:bidi="fa-IR"/>
        </w:rPr>
        <w:t>.</w:t>
      </w:r>
    </w:p>
    <w:p>
      <w:pPr>
        <w:pStyle w:val="Heading6"/>
        <w:numPr>
          <w:ilvl w:val="5"/>
          <w:numId w:val="1"/>
        </w:numPr>
        <w:rPr/>
      </w:pPr>
      <w:bookmarkStart w:id="3730" w:name="__RefHeading___Toc2568380_3650668749"/>
      <w:bookmarkStart w:id="3731" w:name="_Toc1699"/>
      <w:bookmarkEnd w:id="3730"/>
      <w:r>
        <w:rPr>
          <w:rtl w:val="true"/>
        </w:rPr>
        <w:t>[ (</w:t>
      </w:r>
      <w:r>
        <w:rPr>
          <w:rtl w:val="true"/>
        </w:rPr>
        <w:t xml:space="preserve">مسألة </w:t>
      </w:r>
      <w:r>
        <w:rPr/>
        <w:t>1</w:t>
      </w:r>
      <w:r>
        <w:rPr>
          <w:rtl w:val="true"/>
        </w:rPr>
        <w:t xml:space="preserve">): </w:t>
      </w:r>
      <w:r>
        <w:rPr>
          <w:rtl w:val="true"/>
        </w:rPr>
        <w:t>یجوز الاعتماد علیٰ إخبار البائع بمقدار المبیع فیشتریه مبنیّاً علیٰ ما أخبر به</w:t>
      </w:r>
      <w:r>
        <w:rPr>
          <w:rtl w:val="true"/>
        </w:rPr>
        <w:t>]</w:t>
      </w:r>
      <w:bookmarkEnd w:id="373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الاعتماد علیٰ إخبار البائع بمقدار المبیع فیشتریه مبنیّاً علیٰ ما أخبر به، و لو تبیّن النقص فله الخیار فإن فسخ یردّ تمام الثمن و إن أمضاه ینقص من الثمن بحسابه</w:t>
      </w:r>
      <w:r>
        <w:rPr>
          <w:rFonts w:eastAsia="IRNazanin" w:cs="IRNazanin"/>
          <w:color w:val="111111"/>
          <w:sz w:val="28"/>
          <w:szCs w:val="28"/>
          <w:rtl w:val="true"/>
          <w:lang w:bidi="fa-IR"/>
        </w:rPr>
        <w:t>.</w:t>
      </w:r>
      <w:bookmarkStart w:id="3732" w:name="pg1809_19347"/>
    </w:p>
    <w:p>
      <w:pPr>
        <w:pStyle w:val="Heading6"/>
        <w:numPr>
          <w:ilvl w:val="5"/>
          <w:numId w:val="1"/>
        </w:numPr>
        <w:rPr/>
      </w:pPr>
      <w:bookmarkStart w:id="3733" w:name="__RefHeading___Toc2568382_3650668749"/>
      <w:bookmarkStart w:id="3734" w:name="_Toc1700"/>
      <w:bookmarkEnd w:id="3732"/>
      <w:bookmarkEnd w:id="3733"/>
      <w:r>
        <w:rPr>
          <w:rtl w:val="true"/>
        </w:rPr>
        <w:t>[ (</w:t>
      </w:r>
      <w:r>
        <w:rPr>
          <w:rtl w:val="true"/>
        </w:rPr>
        <w:t xml:space="preserve">مسألة </w:t>
      </w:r>
      <w:r>
        <w:rPr/>
        <w:t>2</w:t>
      </w:r>
      <w:r>
        <w:rPr>
          <w:rtl w:val="true"/>
        </w:rPr>
        <w:t xml:space="preserve">): </w:t>
      </w:r>
      <w:r>
        <w:rPr>
          <w:rtl w:val="true"/>
        </w:rPr>
        <w:t>الظاهر أنّه یکفی المشاهدة فی بیع الحطب قبل أن یحلّ حمله و صار کومة منه</w:t>
      </w:r>
      <w:r>
        <w:rPr>
          <w:rtl w:val="true"/>
        </w:rPr>
        <w:t>]</w:t>
      </w:r>
      <w:bookmarkEnd w:id="37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یکفی المشاهدة فی بیع الحطب </w:t>
      </w:r>
      <w:r>
        <w:rPr>
          <w:rStyle w:val="FootnoteAnchor"/>
          <w:rtl w:val="true"/>
        </w:rPr>
        <w:footnoteReference w:id="1073"/>
      </w:r>
      <w:r>
        <w:rPr>
          <w:rFonts w:ascii="IRNazanin" w:hAnsi="IRNazanin" w:eastAsia="IRNazanin"/>
          <w:color w:val="111111"/>
          <w:sz w:val="28"/>
          <w:sz w:val="28"/>
          <w:szCs w:val="28"/>
          <w:rtl w:val="true"/>
          <w:lang w:bidi="fa-IR"/>
        </w:rPr>
        <w:t>قبل أن یحلّ حمله و صار کومة منه، و التبن قبل أن یفرغ من وعاء حمله و صار صبرة منه، و مثلهما کثیر من المائعات المحرزة فی الشیشات، فهی لیست من الموزون قبل أن یفرغ منها، و یکفی فی بیعها المشاهدة و بعد ذلک تکون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 مثل ذلک المذبوح من الغنم، فإنّه قبل أن یسلخ جلده یکفی فیه المشاهدة و بعده یحتاج إلی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قد یختلف حال شی‌ء باختلاف الأحوال و المحالّ، فیکون من الموزون فی محلّ دون محلّ و فی حال دون حال</w:t>
      </w:r>
      <w:r>
        <w:rPr>
          <w:rFonts w:eastAsia="IRNazanin" w:cs="IRNazanin"/>
          <w:color w:val="111111"/>
          <w:sz w:val="28"/>
          <w:szCs w:val="28"/>
          <w:rtl w:val="true"/>
          <w:lang w:bidi="fa-IR"/>
        </w:rPr>
        <w:t>.</w:t>
      </w:r>
    </w:p>
    <w:p>
      <w:pPr>
        <w:pStyle w:val="Heading6"/>
        <w:numPr>
          <w:ilvl w:val="5"/>
          <w:numId w:val="1"/>
        </w:numPr>
        <w:rPr/>
      </w:pPr>
      <w:bookmarkStart w:id="3735" w:name="__RefHeading___Toc2568384_3650668749"/>
      <w:bookmarkStart w:id="3736" w:name="_Toc1701"/>
      <w:bookmarkEnd w:id="3735"/>
      <w:r>
        <w:rPr>
          <w:rtl w:val="true"/>
        </w:rPr>
        <w:t>[ (</w:t>
      </w:r>
      <w:r>
        <w:rPr>
          <w:rtl w:val="true"/>
        </w:rPr>
        <w:t xml:space="preserve">مسألة </w:t>
      </w:r>
      <w:r>
        <w:rPr/>
        <w:t>3</w:t>
      </w:r>
      <w:r>
        <w:rPr>
          <w:rtl w:val="true"/>
        </w:rPr>
        <w:t xml:space="preserve">): </w:t>
      </w:r>
      <w:r>
        <w:rPr>
          <w:rtl w:val="true"/>
        </w:rPr>
        <w:t>الظاهر عدم کفایة المشاهدة فی بیع الأراضی التی یقدّر مالیّتها</w:t>
      </w:r>
      <w:r>
        <w:rPr>
          <w:rtl w:val="true"/>
        </w:rPr>
        <w:t>]</w:t>
      </w:r>
      <w:bookmarkEnd w:id="37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کفایة المشاهدة فی بیع الأراضی التی یقدّر مالیّتها بحسب الخیط و الذراع، بل لا بدّ من الاطّلاع علیٰ مساحتها، و کذلک کثیر من الأثواب قبل أن یخاط أو یفصّل، نعم إذا تعارف عدد خاصّ فی أذرع الطاقات من بعض الأثواب جاز بیعها و شراؤها اعتماداً علیٰ ذلک التعارف و مبنیّاً علیه، نظیر الاعتماد علیٰ إخبار البائع و البناء علیه</w:t>
      </w:r>
      <w:r>
        <w:rPr>
          <w:rFonts w:eastAsia="IRNazanin" w:cs="IRNazanin"/>
          <w:color w:val="111111"/>
          <w:sz w:val="28"/>
          <w:szCs w:val="28"/>
          <w:rtl w:val="true"/>
          <w:lang w:bidi="fa-IR"/>
        </w:rPr>
        <w:t>.</w:t>
      </w:r>
    </w:p>
    <w:p>
      <w:pPr>
        <w:pStyle w:val="Heading6"/>
        <w:numPr>
          <w:ilvl w:val="5"/>
          <w:numId w:val="1"/>
        </w:numPr>
        <w:rPr/>
      </w:pPr>
      <w:bookmarkStart w:id="3737" w:name="__RefHeading___Toc2568386_3650668749"/>
      <w:bookmarkStart w:id="3738" w:name="_Toc1702"/>
      <w:bookmarkEnd w:id="3737"/>
      <w:r>
        <w:rPr>
          <w:rtl w:val="true"/>
        </w:rPr>
        <w:t>[ (</w:t>
      </w:r>
      <w:r>
        <w:rPr>
          <w:rtl w:val="true"/>
        </w:rPr>
        <w:t xml:space="preserve">مسألة </w:t>
      </w:r>
      <w:r>
        <w:rPr/>
        <w:t>4</w:t>
      </w:r>
      <w:r>
        <w:rPr>
          <w:rtl w:val="true"/>
        </w:rPr>
        <w:t xml:space="preserve">): </w:t>
      </w:r>
      <w:r>
        <w:rPr>
          <w:rtl w:val="true"/>
        </w:rPr>
        <w:t>إذا اختلفت البلدان فی شی‌ء؛ بأن کان موزوناً فی بلد مثلًا و معدوداً فی آخر</w:t>
      </w:r>
      <w:r>
        <w:rPr>
          <w:rtl w:val="true"/>
        </w:rPr>
        <w:t>]</w:t>
      </w:r>
      <w:bookmarkEnd w:id="3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 البلدان فی شی‌ء؛ بأن کان موزوناً فی بلد مثلًا و معدوداً فی آخر، فالظاهر أنّ المدار علیٰ بلد المعاملة</w:t>
      </w:r>
      <w:r>
        <w:rPr>
          <w:rFonts w:eastAsia="IRNazanin" w:cs="IRNazanin"/>
          <w:color w:val="111111"/>
          <w:sz w:val="28"/>
          <w:szCs w:val="28"/>
          <w:rtl w:val="true"/>
          <w:lang w:bidi="fa-IR"/>
        </w:rPr>
        <w:t>.</w:t>
      </w:r>
    </w:p>
    <w:p>
      <w:pPr>
        <w:pStyle w:val="Heading5"/>
        <w:numPr>
          <w:ilvl w:val="4"/>
          <w:numId w:val="1"/>
        </w:numPr>
        <w:rPr/>
      </w:pPr>
      <w:bookmarkStart w:id="3739" w:name="__RefHeading___Toc2568388_3650668749"/>
      <w:bookmarkStart w:id="3740" w:name="_Toc1703"/>
      <w:bookmarkEnd w:id="3739"/>
      <w:r>
        <w:rPr>
          <w:rtl w:val="true"/>
        </w:rPr>
        <w:t>[</w:t>
      </w:r>
      <w:r>
        <w:rPr>
          <w:rtl w:val="true"/>
        </w:rPr>
        <w:t>الثالث</w:t>
      </w:r>
      <w:r>
        <w:rPr>
          <w:rtl w:val="true"/>
        </w:rPr>
        <w:t xml:space="preserve">: </w:t>
      </w:r>
      <w:r>
        <w:rPr>
          <w:rtl w:val="true"/>
        </w:rPr>
        <w:t>معرفة جنس العوضین و أوصافهما التی تتفاوت بها القیمة و تختلف لها الرغبات</w:t>
      </w:r>
      <w:r>
        <w:rPr>
          <w:rtl w:val="true"/>
        </w:rPr>
        <w:t>]</w:t>
      </w:r>
      <w:bookmarkEnd w:id="374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جنس العوضین و أوصافهما التی تتفاوت بها القیمة و تختلف لها الرغبات، و ذلک إمّا بالمشاهدة أو بالتوصیف الرافع للجهالة، و یجوز الاکتفاء بالرؤیة السابقة إذا لم یعلم </w:t>
      </w:r>
      <w:r>
        <w:rPr>
          <w:rStyle w:val="FootnoteAnchor"/>
          <w:rtl w:val="true"/>
        </w:rPr>
        <w:footnoteReference w:id="1074"/>
      </w:r>
      <w:r>
        <w:rPr>
          <w:rFonts w:ascii="Amiri" w:hAnsi="Amiri" w:eastAsia="Amiri" w:cs="Amiri"/>
          <w:color w:val="111111"/>
          <w:sz w:val="28"/>
          <w:sz w:val="28"/>
          <w:szCs w:val="28"/>
          <w:rtl w:val="true"/>
          <w:lang w:bidi="ar-SA"/>
        </w:rPr>
        <w:t>تغیّر العین</w:t>
      </w:r>
      <w:r>
        <w:rPr>
          <w:rFonts w:eastAsia="Amiri" w:cs="Amiri" w:ascii="Amiri" w:hAnsi="Amiri"/>
          <w:color w:val="111111"/>
          <w:sz w:val="28"/>
          <w:szCs w:val="28"/>
          <w:rtl w:val="true"/>
          <w:lang w:bidi="ar-SA"/>
        </w:rPr>
        <w:t>.</w:t>
      </w:r>
    </w:p>
    <w:p>
      <w:pPr>
        <w:pStyle w:val="Heading5"/>
        <w:numPr>
          <w:ilvl w:val="4"/>
          <w:numId w:val="1"/>
        </w:numPr>
        <w:rPr/>
      </w:pPr>
      <w:bookmarkStart w:id="3741" w:name="__RefHeading___Toc2568390_3650668749"/>
      <w:bookmarkStart w:id="3742" w:name="_Toc1704"/>
      <w:bookmarkEnd w:id="3741"/>
      <w:r>
        <w:rPr>
          <w:rtl w:val="true"/>
        </w:rPr>
        <w:t>[</w:t>
      </w:r>
      <w:r>
        <w:rPr>
          <w:rtl w:val="true"/>
        </w:rPr>
        <w:t>الرابع</w:t>
      </w:r>
      <w:r>
        <w:rPr>
          <w:rtl w:val="true"/>
        </w:rPr>
        <w:t xml:space="preserve">: </w:t>
      </w:r>
      <w:r>
        <w:rPr>
          <w:rtl w:val="true"/>
        </w:rPr>
        <w:t>کون العوضین ملکاً طلقاً</w:t>
      </w:r>
      <w:r>
        <w:rPr>
          <w:rtl w:val="true"/>
        </w:rPr>
        <w:t>]</w:t>
      </w:r>
      <w:bookmarkEnd w:id="3742"/>
    </w:p>
    <w:p>
      <w:pPr>
        <w:pStyle w:val="Heading6"/>
        <w:numPr>
          <w:ilvl w:val="5"/>
          <w:numId w:val="1"/>
        </w:numPr>
        <w:rPr/>
      </w:pPr>
      <w:bookmarkStart w:id="3743" w:name="__RefHeading___Toc2568392_3650668749"/>
      <w:bookmarkStart w:id="3744" w:name="_Toc1705"/>
      <w:bookmarkEnd w:id="3743"/>
      <w:r>
        <w:rPr>
          <w:rtl w:val="true"/>
        </w:rPr>
        <w:t>اشارة</w:t>
      </w:r>
      <w:bookmarkEnd w:id="374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العوضین ملکاً طلقاً، فلا یجوز بیع الماء و العشب و الکلأ قبل حیازتها، و السموک و الوحوش قبل اصطیادها، و الموات من الأراضی قبل إحیائها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استنبط بئراً فی أرض مباحة ملک ماءها، و کذا لو حفر نهراً و أجری فیه الماء من ماءٍ مباح کالشطّ و نحوه ملک ماءه، فله حینئذٍ بیعه کسائر أملاکه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یجوز بیع الرهن إلّا بإذن المرتهن أو إجازته، و إذا باع الراهن العین المرهونة ثمّ افتکّت من الرهن، فالظاهر الصحّة من غیر حاجة إلی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یجوز بیع الوقف و لا بیع أُمّ الولد إلّا فی بعض المواضع فیهما</w:t>
      </w:r>
      <w:r>
        <w:rPr>
          <w:rFonts w:eastAsia="IRNazanin" w:cs="IRNazanin"/>
          <w:color w:val="111111"/>
          <w:sz w:val="28"/>
          <w:szCs w:val="28"/>
          <w:rtl w:val="true"/>
          <w:lang w:bidi="fa-IR"/>
        </w:rPr>
        <w:t>.</w:t>
      </w:r>
      <w:bookmarkStart w:id="3745" w:name="pg1809_19348"/>
    </w:p>
    <w:p>
      <w:pPr>
        <w:pStyle w:val="Heading6"/>
        <w:numPr>
          <w:ilvl w:val="5"/>
          <w:numId w:val="1"/>
        </w:numPr>
        <w:rPr/>
      </w:pPr>
      <w:bookmarkStart w:id="3746" w:name="__RefHeading___Toc2568394_3650668749"/>
      <w:bookmarkStart w:id="3747" w:name="_Toc1706"/>
      <w:bookmarkEnd w:id="3745"/>
      <w:bookmarkEnd w:id="3746"/>
      <w:r>
        <w:rPr>
          <w:rtl w:val="true"/>
        </w:rPr>
        <w:t>[ (</w:t>
      </w:r>
      <w:r>
        <w:rPr>
          <w:rtl w:val="true"/>
        </w:rPr>
        <w:t xml:space="preserve">مسألة </w:t>
      </w:r>
      <w:r>
        <w:rPr/>
        <w:t>5</w:t>
      </w:r>
      <w:r>
        <w:rPr>
          <w:rtl w:val="true"/>
        </w:rPr>
        <w:t xml:space="preserve">): </w:t>
      </w:r>
      <w:r>
        <w:rPr>
          <w:rtl w:val="true"/>
        </w:rPr>
        <w:t>یجوز بیع الوقف فی مواضع</w:t>
      </w:r>
      <w:r>
        <w:rPr>
          <w:rtl w:val="true"/>
        </w:rPr>
        <w:t>]</w:t>
      </w:r>
      <w:bookmarkEnd w:id="37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الوقف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خرب الوقف بحیث لم یمکن الانتفاع بعینه مع بقائه کالجذع البالی و الحصیر الخلق و الدار الخربة التی لا یمکن الانتفاع حتّی بعرصتها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یلحق بذلک ما إذا خرج عن الانتفاع أصلًا من جهة أُخری غیر الخراب، و کذا ما إذا خرج عن الانتفاع المعتدّ به بسبب </w:t>
      </w:r>
      <w:r>
        <w:rPr>
          <w:rStyle w:val="FootnoteAnchor"/>
          <w:rtl w:val="true"/>
        </w:rPr>
        <w:footnoteReference w:id="1075"/>
      </w:r>
      <w:r>
        <w:rPr>
          <w:rFonts w:ascii="IRNazanin" w:hAnsi="IRNazanin" w:eastAsia="IRNazanin"/>
          <w:color w:val="111111"/>
          <w:sz w:val="28"/>
          <w:sz w:val="28"/>
          <w:szCs w:val="28"/>
          <w:rtl w:val="true"/>
          <w:lang w:bidi="fa-IR"/>
        </w:rPr>
        <w:t>الخراب أو غیره بحیث یقال فی العرف لا منفعة له، کما إذا انهدمت الدار و صارت عرصة یمکن إجارتها بمقدار جزئی و کانت بحیث لو بیعت و بدّلت بمال آخر یکون نفعه مثل الأوّل أو قریباً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قلّت منفعته لکن لا إلیٰ حدّ یلحق بالمعدوم، فالظاهر عدم جواز بیعه و لو أمکن أن یشتری بثمنه ما له نفع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یؤدّی </w:t>
      </w:r>
      <w:r>
        <w:rPr>
          <w:rStyle w:val="FootnoteAnchor"/>
          <w:rtl w:val="true"/>
        </w:rPr>
        <w:footnoteReference w:id="1076"/>
      </w:r>
      <w:r>
        <w:rPr>
          <w:rFonts w:ascii="IRNazanin" w:hAnsi="IRNazanin" w:eastAsia="IRNazanin"/>
          <w:color w:val="111111"/>
          <w:sz w:val="28"/>
          <w:sz w:val="28"/>
          <w:szCs w:val="28"/>
          <w:rtl w:val="true"/>
          <w:lang w:bidi="fa-IR"/>
        </w:rPr>
        <w:t>بقاؤه إلیٰ خرابه؛ سواء کان لخلف بین أربابه أو لغیر ذلک و سواء کان أداؤه إلیٰ ذلک معلوماً أو مظنوناً، و سواء کان الخراب المعلوم أو المظنون علیٰ حدّ سقوط الانتفاع بالمرّة أو الانتفاع المعتدّ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إمکان الانتفاع به بعد الخراب کانتفاعه السابق بوجه آخر لم یجز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 الواقف بیعه عند حدوث أمر؛ من قلّة المنفعة أو کثرة الخراج، أو وقوع خلاف بین الموقوف علیهم، أو حصول ضرورة و حاجة شدیدة لهم، فإنّه لا مانع حینئذٍ من بیعه و تبدیله علیٰ إشکال</w:t>
      </w:r>
      <w:r>
        <w:rPr>
          <w:rFonts w:eastAsia="IRNazanin" w:cs="IRNazanin"/>
          <w:color w:val="111111"/>
          <w:sz w:val="28"/>
          <w:szCs w:val="28"/>
          <w:rtl w:val="true"/>
          <w:lang w:bidi="fa-IR"/>
        </w:rPr>
        <w:t>.</w:t>
      </w:r>
    </w:p>
    <w:p>
      <w:pPr>
        <w:pStyle w:val="Heading6"/>
        <w:numPr>
          <w:ilvl w:val="5"/>
          <w:numId w:val="1"/>
        </w:numPr>
        <w:rPr/>
      </w:pPr>
      <w:bookmarkStart w:id="3748" w:name="__RefHeading___Toc2568396_3650668749"/>
      <w:bookmarkStart w:id="3749" w:name="_Toc1707"/>
      <w:bookmarkEnd w:id="3748"/>
      <w:r>
        <w:rPr>
          <w:rtl w:val="true"/>
        </w:rPr>
        <w:t>[ (</w:t>
      </w:r>
      <w:r>
        <w:rPr>
          <w:rtl w:val="true"/>
        </w:rPr>
        <w:t xml:space="preserve">مسألة </w:t>
      </w:r>
      <w:r>
        <w:rPr/>
        <w:t>6</w:t>
      </w:r>
      <w:r>
        <w:rPr>
          <w:rtl w:val="true"/>
        </w:rPr>
        <w:t xml:space="preserve">): </w:t>
      </w:r>
      <w:r>
        <w:rPr>
          <w:rtl w:val="true"/>
        </w:rPr>
        <w:t>إنّما لا یجوز بیع أُمّ الولد إذا لم یمت ولدها فی حیاة سیّدها</w:t>
      </w:r>
      <w:r>
        <w:rPr>
          <w:rtl w:val="true"/>
        </w:rPr>
        <w:t>]</w:t>
      </w:r>
      <w:bookmarkEnd w:id="3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لا یجوز بیع أُمّ الولد إذا لم یمت ولدها فی حیاة سیّدها و إلّا فهی کسائر الممالیک یجوز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استثنی عن عدم جواز بیعها مع حیاة ولدها مواضع </w:t>
      </w:r>
      <w:r>
        <w:rPr>
          <w:rStyle w:val="FootnoteAnchor"/>
          <w:rtl w:val="true"/>
        </w:rPr>
        <w:footnoteReference w:id="1077"/>
      </w:r>
      <w:r>
        <w:rPr>
          <w:rFonts w:ascii="IRNazanin" w:hAnsi="IRNazanin" w:eastAsia="IRNazanin"/>
          <w:color w:val="111111"/>
          <w:sz w:val="28"/>
          <w:sz w:val="28"/>
          <w:szCs w:val="28"/>
          <w:rtl w:val="true"/>
          <w:lang w:bidi="fa-IR"/>
        </w:rPr>
        <w:t>جلّها أو کلّها محلّ المناقشة و النظر، إلّا موضع واحد؛ و هو بیعها فی ثمن رقبتها مع إعسار مولاها، و المتیقّن من هذا أیضاً صورة موت المالک بأن مات مدیوناً بثمنها و لم یترک سواها، و أمّا مع حیاة مولاها فلا یخلو من إشکال</w:t>
      </w:r>
      <w:r>
        <w:rPr>
          <w:rFonts w:eastAsia="IRNazanin" w:cs="IRNazanin"/>
          <w:color w:val="111111"/>
          <w:sz w:val="28"/>
          <w:szCs w:val="28"/>
          <w:rtl w:val="true"/>
          <w:lang w:bidi="fa-IR"/>
        </w:rPr>
        <w:t>.</w:t>
      </w:r>
    </w:p>
    <w:p>
      <w:pPr>
        <w:pStyle w:val="Heading6"/>
        <w:numPr>
          <w:ilvl w:val="5"/>
          <w:numId w:val="1"/>
        </w:numPr>
        <w:rPr/>
      </w:pPr>
      <w:bookmarkStart w:id="3750" w:name="__RefHeading___Toc2568398_3650668749"/>
      <w:bookmarkStart w:id="3751" w:name="_Toc1708"/>
      <w:bookmarkEnd w:id="3750"/>
      <w:r>
        <w:rPr>
          <w:rtl w:val="true"/>
        </w:rPr>
        <w:t>[ (</w:t>
      </w:r>
      <w:r>
        <w:rPr>
          <w:rtl w:val="true"/>
        </w:rPr>
        <w:t xml:space="preserve">مسألة </w:t>
      </w:r>
      <w:r>
        <w:rPr/>
        <w:t>7</w:t>
      </w:r>
      <w:r>
        <w:rPr>
          <w:rtl w:val="true"/>
        </w:rPr>
        <w:t xml:space="preserve">): </w:t>
      </w:r>
      <w:r>
        <w:rPr>
          <w:rtl w:val="true"/>
        </w:rPr>
        <w:t>لا یجوز بیع الأرض المفتوحة عنوة</w:t>
      </w:r>
      <w:r>
        <w:rPr>
          <w:rtl w:val="true"/>
        </w:rPr>
        <w:t>]</w:t>
      </w:r>
      <w:bookmarkEnd w:id="375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الأرض المفتوحة عنوة و هی المأخوذة من ید الکفّار قهراً المعمورة وقت الفتح فإنّها ملک للمسلمین کافّة، فهی باقیة علیٰ حالها بید من یعمرها،</w:t>
      </w:r>
      <w:bookmarkStart w:id="3752" w:name="pg1809_19349"/>
    </w:p>
    <w:p>
      <w:pPr>
        <w:pStyle w:val="BookText"/>
        <w:rPr/>
      </w:pPr>
      <w:bookmarkEnd w:id="3752"/>
      <w:r>
        <w:rPr>
          <w:rFonts w:ascii="IRNazanin" w:hAnsi="IRNazanin" w:eastAsia="IRNazanin"/>
          <w:color w:val="111111"/>
          <w:sz w:val="28"/>
          <w:sz w:val="28"/>
          <w:szCs w:val="28"/>
          <w:rtl w:val="true"/>
          <w:lang w:bidi="fa-IR"/>
        </w:rPr>
        <w:t>و یؤخذ خراجها و یصرف فی مصالح المسلمین، و أمّا ما کانت مواتاً حال الفتح ثمّ عرضت لها الإحیاء فهی ملک لمحییها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یسهل الخطب فی الدور و العقار و بعض الإقطاع من تلک الأراضی التی یعامل معها معاملة الأملاک؛ حیث إنّه من المحتمل أنّ المتصرّف فیها ملکها بوجه صحیح، فیحکم بملکیّة ما فی یده ما لم یعلم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المتیقّن من المفتوح عنوة أرض العراق و بعض الأقطار ببلاد العجم</w:t>
      </w:r>
      <w:r>
        <w:rPr>
          <w:rFonts w:eastAsia="IRNazanin" w:cs="IRNazanin"/>
          <w:color w:val="111111"/>
          <w:sz w:val="28"/>
          <w:szCs w:val="28"/>
          <w:rtl w:val="true"/>
          <w:lang w:bidi="fa-IR"/>
        </w:rPr>
        <w:t>.</w:t>
      </w:r>
    </w:p>
    <w:p>
      <w:pPr>
        <w:pStyle w:val="Heading5"/>
        <w:numPr>
          <w:ilvl w:val="4"/>
          <w:numId w:val="1"/>
        </w:numPr>
        <w:rPr/>
      </w:pPr>
      <w:bookmarkStart w:id="3753" w:name="__RefHeading___Toc2568400_3650668749"/>
      <w:bookmarkStart w:id="3754" w:name="_Toc1709"/>
      <w:bookmarkEnd w:id="3753"/>
      <w:r>
        <w:rPr>
          <w:rtl w:val="true"/>
        </w:rPr>
        <w:t>[</w:t>
      </w:r>
      <w:r>
        <w:rPr>
          <w:rtl w:val="true"/>
        </w:rPr>
        <w:t>الخامس</w:t>
      </w:r>
      <w:r>
        <w:rPr>
          <w:rtl w:val="true"/>
        </w:rPr>
        <w:t xml:space="preserve">: </w:t>
      </w:r>
      <w:r>
        <w:rPr>
          <w:rtl w:val="true"/>
        </w:rPr>
        <w:t>القدرة علی التسلیم</w:t>
      </w:r>
      <w:r>
        <w:rPr>
          <w:rtl w:val="true"/>
        </w:rPr>
        <w:t>]</w:t>
      </w:r>
      <w:bookmarkEnd w:id="3754"/>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علی التسلیم، فلا یجوز بیع الطیر المملوک إذا طار فی الهواء و لا السمک المملوک إذا أرسل فی الماء و لا الدابّة الشاردة و لا العبد الآبق إلّا مع الضمیمة </w:t>
      </w:r>
      <w:r>
        <w:rPr>
          <w:rStyle w:val="FootnoteAnchor"/>
          <w:rtl w:val="true"/>
        </w:rPr>
        <w:footnoteReference w:id="1078"/>
      </w:r>
      <w:r>
        <w:rPr>
          <w:rFonts w:ascii="IRNazanin" w:hAnsi="IRNazanin" w:eastAsia="IRNazanin"/>
          <w:color w:val="111111"/>
          <w:sz w:val="28"/>
          <w:sz w:val="28"/>
          <w:szCs w:val="28"/>
          <w:rtl w:val="true"/>
          <w:lang w:bidi="fa-IR"/>
        </w:rPr>
        <w:t>، و إذا لم یقدر البائع علی التسلیم و کان المشتری قادراً علیٰ تسلّمه فالظاهر الصحّة</w:t>
      </w:r>
      <w:r>
        <w:rPr>
          <w:rFonts w:eastAsia="IRNazanin" w:cs="IRNazanin"/>
          <w:color w:val="111111"/>
          <w:sz w:val="28"/>
          <w:szCs w:val="28"/>
          <w:rtl w:val="true"/>
          <w:lang w:bidi="fa-IR"/>
        </w:rPr>
        <w:t>.</w:t>
      </w:r>
    </w:p>
    <w:p>
      <w:pPr>
        <w:pStyle w:val="Heading3"/>
        <w:numPr>
          <w:ilvl w:val="2"/>
          <w:numId w:val="1"/>
        </w:numPr>
        <w:rPr/>
      </w:pPr>
      <w:bookmarkStart w:id="3755" w:name="__RefHeading___Toc2568402_3650668749"/>
      <w:bookmarkStart w:id="3756" w:name="_Toc1710"/>
      <w:bookmarkEnd w:id="3755"/>
      <w:r>
        <w:rPr>
          <w:rtl w:val="true"/>
        </w:rPr>
        <w:t>[</w:t>
      </w:r>
      <w:r>
        <w:rPr>
          <w:rtl w:val="true"/>
        </w:rPr>
        <w:t>القول فی الخیارات</w:t>
      </w:r>
      <w:r>
        <w:rPr>
          <w:rtl w:val="true"/>
        </w:rPr>
        <w:t>]</w:t>
      </w:r>
      <w:bookmarkEnd w:id="3756"/>
    </w:p>
    <w:p>
      <w:pPr>
        <w:pStyle w:val="Heading4"/>
        <w:numPr>
          <w:ilvl w:val="3"/>
          <w:numId w:val="1"/>
        </w:numPr>
        <w:rPr/>
      </w:pPr>
      <w:bookmarkStart w:id="3757" w:name="__RefHeading___Toc2568404_3650668749"/>
      <w:bookmarkStart w:id="3758" w:name="_Toc1711"/>
      <w:bookmarkEnd w:id="3757"/>
      <w:r>
        <w:rPr>
          <w:rtl w:val="true"/>
        </w:rPr>
        <w:t>اشارة</w:t>
      </w:r>
      <w:bookmarkEnd w:id="3758"/>
    </w:p>
    <w:p>
      <w:pPr>
        <w:pStyle w:val="BookText"/>
        <w:rPr/>
      </w:pPr>
      <w:r>
        <w:rPr>
          <w:rFonts w:ascii="IRNazanin" w:hAnsi="IRNazanin" w:eastAsia="IRNazanin"/>
          <w:color w:val="111111"/>
          <w:sz w:val="28"/>
          <w:sz w:val="28"/>
          <w:szCs w:val="28"/>
          <w:rtl w:val="true"/>
          <w:lang w:bidi="fa-IR"/>
        </w:rPr>
        <w:t>القول فی الخیارات</w:t>
      </w:r>
    </w:p>
    <w:p>
      <w:pPr>
        <w:pStyle w:val="Heading4"/>
        <w:numPr>
          <w:ilvl w:val="3"/>
          <w:numId w:val="1"/>
        </w:numPr>
        <w:rPr/>
      </w:pPr>
      <w:bookmarkStart w:id="3759" w:name="__RefHeading___Toc2568406_3650668749"/>
      <w:bookmarkStart w:id="3760" w:name="_Toc1712"/>
      <w:bookmarkEnd w:id="3759"/>
      <w:r>
        <w:rPr>
          <w:rtl w:val="true"/>
        </w:rPr>
        <w:t>[</w:t>
      </w:r>
      <w:r>
        <w:rPr>
          <w:rtl w:val="true"/>
        </w:rPr>
        <w:t>و هی أقسام</w:t>
      </w:r>
      <w:r>
        <w:rPr>
          <w:rtl w:val="true"/>
        </w:rPr>
        <w:t>]</w:t>
      </w:r>
      <w:bookmarkEnd w:id="3760"/>
    </w:p>
    <w:p>
      <w:pPr>
        <w:pStyle w:val="Heading5"/>
        <w:numPr>
          <w:ilvl w:val="4"/>
          <w:numId w:val="1"/>
        </w:numPr>
        <w:rPr/>
      </w:pPr>
      <w:bookmarkStart w:id="3761" w:name="__RefHeading___Toc2568408_3650668749"/>
      <w:bookmarkStart w:id="3762" w:name="_Toc1713"/>
      <w:bookmarkEnd w:id="3761"/>
      <w:r>
        <w:rPr>
          <w:rtl w:val="true"/>
        </w:rPr>
        <w:t>اشارة</w:t>
      </w:r>
      <w:bookmarkEnd w:id="3762"/>
    </w:p>
    <w:p>
      <w:pPr>
        <w:pStyle w:val="BookText"/>
        <w:rPr/>
      </w:pPr>
      <w:r>
        <w:rPr>
          <w:rFonts w:ascii="IRNazanin" w:hAnsi="IRNazanin" w:eastAsia="IRNazanin"/>
          <w:color w:val="111111"/>
          <w:sz w:val="28"/>
          <w:sz w:val="28"/>
          <w:szCs w:val="28"/>
          <w:rtl w:val="true"/>
          <w:lang w:bidi="fa-IR"/>
        </w:rPr>
        <w:t>و هی أقسام</w:t>
      </w:r>
      <w:r>
        <w:rPr>
          <w:rFonts w:eastAsia="IRNazanin" w:cs="IRNazanin"/>
          <w:color w:val="111111"/>
          <w:sz w:val="28"/>
          <w:szCs w:val="28"/>
          <w:rtl w:val="true"/>
          <w:lang w:bidi="fa-IR"/>
        </w:rPr>
        <w:t>:</w:t>
      </w:r>
    </w:p>
    <w:p>
      <w:pPr>
        <w:pStyle w:val="Heading5"/>
        <w:numPr>
          <w:ilvl w:val="4"/>
          <w:numId w:val="1"/>
        </w:numPr>
        <w:rPr/>
      </w:pPr>
      <w:bookmarkStart w:id="3763" w:name="__RefHeading___Toc2568410_3650668749"/>
      <w:bookmarkStart w:id="3764" w:name="_Toc1714"/>
      <w:bookmarkEnd w:id="3763"/>
      <w:r>
        <w:rPr>
          <w:rtl w:val="true"/>
        </w:rPr>
        <w:t>[</w:t>
      </w:r>
      <w:r>
        <w:rPr>
          <w:rtl w:val="true"/>
        </w:rPr>
        <w:t>الأوّل</w:t>
      </w:r>
      <w:r>
        <w:rPr>
          <w:rtl w:val="true"/>
        </w:rPr>
        <w:t xml:space="preserve">: </w:t>
      </w:r>
      <w:r>
        <w:rPr>
          <w:rtl w:val="true"/>
        </w:rPr>
        <w:t>خیار المجلس</w:t>
      </w:r>
      <w:r>
        <w:rPr>
          <w:rtl w:val="true"/>
        </w:rPr>
        <w:t>]</w:t>
      </w:r>
      <w:bookmarkEnd w:id="376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المجلس، فإذا وقع البیع فللمتبایعین الخیار ما لم یفترقا، فإذا افترقا و لو بخطوة </w:t>
      </w:r>
      <w:r>
        <w:rPr>
          <w:rStyle w:val="FootnoteAnchor"/>
          <w:rtl w:val="true"/>
        </w:rPr>
        <w:footnoteReference w:id="1079"/>
      </w:r>
      <w:r>
        <w:rPr>
          <w:rFonts w:ascii="IRNazanin" w:hAnsi="IRNazanin" w:eastAsia="IRNazanin"/>
          <w:color w:val="111111"/>
          <w:sz w:val="28"/>
          <w:sz w:val="28"/>
          <w:szCs w:val="28"/>
          <w:rtl w:val="true"/>
          <w:lang w:bidi="fa-IR"/>
        </w:rPr>
        <w:t>سقط الخیار من الطرفین و لزم البیع من الجانبین، و لو فارقا من مجلس البیع مصطحبین بقی الخیار</w:t>
      </w:r>
      <w:r>
        <w:rPr>
          <w:rFonts w:eastAsia="IRNazanin" w:cs="IRNazanin"/>
          <w:color w:val="111111"/>
          <w:sz w:val="28"/>
          <w:szCs w:val="28"/>
          <w:rtl w:val="true"/>
          <w:lang w:bidi="fa-IR"/>
        </w:rPr>
        <w:t>.</w:t>
      </w:r>
    </w:p>
    <w:p>
      <w:pPr>
        <w:pStyle w:val="Heading5"/>
        <w:numPr>
          <w:ilvl w:val="4"/>
          <w:numId w:val="1"/>
        </w:numPr>
        <w:rPr/>
      </w:pPr>
      <w:bookmarkStart w:id="3765" w:name="__RefHeading___Toc2568412_3650668749"/>
      <w:bookmarkStart w:id="3766" w:name="_Toc1715"/>
      <w:bookmarkEnd w:id="3765"/>
      <w:r>
        <w:rPr>
          <w:rtl w:val="true"/>
        </w:rPr>
        <w:t>[</w:t>
      </w:r>
      <w:r>
        <w:rPr>
          <w:rtl w:val="true"/>
        </w:rPr>
        <w:t>الثانی</w:t>
      </w:r>
      <w:r>
        <w:rPr>
          <w:rtl w:val="true"/>
        </w:rPr>
        <w:t xml:space="preserve">: </w:t>
      </w:r>
      <w:r>
        <w:rPr>
          <w:rtl w:val="true"/>
        </w:rPr>
        <w:t>خیار الحیوان</w:t>
      </w:r>
      <w:r>
        <w:rPr>
          <w:rtl w:val="true"/>
        </w:rPr>
        <w:t>]</w:t>
      </w:r>
      <w:bookmarkEnd w:id="3766"/>
    </w:p>
    <w:p>
      <w:pPr>
        <w:pStyle w:val="Heading6"/>
        <w:numPr>
          <w:ilvl w:val="5"/>
          <w:numId w:val="1"/>
        </w:numPr>
        <w:rPr/>
      </w:pPr>
      <w:bookmarkStart w:id="3767" w:name="__RefHeading___Toc2568414_3650668749"/>
      <w:bookmarkStart w:id="3768" w:name="_Toc1716"/>
      <w:bookmarkEnd w:id="3767"/>
      <w:r>
        <w:rPr>
          <w:rtl w:val="true"/>
        </w:rPr>
        <w:t>اشارة</w:t>
      </w:r>
      <w:bookmarkEnd w:id="376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الحیوان، فمن اشتریٰ حیواناً إنساناً أو غیره ثبت له الخیار إلیٰ ثلاثة أیّام من حین العقد، و فی ثبوته للبائع أیضاً إذا کان الثمن حیواناً وجه لا یخلو من قوّة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69" w:name="__RefHeading___Toc2568416_3650668749"/>
      <w:bookmarkStart w:id="3770" w:name="_Toc1717"/>
      <w:bookmarkEnd w:id="3769"/>
      <w:r>
        <w:rPr>
          <w:rtl w:val="true"/>
        </w:rPr>
        <w:t>[ (</w:t>
      </w:r>
      <w:r>
        <w:rPr>
          <w:rtl w:val="true"/>
        </w:rPr>
        <w:t xml:space="preserve">مسألة </w:t>
      </w:r>
      <w:r>
        <w:rPr/>
        <w:t>1</w:t>
      </w:r>
      <w:r>
        <w:rPr>
          <w:rtl w:val="true"/>
        </w:rPr>
        <w:t xml:space="preserve">): </w:t>
      </w:r>
      <w:r>
        <w:rPr>
          <w:rtl w:val="true"/>
        </w:rPr>
        <w:t>لو تصرّف المشتری فی الحیوان تصرّفاً یدلّ علی الرضا</w:t>
      </w:r>
      <w:r>
        <w:rPr>
          <w:rtl w:val="true"/>
        </w:rPr>
        <w:t>]</w:t>
      </w:r>
      <w:bookmarkEnd w:id="377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تصرّف المشتری فی الحیوان تصرّفاً یدلّ علی الرضا </w:t>
      </w:r>
      <w:r>
        <w:rPr>
          <w:rStyle w:val="FootnoteAnchor"/>
          <w:rtl w:val="true"/>
        </w:rPr>
        <w:footnoteReference w:id="1081"/>
      </w:r>
      <w:r>
        <w:rPr>
          <w:rFonts w:ascii="IRNazanin" w:hAnsi="IRNazanin" w:eastAsia="IRNazanin"/>
          <w:color w:val="111111"/>
          <w:sz w:val="28"/>
          <w:sz w:val="28"/>
          <w:szCs w:val="28"/>
          <w:rtl w:val="true"/>
          <w:lang w:bidi="fa-IR"/>
        </w:rPr>
        <w:t>بالبیع سقط خیاره</w:t>
      </w:r>
      <w:r>
        <w:rPr>
          <w:rFonts w:eastAsia="IRNazanin" w:cs="IRNazanin"/>
          <w:color w:val="111111"/>
          <w:sz w:val="28"/>
          <w:szCs w:val="28"/>
          <w:rtl w:val="true"/>
          <w:lang w:bidi="fa-IR"/>
        </w:rPr>
        <w:t>.</w:t>
      </w:r>
      <w:bookmarkStart w:id="3771" w:name="pg1809_19350"/>
    </w:p>
    <w:p>
      <w:pPr>
        <w:pStyle w:val="Heading6"/>
        <w:numPr>
          <w:ilvl w:val="5"/>
          <w:numId w:val="1"/>
        </w:numPr>
        <w:rPr/>
      </w:pPr>
      <w:bookmarkStart w:id="3772" w:name="__RefHeading___Toc2568418_3650668749"/>
      <w:bookmarkStart w:id="3773" w:name="_Toc1718"/>
      <w:bookmarkEnd w:id="3771"/>
      <w:bookmarkEnd w:id="3772"/>
      <w:r>
        <w:rPr>
          <w:rtl w:val="true"/>
        </w:rPr>
        <w:t>[ (</w:t>
      </w:r>
      <w:r>
        <w:rPr>
          <w:rtl w:val="true"/>
        </w:rPr>
        <w:t xml:space="preserve">مسألة </w:t>
      </w:r>
      <w:r>
        <w:rPr/>
        <w:t>2</w:t>
      </w:r>
      <w:r>
        <w:rPr>
          <w:rtl w:val="true"/>
        </w:rPr>
        <w:t xml:space="preserve">): </w:t>
      </w:r>
      <w:r>
        <w:rPr>
          <w:rtl w:val="true"/>
        </w:rPr>
        <w:t>لو تلف الحیوان فی مدّة الخیار کان من مال البائع</w:t>
      </w:r>
      <w:r>
        <w:rPr>
          <w:rtl w:val="true"/>
        </w:rPr>
        <w:t>]</w:t>
      </w:r>
      <w:bookmarkEnd w:id="37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الحیوان فی مدّة الخیار کان من مال البائع، فیبطل البیع و یرجع إلیه المشتری بالثمن إذا دفعه إلیه</w:t>
      </w:r>
      <w:r>
        <w:rPr>
          <w:rFonts w:eastAsia="IRNazanin" w:cs="IRNazanin"/>
          <w:color w:val="111111"/>
          <w:sz w:val="28"/>
          <w:szCs w:val="28"/>
          <w:rtl w:val="true"/>
          <w:lang w:bidi="fa-IR"/>
        </w:rPr>
        <w:t>.</w:t>
      </w:r>
    </w:p>
    <w:p>
      <w:pPr>
        <w:pStyle w:val="Heading6"/>
        <w:numPr>
          <w:ilvl w:val="5"/>
          <w:numId w:val="1"/>
        </w:numPr>
        <w:rPr/>
      </w:pPr>
      <w:bookmarkStart w:id="3774" w:name="__RefHeading___Toc2568420_3650668749"/>
      <w:bookmarkStart w:id="3775" w:name="_Toc1719"/>
      <w:bookmarkEnd w:id="3774"/>
      <w:r>
        <w:rPr>
          <w:rtl w:val="true"/>
        </w:rPr>
        <w:t>[ (</w:t>
      </w:r>
      <w:r>
        <w:rPr>
          <w:rtl w:val="true"/>
        </w:rPr>
        <w:t xml:space="preserve">مسألة </w:t>
      </w:r>
      <w:r>
        <w:rPr/>
        <w:t>3</w:t>
      </w:r>
      <w:r>
        <w:rPr>
          <w:rtl w:val="true"/>
        </w:rPr>
        <w:t xml:space="preserve">): </w:t>
      </w:r>
      <w:r>
        <w:rPr>
          <w:rtl w:val="true"/>
        </w:rPr>
        <w:t>العیب الحادث فی الثلاثة من غیر تفریط من المشتری لا یمنع عن الفسخ و الردّ</w:t>
      </w:r>
      <w:r>
        <w:rPr>
          <w:rtl w:val="true"/>
        </w:rPr>
        <w:t>]</w:t>
      </w:r>
      <w:bookmarkEnd w:id="37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العیب الحادث فی الثلاثة من غیر تفریط من المشتری لا یمنع عن الفسخ و الردّ</w:t>
      </w:r>
      <w:r>
        <w:rPr>
          <w:rFonts w:eastAsia="IRNazanin" w:cs="IRNazanin"/>
          <w:color w:val="111111"/>
          <w:sz w:val="28"/>
          <w:szCs w:val="28"/>
          <w:rtl w:val="true"/>
          <w:lang w:bidi="fa-IR"/>
        </w:rPr>
        <w:t>.</w:t>
      </w:r>
    </w:p>
    <w:p>
      <w:pPr>
        <w:pStyle w:val="Heading5"/>
        <w:numPr>
          <w:ilvl w:val="4"/>
          <w:numId w:val="1"/>
        </w:numPr>
        <w:rPr/>
      </w:pPr>
      <w:bookmarkStart w:id="3776" w:name="__RefHeading___Toc2568422_3650668749"/>
      <w:bookmarkStart w:id="3777" w:name="_Toc1720"/>
      <w:bookmarkEnd w:id="3776"/>
      <w:r>
        <w:rPr>
          <w:rtl w:val="true"/>
        </w:rPr>
        <w:t>[</w:t>
      </w:r>
      <w:r>
        <w:rPr>
          <w:rtl w:val="true"/>
        </w:rPr>
        <w:t>الثالث</w:t>
      </w:r>
      <w:r>
        <w:rPr>
          <w:rtl w:val="true"/>
        </w:rPr>
        <w:t xml:space="preserve">: </w:t>
      </w:r>
      <w:r>
        <w:rPr>
          <w:rtl w:val="true"/>
        </w:rPr>
        <w:t>خیار الشرط</w:t>
      </w:r>
      <w:r>
        <w:rPr>
          <w:rtl w:val="true"/>
        </w:rPr>
        <w:t>]</w:t>
      </w:r>
      <w:bookmarkEnd w:id="3777"/>
    </w:p>
    <w:p>
      <w:pPr>
        <w:pStyle w:val="Heading6"/>
        <w:numPr>
          <w:ilvl w:val="5"/>
          <w:numId w:val="1"/>
        </w:numPr>
        <w:rPr/>
      </w:pPr>
      <w:bookmarkStart w:id="3778" w:name="__RefHeading___Toc2568424_3650668749"/>
      <w:bookmarkStart w:id="3779" w:name="_Toc1721"/>
      <w:bookmarkEnd w:id="3778"/>
      <w:r>
        <w:rPr>
          <w:rtl w:val="true"/>
        </w:rPr>
        <w:t>اشارة</w:t>
      </w:r>
      <w:bookmarkEnd w:id="377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الشرط أی الثابت بالاشتراط فی ضمن العقد و یجوز جعله لهما أو لأحدهما أو 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یتقدّر بمدّة معیّنة، بل هو بحسب ما اشترطاه؛ قلّت أو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کونها مضبوطة من حیث المقدار و من حیث الاتّصال و الانفصال، نعم إذا ذکرت مدّة معیّنة کشهر مثلًا و أُطلقت فالظاهر اتّصالها بالعقد</w:t>
      </w:r>
      <w:r>
        <w:rPr>
          <w:rFonts w:eastAsia="IRNazanin" w:cs="IRNazanin"/>
          <w:color w:val="111111"/>
          <w:sz w:val="28"/>
          <w:szCs w:val="28"/>
          <w:rtl w:val="true"/>
          <w:lang w:bidi="fa-IR"/>
        </w:rPr>
        <w:t>.</w:t>
      </w:r>
    </w:p>
    <w:p>
      <w:pPr>
        <w:pStyle w:val="Heading6"/>
        <w:numPr>
          <w:ilvl w:val="5"/>
          <w:numId w:val="1"/>
        </w:numPr>
        <w:rPr/>
      </w:pPr>
      <w:bookmarkStart w:id="3780" w:name="__RefHeading___Toc2568426_3650668749"/>
      <w:bookmarkStart w:id="3781" w:name="_Toc1722"/>
      <w:bookmarkEnd w:id="3780"/>
      <w:r>
        <w:rPr>
          <w:rtl w:val="true"/>
        </w:rPr>
        <w:t>[ (</w:t>
      </w:r>
      <w:r>
        <w:rPr>
          <w:rtl w:val="true"/>
        </w:rPr>
        <w:t xml:space="preserve">مسألة </w:t>
      </w:r>
      <w:r>
        <w:rPr/>
        <w:t>4</w:t>
      </w:r>
      <w:r>
        <w:rPr>
          <w:rtl w:val="true"/>
        </w:rPr>
        <w:t xml:space="preserve">): </w:t>
      </w:r>
      <w:r>
        <w:rPr>
          <w:rtl w:val="true"/>
        </w:rPr>
        <w:t>یجوز أن یشترط لأحدهما أو لهما الخیار بعد الاستئمار و الاستشارة</w:t>
      </w:r>
      <w:r>
        <w:rPr>
          <w:rtl w:val="true"/>
        </w:rPr>
        <w:t>]</w:t>
      </w:r>
      <w:bookmarkEnd w:id="37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یشترط لأحدهما أو لهما الخیار بعد الاستئمار و الاستشارة؛ بأن یشاور مع ثالث فی أمر العقد فکلّ ما رأی من الصلاح إبقاءً للعقد أو فسخاً یکون متّبعاً، و یعتبر فی هذا الشرط أیضاً تعیین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للمشروط له الفسخ قبل أمر ذاک الثالث، و لا یجب علیه لو أمره، بل جاز له، فإذا اشترط البائع علی المشتری مثلًا بأنّ له المهلة إلیٰ ثلاثة أیّام حتّی یستشیر من صدیقه أو الدلّال الفلانی فإن رأی الصلاح فی هذا البیع یلتزم به و إلّا فلا، یکون مرجعه إلیٰ جعل الخیار له علیٰ تقدیر أن لا یریٰ صدیقه أو الدلّال الصلاح فی البیع لا مطلقاً، فلیس له الخیار إلّا علیٰ ذلک التقدیر</w:t>
      </w:r>
      <w:r>
        <w:rPr>
          <w:rFonts w:eastAsia="IRNazanin" w:cs="IRNazanin"/>
          <w:color w:val="111111"/>
          <w:sz w:val="28"/>
          <w:szCs w:val="28"/>
          <w:rtl w:val="true"/>
          <w:lang w:bidi="fa-IR"/>
        </w:rPr>
        <w:t>.</w:t>
      </w:r>
    </w:p>
    <w:p>
      <w:pPr>
        <w:pStyle w:val="Heading6"/>
        <w:numPr>
          <w:ilvl w:val="5"/>
          <w:numId w:val="1"/>
        </w:numPr>
        <w:rPr/>
      </w:pPr>
      <w:bookmarkStart w:id="3782" w:name="__RefHeading___Toc2568428_3650668749"/>
      <w:bookmarkStart w:id="3783" w:name="_Toc1723"/>
      <w:bookmarkEnd w:id="3782"/>
      <w:r>
        <w:rPr>
          <w:rtl w:val="true"/>
        </w:rPr>
        <w:t>[ (</w:t>
      </w:r>
      <w:r>
        <w:rPr>
          <w:rtl w:val="true"/>
        </w:rPr>
        <w:t xml:space="preserve">مسألة </w:t>
      </w:r>
      <w:r>
        <w:rPr/>
        <w:t>5</w:t>
      </w:r>
      <w:r>
        <w:rPr>
          <w:rtl w:val="true"/>
        </w:rPr>
        <w:t xml:space="preserve">): </w:t>
      </w:r>
      <w:r>
        <w:rPr>
          <w:rtl w:val="true"/>
        </w:rPr>
        <w:t>لا إشکال فی عدم اختصاص خیار الشرط بالبیع و جریانه فی کلّ عقد لازم</w:t>
      </w:r>
      <w:r>
        <w:rPr>
          <w:rtl w:val="true"/>
        </w:rPr>
        <w:t>]</w:t>
      </w:r>
      <w:bookmarkEnd w:id="37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عدم اختصاص خیار الشرط بالبیع و جریانه فی کلّ عقد </w:t>
      </w:r>
      <w:r>
        <w:rPr>
          <w:rStyle w:val="FootnoteAnchor"/>
          <w:rtl w:val="true"/>
        </w:rPr>
        <w:footnoteReference w:id="1082"/>
      </w:r>
      <w:r>
        <w:rPr>
          <w:rFonts w:ascii="IRNazanin" w:hAnsi="IRNazanin" w:eastAsia="IRNazanin"/>
          <w:color w:val="111111"/>
          <w:sz w:val="28"/>
          <w:sz w:val="28"/>
          <w:szCs w:val="28"/>
          <w:rtl w:val="true"/>
          <w:lang w:bidi="fa-IR"/>
        </w:rPr>
        <w:t>لازم سویٰ عقد النکاح، کما أنّه لا إشکال فی عدم جریانه فی الإیقاعات کالطلاق و العتق و الإبراء و غیرها</w:t>
      </w:r>
      <w:r>
        <w:rPr>
          <w:rFonts w:eastAsia="IRNazanin" w:cs="IRNazanin"/>
          <w:color w:val="111111"/>
          <w:sz w:val="28"/>
          <w:szCs w:val="28"/>
          <w:rtl w:val="true"/>
          <w:lang w:bidi="fa-IR"/>
        </w:rPr>
        <w:t>.</w:t>
      </w:r>
    </w:p>
    <w:p>
      <w:pPr>
        <w:pStyle w:val="Heading6"/>
        <w:numPr>
          <w:ilvl w:val="5"/>
          <w:numId w:val="1"/>
        </w:numPr>
        <w:rPr/>
      </w:pPr>
      <w:bookmarkStart w:id="3784" w:name="__RefHeading___Toc2568430_3650668749"/>
      <w:bookmarkStart w:id="3785" w:name="_Toc1724"/>
      <w:bookmarkEnd w:id="3784"/>
      <w:r>
        <w:rPr>
          <w:rtl w:val="true"/>
        </w:rPr>
        <w:t>[ (</w:t>
      </w:r>
      <w:r>
        <w:rPr>
          <w:rtl w:val="true"/>
        </w:rPr>
        <w:t xml:space="preserve">مسألة </w:t>
      </w:r>
      <w:r>
        <w:rPr/>
        <w:t>6</w:t>
      </w:r>
      <w:r>
        <w:rPr>
          <w:rtl w:val="true"/>
        </w:rPr>
        <w:t xml:space="preserve">): </w:t>
      </w:r>
      <w:r>
        <w:rPr>
          <w:rtl w:val="true"/>
        </w:rPr>
        <w:t>یجوز اشتراط الخیار للبائع إذا ردّ الثمن بعینه أو ما یعمّ مثله إلیٰ مدّة معیّنة</w:t>
      </w:r>
      <w:r>
        <w:rPr>
          <w:rtl w:val="true"/>
        </w:rPr>
        <w:t>]</w:t>
      </w:r>
      <w:bookmarkEnd w:id="378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اشتراط الخیار للبائع إذا ردّ الثمن بعینه أو ما یعمّ مثله إلیٰ مدّة معیّنة، فإن مضت و لم یأت بالثمن کاملًا لزم البیع، و مثل هذا البیع یسمّیٰ فی العرف الحاضر ببیع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صحّة اشتراط أن یکون للبائع فسخ الکلّ بردّ بعض الثمن أو فسخ البعض بردّ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ردّ الثمن فعل البائع ما له دخل فی القبض من طرفه و إن أبی المشتری من قبضه، فلو أحضر الثمن و عرضه علیه و مکّنه من قبضه فأبیٰ هو</w:t>
      </w:r>
      <w:bookmarkStart w:id="3786" w:name="pg1809_19351"/>
    </w:p>
    <w:p>
      <w:pPr>
        <w:pStyle w:val="BookText"/>
        <w:rPr/>
      </w:pPr>
      <w:bookmarkEnd w:id="3786"/>
      <w:r>
        <w:rPr>
          <w:rFonts w:ascii="IRNazanin" w:hAnsi="IRNazanin" w:eastAsia="IRNazanin"/>
          <w:color w:val="111111"/>
          <w:sz w:val="28"/>
          <w:sz w:val="28"/>
          <w:szCs w:val="28"/>
          <w:rtl w:val="true"/>
          <w:lang w:bidi="fa-IR"/>
        </w:rPr>
        <w:t>و امتنع أن یقبضه تحقّق الردّ الذی هو شرط لملک الفسخ، فله أن یفسخ</w:t>
      </w:r>
      <w:r>
        <w:rPr>
          <w:rFonts w:eastAsia="IRNazanin" w:cs="IRNazanin"/>
          <w:color w:val="111111"/>
          <w:sz w:val="28"/>
          <w:szCs w:val="28"/>
          <w:rtl w:val="true"/>
          <w:lang w:bidi="fa-IR"/>
        </w:rPr>
        <w:t>.</w:t>
      </w:r>
    </w:p>
    <w:p>
      <w:pPr>
        <w:pStyle w:val="Heading6"/>
        <w:numPr>
          <w:ilvl w:val="5"/>
          <w:numId w:val="1"/>
        </w:numPr>
        <w:rPr/>
      </w:pPr>
      <w:bookmarkStart w:id="3787" w:name="__RefHeading___Toc2568432_3650668749"/>
      <w:bookmarkStart w:id="3788" w:name="_Toc1725"/>
      <w:bookmarkEnd w:id="3787"/>
      <w:r>
        <w:rPr>
          <w:rtl w:val="true"/>
        </w:rPr>
        <w:t>[ (</w:t>
      </w:r>
      <w:r>
        <w:rPr>
          <w:rtl w:val="true"/>
        </w:rPr>
        <w:t xml:space="preserve">مسألة </w:t>
      </w:r>
      <w:r>
        <w:rPr/>
        <w:t>7</w:t>
      </w:r>
      <w:r>
        <w:rPr>
          <w:rtl w:val="true"/>
        </w:rPr>
        <w:t xml:space="preserve">): </w:t>
      </w:r>
      <w:r>
        <w:rPr>
          <w:rtl w:val="true"/>
        </w:rPr>
        <w:t>نماء المبیع و منافعه فی هذه المدّة للمشتری</w:t>
      </w:r>
      <w:r>
        <w:rPr>
          <w:rtl w:val="true"/>
        </w:rPr>
        <w:t>]</w:t>
      </w:r>
      <w:bookmarkEnd w:id="37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نماء المبیع و منافعه فی هذه المدّة للمشتری، کما أنّ تلفه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الخیار باقٍ مع التلف إن کان المشروط الخیار و السلطنة علیٰ فسخ البیع، و حینئذٍ یرجع بعد الفسخ إلی المثل أو القیمة، و ساقط إن کان المشروط ارتجاع العین بالفسخ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 حال لیس للمشتری </w:t>
      </w:r>
      <w:r>
        <w:rPr>
          <w:rStyle w:val="FootnoteAnchor"/>
          <w:rtl w:val="true"/>
        </w:rPr>
        <w:footnoteReference w:id="1083"/>
      </w:r>
      <w:r>
        <w:rPr>
          <w:rFonts w:ascii="IRNazanin" w:hAnsi="IRNazanin" w:eastAsia="IRNazanin"/>
          <w:color w:val="111111"/>
          <w:sz w:val="28"/>
          <w:sz w:val="28"/>
          <w:szCs w:val="28"/>
          <w:rtl w:val="true"/>
          <w:lang w:bidi="fa-IR"/>
        </w:rPr>
        <w:t>قبل انقضاء المدّة التصرّف الناقل و إتلاف العین</w:t>
      </w:r>
      <w:r>
        <w:rPr>
          <w:rFonts w:eastAsia="IRNazanin" w:cs="IRNazanin"/>
          <w:color w:val="111111"/>
          <w:sz w:val="28"/>
          <w:szCs w:val="28"/>
          <w:rtl w:val="true"/>
          <w:lang w:bidi="fa-IR"/>
        </w:rPr>
        <w:t>.</w:t>
      </w:r>
    </w:p>
    <w:p>
      <w:pPr>
        <w:pStyle w:val="Heading6"/>
        <w:numPr>
          <w:ilvl w:val="5"/>
          <w:numId w:val="1"/>
        </w:numPr>
        <w:rPr/>
      </w:pPr>
      <w:bookmarkStart w:id="3789" w:name="__RefHeading___Toc2568434_3650668749"/>
      <w:bookmarkStart w:id="3790" w:name="_Toc1726"/>
      <w:bookmarkEnd w:id="3789"/>
      <w:r>
        <w:rPr>
          <w:rtl w:val="true"/>
        </w:rPr>
        <w:t>[ (</w:t>
      </w:r>
      <w:r>
        <w:rPr>
          <w:rtl w:val="true"/>
        </w:rPr>
        <w:t xml:space="preserve">مسألة </w:t>
      </w:r>
      <w:r>
        <w:rPr/>
        <w:t>8</w:t>
      </w:r>
      <w:r>
        <w:rPr>
          <w:rtl w:val="true"/>
        </w:rPr>
        <w:t xml:space="preserve">): </w:t>
      </w:r>
      <w:r>
        <w:rPr>
          <w:rtl w:val="true"/>
        </w:rPr>
        <w:t>الثمن المشروط ردّه إذا کان کلّیّاً فی ذمّة البائع</w:t>
      </w:r>
      <w:r>
        <w:rPr>
          <w:rtl w:val="true"/>
        </w:rPr>
        <w:t>]</w:t>
      </w:r>
      <w:bookmarkEnd w:id="37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 المشروط ردّه إذا کان کلّیّاً فی ذمّة البائع کما إذا کان فی ذمّته ألف درهم لزید فباع داره منه بما فی ذمّته و جعل له الخیار مشروطاً بردّ الثمن، یکون ردّه بأداء ما فی ذمّته و دفع ما کان علیه و إن برئت ذمّته عمّا کان علیه بجعله ثمناً</w:t>
      </w:r>
      <w:r>
        <w:rPr>
          <w:rFonts w:eastAsia="IRNazanin" w:cs="IRNazanin"/>
          <w:color w:val="111111"/>
          <w:sz w:val="28"/>
          <w:szCs w:val="28"/>
          <w:rtl w:val="true"/>
          <w:lang w:bidi="fa-IR"/>
        </w:rPr>
        <w:t>.</w:t>
      </w:r>
    </w:p>
    <w:p>
      <w:pPr>
        <w:pStyle w:val="Heading6"/>
        <w:numPr>
          <w:ilvl w:val="5"/>
          <w:numId w:val="1"/>
        </w:numPr>
        <w:rPr/>
      </w:pPr>
      <w:bookmarkStart w:id="3791" w:name="__RefHeading___Toc2568436_3650668749"/>
      <w:bookmarkStart w:id="3792" w:name="_Toc1727"/>
      <w:bookmarkEnd w:id="3791"/>
      <w:r>
        <w:rPr>
          <w:rtl w:val="true"/>
        </w:rPr>
        <w:t>[ (</w:t>
      </w:r>
      <w:r>
        <w:rPr>
          <w:rtl w:val="true"/>
        </w:rPr>
        <w:t xml:space="preserve">مسألة </w:t>
      </w:r>
      <w:r>
        <w:rPr/>
        <w:t>9</w:t>
      </w:r>
      <w:r>
        <w:rPr>
          <w:rtl w:val="true"/>
        </w:rPr>
        <w:t xml:space="preserve">): </w:t>
      </w:r>
      <w:r>
        <w:rPr>
          <w:rtl w:val="true"/>
        </w:rPr>
        <w:t>إذا لم یقبض البائع الثمن أصلًا سواءً کان کلّیّاً فی ذمّة المشتری أو عیناً موجوداً عنده فهل له هذا الخیار</w:t>
      </w:r>
      <w:r>
        <w:rPr>
          <w:rtl w:val="true"/>
        </w:rPr>
        <w:t>]</w:t>
      </w:r>
      <w:bookmarkEnd w:id="37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یقبض البائع الثمن أصلًا سواءً کان کلّیّاً فی ذمّة المشتری أو عیناً موجوداً عنده فهل له هذا الخیار و له الفسخ قبل انقضاء المدّة المضروبة أم لا؟ وجهان، لا یخلو أوّلهما من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قبضه، فإن کان الثمن کلّیّاً، فالظاهر أنّه لا یتعیّن ردّ عین ذلک الفرد المقبوض إلی المشتری، بل یکفی دفع فرد آخر إلیه ممّا ینطبق الکلّی علیه، إلّا إذا صرّح باشتراط کون المردود عین ذلک الفرد المقبوض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الثمن عیناً شخصیّاً لم یتحقّق الردّ إلّا بردّ عینه، فلو لم یمکن ردّه بتلف و نحوه لم یکن للبائع الخیار، إلّا إذا صرّحا فی شرطهما بردّ ما یعمّ بدله مع عدم التمکّن من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الثمن ممّا انحصر انتفاعه المتعارف بصرفه لا ببقائه کالنقود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المنساق من الإطلاق فی مثله ما یعمّ بدله ما لم یصرّح بأن یکون المردود نفس العین</w:t>
      </w:r>
      <w:r>
        <w:rPr>
          <w:rFonts w:eastAsia="IRNazanin" w:cs="IRNazanin"/>
          <w:color w:val="111111"/>
          <w:sz w:val="28"/>
          <w:szCs w:val="28"/>
          <w:rtl w:val="true"/>
          <w:lang w:bidi="fa-IR"/>
        </w:rPr>
        <w:t>.</w:t>
      </w:r>
    </w:p>
    <w:p>
      <w:pPr>
        <w:pStyle w:val="Heading6"/>
        <w:numPr>
          <w:ilvl w:val="5"/>
          <w:numId w:val="1"/>
        </w:numPr>
        <w:rPr/>
      </w:pPr>
      <w:bookmarkStart w:id="3793" w:name="__RefHeading___Toc2568438_3650668749"/>
      <w:bookmarkStart w:id="3794" w:name="_Toc1728"/>
      <w:bookmarkEnd w:id="3793"/>
      <w:r>
        <w:rPr>
          <w:rtl w:val="true"/>
        </w:rPr>
        <w:t>[ (</w:t>
      </w:r>
      <w:r>
        <w:rPr>
          <w:rtl w:val="true"/>
        </w:rPr>
        <w:t xml:space="preserve">مسألة </w:t>
      </w:r>
      <w:r>
        <w:rPr/>
        <w:t>10</w:t>
      </w:r>
      <w:r>
        <w:rPr>
          <w:rtl w:val="true"/>
        </w:rPr>
        <w:t xml:space="preserve">): </w:t>
      </w:r>
      <w:r>
        <w:rPr>
          <w:rtl w:val="true"/>
        </w:rPr>
        <w:t>کما أنّه یتحقّق ردّ الثمن بردّه إلیٰ نفس المشتری یتحقّق أیضاً بإیصاله إلیٰ وکیله فی خصوص ذلک</w:t>
      </w:r>
      <w:r>
        <w:rPr>
          <w:rtl w:val="true"/>
        </w:rPr>
        <w:t>]</w:t>
      </w:r>
      <w:bookmarkEnd w:id="37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یتحقّق ردّ الثمن بردّه إلیٰ نفس المشتری یتحقّق أیضاً بإیصاله إلیٰ وکیله فی خصوص ذلک أو وکیله المطلق أو ولیّه کالحاکم فیما إذا صار مجنوناً أو غائباً، بل و عدول المؤمنین أیضاً فی مورد ولایتهم، هذا إذا جعل الخیار للبائع مشروطاً بردّ الثمن أو ردّه إلی المشتری و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اشترط الردّ إلی المشتری بنفسه و إیصاله بیده لا یتعدّی منه إلیٰ غیره</w:t>
      </w:r>
      <w:r>
        <w:rPr>
          <w:rFonts w:eastAsia="IRNazanin" w:cs="IRNazanin"/>
          <w:color w:val="111111"/>
          <w:sz w:val="28"/>
          <w:szCs w:val="28"/>
          <w:rtl w:val="true"/>
          <w:lang w:bidi="fa-IR"/>
        </w:rPr>
        <w:t>.</w:t>
      </w:r>
    </w:p>
    <w:p>
      <w:pPr>
        <w:pStyle w:val="Heading6"/>
        <w:numPr>
          <w:ilvl w:val="5"/>
          <w:numId w:val="1"/>
        </w:numPr>
        <w:rPr/>
      </w:pPr>
      <w:bookmarkStart w:id="3795" w:name="__RefHeading___Toc2568440_3650668749"/>
      <w:bookmarkStart w:id="3796" w:name="_Toc1729"/>
      <w:bookmarkEnd w:id="3795"/>
      <w:r>
        <w:rPr>
          <w:rtl w:val="true"/>
        </w:rPr>
        <w:t>[ (</w:t>
      </w:r>
      <w:r>
        <w:rPr>
          <w:rtl w:val="true"/>
        </w:rPr>
        <w:t xml:space="preserve">مسألة </w:t>
      </w:r>
      <w:r>
        <w:rPr/>
        <w:t>11</w:t>
      </w:r>
      <w:r>
        <w:rPr>
          <w:rtl w:val="true"/>
        </w:rPr>
        <w:t xml:space="preserve">): </w:t>
      </w:r>
      <w:r>
        <w:rPr>
          <w:rtl w:val="true"/>
        </w:rPr>
        <w:t>لو اشتری الولیّ شیئاً للمولّیٰ علیه ببیع الخیار فارتفع حجره</w:t>
      </w:r>
      <w:r>
        <w:rPr>
          <w:rtl w:val="true"/>
        </w:rPr>
        <w:t>]</w:t>
      </w:r>
      <w:bookmarkEnd w:id="379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الولیّ شیئاً للمولّیٰ علیه ببیع الخیار فارتفع حجره قبل انقضاء</w:t>
      </w:r>
      <w:bookmarkStart w:id="3797" w:name="pg1809_19352"/>
    </w:p>
    <w:p>
      <w:pPr>
        <w:pStyle w:val="BookText"/>
        <w:rPr/>
      </w:pPr>
      <w:bookmarkEnd w:id="3797"/>
      <w:r>
        <w:rPr>
          <w:rFonts w:ascii="IRNazanin" w:hAnsi="IRNazanin" w:eastAsia="IRNazanin"/>
          <w:color w:val="111111"/>
          <w:sz w:val="28"/>
          <w:sz w:val="28"/>
          <w:szCs w:val="28"/>
          <w:rtl w:val="true"/>
          <w:lang w:bidi="fa-IR"/>
        </w:rPr>
        <w:t xml:space="preserve">المدّة و ردّ الثمن، فالظاهر تحقّقه بإیصاله إلی المولّی علیه، فیملک البائع الفسخ بذلک، بل فی کفایة الردّ إلی الولیّ حینئذٍ نظر و إشکال </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اشتریٰ أحد الولیّین کالأب فهل یصحّ للبائع الفسخ مع ردّ الثمن إلی الولیّ الآخر کالجدّ؟ لا یبعد ذلک خصوصاً فیما إذا لم یتمکّن من الردّ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الحال فی الحاکمین إذا اشتریٰ أحدهما و ردّ الثمن إلی الآخر، لکنّه لا یخلو من إشکال </w:t>
      </w:r>
      <w:r>
        <w:rPr>
          <w:rStyle w:val="FootnoteAnchor"/>
          <w:rtl w:val="true"/>
        </w:rPr>
        <w:footnoteReference w:id="1085"/>
      </w:r>
      <w:r>
        <w:rPr>
          <w:rFonts w:ascii="IRNazanin" w:hAnsi="IRNazanin" w:eastAsia="IRNazanin"/>
          <w:color w:val="111111"/>
          <w:sz w:val="28"/>
          <w:sz w:val="28"/>
          <w:szCs w:val="28"/>
          <w:rtl w:val="true"/>
          <w:lang w:bidi="fa-IR"/>
        </w:rPr>
        <w:t>من جهة الإشکال فی ولایة حاکم آخر فی هذه المعاملة التی تصدّاها الحاکم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یمکن الردّ إلی الحاکم الأوّل یجوز ردّه إلیٰ حاکم آخر بلا إشکال، و هذا أیضاً کما مرّ فی المسألة السابقة فیما إذا لم یصرّح بکون المردود إلیه المشتری بخصوصه و بنفسه، و إلّا فلا یتعدّی منه إلیٰ غیره</w:t>
      </w:r>
      <w:r>
        <w:rPr>
          <w:rFonts w:eastAsia="IRNazanin" w:cs="IRNazanin"/>
          <w:color w:val="111111"/>
          <w:sz w:val="28"/>
          <w:szCs w:val="28"/>
          <w:rtl w:val="true"/>
          <w:lang w:bidi="fa-IR"/>
        </w:rPr>
        <w:t>.</w:t>
      </w:r>
    </w:p>
    <w:p>
      <w:pPr>
        <w:pStyle w:val="Heading6"/>
        <w:numPr>
          <w:ilvl w:val="5"/>
          <w:numId w:val="1"/>
        </w:numPr>
        <w:rPr/>
      </w:pPr>
      <w:bookmarkStart w:id="3798" w:name="__RefHeading___Toc2568442_3650668749"/>
      <w:bookmarkStart w:id="3799" w:name="_Toc1730"/>
      <w:bookmarkEnd w:id="3798"/>
      <w:r>
        <w:rPr>
          <w:rtl w:val="true"/>
        </w:rPr>
        <w:t>[ (</w:t>
      </w:r>
      <w:r>
        <w:rPr>
          <w:rtl w:val="true"/>
        </w:rPr>
        <w:t xml:space="preserve">مسألة </w:t>
      </w:r>
      <w:r>
        <w:rPr/>
        <w:t>12</w:t>
      </w:r>
      <w:r>
        <w:rPr>
          <w:rtl w:val="true"/>
        </w:rPr>
        <w:t xml:space="preserve">): </w:t>
      </w:r>
      <w:r>
        <w:rPr>
          <w:rtl w:val="true"/>
        </w:rPr>
        <w:t>إذا مات البائع ینتقل هذا الخیار کسائر الخیارات إلیٰ ورثته</w:t>
      </w:r>
      <w:r>
        <w:rPr>
          <w:rtl w:val="true"/>
        </w:rPr>
        <w:t>]</w:t>
      </w:r>
      <w:bookmarkEnd w:id="37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البائع ینتقل هذا الخیار کسائر الخیارات إلیٰ ورثته، فیردّون الثمن و یفسخون البیع فیرجع إلیهم المبیع علیٰ حسب قواعد الإرث، کما أنّ الثمن المردود أیضاً یوزّع علیهم بالحصص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مات المشتری فالظاهر جواز فسخ البائع بردّ الثمن إلیٰ 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جعل الشرط ردّ الثمن إلی المشتری بخصوصه و بنفسه و بمباشرته فالظاهر عدم قیام ورثته مقامه، فیسقط هذا الخیار بموته</w:t>
      </w:r>
      <w:r>
        <w:rPr>
          <w:rFonts w:eastAsia="IRNazanin" w:cs="IRNazanin"/>
          <w:color w:val="111111"/>
          <w:sz w:val="28"/>
          <w:szCs w:val="28"/>
          <w:rtl w:val="true"/>
          <w:lang w:bidi="fa-IR"/>
        </w:rPr>
        <w:t>.</w:t>
      </w:r>
    </w:p>
    <w:p>
      <w:pPr>
        <w:pStyle w:val="Heading6"/>
        <w:numPr>
          <w:ilvl w:val="5"/>
          <w:numId w:val="1"/>
        </w:numPr>
        <w:rPr/>
      </w:pPr>
      <w:bookmarkStart w:id="3800" w:name="__RefHeading___Toc2568444_3650668749"/>
      <w:bookmarkStart w:id="3801" w:name="_Toc1731"/>
      <w:bookmarkEnd w:id="3800"/>
      <w:r>
        <w:rPr>
          <w:rtl w:val="true"/>
        </w:rPr>
        <w:t>[ (</w:t>
      </w:r>
      <w:r>
        <w:rPr>
          <w:rtl w:val="true"/>
        </w:rPr>
        <w:t xml:space="preserve">مسألة </w:t>
      </w:r>
      <w:r>
        <w:rPr/>
        <w:t>13</w:t>
      </w:r>
      <w:r>
        <w:rPr>
          <w:rtl w:val="true"/>
        </w:rPr>
        <w:t xml:space="preserve">): </w:t>
      </w:r>
      <w:r>
        <w:rPr>
          <w:rtl w:val="true"/>
        </w:rPr>
        <w:t>کما یجوز للبائع اشتراط الخیار له بردّ الثمن کذا یجوز للمشتری اشتراط الفسخ له عند ردّ المثمن</w:t>
      </w:r>
      <w:r>
        <w:rPr>
          <w:rtl w:val="true"/>
        </w:rPr>
        <w:t>]</w:t>
      </w:r>
      <w:bookmarkEnd w:id="38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للبائع اشتراط الخیار له بردّ الثمن کذا یجوز للمشتری اشتراط الفسخ له عند ردّ المثمن، و الظاهر المنصرف إلیه الإطلاق فیه ردّ العین، فلا یتحقّق بردّ بدله و لو مع التلف، إلّا أن یصرّح بردّ ما یعمّ البدل عند تعذّر المبدل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أیضاً اشتراط الخیار لکلّ منهما بردّ ما انتقل إلیه</w:t>
      </w:r>
      <w:r>
        <w:rPr>
          <w:rFonts w:eastAsia="IRNazanin" w:cs="IRNazanin"/>
          <w:color w:val="111111"/>
          <w:sz w:val="28"/>
          <w:szCs w:val="28"/>
          <w:rtl w:val="true"/>
          <w:lang w:bidi="fa-IR"/>
        </w:rPr>
        <w:t>.</w:t>
      </w:r>
    </w:p>
    <w:p>
      <w:pPr>
        <w:pStyle w:val="Heading5"/>
        <w:numPr>
          <w:ilvl w:val="4"/>
          <w:numId w:val="1"/>
        </w:numPr>
        <w:rPr/>
      </w:pPr>
      <w:bookmarkStart w:id="3802" w:name="__RefHeading___Toc2568446_3650668749"/>
      <w:bookmarkStart w:id="3803" w:name="_Toc1732"/>
      <w:bookmarkEnd w:id="3802"/>
      <w:r>
        <w:rPr>
          <w:rtl w:val="true"/>
        </w:rPr>
        <w:t>[</w:t>
      </w:r>
      <w:r>
        <w:rPr>
          <w:rtl w:val="true"/>
        </w:rPr>
        <w:t>الرابع</w:t>
      </w:r>
      <w:r>
        <w:rPr>
          <w:rtl w:val="true"/>
        </w:rPr>
        <w:t xml:space="preserve">: </w:t>
      </w:r>
      <w:r>
        <w:rPr>
          <w:rtl w:val="true"/>
        </w:rPr>
        <w:t>خیار الغبن</w:t>
      </w:r>
      <w:r>
        <w:rPr>
          <w:rtl w:val="true"/>
        </w:rPr>
        <w:t>]</w:t>
      </w:r>
      <w:bookmarkEnd w:id="3803"/>
    </w:p>
    <w:p>
      <w:pPr>
        <w:pStyle w:val="Heading6"/>
        <w:numPr>
          <w:ilvl w:val="5"/>
          <w:numId w:val="1"/>
        </w:numPr>
        <w:rPr/>
      </w:pPr>
      <w:bookmarkStart w:id="3804" w:name="__RefHeading___Toc2568448_3650668749"/>
      <w:bookmarkStart w:id="3805" w:name="_Toc1733"/>
      <w:bookmarkEnd w:id="3804"/>
      <w:r>
        <w:rPr>
          <w:rtl w:val="true"/>
        </w:rPr>
        <w:t>اشارة</w:t>
      </w:r>
      <w:bookmarkEnd w:id="380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الغبن و هو فیما إذا باع بدون ثمن المثل أو اشتریٰ بأکثر منه مع الجهل بالقیمة، فللمغبون خیار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الزیادة أو النقیصة مع ملاحظة ما انضمّ إلیه من الشرط، فلو باع ما یسوی مائة دینار بأقلّ منه بکثیر مع اشتراط الخیار للبائع فلا غبن؛ لأنّ المبیع ببیع الخیار ینقص ثمنه عن المبیع بالبیع اللازم و هکذا غیره من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فیه أن یکون التفاوت بما لا یتسامح الناس فیه فی مثل هذه المعاملة، فلو باع ما یسوی مائة</w:t>
      </w:r>
      <w:bookmarkStart w:id="3806" w:name="pg1809_19353"/>
    </w:p>
    <w:p>
      <w:pPr>
        <w:pStyle w:val="BookText"/>
        <w:rPr/>
      </w:pPr>
      <w:bookmarkEnd w:id="3806"/>
      <w:r>
        <w:rPr>
          <w:rFonts w:ascii="IRNazanin" w:hAnsi="IRNazanin" w:eastAsia="IRNazanin"/>
          <w:color w:val="111111"/>
          <w:sz w:val="28"/>
          <w:sz w:val="28"/>
          <w:szCs w:val="28"/>
          <w:rtl w:val="true"/>
          <w:lang w:bidi="fa-IR"/>
        </w:rPr>
        <w:t xml:space="preserve">بخمسة و تسعین </w:t>
      </w:r>
      <w:r>
        <w:rPr>
          <w:rStyle w:val="FootnoteAnchor"/>
          <w:rtl w:val="true"/>
        </w:rPr>
        <w:footnoteReference w:id="1086"/>
      </w:r>
      <w:r>
        <w:rPr>
          <w:rFonts w:ascii="IRNazanin" w:hAnsi="IRNazanin" w:eastAsia="IRNazanin"/>
          <w:color w:val="111111"/>
          <w:sz w:val="28"/>
          <w:sz w:val="28"/>
          <w:szCs w:val="28"/>
          <w:rtl w:val="true"/>
          <w:lang w:bidi="fa-IR"/>
        </w:rPr>
        <w:t>لم یکن مغبوناً؛ لأنّه لا ینظر فی مقام التکسّب و المعاملة إلیٰ هذا المقدار من التفاوت؛ إذ الخمسة یسیرة بالنسبة إلی المائة و إن کانت کثیرة فی نفسها،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التفاوت بنصف العشر لا ینظر إلیه و یتسامح فیه، بل لا یبعد دعوی التسامح فی العشر أیضاً</w:t>
      </w:r>
      <w:r>
        <w:rPr>
          <w:rFonts w:eastAsia="IRNazanin" w:cs="IRNazanin"/>
          <w:color w:val="111111"/>
          <w:sz w:val="28"/>
          <w:szCs w:val="28"/>
          <w:rtl w:val="true"/>
          <w:lang w:bidi="fa-IR"/>
        </w:rPr>
        <w:t>.</w:t>
      </w:r>
    </w:p>
    <w:p>
      <w:pPr>
        <w:pStyle w:val="Heading6"/>
        <w:numPr>
          <w:ilvl w:val="5"/>
          <w:numId w:val="1"/>
        </w:numPr>
        <w:rPr/>
      </w:pPr>
      <w:bookmarkStart w:id="3807" w:name="__RefHeading___Toc2568450_3650668749"/>
      <w:bookmarkStart w:id="3808" w:name="_Toc1734"/>
      <w:bookmarkEnd w:id="3807"/>
      <w:r>
        <w:rPr>
          <w:rtl w:val="true"/>
        </w:rPr>
        <w:t>[ (</w:t>
      </w:r>
      <w:r>
        <w:rPr>
          <w:rtl w:val="true"/>
        </w:rPr>
        <w:t xml:space="preserve">مسألة </w:t>
      </w:r>
      <w:r>
        <w:rPr/>
        <w:t>14</w:t>
      </w:r>
      <w:r>
        <w:rPr>
          <w:rtl w:val="true"/>
        </w:rPr>
        <w:t xml:space="preserve">): </w:t>
      </w:r>
      <w:r>
        <w:rPr>
          <w:rtl w:val="true"/>
        </w:rPr>
        <w:t>لیس للمغبون مطالبة الغابن بتفاوت القیمة</w:t>
      </w:r>
      <w:r>
        <w:rPr>
          <w:rtl w:val="true"/>
        </w:rPr>
        <w:t>]</w:t>
      </w:r>
      <w:bookmarkEnd w:id="38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للمغبون مطالبة الغابن بتفاوت القیمة، بل له الخیار بین أن یفسخ المبیع من أصله أو یلتزم و یرضی به بالثمن المسمّی، کما أنّه لا یسقط خیاره ببذل الطرف المقابل التفاوت، نعم مع تراضی الطرفین لا بأس به</w:t>
      </w:r>
      <w:r>
        <w:rPr>
          <w:rFonts w:eastAsia="IRNazanin" w:cs="IRNazanin"/>
          <w:color w:val="111111"/>
          <w:sz w:val="28"/>
          <w:szCs w:val="28"/>
          <w:rtl w:val="true"/>
          <w:lang w:bidi="fa-IR"/>
        </w:rPr>
        <w:t>.</w:t>
      </w:r>
    </w:p>
    <w:p>
      <w:pPr>
        <w:pStyle w:val="Heading6"/>
        <w:numPr>
          <w:ilvl w:val="5"/>
          <w:numId w:val="1"/>
        </w:numPr>
        <w:rPr/>
      </w:pPr>
      <w:bookmarkStart w:id="3809" w:name="__RefHeading___Toc2568452_3650668749"/>
      <w:bookmarkStart w:id="3810" w:name="_Toc1735"/>
      <w:bookmarkEnd w:id="3809"/>
      <w:r>
        <w:rPr>
          <w:rtl w:val="true"/>
        </w:rPr>
        <w:t>[ (</w:t>
      </w:r>
      <w:r>
        <w:rPr>
          <w:rtl w:val="true"/>
        </w:rPr>
        <w:t xml:space="preserve">مسألة </w:t>
      </w:r>
      <w:r>
        <w:rPr/>
        <w:t>15</w:t>
      </w:r>
      <w:r>
        <w:rPr>
          <w:rtl w:val="true"/>
        </w:rPr>
        <w:t xml:space="preserve">): </w:t>
      </w:r>
      <w:r>
        <w:rPr>
          <w:rtl w:val="true"/>
        </w:rPr>
        <w:t>الخیار ثابت للمغبون من حین العقد</w:t>
      </w:r>
      <w:r>
        <w:rPr>
          <w:rtl w:val="true"/>
        </w:rPr>
        <w:t>]</w:t>
      </w:r>
      <w:bookmarkEnd w:id="38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ثابت للمغبون من حین العقد لا أنّه یحدث من حین اطّلاعه علی الغبن، فلو فسخ قبل ذلک و صادف الغبن واقعاً أثّر الفسخ أثره من جهة أنّه وقع فی موقعه</w:t>
      </w:r>
      <w:r>
        <w:rPr>
          <w:rFonts w:eastAsia="IRNazanin" w:cs="IRNazanin"/>
          <w:color w:val="111111"/>
          <w:sz w:val="28"/>
          <w:szCs w:val="28"/>
          <w:rtl w:val="true"/>
          <w:lang w:bidi="fa-IR"/>
        </w:rPr>
        <w:t>.</w:t>
      </w:r>
    </w:p>
    <w:p>
      <w:pPr>
        <w:pStyle w:val="Heading6"/>
        <w:numPr>
          <w:ilvl w:val="5"/>
          <w:numId w:val="1"/>
        </w:numPr>
        <w:rPr/>
      </w:pPr>
      <w:bookmarkStart w:id="3811" w:name="__RefHeading___Toc2568454_3650668749"/>
      <w:bookmarkStart w:id="3812" w:name="_Toc1736"/>
      <w:bookmarkEnd w:id="3811"/>
      <w:r>
        <w:rPr>
          <w:rtl w:val="true"/>
        </w:rPr>
        <w:t>[ (</w:t>
      </w:r>
      <w:r>
        <w:rPr>
          <w:rtl w:val="true"/>
        </w:rPr>
        <w:t xml:space="preserve">مسألة </w:t>
      </w:r>
      <w:r>
        <w:rPr/>
        <w:t>16</w:t>
      </w:r>
      <w:r>
        <w:rPr>
          <w:rtl w:val="true"/>
        </w:rPr>
        <w:t xml:space="preserve">): </w:t>
      </w:r>
      <w:r>
        <w:rPr>
          <w:rtl w:val="true"/>
        </w:rPr>
        <w:t>إذا اطّلع علی الغبن و لم یبادر بالفسخ فإن کان لأجل جهله بحکم الخیار فلا إشکال فی بقاء خیاره</w:t>
      </w:r>
      <w:r>
        <w:rPr>
          <w:rtl w:val="true"/>
        </w:rPr>
        <w:t>]</w:t>
      </w:r>
      <w:bookmarkEnd w:id="38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اطّلع علی الغبن و لم یبادر بالفسخ فإن کان لأجل جهله بحکم الخیار فلا إشکال فی بقاء خیاره، و إن کان عالماً به فإن کان بانیاً علی الفسخ غیر راضٍ بهذا البیع بهذا الثمن إلّا أنّه أخّر إنشاء الفسخ لغرض من الأغراض فالظاهر بقاء خیاره، نعم لیس له التوانی فیه بحیث یؤدّی إلیٰ ضرر و تعطیل أمر علی الغابن، و إن لم یکن بانیاً علی الفسخ و لم یکن بصدد فسخه إلّا أنّه بدا له بعد ذلک أن یفسخه فالظاهر سقوط خیاره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13" w:name="__RefHeading___Toc2568456_3650668749"/>
      <w:bookmarkStart w:id="3814" w:name="_Toc1737"/>
      <w:bookmarkEnd w:id="3813"/>
      <w:r>
        <w:rPr>
          <w:rtl w:val="true"/>
        </w:rPr>
        <w:t>[ (</w:t>
      </w:r>
      <w:r>
        <w:rPr>
          <w:rtl w:val="true"/>
        </w:rPr>
        <w:t xml:space="preserve">مسألة </w:t>
      </w:r>
      <w:r>
        <w:rPr/>
        <w:t>17</w:t>
      </w:r>
      <w:r>
        <w:rPr>
          <w:rtl w:val="true"/>
        </w:rPr>
        <w:t xml:space="preserve">): </w:t>
      </w:r>
      <w:r>
        <w:rPr>
          <w:rtl w:val="true"/>
        </w:rPr>
        <w:t>المدار فی الغبن علی القیمة حال العقد</w:t>
      </w:r>
      <w:r>
        <w:rPr>
          <w:rtl w:val="true"/>
        </w:rPr>
        <w:t>]</w:t>
      </w:r>
      <w:bookmarkEnd w:id="38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فی الغبن علی القیمة حال العقد، فلو زادت بعده و لو قبل اطّلاع المغبون علی النقصان حین العقد لم ینفع فی سقوط الخیار، کما أنّه لو نقص بعده أو زاد لم یؤثّر فی ثبوته</w:t>
      </w:r>
      <w:r>
        <w:rPr>
          <w:rFonts w:eastAsia="IRNazanin" w:cs="IRNazanin"/>
          <w:color w:val="111111"/>
          <w:sz w:val="28"/>
          <w:szCs w:val="28"/>
          <w:rtl w:val="true"/>
          <w:lang w:bidi="fa-IR"/>
        </w:rPr>
        <w:t>.</w:t>
      </w:r>
    </w:p>
    <w:p>
      <w:pPr>
        <w:pStyle w:val="Heading6"/>
        <w:numPr>
          <w:ilvl w:val="5"/>
          <w:numId w:val="1"/>
        </w:numPr>
        <w:rPr/>
      </w:pPr>
      <w:bookmarkStart w:id="3815" w:name="__RefHeading___Toc2568458_3650668749"/>
      <w:bookmarkStart w:id="3816" w:name="_Toc1738"/>
      <w:bookmarkEnd w:id="3815"/>
      <w:r>
        <w:rPr>
          <w:rtl w:val="true"/>
        </w:rPr>
        <w:t>[ (</w:t>
      </w:r>
      <w:r>
        <w:rPr>
          <w:rtl w:val="true"/>
        </w:rPr>
        <w:t xml:space="preserve">مسألة </w:t>
      </w:r>
      <w:r>
        <w:rPr/>
        <w:t>18</w:t>
      </w:r>
      <w:r>
        <w:rPr>
          <w:rtl w:val="true"/>
        </w:rPr>
        <w:t xml:space="preserve">): </w:t>
      </w:r>
      <w:r>
        <w:rPr>
          <w:rtl w:val="true"/>
        </w:rPr>
        <w:t>یسقط هذا الخیار بأُمور</w:t>
      </w:r>
      <w:r>
        <w:rPr>
          <w:rtl w:val="true"/>
        </w:rPr>
        <w:t>]</w:t>
      </w:r>
      <w:bookmarkEnd w:id="3816"/>
    </w:p>
    <w:p>
      <w:pPr>
        <w:pStyle w:val="Heading6"/>
        <w:numPr>
          <w:ilvl w:val="5"/>
          <w:numId w:val="1"/>
        </w:numPr>
        <w:rPr/>
      </w:pPr>
      <w:bookmarkStart w:id="3817" w:name="__RefHeading___Toc2568460_3650668749"/>
      <w:bookmarkStart w:id="3818" w:name="_Toc1739"/>
      <w:bookmarkEnd w:id="3817"/>
      <w:r>
        <w:rPr>
          <w:rtl w:val="true"/>
        </w:rPr>
        <w:t>اشارة</w:t>
      </w:r>
      <w:bookmarkEnd w:id="38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هذا الخیار بأُمور</w:t>
      </w:r>
      <w:r>
        <w:rPr>
          <w:rFonts w:eastAsia="IRNazanin" w:cs="IRNazanin"/>
          <w:color w:val="111111"/>
          <w:sz w:val="28"/>
          <w:szCs w:val="28"/>
          <w:rtl w:val="true"/>
          <w:lang w:bidi="fa-IR"/>
        </w:rPr>
        <w:t>:</w:t>
      </w:r>
    </w:p>
    <w:p>
      <w:pPr>
        <w:pStyle w:val="Heading6"/>
        <w:numPr>
          <w:ilvl w:val="5"/>
          <w:numId w:val="1"/>
        </w:numPr>
        <w:rPr/>
      </w:pPr>
      <w:bookmarkStart w:id="3819" w:name="__RefHeading___Toc2568462_3650668749"/>
      <w:bookmarkStart w:id="3820" w:name="_Toc1740"/>
      <w:bookmarkEnd w:id="3819"/>
      <w:r>
        <w:rPr>
          <w:rtl w:val="true"/>
        </w:rPr>
        <w:t>[</w:t>
      </w:r>
      <w:r>
        <w:rPr>
          <w:rtl w:val="true"/>
        </w:rPr>
        <w:t>أحدها</w:t>
      </w:r>
      <w:r>
        <w:rPr>
          <w:rtl w:val="true"/>
        </w:rPr>
        <w:t xml:space="preserve">: </w:t>
      </w:r>
      <w:r>
        <w:rPr>
          <w:rtl w:val="true"/>
        </w:rPr>
        <w:t>اشتراط سقوطه و عدمه فی ضمن العقد</w:t>
      </w:r>
      <w:r>
        <w:rPr>
          <w:rtl w:val="true"/>
        </w:rPr>
        <w:t>]</w:t>
      </w:r>
      <w:bookmarkEnd w:id="382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سقوطه و عدمه فی ضمن العقد، و یقتصر فی السقوط علیٰ مرتبة من الغبن کانت مقصودة عند الاشتراط و شملته العبارة، فلو کان المشروط سقوط مرتبة خاصّة من الغبن کالعشر فتبیّن کونه الخمس لم یسقط الخیار، بل لو اشترط سقوطه و إن</w:t>
      </w:r>
      <w:bookmarkStart w:id="3821" w:name="pg1809_19354"/>
    </w:p>
    <w:p>
      <w:pPr>
        <w:pStyle w:val="BookText"/>
        <w:rPr/>
      </w:pPr>
      <w:bookmarkEnd w:id="3821"/>
      <w:r>
        <w:rPr>
          <w:rFonts w:ascii="IRNazanin" w:hAnsi="IRNazanin" w:eastAsia="IRNazanin"/>
          <w:color w:val="111111"/>
          <w:sz w:val="28"/>
          <w:sz w:val="28"/>
          <w:szCs w:val="28"/>
          <w:rtl w:val="true"/>
          <w:lang w:bidi="fa-IR"/>
        </w:rPr>
        <w:t>کان فاحشاً أو أفحش لا یسقط إلّا ما کان کذلک بالنسبة إلیٰ ما یحتمل فی مثل هذه المعاملة لا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أنّ ما اشتریٰ بمائة لا یحتمل فیه أن لا یسوی عشرة أو عشرین و أنّ المحتمل فیها من الفاحش إلیٰ خمسین، و الأفحش إلیٰ ثلاثین و شرطا سقوط الغبن فاحشاً کان أو أفحش لم یسقط الخیار إذا کان یسوی عشراً أو عشرین</w:t>
      </w:r>
      <w:r>
        <w:rPr>
          <w:rFonts w:eastAsia="IRNazanin" w:cs="IRNazanin"/>
          <w:color w:val="111111"/>
          <w:sz w:val="28"/>
          <w:szCs w:val="28"/>
          <w:rtl w:val="true"/>
          <w:lang w:bidi="fa-IR"/>
        </w:rPr>
        <w:t>.</w:t>
      </w:r>
    </w:p>
    <w:p>
      <w:pPr>
        <w:pStyle w:val="Heading6"/>
        <w:numPr>
          <w:ilvl w:val="5"/>
          <w:numId w:val="1"/>
        </w:numPr>
        <w:rPr/>
      </w:pPr>
      <w:bookmarkStart w:id="3822" w:name="__RefHeading___Toc2568464_3650668749"/>
      <w:bookmarkStart w:id="3823" w:name="_Toc1741"/>
      <w:bookmarkEnd w:id="3822"/>
      <w:r>
        <w:rPr>
          <w:rtl w:val="true"/>
        </w:rPr>
        <w:t>[</w:t>
      </w:r>
      <w:r>
        <w:rPr>
          <w:rtl w:val="true"/>
        </w:rPr>
        <w:t>الثانی</w:t>
      </w:r>
      <w:r>
        <w:rPr>
          <w:rtl w:val="true"/>
        </w:rPr>
        <w:t xml:space="preserve">: </w:t>
      </w:r>
      <w:r>
        <w:rPr>
          <w:rtl w:val="true"/>
        </w:rPr>
        <w:t>إسقاطه بعد العقد و لو قبل ظهور الغبن إذا أسقطه علیٰ تقدیر ثبوته</w:t>
      </w:r>
      <w:r>
        <w:rPr>
          <w:rtl w:val="true"/>
        </w:rPr>
        <w:t>]</w:t>
      </w:r>
      <w:bookmarkEnd w:id="382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إسقاطه بعد العقد و لو قبل ظهور الغبن إذا أسقطه علیٰ تقدیر ثبوته، و هذا أیضاً کسابقه یقتصر علیٰ مرتبة من الغبن کانت مقصودة عند الإسقاط، فلو أسقط مرتبة خاصّة منه کالعشر فتبیّن کونه أزید لم یسقط </w:t>
      </w:r>
      <w:r>
        <w:rPr>
          <w:rStyle w:val="FootnoteAnchor"/>
          <w:rtl w:val="true"/>
        </w:rPr>
        <w:footnoteReference w:id="1088"/>
      </w:r>
      <w:r>
        <w:rPr>
          <w:rFonts w:ascii="IRNazanin" w:hAnsi="IRNazanin" w:eastAsia="IRNazanin"/>
          <w:color w:val="111111"/>
          <w:sz w:val="28"/>
          <w:sz w:val="28"/>
          <w:szCs w:val="28"/>
          <w:rtl w:val="true"/>
          <w:lang w:bidi="fa-IR"/>
        </w:rPr>
        <w:t>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یجوز إسقاطه بعد العقد مجّاناً یجوز المصالحة عنه بالعوض، فمع العلم بمرتبة الغبن لا إشکال و مع الجهل بها فالظاهر جواز المصالحة عنه مع التصریح بعموم المراتب؛ بأن یصالح عن خیار الغبن الموجود فی هذه المعاملة بأیّ مرتبة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عیّن مرتبة و صالح عن خیاره فتبیّن کونه أزید فالظاهر بطلان المصالحة</w:t>
      </w:r>
      <w:r>
        <w:rPr>
          <w:rFonts w:eastAsia="IRNazanin" w:cs="IRNazanin"/>
          <w:color w:val="111111"/>
          <w:sz w:val="28"/>
          <w:szCs w:val="28"/>
          <w:rtl w:val="true"/>
          <w:lang w:bidi="fa-IR"/>
        </w:rPr>
        <w:t>.</w:t>
      </w:r>
    </w:p>
    <w:p>
      <w:pPr>
        <w:pStyle w:val="Heading6"/>
        <w:numPr>
          <w:ilvl w:val="5"/>
          <w:numId w:val="1"/>
        </w:numPr>
        <w:rPr/>
      </w:pPr>
      <w:bookmarkStart w:id="3824" w:name="__RefHeading___Toc2568466_3650668749"/>
      <w:bookmarkStart w:id="3825" w:name="_Toc1742"/>
      <w:bookmarkEnd w:id="3824"/>
      <w:r>
        <w:rPr>
          <w:rtl w:val="true"/>
        </w:rPr>
        <w:t>[</w:t>
      </w:r>
      <w:r>
        <w:rPr>
          <w:rtl w:val="true"/>
        </w:rPr>
        <w:t>الثالث</w:t>
      </w:r>
      <w:r>
        <w:rPr>
          <w:rtl w:val="true"/>
        </w:rPr>
        <w:t xml:space="preserve">: </w:t>
      </w:r>
      <w:r>
        <w:rPr>
          <w:rtl w:val="true"/>
        </w:rPr>
        <w:t>تصرّف المغبون بعد العلم بالغبن فیما انتقل إلیه</w:t>
      </w:r>
      <w:r>
        <w:rPr>
          <w:rtl w:val="true"/>
        </w:rPr>
        <w:t>]</w:t>
      </w:r>
      <w:bookmarkEnd w:id="382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المغبون بعد العلم بالغبن فیما انتقل إلیه بما یکشف </w:t>
      </w:r>
      <w:r>
        <w:rPr>
          <w:rStyle w:val="FootnoteAnchor"/>
          <w:rtl w:val="true"/>
        </w:rPr>
        <w:footnoteReference w:id="1089"/>
      </w:r>
      <w:r>
        <w:rPr>
          <w:rFonts w:ascii="IRNazanin" w:hAnsi="IRNazanin" w:eastAsia="IRNazanin"/>
          <w:color w:val="111111"/>
          <w:sz w:val="28"/>
          <w:sz w:val="28"/>
          <w:szCs w:val="28"/>
          <w:rtl w:val="true"/>
          <w:lang w:bidi="fa-IR"/>
        </w:rPr>
        <w:t>عن رضاه بالبیع؛ بأن تصرّف البائع المغبون فی الثمن أو المشتری المغبون فی المثمن، فإنّه یسقط بذلک خیاره، خصوصاً الثانی و خصوصاً إذا کان تصرّفه بالإتلاف أو بما یمنع الردّ کالاستیلاد أو بإخراجه عن ملکه کالعتق أو بنقل لازم کالبیع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تصرّفه قبل ظهور الغبن فلا یسقط الخیار کتصرّف الغابن فیما انتقل إلیه مطلقاً</w:t>
      </w:r>
      <w:r>
        <w:rPr>
          <w:rFonts w:eastAsia="IRNazanin" w:cs="IRNazanin"/>
          <w:color w:val="111111"/>
          <w:sz w:val="28"/>
          <w:szCs w:val="28"/>
          <w:rtl w:val="true"/>
          <w:lang w:bidi="fa-IR"/>
        </w:rPr>
        <w:t>.</w:t>
      </w:r>
      <w:bookmarkStart w:id="3826" w:name="pg1809_19355"/>
    </w:p>
    <w:p>
      <w:pPr>
        <w:pStyle w:val="Heading6"/>
        <w:numPr>
          <w:ilvl w:val="5"/>
          <w:numId w:val="1"/>
        </w:numPr>
        <w:rPr/>
      </w:pPr>
      <w:bookmarkStart w:id="3827" w:name="__RefHeading___Toc2568468_3650668749"/>
      <w:bookmarkStart w:id="3828" w:name="_Toc1743"/>
      <w:bookmarkEnd w:id="3826"/>
      <w:bookmarkEnd w:id="3827"/>
      <w:r>
        <w:rPr>
          <w:rtl w:val="true"/>
        </w:rPr>
        <w:t>[ (</w:t>
      </w:r>
      <w:r>
        <w:rPr>
          <w:rtl w:val="true"/>
        </w:rPr>
        <w:t xml:space="preserve">مسألة </w:t>
      </w:r>
      <w:r>
        <w:rPr/>
        <w:t>19</w:t>
      </w:r>
      <w:r>
        <w:rPr>
          <w:rtl w:val="true"/>
        </w:rPr>
        <w:t xml:space="preserve">): </w:t>
      </w:r>
      <w:r>
        <w:rPr>
          <w:rtl w:val="true"/>
        </w:rPr>
        <w:t>إذا اطّلع البائع المغبون علی الغبن و فسخ البیع</w:t>
      </w:r>
      <w:r>
        <w:rPr>
          <w:rtl w:val="true"/>
        </w:rPr>
        <w:t>]</w:t>
      </w:r>
      <w:bookmarkEnd w:id="38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اطّلع البائع المغبون علی الغبن و فسخ البیع فإن کان المبیع موجوداً عند المشتری باقیاً علیٰ حاله استردّه منه، و إذا رآه تالفاً أو متلفاً رجع إلیه بالمثل أو القیمة، و إن حدث به عیب عنده سواء کان بفعله أو بآفة سماویّة أخذه مع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أخرجه عن ملکه بالعتق أو الوقف أو نقله إلی الغیر بعقد لازم کالبیع فالظاهر أنّه بحکم التلف فیرجع إلیه بالمثل أو القیمة، و إن کان بنقل غیر لازم کالبیع بخیار و الهبة فالظاهر أنّ له إلزام المشتری </w:t>
      </w:r>
      <w:r>
        <w:rPr>
          <w:rStyle w:val="FootnoteAnchor"/>
          <w:rtl w:val="true"/>
        </w:rPr>
        <w:footnoteReference w:id="1090"/>
      </w:r>
      <w:r>
        <w:rPr>
          <w:rFonts w:ascii="IRNazanin" w:hAnsi="IRNazanin" w:eastAsia="IRNazanin"/>
          <w:color w:val="111111"/>
          <w:sz w:val="28"/>
          <w:sz w:val="28"/>
          <w:szCs w:val="28"/>
          <w:rtl w:val="true"/>
          <w:lang w:bidi="fa-IR"/>
        </w:rPr>
        <w:t>بالفسخ و الرجوع و تسلیم العین إذا أمکن، بل فی النقل اللازم أیضاً لو رجعت العین إلی المشتری بإقالة أو عقد جدید قبل رجوع البائع إلیه بالبدل لا یبعد أن یکون له إلزامه بردّ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نقل منفعتها إلی الغیر بعقد لازم کالإجارة لم یمنع ذلک عن الفسخ، کما أنّه بعد الفسخ تبقی الإجارة علیٰ حالها و ترجع العین إلی الفاسخ مسلوب المنفعة، و له سائر المنافع غیر ما ملکه المستأجر 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جواز رجوعه إلی المشتری بأُجرة المثل بالنسبة إلیٰ بقیّة المدّة وجه قویّ، کما یحتمل وجه آخر؛ و هو أن یرجع إلیه بالنقص الطارئ علی العین من جهة کونها مسلوبة المنفعة فی تلک المدّة، فتقوّم بوصف کونها ذات منفعة فی تلک المدّة مرّة و مسلوبة المنفعة فیها أُخری، فیأخذ مع العین التفاوت بین القیمتین، و الظاهر أنّه لا تفاوت غالباً بین الوجهین</w:t>
      </w:r>
      <w:r>
        <w:rPr>
          <w:rFonts w:eastAsia="IRNazanin" w:cs="IRNazanin"/>
          <w:color w:val="111111"/>
          <w:sz w:val="28"/>
          <w:szCs w:val="28"/>
          <w:rtl w:val="true"/>
          <w:lang w:bidi="fa-IR"/>
        </w:rPr>
        <w:t>.</w:t>
      </w:r>
    </w:p>
    <w:p>
      <w:pPr>
        <w:pStyle w:val="Heading6"/>
        <w:numPr>
          <w:ilvl w:val="5"/>
          <w:numId w:val="1"/>
        </w:numPr>
        <w:rPr/>
      </w:pPr>
      <w:bookmarkStart w:id="3829" w:name="__RefHeading___Toc2568470_3650668749"/>
      <w:bookmarkStart w:id="3830" w:name="_Toc1744"/>
      <w:bookmarkEnd w:id="3829"/>
      <w:r>
        <w:rPr>
          <w:rtl w:val="true"/>
        </w:rPr>
        <w:t>[ (</w:t>
      </w:r>
      <w:r>
        <w:rPr>
          <w:rtl w:val="true"/>
        </w:rPr>
        <w:t xml:space="preserve">مسألة </w:t>
      </w:r>
      <w:r>
        <w:rPr/>
        <w:t>20</w:t>
      </w:r>
      <w:r>
        <w:rPr>
          <w:rtl w:val="true"/>
        </w:rPr>
        <w:t xml:space="preserve">): </w:t>
      </w:r>
      <w:r>
        <w:rPr>
          <w:rtl w:val="true"/>
        </w:rPr>
        <w:t>بعد ما فسخ البائع المغبون لو کان المبیع موجوداً عند المشتری لکن تصرّف فیه تصرّفاً مغیّراً له</w:t>
      </w:r>
      <w:r>
        <w:rPr>
          <w:rtl w:val="true"/>
        </w:rPr>
        <w:t>]</w:t>
      </w:r>
      <w:bookmarkEnd w:id="38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فسخ البائع المغبون لو کان المبیع موجوداً عند المشتری لکن تصرّف فیه تصرّفاً مغیّراً له فأمّا بالنقیصة أو بالزیادة أو بالامتزاج، أمّا لو کان بالنقیصة أخذه و رجع إلیه بالأرش کما مرّ، و أمّا لو کان بالزیادة فإمّا أن تکون صفة محضة کطحن الحنطة و قصارة الثوب و صیاغة الفضّة أو صفة مشوبة بالعین کالصبغ </w:t>
      </w:r>
      <w:r>
        <w:rPr>
          <w:rStyle w:val="FootnoteAnchor"/>
          <w:rtl w:val="true"/>
        </w:rPr>
        <w:footnoteReference w:id="1091"/>
      </w:r>
      <w:r>
        <w:rPr>
          <w:rFonts w:ascii="IRNazanin" w:hAnsi="IRNazanin" w:eastAsia="IRNazanin"/>
          <w:color w:val="111111"/>
          <w:sz w:val="28"/>
          <w:sz w:val="28"/>
          <w:szCs w:val="28"/>
          <w:rtl w:val="true"/>
          <w:lang w:bidi="fa-IR"/>
        </w:rPr>
        <w:t>أو عیناً محضاً کالغرس و الزرع و البناء</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للزیادة مدخل فی زیادة القیمة یرجع إلی العین، و لا شی‌ء علیه، کما أنّه لا شی‌ء علی المشتری، و أمّا لو کان لها مدخل فی زیادة القیمة یرجع إلی العین، و فی کون زیادة القیمة للمشتری لأجل الصفة فیأخذ البائع العین و یدفع زیادة القیمة، أو کونه شریکاً معه فی القیمة فیباع و یقسّم الثمن بینهما بالنسبة، أو شریکاً معه فی العین</w:t>
      </w:r>
      <w:bookmarkStart w:id="3831" w:name="pg1809_19356"/>
    </w:p>
    <w:p>
      <w:pPr>
        <w:pStyle w:val="BookText"/>
        <w:rPr/>
      </w:pPr>
      <w:bookmarkEnd w:id="3831"/>
      <w:r>
        <w:rPr>
          <w:rFonts w:ascii="IRNazanin" w:hAnsi="IRNazanin" w:eastAsia="IRNazanin"/>
          <w:color w:val="111111"/>
          <w:sz w:val="28"/>
          <w:sz w:val="28"/>
          <w:szCs w:val="28"/>
          <w:rtl w:val="true"/>
          <w:lang w:bidi="fa-IR"/>
        </w:rPr>
        <w:t xml:space="preserve">بنسبة تلک الزیادة، أو کون العین للبائع و للمشتری اجرة عمله، أو لیس له شی‌ء أصلًا، وجوه </w:t>
      </w:r>
      <w:r>
        <w:rPr>
          <w:rStyle w:val="FootnoteAnchor"/>
          <w:rtl w:val="true"/>
        </w:rPr>
        <w:footnoteReference w:id="1092"/>
      </w:r>
      <w:r>
        <w:rPr>
          <w:rFonts w:ascii="IRNazanin" w:hAnsi="IRNazanin" w:eastAsia="IRNazanin"/>
          <w:color w:val="111111"/>
          <w:sz w:val="28"/>
          <w:sz w:val="28"/>
          <w:szCs w:val="28"/>
          <w:rtl w:val="true"/>
          <w:lang w:bidi="fa-IR"/>
        </w:rPr>
        <w:t>أقواها أوّلها، ثمّ ثانیها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کالأوّل فتجی‌ء فیها الوجوه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البائع إلی المبیع و یکون الغرس و الزرع و البناء للمشتری، و لیس للبائع إلزامه بالقلع و الهدم و لو بالأرش، و لا إلزامه بالإبقاء و لو مجّاناً، کما أنّه لیس للمشتری حقّ الإبقاء مجّاناً و بلا 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المشتری إمّا إبقاؤها بالأُجرة و إمّا قلعها مع طمّ الحفر و تدارک النقص الوارد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للبائع إلزامه بأحد الأمرین لا خصوص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اختار المشتری من الأمرین لیس للبائع الفاسخ منعه، نعم لو أمکن غرس المقلوع بحیث لم یحدث فیه شی‌ء إلّا تبدّل المکان فللبائع أن یلزمه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لا فرق فی ذلک بین الزرع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بالامتزاج، فإن کان بغیر جنسه بحیث لا یتمیّز فکالمعدوم یرجع بالمثل أو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الفرق بین ما کان مستهلکاً و عدّ تالفاً کما إذا خلط ماء الورد بالزیت فیرجع إلی البدل و بین ما لم یکن کذلک کمزج الخلّ بالأنجبین فیثبت الشرکة فی القیمة أو فی العین بنسبة القیمة، و المسألة محلّ إشکال </w:t>
      </w:r>
      <w:r>
        <w:rPr>
          <w:rStyle w:val="FootnoteAnchor"/>
          <w:rtl w:val="true"/>
        </w:rPr>
        <w:footnoteReference w:id="1093"/>
      </w:r>
      <w:r>
        <w:rPr>
          <w:rFonts w:ascii="IRNazanin" w:hAnsi="IRNazanin" w:eastAsia="IRNazanin"/>
          <w:color w:val="111111"/>
          <w:sz w:val="28"/>
          <w:sz w:val="28"/>
          <w:szCs w:val="28"/>
          <w:rtl w:val="true"/>
          <w:lang w:bidi="fa-IR"/>
        </w:rPr>
        <w:t>فلا یترک الاحتیاط بالتصالح و 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الامتزاج بالجنس، فالظاهر ثبوت الشرکة بحسب الکمّیة و إن کان بالأردإ أو الأجود مع أخذ الأرش فی الأوّل و إعطاء زیادة القیمة فی الثانی، لکنّ الأحوط التصالح خصوصاً فی الثانی</w:t>
      </w:r>
      <w:r>
        <w:rPr>
          <w:rFonts w:eastAsia="IRNazanin" w:cs="IRNazanin"/>
          <w:color w:val="111111"/>
          <w:sz w:val="28"/>
          <w:szCs w:val="28"/>
          <w:rtl w:val="true"/>
          <w:lang w:bidi="fa-IR"/>
        </w:rPr>
        <w:t>.</w:t>
      </w:r>
    </w:p>
    <w:p>
      <w:pPr>
        <w:pStyle w:val="Heading6"/>
        <w:numPr>
          <w:ilvl w:val="5"/>
          <w:numId w:val="1"/>
        </w:numPr>
        <w:rPr/>
      </w:pPr>
      <w:bookmarkStart w:id="3832" w:name="__RefHeading___Toc2568472_3650668749"/>
      <w:bookmarkStart w:id="3833" w:name="_Toc1745"/>
      <w:bookmarkEnd w:id="3832"/>
      <w:r>
        <w:rPr>
          <w:rtl w:val="true"/>
        </w:rPr>
        <w:t>[ (</w:t>
      </w:r>
      <w:r>
        <w:rPr>
          <w:rtl w:val="true"/>
        </w:rPr>
        <w:t xml:space="preserve">مسألة </w:t>
      </w:r>
      <w:r>
        <w:rPr/>
        <w:t>21</w:t>
      </w:r>
      <w:r>
        <w:rPr>
          <w:rtl w:val="true"/>
        </w:rPr>
        <w:t xml:space="preserve">): </w:t>
      </w:r>
      <w:r>
        <w:rPr>
          <w:rtl w:val="true"/>
        </w:rPr>
        <w:t>إذا باع أو اشتریٰ شیئین صفقة واحدة و کان مغبوناً فی أحدهما دون الآخر</w:t>
      </w:r>
      <w:r>
        <w:rPr>
          <w:rtl w:val="true"/>
        </w:rPr>
        <w:t>]</w:t>
      </w:r>
      <w:bookmarkEnd w:id="38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أو اشتریٰ شیئین صفقة واحدة و کان مغبوناً فی أحدهما دون الآخر لیس له التبعیض فی الفسخ، بل علیه إمّا فسخ البیع بالنسبة إلی الجمیع أو الرضا به کذلک</w:t>
      </w:r>
      <w:r>
        <w:rPr>
          <w:rFonts w:eastAsia="IRNazanin" w:cs="IRNazanin"/>
          <w:color w:val="111111"/>
          <w:sz w:val="28"/>
          <w:szCs w:val="28"/>
          <w:rtl w:val="true"/>
          <w:lang w:bidi="fa-IR"/>
        </w:rPr>
        <w:t>.</w:t>
      </w:r>
    </w:p>
    <w:p>
      <w:pPr>
        <w:pStyle w:val="Heading5"/>
        <w:numPr>
          <w:ilvl w:val="4"/>
          <w:numId w:val="1"/>
        </w:numPr>
        <w:rPr/>
      </w:pPr>
      <w:bookmarkStart w:id="3834" w:name="__RefHeading___Toc2568474_3650668749"/>
      <w:bookmarkStart w:id="3835" w:name="_Toc1746"/>
      <w:bookmarkEnd w:id="3834"/>
      <w:r>
        <w:rPr>
          <w:rtl w:val="true"/>
        </w:rPr>
        <w:t>[</w:t>
      </w:r>
      <w:r>
        <w:rPr>
          <w:rtl w:val="true"/>
        </w:rPr>
        <w:t>الخامس</w:t>
      </w:r>
      <w:r>
        <w:rPr>
          <w:rtl w:val="true"/>
        </w:rPr>
        <w:t xml:space="preserve">: </w:t>
      </w:r>
      <w:r>
        <w:rPr>
          <w:rtl w:val="true"/>
        </w:rPr>
        <w:t>خیار التأخیر</w:t>
      </w:r>
      <w:r>
        <w:rPr>
          <w:rtl w:val="true"/>
        </w:rPr>
        <w:t>]</w:t>
      </w:r>
      <w:bookmarkEnd w:id="3835"/>
    </w:p>
    <w:p>
      <w:pPr>
        <w:pStyle w:val="Heading6"/>
        <w:numPr>
          <w:ilvl w:val="5"/>
          <w:numId w:val="1"/>
        </w:numPr>
        <w:rPr/>
      </w:pPr>
      <w:bookmarkStart w:id="3836" w:name="__RefHeading___Toc2568476_3650668749"/>
      <w:bookmarkStart w:id="3837" w:name="_Toc1747"/>
      <w:bookmarkEnd w:id="3836"/>
      <w:r>
        <w:rPr>
          <w:rtl w:val="true"/>
        </w:rPr>
        <w:t>اشارة</w:t>
      </w:r>
      <w:bookmarkEnd w:id="383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التأخیر، و هو فیما إذا باع شیئاً و لم یقبض تمام الثمن </w:t>
      </w:r>
      <w:r>
        <w:rPr>
          <w:rStyle w:val="FootnoteAnchor"/>
          <w:rtl w:val="true"/>
        </w:rPr>
        <w:footnoteReference w:id="1094"/>
      </w:r>
      <w:r>
        <w:rPr>
          <w:rFonts w:ascii="IRNazanin" w:hAnsi="IRNazanin" w:eastAsia="IRNazanin"/>
          <w:color w:val="111111"/>
          <w:sz w:val="28"/>
          <w:sz w:val="28"/>
          <w:szCs w:val="28"/>
          <w:rtl w:val="true"/>
          <w:lang w:bidi="fa-IR"/>
        </w:rPr>
        <w:t>فإنّه یلزم البیع</w:t>
      </w:r>
      <w:bookmarkStart w:id="3838" w:name="pg1809_19357"/>
    </w:p>
    <w:p>
      <w:pPr>
        <w:pStyle w:val="BookText"/>
        <w:rPr/>
      </w:pPr>
      <w:bookmarkEnd w:id="3838"/>
      <w:r>
        <w:rPr>
          <w:rFonts w:ascii="IRNazanin" w:hAnsi="IRNazanin" w:eastAsia="IRNazanin"/>
          <w:color w:val="111111"/>
          <w:sz w:val="28"/>
          <w:sz w:val="28"/>
          <w:szCs w:val="28"/>
          <w:rtl w:val="true"/>
          <w:lang w:bidi="fa-IR"/>
        </w:rPr>
        <w:t>ثلاثة أیّام، فإن جاء المشتری بالثمن فهو أحقّ بالسلعة و إلّا فللبائع فسخ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تلفت السلعة کانت من مال البائع، و قبض بعض الثمن کلا قبض</w:t>
      </w:r>
      <w:r>
        <w:rPr>
          <w:rFonts w:eastAsia="IRNazanin" w:cs="IRNazanin"/>
          <w:color w:val="111111"/>
          <w:sz w:val="28"/>
          <w:szCs w:val="28"/>
          <w:rtl w:val="true"/>
          <w:lang w:bidi="fa-IR"/>
        </w:rPr>
        <w:t>.</w:t>
      </w:r>
    </w:p>
    <w:p>
      <w:pPr>
        <w:pStyle w:val="Heading6"/>
        <w:numPr>
          <w:ilvl w:val="5"/>
          <w:numId w:val="1"/>
        </w:numPr>
        <w:rPr/>
      </w:pPr>
      <w:bookmarkStart w:id="3839" w:name="__RefHeading___Toc2568478_3650668749"/>
      <w:bookmarkStart w:id="3840" w:name="_Toc1748"/>
      <w:bookmarkEnd w:id="3839"/>
      <w:r>
        <w:rPr>
          <w:rtl w:val="true"/>
        </w:rPr>
        <w:t>[ (</w:t>
      </w:r>
      <w:r>
        <w:rPr>
          <w:rtl w:val="true"/>
        </w:rPr>
        <w:t xml:space="preserve">مسألة </w:t>
      </w:r>
      <w:r>
        <w:rPr/>
        <w:t>22</w:t>
      </w:r>
      <w:r>
        <w:rPr>
          <w:rtl w:val="true"/>
        </w:rPr>
        <w:t xml:space="preserve">): </w:t>
      </w:r>
      <w:r>
        <w:rPr>
          <w:rtl w:val="true"/>
        </w:rPr>
        <w:t>لا إشکال فی ثبوت هذا الخیار إذا کان المبیع عیناً شخصیّاً</w:t>
      </w:r>
      <w:r>
        <w:rPr>
          <w:rtl w:val="true"/>
        </w:rPr>
        <w:t>]</w:t>
      </w:r>
      <w:bookmarkEnd w:id="38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ثبوت هذا الخیار إذا کان المبیع عیناً شخصیّاً، و فی ثبوته إذا کان کلّیّاً قولان؛ لا یخلو أوّلهما من رجحان، و الأحوط أن لا یکون الفسخ إلّا برضا الطرفین</w:t>
      </w:r>
      <w:r>
        <w:rPr>
          <w:rFonts w:eastAsia="IRNazanin" w:cs="IRNazanin"/>
          <w:color w:val="111111"/>
          <w:sz w:val="28"/>
          <w:szCs w:val="28"/>
          <w:rtl w:val="true"/>
          <w:lang w:bidi="fa-IR"/>
        </w:rPr>
        <w:t>.</w:t>
      </w:r>
    </w:p>
    <w:p>
      <w:pPr>
        <w:pStyle w:val="Heading6"/>
        <w:numPr>
          <w:ilvl w:val="5"/>
          <w:numId w:val="1"/>
        </w:numPr>
        <w:rPr/>
      </w:pPr>
      <w:bookmarkStart w:id="3841" w:name="__RefHeading___Toc2568480_3650668749"/>
      <w:bookmarkStart w:id="3842" w:name="_Toc1749"/>
      <w:bookmarkEnd w:id="3841"/>
      <w:r>
        <w:rPr>
          <w:rtl w:val="true"/>
        </w:rPr>
        <w:t>[ (</w:t>
      </w:r>
      <w:r>
        <w:rPr>
          <w:rtl w:val="true"/>
        </w:rPr>
        <w:t xml:space="preserve">مسألة </w:t>
      </w:r>
      <w:r>
        <w:rPr/>
        <w:t>23</w:t>
      </w:r>
      <w:r>
        <w:rPr>
          <w:rtl w:val="true"/>
        </w:rPr>
        <w:t xml:space="preserve">): </w:t>
      </w:r>
      <w:r>
        <w:rPr>
          <w:rtl w:val="true"/>
        </w:rPr>
        <w:t>الظاهر أنّ هذا الخیار لیس علی الفور</w:t>
      </w:r>
      <w:r>
        <w:rPr>
          <w:rtl w:val="true"/>
        </w:rPr>
        <w:t>]</w:t>
      </w:r>
      <w:bookmarkEnd w:id="38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الخیار لیس علی الفور، فلو أخّر الفسخ عن الثلاثة لم یسقط الخیار إلّا بأحد المسقطات</w:t>
      </w:r>
      <w:r>
        <w:rPr>
          <w:rFonts w:eastAsia="IRNazanin" w:cs="IRNazanin"/>
          <w:color w:val="111111"/>
          <w:sz w:val="28"/>
          <w:szCs w:val="28"/>
          <w:rtl w:val="true"/>
          <w:lang w:bidi="fa-IR"/>
        </w:rPr>
        <w:t>.</w:t>
      </w:r>
    </w:p>
    <w:p>
      <w:pPr>
        <w:pStyle w:val="Heading6"/>
        <w:numPr>
          <w:ilvl w:val="5"/>
          <w:numId w:val="1"/>
        </w:numPr>
        <w:rPr/>
      </w:pPr>
      <w:bookmarkStart w:id="3843" w:name="__RefHeading___Toc2568482_3650668749"/>
      <w:bookmarkStart w:id="3844" w:name="_Toc1750"/>
      <w:bookmarkEnd w:id="3843"/>
      <w:r>
        <w:rPr>
          <w:rtl w:val="true"/>
        </w:rPr>
        <w:t>[ (</w:t>
      </w:r>
      <w:r>
        <w:rPr>
          <w:rtl w:val="true"/>
        </w:rPr>
        <w:t xml:space="preserve">مسألة </w:t>
      </w:r>
      <w:r>
        <w:rPr/>
        <w:t>24</w:t>
      </w:r>
      <w:r>
        <w:rPr>
          <w:rtl w:val="true"/>
        </w:rPr>
        <w:t xml:space="preserve">): </w:t>
      </w:r>
      <w:r>
        <w:rPr>
          <w:rtl w:val="true"/>
        </w:rPr>
        <w:t>یسقط هذا الخیار باشتراط سقوطه فی ضمن العقد و بإسقاطه بعد الثلاثة</w:t>
      </w:r>
      <w:r>
        <w:rPr>
          <w:rtl w:val="true"/>
        </w:rPr>
        <w:t>]</w:t>
      </w:r>
      <w:bookmarkEnd w:id="38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هذا الخیار باشتراط سقوطه فی ضمن العقد و بإسقاطه بعد الثلاثة، و فی سقوطه بإسقاطه قبلها إشکال، أقواه العدم، کما أنّ الأقویٰ عدم سقوطه ببذل المشتری الثمن بعدها قبل فسخ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یسقط أیضاً بأخذ الثمن بعد الثلاثة من المشتری بعنوان الاستیفاء لا بعنوان آخر کالعاریة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سقوطه بمطالبة الثمن وجهان، الظاهر العدم</w:t>
      </w:r>
      <w:r>
        <w:rPr>
          <w:rFonts w:eastAsia="IRNazanin" w:cs="IRNazanin"/>
          <w:color w:val="111111"/>
          <w:sz w:val="28"/>
          <w:szCs w:val="28"/>
          <w:rtl w:val="true"/>
          <w:lang w:bidi="fa-IR"/>
        </w:rPr>
        <w:t>.</w:t>
      </w:r>
    </w:p>
    <w:p>
      <w:pPr>
        <w:pStyle w:val="Heading6"/>
        <w:numPr>
          <w:ilvl w:val="5"/>
          <w:numId w:val="1"/>
        </w:numPr>
        <w:rPr/>
      </w:pPr>
      <w:bookmarkStart w:id="3845" w:name="__RefHeading___Toc2568484_3650668749"/>
      <w:bookmarkStart w:id="3846" w:name="_Toc1751"/>
      <w:bookmarkEnd w:id="3845"/>
      <w:r>
        <w:rPr>
          <w:rtl w:val="true"/>
        </w:rPr>
        <w:t>[ (</w:t>
      </w:r>
      <w:r>
        <w:rPr>
          <w:rtl w:val="true"/>
        </w:rPr>
        <w:t xml:space="preserve">مسألة </w:t>
      </w:r>
      <w:r>
        <w:rPr/>
        <w:t>25</w:t>
      </w:r>
      <w:r>
        <w:rPr>
          <w:rtl w:val="true"/>
        </w:rPr>
        <w:t xml:space="preserve">): </w:t>
      </w:r>
      <w:r>
        <w:rPr>
          <w:rtl w:val="true"/>
        </w:rPr>
        <w:t>المراد بثلاثة أیّام هو بیاض الیوم</w:t>
      </w:r>
      <w:r>
        <w:rPr>
          <w:rtl w:val="true"/>
        </w:rPr>
        <w:t>]</w:t>
      </w:r>
      <w:bookmarkEnd w:id="38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بثلاثة أیّام هو بیاض الیوم، و لا یشمل اللیالی عدا اللیلتین المتوسّطتین، فلو أوقع البیع فی أوّل النهار یکون آخر الثلاثة غروب النهار الثالث، نعم لو وقع البیع فی اللیل تدخل اللیلة الأُولیٰ أو بعضها أیضاً فی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کفایة التلفیق فلو وقع البیع فی أوّل الزوال یکون مبدأ الخیار بعد زوال الیوم الرابع و هکذا</w:t>
      </w:r>
      <w:r>
        <w:rPr>
          <w:rFonts w:eastAsia="IRNazanin" w:cs="IRNazanin"/>
          <w:color w:val="111111"/>
          <w:sz w:val="28"/>
          <w:szCs w:val="28"/>
          <w:rtl w:val="true"/>
          <w:lang w:bidi="fa-IR"/>
        </w:rPr>
        <w:t>.</w:t>
      </w:r>
    </w:p>
    <w:p>
      <w:pPr>
        <w:pStyle w:val="Heading6"/>
        <w:numPr>
          <w:ilvl w:val="5"/>
          <w:numId w:val="1"/>
        </w:numPr>
        <w:rPr/>
      </w:pPr>
      <w:bookmarkStart w:id="3847" w:name="__RefHeading___Toc2568486_3650668749"/>
      <w:bookmarkStart w:id="3848" w:name="_Toc1752"/>
      <w:bookmarkEnd w:id="3847"/>
      <w:r>
        <w:rPr>
          <w:rtl w:val="true"/>
        </w:rPr>
        <w:t>[ (</w:t>
      </w:r>
      <w:r>
        <w:rPr>
          <w:rtl w:val="true"/>
        </w:rPr>
        <w:t xml:space="preserve">مسألة </w:t>
      </w:r>
      <w:r>
        <w:rPr/>
        <w:t>26</w:t>
      </w:r>
      <w:r>
        <w:rPr>
          <w:rtl w:val="true"/>
        </w:rPr>
        <w:t xml:space="preserve">): </w:t>
      </w:r>
      <w:r>
        <w:rPr>
          <w:rtl w:val="true"/>
        </w:rPr>
        <w:t>لا یجری هذا الخیار فی غیر البیع من سائر المعاملات</w:t>
      </w:r>
      <w:r>
        <w:rPr>
          <w:rtl w:val="true"/>
        </w:rPr>
        <w:t>]</w:t>
      </w:r>
      <w:bookmarkEnd w:id="3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هذا الخیار فی غیر البیع من سائر المعاملات</w:t>
      </w:r>
      <w:r>
        <w:rPr>
          <w:rFonts w:eastAsia="IRNazanin" w:cs="IRNazanin"/>
          <w:color w:val="111111"/>
          <w:sz w:val="28"/>
          <w:szCs w:val="28"/>
          <w:rtl w:val="true"/>
          <w:lang w:bidi="fa-IR"/>
        </w:rPr>
        <w:t>.</w:t>
      </w:r>
    </w:p>
    <w:p>
      <w:pPr>
        <w:pStyle w:val="Heading6"/>
        <w:numPr>
          <w:ilvl w:val="5"/>
          <w:numId w:val="1"/>
        </w:numPr>
        <w:rPr/>
      </w:pPr>
      <w:bookmarkStart w:id="3849" w:name="__RefHeading___Toc2568488_3650668749"/>
      <w:bookmarkStart w:id="3850" w:name="_Toc1753"/>
      <w:bookmarkEnd w:id="3849"/>
      <w:r>
        <w:rPr>
          <w:rtl w:val="true"/>
        </w:rPr>
        <w:t>[ (</w:t>
      </w:r>
      <w:r>
        <w:rPr>
          <w:rtl w:val="true"/>
        </w:rPr>
        <w:t xml:space="preserve">مسألة </w:t>
      </w:r>
      <w:r>
        <w:rPr/>
        <w:t>27</w:t>
      </w:r>
      <w:r>
        <w:rPr>
          <w:rtl w:val="true"/>
        </w:rPr>
        <w:t xml:space="preserve">): </w:t>
      </w:r>
      <w:r>
        <w:rPr>
          <w:rtl w:val="true"/>
        </w:rPr>
        <w:t>لو تلف المبیع کان من مال البائع فی الثلاثة</w:t>
      </w:r>
      <w:r>
        <w:rPr>
          <w:rtl w:val="true"/>
        </w:rPr>
        <w:t>]</w:t>
      </w:r>
      <w:bookmarkEnd w:id="38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المبیع کان من مال البائع فی الثلاثة و بعدها علی الأقویٰ</w:t>
      </w:r>
      <w:r>
        <w:rPr>
          <w:rFonts w:eastAsia="IRNazanin" w:cs="IRNazanin"/>
          <w:color w:val="111111"/>
          <w:sz w:val="28"/>
          <w:szCs w:val="28"/>
          <w:rtl w:val="true"/>
          <w:lang w:bidi="fa-IR"/>
        </w:rPr>
        <w:t>.</w:t>
      </w:r>
    </w:p>
    <w:p>
      <w:pPr>
        <w:pStyle w:val="Heading6"/>
        <w:numPr>
          <w:ilvl w:val="5"/>
          <w:numId w:val="1"/>
        </w:numPr>
        <w:rPr/>
      </w:pPr>
      <w:bookmarkStart w:id="3851" w:name="__RefHeading___Toc2568490_3650668749"/>
      <w:bookmarkStart w:id="3852" w:name="_Toc1754"/>
      <w:bookmarkEnd w:id="3851"/>
      <w:r>
        <w:rPr>
          <w:rtl w:val="true"/>
        </w:rPr>
        <w:t>[ (</w:t>
      </w:r>
      <w:r>
        <w:rPr>
          <w:rtl w:val="true"/>
        </w:rPr>
        <w:t xml:space="preserve">مسألة </w:t>
      </w:r>
      <w:r>
        <w:rPr/>
        <w:t>28</w:t>
      </w:r>
      <w:r>
        <w:rPr>
          <w:rtl w:val="true"/>
        </w:rPr>
        <w:t xml:space="preserve">): </w:t>
      </w:r>
      <w:r>
        <w:rPr>
          <w:rtl w:val="true"/>
        </w:rPr>
        <w:t>إذا باع ما یتسارع إلیه الفساد بحیث یفسد لو صار بائتاً</w:t>
      </w:r>
      <w:r>
        <w:rPr>
          <w:rtl w:val="true"/>
        </w:rPr>
        <w:t>]</w:t>
      </w:r>
      <w:bookmarkEnd w:id="38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ما یتسارع إلیه الفساد بحیث یفسد لو صار بائتاً کالبقول و بعض الفواکه و اللحم فی بعض الأوقات و نحوها و بقی عنده و تأخّر المشتری من أن یأتی بالثمن و یأخذ المبیع للبائع الخیار قبل أن یطرأ علیه الفساد، فیفسخ البیع و یتصرّف فی المبیع کیف شاء</w:t>
      </w:r>
      <w:r>
        <w:rPr>
          <w:rFonts w:eastAsia="IRNazanin" w:cs="IRNazanin"/>
          <w:color w:val="111111"/>
          <w:sz w:val="28"/>
          <w:szCs w:val="28"/>
          <w:rtl w:val="true"/>
          <w:lang w:bidi="fa-IR"/>
        </w:rPr>
        <w:t>.</w:t>
      </w:r>
    </w:p>
    <w:p>
      <w:pPr>
        <w:pStyle w:val="Heading5"/>
        <w:numPr>
          <w:ilvl w:val="4"/>
          <w:numId w:val="1"/>
        </w:numPr>
        <w:rPr/>
      </w:pPr>
      <w:bookmarkStart w:id="3853" w:name="__RefHeading___Toc2568492_3650668749"/>
      <w:bookmarkStart w:id="3854" w:name="_Toc1755"/>
      <w:bookmarkEnd w:id="3853"/>
      <w:r>
        <w:rPr>
          <w:rtl w:val="true"/>
        </w:rPr>
        <w:t>[</w:t>
      </w:r>
      <w:r>
        <w:rPr>
          <w:rtl w:val="true"/>
        </w:rPr>
        <w:t>السادس</w:t>
      </w:r>
      <w:r>
        <w:rPr>
          <w:rtl w:val="true"/>
        </w:rPr>
        <w:t xml:space="preserve">: </w:t>
      </w:r>
      <w:r>
        <w:rPr>
          <w:rtl w:val="true"/>
        </w:rPr>
        <w:t>خیار الرؤیة</w:t>
      </w:r>
      <w:r>
        <w:rPr>
          <w:rtl w:val="true"/>
        </w:rPr>
        <w:t>]</w:t>
      </w:r>
      <w:bookmarkEnd w:id="3854"/>
    </w:p>
    <w:p>
      <w:pPr>
        <w:pStyle w:val="Heading6"/>
        <w:numPr>
          <w:ilvl w:val="5"/>
          <w:numId w:val="1"/>
        </w:numPr>
        <w:rPr/>
      </w:pPr>
      <w:bookmarkStart w:id="3855" w:name="__RefHeading___Toc2568494_3650668749"/>
      <w:bookmarkStart w:id="3856" w:name="_Toc1756"/>
      <w:bookmarkEnd w:id="3855"/>
      <w:r>
        <w:rPr>
          <w:rtl w:val="true"/>
        </w:rPr>
        <w:t>اشارة</w:t>
      </w:r>
      <w:bookmarkEnd w:id="385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الرؤیة، و هو فیما إذا اشتریٰ </w:t>
      </w:r>
      <w:r>
        <w:rPr>
          <w:rStyle w:val="FootnoteAnchor"/>
          <w:rtl w:val="true"/>
        </w:rPr>
        <w:footnoteReference w:id="1095"/>
      </w:r>
      <w:r>
        <w:rPr>
          <w:rFonts w:ascii="Amiri" w:hAnsi="Amiri" w:eastAsia="Amiri" w:cs="Amiri"/>
          <w:color w:val="111111"/>
          <w:sz w:val="28"/>
          <w:sz w:val="28"/>
          <w:szCs w:val="28"/>
          <w:rtl w:val="true"/>
          <w:lang w:bidi="ar-SA"/>
        </w:rPr>
        <w:t>شیئاً موصوفاً غیر مشاهد، ثمّ وجده</w:t>
      </w:r>
      <w:bookmarkStart w:id="3857" w:name="pg1809_19358"/>
    </w:p>
    <w:p>
      <w:pPr>
        <w:pStyle w:val="BookText"/>
        <w:rPr/>
      </w:pPr>
      <w:bookmarkEnd w:id="3857"/>
      <w:r>
        <w:rPr>
          <w:rFonts w:ascii="IRNazanin" w:hAnsi="IRNazanin" w:eastAsia="IRNazanin"/>
          <w:color w:val="111111"/>
          <w:sz w:val="28"/>
          <w:sz w:val="28"/>
          <w:szCs w:val="28"/>
          <w:rtl w:val="true"/>
          <w:lang w:bidi="fa-IR"/>
        </w:rPr>
        <w:t xml:space="preserve">علیٰ خلاف ذلک الوصف کان للمشتری خیار الفسخ، و کذا إذا وجده علیٰ خلاف </w:t>
      </w:r>
      <w:r>
        <w:rPr>
          <w:rStyle w:val="FootnoteAnchor"/>
          <w:rtl w:val="true"/>
        </w:rPr>
        <w:footnoteReference w:id="1096"/>
      </w:r>
      <w:r>
        <w:rPr>
          <w:rFonts w:ascii="IRNazanin" w:hAnsi="IRNazanin" w:eastAsia="IRNazanin"/>
          <w:color w:val="111111"/>
          <w:sz w:val="28"/>
          <w:sz w:val="28"/>
          <w:szCs w:val="28"/>
          <w:rtl w:val="true"/>
          <w:lang w:bidi="fa-IR"/>
        </w:rPr>
        <w:t>ما رآه سابقاً</w:t>
      </w:r>
      <w:r>
        <w:rPr>
          <w:rFonts w:eastAsia="IRNazanin" w:cs="IRNazanin"/>
          <w:color w:val="111111"/>
          <w:sz w:val="28"/>
          <w:szCs w:val="28"/>
          <w:rtl w:val="true"/>
          <w:lang w:bidi="fa-IR"/>
        </w:rPr>
        <w:t>.</w:t>
      </w:r>
    </w:p>
    <w:p>
      <w:pPr>
        <w:pStyle w:val="Heading6"/>
        <w:numPr>
          <w:ilvl w:val="5"/>
          <w:numId w:val="1"/>
        </w:numPr>
        <w:rPr/>
      </w:pPr>
      <w:bookmarkStart w:id="3858" w:name="__RefHeading___Toc2568496_3650668749"/>
      <w:bookmarkStart w:id="3859" w:name="_Toc1757"/>
      <w:bookmarkEnd w:id="3858"/>
      <w:r>
        <w:rPr>
          <w:rtl w:val="true"/>
        </w:rPr>
        <w:t>[ (</w:t>
      </w:r>
      <w:r>
        <w:rPr>
          <w:rtl w:val="true"/>
        </w:rPr>
        <w:t xml:space="preserve">مسألة </w:t>
      </w:r>
      <w:r>
        <w:rPr/>
        <w:t>29</w:t>
      </w:r>
      <w:r>
        <w:rPr>
          <w:rtl w:val="true"/>
        </w:rPr>
        <w:t xml:space="preserve">): </w:t>
      </w:r>
      <w:r>
        <w:rPr>
          <w:rtl w:val="true"/>
        </w:rPr>
        <w:t>الخیار هنا بین الردّ و الإمساک مجّاناً</w:t>
      </w:r>
      <w:r>
        <w:rPr>
          <w:rtl w:val="true"/>
        </w:rPr>
        <w:t>]</w:t>
      </w:r>
      <w:bookmarkEnd w:id="38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هنا بین الردّ و الإمساک مجّاناً، و لیس لذی الخیار الإمساک بالأرش، کما أنّه لا یسقط خیاره ببذله و لا بإبدال العین بعین اخریٰ، نعم لو کان للوصف المفقود دخل فی الصحّة توجّه أخذ الأرش، لکن لأجل العیب لا لأجل تخلّف الوصف</w:t>
      </w:r>
      <w:r>
        <w:rPr>
          <w:rFonts w:eastAsia="IRNazanin" w:cs="IRNazanin"/>
          <w:color w:val="111111"/>
          <w:sz w:val="28"/>
          <w:szCs w:val="28"/>
          <w:rtl w:val="true"/>
          <w:lang w:bidi="fa-IR"/>
        </w:rPr>
        <w:t>.</w:t>
      </w:r>
    </w:p>
    <w:p>
      <w:pPr>
        <w:pStyle w:val="Heading6"/>
        <w:numPr>
          <w:ilvl w:val="5"/>
          <w:numId w:val="1"/>
        </w:numPr>
        <w:rPr/>
      </w:pPr>
      <w:bookmarkStart w:id="3860" w:name="__RefHeading___Toc2568498_3650668749"/>
      <w:bookmarkStart w:id="3861" w:name="_Toc1758"/>
      <w:bookmarkEnd w:id="3860"/>
      <w:r>
        <w:rPr>
          <w:rtl w:val="true"/>
        </w:rPr>
        <w:t>[ (</w:t>
      </w:r>
      <w:r>
        <w:rPr>
          <w:rtl w:val="true"/>
        </w:rPr>
        <w:t xml:space="preserve">مسألة </w:t>
      </w:r>
      <w:r>
        <w:rPr/>
        <w:t>30</w:t>
      </w:r>
      <w:r>
        <w:rPr>
          <w:rtl w:val="true"/>
        </w:rPr>
        <w:t xml:space="preserve">): </w:t>
      </w:r>
      <w:r>
        <w:rPr>
          <w:rtl w:val="true"/>
        </w:rPr>
        <w:t>مورد هذا الخیار بیع العین الشخصیّة الغائبة حین المبایعة</w:t>
      </w:r>
      <w:r>
        <w:rPr>
          <w:rtl w:val="true"/>
        </w:rPr>
        <w:t>]</w:t>
      </w:r>
      <w:bookmarkEnd w:id="38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هذا الخیار بیع العین الشخصیّة الغائبة حین المبایعة، و یشترط فی صحّته إمّا الرؤیة السابقة مع عدم الیقین </w:t>
      </w:r>
      <w:r>
        <w:rPr>
          <w:rStyle w:val="FootnoteAnchor"/>
          <w:rtl w:val="true"/>
        </w:rPr>
        <w:footnoteReference w:id="1097"/>
      </w:r>
      <w:r>
        <w:rPr>
          <w:rFonts w:ascii="IRNazanin" w:hAnsi="IRNazanin" w:eastAsia="IRNazanin"/>
          <w:color w:val="111111"/>
          <w:sz w:val="28"/>
          <w:sz w:val="28"/>
          <w:szCs w:val="28"/>
          <w:rtl w:val="true"/>
          <w:lang w:bidi="fa-IR"/>
        </w:rPr>
        <w:t xml:space="preserve">بزوال تلک الصفات و إمّا توصیفه بما یرفع به الجهالة </w:t>
      </w:r>
      <w:r>
        <w:rPr>
          <w:rStyle w:val="FootnoteAnchor"/>
          <w:rtl w:val="true"/>
        </w:rPr>
        <w:footnoteReference w:id="1098"/>
      </w:r>
      <w:r>
        <w:rPr>
          <w:rFonts w:ascii="IRNazanin" w:hAnsi="IRNazanin" w:eastAsia="IRNazanin"/>
          <w:color w:val="111111"/>
          <w:sz w:val="28"/>
          <w:sz w:val="28"/>
          <w:szCs w:val="28"/>
          <w:rtl w:val="true"/>
          <w:lang w:bidi="fa-IR"/>
        </w:rPr>
        <w:t>الموجبة للغرر بذکر جنسها و نوعها و صفاتها التی تختلف باختلافها الأثمان و تتفاوت لأجلها رغبات الناس</w:t>
      </w:r>
      <w:r>
        <w:rPr>
          <w:rFonts w:eastAsia="IRNazanin" w:cs="IRNazanin"/>
          <w:color w:val="111111"/>
          <w:sz w:val="28"/>
          <w:szCs w:val="28"/>
          <w:rtl w:val="true"/>
          <w:lang w:bidi="fa-IR"/>
        </w:rPr>
        <w:t>.</w:t>
      </w:r>
    </w:p>
    <w:p>
      <w:pPr>
        <w:pStyle w:val="Heading6"/>
        <w:numPr>
          <w:ilvl w:val="5"/>
          <w:numId w:val="1"/>
        </w:numPr>
        <w:rPr/>
      </w:pPr>
      <w:bookmarkStart w:id="3862" w:name="__RefHeading___Toc2568500_3650668749"/>
      <w:bookmarkStart w:id="3863" w:name="_Toc1759"/>
      <w:bookmarkEnd w:id="3862"/>
      <w:r>
        <w:rPr>
          <w:rtl w:val="true"/>
        </w:rPr>
        <w:t>[ (</w:t>
      </w:r>
      <w:r>
        <w:rPr>
          <w:rtl w:val="true"/>
        </w:rPr>
        <w:t xml:space="preserve">مسألة </w:t>
      </w:r>
      <w:r>
        <w:rPr/>
        <w:t>31</w:t>
      </w:r>
      <w:r>
        <w:rPr>
          <w:rtl w:val="true"/>
        </w:rPr>
        <w:t xml:space="preserve">): </w:t>
      </w:r>
      <w:r>
        <w:rPr>
          <w:rtl w:val="true"/>
        </w:rPr>
        <w:t>هذا الخیار فوریّ عند الرؤیة علی المشهور</w:t>
      </w:r>
      <w:r>
        <w:rPr>
          <w:rtl w:val="true"/>
        </w:rPr>
        <w:t>]</w:t>
      </w:r>
      <w:bookmarkEnd w:id="38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الخیار فوریّ عند الرؤیة علی المشهور، و فیه إشکال</w:t>
      </w:r>
      <w:r>
        <w:rPr>
          <w:rFonts w:eastAsia="IRNazanin" w:cs="IRNazanin"/>
          <w:color w:val="111111"/>
          <w:sz w:val="28"/>
          <w:szCs w:val="28"/>
          <w:rtl w:val="true"/>
          <w:lang w:bidi="fa-IR"/>
        </w:rPr>
        <w:t>.</w:t>
      </w:r>
    </w:p>
    <w:p>
      <w:pPr>
        <w:pStyle w:val="Heading6"/>
        <w:numPr>
          <w:ilvl w:val="5"/>
          <w:numId w:val="1"/>
        </w:numPr>
        <w:rPr/>
      </w:pPr>
      <w:bookmarkStart w:id="3864" w:name="__RefHeading___Toc2568502_3650668749"/>
      <w:bookmarkStart w:id="3865" w:name="_Toc1760"/>
      <w:bookmarkEnd w:id="3864"/>
      <w:r>
        <w:rPr>
          <w:rtl w:val="true"/>
        </w:rPr>
        <w:t>[ (</w:t>
      </w:r>
      <w:r>
        <w:rPr>
          <w:rtl w:val="true"/>
        </w:rPr>
        <w:t xml:space="preserve">مسألة </w:t>
      </w:r>
      <w:r>
        <w:rPr/>
        <w:t>32</w:t>
      </w:r>
      <w:r>
        <w:rPr>
          <w:rtl w:val="true"/>
        </w:rPr>
        <w:t xml:space="preserve">): </w:t>
      </w:r>
      <w:r>
        <w:rPr>
          <w:rtl w:val="true"/>
        </w:rPr>
        <w:t>یسقط هذا الخیار باشتراط سقوطه فی ضمن العقد</w:t>
      </w:r>
      <w:r>
        <w:rPr>
          <w:rtl w:val="true"/>
        </w:rPr>
        <w:t>]</w:t>
      </w:r>
      <w:bookmarkEnd w:id="38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هذا الخیار باشتراط سقوطه فی ضمن العقد </w:t>
      </w:r>
      <w:r>
        <w:rPr>
          <w:rStyle w:val="FootnoteAnchor"/>
          <w:rtl w:val="true"/>
        </w:rPr>
        <w:footnoteReference w:id="1099"/>
      </w:r>
      <w:r>
        <w:rPr>
          <w:rFonts w:ascii="IRNazanin" w:hAnsi="IRNazanin" w:eastAsia="IRNazanin"/>
          <w:color w:val="111111"/>
          <w:sz w:val="28"/>
          <w:sz w:val="28"/>
          <w:szCs w:val="28"/>
          <w:rtl w:val="true"/>
          <w:lang w:bidi="fa-IR"/>
        </w:rPr>
        <w:t>، و بإسقاطه بعد الرؤیة، و بالتصرّف فی العین بعدها تصرّفاً کاشفاً عن الرضا بالبیع، و بعدم المبادرة علی الفسخ بناءً علیٰ فوریّته</w:t>
      </w:r>
      <w:r>
        <w:rPr>
          <w:rFonts w:eastAsia="IRNazanin" w:cs="IRNazanin"/>
          <w:color w:val="111111"/>
          <w:sz w:val="28"/>
          <w:szCs w:val="28"/>
          <w:rtl w:val="true"/>
          <w:lang w:bidi="fa-IR"/>
        </w:rPr>
        <w:t>.</w:t>
      </w:r>
    </w:p>
    <w:p>
      <w:pPr>
        <w:pStyle w:val="Heading5"/>
        <w:numPr>
          <w:ilvl w:val="4"/>
          <w:numId w:val="1"/>
        </w:numPr>
        <w:rPr/>
      </w:pPr>
      <w:bookmarkStart w:id="3866" w:name="__RefHeading___Toc2568504_3650668749"/>
      <w:bookmarkStart w:id="3867" w:name="_Toc1761"/>
      <w:bookmarkEnd w:id="3866"/>
      <w:r>
        <w:rPr>
          <w:rtl w:val="true"/>
        </w:rPr>
        <w:t>[</w:t>
      </w:r>
      <w:r>
        <w:rPr>
          <w:rtl w:val="true"/>
        </w:rPr>
        <w:t>السابع</w:t>
      </w:r>
      <w:r>
        <w:rPr>
          <w:rtl w:val="true"/>
        </w:rPr>
        <w:t xml:space="preserve">: </w:t>
      </w:r>
      <w:r>
        <w:rPr>
          <w:rtl w:val="true"/>
        </w:rPr>
        <w:t>خیار العیب</w:t>
      </w:r>
      <w:r>
        <w:rPr>
          <w:rtl w:val="true"/>
        </w:rPr>
        <w:t>]</w:t>
      </w:r>
      <w:bookmarkEnd w:id="3867"/>
    </w:p>
    <w:p>
      <w:pPr>
        <w:pStyle w:val="Heading6"/>
        <w:numPr>
          <w:ilvl w:val="5"/>
          <w:numId w:val="1"/>
        </w:numPr>
        <w:rPr/>
      </w:pPr>
      <w:bookmarkStart w:id="3868" w:name="__RefHeading___Toc2568506_3650668749"/>
      <w:bookmarkStart w:id="3869" w:name="_Toc1762"/>
      <w:bookmarkEnd w:id="3868"/>
      <w:r>
        <w:rPr>
          <w:rtl w:val="true"/>
        </w:rPr>
        <w:t>اشارة</w:t>
      </w:r>
      <w:bookmarkEnd w:id="386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العیب و هو فیما إذا وجد المشتری فی المبیع عیباً تخیّر بین الفسخ و الإمساک بالأرش ما لم یتصرّف فیه </w:t>
      </w:r>
      <w:r>
        <w:rPr>
          <w:rStyle w:val="FootnoteAnchor"/>
          <w:rtl w:val="true"/>
        </w:rPr>
        <w:footnoteReference w:id="1100"/>
      </w:r>
      <w:r>
        <w:rPr>
          <w:rFonts w:ascii="Amiri" w:hAnsi="Amiri" w:eastAsia="Amiri" w:cs="Amiri"/>
          <w:color w:val="111111"/>
          <w:sz w:val="28"/>
          <w:sz w:val="28"/>
          <w:szCs w:val="28"/>
          <w:rtl w:val="true"/>
          <w:lang w:bidi="ar-SA"/>
        </w:rPr>
        <w:t xml:space="preserve">تصرّفاً مغیّراً للعین أو یحدث فیه </w:t>
      </w:r>
      <w:r>
        <w:rPr>
          <w:rStyle w:val="FootnoteAnchor"/>
          <w:rtl w:val="true"/>
        </w:rPr>
        <w:footnoteReference w:id="1101"/>
      </w:r>
      <w:r>
        <w:rPr>
          <w:rFonts w:ascii="IRNazanin" w:hAnsi="IRNazanin" w:eastAsia="IRNazanin"/>
          <w:color w:val="111111"/>
          <w:sz w:val="28"/>
          <w:sz w:val="28"/>
          <w:szCs w:val="28"/>
          <w:rtl w:val="true"/>
          <w:lang w:bidi="fa-IR"/>
        </w:rPr>
        <w:t>عیب عنده، و إلّا فلیس له الردّ بل ثبت له الأرش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یثبت هذا الخیار للمشتری إذا وجد العیب</w:t>
      </w:r>
      <w:bookmarkStart w:id="3870" w:name="pg1809_19359"/>
    </w:p>
    <w:p>
      <w:pPr>
        <w:pStyle w:val="BookText"/>
        <w:rPr/>
      </w:pPr>
      <w:bookmarkEnd w:id="3870"/>
      <w:r>
        <w:rPr>
          <w:rFonts w:ascii="IRNazanin" w:hAnsi="IRNazanin" w:eastAsia="IRNazanin"/>
          <w:color w:val="111111"/>
          <w:sz w:val="28"/>
          <w:sz w:val="28"/>
          <w:szCs w:val="28"/>
          <w:rtl w:val="true"/>
          <w:lang w:bidi="fa-IR"/>
        </w:rPr>
        <w:t>فی المبیع کذلک یثبت للبائع إذا وجده فی الثمن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بالعیب کلّما زاد أو نقص عن المجری الطبیعی و الخلقة الأصلیّة کالعمیٰ أو العرج و غیر ذلک، بل الحبل عیب لکن فی الإماء دون سائر الحیوانات</w:t>
      </w:r>
      <w:r>
        <w:rPr>
          <w:rFonts w:eastAsia="IRNazanin" w:cs="IRNazanin"/>
          <w:color w:val="111111"/>
          <w:sz w:val="28"/>
          <w:szCs w:val="28"/>
          <w:rtl w:val="true"/>
          <w:lang w:bidi="fa-IR"/>
        </w:rPr>
        <w:t>.</w:t>
      </w:r>
    </w:p>
    <w:p>
      <w:pPr>
        <w:pStyle w:val="Heading6"/>
        <w:numPr>
          <w:ilvl w:val="5"/>
          <w:numId w:val="1"/>
        </w:numPr>
        <w:rPr/>
      </w:pPr>
      <w:bookmarkStart w:id="3871" w:name="__RefHeading___Toc2568508_3650668749"/>
      <w:bookmarkStart w:id="3872" w:name="_Toc1763"/>
      <w:bookmarkEnd w:id="3871"/>
      <w:r>
        <w:rPr>
          <w:rtl w:val="true"/>
        </w:rPr>
        <w:t>[ (</w:t>
      </w:r>
      <w:r>
        <w:rPr>
          <w:rtl w:val="true"/>
        </w:rPr>
        <w:t xml:space="preserve">مسألة </w:t>
      </w:r>
      <w:r>
        <w:rPr/>
        <w:t>33</w:t>
      </w:r>
      <w:r>
        <w:rPr>
          <w:rtl w:val="true"/>
        </w:rPr>
        <w:t xml:space="preserve">): </w:t>
      </w:r>
      <w:r>
        <w:rPr>
          <w:rtl w:val="true"/>
        </w:rPr>
        <w:t>یثبت الخیار بمجرّد وجود العیب واقعاً حین العقد</w:t>
      </w:r>
      <w:r>
        <w:rPr>
          <w:rtl w:val="true"/>
        </w:rPr>
        <w:t>]</w:t>
      </w:r>
      <w:bookmarkEnd w:id="38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الخیار بمجرّد وجود العیب واقعاً حین العقد و إن لم یظهر بعد، فظهوره کاشف عن ثبوته من أوّل الأمر لا أنّه سبب لحدوثه عنده، فلو أسقط الخیار قبل ظهوره لا إشکال فی سقوطه، کما أنّه یسقط بإسقاطه بعد ظهوره، و کذلک باشتراط سقوطه فی ضمن العقد و بالتبرّی من العیوب عنده بأن یقول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بعته بکلّ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یسقط بالتبرّی من العیوب الخیار یسقط أیضاً </w:t>
      </w:r>
      <w:r>
        <w:rPr>
          <w:rStyle w:val="FootnoteAnchor"/>
          <w:rtl w:val="true"/>
        </w:rPr>
        <w:footnoteReference w:id="1102"/>
      </w:r>
      <w:r>
        <w:rPr>
          <w:rFonts w:ascii="Amiri" w:hAnsi="Amiri" w:eastAsia="Amiri" w:cs="Amiri"/>
          <w:color w:val="111111"/>
          <w:sz w:val="28"/>
          <w:sz w:val="28"/>
          <w:szCs w:val="28"/>
          <w:rtl w:val="true"/>
          <w:lang w:bidi="ar-SA"/>
        </w:rPr>
        <w:t>استحقاق مطالبة الأرش</w:t>
      </w:r>
      <w:r>
        <w:rPr>
          <w:rFonts w:eastAsia="Amiri" w:cs="Amiri" w:ascii="Amiri" w:hAnsi="Amiri"/>
          <w:color w:val="111111"/>
          <w:sz w:val="28"/>
          <w:szCs w:val="28"/>
          <w:rtl w:val="true"/>
          <w:lang w:bidi="ar-SA"/>
        </w:rPr>
        <w:t>.</w:t>
      </w:r>
    </w:p>
    <w:p>
      <w:pPr>
        <w:pStyle w:val="Heading6"/>
        <w:numPr>
          <w:ilvl w:val="5"/>
          <w:numId w:val="1"/>
        </w:numPr>
        <w:rPr/>
      </w:pPr>
      <w:bookmarkStart w:id="3873" w:name="__RefHeading___Toc2568510_3650668749"/>
      <w:bookmarkStart w:id="3874" w:name="_Toc1764"/>
      <w:bookmarkEnd w:id="3873"/>
      <w:r>
        <w:rPr>
          <w:rtl w:val="true"/>
        </w:rPr>
        <w:t>[ (</w:t>
      </w:r>
      <w:r>
        <w:rPr>
          <w:rtl w:val="true"/>
        </w:rPr>
        <w:t xml:space="preserve">مسألة </w:t>
      </w:r>
      <w:r>
        <w:rPr/>
        <w:t>34</w:t>
      </w:r>
      <w:r>
        <w:rPr>
          <w:rtl w:val="true"/>
        </w:rPr>
        <w:t xml:space="preserve">): </w:t>
      </w:r>
      <w:r>
        <w:rPr>
          <w:rtl w:val="true"/>
        </w:rPr>
        <w:t>کما یثبت الخیار بوجود العیب عند العقد کذلک یثبت بحدوثه بعده قبل القبض</w:t>
      </w:r>
      <w:r>
        <w:rPr>
          <w:rtl w:val="true"/>
        </w:rPr>
        <w:t>]</w:t>
      </w:r>
      <w:bookmarkEnd w:id="38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یثبت الخیار بوجود العیب عند العقد کذلک یثبت بحدوثه بعده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العیب الحادث بعد العقد یمنع عن الردّ لو حدث بعد القبض </w:t>
      </w:r>
      <w:r>
        <w:rPr>
          <w:rStyle w:val="FootnoteAnchor"/>
          <w:rtl w:val="true"/>
        </w:rPr>
        <w:footnoteReference w:id="1103"/>
      </w:r>
      <w:r>
        <w:rPr>
          <w:rFonts w:ascii="IRNazanin" w:hAnsi="IRNazanin" w:eastAsia="IRNazanin"/>
          <w:color w:val="111111"/>
          <w:sz w:val="28"/>
          <w:sz w:val="28"/>
          <w:szCs w:val="28"/>
          <w:rtl w:val="true"/>
          <w:lang w:bidi="fa-IR"/>
        </w:rPr>
        <w:t>، و أمّا لو حدث قبله فهو سبب للخیار فلا یمنع عن الردّ و الفسخ بسبب العیب السابق بطریق أولیٰ</w:t>
      </w:r>
      <w:r>
        <w:rPr>
          <w:rFonts w:eastAsia="IRNazanin" w:cs="IRNazanin"/>
          <w:color w:val="111111"/>
          <w:sz w:val="28"/>
          <w:szCs w:val="28"/>
          <w:rtl w:val="true"/>
          <w:lang w:bidi="fa-IR"/>
        </w:rPr>
        <w:t>.</w:t>
      </w:r>
    </w:p>
    <w:p>
      <w:pPr>
        <w:pStyle w:val="Heading6"/>
        <w:numPr>
          <w:ilvl w:val="5"/>
          <w:numId w:val="1"/>
        </w:numPr>
        <w:rPr/>
      </w:pPr>
      <w:bookmarkStart w:id="3875" w:name="__RefHeading___Toc2568512_3650668749"/>
      <w:bookmarkStart w:id="3876" w:name="_Toc1765"/>
      <w:bookmarkEnd w:id="3875"/>
      <w:r>
        <w:rPr>
          <w:rtl w:val="true"/>
        </w:rPr>
        <w:t>[ (</w:t>
      </w:r>
      <w:r>
        <w:rPr>
          <w:rtl w:val="true"/>
        </w:rPr>
        <w:t xml:space="preserve">مسألة </w:t>
      </w:r>
      <w:r>
        <w:rPr/>
        <w:t>35</w:t>
      </w:r>
      <w:r>
        <w:rPr>
          <w:rtl w:val="true"/>
        </w:rPr>
        <w:t xml:space="preserve">): </w:t>
      </w:r>
      <w:r>
        <w:rPr>
          <w:rtl w:val="true"/>
        </w:rPr>
        <w:t>لو کان معیوباً عند العقد و زال العیب قبل ظهوره</w:t>
      </w:r>
      <w:r>
        <w:rPr>
          <w:rtl w:val="true"/>
        </w:rPr>
        <w:t>]</w:t>
      </w:r>
      <w:bookmarkEnd w:id="38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معیوباً عند العقد و زال العیب قبل ظهوره، الظاهر سقوط الخیار، و أمّا سقوط الأرش ففیه إشکال لا یبعد </w:t>
      </w:r>
      <w:r>
        <w:rPr>
          <w:rStyle w:val="FootnoteAnchor"/>
          <w:rtl w:val="true"/>
        </w:rPr>
        <w:footnoteReference w:id="1104"/>
      </w:r>
      <w:r>
        <w:rPr>
          <w:rFonts w:ascii="IRNazanin" w:hAnsi="IRNazanin" w:eastAsia="IRNazanin"/>
          <w:color w:val="111111"/>
          <w:sz w:val="28"/>
          <w:sz w:val="28"/>
          <w:szCs w:val="28"/>
          <w:rtl w:val="true"/>
          <w:lang w:bidi="fa-IR"/>
        </w:rPr>
        <w:t>ثبوته، و إن کان الأحوط التصالح</w:t>
      </w:r>
      <w:r>
        <w:rPr>
          <w:rFonts w:eastAsia="IRNazanin" w:cs="IRNazanin"/>
          <w:color w:val="111111"/>
          <w:sz w:val="28"/>
          <w:szCs w:val="28"/>
          <w:rtl w:val="true"/>
          <w:lang w:bidi="fa-IR"/>
        </w:rPr>
        <w:t>.</w:t>
      </w:r>
    </w:p>
    <w:p>
      <w:pPr>
        <w:pStyle w:val="Heading6"/>
        <w:numPr>
          <w:ilvl w:val="5"/>
          <w:numId w:val="1"/>
        </w:numPr>
        <w:rPr/>
      </w:pPr>
      <w:bookmarkStart w:id="3877" w:name="__RefHeading___Toc2568514_3650668749"/>
      <w:bookmarkStart w:id="3878" w:name="_Toc1766"/>
      <w:bookmarkEnd w:id="3877"/>
      <w:r>
        <w:rPr>
          <w:rtl w:val="true"/>
        </w:rPr>
        <w:t>[ (</w:t>
      </w:r>
      <w:r>
        <w:rPr>
          <w:rtl w:val="true"/>
        </w:rPr>
        <w:t xml:space="preserve">مسألة </w:t>
      </w:r>
      <w:r>
        <w:rPr/>
        <w:t>36</w:t>
      </w:r>
      <w:r>
        <w:rPr>
          <w:rtl w:val="true"/>
        </w:rPr>
        <w:t xml:space="preserve">): </w:t>
      </w:r>
      <w:r>
        <w:rPr>
          <w:rtl w:val="true"/>
        </w:rPr>
        <w:t>کیفیّة أخذ الأرش</w:t>
      </w:r>
      <w:r>
        <w:rPr>
          <w:rtl w:val="true"/>
        </w:rPr>
        <w:t>]</w:t>
      </w:r>
      <w:bookmarkEnd w:id="38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أخذ الأرش بأن یقوّم الشی‌ء صحیحاً ثمّ یقوّم معیباً و یلاحظ النسبة بینهما ثمّ ینقص من الثمن المسمّی بتلک النسبة، فإذا قوّم صحیحاً بتسعة و معیباً بستّة و کان الثمن ستّة یتنقّص من الستّة اثنان و هکذا، و المرجع فی تعیین ذلک أهل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یعتبر فیه </w:t>
      </w:r>
      <w:r>
        <w:rPr>
          <w:rStyle w:val="FootnoteAnchor"/>
          <w:rtl w:val="true"/>
        </w:rPr>
        <w:footnoteReference w:id="1105"/>
      </w:r>
      <w:r>
        <w:rPr>
          <w:rFonts w:ascii="IRNazanin" w:hAnsi="IRNazanin" w:eastAsia="IRNazanin"/>
          <w:color w:val="111111"/>
          <w:sz w:val="28"/>
          <w:sz w:val="28"/>
          <w:szCs w:val="28"/>
          <w:rtl w:val="true"/>
          <w:lang w:bidi="fa-IR"/>
        </w:rPr>
        <w:t>ما یعتبر فی الشهادة من التعدّد و العدالة، و فی الاکتفاء بقول العدل الواحد وجه</w:t>
      </w:r>
      <w:r>
        <w:rPr>
          <w:rFonts w:eastAsia="IRNazanin" w:cs="IRNazanin"/>
          <w:color w:val="111111"/>
          <w:sz w:val="28"/>
          <w:szCs w:val="28"/>
          <w:rtl w:val="true"/>
          <w:lang w:bidi="fa-IR"/>
        </w:rPr>
        <w:t>.</w:t>
      </w:r>
    </w:p>
    <w:p>
      <w:pPr>
        <w:pStyle w:val="Heading6"/>
        <w:numPr>
          <w:ilvl w:val="5"/>
          <w:numId w:val="1"/>
        </w:numPr>
        <w:rPr/>
      </w:pPr>
      <w:bookmarkStart w:id="3879" w:name="__RefHeading___Toc2568516_3650668749"/>
      <w:bookmarkStart w:id="3880" w:name="_Toc1767"/>
      <w:bookmarkEnd w:id="3879"/>
      <w:r>
        <w:rPr>
          <w:rtl w:val="true"/>
        </w:rPr>
        <w:t>[ (</w:t>
      </w:r>
      <w:r>
        <w:rPr>
          <w:rtl w:val="true"/>
        </w:rPr>
        <w:t xml:space="preserve">مسألة </w:t>
      </w:r>
      <w:r>
        <w:rPr/>
        <w:t>37</w:t>
      </w:r>
      <w:r>
        <w:rPr>
          <w:rtl w:val="true"/>
        </w:rPr>
        <w:t xml:space="preserve">): </w:t>
      </w:r>
      <w:r>
        <w:rPr>
          <w:rtl w:val="true"/>
        </w:rPr>
        <w:t>لو تعارض المقوّمون فی تقویم الصحیح أو المعیب أو کلیهما</w:t>
      </w:r>
      <w:r>
        <w:rPr>
          <w:rtl w:val="true"/>
        </w:rPr>
        <w:t>]</w:t>
      </w:r>
      <w:bookmarkEnd w:id="388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تعارض المقوّمون فی تقویم الصحیح أو المعیب أو کلیهما فقوّم الصحیح مثلًا عدلان بمقدار و معیبه بمقدار و خالفهما عدلان آخران یؤخذ </w:t>
      </w:r>
      <w:r>
        <w:rPr>
          <w:rStyle w:val="FootnoteAnchor"/>
          <w:rtl w:val="true"/>
        </w:rPr>
        <w:footnoteReference w:id="1106"/>
      </w:r>
      <w:r>
        <w:rPr>
          <w:rFonts w:ascii="IRNazanin" w:hAnsi="IRNazanin" w:eastAsia="IRNazanin"/>
          <w:color w:val="111111"/>
          <w:sz w:val="28"/>
          <w:sz w:val="28"/>
          <w:szCs w:val="28"/>
          <w:rtl w:val="true"/>
          <w:lang w:bidi="fa-IR"/>
        </w:rPr>
        <w:t>التفاوت</w:t>
      </w:r>
      <w:bookmarkStart w:id="3881" w:name="pg1809_19360"/>
    </w:p>
    <w:p>
      <w:pPr>
        <w:pStyle w:val="BookText"/>
        <w:rPr/>
      </w:pPr>
      <w:bookmarkEnd w:id="3881"/>
      <w:r>
        <w:rPr>
          <w:rFonts w:ascii="IRNazanin" w:hAnsi="IRNazanin" w:eastAsia="IRNazanin"/>
          <w:color w:val="111111"/>
          <w:sz w:val="28"/>
          <w:sz w:val="28"/>
          <w:szCs w:val="28"/>
          <w:rtl w:val="true"/>
          <w:lang w:bidi="fa-IR"/>
        </w:rPr>
        <w:t>بین الصحیح و المعیب من کلّ منهما و یجمع بینهما ثمّ یؤخذ نصف المجموع، فإذا قوّم أحدهما صحیحة بعشرة و معیبه بخمسة و الآخر صحیحه بتسعة و معیبه بستّة و کان الثمن اثنی عشر یردّ من الثمن خمسة و یعطی البائع سبعة؛ لأنّ التفاوت بین الصحیح و المعیب علی الأوّل بالنصف فیکون الأرش ستّة و علی الثانی بالثلث فیکون أربعة، و المجموع عشرة و نصفها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فرض أنّه قوّمه عدلان آخران أیضاً صحیحة ثمانیة و معیبه ستّة فیکون التفاوت بالربع؛ و هو ثلاثة من اثنی عشر فیضمّ إلی العشرة و المجموع ثلاثة عشر فتؤخذ ثلثها و هو أربعة و ثلث، و هو الأرش الذی ینقص من الثمن أعنی اثنی عشر و یبقی للبائع سبعة و ثلثان و هکذا</w:t>
      </w:r>
      <w:r>
        <w:rPr>
          <w:rFonts w:eastAsia="IRNazanin" w:cs="IRNazanin"/>
          <w:color w:val="111111"/>
          <w:sz w:val="28"/>
          <w:szCs w:val="28"/>
          <w:rtl w:val="true"/>
          <w:lang w:bidi="fa-IR"/>
        </w:rPr>
        <w:t>.</w:t>
      </w:r>
    </w:p>
    <w:p>
      <w:pPr>
        <w:pStyle w:val="Heading6"/>
        <w:numPr>
          <w:ilvl w:val="5"/>
          <w:numId w:val="1"/>
        </w:numPr>
        <w:rPr/>
      </w:pPr>
      <w:bookmarkStart w:id="3882" w:name="__RefHeading___Toc2568518_3650668749"/>
      <w:bookmarkStart w:id="3883" w:name="_Toc1768"/>
      <w:bookmarkEnd w:id="3882"/>
      <w:r>
        <w:rPr>
          <w:rtl w:val="true"/>
        </w:rPr>
        <w:t>[ (</w:t>
      </w:r>
      <w:r>
        <w:rPr>
          <w:rtl w:val="true"/>
        </w:rPr>
        <w:t xml:space="preserve">مسألة </w:t>
      </w:r>
      <w:r>
        <w:rPr/>
        <w:t>38</w:t>
      </w:r>
      <w:r>
        <w:rPr>
          <w:rtl w:val="true"/>
        </w:rPr>
        <w:t xml:space="preserve">): </w:t>
      </w:r>
      <w:r>
        <w:rPr>
          <w:rtl w:val="true"/>
        </w:rPr>
        <w:t>لو باع شیئین صفقة واحدة فظهر العیب فی أحدهما کان للمشتری أخذ الأرش أو ردّ الجمیع</w:t>
      </w:r>
      <w:r>
        <w:rPr>
          <w:rtl w:val="true"/>
        </w:rPr>
        <w:t>]</w:t>
      </w:r>
      <w:bookmarkEnd w:id="38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شیئین صفقة واحدة فظهر العیب فی أحدهما کان للمشتری أخذ الأرش أو ردّ الجمیع و لیس له التبعیض و ردّ المعیب وحده، و کذا لو اشترک اثنان فی شراء شی‌ء فوجداه معیباً لیس لأحدهما ردّ حصّته خاصّة إذا لم یوافقه شریکه، علیٰ إشکال فیهما خصوصاً فی ثانیهما، نعم لو رضی البائع یجوز و یصحّ التبعیض فی المسألتین بلا إشکال فیهما</w:t>
      </w:r>
      <w:r>
        <w:rPr>
          <w:rFonts w:eastAsia="IRNazanin" w:cs="IRNazanin"/>
          <w:color w:val="111111"/>
          <w:sz w:val="28"/>
          <w:szCs w:val="28"/>
          <w:rtl w:val="true"/>
          <w:lang w:bidi="fa-IR"/>
        </w:rPr>
        <w:t>.</w:t>
      </w:r>
    </w:p>
    <w:p>
      <w:pPr>
        <w:pStyle w:val="Heading6"/>
        <w:numPr>
          <w:ilvl w:val="5"/>
          <w:numId w:val="1"/>
        </w:numPr>
        <w:rPr/>
      </w:pPr>
      <w:bookmarkStart w:id="3884" w:name="__RefHeading___Toc2568520_3650668749"/>
      <w:bookmarkStart w:id="3885" w:name="_Toc1769"/>
      <w:bookmarkEnd w:id="3884"/>
      <w:r>
        <w:rPr>
          <w:rtl w:val="true"/>
        </w:rPr>
        <w:t>[ (</w:t>
      </w:r>
      <w:r>
        <w:rPr>
          <w:rtl w:val="true"/>
        </w:rPr>
        <w:t xml:space="preserve">مسألة </w:t>
      </w:r>
      <w:r>
        <w:rPr/>
        <w:t>39</w:t>
      </w:r>
      <w:r>
        <w:rPr>
          <w:rtl w:val="true"/>
        </w:rPr>
        <w:t xml:space="preserve">): </w:t>
      </w:r>
      <w:r>
        <w:rPr>
          <w:rtl w:val="true"/>
        </w:rPr>
        <w:t>قد عرفت أنّ العیب الموجب للخیار ما کان موجوداً حال العقد أو حدث بعده قبل القبض</w:t>
      </w:r>
      <w:r>
        <w:rPr>
          <w:rtl w:val="true"/>
        </w:rPr>
        <w:t>]</w:t>
      </w:r>
      <w:bookmarkEnd w:id="38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العیب الموجب للخیار ما کان موجوداً حال العقد أو حدث بعده قبل القبض </w:t>
      </w:r>
      <w:r>
        <w:rPr>
          <w:rStyle w:val="FootnoteAnchor"/>
          <w:rtl w:val="true"/>
        </w:rPr>
        <w:footnoteReference w:id="1107"/>
      </w:r>
      <w:r>
        <w:rPr>
          <w:rFonts w:ascii="IRNazanin" w:hAnsi="IRNazanin" w:eastAsia="IRNazanin"/>
          <w:color w:val="111111"/>
          <w:sz w:val="28"/>
          <w:sz w:val="28"/>
          <w:szCs w:val="28"/>
          <w:rtl w:val="true"/>
          <w:lang w:bidi="fa-IR"/>
        </w:rPr>
        <w:t xml:space="preserve">، فلا یؤثّر فی ثبوت الخیار و لا فی استحقاق الأرش ما حدث بعد العقد و القبض، عدا الجنون و البرص و الجذام و القرن </w:t>
      </w:r>
      <w:r>
        <w:rPr>
          <w:rStyle w:val="FootnoteAnchor"/>
          <w:rtl w:val="true"/>
        </w:rPr>
        <w:footnoteReference w:id="1108"/>
      </w:r>
      <w:r>
        <w:rPr>
          <w:rFonts w:ascii="IRNazanin" w:hAnsi="IRNazanin" w:eastAsia="IRNazanin"/>
          <w:color w:val="111111"/>
          <w:sz w:val="28"/>
          <w:sz w:val="28"/>
          <w:szCs w:val="28"/>
          <w:rtl w:val="true"/>
          <w:lang w:bidi="fa-IR"/>
        </w:rPr>
        <w:t>فإنّ هذه العیوب الأربعة لو حدثت إلیٰ سنة من یوم العقد یثبت لأجلها الخیار، و لأجل ذلک سمّیت هذه العیوب بأحداث السنة</w:t>
      </w:r>
      <w:r>
        <w:rPr>
          <w:rFonts w:eastAsia="IRNazanin" w:cs="IRNazanin"/>
          <w:color w:val="111111"/>
          <w:sz w:val="28"/>
          <w:szCs w:val="28"/>
          <w:rtl w:val="true"/>
          <w:lang w:bidi="fa-IR"/>
        </w:rPr>
        <w:t>.</w:t>
      </w:r>
    </w:p>
    <w:p>
      <w:pPr>
        <w:pStyle w:val="Heading4"/>
        <w:numPr>
          <w:ilvl w:val="3"/>
          <w:numId w:val="1"/>
        </w:numPr>
        <w:rPr/>
      </w:pPr>
      <w:bookmarkStart w:id="3886" w:name="__RefHeading___Toc2568522_3650668749"/>
      <w:bookmarkStart w:id="3887" w:name="_Toc1770"/>
      <w:bookmarkEnd w:id="3886"/>
      <w:r>
        <w:rPr>
          <w:rtl w:val="true"/>
        </w:rPr>
        <w:t>[</w:t>
      </w:r>
      <w:r>
        <w:rPr>
          <w:rtl w:val="true"/>
        </w:rPr>
        <w:t>خاتمة فی أحکام الخیار</w:t>
      </w:r>
      <w:r>
        <w:rPr>
          <w:rtl w:val="true"/>
        </w:rPr>
        <w:t>]</w:t>
      </w:r>
      <w:bookmarkEnd w:id="3887"/>
    </w:p>
    <w:p>
      <w:pPr>
        <w:pStyle w:val="Heading5"/>
        <w:numPr>
          <w:ilvl w:val="4"/>
          <w:numId w:val="1"/>
        </w:numPr>
        <w:rPr/>
      </w:pPr>
      <w:bookmarkStart w:id="3888" w:name="__RefHeading___Toc2568524_3650668749"/>
      <w:bookmarkStart w:id="3889" w:name="_Toc1771"/>
      <w:bookmarkEnd w:id="3888"/>
      <w:r>
        <w:rPr>
          <w:rtl w:val="true"/>
        </w:rPr>
        <w:t>اشارة</w:t>
      </w:r>
      <w:bookmarkEnd w:id="3889"/>
    </w:p>
    <w:p>
      <w:pPr>
        <w:pStyle w:val="BookText"/>
        <w:rPr/>
      </w:pPr>
      <w:r>
        <w:rPr>
          <w:rFonts w:ascii="IRNazanin" w:hAnsi="IRNazanin" w:eastAsia="IRNazanin"/>
          <w:color w:val="111111"/>
          <w:sz w:val="28"/>
          <w:sz w:val="28"/>
          <w:szCs w:val="28"/>
          <w:rtl w:val="true"/>
          <w:lang w:bidi="fa-IR"/>
        </w:rPr>
        <w:t>خاتمة فی أحکام الخیار و لیعلم أنّ للخیار أحکاماً مشترکة بین الجمیع، و أحکاماً تختصّ ببعضها لا یناسب هذا المختصر تفصیلها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الأحکام المشترکة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خیار یسقط إذا اشترط فی متن العقد عدمه، و کذلک</w:t>
      </w:r>
      <w:bookmarkStart w:id="3890" w:name="pg1809_19361"/>
    </w:p>
    <w:p>
      <w:pPr>
        <w:pStyle w:val="BookText"/>
        <w:rPr/>
      </w:pPr>
      <w:bookmarkEnd w:id="3890"/>
      <w:r>
        <w:rPr>
          <w:rFonts w:ascii="IRNazanin" w:hAnsi="IRNazanin" w:eastAsia="IRNazanin"/>
          <w:color w:val="111111"/>
          <w:sz w:val="28"/>
          <w:sz w:val="28"/>
          <w:szCs w:val="28"/>
          <w:rtl w:val="true"/>
          <w:lang w:bidi="fa-IR"/>
        </w:rPr>
        <w:t xml:space="preserve">یسقط بإسقاطه بعد العقد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مات من له الخیار انتقل خیاره إلیٰ وارثه، من غیر فرق بین أنواعه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المانع عن إرث الأموال لنقصان فی الوارث کالرقّیّة و القتل و الکفر مانع عن هذا الإرث أیضاً، کما أنّ ما یحجب به حجب حرمان و هو وجود الأقرب إلی المیّت یحجب به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الخیار متعلّقاً بمال خاصّ یحرم عنه بعض الورثة کالعقار بالنسبة إلی الزوجة و الحبوة بالنسبة إلیٰ غیر الولد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یحرم ذلک الوارث عن الخیار المتعلّق بذلک المال مطلقاً أو لا یحرم مطلقاً أو یفصّل بین ما إذا کان ما یحرم عنه الوارث منتقلًا إلی المیّت و ما کان منتقلًا عنه فیحرم فی الثانی دون الأوّل؛ ففیما إذا انتقل العقار إلی المیّت و کان له الخیار ترثه الزوجة بخلاف ما إذا باع العقار و کان له الخیار فلا ترثه؟ وجوه و أقوال، أقواها أوسطها</w:t>
      </w:r>
      <w:r>
        <w:rPr>
          <w:rFonts w:eastAsia="IRNazanin" w:cs="IRNazanin"/>
          <w:color w:val="111111"/>
          <w:sz w:val="28"/>
          <w:szCs w:val="28"/>
          <w:rtl w:val="true"/>
          <w:lang w:bidi="fa-IR"/>
        </w:rPr>
        <w:t>.</w:t>
      </w:r>
    </w:p>
    <w:p>
      <w:pPr>
        <w:pStyle w:val="Heading5"/>
        <w:numPr>
          <w:ilvl w:val="4"/>
          <w:numId w:val="1"/>
        </w:numPr>
        <w:rPr/>
      </w:pPr>
      <w:bookmarkStart w:id="3891" w:name="__RefHeading___Toc2568526_3650668749"/>
      <w:bookmarkStart w:id="3892" w:name="_Toc1772"/>
      <w:bookmarkEnd w:id="3891"/>
      <w:r>
        <w:rPr>
          <w:rtl w:val="true"/>
        </w:rPr>
        <w:t>[ (</w:t>
      </w:r>
      <w:r>
        <w:rPr>
          <w:rtl w:val="true"/>
        </w:rPr>
        <w:t xml:space="preserve">مسألة </w:t>
      </w:r>
      <w:r>
        <w:rPr/>
        <w:t>1</w:t>
      </w:r>
      <w:r>
        <w:rPr>
          <w:rtl w:val="true"/>
        </w:rPr>
        <w:t xml:space="preserve">): </w:t>
      </w:r>
      <w:r>
        <w:rPr>
          <w:rtl w:val="true"/>
        </w:rPr>
        <w:t>لا إشکال فیما إذا کان الوارث واحداً، و أمّا إذا تعدّد</w:t>
      </w:r>
      <w:r>
        <w:rPr>
          <w:rtl w:val="true"/>
        </w:rPr>
        <w:t>]</w:t>
      </w:r>
      <w:bookmarkEnd w:id="38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فیما إذا کان الوارث واحداً، و أمّا إذا تعدّد ففی کون الخیار لکلّ منهم بالاستقلال بالنسبة إلی الجمیع أو بالنسبة إلیٰ حصّته أو للمجموع بحیث لا أثر لفسخ بعضهم بدون ضمّ الباقین لا فی تمام المبیع و لا فی حصّته أقوال، أقواها الأخیر، ثمّ أوسطها</w:t>
      </w:r>
      <w:r>
        <w:rPr>
          <w:rFonts w:eastAsia="IRNazanin" w:cs="IRNazanin"/>
          <w:color w:val="111111"/>
          <w:sz w:val="28"/>
          <w:szCs w:val="28"/>
          <w:rtl w:val="true"/>
          <w:lang w:bidi="fa-IR"/>
        </w:rPr>
        <w:t>.</w:t>
      </w:r>
    </w:p>
    <w:p>
      <w:pPr>
        <w:pStyle w:val="Heading5"/>
        <w:numPr>
          <w:ilvl w:val="4"/>
          <w:numId w:val="1"/>
        </w:numPr>
        <w:rPr/>
      </w:pPr>
      <w:bookmarkStart w:id="3893" w:name="__RefHeading___Toc2568528_3650668749"/>
      <w:bookmarkStart w:id="3894" w:name="_Toc1773"/>
      <w:bookmarkEnd w:id="3893"/>
      <w:r>
        <w:rPr>
          <w:rtl w:val="true"/>
        </w:rPr>
        <w:t>[ (</w:t>
      </w:r>
      <w:r>
        <w:rPr>
          <w:rtl w:val="true"/>
        </w:rPr>
        <w:t xml:space="preserve">مسألة </w:t>
      </w:r>
      <w:r>
        <w:rPr/>
        <w:t>2</w:t>
      </w:r>
      <w:r>
        <w:rPr>
          <w:rtl w:val="true"/>
        </w:rPr>
        <w:t xml:space="preserve">): </w:t>
      </w:r>
      <w:r>
        <w:rPr>
          <w:rtl w:val="true"/>
        </w:rPr>
        <w:t>إذا اجتمع الورثة علی الفسخ فیما باعه مورّثهم</w:t>
      </w:r>
      <w:r>
        <w:rPr>
          <w:rtl w:val="true"/>
        </w:rPr>
        <w:t>]</w:t>
      </w:r>
      <w:bookmarkEnd w:id="38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الورثة علی الفسخ فیما باعه مورّثهم فإن کان عین الثمن موجوداً دفعوه إلی المشتری و إن لم یکن موجوداً أُخرج من مال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له مال ففی کونه علی المیّت و اشتغال ذمّته به فیجب تفریغها بالمبیع المردود إلیه فإن بقی شی‌ء یکون للورثة، و إن لم یفِ بتفریغ ما علیه یبقی الباقی فی ذمّته، أو کونه علی الورثة کلّ بقدر حصّته، وجهان؛ أوجههما أوّلهما</w:t>
      </w:r>
      <w:r>
        <w:rPr>
          <w:rFonts w:eastAsia="IRNazanin" w:cs="IRNazanin"/>
          <w:color w:val="111111"/>
          <w:sz w:val="28"/>
          <w:szCs w:val="28"/>
          <w:rtl w:val="true"/>
          <w:lang w:bidi="fa-IR"/>
        </w:rPr>
        <w:t>.</w:t>
      </w:r>
    </w:p>
    <w:p>
      <w:pPr>
        <w:pStyle w:val="Heading3"/>
        <w:numPr>
          <w:ilvl w:val="2"/>
          <w:numId w:val="1"/>
        </w:numPr>
        <w:rPr/>
      </w:pPr>
      <w:bookmarkStart w:id="3895" w:name="__RefHeading___Toc2568530_3650668749"/>
      <w:bookmarkStart w:id="3896" w:name="_Toc1774"/>
      <w:bookmarkEnd w:id="3895"/>
      <w:r>
        <w:rPr>
          <w:rtl w:val="true"/>
        </w:rPr>
        <w:t>[</w:t>
      </w:r>
      <w:r>
        <w:rPr>
          <w:rtl w:val="true"/>
        </w:rPr>
        <w:t>القول فیما یدخل فی المبیع عند الإطلاق</w:t>
      </w:r>
      <w:r>
        <w:rPr>
          <w:rtl w:val="true"/>
        </w:rPr>
        <w:t>]</w:t>
      </w:r>
      <w:bookmarkEnd w:id="3896"/>
    </w:p>
    <w:p>
      <w:pPr>
        <w:pStyle w:val="Heading4"/>
        <w:numPr>
          <w:ilvl w:val="3"/>
          <w:numId w:val="1"/>
        </w:numPr>
        <w:rPr/>
      </w:pPr>
      <w:bookmarkStart w:id="3897" w:name="__RefHeading___Toc2568532_3650668749"/>
      <w:bookmarkStart w:id="3898" w:name="_Toc1775"/>
      <w:bookmarkEnd w:id="3897"/>
      <w:r>
        <w:rPr>
          <w:rtl w:val="true"/>
        </w:rPr>
        <w:t>اشارة</w:t>
      </w:r>
      <w:bookmarkEnd w:id="3898"/>
    </w:p>
    <w:p>
      <w:pPr>
        <w:pStyle w:val="BookText"/>
        <w:rPr/>
      </w:pPr>
      <w:r>
        <w:rPr>
          <w:rFonts w:ascii="IRNazanin" w:hAnsi="IRNazanin" w:eastAsia="IRNazanin"/>
          <w:color w:val="111111"/>
          <w:sz w:val="28"/>
          <w:sz w:val="28"/>
          <w:szCs w:val="28"/>
          <w:rtl w:val="true"/>
          <w:lang w:bidi="fa-IR"/>
        </w:rPr>
        <w:t>القول فیما یدخل فی المبیع عند الإطلاق</w:t>
      </w:r>
    </w:p>
    <w:p>
      <w:pPr>
        <w:pStyle w:val="Heading4"/>
        <w:numPr>
          <w:ilvl w:val="3"/>
          <w:numId w:val="1"/>
        </w:numPr>
        <w:rPr/>
      </w:pPr>
      <w:bookmarkStart w:id="3899" w:name="__RefHeading___Toc2568534_3650668749"/>
      <w:bookmarkStart w:id="3900" w:name="_Toc1776"/>
      <w:bookmarkEnd w:id="3899"/>
      <w:r>
        <w:rPr>
          <w:rtl w:val="true"/>
        </w:rPr>
        <w:t>[ (</w:t>
      </w:r>
      <w:r>
        <w:rPr>
          <w:rtl w:val="true"/>
        </w:rPr>
        <w:t xml:space="preserve">مسألة </w:t>
      </w:r>
      <w:r>
        <w:rPr/>
        <w:t>1</w:t>
      </w:r>
      <w:r>
        <w:rPr>
          <w:rtl w:val="true"/>
        </w:rPr>
        <w:t xml:space="preserve">): </w:t>
      </w:r>
      <w:r>
        <w:rPr>
          <w:rtl w:val="true"/>
        </w:rPr>
        <w:t>من باع بستاناً دخل فیه الأرض و الشجر و النخل</w:t>
      </w:r>
      <w:r>
        <w:rPr>
          <w:rtl w:val="true"/>
        </w:rPr>
        <w:t>]</w:t>
      </w:r>
      <w:bookmarkEnd w:id="390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بستاناً دخل فیه الأرض و الشجر و النخل، و کذا الأبنیة من سورها</w:t>
      </w:r>
      <w:bookmarkStart w:id="3901" w:name="pg1809_19362"/>
    </w:p>
    <w:p>
      <w:pPr>
        <w:pStyle w:val="BookText"/>
        <w:rPr/>
      </w:pPr>
      <w:bookmarkEnd w:id="3901"/>
      <w:r>
        <w:rPr>
          <w:rFonts w:ascii="IRNazanin" w:hAnsi="IRNazanin" w:eastAsia="IRNazanin"/>
          <w:color w:val="111111"/>
          <w:sz w:val="28"/>
          <w:sz w:val="28"/>
          <w:szCs w:val="28"/>
          <w:rtl w:val="true"/>
          <w:lang w:bidi="fa-IR"/>
        </w:rPr>
        <w:t xml:space="preserve">و ما یعدّ من توابعها و مرافقها کالبئر و الناعور </w:t>
      </w:r>
      <w:r>
        <w:rPr>
          <w:rStyle w:val="FootnoteAnchor"/>
          <w:rtl w:val="true"/>
        </w:rPr>
        <w:footnoteReference w:id="1110"/>
      </w:r>
      <w:r>
        <w:rPr>
          <w:rFonts w:ascii="IRNazanin" w:hAnsi="IRNazanin" w:eastAsia="IRNazanin"/>
          <w:color w:val="111111"/>
          <w:sz w:val="28"/>
          <w:sz w:val="28"/>
          <w:szCs w:val="28"/>
          <w:rtl w:val="true"/>
          <w:lang w:bidi="fa-IR"/>
        </w:rPr>
        <w:t>و الحظیرة و نحوها، بخلاف ما إذا باع أرضاً فإنّه لا یدخل فیها النخل و الشجر الموجودتان فیها إلّا مع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لا یدخل الحمل </w:t>
      </w:r>
      <w:r>
        <w:rPr>
          <w:rStyle w:val="FootnoteAnchor"/>
          <w:rtl w:val="true"/>
        </w:rPr>
        <w:footnoteReference w:id="1111"/>
      </w:r>
      <w:r>
        <w:rPr>
          <w:rFonts w:ascii="IRNazanin" w:hAnsi="IRNazanin" w:eastAsia="IRNazanin"/>
          <w:color w:val="111111"/>
          <w:sz w:val="28"/>
          <w:sz w:val="28"/>
          <w:szCs w:val="28"/>
          <w:rtl w:val="true"/>
          <w:lang w:bidi="fa-IR"/>
        </w:rPr>
        <w:t>فی ابتیاع الامّ ما لم یشترط و الثمر فی بیع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باع نخلًا فإن کان مؤبّراً فالثمرة للبائع و یجب علی المشتری إبقاؤها علی الأُصول بما جرت العادة علیٰ إبقاء تلک الثمرة، و لو لم یؤبّر کانت للمشتری، و الظاهر اختصاص ذلک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غیرها فالثمرة للناقل بدون الشرط؛ سواء کانت مؤبّرة أو لم تکن، کما أنّ هذا الحکم مختصّ بالنخل فلا یجری فی غیرها، بل تکون الثمرة للبائع علیٰ کلّ حال</w:t>
      </w:r>
      <w:r>
        <w:rPr>
          <w:rFonts w:eastAsia="IRNazanin" w:cs="IRNazanin"/>
          <w:color w:val="111111"/>
          <w:sz w:val="28"/>
          <w:szCs w:val="28"/>
          <w:rtl w:val="true"/>
          <w:lang w:bidi="fa-IR"/>
        </w:rPr>
        <w:t>.</w:t>
      </w:r>
    </w:p>
    <w:p>
      <w:pPr>
        <w:pStyle w:val="Heading4"/>
        <w:numPr>
          <w:ilvl w:val="3"/>
          <w:numId w:val="1"/>
        </w:numPr>
        <w:rPr/>
      </w:pPr>
      <w:bookmarkStart w:id="3902" w:name="__RefHeading___Toc2568536_3650668749"/>
      <w:bookmarkStart w:id="3903" w:name="_Toc1777"/>
      <w:bookmarkEnd w:id="3902"/>
      <w:r>
        <w:rPr>
          <w:rtl w:val="true"/>
        </w:rPr>
        <w:t>[ (</w:t>
      </w:r>
      <w:r>
        <w:rPr>
          <w:rtl w:val="true"/>
        </w:rPr>
        <w:t xml:space="preserve">مسألة </w:t>
      </w:r>
      <w:r>
        <w:rPr/>
        <w:t>2</w:t>
      </w:r>
      <w:r>
        <w:rPr>
          <w:rtl w:val="true"/>
        </w:rPr>
        <w:t xml:space="preserve">): </w:t>
      </w:r>
      <w:r>
        <w:rPr>
          <w:rtl w:val="true"/>
        </w:rPr>
        <w:t>إذا باع الأُصول و بقیت الثمرة للبائع و احتاجت الثمرة إلی السقی</w:t>
      </w:r>
      <w:r>
        <w:rPr>
          <w:rtl w:val="true"/>
        </w:rPr>
        <w:t>]</w:t>
      </w:r>
      <w:bookmarkEnd w:id="39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الأُصول و بقیت الثمرة للبائع و احتاجت الثمرة إلی السقی یجوز لصاحبها أن یسقیها و لیس لصاحب الأُصول منعه، و کذلک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تضرّر أحدهما بالسقی و الآخر بترکه ففی تقدیم حقّ البائع المالک للثمرة أو المشتری المالک للأُصول وجهان، لا یخلو ثانیهما عن رجحان، و الأحوط التصالح و التراضی علیٰ تقدّم أحدهما و لو بأن یتحمّل ضرر الآخر</w:t>
      </w:r>
      <w:r>
        <w:rPr>
          <w:rFonts w:eastAsia="IRNazanin" w:cs="IRNazanin"/>
          <w:color w:val="111111"/>
          <w:sz w:val="28"/>
          <w:szCs w:val="28"/>
          <w:rtl w:val="true"/>
          <w:lang w:bidi="fa-IR"/>
        </w:rPr>
        <w:t>.</w:t>
      </w:r>
    </w:p>
    <w:p>
      <w:pPr>
        <w:pStyle w:val="Heading4"/>
        <w:numPr>
          <w:ilvl w:val="3"/>
          <w:numId w:val="1"/>
        </w:numPr>
        <w:rPr/>
      </w:pPr>
      <w:bookmarkStart w:id="3904" w:name="__RefHeading___Toc2568538_3650668749"/>
      <w:bookmarkStart w:id="3905" w:name="_Toc1778"/>
      <w:bookmarkEnd w:id="3904"/>
      <w:r>
        <w:rPr>
          <w:rtl w:val="true"/>
        </w:rPr>
        <w:t>[ (</w:t>
      </w:r>
      <w:r>
        <w:rPr>
          <w:rtl w:val="true"/>
        </w:rPr>
        <w:t xml:space="preserve">مسألة </w:t>
      </w:r>
      <w:r>
        <w:rPr/>
        <w:t>3</w:t>
      </w:r>
      <w:r>
        <w:rPr>
          <w:rtl w:val="true"/>
        </w:rPr>
        <w:t xml:space="preserve">): </w:t>
      </w:r>
      <w:r>
        <w:rPr>
          <w:rtl w:val="true"/>
        </w:rPr>
        <w:t>إذا باع بستاناً و استثنیٰ نخلة مثلًا فله الممرّ إلیها</w:t>
      </w:r>
      <w:r>
        <w:rPr>
          <w:rtl w:val="true"/>
        </w:rPr>
        <w:t>]</w:t>
      </w:r>
      <w:bookmarkEnd w:id="39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بستاناً و استثنیٰ نخلة مثلًا فله الممرّ إلیها و المخرج و مدی جرائدها و عروقها من الأرض، و لیس للمشتری منع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باع داراً دخل فیها الأرض و الأبنیة الأعلی و الأسفل، إلّا أن یکون الأعلی مستقلا من حیث المدخل و المخرج و المرافق و غیر ذلک ممّا یکون أمارة علیٰ خروجه و استقلاله بحسب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یدخل السرادیب و البئر و الأبواب و الأخشاب المتداخلة فی البناء و الأوتاد المثبتة فیه، بل السّلم المثبت علیٰ حذو الدرج، و لا یدخل الرحی المنصوبة إلّا مع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کان فیها نخل أو شجر إلّا مع الشرط </w:t>
      </w:r>
      <w:r>
        <w:rPr>
          <w:rStyle w:val="FootnoteAnchor"/>
          <w:rtl w:val="true"/>
        </w:rPr>
        <w:footnoteReference w:id="1112"/>
      </w:r>
      <w:r>
        <w:rPr>
          <w:rFonts w:ascii="IRNazanin" w:hAnsi="IRNazanin" w:eastAsia="IRNazanin"/>
          <w:color w:val="111111"/>
          <w:sz w:val="28"/>
          <w:sz w:val="28"/>
          <w:szCs w:val="28"/>
          <w:rtl w:val="true"/>
          <w:lang w:bidi="fa-IR"/>
        </w:rPr>
        <w:t>و لو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دار علیها حائطها، و فی دخول المفاتیح إشکال لا یبعد دخولها</w:t>
      </w:r>
      <w:r>
        <w:rPr>
          <w:rFonts w:eastAsia="IRNazanin" w:cs="IRNazanin"/>
          <w:color w:val="111111"/>
          <w:sz w:val="28"/>
          <w:szCs w:val="28"/>
          <w:rtl w:val="true"/>
          <w:lang w:bidi="fa-IR"/>
        </w:rPr>
        <w:t>.</w:t>
      </w:r>
    </w:p>
    <w:p>
      <w:pPr>
        <w:pStyle w:val="Heading4"/>
        <w:numPr>
          <w:ilvl w:val="3"/>
          <w:numId w:val="1"/>
        </w:numPr>
        <w:rPr/>
      </w:pPr>
      <w:bookmarkStart w:id="3906" w:name="__RefHeading___Toc2568540_3650668749"/>
      <w:bookmarkStart w:id="3907" w:name="_Toc1779"/>
      <w:bookmarkEnd w:id="3906"/>
      <w:r>
        <w:rPr>
          <w:rtl w:val="true"/>
        </w:rPr>
        <w:t>[ (</w:t>
      </w:r>
      <w:r>
        <w:rPr>
          <w:rtl w:val="true"/>
        </w:rPr>
        <w:t xml:space="preserve">مسألة </w:t>
      </w:r>
      <w:r>
        <w:rPr/>
        <w:t>4</w:t>
      </w:r>
      <w:r>
        <w:rPr>
          <w:rtl w:val="true"/>
        </w:rPr>
        <w:t xml:space="preserve">): </w:t>
      </w:r>
      <w:r>
        <w:rPr>
          <w:rtl w:val="true"/>
        </w:rPr>
        <w:t>الأحجار المخلوقة فی الأرض و المعادن المتکوّنة فیها تدخل فی بیعها</w:t>
      </w:r>
      <w:r>
        <w:rPr>
          <w:rtl w:val="true"/>
        </w:rPr>
        <w:t>]</w:t>
      </w:r>
      <w:bookmarkEnd w:id="390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الأحجار المخلوقة فی الأرض و المعادن المتکوّنة فیها تدخل فی بیعها، بخلاف الأحجار المدفونة فیها کالکنوز المودّعة فیها و نحوها</w:t>
      </w:r>
      <w:r>
        <w:rPr>
          <w:rFonts w:eastAsia="IRNazanin" w:cs="IRNazanin"/>
          <w:color w:val="111111"/>
          <w:sz w:val="28"/>
          <w:szCs w:val="28"/>
          <w:rtl w:val="true"/>
          <w:lang w:bidi="fa-IR"/>
        </w:rPr>
        <w:t>.</w:t>
      </w:r>
      <w:bookmarkStart w:id="3908" w:name="pg1809_19363"/>
    </w:p>
    <w:p>
      <w:pPr>
        <w:pStyle w:val="Heading3"/>
        <w:numPr>
          <w:ilvl w:val="2"/>
          <w:numId w:val="1"/>
        </w:numPr>
        <w:rPr/>
      </w:pPr>
      <w:bookmarkStart w:id="3909" w:name="__RefHeading___Toc2568542_3650668749"/>
      <w:bookmarkStart w:id="3910" w:name="_Toc1780"/>
      <w:bookmarkEnd w:id="3908"/>
      <w:bookmarkEnd w:id="3909"/>
      <w:r>
        <w:rPr>
          <w:rtl w:val="true"/>
        </w:rPr>
        <w:t>[</w:t>
      </w:r>
      <w:r>
        <w:rPr>
          <w:rtl w:val="true"/>
        </w:rPr>
        <w:t>القول فی القبض و التسلیم</w:t>
      </w:r>
      <w:r>
        <w:rPr>
          <w:rtl w:val="true"/>
        </w:rPr>
        <w:t>]</w:t>
      </w:r>
      <w:bookmarkEnd w:id="3910"/>
    </w:p>
    <w:p>
      <w:pPr>
        <w:pStyle w:val="Heading4"/>
        <w:numPr>
          <w:ilvl w:val="3"/>
          <w:numId w:val="1"/>
        </w:numPr>
        <w:rPr/>
      </w:pPr>
      <w:bookmarkStart w:id="3911" w:name="__RefHeading___Toc2568544_3650668749"/>
      <w:bookmarkStart w:id="3912" w:name="_Toc1781"/>
      <w:bookmarkEnd w:id="3911"/>
      <w:r>
        <w:rPr>
          <w:rtl w:val="true"/>
        </w:rPr>
        <w:t>اشارة</w:t>
      </w:r>
      <w:bookmarkEnd w:id="3912"/>
    </w:p>
    <w:p>
      <w:pPr>
        <w:pStyle w:val="BookText"/>
        <w:rPr/>
      </w:pPr>
      <w:r>
        <w:rPr>
          <w:rFonts w:ascii="IRNazanin" w:hAnsi="IRNazanin" w:eastAsia="IRNazanin"/>
          <w:color w:val="111111"/>
          <w:sz w:val="28"/>
          <w:sz w:val="28"/>
          <w:szCs w:val="28"/>
          <w:rtl w:val="true"/>
          <w:lang w:bidi="fa-IR"/>
        </w:rPr>
        <w:t>القول فی القبض و التسلیم</w:t>
      </w:r>
    </w:p>
    <w:p>
      <w:pPr>
        <w:pStyle w:val="Heading4"/>
        <w:numPr>
          <w:ilvl w:val="3"/>
          <w:numId w:val="1"/>
        </w:numPr>
        <w:rPr/>
      </w:pPr>
      <w:bookmarkStart w:id="3913" w:name="__RefHeading___Toc2568546_3650668749"/>
      <w:bookmarkStart w:id="3914" w:name="_Toc1782"/>
      <w:bookmarkEnd w:id="3913"/>
      <w:r>
        <w:rPr>
          <w:rtl w:val="true"/>
        </w:rPr>
        <w:t>[ (</w:t>
      </w:r>
      <w:r>
        <w:rPr>
          <w:rtl w:val="true"/>
        </w:rPr>
        <w:t xml:space="preserve">مسألة </w:t>
      </w:r>
      <w:r>
        <w:rPr/>
        <w:t>1</w:t>
      </w:r>
      <w:r>
        <w:rPr>
          <w:rtl w:val="true"/>
        </w:rPr>
        <w:t xml:space="preserve">): </w:t>
      </w:r>
      <w:r>
        <w:rPr>
          <w:rtl w:val="true"/>
        </w:rPr>
        <w:t>یجب علی المتبایعین تسلیم العوضین بعد العقد</w:t>
      </w:r>
      <w:r>
        <w:rPr>
          <w:rtl w:val="true"/>
        </w:rPr>
        <w:t>]</w:t>
      </w:r>
      <w:bookmarkEnd w:id="39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المتبایعین تسلیم العوضین بعد العقد لو لم یشترط التأخیر، فلا یجوز لکلّ منهما التأخیر مع الإمکان إلّا برضا صاحبه، فإن امتنعا أُجبرا، و لو امتنع أحدهما مع تسلیم صاحبه اجبر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اشترط کلّ منهما تأخیر التسلیم إلیٰ مدّة معیّنة جاز </w:t>
      </w:r>
      <w:r>
        <w:rPr>
          <w:rStyle w:val="FootnoteAnchor"/>
          <w:rtl w:val="true"/>
        </w:rPr>
        <w:footnoteReference w:id="1113"/>
      </w:r>
      <w:r>
        <w:rPr>
          <w:rFonts w:ascii="IRNazanin" w:hAnsi="IRNazanin" w:eastAsia="IRNazanin"/>
          <w:color w:val="111111"/>
          <w:sz w:val="28"/>
          <w:sz w:val="28"/>
          <w:szCs w:val="28"/>
          <w:rtl w:val="true"/>
          <w:lang w:bidi="fa-IR"/>
        </w:rPr>
        <w:t xml:space="preserve">، و لیس لغیر مشترط التأخیر الامتناع عن التسلیم؛ لعدم تسلیم صاحبه الذی اشترط التأخیر </w:t>
      </w:r>
      <w:r>
        <w:rPr>
          <w:rStyle w:val="FootnoteAnchor"/>
          <w:rtl w:val="true"/>
        </w:rPr>
        <w:footnoteReference w:id="1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أن یشترط البائع له سکنی الدار أو رکوب الدابّة أو زرع الأرض و نحو ذلک مدّة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القبض و التسلیم فیما لا ینقل کالدار و العقار هو التخلیة برفع یده عنه و رفع المنافیات و الإذن منه لصاحبه فی التصرّف بحیث صار تحت استیلائه، و أمّا فی المنقول کالطعام و الثیاب و نحوه ففی کونه التخلیة أیضاً أو الأخذ بالید مطلقاً أو التفصیل بین أنواعه أقوال، لا یبعد کفایة التخلیة فی مقام وجوب تسلیم العوضین علی المتبایعین بحیث یخرج عن ضمانه </w:t>
      </w:r>
      <w:r>
        <w:rPr>
          <w:rStyle w:val="FootnoteAnchor"/>
          <w:rtl w:val="true"/>
        </w:rPr>
        <w:footnoteReference w:id="1115"/>
      </w:r>
      <w:r>
        <w:rPr>
          <w:rFonts w:ascii="IRNazanin" w:hAnsi="IRNazanin" w:eastAsia="IRNazanin"/>
          <w:color w:val="111111"/>
          <w:sz w:val="28"/>
          <w:sz w:val="28"/>
          <w:szCs w:val="28"/>
          <w:rtl w:val="true"/>
          <w:lang w:bidi="fa-IR"/>
        </w:rPr>
        <w:t>و عدم کون تلفه علیه، و إن لم یکتف بذلک فی سائر المقامات التی یعتبر فیها القبض ممّا لا یسع المقام تفصیلها</w:t>
      </w:r>
      <w:r>
        <w:rPr>
          <w:rFonts w:eastAsia="IRNazanin" w:cs="IRNazanin"/>
          <w:color w:val="111111"/>
          <w:sz w:val="28"/>
          <w:szCs w:val="28"/>
          <w:rtl w:val="true"/>
          <w:lang w:bidi="fa-IR"/>
        </w:rPr>
        <w:t>.</w:t>
      </w:r>
    </w:p>
    <w:p>
      <w:pPr>
        <w:pStyle w:val="Heading4"/>
        <w:numPr>
          <w:ilvl w:val="3"/>
          <w:numId w:val="1"/>
        </w:numPr>
        <w:rPr/>
      </w:pPr>
      <w:bookmarkStart w:id="3915" w:name="__RefHeading___Toc2568548_3650668749"/>
      <w:bookmarkStart w:id="3916" w:name="_Toc1783"/>
      <w:bookmarkEnd w:id="3915"/>
      <w:r>
        <w:rPr>
          <w:rtl w:val="true"/>
        </w:rPr>
        <w:t>[ (</w:t>
      </w:r>
      <w:r>
        <w:rPr>
          <w:rtl w:val="true"/>
        </w:rPr>
        <w:t xml:space="preserve">مسألة </w:t>
      </w:r>
      <w:r>
        <w:rPr/>
        <w:t>2</w:t>
      </w:r>
      <w:r>
        <w:rPr>
          <w:rtl w:val="true"/>
        </w:rPr>
        <w:t xml:space="preserve">): </w:t>
      </w:r>
      <w:r>
        <w:rPr>
          <w:rtl w:val="true"/>
        </w:rPr>
        <w:t>إذا تلف المبیع قبل تسلیمه إلی المشتری کان من مال البائع</w:t>
      </w:r>
      <w:r>
        <w:rPr>
          <w:rtl w:val="true"/>
        </w:rPr>
        <w:t>]</w:t>
      </w:r>
      <w:bookmarkEnd w:id="39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المبیع قبل تسلیمه إلی المشتری کان من مال البائع فانفسخ البیع و عاد الثمن إلی المشتری، و إذا حصل للمبیع نماء قبل القبض کالنتاج و الثمرة کان ذلک للمشتری، فإن تلف الأصل قبل قبضه عاد الثمن إلیه و له النماء، و لو تعیّب قبل القبض کان المشتری بالخیار بین الفسخ و الإمضاء بکلّ الثمن، و فی استحقاقه لأخذ الأرش تردّد، أقواه العدم</w:t>
      </w:r>
      <w:r>
        <w:rPr>
          <w:rFonts w:eastAsia="IRNazanin" w:cs="IRNazanin"/>
          <w:color w:val="111111"/>
          <w:sz w:val="28"/>
          <w:szCs w:val="28"/>
          <w:rtl w:val="true"/>
          <w:lang w:bidi="fa-IR"/>
        </w:rPr>
        <w:t>.</w:t>
      </w:r>
    </w:p>
    <w:p>
      <w:pPr>
        <w:pStyle w:val="Heading4"/>
        <w:numPr>
          <w:ilvl w:val="3"/>
          <w:numId w:val="1"/>
        </w:numPr>
        <w:rPr/>
      </w:pPr>
      <w:bookmarkStart w:id="3917" w:name="__RefHeading___Toc2568550_3650668749"/>
      <w:bookmarkStart w:id="3918" w:name="_Toc1784"/>
      <w:bookmarkEnd w:id="3917"/>
      <w:r>
        <w:rPr>
          <w:rtl w:val="true"/>
        </w:rPr>
        <w:t>[ (</w:t>
      </w:r>
      <w:r>
        <w:rPr>
          <w:rtl w:val="true"/>
        </w:rPr>
        <w:t xml:space="preserve">مسألة </w:t>
      </w:r>
      <w:r>
        <w:rPr/>
        <w:t>3</w:t>
      </w:r>
      <w:r>
        <w:rPr>
          <w:rtl w:val="true"/>
        </w:rPr>
        <w:t xml:space="preserve">): </w:t>
      </w:r>
      <w:r>
        <w:rPr>
          <w:rtl w:val="true"/>
        </w:rPr>
        <w:t>لو باع جملة فتلف بعضها انفسخ البیع بالنسبة إلی التالف</w:t>
      </w:r>
      <w:r>
        <w:rPr>
          <w:rtl w:val="true"/>
        </w:rPr>
        <w:t>]</w:t>
      </w:r>
      <w:bookmarkEnd w:id="39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جملة فتلف بعضها انفسخ البیع بالنسبة إلی التالف، و عاد إلی المشتری ما یخصّه من الثمن، و له فسخ العقد و الرضا بالموجود بحصّته من الثمن</w:t>
      </w:r>
      <w:r>
        <w:rPr>
          <w:rFonts w:eastAsia="IRNazanin" w:cs="IRNazanin"/>
          <w:color w:val="111111"/>
          <w:sz w:val="28"/>
          <w:szCs w:val="28"/>
          <w:rtl w:val="true"/>
          <w:lang w:bidi="fa-IR"/>
        </w:rPr>
        <w:t>.</w:t>
      </w:r>
    </w:p>
    <w:p>
      <w:pPr>
        <w:pStyle w:val="Heading4"/>
        <w:numPr>
          <w:ilvl w:val="3"/>
          <w:numId w:val="1"/>
        </w:numPr>
        <w:rPr/>
      </w:pPr>
      <w:bookmarkStart w:id="3919" w:name="__RefHeading___Toc2568552_3650668749"/>
      <w:bookmarkStart w:id="3920" w:name="_Toc1785"/>
      <w:bookmarkEnd w:id="3919"/>
      <w:r>
        <w:rPr>
          <w:rtl w:val="true"/>
        </w:rPr>
        <w:t>[ (</w:t>
      </w:r>
      <w:r>
        <w:rPr>
          <w:rtl w:val="true"/>
        </w:rPr>
        <w:t xml:space="preserve">مسألة </w:t>
      </w:r>
      <w:r>
        <w:rPr/>
        <w:t>4</w:t>
      </w:r>
      <w:r>
        <w:rPr>
          <w:rtl w:val="true"/>
        </w:rPr>
        <w:t xml:space="preserve">): </w:t>
      </w:r>
      <w:r>
        <w:rPr>
          <w:rtl w:val="true"/>
        </w:rPr>
        <w:t>یجب علی البائع مضافاً إلیٰ تسلیم المبیع تفریغه عمّا کان فیه من أمتعة</w:t>
      </w:r>
      <w:r>
        <w:rPr>
          <w:rtl w:val="true"/>
        </w:rPr>
        <w:t>]</w:t>
      </w:r>
      <w:bookmarkEnd w:id="392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البائع مضافاً إلیٰ تسلیم المبیع تفریغه عمّا کان فیه من أمتعة</w:t>
      </w:r>
      <w:bookmarkStart w:id="3921" w:name="pg1809_19364"/>
    </w:p>
    <w:p>
      <w:pPr>
        <w:pStyle w:val="BookText"/>
        <w:rPr/>
      </w:pPr>
      <w:bookmarkEnd w:id="3921"/>
      <w:r>
        <w:rPr>
          <w:rFonts w:ascii="IRNazanin" w:hAnsi="IRNazanin" w:eastAsia="IRNazanin"/>
          <w:color w:val="111111"/>
          <w:sz w:val="28"/>
          <w:sz w:val="28"/>
          <w:szCs w:val="28"/>
          <w:rtl w:val="true"/>
          <w:lang w:bidi="fa-IR"/>
        </w:rPr>
        <w:t>و غیرها، حتّی لو کان مشغولًا بزرع آن وقت حصاده وجب إزالته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له عروق تضرّ بالانتفاع کالقطن و الذرة، أو کان فی الأرض حجارة مدفونة وجب علیه إزالتها و تسویة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فیها شی‌ء لا یخرج إلّا بتغییر شی‌ء من الأبنیة وجب إخراجه و إصلاح ما ینهدم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فیه زرع لم یأن وقت حصاده له إبقاؤه إلیٰ أوانه من غیر اجرة علی الظاهر، و إن لم یخل من إشکال، و الأحوط </w:t>
      </w:r>
      <w:r>
        <w:rPr>
          <w:rStyle w:val="FootnoteAnchor"/>
          <w:rtl w:val="true"/>
        </w:rPr>
        <w:footnoteReference w:id="1116"/>
      </w:r>
      <w:r>
        <w:rPr>
          <w:rFonts w:ascii="IRNazanin" w:hAnsi="IRNazanin" w:eastAsia="IRNazanin"/>
          <w:color w:val="111111"/>
          <w:sz w:val="28"/>
          <w:sz w:val="28"/>
          <w:szCs w:val="28"/>
          <w:rtl w:val="true"/>
          <w:lang w:bidi="fa-IR"/>
        </w:rPr>
        <w:t>التصالح</w:t>
      </w:r>
      <w:r>
        <w:rPr>
          <w:rFonts w:eastAsia="IRNazanin" w:cs="IRNazanin"/>
          <w:color w:val="111111"/>
          <w:sz w:val="28"/>
          <w:szCs w:val="28"/>
          <w:rtl w:val="true"/>
          <w:lang w:bidi="fa-IR"/>
        </w:rPr>
        <w:t>.</w:t>
      </w:r>
    </w:p>
    <w:p>
      <w:pPr>
        <w:pStyle w:val="Heading4"/>
        <w:numPr>
          <w:ilvl w:val="3"/>
          <w:numId w:val="1"/>
        </w:numPr>
        <w:rPr/>
      </w:pPr>
      <w:bookmarkStart w:id="3922" w:name="__RefHeading___Toc2568554_3650668749"/>
      <w:bookmarkStart w:id="3923" w:name="_Toc1786"/>
      <w:bookmarkEnd w:id="3922"/>
      <w:r>
        <w:rPr>
          <w:rtl w:val="true"/>
        </w:rPr>
        <w:t>[ (</w:t>
      </w:r>
      <w:r>
        <w:rPr>
          <w:rtl w:val="true"/>
        </w:rPr>
        <w:t xml:space="preserve">مسألة </w:t>
      </w:r>
      <w:r>
        <w:rPr/>
        <w:t>5</w:t>
      </w:r>
      <w:r>
        <w:rPr>
          <w:rtl w:val="true"/>
        </w:rPr>
        <w:t xml:space="preserve">): </w:t>
      </w:r>
      <w:r>
        <w:rPr>
          <w:rtl w:val="true"/>
        </w:rPr>
        <w:t>من اشتریٰ شیئاً و لم یقبضه فإن کان ممّا لا یکال أو یوزن</w:t>
      </w:r>
      <w:r>
        <w:rPr>
          <w:rtl w:val="true"/>
        </w:rPr>
        <w:t>]</w:t>
      </w:r>
      <w:bookmarkEnd w:id="39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اشتریٰ شیئاً و لم یقبضه فإن کان ممّا لا یکال أو یوزن جاز بیعه قبل قبضه، و کذا إذا کان منهما و باع تولیة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باع بالمرابحة ففیه إشکال، أقواه الجواز </w:t>
      </w:r>
      <w:r>
        <w:rPr>
          <w:rStyle w:val="FootnoteAnchor"/>
          <w:rtl w:val="true"/>
        </w:rPr>
        <w:footnoteReference w:id="1117"/>
      </w:r>
      <w:r>
        <w:rPr>
          <w:rFonts w:ascii="IRNazanin" w:hAnsi="IRNazanin" w:eastAsia="IRNazanin"/>
          <w:color w:val="111111"/>
          <w:sz w:val="28"/>
          <w:sz w:val="28"/>
          <w:szCs w:val="28"/>
          <w:rtl w:val="true"/>
          <w:lang w:bidi="fa-IR"/>
        </w:rPr>
        <w:t>مع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باع الغیر المقبوض علیٰ غیر البائع، و أمّا إذا باعه علیه فالظاهر أنّه لا إشکال فی جوازه مطلقاً، کما أنّه لا إشکال فیما إذا ملک شیئاً بغیر الشراء کالمیراث و الصداق و الخلع و غیرها فیجوز بیعه قبل قبضه بلا إشکال، بل الظاهر اختصاص المنع حرمة أو کراهة بالبیع، فلا منع فی جعله صداقاً، أو اجرة، أو غیر ذلک</w:t>
      </w:r>
      <w:r>
        <w:rPr>
          <w:rFonts w:eastAsia="IRNazanin" w:cs="IRNazanin"/>
          <w:color w:val="111111"/>
          <w:sz w:val="28"/>
          <w:szCs w:val="28"/>
          <w:rtl w:val="true"/>
          <w:lang w:bidi="fa-IR"/>
        </w:rPr>
        <w:t>.</w:t>
      </w:r>
    </w:p>
    <w:p>
      <w:pPr>
        <w:pStyle w:val="Heading3"/>
        <w:numPr>
          <w:ilvl w:val="2"/>
          <w:numId w:val="1"/>
        </w:numPr>
        <w:rPr/>
      </w:pPr>
      <w:bookmarkStart w:id="3924" w:name="__RefHeading___Toc2568556_3650668749"/>
      <w:bookmarkStart w:id="3925" w:name="_Toc1787"/>
      <w:bookmarkEnd w:id="3924"/>
      <w:r>
        <w:rPr>
          <w:rtl w:val="true"/>
        </w:rPr>
        <w:t>[</w:t>
      </w:r>
      <w:r>
        <w:rPr>
          <w:rtl w:val="true"/>
        </w:rPr>
        <w:t>القول فی النقد و النسیئة</w:t>
      </w:r>
      <w:r>
        <w:rPr>
          <w:rtl w:val="true"/>
        </w:rPr>
        <w:t>]</w:t>
      </w:r>
      <w:bookmarkEnd w:id="3925"/>
    </w:p>
    <w:p>
      <w:pPr>
        <w:pStyle w:val="Heading4"/>
        <w:numPr>
          <w:ilvl w:val="3"/>
          <w:numId w:val="1"/>
        </w:numPr>
        <w:rPr/>
      </w:pPr>
      <w:bookmarkStart w:id="3926" w:name="__RefHeading___Toc2568558_3650668749"/>
      <w:bookmarkStart w:id="3927" w:name="_Toc1788"/>
      <w:bookmarkEnd w:id="3926"/>
      <w:r>
        <w:rPr>
          <w:rtl w:val="true"/>
        </w:rPr>
        <w:t>اشارة</w:t>
      </w:r>
      <w:bookmarkEnd w:id="3927"/>
    </w:p>
    <w:p>
      <w:pPr>
        <w:pStyle w:val="BookText"/>
        <w:rPr/>
      </w:pPr>
      <w:r>
        <w:rPr>
          <w:rFonts w:ascii="IRNazanin" w:hAnsi="IRNazanin" w:eastAsia="IRNazanin"/>
          <w:color w:val="111111"/>
          <w:sz w:val="28"/>
          <w:sz w:val="28"/>
          <w:szCs w:val="28"/>
          <w:rtl w:val="true"/>
          <w:lang w:bidi="fa-IR"/>
        </w:rPr>
        <w:t>القول فی النقد و النسیئة</w:t>
      </w:r>
    </w:p>
    <w:p>
      <w:pPr>
        <w:pStyle w:val="Heading4"/>
        <w:numPr>
          <w:ilvl w:val="3"/>
          <w:numId w:val="1"/>
        </w:numPr>
        <w:rPr/>
      </w:pPr>
      <w:bookmarkStart w:id="3928" w:name="__RefHeading___Toc2568560_3650668749"/>
      <w:bookmarkStart w:id="3929" w:name="_Toc1789"/>
      <w:bookmarkEnd w:id="3928"/>
      <w:r>
        <w:rPr>
          <w:rtl w:val="true"/>
        </w:rPr>
        <w:t>[ (</w:t>
      </w:r>
      <w:r>
        <w:rPr>
          <w:rtl w:val="true"/>
        </w:rPr>
        <w:t xml:space="preserve">مسألة </w:t>
      </w:r>
      <w:r>
        <w:rPr/>
        <w:t>1</w:t>
      </w:r>
      <w:r>
        <w:rPr>
          <w:rtl w:val="true"/>
        </w:rPr>
        <w:t xml:space="preserve">): </w:t>
      </w:r>
      <w:r>
        <w:rPr>
          <w:rtl w:val="true"/>
        </w:rPr>
        <w:t>من باع شیئاً و لم یشترط فیه تأجیل الثمن یکون نقداً و حالًا</w:t>
      </w:r>
      <w:r>
        <w:rPr>
          <w:rtl w:val="true"/>
        </w:rPr>
        <w:t>]</w:t>
      </w:r>
      <w:bookmarkEnd w:id="39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شیئاً و لم یشترط فیه تأجیل الثمن یکون نقداً و حالًا، فللبائع بعد تسلیم المبیع مطالبته فی أیّ زمان، و لیس له الامتناع من أخذه متی أراد المشتری دفعه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اشترط تأجیله یکون نسیئة لا یجب علی المشتری دفعه قبل الأجل و إن طولب به، کما أنّه لا یجب علی البائع أخذه إذا دفعه المشتری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یکون مدّة الأجل معیّنة مضبوطة لا یتطرّق إلیها احتمال الزیادة و النقصان، فلو اشترط التأجیل و لم یعیّن أجلًا، أو عیّن أجلًا مجهولًا کقدوم الحاجّ کان البیع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یکفی تعیّنه فی نفسه و إن لم یعرفه المتعاقدان، کما إذا جعل التأجیل إلی النیروز، أو إلی انتقال الشمس إلیٰ برج میزان؟ وجهان </w:t>
      </w:r>
      <w:r>
        <w:rPr>
          <w:rStyle w:val="FootnoteAnchor"/>
          <w:rtl w:val="true"/>
        </w:rPr>
        <w:footnoteReference w:id="1118"/>
      </w:r>
      <w:r>
        <w:rPr>
          <w:rFonts w:ascii="IRNazanin" w:hAnsi="IRNazanin" w:eastAsia="IRNazanin"/>
          <w:color w:val="111111"/>
          <w:sz w:val="28"/>
          <w:sz w:val="28"/>
          <w:szCs w:val="28"/>
          <w:rtl w:val="true"/>
          <w:lang w:bidi="fa-IR"/>
        </w:rPr>
        <w:t>أحوطهما العدم، بل لا یخلو من قوّة</w:t>
      </w:r>
      <w:r>
        <w:rPr>
          <w:rFonts w:eastAsia="IRNazanin" w:cs="IRNazanin"/>
          <w:color w:val="111111"/>
          <w:sz w:val="28"/>
          <w:szCs w:val="28"/>
          <w:rtl w:val="true"/>
          <w:lang w:bidi="fa-IR"/>
        </w:rPr>
        <w:t>.</w:t>
      </w:r>
    </w:p>
    <w:p>
      <w:pPr>
        <w:pStyle w:val="Heading4"/>
        <w:numPr>
          <w:ilvl w:val="3"/>
          <w:numId w:val="1"/>
        </w:numPr>
        <w:rPr/>
      </w:pPr>
      <w:bookmarkStart w:id="3930" w:name="__RefHeading___Toc2568562_3650668749"/>
      <w:bookmarkStart w:id="3931" w:name="_Toc1790"/>
      <w:bookmarkEnd w:id="3930"/>
      <w:r>
        <w:rPr>
          <w:rtl w:val="true"/>
        </w:rPr>
        <w:t>[ (</w:t>
      </w:r>
      <w:r>
        <w:rPr>
          <w:rtl w:val="true"/>
        </w:rPr>
        <w:t xml:space="preserve">مسألة </w:t>
      </w:r>
      <w:r>
        <w:rPr/>
        <w:t>2</w:t>
      </w:r>
      <w:r>
        <w:rPr>
          <w:rtl w:val="true"/>
        </w:rPr>
        <w:t xml:space="preserve">): </w:t>
      </w:r>
      <w:r>
        <w:rPr>
          <w:rtl w:val="true"/>
        </w:rPr>
        <w:t>لو باع شیئاً بثمن حالّا و بأزید منه إلیٰ أجل</w:t>
      </w:r>
      <w:r>
        <w:rPr>
          <w:rtl w:val="true"/>
        </w:rPr>
        <w:t>]</w:t>
      </w:r>
      <w:bookmarkEnd w:id="393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شیئاً بثمن حالّا و بأزید منه إلیٰ أجل؛ بأن 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نقداً</w:t>
      </w:r>
      <w:bookmarkStart w:id="3932" w:name="pg1809_19365"/>
    </w:p>
    <w:p>
      <w:pPr>
        <w:pStyle w:val="BookText"/>
        <w:rPr/>
      </w:pPr>
      <w:bookmarkEnd w:id="3932"/>
      <w:r>
        <w:rPr>
          <w:rFonts w:ascii="IRNazanin" w:hAnsi="IRNazanin" w:eastAsia="IRNazanin"/>
          <w:color w:val="111111"/>
          <w:sz w:val="28"/>
          <w:sz w:val="28"/>
          <w:szCs w:val="28"/>
          <w:rtl w:val="true"/>
          <w:lang w:bidi="fa-IR"/>
        </w:rPr>
        <w:t>بعشرة و نسیئة إلیٰ سنة بخمسة عشر، و 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هکذا، یکون البیع باطلًا </w:t>
      </w:r>
      <w:r>
        <w:rPr>
          <w:rStyle w:val="FootnoteAnchor"/>
          <w:rtl w:val="true"/>
        </w:rPr>
        <w:footnoteReference w:id="1119"/>
      </w:r>
      <w:r>
        <w:rPr>
          <w:rFonts w:ascii="IRNazanin" w:hAnsi="IRNazanin" w:eastAsia="IRNazanin"/>
          <w:color w:val="111111"/>
          <w:sz w:val="28"/>
          <w:sz w:val="28"/>
          <w:szCs w:val="28"/>
          <w:rtl w:val="true"/>
          <w:lang w:bidi="fa-IR"/>
        </w:rPr>
        <w:t>، و کذا لو باعه بثمن إلیٰ أجل و بأزید منه إلیٰ آخر</w:t>
      </w:r>
      <w:r>
        <w:rPr>
          <w:rFonts w:eastAsia="IRNazanin" w:cs="IRNazanin"/>
          <w:color w:val="111111"/>
          <w:sz w:val="28"/>
          <w:szCs w:val="28"/>
          <w:rtl w:val="true"/>
          <w:lang w:bidi="fa-IR"/>
        </w:rPr>
        <w:t>.</w:t>
      </w:r>
    </w:p>
    <w:p>
      <w:pPr>
        <w:pStyle w:val="Heading4"/>
        <w:numPr>
          <w:ilvl w:val="3"/>
          <w:numId w:val="1"/>
        </w:numPr>
        <w:rPr/>
      </w:pPr>
      <w:bookmarkStart w:id="3933" w:name="__RefHeading___Toc2568564_3650668749"/>
      <w:bookmarkStart w:id="3934" w:name="_Toc1791"/>
      <w:bookmarkEnd w:id="3933"/>
      <w:r>
        <w:rPr>
          <w:rtl w:val="true"/>
        </w:rPr>
        <w:t>[ (</w:t>
      </w:r>
      <w:r>
        <w:rPr>
          <w:rtl w:val="true"/>
        </w:rPr>
        <w:t xml:space="preserve">مسألة </w:t>
      </w:r>
      <w:r>
        <w:rPr/>
        <w:t>3</w:t>
      </w:r>
      <w:r>
        <w:rPr>
          <w:rtl w:val="true"/>
        </w:rPr>
        <w:t xml:space="preserve">): </w:t>
      </w:r>
      <w:r>
        <w:rPr>
          <w:rtl w:val="true"/>
        </w:rPr>
        <w:t>لا یجوز تأجیل الثمن الحالّ</w:t>
      </w:r>
      <w:r>
        <w:rPr>
          <w:rtl w:val="true"/>
        </w:rPr>
        <w:t>]</w:t>
      </w:r>
      <w:bookmarkEnd w:id="39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تأجیل الثمن الحالّ، بل مطلق الدین بأزید منه؛ بأن یزید فی ثمنه الذی استحقّه البائع مقداراً لیؤجّله إلیٰ أجل کذا، و کذا لا یجوز أن یزید فی الثمن المؤجّل لیزید فی الأجل؛ سواء وقع ذلک علیٰ جهة البیع أو الصلح، أو الجعالة،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عکس ذلک و هو تعجیل المؤجّل بنقصان منه علیٰ جهة الصلح أو الإبراء</w:t>
      </w:r>
      <w:r>
        <w:rPr>
          <w:rFonts w:eastAsia="IRNazanin" w:cs="IRNazanin"/>
          <w:color w:val="111111"/>
          <w:sz w:val="28"/>
          <w:szCs w:val="28"/>
          <w:rtl w:val="true"/>
          <w:lang w:bidi="fa-IR"/>
        </w:rPr>
        <w:t>.</w:t>
      </w:r>
    </w:p>
    <w:p>
      <w:pPr>
        <w:pStyle w:val="Heading4"/>
        <w:numPr>
          <w:ilvl w:val="3"/>
          <w:numId w:val="1"/>
        </w:numPr>
        <w:rPr/>
      </w:pPr>
      <w:bookmarkStart w:id="3935" w:name="__RefHeading___Toc2568566_3650668749"/>
      <w:bookmarkStart w:id="3936" w:name="_Toc1792"/>
      <w:bookmarkEnd w:id="3935"/>
      <w:r>
        <w:rPr>
          <w:rtl w:val="true"/>
        </w:rPr>
        <w:t>[ (</w:t>
      </w:r>
      <w:r>
        <w:rPr>
          <w:rtl w:val="true"/>
        </w:rPr>
        <w:t xml:space="preserve">مسألة </w:t>
      </w:r>
      <w:r>
        <w:rPr/>
        <w:t>4</w:t>
      </w:r>
      <w:r>
        <w:rPr>
          <w:rtl w:val="true"/>
        </w:rPr>
        <w:t xml:space="preserve">): </w:t>
      </w:r>
      <w:r>
        <w:rPr>
          <w:rtl w:val="true"/>
        </w:rPr>
        <w:t>إذا باع شیئاً نسیئة یجوز شراؤه منه قبل حلول الأجل و بعده بجنس الثمن</w:t>
      </w:r>
      <w:r>
        <w:rPr>
          <w:rtl w:val="true"/>
        </w:rPr>
        <w:t>]</w:t>
      </w:r>
      <w:bookmarkEnd w:id="39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شیئاً نسیئة یجوز شراؤه منه قبل حلول الأجل و بعده بجنس الثمن أو بغیره؛ سواءً کان مساویاً للثمن الأوّل أو أزید منه أو أنقص، و سواء کان البیع الثانی حالّا أو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یحتال بذلک للتخلّص من الربا؛ بأن یبیع من عنده الدراهم شیئاً علیٰ من یحتاج إلیها بثمن إلیٰ أجل ثمّ یشتری منه ذلک الشی‌ء حالّا بأقلّ من ذلک الثمن فیعطیه الثمن الأقلّ و یبقی علیٰ ذمّته الثمن الأوّل، و إنّما یجوز ذلک إذا لم یشترط فی البیع الأوّل، فلو اشترط البائع فی بیعه علی المشتری أن یبیعه بعد شرائه، أو شرط المشتری علی البائع أن یشتریه منه لم یصحّ علیٰ قول مشهور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7" w:name="__RefHeading___Toc2568568_3650668749"/>
      <w:bookmarkStart w:id="3938" w:name="_Toc1793"/>
      <w:bookmarkEnd w:id="3937"/>
      <w:r>
        <w:rPr>
          <w:rtl w:val="true"/>
        </w:rPr>
        <w:t>[</w:t>
      </w:r>
      <w:r>
        <w:rPr>
          <w:rtl w:val="true"/>
        </w:rPr>
        <w:t>القول فی الربا</w:t>
      </w:r>
      <w:r>
        <w:rPr>
          <w:rtl w:val="true"/>
        </w:rPr>
        <w:t>]</w:t>
      </w:r>
      <w:bookmarkEnd w:id="3938"/>
    </w:p>
    <w:p>
      <w:pPr>
        <w:pStyle w:val="Heading4"/>
        <w:numPr>
          <w:ilvl w:val="3"/>
          <w:numId w:val="1"/>
        </w:numPr>
        <w:rPr/>
      </w:pPr>
      <w:bookmarkStart w:id="3939" w:name="__RefHeading___Toc2568570_3650668749"/>
      <w:bookmarkStart w:id="3940" w:name="_Toc1794"/>
      <w:bookmarkEnd w:id="3939"/>
      <w:r>
        <w:rPr>
          <w:rtl w:val="true"/>
        </w:rPr>
        <w:t>اشارة</w:t>
      </w:r>
      <w:bookmarkEnd w:id="394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فی الربا الذی حرمته ثابتة بالکتاب و السنّة و إجماع من المسلمین، بل لا یبعد کونها من ضروریات الدین، و هو من الکبائر العظام، حتّی ورد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أشدّ عند اللّٰه من عشرین زنیة، بل ثلاثین زنیة کلّها بذات محرم مثل عمّة و 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خبر صحیح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ربا أعظم عند اللّٰه من سبعین زنیة کلّها بذات محرم فی بیت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الربا أملأ اللّٰه بطنه من نار جهنّم بقدر ما أکل، و إن اکتسب منه مالًا لم یقبل اللّٰه منه شیئاً من عمله و لم یزل فی لعنة اللّٰه و الملائکة ما کان عنده منه</w:t>
      </w:r>
      <w:bookmarkStart w:id="3941" w:name="pg1809_19366"/>
    </w:p>
    <w:p>
      <w:pPr>
        <w:pStyle w:val="BookText"/>
        <w:rPr/>
      </w:pPr>
      <w:bookmarkEnd w:id="3941"/>
      <w:r>
        <w:rPr>
          <w:rFonts w:ascii="IRNazanin" w:hAnsi="IRNazanin" w:eastAsia="IRNazanin"/>
          <w:color w:val="111111"/>
          <w:sz w:val="28"/>
          <w:sz w:val="28"/>
          <w:szCs w:val="28"/>
          <w:rtl w:val="true"/>
          <w:lang w:bidi="fa-IR"/>
        </w:rPr>
        <w:t>قیراط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کلماته الموجزة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المکاسب کسب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 مولانا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آکل الربا و مؤکله و کاتبه و شاهداه فی الوزر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و آکله و بائعه و مشتریه و کاتبه و شاهدیه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شریعة </w:t>
      </w:r>
      <w:r>
        <w:rPr>
          <w:rStyle w:val="FootnoteAnchor"/>
          <w:rtl w:val="true"/>
        </w:rPr>
        <w:footnoteReference w:id="1121"/>
      </w:r>
      <w:r>
        <w:rPr>
          <w:rFonts w:ascii="IRNazanin" w:hAnsi="IRNazanin" w:eastAsia="IRNazanin"/>
          <w:color w:val="111111"/>
          <w:sz w:val="28"/>
          <w:sz w:val="28"/>
          <w:szCs w:val="28"/>
          <w:rtl w:val="true"/>
          <w:lang w:bidi="fa-IR"/>
        </w:rPr>
        <w:t>الإسلام أعظم منه حرمة و أشدّ منه عقوبة، و هو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معاملی و قرضی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بیع أحد المثلین بالآخر مع زیادة عینیّة، کبیع منّ من الحنطة بمنّین، أو منّ من حنطة بمنّ منها مع درهم، أو حکمیّة کمنّ من حنطة نقداً بمنّ من حنطة 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یختصّ بالبیع، أو لا بل یثبت فی سائر المعاوضات أیضاً کالصلح و نحوه؟ قولان، الأشهر </w:t>
      </w:r>
      <w:r>
        <w:rPr>
          <w:rStyle w:val="FootnoteAnchor"/>
          <w:rtl w:val="true"/>
        </w:rPr>
        <w:footnoteReference w:id="1122"/>
      </w:r>
      <w:r>
        <w:rPr>
          <w:rFonts w:ascii="IRNazanin" w:hAnsi="IRNazanin" w:eastAsia="IRNazanin"/>
          <w:color w:val="111111"/>
          <w:sz w:val="28"/>
          <w:sz w:val="28"/>
          <w:szCs w:val="28"/>
          <w:rtl w:val="true"/>
          <w:lang w:bidi="fa-IR"/>
        </w:rPr>
        <w:t>و الأحوط هو الثانی و إن کان الأوّل لا یخلو من قوّة</w:t>
      </w:r>
      <w:r>
        <w:rPr>
          <w:rFonts w:eastAsia="IRNazanin" w:cs="IRNazanin"/>
          <w:color w:val="111111"/>
          <w:sz w:val="28"/>
          <w:szCs w:val="28"/>
          <w:rtl w:val="true"/>
          <w:lang w:bidi="fa-IR"/>
        </w:rPr>
        <w:t>.</w:t>
      </w:r>
    </w:p>
    <w:p>
      <w:pPr>
        <w:pStyle w:val="Heading4"/>
        <w:numPr>
          <w:ilvl w:val="3"/>
          <w:numId w:val="1"/>
        </w:numPr>
        <w:rPr/>
      </w:pPr>
      <w:bookmarkStart w:id="3942" w:name="__RefHeading___Toc2568572_3650668749"/>
      <w:bookmarkStart w:id="3943" w:name="_Toc1795"/>
      <w:bookmarkEnd w:id="3942"/>
      <w:r>
        <w:rPr>
          <w:rtl w:val="true"/>
        </w:rPr>
        <w:t>[</w:t>
      </w:r>
      <w:r>
        <w:rPr>
          <w:rtl w:val="true"/>
        </w:rPr>
        <w:t>و کیف کان شرطه أمران</w:t>
      </w:r>
      <w:r>
        <w:rPr>
          <w:rtl w:val="true"/>
        </w:rPr>
        <w:t>]</w:t>
      </w:r>
      <w:bookmarkEnd w:id="3943"/>
    </w:p>
    <w:p>
      <w:pPr>
        <w:pStyle w:val="Heading5"/>
        <w:numPr>
          <w:ilvl w:val="4"/>
          <w:numId w:val="1"/>
        </w:numPr>
        <w:rPr/>
      </w:pPr>
      <w:bookmarkStart w:id="3944" w:name="__RefHeading___Toc2568574_3650668749"/>
      <w:bookmarkStart w:id="3945" w:name="_Toc1796"/>
      <w:bookmarkEnd w:id="3944"/>
      <w:r>
        <w:rPr>
          <w:rtl w:val="true"/>
        </w:rPr>
        <w:t>اشارة</w:t>
      </w:r>
      <w:bookmarkEnd w:id="3945"/>
    </w:p>
    <w:p>
      <w:pPr>
        <w:pStyle w:val="BookText"/>
        <w:rPr/>
      </w:pPr>
      <w:r>
        <w:rPr>
          <w:rFonts w:ascii="IRNazanin" w:hAnsi="IRNazanin" w:eastAsia="IRNazanin"/>
          <w:color w:val="111111"/>
          <w:sz w:val="28"/>
          <w:sz w:val="28"/>
          <w:szCs w:val="28"/>
          <w:rtl w:val="true"/>
          <w:lang w:bidi="fa-IR"/>
        </w:rPr>
        <w:t>و کیف کان شرطه أمران</w:t>
      </w:r>
      <w:r>
        <w:rPr>
          <w:rFonts w:eastAsia="IRNazanin" w:cs="IRNazanin"/>
          <w:color w:val="111111"/>
          <w:sz w:val="28"/>
          <w:szCs w:val="28"/>
          <w:rtl w:val="true"/>
          <w:lang w:bidi="fa-IR"/>
        </w:rPr>
        <w:t>:</w:t>
      </w:r>
    </w:p>
    <w:p>
      <w:pPr>
        <w:pStyle w:val="Heading5"/>
        <w:numPr>
          <w:ilvl w:val="4"/>
          <w:numId w:val="1"/>
        </w:numPr>
        <w:rPr/>
      </w:pPr>
      <w:bookmarkStart w:id="3946" w:name="__RefHeading___Toc2568576_3650668749"/>
      <w:bookmarkStart w:id="3947" w:name="_Toc1797"/>
      <w:bookmarkEnd w:id="3946"/>
      <w:r>
        <w:rPr>
          <w:rtl w:val="true"/>
        </w:rPr>
        <w:t>[</w:t>
      </w:r>
      <w:r>
        <w:rPr>
          <w:rtl w:val="true"/>
        </w:rPr>
        <w:t>أحدهما</w:t>
      </w:r>
      <w:r>
        <w:rPr>
          <w:rtl w:val="true"/>
        </w:rPr>
        <w:t xml:space="preserve">: </w:t>
      </w:r>
      <w:r>
        <w:rPr>
          <w:rtl w:val="true"/>
        </w:rPr>
        <w:t>اتّحاد الجنس</w:t>
      </w:r>
      <w:r>
        <w:rPr>
          <w:rtl w:val="true"/>
        </w:rPr>
        <w:t>]</w:t>
      </w:r>
      <w:bookmarkEnd w:id="3947"/>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الجنس، و ضابطه </w:t>
      </w:r>
      <w:r>
        <w:rPr>
          <w:rStyle w:val="FootnoteAnchor"/>
          <w:rtl w:val="true"/>
        </w:rPr>
        <w:footnoteReference w:id="1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الاتّحاد فی الحقیقة النوعیّة الکاشف عنه دخولهما تحت لفظ خاصّ، فکلّ ما صدق علیه الحنطة، أو الأرز، أو التمر، أو العنب جنس واحد، فلا یجوز بیع بعضها ببعض بالتفاضل و إن تخالفا فی الصفات و الخواصّ، فلا یتفاضل بین الحنطة الردیئة الحمراء و الجیّدة البیضاء، و لا بین العنبر الجیّد من الأرز و الردی‌ء من الشنبة، و ردی‌ء الزاهدی من التمر و جیّد الخستاوی منه و غیر ذلک، بخلاف ما إذا دخل کلّ منهما تحت لفظ کالحنطة مع الأرز، أو العدس، فلو باع منّاً من حنطة بمنّین من الأرز أو بمنّین من عدس فلا ربا</w:t>
      </w:r>
      <w:r>
        <w:rPr>
          <w:rFonts w:eastAsia="IRNazanin" w:cs="IRNazanin"/>
          <w:color w:val="111111"/>
          <w:sz w:val="28"/>
          <w:szCs w:val="28"/>
          <w:rtl w:val="true"/>
          <w:lang w:bidi="fa-IR"/>
        </w:rPr>
        <w:t>.</w:t>
      </w:r>
    </w:p>
    <w:p>
      <w:pPr>
        <w:pStyle w:val="Heading5"/>
        <w:numPr>
          <w:ilvl w:val="4"/>
          <w:numId w:val="1"/>
        </w:numPr>
        <w:rPr/>
      </w:pPr>
      <w:bookmarkStart w:id="3948" w:name="__RefHeading___Toc2568578_3650668749"/>
      <w:bookmarkStart w:id="3949" w:name="_Toc1798"/>
      <w:bookmarkEnd w:id="3948"/>
      <w:r>
        <w:rPr>
          <w:rtl w:val="true"/>
        </w:rPr>
        <w:t>[</w:t>
      </w:r>
      <w:r>
        <w:rPr>
          <w:rtl w:val="true"/>
        </w:rPr>
        <w:t>الثانی</w:t>
      </w:r>
      <w:r>
        <w:rPr>
          <w:rtl w:val="true"/>
        </w:rPr>
        <w:t xml:space="preserve">: </w:t>
      </w:r>
      <w:r>
        <w:rPr>
          <w:rtl w:val="true"/>
        </w:rPr>
        <w:t>کون العوضین من المکیل أو الموزون</w:t>
      </w:r>
      <w:r>
        <w:rPr>
          <w:rtl w:val="true"/>
        </w:rPr>
        <w:t>]</w:t>
      </w:r>
      <w:bookmarkEnd w:id="394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العوضین من المکیل أو الموزون، فلا ربا فیما یباع بالعدّ أو المشاهدة</w:t>
      </w:r>
      <w:r>
        <w:rPr>
          <w:rFonts w:eastAsia="IRNazanin" w:cs="IRNazanin"/>
          <w:color w:val="111111"/>
          <w:sz w:val="28"/>
          <w:szCs w:val="28"/>
          <w:rtl w:val="true"/>
          <w:lang w:bidi="fa-IR"/>
        </w:rPr>
        <w:t>.</w:t>
      </w:r>
    </w:p>
    <w:p>
      <w:pPr>
        <w:pStyle w:val="Heading4"/>
        <w:numPr>
          <w:ilvl w:val="3"/>
          <w:numId w:val="1"/>
        </w:numPr>
        <w:rPr/>
      </w:pPr>
      <w:bookmarkStart w:id="3950" w:name="__RefHeading___Toc2568580_3650668749"/>
      <w:bookmarkStart w:id="3951" w:name="_Toc1799"/>
      <w:bookmarkEnd w:id="3950"/>
      <w:r>
        <w:rPr>
          <w:rtl w:val="true"/>
        </w:rPr>
        <w:t>[ (</w:t>
      </w:r>
      <w:r>
        <w:rPr>
          <w:rtl w:val="true"/>
        </w:rPr>
        <w:t xml:space="preserve">مسألة </w:t>
      </w:r>
      <w:r>
        <w:rPr/>
        <w:t>1</w:t>
      </w:r>
      <w:r>
        <w:rPr>
          <w:rtl w:val="true"/>
        </w:rPr>
        <w:t xml:space="preserve">): </w:t>
      </w:r>
      <w:r>
        <w:rPr>
          <w:rtl w:val="true"/>
        </w:rPr>
        <w:t>الشعیر و الحنطة فی باب الربا بحکم جنس واحد</w:t>
      </w:r>
      <w:r>
        <w:rPr>
          <w:rtl w:val="true"/>
        </w:rPr>
        <w:t>]</w:t>
      </w:r>
      <w:bookmarkEnd w:id="395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الشعیر و الحنطة فی باب الربا بحکم جنس واحد، فلا یجوز المعاوضة بینهما بالتفاضل و إن لم یکونا کذلک فی باب الزکاة، فلا یکمل نصاب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العلس من جنس الحنطة و السلت من جنس الشعیر، أو کلّ منهما خارج من الجنسین؟ فیه إشکال، الأحوط أن لا یباع أحدهما بالآخر و کلّ منهما بالحنطة و الشعیر إلّا مثلًا بمثل</w:t>
      </w:r>
      <w:r>
        <w:rPr>
          <w:rFonts w:eastAsia="IRNazanin" w:cs="IRNazanin"/>
          <w:color w:val="111111"/>
          <w:sz w:val="28"/>
          <w:szCs w:val="28"/>
          <w:rtl w:val="true"/>
          <w:lang w:bidi="fa-IR"/>
        </w:rPr>
        <w:t>.</w:t>
      </w:r>
      <w:bookmarkStart w:id="3952" w:name="pg1809_19367"/>
    </w:p>
    <w:p>
      <w:pPr>
        <w:pStyle w:val="Heading4"/>
        <w:numPr>
          <w:ilvl w:val="3"/>
          <w:numId w:val="1"/>
        </w:numPr>
        <w:rPr/>
      </w:pPr>
      <w:bookmarkStart w:id="3953" w:name="__RefHeading___Toc2568582_3650668749"/>
      <w:bookmarkStart w:id="3954" w:name="_Toc1800"/>
      <w:bookmarkEnd w:id="3952"/>
      <w:bookmarkEnd w:id="3953"/>
      <w:r>
        <w:rPr>
          <w:rtl w:val="true"/>
        </w:rPr>
        <w:t>[ (</w:t>
      </w:r>
      <w:r>
        <w:rPr>
          <w:rtl w:val="true"/>
        </w:rPr>
        <w:t xml:space="preserve">مسألة </w:t>
      </w:r>
      <w:r>
        <w:rPr/>
        <w:t>2</w:t>
      </w:r>
      <w:r>
        <w:rPr>
          <w:rtl w:val="true"/>
        </w:rPr>
        <w:t xml:space="preserve">): </w:t>
      </w:r>
      <w:r>
        <w:rPr>
          <w:rtl w:val="true"/>
        </w:rPr>
        <w:t>کلّ شی‌ء مع أصله بحکم جنس واحد و إن اختلفا فی الاسم کالسمسم و الشیرج</w:t>
      </w:r>
      <w:r>
        <w:rPr>
          <w:rtl w:val="true"/>
        </w:rPr>
        <w:t>]</w:t>
      </w:r>
      <w:bookmarkEnd w:id="39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مع أصله بحکم جنس واحد و إن اختلفا فی الاسم کالسمسم و الشیرج، و اللبن مع الجبن و المخیض و اللبأ و غیرها، و التمر و العنب مع خلّهما و دبسهما، و کذا الفرعان من أصل واحد کالجبن مع الأُقط و الزبد و غیرهما</w:t>
      </w:r>
      <w:r>
        <w:rPr>
          <w:rFonts w:eastAsia="IRNazanin" w:cs="IRNazanin"/>
          <w:color w:val="111111"/>
          <w:sz w:val="28"/>
          <w:szCs w:val="28"/>
          <w:rtl w:val="true"/>
          <w:lang w:bidi="fa-IR"/>
        </w:rPr>
        <w:t>.</w:t>
      </w:r>
    </w:p>
    <w:p>
      <w:pPr>
        <w:pStyle w:val="Heading4"/>
        <w:numPr>
          <w:ilvl w:val="3"/>
          <w:numId w:val="1"/>
        </w:numPr>
        <w:rPr/>
      </w:pPr>
      <w:bookmarkStart w:id="3955" w:name="__RefHeading___Toc2568584_3650668749"/>
      <w:bookmarkStart w:id="3956" w:name="_Toc1801"/>
      <w:bookmarkEnd w:id="3955"/>
      <w:r>
        <w:rPr>
          <w:rtl w:val="true"/>
        </w:rPr>
        <w:t>[ (</w:t>
      </w:r>
      <w:r>
        <w:rPr>
          <w:rtl w:val="true"/>
        </w:rPr>
        <w:t xml:space="preserve">مسألة </w:t>
      </w:r>
      <w:r>
        <w:rPr/>
        <w:t>3</w:t>
      </w:r>
      <w:r>
        <w:rPr>
          <w:rtl w:val="true"/>
        </w:rPr>
        <w:t xml:space="preserve">): </w:t>
      </w:r>
      <w:r>
        <w:rPr>
          <w:rtl w:val="true"/>
        </w:rPr>
        <w:t>اللحوم و الألبان و الأدهان تختلف باختلاف الحیوان</w:t>
      </w:r>
      <w:r>
        <w:rPr>
          <w:rtl w:val="true"/>
        </w:rPr>
        <w:t>]</w:t>
      </w:r>
      <w:bookmarkEnd w:id="39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اللحوم و الألبان و الأدهان تختلف باختلاف الحیوان، فیجوز التفاضل بین لحم الغنم و لحم البقر، و کذا بین لبنهما أو دهنهما</w:t>
      </w:r>
      <w:r>
        <w:rPr>
          <w:rFonts w:eastAsia="IRNazanin" w:cs="IRNazanin"/>
          <w:color w:val="111111"/>
          <w:sz w:val="28"/>
          <w:szCs w:val="28"/>
          <w:rtl w:val="true"/>
          <w:lang w:bidi="fa-IR"/>
        </w:rPr>
        <w:t>.</w:t>
      </w:r>
    </w:p>
    <w:p>
      <w:pPr>
        <w:pStyle w:val="Heading4"/>
        <w:numPr>
          <w:ilvl w:val="3"/>
          <w:numId w:val="1"/>
        </w:numPr>
        <w:rPr/>
      </w:pPr>
      <w:bookmarkStart w:id="3957" w:name="__RefHeading___Toc2568586_3650668749"/>
      <w:bookmarkStart w:id="3958" w:name="_Toc1802"/>
      <w:bookmarkEnd w:id="3957"/>
      <w:r>
        <w:rPr>
          <w:rtl w:val="true"/>
        </w:rPr>
        <w:t>[ (</w:t>
      </w:r>
      <w:r>
        <w:rPr>
          <w:rtl w:val="true"/>
        </w:rPr>
        <w:t xml:space="preserve">مسألة </w:t>
      </w:r>
      <w:r>
        <w:rPr/>
        <w:t>4</w:t>
      </w:r>
      <w:r>
        <w:rPr>
          <w:rtl w:val="true"/>
        </w:rPr>
        <w:t xml:space="preserve">): </w:t>
      </w:r>
      <w:r>
        <w:rPr>
          <w:rtl w:val="true"/>
        </w:rPr>
        <w:t>لا تجری تبعیّة الفرع للأصل فی المکیلیّة و الموزونیّة</w:t>
      </w:r>
      <w:r>
        <w:rPr>
          <w:rtl w:val="true"/>
        </w:rPr>
        <w:t>]</w:t>
      </w:r>
      <w:bookmarkEnd w:id="39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تبعیّة الفرع للأصل فی المکیلیّة و الموزونیّة، فما کان أصله ممّا یکال أو یوزن فخرج منه شی‌ء لإیکال و لا یوزن لا بأس بالتفاضل بین أصله و ما خرج منه، و کذا بین ما خرج منه بعضه مع بعض، و ذلک کالقطن و الکتّان فأصلهما و غزلهما یوزن و منسوجهما لا یوزن فلا بأس بالتفاضل بین أصلهما أو غزلهما و منسوجهما، و کذا بین منسوجهما؛ بأن یباع ثوبان بثوب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یکون شی‌ء مکیلًا أو موزوناً فی حال دون حال، فالثمرة غیر موزون حال کونها علی الشجر و إذا اجتنیت صارت من الموزون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الحیوان قبل أن یذبح و یصیر لحماً لیس من الموزون و صار منه بعد ما ذبح و سلخ جلده، و لذا یجوز بیع شاة بشاتین بلا إشکال، نعم الظاهر أنّه لا یجوز بیع لحم حیوان بحیوان حیّ من جنسه کلحم الغنم بالشاة، و حرمة ذلک لو قلنا بها لیست من جهة الربا، بل لا یبعد تعمیم الحکم بالحرمة إلیٰ بیع اللحم بحیوان من غیر جنسه کلحم الغنم بالبقر</w:t>
      </w:r>
      <w:r>
        <w:rPr>
          <w:rFonts w:eastAsia="IRNazanin" w:cs="IRNazanin"/>
          <w:color w:val="111111"/>
          <w:sz w:val="28"/>
          <w:szCs w:val="28"/>
          <w:rtl w:val="true"/>
          <w:lang w:bidi="fa-IR"/>
        </w:rPr>
        <w:t>.</w:t>
      </w:r>
    </w:p>
    <w:p>
      <w:pPr>
        <w:pStyle w:val="Heading4"/>
        <w:numPr>
          <w:ilvl w:val="3"/>
          <w:numId w:val="1"/>
        </w:numPr>
        <w:rPr/>
      </w:pPr>
      <w:bookmarkStart w:id="3959" w:name="__RefHeading___Toc2568588_3650668749"/>
      <w:bookmarkStart w:id="3960" w:name="_Toc1803"/>
      <w:bookmarkEnd w:id="3959"/>
      <w:r>
        <w:rPr>
          <w:rtl w:val="true"/>
        </w:rPr>
        <w:t>[ (</w:t>
      </w:r>
      <w:r>
        <w:rPr>
          <w:rtl w:val="true"/>
        </w:rPr>
        <w:t xml:space="preserve">مسألة </w:t>
      </w:r>
      <w:r>
        <w:rPr/>
        <w:t>5</w:t>
      </w:r>
      <w:r>
        <w:rPr>
          <w:rtl w:val="true"/>
        </w:rPr>
        <w:t xml:space="preserve">): </w:t>
      </w:r>
      <w:r>
        <w:rPr>
          <w:rtl w:val="true"/>
        </w:rPr>
        <w:t>إذا کان لشی‌ء حالتان</w:t>
      </w:r>
      <w:r>
        <w:rPr>
          <w:rtl w:val="true"/>
        </w:rPr>
        <w:t xml:space="preserve">: </w:t>
      </w:r>
      <w:r>
        <w:rPr>
          <w:rtl w:val="true"/>
        </w:rPr>
        <w:t>حالة رطوبة و حالة جفاف</w:t>
      </w:r>
      <w:r>
        <w:rPr>
          <w:rtl w:val="true"/>
        </w:rPr>
        <w:t>]</w:t>
      </w:r>
      <w:bookmarkEnd w:id="39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لشی‌ء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رطوبة و حالة جفاف کالتمر یکون رطباً ثمّ یصیر تمراً، و العنب یکون عنباً ثمّ یصیر زبیباً، و کذا الخبز، بل و اللحم أیضاً یکون نیّاً ثمّ یصیر قدیداً لا إشکال فی بیع جافّة بجافّه و رطبه برطبه مثلًا بمثل، کما أنّه لا یجوز بالتفاضل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جافّة برطبه کبیع التمر بالرطب ففی جوازه إشکال، أقواه </w:t>
      </w:r>
      <w:r>
        <w:rPr>
          <w:rStyle w:val="FootnoteAnchor"/>
          <w:rtl w:val="true"/>
        </w:rPr>
        <w:footnoteReference w:id="1124"/>
      </w:r>
      <w:r>
        <w:rPr>
          <w:rFonts w:ascii="IRNazanin" w:hAnsi="IRNazanin" w:eastAsia="IRNazanin"/>
          <w:color w:val="111111"/>
          <w:sz w:val="28"/>
          <w:sz w:val="28"/>
          <w:szCs w:val="28"/>
          <w:rtl w:val="true"/>
          <w:lang w:bidi="fa-IR"/>
        </w:rPr>
        <w:t>العدم؛ سواء کان بالتفاضل، أو مثلًا بمثل</w:t>
      </w:r>
      <w:r>
        <w:rPr>
          <w:rFonts w:eastAsia="IRNazanin" w:cs="IRNazanin"/>
          <w:color w:val="111111"/>
          <w:sz w:val="28"/>
          <w:szCs w:val="28"/>
          <w:rtl w:val="true"/>
          <w:lang w:bidi="fa-IR"/>
        </w:rPr>
        <w:t>.</w:t>
      </w:r>
    </w:p>
    <w:p>
      <w:pPr>
        <w:pStyle w:val="Heading4"/>
        <w:numPr>
          <w:ilvl w:val="3"/>
          <w:numId w:val="1"/>
        </w:numPr>
        <w:rPr/>
      </w:pPr>
      <w:bookmarkStart w:id="3961" w:name="__RefHeading___Toc2568590_3650668749"/>
      <w:bookmarkStart w:id="3962" w:name="_Toc1804"/>
      <w:bookmarkEnd w:id="3961"/>
      <w:r>
        <w:rPr>
          <w:rtl w:val="true"/>
        </w:rPr>
        <w:t>[ (</w:t>
      </w:r>
      <w:r>
        <w:rPr>
          <w:rtl w:val="true"/>
        </w:rPr>
        <w:t xml:space="preserve">مسألة </w:t>
      </w:r>
      <w:r>
        <w:rPr/>
        <w:t>6</w:t>
      </w:r>
      <w:r>
        <w:rPr>
          <w:rtl w:val="true"/>
        </w:rPr>
        <w:t xml:space="preserve">): </w:t>
      </w:r>
      <w:r>
        <w:rPr>
          <w:rtl w:val="true"/>
        </w:rPr>
        <w:t>التفاوت بالجودة و الرداءة لا یوجب جواز التفاضل فی المقدار</w:t>
      </w:r>
      <w:r>
        <w:rPr>
          <w:rtl w:val="true"/>
        </w:rPr>
        <w:t>]</w:t>
      </w:r>
      <w:bookmarkEnd w:id="39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التفاوت بالجودة و الرداءة لا یوجب جواز التفاضل فی المقدار، فلا یجوز بیع مثقال من الذهب الجیّد بمثقالین من الردی‌ء و إن تساویا فی القیمة</w:t>
      </w:r>
      <w:r>
        <w:rPr>
          <w:rFonts w:eastAsia="IRNazanin" w:cs="IRNazanin"/>
          <w:color w:val="111111"/>
          <w:sz w:val="28"/>
          <w:szCs w:val="28"/>
          <w:rtl w:val="true"/>
          <w:lang w:bidi="fa-IR"/>
        </w:rPr>
        <w:t>.</w:t>
      </w:r>
    </w:p>
    <w:p>
      <w:pPr>
        <w:pStyle w:val="Heading4"/>
        <w:numPr>
          <w:ilvl w:val="3"/>
          <w:numId w:val="1"/>
        </w:numPr>
        <w:rPr/>
      </w:pPr>
      <w:bookmarkStart w:id="3963" w:name="__RefHeading___Toc2568592_3650668749"/>
      <w:bookmarkStart w:id="3964" w:name="_Toc1805"/>
      <w:bookmarkEnd w:id="3963"/>
      <w:r>
        <w:rPr>
          <w:rtl w:val="true"/>
        </w:rPr>
        <w:t>[ (</w:t>
      </w:r>
      <w:r>
        <w:rPr>
          <w:rtl w:val="true"/>
        </w:rPr>
        <w:t xml:space="preserve">مسألة </w:t>
      </w:r>
      <w:r>
        <w:rPr/>
        <w:t>7</w:t>
      </w:r>
      <w:r>
        <w:rPr>
          <w:rtl w:val="true"/>
        </w:rPr>
        <w:t xml:space="preserve">): </w:t>
      </w:r>
      <w:r>
        <w:rPr>
          <w:rtl w:val="true"/>
        </w:rPr>
        <w:t>یتخلّص من الربا بضمّ غیر الجنس بالطرفین</w:t>
      </w:r>
      <w:r>
        <w:rPr>
          <w:rtl w:val="true"/>
        </w:rPr>
        <w:t>]</w:t>
      </w:r>
      <w:bookmarkEnd w:id="396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یتخلّص من الربا بضمّ غیر الجنس بالطرفین؛ کأن یبیع منّاً من حنطة مع</w:t>
      </w:r>
      <w:bookmarkStart w:id="3965" w:name="pg1809_19368"/>
    </w:p>
    <w:p>
      <w:pPr>
        <w:pStyle w:val="BookText"/>
        <w:rPr/>
      </w:pPr>
      <w:bookmarkEnd w:id="3965"/>
      <w:r>
        <w:rPr>
          <w:rFonts w:ascii="IRNazanin" w:hAnsi="IRNazanin" w:eastAsia="IRNazanin"/>
          <w:color w:val="111111"/>
          <w:sz w:val="28"/>
          <w:sz w:val="28"/>
          <w:szCs w:val="28"/>
          <w:rtl w:val="true"/>
          <w:lang w:bidi="fa-IR"/>
        </w:rPr>
        <w:t>درهم بمنّین من حنطة و درهمین، أو بضمّ غیر الجنس فی الطرف الناقص، کأن یبیع منّاً من حنطة مع درهم بمنّین منها</w:t>
      </w:r>
      <w:r>
        <w:rPr>
          <w:rFonts w:eastAsia="IRNazanin" w:cs="IRNazanin"/>
          <w:color w:val="111111"/>
          <w:sz w:val="28"/>
          <w:szCs w:val="28"/>
          <w:rtl w:val="true"/>
          <w:lang w:bidi="fa-IR"/>
        </w:rPr>
        <w:t>.</w:t>
      </w:r>
    </w:p>
    <w:p>
      <w:pPr>
        <w:pStyle w:val="Heading4"/>
        <w:numPr>
          <w:ilvl w:val="3"/>
          <w:numId w:val="1"/>
        </w:numPr>
        <w:rPr/>
      </w:pPr>
      <w:bookmarkStart w:id="3966" w:name="__RefHeading___Toc2568594_3650668749"/>
      <w:bookmarkStart w:id="3967" w:name="_Toc1806"/>
      <w:bookmarkEnd w:id="3966"/>
      <w:r>
        <w:rPr>
          <w:rtl w:val="true"/>
        </w:rPr>
        <w:t>[ (</w:t>
      </w:r>
      <w:r>
        <w:rPr>
          <w:rtl w:val="true"/>
        </w:rPr>
        <w:t xml:space="preserve">مسألة </w:t>
      </w:r>
      <w:r>
        <w:rPr/>
        <w:t>8</w:t>
      </w:r>
      <w:r>
        <w:rPr>
          <w:rtl w:val="true"/>
        </w:rPr>
        <w:t xml:space="preserve">): </w:t>
      </w:r>
      <w:r>
        <w:rPr>
          <w:rtl w:val="true"/>
        </w:rPr>
        <w:t>لو کان شی‌ء یباع جزافاً فی بلد و موزوناً فی آخر</w:t>
      </w:r>
      <w:r>
        <w:rPr>
          <w:rtl w:val="true"/>
        </w:rPr>
        <w:t>]</w:t>
      </w:r>
      <w:bookmarkEnd w:id="39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شی‌ء یباع جزافاً فی بلد و موزوناً فی آخر فلکلّ بلد حکم نفسه</w:t>
      </w:r>
      <w:r>
        <w:rPr>
          <w:rFonts w:eastAsia="IRNazanin" w:cs="IRNazanin"/>
          <w:color w:val="111111"/>
          <w:sz w:val="28"/>
          <w:szCs w:val="28"/>
          <w:rtl w:val="true"/>
          <w:lang w:bidi="fa-IR"/>
        </w:rPr>
        <w:t>.</w:t>
      </w:r>
    </w:p>
    <w:p>
      <w:pPr>
        <w:pStyle w:val="Heading4"/>
        <w:numPr>
          <w:ilvl w:val="3"/>
          <w:numId w:val="1"/>
        </w:numPr>
        <w:rPr/>
      </w:pPr>
      <w:bookmarkStart w:id="3968" w:name="__RefHeading___Toc2568596_3650668749"/>
      <w:bookmarkStart w:id="3969" w:name="_Toc1807"/>
      <w:bookmarkEnd w:id="3968"/>
      <w:r>
        <w:rPr>
          <w:rtl w:val="true"/>
        </w:rPr>
        <w:t>[ (</w:t>
      </w:r>
      <w:r>
        <w:rPr>
          <w:rtl w:val="true"/>
        </w:rPr>
        <w:t xml:space="preserve">مسألة </w:t>
      </w:r>
      <w:r>
        <w:rPr/>
        <w:t>9</w:t>
      </w:r>
      <w:r>
        <w:rPr>
          <w:rtl w:val="true"/>
        </w:rPr>
        <w:t xml:space="preserve">): </w:t>
      </w:r>
      <w:r>
        <w:rPr>
          <w:rtl w:val="true"/>
        </w:rPr>
        <w:t>لا ربا بین الوالد و ولده، و لا بین السیّد و عبده، و لا بین الرجل و زوجته، و لا بین المسلم و الحربی</w:t>
      </w:r>
      <w:r>
        <w:rPr>
          <w:rtl w:val="true"/>
        </w:rPr>
        <w:t>]</w:t>
      </w:r>
      <w:bookmarkEnd w:id="39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بین الوالد و ولده، و لا بین السیّد و عبده، و لا بین الرجل و زوجته، و لا بین المسلم و الحربی؛ بمعنی أنّه یجوز أخذ الفضل للمسلم، و یثبت بین المسلم و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الکلام فی الربا المعاملی، و أمّا الربا القرضی فیأتی</w:t>
      </w:r>
      <w:r>
        <w:rPr>
          <w:rFonts w:eastAsia="IRNazanin" w:cs="IRNazanin"/>
          <w:color w:val="111111"/>
          <w:sz w:val="28"/>
          <w:szCs w:val="28"/>
          <w:rtl w:val="true"/>
          <w:lang w:bidi="fa-IR"/>
        </w:rPr>
        <w:t>.</w:t>
      </w:r>
    </w:p>
    <w:p>
      <w:pPr>
        <w:pStyle w:val="Heading3"/>
        <w:numPr>
          <w:ilvl w:val="2"/>
          <w:numId w:val="1"/>
        </w:numPr>
        <w:rPr/>
      </w:pPr>
      <w:bookmarkStart w:id="3970" w:name="__RefHeading___Toc2568598_3650668749"/>
      <w:bookmarkStart w:id="3971" w:name="_Toc1808"/>
      <w:bookmarkEnd w:id="3970"/>
      <w:r>
        <w:rPr>
          <w:rtl w:val="true"/>
        </w:rPr>
        <w:t>[</w:t>
      </w:r>
      <w:r>
        <w:rPr>
          <w:rtl w:val="true"/>
        </w:rPr>
        <w:t>القول فی بیع الصرف</w:t>
      </w:r>
      <w:r>
        <w:rPr>
          <w:rtl w:val="true"/>
        </w:rPr>
        <w:t>]</w:t>
      </w:r>
      <w:bookmarkEnd w:id="3971"/>
    </w:p>
    <w:p>
      <w:pPr>
        <w:pStyle w:val="Heading4"/>
        <w:numPr>
          <w:ilvl w:val="3"/>
          <w:numId w:val="1"/>
        </w:numPr>
        <w:rPr/>
      </w:pPr>
      <w:bookmarkStart w:id="3972" w:name="__RefHeading___Toc2568600_3650668749"/>
      <w:bookmarkStart w:id="3973" w:name="_Toc1809"/>
      <w:bookmarkEnd w:id="3972"/>
      <w:r>
        <w:rPr>
          <w:rtl w:val="true"/>
        </w:rPr>
        <w:t>اشارة</w:t>
      </w:r>
      <w:bookmarkEnd w:id="3973"/>
    </w:p>
    <w:p>
      <w:pPr>
        <w:pStyle w:val="BookText"/>
        <w:rPr/>
      </w:pPr>
      <w:r>
        <w:rPr>
          <w:rFonts w:ascii="IRNazanin" w:hAnsi="IRNazanin" w:eastAsia="IRNazanin"/>
          <w:color w:val="111111"/>
          <w:sz w:val="28"/>
          <w:sz w:val="28"/>
          <w:szCs w:val="28"/>
          <w:rtl w:val="true"/>
          <w:lang w:bidi="fa-IR"/>
        </w:rPr>
        <w:t xml:space="preserve">القول فی بیع الصرف و هو بیع الذهب بالذهب أو بالفضّة، أو الفضّة بالفضّة أو بالذهب، و لا فرق بین المسکوک منهما و غیره، حتّی فی الکلبتون المصنوع من الإبریسم و أحد النقدین إذا بیع بأحدهما یکون صرفاً </w:t>
      </w:r>
      <w:r>
        <w:rPr>
          <w:rStyle w:val="FootnoteAnchor"/>
          <w:rtl w:val="true"/>
        </w:rPr>
        <w:footnoteReference w:id="1125"/>
      </w:r>
      <w:r>
        <w:rPr>
          <w:rFonts w:ascii="IRNazanin" w:hAnsi="IRNazanin" w:eastAsia="IRNazanin"/>
          <w:color w:val="111111"/>
          <w:sz w:val="28"/>
          <w:sz w:val="28"/>
          <w:szCs w:val="28"/>
          <w:rtl w:val="true"/>
          <w:lang w:bidi="fa-IR"/>
        </w:rPr>
        <w:t>بالنسبة إلیٰ ما فیه من النقدین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صحّته التقابض فی المجلس فلو تفرّقا و لم یتقابضا بطل البیع، و لو قبض البعض صحّ فیه خاصّة و بطل بالنسبة إلیٰ ما لم یقبض، و کذا إذا بیع أحد النقدین مع غیرهما صفقة واحدة بأحدهما و لم یقبض الجملة حتّی تفرّقا بطل البیع بالنسبة إلی النقد و صحّ بالنسبة إلیٰ غیره</w:t>
      </w:r>
      <w:r>
        <w:rPr>
          <w:rFonts w:eastAsia="IRNazanin" w:cs="IRNazanin"/>
          <w:color w:val="111111"/>
          <w:sz w:val="28"/>
          <w:szCs w:val="28"/>
          <w:rtl w:val="true"/>
          <w:lang w:bidi="fa-IR"/>
        </w:rPr>
        <w:t>.</w:t>
      </w:r>
    </w:p>
    <w:p>
      <w:pPr>
        <w:pStyle w:val="Heading4"/>
        <w:numPr>
          <w:ilvl w:val="3"/>
          <w:numId w:val="1"/>
        </w:numPr>
        <w:rPr/>
      </w:pPr>
      <w:bookmarkStart w:id="3974" w:name="__RefHeading___Toc2568602_3650668749"/>
      <w:bookmarkStart w:id="3975" w:name="_Toc1810"/>
      <w:bookmarkEnd w:id="3974"/>
      <w:r>
        <w:rPr>
          <w:rtl w:val="true"/>
        </w:rPr>
        <w:t>[ (</w:t>
      </w:r>
      <w:r>
        <w:rPr>
          <w:rtl w:val="true"/>
        </w:rPr>
        <w:t xml:space="preserve">مسألة </w:t>
      </w:r>
      <w:r>
        <w:rPr/>
        <w:t>1</w:t>
      </w:r>
      <w:r>
        <w:rPr>
          <w:rtl w:val="true"/>
        </w:rPr>
        <w:t xml:space="preserve">): </w:t>
      </w:r>
      <w:r>
        <w:rPr>
          <w:rtl w:val="true"/>
        </w:rPr>
        <w:t>لو فارقا المجلس مصطحبین لم یبطل البیع</w:t>
      </w:r>
      <w:r>
        <w:rPr>
          <w:rtl w:val="true"/>
        </w:rPr>
        <w:t>]</w:t>
      </w:r>
      <w:bookmarkEnd w:id="39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فارقا المجلس مصطحبین لم یبطل البیع، فإذا تقابضا قبل أن یفترقا صحّ</w:t>
      </w:r>
      <w:r>
        <w:rPr>
          <w:rFonts w:eastAsia="IRNazanin" w:cs="IRNazanin"/>
          <w:color w:val="111111"/>
          <w:sz w:val="28"/>
          <w:szCs w:val="28"/>
          <w:rtl w:val="true"/>
          <w:lang w:bidi="fa-IR"/>
        </w:rPr>
        <w:t>.</w:t>
      </w:r>
    </w:p>
    <w:p>
      <w:pPr>
        <w:pStyle w:val="Heading4"/>
        <w:numPr>
          <w:ilvl w:val="3"/>
          <w:numId w:val="1"/>
        </w:numPr>
        <w:rPr/>
      </w:pPr>
      <w:bookmarkStart w:id="3976" w:name="__RefHeading___Toc2568604_3650668749"/>
      <w:bookmarkStart w:id="3977" w:name="_Toc1811"/>
      <w:bookmarkEnd w:id="3976"/>
      <w:r>
        <w:rPr>
          <w:rtl w:val="true"/>
        </w:rPr>
        <w:t>[ (</w:t>
      </w:r>
      <w:r>
        <w:rPr>
          <w:rtl w:val="true"/>
        </w:rPr>
        <w:t xml:space="preserve">مسألة </w:t>
      </w:r>
      <w:r>
        <w:rPr/>
        <w:t>2</w:t>
      </w:r>
      <w:r>
        <w:rPr>
          <w:rtl w:val="true"/>
        </w:rPr>
        <w:t xml:space="preserve">): </w:t>
      </w:r>
      <w:r>
        <w:rPr>
          <w:rtl w:val="true"/>
        </w:rPr>
        <w:t>إنّما یشترط التقابض فی معاوضة النقدین إذا کانت بالبیع</w:t>
      </w:r>
      <w:r>
        <w:rPr>
          <w:rtl w:val="true"/>
        </w:rPr>
        <w:t>]</w:t>
      </w:r>
      <w:bookmarkEnd w:id="39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یشترط التقابض فی معاوضة النقدین إذا کانت بالبیع، دون ما إذا کانت بغیره کالصلح و الهبة المعوّضة و غیرهما</w:t>
      </w:r>
      <w:r>
        <w:rPr>
          <w:rFonts w:eastAsia="IRNazanin" w:cs="IRNazanin"/>
          <w:color w:val="111111"/>
          <w:sz w:val="28"/>
          <w:szCs w:val="28"/>
          <w:rtl w:val="true"/>
          <w:lang w:bidi="fa-IR"/>
        </w:rPr>
        <w:t>.</w:t>
      </w:r>
    </w:p>
    <w:p>
      <w:pPr>
        <w:pStyle w:val="Heading4"/>
        <w:numPr>
          <w:ilvl w:val="3"/>
          <w:numId w:val="1"/>
        </w:numPr>
        <w:rPr/>
      </w:pPr>
      <w:bookmarkStart w:id="3978" w:name="__RefHeading___Toc2568606_3650668749"/>
      <w:bookmarkStart w:id="3979" w:name="_Toc1812"/>
      <w:bookmarkEnd w:id="3978"/>
      <w:r>
        <w:rPr>
          <w:rtl w:val="true"/>
        </w:rPr>
        <w:t>[ (</w:t>
      </w:r>
      <w:r>
        <w:rPr>
          <w:rtl w:val="true"/>
        </w:rPr>
        <w:t xml:space="preserve">مسألة </w:t>
      </w:r>
      <w:r>
        <w:rPr/>
        <w:t>3</w:t>
      </w:r>
      <w:r>
        <w:rPr>
          <w:rtl w:val="true"/>
        </w:rPr>
        <w:t xml:space="preserve">): </w:t>
      </w:r>
      <w:r>
        <w:rPr>
          <w:rtl w:val="true"/>
        </w:rPr>
        <w:t>إذا وقعت المعاملة علی النوت و المنات و الإسکناس المتعارفة فی زماننا من طرف واحد أو من الطرفین</w:t>
      </w:r>
      <w:r>
        <w:rPr>
          <w:rtl w:val="true"/>
        </w:rPr>
        <w:t>]</w:t>
      </w:r>
      <w:bookmarkEnd w:id="397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المعاملة علی النوت و المنات و الإسکناس المتعارفة فی زماننا من طرف واحد أو من الطرفین، ففی جریان أحکام بیع الصرف و عدمه و ثبوت الربا مع الزیادة و عدمه إشکال،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أوقعا البیع علی الکاغذ ثمناً أو مثمناً بأن باع هذا الکاغذ المخصوص الذی یسمّیٰ نوت عشر روبیّات مثلًا بخمس عشر روبیّة عین أو</w:t>
      </w:r>
      <w:bookmarkStart w:id="3980" w:name="pg1809_19369"/>
    </w:p>
    <w:p>
      <w:pPr>
        <w:pStyle w:val="BookText"/>
        <w:rPr/>
      </w:pPr>
      <w:bookmarkEnd w:id="3980"/>
      <w:r>
        <w:rPr>
          <w:rFonts w:ascii="IRNazanin" w:hAnsi="IRNazanin" w:eastAsia="IRNazanin"/>
          <w:color w:val="111111"/>
          <w:sz w:val="28"/>
          <w:sz w:val="28"/>
          <w:szCs w:val="28"/>
          <w:rtl w:val="true"/>
          <w:lang w:bidi="fa-IR"/>
        </w:rPr>
        <w:t>بنوت عشر روبیات مع نوت خمس روبیات فلا یکون من بیع الصرف حتّی یحتاج إلی التقابض فی المجلس و لم یثبت فیه الربا، و أمّا إذا کانت المعاملة واقعة فی الحقیقة بین النقدین بأن باع فی المثال المتقدّم عشر روبیات بخمسة عشر روبیّة و إن کان فی مقام التسلیم و القبض و الإقباض سلّم الکاغذ فلا ریب فی کونه من الصرف و ثبوت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علیٰ هذا التقدیر یمکن أن یقال بأنّه یکفی </w:t>
      </w:r>
      <w:r>
        <w:rPr>
          <w:rStyle w:val="FootnoteAnchor"/>
          <w:rtl w:val="true"/>
        </w:rPr>
        <w:footnoteReference w:id="1126"/>
      </w:r>
      <w:r>
        <w:rPr>
          <w:rFonts w:ascii="IRNazanin" w:hAnsi="IRNazanin" w:eastAsia="IRNazanin"/>
          <w:color w:val="111111"/>
          <w:sz w:val="28"/>
          <w:sz w:val="28"/>
          <w:szCs w:val="28"/>
          <w:rtl w:val="true"/>
          <w:lang w:bidi="fa-IR"/>
        </w:rPr>
        <w:t>فی حصول القبض المعتبر فی بیع الصرف قبض هذا الکاغذ ثمناً أو مثمناً، أو کلیهما مثلًا إذا أوقعا المعاملة بین عشر روبیّات و لیرة واحدة، فإذا سلّم نوت عشر روبیّات و أخذ عین لیرة قبل التفرّق تحقّق القبض المعتبر فی بیع الصرف، لکنّ المسألة لا یخلو من إشکال</w:t>
      </w:r>
      <w:r>
        <w:rPr>
          <w:rFonts w:eastAsia="IRNazanin" w:cs="IRNazanin"/>
          <w:color w:val="111111"/>
          <w:sz w:val="28"/>
          <w:szCs w:val="28"/>
          <w:rtl w:val="true"/>
          <w:lang w:bidi="fa-IR"/>
        </w:rPr>
        <w:t>.</w:t>
      </w:r>
    </w:p>
    <w:p>
      <w:pPr>
        <w:pStyle w:val="Heading4"/>
        <w:numPr>
          <w:ilvl w:val="3"/>
          <w:numId w:val="1"/>
        </w:numPr>
        <w:rPr/>
      </w:pPr>
      <w:bookmarkStart w:id="3981" w:name="__RefHeading___Toc2568608_3650668749"/>
      <w:bookmarkStart w:id="3982" w:name="_Toc1813"/>
      <w:bookmarkEnd w:id="3981"/>
      <w:r>
        <w:rPr>
          <w:rtl w:val="true"/>
        </w:rPr>
        <w:t>[ (</w:t>
      </w:r>
      <w:r>
        <w:rPr>
          <w:rtl w:val="true"/>
        </w:rPr>
        <w:t xml:space="preserve">مسألة </w:t>
      </w:r>
      <w:r>
        <w:rPr/>
        <w:t>4</w:t>
      </w:r>
      <w:r>
        <w:rPr>
          <w:rtl w:val="true"/>
        </w:rPr>
        <w:t xml:space="preserve">): </w:t>
      </w:r>
      <w:r>
        <w:rPr>
          <w:rtl w:val="true"/>
        </w:rPr>
        <w:t>الظاهر أنّه یکفی فی القبض کونه فی الذمّة و لا یحتاج إلیٰ قبض آخر</w:t>
      </w:r>
      <w:r>
        <w:rPr>
          <w:rtl w:val="true"/>
        </w:rPr>
        <w:t>]</w:t>
      </w:r>
      <w:bookmarkEnd w:id="39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یکفی فی القبض کونه فی الذمّة و لا یحتاج إلیٰ قبض آخر، فلو کان فی ذمّة زید دراهم لعمرو فباعها بالدنانیر و قبضها قبل التفرّق صحّ، بل لو وکّل زیداً بأن یقبض عنه الدنانیر التی صارت ثمن الدراهم صحّ أیضاً</w:t>
      </w:r>
      <w:r>
        <w:rPr>
          <w:rFonts w:eastAsia="IRNazanin" w:cs="IRNazanin"/>
          <w:color w:val="111111"/>
          <w:sz w:val="28"/>
          <w:szCs w:val="28"/>
          <w:rtl w:val="true"/>
          <w:lang w:bidi="fa-IR"/>
        </w:rPr>
        <w:t>.</w:t>
      </w:r>
    </w:p>
    <w:p>
      <w:pPr>
        <w:pStyle w:val="Heading4"/>
        <w:numPr>
          <w:ilvl w:val="3"/>
          <w:numId w:val="1"/>
        </w:numPr>
        <w:rPr/>
      </w:pPr>
      <w:bookmarkStart w:id="3983" w:name="__RefHeading___Toc2568610_3650668749"/>
      <w:bookmarkStart w:id="3984" w:name="_Toc1814"/>
      <w:bookmarkEnd w:id="3983"/>
      <w:r>
        <w:rPr>
          <w:rtl w:val="true"/>
        </w:rPr>
        <w:t>[ (</w:t>
      </w:r>
      <w:r>
        <w:rPr>
          <w:rtl w:val="true"/>
        </w:rPr>
        <w:t xml:space="preserve">مسألة </w:t>
      </w:r>
      <w:r>
        <w:rPr/>
        <w:t>5</w:t>
      </w:r>
      <w:r>
        <w:rPr>
          <w:rtl w:val="true"/>
        </w:rPr>
        <w:t xml:space="preserve">): </w:t>
      </w:r>
      <w:r>
        <w:rPr>
          <w:rtl w:val="true"/>
        </w:rPr>
        <w:t>إذا اشتریٰ منه دراهم ببیع الصرف ثمّ اشتریٰ بها منه دنانیر</w:t>
      </w:r>
      <w:r>
        <w:rPr>
          <w:rtl w:val="true"/>
        </w:rPr>
        <w:t>]</w:t>
      </w:r>
      <w:bookmarkEnd w:id="39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 منه دراهم ببیع الصرف ثمّ اشتریٰ بها منه دنانیر قبل قبض الدراهم لم یصحّ الثانی، فإذا قبض </w:t>
      </w:r>
      <w:r>
        <w:rPr>
          <w:rStyle w:val="FootnoteAnchor"/>
          <w:rtl w:val="true"/>
        </w:rPr>
        <w:footnoteReference w:id="1127"/>
      </w:r>
      <w:r>
        <w:rPr>
          <w:rFonts w:ascii="IRNazanin" w:hAnsi="IRNazanin" w:eastAsia="IRNazanin"/>
          <w:color w:val="111111"/>
          <w:sz w:val="28"/>
          <w:sz w:val="28"/>
          <w:szCs w:val="28"/>
          <w:rtl w:val="true"/>
          <w:lang w:bidi="fa-IR"/>
        </w:rPr>
        <w:t>الدراهم بعد ذلک قبل التفرّق صحّ الأوّل، و إن لم یقبضها حتّی افترقا بطل الأوّل أیضاً</w:t>
      </w:r>
      <w:r>
        <w:rPr>
          <w:rFonts w:eastAsia="IRNazanin" w:cs="IRNazanin"/>
          <w:color w:val="111111"/>
          <w:sz w:val="28"/>
          <w:szCs w:val="28"/>
          <w:rtl w:val="true"/>
          <w:lang w:bidi="fa-IR"/>
        </w:rPr>
        <w:t>.</w:t>
      </w:r>
    </w:p>
    <w:p>
      <w:pPr>
        <w:pStyle w:val="Heading4"/>
        <w:numPr>
          <w:ilvl w:val="3"/>
          <w:numId w:val="1"/>
        </w:numPr>
        <w:rPr/>
      </w:pPr>
      <w:bookmarkStart w:id="3985" w:name="__RefHeading___Toc2568612_3650668749"/>
      <w:bookmarkStart w:id="3986" w:name="_Toc1815"/>
      <w:bookmarkEnd w:id="3985"/>
      <w:r>
        <w:rPr>
          <w:rtl w:val="true"/>
        </w:rPr>
        <w:t>[ (</w:t>
      </w:r>
      <w:r>
        <w:rPr>
          <w:rtl w:val="true"/>
        </w:rPr>
        <w:t xml:space="preserve">مسألة </w:t>
      </w:r>
      <w:r>
        <w:rPr/>
        <w:t>6</w:t>
      </w:r>
      <w:r>
        <w:rPr>
          <w:rtl w:val="true"/>
        </w:rPr>
        <w:t xml:space="preserve">): </w:t>
      </w:r>
      <w:r>
        <w:rPr>
          <w:rtl w:val="true"/>
        </w:rPr>
        <w:t>إذا کان له علیه دراهم</w:t>
      </w:r>
      <w:r>
        <w:rPr>
          <w:rtl w:val="true"/>
        </w:rPr>
        <w:t>]</w:t>
      </w:r>
      <w:bookmarkEnd w:id="398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علیه دراهم، فقال للذی علیه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حوّلها دنانیر، فرضی بذلک و تقبّل دنانیر فی ذمّته بدل الدراهم صحّ ذلک، و یتحوّل ما فی ذمّته من الدراهم إلی الدنانیر و إن لم یتقابضا، و کذلک لو کان له علیه دنانیر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حوّلها دراهم، و لا یبعد </w:t>
      </w:r>
      <w:r>
        <w:rPr>
          <w:rStyle w:val="FootnoteAnchor"/>
          <w:rtl w:val="true"/>
        </w:rPr>
        <w:footnoteReference w:id="1128"/>
      </w:r>
      <w:r>
        <w:rPr>
          <w:rFonts w:ascii="IRNazanin" w:hAnsi="IRNazanin" w:eastAsia="IRNazanin"/>
          <w:color w:val="111111"/>
          <w:sz w:val="28"/>
          <w:sz w:val="28"/>
          <w:szCs w:val="28"/>
          <w:rtl w:val="true"/>
          <w:lang w:bidi="fa-IR"/>
        </w:rPr>
        <w:t>أن یکون هذا عنواناً آخر غیر البیع</w:t>
      </w:r>
      <w:r>
        <w:rPr>
          <w:rFonts w:eastAsia="IRNazanin" w:cs="IRNazanin"/>
          <w:color w:val="111111"/>
          <w:sz w:val="28"/>
          <w:szCs w:val="28"/>
          <w:rtl w:val="true"/>
          <w:lang w:bidi="fa-IR"/>
        </w:rPr>
        <w:t>.</w:t>
      </w:r>
      <w:bookmarkStart w:id="3987" w:name="pg1809_19370"/>
    </w:p>
    <w:p>
      <w:pPr>
        <w:pStyle w:val="Heading4"/>
        <w:numPr>
          <w:ilvl w:val="3"/>
          <w:numId w:val="1"/>
        </w:numPr>
        <w:rPr/>
      </w:pPr>
      <w:bookmarkStart w:id="3988" w:name="__RefHeading___Toc2568614_3650668749"/>
      <w:bookmarkStart w:id="3989" w:name="_Toc1816"/>
      <w:bookmarkEnd w:id="3987"/>
      <w:bookmarkEnd w:id="3988"/>
      <w:r>
        <w:rPr>
          <w:rtl w:val="true"/>
        </w:rPr>
        <w:t>[ (</w:t>
      </w:r>
      <w:r>
        <w:rPr>
          <w:rtl w:val="true"/>
        </w:rPr>
        <w:t xml:space="preserve">مسألة </w:t>
      </w:r>
      <w:r>
        <w:rPr/>
        <w:t>7</w:t>
      </w:r>
      <w:r>
        <w:rPr>
          <w:rtl w:val="true"/>
        </w:rPr>
        <w:t xml:space="preserve">): </w:t>
      </w:r>
      <w:r>
        <w:rPr>
          <w:rtl w:val="true"/>
        </w:rPr>
        <w:t>الدراهم و الدنانیر المغشوشة إن کانت رائجة بین عامّة الناس مع علمهم</w:t>
      </w:r>
      <w:r>
        <w:rPr>
          <w:rtl w:val="true"/>
        </w:rPr>
        <w:t>]</w:t>
      </w:r>
      <w:bookmarkEnd w:id="39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الدراهم و الدنانیر المغشوشة إن کانت رائجة بین عامّة الناس مع علمهم </w:t>
      </w:r>
      <w:r>
        <w:rPr>
          <w:rStyle w:val="FootnoteAnchor"/>
          <w:rtl w:val="true"/>
        </w:rPr>
        <w:footnoteReference w:id="1129"/>
      </w:r>
      <w:r>
        <w:rPr>
          <w:rFonts w:ascii="IRNazanin" w:hAnsi="IRNazanin" w:eastAsia="IRNazanin"/>
          <w:color w:val="111111"/>
          <w:sz w:val="28"/>
          <w:sz w:val="28"/>
          <w:szCs w:val="28"/>
          <w:rtl w:val="true"/>
          <w:lang w:bidi="fa-IR"/>
        </w:rPr>
        <w:t xml:space="preserve">بأنّها مغشوشة یجوز إخراجها و إنفاقها و المعاملة بها و إلّا فلا یجوز إنفاقها إلّا بعد إظهار حالها، بل أصل المعاملة بها لا یخلو من إشکال </w:t>
      </w:r>
      <w:r>
        <w:rPr>
          <w:rStyle w:val="FootnoteAnchor"/>
          <w:rtl w:val="true"/>
        </w:rPr>
        <w:footnoteReference w:id="1130"/>
      </w:r>
      <w:r>
        <w:rPr>
          <w:rFonts w:ascii="IRNazanin" w:hAnsi="IRNazanin" w:eastAsia="IRNazanin"/>
          <w:color w:val="111111"/>
          <w:sz w:val="28"/>
          <w:sz w:val="28"/>
          <w:szCs w:val="28"/>
          <w:rtl w:val="true"/>
          <w:lang w:bidi="fa-IR"/>
        </w:rPr>
        <w:t xml:space="preserve">، بل لو کانت معمولة لأجل غشّ الناس لا یبعد </w:t>
      </w:r>
      <w:r>
        <w:rPr>
          <w:rStyle w:val="FootnoteAnchor"/>
          <w:rtl w:val="true"/>
        </w:rPr>
        <w:footnoteReference w:id="1131"/>
      </w:r>
      <w:r>
        <w:rPr>
          <w:rFonts w:ascii="IRNazanin" w:hAnsi="IRNazanin" w:eastAsia="IRNazanin"/>
          <w:color w:val="111111"/>
          <w:sz w:val="28"/>
          <w:sz w:val="28"/>
          <w:szCs w:val="28"/>
          <w:rtl w:val="true"/>
          <w:lang w:bidi="fa-IR"/>
        </w:rPr>
        <w:t>عدم جواز إبقائها و وجوب کسرها</w:t>
      </w:r>
      <w:r>
        <w:rPr>
          <w:rFonts w:eastAsia="IRNazanin" w:cs="IRNazanin"/>
          <w:color w:val="111111"/>
          <w:sz w:val="28"/>
          <w:szCs w:val="28"/>
          <w:rtl w:val="true"/>
          <w:lang w:bidi="fa-IR"/>
        </w:rPr>
        <w:t>.</w:t>
      </w:r>
    </w:p>
    <w:p>
      <w:pPr>
        <w:pStyle w:val="Heading4"/>
        <w:numPr>
          <w:ilvl w:val="3"/>
          <w:numId w:val="1"/>
        </w:numPr>
        <w:rPr/>
      </w:pPr>
      <w:bookmarkStart w:id="3990" w:name="__RefHeading___Toc2568616_3650668749"/>
      <w:bookmarkStart w:id="3991" w:name="_Toc1817"/>
      <w:bookmarkEnd w:id="3990"/>
      <w:r>
        <w:rPr>
          <w:rtl w:val="true"/>
        </w:rPr>
        <w:t>[ (</w:t>
      </w:r>
      <w:r>
        <w:rPr>
          <w:rtl w:val="true"/>
        </w:rPr>
        <w:t xml:space="preserve">مسألة </w:t>
      </w:r>
      <w:r>
        <w:rPr/>
        <w:t>8</w:t>
      </w:r>
      <w:r>
        <w:rPr>
          <w:rtl w:val="true"/>
        </w:rPr>
        <w:t xml:space="preserve">): </w:t>
      </w:r>
      <w:r>
        <w:rPr>
          <w:rtl w:val="true"/>
        </w:rPr>
        <w:t>حیث إنّ الذهب و الفضّة من الربوی فإذا بیع کلّ منهما بجنسه</w:t>
      </w:r>
      <w:r>
        <w:rPr>
          <w:rtl w:val="true"/>
        </w:rPr>
        <w:t>]</w:t>
      </w:r>
      <w:bookmarkEnd w:id="39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الذهب و الفضّة من الربوی فإذا بیع کلّ منهما بجنسه یلزم علی المتعاملین إیقاع المعاملة علیٰ نحو لا یقعان فی الربا؛ بأن لا یکون تفاضل أصلًا أو ضمّ ضمیمة من غیر جنسهما فی الطرفین، أو فی طرف الناقص لیتخلّص منه کما مرّ فی بابه، و هذا ممّا ینبغی أن یهتمّ به المتعاملون خصوصاً الصیارفة، فقد روی عن مولانا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 علی المنبر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التجار الفقه ثمّ المتجر الفقه ثمّ المتجر الفقه ثمّ المتجر، و اللّٰه للربا فی هذه الأُمّة أخفیٰ من دبیب النمل علی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اتّجر بغیر علم ارتطم فی الربا ثمّ ارتطم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النهی عن الصرف معلّلًا بأنّ الصیرفی لا یسلم من الربا</w:t>
      </w:r>
      <w:r>
        <w:rPr>
          <w:rFonts w:eastAsia="IRNazanin" w:cs="IRNazanin"/>
          <w:color w:val="111111"/>
          <w:sz w:val="28"/>
          <w:szCs w:val="28"/>
          <w:rtl w:val="true"/>
          <w:lang w:bidi="fa-IR"/>
        </w:rPr>
        <w:t>.</w:t>
      </w:r>
    </w:p>
    <w:p>
      <w:pPr>
        <w:pStyle w:val="Heading4"/>
        <w:numPr>
          <w:ilvl w:val="3"/>
          <w:numId w:val="1"/>
        </w:numPr>
        <w:rPr/>
      </w:pPr>
      <w:bookmarkStart w:id="3992" w:name="__RefHeading___Toc2568618_3650668749"/>
      <w:bookmarkStart w:id="3993" w:name="_Toc1818"/>
      <w:bookmarkEnd w:id="3992"/>
      <w:r>
        <w:rPr>
          <w:rtl w:val="true"/>
        </w:rPr>
        <w:t>[ (</w:t>
      </w:r>
      <w:r>
        <w:rPr>
          <w:rtl w:val="true"/>
        </w:rPr>
        <w:t xml:space="preserve">مسألة </w:t>
      </w:r>
      <w:r>
        <w:rPr/>
        <w:t>9</w:t>
      </w:r>
      <w:r>
        <w:rPr>
          <w:rtl w:val="true"/>
        </w:rPr>
        <w:t xml:space="preserve">): </w:t>
      </w:r>
      <w:r>
        <w:rPr>
          <w:rtl w:val="true"/>
        </w:rPr>
        <w:t>یکفی فی الضمیمة وجود الغشّ فی الذهب أو الفضّة</w:t>
      </w:r>
      <w:r>
        <w:rPr>
          <w:rtl w:val="true"/>
        </w:rPr>
        <w:t>]</w:t>
      </w:r>
      <w:bookmarkEnd w:id="399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الضمیمة وجود الغشّ فی الذهب أو الفضّة؛ إذا کان له مالیّة لو تخلّص منهما، فإذا بیعت فضّة مغشوشة بمثلها جاز بالمثل و بالتفاضل، و إذا بیعت المغشوشة بالخالصة لا بدّ أن تکون الخالصة زائدة علیٰ فضّة المغشوشة حتّی تقع تلک الزیادة فی مقابل الغشّ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یعلم مقدار الغشّ و الفضّة فی المغشوشة تباع بغیر جنس الفضّة، أو بمقدار منها یعلم إجمالًا زیادته عن الفضّة المغشوشة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الأشیاء المحلّاة بالذهب، أو الفضّة، فإمّا تباع بغیر جنس الحلیة، و إذا بیعت بجنسها لا بدّ أن یکون العوض زائداً علی الحلیة حتّی تقع تلک الزیادة فی مقابل غیرها، و کذلک فی مثل الکلبتون المصنوع من الإبریسم و أحد النقدین</w:t>
      </w:r>
      <w:r>
        <w:rPr>
          <w:rFonts w:eastAsia="IRNazanin" w:cs="IRNazanin"/>
          <w:color w:val="111111"/>
          <w:sz w:val="28"/>
          <w:szCs w:val="28"/>
          <w:rtl w:val="true"/>
          <w:lang w:bidi="fa-IR"/>
        </w:rPr>
        <w:t>.</w:t>
      </w:r>
      <w:bookmarkStart w:id="3994" w:name="pg1809_19371"/>
    </w:p>
    <w:p>
      <w:pPr>
        <w:pStyle w:val="BookText"/>
        <w:rPr/>
      </w:pPr>
      <w:bookmarkEnd w:id="3994"/>
      <w:r>
        <w:rPr>
          <w:rFonts w:ascii="IRNazanin" w:hAnsi="IRNazanin" w:eastAsia="IRNazanin"/>
          <w:color w:val="111111"/>
          <w:sz w:val="28"/>
          <w:sz w:val="28"/>
          <w:szCs w:val="28"/>
          <w:rtl w:val="true"/>
          <w:lang w:bidi="fa-IR"/>
        </w:rPr>
        <w:t>الفضّة کالنحاس و الرصاص بطل البیع، و لیس له مطالبة البدل، کما أنّه لیس للبائع إلزامه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وجد بعضها کذلک بطل فیه و صحّ فی الباقی، و له ردّ الکلّ </w:t>
      </w:r>
      <w:r>
        <w:rPr>
          <w:rStyle w:val="FootnoteAnchor"/>
          <w:rtl w:val="true"/>
        </w:rPr>
        <w:footnoteReference w:id="1132"/>
      </w:r>
      <w:r>
        <w:rPr>
          <w:rFonts w:ascii="IRNazanin" w:hAnsi="IRNazanin" w:eastAsia="IRNazanin"/>
          <w:color w:val="111111"/>
          <w:sz w:val="28"/>
          <w:sz w:val="28"/>
          <w:szCs w:val="28"/>
          <w:rtl w:val="true"/>
          <w:lang w:bidi="fa-IR"/>
        </w:rPr>
        <w:t>لتبعّض 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اشتریٰ فضّة کلّیّاً فی الذمّة بذهب أو فضّة و بعد ما قبضها وجد المدفوع کلّا أو بعضاً من غیر جنسها فإن کان قبل أن یفترقا فللبائع الإبدال بالجنس و للمشتری مطالبة البدل، و إن کان بعد التفرّق بطل البیع فی الکلّ أو البعض علیٰ حذو ما سبق، هذا إذا کان من غیر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من الجنس و لکن ظهر بها عیب کخشونة الجوهر، و الغشّ الزائد علی المتعارف، و اضطراب السکّة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الأوّل و هو ما إذا کان المبیع فضّة معیّنة فی الخارج کان له الخیار بردّ الجمیع، أو إمساکه، و لیس له ردّ المعیب وحده لو کان المعیب هو البعض، علیٰ إشکال تقدّم فی خیار العیب، و لیس له مطالبة الأرش لو کان العوضان متجانسین کالفضّة بالفضّة علی الأحوط </w:t>
      </w:r>
      <w:r>
        <w:rPr>
          <w:rStyle w:val="FootnoteAnchor"/>
          <w:rtl w:val="true"/>
        </w:rPr>
        <w:footnoteReference w:id="1133"/>
      </w:r>
      <w:r>
        <w:rPr>
          <w:rFonts w:ascii="IRNazanin" w:hAnsi="IRNazanin" w:eastAsia="IRNazanin"/>
          <w:color w:val="111111"/>
          <w:sz w:val="28"/>
          <w:sz w:val="28"/>
          <w:szCs w:val="28"/>
          <w:rtl w:val="true"/>
          <w:lang w:bidi="fa-IR"/>
        </w:rPr>
        <w:t>لو لم یکن الأقویٰ للزوم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تخالفا کالفضّة بالذهب فله ذلک قبل التفرّق قطعاً، و أمّا بعده ففیه إشکال خصوصاً إذا کان الأرش من النقدین، و لکنّ الأقویٰ أنّ له ذلک خصوصاً إذا کان من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الثانی و هو ما إذا کان المبیع کلّیّاً فی الذمّة و ظهر عیب فی المدفوع کان له الخیار بین فسخ البیع </w:t>
      </w:r>
      <w:r>
        <w:rPr>
          <w:rStyle w:val="FootnoteAnchor"/>
          <w:rtl w:val="true"/>
        </w:rPr>
        <w:footnoteReference w:id="1134"/>
      </w:r>
      <w:r>
        <w:rPr>
          <w:rFonts w:ascii="IRNazanin" w:hAnsi="IRNazanin" w:eastAsia="IRNazanin"/>
          <w:color w:val="111111"/>
          <w:sz w:val="28"/>
          <w:sz w:val="28"/>
          <w:szCs w:val="28"/>
          <w:rtl w:val="true"/>
          <w:lang w:bidi="fa-IR"/>
        </w:rPr>
        <w:t xml:space="preserve">و ردّ المدفوع و بین إمضائه و إمساک المعیب بالثمن، کما أنّ له مطالبة البدل أیضاً قبل التفرّق، و أمّا بعده ففیه إشکال و هل له أخذ الأرش؟ فیه تأمّل </w:t>
      </w:r>
      <w:r>
        <w:rPr>
          <w:rStyle w:val="FootnoteAnchor"/>
          <w:rtl w:val="true"/>
        </w:rPr>
        <w:footnoteReference w:id="1135"/>
      </w:r>
      <w:r>
        <w:rPr>
          <w:rFonts w:ascii="Amiri" w:hAnsi="Amiri" w:eastAsia="Amiri" w:cs="Amiri"/>
          <w:color w:val="111111"/>
          <w:sz w:val="28"/>
          <w:sz w:val="28"/>
          <w:szCs w:val="28"/>
          <w:rtl w:val="true"/>
          <w:lang w:bidi="ar-SA"/>
        </w:rPr>
        <w:t>، حتّی فی المتخالفین کالفضّة بالذهب و حتّیٰ قبل التفرّق</w:t>
      </w:r>
      <w:r>
        <w:rPr>
          <w:rFonts w:eastAsia="Amiri" w:cs="Amiri" w:ascii="Amiri" w:hAnsi="Amiri"/>
          <w:color w:val="111111"/>
          <w:sz w:val="28"/>
          <w:szCs w:val="28"/>
          <w:rtl w:val="true"/>
          <w:lang w:bidi="ar-SA"/>
        </w:rPr>
        <w:t>.</w:t>
      </w:r>
    </w:p>
    <w:p>
      <w:pPr>
        <w:pStyle w:val="Heading4"/>
        <w:numPr>
          <w:ilvl w:val="3"/>
          <w:numId w:val="1"/>
        </w:numPr>
        <w:rPr/>
      </w:pPr>
      <w:bookmarkStart w:id="3995" w:name="__RefHeading___Toc2568620_3650668749"/>
      <w:bookmarkStart w:id="3996" w:name="_Toc1819"/>
      <w:bookmarkEnd w:id="3995"/>
      <w:r>
        <w:rPr>
          <w:rtl w:val="true"/>
        </w:rPr>
        <w:t>[ (</w:t>
      </w:r>
      <w:r>
        <w:rPr>
          <w:rtl w:val="true"/>
        </w:rPr>
        <w:t xml:space="preserve">مسألة </w:t>
      </w:r>
      <w:r>
        <w:rPr/>
        <w:t>11</w:t>
      </w:r>
      <w:r>
        <w:rPr>
          <w:rtl w:val="true"/>
        </w:rPr>
        <w:t xml:space="preserve">): </w:t>
      </w:r>
      <w:r>
        <w:rPr>
          <w:rtl w:val="true"/>
        </w:rPr>
        <w:t>لا یجوز أن یشتری من الصائغ خاتماً أو قرطاً مثلًا من فضّة أو ذهب بجنسه مع زیادة</w:t>
      </w:r>
      <w:r>
        <w:rPr>
          <w:rtl w:val="true"/>
        </w:rPr>
        <w:t>]</w:t>
      </w:r>
      <w:bookmarkEnd w:id="399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یشتری من الصائغ خاتماً أو قرطاً مثلًا من فضّة أو ذهب بجنسه مع زیادة</w:t>
      </w:r>
      <w:bookmarkStart w:id="3997" w:name="pg1809_19372"/>
    </w:p>
    <w:p>
      <w:pPr>
        <w:pStyle w:val="BookText"/>
        <w:rPr/>
      </w:pPr>
      <w:bookmarkEnd w:id="3997"/>
      <w:r>
        <w:rPr>
          <w:rFonts w:ascii="IRNazanin" w:hAnsi="IRNazanin" w:eastAsia="IRNazanin"/>
          <w:color w:val="111111"/>
          <w:sz w:val="28"/>
          <w:sz w:val="28"/>
          <w:szCs w:val="28"/>
          <w:rtl w:val="true"/>
          <w:lang w:bidi="fa-IR"/>
        </w:rPr>
        <w:t>بملاحظة أُجرته، بل إمّا یشتریه بغیر جنسه أو یشتری منه مقداراً من الفضّة أو الذهب بجنسه مثلًا بمثل، و یعیّن له اجرة معیّنة لصیاغته، نعم لو کان فصّ الخاتم مثلًا من مال الصائغ و کان من غیر جنس حلقته جاز شراؤه من الصائغ بجنسه مع الزیادة؛ لأنّ الفصّ من الضمیمة و بها یتخلّص من الربا کما مرّ فی بابه</w:t>
      </w:r>
      <w:r>
        <w:rPr>
          <w:rFonts w:eastAsia="IRNazanin" w:cs="IRNazanin"/>
          <w:color w:val="111111"/>
          <w:sz w:val="28"/>
          <w:szCs w:val="28"/>
          <w:rtl w:val="true"/>
          <w:lang w:bidi="fa-IR"/>
        </w:rPr>
        <w:t>.</w:t>
      </w:r>
    </w:p>
    <w:p>
      <w:pPr>
        <w:pStyle w:val="Heading4"/>
        <w:numPr>
          <w:ilvl w:val="3"/>
          <w:numId w:val="1"/>
        </w:numPr>
        <w:rPr/>
      </w:pPr>
      <w:bookmarkStart w:id="3998" w:name="__RefHeading___Toc2568622_3650668749"/>
      <w:bookmarkStart w:id="3999" w:name="_Toc1820"/>
      <w:bookmarkEnd w:id="3998"/>
      <w:r>
        <w:rPr>
          <w:rtl w:val="true"/>
        </w:rPr>
        <w:t>[ (</w:t>
      </w:r>
      <w:r>
        <w:rPr>
          <w:rtl w:val="true"/>
        </w:rPr>
        <w:t xml:space="preserve">مسألة </w:t>
      </w:r>
      <w:r>
        <w:rPr/>
        <w:t>12</w:t>
      </w:r>
      <w:r>
        <w:rPr>
          <w:rtl w:val="true"/>
        </w:rPr>
        <w:t xml:space="preserve">): </w:t>
      </w:r>
      <w:r>
        <w:rPr>
          <w:rtl w:val="true"/>
        </w:rPr>
        <w:t>لو کان له علیٰ زید دنانیر کاللیرات و أخذ منه بعوضها دراهم کالروبیّات شیئاً فشیئاً</w:t>
      </w:r>
      <w:r>
        <w:rPr>
          <w:rtl w:val="true"/>
        </w:rPr>
        <w:t>]</w:t>
      </w:r>
      <w:bookmarkEnd w:id="39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علیٰ زید دنانیر کاللیرات و أخذ منه بعوضها دراهم کالروبیّات شیئاً فشیئاً و تدریجاً بمقدار حاجته فإن کان ذلک بعنوان الوفاء و الاستیفاء ینتقص من الدنانیر فی کلّ زمان بمقدار ما أخذه من الدراهم بسعر ذلک الوقت، فإذا کان له علیه خمس لیرات و أخذ منه فی ثلاثة شهور فی کلّ شهر عشر روبیّات و کان سعر اللیرة فی الشهر الأوّل خمسة عشر روبیّة و فی الشهر الثانی اثنی عشر روبیّة و فی الثالث عشر روبیّات ینتقص من اللیرات فی الشهر الأوّل ثلثا لیرة و فی الشهر الثانی خمسة أسداس لیرة و فی الثالث لیرة، فقد استوفیٰ فی هذه المدّة لیرتین و ثلث لیرة و نصف ثلث لیرة و هکذا، و إن کان أخذها بعنوان الاقتراض اشتغلت ذمّة الآخذ بتلک الدراهم التی أخذها تدریجاً و بقیت ذمّة زید مشغولة بتلک الدنانیر، فلکلّ منهما مطالبة صاحبه عمّا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احتساب کلّ منهما ما له علی الآخر وفاء عمّا علیه للآخر و لو مع التراضی إشکال، کما أنّ بیع الدنانیر التی علیٰ زید فی المثال بالدراهم التی علیٰ صاحبه أیضاً فیه إشکال، فلا محیص إلّا من إبراء کلّ منهما ما له علی الآخر، أو مصالحة الدنانیر التی علیٰ زید بالدراهم التی له علیٰ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الدراهم المأخوذة تدریجاً قد أُخذت بعنوان الأمانة حتّی إذا اجتمعت عنده بمقدار الدنانیر تحاسبا لا إشکال فی جواز جعلها عند الحساب وفاءً، کما أنّه یجوز أن یوقعا البیع بین الدنانیر التی فی الذمّة و الدراهم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سعر الدنانیر و الدراهم عند الحساب، و لا ینظر إلی اختلاف الأسعار السابقة</w:t>
      </w:r>
      <w:r>
        <w:rPr>
          <w:rFonts w:eastAsia="IRNazanin" w:cs="IRNazanin"/>
          <w:color w:val="111111"/>
          <w:sz w:val="28"/>
          <w:szCs w:val="28"/>
          <w:rtl w:val="true"/>
          <w:lang w:bidi="fa-IR"/>
        </w:rPr>
        <w:t>.</w:t>
      </w:r>
    </w:p>
    <w:p>
      <w:pPr>
        <w:pStyle w:val="Heading4"/>
        <w:numPr>
          <w:ilvl w:val="3"/>
          <w:numId w:val="1"/>
        </w:numPr>
        <w:rPr/>
      </w:pPr>
      <w:bookmarkStart w:id="4000" w:name="__RefHeading___Toc2568624_3650668749"/>
      <w:bookmarkStart w:id="4001" w:name="_Toc1821"/>
      <w:bookmarkEnd w:id="4000"/>
      <w:r>
        <w:rPr>
          <w:rtl w:val="true"/>
        </w:rPr>
        <w:t>[ (</w:t>
      </w:r>
      <w:r>
        <w:rPr>
          <w:rtl w:val="true"/>
        </w:rPr>
        <w:t xml:space="preserve">مسألة </w:t>
      </w:r>
      <w:r>
        <w:rPr/>
        <w:t>13</w:t>
      </w:r>
      <w:r>
        <w:rPr>
          <w:rtl w:val="true"/>
        </w:rPr>
        <w:t xml:space="preserve">): </w:t>
      </w:r>
      <w:r>
        <w:rPr>
          <w:rtl w:val="true"/>
        </w:rPr>
        <w:t>إذا أقرض زیداً نقداً معیّناً، أو باعه شیئاً بنقد معیّن کاللیرة إلیٰ أجل معلوم</w:t>
      </w:r>
      <w:r>
        <w:rPr>
          <w:rtl w:val="true"/>
        </w:rPr>
        <w:t>]</w:t>
      </w:r>
      <w:bookmarkEnd w:id="40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أقرض زیداً نقداً معیّناً، أو باعه شیئاً بنقد معیّن کاللیرة إلیٰ أجل معلوم و زاد سعر ذلک النقد أو نقص عند حلول الأجل عن سعره یوم الإقراض أو البیع لا یستحقّ إلّا عین ذلک النقد و لا ینظر إلیٰ زیادة سعره و نقصانه</w:t>
      </w:r>
      <w:r>
        <w:rPr>
          <w:rFonts w:eastAsia="IRNazanin" w:cs="IRNazanin"/>
          <w:color w:val="111111"/>
          <w:sz w:val="28"/>
          <w:szCs w:val="28"/>
          <w:rtl w:val="true"/>
          <w:lang w:bidi="fa-IR"/>
        </w:rPr>
        <w:t>.</w:t>
      </w:r>
    </w:p>
    <w:p>
      <w:pPr>
        <w:pStyle w:val="Heading4"/>
        <w:numPr>
          <w:ilvl w:val="3"/>
          <w:numId w:val="1"/>
        </w:numPr>
        <w:rPr/>
      </w:pPr>
      <w:bookmarkStart w:id="4002" w:name="__RefHeading___Toc2568626_3650668749"/>
      <w:bookmarkStart w:id="4003" w:name="_Toc1822"/>
      <w:bookmarkEnd w:id="4002"/>
      <w:r>
        <w:rPr>
          <w:rtl w:val="true"/>
        </w:rPr>
        <w:t>[ (</w:t>
      </w:r>
      <w:r>
        <w:rPr>
          <w:rtl w:val="true"/>
        </w:rPr>
        <w:t xml:space="preserve">مسألة </w:t>
      </w:r>
      <w:r>
        <w:rPr/>
        <w:t>14</w:t>
      </w:r>
      <w:r>
        <w:rPr>
          <w:rtl w:val="true"/>
        </w:rPr>
        <w:t xml:space="preserve">): </w:t>
      </w:r>
      <w:r>
        <w:rPr>
          <w:rtl w:val="true"/>
        </w:rPr>
        <w:t>یجوز أن یبیع مثقالًا من فضّة خالصة من الصائغ مثلًا بمثقال من فضّة فیها غشّ متموّل</w:t>
      </w:r>
      <w:r>
        <w:rPr>
          <w:rtl w:val="true"/>
        </w:rPr>
        <w:t>]</w:t>
      </w:r>
      <w:bookmarkEnd w:id="400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یبیع مثقالًا من فضّة خالصة من الصائغ مثلًا بمثقال من فضّة فیها غشّ متموّل، و اشترط علیه أن یصوغ له خاتماً مثلًا، و کذا یجوز أن یقول للصائغ</w:t>
      </w:r>
      <w:r>
        <w:rPr>
          <w:rFonts w:eastAsia="IRNazanin" w:cs="IRNazanin"/>
          <w:color w:val="111111"/>
          <w:sz w:val="28"/>
          <w:szCs w:val="28"/>
          <w:rtl w:val="true"/>
          <w:lang w:bidi="fa-IR"/>
        </w:rPr>
        <w:t>:</w:t>
      </w:r>
      <w:bookmarkStart w:id="4004" w:name="pg1809_19373"/>
    </w:p>
    <w:p>
      <w:pPr>
        <w:pStyle w:val="BookText"/>
        <w:rPr/>
      </w:pPr>
      <w:bookmarkEnd w:id="4004"/>
      <w:r>
        <w:rPr>
          <w:rFonts w:ascii="IRNazanin" w:hAnsi="IRNazanin" w:eastAsia="IRNazanin"/>
          <w:color w:val="111111"/>
          <w:sz w:val="28"/>
          <w:sz w:val="28"/>
          <w:szCs w:val="28"/>
          <w:rtl w:val="true"/>
          <w:lang w:bidi="fa-IR"/>
        </w:rPr>
        <w:t>صغ لی خاتماً و أنا أبیعک عشرین مثقالًا من فضّة جیّدة بعشرین مثقالًا من فضّة ردیئة مثلًا و لم یلزم رباً فی الصورتین</w:t>
      </w:r>
      <w:r>
        <w:rPr>
          <w:rFonts w:eastAsia="IRNazanin" w:cs="IRNazanin"/>
          <w:color w:val="111111"/>
          <w:sz w:val="28"/>
          <w:szCs w:val="28"/>
          <w:rtl w:val="true"/>
          <w:lang w:bidi="fa-IR"/>
        </w:rPr>
        <w:t>.</w:t>
      </w:r>
    </w:p>
    <w:p>
      <w:pPr>
        <w:pStyle w:val="Heading4"/>
        <w:numPr>
          <w:ilvl w:val="3"/>
          <w:numId w:val="1"/>
        </w:numPr>
        <w:rPr/>
      </w:pPr>
      <w:bookmarkStart w:id="4005" w:name="__RefHeading___Toc2568628_3650668749"/>
      <w:bookmarkStart w:id="4006" w:name="_Toc1823"/>
      <w:bookmarkEnd w:id="4005"/>
      <w:r>
        <w:rPr>
          <w:rtl w:val="true"/>
        </w:rPr>
        <w:t>[ (</w:t>
      </w:r>
      <w:r>
        <w:rPr>
          <w:rtl w:val="true"/>
        </w:rPr>
        <w:t xml:space="preserve">مسألة </w:t>
      </w:r>
      <w:r>
        <w:rPr/>
        <w:t>15</w:t>
      </w:r>
      <w:r>
        <w:rPr>
          <w:rtl w:val="true"/>
        </w:rPr>
        <w:t xml:space="preserve">): </w:t>
      </w:r>
      <w:r>
        <w:rPr>
          <w:rtl w:val="true"/>
        </w:rPr>
        <w:t>لو باع عشر روبیّات مثلًا بلیرة واحدة إلّا روبیّة واحدة صحّ</w:t>
      </w:r>
      <w:r>
        <w:rPr>
          <w:rtl w:val="true"/>
        </w:rPr>
        <w:t>]</w:t>
      </w:r>
      <w:bookmarkEnd w:id="40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عشر روبیّات مثلًا بلیرة واحدة إلّا روبیّة واحدة صحّ، لکن بشرط أن یعلما نسبة روبیّة بحسب سعر الوقت إلیٰ لیرة حتّی یعلما أیّ مقدار من لیرة قد استثنی</w:t>
      </w:r>
      <w:r>
        <w:rPr>
          <w:rFonts w:eastAsia="IRNazanin" w:cs="IRNazanin"/>
          <w:color w:val="111111"/>
          <w:sz w:val="28"/>
          <w:szCs w:val="28"/>
          <w:rtl w:val="true"/>
          <w:lang w:bidi="fa-IR"/>
        </w:rPr>
        <w:t>.</w:t>
      </w:r>
    </w:p>
    <w:p>
      <w:pPr>
        <w:pStyle w:val="Heading3"/>
        <w:numPr>
          <w:ilvl w:val="2"/>
          <w:numId w:val="1"/>
        </w:numPr>
        <w:rPr/>
      </w:pPr>
      <w:bookmarkStart w:id="4007" w:name="__RefHeading___Toc2568630_3650668749"/>
      <w:bookmarkStart w:id="4008" w:name="_Toc1824"/>
      <w:bookmarkEnd w:id="4007"/>
      <w:r>
        <w:rPr>
          <w:rtl w:val="true"/>
        </w:rPr>
        <w:t>[</w:t>
      </w:r>
      <w:r>
        <w:rPr>
          <w:rtl w:val="true"/>
        </w:rPr>
        <w:t>القول فی السلف</w:t>
      </w:r>
      <w:r>
        <w:rPr>
          <w:rtl w:val="true"/>
        </w:rPr>
        <w:t>]</w:t>
      </w:r>
      <w:bookmarkEnd w:id="4008"/>
    </w:p>
    <w:p>
      <w:pPr>
        <w:pStyle w:val="Heading4"/>
        <w:numPr>
          <w:ilvl w:val="3"/>
          <w:numId w:val="1"/>
        </w:numPr>
        <w:rPr/>
      </w:pPr>
      <w:bookmarkStart w:id="4009" w:name="__RefHeading___Toc2568632_3650668749"/>
      <w:bookmarkStart w:id="4010" w:name="_Toc1825"/>
      <w:bookmarkEnd w:id="4009"/>
      <w:r>
        <w:rPr>
          <w:rtl w:val="true"/>
        </w:rPr>
        <w:t>اشارة</w:t>
      </w:r>
      <w:bookmarkEnd w:id="4010"/>
    </w:p>
    <w:p>
      <w:pPr>
        <w:pStyle w:val="BookText"/>
        <w:rPr/>
      </w:pPr>
      <w:r>
        <w:rPr>
          <w:rFonts w:ascii="IRNazanin" w:hAnsi="IRNazanin" w:eastAsia="IRNazanin"/>
          <w:color w:val="111111"/>
          <w:sz w:val="28"/>
          <w:sz w:val="28"/>
          <w:szCs w:val="28"/>
          <w:rtl w:val="true"/>
          <w:lang w:bidi="fa-IR"/>
        </w:rPr>
        <w:t>القول فی السلف و یقال السلم أیضاً، و هو ابتیاع کلّی مؤجّل بثمن حالّ عکس النسیئة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للمشتری المسلم بکسر اللام و للثمن المسلَم بفتحها و للبائع المسلم إلیه و للمبیع المسلم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یحتاج إلیٰ إیجاب و قبول، و من خواصه أنّ کلّ واحد من البائع و المشتری صالح لأن یصدر منه الإیجاب و القبول من الآخر، فالإیجاب من البائع بلفظ البیع و أشباهه بأن یقول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تغاراً من حنطة بصفة کذا إلیٰ أجل کذا، بثمن کذا، و یقول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أو اشتریت، و أمّا الإیجاب من المشتری فهو بلفظی أسلمت و أسلفت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إلیک، أو أسلفتک مائة درهم مثلًا فی تغار من حنطة بصفة کذا إلیٰ أجل کذا، فیقول المسلم إلیه و هو البائع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إسلاف غیر النقدین فی غیرهما؛ بأن یکون کلّ من الثمن و المثمن من غیرهما مع اختلاف الجنس أو عدم کونهما أو أحدهما من المکیل و الموزون، و کذا إسلاف أحد النقدین فی غیرهما و بالعکس، و لا یجوز إسلاف أحد النقدین فی أحدهما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أن یباع بالسلف ما لا یمکن ضبط أوصافه التی تختلف القیمة و الرغبات باختلافها کالجواهر و اللآلی و العقار و الأرضین و أشباهها ممّا لا ترتفع الجهالة و الغرر فیها إلّا بالمشاهدة، بخلاف ما یمکن ضبط أوصافه المذکورة بالتوصیف الغیر المؤدّی إلیٰ عزّة الوجود کالخضر و الفواکه و الحبوبات کالحنطة و الشعیر و الأرز و نحو ذلک، بل البیض و الجوز و اللوز و نحوها، و کذا الحیوان کلّها حتّی الأناسی منها و الملابس و الأشربة و الأدویة بسیطها و مرکّبها</w:t>
      </w:r>
      <w:r>
        <w:rPr>
          <w:rFonts w:eastAsia="IRNazanin" w:cs="IRNazanin"/>
          <w:color w:val="111111"/>
          <w:sz w:val="28"/>
          <w:szCs w:val="28"/>
          <w:rtl w:val="true"/>
          <w:lang w:bidi="fa-IR"/>
        </w:rPr>
        <w:t>.</w:t>
      </w:r>
    </w:p>
    <w:p>
      <w:pPr>
        <w:pStyle w:val="Heading4"/>
        <w:numPr>
          <w:ilvl w:val="3"/>
          <w:numId w:val="1"/>
        </w:numPr>
        <w:rPr/>
      </w:pPr>
      <w:bookmarkStart w:id="4011" w:name="__RefHeading___Toc2568634_3650668749"/>
      <w:bookmarkStart w:id="4012" w:name="_Toc1826"/>
      <w:bookmarkEnd w:id="4011"/>
      <w:r>
        <w:rPr>
          <w:rtl w:val="true"/>
        </w:rPr>
        <w:t>[</w:t>
      </w:r>
      <w:r>
        <w:rPr>
          <w:rtl w:val="true"/>
        </w:rPr>
        <w:t>و یشترط فیه أُمور</w:t>
      </w:r>
      <w:r>
        <w:rPr>
          <w:rtl w:val="true"/>
        </w:rPr>
        <w:t>]</w:t>
      </w:r>
      <w:bookmarkEnd w:id="4012"/>
    </w:p>
    <w:p>
      <w:pPr>
        <w:pStyle w:val="Heading5"/>
        <w:numPr>
          <w:ilvl w:val="4"/>
          <w:numId w:val="1"/>
        </w:numPr>
        <w:rPr/>
      </w:pPr>
      <w:bookmarkStart w:id="4013" w:name="__RefHeading___Toc2568636_3650668749"/>
      <w:bookmarkStart w:id="4014" w:name="_Toc1827"/>
      <w:bookmarkEnd w:id="4013"/>
      <w:r>
        <w:rPr>
          <w:rtl w:val="true"/>
        </w:rPr>
        <w:t>اشارة</w:t>
      </w:r>
      <w:bookmarkEnd w:id="4014"/>
    </w:p>
    <w:p>
      <w:pPr>
        <w:pStyle w:val="BookText"/>
        <w:rPr/>
      </w:pPr>
      <w:r>
        <w:rPr>
          <w:rFonts w:ascii="IRNazanin" w:hAnsi="IRNazanin" w:eastAsia="IRNazanin"/>
          <w:color w:val="111111"/>
          <w:sz w:val="28"/>
          <w:sz w:val="28"/>
          <w:szCs w:val="28"/>
          <w:rtl w:val="true"/>
          <w:lang w:bidi="fa-IR"/>
        </w:rPr>
        <w:t>و یشترط فیه أُمور</w:t>
      </w:r>
      <w:r>
        <w:rPr>
          <w:rFonts w:eastAsia="IRNazanin" w:cs="IRNazanin"/>
          <w:color w:val="111111"/>
          <w:sz w:val="28"/>
          <w:szCs w:val="28"/>
          <w:rtl w:val="true"/>
          <w:lang w:bidi="fa-IR"/>
        </w:rPr>
        <w:t>:</w:t>
      </w:r>
    </w:p>
    <w:p>
      <w:pPr>
        <w:pStyle w:val="Heading5"/>
        <w:numPr>
          <w:ilvl w:val="4"/>
          <w:numId w:val="1"/>
        </w:numPr>
        <w:rPr/>
      </w:pPr>
      <w:bookmarkStart w:id="4015" w:name="__RefHeading___Toc2568638_3650668749"/>
      <w:bookmarkStart w:id="4016" w:name="_Toc1828"/>
      <w:bookmarkEnd w:id="4015"/>
      <w:r>
        <w:rPr>
          <w:rtl w:val="true"/>
        </w:rPr>
        <w:t>[</w:t>
      </w:r>
      <w:r>
        <w:rPr>
          <w:rtl w:val="true"/>
        </w:rPr>
        <w:t>الأوّل</w:t>
      </w:r>
      <w:r>
        <w:rPr>
          <w:rtl w:val="true"/>
        </w:rPr>
        <w:t xml:space="preserve">: </w:t>
      </w:r>
      <w:r>
        <w:rPr>
          <w:rtl w:val="true"/>
        </w:rPr>
        <w:t>ذکر الجنس و الوصف الرافع للجهالة</w:t>
      </w:r>
      <w:r>
        <w:rPr>
          <w:rtl w:val="true"/>
        </w:rPr>
        <w:t>]</w:t>
      </w:r>
      <w:bookmarkEnd w:id="401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الجنس و الوصف الرافع للجهالة کما عرفت</w:t>
      </w:r>
      <w:r>
        <w:rPr>
          <w:rFonts w:eastAsia="IRNazanin" w:cs="IRNazanin"/>
          <w:color w:val="111111"/>
          <w:sz w:val="28"/>
          <w:szCs w:val="28"/>
          <w:rtl w:val="true"/>
          <w:lang w:bidi="fa-IR"/>
        </w:rPr>
        <w:t>.</w:t>
      </w:r>
      <w:bookmarkStart w:id="4017" w:name="pg1809_19374"/>
    </w:p>
    <w:p>
      <w:pPr>
        <w:pStyle w:val="Heading5"/>
        <w:numPr>
          <w:ilvl w:val="4"/>
          <w:numId w:val="1"/>
        </w:numPr>
        <w:rPr/>
      </w:pPr>
      <w:bookmarkStart w:id="4018" w:name="__RefHeading___Toc2568640_3650668749"/>
      <w:bookmarkStart w:id="4019" w:name="_Toc1829"/>
      <w:bookmarkEnd w:id="4017"/>
      <w:bookmarkEnd w:id="4018"/>
      <w:r>
        <w:rPr>
          <w:rtl w:val="true"/>
        </w:rPr>
        <w:t>[</w:t>
      </w:r>
      <w:r>
        <w:rPr>
          <w:rtl w:val="true"/>
        </w:rPr>
        <w:t>الثانی</w:t>
      </w:r>
      <w:r>
        <w:rPr>
          <w:rtl w:val="true"/>
        </w:rPr>
        <w:t xml:space="preserve">: </w:t>
      </w:r>
      <w:r>
        <w:rPr>
          <w:rtl w:val="true"/>
        </w:rPr>
        <w:t>قبض الثمن قبل التفرّق من مجلس العقد</w:t>
      </w:r>
      <w:r>
        <w:rPr>
          <w:rtl w:val="true"/>
        </w:rPr>
        <w:t>]</w:t>
      </w:r>
      <w:bookmarkEnd w:id="401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الثمن قبل التفرّق من مجلس العقد، و لو قبض البعض صحّ فیه و بطل فی الباقی، و لو کان الثمن دیناً فی ذمّة البائع، فإن کان مؤجّلًا لا یجوز جعله ثمناً للمسلم فیه، و إن کان حالّا، فالظاهر جوازه، و إن لم یخل عن إشکال، فالأحوط ترکه، و لو جعل الثمن کلّیّاً فی ذمّة المشتری ثمّ حاسبه به بما له فی ذمّة البائع المسلم إلیه سلم عن الإشکال</w:t>
      </w:r>
      <w:r>
        <w:rPr>
          <w:rFonts w:eastAsia="IRNazanin" w:cs="IRNazanin"/>
          <w:color w:val="111111"/>
          <w:sz w:val="28"/>
          <w:szCs w:val="28"/>
          <w:rtl w:val="true"/>
          <w:lang w:bidi="fa-IR"/>
        </w:rPr>
        <w:t>.</w:t>
      </w:r>
    </w:p>
    <w:p>
      <w:pPr>
        <w:pStyle w:val="Heading5"/>
        <w:numPr>
          <w:ilvl w:val="4"/>
          <w:numId w:val="1"/>
        </w:numPr>
        <w:rPr/>
      </w:pPr>
      <w:bookmarkStart w:id="4020" w:name="__RefHeading___Toc2568642_3650668749"/>
      <w:bookmarkStart w:id="4021" w:name="_Toc1830"/>
      <w:bookmarkEnd w:id="4020"/>
      <w:r>
        <w:rPr>
          <w:rtl w:val="true"/>
        </w:rPr>
        <w:t>[</w:t>
      </w:r>
      <w:r>
        <w:rPr>
          <w:rtl w:val="true"/>
        </w:rPr>
        <w:t>الثالث</w:t>
      </w:r>
      <w:r>
        <w:rPr>
          <w:rtl w:val="true"/>
        </w:rPr>
        <w:t xml:space="preserve">: </w:t>
      </w:r>
      <w:r>
        <w:rPr>
          <w:rtl w:val="true"/>
        </w:rPr>
        <w:t>تقدیر المبیع</w:t>
      </w:r>
      <w:r>
        <w:rPr>
          <w:rtl w:val="true"/>
        </w:rPr>
        <w:t>]</w:t>
      </w:r>
      <w:bookmarkEnd w:id="402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المبیع ذی الکیل أو الوزن أو العدّ بمقدّرة</w:t>
      </w:r>
      <w:r>
        <w:rPr>
          <w:rFonts w:eastAsia="IRNazanin" w:cs="IRNazanin"/>
          <w:color w:val="111111"/>
          <w:sz w:val="28"/>
          <w:szCs w:val="28"/>
          <w:rtl w:val="true"/>
          <w:lang w:bidi="fa-IR"/>
        </w:rPr>
        <w:t>.</w:t>
      </w:r>
    </w:p>
    <w:p>
      <w:pPr>
        <w:pStyle w:val="Heading5"/>
        <w:numPr>
          <w:ilvl w:val="4"/>
          <w:numId w:val="1"/>
        </w:numPr>
        <w:rPr/>
      </w:pPr>
      <w:bookmarkStart w:id="4022" w:name="__RefHeading___Toc2568644_3650668749"/>
      <w:bookmarkStart w:id="4023" w:name="_Toc1831"/>
      <w:bookmarkEnd w:id="4022"/>
      <w:r>
        <w:rPr>
          <w:rtl w:val="true"/>
        </w:rPr>
        <w:t>[</w:t>
      </w:r>
      <w:r>
        <w:rPr>
          <w:rtl w:val="true"/>
        </w:rPr>
        <w:t>الرابع</w:t>
      </w:r>
      <w:r>
        <w:rPr>
          <w:rtl w:val="true"/>
        </w:rPr>
        <w:t xml:space="preserve">: </w:t>
      </w:r>
      <w:r>
        <w:rPr>
          <w:rtl w:val="true"/>
        </w:rPr>
        <w:t>تعیین أجل مضبوط للمسلم فیه بالأیّام، أو الشهور، أو السنین و نحو ذلک</w:t>
      </w:r>
      <w:r>
        <w:rPr>
          <w:rtl w:val="true"/>
        </w:rPr>
        <w:t>]</w:t>
      </w:r>
      <w:bookmarkEnd w:id="4023"/>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أجل مضبوط للمسلم فیه بالأیّام، أو الشهور، أو السنین و نحو ذلک، و لو جعل الأجل إلیٰ أوان الحصاد أو الدیاس و نحو ذلک کان باطلًا، و لا فرق فی الأجل بعد کونه مضبوطاً بین أن یکون قلیلًا کیوم بل نصف یوم، أو کثیراً کعشرین، أو ثلاثین سنة</w:t>
      </w:r>
      <w:r>
        <w:rPr>
          <w:rFonts w:eastAsia="IRNazanin" w:cs="IRNazanin"/>
          <w:color w:val="111111"/>
          <w:sz w:val="28"/>
          <w:szCs w:val="28"/>
          <w:rtl w:val="true"/>
          <w:lang w:bidi="fa-IR"/>
        </w:rPr>
        <w:t>.</w:t>
      </w:r>
    </w:p>
    <w:p>
      <w:pPr>
        <w:pStyle w:val="Heading5"/>
        <w:numPr>
          <w:ilvl w:val="4"/>
          <w:numId w:val="1"/>
        </w:numPr>
        <w:rPr/>
      </w:pPr>
      <w:bookmarkStart w:id="4024" w:name="__RefHeading___Toc2568646_3650668749"/>
      <w:bookmarkStart w:id="4025" w:name="_Toc1832"/>
      <w:bookmarkEnd w:id="4024"/>
      <w:r>
        <w:rPr>
          <w:rtl w:val="true"/>
        </w:rPr>
        <w:t>[</w:t>
      </w:r>
      <w:r>
        <w:rPr>
          <w:rtl w:val="true"/>
        </w:rPr>
        <w:t>الخامس</w:t>
      </w:r>
      <w:r>
        <w:rPr>
          <w:rtl w:val="true"/>
        </w:rPr>
        <w:t xml:space="preserve">: </w:t>
      </w:r>
      <w:r>
        <w:rPr>
          <w:rtl w:val="true"/>
        </w:rPr>
        <w:t>إمکان وجوده وقت الحلول</w:t>
      </w:r>
      <w:r>
        <w:rPr>
          <w:rtl w:val="true"/>
        </w:rPr>
        <w:t>]</w:t>
      </w:r>
      <w:bookmarkEnd w:id="4025"/>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وجوده </w:t>
      </w:r>
      <w:r>
        <w:rPr>
          <w:rStyle w:val="FootnoteAnchor"/>
          <w:rtl w:val="true"/>
        </w:rPr>
        <w:footnoteReference w:id="1136"/>
      </w:r>
      <w:r>
        <w:rPr>
          <w:rFonts w:ascii="IRNazanin" w:hAnsi="IRNazanin" w:eastAsia="IRNazanin"/>
          <w:color w:val="111111"/>
          <w:sz w:val="28"/>
          <w:sz w:val="28"/>
          <w:szCs w:val="28"/>
          <w:rtl w:val="true"/>
          <w:lang w:bidi="fa-IR"/>
        </w:rPr>
        <w:t>وقت الحلول و فی البلد الذی شرط أن یسلم فیه المسلم فیه لو اشترط ذلک</w:t>
      </w:r>
      <w:r>
        <w:rPr>
          <w:rFonts w:eastAsia="IRNazanin" w:cs="IRNazanin"/>
          <w:color w:val="111111"/>
          <w:sz w:val="28"/>
          <w:szCs w:val="28"/>
          <w:rtl w:val="true"/>
          <w:lang w:bidi="fa-IR"/>
        </w:rPr>
        <w:t>.</w:t>
      </w:r>
    </w:p>
    <w:p>
      <w:pPr>
        <w:pStyle w:val="Heading4"/>
        <w:numPr>
          <w:ilvl w:val="3"/>
          <w:numId w:val="1"/>
        </w:numPr>
        <w:rPr/>
      </w:pPr>
      <w:bookmarkStart w:id="4026" w:name="__RefHeading___Toc2568648_3650668749"/>
      <w:bookmarkStart w:id="4027" w:name="_Toc1833"/>
      <w:bookmarkEnd w:id="4026"/>
      <w:r>
        <w:rPr>
          <w:rtl w:val="true"/>
        </w:rPr>
        <w:t>[ (</w:t>
      </w:r>
      <w:r>
        <w:rPr>
          <w:rtl w:val="true"/>
        </w:rPr>
        <w:t xml:space="preserve">مسألة </w:t>
      </w:r>
      <w:r>
        <w:rPr/>
        <w:t>1</w:t>
      </w:r>
      <w:r>
        <w:rPr>
          <w:rtl w:val="true"/>
        </w:rPr>
        <w:t xml:space="preserve">): </w:t>
      </w:r>
      <w:r>
        <w:rPr>
          <w:rtl w:val="true"/>
        </w:rPr>
        <w:t>هل یجب تعیین بلد التسلیم؟ الأحوط ذلک</w:t>
      </w:r>
      <w:r>
        <w:rPr>
          <w:rtl w:val="true"/>
        </w:rPr>
        <w:t>]</w:t>
      </w:r>
      <w:bookmarkEnd w:id="40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تعیین بلد التسلیم؟ الأحوط ذلک، إلّا إذا کان انصراف إلیٰ بلد العقد أو بلد آخر</w:t>
      </w:r>
      <w:r>
        <w:rPr>
          <w:rFonts w:eastAsia="IRNazanin" w:cs="IRNazanin"/>
          <w:color w:val="111111"/>
          <w:sz w:val="28"/>
          <w:szCs w:val="28"/>
          <w:rtl w:val="true"/>
          <w:lang w:bidi="fa-IR"/>
        </w:rPr>
        <w:t>.</w:t>
      </w:r>
    </w:p>
    <w:p>
      <w:pPr>
        <w:pStyle w:val="Heading4"/>
        <w:numPr>
          <w:ilvl w:val="3"/>
          <w:numId w:val="1"/>
        </w:numPr>
        <w:rPr/>
      </w:pPr>
      <w:bookmarkStart w:id="4028" w:name="__RefHeading___Toc2568650_3650668749"/>
      <w:bookmarkStart w:id="4029" w:name="_Toc1834"/>
      <w:bookmarkEnd w:id="4028"/>
      <w:r>
        <w:rPr>
          <w:rtl w:val="true"/>
        </w:rPr>
        <w:t>[ (</w:t>
      </w:r>
      <w:r>
        <w:rPr>
          <w:rtl w:val="true"/>
        </w:rPr>
        <w:t xml:space="preserve">مسألة </w:t>
      </w:r>
      <w:r>
        <w:rPr/>
        <w:t>2</w:t>
      </w:r>
      <w:r>
        <w:rPr>
          <w:rtl w:val="true"/>
        </w:rPr>
        <w:t xml:space="preserve">): </w:t>
      </w:r>
      <w:r>
        <w:rPr>
          <w:rtl w:val="true"/>
        </w:rPr>
        <w:t>إذا جعل الأجل شهراً، أو شهرین فإن کان وقوع المعاملة فی أوّل الشهر عدّ شهراً هلالیّاً، أو شهرین هلالیّین</w:t>
      </w:r>
      <w:r>
        <w:rPr>
          <w:rtl w:val="true"/>
        </w:rPr>
        <w:t>]</w:t>
      </w:r>
      <w:bookmarkEnd w:id="40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جعل الأجل شهراً، أو شهرین فإن کان وقوع المعاملة فی أوّل الشهر عدّ شهراً هلالیّاً، أو شهرین هلالیّین، و لا ینظر إلیٰ نقصان الشهر و التمام، و إن أوقعاها فی أثناء الشهر عدّ کلّ شهر ثلاثین یوماً، و یحتمل </w:t>
      </w:r>
      <w:r>
        <w:rPr>
          <w:rStyle w:val="FootnoteAnchor"/>
          <w:rtl w:val="true"/>
        </w:rPr>
        <w:footnoteReference w:id="1137"/>
      </w:r>
      <w:r>
        <w:rPr>
          <w:rFonts w:ascii="IRNazanin" w:hAnsi="IRNazanin" w:eastAsia="IRNazanin"/>
          <w:color w:val="111111"/>
          <w:sz w:val="28"/>
          <w:sz w:val="28"/>
          <w:szCs w:val="28"/>
          <w:rtl w:val="true"/>
          <w:lang w:bidi="fa-IR"/>
        </w:rPr>
        <w:t>قریباً التلفیق بأن یعدّ من الشهر الثانی، أو الثالث ما فات و انقضی من الشهر الأوّل، فإذا وقع العقد فی العاشر من الشهر و کان الأجل شهراً حلّ الأجل فی العاشر من الشهر الثانی و هکذا، فربّما لا یکون ثلاثین یوماً إن کان الشهر الأوّل ناقصاً و الأحوط فیه التصالح</w:t>
      </w:r>
      <w:r>
        <w:rPr>
          <w:rFonts w:eastAsia="IRNazanin" w:cs="IRNazanin"/>
          <w:color w:val="111111"/>
          <w:sz w:val="28"/>
          <w:szCs w:val="28"/>
          <w:rtl w:val="true"/>
          <w:lang w:bidi="fa-IR"/>
        </w:rPr>
        <w:t>.</w:t>
      </w:r>
    </w:p>
    <w:p>
      <w:pPr>
        <w:pStyle w:val="Heading4"/>
        <w:numPr>
          <w:ilvl w:val="3"/>
          <w:numId w:val="1"/>
        </w:numPr>
        <w:rPr/>
      </w:pPr>
      <w:bookmarkStart w:id="4030" w:name="__RefHeading___Toc2568652_3650668749"/>
      <w:bookmarkStart w:id="4031" w:name="_Toc1835"/>
      <w:bookmarkEnd w:id="4030"/>
      <w:r>
        <w:rPr>
          <w:rtl w:val="true"/>
        </w:rPr>
        <w:t>[ (</w:t>
      </w:r>
      <w:r>
        <w:rPr>
          <w:rtl w:val="true"/>
        </w:rPr>
        <w:t xml:space="preserve">مسألة </w:t>
      </w:r>
      <w:r>
        <w:rPr/>
        <w:t>3</w:t>
      </w:r>
      <w:r>
        <w:rPr>
          <w:rtl w:val="true"/>
        </w:rPr>
        <w:t xml:space="preserve">): </w:t>
      </w:r>
      <w:r>
        <w:rPr>
          <w:rtl w:val="true"/>
        </w:rPr>
        <w:t>إذا جعلا الأجل إلیٰ جمادی أو الربیع حمل علیٰ أقربهما</w:t>
      </w:r>
      <w:r>
        <w:rPr>
          <w:rtl w:val="true"/>
        </w:rPr>
        <w:t>]</w:t>
      </w:r>
      <w:bookmarkEnd w:id="40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جعلا الأجل إلیٰ جمادی أو الربیع حمل علیٰ أقربهما، و کذا لو جعل إلی الخمیس أو الجمعة حمل علی الأقرب منهما و حلّ بأوّل جزء من لیلة الهلال فی الأوّل و بأوّل جزء من نهار الیوم فی الثانی</w:t>
      </w:r>
      <w:r>
        <w:rPr>
          <w:rFonts w:eastAsia="IRNazanin" w:cs="IRNazanin"/>
          <w:color w:val="111111"/>
          <w:sz w:val="28"/>
          <w:szCs w:val="28"/>
          <w:rtl w:val="true"/>
          <w:lang w:bidi="fa-IR"/>
        </w:rPr>
        <w:t>.</w:t>
      </w:r>
    </w:p>
    <w:p>
      <w:pPr>
        <w:pStyle w:val="Heading4"/>
        <w:numPr>
          <w:ilvl w:val="3"/>
          <w:numId w:val="1"/>
        </w:numPr>
        <w:rPr/>
      </w:pPr>
      <w:bookmarkStart w:id="4032" w:name="__RefHeading___Toc2568654_3650668749"/>
      <w:bookmarkStart w:id="4033" w:name="_Toc1836"/>
      <w:bookmarkEnd w:id="4032"/>
      <w:r>
        <w:rPr>
          <w:rtl w:val="true"/>
        </w:rPr>
        <w:t>[ (</w:t>
      </w:r>
      <w:r>
        <w:rPr>
          <w:rtl w:val="true"/>
        </w:rPr>
        <w:t xml:space="preserve">مسألة </w:t>
      </w:r>
      <w:r>
        <w:rPr/>
        <w:t>4</w:t>
      </w:r>
      <w:r>
        <w:rPr>
          <w:rtl w:val="true"/>
        </w:rPr>
        <w:t xml:space="preserve">): </w:t>
      </w:r>
      <w:r>
        <w:rPr>
          <w:rtl w:val="true"/>
        </w:rPr>
        <w:t>إذا اشتریٰ شیئاً سلفاً لم یجز بیعه قبل حلول الأجل</w:t>
      </w:r>
      <w:r>
        <w:rPr>
          <w:rtl w:val="true"/>
        </w:rPr>
        <w:t>]</w:t>
      </w:r>
      <w:bookmarkEnd w:id="403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شیئاً سلفاً لم یجز بیعه قبل حلول الأجل، لا علی البائع و لا علیٰ</w:t>
      </w:r>
      <w:bookmarkStart w:id="4034" w:name="pg1809_19375"/>
    </w:p>
    <w:p>
      <w:pPr>
        <w:pStyle w:val="BookText"/>
        <w:rPr/>
      </w:pPr>
      <w:bookmarkEnd w:id="4034"/>
      <w:r>
        <w:rPr>
          <w:rFonts w:ascii="IRNazanin" w:hAnsi="IRNazanin" w:eastAsia="IRNazanin"/>
          <w:color w:val="111111"/>
          <w:sz w:val="28"/>
          <w:sz w:val="28"/>
          <w:szCs w:val="28"/>
          <w:rtl w:val="true"/>
          <w:lang w:bidi="fa-IR"/>
        </w:rPr>
        <w:t xml:space="preserve">غیره؛ سواء باعه بجنس الثمن الأوّل أو بغیره، و سواء کان مساویاً له أو أکثر أو أقلّ، و یجوز بعد حلوله؛ سواء قبضه أو لم یقبضه علی البائع، و علیٰ غیره بجنس الثمن و مخالفه بالمساوی له أو بالأقلّ أو الأکثر ما لم یستلزم الربا، نعم لو کان المسلم فیه ممّا یکال أو یوزن یکره </w:t>
      </w:r>
      <w:r>
        <w:rPr>
          <w:rStyle w:val="FootnoteAnchor"/>
          <w:rtl w:val="true"/>
        </w:rPr>
        <w:footnoteReference w:id="1138"/>
      </w:r>
      <w:r>
        <w:rPr>
          <w:rFonts w:ascii="IRNazanin" w:hAnsi="IRNazanin" w:eastAsia="IRNazanin"/>
          <w:color w:val="111111"/>
          <w:sz w:val="28"/>
          <w:sz w:val="28"/>
          <w:szCs w:val="28"/>
          <w:rtl w:val="true"/>
          <w:lang w:bidi="fa-IR"/>
        </w:rPr>
        <w:t>بیعه قبل قبضه</w:t>
      </w:r>
      <w:r>
        <w:rPr>
          <w:rFonts w:eastAsia="IRNazanin" w:cs="IRNazanin"/>
          <w:color w:val="111111"/>
          <w:sz w:val="28"/>
          <w:szCs w:val="28"/>
          <w:rtl w:val="true"/>
          <w:lang w:bidi="fa-IR"/>
        </w:rPr>
        <w:t>.</w:t>
      </w:r>
    </w:p>
    <w:p>
      <w:pPr>
        <w:pStyle w:val="Heading4"/>
        <w:numPr>
          <w:ilvl w:val="3"/>
          <w:numId w:val="1"/>
        </w:numPr>
        <w:rPr/>
      </w:pPr>
      <w:bookmarkStart w:id="4035" w:name="__RefHeading___Toc2568656_3650668749"/>
      <w:bookmarkStart w:id="4036" w:name="_Toc1837"/>
      <w:bookmarkEnd w:id="4035"/>
      <w:r>
        <w:rPr>
          <w:rtl w:val="true"/>
        </w:rPr>
        <w:t>[ (</w:t>
      </w:r>
      <w:r>
        <w:rPr>
          <w:rtl w:val="true"/>
        </w:rPr>
        <w:t xml:space="preserve">مسألة </w:t>
      </w:r>
      <w:r>
        <w:rPr/>
        <w:t>5</w:t>
      </w:r>
      <w:r>
        <w:rPr>
          <w:rtl w:val="true"/>
        </w:rPr>
        <w:t xml:space="preserve">): </w:t>
      </w:r>
      <w:r>
        <w:rPr>
          <w:rtl w:val="true"/>
        </w:rPr>
        <w:t>إذا دفع المسلم إلیه إلی المشتری بعد الحلول الجنس الذی أسلم فیه و کان دونه من حیث الصفة أو المقدار</w:t>
      </w:r>
      <w:r>
        <w:rPr>
          <w:rtl w:val="true"/>
        </w:rPr>
        <w:t>]</w:t>
      </w:r>
      <w:bookmarkEnd w:id="40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دفع المسلم إلیه إلی المشتری بعد الحلول الجنس الذی أسلم فیه و کان دونه من حیث الصفة أو المقدار لم یجب قبوله، و إذا کان مثله فیهما یجب القبول کغیره من الدیون، و کذا إذا کان فوقه </w:t>
      </w:r>
      <w:r>
        <w:rPr>
          <w:rStyle w:val="FootnoteAnchor"/>
          <w:rtl w:val="true"/>
        </w:rPr>
        <w:footnoteReference w:id="1139"/>
      </w:r>
      <w:r>
        <w:rPr>
          <w:rFonts w:ascii="IRNazanin" w:hAnsi="IRNazanin" w:eastAsia="IRNazanin"/>
          <w:color w:val="111111"/>
          <w:sz w:val="28"/>
          <w:sz w:val="28"/>
          <w:szCs w:val="28"/>
          <w:rtl w:val="true"/>
          <w:lang w:bidi="fa-IR"/>
        </w:rPr>
        <w:t>من حیث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أکثر منه بحسب المقدار لم یجب علیه قبول الزیادة</w:t>
      </w:r>
      <w:r>
        <w:rPr>
          <w:rFonts w:eastAsia="IRNazanin" w:cs="IRNazanin"/>
          <w:color w:val="111111"/>
          <w:sz w:val="28"/>
          <w:szCs w:val="28"/>
          <w:rtl w:val="true"/>
          <w:lang w:bidi="fa-IR"/>
        </w:rPr>
        <w:t>.</w:t>
      </w:r>
    </w:p>
    <w:p>
      <w:pPr>
        <w:pStyle w:val="Heading4"/>
        <w:numPr>
          <w:ilvl w:val="3"/>
          <w:numId w:val="1"/>
        </w:numPr>
        <w:rPr/>
      </w:pPr>
      <w:bookmarkStart w:id="4037" w:name="__RefHeading___Toc2568658_3650668749"/>
      <w:bookmarkStart w:id="4038" w:name="_Toc1838"/>
      <w:bookmarkEnd w:id="4037"/>
      <w:r>
        <w:rPr>
          <w:rtl w:val="true"/>
        </w:rPr>
        <w:t>[ (</w:t>
      </w:r>
      <w:r>
        <w:rPr>
          <w:rtl w:val="true"/>
        </w:rPr>
        <w:t xml:space="preserve">مسألة </w:t>
      </w:r>
      <w:r>
        <w:rPr/>
        <w:t>6</w:t>
      </w:r>
      <w:r>
        <w:rPr>
          <w:rtl w:val="true"/>
        </w:rPr>
        <w:t xml:space="preserve">): </w:t>
      </w:r>
      <w:r>
        <w:rPr>
          <w:rtl w:val="true"/>
        </w:rPr>
        <w:t>إذا حلّ الأجل و لم یتمکّن البائع علیٰ أداء المسلم فیه لعارض</w:t>
      </w:r>
      <w:r>
        <w:rPr>
          <w:rtl w:val="true"/>
        </w:rPr>
        <w:t>]</w:t>
      </w:r>
      <w:bookmarkEnd w:id="40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 الأجل و لم یتمکّن البائع علیٰ أداء المسلم فیه لعارض؛ من آفة، أو عجز له من تحصیله، أو إعوازه فی البلد مع عدم إمکان جلبه من مکان آخر، إلیٰ غیر ذلک من الأعذار حتّی انقضی الأجل کان المسلم و هو المشتری بالخیار بین أن یفسخ المعاملة و یرجع بثمنه و رأس ماله و أن یصبر إلیٰ أن یوجد و یتمکّن البائع من الأداء، و هل له إلزامه بقیمته وقت حلول الأجل؟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140"/>
      </w:r>
      <w:r>
        <w:rPr>
          <w:rFonts w:ascii="IRNazanin" w:hAnsi="IRNazanin" w:eastAsia="IRNazanin"/>
          <w:color w:val="111111"/>
          <w:sz w:val="28"/>
          <w:sz w:val="28"/>
          <w:szCs w:val="28"/>
          <w:rtl w:val="true"/>
          <w:lang w:bidi="fa-IR"/>
        </w:rPr>
        <w:t xml:space="preserve">، و الأحوط أن لا یطالبه إذا کانت أزید من الثمن المسمّی، نعم بالتراضی لا مانع منه؛ سواء زادت </w:t>
      </w:r>
      <w:r>
        <w:rPr>
          <w:rStyle w:val="FootnoteAnchor"/>
          <w:rtl w:val="true"/>
        </w:rPr>
        <w:footnoteReference w:id="1141"/>
      </w:r>
      <w:r>
        <w:rPr>
          <w:rFonts w:ascii="IRNazanin" w:hAnsi="IRNazanin" w:eastAsia="IRNazanin"/>
          <w:color w:val="111111"/>
          <w:sz w:val="28"/>
          <w:sz w:val="28"/>
          <w:szCs w:val="28"/>
          <w:rtl w:val="true"/>
          <w:lang w:bidi="fa-IR"/>
        </w:rPr>
        <w:t>عن الثمن أو ساوت أو نقصت عنه</w:t>
      </w:r>
      <w:r>
        <w:rPr>
          <w:rFonts w:eastAsia="IRNazanin" w:cs="IRNazanin"/>
          <w:color w:val="111111"/>
          <w:sz w:val="28"/>
          <w:szCs w:val="28"/>
          <w:rtl w:val="true"/>
          <w:lang w:bidi="fa-IR"/>
        </w:rPr>
        <w:t>.</w:t>
      </w:r>
    </w:p>
    <w:p>
      <w:pPr>
        <w:pStyle w:val="Heading3"/>
        <w:numPr>
          <w:ilvl w:val="2"/>
          <w:numId w:val="1"/>
        </w:numPr>
        <w:rPr/>
      </w:pPr>
      <w:bookmarkStart w:id="4039" w:name="__RefHeading___Toc2568660_3650668749"/>
      <w:bookmarkStart w:id="4040" w:name="_Toc1839"/>
      <w:bookmarkEnd w:id="4039"/>
      <w:r>
        <w:rPr>
          <w:rtl w:val="true"/>
        </w:rPr>
        <w:t>[</w:t>
      </w:r>
      <w:r>
        <w:rPr>
          <w:rtl w:val="true"/>
        </w:rPr>
        <w:t>القول فی المرابحة و المواضعة و التولیة</w:t>
      </w:r>
      <w:r>
        <w:rPr>
          <w:rtl w:val="true"/>
        </w:rPr>
        <w:t>]</w:t>
      </w:r>
      <w:bookmarkEnd w:id="4040"/>
    </w:p>
    <w:p>
      <w:pPr>
        <w:pStyle w:val="Heading4"/>
        <w:numPr>
          <w:ilvl w:val="3"/>
          <w:numId w:val="1"/>
        </w:numPr>
        <w:rPr/>
      </w:pPr>
      <w:bookmarkStart w:id="4041" w:name="__RefHeading___Toc2568662_3650668749"/>
      <w:bookmarkStart w:id="4042" w:name="_Toc1840"/>
      <w:bookmarkEnd w:id="4041"/>
      <w:r>
        <w:rPr>
          <w:rtl w:val="true"/>
        </w:rPr>
        <w:t>اشارة</w:t>
      </w:r>
      <w:bookmarkEnd w:id="404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فی المرابحة و المواضعة و التولیة اعلم أنّ ما یقع من المتعاملین فی مقام البیع و الشراء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لا یقع منهما إلّا المقاولة و تعیّن الثمن و المثمن من دون ملاحظة رأس المال و أنّ هذه المعاملة فیها نفع للبائع أو خسران، و أیّ مقدار نفعه أو خسارته، فیوقعان البیع علیٰ شی‌ء معلوم بثمن</w:t>
      </w:r>
      <w:bookmarkStart w:id="4043" w:name="pg1809_19376"/>
    </w:p>
    <w:p>
      <w:pPr>
        <w:pStyle w:val="BookText"/>
        <w:rPr/>
      </w:pPr>
      <w:bookmarkEnd w:id="4043"/>
      <w:r>
        <w:rPr>
          <w:rFonts w:ascii="IRNazanin" w:hAnsi="IRNazanin" w:eastAsia="IRNazanin"/>
          <w:color w:val="111111"/>
          <w:sz w:val="28"/>
          <w:sz w:val="28"/>
          <w:szCs w:val="28"/>
          <w:rtl w:val="true"/>
          <w:lang w:bidi="fa-IR"/>
        </w:rPr>
        <w:t>معلوم، و هذا النحو من البیع یسمّیٰ بالمساومة و هو أفضل أنواعه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یکون الملحوظ عندهما کیفیّة هذه المعاملة الواقعة و أنّها رابحة للبائع أو خاسرة، أو لا رابحة و لا خاسرة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الجهة ینقسم البیع إلیٰ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المرابحة و المواضعة و التولیة؛ فالأوّل هو البیع علیٰ رأس المال مع الزیادة، و الثانی هو البیع علیه مع النقیصة، و الثالث هو البیع علیه من دون زیادة و لا 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 تحقّق هذه العناوین الثلاثة من إیقاع عقد البیع علیٰ نحو یکون مضمونه وافیاً بإفادة أحد هذه المطالب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 المرابحة تعیین مقدار الربح، و فی المواضعة تعیین مقدار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فعبارة عقد المرابحة بعد تعیین رأس المال إمّا بإخبار البائع أو تعیّنه عندهما من الخارج أن یقول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المتاع مثلًا بما اشتریت مع ربح کذا، و یقول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أو اشتریت هکذا، و عبارة المواضعة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بما اشتریت مع نقصان ذاک المقدار، و عبارة التولیة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بما اشتریت</w:t>
      </w:r>
      <w:r>
        <w:rPr>
          <w:rFonts w:eastAsia="IRNazanin" w:cs="IRNazanin"/>
          <w:color w:val="111111"/>
          <w:sz w:val="28"/>
          <w:szCs w:val="28"/>
          <w:rtl w:val="true"/>
          <w:lang w:bidi="fa-IR"/>
        </w:rPr>
        <w:t>.</w:t>
      </w:r>
    </w:p>
    <w:p>
      <w:pPr>
        <w:pStyle w:val="Heading4"/>
        <w:numPr>
          <w:ilvl w:val="3"/>
          <w:numId w:val="1"/>
        </w:numPr>
        <w:rPr/>
      </w:pPr>
      <w:bookmarkStart w:id="4044" w:name="__RefHeading___Toc2568664_3650668749"/>
      <w:bookmarkStart w:id="4045" w:name="_Toc1841"/>
      <w:bookmarkEnd w:id="4044"/>
      <w:r>
        <w:rPr>
          <w:rtl w:val="true"/>
        </w:rPr>
        <w:t>[ (</w:t>
      </w:r>
      <w:r>
        <w:rPr>
          <w:rtl w:val="true"/>
        </w:rPr>
        <w:t xml:space="preserve">مسألة </w:t>
      </w:r>
      <w:r>
        <w:rPr/>
        <w:t>1</w:t>
      </w:r>
      <w:r>
        <w:rPr>
          <w:rtl w:val="true"/>
        </w:rPr>
        <w:t xml:space="preserve">): </w:t>
      </w:r>
      <w:r>
        <w:rPr>
          <w:rtl w:val="true"/>
        </w:rPr>
        <w:t>إذا قال البائع فی المرابحة</w:t>
      </w:r>
      <w:r>
        <w:rPr>
          <w:rtl w:val="true"/>
        </w:rPr>
        <w:t xml:space="preserve">: </w:t>
      </w:r>
      <w:r>
        <w:rPr>
          <w:rtl w:val="true"/>
        </w:rPr>
        <w:t>بعتک هذا بمائة و ربح درهم فی کلّ عشرة مثلًا</w:t>
      </w:r>
      <w:r>
        <w:rPr>
          <w:rtl w:val="true"/>
        </w:rPr>
        <w:t>]</w:t>
      </w:r>
      <w:bookmarkEnd w:id="40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البائع فی المرابحة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بمائة و ربح درهم فی کلّ عشرة مثلًا و فی المواضعة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بمائة و وضیعة درهم فی کلّ عشرة، فإن لم یتبیّن للمشتری مقدار الثمن و مبلغه بعد ضمّ الربح أو تنقیص الوضیعة فالظاهر </w:t>
      </w:r>
      <w:r>
        <w:rPr>
          <w:rStyle w:val="FootnoteAnchor"/>
          <w:rtl w:val="true"/>
        </w:rPr>
        <w:footnoteReference w:id="1142"/>
      </w:r>
      <w:r>
        <w:rPr>
          <w:rFonts w:ascii="IRNazanin" w:hAnsi="IRNazanin" w:eastAsia="IRNazanin"/>
          <w:color w:val="111111"/>
          <w:sz w:val="28"/>
          <w:sz w:val="28"/>
          <w:szCs w:val="28"/>
          <w:rtl w:val="true"/>
          <w:lang w:bidi="fa-IR"/>
        </w:rPr>
        <w:t>بطلان البیع و إن کان بعد الحساب یتبیّن له ذلک، و إن تبیّن عنده مبلغ الثمن و مقداره صحّ البیع فی الأقویٰ علیٰ کراهیة</w:t>
      </w:r>
      <w:r>
        <w:rPr>
          <w:rFonts w:eastAsia="IRNazanin" w:cs="IRNazanin"/>
          <w:color w:val="111111"/>
          <w:sz w:val="28"/>
          <w:szCs w:val="28"/>
          <w:rtl w:val="true"/>
          <w:lang w:bidi="fa-IR"/>
        </w:rPr>
        <w:t>.</w:t>
      </w:r>
    </w:p>
    <w:p>
      <w:pPr>
        <w:pStyle w:val="Heading4"/>
        <w:numPr>
          <w:ilvl w:val="3"/>
          <w:numId w:val="1"/>
        </w:numPr>
        <w:rPr/>
      </w:pPr>
      <w:bookmarkStart w:id="4046" w:name="__RefHeading___Toc2568666_3650668749"/>
      <w:bookmarkStart w:id="4047" w:name="_Toc1842"/>
      <w:bookmarkEnd w:id="4046"/>
      <w:r>
        <w:rPr>
          <w:rtl w:val="true"/>
        </w:rPr>
        <w:t>[ (</w:t>
      </w:r>
      <w:r>
        <w:rPr>
          <w:rtl w:val="true"/>
        </w:rPr>
        <w:t xml:space="preserve">مسألة </w:t>
      </w:r>
      <w:r>
        <w:rPr/>
        <w:t>2</w:t>
      </w:r>
      <w:r>
        <w:rPr>
          <w:rtl w:val="true"/>
        </w:rPr>
        <w:t xml:space="preserve">): </w:t>
      </w:r>
      <w:r>
        <w:rPr>
          <w:rtl w:val="true"/>
        </w:rPr>
        <w:t>إذا تعدّدت النقود و اختلف سعرها و صرفها لا بدّ من ذکر النقد و الصرف</w:t>
      </w:r>
      <w:r>
        <w:rPr>
          <w:rtl w:val="true"/>
        </w:rPr>
        <w:t>]</w:t>
      </w:r>
      <w:bookmarkEnd w:id="40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تعدّدت النقود و اختلف سعرها و صرفها لا بدّ من ذکر النقد و الصرف و أنّه اشتراه بأیّ نقد و أنّه کان صرفه أیّ مقدار، و کذا لا بدّ من ذکر الشروط و الأجل و نحو ذلک ممّا یتفاوت لأجلها الثمن</w:t>
      </w:r>
      <w:r>
        <w:rPr>
          <w:rFonts w:eastAsia="IRNazanin" w:cs="IRNazanin"/>
          <w:color w:val="111111"/>
          <w:sz w:val="28"/>
          <w:szCs w:val="28"/>
          <w:rtl w:val="true"/>
          <w:lang w:bidi="fa-IR"/>
        </w:rPr>
        <w:t>.</w:t>
      </w:r>
    </w:p>
    <w:p>
      <w:pPr>
        <w:pStyle w:val="Heading4"/>
        <w:numPr>
          <w:ilvl w:val="3"/>
          <w:numId w:val="1"/>
        </w:numPr>
        <w:rPr/>
      </w:pPr>
      <w:bookmarkStart w:id="4048" w:name="__RefHeading___Toc2568668_3650668749"/>
      <w:bookmarkStart w:id="4049" w:name="_Toc1843"/>
      <w:bookmarkEnd w:id="4048"/>
      <w:r>
        <w:rPr>
          <w:rtl w:val="true"/>
        </w:rPr>
        <w:t>[ (</w:t>
      </w:r>
      <w:r>
        <w:rPr>
          <w:rtl w:val="true"/>
        </w:rPr>
        <w:t xml:space="preserve">مسألة </w:t>
      </w:r>
      <w:r>
        <w:rPr/>
        <w:t>3</w:t>
      </w:r>
      <w:r>
        <w:rPr>
          <w:rtl w:val="true"/>
        </w:rPr>
        <w:t xml:space="preserve">): </w:t>
      </w:r>
      <w:r>
        <w:rPr>
          <w:rtl w:val="true"/>
        </w:rPr>
        <w:t>إذا اشتریٰ متاعاً بثمن معیّن و لم یحدث فیه ما یوجب زیادة قیمته فرأس ماله ذلک الثمن</w:t>
      </w:r>
      <w:r>
        <w:rPr>
          <w:rtl w:val="true"/>
        </w:rPr>
        <w:t>]</w:t>
      </w:r>
      <w:bookmarkEnd w:id="404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متاعاً بثمن معیّن و لم یحدث فیه ما یوجب زیادة قیمته فرأس ماله ذلک الثمن، فیجوز عند إخباره عنه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بکذا أو رأس ماله کذا أو تقوّم علیّ بکذا أو هو علیّ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أحدث فیه ما یوجب زیادة قیمته فإن کان بعمل نفسه لم یجز أن یضمّ اجرة عمله بالثمن المسمّی و یخبر بأنّ رأس ماله کذا أو اشتریته بکذا، بل عبارته</w:t>
      </w:r>
      <w:bookmarkStart w:id="4050" w:name="pg1809_19377"/>
    </w:p>
    <w:p>
      <w:pPr>
        <w:pStyle w:val="BookText"/>
        <w:rPr/>
      </w:pPr>
      <w:bookmarkEnd w:id="4050"/>
      <w:r>
        <w:rPr>
          <w:rFonts w:ascii="IRNazanin" w:hAnsi="IRNazanin" w:eastAsia="IRNazanin"/>
          <w:color w:val="111111"/>
          <w:sz w:val="28"/>
          <w:sz w:val="28"/>
          <w:szCs w:val="28"/>
          <w:rtl w:val="true"/>
          <w:lang w:bidi="fa-IR"/>
        </w:rPr>
        <w:t>الصحیحة الصادقة أن یذکر کلّا من رأس ماله و عمله مستقلا بأن یقول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بکذا و عملت فیه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باستئجار غیره جاز أن یضمّ الأُجرة بالثمن و یخبر بأنّه تقوّم علیّ أو هو علیّ بکذا، و إن لم یجز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بکذا أو رأس ماله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اشتریٰ معیباً و رجع بالأرش إلی البائع له أن یخبره بالواقع و له إسقاط مقدار الأرش من الثمن و یجعل رأس المال ما بقی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مالی کذا، و لیس له أن یجعل رأس المال الثمن المسمّی من دون إسقاط قدر الأرش، بخلاف ما إذا حطّ البائع بعض الثمن فإنّه یجوز للمشتری أن یخبر بالأصل من دون إسقاط الحطیطة؛ لأنّها تفضّل من البائع علیه و لا دخل لها بالثمن</w:t>
      </w:r>
      <w:r>
        <w:rPr>
          <w:rFonts w:eastAsia="IRNazanin" w:cs="IRNazanin"/>
          <w:color w:val="111111"/>
          <w:sz w:val="28"/>
          <w:szCs w:val="28"/>
          <w:rtl w:val="true"/>
          <w:lang w:bidi="fa-IR"/>
        </w:rPr>
        <w:t>.</w:t>
      </w:r>
    </w:p>
    <w:p>
      <w:pPr>
        <w:pStyle w:val="Heading4"/>
        <w:numPr>
          <w:ilvl w:val="3"/>
          <w:numId w:val="1"/>
        </w:numPr>
        <w:rPr/>
      </w:pPr>
      <w:bookmarkStart w:id="4051" w:name="__RefHeading___Toc2568670_3650668749"/>
      <w:bookmarkStart w:id="4052" w:name="_Toc1844"/>
      <w:bookmarkEnd w:id="4051"/>
      <w:r>
        <w:rPr>
          <w:rtl w:val="true"/>
        </w:rPr>
        <w:t>[ (</w:t>
      </w:r>
      <w:r>
        <w:rPr>
          <w:rtl w:val="true"/>
        </w:rPr>
        <w:t xml:space="preserve">مسألة </w:t>
      </w:r>
      <w:r>
        <w:rPr/>
        <w:t>4</w:t>
      </w:r>
      <w:r>
        <w:rPr>
          <w:rtl w:val="true"/>
        </w:rPr>
        <w:t xml:space="preserve">): </w:t>
      </w:r>
      <w:r>
        <w:rPr>
          <w:rtl w:val="true"/>
        </w:rPr>
        <w:t>یجوز أن یبیع متاعاً ثمّ یشتریه بزیادة أو نقیصة إذا لم یشترط علی المشتری بیعه منه</w:t>
      </w:r>
      <w:r>
        <w:rPr>
          <w:rtl w:val="true"/>
        </w:rPr>
        <w:t>]</w:t>
      </w:r>
      <w:bookmarkEnd w:id="40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یبیع متاعاً ثمّ یشتریه بزیادة أو نقیصة إذا لم یشترط علی المشتری بیعه منه و إن کان من قصدهما ذلک، و بذلک ربّما یحتال من أراد أن یجعل رأس ماله أزید ممّا اشتریٰ به المتاع؛ بأن یشتری متاعاً بثمن ثمّ یبیعه من ابنه أو زوجته مثلًا بثمن أزید ثمّ یشتریه بالثمن الزائد فیخبر بالزائد، مثلًا یشتری متاعاً من السوق بدرهمین، ثمّ یبیعه من ابنه بأربعة، ثمّ یشتریه منه بأربعة، ثمّ فی مقام المرابحة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رأس ماله أربعة، و هذا و إن لم یکذب فی رأس المال و صحّ بیعه بلا إشکال إذ هو لیس بأعظم من الکذب الصریح فی الإخبار عن رأس المال لکنّ الظاهر أنّ هذا غشّ و خیانة فلا یجوز له ذلک، نعم لو لم یکن ذلک عن مواطأة و بقصد الاحتیال جاز له ذلک و لا محذور علیه</w:t>
      </w:r>
      <w:r>
        <w:rPr>
          <w:rFonts w:eastAsia="IRNazanin" w:cs="IRNazanin"/>
          <w:color w:val="111111"/>
          <w:sz w:val="28"/>
          <w:szCs w:val="28"/>
          <w:rtl w:val="true"/>
          <w:lang w:bidi="fa-IR"/>
        </w:rPr>
        <w:t>.</w:t>
      </w:r>
    </w:p>
    <w:p>
      <w:pPr>
        <w:pStyle w:val="Heading4"/>
        <w:numPr>
          <w:ilvl w:val="3"/>
          <w:numId w:val="1"/>
        </w:numPr>
        <w:rPr/>
      </w:pPr>
      <w:bookmarkStart w:id="4053" w:name="__RefHeading___Toc2568672_3650668749"/>
      <w:bookmarkStart w:id="4054" w:name="_Toc1845"/>
      <w:bookmarkEnd w:id="4053"/>
      <w:r>
        <w:rPr>
          <w:rtl w:val="true"/>
        </w:rPr>
        <w:t>[ (</w:t>
      </w:r>
      <w:r>
        <w:rPr>
          <w:rtl w:val="true"/>
        </w:rPr>
        <w:t xml:space="preserve">مسألة </w:t>
      </w:r>
      <w:r>
        <w:rPr/>
        <w:t>5</w:t>
      </w:r>
      <w:r>
        <w:rPr>
          <w:rtl w:val="true"/>
        </w:rPr>
        <w:t xml:space="preserve">): </w:t>
      </w:r>
      <w:r>
        <w:rPr>
          <w:rtl w:val="true"/>
        </w:rPr>
        <w:t>لو ظهر کذب البائع فی إخباره برأس المال کما إذا أخبر بأنّ رأس المال مائة و باعه بربح عشرة فظهر أنّه کان تسعین</w:t>
      </w:r>
      <w:r>
        <w:rPr>
          <w:rtl w:val="true"/>
        </w:rPr>
        <w:t>]</w:t>
      </w:r>
      <w:bookmarkEnd w:id="40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ظهر کذب البائع فی إخباره برأس المال کما إذا أخبر بأنّ رأس المال مائة و باعه بربح عشرة فظهر أنّه کان تسعین صحّ البیع و تخیّر المشتری بین فسخ البیع و إمضائه بتمام الثمن و هو مائة و عشرة فی المثال، و لا فرق بین تعمّد الکذب و صدوره غلطاً أو اشتباهاً، و هل یسقط هذا الخیار بالتلف؟ فیه إشکال، لا یبعد عدم السقوط</w:t>
      </w:r>
      <w:r>
        <w:rPr>
          <w:rFonts w:eastAsia="IRNazanin" w:cs="IRNazanin"/>
          <w:color w:val="111111"/>
          <w:sz w:val="28"/>
          <w:szCs w:val="28"/>
          <w:rtl w:val="true"/>
          <w:lang w:bidi="fa-IR"/>
        </w:rPr>
        <w:t>.</w:t>
      </w:r>
    </w:p>
    <w:p>
      <w:pPr>
        <w:pStyle w:val="Heading4"/>
        <w:numPr>
          <w:ilvl w:val="3"/>
          <w:numId w:val="1"/>
        </w:numPr>
        <w:rPr/>
      </w:pPr>
      <w:bookmarkStart w:id="4055" w:name="__RefHeading___Toc2568674_3650668749"/>
      <w:bookmarkStart w:id="4056" w:name="_Toc1846"/>
      <w:bookmarkEnd w:id="4055"/>
      <w:r>
        <w:rPr>
          <w:rtl w:val="true"/>
        </w:rPr>
        <w:t>[ (</w:t>
      </w:r>
      <w:r>
        <w:rPr>
          <w:rtl w:val="true"/>
        </w:rPr>
        <w:t xml:space="preserve">مسألة </w:t>
      </w:r>
      <w:r>
        <w:rPr/>
        <w:t>6</w:t>
      </w:r>
      <w:r>
        <w:rPr>
          <w:rtl w:val="true"/>
        </w:rPr>
        <w:t xml:space="preserve">): </w:t>
      </w:r>
      <w:r>
        <w:rPr>
          <w:rtl w:val="true"/>
        </w:rPr>
        <w:t>لو سلّم التاجر متاعاً إلی الدلّال لیبیعه له فقوّمه علیه بثمن معیّن</w:t>
      </w:r>
      <w:r>
        <w:rPr>
          <w:rtl w:val="true"/>
        </w:rPr>
        <w:t>]</w:t>
      </w:r>
      <w:bookmarkEnd w:id="405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التاجر متاعاً إلی الدلّال لیبیعه له فقوّمه علیه بثمن معیّن و جعل ما زاد علیٰ ذلک له؛ بأن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عشرة رأس ماله فما زدت علیه فهو لک، لم یجز له أن یبیعه مرابحة بأن یجعل رأس المال ما قوّم علیه التاجر و یزید علیه مقداراً بعنوان الربح، بل اللازم إمّا أن یبیعه مساومة أو یبیّن ما هو الواقع من أنّ ما قوّم علیّ التاجر کذا و أنا أُرید</w:t>
      </w:r>
      <w:bookmarkStart w:id="4057" w:name="pg1809_19378"/>
    </w:p>
    <w:p>
      <w:pPr>
        <w:pStyle w:val="BookText"/>
        <w:rPr/>
      </w:pPr>
      <w:bookmarkEnd w:id="4057"/>
      <w:r>
        <w:rPr>
          <w:rFonts w:ascii="IRNazanin" w:hAnsi="IRNazanin" w:eastAsia="IRNazanin"/>
          <w:color w:val="111111"/>
          <w:sz w:val="28"/>
          <w:sz w:val="28"/>
          <w:szCs w:val="28"/>
          <w:rtl w:val="true"/>
          <w:lang w:bidi="fa-IR"/>
        </w:rPr>
        <w:t>النفع کذا فإن باعه بزیادة کانت الزیادة له و إن باعه بما قوّم علیه التاجر صحّ البیع و یکون الثمن له و لم یستحقّ الدلّال شیئاً، و إن کان الأحوط إرضاؤه بشی‌ء، و إن باعه بالأقلّ یکون فضولیّاً یتوقّف صحّته علیٰ إجازة التاجر</w:t>
      </w:r>
      <w:r>
        <w:rPr>
          <w:rFonts w:eastAsia="IRNazanin" w:cs="IRNazanin"/>
          <w:color w:val="111111"/>
          <w:sz w:val="28"/>
          <w:szCs w:val="28"/>
          <w:rtl w:val="true"/>
          <w:lang w:bidi="fa-IR"/>
        </w:rPr>
        <w:t>.</w:t>
      </w:r>
    </w:p>
    <w:p>
      <w:pPr>
        <w:pStyle w:val="Heading4"/>
        <w:numPr>
          <w:ilvl w:val="3"/>
          <w:numId w:val="1"/>
        </w:numPr>
        <w:rPr/>
      </w:pPr>
      <w:bookmarkStart w:id="4058" w:name="__RefHeading___Toc2568676_3650668749"/>
      <w:bookmarkStart w:id="4059" w:name="_Toc1847"/>
      <w:bookmarkEnd w:id="4058"/>
      <w:r>
        <w:rPr>
          <w:rtl w:val="true"/>
        </w:rPr>
        <w:t>[ (</w:t>
      </w:r>
      <w:r>
        <w:rPr>
          <w:rtl w:val="true"/>
        </w:rPr>
        <w:t xml:space="preserve">مسألة </w:t>
      </w:r>
      <w:r>
        <w:rPr/>
        <w:t>7</w:t>
      </w:r>
      <w:r>
        <w:rPr>
          <w:rtl w:val="true"/>
        </w:rPr>
        <w:t xml:space="preserve">): </w:t>
      </w:r>
      <w:r>
        <w:rPr>
          <w:rtl w:val="true"/>
        </w:rPr>
        <w:t>إذا اشتریٰ شخص متاعاً أو داراً أو عقاراً أو غیرها جاز أن یشرک فیه غیره بما اشتراه</w:t>
      </w:r>
      <w:r>
        <w:rPr>
          <w:rtl w:val="true"/>
        </w:rPr>
        <w:t>]</w:t>
      </w:r>
      <w:bookmarkEnd w:id="40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شخص متاعاً أو داراً أو عقاراً أو غیرها جاز أن یشرک فیه غیره بما اشتراه؛ بأن یشرکه فیه بالمناصفة بنصف الثمن و بالمثالثة بثلث الثمن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إیقاعه بلفظ التشریک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شرّکتک فی هذا المتاع نصفه بنصف الثمن أو ثلثه بثلث الثمن مثلًا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أطلق لا یبعد انصرافه إلی المناصفة، و هل هو بیع أو عنوان علیٰ حدة؟ کلّ محتمل، و علی الأوّل فهو من بیع التولیة</w:t>
      </w:r>
      <w:r>
        <w:rPr>
          <w:rFonts w:eastAsia="IRNazanin" w:cs="IRNazanin"/>
          <w:color w:val="111111"/>
          <w:sz w:val="28"/>
          <w:szCs w:val="28"/>
          <w:rtl w:val="true"/>
          <w:lang w:bidi="fa-IR"/>
        </w:rPr>
        <w:t>.</w:t>
      </w:r>
    </w:p>
    <w:p>
      <w:pPr>
        <w:pStyle w:val="Heading3"/>
        <w:numPr>
          <w:ilvl w:val="2"/>
          <w:numId w:val="1"/>
        </w:numPr>
        <w:rPr/>
      </w:pPr>
      <w:bookmarkStart w:id="4060" w:name="__RefHeading___Toc2568678_3650668749"/>
      <w:bookmarkStart w:id="4061" w:name="_Toc1848"/>
      <w:bookmarkEnd w:id="4060"/>
      <w:r>
        <w:rPr>
          <w:rtl w:val="true"/>
        </w:rPr>
        <w:t>[</w:t>
      </w:r>
      <w:r>
        <w:rPr>
          <w:rtl w:val="true"/>
        </w:rPr>
        <w:t>القول فی بیع الثمار</w:t>
      </w:r>
      <w:r>
        <w:rPr>
          <w:rtl w:val="true"/>
        </w:rPr>
        <w:t>]</w:t>
      </w:r>
      <w:bookmarkEnd w:id="4061"/>
    </w:p>
    <w:p>
      <w:pPr>
        <w:pStyle w:val="Heading4"/>
        <w:numPr>
          <w:ilvl w:val="3"/>
          <w:numId w:val="1"/>
        </w:numPr>
        <w:rPr/>
      </w:pPr>
      <w:bookmarkStart w:id="4062" w:name="__RefHeading___Toc2568680_3650668749"/>
      <w:bookmarkStart w:id="4063" w:name="_Toc1849"/>
      <w:bookmarkEnd w:id="4062"/>
      <w:r>
        <w:rPr>
          <w:rtl w:val="true"/>
        </w:rPr>
        <w:t>اشارة</w:t>
      </w:r>
      <w:bookmarkEnd w:id="4063"/>
    </w:p>
    <w:p>
      <w:pPr>
        <w:pStyle w:val="BookText"/>
        <w:rPr/>
      </w:pPr>
      <w:r>
        <w:rPr>
          <w:rFonts w:ascii="IRNazanin" w:hAnsi="IRNazanin" w:eastAsia="IRNazanin"/>
          <w:color w:val="111111"/>
          <w:sz w:val="28"/>
          <w:sz w:val="28"/>
          <w:szCs w:val="28"/>
          <w:rtl w:val="true"/>
          <w:lang w:bidi="fa-IR"/>
        </w:rPr>
        <w:t>القول فی بیع الثمار فی النخیل و الأشجار المسمّی فی العرف الحاضر بالضمان، و یلحق بها الزرع و الخضراوات</w:t>
      </w:r>
      <w:r>
        <w:rPr>
          <w:rFonts w:eastAsia="IRNazanin" w:cs="IRNazanin"/>
          <w:color w:val="111111"/>
          <w:sz w:val="28"/>
          <w:szCs w:val="28"/>
          <w:rtl w:val="true"/>
          <w:lang w:bidi="fa-IR"/>
        </w:rPr>
        <w:t>.</w:t>
      </w:r>
    </w:p>
    <w:p>
      <w:pPr>
        <w:pStyle w:val="Heading4"/>
        <w:numPr>
          <w:ilvl w:val="3"/>
          <w:numId w:val="1"/>
        </w:numPr>
        <w:rPr/>
      </w:pPr>
      <w:bookmarkStart w:id="4064" w:name="__RefHeading___Toc2568682_3650668749"/>
      <w:bookmarkStart w:id="4065" w:name="_Toc1850"/>
      <w:bookmarkEnd w:id="4064"/>
      <w:r>
        <w:rPr>
          <w:rtl w:val="true"/>
        </w:rPr>
        <w:t>[ (</w:t>
      </w:r>
      <w:r>
        <w:rPr>
          <w:rtl w:val="true"/>
        </w:rPr>
        <w:t xml:space="preserve">مسألة </w:t>
      </w:r>
      <w:r>
        <w:rPr/>
        <w:t>1</w:t>
      </w:r>
      <w:r>
        <w:rPr>
          <w:rtl w:val="true"/>
        </w:rPr>
        <w:t xml:space="preserve">): </w:t>
      </w:r>
      <w:r>
        <w:rPr>
          <w:rtl w:val="true"/>
        </w:rPr>
        <w:t>لا یجوز بیع الثمار فی النخیل و الأشجار قبل بروزها</w:t>
      </w:r>
      <w:r>
        <w:rPr>
          <w:rtl w:val="true"/>
        </w:rPr>
        <w:t>]</w:t>
      </w:r>
      <w:bookmarkEnd w:id="40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بیع الثمار فی النخیل و الأشجار قبل بروزها و ظهورها عاما واحداً بلا ضمیمة، و یجوز بیعها عامین فما زاد أو مع الضمیمة، و أمّا بعد ظهورها فإن بدا صلاحها أو کان فی عامین أو مع الضمیمة جاز بیعها بلا إشکال، و مع انتفاء الثلاثة فیه قولان؛ أقواهما الجواز مع الکراهة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6" w:name="__RefHeading___Toc2568684_3650668749"/>
      <w:bookmarkStart w:id="4067" w:name="_Toc1851"/>
      <w:bookmarkEnd w:id="4066"/>
      <w:r>
        <w:rPr>
          <w:rtl w:val="true"/>
        </w:rPr>
        <w:t>[ (</w:t>
      </w:r>
      <w:r>
        <w:rPr>
          <w:rtl w:val="true"/>
        </w:rPr>
        <w:t xml:space="preserve">مسألة </w:t>
      </w:r>
      <w:r>
        <w:rPr/>
        <w:t>2</w:t>
      </w:r>
      <w:r>
        <w:rPr>
          <w:rtl w:val="true"/>
        </w:rPr>
        <w:t xml:space="preserve">): </w:t>
      </w:r>
      <w:r>
        <w:rPr>
          <w:rtl w:val="true"/>
        </w:rPr>
        <w:t>بدوّ الصلاح فی التمر احمراره أو اصفراره</w:t>
      </w:r>
      <w:r>
        <w:rPr>
          <w:rtl w:val="true"/>
        </w:rPr>
        <w:t>]</w:t>
      </w:r>
      <w:bookmarkEnd w:id="40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الصلاح فی التمر احمراره أو اصفراره، و فی غیره انعقاد حبّه بعد تناثر ورده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8" w:name="__RefHeading___Toc2568686_3650668749"/>
      <w:bookmarkStart w:id="4069" w:name="_Toc1852"/>
      <w:bookmarkEnd w:id="4068"/>
      <w:r>
        <w:rPr>
          <w:rtl w:val="true"/>
        </w:rPr>
        <w:t>[ (</w:t>
      </w:r>
      <w:r>
        <w:rPr>
          <w:rtl w:val="true"/>
        </w:rPr>
        <w:t xml:space="preserve">مسألة </w:t>
      </w:r>
      <w:r>
        <w:rPr/>
        <w:t>3</w:t>
      </w:r>
      <w:r>
        <w:rPr>
          <w:rtl w:val="true"/>
        </w:rPr>
        <w:t xml:space="preserve">): </w:t>
      </w:r>
      <w:r>
        <w:rPr>
          <w:rtl w:val="true"/>
        </w:rPr>
        <w:t>یعتبر فی الضمیمة فی مورد الاحتیاج إلیها کونها ممّا یجوز بیعها منفردة و کونها مملوکة للمالک</w:t>
      </w:r>
      <w:r>
        <w:rPr>
          <w:rtl w:val="true"/>
        </w:rPr>
        <w:t>]</w:t>
      </w:r>
      <w:bookmarkEnd w:id="406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الضمیمة فی مورد الاحتیاج إلیها کونها ممّا یجوز بیعها منفردة و کونها مملوکة للمالک و منها الأُصول لو بیعت مع الثمرة، و هل یعتبر </w:t>
      </w:r>
      <w:r>
        <w:rPr>
          <w:rStyle w:val="FootnoteAnchor"/>
          <w:rtl w:val="true"/>
        </w:rPr>
        <w:footnoteReference w:id="1145"/>
      </w:r>
      <w:r>
        <w:rPr>
          <w:rFonts w:ascii="IRNazanin" w:hAnsi="IRNazanin" w:eastAsia="IRNazanin"/>
          <w:color w:val="111111"/>
          <w:sz w:val="28"/>
          <w:sz w:val="28"/>
          <w:szCs w:val="28"/>
          <w:rtl w:val="true"/>
          <w:lang w:bidi="fa-IR"/>
        </w:rPr>
        <w:t>عدم کونها تابعة أو لا؟ وجهان، أقواهما العدم</w:t>
      </w:r>
      <w:r>
        <w:rPr>
          <w:rFonts w:eastAsia="IRNazanin" w:cs="IRNazanin"/>
          <w:color w:val="111111"/>
          <w:sz w:val="28"/>
          <w:szCs w:val="28"/>
          <w:rtl w:val="true"/>
          <w:lang w:bidi="fa-IR"/>
        </w:rPr>
        <w:t>.</w:t>
      </w:r>
      <w:bookmarkStart w:id="4070" w:name="pg1809_19379"/>
    </w:p>
    <w:p>
      <w:pPr>
        <w:pStyle w:val="Heading4"/>
        <w:numPr>
          <w:ilvl w:val="3"/>
          <w:numId w:val="1"/>
        </w:numPr>
        <w:rPr/>
      </w:pPr>
      <w:bookmarkStart w:id="4071" w:name="__RefHeading___Toc2568688_3650668749"/>
      <w:bookmarkStart w:id="4072" w:name="_Toc1853"/>
      <w:bookmarkEnd w:id="4070"/>
      <w:bookmarkEnd w:id="4071"/>
      <w:r>
        <w:rPr>
          <w:rtl w:val="true"/>
        </w:rPr>
        <w:t>[ (</w:t>
      </w:r>
      <w:r>
        <w:rPr>
          <w:rtl w:val="true"/>
        </w:rPr>
        <w:t xml:space="preserve">مسألة </w:t>
      </w:r>
      <w:r>
        <w:rPr/>
        <w:t>4</w:t>
      </w:r>
      <w:r>
        <w:rPr>
          <w:rtl w:val="true"/>
        </w:rPr>
        <w:t xml:space="preserve">): </w:t>
      </w:r>
      <w:r>
        <w:rPr>
          <w:rtl w:val="true"/>
        </w:rPr>
        <w:t>إذا ظهرت بعض ثمرة البستان جاز له بیع ثمرته أجمع</w:t>
      </w:r>
      <w:r>
        <w:rPr>
          <w:rtl w:val="true"/>
        </w:rPr>
        <w:t>]</w:t>
      </w:r>
      <w:bookmarkEnd w:id="40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بعض ثمرة البستان جاز له بیع ثمرته أجمع؛ الموجودة و المتجدّدة فی تلک السنة؛ سواء اتّحدت الشجرة أو تکثّرت، و سواء اتّحد الجنس أو اختلف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أدرکت ثمرة بستان جاز بیعها مع ثمرة بستان آخر لم تدرک ثمرته</w:t>
      </w:r>
      <w:r>
        <w:rPr>
          <w:rFonts w:eastAsia="IRNazanin" w:cs="IRNazanin"/>
          <w:color w:val="111111"/>
          <w:sz w:val="28"/>
          <w:szCs w:val="28"/>
          <w:rtl w:val="true"/>
          <w:lang w:bidi="fa-IR"/>
        </w:rPr>
        <w:t>.</w:t>
      </w:r>
    </w:p>
    <w:p>
      <w:pPr>
        <w:pStyle w:val="Heading4"/>
        <w:numPr>
          <w:ilvl w:val="3"/>
          <w:numId w:val="1"/>
        </w:numPr>
        <w:rPr/>
      </w:pPr>
      <w:bookmarkStart w:id="4073" w:name="__RefHeading___Toc2568690_3650668749"/>
      <w:bookmarkStart w:id="4074" w:name="_Toc1854"/>
      <w:bookmarkEnd w:id="4073"/>
      <w:r>
        <w:rPr>
          <w:rtl w:val="true"/>
        </w:rPr>
        <w:t>[ (</w:t>
      </w:r>
      <w:r>
        <w:rPr>
          <w:rtl w:val="true"/>
        </w:rPr>
        <w:t xml:space="preserve">مسألة </w:t>
      </w:r>
      <w:r>
        <w:rPr/>
        <w:t>5</w:t>
      </w:r>
      <w:r>
        <w:rPr>
          <w:rtl w:val="true"/>
        </w:rPr>
        <w:t xml:space="preserve">): </w:t>
      </w:r>
      <w:r>
        <w:rPr>
          <w:rtl w:val="true"/>
        </w:rPr>
        <w:t>إذا کانت الشجرة تثمر فی سنة واحدة مرّتین، الظاهر أنّه یکون المرّتان بمنزلة عامین</w:t>
      </w:r>
      <w:r>
        <w:rPr>
          <w:rtl w:val="true"/>
        </w:rPr>
        <w:t>]</w:t>
      </w:r>
      <w:bookmarkEnd w:id="40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الشجرة تثمر فی سنة واحدة مرّتین، الظاهر أنّه یکون المرّتان بمنزلة عامین، فیجوز بیع ثمرتها فی المرّتین قبل الظهور</w:t>
      </w:r>
      <w:r>
        <w:rPr>
          <w:rFonts w:eastAsia="IRNazanin" w:cs="IRNazanin"/>
          <w:color w:val="111111"/>
          <w:sz w:val="28"/>
          <w:szCs w:val="28"/>
          <w:rtl w:val="true"/>
          <w:lang w:bidi="fa-IR"/>
        </w:rPr>
        <w:t>.</w:t>
      </w:r>
    </w:p>
    <w:p>
      <w:pPr>
        <w:pStyle w:val="Heading4"/>
        <w:numPr>
          <w:ilvl w:val="3"/>
          <w:numId w:val="1"/>
        </w:numPr>
        <w:rPr/>
      </w:pPr>
      <w:bookmarkStart w:id="4075" w:name="__RefHeading___Toc2568692_3650668749"/>
      <w:bookmarkStart w:id="4076" w:name="_Toc1855"/>
      <w:bookmarkEnd w:id="4075"/>
      <w:r>
        <w:rPr>
          <w:rtl w:val="true"/>
        </w:rPr>
        <w:t>[ (</w:t>
      </w:r>
      <w:r>
        <w:rPr>
          <w:rtl w:val="true"/>
        </w:rPr>
        <w:t xml:space="preserve">مسألة </w:t>
      </w:r>
      <w:r>
        <w:rPr/>
        <w:t>6</w:t>
      </w:r>
      <w:r>
        <w:rPr>
          <w:rtl w:val="true"/>
        </w:rPr>
        <w:t xml:space="preserve">): </w:t>
      </w:r>
      <w:r>
        <w:rPr>
          <w:rtl w:val="true"/>
        </w:rPr>
        <w:t>إذا باع الثمرة سنة أو سنتین أو أزید، ثمّ باع الأُصول من شخص آخر لم یبطل بیع الثمرة</w:t>
      </w:r>
      <w:r>
        <w:rPr>
          <w:rtl w:val="true"/>
        </w:rPr>
        <w:t>]</w:t>
      </w:r>
      <w:bookmarkEnd w:id="40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الثمرة سنة أو سنتین أو أزید، ثمّ باع الأُصول من شخص آخر لم یبطل بیع الثمرة فتنتقل الأُصول إلی المشتری مسلوبة المنفعة، و لو کان جاهلًا کان له الخیار فی فسخ بیع الأُصول کالعین المستأجرة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یبطل بیع الثمار بموت بائعها و لا بموت مشتریها، بل تنتقل الثمرة فی الثانی إلیٰ ورثة المشتری و الأُصول فی الأوّل إلیٰ ورثة البائع مسلوبة المنفعة</w:t>
      </w:r>
      <w:r>
        <w:rPr>
          <w:rFonts w:eastAsia="IRNazanin" w:cs="IRNazanin"/>
          <w:color w:val="111111"/>
          <w:sz w:val="28"/>
          <w:szCs w:val="28"/>
          <w:rtl w:val="true"/>
          <w:lang w:bidi="fa-IR"/>
        </w:rPr>
        <w:t>.</w:t>
      </w:r>
    </w:p>
    <w:p>
      <w:pPr>
        <w:pStyle w:val="Heading4"/>
        <w:numPr>
          <w:ilvl w:val="3"/>
          <w:numId w:val="1"/>
        </w:numPr>
        <w:rPr/>
      </w:pPr>
      <w:bookmarkStart w:id="4077" w:name="__RefHeading___Toc2568694_3650668749"/>
      <w:bookmarkStart w:id="4078" w:name="_Toc1856"/>
      <w:bookmarkEnd w:id="4077"/>
      <w:r>
        <w:rPr>
          <w:rtl w:val="true"/>
        </w:rPr>
        <w:t>[ (</w:t>
      </w:r>
      <w:r>
        <w:rPr>
          <w:rtl w:val="true"/>
        </w:rPr>
        <w:t xml:space="preserve">مسألة </w:t>
      </w:r>
      <w:r>
        <w:rPr/>
        <w:t>7</w:t>
      </w:r>
      <w:r>
        <w:rPr>
          <w:rtl w:val="true"/>
        </w:rPr>
        <w:t xml:space="preserve">): </w:t>
      </w:r>
      <w:r>
        <w:rPr>
          <w:rtl w:val="true"/>
        </w:rPr>
        <w:t>إذا باع الثمرة بعد ظهورها أو بدوّ صلاحها فاصیبت بآفة سماویّة أو أرضیّة قبل قبضها الذی هو التخلیة</w:t>
      </w:r>
      <w:r>
        <w:rPr>
          <w:rtl w:val="true"/>
        </w:rPr>
        <w:t>]</w:t>
      </w:r>
      <w:bookmarkEnd w:id="40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باع الثمرة بعد ظهورها أو بدوّ صلاحها فاصیبت بآفة سماویّة أو أرضیّة قبل قبضها الذی هو التخلیة </w:t>
      </w:r>
      <w:r>
        <w:rPr>
          <w:rStyle w:val="FootnoteAnchor"/>
          <w:rtl w:val="true"/>
        </w:rPr>
        <w:footnoteReference w:id="1146"/>
      </w:r>
      <w:r>
        <w:rPr>
          <w:rFonts w:ascii="IRNazanin" w:hAnsi="IRNazanin" w:eastAsia="IRNazanin"/>
          <w:color w:val="111111"/>
          <w:sz w:val="28"/>
          <w:sz w:val="28"/>
          <w:szCs w:val="28"/>
          <w:rtl w:val="true"/>
          <w:lang w:bidi="fa-IR"/>
        </w:rPr>
        <w:t>کان من مال بائعها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إلحاق النهب و السرقة و نحوهما بالآفة؛ نعم لو کان المتلف شخصاً معیّناً کان المشتری بالخیار بین فسخ البیع و بین إمضائه و مطالبة المتلف بالبدل، و لو کان التلف بعد القبض کان من مال المشتری و لم یرجع علی البائع بشی‌ء</w:t>
      </w:r>
      <w:r>
        <w:rPr>
          <w:rFonts w:eastAsia="IRNazanin" w:cs="IRNazanin"/>
          <w:color w:val="111111"/>
          <w:sz w:val="28"/>
          <w:szCs w:val="28"/>
          <w:rtl w:val="true"/>
          <w:lang w:bidi="fa-IR"/>
        </w:rPr>
        <w:t>.</w:t>
      </w:r>
    </w:p>
    <w:p>
      <w:pPr>
        <w:pStyle w:val="Heading4"/>
        <w:numPr>
          <w:ilvl w:val="3"/>
          <w:numId w:val="1"/>
        </w:numPr>
        <w:rPr/>
      </w:pPr>
      <w:bookmarkStart w:id="4079" w:name="__RefHeading___Toc2568696_3650668749"/>
      <w:bookmarkStart w:id="4080" w:name="_Toc1857"/>
      <w:bookmarkEnd w:id="4079"/>
      <w:r>
        <w:rPr>
          <w:rtl w:val="true"/>
        </w:rPr>
        <w:t>[ (</w:t>
      </w:r>
      <w:r>
        <w:rPr>
          <w:rtl w:val="true"/>
        </w:rPr>
        <w:t xml:space="preserve">مسألة </w:t>
      </w:r>
      <w:r>
        <w:rPr/>
        <w:t>8</w:t>
      </w:r>
      <w:r>
        <w:rPr>
          <w:rtl w:val="true"/>
        </w:rPr>
        <w:t xml:space="preserve">): </w:t>
      </w:r>
      <w:r>
        <w:rPr>
          <w:rtl w:val="true"/>
        </w:rPr>
        <w:t>یجوز أن یستثنی البائع لنفسه حصّة مشاعة من الثمرة کالثلث و الربع أو مقداراً معیّناً</w:t>
      </w:r>
      <w:r>
        <w:rPr>
          <w:rtl w:val="true"/>
        </w:rPr>
        <w:t>]</w:t>
      </w:r>
      <w:bookmarkEnd w:id="40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یستثنی البائع لنفسه حصّة مشاعة من الثمرة کالثلث و الربع أو مقداراً معیّناً کمنّ أو منّین، کما أنّ له أن یستثنی ثمرة نخل، أو شجر معیّن، فإن خاست الثمرة سقط من الثنیا بحسابه فی الأوّلین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1" w:name="__RefHeading___Toc2568698_3650668749"/>
      <w:bookmarkStart w:id="4082" w:name="_Toc1858"/>
      <w:bookmarkEnd w:id="4081"/>
      <w:r>
        <w:rPr>
          <w:rtl w:val="true"/>
        </w:rPr>
        <w:t>[ (</w:t>
      </w:r>
      <w:r>
        <w:rPr>
          <w:rtl w:val="true"/>
        </w:rPr>
        <w:t xml:space="preserve">مسألة </w:t>
      </w:r>
      <w:r>
        <w:rPr/>
        <w:t>9</w:t>
      </w:r>
      <w:r>
        <w:rPr>
          <w:rtl w:val="true"/>
        </w:rPr>
        <w:t xml:space="preserve">): </w:t>
      </w:r>
      <w:r>
        <w:rPr>
          <w:rtl w:val="true"/>
        </w:rPr>
        <w:t>یجوز بیع الثمرة علی النخل و الشجر بکلّ شی‌ء یصحّ أن یجعل ثمناً فی أنواع البیوع من النقود</w:t>
      </w:r>
      <w:r>
        <w:rPr>
          <w:rtl w:val="true"/>
        </w:rPr>
        <w:t>]</w:t>
      </w:r>
      <w:bookmarkEnd w:id="408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الثمرة علی النخل و الشجر بکلّ شی‌ء یصحّ أن یجعل ثمناً فی أنواع البیوع من النقود و الأمتعة و الطعام و الحیوان و غیرها بل المنافع و الأعمال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یجوز بیع التمر علی النخل بالتمر؛ سواء کان مقداراً من تمرها أو تمراً آخر علی النخیل أو موضوعاً علی الأرض، و هذا یسمّیٰ بالمزابنة المنهیّ عنها، و الأحوط </w:t>
      </w:r>
      <w:r>
        <w:rPr>
          <w:rStyle w:val="FootnoteAnchor"/>
          <w:rtl w:val="true"/>
        </w:rPr>
        <w:footnoteReference w:id="1148"/>
      </w:r>
      <w:r>
        <w:rPr>
          <w:rFonts w:ascii="IRNazanin" w:hAnsi="IRNazanin" w:eastAsia="IRNazanin"/>
          <w:color w:val="111111"/>
          <w:sz w:val="28"/>
          <w:sz w:val="28"/>
          <w:szCs w:val="28"/>
          <w:rtl w:val="true"/>
          <w:lang w:bidi="fa-IR"/>
        </w:rPr>
        <w:t>إلحاق</w:t>
      </w:r>
      <w:bookmarkStart w:id="4083" w:name="pg1809_19380"/>
    </w:p>
    <w:p>
      <w:pPr>
        <w:pStyle w:val="BookText"/>
        <w:rPr/>
      </w:pPr>
      <w:bookmarkEnd w:id="4083"/>
      <w:r>
        <w:rPr>
          <w:rFonts w:ascii="IRNazanin" w:hAnsi="IRNazanin" w:eastAsia="IRNazanin"/>
          <w:color w:val="111111"/>
          <w:sz w:val="28"/>
          <w:sz w:val="28"/>
          <w:szCs w:val="28"/>
          <w:rtl w:val="true"/>
          <w:lang w:bidi="fa-IR"/>
        </w:rPr>
        <w:t>ثمرة ما عدا النخیل من الفواکه بها فلا تباع بجنسها</w:t>
      </w:r>
      <w:r>
        <w:rPr>
          <w:rFonts w:eastAsia="IRNazanin" w:cs="IRNazanin"/>
          <w:color w:val="111111"/>
          <w:sz w:val="28"/>
          <w:szCs w:val="28"/>
          <w:rtl w:val="true"/>
          <w:lang w:bidi="fa-IR"/>
        </w:rPr>
        <w:t>.</w:t>
      </w:r>
    </w:p>
    <w:p>
      <w:pPr>
        <w:pStyle w:val="Heading4"/>
        <w:numPr>
          <w:ilvl w:val="3"/>
          <w:numId w:val="1"/>
        </w:numPr>
        <w:rPr/>
      </w:pPr>
      <w:bookmarkStart w:id="4084" w:name="__RefHeading___Toc2568700_3650668749"/>
      <w:bookmarkStart w:id="4085" w:name="_Toc1859"/>
      <w:bookmarkEnd w:id="4084"/>
      <w:r>
        <w:rPr>
          <w:rtl w:val="true"/>
        </w:rPr>
        <w:t>[ (</w:t>
      </w:r>
      <w:r>
        <w:rPr>
          <w:rtl w:val="true"/>
        </w:rPr>
        <w:t xml:space="preserve">مسألة </w:t>
      </w:r>
      <w:r>
        <w:rPr/>
        <w:t>10</w:t>
      </w:r>
      <w:r>
        <w:rPr>
          <w:rtl w:val="true"/>
        </w:rPr>
        <w:t xml:space="preserve">): </w:t>
      </w:r>
      <w:r>
        <w:rPr>
          <w:rtl w:val="true"/>
        </w:rPr>
        <w:t>یجوز أن یبیع ما اشتراه من الثمرة بزیادة عمّا ابتاعه به أو نقصان</w:t>
      </w:r>
      <w:r>
        <w:rPr>
          <w:rtl w:val="true"/>
        </w:rPr>
        <w:t>]</w:t>
      </w:r>
      <w:bookmarkEnd w:id="40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یبیع ما اشتراه من الثمرة بزیادة عمّا ابتاعه به أو نقصان؛ قبل قبضه و بعده</w:t>
      </w:r>
      <w:r>
        <w:rPr>
          <w:rFonts w:eastAsia="IRNazanin" w:cs="IRNazanin"/>
          <w:color w:val="111111"/>
          <w:sz w:val="28"/>
          <w:szCs w:val="28"/>
          <w:rtl w:val="true"/>
          <w:lang w:bidi="fa-IR"/>
        </w:rPr>
        <w:t>.</w:t>
      </w:r>
    </w:p>
    <w:p>
      <w:pPr>
        <w:pStyle w:val="Heading4"/>
        <w:numPr>
          <w:ilvl w:val="3"/>
          <w:numId w:val="1"/>
        </w:numPr>
        <w:rPr/>
      </w:pPr>
      <w:bookmarkStart w:id="4086" w:name="__RefHeading___Toc2568702_3650668749"/>
      <w:bookmarkStart w:id="4087" w:name="_Toc1860"/>
      <w:bookmarkEnd w:id="4086"/>
      <w:r>
        <w:rPr>
          <w:rtl w:val="true"/>
        </w:rPr>
        <w:t>[ (</w:t>
      </w:r>
      <w:r>
        <w:rPr>
          <w:rtl w:val="true"/>
        </w:rPr>
        <w:t xml:space="preserve">مسألة </w:t>
      </w:r>
      <w:r>
        <w:rPr/>
        <w:t>11</w:t>
      </w:r>
      <w:r>
        <w:rPr>
          <w:rtl w:val="true"/>
        </w:rPr>
        <w:t xml:space="preserve">): </w:t>
      </w:r>
      <w:r>
        <w:rPr>
          <w:rtl w:val="true"/>
        </w:rPr>
        <w:t>لا یجوز بیع الزرع بذراً قبل ظهوره</w:t>
      </w:r>
      <w:r>
        <w:rPr>
          <w:rtl w:val="true"/>
        </w:rPr>
        <w:t>]</w:t>
      </w:r>
      <w:bookmarkEnd w:id="40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بیع الزرع بذراً قبل ظهوره، و فی جواز الصلح عنه وجه کبیعه </w:t>
      </w:r>
      <w:r>
        <w:rPr>
          <w:rStyle w:val="FootnoteAnchor"/>
          <w:rtl w:val="true"/>
        </w:rPr>
        <w:footnoteReference w:id="1149"/>
      </w:r>
      <w:r>
        <w:rPr>
          <w:rFonts w:ascii="IRNazanin" w:hAnsi="IRNazanin" w:eastAsia="IRNazanin"/>
          <w:color w:val="111111"/>
          <w:sz w:val="28"/>
          <w:sz w:val="28"/>
          <w:szCs w:val="28"/>
          <w:rtl w:val="true"/>
          <w:lang w:bidi="fa-IR"/>
        </w:rPr>
        <w:t>تبعاً للأرض لو باعها و أدخله فی المبیع بالشرط، و أمّا بعد ظهوره و طلوع خضرته یجوز بیعه قصیلًا؛ بأن یبیعه بعنوان أن یکون قصیلًا و یقطعه المشتری قبل أن یسنبل؛ سواء بلغ أوان قصله أو لم یبلغ و عیّن مدّة لإبقائه، و إن أطلق فله إبقاؤه إلیٰ أوان قصله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 المشتری قطعه إذا بلغ أوانه إلّا إذا رضی البائع بإبقائه، و لو لم یرض به و لم یقطعه المشتری فللبائع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أن یکون بعد الاستئذان من الحاکم مع الإمکان، و له ترکه و المطالبة بأُجرة </w:t>
      </w:r>
      <w:r>
        <w:rPr>
          <w:rStyle w:val="FootnoteAnchor"/>
          <w:rtl w:val="true"/>
        </w:rPr>
        <w:footnoteReference w:id="1150"/>
      </w:r>
      <w:r>
        <w:rPr>
          <w:rFonts w:ascii="IRNazanin" w:hAnsi="IRNazanin" w:eastAsia="IRNazanin"/>
          <w:color w:val="111111"/>
          <w:sz w:val="28"/>
          <w:sz w:val="28"/>
          <w:szCs w:val="28"/>
          <w:rtl w:val="true"/>
          <w:lang w:bidi="fa-IR"/>
        </w:rPr>
        <w:t>أرضه مدّة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أبقاه إلیٰ أن طلعت سنبلته فهل تکون ملکاً للمشتری أو للبائع أو هما شریکان فیه؟ وجوه؛ الأحوط التصالح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یجوز بیع الزرع قصیلًا یجوز بیعه من أصله لا بعنوان کونه قصیلًا و بشرط أن یقطعه، بل بعنوان کونه ملکاً للمشتری إن شاء قصله و إن شاء ترکه إلیٰ أن یسنبل</w:t>
      </w:r>
      <w:r>
        <w:rPr>
          <w:rFonts w:eastAsia="IRNazanin" w:cs="IRNazanin"/>
          <w:color w:val="111111"/>
          <w:sz w:val="28"/>
          <w:szCs w:val="28"/>
          <w:rtl w:val="true"/>
          <w:lang w:bidi="fa-IR"/>
        </w:rPr>
        <w:t>.</w:t>
      </w:r>
    </w:p>
    <w:p>
      <w:pPr>
        <w:pStyle w:val="Heading4"/>
        <w:numPr>
          <w:ilvl w:val="3"/>
          <w:numId w:val="1"/>
        </w:numPr>
        <w:rPr/>
      </w:pPr>
      <w:bookmarkStart w:id="4088" w:name="__RefHeading___Toc2568704_3650668749"/>
      <w:bookmarkStart w:id="4089" w:name="_Toc1861"/>
      <w:bookmarkEnd w:id="4088"/>
      <w:r>
        <w:rPr>
          <w:rtl w:val="true"/>
        </w:rPr>
        <w:t>[ (</w:t>
      </w:r>
      <w:r>
        <w:rPr>
          <w:rtl w:val="true"/>
        </w:rPr>
        <w:t xml:space="preserve">مسألة </w:t>
      </w:r>
      <w:r>
        <w:rPr/>
        <w:t>12</w:t>
      </w:r>
      <w:r>
        <w:rPr>
          <w:rtl w:val="true"/>
        </w:rPr>
        <w:t xml:space="preserve">): </w:t>
      </w:r>
      <w:r>
        <w:rPr>
          <w:rtl w:val="true"/>
        </w:rPr>
        <w:t>لا یجوز بیع السنبل قبل ظهوره و انعقاد حبّه</w:t>
      </w:r>
      <w:r>
        <w:rPr>
          <w:rtl w:val="true"/>
        </w:rPr>
        <w:t>]</w:t>
      </w:r>
      <w:bookmarkEnd w:id="408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السنبل قبل ظهوره و انعقاد حبّه، و یجوز بعد انعقاد حبّه؛ سواء کان حبّه بارزاً کالشعیر أو مستتراً کالحنطة، منفرداً و مع أُصوله، قائماً و حصیداً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بیعه بحبّ من جنسه بأن تباع سنابل الحنطة بالحنطة و سنابل الشعیر بالشعیر </w:t>
      </w:r>
      <w:r>
        <w:rPr>
          <w:rStyle w:val="FootnoteAnchor"/>
          <w:rtl w:val="true"/>
        </w:rPr>
        <w:footnoteReference w:id="1151"/>
      </w:r>
      <w:r>
        <w:rPr>
          <w:rFonts w:ascii="IRNazanin" w:hAnsi="IRNazanin" w:eastAsia="IRNazanin"/>
          <w:color w:val="111111"/>
          <w:sz w:val="28"/>
          <w:sz w:val="28"/>
          <w:szCs w:val="28"/>
          <w:rtl w:val="true"/>
          <w:lang w:bidi="fa-IR"/>
        </w:rPr>
        <w:t>، و هذا یسمّیٰ بالمحاقلة المنهیّ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w:t>
      </w:r>
      <w:r>
        <w:rPr>
          <w:rStyle w:val="FootnoteAnchor"/>
          <w:rtl w:val="true"/>
        </w:rPr>
        <w:footnoteReference w:id="1152"/>
      </w:r>
      <w:r>
        <w:rPr>
          <w:rFonts w:ascii="IRNazanin" w:hAnsi="IRNazanin" w:eastAsia="IRNazanin"/>
          <w:color w:val="111111"/>
          <w:sz w:val="28"/>
          <w:sz w:val="28"/>
          <w:szCs w:val="28"/>
          <w:rtl w:val="true"/>
          <w:lang w:bidi="fa-IR"/>
        </w:rPr>
        <w:t>شمولها لبیع سنبل الحنطة بالشعیر و بیع سنبل الشعیر بالحنطة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غیر الحنطة و الشعیر کالأرز و الذرة و الدخن و غیرها ففی جریان هذا الحکم فیها و هو عدم جواز بیع سنابلها بحبّ من جنسها إشکال الأحوط لو لم یکن الأقویٰ جریانه </w:t>
      </w:r>
      <w:r>
        <w:rPr>
          <w:rStyle w:val="FootnoteAnchor"/>
          <w:rtl w:val="true"/>
        </w:rPr>
        <w:footnoteReference w:id="1153"/>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bookmarkStart w:id="4090" w:name="pg1809_19381"/>
    </w:p>
    <w:p>
      <w:pPr>
        <w:pStyle w:val="Heading4"/>
        <w:numPr>
          <w:ilvl w:val="3"/>
          <w:numId w:val="1"/>
        </w:numPr>
        <w:rPr/>
      </w:pPr>
      <w:bookmarkStart w:id="4091" w:name="__RefHeading___Toc2568706_3650668749"/>
      <w:bookmarkStart w:id="4092" w:name="_Toc1862"/>
      <w:bookmarkEnd w:id="4090"/>
      <w:bookmarkEnd w:id="4091"/>
      <w:r>
        <w:rPr>
          <w:rtl w:val="true"/>
        </w:rPr>
        <w:t>[ (</w:t>
      </w:r>
      <w:r>
        <w:rPr>
          <w:rtl w:val="true"/>
        </w:rPr>
        <w:t xml:space="preserve">مسألة </w:t>
      </w:r>
      <w:r>
        <w:rPr/>
        <w:t>13</w:t>
      </w:r>
      <w:r>
        <w:rPr>
          <w:rtl w:val="true"/>
        </w:rPr>
        <w:t xml:space="preserve">): </w:t>
      </w:r>
      <w:r>
        <w:rPr>
          <w:rtl w:val="true"/>
        </w:rPr>
        <w:t>لا یجوز بیع الخضر کالخیار و الباذنجان و البطّیخ و نحوها قبل ظهورها</w:t>
      </w:r>
      <w:r>
        <w:rPr>
          <w:rtl w:val="true"/>
        </w:rPr>
        <w:t>]</w:t>
      </w:r>
      <w:bookmarkEnd w:id="40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الخضر کالخیار و الباذنجان و البطّیخ و نحوها قبل ظهورها، و یجوز بعد انعقادها و تناثر وردها لقطة واحدة أو لقطات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المرجع فی اللقطة إلیٰ عرف الزرّاع و شغلهم و عادتهم، و الظاهر أنّ ما یلتقط منها من الباکورة لا تعدّ لقطة</w:t>
      </w:r>
      <w:r>
        <w:rPr>
          <w:rFonts w:eastAsia="IRNazanin" w:cs="IRNazanin"/>
          <w:color w:val="111111"/>
          <w:sz w:val="28"/>
          <w:szCs w:val="28"/>
          <w:rtl w:val="true"/>
          <w:lang w:bidi="fa-IR"/>
        </w:rPr>
        <w:t>.</w:t>
      </w:r>
    </w:p>
    <w:p>
      <w:pPr>
        <w:pStyle w:val="Heading4"/>
        <w:numPr>
          <w:ilvl w:val="3"/>
          <w:numId w:val="1"/>
        </w:numPr>
        <w:rPr/>
      </w:pPr>
      <w:bookmarkStart w:id="4093" w:name="__RefHeading___Toc2568708_3650668749"/>
      <w:bookmarkStart w:id="4094" w:name="_Toc1863"/>
      <w:bookmarkEnd w:id="4093"/>
      <w:r>
        <w:rPr>
          <w:rtl w:val="true"/>
        </w:rPr>
        <w:t>[ (</w:t>
      </w:r>
      <w:r>
        <w:rPr>
          <w:rtl w:val="true"/>
        </w:rPr>
        <w:t xml:space="preserve">مسألة </w:t>
      </w:r>
      <w:r>
        <w:rPr/>
        <w:t>14</w:t>
      </w:r>
      <w:r>
        <w:rPr>
          <w:rtl w:val="true"/>
        </w:rPr>
        <w:t xml:space="preserve">): </w:t>
      </w:r>
      <w:r>
        <w:rPr>
          <w:rtl w:val="true"/>
        </w:rPr>
        <w:t>إنّما یجوز بیع الخضر کالخیار و البطّیخ مع مشاهدة ما یمکن مشاهدته فی خلال الأوراق</w:t>
      </w:r>
      <w:r>
        <w:rPr>
          <w:rtl w:val="true"/>
        </w:rPr>
        <w:t>]</w:t>
      </w:r>
      <w:bookmarkEnd w:id="40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یجوز بیع الخضر کالخیار و البطّیخ مع مشاهدة ما یمکن مشاهدته فی خلال الأوراق، و لا یضرّ عدم مشاهدة بعضها المستورة کما لا یضرّ عدم تناهی عظمها کلّا أو بعضاً و تناثر وردها، و کذا لا یضرّ انعدام ما عدا الاولیٰ من اللقطات بعد ضمّها إلیها</w:t>
      </w:r>
      <w:r>
        <w:rPr>
          <w:rFonts w:eastAsia="IRNazanin" w:cs="IRNazanin"/>
          <w:color w:val="111111"/>
          <w:sz w:val="28"/>
          <w:szCs w:val="28"/>
          <w:rtl w:val="true"/>
          <w:lang w:bidi="fa-IR"/>
        </w:rPr>
        <w:t>.</w:t>
      </w:r>
    </w:p>
    <w:p>
      <w:pPr>
        <w:pStyle w:val="Heading4"/>
        <w:numPr>
          <w:ilvl w:val="3"/>
          <w:numId w:val="1"/>
        </w:numPr>
        <w:rPr/>
      </w:pPr>
      <w:bookmarkStart w:id="4095" w:name="__RefHeading___Toc2568710_3650668749"/>
      <w:bookmarkStart w:id="4096" w:name="_Toc1864"/>
      <w:bookmarkEnd w:id="4095"/>
      <w:r>
        <w:rPr>
          <w:rtl w:val="true"/>
        </w:rPr>
        <w:t>[ (</w:t>
      </w:r>
      <w:r>
        <w:rPr>
          <w:rtl w:val="true"/>
        </w:rPr>
        <w:t xml:space="preserve">مسألة </w:t>
      </w:r>
      <w:r>
        <w:rPr/>
        <w:t>15</w:t>
      </w:r>
      <w:r>
        <w:rPr>
          <w:rtl w:val="true"/>
        </w:rPr>
        <w:t xml:space="preserve">): </w:t>
      </w:r>
      <w:r>
        <w:rPr>
          <w:rtl w:val="true"/>
        </w:rPr>
        <w:t>إذا کان الخضر ممّا کان المقصود منه مستوراً فی الأرض کالجزر و الشلجم و الثوم یشکل جواز بیعها قبل قلعها</w:t>
      </w:r>
      <w:r>
        <w:rPr>
          <w:rtl w:val="true"/>
        </w:rPr>
        <w:t>]</w:t>
      </w:r>
      <w:bookmarkEnd w:id="40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الخضر ممّا کان المقصود منه مستوراً فی الأرض کالجزر و الشلجم و الثوم یشکل جواز بیعها قبل قلعها، نعم فی مثل البصل ممّا کان الظاهر منه أیضاً مقصوداً فالوجه جواز بیعه منفرداً و مع أُصوله</w:t>
      </w:r>
      <w:r>
        <w:rPr>
          <w:rFonts w:eastAsia="IRNazanin" w:cs="IRNazanin"/>
          <w:color w:val="111111"/>
          <w:sz w:val="28"/>
          <w:szCs w:val="28"/>
          <w:rtl w:val="true"/>
          <w:lang w:bidi="fa-IR"/>
        </w:rPr>
        <w:t>.</w:t>
      </w:r>
    </w:p>
    <w:p>
      <w:pPr>
        <w:pStyle w:val="Heading4"/>
        <w:numPr>
          <w:ilvl w:val="3"/>
          <w:numId w:val="1"/>
        </w:numPr>
        <w:rPr/>
      </w:pPr>
      <w:bookmarkStart w:id="4097" w:name="__RefHeading___Toc2568712_3650668749"/>
      <w:bookmarkStart w:id="4098" w:name="_Toc1865"/>
      <w:bookmarkEnd w:id="4097"/>
      <w:r>
        <w:rPr>
          <w:rtl w:val="true"/>
        </w:rPr>
        <w:t>[ (</w:t>
      </w:r>
      <w:r>
        <w:rPr>
          <w:rtl w:val="true"/>
        </w:rPr>
        <w:t xml:space="preserve">مسألة </w:t>
      </w:r>
      <w:r>
        <w:rPr/>
        <w:t>16</w:t>
      </w:r>
      <w:r>
        <w:rPr>
          <w:rtl w:val="true"/>
        </w:rPr>
        <w:t xml:space="preserve">): </w:t>
      </w:r>
      <w:r>
        <w:rPr>
          <w:rtl w:val="true"/>
        </w:rPr>
        <w:t>یجوز بعد الظهور بیع ما یجزّ ثمّ ینمو کالرطبة و الکرّاث و النعناع جزّة و جزّات معیّنة</w:t>
      </w:r>
      <w:r>
        <w:rPr>
          <w:rtl w:val="true"/>
        </w:rPr>
        <w:t>]</w:t>
      </w:r>
      <w:bookmarkEnd w:id="40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بعد الظهور بیع ما یجزّ ثمّ ینمو کالرطبة و الکرّاث و النعناع جزّة و جزّات معیّنة، و کذا ما یخرط کورق التوت و الحنّاء خرطة و خرطات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المرجع فی الجزّة و الخرطة هو العرف و العادة کما مرّ فی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انعدام بعض الأوراق بعد وجود مقدار یکفی للخرط و إن لم یبلغ أوان خرطه، فیضمّ الموجود إلی المعدوم کانضمام الثمرة المتجدّدة فی السنة أو فی سنة أُخری مع الموجودة</w:t>
      </w:r>
      <w:r>
        <w:rPr>
          <w:rFonts w:eastAsia="IRNazanin" w:cs="IRNazanin"/>
          <w:color w:val="111111"/>
          <w:sz w:val="28"/>
          <w:szCs w:val="28"/>
          <w:rtl w:val="true"/>
          <w:lang w:bidi="fa-IR"/>
        </w:rPr>
        <w:t>.</w:t>
      </w:r>
    </w:p>
    <w:p>
      <w:pPr>
        <w:pStyle w:val="Heading4"/>
        <w:numPr>
          <w:ilvl w:val="3"/>
          <w:numId w:val="1"/>
        </w:numPr>
        <w:rPr/>
      </w:pPr>
      <w:bookmarkStart w:id="4099" w:name="__RefHeading___Toc2568714_3650668749"/>
      <w:bookmarkStart w:id="4100" w:name="_Toc1866"/>
      <w:bookmarkEnd w:id="4099"/>
      <w:r>
        <w:rPr>
          <w:rtl w:val="true"/>
        </w:rPr>
        <w:t>[ (</w:t>
      </w:r>
      <w:r>
        <w:rPr>
          <w:rtl w:val="true"/>
        </w:rPr>
        <w:t xml:space="preserve">مسألة </w:t>
      </w:r>
      <w:r>
        <w:rPr/>
        <w:t>17</w:t>
      </w:r>
      <w:r>
        <w:rPr>
          <w:rtl w:val="true"/>
        </w:rPr>
        <w:t xml:space="preserve">): </w:t>
      </w:r>
      <w:r>
        <w:rPr>
          <w:rtl w:val="true"/>
        </w:rPr>
        <w:t>إذا کان نخل أو شجر أو زرع بین اثنین مثلًا بالمناصفة</w:t>
      </w:r>
      <w:r>
        <w:rPr>
          <w:rtl w:val="true"/>
        </w:rPr>
        <w:t>]</w:t>
      </w:r>
      <w:bookmarkEnd w:id="4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نخل أو شجر أو زرع بین اثنین مثلًا بالمناصفة یجوز أن یتقبّل أحد الشریکین حصّة صاحبه بخرص معلوم؛ بأن یخرص المجموع بمقدار فیتقبّل أن یکون المجموع له، و یدفع لصاحبه من الثمرة نصف المجموع بحسب خرصه؛ زاد أو نقص، و یرضی به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هذه معاملة خاصّة برأسها، کما أنّ الظاهر أنّه لیس لها صیغة خاصّة، فیکفی کلّ لفظ یکون ظاهراً فی المقصود بحسب متفاهم العرف</w:t>
      </w:r>
      <w:r>
        <w:rPr>
          <w:rFonts w:eastAsia="IRNazanin" w:cs="IRNazanin"/>
          <w:color w:val="111111"/>
          <w:sz w:val="28"/>
          <w:szCs w:val="28"/>
          <w:rtl w:val="true"/>
          <w:lang w:bidi="fa-IR"/>
        </w:rPr>
        <w:t>.</w:t>
      </w:r>
    </w:p>
    <w:p>
      <w:pPr>
        <w:pStyle w:val="Heading4"/>
        <w:numPr>
          <w:ilvl w:val="3"/>
          <w:numId w:val="1"/>
        </w:numPr>
        <w:rPr/>
      </w:pPr>
      <w:bookmarkStart w:id="4101" w:name="__RefHeading___Toc2568716_3650668749"/>
      <w:bookmarkStart w:id="4102" w:name="_Toc1867"/>
      <w:bookmarkEnd w:id="4101"/>
      <w:r>
        <w:rPr>
          <w:rtl w:val="true"/>
        </w:rPr>
        <w:t>[ (</w:t>
      </w:r>
      <w:r>
        <w:rPr>
          <w:rtl w:val="true"/>
        </w:rPr>
        <w:t xml:space="preserve">مسألة </w:t>
      </w:r>
      <w:r>
        <w:rPr/>
        <w:t>18</w:t>
      </w:r>
      <w:r>
        <w:rPr>
          <w:rtl w:val="true"/>
        </w:rPr>
        <w:t xml:space="preserve">): </w:t>
      </w:r>
      <w:r>
        <w:rPr>
          <w:rtl w:val="true"/>
        </w:rPr>
        <w:t>من مرّ بثمرة نخل أو شجر أو زرع‌مارّاً مجتازاً لا قاصداً إلیها لأجل الأکل</w:t>
      </w:r>
      <w:r>
        <w:rPr>
          <w:rtl w:val="true"/>
        </w:rPr>
        <w:t>]</w:t>
      </w:r>
      <w:bookmarkEnd w:id="410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 بثمرة نخل أو شجر أو زرع </w:t>
      </w:r>
      <w:r>
        <w:rPr>
          <w:rStyle w:val="FootnoteAnchor"/>
          <w:rtl w:val="true"/>
        </w:rPr>
        <w:footnoteReference w:id="1154"/>
      </w:r>
      <w:r>
        <w:rPr>
          <w:rFonts w:ascii="IRNazanin" w:hAnsi="IRNazanin" w:eastAsia="IRNazanin"/>
          <w:color w:val="111111"/>
          <w:sz w:val="28"/>
          <w:sz w:val="28"/>
          <w:szCs w:val="28"/>
          <w:rtl w:val="true"/>
          <w:lang w:bidi="fa-IR"/>
        </w:rPr>
        <w:t>مارّاً مجتازاً لا قاصداً إلیها لأجل الأکل جاز له أن یأکل منها بمقدار شبعه و حاجته من دون أن یحمل منها شیئاً و من دون إفساد للأغصان أو إتلاف للثمار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عدم الفرق بین ما کان علی الشجر أو متساقطاً عنه، و الأحوط الاقتصار علیٰ ما إذا لم یعلم کراهة المالک</w:t>
      </w:r>
      <w:r>
        <w:rPr>
          <w:rFonts w:eastAsia="IRNazanin" w:cs="IRNazanin"/>
          <w:color w:val="111111"/>
          <w:sz w:val="28"/>
          <w:szCs w:val="28"/>
          <w:rtl w:val="true"/>
          <w:lang w:bidi="fa-IR"/>
        </w:rPr>
        <w:t>.</w:t>
      </w:r>
      <w:bookmarkStart w:id="4103" w:name="pg1809_19382"/>
    </w:p>
    <w:p>
      <w:pPr>
        <w:pStyle w:val="Heading3"/>
        <w:numPr>
          <w:ilvl w:val="2"/>
          <w:numId w:val="1"/>
        </w:numPr>
        <w:rPr/>
      </w:pPr>
      <w:bookmarkStart w:id="4104" w:name="__RefHeading___Toc2568718_3650668749"/>
      <w:bookmarkStart w:id="4105" w:name="_Toc1868"/>
      <w:bookmarkEnd w:id="4103"/>
      <w:bookmarkEnd w:id="4104"/>
      <w:r>
        <w:rPr>
          <w:rtl w:val="true"/>
        </w:rPr>
        <w:t>[</w:t>
      </w:r>
      <w:r>
        <w:rPr>
          <w:rtl w:val="true"/>
        </w:rPr>
        <w:t>القول فی بیع الحیوان ناطقة و صامته</w:t>
      </w:r>
      <w:r>
        <w:rPr>
          <w:rtl w:val="true"/>
        </w:rPr>
        <w:t>]</w:t>
      </w:r>
      <w:bookmarkEnd w:id="4105"/>
    </w:p>
    <w:p>
      <w:pPr>
        <w:pStyle w:val="Heading4"/>
        <w:numPr>
          <w:ilvl w:val="3"/>
          <w:numId w:val="1"/>
        </w:numPr>
        <w:rPr/>
      </w:pPr>
      <w:bookmarkStart w:id="4106" w:name="__RefHeading___Toc2568720_3650668749"/>
      <w:bookmarkStart w:id="4107" w:name="_Toc1869"/>
      <w:bookmarkEnd w:id="4106"/>
      <w:r>
        <w:rPr>
          <w:rtl w:val="true"/>
        </w:rPr>
        <w:t>اشارة</w:t>
      </w:r>
      <w:bookmarkEnd w:id="4107"/>
    </w:p>
    <w:p>
      <w:pPr>
        <w:pStyle w:val="BookText"/>
        <w:rPr/>
      </w:pPr>
      <w:r>
        <w:rPr>
          <w:rFonts w:ascii="IRNazanin" w:hAnsi="IRNazanin" w:eastAsia="IRNazanin"/>
          <w:color w:val="111111"/>
          <w:sz w:val="28"/>
          <w:sz w:val="28"/>
          <w:szCs w:val="28"/>
          <w:rtl w:val="true"/>
          <w:lang w:bidi="fa-IR"/>
        </w:rPr>
        <w:t>القول فی بیع الحیوان ناطقة و صامته</w:t>
      </w:r>
    </w:p>
    <w:p>
      <w:pPr>
        <w:pStyle w:val="Heading4"/>
        <w:numPr>
          <w:ilvl w:val="3"/>
          <w:numId w:val="1"/>
        </w:numPr>
        <w:rPr/>
      </w:pPr>
      <w:bookmarkStart w:id="4108" w:name="__RefHeading___Toc2568722_3650668749"/>
      <w:bookmarkStart w:id="4109" w:name="_Toc1870"/>
      <w:bookmarkEnd w:id="4108"/>
      <w:r>
        <w:rPr>
          <w:rtl w:val="true"/>
        </w:rPr>
        <w:t>[ (</w:t>
      </w:r>
      <w:r>
        <w:rPr>
          <w:rtl w:val="true"/>
        </w:rPr>
        <w:t xml:space="preserve">مسألة </w:t>
      </w:r>
      <w:r>
        <w:rPr/>
        <w:t>1</w:t>
      </w:r>
      <w:r>
        <w:rPr>
          <w:rtl w:val="true"/>
        </w:rPr>
        <w:t xml:space="preserve">): </w:t>
      </w:r>
      <w:r>
        <w:rPr>
          <w:rtl w:val="true"/>
        </w:rPr>
        <w:t>یجوز استرقاق الحربی؛ أعنی الکافر الأصلی إذا لم یکن معتصماً بعهد أو ذمام</w:t>
      </w:r>
      <w:r>
        <w:rPr>
          <w:rtl w:val="true"/>
        </w:rPr>
        <w:t>]</w:t>
      </w:r>
      <w:bookmarkEnd w:id="4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استرقاق الحربی؛ أعنی الکافر الأصلی إذا لم یکن معتصماً بعهد أو ذمام؛ سواء کان فی دار الحرب أو دار الإسلام، و سواء کان بالسرقة أو الغیلة أو القهر و الاغتنام، بل لو قهر الحربی حربیّا فباعه صحّ البیع، و إن کان أخاه أو زوجته بل و إن کان ممّن ینعتق علیه کبنته و ابنه و أبویه، علیٰ إشکال فی صحّة البیع و لحوق أحکامه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إشکال فی تملّک المشتری المسلم لمن اشتراه بهذا الشراء؛ و إن لم یکن شراء حقیقیّا بل کان استنقاذاً</w:t>
      </w:r>
      <w:r>
        <w:rPr>
          <w:rFonts w:eastAsia="IRNazanin" w:cs="IRNazanin"/>
          <w:color w:val="111111"/>
          <w:sz w:val="28"/>
          <w:szCs w:val="28"/>
          <w:rtl w:val="true"/>
          <w:lang w:bidi="fa-IR"/>
        </w:rPr>
        <w:t>.</w:t>
      </w:r>
    </w:p>
    <w:p>
      <w:pPr>
        <w:pStyle w:val="Heading4"/>
        <w:numPr>
          <w:ilvl w:val="3"/>
          <w:numId w:val="1"/>
        </w:numPr>
        <w:rPr/>
      </w:pPr>
      <w:bookmarkStart w:id="4110" w:name="__RefHeading___Toc2568724_3650668749"/>
      <w:bookmarkStart w:id="4111" w:name="_Toc1871"/>
      <w:bookmarkEnd w:id="4110"/>
      <w:r>
        <w:rPr>
          <w:rtl w:val="true"/>
        </w:rPr>
        <w:t>[ (</w:t>
      </w:r>
      <w:r>
        <w:rPr>
          <w:rtl w:val="true"/>
        </w:rPr>
        <w:t xml:space="preserve">مسألة </w:t>
      </w:r>
      <w:r>
        <w:rPr/>
        <w:t>2</w:t>
      </w:r>
      <w:r>
        <w:rPr>
          <w:rtl w:val="true"/>
        </w:rPr>
        <w:t xml:space="preserve">): </w:t>
      </w:r>
      <w:r>
        <w:rPr>
          <w:rtl w:val="true"/>
        </w:rPr>
        <w:t>یملک الرجل کلّ أحد عدا أحد عشر</w:t>
      </w:r>
      <w:r>
        <w:rPr>
          <w:rtl w:val="true"/>
        </w:rPr>
        <w:t xml:space="preserve">: </w:t>
      </w:r>
      <w:r>
        <w:rPr>
          <w:rtl w:val="true"/>
        </w:rPr>
        <w:t>الأب و الامّ و الأجداد و الجدّات و إن علوا</w:t>
      </w:r>
      <w:r>
        <w:rPr>
          <w:rtl w:val="true"/>
        </w:rPr>
        <w:t>]</w:t>
      </w:r>
      <w:bookmarkEnd w:id="4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الرجل کلّ أحد عدا 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و الامّ و الأجداد و الجدّات و إن علوا، و الأولاد و أولادهم ذکوراً و إناثاً و إن سفلوا، و الأخوات و العمّات </w:t>
      </w:r>
      <w:r>
        <w:rPr>
          <w:rStyle w:val="FootnoteAnchor"/>
          <w:rtl w:val="true"/>
        </w:rPr>
        <w:footnoteReference w:id="1155"/>
      </w:r>
      <w:r>
        <w:rPr>
          <w:rFonts w:ascii="IRNazanin" w:hAnsi="IRNazanin" w:eastAsia="IRNazanin"/>
          <w:color w:val="111111"/>
          <w:sz w:val="28"/>
          <w:sz w:val="28"/>
          <w:szCs w:val="28"/>
          <w:rtl w:val="true"/>
          <w:lang w:bidi="fa-IR"/>
        </w:rPr>
        <w:t>و الخالات و بنات الأخ و بنات الأُخت و إن سفلن نسباً و رضاعاً، و یملک من عدا هؤلاء من الأقارب حتّی الأخ و إن کان مکروهاً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المرأة کلّ أحد عدا الآباء </w:t>
      </w:r>
      <w:r>
        <w:rPr>
          <w:rStyle w:val="FootnoteAnchor"/>
          <w:rtl w:val="true"/>
        </w:rPr>
        <w:footnoteReference w:id="1156"/>
      </w:r>
      <w:r>
        <w:rPr>
          <w:rFonts w:ascii="IRNazanin" w:hAnsi="IRNazanin" w:eastAsia="IRNazanin"/>
          <w:color w:val="111111"/>
          <w:sz w:val="28"/>
          <w:sz w:val="28"/>
          <w:szCs w:val="28"/>
          <w:rtl w:val="true"/>
          <w:lang w:bidi="fa-IR"/>
        </w:rPr>
        <w:t>و إن علوا و الأولاد و إن نزلوا نسباً و رضاعاً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عدم ملک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استقراره، فلو ملک الرجل أو المرأة أحد هؤلاء بناقل اختیاری کالشراء، أو قهریّ کالموت انعتق علیهما فی الحال، و یملک کلّ من الزوجین صاحبه لکن یبطل النکاح</w:t>
      </w:r>
      <w:r>
        <w:rPr>
          <w:rFonts w:eastAsia="IRNazanin" w:cs="IRNazanin"/>
          <w:color w:val="111111"/>
          <w:sz w:val="28"/>
          <w:szCs w:val="28"/>
          <w:rtl w:val="true"/>
          <w:lang w:bidi="fa-IR"/>
        </w:rPr>
        <w:t>.</w:t>
      </w:r>
    </w:p>
    <w:p>
      <w:pPr>
        <w:pStyle w:val="Heading4"/>
        <w:numPr>
          <w:ilvl w:val="3"/>
          <w:numId w:val="1"/>
        </w:numPr>
        <w:rPr/>
      </w:pPr>
      <w:bookmarkStart w:id="4112" w:name="__RefHeading___Toc2568726_3650668749"/>
      <w:bookmarkStart w:id="4113" w:name="_Toc1872"/>
      <w:bookmarkEnd w:id="4112"/>
      <w:r>
        <w:rPr>
          <w:rtl w:val="true"/>
        </w:rPr>
        <w:t>[ (</w:t>
      </w:r>
      <w:r>
        <w:rPr>
          <w:rtl w:val="true"/>
        </w:rPr>
        <w:t xml:space="preserve">مسألة </w:t>
      </w:r>
      <w:r>
        <w:rPr/>
        <w:t>3</w:t>
      </w:r>
      <w:r>
        <w:rPr>
          <w:rtl w:val="true"/>
        </w:rPr>
        <w:t xml:space="preserve">): </w:t>
      </w:r>
      <w:r>
        <w:rPr>
          <w:rtl w:val="true"/>
        </w:rPr>
        <w:t>الکافر لا یملک المسلم ابتداءً</w:t>
      </w:r>
      <w:r>
        <w:rPr>
          <w:rtl w:val="true"/>
        </w:rPr>
        <w:t>]</w:t>
      </w:r>
      <w:bookmarkEnd w:id="4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الکافر لا یملک المسلم ابتداءً </w:t>
      </w:r>
      <w:r>
        <w:rPr>
          <w:rStyle w:val="FootnoteAnchor"/>
          <w:rtl w:val="true"/>
        </w:rPr>
        <w:footnoteReference w:id="1157"/>
      </w:r>
      <w:r>
        <w:rPr>
          <w:rFonts w:ascii="IRNazanin" w:hAnsi="IRNazanin" w:eastAsia="IRNazanin"/>
          <w:color w:val="111111"/>
          <w:sz w:val="28"/>
          <w:sz w:val="28"/>
          <w:szCs w:val="28"/>
          <w:rtl w:val="true"/>
          <w:lang w:bidi="fa-IR"/>
        </w:rPr>
        <w:t>، و لو کان له مملوک کافر فأسلم المملوک اجبر علیٰ بیعه من مسلم و لمولاه ثمنه</w:t>
      </w:r>
      <w:r>
        <w:rPr>
          <w:rFonts w:eastAsia="IRNazanin" w:cs="IRNazanin"/>
          <w:color w:val="111111"/>
          <w:sz w:val="28"/>
          <w:szCs w:val="28"/>
          <w:rtl w:val="true"/>
          <w:lang w:bidi="fa-IR"/>
        </w:rPr>
        <w:t>.</w:t>
      </w:r>
    </w:p>
    <w:p>
      <w:pPr>
        <w:pStyle w:val="Heading4"/>
        <w:numPr>
          <w:ilvl w:val="3"/>
          <w:numId w:val="1"/>
        </w:numPr>
        <w:rPr/>
      </w:pPr>
      <w:bookmarkStart w:id="4114" w:name="__RefHeading___Toc2568728_3650668749"/>
      <w:bookmarkStart w:id="4115" w:name="_Toc1873"/>
      <w:bookmarkEnd w:id="4114"/>
      <w:r>
        <w:rPr>
          <w:rtl w:val="true"/>
        </w:rPr>
        <w:t>[ (</w:t>
      </w:r>
      <w:r>
        <w:rPr>
          <w:rtl w:val="true"/>
        </w:rPr>
        <w:t xml:space="preserve">مسألة </w:t>
      </w:r>
      <w:r>
        <w:rPr/>
        <w:t>4</w:t>
      </w:r>
      <w:r>
        <w:rPr>
          <w:rtl w:val="true"/>
        </w:rPr>
        <w:t xml:space="preserve">): </w:t>
      </w:r>
      <w:r>
        <w:rPr>
          <w:rtl w:val="true"/>
        </w:rPr>
        <w:t>کلّ من أقرّ علیٰ نفسه بالعبودیّة حکم علیه بها مع شرائط الإقرار</w:t>
      </w:r>
      <w:r>
        <w:rPr>
          <w:rtl w:val="true"/>
        </w:rPr>
        <w:t>]</w:t>
      </w:r>
      <w:bookmarkEnd w:id="4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أقرّ علیٰ نفسه بالعبودیّة حکم علیه بها مع شرائط الإقرار؛ من البلوغ و العقل و الاختیار و عدم کونه مشهوراً بالحرّیة، و لا یلتفت إلیٰ رجوعه عن إقراره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6" w:name="__RefHeading___Toc2568730_3650668749"/>
      <w:bookmarkStart w:id="4117" w:name="_Toc1874"/>
      <w:bookmarkEnd w:id="4116"/>
      <w:r>
        <w:rPr>
          <w:rtl w:val="true"/>
        </w:rPr>
        <w:t>[ (</w:t>
      </w:r>
      <w:r>
        <w:rPr>
          <w:rtl w:val="true"/>
        </w:rPr>
        <w:t xml:space="preserve">مسألة </w:t>
      </w:r>
      <w:r>
        <w:rPr/>
        <w:t>5</w:t>
      </w:r>
      <w:r>
        <w:rPr>
          <w:rtl w:val="true"/>
        </w:rPr>
        <w:t xml:space="preserve">): </w:t>
      </w:r>
      <w:r>
        <w:rPr>
          <w:rtl w:val="true"/>
        </w:rPr>
        <w:t>لو اشتریٰ عبداً فادّعی الحرّیة لم یقبل قوله إلّا بالبیّنة</w:t>
      </w:r>
      <w:r>
        <w:rPr>
          <w:rtl w:val="true"/>
        </w:rPr>
        <w:t>]</w:t>
      </w:r>
      <w:bookmarkEnd w:id="4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اشتریٰ عبداً فادّعی الحرّیة لم یقبل قوله إلّا بالبیّنة</w:t>
      </w:r>
      <w:r>
        <w:rPr>
          <w:rFonts w:eastAsia="Amiri" w:cs="Amiri" w:ascii="Amiri" w:hAnsi="Amiri"/>
          <w:color w:val="111111"/>
          <w:sz w:val="28"/>
          <w:szCs w:val="28"/>
          <w:rtl w:val="true"/>
          <w:lang w:bidi="ar-SA"/>
        </w:rPr>
        <w:t>.</w:t>
      </w:r>
    </w:p>
    <w:p>
      <w:pPr>
        <w:pStyle w:val="Heading4"/>
        <w:numPr>
          <w:ilvl w:val="3"/>
          <w:numId w:val="1"/>
        </w:numPr>
        <w:rPr/>
      </w:pPr>
      <w:bookmarkStart w:id="4118" w:name="__RefHeading___Toc2568732_3650668749"/>
      <w:bookmarkStart w:id="4119" w:name="_Toc1875"/>
      <w:bookmarkEnd w:id="4118"/>
      <w:r>
        <w:rPr>
          <w:rtl w:val="true"/>
        </w:rPr>
        <w:t>[ (</w:t>
      </w:r>
      <w:r>
        <w:rPr>
          <w:rtl w:val="true"/>
        </w:rPr>
        <w:t xml:space="preserve">مسألة </w:t>
      </w:r>
      <w:r>
        <w:rPr/>
        <w:t>6</w:t>
      </w:r>
      <w:r>
        <w:rPr>
          <w:rtl w:val="true"/>
        </w:rPr>
        <w:t xml:space="preserve">): </w:t>
      </w:r>
      <w:r>
        <w:rPr>
          <w:rtl w:val="true"/>
        </w:rPr>
        <w:t>إذا أراد مالک الجاریة أن یبیعها و قد وطئها یجب علیه أن یستبرئها</w:t>
      </w:r>
      <w:r>
        <w:rPr>
          <w:rtl w:val="true"/>
        </w:rPr>
        <w:t>]</w:t>
      </w:r>
      <w:bookmarkEnd w:id="411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مالک الجاریة أن یبیعها و قد وطئها یجب علیه أن یستبرئها قبل</w:t>
      </w:r>
      <w:bookmarkStart w:id="4120" w:name="pg1809_19383"/>
    </w:p>
    <w:p>
      <w:pPr>
        <w:pStyle w:val="BookText"/>
        <w:rPr/>
      </w:pPr>
      <w:bookmarkEnd w:id="4120"/>
      <w:r>
        <w:rPr>
          <w:rFonts w:ascii="IRNazanin" w:hAnsi="IRNazanin" w:eastAsia="IRNazanin"/>
          <w:color w:val="111111"/>
          <w:sz w:val="28"/>
          <w:sz w:val="28"/>
          <w:szCs w:val="28"/>
          <w:rtl w:val="true"/>
          <w:lang w:bidi="fa-IR"/>
        </w:rPr>
        <w:t xml:space="preserve">بیعها بحیضة إن کانت تحیض، و بخمسة و أربعین یوماً إن کانت لا تحیض و هی فی سنّ من تحیض؛ بأن کان بیعها بعد انقضاء هذه المدّة من زمن وطئها، و إذا لم یستبرئها البائع و باعها صحّ البیع، لکن یجب علی المشتری الاستبراء المزبور؛ بأن لا یطأها إلّا بعد حیضة أو انقضاء تلک المدّة، بل لو لم یعلم أنّ البائع قد وطئها أو استبرأها بعد وطئها یجب علیه استبراؤها، نعم لو علم، أو أخبره ثقة أنّه قد استبرأها البائع أو أنّه لم یطأها لم یجب علیه الاستبراء، کما أنّه لا یجب لا علی البائع و لا علی المشتری لو کان البائع امرأة، أو کانت الجاریة صغیرة </w:t>
      </w:r>
      <w:r>
        <w:rPr>
          <w:rStyle w:val="FootnoteAnchor"/>
          <w:rtl w:val="true"/>
        </w:rPr>
        <w:footnoteReference w:id="1159"/>
      </w:r>
      <w:r>
        <w:rPr>
          <w:rFonts w:ascii="IRNazanin" w:hAnsi="IRNazanin" w:eastAsia="IRNazanin"/>
          <w:color w:val="111111"/>
          <w:sz w:val="28"/>
          <w:sz w:val="28"/>
          <w:szCs w:val="28"/>
          <w:rtl w:val="true"/>
          <w:lang w:bidi="fa-IR"/>
        </w:rPr>
        <w:t>أو یائسة</w:t>
      </w:r>
      <w:r>
        <w:rPr>
          <w:rFonts w:eastAsia="IRNazanin" w:cs="IRNazanin"/>
          <w:color w:val="111111"/>
          <w:sz w:val="28"/>
          <w:szCs w:val="28"/>
          <w:rtl w:val="true"/>
          <w:lang w:bidi="fa-IR"/>
        </w:rPr>
        <w:t>.</w:t>
      </w:r>
    </w:p>
    <w:p>
      <w:pPr>
        <w:pStyle w:val="Heading4"/>
        <w:numPr>
          <w:ilvl w:val="3"/>
          <w:numId w:val="1"/>
        </w:numPr>
        <w:rPr/>
      </w:pPr>
      <w:bookmarkStart w:id="4121" w:name="__RefHeading___Toc2568734_3650668749"/>
      <w:bookmarkStart w:id="4122" w:name="_Toc1876"/>
      <w:bookmarkEnd w:id="4121"/>
      <w:r>
        <w:rPr>
          <w:rtl w:val="true"/>
        </w:rPr>
        <w:t>[ (</w:t>
      </w:r>
      <w:r>
        <w:rPr>
          <w:rtl w:val="true"/>
        </w:rPr>
        <w:t xml:space="preserve">مسألة </w:t>
      </w:r>
      <w:r>
        <w:rPr/>
        <w:t>7</w:t>
      </w:r>
      <w:r>
        <w:rPr>
          <w:rtl w:val="true"/>
        </w:rPr>
        <w:t xml:space="preserve">): </w:t>
      </w:r>
      <w:r>
        <w:rPr>
          <w:rtl w:val="true"/>
        </w:rPr>
        <w:t>لا یختصّ وجوب الاستبراء بالبیع و الشراء</w:t>
      </w:r>
      <w:r>
        <w:rPr>
          <w:rtl w:val="true"/>
        </w:rPr>
        <w:t>]</w:t>
      </w:r>
      <w:bookmarkEnd w:id="4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وجوب الاستبراء بالبیع و الشراء، بل کلّ من ملک أمة بوجه من وجوه التملّک وجب علیه قبل وطئها الاستبراء، حتّی لو ملکها بالإرث أو الاسترقاق إذا لم تستبرئ قبل ذلک، و کذا لا یختصّ بالبائع، بل یعمّ کلّ ناقل لها بمثل الصلح و الهبة و غیرهما، فیجب علیهم الاستبراء المزبور بالشروط المتقدّمة قبل إیجاد السبب المملّک</w:t>
      </w:r>
      <w:r>
        <w:rPr>
          <w:rFonts w:eastAsia="IRNazanin" w:cs="IRNazanin"/>
          <w:color w:val="111111"/>
          <w:sz w:val="28"/>
          <w:szCs w:val="28"/>
          <w:rtl w:val="true"/>
          <w:lang w:bidi="fa-IR"/>
        </w:rPr>
        <w:t>.</w:t>
      </w:r>
    </w:p>
    <w:p>
      <w:pPr>
        <w:pStyle w:val="Heading4"/>
        <w:numPr>
          <w:ilvl w:val="3"/>
          <w:numId w:val="1"/>
        </w:numPr>
        <w:rPr/>
      </w:pPr>
      <w:bookmarkStart w:id="4123" w:name="__RefHeading___Toc2568736_3650668749"/>
      <w:bookmarkStart w:id="4124" w:name="_Toc1877"/>
      <w:bookmarkEnd w:id="4123"/>
      <w:r>
        <w:rPr>
          <w:rtl w:val="true"/>
        </w:rPr>
        <w:t>[ (</w:t>
      </w:r>
      <w:r>
        <w:rPr>
          <w:rtl w:val="true"/>
        </w:rPr>
        <w:t xml:space="preserve">مسألة </w:t>
      </w:r>
      <w:r>
        <w:rPr/>
        <w:t>8</w:t>
      </w:r>
      <w:r>
        <w:rPr>
          <w:rtl w:val="true"/>
        </w:rPr>
        <w:t xml:space="preserve">): </w:t>
      </w:r>
      <w:r>
        <w:rPr>
          <w:rtl w:val="true"/>
        </w:rPr>
        <w:t>إذا باع جاریة حبلیٰ لم یجب علی البائع استبراؤها</w:t>
      </w:r>
      <w:r>
        <w:rPr>
          <w:rtl w:val="true"/>
        </w:rPr>
        <w:t>]</w:t>
      </w:r>
      <w:bookmarkEnd w:id="4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باع جاریة حبلیٰ لم یجب علی البائع استبراؤها، نعم یجب علی المشتری بل کلّ من ملکها بوجه من وجوه التملّک ترک وطئها قبل أن ینقضی لحملها أربعة أشهر و عشرة أیّام، و یکره </w:t>
      </w:r>
      <w:r>
        <w:rPr>
          <w:rStyle w:val="FootnoteAnchor"/>
          <w:rtl w:val="true"/>
        </w:rPr>
        <w:footnoteReference w:id="1160"/>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p>
    <w:p>
      <w:pPr>
        <w:pStyle w:val="Heading4"/>
        <w:numPr>
          <w:ilvl w:val="3"/>
          <w:numId w:val="1"/>
        </w:numPr>
        <w:rPr/>
      </w:pPr>
      <w:bookmarkStart w:id="4125" w:name="__RefHeading___Toc2568738_3650668749"/>
      <w:bookmarkStart w:id="4126" w:name="_Toc1878"/>
      <w:bookmarkEnd w:id="4125"/>
      <w:r>
        <w:rPr>
          <w:rtl w:val="true"/>
        </w:rPr>
        <w:t>[ (</w:t>
      </w:r>
      <w:r>
        <w:rPr>
          <w:rtl w:val="true"/>
        </w:rPr>
        <w:t xml:space="preserve">مسألة </w:t>
      </w:r>
      <w:r>
        <w:rPr/>
        <w:t>9</w:t>
      </w:r>
      <w:r>
        <w:rPr>
          <w:rtl w:val="true"/>
        </w:rPr>
        <w:t xml:space="preserve">): </w:t>
      </w:r>
      <w:r>
        <w:rPr>
          <w:rtl w:val="true"/>
        </w:rPr>
        <w:t>الأقویٰ أنّ العبد یملک و إن کان محجوراً علیه لا ینفذ تصرّفاته فیما ملکه بدون إذن مولاه</w:t>
      </w:r>
      <w:r>
        <w:rPr>
          <w:rtl w:val="true"/>
        </w:rPr>
        <w:t>]</w:t>
      </w:r>
      <w:bookmarkEnd w:id="4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أنّ العبد یملک و إن کان محجوراً علیه لا ینفذ تصرّفاته فیما ملکه بدون إذن مولاه، و للمولی السلطنة التامّة علیٰ ما ملکه، حتّی أنّ له أن ینتزعه </w:t>
      </w:r>
      <w:r>
        <w:rPr>
          <w:rStyle w:val="FootnoteAnchor"/>
          <w:rtl w:val="true"/>
        </w:rPr>
        <w:footnoteReference w:id="1161"/>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ملّکه مولاه شیئاً ملکه، و کذا ما حاز لنفسه من المباحات بإذن مولاه أو اشتریٰ فی الذمّة بإذنه ملکه و إن لم یکن ملکاً تامّاً</w:t>
      </w:r>
      <w:r>
        <w:rPr>
          <w:rFonts w:eastAsia="IRNazanin" w:cs="IRNazanin"/>
          <w:color w:val="111111"/>
          <w:sz w:val="28"/>
          <w:szCs w:val="28"/>
          <w:rtl w:val="true"/>
          <w:lang w:bidi="fa-IR"/>
        </w:rPr>
        <w:t>.</w:t>
      </w:r>
    </w:p>
    <w:p>
      <w:pPr>
        <w:pStyle w:val="Heading4"/>
        <w:numPr>
          <w:ilvl w:val="3"/>
          <w:numId w:val="1"/>
        </w:numPr>
        <w:rPr/>
      </w:pPr>
      <w:bookmarkStart w:id="4127" w:name="__RefHeading___Toc2568740_3650668749"/>
      <w:bookmarkStart w:id="4128" w:name="_Toc1879"/>
      <w:bookmarkEnd w:id="4127"/>
      <w:r>
        <w:rPr>
          <w:rtl w:val="true"/>
        </w:rPr>
        <w:t>[ (</w:t>
      </w:r>
      <w:r>
        <w:rPr>
          <w:rtl w:val="true"/>
        </w:rPr>
        <w:t xml:space="preserve">مسألة </w:t>
      </w:r>
      <w:r>
        <w:rPr/>
        <w:t>10</w:t>
      </w:r>
      <w:r>
        <w:rPr>
          <w:rtl w:val="true"/>
        </w:rPr>
        <w:t xml:space="preserve">): </w:t>
      </w:r>
      <w:r>
        <w:rPr>
          <w:rtl w:val="true"/>
        </w:rPr>
        <w:t>کلّ حیوان مملوک کما یجوز بیع جمیعه یجوز بیع بعضه المشاع کالنصف و الربع</w:t>
      </w:r>
      <w:r>
        <w:rPr>
          <w:rtl w:val="true"/>
        </w:rPr>
        <w:t>]</w:t>
      </w:r>
      <w:bookmarkEnd w:id="412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حیوان مملوک کما یجوز بیع جمیعه یجوز بیع بعضه المشاع کالنصف و الربع، و أمّا جزؤه المعیّن کرأسه و جلده أو یده و رجله، أو نصفه الذی فیه رأسه مثلًا فإن کان ممّا لا یؤکل </w:t>
      </w:r>
      <w:r>
        <w:rPr>
          <w:rStyle w:val="FootnoteAnchor"/>
          <w:rtl w:val="true"/>
        </w:rPr>
        <w:footnoteReference w:id="1162"/>
      </w:r>
      <w:r>
        <w:rPr>
          <w:rFonts w:ascii="IRNazanin" w:hAnsi="IRNazanin" w:eastAsia="IRNazanin"/>
          <w:color w:val="111111"/>
          <w:sz w:val="28"/>
          <w:sz w:val="28"/>
          <w:szCs w:val="28"/>
          <w:rtl w:val="true"/>
          <w:lang w:bidi="fa-IR"/>
        </w:rPr>
        <w:t>لحمه أو لم یکن المقصود منه اللحم بل الرکوب و الحمل و إدارة</w:t>
      </w:r>
      <w:bookmarkStart w:id="4129" w:name="pg1809_19384"/>
    </w:p>
    <w:p>
      <w:pPr>
        <w:pStyle w:val="BookText"/>
        <w:rPr/>
      </w:pPr>
      <w:bookmarkEnd w:id="4129"/>
      <w:r>
        <w:rPr>
          <w:rFonts w:ascii="IRNazanin" w:hAnsi="IRNazanin" w:eastAsia="IRNazanin"/>
          <w:color w:val="111111"/>
          <w:sz w:val="28"/>
          <w:sz w:val="28"/>
          <w:szCs w:val="28"/>
          <w:rtl w:val="true"/>
          <w:lang w:bidi="fa-IR"/>
        </w:rPr>
        <w:t>الرحی و نحو ذلک لم یجز بیعه قطعاً، و أمّا إذا کان المقصود منه الذبح مثل ما یشتریه القصّابون و یباع منهم فالظاهر أنّه یصحّ بیعه، فإن ذبحه یکون للمشتری ما اشتراه و إن باعه و لم یذبحه یکون المشتری شریکاً فی الثمن بنسبة ماله؛ بأن ینسب قیمة الرأس و الجلد مثلًا علیٰ تقدیر الذبح إلیٰ قیمة البقیّة فله من الثمن بتلک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فیما لو باع حیواناً قصد به اللحم و استثنی الرأس و الجلد، أو اشترک اثنان أو جماعة و شرط أحدهم لنفسه الرأس و الجلد أو الرأس و القوائم مثلًا أو اشتریٰ شخص حیواناً ثمّ شرّک غیره معه فی الرأس و الجلد مثلًا کما إذا اشتریٰ شاة بعشرة دراهم ثمّ شرک فیها رجلًا بدرهمین بالرأس و الجلد فیصحّ فی الجمیع فیما یراد ذبحه، فإذا ذبح یستحقّ العین و إلّا کان شریکاً بالنسبة کما عرفت</w:t>
      </w:r>
      <w:r>
        <w:rPr>
          <w:rFonts w:eastAsia="IRNazanin" w:cs="IRNazanin"/>
          <w:color w:val="111111"/>
          <w:sz w:val="28"/>
          <w:szCs w:val="28"/>
          <w:rtl w:val="true"/>
          <w:lang w:bidi="fa-IR"/>
        </w:rPr>
        <w:t>.</w:t>
      </w:r>
    </w:p>
    <w:p>
      <w:pPr>
        <w:pStyle w:val="Heading4"/>
        <w:numPr>
          <w:ilvl w:val="3"/>
          <w:numId w:val="1"/>
        </w:numPr>
        <w:rPr/>
      </w:pPr>
      <w:bookmarkStart w:id="4130" w:name="__RefHeading___Toc2568742_3650668749"/>
      <w:bookmarkStart w:id="4131" w:name="_Toc1880"/>
      <w:bookmarkEnd w:id="4130"/>
      <w:r>
        <w:rPr>
          <w:rtl w:val="true"/>
        </w:rPr>
        <w:t>[ (</w:t>
      </w:r>
      <w:r>
        <w:rPr>
          <w:rtl w:val="true"/>
        </w:rPr>
        <w:t xml:space="preserve">مسألة </w:t>
      </w:r>
      <w:r>
        <w:rPr/>
        <w:t>11</w:t>
      </w:r>
      <w:r>
        <w:rPr>
          <w:rtl w:val="true"/>
        </w:rPr>
        <w:t xml:space="preserve">): </w:t>
      </w:r>
      <w:r>
        <w:rPr>
          <w:rtl w:val="true"/>
        </w:rPr>
        <w:t>لو قال شخص لآخر</w:t>
      </w:r>
      <w:r>
        <w:rPr>
          <w:rtl w:val="true"/>
        </w:rPr>
        <w:t xml:space="preserve">: </w:t>
      </w:r>
      <w:r>
        <w:rPr>
          <w:rtl w:val="true"/>
        </w:rPr>
        <w:t>اشتر حیواناً مثلًا بشرکتی</w:t>
      </w:r>
      <w:r>
        <w:rPr>
          <w:rtl w:val="true"/>
        </w:rPr>
        <w:t>]</w:t>
      </w:r>
      <w:bookmarkEnd w:id="4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شخص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حیواناً مثلًا بشرکتی، کان ذلک منه توکیلًا له فی الشراء، فلو اشتراه حسب استدعاء الآمر کان المبیع بینهما نصفین و علیٰ کلّ منهما دفع نصف الثمن، إلّا إذا صرّح بکون الشرکة علیٰ نحو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دفع المأمور عن الآمر ما علیه من الثمن لیس له الرجوع إلیه ما لم یکن قرینة تقتضی أنّ المقصود الشراء له و الدفع عنه ما علیه من الثمن، کالشراء من مکان بعید لا یدفع المبیع حتّی یدفع الثمن، فحینئذٍ یرجع إلی الآمر بما دفع عنه</w:t>
      </w:r>
      <w:r>
        <w:rPr>
          <w:rFonts w:eastAsia="IRNazanin" w:cs="IRNazanin"/>
          <w:color w:val="111111"/>
          <w:sz w:val="28"/>
          <w:szCs w:val="28"/>
          <w:rtl w:val="true"/>
          <w:lang w:bidi="fa-IR"/>
        </w:rPr>
        <w:t>.</w:t>
      </w:r>
    </w:p>
    <w:p>
      <w:pPr>
        <w:pStyle w:val="Heading3"/>
        <w:numPr>
          <w:ilvl w:val="2"/>
          <w:numId w:val="1"/>
        </w:numPr>
        <w:rPr/>
      </w:pPr>
      <w:bookmarkStart w:id="4132" w:name="__RefHeading___Toc2568744_3650668749"/>
      <w:bookmarkStart w:id="4133" w:name="_Toc1881"/>
      <w:bookmarkEnd w:id="4132"/>
      <w:r>
        <w:rPr>
          <w:rtl w:val="true"/>
        </w:rPr>
        <w:t>[</w:t>
      </w:r>
      <w:r>
        <w:rPr>
          <w:rtl w:val="true"/>
        </w:rPr>
        <w:t>القول فی الإقالة</w:t>
      </w:r>
      <w:r>
        <w:rPr>
          <w:rtl w:val="true"/>
        </w:rPr>
        <w:t>]</w:t>
      </w:r>
      <w:bookmarkEnd w:id="4133"/>
    </w:p>
    <w:p>
      <w:pPr>
        <w:pStyle w:val="Heading4"/>
        <w:numPr>
          <w:ilvl w:val="3"/>
          <w:numId w:val="1"/>
        </w:numPr>
        <w:rPr/>
      </w:pPr>
      <w:bookmarkStart w:id="4134" w:name="__RefHeading___Toc2568746_3650668749"/>
      <w:bookmarkStart w:id="4135" w:name="_Toc1882"/>
      <w:bookmarkEnd w:id="4134"/>
      <w:r>
        <w:rPr>
          <w:rtl w:val="true"/>
        </w:rPr>
        <w:t>اشارة</w:t>
      </w:r>
      <w:bookmarkEnd w:id="4135"/>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فی الإقالة و حقیقتها فسخ العقد من الطرفین، و هی جاریة فی تمام العقود سوی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قیام وارث المتعاقدین مقامهما إشکال </w:t>
      </w:r>
      <w:r>
        <w:rPr>
          <w:rStyle w:val="FootnoteAnchor"/>
          <w:rtl w:val="true"/>
        </w:rPr>
        <w:footnoteReference w:id="1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تقع بکلّ لفظ أفاد المعنی المقصود عند أهل المحاورة کأن یقول المتعاقدان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یقول أحدهما للآخر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الآخر، بل الظاهر کفایة التماس أحدهما مع إقالة الآخر، و لا یعتبر فیها العربیّة بل تقع بکلّ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وقوعها بالمعاطاة بأن یردّ کلّ منهما ما انتقل إلیه إلیٰ صاحبه بعنوان الفسخ</w:t>
      </w:r>
      <w:r>
        <w:rPr>
          <w:rFonts w:eastAsia="IRNazanin" w:cs="IRNazanin"/>
          <w:color w:val="111111"/>
          <w:sz w:val="28"/>
          <w:szCs w:val="28"/>
          <w:rtl w:val="true"/>
          <w:lang w:bidi="fa-IR"/>
        </w:rPr>
        <w:t>.</w:t>
      </w:r>
      <w:bookmarkStart w:id="4136" w:name="pg1809_19385"/>
    </w:p>
    <w:p>
      <w:pPr>
        <w:pStyle w:val="Heading4"/>
        <w:numPr>
          <w:ilvl w:val="3"/>
          <w:numId w:val="1"/>
        </w:numPr>
        <w:rPr/>
      </w:pPr>
      <w:bookmarkStart w:id="4137" w:name="__RefHeading___Toc2568748_3650668749"/>
      <w:bookmarkStart w:id="4138" w:name="_Toc1883"/>
      <w:bookmarkEnd w:id="4136"/>
      <w:bookmarkEnd w:id="4137"/>
      <w:r>
        <w:rPr>
          <w:rtl w:val="true"/>
        </w:rPr>
        <w:t>[ (</w:t>
      </w:r>
      <w:r>
        <w:rPr>
          <w:rtl w:val="true"/>
        </w:rPr>
        <w:t xml:space="preserve">مسألة </w:t>
      </w:r>
      <w:r>
        <w:rPr/>
        <w:t>1</w:t>
      </w:r>
      <w:r>
        <w:rPr>
          <w:rtl w:val="true"/>
        </w:rPr>
        <w:t xml:space="preserve">): </w:t>
      </w:r>
      <w:r>
        <w:rPr>
          <w:rtl w:val="true"/>
        </w:rPr>
        <w:t>لا یجوز الإقالة بزیادة عن الثمن و لا نقصان</w:t>
      </w:r>
      <w:r>
        <w:rPr>
          <w:rtl w:val="true"/>
        </w:rPr>
        <w:t>]</w:t>
      </w:r>
      <w:bookmarkEnd w:id="4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الإقالة بزیادة عن الثمن و لا نقصان، فلو أقال المشتری بزیادة عن الثمن الذی اشتریٰ به أو البائع بوضیعة بطلت الإقالة و بقی العوضان علیٰ ملک صاحبهما</w:t>
      </w:r>
      <w:r>
        <w:rPr>
          <w:rFonts w:eastAsia="IRNazanin" w:cs="IRNazanin"/>
          <w:color w:val="111111"/>
          <w:sz w:val="28"/>
          <w:szCs w:val="28"/>
          <w:rtl w:val="true"/>
          <w:lang w:bidi="fa-IR"/>
        </w:rPr>
        <w:t>.</w:t>
      </w:r>
    </w:p>
    <w:p>
      <w:pPr>
        <w:pStyle w:val="Heading4"/>
        <w:numPr>
          <w:ilvl w:val="3"/>
          <w:numId w:val="1"/>
        </w:numPr>
        <w:rPr/>
      </w:pPr>
      <w:bookmarkStart w:id="4139" w:name="__RefHeading___Toc2568750_3650668749"/>
      <w:bookmarkStart w:id="4140" w:name="_Toc1884"/>
      <w:bookmarkEnd w:id="4139"/>
      <w:r>
        <w:rPr>
          <w:rtl w:val="true"/>
        </w:rPr>
        <w:t>[ (</w:t>
      </w:r>
      <w:r>
        <w:rPr>
          <w:rtl w:val="true"/>
        </w:rPr>
        <w:t xml:space="preserve">مسألة </w:t>
      </w:r>
      <w:r>
        <w:rPr/>
        <w:t>2</w:t>
      </w:r>
      <w:r>
        <w:rPr>
          <w:rtl w:val="true"/>
        </w:rPr>
        <w:t xml:space="preserve">): </w:t>
      </w:r>
      <w:r>
        <w:rPr>
          <w:rtl w:val="true"/>
        </w:rPr>
        <w:t>لا یجری فی الإقالة الفسخ و الإقالة</w:t>
      </w:r>
      <w:r>
        <w:rPr>
          <w:rtl w:val="true"/>
        </w:rPr>
        <w:t>]</w:t>
      </w:r>
      <w:bookmarkEnd w:id="4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فی الإقالة الفسخ و الإقالة</w:t>
      </w:r>
      <w:r>
        <w:rPr>
          <w:rFonts w:eastAsia="IRNazanin" w:cs="IRNazanin"/>
          <w:color w:val="111111"/>
          <w:sz w:val="28"/>
          <w:szCs w:val="28"/>
          <w:rtl w:val="true"/>
          <w:lang w:bidi="fa-IR"/>
        </w:rPr>
        <w:t>.</w:t>
      </w:r>
    </w:p>
    <w:p>
      <w:pPr>
        <w:pStyle w:val="Heading4"/>
        <w:numPr>
          <w:ilvl w:val="3"/>
          <w:numId w:val="1"/>
        </w:numPr>
        <w:rPr/>
      </w:pPr>
      <w:bookmarkStart w:id="4141" w:name="__RefHeading___Toc2568752_3650668749"/>
      <w:bookmarkStart w:id="4142" w:name="_Toc1885"/>
      <w:bookmarkEnd w:id="4141"/>
      <w:r>
        <w:rPr>
          <w:rtl w:val="true"/>
        </w:rPr>
        <w:t>[ (</w:t>
      </w:r>
      <w:r>
        <w:rPr>
          <w:rtl w:val="true"/>
        </w:rPr>
        <w:t xml:space="preserve">مسألة </w:t>
      </w:r>
      <w:r>
        <w:rPr/>
        <w:t>3</w:t>
      </w:r>
      <w:r>
        <w:rPr>
          <w:rtl w:val="true"/>
        </w:rPr>
        <w:t xml:space="preserve">): </w:t>
      </w:r>
      <w:r>
        <w:rPr>
          <w:rtl w:val="true"/>
        </w:rPr>
        <w:t>تصحّ الإقالة فی جمیع ما وقع علیه العقد و فی بعضه و یتقسّط الثمن حینئذٍ علی النسبة</w:t>
      </w:r>
      <w:r>
        <w:rPr>
          <w:rtl w:val="true"/>
        </w:rPr>
        <w:t>]</w:t>
      </w:r>
      <w:bookmarkEnd w:id="4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الإقالة فی جمیع ما وقع علیه العقد و فی بعضه و یتقسّط الثمن حینئذٍ علی النسبة، بل إذا تعدّد البائع أو المشتری تصحّ إقالة أحدهما مع الطرف الآخر بالنسبة إلیٰ حصّته و إن لم یوافقه صاحبه</w:t>
      </w:r>
      <w:r>
        <w:rPr>
          <w:rFonts w:eastAsia="IRNazanin" w:cs="IRNazanin"/>
          <w:color w:val="111111"/>
          <w:sz w:val="28"/>
          <w:szCs w:val="28"/>
          <w:rtl w:val="true"/>
          <w:lang w:bidi="fa-IR"/>
        </w:rPr>
        <w:t>.</w:t>
      </w:r>
    </w:p>
    <w:p>
      <w:pPr>
        <w:pStyle w:val="Heading4"/>
        <w:numPr>
          <w:ilvl w:val="3"/>
          <w:numId w:val="1"/>
        </w:numPr>
        <w:rPr/>
      </w:pPr>
      <w:bookmarkStart w:id="4143" w:name="__RefHeading___Toc2568754_3650668749"/>
      <w:bookmarkStart w:id="4144" w:name="_Toc1886"/>
      <w:bookmarkEnd w:id="4143"/>
      <w:r>
        <w:rPr>
          <w:rtl w:val="true"/>
        </w:rPr>
        <w:t>[ (</w:t>
      </w:r>
      <w:r>
        <w:rPr>
          <w:rtl w:val="true"/>
        </w:rPr>
        <w:t xml:space="preserve">مسألة </w:t>
      </w:r>
      <w:r>
        <w:rPr/>
        <w:t>4</w:t>
      </w:r>
      <w:r>
        <w:rPr>
          <w:rtl w:val="true"/>
        </w:rPr>
        <w:t xml:space="preserve">): </w:t>
      </w:r>
      <w:r>
        <w:rPr>
          <w:rtl w:val="true"/>
        </w:rPr>
        <w:t>التلف غیر مانع عن صحّة الإقالة کالفسخ</w:t>
      </w:r>
      <w:r>
        <w:rPr>
          <w:rtl w:val="true"/>
        </w:rPr>
        <w:t>]</w:t>
      </w:r>
      <w:bookmarkEnd w:id="414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 غیر مانع عن صحّة الإقالة کالفسخ، فلو تقایلا رجع کلّ عوض إلیٰ مالکه، فإن کان موجوداً أخذه، و إن کان تالفاً یرجع إلی المثل إن کان مثلیّا، و القیمة إن کان قیمیّاً</w:t>
      </w:r>
      <w:r>
        <w:rPr>
          <w:rFonts w:eastAsia="IRNazanin" w:cs="IRNazanin"/>
          <w:color w:val="111111"/>
          <w:sz w:val="28"/>
          <w:szCs w:val="28"/>
          <w:rtl w:val="true"/>
          <w:lang w:bidi="fa-IR"/>
        </w:rPr>
        <w:t>.</w:t>
      </w:r>
      <w:bookmarkStart w:id="4145" w:name="pg1809_19386"/>
    </w:p>
    <w:p>
      <w:pPr>
        <w:pStyle w:val="Heading2"/>
        <w:numPr>
          <w:ilvl w:val="1"/>
          <w:numId w:val="1"/>
        </w:numPr>
        <w:rPr/>
      </w:pPr>
      <w:bookmarkStart w:id="4146" w:name="__RefHeading___Toc2568756_3650668749"/>
      <w:bookmarkStart w:id="4147" w:name="_Toc1887"/>
      <w:bookmarkEnd w:id="4145"/>
      <w:bookmarkEnd w:id="4146"/>
      <w:r>
        <w:rPr>
          <w:rtl w:val="true"/>
        </w:rPr>
        <w:t>[</w:t>
      </w:r>
      <w:r>
        <w:rPr>
          <w:rtl w:val="true"/>
        </w:rPr>
        <w:t>کتاب الشفعة</w:t>
      </w:r>
      <w:r>
        <w:rPr>
          <w:rtl w:val="true"/>
        </w:rPr>
        <w:t>]</w:t>
      </w:r>
      <w:bookmarkEnd w:id="4147"/>
    </w:p>
    <w:p>
      <w:pPr>
        <w:pStyle w:val="Heading3"/>
        <w:numPr>
          <w:ilvl w:val="2"/>
          <w:numId w:val="1"/>
        </w:numPr>
        <w:rPr/>
      </w:pPr>
      <w:bookmarkStart w:id="4148" w:name="__RefHeading___Toc2568758_3650668749"/>
      <w:bookmarkStart w:id="4149" w:name="_Toc1888"/>
      <w:bookmarkEnd w:id="4148"/>
      <w:r>
        <w:rPr>
          <w:rtl w:val="true"/>
        </w:rPr>
        <w:t>اشارة</w:t>
      </w:r>
      <w:bookmarkEnd w:id="4149"/>
    </w:p>
    <w:p>
      <w:pPr>
        <w:pStyle w:val="BookText"/>
        <w:rPr/>
      </w:pPr>
      <w:r>
        <w:rPr>
          <w:rFonts w:ascii="IRNazanin" w:hAnsi="IRNazanin" w:eastAsia="IRNazanin"/>
          <w:color w:val="111111"/>
          <w:sz w:val="28"/>
          <w:sz w:val="28"/>
          <w:szCs w:val="28"/>
          <w:rtl w:val="true"/>
          <w:lang w:bidi="fa-IR"/>
        </w:rPr>
        <w:t>کتاب الشفعة</w:t>
      </w:r>
    </w:p>
    <w:p>
      <w:pPr>
        <w:pStyle w:val="Heading3"/>
        <w:numPr>
          <w:ilvl w:val="2"/>
          <w:numId w:val="1"/>
        </w:numPr>
        <w:rPr/>
      </w:pPr>
      <w:bookmarkStart w:id="4150" w:name="__RefHeading___Toc2568760_3650668749"/>
      <w:bookmarkStart w:id="4151" w:name="_Toc1889"/>
      <w:bookmarkEnd w:id="4150"/>
      <w:r>
        <w:rPr>
          <w:rtl w:val="true"/>
        </w:rPr>
        <w:t>[ (</w:t>
      </w:r>
      <w:r>
        <w:rPr>
          <w:rtl w:val="true"/>
        </w:rPr>
        <w:t xml:space="preserve">مسألة </w:t>
      </w:r>
      <w:r>
        <w:rPr/>
        <w:t>1</w:t>
      </w:r>
      <w:r>
        <w:rPr>
          <w:rtl w:val="true"/>
        </w:rPr>
        <w:t xml:space="preserve">): </w:t>
      </w:r>
      <w:r>
        <w:rPr>
          <w:rtl w:val="true"/>
        </w:rPr>
        <w:t>إذا باع أحد الشریکین حصّته من شخص أجنبیّ فللشریک الآخر مع اجتماع الشروط الآتیة حقّ أن یتملّکها</w:t>
      </w:r>
      <w:r>
        <w:rPr>
          <w:rtl w:val="true"/>
        </w:rPr>
        <w:t>]</w:t>
      </w:r>
      <w:bookmarkEnd w:id="4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أحد الشریکین حصّته من شخص أجنبیّ فللشریک الآخر مع اجتماع الشروط الآتیة حقّ أن یتملّکها و ینتزعها من المشتری بما بذله من الثمن، و یسمّیٰ هذا الحقّ بالشفعة و صاحبه بالشفیع</w:t>
      </w:r>
      <w:r>
        <w:rPr>
          <w:rFonts w:eastAsia="IRNazanin" w:cs="IRNazanin"/>
          <w:color w:val="111111"/>
          <w:sz w:val="28"/>
          <w:szCs w:val="28"/>
          <w:rtl w:val="true"/>
          <w:lang w:bidi="fa-IR"/>
        </w:rPr>
        <w:t>.</w:t>
      </w:r>
    </w:p>
    <w:p>
      <w:pPr>
        <w:pStyle w:val="Heading3"/>
        <w:numPr>
          <w:ilvl w:val="2"/>
          <w:numId w:val="1"/>
        </w:numPr>
        <w:rPr/>
      </w:pPr>
      <w:bookmarkStart w:id="4152" w:name="__RefHeading___Toc2568762_3650668749"/>
      <w:bookmarkStart w:id="4153" w:name="_Toc1890"/>
      <w:bookmarkEnd w:id="4152"/>
      <w:r>
        <w:rPr>
          <w:rtl w:val="true"/>
        </w:rPr>
        <w:t>[ (</w:t>
      </w:r>
      <w:r>
        <w:rPr>
          <w:rtl w:val="true"/>
        </w:rPr>
        <w:t xml:space="preserve">مسألة </w:t>
      </w:r>
      <w:r>
        <w:rPr/>
        <w:t>2</w:t>
      </w:r>
      <w:r>
        <w:rPr>
          <w:rtl w:val="true"/>
        </w:rPr>
        <w:t xml:space="preserve">): </w:t>
      </w:r>
      <w:r>
        <w:rPr>
          <w:rtl w:val="true"/>
        </w:rPr>
        <w:t>لا إشکال فی ثبوت الشفعة فی کلّ ما لا ینقل إذا کان قابلًا للقسمة</w:t>
      </w:r>
      <w:r>
        <w:rPr>
          <w:rtl w:val="true"/>
        </w:rPr>
        <w:t>]</w:t>
      </w:r>
      <w:bookmarkEnd w:id="4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ثبوت الشفعة فی کلّ ما لا ینقل إذا کان قابلًا للقسمة کالأراضی و البساتین و الدور و نحوها، و فی ثبوتها فیما ینقل کالثیاب و المتاع و السفینة و الحیوان، و فیما لا ینقل و کان غیر قابل للقسمة کالضیّقة من الأنهار و الطرق و الآبار و غالب الأرحیة و الحمّامات، و کذا فی الشجر و النخیل و الأبنیة و الثمار علی النخیل و الأشجار إشکال، لا یبعد ثبوتها فی الجمیع بل لا یخلو من قوّة، لکنّ الأحوط </w:t>
      </w:r>
      <w:r>
        <w:rPr>
          <w:rStyle w:val="FootnoteAnchor"/>
          <w:rtl w:val="true"/>
        </w:rPr>
        <w:footnoteReference w:id="1164"/>
      </w:r>
      <w:r>
        <w:rPr>
          <w:rFonts w:ascii="IRNazanin" w:hAnsi="IRNazanin" w:eastAsia="IRNazanin"/>
          <w:color w:val="111111"/>
          <w:sz w:val="28"/>
          <w:sz w:val="28"/>
          <w:szCs w:val="28"/>
          <w:rtl w:val="true"/>
          <w:lang w:bidi="fa-IR"/>
        </w:rPr>
        <w:t>للشریک عدم الأخذ فیها بالشفعة إلّا برضا المشتری، کما أنّ الأحوط له إجابة الشریک إن أخذ بها، بل لا یترک هذا الاحتیاط فی أشیاء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 و الطریق و الرحیٰ و الحمّام و السفینة</w:t>
      </w:r>
      <w:r>
        <w:rPr>
          <w:rFonts w:eastAsia="IRNazanin" w:cs="IRNazanin"/>
          <w:color w:val="111111"/>
          <w:sz w:val="28"/>
          <w:szCs w:val="28"/>
          <w:rtl w:val="true"/>
          <w:lang w:bidi="fa-IR"/>
        </w:rPr>
        <w:t>.</w:t>
      </w:r>
    </w:p>
    <w:p>
      <w:pPr>
        <w:pStyle w:val="Heading3"/>
        <w:numPr>
          <w:ilvl w:val="2"/>
          <w:numId w:val="1"/>
        </w:numPr>
        <w:rPr/>
      </w:pPr>
      <w:bookmarkStart w:id="4154" w:name="__RefHeading___Toc2568764_3650668749"/>
      <w:bookmarkStart w:id="4155" w:name="_Toc1891"/>
      <w:bookmarkEnd w:id="4154"/>
      <w:r>
        <w:rPr>
          <w:rtl w:val="true"/>
        </w:rPr>
        <w:t>[ (</w:t>
      </w:r>
      <w:r>
        <w:rPr>
          <w:rtl w:val="true"/>
        </w:rPr>
        <w:t xml:space="preserve">مسألة </w:t>
      </w:r>
      <w:r>
        <w:rPr/>
        <w:t>3</w:t>
      </w:r>
      <w:r>
        <w:rPr>
          <w:rtl w:val="true"/>
        </w:rPr>
        <w:t xml:space="preserve">): </w:t>
      </w:r>
      <w:r>
        <w:rPr>
          <w:rtl w:val="true"/>
        </w:rPr>
        <w:t>إنّما تثبت الشفعة فی بیع حصّة مشاعة من العین المشترکة فلا شفعة بالجوار</w:t>
      </w:r>
      <w:r>
        <w:rPr>
          <w:rtl w:val="true"/>
        </w:rPr>
        <w:t>]</w:t>
      </w:r>
      <w:bookmarkEnd w:id="415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تثبت الشفعة فی بیع حصّة مشاعة من العین المشترکة فلا شفعة بالجوار، فلو باع أحد داره أو عقاره لیس لجاره الأخذ بالشفعة، و کذا لا شفعة فی العین المقسومة إذا باع أحد الشریکین حصّته المفروزة إلّا إذا کانت داراً قد قسّمت بعد اشتراکها أو کانت من أوّل الأمر مفروزة و لها طریق مشترک فباع بعض الشرکاء </w:t>
      </w:r>
      <w:r>
        <w:rPr>
          <w:rStyle w:val="FootnoteAnchor"/>
          <w:rtl w:val="true"/>
        </w:rPr>
        <w:footnoteReference w:id="1165"/>
      </w:r>
      <w:r>
        <w:rPr>
          <w:rFonts w:ascii="IRNazanin" w:hAnsi="IRNazanin" w:eastAsia="IRNazanin"/>
          <w:color w:val="111111"/>
          <w:sz w:val="28"/>
          <w:sz w:val="28"/>
          <w:szCs w:val="28"/>
          <w:rtl w:val="true"/>
          <w:lang w:bidi="fa-IR"/>
        </w:rPr>
        <w:t>حصّته المفروزة من الدار، فإنّه تثبت الشفعة لغیر البائع، لکن إذا بیعت مع طریقها، بخلاف ما إذا افرزت الحصّة بالبیع و بقی الطریق علیٰ ما کان من الاشتراک بین الملّاک فإنّه لا شفعة حینئذٍ فی بیع الحصّة، نعم لو بیعت حصّته من الطریق المشترک ثبت فیه الشفعة، علیٰ</w:t>
      </w:r>
      <w:bookmarkStart w:id="4156" w:name="pg1809_19387"/>
    </w:p>
    <w:p>
      <w:pPr>
        <w:pStyle w:val="BookText"/>
        <w:rPr/>
      </w:pPr>
      <w:bookmarkEnd w:id="4156"/>
      <w:r>
        <w:rPr>
          <w:rFonts w:ascii="IRNazanin" w:hAnsi="IRNazanin" w:eastAsia="IRNazanin"/>
          <w:color w:val="111111"/>
          <w:sz w:val="28"/>
          <w:sz w:val="28"/>
          <w:szCs w:val="28"/>
          <w:rtl w:val="true"/>
          <w:lang w:bidi="fa-IR"/>
        </w:rPr>
        <w:t xml:space="preserve">إشکال </w:t>
      </w:r>
      <w:r>
        <w:rPr>
          <w:rStyle w:val="FootnoteAnchor"/>
          <w:rtl w:val="true"/>
        </w:rPr>
        <w:footnoteReference w:id="1166"/>
      </w:r>
      <w:r>
        <w:rPr>
          <w:rFonts w:ascii="IRNazanin" w:hAnsi="IRNazanin" w:eastAsia="IRNazanin"/>
          <w:color w:val="111111"/>
          <w:sz w:val="28"/>
          <w:sz w:val="28"/>
          <w:szCs w:val="28"/>
          <w:rtl w:val="true"/>
          <w:lang w:bidi="fa-IR"/>
        </w:rPr>
        <w:t>فیما إذا کان ضیّقاً غیر قابل للقسمة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إلحاق الاشتراک فی الشرب کالبئر و النهر و الساقیة بالاشتراک فی الطریق إشکال فلا یترک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یبعد إلحاق البستان و الأراضی مع اشتراک الطریق بالدار، لکنّه أیضاً لا یخلو من إشکال فلا ینبغی </w:t>
      </w:r>
      <w:r>
        <w:rPr>
          <w:rStyle w:val="FootnoteAnchor"/>
          <w:rtl w:val="true"/>
        </w:rPr>
        <w:footnoteReference w:id="1167"/>
      </w:r>
      <w:r>
        <w:rPr>
          <w:rFonts w:ascii="IRNazanin" w:hAnsi="IRNazanin" w:eastAsia="IRNazanin"/>
          <w:color w:val="111111"/>
          <w:sz w:val="28"/>
          <w:sz w:val="28"/>
          <w:szCs w:val="28"/>
          <w:rtl w:val="true"/>
          <w:lang w:bidi="fa-IR"/>
        </w:rPr>
        <w:t>ترک الاحتیاط</w:t>
      </w:r>
      <w:r>
        <w:rPr>
          <w:rFonts w:eastAsia="IRNazanin" w:cs="IRNazanin"/>
          <w:color w:val="111111"/>
          <w:sz w:val="28"/>
          <w:szCs w:val="28"/>
          <w:rtl w:val="true"/>
          <w:lang w:bidi="fa-IR"/>
        </w:rPr>
        <w:t>.</w:t>
      </w:r>
    </w:p>
    <w:p>
      <w:pPr>
        <w:pStyle w:val="Heading3"/>
        <w:numPr>
          <w:ilvl w:val="2"/>
          <w:numId w:val="1"/>
        </w:numPr>
        <w:rPr/>
      </w:pPr>
      <w:bookmarkStart w:id="4157" w:name="__RefHeading___Toc2568766_3650668749"/>
      <w:bookmarkStart w:id="4158" w:name="_Toc1892"/>
      <w:bookmarkEnd w:id="4157"/>
      <w:r>
        <w:rPr>
          <w:rtl w:val="true"/>
        </w:rPr>
        <w:t>[ (</w:t>
      </w:r>
      <w:r>
        <w:rPr>
          <w:rtl w:val="true"/>
        </w:rPr>
        <w:t xml:space="preserve">مسألة </w:t>
      </w:r>
      <w:r>
        <w:rPr/>
        <w:t>4</w:t>
      </w:r>
      <w:r>
        <w:rPr>
          <w:rtl w:val="true"/>
        </w:rPr>
        <w:t xml:space="preserve">): </w:t>
      </w:r>
      <w:r>
        <w:rPr>
          <w:rtl w:val="true"/>
        </w:rPr>
        <w:t>لو باع عرضاً و شقصاً من دار</w:t>
      </w:r>
      <w:r>
        <w:rPr>
          <w:rtl w:val="true"/>
        </w:rPr>
        <w:t>]</w:t>
      </w:r>
      <w:bookmarkEnd w:id="4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باع عرضاً و شقصاً من دار، أو باع حصّة مفروزة من دار مثلًا مع حصّة مشاعة من دار أُخری صفقة واحدة کان للشریک الشفعة فی تلک الحصّة المشاعة بحصّتها من الثمن، علیٰ إشکال من جهة احتمال </w:t>
      </w:r>
      <w:r>
        <w:rPr>
          <w:rStyle w:val="FootnoteAnchor"/>
          <w:rtl w:val="true"/>
        </w:rPr>
        <w:footnoteReference w:id="1168"/>
      </w:r>
      <w:r>
        <w:rPr>
          <w:rFonts w:ascii="IRNazanin" w:hAnsi="IRNazanin" w:eastAsia="IRNazanin"/>
          <w:color w:val="111111"/>
          <w:sz w:val="28"/>
          <w:sz w:val="28"/>
          <w:szCs w:val="28"/>
          <w:rtl w:val="true"/>
          <w:lang w:bidi="fa-IR"/>
        </w:rPr>
        <w:t>أن یکون له الشفعة فی المجموع بمجموع الثمن و لم یکن له التبعیض بأخذ المشاع فقط، فالأحوط للشفیع إرضاء المشتری؛ سواء أراد التبعیض أو أخذ الشفعة فی المجموع، کما أنّ الأحوط للمشتری إجابته فی کلّ ما أراده</w:t>
      </w:r>
      <w:r>
        <w:rPr>
          <w:rFonts w:eastAsia="IRNazanin" w:cs="IRNazanin"/>
          <w:color w:val="111111"/>
          <w:sz w:val="28"/>
          <w:szCs w:val="28"/>
          <w:rtl w:val="true"/>
          <w:lang w:bidi="fa-IR"/>
        </w:rPr>
        <w:t>.</w:t>
      </w:r>
    </w:p>
    <w:p>
      <w:pPr>
        <w:pStyle w:val="Heading3"/>
        <w:numPr>
          <w:ilvl w:val="2"/>
          <w:numId w:val="1"/>
        </w:numPr>
        <w:rPr/>
      </w:pPr>
      <w:bookmarkStart w:id="4159" w:name="__RefHeading___Toc2568768_3650668749"/>
      <w:bookmarkStart w:id="4160" w:name="_Toc1893"/>
      <w:bookmarkEnd w:id="4159"/>
      <w:r>
        <w:rPr>
          <w:rtl w:val="true"/>
        </w:rPr>
        <w:t>[ (</w:t>
      </w:r>
      <w:r>
        <w:rPr>
          <w:rtl w:val="true"/>
        </w:rPr>
        <w:t xml:space="preserve">مسألة </w:t>
      </w:r>
      <w:r>
        <w:rPr/>
        <w:t>5</w:t>
      </w:r>
      <w:r>
        <w:rPr>
          <w:rtl w:val="true"/>
        </w:rPr>
        <w:t xml:space="preserve">): </w:t>
      </w:r>
      <w:r>
        <w:rPr>
          <w:rtl w:val="true"/>
        </w:rPr>
        <w:t>یشترط فی ثبوت الشفعة انتقال الحصّة إلی الأجنبی بالبیع</w:t>
      </w:r>
      <w:r>
        <w:rPr>
          <w:rtl w:val="true"/>
        </w:rPr>
        <w:t>]</w:t>
      </w:r>
      <w:bookmarkEnd w:id="4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ثبوت الشفعة انتقال الحصّة إلی الأجنبی بالبیع، فلو انتقلت إلیه بجعله صداقاً أو فدیة للخلع أو بالصلح أو بالهبة فلا شفعة</w:t>
      </w:r>
      <w:r>
        <w:rPr>
          <w:rFonts w:eastAsia="IRNazanin" w:cs="IRNazanin"/>
          <w:color w:val="111111"/>
          <w:sz w:val="28"/>
          <w:szCs w:val="28"/>
          <w:rtl w:val="true"/>
          <w:lang w:bidi="fa-IR"/>
        </w:rPr>
        <w:t>.</w:t>
      </w:r>
    </w:p>
    <w:p>
      <w:pPr>
        <w:pStyle w:val="Heading3"/>
        <w:numPr>
          <w:ilvl w:val="2"/>
          <w:numId w:val="1"/>
        </w:numPr>
        <w:rPr/>
      </w:pPr>
      <w:bookmarkStart w:id="4161" w:name="__RefHeading___Toc2568770_3650668749"/>
      <w:bookmarkStart w:id="4162" w:name="_Toc1894"/>
      <w:bookmarkEnd w:id="4161"/>
      <w:r>
        <w:rPr>
          <w:rtl w:val="true"/>
        </w:rPr>
        <w:t>[ (</w:t>
      </w:r>
      <w:r>
        <w:rPr>
          <w:rtl w:val="true"/>
        </w:rPr>
        <w:t xml:space="preserve">مسألة </w:t>
      </w:r>
      <w:r>
        <w:rPr/>
        <w:t>6</w:t>
      </w:r>
      <w:r>
        <w:rPr>
          <w:rtl w:val="true"/>
        </w:rPr>
        <w:t xml:space="preserve">): </w:t>
      </w:r>
      <w:r>
        <w:rPr>
          <w:rtl w:val="true"/>
        </w:rPr>
        <w:t>إنّما تثبت الشفعة إذا کانت العین بین شریکین فلا شفعة فیما إذا کانت بین ثلاثة و ما فوقها</w:t>
      </w:r>
      <w:r>
        <w:rPr>
          <w:rtl w:val="true"/>
        </w:rPr>
        <w:t>]</w:t>
      </w:r>
      <w:bookmarkEnd w:id="4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تثبت الشفعة إذا کانت العین بین شریکین فلا شفعة فیما إذا کانت بین ثلاثة و ما فوقها، من غیر فرق علی الظاهر بین أن یکون البائع اثنین من ثلاثة مثلًا فکان الشفیع واحداً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باع أحد الشریکین حصّته من اثنین مثلًا دفعة أو تدریجاً فصارت العین بین ثلاثة بعد البیع لا مانع من الشفعة للشریک الآخر، و حینئذٍ فهل له التبعیض بأن یأخذ بالشفعة بالنسبة إلیٰ أحد المشتریین و یترک الآخر أو لا؟ وجهان بل قولان، لا یخلو أوّلهما من قوّة</w:t>
      </w:r>
      <w:r>
        <w:rPr>
          <w:rFonts w:eastAsia="IRNazanin" w:cs="IRNazanin"/>
          <w:color w:val="111111"/>
          <w:sz w:val="28"/>
          <w:szCs w:val="28"/>
          <w:rtl w:val="true"/>
          <w:lang w:bidi="fa-IR"/>
        </w:rPr>
        <w:t>.</w:t>
      </w:r>
    </w:p>
    <w:p>
      <w:pPr>
        <w:pStyle w:val="Heading3"/>
        <w:numPr>
          <w:ilvl w:val="2"/>
          <w:numId w:val="1"/>
        </w:numPr>
        <w:rPr/>
      </w:pPr>
      <w:bookmarkStart w:id="4163" w:name="__RefHeading___Toc2568772_3650668749"/>
      <w:bookmarkStart w:id="4164" w:name="_Toc1895"/>
      <w:bookmarkEnd w:id="4163"/>
      <w:r>
        <w:rPr>
          <w:rtl w:val="true"/>
        </w:rPr>
        <w:t>[ (</w:t>
      </w:r>
      <w:r>
        <w:rPr>
          <w:rtl w:val="true"/>
        </w:rPr>
        <w:t xml:space="preserve">مسألة </w:t>
      </w:r>
      <w:r>
        <w:rPr/>
        <w:t>7</w:t>
      </w:r>
      <w:r>
        <w:rPr>
          <w:rtl w:val="true"/>
        </w:rPr>
        <w:t xml:space="preserve">): </w:t>
      </w:r>
      <w:r>
        <w:rPr>
          <w:rtl w:val="true"/>
        </w:rPr>
        <w:t>لو کانت الدار مشترکة بین الطلق و الوقف، و بیع الطلق</w:t>
      </w:r>
      <w:r>
        <w:rPr>
          <w:rtl w:val="true"/>
        </w:rPr>
        <w:t>]</w:t>
      </w:r>
      <w:bookmarkEnd w:id="416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الدار مشترکة بین الطلق و الوقف، و بیع الطلق، لم یکن للموقوف علیه و لو کان واحداً و لا لولیّ الوقف شفعة، نعم لو بیع الوقف فی صورة صحّة بیعه، الظاهر </w:t>
      </w:r>
      <w:r>
        <w:rPr>
          <w:rStyle w:val="FootnoteAnchor"/>
          <w:rtl w:val="true"/>
        </w:rPr>
        <w:footnoteReference w:id="1169"/>
      </w:r>
      <w:r>
        <w:rPr>
          <w:rFonts w:ascii="IRNazanin" w:hAnsi="IRNazanin" w:eastAsia="IRNazanin"/>
          <w:color w:val="111111"/>
          <w:sz w:val="28"/>
          <w:sz w:val="28"/>
          <w:szCs w:val="28"/>
          <w:rtl w:val="true"/>
          <w:lang w:bidi="fa-IR"/>
        </w:rPr>
        <w:t xml:space="preserve">ثبوتها لذی الطلق إلّا إذا کان الوقف علیٰ أشخاص بأعیانهم و کانوا متعدّدین فإنّ فیه إشکالًا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bookmarkStart w:id="4165" w:name="pg1809_19388"/>
    </w:p>
    <w:p>
      <w:pPr>
        <w:pStyle w:val="Heading3"/>
        <w:numPr>
          <w:ilvl w:val="2"/>
          <w:numId w:val="1"/>
        </w:numPr>
        <w:rPr/>
      </w:pPr>
      <w:bookmarkStart w:id="4166" w:name="__RefHeading___Toc2568774_3650668749"/>
      <w:bookmarkStart w:id="4167" w:name="_Toc1896"/>
      <w:bookmarkEnd w:id="4165"/>
      <w:bookmarkEnd w:id="4166"/>
      <w:r>
        <w:rPr>
          <w:rtl w:val="true"/>
        </w:rPr>
        <w:t>[ (</w:t>
      </w:r>
      <w:r>
        <w:rPr>
          <w:rtl w:val="true"/>
        </w:rPr>
        <w:t xml:space="preserve">مسألة </w:t>
      </w:r>
      <w:r>
        <w:rPr/>
        <w:t>8</w:t>
      </w:r>
      <w:r>
        <w:rPr>
          <w:rtl w:val="true"/>
        </w:rPr>
        <w:t xml:space="preserve">): </w:t>
      </w:r>
      <w:r>
        <w:rPr>
          <w:rtl w:val="true"/>
        </w:rPr>
        <w:t>یعتبر فی ثبوت الشفعة کون الشفیع قادراً علیٰ أداء الثمن</w:t>
      </w:r>
      <w:r>
        <w:rPr>
          <w:rtl w:val="true"/>
        </w:rPr>
        <w:t>]</w:t>
      </w:r>
      <w:bookmarkEnd w:id="4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ثبوت الشفعة کون الشفیع قادراً علیٰ أداء الثمن فلو کان عاجزاً عن أدائه لا شفعة له، و إن بذل الضامن أو الرهن إلّا أن یرضی المشتری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یعتبر فیه إحضار الثمن عند الأخذ بها، و لو اعتذر بأنّه فی مکان آخر فذهب لیحضر الثمن فإن کان فی البلد ینتظر ثلاثة أیّام و إن کان فی بلد آخر ینتظر بمقدار </w:t>
      </w:r>
      <w:r>
        <w:rPr>
          <w:rStyle w:val="FootnoteAnchor"/>
          <w:rtl w:val="true"/>
        </w:rPr>
        <w:footnoteReference w:id="1171"/>
      </w:r>
      <w:r>
        <w:rPr>
          <w:rFonts w:ascii="IRNazanin" w:hAnsi="IRNazanin" w:eastAsia="IRNazanin"/>
          <w:color w:val="111111"/>
          <w:sz w:val="28"/>
          <w:sz w:val="28"/>
          <w:szCs w:val="28"/>
          <w:rtl w:val="true"/>
          <w:lang w:bidi="fa-IR"/>
        </w:rPr>
        <w:t>یمکن بحسب العادة نقل المال من ذلک البلد بزیادة ثلاثة أیّام، فإن لم یحضر الثمن فی تلک المدّة فلا شفعة له</w:t>
      </w:r>
      <w:r>
        <w:rPr>
          <w:rFonts w:eastAsia="IRNazanin" w:cs="IRNazanin"/>
          <w:color w:val="111111"/>
          <w:sz w:val="28"/>
          <w:szCs w:val="28"/>
          <w:rtl w:val="true"/>
          <w:lang w:bidi="fa-IR"/>
        </w:rPr>
        <w:t>.</w:t>
      </w:r>
    </w:p>
    <w:p>
      <w:pPr>
        <w:pStyle w:val="Heading3"/>
        <w:numPr>
          <w:ilvl w:val="2"/>
          <w:numId w:val="1"/>
        </w:numPr>
        <w:rPr/>
      </w:pPr>
      <w:bookmarkStart w:id="4168" w:name="__RefHeading___Toc2568776_3650668749"/>
      <w:bookmarkStart w:id="4169" w:name="_Toc1897"/>
      <w:bookmarkEnd w:id="4168"/>
      <w:r>
        <w:rPr>
          <w:rtl w:val="true"/>
        </w:rPr>
        <w:t>[ (</w:t>
      </w:r>
      <w:r>
        <w:rPr>
          <w:rtl w:val="true"/>
        </w:rPr>
        <w:t xml:space="preserve">مسألة </w:t>
      </w:r>
      <w:r>
        <w:rPr/>
        <w:t>9</w:t>
      </w:r>
      <w:r>
        <w:rPr>
          <w:rtl w:val="true"/>
        </w:rPr>
        <w:t xml:space="preserve">): </w:t>
      </w:r>
      <w:r>
        <w:rPr>
          <w:rtl w:val="true"/>
        </w:rPr>
        <w:t>یشترط فی الشفیع الإسلام إذا کان المشتری مسلماً</w:t>
      </w:r>
      <w:r>
        <w:rPr>
          <w:rtl w:val="true"/>
        </w:rPr>
        <w:t>]</w:t>
      </w:r>
      <w:bookmarkEnd w:id="4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الشفیع الإسلام إذا کان المشتری مسلماً، فلا شفعة للکافر علی المسلم و إن اشتراه من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تثبت للکافر علیٰ مثله و للمسلم علی الکافر</w:t>
      </w:r>
      <w:r>
        <w:rPr>
          <w:rFonts w:eastAsia="IRNazanin" w:cs="IRNazanin"/>
          <w:color w:val="111111"/>
          <w:sz w:val="28"/>
          <w:szCs w:val="28"/>
          <w:rtl w:val="true"/>
          <w:lang w:bidi="fa-IR"/>
        </w:rPr>
        <w:t>.</w:t>
      </w:r>
    </w:p>
    <w:p>
      <w:pPr>
        <w:pStyle w:val="Heading3"/>
        <w:numPr>
          <w:ilvl w:val="2"/>
          <w:numId w:val="1"/>
        </w:numPr>
        <w:rPr/>
      </w:pPr>
      <w:bookmarkStart w:id="4170" w:name="__RefHeading___Toc2568778_3650668749"/>
      <w:bookmarkStart w:id="4171" w:name="_Toc1898"/>
      <w:bookmarkEnd w:id="4170"/>
      <w:r>
        <w:rPr>
          <w:rtl w:val="true"/>
        </w:rPr>
        <w:t>[ (</w:t>
      </w:r>
      <w:r>
        <w:rPr>
          <w:rtl w:val="true"/>
        </w:rPr>
        <w:t xml:space="preserve">مسألة </w:t>
      </w:r>
      <w:r>
        <w:rPr/>
        <w:t>10</w:t>
      </w:r>
      <w:r>
        <w:rPr>
          <w:rtl w:val="true"/>
        </w:rPr>
        <w:t xml:space="preserve">): </w:t>
      </w:r>
      <w:r>
        <w:rPr>
          <w:rtl w:val="true"/>
        </w:rPr>
        <w:t>تثبت الشفعة للغائب، فله الأخذ بها بعد اطّلاعه علی البیع</w:t>
      </w:r>
      <w:r>
        <w:rPr>
          <w:rtl w:val="true"/>
        </w:rPr>
        <w:t>]</w:t>
      </w:r>
      <w:bookmarkEnd w:id="4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الشفعة للغائب، فله الأخذ بها بعد اطّلاعه علی البیع و لو بعد زمان طویل، بل لو کان له وکیل مطلق </w:t>
      </w:r>
      <w:r>
        <w:rPr>
          <w:rStyle w:val="FootnoteAnchor"/>
          <w:rtl w:val="true"/>
        </w:rPr>
        <w:footnoteReference w:id="1172"/>
      </w:r>
      <w:r>
        <w:rPr>
          <w:rFonts w:ascii="IRNazanin" w:hAnsi="IRNazanin" w:eastAsia="IRNazanin"/>
          <w:color w:val="111111"/>
          <w:sz w:val="28"/>
          <w:sz w:val="28"/>
          <w:szCs w:val="28"/>
          <w:rtl w:val="true"/>
          <w:lang w:bidi="fa-IR"/>
        </w:rPr>
        <w:t>و اطّلع هو علی البیع دون موکّله، له أن یأخذ بالشفعة له</w:t>
      </w:r>
      <w:r>
        <w:rPr>
          <w:rFonts w:eastAsia="IRNazanin" w:cs="IRNazanin"/>
          <w:color w:val="111111"/>
          <w:sz w:val="28"/>
          <w:szCs w:val="28"/>
          <w:rtl w:val="true"/>
          <w:lang w:bidi="fa-IR"/>
        </w:rPr>
        <w:t>.</w:t>
      </w:r>
    </w:p>
    <w:p>
      <w:pPr>
        <w:pStyle w:val="Heading3"/>
        <w:numPr>
          <w:ilvl w:val="2"/>
          <w:numId w:val="1"/>
        </w:numPr>
        <w:rPr/>
      </w:pPr>
      <w:bookmarkStart w:id="4172" w:name="__RefHeading___Toc2568780_3650668749"/>
      <w:bookmarkStart w:id="4173" w:name="_Toc1899"/>
      <w:bookmarkEnd w:id="4172"/>
      <w:r>
        <w:rPr>
          <w:rtl w:val="true"/>
        </w:rPr>
        <w:t>[ (</w:t>
      </w:r>
      <w:r>
        <w:rPr>
          <w:rtl w:val="true"/>
        </w:rPr>
        <w:t xml:space="preserve">مسألة </w:t>
      </w:r>
      <w:r>
        <w:rPr/>
        <w:t>11</w:t>
      </w:r>
      <w:r>
        <w:rPr>
          <w:rtl w:val="true"/>
        </w:rPr>
        <w:t xml:space="preserve">): </w:t>
      </w:r>
      <w:r>
        <w:rPr>
          <w:rtl w:val="true"/>
        </w:rPr>
        <w:t>تثبت الشفعة للسفیه و إن لم ینفذ أخذه بها إلّا بإذن الولیّ أو إجازته</w:t>
      </w:r>
      <w:r>
        <w:rPr>
          <w:rtl w:val="true"/>
        </w:rPr>
        <w:t>]</w:t>
      </w:r>
      <w:bookmarkEnd w:id="4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الشفعة للسفیه و إن لم ینفذ أخذه بها إلّا بإذن الولیّ أو إجازته، و کذا تثبت للصبیّ و المجنون و إن کان المتولّی للأخذ بها عنهما ولیّهما، نعم لو کان الولیّ هو الوصیّ لیس له ذلک إلّا مع الغبطة و المصلحة، بخلاف الأب و الجدّ فإنّه یکفی فیهما عدم المفسدة </w:t>
      </w:r>
      <w:r>
        <w:rPr>
          <w:rStyle w:val="FootnoteAnchor"/>
          <w:rtl w:val="true"/>
        </w:rPr>
        <w:footnoteReference w:id="1173"/>
      </w:r>
      <w:r>
        <w:rPr>
          <w:rFonts w:ascii="IRNazanin" w:hAnsi="IRNazanin" w:eastAsia="IRNazanin"/>
          <w:color w:val="111111"/>
          <w:sz w:val="28"/>
          <w:sz w:val="28"/>
          <w:szCs w:val="28"/>
          <w:rtl w:val="true"/>
          <w:lang w:bidi="fa-IR"/>
        </w:rPr>
        <w:t>، کما هو الحال فی سائر التصرّفات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ترک الولیّ المطالبة بالشفعة عنهما إلیٰ أن کملا، لهما أن یأخذا بها</w:t>
      </w:r>
      <w:r>
        <w:rPr>
          <w:rFonts w:eastAsia="IRNazanin" w:cs="IRNazanin"/>
          <w:color w:val="111111"/>
          <w:sz w:val="28"/>
          <w:szCs w:val="28"/>
          <w:rtl w:val="true"/>
          <w:lang w:bidi="fa-IR"/>
        </w:rPr>
        <w:t>.</w:t>
      </w:r>
    </w:p>
    <w:p>
      <w:pPr>
        <w:pStyle w:val="Heading3"/>
        <w:numPr>
          <w:ilvl w:val="2"/>
          <w:numId w:val="1"/>
        </w:numPr>
        <w:rPr/>
      </w:pPr>
      <w:bookmarkStart w:id="4174" w:name="__RefHeading___Toc2568782_3650668749"/>
      <w:bookmarkStart w:id="4175" w:name="_Toc1900"/>
      <w:bookmarkEnd w:id="4174"/>
      <w:r>
        <w:rPr>
          <w:rtl w:val="true"/>
        </w:rPr>
        <w:t>[ (</w:t>
      </w:r>
      <w:r>
        <w:rPr>
          <w:rtl w:val="true"/>
        </w:rPr>
        <w:t xml:space="preserve">مسألة </w:t>
      </w:r>
      <w:r>
        <w:rPr/>
        <w:t>12</w:t>
      </w:r>
      <w:r>
        <w:rPr>
          <w:rtl w:val="true"/>
        </w:rPr>
        <w:t xml:space="preserve">): </w:t>
      </w:r>
      <w:r>
        <w:rPr>
          <w:rtl w:val="true"/>
        </w:rPr>
        <w:t>إذا کان الولیّ شریکاً مع المولّی علیه، فباع حصّته من أجنبی</w:t>
      </w:r>
      <w:r>
        <w:rPr>
          <w:rtl w:val="true"/>
        </w:rPr>
        <w:t>]</w:t>
      </w:r>
      <w:bookmarkEnd w:id="4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الولیّ شریکاً مع المولّی علیه، فباع حصّته من أجنبی جاز </w:t>
      </w:r>
      <w:r>
        <w:rPr>
          <w:rStyle w:val="FootnoteAnchor"/>
          <w:rtl w:val="true"/>
        </w:rPr>
        <w:footnoteReference w:id="1174"/>
      </w:r>
      <w:r>
        <w:rPr>
          <w:rFonts w:ascii="IRNazanin" w:hAnsi="IRNazanin" w:eastAsia="IRNazanin"/>
          <w:color w:val="111111"/>
          <w:sz w:val="28"/>
          <w:sz w:val="28"/>
          <w:szCs w:val="28"/>
          <w:rtl w:val="true"/>
          <w:lang w:bidi="fa-IR"/>
        </w:rPr>
        <w:t>له أن یأخذ بالشفعة فیما باعه، و کذا الوکیل فی البیع لو کان شریکاً مع موکّله فباع حصّة موکّله من أجنبی فإنّ له أن ینتزع الحصّة التی باعها من المشتری لنفسه لأجل الشفعة</w:t>
      </w:r>
      <w:r>
        <w:rPr>
          <w:rFonts w:eastAsia="IRNazanin" w:cs="IRNazanin"/>
          <w:color w:val="111111"/>
          <w:sz w:val="28"/>
          <w:szCs w:val="28"/>
          <w:rtl w:val="true"/>
          <w:lang w:bidi="fa-IR"/>
        </w:rPr>
        <w:t>.</w:t>
      </w:r>
    </w:p>
    <w:p>
      <w:pPr>
        <w:pStyle w:val="Heading3"/>
        <w:numPr>
          <w:ilvl w:val="2"/>
          <w:numId w:val="1"/>
        </w:numPr>
        <w:rPr/>
      </w:pPr>
      <w:bookmarkStart w:id="4176" w:name="__RefHeading___Toc2568784_3650668749"/>
      <w:bookmarkStart w:id="4177" w:name="_Toc1901"/>
      <w:bookmarkEnd w:id="4176"/>
      <w:r>
        <w:rPr>
          <w:rtl w:val="true"/>
        </w:rPr>
        <w:t>[ (</w:t>
      </w:r>
      <w:r>
        <w:rPr>
          <w:rtl w:val="true"/>
        </w:rPr>
        <w:t xml:space="preserve">مسألة </w:t>
      </w:r>
      <w:r>
        <w:rPr/>
        <w:t>13</w:t>
      </w:r>
      <w:r>
        <w:rPr>
          <w:rtl w:val="true"/>
        </w:rPr>
        <w:t xml:space="preserve">): </w:t>
      </w:r>
      <w:r>
        <w:rPr>
          <w:rtl w:val="true"/>
        </w:rPr>
        <w:t>الأخذ بالشفعة إمّا بالقول کأن یقول</w:t>
      </w:r>
      <w:r>
        <w:rPr>
          <w:rtl w:val="true"/>
        </w:rPr>
        <w:t xml:space="preserve">: </w:t>
      </w:r>
      <w:r>
        <w:rPr>
          <w:rtl w:val="true"/>
        </w:rPr>
        <w:t>أخذت بالشفعة، أو تملّکت الحصّة</w:t>
      </w:r>
      <w:r>
        <w:rPr>
          <w:rtl w:val="true"/>
        </w:rPr>
        <w:t>]</w:t>
      </w:r>
      <w:bookmarkEnd w:id="417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بالشفعة إمّا بالقول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بالشفعة، أو تملّکت الحصّة، و نحو ذلک ممّا یفید إنشاء تملّکه و انتزاع الحصّة المبیعة من المشتری لأجل ذلک الحقّ،</w:t>
      </w:r>
      <w:bookmarkStart w:id="4178" w:name="pg1809_19389"/>
    </w:p>
    <w:p>
      <w:pPr>
        <w:pStyle w:val="BookText"/>
        <w:rPr/>
      </w:pPr>
      <w:bookmarkEnd w:id="4178"/>
      <w:r>
        <w:rPr>
          <w:rFonts w:ascii="IRNazanin" w:hAnsi="IRNazanin" w:eastAsia="IRNazanin"/>
          <w:color w:val="111111"/>
          <w:sz w:val="28"/>
          <w:sz w:val="28"/>
          <w:szCs w:val="28"/>
          <w:rtl w:val="true"/>
          <w:lang w:bidi="fa-IR"/>
        </w:rPr>
        <w:t>و إمّا بالفعل بأن یدفع الثمن و یأخذ الحصّة المبیعة بأن یرفع المشتری یده عنها و یخلّی بین الشفیع و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یعتبر دفع الثمن عند الأخذ بالشفعة قولًا أو فعلًا إلّا إذا رضی المشتری بالصبر، نعم لو کان الثمن مؤجّلًا فالظاهر أنّه یجوز له </w:t>
      </w:r>
      <w:r>
        <w:rPr>
          <w:rStyle w:val="FootnoteAnchor"/>
          <w:rtl w:val="true"/>
        </w:rPr>
        <w:footnoteReference w:id="1175"/>
      </w:r>
      <w:r>
        <w:rPr>
          <w:rFonts w:ascii="IRNazanin" w:hAnsi="IRNazanin" w:eastAsia="IRNazanin"/>
          <w:color w:val="111111"/>
          <w:sz w:val="28"/>
          <w:sz w:val="28"/>
          <w:szCs w:val="28"/>
          <w:rtl w:val="true"/>
          <w:lang w:bidi="fa-IR"/>
        </w:rPr>
        <w:t>أن یأخذ بها و یتملّک الحصّة عاجلًا و یکون الثمن علیه إلیٰ وقته</w:t>
      </w:r>
      <w:r>
        <w:rPr>
          <w:rFonts w:eastAsia="IRNazanin" w:cs="IRNazanin"/>
          <w:color w:val="111111"/>
          <w:sz w:val="28"/>
          <w:szCs w:val="28"/>
          <w:rtl w:val="true"/>
          <w:lang w:bidi="fa-IR"/>
        </w:rPr>
        <w:t>.</w:t>
      </w:r>
    </w:p>
    <w:p>
      <w:pPr>
        <w:pStyle w:val="Heading3"/>
        <w:numPr>
          <w:ilvl w:val="2"/>
          <w:numId w:val="1"/>
        </w:numPr>
        <w:rPr/>
      </w:pPr>
      <w:bookmarkStart w:id="4179" w:name="__RefHeading___Toc2568786_3650668749"/>
      <w:bookmarkStart w:id="4180" w:name="_Toc1902"/>
      <w:bookmarkEnd w:id="4179"/>
      <w:r>
        <w:rPr>
          <w:rtl w:val="true"/>
        </w:rPr>
        <w:t>[ (</w:t>
      </w:r>
      <w:r>
        <w:rPr>
          <w:rtl w:val="true"/>
        </w:rPr>
        <w:t xml:space="preserve">مسألة </w:t>
      </w:r>
      <w:r>
        <w:rPr/>
        <w:t>14</w:t>
      </w:r>
      <w:r>
        <w:rPr>
          <w:rtl w:val="true"/>
        </w:rPr>
        <w:t xml:space="preserve">): </w:t>
      </w:r>
      <w:r>
        <w:rPr>
          <w:rtl w:val="true"/>
        </w:rPr>
        <w:t>لیس للشفیع تبعیض حقّه</w:t>
      </w:r>
      <w:r>
        <w:rPr>
          <w:rtl w:val="true"/>
        </w:rPr>
        <w:t>]</w:t>
      </w:r>
      <w:bookmarkEnd w:id="4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للشفیع تبعیض حقّه، بل إمّا أن یأخذ الجمیع أو یدع</w:t>
      </w:r>
      <w:r>
        <w:rPr>
          <w:rFonts w:eastAsia="IRNazanin" w:cs="IRNazanin"/>
          <w:color w:val="111111"/>
          <w:sz w:val="28"/>
          <w:szCs w:val="28"/>
          <w:rtl w:val="true"/>
          <w:lang w:bidi="fa-IR"/>
        </w:rPr>
        <w:t>.</w:t>
      </w:r>
    </w:p>
    <w:p>
      <w:pPr>
        <w:pStyle w:val="Heading3"/>
        <w:numPr>
          <w:ilvl w:val="2"/>
          <w:numId w:val="1"/>
        </w:numPr>
        <w:rPr/>
      </w:pPr>
      <w:bookmarkStart w:id="4181" w:name="__RefHeading___Toc2568788_3650668749"/>
      <w:bookmarkStart w:id="4182" w:name="_Toc1903"/>
      <w:bookmarkEnd w:id="4181"/>
      <w:r>
        <w:rPr>
          <w:rtl w:val="true"/>
        </w:rPr>
        <w:t>[ (</w:t>
      </w:r>
      <w:r>
        <w:rPr>
          <w:rtl w:val="true"/>
        </w:rPr>
        <w:t xml:space="preserve">مسألة </w:t>
      </w:r>
      <w:r>
        <w:rPr/>
        <w:t>15</w:t>
      </w:r>
      <w:r>
        <w:rPr>
          <w:rtl w:val="true"/>
        </w:rPr>
        <w:t xml:space="preserve">): </w:t>
      </w:r>
      <w:r>
        <w:rPr>
          <w:rtl w:val="true"/>
        </w:rPr>
        <w:t>الذی یلزم علی الشفیع عند أخذه بالشفعة دفع مثل الثمن الذی وقع علیه العقد</w:t>
      </w:r>
      <w:r>
        <w:rPr>
          <w:rtl w:val="true"/>
        </w:rPr>
        <w:t>]</w:t>
      </w:r>
      <w:bookmarkEnd w:id="4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یلزم علی الشفیع عند أخذه بالشفعة دفع مثل الثمن الذی وقع علیه العقد؛ سواء کانت قیمة الشقص أقلّ أو أکثر، و لا یلزم علیه دفع ما غرمه المشتری من المؤن کأُجرة الدلّال و نحوها، و لا دفع ما زاد المشتری علی الثمن و تبرّع به للبائع بعد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حطّ البائع بعد العقد شیئاً من الثمن لیس له تنقیص ذاک المقدار</w:t>
      </w:r>
      <w:r>
        <w:rPr>
          <w:rFonts w:eastAsia="IRNazanin" w:cs="IRNazanin"/>
          <w:color w:val="111111"/>
          <w:sz w:val="28"/>
          <w:szCs w:val="28"/>
          <w:rtl w:val="true"/>
          <w:lang w:bidi="fa-IR"/>
        </w:rPr>
        <w:t>.</w:t>
      </w:r>
    </w:p>
    <w:p>
      <w:pPr>
        <w:pStyle w:val="Heading3"/>
        <w:numPr>
          <w:ilvl w:val="2"/>
          <w:numId w:val="1"/>
        </w:numPr>
        <w:rPr/>
      </w:pPr>
      <w:bookmarkStart w:id="4183" w:name="__RefHeading___Toc2568790_3650668749"/>
      <w:bookmarkStart w:id="4184" w:name="_Toc1904"/>
      <w:bookmarkEnd w:id="4183"/>
      <w:r>
        <w:rPr>
          <w:rtl w:val="true"/>
        </w:rPr>
        <w:t>[ (</w:t>
      </w:r>
      <w:r>
        <w:rPr>
          <w:rtl w:val="true"/>
        </w:rPr>
        <w:t xml:space="preserve">مسألة </w:t>
      </w:r>
      <w:r>
        <w:rPr/>
        <w:t>16</w:t>
      </w:r>
      <w:r>
        <w:rPr>
          <w:rtl w:val="true"/>
        </w:rPr>
        <w:t xml:space="preserve">): </w:t>
      </w:r>
      <w:r>
        <w:rPr>
          <w:rtl w:val="true"/>
        </w:rPr>
        <w:t>لو کان الثمن مثلیّا کالذهب و الفضّة و نحوهما یلزم علی الشفیع دفع مثله</w:t>
      </w:r>
      <w:r>
        <w:rPr>
          <w:rtl w:val="true"/>
        </w:rPr>
        <w:t>]</w:t>
      </w:r>
      <w:bookmarkEnd w:id="4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الثمن مثلیّا کالذهب و الفضّة و نحوهما یلزم علی الشفیع دفع مثله، و أمّا لو کان قیمیّاً کالحیوان و الجواهر و الثیاب و نحوها ففی ثبوت الشفعة و لزوم أداء قیمته حین البیع أو عدم ثبوتها أصلًا وجهان، بل قولان، لا یخلو أوّلهما </w:t>
      </w:r>
      <w:r>
        <w:rPr>
          <w:rStyle w:val="FootnoteAnchor"/>
          <w:rtl w:val="true"/>
        </w:rPr>
        <w:footnoteReference w:id="1176"/>
      </w:r>
      <w:r>
        <w:rPr>
          <w:rFonts w:ascii="IRNazanin" w:hAnsi="IRNazanin" w:eastAsia="IRNazanin"/>
          <w:color w:val="111111"/>
          <w:sz w:val="28"/>
          <w:sz w:val="28"/>
          <w:szCs w:val="28"/>
          <w:rtl w:val="true"/>
          <w:lang w:bidi="fa-IR"/>
        </w:rPr>
        <w:t>من رجحان</w:t>
      </w:r>
      <w:r>
        <w:rPr>
          <w:rFonts w:eastAsia="IRNazanin" w:cs="IRNazanin"/>
          <w:color w:val="111111"/>
          <w:sz w:val="28"/>
          <w:szCs w:val="28"/>
          <w:rtl w:val="true"/>
          <w:lang w:bidi="fa-IR"/>
        </w:rPr>
        <w:t>.</w:t>
      </w:r>
    </w:p>
    <w:p>
      <w:pPr>
        <w:pStyle w:val="Heading3"/>
        <w:numPr>
          <w:ilvl w:val="2"/>
          <w:numId w:val="1"/>
        </w:numPr>
        <w:rPr/>
      </w:pPr>
      <w:bookmarkStart w:id="4185" w:name="__RefHeading___Toc2568792_3650668749"/>
      <w:bookmarkStart w:id="4186" w:name="_Toc1905"/>
      <w:bookmarkEnd w:id="4185"/>
      <w:r>
        <w:rPr>
          <w:rtl w:val="true"/>
        </w:rPr>
        <w:t>[ (</w:t>
      </w:r>
      <w:r>
        <w:rPr>
          <w:rtl w:val="true"/>
        </w:rPr>
        <w:t xml:space="preserve">مسألة </w:t>
      </w:r>
      <w:r>
        <w:rPr/>
        <w:t>17</w:t>
      </w:r>
      <w:r>
        <w:rPr>
          <w:rtl w:val="true"/>
        </w:rPr>
        <w:t xml:space="preserve">): </w:t>
      </w:r>
      <w:r>
        <w:rPr>
          <w:rtl w:val="true"/>
        </w:rPr>
        <w:t>إذا اطّلع الشفیع علی البیع فله المطالبة فی الحال</w:t>
      </w:r>
      <w:r>
        <w:rPr>
          <w:rtl w:val="true"/>
        </w:rPr>
        <w:t>]</w:t>
      </w:r>
      <w:bookmarkEnd w:id="4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اطّلع الشفیع علی البیع فله المطالبة فی الحال و تبطل شفعته بالمماطلة و التأخیر بلا داع عقلائی و عذر عقلی أو شرعی أو عادی، بخلاف ما إذا کان عدم الأخذ بها لعذر، و من الأعذار عدم اطّلاعه علی البیع و إن أخبروه به إذا لم یکن المخبر ممّن یوثق به، و کذا جهله باستحقاق الشفعة أو عدم جواز تأخیر المطالبة بالمماطلة، بل من ذلک لو ترک الأخذ بها لتوهّمه کثرة الثمن فبان قلیلًا أو کونه نقداً یصعب علیه تحصیله کالذهب فبان خلافه و غیر ذلک</w:t>
      </w:r>
      <w:r>
        <w:rPr>
          <w:rFonts w:eastAsia="IRNazanin" w:cs="IRNazanin"/>
          <w:color w:val="111111"/>
          <w:sz w:val="28"/>
          <w:szCs w:val="28"/>
          <w:rtl w:val="true"/>
          <w:lang w:bidi="fa-IR"/>
        </w:rPr>
        <w:t>.</w:t>
      </w:r>
    </w:p>
    <w:p>
      <w:pPr>
        <w:pStyle w:val="Heading3"/>
        <w:numPr>
          <w:ilvl w:val="2"/>
          <w:numId w:val="1"/>
        </w:numPr>
        <w:rPr/>
      </w:pPr>
      <w:bookmarkStart w:id="4187" w:name="__RefHeading___Toc2568794_3650668749"/>
      <w:bookmarkStart w:id="4188" w:name="_Toc1906"/>
      <w:bookmarkEnd w:id="4187"/>
      <w:r>
        <w:rPr>
          <w:rtl w:val="true"/>
        </w:rPr>
        <w:t>[ (</w:t>
      </w:r>
      <w:r>
        <w:rPr>
          <w:rtl w:val="true"/>
        </w:rPr>
        <w:t xml:space="preserve">مسألة </w:t>
      </w:r>
      <w:r>
        <w:rPr/>
        <w:t>18</w:t>
      </w:r>
      <w:r>
        <w:rPr>
          <w:rtl w:val="true"/>
        </w:rPr>
        <w:t xml:space="preserve">): </w:t>
      </w:r>
      <w:r>
        <w:rPr>
          <w:rtl w:val="true"/>
        </w:rPr>
        <w:t>لمّا کانت الشفعة من الحقوق تسقط بإسقاط الشفیع لها</w:t>
      </w:r>
      <w:r>
        <w:rPr>
          <w:rtl w:val="true"/>
        </w:rPr>
        <w:t>]</w:t>
      </w:r>
      <w:bookmarkEnd w:id="418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الشفعة من الحقوق تسقط بإسقاط الشفیع لها، بل لو رضی بالبیع من الأجنبی من أوّل الأمر أو عرض علیه شراء الحصّة فأبیٰ لم یکن له شفعة من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سقوطها بإقالة المتبایعین أو ردّ المشتری إلی البائع بعیب أو غیره وجه وجیه</w:t>
      </w:r>
      <w:r>
        <w:rPr>
          <w:rFonts w:eastAsia="IRNazanin" w:cs="IRNazanin"/>
          <w:color w:val="111111"/>
          <w:sz w:val="28"/>
          <w:szCs w:val="28"/>
          <w:rtl w:val="true"/>
          <w:lang w:bidi="fa-IR"/>
        </w:rPr>
        <w:t>.</w:t>
      </w:r>
      <w:bookmarkStart w:id="4189" w:name="pg1809_19390"/>
    </w:p>
    <w:p>
      <w:pPr>
        <w:pStyle w:val="Heading3"/>
        <w:numPr>
          <w:ilvl w:val="2"/>
          <w:numId w:val="1"/>
        </w:numPr>
        <w:rPr/>
      </w:pPr>
      <w:bookmarkStart w:id="4190" w:name="__RefHeading___Toc2568796_3650668749"/>
      <w:bookmarkStart w:id="4191" w:name="_Toc1907"/>
      <w:bookmarkEnd w:id="4189"/>
      <w:bookmarkEnd w:id="4190"/>
      <w:r>
        <w:rPr>
          <w:rtl w:val="true"/>
        </w:rPr>
        <w:t>[ (</w:t>
      </w:r>
      <w:r>
        <w:rPr>
          <w:rtl w:val="true"/>
        </w:rPr>
        <w:t xml:space="preserve">مسألة </w:t>
      </w:r>
      <w:r>
        <w:rPr/>
        <w:t>19</w:t>
      </w:r>
      <w:r>
        <w:rPr>
          <w:rtl w:val="true"/>
        </w:rPr>
        <w:t xml:space="preserve">): </w:t>
      </w:r>
      <w:r>
        <w:rPr>
          <w:rtl w:val="true"/>
        </w:rPr>
        <w:t>لو تصرّف المشتری فیما اشتراه فإن کان بالبیع کان للشفیع الأخذ من المشتری الأوّل</w:t>
      </w:r>
      <w:r>
        <w:rPr>
          <w:rtl w:val="true"/>
        </w:rPr>
        <w:t>]</w:t>
      </w:r>
      <w:bookmarkEnd w:id="4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تصرّف المشتری فیما اشتراه فإن کان بالبیع کان للشفیع الأخذ من المشتری الأوّل بما بذله من الثمن، فیبطل الشراء الثانی و له الأخذ من الثانی بما بذله من الثمن فیصحّ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زادت البیوع علی اثنین، فإنّ له الأخذ من المشتری الأوّل بما بذله من الثمن فتبطل البیوع اللاحقة، و له الأخذ من الأخیر بما بذله من الثمن فصحّ جمیع البیوع المتقدّمة و له الأخذ من الوسط فصحّ کلّ ما تقدّم و بطل کلّ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بغیر البیع کالوقف و غیر ذلک فله الأخذ بالشفعة و إبطال ما وقع من المشتری و إزالته، بل الظاهر أنّ صحّتها مراعاة </w:t>
      </w:r>
      <w:r>
        <w:rPr>
          <w:rStyle w:val="FootnoteAnchor"/>
          <w:rtl w:val="true"/>
        </w:rPr>
        <w:footnoteReference w:id="1177"/>
      </w:r>
      <w:r>
        <w:rPr>
          <w:rFonts w:ascii="IRNazanin" w:hAnsi="IRNazanin" w:eastAsia="IRNazanin"/>
          <w:color w:val="111111"/>
          <w:sz w:val="28"/>
          <w:sz w:val="28"/>
          <w:szCs w:val="28"/>
          <w:rtl w:val="true"/>
          <w:lang w:bidi="fa-IR"/>
        </w:rPr>
        <w:t>بعدم الأخذ بالشفعة و إلّا فهی باطلة من أصلها</w:t>
      </w:r>
      <w:r>
        <w:rPr>
          <w:rFonts w:eastAsia="IRNazanin" w:cs="IRNazanin"/>
          <w:color w:val="111111"/>
          <w:sz w:val="28"/>
          <w:szCs w:val="28"/>
          <w:rtl w:val="true"/>
          <w:lang w:bidi="fa-IR"/>
        </w:rPr>
        <w:t>.</w:t>
      </w:r>
    </w:p>
    <w:p>
      <w:pPr>
        <w:pStyle w:val="Heading3"/>
        <w:numPr>
          <w:ilvl w:val="2"/>
          <w:numId w:val="1"/>
        </w:numPr>
        <w:rPr/>
      </w:pPr>
      <w:bookmarkStart w:id="4192" w:name="__RefHeading___Toc2568798_3650668749"/>
      <w:bookmarkStart w:id="4193" w:name="_Toc1908"/>
      <w:bookmarkEnd w:id="4192"/>
      <w:r>
        <w:rPr>
          <w:rtl w:val="true"/>
        </w:rPr>
        <w:t>[ (</w:t>
      </w:r>
      <w:r>
        <w:rPr>
          <w:rtl w:val="true"/>
        </w:rPr>
        <w:t xml:space="preserve">مسألة </w:t>
      </w:r>
      <w:r>
        <w:rPr/>
        <w:t>20</w:t>
      </w:r>
      <w:r>
        <w:rPr>
          <w:rtl w:val="true"/>
        </w:rPr>
        <w:t xml:space="preserve">): </w:t>
      </w:r>
      <w:r>
        <w:rPr>
          <w:rtl w:val="true"/>
        </w:rPr>
        <w:t>لو تلفت الحصّة المشتراة بالمرّة بحیث لم یبق منها شی‌ء أصلًا سقطت الشفعة</w:t>
      </w:r>
      <w:r>
        <w:rPr>
          <w:rtl w:val="true"/>
        </w:rPr>
        <w:t>]</w:t>
      </w:r>
      <w:bookmarkEnd w:id="4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تلفت الحصّة المشتراة بالمرّة بحیث لم یبق منها شی‌ء أصلًا سقطت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ذلک بعد الأخذ بالشفعة و کان التلف بفعل المشتری ضمنه </w:t>
      </w:r>
      <w:r>
        <w:rPr>
          <w:rStyle w:val="FootnoteAnchor"/>
          <w:rtl w:val="true"/>
        </w:rPr>
        <w:footnoteReference w:id="1178"/>
      </w:r>
      <w:r>
        <w:rPr>
          <w:rFonts w:ascii="IRNazanin" w:hAnsi="IRNazanin" w:eastAsia="IRNazanin"/>
          <w:color w:val="111111"/>
          <w:sz w:val="28"/>
          <w:sz w:val="28"/>
          <w:szCs w:val="28"/>
          <w:rtl w:val="true"/>
          <w:lang w:bidi="fa-IR"/>
        </w:rPr>
        <w:t>، و أمّا إن بقی منها شی‌ء کالدار إذا انهدمت و بقیت عرصتها و أنقاضها، أو عابت لم تسقط الشفعة، فللشفیع الأخذ بها و انتزاع ما بقی منها من العرصة و الأنقاض مثلًا بتمام الثمن، أو الترک من دون ضمان علی المشتری، نعم لو کان ذلک بعد الأخذ بالشفعة و کان بفعل المشتری ضمن قیمة التالف أو أرش العیب</w:t>
      </w:r>
      <w:r>
        <w:rPr>
          <w:rFonts w:eastAsia="IRNazanin" w:cs="IRNazanin"/>
          <w:color w:val="111111"/>
          <w:sz w:val="28"/>
          <w:szCs w:val="28"/>
          <w:rtl w:val="true"/>
          <w:lang w:bidi="fa-IR"/>
        </w:rPr>
        <w:t>.</w:t>
      </w:r>
    </w:p>
    <w:p>
      <w:pPr>
        <w:pStyle w:val="Heading3"/>
        <w:numPr>
          <w:ilvl w:val="2"/>
          <w:numId w:val="1"/>
        </w:numPr>
        <w:rPr/>
      </w:pPr>
      <w:bookmarkStart w:id="4194" w:name="__RefHeading___Toc2568800_3650668749"/>
      <w:bookmarkStart w:id="4195" w:name="_Toc1909"/>
      <w:bookmarkEnd w:id="4194"/>
      <w:r>
        <w:rPr>
          <w:rtl w:val="true"/>
        </w:rPr>
        <w:t>[ (</w:t>
      </w:r>
      <w:r>
        <w:rPr>
          <w:rtl w:val="true"/>
        </w:rPr>
        <w:t xml:space="preserve">مسألة </w:t>
      </w:r>
      <w:r>
        <w:rPr/>
        <w:t>21</w:t>
      </w:r>
      <w:r>
        <w:rPr>
          <w:rtl w:val="true"/>
        </w:rPr>
        <w:t xml:space="preserve">): </w:t>
      </w:r>
      <w:r>
        <w:rPr>
          <w:rtl w:val="true"/>
        </w:rPr>
        <w:t>یشترط فی الأخذ بالشفعة علم الشفیع بالثمن حین الأخذ علی الأحوط</w:t>
      </w:r>
      <w:r>
        <w:rPr>
          <w:rtl w:val="true"/>
        </w:rPr>
        <w:t>]</w:t>
      </w:r>
      <w:bookmarkEnd w:id="4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الأخذ بالشفعة علم الشفیع بالثمن حین الأخذ علی الأحوط لو لم یکن أقوی فلو قال بعد اطّلاعه علی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بالشفعة بالثمن بالغاً ما بلغ، لم یصحّ و إن علم بعد ذلک</w:t>
      </w:r>
      <w:r>
        <w:rPr>
          <w:rFonts w:eastAsia="IRNazanin" w:cs="IRNazanin"/>
          <w:color w:val="111111"/>
          <w:sz w:val="28"/>
          <w:szCs w:val="28"/>
          <w:rtl w:val="true"/>
          <w:lang w:bidi="fa-IR"/>
        </w:rPr>
        <w:t>.</w:t>
      </w:r>
    </w:p>
    <w:p>
      <w:pPr>
        <w:pStyle w:val="Heading3"/>
        <w:numPr>
          <w:ilvl w:val="2"/>
          <w:numId w:val="1"/>
        </w:numPr>
        <w:rPr/>
      </w:pPr>
      <w:bookmarkStart w:id="4196" w:name="__RefHeading___Toc2568802_3650668749"/>
      <w:bookmarkStart w:id="4197" w:name="_Toc1910"/>
      <w:bookmarkEnd w:id="4196"/>
      <w:r>
        <w:rPr>
          <w:rtl w:val="true"/>
        </w:rPr>
        <w:t>[ (</w:t>
      </w:r>
      <w:r>
        <w:rPr>
          <w:rtl w:val="true"/>
        </w:rPr>
        <w:t xml:space="preserve">مسألة </w:t>
      </w:r>
      <w:r>
        <w:rPr/>
        <w:t>22</w:t>
      </w:r>
      <w:r>
        <w:rPr>
          <w:rtl w:val="true"/>
        </w:rPr>
        <w:t xml:space="preserve">): </w:t>
      </w:r>
      <w:r>
        <w:rPr>
          <w:rtl w:val="true"/>
        </w:rPr>
        <w:t>الشفعة موروث علیٰ إشکال</w:t>
      </w:r>
      <w:r>
        <w:rPr>
          <w:rtl w:val="true"/>
        </w:rPr>
        <w:t>]</w:t>
      </w:r>
      <w:bookmarkEnd w:id="419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موروث علیٰ إشکال، و کیفیّة إرثها أنّه عند أخذ الورثة بها یقسّم المشفوع بینهم علیٰ ما فرض اللّٰه فی المواریث، فلو خلّف زوجة و ابناً یکون الثمن لها و الباقی له، و لو خلّف ابناً و بنتاً فللذکر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لبعض الورثة الأخذ بها ما لم یوافقه الباقون، نعم لو عفا بعضهم و أسقط حقّه کانت الشفعة لمن لم یعف </w:t>
      </w:r>
      <w:r>
        <w:rPr>
          <w:rStyle w:val="FootnoteAnchor"/>
          <w:rtl w:val="true"/>
        </w:rPr>
        <w:footnoteReference w:id="1179"/>
      </w:r>
      <w:r>
        <w:rPr>
          <w:rFonts w:ascii="IRNazanin" w:hAnsi="IRNazanin" w:eastAsia="IRNazanin"/>
          <w:color w:val="111111"/>
          <w:sz w:val="28"/>
          <w:sz w:val="28"/>
          <w:szCs w:val="28"/>
          <w:rtl w:val="true"/>
          <w:lang w:bidi="fa-IR"/>
        </w:rPr>
        <w:t>، و یکون العافی کأن لم یکن رأساً</w:t>
      </w:r>
      <w:r>
        <w:rPr>
          <w:rFonts w:eastAsia="IRNazanin" w:cs="IRNazanin"/>
          <w:color w:val="111111"/>
          <w:sz w:val="28"/>
          <w:szCs w:val="28"/>
          <w:rtl w:val="true"/>
          <w:lang w:bidi="fa-IR"/>
        </w:rPr>
        <w:t>.</w:t>
      </w:r>
      <w:bookmarkStart w:id="4198" w:name="pg1809_19391"/>
    </w:p>
    <w:p>
      <w:pPr>
        <w:pStyle w:val="Heading3"/>
        <w:numPr>
          <w:ilvl w:val="2"/>
          <w:numId w:val="1"/>
        </w:numPr>
        <w:rPr/>
      </w:pPr>
      <w:bookmarkStart w:id="4199" w:name="__RefHeading___Toc2568804_3650668749"/>
      <w:bookmarkStart w:id="4200" w:name="_Toc1911"/>
      <w:bookmarkEnd w:id="4198"/>
      <w:bookmarkEnd w:id="4199"/>
      <w:r>
        <w:rPr>
          <w:rtl w:val="true"/>
        </w:rPr>
        <w:t>[ (</w:t>
      </w:r>
      <w:r>
        <w:rPr>
          <w:rtl w:val="true"/>
        </w:rPr>
        <w:t xml:space="preserve">مسألة </w:t>
      </w:r>
      <w:r>
        <w:rPr/>
        <w:t>23</w:t>
      </w:r>
      <w:r>
        <w:rPr>
          <w:rtl w:val="true"/>
        </w:rPr>
        <w:t xml:space="preserve">): </w:t>
      </w:r>
      <w:r>
        <w:rPr>
          <w:rtl w:val="true"/>
        </w:rPr>
        <w:t>إذا باع الشفیع نصیبه قبل أن یأخذ بالشفعة</w:t>
      </w:r>
      <w:r>
        <w:rPr>
          <w:rtl w:val="true"/>
        </w:rPr>
        <w:t>]</w:t>
      </w:r>
      <w:bookmarkEnd w:id="4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الشفیع نصیبه قبل أن یأخذ بالشفعة، فالظاهر سقوطها، خصوصاً إذا کان بعد علمه بالشفعة</w:t>
      </w:r>
      <w:r>
        <w:rPr>
          <w:rFonts w:eastAsia="IRNazanin" w:cs="IRNazanin"/>
          <w:color w:val="111111"/>
          <w:sz w:val="28"/>
          <w:szCs w:val="28"/>
          <w:rtl w:val="true"/>
          <w:lang w:bidi="fa-IR"/>
        </w:rPr>
        <w:t>.</w:t>
      </w:r>
    </w:p>
    <w:p>
      <w:pPr>
        <w:pStyle w:val="Heading3"/>
        <w:numPr>
          <w:ilvl w:val="2"/>
          <w:numId w:val="1"/>
        </w:numPr>
        <w:rPr/>
      </w:pPr>
      <w:bookmarkStart w:id="4201" w:name="__RefHeading___Toc2568806_3650668749"/>
      <w:bookmarkStart w:id="4202" w:name="_Toc1912"/>
      <w:bookmarkEnd w:id="4201"/>
      <w:r>
        <w:rPr>
          <w:rtl w:val="true"/>
        </w:rPr>
        <w:t>[ (</w:t>
      </w:r>
      <w:r>
        <w:rPr>
          <w:rtl w:val="true"/>
        </w:rPr>
        <w:t xml:space="preserve">مسألة </w:t>
      </w:r>
      <w:r>
        <w:rPr/>
        <w:t>24</w:t>
      </w:r>
      <w:r>
        <w:rPr>
          <w:rtl w:val="true"/>
        </w:rPr>
        <w:t xml:space="preserve">): </w:t>
      </w:r>
      <w:r>
        <w:rPr>
          <w:rtl w:val="true"/>
        </w:rPr>
        <w:t>یصحّ أن یصالح الشفیع مع المشتری عن شفعته بعوض و بدونه</w:t>
      </w:r>
      <w:r>
        <w:rPr>
          <w:rtl w:val="true"/>
        </w:rPr>
        <w:t>]</w:t>
      </w:r>
      <w:bookmarkEnd w:id="4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یصالح الشفیع مع المشتری عن شفعته بعوض و بدونه و یکون أثره سقوطها، فلا یحتاج بعد إلیٰ إنشاء 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صالح معه علیٰ إسقاطه أو علیٰ ترک الأخذ بها صحّ أیضاً و لزم الوفاء به، لکن لو لم یوجد المسقط و أخذ بها هل یترتّب علیه أثره و إن أثم بعدم الوفاء بما التزم، أو لا أثر له؟ وجهان؛ أوجههما أوّلهما فی الأوّل، و ثانیهما </w:t>
      </w:r>
      <w:r>
        <w:rPr>
          <w:rStyle w:val="FootnoteAnchor"/>
          <w:rtl w:val="true"/>
        </w:rPr>
        <w:footnoteReference w:id="1180"/>
      </w:r>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w:t>
      </w:r>
    </w:p>
    <w:p>
      <w:pPr>
        <w:pStyle w:val="Heading3"/>
        <w:numPr>
          <w:ilvl w:val="2"/>
          <w:numId w:val="1"/>
        </w:numPr>
        <w:rPr/>
      </w:pPr>
      <w:bookmarkStart w:id="4203" w:name="__RefHeading___Toc2568808_3650668749"/>
      <w:bookmarkStart w:id="4204" w:name="_Toc1913"/>
      <w:bookmarkEnd w:id="4203"/>
      <w:r>
        <w:rPr>
          <w:rtl w:val="true"/>
        </w:rPr>
        <w:t>[ (</w:t>
      </w:r>
      <w:r>
        <w:rPr>
          <w:rtl w:val="true"/>
        </w:rPr>
        <w:t xml:space="preserve">مسألة </w:t>
      </w:r>
      <w:r>
        <w:rPr/>
        <w:t>25</w:t>
      </w:r>
      <w:r>
        <w:rPr>
          <w:rtl w:val="true"/>
        </w:rPr>
        <w:t xml:space="preserve">): </w:t>
      </w:r>
      <w:r>
        <w:rPr>
          <w:rtl w:val="true"/>
        </w:rPr>
        <w:t>لو کانت دار مثلًا بین حاضر و غائب و کانت حصّة الغائب بید آخر فباعها بدعوی الوکالة عنه</w:t>
      </w:r>
      <w:r>
        <w:rPr>
          <w:rtl w:val="true"/>
        </w:rPr>
        <w:t>]</w:t>
      </w:r>
      <w:bookmarkEnd w:id="420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دار مثلًا بین حاضر و غائب و کانت حصّة الغائب بید آخر فباعها بدعوی الوکالة عنه لا إشکال فی جواز الشراء منه و تصرّف المشتری فیما اشتراه أنواع التصرّفات ما لم یعلم کذبه فی دعواه، و إنّما الإشکال فی أنّه هل یجوز للشریک الآخر الأخذ بالشفعة بعد اطّلاعه علی البیع و انتزاعها من المشتری أم لا؟ فیه تردّد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bookmarkStart w:id="4205" w:name="pg1809_19392"/>
    </w:p>
    <w:p>
      <w:pPr>
        <w:pStyle w:val="Heading2"/>
        <w:numPr>
          <w:ilvl w:val="1"/>
          <w:numId w:val="1"/>
        </w:numPr>
        <w:rPr/>
      </w:pPr>
      <w:bookmarkStart w:id="4206" w:name="__RefHeading___Toc2568810_3650668749"/>
      <w:bookmarkStart w:id="4207" w:name="_Toc1914"/>
      <w:bookmarkEnd w:id="4205"/>
      <w:bookmarkEnd w:id="4206"/>
      <w:r>
        <w:rPr>
          <w:rtl w:val="true"/>
        </w:rPr>
        <w:t>[</w:t>
      </w:r>
      <w:r>
        <w:rPr>
          <w:rtl w:val="true"/>
        </w:rPr>
        <w:t>کتاب الصلح</w:t>
      </w:r>
      <w:r>
        <w:rPr>
          <w:rtl w:val="true"/>
        </w:rPr>
        <w:t>]</w:t>
      </w:r>
      <w:bookmarkEnd w:id="4207"/>
    </w:p>
    <w:p>
      <w:pPr>
        <w:pStyle w:val="Heading3"/>
        <w:numPr>
          <w:ilvl w:val="2"/>
          <w:numId w:val="1"/>
        </w:numPr>
        <w:rPr/>
      </w:pPr>
      <w:bookmarkStart w:id="4208" w:name="__RefHeading___Toc2568812_3650668749"/>
      <w:bookmarkStart w:id="4209" w:name="_Toc1915"/>
      <w:bookmarkEnd w:id="4208"/>
      <w:r>
        <w:rPr>
          <w:rtl w:val="true"/>
        </w:rPr>
        <w:t>اشارة</w:t>
      </w:r>
      <w:bookmarkEnd w:id="4209"/>
    </w:p>
    <w:p>
      <w:pPr>
        <w:pStyle w:val="BookText"/>
        <w:rPr/>
      </w:pPr>
      <w:r>
        <w:rPr>
          <w:rFonts w:ascii="IRNazanin" w:hAnsi="IRNazanin" w:eastAsia="IRNazanin"/>
          <w:color w:val="111111"/>
          <w:sz w:val="28"/>
          <w:sz w:val="28"/>
          <w:szCs w:val="28"/>
          <w:rtl w:val="true"/>
          <w:lang w:bidi="fa-IR"/>
        </w:rPr>
        <w:t>کتاب الصلح و هو التراضی و التسالم علیٰ أمر؛ من تملیک عین أو منفعة أو إسقاط دین أو حقّ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بکونه مسبوقاً بالنزاع و إن کان تشریعه فی شرع الإسلام لقطع التجاذب و رفع التنازع بین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إیقاعه علیٰ کلّ </w:t>
      </w:r>
      <w:r>
        <w:rPr>
          <w:rStyle w:val="FootnoteAnchor"/>
          <w:rtl w:val="true"/>
        </w:rPr>
        <w:footnoteReference w:id="1182"/>
      </w:r>
      <w:r>
        <w:rPr>
          <w:rFonts w:ascii="Amiri" w:hAnsi="Amiri" w:eastAsia="Amiri" w:cs="Amiri"/>
          <w:color w:val="111111"/>
          <w:sz w:val="28"/>
          <w:sz w:val="28"/>
          <w:szCs w:val="28"/>
          <w:rtl w:val="true"/>
          <w:lang w:bidi="ar-SA"/>
        </w:rPr>
        <w:t>أمر، و فی کلّ مقام إلّا إذا کان محرّماً لحلال أو محلّلًا لحرام</w:t>
      </w:r>
      <w:r>
        <w:rPr>
          <w:rFonts w:eastAsia="Amiri" w:cs="Amiri" w:ascii="Amiri" w:hAnsi="Amiri"/>
          <w:color w:val="111111"/>
          <w:sz w:val="28"/>
          <w:szCs w:val="28"/>
          <w:rtl w:val="true"/>
          <w:lang w:bidi="ar-SA"/>
        </w:rPr>
        <w:t>.</w:t>
      </w:r>
    </w:p>
    <w:p>
      <w:pPr>
        <w:pStyle w:val="Heading3"/>
        <w:numPr>
          <w:ilvl w:val="2"/>
          <w:numId w:val="1"/>
        </w:numPr>
        <w:rPr/>
      </w:pPr>
      <w:bookmarkStart w:id="4210" w:name="__RefHeading___Toc2568814_3650668749"/>
      <w:bookmarkStart w:id="4211" w:name="_Toc1916"/>
      <w:bookmarkEnd w:id="4210"/>
      <w:r>
        <w:rPr>
          <w:rtl w:val="true"/>
        </w:rPr>
        <w:t>[ (</w:t>
      </w:r>
      <w:r>
        <w:rPr>
          <w:rtl w:val="true"/>
        </w:rPr>
        <w:t xml:space="preserve">مسألة </w:t>
      </w:r>
      <w:r>
        <w:rPr/>
        <w:t>1</w:t>
      </w:r>
      <w:r>
        <w:rPr>
          <w:rtl w:val="true"/>
        </w:rPr>
        <w:t xml:space="preserve">): </w:t>
      </w:r>
      <w:r>
        <w:rPr>
          <w:rtl w:val="true"/>
        </w:rPr>
        <w:t>الحقّ أنّ الصلح عقد مستقلّ بنفسه و عنوان برأسه و لیس کما قیل راجعاً إلیٰ سائر العقود</w:t>
      </w:r>
      <w:r>
        <w:rPr>
          <w:rtl w:val="true"/>
        </w:rPr>
        <w:t>]</w:t>
      </w:r>
      <w:bookmarkEnd w:id="4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الصلح عقد مستقلّ بنفسه و عنوان برأسه و لیس کما قیل راجعاً إلیٰ سائر العقود و إن أفاد فائدتها، فیفید فائدة البیع إذا کان عن عین بعوض، و فائدة الهبة إذا کان عن عین بلا عوض، و فائدة الإجارة إذا کان عن منفعة بعوض و هکذا، فلم یلحقه أحکام سائر العقود و لم یجرِ فیه شروطها و إن أفاد فائدتها، فما أفاد فائدة البیع لا یلحقه أحکامه و شروطه، فلا یجری فیه الخیارات المختصّة بالبیع کخیاری المجلس و الحیوان و لا الشفعة، و لا یشترط فیه قبض العوضین إذا تعلّق بمعاوضة النقدین، و ما أفاد فائدة الهبة من تملیک عین بلا عوض لا یعتبر فیه قبض العین کما اعتبر فی الهبة و هکذا</w:t>
      </w:r>
      <w:r>
        <w:rPr>
          <w:rFonts w:eastAsia="IRNazanin" w:cs="IRNazanin"/>
          <w:color w:val="111111"/>
          <w:sz w:val="28"/>
          <w:szCs w:val="28"/>
          <w:rtl w:val="true"/>
          <w:lang w:bidi="fa-IR"/>
        </w:rPr>
        <w:t>.</w:t>
      </w:r>
    </w:p>
    <w:p>
      <w:pPr>
        <w:pStyle w:val="Heading3"/>
        <w:numPr>
          <w:ilvl w:val="2"/>
          <w:numId w:val="1"/>
        </w:numPr>
        <w:rPr/>
      </w:pPr>
      <w:bookmarkStart w:id="4212" w:name="__RefHeading___Toc2568816_3650668749"/>
      <w:bookmarkStart w:id="4213" w:name="_Toc1917"/>
      <w:bookmarkEnd w:id="4212"/>
      <w:r>
        <w:rPr>
          <w:rtl w:val="true"/>
        </w:rPr>
        <w:t>[ (</w:t>
      </w:r>
      <w:r>
        <w:rPr>
          <w:rtl w:val="true"/>
        </w:rPr>
        <w:t xml:space="preserve">مسألة </w:t>
      </w:r>
      <w:r>
        <w:rPr/>
        <w:t>2</w:t>
      </w:r>
      <w:r>
        <w:rPr>
          <w:rtl w:val="true"/>
        </w:rPr>
        <w:t xml:space="preserve">): </w:t>
      </w:r>
      <w:r>
        <w:rPr>
          <w:rtl w:val="true"/>
        </w:rPr>
        <w:t>لمّا کان الصلح عقداً من العقود یحتاج إلی الإیجاب و القبول مطلقاً</w:t>
      </w:r>
      <w:r>
        <w:rPr>
          <w:rtl w:val="true"/>
        </w:rPr>
        <w:t>]</w:t>
      </w:r>
      <w:bookmarkEnd w:id="421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الصلح عقداً من العقود یحتاج إلی الإیجاب و القبول مطلقاً، حتّی فیما أفاد فائدة الإبراء و إسقاط الحقّ علی الأقویٰ، فإبراء المدیون من الدین و إسقاط الحقّ عمّن علیه الحقّ و إن لم یتوقّفا علیٰ قبول من علیه الدین أو الحقّ لکن إذا وقعا بعنوان الصلح توقّفا علی القبول</w:t>
      </w:r>
      <w:r>
        <w:rPr>
          <w:rFonts w:eastAsia="IRNazanin" w:cs="IRNazanin"/>
          <w:color w:val="111111"/>
          <w:sz w:val="28"/>
          <w:szCs w:val="28"/>
          <w:rtl w:val="true"/>
          <w:lang w:bidi="fa-IR"/>
        </w:rPr>
        <w:t>.</w:t>
      </w:r>
      <w:bookmarkStart w:id="4214" w:name="pg1809_19393"/>
    </w:p>
    <w:p>
      <w:pPr>
        <w:pStyle w:val="BookText"/>
        <w:rPr/>
      </w:pPr>
      <w:bookmarkEnd w:id="4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یتعدّی إلیٰ المفعول الأوّل بنفسه و إلی المفعول الثانی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صالحتک عن الدار أو منفعتها بکذا، فیقول المتصالح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المصالحة، أو اصطلحتها بکذا</w:t>
      </w:r>
      <w:r>
        <w:rPr>
          <w:rFonts w:eastAsia="IRNazanin" w:cs="IRNazanin"/>
          <w:color w:val="111111"/>
          <w:sz w:val="28"/>
          <w:szCs w:val="28"/>
          <w:rtl w:val="true"/>
          <w:lang w:bidi="fa-IR"/>
        </w:rPr>
        <w:t>.</w:t>
      </w:r>
    </w:p>
    <w:p>
      <w:pPr>
        <w:pStyle w:val="Heading3"/>
        <w:numPr>
          <w:ilvl w:val="2"/>
          <w:numId w:val="1"/>
        </w:numPr>
        <w:rPr/>
      </w:pPr>
      <w:bookmarkStart w:id="4215" w:name="__RefHeading___Toc2568818_3650668749"/>
      <w:bookmarkStart w:id="4216" w:name="_Toc1918"/>
      <w:bookmarkEnd w:id="4215"/>
      <w:r>
        <w:rPr>
          <w:rtl w:val="true"/>
        </w:rPr>
        <w:t>[ (</w:t>
      </w:r>
      <w:r>
        <w:rPr>
          <w:rtl w:val="true"/>
        </w:rPr>
        <w:t xml:space="preserve">مسألة </w:t>
      </w:r>
      <w:r>
        <w:rPr/>
        <w:t>4</w:t>
      </w:r>
      <w:r>
        <w:rPr>
          <w:rtl w:val="true"/>
        </w:rPr>
        <w:t xml:space="preserve">): </w:t>
      </w:r>
      <w:r>
        <w:rPr>
          <w:rtl w:val="true"/>
        </w:rPr>
        <w:t>عقد الصلح لازم من الطرفین لا یفسخ إلّا بإقالة المتصالحین أو بوجود خیار فی البین</w:t>
      </w:r>
      <w:r>
        <w:rPr>
          <w:rtl w:val="true"/>
        </w:rPr>
        <w:t>]</w:t>
      </w:r>
      <w:bookmarkEnd w:id="4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الصلح لازم من الطرفین لا یفسخ إلّا بإقالة المتصالحین أو بوجود خیار فی البین، حتّی فیما أفاد فائدة الهبة الجائزة، و الظاهر جریان جمیع الخیارات فیه إلّا خیارات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المجلس و الحیوان و التأخیر فإنّها مختصّة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ثبوت الأرش لو ظهر عیب فی العین المصالح عنها أو عوضها إشکال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7" w:name="__RefHeading___Toc2568820_3650668749"/>
      <w:bookmarkStart w:id="4218" w:name="_Toc1919"/>
      <w:bookmarkEnd w:id="4217"/>
      <w:r>
        <w:rPr>
          <w:rtl w:val="true"/>
        </w:rPr>
        <w:t>[ (</w:t>
      </w:r>
      <w:r>
        <w:rPr>
          <w:rtl w:val="true"/>
        </w:rPr>
        <w:t xml:space="preserve">مسألة </w:t>
      </w:r>
      <w:r>
        <w:rPr/>
        <w:t>5</w:t>
      </w:r>
      <w:r>
        <w:rPr>
          <w:rtl w:val="true"/>
        </w:rPr>
        <w:t xml:space="preserve">): </w:t>
      </w:r>
      <w:r>
        <w:rPr>
          <w:rtl w:val="true"/>
        </w:rPr>
        <w:t>متعلّق الصلح</w:t>
      </w:r>
      <w:r>
        <w:rPr>
          <w:rtl w:val="true"/>
        </w:rPr>
        <w:t xml:space="preserve">: </w:t>
      </w:r>
      <w:r>
        <w:rPr>
          <w:rtl w:val="true"/>
        </w:rPr>
        <w:t>إمّا عین أو منفعة أو دین أو حقّ</w:t>
      </w:r>
      <w:r>
        <w:rPr>
          <w:rtl w:val="true"/>
        </w:rPr>
        <w:t>]</w:t>
      </w:r>
      <w:bookmarkEnd w:id="4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عین أو منفعة أو دین أو حقّ، و علی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مع العوض أو بدونه، 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العوض عیناً أو منفعة أو دیناً أو حقّا، فهذه عشرون صورة کلّها صحیحة، فیصحّ الصلح عن عین بعین و منفعة و دین و حقّ و بلا عوض و عن منفعة بمنفعة و عین و دین و حقّ و بلا عوض و هکذا</w:t>
      </w:r>
      <w:r>
        <w:rPr>
          <w:rFonts w:eastAsia="IRNazanin" w:cs="IRNazanin"/>
          <w:color w:val="111111"/>
          <w:sz w:val="28"/>
          <w:szCs w:val="28"/>
          <w:rtl w:val="true"/>
          <w:lang w:bidi="fa-IR"/>
        </w:rPr>
        <w:t>.</w:t>
      </w:r>
    </w:p>
    <w:p>
      <w:pPr>
        <w:pStyle w:val="Heading3"/>
        <w:numPr>
          <w:ilvl w:val="2"/>
          <w:numId w:val="1"/>
        </w:numPr>
        <w:rPr/>
      </w:pPr>
      <w:bookmarkStart w:id="4219" w:name="__RefHeading___Toc2568822_3650668749"/>
      <w:bookmarkStart w:id="4220" w:name="_Toc1920"/>
      <w:bookmarkEnd w:id="4219"/>
      <w:r>
        <w:rPr>
          <w:rtl w:val="true"/>
        </w:rPr>
        <w:t>[ (</w:t>
      </w:r>
      <w:r>
        <w:rPr>
          <w:rtl w:val="true"/>
        </w:rPr>
        <w:t xml:space="preserve">مسألة </w:t>
      </w:r>
      <w:r>
        <w:rPr/>
        <w:t>6</w:t>
      </w:r>
      <w:r>
        <w:rPr>
          <w:rtl w:val="true"/>
        </w:rPr>
        <w:t xml:space="preserve">): </w:t>
      </w:r>
      <w:r>
        <w:rPr>
          <w:rtl w:val="true"/>
        </w:rPr>
        <w:t>الصلح إذا تعلّق بعین أو منفعة أفاد انتقالهما إلی المتصالح</w:t>
      </w:r>
      <w:r>
        <w:rPr>
          <w:rtl w:val="true"/>
        </w:rPr>
        <w:t>]</w:t>
      </w:r>
      <w:bookmarkEnd w:id="4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إذا تعلّق بعین أو منفعة أفاد انتقالهما إلی المتصالح؛ سواء کان مع العوض أو بدونه، و کذا إذا تعلّق بدین علیٰ غیر المصالح له أو حقّ قابل للانتقال کحقّی التحجیر و الاختصاص، و إذا تعلّق بدین علی المتصالح أفاد سقوطه، و کذا إذا تعلّق بحقّ قابل للإسقاط غیر قابل للنقل و الانتقال کحقّی الشفعة و الخیار</w:t>
      </w:r>
      <w:r>
        <w:rPr>
          <w:rFonts w:eastAsia="IRNazanin" w:cs="IRNazanin"/>
          <w:color w:val="111111"/>
          <w:sz w:val="28"/>
          <w:szCs w:val="28"/>
          <w:rtl w:val="true"/>
          <w:lang w:bidi="fa-IR"/>
        </w:rPr>
        <w:t>.</w:t>
      </w:r>
    </w:p>
    <w:p>
      <w:pPr>
        <w:pStyle w:val="Heading3"/>
        <w:numPr>
          <w:ilvl w:val="2"/>
          <w:numId w:val="1"/>
        </w:numPr>
        <w:rPr/>
      </w:pPr>
      <w:bookmarkStart w:id="4221" w:name="__RefHeading___Toc2568824_3650668749"/>
      <w:bookmarkStart w:id="4222" w:name="_Toc1921"/>
      <w:bookmarkEnd w:id="4221"/>
      <w:r>
        <w:rPr>
          <w:rtl w:val="true"/>
        </w:rPr>
        <w:t>[ (</w:t>
      </w:r>
      <w:r>
        <w:rPr>
          <w:rtl w:val="true"/>
        </w:rPr>
        <w:t xml:space="preserve">مسألة </w:t>
      </w:r>
      <w:r>
        <w:rPr/>
        <w:t>7</w:t>
      </w:r>
      <w:r>
        <w:rPr>
          <w:rtl w:val="true"/>
        </w:rPr>
        <w:t xml:space="preserve">): </w:t>
      </w:r>
      <w:r>
        <w:rPr>
          <w:rtl w:val="true"/>
        </w:rPr>
        <w:t>یصحّ الصلح علیٰ مجرّد الانتفاع بعین أو فضاء</w:t>
      </w:r>
      <w:r>
        <w:rPr>
          <w:rtl w:val="true"/>
        </w:rPr>
        <w:t>]</w:t>
      </w:r>
      <w:bookmarkEnd w:id="4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الصلح علیٰ مجرّد الانتفاع بعین أو فضاء؛ کأن یصالحه علیٰ أن یسکن داره، أو یلبس ثوباً له مدّة، أو علیٰ أن تکون جذوع سقفه علیٰ حائطه، أو یجری ماؤه علیٰ سطح داره، أو یکون میزابه علیٰ عرصة داره، أو یکون له الممرّ و المخرج من داره أو بستانه، أو علیٰ أن یخرج جناحاً فی فضاء ملکه، أو علیٰ أن یکون أغصان أشجاره فی فضاء أرضه و غیر ذلک، فإنّ هذه کلّها صحیحة؛ سواء کانت بعوض أو بغیر عوض</w:t>
      </w:r>
      <w:r>
        <w:rPr>
          <w:rFonts w:eastAsia="IRNazanin" w:cs="IRNazanin"/>
          <w:color w:val="111111"/>
          <w:sz w:val="28"/>
          <w:szCs w:val="28"/>
          <w:rtl w:val="true"/>
          <w:lang w:bidi="fa-IR"/>
        </w:rPr>
        <w:t>.</w:t>
      </w:r>
    </w:p>
    <w:p>
      <w:pPr>
        <w:pStyle w:val="Heading3"/>
        <w:numPr>
          <w:ilvl w:val="2"/>
          <w:numId w:val="1"/>
        </w:numPr>
        <w:rPr/>
      </w:pPr>
      <w:bookmarkStart w:id="4223" w:name="__RefHeading___Toc2568826_3650668749"/>
      <w:bookmarkStart w:id="4224" w:name="_Toc1922"/>
      <w:bookmarkEnd w:id="4223"/>
      <w:r>
        <w:rPr>
          <w:rtl w:val="true"/>
        </w:rPr>
        <w:t>[ (</w:t>
      </w:r>
      <w:r>
        <w:rPr>
          <w:rtl w:val="true"/>
        </w:rPr>
        <w:t xml:space="preserve">مسألة </w:t>
      </w:r>
      <w:r>
        <w:rPr/>
        <w:t>8</w:t>
      </w:r>
      <w:r>
        <w:rPr>
          <w:rtl w:val="true"/>
        </w:rPr>
        <w:t xml:space="preserve">): </w:t>
      </w:r>
      <w:r>
        <w:rPr>
          <w:rtl w:val="true"/>
        </w:rPr>
        <w:t>إنّما یصحّ الصلح عن الحقوق التی تسقط بالإسقاط کحقّی الشفعة و الخیار</w:t>
      </w:r>
      <w:r>
        <w:rPr>
          <w:rtl w:val="true"/>
        </w:rPr>
        <w:t>]</w:t>
      </w:r>
      <w:bookmarkEnd w:id="422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الصلح عن الحقوق التی تسقط بالإسقاط کحقّی الشفعة و الخیار و نحوهما، و ما تکون قابلة للنقل و الانتقال کحقّی التحجیر و الاختصاص، و من ذلک حقّ</w:t>
      </w:r>
      <w:bookmarkStart w:id="4225" w:name="pg1809_19394"/>
    </w:p>
    <w:p>
      <w:pPr>
        <w:pStyle w:val="BookText"/>
        <w:rPr/>
      </w:pPr>
      <w:bookmarkEnd w:id="4225"/>
      <w:r>
        <w:rPr>
          <w:rFonts w:ascii="IRNazanin" w:hAnsi="IRNazanin" w:eastAsia="IRNazanin"/>
          <w:color w:val="111111"/>
          <w:sz w:val="28"/>
          <w:sz w:val="28"/>
          <w:szCs w:val="28"/>
          <w:rtl w:val="true"/>
          <w:lang w:bidi="fa-IR"/>
        </w:rPr>
        <w:t>الأولویّة لمن بیده الأراضی الخراجیّة المسمّی فی العرف الحاضر بحقّ اللزمة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لا یسقط بالإسقاط و لا یقبل النقل و الانتقال، فلا یصحّ الصلح عنه، و ذلک مثل حقّ العزل الثابت للموکّل فی الوکالة، و حقّ مطالبة الدین الثابت للدائن فی الدین الحالّ، و حقّ الرجوع الثابت للزوج فی الطلاق الرجعی، و حقّ الرجوع فی البذل الثابت للزوجة فی الخلع و غیر ذلک</w:t>
      </w:r>
      <w:r>
        <w:rPr>
          <w:rFonts w:eastAsia="IRNazanin" w:cs="IRNazanin"/>
          <w:color w:val="111111"/>
          <w:sz w:val="28"/>
          <w:szCs w:val="28"/>
          <w:rtl w:val="true"/>
          <w:lang w:bidi="fa-IR"/>
        </w:rPr>
        <w:t>.</w:t>
      </w:r>
    </w:p>
    <w:p>
      <w:pPr>
        <w:pStyle w:val="Heading3"/>
        <w:numPr>
          <w:ilvl w:val="2"/>
          <w:numId w:val="1"/>
        </w:numPr>
        <w:rPr/>
      </w:pPr>
      <w:bookmarkStart w:id="4226" w:name="__RefHeading___Toc2568828_3650668749"/>
      <w:bookmarkStart w:id="4227" w:name="_Toc1923"/>
      <w:bookmarkEnd w:id="4226"/>
      <w:r>
        <w:rPr>
          <w:rtl w:val="true"/>
        </w:rPr>
        <w:t>[ (</w:t>
      </w:r>
      <w:r>
        <w:rPr>
          <w:rtl w:val="true"/>
        </w:rPr>
        <w:t xml:space="preserve">مسألة </w:t>
      </w:r>
      <w:r>
        <w:rPr/>
        <w:t>9</w:t>
      </w:r>
      <w:r>
        <w:rPr>
          <w:rtl w:val="true"/>
        </w:rPr>
        <w:t xml:space="preserve">): </w:t>
      </w:r>
      <w:r>
        <w:rPr>
          <w:rtl w:val="true"/>
        </w:rPr>
        <w:t>یشترط فی المتصالحین ما یشترط فی المتبایعین</w:t>
      </w:r>
      <w:r>
        <w:rPr>
          <w:rtl w:val="true"/>
        </w:rPr>
        <w:t>]</w:t>
      </w:r>
      <w:bookmarkEnd w:id="4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المتصالحین ما یشترط فی المتبایعین؛ من البلوغ و العقل و القصد و الاختیار</w:t>
      </w:r>
      <w:r>
        <w:rPr>
          <w:rFonts w:eastAsia="IRNazanin" w:cs="IRNazanin"/>
          <w:color w:val="111111"/>
          <w:sz w:val="28"/>
          <w:szCs w:val="28"/>
          <w:rtl w:val="true"/>
          <w:lang w:bidi="fa-IR"/>
        </w:rPr>
        <w:t>.</w:t>
      </w:r>
    </w:p>
    <w:p>
      <w:pPr>
        <w:pStyle w:val="Heading3"/>
        <w:numPr>
          <w:ilvl w:val="2"/>
          <w:numId w:val="1"/>
        </w:numPr>
        <w:rPr/>
      </w:pPr>
      <w:bookmarkStart w:id="4228" w:name="__RefHeading___Toc2568830_3650668749"/>
      <w:bookmarkStart w:id="4229" w:name="_Toc1924"/>
      <w:bookmarkEnd w:id="4228"/>
      <w:r>
        <w:rPr>
          <w:rtl w:val="true"/>
        </w:rPr>
        <w:t>[ (</w:t>
      </w:r>
      <w:r>
        <w:rPr>
          <w:rtl w:val="true"/>
        </w:rPr>
        <w:t xml:space="preserve">مسألة </w:t>
      </w:r>
      <w:r>
        <w:rPr/>
        <w:t>10</w:t>
      </w:r>
      <w:r>
        <w:rPr>
          <w:rtl w:val="true"/>
        </w:rPr>
        <w:t xml:space="preserve">): </w:t>
      </w:r>
      <w:r>
        <w:rPr>
          <w:rtl w:val="true"/>
        </w:rPr>
        <w:t>الظاهر أنّه تجری الفضولیّة فی الصلح کما تجری فی البیع</w:t>
      </w:r>
      <w:r>
        <w:rPr>
          <w:rtl w:val="true"/>
        </w:rPr>
        <w:t>]</w:t>
      </w:r>
      <w:bookmarkEnd w:id="4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تجری الفضولیّة فی الصلح کما تجری فی البیع، حتّی فیما إذا تعلّق بإسقاط دین أو حقّ و أفاد فائدة الإبراء و الإسقاط اللذین لا تجری فیهما الفضولیّة</w:t>
      </w:r>
      <w:r>
        <w:rPr>
          <w:rFonts w:eastAsia="IRNazanin" w:cs="IRNazanin"/>
          <w:color w:val="111111"/>
          <w:sz w:val="28"/>
          <w:szCs w:val="28"/>
          <w:rtl w:val="true"/>
          <w:lang w:bidi="fa-IR"/>
        </w:rPr>
        <w:t>.</w:t>
      </w:r>
    </w:p>
    <w:p>
      <w:pPr>
        <w:pStyle w:val="Heading3"/>
        <w:numPr>
          <w:ilvl w:val="2"/>
          <w:numId w:val="1"/>
        </w:numPr>
        <w:rPr/>
      </w:pPr>
      <w:bookmarkStart w:id="4230" w:name="__RefHeading___Toc2568832_3650668749"/>
      <w:bookmarkStart w:id="4231" w:name="_Toc1925"/>
      <w:bookmarkEnd w:id="4230"/>
      <w:r>
        <w:rPr>
          <w:rtl w:val="true"/>
        </w:rPr>
        <w:t>[ (</w:t>
      </w:r>
      <w:r>
        <w:rPr>
          <w:rtl w:val="true"/>
        </w:rPr>
        <w:t xml:space="preserve">مسألة </w:t>
      </w:r>
      <w:r>
        <w:rPr/>
        <w:t>11</w:t>
      </w:r>
      <w:r>
        <w:rPr>
          <w:rtl w:val="true"/>
        </w:rPr>
        <w:t xml:space="preserve">): </w:t>
      </w:r>
      <w:r>
        <w:rPr>
          <w:rtl w:val="true"/>
        </w:rPr>
        <w:t>یجوز الصلح عن الثمار و الخضر و غیرها قبل وجودها و لو فی عام واحد و بلا ضمیمة</w:t>
      </w:r>
      <w:r>
        <w:rPr>
          <w:rtl w:val="true"/>
        </w:rPr>
        <w:t>]</w:t>
      </w:r>
      <w:bookmarkEnd w:id="4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الصلح عن الثمار و الخضر و غیرها قبل وجودها و لو فی عام واحد و بلا ضمیمة، و إن لم یجز بیعها کما مرّ فی بیع الثمار</w:t>
      </w:r>
      <w:r>
        <w:rPr>
          <w:rFonts w:eastAsia="IRNazanin" w:cs="IRNazanin"/>
          <w:color w:val="111111"/>
          <w:sz w:val="28"/>
          <w:szCs w:val="28"/>
          <w:rtl w:val="true"/>
          <w:lang w:bidi="fa-IR"/>
        </w:rPr>
        <w:t>.</w:t>
      </w:r>
    </w:p>
    <w:p>
      <w:pPr>
        <w:pStyle w:val="Heading3"/>
        <w:numPr>
          <w:ilvl w:val="2"/>
          <w:numId w:val="1"/>
        </w:numPr>
        <w:rPr/>
      </w:pPr>
      <w:bookmarkStart w:id="4232" w:name="__RefHeading___Toc2568834_3650668749"/>
      <w:bookmarkStart w:id="4233" w:name="_Toc1926"/>
      <w:bookmarkEnd w:id="4232"/>
      <w:r>
        <w:rPr>
          <w:rtl w:val="true"/>
        </w:rPr>
        <w:t>[ (</w:t>
      </w:r>
      <w:r>
        <w:rPr>
          <w:rtl w:val="true"/>
        </w:rPr>
        <w:t xml:space="preserve">مسألة </w:t>
      </w:r>
      <w:r>
        <w:rPr/>
        <w:t>12</w:t>
      </w:r>
      <w:r>
        <w:rPr>
          <w:rtl w:val="true"/>
        </w:rPr>
        <w:t xml:space="preserve">): </w:t>
      </w:r>
      <w:r>
        <w:rPr>
          <w:rtl w:val="true"/>
        </w:rPr>
        <w:t>لا إشکال فی أنّه یغتفر الجهالة فی الصلح فیما إذا تعذّر للمتصالحین معرفة المصالح عنه</w:t>
      </w:r>
      <w:r>
        <w:rPr>
          <w:rtl w:val="true"/>
        </w:rPr>
        <w:t>]</w:t>
      </w:r>
      <w:bookmarkEnd w:id="4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أنّه یغتفر الجهالة فی الصلح فیما إذا تعذّر للمتصالحین معرفة المصالح عنه مطلقاً، کما إذا اختلط مال أحدهما بالآخر و لم یعلما مقدار کلّ منهما فاصطلحا علیٰ أن یشترکا فیه بالتساوی أو الاختلاف، أو صالح أحدهما ماله مع الآخر بمال معیّن، و کذا إذا تعذّر علیهما معرفته فی الحال لتعذّر المیزان و المکیال علی الأظهر، و أمّا مع إمکان معرفتهما بمقداره فی الحال ففیه إشکال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4" w:name="__RefHeading___Toc2568836_3650668749"/>
      <w:bookmarkStart w:id="4235" w:name="_Toc1927"/>
      <w:bookmarkEnd w:id="4234"/>
      <w:r>
        <w:rPr>
          <w:rtl w:val="true"/>
        </w:rPr>
        <w:t>[ (</w:t>
      </w:r>
      <w:r>
        <w:rPr>
          <w:rtl w:val="true"/>
        </w:rPr>
        <w:t xml:space="preserve">مسألة </w:t>
      </w:r>
      <w:r>
        <w:rPr/>
        <w:t>13</w:t>
      </w:r>
      <w:r>
        <w:rPr>
          <w:rtl w:val="true"/>
        </w:rPr>
        <w:t xml:space="preserve">): </w:t>
      </w:r>
      <w:r>
        <w:rPr>
          <w:rtl w:val="true"/>
        </w:rPr>
        <w:t>إذا کان لغیره علیه دین، أو کان منه عنده عین</w:t>
      </w:r>
      <w:r>
        <w:rPr>
          <w:rtl w:val="true"/>
        </w:rPr>
        <w:t>]</w:t>
      </w:r>
      <w:bookmarkEnd w:id="4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لغیره علیه دین، أو کان منه عنده عین هو یعلم </w:t>
      </w:r>
      <w:r>
        <w:rPr>
          <w:rStyle w:val="FootnoteAnchor"/>
          <w:rtl w:val="true"/>
        </w:rPr>
        <w:footnoteReference w:id="1185"/>
      </w:r>
      <w:r>
        <w:rPr>
          <w:rFonts w:ascii="IRNazanin" w:hAnsi="IRNazanin" w:eastAsia="IRNazanin"/>
          <w:color w:val="111111"/>
          <w:sz w:val="28"/>
          <w:sz w:val="28"/>
          <w:szCs w:val="28"/>
          <w:rtl w:val="true"/>
          <w:lang w:bidi="fa-IR"/>
        </w:rPr>
        <w:t>مقدارهما و لکنّ الغیر لا یعلم المقدار فأوقعا الصلح بینهما بأقلّ من حقّ المستحقّ لم یحلّ له الزائد إلّا أن یعلمه و رضی به، نعم لو رضی بالصلح عن حقّه الواقعی علیٰ کلّ حال؛ بحیث لو تبیّن له الحال لصالح عنه بذلک المقدار بطیب نفسه حلّ له الزائد</w:t>
      </w:r>
      <w:r>
        <w:rPr>
          <w:rFonts w:eastAsia="IRNazanin" w:cs="IRNazanin"/>
          <w:color w:val="111111"/>
          <w:sz w:val="28"/>
          <w:szCs w:val="28"/>
          <w:rtl w:val="true"/>
          <w:lang w:bidi="fa-IR"/>
        </w:rPr>
        <w:t>.</w:t>
      </w:r>
    </w:p>
    <w:p>
      <w:pPr>
        <w:pStyle w:val="Heading3"/>
        <w:numPr>
          <w:ilvl w:val="2"/>
          <w:numId w:val="1"/>
        </w:numPr>
        <w:rPr/>
      </w:pPr>
      <w:bookmarkStart w:id="4236" w:name="__RefHeading___Toc2568838_3650668749"/>
      <w:bookmarkStart w:id="4237" w:name="_Toc1928"/>
      <w:bookmarkEnd w:id="4236"/>
      <w:r>
        <w:rPr>
          <w:rtl w:val="true"/>
        </w:rPr>
        <w:t>[ (</w:t>
      </w:r>
      <w:r>
        <w:rPr>
          <w:rtl w:val="true"/>
        </w:rPr>
        <w:t xml:space="preserve">مسألة </w:t>
      </w:r>
      <w:r>
        <w:rPr/>
        <w:t>14</w:t>
      </w:r>
      <w:r>
        <w:rPr>
          <w:rtl w:val="true"/>
        </w:rPr>
        <w:t xml:space="preserve">): </w:t>
      </w:r>
      <w:r>
        <w:rPr>
          <w:rtl w:val="true"/>
        </w:rPr>
        <w:t>إذا صولح عن الربوی بجنسه بالتفاضل ففی جریان حکم الربا فیه تأمّل</w:t>
      </w:r>
      <w:r>
        <w:rPr>
          <w:rtl w:val="true"/>
        </w:rPr>
        <w:t>]</w:t>
      </w:r>
      <w:bookmarkEnd w:id="423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صولح عن الربوی بجنسه بالتفاضل ففی جریان حکم الربا فیه تأمّل </w:t>
      </w:r>
      <w:r>
        <w:rPr>
          <w:rStyle w:val="FootnoteAnchor"/>
          <w:rtl w:val="true"/>
        </w:rPr>
        <w:footnoteReference w:id="1186"/>
      </w:r>
      <w:r>
        <w:rPr>
          <w:rFonts w:ascii="IRNazanin" w:hAnsi="IRNazanin" w:eastAsia="IRNazanin"/>
          <w:color w:val="111111"/>
          <w:sz w:val="28"/>
          <w:sz w:val="28"/>
          <w:szCs w:val="28"/>
          <w:rtl w:val="true"/>
          <w:lang w:bidi="fa-IR"/>
        </w:rPr>
        <w:t>و إشکال فلا یترک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إشکال مع الجهل بالمقدار و إن احتمل التفاضل، کما إذا</w:t>
      </w:r>
      <w:bookmarkStart w:id="4238" w:name="pg1809_19395"/>
    </w:p>
    <w:p>
      <w:pPr>
        <w:pStyle w:val="BookText"/>
        <w:rPr/>
      </w:pPr>
      <w:bookmarkEnd w:id="4238"/>
      <w:r>
        <w:rPr>
          <w:rFonts w:ascii="IRNazanin" w:hAnsi="IRNazanin" w:eastAsia="IRNazanin"/>
          <w:color w:val="111111"/>
          <w:sz w:val="28"/>
          <w:sz w:val="28"/>
          <w:szCs w:val="28"/>
          <w:rtl w:val="true"/>
          <w:lang w:bidi="fa-IR"/>
        </w:rPr>
        <w:t>کان لکلّ من شخصین طعام عند صاحبه لا یدری کلّ واحد منهما کم له عند صاحبه فأوقعا الصلح علیٰ أن یکون لکلّ منهما ما عنده مع احتمال تفاضلهما</w:t>
      </w:r>
      <w:r>
        <w:rPr>
          <w:rFonts w:eastAsia="IRNazanin" w:cs="IRNazanin"/>
          <w:color w:val="111111"/>
          <w:sz w:val="28"/>
          <w:szCs w:val="28"/>
          <w:rtl w:val="true"/>
          <w:lang w:bidi="fa-IR"/>
        </w:rPr>
        <w:t>.</w:t>
      </w:r>
    </w:p>
    <w:p>
      <w:pPr>
        <w:pStyle w:val="Heading3"/>
        <w:numPr>
          <w:ilvl w:val="2"/>
          <w:numId w:val="1"/>
        </w:numPr>
        <w:rPr/>
      </w:pPr>
      <w:bookmarkStart w:id="4239" w:name="__RefHeading___Toc2568840_3650668749"/>
      <w:bookmarkStart w:id="4240" w:name="_Toc1929"/>
      <w:bookmarkEnd w:id="4239"/>
      <w:r>
        <w:rPr>
          <w:rtl w:val="true"/>
        </w:rPr>
        <w:t>[ (</w:t>
      </w:r>
      <w:r>
        <w:rPr>
          <w:rtl w:val="true"/>
        </w:rPr>
        <w:t xml:space="preserve">مسألة </w:t>
      </w:r>
      <w:r>
        <w:rPr/>
        <w:t>15</w:t>
      </w:r>
      <w:r>
        <w:rPr>
          <w:rtl w:val="true"/>
        </w:rPr>
        <w:t xml:space="preserve">): </w:t>
      </w:r>
      <w:r>
        <w:rPr>
          <w:rtl w:val="true"/>
        </w:rPr>
        <w:t>یصحّ الصلح عن دین بدین؛ حالّین أو مؤجّلین أو بالاختلاف</w:t>
      </w:r>
      <w:r>
        <w:rPr>
          <w:rtl w:val="true"/>
        </w:rPr>
        <w:t>]</w:t>
      </w:r>
      <w:bookmarkEnd w:id="4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الصلح عن دین بدین؛ حالّین أو مؤجّلین أو بالاختلاف، متجانسین أو مختلفین؛ سواء کان الدینان علیٰ شخصین أو علیٰ شخص واحد، کما إذا کان له علیٰ ذمّة زید وزنة حنطة و لعمرو علیه وزنة شعیر، فصالح مع عمرو علیٰ ماله فی ذمّة زید بما لعمرو فی ذمّته، و الظاهر صحّة الجمیع إلّا فی المتجانسین ممّا یکال أو یوزن مع التفاضل، ففیه إشکال </w:t>
      </w:r>
      <w:r>
        <w:rPr>
          <w:rStyle w:val="FootnoteAnchor"/>
          <w:rtl w:val="true"/>
        </w:rPr>
        <w:footnoteReference w:id="1187"/>
      </w:r>
      <w:r>
        <w:rPr>
          <w:rFonts w:ascii="IRNazanin" w:hAnsi="IRNazanin" w:eastAsia="IRNazanin"/>
          <w:color w:val="111111"/>
          <w:sz w:val="28"/>
          <w:sz w:val="28"/>
          <w:szCs w:val="28"/>
          <w:rtl w:val="true"/>
          <w:lang w:bidi="fa-IR"/>
        </w:rPr>
        <w:t>من جهة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صالح عن الدین ببعضه کما إذا کان له علیه دراهم إلیٰ أجل فصالح عنها بنصفها حالّا، فلا بأس به إذا کان المقصود إسقاط الزیادة و الإبراء عنها و الاکتفاء بالناقص، کما هو المقصود المتعارف فی نحو هذه المصالحة؛ لا المعاوضة بین الزائد و الناقص</w:t>
      </w:r>
      <w:r>
        <w:rPr>
          <w:rFonts w:eastAsia="IRNazanin" w:cs="IRNazanin"/>
          <w:color w:val="111111"/>
          <w:sz w:val="28"/>
          <w:szCs w:val="28"/>
          <w:rtl w:val="true"/>
          <w:lang w:bidi="fa-IR"/>
        </w:rPr>
        <w:t>.</w:t>
      </w:r>
    </w:p>
    <w:p>
      <w:pPr>
        <w:pStyle w:val="Heading3"/>
        <w:numPr>
          <w:ilvl w:val="2"/>
          <w:numId w:val="1"/>
        </w:numPr>
        <w:rPr/>
      </w:pPr>
      <w:bookmarkStart w:id="4241" w:name="__RefHeading___Toc2568842_3650668749"/>
      <w:bookmarkStart w:id="4242" w:name="_Toc1930"/>
      <w:bookmarkEnd w:id="4241"/>
      <w:r>
        <w:rPr>
          <w:rtl w:val="true"/>
        </w:rPr>
        <w:t>[ (</w:t>
      </w:r>
      <w:r>
        <w:rPr>
          <w:rtl w:val="true"/>
        </w:rPr>
        <w:t xml:space="preserve">مسألة </w:t>
      </w:r>
      <w:r>
        <w:rPr/>
        <w:t>16</w:t>
      </w:r>
      <w:r>
        <w:rPr>
          <w:rtl w:val="true"/>
        </w:rPr>
        <w:t xml:space="preserve">): </w:t>
      </w:r>
      <w:r>
        <w:rPr>
          <w:rtl w:val="true"/>
        </w:rPr>
        <w:t>یجوز أن یصطلح الشریکان علیٰ أن یکون لأحدهما رأس المال و الربح للآخر و الخسران علیه</w:t>
      </w:r>
      <w:r>
        <w:rPr>
          <w:rtl w:val="true"/>
        </w:rPr>
        <w:t>]</w:t>
      </w:r>
      <w:bookmarkEnd w:id="4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یصطلح الشریکان علیٰ أن یکون لأحدهما رأس المال و الربح للآخر و الخسران علیه</w:t>
      </w:r>
      <w:r>
        <w:rPr>
          <w:rFonts w:eastAsia="IRNazanin" w:cs="IRNazanin"/>
          <w:color w:val="111111"/>
          <w:sz w:val="28"/>
          <w:szCs w:val="28"/>
          <w:rtl w:val="true"/>
          <w:lang w:bidi="fa-IR"/>
        </w:rPr>
        <w:t>.</w:t>
      </w:r>
    </w:p>
    <w:p>
      <w:pPr>
        <w:pStyle w:val="Heading3"/>
        <w:numPr>
          <w:ilvl w:val="2"/>
          <w:numId w:val="1"/>
        </w:numPr>
        <w:rPr/>
      </w:pPr>
      <w:bookmarkStart w:id="4243" w:name="__RefHeading___Toc2568844_3650668749"/>
      <w:bookmarkStart w:id="4244" w:name="_Toc1931"/>
      <w:bookmarkEnd w:id="4243"/>
      <w:r>
        <w:rPr>
          <w:rtl w:val="true"/>
        </w:rPr>
        <w:t>[ (</w:t>
      </w:r>
      <w:r>
        <w:rPr>
          <w:rtl w:val="true"/>
        </w:rPr>
        <w:t xml:space="preserve">مسألة </w:t>
      </w:r>
      <w:r>
        <w:rPr/>
        <w:t>17</w:t>
      </w:r>
      <w:r>
        <w:rPr>
          <w:rtl w:val="true"/>
        </w:rPr>
        <w:t xml:space="preserve">): </w:t>
      </w:r>
      <w:r>
        <w:rPr>
          <w:rtl w:val="true"/>
        </w:rPr>
        <w:t>یجوز للمتداعیین فی دین أو عین أو منفعة أن یتصالحا بشی‌ء من المدّعیٰ به أو بشی‌ء آخر</w:t>
      </w:r>
      <w:r>
        <w:rPr>
          <w:rtl w:val="true"/>
        </w:rPr>
        <w:t>]</w:t>
      </w:r>
      <w:bookmarkEnd w:id="424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للمتداعیین فی دین أو عین أو منفعة أن یتصالحا بشی‌ء من المدّعیٰ به أو بشی‌ء آخر، حتّی مع إنکار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یسقط بهذا الصلح حقّ الدعویٰ، و کذا حقّ الیمین الذی کان للمدّعی علی المنکر، و لیس للمدّعی بعد ذلک تجدید المرافعة، لکن هذا فصل ظاهری ینقطع به الدعویٰ فی ظاهر الشرع، و لا یحلّ به ما أخذه من کان غیر محقّ منهما؛ فإذا ادّعیٰ شخص علیٰ شخص بدین فأنکره ثمّ تصالحا علی النصف، فهذا الصلح و إن أثّر فی سقوط الدعویٰ لکن إن کان المدّعی محقّاً بحسب الواقع فقد وصل إلیه نصف حقّه و بقی الباقی علیٰ ذمّة المنکر یطالب به فی الآخرة إذا لم یکن </w:t>
      </w:r>
      <w:r>
        <w:rPr>
          <w:rStyle w:val="FootnoteAnchor"/>
          <w:rtl w:val="true"/>
        </w:rPr>
        <w:footnoteReference w:id="1188"/>
      </w:r>
      <w:r>
        <w:rPr>
          <w:rFonts w:ascii="IRNazanin" w:hAnsi="IRNazanin" w:eastAsia="IRNazanin"/>
          <w:color w:val="111111"/>
          <w:sz w:val="28"/>
          <w:sz w:val="28"/>
          <w:szCs w:val="28"/>
          <w:rtl w:val="true"/>
          <w:lang w:bidi="fa-IR"/>
        </w:rPr>
        <w:t>إنکاره بحقّ بحسب اعتقاده، إلّا إذا فرض رضا المدّعی باطناً بالصلح عن جمیع ماله فی الواقع، و إن کان مبطلًا واقعاً یحرم علیه ما أخذه من المنکر إلّا مع فرض طیب نفسه واقعاً؛ بأن یکون للمدّعی ما صالح به، لا أنّه رضی به تخلّصاً من دعواه الکاذبة</w:t>
      </w:r>
      <w:r>
        <w:rPr>
          <w:rFonts w:eastAsia="IRNazanin" w:cs="IRNazanin"/>
          <w:color w:val="111111"/>
          <w:sz w:val="28"/>
          <w:szCs w:val="28"/>
          <w:rtl w:val="true"/>
          <w:lang w:bidi="fa-IR"/>
        </w:rPr>
        <w:t>.</w:t>
      </w:r>
      <w:bookmarkStart w:id="4245" w:name="pg1809_19396"/>
    </w:p>
    <w:p>
      <w:pPr>
        <w:pStyle w:val="Heading3"/>
        <w:numPr>
          <w:ilvl w:val="2"/>
          <w:numId w:val="1"/>
        </w:numPr>
        <w:rPr/>
      </w:pPr>
      <w:bookmarkStart w:id="4246" w:name="__RefHeading___Toc2568846_3650668749"/>
      <w:bookmarkStart w:id="4247" w:name="_Toc1932"/>
      <w:bookmarkEnd w:id="4245"/>
      <w:bookmarkEnd w:id="4246"/>
      <w:r>
        <w:rPr>
          <w:rtl w:val="true"/>
        </w:rPr>
        <w:t>[ (</w:t>
      </w:r>
      <w:r>
        <w:rPr>
          <w:rtl w:val="true"/>
        </w:rPr>
        <w:t xml:space="preserve">مسألة </w:t>
      </w:r>
      <w:r>
        <w:rPr/>
        <w:t>18</w:t>
      </w:r>
      <w:r>
        <w:rPr>
          <w:rtl w:val="true"/>
        </w:rPr>
        <w:t xml:space="preserve">): </w:t>
      </w:r>
      <w:r>
        <w:rPr>
          <w:rtl w:val="true"/>
        </w:rPr>
        <w:t>إذا قال المدّعیٰ علیه للمدّعی</w:t>
      </w:r>
      <w:r>
        <w:rPr>
          <w:rtl w:val="true"/>
        </w:rPr>
        <w:t xml:space="preserve">: </w:t>
      </w:r>
      <w:r>
        <w:rPr>
          <w:rtl w:val="true"/>
        </w:rPr>
        <w:t>صالحنی</w:t>
      </w:r>
      <w:r>
        <w:rPr>
          <w:rtl w:val="true"/>
        </w:rPr>
        <w:t>]</w:t>
      </w:r>
      <w:bookmarkEnd w:id="4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المدّعیٰ علیه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صالحنی، لم یکن هذا إقراراً بالحقّ؛ لما عرفت أنّ الصلح یصحّ مع الإنکار کما یصحّ مع الإقرار، أمّا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بعنی، أو ملّکنی، کان إقراراً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8" w:name="__RefHeading___Toc2568848_3650668749"/>
      <w:bookmarkStart w:id="4249" w:name="_Toc1933"/>
      <w:bookmarkEnd w:id="4248"/>
      <w:r>
        <w:rPr>
          <w:rtl w:val="true"/>
        </w:rPr>
        <w:t>[ (</w:t>
      </w:r>
      <w:r>
        <w:rPr>
          <w:rtl w:val="true"/>
        </w:rPr>
        <w:t xml:space="preserve">مسألة </w:t>
      </w:r>
      <w:r>
        <w:rPr/>
        <w:t>19</w:t>
      </w:r>
      <w:r>
        <w:rPr>
          <w:rtl w:val="true"/>
        </w:rPr>
        <w:t xml:space="preserve">): </w:t>
      </w:r>
      <w:r>
        <w:rPr>
          <w:rtl w:val="true"/>
        </w:rPr>
        <w:t>إذا کان لواحد ثوب بعشرین درهماً مثلًا و لآخر ثوب بثلاثین و اشتبها</w:t>
      </w:r>
      <w:r>
        <w:rPr>
          <w:rtl w:val="true"/>
        </w:rPr>
        <w:t>]</w:t>
      </w:r>
      <w:bookmarkEnd w:id="4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لواحد ثوب بعشرین درهماً مثلًا و لآخر ثوب بثلاثین و اشتبها و لم یمیّز کلّ منهما ماله عن مال صاحبه فإن خیّر أحدهما صاحبه فقد أنصفه فکلّ ما اختاره یحلّ له و یحلّ الآخر لصاحبه، و إن تضایقا فإن کان المنظور و المقصود لکلّ منهما المالیّة کما إذا اشتریاهما للمساومة و المعاملة بیعا و قسّم الثمن بینهما بنسبة مالهما، فیعطیٰ صاحب العشرین فی المثال سهمین من خمسة و الآخر ثلاثة أسهم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المقصود و المنظور نفس المالین کما إذا اشتریٰ کلّ منهما عباء لیلبسه و لیس لهما نظر إلی القیمة و المالیّة فلا بدّ من القرعة</w:t>
      </w:r>
      <w:r>
        <w:rPr>
          <w:rFonts w:eastAsia="IRNazanin" w:cs="IRNazanin"/>
          <w:color w:val="111111"/>
          <w:sz w:val="28"/>
          <w:szCs w:val="28"/>
          <w:rtl w:val="true"/>
          <w:lang w:bidi="fa-IR"/>
        </w:rPr>
        <w:t>.</w:t>
      </w:r>
    </w:p>
    <w:p>
      <w:pPr>
        <w:pStyle w:val="Heading3"/>
        <w:numPr>
          <w:ilvl w:val="2"/>
          <w:numId w:val="1"/>
        </w:numPr>
        <w:rPr/>
      </w:pPr>
      <w:bookmarkStart w:id="4250" w:name="__RefHeading___Toc2568850_3650668749"/>
      <w:bookmarkStart w:id="4251" w:name="_Toc1934"/>
      <w:bookmarkEnd w:id="4250"/>
      <w:r>
        <w:rPr>
          <w:rtl w:val="true"/>
        </w:rPr>
        <w:t>[ (</w:t>
      </w:r>
      <w:r>
        <w:rPr>
          <w:rtl w:val="true"/>
        </w:rPr>
        <w:t xml:space="preserve">مسألة </w:t>
      </w:r>
      <w:r>
        <w:rPr/>
        <w:t>20</w:t>
      </w:r>
      <w:r>
        <w:rPr>
          <w:rtl w:val="true"/>
        </w:rPr>
        <w:t xml:space="preserve">): </w:t>
      </w:r>
      <w:r>
        <w:rPr>
          <w:rtl w:val="true"/>
        </w:rPr>
        <w:t>لو کان لأحد مقدار من الدراهم و لآخر مقدار منها عند ودعیّ أو غیره</w:t>
      </w:r>
      <w:r>
        <w:rPr>
          <w:rtl w:val="true"/>
        </w:rPr>
        <w:t>]</w:t>
      </w:r>
      <w:bookmarkEnd w:id="425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w:t>
      </w:r>
      <w:r>
        <w:rPr>
          <w:rStyle w:val="FootnoteAnchor"/>
          <w:rtl w:val="true"/>
        </w:rPr>
        <w:footnoteReference w:id="1190"/>
      </w:r>
      <w:r>
        <w:rPr>
          <w:rFonts w:ascii="IRNazanin" w:hAnsi="IRNazanin" w:eastAsia="IRNazanin"/>
          <w:color w:val="111111"/>
          <w:sz w:val="28"/>
          <w:sz w:val="28"/>
          <w:szCs w:val="28"/>
          <w:rtl w:val="true"/>
          <w:lang w:bidi="fa-IR"/>
        </w:rPr>
        <w:t>لأحد مقدار من الدراهم و لآخر مقدار منها عند ودعیّ أو غیره، فتلف مقدار لا یدریٰ أنّه من أیّ منهما، فإن تساوی مقدار الدراهم منهما بأن کان لکلّ منهما درهمان، أو ثلاثة مثلًا یحسب التالف علیهما و یقسّم الباقی بینهما نصفین، و إن تفاوتا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التالف بمقدار ما لأحدهما و أقلّ ممّا للآخر، أو یکون أقلّ من کلّ منهما، فعلی الأوّل یعطیٰ للآخر ما زاد علی التالف و یقسّم الباقی بینهما نصفین، کما إذا کان لأحدهما درهمان و للآخر درهم و کان التالف درهماً یعطیٰ صاحب الدرهمین درهماً و یقسّم الدرهم الباقی بینهما نصفین، أو کان لأحدهما خمسة دراهم و للآخر درهمان و کان التالف درهمین یعطیٰ لصاحب الخمسة ثلاثة و یقسّم الباقی و هو الدرهمان بینهما نصفین، و علی الثانی یعطیٰ لکلّ منهما ما زاد علی التالف و یقسّم الباقی بینهما نصفین، فإذا کان لأحدهما خمسة و للآخر أربعة و کان التالف ثلاثة یعطیٰ لصاحب</w:t>
      </w:r>
      <w:bookmarkStart w:id="4252" w:name="pg1809_19397"/>
    </w:p>
    <w:p>
      <w:pPr>
        <w:pStyle w:val="BookText"/>
        <w:rPr/>
      </w:pPr>
      <w:bookmarkEnd w:id="4252"/>
      <w:r>
        <w:rPr>
          <w:rFonts w:ascii="IRNazanin" w:hAnsi="IRNazanin" w:eastAsia="IRNazanin"/>
          <w:color w:val="111111"/>
          <w:sz w:val="28"/>
          <w:sz w:val="28"/>
          <w:szCs w:val="28"/>
          <w:rtl w:val="true"/>
          <w:lang w:bidi="fa-IR"/>
        </w:rPr>
        <w:t>الخمسة اثنان و لصاحب الأربعة واحداً و یقسّم الباقی و هو الثلاثة بینهما نصفین، فلصاحب الخمسة ثلاثة و نصف و لصاحب الأربعة اثنان 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إذا کان المالان مثلیّین </w:t>
      </w:r>
      <w:r>
        <w:rPr>
          <w:rStyle w:val="FootnoteAnchor"/>
          <w:rtl w:val="true"/>
        </w:rPr>
        <w:footnoteReference w:id="1191"/>
      </w:r>
      <w:r>
        <w:rPr>
          <w:rFonts w:ascii="IRNazanin" w:hAnsi="IRNazanin" w:eastAsia="IRNazanin"/>
          <w:color w:val="111111"/>
          <w:sz w:val="28"/>
          <w:sz w:val="28"/>
          <w:szCs w:val="28"/>
          <w:rtl w:val="true"/>
          <w:lang w:bidi="fa-IR"/>
        </w:rPr>
        <w:t>کالدراهم و الدنانیر، و أمّا إذا کانا قیمیّین کالثیاب و الحیوان، فلا بدّ من المصالحة أو تعیین التالف بالقرعة</w:t>
      </w:r>
      <w:r>
        <w:rPr>
          <w:rFonts w:eastAsia="IRNazanin" w:cs="IRNazanin"/>
          <w:color w:val="111111"/>
          <w:sz w:val="28"/>
          <w:szCs w:val="28"/>
          <w:rtl w:val="true"/>
          <w:lang w:bidi="fa-IR"/>
        </w:rPr>
        <w:t>.</w:t>
      </w:r>
    </w:p>
    <w:p>
      <w:pPr>
        <w:pStyle w:val="Heading3"/>
        <w:numPr>
          <w:ilvl w:val="2"/>
          <w:numId w:val="1"/>
        </w:numPr>
        <w:rPr/>
      </w:pPr>
      <w:bookmarkStart w:id="4253" w:name="__RefHeading___Toc2568852_3650668749"/>
      <w:bookmarkStart w:id="4254" w:name="_Toc1935"/>
      <w:bookmarkEnd w:id="4253"/>
      <w:r>
        <w:rPr>
          <w:rtl w:val="true"/>
        </w:rPr>
        <w:t>[ (</w:t>
      </w:r>
      <w:r>
        <w:rPr>
          <w:rtl w:val="true"/>
        </w:rPr>
        <w:t xml:space="preserve">مسألة </w:t>
      </w:r>
      <w:r>
        <w:rPr/>
        <w:t>21</w:t>
      </w:r>
      <w:r>
        <w:rPr>
          <w:rtl w:val="true"/>
        </w:rPr>
        <w:t xml:space="preserve">): </w:t>
      </w:r>
      <w:r>
        <w:rPr>
          <w:rtl w:val="true"/>
        </w:rPr>
        <w:t>یجوز إحداث الروشن المسمّی فی العرف الحاضر بالشناشیل علی الطرق النافذة</w:t>
      </w:r>
      <w:r>
        <w:rPr>
          <w:rtl w:val="true"/>
        </w:rPr>
        <w:t>]</w:t>
      </w:r>
      <w:bookmarkEnd w:id="4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إحداث الروشن المسمّی فی العرف الحاضر بالشناشیل علی الطرق النافذة و الشوارع العامّة إذا کانت عالیة بحیث لم تضرّ بالمارّة، و لیس لأحد منعه حتّی صاحب الدار المقابل و إن استوعب عرض الطریق بحیث کان مانعاً عن إحداث روشن فی مقابله ما لم یضع منه شیئاً علیٰ جداره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استلزم الإشراف علیٰ دار الجار ففی جوازه تردّد و إشکال و إن جوّزنا مثل ذلک فی تعلیة البناء فی ملکه، فلا یترک الاحتیاط</w:t>
      </w:r>
      <w:r>
        <w:rPr>
          <w:rFonts w:eastAsia="IRNazanin" w:cs="IRNazanin"/>
          <w:color w:val="111111"/>
          <w:sz w:val="28"/>
          <w:szCs w:val="28"/>
          <w:rtl w:val="true"/>
          <w:lang w:bidi="fa-IR"/>
        </w:rPr>
        <w:t>.</w:t>
      </w:r>
    </w:p>
    <w:p>
      <w:pPr>
        <w:pStyle w:val="Heading3"/>
        <w:numPr>
          <w:ilvl w:val="2"/>
          <w:numId w:val="1"/>
        </w:numPr>
        <w:rPr/>
      </w:pPr>
      <w:bookmarkStart w:id="4255" w:name="__RefHeading___Toc2568854_3650668749"/>
      <w:bookmarkStart w:id="4256" w:name="_Toc1936"/>
      <w:bookmarkEnd w:id="4255"/>
      <w:r>
        <w:rPr>
          <w:rtl w:val="true"/>
        </w:rPr>
        <w:t>[ (</w:t>
      </w:r>
      <w:r>
        <w:rPr>
          <w:rtl w:val="true"/>
        </w:rPr>
        <w:t xml:space="preserve">مسألة </w:t>
      </w:r>
      <w:r>
        <w:rPr/>
        <w:t>22</w:t>
      </w:r>
      <w:r>
        <w:rPr>
          <w:rtl w:val="true"/>
        </w:rPr>
        <w:t xml:space="preserve">): </w:t>
      </w:r>
      <w:r>
        <w:rPr>
          <w:rtl w:val="true"/>
        </w:rPr>
        <w:t>لو بنیٰ روشناً علی الجادّة ثمّ انهدم أو هدم</w:t>
      </w:r>
      <w:r>
        <w:rPr>
          <w:rtl w:val="true"/>
        </w:rPr>
        <w:t>]</w:t>
      </w:r>
      <w:bookmarkEnd w:id="4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 روشناً علی الجادّة ثمّ انهدم أو هدم، فإن لم یکن من قصده تجدید بنائه لا مانع لأن یبنی الطرف المقابل ما یشغل ذلک الفضاء و لم یحتج إلی الاستئذان من البانی الأوّل، و إلّا ففیه إشکال، بل عدم الجواز لا یخلو من قوّة فیما إذا هدمه لیبنیه جدیداً</w:t>
      </w:r>
      <w:r>
        <w:rPr>
          <w:rFonts w:eastAsia="IRNazanin" w:cs="IRNazanin"/>
          <w:color w:val="111111"/>
          <w:sz w:val="28"/>
          <w:szCs w:val="28"/>
          <w:rtl w:val="true"/>
          <w:lang w:bidi="fa-IR"/>
        </w:rPr>
        <w:t>.</w:t>
      </w:r>
    </w:p>
    <w:p>
      <w:pPr>
        <w:pStyle w:val="Heading3"/>
        <w:numPr>
          <w:ilvl w:val="2"/>
          <w:numId w:val="1"/>
        </w:numPr>
        <w:rPr/>
      </w:pPr>
      <w:bookmarkStart w:id="4257" w:name="__RefHeading___Toc2568856_3650668749"/>
      <w:bookmarkStart w:id="4258" w:name="_Toc1937"/>
      <w:bookmarkEnd w:id="4257"/>
      <w:r>
        <w:rPr>
          <w:rtl w:val="true"/>
        </w:rPr>
        <w:t>[ (</w:t>
      </w:r>
      <w:r>
        <w:rPr>
          <w:rtl w:val="true"/>
        </w:rPr>
        <w:t xml:space="preserve">مسألة </w:t>
      </w:r>
      <w:r>
        <w:rPr/>
        <w:t>23</w:t>
      </w:r>
      <w:r>
        <w:rPr>
          <w:rtl w:val="true"/>
        </w:rPr>
        <w:t xml:space="preserve">): </w:t>
      </w:r>
      <w:r>
        <w:rPr>
          <w:rtl w:val="true"/>
        </w:rPr>
        <w:t>لو أحدث شخص روشناً علی الجادّة فهل للطرف المقابل إحداث روشن آخر فوقه أو تحته بدون إذنه؟</w:t>
      </w:r>
      <w:r>
        <w:rPr>
          <w:rtl w:val="true"/>
        </w:rPr>
        <w:t>]</w:t>
      </w:r>
      <w:bookmarkEnd w:id="4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أحدث شخص روشناً علی الجادّة فهل للطرف المقابل إحداث روشن آخر فوقه أو تحته بدون إذنه؟ فیه إشکال خصوصاً فی الأوّل، بل عدم الجواز فیه لا یخلو من قوّة، نعم لو کان الثانی أعلیٰ بکثیر؛ بحیث لم یشغل الفضاء الذی یحتاج إلیه صاحب الروشن الأوّل بحسب العادة من جهة التشمیس و نحو ذلک لا بأس به</w:t>
      </w:r>
      <w:r>
        <w:rPr>
          <w:rFonts w:eastAsia="IRNazanin" w:cs="IRNazanin"/>
          <w:color w:val="111111"/>
          <w:sz w:val="28"/>
          <w:szCs w:val="28"/>
          <w:rtl w:val="true"/>
          <w:lang w:bidi="fa-IR"/>
        </w:rPr>
        <w:t>.</w:t>
      </w:r>
    </w:p>
    <w:p>
      <w:pPr>
        <w:pStyle w:val="Heading3"/>
        <w:numPr>
          <w:ilvl w:val="2"/>
          <w:numId w:val="1"/>
        </w:numPr>
        <w:rPr/>
      </w:pPr>
      <w:bookmarkStart w:id="4259" w:name="__RefHeading___Toc2568858_3650668749"/>
      <w:bookmarkStart w:id="4260" w:name="_Toc1938"/>
      <w:bookmarkEnd w:id="4259"/>
      <w:r>
        <w:rPr>
          <w:rtl w:val="true"/>
        </w:rPr>
        <w:t>[ (</w:t>
      </w:r>
      <w:r>
        <w:rPr>
          <w:rtl w:val="true"/>
        </w:rPr>
        <w:t xml:space="preserve">مسألة </w:t>
      </w:r>
      <w:r>
        <w:rPr/>
        <w:t>24</w:t>
      </w:r>
      <w:r>
        <w:rPr>
          <w:rtl w:val="true"/>
        </w:rPr>
        <w:t xml:space="preserve">): </w:t>
      </w:r>
      <w:r>
        <w:rPr>
          <w:rtl w:val="true"/>
        </w:rPr>
        <w:t>کما یجوز إحداث الرواشن علی الجادّة یجوز فتح الأبواب المستجدّة فیها</w:t>
      </w:r>
      <w:r>
        <w:rPr>
          <w:rtl w:val="true"/>
        </w:rPr>
        <w:t>]</w:t>
      </w:r>
      <w:bookmarkEnd w:id="426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إحداث الرواشن علی الجادّة یجوز فتح الأبواب المستجدّة فیها؛ سواء کان له باب آخر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فتح الشبّاک و الروازن علیها و نصب المیزاب فیها، و کذا بناء ساباط علیها إذا لم یکن معتمداً علیٰ حائط غیره مع عدم إذنه، و لم یکن مضرّاً بالمارّة و لو من جهة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فرض أنّه کما یضرّهم من جهة ینفعهم من جهات اخریٰ کالوقایة عن الحرّ و البرد و التحفّظ عن الطین و غیر ذلک لا یبعد الموازنة بین الجهتین فیراعیٰ ما هو الأصلح، و الأولی </w:t>
      </w:r>
      <w:r>
        <w:rPr>
          <w:rStyle w:val="FootnoteAnchor"/>
          <w:rtl w:val="true"/>
        </w:rPr>
        <w:footnoteReference w:id="1192"/>
      </w:r>
      <w:r>
        <w:rPr>
          <w:rFonts w:ascii="IRNazanin" w:hAnsi="IRNazanin" w:eastAsia="IRNazanin"/>
          <w:color w:val="111111"/>
          <w:sz w:val="28"/>
          <w:sz w:val="28"/>
          <w:szCs w:val="28"/>
          <w:rtl w:val="true"/>
          <w:lang w:bidi="fa-IR"/>
        </w:rPr>
        <w:t>المراجعة فی ذلک إلیٰ حاکم الشرع فیتّبع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یجوز إحداث </w:t>
      </w:r>
      <w:r>
        <w:rPr>
          <w:rStyle w:val="FootnoteAnchor"/>
          <w:rtl w:val="true"/>
        </w:rPr>
        <w:footnoteReference w:id="1193"/>
      </w:r>
      <w:r>
        <w:rPr>
          <w:rFonts w:ascii="IRNazanin" w:hAnsi="IRNazanin" w:eastAsia="IRNazanin"/>
          <w:color w:val="111111"/>
          <w:sz w:val="28"/>
          <w:sz w:val="28"/>
          <w:szCs w:val="28"/>
          <w:rtl w:val="true"/>
          <w:lang w:bidi="fa-IR"/>
        </w:rPr>
        <w:t>البالوعة للأمطار فیها مع التحفّظ عن کونها مضرّة بالمارّة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نقب سرداب تحت الجادّة مع إحکام أساسه و بنیانه و سقفه بحیث یؤمن من الثقب و الخسف و الانهدام</w:t>
      </w:r>
      <w:r>
        <w:rPr>
          <w:rFonts w:eastAsia="IRNazanin" w:cs="IRNazanin"/>
          <w:color w:val="111111"/>
          <w:sz w:val="28"/>
          <w:szCs w:val="28"/>
          <w:rtl w:val="true"/>
          <w:lang w:bidi="fa-IR"/>
        </w:rPr>
        <w:t>.</w:t>
      </w:r>
      <w:bookmarkStart w:id="4261" w:name="pg1809_19398"/>
    </w:p>
    <w:p>
      <w:pPr>
        <w:pStyle w:val="Heading3"/>
        <w:numPr>
          <w:ilvl w:val="2"/>
          <w:numId w:val="1"/>
        </w:numPr>
        <w:rPr/>
      </w:pPr>
      <w:bookmarkStart w:id="4262" w:name="__RefHeading___Toc2568860_3650668749"/>
      <w:bookmarkStart w:id="4263" w:name="_Toc1939"/>
      <w:bookmarkEnd w:id="4261"/>
      <w:bookmarkEnd w:id="4262"/>
      <w:r>
        <w:rPr>
          <w:rtl w:val="true"/>
        </w:rPr>
        <w:t>[ (</w:t>
      </w:r>
      <w:r>
        <w:rPr>
          <w:rtl w:val="true"/>
        </w:rPr>
        <w:t xml:space="preserve">مسألة </w:t>
      </w:r>
      <w:r>
        <w:rPr/>
        <w:t>25</w:t>
      </w:r>
      <w:r>
        <w:rPr>
          <w:rtl w:val="true"/>
        </w:rPr>
        <w:t xml:space="preserve">): </w:t>
      </w:r>
      <w:r>
        <w:rPr>
          <w:rtl w:val="true"/>
        </w:rPr>
        <w:t>لا یجوز لأحد إحداث شی‌ء من روشن أو جناح أو بناء ساباط</w:t>
      </w:r>
      <w:r>
        <w:rPr>
          <w:rtl w:val="true"/>
        </w:rPr>
        <w:t>]</w:t>
      </w:r>
      <w:bookmarkEnd w:id="4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لأحد إحداث شی‌ء من روشن أو جناح أو بناء ساباط أو نصب میزاب أو فتح باب أو نقب سرداب و غیر ذلک علی الطرق الغیر النافذة المسمّاة بالمرفوعة و الرافعة و فی العرف الحاضر بالدریبة إلّا بإذن أربابها؛ سواء کان مضرّاً أو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لا یجوز إحداث شی‌ء من ذلک لغیر أربابها إلّا بإذنهم کذلک لا یجوز لبعضهم إلّا بإذن شرکائه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صالح غیرهم معهم أو بعضهم مع الباقین علیٰ إحداث شی‌ء من ذلک صحّ و لزم؛ سواء کان مع العوض أو بلا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کتاب إحیاء الموات بعض المسائل المتعلّقة بالطرق إن شاء اللّٰه تعالیٰ</w:t>
      </w:r>
      <w:r>
        <w:rPr>
          <w:rFonts w:eastAsia="IRNazanin" w:cs="IRNazanin"/>
          <w:color w:val="111111"/>
          <w:sz w:val="28"/>
          <w:szCs w:val="28"/>
          <w:rtl w:val="true"/>
          <w:lang w:bidi="fa-IR"/>
        </w:rPr>
        <w:t>.</w:t>
      </w:r>
    </w:p>
    <w:p>
      <w:pPr>
        <w:pStyle w:val="Heading3"/>
        <w:numPr>
          <w:ilvl w:val="2"/>
          <w:numId w:val="1"/>
        </w:numPr>
        <w:rPr/>
      </w:pPr>
      <w:bookmarkStart w:id="4264" w:name="__RefHeading___Toc2568862_3650668749"/>
      <w:bookmarkStart w:id="4265" w:name="_Toc1940"/>
      <w:bookmarkEnd w:id="4264"/>
      <w:r>
        <w:rPr>
          <w:rtl w:val="true"/>
        </w:rPr>
        <w:t>[ (</w:t>
      </w:r>
      <w:r>
        <w:rPr>
          <w:rtl w:val="true"/>
        </w:rPr>
        <w:t xml:space="preserve">مسألة </w:t>
      </w:r>
      <w:r>
        <w:rPr/>
        <w:t>26</w:t>
      </w:r>
      <w:r>
        <w:rPr>
          <w:rtl w:val="true"/>
        </w:rPr>
        <w:t xml:space="preserve">): </w:t>
      </w:r>
      <w:r>
        <w:rPr>
          <w:rtl w:val="true"/>
        </w:rPr>
        <w:t>لا یجوز لأحد أن یبنی بناءً، أو یضع جذوع سقفه علیٰ حائط جاره إلّا بإذنه و رضاه</w:t>
      </w:r>
      <w:r>
        <w:rPr>
          <w:rtl w:val="true"/>
        </w:rPr>
        <w:t>]</w:t>
      </w:r>
      <w:bookmarkEnd w:id="4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لأحد أن یبنی بناءً، أو یضع جذوع سقفه علیٰ حائط جاره إلّا بإذنه و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التمس ذلک من الجار لم یجب علیه إجابته و إن استحبّ له استحباباً مؤکّداً من جهة ما ورد من التأکید و الحثّ الأکید فی قضاء حوائج الإخوان و لا سیّما الجیران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بنیٰ أو وضع الجذوع بإذنه و رضاه فإن کان ذلک بعنوان ملزم کالشرط فی ضمن عقد لازم أو بالإجارة أو بالصلح علیه لم یجز له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 مجرّد الإذن و الرخصة جاز له الرجوع قبل البناء و الوضع قطعاً، و أمّا بعد ذلک فهل یجوز له الرجوع مع الأرش و عدمه أم لا مع استحقاق الأُجرة و عدمه؟ وجوه و أقوال، و المسألة فی غایة الإشکال، فلا یترک </w:t>
      </w:r>
      <w:r>
        <w:rPr>
          <w:rStyle w:val="FootnoteAnchor"/>
          <w:rtl w:val="true"/>
        </w:rPr>
        <w:footnoteReference w:id="1194"/>
      </w:r>
      <w:r>
        <w:rPr>
          <w:rFonts w:ascii="IRNazanin" w:hAnsi="IRNazanin" w:eastAsia="IRNazanin"/>
          <w:color w:val="111111"/>
          <w:sz w:val="28"/>
          <w:sz w:val="28"/>
          <w:szCs w:val="28"/>
          <w:rtl w:val="true"/>
          <w:lang w:bidi="fa-IR"/>
        </w:rPr>
        <w:t>الاحتیاط بالتصالح و التراضی بینهما و لو بالإبقاء مع الأُجرة أو الهدم مع الأرش</w:t>
      </w:r>
      <w:r>
        <w:rPr>
          <w:rFonts w:eastAsia="IRNazanin" w:cs="IRNazanin"/>
          <w:color w:val="111111"/>
          <w:sz w:val="28"/>
          <w:szCs w:val="28"/>
          <w:rtl w:val="true"/>
          <w:lang w:bidi="fa-IR"/>
        </w:rPr>
        <w:t>.</w:t>
      </w:r>
    </w:p>
    <w:p>
      <w:pPr>
        <w:pStyle w:val="Heading3"/>
        <w:numPr>
          <w:ilvl w:val="2"/>
          <w:numId w:val="1"/>
        </w:numPr>
        <w:rPr/>
      </w:pPr>
      <w:bookmarkStart w:id="4266" w:name="__RefHeading___Toc2568864_3650668749"/>
      <w:bookmarkStart w:id="4267" w:name="_Toc1941"/>
      <w:bookmarkEnd w:id="4266"/>
      <w:r>
        <w:rPr>
          <w:rtl w:val="true"/>
        </w:rPr>
        <w:t>[ (</w:t>
      </w:r>
      <w:r>
        <w:rPr>
          <w:rtl w:val="true"/>
        </w:rPr>
        <w:t xml:space="preserve">مسألة </w:t>
      </w:r>
      <w:r>
        <w:rPr/>
        <w:t>27</w:t>
      </w:r>
      <w:r>
        <w:rPr>
          <w:rtl w:val="true"/>
        </w:rPr>
        <w:t xml:space="preserve">): </w:t>
      </w:r>
      <w:r>
        <w:rPr>
          <w:rtl w:val="true"/>
        </w:rPr>
        <w:t>لا یجوز للشریک فی الحائط التصرّف فیه ببناء و لا تسقیف و لا إدخال خشبة أو وتد</w:t>
      </w:r>
      <w:r>
        <w:rPr>
          <w:rtl w:val="true"/>
        </w:rPr>
        <w:t>]</w:t>
      </w:r>
      <w:bookmarkEnd w:id="426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للشریک فی الحائط التصرّف فیه ببناء و لا تسقیف و لا إدخال خشبة أو وتد أو غیر ذلک إلّا بإذن شریکه، أو إحراز رضاه بشاهد الحال کما هو الحال فی التصرّفات الیسیرة کالاستناد إلیه أو وضع یده أو طرح ثوب علیه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 مثل هذه الأُمور الیسیرة لا یحتاج إلیٰ إحراز الإذن و الرضا کما جرت به السیرة، نعم إذا صرّح بالمنع و أظهر الکراهة لم یجز</w:t>
      </w:r>
      <w:r>
        <w:rPr>
          <w:rFonts w:eastAsia="IRNazanin" w:cs="IRNazanin"/>
          <w:color w:val="111111"/>
          <w:sz w:val="28"/>
          <w:szCs w:val="28"/>
          <w:rtl w:val="true"/>
          <w:lang w:bidi="fa-IR"/>
        </w:rPr>
        <w:t>.</w:t>
      </w:r>
      <w:bookmarkStart w:id="4268" w:name="pg1809_19399"/>
    </w:p>
    <w:p>
      <w:pPr>
        <w:pStyle w:val="Heading3"/>
        <w:numPr>
          <w:ilvl w:val="2"/>
          <w:numId w:val="1"/>
        </w:numPr>
        <w:rPr/>
      </w:pPr>
      <w:bookmarkStart w:id="4269" w:name="__RefHeading___Toc2568866_3650668749"/>
      <w:bookmarkStart w:id="4270" w:name="_Toc1942"/>
      <w:bookmarkEnd w:id="4268"/>
      <w:bookmarkEnd w:id="4269"/>
      <w:r>
        <w:rPr>
          <w:rtl w:val="true"/>
        </w:rPr>
        <w:t>[ (</w:t>
      </w:r>
      <w:r>
        <w:rPr>
          <w:rtl w:val="true"/>
        </w:rPr>
        <w:t xml:space="preserve">مسألة </w:t>
      </w:r>
      <w:r>
        <w:rPr/>
        <w:t>28</w:t>
      </w:r>
      <w:r>
        <w:rPr>
          <w:rtl w:val="true"/>
        </w:rPr>
        <w:t xml:space="preserve">): </w:t>
      </w:r>
      <w:r>
        <w:rPr>
          <w:rtl w:val="true"/>
        </w:rPr>
        <w:t>لو انهدم الجدار المشترک و أراد أحد الشریکین تعمیره</w:t>
      </w:r>
      <w:r>
        <w:rPr>
          <w:rtl w:val="true"/>
        </w:rPr>
        <w:t>]</w:t>
      </w:r>
      <w:bookmarkEnd w:id="4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انهدم الجدار المشترک و أراد أحد الشریکین تعمیره لم یجبر شریکه علی المشارکة فی عمارته، و هل له التعمیر من ماله مجّاناً بدون إذن شریکه؟ لا إشکال فی أنّ له ذلک إذا کان الأساس مختصّاً به و بناه بآلات مختصّة به، کما أنّه لا إشکال فی عدم الجواز إذا کان الأساس مختصّاً بشریکه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الأساس مشترکاً فإن کان قابلًا للقسمة لیس له التعمیر بدون إذنه، نعم له المطالبة بالقسمة، فیبنی علیٰ حصّته المفروزة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قابلًا للقسمة و لم یوافقه الشریک فی شی‌ء یرفع أمره إلی الحاکم لیخیّره بین عدّة أُمور؛ من بیع أو إجارة أو المشارکة معه فی العمارة أو الرخصة فی تعمیره و بنائه من ماله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لو کانت الشرکة فی بئر أو نهر أو قناة أو ناعور و نحو ذلک، فلا یجبر الشریک علی المشارکة فی التعمیر و التنقیة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أراد الشریک تعمیرها و تنقیتها من ماله تبرّعاً و مجّاناً له ذلک علی الظاهر </w:t>
      </w:r>
      <w:r>
        <w:rPr>
          <w:rStyle w:val="FootnoteAnchor"/>
          <w:rtl w:val="true"/>
        </w:rPr>
        <w:footnoteReference w:id="1195"/>
      </w:r>
      <w:r>
        <w:rPr>
          <w:rFonts w:ascii="IRNazanin" w:hAnsi="IRNazanin" w:eastAsia="IRNazanin"/>
          <w:color w:val="111111"/>
          <w:sz w:val="28"/>
          <w:sz w:val="28"/>
          <w:szCs w:val="28"/>
          <w:rtl w:val="true"/>
          <w:lang w:bidi="fa-IR"/>
        </w:rPr>
        <w:t>و لیس للشریک منعه، خصوصاً إذا لم یمکن القسمة، کما أنّه لو أنفق فی تعمیرها، فنبع الماء أو زاد لیس له أن یمنع شریکه الغیر المنفق من نصیبه من الماء؛ لأنّه من فوائد ملکهما المشترک</w:t>
      </w:r>
      <w:r>
        <w:rPr>
          <w:rFonts w:eastAsia="IRNazanin" w:cs="IRNazanin"/>
          <w:color w:val="111111"/>
          <w:sz w:val="28"/>
          <w:szCs w:val="28"/>
          <w:rtl w:val="true"/>
          <w:lang w:bidi="fa-IR"/>
        </w:rPr>
        <w:t>.</w:t>
      </w:r>
    </w:p>
    <w:p>
      <w:pPr>
        <w:pStyle w:val="Heading3"/>
        <w:numPr>
          <w:ilvl w:val="2"/>
          <w:numId w:val="1"/>
        </w:numPr>
        <w:rPr/>
      </w:pPr>
      <w:bookmarkStart w:id="4271" w:name="__RefHeading___Toc2568868_3650668749"/>
      <w:bookmarkStart w:id="4272" w:name="_Toc1943"/>
      <w:bookmarkEnd w:id="4271"/>
      <w:r>
        <w:rPr>
          <w:rtl w:val="true"/>
        </w:rPr>
        <w:t>[ (</w:t>
      </w:r>
      <w:r>
        <w:rPr>
          <w:rtl w:val="true"/>
        </w:rPr>
        <w:t xml:space="preserve">مسألة </w:t>
      </w:r>
      <w:r>
        <w:rPr/>
        <w:t>29</w:t>
      </w:r>
      <w:r>
        <w:rPr>
          <w:rtl w:val="true"/>
        </w:rPr>
        <w:t xml:space="preserve">): </w:t>
      </w:r>
      <w:r>
        <w:rPr>
          <w:rtl w:val="true"/>
        </w:rPr>
        <w:t>لو کانت جذوع دار أحد موضوعة علیٰ حائط جاره، و لم یعلم علیٰ أیّ وجه وضعت</w:t>
      </w:r>
      <w:r>
        <w:rPr>
          <w:rtl w:val="true"/>
        </w:rPr>
        <w:t>]</w:t>
      </w:r>
      <w:bookmarkEnd w:id="4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جذوع دار أحد موضوعة علیٰ حائط جاره، و لم یعلم علیٰ أیّ وجه وضعت، حکم فی الظاهر بکونه عن حقّ و استحقاق حتّی یثبت خلافه، فلیس للجار أن یطالبه برفعها عنه، بل و لا منعه من التجدید لو انهدم السقف، و کذا الحال لو وجد بناء أو مجری ماء أو نصب میزاب من أحد فی ملک غیره و لم یعلم سببه، فإنّه یحکم فی أمثال ذلک بکونه عن حقّ و استحقاق، إلّا أن یثبت کونها عن عدوان أو بعنوان العاریة التی یجوز فیها الرجوع</w:t>
      </w:r>
      <w:r>
        <w:rPr>
          <w:rFonts w:eastAsia="IRNazanin" w:cs="IRNazanin"/>
          <w:color w:val="111111"/>
          <w:sz w:val="28"/>
          <w:szCs w:val="28"/>
          <w:rtl w:val="true"/>
          <w:lang w:bidi="fa-IR"/>
        </w:rPr>
        <w:t>.</w:t>
      </w:r>
    </w:p>
    <w:p>
      <w:pPr>
        <w:pStyle w:val="Heading3"/>
        <w:numPr>
          <w:ilvl w:val="2"/>
          <w:numId w:val="1"/>
        </w:numPr>
        <w:rPr/>
      </w:pPr>
      <w:bookmarkStart w:id="4273" w:name="__RefHeading___Toc2568870_3650668749"/>
      <w:bookmarkStart w:id="4274" w:name="_Toc1944"/>
      <w:bookmarkEnd w:id="4273"/>
      <w:r>
        <w:rPr>
          <w:rtl w:val="true"/>
        </w:rPr>
        <w:t>[ (</w:t>
      </w:r>
      <w:r>
        <w:rPr>
          <w:rtl w:val="true"/>
        </w:rPr>
        <w:t xml:space="preserve">مسألة </w:t>
      </w:r>
      <w:r>
        <w:rPr/>
        <w:t>30</w:t>
      </w:r>
      <w:r>
        <w:rPr>
          <w:rtl w:val="true"/>
        </w:rPr>
        <w:t xml:space="preserve">): </w:t>
      </w:r>
      <w:r>
        <w:rPr>
          <w:rtl w:val="true"/>
        </w:rPr>
        <w:t>إذا خرجت أغصان شجرة إلیٰ فضاء ملک الجار من غیر استحقاق</w:t>
      </w:r>
      <w:r>
        <w:rPr>
          <w:rtl w:val="true"/>
        </w:rPr>
        <w:t>]</w:t>
      </w:r>
      <w:bookmarkEnd w:id="427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أغصان شجرة إلیٰ فضاء ملک الجار من غیر استحقاق، له أن یطالب مالک الشجرة بعطف الأغصان أو قطعها من حدّ ملکه، و إن امتنع صاحبها یجوز للجار عطفها أو قطعها، و مع إمکان الأوّل لا یجوز الثانی</w:t>
      </w:r>
      <w:r>
        <w:rPr>
          <w:rFonts w:eastAsia="IRNazanin" w:cs="IRNazanin"/>
          <w:color w:val="111111"/>
          <w:sz w:val="28"/>
          <w:szCs w:val="28"/>
          <w:rtl w:val="true"/>
          <w:lang w:bidi="fa-IR"/>
        </w:rPr>
        <w:t>.</w:t>
      </w:r>
      <w:bookmarkStart w:id="4275" w:name="pg1809_19400"/>
    </w:p>
    <w:p>
      <w:pPr>
        <w:pStyle w:val="Heading2"/>
        <w:numPr>
          <w:ilvl w:val="1"/>
          <w:numId w:val="1"/>
        </w:numPr>
        <w:rPr/>
      </w:pPr>
      <w:bookmarkStart w:id="4276" w:name="__RefHeading___Toc2568872_3650668749"/>
      <w:bookmarkStart w:id="4277" w:name="_Toc1945"/>
      <w:bookmarkEnd w:id="4275"/>
      <w:bookmarkEnd w:id="4276"/>
      <w:r>
        <w:rPr>
          <w:rtl w:val="true"/>
        </w:rPr>
        <w:t>[</w:t>
      </w:r>
      <w:r>
        <w:rPr>
          <w:rtl w:val="true"/>
        </w:rPr>
        <w:t>کتاب الإجارة</w:t>
      </w:r>
      <w:r>
        <w:rPr>
          <w:rtl w:val="true"/>
        </w:rPr>
        <w:t>]</w:t>
      </w:r>
      <w:bookmarkEnd w:id="4277"/>
    </w:p>
    <w:p>
      <w:pPr>
        <w:pStyle w:val="Heading3"/>
        <w:numPr>
          <w:ilvl w:val="2"/>
          <w:numId w:val="1"/>
        </w:numPr>
        <w:rPr/>
      </w:pPr>
      <w:bookmarkStart w:id="4278" w:name="__RefHeading___Toc2568874_3650668749"/>
      <w:bookmarkStart w:id="4279" w:name="_Toc1946"/>
      <w:bookmarkEnd w:id="4278"/>
      <w:r>
        <w:rPr>
          <w:rtl w:val="true"/>
        </w:rPr>
        <w:t>اشارة</w:t>
      </w:r>
      <w:bookmarkEnd w:id="4279"/>
    </w:p>
    <w:p>
      <w:pPr>
        <w:pStyle w:val="BookText"/>
        <w:rPr/>
      </w:pPr>
      <w:r>
        <w:rPr>
          <w:rFonts w:ascii="IRNazanin" w:hAnsi="IRNazanin" w:eastAsia="IRNazanin"/>
          <w:color w:val="111111"/>
          <w:sz w:val="28"/>
          <w:sz w:val="28"/>
          <w:szCs w:val="28"/>
          <w:rtl w:val="true"/>
          <w:lang w:bidi="fa-IR"/>
        </w:rPr>
        <w:t>کتاب الإجارة و هی إمّا متعلّقة بأعیان مملوکة؛ من حیوان ناطق أو صامت، أو غیر حیوان؛ من متاع أو ثیاب أو دار أو عقار و غیرها، فتفید تملیک منفعتها للمستأجر بالعوض، و إمّا متعلّقة بالنفس کإجارة الحرّ نفسه لعمل معلوم فتفید غالباً تملیک عمله للغیر بأُجرة مقرّرة، و قد تفید تملیک منفعته دون عمله کإجارة المرضعة نفسها للرضاع لا للإرضاع</w:t>
      </w:r>
      <w:r>
        <w:rPr>
          <w:rFonts w:eastAsia="IRNazanin" w:cs="IRNazanin"/>
          <w:color w:val="111111"/>
          <w:sz w:val="28"/>
          <w:szCs w:val="28"/>
          <w:rtl w:val="true"/>
          <w:lang w:bidi="fa-IR"/>
        </w:rPr>
        <w:t>.</w:t>
      </w:r>
    </w:p>
    <w:p>
      <w:pPr>
        <w:pStyle w:val="Heading3"/>
        <w:numPr>
          <w:ilvl w:val="2"/>
          <w:numId w:val="1"/>
        </w:numPr>
        <w:rPr/>
      </w:pPr>
      <w:bookmarkStart w:id="4280" w:name="__RefHeading___Toc2568876_3650668749"/>
      <w:bookmarkStart w:id="4281" w:name="_Toc1947"/>
      <w:bookmarkEnd w:id="4280"/>
      <w:r>
        <w:rPr>
          <w:rtl w:val="true"/>
        </w:rPr>
        <w:t>[ (</w:t>
      </w:r>
      <w:r>
        <w:rPr>
          <w:rtl w:val="true"/>
        </w:rPr>
        <w:t xml:space="preserve">مسألة </w:t>
      </w:r>
      <w:r>
        <w:rPr/>
        <w:t>1</w:t>
      </w:r>
      <w:r>
        <w:rPr>
          <w:rtl w:val="true"/>
        </w:rPr>
        <w:t xml:space="preserve">): </w:t>
      </w:r>
      <w:r>
        <w:rPr>
          <w:rtl w:val="true"/>
        </w:rPr>
        <w:t>عقد الإجارة هو اللفظ المشتمل علی الإیجاب الدالّ بالظهور العرفی علیٰ تملیک</w:t>
      </w:r>
      <w:r>
        <w:rPr>
          <w:rtl w:val="true"/>
        </w:rPr>
        <w:t>]</w:t>
      </w:r>
      <w:bookmarkEnd w:id="428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الإجارة هو اللفظ المشتمل علی الإیجاب الدالّ بالظهور العرفی علیٰ تملیک </w:t>
      </w:r>
      <w:r>
        <w:rPr>
          <w:rStyle w:val="FootnoteAnchor"/>
          <w:rtl w:val="true"/>
        </w:rPr>
        <w:footnoteReference w:id="1196"/>
      </w:r>
      <w:r>
        <w:rPr>
          <w:rFonts w:ascii="IRNazanin" w:hAnsi="IRNazanin" w:eastAsia="IRNazanin"/>
          <w:color w:val="111111"/>
          <w:sz w:val="28"/>
          <w:sz w:val="28"/>
          <w:szCs w:val="28"/>
          <w:rtl w:val="true"/>
          <w:lang w:bidi="fa-IR"/>
        </w:rPr>
        <w:t>المنفعة أو العمل بعوض و القبول الدالّ علی الرضا به و تملّکهما بالعوض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العبارة الصریحة فی الإیجاب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أکریتک هذه الدار أو هذه الدابّة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ما أفاد معناهما، و لا یعتبر فیه العربیّة، بل یکفی کلّ لفظ أفاد المعنی المقصود بأیّ لغة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یقوم مقام اللفظ الإشارة المفهمة من الأخرس و نحوه کعقد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جریان المعاطاة فی القسم الأوّل منها و هو ما تعلّقت بأعیان مملوکة و تتحقّق بتسلیط الغیر علی العین ذات المنفعة و قصد التسلیط </w:t>
      </w:r>
      <w:r>
        <w:rPr>
          <w:rStyle w:val="FootnoteAnchor"/>
          <w:rtl w:val="true"/>
        </w:rPr>
        <w:footnoteReference w:id="1197"/>
      </w:r>
      <w:r>
        <w:rPr>
          <w:rFonts w:ascii="IRNazanin" w:hAnsi="IRNazanin" w:eastAsia="IRNazanin"/>
          <w:color w:val="111111"/>
          <w:sz w:val="28"/>
          <w:sz w:val="28"/>
          <w:szCs w:val="28"/>
          <w:rtl w:val="true"/>
          <w:lang w:bidi="fa-IR"/>
        </w:rPr>
        <w:t xml:space="preserve">علیٰ منفعتها و تملیکها بالعوض و تسلّم الغیر لها بهذا العنوان، و أمّا القسم الثانی منها و هو ما تعلّقت بنفس الحرّ ففی جریانها فیه تأمّل و إشکال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bookmarkStart w:id="4282" w:name="pg1809_19401"/>
    </w:p>
    <w:p>
      <w:pPr>
        <w:pStyle w:val="Heading3"/>
        <w:numPr>
          <w:ilvl w:val="2"/>
          <w:numId w:val="1"/>
        </w:numPr>
        <w:rPr/>
      </w:pPr>
      <w:bookmarkStart w:id="4283" w:name="__RefHeading___Toc2568878_3650668749"/>
      <w:bookmarkStart w:id="4284" w:name="_Toc1948"/>
      <w:bookmarkEnd w:id="4282"/>
      <w:bookmarkEnd w:id="4283"/>
      <w:r>
        <w:rPr>
          <w:rtl w:val="true"/>
        </w:rPr>
        <w:t>[ (</w:t>
      </w:r>
      <w:r>
        <w:rPr>
          <w:rtl w:val="true"/>
        </w:rPr>
        <w:t xml:space="preserve">مسألة </w:t>
      </w:r>
      <w:r>
        <w:rPr/>
        <w:t>2</w:t>
      </w:r>
      <w:r>
        <w:rPr>
          <w:rtl w:val="true"/>
        </w:rPr>
        <w:t xml:space="preserve">): </w:t>
      </w:r>
      <w:r>
        <w:rPr>
          <w:rtl w:val="true"/>
        </w:rPr>
        <w:t>یشترط فی صحّة الإجارة أُمور</w:t>
      </w:r>
      <w:r>
        <w:rPr>
          <w:rtl w:val="true"/>
        </w:rPr>
        <w:t>]</w:t>
      </w:r>
      <w:bookmarkEnd w:id="4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الإجارة أُمور بعضها فی المتعاقدین أعنی المؤجر و المستأجر و بعضها فی العین المستأجرة، و بعضها فی المنفعة، و بعضها فی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المتعاقدان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فیعتبر فیهما ما اعتبر فی المتبایعین؛ من البلوغ و العقل و القصد و الاختیار و عدم الحجر لفلس أو سفه أو 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العین المستأجرة فیعتبر فیها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التعیین، فلو آجر إحدی الدارین أو إحدی الدابّتین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المعلومیّة، فإن کان عیناً معیّناً فإمّا بالمشاهدة، و إمّا بذکر الأوصاف التی تختلف بها الرغبات فی إجارتها لو کانت غائبة، و کذا لو کانت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مقدوراً علیٰ تسلیمها فلا تصحّ إجارة العبد الآبق و لا الدابّة الشاردة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Style w:val="FootnoteAnchor"/>
          <w:rtl w:val="true"/>
        </w:rPr>
        <w:footnoteReference w:id="1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ممّا یمکن الانتفاع بها مع بقاء عینها، فلا تصحّ إجارة ما لا یمکن الانتفاع بها کما إذا آجر أرضاً للزراعة مع أنّه لم یمکن إیصال الماء إلیها و لا ینفعها و لا یکفیها ماء المطر، و کذا ما لا یمکن الانتفاع بها إلّا بإذهاب عینها کالخبز للأکل، و الشمع و الحطب للإشعال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المنفعة فیعتبر فیها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مباحة، فلا تصحّ إجارة الدکّان لإحراز المسکرات أو بیعها، و لا الدابّة و السفینة لحملها و الجاریة للغناء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متموّلًا یبذل بإزائها المال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نوعها إذا کانت للعین منافع متعدّدة، فإذا استؤجرت الدابّة یعیّن أنّها للحمل أو الرکوب أو لإدارة الرحی و غیرها، نعم تصحّ إجارتها لجمیع منافعها فیملک المستأجر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بتقدیرها بالزمان المعلوم کسکنی الدار شهراً أو الخیاطة أو التعمیر و البناء یوماً، و إمّا بتقدیر العمل کخیاطة الثوب المعیّن خیاطة کذائیّة فارسیّة أو رومیّة من غیر تعرّض للزمان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الأُجرة فیعتبر معلومیّتها و تعیین مقدارها بالکیل أو الوزن أو العدّ فی المکیل و الموزون و المعدود، و بالمشاهدة أو الوصف فی غیرها، و یجوز أن تکون عیناً خارجیّة</w:t>
      </w:r>
      <w:bookmarkStart w:id="4285" w:name="pg1809_19403"/>
    </w:p>
    <w:p>
      <w:pPr>
        <w:pStyle w:val="BookText"/>
        <w:rPr/>
      </w:pPr>
      <w:bookmarkEnd w:id="4285"/>
      <w:r>
        <w:rPr>
          <w:rFonts w:ascii="IRNazanin" w:hAnsi="IRNazanin" w:eastAsia="IRNazanin"/>
          <w:color w:val="111111"/>
          <w:sz w:val="28"/>
          <w:sz w:val="28"/>
          <w:szCs w:val="28"/>
          <w:rtl w:val="true"/>
          <w:lang w:bidi="fa-IR"/>
        </w:rPr>
        <w:t>أو کلّیّاً فی الذمّة أو عملًا أو منفعة أو حقّا قابلًا للنقل و الانتقال کحقّی التحجیر و الاختصاص کالثمن فی البیع</w:t>
      </w:r>
      <w:r>
        <w:rPr>
          <w:rFonts w:eastAsia="IRNazanin" w:cs="IRNazanin"/>
          <w:color w:val="111111"/>
          <w:sz w:val="28"/>
          <w:szCs w:val="28"/>
          <w:rtl w:val="true"/>
          <w:lang w:bidi="fa-IR"/>
        </w:rPr>
        <w:t>.</w:t>
      </w:r>
    </w:p>
    <w:p>
      <w:pPr>
        <w:pStyle w:val="Heading3"/>
        <w:numPr>
          <w:ilvl w:val="2"/>
          <w:numId w:val="1"/>
        </w:numPr>
        <w:rPr/>
      </w:pPr>
      <w:bookmarkStart w:id="4286" w:name="__RefHeading___Toc2568880_3650668749"/>
      <w:bookmarkStart w:id="4287" w:name="_Toc1949"/>
      <w:bookmarkEnd w:id="4286"/>
      <w:r>
        <w:rPr>
          <w:rtl w:val="true"/>
        </w:rPr>
        <w:t>[ (</w:t>
      </w:r>
      <w:r>
        <w:rPr>
          <w:rtl w:val="true"/>
        </w:rPr>
        <w:t xml:space="preserve">مسألة </w:t>
      </w:r>
      <w:r>
        <w:rPr/>
        <w:t>3</w:t>
      </w:r>
      <w:r>
        <w:rPr>
          <w:rtl w:val="true"/>
        </w:rPr>
        <w:t xml:space="preserve">): </w:t>
      </w:r>
      <w:r>
        <w:rPr>
          <w:rtl w:val="true"/>
        </w:rPr>
        <w:t>إذا استأجر دابّة للحمل، فلا بدّ من تعیین جنس ما یحمل علیها</w:t>
      </w:r>
      <w:r>
        <w:rPr>
          <w:rtl w:val="true"/>
        </w:rPr>
        <w:t>]</w:t>
      </w:r>
      <w:bookmarkEnd w:id="4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دابّة للحمل، فلا بدّ من تعیین جنس ما یحمل علیها؛ لاختلاف الأغراض باختلافه، و کذا مقداره و لو بالمشاهدة و التخمین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استأجرها للسفر فلا بدّ من تعیین الطریق و زمان السیر من لیل أو نهار و نحو ذلک، بل لا بدّ من مشاهدة الراکب أو توصیفه بما یرفع الغرر و الجهالة</w:t>
      </w:r>
      <w:r>
        <w:rPr>
          <w:rFonts w:eastAsia="IRNazanin" w:cs="IRNazanin"/>
          <w:color w:val="111111"/>
          <w:sz w:val="28"/>
          <w:szCs w:val="28"/>
          <w:rtl w:val="true"/>
          <w:lang w:bidi="fa-IR"/>
        </w:rPr>
        <w:t>.</w:t>
      </w:r>
    </w:p>
    <w:p>
      <w:pPr>
        <w:pStyle w:val="Heading3"/>
        <w:numPr>
          <w:ilvl w:val="2"/>
          <w:numId w:val="1"/>
        </w:numPr>
        <w:rPr/>
      </w:pPr>
      <w:bookmarkStart w:id="4288" w:name="__RefHeading___Toc2568882_3650668749"/>
      <w:bookmarkStart w:id="4289" w:name="_Toc1950"/>
      <w:bookmarkEnd w:id="4288"/>
      <w:r>
        <w:rPr>
          <w:rtl w:val="true"/>
        </w:rPr>
        <w:t>[ (</w:t>
      </w:r>
      <w:r>
        <w:rPr>
          <w:rtl w:val="true"/>
        </w:rPr>
        <w:t xml:space="preserve">مسألة </w:t>
      </w:r>
      <w:r>
        <w:rPr/>
        <w:t>4</w:t>
      </w:r>
      <w:r>
        <w:rPr>
          <w:rtl w:val="true"/>
        </w:rPr>
        <w:t xml:space="preserve">): </w:t>
      </w:r>
      <w:r>
        <w:rPr>
          <w:rtl w:val="true"/>
        </w:rPr>
        <w:t>ما کانت معلومیّة المنفعة بحسب الزمان لا بدّ من تعیینه یوماً أو شهراً أو سنة</w:t>
      </w:r>
      <w:r>
        <w:rPr>
          <w:rtl w:val="true"/>
        </w:rPr>
        <w:t>]</w:t>
      </w:r>
      <w:bookmarkEnd w:id="4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معلومیّة المنفعة بحسب الزمان لا بدّ من تعیینه یوماً أو شهراً أو سنة و نحو ذلک، فلا یصحّ تقدیره بمجی‌ء الحاجّ مثلًا</w:t>
      </w:r>
      <w:r>
        <w:rPr>
          <w:rFonts w:eastAsia="IRNazanin" w:cs="IRNazanin"/>
          <w:color w:val="111111"/>
          <w:sz w:val="28"/>
          <w:szCs w:val="28"/>
          <w:rtl w:val="true"/>
          <w:lang w:bidi="fa-IR"/>
        </w:rPr>
        <w:t>.</w:t>
      </w:r>
    </w:p>
    <w:p>
      <w:pPr>
        <w:pStyle w:val="Heading3"/>
        <w:numPr>
          <w:ilvl w:val="2"/>
          <w:numId w:val="1"/>
        </w:numPr>
        <w:rPr/>
      </w:pPr>
      <w:bookmarkStart w:id="4290" w:name="__RefHeading___Toc2568884_3650668749"/>
      <w:bookmarkStart w:id="4291" w:name="_Toc1951"/>
      <w:bookmarkEnd w:id="4290"/>
      <w:r>
        <w:rPr>
          <w:rtl w:val="true"/>
        </w:rPr>
        <w:t>[ (</w:t>
      </w:r>
      <w:r>
        <w:rPr>
          <w:rtl w:val="true"/>
        </w:rPr>
        <w:t xml:space="preserve">مسألة </w:t>
      </w:r>
      <w:r>
        <w:rPr/>
        <w:t>5</w:t>
      </w:r>
      <w:r>
        <w:rPr>
          <w:rtl w:val="true"/>
        </w:rPr>
        <w:t xml:space="preserve">): </w:t>
      </w:r>
      <w:r>
        <w:rPr>
          <w:rtl w:val="true"/>
        </w:rPr>
        <w:t>لو قال</w:t>
      </w:r>
      <w:r>
        <w:rPr>
          <w:rtl w:val="true"/>
        </w:rPr>
        <w:t xml:space="preserve">: </w:t>
      </w:r>
      <w:r>
        <w:rPr>
          <w:rtl w:val="true"/>
        </w:rPr>
        <w:t>کلّما سکنت هذه الدار فکلّ شهر بدینار مثلًا بطل</w:t>
      </w:r>
      <w:r>
        <w:rPr>
          <w:rtl w:val="true"/>
        </w:rPr>
        <w:t>]</w:t>
      </w:r>
      <w:bookmarkEnd w:id="4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سکنت هذه الدار فکلّ شهر بدینار مثلًا بطل إن کان المقصود الإجارة للجهالة، و صحّ لو کان المقصود الإباحة بالعوض أو الجعالة </w:t>
      </w:r>
      <w:r>
        <w:rPr>
          <w:rStyle w:val="FootnoteAnchor"/>
          <w:rtl w:val="true"/>
        </w:rPr>
        <w:footnoteReference w:id="1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أنّ المستأجر مالک للمنفعة فی الإجارة بخلافهما؛ فإنّ المباح له و المجعول له لیسا مالکین للمنفعة أصلًا، و إنّما یملک المالک علیهما الجعل المقرّر علیٰ تقدیر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خطت هذا الثوب مثلًا فارسیّاً فلک درهم و إن خطته رومیّاً فلک درهمان، بطل إن کان بعنوان الإجارة، و صحّ إن کان بعنوان الجعالة کما هو ظاهر العبارة</w:t>
      </w:r>
      <w:r>
        <w:rPr>
          <w:rFonts w:eastAsia="IRNazanin" w:cs="IRNazanin"/>
          <w:color w:val="111111"/>
          <w:sz w:val="28"/>
          <w:szCs w:val="28"/>
          <w:rtl w:val="true"/>
          <w:lang w:bidi="fa-IR"/>
        </w:rPr>
        <w:t>.</w:t>
      </w:r>
    </w:p>
    <w:p>
      <w:pPr>
        <w:pStyle w:val="Heading3"/>
        <w:numPr>
          <w:ilvl w:val="2"/>
          <w:numId w:val="1"/>
        </w:numPr>
        <w:rPr/>
      </w:pPr>
      <w:bookmarkStart w:id="4292" w:name="__RefHeading___Toc2568886_3650668749"/>
      <w:bookmarkStart w:id="4293" w:name="_Toc1952"/>
      <w:bookmarkEnd w:id="4292"/>
      <w:r>
        <w:rPr>
          <w:rtl w:val="true"/>
        </w:rPr>
        <w:t>[ (</w:t>
      </w:r>
      <w:r>
        <w:rPr>
          <w:rtl w:val="true"/>
        </w:rPr>
        <w:t xml:space="preserve">مسألة </w:t>
      </w:r>
      <w:r>
        <w:rPr/>
        <w:t>6</w:t>
      </w:r>
      <w:r>
        <w:rPr>
          <w:rtl w:val="true"/>
        </w:rPr>
        <w:t xml:space="preserve">): </w:t>
      </w:r>
      <w:r>
        <w:rPr>
          <w:rtl w:val="true"/>
        </w:rPr>
        <w:t>إذا استأجر دابّة لتحمله أو تحمل متاعه إلیٰ مکان فی وقت معیّن</w:t>
      </w:r>
      <w:r>
        <w:rPr>
          <w:rtl w:val="true"/>
        </w:rPr>
        <w:t>]</w:t>
      </w:r>
      <w:bookmarkEnd w:id="429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استأجر دابّة لتحمله أو تحمل متاعه إلیٰ مکان فی وقت معیّن؛ کأن استأجر دابّة لإیصاله إلیٰ کربلاء یوم عرفة و لم یوصله، فإن کان ذلک لعدم سعة الوقت أو عدم إمکان الإیصال من جهة أُخری، فالإجارة باطلة، و إن کان الزمان واسعاً و لکن قصّر </w:t>
      </w:r>
      <w:r>
        <w:rPr>
          <w:rStyle w:val="FootnoteAnchor"/>
          <w:rtl w:val="true"/>
        </w:rPr>
        <w:footnoteReference w:id="1202"/>
      </w:r>
      <w:r>
        <w:rPr>
          <w:rFonts w:ascii="IRNazanin" w:hAnsi="IRNazanin" w:eastAsia="IRNazanin"/>
          <w:color w:val="111111"/>
          <w:sz w:val="28"/>
          <w:sz w:val="28"/>
          <w:szCs w:val="28"/>
          <w:rtl w:val="true"/>
          <w:lang w:bidi="fa-IR"/>
        </w:rPr>
        <w:t>فلم یوصله لم یستحقّ المؤجر من الأُجرة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استأجرها علیٰ أن یوصله إلیٰ مکان معیّن لکن شرط علیه أن یوصله فی وقت کذا، فتعذّر أو تخلّف فالإجارة صحیحة بالأُجرة المعیّنة لکن للمستأجر خیار الفسخ من جهة تخلّف الشرط، فإذا فسخ یرجع اجرة المسمّی إلیٰ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یستحقّ المؤجر أُجرة المثل</w:t>
      </w:r>
      <w:r>
        <w:rPr>
          <w:rFonts w:eastAsia="IRNazanin" w:cs="IRNazanin"/>
          <w:color w:val="111111"/>
          <w:sz w:val="28"/>
          <w:szCs w:val="28"/>
          <w:rtl w:val="true"/>
          <w:lang w:bidi="fa-IR"/>
        </w:rPr>
        <w:t>.</w:t>
      </w:r>
      <w:bookmarkStart w:id="4294" w:name="pg1809_19405"/>
    </w:p>
    <w:p>
      <w:pPr>
        <w:pStyle w:val="Heading3"/>
        <w:numPr>
          <w:ilvl w:val="2"/>
          <w:numId w:val="1"/>
        </w:numPr>
        <w:rPr/>
      </w:pPr>
      <w:bookmarkStart w:id="4295" w:name="__RefHeading___Toc2568888_3650668749"/>
      <w:bookmarkStart w:id="4296" w:name="_Toc1953"/>
      <w:bookmarkEnd w:id="4294"/>
      <w:bookmarkEnd w:id="4295"/>
      <w:r>
        <w:rPr>
          <w:rtl w:val="true"/>
        </w:rPr>
        <w:t>[ (</w:t>
      </w:r>
      <w:r>
        <w:rPr>
          <w:rtl w:val="true"/>
        </w:rPr>
        <w:t xml:space="preserve">مسألة </w:t>
      </w:r>
      <w:r>
        <w:rPr/>
        <w:t>7</w:t>
      </w:r>
      <w:r>
        <w:rPr>
          <w:rtl w:val="true"/>
        </w:rPr>
        <w:t xml:space="preserve">): </w:t>
      </w:r>
      <w:r>
        <w:rPr>
          <w:rtl w:val="true"/>
        </w:rPr>
        <w:t>إذا کان وقت زیارة عرفة، و استأجر دابّة للزیارة فلم یصل و فاتت منه الزیارة</w:t>
      </w:r>
      <w:r>
        <w:rPr>
          <w:rtl w:val="true"/>
        </w:rPr>
        <w:t>]</w:t>
      </w:r>
      <w:bookmarkEnd w:id="4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وقت زیارة عرفة، و استأجر دابّة للزیارة فلم یصل و فاتت منه الزیارة صحّت الإجارة، و یستحقّ صاحب الدابّة تمام الأُجرة بعد ما لم یشترط </w:t>
      </w:r>
      <w:r>
        <w:rPr>
          <w:rStyle w:val="FootnoteAnchor"/>
          <w:rtl w:val="true"/>
        </w:rPr>
        <w:footnoteReference w:id="1203"/>
      </w:r>
      <w:r>
        <w:rPr>
          <w:rFonts w:ascii="IRNazanin" w:hAnsi="IRNazanin" w:eastAsia="IRNazanin"/>
          <w:color w:val="111111"/>
          <w:sz w:val="28"/>
          <w:sz w:val="28"/>
          <w:szCs w:val="28"/>
          <w:rtl w:val="true"/>
          <w:lang w:bidi="fa-IR"/>
        </w:rPr>
        <w:t>علیه فی عقد الإجارة إیصاله یوم عرفة</w:t>
      </w:r>
      <w:r>
        <w:rPr>
          <w:rFonts w:eastAsia="IRNazanin" w:cs="IRNazanin"/>
          <w:color w:val="111111"/>
          <w:sz w:val="28"/>
          <w:szCs w:val="28"/>
          <w:rtl w:val="true"/>
          <w:lang w:bidi="fa-IR"/>
        </w:rPr>
        <w:t>.</w:t>
      </w:r>
    </w:p>
    <w:p>
      <w:pPr>
        <w:pStyle w:val="Heading3"/>
        <w:numPr>
          <w:ilvl w:val="2"/>
          <w:numId w:val="1"/>
        </w:numPr>
        <w:rPr/>
      </w:pPr>
      <w:bookmarkStart w:id="4297" w:name="__RefHeading___Toc2568890_3650668749"/>
      <w:bookmarkStart w:id="4298" w:name="_Toc1954"/>
      <w:bookmarkEnd w:id="4297"/>
      <w:r>
        <w:rPr>
          <w:rtl w:val="true"/>
        </w:rPr>
        <w:t>[ (</w:t>
      </w:r>
      <w:r>
        <w:rPr>
          <w:rtl w:val="true"/>
        </w:rPr>
        <w:t xml:space="preserve">مسألة </w:t>
      </w:r>
      <w:r>
        <w:rPr/>
        <w:t>8</w:t>
      </w:r>
      <w:r>
        <w:rPr>
          <w:rtl w:val="true"/>
        </w:rPr>
        <w:t xml:space="preserve">): </w:t>
      </w:r>
      <w:r>
        <w:rPr>
          <w:rtl w:val="true"/>
        </w:rPr>
        <w:t>لا یشترط اتّصال مدّة الإجارة بالعقد فلو آجر داره فی شهر مستقبل صحّ</w:t>
      </w:r>
      <w:r>
        <w:rPr>
          <w:rtl w:val="true"/>
        </w:rPr>
        <w:t>]</w:t>
      </w:r>
      <w:bookmarkEnd w:id="4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اتّصال مدّة الإجارة بالعقد فلو آجر داره فی شهر مستقبل صحّ </w:t>
      </w:r>
      <w:r>
        <w:rPr>
          <w:rStyle w:val="FootnoteAnchor"/>
          <w:rtl w:val="true"/>
        </w:rPr>
        <w:footnoteReference w:id="1204"/>
      </w:r>
      <w:r>
        <w:rPr>
          <w:rFonts w:ascii="IRNazanin" w:hAnsi="IRNazanin" w:eastAsia="IRNazanin"/>
          <w:color w:val="111111"/>
          <w:sz w:val="28"/>
          <w:sz w:val="28"/>
          <w:szCs w:val="28"/>
          <w:rtl w:val="true"/>
          <w:lang w:bidi="fa-IR"/>
        </w:rPr>
        <w:t xml:space="preserve">سواء کانت مستأجرة فی سابقه أم لا، نعم مع الإطلاق تنصرف إلی الاتّصال </w:t>
      </w:r>
      <w:r>
        <w:rPr>
          <w:rStyle w:val="FootnoteAnchor"/>
          <w:rtl w:val="true"/>
        </w:rPr>
        <w:footnoteReference w:id="1205"/>
      </w:r>
      <w:r>
        <w:rPr>
          <w:rFonts w:ascii="IRNazanin" w:hAnsi="IRNazanin" w:eastAsia="IRNazanin"/>
          <w:color w:val="111111"/>
          <w:sz w:val="28"/>
          <w:sz w:val="28"/>
          <w:szCs w:val="28"/>
          <w:rtl w:val="true"/>
          <w:lang w:bidi="fa-IR"/>
        </w:rPr>
        <w:t>،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داری شهراً، اقتضی الإطلاق اتّصاله بزمان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آجرها شهراً و فهم الإطلاق أعنی الکلّی الصادق علی المتّصل و المنفصل ففی صحّتها تأمّل </w:t>
      </w:r>
      <w:r>
        <w:rPr>
          <w:rStyle w:val="FootnoteAnchor"/>
          <w:rtl w:val="true"/>
        </w:rPr>
        <w:footnoteReference w:id="1206"/>
      </w:r>
      <w:r>
        <w:rPr>
          <w:rFonts w:ascii="IRNazanin" w:hAnsi="IRNazanin" w:eastAsia="IRNazanin"/>
          <w:color w:val="111111"/>
          <w:sz w:val="28"/>
          <w:sz w:val="28"/>
          <w:szCs w:val="28"/>
          <w:rtl w:val="true"/>
          <w:lang w:bidi="fa-IR"/>
        </w:rPr>
        <w:t>و إشکال</w:t>
      </w:r>
      <w:r>
        <w:rPr>
          <w:rFonts w:eastAsia="IRNazanin" w:cs="IRNazanin"/>
          <w:color w:val="111111"/>
          <w:sz w:val="28"/>
          <w:szCs w:val="28"/>
          <w:rtl w:val="true"/>
          <w:lang w:bidi="fa-IR"/>
        </w:rPr>
        <w:t>.</w:t>
      </w:r>
    </w:p>
    <w:p>
      <w:pPr>
        <w:pStyle w:val="Heading3"/>
        <w:numPr>
          <w:ilvl w:val="2"/>
          <w:numId w:val="1"/>
        </w:numPr>
        <w:rPr/>
      </w:pPr>
      <w:bookmarkStart w:id="4299" w:name="__RefHeading___Toc2568892_3650668749"/>
      <w:bookmarkStart w:id="4300" w:name="_Toc1955"/>
      <w:bookmarkEnd w:id="4299"/>
      <w:r>
        <w:rPr>
          <w:rtl w:val="true"/>
        </w:rPr>
        <w:t>[ (</w:t>
      </w:r>
      <w:r>
        <w:rPr>
          <w:rtl w:val="true"/>
        </w:rPr>
        <w:t xml:space="preserve">مسألة </w:t>
      </w:r>
      <w:r>
        <w:rPr/>
        <w:t>9</w:t>
      </w:r>
      <w:r>
        <w:rPr>
          <w:rtl w:val="true"/>
        </w:rPr>
        <w:t xml:space="preserve">): </w:t>
      </w:r>
      <w:r>
        <w:rPr>
          <w:rtl w:val="true"/>
        </w:rPr>
        <w:t>عقد الإجارة لازم من الطرفین لا ینفسخ إلّا بالتقایل أو بالفسخ مع وجود خیار فی البین</w:t>
      </w:r>
      <w:r>
        <w:rPr>
          <w:rtl w:val="true"/>
        </w:rPr>
        <w:t>]</w:t>
      </w:r>
      <w:bookmarkEnd w:id="4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الإجارة لازم من الطرفین لا ینفسخ إلّا بالتقایل أو بالفسخ مع وجود خیار فی البین، و الظاهر أنّه یجری فیها جمیع الخیارات إلّا خیار المجلس و خیار الحیوان و خیار التأخیر، فإنّها مختصّة بالبیع، فیجری فیها خیار الشرط و خیار تخلّف الشرط و خیار العیب و خیار الغبن و خیار الرؤیة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الإجارة العقدیّة، و أمّا المعاطاتیّة فهی کالبیع المعاطاتی، فلم تلزم </w:t>
      </w:r>
      <w:r>
        <w:rPr>
          <w:rStyle w:val="FootnoteAnchor"/>
          <w:rtl w:val="true"/>
        </w:rPr>
        <w:footnoteReference w:id="1207"/>
      </w:r>
      <w:r>
        <w:rPr>
          <w:rFonts w:ascii="IRNazanin" w:hAnsi="IRNazanin" w:eastAsia="IRNazanin"/>
          <w:color w:val="111111"/>
          <w:sz w:val="28"/>
          <w:sz w:val="28"/>
          <w:szCs w:val="28"/>
          <w:rtl w:val="true"/>
          <w:lang w:bidi="fa-IR"/>
        </w:rPr>
        <w:t>إلّا بتصرّفهما أو تصرّف أحدهما فیما انتقل إلیه</w:t>
      </w:r>
      <w:r>
        <w:rPr>
          <w:rFonts w:eastAsia="IRNazanin" w:cs="IRNazanin"/>
          <w:color w:val="111111"/>
          <w:sz w:val="28"/>
          <w:szCs w:val="28"/>
          <w:rtl w:val="true"/>
          <w:lang w:bidi="fa-IR"/>
        </w:rPr>
        <w:t>.</w:t>
      </w:r>
    </w:p>
    <w:p>
      <w:pPr>
        <w:pStyle w:val="Heading3"/>
        <w:numPr>
          <w:ilvl w:val="2"/>
          <w:numId w:val="1"/>
        </w:numPr>
        <w:rPr/>
      </w:pPr>
      <w:bookmarkStart w:id="4301" w:name="__RefHeading___Toc2568894_3650668749"/>
      <w:bookmarkStart w:id="4302" w:name="_Toc1956"/>
      <w:bookmarkEnd w:id="4301"/>
      <w:r>
        <w:rPr>
          <w:rtl w:val="true"/>
        </w:rPr>
        <w:t>[ (</w:t>
      </w:r>
      <w:r>
        <w:rPr>
          <w:rtl w:val="true"/>
        </w:rPr>
        <w:t xml:space="preserve">مسألة </w:t>
      </w:r>
      <w:r>
        <w:rPr/>
        <w:t>10</w:t>
      </w:r>
      <w:r>
        <w:rPr>
          <w:rtl w:val="true"/>
        </w:rPr>
        <w:t xml:space="preserve">): </w:t>
      </w:r>
      <w:r>
        <w:rPr>
          <w:rtl w:val="true"/>
        </w:rPr>
        <w:t>لا تبطل الإجارة بالبیع و لا یکون فسخاً لها</w:t>
      </w:r>
      <w:r>
        <w:rPr>
          <w:rtl w:val="true"/>
        </w:rPr>
        <w:t>]</w:t>
      </w:r>
      <w:bookmarkEnd w:id="4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الإجارة بالبیع و لا یکون فسخاً لها، فتنتقل العین إلی المشتری مسلوبة المنفعة فی تلک المدّة، نعم للمشتری مع جهله بالإجارة خیار فسخ البیع، بل له الخیار لو علم بها و تخیّل أنّ مدّتها قصیرة فتبیّن أنّها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فسخ المستأجر الإجارة أو انفسخت رجعت المنفعة فی بقیّة المدّة إلی المؤجر لا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لا تبطل الإجارة ببیع العین المستأجرة علیٰ غیر المستأجر، کذلک لا تبطل لو بیعت علیه، فلو استأجر داراً ثمّ اشتراها بقیت الإجارة علیٰ حالها و یکون ملکه للمنفعة فی بقیّة المدّة بسبب الإجارة لا من جهة تبعیّة العین، فلو انفسخت الإجارة رجعت المنفعة فی بقیّة المدّة إلی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فسخ البیع بأحد أسبابه بقی ملک المشتری المستأجر للمنفعة علیٰ حاله</w:t>
      </w:r>
      <w:r>
        <w:rPr>
          <w:rFonts w:eastAsia="IRNazanin" w:cs="IRNazanin"/>
          <w:color w:val="111111"/>
          <w:sz w:val="28"/>
          <w:szCs w:val="28"/>
          <w:rtl w:val="true"/>
          <w:lang w:bidi="fa-IR"/>
        </w:rPr>
        <w:t>.</w:t>
      </w:r>
    </w:p>
    <w:p>
      <w:pPr>
        <w:pStyle w:val="Heading3"/>
        <w:numPr>
          <w:ilvl w:val="2"/>
          <w:numId w:val="1"/>
        </w:numPr>
        <w:rPr/>
      </w:pPr>
      <w:bookmarkStart w:id="4303" w:name="__RefHeading___Toc2568896_3650668749"/>
      <w:bookmarkStart w:id="4304" w:name="_Toc1957"/>
      <w:bookmarkEnd w:id="4303"/>
      <w:r>
        <w:rPr>
          <w:rtl w:val="true"/>
        </w:rPr>
        <w:t>[ (</w:t>
      </w:r>
      <w:r>
        <w:rPr>
          <w:rtl w:val="true"/>
        </w:rPr>
        <w:t xml:space="preserve">مسألة </w:t>
      </w:r>
      <w:r>
        <w:rPr/>
        <w:t>11</w:t>
      </w:r>
      <w:r>
        <w:rPr>
          <w:rtl w:val="true"/>
        </w:rPr>
        <w:t xml:space="preserve">): </w:t>
      </w:r>
      <w:r>
        <w:rPr>
          <w:rtl w:val="true"/>
        </w:rPr>
        <w:t>الظاهر أنّه لا تبطل إجارة الأعیان بموت المؤجر و لا بموت المستأجر</w:t>
      </w:r>
      <w:r>
        <w:rPr>
          <w:rtl w:val="true"/>
        </w:rPr>
        <w:t>]</w:t>
      </w:r>
      <w:bookmarkEnd w:id="430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تبطل إجارة الأعیان بموت المؤجر و لا بموت المستأجر، إلّا</w:t>
      </w:r>
      <w:bookmarkStart w:id="4305" w:name="pg1809_19407"/>
    </w:p>
    <w:p>
      <w:pPr>
        <w:pStyle w:val="BookText"/>
        <w:rPr/>
      </w:pPr>
      <w:bookmarkEnd w:id="4305"/>
      <w:r>
        <w:rPr>
          <w:rFonts w:ascii="IRNazanin" w:hAnsi="IRNazanin" w:eastAsia="IRNazanin"/>
          <w:color w:val="111111"/>
          <w:sz w:val="28"/>
          <w:sz w:val="28"/>
          <w:szCs w:val="28"/>
          <w:rtl w:val="true"/>
          <w:lang w:bidi="fa-IR"/>
        </w:rPr>
        <w:t>إذا کانت ملکیّة المؤجر للمنفعة محدودة بزمان حیاته فتبطل الإجارة بموته، کما إذا کانت منفعة دار موصی بها لشخص مدّة حیاته، فآجرها سنتین و مات بعد سنة فتبطل الإجارة بالنسبة إلیٰ ما بقی من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لمّا کانت المنفعة فی بقیّة المدّة لورثة الموصی فلهم أن یجیزوها بالنسبة إلیٰ تلک المدّة، فتقع لهم الإجارة و یکون لهم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ما إذا آجر العین الموقوفة البطن السابق و مات قبل انقضاء مدّة الإجارة فتبطل، إلّا أن یجیز البطن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آجرها المتولّی للوقف لمصلحة الوقف و البطون اللاحقة مدّة تزید علیٰ مدّة بقاء بعض البطون تکون نافذة علی البطون اللاحقة، و لا تبطل بموت المؤجر و لا بموت البطن الموجود حال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إجارة الأعیان، و أمّا إجارة النفس لبعض الأعمال فتبطل بموت الأجیر بلا إشکال، نعم لو تقبّل عملًا و جعله فی ذمّته لم تبطل الإجارة بموته، بل یکون العمل دیناً علیه یستوفیٰ من ترکته</w:t>
      </w:r>
      <w:r>
        <w:rPr>
          <w:rFonts w:eastAsia="IRNazanin" w:cs="IRNazanin"/>
          <w:color w:val="111111"/>
          <w:sz w:val="28"/>
          <w:szCs w:val="28"/>
          <w:rtl w:val="true"/>
          <w:lang w:bidi="fa-IR"/>
        </w:rPr>
        <w:t>.</w:t>
      </w:r>
    </w:p>
    <w:p>
      <w:pPr>
        <w:pStyle w:val="Heading3"/>
        <w:numPr>
          <w:ilvl w:val="2"/>
          <w:numId w:val="1"/>
        </w:numPr>
        <w:rPr/>
      </w:pPr>
      <w:bookmarkStart w:id="4306" w:name="__RefHeading___Toc2568898_3650668749"/>
      <w:bookmarkStart w:id="4307" w:name="_Toc1958"/>
      <w:bookmarkEnd w:id="4306"/>
      <w:r>
        <w:rPr>
          <w:rtl w:val="true"/>
        </w:rPr>
        <w:t>[ (</w:t>
      </w:r>
      <w:r>
        <w:rPr>
          <w:rtl w:val="true"/>
        </w:rPr>
        <w:t xml:space="preserve">مسألة </w:t>
      </w:r>
      <w:r>
        <w:rPr/>
        <w:t>12</w:t>
      </w:r>
      <w:r>
        <w:rPr>
          <w:rtl w:val="true"/>
        </w:rPr>
        <w:t xml:space="preserve">): </w:t>
      </w:r>
      <w:r>
        <w:rPr>
          <w:rtl w:val="true"/>
        </w:rPr>
        <w:t>لو آجر الولیّ الصبیّ المولّی علیه أو ملّکه مدّة مع مراعاة المصلحة و الغبطة فبلغ الرشد قبل انقضاء المدّة</w:t>
      </w:r>
      <w:r>
        <w:rPr>
          <w:rtl w:val="true"/>
        </w:rPr>
        <w:t>]</w:t>
      </w:r>
      <w:bookmarkEnd w:id="4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آجر الولیّ الصبیّ المولّی علیه أو ملّکه مدّة مع مراعاة المصلحة و الغبطة فبلغ الرشد قبل انقضاء المدّة الظاهر أنّه لیس له </w:t>
      </w:r>
      <w:r>
        <w:rPr>
          <w:rStyle w:val="FootnoteAnchor"/>
          <w:rtl w:val="true"/>
        </w:rPr>
        <w:footnoteReference w:id="1208"/>
      </w:r>
      <w:r>
        <w:rPr>
          <w:rFonts w:ascii="IRNazanin" w:hAnsi="IRNazanin" w:eastAsia="IRNazanin"/>
          <w:color w:val="111111"/>
          <w:sz w:val="28"/>
          <w:sz w:val="28"/>
          <w:szCs w:val="28"/>
          <w:rtl w:val="true"/>
          <w:lang w:bidi="fa-IR"/>
        </w:rPr>
        <w:t>نقضها و فسخها بالنسبة إلیٰ ما بقی من المدّة، خصوصاً فی إجارة أملاکه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آجر عبده أو أمته مدّة لعمل من خدمته أو غیرها ثمّ أعتقه فإنّه لا تبطل الإجارة بعتقه</w:t>
      </w:r>
      <w:r>
        <w:rPr>
          <w:rFonts w:eastAsia="IRNazanin" w:cs="IRNazanin"/>
          <w:color w:val="111111"/>
          <w:sz w:val="28"/>
          <w:szCs w:val="28"/>
          <w:rtl w:val="true"/>
          <w:lang w:bidi="fa-IR"/>
        </w:rPr>
        <w:t>.</w:t>
      </w:r>
    </w:p>
    <w:p>
      <w:pPr>
        <w:pStyle w:val="Heading3"/>
        <w:numPr>
          <w:ilvl w:val="2"/>
          <w:numId w:val="1"/>
        </w:numPr>
        <w:rPr/>
      </w:pPr>
      <w:bookmarkStart w:id="4308" w:name="__RefHeading___Toc2568900_3650668749"/>
      <w:bookmarkStart w:id="4309" w:name="_Toc1959"/>
      <w:bookmarkEnd w:id="4308"/>
      <w:r>
        <w:rPr>
          <w:rtl w:val="true"/>
        </w:rPr>
        <w:t>[ (</w:t>
      </w:r>
      <w:r>
        <w:rPr>
          <w:rtl w:val="true"/>
        </w:rPr>
        <w:t xml:space="preserve">مسألة </w:t>
      </w:r>
      <w:r>
        <w:rPr/>
        <w:t>13</w:t>
      </w:r>
      <w:r>
        <w:rPr>
          <w:rtl w:val="true"/>
        </w:rPr>
        <w:t xml:space="preserve">): </w:t>
      </w:r>
      <w:r>
        <w:rPr>
          <w:rtl w:val="true"/>
        </w:rPr>
        <w:t>إذا وجد المستأجر بالعین المستأجرة عیباً سابقاً، کان له فسخ الإجارة إذا کان ذلک العیب موجباً لنقص المنفعة</w:t>
      </w:r>
      <w:r>
        <w:rPr>
          <w:rtl w:val="true"/>
        </w:rPr>
        <w:t>]</w:t>
      </w:r>
      <w:bookmarkEnd w:id="430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المستأجر بالعین المستأجرة عیباً سابقاً، کان له فسخ الإجارة إذا کان ذلک العیب موجباً لنقص المنفعة کالعرج فی الدابّة، أو الأُجرة کما إذا کانت مقطوعة الاذن أو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متعلّق الإجارة عیناً شخصیّة، و أمّا إذا کان کلّیّاً و کان الفرد المقبوض معیباً، فلیس له فسخ العقد، بل له مطالبة البدل إلّا إذا تعذّر، فکان له الخیار فی أصل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فی العین المستأجرة، و أمّا الأُجرة فإن کانت عیناً شخصیّة و وجد المؤجر بها عیباً، کان له الفسخ، کما أنّ له مطالبة الأرش </w:t>
      </w:r>
      <w:r>
        <w:rPr>
          <w:rStyle w:val="FootnoteAnchor"/>
          <w:rtl w:val="true"/>
        </w:rPr>
        <w:footnoteReference w:id="1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کلّیة فله مطالبة البدل، و لیس له فسخ الإجارة إلّا إذا تعذّر البدل</w:t>
      </w:r>
      <w:r>
        <w:rPr>
          <w:rFonts w:eastAsia="IRNazanin" w:cs="IRNazanin"/>
          <w:color w:val="111111"/>
          <w:sz w:val="28"/>
          <w:szCs w:val="28"/>
          <w:rtl w:val="true"/>
          <w:lang w:bidi="fa-IR"/>
        </w:rPr>
        <w:t>.</w:t>
      </w:r>
      <w:bookmarkStart w:id="4310" w:name="pg1809_19410"/>
    </w:p>
    <w:p>
      <w:pPr>
        <w:pStyle w:val="Heading3"/>
        <w:numPr>
          <w:ilvl w:val="2"/>
          <w:numId w:val="1"/>
        </w:numPr>
        <w:rPr/>
      </w:pPr>
      <w:bookmarkStart w:id="4311" w:name="__RefHeading___Toc2568902_3650668749"/>
      <w:bookmarkStart w:id="4312" w:name="_Toc1960"/>
      <w:bookmarkEnd w:id="4310"/>
      <w:bookmarkEnd w:id="4311"/>
      <w:r>
        <w:rPr>
          <w:rtl w:val="true"/>
        </w:rPr>
        <w:t>[ (</w:t>
      </w:r>
      <w:r>
        <w:rPr>
          <w:rtl w:val="true"/>
        </w:rPr>
        <w:t xml:space="preserve">مسألة </w:t>
      </w:r>
      <w:r>
        <w:rPr/>
        <w:t>14</w:t>
      </w:r>
      <w:r>
        <w:rPr>
          <w:rtl w:val="true"/>
        </w:rPr>
        <w:t xml:space="preserve">): </w:t>
      </w:r>
      <w:r>
        <w:rPr>
          <w:rtl w:val="true"/>
        </w:rPr>
        <w:t>إذا ظهر الغبن للمؤجر أو المستأجر، فله خیار الغبن إلّا إذا شرطا سقوطه</w:t>
      </w:r>
      <w:r>
        <w:rPr>
          <w:rtl w:val="true"/>
        </w:rPr>
        <w:t>]</w:t>
      </w:r>
      <w:bookmarkEnd w:id="4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الغبن للمؤجر أو المستأجر، فله خیار الغبن إلّا إذا شرطا سقوطه</w:t>
      </w:r>
      <w:r>
        <w:rPr>
          <w:rFonts w:eastAsia="IRNazanin" w:cs="IRNazanin"/>
          <w:color w:val="111111"/>
          <w:sz w:val="28"/>
          <w:szCs w:val="28"/>
          <w:rtl w:val="true"/>
          <w:lang w:bidi="fa-IR"/>
        </w:rPr>
        <w:t>.</w:t>
      </w:r>
    </w:p>
    <w:p>
      <w:pPr>
        <w:pStyle w:val="Heading3"/>
        <w:numPr>
          <w:ilvl w:val="2"/>
          <w:numId w:val="1"/>
        </w:numPr>
        <w:rPr/>
      </w:pPr>
      <w:bookmarkStart w:id="4313" w:name="__RefHeading___Toc2568904_3650668749"/>
      <w:bookmarkStart w:id="4314" w:name="_Toc1961"/>
      <w:bookmarkEnd w:id="4313"/>
      <w:r>
        <w:rPr>
          <w:rtl w:val="true"/>
        </w:rPr>
        <w:t>[ (</w:t>
      </w:r>
      <w:r>
        <w:rPr>
          <w:rtl w:val="true"/>
        </w:rPr>
        <w:t xml:space="preserve">مسألة </w:t>
      </w:r>
      <w:r>
        <w:rPr/>
        <w:t>15</w:t>
      </w:r>
      <w:r>
        <w:rPr>
          <w:rtl w:val="true"/>
        </w:rPr>
        <w:t xml:space="preserve">): </w:t>
      </w:r>
      <w:r>
        <w:rPr>
          <w:rtl w:val="true"/>
        </w:rPr>
        <w:t>یملک المستأجر المنفعة فی إجارة الأعیان و العمل فی إجارة النفس علی الأعمال</w:t>
      </w:r>
      <w:r>
        <w:rPr>
          <w:rtl w:val="true"/>
        </w:rPr>
        <w:t>]</w:t>
      </w:r>
      <w:bookmarkEnd w:id="4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المستأجر المنفعة فی إجارة الأعیان و العمل فی إجارة النفس علی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المؤجر و الأجیر الأُجرة بمجرّد العقد، لکن لیس لکلّ منهما مطالبة ما ملکه إلّا بتسلیم ما ملّکه، فلیس للمستأجر مطالبة المنفعة و العمل إلّا بعد تسلیم الأُجرة، کما أنّه لیس للمؤجر و لا الأجیر مطالبة الأُجرة إلّا بعد تسلیم المنفعة، فعلی کلّ من الطرفین و إن وجب التسلیم، لکن لکلّ منهما الامتناع عنه إذا رأی من الآخر الامتناع عنه</w:t>
      </w:r>
      <w:r>
        <w:rPr>
          <w:rFonts w:eastAsia="IRNazanin" w:cs="IRNazanin"/>
          <w:color w:val="111111"/>
          <w:sz w:val="28"/>
          <w:szCs w:val="28"/>
          <w:rtl w:val="true"/>
          <w:lang w:bidi="fa-IR"/>
        </w:rPr>
        <w:t>.</w:t>
      </w:r>
    </w:p>
    <w:p>
      <w:pPr>
        <w:pStyle w:val="Heading3"/>
        <w:numPr>
          <w:ilvl w:val="2"/>
          <w:numId w:val="1"/>
        </w:numPr>
        <w:rPr/>
      </w:pPr>
      <w:bookmarkStart w:id="4315" w:name="__RefHeading___Toc2568906_3650668749"/>
      <w:bookmarkStart w:id="4316" w:name="_Toc1962"/>
      <w:bookmarkEnd w:id="4315"/>
      <w:r>
        <w:rPr>
          <w:rtl w:val="true"/>
        </w:rPr>
        <w:t>[ (</w:t>
      </w:r>
      <w:r>
        <w:rPr>
          <w:rtl w:val="true"/>
        </w:rPr>
        <w:t xml:space="preserve">مسألة </w:t>
      </w:r>
      <w:r>
        <w:rPr/>
        <w:t>16</w:t>
      </w:r>
      <w:r>
        <w:rPr>
          <w:rtl w:val="true"/>
        </w:rPr>
        <w:t xml:space="preserve">): </w:t>
      </w:r>
      <w:r>
        <w:rPr>
          <w:rtl w:val="true"/>
        </w:rPr>
        <w:t>إذا تعلّقت الإجارة بالعین، فتسلیم منفعتها بتسلیم تلک العین</w:t>
      </w:r>
      <w:r>
        <w:rPr>
          <w:rtl w:val="true"/>
        </w:rPr>
        <w:t>]</w:t>
      </w:r>
      <w:bookmarkEnd w:id="4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تعلّقت الإجارة بالعین، فتسلیم منفعتها بتسلیم تلک العین، و أمّا تسلیم العمل فیما إذا تعلّقت بالنفس، فبإتمامه إذا کان مثل الصلاة و الصوم و الحجّ و حفر بئر فی دار المستأجر و أمثال ذلک ممّا لم یکن متعلّقاً بمال من المستأجر بید المؤجر، فقبل إتمام العمل لا یستحقّ الأجیر مطالبة الأُجرة، و بعده لا یجوز للمستأجر المماطلة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شرط منهما علیٰ تأدیة الأُجرة کلّا أو بعضاً قبل العمل صریحاً أو ضمنیّاً کما إذا کانت العادة تقتضی التزام المستأجر بذلک کان هو المتّبع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متعلّقاً بمال من المستأجر فی ید المؤجر، کالثوب یخیطه و الخاتم یصوغه و الکتاب یکتبه و أمثال ذلک، ففی کون تسلیمه بإتمام العمل کالأوّل، أو بتسلیم مورد العمل کالثوب و الخاتم و الکتاب وجهان، بل قولان، أقواهما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لو تلف الثوب مثلًا بعد تمام العمل علیٰ نحو لا ضمان علیه، لا شی‌ء علیه و یستحقّ مطالبة الأُجرة، و إذا تلف مضموناً علیه، ضمنه بوصف المخیطیّة لا بقیمته قبلها </w:t>
      </w:r>
      <w:r>
        <w:rPr>
          <w:rStyle w:val="FootnoteAnchor"/>
          <w:rtl w:val="true"/>
        </w:rPr>
        <w:footnoteReference w:id="1210"/>
      </w:r>
      <w:r>
        <w:rPr>
          <w:rFonts w:ascii="Amiri" w:hAnsi="Amiri" w:eastAsia="Amiri" w:cs="Amiri"/>
          <w:color w:val="111111"/>
          <w:sz w:val="28"/>
          <w:sz w:val="28"/>
          <w:szCs w:val="28"/>
          <w:rtl w:val="true"/>
          <w:lang w:bidi="ar-SA"/>
        </w:rPr>
        <w:t>، و له المطالبة بالأُجرة المسمّاة</w:t>
      </w:r>
      <w:r>
        <w:rPr>
          <w:rFonts w:eastAsia="Amiri" w:cs="Amiri" w:ascii="Amiri" w:hAnsi="Amiri"/>
          <w:color w:val="111111"/>
          <w:sz w:val="28"/>
          <w:szCs w:val="28"/>
          <w:rtl w:val="true"/>
          <w:lang w:bidi="ar-SA"/>
        </w:rPr>
        <w:t>.</w:t>
      </w:r>
    </w:p>
    <w:p>
      <w:pPr>
        <w:pStyle w:val="Heading3"/>
        <w:numPr>
          <w:ilvl w:val="2"/>
          <w:numId w:val="1"/>
        </w:numPr>
        <w:rPr/>
      </w:pPr>
      <w:bookmarkStart w:id="4317" w:name="__RefHeading___Toc2568908_3650668749"/>
      <w:bookmarkStart w:id="4318" w:name="_Toc1963"/>
      <w:bookmarkEnd w:id="4317"/>
      <w:r>
        <w:rPr>
          <w:rtl w:val="true"/>
        </w:rPr>
        <w:t>[ (</w:t>
      </w:r>
      <w:r>
        <w:rPr>
          <w:rtl w:val="true"/>
        </w:rPr>
        <w:t xml:space="preserve">مسألة </w:t>
      </w:r>
      <w:r>
        <w:rPr/>
        <w:t>17</w:t>
      </w:r>
      <w:r>
        <w:rPr>
          <w:rtl w:val="true"/>
        </w:rPr>
        <w:t xml:space="preserve">): </w:t>
      </w:r>
      <w:r>
        <w:rPr>
          <w:rtl w:val="true"/>
        </w:rPr>
        <w:t>إذا بذل المستأجر الأُجرة، أو کان له حقّ أن یؤخّرها بموجب شرطهما و امتنع المؤجر من تسلیم العین المستأجرة</w:t>
      </w:r>
      <w:r>
        <w:rPr>
          <w:rtl w:val="true"/>
        </w:rPr>
        <w:t>]</w:t>
      </w:r>
      <w:bookmarkEnd w:id="431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بذل المستأجر الأُجرة، أو کان له حقّ أن یؤخّرها بموجب شرطهما و امتنع المؤجر من تسلیم العین المستأجرة یجبر علیه، و إن لم یمکن إجباره فللمستأجر فسخ الإجارة و الرجوع إلی الأُجرة، و له إبقاء الإجارة و مطالبة المؤجر بعوض المنفعة الفائتة، و کذا إن أخذها منه بعد التسلیم بلا فصل أو فی أثناء المدّة، لکن فی الثانی لو فسخها تنفسخ بالنسبة إلیٰ ما بقی من المدّة، فیرجع إلیٰ ما یقابله من الأُجرة</w:t>
      </w:r>
      <w:r>
        <w:rPr>
          <w:rFonts w:eastAsia="IRNazanin" w:cs="IRNazanin"/>
          <w:color w:val="111111"/>
          <w:sz w:val="28"/>
          <w:szCs w:val="28"/>
          <w:rtl w:val="true"/>
          <w:lang w:bidi="fa-IR"/>
        </w:rPr>
        <w:t>.</w:t>
      </w:r>
      <w:bookmarkStart w:id="4319" w:name="pg1809_19412"/>
    </w:p>
    <w:p>
      <w:pPr>
        <w:pStyle w:val="Heading3"/>
        <w:numPr>
          <w:ilvl w:val="2"/>
          <w:numId w:val="1"/>
        </w:numPr>
        <w:rPr/>
      </w:pPr>
      <w:bookmarkStart w:id="4320" w:name="__RefHeading___Toc2568910_3650668749"/>
      <w:bookmarkStart w:id="4321" w:name="_Toc1964"/>
      <w:bookmarkEnd w:id="4319"/>
      <w:bookmarkEnd w:id="4320"/>
      <w:r>
        <w:rPr>
          <w:rtl w:val="true"/>
        </w:rPr>
        <w:t>[ (</w:t>
      </w:r>
      <w:r>
        <w:rPr>
          <w:rtl w:val="true"/>
        </w:rPr>
        <w:t xml:space="preserve">مسألة </w:t>
      </w:r>
      <w:r>
        <w:rPr/>
        <w:t>18</w:t>
      </w:r>
      <w:r>
        <w:rPr>
          <w:rtl w:val="true"/>
        </w:rPr>
        <w:t xml:space="preserve">): </w:t>
      </w:r>
      <w:r>
        <w:rPr>
          <w:rtl w:val="true"/>
        </w:rPr>
        <w:t>لو آجر دابّة من زید فشردت بطلت الإجارة</w:t>
      </w:r>
      <w:r>
        <w:rPr>
          <w:rtl w:val="true"/>
        </w:rPr>
        <w:t>]</w:t>
      </w:r>
      <w:bookmarkEnd w:id="4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آجر دابّة من زید فشردت بطلت الإجارة؛ سواء کان قبل التسلیم أو بعده </w:t>
      </w:r>
      <w:r>
        <w:rPr>
          <w:rStyle w:val="FootnoteAnchor"/>
          <w:rtl w:val="true"/>
        </w:rPr>
        <w:footnoteReference w:id="1211"/>
      </w:r>
      <w:r>
        <w:rPr>
          <w:rFonts w:ascii="IRNazanin" w:hAnsi="IRNazanin" w:eastAsia="IRNazanin"/>
          <w:color w:val="111111"/>
          <w:sz w:val="28"/>
          <w:sz w:val="28"/>
          <w:szCs w:val="28"/>
          <w:rtl w:val="true"/>
          <w:lang w:bidi="fa-IR"/>
        </w:rPr>
        <w:t>فی أثناء المدّة</w:t>
      </w:r>
      <w:r>
        <w:rPr>
          <w:rFonts w:eastAsia="IRNazanin" w:cs="IRNazanin"/>
          <w:color w:val="111111"/>
          <w:sz w:val="28"/>
          <w:szCs w:val="28"/>
          <w:rtl w:val="true"/>
          <w:lang w:bidi="fa-IR"/>
        </w:rPr>
        <w:t>.</w:t>
      </w:r>
    </w:p>
    <w:p>
      <w:pPr>
        <w:pStyle w:val="Heading3"/>
        <w:numPr>
          <w:ilvl w:val="2"/>
          <w:numId w:val="1"/>
        </w:numPr>
        <w:rPr/>
      </w:pPr>
      <w:bookmarkStart w:id="4322" w:name="__RefHeading___Toc2568912_3650668749"/>
      <w:bookmarkStart w:id="4323" w:name="_Toc1965"/>
      <w:bookmarkEnd w:id="4322"/>
      <w:r>
        <w:rPr>
          <w:rtl w:val="true"/>
        </w:rPr>
        <w:t>[ (</w:t>
      </w:r>
      <w:r>
        <w:rPr>
          <w:rtl w:val="true"/>
        </w:rPr>
        <w:t xml:space="preserve">مسألة </w:t>
      </w:r>
      <w:r>
        <w:rPr/>
        <w:t>19</w:t>
      </w:r>
      <w:r>
        <w:rPr>
          <w:rtl w:val="true"/>
        </w:rPr>
        <w:t xml:space="preserve">): </w:t>
      </w:r>
      <w:r>
        <w:rPr>
          <w:rtl w:val="true"/>
        </w:rPr>
        <w:t>إذا تسلّم المستأجر العین المستأجرة و لم یستوف المنفعة حتّی انقضت مدّة الإجارة</w:t>
      </w:r>
      <w:r>
        <w:rPr>
          <w:rtl w:val="true"/>
        </w:rPr>
        <w:t>]</w:t>
      </w:r>
      <w:bookmarkEnd w:id="4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تسلّم المستأجر العین المستأجرة و لم یستوف المنفعة حتّی انقضت مدّة الإجارة، کما إذا استأجر داراً مدّة و تسلّمها و لم یسکنها، أو دابّة للرکوب و لم یرکبها حتّی مضت المدّة، فإن کان ذلک باختیار منه استقرّت علیه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حکمه ما لو بذل المؤجر العین المستأجرة فامتنع المستأجر من تسلّمها و استیفاء المنفعة منها حتّی انقضت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الإجارة علی الأعمال فإنّه إذا سلّم الأجیر نفسه و بذلها للعمل و امتنع المستأجر من تسلّمه، کما إذا استأجر أحداً یخیط له ثوباً معیّناً فی وقت معیّن و امتنع من دفع الثوب إلیه حتّی مضی ذلک الوقت فقد استحقّ علیه الأُجرة؛ سواء اشتغل الأجیر فی ذلک الوقت مع امتناع المستأجر بشغل آخر لنفسه أو لغیره أو بقی فارغاً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ذلک لعذر بطلت الإجارة و لم یستحقّ المؤجر شیئاً من الأُجرة إن کان ذلک عذراً عامّاً و معه لم تکن العین قابلة لأن تستوفی منها المنفعة، کما إذا استأجر دابّة للرکوب إلیٰ مکان فنزل ثلج مانع عن الاستطراق أو انسدّ الطریق بسبب آخر أو داراً للسکنیٰ فصارت غیر مسکونة؛ لصیرورتها معرکة أو مسبعة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عرض مثل هذه العوارض فی أثناء المدّة بعد استیفاء المستأجر مقداراً من المنفعة بطلت الإجارة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عذراً یختصّ به المستأجر، کما إذا مرض و لم یتمکّن من رکوب الدابّة المستأجرة ففی کونه موجباً للبطلان و عدمه وجهان، لا یخلو أوّلهما من رجحان </w:t>
      </w:r>
      <w:r>
        <w:rPr>
          <w:rStyle w:val="FootnoteAnchor"/>
          <w:rtl w:val="true"/>
        </w:rPr>
        <w:footnoteReference w:id="1212"/>
      </w:r>
      <w:r>
        <w:rPr>
          <w:rFonts w:ascii="IRNazanin" w:hAnsi="IRNazanin" w:eastAsia="IRNazanin"/>
          <w:color w:val="111111"/>
          <w:sz w:val="28"/>
          <w:sz w:val="28"/>
          <w:szCs w:val="28"/>
          <w:rtl w:val="true"/>
          <w:lang w:bidi="fa-IR"/>
        </w:rPr>
        <w:t>، هذا إذا اشترطت المباشرة بحیث لم یمکن له استیفاء المنفعة و لو بالإجارة و إلّا لم تبطل قطعاً</w:t>
      </w:r>
      <w:r>
        <w:rPr>
          <w:rFonts w:eastAsia="IRNazanin" w:cs="IRNazanin"/>
          <w:color w:val="111111"/>
          <w:sz w:val="28"/>
          <w:szCs w:val="28"/>
          <w:rtl w:val="true"/>
          <w:lang w:bidi="fa-IR"/>
        </w:rPr>
        <w:t>.</w:t>
      </w:r>
    </w:p>
    <w:p>
      <w:pPr>
        <w:pStyle w:val="Heading3"/>
        <w:numPr>
          <w:ilvl w:val="2"/>
          <w:numId w:val="1"/>
        </w:numPr>
        <w:rPr/>
      </w:pPr>
      <w:bookmarkStart w:id="4324" w:name="__RefHeading___Toc2568914_3650668749"/>
      <w:bookmarkStart w:id="4325" w:name="_Toc1966"/>
      <w:bookmarkEnd w:id="4324"/>
      <w:r>
        <w:rPr>
          <w:rtl w:val="true"/>
        </w:rPr>
        <w:t>[ (</w:t>
      </w:r>
      <w:r>
        <w:rPr>
          <w:rtl w:val="true"/>
        </w:rPr>
        <w:t xml:space="preserve">مسألة </w:t>
      </w:r>
      <w:r>
        <w:rPr/>
        <w:t>20</w:t>
      </w:r>
      <w:r>
        <w:rPr>
          <w:rtl w:val="true"/>
        </w:rPr>
        <w:t xml:space="preserve">): </w:t>
      </w:r>
      <w:r>
        <w:rPr>
          <w:rtl w:val="true"/>
        </w:rPr>
        <w:t>إذا غصب العین المستأجرة غاصب و منع المستأجر عن استیفاء المنفعة</w:t>
      </w:r>
      <w:r>
        <w:rPr>
          <w:rtl w:val="true"/>
        </w:rPr>
        <w:t>]</w:t>
      </w:r>
      <w:bookmarkEnd w:id="4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العین المستأجرة غاصب و منع المستأجر عن استیفاء المنفعة فإن کان قبل القبض تخیّر بین الفسخ و الرجوع بأُجرة المسمّی علی المؤجر لو أدّاها و بین الرجوع إلی الغاصب بأُجرة المثل، و إن کان بعد القبض تعیّن الثانی</w:t>
      </w:r>
      <w:r>
        <w:rPr>
          <w:rFonts w:eastAsia="IRNazanin" w:cs="IRNazanin"/>
          <w:color w:val="111111"/>
          <w:sz w:val="28"/>
          <w:szCs w:val="28"/>
          <w:rtl w:val="true"/>
          <w:lang w:bidi="fa-IR"/>
        </w:rPr>
        <w:t>.</w:t>
      </w:r>
    </w:p>
    <w:p>
      <w:pPr>
        <w:pStyle w:val="Heading3"/>
        <w:numPr>
          <w:ilvl w:val="2"/>
          <w:numId w:val="1"/>
        </w:numPr>
        <w:rPr/>
      </w:pPr>
      <w:bookmarkStart w:id="4326" w:name="__RefHeading___Toc2568916_3650668749"/>
      <w:bookmarkStart w:id="4327" w:name="_Toc1967"/>
      <w:bookmarkEnd w:id="4326"/>
      <w:r>
        <w:rPr>
          <w:rtl w:val="true"/>
        </w:rPr>
        <w:t>[ (</w:t>
      </w:r>
      <w:r>
        <w:rPr>
          <w:rtl w:val="true"/>
        </w:rPr>
        <w:t xml:space="preserve">مسألة </w:t>
      </w:r>
      <w:r>
        <w:rPr/>
        <w:t>21</w:t>
      </w:r>
      <w:r>
        <w:rPr>
          <w:rtl w:val="true"/>
        </w:rPr>
        <w:t xml:space="preserve">): </w:t>
      </w:r>
      <w:r>
        <w:rPr>
          <w:rtl w:val="true"/>
        </w:rPr>
        <w:t>إذا تلفت العین المستأجرة قبل قبض المستأجر بطلت الإجارة</w:t>
      </w:r>
      <w:r>
        <w:rPr>
          <w:rtl w:val="true"/>
        </w:rPr>
        <w:t>]</w:t>
      </w:r>
      <w:bookmarkEnd w:id="4327"/>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تلفت العین المستأجرة قبل قبض المستأجر بطلت الإجارة، و کذا بعده</w:t>
      </w:r>
      <w:bookmarkStart w:id="4328" w:name="pg1809_19414"/>
    </w:p>
    <w:p>
      <w:pPr>
        <w:pStyle w:val="BookText"/>
        <w:rPr/>
      </w:pPr>
      <w:bookmarkEnd w:id="4328"/>
      <w:r>
        <w:rPr>
          <w:rFonts w:ascii="IRNazanin" w:hAnsi="IRNazanin" w:eastAsia="IRNazanin"/>
          <w:color w:val="111111"/>
          <w:sz w:val="28"/>
          <w:sz w:val="28"/>
          <w:szCs w:val="28"/>
          <w:rtl w:val="true"/>
          <w:lang w:bidi="fa-IR"/>
        </w:rPr>
        <w:t xml:space="preserve">بلا فصل معتدّ به </w:t>
      </w:r>
      <w:r>
        <w:rPr>
          <w:rStyle w:val="FootnoteAnchor"/>
          <w:rtl w:val="true"/>
        </w:rPr>
        <w:footnoteReference w:id="1213"/>
      </w:r>
      <w:r>
        <w:rPr>
          <w:rFonts w:ascii="IRNazanin" w:hAnsi="IRNazanin" w:eastAsia="IRNazanin"/>
          <w:color w:val="111111"/>
          <w:sz w:val="28"/>
          <w:sz w:val="28"/>
          <w:szCs w:val="28"/>
          <w:rtl w:val="true"/>
          <w:lang w:bidi="fa-IR"/>
        </w:rPr>
        <w:t xml:space="preserve">، و أمّا إذا تلفت فی أثناء المدّة و بعد </w:t>
      </w:r>
      <w:r>
        <w:rPr>
          <w:rStyle w:val="FootnoteAnchor"/>
          <w:rtl w:val="true"/>
        </w:rPr>
        <w:footnoteReference w:id="1214"/>
      </w:r>
      <w:r>
        <w:rPr>
          <w:rFonts w:ascii="IRNazanin" w:hAnsi="IRNazanin" w:eastAsia="IRNazanin"/>
          <w:color w:val="111111"/>
          <w:sz w:val="28"/>
          <w:sz w:val="28"/>
          <w:szCs w:val="28"/>
          <w:rtl w:val="true"/>
          <w:lang w:bidi="fa-IR"/>
        </w:rPr>
        <w:t>استیفاء المنفعة مدّة بطلت بالنسبة إلیٰ بقیّة المدّة و یرجع من الأُجرة بما قابلها؛ إن نصفاً فنصف و إن ثلثاً فثلث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تساوت اجرة العین بحسب الزمان، و أمّا إذا تفاوتت تلاحظ النسبة؛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اجرة الدار فی الشتاء ضعف أُجرتها فی باقی الفصول، و بقی من المدّة ثلاثة أشهر من الشتاء یرجع بثلثی الأُجرة المسمّاة، و یقع فی مقابل ما مضی من المدّة ثلثها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الحال فی کلّ مورد حصل الفسخ أو الانفساخ فی أثناء </w:t>
      </w:r>
      <w:r>
        <w:rPr>
          <w:rStyle w:val="FootnoteAnchor"/>
          <w:rtl w:val="true"/>
        </w:rPr>
        <w:footnoteReference w:id="1215"/>
      </w:r>
      <w:r>
        <w:rPr>
          <w:rFonts w:ascii="IRNazanin" w:hAnsi="IRNazanin" w:eastAsia="IRNazanin"/>
          <w:color w:val="111111"/>
          <w:sz w:val="28"/>
          <w:sz w:val="28"/>
          <w:szCs w:val="28"/>
          <w:rtl w:val="true"/>
          <w:lang w:bidi="fa-IR"/>
        </w:rPr>
        <w:t>المدّة بسبب من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تلفت العین المستأجرة بتمامها، و أمّا إذا تلف بعضها تبطل بنسبته من أوّل الأمر أو فی أثناء المدّة</w:t>
      </w:r>
      <w:r>
        <w:rPr>
          <w:rFonts w:eastAsia="IRNazanin" w:cs="IRNazanin"/>
          <w:color w:val="111111"/>
          <w:sz w:val="28"/>
          <w:szCs w:val="28"/>
          <w:rtl w:val="true"/>
          <w:lang w:bidi="fa-IR"/>
        </w:rPr>
        <w:t>.</w:t>
      </w:r>
    </w:p>
    <w:p>
      <w:pPr>
        <w:pStyle w:val="Heading3"/>
        <w:numPr>
          <w:ilvl w:val="2"/>
          <w:numId w:val="1"/>
        </w:numPr>
        <w:rPr/>
      </w:pPr>
      <w:bookmarkStart w:id="4329" w:name="__RefHeading___Toc2568918_3650668749"/>
      <w:bookmarkStart w:id="4330" w:name="_Toc1968"/>
      <w:bookmarkEnd w:id="4329"/>
      <w:r>
        <w:rPr>
          <w:rtl w:val="true"/>
        </w:rPr>
        <w:t>[ (</w:t>
      </w:r>
      <w:r>
        <w:rPr>
          <w:rtl w:val="true"/>
        </w:rPr>
        <w:t xml:space="preserve">مسألة </w:t>
      </w:r>
      <w:r>
        <w:rPr/>
        <w:t>22</w:t>
      </w:r>
      <w:r>
        <w:rPr>
          <w:rtl w:val="true"/>
        </w:rPr>
        <w:t xml:space="preserve">): </w:t>
      </w:r>
      <w:r>
        <w:rPr>
          <w:rtl w:val="true"/>
        </w:rPr>
        <w:t>إذا آجر داراً فانهدمت بطلت الإجارة إن خرجت عن الانتفاع بالمرّة</w:t>
      </w:r>
      <w:r>
        <w:rPr>
          <w:rtl w:val="true"/>
        </w:rPr>
        <w:t>]</w:t>
      </w:r>
      <w:bookmarkEnd w:id="4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داراً فانهدمت بطلت الإجارة إن خرجت عن الانتفاع بالمرّة </w:t>
      </w:r>
      <w:r>
        <w:rPr>
          <w:rStyle w:val="FootnoteAnchor"/>
          <w:rtl w:val="true"/>
        </w:rPr>
        <w:footnoteReference w:id="1216"/>
      </w:r>
      <w:r>
        <w:rPr>
          <w:rFonts w:ascii="IRNazanin" w:hAnsi="IRNazanin" w:eastAsia="IRNazanin"/>
          <w:color w:val="111111"/>
          <w:sz w:val="28"/>
          <w:sz w:val="28"/>
          <w:szCs w:val="28"/>
          <w:rtl w:val="true"/>
          <w:lang w:bidi="fa-IR"/>
        </w:rPr>
        <w:t xml:space="preserve">، فإن کان قبل القبض أو بعده بلا فصل قبل أن یسکن فیها رجعت الأُجرة بتمامها و إلّا فبالنسبة کما مرّ، و إن أمکن الانتفاع بها فی الجملة </w:t>
      </w:r>
      <w:r>
        <w:rPr>
          <w:rStyle w:val="FootnoteAnchor"/>
          <w:rtl w:val="true"/>
        </w:rPr>
        <w:footnoteReference w:id="1217"/>
      </w:r>
      <w:r>
        <w:rPr>
          <w:rFonts w:ascii="IRNazanin" w:hAnsi="IRNazanin" w:eastAsia="IRNazanin"/>
          <w:color w:val="111111"/>
          <w:sz w:val="28"/>
          <w:sz w:val="28"/>
          <w:szCs w:val="28"/>
          <w:rtl w:val="true"/>
          <w:lang w:bidi="fa-IR"/>
        </w:rPr>
        <w:t>کان للمستأجر الخیار بین الإبقاء و الفسخ، و إذا فسخ کان حکم الأُجرة علیٰ حذو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انهدم بعض بیوتها فإن بادر المؤجر إلیٰ تعمیرها بحیث لم یفت الانتفاع أصلًا لیس فسخ و لا انفساخ علی الأقویٰ، و إلّا بطلت الإجارة بالنسبة إلیٰ ما انهدمت و بقیت بالنسبة إلی البقیّة بما یقابلها من الأُجرة و کان للمستأجر خیار تبعّض الصفقة</w:t>
      </w:r>
      <w:r>
        <w:rPr>
          <w:rFonts w:eastAsia="IRNazanin" w:cs="IRNazanin"/>
          <w:color w:val="111111"/>
          <w:sz w:val="28"/>
          <w:szCs w:val="28"/>
          <w:rtl w:val="true"/>
          <w:lang w:bidi="fa-IR"/>
        </w:rPr>
        <w:t>.</w:t>
      </w:r>
    </w:p>
    <w:p>
      <w:pPr>
        <w:pStyle w:val="Heading3"/>
        <w:numPr>
          <w:ilvl w:val="2"/>
          <w:numId w:val="1"/>
        </w:numPr>
        <w:rPr/>
      </w:pPr>
      <w:bookmarkStart w:id="4331" w:name="__RefHeading___Toc2568920_3650668749"/>
      <w:bookmarkStart w:id="4332" w:name="_Toc1969"/>
      <w:bookmarkEnd w:id="4331"/>
      <w:r>
        <w:rPr>
          <w:rtl w:val="true"/>
        </w:rPr>
        <w:t>[ (</w:t>
      </w:r>
      <w:r>
        <w:rPr>
          <w:rtl w:val="true"/>
        </w:rPr>
        <w:t xml:space="preserve">مسألة </w:t>
      </w:r>
      <w:r>
        <w:rPr/>
        <w:t>23</w:t>
      </w:r>
      <w:r>
        <w:rPr>
          <w:rtl w:val="true"/>
        </w:rPr>
        <w:t xml:space="preserve">): </w:t>
      </w:r>
      <w:r>
        <w:rPr>
          <w:rtl w:val="true"/>
        </w:rPr>
        <w:t>کلّ موضع کانت الإجارة فاسدة، ثبت للمؤجر اجرة المثل بمقدار ما استوفاه</w:t>
      </w:r>
      <w:r>
        <w:rPr>
          <w:rtl w:val="true"/>
        </w:rPr>
        <w:t>]</w:t>
      </w:r>
      <w:bookmarkEnd w:id="433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موضع کانت الإجارة فاسدة، ثبت للمؤجر اجرة المثل بمقدار ما استوفاه </w:t>
      </w:r>
      <w:r>
        <w:rPr>
          <w:rStyle w:val="FootnoteAnchor"/>
          <w:rtl w:val="true"/>
        </w:rPr>
        <w:footnoteReference w:id="1218"/>
      </w:r>
      <w:r>
        <w:rPr>
          <w:rFonts w:ascii="IRNazanin" w:hAnsi="IRNazanin" w:eastAsia="IRNazanin"/>
          <w:color w:val="111111"/>
          <w:sz w:val="28"/>
          <w:sz w:val="28"/>
          <w:szCs w:val="28"/>
          <w:rtl w:val="true"/>
          <w:lang w:bidi="fa-IR"/>
        </w:rPr>
        <w:t>المستأجر من المنفعة، و کذلک فی إجارة النفس للعمل، فإنّ العامل یستحقّ اجرة مثل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یشکل </w:t>
      </w:r>
      <w:r>
        <w:rPr>
          <w:rStyle w:val="FootnoteAnchor"/>
          <w:rtl w:val="true"/>
        </w:rPr>
        <w:footnoteReference w:id="1219"/>
      </w:r>
      <w:r>
        <w:rPr>
          <w:rFonts w:ascii="IRNazanin" w:hAnsi="IRNazanin" w:eastAsia="IRNazanin"/>
          <w:color w:val="111111"/>
          <w:sz w:val="28"/>
          <w:sz w:val="28"/>
          <w:szCs w:val="28"/>
          <w:rtl w:val="true"/>
          <w:lang w:bidi="fa-IR"/>
        </w:rPr>
        <w:t>استحقاق الأُجرة إذا کان المؤجر أو الأجیر عالمین ببطلان الإجارة، خصوصاً فی الإجارة علی العمل، فالاحتیاط بالتصالح و التراضی لا ینبغی ترکه</w:t>
      </w:r>
      <w:r>
        <w:rPr>
          <w:rFonts w:eastAsia="IRNazanin" w:cs="IRNazanin"/>
          <w:color w:val="111111"/>
          <w:sz w:val="28"/>
          <w:szCs w:val="28"/>
          <w:rtl w:val="true"/>
          <w:lang w:bidi="fa-IR"/>
        </w:rPr>
        <w:t>.</w:t>
      </w:r>
      <w:bookmarkStart w:id="4333" w:name="pg1809_19416"/>
    </w:p>
    <w:p>
      <w:pPr>
        <w:pStyle w:val="Heading3"/>
        <w:numPr>
          <w:ilvl w:val="2"/>
          <w:numId w:val="1"/>
        </w:numPr>
        <w:rPr/>
      </w:pPr>
      <w:bookmarkStart w:id="4334" w:name="__RefHeading___Toc2568922_3650668749"/>
      <w:bookmarkStart w:id="4335" w:name="_Toc1970"/>
      <w:bookmarkEnd w:id="4333"/>
      <w:bookmarkEnd w:id="4334"/>
      <w:r>
        <w:rPr>
          <w:rtl w:val="true"/>
        </w:rPr>
        <w:t>[ (</w:t>
      </w:r>
      <w:r>
        <w:rPr>
          <w:rtl w:val="true"/>
        </w:rPr>
        <w:t xml:space="preserve">مسألة </w:t>
      </w:r>
      <w:r>
        <w:rPr/>
        <w:t>24</w:t>
      </w:r>
      <w:r>
        <w:rPr>
          <w:rtl w:val="true"/>
        </w:rPr>
        <w:t xml:space="preserve">): </w:t>
      </w:r>
      <w:r>
        <w:rPr>
          <w:rtl w:val="true"/>
        </w:rPr>
        <w:t>یجوز إجارة المشاع؛ سواء کان للمؤجر جزء مشاع من عین فآجره</w:t>
      </w:r>
      <w:r>
        <w:rPr>
          <w:rtl w:val="true"/>
        </w:rPr>
        <w:t>]</w:t>
      </w:r>
      <w:bookmarkEnd w:id="4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إجارة المشاع؛ سواء کان للمؤجر جزء مشاع من عین فآجره، أو کان مالکاً للکلّ و آجر جزءً مشاعاً منه کنصفه أو ثلثه، لکن فی الصورة الأُولیٰ لا یجوز للمؤجر تسلیم العین للمستأجر إلّا بإذن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یجوز أن یستأجر اثنان مثلًا داراً علیٰ نحو الاشتراک و یسکناها معاً بالتراضی، أو یقتسماها بحسب المساکن بالتعدیل و القرعة، کتقسیم الشریکین الدار المشترکة، أو یقتسما منفعتها بالمهایاة، بأن یسکنها أحدهما ستّة أشهر ثمّ الآخر، کما إذا استأجرا معاً دابّةً للرکوب </w:t>
      </w:r>
      <w:r>
        <w:rPr>
          <w:rStyle w:val="FootnoteAnchor"/>
          <w:rtl w:val="true"/>
        </w:rPr>
        <w:footnoteReference w:id="1220"/>
      </w:r>
      <w:r>
        <w:rPr>
          <w:rFonts w:ascii="IRNazanin" w:hAnsi="IRNazanin" w:eastAsia="IRNazanin"/>
          <w:color w:val="111111"/>
          <w:sz w:val="28"/>
          <w:sz w:val="28"/>
          <w:szCs w:val="28"/>
          <w:rtl w:val="true"/>
          <w:lang w:bidi="fa-IR"/>
        </w:rPr>
        <w:t>فإنّ تقسیم منفعتها الرکوبیّة لا یکون إلّا بالمهایاة بأن یرکبها أحدهما یوماً و الآخر یوماً مثلًا أو بالتناوب بحسب المسافة؛ بأن یرکبها أحدهما فرسخاً، ثمّ الآخر مثلًا</w:t>
      </w:r>
      <w:r>
        <w:rPr>
          <w:rFonts w:eastAsia="IRNazanin" w:cs="IRNazanin"/>
          <w:color w:val="111111"/>
          <w:sz w:val="28"/>
          <w:szCs w:val="28"/>
          <w:rtl w:val="true"/>
          <w:lang w:bidi="fa-IR"/>
        </w:rPr>
        <w:t>.</w:t>
      </w:r>
    </w:p>
    <w:p>
      <w:pPr>
        <w:pStyle w:val="Heading3"/>
        <w:numPr>
          <w:ilvl w:val="2"/>
          <w:numId w:val="1"/>
        </w:numPr>
        <w:rPr/>
      </w:pPr>
      <w:bookmarkStart w:id="4336" w:name="__RefHeading___Toc2568924_3650668749"/>
      <w:bookmarkStart w:id="4337" w:name="_Toc1971"/>
      <w:bookmarkEnd w:id="4336"/>
      <w:r>
        <w:rPr>
          <w:rtl w:val="true"/>
        </w:rPr>
        <w:t>[ (</w:t>
      </w:r>
      <w:r>
        <w:rPr>
          <w:rtl w:val="true"/>
        </w:rPr>
        <w:t xml:space="preserve">مسألة </w:t>
      </w:r>
      <w:r>
        <w:rPr/>
        <w:t>25</w:t>
      </w:r>
      <w:r>
        <w:rPr>
          <w:rtl w:val="true"/>
        </w:rPr>
        <w:t xml:space="preserve">): </w:t>
      </w:r>
      <w:r>
        <w:rPr>
          <w:rtl w:val="true"/>
        </w:rPr>
        <w:t>إذا استأجر عیناً و لم یشترط علیه استیفاء منفعتها بالمباشرة</w:t>
      </w:r>
      <w:r>
        <w:rPr>
          <w:rtl w:val="true"/>
        </w:rPr>
        <w:t>]</w:t>
      </w:r>
      <w:bookmarkEnd w:id="4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عیناً و لم یشترط علیه استیفاء منفعتها بالمباشرة، یجوز أن یؤجرها بأقلّ ممّا استأجر و بالمساوی و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غیر البیت و الدار و الدکّان </w:t>
      </w:r>
      <w:r>
        <w:rPr>
          <w:rStyle w:val="FootnoteAnchor"/>
          <w:rtl w:val="true"/>
        </w:rPr>
        <w:footnoteReference w:id="1221"/>
      </w:r>
      <w:r>
        <w:rPr>
          <w:rFonts w:ascii="IRNazanin" w:hAnsi="IRNazanin" w:eastAsia="IRNazanin"/>
          <w:color w:val="111111"/>
          <w:sz w:val="28"/>
          <w:sz w:val="28"/>
          <w:szCs w:val="28"/>
          <w:rtl w:val="true"/>
          <w:lang w:bidi="fa-IR"/>
        </w:rPr>
        <w:t xml:space="preserve">، و أمّا هی فلا یجوز إجارتها بأکثر ممّا استأجر إلّا إذا أحدث </w:t>
      </w:r>
      <w:r>
        <w:rPr>
          <w:rStyle w:val="FootnoteAnchor"/>
          <w:rtl w:val="true"/>
        </w:rPr>
        <w:footnoteReference w:id="1222"/>
      </w:r>
      <w:r>
        <w:rPr>
          <w:rFonts w:ascii="IRNazanin" w:hAnsi="IRNazanin" w:eastAsia="IRNazanin"/>
          <w:color w:val="111111"/>
          <w:sz w:val="28"/>
          <w:sz w:val="28"/>
          <w:szCs w:val="28"/>
          <w:rtl w:val="true"/>
          <w:lang w:bidi="fa-IR"/>
        </w:rPr>
        <w:t xml:space="preserve">فیها حدثاً؛ من تعمیر أو تبییض أو تنظیف و نحو ذلک، و الأحوط </w:t>
      </w:r>
      <w:r>
        <w:rPr>
          <w:rStyle w:val="FootnoteAnchor"/>
          <w:rtl w:val="true"/>
        </w:rPr>
        <w:footnoteReference w:id="1223"/>
      </w:r>
      <w:r>
        <w:rPr>
          <w:rFonts w:ascii="IRNazanin" w:hAnsi="IRNazanin" w:eastAsia="IRNazanin"/>
          <w:color w:val="111111"/>
          <w:sz w:val="28"/>
          <w:sz w:val="28"/>
          <w:szCs w:val="28"/>
          <w:rtl w:val="true"/>
          <w:lang w:bidi="fa-IR"/>
        </w:rPr>
        <w:t>إلحاق الخان و الرحیٰ و السفینة بها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استأجر داراً مثلًا بعشرة دراهم، فسکن بنصفها و آجر الباقی بعشرة من دون إحداث حدث جاز و لم یکن من الإجارة بالأکثر ممّا استأجر، و کذا لو سکنها فی نصف المدّة و آجرها فی باقی المدّة بعشرة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آجرها فی باقی المدّة أو آجر نصفها بأکثر من عشرة یکون من الإجارة بالأکثر المنهیّ عنها</w:t>
      </w:r>
      <w:r>
        <w:rPr>
          <w:rFonts w:eastAsia="IRNazanin" w:cs="IRNazanin"/>
          <w:color w:val="111111"/>
          <w:sz w:val="28"/>
          <w:szCs w:val="28"/>
          <w:rtl w:val="true"/>
          <w:lang w:bidi="fa-IR"/>
        </w:rPr>
        <w:t>.</w:t>
      </w:r>
    </w:p>
    <w:p>
      <w:pPr>
        <w:pStyle w:val="Heading3"/>
        <w:numPr>
          <w:ilvl w:val="2"/>
          <w:numId w:val="1"/>
        </w:numPr>
        <w:rPr/>
      </w:pPr>
      <w:bookmarkStart w:id="4338" w:name="__RefHeading___Toc2568926_3650668749"/>
      <w:bookmarkStart w:id="4339" w:name="_Toc1972"/>
      <w:bookmarkEnd w:id="4338"/>
      <w:r>
        <w:rPr>
          <w:rtl w:val="true"/>
        </w:rPr>
        <w:t>[ (</w:t>
      </w:r>
      <w:r>
        <w:rPr>
          <w:rtl w:val="true"/>
        </w:rPr>
        <w:t xml:space="preserve">مسألة </w:t>
      </w:r>
      <w:r>
        <w:rPr/>
        <w:t>26</w:t>
      </w:r>
      <w:r>
        <w:rPr>
          <w:rtl w:val="true"/>
        </w:rPr>
        <w:t xml:space="preserve">): </w:t>
      </w:r>
      <w:r>
        <w:rPr>
          <w:rtl w:val="true"/>
        </w:rPr>
        <w:t>إذا تقبّل عملًا من غیر اشتراط المباشرة و لا مع الانصراف إلیها</w:t>
      </w:r>
      <w:r>
        <w:rPr>
          <w:rtl w:val="true"/>
        </w:rPr>
        <w:t>]</w:t>
      </w:r>
      <w:bookmarkEnd w:id="433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تقبّل عملًا من غیر اشتراط المباشرة و لا مع الانصراف إلیها، یجوز </w:t>
      </w:r>
      <w:r>
        <w:rPr>
          <w:rStyle w:val="FootnoteAnchor"/>
          <w:rtl w:val="true"/>
        </w:rPr>
        <w:footnoteReference w:id="1224"/>
      </w:r>
      <w:r>
        <w:rPr>
          <w:rFonts w:ascii="IRNazanin" w:hAnsi="IRNazanin" w:eastAsia="IRNazanin"/>
          <w:color w:val="111111"/>
          <w:sz w:val="28"/>
          <w:sz w:val="28"/>
          <w:szCs w:val="28"/>
          <w:rtl w:val="true"/>
          <w:lang w:bidi="fa-IR"/>
        </w:rPr>
        <w:t>أن یستأجر غیره لذلک العمل بتلک الأُجرة و بالأکثر، و أمّا بالأقلّ فلا یجوز إلّا إذا أحدث حدثاً أو أتی ببعض العمل و لو قلیلًا، کما إذا تقبّل خیاطة ثوب بدرهم ففصّله أو خاط منه شیئاً و لو قلیلًا، فلا بأس باستئجار غیره علیٰ خیاطته بالأقلّ و لو بعشر درهم أو ثمنه</w:t>
      </w:r>
      <w:r>
        <w:rPr>
          <w:rFonts w:eastAsia="IRNazanin" w:cs="IRNazanin"/>
          <w:color w:val="111111"/>
          <w:sz w:val="28"/>
          <w:szCs w:val="28"/>
          <w:rtl w:val="true"/>
          <w:lang w:bidi="fa-IR"/>
        </w:rPr>
        <w:t>.</w:t>
      </w:r>
      <w:bookmarkStart w:id="4340" w:name="pg1809_19418"/>
    </w:p>
    <w:p>
      <w:pPr>
        <w:pStyle w:val="Heading3"/>
        <w:numPr>
          <w:ilvl w:val="2"/>
          <w:numId w:val="1"/>
        </w:numPr>
        <w:rPr/>
      </w:pPr>
      <w:bookmarkStart w:id="4341" w:name="__RefHeading___Toc2568928_3650668749"/>
      <w:bookmarkStart w:id="4342" w:name="_Toc1973"/>
      <w:bookmarkEnd w:id="4340"/>
      <w:bookmarkEnd w:id="4341"/>
      <w:r>
        <w:rPr>
          <w:rtl w:val="true"/>
        </w:rPr>
        <w:t>[ (</w:t>
      </w:r>
      <w:r>
        <w:rPr>
          <w:rtl w:val="true"/>
        </w:rPr>
        <w:t xml:space="preserve">مسألة </w:t>
      </w:r>
      <w:r>
        <w:rPr/>
        <w:t>27</w:t>
      </w:r>
      <w:r>
        <w:rPr>
          <w:rtl w:val="true"/>
        </w:rPr>
        <w:t xml:space="preserve">): </w:t>
      </w:r>
      <w:r>
        <w:rPr>
          <w:rtl w:val="true"/>
        </w:rPr>
        <w:t>الأجیر عن الغیر إذا آجر نفسه علیٰ وجه یکون جمیع منافعه للمستأجر فی مدّة معیّنة</w:t>
      </w:r>
      <w:r>
        <w:rPr>
          <w:rtl w:val="true"/>
        </w:rPr>
        <w:t>]</w:t>
      </w:r>
      <w:bookmarkEnd w:id="4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الأجیر عن الغیر إذا آجر نفسه علیٰ وجه یکون جمیع منافعه للمستأجر فی مدّة معیّنة، لا یجوز له فی تلک المدّة العمل لنفسه أو لغیره؛ لا تبرّعاً و لا بالجعالة أو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ببعض الأعمال التی انصرفت عنها الإجارة و لم تشملها و لم تکن منافیة لما شملته، کما أنّه لو کان مورد الإجارة أو منصرفها الاشتغال بالنهار فلا مانع من الاشتغال ببعض الأعمال فی اللیل له أو لغیره حتّی بالإجارة إلّا إذا أدّی إلیٰ ضعفه فی النهار، فإذا عمل فی تلک المدّة عملًا ممّا لیس خارجاً عن مورد الإجارة، فإن کان العمل لنفسه تخیّر المستأجر بین فسخ الإجارة و استرجاع تمام الأُجرة، إذا لم یعمل الأجیر له شیئاً، أو بعضها إذا عمل له شیئاً، و بین أن یبقیها و یطالبه اجرة مثل العمل الذی عمله لنفسه، و کذا إذا عمل للغیر تبرّعاً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عمل للغیر بعنوان الجعالة، أو الإجارة فله مضافاً إلیٰ ذلک إمضاء الإجارة أو الجعالة و أخذ الأُجرة المسمّاة فی تلک الجعالة أو الإجارة، فله التخییر بین أُمور ثلاثة</w:t>
      </w:r>
      <w:r>
        <w:rPr>
          <w:rFonts w:eastAsia="IRNazanin" w:cs="IRNazanin"/>
          <w:color w:val="111111"/>
          <w:sz w:val="28"/>
          <w:szCs w:val="28"/>
          <w:rtl w:val="true"/>
          <w:lang w:bidi="fa-IR"/>
        </w:rPr>
        <w:t>.</w:t>
      </w:r>
    </w:p>
    <w:p>
      <w:pPr>
        <w:pStyle w:val="Heading3"/>
        <w:numPr>
          <w:ilvl w:val="2"/>
          <w:numId w:val="1"/>
        </w:numPr>
        <w:rPr/>
      </w:pPr>
      <w:bookmarkStart w:id="4343" w:name="__RefHeading___Toc2568930_3650668749"/>
      <w:bookmarkStart w:id="4344" w:name="_Toc1974"/>
      <w:bookmarkEnd w:id="4343"/>
      <w:r>
        <w:rPr>
          <w:rtl w:val="true"/>
        </w:rPr>
        <w:t>[ (</w:t>
      </w:r>
      <w:r>
        <w:rPr>
          <w:rtl w:val="true"/>
        </w:rPr>
        <w:t xml:space="preserve">مسألة </w:t>
      </w:r>
      <w:r>
        <w:rPr/>
        <w:t>28</w:t>
      </w:r>
      <w:r>
        <w:rPr>
          <w:rtl w:val="true"/>
        </w:rPr>
        <w:t xml:space="preserve">): </w:t>
      </w:r>
      <w:r>
        <w:rPr>
          <w:rtl w:val="true"/>
        </w:rPr>
        <w:t>إذا آجر نفسه لعمل مخصوص بالمباشرة فی وقت معیّن لا مانع من أن یعمل لنفسه أو لغیره فی ذلک الوقت</w:t>
      </w:r>
      <w:r>
        <w:rPr>
          <w:rtl w:val="true"/>
        </w:rPr>
        <w:t>]</w:t>
      </w:r>
      <w:bookmarkEnd w:id="4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آجر نفسه لعمل مخصوص بالمباشرة فی وقت معیّن لا مانع من أن یعمل لنفسه أو لغیره فی ذلک الوقت ما لا ینافیه، کما إذا آجر نفسه یوماً معیّناً للخیاطة أو الکتابة ثمّ آجر نفسه فی ذلک الیوم للصوم </w:t>
      </w:r>
      <w:r>
        <w:rPr>
          <w:rStyle w:val="FootnoteAnchor"/>
          <w:rtl w:val="true"/>
        </w:rPr>
        <w:footnoteReference w:id="1225"/>
      </w:r>
      <w:r>
        <w:rPr>
          <w:rFonts w:ascii="IRNazanin" w:hAnsi="IRNazanin" w:eastAsia="IRNazanin"/>
          <w:color w:val="111111"/>
          <w:sz w:val="28"/>
          <w:sz w:val="28"/>
          <w:szCs w:val="28"/>
          <w:rtl w:val="true"/>
          <w:lang w:bidi="fa-IR"/>
        </w:rPr>
        <w:t>عن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أن یعمل فی ذلک الوقت من نوع ذلک العمل و من غیره ممّا ینافیه لنفسه و لا لغیره، فلو فعل فإن کان من نوع ذلک العمل، کما إذا آجر نفسه للخیاطة فی یوم فاشتغل فی ذلک الیوم بالخیاطة لنفسه أو لغیره تبرّعاً أو بالإجارة، کان حکمه حکم الصورة السابقة من تخییر المستأجر بین أمرین لو عمل الأجیر لنفسه أو عمل لغیره تبرّعاً، و بین أُمور ثلاثة لو عمل لغیره بالجعالة أو الإجارة، و إن کان من غیر نوع ذلک العمل کما إذا آجر نفسه للخیاطة فاشتغل بالکتابة فللمستأجر التخییر بین أمرین مطلقاً؛ من فسخ الإجارة و استرجاع الأُجرة، و من مطالبة عوض المنفعة الفائتة</w:t>
      </w:r>
      <w:r>
        <w:rPr>
          <w:rFonts w:eastAsia="IRNazanin" w:cs="IRNazanin"/>
          <w:color w:val="111111"/>
          <w:sz w:val="28"/>
          <w:szCs w:val="28"/>
          <w:rtl w:val="true"/>
          <w:lang w:bidi="fa-IR"/>
        </w:rPr>
        <w:t>.</w:t>
      </w:r>
    </w:p>
    <w:p>
      <w:pPr>
        <w:pStyle w:val="Heading3"/>
        <w:numPr>
          <w:ilvl w:val="2"/>
          <w:numId w:val="1"/>
        </w:numPr>
        <w:rPr/>
      </w:pPr>
      <w:bookmarkStart w:id="4345" w:name="__RefHeading___Toc2568932_3650668749"/>
      <w:bookmarkStart w:id="4346" w:name="_Toc1975"/>
      <w:bookmarkEnd w:id="4345"/>
      <w:r>
        <w:rPr>
          <w:rtl w:val="true"/>
        </w:rPr>
        <w:t>[ (</w:t>
      </w:r>
      <w:r>
        <w:rPr>
          <w:rtl w:val="true"/>
        </w:rPr>
        <w:t xml:space="preserve">مسألة </w:t>
      </w:r>
      <w:r>
        <w:rPr/>
        <w:t>29</w:t>
      </w:r>
      <w:r>
        <w:rPr>
          <w:rtl w:val="true"/>
        </w:rPr>
        <w:t xml:space="preserve">): </w:t>
      </w:r>
      <w:r>
        <w:rPr>
          <w:rtl w:val="true"/>
        </w:rPr>
        <w:t>إذا آجر نفسه لعمل من غیر اعتبار المباشرة و لو فی وقت معیّن</w:t>
      </w:r>
      <w:r>
        <w:rPr>
          <w:rtl w:val="true"/>
        </w:rPr>
        <w:t>]</w:t>
      </w:r>
      <w:bookmarkEnd w:id="434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نفسه لعمل من غیر اعتبار المباشرة و لو فی وقت معیّن، أو من غیر تعیین الوقت و لو مع اعتبار المباشرة، جاز له أن یؤجر نفسه للغیر علیٰ نوع ذلک العمل أو ما یضادّه قبل الإتیان بالعمل المستأجر علیه؛ لعدم التنافی بین الإجارتین</w:t>
      </w:r>
      <w:r>
        <w:rPr>
          <w:rFonts w:eastAsia="IRNazanin" w:cs="IRNazanin"/>
          <w:color w:val="111111"/>
          <w:sz w:val="28"/>
          <w:szCs w:val="28"/>
          <w:rtl w:val="true"/>
          <w:lang w:bidi="fa-IR"/>
        </w:rPr>
        <w:t>.</w:t>
      </w:r>
      <w:bookmarkStart w:id="4347" w:name="pg1809_19420"/>
    </w:p>
    <w:p>
      <w:pPr>
        <w:pStyle w:val="Heading3"/>
        <w:numPr>
          <w:ilvl w:val="2"/>
          <w:numId w:val="1"/>
        </w:numPr>
        <w:rPr/>
      </w:pPr>
      <w:bookmarkStart w:id="4348" w:name="__RefHeading___Toc2568934_3650668749"/>
      <w:bookmarkStart w:id="4349" w:name="_Toc1976"/>
      <w:bookmarkEnd w:id="4347"/>
      <w:bookmarkEnd w:id="4348"/>
      <w:r>
        <w:rPr>
          <w:rtl w:val="true"/>
        </w:rPr>
        <w:t>[ (</w:t>
      </w:r>
      <w:r>
        <w:rPr>
          <w:rtl w:val="true"/>
        </w:rPr>
        <w:t xml:space="preserve">مسألة </w:t>
      </w:r>
      <w:r>
        <w:rPr/>
        <w:t>30</w:t>
      </w:r>
      <w:r>
        <w:rPr>
          <w:rtl w:val="true"/>
        </w:rPr>
        <w:t xml:space="preserve">): </w:t>
      </w:r>
      <w:r>
        <w:rPr>
          <w:rtl w:val="true"/>
        </w:rPr>
        <w:t>إذا استأجر دابّة للحمل إلیٰ بلد</w:t>
      </w:r>
      <w:r>
        <w:rPr>
          <w:rtl w:val="true"/>
        </w:rPr>
        <w:t>]</w:t>
      </w:r>
      <w:bookmarkEnd w:id="4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استأجر دابّة للحمل إلیٰ بلد </w:t>
      </w:r>
      <w:r>
        <w:rPr>
          <w:rStyle w:val="FootnoteAnchor"/>
          <w:rtl w:val="true"/>
        </w:rPr>
        <w:footnoteReference w:id="1226"/>
      </w:r>
      <w:r>
        <w:rPr>
          <w:rFonts w:ascii="IRNazanin" w:hAnsi="IRNazanin" w:eastAsia="IRNazanin"/>
          <w:color w:val="111111"/>
          <w:sz w:val="28"/>
          <w:sz w:val="28"/>
          <w:szCs w:val="28"/>
          <w:rtl w:val="true"/>
          <w:lang w:bidi="fa-IR"/>
        </w:rPr>
        <w:t>، فرکبها إلیه أو بالعکس عمداً أو اشتباهاً، لزمته الأُجرة المسمّاة؛ حیث إنّها قد استقرّت علیه بتسلیم الدابّة و إن لم یستوف المستأجر المنفعة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لزمته اجرة مثل المنفعة التی استوفاها أیضاً، فتکون علیه أُجرتان، أو لم یلزمه إلّا التفاوت بین أُجرة المنفعة التی استوفاها و أُجرة المنفعة المستأجر علیها لو کان، فإذا استأجرها للحمل بخمسة فرکبها و کانت اجرة الرکوب عشرة لزمته العشرة، و لو لم یکن تفاوت بینهما لم تلزم علیه إلّا الأُجرة المسمّاة؟ وجهان، لا یخلو ثانیهما من رجحان، و الأحوط التصالح</w:t>
      </w:r>
      <w:r>
        <w:rPr>
          <w:rFonts w:eastAsia="IRNazanin" w:cs="IRNazanin"/>
          <w:color w:val="111111"/>
          <w:sz w:val="28"/>
          <w:szCs w:val="28"/>
          <w:rtl w:val="true"/>
          <w:lang w:bidi="fa-IR"/>
        </w:rPr>
        <w:t>.</w:t>
      </w:r>
    </w:p>
    <w:p>
      <w:pPr>
        <w:pStyle w:val="Heading3"/>
        <w:numPr>
          <w:ilvl w:val="2"/>
          <w:numId w:val="1"/>
        </w:numPr>
        <w:rPr/>
      </w:pPr>
      <w:bookmarkStart w:id="4350" w:name="__RefHeading___Toc2568936_3650668749"/>
      <w:bookmarkStart w:id="4351" w:name="_Toc1977"/>
      <w:bookmarkEnd w:id="4350"/>
      <w:r>
        <w:rPr>
          <w:rtl w:val="true"/>
        </w:rPr>
        <w:t>[ (</w:t>
      </w:r>
      <w:r>
        <w:rPr>
          <w:rtl w:val="true"/>
        </w:rPr>
        <w:t xml:space="preserve">مسألة </w:t>
      </w:r>
      <w:r>
        <w:rPr/>
        <w:t>31</w:t>
      </w:r>
      <w:r>
        <w:rPr>
          <w:rtl w:val="true"/>
        </w:rPr>
        <w:t xml:space="preserve">): </w:t>
      </w:r>
      <w:r>
        <w:rPr>
          <w:rtl w:val="true"/>
        </w:rPr>
        <w:t>لو آجر نفسه لعمل فعمل للمستأجر غیر ذلک العمل بغیر أمر منه</w:t>
      </w:r>
      <w:r>
        <w:rPr>
          <w:rtl w:val="true"/>
        </w:rPr>
        <w:t>]</w:t>
      </w:r>
      <w:bookmarkEnd w:id="4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نفسه لعمل فعمل للمستأجر غیر ذلک العمل بغیر أمر منه کما إذا استؤجر للخیاطة فکتب له لم یستحقّ شیئاً؛ سواء کان متعمّداً أو وقع منه ذلک اشتباهاً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آجر دابّته لحمل متاع زید إلیٰ مکان فاشتبه و حمل متاع عمرو لم یستحقّ الأُجرة علیٰ واحد منهما</w:t>
      </w:r>
      <w:r>
        <w:rPr>
          <w:rFonts w:eastAsia="IRNazanin" w:cs="IRNazanin"/>
          <w:color w:val="111111"/>
          <w:sz w:val="28"/>
          <w:szCs w:val="28"/>
          <w:rtl w:val="true"/>
          <w:lang w:bidi="fa-IR"/>
        </w:rPr>
        <w:t>.</w:t>
      </w:r>
    </w:p>
    <w:p>
      <w:pPr>
        <w:pStyle w:val="Heading3"/>
        <w:numPr>
          <w:ilvl w:val="2"/>
          <w:numId w:val="1"/>
        </w:numPr>
        <w:rPr/>
      </w:pPr>
      <w:bookmarkStart w:id="4352" w:name="__RefHeading___Toc2568938_3650668749"/>
      <w:bookmarkStart w:id="4353" w:name="_Toc1978"/>
      <w:bookmarkEnd w:id="4352"/>
      <w:r>
        <w:rPr>
          <w:rtl w:val="true"/>
        </w:rPr>
        <w:t>[ (</w:t>
      </w:r>
      <w:r>
        <w:rPr>
          <w:rtl w:val="true"/>
        </w:rPr>
        <w:t xml:space="preserve">مسألة </w:t>
      </w:r>
      <w:r>
        <w:rPr/>
        <w:t>32</w:t>
      </w:r>
      <w:r>
        <w:rPr>
          <w:rtl w:val="true"/>
        </w:rPr>
        <w:t xml:space="preserve">): </w:t>
      </w:r>
      <w:r>
        <w:rPr>
          <w:rtl w:val="true"/>
        </w:rPr>
        <w:t>یجوز استئجار المرأة للإرضاع، بل للرضاع أیضاً</w:t>
      </w:r>
      <w:r>
        <w:rPr>
          <w:rtl w:val="true"/>
        </w:rPr>
        <w:t>]</w:t>
      </w:r>
      <w:bookmarkEnd w:id="4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استئجار المرأة للإرضاع، بل للرضاع أیضاً؛ بأن ینتفع الطفل منها و یتغذّی بلبنها مدّة معیّنة و إن لم یکن منها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یعتبر فی صحّة إجارتها لذلک إذن الزوج و رضاه، بل لیس له المنع عنها إذا لم یکن مانعاً </w:t>
      </w:r>
      <w:r>
        <w:rPr>
          <w:rStyle w:val="FootnoteAnchor"/>
          <w:rtl w:val="true"/>
        </w:rPr>
        <w:footnoteReference w:id="1227"/>
      </w:r>
      <w:r>
        <w:rPr>
          <w:rFonts w:ascii="IRNazanin" w:hAnsi="IRNazanin" w:eastAsia="IRNazanin"/>
          <w:color w:val="111111"/>
          <w:sz w:val="28"/>
          <w:sz w:val="28"/>
          <w:szCs w:val="28"/>
          <w:rtl w:val="true"/>
          <w:lang w:bidi="fa-IR"/>
        </w:rPr>
        <w:t>عن حقّ استمتاعه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استئجار الشاة الحلوب للانتفاع بلبنها و البئر للاستقاء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بصحّة إجارتها کون الانتفاع فیها بإتلاف الأعیان من اللبن و الماء؛ لأنّ الذی یضرّ بصحّة الإجارة بل ینافی حقیقتها کون الانتفاع المقصود بإتلاف العین المستأجرة، کإجارة الخبز للأکل و إجارة الحطب للإشعال کما مرّ، و هنا لم تتعلّق الإجارة باللبن و الماء، بل تعلّقت بالمرأة و الشاة و البئر و هی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إجارة الأشجار للانتفاع بثمرها إشکال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4" w:name="__RefHeading___Toc2568940_3650668749"/>
      <w:bookmarkStart w:id="4355" w:name="_Toc1979"/>
      <w:bookmarkEnd w:id="4354"/>
      <w:r>
        <w:rPr>
          <w:rtl w:val="true"/>
        </w:rPr>
        <w:t>[ (</w:t>
      </w:r>
      <w:r>
        <w:rPr>
          <w:rtl w:val="true"/>
        </w:rPr>
        <w:t xml:space="preserve">مسألة </w:t>
      </w:r>
      <w:r>
        <w:rPr/>
        <w:t>33</w:t>
      </w:r>
      <w:r>
        <w:rPr>
          <w:rtl w:val="true"/>
        </w:rPr>
        <w:t xml:space="preserve">): </w:t>
      </w:r>
      <w:r>
        <w:rPr>
          <w:rtl w:val="true"/>
        </w:rPr>
        <w:t>إذا استؤجر لعمل من بناء أو خیاطة ثوب معیّن أو غیر ذلک لا بقید المباشرة</w:t>
      </w:r>
      <w:r>
        <w:rPr>
          <w:rtl w:val="true"/>
        </w:rPr>
        <w:t>]</w:t>
      </w:r>
      <w:bookmarkEnd w:id="435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استؤجر لعمل من بناء أو خیاطة ثوب معیّن أو غیر ذلک لا بقید المباشرة، فعمله شخص آخر تبرّعاً عنه و مساعدة له، کان ذلک بمنزلة عمله فاستحقّ الأُجرة المسمّاة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عمله تبرّعاً عن المالک لم یستحقّ المستأجر شیئاً، بل بطلت الإجارة</w:t>
      </w:r>
      <w:bookmarkStart w:id="4356" w:name="pg1809_19423"/>
    </w:p>
    <w:p>
      <w:pPr>
        <w:pStyle w:val="BookText"/>
        <w:rPr/>
      </w:pPr>
      <w:bookmarkEnd w:id="4356"/>
      <w:r>
        <w:rPr>
          <w:rFonts w:ascii="IRNazanin" w:hAnsi="IRNazanin" w:eastAsia="IRNazanin"/>
          <w:color w:val="111111"/>
          <w:sz w:val="28"/>
          <w:sz w:val="28"/>
          <w:szCs w:val="28"/>
          <w:rtl w:val="true"/>
          <w:lang w:bidi="fa-IR"/>
        </w:rPr>
        <w:t>لفوات محلّها، و لا یستحقّ العامل علی المالک أُجرة؛ لأنّه لم یکن بأمره</w:t>
      </w:r>
      <w:r>
        <w:rPr>
          <w:rFonts w:eastAsia="IRNazanin" w:cs="IRNazanin"/>
          <w:color w:val="111111"/>
          <w:sz w:val="28"/>
          <w:szCs w:val="28"/>
          <w:rtl w:val="true"/>
          <w:lang w:bidi="fa-IR"/>
        </w:rPr>
        <w:t>.</w:t>
      </w:r>
    </w:p>
    <w:p>
      <w:pPr>
        <w:pStyle w:val="Heading3"/>
        <w:numPr>
          <w:ilvl w:val="2"/>
          <w:numId w:val="1"/>
        </w:numPr>
        <w:rPr/>
      </w:pPr>
      <w:bookmarkStart w:id="4357" w:name="__RefHeading___Toc2568942_3650668749"/>
      <w:bookmarkStart w:id="4358" w:name="_Toc1980"/>
      <w:bookmarkEnd w:id="4357"/>
      <w:r>
        <w:rPr>
          <w:rtl w:val="true"/>
        </w:rPr>
        <w:t>[ (</w:t>
      </w:r>
      <w:r>
        <w:rPr>
          <w:rtl w:val="true"/>
        </w:rPr>
        <w:t xml:space="preserve">مسألة </w:t>
      </w:r>
      <w:r>
        <w:rPr/>
        <w:t>34</w:t>
      </w:r>
      <w:r>
        <w:rPr>
          <w:rtl w:val="true"/>
        </w:rPr>
        <w:t xml:space="preserve">): </w:t>
      </w:r>
      <w:r>
        <w:rPr>
          <w:rtl w:val="true"/>
        </w:rPr>
        <w:t>لا یجوز للإنسان أن یؤجر نفسه للإتیان بما وجب علیه عیناً</w:t>
      </w:r>
      <w:r>
        <w:rPr>
          <w:rtl w:val="true"/>
        </w:rPr>
        <w:t>]</w:t>
      </w:r>
      <w:bookmarkEnd w:id="4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للإنسان أن یؤجر نفسه للإتیان بما وجب علیه عیناً کالصلاة الیومیّة، و لا ما وجب علیه کفائیّاً </w:t>
      </w:r>
      <w:r>
        <w:rPr>
          <w:rStyle w:val="FootnoteAnchor"/>
          <w:rtl w:val="true"/>
        </w:rPr>
        <w:footnoteReference w:id="1229"/>
      </w:r>
      <w:r>
        <w:rPr>
          <w:rFonts w:ascii="IRNazanin" w:hAnsi="IRNazanin" w:eastAsia="IRNazanin"/>
          <w:color w:val="111111"/>
          <w:sz w:val="28"/>
          <w:sz w:val="28"/>
          <w:szCs w:val="28"/>
          <w:rtl w:val="true"/>
          <w:lang w:bidi="fa-IR"/>
        </w:rPr>
        <w:t>إذا کان وجوبه کذلک بعنوانه الخاصّ کتغسیل الأموات و تکفینهم و دفنهم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وجب من جهة حفظ النظام و حاجة الأنام کالصناعات المحتاج إلیها و الطبابة و نحوها فلا بأس بإجارة النفس لها و أخذ الأُجرة علیها، کما أنّ إجارة النفس للنیابة عن الغیر حیّاً و میّتاً فیما وجب علیه و شرع فیه النیابة لا بأس به و لا إشکال فیه</w:t>
      </w:r>
      <w:r>
        <w:rPr>
          <w:rFonts w:eastAsia="IRNazanin" w:cs="IRNazanin"/>
          <w:color w:val="111111"/>
          <w:sz w:val="28"/>
          <w:szCs w:val="28"/>
          <w:rtl w:val="true"/>
          <w:lang w:bidi="fa-IR"/>
        </w:rPr>
        <w:t>.</w:t>
      </w:r>
    </w:p>
    <w:p>
      <w:pPr>
        <w:pStyle w:val="Heading3"/>
        <w:numPr>
          <w:ilvl w:val="2"/>
          <w:numId w:val="1"/>
        </w:numPr>
        <w:rPr/>
      </w:pPr>
      <w:bookmarkStart w:id="4359" w:name="__RefHeading___Toc2568944_3650668749"/>
      <w:bookmarkStart w:id="4360" w:name="_Toc1981"/>
      <w:bookmarkEnd w:id="4359"/>
      <w:r>
        <w:rPr>
          <w:rtl w:val="true"/>
        </w:rPr>
        <w:t>[ (</w:t>
      </w:r>
      <w:r>
        <w:rPr>
          <w:rtl w:val="true"/>
        </w:rPr>
        <w:t xml:space="preserve">مسألة </w:t>
      </w:r>
      <w:r>
        <w:rPr/>
        <w:t>35</w:t>
      </w:r>
      <w:r>
        <w:rPr>
          <w:rtl w:val="true"/>
        </w:rPr>
        <w:t xml:space="preserve">): </w:t>
      </w:r>
      <w:r>
        <w:rPr>
          <w:rtl w:val="true"/>
        </w:rPr>
        <w:t>یجوز الإجارة لحفظ المتاع عن الضیاع و حراسة الدور و البساتین</w:t>
      </w:r>
      <w:r>
        <w:rPr>
          <w:rtl w:val="true"/>
        </w:rPr>
        <w:t>]</w:t>
      </w:r>
      <w:bookmarkEnd w:id="4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الإجارة لحفظ المتاع عن الضیاع و حراسة الدور و البساتین عن السرقة مدّة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اشتراط الضمان علیه لو حصل الضیاع أو السرقة و لو من غیر تقصیر منه؛ بأن یلتزم فی ضمن عقد الإجارة بأنّه لو ضاع المتاع أو سرق من البستان أو الدار شی‌ء خسره من کیسه و أعطی عوضه، فما تداول من تضمین الناطور إذا ضاع، أمر مشروع لو التزم به علیٰ نحو مشروع</w:t>
      </w:r>
      <w:r>
        <w:rPr>
          <w:rFonts w:eastAsia="IRNazanin" w:cs="IRNazanin"/>
          <w:color w:val="111111"/>
          <w:sz w:val="28"/>
          <w:szCs w:val="28"/>
          <w:rtl w:val="true"/>
          <w:lang w:bidi="fa-IR"/>
        </w:rPr>
        <w:t>.</w:t>
      </w:r>
    </w:p>
    <w:p>
      <w:pPr>
        <w:pStyle w:val="Heading3"/>
        <w:numPr>
          <w:ilvl w:val="2"/>
          <w:numId w:val="1"/>
        </w:numPr>
        <w:rPr/>
      </w:pPr>
      <w:bookmarkStart w:id="4361" w:name="__RefHeading___Toc2568946_3650668749"/>
      <w:bookmarkStart w:id="4362" w:name="_Toc1982"/>
      <w:bookmarkEnd w:id="4361"/>
      <w:r>
        <w:rPr>
          <w:rtl w:val="true"/>
        </w:rPr>
        <w:t>[ (</w:t>
      </w:r>
      <w:r>
        <w:rPr>
          <w:rtl w:val="true"/>
        </w:rPr>
        <w:t xml:space="preserve">مسألة </w:t>
      </w:r>
      <w:r>
        <w:rPr/>
        <w:t>36</w:t>
      </w:r>
      <w:r>
        <w:rPr>
          <w:rtl w:val="true"/>
        </w:rPr>
        <w:t xml:space="preserve">): </w:t>
      </w:r>
      <w:r>
        <w:rPr>
          <w:rtl w:val="true"/>
        </w:rPr>
        <w:t>إذا طلب من أحد أن یعمل له عملًا فعمل، استحقّ علیه اجرة مثل عمله</w:t>
      </w:r>
      <w:r>
        <w:rPr>
          <w:rtl w:val="true"/>
        </w:rPr>
        <w:t>]</w:t>
      </w:r>
      <w:bookmarkEnd w:id="4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من أحد أن یعمل له عملًا فعمل، استحقّ علیه اجرة مثل عمله إذا کان ممّا له اجرة و لم یقصد العامل التبرّع بعمله، و إذا قصد التبرّع لم یستحقّ اجرة و إن کان من قصد الآمر إعطاء الأُجرة</w:t>
      </w:r>
      <w:r>
        <w:rPr>
          <w:rFonts w:eastAsia="IRNazanin" w:cs="IRNazanin"/>
          <w:color w:val="111111"/>
          <w:sz w:val="28"/>
          <w:szCs w:val="28"/>
          <w:rtl w:val="true"/>
          <w:lang w:bidi="fa-IR"/>
        </w:rPr>
        <w:t>.</w:t>
      </w:r>
    </w:p>
    <w:p>
      <w:pPr>
        <w:pStyle w:val="Heading3"/>
        <w:numPr>
          <w:ilvl w:val="2"/>
          <w:numId w:val="1"/>
        </w:numPr>
        <w:rPr/>
      </w:pPr>
      <w:bookmarkStart w:id="4363" w:name="__RefHeading___Toc2568948_3650668749"/>
      <w:bookmarkStart w:id="4364" w:name="_Toc1983"/>
      <w:bookmarkEnd w:id="4363"/>
      <w:r>
        <w:rPr>
          <w:rtl w:val="true"/>
        </w:rPr>
        <w:t>[ (</w:t>
      </w:r>
      <w:r>
        <w:rPr>
          <w:rtl w:val="true"/>
        </w:rPr>
        <w:t xml:space="preserve">مسألة </w:t>
      </w:r>
      <w:r>
        <w:rPr/>
        <w:t>37</w:t>
      </w:r>
      <w:r>
        <w:rPr>
          <w:rtl w:val="true"/>
        </w:rPr>
        <w:t xml:space="preserve">): </w:t>
      </w:r>
      <w:r>
        <w:rPr>
          <w:rtl w:val="true"/>
        </w:rPr>
        <w:t>لو استأجر أحداً فی مدّة معیّنة لحیازة المباحات کما إذا استأجره شهراً للاحتطاب</w:t>
      </w:r>
      <w:r>
        <w:rPr>
          <w:rtl w:val="true"/>
        </w:rPr>
        <w:t>]</w:t>
      </w:r>
      <w:bookmarkEnd w:id="436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استأجر أحداً فی مدّة معیّنة لحیازة المباحات کما إذا استأجره شهراً للاحتطاب أو الاحتشاش أو الاستقاء و قصد باستئجاره له ملکیّة ما یحوزه فکلّ ما یحوزه المستأجر فی تلک المدّة من الحطب أو الحشیش أو الماء مثلًا یکون ملکاً للمستأجر؛ سواء قصد الأجیر ملکیّة المستأجر أم لا </w:t>
      </w:r>
      <w:r>
        <w:rPr>
          <w:rStyle w:val="FootnoteAnchor"/>
          <w:rtl w:val="true"/>
        </w:rPr>
        <w:footnoteReference w:id="1230"/>
      </w:r>
      <w:r>
        <w:rPr>
          <w:rFonts w:ascii="IRNazanin" w:hAnsi="IRNazanin" w:eastAsia="IRNazanin"/>
          <w:color w:val="111111"/>
          <w:sz w:val="28"/>
          <w:sz w:val="28"/>
          <w:szCs w:val="28"/>
          <w:rtl w:val="true"/>
          <w:lang w:bidi="fa-IR"/>
        </w:rPr>
        <w:t>، بل و لو قصد ملکیّة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استأجره للحیازة لا بقصد التملّک کما إذا کان له غرض عقلائی لجمع الحطب أو الحشیش فاستأجر شخصاً لذلک لم یملک ما یحوزه و یجمعه الأجیر، فلا مانع من أن ینوی الأجیر تملّکه فیتملّکه کما إذا لم یؤجر نفسه للحیازة</w:t>
      </w:r>
      <w:r>
        <w:rPr>
          <w:rFonts w:eastAsia="IRNazanin" w:cs="IRNazanin"/>
          <w:color w:val="111111"/>
          <w:sz w:val="28"/>
          <w:szCs w:val="28"/>
          <w:rtl w:val="true"/>
          <w:lang w:bidi="fa-IR"/>
        </w:rPr>
        <w:t>.</w:t>
      </w:r>
      <w:bookmarkStart w:id="4365" w:name="pg1809_19425"/>
    </w:p>
    <w:p>
      <w:pPr>
        <w:pStyle w:val="Heading3"/>
        <w:numPr>
          <w:ilvl w:val="2"/>
          <w:numId w:val="1"/>
        </w:numPr>
        <w:rPr/>
      </w:pPr>
      <w:bookmarkStart w:id="4366" w:name="__RefHeading___Toc2568950_3650668749"/>
      <w:bookmarkStart w:id="4367" w:name="_Toc1984"/>
      <w:bookmarkEnd w:id="4365"/>
      <w:bookmarkEnd w:id="4366"/>
      <w:r>
        <w:rPr>
          <w:rtl w:val="true"/>
        </w:rPr>
        <w:t>[ (</w:t>
      </w:r>
      <w:r>
        <w:rPr>
          <w:rtl w:val="true"/>
        </w:rPr>
        <w:t xml:space="preserve">مسألة </w:t>
      </w:r>
      <w:r>
        <w:rPr/>
        <w:t>38</w:t>
      </w:r>
      <w:r>
        <w:rPr>
          <w:rtl w:val="true"/>
        </w:rPr>
        <w:t xml:space="preserve">): </w:t>
      </w:r>
      <w:r>
        <w:rPr>
          <w:rtl w:val="true"/>
        </w:rPr>
        <w:t>لا یجوز إجارة الأرض لزرع الحنطة</w:t>
      </w:r>
      <w:r>
        <w:rPr>
          <w:rtl w:val="true"/>
        </w:rPr>
        <w:t>]</w:t>
      </w:r>
      <w:bookmarkEnd w:id="4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إجارة الأرض لزرع الحنطة </w:t>
      </w:r>
      <w:r>
        <w:rPr>
          <w:rStyle w:val="FootnoteAnchor"/>
          <w:rtl w:val="true"/>
        </w:rPr>
        <w:footnoteReference w:id="1231"/>
      </w:r>
      <w:r>
        <w:rPr>
          <w:rFonts w:ascii="IRNazanin" w:hAnsi="IRNazanin" w:eastAsia="IRNazanin"/>
          <w:color w:val="111111"/>
          <w:sz w:val="28"/>
          <w:sz w:val="28"/>
          <w:szCs w:val="28"/>
          <w:rtl w:val="true"/>
          <w:lang w:bidi="fa-IR"/>
        </w:rPr>
        <w:t>أو الشعیر بمقدار معیّن من الحنطة أو الشعیر الحاصلین منها، بل و کذا بمقدار منهما فی الذمّة مع اشتراط أدائه ممّا یحصل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إجارتها بالحنطة و الشعیر من دون تقیید و لا اشتراط بکونهما منها، فالأقرب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إجارتها بغیر الحنطة و الشعیر فلا إشکال </w:t>
      </w:r>
      <w:r>
        <w:rPr>
          <w:rStyle w:val="FootnoteAnchor"/>
          <w:rtl w:val="true"/>
        </w:rPr>
        <w:footnoteReference w:id="1232"/>
      </w:r>
      <w:r>
        <w:rPr>
          <w:rFonts w:ascii="Amiri" w:hAnsi="Amiri" w:eastAsia="Amiri" w:cs="Amiri"/>
          <w:color w:val="111111"/>
          <w:sz w:val="28"/>
          <w:sz w:val="28"/>
          <w:szCs w:val="28"/>
          <w:rtl w:val="true"/>
          <w:lang w:bidi="ar-SA"/>
        </w:rPr>
        <w:t>فیه أصلًا</w:t>
      </w:r>
      <w:r>
        <w:rPr>
          <w:rFonts w:eastAsia="Amiri" w:cs="Amiri" w:ascii="Amiri" w:hAnsi="Amiri"/>
          <w:color w:val="111111"/>
          <w:sz w:val="28"/>
          <w:szCs w:val="28"/>
          <w:rtl w:val="true"/>
          <w:lang w:bidi="ar-SA"/>
        </w:rPr>
        <w:t>.</w:t>
      </w:r>
    </w:p>
    <w:p>
      <w:pPr>
        <w:pStyle w:val="Heading3"/>
        <w:numPr>
          <w:ilvl w:val="2"/>
          <w:numId w:val="1"/>
        </w:numPr>
        <w:rPr/>
      </w:pPr>
      <w:bookmarkStart w:id="4368" w:name="__RefHeading___Toc2568952_3650668749"/>
      <w:bookmarkStart w:id="4369" w:name="_Toc1985"/>
      <w:bookmarkEnd w:id="4368"/>
      <w:r>
        <w:rPr>
          <w:rtl w:val="true"/>
        </w:rPr>
        <w:t>[ (</w:t>
      </w:r>
      <w:r>
        <w:rPr>
          <w:rtl w:val="true"/>
        </w:rPr>
        <w:t xml:space="preserve">مسألة </w:t>
      </w:r>
      <w:r>
        <w:rPr/>
        <w:t>39</w:t>
      </w:r>
      <w:r>
        <w:rPr>
          <w:rtl w:val="true"/>
        </w:rPr>
        <w:t xml:space="preserve">): </w:t>
      </w:r>
      <w:r>
        <w:rPr>
          <w:rtl w:val="true"/>
        </w:rPr>
        <w:t>العین المستأجرة أمانة فی ید المستأجر فی مدّة الإجارة</w:t>
      </w:r>
      <w:r>
        <w:rPr>
          <w:rtl w:val="true"/>
        </w:rPr>
        <w:t>]</w:t>
      </w:r>
      <w:bookmarkEnd w:id="4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المستأجرة أمانة فی ید المستأجر فی مدّة الإجارة، فلا یضمن تلفها و لا تعیّبها إلّا بالتعدّی أو التفریط، و کذا العین التی للمستأجر بید من آجر نفسه لعمل فیها کالثوب للصبغ أو الخیاطة، و الفضّة أو الذهب للصیاغة، فإنّه لا یضمن تلفها و نقصها بدون التعدّی و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أفسد العین للصبغ أو القصارة أو الخیاطة حتّی لتفصیل الثوب و نحو ذلک ضمن و إن کان بغیر قصده، بل و إن کان استاذاً ماهراً و قد أعمل کمال النظر و الدقّة و الاحتیاط فی شغله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کلّ من آجر نفسه لعمل فی مال المستأجر إذا أفسده ضمنه، و من ذلک ما إذا استؤجر القصّاب لذبح الحیوان، فذبحه علیٰ غیر الوجه الشرعی بحیث صار حراماً، فإنّه ضامن لقیمته، بل الظاهر أنّه کذلک لو ذبحه له تبرّعاً</w:t>
      </w:r>
      <w:r>
        <w:rPr>
          <w:rFonts w:eastAsia="IRNazanin" w:cs="IRNazanin"/>
          <w:color w:val="111111"/>
          <w:sz w:val="28"/>
          <w:szCs w:val="28"/>
          <w:rtl w:val="true"/>
          <w:lang w:bidi="fa-IR"/>
        </w:rPr>
        <w:t>.</w:t>
      </w:r>
    </w:p>
    <w:p>
      <w:pPr>
        <w:pStyle w:val="Heading3"/>
        <w:numPr>
          <w:ilvl w:val="2"/>
          <w:numId w:val="1"/>
        </w:numPr>
        <w:rPr/>
      </w:pPr>
      <w:bookmarkStart w:id="4370" w:name="__RefHeading___Toc2568954_3650668749"/>
      <w:bookmarkStart w:id="4371" w:name="_Toc1986"/>
      <w:bookmarkEnd w:id="4370"/>
      <w:r>
        <w:rPr>
          <w:rtl w:val="true"/>
        </w:rPr>
        <w:t>[ (</w:t>
      </w:r>
      <w:r>
        <w:rPr>
          <w:rtl w:val="true"/>
        </w:rPr>
        <w:t xml:space="preserve">مسألة </w:t>
      </w:r>
      <w:r>
        <w:rPr/>
        <w:t>40</w:t>
      </w:r>
      <w:r>
        <w:rPr>
          <w:rtl w:val="true"/>
        </w:rPr>
        <w:t xml:space="preserve">): </w:t>
      </w:r>
      <w:r>
        <w:rPr>
          <w:rtl w:val="true"/>
        </w:rPr>
        <w:t>الختّان ضامن إذا تجاوز الحدّ و إن کان حاذقاً</w:t>
      </w:r>
      <w:r>
        <w:rPr>
          <w:rtl w:val="true"/>
        </w:rPr>
        <w:t>]</w:t>
      </w:r>
      <w:bookmarkEnd w:id="4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ضامن إذا تجاوز الحدّ و إن کان حاذقاً، و فی ضمانه إذا لم یتجاوز الحدّ کما إذا أضرّ الختان بالولد فمات إشکال، أظهره العدم</w:t>
      </w:r>
      <w:r>
        <w:rPr>
          <w:rFonts w:eastAsia="IRNazanin" w:cs="IRNazanin"/>
          <w:color w:val="111111"/>
          <w:sz w:val="28"/>
          <w:szCs w:val="28"/>
          <w:rtl w:val="true"/>
          <w:lang w:bidi="fa-IR"/>
        </w:rPr>
        <w:t>.</w:t>
      </w:r>
    </w:p>
    <w:p>
      <w:pPr>
        <w:pStyle w:val="Heading3"/>
        <w:numPr>
          <w:ilvl w:val="2"/>
          <w:numId w:val="1"/>
        </w:numPr>
        <w:rPr/>
      </w:pPr>
      <w:bookmarkStart w:id="4372" w:name="__RefHeading___Toc2568956_3650668749"/>
      <w:bookmarkStart w:id="4373" w:name="_Toc1987"/>
      <w:bookmarkEnd w:id="4372"/>
      <w:r>
        <w:rPr>
          <w:rtl w:val="true"/>
        </w:rPr>
        <w:t>[ (</w:t>
      </w:r>
      <w:r>
        <w:rPr>
          <w:rtl w:val="true"/>
        </w:rPr>
        <w:t xml:space="preserve">مسألة </w:t>
      </w:r>
      <w:r>
        <w:rPr/>
        <w:t>41</w:t>
      </w:r>
      <w:r>
        <w:rPr>
          <w:rtl w:val="true"/>
        </w:rPr>
        <w:t xml:space="preserve">): </w:t>
      </w:r>
      <w:r>
        <w:rPr>
          <w:rtl w:val="true"/>
        </w:rPr>
        <w:t>الطبیب ضامن إذا باشر بنفسه العلاج</w:t>
      </w:r>
      <w:r>
        <w:rPr>
          <w:rtl w:val="true"/>
        </w:rPr>
        <w:t>]</w:t>
      </w:r>
      <w:bookmarkEnd w:id="4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الطبیب ضامن إذا باشر بنفسه العلاج، و أمّا لو لم یباشر ففیه إشکال </w:t>
      </w:r>
      <w:r>
        <w:rPr>
          <w:rStyle w:val="FootnoteAnchor"/>
          <w:rtl w:val="true"/>
        </w:rPr>
        <w:footnoteReference w:id="1233"/>
      </w:r>
      <w:r>
        <w:rPr>
          <w:rFonts w:ascii="IRNazanin" w:hAnsi="IRNazanin" w:eastAsia="IRNazanin"/>
          <w:color w:val="111111"/>
          <w:sz w:val="28"/>
          <w:sz w:val="28"/>
          <w:szCs w:val="28"/>
          <w:rtl w:val="true"/>
          <w:lang w:bidi="fa-IR"/>
        </w:rPr>
        <w:t>، خصوصاً فی بعض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وصف الدواء الفلانی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نافع للمرض الفلانی،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دواءک کذا، من دون أن یأمره بشربه، بل عدم الضمان فی أمثال ذلک هو الأقویٰ</w:t>
      </w:r>
      <w:r>
        <w:rPr>
          <w:rFonts w:eastAsia="IRNazanin" w:cs="IRNazanin"/>
          <w:color w:val="111111"/>
          <w:sz w:val="28"/>
          <w:szCs w:val="28"/>
          <w:rtl w:val="true"/>
          <w:lang w:bidi="fa-IR"/>
        </w:rPr>
        <w:t>.</w:t>
      </w:r>
    </w:p>
    <w:p>
      <w:pPr>
        <w:pStyle w:val="Heading3"/>
        <w:numPr>
          <w:ilvl w:val="2"/>
          <w:numId w:val="1"/>
        </w:numPr>
        <w:rPr/>
      </w:pPr>
      <w:bookmarkStart w:id="4374" w:name="__RefHeading___Toc2568958_3650668749"/>
      <w:bookmarkStart w:id="4375" w:name="_Toc1988"/>
      <w:bookmarkEnd w:id="4374"/>
      <w:r>
        <w:rPr>
          <w:rtl w:val="true"/>
        </w:rPr>
        <w:t>[ (</w:t>
      </w:r>
      <w:r>
        <w:rPr>
          <w:rtl w:val="true"/>
        </w:rPr>
        <w:t xml:space="preserve">مسألة </w:t>
      </w:r>
      <w:r>
        <w:rPr/>
        <w:t>42</w:t>
      </w:r>
      <w:r>
        <w:rPr>
          <w:rtl w:val="true"/>
        </w:rPr>
        <w:t xml:space="preserve">): </w:t>
      </w:r>
      <w:r>
        <w:rPr>
          <w:rtl w:val="true"/>
        </w:rPr>
        <w:t>إذا عثر الحمّال فانکسر ما کان علیٰ ظهره أو رأسه مثلًا ضمن</w:t>
      </w:r>
      <w:r>
        <w:rPr>
          <w:rtl w:val="true"/>
        </w:rPr>
        <w:t>]</w:t>
      </w:r>
      <w:bookmarkEnd w:id="4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عثر الحمّال فانکسر ما کان علیٰ ظهره أو رأسه مثلًا ضمن، بخلاف الدابّة المستأجرة للحمل إذا عثرت فتلف أو تعیّب ما حملته، فإنّه لا ضمان علیٰ صاحبها، إلّا إذا کان هو السبب من جهة ضربها أو سوقها فی مزلق و نحو ذلک</w:t>
      </w:r>
      <w:r>
        <w:rPr>
          <w:rFonts w:eastAsia="IRNazanin" w:cs="IRNazanin"/>
          <w:color w:val="111111"/>
          <w:sz w:val="28"/>
          <w:szCs w:val="28"/>
          <w:rtl w:val="true"/>
          <w:lang w:bidi="fa-IR"/>
        </w:rPr>
        <w:t>.</w:t>
      </w:r>
    </w:p>
    <w:p>
      <w:pPr>
        <w:pStyle w:val="Heading3"/>
        <w:numPr>
          <w:ilvl w:val="2"/>
          <w:numId w:val="1"/>
        </w:numPr>
        <w:rPr/>
      </w:pPr>
      <w:bookmarkStart w:id="4376" w:name="__RefHeading___Toc2568960_3650668749"/>
      <w:bookmarkStart w:id="4377" w:name="_Toc1989"/>
      <w:bookmarkEnd w:id="4376"/>
      <w:r>
        <w:rPr>
          <w:rtl w:val="true"/>
        </w:rPr>
        <w:t>[ (</w:t>
      </w:r>
      <w:r>
        <w:rPr>
          <w:rtl w:val="true"/>
        </w:rPr>
        <w:t xml:space="preserve">مسألة </w:t>
      </w:r>
      <w:r>
        <w:rPr/>
        <w:t>43</w:t>
      </w:r>
      <w:r>
        <w:rPr>
          <w:rtl w:val="true"/>
        </w:rPr>
        <w:t xml:space="preserve">): </w:t>
      </w:r>
      <w:r>
        <w:rPr>
          <w:rtl w:val="true"/>
        </w:rPr>
        <w:t>إذا استأجر دابّة للحمل لم یجز أن یحمّلها أزید ممّا اشترط</w:t>
      </w:r>
      <w:r>
        <w:rPr>
          <w:rtl w:val="true"/>
        </w:rPr>
        <w:t>]</w:t>
      </w:r>
      <w:bookmarkEnd w:id="437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دابّة للحمل لم یجز أن یحمّلها أزید ممّا اشترط، أو المقدار</w:t>
      </w:r>
      <w:bookmarkStart w:id="4378" w:name="pg1809_19427"/>
    </w:p>
    <w:p>
      <w:pPr>
        <w:pStyle w:val="BookText"/>
        <w:rPr/>
      </w:pPr>
      <w:bookmarkEnd w:id="4378"/>
      <w:r>
        <w:rPr>
          <w:rFonts w:ascii="IRNazanin" w:hAnsi="IRNazanin" w:eastAsia="IRNazanin"/>
          <w:color w:val="111111"/>
          <w:sz w:val="28"/>
          <w:sz w:val="28"/>
          <w:szCs w:val="28"/>
          <w:rtl w:val="true"/>
          <w:lang w:bidi="fa-IR"/>
        </w:rPr>
        <w:t>المتعارف لو أطلق، فلو حمّلها أزید من ذلک ضمن تلفها و عوارها، و کذلک إذا سار علیها زائداً عمّا اشترط</w:t>
      </w:r>
      <w:r>
        <w:rPr>
          <w:rFonts w:eastAsia="IRNazanin" w:cs="IRNazanin"/>
          <w:color w:val="111111"/>
          <w:sz w:val="28"/>
          <w:szCs w:val="28"/>
          <w:rtl w:val="true"/>
          <w:lang w:bidi="fa-IR"/>
        </w:rPr>
        <w:t>.</w:t>
      </w:r>
    </w:p>
    <w:p>
      <w:pPr>
        <w:pStyle w:val="Heading3"/>
        <w:numPr>
          <w:ilvl w:val="2"/>
          <w:numId w:val="1"/>
        </w:numPr>
        <w:rPr/>
      </w:pPr>
      <w:bookmarkStart w:id="4379" w:name="__RefHeading___Toc2568962_3650668749"/>
      <w:bookmarkStart w:id="4380" w:name="_Toc1990"/>
      <w:bookmarkEnd w:id="4379"/>
      <w:r>
        <w:rPr>
          <w:rtl w:val="true"/>
        </w:rPr>
        <w:t>[ (</w:t>
      </w:r>
      <w:r>
        <w:rPr>
          <w:rtl w:val="true"/>
        </w:rPr>
        <w:t xml:space="preserve">مسألة </w:t>
      </w:r>
      <w:r>
        <w:rPr/>
        <w:t>44</w:t>
      </w:r>
      <w:r>
        <w:rPr>
          <w:rtl w:val="true"/>
        </w:rPr>
        <w:t xml:space="preserve">): </w:t>
      </w:r>
      <w:r>
        <w:rPr>
          <w:rtl w:val="true"/>
        </w:rPr>
        <w:t>إذا استؤجر لحفظ متاع فسرق لم یضمن إلّا مع التقصیر</w:t>
      </w:r>
      <w:r>
        <w:rPr>
          <w:rtl w:val="true"/>
        </w:rPr>
        <w:t>]</w:t>
      </w:r>
      <w:bookmarkEnd w:id="4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استؤجر لحفظ متاع فسرق لم یضمن إلّا مع التقصیر أو اشتراط الضمان</w:t>
      </w:r>
      <w:r>
        <w:rPr>
          <w:rFonts w:eastAsia="IRNazanin" w:cs="IRNazanin"/>
          <w:color w:val="111111"/>
          <w:sz w:val="28"/>
          <w:szCs w:val="28"/>
          <w:rtl w:val="true"/>
          <w:lang w:bidi="fa-IR"/>
        </w:rPr>
        <w:t>.</w:t>
      </w:r>
    </w:p>
    <w:p>
      <w:pPr>
        <w:pStyle w:val="Heading3"/>
        <w:numPr>
          <w:ilvl w:val="2"/>
          <w:numId w:val="1"/>
        </w:numPr>
        <w:rPr/>
      </w:pPr>
      <w:bookmarkStart w:id="4381" w:name="__RefHeading___Toc2568964_3650668749"/>
      <w:bookmarkStart w:id="4382" w:name="_Toc1991"/>
      <w:bookmarkEnd w:id="4381"/>
      <w:r>
        <w:rPr>
          <w:rtl w:val="true"/>
        </w:rPr>
        <w:t>[ (</w:t>
      </w:r>
      <w:r>
        <w:rPr>
          <w:rtl w:val="true"/>
        </w:rPr>
        <w:t xml:space="preserve">مسألة </w:t>
      </w:r>
      <w:r>
        <w:rPr/>
        <w:t>45</w:t>
      </w:r>
      <w:r>
        <w:rPr>
          <w:rtl w:val="true"/>
        </w:rPr>
        <w:t xml:space="preserve">): </w:t>
      </w:r>
      <w:r>
        <w:rPr>
          <w:rtl w:val="true"/>
        </w:rPr>
        <w:t>صاحب الحمّام لا یضمن الثیاب و غیرها إذا سرقت</w:t>
      </w:r>
      <w:r>
        <w:rPr>
          <w:rtl w:val="true"/>
        </w:rPr>
        <w:t>]</w:t>
      </w:r>
      <w:bookmarkEnd w:id="4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الحمّام لا یضمن الثیاب و غیرها إذا سرقت، إلّا إذا أُودع عنده و فرّط أو تعدّیٰ</w:t>
      </w:r>
      <w:r>
        <w:rPr>
          <w:rFonts w:eastAsia="IRNazanin" w:cs="IRNazanin"/>
          <w:color w:val="111111"/>
          <w:sz w:val="28"/>
          <w:szCs w:val="28"/>
          <w:rtl w:val="true"/>
          <w:lang w:bidi="fa-IR"/>
        </w:rPr>
        <w:t>.</w:t>
      </w:r>
    </w:p>
    <w:p>
      <w:pPr>
        <w:pStyle w:val="Heading3"/>
        <w:numPr>
          <w:ilvl w:val="2"/>
          <w:numId w:val="1"/>
        </w:numPr>
        <w:rPr/>
      </w:pPr>
      <w:bookmarkStart w:id="4383" w:name="__RefHeading___Toc2568966_3650668749"/>
      <w:bookmarkStart w:id="4384" w:name="_Toc1992"/>
      <w:bookmarkEnd w:id="4383"/>
      <w:r>
        <w:rPr>
          <w:rtl w:val="true"/>
        </w:rPr>
        <w:t>[ (</w:t>
      </w:r>
      <w:r>
        <w:rPr>
          <w:rtl w:val="true"/>
        </w:rPr>
        <w:t xml:space="preserve">مسألة </w:t>
      </w:r>
      <w:r>
        <w:rPr/>
        <w:t>46</w:t>
      </w:r>
      <w:r>
        <w:rPr>
          <w:rtl w:val="true"/>
        </w:rPr>
        <w:t xml:space="preserve">): </w:t>
      </w:r>
      <w:r>
        <w:rPr>
          <w:rtl w:val="true"/>
        </w:rPr>
        <w:t>إذا استأجر أرضاً للزراعة، فحصلت آفة أفسدت الحاصل لم تبطل الإجارة</w:t>
      </w:r>
      <w:r>
        <w:rPr>
          <w:rtl w:val="true"/>
        </w:rPr>
        <w:t>]</w:t>
      </w:r>
      <w:bookmarkEnd w:id="4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أرضاً للزراعة، فحصلت آفة أفسدت الحاصل لم تبطل الإجارة و لا یوجب ذلک نقصاً فی الأُجرة، نعم لو شرط علی المؤجر إبراءه من الأُجرة بمقدار ما نقص أو نصفاً أو ثلثاً منه مثلًا صحّ و لزم الوفاء به</w:t>
      </w:r>
      <w:r>
        <w:rPr>
          <w:rFonts w:eastAsia="IRNazanin" w:cs="IRNazanin"/>
          <w:color w:val="111111"/>
          <w:sz w:val="28"/>
          <w:szCs w:val="28"/>
          <w:rtl w:val="true"/>
          <w:lang w:bidi="fa-IR"/>
        </w:rPr>
        <w:t>.</w:t>
      </w:r>
    </w:p>
    <w:p>
      <w:pPr>
        <w:pStyle w:val="Heading3"/>
        <w:numPr>
          <w:ilvl w:val="2"/>
          <w:numId w:val="1"/>
        </w:numPr>
        <w:rPr/>
      </w:pPr>
      <w:bookmarkStart w:id="4385" w:name="__RefHeading___Toc2568968_3650668749"/>
      <w:bookmarkStart w:id="4386" w:name="_Toc1993"/>
      <w:bookmarkEnd w:id="4385"/>
      <w:r>
        <w:rPr>
          <w:rtl w:val="true"/>
        </w:rPr>
        <w:t>[ (</w:t>
      </w:r>
      <w:r>
        <w:rPr>
          <w:rtl w:val="true"/>
        </w:rPr>
        <w:t xml:space="preserve">مسألة </w:t>
      </w:r>
      <w:r>
        <w:rPr/>
        <w:t>47</w:t>
      </w:r>
      <w:r>
        <w:rPr>
          <w:rtl w:val="true"/>
        </w:rPr>
        <w:t xml:space="preserve">): </w:t>
      </w:r>
      <w:r>
        <w:rPr>
          <w:rtl w:val="true"/>
        </w:rPr>
        <w:t>یجوز إجارة الأرض للانتفاع بها بالزرع و غیره مدّة معلومة</w:t>
      </w:r>
      <w:r>
        <w:rPr>
          <w:rtl w:val="true"/>
        </w:rPr>
        <w:t>]</w:t>
      </w:r>
      <w:bookmarkEnd w:id="438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إجارة الأرض للانتفاع بها بالزرع و غیره مدّة معلومة، و جعل الأُجرة تعمیرها من کری الأنهار و تنقیة الآبار و غرس الأشجار و تسویة الأرض و إزالة الأحجار و نحو ذلک، بشرط أن یعیّن تلک الأعمال علیٰ نحو یرتفع الغرر و الجهالة، أو کان تعارف مغن عن التعیین</w:t>
      </w:r>
      <w:r>
        <w:rPr>
          <w:rFonts w:eastAsia="IRNazanin" w:cs="IRNazanin"/>
          <w:color w:val="111111"/>
          <w:sz w:val="28"/>
          <w:szCs w:val="28"/>
          <w:rtl w:val="true"/>
          <w:lang w:bidi="fa-IR"/>
        </w:rPr>
        <w:t>.</w:t>
      </w:r>
      <w:bookmarkStart w:id="4387" w:name="pg1809_19430"/>
    </w:p>
    <w:p>
      <w:pPr>
        <w:pStyle w:val="Heading2"/>
        <w:numPr>
          <w:ilvl w:val="1"/>
          <w:numId w:val="1"/>
        </w:numPr>
        <w:rPr/>
      </w:pPr>
      <w:bookmarkStart w:id="4388" w:name="__RefHeading___Toc2568970_3650668749"/>
      <w:bookmarkStart w:id="4389" w:name="_Toc1994"/>
      <w:bookmarkEnd w:id="4387"/>
      <w:bookmarkEnd w:id="4388"/>
      <w:r>
        <w:rPr>
          <w:rtl w:val="true"/>
        </w:rPr>
        <w:t>[</w:t>
      </w:r>
      <w:r>
        <w:rPr>
          <w:rtl w:val="true"/>
        </w:rPr>
        <w:t>کتاب الجعالة</w:t>
      </w:r>
      <w:r>
        <w:rPr>
          <w:rtl w:val="true"/>
        </w:rPr>
        <w:t>]</w:t>
      </w:r>
      <w:bookmarkEnd w:id="4389"/>
    </w:p>
    <w:p>
      <w:pPr>
        <w:pStyle w:val="Heading3"/>
        <w:numPr>
          <w:ilvl w:val="2"/>
          <w:numId w:val="1"/>
        </w:numPr>
        <w:rPr/>
      </w:pPr>
      <w:bookmarkStart w:id="4390" w:name="__RefHeading___Toc2568972_3650668749"/>
      <w:bookmarkStart w:id="4391" w:name="_Toc1995"/>
      <w:bookmarkEnd w:id="4390"/>
      <w:r>
        <w:rPr>
          <w:rtl w:val="true"/>
        </w:rPr>
        <w:t>اشارة</w:t>
      </w:r>
      <w:bookmarkEnd w:id="4391"/>
    </w:p>
    <w:p>
      <w:pPr>
        <w:pStyle w:val="BookText"/>
        <w:rPr/>
      </w:pPr>
      <w:r>
        <w:rPr>
          <w:rFonts w:ascii="IRNazanin" w:hAnsi="IRNazanin" w:eastAsia="IRNazanin"/>
          <w:color w:val="111111"/>
          <w:sz w:val="28"/>
          <w:sz w:val="28"/>
          <w:szCs w:val="28"/>
          <w:rtl w:val="true"/>
          <w:lang w:bidi="fa-IR"/>
        </w:rPr>
        <w:t xml:space="preserve">کتاب الجعالة و هی الالتزام </w:t>
      </w:r>
      <w:r>
        <w:rPr>
          <w:rStyle w:val="FootnoteAnchor"/>
          <w:rtl w:val="true"/>
        </w:rPr>
        <w:footnoteReference w:id="1234"/>
      </w:r>
      <w:r>
        <w:rPr>
          <w:rFonts w:ascii="IRNazanin" w:hAnsi="IRNazanin" w:eastAsia="IRNazanin"/>
          <w:color w:val="111111"/>
          <w:sz w:val="28"/>
          <w:sz w:val="28"/>
          <w:szCs w:val="28"/>
          <w:rtl w:val="true"/>
          <w:lang w:bidi="fa-IR"/>
        </w:rPr>
        <w:t>بعوض معلوم علیٰ عمل، و یقال للملتزم الجاعل و لمن یعمل ذلک العمل العامل و المعوّض الجعل و الجعیلة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یفتقر إلی الإیجاب و هو کلّ لفظ أفاد ذلک الالتزام، و هو إمّا عامّ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عبدی أو دابّتی أو خاط ثوبی أو بنیٰ حائطی مثلًا فله کذا، و إمّا خاصّ کما إذا قال 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رددت عبدی أو دابّتی مثلًا فلک کذا، و لا یفتقر إلیٰ قبول حتّی فی الخاصّ فضلًا عن العامّ</w:t>
      </w:r>
      <w:r>
        <w:rPr>
          <w:rFonts w:eastAsia="IRNazanin" w:cs="IRNazanin"/>
          <w:color w:val="111111"/>
          <w:sz w:val="28"/>
          <w:szCs w:val="28"/>
          <w:rtl w:val="true"/>
          <w:lang w:bidi="fa-IR"/>
        </w:rPr>
        <w:t>.</w:t>
      </w:r>
    </w:p>
    <w:p>
      <w:pPr>
        <w:pStyle w:val="Heading3"/>
        <w:numPr>
          <w:ilvl w:val="2"/>
          <w:numId w:val="1"/>
        </w:numPr>
        <w:rPr/>
      </w:pPr>
      <w:bookmarkStart w:id="4392" w:name="__RefHeading___Toc2568974_3650668749"/>
      <w:bookmarkStart w:id="4393" w:name="_Toc1996"/>
      <w:bookmarkEnd w:id="4392"/>
      <w:r>
        <w:rPr>
          <w:rtl w:val="true"/>
        </w:rPr>
        <w:t>[ (</w:t>
      </w:r>
      <w:r>
        <w:rPr>
          <w:rtl w:val="true"/>
        </w:rPr>
        <w:t xml:space="preserve">مسألة </w:t>
      </w:r>
      <w:r>
        <w:rPr/>
        <w:t>1</w:t>
      </w:r>
      <w:r>
        <w:rPr>
          <w:rtl w:val="true"/>
        </w:rPr>
        <w:t xml:space="preserve">): </w:t>
      </w:r>
      <w:r>
        <w:rPr>
          <w:rtl w:val="true"/>
        </w:rPr>
        <w:t>الفرق بین الإجارة علی العمل و الجعالة</w:t>
      </w:r>
      <w:r>
        <w:rPr>
          <w:rtl w:val="true"/>
        </w:rPr>
        <w:t>]</w:t>
      </w:r>
      <w:bookmarkEnd w:id="4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Style w:val="FootnoteAnchor"/>
          <w:rtl w:val="true"/>
        </w:rPr>
        <w:footnoteReference w:id="1235"/>
      </w:r>
      <w:r>
        <w:rPr>
          <w:rFonts w:ascii="IRNazanin" w:hAnsi="IRNazanin" w:eastAsia="IRNazanin"/>
          <w:color w:val="111111"/>
          <w:sz w:val="28"/>
          <w:sz w:val="28"/>
          <w:szCs w:val="28"/>
          <w:rtl w:val="true"/>
          <w:lang w:bidi="fa-IR"/>
        </w:rPr>
        <w:t>بین الإجارة علی العمل و الجعالة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المستأجر فی الإجارة یملک العمل علی الأجیر و هو یملک علی المستأجر الأُجرة بنفس العقد کما مرّ، بخلافه فی الجعالة؛ حیث إنّه لیس أثرها إلّا استحقاق العامل الجعل المقرّر علی الجاعل بعد العمل</w:t>
      </w:r>
      <w:r>
        <w:rPr>
          <w:rFonts w:eastAsia="IRNazanin" w:cs="IRNazanin"/>
          <w:color w:val="111111"/>
          <w:sz w:val="28"/>
          <w:szCs w:val="28"/>
          <w:rtl w:val="true"/>
          <w:lang w:bidi="fa-IR"/>
        </w:rPr>
        <w:t>.</w:t>
      </w:r>
    </w:p>
    <w:p>
      <w:pPr>
        <w:pStyle w:val="Heading3"/>
        <w:numPr>
          <w:ilvl w:val="2"/>
          <w:numId w:val="1"/>
        </w:numPr>
        <w:rPr/>
      </w:pPr>
      <w:bookmarkStart w:id="4394" w:name="__RefHeading___Toc2568976_3650668749"/>
      <w:bookmarkStart w:id="4395" w:name="_Toc1997"/>
      <w:bookmarkEnd w:id="4394"/>
      <w:r>
        <w:rPr>
          <w:rtl w:val="true"/>
        </w:rPr>
        <w:t>[ (</w:t>
      </w:r>
      <w:r>
        <w:rPr>
          <w:rtl w:val="true"/>
        </w:rPr>
        <w:t xml:space="preserve">مسألة </w:t>
      </w:r>
      <w:r>
        <w:rPr/>
        <w:t>2</w:t>
      </w:r>
      <w:r>
        <w:rPr>
          <w:rtl w:val="true"/>
        </w:rPr>
        <w:t xml:space="preserve">): </w:t>
      </w:r>
      <w:r>
        <w:rPr>
          <w:rtl w:val="true"/>
        </w:rPr>
        <w:t>إنّما تصحّ الجعالة علیٰ کلّ عمل محلّل مقصود فی نظر العقلاء کالإجارة</w:t>
      </w:r>
      <w:r>
        <w:rPr>
          <w:rtl w:val="true"/>
        </w:rPr>
        <w:t>]</w:t>
      </w:r>
      <w:bookmarkEnd w:id="4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تصحّ الجعالة علیٰ کلّ عمل محلّل مقصود فی نظر العقلاء کالإجارة، فلا تصحّ علی المحرّم و لا علیٰ ما یکون لغواً عند العقلاء، و بذل المال بإزائه سفهاً کالذهاب </w:t>
      </w:r>
      <w:r>
        <w:rPr>
          <w:rStyle w:val="FootnoteAnchor"/>
          <w:rtl w:val="true"/>
        </w:rPr>
        <w:footnoteReference w:id="1236"/>
      </w:r>
      <w:r>
        <w:rPr>
          <w:rFonts w:ascii="IRNazanin" w:hAnsi="IRNazanin" w:eastAsia="IRNazanin"/>
          <w:color w:val="111111"/>
          <w:sz w:val="28"/>
          <w:sz w:val="28"/>
          <w:szCs w:val="28"/>
          <w:rtl w:val="true"/>
          <w:lang w:bidi="fa-IR"/>
        </w:rPr>
        <w:t>إلی الأمکنة المخوفة و الصعود علی الجبال الشاهقة و الأبنیة المرتفعة و الوثبة من موضع إلیٰ موضع آخر و نحو ذلک</w:t>
      </w:r>
      <w:r>
        <w:rPr>
          <w:rFonts w:eastAsia="IRNazanin" w:cs="IRNazanin"/>
          <w:color w:val="111111"/>
          <w:sz w:val="28"/>
          <w:szCs w:val="28"/>
          <w:rtl w:val="true"/>
          <w:lang w:bidi="fa-IR"/>
        </w:rPr>
        <w:t>.</w:t>
      </w:r>
    </w:p>
    <w:p>
      <w:pPr>
        <w:pStyle w:val="Heading3"/>
        <w:numPr>
          <w:ilvl w:val="2"/>
          <w:numId w:val="1"/>
        </w:numPr>
        <w:rPr/>
      </w:pPr>
      <w:bookmarkStart w:id="4396" w:name="__RefHeading___Toc2568978_3650668749"/>
      <w:bookmarkStart w:id="4397" w:name="_Toc1998"/>
      <w:bookmarkEnd w:id="4396"/>
      <w:r>
        <w:rPr>
          <w:rtl w:val="true"/>
        </w:rPr>
        <w:t>[ (</w:t>
      </w:r>
      <w:r>
        <w:rPr>
          <w:rtl w:val="true"/>
        </w:rPr>
        <w:t xml:space="preserve">مسألة </w:t>
      </w:r>
      <w:r>
        <w:rPr/>
        <w:t>3</w:t>
      </w:r>
      <w:r>
        <w:rPr>
          <w:rtl w:val="true"/>
        </w:rPr>
        <w:t xml:space="preserve">): </w:t>
      </w:r>
      <w:r>
        <w:rPr>
          <w:rtl w:val="true"/>
        </w:rPr>
        <w:t>کما لا تصحّ الإجارة علی الواجبات العینیّة و الکفائیّة</w:t>
      </w:r>
      <w:r>
        <w:rPr>
          <w:rtl w:val="true"/>
        </w:rPr>
        <w:t>]</w:t>
      </w:r>
      <w:bookmarkEnd w:id="4397"/>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تصحّ الإجارة علی الواجبات العینیّة و الکفائیّة علی التفصیل الذی</w:t>
      </w:r>
      <w:bookmarkStart w:id="4398" w:name="pg1809_19432"/>
    </w:p>
    <w:p>
      <w:pPr>
        <w:pStyle w:val="BookText"/>
        <w:rPr/>
      </w:pPr>
      <w:bookmarkEnd w:id="4398"/>
      <w:r>
        <w:rPr>
          <w:rFonts w:ascii="Amiri" w:hAnsi="Amiri" w:eastAsia="Amiri" w:cs="Amiri"/>
          <w:color w:val="111111"/>
          <w:sz w:val="28"/>
          <w:sz w:val="28"/>
          <w:szCs w:val="28"/>
          <w:rtl w:val="true"/>
          <w:lang w:bidi="ar-SA"/>
        </w:rPr>
        <w:t xml:space="preserve">مرّ </w:t>
      </w:r>
      <w:r>
        <w:rPr>
          <w:rStyle w:val="FootnoteAnchor"/>
          <w:rtl w:val="true"/>
        </w:rPr>
        <w:footnoteReference w:id="1237"/>
      </w:r>
      <w:r>
        <w:rPr>
          <w:rFonts w:ascii="IRNazanin" w:hAnsi="IRNazanin" w:eastAsia="IRNazanin"/>
          <w:color w:val="111111"/>
          <w:sz w:val="28"/>
          <w:sz w:val="28"/>
          <w:szCs w:val="28"/>
          <w:rtl w:val="true"/>
          <w:lang w:bidi="fa-IR"/>
        </w:rPr>
        <w:t>فی کتابها لا تصحّ الجعالة علیها</w:t>
      </w:r>
      <w:r>
        <w:rPr>
          <w:rFonts w:eastAsia="IRNazanin" w:cs="IRNazanin"/>
          <w:color w:val="111111"/>
          <w:sz w:val="28"/>
          <w:szCs w:val="28"/>
          <w:rtl w:val="true"/>
          <w:lang w:bidi="fa-IR"/>
        </w:rPr>
        <w:t>.</w:t>
      </w:r>
    </w:p>
    <w:p>
      <w:pPr>
        <w:pStyle w:val="Heading3"/>
        <w:numPr>
          <w:ilvl w:val="2"/>
          <w:numId w:val="1"/>
        </w:numPr>
        <w:rPr/>
      </w:pPr>
      <w:bookmarkStart w:id="4399" w:name="__RefHeading___Toc2568980_3650668749"/>
      <w:bookmarkStart w:id="4400" w:name="_Toc1999"/>
      <w:bookmarkEnd w:id="4399"/>
      <w:r>
        <w:rPr>
          <w:rtl w:val="true"/>
        </w:rPr>
        <w:t>[ (</w:t>
      </w:r>
      <w:r>
        <w:rPr>
          <w:rtl w:val="true"/>
        </w:rPr>
        <w:t xml:space="preserve">مسألة </w:t>
      </w:r>
      <w:r>
        <w:rPr/>
        <w:t>4</w:t>
      </w:r>
      <w:r>
        <w:rPr>
          <w:rtl w:val="true"/>
        </w:rPr>
        <w:t xml:space="preserve">): </w:t>
      </w:r>
      <w:r>
        <w:rPr>
          <w:rtl w:val="true"/>
        </w:rPr>
        <w:t>یعتبر فی الجاعل أهلیّة الاستئجار</w:t>
      </w:r>
      <w:r>
        <w:rPr>
          <w:rtl w:val="true"/>
        </w:rPr>
        <w:t>]</w:t>
      </w:r>
      <w:bookmarkEnd w:id="4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الجاعل أهلیّة الاستئجار؛ من البلوغ و العقل و الرشد و القصد و عدم الحجر و الاختیار، و أمّا العامل فلا یعتبر فیه إلّا إمکان تحصیل العمل؛ بحیث لا مانع منه عقلًا أو شرعاً، کما إذا وقعت الجعالة علیٰ کنس المسجد، فلا یمکن حصوله شرعاً من الجنب و الحائض، فلو کنساه لم یستحقّا شیئاً علیٰ عملهما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یعتبر فیه نفوذ التصرّف فیجوز أن یکون صبیّاً ممیّزاً و لو بغیر إذن الولیّ، بل و لو کان غیر ممیّز </w:t>
      </w:r>
      <w:r>
        <w:rPr>
          <w:rStyle w:val="FootnoteAnchor"/>
          <w:rtl w:val="true"/>
        </w:rPr>
        <w:footnoteReference w:id="1238"/>
      </w:r>
      <w:r>
        <w:rPr>
          <w:rFonts w:ascii="IRNazanin" w:hAnsi="IRNazanin" w:eastAsia="IRNazanin"/>
          <w:color w:val="111111"/>
          <w:sz w:val="28"/>
          <w:sz w:val="28"/>
          <w:szCs w:val="28"/>
          <w:rtl w:val="true"/>
          <w:lang w:bidi="fa-IR"/>
        </w:rPr>
        <w:t>أو مجنون علی الأظهر، فجمیع هؤلاء یستحقّون الجعل المقرّر بعملهم</w:t>
      </w:r>
      <w:r>
        <w:rPr>
          <w:rFonts w:eastAsia="IRNazanin" w:cs="IRNazanin"/>
          <w:color w:val="111111"/>
          <w:sz w:val="28"/>
          <w:szCs w:val="28"/>
          <w:rtl w:val="true"/>
          <w:lang w:bidi="fa-IR"/>
        </w:rPr>
        <w:t>.</w:t>
      </w:r>
    </w:p>
    <w:p>
      <w:pPr>
        <w:pStyle w:val="Heading3"/>
        <w:numPr>
          <w:ilvl w:val="2"/>
          <w:numId w:val="1"/>
        </w:numPr>
        <w:rPr/>
      </w:pPr>
      <w:bookmarkStart w:id="4401" w:name="__RefHeading___Toc2568982_3650668749"/>
      <w:bookmarkStart w:id="4402" w:name="_Toc2000"/>
      <w:bookmarkEnd w:id="4401"/>
      <w:r>
        <w:rPr>
          <w:rtl w:val="true"/>
        </w:rPr>
        <w:t>[ (</w:t>
      </w:r>
      <w:r>
        <w:rPr>
          <w:rtl w:val="true"/>
        </w:rPr>
        <w:t xml:space="preserve">مسألة </w:t>
      </w:r>
      <w:r>
        <w:rPr/>
        <w:t>5</w:t>
      </w:r>
      <w:r>
        <w:rPr>
          <w:rtl w:val="true"/>
        </w:rPr>
        <w:t xml:space="preserve">): </w:t>
      </w:r>
      <w:r>
        <w:rPr>
          <w:rtl w:val="true"/>
        </w:rPr>
        <w:t>یجوز أن یکون العمل مجهولًا فی الجعالة بما لا یغتفر فی الإجارة</w:t>
      </w:r>
      <w:r>
        <w:rPr>
          <w:rtl w:val="true"/>
        </w:rPr>
        <w:t>]</w:t>
      </w:r>
      <w:bookmarkEnd w:id="4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العمل مجهولًا فی الجعالة بما لا یغتفر فی الإجارة،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دابّتی فله کذا، صحّ و إن لم یعیّن المسافة و لا شخص الدابّة مع شدّة اختلاف الدوابّ فی الظفر بها من حیث السهولة و الصعوبة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أن یوقع الجعالة علی المردّد مع اتّحاد الجعل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عبدی أو دابّتی فله کذا، أو بالاختلاف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عبدی فله عشرة و من ردّ دابّتی فله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جعل موردها مجهولًا صرفاً و مبهماً بحتاً لا یتمکّن العامل من تحصیله،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و أوصلنی ما ضاع منّی فله کذا، بل 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حیواناً ضاع منّی و لم یعیّن أنّه من جنس الطیور أو الدوابّ أو غیرها، هذا کلّه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العوض فلا بدّ من تعیینه جنساً و نوعاً و وصفاً، بل کیلًا أو وزناً أو عدّاً إن کان مکیلًا أو موزوناً أو معدوداً، فلو جعله ما فی یده أو إنائه مثلًا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دابّتی فله ما فی یدی أو ما فی هذا الإناء، بطلت الجعالة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أنّه یصحّ أن یجعل الجعل حصّة معیّنة ممّا یردّه و لو لم یشاهد و لم یوصف؛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دابّتی فله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یصحّ أن یجعل للدلّال ما زاد علیٰ رأس المال،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هذا المال بکذا و الزائد لک، کما مرّ فیما سبق</w:t>
      </w:r>
      <w:r>
        <w:rPr>
          <w:rFonts w:eastAsia="IRNazanin" w:cs="IRNazanin"/>
          <w:color w:val="111111"/>
          <w:sz w:val="28"/>
          <w:szCs w:val="28"/>
          <w:rtl w:val="true"/>
          <w:lang w:bidi="fa-IR"/>
        </w:rPr>
        <w:t>.</w:t>
      </w:r>
    </w:p>
    <w:p>
      <w:pPr>
        <w:pStyle w:val="Heading3"/>
        <w:numPr>
          <w:ilvl w:val="2"/>
          <w:numId w:val="1"/>
        </w:numPr>
        <w:rPr/>
      </w:pPr>
      <w:bookmarkStart w:id="4403" w:name="__RefHeading___Toc2568984_3650668749"/>
      <w:bookmarkStart w:id="4404" w:name="_Toc2001"/>
      <w:bookmarkEnd w:id="4403"/>
      <w:r>
        <w:rPr>
          <w:rtl w:val="true"/>
        </w:rPr>
        <w:t>[ (</w:t>
      </w:r>
      <w:r>
        <w:rPr>
          <w:rtl w:val="true"/>
        </w:rPr>
        <w:t xml:space="preserve">مسألة </w:t>
      </w:r>
      <w:r>
        <w:rPr/>
        <w:t>6</w:t>
      </w:r>
      <w:r>
        <w:rPr>
          <w:rtl w:val="true"/>
        </w:rPr>
        <w:t xml:space="preserve">): </w:t>
      </w:r>
      <w:r>
        <w:rPr>
          <w:rtl w:val="true"/>
        </w:rPr>
        <w:t>کلّ مورد بطلت الجعالة للجهالة استحقّ العامل اجرة المثل</w:t>
      </w:r>
      <w:r>
        <w:rPr>
          <w:rtl w:val="true"/>
        </w:rPr>
        <w:t>]</w:t>
      </w:r>
      <w:bookmarkEnd w:id="440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مورد بطلت الجعالة للجهالة استحقّ العامل اجرة المثل، و الظاهر أنّه من</w:t>
      </w:r>
      <w:bookmarkStart w:id="4405" w:name="pg1809_19434"/>
    </w:p>
    <w:p>
      <w:pPr>
        <w:pStyle w:val="BookText"/>
        <w:rPr/>
      </w:pPr>
      <w:bookmarkEnd w:id="4405"/>
      <w:r>
        <w:rPr>
          <w:rFonts w:ascii="IRNazanin" w:hAnsi="IRNazanin" w:eastAsia="IRNazanin"/>
          <w:color w:val="111111"/>
          <w:sz w:val="28"/>
          <w:sz w:val="28"/>
          <w:szCs w:val="28"/>
          <w:rtl w:val="true"/>
          <w:lang w:bidi="fa-IR"/>
        </w:rPr>
        <w:t>هذا القبیل ما هو المتعارف من جعل الحلاوة المطلقة لمن دلّه علیٰ ولد ضائع أو دابّة ضالّة</w:t>
      </w:r>
      <w:r>
        <w:rPr>
          <w:rFonts w:eastAsia="IRNazanin" w:cs="IRNazanin"/>
          <w:color w:val="111111"/>
          <w:sz w:val="28"/>
          <w:szCs w:val="28"/>
          <w:rtl w:val="true"/>
          <w:lang w:bidi="fa-IR"/>
        </w:rPr>
        <w:t>.</w:t>
      </w:r>
    </w:p>
    <w:p>
      <w:pPr>
        <w:pStyle w:val="Heading3"/>
        <w:numPr>
          <w:ilvl w:val="2"/>
          <w:numId w:val="1"/>
        </w:numPr>
        <w:rPr/>
      </w:pPr>
      <w:bookmarkStart w:id="4406" w:name="__RefHeading___Toc2568986_3650668749"/>
      <w:bookmarkStart w:id="4407" w:name="_Toc2002"/>
      <w:bookmarkEnd w:id="4406"/>
      <w:r>
        <w:rPr>
          <w:rtl w:val="true"/>
        </w:rPr>
        <w:t>[ (</w:t>
      </w:r>
      <w:r>
        <w:rPr>
          <w:rtl w:val="true"/>
        </w:rPr>
        <w:t xml:space="preserve">مسألة </w:t>
      </w:r>
      <w:r>
        <w:rPr/>
        <w:t>7</w:t>
      </w:r>
      <w:r>
        <w:rPr>
          <w:rtl w:val="true"/>
        </w:rPr>
        <w:t xml:space="preserve">): </w:t>
      </w:r>
      <w:r>
        <w:rPr>
          <w:rtl w:val="true"/>
        </w:rPr>
        <w:t>لا یعتبر أن یکون الجعل ممّن له العمل</w:t>
      </w:r>
      <w:r>
        <w:rPr>
          <w:rtl w:val="true"/>
        </w:rPr>
        <w:t>]</w:t>
      </w:r>
      <w:bookmarkEnd w:id="4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أن یکون الجعل ممّن له العمل، فیجوز أن یجعل جعلًا من ماله لمن خاط ثوب زید أو ردّ دابّته</w:t>
      </w:r>
      <w:r>
        <w:rPr>
          <w:rFonts w:eastAsia="IRNazanin" w:cs="IRNazanin"/>
          <w:color w:val="111111"/>
          <w:sz w:val="28"/>
          <w:szCs w:val="28"/>
          <w:rtl w:val="true"/>
          <w:lang w:bidi="fa-IR"/>
        </w:rPr>
        <w:t>.</w:t>
      </w:r>
    </w:p>
    <w:p>
      <w:pPr>
        <w:pStyle w:val="Heading3"/>
        <w:numPr>
          <w:ilvl w:val="2"/>
          <w:numId w:val="1"/>
        </w:numPr>
        <w:rPr/>
      </w:pPr>
      <w:bookmarkStart w:id="4408" w:name="__RefHeading___Toc2568988_3650668749"/>
      <w:bookmarkStart w:id="4409" w:name="_Toc2003"/>
      <w:bookmarkEnd w:id="4408"/>
      <w:r>
        <w:rPr>
          <w:rtl w:val="true"/>
        </w:rPr>
        <w:t>[ (</w:t>
      </w:r>
      <w:r>
        <w:rPr>
          <w:rtl w:val="true"/>
        </w:rPr>
        <w:t xml:space="preserve">مسألة </w:t>
      </w:r>
      <w:r>
        <w:rPr/>
        <w:t>8</w:t>
      </w:r>
      <w:r>
        <w:rPr>
          <w:rtl w:val="true"/>
        </w:rPr>
        <w:t xml:space="preserve">): </w:t>
      </w:r>
      <w:r>
        <w:rPr>
          <w:rtl w:val="true"/>
        </w:rPr>
        <w:t>لو عیّن الجعالة لشخص و أتی بالعمل غیره لم یستحقّ الجعل ذلک الشخص لعدم العمل</w:t>
      </w:r>
      <w:r>
        <w:rPr>
          <w:rtl w:val="true"/>
        </w:rPr>
        <w:t>]</w:t>
      </w:r>
      <w:bookmarkEnd w:id="4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عیّن الجعالة لشخص و أتی بالعمل غیره لم یستحقّ الجعل ذلک الشخص لعدم العمل، و لا ذلک الغیر؛ لأنّه ما أُمر بإتیان العمل و لا جعل لعمله جعل فهو کالمتبرّع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جعل الجعالة علی العمل لا بقید المباشرة؛ بحیث لو حصّل ذلک الشخص العمل بالإجارة أو الاستنابة أو الجعالة شملته الجعالة، و کان عمل ذلک الغیر تبرّعاً عن المجعول له و مساعدة له، استحقّ المجعول له بسبب عمل ذلک العامل الجعل المقرّر</w:t>
      </w:r>
      <w:r>
        <w:rPr>
          <w:rFonts w:eastAsia="IRNazanin" w:cs="IRNazanin"/>
          <w:color w:val="111111"/>
          <w:sz w:val="28"/>
          <w:szCs w:val="28"/>
          <w:rtl w:val="true"/>
          <w:lang w:bidi="fa-IR"/>
        </w:rPr>
        <w:t>.</w:t>
      </w:r>
    </w:p>
    <w:p>
      <w:pPr>
        <w:pStyle w:val="Heading3"/>
        <w:numPr>
          <w:ilvl w:val="2"/>
          <w:numId w:val="1"/>
        </w:numPr>
        <w:rPr/>
      </w:pPr>
      <w:bookmarkStart w:id="4410" w:name="__RefHeading___Toc2568990_3650668749"/>
      <w:bookmarkStart w:id="4411" w:name="_Toc2004"/>
      <w:bookmarkEnd w:id="4410"/>
      <w:r>
        <w:rPr>
          <w:rtl w:val="true"/>
        </w:rPr>
        <w:t>[ (</w:t>
      </w:r>
      <w:r>
        <w:rPr>
          <w:rtl w:val="true"/>
        </w:rPr>
        <w:t xml:space="preserve">مسألة </w:t>
      </w:r>
      <w:r>
        <w:rPr/>
        <w:t>9</w:t>
      </w:r>
      <w:r>
        <w:rPr>
          <w:rtl w:val="true"/>
        </w:rPr>
        <w:t xml:space="preserve">): </w:t>
      </w:r>
      <w:r>
        <w:rPr>
          <w:rtl w:val="true"/>
        </w:rPr>
        <w:t>إذا جعل الجعل علیٰ عمل، و قد عمله شخص قبل إیقاع الجعالة أو بقصد التبرّع و عدم أخذ العوض</w:t>
      </w:r>
      <w:r>
        <w:rPr>
          <w:rtl w:val="true"/>
        </w:rPr>
        <w:t>]</w:t>
      </w:r>
      <w:bookmarkEnd w:id="4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 الجعل علیٰ عمل، و قد عمله شخص قبل إیقاع الجعالة أو بقصد التبرّع و عدم أخذ العوض، یقع عمله ضائعاً و بلا جعل و أُجرة</w:t>
      </w:r>
      <w:r>
        <w:rPr>
          <w:rFonts w:eastAsia="IRNazanin" w:cs="IRNazanin"/>
          <w:color w:val="111111"/>
          <w:sz w:val="28"/>
          <w:szCs w:val="28"/>
          <w:rtl w:val="true"/>
          <w:lang w:bidi="fa-IR"/>
        </w:rPr>
        <w:t>.</w:t>
      </w:r>
    </w:p>
    <w:p>
      <w:pPr>
        <w:pStyle w:val="Heading3"/>
        <w:numPr>
          <w:ilvl w:val="2"/>
          <w:numId w:val="1"/>
        </w:numPr>
        <w:rPr/>
      </w:pPr>
      <w:bookmarkStart w:id="4412" w:name="__RefHeading___Toc2568992_3650668749"/>
      <w:bookmarkStart w:id="4413" w:name="_Toc2005"/>
      <w:bookmarkEnd w:id="4412"/>
      <w:r>
        <w:rPr>
          <w:rtl w:val="true"/>
        </w:rPr>
        <w:t>[ (</w:t>
      </w:r>
      <w:r>
        <w:rPr>
          <w:rtl w:val="true"/>
        </w:rPr>
        <w:t xml:space="preserve">مسألة </w:t>
      </w:r>
      <w:r>
        <w:rPr/>
        <w:t>10</w:t>
      </w:r>
      <w:r>
        <w:rPr>
          <w:rtl w:val="true"/>
        </w:rPr>
        <w:t xml:space="preserve">): </w:t>
      </w:r>
      <w:r>
        <w:rPr>
          <w:rtl w:val="true"/>
        </w:rPr>
        <w:t>إنّما یستحقّ العامل الجعل المقرّر لو کان عمله لأجل ذلک</w:t>
      </w:r>
      <w:r>
        <w:rPr>
          <w:rtl w:val="true"/>
        </w:rPr>
        <w:t>]</w:t>
      </w:r>
      <w:bookmarkEnd w:id="4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یستحقّ العامل الجعل المقرّر لو کان عمله لأجل </w:t>
      </w:r>
      <w:r>
        <w:rPr>
          <w:rStyle w:val="FootnoteAnchor"/>
          <w:rtl w:val="true"/>
        </w:rPr>
        <w:footnoteReference w:id="1239"/>
      </w:r>
      <w:r>
        <w:rPr>
          <w:rFonts w:ascii="IRNazanin" w:hAnsi="IRNazanin" w:eastAsia="IRNazanin"/>
          <w:color w:val="111111"/>
          <w:sz w:val="28"/>
          <w:sz w:val="28"/>
          <w:szCs w:val="28"/>
          <w:rtl w:val="true"/>
          <w:lang w:bidi="fa-IR"/>
        </w:rPr>
        <w:t>ذلک، فیعتبر اطّلاعه علی التزام العامل به، فلو عمل لا لأجل ذلک بل تبرّعاً لم یستحقّ شیئاً، و کذا لو تبیّن کذب المخبر کما إذا أخبر مخبر بأنّ فلاناً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دابّتی فله کذا فردّها أحد اعتماداً علیٰ إخباره مع أنّه لم یقله، لم یستحقّ شیئاً، لا علیٰ صاحب الدابّة و لا علی المخبر الکاذب، نعم لو کان قوله أوجب الاطمئنان لا یبعد ضمانه اجرة مثل عمله للغرور</w:t>
      </w:r>
      <w:r>
        <w:rPr>
          <w:rFonts w:eastAsia="IRNazanin" w:cs="IRNazanin"/>
          <w:color w:val="111111"/>
          <w:sz w:val="28"/>
          <w:szCs w:val="28"/>
          <w:rtl w:val="true"/>
          <w:lang w:bidi="fa-IR"/>
        </w:rPr>
        <w:t>.</w:t>
      </w:r>
    </w:p>
    <w:p>
      <w:pPr>
        <w:pStyle w:val="Heading3"/>
        <w:numPr>
          <w:ilvl w:val="2"/>
          <w:numId w:val="1"/>
        </w:numPr>
        <w:rPr/>
      </w:pPr>
      <w:bookmarkStart w:id="4414" w:name="__RefHeading___Toc2568994_3650668749"/>
      <w:bookmarkStart w:id="4415" w:name="_Toc2006"/>
      <w:bookmarkEnd w:id="4414"/>
      <w:r>
        <w:rPr>
          <w:rtl w:val="true"/>
        </w:rPr>
        <w:t>[ (</w:t>
      </w:r>
      <w:r>
        <w:rPr>
          <w:rtl w:val="true"/>
        </w:rPr>
        <w:t xml:space="preserve">مسألة </w:t>
      </w:r>
      <w:r>
        <w:rPr/>
        <w:t>11</w:t>
      </w:r>
      <w:r>
        <w:rPr>
          <w:rtl w:val="true"/>
        </w:rPr>
        <w:t xml:space="preserve">): </w:t>
      </w:r>
      <w:r>
        <w:rPr>
          <w:rtl w:val="true"/>
        </w:rPr>
        <w:t>لو قال</w:t>
      </w:r>
      <w:r>
        <w:rPr>
          <w:rtl w:val="true"/>
        </w:rPr>
        <w:t xml:space="preserve">: </w:t>
      </w:r>
      <w:r>
        <w:rPr>
          <w:rtl w:val="true"/>
        </w:rPr>
        <w:t>من دلّنی علیٰ مالی فله کذا</w:t>
      </w:r>
      <w:r>
        <w:rPr>
          <w:rtl w:val="true"/>
        </w:rPr>
        <w:t>]</w:t>
      </w:r>
      <w:bookmarkEnd w:id="4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دلّنی علیٰ مالی فله کذا، فدلّه من کان ماله فی یده لم یستحقّ شیئاً؛ لأنّه واجب علیه شرعاً، و أمّا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مالی فله کذا، فإن کان المال ممّا فی ردّه کلفة و مئونة کالعبد الآبق و الدابّة الشاردة استحقّ </w:t>
      </w:r>
      <w:r>
        <w:rPr>
          <w:rStyle w:val="FootnoteAnchor"/>
          <w:rtl w:val="true"/>
        </w:rPr>
        <w:footnoteReference w:id="1240"/>
      </w:r>
      <w:r>
        <w:rPr>
          <w:rFonts w:ascii="IRNazanin" w:hAnsi="IRNazanin" w:eastAsia="IRNazanin"/>
          <w:color w:val="111111"/>
          <w:sz w:val="28"/>
          <w:sz w:val="28"/>
          <w:szCs w:val="28"/>
          <w:rtl w:val="true"/>
          <w:lang w:bidi="fa-IR"/>
        </w:rPr>
        <w:t>الجعل المقرّر، و إن لم یکن کذلک کالدراهم و الدنانیر لم یستحقّ شیئاً</w:t>
      </w:r>
      <w:r>
        <w:rPr>
          <w:rFonts w:eastAsia="IRNazanin" w:cs="IRNazanin"/>
          <w:color w:val="111111"/>
          <w:sz w:val="28"/>
          <w:szCs w:val="28"/>
          <w:rtl w:val="true"/>
          <w:lang w:bidi="fa-IR"/>
        </w:rPr>
        <w:t>.</w:t>
      </w:r>
    </w:p>
    <w:p>
      <w:pPr>
        <w:pStyle w:val="Heading3"/>
        <w:numPr>
          <w:ilvl w:val="2"/>
          <w:numId w:val="1"/>
        </w:numPr>
        <w:rPr/>
      </w:pPr>
      <w:bookmarkStart w:id="4416" w:name="__RefHeading___Toc2568996_3650668749"/>
      <w:bookmarkStart w:id="4417" w:name="_Toc2007"/>
      <w:bookmarkEnd w:id="4416"/>
      <w:r>
        <w:rPr>
          <w:rtl w:val="true"/>
        </w:rPr>
        <w:t>[ (</w:t>
      </w:r>
      <w:r>
        <w:rPr>
          <w:rtl w:val="true"/>
        </w:rPr>
        <w:t xml:space="preserve">مسألة </w:t>
      </w:r>
      <w:r>
        <w:rPr/>
        <w:t>12</w:t>
      </w:r>
      <w:r>
        <w:rPr>
          <w:rtl w:val="true"/>
        </w:rPr>
        <w:t xml:space="preserve">): </w:t>
      </w:r>
      <w:r>
        <w:rPr>
          <w:rtl w:val="true"/>
        </w:rPr>
        <w:t>إنّما یستحقّ العامل الجعل بتسلیم العمل</w:t>
      </w:r>
      <w:r>
        <w:rPr>
          <w:rtl w:val="true"/>
        </w:rPr>
        <w:t>]</w:t>
      </w:r>
      <w:bookmarkEnd w:id="441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یستحقّ العامل الجعل بتسلیم العمل، فلو جعل علیٰ ردّ الدابّة إلیٰ مالکها فجاء بها فی البلد فشردت، لم یستحقّ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الجعل علیٰ مجرّد</w:t>
      </w:r>
      <w:bookmarkStart w:id="4418" w:name="pg1809_19436"/>
    </w:p>
    <w:p>
      <w:pPr>
        <w:pStyle w:val="BookText"/>
        <w:rPr/>
      </w:pPr>
      <w:bookmarkEnd w:id="4418"/>
      <w:r>
        <w:rPr>
          <w:rFonts w:ascii="IRNazanin" w:hAnsi="IRNazanin" w:eastAsia="IRNazanin"/>
          <w:color w:val="111111"/>
          <w:sz w:val="28"/>
          <w:sz w:val="28"/>
          <w:szCs w:val="28"/>
          <w:rtl w:val="true"/>
          <w:lang w:bidi="fa-IR"/>
        </w:rPr>
        <w:t>إیصالها إلی البلد استحقّه، کما أنّه لو کان الجعل علیٰ مجرّد الدلالة علیها و إعلام محلّها استحقّ بذلک الجعل و إن لم یکن منه إیصال أصلًا</w:t>
      </w:r>
      <w:r>
        <w:rPr>
          <w:rFonts w:eastAsia="IRNazanin" w:cs="IRNazanin"/>
          <w:color w:val="111111"/>
          <w:sz w:val="28"/>
          <w:szCs w:val="28"/>
          <w:rtl w:val="true"/>
          <w:lang w:bidi="fa-IR"/>
        </w:rPr>
        <w:t>.</w:t>
      </w:r>
    </w:p>
    <w:p>
      <w:pPr>
        <w:pStyle w:val="Heading3"/>
        <w:numPr>
          <w:ilvl w:val="2"/>
          <w:numId w:val="1"/>
        </w:numPr>
        <w:rPr/>
      </w:pPr>
      <w:bookmarkStart w:id="4419" w:name="__RefHeading___Toc2568998_3650668749"/>
      <w:bookmarkStart w:id="4420" w:name="_Toc2008"/>
      <w:bookmarkEnd w:id="4419"/>
      <w:r>
        <w:rPr>
          <w:rtl w:val="true"/>
        </w:rPr>
        <w:t>[ (</w:t>
      </w:r>
      <w:r>
        <w:rPr>
          <w:rtl w:val="true"/>
        </w:rPr>
        <w:t xml:space="preserve">مسألة </w:t>
      </w:r>
      <w:r>
        <w:rPr/>
        <w:t>13</w:t>
      </w:r>
      <w:r>
        <w:rPr>
          <w:rtl w:val="true"/>
        </w:rPr>
        <w:t xml:space="preserve">): </w:t>
      </w:r>
      <w:r>
        <w:rPr>
          <w:rtl w:val="true"/>
        </w:rPr>
        <w:t>لو قال</w:t>
      </w:r>
      <w:r>
        <w:rPr>
          <w:rtl w:val="true"/>
        </w:rPr>
        <w:t xml:space="preserve">: </w:t>
      </w:r>
      <w:r>
        <w:rPr>
          <w:rtl w:val="true"/>
        </w:rPr>
        <w:t>من ردّ دابّتی مثلًا فله کذا، فردّها جماعة، اشترکوا فی الجعل المقرّر بالسویة</w:t>
      </w:r>
      <w:r>
        <w:rPr>
          <w:rtl w:val="true"/>
        </w:rPr>
        <w:t>]</w:t>
      </w:r>
      <w:bookmarkEnd w:id="4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دابّتی مثلًا فله کذا، فردّها جماعة، اشترکوا فی الجعل المقرّر بالسویة إن تساووا فی العمل، و إلّا فیوزّع علیهم بالنسبة</w:t>
      </w:r>
      <w:r>
        <w:rPr>
          <w:rFonts w:eastAsia="IRNazanin" w:cs="IRNazanin"/>
          <w:color w:val="111111"/>
          <w:sz w:val="28"/>
          <w:szCs w:val="28"/>
          <w:rtl w:val="true"/>
          <w:lang w:bidi="fa-IR"/>
        </w:rPr>
        <w:t>.</w:t>
      </w:r>
    </w:p>
    <w:p>
      <w:pPr>
        <w:pStyle w:val="Heading3"/>
        <w:numPr>
          <w:ilvl w:val="2"/>
          <w:numId w:val="1"/>
        </w:numPr>
        <w:rPr/>
      </w:pPr>
      <w:bookmarkStart w:id="4421" w:name="__RefHeading___Toc2569000_3650668749"/>
      <w:bookmarkStart w:id="4422" w:name="_Toc2009"/>
      <w:bookmarkEnd w:id="4421"/>
      <w:r>
        <w:rPr>
          <w:rtl w:val="true"/>
        </w:rPr>
        <w:t>[ (</w:t>
      </w:r>
      <w:r>
        <w:rPr>
          <w:rtl w:val="true"/>
        </w:rPr>
        <w:t xml:space="preserve">مسألة </w:t>
      </w:r>
      <w:r>
        <w:rPr/>
        <w:t>14</w:t>
      </w:r>
      <w:r>
        <w:rPr>
          <w:rtl w:val="true"/>
        </w:rPr>
        <w:t xml:space="preserve">): </w:t>
      </w:r>
      <w:r>
        <w:rPr>
          <w:rtl w:val="true"/>
        </w:rPr>
        <w:t>لو جعل جعلًا لشخص علیٰ عمل کبناء حائط أو خیاطة ثوب فشارکه غیره فی ذلک العمل</w:t>
      </w:r>
      <w:r>
        <w:rPr>
          <w:rtl w:val="true"/>
        </w:rPr>
        <w:t>]</w:t>
      </w:r>
      <w:bookmarkEnd w:id="4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جعلًا لشخص علیٰ عمل کبناء حائط أو خیاطة ثوب فشارکه غیره فی ذلک العمل یسقط عن جعله المعیّن ما یکون بإزاء عمل ذلک الغیر، فإن لم یتفاوتا کان له نصف الجعل و إلّا فبالنسبة، و أمّا الآخر فلم یستحقّ شیئاً لکونه متبرّعاً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یشترط علی العامل المباشرة، بل أُرید منه العمل مطلقاً و لو بمباشرة غیره، و کان اشتراک الغیر معه بعنوان التبرّع عنه و مساعدته، استحقّ المجعول له تمام الجعل</w:t>
      </w:r>
      <w:r>
        <w:rPr>
          <w:rFonts w:eastAsia="IRNazanin" w:cs="IRNazanin"/>
          <w:color w:val="111111"/>
          <w:sz w:val="28"/>
          <w:szCs w:val="28"/>
          <w:rtl w:val="true"/>
          <w:lang w:bidi="fa-IR"/>
        </w:rPr>
        <w:t>.</w:t>
      </w:r>
    </w:p>
    <w:p>
      <w:pPr>
        <w:pStyle w:val="Heading3"/>
        <w:numPr>
          <w:ilvl w:val="2"/>
          <w:numId w:val="1"/>
        </w:numPr>
        <w:rPr/>
      </w:pPr>
      <w:bookmarkStart w:id="4423" w:name="__RefHeading___Toc2569002_3650668749"/>
      <w:bookmarkStart w:id="4424" w:name="_Toc2010"/>
      <w:bookmarkEnd w:id="4423"/>
      <w:r>
        <w:rPr>
          <w:rtl w:val="true"/>
        </w:rPr>
        <w:t>[ (</w:t>
      </w:r>
      <w:r>
        <w:rPr>
          <w:rtl w:val="true"/>
        </w:rPr>
        <w:t xml:space="preserve">مسألة </w:t>
      </w:r>
      <w:r>
        <w:rPr/>
        <w:t>15</w:t>
      </w:r>
      <w:r>
        <w:rPr>
          <w:rtl w:val="true"/>
        </w:rPr>
        <w:t xml:space="preserve">): </w:t>
      </w:r>
      <w:r>
        <w:rPr>
          <w:rtl w:val="true"/>
        </w:rPr>
        <w:t>الجعالة قبل تمامیّة العمل جائزة من الطرفین</w:t>
      </w:r>
      <w:r>
        <w:rPr>
          <w:rtl w:val="true"/>
        </w:rPr>
        <w:t>]</w:t>
      </w:r>
      <w:bookmarkEnd w:id="4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الجعالة قبل تمامیّة العمل جائزة من الطرفین و لو بعد تلبّس العامل بالعمل و شروعه فیه، فله رفع الید عن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للجاعل فسخ الجعالة و نقض التزامه علیٰ کلّ حال، فإن کان ذلک قبل التلبّس لم یستحقّ المجعول له شیئاً، و أمّا لو کان بعد التلبّس فإن کان الرجوع من العامل لم یستحقّ شیئاً، و إن کان من طرف الجاعل فعلیه للعامل اجرة مثل ما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الفرق فی الأوّل و هو ما کان الرجوع من العامل بین ما کان العمل مثل خیاطة </w:t>
      </w:r>
      <w:r>
        <w:rPr>
          <w:rStyle w:val="FootnoteAnchor"/>
          <w:rtl w:val="true"/>
        </w:rPr>
        <w:footnoteReference w:id="1241"/>
      </w:r>
      <w:r>
        <w:rPr>
          <w:rFonts w:ascii="IRNazanin" w:hAnsi="IRNazanin" w:eastAsia="IRNazanin"/>
          <w:color w:val="111111"/>
          <w:sz w:val="28"/>
          <w:sz w:val="28"/>
          <w:szCs w:val="28"/>
          <w:rtl w:val="true"/>
          <w:lang w:bidi="fa-IR"/>
        </w:rPr>
        <w:t>الثوب و بناء الحائط و نحوهما ممّا کان تلبّس العامل به بإیجاد بعض العمل، و بین ما کان مثل ردّ الضالّة و الآبق و نحوهما ممّا کان التلبّس به بإیجاد بعض مقدّماته الخارجة، فله من المسمّی بالنسبة إلیٰ ما عمل فی الأوّل بخلاف الثانی فإنّه لم یستحقّ شیئاً، و المسألة محلّ إشکال فلا ینبغی ترک الاحتیاط بالتراضی و التصالح علیٰ کلّ حال</w:t>
      </w:r>
      <w:r>
        <w:rPr>
          <w:rFonts w:eastAsia="IRNazanin" w:cs="IRNazanin"/>
          <w:color w:val="111111"/>
          <w:sz w:val="28"/>
          <w:szCs w:val="28"/>
          <w:rtl w:val="true"/>
          <w:lang w:bidi="fa-IR"/>
        </w:rPr>
        <w:t>.</w:t>
      </w:r>
    </w:p>
    <w:p>
      <w:pPr>
        <w:pStyle w:val="Heading3"/>
        <w:numPr>
          <w:ilvl w:val="2"/>
          <w:numId w:val="1"/>
        </w:numPr>
        <w:rPr/>
      </w:pPr>
      <w:bookmarkStart w:id="4425" w:name="__RefHeading___Toc2569004_3650668749"/>
      <w:bookmarkStart w:id="4426" w:name="_Toc2011"/>
      <w:bookmarkEnd w:id="4425"/>
      <w:r>
        <w:rPr>
          <w:rtl w:val="true"/>
        </w:rPr>
        <w:t>[ (</w:t>
      </w:r>
      <w:r>
        <w:rPr>
          <w:rtl w:val="true"/>
        </w:rPr>
        <w:t xml:space="preserve">مسألة </w:t>
      </w:r>
      <w:r>
        <w:rPr/>
        <w:t>16</w:t>
      </w:r>
      <w:r>
        <w:rPr>
          <w:rtl w:val="true"/>
        </w:rPr>
        <w:t xml:space="preserve">): </w:t>
      </w:r>
      <w:r>
        <w:rPr>
          <w:rtl w:val="true"/>
        </w:rPr>
        <w:t>ما ذکرنا من أنّ للعامل الرجوع عن عمله علیٰ کلّ حال</w:t>
      </w:r>
      <w:r>
        <w:rPr>
          <w:rtl w:val="true"/>
        </w:rPr>
        <w:t>]</w:t>
      </w:r>
      <w:bookmarkEnd w:id="442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أنّ للعامل الرجوع عن عمله علیٰ کلّ حال و لو بعد التلبّس و الاشتغال إنّما هو فی مورد لم یکن فی عدم إنهاء العمل ضرر علی الجاعل، و إلّا فیجب</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إمّا عدم الشروع فی العمل، و إمّا إتمامه بعد شروعه، مثلًا إذا وقعت الجعالة علیٰ قصّ عینه أو بعض العملیّات المتداولة بین الأطبّاء فی هذه الأزمنة حیث إنّ الصلاح و العلاج مترتّب علیٰ تکمیلها و فی عدمه فساد لا یجوز له رفع الید عن العمل بعد التلبّس به و الشروع فیه، و لو رفع الید عنه لم یستحقّ </w:t>
      </w:r>
      <w:r>
        <w:rPr>
          <w:rStyle w:val="FootnoteAnchor"/>
          <w:rtl w:val="true"/>
        </w:rPr>
        <w:footnoteReference w:id="1242"/>
      </w:r>
      <w:r>
        <w:rPr>
          <w:rFonts w:ascii="IRNazanin" w:hAnsi="IRNazanin" w:eastAsia="IRNazanin"/>
          <w:color w:val="111111"/>
          <w:sz w:val="28"/>
          <w:sz w:val="28"/>
          <w:szCs w:val="28"/>
          <w:rtl w:val="true"/>
          <w:lang w:bidi="fa-IR"/>
        </w:rPr>
        <w:t>فی مثله شیئاً بالنسبة إلیٰ ما عمل بلا إشکال</w:t>
      </w:r>
      <w:r>
        <w:rPr>
          <w:rFonts w:eastAsia="IRNazanin" w:cs="IRNazanin"/>
          <w:color w:val="111111"/>
          <w:sz w:val="28"/>
          <w:szCs w:val="28"/>
          <w:rtl w:val="true"/>
          <w:lang w:bidi="fa-IR"/>
        </w:rPr>
        <w:t>.</w:t>
      </w:r>
      <w:bookmarkStart w:id="4427" w:name="pg1809_19438"/>
    </w:p>
    <w:p>
      <w:pPr>
        <w:pStyle w:val="Heading2"/>
        <w:numPr>
          <w:ilvl w:val="1"/>
          <w:numId w:val="1"/>
        </w:numPr>
        <w:rPr/>
      </w:pPr>
      <w:bookmarkStart w:id="4428" w:name="__RefHeading___Toc2569006_3650668749"/>
      <w:bookmarkStart w:id="4429" w:name="_Toc2012"/>
      <w:bookmarkEnd w:id="4427"/>
      <w:bookmarkEnd w:id="4428"/>
      <w:r>
        <w:rPr>
          <w:rtl w:val="true"/>
        </w:rPr>
        <w:t>[</w:t>
      </w:r>
      <w:r>
        <w:rPr>
          <w:rtl w:val="true"/>
        </w:rPr>
        <w:t>کتاب العاریة</w:t>
      </w:r>
      <w:r>
        <w:rPr>
          <w:rtl w:val="true"/>
        </w:rPr>
        <w:t>]</w:t>
      </w:r>
      <w:bookmarkEnd w:id="4429"/>
    </w:p>
    <w:p>
      <w:pPr>
        <w:pStyle w:val="Heading3"/>
        <w:numPr>
          <w:ilvl w:val="2"/>
          <w:numId w:val="1"/>
        </w:numPr>
        <w:rPr/>
      </w:pPr>
      <w:bookmarkStart w:id="4430" w:name="__RefHeading___Toc2569008_3650668749"/>
      <w:bookmarkStart w:id="4431" w:name="_Toc2013"/>
      <w:bookmarkEnd w:id="4430"/>
      <w:r>
        <w:rPr>
          <w:rtl w:val="true"/>
        </w:rPr>
        <w:t>اشارة</w:t>
      </w:r>
      <w:bookmarkEnd w:id="4431"/>
    </w:p>
    <w:p>
      <w:pPr>
        <w:pStyle w:val="BookText"/>
        <w:rPr/>
      </w:pPr>
      <w:r>
        <w:rPr>
          <w:rFonts w:ascii="IRNazanin" w:hAnsi="IRNazanin" w:eastAsia="IRNazanin"/>
          <w:color w:val="111111"/>
          <w:sz w:val="28"/>
          <w:sz w:val="28"/>
          <w:szCs w:val="28"/>
          <w:rtl w:val="true"/>
          <w:lang w:bidi="fa-IR"/>
        </w:rPr>
        <w:t xml:space="preserve">کتاب العاریة و هی التسلیط </w:t>
      </w:r>
      <w:r>
        <w:rPr>
          <w:rStyle w:val="FootnoteAnchor"/>
          <w:rtl w:val="true"/>
        </w:rPr>
        <w:footnoteReference w:id="1243"/>
      </w:r>
      <w:r>
        <w:rPr>
          <w:rFonts w:ascii="IRNazanin" w:hAnsi="IRNazanin" w:eastAsia="IRNazanin"/>
          <w:color w:val="111111"/>
          <w:sz w:val="28"/>
          <w:sz w:val="28"/>
          <w:szCs w:val="28"/>
          <w:rtl w:val="true"/>
          <w:lang w:bidi="fa-IR"/>
        </w:rPr>
        <w:t>علی العین للانتفاع بها علیٰ جهة التبرّع و هی من العقود تحتاج إلیٰ إیجاب و قبول، فالإیجاب کلّ لفظ له ظهور عرفی فی إرادة هذا المعنیٰ،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 لک فی الانتفاع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لتنتفع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و القبول کلّما أفاد الرضا بذلک، و یجوز أن یکون بالفعل؛ بأن یأخذ العین المعارة بعد إیجاب المعیر بهذا العنوان، بل الظاهر أنّه لا یحتاج فی وقوعها و صحّتها إلیٰ لفظ أصلًا فتقع بالمعاطاة کما إذا دفع إلیه قمیصاً لیلبسه فأخذه للبس أو دفع إلیه إناء أو بساطاً لیستعمله فأخذه و استعمله</w:t>
      </w:r>
      <w:r>
        <w:rPr>
          <w:rFonts w:eastAsia="IRNazanin" w:cs="IRNazanin"/>
          <w:color w:val="111111"/>
          <w:sz w:val="28"/>
          <w:szCs w:val="28"/>
          <w:rtl w:val="true"/>
          <w:lang w:bidi="fa-IR"/>
        </w:rPr>
        <w:t>.</w:t>
      </w:r>
    </w:p>
    <w:p>
      <w:pPr>
        <w:pStyle w:val="Heading3"/>
        <w:numPr>
          <w:ilvl w:val="2"/>
          <w:numId w:val="1"/>
        </w:numPr>
        <w:rPr/>
      </w:pPr>
      <w:bookmarkStart w:id="4432" w:name="__RefHeading___Toc2569010_3650668749"/>
      <w:bookmarkStart w:id="4433" w:name="_Toc2014"/>
      <w:bookmarkEnd w:id="4432"/>
      <w:r>
        <w:rPr>
          <w:rtl w:val="true"/>
        </w:rPr>
        <w:t>[ (</w:t>
      </w:r>
      <w:r>
        <w:rPr>
          <w:rtl w:val="true"/>
        </w:rPr>
        <w:t xml:space="preserve">مسألة </w:t>
      </w:r>
      <w:r>
        <w:rPr/>
        <w:t>1</w:t>
      </w:r>
      <w:r>
        <w:rPr>
          <w:rtl w:val="true"/>
        </w:rPr>
        <w:t xml:space="preserve">): </w:t>
      </w:r>
      <w:r>
        <w:rPr>
          <w:rtl w:val="true"/>
        </w:rPr>
        <w:t>یعتبر فی المعیر أن یکون مالکاً للمنفعة</w:t>
      </w:r>
      <w:r>
        <w:rPr>
          <w:rtl w:val="true"/>
        </w:rPr>
        <w:t>]</w:t>
      </w:r>
      <w:bookmarkEnd w:id="4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المعیر أن یکون مالکاً للمنفعة، و له أهلیّة التصرّف، فلا تصحّ إعارة الغاصب عیناً أو منفعة، و فی جریان الفضولیّة فیها حتّی تصحّ بإجازة المالک کالبیع و الإجارة وجه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تصحّ إعارة الصبیّ و المجنون و المحجور علیه لسفه أو فلس إلّا مع إذن الولیّ أو الغرماء، و فی صحّة إعارة الصبیّ بإذن الولیّ احتمال لا یخلو من قوّة</w:t>
      </w:r>
      <w:r>
        <w:rPr>
          <w:rFonts w:eastAsia="IRNazanin" w:cs="IRNazanin"/>
          <w:color w:val="111111"/>
          <w:sz w:val="28"/>
          <w:szCs w:val="28"/>
          <w:rtl w:val="true"/>
          <w:lang w:bidi="fa-IR"/>
        </w:rPr>
        <w:t>.</w:t>
      </w:r>
    </w:p>
    <w:p>
      <w:pPr>
        <w:pStyle w:val="Heading3"/>
        <w:numPr>
          <w:ilvl w:val="2"/>
          <w:numId w:val="1"/>
        </w:numPr>
        <w:rPr/>
      </w:pPr>
      <w:bookmarkStart w:id="4434" w:name="__RefHeading___Toc2569012_3650668749"/>
      <w:bookmarkStart w:id="4435" w:name="_Toc2015"/>
      <w:bookmarkEnd w:id="4434"/>
      <w:r>
        <w:rPr>
          <w:rtl w:val="true"/>
        </w:rPr>
        <w:t>[ (</w:t>
      </w:r>
      <w:r>
        <w:rPr>
          <w:rtl w:val="true"/>
        </w:rPr>
        <w:t xml:space="preserve">مسألة </w:t>
      </w:r>
      <w:r>
        <w:rPr/>
        <w:t>2</w:t>
      </w:r>
      <w:r>
        <w:rPr>
          <w:rtl w:val="true"/>
        </w:rPr>
        <w:t xml:space="preserve">): </w:t>
      </w:r>
      <w:r>
        <w:rPr>
          <w:rtl w:val="true"/>
        </w:rPr>
        <w:t>لا یشترط فی المعیر ملکیّة العین</w:t>
      </w:r>
      <w:r>
        <w:rPr>
          <w:rtl w:val="true"/>
        </w:rPr>
        <w:t>]</w:t>
      </w:r>
      <w:bookmarkEnd w:id="4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المعیر ملکیّة العین، بل یکفی ملکیّة المنفعة بالإجارة أو بکونها موصی بها له بالوصیّة، نعم إذا اشترط استیفاء المنفعة فی الإجارة بنفسه لیس له الإعارة</w:t>
      </w:r>
      <w:r>
        <w:rPr>
          <w:rFonts w:eastAsia="IRNazanin" w:cs="IRNazanin"/>
          <w:color w:val="111111"/>
          <w:sz w:val="28"/>
          <w:szCs w:val="28"/>
          <w:rtl w:val="true"/>
          <w:lang w:bidi="fa-IR"/>
        </w:rPr>
        <w:t>.</w:t>
      </w:r>
    </w:p>
    <w:p>
      <w:pPr>
        <w:pStyle w:val="Heading3"/>
        <w:numPr>
          <w:ilvl w:val="2"/>
          <w:numId w:val="1"/>
        </w:numPr>
        <w:rPr/>
      </w:pPr>
      <w:bookmarkStart w:id="4436" w:name="__RefHeading___Toc2569014_3650668749"/>
      <w:bookmarkStart w:id="4437" w:name="_Toc2016"/>
      <w:bookmarkEnd w:id="4436"/>
      <w:r>
        <w:rPr>
          <w:rtl w:val="true"/>
        </w:rPr>
        <w:t>[ (</w:t>
      </w:r>
      <w:r>
        <w:rPr>
          <w:rtl w:val="true"/>
        </w:rPr>
        <w:t xml:space="preserve">مسألة </w:t>
      </w:r>
      <w:r>
        <w:rPr/>
        <w:t>3</w:t>
      </w:r>
      <w:r>
        <w:rPr>
          <w:rtl w:val="true"/>
        </w:rPr>
        <w:t xml:space="preserve">): </w:t>
      </w:r>
      <w:r>
        <w:rPr>
          <w:rtl w:val="true"/>
        </w:rPr>
        <w:t>یعتبر فی المستعیر أن یکون أهلًا للانتفاع بالعین</w:t>
      </w:r>
      <w:r>
        <w:rPr>
          <w:rtl w:val="true"/>
        </w:rPr>
        <w:t>]</w:t>
      </w:r>
      <w:bookmarkEnd w:id="4437"/>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المستعیر أن یکون أهلًا للانتفاع بالعین، فلا تصحّ استعارة المصحف للکافر و استعارة الصید للمحرم لا من المحلّ و لا من المحرم، و کذا یعتبر فیه التعیین فلو أعار شیئاً؛ أحد هذین أو أحد هؤلاء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أن یکون واحداً، فیصحّ إعارة شی‌ء واحد لجماعة،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أعرت هذا الکتاب أو الإناء لهؤلاء العشرة،</w:t>
      </w:r>
      <w:bookmarkStart w:id="4438" w:name="pg1809_19439"/>
    </w:p>
    <w:p>
      <w:pPr>
        <w:pStyle w:val="BookText"/>
        <w:rPr/>
      </w:pPr>
      <w:bookmarkEnd w:id="4438"/>
      <w:r>
        <w:rPr>
          <w:rFonts w:ascii="IRNazanin" w:hAnsi="IRNazanin" w:eastAsia="IRNazanin"/>
          <w:color w:val="111111"/>
          <w:sz w:val="28"/>
          <w:sz w:val="28"/>
          <w:szCs w:val="28"/>
          <w:rtl w:val="true"/>
          <w:lang w:bidi="fa-IR"/>
        </w:rPr>
        <w:t>فیستوفون المنفعة بینهم بالتناوب أو القرعة کالعین المستأجرة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جواز کونه عدداً غیر محصور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أعرت هذا الشی‌ء لکلّ الناس، تأمّل </w:t>
      </w:r>
      <w:r>
        <w:rPr>
          <w:rStyle w:val="FootnoteAnchor"/>
          <w:rtl w:val="true"/>
        </w:rPr>
        <w:footnoteReference w:id="1244"/>
      </w:r>
      <w:r>
        <w:rPr>
          <w:rFonts w:ascii="IRNazanin" w:hAnsi="IRNazanin" w:eastAsia="IRNazanin"/>
          <w:color w:val="111111"/>
          <w:sz w:val="28"/>
          <w:sz w:val="28"/>
          <w:szCs w:val="28"/>
          <w:rtl w:val="true"/>
          <w:lang w:bidi="fa-IR"/>
        </w:rPr>
        <w:t>و إشکال</w:t>
      </w:r>
      <w:r>
        <w:rPr>
          <w:rFonts w:eastAsia="IRNazanin" w:cs="IRNazanin"/>
          <w:color w:val="111111"/>
          <w:sz w:val="28"/>
          <w:szCs w:val="28"/>
          <w:rtl w:val="true"/>
          <w:lang w:bidi="fa-IR"/>
        </w:rPr>
        <w:t>.</w:t>
      </w:r>
    </w:p>
    <w:p>
      <w:pPr>
        <w:pStyle w:val="Heading3"/>
        <w:numPr>
          <w:ilvl w:val="2"/>
          <w:numId w:val="1"/>
        </w:numPr>
        <w:rPr/>
      </w:pPr>
      <w:bookmarkStart w:id="4439" w:name="__RefHeading___Toc2569016_3650668749"/>
      <w:bookmarkStart w:id="4440" w:name="_Toc2017"/>
      <w:bookmarkEnd w:id="4439"/>
      <w:r>
        <w:rPr>
          <w:rtl w:val="true"/>
        </w:rPr>
        <w:t>[ (</w:t>
      </w:r>
      <w:r>
        <w:rPr>
          <w:rtl w:val="true"/>
        </w:rPr>
        <w:t xml:space="preserve">مسألة </w:t>
      </w:r>
      <w:r>
        <w:rPr/>
        <w:t>4</w:t>
      </w:r>
      <w:r>
        <w:rPr>
          <w:rtl w:val="true"/>
        </w:rPr>
        <w:t xml:space="preserve">): </w:t>
      </w:r>
      <w:r>
        <w:rPr>
          <w:rtl w:val="true"/>
        </w:rPr>
        <w:t>یعتبر فی العین المستعارة کونها ممّا یمکن الانتفاع بها منفعة محلّلة مع بقاء عینها</w:t>
      </w:r>
      <w:r>
        <w:rPr>
          <w:rtl w:val="true"/>
        </w:rPr>
        <w:t>]</w:t>
      </w:r>
      <w:bookmarkEnd w:id="4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العین المستعارة کونها ممّا یمکن الانتفاع بها منفعة محلّلة مع بقاء عینها کالعقارات و الدوابّ و الثیاب و الکتب و الأمتعة و الصفر و الحلیّ بل و فحل الضراب و الهرّة و الکلب للصید و الحراسة و أشباه ذلک، فلا یجوز إعارة ما لا منفعة له محلّلة کآلات اللهو، و کذا آنیة الذهب و الفضّة بناءً علیٰ عموم حرمة الانتفاع بها، و أمّا بناءً علی اختصاص الحرمة باستعمالها فی الأکل و الشرب فلا تجوز إعارتها لخصوص هذه المنفعة، و کذا ما لا ینتفع به إلّا بإتلافه کالخبز و الدهن و الأشربة و أشباهها</w:t>
      </w:r>
      <w:r>
        <w:rPr>
          <w:rFonts w:eastAsia="IRNazanin" w:cs="IRNazanin"/>
          <w:color w:val="111111"/>
          <w:sz w:val="28"/>
          <w:szCs w:val="28"/>
          <w:rtl w:val="true"/>
          <w:lang w:bidi="fa-IR"/>
        </w:rPr>
        <w:t>.</w:t>
      </w:r>
    </w:p>
    <w:p>
      <w:pPr>
        <w:pStyle w:val="Heading3"/>
        <w:numPr>
          <w:ilvl w:val="2"/>
          <w:numId w:val="1"/>
        </w:numPr>
        <w:rPr/>
      </w:pPr>
      <w:bookmarkStart w:id="4441" w:name="__RefHeading___Toc2569018_3650668749"/>
      <w:bookmarkStart w:id="4442" w:name="_Toc2018"/>
      <w:bookmarkEnd w:id="4441"/>
      <w:r>
        <w:rPr>
          <w:rtl w:val="true"/>
        </w:rPr>
        <w:t>[ (</w:t>
      </w:r>
      <w:r>
        <w:rPr>
          <w:rtl w:val="true"/>
        </w:rPr>
        <w:t xml:space="preserve">مسألة </w:t>
      </w:r>
      <w:r>
        <w:rPr/>
        <w:t>5</w:t>
      </w:r>
      <w:r>
        <w:rPr>
          <w:rtl w:val="true"/>
        </w:rPr>
        <w:t xml:space="preserve">): </w:t>
      </w:r>
      <w:r>
        <w:rPr>
          <w:rtl w:val="true"/>
        </w:rPr>
        <w:t>یجوز إعارة الشاة للانتفاع بلبنها و صوفها</w:t>
      </w:r>
      <w:r>
        <w:rPr>
          <w:rtl w:val="true"/>
        </w:rPr>
        <w:t>]</w:t>
      </w:r>
      <w:bookmarkEnd w:id="4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إعارة الشاة للانتفاع بلبنها و صوفها، و البئر </w:t>
      </w:r>
      <w:r>
        <w:rPr>
          <w:rStyle w:val="FootnoteAnchor"/>
          <w:rtl w:val="true"/>
        </w:rPr>
        <w:footnoteReference w:id="1245"/>
      </w:r>
      <w:r>
        <w:rPr>
          <w:rFonts w:ascii="IRNazanin" w:hAnsi="IRNazanin" w:eastAsia="IRNazanin"/>
          <w:color w:val="111111"/>
          <w:sz w:val="28"/>
          <w:sz w:val="28"/>
          <w:szCs w:val="28"/>
          <w:rtl w:val="true"/>
          <w:lang w:bidi="fa-IR"/>
        </w:rPr>
        <w:t>للاستقاء منها</w:t>
      </w:r>
      <w:r>
        <w:rPr>
          <w:rFonts w:eastAsia="IRNazanin" w:cs="IRNazanin"/>
          <w:color w:val="111111"/>
          <w:sz w:val="28"/>
          <w:szCs w:val="28"/>
          <w:rtl w:val="true"/>
          <w:lang w:bidi="fa-IR"/>
        </w:rPr>
        <w:t>.</w:t>
      </w:r>
    </w:p>
    <w:p>
      <w:pPr>
        <w:pStyle w:val="Heading3"/>
        <w:numPr>
          <w:ilvl w:val="2"/>
          <w:numId w:val="1"/>
        </w:numPr>
        <w:rPr/>
      </w:pPr>
      <w:bookmarkStart w:id="4443" w:name="__RefHeading___Toc2569020_3650668749"/>
      <w:bookmarkStart w:id="4444" w:name="_Toc2019"/>
      <w:bookmarkEnd w:id="4443"/>
      <w:r>
        <w:rPr>
          <w:rtl w:val="true"/>
        </w:rPr>
        <w:t>[ (</w:t>
      </w:r>
      <w:r>
        <w:rPr>
          <w:rtl w:val="true"/>
        </w:rPr>
        <w:t xml:space="preserve">مسألة </w:t>
      </w:r>
      <w:r>
        <w:rPr/>
        <w:t>6</w:t>
      </w:r>
      <w:r>
        <w:rPr>
          <w:rtl w:val="true"/>
        </w:rPr>
        <w:t xml:space="preserve">): </w:t>
      </w:r>
      <w:r>
        <w:rPr>
          <w:rtl w:val="true"/>
        </w:rPr>
        <w:t>لا یجوز استعارة الجواری للاستمتاع بها</w:t>
      </w:r>
      <w:r>
        <w:rPr>
          <w:rtl w:val="true"/>
        </w:rPr>
        <w:t>]</w:t>
      </w:r>
      <w:bookmarkEnd w:id="4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استعارة الجواری للاستمتاع بها؛ لانحصار سبب حلّیتها بالتزویج و ملک الیمین و بالتحلیل الراجع إلیٰ أحدهما، نعم لا بأس بإعارتهنّ للخدمة، و لا یجوز للمستعیر أن ینظر إلیٰ ما لا یجوز النظر إلیه منها لولا الاستعارة إلّا بتحلیل المعیر</w:t>
      </w:r>
      <w:r>
        <w:rPr>
          <w:rFonts w:eastAsia="IRNazanin" w:cs="IRNazanin"/>
          <w:color w:val="111111"/>
          <w:sz w:val="28"/>
          <w:szCs w:val="28"/>
          <w:rtl w:val="true"/>
          <w:lang w:bidi="fa-IR"/>
        </w:rPr>
        <w:t>.</w:t>
      </w:r>
    </w:p>
    <w:p>
      <w:pPr>
        <w:pStyle w:val="Heading3"/>
        <w:numPr>
          <w:ilvl w:val="2"/>
          <w:numId w:val="1"/>
        </w:numPr>
        <w:rPr/>
      </w:pPr>
      <w:bookmarkStart w:id="4445" w:name="__RefHeading___Toc2569022_3650668749"/>
      <w:bookmarkStart w:id="4446" w:name="_Toc2020"/>
      <w:bookmarkEnd w:id="4445"/>
      <w:r>
        <w:rPr>
          <w:rtl w:val="true"/>
        </w:rPr>
        <w:t>[ (</w:t>
      </w:r>
      <w:r>
        <w:rPr>
          <w:rtl w:val="true"/>
        </w:rPr>
        <w:t xml:space="preserve">مسألة </w:t>
      </w:r>
      <w:r>
        <w:rPr/>
        <w:t>7</w:t>
      </w:r>
      <w:r>
        <w:rPr>
          <w:rtl w:val="true"/>
        </w:rPr>
        <w:t xml:space="preserve">): </w:t>
      </w:r>
      <w:r>
        <w:rPr>
          <w:rtl w:val="true"/>
        </w:rPr>
        <w:t>لا یشترط تعیین العین المستعارة عند الإعارة</w:t>
      </w:r>
      <w:r>
        <w:rPr>
          <w:rtl w:val="true"/>
        </w:rPr>
        <w:t>]</w:t>
      </w:r>
      <w:bookmarkEnd w:id="4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تعیین العین المستعارة عند الإعارة،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أعرنی إحدیٰ دوابّک،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الإصطبل و خذ ما شئت منها، صحّت العاریة</w:t>
      </w:r>
      <w:r>
        <w:rPr>
          <w:rFonts w:eastAsia="IRNazanin" w:cs="IRNazanin"/>
          <w:color w:val="111111"/>
          <w:sz w:val="28"/>
          <w:szCs w:val="28"/>
          <w:rtl w:val="true"/>
          <w:lang w:bidi="fa-IR"/>
        </w:rPr>
        <w:t>.</w:t>
      </w:r>
    </w:p>
    <w:p>
      <w:pPr>
        <w:pStyle w:val="Heading3"/>
        <w:numPr>
          <w:ilvl w:val="2"/>
          <w:numId w:val="1"/>
        </w:numPr>
        <w:rPr/>
      </w:pPr>
      <w:bookmarkStart w:id="4447" w:name="__RefHeading___Toc2569024_3650668749"/>
      <w:bookmarkStart w:id="4448" w:name="_Toc2021"/>
      <w:bookmarkEnd w:id="4447"/>
      <w:r>
        <w:rPr>
          <w:rtl w:val="true"/>
        </w:rPr>
        <w:t>[ (</w:t>
      </w:r>
      <w:r>
        <w:rPr>
          <w:rtl w:val="true"/>
        </w:rPr>
        <w:t xml:space="preserve">مسألة </w:t>
      </w:r>
      <w:r>
        <w:rPr/>
        <w:t>8</w:t>
      </w:r>
      <w:r>
        <w:rPr>
          <w:rtl w:val="true"/>
        </w:rPr>
        <w:t xml:space="preserve">): </w:t>
      </w:r>
      <w:r>
        <w:rPr>
          <w:rtl w:val="true"/>
        </w:rPr>
        <w:t>العین التی تعلّقت بها العاریة إن انحصرت جهة الانتفاع بها فی منفعة خاصّة</w:t>
      </w:r>
      <w:r>
        <w:rPr>
          <w:rtl w:val="true"/>
        </w:rPr>
        <w:t>]</w:t>
      </w:r>
      <w:bookmarkEnd w:id="444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التی تعلّقت بها العاریة إن انحصرت جهة الانتفاع بها فی منفعة خاصّة کالبساط للافتراش و اللحاف للتغطیة و الخیمة للاکتنان و أشباه ذلک، لا یلزم التعرّض لجهة الانتفاع بها عند إعارتها و استعارتها، و إن تعدّدت جهات الانتفاع بها کالأرض ینتفع بها للزرع و الغرس و البناء، و الدابّة ینتفع بها للحمل و الرکوب و نحو ذلک، فإن کانت إعارتها و استعارتها لأجل منفعة أو منافع خاصّة من منافعها یجب التعرّض لها، و اختصّ حلیّة الانتفاع للمستعیر بما خصّصه المعیر، و إن کانت لأجل الانتفاع المطلق جاز التعمیم و التصریح بالعموم؛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أعرتک هذه الدابّة مثلًا لأجل أن تنتفع بها کلّ انتفاع مباح یحصل منها، کما أنّه یجوز إطلاق العاریة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أعرتک هذه الدابّة، فیجوز</w:t>
      </w:r>
      <w:bookmarkStart w:id="4449" w:name="pg1809_19440"/>
    </w:p>
    <w:p>
      <w:pPr>
        <w:pStyle w:val="BookText"/>
        <w:rPr/>
      </w:pPr>
      <w:bookmarkEnd w:id="4449"/>
      <w:r>
        <w:rPr>
          <w:rFonts w:ascii="IRNazanin" w:hAnsi="IRNazanin" w:eastAsia="IRNazanin"/>
          <w:color w:val="111111"/>
          <w:sz w:val="28"/>
          <w:sz w:val="28"/>
          <w:szCs w:val="28"/>
          <w:rtl w:val="true"/>
          <w:lang w:bidi="fa-IR"/>
        </w:rPr>
        <w:t>للمستعیر الانتفاع بسائر الانتفاعات المباحة المتعلّقة بها، نعم ربّما یکون لبعض الانتفاعات بالنسبة إلیٰ بعض الأعیان خفاء لا یندرج فی الإطلاق، ففی مثله لا بدّ من التنصیص به أو التعمیم علیٰ وجه یعمّه، و ذلک کالدفن فإنّه و إن کان من أحد وجوه الانتفاعات من الأرض کالبناء و الزرع و الغرس و مع ذلک لو أُعیرت الأرض إعارة مطلقة لا یعمّه الإطلاق</w:t>
      </w:r>
      <w:r>
        <w:rPr>
          <w:rFonts w:eastAsia="IRNazanin" w:cs="IRNazanin"/>
          <w:color w:val="111111"/>
          <w:sz w:val="28"/>
          <w:szCs w:val="28"/>
          <w:rtl w:val="true"/>
          <w:lang w:bidi="fa-IR"/>
        </w:rPr>
        <w:t>.</w:t>
      </w:r>
    </w:p>
    <w:p>
      <w:pPr>
        <w:pStyle w:val="Heading3"/>
        <w:numPr>
          <w:ilvl w:val="2"/>
          <w:numId w:val="1"/>
        </w:numPr>
        <w:rPr/>
      </w:pPr>
      <w:bookmarkStart w:id="4450" w:name="__RefHeading___Toc2569026_3650668749"/>
      <w:bookmarkStart w:id="4451" w:name="_Toc2022"/>
      <w:bookmarkEnd w:id="4450"/>
      <w:r>
        <w:rPr>
          <w:rtl w:val="true"/>
        </w:rPr>
        <w:t>[ (</w:t>
      </w:r>
      <w:r>
        <w:rPr>
          <w:rtl w:val="true"/>
        </w:rPr>
        <w:t xml:space="preserve">مسألة </w:t>
      </w:r>
      <w:r>
        <w:rPr/>
        <w:t>9</w:t>
      </w:r>
      <w:r>
        <w:rPr>
          <w:rtl w:val="true"/>
        </w:rPr>
        <w:t xml:space="preserve">): </w:t>
      </w:r>
      <w:r>
        <w:rPr>
          <w:rtl w:val="true"/>
        </w:rPr>
        <w:t>العاریة جائزة من الطرفین</w:t>
      </w:r>
      <w:r>
        <w:rPr>
          <w:rtl w:val="true"/>
        </w:rPr>
        <w:t>]</w:t>
      </w:r>
      <w:bookmarkEnd w:id="4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العاریة جائزة من الطرفین، فللمعیر الرجوع متی شاء، کما أنّ للمستعیر الردّ 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خصوص إعارة الأرض للدفن لم یجز للمعیر بعد الدفن و الموت الرجوع عن الإعارة و نبش القبر و إخراج المیّت علی الأصحّ </w:t>
      </w:r>
      <w:r>
        <w:rPr>
          <w:rStyle w:val="FootnoteAnchor"/>
          <w:rtl w:val="true"/>
        </w:rPr>
        <w:footnoteReference w:id="1246"/>
      </w:r>
      <w:r>
        <w:rPr>
          <w:rFonts w:ascii="IRNazanin" w:hAnsi="IRNazanin" w:eastAsia="IRNazanin"/>
          <w:color w:val="111111"/>
          <w:sz w:val="28"/>
          <w:sz w:val="28"/>
          <w:szCs w:val="28"/>
          <w:rtl w:val="true"/>
          <w:lang w:bidi="fa-IR"/>
        </w:rPr>
        <w:t>، و أمّا قبل ذلک فله الرجوع، حتّی بعد وضعه فی القبر قبل مواراته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علی المعیر اجرة الحفظ و مئونته إذا رجع بعد الحفر قبل الدفن، کما أنّه لیس علیٰ ولیّ المیّت طمّ الحفر بعد ما کان بإذن من المعیر</w:t>
      </w:r>
      <w:r>
        <w:rPr>
          <w:rFonts w:eastAsia="IRNazanin" w:cs="IRNazanin"/>
          <w:color w:val="111111"/>
          <w:sz w:val="28"/>
          <w:szCs w:val="28"/>
          <w:rtl w:val="true"/>
          <w:lang w:bidi="fa-IR"/>
        </w:rPr>
        <w:t>.</w:t>
      </w:r>
    </w:p>
    <w:p>
      <w:pPr>
        <w:pStyle w:val="Heading3"/>
        <w:numPr>
          <w:ilvl w:val="2"/>
          <w:numId w:val="1"/>
        </w:numPr>
        <w:rPr/>
      </w:pPr>
      <w:bookmarkStart w:id="4452" w:name="__RefHeading___Toc2569028_3650668749"/>
      <w:bookmarkStart w:id="4453" w:name="_Toc2023"/>
      <w:bookmarkEnd w:id="4452"/>
      <w:r>
        <w:rPr>
          <w:rtl w:val="true"/>
        </w:rPr>
        <w:t>[ (</w:t>
      </w:r>
      <w:r>
        <w:rPr>
          <w:rtl w:val="true"/>
        </w:rPr>
        <w:t xml:space="preserve">مسألة </w:t>
      </w:r>
      <w:r>
        <w:rPr/>
        <w:t>10</w:t>
      </w:r>
      <w:r>
        <w:rPr>
          <w:rtl w:val="true"/>
        </w:rPr>
        <w:t xml:space="preserve">): </w:t>
      </w:r>
      <w:r>
        <w:rPr>
          <w:rtl w:val="true"/>
        </w:rPr>
        <w:t>تبطل العاریة بموت المعیر، بل بزوال سلطنته بجنون و نحوه</w:t>
      </w:r>
      <w:r>
        <w:rPr>
          <w:rtl w:val="true"/>
        </w:rPr>
        <w:t>]</w:t>
      </w:r>
      <w:bookmarkEnd w:id="4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العاریة بموت المعیر، بل بزوال سلطنته بجنون و نحوه</w:t>
      </w:r>
      <w:r>
        <w:rPr>
          <w:rFonts w:eastAsia="IRNazanin" w:cs="IRNazanin"/>
          <w:color w:val="111111"/>
          <w:sz w:val="28"/>
          <w:szCs w:val="28"/>
          <w:rtl w:val="true"/>
          <w:lang w:bidi="fa-IR"/>
        </w:rPr>
        <w:t>.</w:t>
      </w:r>
    </w:p>
    <w:p>
      <w:pPr>
        <w:pStyle w:val="Heading3"/>
        <w:numPr>
          <w:ilvl w:val="2"/>
          <w:numId w:val="1"/>
        </w:numPr>
        <w:rPr/>
      </w:pPr>
      <w:bookmarkStart w:id="4454" w:name="__RefHeading___Toc2569030_3650668749"/>
      <w:bookmarkStart w:id="4455" w:name="_Toc2024"/>
      <w:bookmarkEnd w:id="4454"/>
      <w:r>
        <w:rPr>
          <w:rtl w:val="true"/>
        </w:rPr>
        <w:t>[ (</w:t>
      </w:r>
      <w:r>
        <w:rPr>
          <w:rtl w:val="true"/>
        </w:rPr>
        <w:t xml:space="preserve">مسألة </w:t>
      </w:r>
      <w:r>
        <w:rPr/>
        <w:t>11</w:t>
      </w:r>
      <w:r>
        <w:rPr>
          <w:rtl w:val="true"/>
        </w:rPr>
        <w:t xml:space="preserve">): </w:t>
      </w:r>
      <w:r>
        <w:rPr>
          <w:rtl w:val="true"/>
        </w:rPr>
        <w:t>یجب علی المستعیر الاقتصار فی نوع المنفعة علیٰ ما عیّنها المعیر</w:t>
      </w:r>
      <w:r>
        <w:rPr>
          <w:rtl w:val="true"/>
        </w:rPr>
        <w:t>]</w:t>
      </w:r>
      <w:bookmarkEnd w:id="4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المستعیر الاقتصار فی نوع المنفعة علیٰ ما عیّنها المعیر، فلا یجوز له التعدّی إلیٰ غیرها و لو کانت أدنیٰ و أقلّ ضرراً علی المعیر، و کذا یجب أن یقتصر فی کیفیّة الانتفاع علیٰ ما جرت به العادة فلو أعاره دابّة للحمل لا یحمّلها إلّا القدر المعتاد بالنسبة إلیٰ ذلک الحیوان و ذلک المحمول و ذلک الزمان و المکان، فلو تعدّیٰ نوعاً أو کیفیّة کان غاصباً و ضامناً، و علیه اجرة </w:t>
      </w:r>
      <w:r>
        <w:rPr>
          <w:rStyle w:val="FootnoteAnchor"/>
          <w:rtl w:val="true"/>
        </w:rPr>
        <w:footnoteReference w:id="1247"/>
      </w:r>
      <w:r>
        <w:rPr>
          <w:rFonts w:ascii="Amiri" w:hAnsi="Amiri" w:eastAsia="Amiri" w:cs="Amiri"/>
          <w:color w:val="111111"/>
          <w:sz w:val="28"/>
          <w:sz w:val="28"/>
          <w:szCs w:val="28"/>
          <w:rtl w:val="true"/>
          <w:lang w:bidi="ar-SA"/>
        </w:rPr>
        <w:t>ما استوفاه من المنفعة</w:t>
      </w:r>
      <w:r>
        <w:rPr>
          <w:rFonts w:eastAsia="Amiri" w:cs="Amiri" w:ascii="Amiri" w:hAnsi="Amiri"/>
          <w:color w:val="111111"/>
          <w:sz w:val="28"/>
          <w:szCs w:val="28"/>
          <w:rtl w:val="true"/>
          <w:lang w:bidi="ar-SA"/>
        </w:rPr>
        <w:t>.</w:t>
      </w:r>
    </w:p>
    <w:p>
      <w:pPr>
        <w:pStyle w:val="Heading3"/>
        <w:numPr>
          <w:ilvl w:val="2"/>
          <w:numId w:val="1"/>
        </w:numPr>
        <w:rPr/>
      </w:pPr>
      <w:bookmarkStart w:id="4456" w:name="__RefHeading___Toc2569032_3650668749"/>
      <w:bookmarkStart w:id="4457" w:name="_Toc2025"/>
      <w:bookmarkEnd w:id="4456"/>
      <w:r>
        <w:rPr>
          <w:rtl w:val="true"/>
        </w:rPr>
        <w:t>[ (</w:t>
      </w:r>
      <w:r>
        <w:rPr>
          <w:rtl w:val="true"/>
        </w:rPr>
        <w:t xml:space="preserve">مسألة </w:t>
      </w:r>
      <w:r>
        <w:rPr/>
        <w:t>12</w:t>
      </w:r>
      <w:r>
        <w:rPr>
          <w:rtl w:val="true"/>
        </w:rPr>
        <w:t xml:space="preserve">): </w:t>
      </w:r>
      <w:r>
        <w:rPr>
          <w:rtl w:val="true"/>
        </w:rPr>
        <w:t>لو أعاره أرضاً للبناء أو الغرس جاز له الرجوع</w:t>
      </w:r>
      <w:r>
        <w:rPr>
          <w:rtl w:val="true"/>
        </w:rPr>
        <w:t>]</w:t>
      </w:r>
      <w:bookmarkEnd w:id="445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أعاره أرضاً للبناء أو الغرس جاز له الرجوع، و له إلزام المستعیر بالقلع، لکن علیه الأرش، و کذا فی عاریتها للزرع إذا رجع قبل إدراکه، و یحتمل </w:t>
      </w:r>
      <w:r>
        <w:rPr>
          <w:rStyle w:val="FootnoteAnchor"/>
          <w:rtl w:val="true"/>
        </w:rPr>
        <w:footnoteReference w:id="1248"/>
      </w:r>
      <w:r>
        <w:rPr>
          <w:rFonts w:ascii="IRNazanin" w:hAnsi="IRNazanin" w:eastAsia="IRNazanin"/>
          <w:color w:val="111111"/>
          <w:sz w:val="28"/>
          <w:sz w:val="28"/>
          <w:szCs w:val="28"/>
          <w:rtl w:val="true"/>
          <w:lang w:bidi="fa-IR"/>
        </w:rPr>
        <w:t>عدم استحقاق إلزام المعیر بقلع الزرع لو رضی المستعیر بالبقاء بالأُجرة، و الأحوط لهما التراضی و التصالح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ذلک ما إذا أعار جذوعه للتسقیف، ثمّ رجع بعد ما أثبتها المستعیر فی البناء</w:t>
      </w:r>
      <w:r>
        <w:rPr>
          <w:rFonts w:eastAsia="IRNazanin" w:cs="IRNazanin"/>
          <w:color w:val="111111"/>
          <w:sz w:val="28"/>
          <w:szCs w:val="28"/>
          <w:rtl w:val="true"/>
          <w:lang w:bidi="fa-IR"/>
        </w:rPr>
        <w:t>.</w:t>
      </w:r>
      <w:bookmarkStart w:id="4458" w:name="pg1809_19441"/>
    </w:p>
    <w:p>
      <w:pPr>
        <w:pStyle w:val="Heading3"/>
        <w:numPr>
          <w:ilvl w:val="2"/>
          <w:numId w:val="1"/>
        </w:numPr>
        <w:rPr/>
      </w:pPr>
      <w:bookmarkStart w:id="4459" w:name="__RefHeading___Toc2569034_3650668749"/>
      <w:bookmarkStart w:id="4460" w:name="_Toc2026"/>
      <w:bookmarkEnd w:id="4458"/>
      <w:bookmarkEnd w:id="4459"/>
      <w:r>
        <w:rPr>
          <w:rtl w:val="true"/>
        </w:rPr>
        <w:t>[ (</w:t>
      </w:r>
      <w:r>
        <w:rPr>
          <w:rtl w:val="true"/>
        </w:rPr>
        <w:t xml:space="preserve">مسألة </w:t>
      </w:r>
      <w:r>
        <w:rPr/>
        <w:t>13</w:t>
      </w:r>
      <w:r>
        <w:rPr>
          <w:rtl w:val="true"/>
        </w:rPr>
        <w:t xml:space="preserve">): </w:t>
      </w:r>
      <w:r>
        <w:rPr>
          <w:rtl w:val="true"/>
        </w:rPr>
        <w:t>العاریة أمانة بید المستعیر</w:t>
      </w:r>
      <w:r>
        <w:rPr>
          <w:rtl w:val="true"/>
        </w:rPr>
        <w:t>]</w:t>
      </w:r>
      <w:bookmarkEnd w:id="4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العاریة أمانة بید المستعیر، لا یضمنها لو تلفت إلّا بالتعدّی أو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شرط الضمان ضمنها و إن لم یکن تعدٍّ و لا تفریط، کما أنّه لو کانت العین المعارة ذهباً أو فضّة ضمنها؛ یشترط فیها الضمان أو لم یشترط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1" w:name="__RefHeading___Toc2569036_3650668749"/>
      <w:bookmarkStart w:id="4462" w:name="_Toc2027"/>
      <w:bookmarkEnd w:id="4461"/>
      <w:r>
        <w:rPr>
          <w:rtl w:val="true"/>
        </w:rPr>
        <w:t>[ (</w:t>
      </w:r>
      <w:r>
        <w:rPr>
          <w:rtl w:val="true"/>
        </w:rPr>
        <w:t xml:space="preserve">مسألة </w:t>
      </w:r>
      <w:r>
        <w:rPr/>
        <w:t>14</w:t>
      </w:r>
      <w:r>
        <w:rPr>
          <w:rtl w:val="true"/>
        </w:rPr>
        <w:t xml:space="preserve">): </w:t>
      </w:r>
      <w:r>
        <w:rPr>
          <w:rtl w:val="true"/>
        </w:rPr>
        <w:t>لا یجوز للمستعیر إعارة العین المستعارة و لا إجارتها إلّا بإذن المالک</w:t>
      </w:r>
      <w:r>
        <w:rPr>
          <w:rtl w:val="true"/>
        </w:rPr>
        <w:t>]</w:t>
      </w:r>
      <w:bookmarkEnd w:id="4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للمستعیر إعارة العین المستعارة و لا إجارتها إلّا بإذن المالک، فیکون إعارته حینئذٍ فی الحقیقة إعارة المالک و یکون المستعیر وکیلًا و نائباً عنه، فلو خرج المستعیر عن قابلیّة الإعارة بعد ذلک کما إذا جنّ بقیت العاریة الثانیة علیٰ حالها</w:t>
      </w:r>
      <w:r>
        <w:rPr>
          <w:rFonts w:eastAsia="IRNazanin" w:cs="IRNazanin"/>
          <w:color w:val="111111"/>
          <w:sz w:val="28"/>
          <w:szCs w:val="28"/>
          <w:rtl w:val="true"/>
          <w:lang w:bidi="fa-IR"/>
        </w:rPr>
        <w:t>.</w:t>
      </w:r>
    </w:p>
    <w:p>
      <w:pPr>
        <w:pStyle w:val="Heading3"/>
        <w:numPr>
          <w:ilvl w:val="2"/>
          <w:numId w:val="1"/>
        </w:numPr>
        <w:rPr/>
      </w:pPr>
      <w:bookmarkStart w:id="4463" w:name="__RefHeading___Toc2569038_3650668749"/>
      <w:bookmarkStart w:id="4464" w:name="_Toc2028"/>
      <w:bookmarkEnd w:id="4463"/>
      <w:r>
        <w:rPr>
          <w:rtl w:val="true"/>
        </w:rPr>
        <w:t>[ (</w:t>
      </w:r>
      <w:r>
        <w:rPr>
          <w:rtl w:val="true"/>
        </w:rPr>
        <w:t xml:space="preserve">مسألة </w:t>
      </w:r>
      <w:r>
        <w:rPr/>
        <w:t>15</w:t>
      </w:r>
      <w:r>
        <w:rPr>
          <w:rtl w:val="true"/>
        </w:rPr>
        <w:t xml:space="preserve">): </w:t>
      </w:r>
      <w:r>
        <w:rPr>
          <w:rtl w:val="true"/>
        </w:rPr>
        <w:t>إذا تلفت العاریة بفعل المستعیر</w:t>
      </w:r>
      <w:r>
        <w:rPr>
          <w:rtl w:val="true"/>
        </w:rPr>
        <w:t>]</w:t>
      </w:r>
      <w:bookmarkEnd w:id="4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تلفت العاریة بفعل المستعیر، فإن کان بسبب الاستعمال المأذون فیه من دون التعدّی عن المتعارف، فلیس علیه ضمان کما إذا هلکت الدابّة المستعارة للحمل بسبب الحمل علیها حملًا متعارفاً، و إن کان بسبب آخر ضمنها</w:t>
      </w:r>
      <w:r>
        <w:rPr>
          <w:rFonts w:eastAsia="IRNazanin" w:cs="IRNazanin"/>
          <w:color w:val="111111"/>
          <w:sz w:val="28"/>
          <w:szCs w:val="28"/>
          <w:rtl w:val="true"/>
          <w:lang w:bidi="fa-IR"/>
        </w:rPr>
        <w:t>.</w:t>
      </w:r>
    </w:p>
    <w:p>
      <w:pPr>
        <w:pStyle w:val="Heading3"/>
        <w:numPr>
          <w:ilvl w:val="2"/>
          <w:numId w:val="1"/>
        </w:numPr>
        <w:rPr/>
      </w:pPr>
      <w:bookmarkStart w:id="4465" w:name="__RefHeading___Toc2569040_3650668749"/>
      <w:bookmarkStart w:id="4466" w:name="_Toc2029"/>
      <w:bookmarkEnd w:id="4465"/>
      <w:r>
        <w:rPr>
          <w:rtl w:val="true"/>
        </w:rPr>
        <w:t>[ (</w:t>
      </w:r>
      <w:r>
        <w:rPr>
          <w:rtl w:val="true"/>
        </w:rPr>
        <w:t xml:space="preserve">مسألة </w:t>
      </w:r>
      <w:r>
        <w:rPr/>
        <w:t>16</w:t>
      </w:r>
      <w:r>
        <w:rPr>
          <w:rtl w:val="true"/>
        </w:rPr>
        <w:t xml:space="preserve">): </w:t>
      </w:r>
      <w:r>
        <w:rPr>
          <w:rtl w:val="true"/>
        </w:rPr>
        <w:t>إنّما یبرأ المستعیر عن عهدة العین المستعارة بردّها إلیٰ مالکها</w:t>
      </w:r>
      <w:r>
        <w:rPr>
          <w:rtl w:val="true"/>
        </w:rPr>
        <w:t>]</w:t>
      </w:r>
      <w:bookmarkEnd w:id="4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یبرأ المستعیر عن عهدة العین المستعارة بردّها إلیٰ مالکها أو وکیله أو ولیّه، و لو ردّها إلیٰ حرزها الذی کانت فیه بلا ید من المالک و لا إذن منه لم یبرأ، کما إذا ردّ الدابّة إلی الإصطبل و ربطها فیه بلا إذن من المالک، فتلفت أو أتلفها متلف</w:t>
      </w:r>
      <w:r>
        <w:rPr>
          <w:rFonts w:eastAsia="IRNazanin" w:cs="IRNazanin"/>
          <w:color w:val="111111"/>
          <w:sz w:val="28"/>
          <w:szCs w:val="28"/>
          <w:rtl w:val="true"/>
          <w:lang w:bidi="fa-IR"/>
        </w:rPr>
        <w:t>.</w:t>
      </w:r>
    </w:p>
    <w:p>
      <w:pPr>
        <w:pStyle w:val="Heading3"/>
        <w:numPr>
          <w:ilvl w:val="2"/>
          <w:numId w:val="1"/>
        </w:numPr>
        <w:rPr/>
      </w:pPr>
      <w:bookmarkStart w:id="4467" w:name="__RefHeading___Toc2569042_3650668749"/>
      <w:bookmarkStart w:id="4468" w:name="_Toc2030"/>
      <w:bookmarkEnd w:id="4467"/>
      <w:r>
        <w:rPr>
          <w:rtl w:val="true"/>
        </w:rPr>
        <w:t>[ (</w:t>
      </w:r>
      <w:r>
        <w:rPr>
          <w:rtl w:val="true"/>
        </w:rPr>
        <w:t xml:space="preserve">مسألة </w:t>
      </w:r>
      <w:r>
        <w:rPr/>
        <w:t>17</w:t>
      </w:r>
      <w:r>
        <w:rPr>
          <w:rtl w:val="true"/>
        </w:rPr>
        <w:t xml:space="preserve">): </w:t>
      </w:r>
      <w:r>
        <w:rPr>
          <w:rtl w:val="true"/>
        </w:rPr>
        <w:t>إذا استعار عیناً من الغاصب، فإن لم یعلم بغصبه کان قرار الضمان علی الغاصب</w:t>
      </w:r>
      <w:r>
        <w:rPr>
          <w:rtl w:val="true"/>
        </w:rPr>
        <w:t>]</w:t>
      </w:r>
      <w:bookmarkEnd w:id="446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استعار عیناً من الغاصب، فإن لم یعلم بغصبه کان قرار الضمان علی الغاصب، فإن تلفت فی ید المستعیر </w:t>
      </w:r>
      <w:r>
        <w:rPr>
          <w:rStyle w:val="FootnoteAnchor"/>
          <w:rtl w:val="true"/>
        </w:rPr>
        <w:footnoteReference w:id="1250"/>
      </w:r>
      <w:r>
        <w:rPr>
          <w:rFonts w:ascii="IRNazanin" w:hAnsi="IRNazanin" w:eastAsia="IRNazanin"/>
          <w:color w:val="111111"/>
          <w:sz w:val="28"/>
          <w:sz w:val="28"/>
          <w:szCs w:val="28"/>
          <w:rtl w:val="true"/>
          <w:lang w:bidi="fa-IR"/>
        </w:rPr>
        <w:t>فللمالک الرجوع بعوض ماله علیٰ کلّ من الغاصب و المستعیر، فإن رجع علی المستعیر یرجع هو علی الغاصب، و إن رجع علی الغاصب لم یکن له الرجوع علی المستعیر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بالنسبة إلیٰ بدل ما استوفاه </w:t>
      </w:r>
      <w:r>
        <w:rPr>
          <w:rStyle w:val="FootnoteAnchor"/>
          <w:rtl w:val="true"/>
        </w:rPr>
        <w:footnoteReference w:id="1251"/>
      </w:r>
      <w:r>
        <w:rPr>
          <w:rFonts w:ascii="IRNazanin" w:hAnsi="IRNazanin" w:eastAsia="IRNazanin"/>
          <w:color w:val="111111"/>
          <w:sz w:val="28"/>
          <w:sz w:val="28"/>
          <w:szCs w:val="28"/>
          <w:rtl w:val="true"/>
          <w:lang w:bidi="fa-IR"/>
        </w:rPr>
        <w:t>المستعیر من المنفعة، فإنّه إذا رجع به علی المستعیر یرجع هو علی الغاصب دون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عالماً بالغصب لم یرجع المستعیر علی الغاصب لو رجع المالک علیه، بل الأمر بالعکس فیرجع الغاصب علی المستعیر لو رجع المالک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له أن یردّ العین إلی الغاصب بعد ما علم بالغصبیّة، بل یجب أن یردّها إلیٰ مالکها</w:t>
      </w:r>
      <w:r>
        <w:rPr>
          <w:rFonts w:eastAsia="IRNazanin" w:cs="IRNazanin"/>
          <w:color w:val="111111"/>
          <w:sz w:val="28"/>
          <w:szCs w:val="28"/>
          <w:rtl w:val="true"/>
          <w:lang w:bidi="fa-IR"/>
        </w:rPr>
        <w:t>.</w:t>
      </w:r>
      <w:bookmarkStart w:id="4469" w:name="pg1809_19442"/>
    </w:p>
    <w:p>
      <w:pPr>
        <w:pStyle w:val="Heading2"/>
        <w:numPr>
          <w:ilvl w:val="1"/>
          <w:numId w:val="1"/>
        </w:numPr>
        <w:rPr/>
      </w:pPr>
      <w:bookmarkStart w:id="4470" w:name="__RefHeading___Toc2569044_3650668749"/>
      <w:bookmarkStart w:id="4471" w:name="_Toc2031"/>
      <w:bookmarkEnd w:id="4469"/>
      <w:bookmarkEnd w:id="4470"/>
      <w:r>
        <w:rPr>
          <w:rtl w:val="true"/>
        </w:rPr>
        <w:t>[</w:t>
      </w:r>
      <w:r>
        <w:rPr>
          <w:rtl w:val="true"/>
        </w:rPr>
        <w:t>کتاب الودیعة</w:t>
      </w:r>
      <w:r>
        <w:rPr>
          <w:rtl w:val="true"/>
        </w:rPr>
        <w:t>]</w:t>
      </w:r>
      <w:bookmarkEnd w:id="4471"/>
    </w:p>
    <w:p>
      <w:pPr>
        <w:pStyle w:val="Heading3"/>
        <w:numPr>
          <w:ilvl w:val="2"/>
          <w:numId w:val="1"/>
        </w:numPr>
        <w:rPr/>
      </w:pPr>
      <w:bookmarkStart w:id="4472" w:name="__RefHeading___Toc2569046_3650668749"/>
      <w:bookmarkStart w:id="4473" w:name="_Toc2032"/>
      <w:bookmarkEnd w:id="4472"/>
      <w:r>
        <w:rPr>
          <w:rtl w:val="true"/>
        </w:rPr>
        <w:t>اشارة</w:t>
      </w:r>
      <w:bookmarkEnd w:id="4473"/>
    </w:p>
    <w:p>
      <w:pPr>
        <w:pStyle w:val="BookText"/>
        <w:rPr/>
      </w:pPr>
      <w:r>
        <w:rPr>
          <w:rFonts w:ascii="IRNazanin" w:hAnsi="IRNazanin" w:eastAsia="IRNazanin"/>
          <w:color w:val="111111"/>
          <w:sz w:val="28"/>
          <w:sz w:val="28"/>
          <w:szCs w:val="28"/>
          <w:rtl w:val="true"/>
          <w:lang w:bidi="fa-IR"/>
        </w:rPr>
        <w:t>کتاب الودیعة</w:t>
      </w:r>
    </w:p>
    <w:p>
      <w:pPr>
        <w:pStyle w:val="Heading3"/>
        <w:numPr>
          <w:ilvl w:val="2"/>
          <w:numId w:val="1"/>
        </w:numPr>
        <w:rPr/>
      </w:pPr>
      <w:bookmarkStart w:id="4474" w:name="__RefHeading___Toc2569048_3650668749"/>
      <w:bookmarkStart w:id="4475" w:name="_Toc2033"/>
      <w:bookmarkEnd w:id="4474"/>
      <w:r>
        <w:rPr>
          <w:rtl w:val="true"/>
        </w:rPr>
        <w:t>[</w:t>
      </w:r>
      <w:r>
        <w:rPr>
          <w:rtl w:val="true"/>
        </w:rPr>
        <w:t>مسائل</w:t>
      </w:r>
      <w:r>
        <w:rPr>
          <w:rtl w:val="true"/>
        </w:rPr>
        <w:t>]</w:t>
      </w:r>
      <w:bookmarkEnd w:id="4475"/>
    </w:p>
    <w:p>
      <w:pPr>
        <w:pStyle w:val="Heading4"/>
        <w:numPr>
          <w:ilvl w:val="3"/>
          <w:numId w:val="1"/>
        </w:numPr>
        <w:rPr/>
      </w:pPr>
      <w:bookmarkStart w:id="4476" w:name="__RefHeading___Toc2569050_3650668749"/>
      <w:bookmarkStart w:id="4477" w:name="_Toc2034"/>
      <w:bookmarkEnd w:id="4476"/>
      <w:r>
        <w:rPr>
          <w:rtl w:val="true"/>
        </w:rPr>
        <w:t>اشارة</w:t>
      </w:r>
      <w:bookmarkEnd w:id="4477"/>
    </w:p>
    <w:p>
      <w:pPr>
        <w:pStyle w:val="BookText"/>
        <w:rPr/>
      </w:pPr>
      <w:r>
        <w:rPr>
          <w:rFonts w:ascii="IRNazanin" w:hAnsi="IRNazanin" w:eastAsia="IRNazanin"/>
          <w:color w:val="111111"/>
          <w:sz w:val="28"/>
          <w:sz w:val="28"/>
          <w:szCs w:val="28"/>
          <w:rtl w:val="true"/>
          <w:lang w:bidi="fa-IR"/>
        </w:rPr>
        <w:t xml:space="preserve">و هی استنابة </w:t>
      </w:r>
      <w:r>
        <w:rPr>
          <w:rStyle w:val="FootnoteAnchor"/>
          <w:rtl w:val="true"/>
        </w:rPr>
        <w:footnoteReference w:id="1252"/>
      </w:r>
      <w:r>
        <w:rPr>
          <w:rFonts w:ascii="IRNazanin" w:hAnsi="IRNazanin" w:eastAsia="IRNazanin"/>
          <w:color w:val="111111"/>
          <w:sz w:val="28"/>
          <w:sz w:val="28"/>
          <w:szCs w:val="28"/>
          <w:rtl w:val="true"/>
          <w:lang w:bidi="fa-IR"/>
        </w:rPr>
        <w:t>فی الحفظ،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وضع المال عند الغیر لیحفظه لمالکه، و یطلق کثیراً علی المال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المودع، و لذلک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الودعی و المستودع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عقد یحتاج إلی الإیجاب، و هو کلّ لفظ دالّ علیٰ تلک الاستنابة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أودعتک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ودیعة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و القبول الدالّ علی الرضا بالنیابة فی الحفظ، و لا یعتبر فیها العربیّة، بل تقع بکلّ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یکون الإیجاب باللفظ و القبول بالفعل؛ بأن قال له المالک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المال ودیعة عندک، فتسلّم المال لذلک، بل یصحّ وقوعها بالمعاطاة؛ بأن یسلّم مالًا إلیٰ أحد بقصد أن یکون محفوظاً عنده و یحفظه فتسلّمه بهذا العنوان</w:t>
      </w:r>
      <w:r>
        <w:rPr>
          <w:rFonts w:eastAsia="IRNazanin" w:cs="IRNazanin"/>
          <w:color w:val="111111"/>
          <w:sz w:val="28"/>
          <w:szCs w:val="28"/>
          <w:rtl w:val="true"/>
          <w:lang w:bidi="fa-IR"/>
        </w:rPr>
        <w:t>.</w:t>
      </w:r>
    </w:p>
    <w:p>
      <w:pPr>
        <w:pStyle w:val="Heading4"/>
        <w:numPr>
          <w:ilvl w:val="3"/>
          <w:numId w:val="1"/>
        </w:numPr>
        <w:rPr/>
      </w:pPr>
      <w:bookmarkStart w:id="4478" w:name="__RefHeading___Toc2569052_3650668749"/>
      <w:bookmarkStart w:id="4479" w:name="_Toc2035"/>
      <w:bookmarkEnd w:id="4478"/>
      <w:r>
        <w:rPr>
          <w:rtl w:val="true"/>
        </w:rPr>
        <w:t>[ (</w:t>
      </w:r>
      <w:r>
        <w:rPr>
          <w:rtl w:val="true"/>
        </w:rPr>
        <w:t xml:space="preserve">مسألة </w:t>
      </w:r>
      <w:r>
        <w:rPr/>
        <w:t>1</w:t>
      </w:r>
      <w:r>
        <w:rPr>
          <w:rtl w:val="true"/>
        </w:rPr>
        <w:t xml:space="preserve">): </w:t>
      </w:r>
      <w:r>
        <w:rPr>
          <w:rtl w:val="true"/>
        </w:rPr>
        <w:t>لو طرح ثوباً مثلًا عند أحد</w:t>
      </w:r>
      <w:r>
        <w:rPr>
          <w:rtl w:val="true"/>
        </w:rPr>
        <w:t>]</w:t>
      </w:r>
      <w:bookmarkEnd w:id="4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طرح ثوباً مثلًا عند أحد،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ودیعة عندک، فإن قبلها بالقول أو الفعل الدالّ علیه و لو بالسکوت </w:t>
      </w:r>
      <w:r>
        <w:rPr>
          <w:rStyle w:val="FootnoteAnchor"/>
          <w:rtl w:val="true"/>
        </w:rPr>
        <w:footnoteReference w:id="1253"/>
      </w:r>
      <w:r>
        <w:rPr>
          <w:rFonts w:ascii="IRNazanin" w:hAnsi="IRNazanin" w:eastAsia="IRNazanin"/>
          <w:color w:val="111111"/>
          <w:sz w:val="28"/>
          <w:sz w:val="28"/>
          <w:szCs w:val="28"/>
          <w:rtl w:val="true"/>
          <w:lang w:bidi="fa-IR"/>
        </w:rPr>
        <w:t>الدالّ علی الرضا بذلک، صار ودیعة و ترتّبت علیها أحکامها، بخلاف ما إذا لم یقبلها حتّی فیما إذا طرحه المالک عنده بهذا القصد و ذهب عنه، فلو ترکه من قصد استیداعه و ذهب، لم یکن علیه ضمان و إن کان الأحوط القیام بحفظه مع الإمکان</w:t>
      </w:r>
      <w:r>
        <w:rPr>
          <w:rFonts w:eastAsia="IRNazanin" w:cs="IRNazanin"/>
          <w:color w:val="111111"/>
          <w:sz w:val="28"/>
          <w:szCs w:val="28"/>
          <w:rtl w:val="true"/>
          <w:lang w:bidi="fa-IR"/>
        </w:rPr>
        <w:t>.</w:t>
      </w:r>
    </w:p>
    <w:p>
      <w:pPr>
        <w:pStyle w:val="Heading4"/>
        <w:numPr>
          <w:ilvl w:val="3"/>
          <w:numId w:val="1"/>
        </w:numPr>
        <w:rPr/>
      </w:pPr>
      <w:bookmarkStart w:id="4480" w:name="__RefHeading___Toc2569054_3650668749"/>
      <w:bookmarkStart w:id="4481" w:name="_Toc2036"/>
      <w:bookmarkEnd w:id="4480"/>
      <w:r>
        <w:rPr>
          <w:rtl w:val="true"/>
        </w:rPr>
        <w:t>[ (</w:t>
      </w:r>
      <w:r>
        <w:rPr>
          <w:rtl w:val="true"/>
        </w:rPr>
        <w:t xml:space="preserve">مسألة </w:t>
      </w:r>
      <w:r>
        <w:rPr/>
        <w:t>2</w:t>
      </w:r>
      <w:r>
        <w:rPr>
          <w:rtl w:val="true"/>
        </w:rPr>
        <w:t xml:space="preserve">): </w:t>
      </w:r>
      <w:r>
        <w:rPr>
          <w:rtl w:val="true"/>
        </w:rPr>
        <w:t>إنّما یجوز قبول الودیعة لمن کان قادراً علیٰ حفظها</w:t>
      </w:r>
      <w:r>
        <w:rPr>
          <w:rtl w:val="true"/>
        </w:rPr>
        <w:t>]</w:t>
      </w:r>
      <w:bookmarkEnd w:id="4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یجوز قبول الودیعة لمن کان قادراً علیٰ حفظها، فمن کان عاجزاً لم یجز </w:t>
      </w:r>
      <w:r>
        <w:rPr>
          <w:rStyle w:val="FootnoteAnchor"/>
          <w:rtl w:val="true"/>
        </w:rPr>
        <w:footnoteReference w:id="1254"/>
      </w:r>
      <w:r>
        <w:rPr>
          <w:rFonts w:ascii="IRNazanin" w:hAnsi="IRNazanin" w:eastAsia="IRNazanin"/>
          <w:color w:val="111111"/>
          <w:sz w:val="28"/>
          <w:sz w:val="28"/>
          <w:szCs w:val="28"/>
          <w:rtl w:val="true"/>
          <w:lang w:bidi="fa-IR"/>
        </w:rPr>
        <w:t>له قبولها علی الأحوط</w:t>
      </w:r>
      <w:r>
        <w:rPr>
          <w:rFonts w:eastAsia="IRNazanin" w:cs="IRNazanin"/>
          <w:color w:val="111111"/>
          <w:sz w:val="28"/>
          <w:szCs w:val="28"/>
          <w:rtl w:val="true"/>
          <w:lang w:bidi="fa-IR"/>
        </w:rPr>
        <w:t>.</w:t>
      </w:r>
    </w:p>
    <w:p>
      <w:pPr>
        <w:pStyle w:val="Heading4"/>
        <w:numPr>
          <w:ilvl w:val="3"/>
          <w:numId w:val="1"/>
        </w:numPr>
        <w:rPr/>
      </w:pPr>
      <w:bookmarkStart w:id="4482" w:name="__RefHeading___Toc2569056_3650668749"/>
      <w:bookmarkStart w:id="4483" w:name="_Toc2037"/>
      <w:bookmarkEnd w:id="4482"/>
      <w:r>
        <w:rPr>
          <w:rtl w:val="true"/>
        </w:rPr>
        <w:t>[ (</w:t>
      </w:r>
      <w:r>
        <w:rPr>
          <w:rtl w:val="true"/>
        </w:rPr>
        <w:t xml:space="preserve">مسألة </w:t>
      </w:r>
      <w:r>
        <w:rPr/>
        <w:t>3</w:t>
      </w:r>
      <w:r>
        <w:rPr>
          <w:rtl w:val="true"/>
        </w:rPr>
        <w:t xml:space="preserve">): </w:t>
      </w:r>
      <w:r>
        <w:rPr>
          <w:rtl w:val="true"/>
        </w:rPr>
        <w:t>الودیعة جائزة من الطرفین</w:t>
      </w:r>
      <w:r>
        <w:rPr>
          <w:rtl w:val="true"/>
        </w:rPr>
        <w:t>]</w:t>
      </w:r>
      <w:bookmarkEnd w:id="448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الودیعة جائزة من الطرفین، فللمالک استرداد ماله متی شاء و للمستودع</w:t>
      </w:r>
      <w:bookmarkStart w:id="4484" w:name="pg1809_19443"/>
    </w:p>
    <w:p>
      <w:pPr>
        <w:pStyle w:val="BookText"/>
        <w:rPr/>
      </w:pPr>
      <w:bookmarkEnd w:id="4484"/>
      <w:r>
        <w:rPr>
          <w:rFonts w:ascii="IRNazanin" w:hAnsi="IRNazanin" w:eastAsia="IRNazanin"/>
          <w:color w:val="111111"/>
          <w:sz w:val="28"/>
          <w:sz w:val="28"/>
          <w:szCs w:val="28"/>
          <w:rtl w:val="true"/>
          <w:lang w:bidi="fa-IR"/>
        </w:rPr>
        <w:t>ردّه کذلک، و لیس للمودع الامتناع من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فسخها المستودع عند نفسه انفسخت و زالت الأمانة المالکیّة، و صار المال عنده أمانة شرعیّة، فیجب علیه ردّه إلیٰ مالکه أو إلیٰ من یقوم مقامه، أو إعلامه بالفسخ و کون المال عنده، فلو أهمل فی ذلک لا لعذر عقلیّ أو شرعیّ ضمن</w:t>
      </w:r>
      <w:r>
        <w:rPr>
          <w:rFonts w:eastAsia="IRNazanin" w:cs="IRNazanin"/>
          <w:color w:val="111111"/>
          <w:sz w:val="28"/>
          <w:szCs w:val="28"/>
          <w:rtl w:val="true"/>
          <w:lang w:bidi="fa-IR"/>
        </w:rPr>
        <w:t>.</w:t>
      </w:r>
    </w:p>
    <w:p>
      <w:pPr>
        <w:pStyle w:val="Heading4"/>
        <w:numPr>
          <w:ilvl w:val="3"/>
          <w:numId w:val="1"/>
        </w:numPr>
        <w:rPr/>
      </w:pPr>
      <w:bookmarkStart w:id="4485" w:name="__RefHeading___Toc2569058_3650668749"/>
      <w:bookmarkStart w:id="4486" w:name="_Toc2038"/>
      <w:bookmarkEnd w:id="4485"/>
      <w:r>
        <w:rPr>
          <w:rtl w:val="true"/>
        </w:rPr>
        <w:t>[ (</w:t>
      </w:r>
      <w:r>
        <w:rPr>
          <w:rtl w:val="true"/>
        </w:rPr>
        <w:t xml:space="preserve">مسألة </w:t>
      </w:r>
      <w:r>
        <w:rPr/>
        <w:t>4</w:t>
      </w:r>
      <w:r>
        <w:rPr>
          <w:rtl w:val="true"/>
        </w:rPr>
        <w:t xml:space="preserve">): </w:t>
      </w:r>
      <w:r>
        <w:rPr>
          <w:rtl w:val="true"/>
        </w:rPr>
        <w:t>یعتبر فی کلّ من المستودع و المودع</w:t>
      </w:r>
      <w:r>
        <w:rPr>
          <w:rtl w:val="true"/>
        </w:rPr>
        <w:t xml:space="preserve">: </w:t>
      </w:r>
      <w:r>
        <w:rPr>
          <w:rtl w:val="true"/>
        </w:rPr>
        <w:t>البلوغ و العقل</w:t>
      </w:r>
      <w:r>
        <w:rPr>
          <w:rtl w:val="true"/>
        </w:rPr>
        <w:t>]</w:t>
      </w:r>
      <w:bookmarkEnd w:id="4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کلّ من المستودع و المودع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فلا یصحّ استیداع الصبیّ و لا المجنون و کذا إیداعهما، من غیر فرق بین کون المال لهما أو لغیرهما من الکاملین، بل لا یجوز وضع الید علیٰ ما أودعاه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أخذ منهما ضمنه، و لا یبرأ بردّه إلیهما و إنّما یبرأ بإیصاله إلیٰ 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بأخذه منهما إذا خیف هلاکه و تلفه فی أیدیهما، فیؤخذ بعنوان الحسبة فی الحفظ، و لکن لا یصیر بذلک ودیعة و أمانة مالکیّة بل تکون أمانة شرعیّة یجب علیه حفظها و المبادرة علیٰ إیصالها إلیٰ ولیّهما، أو إعلامه بکونها عنده، و لیس علیه ضمان لو تلف فی یده</w:t>
      </w:r>
      <w:r>
        <w:rPr>
          <w:rFonts w:eastAsia="IRNazanin" w:cs="IRNazanin"/>
          <w:color w:val="111111"/>
          <w:sz w:val="28"/>
          <w:szCs w:val="28"/>
          <w:rtl w:val="true"/>
          <w:lang w:bidi="fa-IR"/>
        </w:rPr>
        <w:t>.</w:t>
      </w:r>
    </w:p>
    <w:p>
      <w:pPr>
        <w:pStyle w:val="Heading4"/>
        <w:numPr>
          <w:ilvl w:val="3"/>
          <w:numId w:val="1"/>
        </w:numPr>
        <w:rPr/>
      </w:pPr>
      <w:bookmarkStart w:id="4487" w:name="__RefHeading___Toc2569060_3650668749"/>
      <w:bookmarkStart w:id="4488" w:name="_Toc2039"/>
      <w:bookmarkEnd w:id="4487"/>
      <w:r>
        <w:rPr>
          <w:rtl w:val="true"/>
        </w:rPr>
        <w:t>[ (</w:t>
      </w:r>
      <w:r>
        <w:rPr>
          <w:rtl w:val="true"/>
        </w:rPr>
        <w:t xml:space="preserve">مسألة </w:t>
      </w:r>
      <w:r>
        <w:rPr/>
        <w:t>5</w:t>
      </w:r>
      <w:r>
        <w:rPr>
          <w:rtl w:val="true"/>
        </w:rPr>
        <w:t xml:space="preserve">): </w:t>
      </w:r>
      <w:r>
        <w:rPr>
          <w:rtl w:val="true"/>
        </w:rPr>
        <w:t>لو أرسل شخص کامل مالًا بواسطة الصبیّ أو المجنون إلیٰ شخص</w:t>
      </w:r>
      <w:r>
        <w:rPr>
          <w:rtl w:val="true"/>
        </w:rPr>
        <w:t>]</w:t>
      </w:r>
      <w:bookmarkEnd w:id="4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أرسل شخص کامل مالًا بواسطة الصبیّ أو المجنون إلیٰ شخص لیکون ودیعة عنده و قد أخذه منهما بهذا العنوان، فالظاهر صیرورته ودیعة عنده؛ لکونها حقیقة بین الکاملین و إنّما الصبیّ و المجنون بمنزلة الآلة</w:t>
      </w:r>
      <w:r>
        <w:rPr>
          <w:rFonts w:eastAsia="IRNazanin" w:cs="IRNazanin"/>
          <w:color w:val="111111"/>
          <w:sz w:val="28"/>
          <w:szCs w:val="28"/>
          <w:rtl w:val="true"/>
          <w:lang w:bidi="fa-IR"/>
        </w:rPr>
        <w:t>.</w:t>
      </w:r>
    </w:p>
    <w:p>
      <w:pPr>
        <w:pStyle w:val="Heading4"/>
        <w:numPr>
          <w:ilvl w:val="3"/>
          <w:numId w:val="1"/>
        </w:numPr>
        <w:rPr/>
      </w:pPr>
      <w:bookmarkStart w:id="4489" w:name="__RefHeading___Toc2569062_3650668749"/>
      <w:bookmarkStart w:id="4490" w:name="_Toc2040"/>
      <w:bookmarkEnd w:id="4489"/>
      <w:r>
        <w:rPr>
          <w:rtl w:val="true"/>
        </w:rPr>
        <w:t>[ (</w:t>
      </w:r>
      <w:r>
        <w:rPr>
          <w:rtl w:val="true"/>
        </w:rPr>
        <w:t xml:space="preserve">مسألة </w:t>
      </w:r>
      <w:r>
        <w:rPr/>
        <w:t>6</w:t>
      </w:r>
      <w:r>
        <w:rPr>
          <w:rtl w:val="true"/>
        </w:rPr>
        <w:t xml:space="preserve">): </w:t>
      </w:r>
      <w:r>
        <w:rPr>
          <w:rtl w:val="true"/>
        </w:rPr>
        <w:t>لو أودع عند الصبیّ و المجنون مالًا لم یضمناه بالتلف</w:t>
      </w:r>
      <w:r>
        <w:rPr>
          <w:rtl w:val="true"/>
        </w:rPr>
        <w:t>]</w:t>
      </w:r>
      <w:bookmarkEnd w:id="4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أودع عند الصبیّ و المجنون مالًا لم یضمناه بالتلف </w:t>
      </w:r>
      <w:r>
        <w:rPr>
          <w:rStyle w:val="FootnoteAnchor"/>
          <w:rtl w:val="true"/>
        </w:rPr>
        <w:footnoteReference w:id="1255"/>
      </w:r>
      <w:r>
        <w:rPr>
          <w:rFonts w:ascii="IRNazanin" w:hAnsi="IRNazanin" w:eastAsia="IRNazanin"/>
          <w:color w:val="111111"/>
          <w:sz w:val="28"/>
          <w:sz w:val="28"/>
          <w:szCs w:val="28"/>
          <w:rtl w:val="true"/>
          <w:lang w:bidi="fa-IR"/>
        </w:rPr>
        <w:t>، بل بالإتلاف أیضاً إذا لم یکونا ممیّزین فی وجه قویّ؛ لکونه هو السبب الأقویٰ</w:t>
      </w:r>
      <w:r>
        <w:rPr>
          <w:rFonts w:eastAsia="IRNazanin" w:cs="IRNazanin"/>
          <w:color w:val="111111"/>
          <w:sz w:val="28"/>
          <w:szCs w:val="28"/>
          <w:rtl w:val="true"/>
          <w:lang w:bidi="fa-IR"/>
        </w:rPr>
        <w:t>.</w:t>
      </w:r>
    </w:p>
    <w:p>
      <w:pPr>
        <w:pStyle w:val="Heading4"/>
        <w:numPr>
          <w:ilvl w:val="3"/>
          <w:numId w:val="1"/>
        </w:numPr>
        <w:rPr/>
      </w:pPr>
      <w:bookmarkStart w:id="4491" w:name="__RefHeading___Toc2569064_3650668749"/>
      <w:bookmarkStart w:id="4492" w:name="_Toc2041"/>
      <w:bookmarkEnd w:id="4491"/>
      <w:r>
        <w:rPr>
          <w:rtl w:val="true"/>
        </w:rPr>
        <w:t>[ (</w:t>
      </w:r>
      <w:r>
        <w:rPr>
          <w:rtl w:val="true"/>
        </w:rPr>
        <w:t xml:space="preserve">مسألة </w:t>
      </w:r>
      <w:r>
        <w:rPr/>
        <w:t>7</w:t>
      </w:r>
      <w:r>
        <w:rPr>
          <w:rtl w:val="true"/>
        </w:rPr>
        <w:t xml:space="preserve">): </w:t>
      </w:r>
      <w:r>
        <w:rPr>
          <w:rtl w:val="true"/>
        </w:rPr>
        <w:t>یجب علی المستودع حفظ الودیعة بما جرت العادة بحفظها به</w:t>
      </w:r>
      <w:r>
        <w:rPr>
          <w:rtl w:val="true"/>
        </w:rPr>
        <w:t>]</w:t>
      </w:r>
      <w:bookmarkEnd w:id="449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المستودع حفظ الودیعة بما جرت العادة بحفظها به و وضعها فی الحرز الذی یناسبها کالصندوق المقفل للثوب و الدراهم و الحلیّ و نحوها و الإصطبل المضبوط بالغلق للدابّة و المراح کذلک للشاة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حفظها فی محلّ لا یعدّ معه عند العرف مضیّعاً و مفرّطاً و خائناً، حتّی فیما إذا علم المودع بعدم وجود حرز لها عند المستودع، فیجب علیه بعد ما قبل الاستیداع تحصیله مقدّمة للحفظ الواجب علیه، و کذا یجب علیه القیام بجمیع ما له دخل فی صونها من التعیّب أو التلف، کالثوب ینشره فی الصیف إذا کان من الصوف أو الإبریسم، و الدابّة یعلفها و یسقیها و یقیها من الحرّ و البرد، فلو أهمل عن ذلک ضمنها</w:t>
      </w:r>
      <w:r>
        <w:rPr>
          <w:rFonts w:eastAsia="IRNazanin" w:cs="IRNazanin"/>
          <w:color w:val="111111"/>
          <w:sz w:val="28"/>
          <w:szCs w:val="28"/>
          <w:rtl w:val="true"/>
          <w:lang w:bidi="fa-IR"/>
        </w:rPr>
        <w:t>.</w:t>
      </w:r>
      <w:bookmarkStart w:id="4493" w:name="pg1809_19444"/>
    </w:p>
    <w:p>
      <w:pPr>
        <w:pStyle w:val="Heading4"/>
        <w:numPr>
          <w:ilvl w:val="3"/>
          <w:numId w:val="1"/>
        </w:numPr>
        <w:rPr/>
      </w:pPr>
      <w:bookmarkStart w:id="4494" w:name="__RefHeading___Toc2569066_3650668749"/>
      <w:bookmarkStart w:id="4495" w:name="_Toc2042"/>
      <w:bookmarkEnd w:id="4493"/>
      <w:bookmarkEnd w:id="4494"/>
      <w:r>
        <w:rPr>
          <w:rtl w:val="true"/>
        </w:rPr>
        <w:t>[ (</w:t>
      </w:r>
      <w:r>
        <w:rPr>
          <w:rtl w:val="true"/>
        </w:rPr>
        <w:t xml:space="preserve">مسألة </w:t>
      </w:r>
      <w:r>
        <w:rPr/>
        <w:t>8</w:t>
      </w:r>
      <w:r>
        <w:rPr>
          <w:rtl w:val="true"/>
        </w:rPr>
        <w:t xml:space="preserve">): </w:t>
      </w:r>
      <w:r>
        <w:rPr>
          <w:rtl w:val="true"/>
        </w:rPr>
        <w:t>لو عیّن المودع موضعاً خاصّاً لحفظ الودیعة اقتصر علیه</w:t>
      </w:r>
      <w:r>
        <w:rPr>
          <w:rtl w:val="true"/>
        </w:rPr>
        <w:t>]</w:t>
      </w:r>
      <w:bookmarkEnd w:id="4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عیّن المودع موضعاً خاصّاً لحفظ الودیعة اقتصر علیه </w:t>
      </w:r>
      <w:r>
        <w:rPr>
          <w:rStyle w:val="FootnoteAnchor"/>
          <w:rtl w:val="true"/>
        </w:rPr>
        <w:footnoteReference w:id="1256"/>
      </w:r>
      <w:r>
        <w:rPr>
          <w:rFonts w:ascii="IRNazanin" w:hAnsi="IRNazanin" w:eastAsia="IRNazanin"/>
          <w:color w:val="111111"/>
          <w:sz w:val="28"/>
          <w:sz w:val="28"/>
          <w:szCs w:val="28"/>
          <w:rtl w:val="true"/>
          <w:lang w:bidi="fa-IR"/>
        </w:rPr>
        <w:t>، و لا یجوز نقلها إلیٰ غیره بعد وضعها فیه و إن کان أحفظ، فلو نقلها منه ضمنها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فی ذلک المحلّ فی معرض التلف جاز نقلها إلیٰ مکان آخر أحفظ، و لا ضمان علیه حتّی مع نهی المالک؛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تنقلها و إن تلفت، و إن کان الأحوط حینئذٍ مراجعة الحاکم مع الإمکان</w:t>
      </w:r>
      <w:r>
        <w:rPr>
          <w:rFonts w:eastAsia="IRNazanin" w:cs="IRNazanin"/>
          <w:color w:val="111111"/>
          <w:sz w:val="28"/>
          <w:szCs w:val="28"/>
          <w:rtl w:val="true"/>
          <w:lang w:bidi="fa-IR"/>
        </w:rPr>
        <w:t>.</w:t>
      </w:r>
    </w:p>
    <w:p>
      <w:pPr>
        <w:pStyle w:val="Heading4"/>
        <w:numPr>
          <w:ilvl w:val="3"/>
          <w:numId w:val="1"/>
        </w:numPr>
        <w:rPr/>
      </w:pPr>
      <w:bookmarkStart w:id="4496" w:name="__RefHeading___Toc2569068_3650668749"/>
      <w:bookmarkStart w:id="4497" w:name="_Toc2043"/>
      <w:bookmarkEnd w:id="4496"/>
      <w:r>
        <w:rPr>
          <w:rtl w:val="true"/>
        </w:rPr>
        <w:t>[ (</w:t>
      </w:r>
      <w:r>
        <w:rPr>
          <w:rtl w:val="true"/>
        </w:rPr>
        <w:t xml:space="preserve">مسألة </w:t>
      </w:r>
      <w:r>
        <w:rPr/>
        <w:t>9</w:t>
      </w:r>
      <w:r>
        <w:rPr>
          <w:rtl w:val="true"/>
        </w:rPr>
        <w:t xml:space="preserve">): </w:t>
      </w:r>
      <w:r>
        <w:rPr>
          <w:rtl w:val="true"/>
        </w:rPr>
        <w:t>لو تلفت الودیعة فی ید المستودع من دون تعدٍّ منه و لا تفریط لم یضمنها</w:t>
      </w:r>
      <w:r>
        <w:rPr>
          <w:rtl w:val="true"/>
        </w:rPr>
        <w:t>]</w:t>
      </w:r>
      <w:bookmarkEnd w:id="4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تلفت الودیعة فی ید المستودع من دون تعدٍّ منه و لا تفریط لم یضمنها و کذا لو أخذها منه ظالم قهراً؛ سواء انتزعها من یده أو أمره بدفعها له بنفسه فدفعها کرهاً، نعم یقوی الضمان لو کان هو السبب لذلک و لو من جهة إخباره بها أو إظهارها فی محلّ کان مظنّة الوصول إلی الظالم فوصل إلیه، بل مطلقاً </w:t>
      </w:r>
      <w:r>
        <w:rPr>
          <w:rStyle w:val="FootnoteAnchor"/>
          <w:rtl w:val="true"/>
        </w:rPr>
        <w:footnoteReference w:id="1257"/>
      </w:r>
      <w:r>
        <w:rPr>
          <w:rFonts w:ascii="IRNazanin" w:hAnsi="IRNazanin" w:eastAsia="IRNazanin"/>
          <w:color w:val="111111"/>
          <w:sz w:val="28"/>
          <w:sz w:val="28"/>
          <w:szCs w:val="28"/>
          <w:rtl w:val="true"/>
          <w:lang w:bidi="fa-IR"/>
        </w:rPr>
        <w:t>علی احتمال قویّ</w:t>
      </w:r>
      <w:r>
        <w:rPr>
          <w:rFonts w:eastAsia="IRNazanin" w:cs="IRNazanin"/>
          <w:color w:val="111111"/>
          <w:sz w:val="28"/>
          <w:szCs w:val="28"/>
          <w:rtl w:val="true"/>
          <w:lang w:bidi="fa-IR"/>
        </w:rPr>
        <w:t>.</w:t>
      </w:r>
    </w:p>
    <w:p>
      <w:pPr>
        <w:pStyle w:val="Heading4"/>
        <w:numPr>
          <w:ilvl w:val="3"/>
          <w:numId w:val="1"/>
        </w:numPr>
        <w:rPr/>
      </w:pPr>
      <w:bookmarkStart w:id="4498" w:name="__RefHeading___Toc2569070_3650668749"/>
      <w:bookmarkStart w:id="4499" w:name="_Toc2044"/>
      <w:bookmarkEnd w:id="4498"/>
      <w:r>
        <w:rPr>
          <w:rtl w:val="true"/>
        </w:rPr>
        <w:t>[ (</w:t>
      </w:r>
      <w:r>
        <w:rPr>
          <w:rtl w:val="true"/>
        </w:rPr>
        <w:t xml:space="preserve">مسألة </w:t>
      </w:r>
      <w:r>
        <w:rPr/>
        <w:t>10</w:t>
      </w:r>
      <w:r>
        <w:rPr>
          <w:rtl w:val="true"/>
        </w:rPr>
        <w:t xml:space="preserve">): </w:t>
      </w:r>
      <w:r>
        <w:rPr>
          <w:rtl w:val="true"/>
        </w:rPr>
        <w:t>لو تمکّن من دفع الظالم بالوسائل الموجبة لسلامة الودیعة وجب</w:t>
      </w:r>
      <w:r>
        <w:rPr>
          <w:rtl w:val="true"/>
        </w:rPr>
        <w:t>]</w:t>
      </w:r>
      <w:bookmarkEnd w:id="4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تمکّن من دفع الظالم بالوسائل الموجبة لسلامة الودیعة وجب، حتّی أنّه لو توقّف دفعه عنها علیٰ إنکارها کاذباً بل الحلف علیٰ ذلک جاز بل وجب، فإن لم یفعل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وجوب التوریة علیه مع الإمکان إشکال، أحوطه ذلک، و أقواه العدم</w:t>
      </w:r>
      <w:r>
        <w:rPr>
          <w:rFonts w:eastAsia="IRNazanin" w:cs="IRNazanin"/>
          <w:color w:val="111111"/>
          <w:sz w:val="28"/>
          <w:szCs w:val="28"/>
          <w:rtl w:val="true"/>
          <w:lang w:bidi="fa-IR"/>
        </w:rPr>
        <w:t>.</w:t>
      </w:r>
    </w:p>
    <w:p>
      <w:pPr>
        <w:pStyle w:val="Heading4"/>
        <w:numPr>
          <w:ilvl w:val="3"/>
          <w:numId w:val="1"/>
        </w:numPr>
        <w:rPr/>
      </w:pPr>
      <w:bookmarkStart w:id="4500" w:name="__RefHeading___Toc2569072_3650668749"/>
      <w:bookmarkStart w:id="4501" w:name="_Toc2045"/>
      <w:bookmarkEnd w:id="4500"/>
      <w:r>
        <w:rPr>
          <w:rtl w:val="true"/>
        </w:rPr>
        <w:t>[ (</w:t>
      </w:r>
      <w:r>
        <w:rPr>
          <w:rtl w:val="true"/>
        </w:rPr>
        <w:t xml:space="preserve">مسألة </w:t>
      </w:r>
      <w:r>
        <w:rPr/>
        <w:t>11</w:t>
      </w:r>
      <w:r>
        <w:rPr>
          <w:rtl w:val="true"/>
        </w:rPr>
        <w:t xml:space="preserve">): </w:t>
      </w:r>
      <w:r>
        <w:rPr>
          <w:rtl w:val="true"/>
        </w:rPr>
        <w:t>إذا کانت مدافعته عن الظالم مؤدّیة إلی الضرر علیٰ بدنه من جرح</w:t>
      </w:r>
      <w:r>
        <w:rPr>
          <w:rtl w:val="true"/>
        </w:rPr>
        <w:t>]</w:t>
      </w:r>
      <w:bookmarkEnd w:id="4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مدافعته عن الظالم مؤدّیة إلی الضرر علیٰ بدنه من جرح و غیره أو هتک فی عرضه أو خسارة فی ماله لا یجب تحمّله، بل لا یجوز فی غیر الأخیر، بل فیه أیضاً ببعض 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ما یترتّب علیها یسیراً جدّاً بحیث یتحمّله غالب الناس کما إذا تکلّم معه بکلام خشن لا یکون هاتکاً له بالنظر إلیٰ شرفه و رفعة قدره و إن تأذّیٰ منه بالطبع، فالظاهر وجوب تحمّله</w:t>
      </w:r>
      <w:r>
        <w:rPr>
          <w:rFonts w:eastAsia="IRNazanin" w:cs="IRNazanin"/>
          <w:color w:val="111111"/>
          <w:sz w:val="28"/>
          <w:szCs w:val="28"/>
          <w:rtl w:val="true"/>
          <w:lang w:bidi="fa-IR"/>
        </w:rPr>
        <w:t>.</w:t>
      </w:r>
    </w:p>
    <w:p>
      <w:pPr>
        <w:pStyle w:val="Heading4"/>
        <w:numPr>
          <w:ilvl w:val="3"/>
          <w:numId w:val="1"/>
        </w:numPr>
        <w:rPr/>
      </w:pPr>
      <w:bookmarkStart w:id="4502" w:name="__RefHeading___Toc2569074_3650668749"/>
      <w:bookmarkStart w:id="4503" w:name="_Toc2046"/>
      <w:bookmarkEnd w:id="4502"/>
      <w:r>
        <w:rPr>
          <w:rtl w:val="true"/>
        </w:rPr>
        <w:t>[ (</w:t>
      </w:r>
      <w:r>
        <w:rPr>
          <w:rtl w:val="true"/>
        </w:rPr>
        <w:t xml:space="preserve">مسألة </w:t>
      </w:r>
      <w:r>
        <w:rPr/>
        <w:t>12</w:t>
      </w:r>
      <w:r>
        <w:rPr>
          <w:rtl w:val="true"/>
        </w:rPr>
        <w:t xml:space="preserve">): </w:t>
      </w:r>
      <w:r>
        <w:rPr>
          <w:rtl w:val="true"/>
        </w:rPr>
        <w:t>لو توقّف دفع الظالم عن الودیعة علیٰ بذل مال له أو لغیره</w:t>
      </w:r>
      <w:r>
        <w:rPr>
          <w:rtl w:val="true"/>
        </w:rPr>
        <w:t>]</w:t>
      </w:r>
      <w:bookmarkEnd w:id="450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توقّف دفع الظالم عن الودیعة علیٰ بذل مال له أو لغیره، فإن کان بدفع بعضها وجب، فلو أهمل فأخذ الظالم کلّها ضمن المقدار الزائد علیٰ ما یندفع به منها لا تمامها، فلو کان یندفع بدفع نصفها فأهمل فأخذ تمامها ضمن النصف، و لو کان یقنع بالثلث فأهمل فأخذ الکلّ ضمن الثلثین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فیما إذا کان عنده من شخص ودیعتان و کان الظالم یندفع بدفع إحداهما فأهمل حتّی أخذ کلتیهما، فإن کان یندفع</w:t>
      </w:r>
      <w:bookmarkStart w:id="4504" w:name="pg1809_19445"/>
    </w:p>
    <w:p>
      <w:pPr>
        <w:pStyle w:val="BookText"/>
        <w:rPr/>
      </w:pPr>
      <w:bookmarkEnd w:id="4504"/>
      <w:r>
        <w:rPr>
          <w:rFonts w:ascii="IRNazanin" w:hAnsi="IRNazanin" w:eastAsia="IRNazanin"/>
          <w:color w:val="111111"/>
          <w:sz w:val="28"/>
          <w:sz w:val="28"/>
          <w:szCs w:val="28"/>
          <w:rtl w:val="true"/>
          <w:lang w:bidi="fa-IR"/>
        </w:rPr>
        <w:t>بإحداهما المعیّن ضمن الأُخریٰ، و إن کان بإحداهما لا بعینها ضمن أکثرهما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توقّف دفعه علی المصانعة معه بدفع مال من المستودع لم یجب علیه دفعه تبرّعاً و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مع الرجوع به علی المالک فإن أمکن الاستئذان منه أو ممّن یقوم مقامه کالحاکم عند عدم الوصول إلیه لزم، فإن دفع بلا استئذان لم یستحقّ الرجوع به علیه و إن کان من قصده ذلک، و إن لم یمکن الاستئذان فله أن یدفع </w:t>
      </w:r>
      <w:r>
        <w:rPr>
          <w:rStyle w:val="FootnoteAnchor"/>
          <w:rtl w:val="true"/>
        </w:rPr>
        <w:footnoteReference w:id="1258"/>
      </w:r>
      <w:r>
        <w:rPr>
          <w:rFonts w:ascii="IRNazanin" w:hAnsi="IRNazanin" w:eastAsia="IRNazanin"/>
          <w:color w:val="111111"/>
          <w:sz w:val="28"/>
          <w:sz w:val="28"/>
          <w:szCs w:val="28"/>
          <w:rtl w:val="true"/>
          <w:lang w:bidi="fa-IR"/>
        </w:rPr>
        <w:t>و یرجع به علی المالک إذا کان من قصده الرجوع علیه</w:t>
      </w:r>
      <w:r>
        <w:rPr>
          <w:rFonts w:eastAsia="IRNazanin" w:cs="IRNazanin"/>
          <w:color w:val="111111"/>
          <w:sz w:val="28"/>
          <w:szCs w:val="28"/>
          <w:rtl w:val="true"/>
          <w:lang w:bidi="fa-IR"/>
        </w:rPr>
        <w:t>.</w:t>
      </w:r>
    </w:p>
    <w:p>
      <w:pPr>
        <w:pStyle w:val="Heading4"/>
        <w:numPr>
          <w:ilvl w:val="3"/>
          <w:numId w:val="1"/>
        </w:numPr>
        <w:rPr/>
      </w:pPr>
      <w:bookmarkStart w:id="4505" w:name="__RefHeading___Toc2569076_3650668749"/>
      <w:bookmarkStart w:id="4506" w:name="_Toc2047"/>
      <w:bookmarkEnd w:id="4505"/>
      <w:r>
        <w:rPr>
          <w:rtl w:val="true"/>
        </w:rPr>
        <w:t>[ (</w:t>
      </w:r>
      <w:r>
        <w:rPr>
          <w:rtl w:val="true"/>
        </w:rPr>
        <w:t xml:space="preserve">مسألة </w:t>
      </w:r>
      <w:r>
        <w:rPr/>
        <w:t>13</w:t>
      </w:r>
      <w:r>
        <w:rPr>
          <w:rtl w:val="true"/>
        </w:rPr>
        <w:t xml:space="preserve">): </w:t>
      </w:r>
      <w:r>
        <w:rPr>
          <w:rtl w:val="true"/>
        </w:rPr>
        <w:t>لو کانت الودیعة دابّة یجب علیه سقیها و علفها</w:t>
      </w:r>
      <w:r>
        <w:rPr>
          <w:rtl w:val="true"/>
        </w:rPr>
        <w:t>]</w:t>
      </w:r>
      <w:bookmarkEnd w:id="4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الودیعة دابّة یجب علیه سقیها و علفها و لو </w:t>
      </w:r>
      <w:r>
        <w:rPr>
          <w:rStyle w:val="FootnoteAnchor"/>
          <w:rtl w:val="true"/>
        </w:rPr>
        <w:footnoteReference w:id="1259"/>
      </w:r>
      <w:r>
        <w:rPr>
          <w:rFonts w:ascii="IRNazanin" w:hAnsi="IRNazanin" w:eastAsia="IRNazanin"/>
          <w:color w:val="111111"/>
          <w:sz w:val="28"/>
          <w:sz w:val="28"/>
          <w:szCs w:val="28"/>
          <w:rtl w:val="true"/>
          <w:lang w:bidi="fa-IR"/>
        </w:rPr>
        <w:t>لم یأمره المالک بل و لو نهاه، و لا یجب أن یکون ذلک بمباشرته و أن یکون ذلک فی موضعها، فیجوز أن یسقیها بغلامه مثلًا و کذا یجوز إخراجها من منزله للسقی و إن أمکن سقیها فی موضعها بعد جریان العادة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الطریق مخوفاً لم یجز إخراجها، کما أنّه لا یجوز أن یولّی غیره لذلک إذا کان غیر مأمون إلّا مع مصاحبته أو مصاحبة أمین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مراعاة حفظها علی المعتاد؛ بحیث لا یعدّ معها عرفاً مفرّطاً أو متعدّیاً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بالنسبة إلیٰ أصل سقیها و علفها، و أمّا بالنسبة إلیٰ نفقتها فإن وضع المالک عنده عینها أو قیمتها أو أذن له فی الإنفاق علیها من ماله علیٰ ذمّته فلا إشکال، و إلّا فالواجب أوّلًا الاستئذان من المالک أو وکیله، فإن تعذّر رفع الأمر إلی الحاکم لیأمره بما یراه صلاحاً و لو ببیع بعضها للنفقة، فإن تعذّر الحاکم أنفق </w:t>
      </w:r>
      <w:r>
        <w:rPr>
          <w:rStyle w:val="FootnoteAnchor"/>
          <w:rtl w:val="true"/>
        </w:rPr>
        <w:footnoteReference w:id="1260"/>
      </w:r>
      <w:r>
        <w:rPr>
          <w:rFonts w:ascii="IRNazanin" w:hAnsi="IRNazanin" w:eastAsia="IRNazanin"/>
          <w:color w:val="111111"/>
          <w:sz w:val="28"/>
          <w:sz w:val="28"/>
          <w:szCs w:val="28"/>
          <w:rtl w:val="true"/>
          <w:lang w:bidi="fa-IR"/>
        </w:rPr>
        <w:t>هو من ماله و یرجع به علی المالک مع نیّته</w:t>
      </w:r>
      <w:r>
        <w:rPr>
          <w:rFonts w:eastAsia="IRNazanin" w:cs="IRNazanin"/>
          <w:color w:val="111111"/>
          <w:sz w:val="28"/>
          <w:szCs w:val="28"/>
          <w:rtl w:val="true"/>
          <w:lang w:bidi="fa-IR"/>
        </w:rPr>
        <w:t>.</w:t>
      </w:r>
    </w:p>
    <w:p>
      <w:pPr>
        <w:pStyle w:val="Heading4"/>
        <w:numPr>
          <w:ilvl w:val="3"/>
          <w:numId w:val="1"/>
        </w:numPr>
        <w:rPr/>
      </w:pPr>
      <w:bookmarkStart w:id="4507" w:name="__RefHeading___Toc2569078_3650668749"/>
      <w:bookmarkStart w:id="4508" w:name="_Toc2048"/>
      <w:bookmarkEnd w:id="4507"/>
      <w:r>
        <w:rPr>
          <w:rtl w:val="true"/>
        </w:rPr>
        <w:t>[ (</w:t>
      </w:r>
      <w:r>
        <w:rPr>
          <w:rtl w:val="true"/>
        </w:rPr>
        <w:t xml:space="preserve">مسألة </w:t>
      </w:r>
      <w:r>
        <w:rPr/>
        <w:t>14</w:t>
      </w:r>
      <w:r>
        <w:rPr>
          <w:rtl w:val="true"/>
        </w:rPr>
        <w:t xml:space="preserve">): </w:t>
      </w:r>
      <w:r>
        <w:rPr>
          <w:rtl w:val="true"/>
        </w:rPr>
        <w:t>تبطل الودیعة بموت کلّ واحد من المودع و المستودع أو جنونه</w:t>
      </w:r>
      <w:r>
        <w:rPr>
          <w:rtl w:val="true"/>
        </w:rPr>
        <w:t>]</w:t>
      </w:r>
      <w:bookmarkEnd w:id="450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الودیعة بموت کلّ واحد من المودع و المستودع أو جنونه، فإن کان هو المودع تکون فی ید الودعی أمانة شرعیّة، فیجب علیه فوراً ردّها إلیٰ وارث المودع أو ولیّه أو إعلامهما بها، فإن أهمل لا لعذر شرعیّ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ذلک لعدم العلم بکون من یدّعی الإرث وارثاً، أو انحصار الوارث فیمن علم کونه وارثاً فأخّر الردّ و الإعلام لأجل التروّی و الفحص عن الواقع لم یکن علیه ضمان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الوارث متعدّداً سلّمها إلی الکلّ أو إلیٰ من یقوم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سلّمها إلی البعض من غیر إذن ضمن حصص</w:t>
      </w:r>
      <w:bookmarkStart w:id="4509" w:name="pg1809_19446"/>
    </w:p>
    <w:p>
      <w:pPr>
        <w:pStyle w:val="BookText"/>
        <w:rPr/>
      </w:pPr>
      <w:bookmarkEnd w:id="4509"/>
      <w:r>
        <w:rPr>
          <w:rFonts w:ascii="IRNazanin" w:hAnsi="IRNazanin" w:eastAsia="IRNazanin"/>
          <w:color w:val="111111"/>
          <w:sz w:val="28"/>
          <w:sz w:val="28"/>
          <w:szCs w:val="28"/>
          <w:rtl w:val="true"/>
          <w:lang w:bidi="fa-IR"/>
        </w:rPr>
        <w:t>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هو المستودع تکون أمانة شرعیّة فی ید وارثه </w:t>
      </w:r>
      <w:r>
        <w:rPr>
          <w:rStyle w:val="FootnoteAnchor"/>
          <w:rtl w:val="true"/>
        </w:rPr>
        <w:footnoteReference w:id="1261"/>
      </w:r>
      <w:r>
        <w:rPr>
          <w:rFonts w:ascii="IRNazanin" w:hAnsi="IRNazanin" w:eastAsia="IRNazanin"/>
          <w:color w:val="111111"/>
          <w:sz w:val="28"/>
          <w:sz w:val="28"/>
          <w:szCs w:val="28"/>
          <w:rtl w:val="true"/>
          <w:lang w:bidi="fa-IR"/>
        </w:rPr>
        <w:t>أو ولیّه یجب علیهما ما ذکر من الردّ إلی المودع أو إعلامه فوراً</w:t>
      </w:r>
      <w:r>
        <w:rPr>
          <w:rFonts w:eastAsia="IRNazanin" w:cs="IRNazanin"/>
          <w:color w:val="111111"/>
          <w:sz w:val="28"/>
          <w:szCs w:val="28"/>
          <w:rtl w:val="true"/>
          <w:lang w:bidi="fa-IR"/>
        </w:rPr>
        <w:t>.</w:t>
      </w:r>
    </w:p>
    <w:p>
      <w:pPr>
        <w:pStyle w:val="Heading4"/>
        <w:numPr>
          <w:ilvl w:val="3"/>
          <w:numId w:val="1"/>
        </w:numPr>
        <w:rPr/>
      </w:pPr>
      <w:bookmarkStart w:id="4510" w:name="__RefHeading___Toc2569080_3650668749"/>
      <w:bookmarkStart w:id="4511" w:name="_Toc2049"/>
      <w:bookmarkEnd w:id="4510"/>
      <w:r>
        <w:rPr>
          <w:rtl w:val="true"/>
        </w:rPr>
        <w:t>[ (</w:t>
      </w:r>
      <w:r>
        <w:rPr>
          <w:rtl w:val="true"/>
        </w:rPr>
        <w:t xml:space="preserve">مسألة </w:t>
      </w:r>
      <w:r>
        <w:rPr/>
        <w:t>15</w:t>
      </w:r>
      <w:r>
        <w:rPr>
          <w:rtl w:val="true"/>
        </w:rPr>
        <w:t xml:space="preserve">): </w:t>
      </w:r>
      <w:r>
        <w:rPr>
          <w:rtl w:val="true"/>
        </w:rPr>
        <w:t>یجب ردّ الودیعة عند المطالبة فی أوّل وقت الإمکان و إن کان المودع کافراً محترم المال</w:t>
      </w:r>
      <w:r>
        <w:rPr>
          <w:rtl w:val="true"/>
        </w:rPr>
        <w:t>]</w:t>
      </w:r>
      <w:bookmarkEnd w:id="4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ردّ الودیعة عند المطالبة فی أوّل وقت الإمکان و إن کان المودع کافراً محترم المال، بل و إن کان حربیّا مباح المال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هو الواجب علیه رفع یده عنها و التخلیة بین المالک و بینها لا نقلها إلی المالک، فلو کانت فی صندوق مقفل أو بیت مغلق ففتحهما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هی ودیعتک خذها، فقد أدّی ما هو تکلیفه و خرج من عهدته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الواجب علیه مع الإمکان الفوریّة العرفیّة، فلا یجب علیه الرکض و نحوه و الخروج من الحمّام فوراً و قطع الطعام و الصلاة و إن کانت نافلة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یجوز له التأخیر لیشهد علیه؟ قولان، أقواهما </w:t>
      </w:r>
      <w:r>
        <w:rPr>
          <w:rStyle w:val="FootnoteAnchor"/>
          <w:rtl w:val="true"/>
        </w:rPr>
        <w:footnoteReference w:id="1262"/>
      </w:r>
      <w:r>
        <w:rPr>
          <w:rFonts w:ascii="IRNazanin" w:hAnsi="IRNazanin" w:eastAsia="IRNazanin"/>
          <w:color w:val="111111"/>
          <w:sz w:val="28"/>
          <w:sz w:val="28"/>
          <w:szCs w:val="28"/>
          <w:rtl w:val="true"/>
          <w:lang w:bidi="fa-IR"/>
        </w:rPr>
        <w:t>ذلک، خصوصاً لو کان الإیداع مع الإشهاد، هذا إذا لم یرخّص فی التأخیر و عدم الإسراع و التعجیل و إلّا فلا إشکال فی عدم وجوب المبادرة</w:t>
      </w:r>
      <w:r>
        <w:rPr>
          <w:rFonts w:eastAsia="IRNazanin" w:cs="IRNazanin"/>
          <w:color w:val="111111"/>
          <w:sz w:val="28"/>
          <w:szCs w:val="28"/>
          <w:rtl w:val="true"/>
          <w:lang w:bidi="fa-IR"/>
        </w:rPr>
        <w:t>.</w:t>
      </w:r>
    </w:p>
    <w:p>
      <w:pPr>
        <w:pStyle w:val="Heading4"/>
        <w:numPr>
          <w:ilvl w:val="3"/>
          <w:numId w:val="1"/>
        </w:numPr>
        <w:rPr/>
      </w:pPr>
      <w:bookmarkStart w:id="4512" w:name="__RefHeading___Toc2569082_3650668749"/>
      <w:bookmarkStart w:id="4513" w:name="_Toc2050"/>
      <w:bookmarkEnd w:id="4512"/>
      <w:r>
        <w:rPr>
          <w:rtl w:val="true"/>
        </w:rPr>
        <w:t>[ (</w:t>
      </w:r>
      <w:r>
        <w:rPr>
          <w:rtl w:val="true"/>
        </w:rPr>
        <w:t xml:space="preserve">مسألة </w:t>
      </w:r>
      <w:r>
        <w:rPr/>
        <w:t>16</w:t>
      </w:r>
      <w:r>
        <w:rPr>
          <w:rtl w:val="true"/>
        </w:rPr>
        <w:t xml:space="preserve">): </w:t>
      </w:r>
      <w:r>
        <w:rPr>
          <w:rtl w:val="true"/>
        </w:rPr>
        <w:t>لو أودع اللصّ ما سرقه عند أحد لا یجوز له ردّه علیه</w:t>
      </w:r>
      <w:r>
        <w:rPr>
          <w:rtl w:val="true"/>
        </w:rPr>
        <w:t>]</w:t>
      </w:r>
      <w:bookmarkEnd w:id="4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أودع اللصّ ما سرقه عند أحد لا یجوز له ردّه علیه مع الإمکان، بل یکون أمانة شرعیّة فی یده، فیجب علیه إیصاله إلیٰ صاحبه إن عرفه، و إلّا عرّف سنة فإن لم یجد صاحبه تصدّق به </w:t>
      </w:r>
      <w:r>
        <w:rPr>
          <w:rStyle w:val="FootnoteAnchor"/>
          <w:rtl w:val="true"/>
        </w:rPr>
        <w:footnoteReference w:id="1263"/>
      </w:r>
      <w:r>
        <w:rPr>
          <w:rFonts w:ascii="IRNazanin" w:hAnsi="IRNazanin" w:eastAsia="IRNazanin"/>
          <w:color w:val="111111"/>
          <w:sz w:val="28"/>
          <w:sz w:val="28"/>
          <w:szCs w:val="28"/>
          <w:rtl w:val="true"/>
          <w:lang w:bidi="fa-IR"/>
        </w:rPr>
        <w:t>عنه، فإن جاء بعد ذلک خیّره بین الأجر و الغرم، فإن اختار أجر الصدقة کان له، و إن اختار الغرامة غرم له و کان الأجر له</w:t>
      </w:r>
      <w:r>
        <w:rPr>
          <w:rFonts w:eastAsia="IRNazanin" w:cs="IRNazanin"/>
          <w:color w:val="111111"/>
          <w:sz w:val="28"/>
          <w:szCs w:val="28"/>
          <w:rtl w:val="true"/>
          <w:lang w:bidi="fa-IR"/>
        </w:rPr>
        <w:t>.</w:t>
      </w:r>
    </w:p>
    <w:p>
      <w:pPr>
        <w:pStyle w:val="Heading4"/>
        <w:numPr>
          <w:ilvl w:val="3"/>
          <w:numId w:val="1"/>
        </w:numPr>
        <w:rPr/>
      </w:pPr>
      <w:bookmarkStart w:id="4514" w:name="__RefHeading___Toc2569084_3650668749"/>
      <w:bookmarkStart w:id="4515" w:name="_Toc2051"/>
      <w:bookmarkEnd w:id="4514"/>
      <w:r>
        <w:rPr>
          <w:rtl w:val="true"/>
        </w:rPr>
        <w:t>[ (</w:t>
      </w:r>
      <w:r>
        <w:rPr>
          <w:rtl w:val="true"/>
        </w:rPr>
        <w:t xml:space="preserve">مسألة </w:t>
      </w:r>
      <w:r>
        <w:rPr/>
        <w:t>17</w:t>
      </w:r>
      <w:r>
        <w:rPr>
          <w:rtl w:val="true"/>
        </w:rPr>
        <w:t xml:space="preserve">): </w:t>
      </w:r>
      <w:r>
        <w:rPr>
          <w:rtl w:val="true"/>
        </w:rPr>
        <w:t>و کما یجب ردّ الودیعة عند مطالبة المالک</w:t>
      </w:r>
      <w:r>
        <w:rPr>
          <w:rtl w:val="true"/>
        </w:rPr>
        <w:t>]</w:t>
      </w:r>
      <w:bookmarkEnd w:id="4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یجب ردّ الودیعة عند مطالبة المالک، یجب ردّها إذا خاف علیها من تلف أو سرق أو حرق و نحو ذلک، فإن أمکن إیصالها إلی المالک أو وکیله الخاصّ أو العامّ تعیّن، و إلّا فلیوصلها إلی الحاکم لو کان قادراً علیٰ 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فقد الحاکم أو کانت عنده أیضاً فی معرض التلف بسبب من الأسباب، أودعها عند ثقة أمین متمکّن من حفظها</w:t>
      </w:r>
      <w:r>
        <w:rPr>
          <w:rFonts w:eastAsia="IRNazanin" w:cs="IRNazanin"/>
          <w:color w:val="111111"/>
          <w:sz w:val="28"/>
          <w:szCs w:val="28"/>
          <w:rtl w:val="true"/>
          <w:lang w:bidi="fa-IR"/>
        </w:rPr>
        <w:t>.</w:t>
      </w:r>
    </w:p>
    <w:p>
      <w:pPr>
        <w:pStyle w:val="Heading4"/>
        <w:numPr>
          <w:ilvl w:val="3"/>
          <w:numId w:val="1"/>
        </w:numPr>
        <w:rPr/>
      </w:pPr>
      <w:bookmarkStart w:id="4516" w:name="__RefHeading___Toc2569086_3650668749"/>
      <w:bookmarkStart w:id="4517" w:name="_Toc2052"/>
      <w:bookmarkEnd w:id="4516"/>
      <w:r>
        <w:rPr>
          <w:rtl w:val="true"/>
        </w:rPr>
        <w:t>[ (</w:t>
      </w:r>
      <w:r>
        <w:rPr>
          <w:rtl w:val="true"/>
        </w:rPr>
        <w:t xml:space="preserve">مسألة </w:t>
      </w:r>
      <w:r>
        <w:rPr/>
        <w:t>18</w:t>
      </w:r>
      <w:r>
        <w:rPr>
          <w:rtl w:val="true"/>
        </w:rPr>
        <w:t xml:space="preserve">): </w:t>
      </w:r>
      <w:r>
        <w:rPr>
          <w:rtl w:val="true"/>
        </w:rPr>
        <w:t>إذا ظهر للمستودع أمارة الموت بسبب المرض المخوف أو غیره</w:t>
      </w:r>
      <w:r>
        <w:rPr>
          <w:rtl w:val="true"/>
        </w:rPr>
        <w:t>]</w:t>
      </w:r>
      <w:bookmarkEnd w:id="451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للمستودع أمارة الموت بسبب المرض المخوف أو غیره، یجب علیه ردّها إلیٰ مالکها أو وکیله مع الإمکان و إلّا فإلی الحاکم، و مع فقده یوصی و یشهد بها،</w:t>
      </w:r>
      <w:bookmarkStart w:id="4518" w:name="pg1809_19447"/>
    </w:p>
    <w:p>
      <w:pPr>
        <w:pStyle w:val="BookText"/>
        <w:rPr/>
      </w:pPr>
      <w:bookmarkEnd w:id="4518"/>
      <w:r>
        <w:rPr>
          <w:rFonts w:ascii="IRNazanin" w:hAnsi="IRNazanin" w:eastAsia="IRNazanin"/>
          <w:color w:val="111111"/>
          <w:sz w:val="28"/>
          <w:sz w:val="28"/>
          <w:szCs w:val="28"/>
          <w:rtl w:val="true"/>
          <w:lang w:bidi="fa-IR"/>
        </w:rPr>
        <w:t>فلو أهمل عن ذلک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الإیصاء و الإشهاد بنحو یترتّب علیهما حفظ الودیعة و عدم ذهابها علیٰ مالکها، فلا بدّ من ذکر الجنس و الوصف و تعیین المکان و المالک، فلا یکفی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ودیعة لبعض الناس، فإنّ مثل هذا لا یجدی فی إیصالها إلیٰ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یقویٰ عدم لزومها رأساً و من أصله فیما إذا کان الوارث مطّلعاً علیها و کان ثقة أمیناً</w:t>
      </w:r>
      <w:r>
        <w:rPr>
          <w:rFonts w:eastAsia="IRNazanin" w:cs="IRNazanin"/>
          <w:color w:val="111111"/>
          <w:sz w:val="28"/>
          <w:szCs w:val="28"/>
          <w:rtl w:val="true"/>
          <w:lang w:bidi="fa-IR"/>
        </w:rPr>
        <w:t>.</w:t>
      </w:r>
    </w:p>
    <w:p>
      <w:pPr>
        <w:pStyle w:val="Heading4"/>
        <w:numPr>
          <w:ilvl w:val="3"/>
          <w:numId w:val="1"/>
        </w:numPr>
        <w:rPr/>
      </w:pPr>
      <w:bookmarkStart w:id="4519" w:name="__RefHeading___Toc2569088_3650668749"/>
      <w:bookmarkStart w:id="4520" w:name="_Toc2053"/>
      <w:bookmarkEnd w:id="4519"/>
      <w:r>
        <w:rPr>
          <w:rtl w:val="true"/>
        </w:rPr>
        <w:t>[ (</w:t>
      </w:r>
      <w:r>
        <w:rPr>
          <w:rtl w:val="true"/>
        </w:rPr>
        <w:t xml:space="preserve">مسألة </w:t>
      </w:r>
      <w:r>
        <w:rPr/>
        <w:t>19</w:t>
      </w:r>
      <w:r>
        <w:rPr>
          <w:rtl w:val="true"/>
        </w:rPr>
        <w:t xml:space="preserve">): </w:t>
      </w:r>
      <w:r>
        <w:rPr>
          <w:rtl w:val="true"/>
        </w:rPr>
        <w:t>یجوز للمستودع أن یسافر و یبقی الودیعة فی حرزها السابق عند أهله و عیاله</w:t>
      </w:r>
      <w:r>
        <w:rPr>
          <w:rtl w:val="true"/>
        </w:rPr>
        <w:t>]</w:t>
      </w:r>
      <w:bookmarkEnd w:id="4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للمستودع أن یسافر و یبقی الودیعة فی حرزها السابق عند أهله و عیاله، لو لم یکن السفر ضروریّاً، إذا لم یتوقّف حفظها علیٰ حضوره، و إلّا فیلزم علیه إمّا الإقامة و ترک السفر و إمّا ردّها إلیٰ مالکها أو وکیله مع الإمکان أو إیصالها إلی الحاکم مع التعذّر، و مع فقده فالظاهر تعیّن الإقامة و ترک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أن یسافر بها و لو مع أمن الطریق </w:t>
      </w:r>
      <w:r>
        <w:rPr>
          <w:rStyle w:val="FootnoteAnchor"/>
          <w:rtl w:val="true"/>
        </w:rPr>
        <w:footnoteReference w:id="1264"/>
      </w:r>
      <w:r>
        <w:rPr>
          <w:rFonts w:ascii="IRNazanin" w:hAnsi="IRNazanin" w:eastAsia="IRNazanin"/>
          <w:color w:val="111111"/>
          <w:sz w:val="28"/>
          <w:sz w:val="28"/>
          <w:szCs w:val="28"/>
          <w:rtl w:val="true"/>
          <w:lang w:bidi="fa-IR"/>
        </w:rPr>
        <w:t xml:space="preserve">و لا إیداعها عند الأمین علی الأحوط، لو لم یکن أقوی </w:t>
      </w:r>
      <w:r>
        <w:rPr>
          <w:rStyle w:val="FootnoteAnchor"/>
          <w:rtl w:val="true"/>
        </w:rPr>
        <w:footnoteReference w:id="1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السفر ضروریّاً له، فإن تعذّر ردّها إلی المالک أو وکیله و کذا إیصالها إلی الحاکم تعیّن إیداعها عند أمین، فإن تعذّر سافر بها محافظاً لها بقدر الإمکان و لیس علیه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مثل سفر الحجّ و نحوه من الأسفار الطویلة الکثیرة الخطر اللازم أن یعامل فیه معاملة من ظهر له أمارة الموت من ردّها ثمّ الإیصاء و الإشهاد بها علیٰ ما سبق تفصیله</w:t>
      </w:r>
      <w:r>
        <w:rPr>
          <w:rFonts w:eastAsia="IRNazanin" w:cs="IRNazanin"/>
          <w:color w:val="111111"/>
          <w:sz w:val="28"/>
          <w:szCs w:val="28"/>
          <w:rtl w:val="true"/>
          <w:lang w:bidi="fa-IR"/>
        </w:rPr>
        <w:t>.</w:t>
      </w:r>
    </w:p>
    <w:p>
      <w:pPr>
        <w:pStyle w:val="Heading4"/>
        <w:numPr>
          <w:ilvl w:val="3"/>
          <w:numId w:val="1"/>
        </w:numPr>
        <w:rPr/>
      </w:pPr>
      <w:bookmarkStart w:id="4521" w:name="__RefHeading___Toc2569090_3650668749"/>
      <w:bookmarkStart w:id="4522" w:name="_Toc2054"/>
      <w:bookmarkEnd w:id="4521"/>
      <w:r>
        <w:rPr>
          <w:rtl w:val="true"/>
        </w:rPr>
        <w:t>[ (</w:t>
      </w:r>
      <w:r>
        <w:rPr>
          <w:rtl w:val="true"/>
        </w:rPr>
        <w:t xml:space="preserve">مسألة </w:t>
      </w:r>
      <w:r>
        <w:rPr/>
        <w:t>20</w:t>
      </w:r>
      <w:r>
        <w:rPr>
          <w:rtl w:val="true"/>
        </w:rPr>
        <w:t xml:space="preserve">): </w:t>
      </w:r>
      <w:r>
        <w:rPr>
          <w:rtl w:val="true"/>
        </w:rPr>
        <w:t>المستودع أمین لیس علیه ضمان لو تلفت الودیعة أو تعیّبت بیده</w:t>
      </w:r>
      <w:r>
        <w:rPr>
          <w:rtl w:val="true"/>
        </w:rPr>
        <w:t>]</w:t>
      </w:r>
      <w:bookmarkEnd w:id="4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المستودع أمین لیس علیه ضمان لو تلفت الودیعة أو تعیّبت بیده إلّا عند التفریط أو التعدّی، کما هو الحال فی کلّ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التفریط فهو الإهمال فی محافظتها و ترک ما یوجب حفظها علیٰ مجری العادات؛ بحیث یعدّ معه عند العرف مضیّعاً و مسامحاً، کما إذا طرحها فی محلّ لیس بحرز و ذهب عنها غیر مراقب لها، أو ترک سقی الدابّة و علفها، أو ترک نشر ثوب الصوف أو الإبریسم فی الصیف، أو أودعها أو سافر بها </w:t>
      </w:r>
      <w:r>
        <w:rPr>
          <w:rStyle w:val="FootnoteAnchor"/>
          <w:rtl w:val="true"/>
        </w:rPr>
        <w:footnoteReference w:id="1266"/>
      </w:r>
      <w:r>
        <w:rPr>
          <w:rFonts w:ascii="IRNazanin" w:hAnsi="IRNazanin" w:eastAsia="IRNazanin"/>
          <w:color w:val="111111"/>
          <w:sz w:val="28"/>
          <w:sz w:val="28"/>
          <w:szCs w:val="28"/>
          <w:rtl w:val="true"/>
          <w:lang w:bidi="fa-IR"/>
        </w:rPr>
        <w:t>من غیر ضرورة، أو ترک التحفّظ من الندی فیما تفسده النداوة کالکتب و بعض الأقمشة و غیر ذلک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التعدّی فهو أن یتصرّف فیها بما لم یأذن له المالک، مثل أن یلبس الثوب أو یفرش</w:t>
      </w:r>
      <w:bookmarkStart w:id="4523" w:name="pg1809_19448"/>
    </w:p>
    <w:p>
      <w:pPr>
        <w:pStyle w:val="BookText"/>
        <w:rPr/>
      </w:pPr>
      <w:bookmarkEnd w:id="4523"/>
      <w:r>
        <w:rPr>
          <w:rFonts w:ascii="IRNazanin" w:hAnsi="IRNazanin" w:eastAsia="IRNazanin"/>
          <w:color w:val="111111"/>
          <w:sz w:val="28"/>
          <w:sz w:val="28"/>
          <w:szCs w:val="28"/>
          <w:rtl w:val="true"/>
          <w:lang w:bidi="fa-IR"/>
        </w:rPr>
        <w:t>الفراش أو یرکب الدابّة إذا لم یتوقّف حفظها علی التصرّف، کما إذا توقّف حفظ الثوب و الفراش من الدود علی اللبس و الافتراش، أو یصدر منه بالنسبة إلیها ما ینافی الأمانة و یکون یده علیها علیٰ وجه الخیانة، کما إذا جحدها لا لمصلحة الودیعة و لا لعذر من نسیان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یجتمع التفریط مع التعدّی کما إذا طرح الثوب أو القماش أو الکتب و نحوها فی موضع یعفّنها أو یفسدها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 ذلک ما إذا أودعه دراهم مثلًا فی کیس مختوم أو مخیط أو مشدود، فکسر ختمه أو حلّ خیطه و شدّه من دون ضرورة و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التعدّی خلط الودیعة بماله؛ سواء کان بالجنس أو بغیره و سواء کان بالمساوی أو بالأجود أو بالأردإ، و أمّا لو مزجه بالجنس من مال المودع کما إذا أودع عنده دراهم فی کیسین غیر مختومین و لا مشدودین فجعلهما کیساً واحداً، ففیه إشکال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4" w:name="__RefHeading___Toc2569092_3650668749"/>
      <w:bookmarkStart w:id="4525" w:name="_Toc2055"/>
      <w:bookmarkEnd w:id="4524"/>
      <w:r>
        <w:rPr>
          <w:rtl w:val="true"/>
        </w:rPr>
        <w:t>[ (</w:t>
      </w:r>
      <w:r>
        <w:rPr>
          <w:rtl w:val="true"/>
        </w:rPr>
        <w:t xml:space="preserve">مسألة </w:t>
      </w:r>
      <w:r>
        <w:rPr/>
        <w:t>21</w:t>
      </w:r>
      <w:r>
        <w:rPr>
          <w:rtl w:val="true"/>
        </w:rPr>
        <w:t xml:space="preserve">): </w:t>
      </w:r>
      <w:r>
        <w:rPr>
          <w:rtl w:val="true"/>
        </w:rPr>
        <w:t>معنیٰ کونها مضمونة بالتفریط و التعدّی، کون ضمانها علیه لو تلفت</w:t>
      </w:r>
      <w:r>
        <w:rPr>
          <w:rtl w:val="true"/>
        </w:rPr>
        <w:t>]</w:t>
      </w:r>
      <w:bookmarkEnd w:id="4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کونها مضمونة بالتفریط و التعدّی، کون ضمانها علیه لو تلفت و لو لم یکن تلفها مستنداً إلیٰ تفریطه و تعدّیه،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تتبدّل یده الأمانیّة الغیر الضمانیّة إلی الخیانة الضمانیّة</w:t>
      </w:r>
      <w:r>
        <w:rPr>
          <w:rFonts w:eastAsia="IRNazanin" w:cs="IRNazanin"/>
          <w:color w:val="111111"/>
          <w:sz w:val="28"/>
          <w:szCs w:val="28"/>
          <w:rtl w:val="true"/>
          <w:lang w:bidi="fa-IR"/>
        </w:rPr>
        <w:t>.</w:t>
      </w:r>
    </w:p>
    <w:p>
      <w:pPr>
        <w:pStyle w:val="Heading4"/>
        <w:numPr>
          <w:ilvl w:val="3"/>
          <w:numId w:val="1"/>
        </w:numPr>
        <w:rPr/>
      </w:pPr>
      <w:bookmarkStart w:id="4526" w:name="__RefHeading___Toc2569094_3650668749"/>
      <w:bookmarkStart w:id="4527" w:name="_Toc2056"/>
      <w:bookmarkEnd w:id="4526"/>
      <w:r>
        <w:rPr>
          <w:rtl w:val="true"/>
        </w:rPr>
        <w:t>[ (</w:t>
      </w:r>
      <w:r>
        <w:rPr>
          <w:rtl w:val="true"/>
        </w:rPr>
        <w:t xml:space="preserve">مسألة </w:t>
      </w:r>
      <w:r>
        <w:rPr/>
        <w:t>22</w:t>
      </w:r>
      <w:r>
        <w:rPr>
          <w:rtl w:val="true"/>
        </w:rPr>
        <w:t xml:space="preserve">): </w:t>
      </w:r>
      <w:r>
        <w:rPr>
          <w:rtl w:val="true"/>
        </w:rPr>
        <w:t>لو نوی التصرّف فی الودیعة و لم یتصرّف فیها، لم یضمن بمجرّد النیّة</w:t>
      </w:r>
      <w:r>
        <w:rPr>
          <w:rtl w:val="true"/>
        </w:rPr>
        <w:t>]</w:t>
      </w:r>
      <w:bookmarkEnd w:id="4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 التصرّف فی الودیعة و لم یتصرّف فیها، لم یضمن بمجرّد النیّة، نعم لو نوی الغصبیّة بأن قصد الاستیلاء علیها و التغلّب علیٰ مالکها کسائر الغاصبین ضمنها؛ لصیرورة یده ید عدوان بعد ما کانت ید استئمان، و لو رجع عن قصده لم یزل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ما إذا جحد الودیعة أو طلبت منه فامتنع من الردّ مع التمکّن عقلًا و شرعاً، فإنّه یضمنها بمجرّد ذلک، و لم یبرأ من الضمان لو عدل عن جحوده أو امتناعه</w:t>
      </w:r>
      <w:r>
        <w:rPr>
          <w:rFonts w:eastAsia="IRNazanin" w:cs="IRNazanin"/>
          <w:color w:val="111111"/>
          <w:sz w:val="28"/>
          <w:szCs w:val="28"/>
          <w:rtl w:val="true"/>
          <w:lang w:bidi="fa-IR"/>
        </w:rPr>
        <w:t>.</w:t>
      </w:r>
    </w:p>
    <w:p>
      <w:pPr>
        <w:pStyle w:val="Heading4"/>
        <w:numPr>
          <w:ilvl w:val="3"/>
          <w:numId w:val="1"/>
        </w:numPr>
        <w:rPr/>
      </w:pPr>
      <w:bookmarkStart w:id="4528" w:name="__RefHeading___Toc2569096_3650668749"/>
      <w:bookmarkStart w:id="4529" w:name="_Toc2057"/>
      <w:bookmarkEnd w:id="4528"/>
      <w:r>
        <w:rPr>
          <w:rtl w:val="true"/>
        </w:rPr>
        <w:t>[ (</w:t>
      </w:r>
      <w:r>
        <w:rPr>
          <w:rtl w:val="true"/>
        </w:rPr>
        <w:t xml:space="preserve">مسألة </w:t>
      </w:r>
      <w:r>
        <w:rPr/>
        <w:t>23</w:t>
      </w:r>
      <w:r>
        <w:rPr>
          <w:rtl w:val="true"/>
        </w:rPr>
        <w:t xml:space="preserve">): </w:t>
      </w:r>
      <w:r>
        <w:rPr>
          <w:rtl w:val="true"/>
        </w:rPr>
        <w:t>لو کانت الودیعة فی کیس مختوم مثلًا ففتحها و أخذ بعضها ضمن الجمیع</w:t>
      </w:r>
      <w:r>
        <w:rPr>
          <w:rtl w:val="true"/>
        </w:rPr>
        <w:t>]</w:t>
      </w:r>
      <w:bookmarkEnd w:id="452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الودیعة فی کیس مختوم مثلًا ففتحها و أخذ بعضها ضمن الجمیع، بل المتّجه الضمان بمجرّد الفتح 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لم تکن مودعة فی حرز أو کانت فی حرز من المستودع </w:t>
      </w:r>
      <w:r>
        <w:rPr>
          <w:rStyle w:val="FootnoteAnchor"/>
          <w:rtl w:val="true"/>
        </w:rPr>
        <w:footnoteReference w:id="1268"/>
      </w:r>
      <w:r>
        <w:rPr>
          <w:rFonts w:ascii="IRNazanin" w:hAnsi="IRNazanin" w:eastAsia="IRNazanin"/>
          <w:color w:val="111111"/>
          <w:sz w:val="28"/>
          <w:sz w:val="28"/>
          <w:szCs w:val="28"/>
          <w:rtl w:val="true"/>
          <w:lang w:bidi="fa-IR"/>
        </w:rPr>
        <w:t>فأخذ بعضها، فإن کان من قصده الاقتصار علیه فالظاهر</w:t>
      </w:r>
      <w:bookmarkStart w:id="4530" w:name="pg1809_19449"/>
    </w:p>
    <w:p>
      <w:pPr>
        <w:pStyle w:val="BookText"/>
        <w:rPr/>
      </w:pPr>
      <w:bookmarkEnd w:id="4530"/>
      <w:r>
        <w:rPr>
          <w:rFonts w:ascii="IRNazanin" w:hAnsi="IRNazanin" w:eastAsia="IRNazanin"/>
          <w:color w:val="111111"/>
          <w:sz w:val="28"/>
          <w:sz w:val="28"/>
          <w:szCs w:val="28"/>
          <w:rtl w:val="true"/>
          <w:lang w:bidi="fa-IR"/>
        </w:rPr>
        <w:t>قصر الضمان علی المأخوذ دون ما بقی، و أمّا لو کان من قصده عدم الاقتصار بل أخذ التمام شیئاً فشیئاً فلا یبعد أن یکون ضامناً للجمیع</w:t>
      </w:r>
      <w:r>
        <w:rPr>
          <w:rFonts w:eastAsia="IRNazanin" w:cs="IRNazanin"/>
          <w:color w:val="111111"/>
          <w:sz w:val="28"/>
          <w:szCs w:val="28"/>
          <w:rtl w:val="true"/>
          <w:lang w:bidi="fa-IR"/>
        </w:rPr>
        <w:t>.</w:t>
      </w:r>
    </w:p>
    <w:p>
      <w:pPr>
        <w:pStyle w:val="Heading4"/>
        <w:numPr>
          <w:ilvl w:val="3"/>
          <w:numId w:val="1"/>
        </w:numPr>
        <w:rPr/>
      </w:pPr>
      <w:bookmarkStart w:id="4531" w:name="__RefHeading___Toc2569098_3650668749"/>
      <w:bookmarkStart w:id="4532" w:name="_Toc2058"/>
      <w:bookmarkEnd w:id="4531"/>
      <w:r>
        <w:rPr>
          <w:rtl w:val="true"/>
        </w:rPr>
        <w:t>[ (</w:t>
      </w:r>
      <w:r>
        <w:rPr>
          <w:rtl w:val="true"/>
        </w:rPr>
        <w:t xml:space="preserve">مسألة </w:t>
      </w:r>
      <w:r>
        <w:rPr/>
        <w:t>24</w:t>
      </w:r>
      <w:r>
        <w:rPr>
          <w:rtl w:val="true"/>
        </w:rPr>
        <w:t xml:space="preserve">): </w:t>
      </w:r>
      <w:r>
        <w:rPr>
          <w:rtl w:val="true"/>
        </w:rPr>
        <w:t>لو سلّمها إلیٰ زوجته أو ولده أو خادمه لیحرزوها ضمن، إلّا أن یکونوا کالآلة</w:t>
      </w:r>
      <w:r>
        <w:rPr>
          <w:rtl w:val="true"/>
        </w:rPr>
        <w:t>]</w:t>
      </w:r>
      <w:bookmarkEnd w:id="4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سلّمها إلیٰ زوجته أو ولده أو خادمه لیحرزوها ضمن، إلّا أن یکونوا کالآلة؛ لکون ذلک بمحضره و باطّلاعه و مشاهدته</w:t>
      </w:r>
      <w:r>
        <w:rPr>
          <w:rFonts w:eastAsia="IRNazanin" w:cs="IRNazanin"/>
          <w:color w:val="111111"/>
          <w:sz w:val="28"/>
          <w:szCs w:val="28"/>
          <w:rtl w:val="true"/>
          <w:lang w:bidi="fa-IR"/>
        </w:rPr>
        <w:t>.</w:t>
      </w:r>
    </w:p>
    <w:p>
      <w:pPr>
        <w:pStyle w:val="Heading4"/>
        <w:numPr>
          <w:ilvl w:val="3"/>
          <w:numId w:val="1"/>
        </w:numPr>
        <w:rPr/>
      </w:pPr>
      <w:bookmarkStart w:id="4533" w:name="__RefHeading___Toc2569100_3650668749"/>
      <w:bookmarkStart w:id="4534" w:name="_Toc2059"/>
      <w:bookmarkEnd w:id="4533"/>
      <w:r>
        <w:rPr>
          <w:rtl w:val="true"/>
        </w:rPr>
        <w:t>[ (</w:t>
      </w:r>
      <w:r>
        <w:rPr>
          <w:rtl w:val="true"/>
        </w:rPr>
        <w:t xml:space="preserve">مسألة </w:t>
      </w:r>
      <w:r>
        <w:rPr/>
        <w:t>25</w:t>
      </w:r>
      <w:r>
        <w:rPr>
          <w:rtl w:val="true"/>
        </w:rPr>
        <w:t xml:space="preserve">): </w:t>
      </w:r>
      <w:r>
        <w:rPr>
          <w:rtl w:val="true"/>
        </w:rPr>
        <w:t>إذا فرّط فی الودیعة ثمّ رجع عن تفریطه؛ بأن جعلها فی الحرز المضبوط و قام بما یوجب حفظها</w:t>
      </w:r>
      <w:r>
        <w:rPr>
          <w:rtl w:val="true"/>
        </w:rPr>
        <w:t>]</w:t>
      </w:r>
      <w:bookmarkEnd w:id="4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فرّط فی الودیعة ثمّ رجع عن تفریطه؛ بأن جعلها فی الحرز المضبوط و قام بما یوجب حفظها، أو تعدّیٰ ثمّ رجع کما إذا لبس الثوب ثمّ نزعه لم یبرأ من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جدّد المالک له الاستئمان </w:t>
      </w:r>
      <w:r>
        <w:rPr>
          <w:rStyle w:val="FootnoteAnchor"/>
          <w:rtl w:val="true"/>
        </w:rPr>
        <w:footnoteReference w:id="1269"/>
      </w:r>
      <w:r>
        <w:rPr>
          <w:rFonts w:ascii="IRNazanin" w:hAnsi="IRNazanin" w:eastAsia="IRNazanin"/>
          <w:color w:val="111111"/>
          <w:sz w:val="28"/>
          <w:sz w:val="28"/>
          <w:szCs w:val="28"/>
          <w:rtl w:val="true"/>
          <w:lang w:bidi="fa-IR"/>
        </w:rPr>
        <w:t>ارتفع الضمان، فهو مثل ما إذا کان مال بید الغاصب فجعله بیده أمانة، فإنّ الظاهر أنّه بذلک یرتفع الضمان من جهة تبدّل عنوان یده من العدوان إلی الاستئمان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أبرأه من الضمان ففی سقوطه بذلک قولان </w:t>
      </w:r>
      <w:r>
        <w:rPr>
          <w:rStyle w:val="FootnoteAnchor"/>
          <w:rtl w:val="true"/>
        </w:rPr>
        <w:footnoteReference w:id="1270"/>
      </w:r>
      <w:r>
        <w:rPr>
          <w:rFonts w:ascii="IRNazanin" w:hAnsi="IRNazanin" w:eastAsia="IRNazanin"/>
          <w:color w:val="111111"/>
          <w:sz w:val="28"/>
          <w:sz w:val="28"/>
          <w:szCs w:val="28"/>
          <w:rtl w:val="true"/>
          <w:lang w:bidi="fa-IR"/>
        </w:rPr>
        <w:t>، نعم لو تلفت العین فی یده و اشتغلت ذمّته بعوضها لا إشکال فی صحّة الإبراء و سقوط الحقّ به</w:t>
      </w:r>
      <w:r>
        <w:rPr>
          <w:rFonts w:eastAsia="IRNazanin" w:cs="IRNazanin"/>
          <w:color w:val="111111"/>
          <w:sz w:val="28"/>
          <w:szCs w:val="28"/>
          <w:rtl w:val="true"/>
          <w:lang w:bidi="fa-IR"/>
        </w:rPr>
        <w:t>.</w:t>
      </w:r>
    </w:p>
    <w:p>
      <w:pPr>
        <w:pStyle w:val="Heading4"/>
        <w:numPr>
          <w:ilvl w:val="3"/>
          <w:numId w:val="1"/>
        </w:numPr>
        <w:rPr/>
      </w:pPr>
      <w:bookmarkStart w:id="4535" w:name="__RefHeading___Toc2569102_3650668749"/>
      <w:bookmarkStart w:id="4536" w:name="_Toc2060"/>
      <w:bookmarkEnd w:id="4535"/>
      <w:r>
        <w:rPr>
          <w:rtl w:val="true"/>
        </w:rPr>
        <w:t>[ (</w:t>
      </w:r>
      <w:r>
        <w:rPr>
          <w:rtl w:val="true"/>
        </w:rPr>
        <w:t xml:space="preserve">مسألة </w:t>
      </w:r>
      <w:r>
        <w:rPr/>
        <w:t>26</w:t>
      </w:r>
      <w:r>
        <w:rPr>
          <w:rtl w:val="true"/>
        </w:rPr>
        <w:t xml:space="preserve">): </w:t>
      </w:r>
      <w:r>
        <w:rPr>
          <w:rtl w:val="true"/>
        </w:rPr>
        <w:t>لو أنکر الودیعة، أو اعترف بها و ادّعی التلف أو الردّ و لا بیّنة، فالقول قوله بیمینه</w:t>
      </w:r>
      <w:r>
        <w:rPr>
          <w:rtl w:val="true"/>
        </w:rPr>
        <w:t>]</w:t>
      </w:r>
      <w:bookmarkEnd w:id="4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أنکر الودیعة، أو اعترف بها و ادّعی التلف أو الردّ و لا بیّنة، فالقول قوله بیمینه، و کذلک لو تسالما علی التلف و لکن ادّعیٰ علیه المودع التفریط أو التعدّی</w:t>
      </w:r>
      <w:r>
        <w:rPr>
          <w:rFonts w:eastAsia="IRNazanin" w:cs="IRNazanin"/>
          <w:color w:val="111111"/>
          <w:sz w:val="28"/>
          <w:szCs w:val="28"/>
          <w:rtl w:val="true"/>
          <w:lang w:bidi="fa-IR"/>
        </w:rPr>
        <w:t>.</w:t>
      </w:r>
    </w:p>
    <w:p>
      <w:pPr>
        <w:pStyle w:val="Heading4"/>
        <w:numPr>
          <w:ilvl w:val="3"/>
          <w:numId w:val="1"/>
        </w:numPr>
        <w:rPr/>
      </w:pPr>
      <w:bookmarkStart w:id="4537" w:name="__RefHeading___Toc2569104_3650668749"/>
      <w:bookmarkStart w:id="4538" w:name="_Toc2061"/>
      <w:bookmarkEnd w:id="4537"/>
      <w:r>
        <w:rPr>
          <w:rtl w:val="true"/>
        </w:rPr>
        <w:t>[ (</w:t>
      </w:r>
      <w:r>
        <w:rPr>
          <w:rtl w:val="true"/>
        </w:rPr>
        <w:t xml:space="preserve">مسألة </w:t>
      </w:r>
      <w:r>
        <w:rPr/>
        <w:t>27</w:t>
      </w:r>
      <w:r>
        <w:rPr>
          <w:rtl w:val="true"/>
        </w:rPr>
        <w:t xml:space="preserve">): </w:t>
      </w:r>
      <w:r>
        <w:rPr>
          <w:rtl w:val="true"/>
        </w:rPr>
        <w:t>لو دفعها إلیٰ غیر المالک و ادّعی الإذن من المالک فأنکر المالک و لا بیّنة</w:t>
      </w:r>
      <w:r>
        <w:rPr>
          <w:rtl w:val="true"/>
        </w:rPr>
        <w:t>]</w:t>
      </w:r>
      <w:bookmarkEnd w:id="4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دفعها إلیٰ غیر المالک و ادّعی الإذن من المالک فأنکر المالک و لا بیّنة، فالقول قول المالک، و أمّا لو صدّقه علی الإذن لکن أنکر التسلیم إلیٰ من أذن له، فهو کدعواه الردّ إلی المالک مع إنکاره فی أنّ القول قوله</w:t>
      </w:r>
      <w:r>
        <w:rPr>
          <w:rFonts w:eastAsia="IRNazanin" w:cs="IRNazanin"/>
          <w:color w:val="111111"/>
          <w:sz w:val="28"/>
          <w:szCs w:val="28"/>
          <w:rtl w:val="true"/>
          <w:lang w:bidi="fa-IR"/>
        </w:rPr>
        <w:t>.</w:t>
      </w:r>
    </w:p>
    <w:p>
      <w:pPr>
        <w:pStyle w:val="Heading4"/>
        <w:numPr>
          <w:ilvl w:val="3"/>
          <w:numId w:val="1"/>
        </w:numPr>
        <w:rPr/>
      </w:pPr>
      <w:bookmarkStart w:id="4539" w:name="__RefHeading___Toc2569106_3650668749"/>
      <w:bookmarkStart w:id="4540" w:name="_Toc2062"/>
      <w:bookmarkEnd w:id="4539"/>
      <w:r>
        <w:rPr>
          <w:rtl w:val="true"/>
        </w:rPr>
        <w:t>[ (</w:t>
      </w:r>
      <w:r>
        <w:rPr>
          <w:rtl w:val="true"/>
        </w:rPr>
        <w:t xml:space="preserve">مسألة </w:t>
      </w:r>
      <w:r>
        <w:rPr/>
        <w:t>28</w:t>
      </w:r>
      <w:r>
        <w:rPr>
          <w:rtl w:val="true"/>
        </w:rPr>
        <w:t xml:space="preserve">): </w:t>
      </w:r>
      <w:r>
        <w:rPr>
          <w:rtl w:val="true"/>
        </w:rPr>
        <w:t>إذا أنکر الودیعة، فلمّا أقام المالک البیّنة علیها صدّقها لکن ادّعیٰ کونها تالفة</w:t>
      </w:r>
      <w:r>
        <w:rPr>
          <w:rtl w:val="true"/>
        </w:rPr>
        <w:t>]</w:t>
      </w:r>
      <w:bookmarkEnd w:id="4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أنکر الودیعة، فلمّا أقام المالک البیّنة علیها صدّقها لکن ادّعیٰ کونها تالفة قبل أن ینکر الودیعة لا تسمع دعواه، فلا یقبل منه الیمین و لا البیّنة علیٰ إشکال، و أمّا لو ادّعیٰ تلفها بعد ذلک، فلا إشکال فی أنّه تسمع دعواه لکن یحتاج إلی البیّنة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1" w:name="__RefHeading___Toc2569108_3650668749"/>
      <w:bookmarkStart w:id="4542" w:name="_Toc2063"/>
      <w:bookmarkEnd w:id="4541"/>
      <w:r>
        <w:rPr>
          <w:rtl w:val="true"/>
        </w:rPr>
        <w:t>[ (</w:t>
      </w:r>
      <w:r>
        <w:rPr>
          <w:rtl w:val="true"/>
        </w:rPr>
        <w:t xml:space="preserve">مسألة </w:t>
      </w:r>
      <w:r>
        <w:rPr/>
        <w:t>29</w:t>
      </w:r>
      <w:r>
        <w:rPr>
          <w:rtl w:val="true"/>
        </w:rPr>
        <w:t xml:space="preserve">): </w:t>
      </w:r>
      <w:r>
        <w:rPr>
          <w:rtl w:val="true"/>
        </w:rPr>
        <w:t>إذا أقرّ بالودیعة ثمّ مات، فإن عیّنها فی عین شخصیّة معیّنة موجودة حال موته أُخرجت من الترکة</w:t>
      </w:r>
      <w:r>
        <w:rPr>
          <w:rtl w:val="true"/>
        </w:rPr>
        <w:t>]</w:t>
      </w:r>
      <w:bookmarkEnd w:id="454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بالودیعة ثمّ مات، فإن عیّنها فی عین شخصیّة معیّنة موجودة حال موته أُخرجت من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عیّنها فی ضمن مصادیق من جنس واحد موجودة حال الموت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هذه الشیاه ودیعة عندی من فلان، و لم یعیّنها، فعلی الورثة إذا احتملوا صدق المورّث و لم یمیّزوا الودیعة عن غیرها أن یعاملوا معها معاملة ما إذا علموا</w:t>
      </w:r>
      <w:bookmarkStart w:id="4543" w:name="pg1809_19450"/>
    </w:p>
    <w:p>
      <w:pPr>
        <w:pStyle w:val="BookText"/>
        <w:rPr/>
      </w:pPr>
      <w:bookmarkEnd w:id="4543"/>
      <w:r>
        <w:rPr>
          <w:rFonts w:ascii="IRNazanin" w:hAnsi="IRNazanin" w:eastAsia="IRNazanin"/>
          <w:color w:val="111111"/>
          <w:sz w:val="28"/>
          <w:sz w:val="28"/>
          <w:szCs w:val="28"/>
          <w:rtl w:val="true"/>
          <w:lang w:bidi="fa-IR"/>
        </w:rPr>
        <w:t>إجمالًا بأنّ إحدیٰ هذه الشیاه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عیّن الودیعة و لم یعیّن المالک کان من مجهول المالک، و قد مرّ </w:t>
      </w:r>
      <w:r>
        <w:rPr>
          <w:rStyle w:val="FootnoteAnchor"/>
          <w:rtl w:val="true"/>
        </w:rPr>
        <w:footnoteReference w:id="1272"/>
      </w:r>
      <w:r>
        <w:rPr>
          <w:rFonts w:ascii="IRNazanin" w:hAnsi="IRNazanin" w:eastAsia="IRNazanin"/>
          <w:color w:val="111111"/>
          <w:sz w:val="28"/>
          <w:sz w:val="28"/>
          <w:szCs w:val="28"/>
          <w:rtl w:val="true"/>
          <w:lang w:bidi="fa-IR"/>
        </w:rPr>
        <w:t>حکم الصورتین فی کتاب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یعتبر قول المودع و یجب تصدیقه لو عیّنها فی معیّن و احتمل صدقه؟ وجهان </w:t>
      </w:r>
      <w:r>
        <w:rPr>
          <w:rStyle w:val="FootnoteAnchor"/>
          <w:rtl w:val="true"/>
        </w:rPr>
        <w:footnoteReference w:id="1273"/>
      </w:r>
      <w:r>
        <w:rPr>
          <w:rFonts w:ascii="IRNazanin" w:hAnsi="IRNazanin" w:eastAsia="IRNazanin"/>
          <w:color w:val="111111"/>
          <w:sz w:val="28"/>
          <w:sz w:val="28"/>
          <w:szCs w:val="28"/>
          <w:rtl w:val="true"/>
          <w:lang w:bidi="fa-IR"/>
        </w:rPr>
        <w:t xml:space="preserve">، و إذا لم یعیّنها بأحد الوجهین لا اعتبار </w:t>
      </w:r>
      <w:r>
        <w:rPr>
          <w:rStyle w:val="FootnoteAnchor"/>
          <w:rtl w:val="true"/>
        </w:rPr>
        <w:footnoteReference w:id="1274"/>
      </w:r>
      <w:r>
        <w:rPr>
          <w:rFonts w:ascii="IRNazanin" w:hAnsi="IRNazanin" w:eastAsia="IRNazanin"/>
          <w:color w:val="111111"/>
          <w:sz w:val="28"/>
          <w:sz w:val="28"/>
          <w:szCs w:val="28"/>
          <w:rtl w:val="true"/>
          <w:lang w:bidi="fa-IR"/>
        </w:rPr>
        <w:t>بقوله، إذا لم یعلم الورثة بوجود الودیعة فی ترکته، حتّی إذا ذکر الجنس و لم یوجد من ذلک الجنس فی ترکته إلّا واحد، إلّا إذا علم أنّ مراده ذلک الواحد</w:t>
      </w:r>
      <w:r>
        <w:rPr>
          <w:rFonts w:eastAsia="IRNazanin" w:cs="IRNazanin"/>
          <w:color w:val="111111"/>
          <w:sz w:val="28"/>
          <w:szCs w:val="28"/>
          <w:rtl w:val="true"/>
          <w:lang w:bidi="fa-IR"/>
        </w:rPr>
        <w:t>.</w:t>
      </w:r>
    </w:p>
    <w:p>
      <w:pPr>
        <w:pStyle w:val="Heading3"/>
        <w:numPr>
          <w:ilvl w:val="2"/>
          <w:numId w:val="1"/>
        </w:numPr>
        <w:rPr/>
      </w:pPr>
      <w:bookmarkStart w:id="4544" w:name="__RefHeading___Toc2569110_3650668749"/>
      <w:bookmarkStart w:id="4545" w:name="_Toc2064"/>
      <w:bookmarkEnd w:id="4544"/>
      <w:r>
        <w:rPr>
          <w:rtl w:val="true"/>
        </w:rPr>
        <w:t>[</w:t>
      </w:r>
      <w:r>
        <w:rPr>
          <w:rtl w:val="true"/>
        </w:rPr>
        <w:t>خاتمة الأمانة علیٰ قسمین</w:t>
      </w:r>
      <w:r>
        <w:rPr>
          <w:rtl w:val="true"/>
        </w:rPr>
        <w:t xml:space="preserve">: </w:t>
      </w:r>
      <w:r>
        <w:rPr>
          <w:rtl w:val="true"/>
        </w:rPr>
        <w:t>مالکیّة و شرعیّة</w:t>
      </w:r>
      <w:r>
        <w:rPr>
          <w:rtl w:val="true"/>
        </w:rPr>
        <w:t>]</w:t>
      </w:r>
      <w:bookmarkEnd w:id="4545"/>
    </w:p>
    <w:p>
      <w:pPr>
        <w:pStyle w:val="Heading4"/>
        <w:numPr>
          <w:ilvl w:val="3"/>
          <w:numId w:val="1"/>
        </w:numPr>
        <w:rPr/>
      </w:pPr>
      <w:bookmarkStart w:id="4546" w:name="__RefHeading___Toc2569112_3650668749"/>
      <w:bookmarkStart w:id="4547" w:name="_Toc2065"/>
      <w:bookmarkEnd w:id="4546"/>
      <w:r>
        <w:rPr>
          <w:rtl w:val="true"/>
        </w:rPr>
        <w:t>اشارة</w:t>
      </w:r>
      <w:bookmarkEnd w:id="4547"/>
    </w:p>
    <w:p>
      <w:pPr>
        <w:pStyle w:val="BookText"/>
        <w:rPr/>
      </w:pPr>
      <w:r>
        <w:rPr>
          <w:rFonts w:ascii="IRNazanin" w:hAnsi="IRNazanin" w:eastAsia="IRNazanin"/>
          <w:color w:val="111111"/>
          <w:sz w:val="28"/>
          <w:sz w:val="28"/>
          <w:szCs w:val="28"/>
          <w:rtl w:val="true"/>
          <w:lang w:bidi="fa-IR"/>
        </w:rPr>
        <w:t>خاتمة الأمانة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مالکیّة و شرعیّة</w:t>
      </w:r>
      <w:r>
        <w:rPr>
          <w:rFonts w:eastAsia="IRNazanin" w:cs="IRNazanin"/>
          <w:color w:val="111111"/>
          <w:sz w:val="28"/>
          <w:szCs w:val="28"/>
          <w:rtl w:val="true"/>
          <w:lang w:bidi="fa-IR"/>
        </w:rPr>
        <w:t>.</w:t>
      </w:r>
    </w:p>
    <w:p>
      <w:pPr>
        <w:pStyle w:val="Heading4"/>
        <w:numPr>
          <w:ilvl w:val="3"/>
          <w:numId w:val="1"/>
        </w:numPr>
        <w:rPr/>
      </w:pPr>
      <w:bookmarkStart w:id="4548" w:name="__RefHeading___Toc2569114_3650668749"/>
      <w:bookmarkStart w:id="4549" w:name="_Toc2066"/>
      <w:bookmarkEnd w:id="4548"/>
      <w:r>
        <w:rPr>
          <w:rtl w:val="true"/>
        </w:rPr>
        <w:t>[</w:t>
      </w:r>
      <w:r>
        <w:rPr>
          <w:rtl w:val="true"/>
        </w:rPr>
        <w:t>أمّا الأوّل</w:t>
      </w:r>
      <w:r>
        <w:rPr>
          <w:rtl w:val="true"/>
        </w:rPr>
        <w:t xml:space="preserve">: </w:t>
      </w:r>
      <w:r>
        <w:rPr>
          <w:rtl w:val="true"/>
        </w:rPr>
        <w:t>فهو ما کان باستئمان من المالک و إذنه</w:t>
      </w:r>
      <w:r>
        <w:rPr>
          <w:rtl w:val="true"/>
        </w:rPr>
        <w:t>]</w:t>
      </w:r>
      <w:bookmarkEnd w:id="4549"/>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کان باستئمان من المالک و إذنه؛ سواء کان عنوان عمله ممحّضاً فی ذلک کالودیعة، أو بتبع عنوان آخر مقصود بالذات، کما فی الرهن و العاریة و الإجارة و المضاربة، فإنّ العین بید المرتهن و المستعیر و المستأجر و العامل أمانة مالکیّة؛ حیث إنّ المالک قد سلّمها بعنوان الاستئمان و ترکها بیدهم من دون مراقبة فجعل حفظها علیٰ عهدتهم</w:t>
      </w:r>
      <w:r>
        <w:rPr>
          <w:rFonts w:eastAsia="IRNazanin" w:cs="IRNazanin"/>
          <w:color w:val="111111"/>
          <w:sz w:val="28"/>
          <w:szCs w:val="28"/>
          <w:rtl w:val="true"/>
          <w:lang w:bidi="fa-IR"/>
        </w:rPr>
        <w:t>.</w:t>
      </w:r>
    </w:p>
    <w:p>
      <w:pPr>
        <w:pStyle w:val="Heading4"/>
        <w:numPr>
          <w:ilvl w:val="3"/>
          <w:numId w:val="1"/>
        </w:numPr>
        <w:rPr/>
      </w:pPr>
      <w:bookmarkStart w:id="4550" w:name="__RefHeading___Toc2569116_3650668749"/>
      <w:bookmarkStart w:id="4551" w:name="_Toc2067"/>
      <w:bookmarkEnd w:id="4550"/>
      <w:r>
        <w:rPr>
          <w:rtl w:val="true"/>
        </w:rPr>
        <w:t>[</w:t>
      </w:r>
      <w:r>
        <w:rPr>
          <w:rtl w:val="true"/>
        </w:rPr>
        <w:t>و أمّا الثانی</w:t>
      </w:r>
      <w:r>
        <w:rPr>
          <w:rtl w:val="true"/>
        </w:rPr>
        <w:t xml:space="preserve">: </w:t>
      </w:r>
      <w:r>
        <w:rPr>
          <w:rtl w:val="true"/>
        </w:rPr>
        <w:t>فهو ما لم یکن الاستیلاء علی العین</w:t>
      </w:r>
      <w:r>
        <w:rPr>
          <w:rtl w:val="true"/>
        </w:rPr>
        <w:t>]</w:t>
      </w:r>
      <w:bookmarkEnd w:id="4551"/>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لم یکن الاستیلاء علی العین و وضع الید علیها باستئمان من المالک و لا إذن منه، و قد صارت تحت یده لا علیٰ وجه العدوان، بل إمّا قهراً کما إذا أطارته الریح أو جاء بها السیل مثلًا فی ملکه </w:t>
      </w:r>
      <w:r>
        <w:rPr>
          <w:rStyle w:val="FootnoteAnchor"/>
          <w:rtl w:val="true"/>
        </w:rPr>
        <w:footnoteReference w:id="1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بتسلیم المالک لها بدون اطّلاع منهما کما إذا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اشتریٰ صندوقاً فوجد فیه المشتری شیئاً من مال البائع بدون اطّلاعه، أو تسلّم البائع أو المشتری زائداً علیٰ حقّهما من جهة الغلط فی الحساب، و إمّا برخصة من الشرع کاللقطة و الضالّة و ما ینتزع من ید السارق أو الغاصب من مال الغیر حسبة للإیصال إلیٰ صاحبه، و کذا ما یؤخذ من الصبیّ أو المجنون من مالهما عند خوف التلف فی أیدیهما حسبة للحفظ، و ما یؤخذ ممّا کان فی معرض الهلاک و التلف من الأموال المحترمة کحیوان معلوم المالک فی مسبعة أو مسیل و نحو ذلک، فإنّ العین فی جمیع هذه الموارد تکون تحت ید المستولی علیها أمانة شرعیّة، یجب علیه حفظها و إیصالها فی أوّل أزمنة الإمکان إلیٰ صاحبها و لو مع عدم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علیه ضمان لو تلف فی یده إلّا مع التفریط أو التعدّی کالأمانة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عدم وجوب إیصالها و کفایة إعلام صاحبها بکونها عنده و تحت یده و التخلیة بینها و بینه؛ بحیث کلّما أراد أن یأخذها أخذها، بل لا یخلو هذا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العین أمانة مالکیّة بتبع عنوان آخر و قد ارتفع ذلک العنوان، کالعین المستأجرة بعد انقضاء مدّة الإجارة، و العین المرهونة بعد فکّ الرهن، و المال الذی بید العامل بعد فسخ المضاربة، ففی کونها أمانة مالکیّة أو شرعیّة وجهان، بل قولان، لا یخلو أوّلهما من رجحان</w:t>
      </w:r>
      <w:r>
        <w:rPr>
          <w:rFonts w:eastAsia="IRNazanin" w:cs="IRNazanin"/>
          <w:color w:val="111111"/>
          <w:sz w:val="28"/>
          <w:szCs w:val="28"/>
          <w:rtl w:val="true"/>
          <w:lang w:bidi="fa-IR"/>
        </w:rPr>
        <w:t>.</w:t>
      </w:r>
      <w:bookmarkStart w:id="4552" w:name="pg1809_19452"/>
    </w:p>
    <w:p>
      <w:pPr>
        <w:pStyle w:val="Heading2"/>
        <w:numPr>
          <w:ilvl w:val="1"/>
          <w:numId w:val="1"/>
        </w:numPr>
        <w:rPr/>
      </w:pPr>
      <w:bookmarkStart w:id="4553" w:name="__RefHeading___Toc2569118_3650668749"/>
      <w:bookmarkStart w:id="4554" w:name="_Toc2068"/>
      <w:bookmarkEnd w:id="4552"/>
      <w:bookmarkEnd w:id="4553"/>
      <w:r>
        <w:rPr>
          <w:rtl w:val="true"/>
        </w:rPr>
        <w:t>[</w:t>
      </w:r>
      <w:r>
        <w:rPr>
          <w:rtl w:val="true"/>
        </w:rPr>
        <w:t>کتاب المضاربة</w:t>
      </w:r>
      <w:r>
        <w:rPr>
          <w:rtl w:val="true"/>
        </w:rPr>
        <w:t>]</w:t>
      </w:r>
      <w:bookmarkEnd w:id="4554"/>
    </w:p>
    <w:p>
      <w:pPr>
        <w:pStyle w:val="Heading3"/>
        <w:numPr>
          <w:ilvl w:val="2"/>
          <w:numId w:val="1"/>
        </w:numPr>
        <w:rPr/>
      </w:pPr>
      <w:bookmarkStart w:id="4555" w:name="__RefHeading___Toc2569120_3650668749"/>
      <w:bookmarkStart w:id="4556" w:name="_Toc2069"/>
      <w:bookmarkEnd w:id="4555"/>
      <w:r>
        <w:rPr>
          <w:rtl w:val="true"/>
        </w:rPr>
        <w:t>اشارة</w:t>
      </w:r>
      <w:bookmarkEnd w:id="4556"/>
    </w:p>
    <w:p>
      <w:pPr>
        <w:pStyle w:val="BookText"/>
        <w:rPr/>
      </w:pPr>
      <w:r>
        <w:rPr>
          <w:rFonts w:ascii="IRNazanin" w:hAnsi="IRNazanin" w:eastAsia="IRNazanin"/>
          <w:color w:val="111111"/>
          <w:sz w:val="28"/>
          <w:sz w:val="28"/>
          <w:szCs w:val="28"/>
          <w:rtl w:val="true"/>
          <w:lang w:bidi="fa-IR"/>
        </w:rPr>
        <w:t>کتاب المضاربة و یسمّیٰ قراضاً، و هی عقد واقع بین شخصین علیٰ أن یکون رأس المال فی التجارة من أحدهما و العمل من الآخر و إذا حصل ربح یکون بینهما، و إذا جعل تمام الربح للمالک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إنّها عقد من العقود تحتاج إلی الإیجاب و القبول، و الإیجاب من طرف المالک و القبول من العامل، و یکفی فی الإیجاب کلّ لفظ یفید هذا المعنیٰ بالظهور العرفی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قارضتک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عاملتک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أفاد هذا المعنیٰ، و فی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t>.</w:t>
      </w:r>
    </w:p>
    <w:p>
      <w:pPr>
        <w:pStyle w:val="Heading3"/>
        <w:numPr>
          <w:ilvl w:val="2"/>
          <w:numId w:val="1"/>
        </w:numPr>
        <w:rPr/>
      </w:pPr>
      <w:bookmarkStart w:id="4557" w:name="__RefHeading___Toc2569122_3650668749"/>
      <w:bookmarkStart w:id="4558" w:name="_Toc2070"/>
      <w:bookmarkEnd w:id="4557"/>
      <w:r>
        <w:rPr>
          <w:rtl w:val="true"/>
        </w:rPr>
        <w:t>[ (</w:t>
      </w:r>
      <w:r>
        <w:rPr>
          <w:rtl w:val="true"/>
        </w:rPr>
        <w:t xml:space="preserve">مسألة </w:t>
      </w:r>
      <w:r>
        <w:rPr/>
        <w:t>1</w:t>
      </w:r>
      <w:r>
        <w:rPr>
          <w:rtl w:val="true"/>
        </w:rPr>
        <w:t xml:space="preserve">): </w:t>
      </w:r>
      <w:r>
        <w:rPr>
          <w:rtl w:val="true"/>
        </w:rPr>
        <w:t>یشترط فی المتعاقدین</w:t>
      </w:r>
      <w:r>
        <w:rPr>
          <w:rtl w:val="true"/>
        </w:rPr>
        <w:t xml:space="preserve">: </w:t>
      </w:r>
      <w:r>
        <w:rPr>
          <w:rtl w:val="true"/>
        </w:rPr>
        <w:t>البلوغ و العقل و الاختیار</w:t>
      </w:r>
      <w:r>
        <w:rPr>
          <w:rtl w:val="true"/>
        </w:rPr>
        <w:t>]</w:t>
      </w:r>
      <w:bookmarkEnd w:id="455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و العقل و الاختیار </w:t>
      </w:r>
      <w:r>
        <w:rPr>
          <w:rStyle w:val="FootnoteAnchor"/>
          <w:rtl w:val="true"/>
        </w:rPr>
        <w:footnoteReference w:id="1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رأس المال أن یکون عیناً، فلا تصحّ بالمنفعة و لا بالدین؛ سواء کان علی العامل أو علیٰ غیره إلّا بعد قبضه، و أن یکون درهماً </w:t>
      </w:r>
      <w:r>
        <w:rPr>
          <w:rStyle w:val="FootnoteAnchor"/>
          <w:rtl w:val="true"/>
        </w:rPr>
        <w:footnoteReference w:id="1277"/>
      </w:r>
      <w:r>
        <w:rPr>
          <w:rFonts w:ascii="IRNazanin" w:hAnsi="IRNazanin" w:eastAsia="IRNazanin"/>
          <w:color w:val="111111"/>
          <w:sz w:val="28"/>
          <w:sz w:val="28"/>
          <w:szCs w:val="28"/>
          <w:rtl w:val="true"/>
          <w:lang w:bidi="fa-IR"/>
        </w:rPr>
        <w:t>أو دیناراً فلا یصحّ بالذهب و الفضّة الغیر المسکوکین و السبائک و الفلوس السود فضلًا عن العروض، و أن یکون معیّناً فلا یصحّ بالمبهم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قارضتک بأحد هذین المالین أو بأیّهما شئت، و أن یکون معلوماً قدراً و وصفاً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الربح أن یکون معلوماً،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لک مثل ما شرط فلان لعامله، و لم یعلما ما شرط بطل، و أن یکون مشاعاً مقدّراً بأحد الکسور کالنصف أو الثلث،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لک من</w:t>
      </w:r>
      <w:bookmarkStart w:id="4559" w:name="pg1809_19453"/>
    </w:p>
    <w:p>
      <w:pPr>
        <w:pStyle w:val="BookText"/>
        <w:rPr/>
      </w:pPr>
      <w:bookmarkEnd w:id="4559"/>
      <w:r>
        <w:rPr>
          <w:rFonts w:ascii="IRNazanin" w:hAnsi="IRNazanin" w:eastAsia="IRNazanin"/>
          <w:color w:val="111111"/>
          <w:sz w:val="28"/>
          <w:sz w:val="28"/>
          <w:szCs w:val="28"/>
          <w:rtl w:val="true"/>
          <w:lang w:bidi="fa-IR"/>
        </w:rPr>
        <w:t>الربح مائة و الباقی لی أو بالعکس أو علیٰ أنّ لک نصف الربح و عشرة دراهم مثلًا لم یصحّ، و أن یکون بین المالک و العامل لا یشارکهما الغیر، فلو جعلا جزء منه لأجنبیّ بطل، إلّا أن یکون له عمل متعلّق بالتجارة</w:t>
      </w:r>
      <w:r>
        <w:rPr>
          <w:rFonts w:eastAsia="IRNazanin" w:cs="IRNazanin"/>
          <w:color w:val="111111"/>
          <w:sz w:val="28"/>
          <w:szCs w:val="28"/>
          <w:rtl w:val="true"/>
          <w:lang w:bidi="fa-IR"/>
        </w:rPr>
        <w:t>.</w:t>
      </w:r>
    </w:p>
    <w:p>
      <w:pPr>
        <w:pStyle w:val="Heading3"/>
        <w:numPr>
          <w:ilvl w:val="2"/>
          <w:numId w:val="1"/>
        </w:numPr>
        <w:rPr/>
      </w:pPr>
      <w:bookmarkStart w:id="4560" w:name="__RefHeading___Toc2569124_3650668749"/>
      <w:bookmarkStart w:id="4561" w:name="_Toc2071"/>
      <w:bookmarkEnd w:id="4560"/>
      <w:r>
        <w:rPr>
          <w:rtl w:val="true"/>
        </w:rPr>
        <w:t>[ (</w:t>
      </w:r>
      <w:r>
        <w:rPr>
          <w:rtl w:val="true"/>
        </w:rPr>
        <w:t xml:space="preserve">مسألة </w:t>
      </w:r>
      <w:r>
        <w:rPr/>
        <w:t>2</w:t>
      </w:r>
      <w:r>
        <w:rPr>
          <w:rtl w:val="true"/>
        </w:rPr>
        <w:t xml:space="preserve">): </w:t>
      </w:r>
      <w:r>
        <w:rPr>
          <w:rtl w:val="true"/>
        </w:rPr>
        <w:t>یشترط فی المضاربة أن یکون الاسترباح بالتجارة</w:t>
      </w:r>
      <w:r>
        <w:rPr>
          <w:rtl w:val="true"/>
        </w:rPr>
        <w:t>]</w:t>
      </w:r>
      <w:bookmarkEnd w:id="4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المضاربة أن یکون الاسترباح بالتجارة فلو دفع إلی الزارع مالًا لیصرفه فی الزراعة و یکون الحاصل بینهما أو إلی الطبّاخ أو الخبّاز أو الصبّاغ مثلًا لیصرفوها فی حرفتهم و یکون الربح و الفائدة بینهما لم یصحّ و لم یقع مضاربة</w:t>
      </w:r>
      <w:r>
        <w:rPr>
          <w:rFonts w:eastAsia="IRNazanin" w:cs="IRNazanin"/>
          <w:color w:val="111111"/>
          <w:sz w:val="28"/>
          <w:szCs w:val="28"/>
          <w:rtl w:val="true"/>
          <w:lang w:bidi="fa-IR"/>
        </w:rPr>
        <w:t>.</w:t>
      </w:r>
    </w:p>
    <w:p>
      <w:pPr>
        <w:pStyle w:val="Heading3"/>
        <w:numPr>
          <w:ilvl w:val="2"/>
          <w:numId w:val="1"/>
        </w:numPr>
        <w:rPr/>
      </w:pPr>
      <w:bookmarkStart w:id="4562" w:name="__RefHeading___Toc2569126_3650668749"/>
      <w:bookmarkStart w:id="4563" w:name="_Toc2072"/>
      <w:bookmarkEnd w:id="4562"/>
      <w:r>
        <w:rPr>
          <w:rtl w:val="true"/>
        </w:rPr>
        <w:t>[ (</w:t>
      </w:r>
      <w:r>
        <w:rPr>
          <w:rtl w:val="true"/>
        </w:rPr>
        <w:t xml:space="preserve">مسألة </w:t>
      </w:r>
      <w:r>
        <w:rPr/>
        <w:t>3</w:t>
      </w:r>
      <w:r>
        <w:rPr>
          <w:rtl w:val="true"/>
        </w:rPr>
        <w:t xml:space="preserve">): </w:t>
      </w:r>
      <w:r>
        <w:rPr>
          <w:rtl w:val="true"/>
        </w:rPr>
        <w:t>الدراهم المغشوشة إن کانت رائجة مع وصف کونها مغشوشة</w:t>
      </w:r>
      <w:r>
        <w:rPr>
          <w:rtl w:val="true"/>
        </w:rPr>
        <w:t>]</w:t>
      </w:r>
      <w:bookmarkEnd w:id="4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 المغشوشة إن کانت رائجة مع وصف کونها مغشوشة یجوز إیقاع المضاربة بها، فلا یعتبر الخلوص عن الغشّ فیها، نعم لو کانت قلباً یجب کسرها و لم یجز المعاملة بها، لم یصحّ المضاربة علیها</w:t>
      </w:r>
      <w:r>
        <w:rPr>
          <w:rFonts w:eastAsia="IRNazanin" w:cs="IRNazanin"/>
          <w:color w:val="111111"/>
          <w:sz w:val="28"/>
          <w:szCs w:val="28"/>
          <w:rtl w:val="true"/>
          <w:lang w:bidi="fa-IR"/>
        </w:rPr>
        <w:t>.</w:t>
      </w:r>
    </w:p>
    <w:p>
      <w:pPr>
        <w:pStyle w:val="Heading3"/>
        <w:numPr>
          <w:ilvl w:val="2"/>
          <w:numId w:val="1"/>
        </w:numPr>
        <w:rPr/>
      </w:pPr>
      <w:bookmarkStart w:id="4564" w:name="__RefHeading___Toc2569128_3650668749"/>
      <w:bookmarkStart w:id="4565" w:name="_Toc2073"/>
      <w:bookmarkEnd w:id="4564"/>
      <w:r>
        <w:rPr>
          <w:rtl w:val="true"/>
        </w:rPr>
        <w:t>[ (</w:t>
      </w:r>
      <w:r>
        <w:rPr>
          <w:rtl w:val="true"/>
        </w:rPr>
        <w:t xml:space="preserve">مسألة </w:t>
      </w:r>
      <w:r>
        <w:rPr/>
        <w:t>4</w:t>
      </w:r>
      <w:r>
        <w:rPr>
          <w:rtl w:val="true"/>
        </w:rPr>
        <w:t xml:space="preserve">): </w:t>
      </w:r>
      <w:r>
        <w:rPr>
          <w:rtl w:val="true"/>
        </w:rPr>
        <w:t>إذا کان له دین علیٰ أحد یجوز أن یوکّل أحداً فی استیفائه</w:t>
      </w:r>
      <w:r>
        <w:rPr>
          <w:rtl w:val="true"/>
        </w:rPr>
        <w:t>]</w:t>
      </w:r>
      <w:bookmarkEnd w:id="4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دین علیٰ أحد یجوز أن یوکّل أحداً فی استیفائه، ثمّ إیقاع المضاربة علیه؛ بأن یکون موجباً من طرف المالک و قابلًا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المدیون هو العامل یجوز توکیله فی تعیین ما کان فی ذمّته فی دراهم أو دنانیر معیّنة للدائن، ثمّ إیقاع عقد المضاربة علیها موجباً و قابلًا من الطرفین</w:t>
      </w:r>
      <w:r>
        <w:rPr>
          <w:rFonts w:eastAsia="IRNazanin" w:cs="IRNazanin"/>
          <w:color w:val="111111"/>
          <w:sz w:val="28"/>
          <w:szCs w:val="28"/>
          <w:rtl w:val="true"/>
          <w:lang w:bidi="fa-IR"/>
        </w:rPr>
        <w:t>.</w:t>
      </w:r>
    </w:p>
    <w:p>
      <w:pPr>
        <w:pStyle w:val="Heading3"/>
        <w:numPr>
          <w:ilvl w:val="2"/>
          <w:numId w:val="1"/>
        </w:numPr>
        <w:rPr/>
      </w:pPr>
      <w:bookmarkStart w:id="4566" w:name="__RefHeading___Toc2569130_3650668749"/>
      <w:bookmarkStart w:id="4567" w:name="_Toc2074"/>
      <w:bookmarkEnd w:id="4566"/>
      <w:r>
        <w:rPr>
          <w:rtl w:val="true"/>
        </w:rPr>
        <w:t>[ (</w:t>
      </w:r>
      <w:r>
        <w:rPr>
          <w:rtl w:val="true"/>
        </w:rPr>
        <w:t xml:space="preserve">مسألة </w:t>
      </w:r>
      <w:r>
        <w:rPr/>
        <w:t>5</w:t>
      </w:r>
      <w:r>
        <w:rPr>
          <w:rtl w:val="true"/>
        </w:rPr>
        <w:t xml:space="preserve">): </w:t>
      </w:r>
      <w:r>
        <w:rPr>
          <w:rtl w:val="true"/>
        </w:rPr>
        <w:t>لو دفع إلیه عروضاً و قال</w:t>
      </w:r>
      <w:r>
        <w:rPr>
          <w:rtl w:val="true"/>
        </w:rPr>
        <w:t xml:space="preserve">: </w:t>
      </w:r>
      <w:r>
        <w:rPr>
          <w:rtl w:val="true"/>
        </w:rPr>
        <w:t>بعها و یکون ثمنها مضاربة، لم یصحّ</w:t>
      </w:r>
      <w:r>
        <w:rPr>
          <w:rtl w:val="true"/>
        </w:rPr>
        <w:t>]</w:t>
      </w:r>
      <w:bookmarkEnd w:id="4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إلیه عروضاً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بعها و یکون ثمنها مضاربة، لم یصحّ، إلّا إذا أوقع عقدها بعد ذلک علیٰ ثمنها</w:t>
      </w:r>
      <w:r>
        <w:rPr>
          <w:rFonts w:eastAsia="IRNazanin" w:cs="IRNazanin"/>
          <w:color w:val="111111"/>
          <w:sz w:val="28"/>
          <w:szCs w:val="28"/>
          <w:rtl w:val="true"/>
          <w:lang w:bidi="fa-IR"/>
        </w:rPr>
        <w:t>.</w:t>
      </w:r>
    </w:p>
    <w:p>
      <w:pPr>
        <w:pStyle w:val="Heading3"/>
        <w:numPr>
          <w:ilvl w:val="2"/>
          <w:numId w:val="1"/>
        </w:numPr>
        <w:rPr/>
      </w:pPr>
      <w:bookmarkStart w:id="4568" w:name="__RefHeading___Toc2569132_3650668749"/>
      <w:bookmarkStart w:id="4569" w:name="_Toc2075"/>
      <w:bookmarkEnd w:id="4568"/>
      <w:r>
        <w:rPr>
          <w:rtl w:val="true"/>
        </w:rPr>
        <w:t>[ (</w:t>
      </w:r>
      <w:r>
        <w:rPr>
          <w:rtl w:val="true"/>
        </w:rPr>
        <w:t xml:space="preserve">مسألة </w:t>
      </w:r>
      <w:r>
        <w:rPr/>
        <w:t>6</w:t>
      </w:r>
      <w:r>
        <w:rPr>
          <w:rtl w:val="true"/>
        </w:rPr>
        <w:t xml:space="preserve">): </w:t>
      </w:r>
      <w:r>
        <w:rPr>
          <w:rtl w:val="true"/>
        </w:rPr>
        <w:t>إذا دفع إلیه شبکة مثلًا علیٰ أن یکون ما وقع فیها من السمک بینهما بالتنصیف أو التثلیث</w:t>
      </w:r>
      <w:r>
        <w:rPr>
          <w:rtl w:val="true"/>
        </w:rPr>
        <w:t>]</w:t>
      </w:r>
      <w:bookmarkEnd w:id="4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دفع إلیه شبکة مثلًا علیٰ أن یکون ما وقع فیها من السمک بینهما بالتنصیف أو التثلیث مثلًا لم یکن مضاربة بل هی معاملة فاسدة، فیکون ما وقع فیها من الصید للصائد </w:t>
      </w:r>
      <w:r>
        <w:rPr>
          <w:rStyle w:val="FootnoteAnchor"/>
          <w:rtl w:val="true"/>
        </w:rPr>
        <w:footnoteReference w:id="1278"/>
      </w:r>
      <w:r>
        <w:rPr>
          <w:rFonts w:ascii="IRNazanin" w:hAnsi="IRNazanin" w:eastAsia="IRNazanin"/>
          <w:color w:val="111111"/>
          <w:sz w:val="28"/>
          <w:sz w:val="28"/>
          <w:szCs w:val="28"/>
          <w:rtl w:val="true"/>
          <w:lang w:bidi="fa-IR"/>
        </w:rPr>
        <w:t>، و علیه اجرة مثل الشبکة لصاحبها</w:t>
      </w:r>
      <w:r>
        <w:rPr>
          <w:rFonts w:eastAsia="IRNazanin" w:cs="IRNazanin"/>
          <w:color w:val="111111"/>
          <w:sz w:val="28"/>
          <w:szCs w:val="28"/>
          <w:rtl w:val="true"/>
          <w:lang w:bidi="fa-IR"/>
        </w:rPr>
        <w:t>.</w:t>
      </w:r>
    </w:p>
    <w:p>
      <w:pPr>
        <w:pStyle w:val="Heading3"/>
        <w:numPr>
          <w:ilvl w:val="2"/>
          <w:numId w:val="1"/>
        </w:numPr>
        <w:rPr/>
      </w:pPr>
      <w:bookmarkStart w:id="4570" w:name="__RefHeading___Toc2569134_3650668749"/>
      <w:bookmarkStart w:id="4571" w:name="_Toc2076"/>
      <w:bookmarkEnd w:id="4570"/>
      <w:r>
        <w:rPr>
          <w:rtl w:val="true"/>
        </w:rPr>
        <w:t>[ (</w:t>
      </w:r>
      <w:r>
        <w:rPr>
          <w:rtl w:val="true"/>
        </w:rPr>
        <w:t xml:space="preserve">مسألة </w:t>
      </w:r>
      <w:r>
        <w:rPr/>
        <w:t>7</w:t>
      </w:r>
      <w:r>
        <w:rPr>
          <w:rtl w:val="true"/>
        </w:rPr>
        <w:t xml:space="preserve">): </w:t>
      </w:r>
      <w:r>
        <w:rPr>
          <w:rtl w:val="true"/>
        </w:rPr>
        <w:t>لو دفع إلیه مالًا لیشتری نخیلًا أو أغناماً علیٰ أن تکون الثمرة و النتاج بینهما</w:t>
      </w:r>
      <w:r>
        <w:rPr>
          <w:rtl w:val="true"/>
        </w:rPr>
        <w:t>]</w:t>
      </w:r>
      <w:bookmarkEnd w:id="4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إلیه مالًا لیشتری نخیلًا أو أغناماً علیٰ أن تکون الثمرة و النتاج بینهما لم یکن مضاربة، فهی معاملة فاسدة تکون الثمرة و النتاج لربّ المال، و علیه اجرة مثل عمل العامل</w:t>
      </w:r>
      <w:r>
        <w:rPr>
          <w:rFonts w:eastAsia="IRNazanin" w:cs="IRNazanin"/>
          <w:color w:val="111111"/>
          <w:sz w:val="28"/>
          <w:szCs w:val="28"/>
          <w:rtl w:val="true"/>
          <w:lang w:bidi="fa-IR"/>
        </w:rPr>
        <w:t>.</w:t>
      </w:r>
    </w:p>
    <w:p>
      <w:pPr>
        <w:pStyle w:val="Heading3"/>
        <w:numPr>
          <w:ilvl w:val="2"/>
          <w:numId w:val="1"/>
        </w:numPr>
        <w:rPr/>
      </w:pPr>
      <w:bookmarkStart w:id="4572" w:name="__RefHeading___Toc2569136_3650668749"/>
      <w:bookmarkStart w:id="4573" w:name="_Toc2077"/>
      <w:bookmarkEnd w:id="4572"/>
      <w:r>
        <w:rPr>
          <w:rtl w:val="true"/>
        </w:rPr>
        <w:t>[ (</w:t>
      </w:r>
      <w:r>
        <w:rPr>
          <w:rtl w:val="true"/>
        </w:rPr>
        <w:t xml:space="preserve">مسألة </w:t>
      </w:r>
      <w:r>
        <w:rPr/>
        <w:t>8</w:t>
      </w:r>
      <w:r>
        <w:rPr>
          <w:rtl w:val="true"/>
        </w:rPr>
        <w:t xml:space="preserve">): </w:t>
      </w:r>
      <w:r>
        <w:rPr>
          <w:rtl w:val="true"/>
        </w:rPr>
        <w:t>یصحّ المضاربة علی المشاع کالمفروز</w:t>
      </w:r>
      <w:r>
        <w:rPr>
          <w:rtl w:val="true"/>
        </w:rPr>
        <w:t>]</w:t>
      </w:r>
      <w:bookmarkEnd w:id="457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المضاربة علی المشاع کالمفروز، فلو کان دراهم معلومة مشترکة بین اثنین فقال أحدهما للعامل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قارضتک بحصّتی من هذه الدراهم، صحّ مع العلم بمقدار</w:t>
      </w:r>
      <w:bookmarkStart w:id="4574" w:name="pg1809_19454"/>
    </w:p>
    <w:p>
      <w:pPr>
        <w:pStyle w:val="BookText"/>
        <w:rPr/>
      </w:pPr>
      <w:bookmarkEnd w:id="4574"/>
      <w:r>
        <w:rPr>
          <w:rFonts w:ascii="IRNazanin" w:hAnsi="IRNazanin" w:eastAsia="IRNazanin"/>
          <w:color w:val="111111"/>
          <w:sz w:val="28"/>
          <w:sz w:val="28"/>
          <w:szCs w:val="28"/>
          <w:rtl w:val="true"/>
          <w:lang w:bidi="fa-IR"/>
        </w:rPr>
        <w:t>حصّته، و کذا لو کان عنده ألف دینار مثلًا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قارضتک بنصف هذه الدنانیر</w:t>
      </w:r>
      <w:r>
        <w:rPr>
          <w:rFonts w:eastAsia="IRNazanin" w:cs="IRNazanin"/>
          <w:color w:val="111111"/>
          <w:sz w:val="28"/>
          <w:szCs w:val="28"/>
          <w:rtl w:val="true"/>
          <w:lang w:bidi="fa-IR"/>
        </w:rPr>
        <w:t>.</w:t>
      </w:r>
    </w:p>
    <w:p>
      <w:pPr>
        <w:pStyle w:val="Heading3"/>
        <w:numPr>
          <w:ilvl w:val="2"/>
          <w:numId w:val="1"/>
        </w:numPr>
        <w:rPr/>
      </w:pPr>
      <w:bookmarkStart w:id="4575" w:name="__RefHeading___Toc2569138_3650668749"/>
      <w:bookmarkStart w:id="4576" w:name="_Toc2078"/>
      <w:bookmarkEnd w:id="4575"/>
      <w:r>
        <w:rPr>
          <w:rtl w:val="true"/>
        </w:rPr>
        <w:t>[ (</w:t>
      </w:r>
      <w:r>
        <w:rPr>
          <w:rtl w:val="true"/>
        </w:rPr>
        <w:t xml:space="preserve">مسألة </w:t>
      </w:r>
      <w:r>
        <w:rPr/>
        <w:t>9</w:t>
      </w:r>
      <w:r>
        <w:rPr>
          <w:rtl w:val="true"/>
        </w:rPr>
        <w:t xml:space="preserve">): </w:t>
      </w:r>
      <w:r>
        <w:rPr>
          <w:rtl w:val="true"/>
        </w:rPr>
        <w:t>لا فرق بین أن یقول</w:t>
      </w:r>
      <w:r>
        <w:rPr>
          <w:rtl w:val="true"/>
        </w:rPr>
        <w:t xml:space="preserve">: </w:t>
      </w:r>
      <w:r>
        <w:rPr>
          <w:rtl w:val="true"/>
        </w:rPr>
        <w:t>خذ هذا المال قرضاً و لکلّ منّا نصف الربح</w:t>
      </w:r>
      <w:r>
        <w:rPr>
          <w:rtl w:val="true"/>
        </w:rPr>
        <w:t>]</w:t>
      </w:r>
      <w:bookmarkEnd w:id="4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المال قرضاً و لکلّ منّا نصف الربح، و بین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الربح بیننا،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نصف الربح أو لی نصف الربح، فی أنّ الظاهر أنّه جعل لکلّ منهما نصف الربح، و کذلک لا فرق بین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قراضاً و لک نصف ربحه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ربح نصفه، فإنّ مفاد الجمیع واحد عرفاً</w:t>
      </w:r>
      <w:r>
        <w:rPr>
          <w:rFonts w:eastAsia="IRNazanin" w:cs="IRNazanin"/>
          <w:color w:val="111111"/>
          <w:sz w:val="28"/>
          <w:szCs w:val="28"/>
          <w:rtl w:val="true"/>
          <w:lang w:bidi="fa-IR"/>
        </w:rPr>
        <w:t>.</w:t>
      </w:r>
    </w:p>
    <w:p>
      <w:pPr>
        <w:pStyle w:val="Heading3"/>
        <w:numPr>
          <w:ilvl w:val="2"/>
          <w:numId w:val="1"/>
        </w:numPr>
        <w:rPr/>
      </w:pPr>
      <w:bookmarkStart w:id="4577" w:name="__RefHeading___Toc2569140_3650668749"/>
      <w:bookmarkStart w:id="4578" w:name="_Toc2079"/>
      <w:bookmarkEnd w:id="4577"/>
      <w:r>
        <w:rPr>
          <w:rtl w:val="true"/>
        </w:rPr>
        <w:t>[ (</w:t>
      </w:r>
      <w:r>
        <w:rPr>
          <w:rtl w:val="true"/>
        </w:rPr>
        <w:t xml:space="preserve">مسألة </w:t>
      </w:r>
      <w:r>
        <w:rPr/>
        <w:t>10</w:t>
      </w:r>
      <w:r>
        <w:rPr>
          <w:rtl w:val="true"/>
        </w:rPr>
        <w:t xml:space="preserve">): </w:t>
      </w:r>
      <w:r>
        <w:rPr>
          <w:rtl w:val="true"/>
        </w:rPr>
        <w:t>یجوز اتّحاد المالک و تعدّد العامل فی مال واحد</w:t>
      </w:r>
      <w:r>
        <w:rPr>
          <w:rtl w:val="true"/>
        </w:rPr>
        <w:t>]</w:t>
      </w:r>
      <w:bookmarkEnd w:id="4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اتّحاد المالک و تعدّد العامل فی مال واحد مع اشتراط تساویهما فیما یستحقّان من الربح و فضل أحدهما علی الآخر و إن تساویا فی العمل،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قارضتکما و لکما نصف الربح، کانا فیه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تعدّد المالک و اتّحاد العامل؛ بأن کان المال مشترکاً بین اثنین، فقارضا واحداً بالنصف مثلًا متساویاً بینهما؛ بأن یکون النصف للعامل و النصف بینهما بالسویة، و بالاختلاف؛ بأن یکون فی حصّة أحدهما بالنصف و فی حصّة الآخر بالثلث مثلًا فإذا کان الربح اثنی عشر استحقّ العامل خمسة و استحقّ أحد الشریکین ثلاثة و الآخر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یکن اختلاف فی استحقاق العامل بالنسبة إلیٰ حصّة الشریکین و کان التفاضل فی استحقاق الشریکین فقط کما إذا اشترط أن یکون للعامل النصف و النصف الآخر بینهما بالتفاضل مع تساویهما فی رأس المال؛ بأن یکون للعامل الستّة من اثنی عشر و لأحد الشریکین اثنین و للآخر أربعة، ففی صحّته وجهان بل قولان، أقواهما البطلان</w:t>
      </w:r>
      <w:r>
        <w:rPr>
          <w:rFonts w:eastAsia="IRNazanin" w:cs="IRNazanin"/>
          <w:color w:val="111111"/>
          <w:sz w:val="28"/>
          <w:szCs w:val="28"/>
          <w:rtl w:val="true"/>
          <w:lang w:bidi="fa-IR"/>
        </w:rPr>
        <w:t>.</w:t>
      </w:r>
    </w:p>
    <w:p>
      <w:pPr>
        <w:pStyle w:val="Heading3"/>
        <w:numPr>
          <w:ilvl w:val="2"/>
          <w:numId w:val="1"/>
        </w:numPr>
        <w:rPr/>
      </w:pPr>
      <w:bookmarkStart w:id="4579" w:name="__RefHeading___Toc2569142_3650668749"/>
      <w:bookmarkStart w:id="4580" w:name="_Toc2080"/>
      <w:bookmarkEnd w:id="4579"/>
      <w:r>
        <w:rPr>
          <w:rtl w:val="true"/>
        </w:rPr>
        <w:t>[ (</w:t>
      </w:r>
      <w:r>
        <w:rPr>
          <w:rtl w:val="true"/>
        </w:rPr>
        <w:t xml:space="preserve">مسألة </w:t>
      </w:r>
      <w:r>
        <w:rPr/>
        <w:t>11</w:t>
      </w:r>
      <w:r>
        <w:rPr>
          <w:rtl w:val="true"/>
        </w:rPr>
        <w:t xml:space="preserve">): </w:t>
      </w:r>
      <w:r>
        <w:rPr>
          <w:rtl w:val="true"/>
        </w:rPr>
        <w:t>المضاربة جائزة من الطرفین</w:t>
      </w:r>
      <w:r>
        <w:rPr>
          <w:rtl w:val="true"/>
        </w:rPr>
        <w:t>]</w:t>
      </w:r>
      <w:bookmarkEnd w:id="458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جائزة من الطرفین، یجوز لکلّ منهما فسخها قبل الشروع فی العمل و بعده؛ قبل حصول الربح و بعده، صار المال کلّه نقداً أو کان فیه أجناس لم ینضّ بعد، بل إذا اشترطا فیها الأجل جاز لکلّ منهما فسخها قبل انقضائه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اشترطا فیها عدم الفسخ، فإن کان المقصود لزومها </w:t>
      </w:r>
      <w:r>
        <w:rPr>
          <w:rStyle w:val="FootnoteAnchor"/>
          <w:rtl w:val="true"/>
        </w:rPr>
        <w:footnoteReference w:id="1279"/>
      </w:r>
      <w:r>
        <w:rPr>
          <w:rFonts w:ascii="IRNazanin" w:hAnsi="IRNazanin" w:eastAsia="IRNazanin"/>
          <w:color w:val="111111"/>
          <w:sz w:val="28"/>
          <w:sz w:val="28"/>
          <w:szCs w:val="28"/>
          <w:rtl w:val="true"/>
          <w:lang w:bidi="fa-IR"/>
        </w:rPr>
        <w:t xml:space="preserve">بحیث لا ینفسخ بفسخ أحدهما بطل الشرط دون أصل المضاربة علی الأقویٰ، و إن کان المقصود التزامهما بأن لا یفسخاها فلا بأس به، و إن لم یلزم </w:t>
      </w:r>
      <w:r>
        <w:rPr>
          <w:rStyle w:val="FootnoteAnchor"/>
          <w:rtl w:val="true"/>
        </w:rPr>
        <w:footnoteReference w:id="1280"/>
      </w:r>
      <w:r>
        <w:rPr>
          <w:rFonts w:ascii="IRNazanin" w:hAnsi="IRNazanin" w:eastAsia="IRNazanin"/>
          <w:color w:val="111111"/>
          <w:sz w:val="28"/>
          <w:sz w:val="28"/>
          <w:szCs w:val="28"/>
          <w:rtl w:val="true"/>
          <w:lang w:bidi="fa-IR"/>
        </w:rPr>
        <w:t>علیهما العمل به، إلّا إذا جعلا هذا الشرط فی ضمن عقد خارج لازم کالبیع و الصلح و نحوهما</w:t>
      </w:r>
      <w:r>
        <w:rPr>
          <w:rFonts w:eastAsia="IRNazanin" w:cs="IRNazanin"/>
          <w:color w:val="111111"/>
          <w:sz w:val="28"/>
          <w:szCs w:val="28"/>
          <w:rtl w:val="true"/>
          <w:lang w:bidi="fa-IR"/>
        </w:rPr>
        <w:t>.</w:t>
      </w:r>
      <w:bookmarkStart w:id="4581" w:name="pg1809_19455"/>
    </w:p>
    <w:p>
      <w:pPr>
        <w:pStyle w:val="Heading3"/>
        <w:numPr>
          <w:ilvl w:val="2"/>
          <w:numId w:val="1"/>
        </w:numPr>
        <w:rPr/>
      </w:pPr>
      <w:bookmarkStart w:id="4582" w:name="__RefHeading___Toc2569144_3650668749"/>
      <w:bookmarkStart w:id="4583" w:name="_Toc2081"/>
      <w:bookmarkEnd w:id="4581"/>
      <w:bookmarkEnd w:id="4582"/>
      <w:r>
        <w:rPr>
          <w:rtl w:val="true"/>
        </w:rPr>
        <w:t>[ (</w:t>
      </w:r>
      <w:r>
        <w:rPr>
          <w:rtl w:val="true"/>
        </w:rPr>
        <w:t xml:space="preserve">مسألة </w:t>
      </w:r>
      <w:r>
        <w:rPr/>
        <w:t>12</w:t>
      </w:r>
      <w:r>
        <w:rPr>
          <w:rtl w:val="true"/>
        </w:rPr>
        <w:t xml:space="preserve">): </w:t>
      </w:r>
      <w:r>
        <w:rPr>
          <w:rtl w:val="true"/>
        </w:rPr>
        <w:t>الظاهر جریان المعاطاة و الفضولیّة فی المضاربة فتصحّ بالمعاطاة</w:t>
      </w:r>
      <w:r>
        <w:rPr>
          <w:rtl w:val="true"/>
        </w:rPr>
        <w:t>]</w:t>
      </w:r>
      <w:bookmarkEnd w:id="45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جریان المعاطاة و الفضولیّة فی المضاربة فتصحّ بالمعاطاة، و إذا وقعت فضولًا من طرف المالک أو العامل تصحّ بإجازتهما کالبیع</w:t>
      </w:r>
      <w:r>
        <w:rPr>
          <w:rFonts w:eastAsia="IRNazanin" w:cs="IRNazanin"/>
          <w:color w:val="111111"/>
          <w:sz w:val="28"/>
          <w:szCs w:val="28"/>
          <w:rtl w:val="true"/>
          <w:lang w:bidi="fa-IR"/>
        </w:rPr>
        <w:t>.</w:t>
      </w:r>
    </w:p>
    <w:p>
      <w:pPr>
        <w:pStyle w:val="Heading3"/>
        <w:numPr>
          <w:ilvl w:val="2"/>
          <w:numId w:val="1"/>
        </w:numPr>
        <w:rPr/>
      </w:pPr>
      <w:bookmarkStart w:id="4584" w:name="__RefHeading___Toc2569146_3650668749"/>
      <w:bookmarkStart w:id="4585" w:name="_Toc2082"/>
      <w:bookmarkEnd w:id="4584"/>
      <w:r>
        <w:rPr>
          <w:rtl w:val="true"/>
        </w:rPr>
        <w:t>[ (</w:t>
      </w:r>
      <w:r>
        <w:rPr>
          <w:rtl w:val="true"/>
        </w:rPr>
        <w:t xml:space="preserve">مسألة </w:t>
      </w:r>
      <w:r>
        <w:rPr/>
        <w:t>13</w:t>
      </w:r>
      <w:r>
        <w:rPr>
          <w:rtl w:val="true"/>
        </w:rPr>
        <w:t xml:space="preserve">): </w:t>
      </w:r>
      <w:r>
        <w:rPr>
          <w:rtl w:val="true"/>
        </w:rPr>
        <w:t>تبطل المضاربة بموت کلّ من المالک و العامل</w:t>
      </w:r>
      <w:r>
        <w:rPr>
          <w:rtl w:val="true"/>
        </w:rPr>
        <w:t>]</w:t>
      </w:r>
      <w:bookmarkEnd w:id="45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المضاربة بموت کلّ من المالک و العامل، و هل یجوز لورثة المالک إجازة العقد فتبقی المضاربة بحالها بسبب إجازتهم أم لا؟ فیه تأمّل و إشکال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6" w:name="__RefHeading___Toc2569148_3650668749"/>
      <w:bookmarkStart w:id="4587" w:name="_Toc2083"/>
      <w:bookmarkEnd w:id="4586"/>
      <w:r>
        <w:rPr>
          <w:rtl w:val="true"/>
        </w:rPr>
        <w:t>[ (</w:t>
      </w:r>
      <w:r>
        <w:rPr>
          <w:rtl w:val="true"/>
        </w:rPr>
        <w:t xml:space="preserve">مسألة </w:t>
      </w:r>
      <w:r>
        <w:rPr/>
        <w:t>14</w:t>
      </w:r>
      <w:r>
        <w:rPr>
          <w:rtl w:val="true"/>
        </w:rPr>
        <w:t xml:space="preserve">): </w:t>
      </w:r>
      <w:r>
        <w:rPr>
          <w:rtl w:val="true"/>
        </w:rPr>
        <w:t>العامل أمین فلا ضمان علیه لو تلف المال أو تعیّب تحت یده إلّا مع التعدّی أو التفریط</w:t>
      </w:r>
      <w:r>
        <w:rPr>
          <w:rtl w:val="true"/>
        </w:rPr>
        <w:t>]</w:t>
      </w:r>
      <w:bookmarkEnd w:id="4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أمین فلا ضمان علیه لو تلف المال أو تعیّب تحت یده إلّا مع التعدّی أو التفریط، کما أنّه لا ضمان علیه من جهة الخسارة فی التجارة، بل هی واردة علیٰ 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اشترط المالک علی العامل أن یکون شریکاً معه فی الخسارة کما یکون شریکاً معه فی الربح ففی صحّته وجهان، أقواهما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مرجعه </w:t>
      </w:r>
      <w:r>
        <w:rPr>
          <w:rStyle w:val="FootnoteAnchor"/>
          <w:rtl w:val="true"/>
        </w:rPr>
        <w:footnoteReference w:id="1282"/>
      </w:r>
      <w:r>
        <w:rPr>
          <w:rFonts w:ascii="IRNazanin" w:hAnsi="IRNazanin" w:eastAsia="IRNazanin"/>
          <w:color w:val="111111"/>
          <w:sz w:val="28"/>
          <w:sz w:val="28"/>
          <w:szCs w:val="28"/>
          <w:rtl w:val="true"/>
          <w:lang w:bidi="fa-IR"/>
        </w:rPr>
        <w:t xml:space="preserve">إلی اشتراط أنّه علیٰ تقدیر وقوع الخسارة علی المالک خسر العامل نصفه مثلًا من کیسه لا بأس به، لکن لزوم الوفاء به علی العامل یتوقّف علیٰ إیقاع هذا الشرط فی ضمن عقد لازم </w:t>
      </w:r>
      <w:r>
        <w:rPr>
          <w:rStyle w:val="FootnoteAnchor"/>
          <w:rtl w:val="true"/>
        </w:rPr>
        <w:footnoteReference w:id="1283"/>
      </w:r>
      <w:r>
        <w:rPr>
          <w:rFonts w:ascii="IRNazanin" w:hAnsi="IRNazanin" w:eastAsia="IRNazanin"/>
          <w:color w:val="111111"/>
          <w:sz w:val="28"/>
          <w:sz w:val="28"/>
          <w:szCs w:val="28"/>
          <w:rtl w:val="true"/>
          <w:lang w:bidi="fa-IR"/>
        </w:rPr>
        <w:t>لا فی ضمن مثل عقد المضاربة ممّا هو جائز من الطرفین</w:t>
      </w:r>
      <w:r>
        <w:rPr>
          <w:rFonts w:eastAsia="IRNazanin" w:cs="IRNazanin"/>
          <w:color w:val="111111"/>
          <w:sz w:val="28"/>
          <w:szCs w:val="28"/>
          <w:rtl w:val="true"/>
          <w:lang w:bidi="fa-IR"/>
        </w:rPr>
        <w:t>.</w:t>
      </w:r>
    </w:p>
    <w:p>
      <w:pPr>
        <w:pStyle w:val="Heading3"/>
        <w:numPr>
          <w:ilvl w:val="2"/>
          <w:numId w:val="1"/>
        </w:numPr>
        <w:rPr/>
      </w:pPr>
      <w:bookmarkStart w:id="4588" w:name="__RefHeading___Toc2569150_3650668749"/>
      <w:bookmarkStart w:id="4589" w:name="_Toc2084"/>
      <w:bookmarkEnd w:id="4588"/>
      <w:r>
        <w:rPr>
          <w:rtl w:val="true"/>
        </w:rPr>
        <w:t>[ (</w:t>
      </w:r>
      <w:r>
        <w:rPr>
          <w:rtl w:val="true"/>
        </w:rPr>
        <w:t xml:space="preserve">مسألة </w:t>
      </w:r>
      <w:r>
        <w:rPr/>
        <w:t>15</w:t>
      </w:r>
      <w:r>
        <w:rPr>
          <w:rtl w:val="true"/>
        </w:rPr>
        <w:t xml:space="preserve">): </w:t>
      </w:r>
      <w:r>
        <w:rPr>
          <w:rtl w:val="true"/>
        </w:rPr>
        <w:t>یجب علی العامل بعد عقد المضاربة القیام بوظیفته</w:t>
      </w:r>
      <w:r>
        <w:rPr>
          <w:rtl w:val="true"/>
        </w:rPr>
        <w:t>]</w:t>
      </w:r>
      <w:bookmarkEnd w:id="4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العامل بعد عقد المضاربة القیام بوظیفته؛ من تولّی ما یتولّاه التاجر لنفسه علی المعتاد بالنسبة إلیٰ مثل تلک التجارة فی مثل ذلک المکان و الزمان و مثل ذلک العامل من عرض القماش و النشر و الطیّ مثلًا و قبض الثمن و إحرازه فی حرزه و استئجار من جرت العادة باستئجاره کالدلّال و الوزّان و الحمّال، و یعطی أُجرتهم من أصل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باشر مثل هذه الأُمور هو بنفسه لا بقصد التبرّع فالظاهر جواز أخذ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استأجر لما یتعارف فیه مباشرة العامل بنفسه کان علیه الأُجرة</w:t>
      </w:r>
      <w:r>
        <w:rPr>
          <w:rFonts w:eastAsia="IRNazanin" w:cs="IRNazanin"/>
          <w:color w:val="111111"/>
          <w:sz w:val="28"/>
          <w:szCs w:val="28"/>
          <w:rtl w:val="true"/>
          <w:lang w:bidi="fa-IR"/>
        </w:rPr>
        <w:t>.</w:t>
      </w:r>
    </w:p>
    <w:p>
      <w:pPr>
        <w:pStyle w:val="Heading3"/>
        <w:numPr>
          <w:ilvl w:val="2"/>
          <w:numId w:val="1"/>
        </w:numPr>
        <w:rPr/>
      </w:pPr>
      <w:bookmarkStart w:id="4590" w:name="__RefHeading___Toc2569152_3650668749"/>
      <w:bookmarkStart w:id="4591" w:name="_Toc2085"/>
      <w:bookmarkEnd w:id="4590"/>
      <w:r>
        <w:rPr>
          <w:rtl w:val="true"/>
        </w:rPr>
        <w:t>[ (</w:t>
      </w:r>
      <w:r>
        <w:rPr>
          <w:rtl w:val="true"/>
        </w:rPr>
        <w:t xml:space="preserve">مسألة </w:t>
      </w:r>
      <w:r>
        <w:rPr/>
        <w:t>16</w:t>
      </w:r>
      <w:r>
        <w:rPr>
          <w:rtl w:val="true"/>
        </w:rPr>
        <w:t xml:space="preserve">): </w:t>
      </w:r>
      <w:r>
        <w:rPr>
          <w:rtl w:val="true"/>
        </w:rPr>
        <w:t>مع إطلاق عقد المضاربة یجوز للعامل الاتّجار بالمال علیٰ حسب ما یراه من المصلحة</w:t>
      </w:r>
      <w:r>
        <w:rPr>
          <w:rtl w:val="true"/>
        </w:rPr>
        <w:t>]</w:t>
      </w:r>
      <w:bookmarkEnd w:id="459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إطلاق عقد المضاربة یجوز للعامل الاتّجار بالمال علیٰ حسب ما یراه من المصلحة من حیث الجنس المشتریٰ و البائع و المشتری و غیر ذلک، حتّی فی الثمن، فلا یتعیّن علیه أن یبیع بالنقد، بل یجوز أن یبیع الجنس بجنس آخر، إلّا أن یکون هناک تعارف</w:t>
      </w:r>
      <w:bookmarkStart w:id="4592" w:name="pg1809_19456"/>
    </w:p>
    <w:p>
      <w:pPr>
        <w:pStyle w:val="BookText"/>
        <w:rPr/>
      </w:pPr>
      <w:bookmarkEnd w:id="4592"/>
      <w:r>
        <w:rPr>
          <w:rFonts w:ascii="IRNazanin" w:hAnsi="IRNazanin" w:eastAsia="IRNazanin"/>
          <w:color w:val="111111"/>
          <w:sz w:val="28"/>
          <w:sz w:val="28"/>
          <w:szCs w:val="28"/>
          <w:rtl w:val="true"/>
          <w:lang w:bidi="fa-IR"/>
        </w:rPr>
        <w:t>ینصرف إلیه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شرط علیه المالک أن لا یشتری الجنس الفلانی أو إلّا الجنس الفلانی أو لا یبیع من الشخص الفلانی أو الطائفة الفلانیّة و غیر ذلک من الشروط لم یجز له المخالفة، و لو خالف ضمن المال و الخسارة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حصل الربح و کانت التجارة رابحة شارک المالک فی الربح علیٰ ما قرّراه فی عقد المضاربة</w:t>
      </w:r>
      <w:r>
        <w:rPr>
          <w:rFonts w:eastAsia="IRNazanin" w:cs="IRNazanin"/>
          <w:color w:val="111111"/>
          <w:sz w:val="28"/>
          <w:szCs w:val="28"/>
          <w:rtl w:val="true"/>
          <w:lang w:bidi="fa-IR"/>
        </w:rPr>
        <w:t>.</w:t>
      </w:r>
    </w:p>
    <w:p>
      <w:pPr>
        <w:pStyle w:val="Heading3"/>
        <w:numPr>
          <w:ilvl w:val="2"/>
          <w:numId w:val="1"/>
        </w:numPr>
        <w:rPr/>
      </w:pPr>
      <w:bookmarkStart w:id="4593" w:name="__RefHeading___Toc2569154_3650668749"/>
      <w:bookmarkStart w:id="4594" w:name="_Toc2086"/>
      <w:bookmarkEnd w:id="4593"/>
      <w:r>
        <w:rPr>
          <w:rtl w:val="true"/>
        </w:rPr>
        <w:t>[ (</w:t>
      </w:r>
      <w:r>
        <w:rPr>
          <w:rtl w:val="true"/>
        </w:rPr>
        <w:t xml:space="preserve">مسألة </w:t>
      </w:r>
      <w:r>
        <w:rPr/>
        <w:t>17</w:t>
      </w:r>
      <w:r>
        <w:rPr>
          <w:rtl w:val="true"/>
        </w:rPr>
        <w:t xml:space="preserve">): </w:t>
      </w:r>
      <w:r>
        <w:rPr>
          <w:rtl w:val="true"/>
        </w:rPr>
        <w:t>لا یجوز للعامل خلط رأس المال بمال آخر لنفسه أو لغیره إلّا بإذن المالک</w:t>
      </w:r>
      <w:r>
        <w:rPr>
          <w:rtl w:val="true"/>
        </w:rPr>
        <w:t>]</w:t>
      </w:r>
      <w:bookmarkEnd w:id="4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للعامل خلط رأس المال بمال آخر لنفسه أو لغیره إلّا بإذن المالک عموماً أو خصوصاً، فلو خلط ضمن، لکن إذا دار المجموع فی التجارة و حصل ربح فهو بین المالین علی النسبة</w:t>
      </w:r>
      <w:r>
        <w:rPr>
          <w:rFonts w:eastAsia="IRNazanin" w:cs="IRNazanin"/>
          <w:color w:val="111111"/>
          <w:sz w:val="28"/>
          <w:szCs w:val="28"/>
          <w:rtl w:val="true"/>
          <w:lang w:bidi="fa-IR"/>
        </w:rPr>
        <w:t>.</w:t>
      </w:r>
    </w:p>
    <w:p>
      <w:pPr>
        <w:pStyle w:val="Heading3"/>
        <w:numPr>
          <w:ilvl w:val="2"/>
          <w:numId w:val="1"/>
        </w:numPr>
        <w:rPr/>
      </w:pPr>
      <w:bookmarkStart w:id="4595" w:name="__RefHeading___Toc2569156_3650668749"/>
      <w:bookmarkStart w:id="4596" w:name="_Toc2087"/>
      <w:bookmarkEnd w:id="4595"/>
      <w:r>
        <w:rPr>
          <w:rtl w:val="true"/>
        </w:rPr>
        <w:t>[ (</w:t>
      </w:r>
      <w:r>
        <w:rPr>
          <w:rtl w:val="true"/>
        </w:rPr>
        <w:t xml:space="preserve">مسألة </w:t>
      </w:r>
      <w:r>
        <w:rPr/>
        <w:t>18</w:t>
      </w:r>
      <w:r>
        <w:rPr>
          <w:rtl w:val="true"/>
        </w:rPr>
        <w:t xml:space="preserve">): </w:t>
      </w:r>
      <w:r>
        <w:rPr>
          <w:rtl w:val="true"/>
        </w:rPr>
        <w:t>لا یجوز مع الإطلاق أن یبیع نسیئة</w:t>
      </w:r>
      <w:r>
        <w:rPr>
          <w:rtl w:val="true"/>
        </w:rPr>
        <w:t>]</w:t>
      </w:r>
      <w:bookmarkEnd w:id="4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مع الإطلاق أن یبیع نسیئة، خصوصاً فی بعض الأزمان و علیٰ بعض الأشخاص، إلّا أن یکون متعارفاً بین التجار و لو بالنسبة إلیٰ ذلک البلد أو الجنس الفلانی؛ بحیث ینصرف إلیه الإطلاق، فلو خالف فی غیر مورد الانصراف ضمن، و لکن لو استوفاه و حصل ربح کان بینهما</w:t>
      </w:r>
      <w:r>
        <w:rPr>
          <w:rFonts w:eastAsia="IRNazanin" w:cs="IRNazanin"/>
          <w:color w:val="111111"/>
          <w:sz w:val="28"/>
          <w:szCs w:val="28"/>
          <w:rtl w:val="true"/>
          <w:lang w:bidi="fa-IR"/>
        </w:rPr>
        <w:t>.</w:t>
      </w:r>
    </w:p>
    <w:p>
      <w:pPr>
        <w:pStyle w:val="Heading3"/>
        <w:numPr>
          <w:ilvl w:val="2"/>
          <w:numId w:val="1"/>
        </w:numPr>
        <w:rPr/>
      </w:pPr>
      <w:bookmarkStart w:id="4597" w:name="__RefHeading___Toc2569158_3650668749"/>
      <w:bookmarkStart w:id="4598" w:name="_Toc2088"/>
      <w:bookmarkEnd w:id="4597"/>
      <w:r>
        <w:rPr>
          <w:rtl w:val="true"/>
        </w:rPr>
        <w:t>[ (</w:t>
      </w:r>
      <w:r>
        <w:rPr>
          <w:rtl w:val="true"/>
        </w:rPr>
        <w:t xml:space="preserve">مسألة </w:t>
      </w:r>
      <w:r>
        <w:rPr/>
        <w:t>19</w:t>
      </w:r>
      <w:r>
        <w:rPr>
          <w:rtl w:val="true"/>
        </w:rPr>
        <w:t xml:space="preserve">): </w:t>
      </w:r>
      <w:r>
        <w:rPr>
          <w:rtl w:val="true"/>
        </w:rPr>
        <w:t>لیس للعامل أن یسافر بالمال برّاً و بحراً و الاتّجار به فی بلاد أُخر</w:t>
      </w:r>
      <w:r>
        <w:rPr>
          <w:rtl w:val="true"/>
        </w:rPr>
        <w:t>]</w:t>
      </w:r>
      <w:bookmarkEnd w:id="4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للعامل أن یسافر بالمال برّاً و بحراً و الاتّجار به فی بلاد أُخر غیر بلد المال إلّا مع إذن </w:t>
      </w:r>
      <w:r>
        <w:rPr>
          <w:rStyle w:val="FootnoteAnchor"/>
          <w:rtl w:val="true"/>
        </w:rPr>
        <w:footnoteReference w:id="1284"/>
      </w:r>
      <w:r>
        <w:rPr>
          <w:rFonts w:ascii="IRNazanin" w:hAnsi="IRNazanin" w:eastAsia="IRNazanin"/>
          <w:color w:val="111111"/>
          <w:sz w:val="28"/>
          <w:sz w:val="28"/>
          <w:szCs w:val="28"/>
          <w:rtl w:val="true"/>
          <w:lang w:bidi="fa-IR"/>
        </w:rPr>
        <w:t>المالک، فلو سافر ضمن التلف و الخسارة، لکن لو حصل الربح یکون بینهما کما مرّ، و کذا لو أمره بالسفر إلیٰ جهة فسافر إلیٰ غیرها</w:t>
      </w:r>
      <w:r>
        <w:rPr>
          <w:rFonts w:eastAsia="IRNazanin" w:cs="IRNazanin"/>
          <w:color w:val="111111"/>
          <w:sz w:val="28"/>
          <w:szCs w:val="28"/>
          <w:rtl w:val="true"/>
          <w:lang w:bidi="fa-IR"/>
        </w:rPr>
        <w:t>.</w:t>
      </w:r>
    </w:p>
    <w:p>
      <w:pPr>
        <w:pStyle w:val="Heading3"/>
        <w:numPr>
          <w:ilvl w:val="2"/>
          <w:numId w:val="1"/>
        </w:numPr>
        <w:rPr/>
      </w:pPr>
      <w:bookmarkStart w:id="4599" w:name="__RefHeading___Toc2569160_3650668749"/>
      <w:bookmarkStart w:id="4600" w:name="_Toc2089"/>
      <w:bookmarkEnd w:id="4599"/>
      <w:r>
        <w:rPr>
          <w:rtl w:val="true"/>
        </w:rPr>
        <w:t>[ (</w:t>
      </w:r>
      <w:r>
        <w:rPr>
          <w:rtl w:val="true"/>
        </w:rPr>
        <w:t xml:space="preserve">مسألة </w:t>
      </w:r>
      <w:r>
        <w:rPr/>
        <w:t>20</w:t>
      </w:r>
      <w:r>
        <w:rPr>
          <w:rtl w:val="true"/>
        </w:rPr>
        <w:t xml:space="preserve">): </w:t>
      </w:r>
      <w:r>
        <w:rPr>
          <w:rtl w:val="true"/>
        </w:rPr>
        <w:t>لیس للعامل أن ینفق فی الحضر من مال القراض شیئاً و إن قلّ</w:t>
      </w:r>
      <w:r>
        <w:rPr>
          <w:rtl w:val="true"/>
        </w:rPr>
        <w:t>]</w:t>
      </w:r>
      <w:bookmarkEnd w:id="4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للعامل أن ینفق فی الحضر من مال القراض شیئاً و إن قلّ، حتّی فلوس السقاء، و کذا فی السفر إذا لم یکن بإذن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بإذنه فله الإنفاق من رأس المال، إلّا إذا اشترط المالک أن یکون نفقته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بالنفقة ما یحتاج إلیه من مأکول و مشروب و ملبوس و مرکوب و آلات و أدوات کالقربة و الجوالق و أُجرة المسکن و نحو ذلک مع مراعاة ما یلیق بحاله عادة علیٰ وجه الاقتصاد، فلو أسرف حسب علیه، و لو قتّر علیٰ نفسه أو لم یحتج إلیها من جهة صیرورته ضیفاً عند أحد مثلًا لم یحسب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من النفقة هنا جوائزه و عطایاه و ضیافاته و غیر ذلک فهی علیٰ نفسه إلّا إذا کانت لمصلحة التجارة</w:t>
      </w:r>
      <w:r>
        <w:rPr>
          <w:rFonts w:eastAsia="IRNazanin" w:cs="IRNazanin"/>
          <w:color w:val="111111"/>
          <w:sz w:val="28"/>
          <w:szCs w:val="28"/>
          <w:rtl w:val="true"/>
          <w:lang w:bidi="fa-IR"/>
        </w:rPr>
        <w:t>.</w:t>
      </w:r>
    </w:p>
    <w:p>
      <w:pPr>
        <w:pStyle w:val="Heading3"/>
        <w:numPr>
          <w:ilvl w:val="2"/>
          <w:numId w:val="1"/>
        </w:numPr>
        <w:rPr/>
      </w:pPr>
      <w:bookmarkStart w:id="4601" w:name="__RefHeading___Toc2569162_3650668749"/>
      <w:bookmarkStart w:id="4602" w:name="_Toc2090"/>
      <w:bookmarkEnd w:id="4601"/>
      <w:r>
        <w:rPr>
          <w:rtl w:val="true"/>
        </w:rPr>
        <w:t>[ (</w:t>
      </w:r>
      <w:r>
        <w:rPr>
          <w:rtl w:val="true"/>
        </w:rPr>
        <w:t xml:space="preserve">مسألة </w:t>
      </w:r>
      <w:r>
        <w:rPr/>
        <w:t>21</w:t>
      </w:r>
      <w:r>
        <w:rPr>
          <w:rtl w:val="true"/>
        </w:rPr>
        <w:t xml:space="preserve">): </w:t>
      </w:r>
      <w:r>
        <w:rPr>
          <w:rtl w:val="true"/>
        </w:rPr>
        <w:t>المراد بالسفر المجوّز للإنفاق من المال هو العرفی لا الشرعی</w:t>
      </w:r>
      <w:r>
        <w:rPr>
          <w:rtl w:val="true"/>
        </w:rPr>
        <w:t>]</w:t>
      </w:r>
      <w:bookmarkEnd w:id="460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بالسفر المجوّز للإنفاق من المال هو العرفی لا الشرعی، فیشمل ما دون المسافة، کما أنّه یشمل أیّام إقامته عشرة أیّام أو أزید فی بعض البلاد، لکن إذا کان</w:t>
      </w:r>
      <w:bookmarkStart w:id="4603" w:name="pg1809_19457"/>
    </w:p>
    <w:p>
      <w:pPr>
        <w:pStyle w:val="BookText"/>
        <w:rPr/>
      </w:pPr>
      <w:bookmarkEnd w:id="4603"/>
      <w:r>
        <w:rPr>
          <w:rFonts w:ascii="IRNazanin" w:hAnsi="IRNazanin" w:eastAsia="IRNazanin"/>
          <w:color w:val="111111"/>
          <w:sz w:val="28"/>
          <w:sz w:val="28"/>
          <w:szCs w:val="28"/>
          <w:rtl w:val="true"/>
          <w:lang w:bidi="fa-IR"/>
        </w:rPr>
        <w:t>لأجل عوارض السفر کما إذا کان للراحة من التعب أو لانتظار الرفقة أو لخوف الطریق و غیر ذلک، أو لأُمور متعلّقة بالتجارة کما إذا کان لدفع العشور و أخذ التذکرة من العشّار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بقی للتفرّج أو لتحصیل مال لنفسه و نحو ذلک، فالظاهر کون نفقته علیٰ نفسه، خصوصاً لو کانت الإقامة لأجل مثل هذه الأغراض بعد تمام العمل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4" w:name="__RefHeading___Toc2569164_3650668749"/>
      <w:bookmarkStart w:id="4605" w:name="_Toc2091"/>
      <w:bookmarkEnd w:id="4604"/>
      <w:r>
        <w:rPr>
          <w:rtl w:val="true"/>
        </w:rPr>
        <w:t>[ (</w:t>
      </w:r>
      <w:r>
        <w:rPr>
          <w:rtl w:val="true"/>
        </w:rPr>
        <w:t xml:space="preserve">مسألة </w:t>
      </w:r>
      <w:r>
        <w:rPr/>
        <w:t>22</w:t>
      </w:r>
      <w:r>
        <w:rPr>
          <w:rtl w:val="true"/>
        </w:rPr>
        <w:t xml:space="preserve">): </w:t>
      </w:r>
      <w:r>
        <w:rPr>
          <w:rtl w:val="true"/>
        </w:rPr>
        <w:t>لو کان عاملًا لاثنین أو أزید، أو عاملًا لنفسه و غیره توزّع النفقة</w:t>
      </w:r>
      <w:r>
        <w:rPr>
          <w:rtl w:val="true"/>
        </w:rPr>
        <w:t>]</w:t>
      </w:r>
      <w:bookmarkEnd w:id="4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عاملًا لاثنین أو أزید، أو عاملًا لنفسه و غیره توزّع النفقة، و هل هو علیٰ نسبة المالین أو علیٰ نسبة العملین؟ فیه تأمّل و إشکال، فلا یترک الاحتیاط برعایة أقلّ </w:t>
      </w:r>
      <w:r>
        <w:rPr>
          <w:rStyle w:val="FootnoteAnchor"/>
          <w:rtl w:val="true"/>
        </w:rPr>
        <w:footnoteReference w:id="1286"/>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p>
    <w:p>
      <w:pPr>
        <w:pStyle w:val="Heading3"/>
        <w:numPr>
          <w:ilvl w:val="2"/>
          <w:numId w:val="1"/>
        </w:numPr>
        <w:rPr/>
      </w:pPr>
      <w:bookmarkStart w:id="4606" w:name="__RefHeading___Toc2569166_3650668749"/>
      <w:bookmarkStart w:id="4607" w:name="_Toc2092"/>
      <w:bookmarkEnd w:id="4606"/>
      <w:r>
        <w:rPr>
          <w:rtl w:val="true"/>
        </w:rPr>
        <w:t>[ (</w:t>
      </w:r>
      <w:r>
        <w:rPr>
          <w:rtl w:val="true"/>
        </w:rPr>
        <w:t xml:space="preserve">مسألة </w:t>
      </w:r>
      <w:r>
        <w:rPr/>
        <w:t>23</w:t>
      </w:r>
      <w:r>
        <w:rPr>
          <w:rtl w:val="true"/>
        </w:rPr>
        <w:t xml:space="preserve">): </w:t>
      </w:r>
      <w:r>
        <w:rPr>
          <w:rtl w:val="true"/>
        </w:rPr>
        <w:t>لا یعتبر ظهور الربح فی استحقاق النفقة، بل ینفق من أصل المال و إن لم یکن ربح</w:t>
      </w:r>
      <w:r>
        <w:rPr>
          <w:rtl w:val="true"/>
        </w:rPr>
        <w:t>]</w:t>
      </w:r>
      <w:bookmarkEnd w:id="4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ظهور الربح فی استحقاق النفقة، بل ینفق من أصل المال و إن لم یکن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أنفق و حصل ربح فیما بعد یجبر ما أنفقه من رأس المال بالربح کسائر الغرامات و الخسارات، فیعطی المالک تمام رأس ماله، فإن بقی شی‌ء من الربح یکون بینهما</w:t>
      </w:r>
      <w:r>
        <w:rPr>
          <w:rFonts w:eastAsia="IRNazanin" w:cs="IRNazanin"/>
          <w:color w:val="111111"/>
          <w:sz w:val="28"/>
          <w:szCs w:val="28"/>
          <w:rtl w:val="true"/>
          <w:lang w:bidi="fa-IR"/>
        </w:rPr>
        <w:t>.</w:t>
      </w:r>
    </w:p>
    <w:p>
      <w:pPr>
        <w:pStyle w:val="Heading3"/>
        <w:numPr>
          <w:ilvl w:val="2"/>
          <w:numId w:val="1"/>
        </w:numPr>
        <w:rPr/>
      </w:pPr>
      <w:bookmarkStart w:id="4608" w:name="__RefHeading___Toc2569168_3650668749"/>
      <w:bookmarkStart w:id="4609" w:name="_Toc2093"/>
      <w:bookmarkEnd w:id="4608"/>
      <w:r>
        <w:rPr>
          <w:rtl w:val="true"/>
        </w:rPr>
        <w:t>[ (</w:t>
      </w:r>
      <w:r>
        <w:rPr>
          <w:rtl w:val="true"/>
        </w:rPr>
        <w:t xml:space="preserve">مسألة </w:t>
      </w:r>
      <w:r>
        <w:rPr/>
        <w:t>24</w:t>
      </w:r>
      <w:r>
        <w:rPr>
          <w:rtl w:val="true"/>
        </w:rPr>
        <w:t xml:space="preserve">): </w:t>
      </w:r>
      <w:r>
        <w:rPr>
          <w:rtl w:val="true"/>
        </w:rPr>
        <w:t>الظاهر أنّه کما یجوز للعامل الشراء بعین مال المضاربة بأن یعیّن دراهم شخصیّة</w:t>
      </w:r>
      <w:r>
        <w:rPr>
          <w:rtl w:val="true"/>
        </w:rPr>
        <w:t>]</w:t>
      </w:r>
      <w:bookmarkEnd w:id="460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کما یجوز للعامل الشراء بعین مال المضاربة بأن یعیّن دراهم شخصیّة و یشتری شیئاً بتلک الدراهم الشخصیّة، یجوز الشراء بالکلّی فی الذمّة و الدفع و الأداء منه؛ بأن یشتری جنساً بألف درهم کلّی علیٰ ذمّة المالک و دفعه بعد ذلک من المال الذی عنده، فلو فرض تلف مال المضاربة قبل الأداء أدّاه </w:t>
      </w:r>
      <w:r>
        <w:rPr>
          <w:rStyle w:val="FootnoteAnchor"/>
          <w:rtl w:val="true"/>
        </w:rPr>
        <w:footnoteReference w:id="1287"/>
      </w:r>
      <w:r>
        <w:rPr>
          <w:rFonts w:ascii="IRNazanin" w:hAnsi="IRNazanin" w:eastAsia="IRNazanin"/>
          <w:color w:val="111111"/>
          <w:sz w:val="28"/>
          <w:sz w:val="28"/>
          <w:szCs w:val="28"/>
          <w:rtl w:val="true"/>
          <w:lang w:bidi="fa-IR"/>
        </w:rPr>
        <w:t>المالک من غیرها، و لا یتعیّن</w:t>
      </w:r>
      <w:bookmarkStart w:id="4610" w:name="pg1809_19458"/>
    </w:p>
    <w:p>
      <w:pPr>
        <w:pStyle w:val="BookText"/>
        <w:rPr/>
      </w:pPr>
      <w:bookmarkEnd w:id="4610"/>
      <w:r>
        <w:rPr>
          <w:rFonts w:ascii="IRNazanin" w:hAnsi="IRNazanin" w:eastAsia="IRNazanin"/>
          <w:color w:val="111111"/>
          <w:sz w:val="28"/>
          <w:sz w:val="28"/>
          <w:szCs w:val="28"/>
          <w:rtl w:val="true"/>
          <w:lang w:bidi="fa-IR"/>
        </w:rPr>
        <w:t>النحو الأوّل کما نسب إلی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الإطلاق، و أمّا مع الإذن فی النحو الثانی، فلا إشکال فی جوازه، کما أنّه لا إشکال فی عدم الجواز لو اشترط علیه عدمه</w:t>
      </w:r>
      <w:r>
        <w:rPr>
          <w:rFonts w:eastAsia="IRNazanin" w:cs="IRNazanin"/>
          <w:color w:val="111111"/>
          <w:sz w:val="28"/>
          <w:szCs w:val="28"/>
          <w:rtl w:val="true"/>
          <w:lang w:bidi="fa-IR"/>
        </w:rPr>
        <w:t>.</w:t>
      </w:r>
    </w:p>
    <w:p>
      <w:pPr>
        <w:pStyle w:val="Heading3"/>
        <w:numPr>
          <w:ilvl w:val="2"/>
          <w:numId w:val="1"/>
        </w:numPr>
        <w:rPr/>
      </w:pPr>
      <w:bookmarkStart w:id="4611" w:name="__RefHeading___Toc2569170_3650668749"/>
      <w:bookmarkStart w:id="4612" w:name="_Toc2094"/>
      <w:bookmarkEnd w:id="4611"/>
      <w:r>
        <w:rPr>
          <w:rtl w:val="true"/>
        </w:rPr>
        <w:t>[ (</w:t>
      </w:r>
      <w:r>
        <w:rPr>
          <w:rtl w:val="true"/>
        </w:rPr>
        <w:t xml:space="preserve">مسألة </w:t>
      </w:r>
      <w:r>
        <w:rPr/>
        <w:t>25</w:t>
      </w:r>
      <w:r>
        <w:rPr>
          <w:rtl w:val="true"/>
        </w:rPr>
        <w:t xml:space="preserve">): </w:t>
      </w:r>
      <w:r>
        <w:rPr>
          <w:rtl w:val="true"/>
        </w:rPr>
        <w:t>لا یجوز للعامل أن یوکّل وکیلًا فی الاتّجار</w:t>
      </w:r>
      <w:r>
        <w:rPr>
          <w:rtl w:val="true"/>
        </w:rPr>
        <w:t>]</w:t>
      </w:r>
      <w:bookmarkEnd w:id="4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للعامل أن یوکّل وکیلًا فی الاتّجار؛ بأن یوکل إلی الغیر أصل التجارة من دون إذن المالک، نعم یجوز له التوکیل و الاستئجار فی بعض المقدّمات </w:t>
      </w:r>
      <w:r>
        <w:rPr>
          <w:rStyle w:val="FootnoteAnchor"/>
          <w:rtl w:val="true"/>
        </w:rPr>
        <w:footnoteReference w:id="1288"/>
      </w:r>
      <w:r>
        <w:rPr>
          <w:rFonts w:ascii="IRNazanin" w:hAnsi="IRNazanin" w:eastAsia="IRNazanin"/>
          <w:color w:val="111111"/>
          <w:sz w:val="28"/>
          <w:sz w:val="28"/>
          <w:szCs w:val="28"/>
          <w:rtl w:val="true"/>
          <w:lang w:bidi="fa-IR"/>
        </w:rPr>
        <w:t>، و کذلک لا یجوز له أن یضارب غیره أو یشارکه فیها إلّا بإذن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الإذن إذا ضارب غیره فمرجعه إلیٰ فسخ المضاربة الأُولیٰ و إیقاع مضاربة جدیدة بین المالک و عامل آخر، أو بینه و بین العامل مع غیره بالاشتراک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کان المقصود إیقاع مضاربة بین العامل و غیره بأن یکون العامل الثانی عاملًا للعامل الأوّل ففی صحّته تأمّل </w:t>
      </w:r>
      <w:r>
        <w:rPr>
          <w:rStyle w:val="FootnoteAnchor"/>
          <w:rtl w:val="true"/>
        </w:rPr>
        <w:footnoteReference w:id="1289"/>
      </w:r>
      <w:r>
        <w:rPr>
          <w:rFonts w:ascii="IRNazanin" w:hAnsi="IRNazanin" w:eastAsia="IRNazanin"/>
          <w:color w:val="111111"/>
          <w:sz w:val="28"/>
          <w:sz w:val="28"/>
          <w:szCs w:val="28"/>
          <w:rtl w:val="true"/>
          <w:lang w:bidi="fa-IR"/>
        </w:rPr>
        <w:t>و إشکال</w:t>
      </w:r>
      <w:r>
        <w:rPr>
          <w:rFonts w:eastAsia="IRNazanin" w:cs="IRNazanin"/>
          <w:color w:val="111111"/>
          <w:sz w:val="28"/>
          <w:szCs w:val="28"/>
          <w:rtl w:val="true"/>
          <w:lang w:bidi="fa-IR"/>
        </w:rPr>
        <w:t>.</w:t>
      </w:r>
    </w:p>
    <w:p>
      <w:pPr>
        <w:pStyle w:val="Heading3"/>
        <w:numPr>
          <w:ilvl w:val="2"/>
          <w:numId w:val="1"/>
        </w:numPr>
        <w:rPr/>
      </w:pPr>
      <w:bookmarkStart w:id="4613" w:name="__RefHeading___Toc2569172_3650668749"/>
      <w:bookmarkStart w:id="4614" w:name="_Toc2095"/>
      <w:bookmarkEnd w:id="4613"/>
      <w:r>
        <w:rPr>
          <w:rtl w:val="true"/>
        </w:rPr>
        <w:t>[ (</w:t>
      </w:r>
      <w:r>
        <w:rPr>
          <w:rtl w:val="true"/>
        </w:rPr>
        <w:t xml:space="preserve">مسألة </w:t>
      </w:r>
      <w:r>
        <w:rPr/>
        <w:t>26</w:t>
      </w:r>
      <w:r>
        <w:rPr>
          <w:rtl w:val="true"/>
        </w:rPr>
        <w:t xml:space="preserve">): </w:t>
      </w:r>
      <w:r>
        <w:rPr>
          <w:rtl w:val="true"/>
        </w:rPr>
        <w:t>الظاهر أنّه یصحّ أن یشترط أحدهما علی الآخر فی ضمن عقد المضاربة مالًا أو عملًا</w:t>
      </w:r>
      <w:r>
        <w:rPr>
          <w:rtl w:val="true"/>
        </w:rPr>
        <w:t>]</w:t>
      </w:r>
      <w:bookmarkEnd w:id="4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یصحّ أن یشترط أحدهما علی الآخر فی ضمن عقد المضاربة مالًا أو عملًا، کما إذا شرط المالک علی العامل أن یخیط له ثوباً أو یعطیه درهماً و بالعکس</w:t>
      </w:r>
      <w:r>
        <w:rPr>
          <w:rFonts w:eastAsia="IRNazanin" w:cs="IRNazanin"/>
          <w:color w:val="111111"/>
          <w:sz w:val="28"/>
          <w:szCs w:val="28"/>
          <w:rtl w:val="true"/>
          <w:lang w:bidi="fa-IR"/>
        </w:rPr>
        <w:t>.</w:t>
      </w:r>
    </w:p>
    <w:p>
      <w:pPr>
        <w:pStyle w:val="Heading3"/>
        <w:numPr>
          <w:ilvl w:val="2"/>
          <w:numId w:val="1"/>
        </w:numPr>
        <w:rPr/>
      </w:pPr>
      <w:bookmarkStart w:id="4615" w:name="__RefHeading___Toc2569174_3650668749"/>
      <w:bookmarkStart w:id="4616" w:name="_Toc2096"/>
      <w:bookmarkEnd w:id="4615"/>
      <w:r>
        <w:rPr>
          <w:rtl w:val="true"/>
        </w:rPr>
        <w:t>[ (</w:t>
      </w:r>
      <w:r>
        <w:rPr>
          <w:rtl w:val="true"/>
        </w:rPr>
        <w:t xml:space="preserve">مسألة </w:t>
      </w:r>
      <w:r>
        <w:rPr/>
        <w:t>27</w:t>
      </w:r>
      <w:r>
        <w:rPr>
          <w:rtl w:val="true"/>
        </w:rPr>
        <w:t xml:space="preserve">): </w:t>
      </w:r>
      <w:r>
        <w:rPr>
          <w:rtl w:val="true"/>
        </w:rPr>
        <w:t>الظاهر أنّه یملک العامل حصّته من الربح بمجرّد ظهوره</w:t>
      </w:r>
      <w:r>
        <w:rPr>
          <w:rtl w:val="true"/>
        </w:rPr>
        <w:t>]</w:t>
      </w:r>
      <w:bookmarkEnd w:id="4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یملک العامل حصّته من الربح بمجرّد ظهوره، و لا یتوقّف علی الإنضاض بمعنی جعل الجنس نقداً و لا علی القسمة، کما أنّ الظاهر صیرورته شریکاً مع المالک فی نفس العین الموجودة بالنسبة، فیصحّ له مطالبة القسمة و له التصرّف فی حصّته من البیع و الصلح، و یرتّب علیه جمیع آثار الملکیّة؛ من الإرث و تعلّق الخمس و الزکاة و حصول الاستطاعة و تعلّق حقّ الغرماء و غیر ذلک</w:t>
      </w:r>
      <w:r>
        <w:rPr>
          <w:rFonts w:eastAsia="IRNazanin" w:cs="IRNazanin"/>
          <w:color w:val="111111"/>
          <w:sz w:val="28"/>
          <w:szCs w:val="28"/>
          <w:rtl w:val="true"/>
          <w:lang w:bidi="fa-IR"/>
        </w:rPr>
        <w:t>.</w:t>
      </w:r>
    </w:p>
    <w:p>
      <w:pPr>
        <w:pStyle w:val="Heading3"/>
        <w:numPr>
          <w:ilvl w:val="2"/>
          <w:numId w:val="1"/>
        </w:numPr>
        <w:rPr/>
      </w:pPr>
      <w:bookmarkStart w:id="4617" w:name="__RefHeading___Toc2569176_3650668749"/>
      <w:bookmarkStart w:id="4618" w:name="_Toc2097"/>
      <w:bookmarkEnd w:id="4617"/>
      <w:r>
        <w:rPr>
          <w:rtl w:val="true"/>
        </w:rPr>
        <w:t>[ (</w:t>
      </w:r>
      <w:r>
        <w:rPr>
          <w:rtl w:val="true"/>
        </w:rPr>
        <w:t xml:space="preserve">مسألة </w:t>
      </w:r>
      <w:r>
        <w:rPr/>
        <w:t>28</w:t>
      </w:r>
      <w:r>
        <w:rPr>
          <w:rtl w:val="true"/>
        </w:rPr>
        <w:t xml:space="preserve">): </w:t>
      </w:r>
      <w:r>
        <w:rPr>
          <w:rtl w:val="true"/>
        </w:rPr>
        <w:t>لا إشکال فی أنّ الخسارة الواردة علیٰ مال المضاربة تجبر بالربح ما دامت المضاربة باقیة</w:t>
      </w:r>
      <w:r>
        <w:rPr>
          <w:rtl w:val="true"/>
        </w:rPr>
        <w:t>]</w:t>
      </w:r>
      <w:bookmarkEnd w:id="461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الخسارة الواردة علیٰ مال المضاربة تجبر بالربح ما دامت المضاربة باقیة؛ سواء کانت سابقة علیه أو 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فملکیّة العامل له بالظهور متزلزلة تزول کلّها أو بعضها بعروض الخسران فیما بعد إلیٰ أن تستقرّ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الاستقرار یحصل بعد الإنضاض و فسخ المضاربة و القسمة قطعاً، فلا جبران بعد ذلک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حصوله بدون اجتماع الثلاثة وجوه و أقوال، أقواها تحقّقه بالفسخ مع القسمة و إن لم یحصل الإنضاض، بل لا یبعد تحقّقه بالفسخ و الإنضاض </w:t>
      </w:r>
      <w:r>
        <w:rPr>
          <w:rStyle w:val="FootnoteAnchor"/>
          <w:rtl w:val="true"/>
        </w:rPr>
        <w:footnoteReference w:id="1290"/>
      </w:r>
      <w:r>
        <w:rPr>
          <w:rFonts w:ascii="IRNazanin" w:hAnsi="IRNazanin" w:eastAsia="IRNazanin"/>
          <w:color w:val="111111"/>
          <w:sz w:val="28"/>
          <w:sz w:val="28"/>
          <w:szCs w:val="28"/>
          <w:rtl w:val="true"/>
          <w:lang w:bidi="fa-IR"/>
        </w:rPr>
        <w:t>و إن لم یحصل القسمة</w:t>
      </w:r>
      <w:r>
        <w:rPr>
          <w:rFonts w:eastAsia="IRNazanin" w:cs="IRNazanin"/>
          <w:color w:val="111111"/>
          <w:sz w:val="28"/>
          <w:szCs w:val="28"/>
          <w:rtl w:val="true"/>
          <w:lang w:bidi="fa-IR"/>
        </w:rPr>
        <w:t>.</w:t>
      </w:r>
      <w:bookmarkStart w:id="4619" w:name="pg1809_19459"/>
    </w:p>
    <w:p>
      <w:pPr>
        <w:pStyle w:val="Heading3"/>
        <w:numPr>
          <w:ilvl w:val="2"/>
          <w:numId w:val="1"/>
        </w:numPr>
        <w:rPr/>
      </w:pPr>
      <w:bookmarkStart w:id="4620" w:name="__RefHeading___Toc2569178_3650668749"/>
      <w:bookmarkStart w:id="4621" w:name="_Toc2098"/>
      <w:bookmarkEnd w:id="4619"/>
      <w:bookmarkEnd w:id="4620"/>
      <w:r>
        <w:rPr>
          <w:rtl w:val="true"/>
        </w:rPr>
        <w:t>[ (</w:t>
      </w:r>
      <w:r>
        <w:rPr>
          <w:rtl w:val="true"/>
        </w:rPr>
        <w:t xml:space="preserve">مسألة </w:t>
      </w:r>
      <w:r>
        <w:rPr/>
        <w:t>29</w:t>
      </w:r>
      <w:r>
        <w:rPr>
          <w:rtl w:val="true"/>
        </w:rPr>
        <w:t xml:space="preserve">): </w:t>
      </w:r>
      <w:r>
        <w:rPr>
          <w:rtl w:val="true"/>
        </w:rPr>
        <w:t>و کما یجبر الخسران فی التجارة بالربح کذلک یجبر به التلف</w:t>
      </w:r>
      <w:r>
        <w:rPr>
          <w:rtl w:val="true"/>
        </w:rPr>
        <w:t>]</w:t>
      </w:r>
      <w:bookmarkEnd w:id="4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یجبر الخسران فی التجارة بالربح کذلک یجبر به التلف </w:t>
      </w:r>
      <w:r>
        <w:rPr>
          <w:rStyle w:val="FootnoteAnchor"/>
          <w:rtl w:val="true"/>
        </w:rPr>
        <w:footnoteReference w:id="1291"/>
      </w:r>
      <w:r>
        <w:rPr>
          <w:rFonts w:ascii="IRNazanin" w:hAnsi="IRNazanin" w:eastAsia="IRNazanin"/>
          <w:color w:val="111111"/>
          <w:sz w:val="28"/>
          <w:sz w:val="28"/>
          <w:szCs w:val="28"/>
          <w:rtl w:val="true"/>
          <w:lang w:bidi="fa-IR"/>
        </w:rPr>
        <w:t>، فلو کان المال الدائر فی التجارة تلف بعضها بسبب غرق أو حرق أو سرقة أو غیرها و ربح بعضها یجبر تلف البعض بربح البعض حتّی یکمل مقدار رأس المال لربّ المال، فإذا زاد عنه شی‌ء یکون بینهما</w:t>
      </w:r>
      <w:r>
        <w:rPr>
          <w:rFonts w:eastAsia="IRNazanin" w:cs="IRNazanin"/>
          <w:color w:val="111111"/>
          <w:sz w:val="28"/>
          <w:szCs w:val="28"/>
          <w:rtl w:val="true"/>
          <w:lang w:bidi="fa-IR"/>
        </w:rPr>
        <w:t>.</w:t>
      </w:r>
    </w:p>
    <w:p>
      <w:pPr>
        <w:pStyle w:val="Heading3"/>
        <w:numPr>
          <w:ilvl w:val="2"/>
          <w:numId w:val="1"/>
        </w:numPr>
        <w:rPr/>
      </w:pPr>
      <w:bookmarkStart w:id="4622" w:name="__RefHeading___Toc2569180_3650668749"/>
      <w:bookmarkStart w:id="4623" w:name="_Toc2099"/>
      <w:bookmarkEnd w:id="4622"/>
      <w:r>
        <w:rPr>
          <w:rtl w:val="true"/>
        </w:rPr>
        <w:t>[ (</w:t>
      </w:r>
      <w:r>
        <w:rPr>
          <w:rtl w:val="true"/>
        </w:rPr>
        <w:t xml:space="preserve">مسألة </w:t>
      </w:r>
      <w:r>
        <w:rPr/>
        <w:t>30</w:t>
      </w:r>
      <w:r>
        <w:rPr>
          <w:rtl w:val="true"/>
        </w:rPr>
        <w:t xml:space="preserve">): </w:t>
      </w:r>
      <w:r>
        <w:rPr>
          <w:rtl w:val="true"/>
        </w:rPr>
        <w:t>إذا حصل فسخ أو انفساخ فی المضاربة، فإن کان قبل الشروع فی العمل و مقدّماته فلا إشکال</w:t>
      </w:r>
      <w:r>
        <w:rPr>
          <w:rtl w:val="true"/>
        </w:rPr>
        <w:t>]</w:t>
      </w:r>
      <w:bookmarkEnd w:id="4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فسخ أو انفساخ فی المضاربة، فإن کان قبل الشروع فی العمل و مقدّماته فلا إشکال و لا شی‌ء للعامل و لا علیه، و کذا إن کان بعد تمام العمل و الإنضاض؛ إذ مع حصول الربح یقتسمانه و مع عدمه یأخذ المالک رأس ماله و لا شی‌ء للعامل و 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الأثناء بعد التشاغل بالعمل، فإن کان قبل حصول الربح لیس للعامل شی‌ء و لا اجرة له لما مضی من عمله؛ سواء کان الفسخ منه أو من المالک أو حصل الانفساخ القهری، کما أنّه لیس علیه شی‌ء مطلقاً حتّی فیما إذا حصل الفسخ من العامل فی السفر المأذون فیه من المالک، فلا یضمن ما صرف فی نفقته من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 المال عروض لا یجوز للعامل التصرّف فیه بدون إذن المالک، کما أنّه لیس للمالک إلزامه بالبیع و الإنضاض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بعد حصول الربح، فإن کان بعد الإنضاض فقد تمّ العمل فیقتسمان و یأخذ کلّ منهما حقّه، و إن کان قبل الإنضاض فعلی ما مرّ من تملّک العامل حصّته من الربح بمجرّد ظهوره شارک المالک فی العین، فإن رضیا بالقسمة علیٰ هذا الحال أو انتظرا إلیٰ أن تباع العروض و یحصل الإنضاض کان لهما ذلک و لا إشکال، و إن طلب العامل بیعها لم یجب علی المالک إجابته، بل و کذا إن طلبه المالک لم یجب علی العامل إجابته و إن قلنا </w:t>
      </w:r>
      <w:r>
        <w:rPr>
          <w:rStyle w:val="FootnoteAnchor"/>
          <w:rtl w:val="true"/>
        </w:rPr>
        <w:footnoteReference w:id="1292"/>
      </w:r>
      <w:r>
        <w:rPr>
          <w:rFonts w:ascii="IRNazanin" w:hAnsi="IRNazanin" w:eastAsia="IRNazanin"/>
          <w:color w:val="111111"/>
          <w:sz w:val="28"/>
          <w:sz w:val="28"/>
          <w:szCs w:val="28"/>
          <w:rtl w:val="true"/>
          <w:lang w:bidi="fa-IR"/>
        </w:rPr>
        <w:t>بعدم استقرار ملکیّة العامل للربح إلّا بعد الإنضاض، غایة الأمر لو حصلت خسارة بعد ذلک قبل القسمة یجب جبرها بالربح</w:t>
      </w:r>
      <w:r>
        <w:rPr>
          <w:rFonts w:eastAsia="IRNazanin" w:cs="IRNazanin"/>
          <w:color w:val="111111"/>
          <w:sz w:val="28"/>
          <w:szCs w:val="28"/>
          <w:rtl w:val="true"/>
          <w:lang w:bidi="fa-IR"/>
        </w:rPr>
        <w:t>.</w:t>
      </w:r>
    </w:p>
    <w:p>
      <w:pPr>
        <w:pStyle w:val="Heading3"/>
        <w:numPr>
          <w:ilvl w:val="2"/>
          <w:numId w:val="1"/>
        </w:numPr>
        <w:rPr/>
      </w:pPr>
      <w:bookmarkStart w:id="4624" w:name="__RefHeading___Toc2569182_3650668749"/>
      <w:bookmarkStart w:id="4625" w:name="_Toc2100"/>
      <w:bookmarkEnd w:id="4624"/>
      <w:r>
        <w:rPr>
          <w:rtl w:val="true"/>
        </w:rPr>
        <w:t>[ (</w:t>
      </w:r>
      <w:r>
        <w:rPr>
          <w:rtl w:val="true"/>
        </w:rPr>
        <w:t xml:space="preserve">مسألة </w:t>
      </w:r>
      <w:r>
        <w:rPr/>
        <w:t>31</w:t>
      </w:r>
      <w:r>
        <w:rPr>
          <w:rtl w:val="true"/>
        </w:rPr>
        <w:t xml:space="preserve">): </w:t>
      </w:r>
      <w:r>
        <w:rPr>
          <w:rtl w:val="true"/>
        </w:rPr>
        <w:t>لو کان فی المال دیون علی الناس، فهل یجب علی العامل أخذها و جمعها</w:t>
      </w:r>
      <w:r>
        <w:rPr>
          <w:rtl w:val="true"/>
        </w:rPr>
        <w:t>]</w:t>
      </w:r>
      <w:bookmarkEnd w:id="4625"/>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المال دیون علی الناس، فهل یجب علی العامل أخذها و جمعها</w:t>
      </w:r>
      <w:bookmarkStart w:id="4626" w:name="pg1809_19460"/>
    </w:p>
    <w:p>
      <w:pPr>
        <w:pStyle w:val="BookText"/>
        <w:rPr/>
      </w:pPr>
      <w:bookmarkEnd w:id="4626"/>
      <w:r>
        <w:rPr>
          <w:rFonts w:ascii="IRNazanin" w:hAnsi="IRNazanin" w:eastAsia="IRNazanin"/>
          <w:color w:val="111111"/>
          <w:sz w:val="28"/>
          <w:sz w:val="28"/>
          <w:szCs w:val="28"/>
          <w:rtl w:val="true"/>
          <w:lang w:bidi="fa-IR"/>
        </w:rPr>
        <w:t xml:space="preserve">بعد الفسخ أو الانفساخ أم لا؟ فیه إشکال </w:t>
      </w:r>
      <w:r>
        <w:rPr>
          <w:rStyle w:val="FootnoteAnchor"/>
          <w:rtl w:val="true"/>
        </w:rPr>
        <w:footnoteReference w:id="1293"/>
      </w:r>
      <w:r>
        <w:rPr>
          <w:rFonts w:ascii="IRNazanin" w:hAnsi="IRNazanin" w:eastAsia="IRNazanin"/>
          <w:color w:val="111111"/>
          <w:sz w:val="28"/>
          <w:sz w:val="28"/>
          <w:szCs w:val="28"/>
          <w:rtl w:val="true"/>
          <w:lang w:bidi="fa-IR"/>
        </w:rPr>
        <w:t>، الأحوط إجابة المالک لو طلب منه ذلک</w:t>
      </w:r>
      <w:r>
        <w:rPr>
          <w:rFonts w:eastAsia="IRNazanin" w:cs="IRNazanin"/>
          <w:color w:val="111111"/>
          <w:sz w:val="28"/>
          <w:szCs w:val="28"/>
          <w:rtl w:val="true"/>
          <w:lang w:bidi="fa-IR"/>
        </w:rPr>
        <w:t>.</w:t>
      </w:r>
    </w:p>
    <w:p>
      <w:pPr>
        <w:pStyle w:val="Heading3"/>
        <w:numPr>
          <w:ilvl w:val="2"/>
          <w:numId w:val="1"/>
        </w:numPr>
        <w:rPr/>
      </w:pPr>
      <w:bookmarkStart w:id="4627" w:name="__RefHeading___Toc2569184_3650668749"/>
      <w:bookmarkStart w:id="4628" w:name="_Toc2101"/>
      <w:bookmarkEnd w:id="4627"/>
      <w:r>
        <w:rPr>
          <w:rtl w:val="true"/>
        </w:rPr>
        <w:t>[ (</w:t>
      </w:r>
      <w:r>
        <w:rPr>
          <w:rtl w:val="true"/>
        </w:rPr>
        <w:t xml:space="preserve">مسألة </w:t>
      </w:r>
      <w:r>
        <w:rPr/>
        <w:t>32</w:t>
      </w:r>
      <w:r>
        <w:rPr>
          <w:rtl w:val="true"/>
        </w:rPr>
        <w:t xml:space="preserve">): </w:t>
      </w:r>
      <w:r>
        <w:rPr>
          <w:rtl w:val="true"/>
        </w:rPr>
        <w:t>لا یجب علی العامل بعد حصول الفسخ أو الانفساخ أزید من التخلیة بین المالک و ماله</w:t>
      </w:r>
      <w:r>
        <w:rPr>
          <w:rtl w:val="true"/>
        </w:rPr>
        <w:t>]</w:t>
      </w:r>
      <w:bookmarkEnd w:id="4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العامل بعد حصول الفسخ أو الانفساخ أزید من التخلیة بین المالک و ماله، فلا یجب علیه الإیصال إلیه، حتّی لو أرسل المال إلیٰ بلد آخر غیر بلد المالک و کان ذلک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ذلک بدون إذنه یجب علیه الردّ إلیه، حتّی أنّه لو احتاج إلیٰ أُجرة کانت علیه</w:t>
      </w:r>
      <w:r>
        <w:rPr>
          <w:rFonts w:eastAsia="IRNazanin" w:cs="IRNazanin"/>
          <w:color w:val="111111"/>
          <w:sz w:val="28"/>
          <w:szCs w:val="28"/>
          <w:rtl w:val="true"/>
          <w:lang w:bidi="fa-IR"/>
        </w:rPr>
        <w:t>.</w:t>
      </w:r>
    </w:p>
    <w:p>
      <w:pPr>
        <w:pStyle w:val="Heading3"/>
        <w:numPr>
          <w:ilvl w:val="2"/>
          <w:numId w:val="1"/>
        </w:numPr>
        <w:rPr/>
      </w:pPr>
      <w:bookmarkStart w:id="4629" w:name="__RefHeading___Toc2569186_3650668749"/>
      <w:bookmarkStart w:id="4630" w:name="_Toc2102"/>
      <w:bookmarkEnd w:id="4629"/>
      <w:r>
        <w:rPr>
          <w:rtl w:val="true"/>
        </w:rPr>
        <w:t>[ (</w:t>
      </w:r>
      <w:r>
        <w:rPr>
          <w:rtl w:val="true"/>
        </w:rPr>
        <w:t xml:space="preserve">مسألة </w:t>
      </w:r>
      <w:r>
        <w:rPr/>
        <w:t>33</w:t>
      </w:r>
      <w:r>
        <w:rPr>
          <w:rtl w:val="true"/>
        </w:rPr>
        <w:t xml:space="preserve">): </w:t>
      </w:r>
      <w:r>
        <w:rPr>
          <w:rtl w:val="true"/>
        </w:rPr>
        <w:t>إذا کانت المضاربة فاسدة کان الربح بتمامه للمالک</w:t>
      </w:r>
      <w:r>
        <w:rPr>
          <w:rtl w:val="true"/>
        </w:rPr>
        <w:t>]</w:t>
      </w:r>
      <w:bookmarkEnd w:id="4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المضاربة فاسدة کان الربح بتمامه للمالک </w:t>
      </w:r>
      <w:r>
        <w:rPr>
          <w:rStyle w:val="FootnoteAnchor"/>
          <w:rtl w:val="true"/>
        </w:rPr>
        <w:footnoteReference w:id="1294"/>
      </w:r>
      <w:r>
        <w:rPr>
          <w:rFonts w:ascii="IRNazanin" w:hAnsi="IRNazanin" w:eastAsia="IRNazanin"/>
          <w:color w:val="111111"/>
          <w:sz w:val="28"/>
          <w:sz w:val="28"/>
          <w:szCs w:val="28"/>
          <w:rtl w:val="true"/>
          <w:lang w:bidi="fa-IR"/>
        </w:rPr>
        <w:t xml:space="preserve">سواء کانا جاهلین بالفساد أو عالمین أو مختلفین، و للعامل اجرة مثل عمله لو کان جاهلًا بالفساد؛ سواء کان المالک عالماً أو جاهلًا، و لا یستحقّ </w:t>
      </w:r>
      <w:r>
        <w:rPr>
          <w:rStyle w:val="FootnoteAnchor"/>
          <w:rtl w:val="true"/>
        </w:rPr>
        <w:footnoteReference w:id="1295"/>
      </w:r>
      <w:r>
        <w:rPr>
          <w:rFonts w:ascii="IRNazanin" w:hAnsi="IRNazanin" w:eastAsia="IRNazanin"/>
          <w:color w:val="111111"/>
          <w:sz w:val="28"/>
          <w:sz w:val="28"/>
          <w:szCs w:val="28"/>
          <w:rtl w:val="true"/>
          <w:lang w:bidi="fa-IR"/>
        </w:rPr>
        <w:t>شیئاً لو کان عالماً بالفساد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لا یضمن العامل التلف و النقص الواردین علی المال، نعم یضمن علی الأقویٰ ما أنفقه فی السفر علیٰ نفسه و إن کان جاهلًا بالفساد</w:t>
      </w:r>
      <w:r>
        <w:rPr>
          <w:rFonts w:eastAsia="IRNazanin" w:cs="IRNazanin"/>
          <w:color w:val="111111"/>
          <w:sz w:val="28"/>
          <w:szCs w:val="28"/>
          <w:rtl w:val="true"/>
          <w:lang w:bidi="fa-IR"/>
        </w:rPr>
        <w:t>.</w:t>
      </w:r>
    </w:p>
    <w:p>
      <w:pPr>
        <w:pStyle w:val="Heading3"/>
        <w:numPr>
          <w:ilvl w:val="2"/>
          <w:numId w:val="1"/>
        </w:numPr>
        <w:rPr/>
      </w:pPr>
      <w:bookmarkStart w:id="4631" w:name="__RefHeading___Toc2569188_3650668749"/>
      <w:bookmarkStart w:id="4632" w:name="_Toc2103"/>
      <w:bookmarkEnd w:id="4631"/>
      <w:r>
        <w:rPr>
          <w:rtl w:val="true"/>
        </w:rPr>
        <w:t>[ (</w:t>
      </w:r>
      <w:r>
        <w:rPr>
          <w:rtl w:val="true"/>
        </w:rPr>
        <w:t xml:space="preserve">مسألة </w:t>
      </w:r>
      <w:r>
        <w:rPr/>
        <w:t>34</w:t>
      </w:r>
      <w:r>
        <w:rPr>
          <w:rtl w:val="true"/>
        </w:rPr>
        <w:t xml:space="preserve">): </w:t>
      </w:r>
      <w:r>
        <w:rPr>
          <w:rtl w:val="true"/>
        </w:rPr>
        <w:t>لو ضارب مع الغیر بمال الغیر من دون ولایة و لا وکالة وقع فضولیّاً</w:t>
      </w:r>
      <w:r>
        <w:rPr>
          <w:rtl w:val="true"/>
        </w:rPr>
        <w:t>]</w:t>
      </w:r>
      <w:bookmarkEnd w:id="4632"/>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ضارب مع الغیر بمال الغیر من دون ولایة و لا وکالة وقع فضولیّاً، فإن أجازه المالک وقع له و کان الخسران علیه و الربح بینه و بین العامل علیٰ ما شرطاه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ردّه فإن کان قبل أن عومل بماله طالبه و یجب علی العامل ردّه إلیه، و إن تلف أو تعیّب کان له الرجوع علیٰ کلّ من المضارب و العامل، فإن رجع علی الأوّل لم یرجع </w:t>
      </w:r>
      <w:r>
        <w:rPr>
          <w:rStyle w:val="FootnoteAnchor"/>
          <w:rtl w:val="true"/>
        </w:rPr>
        <w:footnoteReference w:id="1296"/>
      </w:r>
      <w:r>
        <w:rPr>
          <w:rFonts w:ascii="IRNazanin" w:hAnsi="IRNazanin" w:eastAsia="IRNazanin"/>
          <w:color w:val="111111"/>
          <w:sz w:val="28"/>
          <w:sz w:val="28"/>
          <w:szCs w:val="28"/>
          <w:rtl w:val="true"/>
          <w:lang w:bidi="fa-IR"/>
        </w:rPr>
        <w:t>علی الثانی و إن رجع علی الثانی رجع علی الأوّل، و إن کان بعد أن عومل به کانت المعاملة فضولیّة، فإن</w:t>
      </w:r>
      <w:bookmarkStart w:id="4633" w:name="pg1809_19461"/>
    </w:p>
    <w:p>
      <w:pPr>
        <w:pStyle w:val="BookText"/>
        <w:rPr/>
      </w:pPr>
      <w:bookmarkEnd w:id="4633"/>
      <w:r>
        <w:rPr>
          <w:rFonts w:ascii="IRNazanin" w:hAnsi="IRNazanin" w:eastAsia="IRNazanin"/>
          <w:color w:val="111111"/>
          <w:sz w:val="28"/>
          <w:sz w:val="28"/>
          <w:szCs w:val="28"/>
          <w:rtl w:val="true"/>
          <w:lang w:bidi="fa-IR"/>
        </w:rPr>
        <w:t>أمضاها وقعت له و کان تمام الربح له و تمام الخسران علیه، و إن ردّها رجع بماله إلیٰ کلّ من شاء من المضارب و العامل کما فی صورة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له أن یجیزها علیٰ تقدیر حصول الربح و یردّها علیٰ تقدیر وقوع الخسران؛ بأن یلاحظ مصلحته فإذا رآها تجارة رابحة أجازها و إذا رآها خاسرة ردّها، هذا حال المالک مع کلّ من المضارب و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معاملة العامل مع المضارب، فإذا لم یعمل عملًا لم یستحقّ شیئاً، و کذا إذا عمل و کان عالماً بکون المال لغیر المضارب، و أمّا إذا عمل و لم یعلم بکونه لغیره استحقّ اجرة مثل عمله و رجع بها علی المضارب</w:t>
      </w:r>
      <w:r>
        <w:rPr>
          <w:rFonts w:eastAsia="IRNazanin" w:cs="IRNazanin"/>
          <w:color w:val="111111"/>
          <w:sz w:val="28"/>
          <w:szCs w:val="28"/>
          <w:rtl w:val="true"/>
          <w:lang w:bidi="fa-IR"/>
        </w:rPr>
        <w:t>.</w:t>
      </w:r>
    </w:p>
    <w:p>
      <w:pPr>
        <w:pStyle w:val="Heading3"/>
        <w:numPr>
          <w:ilvl w:val="2"/>
          <w:numId w:val="1"/>
        </w:numPr>
        <w:rPr/>
      </w:pPr>
      <w:bookmarkStart w:id="4634" w:name="__RefHeading___Toc2569190_3650668749"/>
      <w:bookmarkStart w:id="4635" w:name="_Toc2104"/>
      <w:bookmarkEnd w:id="4634"/>
      <w:r>
        <w:rPr>
          <w:rtl w:val="true"/>
        </w:rPr>
        <w:t>[ (</w:t>
      </w:r>
      <w:r>
        <w:rPr>
          <w:rtl w:val="true"/>
        </w:rPr>
        <w:t xml:space="preserve">مسألة </w:t>
      </w:r>
      <w:r>
        <w:rPr/>
        <w:t>35</w:t>
      </w:r>
      <w:r>
        <w:rPr>
          <w:rtl w:val="true"/>
        </w:rPr>
        <w:t xml:space="preserve">): </w:t>
      </w:r>
      <w:r>
        <w:rPr>
          <w:rtl w:val="true"/>
        </w:rPr>
        <w:t>إذا أخذ العامل رأس المال، لیس له ترک الاتّجار به</w:t>
      </w:r>
      <w:r>
        <w:rPr>
          <w:rtl w:val="true"/>
        </w:rPr>
        <w:t>]</w:t>
      </w:r>
      <w:bookmarkEnd w:id="4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العامل رأس المال، لیس له ترک الاتّجار به و تعطیله عنده بمقدار لم تجر العادة علیٰ تعطیله و عدّ متوانیاً متسامحاً کالتأخیر سنة مثلًا فإن عطّله کذلک ضمنه لو تلف، لکن لم یستحقّ المالک علیه غیر أصل المال و لیس له مطالبته بالربح الذی کان یحصل علیٰ تقدیر الاتّجار به</w:t>
      </w:r>
      <w:r>
        <w:rPr>
          <w:rFonts w:eastAsia="IRNazanin" w:cs="IRNazanin"/>
          <w:color w:val="111111"/>
          <w:sz w:val="28"/>
          <w:szCs w:val="28"/>
          <w:rtl w:val="true"/>
          <w:lang w:bidi="fa-IR"/>
        </w:rPr>
        <w:t>.</w:t>
      </w:r>
    </w:p>
    <w:p>
      <w:pPr>
        <w:pStyle w:val="Heading3"/>
        <w:numPr>
          <w:ilvl w:val="2"/>
          <w:numId w:val="1"/>
        </w:numPr>
        <w:rPr/>
      </w:pPr>
      <w:bookmarkStart w:id="4636" w:name="__RefHeading___Toc2569192_3650668749"/>
      <w:bookmarkStart w:id="4637" w:name="_Toc2105"/>
      <w:bookmarkEnd w:id="4636"/>
      <w:r>
        <w:rPr>
          <w:rtl w:val="true"/>
        </w:rPr>
        <w:t>[ (</w:t>
      </w:r>
      <w:r>
        <w:rPr>
          <w:rtl w:val="true"/>
        </w:rPr>
        <w:t xml:space="preserve">مسألة </w:t>
      </w:r>
      <w:r>
        <w:rPr/>
        <w:t>36</w:t>
      </w:r>
      <w:r>
        <w:rPr>
          <w:rtl w:val="true"/>
        </w:rPr>
        <w:t xml:space="preserve">): </w:t>
      </w:r>
      <w:r>
        <w:rPr>
          <w:rtl w:val="true"/>
        </w:rPr>
        <w:t>إذا اشتریٰ نسیئة بإذن المالک کان الدین فی ذمّة المالک</w:t>
      </w:r>
      <w:r>
        <w:rPr>
          <w:rtl w:val="true"/>
        </w:rPr>
        <w:t>]</w:t>
      </w:r>
      <w:bookmarkEnd w:id="4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نسیئة بإذن المالک کان الدین فی ذمّة المالک فللدائن الرجوع علیه و له أن یرجع علی العامل، خصوصاً مع جهل الدائن بالحال، و إذا رجع علیه رجع هو 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یتبیّن للدائن أنّ الشراء للغیر، یتعیّن له فی الظاهر الرجوع علی العامل و إن کان له فی الواقع الرجوع علی المالک</w:t>
      </w:r>
      <w:r>
        <w:rPr>
          <w:rFonts w:eastAsia="IRNazanin" w:cs="IRNazanin"/>
          <w:color w:val="111111"/>
          <w:sz w:val="28"/>
          <w:szCs w:val="28"/>
          <w:rtl w:val="true"/>
          <w:lang w:bidi="fa-IR"/>
        </w:rPr>
        <w:t>.</w:t>
      </w:r>
    </w:p>
    <w:p>
      <w:pPr>
        <w:pStyle w:val="Heading3"/>
        <w:numPr>
          <w:ilvl w:val="2"/>
          <w:numId w:val="1"/>
        </w:numPr>
        <w:rPr/>
      </w:pPr>
      <w:bookmarkStart w:id="4638" w:name="__RefHeading___Toc2569194_3650668749"/>
      <w:bookmarkStart w:id="4639" w:name="_Toc2106"/>
      <w:bookmarkEnd w:id="4638"/>
      <w:r>
        <w:rPr>
          <w:rtl w:val="true"/>
        </w:rPr>
        <w:t>[ (</w:t>
      </w:r>
      <w:r>
        <w:rPr>
          <w:rtl w:val="true"/>
        </w:rPr>
        <w:t xml:space="preserve">مسألة </w:t>
      </w:r>
      <w:r>
        <w:rPr/>
        <w:t>37</w:t>
      </w:r>
      <w:r>
        <w:rPr>
          <w:rtl w:val="true"/>
        </w:rPr>
        <w:t xml:space="preserve">): </w:t>
      </w:r>
      <w:r>
        <w:rPr>
          <w:rtl w:val="true"/>
        </w:rPr>
        <w:t>لو ضاربه علیٰ خمسمائة مثلًا فدفعها إلیه و عامل بها و فی أثناء التجارة دفع إلیه خمسمائة اخریٰ للمضاربة</w:t>
      </w:r>
      <w:r>
        <w:rPr>
          <w:rtl w:val="true"/>
        </w:rPr>
        <w:t>]</w:t>
      </w:r>
      <w:bookmarkEnd w:id="4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ضاربه علیٰ خمسمائة مثلًا فدفعها إلیه و عامل بها و فی أثناء التجارة دفع إلیه خمسمائة اخریٰ للمضاربة، فالظاهر أنّهما مضاربتان، فلا تجبر خسارة إحداهما بربح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ضاربه علیٰ ألف مثلًا فدفع إلیه خمسمائة فعامل بها ثمّ دفع إلیه خمسمائة أُخری فهی مضاربة واحدة، تجبر خسارة کلّ من التجارتین بربح الأُخریٰ</w:t>
      </w:r>
      <w:r>
        <w:rPr>
          <w:rFonts w:eastAsia="IRNazanin" w:cs="IRNazanin"/>
          <w:color w:val="111111"/>
          <w:sz w:val="28"/>
          <w:szCs w:val="28"/>
          <w:rtl w:val="true"/>
          <w:lang w:bidi="fa-IR"/>
        </w:rPr>
        <w:t>.</w:t>
      </w:r>
    </w:p>
    <w:p>
      <w:pPr>
        <w:pStyle w:val="Heading3"/>
        <w:numPr>
          <w:ilvl w:val="2"/>
          <w:numId w:val="1"/>
        </w:numPr>
        <w:rPr/>
      </w:pPr>
      <w:bookmarkStart w:id="4640" w:name="__RefHeading___Toc2569196_3650668749"/>
      <w:bookmarkStart w:id="4641" w:name="_Toc2107"/>
      <w:bookmarkEnd w:id="4640"/>
      <w:r>
        <w:rPr>
          <w:rtl w:val="true"/>
        </w:rPr>
        <w:t>[ (</w:t>
      </w:r>
      <w:r>
        <w:rPr>
          <w:rtl w:val="true"/>
        </w:rPr>
        <w:t xml:space="preserve">مسألة </w:t>
      </w:r>
      <w:r>
        <w:rPr/>
        <w:t>38</w:t>
      </w:r>
      <w:r>
        <w:rPr>
          <w:rtl w:val="true"/>
        </w:rPr>
        <w:t xml:space="preserve">): </w:t>
      </w:r>
      <w:r>
        <w:rPr>
          <w:rtl w:val="true"/>
        </w:rPr>
        <w:t>إذا کان رأس المال مشترکاً بین اثنین فضاربا واحداً، ثمّ فسخ أحد الشریکین</w:t>
      </w:r>
      <w:r>
        <w:rPr>
          <w:rtl w:val="true"/>
        </w:rPr>
        <w:t>]</w:t>
      </w:r>
      <w:bookmarkEnd w:id="4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رأس المال مشترکاً بین اثنین فضاربا واحداً، ثمّ فسخ أحد الشریکین، فالظاهر أنّها تنفسخ من الأصل حتّی بالنسبة إلی الشریک الآخر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2" w:name="__RefHeading___Toc2569198_3650668749"/>
      <w:bookmarkStart w:id="4643" w:name="_Toc2108"/>
      <w:bookmarkEnd w:id="4642"/>
      <w:r>
        <w:rPr>
          <w:rtl w:val="true"/>
        </w:rPr>
        <w:t>[ (</w:t>
      </w:r>
      <w:r>
        <w:rPr>
          <w:rtl w:val="true"/>
        </w:rPr>
        <w:t xml:space="preserve">مسألة </w:t>
      </w:r>
      <w:r>
        <w:rPr/>
        <w:t>39</w:t>
      </w:r>
      <w:r>
        <w:rPr>
          <w:rtl w:val="true"/>
        </w:rPr>
        <w:t xml:space="preserve">): </w:t>
      </w:r>
      <w:r>
        <w:rPr>
          <w:rtl w:val="true"/>
        </w:rPr>
        <w:t>إذا تنازع المالک مع العامل فی مقدار رأس المال و لم یکن بیّنة</w:t>
      </w:r>
      <w:r>
        <w:rPr>
          <w:rtl w:val="true"/>
        </w:rPr>
        <w:t>]</w:t>
      </w:r>
      <w:bookmarkEnd w:id="4643"/>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تنازع المالک مع العامل فی مقدار رأس المال و لم یکن بیّنة، قدّم </w:t>
      </w:r>
      <w:r>
        <w:rPr>
          <w:rStyle w:val="FootnoteAnchor"/>
          <w:rtl w:val="true"/>
        </w:rPr>
        <w:footnoteReference w:id="1298"/>
      </w:r>
      <w:r>
        <w:rPr>
          <w:rFonts w:ascii="IRNazanin" w:hAnsi="IRNazanin" w:eastAsia="IRNazanin"/>
          <w:color w:val="111111"/>
          <w:sz w:val="28"/>
          <w:sz w:val="28"/>
          <w:szCs w:val="28"/>
          <w:rtl w:val="true"/>
          <w:lang w:bidi="fa-IR"/>
        </w:rPr>
        <w:t>قول العامل؛ سواء کان المال موجوداً أو کان تالفاً، و کان مضموناً علی العامل</w:t>
      </w:r>
      <w:r>
        <w:rPr>
          <w:rFonts w:eastAsia="IRNazanin" w:cs="IRNazanin"/>
          <w:color w:val="111111"/>
          <w:sz w:val="28"/>
          <w:szCs w:val="28"/>
          <w:rtl w:val="true"/>
          <w:lang w:bidi="fa-IR"/>
        </w:rPr>
        <w:t>.</w:t>
      </w:r>
      <w:bookmarkStart w:id="4644" w:name="pg1809_19462"/>
    </w:p>
    <w:p>
      <w:pPr>
        <w:pStyle w:val="Heading3"/>
        <w:numPr>
          <w:ilvl w:val="2"/>
          <w:numId w:val="1"/>
        </w:numPr>
        <w:rPr/>
      </w:pPr>
      <w:bookmarkStart w:id="4645" w:name="__RefHeading___Toc2569200_3650668749"/>
      <w:bookmarkStart w:id="4646" w:name="_Toc2109"/>
      <w:bookmarkEnd w:id="4644"/>
      <w:bookmarkEnd w:id="4645"/>
      <w:r>
        <w:rPr>
          <w:rtl w:val="true"/>
        </w:rPr>
        <w:t>[ (</w:t>
      </w:r>
      <w:r>
        <w:rPr>
          <w:rtl w:val="true"/>
        </w:rPr>
        <w:t xml:space="preserve">مسألة </w:t>
      </w:r>
      <w:r>
        <w:rPr/>
        <w:t>40</w:t>
      </w:r>
      <w:r>
        <w:rPr>
          <w:rtl w:val="true"/>
        </w:rPr>
        <w:t xml:space="preserve">): </w:t>
      </w:r>
      <w:r>
        <w:rPr>
          <w:rtl w:val="true"/>
        </w:rPr>
        <w:t>لو ادّعی العامل التلف أو الخسارة أو عدم حصول المطالبات التی عند الناس مع عدم کونه مضموناً علیه</w:t>
      </w:r>
      <w:r>
        <w:rPr>
          <w:rtl w:val="true"/>
        </w:rPr>
        <w:t>]</w:t>
      </w:r>
      <w:bookmarkEnd w:id="4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العامل التلف أو الخسارة أو عدم حصول المطالبات التی عند الناس مع عدم کونه مضموناً علیه و ادّعی المالک خلافه و لم یکن بیّنة، قدّم قول العامل</w:t>
      </w:r>
      <w:r>
        <w:rPr>
          <w:rFonts w:eastAsia="IRNazanin" w:cs="IRNazanin"/>
          <w:color w:val="111111"/>
          <w:sz w:val="28"/>
          <w:szCs w:val="28"/>
          <w:rtl w:val="true"/>
          <w:lang w:bidi="fa-IR"/>
        </w:rPr>
        <w:t>.</w:t>
      </w:r>
    </w:p>
    <w:p>
      <w:pPr>
        <w:pStyle w:val="Heading3"/>
        <w:numPr>
          <w:ilvl w:val="2"/>
          <w:numId w:val="1"/>
        </w:numPr>
        <w:rPr/>
      </w:pPr>
      <w:bookmarkStart w:id="4647" w:name="__RefHeading___Toc2569202_3650668749"/>
      <w:bookmarkStart w:id="4648" w:name="_Toc2110"/>
      <w:bookmarkEnd w:id="4647"/>
      <w:r>
        <w:rPr>
          <w:rtl w:val="true"/>
        </w:rPr>
        <w:t>[ (</w:t>
      </w:r>
      <w:r>
        <w:rPr>
          <w:rtl w:val="true"/>
        </w:rPr>
        <w:t xml:space="preserve">مسألة </w:t>
      </w:r>
      <w:r>
        <w:rPr/>
        <w:t>41</w:t>
      </w:r>
      <w:r>
        <w:rPr>
          <w:rtl w:val="true"/>
        </w:rPr>
        <w:t xml:space="preserve">): </w:t>
      </w:r>
      <w:r>
        <w:rPr>
          <w:rtl w:val="true"/>
        </w:rPr>
        <w:t>لو اختلفا فی الربح و لم یکن بیّنة قدّم قول العامل</w:t>
      </w:r>
      <w:r>
        <w:rPr>
          <w:rtl w:val="true"/>
        </w:rPr>
        <w:t>]</w:t>
      </w:r>
      <w:bookmarkEnd w:id="4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الربح و لم یکن بیّنة قدّم قول العامل؛ سواء اختلفا فی أصل حصوله أو فی مقداره، بل و کذا الحال فیما إذا قال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ربحت کذا لکن خسرت بعد ذلک بمقداره فذهب الربح</w:t>
      </w:r>
      <w:r>
        <w:rPr>
          <w:rFonts w:eastAsia="IRNazanin" w:cs="IRNazanin"/>
          <w:color w:val="111111"/>
          <w:sz w:val="28"/>
          <w:szCs w:val="28"/>
          <w:rtl w:val="true"/>
          <w:lang w:bidi="fa-IR"/>
        </w:rPr>
        <w:t>.</w:t>
      </w:r>
    </w:p>
    <w:p>
      <w:pPr>
        <w:pStyle w:val="Heading3"/>
        <w:numPr>
          <w:ilvl w:val="2"/>
          <w:numId w:val="1"/>
        </w:numPr>
        <w:rPr/>
      </w:pPr>
      <w:bookmarkStart w:id="4649" w:name="__RefHeading___Toc2569204_3650668749"/>
      <w:bookmarkStart w:id="4650" w:name="_Toc2111"/>
      <w:bookmarkEnd w:id="4649"/>
      <w:r>
        <w:rPr>
          <w:rtl w:val="true"/>
        </w:rPr>
        <w:t>[ (</w:t>
      </w:r>
      <w:r>
        <w:rPr>
          <w:rtl w:val="true"/>
        </w:rPr>
        <w:t xml:space="preserve">مسألة </w:t>
      </w:r>
      <w:r>
        <w:rPr/>
        <w:t>42</w:t>
      </w:r>
      <w:r>
        <w:rPr>
          <w:rtl w:val="true"/>
        </w:rPr>
        <w:t xml:space="preserve">): </w:t>
      </w:r>
      <w:r>
        <w:rPr>
          <w:rtl w:val="true"/>
        </w:rPr>
        <w:t>لو اختلفا فی نصیب العامل من الربح و أنّه النصف مثلًا أو الثلث و لم یکن بیّنة</w:t>
      </w:r>
      <w:r>
        <w:rPr>
          <w:rtl w:val="true"/>
        </w:rPr>
        <w:t>]</w:t>
      </w:r>
      <w:bookmarkEnd w:id="4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نصیب العامل من الربح و أنّه النصف مثلًا أو الثلث و لم یکن بیّنة، قدّم قول المالک</w:t>
      </w:r>
      <w:r>
        <w:rPr>
          <w:rFonts w:eastAsia="IRNazanin" w:cs="IRNazanin"/>
          <w:color w:val="111111"/>
          <w:sz w:val="28"/>
          <w:szCs w:val="28"/>
          <w:rtl w:val="true"/>
          <w:lang w:bidi="fa-IR"/>
        </w:rPr>
        <w:t>.</w:t>
      </w:r>
    </w:p>
    <w:p>
      <w:pPr>
        <w:pStyle w:val="Heading3"/>
        <w:numPr>
          <w:ilvl w:val="2"/>
          <w:numId w:val="1"/>
        </w:numPr>
        <w:rPr/>
      </w:pPr>
      <w:bookmarkStart w:id="4651" w:name="__RefHeading___Toc2569206_3650668749"/>
      <w:bookmarkStart w:id="4652" w:name="_Toc2112"/>
      <w:bookmarkEnd w:id="4651"/>
      <w:r>
        <w:rPr>
          <w:rtl w:val="true"/>
        </w:rPr>
        <w:t>[ (</w:t>
      </w:r>
      <w:r>
        <w:rPr>
          <w:rtl w:val="true"/>
        </w:rPr>
        <w:t xml:space="preserve">مسألة </w:t>
      </w:r>
      <w:r>
        <w:rPr/>
        <w:t>43</w:t>
      </w:r>
      <w:r>
        <w:rPr>
          <w:rtl w:val="true"/>
        </w:rPr>
        <w:t xml:space="preserve">): </w:t>
      </w:r>
      <w:r>
        <w:rPr>
          <w:rtl w:val="true"/>
        </w:rPr>
        <w:t>إذا تلف المال أو وقع خسران، فادّعی المالک علی العامل الخیانة</w:t>
      </w:r>
      <w:r>
        <w:rPr>
          <w:rtl w:val="true"/>
        </w:rPr>
        <w:t>]</w:t>
      </w:r>
      <w:bookmarkEnd w:id="46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المال أو وقع خسران، فادّعی المالک علی العامل الخیانة أو التفریط فی الحفظ، و لم یکن له بیّنة قدّم قول العامل، و کذا لو ادّعیٰ علیه مخالفته لما شرط علیه؛ سواء کان النزاع فی أصل الاشتراط أو فی مخالفته لما شرط علیه، کما إذا ادّعی المالک أنّه قد اشترط علیه أن لا یشتری الجنس الفلانی و قد اشتراه فخسر، و أنکر العامل أصل هذا الاشتراط أو أنکر مخالفته لما اشترط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النزاع فی صدور الإذن من المالک فیما لا یجوز للعامل إلّا بإذنه، کما لو سافر بالمال أو باع نسیئة فتلف أو خسر، فادّعی العامل کونه بإذن المالک و أنکره، قدّم قول المالک</w:t>
      </w:r>
      <w:r>
        <w:rPr>
          <w:rFonts w:eastAsia="IRNazanin" w:cs="IRNazanin"/>
          <w:color w:val="111111"/>
          <w:sz w:val="28"/>
          <w:szCs w:val="28"/>
          <w:rtl w:val="true"/>
          <w:lang w:bidi="fa-IR"/>
        </w:rPr>
        <w:t>.</w:t>
      </w:r>
    </w:p>
    <w:p>
      <w:pPr>
        <w:pStyle w:val="Heading3"/>
        <w:numPr>
          <w:ilvl w:val="2"/>
          <w:numId w:val="1"/>
        </w:numPr>
        <w:rPr/>
      </w:pPr>
      <w:bookmarkStart w:id="4653" w:name="__RefHeading___Toc2569208_3650668749"/>
      <w:bookmarkStart w:id="4654" w:name="_Toc2113"/>
      <w:bookmarkEnd w:id="4653"/>
      <w:r>
        <w:rPr>
          <w:rtl w:val="true"/>
        </w:rPr>
        <w:t>[ (</w:t>
      </w:r>
      <w:r>
        <w:rPr>
          <w:rtl w:val="true"/>
        </w:rPr>
        <w:t xml:space="preserve">مسألة </w:t>
      </w:r>
      <w:r>
        <w:rPr/>
        <w:t>44</w:t>
      </w:r>
      <w:r>
        <w:rPr>
          <w:rtl w:val="true"/>
        </w:rPr>
        <w:t xml:space="preserve">): </w:t>
      </w:r>
      <w:r>
        <w:rPr>
          <w:rtl w:val="true"/>
        </w:rPr>
        <w:t>إذا ادّعیٰ ردّ المال إلی المالک و أنکره قدّم قول المالک</w:t>
      </w:r>
      <w:r>
        <w:rPr>
          <w:rtl w:val="true"/>
        </w:rPr>
        <w:t>]</w:t>
      </w:r>
      <w:bookmarkEnd w:id="4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ردّ المال إلی المالک و أنکره قدّم قول المالک</w:t>
      </w:r>
      <w:r>
        <w:rPr>
          <w:rFonts w:eastAsia="IRNazanin" w:cs="IRNazanin"/>
          <w:color w:val="111111"/>
          <w:sz w:val="28"/>
          <w:szCs w:val="28"/>
          <w:rtl w:val="true"/>
          <w:lang w:bidi="fa-IR"/>
        </w:rPr>
        <w:t>.</w:t>
      </w:r>
    </w:p>
    <w:p>
      <w:pPr>
        <w:pStyle w:val="Heading3"/>
        <w:numPr>
          <w:ilvl w:val="2"/>
          <w:numId w:val="1"/>
        </w:numPr>
        <w:rPr/>
      </w:pPr>
      <w:bookmarkStart w:id="4655" w:name="__RefHeading___Toc2569210_3650668749"/>
      <w:bookmarkStart w:id="4656" w:name="_Toc2114"/>
      <w:bookmarkEnd w:id="4655"/>
      <w:r>
        <w:rPr>
          <w:rtl w:val="true"/>
        </w:rPr>
        <w:t>[ (</w:t>
      </w:r>
      <w:r>
        <w:rPr>
          <w:rtl w:val="true"/>
        </w:rPr>
        <w:t xml:space="preserve">مسألة </w:t>
      </w:r>
      <w:r>
        <w:rPr/>
        <w:t>45</w:t>
      </w:r>
      <w:r>
        <w:rPr>
          <w:rtl w:val="true"/>
        </w:rPr>
        <w:t xml:space="preserve">): </w:t>
      </w:r>
      <w:r>
        <w:rPr>
          <w:rtl w:val="true"/>
        </w:rPr>
        <w:t>إذا اشتری العامل سلعة، فظهر فیها ربح</w:t>
      </w:r>
      <w:r>
        <w:rPr>
          <w:rtl w:val="true"/>
        </w:rPr>
        <w:t>]</w:t>
      </w:r>
      <w:bookmarkEnd w:id="46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العامل سلعة، فظهر فیها ربح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اشتریتها لنفسی، و 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اشتریتها للقراض، أو ظهر خسران فادّعی العامل أنّه اشتراها للقراض و قال 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اشتریتها لنفسک، قدّم قول العامل بیمینه</w:t>
      </w:r>
      <w:r>
        <w:rPr>
          <w:rFonts w:eastAsia="IRNazanin" w:cs="IRNazanin"/>
          <w:color w:val="111111"/>
          <w:sz w:val="28"/>
          <w:szCs w:val="28"/>
          <w:rtl w:val="true"/>
          <w:lang w:bidi="fa-IR"/>
        </w:rPr>
        <w:t>.</w:t>
      </w:r>
    </w:p>
    <w:p>
      <w:pPr>
        <w:pStyle w:val="Heading3"/>
        <w:numPr>
          <w:ilvl w:val="2"/>
          <w:numId w:val="1"/>
        </w:numPr>
        <w:rPr/>
      </w:pPr>
      <w:bookmarkStart w:id="4657" w:name="__RefHeading___Toc2569212_3650668749"/>
      <w:bookmarkStart w:id="4658" w:name="_Toc2115"/>
      <w:bookmarkEnd w:id="4657"/>
      <w:r>
        <w:rPr>
          <w:rtl w:val="true"/>
        </w:rPr>
        <w:t>[ (</w:t>
      </w:r>
      <w:r>
        <w:rPr>
          <w:rtl w:val="true"/>
        </w:rPr>
        <w:t xml:space="preserve">مسألة </w:t>
      </w:r>
      <w:r>
        <w:rPr/>
        <w:t>46</w:t>
      </w:r>
      <w:r>
        <w:rPr>
          <w:rtl w:val="true"/>
        </w:rPr>
        <w:t xml:space="preserve">): </w:t>
      </w:r>
      <w:r>
        <w:rPr>
          <w:rtl w:val="true"/>
        </w:rPr>
        <w:t>إذا حصل تلف أو خسارة فادّعی المالک أنّه أقرضه، و ادّعی العامل أنّه قارضه</w:t>
      </w:r>
      <w:r>
        <w:rPr>
          <w:rtl w:val="true"/>
        </w:rPr>
        <w:t>]</w:t>
      </w:r>
      <w:bookmarkEnd w:id="4658"/>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حصل تلف أو خسارة فادّعی المالک أنّه أقرضه، و ادّعی العامل أنّه قارضه، قدّم قول المالک علی إشکال </w:t>
      </w:r>
      <w:r>
        <w:rPr>
          <w:rStyle w:val="FootnoteAnchor"/>
          <w:rtl w:val="true"/>
        </w:rPr>
        <w:footnoteReference w:id="1299"/>
      </w:r>
      <w:r>
        <w:rPr>
          <w:rFonts w:ascii="IRNazanin" w:hAnsi="IRNazanin" w:eastAsia="IRNazanin"/>
          <w:color w:val="111111"/>
          <w:sz w:val="28"/>
          <w:sz w:val="28"/>
          <w:szCs w:val="28"/>
          <w:rtl w:val="true"/>
          <w:lang w:bidi="fa-IR"/>
        </w:rPr>
        <w:t>، و أمّا لو حصل ربح فادّعی المالک أنّه قارضه</w:t>
      </w:r>
      <w:bookmarkStart w:id="4659" w:name="pg1809_19463"/>
    </w:p>
    <w:p>
      <w:pPr>
        <w:pStyle w:val="BookText"/>
        <w:rPr/>
      </w:pPr>
      <w:bookmarkEnd w:id="4659"/>
      <w:r>
        <w:rPr>
          <w:rFonts w:ascii="IRNazanin" w:hAnsi="IRNazanin" w:eastAsia="IRNazanin"/>
          <w:color w:val="111111"/>
          <w:sz w:val="28"/>
          <w:sz w:val="28"/>
          <w:szCs w:val="28"/>
          <w:rtl w:val="true"/>
          <w:lang w:bidi="fa-IR"/>
        </w:rPr>
        <w:t>و ادّعی العامل أنّه أقرضه، قدّم قول المالک بلا إشکال</w:t>
      </w:r>
      <w:r>
        <w:rPr>
          <w:rFonts w:eastAsia="IRNazanin" w:cs="IRNazanin"/>
          <w:color w:val="111111"/>
          <w:sz w:val="28"/>
          <w:szCs w:val="28"/>
          <w:rtl w:val="true"/>
          <w:lang w:bidi="fa-IR"/>
        </w:rPr>
        <w:t>.</w:t>
      </w:r>
    </w:p>
    <w:p>
      <w:pPr>
        <w:pStyle w:val="Heading3"/>
        <w:numPr>
          <w:ilvl w:val="2"/>
          <w:numId w:val="1"/>
        </w:numPr>
        <w:rPr/>
      </w:pPr>
      <w:bookmarkStart w:id="4660" w:name="__RefHeading___Toc2569214_3650668749"/>
      <w:bookmarkStart w:id="4661" w:name="_Toc2116"/>
      <w:bookmarkEnd w:id="4660"/>
      <w:r>
        <w:rPr>
          <w:rtl w:val="true"/>
        </w:rPr>
        <w:t>[ (</w:t>
      </w:r>
      <w:r>
        <w:rPr>
          <w:rtl w:val="true"/>
        </w:rPr>
        <w:t xml:space="preserve">مسألة </w:t>
      </w:r>
      <w:r>
        <w:rPr/>
        <w:t>47</w:t>
      </w:r>
      <w:r>
        <w:rPr>
          <w:rtl w:val="true"/>
        </w:rPr>
        <w:t xml:space="preserve">): </w:t>
      </w:r>
      <w:r>
        <w:rPr>
          <w:rtl w:val="true"/>
        </w:rPr>
        <w:t>لو ادّعی المالک أنّه أعطاه المال بعنوان البضاعة فلا یستحقّ العامل شیئاً من الربح، و ادّعی العامل المضاربة</w:t>
      </w:r>
      <w:r>
        <w:rPr>
          <w:rtl w:val="true"/>
        </w:rPr>
        <w:t>]</w:t>
      </w:r>
      <w:bookmarkEnd w:id="4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ادّعی المالک أنّه أعطاه المال بعنوان البضاعة فلا یستحقّ العامل شیئاً من الربح، و ادّعی العامل المضاربة فله حصّة منه، الظاهر أنّه یقدّم </w:t>
      </w:r>
      <w:r>
        <w:rPr>
          <w:rStyle w:val="FootnoteAnchor"/>
          <w:rtl w:val="true"/>
        </w:rPr>
        <w:footnoteReference w:id="1300"/>
      </w:r>
      <w:r>
        <w:rPr>
          <w:rFonts w:ascii="IRNazanin" w:hAnsi="IRNazanin" w:eastAsia="IRNazanin"/>
          <w:color w:val="111111"/>
          <w:sz w:val="28"/>
          <w:sz w:val="28"/>
          <w:szCs w:val="28"/>
          <w:rtl w:val="true"/>
          <w:lang w:bidi="fa-IR"/>
        </w:rPr>
        <w:t>قول المالک بیمینه، فیحلف علیٰ نفی المضاربة، فله تمام الربح لو کان، و لو لم یکن ربح أصلًا فلا ثمرة فی هذه الدعویٰ</w:t>
      </w:r>
      <w:r>
        <w:rPr>
          <w:rFonts w:eastAsia="IRNazanin" w:cs="IRNazanin"/>
          <w:color w:val="111111"/>
          <w:sz w:val="28"/>
          <w:szCs w:val="28"/>
          <w:rtl w:val="true"/>
          <w:lang w:bidi="fa-IR"/>
        </w:rPr>
        <w:t>.</w:t>
      </w:r>
    </w:p>
    <w:p>
      <w:pPr>
        <w:pStyle w:val="Heading3"/>
        <w:numPr>
          <w:ilvl w:val="2"/>
          <w:numId w:val="1"/>
        </w:numPr>
        <w:rPr/>
      </w:pPr>
      <w:bookmarkStart w:id="4662" w:name="__RefHeading___Toc2569216_3650668749"/>
      <w:bookmarkStart w:id="4663" w:name="_Toc2117"/>
      <w:bookmarkEnd w:id="4662"/>
      <w:r>
        <w:rPr>
          <w:rtl w:val="true"/>
        </w:rPr>
        <w:t>[ (</w:t>
      </w:r>
      <w:r>
        <w:rPr>
          <w:rtl w:val="true"/>
        </w:rPr>
        <w:t xml:space="preserve">مسألة </w:t>
      </w:r>
      <w:r>
        <w:rPr/>
        <w:t>48</w:t>
      </w:r>
      <w:r>
        <w:rPr>
          <w:rtl w:val="true"/>
        </w:rPr>
        <w:t xml:space="preserve">): </w:t>
      </w:r>
      <w:r>
        <w:rPr>
          <w:rtl w:val="true"/>
        </w:rPr>
        <w:t>یجوز إیقاع الجعالة علی الاتّجار بمال و جعل الجعل حصّة من الربح</w:t>
      </w:r>
      <w:r>
        <w:rPr>
          <w:rtl w:val="true"/>
        </w:rPr>
        <w:t>]</w:t>
      </w:r>
      <w:bookmarkEnd w:id="4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إیقاع الجعالة علی الاتّجار بمال و جعل الجعل حصّة من الربح؛ بأن یقول صاحب المال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اتّجرت بهذا المال و حصل ربح فلک نصفه أو ثلثه، فتکون جعالة تفید فائدة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یشترط فیها ما یشترط فی المضاربة فلا یعتبر کون رأس المال من النقدین، بل یجوز أن یکون عروضاً أو دیناً أو منفعة</w:t>
      </w:r>
      <w:r>
        <w:rPr>
          <w:rFonts w:eastAsia="IRNazanin" w:cs="IRNazanin"/>
          <w:color w:val="111111"/>
          <w:sz w:val="28"/>
          <w:szCs w:val="28"/>
          <w:rtl w:val="true"/>
          <w:lang w:bidi="fa-IR"/>
        </w:rPr>
        <w:t>.</w:t>
      </w:r>
    </w:p>
    <w:p>
      <w:pPr>
        <w:pStyle w:val="Heading3"/>
        <w:numPr>
          <w:ilvl w:val="2"/>
          <w:numId w:val="1"/>
        </w:numPr>
        <w:rPr/>
      </w:pPr>
      <w:bookmarkStart w:id="4664" w:name="__RefHeading___Toc2569218_3650668749"/>
      <w:bookmarkStart w:id="4665" w:name="_Toc2118"/>
      <w:bookmarkEnd w:id="4664"/>
      <w:r>
        <w:rPr>
          <w:rtl w:val="true"/>
        </w:rPr>
        <w:t>[ (</w:t>
      </w:r>
      <w:r>
        <w:rPr>
          <w:rtl w:val="true"/>
        </w:rPr>
        <w:t xml:space="preserve">مسألة </w:t>
      </w:r>
      <w:r>
        <w:rPr/>
        <w:t>49</w:t>
      </w:r>
      <w:r>
        <w:rPr>
          <w:rtl w:val="true"/>
        </w:rPr>
        <w:t xml:space="preserve">): </w:t>
      </w:r>
      <w:r>
        <w:rPr>
          <w:rtl w:val="true"/>
        </w:rPr>
        <w:t>یجوز للأب و الجدّ المضاربة بمال الصغیر مع عدم المفسدة</w:t>
      </w:r>
      <w:r>
        <w:rPr>
          <w:rtl w:val="true"/>
        </w:rPr>
        <w:t>]</w:t>
      </w:r>
      <w:bookmarkEnd w:id="46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للأب و الجدّ المضاربة بمال الصغیر مع عدم المفسدة </w:t>
      </w:r>
      <w:r>
        <w:rPr>
          <w:rStyle w:val="FootnoteAnchor"/>
          <w:rtl w:val="true"/>
        </w:rPr>
        <w:footnoteReference w:id="1301"/>
      </w:r>
      <w:r>
        <w:rPr>
          <w:rFonts w:ascii="IRNazanin" w:hAnsi="IRNazanin" w:eastAsia="IRNazanin"/>
          <w:color w:val="111111"/>
          <w:sz w:val="28"/>
          <w:sz w:val="28"/>
          <w:szCs w:val="28"/>
          <w:rtl w:val="true"/>
          <w:lang w:bidi="fa-IR"/>
        </w:rPr>
        <w:t>و کذا القیّم الشرعی کالوصیّ و حاکم الشرع مع الأمن من الهلاک و ملاحظة الغبطة و المصلحة، بل یجوز للوصیّ علیٰ ثلث المیّت أن یدفعه إلی الغیر بالمضاربة و صرف حصّة المیّت من الربح فی المصارف المعیّنة للثلث إذا أوصیٰ به المیّت، بل و إن لم یوص به لکن فوّض أمر الثلث بنظر الوصیّ، فرأی الصلاح فی ذلک</w:t>
      </w:r>
      <w:r>
        <w:rPr>
          <w:rFonts w:eastAsia="IRNazanin" w:cs="IRNazanin"/>
          <w:color w:val="111111"/>
          <w:sz w:val="28"/>
          <w:szCs w:val="28"/>
          <w:rtl w:val="true"/>
          <w:lang w:bidi="fa-IR"/>
        </w:rPr>
        <w:t>.</w:t>
      </w:r>
    </w:p>
    <w:p>
      <w:pPr>
        <w:pStyle w:val="Heading3"/>
        <w:numPr>
          <w:ilvl w:val="2"/>
          <w:numId w:val="1"/>
        </w:numPr>
        <w:rPr/>
      </w:pPr>
      <w:bookmarkStart w:id="4666" w:name="__RefHeading___Toc2569220_3650668749"/>
      <w:bookmarkStart w:id="4667" w:name="_Toc2119"/>
      <w:bookmarkEnd w:id="4666"/>
      <w:r>
        <w:rPr>
          <w:rtl w:val="true"/>
        </w:rPr>
        <w:t>[ (</w:t>
      </w:r>
      <w:r>
        <w:rPr>
          <w:rtl w:val="true"/>
        </w:rPr>
        <w:t xml:space="preserve">مسألة </w:t>
      </w:r>
      <w:r>
        <w:rPr/>
        <w:t>50</w:t>
      </w:r>
      <w:r>
        <w:rPr>
          <w:rtl w:val="true"/>
        </w:rPr>
        <w:t xml:space="preserve">): </w:t>
      </w:r>
      <w:r>
        <w:rPr>
          <w:rtl w:val="true"/>
        </w:rPr>
        <w:t>إذا مات العامل و کان عنده مال المضاربة، فإن علم بوجوده فیما ترکه بعینه فلا إشکال</w:t>
      </w:r>
      <w:r>
        <w:rPr>
          <w:rtl w:val="true"/>
        </w:rPr>
        <w:t>]</w:t>
      </w:r>
      <w:bookmarkEnd w:id="4667"/>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العامل و کان عنده مال المضاربة، فإن علم بوجوده فیما ترکه بعینه فلا إشکال، و إن علم بوجوده فیه من غیر تعیین؛ بأن کان ما ترکه مشتملًا علیٰ مال نفسه و مال المضاربة، أو کان عنده أیضاً ودائع أو بضائع لأُناس آخرین، و اشتبه أعیانها بعضها مع بعض، یعامل ما هو العلاج فی نظائره من اشتباه أموال ملّاک متعدّدین بعضها مع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هو بإعمال القرعة أو إیقاع المصالحة؟ وجهان </w:t>
      </w:r>
      <w:r>
        <w:rPr>
          <w:rStyle w:val="FootnoteAnchor"/>
          <w:rtl w:val="true"/>
        </w:rPr>
        <w:footnoteReference w:id="1302"/>
      </w:r>
      <w:r>
        <w:rPr>
          <w:rFonts w:ascii="IRNazanin" w:hAnsi="IRNazanin" w:eastAsia="IRNazanin"/>
          <w:color w:val="111111"/>
          <w:sz w:val="28"/>
          <w:sz w:val="28"/>
          <w:szCs w:val="28"/>
          <w:rtl w:val="true"/>
          <w:lang w:bidi="fa-IR"/>
        </w:rPr>
        <w:t>، أحوطهما الثانی، و أقواهما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أنّه لو علم المال جنساً و قدراً و اشتبه بین أموال من جنسه له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لغیره، کان بحکم </w:t>
      </w:r>
      <w:r>
        <w:rPr>
          <w:rStyle w:val="FootnoteAnchor"/>
          <w:rtl w:val="true"/>
        </w:rPr>
        <w:footnoteReference w:id="1303"/>
      </w:r>
      <w:r>
        <w:rPr>
          <w:rFonts w:ascii="IRNazanin" w:hAnsi="IRNazanin" w:eastAsia="IRNazanin"/>
          <w:color w:val="111111"/>
          <w:sz w:val="28"/>
          <w:sz w:val="28"/>
          <w:szCs w:val="28"/>
          <w:rtl w:val="true"/>
          <w:lang w:bidi="fa-IR"/>
        </w:rPr>
        <w:t>المال المشترک، کما إذا کان له فی أنباره مقدار من القند أو السکّر، و علم أنّ مقداراً معیّناً من ذلک الجنس مال المضاربة من غیر تعیین لشخصه، فإنّه یکون المجموع مشترکاً بین ربّ المال و ورثة المیّت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علم بعدم وجوده فیها، و احتمل أنّه قد ردّه إلیٰ مالکه، أو تلف بتفریط منه أو بغیره، فالظاهر أنّه لم یحکم علی المیّت بالضمان و کان الجمیع لورثته، و کذا لو احتمل بقاؤه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علم بأنّ مقداراً من مال المضاربة قد کان قبل موته داخلًا فی هذه الأجناس الباقیة التی قد ترکها و لم یعلم أنّه هل بقی فیها أو ردّه إلی المالک أو تلف؟ لا یبعد </w:t>
      </w:r>
      <w:r>
        <w:rPr>
          <w:rStyle w:val="FootnoteAnchor"/>
          <w:rtl w:val="true"/>
        </w:rPr>
        <w:footnoteReference w:id="1304"/>
      </w:r>
      <w:r>
        <w:rPr>
          <w:rFonts w:ascii="IRNazanin" w:hAnsi="IRNazanin" w:eastAsia="IRNazanin"/>
          <w:color w:val="111111"/>
          <w:sz w:val="28"/>
          <w:sz w:val="28"/>
          <w:szCs w:val="28"/>
          <w:rtl w:val="true"/>
          <w:lang w:bidi="fa-IR"/>
        </w:rPr>
        <w:t>أن یکون حاله حال ما لو علم بوجوده فیها، فیجب إخراجه منها</w:t>
      </w:r>
      <w:r>
        <w:rPr>
          <w:rFonts w:eastAsia="IRNazanin" w:cs="IRNazanin"/>
          <w:color w:val="111111"/>
          <w:sz w:val="28"/>
          <w:szCs w:val="28"/>
          <w:rtl w:val="true"/>
          <w:lang w:bidi="fa-IR"/>
        </w:rPr>
        <w:t>.</w:t>
      </w:r>
      <w:bookmarkStart w:id="4668" w:name="pg1809_19465"/>
    </w:p>
    <w:p>
      <w:pPr>
        <w:pStyle w:val="Heading2"/>
        <w:numPr>
          <w:ilvl w:val="1"/>
          <w:numId w:val="1"/>
        </w:numPr>
        <w:rPr/>
      </w:pPr>
      <w:bookmarkStart w:id="4669" w:name="__RefHeading___Toc2569222_3650668749"/>
      <w:bookmarkStart w:id="4670" w:name="_Toc2120"/>
      <w:bookmarkEnd w:id="4668"/>
      <w:bookmarkEnd w:id="4669"/>
      <w:r>
        <w:rPr>
          <w:rtl w:val="true"/>
        </w:rPr>
        <w:t>[</w:t>
      </w:r>
      <w:r>
        <w:rPr>
          <w:rtl w:val="true"/>
        </w:rPr>
        <w:t>کتاب الشرکة</w:t>
      </w:r>
      <w:r>
        <w:rPr>
          <w:rtl w:val="true"/>
        </w:rPr>
        <w:t>]</w:t>
      </w:r>
      <w:bookmarkEnd w:id="4670"/>
    </w:p>
    <w:p>
      <w:pPr>
        <w:pStyle w:val="Heading3"/>
        <w:numPr>
          <w:ilvl w:val="2"/>
          <w:numId w:val="1"/>
        </w:numPr>
        <w:rPr/>
      </w:pPr>
      <w:bookmarkStart w:id="4671" w:name="__RefHeading___Toc2569224_3650668749"/>
      <w:bookmarkStart w:id="4672" w:name="_Toc2121"/>
      <w:bookmarkEnd w:id="4671"/>
      <w:r>
        <w:rPr>
          <w:rtl w:val="true"/>
        </w:rPr>
        <w:t>اشارة</w:t>
      </w:r>
      <w:bookmarkEnd w:id="4672"/>
    </w:p>
    <w:p>
      <w:pPr>
        <w:pStyle w:val="BookText"/>
        <w:rPr/>
      </w:pPr>
      <w:r>
        <w:rPr>
          <w:rFonts w:ascii="IRNazanin" w:hAnsi="IRNazanin" w:eastAsia="IRNazanin"/>
          <w:color w:val="111111"/>
          <w:sz w:val="28"/>
          <w:sz w:val="28"/>
          <w:szCs w:val="28"/>
          <w:rtl w:val="true"/>
          <w:lang w:bidi="fa-IR"/>
        </w:rPr>
        <w:t>کتاب الشرکة و هی کون شی‌ء واحد لاثنین، أو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إمّا فی عین، أو دین، أو منفعة، أو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سببها قد یکون إرثاً و قد یکون عقداً ناقلًا، کما إذا اشتری اثنان معاً مالًا أو استأجرا عیناً، أو صولحا عن حقّ تحجیر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سببان </w:t>
      </w:r>
      <w:r>
        <w:rPr>
          <w:rStyle w:val="FootnoteAnchor"/>
          <w:rtl w:val="true"/>
        </w:rPr>
        <w:footnoteReference w:id="1305"/>
      </w:r>
      <w:r>
        <w:rPr>
          <w:rFonts w:ascii="IRNazanin" w:hAnsi="IRNazanin" w:eastAsia="IRNazanin"/>
          <w:color w:val="111111"/>
          <w:sz w:val="28"/>
          <w:sz w:val="28"/>
          <w:szCs w:val="28"/>
          <w:rtl w:val="true"/>
          <w:lang w:bidi="fa-IR"/>
        </w:rPr>
        <w:t>آخران یختصّان بالشرکة فی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الحیازة، کما إذا اقتلع اثنان معاً شجرة مباحة، أو اغترفا ماء مباحاً بآنیة واحدة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الامتزاج، کما إذا امتزج ماء أو خلّ من شخص بماء أو خلّ شخص آخر؛ سواء وقع قهراً أو عمداً و اختیاراً</w:t>
      </w:r>
      <w:r>
        <w:rPr>
          <w:rFonts w:eastAsia="IRNazanin" w:cs="IRNazanin"/>
          <w:color w:val="111111"/>
          <w:sz w:val="28"/>
          <w:szCs w:val="28"/>
          <w:rtl w:val="true"/>
          <w:lang w:bidi="fa-IR"/>
        </w:rPr>
        <w:t>.</w:t>
      </w:r>
    </w:p>
    <w:p>
      <w:pPr>
        <w:pStyle w:val="Heading3"/>
        <w:numPr>
          <w:ilvl w:val="2"/>
          <w:numId w:val="1"/>
        </w:numPr>
        <w:rPr/>
      </w:pPr>
      <w:bookmarkStart w:id="4673" w:name="__RefHeading___Toc2569226_3650668749"/>
      <w:bookmarkStart w:id="4674" w:name="_Toc2122"/>
      <w:bookmarkEnd w:id="4673"/>
      <w:r>
        <w:rPr>
          <w:rtl w:val="true"/>
        </w:rPr>
        <w:t>[</w:t>
      </w:r>
      <w:r>
        <w:rPr>
          <w:rtl w:val="true"/>
        </w:rPr>
        <w:t>مسائل</w:t>
      </w:r>
      <w:r>
        <w:rPr>
          <w:rtl w:val="true"/>
        </w:rPr>
        <w:t>]</w:t>
      </w:r>
      <w:bookmarkEnd w:id="4674"/>
    </w:p>
    <w:p>
      <w:pPr>
        <w:pStyle w:val="Heading4"/>
        <w:numPr>
          <w:ilvl w:val="3"/>
          <w:numId w:val="1"/>
        </w:numPr>
        <w:rPr/>
      </w:pPr>
      <w:bookmarkStart w:id="4675" w:name="__RefHeading___Toc2569228_3650668749"/>
      <w:bookmarkStart w:id="4676" w:name="_Toc2123"/>
      <w:bookmarkEnd w:id="4675"/>
      <w:r>
        <w:rPr>
          <w:rtl w:val="true"/>
        </w:rPr>
        <w:t>[ (</w:t>
      </w:r>
      <w:r>
        <w:rPr>
          <w:rtl w:val="true"/>
        </w:rPr>
        <w:t xml:space="preserve">مسألة </w:t>
      </w:r>
      <w:r>
        <w:rPr/>
        <w:t>1</w:t>
      </w:r>
      <w:r>
        <w:rPr>
          <w:rtl w:val="true"/>
        </w:rPr>
        <w:t xml:space="preserve">): </w:t>
      </w:r>
      <w:r>
        <w:rPr>
          <w:rtl w:val="true"/>
        </w:rPr>
        <w:t>الامتزاج قد یوجب الشرکة الواقعیّة الحقیقیّة</w:t>
      </w:r>
      <w:r>
        <w:rPr>
          <w:rtl w:val="true"/>
        </w:rPr>
        <w:t>]</w:t>
      </w:r>
      <w:bookmarkEnd w:id="467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الامتزاج قد یوجب الشرکة الواقعیّة الحقیقیّة، و هو فیما إذا حصل خلط و امتزاج تامّ بین مائعین متجانسین کالماء بالماء و الدهن بالدهن، بل و غیر متجانسین کدهن اللوز بدهن الجوز مثلًا، و مثله علی الظاهر خلط الجامدات الناعمة بعضها ببعض کالأدقّة، بل لا یبعد </w:t>
      </w:r>
      <w:r>
        <w:rPr>
          <w:rStyle w:val="FootnoteAnchor"/>
          <w:rtl w:val="true"/>
        </w:rPr>
        <w:footnoteReference w:id="1306"/>
      </w:r>
      <w:r>
        <w:rPr>
          <w:rFonts w:ascii="IRNazanin" w:hAnsi="IRNazanin" w:eastAsia="IRNazanin"/>
          <w:color w:val="111111"/>
          <w:sz w:val="28"/>
          <w:sz w:val="28"/>
          <w:szCs w:val="28"/>
          <w:rtl w:val="true"/>
          <w:lang w:bidi="fa-IR"/>
        </w:rPr>
        <w:t>أن یلحق بها ذوات الحبّات الصغیرة کالخشخاش و الدخن و السمسم و أشباهها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یوجب الشرکة الظاهریّة الحکمیّة، و هی فی مثل خلط الحنطة بالحنطة</w:t>
      </w:r>
      <w:bookmarkStart w:id="4677" w:name="pg1809_19466"/>
    </w:p>
    <w:p>
      <w:pPr>
        <w:pStyle w:val="BookText"/>
        <w:rPr/>
      </w:pPr>
      <w:bookmarkEnd w:id="4677"/>
      <w:r>
        <w:rPr>
          <w:rFonts w:ascii="IRNazanin" w:hAnsi="IRNazanin" w:eastAsia="IRNazanin"/>
          <w:color w:val="111111"/>
          <w:sz w:val="28"/>
          <w:sz w:val="28"/>
          <w:szCs w:val="28"/>
          <w:rtl w:val="true"/>
          <w:lang w:bidi="fa-IR"/>
        </w:rPr>
        <w:t xml:space="preserve">و الشعیر بالشعیر، بل و الجوز </w:t>
      </w:r>
      <w:r>
        <w:rPr>
          <w:rStyle w:val="FootnoteAnchor"/>
          <w:rtl w:val="true"/>
        </w:rPr>
        <w:footnoteReference w:id="1307"/>
      </w:r>
      <w:r>
        <w:rPr>
          <w:rFonts w:ascii="IRNazanin" w:hAnsi="IRNazanin" w:eastAsia="IRNazanin"/>
          <w:color w:val="111111"/>
          <w:sz w:val="28"/>
          <w:sz w:val="28"/>
          <w:szCs w:val="28"/>
          <w:rtl w:val="true"/>
          <w:lang w:bidi="fa-IR"/>
        </w:rPr>
        <w:t>بالجوز و اللوز باللوز، و کذا الدراهم أو الدنانیر المتماثلة إذا اختلط بعضها ببعض علیٰ نحو یرفع الامتیاز، فإنّ الظاهر فی أمثال ذلک بقاء أجزاء کلّ من المالین علیٰ ملک مالکه، لکن عند الخلط الرافع للامتیاز یعامل مع المجموع معاملة المال المشترک، و یکون بحکم الشرکة الواقعیّة؛ من صحّة التقسیم و الإفراز و سائر أحکام المال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أنّه لا تتحقّق الشرکة لا واقعاً و لا ظاهراً بخلط القیمیّات بعضها ببعض و إن لم یتمیّز، کما إذا اختلط بعض الثیاب ببعضها مع تقارب الصفات، و العبید فی العبید، و الإماء فی الإماء، و الأغنام فی الأغنام و نحو ذلک، بل ذلک من اشتباه مال أحد المالکین بمال الآخر فیکون العلاج بالمصالحة أو القرعة</w:t>
      </w:r>
      <w:r>
        <w:rPr>
          <w:rFonts w:eastAsia="IRNazanin" w:cs="IRNazanin"/>
          <w:color w:val="111111"/>
          <w:sz w:val="28"/>
          <w:szCs w:val="28"/>
          <w:rtl w:val="true"/>
          <w:lang w:bidi="fa-IR"/>
        </w:rPr>
        <w:t>.</w:t>
      </w:r>
    </w:p>
    <w:p>
      <w:pPr>
        <w:pStyle w:val="Heading4"/>
        <w:numPr>
          <w:ilvl w:val="3"/>
          <w:numId w:val="1"/>
        </w:numPr>
        <w:rPr/>
      </w:pPr>
      <w:bookmarkStart w:id="4678" w:name="__RefHeading___Toc2569230_3650668749"/>
      <w:bookmarkStart w:id="4679" w:name="_Toc2124"/>
      <w:bookmarkEnd w:id="4678"/>
      <w:r>
        <w:rPr>
          <w:rtl w:val="true"/>
        </w:rPr>
        <w:t>[ (</w:t>
      </w:r>
      <w:r>
        <w:rPr>
          <w:rtl w:val="true"/>
        </w:rPr>
        <w:t xml:space="preserve">مسألة </w:t>
      </w:r>
      <w:r>
        <w:rPr/>
        <w:t>2</w:t>
      </w:r>
      <w:r>
        <w:rPr>
          <w:rtl w:val="true"/>
        </w:rPr>
        <w:t xml:space="preserve">): </w:t>
      </w:r>
      <w:r>
        <w:rPr>
          <w:rtl w:val="true"/>
        </w:rPr>
        <w:t>لا یجوز لبعض الشرکاء التصرّف فی المال المشترک إلّا برضا الباقین</w:t>
      </w:r>
      <w:r>
        <w:rPr>
          <w:rtl w:val="true"/>
        </w:rPr>
        <w:t>]</w:t>
      </w:r>
      <w:bookmarkEnd w:id="4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لبعض الشرکاء التصرّف فی المال المشترک إلّا برضا الباقین، بل لو أذن أحد الشریکین شریکه فی التصرّف جاز للمأذون و لم یجز للآذن إلّا أن یأذن له المأذون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أن یقتصر المأذون بالمقدار المأذون فیه کمّاً و 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الإذن فی الشی‌ء إذن فی لوازمه عند الإطلاق، فإذا أذن له فی سکنی الدار یلزمه </w:t>
      </w:r>
      <w:r>
        <w:rPr>
          <w:rStyle w:val="FootnoteAnchor"/>
          <w:rtl w:val="true"/>
        </w:rPr>
        <w:footnoteReference w:id="1308"/>
      </w:r>
      <w:r>
        <w:rPr>
          <w:rFonts w:ascii="IRNazanin" w:hAnsi="IRNazanin" w:eastAsia="IRNazanin"/>
          <w:color w:val="111111"/>
          <w:sz w:val="28"/>
          <w:sz w:val="28"/>
          <w:szCs w:val="28"/>
          <w:rtl w:val="true"/>
          <w:lang w:bidi="fa-IR"/>
        </w:rPr>
        <w:t>إسکان أهله و عیاله و أطفاله و تردّد أصدقائه و نزول ضیوفه بالمقدار المعتاد، فیجوز ذلک کلّه إلّا أن یمنع عنه کلّا أو بعضاً فیتّبع</w:t>
      </w:r>
      <w:r>
        <w:rPr>
          <w:rFonts w:eastAsia="IRNazanin" w:cs="IRNazanin"/>
          <w:color w:val="111111"/>
          <w:sz w:val="28"/>
          <w:szCs w:val="28"/>
          <w:rtl w:val="true"/>
          <w:lang w:bidi="fa-IR"/>
        </w:rPr>
        <w:t>.</w:t>
      </w:r>
    </w:p>
    <w:p>
      <w:pPr>
        <w:pStyle w:val="Heading4"/>
        <w:numPr>
          <w:ilvl w:val="3"/>
          <w:numId w:val="1"/>
        </w:numPr>
        <w:rPr/>
      </w:pPr>
      <w:bookmarkStart w:id="4680" w:name="__RefHeading___Toc2569232_3650668749"/>
      <w:bookmarkStart w:id="4681" w:name="_Toc2125"/>
      <w:bookmarkEnd w:id="4680"/>
      <w:r>
        <w:rPr>
          <w:rtl w:val="true"/>
        </w:rPr>
        <w:t>[ (</w:t>
      </w:r>
      <w:r>
        <w:rPr>
          <w:rtl w:val="true"/>
        </w:rPr>
        <w:t xml:space="preserve">مسألة </w:t>
      </w:r>
      <w:r>
        <w:rPr/>
        <w:t>3</w:t>
      </w:r>
      <w:r>
        <w:rPr>
          <w:rtl w:val="true"/>
        </w:rPr>
        <w:t xml:space="preserve">): </w:t>
      </w:r>
      <w:r>
        <w:rPr>
          <w:rtl w:val="true"/>
        </w:rPr>
        <w:t>کما تطلق الشرکة علی المعنی المتقدّم و هو کون شی‌ء واحد لاثنین أو أزید</w:t>
      </w:r>
      <w:r>
        <w:rPr>
          <w:rtl w:val="true"/>
        </w:rPr>
        <w:t>]</w:t>
      </w:r>
      <w:bookmarkEnd w:id="46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تطلق الشرکة علی المعنی المتقدّم و هو کون شی‌ء واحد لاثنین أو أزید تطلق أیضاً علیٰ معنی آخر؛ و هو العقد الواقع بین اثنین، أو أزید علی المعاملة بمال مشترک بینهم، و تسمّی الشرکة العقدیّة و الاکتسابیّة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ثمرته جواز تصرّف الشریکین فیما اشترکا فیه بالتکسّب به و کون الربح و الخسران بینهما علیٰ نسبة مالهما و حیث إنّها عقد من العقود تحتاج إلیٰ إیجاب و قبول، و یکفی 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اشترکنا، أو قول أحدهما ذلک مع قبول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جریان المعاطاة فیها بأن خلطا المالین بقصد اشتراکهما فی الاکتساب و المعاملة به</w:t>
      </w:r>
      <w:r>
        <w:rPr>
          <w:rFonts w:eastAsia="IRNazanin" w:cs="IRNazanin"/>
          <w:color w:val="111111"/>
          <w:sz w:val="28"/>
          <w:szCs w:val="28"/>
          <w:rtl w:val="true"/>
          <w:lang w:bidi="fa-IR"/>
        </w:rPr>
        <w:t>.</w:t>
      </w:r>
    </w:p>
    <w:p>
      <w:pPr>
        <w:pStyle w:val="Heading4"/>
        <w:numPr>
          <w:ilvl w:val="3"/>
          <w:numId w:val="1"/>
        </w:numPr>
        <w:rPr/>
      </w:pPr>
      <w:bookmarkStart w:id="4682" w:name="__RefHeading___Toc2569234_3650668749"/>
      <w:bookmarkStart w:id="4683" w:name="_Toc2126"/>
      <w:bookmarkEnd w:id="4682"/>
      <w:r>
        <w:rPr>
          <w:rtl w:val="true"/>
        </w:rPr>
        <w:t>[ (</w:t>
      </w:r>
      <w:r>
        <w:rPr>
          <w:rtl w:val="true"/>
        </w:rPr>
        <w:t xml:space="preserve">مسألة </w:t>
      </w:r>
      <w:r>
        <w:rPr/>
        <w:t>4</w:t>
      </w:r>
      <w:r>
        <w:rPr>
          <w:rtl w:val="true"/>
        </w:rPr>
        <w:t xml:space="preserve">): </w:t>
      </w:r>
      <w:r>
        <w:rPr>
          <w:rtl w:val="true"/>
        </w:rPr>
        <w:t>یعتبر فی الشرکة العقدیّة کلّ ما اعتبر فی العقود المالیّة</w:t>
      </w:r>
      <w:r>
        <w:rPr>
          <w:rtl w:val="true"/>
        </w:rPr>
        <w:t>]</w:t>
      </w:r>
      <w:bookmarkEnd w:id="4683"/>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الشرکة العقدیّة کلّ ما اعتبر فی العقود المالیّة؛ من البلوغ و العقل و القصد و الاختیار و عدم الحجر لفلس أو سفه</w:t>
      </w:r>
      <w:r>
        <w:rPr>
          <w:rFonts w:eastAsia="IRNazanin" w:cs="IRNazanin"/>
          <w:color w:val="111111"/>
          <w:sz w:val="28"/>
          <w:szCs w:val="28"/>
          <w:rtl w:val="true"/>
          <w:lang w:bidi="fa-IR"/>
        </w:rPr>
        <w:t>.</w:t>
      </w:r>
      <w:bookmarkStart w:id="4684" w:name="pg1809_19467"/>
    </w:p>
    <w:p>
      <w:pPr>
        <w:pStyle w:val="Heading4"/>
        <w:numPr>
          <w:ilvl w:val="3"/>
          <w:numId w:val="1"/>
        </w:numPr>
        <w:rPr/>
      </w:pPr>
      <w:bookmarkStart w:id="4685" w:name="__RefHeading___Toc2569236_3650668749"/>
      <w:bookmarkStart w:id="4686" w:name="_Toc2127"/>
      <w:bookmarkEnd w:id="4684"/>
      <w:bookmarkEnd w:id="4685"/>
      <w:r>
        <w:rPr>
          <w:rtl w:val="true"/>
        </w:rPr>
        <w:t>[ (</w:t>
      </w:r>
      <w:r>
        <w:rPr>
          <w:rtl w:val="true"/>
        </w:rPr>
        <w:t xml:space="preserve">مسألة </w:t>
      </w:r>
      <w:r>
        <w:rPr/>
        <w:t>5</w:t>
      </w:r>
      <w:r>
        <w:rPr>
          <w:rtl w:val="true"/>
        </w:rPr>
        <w:t xml:space="preserve">): </w:t>
      </w:r>
      <w:r>
        <w:rPr>
          <w:rtl w:val="true"/>
        </w:rPr>
        <w:t>لا تصحّ الشرکة العقدیّة إلّا فی الأموال</w:t>
      </w:r>
      <w:r>
        <w:rPr>
          <w:rtl w:val="true"/>
        </w:rPr>
        <w:t>]</w:t>
      </w:r>
      <w:bookmarkEnd w:id="46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الشرکة العقدیّة إلّا فی الأموال؛ نقوداً کانت أو عروضاً و تسمّیٰ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العنان، و لا تصحّ فی الأعمال و هی المسمّاة بشرکة الأبدان؛ بأن یوقع العقد اثنان علیٰ أن یکون اجرة عمل کلّ منهما مشترکاً بینهما؛ سواء اتّفقا فی العمل کالخیّاطین أو اختلفا کالخیّاط مع النسّاج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معاقدة شخصین علیٰ أنّ کلّ ما یحصل کلّ منهما بالحیازة من الحطب أو الحشیش مثلًا یکون مشترکاً بینهما، فلا تتحقّق الشرکة بذلک، بل یختصّ کلّ منهما بأُجرته و بما حازه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صالح أحدهما الآخر بنصف منفعته إلیٰ مدّة کذا کسنة أو سنتین بنصف منفعة الآخر إلیٰ تلک المدّة و قبل الآخر صحّ، و اشترک کلّ منهما فیما یحصّله الآخر فی تلک المدّة بالأُجرة أو الحیازة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صالح أحدهما الآخر عن نصف منفعته إلیٰ مدّة بعوض معیّن کدینار مثلًا و صالحه الآخر أیضاً نصف منفعته فی تلک المدّة بذلک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تصحّ أیضاً شرکة الوجوه؛ و هی أن یوقع </w:t>
      </w:r>
      <w:r>
        <w:rPr>
          <w:rStyle w:val="FootnoteAnchor"/>
          <w:rtl w:val="true"/>
        </w:rPr>
        <w:footnoteReference w:id="1309"/>
      </w:r>
      <w:r>
        <w:rPr>
          <w:rFonts w:ascii="IRNazanin" w:hAnsi="IRNazanin" w:eastAsia="IRNazanin"/>
          <w:color w:val="111111"/>
          <w:sz w:val="28"/>
          <w:sz w:val="28"/>
          <w:szCs w:val="28"/>
          <w:rtl w:val="true"/>
          <w:lang w:bidi="fa-IR"/>
        </w:rPr>
        <w:t>العقد اثنان وجیهان عند الناس لا مال لهما علیٰ أن یبتاع کلّ منهما فی ذمّته إلیٰ أجل و یکون ما یبتاعه کلّ منهما بینهما فیبیعانه و یؤدّیان الثمن، و یکون ما حصل من الربح بینهما، و لو أرادا حصول هذه النتیجة بوجه مشروع وکّل کلّ منهما الآخر فی أن یشارکه فیما اشتراه بأن یشتری لهما و فی ذمّتهما، فإذا اشتریٰ شیئاً کذلک یکون لهما فیکون الربح و الخسران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تصحّ أیضاً شرکة المفاوضة؛ و هی أن یعقد اثنان علیٰ أن یکون کلّ ما یحصل لکلّ منهما من ربح تجارة أو فائدة زراعة أو اکتساب أو إرث أو وصیّة أو غیر ذلک شارکه فیه الآخر، و کذا کلّ غرامة و خسارة ترد علیٰ أحدهما تکون علیهما، فانحصرت الشرکة العقدیّة الصحیحة بالشرکة فی الأموال المسمّاة بشرکة العنان</w:t>
      </w:r>
      <w:r>
        <w:rPr>
          <w:rFonts w:eastAsia="IRNazanin" w:cs="IRNazanin"/>
          <w:color w:val="111111"/>
          <w:sz w:val="28"/>
          <w:szCs w:val="28"/>
          <w:rtl w:val="true"/>
          <w:lang w:bidi="fa-IR"/>
        </w:rPr>
        <w:t>.</w:t>
      </w:r>
    </w:p>
    <w:p>
      <w:pPr>
        <w:pStyle w:val="Heading4"/>
        <w:numPr>
          <w:ilvl w:val="3"/>
          <w:numId w:val="1"/>
        </w:numPr>
        <w:rPr/>
      </w:pPr>
      <w:bookmarkStart w:id="4687" w:name="__RefHeading___Toc2569238_3650668749"/>
      <w:bookmarkStart w:id="4688" w:name="_Toc2128"/>
      <w:bookmarkEnd w:id="4687"/>
      <w:r>
        <w:rPr>
          <w:rtl w:val="true"/>
        </w:rPr>
        <w:t>[ (</w:t>
      </w:r>
      <w:r>
        <w:rPr>
          <w:rtl w:val="true"/>
        </w:rPr>
        <w:t xml:space="preserve">مسألة </w:t>
      </w:r>
      <w:r>
        <w:rPr/>
        <w:t>6</w:t>
      </w:r>
      <w:r>
        <w:rPr>
          <w:rtl w:val="true"/>
        </w:rPr>
        <w:t xml:space="preserve">): </w:t>
      </w:r>
      <w:r>
        <w:rPr>
          <w:rtl w:val="true"/>
        </w:rPr>
        <w:t>لو آجر اثنان نفسهما بعقد واحد لعمل واحد بأُجرة معیّنة، کانت الأُجرة مشترکة بینهما</w:t>
      </w:r>
      <w:r>
        <w:rPr>
          <w:rtl w:val="true"/>
        </w:rPr>
        <w:t>]</w:t>
      </w:r>
      <w:bookmarkEnd w:id="4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اثنان نفسهما بعقد واحد لعمل واحد بأُجرة معیّنة، کانت الأُجرة مشترکة بینهما، و کذا لو حاز اثنان معاً مباحاً، کما لو اقتلعا معاً شجرة أو اغترفا ماء دفعة بآنیة واحدة، کان ما حازاه مشترکاً بینهما و لیس ذلک من شرکة الأبدان حتّی تکون باطلة و یقسّم الأُجرة و ما حازاه بنسبة عملهما، و لو لم تعلم النسبة فالأحوط التصالح</w:t>
      </w:r>
      <w:r>
        <w:rPr>
          <w:rFonts w:eastAsia="IRNazanin" w:cs="IRNazanin"/>
          <w:color w:val="111111"/>
          <w:sz w:val="28"/>
          <w:szCs w:val="28"/>
          <w:rtl w:val="true"/>
          <w:lang w:bidi="fa-IR"/>
        </w:rPr>
        <w:t>.</w:t>
      </w:r>
    </w:p>
    <w:p>
      <w:pPr>
        <w:pStyle w:val="Heading4"/>
        <w:numPr>
          <w:ilvl w:val="3"/>
          <w:numId w:val="1"/>
        </w:numPr>
        <w:rPr/>
      </w:pPr>
      <w:bookmarkStart w:id="4689" w:name="__RefHeading___Toc2569240_3650668749"/>
      <w:bookmarkStart w:id="4690" w:name="_Toc2129"/>
      <w:bookmarkEnd w:id="4689"/>
      <w:r>
        <w:rPr>
          <w:rtl w:val="true"/>
        </w:rPr>
        <w:t>[ (</w:t>
      </w:r>
      <w:r>
        <w:rPr>
          <w:rtl w:val="true"/>
        </w:rPr>
        <w:t xml:space="preserve">مسألة </w:t>
      </w:r>
      <w:r>
        <w:rPr/>
        <w:t>7</w:t>
      </w:r>
      <w:r>
        <w:rPr>
          <w:rtl w:val="true"/>
        </w:rPr>
        <w:t xml:space="preserve">): </w:t>
      </w:r>
      <w:r>
        <w:rPr>
          <w:rtl w:val="true"/>
        </w:rPr>
        <w:t>حیث إنّ الشرکة العنانیّة هی العقد علی المعاملة و التکسّب بالمال</w:t>
      </w:r>
      <w:r>
        <w:rPr>
          <w:rtl w:val="true"/>
        </w:rPr>
        <w:t>]</w:t>
      </w:r>
      <w:bookmarkEnd w:id="469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الشرکة العنانیّة هی العقد علی المعاملة و التکسّب بالمال</w:t>
      </w:r>
      <w:bookmarkStart w:id="4691" w:name="pg1809_19468"/>
    </w:p>
    <w:p>
      <w:pPr>
        <w:pStyle w:val="BookText"/>
        <w:rPr/>
      </w:pPr>
      <w:bookmarkEnd w:id="4691"/>
      <w:r>
        <w:rPr>
          <w:rFonts w:ascii="IRNazanin" w:hAnsi="IRNazanin" w:eastAsia="IRNazanin"/>
          <w:color w:val="111111"/>
          <w:sz w:val="28"/>
          <w:sz w:val="28"/>
          <w:szCs w:val="28"/>
          <w:rtl w:val="true"/>
          <w:lang w:bidi="fa-IR"/>
        </w:rPr>
        <w:t xml:space="preserve">المشترک، فلا بدّ من أن یکون رأس المال مشترکاً بأحد </w:t>
      </w:r>
      <w:r>
        <w:rPr>
          <w:rStyle w:val="FootnoteAnchor"/>
          <w:rtl w:val="true"/>
        </w:rPr>
        <w:footnoteReference w:id="1310"/>
      </w:r>
      <w:r>
        <w:rPr>
          <w:rFonts w:ascii="IRNazanin" w:hAnsi="IRNazanin" w:eastAsia="IRNazanin"/>
          <w:color w:val="111111"/>
          <w:sz w:val="28"/>
          <w:sz w:val="28"/>
          <w:szCs w:val="28"/>
          <w:rtl w:val="true"/>
          <w:lang w:bidi="fa-IR"/>
        </w:rPr>
        <w:t xml:space="preserve">أسباب الشرکة، فإن کان مشترکاً قبل إیقاع عقدها کالمال الموروث قبل القسمة فهو، و إلّا بأن کان المالان ممتازین، فإن کانا ممّا تحصل الشرکة بمزجهما کالمائعات و الأدقّة بل و الحبوبات و الدراهم و الدنانیر علیٰ ما مرّ </w:t>
      </w:r>
      <w:r>
        <w:rPr>
          <w:rStyle w:val="FootnoteAnchor"/>
          <w:rtl w:val="true"/>
        </w:rPr>
        <w:footnoteReference w:id="1311"/>
      </w:r>
      <w:r>
        <w:rPr>
          <w:rFonts w:ascii="IRNazanin" w:hAnsi="IRNazanin" w:eastAsia="IRNazanin"/>
          <w:color w:val="111111"/>
          <w:sz w:val="28"/>
          <w:sz w:val="28"/>
          <w:szCs w:val="28"/>
          <w:rtl w:val="true"/>
          <w:lang w:bidi="fa-IR"/>
        </w:rPr>
        <w:t>مزجاهما قبل العقد أو بعده لیتحقّق الاشتراک فی رأس المال، و إن کانا من غیره؛ بأن کان عند أحدهما جنس و عند الآخر جنس آخر فلا بدّ من إیجاد أحد أسباب الشرکة غیر المزج لیصیر رأس المال مشترکاً، کأن یبیع أو یصالح کلّ منهما نصف ماله بنصف مال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اشتهر من أنّ فی الشرکة العقدیّة لا بدّ من خلط المالین قبل العقد أو بعده مبنیّ علیٰ ما هو الغالب من کون رأس المال من الدراهم أو الدنانیر و کان لکلّ منهما مقدار ممتاز عمّا للآخر، و حیث إنّ الخلط و المزج فیها أسهل أسباب الشرکة ذکروا أنّه لا بدّ من امتزاج الدراهم بالدراهم و الدنانیر بالدنانیر حتّی یحصل الاشتراک فی رأس المال، لا أنّه یعتبر ذلک، حتّی أنّه لو فرض کون الدراهم أو الدنانیر مشترکة بین اثنین بسبب آخر غیر المزج کالإرث، أو کان المالان ممّا لا یوجب خلطهما الاشتراک، لم تقع الشرکة العقدیّة</w:t>
      </w:r>
      <w:r>
        <w:rPr>
          <w:rFonts w:eastAsia="IRNazanin" w:cs="IRNazanin"/>
          <w:color w:val="111111"/>
          <w:sz w:val="28"/>
          <w:szCs w:val="28"/>
          <w:rtl w:val="true"/>
          <w:lang w:bidi="fa-IR"/>
        </w:rPr>
        <w:t>.</w:t>
      </w:r>
    </w:p>
    <w:p>
      <w:pPr>
        <w:pStyle w:val="Heading4"/>
        <w:numPr>
          <w:ilvl w:val="3"/>
          <w:numId w:val="1"/>
        </w:numPr>
        <w:rPr/>
      </w:pPr>
      <w:bookmarkStart w:id="4692" w:name="__RefHeading___Toc2569242_3650668749"/>
      <w:bookmarkStart w:id="4693" w:name="_Toc2130"/>
      <w:bookmarkEnd w:id="4692"/>
      <w:r>
        <w:rPr>
          <w:rtl w:val="true"/>
        </w:rPr>
        <w:t>[ (</w:t>
      </w:r>
      <w:r>
        <w:rPr>
          <w:rtl w:val="true"/>
        </w:rPr>
        <w:t xml:space="preserve">مسألة </w:t>
      </w:r>
      <w:r>
        <w:rPr/>
        <w:t>8</w:t>
      </w:r>
      <w:r>
        <w:rPr>
          <w:rtl w:val="true"/>
        </w:rPr>
        <w:t xml:space="preserve">): </w:t>
      </w:r>
      <w:r>
        <w:rPr>
          <w:rtl w:val="true"/>
        </w:rPr>
        <w:t>إطلاق عقد الشرکة یقتضی جواز تصرّف کلّ منهما بالتکسّب برأس المال</w:t>
      </w:r>
      <w:r>
        <w:rPr>
          <w:rtl w:val="true"/>
        </w:rPr>
        <w:t>]</w:t>
      </w:r>
      <w:bookmarkEnd w:id="469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عقد الشرکة یقتضی </w:t>
      </w:r>
      <w:r>
        <w:rPr>
          <w:rStyle w:val="FootnoteAnchor"/>
          <w:rtl w:val="true"/>
        </w:rPr>
        <w:footnoteReference w:id="1312"/>
      </w:r>
      <w:r>
        <w:rPr>
          <w:rFonts w:ascii="IRNazanin" w:hAnsi="IRNazanin" w:eastAsia="IRNazanin"/>
          <w:color w:val="111111"/>
          <w:sz w:val="28"/>
          <w:sz w:val="28"/>
          <w:szCs w:val="28"/>
          <w:rtl w:val="true"/>
          <w:lang w:bidi="fa-IR"/>
        </w:rPr>
        <w:t>جواز تصرّف کلّ منهما بالتکسّب برأس المال، و إذا اشترطا کون العمل من أحدهما أو من کلیهما مع انضمامهما فهو المتّبع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حیث العامل، و أمّا من حیث العمل و التکسّب فمع الإطلاق یجوز مطلقه ممّا یریان فیه</w:t>
      </w:r>
      <w:bookmarkStart w:id="4694" w:name="pg1809_19469"/>
    </w:p>
    <w:p>
      <w:pPr>
        <w:pStyle w:val="BookText"/>
        <w:rPr/>
      </w:pPr>
      <w:bookmarkEnd w:id="4694"/>
      <w:r>
        <w:rPr>
          <w:rFonts w:ascii="IRNazanin" w:hAnsi="IRNazanin" w:eastAsia="IRNazanin"/>
          <w:color w:val="111111"/>
          <w:sz w:val="28"/>
          <w:sz w:val="28"/>
          <w:szCs w:val="28"/>
          <w:rtl w:val="true"/>
          <w:lang w:bidi="fa-IR"/>
        </w:rPr>
        <w:t>المصلحة کالعامل فی المضاربة، و لو عیّنا جهة خاصّة کبیع و شراء الأغنام أو الطعام أو البزازة أو غیر ذلک اقتصر علیٰ ذلک و لا یتعدّیٰ إلیٰ غیره</w:t>
      </w:r>
      <w:r>
        <w:rPr>
          <w:rFonts w:eastAsia="IRNazanin" w:cs="IRNazanin"/>
          <w:color w:val="111111"/>
          <w:sz w:val="28"/>
          <w:szCs w:val="28"/>
          <w:rtl w:val="true"/>
          <w:lang w:bidi="fa-IR"/>
        </w:rPr>
        <w:t>.</w:t>
      </w:r>
    </w:p>
    <w:p>
      <w:pPr>
        <w:pStyle w:val="Heading4"/>
        <w:numPr>
          <w:ilvl w:val="3"/>
          <w:numId w:val="1"/>
        </w:numPr>
        <w:rPr/>
      </w:pPr>
      <w:bookmarkStart w:id="4695" w:name="__RefHeading___Toc2569244_3650668749"/>
      <w:bookmarkStart w:id="4696" w:name="_Toc2131"/>
      <w:bookmarkEnd w:id="4695"/>
      <w:r>
        <w:rPr>
          <w:rtl w:val="true"/>
        </w:rPr>
        <w:t>[ (</w:t>
      </w:r>
      <w:r>
        <w:rPr>
          <w:rtl w:val="true"/>
        </w:rPr>
        <w:t xml:space="preserve">مسألة </w:t>
      </w:r>
      <w:r>
        <w:rPr/>
        <w:t>9</w:t>
      </w:r>
      <w:r>
        <w:rPr>
          <w:rtl w:val="true"/>
        </w:rPr>
        <w:t xml:space="preserve">): </w:t>
      </w:r>
      <w:r>
        <w:rPr>
          <w:rtl w:val="true"/>
        </w:rPr>
        <w:t>حیث إنّ کلّ واحد من الشریکین کالوکیل و العامل عن الآخر</w:t>
      </w:r>
      <w:r>
        <w:rPr>
          <w:rtl w:val="true"/>
        </w:rPr>
        <w:t>]</w:t>
      </w:r>
      <w:bookmarkEnd w:id="4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کلّ واحد من الشریکین کالوکیل و العامل عن الآخر، فإذا عقدا علی الشرکة فی مطلق التکسّب أو تکسّب خاصّ یقتصر علی المتعارف، فلا یجوز البیع بالنسیئة </w:t>
      </w:r>
      <w:r>
        <w:rPr>
          <w:rStyle w:val="FootnoteAnchor"/>
          <w:rtl w:val="true"/>
        </w:rPr>
        <w:footnoteReference w:id="1313"/>
      </w:r>
      <w:r>
        <w:rPr>
          <w:rFonts w:ascii="IRNazanin" w:hAnsi="IRNazanin" w:eastAsia="IRNazanin"/>
          <w:color w:val="111111"/>
          <w:sz w:val="28"/>
          <w:sz w:val="28"/>
          <w:szCs w:val="28"/>
          <w:rtl w:val="true"/>
          <w:lang w:bidi="fa-IR"/>
        </w:rPr>
        <w:t>و لا السفر بالمال إلّا مع الإذن الخاصّ؛ و إن جاز له کلّ ما تعارف من حیث الجنس المشتریٰ و البائع و المشتری 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عیّنا شیئاً من ذلک لم یجز لهما المخالفة عنه إلّا بإذن من الشریک، و إن تعدّیٰ أحدهما عمّا عیّنا أو عن المتعارف ضمن الخسارة و التلف</w:t>
      </w:r>
      <w:r>
        <w:rPr>
          <w:rFonts w:eastAsia="IRNazanin" w:cs="IRNazanin"/>
          <w:color w:val="111111"/>
          <w:sz w:val="28"/>
          <w:szCs w:val="28"/>
          <w:rtl w:val="true"/>
          <w:lang w:bidi="fa-IR"/>
        </w:rPr>
        <w:t>.</w:t>
      </w:r>
    </w:p>
    <w:p>
      <w:pPr>
        <w:pStyle w:val="Heading4"/>
        <w:numPr>
          <w:ilvl w:val="3"/>
          <w:numId w:val="1"/>
        </w:numPr>
        <w:rPr/>
      </w:pPr>
      <w:bookmarkStart w:id="4697" w:name="__RefHeading___Toc2569246_3650668749"/>
      <w:bookmarkStart w:id="4698" w:name="_Toc2132"/>
      <w:bookmarkEnd w:id="4697"/>
      <w:r>
        <w:rPr>
          <w:rtl w:val="true"/>
        </w:rPr>
        <w:t>[ (</w:t>
      </w:r>
      <w:r>
        <w:rPr>
          <w:rtl w:val="true"/>
        </w:rPr>
        <w:t xml:space="preserve">مسألة </w:t>
      </w:r>
      <w:r>
        <w:rPr/>
        <w:t>10</w:t>
      </w:r>
      <w:r>
        <w:rPr>
          <w:rtl w:val="true"/>
        </w:rPr>
        <w:t xml:space="preserve">): </w:t>
      </w:r>
      <w:r>
        <w:rPr>
          <w:rtl w:val="true"/>
        </w:rPr>
        <w:t>إطلاق الشرکة یقتضی بسط الربح و الخسران علی الشریکین علیٰ نسبة مالهما</w:t>
      </w:r>
      <w:r>
        <w:rPr>
          <w:rtl w:val="true"/>
        </w:rPr>
        <w:t>]</w:t>
      </w:r>
      <w:bookmarkEnd w:id="46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الشرکة یقتضی بسط الربح و الخسران علی الشریکین علیٰ نسبة مالهما، فإذا تساوی مالهما تساویا فی الربح و الخسران و مع التفاوت یتفاضلان فیهما علیٰ حسب تفاوت مالیهما، من غیر فرق بین ما کان العمل من أحدهما أو منهما مع التساوی فیه أو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شرطا التفاوت فی الربح مع التساوی فی المال، أو تساویهما فیه مع التفاوت فیه، فإن جعلت الزیادة للعامل منهما أو لمن کان عمله أزید صحّ بلا إشکال، و إن جعلت لغیر العامل أو لمن لم یکن عمله أزید ففی صحّة العقد و الشرط معاً، أو بطلانهما، أو صحّة العقد دون الشرط، أقوال؛ أقواها أوّلها</w:t>
      </w:r>
      <w:r>
        <w:rPr>
          <w:rFonts w:eastAsia="IRNazanin" w:cs="IRNazanin"/>
          <w:color w:val="111111"/>
          <w:sz w:val="28"/>
          <w:szCs w:val="28"/>
          <w:rtl w:val="true"/>
          <w:lang w:bidi="fa-IR"/>
        </w:rPr>
        <w:t>.</w:t>
      </w:r>
    </w:p>
    <w:p>
      <w:pPr>
        <w:pStyle w:val="Heading4"/>
        <w:numPr>
          <w:ilvl w:val="3"/>
          <w:numId w:val="1"/>
        </w:numPr>
        <w:rPr/>
      </w:pPr>
      <w:bookmarkStart w:id="4699" w:name="__RefHeading___Toc2569248_3650668749"/>
      <w:bookmarkStart w:id="4700" w:name="_Toc2133"/>
      <w:bookmarkEnd w:id="4699"/>
      <w:r>
        <w:rPr>
          <w:rtl w:val="true"/>
        </w:rPr>
        <w:t>[ (</w:t>
      </w:r>
      <w:r>
        <w:rPr>
          <w:rtl w:val="true"/>
        </w:rPr>
        <w:t xml:space="preserve">مسألة </w:t>
      </w:r>
      <w:r>
        <w:rPr/>
        <w:t>11</w:t>
      </w:r>
      <w:r>
        <w:rPr>
          <w:rtl w:val="true"/>
        </w:rPr>
        <w:t xml:space="preserve">): </w:t>
      </w:r>
      <w:r>
        <w:rPr>
          <w:rtl w:val="true"/>
        </w:rPr>
        <w:t>العامل من الشریکین أمین، فلا یضمن التلف إذا لم یکن تعدٍّ منه و لا تفریط</w:t>
      </w:r>
      <w:r>
        <w:rPr>
          <w:rtl w:val="true"/>
        </w:rPr>
        <w:t>]</w:t>
      </w:r>
      <w:bookmarkEnd w:id="47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من الشریکین أمین، فلا یضمن التلف إذا لم یکن تعدٍّ منه و لا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ادّعی التلف قبل قوله مع الیمین، و کذا إذا ادّعی الشریک علیه التعدّی أو التفریط و قد أنکر</w:t>
      </w:r>
      <w:r>
        <w:rPr>
          <w:rFonts w:eastAsia="IRNazanin" w:cs="IRNazanin"/>
          <w:color w:val="111111"/>
          <w:sz w:val="28"/>
          <w:szCs w:val="28"/>
          <w:rtl w:val="true"/>
          <w:lang w:bidi="fa-IR"/>
        </w:rPr>
        <w:t>.</w:t>
      </w:r>
    </w:p>
    <w:p>
      <w:pPr>
        <w:pStyle w:val="Heading4"/>
        <w:numPr>
          <w:ilvl w:val="3"/>
          <w:numId w:val="1"/>
        </w:numPr>
        <w:rPr/>
      </w:pPr>
      <w:bookmarkStart w:id="4701" w:name="__RefHeading___Toc2569250_3650668749"/>
      <w:bookmarkStart w:id="4702" w:name="_Toc2134"/>
      <w:bookmarkEnd w:id="4701"/>
      <w:r>
        <w:rPr>
          <w:rtl w:val="true"/>
        </w:rPr>
        <w:t>[ (</w:t>
      </w:r>
      <w:r>
        <w:rPr>
          <w:rtl w:val="true"/>
        </w:rPr>
        <w:t xml:space="preserve">مسألة </w:t>
      </w:r>
      <w:r>
        <w:rPr/>
        <w:t>12</w:t>
      </w:r>
      <w:r>
        <w:rPr>
          <w:rtl w:val="true"/>
        </w:rPr>
        <w:t xml:space="preserve">): </w:t>
      </w:r>
      <w:r>
        <w:rPr>
          <w:rtl w:val="true"/>
        </w:rPr>
        <w:t>عقد الشرکة جائز من الطرفین</w:t>
      </w:r>
      <w:r>
        <w:rPr>
          <w:rtl w:val="true"/>
        </w:rPr>
        <w:t>]</w:t>
      </w:r>
      <w:bookmarkEnd w:id="470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الشرکة جائز من الطرفین، فیجوز لکلّ منهما فسخه، فینفسخ لکن لا یبطل </w:t>
      </w:r>
      <w:r>
        <w:rPr>
          <w:rStyle w:val="FootnoteAnchor"/>
          <w:rtl w:val="true"/>
        </w:rPr>
        <w:footnoteReference w:id="1314"/>
      </w:r>
      <w:r>
        <w:rPr>
          <w:rFonts w:ascii="IRNazanin" w:hAnsi="IRNazanin" w:eastAsia="IRNazanin"/>
          <w:color w:val="111111"/>
          <w:sz w:val="28"/>
          <w:sz w:val="28"/>
          <w:szCs w:val="28"/>
          <w:rtl w:val="true"/>
          <w:lang w:bidi="fa-IR"/>
        </w:rPr>
        <w:t>بذلک أصل الشرکة، و کذا ینفسخ بعروض الموت و الجنون و الإغماء و الحجر</w:t>
      </w:r>
      <w:bookmarkStart w:id="4703" w:name="pg1809_19470"/>
    </w:p>
    <w:p>
      <w:pPr>
        <w:pStyle w:val="BookText"/>
        <w:rPr/>
      </w:pPr>
      <w:bookmarkEnd w:id="4703"/>
      <w:r>
        <w:rPr>
          <w:rFonts w:ascii="IRNazanin" w:hAnsi="IRNazanin" w:eastAsia="IRNazanin"/>
          <w:color w:val="111111"/>
          <w:sz w:val="28"/>
          <w:sz w:val="28"/>
          <w:szCs w:val="28"/>
          <w:rtl w:val="true"/>
          <w:lang w:bidi="fa-IR"/>
        </w:rPr>
        <w:t>بالفلس أو السفه، و تبقیٰ أیضاً أصل الشرکة</w:t>
      </w:r>
      <w:r>
        <w:rPr>
          <w:rFonts w:eastAsia="IRNazanin" w:cs="IRNazanin"/>
          <w:color w:val="111111"/>
          <w:sz w:val="28"/>
          <w:szCs w:val="28"/>
          <w:rtl w:val="true"/>
          <w:lang w:bidi="fa-IR"/>
        </w:rPr>
        <w:t>.</w:t>
      </w:r>
    </w:p>
    <w:p>
      <w:pPr>
        <w:pStyle w:val="Heading4"/>
        <w:numPr>
          <w:ilvl w:val="3"/>
          <w:numId w:val="1"/>
        </w:numPr>
        <w:rPr/>
      </w:pPr>
      <w:bookmarkStart w:id="4704" w:name="__RefHeading___Toc2569252_3650668749"/>
      <w:bookmarkStart w:id="4705" w:name="_Toc2135"/>
      <w:bookmarkEnd w:id="4704"/>
      <w:r>
        <w:rPr>
          <w:rtl w:val="true"/>
        </w:rPr>
        <w:t>[ (</w:t>
      </w:r>
      <w:r>
        <w:rPr>
          <w:rtl w:val="true"/>
        </w:rPr>
        <w:t xml:space="preserve">مسألة </w:t>
      </w:r>
      <w:r>
        <w:rPr/>
        <w:t>13</w:t>
      </w:r>
      <w:r>
        <w:rPr>
          <w:rtl w:val="true"/>
        </w:rPr>
        <w:t xml:space="preserve">): </w:t>
      </w:r>
      <w:r>
        <w:rPr>
          <w:rtl w:val="true"/>
        </w:rPr>
        <w:t>لو جعلا للشرکة أجلًا لم یلزم، فیجوز لکلّ منهما الرجوع قبل انقضائه</w:t>
      </w:r>
      <w:r>
        <w:rPr>
          <w:rtl w:val="true"/>
        </w:rPr>
        <w:t>]</w:t>
      </w:r>
      <w:bookmarkEnd w:id="47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جعلا للشرکة أجلًا لم یلزم، فیجوز لکلّ منهما الرجوع قبل انقضائه، إلّا إذا اشترطاه فی ضمن عقد لازم فیلزم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6" w:name="__RefHeading___Toc2569254_3650668749"/>
      <w:bookmarkStart w:id="4707" w:name="_Toc2136"/>
      <w:bookmarkEnd w:id="4706"/>
      <w:r>
        <w:rPr>
          <w:rtl w:val="true"/>
        </w:rPr>
        <w:t>[ (</w:t>
      </w:r>
      <w:r>
        <w:rPr>
          <w:rtl w:val="true"/>
        </w:rPr>
        <w:t xml:space="preserve">مسألة </w:t>
      </w:r>
      <w:r>
        <w:rPr/>
        <w:t>14</w:t>
      </w:r>
      <w:r>
        <w:rPr>
          <w:rtl w:val="true"/>
        </w:rPr>
        <w:t xml:space="preserve">): </w:t>
      </w:r>
      <w:r>
        <w:rPr>
          <w:rtl w:val="true"/>
        </w:rPr>
        <w:t>إذا تبیّن بطلان عقد الشرکة کانت المعاملات الواقعة قبله محکومة بالصحّة</w:t>
      </w:r>
      <w:r>
        <w:rPr>
          <w:rtl w:val="true"/>
        </w:rPr>
        <w:t>]</w:t>
      </w:r>
      <w:bookmarkEnd w:id="47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تبیّن بطلان عقد الشرکة کانت المعاملات الواقعة قبله محکومة بالصحّة </w:t>
      </w:r>
      <w:r>
        <w:rPr>
          <w:rStyle w:val="FootnoteAnchor"/>
          <w:rtl w:val="true"/>
        </w:rPr>
        <w:footnoteReference w:id="1316"/>
      </w:r>
      <w:r>
        <w:rPr>
          <w:rFonts w:ascii="IRNazanin" w:hAnsi="IRNazanin" w:eastAsia="IRNazanin"/>
          <w:color w:val="111111"/>
          <w:sz w:val="28"/>
          <w:sz w:val="28"/>
          <w:szCs w:val="28"/>
          <w:rtl w:val="true"/>
          <w:lang w:bidi="fa-IR"/>
        </w:rPr>
        <w:t>، و لهما الربح و علیهما الخسران علیٰ نسبة المالین، و لکلّ منهما اجرة مثل عمله بالنسبة إلیٰ حصّة الآخر</w:t>
      </w:r>
      <w:r>
        <w:rPr>
          <w:rFonts w:eastAsia="IRNazanin" w:cs="IRNazanin"/>
          <w:color w:val="111111"/>
          <w:sz w:val="28"/>
          <w:szCs w:val="28"/>
          <w:rtl w:val="true"/>
          <w:lang w:bidi="fa-IR"/>
        </w:rPr>
        <w:t>.</w:t>
      </w:r>
    </w:p>
    <w:p>
      <w:pPr>
        <w:pStyle w:val="Heading3"/>
        <w:numPr>
          <w:ilvl w:val="2"/>
          <w:numId w:val="1"/>
        </w:numPr>
        <w:rPr/>
      </w:pPr>
      <w:bookmarkStart w:id="4708" w:name="__RefHeading___Toc2569256_3650668749"/>
      <w:bookmarkStart w:id="4709" w:name="_Toc2137"/>
      <w:bookmarkEnd w:id="4708"/>
      <w:r>
        <w:rPr>
          <w:rtl w:val="true"/>
        </w:rPr>
        <w:t>[</w:t>
      </w:r>
      <w:r>
        <w:rPr>
          <w:rtl w:val="true"/>
        </w:rPr>
        <w:t>القول فی القسمة</w:t>
      </w:r>
      <w:r>
        <w:rPr>
          <w:rtl w:val="true"/>
        </w:rPr>
        <w:t>]</w:t>
      </w:r>
      <w:bookmarkEnd w:id="4709"/>
    </w:p>
    <w:p>
      <w:pPr>
        <w:pStyle w:val="Heading4"/>
        <w:numPr>
          <w:ilvl w:val="3"/>
          <w:numId w:val="1"/>
        </w:numPr>
        <w:rPr/>
      </w:pPr>
      <w:bookmarkStart w:id="4710" w:name="__RefHeading___Toc2569258_3650668749"/>
      <w:bookmarkStart w:id="4711" w:name="_Toc2138"/>
      <w:bookmarkEnd w:id="4710"/>
      <w:r>
        <w:rPr>
          <w:rtl w:val="true"/>
        </w:rPr>
        <w:t>اشارة</w:t>
      </w:r>
      <w:bookmarkEnd w:id="4711"/>
    </w:p>
    <w:p>
      <w:pPr>
        <w:pStyle w:val="BookText"/>
        <w:rPr/>
      </w:pPr>
      <w:r>
        <w:rPr>
          <w:rFonts w:ascii="IRNazanin" w:hAnsi="IRNazanin" w:eastAsia="IRNazanin"/>
          <w:color w:val="111111"/>
          <w:sz w:val="28"/>
          <w:sz w:val="28"/>
          <w:szCs w:val="28"/>
          <w:rtl w:val="true"/>
          <w:lang w:bidi="fa-IR"/>
        </w:rPr>
        <w:t xml:space="preserve">القول فی القسمة و هی تمیّز </w:t>
      </w:r>
      <w:r>
        <w:rPr>
          <w:rStyle w:val="FootnoteAnchor"/>
          <w:rtl w:val="true"/>
        </w:rPr>
        <w:footnoteReference w:id="1317"/>
      </w:r>
      <w:r>
        <w:rPr>
          <w:rFonts w:ascii="IRNazanin" w:hAnsi="IRNazanin" w:eastAsia="IRNazanin"/>
          <w:color w:val="111111"/>
          <w:sz w:val="28"/>
          <w:sz w:val="28"/>
          <w:szCs w:val="28"/>
          <w:rtl w:val="true"/>
          <w:lang w:bidi="fa-IR"/>
        </w:rPr>
        <w:t>حصص الشرکاء بعضها عن بعض، و لیست ببیع و لا معاوضة فلا یجری فیها خیار المجلس و لا خیار الحیوان المختصّان بالبیع، و لا یدخل فیها الربا و إن عمّمناها لجمیع المعاوضات</w:t>
      </w:r>
      <w:r>
        <w:rPr>
          <w:rFonts w:eastAsia="IRNazanin" w:cs="IRNazanin"/>
          <w:color w:val="111111"/>
          <w:sz w:val="28"/>
          <w:szCs w:val="28"/>
          <w:rtl w:val="true"/>
          <w:lang w:bidi="fa-IR"/>
        </w:rPr>
        <w:t>.</w:t>
      </w:r>
    </w:p>
    <w:p>
      <w:pPr>
        <w:pStyle w:val="Heading4"/>
        <w:numPr>
          <w:ilvl w:val="3"/>
          <w:numId w:val="1"/>
        </w:numPr>
        <w:rPr/>
      </w:pPr>
      <w:bookmarkStart w:id="4712" w:name="__RefHeading___Toc2569260_3650668749"/>
      <w:bookmarkStart w:id="4713" w:name="_Toc2139"/>
      <w:bookmarkEnd w:id="4712"/>
      <w:r>
        <w:rPr>
          <w:rtl w:val="true"/>
        </w:rPr>
        <w:t>[ (</w:t>
      </w:r>
      <w:r>
        <w:rPr>
          <w:rtl w:val="true"/>
        </w:rPr>
        <w:t xml:space="preserve">مسألة </w:t>
      </w:r>
      <w:r>
        <w:rPr/>
        <w:t>1</w:t>
      </w:r>
      <w:r>
        <w:rPr>
          <w:rtl w:val="true"/>
        </w:rPr>
        <w:t xml:space="preserve">): </w:t>
      </w:r>
      <w:r>
        <w:rPr>
          <w:rtl w:val="true"/>
        </w:rPr>
        <w:t>لا بدّ فی القسمة من تعدیل السهام</w:t>
      </w:r>
      <w:r>
        <w:rPr>
          <w:rtl w:val="true"/>
        </w:rPr>
        <w:t>]</w:t>
      </w:r>
      <w:bookmarkEnd w:id="471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القسمة من تعدیل السهام، و هو إمّا بحسب الأجزاء و الکمّیّة کیلًا أو وزناً أو عدّاً أو مساحة، و تسمّیٰ قسمة إفراز، و هی جاریة فی المثلیّات کالحبوب و الأدهان و الخلول و الألبان، و فی بعض القیمیّات المتساویة الأجزاء کما فی الثوب الواحد الذی تساوت أجزاؤه کطاقة من کرباس و قطعة واحدة من أرض بسیطة تساوت أجزاؤها، و إمّا بحسب القیمة و المالیّة کما فی القیمیّات إذا تعدّدت کالعبید و الأغنام و العقار و الأشجار إذا ساویٰ بعضها مع بعض بحسب القیمة، کما إذا اشترک اثنان فی ثلاثة أغنام قد ساویٰ قیمة أحدها مع اثنین منها، فیجعل الواحد سهماً و الاثنان سهماً، و تسمّیٰ ذلک قسمة التعدیل، و إمّا بضمّ مقدار من المال مع بعض السهام لیعادل البعض الآخر، کما إذا کان بین اثنین عبدان قیمة أحدهما خمسة دنانیر و الآخر أربعة فإنّه إذا ضمّ إلی الثانی نصف دینار ساویٰ</w:t>
      </w:r>
      <w:bookmarkStart w:id="4714" w:name="pg1809_19471"/>
    </w:p>
    <w:p>
      <w:pPr>
        <w:pStyle w:val="BookText"/>
        <w:rPr/>
      </w:pPr>
      <w:bookmarkEnd w:id="4714"/>
      <w:r>
        <w:rPr>
          <w:rFonts w:ascii="Amiri" w:hAnsi="Amiri" w:eastAsia="Amiri" w:cs="Amiri"/>
          <w:color w:val="111111"/>
          <w:sz w:val="28"/>
          <w:sz w:val="28"/>
          <w:szCs w:val="28"/>
          <w:rtl w:val="true"/>
          <w:lang w:bidi="ar-SA"/>
        </w:rPr>
        <w:t>مع الأوّل و تسمّیٰ هذه قسمة الردّ</w:t>
      </w:r>
      <w:r>
        <w:rPr>
          <w:rFonts w:eastAsia="Amiri" w:cs="Amiri" w:ascii="Amiri" w:hAnsi="Amiri"/>
          <w:color w:val="111111"/>
          <w:sz w:val="28"/>
          <w:szCs w:val="28"/>
          <w:rtl w:val="true"/>
          <w:lang w:bidi="ar-SA"/>
        </w:rPr>
        <w:t>.</w:t>
      </w:r>
    </w:p>
    <w:p>
      <w:pPr>
        <w:pStyle w:val="Heading4"/>
        <w:numPr>
          <w:ilvl w:val="3"/>
          <w:numId w:val="1"/>
        </w:numPr>
        <w:rPr/>
      </w:pPr>
      <w:bookmarkStart w:id="4715" w:name="__RefHeading___Toc2569262_3650668749"/>
      <w:bookmarkStart w:id="4716" w:name="_Toc2140"/>
      <w:bookmarkEnd w:id="4715"/>
      <w:r>
        <w:rPr>
          <w:rtl w:val="true"/>
        </w:rPr>
        <w:t>[ (</w:t>
      </w:r>
      <w:r>
        <w:rPr>
          <w:rtl w:val="true"/>
        </w:rPr>
        <w:t xml:space="preserve">مسألة </w:t>
      </w:r>
      <w:r>
        <w:rPr/>
        <w:t>2</w:t>
      </w:r>
      <w:r>
        <w:rPr>
          <w:rtl w:val="true"/>
        </w:rPr>
        <w:t xml:space="preserve">): </w:t>
      </w:r>
      <w:r>
        <w:rPr>
          <w:rtl w:val="true"/>
        </w:rPr>
        <w:t>الأموال المشترکة قد لا یتأتّیٰ فیها إلّا قسمة الإفراز</w:t>
      </w:r>
      <w:r>
        <w:rPr>
          <w:rtl w:val="true"/>
        </w:rPr>
        <w:t>]</w:t>
      </w:r>
      <w:bookmarkEnd w:id="4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المشترکة قد لا یتأتّیٰ فیها إلّا قسمة الإفراز، و هو فیما إذا کان من جنس واحد من المثلیّات کما إذا اشترک اثنان أو أزید فی وزنة من حنطة، و قد لا یتأتّیٰ فیها إلّا قسمة التعدیل کما إذا اشترک اثنان فی ثلاثة عبید قد ساویٰ أحدهم مع اثنین منهم بحسب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یتأتّیٰ فیها إلّا قسمة الردّ، کما إذا کان بین اثنین عبدان قیمة أحدهما خمسة دنانیر و الآخر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یتأتّیٰ فیها قسمة الإفراز و التعدیل معاً، کما إذا اشترک اثنان فی جنسین مثلیّین مختلفی القیمة و المقدار، و کانت قیمة أقلّهما مساویة لقیمة أکثرهما، کما إذا کان بین اثنین وزنة من حنطة و وزنتان من شعیر و کانت قیمة وزنة من حنطة مساویة لقیمة وزنتین من شعیر، فإذا قسّم المجموع بجعل الحنطة سهماً و الشعیر سهماً یکون من قسمة التعدیل، و إذا قسّم کلّ منهما منفرداً یکون من قسمة الإفراز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یتأتّیٰ فیها قسمة الإفراز و الردّ معاً </w:t>
      </w:r>
      <w:r>
        <w:rPr>
          <w:rStyle w:val="FootnoteAnchor"/>
          <w:rtl w:val="true"/>
        </w:rPr>
        <w:footnoteReference w:id="1318"/>
      </w:r>
      <w:r>
        <w:rPr>
          <w:rFonts w:ascii="IRNazanin" w:hAnsi="IRNazanin" w:eastAsia="IRNazanin"/>
          <w:color w:val="111111"/>
          <w:sz w:val="28"/>
          <w:sz w:val="28"/>
          <w:szCs w:val="28"/>
          <w:rtl w:val="true"/>
          <w:lang w:bidi="fa-IR"/>
        </w:rPr>
        <w:t>، کما فی المثال السابق إذا فرض کون قیمة الحنطة خمسة عشر درهماً و قیمة الشعیر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یتأتّیٰ فیها قسمة التعدیل مع قسمة الردّ، کما إذا کان بینهما ثلاثة عبید أحدهم یقوّم بعشرة دنانیر و اثنان منهم کلّ منهما بخمسة، فیمکن أن یجعل الأوّل سهماً و الآخران سهماً فتکون من قسمة التعدیل، و أن یجعل الأوّل مع واحد من الآخرین سهماً و الآخر منهما مع عشرة دنانیر سهماً فتکون من قسمة الردّ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یتأتّیٰ فیها کلّ من قسمتی الإفراز و الردّ، کما إذا کان بینهما وزنة حنطة کانت</w:t>
      </w:r>
      <w:bookmarkStart w:id="4717" w:name="pg1809_19472"/>
    </w:p>
    <w:p>
      <w:pPr>
        <w:pStyle w:val="BookText"/>
        <w:rPr/>
      </w:pPr>
      <w:bookmarkEnd w:id="4717"/>
      <w:r>
        <w:rPr>
          <w:rFonts w:ascii="IRNazanin" w:hAnsi="IRNazanin" w:eastAsia="IRNazanin"/>
          <w:color w:val="111111"/>
          <w:sz w:val="28"/>
          <w:sz w:val="28"/>
          <w:szCs w:val="28"/>
          <w:rtl w:val="true"/>
          <w:lang w:bidi="fa-IR"/>
        </w:rPr>
        <w:t>قیمتها اثنی عشر درهماً مع وزنة شعیر قیمتها عشرة، فیمکن قسمة الإفراز بتقسیم کلّ منهما منفرداً و قسمة الردّ بجعل الحنطة سهماً و الشعیر مع درهمین 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یتأتّی الأقسام الثلاثة، کما إذا اشترک اثنان فی وزنة حنطة قیمتها عشرة دراهم مع وزنة شعیر قیمتها خمسة و وزنة حمّص قیمتها خمسة عشر، فإذا قسّمت کلّ منها بانفرادها کانت قسمة إفراز، و إن جعلت الحنطة مع الشعیر سهماً و الحمّص سهماً کانت قسمة تعدیل، و إن جعل الحمّص مع الشعیر سهماً و الحنطة مع عشرة دراهم سهماً کانت قسمة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صحّة الجمیع مع التراضی إلّا فی قسمة الردّ مع إمکان غیرها فإنّ فی صحّتها إشکالًا، بل الظاهر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بالمصالحة المفیدة فائدتها</w:t>
      </w:r>
      <w:r>
        <w:rPr>
          <w:rFonts w:eastAsia="IRNazanin" w:cs="IRNazanin"/>
          <w:color w:val="111111"/>
          <w:sz w:val="28"/>
          <w:szCs w:val="28"/>
          <w:rtl w:val="true"/>
          <w:lang w:bidi="fa-IR"/>
        </w:rPr>
        <w:t>.</w:t>
      </w:r>
    </w:p>
    <w:p>
      <w:pPr>
        <w:pStyle w:val="Heading4"/>
        <w:numPr>
          <w:ilvl w:val="3"/>
          <w:numId w:val="1"/>
        </w:numPr>
        <w:rPr/>
      </w:pPr>
      <w:bookmarkStart w:id="4718" w:name="__RefHeading___Toc2569264_3650668749"/>
      <w:bookmarkStart w:id="4719" w:name="_Toc2141"/>
      <w:bookmarkEnd w:id="4718"/>
      <w:r>
        <w:rPr>
          <w:rtl w:val="true"/>
        </w:rPr>
        <w:t>[ (</w:t>
      </w:r>
      <w:r>
        <w:rPr>
          <w:rtl w:val="true"/>
        </w:rPr>
        <w:t xml:space="preserve">مسألة </w:t>
      </w:r>
      <w:r>
        <w:rPr/>
        <w:t>3</w:t>
      </w:r>
      <w:r>
        <w:rPr>
          <w:rtl w:val="true"/>
        </w:rPr>
        <w:t xml:space="preserve">): </w:t>
      </w:r>
      <w:r>
        <w:rPr>
          <w:rtl w:val="true"/>
        </w:rPr>
        <w:t>لا یعتبر فی القسمة تعیین مقدار السهام بعد أن کانت معدّلة</w:t>
      </w:r>
      <w:r>
        <w:rPr>
          <w:rtl w:val="true"/>
        </w:rPr>
        <w:t>]</w:t>
      </w:r>
      <w:bookmarkEnd w:id="47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القسمة تعیین مقدار السهام بعد أن کانت معدّلة، فلو کانت صبرة من حنطة مجهولة الوزن بین ثلاثة فجعلها ثلاثة أقسام معدّلة بمکیال مجهول المقدار، أو کانت بینهم عرصة أرض متساویة الأجزاء فجعلها ثلاثة أجزاء مساویة بخشبة أو حبل لا یدری أنّ طولهما کم ذراع صحّ؛ لما عرفت أنّ القسمة لیست ببیع و لا معاوضة</w:t>
      </w:r>
      <w:r>
        <w:rPr>
          <w:rFonts w:eastAsia="IRNazanin" w:cs="IRNazanin"/>
          <w:color w:val="111111"/>
          <w:sz w:val="28"/>
          <w:szCs w:val="28"/>
          <w:rtl w:val="true"/>
          <w:lang w:bidi="fa-IR"/>
        </w:rPr>
        <w:t>.</w:t>
      </w:r>
    </w:p>
    <w:p>
      <w:pPr>
        <w:pStyle w:val="Heading4"/>
        <w:numPr>
          <w:ilvl w:val="3"/>
          <w:numId w:val="1"/>
        </w:numPr>
        <w:rPr/>
      </w:pPr>
      <w:bookmarkStart w:id="4720" w:name="__RefHeading___Toc2569266_3650668749"/>
      <w:bookmarkStart w:id="4721" w:name="_Toc2142"/>
      <w:bookmarkEnd w:id="4720"/>
      <w:r>
        <w:rPr>
          <w:rtl w:val="true"/>
        </w:rPr>
        <w:t>[ (</w:t>
      </w:r>
      <w:r>
        <w:rPr>
          <w:rtl w:val="true"/>
        </w:rPr>
        <w:t xml:space="preserve">مسألة </w:t>
      </w:r>
      <w:r>
        <w:rPr/>
        <w:t>4</w:t>
      </w:r>
      <w:r>
        <w:rPr>
          <w:rtl w:val="true"/>
        </w:rPr>
        <w:t xml:space="preserve">): </w:t>
      </w:r>
      <w:r>
        <w:rPr>
          <w:rtl w:val="true"/>
        </w:rPr>
        <w:t>إذا طلب أحد الشریکین القسمة بأحد أقسامها</w:t>
      </w:r>
      <w:r>
        <w:rPr>
          <w:rtl w:val="true"/>
        </w:rPr>
        <w:t>]</w:t>
      </w:r>
      <w:bookmarkEnd w:id="472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أحد الشریکین القسمة بأحد أقسامها، فإن کانت قسمة ردّ، أو کانت مستلزمة للضرر فللشریک الآخر الامتناع عنها و لم یجبر علیها لو امتنع، و تسمّی القسمة قسمة تراضٍ، بخلاف ما إذا لم تکن قسمة ردّ و لا مستلزمة للضرر فإنّه یجبر علیها الممتنع لو طلبها الشریک الآخر، و تسمّی القسمة قسمة إجبار، فإن کان المال المشترک ممّا لا یمکن فیه إلّا قسمة الإفراز أو التعدیل فلا إشکال، و أمّا فیما أمکن کلتاهما فإن طلب قسمة الإفراز یجبر علیها الممتنع، بخلاف ما إذا طلب قسمة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کانا شریکین فی أنواع متساویة الأجزاء کحنطة و شعیر و تمر و زبیب فطلب أحدهما قسمة کلّ نوع بانفراده قسمة إفراز أُجبر الممتنع، و إن طلب قسمتها بالتعدیل بحسب القیمة لم یجبر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کانت بینهما قطعتا أرض أو داران أو دکّانان، فإنّه یجبر الممتنع لو طلب أحد الشریکین قسمة کلّ منها علیٰ حدة، و لم یجبر إذا طلب قسمتها بالتعدیل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قسمتها منفردة مستلزمة للضرر دون قسمتها بالتعدیل اجبر الممتنع علی الثانیة إن طلبها أحد الشریکین دون الأُولیٰ</w:t>
      </w:r>
      <w:r>
        <w:rPr>
          <w:rFonts w:eastAsia="IRNazanin" w:cs="IRNazanin"/>
          <w:color w:val="111111"/>
          <w:sz w:val="28"/>
          <w:szCs w:val="28"/>
          <w:rtl w:val="true"/>
          <w:lang w:bidi="fa-IR"/>
        </w:rPr>
        <w:t>.</w:t>
      </w:r>
      <w:bookmarkStart w:id="4722" w:name="pg1809_19473"/>
    </w:p>
    <w:p>
      <w:pPr>
        <w:pStyle w:val="Heading4"/>
        <w:numPr>
          <w:ilvl w:val="3"/>
          <w:numId w:val="1"/>
        </w:numPr>
        <w:rPr/>
      </w:pPr>
      <w:bookmarkStart w:id="4723" w:name="__RefHeading___Toc2569268_3650668749"/>
      <w:bookmarkStart w:id="4724" w:name="_Toc2143"/>
      <w:bookmarkEnd w:id="4722"/>
      <w:bookmarkEnd w:id="4723"/>
      <w:r>
        <w:rPr>
          <w:rtl w:val="true"/>
        </w:rPr>
        <w:t>[ (</w:t>
      </w:r>
      <w:r>
        <w:rPr>
          <w:rtl w:val="true"/>
        </w:rPr>
        <w:t xml:space="preserve">مسألة </w:t>
      </w:r>
      <w:r>
        <w:rPr/>
        <w:t>5</w:t>
      </w:r>
      <w:r>
        <w:rPr>
          <w:rtl w:val="true"/>
        </w:rPr>
        <w:t xml:space="preserve">): </w:t>
      </w:r>
      <w:r>
        <w:rPr>
          <w:rtl w:val="true"/>
        </w:rPr>
        <w:t>إذا اشترک اثنان فی دار ذات علو و سفل</w:t>
      </w:r>
      <w:r>
        <w:rPr>
          <w:rtl w:val="true"/>
        </w:rPr>
        <w:t>]</w:t>
      </w:r>
      <w:bookmarkEnd w:id="4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اشترک اثنان فی دار ذات علو و سفل و أمکن قسمتها علیٰ نحو یحصل لکلّ منهما حصّة من العلو و السفل بالتعدیل </w:t>
      </w:r>
      <w:r>
        <w:rPr>
          <w:rStyle w:val="FootnoteAnchor"/>
          <w:rtl w:val="true"/>
        </w:rPr>
        <w:footnoteReference w:id="1320"/>
      </w:r>
      <w:r>
        <w:rPr>
          <w:rFonts w:ascii="IRNazanin" w:hAnsi="IRNazanin" w:eastAsia="IRNazanin"/>
          <w:color w:val="111111"/>
          <w:sz w:val="28"/>
          <w:sz w:val="28"/>
          <w:szCs w:val="28"/>
          <w:rtl w:val="true"/>
          <w:lang w:bidi="fa-IR"/>
        </w:rPr>
        <w:t>، و قسمتها علیٰ نحو یحصل لأحدهما العلو و لأحدهما السفل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قسمة کلّ من العلو و السفل بانفراده، فإن طلب أحد الشریکین النحو الأوّل و لم یستلزم الضرر یجبر الآخر لو امتنع، و لا یجبر لو طلب أحد النحوین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إمکان النحو الأوّل و عدم استلزام الضرر، و أمّا مع عدم إمکانه أو استلزامه الضرر و انحصار الأمر فی النحوین الأخیرین، فالظاهر تقدّم الثانی، فلو طلبه أحدهما یجبر الآخر لو امتنع بخلاف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انحصر الأمر فیه یجبر إذا لم یستلزم الضرر و لا الردّ و إلّا لم یجبر کما مرّ</w:t>
      </w:r>
      <w:r>
        <w:rPr>
          <w:rFonts w:eastAsia="IRNazanin" w:cs="IRNazanin"/>
          <w:color w:val="111111"/>
          <w:sz w:val="28"/>
          <w:szCs w:val="28"/>
          <w:rtl w:val="true"/>
          <w:lang w:bidi="fa-IR"/>
        </w:rPr>
        <w:t>.</w:t>
      </w:r>
    </w:p>
    <w:p>
      <w:pPr>
        <w:pStyle w:val="Heading4"/>
        <w:numPr>
          <w:ilvl w:val="3"/>
          <w:numId w:val="1"/>
        </w:numPr>
        <w:rPr/>
      </w:pPr>
      <w:bookmarkStart w:id="4725" w:name="__RefHeading___Toc2569270_3650668749"/>
      <w:bookmarkStart w:id="4726" w:name="_Toc2144"/>
      <w:bookmarkEnd w:id="4725"/>
      <w:r>
        <w:rPr>
          <w:rtl w:val="true"/>
        </w:rPr>
        <w:t>[ (</w:t>
      </w:r>
      <w:r>
        <w:rPr>
          <w:rtl w:val="true"/>
        </w:rPr>
        <w:t xml:space="preserve">مسألة </w:t>
      </w:r>
      <w:r>
        <w:rPr/>
        <w:t>6</w:t>
      </w:r>
      <w:r>
        <w:rPr>
          <w:rtl w:val="true"/>
        </w:rPr>
        <w:t xml:space="preserve">): </w:t>
      </w:r>
      <w:r>
        <w:rPr>
          <w:rtl w:val="true"/>
        </w:rPr>
        <w:t>لو کانت دار ذات بیوت، أو خان ذات حجر بین جماعة، و طلب بعض الشرکاء القسمة</w:t>
      </w:r>
      <w:r>
        <w:rPr>
          <w:rtl w:val="true"/>
        </w:rPr>
        <w:t>]</w:t>
      </w:r>
      <w:bookmarkEnd w:id="4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دار ذات بیوت، أو خان ذات حجر بین جماعة، و طلب بعض الشرکاء القسمة أُجبر الباقون، إلّا إذا استلزم الضرر من جهة ضیقهما و کثرة الشرکاء</w:t>
      </w:r>
      <w:r>
        <w:rPr>
          <w:rFonts w:eastAsia="IRNazanin" w:cs="IRNazanin"/>
          <w:color w:val="111111"/>
          <w:sz w:val="28"/>
          <w:szCs w:val="28"/>
          <w:rtl w:val="true"/>
          <w:lang w:bidi="fa-IR"/>
        </w:rPr>
        <w:t>.</w:t>
      </w:r>
    </w:p>
    <w:p>
      <w:pPr>
        <w:pStyle w:val="Heading4"/>
        <w:numPr>
          <w:ilvl w:val="3"/>
          <w:numId w:val="1"/>
        </w:numPr>
        <w:rPr/>
      </w:pPr>
      <w:bookmarkStart w:id="4727" w:name="__RefHeading___Toc2569272_3650668749"/>
      <w:bookmarkStart w:id="4728" w:name="_Toc2145"/>
      <w:bookmarkEnd w:id="4727"/>
      <w:r>
        <w:rPr>
          <w:rtl w:val="true"/>
        </w:rPr>
        <w:t>[ (</w:t>
      </w:r>
      <w:r>
        <w:rPr>
          <w:rtl w:val="true"/>
        </w:rPr>
        <w:t xml:space="preserve">مسألة </w:t>
      </w:r>
      <w:r>
        <w:rPr/>
        <w:t>7</w:t>
      </w:r>
      <w:r>
        <w:rPr>
          <w:rtl w:val="true"/>
        </w:rPr>
        <w:t xml:space="preserve">): </w:t>
      </w:r>
      <w:r>
        <w:rPr>
          <w:rtl w:val="true"/>
        </w:rPr>
        <w:t>إذا کانت بینهما بستان مشتملة علیٰ نخیل و أشجار، فقسمتها بأشجارها و نخیلها بالتعدیل قسمة إجبار</w:t>
      </w:r>
      <w:r>
        <w:rPr>
          <w:rtl w:val="true"/>
        </w:rPr>
        <w:t>]</w:t>
      </w:r>
      <w:bookmarkEnd w:id="47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بینهما بستان مشتملة علیٰ نخیل و أشجار، فقسمتها بأشجارها و نخیلها بالتعدیل قسمة إجبار إذا طلبها أحدهما یجبر الآخر، بخلاف قسمة کلّ من الأرض و الأشجار علیٰ حدة، فإنّها قسمة تراضٍ لا یجبر علیها الممتنع</w:t>
      </w:r>
      <w:r>
        <w:rPr>
          <w:rFonts w:eastAsia="IRNazanin" w:cs="IRNazanin"/>
          <w:color w:val="111111"/>
          <w:sz w:val="28"/>
          <w:szCs w:val="28"/>
          <w:rtl w:val="true"/>
          <w:lang w:bidi="fa-IR"/>
        </w:rPr>
        <w:t>.</w:t>
      </w:r>
    </w:p>
    <w:p>
      <w:pPr>
        <w:pStyle w:val="Heading4"/>
        <w:numPr>
          <w:ilvl w:val="3"/>
          <w:numId w:val="1"/>
        </w:numPr>
        <w:rPr/>
      </w:pPr>
      <w:bookmarkStart w:id="4729" w:name="__RefHeading___Toc2569274_3650668749"/>
      <w:bookmarkStart w:id="4730" w:name="_Toc2146"/>
      <w:bookmarkEnd w:id="4729"/>
      <w:r>
        <w:rPr>
          <w:rtl w:val="true"/>
        </w:rPr>
        <w:t>[ (</w:t>
      </w:r>
      <w:r>
        <w:rPr>
          <w:rtl w:val="true"/>
        </w:rPr>
        <w:t xml:space="preserve">مسألة </w:t>
      </w:r>
      <w:r>
        <w:rPr/>
        <w:t>8</w:t>
      </w:r>
      <w:r>
        <w:rPr>
          <w:rtl w:val="true"/>
        </w:rPr>
        <w:t xml:space="preserve">): </w:t>
      </w:r>
      <w:r>
        <w:rPr>
          <w:rtl w:val="true"/>
        </w:rPr>
        <w:t>إذا کانت بینهما أرض مزروعة، یجوز قسمة کلّ من الأرض و الزرع قصیلًا کان أو سنبلًا علیٰ حدة</w:t>
      </w:r>
      <w:r>
        <w:rPr>
          <w:rtl w:val="true"/>
        </w:rPr>
        <w:t>]</w:t>
      </w:r>
      <w:bookmarkEnd w:id="47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بینهما أرض مزروعة، یجوز قسمة کلّ من الأرض و الزرع قصیلًا کان أو سنبلًا علیٰ حدة، و تکون القسمة قسمة إجبار، و أمّا قسمتهما معاً فهی قسمة تراضٍ لا یجبر الممتنع علیها إلّا إذا انحصرت القسمة الخالیة عن الضرر فیها فیجبر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الزرع قصیلًا أو سنبلًا، و أمّا إذا کان حبّا مدفوناً أو مخضرّاً فی الجملة و لم یکمل نباته فلا إشکال فی قسمة الأرض وحدها و بقاء الزرع علیٰ إشاعته، کما أنّه لا إشکال فی عدم جواز قسمة الزرع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یبعد </w:t>
      </w:r>
      <w:r>
        <w:rPr>
          <w:rStyle w:val="FootnoteAnchor"/>
          <w:rtl w:val="true"/>
        </w:rPr>
        <w:footnoteReference w:id="1321"/>
      </w:r>
      <w:r>
        <w:rPr>
          <w:rFonts w:ascii="IRNazanin" w:hAnsi="IRNazanin" w:eastAsia="IRNazanin"/>
          <w:color w:val="111111"/>
          <w:sz w:val="28"/>
          <w:sz w:val="28"/>
          <w:szCs w:val="28"/>
          <w:rtl w:val="true"/>
          <w:lang w:bidi="fa-IR"/>
        </w:rPr>
        <w:t>جواز قسمة الأرض بزرعها بحیث یجعل من توابعها، و إن کان الأحوط قسمة الأرض وحدها و إفراز الزرع بالمصالحة</w:t>
      </w:r>
      <w:r>
        <w:rPr>
          <w:rFonts w:eastAsia="IRNazanin" w:cs="IRNazanin"/>
          <w:color w:val="111111"/>
          <w:sz w:val="28"/>
          <w:szCs w:val="28"/>
          <w:rtl w:val="true"/>
          <w:lang w:bidi="fa-IR"/>
        </w:rPr>
        <w:t>.</w:t>
      </w:r>
    </w:p>
    <w:p>
      <w:pPr>
        <w:pStyle w:val="Heading4"/>
        <w:numPr>
          <w:ilvl w:val="3"/>
          <w:numId w:val="1"/>
        </w:numPr>
        <w:rPr/>
      </w:pPr>
      <w:bookmarkStart w:id="4731" w:name="__RefHeading___Toc2569276_3650668749"/>
      <w:bookmarkStart w:id="4732" w:name="_Toc2147"/>
      <w:bookmarkEnd w:id="4731"/>
      <w:r>
        <w:rPr>
          <w:rtl w:val="true"/>
        </w:rPr>
        <w:t>[ (</w:t>
      </w:r>
      <w:r>
        <w:rPr>
          <w:rtl w:val="true"/>
        </w:rPr>
        <w:t xml:space="preserve">مسألة </w:t>
      </w:r>
      <w:r>
        <w:rPr/>
        <w:t>9</w:t>
      </w:r>
      <w:r>
        <w:rPr>
          <w:rtl w:val="true"/>
        </w:rPr>
        <w:t xml:space="preserve">): </w:t>
      </w:r>
      <w:r>
        <w:rPr>
          <w:rtl w:val="true"/>
        </w:rPr>
        <w:t>إذا کانت بینهم دکاکین متعدّدة متجاورة أو منفصلة</w:t>
      </w:r>
      <w:r>
        <w:rPr>
          <w:rtl w:val="true"/>
        </w:rPr>
        <w:t>]</w:t>
      </w:r>
      <w:bookmarkEnd w:id="473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بینهم دکاکین متعدّدة متجاورة أو منفصلة فإن أمکن قسمة کلّ</w:t>
      </w:r>
      <w:bookmarkStart w:id="4733" w:name="pg1809_19474"/>
    </w:p>
    <w:p>
      <w:pPr>
        <w:pStyle w:val="BookText"/>
        <w:rPr/>
      </w:pPr>
      <w:bookmarkEnd w:id="4733"/>
      <w:r>
        <w:rPr>
          <w:rFonts w:ascii="IRNazanin" w:hAnsi="IRNazanin" w:eastAsia="IRNazanin"/>
          <w:color w:val="111111"/>
          <w:sz w:val="28"/>
          <w:sz w:val="28"/>
          <w:szCs w:val="28"/>
          <w:rtl w:val="true"/>
          <w:lang w:bidi="fa-IR"/>
        </w:rPr>
        <w:t>منها بانفراده و طلبها بعض الشرکاء و طلب بعضهم قسمة بعضها فی بعض بالتعدیل لکی یتعیّن حصّة کلّ منهم فی دکّان تامّ أو أزید یقدّم ما طلبه الأوّل و یجبر البعض الآخر، إلّا إذا انحصرت القسمة الخالیة عن الضرر فی النحو الثانی فیجبر الأوّل</w:t>
      </w:r>
      <w:r>
        <w:rPr>
          <w:rFonts w:eastAsia="IRNazanin" w:cs="IRNazanin"/>
          <w:color w:val="111111"/>
          <w:sz w:val="28"/>
          <w:szCs w:val="28"/>
          <w:rtl w:val="true"/>
          <w:lang w:bidi="fa-IR"/>
        </w:rPr>
        <w:t>.</w:t>
      </w:r>
    </w:p>
    <w:p>
      <w:pPr>
        <w:pStyle w:val="Heading4"/>
        <w:numPr>
          <w:ilvl w:val="3"/>
          <w:numId w:val="1"/>
        </w:numPr>
        <w:rPr/>
      </w:pPr>
      <w:bookmarkStart w:id="4734" w:name="__RefHeading___Toc2569278_3650668749"/>
      <w:bookmarkStart w:id="4735" w:name="_Toc2148"/>
      <w:bookmarkEnd w:id="4734"/>
      <w:r>
        <w:rPr>
          <w:rtl w:val="true"/>
        </w:rPr>
        <w:t>[ (</w:t>
      </w:r>
      <w:r>
        <w:rPr>
          <w:rtl w:val="true"/>
        </w:rPr>
        <w:t xml:space="preserve">مسألة </w:t>
      </w:r>
      <w:r>
        <w:rPr/>
        <w:t>10</w:t>
      </w:r>
      <w:r>
        <w:rPr>
          <w:rtl w:val="true"/>
        </w:rPr>
        <w:t xml:space="preserve">): </w:t>
      </w:r>
      <w:r>
        <w:rPr>
          <w:rtl w:val="true"/>
        </w:rPr>
        <w:t>إذا کان بینهما حمّام و شبهه ممّا لم یقبل القسمة الخالیة عن الضرر</w:t>
      </w:r>
      <w:r>
        <w:rPr>
          <w:rtl w:val="true"/>
        </w:rPr>
        <w:t>]</w:t>
      </w:r>
      <w:bookmarkEnd w:id="47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بینهما حمّام و شبهه ممّا لم یقبل القسمة الخالیة عن الضرر لم یجبر الممتنع، نعم لو کان کبیراً بحیث یقبل الانتفاع بصفة الحمّامیّة من دون ضرر و لو بإحداث مستوقد أو بئر آخر، فالأقرب الإجبار</w:t>
      </w:r>
      <w:r>
        <w:rPr>
          <w:rFonts w:eastAsia="IRNazanin" w:cs="IRNazanin"/>
          <w:color w:val="111111"/>
          <w:sz w:val="28"/>
          <w:szCs w:val="28"/>
          <w:rtl w:val="true"/>
          <w:lang w:bidi="fa-IR"/>
        </w:rPr>
        <w:t>.</w:t>
      </w:r>
    </w:p>
    <w:p>
      <w:pPr>
        <w:pStyle w:val="Heading4"/>
        <w:numPr>
          <w:ilvl w:val="3"/>
          <w:numId w:val="1"/>
        </w:numPr>
        <w:rPr/>
      </w:pPr>
      <w:bookmarkStart w:id="4736" w:name="__RefHeading___Toc2569280_3650668749"/>
      <w:bookmarkStart w:id="4737" w:name="_Toc2149"/>
      <w:bookmarkEnd w:id="4736"/>
      <w:r>
        <w:rPr>
          <w:rtl w:val="true"/>
        </w:rPr>
        <w:t>[ (</w:t>
      </w:r>
      <w:r>
        <w:rPr>
          <w:rtl w:val="true"/>
        </w:rPr>
        <w:t xml:space="preserve">مسألة </w:t>
      </w:r>
      <w:r>
        <w:rPr/>
        <w:t>11</w:t>
      </w:r>
      <w:r>
        <w:rPr>
          <w:rtl w:val="true"/>
        </w:rPr>
        <w:t xml:space="preserve">): </w:t>
      </w:r>
      <w:r>
        <w:rPr>
          <w:rtl w:val="true"/>
        </w:rPr>
        <w:t>لو کان لأحد الشریکین عشر من دار مثلًا</w:t>
      </w:r>
      <w:r>
        <w:rPr>
          <w:rtl w:val="true"/>
        </w:rPr>
        <w:t>]</w:t>
      </w:r>
      <w:bookmarkEnd w:id="47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لأحد الشریکین عشر من دار مثلًا و هو لا یصلح للسکنیٰ و یتضرّر هو بالقسمة دون الشریک الآخر، فلو طلب هو القسمة بغرض صحیح یجبر شریکه، و لم یجبر هو لو طلبها الآخر</w:t>
      </w:r>
      <w:r>
        <w:rPr>
          <w:rFonts w:eastAsia="IRNazanin" w:cs="IRNazanin"/>
          <w:color w:val="111111"/>
          <w:sz w:val="28"/>
          <w:szCs w:val="28"/>
          <w:rtl w:val="true"/>
          <w:lang w:bidi="fa-IR"/>
        </w:rPr>
        <w:t>.</w:t>
      </w:r>
    </w:p>
    <w:p>
      <w:pPr>
        <w:pStyle w:val="Heading4"/>
        <w:numPr>
          <w:ilvl w:val="3"/>
          <w:numId w:val="1"/>
        </w:numPr>
        <w:rPr/>
      </w:pPr>
      <w:bookmarkStart w:id="4738" w:name="__RefHeading___Toc2569282_3650668749"/>
      <w:bookmarkStart w:id="4739" w:name="_Toc2150"/>
      <w:bookmarkEnd w:id="4738"/>
      <w:r>
        <w:rPr>
          <w:rtl w:val="true"/>
        </w:rPr>
        <w:t>[ (</w:t>
      </w:r>
      <w:r>
        <w:rPr>
          <w:rtl w:val="true"/>
        </w:rPr>
        <w:t xml:space="preserve">مسألة </w:t>
      </w:r>
      <w:r>
        <w:rPr/>
        <w:t>12</w:t>
      </w:r>
      <w:r>
        <w:rPr>
          <w:rtl w:val="true"/>
        </w:rPr>
        <w:t xml:space="preserve">): </w:t>
      </w:r>
      <w:r>
        <w:rPr>
          <w:rtl w:val="true"/>
        </w:rPr>
        <w:t>یکفی فی الضرر المانع عن الإجبار</w:t>
      </w:r>
      <w:r>
        <w:rPr>
          <w:rtl w:val="true"/>
        </w:rPr>
        <w:t>]</w:t>
      </w:r>
      <w:bookmarkEnd w:id="47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الضرر المانع عن الإجبار، ترتّب نقصان فی العین أو القیمة بسبب القسمة بما لا یتسامح فیه فی العادة و إن لم یسقط المال عن قابلیّة الانتفاع بالمرّة</w:t>
      </w:r>
      <w:r>
        <w:rPr>
          <w:rFonts w:eastAsia="IRNazanin" w:cs="IRNazanin"/>
          <w:color w:val="111111"/>
          <w:sz w:val="28"/>
          <w:szCs w:val="28"/>
          <w:rtl w:val="true"/>
          <w:lang w:bidi="fa-IR"/>
        </w:rPr>
        <w:t>.</w:t>
      </w:r>
    </w:p>
    <w:p>
      <w:pPr>
        <w:pStyle w:val="Heading4"/>
        <w:numPr>
          <w:ilvl w:val="3"/>
          <w:numId w:val="1"/>
        </w:numPr>
        <w:rPr/>
      </w:pPr>
      <w:bookmarkStart w:id="4740" w:name="__RefHeading___Toc2569284_3650668749"/>
      <w:bookmarkStart w:id="4741" w:name="_Toc2151"/>
      <w:bookmarkEnd w:id="4740"/>
      <w:r>
        <w:rPr>
          <w:rtl w:val="true"/>
        </w:rPr>
        <w:t>[ (</w:t>
      </w:r>
      <w:r>
        <w:rPr>
          <w:rtl w:val="true"/>
        </w:rPr>
        <w:t xml:space="preserve">مسألة </w:t>
      </w:r>
      <w:r>
        <w:rPr/>
        <w:t>13</w:t>
      </w:r>
      <w:r>
        <w:rPr>
          <w:rtl w:val="true"/>
        </w:rPr>
        <w:t xml:space="preserve">): </w:t>
      </w:r>
      <w:r>
        <w:rPr>
          <w:rtl w:val="true"/>
        </w:rPr>
        <w:t>لا بدّ فی القسمة من تعدیل السهام ثمّ القرعة</w:t>
      </w:r>
      <w:r>
        <w:rPr>
          <w:rtl w:val="true"/>
        </w:rPr>
        <w:t>]</w:t>
      </w:r>
      <w:bookmarkEnd w:id="47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القسمة من تعدیل السهام ثمّ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کیفیّة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حصص الشرکاء متساویة کما إذا کانوا اثنین و لکلّ منهما نصف، أو ثلاثة و لکلّ منهم ثلث و هکذا، یعدّل السهام بعدد الرؤوس، فیجعل سهمین متساویین إن کانوا اثنین و ثلاثة أسهم متساویات إن کانوا ثلاثة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کلّ سهم بعلامة تمیّزه عن غیره، فإذا کانت قطعة أرض متساویة الأجزاء بین ثلاثة مثلًا یجعل ثلاث قطع متساویة بحسب المساحة و یمیّز بینها؛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و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دار مشتملة علیٰ بیوت بین أربعة مثلًا تجعل أربعة أجزاء متساویة بحسب القیمة و تمیّز کلّ منها بممیّز کالقطعة الشرقیّة و الغربیّة و الشمالیّة و الجنوبیّة المحدودات بحدود کذائیّة، و إن کانت الحصص متفاوتة کما إذا کان المال بین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سدس لعمرو و ثلث لزید و نصف لبکر یجعل السهام علیٰ أقلّ الحصص، ففی المثال تجعل السهام ستّة معلّمة کلّ منها بعلامة کما مرّ</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کیفیّة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الأوّل و هو فیما إذا کانت الحصص متساویة تؤخذ رقاع بعدد رؤوس الشرکاء؛ رقعتان إذا کانوا اثنین، و ثلاث إن کانوا ثلاثة و هکذا، و یتخیّر بین</w:t>
      </w:r>
      <w:bookmarkStart w:id="4742" w:name="pg1809_19475"/>
    </w:p>
    <w:p>
      <w:pPr>
        <w:pStyle w:val="BookText"/>
        <w:rPr/>
      </w:pPr>
      <w:bookmarkEnd w:id="4742"/>
      <w:r>
        <w:rPr>
          <w:rFonts w:ascii="IRNazanin" w:hAnsi="IRNazanin" w:eastAsia="IRNazanin"/>
          <w:color w:val="111111"/>
          <w:sz w:val="28"/>
          <w:sz w:val="28"/>
          <w:szCs w:val="28"/>
          <w:rtl w:val="true"/>
          <w:lang w:bidi="fa-IR"/>
        </w:rPr>
        <w:t>أن یکتب علیها أسماء الشرکاء؛ علیٰ إحداها زید، و أُخری عمرو، و ثالثة بکر مثلًا أو أسماء السهام؛ علیٰ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 علیٰ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و علی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مثلًا ثمّ تشوّش و تستر و یؤمر من لم یشاهدها فیخرج واحدة واحدة، فإن کتب علیها اسم الشرکاء یعیّن السهم کالأوّل و یخرج رقعة باسم ذلک السهم قاصدین أن یکون هذا السهم لکلّ من خرج اسمه، فکلّ من خرج اسمه یکون ذلک السهم له، ثمّ یعیّن السهم الثانی و یخرج رقعة أُخری لذلک السهم، فکلّ من خرج اسمه، کان السهم له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کتب علیها اسم السهام یعیّن أحد الشرکاء و یخرج رقعة فکلّ سهم خرج اسمه کان ذلک السهم له، ثمّ یخرج رقعة أُخری لشخص آخر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کانت الحصص متفاوتة، کما فی المثال المتقدّم الذی قد تقدّم أنّه یجعل السهام علیٰ أقلّ الحصص و هو السدس یتعیّن فیه أن تؤخذ الرقاع بعدد الرؤوس یکتب مثلًا علیٰ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علی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و تستر کما مرّ و یقصد أنّ کلّ من خرج اسمه علیٰ سهم کان له ذلک مع ما یلیه بما یکمل تمام حصّته، ثمّ یخرج إحداها علی السهم الأوّل، فإن کان علیها اسم صاحب السدس تعیّن له، ثمّ یخرج اخریٰ علی السهم الثانی، فإن کان علیها اسم صاحب الثلث کان الثانی و الثالث له و یبقی الرابع و الخامس و السادس لصاحب النصف، و لا یحتاج إلیٰ إخراج الثالثة، و إن کان علیها اسم صاحب النصف کان له الثانی و الثالث و الرابع و یبقی الأخیر لصاحب الثلث، و إن کان ما خرج علی السهم الأوّل صاحب الثلث کان الأوّل و الثانی له ثمّ یخرج اخریٰ علی السهم الثالث، فإن خرج اسم صاحب السدس کان ذلک له و یبقی الثلاثة الأخیرة لصاحب النصف، و إن خرج صاحب النصف کان الثالث و الرابع و الخامس له و یبقی السادس لصاحب السدس، و قس علیٰ ذلک غیرها</w:t>
      </w:r>
      <w:r>
        <w:rPr>
          <w:rFonts w:eastAsia="IRNazanin" w:cs="IRNazanin"/>
          <w:color w:val="111111"/>
          <w:sz w:val="28"/>
          <w:szCs w:val="28"/>
          <w:rtl w:val="true"/>
          <w:lang w:bidi="fa-IR"/>
        </w:rPr>
        <w:t>.</w:t>
      </w:r>
    </w:p>
    <w:p>
      <w:pPr>
        <w:pStyle w:val="Heading4"/>
        <w:numPr>
          <w:ilvl w:val="3"/>
          <w:numId w:val="1"/>
        </w:numPr>
        <w:rPr/>
      </w:pPr>
      <w:bookmarkStart w:id="4743" w:name="__RefHeading___Toc2569286_3650668749"/>
      <w:bookmarkStart w:id="4744" w:name="_Toc2152"/>
      <w:bookmarkEnd w:id="4743"/>
      <w:r>
        <w:rPr>
          <w:rtl w:val="true"/>
        </w:rPr>
        <w:t>[ (</w:t>
      </w:r>
      <w:r>
        <w:rPr>
          <w:rtl w:val="true"/>
        </w:rPr>
        <w:t xml:space="preserve">مسألة </w:t>
      </w:r>
      <w:r>
        <w:rPr/>
        <w:t>14</w:t>
      </w:r>
      <w:r>
        <w:rPr>
          <w:rtl w:val="true"/>
        </w:rPr>
        <w:t xml:space="preserve">): </w:t>
      </w:r>
      <w:r>
        <w:rPr>
          <w:rtl w:val="true"/>
        </w:rPr>
        <w:t>الظاهر أنّه لیست للقرعة کیفیّة خاصّة</w:t>
      </w:r>
      <w:r>
        <w:rPr>
          <w:rtl w:val="true"/>
        </w:rPr>
        <w:t>]</w:t>
      </w:r>
      <w:bookmarkEnd w:id="4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لیست للقرعة کیفیّة خاصّة، و إنّما تکون کیفیّته منوطة بمواضعة القاسم و المتقاسمین؛ بإناطة التعیّن بأمر لیس لإرادة المخلوق مدخلیّة فیه مفوّضاً للأمر إلی الخالق جلّ شأنه سواء کان بکتابة رقاع أو إعلام علامة فی حصاة أو نواة أو ورق أو خشب أو غیر ذلک</w:t>
      </w:r>
      <w:r>
        <w:rPr>
          <w:rFonts w:eastAsia="IRNazanin" w:cs="IRNazanin"/>
          <w:color w:val="111111"/>
          <w:sz w:val="28"/>
          <w:szCs w:val="28"/>
          <w:rtl w:val="true"/>
          <w:lang w:bidi="fa-IR"/>
        </w:rPr>
        <w:t>.</w:t>
      </w:r>
    </w:p>
    <w:p>
      <w:pPr>
        <w:pStyle w:val="Heading4"/>
        <w:numPr>
          <w:ilvl w:val="3"/>
          <w:numId w:val="1"/>
        </w:numPr>
        <w:rPr/>
      </w:pPr>
      <w:bookmarkStart w:id="4745" w:name="__RefHeading___Toc2569288_3650668749"/>
      <w:bookmarkStart w:id="4746" w:name="_Toc2153"/>
      <w:bookmarkEnd w:id="4745"/>
      <w:r>
        <w:rPr>
          <w:rtl w:val="true"/>
        </w:rPr>
        <w:t>[ (</w:t>
      </w:r>
      <w:r>
        <w:rPr>
          <w:rtl w:val="true"/>
        </w:rPr>
        <w:t xml:space="preserve">مسألة </w:t>
      </w:r>
      <w:r>
        <w:rPr/>
        <w:t>15</w:t>
      </w:r>
      <w:r>
        <w:rPr>
          <w:rtl w:val="true"/>
        </w:rPr>
        <w:t xml:space="preserve">): </w:t>
      </w:r>
      <w:r>
        <w:rPr>
          <w:rtl w:val="true"/>
        </w:rPr>
        <w:t>الأقویٰ أنّه إذا بنوا علی التقسیم و عدّلوا السهام و أوقعوا القرعة</w:t>
      </w:r>
      <w:r>
        <w:rPr>
          <w:rtl w:val="true"/>
        </w:rPr>
        <w:t>]</w:t>
      </w:r>
      <w:bookmarkEnd w:id="474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أنّه إذا بنوا علی التقسیم و عدّلوا السهام و أوقعوا القرعة، فقد</w:t>
      </w:r>
      <w:bookmarkStart w:id="4747" w:name="pg1809_19476"/>
    </w:p>
    <w:p>
      <w:pPr>
        <w:pStyle w:val="BookText"/>
        <w:rPr/>
      </w:pPr>
      <w:bookmarkEnd w:id="4747"/>
      <w:r>
        <w:rPr>
          <w:rFonts w:ascii="IRNazanin" w:hAnsi="IRNazanin" w:eastAsia="IRNazanin"/>
          <w:color w:val="111111"/>
          <w:sz w:val="28"/>
          <w:sz w:val="28"/>
          <w:szCs w:val="28"/>
          <w:rtl w:val="true"/>
          <w:lang w:bidi="fa-IR"/>
        </w:rPr>
        <w:t>تمّت القسمة و لا یحتاج إلیٰ تراضٍ آخر بعدها، فضلًا عن إنشائه؛ و إن کان هو الأحوط فی قسمة الردّ</w:t>
      </w:r>
      <w:r>
        <w:rPr>
          <w:rFonts w:eastAsia="IRNazanin" w:cs="IRNazanin"/>
          <w:color w:val="111111"/>
          <w:sz w:val="28"/>
          <w:szCs w:val="28"/>
          <w:rtl w:val="true"/>
          <w:lang w:bidi="fa-IR"/>
        </w:rPr>
        <w:t>.</w:t>
      </w:r>
    </w:p>
    <w:p>
      <w:pPr>
        <w:pStyle w:val="Heading4"/>
        <w:numPr>
          <w:ilvl w:val="3"/>
          <w:numId w:val="1"/>
        </w:numPr>
        <w:rPr/>
      </w:pPr>
      <w:bookmarkStart w:id="4748" w:name="__RefHeading___Toc2569290_3650668749"/>
      <w:bookmarkStart w:id="4749" w:name="_Toc2154"/>
      <w:bookmarkEnd w:id="4748"/>
      <w:r>
        <w:rPr>
          <w:rtl w:val="true"/>
        </w:rPr>
        <w:t>[ (</w:t>
      </w:r>
      <w:r>
        <w:rPr>
          <w:rtl w:val="true"/>
        </w:rPr>
        <w:t xml:space="preserve">مسألة </w:t>
      </w:r>
      <w:r>
        <w:rPr/>
        <w:t>16</w:t>
      </w:r>
      <w:r>
        <w:rPr>
          <w:rtl w:val="true"/>
        </w:rPr>
        <w:t xml:space="preserve">): </w:t>
      </w:r>
      <w:r>
        <w:rPr>
          <w:rtl w:val="true"/>
        </w:rPr>
        <w:t>إذا طلب بعض الشرکاء المهایاة فی الانتفاع بالعین المشترکة إمّا بحسب الزمان</w:t>
      </w:r>
      <w:r>
        <w:rPr>
          <w:rtl w:val="true"/>
        </w:rPr>
        <w:t>]</w:t>
      </w:r>
      <w:bookmarkEnd w:id="4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بعض الشرکاء المهایاة فی الانتفاع بالعین المشترکة إمّا بحسب الزمان؛ بأن یسکن هذا فی شهر و ذاک فی شهر مثلًا، و إمّا بحسب الأجزاء؛ بأن یسکن هذا فی الفوقانی و ذاک فی التحتانی مثلًا لم یلزم علیٰ شریکه القبول و لم یجبر إذا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مع التراضی لکن لیس بلازم، فیجوز لکلّ منهما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شرکة الأعیان، و أمّا فی شرکة المنافع فینحصر إفرازها بالمهایاة لکنّها فیها أیضاً غیر لازمة، نعم لو حکم الحاکم الشرعی بها فی مورد لأجل حسم النزاع و الجدال یجبر الممتنع و تلزم</w:t>
      </w:r>
      <w:r>
        <w:rPr>
          <w:rFonts w:eastAsia="IRNazanin" w:cs="IRNazanin"/>
          <w:color w:val="111111"/>
          <w:sz w:val="28"/>
          <w:szCs w:val="28"/>
          <w:rtl w:val="true"/>
          <w:lang w:bidi="fa-IR"/>
        </w:rPr>
        <w:t>.</w:t>
      </w:r>
    </w:p>
    <w:p>
      <w:pPr>
        <w:pStyle w:val="Heading4"/>
        <w:numPr>
          <w:ilvl w:val="3"/>
          <w:numId w:val="1"/>
        </w:numPr>
        <w:rPr/>
      </w:pPr>
      <w:bookmarkStart w:id="4750" w:name="__RefHeading___Toc2569292_3650668749"/>
      <w:bookmarkStart w:id="4751" w:name="_Toc2155"/>
      <w:bookmarkEnd w:id="4750"/>
      <w:r>
        <w:rPr>
          <w:rtl w:val="true"/>
        </w:rPr>
        <w:t>[ (</w:t>
      </w:r>
      <w:r>
        <w:rPr>
          <w:rtl w:val="true"/>
        </w:rPr>
        <w:t xml:space="preserve">مسألة </w:t>
      </w:r>
      <w:r>
        <w:rPr/>
        <w:t>17</w:t>
      </w:r>
      <w:r>
        <w:rPr>
          <w:rtl w:val="true"/>
        </w:rPr>
        <w:t xml:space="preserve">): </w:t>
      </w:r>
      <w:r>
        <w:rPr>
          <w:rtl w:val="true"/>
        </w:rPr>
        <w:t>القسمة فی الأعیان إذا وقعت و تمّت لزمت</w:t>
      </w:r>
      <w:r>
        <w:rPr>
          <w:rtl w:val="true"/>
        </w:rPr>
        <w:t>]</w:t>
      </w:r>
      <w:bookmarkEnd w:id="47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القسمة فی الأعیان إذا وقعت و تمّت لزمت </w:t>
      </w:r>
      <w:r>
        <w:rPr>
          <w:rStyle w:val="FootnoteAnchor"/>
          <w:rtl w:val="true"/>
        </w:rPr>
        <w:footnoteReference w:id="1322"/>
      </w:r>
      <w:r>
        <w:rPr>
          <w:rFonts w:ascii="IRNazanin" w:hAnsi="IRNazanin" w:eastAsia="IRNazanin"/>
          <w:color w:val="111111"/>
          <w:sz w:val="28"/>
          <w:sz w:val="28"/>
          <w:szCs w:val="28"/>
          <w:rtl w:val="true"/>
          <w:lang w:bidi="fa-IR"/>
        </w:rPr>
        <w:t>، و لیس لأحد من الشرکاء إبطالها و فسخها، بل الظاهر أنّه لیس لهم فسخها و إبطالها بالتراضی؛ لأنّ الظاهر عدم مشروعیّة الإقالة فیها</w:t>
      </w:r>
      <w:r>
        <w:rPr>
          <w:rFonts w:eastAsia="IRNazanin" w:cs="IRNazanin"/>
          <w:color w:val="111111"/>
          <w:sz w:val="28"/>
          <w:szCs w:val="28"/>
          <w:rtl w:val="true"/>
          <w:lang w:bidi="fa-IR"/>
        </w:rPr>
        <w:t>.</w:t>
      </w:r>
    </w:p>
    <w:p>
      <w:pPr>
        <w:pStyle w:val="Heading4"/>
        <w:numPr>
          <w:ilvl w:val="3"/>
          <w:numId w:val="1"/>
        </w:numPr>
        <w:rPr/>
      </w:pPr>
      <w:bookmarkStart w:id="4752" w:name="__RefHeading___Toc2569294_3650668749"/>
      <w:bookmarkStart w:id="4753" w:name="_Toc2156"/>
      <w:bookmarkEnd w:id="4752"/>
      <w:r>
        <w:rPr>
          <w:rtl w:val="true"/>
        </w:rPr>
        <w:t>[ (</w:t>
      </w:r>
      <w:r>
        <w:rPr>
          <w:rtl w:val="true"/>
        </w:rPr>
        <w:t xml:space="preserve">مسألة </w:t>
      </w:r>
      <w:r>
        <w:rPr/>
        <w:t>18</w:t>
      </w:r>
      <w:r>
        <w:rPr>
          <w:rtl w:val="true"/>
        </w:rPr>
        <w:t xml:space="preserve">): </w:t>
      </w:r>
      <w:r>
        <w:rPr>
          <w:rtl w:val="true"/>
        </w:rPr>
        <w:t>لا تشرع القسمة فی الدیون المشترکة</w:t>
      </w:r>
      <w:r>
        <w:rPr>
          <w:rtl w:val="true"/>
        </w:rPr>
        <w:t>]</w:t>
      </w:r>
      <w:bookmarkEnd w:id="47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تشرع القسمة فی الدیون المشترکة، فإذا کان لزید و عمرو معاً دیون علی الناس بسبب یوجب الشرکة کالإرث، فأرادا تقسیمها قبل استیفائها، فعدّلا بین الدیون و جعلا ما علی الحاضر مثلًا لأحدهما و ما علی البادی لأحدهما لم یفرز، بل تبقیٰ علیٰ إشاعتها، فکلّ ما حصّل کلّ منهما یکون لهما و کلّ ما یبقیٰ علی الناس یکون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اشترکا فی دین علیٰ أحد و استوفی أحدهما حصّته؛ بأن قصد کلّ من الدائن و المدیون أن یکون ما یأخذه وفاء و أداء لحصّته من الدین المشترک، فالظاهر تعیّنه له و بقاء حصّة الشریک فی ذمّة المدیون</w:t>
      </w:r>
      <w:r>
        <w:rPr>
          <w:rFonts w:eastAsia="IRNazanin" w:cs="IRNazanin"/>
          <w:color w:val="111111"/>
          <w:sz w:val="28"/>
          <w:szCs w:val="28"/>
          <w:rtl w:val="true"/>
          <w:lang w:bidi="fa-IR"/>
        </w:rPr>
        <w:t>.</w:t>
      </w:r>
    </w:p>
    <w:p>
      <w:pPr>
        <w:pStyle w:val="Heading4"/>
        <w:numPr>
          <w:ilvl w:val="3"/>
          <w:numId w:val="1"/>
        </w:numPr>
        <w:rPr/>
      </w:pPr>
      <w:bookmarkStart w:id="4754" w:name="__RefHeading___Toc2569296_3650668749"/>
      <w:bookmarkStart w:id="4755" w:name="_Toc2157"/>
      <w:bookmarkEnd w:id="4754"/>
      <w:r>
        <w:rPr>
          <w:rtl w:val="true"/>
        </w:rPr>
        <w:t>[ (</w:t>
      </w:r>
      <w:r>
        <w:rPr>
          <w:rtl w:val="true"/>
        </w:rPr>
        <w:t xml:space="preserve">مسألة </w:t>
      </w:r>
      <w:r>
        <w:rPr/>
        <w:t>19</w:t>
      </w:r>
      <w:r>
        <w:rPr>
          <w:rtl w:val="true"/>
        </w:rPr>
        <w:t xml:space="preserve">): </w:t>
      </w:r>
      <w:r>
        <w:rPr>
          <w:rtl w:val="true"/>
        </w:rPr>
        <w:t>لو ادّعیٰ أحد الشریکین الغلط فی القسمة أو عدم التعدیل فیها و أنکر الآخر</w:t>
      </w:r>
      <w:r>
        <w:rPr>
          <w:rtl w:val="true"/>
        </w:rPr>
        <w:t>]</w:t>
      </w:r>
      <w:bookmarkEnd w:id="47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أحد الشریکین الغلط فی القسمة أو عدم التعدیل فیها و أنکر الآخر، لا تسمع دعواه إلّا بالبیّنة، فإن أقامت علیٰ دعواه نقضت القسمة و احتاجت إلیٰ قسمة جدیدة، و إن لم یکن بیّنة کان له إحلاف الشریک</w:t>
      </w:r>
      <w:r>
        <w:rPr>
          <w:rFonts w:eastAsia="IRNazanin" w:cs="IRNazanin"/>
          <w:color w:val="111111"/>
          <w:sz w:val="28"/>
          <w:szCs w:val="28"/>
          <w:rtl w:val="true"/>
          <w:lang w:bidi="fa-IR"/>
        </w:rPr>
        <w:t>.</w:t>
      </w:r>
    </w:p>
    <w:p>
      <w:pPr>
        <w:pStyle w:val="Heading4"/>
        <w:numPr>
          <w:ilvl w:val="3"/>
          <w:numId w:val="1"/>
        </w:numPr>
        <w:rPr/>
      </w:pPr>
      <w:bookmarkStart w:id="4756" w:name="__RefHeading___Toc2569298_3650668749"/>
      <w:bookmarkStart w:id="4757" w:name="_Toc2158"/>
      <w:bookmarkEnd w:id="4756"/>
      <w:r>
        <w:rPr>
          <w:rtl w:val="true"/>
        </w:rPr>
        <w:t>[ (</w:t>
      </w:r>
      <w:r>
        <w:rPr>
          <w:rtl w:val="true"/>
        </w:rPr>
        <w:t xml:space="preserve">مسألة </w:t>
      </w:r>
      <w:r>
        <w:rPr/>
        <w:t>20</w:t>
      </w:r>
      <w:r>
        <w:rPr>
          <w:rtl w:val="true"/>
        </w:rPr>
        <w:t xml:space="preserve">): </w:t>
      </w:r>
      <w:r>
        <w:rPr>
          <w:rtl w:val="true"/>
        </w:rPr>
        <w:t>إذا قسّم الشریکان فصار فی حصّة هذا بیت و فی حصّة الآخر بیت آخر</w:t>
      </w:r>
      <w:r>
        <w:rPr>
          <w:rtl w:val="true"/>
        </w:rPr>
        <w:t>]</w:t>
      </w:r>
      <w:bookmarkEnd w:id="4757"/>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قسّم الشریکان فصار فی حصّة هذا بیت و فی حصّة الآخر بیت آخر و قد کان یجری ماء أحدهما علی الآخر لم یکن للثانی منعه، إلّا إذا اشترطا حین القسمة ردّ</w:t>
      </w:r>
      <w:bookmarkStart w:id="4758" w:name="pg1809_19477"/>
    </w:p>
    <w:p>
      <w:pPr>
        <w:pStyle w:val="BookText"/>
        <w:rPr/>
      </w:pPr>
      <w:bookmarkEnd w:id="4758"/>
      <w:r>
        <w:rPr>
          <w:rFonts w:ascii="IRNazanin" w:hAnsi="IRNazanin" w:eastAsia="IRNazanin"/>
          <w:color w:val="111111"/>
          <w:sz w:val="28"/>
          <w:sz w:val="28"/>
          <w:szCs w:val="28"/>
          <w:rtl w:val="true"/>
          <w:lang w:bidi="fa-IR"/>
        </w:rPr>
        <w:t>الماء عنه، و مثل ذلک لو کان مسلک البیت الواقع لأحدهما فی نصیب الآخر من الدار</w:t>
      </w:r>
      <w:r>
        <w:rPr>
          <w:rFonts w:eastAsia="IRNazanin" w:cs="IRNazanin"/>
          <w:color w:val="111111"/>
          <w:sz w:val="28"/>
          <w:szCs w:val="28"/>
          <w:rtl w:val="true"/>
          <w:lang w:bidi="fa-IR"/>
        </w:rPr>
        <w:t>.</w:t>
      </w:r>
    </w:p>
    <w:p>
      <w:pPr>
        <w:pStyle w:val="Heading4"/>
        <w:numPr>
          <w:ilvl w:val="3"/>
          <w:numId w:val="1"/>
        </w:numPr>
        <w:rPr/>
      </w:pPr>
      <w:bookmarkStart w:id="4759" w:name="__RefHeading___Toc2569300_3650668749"/>
      <w:bookmarkStart w:id="4760" w:name="_Toc2159"/>
      <w:bookmarkEnd w:id="4759"/>
      <w:r>
        <w:rPr>
          <w:rtl w:val="true"/>
        </w:rPr>
        <w:t>[ (</w:t>
      </w:r>
      <w:r>
        <w:rPr>
          <w:rtl w:val="true"/>
        </w:rPr>
        <w:t xml:space="preserve">مسألة </w:t>
      </w:r>
      <w:r>
        <w:rPr/>
        <w:t>21</w:t>
      </w:r>
      <w:r>
        <w:rPr>
          <w:rtl w:val="true"/>
        </w:rPr>
        <w:t xml:space="preserve">): </w:t>
      </w:r>
      <w:r>
        <w:rPr>
          <w:rtl w:val="true"/>
        </w:rPr>
        <w:t>لا یجوز قسمة الوقف بین الموقوف علیهم</w:t>
      </w:r>
      <w:r>
        <w:rPr>
          <w:rtl w:val="true"/>
        </w:rPr>
        <w:t>]</w:t>
      </w:r>
      <w:bookmarkEnd w:id="4760"/>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قسمة الوقف بین الموقوف علیهم، إلّا إذا </w:t>
      </w:r>
      <w:r>
        <w:rPr>
          <w:rStyle w:val="FootnoteAnchor"/>
          <w:rtl w:val="true"/>
        </w:rPr>
        <w:footnoteReference w:id="1323"/>
      </w:r>
      <w:r>
        <w:rPr>
          <w:rFonts w:ascii="IRNazanin" w:hAnsi="IRNazanin" w:eastAsia="IRNazanin"/>
          <w:color w:val="111111"/>
          <w:sz w:val="28"/>
          <w:sz w:val="28"/>
          <w:szCs w:val="28"/>
          <w:rtl w:val="true"/>
          <w:lang w:bidi="fa-IR"/>
        </w:rPr>
        <w:t>وقع تشاحّ بینهم مؤدّ إلیٰ خرابه؛ لا یرتفع غائلته إلّا بالقسمة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یصحّ قسمة الوقف عن الطلق؛ بأن کان ملک واحد نصفه المشاع وقفاً و نصفه ملکاً، بل الظاهر جواز قسمة وقف عن وقف، و هو فیما إذا کان ملک بین اثنین </w:t>
      </w:r>
      <w:r>
        <w:rPr>
          <w:rStyle w:val="FootnoteAnchor"/>
          <w:rtl w:val="true"/>
        </w:rPr>
        <w:footnoteReference w:id="1324"/>
      </w:r>
      <w:r>
        <w:rPr>
          <w:rFonts w:ascii="IRNazanin" w:hAnsi="IRNazanin" w:eastAsia="IRNazanin"/>
          <w:color w:val="111111"/>
          <w:sz w:val="28"/>
          <w:sz w:val="28"/>
          <w:szCs w:val="28"/>
          <w:rtl w:val="true"/>
          <w:lang w:bidi="fa-IR"/>
        </w:rPr>
        <w:t>فوقف أحدهما حصّته علیٰ ذرّیّته مثلًا و الآخر حصّته علیٰ ذرّیّته فیجوز إفراز أحدهما عن الآخر بالقسمة، و المتصدّی لذلک الموجودون من الموقوف علیهم و ولیّ البطون اللاحقة</w:t>
      </w:r>
      <w:r>
        <w:rPr>
          <w:rFonts w:eastAsia="IRNazanin" w:cs="IRNazanin"/>
          <w:color w:val="111111"/>
          <w:sz w:val="28"/>
          <w:szCs w:val="28"/>
          <w:rtl w:val="true"/>
          <w:lang w:bidi="fa-IR"/>
        </w:rPr>
        <w:t>.</w:t>
      </w:r>
      <w:bookmarkStart w:id="4761" w:name="pg1809_19478"/>
    </w:p>
    <w:p>
      <w:pPr>
        <w:pStyle w:val="Heading2"/>
        <w:numPr>
          <w:ilvl w:val="1"/>
          <w:numId w:val="1"/>
        </w:numPr>
        <w:rPr/>
      </w:pPr>
      <w:bookmarkStart w:id="4762" w:name="__RefHeading___Toc2569302_3650668749"/>
      <w:bookmarkStart w:id="4763" w:name="_Toc2160"/>
      <w:bookmarkEnd w:id="4761"/>
      <w:bookmarkEnd w:id="4762"/>
      <w:r>
        <w:rPr>
          <w:rtl w:val="true"/>
        </w:rPr>
        <w:t>[</w:t>
      </w:r>
      <w:r>
        <w:rPr>
          <w:rtl w:val="true"/>
        </w:rPr>
        <w:t>کتاب المزارعة</w:t>
      </w:r>
      <w:r>
        <w:rPr>
          <w:rtl w:val="true"/>
        </w:rPr>
        <w:t>]</w:t>
      </w:r>
      <w:bookmarkEnd w:id="4763"/>
    </w:p>
    <w:p>
      <w:pPr>
        <w:pStyle w:val="Heading3"/>
        <w:numPr>
          <w:ilvl w:val="2"/>
          <w:numId w:val="1"/>
        </w:numPr>
        <w:rPr/>
      </w:pPr>
      <w:bookmarkStart w:id="4764" w:name="__RefHeading___Toc2569304_3650668749"/>
      <w:bookmarkStart w:id="4765" w:name="_Toc2161"/>
      <w:bookmarkEnd w:id="4764"/>
      <w:r>
        <w:rPr>
          <w:rtl w:val="true"/>
        </w:rPr>
        <w:t>اشارة</w:t>
      </w:r>
      <w:bookmarkEnd w:id="4765"/>
    </w:p>
    <w:p>
      <w:pPr>
        <w:pStyle w:val="BookText"/>
        <w:rPr/>
      </w:pPr>
      <w:r>
        <w:rPr>
          <w:rFonts w:ascii="IRNazanin" w:hAnsi="IRNazanin" w:eastAsia="IRNazanin"/>
          <w:color w:val="111111"/>
          <w:sz w:val="28"/>
          <w:sz w:val="28"/>
          <w:szCs w:val="28"/>
          <w:rtl w:val="true"/>
          <w:lang w:bidi="fa-IR"/>
        </w:rPr>
        <w:t>کتاب المزارعة و هی المعاملة علیٰ أن تزرع الأرض بحصّة من حاصلها، و هی عقد من العقود یحتاج إلیٰ إیجاب من صاحب الأرض، و هو کلّ لفظ أفاد إنشاء هذا المعنیٰ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إلیک الأرض مدّة کذا علیٰ أن تزرعها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 و قبول من الزارع بلفظ أفاد إنشاء الرضا بالإیجاب کسائر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کفایة القبول الفعلی بعد الإیجاب القولی؛ بأن یتسلّم الأرض بهذا القصد و یشتغل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یعتبر فیها العربیّة، بل یقع عقدها بأیّ لغة کان، و فی جریان المعاطاة فیها إشکال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6" w:name="__RefHeading___Toc2569306_3650668749"/>
      <w:bookmarkStart w:id="4767" w:name="_Toc2162"/>
      <w:bookmarkEnd w:id="4766"/>
      <w:r>
        <w:rPr>
          <w:rtl w:val="true"/>
        </w:rPr>
        <w:t>[ (</w:t>
      </w:r>
      <w:r>
        <w:rPr>
          <w:rtl w:val="true"/>
        </w:rPr>
        <w:t xml:space="preserve">مسألة </w:t>
      </w:r>
      <w:r>
        <w:rPr/>
        <w:t>1</w:t>
      </w:r>
      <w:r>
        <w:rPr>
          <w:rtl w:val="true"/>
        </w:rPr>
        <w:t xml:space="preserve">): </w:t>
      </w:r>
      <w:r>
        <w:rPr>
          <w:rtl w:val="true"/>
        </w:rPr>
        <w:t>یعتبر فیها زائداً علیٰ ما اعتبر فی المتعاقدین فی سائر العقود من البلوغ و العقل و القصد و الاختیار و الرشد أُمور</w:t>
      </w:r>
      <w:r>
        <w:rPr>
          <w:rtl w:val="true"/>
        </w:rPr>
        <w:t>]</w:t>
      </w:r>
      <w:bookmarkEnd w:id="4767"/>
    </w:p>
    <w:p>
      <w:pPr>
        <w:pStyle w:val="Heading4"/>
        <w:numPr>
          <w:ilvl w:val="3"/>
          <w:numId w:val="1"/>
        </w:numPr>
        <w:rPr/>
      </w:pPr>
      <w:bookmarkStart w:id="4768" w:name="__RefHeading___Toc2569308_3650668749"/>
      <w:bookmarkStart w:id="4769" w:name="_Toc2163"/>
      <w:bookmarkEnd w:id="4768"/>
      <w:r>
        <w:rPr>
          <w:rtl w:val="true"/>
        </w:rPr>
        <w:t>اشارة</w:t>
      </w:r>
      <w:bookmarkEnd w:id="47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فیها زائداً علیٰ ما اعتبر فی المتعاقدین فی سائر العقود من البلوغ و العقل و القصد و الاختیار و الرشد </w:t>
      </w:r>
      <w:r>
        <w:rPr>
          <w:rStyle w:val="FootnoteAnchor"/>
          <w:rtl w:val="true"/>
        </w:rPr>
        <w:footnoteReference w:id="1326"/>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Heading4"/>
        <w:numPr>
          <w:ilvl w:val="3"/>
          <w:numId w:val="1"/>
        </w:numPr>
        <w:rPr/>
      </w:pPr>
      <w:bookmarkStart w:id="4770" w:name="__RefHeading___Toc2569310_3650668749"/>
      <w:bookmarkStart w:id="4771" w:name="_Toc2164"/>
      <w:bookmarkEnd w:id="4770"/>
      <w:r>
        <w:rPr>
          <w:rtl w:val="true"/>
        </w:rPr>
        <w:t>[</w:t>
      </w:r>
      <w:r>
        <w:rPr>
          <w:rtl w:val="true"/>
        </w:rPr>
        <w:t>أحدها</w:t>
      </w:r>
      <w:r>
        <w:rPr>
          <w:rtl w:val="true"/>
        </w:rPr>
        <w:t xml:space="preserve">: </w:t>
      </w:r>
      <w:r>
        <w:rPr>
          <w:rtl w:val="true"/>
        </w:rPr>
        <w:t>جعل الحاصل مشاعاً بینهما</w:t>
      </w:r>
      <w:r>
        <w:rPr>
          <w:rtl w:val="true"/>
        </w:rPr>
        <w:t>]</w:t>
      </w:r>
      <w:bookmarkEnd w:id="4771"/>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الحاصل مشاعاً بینهما، فلو جعل الکلّ لأحدهما أو شرطا أن یکون بعضه الخاصّ کالذی یحصل متقدّماً أو الذی یحصل من القطعة الفلانیّة لأحدهما و الآخر للآخر، لم یصحّ</w:t>
      </w:r>
      <w:r>
        <w:rPr>
          <w:rFonts w:eastAsia="IRNazanin" w:cs="IRNazanin"/>
          <w:color w:val="111111"/>
          <w:sz w:val="28"/>
          <w:szCs w:val="28"/>
          <w:rtl w:val="true"/>
          <w:lang w:bidi="fa-IR"/>
        </w:rPr>
        <w:t>.</w:t>
      </w:r>
    </w:p>
    <w:p>
      <w:pPr>
        <w:pStyle w:val="Heading4"/>
        <w:numPr>
          <w:ilvl w:val="3"/>
          <w:numId w:val="1"/>
        </w:numPr>
        <w:rPr/>
      </w:pPr>
      <w:bookmarkStart w:id="4772" w:name="__RefHeading___Toc2569312_3650668749"/>
      <w:bookmarkStart w:id="4773" w:name="_Toc2165"/>
      <w:bookmarkEnd w:id="4772"/>
      <w:r>
        <w:rPr>
          <w:rtl w:val="true"/>
        </w:rPr>
        <w:t>[</w:t>
      </w:r>
      <w:r>
        <w:rPr>
          <w:rtl w:val="true"/>
        </w:rPr>
        <w:t>ثانیها</w:t>
      </w:r>
      <w:r>
        <w:rPr>
          <w:rtl w:val="true"/>
        </w:rPr>
        <w:t xml:space="preserve">: </w:t>
      </w:r>
      <w:r>
        <w:rPr>
          <w:rtl w:val="true"/>
        </w:rPr>
        <w:t>تعیین حصّة الزارع</w:t>
      </w:r>
      <w:r>
        <w:rPr>
          <w:rtl w:val="true"/>
        </w:rPr>
        <w:t>]</w:t>
      </w:r>
      <w:bookmarkEnd w:id="4773"/>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حصّة الزارع بمثل النصف أو الثلث أو الربع و نحو ذلک</w:t>
      </w:r>
      <w:r>
        <w:rPr>
          <w:rFonts w:eastAsia="IRNazanin" w:cs="IRNazanin"/>
          <w:color w:val="111111"/>
          <w:sz w:val="28"/>
          <w:szCs w:val="28"/>
          <w:rtl w:val="true"/>
          <w:lang w:bidi="fa-IR"/>
        </w:rPr>
        <w:t>.</w:t>
      </w:r>
    </w:p>
    <w:p>
      <w:pPr>
        <w:pStyle w:val="Heading4"/>
        <w:numPr>
          <w:ilvl w:val="3"/>
          <w:numId w:val="1"/>
        </w:numPr>
        <w:rPr/>
      </w:pPr>
      <w:bookmarkStart w:id="4774" w:name="__RefHeading___Toc2569314_3650668749"/>
      <w:bookmarkStart w:id="4775" w:name="_Toc2166"/>
      <w:bookmarkEnd w:id="4774"/>
      <w:r>
        <w:rPr>
          <w:rtl w:val="true"/>
        </w:rPr>
        <w:t>[</w:t>
      </w:r>
      <w:r>
        <w:rPr>
          <w:rtl w:val="true"/>
        </w:rPr>
        <w:t>ثالثها</w:t>
      </w:r>
      <w:r>
        <w:rPr>
          <w:rtl w:val="true"/>
        </w:rPr>
        <w:t xml:space="preserve">: </w:t>
      </w:r>
      <w:r>
        <w:rPr>
          <w:rtl w:val="true"/>
        </w:rPr>
        <w:t>تعیین المدّة بالأشهر أو السنین</w:t>
      </w:r>
      <w:r>
        <w:rPr>
          <w:rtl w:val="true"/>
        </w:rPr>
        <w:t>]</w:t>
      </w:r>
      <w:bookmarkEnd w:id="4775"/>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المدّة بالأشهر أو السنین، و لو اقتصر علیٰ ذکر المزروع فی سنة واحدة ففی الاکتفاء به عن تعیین المدّة وجهان، أوجههما الأوّل، لکن فیما إذا عیّن مبدأ الشروع فی الزرع، و إذا عیّن المدّة بالزمان لا بدّ أن تکون مدّة یدرک فیها الزرع بحسب العادة، فلا تکفی المدّة القلیلة التی تقصر عن إدراکه</w:t>
      </w:r>
      <w:r>
        <w:rPr>
          <w:rFonts w:eastAsia="IRNazanin" w:cs="IRNazanin"/>
          <w:color w:val="111111"/>
          <w:sz w:val="28"/>
          <w:szCs w:val="28"/>
          <w:rtl w:val="true"/>
          <w:lang w:bidi="fa-IR"/>
        </w:rPr>
        <w:t>.</w:t>
      </w:r>
    </w:p>
    <w:p>
      <w:pPr>
        <w:pStyle w:val="Heading4"/>
        <w:numPr>
          <w:ilvl w:val="3"/>
          <w:numId w:val="1"/>
        </w:numPr>
        <w:rPr/>
      </w:pPr>
      <w:bookmarkStart w:id="4776" w:name="__RefHeading___Toc2569316_3650668749"/>
      <w:bookmarkStart w:id="4777" w:name="_Toc2167"/>
      <w:bookmarkEnd w:id="4776"/>
      <w:r>
        <w:rPr>
          <w:rtl w:val="true"/>
        </w:rPr>
        <w:t>[</w:t>
      </w:r>
      <w:r>
        <w:rPr>
          <w:rtl w:val="true"/>
        </w:rPr>
        <w:t>رابعها</w:t>
      </w:r>
      <w:r>
        <w:rPr>
          <w:rtl w:val="true"/>
        </w:rPr>
        <w:t xml:space="preserve">: </w:t>
      </w:r>
      <w:r>
        <w:rPr>
          <w:rtl w:val="true"/>
        </w:rPr>
        <w:t>أن تکون الأرض قابلة للزرع</w:t>
      </w:r>
      <w:r>
        <w:rPr>
          <w:rtl w:val="true"/>
        </w:rPr>
        <w:t>]</w:t>
      </w:r>
      <w:bookmarkEnd w:id="4777"/>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الأرض قابلة للزرع و لو بالعلاج و الإصلاح و طمّ الحفر و حفر النهر</w:t>
      </w:r>
      <w:bookmarkStart w:id="4778" w:name="pg1809_19479"/>
    </w:p>
    <w:p>
      <w:pPr>
        <w:pStyle w:val="BookText"/>
        <w:rPr/>
      </w:pPr>
      <w:bookmarkEnd w:id="4778"/>
      <w:r>
        <w:rPr>
          <w:rFonts w:ascii="IRNazanin" w:hAnsi="IRNazanin" w:eastAsia="IRNazanin"/>
          <w:color w:val="111111"/>
          <w:sz w:val="28"/>
          <w:sz w:val="28"/>
          <w:szCs w:val="28"/>
          <w:rtl w:val="true"/>
          <w:lang w:bidi="fa-IR"/>
        </w:rPr>
        <w:t>و نحو ذلک، فلو کانت سبخة لا تقبل للزرع، أو لم یکن لها ماء و لا یکفیه ماء السماء و لا یمکن تحصیل الماء لها و لو بمثل حفر النهر أو البئر أو الشراء، لم یصحّ</w:t>
      </w:r>
      <w:r>
        <w:rPr>
          <w:rFonts w:eastAsia="IRNazanin" w:cs="IRNazanin"/>
          <w:color w:val="111111"/>
          <w:sz w:val="28"/>
          <w:szCs w:val="28"/>
          <w:rtl w:val="true"/>
          <w:lang w:bidi="fa-IR"/>
        </w:rPr>
        <w:t>.</w:t>
      </w:r>
    </w:p>
    <w:p>
      <w:pPr>
        <w:pStyle w:val="Heading4"/>
        <w:numPr>
          <w:ilvl w:val="3"/>
          <w:numId w:val="1"/>
        </w:numPr>
        <w:rPr/>
      </w:pPr>
      <w:bookmarkStart w:id="4779" w:name="__RefHeading___Toc2569318_3650668749"/>
      <w:bookmarkStart w:id="4780" w:name="_Toc2168"/>
      <w:bookmarkEnd w:id="4779"/>
      <w:r>
        <w:rPr>
          <w:rtl w:val="true"/>
        </w:rPr>
        <w:t>[</w:t>
      </w:r>
      <w:r>
        <w:rPr>
          <w:rtl w:val="true"/>
        </w:rPr>
        <w:t>خامسها</w:t>
      </w:r>
      <w:r>
        <w:rPr>
          <w:rtl w:val="true"/>
        </w:rPr>
        <w:t xml:space="preserve">: </w:t>
      </w:r>
      <w:r>
        <w:rPr>
          <w:rtl w:val="true"/>
        </w:rPr>
        <w:t>تعیین المزروع</w:t>
      </w:r>
      <w:r>
        <w:rPr>
          <w:rtl w:val="true"/>
        </w:rPr>
        <w:t>]</w:t>
      </w:r>
      <w:bookmarkEnd w:id="4780"/>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w:t>
      </w:r>
      <w:r>
        <w:rPr>
          <w:rStyle w:val="FootnoteAnchor"/>
          <w:rtl w:val="true"/>
        </w:rPr>
        <w:footnoteReference w:id="1327"/>
      </w:r>
      <w:r>
        <w:rPr>
          <w:rFonts w:ascii="IRNazanin" w:hAnsi="IRNazanin" w:eastAsia="IRNazanin"/>
          <w:color w:val="111111"/>
          <w:sz w:val="28"/>
          <w:sz w:val="28"/>
          <w:szCs w:val="28"/>
          <w:rtl w:val="true"/>
          <w:lang w:bidi="fa-IR"/>
        </w:rPr>
        <w:t>المزروع؛ من أنّه حنطة أو شعیر أو غیرهما مع اختلاف الأغراض فیه، نعم لو صرّح بالتعمیم صحّ، فیتخیّر الزارع بین أنواعه</w:t>
      </w:r>
      <w:r>
        <w:rPr>
          <w:rFonts w:eastAsia="IRNazanin" w:cs="IRNazanin"/>
          <w:color w:val="111111"/>
          <w:sz w:val="28"/>
          <w:szCs w:val="28"/>
          <w:rtl w:val="true"/>
          <w:lang w:bidi="fa-IR"/>
        </w:rPr>
        <w:t>.</w:t>
      </w:r>
    </w:p>
    <w:p>
      <w:pPr>
        <w:pStyle w:val="Heading4"/>
        <w:numPr>
          <w:ilvl w:val="3"/>
          <w:numId w:val="1"/>
        </w:numPr>
        <w:rPr/>
      </w:pPr>
      <w:bookmarkStart w:id="4781" w:name="__RefHeading___Toc2569320_3650668749"/>
      <w:bookmarkStart w:id="4782" w:name="_Toc2169"/>
      <w:bookmarkEnd w:id="4781"/>
      <w:r>
        <w:rPr>
          <w:rtl w:val="true"/>
        </w:rPr>
        <w:t>[</w:t>
      </w:r>
      <w:r>
        <w:rPr>
          <w:rtl w:val="true"/>
        </w:rPr>
        <w:t>سادسها</w:t>
      </w:r>
      <w:r>
        <w:rPr>
          <w:rtl w:val="true"/>
        </w:rPr>
        <w:t xml:space="preserve">: </w:t>
      </w:r>
      <w:r>
        <w:rPr>
          <w:rtl w:val="true"/>
        </w:rPr>
        <w:t>تعیین الأرض</w:t>
      </w:r>
      <w:r>
        <w:rPr>
          <w:rtl w:val="true"/>
        </w:rPr>
        <w:t>]</w:t>
      </w:r>
      <w:bookmarkEnd w:id="4782"/>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الأرض، فلو زارعه علیٰ قطعة من هذه القطعات، أو مزرعة من هذه المزارع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عیّن قطعة معیّنة من الأرض التی لم تختلف أجزاؤها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زارعتک علیٰ جریب من هذه القطعة علیٰ نحو الکلّی فی المعیّن فالظاهر الصحّة، و یکون التخییر فی تعیینه لصاحب الأرض</w:t>
      </w:r>
      <w:r>
        <w:rPr>
          <w:rFonts w:eastAsia="IRNazanin" w:cs="IRNazanin"/>
          <w:color w:val="111111"/>
          <w:sz w:val="28"/>
          <w:szCs w:val="28"/>
          <w:rtl w:val="true"/>
          <w:lang w:bidi="fa-IR"/>
        </w:rPr>
        <w:t>.</w:t>
      </w:r>
    </w:p>
    <w:p>
      <w:pPr>
        <w:pStyle w:val="Heading4"/>
        <w:numPr>
          <w:ilvl w:val="3"/>
          <w:numId w:val="1"/>
        </w:numPr>
        <w:rPr/>
      </w:pPr>
      <w:bookmarkStart w:id="4783" w:name="__RefHeading___Toc2569322_3650668749"/>
      <w:bookmarkStart w:id="4784" w:name="_Toc2170"/>
      <w:bookmarkEnd w:id="4783"/>
      <w:r>
        <w:rPr>
          <w:rtl w:val="true"/>
        </w:rPr>
        <w:t>[</w:t>
      </w:r>
      <w:r>
        <w:rPr>
          <w:rtl w:val="true"/>
        </w:rPr>
        <w:t>سابعها</w:t>
      </w:r>
      <w:r>
        <w:rPr>
          <w:rtl w:val="true"/>
        </w:rPr>
        <w:t xml:space="preserve">: </w:t>
      </w:r>
      <w:r>
        <w:rPr>
          <w:rtl w:val="true"/>
        </w:rPr>
        <w:t>أن یعیّنا کون البذر و سائر المصارف</w:t>
      </w:r>
      <w:r>
        <w:rPr>
          <w:rtl w:val="true"/>
        </w:rPr>
        <w:t>]</w:t>
      </w:r>
      <w:bookmarkEnd w:id="4784"/>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یعیّنا کون البذر و سائر المصارف علیٰ أیّ منهما إذا لم یکن تعارف</w:t>
      </w:r>
      <w:r>
        <w:rPr>
          <w:rFonts w:eastAsia="IRNazanin" w:cs="IRNazanin"/>
          <w:color w:val="111111"/>
          <w:sz w:val="28"/>
          <w:szCs w:val="28"/>
          <w:rtl w:val="true"/>
          <w:lang w:bidi="fa-IR"/>
        </w:rPr>
        <w:t>.</w:t>
      </w:r>
    </w:p>
    <w:p>
      <w:pPr>
        <w:pStyle w:val="Heading3"/>
        <w:numPr>
          <w:ilvl w:val="2"/>
          <w:numId w:val="1"/>
        </w:numPr>
        <w:rPr/>
      </w:pPr>
      <w:bookmarkStart w:id="4785" w:name="__RefHeading___Toc2569324_3650668749"/>
      <w:bookmarkStart w:id="4786" w:name="_Toc2171"/>
      <w:bookmarkEnd w:id="4785"/>
      <w:r>
        <w:rPr>
          <w:rtl w:val="true"/>
        </w:rPr>
        <w:t>[ (</w:t>
      </w:r>
      <w:r>
        <w:rPr>
          <w:rtl w:val="true"/>
        </w:rPr>
        <w:t xml:space="preserve">مسألة </w:t>
      </w:r>
      <w:r>
        <w:rPr/>
        <w:t>2</w:t>
      </w:r>
      <w:r>
        <w:rPr>
          <w:rtl w:val="true"/>
        </w:rPr>
        <w:t xml:space="preserve">): </w:t>
      </w:r>
      <w:r>
        <w:rPr>
          <w:rtl w:val="true"/>
        </w:rPr>
        <w:t>لا یعتبر فی المزارعة کون الأرض ملکاً للمزارع</w:t>
      </w:r>
      <w:r>
        <w:rPr>
          <w:rtl w:val="true"/>
        </w:rPr>
        <w:t>]</w:t>
      </w:r>
      <w:bookmarkEnd w:id="4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فی المزارعة کون الأرض ملکاً للمزارع، بل یکفی کونه مالکاً لمنفعتها أو انتفاعها بالإجارة </w:t>
      </w:r>
      <w:r>
        <w:rPr>
          <w:rStyle w:val="FootnoteAnchor"/>
          <w:rtl w:val="true"/>
        </w:rPr>
        <w:footnoteReference w:id="1328"/>
      </w:r>
      <w:r>
        <w:rPr>
          <w:rFonts w:ascii="IRNazanin" w:hAnsi="IRNazanin" w:eastAsia="IRNazanin"/>
          <w:color w:val="111111"/>
          <w:sz w:val="28"/>
          <w:sz w:val="28"/>
          <w:szCs w:val="28"/>
          <w:rtl w:val="true"/>
          <w:lang w:bidi="fa-IR"/>
        </w:rPr>
        <w:t>و نحوها، أو أخذاً لها من مالکها بعنوان المزارعة، أو کانت أرضاً خراجیّة و قد تقبّلها من السلطان أو غیره، نعم لو لم یکن له فیها حقّ و لا علیها سلطنة أصلًا کالموات لم یصحّ مزارعتها، و إن أمکن أن یتشارکا فی زرعها و حاصلها مع الاشتراک فی البذر، لکنّه لیس من المزارعة فی شی‌ء</w:t>
      </w:r>
      <w:r>
        <w:rPr>
          <w:rFonts w:eastAsia="IRNazanin" w:cs="IRNazanin"/>
          <w:color w:val="111111"/>
          <w:sz w:val="28"/>
          <w:szCs w:val="28"/>
          <w:rtl w:val="true"/>
          <w:lang w:bidi="fa-IR"/>
        </w:rPr>
        <w:t>.</w:t>
      </w:r>
    </w:p>
    <w:p>
      <w:pPr>
        <w:pStyle w:val="Heading3"/>
        <w:numPr>
          <w:ilvl w:val="2"/>
          <w:numId w:val="1"/>
        </w:numPr>
        <w:rPr/>
      </w:pPr>
      <w:bookmarkStart w:id="4787" w:name="__RefHeading___Toc2569326_3650668749"/>
      <w:bookmarkStart w:id="4788" w:name="_Toc2172"/>
      <w:bookmarkEnd w:id="4787"/>
      <w:r>
        <w:rPr>
          <w:rtl w:val="true"/>
        </w:rPr>
        <w:t>[ (</w:t>
      </w:r>
      <w:r>
        <w:rPr>
          <w:rtl w:val="true"/>
        </w:rPr>
        <w:t xml:space="preserve">مسألة </w:t>
      </w:r>
      <w:r>
        <w:rPr/>
        <w:t>3</w:t>
      </w:r>
      <w:r>
        <w:rPr>
          <w:rtl w:val="true"/>
        </w:rPr>
        <w:t xml:space="preserve">): </w:t>
      </w:r>
      <w:r>
        <w:rPr>
          <w:rtl w:val="true"/>
        </w:rPr>
        <w:t>إذا أذن مالک الأرض أو المزرعة إذناً عامّاً</w:t>
      </w:r>
      <w:r>
        <w:rPr>
          <w:rtl w:val="true"/>
        </w:rPr>
        <w:t>]</w:t>
      </w:r>
      <w:bookmarkEnd w:id="47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مالک الأرض أو المزرعة إذناً عامّاً؛ بأنّ کلّ من زرع أرضه أو مزرعته فله نصف الحاصل مثلًا فأقدم واحد علیٰ ذلک، استحقّ المالک حصّته</w:t>
      </w:r>
      <w:r>
        <w:rPr>
          <w:rFonts w:eastAsia="IRNazanin" w:cs="IRNazanin"/>
          <w:color w:val="111111"/>
          <w:sz w:val="28"/>
          <w:szCs w:val="28"/>
          <w:rtl w:val="true"/>
          <w:lang w:bidi="fa-IR"/>
        </w:rPr>
        <w:t>.</w:t>
      </w:r>
    </w:p>
    <w:p>
      <w:pPr>
        <w:pStyle w:val="Heading3"/>
        <w:numPr>
          <w:ilvl w:val="2"/>
          <w:numId w:val="1"/>
        </w:numPr>
        <w:rPr/>
      </w:pPr>
      <w:bookmarkStart w:id="4789" w:name="__RefHeading___Toc2569328_3650668749"/>
      <w:bookmarkStart w:id="4790" w:name="_Toc2173"/>
      <w:bookmarkEnd w:id="4789"/>
      <w:r>
        <w:rPr>
          <w:rtl w:val="true"/>
        </w:rPr>
        <w:t>[ (</w:t>
      </w:r>
      <w:r>
        <w:rPr>
          <w:rtl w:val="true"/>
        </w:rPr>
        <w:t xml:space="preserve">مسألة </w:t>
      </w:r>
      <w:r>
        <w:rPr/>
        <w:t>4</w:t>
      </w:r>
      <w:r>
        <w:rPr>
          <w:rtl w:val="true"/>
        </w:rPr>
        <w:t xml:space="preserve">): </w:t>
      </w:r>
      <w:r>
        <w:rPr>
          <w:rtl w:val="true"/>
        </w:rPr>
        <w:t>إذا اشترطا أن یکون الحاصل بینهما بعد إخراج الخراج</w:t>
      </w:r>
      <w:r>
        <w:rPr>
          <w:rtl w:val="true"/>
        </w:rPr>
        <w:t>]</w:t>
      </w:r>
      <w:bookmarkEnd w:id="47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اشترطا أن یکون الحاصل بینهما بعد إخراج الخراج، أو بعد إخراج البذر لباذله، أو ما یصرف فی تعمیر الأرض لصارفه، فإن اطمئنّا ببقاء شی‌ء بعد ذلک من الحاصل لیکون بینهما صحّ، و إلّا بطل</w:t>
      </w:r>
      <w:r>
        <w:rPr>
          <w:rFonts w:eastAsia="IRNazanin" w:cs="IRNazanin"/>
          <w:color w:val="111111"/>
          <w:sz w:val="28"/>
          <w:szCs w:val="28"/>
          <w:rtl w:val="true"/>
          <w:lang w:bidi="fa-IR"/>
        </w:rPr>
        <w:t>.</w:t>
      </w:r>
    </w:p>
    <w:p>
      <w:pPr>
        <w:pStyle w:val="Heading3"/>
        <w:numPr>
          <w:ilvl w:val="2"/>
          <w:numId w:val="1"/>
        </w:numPr>
        <w:rPr/>
      </w:pPr>
      <w:bookmarkStart w:id="4791" w:name="__RefHeading___Toc2569330_3650668749"/>
      <w:bookmarkStart w:id="4792" w:name="_Toc2174"/>
      <w:bookmarkEnd w:id="4791"/>
      <w:r>
        <w:rPr>
          <w:rtl w:val="true"/>
        </w:rPr>
        <w:t>[ (</w:t>
      </w:r>
      <w:r>
        <w:rPr>
          <w:rtl w:val="true"/>
        </w:rPr>
        <w:t xml:space="preserve">مسألة </w:t>
      </w:r>
      <w:r>
        <w:rPr/>
        <w:t>5</w:t>
      </w:r>
      <w:r>
        <w:rPr>
          <w:rtl w:val="true"/>
        </w:rPr>
        <w:t xml:space="preserve">): </w:t>
      </w:r>
      <w:r>
        <w:rPr>
          <w:rtl w:val="true"/>
        </w:rPr>
        <w:t>إذا انقضت المدّة المعیّنة و لم یدرک الزرع لم یستحقّ الزارع إبقاءه</w:t>
      </w:r>
      <w:r>
        <w:rPr>
          <w:rtl w:val="true"/>
        </w:rPr>
        <w:t>]</w:t>
      </w:r>
      <w:bookmarkEnd w:id="47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انقضت المدّة المعیّنة و لم یدرک الزرع لم یستحقّ الزارع إبقاءه و لو بالأُجرة، بل للمالک الأمر بإزالته من دون أرش و له إبقاؤه مجّاناً أو مع الأُجرة إن رضی الزارع بها</w:t>
      </w:r>
      <w:r>
        <w:rPr>
          <w:rFonts w:eastAsia="IRNazanin" w:cs="IRNazanin"/>
          <w:color w:val="111111"/>
          <w:sz w:val="28"/>
          <w:szCs w:val="28"/>
          <w:rtl w:val="true"/>
          <w:lang w:bidi="fa-IR"/>
        </w:rPr>
        <w:t>.</w:t>
      </w:r>
    </w:p>
    <w:p>
      <w:pPr>
        <w:pStyle w:val="Heading3"/>
        <w:numPr>
          <w:ilvl w:val="2"/>
          <w:numId w:val="1"/>
        </w:numPr>
        <w:rPr/>
      </w:pPr>
      <w:bookmarkStart w:id="4793" w:name="__RefHeading___Toc2569332_3650668749"/>
      <w:bookmarkStart w:id="4794" w:name="_Toc2175"/>
      <w:bookmarkEnd w:id="4793"/>
      <w:r>
        <w:rPr>
          <w:rtl w:val="true"/>
        </w:rPr>
        <w:t>[ (</w:t>
      </w:r>
      <w:r>
        <w:rPr>
          <w:rtl w:val="true"/>
        </w:rPr>
        <w:t xml:space="preserve">مسألة </w:t>
      </w:r>
      <w:r>
        <w:rPr/>
        <w:t>6</w:t>
      </w:r>
      <w:r>
        <w:rPr>
          <w:rtl w:val="true"/>
        </w:rPr>
        <w:t xml:space="preserve">): </w:t>
      </w:r>
      <w:r>
        <w:rPr>
          <w:rtl w:val="true"/>
        </w:rPr>
        <w:t>لو ترک الزارع الزرع حتّی انقضت المدّة</w:t>
      </w:r>
      <w:r>
        <w:rPr>
          <w:rtl w:val="true"/>
        </w:rPr>
        <w:t>]</w:t>
      </w:r>
      <w:bookmarkEnd w:id="479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الزارع الزرع حتّی انقضت المدّة، فهل یضمن اجرة المثل أو ما</w:t>
      </w:r>
      <w:bookmarkStart w:id="4795" w:name="pg1809_19480"/>
    </w:p>
    <w:p>
      <w:pPr>
        <w:pStyle w:val="BookText"/>
        <w:rPr/>
      </w:pPr>
      <w:bookmarkEnd w:id="4795"/>
      <w:r>
        <w:rPr>
          <w:rFonts w:ascii="IRNazanin" w:hAnsi="IRNazanin" w:eastAsia="IRNazanin"/>
          <w:color w:val="111111"/>
          <w:sz w:val="28"/>
          <w:sz w:val="28"/>
          <w:szCs w:val="28"/>
          <w:rtl w:val="true"/>
          <w:lang w:bidi="fa-IR"/>
        </w:rPr>
        <w:t xml:space="preserve">یعادل حصّة المالک بحسب التخمین أو لا یضمن شیئاً؟ وجوه </w:t>
      </w:r>
      <w:r>
        <w:rPr>
          <w:rStyle w:val="FootnoteAnchor"/>
          <w:rtl w:val="true"/>
        </w:rPr>
        <w:footnoteReference w:id="1329"/>
      </w:r>
      <w:r>
        <w:rPr>
          <w:rFonts w:ascii="IRNazanin" w:hAnsi="IRNazanin" w:eastAsia="IRNazanin"/>
          <w:color w:val="111111"/>
          <w:sz w:val="28"/>
          <w:sz w:val="28"/>
          <w:szCs w:val="28"/>
          <w:rtl w:val="true"/>
          <w:lang w:bidi="fa-IR"/>
        </w:rPr>
        <w:t>، و الأحوط التراضی و التصالح و إن کان الأخیر لا یخلو من قوّة، هذا إذا لم یکن ترک الزرع لعذر عامّ کالثلوج الخارقة أو صیرورة المحلّ معسکراً أو مسبعة و نحوها، و إلّا انفسخت المزارعة</w:t>
      </w:r>
      <w:r>
        <w:rPr>
          <w:rFonts w:eastAsia="IRNazanin" w:cs="IRNazanin"/>
          <w:color w:val="111111"/>
          <w:sz w:val="28"/>
          <w:szCs w:val="28"/>
          <w:rtl w:val="true"/>
          <w:lang w:bidi="fa-IR"/>
        </w:rPr>
        <w:t>.</w:t>
      </w:r>
    </w:p>
    <w:p>
      <w:pPr>
        <w:pStyle w:val="Heading3"/>
        <w:numPr>
          <w:ilvl w:val="2"/>
          <w:numId w:val="1"/>
        </w:numPr>
        <w:rPr/>
      </w:pPr>
      <w:bookmarkStart w:id="4796" w:name="__RefHeading___Toc2569334_3650668749"/>
      <w:bookmarkStart w:id="4797" w:name="_Toc2176"/>
      <w:bookmarkEnd w:id="4796"/>
      <w:r>
        <w:rPr>
          <w:rtl w:val="true"/>
        </w:rPr>
        <w:t>[ (</w:t>
      </w:r>
      <w:r>
        <w:rPr>
          <w:rtl w:val="true"/>
        </w:rPr>
        <w:t xml:space="preserve">مسألة </w:t>
      </w:r>
      <w:r>
        <w:rPr/>
        <w:t>7</w:t>
      </w:r>
      <w:r>
        <w:rPr>
          <w:rtl w:val="true"/>
        </w:rPr>
        <w:t xml:space="preserve">): </w:t>
      </w:r>
      <w:r>
        <w:rPr>
          <w:rtl w:val="true"/>
        </w:rPr>
        <w:t>إذا زارع علیٰ أرض ثمّ تبیّن للزارع أنّه لا ماء لها فعلًا لکن أمکن تحصیله بحفر بئر</w:t>
      </w:r>
      <w:r>
        <w:rPr>
          <w:rtl w:val="true"/>
        </w:rPr>
        <w:t>]</w:t>
      </w:r>
      <w:bookmarkEnd w:id="47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زارع علیٰ أرض ثمّ تبیّن للزارع أنّه لا ماء لها فعلًا لکن أمکن تحصیله بحفر بئر و نحوه صحّت المزارعة، لکن للعامل خیار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تبیّن کون الأرض غیر صالحة للزراعة إلّا بالعلاج التامّ کما إذا کانت مستولیاً علیها الماء لکن یمکن قطعه عنها نعم لو تبیّن أنّه لا ماء لها فعلًا و لا یمکن تحصیله، أو کانت مشغولة بمانع لا یمکن إزالته و لا یرجیٰ زواله، کان باطلًا</w:t>
      </w:r>
      <w:r>
        <w:rPr>
          <w:rFonts w:eastAsia="IRNazanin" w:cs="IRNazanin"/>
          <w:color w:val="111111"/>
          <w:sz w:val="28"/>
          <w:szCs w:val="28"/>
          <w:rtl w:val="true"/>
          <w:lang w:bidi="fa-IR"/>
        </w:rPr>
        <w:t>.</w:t>
      </w:r>
    </w:p>
    <w:p>
      <w:pPr>
        <w:pStyle w:val="Heading3"/>
        <w:numPr>
          <w:ilvl w:val="2"/>
          <w:numId w:val="1"/>
        </w:numPr>
        <w:rPr/>
      </w:pPr>
      <w:bookmarkStart w:id="4798" w:name="__RefHeading___Toc2569336_3650668749"/>
      <w:bookmarkStart w:id="4799" w:name="_Toc2177"/>
      <w:bookmarkEnd w:id="4798"/>
      <w:r>
        <w:rPr>
          <w:rtl w:val="true"/>
        </w:rPr>
        <w:t>[ (</w:t>
      </w:r>
      <w:r>
        <w:rPr>
          <w:rtl w:val="true"/>
        </w:rPr>
        <w:t xml:space="preserve">مسألة </w:t>
      </w:r>
      <w:r>
        <w:rPr/>
        <w:t>8</w:t>
      </w:r>
      <w:r>
        <w:rPr>
          <w:rtl w:val="true"/>
        </w:rPr>
        <w:t xml:space="preserve">): </w:t>
      </w:r>
      <w:r>
        <w:rPr>
          <w:rtl w:val="true"/>
        </w:rPr>
        <w:t>إذا عیّن المالک له نوعاً من الزرع کالحنطة أو الشعیر أو غیرهما فزرع غیره ببذره</w:t>
      </w:r>
      <w:r>
        <w:rPr>
          <w:rtl w:val="true"/>
        </w:rPr>
        <w:t>]</w:t>
      </w:r>
      <w:bookmarkEnd w:id="47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عیّن المالک له نوعاً من الزرع کالحنطة أو الشعیر أو غیرهما فزرع غیره ببذره کان له الخیار </w:t>
      </w:r>
      <w:r>
        <w:rPr>
          <w:rStyle w:val="FootnoteAnchor"/>
          <w:rtl w:val="true"/>
        </w:rPr>
        <w:footnoteReference w:id="1330"/>
      </w:r>
      <w:r>
        <w:rPr>
          <w:rFonts w:ascii="IRNazanin" w:hAnsi="IRNazanin" w:eastAsia="IRNazanin"/>
          <w:color w:val="111111"/>
          <w:sz w:val="28"/>
          <w:sz w:val="28"/>
          <w:szCs w:val="28"/>
          <w:rtl w:val="true"/>
          <w:lang w:bidi="fa-IR"/>
        </w:rPr>
        <w:t>بین الفسخ و الإمضاء، فإن أمضاه أخذ حصّته، و إن فسخ کان الزرع للزارع و علیه للمالک أُجرة الأرض</w:t>
      </w:r>
      <w:r>
        <w:rPr>
          <w:rFonts w:eastAsia="IRNazanin" w:cs="IRNazanin"/>
          <w:color w:val="111111"/>
          <w:sz w:val="28"/>
          <w:szCs w:val="28"/>
          <w:rtl w:val="true"/>
          <w:lang w:bidi="fa-IR"/>
        </w:rPr>
        <w:t>.</w:t>
      </w:r>
    </w:p>
    <w:p>
      <w:pPr>
        <w:pStyle w:val="Heading3"/>
        <w:numPr>
          <w:ilvl w:val="2"/>
          <w:numId w:val="1"/>
        </w:numPr>
        <w:rPr/>
      </w:pPr>
      <w:bookmarkStart w:id="4800" w:name="__RefHeading___Toc2569338_3650668749"/>
      <w:bookmarkStart w:id="4801" w:name="_Toc2178"/>
      <w:bookmarkEnd w:id="4800"/>
      <w:r>
        <w:rPr>
          <w:rtl w:val="true"/>
        </w:rPr>
        <w:t>[ (</w:t>
      </w:r>
      <w:r>
        <w:rPr>
          <w:rtl w:val="true"/>
        </w:rPr>
        <w:t xml:space="preserve">مسألة </w:t>
      </w:r>
      <w:r>
        <w:rPr/>
        <w:t>9</w:t>
      </w:r>
      <w:r>
        <w:rPr>
          <w:rtl w:val="true"/>
        </w:rPr>
        <w:t xml:space="preserve">): </w:t>
      </w:r>
      <w:r>
        <w:rPr>
          <w:rtl w:val="true"/>
        </w:rPr>
        <w:t>الظاهر أنّه یعتبر فی حقیقة المزارعة کون الأرض من أحدهما و العمل من الآخر</w:t>
      </w:r>
      <w:r>
        <w:rPr>
          <w:rtl w:val="true"/>
        </w:rPr>
        <w:t>]</w:t>
      </w:r>
      <w:bookmarkEnd w:id="48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یعتبر </w:t>
      </w:r>
      <w:r>
        <w:rPr>
          <w:rStyle w:val="FootnoteAnchor"/>
          <w:rtl w:val="true"/>
        </w:rPr>
        <w:footnoteReference w:id="1331"/>
      </w:r>
      <w:r>
        <w:rPr>
          <w:rFonts w:ascii="IRNazanin" w:hAnsi="IRNazanin" w:eastAsia="IRNazanin"/>
          <w:color w:val="111111"/>
          <w:sz w:val="28"/>
          <w:sz w:val="28"/>
          <w:szCs w:val="28"/>
          <w:rtl w:val="true"/>
          <w:lang w:bidi="fa-IR"/>
        </w:rPr>
        <w:t>فی حقیقة المزارعة کون الأرض من أحدهما و العمل من الآخر، و أمّا البذر و العوامل و سائر المصارف فبحسب ما یشترطانه، فیجوز جعل کلّها علی المزارع أو علی الزارع، أو بعضها علیٰ هذا و بعضها علیٰ ذاک، و لا بدّ من تعیین ذلک حین العقد إلّا إذا کان هناک معتاد یغنی عن التعیین</w:t>
      </w:r>
      <w:r>
        <w:rPr>
          <w:rFonts w:eastAsia="IRNazanin" w:cs="IRNazanin"/>
          <w:color w:val="111111"/>
          <w:sz w:val="28"/>
          <w:szCs w:val="28"/>
          <w:rtl w:val="true"/>
          <w:lang w:bidi="fa-IR"/>
        </w:rPr>
        <w:t>.</w:t>
      </w:r>
    </w:p>
    <w:p>
      <w:pPr>
        <w:pStyle w:val="Heading3"/>
        <w:numPr>
          <w:ilvl w:val="2"/>
          <w:numId w:val="1"/>
        </w:numPr>
        <w:rPr/>
      </w:pPr>
      <w:bookmarkStart w:id="4802" w:name="__RefHeading___Toc2569340_3650668749"/>
      <w:bookmarkStart w:id="4803" w:name="_Toc2179"/>
      <w:bookmarkEnd w:id="4802"/>
      <w:r>
        <w:rPr>
          <w:rtl w:val="true"/>
        </w:rPr>
        <w:t>[ (</w:t>
      </w:r>
      <w:r>
        <w:rPr>
          <w:rtl w:val="true"/>
        </w:rPr>
        <w:t xml:space="preserve">مسألة </w:t>
      </w:r>
      <w:r>
        <w:rPr/>
        <w:t>10</w:t>
      </w:r>
      <w:r>
        <w:rPr>
          <w:rtl w:val="true"/>
        </w:rPr>
        <w:t xml:space="preserve">): </w:t>
      </w:r>
      <w:r>
        <w:rPr>
          <w:rtl w:val="true"/>
        </w:rPr>
        <w:t>یجوز للزارع أن یشارک غیره فی مزارعته</w:t>
      </w:r>
      <w:r>
        <w:rPr>
          <w:rtl w:val="true"/>
        </w:rPr>
        <w:t>]</w:t>
      </w:r>
      <w:bookmarkEnd w:id="4803"/>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للزارع أن یشارک غیره فی مزارعته بجعل حصّة من حصّته لمن</w:t>
      </w:r>
      <w:bookmarkStart w:id="4804" w:name="pg1809_19481"/>
    </w:p>
    <w:p>
      <w:pPr>
        <w:pStyle w:val="BookText"/>
        <w:rPr/>
      </w:pPr>
      <w:bookmarkEnd w:id="4804"/>
      <w:r>
        <w:rPr>
          <w:rFonts w:ascii="IRNazanin" w:hAnsi="IRNazanin" w:eastAsia="IRNazanin"/>
          <w:color w:val="111111"/>
          <w:sz w:val="28"/>
          <w:sz w:val="28"/>
          <w:szCs w:val="28"/>
          <w:rtl w:val="true"/>
          <w:lang w:bidi="fa-IR"/>
        </w:rPr>
        <w:t xml:space="preserve">شارکه؛ بحیث کأنّهما معاً طرف للمالک، کما أنّه یجوز أن یزارع غیره بحیث کان الزارع الثانی طرفاً للمالک </w:t>
      </w:r>
      <w:r>
        <w:rPr>
          <w:rStyle w:val="FootnoteAnchor"/>
          <w:rtl w:val="true"/>
        </w:rPr>
        <w:footnoteReference w:id="1332"/>
      </w:r>
      <w:r>
        <w:rPr>
          <w:rFonts w:ascii="IRNazanin" w:hAnsi="IRNazanin" w:eastAsia="IRNazanin"/>
          <w:color w:val="111111"/>
          <w:sz w:val="28"/>
          <w:sz w:val="28"/>
          <w:szCs w:val="28"/>
          <w:rtl w:val="true"/>
          <w:lang w:bidi="fa-IR"/>
        </w:rPr>
        <w:t>، لکن لا بدّ أن تکون حصّة المالک محفوظة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المزارعة الاولیٰ بالنصف لم یجز أن تجعل المزارعة الثانیة بالثلث للمالک و الثلثین للعامل، نعم یجوز أن یجعل حصّة الزارع الثانی أقلّ من حصّة الزارع فی المزارعة الاولیٰ، فیأخذ الزارع الثانی حصّته و المالک حصّته و ما بقی یکون للزارع فی المزارعة الأُولیٰ؛ مثلًا إذا کانت المزارعة الاولیٰ بالنصف و جعل حصّة الزارع فی المزارعة الثانیة الربع کان للمالک نصف الحاصل و للزارع الثانی الربع و یبقی الربع للزارع فی المزارعة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کلّه بین أن یکون البذر فی المزارعة الأُولیٰ علی المالک أو علی العامل، و لو جعل فی الأُولیٰ علی العامل یجوز فی الثانیة أن یجعل علی المزارع أو علی الزارع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فی صحّة التشریک فی المزارعة و لا إیقاع المزارعة الثانیة إذن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یجوز </w:t>
      </w:r>
      <w:r>
        <w:rPr>
          <w:rStyle w:val="FootnoteAnchor"/>
          <w:rtl w:val="true"/>
        </w:rPr>
        <w:footnoteReference w:id="1333"/>
      </w:r>
      <w:r>
        <w:rPr>
          <w:rFonts w:ascii="IRNazanin" w:hAnsi="IRNazanin" w:eastAsia="IRNazanin"/>
          <w:color w:val="111111"/>
          <w:sz w:val="28"/>
          <w:sz w:val="28"/>
          <w:szCs w:val="28"/>
          <w:rtl w:val="true"/>
          <w:lang w:bidi="fa-IR"/>
        </w:rPr>
        <w:t>تسلیم الأرض إلیٰ ذلک الغیر إلّا بإذنه، کما أنّه لو شرط علیه المالک أن یباشر بنفسه بحیث لا یشارکه غیره و لا یزارعه کان هو المتّبع</w:t>
      </w:r>
      <w:r>
        <w:rPr>
          <w:rFonts w:eastAsia="IRNazanin" w:cs="IRNazanin"/>
          <w:color w:val="111111"/>
          <w:sz w:val="28"/>
          <w:szCs w:val="28"/>
          <w:rtl w:val="true"/>
          <w:lang w:bidi="fa-IR"/>
        </w:rPr>
        <w:t>.</w:t>
      </w:r>
    </w:p>
    <w:p>
      <w:pPr>
        <w:pStyle w:val="Heading3"/>
        <w:numPr>
          <w:ilvl w:val="2"/>
          <w:numId w:val="1"/>
        </w:numPr>
        <w:rPr/>
      </w:pPr>
      <w:bookmarkStart w:id="4805" w:name="__RefHeading___Toc2569342_3650668749"/>
      <w:bookmarkStart w:id="4806" w:name="_Toc2180"/>
      <w:bookmarkEnd w:id="4805"/>
      <w:r>
        <w:rPr>
          <w:rtl w:val="true"/>
        </w:rPr>
        <w:t>[ (</w:t>
      </w:r>
      <w:r>
        <w:rPr>
          <w:rtl w:val="true"/>
        </w:rPr>
        <w:t xml:space="preserve">مسألة </w:t>
      </w:r>
      <w:r>
        <w:rPr/>
        <w:t>11</w:t>
      </w:r>
      <w:r>
        <w:rPr>
          <w:rtl w:val="true"/>
        </w:rPr>
        <w:t xml:space="preserve">): </w:t>
      </w:r>
      <w:r>
        <w:rPr>
          <w:rtl w:val="true"/>
        </w:rPr>
        <w:t>المزارعة عقد لازم من الطرفین</w:t>
      </w:r>
      <w:r>
        <w:rPr>
          <w:rtl w:val="true"/>
        </w:rPr>
        <w:t>]</w:t>
      </w:r>
      <w:bookmarkEnd w:id="48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المزارعة عقد لازم من الطرفین، فلا تنفسخ بفسخ أحدهما إلّا إذا کان له الخیار بسبب الاشتراط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تنفسخ بالتقایل کسائر العقود اللازمة، کما أنّه تبطل و تنفسخ قهراً بخروج الأرض عن قابلیّة </w:t>
      </w:r>
      <w:r>
        <w:rPr>
          <w:rStyle w:val="FootnoteAnchor"/>
          <w:rtl w:val="true"/>
        </w:rPr>
        <w:footnoteReference w:id="1334"/>
      </w:r>
      <w:r>
        <w:rPr>
          <w:rFonts w:ascii="IRNazanin" w:hAnsi="IRNazanin" w:eastAsia="IRNazanin"/>
          <w:color w:val="111111"/>
          <w:sz w:val="28"/>
          <w:sz w:val="28"/>
          <w:szCs w:val="28"/>
          <w:rtl w:val="true"/>
          <w:lang w:bidi="fa-IR"/>
        </w:rPr>
        <w:t>الانتفاع لانقطاع الماء عنها أو استیلائه علیها و غیر ذلک</w:t>
      </w:r>
      <w:r>
        <w:rPr>
          <w:rFonts w:eastAsia="IRNazanin" w:cs="IRNazanin"/>
          <w:color w:val="111111"/>
          <w:sz w:val="28"/>
          <w:szCs w:val="28"/>
          <w:rtl w:val="true"/>
          <w:lang w:bidi="fa-IR"/>
        </w:rPr>
        <w:t>.</w:t>
      </w:r>
    </w:p>
    <w:p>
      <w:pPr>
        <w:pStyle w:val="Heading3"/>
        <w:numPr>
          <w:ilvl w:val="2"/>
          <w:numId w:val="1"/>
        </w:numPr>
        <w:rPr/>
      </w:pPr>
      <w:bookmarkStart w:id="4807" w:name="__RefHeading___Toc2569344_3650668749"/>
      <w:bookmarkStart w:id="4808" w:name="_Toc2181"/>
      <w:bookmarkEnd w:id="4807"/>
      <w:r>
        <w:rPr>
          <w:rtl w:val="true"/>
        </w:rPr>
        <w:t>[ (</w:t>
      </w:r>
      <w:r>
        <w:rPr>
          <w:rtl w:val="true"/>
        </w:rPr>
        <w:t xml:space="preserve">مسألة </w:t>
      </w:r>
      <w:r>
        <w:rPr/>
        <w:t>12</w:t>
      </w:r>
      <w:r>
        <w:rPr>
          <w:rtl w:val="true"/>
        </w:rPr>
        <w:t xml:space="preserve">): </w:t>
      </w:r>
      <w:r>
        <w:rPr>
          <w:rtl w:val="true"/>
        </w:rPr>
        <w:t>لا تبطل المزارعة بموت أحد المتعاقدین</w:t>
      </w:r>
      <w:r>
        <w:rPr>
          <w:rtl w:val="true"/>
        </w:rPr>
        <w:t>]</w:t>
      </w:r>
      <w:bookmarkEnd w:id="48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المزارعة بموت أحد المتعاقدین، فإن مات ربّ الأرض قام وارثه مقامه و إن مات العامل فکذلک، فإمّا أن یتمّوا العمل و لهم حصّة مورّثهم و إمّا أن یستأجروا أحداً لإتمام العمل من مال المورّث و لو بالحصّة المزبورة، فإن زاد شی‌ء کان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اشترط علی العامل مباشرته للعمل تبطل بموته</w:t>
      </w:r>
      <w:r>
        <w:rPr>
          <w:rFonts w:eastAsia="IRNazanin" w:cs="IRNazanin"/>
          <w:color w:val="111111"/>
          <w:sz w:val="28"/>
          <w:szCs w:val="28"/>
          <w:rtl w:val="true"/>
          <w:lang w:bidi="fa-IR"/>
        </w:rPr>
        <w:t>.</w:t>
      </w:r>
    </w:p>
    <w:p>
      <w:pPr>
        <w:pStyle w:val="Heading3"/>
        <w:numPr>
          <w:ilvl w:val="2"/>
          <w:numId w:val="1"/>
        </w:numPr>
        <w:rPr/>
      </w:pPr>
      <w:bookmarkStart w:id="4809" w:name="__RefHeading___Toc2569346_3650668749"/>
      <w:bookmarkStart w:id="4810" w:name="_Toc2182"/>
      <w:bookmarkEnd w:id="4809"/>
      <w:r>
        <w:rPr>
          <w:rtl w:val="true"/>
        </w:rPr>
        <w:t>[ (</w:t>
      </w:r>
      <w:r>
        <w:rPr>
          <w:rtl w:val="true"/>
        </w:rPr>
        <w:t xml:space="preserve">مسألة </w:t>
      </w:r>
      <w:r>
        <w:rPr/>
        <w:t>13</w:t>
      </w:r>
      <w:r>
        <w:rPr>
          <w:rtl w:val="true"/>
        </w:rPr>
        <w:t xml:space="preserve">): </w:t>
      </w:r>
      <w:r>
        <w:rPr>
          <w:rtl w:val="true"/>
        </w:rPr>
        <w:t>إذا تبیّن بطلان المزارعة بعد ما زرع الأرض</w:t>
      </w:r>
      <w:r>
        <w:rPr>
          <w:rtl w:val="true"/>
        </w:rPr>
        <w:t>]</w:t>
      </w:r>
      <w:bookmarkEnd w:id="4810"/>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بطلان المزارعة بعد ما زرع الأرض، فإن کان البذر لصاحب</w:t>
      </w:r>
      <w:bookmarkStart w:id="4811" w:name="pg1809_19482"/>
    </w:p>
    <w:p>
      <w:pPr>
        <w:pStyle w:val="BookText"/>
        <w:rPr/>
      </w:pPr>
      <w:bookmarkEnd w:id="4811"/>
      <w:r>
        <w:rPr>
          <w:rFonts w:ascii="IRNazanin" w:hAnsi="IRNazanin" w:eastAsia="IRNazanin"/>
          <w:color w:val="111111"/>
          <w:sz w:val="28"/>
          <w:sz w:val="28"/>
          <w:szCs w:val="28"/>
          <w:rtl w:val="true"/>
          <w:lang w:bidi="fa-IR"/>
        </w:rPr>
        <w:t xml:space="preserve">الأرض کان الزرع له و علیه اجرة العامل </w:t>
      </w:r>
      <w:r>
        <w:rPr>
          <w:rStyle w:val="FootnoteAnchor"/>
          <w:rtl w:val="true"/>
        </w:rPr>
        <w:footnoteReference w:id="1335"/>
      </w:r>
      <w:r>
        <w:rPr>
          <w:rFonts w:ascii="IRNazanin" w:hAnsi="IRNazanin" w:eastAsia="IRNazanin"/>
          <w:color w:val="111111"/>
          <w:sz w:val="28"/>
          <w:sz w:val="28"/>
          <w:szCs w:val="28"/>
          <w:rtl w:val="true"/>
          <w:lang w:bidi="fa-IR"/>
        </w:rPr>
        <w:t>، و کذا اجرة العوامل إن کانت من العامل، و إن کان من العامل کان الزرع له و علیه أُجرة الأرض، و کذا اجرة العوامل إن کانت من صاحب الأرض، و لیس علیه إبقاء الزرع إلیٰ بلوغ الحاصل و لو بالأُجرة، فله أن یأمر بقلعه</w:t>
      </w:r>
      <w:r>
        <w:rPr>
          <w:rFonts w:eastAsia="IRNazanin" w:cs="IRNazanin"/>
          <w:color w:val="111111"/>
          <w:sz w:val="28"/>
          <w:szCs w:val="28"/>
          <w:rtl w:val="true"/>
          <w:lang w:bidi="fa-IR"/>
        </w:rPr>
        <w:t>.</w:t>
      </w:r>
    </w:p>
    <w:p>
      <w:pPr>
        <w:pStyle w:val="Heading3"/>
        <w:numPr>
          <w:ilvl w:val="2"/>
          <w:numId w:val="1"/>
        </w:numPr>
        <w:rPr/>
      </w:pPr>
      <w:bookmarkStart w:id="4812" w:name="__RefHeading___Toc2569348_3650668749"/>
      <w:bookmarkStart w:id="4813" w:name="_Toc2183"/>
      <w:bookmarkEnd w:id="4812"/>
      <w:r>
        <w:rPr>
          <w:rtl w:val="true"/>
        </w:rPr>
        <w:t>[ (</w:t>
      </w:r>
      <w:r>
        <w:rPr>
          <w:rtl w:val="true"/>
        </w:rPr>
        <w:t xml:space="preserve">مسألة </w:t>
      </w:r>
      <w:r>
        <w:rPr/>
        <w:t>14</w:t>
      </w:r>
      <w:r>
        <w:rPr>
          <w:rtl w:val="true"/>
        </w:rPr>
        <w:t xml:space="preserve">): </w:t>
      </w:r>
      <w:r>
        <w:rPr>
          <w:rtl w:val="true"/>
        </w:rPr>
        <w:t>کیفیّة اشتراک العامل مع المالک فی الحاصل تابعة للجعل و القرار الواقع بینهما</w:t>
      </w:r>
      <w:r>
        <w:rPr>
          <w:rtl w:val="true"/>
        </w:rPr>
        <w:t>]</w:t>
      </w:r>
      <w:bookmarkEnd w:id="48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اشتراک العامل مع المالک فی الحاصل تابعة للجعل و القرار الواقع بینهما،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یشترکان فی الزرع من حین طلوعه و بروزه، فیکون حشیشه و قصیله و تبنه و حبّه کلّها مشترکة بینهما،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یشترکان فی خصوص حبّه؛ إمّا من حین انعقاده أو بعده إلیٰ زمان حصاده، فیکون الحشیش و القصیل و التبن کلّها لصاحب البذر </w:t>
      </w:r>
      <w:r>
        <w:rPr>
          <w:rStyle w:val="FootnoteAnchor"/>
          <w:rtl w:val="true"/>
        </w:rPr>
        <w:footnoteReference w:id="1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التصریح منهما، و أمّا مع عدمه فالظاهر من مقتضیٰ وضع المزارعة عند الإطلاق الوجه الأوّل، فالزرع بمجرّد خروجه یکون مشترکاً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القصیل و التبن أیضاً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الزکاة بکلّ منهما إذا کان حصّة کلّ منهما بالغاً حدّ النصاب، و تعلّقها بمن بلغ نصیبه حدّ النصاب إن بلغ نصیب أحدهما، و عدم تعلّقها أصلًا إن لم یبلغ النصاب نصیب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حصل فسخ من أحدهما بخیار أو منهما بالتقایل فی الأثناء یکون الزرع بینهما، و لیس لصاحب الأرض علی العامل أُجرة أرضه و لا للعامل علیه اجرة عمله بالنسبة إلیٰ ما مضی، و أمّا بالنسبة إلی الآتی إلیٰ زمان البلوغ و الحصاد، فإن وقع بینهما التراضی بالبقاء بلا اجرة أو معها أو علی القطع قصیلًا فلا إشکال، و إلّا فکلّ منهما مسلّط علیٰ حصّته، فلصاحب الأرض مطالبة القسمة و إبقاء حصّته و إلزام الزارع بقطع حصّته، کما أنّ للزارع مطالبتها لیقطع حصّته و تبقیٰ حصّة صاحبه</w:t>
      </w:r>
      <w:r>
        <w:rPr>
          <w:rFonts w:eastAsia="IRNazanin" w:cs="IRNazanin"/>
          <w:color w:val="111111"/>
          <w:sz w:val="28"/>
          <w:szCs w:val="28"/>
          <w:rtl w:val="true"/>
          <w:lang w:bidi="fa-IR"/>
        </w:rPr>
        <w:t>.</w:t>
      </w:r>
    </w:p>
    <w:p>
      <w:pPr>
        <w:pStyle w:val="Heading3"/>
        <w:numPr>
          <w:ilvl w:val="2"/>
          <w:numId w:val="1"/>
        </w:numPr>
        <w:rPr/>
      </w:pPr>
      <w:bookmarkStart w:id="4814" w:name="__RefHeading___Toc2569350_3650668749"/>
      <w:bookmarkStart w:id="4815" w:name="_Toc2184"/>
      <w:bookmarkEnd w:id="4814"/>
      <w:r>
        <w:rPr>
          <w:rtl w:val="true"/>
        </w:rPr>
        <w:t>[ (</w:t>
      </w:r>
      <w:r>
        <w:rPr>
          <w:rtl w:val="true"/>
        </w:rPr>
        <w:t xml:space="preserve">مسألة </w:t>
      </w:r>
      <w:r>
        <w:rPr/>
        <w:t>15</w:t>
      </w:r>
      <w:r>
        <w:rPr>
          <w:rtl w:val="true"/>
        </w:rPr>
        <w:t xml:space="preserve">): </w:t>
      </w:r>
      <w:r>
        <w:rPr>
          <w:rtl w:val="true"/>
        </w:rPr>
        <w:t>خراج الأرض و مال الإجارة للأرض المستأجرة علی المزارع</w:t>
      </w:r>
      <w:r>
        <w:rPr>
          <w:rtl w:val="true"/>
        </w:rPr>
        <w:t>]</w:t>
      </w:r>
      <w:bookmarkEnd w:id="4815"/>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الأرض و مال الإجارة للأرض المستأجرة علی المزارع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علی الزارع إلّا إذا شرط علیه کلّا أو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سائر المؤن کشقّ الأنهار و حفر الآبار</w:t>
      </w:r>
      <w:bookmarkStart w:id="4816" w:name="pg1809_19483"/>
    </w:p>
    <w:p>
      <w:pPr>
        <w:pStyle w:val="BookText"/>
        <w:rPr/>
      </w:pPr>
      <w:bookmarkEnd w:id="4816"/>
      <w:r>
        <w:rPr>
          <w:rFonts w:ascii="IRNazanin" w:hAnsi="IRNazanin" w:eastAsia="IRNazanin"/>
          <w:color w:val="111111"/>
          <w:sz w:val="28"/>
          <w:sz w:val="28"/>
          <w:szCs w:val="28"/>
          <w:rtl w:val="true"/>
          <w:lang w:bidi="fa-IR"/>
        </w:rPr>
        <w:t>و إصلاح النهر و تهیئة آلات السقی و نصب الدولاب و الناعور و نحو ذلک فلا بدّ من تعیین کونها علیٰ أیّ منهما، إلّا إذا کانت هناک عادة تغنی عن التعیین</w:t>
      </w:r>
      <w:r>
        <w:rPr>
          <w:rFonts w:eastAsia="IRNazanin" w:cs="IRNazanin"/>
          <w:color w:val="111111"/>
          <w:sz w:val="28"/>
          <w:szCs w:val="28"/>
          <w:rtl w:val="true"/>
          <w:lang w:bidi="fa-IR"/>
        </w:rPr>
        <w:t>.</w:t>
      </w:r>
    </w:p>
    <w:p>
      <w:pPr>
        <w:pStyle w:val="Heading3"/>
        <w:numPr>
          <w:ilvl w:val="2"/>
          <w:numId w:val="1"/>
        </w:numPr>
        <w:rPr/>
      </w:pPr>
      <w:bookmarkStart w:id="4817" w:name="__RefHeading___Toc2569352_3650668749"/>
      <w:bookmarkStart w:id="4818" w:name="_Toc2185"/>
      <w:bookmarkEnd w:id="4817"/>
      <w:r>
        <w:rPr>
          <w:rtl w:val="true"/>
        </w:rPr>
        <w:t>[ (</w:t>
      </w:r>
      <w:r>
        <w:rPr>
          <w:rtl w:val="true"/>
        </w:rPr>
        <w:t xml:space="preserve">مسألة </w:t>
      </w:r>
      <w:r>
        <w:rPr/>
        <w:t>16</w:t>
      </w:r>
      <w:r>
        <w:rPr>
          <w:rtl w:val="true"/>
        </w:rPr>
        <w:t xml:space="preserve">): </w:t>
      </w:r>
      <w:r>
        <w:rPr>
          <w:rtl w:val="true"/>
        </w:rPr>
        <w:t>یجوز لکلّ من المالک و الزارع عند بلوغ الحاصل تقبّل حصّة الآخر بحسب الخرص بمقدار معیّن</w:t>
      </w:r>
      <w:r>
        <w:rPr>
          <w:rtl w:val="true"/>
        </w:rPr>
        <w:t>]</w:t>
      </w:r>
      <w:bookmarkEnd w:id="48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لکلّ من المالک و الزارع عند بلوغ الحاصل تقبّل حصّة الآخر بحسب الخرص بمقدار معیّن </w:t>
      </w:r>
      <w:r>
        <w:rPr>
          <w:rStyle w:val="FootnoteAnchor"/>
          <w:rtl w:val="true"/>
        </w:rPr>
        <w:footnoteReference w:id="1337"/>
      </w:r>
      <w:r>
        <w:rPr>
          <w:rFonts w:ascii="IRNazanin" w:hAnsi="IRNazanin" w:eastAsia="IRNazanin"/>
          <w:color w:val="111111"/>
          <w:sz w:val="28"/>
          <w:sz w:val="28"/>
          <w:szCs w:val="28"/>
          <w:rtl w:val="true"/>
          <w:lang w:bidi="fa-IR"/>
        </w:rPr>
        <w:t>بالتراضی، و الأقوی لزومه من الطرفین بعد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تبیّن بعد ذلک زیادتها أو نقیصتها فعلی المتقبّل تمام ذلک المقدار و لو تبیّن أنّ حصّة صاحبه أقلّ منه، کما أنّ علیٰ صاحبه قبول ذلک و إن تبیّن کونها أکثر منه و لیس له مطالبة الزائد</w:t>
      </w:r>
      <w:r>
        <w:rPr>
          <w:rFonts w:eastAsia="IRNazanin" w:cs="IRNazanin"/>
          <w:color w:val="111111"/>
          <w:sz w:val="28"/>
          <w:szCs w:val="28"/>
          <w:rtl w:val="true"/>
          <w:lang w:bidi="fa-IR"/>
        </w:rPr>
        <w:t>.</w:t>
      </w:r>
    </w:p>
    <w:p>
      <w:pPr>
        <w:pStyle w:val="Heading3"/>
        <w:numPr>
          <w:ilvl w:val="2"/>
          <w:numId w:val="1"/>
        </w:numPr>
        <w:rPr/>
      </w:pPr>
      <w:bookmarkStart w:id="4819" w:name="__RefHeading___Toc2569354_3650668749"/>
      <w:bookmarkStart w:id="4820" w:name="_Toc2186"/>
      <w:bookmarkEnd w:id="4819"/>
      <w:r>
        <w:rPr>
          <w:rtl w:val="true"/>
        </w:rPr>
        <w:t>[ (</w:t>
      </w:r>
      <w:r>
        <w:rPr>
          <w:rtl w:val="true"/>
        </w:rPr>
        <w:t xml:space="preserve">مسألة </w:t>
      </w:r>
      <w:r>
        <w:rPr/>
        <w:t>17</w:t>
      </w:r>
      <w:r>
        <w:rPr>
          <w:rtl w:val="true"/>
        </w:rPr>
        <w:t xml:space="preserve">): </w:t>
      </w:r>
      <w:r>
        <w:rPr>
          <w:rtl w:val="true"/>
        </w:rPr>
        <w:t>إذا بقیت فی الأرض أُصول الزرع بعد جمع الحاصل و انقضاء المدّة</w:t>
      </w:r>
      <w:r>
        <w:rPr>
          <w:rtl w:val="true"/>
        </w:rPr>
        <w:t>]</w:t>
      </w:r>
      <w:bookmarkEnd w:id="48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بقیت فی الأرض أُصول الزرع بعد جمع الحاصل و انقضاء المدّة فنبتت بعد ذلک فی العام المستقبل، فإن کان القرار الواقع بینهما علی اشتراکهما فی الزرع و أُصوله کان الزرع الجدید بینهما علیٰ حسب الزرع السابق، و إن کان القرار علی اشتراکهما فیما خرج من الزرع فی ذلک العام فقد کان ذلک لصاحب البذر إلّا إذا أعرض عنه فهو لمن سبق</w:t>
      </w:r>
      <w:r>
        <w:rPr>
          <w:rFonts w:eastAsia="IRNazanin" w:cs="IRNazanin"/>
          <w:color w:val="111111"/>
          <w:sz w:val="28"/>
          <w:szCs w:val="28"/>
          <w:rtl w:val="true"/>
          <w:lang w:bidi="fa-IR"/>
        </w:rPr>
        <w:t>.</w:t>
      </w:r>
    </w:p>
    <w:p>
      <w:pPr>
        <w:pStyle w:val="Heading3"/>
        <w:numPr>
          <w:ilvl w:val="2"/>
          <w:numId w:val="1"/>
        </w:numPr>
        <w:rPr/>
      </w:pPr>
      <w:bookmarkStart w:id="4821" w:name="__RefHeading___Toc2569356_3650668749"/>
      <w:bookmarkStart w:id="4822" w:name="_Toc2187"/>
      <w:bookmarkEnd w:id="4821"/>
      <w:r>
        <w:rPr>
          <w:rtl w:val="true"/>
        </w:rPr>
        <w:t>[ (</w:t>
      </w:r>
      <w:r>
        <w:rPr>
          <w:rtl w:val="true"/>
        </w:rPr>
        <w:t xml:space="preserve">مسألة </w:t>
      </w:r>
      <w:r>
        <w:rPr/>
        <w:t>18</w:t>
      </w:r>
      <w:r>
        <w:rPr>
          <w:rtl w:val="true"/>
        </w:rPr>
        <w:t xml:space="preserve">): </w:t>
      </w:r>
      <w:r>
        <w:rPr>
          <w:rtl w:val="true"/>
        </w:rPr>
        <w:t>یجوز المزارعة علیٰ أرض بائرة لا یمکن زرعها إلّا بعد إصلاحها و تعمیرها</w:t>
      </w:r>
      <w:r>
        <w:rPr>
          <w:rtl w:val="true"/>
        </w:rPr>
        <w:t>]</w:t>
      </w:r>
      <w:bookmarkEnd w:id="4822"/>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المزارعة علیٰ أرض بائرة لا یمکن زرعها إلّا بعد إصلاحها و تعمیرها علیٰ أن یعمّرها و یصلحها و یزرعها سنة أو سنتین مثلًا لنفسه، ثمّ یکون الحاصل بینهما بالإشاعة بحصّة معیّنة فی مدّة مقدّرة</w:t>
      </w:r>
      <w:r>
        <w:rPr>
          <w:rFonts w:eastAsia="IRNazanin" w:cs="IRNazanin"/>
          <w:color w:val="111111"/>
          <w:sz w:val="28"/>
          <w:szCs w:val="28"/>
          <w:rtl w:val="true"/>
          <w:lang w:bidi="fa-IR"/>
        </w:rPr>
        <w:t>.</w:t>
      </w:r>
      <w:bookmarkStart w:id="4823" w:name="pg1809_19484"/>
    </w:p>
    <w:p>
      <w:pPr>
        <w:pStyle w:val="Heading2"/>
        <w:numPr>
          <w:ilvl w:val="1"/>
          <w:numId w:val="1"/>
        </w:numPr>
        <w:rPr/>
      </w:pPr>
      <w:bookmarkStart w:id="4824" w:name="__RefHeading___Toc2569358_3650668749"/>
      <w:bookmarkStart w:id="4825" w:name="_Toc2188"/>
      <w:bookmarkEnd w:id="4823"/>
      <w:bookmarkEnd w:id="4824"/>
      <w:r>
        <w:rPr>
          <w:rtl w:val="true"/>
        </w:rPr>
        <w:t>[</w:t>
      </w:r>
      <w:r>
        <w:rPr>
          <w:rtl w:val="true"/>
        </w:rPr>
        <w:t>کتاب المساقاة</w:t>
      </w:r>
      <w:r>
        <w:rPr>
          <w:rtl w:val="true"/>
        </w:rPr>
        <w:t>]</w:t>
      </w:r>
      <w:bookmarkEnd w:id="4825"/>
    </w:p>
    <w:p>
      <w:pPr>
        <w:pStyle w:val="Heading3"/>
        <w:numPr>
          <w:ilvl w:val="2"/>
          <w:numId w:val="1"/>
        </w:numPr>
        <w:rPr/>
      </w:pPr>
      <w:bookmarkStart w:id="4826" w:name="__RefHeading___Toc2569360_3650668749"/>
      <w:bookmarkStart w:id="4827" w:name="_Toc2189"/>
      <w:bookmarkEnd w:id="4826"/>
      <w:r>
        <w:rPr>
          <w:rtl w:val="true"/>
        </w:rPr>
        <w:t>اشارة</w:t>
      </w:r>
      <w:bookmarkEnd w:id="4827"/>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المساقاة و هی المعاملة علیٰ أُصول ثابتة؛ بأن یسقیها مدّة معیّنة بحصّة من ثمرها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عقد من العقود یحتاج إلیٰ إیجاب و قبول، و اللفظ الصریح فی إیجابها أن یقول ربّ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عاملتک</w:t>
      </w:r>
      <w:r>
        <w:rPr>
          <w:rFonts w:eastAsia="IRNazanin" w:cs="IRNazanin"/>
          <w:color w:val="111111"/>
          <w:sz w:val="28"/>
          <w:szCs w:val="28"/>
          <w:rtl w:val="true"/>
          <w:lang w:bidi="fa-IR"/>
        </w:rPr>
        <w:t xml:space="preserve">» </w:t>
      </w:r>
      <w:r>
        <w:rPr>
          <w:rStyle w:val="FootnoteAnchor"/>
          <w:rtl w:val="true"/>
        </w:rPr>
        <w:footnoteReference w:id="1338"/>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أشبه ذلک، و فی 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ذلک، و یکفی فیهما کلّ لفظ دالّ علی المعنی المذکور بأیّ لغة کانت، و الظاهر کفایة القبول الفعلی </w:t>
      </w:r>
      <w:r>
        <w:rPr>
          <w:rStyle w:val="FootnoteAnchor"/>
          <w:rtl w:val="true"/>
        </w:rPr>
        <w:footnoteReference w:id="1339"/>
      </w:r>
      <w:r>
        <w:rPr>
          <w:rFonts w:ascii="IRNazanin" w:hAnsi="IRNazanin" w:eastAsia="IRNazanin"/>
          <w:color w:val="111111"/>
          <w:sz w:val="28"/>
          <w:sz w:val="28"/>
          <w:szCs w:val="28"/>
          <w:rtl w:val="true"/>
          <w:lang w:bidi="fa-IR"/>
        </w:rPr>
        <w:t>بعد الإیجاب القولی کالمزارعة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یعتبر فیها بعد شرائط المتعاقدین من البلوغ و العقل و القصد و الاختیار و عدم الحجر </w:t>
      </w:r>
      <w:r>
        <w:rPr>
          <w:rStyle w:val="FootnoteAnchor"/>
          <w:rtl w:val="true"/>
        </w:rPr>
        <w:footnoteReference w:id="1340"/>
      </w:r>
      <w:r>
        <w:rPr>
          <w:rFonts w:ascii="IRNazanin" w:hAnsi="IRNazanin" w:eastAsia="IRNazanin"/>
          <w:color w:val="111111"/>
          <w:sz w:val="28"/>
          <w:sz w:val="28"/>
          <w:szCs w:val="28"/>
          <w:rtl w:val="true"/>
          <w:lang w:bidi="fa-IR"/>
        </w:rPr>
        <w:t xml:space="preserve">أن تکون الأُصول مملوکة عیناً و منفعة أو منفعة </w:t>
      </w:r>
      <w:r>
        <w:rPr>
          <w:rStyle w:val="FootnoteAnchor"/>
          <w:rtl w:val="true"/>
        </w:rPr>
        <w:footnoteReference w:id="1341"/>
      </w:r>
      <w:r>
        <w:rPr>
          <w:rFonts w:ascii="IRNazanin" w:hAnsi="IRNazanin" w:eastAsia="IRNazanin"/>
          <w:color w:val="111111"/>
          <w:sz w:val="28"/>
          <w:sz w:val="28"/>
          <w:szCs w:val="28"/>
          <w:rtl w:val="true"/>
          <w:lang w:bidi="fa-IR"/>
        </w:rPr>
        <w:t>فقط، و أن تکون معیّنة عندهما معلومة لدیهما، و أن تکون مغروسة ثابتة، فلا تصحّ فی الفسیل قبل الغرس، و لا علیٰ أُصول غیر ثابتة کالبطّیخ و الخیار و الباذنجان و أشباهها، و أن تکون المدّة معلومة مقدّرة بما لا یحتمل الزیادة و النقصان کالأشهر و السنین، و الظاهر کفایة جعل المدّة إلیٰ بلوغ الثمر فی العام الواحد إذا عیّن مبدأ الشروع فی السقی، و أن تکون الحصّة معیّنة مشاعة بینهما مقدّرة بمثل النصف أو الثلث أو الربع و نحو ذلک، فلا تصحّ أن یجعل لأحدهما مقداراً معیّناً و البقیّة للآخر، أو یجعل لأحدهما أشجاراً معلومة و للآخر اخریٰ، نعم لا یبعد جواز أن یشترط اختصاص أحدهما بأشجار معلومة و الاشتراک فی البقیّة، أو یشترط لأحدهما مقدار معیّن مع الاشتراک فی البقیّة إذا علم کون الثمر أزید من ذلک المقدار و أنّه تبقیٰ بقیّة</w:t>
      </w:r>
      <w:r>
        <w:rPr>
          <w:rFonts w:eastAsia="IRNazanin" w:cs="IRNazanin"/>
          <w:color w:val="111111"/>
          <w:sz w:val="28"/>
          <w:szCs w:val="28"/>
          <w:rtl w:val="true"/>
          <w:lang w:bidi="fa-IR"/>
        </w:rPr>
        <w:t>.</w:t>
      </w:r>
      <w:bookmarkStart w:id="4828" w:name="pg1809_19485"/>
    </w:p>
    <w:p>
      <w:pPr>
        <w:pStyle w:val="Heading3"/>
        <w:numPr>
          <w:ilvl w:val="2"/>
          <w:numId w:val="1"/>
        </w:numPr>
        <w:rPr/>
      </w:pPr>
      <w:bookmarkStart w:id="4829" w:name="__RefHeading___Toc2569362_3650668749"/>
      <w:bookmarkStart w:id="4830" w:name="_Toc2190"/>
      <w:bookmarkEnd w:id="4828"/>
      <w:bookmarkEnd w:id="4829"/>
      <w:r>
        <w:rPr>
          <w:rtl w:val="true"/>
        </w:rPr>
        <w:t>[ (</w:t>
      </w:r>
      <w:r>
        <w:rPr>
          <w:rtl w:val="true"/>
        </w:rPr>
        <w:t xml:space="preserve">مسألة </w:t>
      </w:r>
      <w:r>
        <w:rPr/>
        <w:t>1</w:t>
      </w:r>
      <w:r>
        <w:rPr>
          <w:rtl w:val="true"/>
        </w:rPr>
        <w:t xml:space="preserve">): </w:t>
      </w:r>
      <w:r>
        <w:rPr>
          <w:rtl w:val="true"/>
        </w:rPr>
        <w:t>لا إشکال فی صحّة المساقاة قبل ظهور الثمر</w:t>
      </w:r>
      <w:r>
        <w:rPr>
          <w:rtl w:val="true"/>
        </w:rPr>
        <w:t>]</w:t>
      </w:r>
      <w:bookmarkEnd w:id="48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صحّة المساقاة قبل ظهور الثمر، کما لا إشکال </w:t>
      </w:r>
      <w:r>
        <w:rPr>
          <w:rStyle w:val="FootnoteAnchor"/>
          <w:rtl w:val="true"/>
        </w:rPr>
        <w:footnoteReference w:id="1342"/>
      </w:r>
      <w:r>
        <w:rPr>
          <w:rFonts w:ascii="IRNazanin" w:hAnsi="IRNazanin" w:eastAsia="IRNazanin"/>
          <w:color w:val="111111"/>
          <w:sz w:val="28"/>
          <w:sz w:val="28"/>
          <w:szCs w:val="28"/>
          <w:rtl w:val="true"/>
          <w:lang w:bidi="fa-IR"/>
        </w:rPr>
        <w:t>فی عدم الصحّة بعد البلوغ و الإدراک بحیث لا یحتاج إلیٰ عمل غیر الحفظ و الاقتطاف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صحّتها بعد الظهور و قبل البلوغ قولان، أقواهما أوّلهما </w:t>
      </w:r>
      <w:r>
        <w:rPr>
          <w:rStyle w:val="FootnoteAnchor"/>
          <w:rtl w:val="true"/>
        </w:rPr>
        <w:footnoteReference w:id="1343"/>
      </w:r>
      <w:r>
        <w:rPr>
          <w:rFonts w:ascii="IRNazanin" w:hAnsi="IRNazanin" w:eastAsia="IRNazanin"/>
          <w:color w:val="111111"/>
          <w:sz w:val="28"/>
          <w:sz w:val="28"/>
          <w:szCs w:val="28"/>
          <w:rtl w:val="true"/>
          <w:lang w:bidi="fa-IR"/>
        </w:rPr>
        <w:t>، خصوصاً إذا کان فی جملتها بعض الأشجار التی لم تظهر بعد ثمرها</w:t>
      </w:r>
      <w:r>
        <w:rPr>
          <w:rFonts w:eastAsia="IRNazanin" w:cs="IRNazanin"/>
          <w:color w:val="111111"/>
          <w:sz w:val="28"/>
          <w:szCs w:val="28"/>
          <w:rtl w:val="true"/>
          <w:lang w:bidi="fa-IR"/>
        </w:rPr>
        <w:t>.</w:t>
      </w:r>
    </w:p>
    <w:p>
      <w:pPr>
        <w:pStyle w:val="Heading3"/>
        <w:numPr>
          <w:ilvl w:val="2"/>
          <w:numId w:val="1"/>
        </w:numPr>
        <w:rPr/>
      </w:pPr>
      <w:bookmarkStart w:id="4831" w:name="__RefHeading___Toc2569364_3650668749"/>
      <w:bookmarkStart w:id="4832" w:name="_Toc2191"/>
      <w:bookmarkEnd w:id="4831"/>
      <w:r>
        <w:rPr>
          <w:rtl w:val="true"/>
        </w:rPr>
        <w:t>[ (</w:t>
      </w:r>
      <w:r>
        <w:rPr>
          <w:rtl w:val="true"/>
        </w:rPr>
        <w:t xml:space="preserve">مسألة </w:t>
      </w:r>
      <w:r>
        <w:rPr/>
        <w:t>2</w:t>
      </w:r>
      <w:r>
        <w:rPr>
          <w:rtl w:val="true"/>
        </w:rPr>
        <w:t xml:space="preserve">): </w:t>
      </w:r>
      <w:r>
        <w:rPr>
          <w:rtl w:val="true"/>
        </w:rPr>
        <w:t>لا یجوز المساقاة علی الأشجار الغیر المثمرة کالخلاف و نحوه</w:t>
      </w:r>
      <w:r>
        <w:rPr>
          <w:rtl w:val="true"/>
        </w:rPr>
        <w:t>]</w:t>
      </w:r>
      <w:bookmarkEnd w:id="4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المساقاة علی الأشجار الغیر المثمرة کالخلاف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یبعد جوازها علیٰ ما ینتفع منها بورقه </w:t>
      </w:r>
      <w:r>
        <w:rPr>
          <w:rStyle w:val="FootnoteAnchor"/>
          <w:rtl w:val="true"/>
        </w:rPr>
        <w:footnoteReference w:id="1344"/>
      </w:r>
      <w:r>
        <w:rPr>
          <w:rFonts w:ascii="IRNazanin" w:hAnsi="IRNazanin" w:eastAsia="IRNazanin"/>
          <w:color w:val="111111"/>
          <w:sz w:val="28"/>
          <w:sz w:val="28"/>
          <w:szCs w:val="28"/>
          <w:rtl w:val="true"/>
          <w:lang w:bidi="fa-IR"/>
        </w:rPr>
        <w:t>کالتوت الذکر و الحنّاء و نحوهما</w:t>
      </w:r>
      <w:r>
        <w:rPr>
          <w:rFonts w:eastAsia="IRNazanin" w:cs="IRNazanin"/>
          <w:color w:val="111111"/>
          <w:sz w:val="28"/>
          <w:szCs w:val="28"/>
          <w:rtl w:val="true"/>
          <w:lang w:bidi="fa-IR"/>
        </w:rPr>
        <w:t>.</w:t>
      </w:r>
    </w:p>
    <w:p>
      <w:pPr>
        <w:pStyle w:val="Heading3"/>
        <w:numPr>
          <w:ilvl w:val="2"/>
          <w:numId w:val="1"/>
        </w:numPr>
        <w:rPr/>
      </w:pPr>
      <w:bookmarkStart w:id="4833" w:name="__RefHeading___Toc2569366_3650668749"/>
      <w:bookmarkStart w:id="4834" w:name="_Toc2192"/>
      <w:bookmarkEnd w:id="4833"/>
      <w:r>
        <w:rPr>
          <w:rtl w:val="true"/>
        </w:rPr>
        <w:t>[ (</w:t>
      </w:r>
      <w:r>
        <w:rPr>
          <w:rtl w:val="true"/>
        </w:rPr>
        <w:t xml:space="preserve">مسألة </w:t>
      </w:r>
      <w:r>
        <w:rPr/>
        <w:t>3</w:t>
      </w:r>
      <w:r>
        <w:rPr>
          <w:rtl w:val="true"/>
        </w:rPr>
        <w:t xml:space="preserve">): </w:t>
      </w:r>
      <w:r>
        <w:rPr>
          <w:rtl w:val="true"/>
        </w:rPr>
        <w:t>یجوز المساقاة علیٰ فسلان مغروسة قبل أن صارت مثمرة</w:t>
      </w:r>
      <w:r>
        <w:rPr>
          <w:rtl w:val="true"/>
        </w:rPr>
        <w:t>]</w:t>
      </w:r>
      <w:bookmarkEnd w:id="48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المساقاة علیٰ فسلان مغروسة قبل أن صارت مثمرة؛ بشرط أن تجعل المدّة بمقدار تصیر مثمرة فیها کخمس سنین أو ستّ أو أزید</w:t>
      </w:r>
      <w:r>
        <w:rPr>
          <w:rFonts w:eastAsia="IRNazanin" w:cs="IRNazanin"/>
          <w:color w:val="111111"/>
          <w:sz w:val="28"/>
          <w:szCs w:val="28"/>
          <w:rtl w:val="true"/>
          <w:lang w:bidi="fa-IR"/>
        </w:rPr>
        <w:t>.</w:t>
      </w:r>
    </w:p>
    <w:p>
      <w:pPr>
        <w:pStyle w:val="Heading3"/>
        <w:numPr>
          <w:ilvl w:val="2"/>
          <w:numId w:val="1"/>
        </w:numPr>
        <w:rPr/>
      </w:pPr>
      <w:bookmarkStart w:id="4835" w:name="__RefHeading___Toc2569368_3650668749"/>
      <w:bookmarkStart w:id="4836" w:name="_Toc2193"/>
      <w:bookmarkEnd w:id="4835"/>
      <w:r>
        <w:rPr>
          <w:rtl w:val="true"/>
        </w:rPr>
        <w:t>[ (</w:t>
      </w:r>
      <w:r>
        <w:rPr>
          <w:rtl w:val="true"/>
        </w:rPr>
        <w:t xml:space="preserve">مسألة </w:t>
      </w:r>
      <w:r>
        <w:rPr/>
        <w:t>4</w:t>
      </w:r>
      <w:r>
        <w:rPr>
          <w:rtl w:val="true"/>
        </w:rPr>
        <w:t xml:space="preserve">): </w:t>
      </w:r>
      <w:r>
        <w:rPr>
          <w:rtl w:val="true"/>
        </w:rPr>
        <w:t>إذا کانت الأشجار لا تحتاج إلی السقی لاستغنائها بماء السماء</w:t>
      </w:r>
      <w:r>
        <w:rPr>
          <w:rtl w:val="true"/>
        </w:rPr>
        <w:t>]</w:t>
      </w:r>
      <w:bookmarkEnd w:id="48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الأشجار لا تحتاج إلی السقی لاستغنائها بماء السماء أو لمصّها من رطوبات الأرض و لکن احتاجت إلیٰ إعمال أُخر یشکل </w:t>
      </w:r>
      <w:r>
        <w:rPr>
          <w:rStyle w:val="FootnoteAnchor"/>
          <w:rtl w:val="true"/>
        </w:rPr>
        <w:footnoteReference w:id="1345"/>
      </w:r>
      <w:r>
        <w:rPr>
          <w:rFonts w:ascii="IRNazanin" w:hAnsi="IRNazanin" w:eastAsia="IRNazanin"/>
          <w:color w:val="111111"/>
          <w:sz w:val="28"/>
          <w:sz w:val="28"/>
          <w:szCs w:val="28"/>
          <w:rtl w:val="true"/>
          <w:lang w:bidi="fa-IR"/>
        </w:rPr>
        <w:t>صحّة المساقاة علیها، فلا یترک فیه الاحتیاط</w:t>
      </w:r>
      <w:r>
        <w:rPr>
          <w:rFonts w:eastAsia="IRNazanin" w:cs="IRNazanin"/>
          <w:color w:val="111111"/>
          <w:sz w:val="28"/>
          <w:szCs w:val="28"/>
          <w:rtl w:val="true"/>
          <w:lang w:bidi="fa-IR"/>
        </w:rPr>
        <w:t>.</w:t>
      </w:r>
    </w:p>
    <w:p>
      <w:pPr>
        <w:pStyle w:val="Heading3"/>
        <w:numPr>
          <w:ilvl w:val="2"/>
          <w:numId w:val="1"/>
        </w:numPr>
        <w:rPr/>
      </w:pPr>
      <w:bookmarkStart w:id="4837" w:name="__RefHeading___Toc2569370_3650668749"/>
      <w:bookmarkStart w:id="4838" w:name="_Toc2194"/>
      <w:bookmarkEnd w:id="4837"/>
      <w:r>
        <w:rPr>
          <w:rtl w:val="true"/>
        </w:rPr>
        <w:t>[ (</w:t>
      </w:r>
      <w:r>
        <w:rPr>
          <w:rtl w:val="true"/>
        </w:rPr>
        <w:t xml:space="preserve">مسألة </w:t>
      </w:r>
      <w:r>
        <w:rPr/>
        <w:t>5</w:t>
      </w:r>
      <w:r>
        <w:rPr>
          <w:rtl w:val="true"/>
        </w:rPr>
        <w:t xml:space="preserve">): </w:t>
      </w:r>
      <w:r>
        <w:rPr>
          <w:rtl w:val="true"/>
        </w:rPr>
        <w:t>إذا اشتملت البستان علیٰ أنواع من الشجر و النخیل</w:t>
      </w:r>
      <w:r>
        <w:rPr>
          <w:rtl w:val="true"/>
        </w:rPr>
        <w:t>]</w:t>
      </w:r>
      <w:bookmarkEnd w:id="48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اشتملت البستان علیٰ أنواع من الشجر و النخیل یجوز أن یفرد کلّ نوع بحصّة مخالفة للحصّة من النوع الآخر، کما إذا جعل النصف فی ثمرة النخل و الثلث فی الکرم و الربع فی الرمّان مثلًا لکن إذا علما </w:t>
      </w:r>
      <w:r>
        <w:rPr>
          <w:rStyle w:val="FootnoteAnchor"/>
          <w:rtl w:val="true"/>
        </w:rPr>
        <w:footnoteReference w:id="1346"/>
      </w:r>
      <w:r>
        <w:rPr>
          <w:rFonts w:ascii="IRNazanin" w:hAnsi="IRNazanin" w:eastAsia="IRNazanin"/>
          <w:color w:val="111111"/>
          <w:sz w:val="28"/>
          <w:sz w:val="28"/>
          <w:szCs w:val="28"/>
          <w:rtl w:val="true"/>
          <w:lang w:bidi="fa-IR"/>
        </w:rPr>
        <w:t>بمقدار کلّ نوع من الأنواع</w:t>
      </w:r>
      <w:r>
        <w:rPr>
          <w:rFonts w:eastAsia="IRNazanin" w:cs="IRNazanin"/>
          <w:color w:val="111111"/>
          <w:sz w:val="28"/>
          <w:szCs w:val="28"/>
          <w:rtl w:val="true"/>
          <w:lang w:bidi="fa-IR"/>
        </w:rPr>
        <w:t>.</w:t>
      </w:r>
    </w:p>
    <w:p>
      <w:pPr>
        <w:pStyle w:val="Heading3"/>
        <w:numPr>
          <w:ilvl w:val="2"/>
          <w:numId w:val="1"/>
        </w:numPr>
        <w:rPr/>
      </w:pPr>
      <w:bookmarkStart w:id="4839" w:name="__RefHeading___Toc2569372_3650668749"/>
      <w:bookmarkStart w:id="4840" w:name="_Toc2195"/>
      <w:bookmarkEnd w:id="4839"/>
      <w:r>
        <w:rPr>
          <w:rtl w:val="true"/>
        </w:rPr>
        <w:t>[ (</w:t>
      </w:r>
      <w:r>
        <w:rPr>
          <w:rtl w:val="true"/>
        </w:rPr>
        <w:t xml:space="preserve">مسألة </w:t>
      </w:r>
      <w:r>
        <w:rPr/>
        <w:t>6</w:t>
      </w:r>
      <w:r>
        <w:rPr>
          <w:rtl w:val="true"/>
        </w:rPr>
        <w:t xml:space="preserve">): </w:t>
      </w:r>
      <w:r>
        <w:rPr>
          <w:rtl w:val="true"/>
        </w:rPr>
        <w:t>من المعلوم أنّ ما یحتاج إلیه البساتین و النخیل</w:t>
      </w:r>
      <w:r>
        <w:rPr>
          <w:rtl w:val="true"/>
        </w:rPr>
        <w:t>]</w:t>
      </w:r>
      <w:bookmarkEnd w:id="4840"/>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ما یحتاج إلیه البساتین و النخیل و الأشجار فی إصلاحها و تعمیرها و استزادة ثمارها و حفظها أعمال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یتکرّر کلّ سنة مثل إصلاح الأرض و تنقیة الأنهار و إصلاح طریق الماء و إزالة الحشیش المضرّ و تهذیب جرائد النخل و الکرم و التلقیح و اللقاط و التشمیس و إصلاح موضعه و حفظ الثمرة إلیٰ وقت القسمة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یتکرّر غالباً کحفر الآبار و الأنهار و بناء الحائط و الدولاب و الدالیة و نحو</w:t>
      </w:r>
      <w:bookmarkStart w:id="4841" w:name="pg1809_19486"/>
    </w:p>
    <w:p>
      <w:pPr>
        <w:pStyle w:val="BookText"/>
        <w:rPr/>
      </w:pPr>
      <w:bookmarkEnd w:id="4841"/>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إطلاق عقد المساقاة، الظاهر أنّ القسم الثانی علی المالک، و أمّا القسم الأوّل فیتّبع التعارف و العادة، فما جرت العادة علیٰ کونه علی المالک أو العامل کان هو المتّبع و لا یحتاج إلی التعیین، و لعلّ ذلک یختلف باختلاف البلاد، و إذا لم یکن عادة لا بدّ من التعیین و أنّه علی المالک أو العامل</w:t>
      </w:r>
      <w:r>
        <w:rPr>
          <w:rFonts w:eastAsia="IRNazanin" w:cs="IRNazanin"/>
          <w:color w:val="111111"/>
          <w:sz w:val="28"/>
          <w:szCs w:val="28"/>
          <w:rtl w:val="true"/>
          <w:lang w:bidi="fa-IR"/>
        </w:rPr>
        <w:t>.</w:t>
      </w:r>
    </w:p>
    <w:p>
      <w:pPr>
        <w:pStyle w:val="Heading3"/>
        <w:numPr>
          <w:ilvl w:val="2"/>
          <w:numId w:val="1"/>
        </w:numPr>
        <w:rPr/>
      </w:pPr>
      <w:bookmarkStart w:id="4842" w:name="__RefHeading___Toc2569374_3650668749"/>
      <w:bookmarkStart w:id="4843" w:name="_Toc2196"/>
      <w:bookmarkEnd w:id="4842"/>
      <w:r>
        <w:rPr>
          <w:rtl w:val="true"/>
        </w:rPr>
        <w:t>[ (</w:t>
      </w:r>
      <w:r>
        <w:rPr>
          <w:rtl w:val="true"/>
        </w:rPr>
        <w:t xml:space="preserve">مسألة </w:t>
      </w:r>
      <w:r>
        <w:rPr/>
        <w:t>7</w:t>
      </w:r>
      <w:r>
        <w:rPr>
          <w:rtl w:val="true"/>
        </w:rPr>
        <w:t xml:space="preserve">): </w:t>
      </w:r>
      <w:r>
        <w:rPr>
          <w:rtl w:val="true"/>
        </w:rPr>
        <w:t>المساقاة لازمة من الطرفین</w:t>
      </w:r>
      <w:r>
        <w:rPr>
          <w:rtl w:val="true"/>
        </w:rPr>
        <w:t>]</w:t>
      </w:r>
      <w:bookmarkEnd w:id="48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المساقاة لازمة من الطرفین، لا تنفسخ إلّا بالتقایل أو الفسخ بخیار بسبب الاشتراط أو تخلّف بعض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تبطل بموت أحدهما بل یقوم وارثهما مقامهما، نعم لو کانت مقیّدة بمباشرة العامل تبطل بموته</w:t>
      </w:r>
      <w:r>
        <w:rPr>
          <w:rFonts w:eastAsia="IRNazanin" w:cs="IRNazanin"/>
          <w:color w:val="111111"/>
          <w:sz w:val="28"/>
          <w:szCs w:val="28"/>
          <w:rtl w:val="true"/>
          <w:lang w:bidi="fa-IR"/>
        </w:rPr>
        <w:t>.</w:t>
      </w:r>
    </w:p>
    <w:p>
      <w:pPr>
        <w:pStyle w:val="Heading3"/>
        <w:numPr>
          <w:ilvl w:val="2"/>
          <w:numId w:val="1"/>
        </w:numPr>
        <w:rPr/>
      </w:pPr>
      <w:bookmarkStart w:id="4844" w:name="__RefHeading___Toc2569376_3650668749"/>
      <w:bookmarkStart w:id="4845" w:name="_Toc2197"/>
      <w:bookmarkEnd w:id="4844"/>
      <w:r>
        <w:rPr>
          <w:rtl w:val="true"/>
        </w:rPr>
        <w:t>[ (</w:t>
      </w:r>
      <w:r>
        <w:rPr>
          <w:rtl w:val="true"/>
        </w:rPr>
        <w:t xml:space="preserve">مسألة </w:t>
      </w:r>
      <w:r>
        <w:rPr/>
        <w:t>8</w:t>
      </w:r>
      <w:r>
        <w:rPr>
          <w:rtl w:val="true"/>
        </w:rPr>
        <w:t xml:space="preserve">): </w:t>
      </w:r>
      <w:r>
        <w:rPr>
          <w:rtl w:val="true"/>
        </w:rPr>
        <w:t>لا یشترط فی المساقاة أن یکون العامل مباشراً للعمل بنفسه</w:t>
      </w:r>
      <w:r>
        <w:rPr>
          <w:rtl w:val="true"/>
        </w:rPr>
        <w:t>]</w:t>
      </w:r>
      <w:bookmarkEnd w:id="48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المساقاة أن یکون العامل مباشراً للعمل بنفسه، فیجوز أن یستأجر أجیراً لبعض الأعمال و تمامها و یکون علیه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أن یتبرّع عنه متبرّع بالعمل و یستحقّ العامل الحصّة المقرّرة، نعم لو لم یقصد التبرّع عنه ففی کفایته إشکال، و أشکل منه إذا قصد التبرّع عن المالک، و کذا الحال فیما إذا لم یکن علیه إلّا السقی و یستغنی عنه بالأمطار و لم یحتج إلی السقی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علیه أعمال أُخر غیر السقی و استغنی عنه بالمطر و بقی سائر الأعمال فالظاهر استحقاق حصّته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6" w:name="__RefHeading___Toc2569378_3650668749"/>
      <w:bookmarkStart w:id="4847" w:name="_Toc2198"/>
      <w:bookmarkEnd w:id="4846"/>
      <w:r>
        <w:rPr>
          <w:rtl w:val="true"/>
        </w:rPr>
        <w:t>[ (</w:t>
      </w:r>
      <w:r>
        <w:rPr>
          <w:rtl w:val="true"/>
        </w:rPr>
        <w:t xml:space="preserve">مسألة </w:t>
      </w:r>
      <w:r>
        <w:rPr/>
        <w:t>9</w:t>
      </w:r>
      <w:r>
        <w:rPr>
          <w:rtl w:val="true"/>
        </w:rPr>
        <w:t xml:space="preserve">): </w:t>
      </w:r>
      <w:r>
        <w:rPr>
          <w:rtl w:val="true"/>
        </w:rPr>
        <w:t>یجوز أن یشترط للعامل مع الحصّة من الثمر شیئاً آخر من ذهب أو فضّة أو غیرهما</w:t>
      </w:r>
      <w:r>
        <w:rPr>
          <w:rtl w:val="true"/>
        </w:rPr>
        <w:t>]</w:t>
      </w:r>
      <w:bookmarkEnd w:id="48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یشترط للعامل مع الحصّة من الثمر شیئاً آخر من ذهب أو فضّة أو غیرهما، و کذا حصّة من الأُصول مشاعاً أو مفروزاً</w:t>
      </w:r>
      <w:r>
        <w:rPr>
          <w:rFonts w:eastAsia="IRNazanin" w:cs="IRNazanin"/>
          <w:color w:val="111111"/>
          <w:sz w:val="28"/>
          <w:szCs w:val="28"/>
          <w:rtl w:val="true"/>
          <w:lang w:bidi="fa-IR"/>
        </w:rPr>
        <w:t>.</w:t>
      </w:r>
    </w:p>
    <w:p>
      <w:pPr>
        <w:pStyle w:val="Heading3"/>
        <w:numPr>
          <w:ilvl w:val="2"/>
          <w:numId w:val="1"/>
        </w:numPr>
        <w:rPr/>
      </w:pPr>
      <w:bookmarkStart w:id="4848" w:name="__RefHeading___Toc2569380_3650668749"/>
      <w:bookmarkStart w:id="4849" w:name="_Toc2199"/>
      <w:bookmarkEnd w:id="4848"/>
      <w:r>
        <w:rPr>
          <w:rtl w:val="true"/>
        </w:rPr>
        <w:t>[ (</w:t>
      </w:r>
      <w:r>
        <w:rPr>
          <w:rtl w:val="true"/>
        </w:rPr>
        <w:t xml:space="preserve">مسألة </w:t>
      </w:r>
      <w:r>
        <w:rPr/>
        <w:t>10</w:t>
      </w:r>
      <w:r>
        <w:rPr>
          <w:rtl w:val="true"/>
        </w:rPr>
        <w:t xml:space="preserve">): </w:t>
      </w:r>
      <w:r>
        <w:rPr>
          <w:rtl w:val="true"/>
        </w:rPr>
        <w:t>کلّ موضع بطل فیه عقد المساقاة یکون الثمر للمالک و للعامل اجرة مثل عمله</w:t>
      </w:r>
      <w:r>
        <w:rPr>
          <w:rtl w:val="true"/>
        </w:rPr>
        <w:t>]</w:t>
      </w:r>
      <w:bookmarkEnd w:id="48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موضع بطل فیه عقد المساقاة یکون الثمر للمالک و للعامل اجرة مثل عمله، إلّا إذا کان عالماً بالفساد </w:t>
      </w:r>
      <w:r>
        <w:rPr>
          <w:rStyle w:val="FootnoteAnchor"/>
          <w:rtl w:val="true"/>
        </w:rPr>
        <w:footnoteReference w:id="1348"/>
      </w:r>
      <w:r>
        <w:rPr>
          <w:rFonts w:ascii="IRNazanin" w:hAnsi="IRNazanin" w:eastAsia="IRNazanin"/>
          <w:color w:val="111111"/>
          <w:sz w:val="28"/>
          <w:sz w:val="28"/>
          <w:szCs w:val="28"/>
          <w:rtl w:val="true"/>
          <w:lang w:bidi="fa-IR"/>
        </w:rPr>
        <w:t>و مع ذلک أقدم علی العمل</w:t>
      </w:r>
      <w:r>
        <w:rPr>
          <w:rFonts w:eastAsia="IRNazanin" w:cs="IRNazanin"/>
          <w:color w:val="111111"/>
          <w:sz w:val="28"/>
          <w:szCs w:val="28"/>
          <w:rtl w:val="true"/>
          <w:lang w:bidi="fa-IR"/>
        </w:rPr>
        <w:t>.</w:t>
      </w:r>
    </w:p>
    <w:p>
      <w:pPr>
        <w:pStyle w:val="Heading3"/>
        <w:numPr>
          <w:ilvl w:val="2"/>
          <w:numId w:val="1"/>
        </w:numPr>
        <w:rPr/>
      </w:pPr>
      <w:bookmarkStart w:id="4850" w:name="__RefHeading___Toc2569382_3650668749"/>
      <w:bookmarkStart w:id="4851" w:name="_Toc2200"/>
      <w:bookmarkEnd w:id="4850"/>
      <w:r>
        <w:rPr>
          <w:rtl w:val="true"/>
        </w:rPr>
        <w:t>[ (</w:t>
      </w:r>
      <w:r>
        <w:rPr>
          <w:rtl w:val="true"/>
        </w:rPr>
        <w:t xml:space="preserve">مسألة </w:t>
      </w:r>
      <w:r>
        <w:rPr/>
        <w:t>11</w:t>
      </w:r>
      <w:r>
        <w:rPr>
          <w:rtl w:val="true"/>
        </w:rPr>
        <w:t xml:space="preserve">): </w:t>
      </w:r>
      <w:r>
        <w:rPr>
          <w:rtl w:val="true"/>
        </w:rPr>
        <w:t>یملک العامل الحصّة من الثمر حین ظهوره</w:t>
      </w:r>
      <w:r>
        <w:rPr>
          <w:rtl w:val="true"/>
        </w:rPr>
        <w:t>]</w:t>
      </w:r>
      <w:bookmarkEnd w:id="48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العامل الحصّة من الثمر حین ظهوره، فإذا مات بعد الظهور قبل القسمة و بطلت المساقاة من جهة أنّه قد اشترط مباشرته للعمل انتقلت إلیٰ وارثه، و تجب علیه الزکاة إذا بلغت حصّته النصاب</w:t>
      </w:r>
      <w:r>
        <w:rPr>
          <w:rFonts w:eastAsia="IRNazanin" w:cs="IRNazanin"/>
          <w:color w:val="111111"/>
          <w:sz w:val="28"/>
          <w:szCs w:val="28"/>
          <w:rtl w:val="true"/>
          <w:lang w:bidi="fa-IR"/>
        </w:rPr>
        <w:t>.</w:t>
      </w:r>
    </w:p>
    <w:p>
      <w:pPr>
        <w:pStyle w:val="Heading3"/>
        <w:numPr>
          <w:ilvl w:val="2"/>
          <w:numId w:val="1"/>
        </w:numPr>
        <w:rPr/>
      </w:pPr>
      <w:bookmarkStart w:id="4852" w:name="__RefHeading___Toc2569384_3650668749"/>
      <w:bookmarkStart w:id="4853" w:name="_Toc2201"/>
      <w:bookmarkEnd w:id="4852"/>
      <w:r>
        <w:rPr>
          <w:rtl w:val="true"/>
        </w:rPr>
        <w:t>[ (</w:t>
      </w:r>
      <w:r>
        <w:rPr>
          <w:rtl w:val="true"/>
        </w:rPr>
        <w:t xml:space="preserve">مسألة </w:t>
      </w:r>
      <w:r>
        <w:rPr/>
        <w:t>12</w:t>
      </w:r>
      <w:r>
        <w:rPr>
          <w:rtl w:val="true"/>
        </w:rPr>
        <w:t xml:space="preserve">): </w:t>
      </w:r>
      <w:r>
        <w:rPr>
          <w:rtl w:val="true"/>
        </w:rPr>
        <w:t>المغارسة باطلة</w:t>
      </w:r>
      <w:r>
        <w:rPr>
          <w:rtl w:val="true"/>
        </w:rPr>
        <w:t>]</w:t>
      </w:r>
      <w:bookmarkEnd w:id="485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المغارسة باطلة، و هی أن یدفع أرضاً إلیٰ غیره لیغرس فیها علیٰ أن یکون</w:t>
      </w:r>
      <w:bookmarkStart w:id="4854" w:name="pg1809_19487"/>
    </w:p>
    <w:p>
      <w:pPr>
        <w:pStyle w:val="BookText"/>
        <w:rPr/>
      </w:pPr>
      <w:bookmarkEnd w:id="4854"/>
      <w:r>
        <w:rPr>
          <w:rFonts w:ascii="IRNazanin" w:hAnsi="IRNazanin" w:eastAsia="IRNazanin"/>
          <w:color w:val="111111"/>
          <w:sz w:val="28"/>
          <w:sz w:val="28"/>
          <w:szCs w:val="28"/>
          <w:rtl w:val="true"/>
          <w:lang w:bidi="fa-IR"/>
        </w:rPr>
        <w:t>المغروس بینهما؛ سواء اشترط کون حصّة من الأرض أیضاً للعامل أو لا، و سواء کانت الأُصول من المالک أو من العامل، و حینئذٍ یکون الغرس لصاحبه، فإن کانت من مالک الأرض فعلیه اجرة عمل الغارس و إن کانت من الغارس فعلیه أُجرة الأرض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تراضیا علی الإبقاء بالأُجرة أو لا معها فذاک، و إلّا فلمالک الأرض الأمر بالقلع و علیه أرش نقصانه إن نقص بسبب القلع، کما أنّ للغارس قلعه و علیه طمّ الحفر و نحو ذلک ممّا حصل بالغرس، و لیس لصاحب الأرض إلزامه بالإبقاء و لو بلا أُجرة</w:t>
      </w:r>
      <w:r>
        <w:rPr>
          <w:rFonts w:eastAsia="IRNazanin" w:cs="IRNazanin"/>
          <w:color w:val="111111"/>
          <w:sz w:val="28"/>
          <w:szCs w:val="28"/>
          <w:rtl w:val="true"/>
          <w:lang w:bidi="fa-IR"/>
        </w:rPr>
        <w:t>.</w:t>
      </w:r>
    </w:p>
    <w:p>
      <w:pPr>
        <w:pStyle w:val="Heading3"/>
        <w:numPr>
          <w:ilvl w:val="2"/>
          <w:numId w:val="1"/>
        </w:numPr>
        <w:rPr/>
      </w:pPr>
      <w:bookmarkStart w:id="4855" w:name="__RefHeading___Toc2569386_3650668749"/>
      <w:bookmarkStart w:id="4856" w:name="_Toc2202"/>
      <w:bookmarkEnd w:id="4855"/>
      <w:r>
        <w:rPr>
          <w:rtl w:val="true"/>
        </w:rPr>
        <w:t>[ (</w:t>
      </w:r>
      <w:r>
        <w:rPr>
          <w:rtl w:val="true"/>
        </w:rPr>
        <w:t xml:space="preserve">مسألة </w:t>
      </w:r>
      <w:r>
        <w:rPr/>
        <w:t>13</w:t>
      </w:r>
      <w:r>
        <w:rPr>
          <w:rtl w:val="true"/>
        </w:rPr>
        <w:t xml:space="preserve">): </w:t>
      </w:r>
      <w:r>
        <w:rPr>
          <w:rtl w:val="true"/>
        </w:rPr>
        <w:t>بعد بطلان المغارسة یمکن أن یتوصّل إلیٰ نتیجتها بإدخالها تحت عنوان آخر مشروع</w:t>
      </w:r>
      <w:r>
        <w:rPr>
          <w:rtl w:val="true"/>
        </w:rPr>
        <w:t>]</w:t>
      </w:r>
      <w:bookmarkEnd w:id="48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بطلان المغارسة یمکن أن یتوصّل إلیٰ نتیجتها بإدخالها تحت عنوان آخر مشروع کأن یشترکا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بشرائها بالشرکة و لو بأن یوکّل صاحب الأرض الغارس فی أنّ کلّ ما یشتری من الفسیل یشتریه لهما بالاشتراک، ثمّ یؤاجر الغارس نفسه لغرس حصّة صاحب الأرض و سقیها و خدمتها فی مدّة معیّنة بنصف منفعة أرضه إلیٰ تلک المدّة أو بنصف عینها، أو بتملیک أحدهما للآخر نصف الأُصول مثلًا إذا کانت من أحدهما، و یجعل العوض إذا کانت من صاحب الأرض الغرس و الخدمة إلیٰ مدّة معیّنة شارطاً علیٰ نفسه بقاء حصّة الغارس فی أرضه مجّاناً إلیٰ تلک المدّة، و إذا کانت من الغارس یجعل العوض نصف عین الأرض أو نصف منفعتها إلیٰ مدّة معیّنة شارطاً علیٰ نفسه غرس حصّة صاحب الأرض و خدمتها إلیٰ تلک المدّة</w:t>
      </w:r>
      <w:r>
        <w:rPr>
          <w:rFonts w:eastAsia="IRNazanin" w:cs="IRNazanin"/>
          <w:color w:val="111111"/>
          <w:sz w:val="28"/>
          <w:szCs w:val="28"/>
          <w:rtl w:val="true"/>
          <w:lang w:bidi="fa-IR"/>
        </w:rPr>
        <w:t>.</w:t>
      </w:r>
    </w:p>
    <w:p>
      <w:pPr>
        <w:pStyle w:val="Heading3"/>
        <w:numPr>
          <w:ilvl w:val="2"/>
          <w:numId w:val="1"/>
        </w:numPr>
        <w:rPr/>
      </w:pPr>
      <w:bookmarkStart w:id="4857" w:name="__RefHeading___Toc2569388_3650668749"/>
      <w:bookmarkStart w:id="4858" w:name="_Toc2203"/>
      <w:bookmarkEnd w:id="4857"/>
      <w:r>
        <w:rPr>
          <w:rtl w:val="true"/>
        </w:rPr>
        <w:t>[ (</w:t>
      </w:r>
      <w:r>
        <w:rPr>
          <w:rtl w:val="true"/>
        </w:rPr>
        <w:t xml:space="preserve">مسألة </w:t>
      </w:r>
      <w:r>
        <w:rPr/>
        <w:t>14</w:t>
      </w:r>
      <w:r>
        <w:rPr>
          <w:rtl w:val="true"/>
        </w:rPr>
        <w:t xml:space="preserve">): </w:t>
      </w:r>
      <w:r>
        <w:rPr>
          <w:rtl w:val="true"/>
        </w:rPr>
        <w:t>الخراج الذی یأخذه السلطان من النخیل و الأشجار فی الأراضی الخراجیّة علی المالک</w:t>
      </w:r>
      <w:r>
        <w:rPr>
          <w:rtl w:val="true"/>
        </w:rPr>
        <w:t>]</w:t>
      </w:r>
      <w:bookmarkEnd w:id="48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الذی یأخذه السلطان من النخیل و الأشجار فی الأراضی الخراجیّة علی المالک، إلّا إذا اشترطا کونه علی العامل أو علیهما</w:t>
      </w:r>
      <w:r>
        <w:rPr>
          <w:rFonts w:eastAsia="IRNazanin" w:cs="IRNazanin"/>
          <w:color w:val="111111"/>
          <w:sz w:val="28"/>
          <w:szCs w:val="28"/>
          <w:rtl w:val="true"/>
          <w:lang w:bidi="fa-IR"/>
        </w:rPr>
        <w:t>.</w:t>
      </w:r>
    </w:p>
    <w:p>
      <w:pPr>
        <w:pStyle w:val="Heading3"/>
        <w:numPr>
          <w:ilvl w:val="2"/>
          <w:numId w:val="1"/>
        </w:numPr>
        <w:rPr/>
      </w:pPr>
      <w:bookmarkStart w:id="4859" w:name="__RefHeading___Toc2569390_3650668749"/>
      <w:bookmarkStart w:id="4860" w:name="_Toc2204"/>
      <w:bookmarkEnd w:id="4859"/>
      <w:r>
        <w:rPr>
          <w:rtl w:val="true"/>
        </w:rPr>
        <w:t>[ (</w:t>
      </w:r>
      <w:r>
        <w:rPr>
          <w:rtl w:val="true"/>
        </w:rPr>
        <w:t xml:space="preserve">مسألة </w:t>
      </w:r>
      <w:r>
        <w:rPr/>
        <w:t>15</w:t>
      </w:r>
      <w:r>
        <w:rPr>
          <w:rtl w:val="true"/>
        </w:rPr>
        <w:t xml:space="preserve">): </w:t>
      </w:r>
      <w:r>
        <w:rPr>
          <w:rtl w:val="true"/>
        </w:rPr>
        <w:t>لا یجوز للعامل فی المساقاة أن یساقی غیره</w:t>
      </w:r>
      <w:r>
        <w:rPr>
          <w:rtl w:val="true"/>
        </w:rPr>
        <w:t>]</w:t>
      </w:r>
      <w:bookmarkEnd w:id="4860"/>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للعامل فی المساقاة أن یساقی </w:t>
      </w:r>
      <w:r>
        <w:rPr>
          <w:rStyle w:val="FootnoteAnchor"/>
          <w:rtl w:val="true"/>
        </w:rPr>
        <w:footnoteReference w:id="1349"/>
      </w:r>
      <w:r>
        <w:rPr>
          <w:rFonts w:ascii="IRNazanin" w:hAnsi="IRNazanin" w:eastAsia="IRNazanin"/>
          <w:color w:val="111111"/>
          <w:sz w:val="28"/>
          <w:sz w:val="28"/>
          <w:szCs w:val="28"/>
          <w:rtl w:val="true"/>
          <w:lang w:bidi="fa-IR"/>
        </w:rPr>
        <w:t>غیره إلّا بإذن المالک، لکن مرجع إذنه فیها إلیٰ توکیله فی إیقاع مساقاة أُخری للمالک مع شخص ثالث بعد فسخ المساقاة الاولیٰ، فلا یستحقّ العامل الأوّل شیئاً</w:t>
      </w:r>
      <w:r>
        <w:rPr>
          <w:rFonts w:eastAsia="IRNazanin" w:cs="IRNazanin"/>
          <w:color w:val="111111"/>
          <w:sz w:val="28"/>
          <w:szCs w:val="28"/>
          <w:rtl w:val="true"/>
          <w:lang w:bidi="fa-IR"/>
        </w:rPr>
        <w:t>.</w:t>
      </w:r>
      <w:bookmarkStart w:id="4861" w:name="pg1809_19488"/>
    </w:p>
    <w:p>
      <w:pPr>
        <w:pStyle w:val="Heading2"/>
        <w:numPr>
          <w:ilvl w:val="1"/>
          <w:numId w:val="1"/>
        </w:numPr>
        <w:rPr/>
      </w:pPr>
      <w:bookmarkStart w:id="4862" w:name="__RefHeading___Toc2569392_3650668749"/>
      <w:bookmarkStart w:id="4863" w:name="_Toc2205"/>
      <w:bookmarkEnd w:id="4861"/>
      <w:bookmarkEnd w:id="4862"/>
      <w:r>
        <w:rPr>
          <w:rtl w:val="true"/>
        </w:rPr>
        <w:t>[</w:t>
      </w:r>
      <w:r>
        <w:rPr>
          <w:rtl w:val="true"/>
        </w:rPr>
        <w:t>کتاب الدین و القرض</w:t>
      </w:r>
      <w:r>
        <w:rPr>
          <w:rtl w:val="true"/>
        </w:rPr>
        <w:t>]</w:t>
      </w:r>
      <w:bookmarkEnd w:id="4863"/>
    </w:p>
    <w:p>
      <w:pPr>
        <w:pStyle w:val="Heading3"/>
        <w:numPr>
          <w:ilvl w:val="2"/>
          <w:numId w:val="1"/>
        </w:numPr>
        <w:rPr/>
      </w:pPr>
      <w:bookmarkStart w:id="4864" w:name="__RefHeading___Toc2569394_3650668749"/>
      <w:bookmarkStart w:id="4865" w:name="_Toc2206"/>
      <w:bookmarkEnd w:id="4864"/>
      <w:r>
        <w:rPr>
          <w:rtl w:val="true"/>
        </w:rPr>
        <w:t>اشارة</w:t>
      </w:r>
      <w:bookmarkEnd w:id="4865"/>
    </w:p>
    <w:p>
      <w:pPr>
        <w:pStyle w:val="BookText"/>
        <w:rPr/>
      </w:pPr>
      <w:r>
        <w:rPr>
          <w:rFonts w:ascii="IRNazanin" w:hAnsi="IRNazanin" w:eastAsia="IRNazanin"/>
          <w:color w:val="111111"/>
          <w:sz w:val="28"/>
          <w:sz w:val="28"/>
          <w:szCs w:val="28"/>
          <w:rtl w:val="true"/>
          <w:lang w:bidi="fa-IR"/>
        </w:rPr>
        <w:t>کتاب الدین و القرض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المال الکلّی الثابت فی ذمّة شخص لآخر بسبب من الأسباب، و یقال لمن اشتغلت ذمّته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المدیون و المدین، و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الدائن و 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الاقتراض أو أُمور أُخر اختیاریّة؛ کجعله مبیعاً فی السلم أو ثمناً فی النسیئة أو اجرة فی الإجارة أو صداقاً فی النکاح أو عوضاً للطلاق فی الخلع و غیر ذلک، أو قهریّة؛ کما فی موارد الضمانات و نفقة الزوجة الدائمة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أحکام مشترکة و أحکام مختصّة بالقرض</w:t>
      </w:r>
      <w:r>
        <w:rPr>
          <w:rFonts w:eastAsia="IRNazanin" w:cs="IRNazanin"/>
          <w:color w:val="111111"/>
          <w:sz w:val="28"/>
          <w:szCs w:val="28"/>
          <w:rtl w:val="true"/>
          <w:lang w:bidi="fa-IR"/>
        </w:rPr>
        <w:t>:</w:t>
      </w:r>
    </w:p>
    <w:p>
      <w:pPr>
        <w:pStyle w:val="Heading3"/>
        <w:numPr>
          <w:ilvl w:val="2"/>
          <w:numId w:val="1"/>
        </w:numPr>
        <w:rPr/>
      </w:pPr>
      <w:bookmarkStart w:id="4866" w:name="__RefHeading___Toc2569396_3650668749"/>
      <w:bookmarkStart w:id="4867" w:name="_Toc2207"/>
      <w:bookmarkEnd w:id="4866"/>
      <w:r>
        <w:rPr>
          <w:rtl w:val="true"/>
        </w:rPr>
        <w:t>[</w:t>
      </w:r>
      <w:r>
        <w:rPr>
          <w:rtl w:val="true"/>
        </w:rPr>
        <w:t>القول فی أحکام الدین</w:t>
      </w:r>
      <w:r>
        <w:rPr>
          <w:rtl w:val="true"/>
        </w:rPr>
        <w:t>]</w:t>
      </w:r>
      <w:bookmarkEnd w:id="4867"/>
    </w:p>
    <w:p>
      <w:pPr>
        <w:pStyle w:val="Heading4"/>
        <w:numPr>
          <w:ilvl w:val="3"/>
          <w:numId w:val="1"/>
        </w:numPr>
        <w:rPr/>
      </w:pPr>
      <w:bookmarkStart w:id="4868" w:name="__RefHeading___Toc2569398_3650668749"/>
      <w:bookmarkStart w:id="4869" w:name="_Toc2208"/>
      <w:bookmarkEnd w:id="4868"/>
      <w:r>
        <w:rPr>
          <w:rtl w:val="true"/>
        </w:rPr>
        <w:t>اشارة</w:t>
      </w:r>
      <w:bookmarkEnd w:id="4869"/>
    </w:p>
    <w:p>
      <w:pPr>
        <w:pStyle w:val="BookText"/>
        <w:rPr/>
      </w:pPr>
      <w:r>
        <w:rPr>
          <w:rFonts w:ascii="IRNazanin" w:hAnsi="IRNazanin" w:eastAsia="IRNazanin"/>
          <w:color w:val="111111"/>
          <w:sz w:val="28"/>
          <w:sz w:val="28"/>
          <w:szCs w:val="28"/>
          <w:rtl w:val="true"/>
          <w:lang w:bidi="fa-IR"/>
        </w:rPr>
        <w:t>القول فی أحکام الدین</w:t>
      </w:r>
    </w:p>
    <w:p>
      <w:pPr>
        <w:pStyle w:val="Heading4"/>
        <w:numPr>
          <w:ilvl w:val="3"/>
          <w:numId w:val="1"/>
        </w:numPr>
        <w:rPr/>
      </w:pPr>
      <w:bookmarkStart w:id="4870" w:name="__RefHeading___Toc2569400_3650668749"/>
      <w:bookmarkStart w:id="4871" w:name="_Toc2209"/>
      <w:bookmarkEnd w:id="4870"/>
      <w:r>
        <w:rPr>
          <w:rtl w:val="true"/>
        </w:rPr>
        <w:t>[ (</w:t>
      </w:r>
      <w:r>
        <w:rPr>
          <w:rtl w:val="true"/>
        </w:rPr>
        <w:t xml:space="preserve">مسألة </w:t>
      </w:r>
      <w:r>
        <w:rPr/>
        <w:t>1</w:t>
      </w:r>
      <w:r>
        <w:rPr>
          <w:rtl w:val="true"/>
        </w:rPr>
        <w:t xml:space="preserve">): </w:t>
      </w:r>
      <w:r>
        <w:rPr>
          <w:rtl w:val="true"/>
        </w:rPr>
        <w:t>الدین إمّا حالّ</w:t>
      </w:r>
      <w:r>
        <w:rPr>
          <w:rtl w:val="true"/>
        </w:rPr>
        <w:t>]</w:t>
      </w:r>
      <w:bookmarkEnd w:id="48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إمّا حالّ؛ و هو ما کان </w:t>
      </w:r>
      <w:r>
        <w:rPr>
          <w:rStyle w:val="FootnoteAnchor"/>
          <w:rtl w:val="true"/>
        </w:rPr>
        <w:footnoteReference w:id="1350"/>
      </w:r>
      <w:r>
        <w:rPr>
          <w:rFonts w:ascii="IRNazanin" w:hAnsi="IRNazanin" w:eastAsia="IRNazanin"/>
          <w:color w:val="111111"/>
          <w:sz w:val="28"/>
          <w:sz w:val="28"/>
          <w:szCs w:val="28"/>
          <w:rtl w:val="true"/>
          <w:lang w:bidi="fa-IR"/>
        </w:rPr>
        <w:t>للدائن مطالبته و اقتضاؤه، و یجب علی المدیون أداؤه مع التمکّن و الیسار فی کلّ وقت، و إمّا مؤجّل؛ و هو ما لم یکن للدائن حقّ المطالبة و لا یجب علی المدیون القضاء إلّا بعد انقضاء المدّة المضروبة و حلول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الأجل تارة بجعل المتداینین کما فی السلم و النسیئة، و أُخری بجعل الشارع کالنجوم و الأقساط المقرّرة فی الدیة، کما یأتی فی بابه إن شاء اللّٰه تعالیٰ</w:t>
      </w:r>
      <w:r>
        <w:rPr>
          <w:rFonts w:eastAsia="IRNazanin" w:cs="IRNazanin"/>
          <w:color w:val="111111"/>
          <w:sz w:val="28"/>
          <w:szCs w:val="28"/>
          <w:rtl w:val="true"/>
          <w:lang w:bidi="fa-IR"/>
        </w:rPr>
        <w:t>.</w:t>
      </w:r>
    </w:p>
    <w:p>
      <w:pPr>
        <w:pStyle w:val="Heading4"/>
        <w:numPr>
          <w:ilvl w:val="3"/>
          <w:numId w:val="1"/>
        </w:numPr>
        <w:rPr/>
      </w:pPr>
      <w:bookmarkStart w:id="4872" w:name="__RefHeading___Toc2569402_3650668749"/>
      <w:bookmarkStart w:id="4873" w:name="_Toc2210"/>
      <w:bookmarkEnd w:id="4872"/>
      <w:r>
        <w:rPr>
          <w:rtl w:val="true"/>
        </w:rPr>
        <w:t>[ (</w:t>
      </w:r>
      <w:r>
        <w:rPr>
          <w:rtl w:val="true"/>
        </w:rPr>
        <w:t xml:space="preserve">مسألة </w:t>
      </w:r>
      <w:r>
        <w:rPr/>
        <w:t>2</w:t>
      </w:r>
      <w:r>
        <w:rPr>
          <w:rtl w:val="true"/>
        </w:rPr>
        <w:t xml:space="preserve">): </w:t>
      </w:r>
      <w:r>
        <w:rPr>
          <w:rtl w:val="true"/>
        </w:rPr>
        <w:t>إذا کان الدین حالّا أو مؤجّلًا و قد حلّ الأجل</w:t>
      </w:r>
      <w:r>
        <w:rPr>
          <w:rtl w:val="true"/>
        </w:rPr>
        <w:t>]</w:t>
      </w:r>
      <w:bookmarkEnd w:id="4873"/>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الدین حالّا أو مؤجّلًا و قد حلّ الأجل، فکما یجب علی المدیون الموسر أداؤه عند مطالبة الدائن، کذلک یجب علی الدائن أخذه و تسلّمه إذا صار المدیون بصدد أدائه و تفریغ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الدین المؤجّل قبل حلول الأجل، فلا إشکال فی أنّه لیس للدائن حقّ المطالبة، و إنّما الإشکال فی أنّه هل یجب علیه القبول لو تبرّع المدیون بأدائه أم</w:t>
      </w:r>
      <w:bookmarkStart w:id="4874" w:name="pg1809_19489"/>
    </w:p>
    <w:p>
      <w:pPr>
        <w:pStyle w:val="BookText"/>
        <w:rPr/>
      </w:pPr>
      <w:bookmarkEnd w:id="4874"/>
      <w:r>
        <w:rPr>
          <w:rFonts w:ascii="IRNazanin" w:hAnsi="IRNazanin" w:eastAsia="IRNazanin"/>
          <w:color w:val="111111"/>
          <w:sz w:val="28"/>
          <w:sz w:val="28"/>
          <w:szCs w:val="28"/>
          <w:rtl w:val="true"/>
          <w:lang w:bidi="fa-IR"/>
        </w:rPr>
        <w:t>لا؟ وجهان بل قولان، أقواهما الثانی إلّا إذا علم بالقرائن أنّ التأجیل لمجرّد إرفاق علی المدیون من دون أن یکون حقّا للدائن</w:t>
      </w:r>
      <w:r>
        <w:rPr>
          <w:rFonts w:eastAsia="IRNazanin" w:cs="IRNazanin"/>
          <w:color w:val="111111"/>
          <w:sz w:val="28"/>
          <w:szCs w:val="28"/>
          <w:rtl w:val="true"/>
          <w:lang w:bidi="fa-IR"/>
        </w:rPr>
        <w:t>.</w:t>
      </w:r>
    </w:p>
    <w:p>
      <w:pPr>
        <w:pStyle w:val="Heading4"/>
        <w:numPr>
          <w:ilvl w:val="3"/>
          <w:numId w:val="1"/>
        </w:numPr>
        <w:rPr/>
      </w:pPr>
      <w:bookmarkStart w:id="4875" w:name="__RefHeading___Toc2569404_3650668749"/>
      <w:bookmarkStart w:id="4876" w:name="_Toc2211"/>
      <w:bookmarkEnd w:id="4875"/>
      <w:r>
        <w:rPr>
          <w:rtl w:val="true"/>
        </w:rPr>
        <w:t>[ (</w:t>
      </w:r>
      <w:r>
        <w:rPr>
          <w:rtl w:val="true"/>
        </w:rPr>
        <w:t xml:space="preserve">مسألة </w:t>
      </w:r>
      <w:r>
        <w:rPr/>
        <w:t>3</w:t>
      </w:r>
      <w:r>
        <w:rPr>
          <w:rtl w:val="true"/>
        </w:rPr>
        <w:t xml:space="preserve">): </w:t>
      </w:r>
      <w:r>
        <w:rPr>
          <w:rtl w:val="true"/>
        </w:rPr>
        <w:t>قد عرفت أنّه إذا أدّی المدیون الدین عند حلوله یجب علی الدائن أخذه</w:t>
      </w:r>
      <w:r>
        <w:rPr>
          <w:rtl w:val="true"/>
        </w:rPr>
        <w:t>]</w:t>
      </w:r>
      <w:bookmarkEnd w:id="48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إذا أدّی المدیون الدین عند حلوله یجب علی الدائن أخذه، فإذا امتنع أجبره الحاکم لو التمس منه المدیون، و لو تعذّر إجباره أحضره عنده و مکّنه منه بحیث صار تحت یده و سلطانه عرفاً و به تفرغ ذمّته، و لو تلف بعد ذلک لا ضمان علیه و کان من مال الدائن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تعذّر علیه ذلک فله أن یسلّمه إلی الحاکم و قد فرغت ذمّته، و هل یجب علی الحاکم القبول؟ فیه تأمّل و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یوجد الحاکم فله أن یعیّن </w:t>
      </w:r>
      <w:r>
        <w:rPr>
          <w:rStyle w:val="FootnoteAnchor"/>
          <w:rtl w:val="true"/>
        </w:rPr>
        <w:footnoteReference w:id="1351"/>
      </w:r>
      <w:r>
        <w:rPr>
          <w:rFonts w:ascii="IRNazanin" w:hAnsi="IRNazanin" w:eastAsia="IRNazanin"/>
          <w:color w:val="111111"/>
          <w:sz w:val="28"/>
          <w:sz w:val="28"/>
          <w:szCs w:val="28"/>
          <w:rtl w:val="true"/>
          <w:lang w:bidi="fa-IR"/>
        </w:rPr>
        <w:t>الدین فی مال مخصوص و یعزله و به تبرأ ذمّته، و لیس علیه ضمان لو تلف من غیر تفریط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الدائن حاضراً و امتنع من أخذه، و لو کان غائباً و لا یمکن إیصال المال إلیه و أراد المدیون تفریغ ذمّته أوصله إلی الحاکم عند وجوده، و فی وجوب القبول علیه الإشکال السابق، و لو لم یوجد الحاکم یبقیٰ فی ذمّته إلیٰ أن یوصله إلی الدائن أو من یقوم مقامه</w:t>
      </w:r>
      <w:r>
        <w:rPr>
          <w:rFonts w:eastAsia="IRNazanin" w:cs="IRNazanin"/>
          <w:color w:val="111111"/>
          <w:sz w:val="28"/>
          <w:szCs w:val="28"/>
          <w:rtl w:val="true"/>
          <w:lang w:bidi="fa-IR"/>
        </w:rPr>
        <w:t>.</w:t>
      </w:r>
    </w:p>
    <w:p>
      <w:pPr>
        <w:pStyle w:val="Heading4"/>
        <w:numPr>
          <w:ilvl w:val="3"/>
          <w:numId w:val="1"/>
        </w:numPr>
        <w:rPr/>
      </w:pPr>
      <w:bookmarkStart w:id="4877" w:name="__RefHeading___Toc2569406_3650668749"/>
      <w:bookmarkStart w:id="4878" w:name="_Toc2212"/>
      <w:bookmarkEnd w:id="4877"/>
      <w:r>
        <w:rPr>
          <w:rtl w:val="true"/>
        </w:rPr>
        <w:t>[ (</w:t>
      </w:r>
      <w:r>
        <w:rPr>
          <w:rtl w:val="true"/>
        </w:rPr>
        <w:t xml:space="preserve">مسألة </w:t>
      </w:r>
      <w:r>
        <w:rPr/>
        <w:t>4</w:t>
      </w:r>
      <w:r>
        <w:rPr>
          <w:rtl w:val="true"/>
        </w:rPr>
        <w:t xml:space="preserve">): </w:t>
      </w:r>
      <w:r>
        <w:rPr>
          <w:rtl w:val="true"/>
        </w:rPr>
        <w:t>یجوز التبرّع بأداء دین الغیر حیّاً کان أو میّتاً</w:t>
      </w:r>
      <w:r>
        <w:rPr>
          <w:rtl w:val="true"/>
        </w:rPr>
        <w:t>]</w:t>
      </w:r>
      <w:bookmarkEnd w:id="48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التبرّع بأداء دین الغیر حیّاً کان أو میّتاً، و به تبرأ ذمّته و إن کان بغیر إذنه، بل و إن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 من له الدین القبول کما فی أدائه عن نفسه</w:t>
      </w:r>
      <w:r>
        <w:rPr>
          <w:rFonts w:eastAsia="IRNazanin" w:cs="IRNazanin"/>
          <w:color w:val="111111"/>
          <w:sz w:val="28"/>
          <w:szCs w:val="28"/>
          <w:rtl w:val="true"/>
          <w:lang w:bidi="fa-IR"/>
        </w:rPr>
        <w:t>.</w:t>
      </w:r>
    </w:p>
    <w:p>
      <w:pPr>
        <w:pStyle w:val="Heading4"/>
        <w:numPr>
          <w:ilvl w:val="3"/>
          <w:numId w:val="1"/>
        </w:numPr>
        <w:rPr/>
      </w:pPr>
      <w:bookmarkStart w:id="4879" w:name="__RefHeading___Toc2569408_3650668749"/>
      <w:bookmarkStart w:id="4880" w:name="_Toc2213"/>
      <w:bookmarkEnd w:id="4879"/>
      <w:r>
        <w:rPr>
          <w:rtl w:val="true"/>
        </w:rPr>
        <w:t>[ (</w:t>
      </w:r>
      <w:r>
        <w:rPr>
          <w:rtl w:val="true"/>
        </w:rPr>
        <w:t xml:space="preserve">مسألة </w:t>
      </w:r>
      <w:r>
        <w:rPr/>
        <w:t>5</w:t>
      </w:r>
      <w:r>
        <w:rPr>
          <w:rtl w:val="true"/>
        </w:rPr>
        <w:t xml:space="preserve">): </w:t>
      </w:r>
      <w:r>
        <w:rPr>
          <w:rtl w:val="true"/>
        </w:rPr>
        <w:t>لا یتعیّن الدین فیما عیّنه المدین و لا یصیر ملکاً للدائن ما لم یقبضه</w:t>
      </w:r>
      <w:r>
        <w:rPr>
          <w:rtl w:val="true"/>
        </w:rPr>
        <w:t>]</w:t>
      </w:r>
      <w:bookmarkEnd w:id="48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یتعیّن الدین فیما عیّنه المدین و لا یصیر ملکاً للدائن ما لم یقبضه، إلّا إذا سقط اعتبار قبضه بسبب الامتناع کما مرّ </w:t>
      </w:r>
      <w:r>
        <w:rPr>
          <w:rStyle w:val="FootnoteAnchor"/>
          <w:rtl w:val="true"/>
        </w:rPr>
        <w:footnoteReference w:id="1352"/>
      </w:r>
      <w:r>
        <w:rPr>
          <w:rFonts w:ascii="IRNazanin" w:hAnsi="IRNazanin" w:eastAsia="IRNazanin"/>
          <w:color w:val="111111"/>
          <w:sz w:val="28"/>
          <w:sz w:val="28"/>
          <w:szCs w:val="28"/>
          <w:rtl w:val="true"/>
          <w:lang w:bidi="fa-IR"/>
        </w:rPr>
        <w:t>، فلو کان علیه درهم و أخرج من کیسه درهماً لیدفعه إلیه وفاء عمّا علیه و قبل وصوله بیده سقط و تلف کان التالف من ماله و بقی ما فی ذمّته علیٰ حاله</w:t>
      </w:r>
      <w:r>
        <w:rPr>
          <w:rFonts w:eastAsia="IRNazanin" w:cs="IRNazanin"/>
          <w:color w:val="111111"/>
          <w:sz w:val="28"/>
          <w:szCs w:val="28"/>
          <w:rtl w:val="true"/>
          <w:lang w:bidi="fa-IR"/>
        </w:rPr>
        <w:t>.</w:t>
      </w:r>
    </w:p>
    <w:p>
      <w:pPr>
        <w:pStyle w:val="Heading4"/>
        <w:numPr>
          <w:ilvl w:val="3"/>
          <w:numId w:val="1"/>
        </w:numPr>
        <w:rPr/>
      </w:pPr>
      <w:bookmarkStart w:id="4881" w:name="__RefHeading___Toc2569410_3650668749"/>
      <w:bookmarkStart w:id="4882" w:name="_Toc2214"/>
      <w:bookmarkEnd w:id="4881"/>
      <w:r>
        <w:rPr>
          <w:rtl w:val="true"/>
        </w:rPr>
        <w:t>[ (</w:t>
      </w:r>
      <w:r>
        <w:rPr>
          <w:rtl w:val="true"/>
        </w:rPr>
        <w:t xml:space="preserve">مسألة </w:t>
      </w:r>
      <w:r>
        <w:rPr/>
        <w:t>6</w:t>
      </w:r>
      <w:r>
        <w:rPr>
          <w:rtl w:val="true"/>
        </w:rPr>
        <w:t xml:space="preserve">): </w:t>
      </w:r>
      <w:r>
        <w:rPr>
          <w:rtl w:val="true"/>
        </w:rPr>
        <w:t>یحلّ الدین المؤجّل إذا مات المدیون قبل حلول الأجل</w:t>
      </w:r>
      <w:r>
        <w:rPr>
          <w:rtl w:val="true"/>
        </w:rPr>
        <w:t>]</w:t>
      </w:r>
      <w:bookmarkEnd w:id="4882"/>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الدین المؤجّل إذا مات المدیون قبل حلول الأجل، و لو مات الدائن یبقیٰ علیٰ حاله ینتظر ورثته انقضاء الأجل، فلو کان الصداق مؤجّلًا إلیٰ مدّة معیّنة و مات الزوج قبل حلوله استحقّت الزوجة مطالبته بعد موته، بخلاف ما إذا ماتت الزوجة، فلیس لورثتها المطالبة قبل انقضاء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یلحق بموت الزوج طلاقه، فلو طلّق زوجته یبقیٰ صداقها المؤجّل علیٰ حاله، کما أنّه لا یلحق بموت المدیون تحجیره بسبب الفلس، فلو کان علیه</w:t>
      </w:r>
      <w:bookmarkStart w:id="4883" w:name="pg1809_19490"/>
    </w:p>
    <w:p>
      <w:pPr>
        <w:pStyle w:val="BookText"/>
        <w:rPr/>
      </w:pPr>
      <w:bookmarkEnd w:id="4883"/>
      <w:r>
        <w:rPr>
          <w:rFonts w:ascii="IRNazanin" w:hAnsi="IRNazanin" w:eastAsia="IRNazanin"/>
          <w:color w:val="111111"/>
          <w:sz w:val="28"/>
          <w:sz w:val="28"/>
          <w:szCs w:val="28"/>
          <w:rtl w:val="true"/>
          <w:lang w:bidi="fa-IR"/>
        </w:rPr>
        <w:t>دیون حالّة و دیون مؤجّلة یقسّم ماله بین أرباب الدیون الحالّة و لا یشارکهم أرباب المؤجّلة</w:t>
      </w:r>
      <w:r>
        <w:rPr>
          <w:rFonts w:eastAsia="IRNazanin" w:cs="IRNazanin"/>
          <w:color w:val="111111"/>
          <w:sz w:val="28"/>
          <w:szCs w:val="28"/>
          <w:rtl w:val="true"/>
          <w:lang w:bidi="fa-IR"/>
        </w:rPr>
        <w:t>.</w:t>
      </w:r>
    </w:p>
    <w:p>
      <w:pPr>
        <w:pStyle w:val="Heading4"/>
        <w:numPr>
          <w:ilvl w:val="3"/>
          <w:numId w:val="1"/>
        </w:numPr>
        <w:rPr/>
      </w:pPr>
      <w:bookmarkStart w:id="4884" w:name="__RefHeading___Toc2569412_3650668749"/>
      <w:bookmarkStart w:id="4885" w:name="_Toc2215"/>
      <w:bookmarkEnd w:id="4884"/>
      <w:r>
        <w:rPr>
          <w:rtl w:val="true"/>
        </w:rPr>
        <w:t>[ (</w:t>
      </w:r>
      <w:r>
        <w:rPr>
          <w:rtl w:val="true"/>
        </w:rPr>
        <w:t xml:space="preserve">مسألة </w:t>
      </w:r>
      <w:r>
        <w:rPr/>
        <w:t>7</w:t>
      </w:r>
      <w:r>
        <w:rPr>
          <w:rtl w:val="true"/>
        </w:rPr>
        <w:t xml:space="preserve">): </w:t>
      </w:r>
      <w:r>
        <w:rPr>
          <w:rtl w:val="true"/>
        </w:rPr>
        <w:t>لا یجوز بیع الدین بالدین</w:t>
      </w:r>
      <w:r>
        <w:rPr>
          <w:rtl w:val="true"/>
        </w:rPr>
        <w:t>]</w:t>
      </w:r>
      <w:bookmarkEnd w:id="48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بیع الدین بالدین </w:t>
      </w:r>
      <w:r>
        <w:rPr>
          <w:rStyle w:val="FootnoteAnchor"/>
          <w:rtl w:val="true"/>
        </w:rPr>
        <w:footnoteReference w:id="1353"/>
      </w:r>
      <w:r>
        <w:rPr>
          <w:rFonts w:ascii="IRNazanin" w:hAnsi="IRNazanin" w:eastAsia="IRNazanin"/>
          <w:color w:val="111111"/>
          <w:sz w:val="28"/>
          <w:sz w:val="28"/>
          <w:szCs w:val="28"/>
          <w:rtl w:val="true"/>
          <w:lang w:bidi="fa-IR"/>
        </w:rPr>
        <w:t>بأن کان العوضان کلاهما دیناً قبل البیع، کما إذا کان لأحدهما علی الآخر طعام کوزنة من حنطة و للآخر علیه طعام آخر کوزنة من شعیر فباع الشعیر الذی له علی الآخر بالحنطة التی للآخر علیه، أو کان لأحدهما علیٰ شخص طعام و لآخر علیٰ ذلک الشخص طعام آخر فباع ماله علیٰ ذلک الشخص بما للآخر علیٰ ذلک الشخص، أو کان لأحدهما طعام علیٰ شخص و للآخر طعام علیٰ شخص آخر فبیع أحد الطعامین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العوضان کلاهما دیناً قبل البیع و إن صارا معاً أو صار أحدهما دیناً بسبب البیع کما إذا باع ماله فی ذمّة الآخر بثمن فی ذمّته نسیئة مثلًا فله شقوق و صور کثیرة لا یسع هذا المختصر تفصیلها</w:t>
      </w:r>
      <w:r>
        <w:rPr>
          <w:rFonts w:eastAsia="IRNazanin" w:cs="IRNazanin"/>
          <w:color w:val="111111"/>
          <w:sz w:val="28"/>
          <w:szCs w:val="28"/>
          <w:rtl w:val="true"/>
          <w:lang w:bidi="fa-IR"/>
        </w:rPr>
        <w:t>.</w:t>
      </w:r>
    </w:p>
    <w:p>
      <w:pPr>
        <w:pStyle w:val="Heading4"/>
        <w:numPr>
          <w:ilvl w:val="3"/>
          <w:numId w:val="1"/>
        </w:numPr>
        <w:rPr/>
      </w:pPr>
      <w:bookmarkStart w:id="4886" w:name="__RefHeading___Toc2569414_3650668749"/>
      <w:bookmarkStart w:id="4887" w:name="_Toc2216"/>
      <w:bookmarkEnd w:id="4886"/>
      <w:r>
        <w:rPr>
          <w:rtl w:val="true"/>
        </w:rPr>
        <w:t>[ (</w:t>
      </w:r>
      <w:r>
        <w:rPr>
          <w:rtl w:val="true"/>
        </w:rPr>
        <w:t xml:space="preserve">مسألة </w:t>
      </w:r>
      <w:r>
        <w:rPr/>
        <w:t>8</w:t>
      </w:r>
      <w:r>
        <w:rPr>
          <w:rtl w:val="true"/>
        </w:rPr>
        <w:t xml:space="preserve">): </w:t>
      </w:r>
      <w:r>
        <w:rPr>
          <w:rtl w:val="true"/>
        </w:rPr>
        <w:t>یجوز تعجیل الدین المؤجّل بنقصان مع التراضی</w:t>
      </w:r>
      <w:r>
        <w:rPr>
          <w:rtl w:val="true"/>
        </w:rPr>
        <w:t>]</w:t>
      </w:r>
      <w:bookmarkEnd w:id="48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تعجیل الدین المؤجّل بنقصان مع التراضی، و هو الذی یسمّیٰ فی الوقت الحاضر فی لسان التجار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یجوز تأجیل الحالّ و لا زیادة أجل المؤجّل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بالاحتیاط بجعل الزیادة المطلوبة فی ثمن مبیع مثلًا و یجعل التأجیل و التأخیر إلیٰ أجل معیّن شرطاً علی البائع؛ بأن یبیع الدائن من المدین مثلًا ما یسوی عشرة دراهم بخمسة عشر درهماً علیٰ أن لا یطالب المشتری عن الدین الذی علیه إلیٰ وقت کذا و مثله ما إذا باع المدیون من الدائن ما یکون قیمته خمسة عشر درهماً بعشرة شارطاً علیه تأخیر الدین إلیٰ وقت کذا</w:t>
      </w:r>
      <w:r>
        <w:rPr>
          <w:rFonts w:eastAsia="IRNazanin" w:cs="IRNazanin"/>
          <w:color w:val="111111"/>
          <w:sz w:val="28"/>
          <w:szCs w:val="28"/>
          <w:rtl w:val="true"/>
          <w:lang w:bidi="fa-IR"/>
        </w:rPr>
        <w:t>.</w:t>
      </w:r>
    </w:p>
    <w:p>
      <w:pPr>
        <w:pStyle w:val="Heading4"/>
        <w:numPr>
          <w:ilvl w:val="3"/>
          <w:numId w:val="1"/>
        </w:numPr>
        <w:rPr/>
      </w:pPr>
      <w:bookmarkStart w:id="4888" w:name="__RefHeading___Toc2569416_3650668749"/>
      <w:bookmarkStart w:id="4889" w:name="_Toc2217"/>
      <w:bookmarkEnd w:id="4888"/>
      <w:r>
        <w:rPr>
          <w:rtl w:val="true"/>
        </w:rPr>
        <w:t>[ (</w:t>
      </w:r>
      <w:r>
        <w:rPr>
          <w:rtl w:val="true"/>
        </w:rPr>
        <w:t xml:space="preserve">مسألة </w:t>
      </w:r>
      <w:r>
        <w:rPr/>
        <w:t>9</w:t>
      </w:r>
      <w:r>
        <w:rPr>
          <w:rtl w:val="true"/>
        </w:rPr>
        <w:t xml:space="preserve">): </w:t>
      </w:r>
      <w:r>
        <w:rPr>
          <w:rtl w:val="true"/>
        </w:rPr>
        <w:t>لا یجوز قسمة الدین</w:t>
      </w:r>
      <w:r>
        <w:rPr>
          <w:rtl w:val="true"/>
        </w:rPr>
        <w:t>]</w:t>
      </w:r>
      <w:bookmarkEnd w:id="4889"/>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قسمة الدین، فإذا کان لاثنین دین مشترک علیٰ ذمم متعدّدة کما إذا باعا عیناً مشترکاً بینهما من أشخاص، أو کان لمورّثهما دین علیٰ أشخاص فورثاه فجعلا بعد التعدیل ما فی ذمّة بعضهم لأحدهما و ما فی ذمّة آخرین لآخر لم یصحّ، و بقی ما فی الذمم علی الاشتراک السابق، فکلّ ما استوفیٰ منها یکون بینهما و کلّ ما توی و تلف یکون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کما مرّ فی کتاب الشرکة أنّه إذا کان لهما دین مشترک علیٰ أحد یجوز أن یستوفی أحدهما منه حصّته، فیتعیّن له و یبقی حصّة الآخر فی ذمّته، و هذا</w:t>
      </w:r>
      <w:bookmarkStart w:id="4890" w:name="pg1809_19491"/>
    </w:p>
    <w:p>
      <w:pPr>
        <w:pStyle w:val="BookText"/>
        <w:rPr/>
      </w:pPr>
      <w:bookmarkEnd w:id="4890"/>
      <w:r>
        <w:rPr>
          <w:rFonts w:ascii="IRNazanin" w:hAnsi="IRNazanin" w:eastAsia="IRNazanin"/>
          <w:color w:val="111111"/>
          <w:sz w:val="28"/>
          <w:sz w:val="28"/>
          <w:szCs w:val="28"/>
          <w:rtl w:val="true"/>
          <w:lang w:bidi="fa-IR"/>
        </w:rPr>
        <w:t>لیس من قسمة الدین فی شی‌ء</w:t>
      </w:r>
      <w:r>
        <w:rPr>
          <w:rFonts w:eastAsia="IRNazanin" w:cs="IRNazanin"/>
          <w:color w:val="111111"/>
          <w:sz w:val="28"/>
          <w:szCs w:val="28"/>
          <w:rtl w:val="true"/>
          <w:lang w:bidi="fa-IR"/>
        </w:rPr>
        <w:t>.</w:t>
      </w:r>
    </w:p>
    <w:p>
      <w:pPr>
        <w:pStyle w:val="Heading4"/>
        <w:numPr>
          <w:ilvl w:val="3"/>
          <w:numId w:val="1"/>
        </w:numPr>
        <w:rPr/>
      </w:pPr>
      <w:bookmarkStart w:id="4891" w:name="__RefHeading___Toc2569418_3650668749"/>
      <w:bookmarkStart w:id="4892" w:name="_Toc2218"/>
      <w:bookmarkEnd w:id="4891"/>
      <w:r>
        <w:rPr>
          <w:rtl w:val="true"/>
        </w:rPr>
        <w:t>[ (</w:t>
      </w:r>
      <w:r>
        <w:rPr>
          <w:rtl w:val="true"/>
        </w:rPr>
        <w:t xml:space="preserve">مسألة </w:t>
      </w:r>
      <w:r>
        <w:rPr/>
        <w:t>10</w:t>
      </w:r>
      <w:r>
        <w:rPr>
          <w:rtl w:val="true"/>
        </w:rPr>
        <w:t xml:space="preserve">): </w:t>
      </w:r>
      <w:r>
        <w:rPr>
          <w:rtl w:val="true"/>
        </w:rPr>
        <w:t>یجب علی المدیون عند حلول الدین و مطالبة الدائن السعی فی أدائه بکلّ وسیلة</w:t>
      </w:r>
      <w:r>
        <w:rPr>
          <w:rtl w:val="true"/>
        </w:rPr>
        <w:t>]</w:t>
      </w:r>
      <w:bookmarkEnd w:id="48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المدیون عند حلول الدین و مطالبة الدائن السعی فی أدائه بکلّ وسیلة و لو ببیع سلعته و متاعه و عقاره أو مطالبة غریم له أو إجارة أملاکه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 علیه التکسّب اللائق بحاله من حیث الشرف و القدرة؟ وجهان بل قولان، أحوطهما ذلک، خصوصاً فیما لا یحتاج إلیٰ تکلّف و فیمن شغله التکسّب، بل وجوبه حینئذٍ قویّ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یستثنیٰ من ذلک بیع دار سکناه، و ثیابه المحتاج إلیها و لو للتجمّل، و دابّة رکوبه و خادمه إذا کان من أهلهما و احتاج إلیهما، بل و ضروریّات بیته؛ من فراشه و غطائه و ظروفه و إنائه لأکله و شربه و طبخه و لو لأضیافه، مراعیاً فی ذلک کلّه مقدار الحاجة بحسب حاله و شرفه، و أنّه بحیث لو کلّف ببیعها لوقع فی عسر و شدّة و حزازة و منقصة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کلّها مستثنیات الدین لا خصوص الدار و المرکوب و الخادم و الثیاب، بل لا یبعد أن یعدّ منها الکتب العلمیّة لأهلها بمقدار ما یحتاج إلیه بحسب حاله و مرتبته</w:t>
      </w:r>
      <w:r>
        <w:rPr>
          <w:rFonts w:eastAsia="IRNazanin" w:cs="IRNazanin"/>
          <w:color w:val="111111"/>
          <w:sz w:val="28"/>
          <w:szCs w:val="28"/>
          <w:rtl w:val="true"/>
          <w:lang w:bidi="fa-IR"/>
        </w:rPr>
        <w:t>.</w:t>
      </w:r>
    </w:p>
    <w:p>
      <w:pPr>
        <w:pStyle w:val="Heading4"/>
        <w:numPr>
          <w:ilvl w:val="3"/>
          <w:numId w:val="1"/>
        </w:numPr>
        <w:rPr/>
      </w:pPr>
      <w:bookmarkStart w:id="4893" w:name="__RefHeading___Toc2569420_3650668749"/>
      <w:bookmarkStart w:id="4894" w:name="_Toc2219"/>
      <w:bookmarkEnd w:id="4893"/>
      <w:r>
        <w:rPr>
          <w:rtl w:val="true"/>
        </w:rPr>
        <w:t>[ (</w:t>
      </w:r>
      <w:r>
        <w:rPr>
          <w:rtl w:val="true"/>
        </w:rPr>
        <w:t xml:space="preserve">مسألة </w:t>
      </w:r>
      <w:r>
        <w:rPr/>
        <w:t>11</w:t>
      </w:r>
      <w:r>
        <w:rPr>
          <w:rtl w:val="true"/>
        </w:rPr>
        <w:t xml:space="preserve">): </w:t>
      </w:r>
      <w:r>
        <w:rPr>
          <w:rtl w:val="true"/>
        </w:rPr>
        <w:t>لو کانت دار سکناه أزید عمّا یحتاجه</w:t>
      </w:r>
      <w:r>
        <w:rPr>
          <w:rtl w:val="true"/>
        </w:rPr>
        <w:t>]</w:t>
      </w:r>
      <w:bookmarkEnd w:id="48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دار سکناه أزید عمّا یحتاجه، سکن ما احتاجه و باع ما فضل عن حاجته، أو باعها و اشتریٰ ما هو أدون ممّا یلیق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له دور متعدّدة و احتاج إلیها لسکناه لم یبع شیئاً منها، و کذلک الحال فی الخادم و المرکوب و الثیاب</w:t>
      </w:r>
      <w:r>
        <w:rPr>
          <w:rFonts w:eastAsia="IRNazanin" w:cs="IRNazanin"/>
          <w:color w:val="111111"/>
          <w:sz w:val="28"/>
          <w:szCs w:val="28"/>
          <w:rtl w:val="true"/>
          <w:lang w:bidi="fa-IR"/>
        </w:rPr>
        <w:t>.</w:t>
      </w:r>
    </w:p>
    <w:p>
      <w:pPr>
        <w:pStyle w:val="Heading4"/>
        <w:numPr>
          <w:ilvl w:val="3"/>
          <w:numId w:val="1"/>
        </w:numPr>
        <w:rPr/>
      </w:pPr>
      <w:bookmarkStart w:id="4895" w:name="__RefHeading___Toc2569422_3650668749"/>
      <w:bookmarkStart w:id="4896" w:name="_Toc2220"/>
      <w:bookmarkEnd w:id="4895"/>
      <w:r>
        <w:rPr>
          <w:rtl w:val="true"/>
        </w:rPr>
        <w:t>[ (</w:t>
      </w:r>
      <w:r>
        <w:rPr>
          <w:rtl w:val="true"/>
        </w:rPr>
        <w:t xml:space="preserve">مسألة </w:t>
      </w:r>
      <w:r>
        <w:rPr/>
        <w:t>12</w:t>
      </w:r>
      <w:r>
        <w:rPr>
          <w:rtl w:val="true"/>
        </w:rPr>
        <w:t xml:space="preserve">): </w:t>
      </w:r>
      <w:r>
        <w:rPr>
          <w:rtl w:val="true"/>
        </w:rPr>
        <w:t>لو کانت عنده دار موقوفة علیه تکفی</w:t>
      </w:r>
      <w:r>
        <w:rPr>
          <w:rtl w:val="true"/>
        </w:rPr>
        <w:t>]</w:t>
      </w:r>
      <w:bookmarkEnd w:id="48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عنده دار موقوفة علیه تکفی </w:t>
      </w:r>
      <w:r>
        <w:rPr>
          <w:rStyle w:val="FootnoteAnchor"/>
          <w:rtl w:val="true"/>
        </w:rPr>
        <w:footnoteReference w:id="1354"/>
      </w:r>
      <w:r>
        <w:rPr>
          <w:rFonts w:ascii="IRNazanin" w:hAnsi="IRNazanin" w:eastAsia="IRNazanin"/>
          <w:color w:val="111111"/>
          <w:sz w:val="28"/>
          <w:sz w:val="28"/>
          <w:szCs w:val="28"/>
          <w:rtl w:val="true"/>
          <w:lang w:bidi="fa-IR"/>
        </w:rPr>
        <w:t xml:space="preserve">لسکناه و له دار مملوکة فالأحوط لو لم یکن </w:t>
      </w:r>
      <w:r>
        <w:rPr>
          <w:rStyle w:val="FootnoteAnchor"/>
          <w:rtl w:val="true"/>
        </w:rPr>
        <w:footnoteReference w:id="1355"/>
      </w:r>
      <w:r>
        <w:rPr>
          <w:rFonts w:ascii="IRNazanin" w:hAnsi="IRNazanin" w:eastAsia="IRNazanin"/>
          <w:color w:val="111111"/>
          <w:sz w:val="28"/>
          <w:sz w:val="28"/>
          <w:szCs w:val="28"/>
          <w:rtl w:val="true"/>
          <w:lang w:bidi="fa-IR"/>
        </w:rPr>
        <w:t>الأقویٰ أن یبیع المملوکة و یکتفی بالموقوفة</w:t>
      </w:r>
      <w:r>
        <w:rPr>
          <w:rFonts w:eastAsia="IRNazanin" w:cs="IRNazanin"/>
          <w:color w:val="111111"/>
          <w:sz w:val="28"/>
          <w:szCs w:val="28"/>
          <w:rtl w:val="true"/>
          <w:lang w:bidi="fa-IR"/>
        </w:rPr>
        <w:t>.</w:t>
      </w:r>
    </w:p>
    <w:p>
      <w:pPr>
        <w:pStyle w:val="Heading4"/>
        <w:numPr>
          <w:ilvl w:val="3"/>
          <w:numId w:val="1"/>
        </w:numPr>
        <w:rPr/>
      </w:pPr>
      <w:bookmarkStart w:id="4897" w:name="__RefHeading___Toc2569424_3650668749"/>
      <w:bookmarkStart w:id="4898" w:name="_Toc2221"/>
      <w:bookmarkEnd w:id="4897"/>
      <w:r>
        <w:rPr>
          <w:rtl w:val="true"/>
        </w:rPr>
        <w:t>[ (</w:t>
      </w:r>
      <w:r>
        <w:rPr>
          <w:rtl w:val="true"/>
        </w:rPr>
        <w:t xml:space="preserve">مسألة </w:t>
      </w:r>
      <w:r>
        <w:rPr/>
        <w:t>13</w:t>
      </w:r>
      <w:r>
        <w:rPr>
          <w:rtl w:val="true"/>
        </w:rPr>
        <w:t xml:space="preserve">): </w:t>
      </w:r>
      <w:r>
        <w:rPr>
          <w:rtl w:val="true"/>
        </w:rPr>
        <w:t>إنّما لا تباع دار السکنی فی أداء الدین ما دام المدیون حیّاً</w:t>
      </w:r>
      <w:r>
        <w:rPr>
          <w:rtl w:val="true"/>
        </w:rPr>
        <w:t>]</w:t>
      </w:r>
      <w:bookmarkEnd w:id="48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لا تباع دار السکنی فی أداء الدین ما دام المدیون حیّاً، فلو مات و لم یترک </w:t>
      </w:r>
      <w:r>
        <w:rPr>
          <w:rStyle w:val="FootnoteAnchor"/>
          <w:rtl w:val="true"/>
        </w:rPr>
        <w:footnoteReference w:id="1356"/>
      </w:r>
      <w:r>
        <w:rPr>
          <w:rFonts w:ascii="IRNazanin" w:hAnsi="IRNazanin" w:eastAsia="IRNazanin"/>
          <w:color w:val="111111"/>
          <w:sz w:val="28"/>
          <w:sz w:val="28"/>
          <w:szCs w:val="28"/>
          <w:rtl w:val="true"/>
          <w:lang w:bidi="fa-IR"/>
        </w:rPr>
        <w:t>غیر دار سکناه تباع و تصرف فی الدین</w:t>
      </w:r>
      <w:r>
        <w:rPr>
          <w:rFonts w:eastAsia="IRNazanin" w:cs="IRNazanin"/>
          <w:color w:val="111111"/>
          <w:sz w:val="28"/>
          <w:szCs w:val="28"/>
          <w:rtl w:val="true"/>
          <w:lang w:bidi="fa-IR"/>
        </w:rPr>
        <w:t>.</w:t>
      </w:r>
    </w:p>
    <w:p>
      <w:pPr>
        <w:pStyle w:val="Heading4"/>
        <w:numPr>
          <w:ilvl w:val="3"/>
          <w:numId w:val="1"/>
        </w:numPr>
        <w:rPr/>
      </w:pPr>
      <w:bookmarkStart w:id="4899" w:name="__RefHeading___Toc2569426_3650668749"/>
      <w:bookmarkStart w:id="4900" w:name="_Toc2222"/>
      <w:bookmarkEnd w:id="4899"/>
      <w:r>
        <w:rPr>
          <w:rtl w:val="true"/>
        </w:rPr>
        <w:t>[ (</w:t>
      </w:r>
      <w:r>
        <w:rPr>
          <w:rtl w:val="true"/>
        </w:rPr>
        <w:t xml:space="preserve">مسألة </w:t>
      </w:r>
      <w:r>
        <w:rPr/>
        <w:t>14</w:t>
      </w:r>
      <w:r>
        <w:rPr>
          <w:rtl w:val="true"/>
        </w:rPr>
        <w:t xml:space="preserve">): </w:t>
      </w:r>
      <w:r>
        <w:rPr>
          <w:rtl w:val="true"/>
        </w:rPr>
        <w:t>معنیٰ کون الدار و نحوها من مستثنیات الدین أنّه لا یجبر علیٰ بیعها لأجل أدائه</w:t>
      </w:r>
      <w:r>
        <w:rPr>
          <w:rtl w:val="true"/>
        </w:rPr>
        <w:t>]</w:t>
      </w:r>
      <w:bookmarkEnd w:id="490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 الدار و نحوها من مستثنیات الدین أنّه لا یجبر علیٰ بیعها لأجل أدائه و لا یجب علیه ذلک، و أمّا لو رضی هو بذلک و قضی به دینه جاز للدائن أخذه، نعم ینبغی أن لا یرضیٰ ببیع مسکنه و لا یکون سبباً له و إن رضی هو به و أراده، ففی خبر</w:t>
      </w:r>
      <w:bookmarkStart w:id="4901" w:name="pg1809_19492"/>
    </w:p>
    <w:p>
      <w:pPr>
        <w:pStyle w:val="BookText"/>
        <w:rPr/>
      </w:pPr>
      <w:bookmarkEnd w:id="4901"/>
      <w:r>
        <w:rPr>
          <w:rFonts w:ascii="Amiri" w:hAnsi="Amiri" w:eastAsia="Amiri" w:cs="Amiri"/>
          <w:color w:val="111111"/>
          <w:sz w:val="28"/>
          <w:sz w:val="28"/>
          <w:szCs w:val="28"/>
          <w:rtl w:val="true"/>
          <w:lang w:bidi="ar-SA"/>
        </w:rPr>
        <w:t>عثمان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علیٰ رجل دیناً و قد أراد أن یبیع داره فیقضی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أُعیذک باللّٰه أن تخرجه من ظلّ رأسه، أُعیذک باللّٰه أن تخرجه من ظلّ رأسه، أُعیذک باللّٰه </w:t>
      </w:r>
      <w:r>
        <w:rPr>
          <w:rStyle w:val="FootnoteAnchor"/>
          <w:rtl w:val="true"/>
        </w:rPr>
        <w:footnoteReference w:id="1357"/>
      </w:r>
      <w:r>
        <w:rPr>
          <w:rFonts w:ascii="IRNazanin" w:hAnsi="IRNazanin" w:eastAsia="IRNazanin"/>
          <w:color w:val="111111"/>
          <w:sz w:val="28"/>
          <w:sz w:val="28"/>
          <w:szCs w:val="28"/>
          <w:rtl w:val="true"/>
          <w:lang w:bidi="fa-IR"/>
        </w:rPr>
        <w:t>أن تخرجه من ظلّ رأسه</w:t>
      </w:r>
      <w:r>
        <w:rPr>
          <w:rFonts w:eastAsia="IRNazanin" w:cs="IRNazanin"/>
          <w:color w:val="111111"/>
          <w:sz w:val="28"/>
          <w:szCs w:val="28"/>
          <w:rtl w:val="true"/>
          <w:lang w:bidi="fa-IR"/>
        </w:rPr>
        <w:t>».</w:t>
      </w:r>
    </w:p>
    <w:p>
      <w:pPr>
        <w:pStyle w:val="Heading4"/>
        <w:numPr>
          <w:ilvl w:val="3"/>
          <w:numId w:val="1"/>
        </w:numPr>
        <w:rPr/>
      </w:pPr>
      <w:bookmarkStart w:id="4902" w:name="__RefHeading___Toc2569428_3650668749"/>
      <w:bookmarkStart w:id="4903" w:name="_Toc2223"/>
      <w:bookmarkEnd w:id="4902"/>
      <w:r>
        <w:rPr>
          <w:rtl w:val="true"/>
        </w:rPr>
        <w:t>[ (</w:t>
      </w:r>
      <w:r>
        <w:rPr>
          <w:rtl w:val="true"/>
        </w:rPr>
        <w:t xml:space="preserve">مسألة </w:t>
      </w:r>
      <w:r>
        <w:rPr/>
        <w:t>15</w:t>
      </w:r>
      <w:r>
        <w:rPr>
          <w:rtl w:val="true"/>
        </w:rPr>
        <w:t xml:space="preserve">): </w:t>
      </w:r>
      <w:r>
        <w:rPr>
          <w:rtl w:val="true"/>
        </w:rPr>
        <w:t>لو کان عنده متاع أو سلعة أو عقار زائداً علی المستثنیات لا تباع إلّا بأقلّ من قیمتها</w:t>
      </w:r>
      <w:r>
        <w:rPr>
          <w:rtl w:val="true"/>
        </w:rPr>
        <w:t>]</w:t>
      </w:r>
      <w:bookmarkEnd w:id="49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عنده متاع أو سلعة أو عقار زائداً علی المستثنیات لا تباع إلّا بأقلّ من قیمتها، یجب بیعها للدین عند حلوله و مطالبة صاحبه، و لا یجوز له التأخیر و انتظار من یشتریها بالقیمة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ما یشتری به أقلّ من قیمته بکثیر جدّاً بحیث یعدّ بیعه به تضییعاً للمال و إتلافاً له لا یبعد عدم وجوب بیعه</w:t>
      </w:r>
      <w:r>
        <w:rPr>
          <w:rFonts w:eastAsia="IRNazanin" w:cs="IRNazanin"/>
          <w:color w:val="111111"/>
          <w:sz w:val="28"/>
          <w:szCs w:val="28"/>
          <w:rtl w:val="true"/>
          <w:lang w:bidi="fa-IR"/>
        </w:rPr>
        <w:t>.</w:t>
      </w:r>
    </w:p>
    <w:p>
      <w:pPr>
        <w:pStyle w:val="Heading4"/>
        <w:numPr>
          <w:ilvl w:val="3"/>
          <w:numId w:val="1"/>
        </w:numPr>
        <w:rPr/>
      </w:pPr>
      <w:bookmarkStart w:id="4904" w:name="__RefHeading___Toc2569430_3650668749"/>
      <w:bookmarkStart w:id="4905" w:name="_Toc2224"/>
      <w:bookmarkEnd w:id="4904"/>
      <w:r>
        <w:rPr>
          <w:rtl w:val="true"/>
        </w:rPr>
        <w:t>[ (</w:t>
      </w:r>
      <w:r>
        <w:rPr>
          <w:rtl w:val="true"/>
        </w:rPr>
        <w:t xml:space="preserve">مسألة </w:t>
      </w:r>
      <w:r>
        <w:rPr/>
        <w:t>16</w:t>
      </w:r>
      <w:r>
        <w:rPr>
          <w:rtl w:val="true"/>
        </w:rPr>
        <w:t xml:space="preserve">): </w:t>
      </w:r>
      <w:r>
        <w:rPr>
          <w:rtl w:val="true"/>
        </w:rPr>
        <w:t>و کما لا یجب علی المُعسر الأداء و القضاء، یحرم علی الدائن إعساره بالمطالبة و الاقتضاء</w:t>
      </w:r>
      <w:r>
        <w:rPr>
          <w:rtl w:val="true"/>
        </w:rPr>
        <w:t>]</w:t>
      </w:r>
      <w:bookmarkEnd w:id="49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لا یجب علی المُعسر الأداء و القضاء، یحرم علی الدائن إعساره بالمطالبة و الاقتضاء، بل یجب أن ینظره إلی الیسار، فعن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 لا یحلّ لغریمک أن یمطلک و هو موسر، لا یحلّ لک أن تعسره إذا علمت أنّه معسر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وصیّة طویلة کتبها إلیٰ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إیّاکم و إعسار أحد من إخوانکم المسلمین أن تعسروه بشی‌ء یکون لکم قبله و هو معسر، فإنّ أبانا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للمسلم أن یعسر مسلماً، و من أنظر معسراً أظلّه اللّٰه یوم القیامة لظلّه یوم لا ظلّ إلّا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یوم القیامة قوم تحت ظلّ العرش وجوههم من نور و ریاشهم من نور جلوس علیٰ کراسیّ من نور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منادٍ هؤلاء قوم کانوا ییسّرون علی المؤمنین، ینظرون المعسر حتّی ییسّر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یقیه اللّٰه من نفحات جهنّم فلینظر معسراً أو لیدع له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هذا المعنیٰ کثیرة</w:t>
      </w:r>
      <w:r>
        <w:rPr>
          <w:rFonts w:eastAsia="IRNazanin" w:cs="IRNazanin"/>
          <w:color w:val="111111"/>
          <w:sz w:val="28"/>
          <w:szCs w:val="28"/>
          <w:rtl w:val="true"/>
          <w:lang w:bidi="fa-IR"/>
        </w:rPr>
        <w:t>.</w:t>
      </w:r>
    </w:p>
    <w:p>
      <w:pPr>
        <w:pStyle w:val="Heading4"/>
        <w:numPr>
          <w:ilvl w:val="3"/>
          <w:numId w:val="1"/>
        </w:numPr>
        <w:rPr/>
      </w:pPr>
      <w:bookmarkStart w:id="4906" w:name="__RefHeading___Toc2569432_3650668749"/>
      <w:bookmarkStart w:id="4907" w:name="_Toc2225"/>
      <w:bookmarkEnd w:id="4906"/>
      <w:r>
        <w:rPr>
          <w:rtl w:val="true"/>
        </w:rPr>
        <w:t>[ (</w:t>
      </w:r>
      <w:r>
        <w:rPr>
          <w:rtl w:val="true"/>
        </w:rPr>
        <w:t xml:space="preserve">مسألة </w:t>
      </w:r>
      <w:r>
        <w:rPr/>
        <w:t>17</w:t>
      </w:r>
      <w:r>
        <w:rPr>
          <w:rtl w:val="true"/>
        </w:rPr>
        <w:t xml:space="preserve">): </w:t>
      </w:r>
      <w:r>
        <w:rPr>
          <w:rtl w:val="true"/>
        </w:rPr>
        <w:t>مماطلة الدائن مع القدرة معصیة کبیرة</w:t>
      </w:r>
      <w:r>
        <w:rPr>
          <w:rtl w:val="true"/>
        </w:rPr>
        <w:t>]</w:t>
      </w:r>
      <w:bookmarkEnd w:id="4907"/>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مماطلة الدائن مع القدرة معصیة کبیرة </w:t>
      </w:r>
      <w:r>
        <w:rPr>
          <w:rStyle w:val="FootnoteAnchor"/>
          <w:rtl w:val="true"/>
        </w:rPr>
        <w:footnoteReference w:id="1358"/>
      </w:r>
      <w:r>
        <w:rPr>
          <w:rFonts w:ascii="IRNazanin" w:hAnsi="IRNazanin" w:eastAsia="IRNazanin"/>
          <w:color w:val="111111"/>
          <w:sz w:val="28"/>
          <w:sz w:val="28"/>
          <w:szCs w:val="28"/>
          <w:rtl w:val="true"/>
          <w:lang w:bidi="fa-IR"/>
        </w:rPr>
        <w:t xml:space="preserve">، فعن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مطل علیٰ ذی حقّ حقّه و هو یقدر علیٰ أداء حقّه فعلیه کلّ یوم خطیئة عشّار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یجب علیه نیّة القضاء مع عدم القدرة؛ بأن یکون من قصده الأداء عند القدرة</w:t>
      </w:r>
      <w:r>
        <w:rPr>
          <w:rFonts w:eastAsia="IRNazanin" w:cs="IRNazanin"/>
          <w:color w:val="111111"/>
          <w:sz w:val="28"/>
          <w:szCs w:val="28"/>
          <w:rtl w:val="true"/>
          <w:lang w:bidi="fa-IR"/>
        </w:rPr>
        <w:t>.</w:t>
      </w:r>
      <w:bookmarkStart w:id="4908" w:name="pg1809_19493"/>
    </w:p>
    <w:p>
      <w:pPr>
        <w:pStyle w:val="Heading3"/>
        <w:numPr>
          <w:ilvl w:val="2"/>
          <w:numId w:val="1"/>
        </w:numPr>
        <w:rPr/>
      </w:pPr>
      <w:bookmarkStart w:id="4909" w:name="__RefHeading___Toc2569434_3650668749"/>
      <w:bookmarkStart w:id="4910" w:name="_Toc2226"/>
      <w:bookmarkEnd w:id="4908"/>
      <w:bookmarkEnd w:id="4909"/>
      <w:r>
        <w:rPr>
          <w:rtl w:val="true"/>
        </w:rPr>
        <w:t>[</w:t>
      </w:r>
      <w:r>
        <w:rPr>
          <w:rtl w:val="true"/>
        </w:rPr>
        <w:t>القول فی القرض</w:t>
      </w:r>
      <w:r>
        <w:rPr>
          <w:rtl w:val="true"/>
        </w:rPr>
        <w:t>]</w:t>
      </w:r>
      <w:bookmarkEnd w:id="4910"/>
    </w:p>
    <w:p>
      <w:pPr>
        <w:pStyle w:val="Heading4"/>
        <w:numPr>
          <w:ilvl w:val="3"/>
          <w:numId w:val="1"/>
        </w:numPr>
        <w:rPr/>
      </w:pPr>
      <w:bookmarkStart w:id="4911" w:name="__RefHeading___Toc2569436_3650668749"/>
      <w:bookmarkStart w:id="4912" w:name="_Toc2227"/>
      <w:bookmarkEnd w:id="4911"/>
      <w:r>
        <w:rPr>
          <w:rtl w:val="true"/>
        </w:rPr>
        <w:t>اشارة</w:t>
      </w:r>
      <w:bookmarkEnd w:id="4912"/>
    </w:p>
    <w:p>
      <w:pPr>
        <w:pStyle w:val="BookText"/>
        <w:rPr/>
      </w:pPr>
      <w:r>
        <w:rPr>
          <w:rFonts w:ascii="IRNazanin" w:hAnsi="IRNazanin" w:eastAsia="IRNazanin"/>
          <w:color w:val="111111"/>
          <w:sz w:val="28"/>
          <w:sz w:val="28"/>
          <w:szCs w:val="28"/>
          <w:rtl w:val="true"/>
          <w:lang w:bidi="fa-IR"/>
        </w:rPr>
        <w:t>القول فی القرض و هو تملیک مال لآخر بالضمان؛ بأن یکون علیٰ عهدته أداؤه بنفسه أو بمثله أو قیمته، و یقال للمملّک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المقرض، و للمتملّک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المقترض و المستقرض</w:t>
      </w:r>
      <w:r>
        <w:rPr>
          <w:rFonts w:eastAsia="IRNazanin" w:cs="IRNazanin"/>
          <w:color w:val="111111"/>
          <w:sz w:val="28"/>
          <w:szCs w:val="28"/>
          <w:rtl w:val="true"/>
          <w:lang w:bidi="fa-IR"/>
        </w:rPr>
        <w:t>.</w:t>
      </w:r>
    </w:p>
    <w:p>
      <w:pPr>
        <w:pStyle w:val="Heading4"/>
        <w:numPr>
          <w:ilvl w:val="3"/>
          <w:numId w:val="1"/>
        </w:numPr>
        <w:rPr/>
      </w:pPr>
      <w:bookmarkStart w:id="4913" w:name="__RefHeading___Toc2569438_3650668749"/>
      <w:bookmarkStart w:id="4914" w:name="_Toc2228"/>
      <w:bookmarkEnd w:id="4913"/>
      <w:r>
        <w:rPr>
          <w:rtl w:val="true"/>
        </w:rPr>
        <w:t>[ (</w:t>
      </w:r>
      <w:r>
        <w:rPr>
          <w:rtl w:val="true"/>
        </w:rPr>
        <w:t xml:space="preserve">مسألة </w:t>
      </w:r>
      <w:r>
        <w:rPr/>
        <w:t>1</w:t>
      </w:r>
      <w:r>
        <w:rPr>
          <w:rtl w:val="true"/>
        </w:rPr>
        <w:t xml:space="preserve">): </w:t>
      </w:r>
      <w:r>
        <w:rPr>
          <w:rtl w:val="true"/>
        </w:rPr>
        <w:t>یکره الاقتراض مع عدم الحاجة</w:t>
      </w:r>
      <w:r>
        <w:rPr>
          <w:rtl w:val="true"/>
        </w:rPr>
        <w:t>]</w:t>
      </w:r>
      <w:bookmarkEnd w:id="49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الاقتراض مع عدم الحاجة، و تخفّ کراهته مع الحاجة، و کلّما خفّت الحاجة اشتدّت الکراهة و کلّما اشتدّت خفّت إلیٰ أن زالت، بل ربّما وجب إذا توقّف علیه أمر واجب کحفظ نفسه أو عرضه و نحو ذلک، فعن مولانا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الدین فإنّها مذلّة بالنهار و مهمّة باللیل و قضاء فی الدنیا و قضاء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مولانا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هذا الرزق من حلّه لیعود به علیٰ نفسه و عیاله کان کالمجاهد فی سبیل اللّٰه، فإن غلب علیه فلیستدن علی اللّٰه و علیٰ رسوله ما یقوت به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لمن لم یکن عنده ما یوفی به دینه و لم یترقّب حصوله عدم الاستدانة إلّا عند الضرورة</w:t>
      </w:r>
      <w:r>
        <w:rPr>
          <w:rFonts w:eastAsia="IRNazanin" w:cs="IRNazanin"/>
          <w:color w:val="111111"/>
          <w:sz w:val="28"/>
          <w:szCs w:val="28"/>
          <w:rtl w:val="true"/>
          <w:lang w:bidi="fa-IR"/>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5" w:name="__RefHeading___Toc2569440_3650668749"/>
      <w:bookmarkStart w:id="4916" w:name="_Toc2229"/>
      <w:bookmarkEnd w:id="4915"/>
      <w:r>
        <w:rPr>
          <w:rtl w:val="true"/>
        </w:rPr>
        <w:t>[ (</w:t>
      </w:r>
      <w:r>
        <w:rPr>
          <w:rtl w:val="true"/>
        </w:rPr>
        <w:t xml:space="preserve">مسألة </w:t>
      </w:r>
      <w:r>
        <w:rPr/>
        <w:t>2</w:t>
      </w:r>
      <w:r>
        <w:rPr>
          <w:rtl w:val="true"/>
        </w:rPr>
        <w:t xml:space="preserve">): </w:t>
      </w:r>
      <w:r>
        <w:rPr>
          <w:rtl w:val="true"/>
        </w:rPr>
        <w:t>إقراض المؤمن من المستحبّات الأکیدة</w:t>
      </w:r>
      <w:r>
        <w:rPr>
          <w:rtl w:val="true"/>
        </w:rPr>
        <w:t>]</w:t>
      </w:r>
      <w:bookmarkEnd w:id="49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إقراض المؤمن من المستحبّات الأکیدة، سیّما لذوی الحاجة؛ لما فیه من قضاء حاجته و کشف کربته، و قد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کشف عن مسلم کربة من کرب الدنیا کشف اللّٰه عنه کربه یوم القیامة، و اللّٰه فی عون العبد ما کان العبد فی حاجة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أقرض مؤمناً قرضاً ینظر به میسوره کان ماله فی زکاة و کان هو فی صلاة من الملائکة حتّی یؤدّیه، و من أقرض أخاه المسلم کان له بکلّ درهم أقرضه وزن جبل أُحد من جبال رضویٰ و طور سیناء حسنات، و إن رفق به فی طلبه تعدّیٰ علی الصراط کالبرق الخاطف اللامع بغیر حساب و لا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شکیٰ إلیه أخوه المسلم فلم یقرضه حرّم اللّٰه عزّ و جلّ علیه الجنّة یوم یجزی المحسنین</w:t>
      </w:r>
      <w:r>
        <w:rPr>
          <w:rFonts w:eastAsia="IRNazanin" w:cs="IRNazanin"/>
          <w:color w:val="111111"/>
          <w:sz w:val="28"/>
          <w:szCs w:val="28"/>
          <w:rtl w:val="true"/>
          <w:lang w:bidi="fa-IR"/>
        </w:rPr>
        <w:t>».</w:t>
      </w:r>
    </w:p>
    <w:p>
      <w:pPr>
        <w:pStyle w:val="Heading4"/>
        <w:numPr>
          <w:ilvl w:val="3"/>
          <w:numId w:val="1"/>
        </w:numPr>
        <w:rPr/>
      </w:pPr>
      <w:bookmarkStart w:id="4917" w:name="__RefHeading___Toc2569442_3650668749"/>
      <w:bookmarkStart w:id="4918" w:name="_Toc2230"/>
      <w:bookmarkEnd w:id="4917"/>
      <w:r>
        <w:rPr>
          <w:rtl w:val="true"/>
        </w:rPr>
        <w:t>[ (</w:t>
      </w:r>
      <w:r>
        <w:rPr>
          <w:rtl w:val="true"/>
        </w:rPr>
        <w:t xml:space="preserve">مسألة </w:t>
      </w:r>
      <w:r>
        <w:rPr/>
        <w:t>3</w:t>
      </w:r>
      <w:r>
        <w:rPr>
          <w:rtl w:val="true"/>
        </w:rPr>
        <w:t xml:space="preserve">): </w:t>
      </w:r>
      <w:r>
        <w:rPr>
          <w:rtl w:val="true"/>
        </w:rPr>
        <w:t>حیث إنّ القرض عقد من العقود یحتاج إلیٰ إیجاب</w:t>
      </w:r>
      <w:r>
        <w:rPr>
          <w:rtl w:val="true"/>
        </w:rPr>
        <w:t>]</w:t>
      </w:r>
      <w:bookmarkEnd w:id="4918"/>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القرض عقد من العقود یحتاج إلیٰ إیجاب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أقرضتک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یؤدّی معناه، و قبول دالّ علی الرضا بالإیجاب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فی عقده العربیّة، بل یقع بکلّ لغة، بل الظاهر جریان المعاطاة فیه، فیتحقّق حقیقته بإقباض العین و قبضها و تسلّمها بهذا العنوان من دون احتیاج إلی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 المقرض و المقترض ما یعتبر فی المتعاقدین فی سائر المعاملات و العقود؛ من البلوغ و العقل و القصد و الاختیار</w:t>
      </w:r>
      <w:r>
        <w:rPr>
          <w:rFonts w:eastAsia="IRNazanin" w:cs="IRNazanin"/>
          <w:color w:val="111111"/>
          <w:sz w:val="28"/>
          <w:szCs w:val="28"/>
          <w:rtl w:val="true"/>
          <w:lang w:bidi="fa-IR"/>
        </w:rPr>
        <w:t>.</w:t>
      </w:r>
      <w:bookmarkStart w:id="4919" w:name="pg1809_19494"/>
    </w:p>
    <w:p>
      <w:pPr>
        <w:pStyle w:val="Heading4"/>
        <w:numPr>
          <w:ilvl w:val="3"/>
          <w:numId w:val="1"/>
        </w:numPr>
        <w:rPr/>
      </w:pPr>
      <w:bookmarkStart w:id="4920" w:name="__RefHeading___Toc2569444_3650668749"/>
      <w:bookmarkStart w:id="4921" w:name="_Toc2231"/>
      <w:bookmarkEnd w:id="4919"/>
      <w:bookmarkEnd w:id="4920"/>
      <w:r>
        <w:rPr>
          <w:rtl w:val="true"/>
        </w:rPr>
        <w:t>[ (</w:t>
      </w:r>
      <w:r>
        <w:rPr>
          <w:rtl w:val="true"/>
        </w:rPr>
        <w:t xml:space="preserve">مسألة </w:t>
      </w:r>
      <w:r>
        <w:rPr/>
        <w:t>4</w:t>
      </w:r>
      <w:r>
        <w:rPr>
          <w:rtl w:val="true"/>
        </w:rPr>
        <w:t xml:space="preserve">): </w:t>
      </w:r>
      <w:r>
        <w:rPr>
          <w:rtl w:val="true"/>
        </w:rPr>
        <w:t>یعتبر فی المال أن یکون عیناً</w:t>
      </w:r>
      <w:bookmarkEnd w:id="4921"/>
    </w:p>
    <w:p>
      <w:pPr>
        <w:pStyle w:val="BookText"/>
        <w:rPr/>
      </w:pPr>
      <w:r>
        <w:rPr>
          <w:rFonts w:ascii="Amiri" w:hAnsi="Amiri" w:eastAsia="Amiri" w:cs="Amiri"/>
          <w:color w:val="111111"/>
          <w:sz w:val="28"/>
          <w:sz w:val="28"/>
          <w:szCs w:val="28"/>
          <w:rtl w:val="true"/>
          <w:lang w:bidi="ar-SA"/>
        </w:rPr>
        <w:t>مملوکاً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المال أن یکون عیناً </w:t>
      </w:r>
      <w:r>
        <w:rPr>
          <w:rStyle w:val="FootnoteAnchor"/>
          <w:rtl w:val="true"/>
        </w:rPr>
        <w:footnoteReference w:id="1360"/>
      </w:r>
      <w:r>
        <w:rPr>
          <w:rFonts w:ascii="IRNazanin" w:hAnsi="IRNazanin" w:eastAsia="IRNazanin"/>
          <w:color w:val="111111"/>
          <w:sz w:val="28"/>
          <w:sz w:val="28"/>
          <w:szCs w:val="28"/>
          <w:rtl w:val="true"/>
          <w:lang w:bidi="fa-IR"/>
        </w:rPr>
        <w:t xml:space="preserve">مملوکاً، فلا یصحّ إقراض الدین و لا المنفعة و لا ما لا یصحّ تملّکه کالخمر و الخنزیر، و لا یعتبر کونه عیناً شخصیّاً، فیصحّ إقراض الکلّی </w:t>
      </w:r>
      <w:r>
        <w:rPr>
          <w:rStyle w:val="FootnoteAnchor"/>
          <w:rtl w:val="true"/>
        </w:rPr>
        <w:footnoteReference w:id="1361"/>
      </w:r>
      <w:r>
        <w:rPr>
          <w:rFonts w:ascii="IRNazanin" w:hAnsi="IRNazanin" w:eastAsia="IRNazanin"/>
          <w:color w:val="111111"/>
          <w:sz w:val="28"/>
          <w:sz w:val="28"/>
          <w:szCs w:val="28"/>
          <w:rtl w:val="true"/>
          <w:lang w:bidi="fa-IR"/>
        </w:rPr>
        <w:t>بأن یوقع العقد علی الکلّی و إن کان إقباضه لا یکون إلّا بدفع عین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یعتبر </w:t>
      </w:r>
      <w:r>
        <w:rPr>
          <w:rStyle w:val="FootnoteAnchor"/>
          <w:rtl w:val="true"/>
        </w:rPr>
        <w:footnoteReference w:id="1362"/>
      </w:r>
      <w:r>
        <w:rPr>
          <w:rFonts w:ascii="IRNazanin" w:hAnsi="IRNazanin" w:eastAsia="IRNazanin"/>
          <w:color w:val="111111"/>
          <w:sz w:val="28"/>
          <w:sz w:val="28"/>
          <w:szCs w:val="28"/>
          <w:rtl w:val="true"/>
          <w:lang w:bidi="fa-IR"/>
        </w:rPr>
        <w:t>مع ذلک کونه ممّا یمکن ضبط أوصافه و خصوصیّاته التی تختلف باختلافها القیمة و الرغبات؛ مثلیّا کان کالحبوبات و الأدهان و نحوهما أو قیمیّاً کالأغنام و الجواری و العبید و أمثالها، فلا یجوز إقراض ما لا یمکن ضبط أوصافه إلّا بالمشاهدة کاللحم و الجواهر و نحوهما</w:t>
      </w:r>
      <w:r>
        <w:rPr>
          <w:rFonts w:eastAsia="IRNazanin" w:cs="IRNazanin"/>
          <w:color w:val="111111"/>
          <w:sz w:val="28"/>
          <w:szCs w:val="28"/>
          <w:rtl w:val="true"/>
          <w:lang w:bidi="fa-IR"/>
        </w:rPr>
        <w:t>.</w:t>
      </w:r>
    </w:p>
    <w:p>
      <w:pPr>
        <w:pStyle w:val="Heading4"/>
        <w:numPr>
          <w:ilvl w:val="3"/>
          <w:numId w:val="1"/>
        </w:numPr>
        <w:rPr/>
      </w:pPr>
      <w:bookmarkStart w:id="4922" w:name="__RefHeading___Toc2569446_3650668749"/>
      <w:bookmarkStart w:id="4923" w:name="_Toc2232"/>
      <w:bookmarkEnd w:id="4922"/>
      <w:r>
        <w:rPr>
          <w:rtl w:val="true"/>
        </w:rPr>
        <w:t>[ (</w:t>
      </w:r>
      <w:r>
        <w:rPr>
          <w:rtl w:val="true"/>
        </w:rPr>
        <w:t xml:space="preserve">مسألة </w:t>
      </w:r>
      <w:r>
        <w:rPr/>
        <w:t>5</w:t>
      </w:r>
      <w:r>
        <w:rPr>
          <w:rtl w:val="true"/>
        </w:rPr>
        <w:t xml:space="preserve">): </w:t>
      </w:r>
      <w:r>
        <w:rPr>
          <w:rtl w:val="true"/>
        </w:rPr>
        <w:t>لا بدّ من أن یقع القرض علیٰ معیّن</w:t>
      </w:r>
      <w:r>
        <w:rPr>
          <w:rtl w:val="true"/>
        </w:rPr>
        <w:t>]</w:t>
      </w:r>
      <w:bookmarkEnd w:id="49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أن یقع القرض علیٰ معیّن، فلا یصحّ إقراض المبهم کأحد هذین، و أن یکون المال معیّناً قدره بالکیل أو الوزن فیما یکال أو یوزن، و بالعدّ فیما یقدّر بالعدّ، فلا یصحّ إقراض صبرة من طعام جزافاً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قدّر بکیلة معیّنة و ملأ إناء معیّن غیر الکیل المتعارف، أو وزن بصخرة معیّنة غیر العیار المتعارف عند العامّة لم یبعد الاکتفاء به لکنّ الأحوط خلافه</w:t>
      </w:r>
      <w:r>
        <w:rPr>
          <w:rFonts w:eastAsia="IRNazanin" w:cs="IRNazanin"/>
          <w:color w:val="111111"/>
          <w:sz w:val="28"/>
          <w:szCs w:val="28"/>
          <w:rtl w:val="true"/>
          <w:lang w:bidi="fa-IR"/>
        </w:rPr>
        <w:t>.</w:t>
      </w:r>
    </w:p>
    <w:p>
      <w:pPr>
        <w:pStyle w:val="Heading4"/>
        <w:numPr>
          <w:ilvl w:val="3"/>
          <w:numId w:val="1"/>
        </w:numPr>
        <w:rPr/>
      </w:pPr>
      <w:bookmarkStart w:id="4924" w:name="__RefHeading___Toc2569448_3650668749"/>
      <w:bookmarkStart w:id="4925" w:name="_Toc2233"/>
      <w:bookmarkEnd w:id="4924"/>
      <w:r>
        <w:rPr>
          <w:rtl w:val="true"/>
        </w:rPr>
        <w:t>[ (</w:t>
      </w:r>
      <w:r>
        <w:rPr>
          <w:rtl w:val="true"/>
        </w:rPr>
        <w:t xml:space="preserve">مسألة </w:t>
      </w:r>
      <w:r>
        <w:rPr/>
        <w:t>6</w:t>
      </w:r>
      <w:r>
        <w:rPr>
          <w:rtl w:val="true"/>
        </w:rPr>
        <w:t xml:space="preserve">): </w:t>
      </w:r>
      <w:r>
        <w:rPr>
          <w:rtl w:val="true"/>
        </w:rPr>
        <w:t>یشترط فی صحّة القرض القبض و الإقباض</w:t>
      </w:r>
      <w:r>
        <w:rPr>
          <w:rtl w:val="true"/>
        </w:rPr>
        <w:t>]</w:t>
      </w:r>
      <w:bookmarkEnd w:id="4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القرض القبض و الإقباض، فلا یملک المستقرض المال المقترض إلّا بعد القبض و لا یتوقّف علی التصرّف</w:t>
      </w:r>
      <w:r>
        <w:rPr>
          <w:rFonts w:eastAsia="IRNazanin" w:cs="IRNazanin"/>
          <w:color w:val="111111"/>
          <w:sz w:val="28"/>
          <w:szCs w:val="28"/>
          <w:rtl w:val="true"/>
          <w:lang w:bidi="fa-IR"/>
        </w:rPr>
        <w:t>.</w:t>
      </w:r>
    </w:p>
    <w:p>
      <w:pPr>
        <w:pStyle w:val="Heading4"/>
        <w:numPr>
          <w:ilvl w:val="3"/>
          <w:numId w:val="1"/>
        </w:numPr>
        <w:rPr/>
      </w:pPr>
      <w:bookmarkStart w:id="4926" w:name="__RefHeading___Toc2569450_3650668749"/>
      <w:bookmarkStart w:id="4927" w:name="_Toc2234"/>
      <w:bookmarkEnd w:id="4926"/>
      <w:r>
        <w:rPr>
          <w:rtl w:val="true"/>
        </w:rPr>
        <w:t>[ (</w:t>
      </w:r>
      <w:r>
        <w:rPr>
          <w:rtl w:val="true"/>
        </w:rPr>
        <w:t xml:space="preserve">مسألة </w:t>
      </w:r>
      <w:r>
        <w:rPr/>
        <w:t>7</w:t>
      </w:r>
      <w:r>
        <w:rPr>
          <w:rtl w:val="true"/>
        </w:rPr>
        <w:t xml:space="preserve">): </w:t>
      </w:r>
      <w:r>
        <w:rPr>
          <w:rtl w:val="true"/>
        </w:rPr>
        <w:t>الأقویٰ أنّ القرض عقد لازم</w:t>
      </w:r>
      <w:r>
        <w:rPr>
          <w:rtl w:val="true"/>
        </w:rPr>
        <w:t>]</w:t>
      </w:r>
      <w:bookmarkEnd w:id="49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أنّ القرض عقد لازم، فلیس للمقرض </w:t>
      </w:r>
      <w:r>
        <w:rPr>
          <w:rStyle w:val="FootnoteAnchor"/>
          <w:rtl w:val="true"/>
        </w:rPr>
        <w:footnoteReference w:id="1363"/>
      </w:r>
      <w:r>
        <w:rPr>
          <w:rFonts w:ascii="IRNazanin" w:hAnsi="IRNazanin" w:eastAsia="IRNazanin"/>
          <w:color w:val="111111"/>
          <w:sz w:val="28"/>
          <w:sz w:val="28"/>
          <w:szCs w:val="28"/>
          <w:rtl w:val="true"/>
          <w:lang w:bidi="fa-IR"/>
        </w:rPr>
        <w:t>فسخه و الرجوع بالعین المقترضة لو کانت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عدم الإنظار و مطالبة المقترض بالأداء و القضاء و لو قبل قضاء وطره أو مضیّ زمان یمکن فیه ذلک</w:t>
      </w:r>
      <w:r>
        <w:rPr>
          <w:rFonts w:eastAsia="IRNazanin" w:cs="IRNazanin"/>
          <w:color w:val="111111"/>
          <w:sz w:val="28"/>
          <w:szCs w:val="28"/>
          <w:rtl w:val="true"/>
          <w:lang w:bidi="fa-IR"/>
        </w:rPr>
        <w:t>.</w:t>
      </w:r>
    </w:p>
    <w:p>
      <w:pPr>
        <w:pStyle w:val="Heading4"/>
        <w:numPr>
          <w:ilvl w:val="3"/>
          <w:numId w:val="1"/>
        </w:numPr>
        <w:rPr/>
      </w:pPr>
      <w:bookmarkStart w:id="4928" w:name="__RefHeading___Toc2569452_3650668749"/>
      <w:bookmarkStart w:id="4929" w:name="_Toc2235"/>
      <w:bookmarkEnd w:id="4928"/>
      <w:r>
        <w:rPr>
          <w:rtl w:val="true"/>
        </w:rPr>
        <w:t>[ (</w:t>
      </w:r>
      <w:r>
        <w:rPr>
          <w:rtl w:val="true"/>
        </w:rPr>
        <w:t xml:space="preserve">مسألة </w:t>
      </w:r>
      <w:r>
        <w:rPr/>
        <w:t>8</w:t>
      </w:r>
      <w:r>
        <w:rPr>
          <w:rtl w:val="true"/>
        </w:rPr>
        <w:t xml:space="preserve">): </w:t>
      </w:r>
      <w:r>
        <w:rPr>
          <w:rtl w:val="true"/>
        </w:rPr>
        <w:t>لو کان المال المقترض مثلیّا</w:t>
      </w:r>
      <w:r>
        <w:rPr>
          <w:rtl w:val="true"/>
        </w:rPr>
        <w:t>]</w:t>
      </w:r>
      <w:bookmarkEnd w:id="4929"/>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المال المقترض مثلیّا </w:t>
      </w:r>
      <w:r>
        <w:rPr>
          <w:rStyle w:val="FootnoteAnchor"/>
          <w:rtl w:val="true"/>
        </w:rPr>
        <w:footnoteReference w:id="1364"/>
      </w:r>
      <w:r>
        <w:rPr>
          <w:rFonts w:ascii="IRNazanin" w:hAnsi="IRNazanin" w:eastAsia="IRNazanin"/>
          <w:color w:val="111111"/>
          <w:sz w:val="28"/>
          <w:sz w:val="28"/>
          <w:szCs w:val="28"/>
          <w:rtl w:val="true"/>
          <w:lang w:bidi="fa-IR"/>
        </w:rPr>
        <w:t>کالحنطة و الشعیر و الذهب و الفضّة و نحوها ثبت فی ذمّة المقترض مثل ما اقترض، و لو کان قیمیّاً کالغنم و نحوها ثبت فی ذمّته قیمته</w:t>
      </w:r>
      <w:r>
        <w:rPr>
          <w:rFonts w:eastAsia="IRNazanin" w:cs="IRNazanin"/>
          <w:color w:val="111111"/>
          <w:sz w:val="28"/>
          <w:szCs w:val="28"/>
          <w:rtl w:val="true"/>
          <w:lang w:bidi="fa-IR"/>
        </w:rPr>
        <w:t>.</w:t>
      </w:r>
      <w:bookmarkStart w:id="4930" w:name="pg1809_19495"/>
    </w:p>
    <w:p>
      <w:pPr>
        <w:pStyle w:val="BookText"/>
        <w:rPr/>
      </w:pPr>
      <w:bookmarkEnd w:id="4930"/>
      <w:r>
        <w:rPr>
          <w:rFonts w:ascii="IRNazanin" w:hAnsi="IRNazanin" w:eastAsia="IRNazanin"/>
          <w:color w:val="111111"/>
          <w:sz w:val="28"/>
          <w:sz w:val="28"/>
          <w:szCs w:val="28"/>
          <w:rtl w:val="true"/>
          <w:lang w:bidi="fa-IR"/>
        </w:rPr>
        <w:t xml:space="preserve">و فی اعتبار قیمة وقت الاقتراض أو قیمة حال الأداء و القضاء وجهان، الأحوط </w:t>
      </w:r>
      <w:r>
        <w:rPr>
          <w:rStyle w:val="FootnoteAnchor"/>
          <w:rtl w:val="true"/>
        </w:rPr>
        <w:footnoteReference w:id="1365"/>
      </w:r>
      <w:r>
        <w:rPr>
          <w:rFonts w:ascii="IRNazanin" w:hAnsi="IRNazanin" w:eastAsia="IRNazanin"/>
          <w:color w:val="111111"/>
          <w:sz w:val="28"/>
          <w:sz w:val="28"/>
          <w:szCs w:val="28"/>
          <w:rtl w:val="true"/>
          <w:lang w:bidi="fa-IR"/>
        </w:rPr>
        <w:t>التراضی و التصالح فی مقدار التفاوت بین القیمتین لو کان</w:t>
      </w:r>
      <w:r>
        <w:rPr>
          <w:rFonts w:eastAsia="IRNazanin" w:cs="IRNazanin"/>
          <w:color w:val="111111"/>
          <w:sz w:val="28"/>
          <w:szCs w:val="28"/>
          <w:rtl w:val="true"/>
          <w:lang w:bidi="fa-IR"/>
        </w:rPr>
        <w:t>.</w:t>
      </w:r>
    </w:p>
    <w:p>
      <w:pPr>
        <w:pStyle w:val="Heading4"/>
        <w:numPr>
          <w:ilvl w:val="3"/>
          <w:numId w:val="1"/>
        </w:numPr>
        <w:rPr/>
      </w:pPr>
      <w:bookmarkStart w:id="4931" w:name="__RefHeading___Toc2569454_3650668749"/>
      <w:bookmarkStart w:id="4932" w:name="_Toc2236"/>
      <w:bookmarkEnd w:id="4931"/>
      <w:r>
        <w:rPr>
          <w:rtl w:val="true"/>
        </w:rPr>
        <w:t>[ (</w:t>
      </w:r>
      <w:r>
        <w:rPr>
          <w:rtl w:val="true"/>
        </w:rPr>
        <w:t xml:space="preserve">مسألة </w:t>
      </w:r>
      <w:r>
        <w:rPr/>
        <w:t>9</w:t>
      </w:r>
      <w:r>
        <w:rPr>
          <w:rtl w:val="true"/>
        </w:rPr>
        <w:t xml:space="preserve">): </w:t>
      </w:r>
      <w:r>
        <w:rPr>
          <w:rtl w:val="true"/>
        </w:rPr>
        <w:t>لا یجوز شرط الزیادة؛ بأن یقرض مالًا علیٰ أن یؤدّی المقترض أزید ممّا اقترضه</w:t>
      </w:r>
      <w:r>
        <w:rPr>
          <w:rtl w:val="true"/>
        </w:rPr>
        <w:t>]</w:t>
      </w:r>
      <w:bookmarkEnd w:id="49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شرط الزیادة؛ بأن یقرض مالًا علیٰ أن یؤدّی المقترض أزید ممّا اقترضه؛ سواء اشترطاه صریحاً أو أضمراه بحیث وقع القرض مبنیّاً علیه، و هذا هو الرباء القرضی المحرّم الذی وعدنا ذکره فی کتاب البیع و ذکرنا هناک بعض ما ورد فی الکتاب و السنّة من التشدید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الزیادة بین أن تکون عینیّة کما إذا أقرضه عشرة دراهم علیٰ أن یؤدّی اثنی عشر، أو عملًا کخیاطة ثوب له، أو منفعة، أو انتفاعاً کالانتفاع بالعین المرهونة عنده، أو صفة مثل أن یقرضه دراهم مکسورة علیٰ أن یؤدّیها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فرق بین أن یکون المال المقترض ربویّاً؛ بأن کان من المکیل و الموزون، و غیره؛ بأن کان معدوداً کالجوز و البیض</w:t>
      </w:r>
      <w:r>
        <w:rPr>
          <w:rFonts w:eastAsia="IRNazanin" w:cs="IRNazanin"/>
          <w:color w:val="111111"/>
          <w:sz w:val="28"/>
          <w:szCs w:val="28"/>
          <w:rtl w:val="true"/>
          <w:lang w:bidi="fa-IR"/>
        </w:rPr>
        <w:t>.</w:t>
      </w:r>
    </w:p>
    <w:p>
      <w:pPr>
        <w:pStyle w:val="Heading4"/>
        <w:numPr>
          <w:ilvl w:val="3"/>
          <w:numId w:val="1"/>
        </w:numPr>
        <w:rPr/>
      </w:pPr>
      <w:bookmarkStart w:id="4933" w:name="__RefHeading___Toc2569456_3650668749"/>
      <w:bookmarkStart w:id="4934" w:name="_Toc2237"/>
      <w:bookmarkEnd w:id="4933"/>
      <w:r>
        <w:rPr>
          <w:rtl w:val="true"/>
        </w:rPr>
        <w:t>[ (</w:t>
      </w:r>
      <w:r>
        <w:rPr>
          <w:rtl w:val="true"/>
        </w:rPr>
        <w:t xml:space="preserve">مسألة </w:t>
      </w:r>
      <w:r>
        <w:rPr/>
        <w:t>10</w:t>
      </w:r>
      <w:r>
        <w:rPr>
          <w:rtl w:val="true"/>
        </w:rPr>
        <w:t xml:space="preserve">): </w:t>
      </w:r>
      <w:r>
        <w:rPr>
          <w:rtl w:val="true"/>
        </w:rPr>
        <w:t>إذا أقرضه شیئاً و شرط علیه أن یبیع منه شیئاً بأقلّ من قیمته</w:t>
      </w:r>
      <w:r>
        <w:rPr>
          <w:rtl w:val="true"/>
        </w:rPr>
        <w:t>]</w:t>
      </w:r>
      <w:bookmarkEnd w:id="49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أقرضه شیئاً و شرط علیه أن یبیع منه شیئاً بأقلّ من قیمته أو یؤاجره بأقلّ من أُجرته کان داخلًا فی شرط الزیادة، نعم لو باع المقترض من المقرض مالًا بأقلّ من قیمته و شرط علیه أن یقرضه مبلغاً معیّناً لا بأس به، و إن أفاد فائدة الأوّل، و به یحتال فی الفرار عن الربا کسائر الحیل الشرعیّة، و لنعم الفرار من الحرام إلی الحلال</w:t>
      </w:r>
      <w:r>
        <w:rPr>
          <w:rFonts w:eastAsia="IRNazanin" w:cs="IRNazanin"/>
          <w:color w:val="111111"/>
          <w:sz w:val="28"/>
          <w:szCs w:val="28"/>
          <w:rtl w:val="true"/>
          <w:lang w:bidi="fa-IR"/>
        </w:rPr>
        <w:t>.</w:t>
      </w:r>
    </w:p>
    <w:p>
      <w:pPr>
        <w:pStyle w:val="Heading4"/>
        <w:numPr>
          <w:ilvl w:val="3"/>
          <w:numId w:val="1"/>
        </w:numPr>
        <w:rPr/>
      </w:pPr>
      <w:bookmarkStart w:id="4935" w:name="__RefHeading___Toc2569458_3650668749"/>
      <w:bookmarkStart w:id="4936" w:name="_Toc2238"/>
      <w:bookmarkEnd w:id="4935"/>
      <w:r>
        <w:rPr>
          <w:rtl w:val="true"/>
        </w:rPr>
        <w:t>[ (</w:t>
      </w:r>
      <w:r>
        <w:rPr>
          <w:rtl w:val="true"/>
        </w:rPr>
        <w:t xml:space="preserve">مسألة </w:t>
      </w:r>
      <w:r>
        <w:rPr/>
        <w:t>11</w:t>
      </w:r>
      <w:r>
        <w:rPr>
          <w:rtl w:val="true"/>
        </w:rPr>
        <w:t xml:space="preserve">): </w:t>
      </w:r>
      <w:r>
        <w:rPr>
          <w:rtl w:val="true"/>
        </w:rPr>
        <w:t>إنّما تحرم الزیادة مع الشرط</w:t>
      </w:r>
      <w:r>
        <w:rPr>
          <w:rtl w:val="true"/>
        </w:rPr>
        <w:t>]</w:t>
      </w:r>
      <w:bookmarkEnd w:id="49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تحرم الزیادة مع الشرط و أمّا بدونه فلا بأس به، بل یستحبّ ذلک للمقترض؛ حیث إنّه من حسن القضاء و خیر الناس أحسنهم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ذلک إعطاءً و أخذاً لو کان الإعطاء لأجل أن یراه المقرض حسن القضاء فیقرضه کلّما احتاج إلی الاقتراض، أو کان الإقراض لأجل أن ینتفع من المقترض لکونه حسن القضاء و یکافئ من أحسن إلیه بأحسن الجزاء بحیث لولا ذلک لم یقرضه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یکره أخذه للمقرض خصوصاً إذا کان إقراضه لأجل ذلک، بل یستحبّ أنّه إذا أعطاه المقترض شیئاً بعنوان الهدیّة و نحوها یحسبه عوض طلبه؛ بمعنی أنّه یسقط منه بمقداره</w:t>
      </w:r>
      <w:r>
        <w:rPr>
          <w:rFonts w:eastAsia="IRNazanin" w:cs="IRNazanin"/>
          <w:color w:val="111111"/>
          <w:sz w:val="28"/>
          <w:szCs w:val="28"/>
          <w:rtl w:val="true"/>
          <w:lang w:bidi="fa-IR"/>
        </w:rPr>
        <w:t>.</w:t>
      </w:r>
    </w:p>
    <w:p>
      <w:pPr>
        <w:pStyle w:val="Heading4"/>
        <w:numPr>
          <w:ilvl w:val="3"/>
          <w:numId w:val="1"/>
        </w:numPr>
        <w:rPr/>
      </w:pPr>
      <w:bookmarkStart w:id="4937" w:name="__RefHeading___Toc2569460_3650668749"/>
      <w:bookmarkStart w:id="4938" w:name="_Toc2239"/>
      <w:bookmarkEnd w:id="4937"/>
      <w:r>
        <w:rPr>
          <w:rtl w:val="true"/>
        </w:rPr>
        <w:t>[ (</w:t>
      </w:r>
      <w:r>
        <w:rPr>
          <w:rtl w:val="true"/>
        </w:rPr>
        <w:t xml:space="preserve">مسألة </w:t>
      </w:r>
      <w:r>
        <w:rPr/>
        <w:t>12</w:t>
      </w:r>
      <w:r>
        <w:rPr>
          <w:rtl w:val="true"/>
        </w:rPr>
        <w:t xml:space="preserve">): </w:t>
      </w:r>
      <w:r>
        <w:rPr>
          <w:rtl w:val="true"/>
        </w:rPr>
        <w:t>إنّما یحرم شرط الزیادة للمقرض علی المقترض</w:t>
      </w:r>
      <w:r>
        <w:rPr>
          <w:rtl w:val="true"/>
        </w:rPr>
        <w:t>]</w:t>
      </w:r>
      <w:bookmarkEnd w:id="4938"/>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یحرم شرط الزیادة للمقرض علی المقترض، فلا بأس بشرطها للمقترض، کما إذا أقرضه عشرة دراهم علیٰ أن یؤدّی ثمانیة أو أقرضه دراهم صحیحة علیٰ أن یؤدّیها مکسورة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تداول بین التجار من أخذ الزیادة و إعطائها فی الحوائل</w:t>
      </w:r>
      <w:bookmarkStart w:id="4939" w:name="pg1809_19496"/>
    </w:p>
    <w:p>
      <w:pPr>
        <w:pStyle w:val="BookText"/>
        <w:rPr/>
      </w:pPr>
      <w:bookmarkEnd w:id="4939"/>
      <w:r>
        <w:rPr>
          <w:rFonts w:ascii="IRNazanin" w:hAnsi="IRNazanin" w:eastAsia="IRNazanin"/>
          <w:color w:val="111111"/>
          <w:sz w:val="28"/>
          <w:sz w:val="28"/>
          <w:szCs w:val="28"/>
          <w:rtl w:val="true"/>
          <w:lang w:bidi="fa-IR"/>
        </w:rPr>
        <w:t>المسمّاة عندهم بصرف البرات و یطلقون علیه بیع الحوالة و شرائها إن کان بإعطاء مقدار من الدراهم و أخذ الحوالة من المدفوع إلیه بالأقلّ منه لا بأس به، کما إذا احتاج أحد إلیٰ إیصال وجه إلیٰ بلد فیجی‌ء عند التاجر و یعطی له مائة درهم علیٰ أن یعطیه الحوالة بتسعین درهماً علیٰ طرفه فی ذلک البلد، حیث إنّ فی هذا الفرض یکون مائة درهم فی ذمّة التاجر و هو المقترض و جعل الزیادة له، و إن کان بإعطاء الأقلّ و أخذ الحوالة بالأکثر یکون داخلًا فی الربا، کما إذا احتاج أحد إلیٰ مقدار من الدراهم و یکون له المال فی بلد آخر فیجی‌ء عند التاجر و یأخذ منه تسعین درهماً علیٰ أن یعطیه الحوالة بمائة درهم علیٰ من کان عنده المال فی بلد آخر لیدفع إلیٰ طرف التاجر فی ذلک البلد، حیث إنّ التاجر فی هذا الفرض قد أقرض تسعین و جعل له زیادة عشرة، فلا بدّ لأجل التخلّص من الربا من إعمال بعض الحیل الشرعیّة</w:t>
      </w:r>
      <w:r>
        <w:rPr>
          <w:rFonts w:eastAsia="IRNazanin" w:cs="IRNazanin"/>
          <w:color w:val="111111"/>
          <w:sz w:val="28"/>
          <w:szCs w:val="28"/>
          <w:rtl w:val="true"/>
          <w:lang w:bidi="fa-IR"/>
        </w:rPr>
        <w:t>.</w:t>
      </w:r>
    </w:p>
    <w:p>
      <w:pPr>
        <w:pStyle w:val="Heading4"/>
        <w:numPr>
          <w:ilvl w:val="3"/>
          <w:numId w:val="1"/>
        </w:numPr>
        <w:rPr/>
      </w:pPr>
      <w:bookmarkStart w:id="4940" w:name="__RefHeading___Toc2569462_3650668749"/>
      <w:bookmarkStart w:id="4941" w:name="_Toc2240"/>
      <w:bookmarkEnd w:id="4940"/>
      <w:r>
        <w:rPr>
          <w:rtl w:val="true"/>
        </w:rPr>
        <w:t>[ (</w:t>
      </w:r>
      <w:r>
        <w:rPr>
          <w:rtl w:val="true"/>
        </w:rPr>
        <w:t xml:space="preserve">مسألة </w:t>
      </w:r>
      <w:r>
        <w:rPr/>
        <w:t>13</w:t>
      </w:r>
      <w:r>
        <w:rPr>
          <w:rtl w:val="true"/>
        </w:rPr>
        <w:t xml:space="preserve">): </w:t>
      </w:r>
      <w:r>
        <w:rPr>
          <w:rtl w:val="true"/>
        </w:rPr>
        <w:t>المال المقترض إن کان مثلیّا کالدراهم و الدنانیر و الحنطة و الشعیر کان وفاؤه و أداؤه</w:t>
      </w:r>
      <w:r>
        <w:rPr>
          <w:rtl w:val="true"/>
        </w:rPr>
        <w:t>]</w:t>
      </w:r>
      <w:bookmarkEnd w:id="49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المقترض إن کان مثلیّا کالدراهم و الدنانیر و الحنطة و الشعیر کان وفاؤه و أداؤه بإعطاء ما یماثله فی الصفات من جنسه؛ سواء بقی علیٰ سعره الذی کان له وقت الاقتراض أو ترقّی أو تنزّل، و هذا هو الوفاء الذی لا یتوقّف علی التراضی، فللمقرض أن یطالب المقترَض به، و لیس له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ترقّی سعره عمّا أخذه بکثیر کما أنّ المقترض لو أعطاه للمقرض لیس له الامتناع و لو تنزّل بکثیر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یؤدّی بالقیمة أو بغیر جنسه؛ بأن یعطی بدل الدراهم دنانیر مثلًا أو بالعکس، لکن هذا النحو من الأداء و الوفاء یتوقّف علی 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أعطیٰ بدل الدراهم دنانیر فللمقرض الامتناع من أخذها و لو تساویا فی القیمة، بل و لو کانت الدنانیر أغلی، کما أنّه لو أراده المقرض کان للمقترض الامتناع و إن تساویا فی القیمة أو کانت الدنانیر أرخص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قیمیّاً فقد مرّ أنّه تشتغل ذمّة المقترض بالقیمة، و إنّما تکون بالنقود الرائجة فأداؤه الذی لا یتوقّف علی التراضی بإعطائها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یؤدّی بجنس آخر من غیر النقود بالقیمة، لکنّه یتوقّف علی 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کانت العین المقترضة موجودة فأراد المقرض أداء الدین بإعطائها أو أراد المقترض ذلک ففی جواز امتناع الآخر تأمّل </w:t>
      </w:r>
      <w:r>
        <w:rPr>
          <w:rStyle w:val="FootnoteAnchor"/>
          <w:rtl w:val="true"/>
        </w:rPr>
        <w:footnoteReference w:id="1366"/>
      </w:r>
      <w:r>
        <w:rPr>
          <w:rFonts w:ascii="IRNazanin" w:hAnsi="IRNazanin" w:eastAsia="IRNazanin"/>
          <w:color w:val="111111"/>
          <w:sz w:val="28"/>
          <w:sz w:val="28"/>
          <w:szCs w:val="28"/>
          <w:rtl w:val="true"/>
          <w:lang w:bidi="fa-IR"/>
        </w:rPr>
        <w:t>و إشکال، فلا یترک الاحتیاط</w:t>
      </w:r>
      <w:r>
        <w:rPr>
          <w:rFonts w:eastAsia="IRNazanin" w:cs="IRNazanin"/>
          <w:color w:val="111111"/>
          <w:sz w:val="28"/>
          <w:szCs w:val="28"/>
          <w:rtl w:val="true"/>
          <w:lang w:bidi="fa-IR"/>
        </w:rPr>
        <w:t>.</w:t>
      </w:r>
    </w:p>
    <w:p>
      <w:pPr>
        <w:pStyle w:val="Heading4"/>
        <w:numPr>
          <w:ilvl w:val="3"/>
          <w:numId w:val="1"/>
        </w:numPr>
        <w:rPr/>
      </w:pPr>
      <w:bookmarkStart w:id="4942" w:name="__RefHeading___Toc2569464_3650668749"/>
      <w:bookmarkStart w:id="4943" w:name="_Toc2241"/>
      <w:bookmarkEnd w:id="4942"/>
      <w:r>
        <w:rPr>
          <w:rtl w:val="true"/>
        </w:rPr>
        <w:t>[ (</w:t>
      </w:r>
      <w:r>
        <w:rPr>
          <w:rtl w:val="true"/>
        </w:rPr>
        <w:t xml:space="preserve">مسألة </w:t>
      </w:r>
      <w:r>
        <w:rPr/>
        <w:t>14</w:t>
      </w:r>
      <w:r>
        <w:rPr>
          <w:rtl w:val="true"/>
        </w:rPr>
        <w:t xml:space="preserve">): </w:t>
      </w:r>
      <w:r>
        <w:rPr>
          <w:rtl w:val="true"/>
        </w:rPr>
        <w:t>یجوز فی قرض المثلی أن یشترط المقرض علی المقترض</w:t>
      </w:r>
      <w:r>
        <w:rPr>
          <w:rtl w:val="true"/>
        </w:rPr>
        <w:t>]</w:t>
      </w:r>
      <w:bookmarkEnd w:id="4943"/>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قرض المثلی أن یشترط المقرض علی المقترض أن یؤدّیه من</w:t>
      </w:r>
      <w:bookmarkStart w:id="4944" w:name="pg1809_19497"/>
    </w:p>
    <w:p>
      <w:pPr>
        <w:pStyle w:val="BookText"/>
        <w:rPr/>
      </w:pPr>
      <w:bookmarkEnd w:id="4944"/>
      <w:r>
        <w:rPr>
          <w:rFonts w:ascii="IRNazanin" w:hAnsi="IRNazanin" w:eastAsia="IRNazanin"/>
          <w:color w:val="111111"/>
          <w:sz w:val="28"/>
          <w:sz w:val="28"/>
          <w:szCs w:val="28"/>
          <w:rtl w:val="true"/>
          <w:lang w:bidi="fa-IR"/>
        </w:rPr>
        <w:t>غیر جنسه؛ بأن یؤدّی عوض الدراهم مثلًا دنانیر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علیه ذلک بشرط أن یکونا متساویین فی القیمة أو کان ما شرط علیه أقلّ قیمة ممّا اقترض</w:t>
      </w:r>
      <w:r>
        <w:rPr>
          <w:rFonts w:eastAsia="IRNazanin" w:cs="IRNazanin"/>
          <w:color w:val="111111"/>
          <w:sz w:val="28"/>
          <w:szCs w:val="28"/>
          <w:rtl w:val="true"/>
          <w:lang w:bidi="fa-IR"/>
        </w:rPr>
        <w:t>.</w:t>
      </w:r>
    </w:p>
    <w:p>
      <w:pPr>
        <w:pStyle w:val="Heading4"/>
        <w:numPr>
          <w:ilvl w:val="3"/>
          <w:numId w:val="1"/>
        </w:numPr>
        <w:rPr/>
      </w:pPr>
      <w:bookmarkStart w:id="4945" w:name="__RefHeading___Toc2569466_3650668749"/>
      <w:bookmarkStart w:id="4946" w:name="_Toc2242"/>
      <w:bookmarkEnd w:id="4945"/>
      <w:r>
        <w:rPr>
          <w:rtl w:val="true"/>
        </w:rPr>
        <w:t>[ (</w:t>
      </w:r>
      <w:r>
        <w:rPr>
          <w:rtl w:val="true"/>
        </w:rPr>
        <w:t xml:space="preserve">مسألة </w:t>
      </w:r>
      <w:r>
        <w:rPr/>
        <w:t>15</w:t>
      </w:r>
      <w:r>
        <w:rPr>
          <w:rtl w:val="true"/>
        </w:rPr>
        <w:t xml:space="preserve">): </w:t>
      </w:r>
      <w:r>
        <w:rPr>
          <w:rtl w:val="true"/>
        </w:rPr>
        <w:t>الأقویٰ أنّه لو شرط التأجیل فی القرض صحّ و لزم العمل به</w:t>
      </w:r>
      <w:r>
        <w:rPr>
          <w:rtl w:val="true"/>
        </w:rPr>
        <w:t>]</w:t>
      </w:r>
      <w:bookmarkEnd w:id="49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أنّه لو شرط التأجیل فی القرض صحّ و لزم العمل به، و کان کسائر الدیون المؤجّلة لیس للمقرض مطالبته قبل حلول الأجل</w:t>
      </w:r>
      <w:r>
        <w:rPr>
          <w:rFonts w:eastAsia="IRNazanin" w:cs="IRNazanin"/>
          <w:color w:val="111111"/>
          <w:sz w:val="28"/>
          <w:szCs w:val="28"/>
          <w:rtl w:val="true"/>
          <w:lang w:bidi="fa-IR"/>
        </w:rPr>
        <w:t>.</w:t>
      </w:r>
    </w:p>
    <w:p>
      <w:pPr>
        <w:pStyle w:val="Heading4"/>
        <w:numPr>
          <w:ilvl w:val="3"/>
          <w:numId w:val="1"/>
        </w:numPr>
        <w:rPr/>
      </w:pPr>
      <w:bookmarkStart w:id="4947" w:name="__RefHeading___Toc2569468_3650668749"/>
      <w:bookmarkStart w:id="4948" w:name="_Toc2243"/>
      <w:bookmarkEnd w:id="4947"/>
      <w:r>
        <w:rPr>
          <w:rtl w:val="true"/>
        </w:rPr>
        <w:t>[ (</w:t>
      </w:r>
      <w:r>
        <w:rPr>
          <w:rtl w:val="true"/>
        </w:rPr>
        <w:t xml:space="preserve">مسألة </w:t>
      </w:r>
      <w:r>
        <w:rPr/>
        <w:t>16</w:t>
      </w:r>
      <w:r>
        <w:rPr>
          <w:rtl w:val="true"/>
        </w:rPr>
        <w:t xml:space="preserve">): </w:t>
      </w:r>
      <w:r>
        <w:rPr>
          <w:rtl w:val="true"/>
        </w:rPr>
        <w:t>لو شرط علی المقترض أداء القرض و تسلیمه فی بلد معیّن صحّ</w:t>
      </w:r>
      <w:r>
        <w:rPr>
          <w:rtl w:val="true"/>
        </w:rPr>
        <w:t>]</w:t>
      </w:r>
      <w:bookmarkEnd w:id="49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علی المقترض أداء القرض و تسلیمه فی بلد معیّن صحّ و لزم و إن کان فی حمله إلیه مئونة، فإن طالبه فی غیر ذلک البلد لم تلزم علیه الأداء، کما أنّه لو أدّاه فی غیره لم یلزم علی المقرض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أطلق القرض و لم یعیّن بلد التسلیم، فالذی یجب علی المقترض أداؤه فیه لو طالبه المقرض و یجب علی المقرض القبول لو أدّاه المقترض فیه هو بلد القرض، و أمّا غیره فیحتاج إلی التراضی و إن کان الأحوط </w:t>
      </w:r>
      <w:r>
        <w:rPr>
          <w:rStyle w:val="FootnoteAnchor"/>
          <w:rtl w:val="true"/>
        </w:rPr>
        <w:footnoteReference w:id="1367"/>
      </w:r>
      <w:r>
        <w:rPr>
          <w:rFonts w:ascii="IRNazanin" w:hAnsi="IRNazanin" w:eastAsia="IRNazanin"/>
          <w:color w:val="111111"/>
          <w:sz w:val="28"/>
          <w:sz w:val="28"/>
          <w:szCs w:val="28"/>
          <w:rtl w:val="true"/>
          <w:lang w:bidi="fa-IR"/>
        </w:rPr>
        <w:t>للمقترض مع عدم الضرر و عدم الاحتیاج إلیٰ مئونة الحمل، الأداء لو طالبه الغریم فیه</w:t>
      </w:r>
      <w:r>
        <w:rPr>
          <w:rFonts w:eastAsia="IRNazanin" w:cs="IRNazanin"/>
          <w:color w:val="111111"/>
          <w:sz w:val="28"/>
          <w:szCs w:val="28"/>
          <w:rtl w:val="true"/>
          <w:lang w:bidi="fa-IR"/>
        </w:rPr>
        <w:t>.</w:t>
      </w:r>
    </w:p>
    <w:p>
      <w:pPr>
        <w:pStyle w:val="Heading4"/>
        <w:numPr>
          <w:ilvl w:val="3"/>
          <w:numId w:val="1"/>
        </w:numPr>
        <w:rPr/>
      </w:pPr>
      <w:bookmarkStart w:id="4949" w:name="__RefHeading___Toc2569470_3650668749"/>
      <w:bookmarkStart w:id="4950" w:name="_Toc2244"/>
      <w:bookmarkEnd w:id="4949"/>
      <w:r>
        <w:rPr>
          <w:rtl w:val="true"/>
        </w:rPr>
        <w:t>[ (</w:t>
      </w:r>
      <w:r>
        <w:rPr>
          <w:rtl w:val="true"/>
        </w:rPr>
        <w:t xml:space="preserve">مسألة </w:t>
      </w:r>
      <w:r>
        <w:rPr/>
        <w:t>17</w:t>
      </w:r>
      <w:r>
        <w:rPr>
          <w:rtl w:val="true"/>
        </w:rPr>
        <w:t xml:space="preserve">): </w:t>
      </w:r>
      <w:r>
        <w:rPr>
          <w:rtl w:val="true"/>
        </w:rPr>
        <w:t>یجوز أن یشترط فی القرض إعطاء الرهن أو الضامن أو الکفیل</w:t>
      </w:r>
      <w:r>
        <w:rPr>
          <w:rtl w:val="true"/>
        </w:rPr>
        <w:t>]</w:t>
      </w:r>
      <w:bookmarkEnd w:id="49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یشترط فی القرض إعطاء الرهن أو الضامن أو الکفیل و کلّ شرط سائغ لا یکون فیه النفع للمقرض و لو کان مصلحة له</w:t>
      </w:r>
      <w:r>
        <w:rPr>
          <w:rFonts w:eastAsia="IRNazanin" w:cs="IRNazanin"/>
          <w:color w:val="111111"/>
          <w:sz w:val="28"/>
          <w:szCs w:val="28"/>
          <w:rtl w:val="true"/>
          <w:lang w:bidi="fa-IR"/>
        </w:rPr>
        <w:t>.</w:t>
      </w:r>
    </w:p>
    <w:p>
      <w:pPr>
        <w:pStyle w:val="Heading4"/>
        <w:numPr>
          <w:ilvl w:val="3"/>
          <w:numId w:val="1"/>
        </w:numPr>
        <w:rPr/>
      </w:pPr>
      <w:bookmarkStart w:id="4951" w:name="__RefHeading___Toc2569472_3650668749"/>
      <w:bookmarkStart w:id="4952" w:name="_Toc2245"/>
      <w:bookmarkEnd w:id="4951"/>
      <w:r>
        <w:rPr>
          <w:rtl w:val="true"/>
        </w:rPr>
        <w:t>[ (</w:t>
      </w:r>
      <w:r>
        <w:rPr>
          <w:rtl w:val="true"/>
        </w:rPr>
        <w:t xml:space="preserve">مسألة </w:t>
      </w:r>
      <w:r>
        <w:rPr/>
        <w:t>18</w:t>
      </w:r>
      <w:r>
        <w:rPr>
          <w:rtl w:val="true"/>
        </w:rPr>
        <w:t xml:space="preserve">): </w:t>
      </w:r>
      <w:r>
        <w:rPr>
          <w:rtl w:val="true"/>
        </w:rPr>
        <w:t>لو اقترض دراهم ثمّ أسقطها السلطان و جاء بدراهم غیرها</w:t>
      </w:r>
      <w:r>
        <w:rPr>
          <w:rtl w:val="true"/>
        </w:rPr>
        <w:t>]</w:t>
      </w:r>
      <w:bookmarkEnd w:id="4952"/>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اقترض دراهم ثمّ أسقطها السلطان و جاء بدراهم غیرها لم یکن علیه إلّا الدراهم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مثل الصکوک المتعارفة فی هذه الأزمنة المسمّاة بالنوط و الإسکناس و غیرهما إذا سقطت عن الاعتبار الظاهر اشتغال الذمّة بالدراهم و الدنانیر التی تتناول هذه الصکوک بدلًا عنها؛ لأنّ الاقتراض </w:t>
      </w:r>
      <w:r>
        <w:rPr>
          <w:rStyle w:val="FootnoteAnchor"/>
          <w:rtl w:val="true"/>
        </w:rPr>
        <w:footnoteReference w:id="1368"/>
      </w:r>
      <w:r>
        <w:rPr>
          <w:rFonts w:ascii="IRNazanin" w:hAnsi="IRNazanin" w:eastAsia="IRNazanin"/>
          <w:color w:val="111111"/>
          <w:sz w:val="28"/>
          <w:sz w:val="28"/>
          <w:szCs w:val="28"/>
          <w:rtl w:val="true"/>
          <w:lang w:bidi="fa-IR"/>
        </w:rPr>
        <w:t>فی الحقیقة یقع علی الدراهم أو الدنانیر التی هی من النقدین و من الفضّة و الذهب المسکوکین؛ و إن کان فی مقام التسلیم و الإیصال یکتفی بتسلیم تلک الصکوک و إیصالها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وقوع القرض علی الصکّ الخاصّ بنفسه؛ بأن 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أقرضتک هذا الکاغذ الکذائی المسمّی بالنوط الکذائی، کان حالها حال الدراهم فی أنّه إذا سقط اعتبارها لم یکن علی المقترض إلّا أداء الصکّ، و هکذا الحال فی المعاملات و المهور الواقعة علی الصکوک</w:t>
      </w:r>
      <w:r>
        <w:rPr>
          <w:rFonts w:eastAsia="IRNazanin" w:cs="IRNazanin"/>
          <w:color w:val="111111"/>
          <w:sz w:val="28"/>
          <w:szCs w:val="28"/>
          <w:rtl w:val="true"/>
          <w:lang w:bidi="fa-IR"/>
        </w:rPr>
        <w:t>.</w:t>
      </w:r>
      <w:bookmarkStart w:id="4953" w:name="pg1809_19498"/>
    </w:p>
    <w:p>
      <w:pPr>
        <w:pStyle w:val="Heading2"/>
        <w:numPr>
          <w:ilvl w:val="1"/>
          <w:numId w:val="1"/>
        </w:numPr>
        <w:rPr/>
      </w:pPr>
      <w:bookmarkStart w:id="4954" w:name="__RefHeading___Toc2569474_3650668749"/>
      <w:bookmarkStart w:id="4955" w:name="_Toc2246"/>
      <w:bookmarkEnd w:id="4953"/>
      <w:bookmarkEnd w:id="4954"/>
      <w:r>
        <w:rPr>
          <w:rtl w:val="true"/>
        </w:rPr>
        <w:t>[</w:t>
      </w:r>
      <w:r>
        <w:rPr>
          <w:rtl w:val="true"/>
        </w:rPr>
        <w:t>کتاب الرهن</w:t>
      </w:r>
      <w:r>
        <w:rPr>
          <w:rtl w:val="true"/>
        </w:rPr>
        <w:t>]</w:t>
      </w:r>
      <w:bookmarkEnd w:id="4955"/>
    </w:p>
    <w:p>
      <w:pPr>
        <w:pStyle w:val="Heading3"/>
        <w:numPr>
          <w:ilvl w:val="2"/>
          <w:numId w:val="1"/>
        </w:numPr>
        <w:rPr/>
      </w:pPr>
      <w:bookmarkStart w:id="4956" w:name="__RefHeading___Toc2569476_3650668749"/>
      <w:bookmarkStart w:id="4957" w:name="_Toc2247"/>
      <w:bookmarkEnd w:id="4956"/>
      <w:r>
        <w:rPr>
          <w:rtl w:val="true"/>
        </w:rPr>
        <w:t>اشارة</w:t>
      </w:r>
      <w:bookmarkEnd w:id="4957"/>
    </w:p>
    <w:p>
      <w:pPr>
        <w:pStyle w:val="BookText"/>
        <w:rPr/>
      </w:pPr>
      <w:r>
        <w:rPr>
          <w:rFonts w:ascii="IRNazanin" w:hAnsi="IRNazanin" w:eastAsia="IRNazanin"/>
          <w:color w:val="111111"/>
          <w:sz w:val="28"/>
          <w:sz w:val="28"/>
          <w:szCs w:val="28"/>
          <w:rtl w:val="true"/>
          <w:lang w:bidi="fa-IR"/>
        </w:rPr>
        <w:t xml:space="preserve">کتاب الرهن و هو دفع </w:t>
      </w:r>
      <w:r>
        <w:rPr>
          <w:rStyle w:val="FootnoteAnchor"/>
          <w:rtl w:val="true"/>
        </w:rPr>
        <w:footnoteReference w:id="1369"/>
      </w:r>
      <w:r>
        <w:rPr>
          <w:rFonts w:ascii="IRNazanin" w:hAnsi="IRNazanin" w:eastAsia="IRNazanin"/>
          <w:color w:val="111111"/>
          <w:sz w:val="28"/>
          <w:sz w:val="28"/>
          <w:szCs w:val="28"/>
          <w:rtl w:val="true"/>
          <w:lang w:bidi="fa-IR"/>
        </w:rPr>
        <w:t>العین للاستیثاق علی الدین، و یقال 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و المرهون، و لدافعها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الراهن، و لآخذها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المرتهن، و یحتاج إلی العقد المشتمل علی الإیجاب و القبول، و الأوّل من الراهن و هو کلّ لفظ أفاد المعنی المقصود فی متفاهم أهل المحاورة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أرهنتک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وثیقة عندک علیٰ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و الثانی من المرتهن و هو کلّ لفظ دالّ علی الرضا بالإیجاب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فیه العربیّة، بل الظاهر عدم اعتبار الصیغة فیه أصلًا فیقع بالمعاطاة</w:t>
      </w:r>
      <w:r>
        <w:rPr>
          <w:rFonts w:eastAsia="IRNazanin" w:cs="IRNazanin"/>
          <w:color w:val="111111"/>
          <w:sz w:val="28"/>
          <w:szCs w:val="28"/>
          <w:rtl w:val="true"/>
          <w:lang w:bidi="fa-IR"/>
        </w:rPr>
        <w:t>.</w:t>
      </w:r>
    </w:p>
    <w:p>
      <w:pPr>
        <w:pStyle w:val="Heading3"/>
        <w:numPr>
          <w:ilvl w:val="2"/>
          <w:numId w:val="1"/>
        </w:numPr>
        <w:rPr/>
      </w:pPr>
      <w:bookmarkStart w:id="4958" w:name="__RefHeading___Toc2569478_3650668749"/>
      <w:bookmarkStart w:id="4959" w:name="_Toc2248"/>
      <w:bookmarkEnd w:id="4958"/>
      <w:r>
        <w:rPr>
          <w:rtl w:val="true"/>
        </w:rPr>
        <w:t>[ (</w:t>
      </w:r>
      <w:r>
        <w:rPr>
          <w:rtl w:val="true"/>
        </w:rPr>
        <w:t xml:space="preserve">مسألة </w:t>
      </w:r>
      <w:r>
        <w:rPr/>
        <w:t>1</w:t>
      </w:r>
      <w:r>
        <w:rPr>
          <w:rtl w:val="true"/>
        </w:rPr>
        <w:t xml:space="preserve">): </w:t>
      </w:r>
      <w:r>
        <w:rPr>
          <w:rtl w:val="true"/>
        </w:rPr>
        <w:t>یشترط فی الراهن و المرتهن</w:t>
      </w:r>
      <w:r>
        <w:rPr>
          <w:rtl w:val="true"/>
        </w:rPr>
        <w:t xml:space="preserve">: </w:t>
      </w:r>
      <w:r>
        <w:rPr>
          <w:rtl w:val="true"/>
        </w:rPr>
        <w:t>البلوغ و العقل و القصد و الاختیار</w:t>
      </w:r>
      <w:r>
        <w:rPr>
          <w:rtl w:val="true"/>
        </w:rPr>
        <w:t>]</w:t>
      </w:r>
      <w:bookmarkEnd w:id="49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الراهن و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القصد و الاختیار، و فی خصوص الأوّل عدم الحجر بالسفه و الفلس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لولیّ الطفل و المجنون رهن مالهما و الارتهان لهما مع المصلحة و الغبطة</w:t>
      </w:r>
      <w:r>
        <w:rPr>
          <w:rFonts w:eastAsia="IRNazanin" w:cs="IRNazanin"/>
          <w:color w:val="111111"/>
          <w:sz w:val="28"/>
          <w:szCs w:val="28"/>
          <w:rtl w:val="true"/>
          <w:lang w:bidi="fa-IR"/>
        </w:rPr>
        <w:t>.</w:t>
      </w:r>
    </w:p>
    <w:p>
      <w:pPr>
        <w:pStyle w:val="Heading3"/>
        <w:numPr>
          <w:ilvl w:val="2"/>
          <w:numId w:val="1"/>
        </w:numPr>
        <w:rPr/>
      </w:pPr>
      <w:bookmarkStart w:id="4960" w:name="__RefHeading___Toc2569480_3650668749"/>
      <w:bookmarkStart w:id="4961" w:name="_Toc2249"/>
      <w:bookmarkEnd w:id="4960"/>
      <w:r>
        <w:rPr>
          <w:rtl w:val="true"/>
        </w:rPr>
        <w:t>[ (</w:t>
      </w:r>
      <w:r>
        <w:rPr>
          <w:rtl w:val="true"/>
        </w:rPr>
        <w:t xml:space="preserve">مسألة </w:t>
      </w:r>
      <w:r>
        <w:rPr/>
        <w:t>2</w:t>
      </w:r>
      <w:r>
        <w:rPr>
          <w:rtl w:val="true"/>
        </w:rPr>
        <w:t xml:space="preserve">): </w:t>
      </w:r>
      <w:r>
        <w:rPr>
          <w:rtl w:val="true"/>
        </w:rPr>
        <w:t>یشترط فی صحّة الرهن القبض من المرتهن بإقباض من الراهن أو بإذن منه</w:t>
      </w:r>
      <w:r>
        <w:rPr>
          <w:rtl w:val="true"/>
        </w:rPr>
        <w:t>]</w:t>
      </w:r>
      <w:bookmarkEnd w:id="49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الرهن القبض من المرتهن بإقباض من الراهن أو بإذن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 یده شی‌ء ودیعة أو عاریة بل و لو غصباً، فأوقعا عقد الرهن علیه کفیٰ و لا یحتاج إلیٰ قبض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رهن المشاع لا یجوز تسلیمه إلی المرتهن إلّا برضا شریکه، و لکن لو سلّمه إلیه فالظاهر کفایته فی تحقّق القبض الذی هو شرط لصحّة الرهن و إن تحقّق العدوان بالنسبة إلیٰ حصّة شریکه</w:t>
      </w:r>
      <w:r>
        <w:rPr>
          <w:rFonts w:eastAsia="IRNazanin" w:cs="IRNazanin"/>
          <w:color w:val="111111"/>
          <w:sz w:val="28"/>
          <w:szCs w:val="28"/>
          <w:rtl w:val="true"/>
          <w:lang w:bidi="fa-IR"/>
        </w:rPr>
        <w:t>.</w:t>
      </w:r>
    </w:p>
    <w:p>
      <w:pPr>
        <w:pStyle w:val="Heading3"/>
        <w:numPr>
          <w:ilvl w:val="2"/>
          <w:numId w:val="1"/>
        </w:numPr>
        <w:rPr/>
      </w:pPr>
      <w:bookmarkStart w:id="4962" w:name="__RefHeading___Toc2569482_3650668749"/>
      <w:bookmarkStart w:id="4963" w:name="_Toc2250"/>
      <w:bookmarkEnd w:id="4962"/>
      <w:r>
        <w:rPr>
          <w:rtl w:val="true"/>
        </w:rPr>
        <w:t>[ (</w:t>
      </w:r>
      <w:r>
        <w:rPr>
          <w:rtl w:val="true"/>
        </w:rPr>
        <w:t xml:space="preserve">مسألة </w:t>
      </w:r>
      <w:r>
        <w:rPr/>
        <w:t>3</w:t>
      </w:r>
      <w:r>
        <w:rPr>
          <w:rtl w:val="true"/>
        </w:rPr>
        <w:t xml:space="preserve">): </w:t>
      </w:r>
      <w:r>
        <w:rPr>
          <w:rtl w:val="true"/>
        </w:rPr>
        <w:t>إنّما یعتبر القبض فی الابتداء و لا یعتبر استدامته</w:t>
      </w:r>
      <w:r>
        <w:rPr>
          <w:rtl w:val="true"/>
        </w:rPr>
        <w:t>]</w:t>
      </w:r>
      <w:bookmarkEnd w:id="4963"/>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یعتبر القبض فی الابتداء و لا یعتبر استدامته، فلو قبضه المرتهن ثمّ صار فی ید الراهن أو غیره بإذن الراهن أو بدونه لم یضرّ و لم یطرأه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bookmarkStart w:id="4964" w:name="pg1809_19499"/>
    </w:p>
    <w:p>
      <w:pPr>
        <w:pStyle w:val="BookText"/>
        <w:rPr/>
      </w:pPr>
      <w:bookmarkEnd w:id="4964"/>
      <w:r>
        <w:rPr>
          <w:rFonts w:ascii="IRNazanin" w:hAnsi="IRNazanin" w:eastAsia="IRNazanin"/>
          <w:color w:val="111111"/>
          <w:sz w:val="28"/>
          <w:sz w:val="28"/>
          <w:szCs w:val="28"/>
          <w:rtl w:val="true"/>
          <w:lang w:bidi="fa-IR"/>
        </w:rPr>
        <w:t xml:space="preserve">الظاهر أنّ للمرتهن استحقاق إدامة القبض و کونه تحت یده، فلا یجوز انتزاعه منه إلّا إذا شرط فی العقد کونه بید الراهن </w:t>
      </w:r>
      <w:r>
        <w:rPr>
          <w:rStyle w:val="FootnoteAnchor"/>
          <w:rtl w:val="true"/>
        </w:rPr>
        <w:footnoteReference w:id="1370"/>
      </w:r>
      <w:r>
        <w:rPr>
          <w:rFonts w:ascii="IRNazanin" w:hAnsi="IRNazanin" w:eastAsia="IRNazanin"/>
          <w:color w:val="111111"/>
          <w:sz w:val="28"/>
          <w:sz w:val="28"/>
          <w:szCs w:val="28"/>
          <w:rtl w:val="true"/>
          <w:lang w:bidi="fa-IR"/>
        </w:rPr>
        <w:t>أو ید ثالث</w:t>
      </w:r>
      <w:r>
        <w:rPr>
          <w:rFonts w:eastAsia="IRNazanin" w:cs="IRNazanin"/>
          <w:color w:val="111111"/>
          <w:sz w:val="28"/>
          <w:szCs w:val="28"/>
          <w:rtl w:val="true"/>
          <w:lang w:bidi="fa-IR"/>
        </w:rPr>
        <w:t>.</w:t>
      </w:r>
    </w:p>
    <w:p>
      <w:pPr>
        <w:pStyle w:val="Heading3"/>
        <w:numPr>
          <w:ilvl w:val="2"/>
          <w:numId w:val="1"/>
        </w:numPr>
        <w:rPr/>
      </w:pPr>
      <w:bookmarkStart w:id="4965" w:name="__RefHeading___Toc2569484_3650668749"/>
      <w:bookmarkStart w:id="4966" w:name="_Toc2251"/>
      <w:bookmarkEnd w:id="4965"/>
      <w:r>
        <w:rPr>
          <w:rtl w:val="true"/>
        </w:rPr>
        <w:t>[ (</w:t>
      </w:r>
      <w:r>
        <w:rPr>
          <w:rtl w:val="true"/>
        </w:rPr>
        <w:t xml:space="preserve">مسألة </w:t>
      </w:r>
      <w:r>
        <w:rPr/>
        <w:t>4</w:t>
      </w:r>
      <w:r>
        <w:rPr>
          <w:rtl w:val="true"/>
        </w:rPr>
        <w:t xml:space="preserve">): </w:t>
      </w:r>
      <w:r>
        <w:rPr>
          <w:rtl w:val="true"/>
        </w:rPr>
        <w:t>یشترط فی المرهون أن یکون عیناً مملوکاً یمکن قبضه و یصحّ بیعه</w:t>
      </w:r>
      <w:r>
        <w:rPr>
          <w:rtl w:val="true"/>
        </w:rPr>
        <w:t>]</w:t>
      </w:r>
      <w:bookmarkEnd w:id="49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المرهون أن یکون عیناً مملوکاً یمکن قبضه و یصحّ بیعه، فلا یصحّ رهن الدین </w:t>
      </w:r>
      <w:r>
        <w:rPr>
          <w:rStyle w:val="FootnoteAnchor"/>
          <w:rtl w:val="true"/>
        </w:rPr>
        <w:footnoteReference w:id="1371"/>
      </w:r>
      <w:r>
        <w:rPr>
          <w:rFonts w:ascii="IRNazanin" w:hAnsi="IRNazanin" w:eastAsia="IRNazanin"/>
          <w:color w:val="111111"/>
          <w:sz w:val="28"/>
          <w:sz w:val="28"/>
          <w:szCs w:val="28"/>
          <w:rtl w:val="true"/>
          <w:lang w:bidi="fa-IR"/>
        </w:rPr>
        <w:t xml:space="preserve">قبل قبضه و لا المنفعة و لا الحرّ و لا الخمر و الخنزیر و لا مال الغیر إلّا بإذنه أو إجازته و لا الأرض الخراجیّة </w:t>
      </w:r>
      <w:r>
        <w:rPr>
          <w:rStyle w:val="FootnoteAnchor"/>
          <w:rtl w:val="true"/>
        </w:rPr>
        <w:footnoteReference w:id="1372"/>
      </w:r>
      <w:r>
        <w:rPr>
          <w:rFonts w:ascii="IRNazanin" w:hAnsi="IRNazanin" w:eastAsia="IRNazanin"/>
          <w:color w:val="111111"/>
          <w:sz w:val="28"/>
          <w:sz w:val="28"/>
          <w:szCs w:val="28"/>
          <w:rtl w:val="true"/>
          <w:lang w:bidi="fa-IR"/>
        </w:rPr>
        <w:t>و لا الطیر المملوک فی الهواء إذا کان غیر معتاد عوده و لا الوقف و لو کان خاصّاً</w:t>
      </w:r>
      <w:r>
        <w:rPr>
          <w:rFonts w:eastAsia="IRNazanin" w:cs="IRNazanin"/>
          <w:color w:val="111111"/>
          <w:sz w:val="28"/>
          <w:szCs w:val="28"/>
          <w:rtl w:val="true"/>
          <w:lang w:bidi="fa-IR"/>
        </w:rPr>
        <w:t>.</w:t>
      </w:r>
    </w:p>
    <w:p>
      <w:pPr>
        <w:pStyle w:val="Heading3"/>
        <w:numPr>
          <w:ilvl w:val="2"/>
          <w:numId w:val="1"/>
        </w:numPr>
        <w:rPr/>
      </w:pPr>
      <w:bookmarkStart w:id="4967" w:name="__RefHeading___Toc2569486_3650668749"/>
      <w:bookmarkStart w:id="4968" w:name="_Toc2252"/>
      <w:bookmarkEnd w:id="4967"/>
      <w:r>
        <w:rPr>
          <w:rtl w:val="true"/>
        </w:rPr>
        <w:t>[ (</w:t>
      </w:r>
      <w:r>
        <w:rPr>
          <w:rtl w:val="true"/>
        </w:rPr>
        <w:t xml:space="preserve">مسألة </w:t>
      </w:r>
      <w:r>
        <w:rPr/>
        <w:t>5</w:t>
      </w:r>
      <w:r>
        <w:rPr>
          <w:rtl w:val="true"/>
        </w:rPr>
        <w:t xml:space="preserve">): </w:t>
      </w:r>
      <w:r>
        <w:rPr>
          <w:rtl w:val="true"/>
        </w:rPr>
        <w:t>لو رهن ما یملک و ما لا یملک فی عقد واحد، صحّ فی ملکه</w:t>
      </w:r>
      <w:r>
        <w:rPr>
          <w:rtl w:val="true"/>
        </w:rPr>
        <w:t>]</w:t>
      </w:r>
      <w:bookmarkEnd w:id="49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رهن ما یملک و ما لا یملک فی عقد واحد، صحّ فی ملکه، و وقف فی ملک غیره علیٰ إجازة مالکه</w:t>
      </w:r>
      <w:r>
        <w:rPr>
          <w:rFonts w:eastAsia="IRNazanin" w:cs="IRNazanin"/>
          <w:color w:val="111111"/>
          <w:sz w:val="28"/>
          <w:szCs w:val="28"/>
          <w:rtl w:val="true"/>
          <w:lang w:bidi="fa-IR"/>
        </w:rPr>
        <w:t>.</w:t>
      </w:r>
    </w:p>
    <w:p>
      <w:pPr>
        <w:pStyle w:val="Heading3"/>
        <w:numPr>
          <w:ilvl w:val="2"/>
          <w:numId w:val="1"/>
        </w:numPr>
        <w:rPr/>
      </w:pPr>
      <w:bookmarkStart w:id="4969" w:name="__RefHeading___Toc2569488_3650668749"/>
      <w:bookmarkStart w:id="4970" w:name="_Toc2253"/>
      <w:bookmarkEnd w:id="4969"/>
      <w:r>
        <w:rPr>
          <w:rtl w:val="true"/>
        </w:rPr>
        <w:t>[ (</w:t>
      </w:r>
      <w:r>
        <w:rPr>
          <w:rtl w:val="true"/>
        </w:rPr>
        <w:t xml:space="preserve">مسألة </w:t>
      </w:r>
      <w:r>
        <w:rPr/>
        <w:t>6</w:t>
      </w:r>
      <w:r>
        <w:rPr>
          <w:rtl w:val="true"/>
        </w:rPr>
        <w:t xml:space="preserve">): </w:t>
      </w:r>
      <w:r>
        <w:rPr>
          <w:rtl w:val="true"/>
        </w:rPr>
        <w:t>لو کان له غرس أو بناء فی الأرض الخراجیّة لا إشکال فی صحّة رهن ما فیها مستقلا</w:t>
      </w:r>
      <w:r>
        <w:rPr>
          <w:rtl w:val="true"/>
        </w:rPr>
        <w:t>]</w:t>
      </w:r>
      <w:bookmarkEnd w:id="49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له غرس أو بناء فی الأرض الخراجیّة لا إشکال فی صحّة رهن ما فیها مستقلا و کذا مع أرضها بعنوان التبعیّة </w:t>
      </w:r>
      <w:r>
        <w:rPr>
          <w:rStyle w:val="FootnoteAnchor"/>
          <w:rtl w:val="true"/>
        </w:rPr>
        <w:footnoteReference w:id="1373"/>
      </w:r>
      <w:r>
        <w:rPr>
          <w:rFonts w:ascii="IRNazanin" w:hAnsi="IRNazanin" w:eastAsia="IRNazanin"/>
          <w:color w:val="111111"/>
          <w:sz w:val="28"/>
          <w:sz w:val="28"/>
          <w:szCs w:val="28"/>
          <w:rtl w:val="true"/>
          <w:lang w:bidi="fa-IR"/>
        </w:rPr>
        <w:t xml:space="preserve">، و أمّا رهن أرضها مستقلا ففیه إشکال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1" w:name="__RefHeading___Toc2569490_3650668749"/>
      <w:bookmarkStart w:id="4972" w:name="_Toc2254"/>
      <w:bookmarkEnd w:id="4971"/>
      <w:r>
        <w:rPr>
          <w:rtl w:val="true"/>
        </w:rPr>
        <w:t>[ (</w:t>
      </w:r>
      <w:r>
        <w:rPr>
          <w:rtl w:val="true"/>
        </w:rPr>
        <w:t xml:space="preserve">مسألة </w:t>
      </w:r>
      <w:r>
        <w:rPr/>
        <w:t>7</w:t>
      </w:r>
      <w:r>
        <w:rPr>
          <w:rtl w:val="true"/>
        </w:rPr>
        <w:t xml:space="preserve">): </w:t>
      </w:r>
      <w:r>
        <w:rPr>
          <w:rtl w:val="true"/>
        </w:rPr>
        <w:t>لا یعتبر أن یکون الرهن ملکاً لمن علیه الدین</w:t>
      </w:r>
      <w:r>
        <w:rPr>
          <w:rtl w:val="true"/>
        </w:rPr>
        <w:t>]</w:t>
      </w:r>
      <w:bookmarkEnd w:id="49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أن یکون الرهن ملکاً لمن علیه الدین، فیجوز لشخص أن یرهن ماله علیٰ دین شخص آخر تبرّعاً و لو من غیر إذنه، بل و لو مع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للمدیون أن یستعیر شیئاً لیرهنه علیٰ دینه، و لو رهنه و قبضه المرتهن لیس لمالکه الرجوع، و یبیعه المرتهن کما یبیع ما کان ملکاً لمن علیه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بیع کان لمالکه مطالبة المستعیر بما بیع به لو بیع بالقیمة أو بالأکثر، و بقیمته تامّة لو بیع بأقلّ من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عیّن له أن یرهنه علیٰ حقّ مخصوص من حیث القدر أو الحلول أو الأجل أو عند شخص معیّن لم یجز له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أذنه فی الرهن مطلقاً جاز له الجمیع و تخیّر</w:t>
      </w:r>
      <w:r>
        <w:rPr>
          <w:rFonts w:eastAsia="IRNazanin" w:cs="IRNazanin"/>
          <w:color w:val="111111"/>
          <w:sz w:val="28"/>
          <w:szCs w:val="28"/>
          <w:rtl w:val="true"/>
          <w:lang w:bidi="fa-IR"/>
        </w:rPr>
        <w:t>.</w:t>
      </w:r>
    </w:p>
    <w:p>
      <w:pPr>
        <w:pStyle w:val="Heading3"/>
        <w:numPr>
          <w:ilvl w:val="2"/>
          <w:numId w:val="1"/>
        </w:numPr>
        <w:rPr/>
      </w:pPr>
      <w:bookmarkStart w:id="4973" w:name="__RefHeading___Toc2569492_3650668749"/>
      <w:bookmarkStart w:id="4974" w:name="_Toc2255"/>
      <w:bookmarkEnd w:id="4973"/>
      <w:r>
        <w:rPr>
          <w:rtl w:val="true"/>
        </w:rPr>
        <w:t>[ (</w:t>
      </w:r>
      <w:r>
        <w:rPr>
          <w:rtl w:val="true"/>
        </w:rPr>
        <w:t xml:space="preserve">مسألة </w:t>
      </w:r>
      <w:r>
        <w:rPr/>
        <w:t>8</w:t>
      </w:r>
      <w:r>
        <w:rPr>
          <w:rtl w:val="true"/>
        </w:rPr>
        <w:t xml:space="preserve">): </w:t>
      </w:r>
      <w:r>
        <w:rPr>
          <w:rtl w:val="true"/>
        </w:rPr>
        <w:t>لو کان الرهن علی الدین المؤجّل و کان ممّا یسرع إلیه الفساد قبل الأجل</w:t>
      </w:r>
      <w:r>
        <w:rPr>
          <w:rtl w:val="true"/>
        </w:rPr>
        <w:t>]</w:t>
      </w:r>
      <w:bookmarkEnd w:id="4974"/>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الرهن علی الدین المؤجّل و کان ممّا یسرع إلیه الفساد قبل الأجل، فإن شرط بیعه قبل أن یطرأ علیه الفساد صحّ الرهن و یبیعه الراهن أو یوکّل المرتهن فی بیعه، و إن امتنع أجبره الحاکم، فإن تعذّر باعه الحاکم و مع فقده باعه المرتهن، فإذا بیع</w:t>
      </w:r>
      <w:bookmarkStart w:id="4975" w:name="pg1809_19500"/>
    </w:p>
    <w:p>
      <w:pPr>
        <w:pStyle w:val="BookText"/>
        <w:rPr/>
      </w:pPr>
      <w:bookmarkEnd w:id="4975"/>
      <w:r>
        <w:rPr>
          <w:rFonts w:ascii="IRNazanin" w:hAnsi="IRNazanin" w:eastAsia="IRNazanin"/>
          <w:color w:val="111111"/>
          <w:sz w:val="28"/>
          <w:sz w:val="28"/>
          <w:szCs w:val="28"/>
          <w:rtl w:val="true"/>
          <w:lang w:bidi="fa-IR"/>
        </w:rPr>
        <w:t>یجعل ثمنه رهناً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w:t>
      </w:r>
      <w:r>
        <w:rPr>
          <w:rStyle w:val="FootnoteAnchor"/>
          <w:rtl w:val="true"/>
        </w:rPr>
        <w:footnoteReference w:id="1375"/>
      </w:r>
      <w:r>
        <w:rPr>
          <w:rFonts w:ascii="IRNazanin" w:hAnsi="IRNazanin" w:eastAsia="IRNazanin"/>
          <w:color w:val="111111"/>
          <w:sz w:val="28"/>
          <w:sz w:val="28"/>
          <w:szCs w:val="28"/>
          <w:rtl w:val="true"/>
          <w:lang w:bidi="fa-IR"/>
        </w:rPr>
        <w:t>الحال لو أطلق و لم یشترط البیع و لا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شرط عدم البیع إلّا بعد الأجل بطل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رهن ما لا یتسارع إلیه الفساد فعرض ما صیّره عرضة للفساد کالحنطة تبتلّ لم ینفسخ الرهن، بل یباع و یجعل الثمن رهناً</w:t>
      </w:r>
      <w:r>
        <w:rPr>
          <w:rFonts w:eastAsia="IRNazanin" w:cs="IRNazanin"/>
          <w:color w:val="111111"/>
          <w:sz w:val="28"/>
          <w:szCs w:val="28"/>
          <w:rtl w:val="true"/>
          <w:lang w:bidi="fa-IR"/>
        </w:rPr>
        <w:t>.</w:t>
      </w:r>
    </w:p>
    <w:p>
      <w:pPr>
        <w:pStyle w:val="Heading3"/>
        <w:numPr>
          <w:ilvl w:val="2"/>
          <w:numId w:val="1"/>
        </w:numPr>
        <w:rPr/>
      </w:pPr>
      <w:bookmarkStart w:id="4976" w:name="__RefHeading___Toc2569494_3650668749"/>
      <w:bookmarkStart w:id="4977" w:name="_Toc2256"/>
      <w:bookmarkEnd w:id="4976"/>
      <w:r>
        <w:rPr>
          <w:rtl w:val="true"/>
        </w:rPr>
        <w:t>[ (</w:t>
      </w:r>
      <w:r>
        <w:rPr>
          <w:rtl w:val="true"/>
        </w:rPr>
        <w:t xml:space="preserve">مسألة </w:t>
      </w:r>
      <w:r>
        <w:rPr/>
        <w:t>9</w:t>
      </w:r>
      <w:r>
        <w:rPr>
          <w:rtl w:val="true"/>
        </w:rPr>
        <w:t xml:space="preserve">): </w:t>
      </w:r>
      <w:r>
        <w:rPr>
          <w:rtl w:val="true"/>
        </w:rPr>
        <w:t>لا إشکال فی أنّه یعتبر فی المرهون کونه معیّناً</w:t>
      </w:r>
      <w:r>
        <w:rPr>
          <w:rtl w:val="true"/>
        </w:rPr>
        <w:t>]</w:t>
      </w:r>
      <w:bookmarkEnd w:id="49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أنّه یعتبر فی المرهون کونه معیّناً، فلا یصحّ رهن المبهم کأحد هذین، نعم الظاهر صحّة رهن الکلّی </w:t>
      </w:r>
      <w:r>
        <w:rPr>
          <w:rStyle w:val="FootnoteAnchor"/>
          <w:rtl w:val="true"/>
        </w:rPr>
        <w:footnoteReference w:id="1376"/>
      </w:r>
      <w:r>
        <w:rPr>
          <w:rFonts w:ascii="IRNazanin" w:hAnsi="IRNazanin" w:eastAsia="IRNazanin"/>
          <w:color w:val="111111"/>
          <w:sz w:val="28"/>
          <w:sz w:val="28"/>
          <w:szCs w:val="28"/>
          <w:rtl w:val="true"/>
          <w:lang w:bidi="fa-IR"/>
        </w:rPr>
        <w:t>فی المعیّن کعبد من عبدین و صاع من صبرة و شاة من هذا القطیع، و قبضه إمّا بقبض الجمیع أو بقبض ما عیّنه الراهن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عیّن بعد العقد عبداً أو صاعاً أو شاةً و قبضه المرتهن صحّ الرهن و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عدم صحّة رهن المجهول من جمیع الوجوه </w:t>
      </w:r>
      <w:r>
        <w:rPr>
          <w:rStyle w:val="FootnoteAnchor"/>
          <w:rtl w:val="true"/>
        </w:rPr>
        <w:footnoteReference w:id="1377"/>
      </w:r>
      <w:r>
        <w:rPr>
          <w:rFonts w:ascii="IRNazanin" w:hAnsi="IRNazanin" w:eastAsia="IRNazanin"/>
          <w:color w:val="111111"/>
          <w:sz w:val="28"/>
          <w:sz w:val="28"/>
          <w:szCs w:val="28"/>
          <w:rtl w:val="true"/>
          <w:lang w:bidi="fa-IR"/>
        </w:rPr>
        <w:t>کما إذا رهن ما فی الصندوق المقفل، و إذا رهن الصندوق بما فیه صحّ بالنسبة إلی الظرف دون المظروف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المعلوم الجنس و النوع المجهول المقدار کصبرة من حنطة مشاهدة فالظاهر صحّة رهنه</w:t>
      </w:r>
      <w:r>
        <w:rPr>
          <w:rFonts w:eastAsia="IRNazanin" w:cs="IRNazanin"/>
          <w:color w:val="111111"/>
          <w:sz w:val="28"/>
          <w:szCs w:val="28"/>
          <w:rtl w:val="true"/>
          <w:lang w:bidi="fa-IR"/>
        </w:rPr>
        <w:t>.</w:t>
      </w:r>
    </w:p>
    <w:p>
      <w:pPr>
        <w:pStyle w:val="Heading3"/>
        <w:numPr>
          <w:ilvl w:val="2"/>
          <w:numId w:val="1"/>
        </w:numPr>
        <w:rPr/>
      </w:pPr>
      <w:bookmarkStart w:id="4978" w:name="__RefHeading___Toc2569496_3650668749"/>
      <w:bookmarkStart w:id="4979" w:name="_Toc2257"/>
      <w:bookmarkEnd w:id="4978"/>
      <w:r>
        <w:rPr>
          <w:rtl w:val="true"/>
        </w:rPr>
        <w:t>[ (</w:t>
      </w:r>
      <w:r>
        <w:rPr>
          <w:rtl w:val="true"/>
        </w:rPr>
        <w:t xml:space="preserve">مسألة </w:t>
      </w:r>
      <w:r>
        <w:rPr/>
        <w:t>10</w:t>
      </w:r>
      <w:r>
        <w:rPr>
          <w:rtl w:val="true"/>
        </w:rPr>
        <w:t xml:space="preserve">): </w:t>
      </w:r>
      <w:r>
        <w:rPr>
          <w:rtl w:val="true"/>
        </w:rPr>
        <w:t>یشترط فیما یرهن علیه أن یکون دیناً ثابتاً فی الذمّة</w:t>
      </w:r>
      <w:r>
        <w:rPr>
          <w:rtl w:val="true"/>
        </w:rPr>
        <w:t>]</w:t>
      </w:r>
      <w:bookmarkEnd w:id="49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فیما یرهن علیه أن یکون دیناً ثابتاً فی الذمّة لتحقّق موجبه من اقتراض أو إسلاف مال أو شراء أو استئجار عین بالذمّة و غیر ذلک حالّا کان الدین أو مؤجّلًا، فلا یصحّ الرهن علیٰ ما یقترض أو علیٰ ثمن ما یشتریه فیما بعد، فلو رهن شیئاً علیٰ ما یقترض ثمّ اقترض لم یصر بذلک رهناً، و لا علی الدیة قبل استقرارها بتحقّق الموت و إن علم أنّ الجنایة تؤدّی إلیه و لا علیٰ مال الجعالة قبل تمام العمل</w:t>
      </w:r>
      <w:r>
        <w:rPr>
          <w:rFonts w:eastAsia="IRNazanin" w:cs="IRNazanin"/>
          <w:color w:val="111111"/>
          <w:sz w:val="28"/>
          <w:szCs w:val="28"/>
          <w:rtl w:val="true"/>
          <w:lang w:bidi="fa-IR"/>
        </w:rPr>
        <w:t>.</w:t>
      </w:r>
    </w:p>
    <w:p>
      <w:pPr>
        <w:pStyle w:val="Heading3"/>
        <w:numPr>
          <w:ilvl w:val="2"/>
          <w:numId w:val="1"/>
        </w:numPr>
        <w:rPr/>
      </w:pPr>
      <w:bookmarkStart w:id="4980" w:name="__RefHeading___Toc2569498_3650668749"/>
      <w:bookmarkStart w:id="4981" w:name="_Toc2258"/>
      <w:bookmarkEnd w:id="4980"/>
      <w:r>
        <w:rPr>
          <w:rtl w:val="true"/>
        </w:rPr>
        <w:t>[ (</w:t>
      </w:r>
      <w:r>
        <w:rPr>
          <w:rtl w:val="true"/>
        </w:rPr>
        <w:t xml:space="preserve">مسألة </w:t>
      </w:r>
      <w:r>
        <w:rPr/>
        <w:t>11</w:t>
      </w:r>
      <w:r>
        <w:rPr>
          <w:rtl w:val="true"/>
        </w:rPr>
        <w:t xml:space="preserve">): </w:t>
      </w:r>
      <w:r>
        <w:rPr>
          <w:rtl w:val="true"/>
        </w:rPr>
        <w:t>کما یصحّ فی الإجارة أن یأخذ المؤجر الرهن علی الأُجرة التی فی ذمّة المستأجر</w:t>
      </w:r>
      <w:r>
        <w:rPr>
          <w:rtl w:val="true"/>
        </w:rPr>
        <w:t>]</w:t>
      </w:r>
      <w:bookmarkEnd w:id="49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یصحّ فی الإجارة أن یأخذ المؤجر الرهن علی الأُجرة التی فی ذمّة المستأجر، کذلک یصحّ أن یأخذ المستأجر الرهن علی العمل الثابت فی ذمّة المؤجر</w:t>
      </w:r>
      <w:r>
        <w:rPr>
          <w:rFonts w:eastAsia="IRNazanin" w:cs="IRNazanin"/>
          <w:color w:val="111111"/>
          <w:sz w:val="28"/>
          <w:szCs w:val="28"/>
          <w:rtl w:val="true"/>
          <w:lang w:bidi="fa-IR"/>
        </w:rPr>
        <w:t>.</w:t>
      </w:r>
    </w:p>
    <w:p>
      <w:pPr>
        <w:pStyle w:val="Heading3"/>
        <w:numPr>
          <w:ilvl w:val="2"/>
          <w:numId w:val="1"/>
        </w:numPr>
        <w:rPr/>
      </w:pPr>
      <w:bookmarkStart w:id="4982" w:name="__RefHeading___Toc2569500_3650668749"/>
      <w:bookmarkStart w:id="4983" w:name="_Toc2259"/>
      <w:bookmarkEnd w:id="4982"/>
      <w:r>
        <w:rPr>
          <w:rtl w:val="true"/>
        </w:rPr>
        <w:t>[ (</w:t>
      </w:r>
      <w:r>
        <w:rPr>
          <w:rtl w:val="true"/>
        </w:rPr>
        <w:t xml:space="preserve">مسألة </w:t>
      </w:r>
      <w:r>
        <w:rPr/>
        <w:t>12</w:t>
      </w:r>
      <w:r>
        <w:rPr>
          <w:rtl w:val="true"/>
        </w:rPr>
        <w:t xml:space="preserve">): </w:t>
      </w:r>
      <w:r>
        <w:rPr>
          <w:rtl w:val="true"/>
        </w:rPr>
        <w:t>الظاهر أنّه یصحّ الرهن علی الأعیان المضمونة</w:t>
      </w:r>
      <w:r>
        <w:rPr>
          <w:rtl w:val="true"/>
        </w:rPr>
        <w:t>]</w:t>
      </w:r>
      <w:bookmarkEnd w:id="4983"/>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یصحّ الرهن علی الأعیان المضمونة کالمغصوبة و العاریة المضمونة و المقبوض بالسوم و نحوها، و أمّا عهدة الثمن أو المبیع أو الأُجرة أو عوض</w:t>
      </w:r>
      <w:bookmarkStart w:id="4984" w:name="pg1809_19501"/>
    </w:p>
    <w:p>
      <w:pPr>
        <w:pStyle w:val="BookText"/>
        <w:rPr/>
      </w:pPr>
      <w:bookmarkEnd w:id="4984"/>
      <w:r>
        <w:rPr>
          <w:rFonts w:ascii="IRNazanin" w:hAnsi="IRNazanin" w:eastAsia="IRNazanin"/>
          <w:color w:val="111111"/>
          <w:sz w:val="28"/>
          <w:sz w:val="28"/>
          <w:szCs w:val="28"/>
          <w:rtl w:val="true"/>
          <w:lang w:bidi="fa-IR"/>
        </w:rPr>
        <w:t xml:space="preserve">الصلح و غیرها لو خرجت مستحقّة للغیر ففی صحّة الرهن علیها تأمّل </w:t>
      </w:r>
      <w:r>
        <w:rPr>
          <w:rStyle w:val="FootnoteAnchor"/>
          <w:rtl w:val="true"/>
        </w:rPr>
        <w:footnoteReference w:id="1378"/>
      </w:r>
      <w:r>
        <w:rPr>
          <w:rFonts w:ascii="IRNazanin" w:hAnsi="IRNazanin" w:eastAsia="IRNazanin"/>
          <w:color w:val="111111"/>
          <w:sz w:val="28"/>
          <w:sz w:val="28"/>
          <w:szCs w:val="28"/>
          <w:rtl w:val="true"/>
          <w:lang w:bidi="fa-IR"/>
        </w:rPr>
        <w:t>و إشکال</w:t>
      </w:r>
      <w:r>
        <w:rPr>
          <w:rFonts w:eastAsia="IRNazanin" w:cs="IRNazanin"/>
          <w:color w:val="111111"/>
          <w:sz w:val="28"/>
          <w:szCs w:val="28"/>
          <w:rtl w:val="true"/>
          <w:lang w:bidi="fa-IR"/>
        </w:rPr>
        <w:t>.</w:t>
      </w:r>
    </w:p>
    <w:p>
      <w:pPr>
        <w:pStyle w:val="Heading3"/>
        <w:numPr>
          <w:ilvl w:val="2"/>
          <w:numId w:val="1"/>
        </w:numPr>
        <w:rPr/>
      </w:pPr>
      <w:bookmarkStart w:id="4985" w:name="__RefHeading___Toc2569502_3650668749"/>
      <w:bookmarkStart w:id="4986" w:name="_Toc2260"/>
      <w:bookmarkEnd w:id="4985"/>
      <w:r>
        <w:rPr>
          <w:rtl w:val="true"/>
        </w:rPr>
        <w:t>[ (</w:t>
      </w:r>
      <w:r>
        <w:rPr>
          <w:rtl w:val="true"/>
        </w:rPr>
        <w:t xml:space="preserve">مسألة </w:t>
      </w:r>
      <w:r>
        <w:rPr/>
        <w:t>13</w:t>
      </w:r>
      <w:r>
        <w:rPr>
          <w:rtl w:val="true"/>
        </w:rPr>
        <w:t xml:space="preserve">): </w:t>
      </w:r>
      <w:r>
        <w:rPr>
          <w:rtl w:val="true"/>
        </w:rPr>
        <w:t>لو اشتریٰ شیئاً بثمن فی الذمّة جاز جعل المبیع رهناً علی الثمن</w:t>
      </w:r>
      <w:r>
        <w:rPr>
          <w:rtl w:val="true"/>
        </w:rPr>
        <w:t>]</w:t>
      </w:r>
      <w:bookmarkEnd w:id="49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شیئاً بثمن فی الذمّة جاز جعل المبیع رهناً علی الثمن</w:t>
      </w:r>
      <w:r>
        <w:rPr>
          <w:rFonts w:eastAsia="IRNazanin" w:cs="IRNazanin"/>
          <w:color w:val="111111"/>
          <w:sz w:val="28"/>
          <w:szCs w:val="28"/>
          <w:rtl w:val="true"/>
          <w:lang w:bidi="fa-IR"/>
        </w:rPr>
        <w:t>.</w:t>
      </w:r>
    </w:p>
    <w:p>
      <w:pPr>
        <w:pStyle w:val="Heading3"/>
        <w:numPr>
          <w:ilvl w:val="2"/>
          <w:numId w:val="1"/>
        </w:numPr>
        <w:rPr/>
      </w:pPr>
      <w:bookmarkStart w:id="4987" w:name="__RefHeading___Toc2569504_3650668749"/>
      <w:bookmarkStart w:id="4988" w:name="_Toc2261"/>
      <w:bookmarkEnd w:id="4987"/>
      <w:r>
        <w:rPr>
          <w:rtl w:val="true"/>
        </w:rPr>
        <w:t>[ (</w:t>
      </w:r>
      <w:r>
        <w:rPr>
          <w:rtl w:val="true"/>
        </w:rPr>
        <w:t xml:space="preserve">مسألة </w:t>
      </w:r>
      <w:r>
        <w:rPr/>
        <w:t>14</w:t>
      </w:r>
      <w:r>
        <w:rPr>
          <w:rtl w:val="true"/>
        </w:rPr>
        <w:t xml:space="preserve">): </w:t>
      </w:r>
      <w:r>
        <w:rPr>
          <w:rtl w:val="true"/>
        </w:rPr>
        <w:t>لو رهن علیٰ دینه رهناً ثمّ استدان مالًا آخر من المرتهن جاز جعل ذلک الرهن رهناً علی الثانی أیضاً</w:t>
      </w:r>
      <w:r>
        <w:rPr>
          <w:rtl w:val="true"/>
        </w:rPr>
        <w:t>]</w:t>
      </w:r>
      <w:bookmarkEnd w:id="49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رهن علیٰ دینه رهناً ثمّ استدان مالًا آخر من المرتهن جاز جعل ذلک الرهن رهناً علی الثانی أیضاً و کان رهناً علیهما معاً؛ سواء کان الثانی مساویاً للأوّل فی الجنس و القدر أو مخالفاً، و کذا له أن یجعله علیٰ دین ثالث و رابع إلیٰ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رهن شیئاً علیٰ دین جاز أن یرهن شیئاً آخر علیٰ ذلک الدین و کانا جمیعاً رهناً علیه</w:t>
      </w:r>
      <w:r>
        <w:rPr>
          <w:rFonts w:eastAsia="IRNazanin" w:cs="IRNazanin"/>
          <w:color w:val="111111"/>
          <w:sz w:val="28"/>
          <w:szCs w:val="28"/>
          <w:rtl w:val="true"/>
          <w:lang w:bidi="fa-IR"/>
        </w:rPr>
        <w:t>.</w:t>
      </w:r>
    </w:p>
    <w:p>
      <w:pPr>
        <w:pStyle w:val="Heading3"/>
        <w:numPr>
          <w:ilvl w:val="2"/>
          <w:numId w:val="1"/>
        </w:numPr>
        <w:rPr/>
      </w:pPr>
      <w:bookmarkStart w:id="4989" w:name="__RefHeading___Toc2569506_3650668749"/>
      <w:bookmarkStart w:id="4990" w:name="_Toc2262"/>
      <w:bookmarkEnd w:id="4989"/>
      <w:r>
        <w:rPr>
          <w:rtl w:val="true"/>
        </w:rPr>
        <w:t>[ (</w:t>
      </w:r>
      <w:r>
        <w:rPr>
          <w:rtl w:val="true"/>
        </w:rPr>
        <w:t xml:space="preserve">مسألة </w:t>
      </w:r>
      <w:r>
        <w:rPr/>
        <w:t>15</w:t>
      </w:r>
      <w:r>
        <w:rPr>
          <w:rtl w:val="true"/>
        </w:rPr>
        <w:t xml:space="preserve">): </w:t>
      </w:r>
      <w:r>
        <w:rPr>
          <w:rtl w:val="true"/>
        </w:rPr>
        <w:t>لو رهن شیئاً عند زید، ثمّ رهنه عند آخر أیضاً باتّفاق من المرتهنین، کان رهناً علی الحقّین</w:t>
      </w:r>
      <w:r>
        <w:rPr>
          <w:rtl w:val="true"/>
        </w:rPr>
        <w:t>]</w:t>
      </w:r>
      <w:bookmarkEnd w:id="49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رهن شیئاً عند زید، ثمّ رهنه عند آخر أیضاً باتّفاق من المرتهنین، کان رهناً علی الحقّین، إلّا إذا قصدا بذلک فسخ الرهن الأوّل و کونه رهناً علیٰ خصوص الدین الثانی</w:t>
      </w:r>
      <w:r>
        <w:rPr>
          <w:rFonts w:eastAsia="IRNazanin" w:cs="IRNazanin"/>
          <w:color w:val="111111"/>
          <w:sz w:val="28"/>
          <w:szCs w:val="28"/>
          <w:rtl w:val="true"/>
          <w:lang w:bidi="fa-IR"/>
        </w:rPr>
        <w:t>.</w:t>
      </w:r>
    </w:p>
    <w:p>
      <w:pPr>
        <w:pStyle w:val="Heading3"/>
        <w:numPr>
          <w:ilvl w:val="2"/>
          <w:numId w:val="1"/>
        </w:numPr>
        <w:rPr/>
      </w:pPr>
      <w:bookmarkStart w:id="4991" w:name="__RefHeading___Toc2569508_3650668749"/>
      <w:bookmarkStart w:id="4992" w:name="_Toc2263"/>
      <w:bookmarkEnd w:id="4991"/>
      <w:r>
        <w:rPr>
          <w:rtl w:val="true"/>
        </w:rPr>
        <w:t>[ (</w:t>
      </w:r>
      <w:r>
        <w:rPr>
          <w:rtl w:val="true"/>
        </w:rPr>
        <w:t xml:space="preserve">مسألة </w:t>
      </w:r>
      <w:r>
        <w:rPr/>
        <w:t>16</w:t>
      </w:r>
      <w:r>
        <w:rPr>
          <w:rtl w:val="true"/>
        </w:rPr>
        <w:t xml:space="preserve">): </w:t>
      </w:r>
      <w:r>
        <w:rPr>
          <w:rtl w:val="true"/>
        </w:rPr>
        <w:t>لو استدان اثنان من واحد کلّ منهما دیناً، ثمّ رهنا عنده مالًا مشترکاً بینهما و لو بعقد واحد</w:t>
      </w:r>
      <w:r>
        <w:rPr>
          <w:rtl w:val="true"/>
        </w:rPr>
        <w:t>]</w:t>
      </w:r>
      <w:bookmarkEnd w:id="49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استدان اثنان من واحد کلّ منهما دیناً، ثمّ رهنا عنده مالًا مشترکاً بینهما و لو بعقد واحد، ثمّ قضیٰ أحدهما دینه، انفکّت حصّته عن الرهانة و صارت 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الراهن واحداً و المرتهن متعدّداً؛ بأن کان علیه دین لاثنین فرهن شیئاً عندهما بعقد واحد، فکلّ منهما مرتهن للنصف مع تساوی الدین، و مع التفاوت فالظاهر التقسیط و التوزیع بنسبة حقّهما، فإن قضی دین أحدهما انفکّ عن الرهانة ما یقابل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التعدّد ابتداءً، و أمّا التعدّد الطارئ فالظاهر أنّه لا عبرة به، فلو مات الراهن عن ولدین لم ینفکّ نصیب أحدهما بأداء حصّته من الدین، کما أنّه لو مات المرتهن عن ولدین فأعطیٰ أحدهما نصیبه من الدین لم ینفکّ بمقداره من الرهن</w:t>
      </w:r>
      <w:r>
        <w:rPr>
          <w:rFonts w:eastAsia="IRNazanin" w:cs="IRNazanin"/>
          <w:color w:val="111111"/>
          <w:sz w:val="28"/>
          <w:szCs w:val="28"/>
          <w:rtl w:val="true"/>
          <w:lang w:bidi="fa-IR"/>
        </w:rPr>
        <w:t>.</w:t>
      </w:r>
    </w:p>
    <w:p>
      <w:pPr>
        <w:pStyle w:val="Heading3"/>
        <w:numPr>
          <w:ilvl w:val="2"/>
          <w:numId w:val="1"/>
        </w:numPr>
        <w:rPr/>
      </w:pPr>
      <w:bookmarkStart w:id="4993" w:name="__RefHeading___Toc2569510_3650668749"/>
      <w:bookmarkStart w:id="4994" w:name="_Toc2264"/>
      <w:bookmarkEnd w:id="4993"/>
      <w:r>
        <w:rPr>
          <w:rtl w:val="true"/>
        </w:rPr>
        <w:t>[ (</w:t>
      </w:r>
      <w:r>
        <w:rPr>
          <w:rtl w:val="true"/>
        </w:rPr>
        <w:t xml:space="preserve">مسألة </w:t>
      </w:r>
      <w:r>
        <w:rPr/>
        <w:t>17</w:t>
      </w:r>
      <w:r>
        <w:rPr>
          <w:rtl w:val="true"/>
        </w:rPr>
        <w:t xml:space="preserve">): </w:t>
      </w:r>
      <w:r>
        <w:rPr>
          <w:rtl w:val="true"/>
        </w:rPr>
        <w:t>لا یدخل الحمل الموجود فی رهن الحامل</w:t>
      </w:r>
      <w:r>
        <w:rPr>
          <w:rtl w:val="true"/>
        </w:rPr>
        <w:t>]</w:t>
      </w:r>
      <w:bookmarkEnd w:id="4994"/>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الحمل </w:t>
      </w:r>
      <w:r>
        <w:rPr>
          <w:rStyle w:val="FootnoteAnchor"/>
          <w:rtl w:val="true"/>
        </w:rPr>
        <w:footnoteReference w:id="1379"/>
      </w:r>
      <w:r>
        <w:rPr>
          <w:rFonts w:ascii="IRNazanin" w:hAnsi="IRNazanin" w:eastAsia="IRNazanin"/>
          <w:color w:val="111111"/>
          <w:sz w:val="28"/>
          <w:sz w:val="28"/>
          <w:szCs w:val="28"/>
          <w:rtl w:val="true"/>
          <w:lang w:bidi="fa-IR"/>
        </w:rPr>
        <w:t>الموجود فی رهن الحامل، و لا الثمر فی رهن النخل و الشجر، و کذا ما یتجدّد إلّا إذا اشترط دخولها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دخول الصوف و الشعر و الوبر فی رهن الحیوان، و کذا الأوراق و الأغصان حتّی الیابسة فی رهن الشجر، و أمّا اللبن فی الضرع و مغرس الشجر و أُسّ الجدار أعنی موضع الأساس من الأرض ففی دخولها تأمّل و إشکال، لا یبعد عدم الدخول و إن کان الأحوط التصالح و التراضی</w:t>
      </w:r>
      <w:r>
        <w:rPr>
          <w:rFonts w:eastAsia="IRNazanin" w:cs="IRNazanin"/>
          <w:color w:val="111111"/>
          <w:sz w:val="28"/>
          <w:szCs w:val="28"/>
          <w:rtl w:val="true"/>
          <w:lang w:bidi="fa-IR"/>
        </w:rPr>
        <w:t>.</w:t>
      </w:r>
      <w:bookmarkStart w:id="4995" w:name="pg1809_19502"/>
    </w:p>
    <w:p>
      <w:pPr>
        <w:pStyle w:val="Heading3"/>
        <w:numPr>
          <w:ilvl w:val="2"/>
          <w:numId w:val="1"/>
        </w:numPr>
        <w:rPr/>
      </w:pPr>
      <w:bookmarkStart w:id="4996" w:name="__RefHeading___Toc2569512_3650668749"/>
      <w:bookmarkStart w:id="4997" w:name="_Toc2265"/>
      <w:bookmarkEnd w:id="4995"/>
      <w:bookmarkEnd w:id="4996"/>
      <w:r>
        <w:rPr>
          <w:rtl w:val="true"/>
        </w:rPr>
        <w:t>[ (</w:t>
      </w:r>
      <w:r>
        <w:rPr>
          <w:rtl w:val="true"/>
        </w:rPr>
        <w:t xml:space="preserve">مسألة </w:t>
      </w:r>
      <w:r>
        <w:rPr/>
        <w:t>18</w:t>
      </w:r>
      <w:r>
        <w:rPr>
          <w:rtl w:val="true"/>
        </w:rPr>
        <w:t xml:space="preserve">): </w:t>
      </w:r>
      <w:r>
        <w:rPr>
          <w:rtl w:val="true"/>
        </w:rPr>
        <w:t>الرهن لازم من جهة الراهن، جائز من طرف المرتهن</w:t>
      </w:r>
      <w:r>
        <w:rPr>
          <w:rtl w:val="true"/>
        </w:rPr>
        <w:t>]</w:t>
      </w:r>
      <w:bookmarkEnd w:id="49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لازم من جهة الراهن، جائز من طرف المرتهن، فلیس للراهن انتزاعه منه بدون رضاه إلّا أن یسقط حقّه من الارتهان أو ینفکّ الرهن بفراغ ذمّة الراهن من الدین بالأداء أو الإبراء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برئت ذمّته من بعض الدین فالظاهر بقاء الجمیع رهناً علیٰ ما بقی إلّا إذا اشترطا التوزیع، فینفکّ منه علیٰ مقدار ما برئ منه و یبقی رهناً علیٰ مقدار ما بقی، أو شرطا کونه رهناً علی المجموع من حیث المجموع فینفکّ الجمیع بالبراءة عن بعض الدین</w:t>
      </w:r>
      <w:r>
        <w:rPr>
          <w:rFonts w:eastAsia="IRNazanin" w:cs="IRNazanin"/>
          <w:color w:val="111111"/>
          <w:sz w:val="28"/>
          <w:szCs w:val="28"/>
          <w:rtl w:val="true"/>
          <w:lang w:bidi="fa-IR"/>
        </w:rPr>
        <w:t>.</w:t>
      </w:r>
    </w:p>
    <w:p>
      <w:pPr>
        <w:pStyle w:val="Heading3"/>
        <w:numPr>
          <w:ilvl w:val="2"/>
          <w:numId w:val="1"/>
        </w:numPr>
        <w:rPr/>
      </w:pPr>
      <w:bookmarkStart w:id="4998" w:name="__RefHeading___Toc2569514_3650668749"/>
      <w:bookmarkStart w:id="4999" w:name="_Toc2266"/>
      <w:bookmarkEnd w:id="4998"/>
      <w:r>
        <w:rPr>
          <w:rtl w:val="true"/>
        </w:rPr>
        <w:t>[ (</w:t>
      </w:r>
      <w:r>
        <w:rPr>
          <w:rtl w:val="true"/>
        </w:rPr>
        <w:t xml:space="preserve">مسألة </w:t>
      </w:r>
      <w:r>
        <w:rPr/>
        <w:t>19</w:t>
      </w:r>
      <w:r>
        <w:rPr>
          <w:rtl w:val="true"/>
        </w:rPr>
        <w:t xml:space="preserve">): </w:t>
      </w:r>
      <w:r>
        <w:rPr>
          <w:rtl w:val="true"/>
        </w:rPr>
        <w:t>لا یجوز للراهن التصرّف فی الرهن إلّا بإذن المرتهن</w:t>
      </w:r>
      <w:r>
        <w:rPr>
          <w:rtl w:val="true"/>
        </w:rPr>
        <w:t>]</w:t>
      </w:r>
      <w:bookmarkEnd w:id="49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للراهن التصرّف </w:t>
      </w:r>
      <w:r>
        <w:rPr>
          <w:rStyle w:val="FootnoteAnchor"/>
          <w:rtl w:val="true"/>
        </w:rPr>
        <w:footnoteReference w:id="1380"/>
      </w:r>
      <w:r>
        <w:rPr>
          <w:rFonts w:ascii="IRNazanin" w:hAnsi="IRNazanin" w:eastAsia="IRNazanin"/>
          <w:color w:val="111111"/>
          <w:sz w:val="28"/>
          <w:sz w:val="28"/>
          <w:szCs w:val="28"/>
          <w:rtl w:val="true"/>
          <w:lang w:bidi="fa-IR"/>
        </w:rPr>
        <w:t>فی الرهن إلّا بإذن المرتهن؛ سواء کان ناقلًا للعین کالبیع أو المنفعة کالإجارة أو مجرّد انتفاع به و إن لم یضرّ به کالاستخدام و الرکوب و السکنیٰ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تصرّف بغیر الناقل أثم و لم یترتّب علیه شی‌ء، إلّا إذا کان بالإتلاف فیلزم قیمته و تکون رهناً، و إن کان بالبیع أو الإجارة و غیرهما من النواقل وقف علیٰ إجازة المرتهن، ففی مثل الإجارة تصحّ بالإجازة و بقیت الرهانة علیٰ حالها، بخلافها فی البیع فإنّه یصحّ بها و تبطل الرهانة، کما أنّها تبطل بالبیع إذا کان عن إذن سابق من المرتهن</w:t>
      </w:r>
      <w:r>
        <w:rPr>
          <w:rFonts w:eastAsia="IRNazanin" w:cs="IRNazanin"/>
          <w:color w:val="111111"/>
          <w:sz w:val="28"/>
          <w:szCs w:val="28"/>
          <w:rtl w:val="true"/>
          <w:lang w:bidi="fa-IR"/>
        </w:rPr>
        <w:t>.</w:t>
      </w:r>
    </w:p>
    <w:p>
      <w:pPr>
        <w:pStyle w:val="Heading3"/>
        <w:numPr>
          <w:ilvl w:val="2"/>
          <w:numId w:val="1"/>
        </w:numPr>
        <w:rPr/>
      </w:pPr>
      <w:bookmarkStart w:id="5000" w:name="__RefHeading___Toc2569516_3650668749"/>
      <w:bookmarkStart w:id="5001" w:name="_Toc2267"/>
      <w:bookmarkEnd w:id="5000"/>
      <w:r>
        <w:rPr>
          <w:rtl w:val="true"/>
        </w:rPr>
        <w:t>[ (</w:t>
      </w:r>
      <w:r>
        <w:rPr>
          <w:rtl w:val="true"/>
        </w:rPr>
        <w:t xml:space="preserve">مسألة </w:t>
      </w:r>
      <w:r>
        <w:rPr/>
        <w:t>20</w:t>
      </w:r>
      <w:r>
        <w:rPr>
          <w:rtl w:val="true"/>
        </w:rPr>
        <w:t xml:space="preserve">): </w:t>
      </w:r>
      <w:r>
        <w:rPr>
          <w:rtl w:val="true"/>
        </w:rPr>
        <w:t>لا یجوز للمرتهن التصرّف فی الرهن بدون إذن الراهن</w:t>
      </w:r>
      <w:r>
        <w:rPr>
          <w:rtl w:val="true"/>
        </w:rPr>
        <w:t>]</w:t>
      </w:r>
      <w:bookmarkEnd w:id="50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للمرتهن التصرّف فی الرهن بدون إذن الراهن، فلو تصرّف فیه برکوب أو سکنیٰ و نحوهما ضمن العین لو تلفت تحت یده للتعدّی، و لزمه اجرة المثل لما استوفاه من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ببیع و نحوه أو بإجارة و نحوها وقع فضولیّاً، فإن أجازه الراهن صحّ و کان الثمن و الأُجرة المسمّاة له، و کان الثمن رهناً فی البیع لم یجز لکلّ منهما التصرّف فیه إلّا بإذن الآخر و بقی العین رهناً فی الإجارة، و إن لم یجز کان فاسداً</w:t>
      </w:r>
      <w:r>
        <w:rPr>
          <w:rFonts w:eastAsia="IRNazanin" w:cs="IRNazanin"/>
          <w:color w:val="111111"/>
          <w:sz w:val="28"/>
          <w:szCs w:val="28"/>
          <w:rtl w:val="true"/>
          <w:lang w:bidi="fa-IR"/>
        </w:rPr>
        <w:t>.</w:t>
      </w:r>
    </w:p>
    <w:p>
      <w:pPr>
        <w:pStyle w:val="Heading3"/>
        <w:numPr>
          <w:ilvl w:val="2"/>
          <w:numId w:val="1"/>
        </w:numPr>
        <w:rPr/>
      </w:pPr>
      <w:bookmarkStart w:id="5002" w:name="__RefHeading___Toc2569518_3650668749"/>
      <w:bookmarkStart w:id="5003" w:name="_Toc2268"/>
      <w:bookmarkEnd w:id="5002"/>
      <w:r>
        <w:rPr>
          <w:rtl w:val="true"/>
        </w:rPr>
        <w:t>[ (</w:t>
      </w:r>
      <w:r>
        <w:rPr>
          <w:rtl w:val="true"/>
        </w:rPr>
        <w:t xml:space="preserve">مسألة </w:t>
      </w:r>
      <w:r>
        <w:rPr/>
        <w:t>21</w:t>
      </w:r>
      <w:r>
        <w:rPr>
          <w:rtl w:val="true"/>
        </w:rPr>
        <w:t xml:space="preserve">): </w:t>
      </w:r>
      <w:r>
        <w:rPr>
          <w:rtl w:val="true"/>
        </w:rPr>
        <w:t>منافع الرهن کالسکنیٰ و الخدمة و کذا نماءاته المنفصلة</w:t>
      </w:r>
      <w:r>
        <w:rPr>
          <w:rtl w:val="true"/>
        </w:rPr>
        <w:t>]</w:t>
      </w:r>
      <w:bookmarkEnd w:id="50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الرهن کالسکنیٰ و الخدمة و کذا نماءاته المنفصلة کالنتاج و الثمر و الصوف و الشعر و الوبر و المتّصلة کالسمن و الزیادة فی الطول و العرض کلّها للراهن؛ سواء کانت موجودة حال الارتهان أو وجدت بعده، و لا یتبعه </w:t>
      </w:r>
      <w:r>
        <w:rPr>
          <w:rStyle w:val="FootnoteAnchor"/>
          <w:rtl w:val="true"/>
        </w:rPr>
        <w:footnoteReference w:id="1381"/>
      </w:r>
      <w:r>
        <w:rPr>
          <w:rFonts w:ascii="IRNazanin" w:hAnsi="IRNazanin" w:eastAsia="IRNazanin"/>
          <w:color w:val="111111"/>
          <w:sz w:val="28"/>
          <w:sz w:val="28"/>
          <w:szCs w:val="28"/>
          <w:rtl w:val="true"/>
          <w:lang w:bidi="fa-IR"/>
        </w:rPr>
        <w:t>فی الرهانة إلّا نماءاته المتّصلة</w:t>
      </w:r>
      <w:r>
        <w:rPr>
          <w:rFonts w:eastAsia="IRNazanin" w:cs="IRNazanin"/>
          <w:color w:val="111111"/>
          <w:sz w:val="28"/>
          <w:szCs w:val="28"/>
          <w:rtl w:val="true"/>
          <w:lang w:bidi="fa-IR"/>
        </w:rPr>
        <w:t>.</w:t>
      </w:r>
    </w:p>
    <w:p>
      <w:pPr>
        <w:pStyle w:val="Heading3"/>
        <w:numPr>
          <w:ilvl w:val="2"/>
          <w:numId w:val="1"/>
        </w:numPr>
        <w:rPr/>
      </w:pPr>
      <w:bookmarkStart w:id="5004" w:name="__RefHeading___Toc2569520_3650668749"/>
      <w:bookmarkStart w:id="5005" w:name="_Toc2269"/>
      <w:bookmarkEnd w:id="5004"/>
      <w:r>
        <w:rPr>
          <w:rtl w:val="true"/>
        </w:rPr>
        <w:t>[ (</w:t>
      </w:r>
      <w:r>
        <w:rPr>
          <w:rtl w:val="true"/>
        </w:rPr>
        <w:t xml:space="preserve">مسألة </w:t>
      </w:r>
      <w:r>
        <w:rPr/>
        <w:t>22</w:t>
      </w:r>
      <w:r>
        <w:rPr>
          <w:rtl w:val="true"/>
        </w:rPr>
        <w:t xml:space="preserve">): </w:t>
      </w:r>
      <w:r>
        <w:rPr>
          <w:rtl w:val="true"/>
        </w:rPr>
        <w:t>لو رهن الأصل و الثمرة، أو الثمرة منفردة صحّ</w:t>
      </w:r>
      <w:r>
        <w:rPr>
          <w:rtl w:val="true"/>
        </w:rPr>
        <w:t>]</w:t>
      </w:r>
      <w:bookmarkEnd w:id="500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رهن الأصل و الثمرة، أو الثمرة منفردة صحّ، فلو کان الدین مؤجّلًا</w:t>
      </w:r>
      <w:bookmarkStart w:id="5006" w:name="pg1809_19503"/>
    </w:p>
    <w:p>
      <w:pPr>
        <w:pStyle w:val="BookText"/>
        <w:rPr/>
      </w:pPr>
      <w:bookmarkEnd w:id="5006"/>
      <w:r>
        <w:rPr>
          <w:rFonts w:ascii="IRNazanin" w:hAnsi="IRNazanin" w:eastAsia="IRNazanin"/>
          <w:color w:val="111111"/>
          <w:sz w:val="28"/>
          <w:sz w:val="28"/>
          <w:szCs w:val="28"/>
          <w:rtl w:val="true"/>
          <w:lang w:bidi="fa-IR"/>
        </w:rPr>
        <w:t xml:space="preserve">و أدرکت الثمرة قبل حلول الأجل، فإن کانت تجفّف و یمکن إبقاؤها بالتجفیف جفّفت و إلّا بیعت و کان الثمن رهناً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7" w:name="__RefHeading___Toc2569522_3650668749"/>
      <w:bookmarkStart w:id="5008" w:name="_Toc2270"/>
      <w:bookmarkEnd w:id="5007"/>
      <w:r>
        <w:rPr>
          <w:rtl w:val="true"/>
        </w:rPr>
        <w:t>[ (</w:t>
      </w:r>
      <w:r>
        <w:rPr>
          <w:rtl w:val="true"/>
        </w:rPr>
        <w:t xml:space="preserve">مسألة </w:t>
      </w:r>
      <w:r>
        <w:rPr/>
        <w:t>23</w:t>
      </w:r>
      <w:r>
        <w:rPr>
          <w:rtl w:val="true"/>
        </w:rPr>
        <w:t xml:space="preserve">): </w:t>
      </w:r>
      <w:r>
        <w:rPr>
          <w:rtl w:val="true"/>
        </w:rPr>
        <w:t>إذا کان الدین حالّا أو حلّ و أراد المرتهن استیفاء حقّه</w:t>
      </w:r>
      <w:r>
        <w:rPr>
          <w:rtl w:val="true"/>
        </w:rPr>
        <w:t>]</w:t>
      </w:r>
      <w:bookmarkEnd w:id="50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الدین حالّا أو حلّ و أراد المرتهن استیفاء حقّه، فإن کان وکیلًا عن الراهن فی بیع الرهن و استیفاء دینه منه له ذلک من دون مراجعة إلیه، و إن لم یکن وکیلًا عنه فی ذلک لیس له أن یبیعه، بل یراجع الراهن و یطالبه بالوفاء و لو ببیع الرهن أو توکیله فی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امتنع من ذلک رفع أمره إلی الحاکم لیلزمه بالوفاء أو البیع، فإن امتنع علی الحاکم إلزامه، باعه علیه بنفسه أو بتوکیل الغیر و لو کان هو المرتهن نفسه، و مع فقد الحاکم أو عدم اقتداره علی الإلزام بالبیع و علی البیع علیه لعدم بسط الید باعه المرتهن </w:t>
      </w:r>
      <w:r>
        <w:rPr>
          <w:rStyle w:val="FootnoteAnchor"/>
          <w:rtl w:val="true"/>
        </w:rPr>
        <w:footnoteReference w:id="1383"/>
      </w:r>
      <w:r>
        <w:rPr>
          <w:rFonts w:ascii="IRNazanin" w:hAnsi="IRNazanin" w:eastAsia="IRNazanin"/>
          <w:color w:val="111111"/>
          <w:sz w:val="28"/>
          <w:sz w:val="28"/>
          <w:szCs w:val="28"/>
          <w:rtl w:val="true"/>
          <w:lang w:bidi="fa-IR"/>
        </w:rPr>
        <w:t>بنفسه و استوفی حقّه أو بعضه من ثمنه إذا ساواه أو کان أقلّ، و إن کان أزید کان الزائد عنده أمانة شرعیّة یوصله إلیٰ صاحبه</w:t>
      </w:r>
      <w:r>
        <w:rPr>
          <w:rFonts w:eastAsia="IRNazanin" w:cs="IRNazanin"/>
          <w:color w:val="111111"/>
          <w:sz w:val="28"/>
          <w:szCs w:val="28"/>
          <w:rtl w:val="true"/>
          <w:lang w:bidi="fa-IR"/>
        </w:rPr>
        <w:t>.</w:t>
      </w:r>
    </w:p>
    <w:p>
      <w:pPr>
        <w:pStyle w:val="Heading3"/>
        <w:numPr>
          <w:ilvl w:val="2"/>
          <w:numId w:val="1"/>
        </w:numPr>
        <w:rPr/>
      </w:pPr>
      <w:bookmarkStart w:id="5009" w:name="__RefHeading___Toc2569524_3650668749"/>
      <w:bookmarkStart w:id="5010" w:name="_Toc2271"/>
      <w:bookmarkEnd w:id="5009"/>
      <w:r>
        <w:rPr>
          <w:rtl w:val="true"/>
        </w:rPr>
        <w:t>[ (</w:t>
      </w:r>
      <w:r>
        <w:rPr>
          <w:rtl w:val="true"/>
        </w:rPr>
        <w:t xml:space="preserve">مسألة </w:t>
      </w:r>
      <w:r>
        <w:rPr/>
        <w:t>24</w:t>
      </w:r>
      <w:r>
        <w:rPr>
          <w:rtl w:val="true"/>
        </w:rPr>
        <w:t xml:space="preserve">): </w:t>
      </w:r>
      <w:r>
        <w:rPr>
          <w:rtl w:val="true"/>
        </w:rPr>
        <w:t>إذا لم یکن عند المرتهن بیّنة مقبولة لإثبات دینه</w:t>
      </w:r>
      <w:r>
        <w:rPr>
          <w:rtl w:val="true"/>
        </w:rPr>
        <w:t>]</w:t>
      </w:r>
      <w:bookmarkEnd w:id="50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عند المرتهن بیّنة مقبولة لإثبات دینه و خاف من أنّه لو اعترف عند الحاکم بالرهن جحد الراهن الدین فأخذ منه الرهن بموجب اعترافه و طولب بالبیّنة علیٰ حقّه، جاز له بیع الرهن من دون مراجعة إلی الحاکم، و کذا لو مات المرتهن و خاف الراهن جحود الوارث</w:t>
      </w:r>
      <w:r>
        <w:rPr>
          <w:rFonts w:eastAsia="IRNazanin" w:cs="IRNazanin"/>
          <w:color w:val="111111"/>
          <w:sz w:val="28"/>
          <w:szCs w:val="28"/>
          <w:rtl w:val="true"/>
          <w:lang w:bidi="fa-IR"/>
        </w:rPr>
        <w:t>.</w:t>
      </w:r>
    </w:p>
    <w:p>
      <w:pPr>
        <w:pStyle w:val="Heading3"/>
        <w:numPr>
          <w:ilvl w:val="2"/>
          <w:numId w:val="1"/>
        </w:numPr>
        <w:rPr/>
      </w:pPr>
      <w:bookmarkStart w:id="5011" w:name="__RefHeading___Toc2569526_3650668749"/>
      <w:bookmarkStart w:id="5012" w:name="_Toc2272"/>
      <w:bookmarkEnd w:id="5011"/>
      <w:r>
        <w:rPr>
          <w:rtl w:val="true"/>
        </w:rPr>
        <w:t>[ (</w:t>
      </w:r>
      <w:r>
        <w:rPr>
          <w:rtl w:val="true"/>
        </w:rPr>
        <w:t xml:space="preserve">مسألة </w:t>
      </w:r>
      <w:r>
        <w:rPr/>
        <w:t>25</w:t>
      </w:r>
      <w:r>
        <w:rPr>
          <w:rtl w:val="true"/>
        </w:rPr>
        <w:t xml:space="preserve">): </w:t>
      </w:r>
      <w:r>
        <w:rPr>
          <w:rtl w:val="true"/>
        </w:rPr>
        <w:t>لو وفیٰ بیع بعض الرهن بالدین، اقتصر علیه علی الأحوط</w:t>
      </w:r>
      <w:r>
        <w:rPr>
          <w:rtl w:val="true"/>
        </w:rPr>
        <w:t>]</w:t>
      </w:r>
      <w:bookmarkEnd w:id="50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وفیٰ بیع بعض الرهن بالدین، اقتصر علیه علی الأحوط لو لم یکن أقوی و بقی الباقی أمانة عنده، إلّا إذا لم یمکن التبعیض و لو من جهة عدم الراغب، أو کان فیه ضرر علی المالک فیباع الکلّ</w:t>
      </w:r>
      <w:r>
        <w:rPr>
          <w:rFonts w:eastAsia="IRNazanin" w:cs="IRNazanin"/>
          <w:color w:val="111111"/>
          <w:sz w:val="28"/>
          <w:szCs w:val="28"/>
          <w:rtl w:val="true"/>
          <w:lang w:bidi="fa-IR"/>
        </w:rPr>
        <w:t>.</w:t>
      </w:r>
    </w:p>
    <w:p>
      <w:pPr>
        <w:pStyle w:val="Heading3"/>
        <w:numPr>
          <w:ilvl w:val="2"/>
          <w:numId w:val="1"/>
        </w:numPr>
        <w:rPr/>
      </w:pPr>
      <w:bookmarkStart w:id="5013" w:name="__RefHeading___Toc2569528_3650668749"/>
      <w:bookmarkStart w:id="5014" w:name="_Toc2273"/>
      <w:bookmarkEnd w:id="5013"/>
      <w:r>
        <w:rPr>
          <w:rtl w:val="true"/>
        </w:rPr>
        <w:t>[ (</w:t>
      </w:r>
      <w:r>
        <w:rPr>
          <w:rtl w:val="true"/>
        </w:rPr>
        <w:t xml:space="preserve">مسألة </w:t>
      </w:r>
      <w:r>
        <w:rPr/>
        <w:t>26</w:t>
      </w:r>
      <w:r>
        <w:rPr>
          <w:rtl w:val="true"/>
        </w:rPr>
        <w:t xml:space="preserve">): </w:t>
      </w:r>
      <w:r>
        <w:rPr>
          <w:rtl w:val="true"/>
        </w:rPr>
        <w:t>إذا کان الرهن من مستثنیات الدین کدار سکناه و دابّة رکوبه جاز</w:t>
      </w:r>
      <w:r>
        <w:rPr>
          <w:rtl w:val="true"/>
        </w:rPr>
        <w:t>]</w:t>
      </w:r>
      <w:bookmarkEnd w:id="50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الرهن من مستثنیات الدین کدار سکناه و دابّة رکوبه جاز </w:t>
      </w:r>
      <w:r>
        <w:rPr>
          <w:rStyle w:val="FootnoteAnchor"/>
          <w:rtl w:val="true"/>
        </w:rPr>
        <w:footnoteReference w:id="1384"/>
      </w:r>
      <w:r>
        <w:rPr>
          <w:rFonts w:ascii="IRNazanin" w:hAnsi="IRNazanin" w:eastAsia="IRNazanin"/>
          <w:color w:val="111111"/>
          <w:sz w:val="28"/>
          <w:sz w:val="28"/>
          <w:szCs w:val="28"/>
          <w:rtl w:val="true"/>
          <w:lang w:bidi="fa-IR"/>
        </w:rPr>
        <w:t>للمرتهن بیعه و استیفاء طلبه منه کسائر الرهون</w:t>
      </w:r>
      <w:r>
        <w:rPr>
          <w:rFonts w:eastAsia="IRNazanin" w:cs="IRNazanin"/>
          <w:color w:val="111111"/>
          <w:sz w:val="28"/>
          <w:szCs w:val="28"/>
          <w:rtl w:val="true"/>
          <w:lang w:bidi="fa-IR"/>
        </w:rPr>
        <w:t>.</w:t>
      </w:r>
    </w:p>
    <w:p>
      <w:pPr>
        <w:pStyle w:val="Heading3"/>
        <w:numPr>
          <w:ilvl w:val="2"/>
          <w:numId w:val="1"/>
        </w:numPr>
        <w:rPr/>
      </w:pPr>
      <w:bookmarkStart w:id="5015" w:name="__RefHeading___Toc2569530_3650668749"/>
      <w:bookmarkStart w:id="5016" w:name="_Toc2274"/>
      <w:bookmarkEnd w:id="5015"/>
      <w:r>
        <w:rPr>
          <w:rtl w:val="true"/>
        </w:rPr>
        <w:t>[ (</w:t>
      </w:r>
      <w:r>
        <w:rPr>
          <w:rtl w:val="true"/>
        </w:rPr>
        <w:t xml:space="preserve">مسألة </w:t>
      </w:r>
      <w:r>
        <w:rPr/>
        <w:t>27</w:t>
      </w:r>
      <w:r>
        <w:rPr>
          <w:rtl w:val="true"/>
        </w:rPr>
        <w:t xml:space="preserve">): </w:t>
      </w:r>
      <w:r>
        <w:rPr>
          <w:rtl w:val="true"/>
        </w:rPr>
        <w:t>إذا کان الراهن مفلّساً أو مات و علیه دیون للناس</w:t>
      </w:r>
      <w:r>
        <w:rPr>
          <w:rtl w:val="true"/>
        </w:rPr>
        <w:t>]</w:t>
      </w:r>
      <w:bookmarkEnd w:id="5016"/>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الراهن مفلّساً أو مات و علیه دیون للناس کان المرتهن أحقّ من</w:t>
      </w:r>
      <w:bookmarkStart w:id="5017" w:name="pg1809_19504"/>
    </w:p>
    <w:p>
      <w:pPr>
        <w:pStyle w:val="BookText"/>
        <w:rPr/>
      </w:pPr>
      <w:bookmarkEnd w:id="5017"/>
      <w:r>
        <w:rPr>
          <w:rFonts w:ascii="IRNazanin" w:hAnsi="IRNazanin" w:eastAsia="IRNazanin"/>
          <w:color w:val="111111"/>
          <w:sz w:val="28"/>
          <w:sz w:val="28"/>
          <w:szCs w:val="28"/>
          <w:rtl w:val="true"/>
          <w:lang w:bidi="fa-IR"/>
        </w:rPr>
        <w:t>باقی الغرماء باستیفاء حقّه من الرهن، فإن فضل شی‌ء یوزّع علی الباقین بالحصص، و إن نقص عن حقّه استوفیٰ بعض حقّه من الرهن و یضرب بما بقی مع الغرماء فی سائر أموال الراهن لو کان</w:t>
      </w:r>
      <w:r>
        <w:rPr>
          <w:rFonts w:eastAsia="IRNazanin" w:cs="IRNazanin"/>
          <w:color w:val="111111"/>
          <w:sz w:val="28"/>
          <w:szCs w:val="28"/>
          <w:rtl w:val="true"/>
          <w:lang w:bidi="fa-IR"/>
        </w:rPr>
        <w:t>.</w:t>
      </w:r>
    </w:p>
    <w:p>
      <w:pPr>
        <w:pStyle w:val="Heading3"/>
        <w:numPr>
          <w:ilvl w:val="2"/>
          <w:numId w:val="1"/>
        </w:numPr>
        <w:rPr/>
      </w:pPr>
      <w:bookmarkStart w:id="5018" w:name="__RefHeading___Toc2569532_3650668749"/>
      <w:bookmarkStart w:id="5019" w:name="_Toc2275"/>
      <w:bookmarkEnd w:id="5018"/>
      <w:r>
        <w:rPr>
          <w:rtl w:val="true"/>
        </w:rPr>
        <w:t>[ (</w:t>
      </w:r>
      <w:r>
        <w:rPr>
          <w:rtl w:val="true"/>
        </w:rPr>
        <w:t xml:space="preserve">مسألة </w:t>
      </w:r>
      <w:r>
        <w:rPr/>
        <w:t>28</w:t>
      </w:r>
      <w:r>
        <w:rPr>
          <w:rtl w:val="true"/>
        </w:rPr>
        <w:t xml:space="preserve">): </w:t>
      </w:r>
      <w:r>
        <w:rPr>
          <w:rtl w:val="true"/>
        </w:rPr>
        <w:t>الرهن أمانة فی ید المرتهن، لا یضمنه لو تلف أو تعیّب من دون تعدّ أو تفریط</w:t>
      </w:r>
      <w:r>
        <w:rPr>
          <w:rtl w:val="true"/>
        </w:rPr>
        <w:t>]</w:t>
      </w:r>
      <w:bookmarkEnd w:id="50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أمانة فی ید المرتهن، لا یضمنه لو تلف أو تعیّب من دون تعدّ أو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فی یده مضموناً لکونه مغصوباً أو عاریة مضمونة مثلًا ثمّ ارتهن عنده لم یزل </w:t>
      </w:r>
      <w:r>
        <w:rPr>
          <w:rStyle w:val="FootnoteAnchor"/>
          <w:rtl w:val="true"/>
        </w:rPr>
        <w:footnoteReference w:id="1385"/>
      </w:r>
      <w:r>
        <w:rPr>
          <w:rFonts w:ascii="IRNazanin" w:hAnsi="IRNazanin" w:eastAsia="IRNazanin"/>
          <w:color w:val="111111"/>
          <w:sz w:val="28"/>
          <w:sz w:val="28"/>
          <w:szCs w:val="28"/>
          <w:rtl w:val="true"/>
          <w:lang w:bidi="fa-IR"/>
        </w:rPr>
        <w:t>الضمان، إلّا إذا أذن له المالک فی بقائه تحت یده، فیرتفع الضمان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انفکّ الدین بسبب الأداء أو الإبراء أو غیر ذلک یبقیٰ أمانة مالکیّة فی یده لا یجب تسلیمه إلی المالک إلّا مع المطالبة کسائر الأمانات</w:t>
      </w:r>
      <w:r>
        <w:rPr>
          <w:rFonts w:eastAsia="IRNazanin" w:cs="IRNazanin"/>
          <w:color w:val="111111"/>
          <w:sz w:val="28"/>
          <w:szCs w:val="28"/>
          <w:rtl w:val="true"/>
          <w:lang w:bidi="fa-IR"/>
        </w:rPr>
        <w:t>.</w:t>
      </w:r>
    </w:p>
    <w:p>
      <w:pPr>
        <w:pStyle w:val="Heading3"/>
        <w:numPr>
          <w:ilvl w:val="2"/>
          <w:numId w:val="1"/>
        </w:numPr>
        <w:rPr/>
      </w:pPr>
      <w:bookmarkStart w:id="5020" w:name="__RefHeading___Toc2569534_3650668749"/>
      <w:bookmarkStart w:id="5021" w:name="_Toc2276"/>
      <w:bookmarkEnd w:id="5020"/>
      <w:r>
        <w:rPr>
          <w:rtl w:val="true"/>
        </w:rPr>
        <w:t>[ (</w:t>
      </w:r>
      <w:r>
        <w:rPr>
          <w:rtl w:val="true"/>
        </w:rPr>
        <w:t xml:space="preserve">مسألة </w:t>
      </w:r>
      <w:r>
        <w:rPr/>
        <w:t>29</w:t>
      </w:r>
      <w:r>
        <w:rPr>
          <w:rtl w:val="true"/>
        </w:rPr>
        <w:t xml:space="preserve">): </w:t>
      </w:r>
      <w:r>
        <w:rPr>
          <w:rtl w:val="true"/>
        </w:rPr>
        <w:t>لا تبطل الرهانة بموت الراهن و لا بموت المرتهن</w:t>
      </w:r>
      <w:r>
        <w:rPr>
          <w:rtl w:val="true"/>
        </w:rPr>
        <w:t>]</w:t>
      </w:r>
      <w:bookmarkEnd w:id="50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الرهانة بموت الراهن و لا بموت المرتهن، فینتقل الرهن إلیٰ ورثة الراهن مرهوناً علیٰ دین مورّثهم و ینتقل إلیٰ ورثة المرتهن حقّ الرهانة، فإن امتنع الراهن من استئمانهم کان له ذلک، فإن اتّفقوا علیٰ أمین و إلّا سلّمه الحاکم إلیٰ من یرتضیه، و إن فقد الحاکم فعدول المؤمنین</w:t>
      </w:r>
      <w:r>
        <w:rPr>
          <w:rFonts w:eastAsia="IRNazanin" w:cs="IRNazanin"/>
          <w:color w:val="111111"/>
          <w:sz w:val="28"/>
          <w:szCs w:val="28"/>
          <w:rtl w:val="true"/>
          <w:lang w:bidi="fa-IR"/>
        </w:rPr>
        <w:t>.</w:t>
      </w:r>
    </w:p>
    <w:p>
      <w:pPr>
        <w:pStyle w:val="Heading3"/>
        <w:numPr>
          <w:ilvl w:val="2"/>
          <w:numId w:val="1"/>
        </w:numPr>
        <w:rPr/>
      </w:pPr>
      <w:bookmarkStart w:id="5022" w:name="__RefHeading___Toc2569536_3650668749"/>
      <w:bookmarkStart w:id="5023" w:name="_Toc2277"/>
      <w:bookmarkEnd w:id="5022"/>
      <w:r>
        <w:rPr>
          <w:rtl w:val="true"/>
        </w:rPr>
        <w:t>[ (</w:t>
      </w:r>
      <w:r>
        <w:rPr>
          <w:rtl w:val="true"/>
        </w:rPr>
        <w:t xml:space="preserve">مسألة </w:t>
      </w:r>
      <w:r>
        <w:rPr/>
        <w:t>30</w:t>
      </w:r>
      <w:r>
        <w:rPr>
          <w:rtl w:val="true"/>
        </w:rPr>
        <w:t xml:space="preserve">): </w:t>
      </w:r>
      <w:r>
        <w:rPr>
          <w:rtl w:val="true"/>
        </w:rPr>
        <w:t>إذا ظهر للمرتهن أمارات الموت یجب علیه الوصیّة بالرهن</w:t>
      </w:r>
      <w:r>
        <w:rPr>
          <w:rtl w:val="true"/>
        </w:rPr>
        <w:t>]</w:t>
      </w:r>
      <w:bookmarkEnd w:id="50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للمرتهن أمارات الموت یجب علیه الوصیّة بالرهن و تعیین المرهون و الراهن و الإشهاد کسائر الودائع، و لو لم یفعل کان مفرّطاً و علیه ضمانه</w:t>
      </w:r>
      <w:r>
        <w:rPr>
          <w:rFonts w:eastAsia="IRNazanin" w:cs="IRNazanin"/>
          <w:color w:val="111111"/>
          <w:sz w:val="28"/>
          <w:szCs w:val="28"/>
          <w:rtl w:val="true"/>
          <w:lang w:bidi="fa-IR"/>
        </w:rPr>
        <w:t>.</w:t>
      </w:r>
    </w:p>
    <w:p>
      <w:pPr>
        <w:pStyle w:val="Heading3"/>
        <w:numPr>
          <w:ilvl w:val="2"/>
          <w:numId w:val="1"/>
        </w:numPr>
        <w:rPr/>
      </w:pPr>
      <w:bookmarkStart w:id="5024" w:name="__RefHeading___Toc2569538_3650668749"/>
      <w:bookmarkStart w:id="5025" w:name="_Toc2278"/>
      <w:bookmarkEnd w:id="5024"/>
      <w:r>
        <w:rPr>
          <w:rtl w:val="true"/>
        </w:rPr>
        <w:t>[ (</w:t>
      </w:r>
      <w:r>
        <w:rPr>
          <w:rtl w:val="true"/>
        </w:rPr>
        <w:t xml:space="preserve">مسألة </w:t>
      </w:r>
      <w:r>
        <w:rPr/>
        <w:t>31</w:t>
      </w:r>
      <w:r>
        <w:rPr>
          <w:rtl w:val="true"/>
        </w:rPr>
        <w:t xml:space="preserve">): </w:t>
      </w:r>
      <w:r>
        <w:rPr>
          <w:rtl w:val="true"/>
        </w:rPr>
        <w:t>لو کان عنده الرهن قبل موته ثمّ مات و لم یعلم بوجوده فی ترکته</w:t>
      </w:r>
      <w:r>
        <w:rPr>
          <w:rtl w:val="true"/>
        </w:rPr>
        <w:t>]</w:t>
      </w:r>
      <w:bookmarkEnd w:id="5025"/>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عنده الرهن قبل موته ثمّ مات و لم یعلم بوجوده فی ترکته لا تفصیلًا و لا إجمالًا و لم یعلم کونه تالفاً بتفریط منه، لم یحکم به فی ذمّته و لا بکونه موجوداً فی ترکته، بل یحکم بکونها لورثته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علم أنّه قد کان موجوداً فی أمواله الباقیة إلیٰ بعد موته، و لم یعلم أنّه بعد باقٍ فیها أم لا، کما إذا کان سابقاً فی صندوقه داخلًا فی الأموال التی کانت فیه و بقیت إلیٰ زمان موته، و لم یعلم أنّه قد أخرجه و أوصله إلیٰ مالکه، أو باعه و استوفی ثمنه، أو تلف بغیر تفریط منه أم لا، لم یبعد </w:t>
      </w:r>
      <w:r>
        <w:rPr>
          <w:rStyle w:val="FootnoteAnchor"/>
          <w:rtl w:val="true"/>
        </w:rPr>
        <w:footnoteReference w:id="1386"/>
      </w:r>
      <w:r>
        <w:rPr>
          <w:rFonts w:ascii="IRNazanin" w:hAnsi="IRNazanin" w:eastAsia="IRNazanin"/>
          <w:color w:val="111111"/>
          <w:sz w:val="28"/>
          <w:sz w:val="28"/>
          <w:szCs w:val="28"/>
          <w:rtl w:val="true"/>
          <w:lang w:bidi="fa-IR"/>
        </w:rPr>
        <w:t>أن یحکم ببقائه فیها، فیکون بحکم معلوم البقاء، و قد مرّ بعض ما یتعلّق بهذه المسألة فی بعض مسائل المضاربة</w:t>
      </w:r>
      <w:r>
        <w:rPr>
          <w:rFonts w:eastAsia="IRNazanin" w:cs="IRNazanin"/>
          <w:color w:val="111111"/>
          <w:sz w:val="28"/>
          <w:szCs w:val="28"/>
          <w:rtl w:val="true"/>
          <w:lang w:bidi="fa-IR"/>
        </w:rPr>
        <w:t>.</w:t>
      </w:r>
      <w:bookmarkStart w:id="5026" w:name="pg1809_19505"/>
    </w:p>
    <w:p>
      <w:pPr>
        <w:pStyle w:val="Heading3"/>
        <w:numPr>
          <w:ilvl w:val="2"/>
          <w:numId w:val="1"/>
        </w:numPr>
        <w:rPr/>
      </w:pPr>
      <w:bookmarkStart w:id="5027" w:name="__RefHeading___Toc2569540_3650668749"/>
      <w:bookmarkStart w:id="5028" w:name="_Toc2279"/>
      <w:bookmarkEnd w:id="5026"/>
      <w:bookmarkEnd w:id="5027"/>
      <w:r>
        <w:rPr>
          <w:rtl w:val="true"/>
        </w:rPr>
        <w:t>[ (</w:t>
      </w:r>
      <w:r>
        <w:rPr>
          <w:rtl w:val="true"/>
        </w:rPr>
        <w:t xml:space="preserve">مسألة </w:t>
      </w:r>
      <w:r>
        <w:rPr/>
        <w:t>32</w:t>
      </w:r>
      <w:r>
        <w:rPr>
          <w:rtl w:val="true"/>
        </w:rPr>
        <w:t xml:space="preserve">): </w:t>
      </w:r>
      <w:r>
        <w:rPr>
          <w:rtl w:val="true"/>
        </w:rPr>
        <w:t>لو اقترض من شخص دیناراً مثلًا برهن و دیناراً آخر منه بلا رهن</w:t>
      </w:r>
      <w:r>
        <w:rPr>
          <w:rtl w:val="true"/>
        </w:rPr>
        <w:t>]</w:t>
      </w:r>
      <w:bookmarkEnd w:id="5028"/>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اقترض من شخص دیناراً مثلًا برهن و دیناراً آخر منه بلا رهن، ثمّ دفع إلیه دیناراً بنیّة الأداء و الوفاء فإن نویٰ کونه عن ذی الرهن سقط و انفکّ رهنه، و إن نویٰ کونه عن الآخر لم ینفکّ الرهن و بقی دینه، و إن لم یقصد إلّا أداء دینار من الدینارین من دون تعیین کونه عن ذی الرهن أو غیره، لا إشکال فی عدم انفکاک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یوزّع ما دفعه علی الدینین، فإذا أکمل أداء دین ذی الرهن انفکّ رهنه أو یحسب ما دفعه أداء لغیر ذی الرهن و یبقی ذو الرهن بتمامه لا ینفکّ رهنه إلّا بأدائه؟ وجهان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bookmarkStart w:id="5029" w:name="pg1809_19506"/>
    </w:p>
    <w:p>
      <w:pPr>
        <w:pStyle w:val="Heading2"/>
        <w:numPr>
          <w:ilvl w:val="1"/>
          <w:numId w:val="1"/>
        </w:numPr>
        <w:rPr/>
      </w:pPr>
      <w:bookmarkStart w:id="5030" w:name="__RefHeading___Toc2569542_3650668749"/>
      <w:bookmarkStart w:id="5031" w:name="_Toc2280"/>
      <w:bookmarkEnd w:id="5029"/>
      <w:bookmarkEnd w:id="5030"/>
      <w:r>
        <w:rPr>
          <w:rtl w:val="true"/>
        </w:rPr>
        <w:t>[</w:t>
      </w:r>
      <w:r>
        <w:rPr>
          <w:rtl w:val="true"/>
        </w:rPr>
        <w:t>کتاب الحجر</w:t>
      </w:r>
      <w:r>
        <w:rPr>
          <w:rtl w:val="true"/>
        </w:rPr>
        <w:t>]</w:t>
      </w:r>
      <w:bookmarkEnd w:id="5031"/>
    </w:p>
    <w:p>
      <w:pPr>
        <w:pStyle w:val="Heading3"/>
        <w:numPr>
          <w:ilvl w:val="2"/>
          <w:numId w:val="1"/>
        </w:numPr>
        <w:rPr/>
      </w:pPr>
      <w:bookmarkStart w:id="5032" w:name="__RefHeading___Toc2569544_3650668749"/>
      <w:bookmarkStart w:id="5033" w:name="_Toc2281"/>
      <w:bookmarkEnd w:id="5032"/>
      <w:r>
        <w:rPr>
          <w:rtl w:val="true"/>
        </w:rPr>
        <w:t>اشارة</w:t>
      </w:r>
      <w:bookmarkEnd w:id="5033"/>
    </w:p>
    <w:p>
      <w:pPr>
        <w:pStyle w:val="BookText"/>
        <w:rPr/>
      </w:pPr>
      <w:r>
        <w:rPr>
          <w:rFonts w:ascii="IRNazanin" w:hAnsi="IRNazanin" w:eastAsia="IRNazanin"/>
          <w:color w:val="111111"/>
          <w:sz w:val="28"/>
          <w:sz w:val="28"/>
          <w:szCs w:val="28"/>
          <w:rtl w:val="true"/>
          <w:lang w:bidi="fa-IR"/>
        </w:rPr>
        <w:t>کتاب الحجر و هو فی الأصل بمعنی المنع،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الشخص ممنوعاً فی الشرع عن التصرّف فی ماله بسبب من الأسباب، و هی کثیرة نذکر منها ما هو العمدة؛ و هی الصغر و السفه و الفلس و مرض الموت</w:t>
      </w:r>
      <w:r>
        <w:rPr>
          <w:rFonts w:eastAsia="IRNazanin" w:cs="IRNazanin"/>
          <w:color w:val="111111"/>
          <w:sz w:val="28"/>
          <w:szCs w:val="28"/>
          <w:rtl w:val="true"/>
          <w:lang w:bidi="fa-IR"/>
        </w:rPr>
        <w:t>.</w:t>
      </w:r>
    </w:p>
    <w:p>
      <w:pPr>
        <w:pStyle w:val="Heading3"/>
        <w:numPr>
          <w:ilvl w:val="2"/>
          <w:numId w:val="1"/>
        </w:numPr>
        <w:rPr/>
      </w:pPr>
      <w:bookmarkStart w:id="5034" w:name="__RefHeading___Toc2569546_3650668749"/>
      <w:bookmarkStart w:id="5035" w:name="_Toc2282"/>
      <w:bookmarkEnd w:id="5034"/>
      <w:r>
        <w:rPr>
          <w:rtl w:val="true"/>
        </w:rPr>
        <w:t>[</w:t>
      </w:r>
      <w:r>
        <w:rPr>
          <w:rtl w:val="true"/>
        </w:rPr>
        <w:t>القول فی الصغر</w:t>
      </w:r>
      <w:r>
        <w:rPr>
          <w:rtl w:val="true"/>
        </w:rPr>
        <w:t>]</w:t>
      </w:r>
      <w:bookmarkEnd w:id="5035"/>
    </w:p>
    <w:p>
      <w:pPr>
        <w:pStyle w:val="Heading4"/>
        <w:numPr>
          <w:ilvl w:val="3"/>
          <w:numId w:val="1"/>
        </w:numPr>
        <w:rPr/>
      </w:pPr>
      <w:bookmarkStart w:id="5036" w:name="__RefHeading___Toc2569548_3650668749"/>
      <w:bookmarkStart w:id="5037" w:name="_Toc2283"/>
      <w:bookmarkEnd w:id="5036"/>
      <w:r>
        <w:rPr>
          <w:rtl w:val="true"/>
        </w:rPr>
        <w:t>اشارة</w:t>
      </w:r>
      <w:bookmarkEnd w:id="5037"/>
    </w:p>
    <w:p>
      <w:pPr>
        <w:pStyle w:val="BookText"/>
        <w:rPr/>
      </w:pPr>
      <w:r>
        <w:rPr>
          <w:rFonts w:ascii="IRNazanin" w:hAnsi="IRNazanin" w:eastAsia="IRNazanin"/>
          <w:color w:val="111111"/>
          <w:sz w:val="28"/>
          <w:sz w:val="28"/>
          <w:szCs w:val="28"/>
          <w:rtl w:val="true"/>
          <w:lang w:bidi="fa-IR"/>
        </w:rPr>
        <w:t>القول فی الصغر</w:t>
      </w:r>
    </w:p>
    <w:p>
      <w:pPr>
        <w:pStyle w:val="Heading4"/>
        <w:numPr>
          <w:ilvl w:val="3"/>
          <w:numId w:val="1"/>
        </w:numPr>
        <w:rPr/>
      </w:pPr>
      <w:bookmarkStart w:id="5038" w:name="__RefHeading___Toc2569550_3650668749"/>
      <w:bookmarkStart w:id="5039" w:name="_Toc2284"/>
      <w:bookmarkEnd w:id="5038"/>
      <w:r>
        <w:rPr>
          <w:rtl w:val="true"/>
        </w:rPr>
        <w:t>[ (</w:t>
      </w:r>
      <w:r>
        <w:rPr>
          <w:rtl w:val="true"/>
        </w:rPr>
        <w:t xml:space="preserve">مسألة </w:t>
      </w:r>
      <w:r>
        <w:rPr/>
        <w:t>1</w:t>
      </w:r>
      <w:r>
        <w:rPr>
          <w:rtl w:val="true"/>
        </w:rPr>
        <w:t xml:space="preserve">): </w:t>
      </w:r>
      <w:r>
        <w:rPr>
          <w:rtl w:val="true"/>
        </w:rPr>
        <w:t>الصغیر و هو الذی لم یبلغ حدّ البلوغ محجور علیه شرعاً</w:t>
      </w:r>
      <w:r>
        <w:rPr>
          <w:rtl w:val="true"/>
        </w:rPr>
        <w:t>]</w:t>
      </w:r>
      <w:bookmarkEnd w:id="50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الصغیر و هو الذی لم یبلغ حدّ البلوغ محجور علیه شرعاً لا تنفذ تصرّفاته فی أمواله ببیع و صلح و هبة و إقراض و إجارة و إیداع و إعارة و غیرها </w:t>
      </w:r>
      <w:r>
        <w:rPr>
          <w:rStyle w:val="FootnoteAnchor"/>
          <w:rtl w:val="true"/>
        </w:rPr>
        <w:footnoteReference w:id="1388"/>
      </w:r>
      <w:r>
        <w:rPr>
          <w:rFonts w:ascii="IRNazanin" w:hAnsi="IRNazanin" w:eastAsia="IRNazanin"/>
          <w:color w:val="111111"/>
          <w:sz w:val="28"/>
          <w:sz w:val="28"/>
          <w:szCs w:val="28"/>
          <w:rtl w:val="true"/>
          <w:lang w:bidi="fa-IR"/>
        </w:rPr>
        <w:t>، و إن کان فی کمال التمیّز و الرشد و کان التصرّف فی غایة الغبطة و الصلاح، بل لا یجدی فی الصحّة إذن الولیّ سابقاً و لا إجازته لاحقاً عند المشهور</w:t>
      </w:r>
      <w:r>
        <w:rPr>
          <w:rFonts w:eastAsia="IRNazanin" w:cs="IRNazanin"/>
          <w:color w:val="111111"/>
          <w:sz w:val="28"/>
          <w:szCs w:val="28"/>
          <w:rtl w:val="true"/>
          <w:lang w:bidi="fa-IR"/>
        </w:rPr>
        <w:t>.</w:t>
      </w:r>
    </w:p>
    <w:p>
      <w:pPr>
        <w:pStyle w:val="Heading4"/>
        <w:numPr>
          <w:ilvl w:val="3"/>
          <w:numId w:val="1"/>
        </w:numPr>
        <w:rPr/>
      </w:pPr>
      <w:bookmarkStart w:id="5040" w:name="__RefHeading___Toc2569552_3650668749"/>
      <w:bookmarkStart w:id="5041" w:name="_Toc2285"/>
      <w:bookmarkEnd w:id="5040"/>
      <w:r>
        <w:rPr>
          <w:rtl w:val="true"/>
        </w:rPr>
        <w:t>[ (</w:t>
      </w:r>
      <w:r>
        <w:rPr>
          <w:rtl w:val="true"/>
        </w:rPr>
        <w:t xml:space="preserve">مسألة </w:t>
      </w:r>
      <w:r>
        <w:rPr/>
        <w:t>2</w:t>
      </w:r>
      <w:r>
        <w:rPr>
          <w:rtl w:val="true"/>
        </w:rPr>
        <w:t xml:space="preserve">): </w:t>
      </w:r>
      <w:r>
        <w:rPr>
          <w:rtl w:val="true"/>
        </w:rPr>
        <w:t>کما أنّ الصبیّ محجور علیه بالنسبة إلیٰ ماله، کذلک محجور بالنسبة إلیٰ ذمّته</w:t>
      </w:r>
      <w:r>
        <w:rPr>
          <w:rtl w:val="true"/>
        </w:rPr>
        <w:t>]</w:t>
      </w:r>
      <w:bookmarkEnd w:id="50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الصبیّ محجور علیه بالنسبة إلیٰ ماله، کذلک محجور بالنسبة إلیٰ ذمّته، فلا یصحّ منه الاقتراض و لا البیع و الشراء فی الذمّة بالسلم و النسیئة و إن کانت مدّة الأداء مصادفة لزمان البلوغ، و کذلک بالنسبة إلیٰ نفسه فلا ینفذ منه التزویج و الطلاق </w:t>
      </w:r>
      <w:r>
        <w:rPr>
          <w:rStyle w:val="FootnoteAnchor"/>
          <w:rtl w:val="true"/>
        </w:rPr>
        <w:footnoteReference w:id="1389"/>
      </w:r>
      <w:r>
        <w:rPr>
          <w:rFonts w:ascii="IRNazanin" w:hAnsi="IRNazanin" w:eastAsia="IRNazanin"/>
          <w:color w:val="111111"/>
          <w:sz w:val="28"/>
          <w:sz w:val="28"/>
          <w:szCs w:val="28"/>
          <w:rtl w:val="true"/>
          <w:lang w:bidi="fa-IR"/>
        </w:rPr>
        <w:t>و لا إجارة نفسه و لا جعل نفسه عاملًا فی المضاربة أو المزارعة أو المساقاة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حیازته المباحات بالاحتطاب و الاحتشاش و نحوهما و یملکها بالنیّة، بل و کذا یملک الجعل فی الجعالة بعمله و إن لم یأذن له الولیّ فیهما</w:t>
      </w:r>
      <w:r>
        <w:rPr>
          <w:rFonts w:eastAsia="IRNazanin" w:cs="IRNazanin"/>
          <w:color w:val="111111"/>
          <w:sz w:val="28"/>
          <w:szCs w:val="28"/>
          <w:rtl w:val="true"/>
          <w:lang w:bidi="fa-IR"/>
        </w:rPr>
        <w:t>.</w:t>
      </w:r>
    </w:p>
    <w:p>
      <w:pPr>
        <w:pStyle w:val="Heading4"/>
        <w:numPr>
          <w:ilvl w:val="3"/>
          <w:numId w:val="1"/>
        </w:numPr>
        <w:rPr/>
      </w:pPr>
      <w:bookmarkStart w:id="5042" w:name="__RefHeading___Toc2569554_3650668749"/>
      <w:bookmarkStart w:id="5043" w:name="_Toc2286"/>
      <w:bookmarkEnd w:id="5042"/>
      <w:r>
        <w:rPr>
          <w:rtl w:val="true"/>
        </w:rPr>
        <w:t>[ (</w:t>
      </w:r>
      <w:r>
        <w:rPr>
          <w:rtl w:val="true"/>
        </w:rPr>
        <w:t xml:space="preserve">مسألة </w:t>
      </w:r>
      <w:r>
        <w:rPr/>
        <w:t>3</w:t>
      </w:r>
      <w:r>
        <w:rPr>
          <w:rtl w:val="true"/>
        </w:rPr>
        <w:t xml:space="preserve">): </w:t>
      </w:r>
      <w:r>
        <w:rPr>
          <w:rtl w:val="true"/>
        </w:rPr>
        <w:t>یعرف البلوغ فی الذکر و الأُنثیٰ بأحد أُمور ثلاثة</w:t>
      </w:r>
      <w:r>
        <w:rPr>
          <w:rtl w:val="true"/>
        </w:rPr>
        <w:t>]</w:t>
      </w:r>
      <w:bookmarkEnd w:id="5043"/>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البلوغ فی الذکر و الأُنثیٰ بأحد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الشعر الخشن</w:t>
      </w:r>
      <w:bookmarkStart w:id="5044" w:name="pg1809_19507"/>
    </w:p>
    <w:p>
      <w:pPr>
        <w:pStyle w:val="BookText"/>
        <w:rPr/>
      </w:pPr>
      <w:bookmarkEnd w:id="5044"/>
      <w:r>
        <w:rPr>
          <w:rFonts w:ascii="IRNazanin" w:hAnsi="IRNazanin" w:eastAsia="IRNazanin"/>
          <w:color w:val="111111"/>
          <w:sz w:val="28"/>
          <w:sz w:val="28"/>
          <w:szCs w:val="28"/>
          <w:rtl w:val="true"/>
          <w:lang w:bidi="fa-IR"/>
        </w:rPr>
        <w:t>علی العانة، و لا اعتبار بالزغب و الشعر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المنی؛ سواء خرج یقظة أو نوماً، بجماع أو احتلام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 و هو فی الذکر خمسة عشر </w:t>
      </w:r>
      <w:r>
        <w:rPr>
          <w:rStyle w:val="FootnoteAnchor"/>
          <w:rtl w:val="true"/>
        </w:rPr>
        <w:footnoteReference w:id="1390"/>
      </w:r>
      <w:r>
        <w:rPr>
          <w:rFonts w:ascii="IRNazanin" w:hAnsi="IRNazanin" w:eastAsia="IRNazanin"/>
          <w:color w:val="111111"/>
          <w:sz w:val="28"/>
          <w:sz w:val="28"/>
          <w:szCs w:val="28"/>
          <w:rtl w:val="true"/>
          <w:lang w:bidi="fa-IR"/>
        </w:rPr>
        <w:t>سنة و فی الأُنثیٰ تسع سنین</w:t>
      </w:r>
      <w:r>
        <w:rPr>
          <w:rFonts w:eastAsia="IRNazanin" w:cs="IRNazanin"/>
          <w:color w:val="111111"/>
          <w:sz w:val="28"/>
          <w:szCs w:val="28"/>
          <w:rtl w:val="true"/>
          <w:lang w:bidi="fa-IR"/>
        </w:rPr>
        <w:t>.</w:t>
      </w:r>
    </w:p>
    <w:p>
      <w:pPr>
        <w:pStyle w:val="Heading4"/>
        <w:numPr>
          <w:ilvl w:val="3"/>
          <w:numId w:val="1"/>
        </w:numPr>
        <w:rPr/>
      </w:pPr>
      <w:bookmarkStart w:id="5045" w:name="__RefHeading___Toc2569556_3650668749"/>
      <w:bookmarkStart w:id="5046" w:name="_Toc2287"/>
      <w:bookmarkEnd w:id="5045"/>
      <w:r>
        <w:rPr>
          <w:rtl w:val="true"/>
        </w:rPr>
        <w:t>[ (</w:t>
      </w:r>
      <w:r>
        <w:rPr>
          <w:rtl w:val="true"/>
        </w:rPr>
        <w:t xml:space="preserve">مسألة </w:t>
      </w:r>
      <w:r>
        <w:rPr/>
        <w:t>4</w:t>
      </w:r>
      <w:r>
        <w:rPr>
          <w:rtl w:val="true"/>
        </w:rPr>
        <w:t xml:space="preserve">): </w:t>
      </w:r>
      <w:r>
        <w:rPr>
          <w:rtl w:val="true"/>
        </w:rPr>
        <w:t>لا یکفی البلوغ فی زوال الحجر عن الصبیّ</w:t>
      </w:r>
      <w:r>
        <w:rPr>
          <w:rtl w:val="true"/>
        </w:rPr>
        <w:t>]</w:t>
      </w:r>
      <w:bookmarkEnd w:id="50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البلوغ فی زوال الحجر عن الصبیّ، بل لا بدّ معه من الرشد و عدم السفه بالمعنی الذی سنبیّنه</w:t>
      </w:r>
      <w:r>
        <w:rPr>
          <w:rFonts w:eastAsia="IRNazanin" w:cs="IRNazanin"/>
          <w:color w:val="111111"/>
          <w:sz w:val="28"/>
          <w:szCs w:val="28"/>
          <w:rtl w:val="true"/>
          <w:lang w:bidi="fa-IR"/>
        </w:rPr>
        <w:t>.</w:t>
      </w:r>
    </w:p>
    <w:p>
      <w:pPr>
        <w:pStyle w:val="Heading4"/>
        <w:numPr>
          <w:ilvl w:val="3"/>
          <w:numId w:val="1"/>
        </w:numPr>
        <w:rPr/>
      </w:pPr>
      <w:bookmarkStart w:id="5047" w:name="__RefHeading___Toc2569558_3650668749"/>
      <w:bookmarkStart w:id="5048" w:name="_Toc2288"/>
      <w:bookmarkEnd w:id="5047"/>
      <w:r>
        <w:rPr>
          <w:rtl w:val="true"/>
        </w:rPr>
        <w:t>[ (</w:t>
      </w:r>
      <w:r>
        <w:rPr>
          <w:rtl w:val="true"/>
        </w:rPr>
        <w:t xml:space="preserve">مسألة </w:t>
      </w:r>
      <w:r>
        <w:rPr/>
        <w:t>5</w:t>
      </w:r>
      <w:r>
        <w:rPr>
          <w:rtl w:val="true"/>
        </w:rPr>
        <w:t xml:space="preserve">): </w:t>
      </w:r>
      <w:r>
        <w:rPr>
          <w:rtl w:val="true"/>
        </w:rPr>
        <w:t>ولایة التصرّف فی مال الطفل و النظر فی مصالحه و شؤونه لأبیه و جدّه لأبیه</w:t>
      </w:r>
      <w:r>
        <w:rPr>
          <w:rtl w:val="true"/>
        </w:rPr>
        <w:t>]</w:t>
      </w:r>
      <w:bookmarkEnd w:id="50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التصرّف فی مال الطفل و النظر فی مصالحه و شؤونه لأبیه و جدّه لأبیه، و مع فقدهما للقیّم من أحدهما؛ و هو الذی أوصیٰ أحدهما بأن یکون ناظراً فی أمره، و مع فقد الوصیّ یکون الولایة و النظر للحاکم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الامّ و الجدّ للُامّ و الأخ فضلًا عن الأعمام و الأخوال فلا ولایة لهم علیه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الظاهر ثبوتها لعدول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المؤمنین مع فقد الحاکم</w:t>
      </w:r>
      <w:r>
        <w:rPr>
          <w:rFonts w:eastAsia="IRNazanin" w:cs="IRNazanin"/>
          <w:color w:val="111111"/>
          <w:sz w:val="28"/>
          <w:szCs w:val="28"/>
          <w:rtl w:val="true"/>
          <w:lang w:bidi="fa-IR"/>
        </w:rPr>
        <w:t>.</w:t>
      </w:r>
    </w:p>
    <w:p>
      <w:pPr>
        <w:pStyle w:val="Heading4"/>
        <w:numPr>
          <w:ilvl w:val="3"/>
          <w:numId w:val="1"/>
        </w:numPr>
        <w:rPr/>
      </w:pPr>
      <w:bookmarkStart w:id="5049" w:name="__RefHeading___Toc2569560_3650668749"/>
      <w:bookmarkStart w:id="5050" w:name="_Toc2289"/>
      <w:bookmarkEnd w:id="5049"/>
      <w:r>
        <w:rPr>
          <w:rtl w:val="true"/>
        </w:rPr>
        <w:t>[ (</w:t>
      </w:r>
      <w:r>
        <w:rPr>
          <w:rtl w:val="true"/>
        </w:rPr>
        <w:t xml:space="preserve">مسألة </w:t>
      </w:r>
      <w:r>
        <w:rPr/>
        <w:t>6</w:t>
      </w:r>
      <w:r>
        <w:rPr>
          <w:rtl w:val="true"/>
        </w:rPr>
        <w:t xml:space="preserve">): </w:t>
      </w:r>
      <w:r>
        <w:rPr>
          <w:rtl w:val="true"/>
        </w:rPr>
        <w:t>الظاهر أنّه لا یشترط العدالة فی ولایة الأب و الجدّ، فلا ولایة للحاکم مع فسقهما</w:t>
      </w:r>
      <w:r>
        <w:rPr>
          <w:rtl w:val="true"/>
        </w:rPr>
        <w:t>]</w:t>
      </w:r>
      <w:bookmarkEnd w:id="50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یشترط العدالة فی ولایة الأب و الجدّ، فلا ولایة للحاکم مع فسقهما، لکن متی ظهر له و لو بقرائن الأحوال الضرر منهما علی المولّی علیه عزلهما و منعهما من التصرّف فی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علیه الفحص عن عملهما و تتبّع سلوکهما</w:t>
      </w:r>
      <w:r>
        <w:rPr>
          <w:rFonts w:eastAsia="IRNazanin" w:cs="IRNazanin"/>
          <w:color w:val="111111"/>
          <w:sz w:val="28"/>
          <w:szCs w:val="28"/>
          <w:rtl w:val="true"/>
          <w:lang w:bidi="fa-IR"/>
        </w:rPr>
        <w:t>.</w:t>
      </w:r>
    </w:p>
    <w:p>
      <w:pPr>
        <w:pStyle w:val="Heading4"/>
        <w:numPr>
          <w:ilvl w:val="3"/>
          <w:numId w:val="1"/>
        </w:numPr>
        <w:rPr/>
      </w:pPr>
      <w:bookmarkStart w:id="5051" w:name="__RefHeading___Toc2569562_3650668749"/>
      <w:bookmarkStart w:id="5052" w:name="_Toc2290"/>
      <w:bookmarkEnd w:id="5051"/>
      <w:r>
        <w:rPr>
          <w:rtl w:val="true"/>
        </w:rPr>
        <w:t>[ (</w:t>
      </w:r>
      <w:r>
        <w:rPr>
          <w:rtl w:val="true"/>
        </w:rPr>
        <w:t xml:space="preserve">مسألة </w:t>
      </w:r>
      <w:r>
        <w:rPr/>
        <w:t>7</w:t>
      </w:r>
      <w:r>
        <w:rPr>
          <w:rtl w:val="true"/>
        </w:rPr>
        <w:t xml:space="preserve">): </w:t>
      </w:r>
      <w:r>
        <w:rPr>
          <w:rtl w:val="true"/>
        </w:rPr>
        <w:t>الأب و الجدّ مشترکان فی الولایة</w:t>
      </w:r>
      <w:r>
        <w:rPr>
          <w:rtl w:val="true"/>
        </w:rPr>
        <w:t>]</w:t>
      </w:r>
      <w:bookmarkEnd w:id="50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 الجدّ مشترکان فی الولایة، فینفذ تصرّف السابق منهما و لغا تصرّف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اقترنا ففی تقدیم الجدّ أو الأب أو عدم الترجیح و بطلان تصرّف کلیهما وجوه، بل أقوال، فلا یترک الاحتیاط</w:t>
      </w:r>
      <w:r>
        <w:rPr>
          <w:rFonts w:eastAsia="IRNazanin" w:cs="IRNazanin"/>
          <w:color w:val="111111"/>
          <w:sz w:val="28"/>
          <w:szCs w:val="28"/>
          <w:rtl w:val="true"/>
          <w:lang w:bidi="fa-IR"/>
        </w:rPr>
        <w:t>.</w:t>
      </w:r>
    </w:p>
    <w:p>
      <w:pPr>
        <w:pStyle w:val="Heading4"/>
        <w:numPr>
          <w:ilvl w:val="3"/>
          <w:numId w:val="1"/>
        </w:numPr>
        <w:rPr/>
      </w:pPr>
      <w:bookmarkStart w:id="5053" w:name="__RefHeading___Toc2569564_3650668749"/>
      <w:bookmarkStart w:id="5054" w:name="_Toc2291"/>
      <w:bookmarkEnd w:id="5053"/>
      <w:r>
        <w:rPr>
          <w:rtl w:val="true"/>
        </w:rPr>
        <w:t>[ (</w:t>
      </w:r>
      <w:r>
        <w:rPr>
          <w:rtl w:val="true"/>
        </w:rPr>
        <w:t xml:space="preserve">مسألة </w:t>
      </w:r>
      <w:r>
        <w:rPr/>
        <w:t>8</w:t>
      </w:r>
      <w:r>
        <w:rPr>
          <w:rtl w:val="true"/>
        </w:rPr>
        <w:t xml:space="preserve">): </w:t>
      </w:r>
      <w:r>
        <w:rPr>
          <w:rtl w:val="true"/>
        </w:rPr>
        <w:t>الظاهر أنّه لا فرق بین الجدّ القریب و البعید</w:t>
      </w:r>
      <w:r>
        <w:rPr>
          <w:rtl w:val="true"/>
        </w:rPr>
        <w:t>]</w:t>
      </w:r>
      <w:bookmarkEnd w:id="50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فرق بین الجدّ القریب و البعید، فلو کان له أب و جدّ و أب الجدّ و جدّ الجدّ اشترکوا کلّهم فی الولایة</w:t>
      </w:r>
      <w:r>
        <w:rPr>
          <w:rFonts w:eastAsia="IRNazanin" w:cs="IRNazanin"/>
          <w:color w:val="111111"/>
          <w:sz w:val="28"/>
          <w:szCs w:val="28"/>
          <w:rtl w:val="true"/>
          <w:lang w:bidi="fa-IR"/>
        </w:rPr>
        <w:t>.</w:t>
      </w:r>
    </w:p>
    <w:p>
      <w:pPr>
        <w:pStyle w:val="Heading4"/>
        <w:numPr>
          <w:ilvl w:val="3"/>
          <w:numId w:val="1"/>
        </w:numPr>
        <w:rPr/>
      </w:pPr>
      <w:bookmarkStart w:id="5055" w:name="__RefHeading___Toc2569566_3650668749"/>
      <w:bookmarkStart w:id="5056" w:name="_Toc2292"/>
      <w:bookmarkEnd w:id="5055"/>
      <w:r>
        <w:rPr>
          <w:rtl w:val="true"/>
        </w:rPr>
        <w:t>[ (</w:t>
      </w:r>
      <w:r>
        <w:rPr>
          <w:rtl w:val="true"/>
        </w:rPr>
        <w:t xml:space="preserve">مسألة </w:t>
      </w:r>
      <w:r>
        <w:rPr/>
        <w:t>9</w:t>
      </w:r>
      <w:r>
        <w:rPr>
          <w:rtl w:val="true"/>
        </w:rPr>
        <w:t xml:space="preserve">): </w:t>
      </w:r>
      <w:r>
        <w:rPr>
          <w:rtl w:val="true"/>
        </w:rPr>
        <w:t>یجوز للولیّ بیع عقار الصبیّ مع الحاجة و اقتضاء المصلحة</w:t>
      </w:r>
      <w:r>
        <w:rPr>
          <w:rtl w:val="true"/>
        </w:rPr>
        <w:t>]</w:t>
      </w:r>
      <w:bookmarkEnd w:id="50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للولیّ بیع عقار الصبیّ مع الحاجة و اقتضاء المصلحة، فإن کان البائع هو الأب أو الجدّ جاز للحاکم تسجیله و إن لم یثبت عنده أنّه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غیرهما کالوصیّ فلا یسجّله إلّا بعد ثبوت کونه مصلحة عنده علی الأحوط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57" w:name="__RefHeading___Toc2569568_3650668749"/>
      <w:bookmarkStart w:id="5058" w:name="_Toc2293"/>
      <w:bookmarkEnd w:id="5057"/>
      <w:r>
        <w:rPr>
          <w:rtl w:val="true"/>
        </w:rPr>
        <w:t>[ (</w:t>
      </w:r>
      <w:r>
        <w:rPr>
          <w:rtl w:val="true"/>
        </w:rPr>
        <w:t xml:space="preserve">مسألة </w:t>
      </w:r>
      <w:r>
        <w:rPr/>
        <w:t>10</w:t>
      </w:r>
      <w:r>
        <w:rPr>
          <w:rtl w:val="true"/>
        </w:rPr>
        <w:t xml:space="preserve">): </w:t>
      </w:r>
      <w:r>
        <w:rPr>
          <w:rtl w:val="true"/>
        </w:rPr>
        <w:t>یجوز للولیّ المضاربة بمال الطفل و إبضاعه بشرط وثاقة العامل و أمانته</w:t>
      </w:r>
      <w:r>
        <w:rPr>
          <w:rtl w:val="true"/>
        </w:rPr>
        <w:t>]</w:t>
      </w:r>
      <w:bookmarkEnd w:id="5058"/>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للولیّ المضاربة بمال الطفل و إبضاعه بشرط وثاقة العامل و أمانته، فإن دفعه إلیٰ غیره ضمن</w:t>
      </w:r>
      <w:r>
        <w:rPr>
          <w:rFonts w:eastAsia="IRNazanin" w:cs="IRNazanin"/>
          <w:color w:val="111111"/>
          <w:sz w:val="28"/>
          <w:szCs w:val="28"/>
          <w:rtl w:val="true"/>
          <w:lang w:bidi="fa-IR"/>
        </w:rPr>
        <w:t>.</w:t>
      </w:r>
      <w:bookmarkStart w:id="5059" w:name="pg1809_19508"/>
    </w:p>
    <w:p>
      <w:pPr>
        <w:pStyle w:val="Heading4"/>
        <w:numPr>
          <w:ilvl w:val="3"/>
          <w:numId w:val="1"/>
        </w:numPr>
        <w:rPr/>
      </w:pPr>
      <w:bookmarkStart w:id="5060" w:name="__RefHeading___Toc2569570_3650668749"/>
      <w:bookmarkStart w:id="5061" w:name="_Toc2294"/>
      <w:bookmarkEnd w:id="5059"/>
      <w:bookmarkEnd w:id="5060"/>
      <w:r>
        <w:rPr>
          <w:rtl w:val="true"/>
        </w:rPr>
        <w:t>[ (</w:t>
      </w:r>
      <w:r>
        <w:rPr>
          <w:rtl w:val="true"/>
        </w:rPr>
        <w:t xml:space="preserve">مسألة </w:t>
      </w:r>
      <w:r>
        <w:rPr/>
        <w:t>11</w:t>
      </w:r>
      <w:r>
        <w:rPr>
          <w:rtl w:val="true"/>
        </w:rPr>
        <w:t xml:space="preserve">): </w:t>
      </w:r>
      <w:r>
        <w:rPr>
          <w:rtl w:val="true"/>
        </w:rPr>
        <w:t>یجوز للولیّ تسلیم الصبیّ إلیٰ أمین یعلّمه الصنعة</w:t>
      </w:r>
      <w:r>
        <w:rPr>
          <w:rtl w:val="true"/>
        </w:rPr>
        <w:t>]</w:t>
      </w:r>
      <w:bookmarkEnd w:id="50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للولیّ تسلیم الصبیّ إلیٰ أمین یعلّمه الصنعة، أو إلیٰ من یعلّمه القراءة و الخطّ و الحساب و العلوم العربیّة و غیرها من العلوم النافعة لدینه و دنیاه، و یلزم علیه أن یصونه عمّا یفسد أخلاقه فضلًا عمّا یضرّ بعقائده</w:t>
      </w:r>
      <w:r>
        <w:rPr>
          <w:rFonts w:eastAsia="IRNazanin" w:cs="IRNazanin"/>
          <w:color w:val="111111"/>
          <w:sz w:val="28"/>
          <w:szCs w:val="28"/>
          <w:rtl w:val="true"/>
          <w:lang w:bidi="fa-IR"/>
        </w:rPr>
        <w:t>.</w:t>
      </w:r>
    </w:p>
    <w:p>
      <w:pPr>
        <w:pStyle w:val="Heading4"/>
        <w:numPr>
          <w:ilvl w:val="3"/>
          <w:numId w:val="1"/>
        </w:numPr>
        <w:rPr/>
      </w:pPr>
      <w:bookmarkStart w:id="5062" w:name="__RefHeading___Toc2569572_3650668749"/>
      <w:bookmarkStart w:id="5063" w:name="_Toc2295"/>
      <w:bookmarkEnd w:id="5062"/>
      <w:r>
        <w:rPr>
          <w:rtl w:val="true"/>
        </w:rPr>
        <w:t>[ (</w:t>
      </w:r>
      <w:r>
        <w:rPr>
          <w:rtl w:val="true"/>
        </w:rPr>
        <w:t xml:space="preserve">مسألة </w:t>
      </w:r>
      <w:r>
        <w:rPr/>
        <w:t>12</w:t>
      </w:r>
      <w:r>
        <w:rPr>
          <w:rtl w:val="true"/>
        </w:rPr>
        <w:t xml:space="preserve">): </w:t>
      </w:r>
      <w:r>
        <w:rPr>
          <w:rtl w:val="true"/>
        </w:rPr>
        <w:t>یجوز لولیّ الیتیم إفراده بالمأکول و الملبوس من ماله</w:t>
      </w:r>
      <w:r>
        <w:rPr>
          <w:rtl w:val="true"/>
        </w:rPr>
        <w:t>]</w:t>
      </w:r>
      <w:bookmarkEnd w:id="50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لولیّ الیتیم إفراده بالمأکول و الملبوس من ماله، و أن یخلطه بعائلته، و یحسبه کأحدهم فیوزّع المصارف علیهم علی الرؤوس، لکن هذا بالنسبة إلی المأکول و المشروب، و أمّا الکسوة فیحسب علیٰ کلّ شخص کسوته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 الیتامی المتعدّدین، فیجوز لمن یتولّیٰ إنفاقهم إفراد کلّ واحد منهم، و أن یخلطهم فی المأکول و المشروب و یوزّع المصارف علیهم علی الرؤوس، دون الکسوة فإنّه یثبت و یحسب علیٰ کلّ واحد ما یحتاج إلیه منها</w:t>
      </w:r>
      <w:r>
        <w:rPr>
          <w:rFonts w:eastAsia="IRNazanin" w:cs="IRNazanin"/>
          <w:color w:val="111111"/>
          <w:sz w:val="28"/>
          <w:szCs w:val="28"/>
          <w:rtl w:val="true"/>
          <w:lang w:bidi="fa-IR"/>
        </w:rPr>
        <w:t>.</w:t>
      </w:r>
    </w:p>
    <w:p>
      <w:pPr>
        <w:pStyle w:val="Heading4"/>
        <w:numPr>
          <w:ilvl w:val="3"/>
          <w:numId w:val="1"/>
        </w:numPr>
        <w:rPr/>
      </w:pPr>
      <w:bookmarkStart w:id="5064" w:name="__RefHeading___Toc2569574_3650668749"/>
      <w:bookmarkStart w:id="5065" w:name="_Toc2296"/>
      <w:bookmarkEnd w:id="5064"/>
      <w:r>
        <w:rPr>
          <w:rtl w:val="true"/>
        </w:rPr>
        <w:t>[ (</w:t>
      </w:r>
      <w:r>
        <w:rPr>
          <w:rtl w:val="true"/>
        </w:rPr>
        <w:t xml:space="preserve">مسألة </w:t>
      </w:r>
      <w:r>
        <w:rPr/>
        <w:t>13</w:t>
      </w:r>
      <w:r>
        <w:rPr>
          <w:rtl w:val="true"/>
        </w:rPr>
        <w:t xml:space="preserve">): </w:t>
      </w:r>
      <w:r>
        <w:rPr>
          <w:rtl w:val="true"/>
        </w:rPr>
        <w:t>إذا کان للصغیر مال علیٰ غیره، جاز للولیّ أن یصالحه عنه ببعضه مع المصلحة</w:t>
      </w:r>
      <w:r>
        <w:rPr>
          <w:rtl w:val="true"/>
        </w:rPr>
        <w:t>]</w:t>
      </w:r>
      <w:bookmarkEnd w:id="50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للصغیر مال علیٰ غیره، جاز للولیّ أن یصالحه عنه ببعضه مع المصلحة، لکن لا یحلّ علی المتصالح باقی المال و لیس للولیّ إسقاطه بحال</w:t>
      </w:r>
      <w:r>
        <w:rPr>
          <w:rFonts w:eastAsia="IRNazanin" w:cs="IRNazanin"/>
          <w:color w:val="111111"/>
          <w:sz w:val="28"/>
          <w:szCs w:val="28"/>
          <w:rtl w:val="true"/>
          <w:lang w:bidi="fa-IR"/>
        </w:rPr>
        <w:t>.</w:t>
      </w:r>
    </w:p>
    <w:p>
      <w:pPr>
        <w:pStyle w:val="Heading4"/>
        <w:numPr>
          <w:ilvl w:val="3"/>
          <w:numId w:val="1"/>
        </w:numPr>
        <w:rPr/>
      </w:pPr>
      <w:bookmarkStart w:id="5066" w:name="__RefHeading___Toc2569576_3650668749"/>
      <w:bookmarkStart w:id="5067" w:name="_Toc2297"/>
      <w:bookmarkEnd w:id="5066"/>
      <w:r>
        <w:rPr>
          <w:rtl w:val="true"/>
        </w:rPr>
        <w:t>[ (</w:t>
      </w:r>
      <w:r>
        <w:rPr>
          <w:rtl w:val="true"/>
        </w:rPr>
        <w:t xml:space="preserve">مسألة </w:t>
      </w:r>
      <w:r>
        <w:rPr/>
        <w:t>14</w:t>
      </w:r>
      <w:r>
        <w:rPr>
          <w:rtl w:val="true"/>
        </w:rPr>
        <w:t xml:space="preserve">): </w:t>
      </w:r>
      <w:r>
        <w:rPr>
          <w:rtl w:val="true"/>
        </w:rPr>
        <w:t>المجنون کالصغیر فی جمیع ما ذکر</w:t>
      </w:r>
      <w:r>
        <w:rPr>
          <w:rtl w:val="true"/>
        </w:rPr>
        <w:t>]</w:t>
      </w:r>
      <w:bookmarkEnd w:id="50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المجنون کالصغیر فی جمیع ما ذکر، نعم فی ولایة الأب و الجدّ و وصیّهما علیه إذا تجدّد جنونه بعد بلوغه و رشده أو کونها للحاکم إشکال </w:t>
      </w:r>
      <w:r>
        <w:rPr>
          <w:rStyle w:val="FootnoteAnchor"/>
          <w:rtl w:val="true"/>
        </w:rPr>
        <w:footnoteReference w:id="1392"/>
      </w:r>
      <w:r>
        <w:rPr>
          <w:rFonts w:ascii="IRNazanin" w:hAnsi="IRNazanin" w:eastAsia="IRNazanin"/>
          <w:color w:val="111111"/>
          <w:sz w:val="28"/>
          <w:sz w:val="28"/>
          <w:szCs w:val="28"/>
          <w:rtl w:val="true"/>
          <w:lang w:bidi="fa-IR"/>
        </w:rPr>
        <w:t>، فلا یترک الاحتیاط بتوافقهما معاً</w:t>
      </w:r>
      <w:r>
        <w:rPr>
          <w:rFonts w:eastAsia="IRNazanin" w:cs="IRNazanin"/>
          <w:color w:val="111111"/>
          <w:sz w:val="28"/>
          <w:szCs w:val="28"/>
          <w:rtl w:val="true"/>
          <w:lang w:bidi="fa-IR"/>
        </w:rPr>
        <w:t>.</w:t>
      </w:r>
    </w:p>
    <w:p>
      <w:pPr>
        <w:pStyle w:val="Heading4"/>
        <w:numPr>
          <w:ilvl w:val="3"/>
          <w:numId w:val="1"/>
        </w:numPr>
        <w:rPr/>
      </w:pPr>
      <w:bookmarkStart w:id="5068" w:name="__RefHeading___Toc2569578_3650668749"/>
      <w:bookmarkStart w:id="5069" w:name="_Toc2298"/>
      <w:bookmarkEnd w:id="5068"/>
      <w:r>
        <w:rPr>
          <w:rtl w:val="true"/>
        </w:rPr>
        <w:t>[ (</w:t>
      </w:r>
      <w:r>
        <w:rPr>
          <w:rtl w:val="true"/>
        </w:rPr>
        <w:t xml:space="preserve">مسألة </w:t>
      </w:r>
      <w:r>
        <w:rPr/>
        <w:t>15</w:t>
      </w:r>
      <w:r>
        <w:rPr>
          <w:rtl w:val="true"/>
        </w:rPr>
        <w:t xml:space="preserve">): </w:t>
      </w:r>
      <w:r>
        <w:rPr>
          <w:rtl w:val="true"/>
        </w:rPr>
        <w:t>ینفق الولیّ علی الصبیّ بالاقتصاد</w:t>
      </w:r>
      <w:r>
        <w:rPr>
          <w:rtl w:val="true"/>
        </w:rPr>
        <w:t>]</w:t>
      </w:r>
      <w:bookmarkEnd w:id="50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ینفق الولیّ علی الصبیّ بالاقتصاد، لا بالإسراف و لا بالتقتیر ملاحظاً له عادته و نظرائه، و یطعمه و یکسوه ما یلیق بشأنه</w:t>
      </w:r>
      <w:r>
        <w:rPr>
          <w:rFonts w:eastAsia="IRNazanin" w:cs="IRNazanin"/>
          <w:color w:val="111111"/>
          <w:sz w:val="28"/>
          <w:szCs w:val="28"/>
          <w:rtl w:val="true"/>
          <w:lang w:bidi="fa-IR"/>
        </w:rPr>
        <w:t>.</w:t>
      </w:r>
    </w:p>
    <w:p>
      <w:pPr>
        <w:pStyle w:val="Heading4"/>
        <w:numPr>
          <w:ilvl w:val="3"/>
          <w:numId w:val="1"/>
        </w:numPr>
        <w:rPr/>
      </w:pPr>
      <w:bookmarkStart w:id="5070" w:name="__RefHeading___Toc2569580_3650668749"/>
      <w:bookmarkStart w:id="5071" w:name="_Toc2299"/>
      <w:bookmarkEnd w:id="5070"/>
      <w:r>
        <w:rPr>
          <w:rtl w:val="true"/>
        </w:rPr>
        <w:t>[ (</w:t>
      </w:r>
      <w:r>
        <w:rPr>
          <w:rtl w:val="true"/>
        </w:rPr>
        <w:t xml:space="preserve">مسألة </w:t>
      </w:r>
      <w:r>
        <w:rPr/>
        <w:t>16</w:t>
      </w:r>
      <w:r>
        <w:rPr>
          <w:rtl w:val="true"/>
        </w:rPr>
        <w:t xml:space="preserve">): </w:t>
      </w:r>
      <w:r>
        <w:rPr>
          <w:rtl w:val="true"/>
        </w:rPr>
        <w:t>لو ادّعی الولیّ الإنفاق علی الصبیّ أو علیٰ ماله أو دوابّه بالمقدار اللائق</w:t>
      </w:r>
      <w:r>
        <w:rPr>
          <w:rtl w:val="true"/>
        </w:rPr>
        <w:t>]</w:t>
      </w:r>
      <w:bookmarkEnd w:id="50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الولیّ الإنفاق علی الصبیّ أو علیٰ ماله أو دوابّه بالمقدار اللائق، و أنکر بعد البلوغ أصل الإنفاق أو کیفیّته، فالقول قول الولیّ مع الیمین، إلّا أن یکون مع الصبیّ البیّنة</w:t>
      </w:r>
      <w:r>
        <w:rPr>
          <w:rFonts w:eastAsia="IRNazanin" w:cs="IRNazanin"/>
          <w:color w:val="111111"/>
          <w:sz w:val="28"/>
          <w:szCs w:val="28"/>
          <w:rtl w:val="true"/>
          <w:lang w:bidi="fa-IR"/>
        </w:rPr>
        <w:t>.</w:t>
      </w:r>
    </w:p>
    <w:p>
      <w:pPr>
        <w:pStyle w:val="Heading3"/>
        <w:numPr>
          <w:ilvl w:val="2"/>
          <w:numId w:val="1"/>
        </w:numPr>
        <w:rPr/>
      </w:pPr>
      <w:bookmarkStart w:id="5072" w:name="__RefHeading___Toc2569582_3650668749"/>
      <w:bookmarkStart w:id="5073" w:name="_Toc2300"/>
      <w:bookmarkEnd w:id="5072"/>
      <w:r>
        <w:rPr>
          <w:rtl w:val="true"/>
        </w:rPr>
        <w:t>[</w:t>
      </w:r>
      <w:r>
        <w:rPr>
          <w:rtl w:val="true"/>
        </w:rPr>
        <w:t>القول فی السفه</w:t>
      </w:r>
      <w:r>
        <w:rPr>
          <w:rtl w:val="true"/>
        </w:rPr>
        <w:t>]</w:t>
      </w:r>
      <w:bookmarkEnd w:id="5073"/>
    </w:p>
    <w:p>
      <w:pPr>
        <w:pStyle w:val="Heading4"/>
        <w:numPr>
          <w:ilvl w:val="3"/>
          <w:numId w:val="1"/>
        </w:numPr>
        <w:rPr/>
      </w:pPr>
      <w:bookmarkStart w:id="5074" w:name="__RefHeading___Toc2569584_3650668749"/>
      <w:bookmarkStart w:id="5075" w:name="_Toc2301"/>
      <w:bookmarkEnd w:id="5074"/>
      <w:r>
        <w:rPr>
          <w:rtl w:val="true"/>
        </w:rPr>
        <w:t>اشارة</w:t>
      </w:r>
      <w:bookmarkEnd w:id="5075"/>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فی السفه السفیه هو الذی لیس له حالة باعثة علیٰ حفظ ماله و الاعتناء بحاله، یصرفه فی غیر موقعه و یتلفه بغیر محلّه و لیس معاملاته مبنیّة علی المکایسة و التحفّظ عن المغابنة، لا</w:t>
      </w:r>
      <w:bookmarkStart w:id="5076" w:name="pg1809_19509"/>
    </w:p>
    <w:p>
      <w:pPr>
        <w:pStyle w:val="BookText"/>
        <w:rPr/>
      </w:pPr>
      <w:bookmarkEnd w:id="5076"/>
      <w:r>
        <w:rPr>
          <w:rFonts w:ascii="IRNazanin" w:hAnsi="IRNazanin" w:eastAsia="IRNazanin"/>
          <w:color w:val="111111"/>
          <w:sz w:val="28"/>
          <w:sz w:val="28"/>
          <w:szCs w:val="28"/>
          <w:rtl w:val="true"/>
          <w:lang w:bidi="fa-IR"/>
        </w:rPr>
        <w:t>یبالی بالانخداع فیها، یعرفه أهل العرف و العقلاء بوجدانهم إذا وجدوه خارجاً عن طورهم و مسلکهم بالنسبة إلیٰ أمواله تحصیلًا و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محجور علیه شرعاً لا ینفذ تصرّفاته فی ماله ببیع و صلح و إجارة و إیداع و عاریة و غیرها و لا یتوقّف </w:t>
      </w:r>
      <w:r>
        <w:rPr>
          <w:rStyle w:val="FootnoteAnchor"/>
          <w:rtl w:val="true"/>
        </w:rPr>
        <w:footnoteReference w:id="1393"/>
      </w:r>
      <w:r>
        <w:rPr>
          <w:rFonts w:ascii="IRNazanin" w:hAnsi="IRNazanin" w:eastAsia="IRNazanin"/>
          <w:color w:val="111111"/>
          <w:sz w:val="28"/>
          <w:sz w:val="28"/>
          <w:szCs w:val="28"/>
          <w:rtl w:val="true"/>
          <w:lang w:bidi="fa-IR"/>
        </w:rPr>
        <w:t>حجره علیٰ حکم الحاکم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یکون سفهه متّصلًا بزمان صغره أو تجدّد بعد البلوغ، فلو کان سفیهاً ثمّ حصل له الرشد ارتفع حجره، فإن عاد إلیٰ حالته السابقة حجر علیه، و لو زالت فکّ حجره، و لو عاد عاد الحجر علیه و هکذا</w:t>
      </w:r>
      <w:r>
        <w:rPr>
          <w:rFonts w:eastAsia="IRNazanin" w:cs="IRNazanin"/>
          <w:color w:val="111111"/>
          <w:sz w:val="28"/>
          <w:szCs w:val="28"/>
          <w:rtl w:val="true"/>
          <w:lang w:bidi="fa-IR"/>
        </w:rPr>
        <w:t>.</w:t>
      </w:r>
    </w:p>
    <w:p>
      <w:pPr>
        <w:pStyle w:val="Heading4"/>
        <w:numPr>
          <w:ilvl w:val="3"/>
          <w:numId w:val="1"/>
        </w:numPr>
        <w:rPr/>
      </w:pPr>
      <w:bookmarkStart w:id="5077" w:name="__RefHeading___Toc2569586_3650668749"/>
      <w:bookmarkStart w:id="5078" w:name="_Toc2302"/>
      <w:bookmarkEnd w:id="5077"/>
      <w:r>
        <w:rPr>
          <w:rtl w:val="true"/>
        </w:rPr>
        <w:t>[ (</w:t>
      </w:r>
      <w:r>
        <w:rPr>
          <w:rtl w:val="true"/>
        </w:rPr>
        <w:t xml:space="preserve">مسألة </w:t>
      </w:r>
      <w:r>
        <w:rPr/>
        <w:t>1</w:t>
      </w:r>
      <w:r>
        <w:rPr>
          <w:rtl w:val="true"/>
        </w:rPr>
        <w:t xml:space="preserve">): </w:t>
      </w:r>
      <w:r>
        <w:rPr>
          <w:rtl w:val="true"/>
        </w:rPr>
        <w:t>ولایة السفیه للأب و الجدّ و وصیّهما إذا بلغ سفیهاً</w:t>
      </w:r>
      <w:r>
        <w:rPr>
          <w:rtl w:val="true"/>
        </w:rPr>
        <w:t>]</w:t>
      </w:r>
      <w:bookmarkEnd w:id="50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السفیه للأب و الجدّ و وصیّهما إذا بلغ سفیهاً، و فی من طرأ علیه السفه بعد البلوغ للحاکم الشرعی</w:t>
      </w:r>
      <w:r>
        <w:rPr>
          <w:rFonts w:eastAsia="IRNazanin" w:cs="IRNazanin"/>
          <w:color w:val="111111"/>
          <w:sz w:val="28"/>
          <w:szCs w:val="28"/>
          <w:rtl w:val="true"/>
          <w:lang w:bidi="fa-IR"/>
        </w:rPr>
        <w:t>.</w:t>
      </w:r>
    </w:p>
    <w:p>
      <w:pPr>
        <w:pStyle w:val="Heading4"/>
        <w:numPr>
          <w:ilvl w:val="3"/>
          <w:numId w:val="1"/>
        </w:numPr>
        <w:rPr/>
      </w:pPr>
      <w:bookmarkStart w:id="5079" w:name="__RefHeading___Toc2569588_3650668749"/>
      <w:bookmarkStart w:id="5080" w:name="_Toc2303"/>
      <w:bookmarkEnd w:id="5079"/>
      <w:r>
        <w:rPr>
          <w:rtl w:val="true"/>
        </w:rPr>
        <w:t>[ (</w:t>
      </w:r>
      <w:r>
        <w:rPr>
          <w:rtl w:val="true"/>
        </w:rPr>
        <w:t xml:space="preserve">مسألة </w:t>
      </w:r>
      <w:r>
        <w:rPr/>
        <w:t>2</w:t>
      </w:r>
      <w:r>
        <w:rPr>
          <w:rtl w:val="true"/>
        </w:rPr>
        <w:t xml:space="preserve">): </w:t>
      </w:r>
      <w:r>
        <w:rPr>
          <w:rtl w:val="true"/>
        </w:rPr>
        <w:t>کما أنّ السفیه محجور علیه فی أمواله، کذلک فی ذمّته بأن یتعهّد مالًا أو عملًا</w:t>
      </w:r>
      <w:r>
        <w:rPr>
          <w:rtl w:val="true"/>
        </w:rPr>
        <w:t>]</w:t>
      </w:r>
      <w:bookmarkEnd w:id="50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السفیه محجور علیه فی أمواله، کذلک فی ذمّته بأن یتعهّد مالًا أو عملًا فلا یصحّ اقتراضه و ضمانه و لا بیعه و شراؤه بالذمّة و لا إجارة نفسه و لا جعل نفسه عاملًا فی المضاربة أو المزارعة أو المساقاة و غیر ذلک</w:t>
      </w:r>
      <w:r>
        <w:rPr>
          <w:rFonts w:eastAsia="IRNazanin" w:cs="IRNazanin"/>
          <w:color w:val="111111"/>
          <w:sz w:val="28"/>
          <w:szCs w:val="28"/>
          <w:rtl w:val="true"/>
          <w:lang w:bidi="fa-IR"/>
        </w:rPr>
        <w:t>.</w:t>
      </w:r>
    </w:p>
    <w:p>
      <w:pPr>
        <w:pStyle w:val="Heading4"/>
        <w:numPr>
          <w:ilvl w:val="3"/>
          <w:numId w:val="1"/>
        </w:numPr>
        <w:rPr/>
      </w:pPr>
      <w:bookmarkStart w:id="5081" w:name="__RefHeading___Toc2569590_3650668749"/>
      <w:bookmarkStart w:id="5082" w:name="_Toc2304"/>
      <w:bookmarkEnd w:id="5081"/>
      <w:r>
        <w:rPr>
          <w:rtl w:val="true"/>
        </w:rPr>
        <w:t>[ (</w:t>
      </w:r>
      <w:r>
        <w:rPr>
          <w:rtl w:val="true"/>
        </w:rPr>
        <w:t xml:space="preserve">مسألة </w:t>
      </w:r>
      <w:r>
        <w:rPr/>
        <w:t>3</w:t>
      </w:r>
      <w:r>
        <w:rPr>
          <w:rtl w:val="true"/>
        </w:rPr>
        <w:t xml:space="preserve">): </w:t>
      </w:r>
      <w:r>
        <w:rPr>
          <w:rtl w:val="true"/>
        </w:rPr>
        <w:t>معنیٰ عدم نفوذ تصرّفات السفیه عدم استقلاله</w:t>
      </w:r>
      <w:r>
        <w:rPr>
          <w:rtl w:val="true"/>
        </w:rPr>
        <w:t>]</w:t>
      </w:r>
      <w:bookmarkEnd w:id="50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عدم نفوذ تصرّفات السفیه عدم استقلاله، فلو کان بإذن الولیّ أو إجازته صحّ و 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مثل العتق و الوقف ممّا لا یجری </w:t>
      </w:r>
      <w:r>
        <w:rPr>
          <w:rStyle w:val="FootnoteAnchor"/>
          <w:rtl w:val="true"/>
        </w:rPr>
        <w:footnoteReference w:id="1394"/>
      </w:r>
      <w:r>
        <w:rPr>
          <w:rFonts w:ascii="IRNazanin" w:hAnsi="IRNazanin" w:eastAsia="IRNazanin"/>
          <w:color w:val="111111"/>
          <w:sz w:val="28"/>
          <w:sz w:val="28"/>
          <w:szCs w:val="28"/>
          <w:rtl w:val="true"/>
          <w:lang w:bidi="fa-IR"/>
        </w:rPr>
        <w:t>فیه الفضولیّة یشکل صحّته بالإجازة اللاحقة من الولیّ، و لو أوقع معاملة فی حال سفهه ثمّ حصل له الرشد فأجازها کانت کإجازة الولیّ</w:t>
      </w:r>
      <w:r>
        <w:rPr>
          <w:rFonts w:eastAsia="IRNazanin" w:cs="IRNazanin"/>
          <w:color w:val="111111"/>
          <w:sz w:val="28"/>
          <w:szCs w:val="28"/>
          <w:rtl w:val="true"/>
          <w:lang w:bidi="fa-IR"/>
        </w:rPr>
        <w:t>.</w:t>
      </w:r>
    </w:p>
    <w:p>
      <w:pPr>
        <w:pStyle w:val="Heading4"/>
        <w:numPr>
          <w:ilvl w:val="3"/>
          <w:numId w:val="1"/>
        </w:numPr>
        <w:rPr/>
      </w:pPr>
      <w:bookmarkStart w:id="5083" w:name="__RefHeading___Toc2569592_3650668749"/>
      <w:bookmarkStart w:id="5084" w:name="_Toc2305"/>
      <w:bookmarkEnd w:id="5083"/>
      <w:r>
        <w:rPr>
          <w:rtl w:val="true"/>
        </w:rPr>
        <w:t>[ (</w:t>
      </w:r>
      <w:r>
        <w:rPr>
          <w:rtl w:val="true"/>
        </w:rPr>
        <w:t xml:space="preserve">مسألة </w:t>
      </w:r>
      <w:r>
        <w:rPr/>
        <w:t>4</w:t>
      </w:r>
      <w:r>
        <w:rPr>
          <w:rtl w:val="true"/>
        </w:rPr>
        <w:t xml:space="preserve">): </w:t>
      </w:r>
      <w:r>
        <w:rPr>
          <w:rtl w:val="true"/>
        </w:rPr>
        <w:t>لا یصحّ زواج السفیه بدون إذن الولیّ أو إجازته</w:t>
      </w:r>
      <w:r>
        <w:rPr>
          <w:rtl w:val="true"/>
        </w:rPr>
        <w:t>]</w:t>
      </w:r>
      <w:bookmarkEnd w:id="50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زواج السفیه بدون إذن الولیّ أو إجازته، لکن یصحّ طلاقه و ظهاره و خلعه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یقبل إقراره إذا لم یتعلّق بالمال، کما لو أقرّ بالنسب </w:t>
      </w:r>
      <w:r>
        <w:rPr>
          <w:rStyle w:val="FootnoteAnchor"/>
          <w:rtl w:val="true"/>
        </w:rPr>
        <w:footnoteReference w:id="1395"/>
      </w:r>
      <w:r>
        <w:rPr>
          <w:rFonts w:ascii="IRNazanin" w:hAnsi="IRNazanin" w:eastAsia="IRNazanin"/>
          <w:color w:val="111111"/>
          <w:sz w:val="28"/>
          <w:sz w:val="28"/>
          <w:szCs w:val="28"/>
          <w:rtl w:val="true"/>
          <w:lang w:bidi="fa-IR"/>
        </w:rPr>
        <w:t>أو بما یوجب القصاص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أقرّ بالسرقة یقبل فی القطع دون المال</w:t>
      </w:r>
      <w:r>
        <w:rPr>
          <w:rFonts w:eastAsia="IRNazanin" w:cs="IRNazanin"/>
          <w:color w:val="111111"/>
          <w:sz w:val="28"/>
          <w:szCs w:val="28"/>
          <w:rtl w:val="true"/>
          <w:lang w:bidi="fa-IR"/>
        </w:rPr>
        <w:t>.</w:t>
      </w:r>
    </w:p>
    <w:p>
      <w:pPr>
        <w:pStyle w:val="Heading4"/>
        <w:numPr>
          <w:ilvl w:val="3"/>
          <w:numId w:val="1"/>
        </w:numPr>
        <w:rPr/>
      </w:pPr>
      <w:bookmarkStart w:id="5085" w:name="__RefHeading___Toc2569594_3650668749"/>
      <w:bookmarkStart w:id="5086" w:name="_Toc2306"/>
      <w:bookmarkEnd w:id="5085"/>
      <w:r>
        <w:rPr>
          <w:rtl w:val="true"/>
        </w:rPr>
        <w:t>[ (</w:t>
      </w:r>
      <w:r>
        <w:rPr>
          <w:rtl w:val="true"/>
        </w:rPr>
        <w:t xml:space="preserve">مسألة </w:t>
      </w:r>
      <w:r>
        <w:rPr/>
        <w:t>5</w:t>
      </w:r>
      <w:r>
        <w:rPr>
          <w:rtl w:val="true"/>
        </w:rPr>
        <w:t xml:space="preserve">): </w:t>
      </w:r>
      <w:r>
        <w:rPr>
          <w:rtl w:val="true"/>
        </w:rPr>
        <w:t>لو وکّل السفیه أجنبیّ فی بیع أو هبة أو إجارة مثلًا جاز و لو کان وکیلًا فی أصل المعاملة</w:t>
      </w:r>
      <w:r>
        <w:rPr>
          <w:rtl w:val="true"/>
        </w:rPr>
        <w:t>]</w:t>
      </w:r>
      <w:bookmarkEnd w:id="50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وکّل السفیه أجنبیّ فی بیع أو هبة أو إجارة مثلًا جاز و لو کان وکیلًا فی أصل المعاملة لا فی مجرّد إجراء الصیغة</w:t>
      </w:r>
      <w:r>
        <w:rPr>
          <w:rFonts w:eastAsia="IRNazanin" w:cs="IRNazanin"/>
          <w:color w:val="111111"/>
          <w:sz w:val="28"/>
          <w:szCs w:val="28"/>
          <w:rtl w:val="true"/>
          <w:lang w:bidi="fa-IR"/>
        </w:rPr>
        <w:t>.</w:t>
      </w:r>
    </w:p>
    <w:p>
      <w:pPr>
        <w:pStyle w:val="Heading4"/>
        <w:numPr>
          <w:ilvl w:val="3"/>
          <w:numId w:val="1"/>
        </w:numPr>
        <w:rPr/>
      </w:pPr>
      <w:bookmarkStart w:id="5087" w:name="__RefHeading___Toc2569596_3650668749"/>
      <w:bookmarkStart w:id="5088" w:name="_Toc2307"/>
      <w:bookmarkEnd w:id="5087"/>
      <w:r>
        <w:rPr>
          <w:rtl w:val="true"/>
        </w:rPr>
        <w:t>[ (</w:t>
      </w:r>
      <w:r>
        <w:rPr>
          <w:rtl w:val="true"/>
        </w:rPr>
        <w:t xml:space="preserve">مسألة </w:t>
      </w:r>
      <w:r>
        <w:rPr/>
        <w:t>6</w:t>
      </w:r>
      <w:r>
        <w:rPr>
          <w:rtl w:val="true"/>
        </w:rPr>
        <w:t xml:space="preserve">): </w:t>
      </w:r>
      <w:r>
        <w:rPr>
          <w:rtl w:val="true"/>
        </w:rPr>
        <w:t>إذا حلف السفیه أو نذر علیٰ فعل شی‌ء أو ترکه ممّا لا یتعلّق بماله</w:t>
      </w:r>
      <w:r>
        <w:rPr>
          <w:rtl w:val="true"/>
        </w:rPr>
        <w:t>]</w:t>
      </w:r>
      <w:bookmarkEnd w:id="5088"/>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السفیه أو نذر علیٰ فعل شی‌ء أو ترکه ممّا لا یتعلّق بماله انعقد حلفه</w:t>
      </w:r>
      <w:bookmarkStart w:id="5089" w:name="pg1809_19510"/>
    </w:p>
    <w:p>
      <w:pPr>
        <w:pStyle w:val="BookText"/>
        <w:rPr/>
      </w:pPr>
      <w:bookmarkEnd w:id="5089"/>
      <w:r>
        <w:rPr>
          <w:rFonts w:ascii="IRNazanin" w:hAnsi="IRNazanin" w:eastAsia="IRNazanin"/>
          <w:color w:val="111111"/>
          <w:sz w:val="28"/>
          <w:sz w:val="28"/>
          <w:szCs w:val="28"/>
          <w:rtl w:val="true"/>
          <w:lang w:bidi="fa-IR"/>
        </w:rPr>
        <w:t>و 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حنث کفّر کسائر ما أوجب الکفّارة کقتل الخطأ و الإفطار فی شهر رمضان، و هل یتعیّن علیه الصوم لو تمکّن منه أو یتخیّر بینه و بین کفّارة مالیّة کغیره؟ وجهان، أحوطهما الأوّل، بل لا یخلو من قوّة </w:t>
      </w:r>
      <w:r>
        <w:rPr>
          <w:rStyle w:val="FootnoteAnchor"/>
          <w:rtl w:val="true"/>
        </w:rPr>
        <w:footnoteReference w:id="1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یتمکّن من الصوم تعیّن غیره، کما إذا فعل ما یوجب الکفّارة المالیّة علی التعیین کما فی کفّارات الإحرام کلّها أو جلّها</w:t>
      </w:r>
      <w:r>
        <w:rPr>
          <w:rFonts w:eastAsia="IRNazanin" w:cs="IRNazanin"/>
          <w:color w:val="111111"/>
          <w:sz w:val="28"/>
          <w:szCs w:val="28"/>
          <w:rtl w:val="true"/>
          <w:lang w:bidi="fa-IR"/>
        </w:rPr>
        <w:t>.</w:t>
      </w:r>
    </w:p>
    <w:p>
      <w:pPr>
        <w:pStyle w:val="Heading4"/>
        <w:numPr>
          <w:ilvl w:val="3"/>
          <w:numId w:val="1"/>
        </w:numPr>
        <w:rPr/>
      </w:pPr>
      <w:bookmarkStart w:id="5090" w:name="__RefHeading___Toc2569598_3650668749"/>
      <w:bookmarkStart w:id="5091" w:name="_Toc2308"/>
      <w:bookmarkEnd w:id="5090"/>
      <w:r>
        <w:rPr>
          <w:rtl w:val="true"/>
        </w:rPr>
        <w:t>[ (</w:t>
      </w:r>
      <w:r>
        <w:rPr>
          <w:rtl w:val="true"/>
        </w:rPr>
        <w:t xml:space="preserve">مسألة </w:t>
      </w:r>
      <w:r>
        <w:rPr/>
        <w:t>7</w:t>
      </w:r>
      <w:r>
        <w:rPr>
          <w:rtl w:val="true"/>
        </w:rPr>
        <w:t xml:space="preserve">): </w:t>
      </w:r>
      <w:r>
        <w:rPr>
          <w:rtl w:val="true"/>
        </w:rPr>
        <w:t>لو کان للسفیه حقّ القصاص جاز أن یعفو عنه</w:t>
      </w:r>
      <w:r>
        <w:rPr>
          <w:rtl w:val="true"/>
        </w:rPr>
        <w:t>]</w:t>
      </w:r>
      <w:bookmarkEnd w:id="50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للسفیه حقّ القصاص جاز أن یعفو عنه، بخلاف الدیة و أرش الجنایة</w:t>
      </w:r>
      <w:r>
        <w:rPr>
          <w:rFonts w:eastAsia="IRNazanin" w:cs="IRNazanin"/>
          <w:color w:val="111111"/>
          <w:sz w:val="28"/>
          <w:szCs w:val="28"/>
          <w:rtl w:val="true"/>
          <w:lang w:bidi="fa-IR"/>
        </w:rPr>
        <w:t>.</w:t>
      </w:r>
    </w:p>
    <w:p>
      <w:pPr>
        <w:pStyle w:val="Heading4"/>
        <w:numPr>
          <w:ilvl w:val="3"/>
          <w:numId w:val="1"/>
        </w:numPr>
        <w:rPr/>
      </w:pPr>
      <w:bookmarkStart w:id="5092" w:name="__RefHeading___Toc2569600_3650668749"/>
      <w:bookmarkStart w:id="5093" w:name="_Toc2309"/>
      <w:bookmarkEnd w:id="5092"/>
      <w:r>
        <w:rPr>
          <w:rtl w:val="true"/>
        </w:rPr>
        <w:t>[ (</w:t>
      </w:r>
      <w:r>
        <w:rPr>
          <w:rtl w:val="true"/>
        </w:rPr>
        <w:t xml:space="preserve">مسألة </w:t>
      </w:r>
      <w:r>
        <w:rPr/>
        <w:t>8</w:t>
      </w:r>
      <w:r>
        <w:rPr>
          <w:rtl w:val="true"/>
        </w:rPr>
        <w:t xml:space="preserve">): </w:t>
      </w:r>
      <w:r>
        <w:rPr>
          <w:rtl w:val="true"/>
        </w:rPr>
        <w:t>إذا اطّلع الولیّ علیٰ بیع أو شراء مثلًا من السفیه و لم یر المصلحة فی إجازته</w:t>
      </w:r>
      <w:r>
        <w:rPr>
          <w:rtl w:val="true"/>
        </w:rPr>
        <w:t>]</w:t>
      </w:r>
      <w:bookmarkEnd w:id="50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اطّلع الولیّ علیٰ بیع أو شراء مثلًا من السفیه و لم یر المصلحة فی إجازته، فإن لم یقع إلّا مجرّد العقد ألغاه، و إن وقع تسلیم و تسلّم للعوضین فما سلّمه إلی الطرف الآخر یستردّه و یحفظه، و ما تسلّمه و کان موجوداً یردّه إلیٰ مالکه، و إن کان تالفاً ضمنه السفیه، فعلیه مثله أو قیمته لو قبضه بغیر إذن من مالکه، و إن کان بإذن منه و تسلیمه لم یضمنه </w:t>
      </w:r>
      <w:r>
        <w:rPr>
          <w:rStyle w:val="FootnoteAnchor"/>
          <w:rtl w:val="true"/>
        </w:rPr>
        <w:footnoteReference w:id="1397"/>
      </w:r>
      <w:r>
        <w:rPr>
          <w:rFonts w:ascii="IRNazanin" w:hAnsi="IRNazanin" w:eastAsia="IRNazanin"/>
          <w:color w:val="111111"/>
          <w:sz w:val="28"/>
          <w:sz w:val="28"/>
          <w:szCs w:val="28"/>
          <w:rtl w:val="true"/>
          <w:lang w:bidi="fa-IR"/>
        </w:rPr>
        <w:t>و تلف من مال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یقوی الضمان لو کان المالک الذی سلّمه الثمن أو المبیع جاهلًا بحاله </w:t>
      </w:r>
      <w:r>
        <w:rPr>
          <w:rStyle w:val="FootnoteAnchor"/>
          <w:rtl w:val="true"/>
        </w:rPr>
        <w:footnoteReference w:id="1398"/>
      </w:r>
      <w:r>
        <w:rPr>
          <w:rFonts w:ascii="IRNazanin" w:hAnsi="IRNazanin" w:eastAsia="IRNazanin"/>
          <w:color w:val="111111"/>
          <w:sz w:val="28"/>
          <w:sz w:val="28"/>
          <w:szCs w:val="28"/>
          <w:rtl w:val="true"/>
          <w:lang w:bidi="fa-IR"/>
        </w:rPr>
        <w:t xml:space="preserve">، خصوصاً إذا کان التلف بإتلاف منه، و کذا الحال </w:t>
      </w:r>
      <w:r>
        <w:rPr>
          <w:rStyle w:val="FootnoteAnchor"/>
          <w:rtl w:val="true"/>
        </w:rPr>
        <w:footnoteReference w:id="1399"/>
      </w:r>
      <w:r>
        <w:rPr>
          <w:rFonts w:ascii="IRNazanin" w:hAnsi="IRNazanin" w:eastAsia="IRNazanin"/>
          <w:color w:val="111111"/>
          <w:sz w:val="28"/>
          <w:sz w:val="28"/>
          <w:szCs w:val="28"/>
          <w:rtl w:val="true"/>
          <w:lang w:bidi="fa-IR"/>
        </w:rPr>
        <w:t>فیما لو اقترض السفیه و أتلف المال</w:t>
      </w:r>
      <w:r>
        <w:rPr>
          <w:rFonts w:eastAsia="IRNazanin" w:cs="IRNazanin"/>
          <w:color w:val="111111"/>
          <w:sz w:val="28"/>
          <w:szCs w:val="28"/>
          <w:rtl w:val="true"/>
          <w:lang w:bidi="fa-IR"/>
        </w:rPr>
        <w:t>.</w:t>
      </w:r>
    </w:p>
    <w:p>
      <w:pPr>
        <w:pStyle w:val="Heading4"/>
        <w:numPr>
          <w:ilvl w:val="3"/>
          <w:numId w:val="1"/>
        </w:numPr>
        <w:rPr/>
      </w:pPr>
      <w:bookmarkStart w:id="5094" w:name="__RefHeading___Toc2569602_3650668749"/>
      <w:bookmarkStart w:id="5095" w:name="_Toc2310"/>
      <w:bookmarkEnd w:id="5094"/>
      <w:r>
        <w:rPr>
          <w:rtl w:val="true"/>
        </w:rPr>
        <w:t>[ (</w:t>
      </w:r>
      <w:r>
        <w:rPr>
          <w:rtl w:val="true"/>
        </w:rPr>
        <w:t xml:space="preserve">مسألة </w:t>
      </w:r>
      <w:r>
        <w:rPr/>
        <w:t>9</w:t>
      </w:r>
      <w:r>
        <w:rPr>
          <w:rtl w:val="true"/>
        </w:rPr>
        <w:t xml:space="preserve">): </w:t>
      </w:r>
      <w:r>
        <w:rPr>
          <w:rtl w:val="true"/>
        </w:rPr>
        <w:t>لو أودع إنسان ودیعة عند السفیه، فأتلفها ضمنها علی الأقویٰ</w:t>
      </w:r>
      <w:r>
        <w:rPr>
          <w:rtl w:val="true"/>
        </w:rPr>
        <w:t>]</w:t>
      </w:r>
      <w:bookmarkEnd w:id="50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أودع إنسان ودیعة عند السفیه، فأتلفها ضمنها علی الأقویٰ؛ سواء علم المودع بحاله أو جهل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تلف عنده لم یضمنه حتّی مع تفریطه </w:t>
      </w:r>
      <w:r>
        <w:rPr>
          <w:rStyle w:val="FootnoteAnchor"/>
          <w:rtl w:val="true"/>
        </w:rPr>
        <w:footnoteReference w:id="1400"/>
      </w:r>
      <w:r>
        <w:rPr>
          <w:rFonts w:ascii="IRNazanin" w:hAnsi="IRNazanin" w:eastAsia="IRNazanin"/>
          <w:color w:val="111111"/>
          <w:sz w:val="28"/>
          <w:sz w:val="28"/>
          <w:szCs w:val="28"/>
          <w:rtl w:val="true"/>
          <w:lang w:bidi="fa-IR"/>
        </w:rPr>
        <w:t>فی حفظها</w:t>
      </w:r>
      <w:r>
        <w:rPr>
          <w:rFonts w:eastAsia="IRNazanin" w:cs="IRNazanin"/>
          <w:color w:val="111111"/>
          <w:sz w:val="28"/>
          <w:szCs w:val="28"/>
          <w:rtl w:val="true"/>
          <w:lang w:bidi="fa-IR"/>
        </w:rPr>
        <w:t>.</w:t>
      </w:r>
    </w:p>
    <w:p>
      <w:pPr>
        <w:pStyle w:val="Heading4"/>
        <w:numPr>
          <w:ilvl w:val="3"/>
          <w:numId w:val="1"/>
        </w:numPr>
        <w:rPr/>
      </w:pPr>
      <w:bookmarkStart w:id="5096" w:name="__RefHeading___Toc2569604_3650668749"/>
      <w:bookmarkStart w:id="5097" w:name="_Toc2311"/>
      <w:bookmarkEnd w:id="5096"/>
      <w:r>
        <w:rPr>
          <w:rtl w:val="true"/>
        </w:rPr>
        <w:t>[ (</w:t>
      </w:r>
      <w:r>
        <w:rPr>
          <w:rtl w:val="true"/>
        </w:rPr>
        <w:t xml:space="preserve">مسألة </w:t>
      </w:r>
      <w:r>
        <w:rPr/>
        <w:t>10</w:t>
      </w:r>
      <w:r>
        <w:rPr>
          <w:rtl w:val="true"/>
        </w:rPr>
        <w:t xml:space="preserve">): </w:t>
      </w:r>
      <w:r>
        <w:rPr>
          <w:rtl w:val="true"/>
        </w:rPr>
        <w:t>لا یسلّم إلی السفیه ماله ما لم یحرز رشده</w:t>
      </w:r>
      <w:r>
        <w:rPr>
          <w:rtl w:val="true"/>
        </w:rPr>
        <w:t>]</w:t>
      </w:r>
      <w:bookmarkEnd w:id="5097"/>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یسلّم إلی السفیه ماله ما لم یحرز رشده، و إذا اشتبه حاله یختبر؛ بأن یفوّض إلیه مدّة معتدّ بها بعض الأُمور ممّا یناسب شأنه کالبیع و الشراء و الإجارة و الاستئجار لمن یناسبه مثل هذه الأُمور و الرتق و الفتق فی بعض الأُمور مثل مباشرة الإنفاق فی مصالحه أو مصالح الولیّ و نحو ذلک فیمن یناسبه ذلک، و فی السفیهة یفوّض إلیها ما یناسب النساء من إدارة بعض مصالح البیت و المعاملة مع النساء من الإجارة و الاستئجار للخیاطة أو الغزل و النساجة و أمثال ذلک، فإن آنس منه الرشد؛ بأن رأی منه المداقّة و المکایسة و التحفّظ عن المغابنة فی معاملاته و صیانة المال من التضییع و صرفه</w:t>
      </w:r>
      <w:bookmarkStart w:id="5098" w:name="pg1809_19511"/>
    </w:p>
    <w:p>
      <w:pPr>
        <w:pStyle w:val="BookText"/>
        <w:rPr/>
      </w:pPr>
      <w:bookmarkEnd w:id="5098"/>
      <w:r>
        <w:rPr>
          <w:rFonts w:ascii="IRNazanin" w:hAnsi="IRNazanin" w:eastAsia="IRNazanin"/>
          <w:color w:val="111111"/>
          <w:sz w:val="28"/>
          <w:sz w:val="28"/>
          <w:szCs w:val="28"/>
          <w:rtl w:val="true"/>
          <w:lang w:bidi="fa-IR"/>
        </w:rPr>
        <w:t>فی موضعه و جریه مجاری العقلاء، دفع إلیه ماله و إلّا فلا</w:t>
      </w:r>
      <w:r>
        <w:rPr>
          <w:rFonts w:eastAsia="IRNazanin" w:cs="IRNazanin"/>
          <w:color w:val="111111"/>
          <w:sz w:val="28"/>
          <w:szCs w:val="28"/>
          <w:rtl w:val="true"/>
          <w:lang w:bidi="fa-IR"/>
        </w:rPr>
        <w:t>.</w:t>
      </w:r>
    </w:p>
    <w:p>
      <w:pPr>
        <w:pStyle w:val="Heading4"/>
        <w:numPr>
          <w:ilvl w:val="3"/>
          <w:numId w:val="1"/>
        </w:numPr>
        <w:rPr/>
      </w:pPr>
      <w:bookmarkStart w:id="5099" w:name="__RefHeading___Toc2569606_3650668749"/>
      <w:bookmarkStart w:id="5100" w:name="_Toc2312"/>
      <w:bookmarkEnd w:id="5099"/>
      <w:r>
        <w:rPr>
          <w:rtl w:val="true"/>
        </w:rPr>
        <w:t>[ (</w:t>
      </w:r>
      <w:r>
        <w:rPr>
          <w:rtl w:val="true"/>
        </w:rPr>
        <w:t xml:space="preserve">مسألة </w:t>
      </w:r>
      <w:r>
        <w:rPr/>
        <w:t>11</w:t>
      </w:r>
      <w:r>
        <w:rPr>
          <w:rtl w:val="true"/>
        </w:rPr>
        <w:t xml:space="preserve">): </w:t>
      </w:r>
      <w:r>
        <w:rPr>
          <w:rtl w:val="true"/>
        </w:rPr>
        <w:t>الصبیّ إذا احتمل حصول الرشد له قبل البلوغ، یجب اختباره قبله</w:t>
      </w:r>
      <w:r>
        <w:rPr>
          <w:rtl w:val="true"/>
        </w:rPr>
        <w:t>]</w:t>
      </w:r>
      <w:bookmarkEnd w:id="5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إذا احتمل حصول الرشد له قبل البلوغ، یجب اختباره قبله لیسلّم إلیه ماله بمجرّد بلوغه لو آنس منه الرشد، و إلّا ففی کلّ زمان احتمل فیه ذلک عند البلوغ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غیره فإن ادّعیٰ حصول الرشد له و احتمله الولیّ یجب اختباره و إن لم یدّع حصوله ففی وجوب الاختبار بمجرّد الاحتمال إشکال لا یبعد عدم الوجوب، بل لا یخلو من قوّة</w:t>
      </w:r>
      <w:r>
        <w:rPr>
          <w:rFonts w:eastAsia="IRNazanin" w:cs="IRNazanin"/>
          <w:color w:val="111111"/>
          <w:sz w:val="28"/>
          <w:szCs w:val="28"/>
          <w:rtl w:val="true"/>
          <w:lang w:bidi="fa-IR"/>
        </w:rPr>
        <w:t>.</w:t>
      </w:r>
    </w:p>
    <w:p>
      <w:pPr>
        <w:pStyle w:val="Heading3"/>
        <w:numPr>
          <w:ilvl w:val="2"/>
          <w:numId w:val="1"/>
        </w:numPr>
        <w:rPr/>
      </w:pPr>
      <w:bookmarkStart w:id="5101" w:name="__RefHeading___Toc2569608_3650668749"/>
      <w:bookmarkStart w:id="5102" w:name="_Toc2313"/>
      <w:bookmarkEnd w:id="5101"/>
      <w:r>
        <w:rPr>
          <w:rtl w:val="true"/>
        </w:rPr>
        <w:t>[</w:t>
      </w:r>
      <w:r>
        <w:rPr>
          <w:rtl w:val="true"/>
        </w:rPr>
        <w:t>القول فی المفلّس</w:t>
      </w:r>
      <w:r>
        <w:rPr>
          <w:rtl w:val="true"/>
        </w:rPr>
        <w:t>]</w:t>
      </w:r>
      <w:bookmarkEnd w:id="5102"/>
    </w:p>
    <w:p>
      <w:pPr>
        <w:pStyle w:val="Heading4"/>
        <w:numPr>
          <w:ilvl w:val="3"/>
          <w:numId w:val="1"/>
        </w:numPr>
        <w:rPr/>
      </w:pPr>
      <w:bookmarkStart w:id="5103" w:name="__RefHeading___Toc2569610_3650668749"/>
      <w:bookmarkStart w:id="5104" w:name="_Toc2314"/>
      <w:bookmarkEnd w:id="5103"/>
      <w:r>
        <w:rPr>
          <w:rtl w:val="true"/>
        </w:rPr>
        <w:t>اشارة</w:t>
      </w:r>
      <w:bookmarkEnd w:id="5104"/>
    </w:p>
    <w:p>
      <w:pPr>
        <w:pStyle w:val="BookText"/>
        <w:rPr/>
      </w:pPr>
      <w:r>
        <w:rPr>
          <w:rFonts w:ascii="IRNazanin" w:hAnsi="IRNazanin" w:eastAsia="IRNazanin"/>
          <w:color w:val="111111"/>
          <w:sz w:val="28"/>
          <w:sz w:val="28"/>
          <w:szCs w:val="28"/>
          <w:rtl w:val="true"/>
          <w:lang w:bidi="fa-IR"/>
        </w:rPr>
        <w:t>القول فی المفلّس و هو من حجر علیه عن ماله لقصوره عن دیونه</w:t>
      </w:r>
      <w:r>
        <w:rPr>
          <w:rFonts w:eastAsia="IRNazanin" w:cs="IRNazanin"/>
          <w:color w:val="111111"/>
          <w:sz w:val="28"/>
          <w:szCs w:val="28"/>
          <w:rtl w:val="true"/>
          <w:lang w:bidi="fa-IR"/>
        </w:rPr>
        <w:t>.</w:t>
      </w:r>
    </w:p>
    <w:p>
      <w:pPr>
        <w:pStyle w:val="Heading4"/>
        <w:numPr>
          <w:ilvl w:val="3"/>
          <w:numId w:val="1"/>
        </w:numPr>
        <w:rPr/>
      </w:pPr>
      <w:bookmarkStart w:id="5105" w:name="__RefHeading___Toc2569612_3650668749"/>
      <w:bookmarkStart w:id="5106" w:name="_Toc2315"/>
      <w:bookmarkEnd w:id="5105"/>
      <w:r>
        <w:rPr>
          <w:rtl w:val="true"/>
        </w:rPr>
        <w:t>[ (</w:t>
      </w:r>
      <w:r>
        <w:rPr>
          <w:rtl w:val="true"/>
        </w:rPr>
        <w:t xml:space="preserve">مسألة </w:t>
      </w:r>
      <w:r>
        <w:rPr/>
        <w:t>1</w:t>
      </w:r>
      <w:r>
        <w:rPr>
          <w:rtl w:val="true"/>
        </w:rPr>
        <w:t xml:space="preserve">): </w:t>
      </w:r>
      <w:r>
        <w:rPr>
          <w:rtl w:val="true"/>
        </w:rPr>
        <w:t>من کثرت علیه الدیون و لو کانت أضعاف أمواله، یجوز له التصرّف فیها بأنواعه</w:t>
      </w:r>
      <w:r>
        <w:rPr>
          <w:rtl w:val="true"/>
        </w:rPr>
        <w:t>]</w:t>
      </w:r>
      <w:bookmarkEnd w:id="5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کثرت علیه الدیون و لو کانت أضعاف أمواله، یجوز له التصرّف فیها بأنواعه و نفذ أمره فیها بأصنافه؛ و لو بإخراجها جمیعاً عن ملکه مجّاناً أو بعوض ما لم یحجر علیه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صلحه عنها، أو هبتها مثلًا لأجل الفرار من أداء الدیون یشکل الصحّة، خصوصاً فیما إذا لم یرج حصول مال آخر له باکتساب و نحوه</w:t>
      </w:r>
      <w:r>
        <w:rPr>
          <w:rFonts w:eastAsia="IRNazanin" w:cs="IRNazanin"/>
          <w:color w:val="111111"/>
          <w:sz w:val="28"/>
          <w:szCs w:val="28"/>
          <w:rtl w:val="true"/>
          <w:lang w:bidi="fa-IR"/>
        </w:rPr>
        <w:t>.</w:t>
      </w:r>
    </w:p>
    <w:p>
      <w:pPr>
        <w:pStyle w:val="Heading4"/>
        <w:numPr>
          <w:ilvl w:val="3"/>
          <w:numId w:val="1"/>
        </w:numPr>
        <w:rPr/>
      </w:pPr>
      <w:bookmarkStart w:id="5107" w:name="__RefHeading___Toc2569614_3650668749"/>
      <w:bookmarkStart w:id="5108" w:name="_Toc2316"/>
      <w:bookmarkEnd w:id="5107"/>
      <w:r>
        <w:rPr>
          <w:rtl w:val="true"/>
        </w:rPr>
        <w:t>[ (</w:t>
      </w:r>
      <w:r>
        <w:rPr>
          <w:rtl w:val="true"/>
        </w:rPr>
        <w:t xml:space="preserve">مسألة </w:t>
      </w:r>
      <w:r>
        <w:rPr/>
        <w:t>2</w:t>
      </w:r>
      <w:r>
        <w:rPr>
          <w:rtl w:val="true"/>
        </w:rPr>
        <w:t xml:space="preserve">): </w:t>
      </w:r>
      <w:r>
        <w:rPr>
          <w:rtl w:val="true"/>
        </w:rPr>
        <w:t>لا یجوز الحجر علی المفلس إلّا بشروط أربعة</w:t>
      </w:r>
      <w:r>
        <w:rPr>
          <w:rtl w:val="true"/>
        </w:rPr>
        <w:t>]</w:t>
      </w:r>
      <w:bookmarkEnd w:id="5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الحجر علی المفلس إلّا بشروط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دیونه ثابتة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أمواله من عروض و نقود و منافع و دیون علی الناس ما عدا مستثنیات الدین قاصرة عن 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الدیون حالّة، فلا یحجر علیه لأجل الدیون المؤجّلة و إن لم یف ماله بها لو حلّت، و لو کان بعضها حالّا و بعضها مؤجّلًا، فإن قصر ماله عن الحالّة یحجر علیه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یرجع </w:t>
      </w:r>
      <w:r>
        <w:rPr>
          <w:rStyle w:val="FootnoteAnchor"/>
          <w:rtl w:val="true"/>
        </w:rPr>
        <w:footnoteReference w:id="1401"/>
      </w:r>
      <w:r>
        <w:rPr>
          <w:rFonts w:ascii="IRNazanin" w:hAnsi="IRNazanin" w:eastAsia="IRNazanin"/>
          <w:color w:val="111111"/>
          <w:sz w:val="28"/>
          <w:sz w:val="28"/>
          <w:szCs w:val="28"/>
          <w:rtl w:val="true"/>
          <w:lang w:bidi="fa-IR"/>
        </w:rPr>
        <w:t xml:space="preserve">الغرماء کلّهم أو بعضهم </w:t>
      </w:r>
      <w:r>
        <w:rPr>
          <w:rStyle w:val="FootnoteAnchor"/>
          <w:rtl w:val="true"/>
        </w:rPr>
        <w:footnoteReference w:id="1402"/>
      </w:r>
      <w:r>
        <w:rPr>
          <w:rFonts w:ascii="IRNazanin" w:hAnsi="IRNazanin" w:eastAsia="IRNazanin"/>
          <w:color w:val="111111"/>
          <w:sz w:val="28"/>
          <w:sz w:val="28"/>
          <w:szCs w:val="28"/>
          <w:rtl w:val="true"/>
          <w:lang w:bidi="fa-IR"/>
        </w:rPr>
        <w:t>إلی الحاکم و یلتمسوا منه الحجر علیه</w:t>
      </w:r>
      <w:r>
        <w:rPr>
          <w:rFonts w:eastAsia="IRNazanin" w:cs="IRNazanin"/>
          <w:color w:val="111111"/>
          <w:sz w:val="28"/>
          <w:szCs w:val="28"/>
          <w:rtl w:val="true"/>
          <w:lang w:bidi="fa-IR"/>
        </w:rPr>
        <w:t>.</w:t>
      </w:r>
    </w:p>
    <w:p>
      <w:pPr>
        <w:pStyle w:val="Heading4"/>
        <w:numPr>
          <w:ilvl w:val="3"/>
          <w:numId w:val="1"/>
        </w:numPr>
        <w:rPr/>
      </w:pPr>
      <w:bookmarkStart w:id="5109" w:name="__RefHeading___Toc2569616_3650668749"/>
      <w:bookmarkStart w:id="5110" w:name="_Toc2317"/>
      <w:bookmarkEnd w:id="5109"/>
      <w:r>
        <w:rPr>
          <w:rtl w:val="true"/>
        </w:rPr>
        <w:t>[ (</w:t>
      </w:r>
      <w:r>
        <w:rPr>
          <w:rtl w:val="true"/>
        </w:rPr>
        <w:t xml:space="preserve">مسألة </w:t>
      </w:r>
      <w:r>
        <w:rPr/>
        <w:t>3</w:t>
      </w:r>
      <w:r>
        <w:rPr>
          <w:rtl w:val="true"/>
        </w:rPr>
        <w:t xml:space="preserve">): </w:t>
      </w:r>
      <w:r>
        <w:rPr>
          <w:rtl w:val="true"/>
        </w:rPr>
        <w:t>بعد ما تمّت الشرائط الأربعة و حجر علیه الحاکم و حکم بذلک</w:t>
      </w:r>
      <w:r>
        <w:rPr>
          <w:rtl w:val="true"/>
        </w:rPr>
        <w:t>]</w:t>
      </w:r>
      <w:bookmarkEnd w:id="5110"/>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تمّت الشرائط الأربعة و حجر علیه الحاکم و حکم بذلک، تعلّق حقّ الغرماء بأمواله و لا یجوز له التصرّف فیها بعوض کالبیع و الإجارة و بغیر عوض کالوقف و الهبة إلّا بإذنهم أو إجازتهم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یمنع عن التصرّفات الابتدائیة، فلو اشتریٰ شیئاً سابقاً بخیار ثمّ حجر علیه فالخیار باقٍ و کان له فسخ البیع و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له حقّ مالی سابقاً علی الغیر لیس له إسقاطه و إبراؤه کلّا أو بعضاً</w:t>
      </w:r>
      <w:r>
        <w:rPr>
          <w:rFonts w:eastAsia="IRNazanin" w:cs="IRNazanin"/>
          <w:color w:val="111111"/>
          <w:sz w:val="28"/>
          <w:szCs w:val="28"/>
          <w:rtl w:val="true"/>
          <w:lang w:bidi="fa-IR"/>
        </w:rPr>
        <w:t>.</w:t>
      </w:r>
      <w:bookmarkStart w:id="5111" w:name="pg1809_19512"/>
    </w:p>
    <w:p>
      <w:pPr>
        <w:pStyle w:val="Heading4"/>
        <w:numPr>
          <w:ilvl w:val="3"/>
          <w:numId w:val="1"/>
        </w:numPr>
        <w:rPr/>
      </w:pPr>
      <w:bookmarkStart w:id="5112" w:name="__RefHeading___Toc2569618_3650668749"/>
      <w:bookmarkStart w:id="5113" w:name="_Toc2318"/>
      <w:bookmarkEnd w:id="5111"/>
      <w:bookmarkEnd w:id="5112"/>
      <w:r>
        <w:rPr>
          <w:rtl w:val="true"/>
        </w:rPr>
        <w:t>[ (</w:t>
      </w:r>
      <w:r>
        <w:rPr>
          <w:rtl w:val="true"/>
        </w:rPr>
        <w:t xml:space="preserve">مسألة </w:t>
      </w:r>
      <w:r>
        <w:rPr/>
        <w:t>4</w:t>
      </w:r>
      <w:r>
        <w:rPr>
          <w:rtl w:val="true"/>
        </w:rPr>
        <w:t xml:space="preserve">): </w:t>
      </w:r>
      <w:r>
        <w:rPr>
          <w:rtl w:val="true"/>
        </w:rPr>
        <w:t>إنّما یمنع عن التصرّف فی أمواله الموجودة فی زمان الحجر علیه</w:t>
      </w:r>
      <w:r>
        <w:rPr>
          <w:rtl w:val="true"/>
        </w:rPr>
        <w:t>]</w:t>
      </w:r>
      <w:bookmarkEnd w:id="5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یمنع عن التصرّف فی أمواله الموجودة فی زمان الحجر علیه، و أمّا الأموال المتجدّدة الحاصلة له بغیر اختیاره کالإرث أو باختیاره بمثل الاحتطاب و الاصطیاد و قبول الوصیّة و الهبة و نحو ذلک، ففی شمول </w:t>
      </w:r>
      <w:r>
        <w:rPr>
          <w:rStyle w:val="FootnoteAnchor"/>
          <w:rtl w:val="true"/>
        </w:rPr>
        <w:footnoteReference w:id="1403"/>
      </w:r>
      <w:r>
        <w:rPr>
          <w:rFonts w:ascii="IRNazanin" w:hAnsi="IRNazanin" w:eastAsia="IRNazanin"/>
          <w:color w:val="111111"/>
          <w:sz w:val="28"/>
          <w:sz w:val="28"/>
          <w:szCs w:val="28"/>
          <w:rtl w:val="true"/>
          <w:lang w:bidi="fa-IR"/>
        </w:rPr>
        <w:t>الحجر لها إشکال، نعم لا إشکال فی جواز تجدید الحجر علیها</w:t>
      </w:r>
      <w:r>
        <w:rPr>
          <w:rFonts w:eastAsia="IRNazanin" w:cs="IRNazanin"/>
          <w:color w:val="111111"/>
          <w:sz w:val="28"/>
          <w:szCs w:val="28"/>
          <w:rtl w:val="true"/>
          <w:lang w:bidi="fa-IR"/>
        </w:rPr>
        <w:t>.</w:t>
      </w:r>
    </w:p>
    <w:p>
      <w:pPr>
        <w:pStyle w:val="Heading4"/>
        <w:numPr>
          <w:ilvl w:val="3"/>
          <w:numId w:val="1"/>
        </w:numPr>
        <w:rPr/>
      </w:pPr>
      <w:bookmarkStart w:id="5114" w:name="__RefHeading___Toc2569620_3650668749"/>
      <w:bookmarkStart w:id="5115" w:name="_Toc2319"/>
      <w:bookmarkEnd w:id="5114"/>
      <w:r>
        <w:rPr>
          <w:rtl w:val="true"/>
        </w:rPr>
        <w:t>[ (</w:t>
      </w:r>
      <w:r>
        <w:rPr>
          <w:rtl w:val="true"/>
        </w:rPr>
        <w:t xml:space="preserve">مسألة </w:t>
      </w:r>
      <w:r>
        <w:rPr/>
        <w:t>5</w:t>
      </w:r>
      <w:r>
        <w:rPr>
          <w:rtl w:val="true"/>
        </w:rPr>
        <w:t xml:space="preserve">): </w:t>
      </w:r>
      <w:r>
        <w:rPr>
          <w:rtl w:val="true"/>
        </w:rPr>
        <w:t>لو أقرّ بعد الحجر بدین سابق صحّ</w:t>
      </w:r>
      <w:r>
        <w:rPr>
          <w:rtl w:val="true"/>
        </w:rPr>
        <w:t>]</w:t>
      </w:r>
      <w:bookmarkEnd w:id="5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أقرّ بعد الحجر بدین سابق صحّ و شارک </w:t>
      </w:r>
      <w:r>
        <w:rPr>
          <w:rStyle w:val="FootnoteAnchor"/>
          <w:rtl w:val="true"/>
        </w:rPr>
        <w:footnoteReference w:id="1404"/>
      </w:r>
      <w:r>
        <w:rPr>
          <w:rFonts w:ascii="IRNazanin" w:hAnsi="IRNazanin" w:eastAsia="IRNazanin"/>
          <w:color w:val="111111"/>
          <w:sz w:val="28"/>
          <w:sz w:val="28"/>
          <w:szCs w:val="28"/>
          <w:rtl w:val="true"/>
          <w:lang w:bidi="fa-IR"/>
        </w:rPr>
        <w:t>المقرّ له مع الغرماء، و کذا لو أقرّ بدین لاحق و أسنده إلیٰ سبب لا یحتاج إلیٰ رضا الطرفین مثل الإتلاف و الجنایة و نحوهما، و أمّا لو أسنده إلیٰ سبب یحتاج إلیٰ ذلک کالاقتراض و الشراء بما فی الذمّة و نحو ذلک نفذ الإقرار فی حقّه، لکن لا یشارک المقرّ له مع الغرماء</w:t>
      </w:r>
      <w:r>
        <w:rPr>
          <w:rFonts w:eastAsia="IRNazanin" w:cs="IRNazanin"/>
          <w:color w:val="111111"/>
          <w:sz w:val="28"/>
          <w:szCs w:val="28"/>
          <w:rtl w:val="true"/>
          <w:lang w:bidi="fa-IR"/>
        </w:rPr>
        <w:t>.</w:t>
      </w:r>
    </w:p>
    <w:p>
      <w:pPr>
        <w:pStyle w:val="Heading4"/>
        <w:numPr>
          <w:ilvl w:val="3"/>
          <w:numId w:val="1"/>
        </w:numPr>
        <w:rPr/>
      </w:pPr>
      <w:bookmarkStart w:id="5116" w:name="__RefHeading___Toc2569622_3650668749"/>
      <w:bookmarkStart w:id="5117" w:name="_Toc2320"/>
      <w:bookmarkEnd w:id="5116"/>
      <w:r>
        <w:rPr>
          <w:rtl w:val="true"/>
        </w:rPr>
        <w:t>[ (</w:t>
      </w:r>
      <w:r>
        <w:rPr>
          <w:rtl w:val="true"/>
        </w:rPr>
        <w:t xml:space="preserve">مسألة </w:t>
      </w:r>
      <w:r>
        <w:rPr/>
        <w:t>6</w:t>
      </w:r>
      <w:r>
        <w:rPr>
          <w:rtl w:val="true"/>
        </w:rPr>
        <w:t xml:space="preserve">): </w:t>
      </w:r>
      <w:r>
        <w:rPr>
          <w:rtl w:val="true"/>
        </w:rPr>
        <w:t>لو أقرّ بعین من الأعیان التی تحت یده لشخص، لا إشکال فی نفوذ إقراره فی حقّه</w:t>
      </w:r>
      <w:r>
        <w:rPr>
          <w:rtl w:val="true"/>
        </w:rPr>
        <w:t>]</w:t>
      </w:r>
      <w:bookmarkEnd w:id="5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بعین من الأعیان التی تحت یده لشخص، لا إشکال فی نفوذ إقراره فی حقّه، فلو سقط حقّ الغرماء و انفکّ الحجر لزمه تسلیمها إلی المقرّ له أخذاً بإقراره، و أمّا نفوذه فی حقّ الغرماء بحیث تدفع إلی المقرّ له فی الحال، ففیه إشکال، الأقوی العدم</w:t>
      </w:r>
      <w:r>
        <w:rPr>
          <w:rFonts w:eastAsia="IRNazanin" w:cs="IRNazanin"/>
          <w:color w:val="111111"/>
          <w:sz w:val="28"/>
          <w:szCs w:val="28"/>
          <w:rtl w:val="true"/>
          <w:lang w:bidi="fa-IR"/>
        </w:rPr>
        <w:t>.</w:t>
      </w:r>
    </w:p>
    <w:p>
      <w:pPr>
        <w:pStyle w:val="Heading4"/>
        <w:numPr>
          <w:ilvl w:val="3"/>
          <w:numId w:val="1"/>
        </w:numPr>
        <w:rPr/>
      </w:pPr>
      <w:bookmarkStart w:id="5118" w:name="__RefHeading___Toc2569624_3650668749"/>
      <w:bookmarkStart w:id="5119" w:name="_Toc2321"/>
      <w:bookmarkEnd w:id="5118"/>
      <w:r>
        <w:rPr>
          <w:rtl w:val="true"/>
        </w:rPr>
        <w:t>[ (</w:t>
      </w:r>
      <w:r>
        <w:rPr>
          <w:rtl w:val="true"/>
        </w:rPr>
        <w:t xml:space="preserve">مسألة </w:t>
      </w:r>
      <w:r>
        <w:rPr/>
        <w:t>7</w:t>
      </w:r>
      <w:r>
        <w:rPr>
          <w:rtl w:val="true"/>
        </w:rPr>
        <w:t xml:space="preserve">): </w:t>
      </w:r>
      <w:r>
        <w:rPr>
          <w:rtl w:val="true"/>
        </w:rPr>
        <w:t>بعد ما حکم الحاکم بحجر المفلّس و منعه عن التصرّف فی أمواله یشرع فی بیعها و قسمتها بین الغرماء بالحصص</w:t>
      </w:r>
      <w:r>
        <w:rPr>
          <w:rtl w:val="true"/>
        </w:rPr>
        <w:t>]</w:t>
      </w:r>
      <w:bookmarkEnd w:id="5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حکم الحاکم بحجر المفلّس و منعه عن التصرّف فی أمواله یشرع فی بیعها و قسمتها بین الغرماء بالحصص و علیٰ نسبة دیونهم، مستثنیاً منها مستثنیات الدین و قد مرّت فی کتاب الدین، و کذا أمواله المرهونة عند الدیّان لو کان، فإنّ المرتهن أحقّ باستیفاء حقّه من الرهن الذی عنده، و لا یحاصّه فیه سائر الغرماء و قد مرّ فی کتاب الرهن</w:t>
      </w:r>
      <w:r>
        <w:rPr>
          <w:rFonts w:eastAsia="IRNazanin" w:cs="IRNazanin"/>
          <w:color w:val="111111"/>
          <w:sz w:val="28"/>
          <w:szCs w:val="28"/>
          <w:rtl w:val="true"/>
          <w:lang w:bidi="fa-IR"/>
        </w:rPr>
        <w:t>.</w:t>
      </w:r>
    </w:p>
    <w:p>
      <w:pPr>
        <w:pStyle w:val="Heading4"/>
        <w:numPr>
          <w:ilvl w:val="3"/>
          <w:numId w:val="1"/>
        </w:numPr>
        <w:rPr/>
      </w:pPr>
      <w:bookmarkStart w:id="5120" w:name="__RefHeading___Toc2569626_3650668749"/>
      <w:bookmarkStart w:id="5121" w:name="_Toc2322"/>
      <w:bookmarkEnd w:id="5120"/>
      <w:r>
        <w:rPr>
          <w:rtl w:val="true"/>
        </w:rPr>
        <w:t>[ (</w:t>
      </w:r>
      <w:r>
        <w:rPr>
          <w:rtl w:val="true"/>
        </w:rPr>
        <w:t xml:space="preserve">مسألة </w:t>
      </w:r>
      <w:r>
        <w:rPr/>
        <w:t>8</w:t>
      </w:r>
      <w:r>
        <w:rPr>
          <w:rtl w:val="true"/>
        </w:rPr>
        <w:t xml:space="preserve">): </w:t>
      </w:r>
      <w:r>
        <w:rPr>
          <w:rtl w:val="true"/>
        </w:rPr>
        <w:t>إن کان من جملة مال المفلّس عین اشتراها</w:t>
      </w:r>
      <w:r>
        <w:rPr>
          <w:rtl w:val="true"/>
        </w:rPr>
        <w:t>]</w:t>
      </w:r>
      <w:bookmarkEnd w:id="5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جملة مال المفلّس عین اشتراها، و کان ثمنها فی ذمّته، کان البائع بالخیار بین أن یفسخ البیع و یأخذ عین ماله و بین الضرب مع الغرماء بالثمن و لو لم یکن له مال سواها</w:t>
      </w:r>
      <w:r>
        <w:rPr>
          <w:rFonts w:eastAsia="IRNazanin" w:cs="IRNazanin"/>
          <w:color w:val="111111"/>
          <w:sz w:val="28"/>
          <w:szCs w:val="28"/>
          <w:rtl w:val="true"/>
          <w:lang w:bidi="fa-IR"/>
        </w:rPr>
        <w:t>.</w:t>
      </w:r>
    </w:p>
    <w:p>
      <w:pPr>
        <w:pStyle w:val="Heading4"/>
        <w:numPr>
          <w:ilvl w:val="3"/>
          <w:numId w:val="1"/>
        </w:numPr>
        <w:rPr/>
      </w:pPr>
      <w:bookmarkStart w:id="5122" w:name="__RefHeading___Toc2569628_3650668749"/>
      <w:bookmarkStart w:id="5123" w:name="_Toc2323"/>
      <w:bookmarkEnd w:id="5122"/>
      <w:r>
        <w:rPr>
          <w:rtl w:val="true"/>
        </w:rPr>
        <w:t>[ (</w:t>
      </w:r>
      <w:r>
        <w:rPr>
          <w:rtl w:val="true"/>
        </w:rPr>
        <w:t xml:space="preserve">مسألة </w:t>
      </w:r>
      <w:r>
        <w:rPr/>
        <w:t>9</w:t>
      </w:r>
      <w:r>
        <w:rPr>
          <w:rtl w:val="true"/>
        </w:rPr>
        <w:t xml:space="preserve">): </w:t>
      </w:r>
      <w:r>
        <w:rPr>
          <w:rtl w:val="true"/>
        </w:rPr>
        <w:t>قیل</w:t>
      </w:r>
      <w:r>
        <w:rPr>
          <w:rtl w:val="true"/>
        </w:rPr>
        <w:t xml:space="preserve">: </w:t>
      </w:r>
      <w:r>
        <w:rPr>
          <w:rtl w:val="true"/>
        </w:rPr>
        <w:t>هذا الخیار علی الفور</w:t>
      </w:r>
      <w:r>
        <w:rPr>
          <w:rtl w:val="true"/>
        </w:rPr>
        <w:t>]</w:t>
      </w:r>
      <w:bookmarkEnd w:id="5123"/>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الخیار علی الفور، فإن لم یبادر بالرجوع فی العین تعیّن له الضرب مع الغرماء و هو أحوط، لکن الظاهر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له الإفراط فی تأخیر الاختیار بحیث تعطّل أمر التقسیم علی الغرماء، فإذا وقع منه ذلک خیّره الحاکم بین الأمرین فإن امتنع عن اختیار أحدهما ضربه مع الغرماء بالثمن</w:t>
      </w:r>
      <w:r>
        <w:rPr>
          <w:rFonts w:eastAsia="IRNazanin" w:cs="IRNazanin"/>
          <w:color w:val="111111"/>
          <w:sz w:val="28"/>
          <w:szCs w:val="28"/>
          <w:rtl w:val="true"/>
          <w:lang w:bidi="fa-IR"/>
        </w:rPr>
        <w:t>.</w:t>
      </w:r>
      <w:bookmarkStart w:id="5124" w:name="pg1809_19513"/>
    </w:p>
    <w:p>
      <w:pPr>
        <w:pStyle w:val="Heading4"/>
        <w:numPr>
          <w:ilvl w:val="3"/>
          <w:numId w:val="1"/>
        </w:numPr>
        <w:rPr/>
      </w:pPr>
      <w:bookmarkStart w:id="5125" w:name="__RefHeading___Toc2569630_3650668749"/>
      <w:bookmarkStart w:id="5126" w:name="_Toc2324"/>
      <w:bookmarkEnd w:id="5124"/>
      <w:bookmarkEnd w:id="5125"/>
      <w:r>
        <w:rPr>
          <w:rtl w:val="true"/>
        </w:rPr>
        <w:t>[ (</w:t>
      </w:r>
      <w:r>
        <w:rPr>
          <w:rtl w:val="true"/>
        </w:rPr>
        <w:t xml:space="preserve">مسألة </w:t>
      </w:r>
      <w:r>
        <w:rPr/>
        <w:t>10</w:t>
      </w:r>
      <w:r>
        <w:rPr>
          <w:rtl w:val="true"/>
        </w:rPr>
        <w:t xml:space="preserve">): </w:t>
      </w:r>
      <w:r>
        <w:rPr>
          <w:rtl w:val="true"/>
        </w:rPr>
        <w:t>یعتبر فی جواز رجوع البائع بالعین حلول الدین، فلا رجوع</w:t>
      </w:r>
      <w:r>
        <w:rPr>
          <w:rtl w:val="true"/>
        </w:rPr>
        <w:t>]</w:t>
      </w:r>
      <w:bookmarkEnd w:id="5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جواز رجوع البائع بالعین حلول </w:t>
      </w:r>
      <w:r>
        <w:rPr>
          <w:rStyle w:val="FootnoteAnchor"/>
          <w:rtl w:val="true"/>
        </w:rPr>
        <w:footnoteReference w:id="1405"/>
      </w:r>
      <w:r>
        <w:rPr>
          <w:rFonts w:ascii="IRNazanin" w:hAnsi="IRNazanin" w:eastAsia="IRNazanin"/>
          <w:color w:val="111111"/>
          <w:sz w:val="28"/>
          <w:sz w:val="28"/>
          <w:szCs w:val="28"/>
          <w:rtl w:val="true"/>
          <w:lang w:bidi="fa-IR"/>
        </w:rPr>
        <w:t>الدین، فلا رجوع لو کان مؤجّلًا</w:t>
      </w:r>
      <w:r>
        <w:rPr>
          <w:rFonts w:eastAsia="IRNazanin" w:cs="IRNazanin"/>
          <w:color w:val="111111"/>
          <w:sz w:val="28"/>
          <w:szCs w:val="28"/>
          <w:rtl w:val="true"/>
          <w:lang w:bidi="fa-IR"/>
        </w:rPr>
        <w:t>.</w:t>
      </w:r>
    </w:p>
    <w:p>
      <w:pPr>
        <w:pStyle w:val="Heading4"/>
        <w:numPr>
          <w:ilvl w:val="3"/>
          <w:numId w:val="1"/>
        </w:numPr>
        <w:rPr/>
      </w:pPr>
      <w:bookmarkStart w:id="5127" w:name="__RefHeading___Toc2569632_3650668749"/>
      <w:bookmarkStart w:id="5128" w:name="_Toc2325"/>
      <w:bookmarkEnd w:id="5127"/>
      <w:r>
        <w:rPr>
          <w:rtl w:val="true"/>
        </w:rPr>
        <w:t>[ (</w:t>
      </w:r>
      <w:r>
        <w:rPr>
          <w:rtl w:val="true"/>
        </w:rPr>
        <w:t xml:space="preserve">مسألة </w:t>
      </w:r>
      <w:r>
        <w:rPr/>
        <w:t>11</w:t>
      </w:r>
      <w:r>
        <w:rPr>
          <w:rtl w:val="true"/>
        </w:rPr>
        <w:t xml:space="preserve">): </w:t>
      </w:r>
      <w:r>
        <w:rPr>
          <w:rtl w:val="true"/>
        </w:rPr>
        <w:t>لو کانت العین من مستثنیات الدین لیس للبائع أن یرجع إلیها علی الأظهر</w:t>
      </w:r>
      <w:r>
        <w:rPr>
          <w:rtl w:val="true"/>
        </w:rPr>
        <w:t>]</w:t>
      </w:r>
      <w:bookmarkEnd w:id="5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العین من مستثنیات الدین لیس للبائع أن یرجع إلیها علی الأظهر</w:t>
      </w:r>
      <w:r>
        <w:rPr>
          <w:rFonts w:eastAsia="IRNazanin" w:cs="IRNazanin"/>
          <w:color w:val="111111"/>
          <w:sz w:val="28"/>
          <w:szCs w:val="28"/>
          <w:rtl w:val="true"/>
          <w:lang w:bidi="fa-IR"/>
        </w:rPr>
        <w:t>.</w:t>
      </w:r>
    </w:p>
    <w:p>
      <w:pPr>
        <w:pStyle w:val="Heading4"/>
        <w:numPr>
          <w:ilvl w:val="3"/>
          <w:numId w:val="1"/>
        </w:numPr>
        <w:rPr/>
      </w:pPr>
      <w:bookmarkStart w:id="5129" w:name="__RefHeading___Toc2569634_3650668749"/>
      <w:bookmarkStart w:id="5130" w:name="_Toc2326"/>
      <w:bookmarkEnd w:id="5129"/>
      <w:r>
        <w:rPr>
          <w:rtl w:val="true"/>
        </w:rPr>
        <w:t>[ (</w:t>
      </w:r>
      <w:r>
        <w:rPr>
          <w:rtl w:val="true"/>
        </w:rPr>
        <w:t xml:space="preserve">مسألة </w:t>
      </w:r>
      <w:r>
        <w:rPr/>
        <w:t>12</w:t>
      </w:r>
      <w:r>
        <w:rPr>
          <w:rtl w:val="true"/>
        </w:rPr>
        <w:t xml:space="preserve">): </w:t>
      </w:r>
      <w:r>
        <w:rPr>
          <w:rtl w:val="true"/>
        </w:rPr>
        <w:t>المقرض کالبائع فی أنّ له الرجوع فی العین المقترضة لو وجدها عند المقترض</w:t>
      </w:r>
      <w:r>
        <w:rPr>
          <w:rtl w:val="true"/>
        </w:rPr>
        <w:t>]</w:t>
      </w:r>
      <w:bookmarkEnd w:id="5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المقرض کالبائع فی أنّ له الرجوع فی العین المقترضة لو وجدها عند المقترض، بل و کذا المؤجر </w:t>
      </w:r>
      <w:r>
        <w:rPr>
          <w:rStyle w:val="FootnoteAnchor"/>
          <w:rtl w:val="true"/>
        </w:rPr>
        <w:footnoteReference w:id="1406"/>
      </w:r>
      <w:r>
        <w:rPr>
          <w:rFonts w:ascii="IRNazanin" w:hAnsi="IRNazanin" w:eastAsia="IRNazanin"/>
          <w:color w:val="111111"/>
          <w:sz w:val="28"/>
          <w:sz w:val="28"/>
          <w:szCs w:val="28"/>
          <w:rtl w:val="true"/>
          <w:lang w:bidi="fa-IR"/>
        </w:rPr>
        <w:t>فإنّ له فسخ الإجارة إذا حجر علی المستأجر قبل استیفاء المنفعة</w:t>
      </w:r>
      <w:r>
        <w:rPr>
          <w:rFonts w:eastAsia="IRNazanin" w:cs="IRNazanin"/>
          <w:color w:val="111111"/>
          <w:sz w:val="28"/>
          <w:szCs w:val="28"/>
          <w:rtl w:val="true"/>
          <w:lang w:bidi="fa-IR"/>
        </w:rPr>
        <w:t>.</w:t>
      </w:r>
    </w:p>
    <w:p>
      <w:pPr>
        <w:pStyle w:val="Heading4"/>
        <w:numPr>
          <w:ilvl w:val="3"/>
          <w:numId w:val="1"/>
        </w:numPr>
        <w:rPr/>
      </w:pPr>
      <w:bookmarkStart w:id="5131" w:name="__RefHeading___Toc2569636_3650668749"/>
      <w:bookmarkStart w:id="5132" w:name="_Toc2327"/>
      <w:bookmarkEnd w:id="5131"/>
      <w:r>
        <w:rPr>
          <w:rtl w:val="true"/>
        </w:rPr>
        <w:t>[ (</w:t>
      </w:r>
      <w:r>
        <w:rPr>
          <w:rtl w:val="true"/>
        </w:rPr>
        <w:t xml:space="preserve">مسألة </w:t>
      </w:r>
      <w:r>
        <w:rPr/>
        <w:t>13</w:t>
      </w:r>
      <w:r>
        <w:rPr>
          <w:rtl w:val="true"/>
        </w:rPr>
        <w:t xml:space="preserve">): </w:t>
      </w:r>
      <w:r>
        <w:rPr>
          <w:rtl w:val="true"/>
        </w:rPr>
        <w:t>لو وجد البائع أو المقرض بعض العین المبیعة أو المقترضة، کان لهما الرجوع إلی الموجود بحصّته من الدین</w:t>
      </w:r>
      <w:r>
        <w:rPr>
          <w:rtl w:val="true"/>
        </w:rPr>
        <w:t>]</w:t>
      </w:r>
      <w:bookmarkEnd w:id="5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البائع أو المقرض بعض العین المبیعة أو المقترضة، کان لهما الرجوع إلی الموجود بحصّته من الدین و الضرب بالباقی مع الغرماء، کما أنّ لهما الضرب بتمام الدین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استوفی المستأجر بعض المنفعة کان للمؤجر فسخ الإجارة بالنسبة إلیٰ ما بقی من المدّة بحصّتها من الأُجرة و الضرب مع الغرماء بما قابلت المنفعة الماضیة، کما أنّ له الضرب معهم بتمام الأُجرة</w:t>
      </w:r>
      <w:r>
        <w:rPr>
          <w:rFonts w:eastAsia="IRNazanin" w:cs="IRNazanin"/>
          <w:color w:val="111111"/>
          <w:sz w:val="28"/>
          <w:szCs w:val="28"/>
          <w:rtl w:val="true"/>
          <w:lang w:bidi="fa-IR"/>
        </w:rPr>
        <w:t>.</w:t>
      </w:r>
    </w:p>
    <w:p>
      <w:pPr>
        <w:pStyle w:val="Heading4"/>
        <w:numPr>
          <w:ilvl w:val="3"/>
          <w:numId w:val="1"/>
        </w:numPr>
        <w:rPr/>
      </w:pPr>
      <w:bookmarkStart w:id="5133" w:name="__RefHeading___Toc2569638_3650668749"/>
      <w:bookmarkStart w:id="5134" w:name="_Toc2328"/>
      <w:bookmarkEnd w:id="5133"/>
      <w:r>
        <w:rPr>
          <w:rtl w:val="true"/>
        </w:rPr>
        <w:t>[ (</w:t>
      </w:r>
      <w:r>
        <w:rPr>
          <w:rtl w:val="true"/>
        </w:rPr>
        <w:t xml:space="preserve">مسألة </w:t>
      </w:r>
      <w:r>
        <w:rPr/>
        <w:t>14</w:t>
      </w:r>
      <w:r>
        <w:rPr>
          <w:rtl w:val="true"/>
        </w:rPr>
        <w:t xml:space="preserve">): </w:t>
      </w:r>
      <w:r>
        <w:rPr>
          <w:rtl w:val="true"/>
        </w:rPr>
        <w:t>لو زادت فی العین المبیعة أو المقترضة زیادة متّصلة کالسمن تتبع الأصل</w:t>
      </w:r>
      <w:r>
        <w:rPr>
          <w:rtl w:val="true"/>
        </w:rPr>
        <w:t>]</w:t>
      </w:r>
      <w:bookmarkEnd w:id="5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زادت فی العین المبیعة أو المقترضة زیادة متّصلة کالسمن تتبع الأصل، فیرجع البائع أو المقرض إلی العین کما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الزیادة المنفصلة کالحمل و الولد و اللبن و الثمر علی الشجر فهی للمشتری و المقترض و لیس للبائع و المقرض إلّا الرجوع إلی الأصل</w:t>
      </w:r>
      <w:r>
        <w:rPr>
          <w:rFonts w:eastAsia="IRNazanin" w:cs="IRNazanin"/>
          <w:color w:val="111111"/>
          <w:sz w:val="28"/>
          <w:szCs w:val="28"/>
          <w:rtl w:val="true"/>
          <w:lang w:bidi="fa-IR"/>
        </w:rPr>
        <w:t>.</w:t>
      </w:r>
    </w:p>
    <w:p>
      <w:pPr>
        <w:pStyle w:val="Heading4"/>
        <w:numPr>
          <w:ilvl w:val="3"/>
          <w:numId w:val="1"/>
        </w:numPr>
        <w:rPr/>
      </w:pPr>
      <w:bookmarkStart w:id="5135" w:name="__RefHeading___Toc2569640_3650668749"/>
      <w:bookmarkStart w:id="5136" w:name="_Toc2329"/>
      <w:bookmarkEnd w:id="5135"/>
      <w:r>
        <w:rPr>
          <w:rtl w:val="true"/>
        </w:rPr>
        <w:t>[ (</w:t>
      </w:r>
      <w:r>
        <w:rPr>
          <w:rtl w:val="true"/>
        </w:rPr>
        <w:t xml:space="preserve">مسألة </w:t>
      </w:r>
      <w:r>
        <w:rPr/>
        <w:t>15</w:t>
      </w:r>
      <w:r>
        <w:rPr>
          <w:rtl w:val="true"/>
        </w:rPr>
        <w:t xml:space="preserve">): </w:t>
      </w:r>
      <w:r>
        <w:rPr>
          <w:rtl w:val="true"/>
        </w:rPr>
        <w:t>لو تعیّبت العین عند المشتری مثلًا فإن کان بآفة سماویّة أو بفعل المشتری فللبائع أن یأخذها</w:t>
      </w:r>
      <w:r>
        <w:rPr>
          <w:rtl w:val="true"/>
        </w:rPr>
        <w:t>]</w:t>
      </w:r>
      <w:bookmarkEnd w:id="5136"/>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تعیّبت العین عند المشتری مثلًا فإن کان بآفة سماویّة أو بفعل المشتری فللبائع أن یأخذها کما هی بدل الثمن و أن یضرب بالثمن مع الغرماء، و کذا لو کان بفعل البائع </w:t>
      </w:r>
      <w:r>
        <w:rPr>
          <w:rStyle w:val="FootnoteAnchor"/>
          <w:rtl w:val="true"/>
        </w:rPr>
        <w:footnoteReference w:id="1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 کان بفعل الأجنبی فالبائع بالخیار بین أن یضرب مع الغرماء بتمام الثمن و بین أن یأخذ العین معیباً، و حینئذٍ فیحتمل أن یضارب الغرماء فی جزء من الثمن نسبته إلیه کنسبة الأرش إلیٰ قیمة العین، و یحتمل </w:t>
      </w:r>
      <w:r>
        <w:rPr>
          <w:rStyle w:val="FootnoteAnchor"/>
          <w:rtl w:val="true"/>
        </w:rPr>
        <w:footnoteReference w:id="1408"/>
      </w:r>
      <w:r>
        <w:rPr>
          <w:rFonts w:ascii="IRNazanin" w:hAnsi="IRNazanin" w:eastAsia="IRNazanin"/>
          <w:color w:val="111111"/>
          <w:sz w:val="28"/>
          <w:sz w:val="28"/>
          <w:szCs w:val="28"/>
          <w:rtl w:val="true"/>
          <w:lang w:bidi="fa-IR"/>
        </w:rPr>
        <w:t>أن یضاربهم فی تمام الأرش،</w:t>
      </w:r>
      <w:bookmarkStart w:id="5137" w:name="pg1809_19514"/>
    </w:p>
    <w:p>
      <w:pPr>
        <w:pStyle w:val="BookText"/>
        <w:rPr/>
      </w:pPr>
      <w:bookmarkEnd w:id="5137"/>
      <w:r>
        <w:rPr>
          <w:rFonts w:ascii="IRNazanin" w:hAnsi="IRNazanin" w:eastAsia="IRNazanin"/>
          <w:color w:val="111111"/>
          <w:sz w:val="28"/>
          <w:sz w:val="28"/>
          <w:szCs w:val="28"/>
          <w:rtl w:val="true"/>
          <w:lang w:bidi="fa-IR"/>
        </w:rPr>
        <w:t>فإذا کان الثمن عشرة و قیمة العین عشرین و أرش النقصان أربعة خمس القیمة فعلی الأوّل یضاربهم فی اثنین و علی الثانی فی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العکس بأن کان الثمن عشرین و القیمة عشرة و کان الأرش اثنین خمس العشرة یکون الأمر بالعکس یضاربهم فی أربعة علی الأوّل و فی اثنین علی الثانی، و المسألة محلّ إشکال، فالأحوط للبائع أن یقتصر علیٰ أقلّ الأمرین و هو الاثنان فی الصورتین</w:t>
      </w:r>
      <w:r>
        <w:rPr>
          <w:rFonts w:eastAsia="IRNazanin" w:cs="IRNazanin"/>
          <w:color w:val="111111"/>
          <w:sz w:val="28"/>
          <w:szCs w:val="28"/>
          <w:rtl w:val="true"/>
          <w:lang w:bidi="fa-IR"/>
        </w:rPr>
        <w:t>.</w:t>
      </w:r>
    </w:p>
    <w:p>
      <w:pPr>
        <w:pStyle w:val="Heading4"/>
        <w:numPr>
          <w:ilvl w:val="3"/>
          <w:numId w:val="1"/>
        </w:numPr>
        <w:rPr/>
      </w:pPr>
      <w:bookmarkStart w:id="5138" w:name="__RefHeading___Toc2569642_3650668749"/>
      <w:bookmarkStart w:id="5139" w:name="_Toc2330"/>
      <w:bookmarkEnd w:id="5138"/>
      <w:r>
        <w:rPr>
          <w:rtl w:val="true"/>
        </w:rPr>
        <w:t>[ (</w:t>
      </w:r>
      <w:r>
        <w:rPr>
          <w:rtl w:val="true"/>
        </w:rPr>
        <w:t xml:space="preserve">مسألة </w:t>
      </w:r>
      <w:r>
        <w:rPr/>
        <w:t>16</w:t>
      </w:r>
      <w:r>
        <w:rPr>
          <w:rtl w:val="true"/>
        </w:rPr>
        <w:t xml:space="preserve">): </w:t>
      </w:r>
      <w:r>
        <w:rPr>
          <w:rtl w:val="true"/>
        </w:rPr>
        <w:t>لو اشتریٰ أرضاً فأحدث فیها بناءً أو غرساً ثمّ فلس کان للبائع الرجوع إلیٰ أرضه</w:t>
      </w:r>
      <w:r>
        <w:rPr>
          <w:rtl w:val="true"/>
        </w:rPr>
        <w:t>]</w:t>
      </w:r>
      <w:bookmarkEnd w:id="5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اشتریٰ أرضاً فأحدث فیها بناءً أو غرساً ثمّ فلس کان للبائع الرجوع إلیٰ أرضه، لکنّ البناء و الغرس للمشتری و لیس له حقّ البقاء و لو بالأُجرة، فإن تراضیا علی البقاء مجّاناً أو بالأُجرة، و إلّا فللبائع إلزامه بالقلع لکن مع دفع الأرش، کما أنّ للمشتری القلع لکن مع طمّ الحفر، و الأحوط للبائع عدم إلزامه بالقلع و الرضا ببقائه و لو بالأُجرة </w:t>
      </w:r>
      <w:r>
        <w:rPr>
          <w:rStyle w:val="FootnoteAnchor"/>
          <w:rtl w:val="true"/>
        </w:rPr>
        <w:footnoteReference w:id="1409"/>
      </w:r>
      <w:r>
        <w:rPr>
          <w:rFonts w:ascii="IRNazanin" w:hAnsi="IRNazanin" w:eastAsia="IRNazanin"/>
          <w:color w:val="111111"/>
          <w:sz w:val="28"/>
          <w:sz w:val="28"/>
          <w:szCs w:val="28"/>
          <w:rtl w:val="true"/>
          <w:lang w:bidi="fa-IR"/>
        </w:rPr>
        <w:t>إذا أراده المشتری</w:t>
      </w:r>
      <w:r>
        <w:rPr>
          <w:rFonts w:eastAsia="IRNazanin" w:cs="IRNazanin"/>
          <w:color w:val="111111"/>
          <w:sz w:val="28"/>
          <w:szCs w:val="28"/>
          <w:rtl w:val="true"/>
          <w:lang w:bidi="fa-IR"/>
        </w:rPr>
        <w:t>.</w:t>
      </w:r>
    </w:p>
    <w:p>
      <w:pPr>
        <w:pStyle w:val="Heading4"/>
        <w:numPr>
          <w:ilvl w:val="3"/>
          <w:numId w:val="1"/>
        </w:numPr>
        <w:rPr/>
      </w:pPr>
      <w:bookmarkStart w:id="5140" w:name="__RefHeading___Toc2569644_3650668749"/>
      <w:bookmarkStart w:id="5141" w:name="_Toc2331"/>
      <w:bookmarkEnd w:id="5140"/>
      <w:r>
        <w:rPr>
          <w:rtl w:val="true"/>
        </w:rPr>
        <w:t>[ (</w:t>
      </w:r>
      <w:r>
        <w:rPr>
          <w:rtl w:val="true"/>
        </w:rPr>
        <w:t xml:space="preserve">مسألة </w:t>
      </w:r>
      <w:r>
        <w:rPr/>
        <w:t>17</w:t>
      </w:r>
      <w:r>
        <w:rPr>
          <w:rtl w:val="true"/>
        </w:rPr>
        <w:t xml:space="preserve">): </w:t>
      </w:r>
      <w:r>
        <w:rPr>
          <w:rtl w:val="true"/>
        </w:rPr>
        <w:t>لو خلط المشتری مثلًا ما اشتراه بماله، فإن کان بغیر جنسه لیس للبائع الرجوع فی ماله و بطل</w:t>
      </w:r>
      <w:r>
        <w:rPr>
          <w:rtl w:val="true"/>
        </w:rPr>
        <w:t>]</w:t>
      </w:r>
      <w:bookmarkEnd w:id="5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خلط المشتری مثلًا ما اشتراه بماله، فإن کان بغیر جنسه لیس للبائع الرجوع فی ماله و بطل </w:t>
      </w:r>
      <w:r>
        <w:rPr>
          <w:rStyle w:val="FootnoteAnchor"/>
          <w:rtl w:val="true"/>
        </w:rPr>
        <w:footnoteReference w:id="1410"/>
      </w:r>
      <w:r>
        <w:rPr>
          <w:rFonts w:ascii="IRNazanin" w:hAnsi="IRNazanin" w:eastAsia="IRNazanin"/>
          <w:color w:val="111111"/>
          <w:sz w:val="28"/>
          <w:sz w:val="28"/>
          <w:szCs w:val="28"/>
          <w:rtl w:val="true"/>
          <w:lang w:bidi="fa-IR"/>
        </w:rPr>
        <w:t>حقّه من العین، و إن کان بجنسه کان له ذلک؛ سواء خلط بالمساوی أو الأردإ أو الأجود، و بعد الرجوع یشارک المفلّس بنسبة مالهما فی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فیما إذا اختلط بالمساوی اقتسماه عیناً بنسبة مالهما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غیره فیباع المجموع و یخصّ کلّ منهما من الثمن بنسبة قیمة ماله، فإذا خلط منّ من زیت یسوی درهماً بمنّ من زیت یسوی درهمین یقسّم الثمن بینهما أثلاثاً، و إذا أراد أحدهما البیع لیس للآخر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لصاحب الأجود مطالبة القسمة العینیّة بنسبة مقدار المالین فإنّه قد رضی بدون حقّه و لیس للآخر الامتناع و مطالبة البیع و تقسیم الثمن بنسبة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لکن فی أصل المسألة و هو کون البائع أحقّ بماله فی صورة الامتزاج عندی تأمّل </w:t>
      </w:r>
      <w:r>
        <w:rPr>
          <w:rStyle w:val="FootnoteAnchor"/>
          <w:rtl w:val="true"/>
        </w:rPr>
        <w:footnoteReference w:id="1411"/>
      </w:r>
      <w:r>
        <w:rPr>
          <w:rFonts w:ascii="IRNazanin" w:hAnsi="IRNazanin" w:eastAsia="IRNazanin"/>
          <w:color w:val="111111"/>
          <w:sz w:val="28"/>
          <w:sz w:val="28"/>
          <w:szCs w:val="28"/>
          <w:rtl w:val="true"/>
          <w:lang w:bidi="fa-IR"/>
        </w:rPr>
        <w:t>و إشکال، فالأحوط عدم الرجوع إلّا مع رضا الغرماء</w:t>
      </w:r>
      <w:r>
        <w:rPr>
          <w:rFonts w:eastAsia="IRNazanin" w:cs="IRNazanin"/>
          <w:color w:val="111111"/>
          <w:sz w:val="28"/>
          <w:szCs w:val="28"/>
          <w:rtl w:val="true"/>
          <w:lang w:bidi="fa-IR"/>
        </w:rPr>
        <w:t>.</w:t>
      </w:r>
    </w:p>
    <w:p>
      <w:pPr>
        <w:pStyle w:val="Heading4"/>
        <w:numPr>
          <w:ilvl w:val="3"/>
          <w:numId w:val="1"/>
        </w:numPr>
        <w:rPr/>
      </w:pPr>
      <w:bookmarkStart w:id="5142" w:name="__RefHeading___Toc2569646_3650668749"/>
      <w:bookmarkStart w:id="5143" w:name="_Toc2332"/>
      <w:bookmarkEnd w:id="5142"/>
      <w:r>
        <w:rPr>
          <w:rtl w:val="true"/>
        </w:rPr>
        <w:t>[ (</w:t>
      </w:r>
      <w:r>
        <w:rPr>
          <w:rtl w:val="true"/>
        </w:rPr>
        <w:t xml:space="preserve">مسألة </w:t>
      </w:r>
      <w:r>
        <w:rPr/>
        <w:t>18</w:t>
      </w:r>
      <w:r>
        <w:rPr>
          <w:rtl w:val="true"/>
        </w:rPr>
        <w:t xml:space="preserve">): </w:t>
      </w:r>
      <w:r>
        <w:rPr>
          <w:rtl w:val="true"/>
        </w:rPr>
        <w:t>لو اشتریٰ غزلًا فنسجه، أو دقیقاً فخبزه</w:t>
      </w:r>
      <w:r>
        <w:rPr>
          <w:rtl w:val="true"/>
        </w:rPr>
        <w:t>]</w:t>
      </w:r>
      <w:bookmarkEnd w:id="5143"/>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غزلًا فنسجه، أو دقیقاً فخبزه، أو ثوباً فقصّره أو صبغه، لم یبطل حقّ البائع من العین، علیٰ إشکال فی الأوّلین</w:t>
      </w:r>
      <w:r>
        <w:rPr>
          <w:rFonts w:eastAsia="IRNazanin" w:cs="IRNazanin"/>
          <w:color w:val="111111"/>
          <w:sz w:val="28"/>
          <w:szCs w:val="28"/>
          <w:rtl w:val="true"/>
          <w:lang w:bidi="fa-IR"/>
        </w:rPr>
        <w:t>.</w:t>
      </w:r>
      <w:bookmarkStart w:id="5144" w:name="pg1809_19515"/>
    </w:p>
    <w:p>
      <w:pPr>
        <w:pStyle w:val="Heading4"/>
        <w:numPr>
          <w:ilvl w:val="3"/>
          <w:numId w:val="1"/>
        </w:numPr>
        <w:rPr/>
      </w:pPr>
      <w:bookmarkStart w:id="5145" w:name="__RefHeading___Toc2569648_3650668749"/>
      <w:bookmarkStart w:id="5146" w:name="_Toc2333"/>
      <w:bookmarkEnd w:id="5144"/>
      <w:bookmarkEnd w:id="5145"/>
      <w:r>
        <w:rPr>
          <w:rtl w:val="true"/>
        </w:rPr>
        <w:t>[ (</w:t>
      </w:r>
      <w:r>
        <w:rPr>
          <w:rtl w:val="true"/>
        </w:rPr>
        <w:t xml:space="preserve">مسألة </w:t>
      </w:r>
      <w:r>
        <w:rPr/>
        <w:t>19</w:t>
      </w:r>
      <w:r>
        <w:rPr>
          <w:rtl w:val="true"/>
        </w:rPr>
        <w:t xml:space="preserve">): </w:t>
      </w:r>
      <w:r>
        <w:rPr>
          <w:rtl w:val="true"/>
        </w:rPr>
        <w:t>غریم المیّت کغریم المفلّس</w:t>
      </w:r>
      <w:r>
        <w:rPr>
          <w:rtl w:val="true"/>
        </w:rPr>
        <w:t>]</w:t>
      </w:r>
      <w:bookmarkEnd w:id="5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غریم المیّت کغریم المفلّس، فإذا وجد عین ماله فی ترکته کان له الرجوع إلیه، لکن بشرط أن یکون ما ترکه وافیاً بدین الغرماء و إلّا فلیس له ذلک، بل هو کسائر الغرماء یضرب بدینه معهم و إن کان المیّت قد مات محجوراً علیه</w:t>
      </w:r>
      <w:r>
        <w:rPr>
          <w:rFonts w:eastAsia="IRNazanin" w:cs="IRNazanin"/>
          <w:color w:val="111111"/>
          <w:sz w:val="28"/>
          <w:szCs w:val="28"/>
          <w:rtl w:val="true"/>
          <w:lang w:bidi="fa-IR"/>
        </w:rPr>
        <w:t>.</w:t>
      </w:r>
    </w:p>
    <w:p>
      <w:pPr>
        <w:pStyle w:val="Heading4"/>
        <w:numPr>
          <w:ilvl w:val="3"/>
          <w:numId w:val="1"/>
        </w:numPr>
        <w:rPr/>
      </w:pPr>
      <w:bookmarkStart w:id="5147" w:name="__RefHeading___Toc2569650_3650668749"/>
      <w:bookmarkStart w:id="5148" w:name="_Toc2334"/>
      <w:bookmarkEnd w:id="5147"/>
      <w:r>
        <w:rPr>
          <w:rtl w:val="true"/>
        </w:rPr>
        <w:t>[ (</w:t>
      </w:r>
      <w:r>
        <w:rPr>
          <w:rtl w:val="true"/>
        </w:rPr>
        <w:t xml:space="preserve">مسألة </w:t>
      </w:r>
      <w:r>
        <w:rPr/>
        <w:t>20</w:t>
      </w:r>
      <w:r>
        <w:rPr>
          <w:rtl w:val="true"/>
        </w:rPr>
        <w:t xml:space="preserve">): </w:t>
      </w:r>
      <w:r>
        <w:rPr>
          <w:rtl w:val="true"/>
        </w:rPr>
        <w:t>یجری علی المفلّس إلیٰ یوم قسمة ماله نفقته و کسوته</w:t>
      </w:r>
      <w:r>
        <w:rPr>
          <w:rtl w:val="true"/>
        </w:rPr>
        <w:t>]</w:t>
      </w:r>
      <w:bookmarkEnd w:id="5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علی المفلّس إلیٰ یوم قسمة ماله نفقته و کسوته و نفقة من یجب علیه نفقته و کسوته علیٰ ما جرت علیه 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مات قدّم کفنه بل و سائر مؤن تجهیزه من السدر و الکافور و ماء الغسل و نحو ذلک علیٰ حقوق الغرماء، و یقتصر علی الواجب علی الأحوط، و إن کان القول باعتبار المتعارف بالنسبة إلیٰ أمثاله لا یخلو من قوّة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49" w:name="__RefHeading___Toc2569652_3650668749"/>
      <w:bookmarkStart w:id="5150" w:name="_Toc2335"/>
      <w:bookmarkEnd w:id="5149"/>
      <w:r>
        <w:rPr>
          <w:rtl w:val="true"/>
        </w:rPr>
        <w:t>[ (</w:t>
      </w:r>
      <w:r>
        <w:rPr>
          <w:rtl w:val="true"/>
        </w:rPr>
        <w:t xml:space="preserve">مسألة </w:t>
      </w:r>
      <w:r>
        <w:rPr/>
        <w:t>21</w:t>
      </w:r>
      <w:r>
        <w:rPr>
          <w:rtl w:val="true"/>
        </w:rPr>
        <w:t xml:space="preserve">): </w:t>
      </w:r>
      <w:r>
        <w:rPr>
          <w:rtl w:val="true"/>
        </w:rPr>
        <w:t>لو قسّم الحاکم مال المفلّس بین غرمائه، ثمّ ظهر غریم آخر لم ینتقض</w:t>
      </w:r>
      <w:r>
        <w:rPr>
          <w:rtl w:val="true"/>
        </w:rPr>
        <w:t>]</w:t>
      </w:r>
      <w:bookmarkEnd w:id="5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قسّم الحاکم مال المفلّس بین غرمائه، ثمّ ظهر غریم آخر لم ینتقض </w:t>
      </w:r>
      <w:r>
        <w:rPr>
          <w:rStyle w:val="FootnoteAnchor"/>
          <w:rtl w:val="true"/>
        </w:rPr>
        <w:footnoteReference w:id="1413"/>
      </w:r>
      <w:r>
        <w:rPr>
          <w:rFonts w:ascii="IRNazanin" w:hAnsi="IRNazanin" w:eastAsia="IRNazanin"/>
          <w:color w:val="111111"/>
          <w:sz w:val="28"/>
          <w:sz w:val="28"/>
          <w:szCs w:val="28"/>
          <w:rtl w:val="true"/>
          <w:lang w:bidi="fa-IR"/>
        </w:rPr>
        <w:t>القسمة علی الأقویٰ، بل یشارک مع کلّ منهم علی الحساب، فإذا کان مجموع ماله ستّین و کان له غریمان یطلب أحدهما ستّین و الآخر ثلاثین فأخذ الأوّل أربعین و الثانی عشرین ثمّ ظهر ثالث یطلب منه عشرة یأخذ من الأوّل أربعة و من الثانی اثنین، فیصیر حصّة الأوّل ستّة و ثلاثین و الثانی ثمانیة عشر و الثالث ستّة، یأخذ کلّ منهم ثلاثة أخماس طلبه و هکذا</w:t>
      </w:r>
      <w:r>
        <w:rPr>
          <w:rFonts w:eastAsia="IRNazanin" w:cs="IRNazanin"/>
          <w:color w:val="111111"/>
          <w:sz w:val="28"/>
          <w:szCs w:val="28"/>
          <w:rtl w:val="true"/>
          <w:lang w:bidi="fa-IR"/>
        </w:rPr>
        <w:t>.</w:t>
      </w:r>
    </w:p>
    <w:p>
      <w:pPr>
        <w:pStyle w:val="Heading3"/>
        <w:numPr>
          <w:ilvl w:val="2"/>
          <w:numId w:val="1"/>
        </w:numPr>
        <w:rPr/>
      </w:pPr>
      <w:bookmarkStart w:id="5151" w:name="__RefHeading___Toc2569654_3650668749"/>
      <w:bookmarkStart w:id="5152" w:name="_Toc2336"/>
      <w:bookmarkEnd w:id="5151"/>
      <w:r>
        <w:rPr>
          <w:rtl w:val="true"/>
        </w:rPr>
        <w:t>[</w:t>
      </w:r>
      <w:r>
        <w:rPr>
          <w:rtl w:val="true"/>
        </w:rPr>
        <w:t>القول فی المرض</w:t>
      </w:r>
      <w:r>
        <w:rPr>
          <w:rtl w:val="true"/>
        </w:rPr>
        <w:t>]</w:t>
      </w:r>
      <w:bookmarkEnd w:id="5152"/>
    </w:p>
    <w:p>
      <w:pPr>
        <w:pStyle w:val="Heading4"/>
        <w:numPr>
          <w:ilvl w:val="3"/>
          <w:numId w:val="1"/>
        </w:numPr>
        <w:rPr/>
      </w:pPr>
      <w:bookmarkStart w:id="5153" w:name="__RefHeading___Toc2569656_3650668749"/>
      <w:bookmarkStart w:id="5154" w:name="_Toc2337"/>
      <w:bookmarkEnd w:id="5153"/>
      <w:r>
        <w:rPr>
          <w:rtl w:val="true"/>
        </w:rPr>
        <w:t>اشارة</w:t>
      </w:r>
      <w:bookmarkEnd w:id="5154"/>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فی المرض المریض إذا لم یتّصل مرضه بموته فهو کالصحیح؛ یتصرّف فی ماله بما شاء و کیف شاء، و ینفذ جمیع تصرّفاته فی جمیع ما یملکه، إلّا فیما أوصیٰ بأن یصرف شی‌ء بعد موته، فإنّه لا ینفذ فیما زاد علیٰ ثلث ما یترکه، کما أنّ الصحیح أیضاً کذلک و یأتی تفصیل ذلک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اتّصل مرضه بموته فلا إشکال فی عدم نفوذ وصیّته بما زاد علی الثلث کغیره، کما أنّه لا إشکال فی نفوذ عقوده المعاوضیّة المتعلّقة بماله، کالبیع بثمن المثل و الإجارة بأُجرة المثل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أیضاً لا إشکال فی جواز انتفاعه بماله بالأکل و الشرب و الإنفاق علیٰ نفسه و من یعوله و الصرف علیٰ أضیافه و فی مورد یحفظ شأنه و اعتباره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صرف یکون فیه غرض عقلائی ممّا لا یعدّ سرفاً و تبذیراً أیّ مقدار کان، و إنّما الإشکال و الخلاف فی مثل الهبة و العتق و الوقف و الصدقة</w:t>
      </w:r>
      <w:bookmarkStart w:id="5155" w:name="pg1809_19516"/>
    </w:p>
    <w:p>
      <w:pPr>
        <w:pStyle w:val="BookText"/>
        <w:rPr/>
      </w:pPr>
      <w:bookmarkEnd w:id="5155"/>
      <w:r>
        <w:rPr>
          <w:rFonts w:ascii="IRNazanin" w:hAnsi="IRNazanin" w:eastAsia="IRNazanin"/>
          <w:color w:val="111111"/>
          <w:sz w:val="28"/>
          <w:sz w:val="28"/>
          <w:szCs w:val="28"/>
          <w:rtl w:val="true"/>
          <w:lang w:bidi="fa-IR"/>
        </w:rPr>
        <w:t>و الإبراء و الصلح بغیر عوض و نحو ذلک من التصرّفات التبرّعیّة فی ماله ممّا لا یقابل بالعوض و یکون فیه إضرار بالورثة، و هی المعبّر عنها بالمنجّزات، و أنّها هل هی نافذة من الأصل بمعنی نفوذها و صحّتها مطلقاً و إن زادت علیٰ ثلث ماله، بل و إن تعلّقت بجمیع ماله بحیث لم یبق شی‌ء للورثة أو هی نافذة بمقدار الثلث، فإن زادت یتوقّف صحّتها و نفوذها فی الزائد علیٰ إمضاء الورثة؟ و الأقوی هو الأوّل</w:t>
      </w:r>
      <w:r>
        <w:rPr>
          <w:rFonts w:eastAsia="IRNazanin" w:cs="IRNazanin"/>
          <w:color w:val="111111"/>
          <w:sz w:val="28"/>
          <w:szCs w:val="28"/>
          <w:rtl w:val="true"/>
          <w:lang w:bidi="fa-IR"/>
        </w:rPr>
        <w:t>.</w:t>
      </w:r>
    </w:p>
    <w:p>
      <w:pPr>
        <w:pStyle w:val="Heading4"/>
        <w:numPr>
          <w:ilvl w:val="3"/>
          <w:numId w:val="1"/>
        </w:numPr>
        <w:rPr/>
      </w:pPr>
      <w:bookmarkStart w:id="5156" w:name="__RefHeading___Toc2569658_3650668749"/>
      <w:bookmarkStart w:id="5157" w:name="_Toc2338"/>
      <w:bookmarkEnd w:id="5156"/>
      <w:r>
        <w:rPr>
          <w:rtl w:val="true"/>
        </w:rPr>
        <w:t>[ (</w:t>
      </w:r>
      <w:r>
        <w:rPr>
          <w:rtl w:val="true"/>
        </w:rPr>
        <w:t xml:space="preserve">مسألة </w:t>
      </w:r>
      <w:r>
        <w:rPr/>
        <w:t>1</w:t>
      </w:r>
      <w:r>
        <w:rPr>
          <w:rtl w:val="true"/>
        </w:rPr>
        <w:t xml:space="preserve">): </w:t>
      </w:r>
      <w:r>
        <w:rPr>
          <w:rtl w:val="true"/>
        </w:rPr>
        <w:t>لا إشکال و لا خلاف فی أنّ الواجبات المالیّة التی یؤدّیها المریض فی مرض موته</w:t>
      </w:r>
      <w:r>
        <w:rPr>
          <w:rtl w:val="true"/>
        </w:rPr>
        <w:t>]</w:t>
      </w:r>
      <w:bookmarkEnd w:id="5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و لا خلاف فی أنّ الواجبات المالیّة التی یؤدّیها المریض فی مرض موته کالخمس و الزکاة و الکفّارات تخرج من الأصل</w:t>
      </w:r>
      <w:r>
        <w:rPr>
          <w:rFonts w:eastAsia="IRNazanin" w:cs="IRNazanin"/>
          <w:color w:val="111111"/>
          <w:sz w:val="28"/>
          <w:szCs w:val="28"/>
          <w:rtl w:val="true"/>
          <w:lang w:bidi="fa-IR"/>
        </w:rPr>
        <w:t>.</w:t>
      </w:r>
    </w:p>
    <w:p>
      <w:pPr>
        <w:pStyle w:val="Heading4"/>
        <w:numPr>
          <w:ilvl w:val="3"/>
          <w:numId w:val="1"/>
        </w:numPr>
        <w:rPr/>
      </w:pPr>
      <w:bookmarkStart w:id="5158" w:name="__RefHeading___Toc2569660_3650668749"/>
      <w:bookmarkStart w:id="5159" w:name="_Toc2339"/>
      <w:bookmarkEnd w:id="5158"/>
      <w:r>
        <w:rPr>
          <w:rtl w:val="true"/>
        </w:rPr>
        <w:t>[ (</w:t>
      </w:r>
      <w:r>
        <w:rPr>
          <w:rtl w:val="true"/>
        </w:rPr>
        <w:t xml:space="preserve">مسألة </w:t>
      </w:r>
      <w:r>
        <w:rPr/>
        <w:t>2</w:t>
      </w:r>
      <w:r>
        <w:rPr>
          <w:rtl w:val="true"/>
        </w:rPr>
        <w:t xml:space="preserve">): </w:t>
      </w:r>
      <w:r>
        <w:rPr>
          <w:rtl w:val="true"/>
        </w:rPr>
        <w:t>البیع و الإجارة المحاباتیان کالهبة بالنسبة إلیٰ ما حاباه</w:t>
      </w:r>
      <w:r>
        <w:rPr>
          <w:rtl w:val="true"/>
        </w:rPr>
        <w:t>]</w:t>
      </w:r>
      <w:bookmarkEnd w:id="5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و الإجارة المحاباتیان کالهبة بالنسبة إلیٰ ما حاباه، فیدخلان فی المنجّزات التی هی محلّ الإشکال </w:t>
      </w:r>
      <w:r>
        <w:rPr>
          <w:rStyle w:val="FootnoteAnchor"/>
          <w:rtl w:val="true"/>
        </w:rPr>
        <w:footnoteReference w:id="1414"/>
      </w:r>
      <w:r>
        <w:rPr>
          <w:rFonts w:ascii="IRNazanin" w:hAnsi="IRNazanin" w:eastAsia="IRNazanin"/>
          <w:color w:val="111111"/>
          <w:sz w:val="28"/>
          <w:sz w:val="28"/>
          <w:szCs w:val="28"/>
          <w:rtl w:val="true"/>
          <w:lang w:bidi="fa-IR"/>
        </w:rPr>
        <w:t>و الخلاف، فإذا باع شیئاً یسوی مائة بخمسین فقد أعطی المشتری خمسین کما إذا وهبه</w:t>
      </w:r>
      <w:r>
        <w:rPr>
          <w:rFonts w:eastAsia="IRNazanin" w:cs="IRNazanin"/>
          <w:color w:val="111111"/>
          <w:sz w:val="28"/>
          <w:szCs w:val="28"/>
          <w:rtl w:val="true"/>
          <w:lang w:bidi="fa-IR"/>
        </w:rPr>
        <w:t>.</w:t>
      </w:r>
    </w:p>
    <w:p>
      <w:pPr>
        <w:pStyle w:val="Heading4"/>
        <w:numPr>
          <w:ilvl w:val="3"/>
          <w:numId w:val="1"/>
        </w:numPr>
        <w:rPr/>
      </w:pPr>
      <w:bookmarkStart w:id="5160" w:name="__RefHeading___Toc2569662_3650668749"/>
      <w:bookmarkStart w:id="5161" w:name="_Toc2340"/>
      <w:bookmarkEnd w:id="5160"/>
      <w:r>
        <w:rPr>
          <w:rtl w:val="true"/>
        </w:rPr>
        <w:t>[ (</w:t>
      </w:r>
      <w:r>
        <w:rPr>
          <w:rtl w:val="true"/>
        </w:rPr>
        <w:t xml:space="preserve">مسألة </w:t>
      </w:r>
      <w:r>
        <w:rPr/>
        <w:t>3</w:t>
      </w:r>
      <w:r>
        <w:rPr>
          <w:rtl w:val="true"/>
        </w:rPr>
        <w:t xml:space="preserve">): </w:t>
      </w:r>
      <w:r>
        <w:rPr>
          <w:rtl w:val="true"/>
        </w:rPr>
        <w:t>و إن کانت الصدقة من المنجّزات کما أشرنا إلیه</w:t>
      </w:r>
      <w:r>
        <w:rPr>
          <w:rtl w:val="true"/>
        </w:rPr>
        <w:t>]</w:t>
      </w:r>
      <w:bookmarkEnd w:id="5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الصدقة من المنجّزات کما أشرنا إلیه، لکنّ الظاهر </w:t>
      </w:r>
      <w:r>
        <w:rPr>
          <w:rStyle w:val="FootnoteAnchor"/>
          <w:rtl w:val="true"/>
        </w:rPr>
        <w:footnoteReference w:id="1415"/>
      </w:r>
      <w:r>
        <w:rPr>
          <w:rFonts w:ascii="IRNazanin" w:hAnsi="IRNazanin" w:eastAsia="IRNazanin"/>
          <w:color w:val="111111"/>
          <w:sz w:val="28"/>
          <w:sz w:val="28"/>
          <w:szCs w:val="28"/>
          <w:rtl w:val="true"/>
          <w:lang w:bidi="fa-IR"/>
        </w:rPr>
        <w:t>أنّه لیس منها ما یتصدّق المریض لأجل شفائه و عافیته بل هی ملحقة بالمعاوضات، فکأنّ المریض یشتری به حیاته و سلامته</w:t>
      </w:r>
      <w:r>
        <w:rPr>
          <w:rFonts w:eastAsia="IRNazanin" w:cs="IRNazanin"/>
          <w:color w:val="111111"/>
          <w:sz w:val="28"/>
          <w:szCs w:val="28"/>
          <w:rtl w:val="true"/>
          <w:lang w:bidi="fa-IR"/>
        </w:rPr>
        <w:t>.</w:t>
      </w:r>
    </w:p>
    <w:p>
      <w:pPr>
        <w:pStyle w:val="Heading4"/>
        <w:numPr>
          <w:ilvl w:val="3"/>
          <w:numId w:val="1"/>
        </w:numPr>
        <w:rPr/>
      </w:pPr>
      <w:bookmarkStart w:id="5162" w:name="__RefHeading___Toc2569664_3650668749"/>
      <w:bookmarkStart w:id="5163" w:name="_Toc2341"/>
      <w:bookmarkEnd w:id="5162"/>
      <w:r>
        <w:rPr>
          <w:rtl w:val="true"/>
        </w:rPr>
        <w:t>[ (</w:t>
      </w:r>
      <w:r>
        <w:rPr>
          <w:rtl w:val="true"/>
        </w:rPr>
        <w:t xml:space="preserve">مسألة </w:t>
      </w:r>
      <w:r>
        <w:rPr/>
        <w:t>4</w:t>
      </w:r>
      <w:r>
        <w:rPr>
          <w:rtl w:val="true"/>
        </w:rPr>
        <w:t xml:space="preserve">): </w:t>
      </w:r>
      <w:r>
        <w:rPr>
          <w:rtl w:val="true"/>
        </w:rPr>
        <w:t>لو قلنا بکون المنجّزات تنفذ من الثلث، یشکل القول به فی المرض</w:t>
      </w:r>
      <w:r>
        <w:rPr>
          <w:rtl w:val="true"/>
        </w:rPr>
        <w:t>]</w:t>
      </w:r>
      <w:bookmarkEnd w:id="5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بکون المنجّزات تنفذ من الثلث، یشکل القول به فی المرض الذی یطول سنة أو سنتین أو أزید، إلّا فیما إذا وقع التصرّف فی أواخره القریب من الموت، بل ینبغی أن یقتصر علی المرض المخوف الذی یکون معرضاً للخطر و الهلاک، فمثل حمّیٰ یوم خفیف اتّفق الموت به علیٰ خلاف مجاری العادة یمکن القول بخروجه </w:t>
      </w:r>
      <w:r>
        <w:rPr>
          <w:rStyle w:val="FootnoteAnchor"/>
          <w:rtl w:val="true"/>
        </w:rPr>
        <w:footnoteReference w:id="1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ینبغی الاقتصار علیٰ ما إذا کان الموت بسبب ذلک المرض الذی وقع التصرّف فیه، فإذا مات فیه لکن بسبب آخر من قتل أو افتراس سبع أو لدغ حیّة و نحو ذلک یکون خارجاً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64" w:name="__RefHeading___Toc2569666_3650668749"/>
      <w:bookmarkStart w:id="5165" w:name="_Toc2342"/>
      <w:bookmarkEnd w:id="5164"/>
      <w:r>
        <w:rPr>
          <w:rtl w:val="true"/>
        </w:rPr>
        <w:t>[ (</w:t>
      </w:r>
      <w:r>
        <w:rPr>
          <w:rtl w:val="true"/>
        </w:rPr>
        <w:t xml:space="preserve">مسألة </w:t>
      </w:r>
      <w:r>
        <w:rPr/>
        <w:t>5</w:t>
      </w:r>
      <w:r>
        <w:rPr>
          <w:rtl w:val="true"/>
        </w:rPr>
        <w:t xml:space="preserve">): </w:t>
      </w:r>
      <w:r>
        <w:rPr>
          <w:rtl w:val="true"/>
        </w:rPr>
        <w:t>لا یبعد أن یلحق بالمرض حال کونه معرض الخطر و الهلاک</w:t>
      </w:r>
      <w:r>
        <w:rPr>
          <w:rtl w:val="true"/>
        </w:rPr>
        <w:t>]</w:t>
      </w:r>
      <w:bookmarkEnd w:id="5165"/>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w:t>
      </w:r>
      <w:r>
        <w:rPr>
          <w:rStyle w:val="FootnoteAnchor"/>
          <w:rtl w:val="true"/>
        </w:rPr>
        <w:footnoteReference w:id="1418"/>
      </w:r>
      <w:r>
        <w:rPr>
          <w:rFonts w:ascii="IRNazanin" w:hAnsi="IRNazanin" w:eastAsia="IRNazanin"/>
          <w:color w:val="111111"/>
          <w:sz w:val="28"/>
          <w:sz w:val="28"/>
          <w:szCs w:val="28"/>
          <w:rtl w:val="true"/>
          <w:lang w:bidi="fa-IR"/>
        </w:rPr>
        <w:t>أن یلحق بالمرض حال کونه معرض الخطر و الهلاک، کأن یکون</w:t>
      </w:r>
      <w:bookmarkStart w:id="5166" w:name="pg1809_19517"/>
    </w:p>
    <w:p>
      <w:pPr>
        <w:pStyle w:val="BookText"/>
        <w:rPr/>
      </w:pPr>
      <w:bookmarkEnd w:id="5166"/>
      <w:r>
        <w:rPr>
          <w:rFonts w:ascii="IRNazanin" w:hAnsi="IRNazanin" w:eastAsia="IRNazanin"/>
          <w:color w:val="111111"/>
          <w:sz w:val="28"/>
          <w:sz w:val="28"/>
          <w:szCs w:val="28"/>
          <w:rtl w:val="true"/>
          <w:lang w:bidi="fa-IR"/>
        </w:rPr>
        <w:t>فی حال المراماة فی الحرب، أو فی حال إشراف السفینة علی الغرق، أو کانت المرأة فی حال الطلق</w:t>
      </w:r>
      <w:r>
        <w:rPr>
          <w:rFonts w:eastAsia="IRNazanin" w:cs="IRNazanin"/>
          <w:color w:val="111111"/>
          <w:sz w:val="28"/>
          <w:szCs w:val="28"/>
          <w:rtl w:val="true"/>
          <w:lang w:bidi="fa-IR"/>
        </w:rPr>
        <w:t>.</w:t>
      </w:r>
    </w:p>
    <w:p>
      <w:pPr>
        <w:pStyle w:val="Heading4"/>
        <w:numPr>
          <w:ilvl w:val="3"/>
          <w:numId w:val="1"/>
        </w:numPr>
        <w:rPr/>
      </w:pPr>
      <w:bookmarkStart w:id="5167" w:name="__RefHeading___Toc2569668_3650668749"/>
      <w:bookmarkStart w:id="5168" w:name="_Toc2343"/>
      <w:bookmarkEnd w:id="5167"/>
      <w:r>
        <w:rPr>
          <w:rtl w:val="true"/>
        </w:rPr>
        <w:t>[ (</w:t>
      </w:r>
      <w:r>
        <w:rPr>
          <w:rtl w:val="true"/>
        </w:rPr>
        <w:t xml:space="preserve">مسألة </w:t>
      </w:r>
      <w:r>
        <w:rPr/>
        <w:t>6</w:t>
      </w:r>
      <w:r>
        <w:rPr>
          <w:rtl w:val="true"/>
        </w:rPr>
        <w:t xml:space="preserve">): </w:t>
      </w:r>
      <w:r>
        <w:rPr>
          <w:rtl w:val="true"/>
        </w:rPr>
        <w:t>لو أقرّ بدین أو عین من ماله فی مرض موته لوارث أو أجنبیّ</w:t>
      </w:r>
      <w:r>
        <w:rPr>
          <w:rtl w:val="true"/>
        </w:rPr>
        <w:t>]</w:t>
      </w:r>
      <w:bookmarkEnd w:id="5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بدین أو عین من ماله فی مرض موته لوارث أو أجنبیّ، فإن کان مأموناً غیر متّهم نفذ إقراره فی جمیع ما أقرّ به و إن کان زائداً علیٰ ثلث ماله بل و إن استوعبه، و إلّا فلا ینفذ فیما زاد علیٰ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بکونه متّهماً وجود أمارات یظنّ معها بکذبه، کأن یکون بینه و بین الورثة معاداة یظنّ معها بأنّه یرید بذلک إضرارهم، أو کان له محبّة شدیدة مع المقرّ له یظنّ معها بأنّه یرید بذلک نفعه</w:t>
      </w:r>
      <w:r>
        <w:rPr>
          <w:rFonts w:eastAsia="IRNazanin" w:cs="IRNazanin"/>
          <w:color w:val="111111"/>
          <w:sz w:val="28"/>
          <w:szCs w:val="28"/>
          <w:rtl w:val="true"/>
          <w:lang w:bidi="fa-IR"/>
        </w:rPr>
        <w:t>.</w:t>
      </w:r>
    </w:p>
    <w:p>
      <w:pPr>
        <w:pStyle w:val="Heading4"/>
        <w:numPr>
          <w:ilvl w:val="3"/>
          <w:numId w:val="1"/>
        </w:numPr>
        <w:rPr/>
      </w:pPr>
      <w:bookmarkStart w:id="5169" w:name="__RefHeading___Toc2569670_3650668749"/>
      <w:bookmarkStart w:id="5170" w:name="_Toc2344"/>
      <w:bookmarkEnd w:id="5169"/>
      <w:r>
        <w:rPr>
          <w:rtl w:val="true"/>
        </w:rPr>
        <w:t>[ (</w:t>
      </w:r>
      <w:r>
        <w:rPr>
          <w:rtl w:val="true"/>
        </w:rPr>
        <w:t xml:space="preserve">مسألة </w:t>
      </w:r>
      <w:r>
        <w:rPr/>
        <w:t>7</w:t>
      </w:r>
      <w:r>
        <w:rPr>
          <w:rtl w:val="true"/>
        </w:rPr>
        <w:t xml:space="preserve">): </w:t>
      </w:r>
      <w:r>
        <w:rPr>
          <w:rtl w:val="true"/>
        </w:rPr>
        <w:t>إذا لم یعلم حال المقرّ و أنّه کان متّهماً أو مأموناً</w:t>
      </w:r>
      <w:r>
        <w:rPr>
          <w:rtl w:val="true"/>
        </w:rPr>
        <w:t>]</w:t>
      </w:r>
      <w:bookmarkEnd w:id="5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یعلم حال المقرّ و أنّه کان متّهماً أو مأموناً، ففی الحکم بنفوذ إقراره فی الزائد علی الثلث و عدمه إشکال، فالأحوط </w:t>
      </w:r>
      <w:r>
        <w:rPr>
          <w:rStyle w:val="FootnoteAnchor"/>
          <w:rtl w:val="true"/>
        </w:rPr>
        <w:footnoteReference w:id="1419"/>
      </w:r>
      <w:r>
        <w:rPr>
          <w:rFonts w:ascii="IRNazanin" w:hAnsi="IRNazanin" w:eastAsia="IRNazanin"/>
          <w:color w:val="111111"/>
          <w:sz w:val="28"/>
          <w:sz w:val="28"/>
          <w:szCs w:val="28"/>
          <w:rtl w:val="true"/>
          <w:lang w:bidi="fa-IR"/>
        </w:rPr>
        <w:t>التصالح بین الورثة و المقرّ له</w:t>
      </w:r>
      <w:r>
        <w:rPr>
          <w:rFonts w:eastAsia="IRNazanin" w:cs="IRNazanin"/>
          <w:color w:val="111111"/>
          <w:sz w:val="28"/>
          <w:szCs w:val="28"/>
          <w:rtl w:val="true"/>
          <w:lang w:bidi="fa-IR"/>
        </w:rPr>
        <w:t>.</w:t>
      </w:r>
    </w:p>
    <w:p>
      <w:pPr>
        <w:pStyle w:val="Heading4"/>
        <w:numPr>
          <w:ilvl w:val="3"/>
          <w:numId w:val="1"/>
        </w:numPr>
        <w:rPr/>
      </w:pPr>
      <w:bookmarkStart w:id="5171" w:name="__RefHeading___Toc2569672_3650668749"/>
      <w:bookmarkStart w:id="5172" w:name="_Toc2345"/>
      <w:bookmarkEnd w:id="5171"/>
      <w:r>
        <w:rPr>
          <w:rtl w:val="true"/>
        </w:rPr>
        <w:t>[ (</w:t>
      </w:r>
      <w:r>
        <w:rPr>
          <w:rtl w:val="true"/>
        </w:rPr>
        <w:t xml:space="preserve">مسألة </w:t>
      </w:r>
      <w:r>
        <w:rPr/>
        <w:t>8</w:t>
      </w:r>
      <w:r>
        <w:rPr>
          <w:rtl w:val="true"/>
        </w:rPr>
        <w:t xml:space="preserve">): </w:t>
      </w:r>
      <w:r>
        <w:rPr>
          <w:rtl w:val="true"/>
        </w:rPr>
        <w:t>إنّما یحسب الثلث فی مسألتی المنجّزات و الإقرار بالنسبة إلیٰ مجموع ما یترکه فی زمان موته</w:t>
      </w:r>
      <w:r>
        <w:rPr>
          <w:rtl w:val="true"/>
        </w:rPr>
        <w:t>]</w:t>
      </w:r>
      <w:bookmarkEnd w:id="5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یحسب الثلث فی مسألتی المنجّزات و الإقرار بالنسبة إلیٰ مجموع ما یترکه فی زمان موته من الأموال عیناً أو دیناً أو منفعة أو حقّا مالیّاً یبذل بإزائه المال کحقّ التحجیر، و هل تحسب الدیة من الترکة و تضمّ إلیها و یحسب الثلث بالنسبة إلی المجموع أم لا؟ وجهان بل قولان، لا یخلو أوّلهما من رجحان</w:t>
      </w:r>
      <w:r>
        <w:rPr>
          <w:rFonts w:eastAsia="IRNazanin" w:cs="IRNazanin"/>
          <w:color w:val="111111"/>
          <w:sz w:val="28"/>
          <w:szCs w:val="28"/>
          <w:rtl w:val="true"/>
          <w:lang w:bidi="fa-IR"/>
        </w:rPr>
        <w:t>.</w:t>
      </w:r>
    </w:p>
    <w:p>
      <w:pPr>
        <w:pStyle w:val="Heading4"/>
        <w:numPr>
          <w:ilvl w:val="3"/>
          <w:numId w:val="1"/>
        </w:numPr>
        <w:rPr/>
      </w:pPr>
      <w:bookmarkStart w:id="5173" w:name="__RefHeading___Toc2569674_3650668749"/>
      <w:bookmarkStart w:id="5174" w:name="_Toc2346"/>
      <w:bookmarkEnd w:id="5173"/>
      <w:r>
        <w:rPr>
          <w:rtl w:val="true"/>
        </w:rPr>
        <w:t>[ (</w:t>
      </w:r>
      <w:r>
        <w:rPr>
          <w:rtl w:val="true"/>
        </w:rPr>
        <w:t xml:space="preserve">مسألة </w:t>
      </w:r>
      <w:r>
        <w:rPr/>
        <w:t>9</w:t>
      </w:r>
      <w:r>
        <w:rPr>
          <w:rtl w:val="true"/>
        </w:rPr>
        <w:t xml:space="preserve">): </w:t>
      </w:r>
      <w:r>
        <w:rPr>
          <w:rtl w:val="true"/>
        </w:rPr>
        <w:t>ما ذکرنا من عدم النفوذ فیما زاد علی الثلث فی الوصیّة و فی المنجّزات علی القول به</w:t>
      </w:r>
      <w:r>
        <w:rPr>
          <w:rtl w:val="true"/>
        </w:rPr>
        <w:t>]</w:t>
      </w:r>
      <w:bookmarkEnd w:id="5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عدم النفوذ فیما زاد علی الثلث فی الوصیّة و فی المنجّزات علی القول به إنّما هو إذا لم یجز الورثة و إلّا نفذتا بلا إشکال، و لو أجاز بعضهم نفذ بمقدار حصّته، و لو أجازوا بعضاً من الزائد عن الثلث نفذ بقدره</w:t>
      </w:r>
      <w:r>
        <w:rPr>
          <w:rFonts w:eastAsia="IRNazanin" w:cs="IRNazanin"/>
          <w:color w:val="111111"/>
          <w:sz w:val="28"/>
          <w:szCs w:val="28"/>
          <w:rtl w:val="true"/>
          <w:lang w:bidi="fa-IR"/>
        </w:rPr>
        <w:t>.</w:t>
      </w:r>
    </w:p>
    <w:p>
      <w:pPr>
        <w:pStyle w:val="Heading4"/>
        <w:numPr>
          <w:ilvl w:val="3"/>
          <w:numId w:val="1"/>
        </w:numPr>
        <w:rPr/>
      </w:pPr>
      <w:bookmarkStart w:id="5175" w:name="__RefHeading___Toc2569676_3650668749"/>
      <w:bookmarkStart w:id="5176" w:name="_Toc2347"/>
      <w:bookmarkEnd w:id="5175"/>
      <w:r>
        <w:rPr>
          <w:rtl w:val="true"/>
        </w:rPr>
        <w:t>[ (</w:t>
      </w:r>
      <w:r>
        <w:rPr>
          <w:rtl w:val="true"/>
        </w:rPr>
        <w:t xml:space="preserve">مسألة </w:t>
      </w:r>
      <w:r>
        <w:rPr/>
        <w:t>10</w:t>
      </w:r>
      <w:r>
        <w:rPr>
          <w:rtl w:val="true"/>
        </w:rPr>
        <w:t xml:space="preserve">): </w:t>
      </w:r>
      <w:r>
        <w:rPr>
          <w:rtl w:val="true"/>
        </w:rPr>
        <w:t>لا إشکال فی صحّة إجازة الوارث بعد موت المورّث</w:t>
      </w:r>
      <w:r>
        <w:rPr>
          <w:rtl w:val="true"/>
        </w:rPr>
        <w:t>]</w:t>
      </w:r>
      <w:bookmarkEnd w:id="5176"/>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صحّة إجازة الوارث بعد موت المورّث، و هل تصحّ منه فی حال حیاته بحیث تلزم علیه و لا یجوز له الردّ بعد ذلک أم لا؟ قولان، أقواهما الأوّل خصوصاً فی الوصیّة، و إذا ردّ فی حال الحیاة یمکن أن یلحقه الإجازة بعد ذلک علی الأقویٰ</w:t>
      </w:r>
      <w:r>
        <w:rPr>
          <w:rFonts w:eastAsia="IRNazanin" w:cs="IRNazanin"/>
          <w:color w:val="111111"/>
          <w:sz w:val="28"/>
          <w:szCs w:val="28"/>
          <w:rtl w:val="true"/>
          <w:lang w:bidi="fa-IR"/>
        </w:rPr>
        <w:t>.</w:t>
      </w:r>
      <w:bookmarkStart w:id="5177" w:name="pg1809_19518"/>
    </w:p>
    <w:p>
      <w:pPr>
        <w:pStyle w:val="Heading2"/>
        <w:numPr>
          <w:ilvl w:val="1"/>
          <w:numId w:val="1"/>
        </w:numPr>
        <w:rPr/>
      </w:pPr>
      <w:bookmarkStart w:id="5178" w:name="__RefHeading___Toc2569678_3650668749"/>
      <w:bookmarkStart w:id="5179" w:name="_Toc2348"/>
      <w:bookmarkEnd w:id="5177"/>
      <w:bookmarkEnd w:id="5178"/>
      <w:r>
        <w:rPr>
          <w:rtl w:val="true"/>
        </w:rPr>
        <w:t>[</w:t>
      </w:r>
      <w:r>
        <w:rPr>
          <w:rtl w:val="true"/>
        </w:rPr>
        <w:t>کتاب الضمان</w:t>
      </w:r>
      <w:r>
        <w:rPr>
          <w:rtl w:val="true"/>
        </w:rPr>
        <w:t>]</w:t>
      </w:r>
      <w:bookmarkEnd w:id="5179"/>
    </w:p>
    <w:p>
      <w:pPr>
        <w:pStyle w:val="Heading3"/>
        <w:numPr>
          <w:ilvl w:val="2"/>
          <w:numId w:val="1"/>
        </w:numPr>
        <w:rPr/>
      </w:pPr>
      <w:bookmarkStart w:id="5180" w:name="__RefHeading___Toc2569680_3650668749"/>
      <w:bookmarkStart w:id="5181" w:name="_Toc2349"/>
      <w:bookmarkEnd w:id="5180"/>
      <w:r>
        <w:rPr>
          <w:rtl w:val="true"/>
        </w:rPr>
        <w:t>اشارة</w:t>
      </w:r>
      <w:bookmarkEnd w:id="5181"/>
    </w:p>
    <w:p>
      <w:pPr>
        <w:pStyle w:val="BookText"/>
        <w:rPr/>
      </w:pPr>
      <w:r>
        <w:rPr>
          <w:rFonts w:ascii="IRNazanin" w:hAnsi="IRNazanin" w:eastAsia="IRNazanin"/>
          <w:color w:val="111111"/>
          <w:sz w:val="28"/>
          <w:sz w:val="28"/>
          <w:szCs w:val="28"/>
          <w:rtl w:val="true"/>
          <w:lang w:bidi="fa-IR"/>
        </w:rPr>
        <w:t>کتاب الضمان و هو التعهّد بمال ثابت فی ذمّة شخص لآخر، و حیث إنّه عقد من العقود یحتاج إلیٰ إیجاب صادر من الضامن و قبول من المضمون له، و یکفی فی الأوّل کلّ لفظ دالّ بالمتفاهم العرفی علی التعهّد المزبور و لو بضمیمة القرائن، مثل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تعهّدت لک الدین الذی لک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و فی الثانی کلّ ما دلّ علی الرضا بذلک، و لا یعتبر فیه رضا المضمون عنه</w:t>
      </w:r>
      <w:r>
        <w:rPr>
          <w:rFonts w:eastAsia="IRNazanin" w:cs="IRNazanin"/>
          <w:color w:val="111111"/>
          <w:sz w:val="28"/>
          <w:szCs w:val="28"/>
          <w:rtl w:val="true"/>
          <w:lang w:bidi="fa-IR"/>
        </w:rPr>
        <w:t>.</w:t>
      </w:r>
    </w:p>
    <w:p>
      <w:pPr>
        <w:pStyle w:val="Heading3"/>
        <w:numPr>
          <w:ilvl w:val="2"/>
          <w:numId w:val="1"/>
        </w:numPr>
        <w:rPr/>
      </w:pPr>
      <w:bookmarkStart w:id="5182" w:name="__RefHeading___Toc2569682_3650668749"/>
      <w:bookmarkStart w:id="5183" w:name="_Toc2350"/>
      <w:bookmarkEnd w:id="5182"/>
      <w:r>
        <w:rPr>
          <w:rtl w:val="true"/>
        </w:rPr>
        <w:t>[ (</w:t>
      </w:r>
      <w:r>
        <w:rPr>
          <w:rtl w:val="true"/>
        </w:rPr>
        <w:t xml:space="preserve">مسألة </w:t>
      </w:r>
      <w:r>
        <w:rPr/>
        <w:t>1</w:t>
      </w:r>
      <w:r>
        <w:rPr>
          <w:rtl w:val="true"/>
        </w:rPr>
        <w:t xml:space="preserve">): </w:t>
      </w:r>
      <w:r>
        <w:rPr>
          <w:rtl w:val="true"/>
        </w:rPr>
        <w:t>یشترط فی کلّ من الضامن و المضمون له أن یکون بالغاً عاقلًا رشیداً مختاراً</w:t>
      </w:r>
      <w:r>
        <w:rPr>
          <w:rtl w:val="true"/>
        </w:rPr>
        <w:t>]</w:t>
      </w:r>
      <w:bookmarkEnd w:id="5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کلّ من الضامن و المضمون له أن یکون بالغاً عاقلًا رشیداً مختاراً </w:t>
      </w:r>
      <w:r>
        <w:rPr>
          <w:rStyle w:val="FootnoteAnchor"/>
          <w:rtl w:val="true"/>
        </w:rPr>
        <w:footnoteReference w:id="1420"/>
      </w:r>
      <w:r>
        <w:rPr>
          <w:rFonts w:ascii="IRNazanin" w:hAnsi="IRNazanin" w:eastAsia="IRNazanin"/>
          <w:color w:val="111111"/>
          <w:sz w:val="28"/>
          <w:sz w:val="28"/>
          <w:szCs w:val="28"/>
          <w:rtl w:val="true"/>
          <w:lang w:bidi="fa-IR"/>
        </w:rPr>
        <w:t>، و لا یشترط ذلک کلّه فی المضمون عنه، فلا یصحّ ضمان الصبیّ و لا الضمان له، و لکن یصحّ الضمان عنه و هکذا</w:t>
      </w:r>
      <w:r>
        <w:rPr>
          <w:rFonts w:eastAsia="IRNazanin" w:cs="IRNazanin"/>
          <w:color w:val="111111"/>
          <w:sz w:val="28"/>
          <w:szCs w:val="28"/>
          <w:rtl w:val="true"/>
          <w:lang w:bidi="fa-IR"/>
        </w:rPr>
        <w:t>.</w:t>
      </w:r>
    </w:p>
    <w:p>
      <w:pPr>
        <w:pStyle w:val="Heading3"/>
        <w:numPr>
          <w:ilvl w:val="2"/>
          <w:numId w:val="1"/>
        </w:numPr>
        <w:rPr/>
      </w:pPr>
      <w:bookmarkStart w:id="5184" w:name="__RefHeading___Toc2569684_3650668749"/>
      <w:bookmarkStart w:id="5185" w:name="_Toc2351"/>
      <w:bookmarkEnd w:id="5184"/>
      <w:r>
        <w:rPr>
          <w:rtl w:val="true"/>
        </w:rPr>
        <w:t>[ (</w:t>
      </w:r>
      <w:r>
        <w:rPr>
          <w:rtl w:val="true"/>
        </w:rPr>
        <w:t xml:space="preserve">مسألة </w:t>
      </w:r>
      <w:r>
        <w:rPr/>
        <w:t>2</w:t>
      </w:r>
      <w:r>
        <w:rPr>
          <w:rtl w:val="true"/>
        </w:rPr>
        <w:t xml:space="preserve">): </w:t>
      </w:r>
      <w:r>
        <w:rPr>
          <w:rtl w:val="true"/>
        </w:rPr>
        <w:t>یشترط فی صحّة الضمان أُمور</w:t>
      </w:r>
      <w:r>
        <w:rPr>
          <w:rtl w:val="true"/>
        </w:rPr>
        <w:t>:]</w:t>
      </w:r>
      <w:bookmarkEnd w:id="5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الضمان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التنجیز </w:t>
      </w:r>
      <w:r>
        <w:rPr>
          <w:rStyle w:val="FootnoteAnchor"/>
          <w:rtl w:val="true"/>
        </w:rPr>
        <w:footnoteReference w:id="1421"/>
      </w:r>
      <w:r>
        <w:rPr>
          <w:rFonts w:ascii="IRNazanin" w:hAnsi="IRNazanin" w:eastAsia="IRNazanin"/>
          <w:color w:val="111111"/>
          <w:sz w:val="28"/>
          <w:sz w:val="28"/>
          <w:szCs w:val="28"/>
          <w:rtl w:val="true"/>
          <w:lang w:bidi="fa-IR"/>
        </w:rPr>
        <w:t>، فلو علّق علیٰ أمر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ضامن لما علیٰ فلان إن أذن لی أبی، أو أنا ضامن إن لم یف المدیون إلیٰ زمان کذا، أو إن لم یف أصلًا،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الدین الذی یضمنه ثابتاً فی ذمّة المضمون عنه؛ سواء کان مستقرّاً کالقرض و الثمن أو المثمن فی البیع الذی لا خیار فیه، أو متزلزلًا کأحد العوضین فی البیع الخیاری أو کالمهر قبل الدخول و نحو ذلک،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 فلاناً أو بعه نسیئة و أنا ضامن، لم یصحّ</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الدین و المضمون له و المضمون عنه؛ بمعنی عدم الإبهام و التردید، فلا یصحّ ضمان أحد الدینین و لو لشخص معیّن علیٰ شخص معیّن، و لا ضمان دین أحد</w:t>
      </w:r>
      <w:bookmarkStart w:id="5186" w:name="pg1809_19519"/>
    </w:p>
    <w:p>
      <w:pPr>
        <w:pStyle w:val="BookText"/>
        <w:rPr/>
      </w:pPr>
      <w:bookmarkEnd w:id="5186"/>
      <w:r>
        <w:rPr>
          <w:rFonts w:ascii="IRNazanin" w:hAnsi="IRNazanin" w:eastAsia="IRNazanin"/>
          <w:color w:val="111111"/>
          <w:sz w:val="28"/>
          <w:sz w:val="28"/>
          <w:szCs w:val="28"/>
          <w:rtl w:val="true"/>
          <w:lang w:bidi="fa-IR"/>
        </w:rPr>
        <w:t>الشخصین و لو لواحد معیّن، و لا ضمان دین أحد الشخصین و لو علیٰ واحد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الدین معیّناً فی الواقع و لم یعلم جنسه أو مقداره أو کان المضمون له أو المضمون عنه متعیّناً فی الواقع و لم یعلم شخصه صحّ علی الأقویٰ، خصوصاً فی الأخیرین،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ما لفلان علیٰ فلان، و لم یعلم أنّه درهم أو دینار أو أنّه دینار أو دیناران صحّ علی الأصحّ، 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الدین الذی علیٰ فلان لمن یطلبه من هؤلاء العشرة، و یعلم بأنّ واحداً منهم یطلبه و لم یعلم شخصه ثمّ قبل بعد ذلک الواحد المعیّن الذی یطلبه،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ما کان لفلان علی المدیون من هؤلاء، و لم یعلم شخصه، صحّ الضمان علی الأقویٰ</w:t>
      </w:r>
      <w:r>
        <w:rPr>
          <w:rFonts w:eastAsia="IRNazanin" w:cs="IRNazanin"/>
          <w:color w:val="111111"/>
          <w:sz w:val="28"/>
          <w:szCs w:val="28"/>
          <w:rtl w:val="true"/>
          <w:lang w:bidi="fa-IR"/>
        </w:rPr>
        <w:t>.</w:t>
      </w:r>
    </w:p>
    <w:p>
      <w:pPr>
        <w:pStyle w:val="Heading3"/>
        <w:numPr>
          <w:ilvl w:val="2"/>
          <w:numId w:val="1"/>
        </w:numPr>
        <w:rPr/>
      </w:pPr>
      <w:bookmarkStart w:id="5187" w:name="__RefHeading___Toc2569686_3650668749"/>
      <w:bookmarkStart w:id="5188" w:name="_Toc2352"/>
      <w:bookmarkEnd w:id="5187"/>
      <w:r>
        <w:rPr>
          <w:rtl w:val="true"/>
        </w:rPr>
        <w:t>[ (</w:t>
      </w:r>
      <w:r>
        <w:rPr>
          <w:rtl w:val="true"/>
        </w:rPr>
        <w:t xml:space="preserve">مسألة </w:t>
      </w:r>
      <w:r>
        <w:rPr/>
        <w:t>3</w:t>
      </w:r>
      <w:r>
        <w:rPr>
          <w:rtl w:val="true"/>
        </w:rPr>
        <w:t xml:space="preserve">): </w:t>
      </w:r>
      <w:r>
        <w:rPr>
          <w:rtl w:val="true"/>
        </w:rPr>
        <w:t>إذا تحقّق الضمان الجامع للشرائط انتقل الحقّ من ذمّة المضمون عنه إلیٰ ذمّة الضامن</w:t>
      </w:r>
      <w:r>
        <w:rPr>
          <w:rtl w:val="true"/>
        </w:rPr>
        <w:t>]</w:t>
      </w:r>
      <w:bookmarkEnd w:id="5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 الضمان الجامع للشرائط انتقل الحقّ من ذمّة المضمون عنه إلیٰ ذمّة الضامن و برئت ذمّته، فإذا أبرأ المضمون له و هو صاحب الدین ذمّة الضامن برئت الذمّتان؛ الضامن و المضمون عنه، و إذا أبرأ ذمّة المضمون عنه کان لغواً؛ لأنّه لم تشتغل ذمّته بشی‌ء حتّی یبرئها</w:t>
      </w:r>
      <w:r>
        <w:rPr>
          <w:rFonts w:eastAsia="IRNazanin" w:cs="IRNazanin"/>
          <w:color w:val="111111"/>
          <w:sz w:val="28"/>
          <w:szCs w:val="28"/>
          <w:rtl w:val="true"/>
          <w:lang w:bidi="fa-IR"/>
        </w:rPr>
        <w:t>.</w:t>
      </w:r>
    </w:p>
    <w:p>
      <w:pPr>
        <w:pStyle w:val="Heading3"/>
        <w:numPr>
          <w:ilvl w:val="2"/>
          <w:numId w:val="1"/>
        </w:numPr>
        <w:rPr/>
      </w:pPr>
      <w:bookmarkStart w:id="5189" w:name="__RefHeading___Toc2569688_3650668749"/>
      <w:bookmarkStart w:id="5190" w:name="_Toc2353"/>
      <w:bookmarkEnd w:id="5189"/>
      <w:r>
        <w:rPr>
          <w:rtl w:val="true"/>
        </w:rPr>
        <w:t>[ (</w:t>
      </w:r>
      <w:r>
        <w:rPr>
          <w:rtl w:val="true"/>
        </w:rPr>
        <w:t xml:space="preserve">مسألة </w:t>
      </w:r>
      <w:r>
        <w:rPr/>
        <w:t>4</w:t>
      </w:r>
      <w:r>
        <w:rPr>
          <w:rtl w:val="true"/>
        </w:rPr>
        <w:t xml:space="preserve">): </w:t>
      </w:r>
      <w:r>
        <w:rPr>
          <w:rtl w:val="true"/>
        </w:rPr>
        <w:t>الضمان لازم من طرف الضامن، فلیس له فسخه بعد وقوعه مطلقاً</w:t>
      </w:r>
      <w:r>
        <w:rPr>
          <w:rtl w:val="true"/>
        </w:rPr>
        <w:t>]</w:t>
      </w:r>
      <w:bookmarkEnd w:id="5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لازم من طرف الضامن، فلیس له فسخه بعد وقوعه مطلقاً، و کذا من طرف المضمون له، إلّا إذا کان الضامن معسراً و کان المضمون له جاهلًا بإعساره، فإنّه یجوز له فسخ الضمان و الرجوع بحقّه علی المضمون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المدار علی الإعسار حال الضمان، فلو کان موسراً فی تلک الحال ثمّ أعسر لم یکن له الخیار، کما أنّه لو کان معسراً ثمّ أیسر لم یزل الخیار</w:t>
      </w:r>
      <w:r>
        <w:rPr>
          <w:rFonts w:eastAsia="IRNazanin" w:cs="IRNazanin"/>
          <w:color w:val="111111"/>
          <w:sz w:val="28"/>
          <w:szCs w:val="28"/>
          <w:rtl w:val="true"/>
          <w:lang w:bidi="fa-IR"/>
        </w:rPr>
        <w:t>.</w:t>
      </w:r>
    </w:p>
    <w:p>
      <w:pPr>
        <w:pStyle w:val="Heading3"/>
        <w:numPr>
          <w:ilvl w:val="2"/>
          <w:numId w:val="1"/>
        </w:numPr>
        <w:rPr/>
      </w:pPr>
      <w:bookmarkStart w:id="5191" w:name="__RefHeading___Toc2569690_3650668749"/>
      <w:bookmarkStart w:id="5192" w:name="_Toc2354"/>
      <w:bookmarkEnd w:id="5191"/>
      <w:r>
        <w:rPr>
          <w:rtl w:val="true"/>
        </w:rPr>
        <w:t>[ (</w:t>
      </w:r>
      <w:r>
        <w:rPr>
          <w:rtl w:val="true"/>
        </w:rPr>
        <w:t xml:space="preserve">مسألة </w:t>
      </w:r>
      <w:r>
        <w:rPr/>
        <w:t>5</w:t>
      </w:r>
      <w:r>
        <w:rPr>
          <w:rtl w:val="true"/>
        </w:rPr>
        <w:t xml:space="preserve">): </w:t>
      </w:r>
      <w:r>
        <w:rPr>
          <w:rtl w:val="true"/>
        </w:rPr>
        <w:t>یجوز اشتراط الخیار لکلّ من الضامن و المضمون له علی الأقویٰ</w:t>
      </w:r>
      <w:r>
        <w:rPr>
          <w:rtl w:val="true"/>
        </w:rPr>
        <w:t>]</w:t>
      </w:r>
      <w:bookmarkEnd w:id="5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اشتراط الخیار لکلّ من الضامن و المضمون له علی الأقویٰ</w:t>
      </w:r>
      <w:r>
        <w:rPr>
          <w:rFonts w:eastAsia="IRNazanin" w:cs="IRNazanin"/>
          <w:color w:val="111111"/>
          <w:sz w:val="28"/>
          <w:szCs w:val="28"/>
          <w:rtl w:val="true"/>
          <w:lang w:bidi="fa-IR"/>
        </w:rPr>
        <w:t>.</w:t>
      </w:r>
    </w:p>
    <w:p>
      <w:pPr>
        <w:pStyle w:val="Heading3"/>
        <w:numPr>
          <w:ilvl w:val="2"/>
          <w:numId w:val="1"/>
        </w:numPr>
        <w:rPr/>
      </w:pPr>
      <w:bookmarkStart w:id="5193" w:name="__RefHeading___Toc2569692_3650668749"/>
      <w:bookmarkStart w:id="5194" w:name="_Toc2355"/>
      <w:bookmarkEnd w:id="5193"/>
      <w:r>
        <w:rPr>
          <w:rtl w:val="true"/>
        </w:rPr>
        <w:t>[ (</w:t>
      </w:r>
      <w:r>
        <w:rPr>
          <w:rtl w:val="true"/>
        </w:rPr>
        <w:t xml:space="preserve">مسألة </w:t>
      </w:r>
      <w:r>
        <w:rPr/>
        <w:t>6</w:t>
      </w:r>
      <w:r>
        <w:rPr>
          <w:rtl w:val="true"/>
        </w:rPr>
        <w:t xml:space="preserve">): </w:t>
      </w:r>
      <w:r>
        <w:rPr>
          <w:rtl w:val="true"/>
        </w:rPr>
        <w:t>یجوز ضمان الدین الحالّ حالّا و مؤجّلًا</w:t>
      </w:r>
      <w:r>
        <w:rPr>
          <w:rtl w:val="true"/>
        </w:rPr>
        <w:t>]</w:t>
      </w:r>
      <w:bookmarkEnd w:id="5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ضمان الدین الحالّ حالّا و مؤجّلًا، و کذا ضمان الدین المؤجّل مؤجّلًا و حالا، و کذا یجوز ضمان الدین المؤجّل مؤجّلًا بأزید من أجله و بأنقص منه</w:t>
      </w:r>
      <w:r>
        <w:rPr>
          <w:rFonts w:eastAsia="IRNazanin" w:cs="IRNazanin"/>
          <w:color w:val="111111"/>
          <w:sz w:val="28"/>
          <w:szCs w:val="28"/>
          <w:rtl w:val="true"/>
          <w:lang w:bidi="fa-IR"/>
        </w:rPr>
        <w:t>.</w:t>
      </w:r>
    </w:p>
    <w:p>
      <w:pPr>
        <w:pStyle w:val="Heading3"/>
        <w:numPr>
          <w:ilvl w:val="2"/>
          <w:numId w:val="1"/>
        </w:numPr>
        <w:rPr/>
      </w:pPr>
      <w:bookmarkStart w:id="5195" w:name="__RefHeading___Toc2569694_3650668749"/>
      <w:bookmarkStart w:id="5196" w:name="_Toc2356"/>
      <w:bookmarkEnd w:id="5195"/>
      <w:r>
        <w:rPr>
          <w:rtl w:val="true"/>
        </w:rPr>
        <w:t>[ (</w:t>
      </w:r>
      <w:r>
        <w:rPr>
          <w:rtl w:val="true"/>
        </w:rPr>
        <w:t xml:space="preserve">مسألة </w:t>
      </w:r>
      <w:r>
        <w:rPr/>
        <w:t>7</w:t>
      </w:r>
      <w:r>
        <w:rPr>
          <w:rtl w:val="true"/>
        </w:rPr>
        <w:t xml:space="preserve">): </w:t>
      </w:r>
      <w:r>
        <w:rPr>
          <w:rtl w:val="true"/>
        </w:rPr>
        <w:t>إذا ضمن من دون إذن المضمون عنه لیس له الرجوع علیه</w:t>
      </w:r>
      <w:r>
        <w:rPr>
          <w:rtl w:val="true"/>
        </w:rPr>
        <w:t>]</w:t>
      </w:r>
      <w:bookmarkEnd w:id="5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ضمن من دون إذن المضمون عنه لیس له الرجوع علیه، و إن کان بإذنه فله الرجوع علیه لکن بعد أداء الدین لا بمجرّد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یرجع علیه بمقدار ما أدّاه، فلو صالح المضمون له مع الضامن الدین بنصفه أو ثلثه أو أبرأ ذمّته عن بعضه لم یرجع علیه بالمقدار الذی سقط عن ذمّته بالمصالحة أو الإبراء</w:t>
      </w:r>
      <w:r>
        <w:rPr>
          <w:rFonts w:eastAsia="IRNazanin" w:cs="IRNazanin"/>
          <w:color w:val="111111"/>
          <w:sz w:val="28"/>
          <w:szCs w:val="28"/>
          <w:rtl w:val="true"/>
          <w:lang w:bidi="fa-IR"/>
        </w:rPr>
        <w:t>.</w:t>
      </w:r>
    </w:p>
    <w:p>
      <w:pPr>
        <w:pStyle w:val="Heading3"/>
        <w:numPr>
          <w:ilvl w:val="2"/>
          <w:numId w:val="1"/>
        </w:numPr>
        <w:rPr/>
      </w:pPr>
      <w:bookmarkStart w:id="5197" w:name="__RefHeading___Toc2569696_3650668749"/>
      <w:bookmarkStart w:id="5198" w:name="_Toc2357"/>
      <w:bookmarkEnd w:id="5197"/>
      <w:r>
        <w:rPr>
          <w:rtl w:val="true"/>
        </w:rPr>
        <w:t>[ (</w:t>
      </w:r>
      <w:r>
        <w:rPr>
          <w:rtl w:val="true"/>
        </w:rPr>
        <w:t xml:space="preserve">مسألة </w:t>
      </w:r>
      <w:r>
        <w:rPr/>
        <w:t>8</w:t>
      </w:r>
      <w:r>
        <w:rPr>
          <w:rtl w:val="true"/>
        </w:rPr>
        <w:t xml:space="preserve">): </w:t>
      </w:r>
      <w:r>
        <w:rPr>
          <w:rtl w:val="true"/>
        </w:rPr>
        <w:t>إذا کان الضمان بإذن المضمون عنه</w:t>
      </w:r>
      <w:r>
        <w:rPr>
          <w:rtl w:val="true"/>
        </w:rPr>
        <w:t>]</w:t>
      </w:r>
      <w:bookmarkEnd w:id="5198"/>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الضمان بإذن المضمون عنه، فإنّما یرجع علیه بالأداء فیما إذا حلّ</w:t>
      </w:r>
      <w:bookmarkStart w:id="5199" w:name="pg1809_19520"/>
    </w:p>
    <w:p>
      <w:pPr>
        <w:pStyle w:val="BookText"/>
        <w:rPr/>
      </w:pPr>
      <w:bookmarkEnd w:id="5199"/>
      <w:r>
        <w:rPr>
          <w:rFonts w:ascii="IRNazanin" w:hAnsi="IRNazanin" w:eastAsia="IRNazanin"/>
          <w:color w:val="111111"/>
          <w:sz w:val="28"/>
          <w:sz w:val="28"/>
          <w:szCs w:val="28"/>
          <w:rtl w:val="true"/>
          <w:lang w:bidi="fa-IR"/>
        </w:rPr>
        <w:t xml:space="preserve">أجل الدین الذی کان علی المضمون عنه، و إلّا فلیس له الرجوع علیه إلّا بعد حلول أجله، فلو ضمن الدین المؤجّل حالّا أو الدین المؤجّل بأقلّ من أجله فأدّاه، لیس له </w:t>
      </w:r>
      <w:r>
        <w:rPr>
          <w:rStyle w:val="FootnoteAnchor"/>
          <w:rtl w:val="true"/>
        </w:rPr>
        <w:footnoteReference w:id="1422"/>
      </w:r>
      <w:r>
        <w:rPr>
          <w:rFonts w:ascii="IRNazanin" w:hAnsi="IRNazanin" w:eastAsia="IRNazanin"/>
          <w:color w:val="111111"/>
          <w:sz w:val="28"/>
          <w:sz w:val="28"/>
          <w:szCs w:val="28"/>
          <w:rtl w:val="true"/>
          <w:lang w:bidi="fa-IR"/>
        </w:rPr>
        <w:t>الرجوع علیه إلّا بعد حلول أجل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بالعکس، بأن ضمن الدین الحالّ مؤجّلًا أو المؤجّل بأکثر من أجله فأدّاه و لو برضا المضمون له قبل حلول أجله، جاز له الرجوع إلیه بمجرّد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مات قبل انقضاء الأجل فحلّ الدین و أدّاه الورثة من ترکته، کان لهم الرجوع علی المضمون عنه</w:t>
      </w:r>
      <w:r>
        <w:rPr>
          <w:rFonts w:eastAsia="IRNazanin" w:cs="IRNazanin"/>
          <w:color w:val="111111"/>
          <w:sz w:val="28"/>
          <w:szCs w:val="28"/>
          <w:rtl w:val="true"/>
          <w:lang w:bidi="fa-IR"/>
        </w:rPr>
        <w:t>.</w:t>
      </w:r>
    </w:p>
    <w:p>
      <w:pPr>
        <w:pStyle w:val="Heading3"/>
        <w:numPr>
          <w:ilvl w:val="2"/>
          <w:numId w:val="1"/>
        </w:numPr>
        <w:rPr/>
      </w:pPr>
      <w:bookmarkStart w:id="5200" w:name="__RefHeading___Toc2569698_3650668749"/>
      <w:bookmarkStart w:id="5201" w:name="_Toc2358"/>
      <w:bookmarkEnd w:id="5200"/>
      <w:r>
        <w:rPr>
          <w:rtl w:val="true"/>
        </w:rPr>
        <w:t>[ (</w:t>
      </w:r>
      <w:r>
        <w:rPr>
          <w:rtl w:val="true"/>
        </w:rPr>
        <w:t xml:space="preserve">مسألة </w:t>
      </w:r>
      <w:r>
        <w:rPr/>
        <w:t>9</w:t>
      </w:r>
      <w:r>
        <w:rPr>
          <w:rtl w:val="true"/>
        </w:rPr>
        <w:t xml:space="preserve">): </w:t>
      </w:r>
      <w:r>
        <w:rPr>
          <w:rtl w:val="true"/>
        </w:rPr>
        <w:t>لو ضمن بالإذن الدین المؤجّل مؤجّلًا، فمات قبل انقضاء الأجلین و حلّ ما علیه</w:t>
      </w:r>
      <w:r>
        <w:rPr>
          <w:rtl w:val="true"/>
        </w:rPr>
        <w:t>]</w:t>
      </w:r>
      <w:bookmarkEnd w:id="5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ضمن بالإذن الدین المؤجّل مؤجّلًا، فمات قبل انقضاء الأجلین و حلّ ما علیه، فأخذ من ترکته، لیس لورثته الرجوع إلی المضمون عنه إلّا بعد حلول أجل الدین الذی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یحلّ الدین بالنسبة إلی المضمون عنه بموت الضامن، و إنّما یحلّ بالنسبة إلیه</w:t>
      </w:r>
      <w:r>
        <w:rPr>
          <w:rFonts w:eastAsia="IRNazanin" w:cs="IRNazanin"/>
          <w:color w:val="111111"/>
          <w:sz w:val="28"/>
          <w:szCs w:val="28"/>
          <w:rtl w:val="true"/>
          <w:lang w:bidi="fa-IR"/>
        </w:rPr>
        <w:t>.</w:t>
      </w:r>
    </w:p>
    <w:p>
      <w:pPr>
        <w:pStyle w:val="Heading3"/>
        <w:numPr>
          <w:ilvl w:val="2"/>
          <w:numId w:val="1"/>
        </w:numPr>
        <w:rPr/>
      </w:pPr>
      <w:bookmarkStart w:id="5202" w:name="__RefHeading___Toc2569700_3650668749"/>
      <w:bookmarkStart w:id="5203" w:name="_Toc2359"/>
      <w:bookmarkEnd w:id="5202"/>
      <w:r>
        <w:rPr>
          <w:rtl w:val="true"/>
        </w:rPr>
        <w:t>[ (</w:t>
      </w:r>
      <w:r>
        <w:rPr>
          <w:rtl w:val="true"/>
        </w:rPr>
        <w:t xml:space="preserve">مسألة </w:t>
      </w:r>
      <w:r>
        <w:rPr/>
        <w:t>10</w:t>
      </w:r>
      <w:r>
        <w:rPr>
          <w:rtl w:val="true"/>
        </w:rPr>
        <w:t xml:space="preserve">): </w:t>
      </w:r>
      <w:r>
        <w:rPr>
          <w:rtl w:val="true"/>
        </w:rPr>
        <w:t>لو دفع المضمون عنه الدین إلی المضمون له من دون إذن الضامن برئت ذمّته</w:t>
      </w:r>
      <w:r>
        <w:rPr>
          <w:rtl w:val="true"/>
        </w:rPr>
        <w:t>]</w:t>
      </w:r>
      <w:bookmarkEnd w:id="5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المضمون عنه الدین إلی المضمون له من دون إذن الضامن برئت ذمّته و لیس له الرجوع علیه</w:t>
      </w:r>
      <w:r>
        <w:rPr>
          <w:rFonts w:eastAsia="IRNazanin" w:cs="IRNazanin"/>
          <w:color w:val="111111"/>
          <w:sz w:val="28"/>
          <w:szCs w:val="28"/>
          <w:rtl w:val="true"/>
          <w:lang w:bidi="fa-IR"/>
        </w:rPr>
        <w:t>.</w:t>
      </w:r>
    </w:p>
    <w:p>
      <w:pPr>
        <w:pStyle w:val="Heading3"/>
        <w:numPr>
          <w:ilvl w:val="2"/>
          <w:numId w:val="1"/>
        </w:numPr>
        <w:rPr/>
      </w:pPr>
      <w:bookmarkStart w:id="5204" w:name="__RefHeading___Toc2569702_3650668749"/>
      <w:bookmarkStart w:id="5205" w:name="_Toc2360"/>
      <w:bookmarkEnd w:id="5204"/>
      <w:r>
        <w:rPr>
          <w:rtl w:val="true"/>
        </w:rPr>
        <w:t>[ (</w:t>
      </w:r>
      <w:r>
        <w:rPr>
          <w:rtl w:val="true"/>
        </w:rPr>
        <w:t xml:space="preserve">مسألة </w:t>
      </w:r>
      <w:r>
        <w:rPr/>
        <w:t>11</w:t>
      </w:r>
      <w:r>
        <w:rPr>
          <w:rtl w:val="true"/>
        </w:rPr>
        <w:t xml:space="preserve">): </w:t>
      </w:r>
      <w:r>
        <w:rPr>
          <w:rtl w:val="true"/>
        </w:rPr>
        <w:t>یجوز الترامی فی الضمان</w:t>
      </w:r>
      <w:r>
        <w:rPr>
          <w:rtl w:val="true"/>
        </w:rPr>
        <w:t>]</w:t>
      </w:r>
      <w:bookmarkEnd w:id="5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الترامی فی الضمان؛ بأن یضمن مثلًا عمرو عن زید ثمّ یضمن بکر عن عمرو ثمّ یضمن خالد عن بکر و هکذا، فتبرأ ذمّة الجمیع و استقرّ الدین علی الضامن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جمیع الضمانات بغیر إذن من المضمون عنه لم یرجع واحد منهم علیٰ سابقه لو أدّی الدین الضامن الأخیر، و إن کانت جمیعها بالإذن یرجع الضامن الأخیر علیٰ سابقه و هو علیٰ سابقه إلیٰ أن ینتهی إلی المدیون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بعضها بالإذن و بعضها بدونه فإن کان الأخیر بدون الإذن کان کالأوّل لم یرجع واحد منهم علیٰ سابقه و إن کان بالإذن رجع هو علیٰ سابقه و هو علیٰ سابقه لو ضمن بإذنه، و إلّا لم یرجع و انقطع الرجوع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ضامن أدّی شیئاً و کان ضمانه بإذن من ضمن عنه یرجع علیه بما أدّاه</w:t>
      </w:r>
      <w:r>
        <w:rPr>
          <w:rFonts w:eastAsia="IRNazanin" w:cs="IRNazanin"/>
          <w:color w:val="111111"/>
          <w:sz w:val="28"/>
          <w:szCs w:val="28"/>
          <w:rtl w:val="true"/>
          <w:lang w:bidi="fa-IR"/>
        </w:rPr>
        <w:t>.</w:t>
      </w:r>
    </w:p>
    <w:p>
      <w:pPr>
        <w:pStyle w:val="Heading3"/>
        <w:numPr>
          <w:ilvl w:val="2"/>
          <w:numId w:val="1"/>
        </w:numPr>
        <w:rPr/>
      </w:pPr>
      <w:bookmarkStart w:id="5206" w:name="__RefHeading___Toc2569704_3650668749"/>
      <w:bookmarkStart w:id="5207" w:name="_Toc2361"/>
      <w:bookmarkEnd w:id="5206"/>
      <w:r>
        <w:rPr>
          <w:rtl w:val="true"/>
        </w:rPr>
        <w:t>[ (</w:t>
      </w:r>
      <w:r>
        <w:rPr>
          <w:rtl w:val="true"/>
        </w:rPr>
        <w:t xml:space="preserve">مسألة </w:t>
      </w:r>
      <w:r>
        <w:rPr/>
        <w:t>12</w:t>
      </w:r>
      <w:r>
        <w:rPr>
          <w:rtl w:val="true"/>
        </w:rPr>
        <w:t xml:space="preserve">): </w:t>
      </w:r>
      <w:r>
        <w:rPr>
          <w:rtl w:val="true"/>
        </w:rPr>
        <w:t>لا إشکال فی جواز ضمان اثنین عن واحد بالاشتراک</w:t>
      </w:r>
      <w:r>
        <w:rPr>
          <w:rtl w:val="true"/>
        </w:rPr>
        <w:t>]</w:t>
      </w:r>
      <w:bookmarkEnd w:id="5207"/>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ضمان اثنین عن واحد بالاشتراک؛ بأن یکون علیٰ کلّ منهما بعض الدین فتشتغل ذمّة کلّ منهما بمقدار منه علیٰ حسب ما عیّناه و لو بالتفاوت</w:t>
      </w:r>
      <w:r>
        <w:rPr>
          <w:rFonts w:eastAsia="IRNazanin" w:cs="IRNazanin"/>
          <w:color w:val="111111"/>
          <w:sz w:val="28"/>
          <w:szCs w:val="28"/>
          <w:rtl w:val="true"/>
          <w:lang w:bidi="fa-IR"/>
        </w:rPr>
        <w:t>.</w:t>
      </w:r>
      <w:bookmarkStart w:id="5208" w:name="pg1809_19521"/>
    </w:p>
    <w:p>
      <w:pPr>
        <w:pStyle w:val="BookText"/>
        <w:rPr/>
      </w:pPr>
      <w:bookmarkEnd w:id="5208"/>
      <w:r>
        <w:rPr>
          <w:rFonts w:ascii="IRNazanin" w:hAnsi="IRNazanin" w:eastAsia="IRNazanin"/>
          <w:color w:val="111111"/>
          <w:sz w:val="28"/>
          <w:sz w:val="28"/>
          <w:szCs w:val="28"/>
          <w:rtl w:val="true"/>
          <w:lang w:bidi="fa-IR"/>
        </w:rPr>
        <w:t>و لو أطلقا یقسّط علیهما بالتساوی، فبالنصف لو کانا اثنین، و بالثلث لو کانوا ثلاثة و هکذا، و لکلّ منهما أداء ما علیه و تبرأ ذمّته و لا یتوقّف علیٰ أداء الآخر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للمضمون له مطالبة کلّ منهما بحصّته و مطالبة أحدهما أو إبرائه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ضمان أحدهما بالإذن دون الآخر رجع هو إلی المضمون عنه بما أدّاه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لا فرق فی جمیع ما ذکر بین أن یکون ضمانهما بعقدین بأن ضمن أحدهما عن نصف الدین ثمّ ضمن الآخر عن نصفه الآخر أو بعقد واحد کما إذا ضمن عنهما وکیلهما فی ذلک فقبل المضمون له، هذا کلّه فی ضمان اثنین عن واحد بالاشتراک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ضمانهما عنه بالاستقلال؛ بأن کان کلّ منهما ضامناً لتمام الدین فهو و إن لم یخل عن إشکال لکن لا یبعد جوازه </w:t>
      </w:r>
      <w:r>
        <w:rPr>
          <w:rStyle w:val="FootnoteAnchor"/>
          <w:rtl w:val="true"/>
        </w:rPr>
        <w:footnoteReference w:id="1423"/>
      </w:r>
      <w:r>
        <w:rPr>
          <w:rFonts w:ascii="IRNazanin" w:hAnsi="IRNazanin" w:eastAsia="IRNazanin"/>
          <w:color w:val="111111"/>
          <w:sz w:val="28"/>
          <w:sz w:val="28"/>
          <w:szCs w:val="28"/>
          <w:rtl w:val="true"/>
          <w:lang w:bidi="fa-IR"/>
        </w:rPr>
        <w:t>، و حینئذٍ فللمضمون له مطالبة من شاء منهما بکلّ الدین، کما أنّ له مطالبة أحدهما ببعضه و بالباقی من الآخر، و لو أبرأ أحدهما انحصر المدیون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ضمان أحدهما بالإذن رجع المأذون إلی المضمون عنه دون غیره</w:t>
      </w:r>
      <w:r>
        <w:rPr>
          <w:rFonts w:eastAsia="IRNazanin" w:cs="IRNazanin"/>
          <w:color w:val="111111"/>
          <w:sz w:val="28"/>
          <w:szCs w:val="28"/>
          <w:rtl w:val="true"/>
          <w:lang w:bidi="fa-IR"/>
        </w:rPr>
        <w:t>.</w:t>
      </w:r>
    </w:p>
    <w:p>
      <w:pPr>
        <w:pStyle w:val="Heading3"/>
        <w:numPr>
          <w:ilvl w:val="2"/>
          <w:numId w:val="1"/>
        </w:numPr>
        <w:rPr/>
      </w:pPr>
      <w:bookmarkStart w:id="5209" w:name="__RefHeading___Toc2569706_3650668749"/>
      <w:bookmarkStart w:id="5210" w:name="_Toc2362"/>
      <w:bookmarkEnd w:id="5209"/>
      <w:r>
        <w:rPr>
          <w:rtl w:val="true"/>
        </w:rPr>
        <w:t>[ (</w:t>
      </w:r>
      <w:r>
        <w:rPr>
          <w:rtl w:val="true"/>
        </w:rPr>
        <w:t xml:space="preserve">مسألة </w:t>
      </w:r>
      <w:r>
        <w:rPr/>
        <w:t>13</w:t>
      </w:r>
      <w:r>
        <w:rPr>
          <w:rtl w:val="true"/>
        </w:rPr>
        <w:t xml:space="preserve">): </w:t>
      </w:r>
      <w:r>
        <w:rPr>
          <w:rtl w:val="true"/>
        </w:rPr>
        <w:t>ضمان اثنین عن واحد بالاستقلال لا یمکن إلّا بإیقاع الضمانین دفعة</w:t>
      </w:r>
      <w:r>
        <w:rPr>
          <w:rtl w:val="true"/>
        </w:rPr>
        <w:t>]</w:t>
      </w:r>
      <w:bookmarkEnd w:id="5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اثنین عن واحد بالاستقلال لا یمکن إلّا بإیقاع الضمانین دفعة، کما إذا ضمن عنهما کذلک وکیلهما بإیجاب واحد، ثمّ قبل المضمون له ذلک أو بتعاقب الإیجابین منهما، ثمّ قبول واحد من المضمون له متعلّق بکلیهما؛ بأن قال أحدهما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لک ما لکَ علیٰ فلان، ثمّ قال الآخر مثل ذلک، فقال المضمون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قاصداً قبول کلا الضمانین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تمّ عقد الضمان علیٰ تمام الدین فلا یمکن أن یتعقّبه ضمان آخر؛ إذ بمجرّد وقوع الضمان الأوّل برئت ذمّة المضمون عنه فلا یبقی محلّ لضمان آخر</w:t>
      </w:r>
      <w:r>
        <w:rPr>
          <w:rFonts w:eastAsia="IRNazanin" w:cs="IRNazanin"/>
          <w:color w:val="111111"/>
          <w:sz w:val="28"/>
          <w:szCs w:val="28"/>
          <w:rtl w:val="true"/>
          <w:lang w:bidi="fa-IR"/>
        </w:rPr>
        <w:t>.</w:t>
      </w:r>
    </w:p>
    <w:p>
      <w:pPr>
        <w:pStyle w:val="Heading3"/>
        <w:numPr>
          <w:ilvl w:val="2"/>
          <w:numId w:val="1"/>
        </w:numPr>
        <w:rPr/>
      </w:pPr>
      <w:bookmarkStart w:id="5211" w:name="__RefHeading___Toc2569708_3650668749"/>
      <w:bookmarkStart w:id="5212" w:name="_Toc2363"/>
      <w:bookmarkEnd w:id="5211"/>
      <w:r>
        <w:rPr>
          <w:rtl w:val="true"/>
        </w:rPr>
        <w:t>[ (</w:t>
      </w:r>
      <w:r>
        <w:rPr>
          <w:rtl w:val="true"/>
        </w:rPr>
        <w:t xml:space="preserve">مسألة </w:t>
      </w:r>
      <w:r>
        <w:rPr/>
        <w:t>14</w:t>
      </w:r>
      <w:r>
        <w:rPr>
          <w:rtl w:val="true"/>
        </w:rPr>
        <w:t xml:space="preserve">): </w:t>
      </w:r>
      <w:r>
        <w:rPr>
          <w:rtl w:val="true"/>
        </w:rPr>
        <w:t>یجوز الضمان بغیر جنس الدین</w:t>
      </w:r>
      <w:r>
        <w:rPr>
          <w:rtl w:val="true"/>
        </w:rPr>
        <w:t>]</w:t>
      </w:r>
      <w:bookmarkEnd w:id="5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الضمان بغیر جنس الدین، لکن إذا کان الضمان بإذن المضمون عنه لیس له الرجوع علیه إلّا بجنس الدین</w:t>
      </w:r>
      <w:r>
        <w:rPr>
          <w:rFonts w:eastAsia="IRNazanin" w:cs="IRNazanin"/>
          <w:color w:val="111111"/>
          <w:sz w:val="28"/>
          <w:szCs w:val="28"/>
          <w:rtl w:val="true"/>
          <w:lang w:bidi="fa-IR"/>
        </w:rPr>
        <w:t>.</w:t>
      </w:r>
    </w:p>
    <w:p>
      <w:pPr>
        <w:pStyle w:val="Heading3"/>
        <w:numPr>
          <w:ilvl w:val="2"/>
          <w:numId w:val="1"/>
        </w:numPr>
        <w:rPr/>
      </w:pPr>
      <w:bookmarkStart w:id="5213" w:name="__RefHeading___Toc2569710_3650668749"/>
      <w:bookmarkStart w:id="5214" w:name="_Toc2364"/>
      <w:bookmarkEnd w:id="5213"/>
      <w:r>
        <w:rPr>
          <w:rtl w:val="true"/>
        </w:rPr>
        <w:t>[ (</w:t>
      </w:r>
      <w:r>
        <w:rPr>
          <w:rtl w:val="true"/>
        </w:rPr>
        <w:t xml:space="preserve">مسألة </w:t>
      </w:r>
      <w:r>
        <w:rPr/>
        <w:t>15</w:t>
      </w:r>
      <w:r>
        <w:rPr>
          <w:rtl w:val="true"/>
        </w:rPr>
        <w:t xml:space="preserve">): </w:t>
      </w:r>
      <w:r>
        <w:rPr>
          <w:rtl w:val="true"/>
        </w:rPr>
        <w:t>کما یجوز الضمان عن الأعیان الثابتة فی الذمم</w:t>
      </w:r>
      <w:r>
        <w:rPr>
          <w:rtl w:val="true"/>
        </w:rPr>
        <w:t>]</w:t>
      </w:r>
      <w:bookmarkEnd w:id="5214"/>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الضمان عن الأعیان الثابتة فی الذمم، یجوز الضمان عن المنافع و الأعمال المستقرّة فی الذمم، فکما أنّه یجوز أن یضمن عن المستأجر ما علیه من الأُجرة، کذلک یجوز أن یضمن عن الأجیر ما علیه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ما علیه یعتبر فیه</w:t>
      </w:r>
      <w:bookmarkStart w:id="5215" w:name="pg1809_19522"/>
    </w:p>
    <w:p>
      <w:pPr>
        <w:pStyle w:val="BookText"/>
        <w:rPr/>
      </w:pPr>
      <w:bookmarkEnd w:id="5215"/>
      <w:r>
        <w:rPr>
          <w:rFonts w:ascii="IRNazanin" w:hAnsi="IRNazanin" w:eastAsia="IRNazanin"/>
          <w:color w:val="111111"/>
          <w:sz w:val="28"/>
          <w:sz w:val="28"/>
          <w:szCs w:val="28"/>
          <w:rtl w:val="true"/>
          <w:lang w:bidi="fa-IR"/>
        </w:rPr>
        <w:t>مباشرته کما إذا کان علیه خیاطة ثوب مباشرة لم یصحّ ضمانه</w:t>
      </w:r>
      <w:r>
        <w:rPr>
          <w:rFonts w:eastAsia="IRNazanin" w:cs="IRNazanin"/>
          <w:color w:val="111111"/>
          <w:sz w:val="28"/>
          <w:szCs w:val="28"/>
          <w:rtl w:val="true"/>
          <w:lang w:bidi="fa-IR"/>
        </w:rPr>
        <w:t>.</w:t>
      </w:r>
    </w:p>
    <w:p>
      <w:pPr>
        <w:pStyle w:val="Heading3"/>
        <w:numPr>
          <w:ilvl w:val="2"/>
          <w:numId w:val="1"/>
        </w:numPr>
        <w:rPr/>
      </w:pPr>
      <w:bookmarkStart w:id="5216" w:name="__RefHeading___Toc2569712_3650668749"/>
      <w:bookmarkStart w:id="5217" w:name="_Toc2365"/>
      <w:bookmarkEnd w:id="5216"/>
      <w:r>
        <w:rPr>
          <w:rtl w:val="true"/>
        </w:rPr>
        <w:t>[ (</w:t>
      </w:r>
      <w:r>
        <w:rPr>
          <w:rtl w:val="true"/>
        </w:rPr>
        <w:t xml:space="preserve">مسألة </w:t>
      </w:r>
      <w:r>
        <w:rPr/>
        <w:t>16</w:t>
      </w:r>
      <w:r>
        <w:rPr>
          <w:rtl w:val="true"/>
        </w:rPr>
        <w:t xml:space="preserve">): </w:t>
      </w:r>
      <w:r>
        <w:rPr>
          <w:rtl w:val="true"/>
        </w:rPr>
        <w:t>لو ادّعیٰ شخص علیٰ شخص دیناً، فقال ثالث للمدّعی</w:t>
      </w:r>
      <w:r>
        <w:rPr>
          <w:rtl w:val="true"/>
        </w:rPr>
        <w:t xml:space="preserve">: </w:t>
      </w:r>
      <w:r>
        <w:rPr>
          <w:rtl w:val="true"/>
        </w:rPr>
        <w:t>علیّ ما علیه، فرضی به المدّعی صحّ الضمان</w:t>
      </w:r>
      <w:r>
        <w:rPr>
          <w:rtl w:val="true"/>
        </w:rPr>
        <w:t>]</w:t>
      </w:r>
      <w:bookmarkEnd w:id="5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شخص علیٰ شخص دیناً، فقال ثالث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علیه، فرضی به المدّعی صحّ الضمان؛ بمعنی ثبوت الدین فی ذمّته علیٰ تقدیر ثبوته، فیسقط الدعویٰ عن المضمون عنه و یصیر الضامن طرف الدعویٰ، فإذا أقام المدّعی البیّنة علیٰ ثبوته یجب علی الضامن أداؤه، و کذا لو ثبت إقرار المضمون عنه قبل الضمان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إقراره بعد الضمان فلا یثبت به شی‌ء لا علی المقرّ لبراءة ذمّته بالضمان حسب الفرض و لا علی الضامن لکونه إقراراً علی الغیر</w:t>
      </w:r>
      <w:r>
        <w:rPr>
          <w:rFonts w:eastAsia="IRNazanin" w:cs="IRNazanin"/>
          <w:color w:val="111111"/>
          <w:sz w:val="28"/>
          <w:szCs w:val="28"/>
          <w:rtl w:val="true"/>
          <w:lang w:bidi="fa-IR"/>
        </w:rPr>
        <w:t>.</w:t>
      </w:r>
    </w:p>
    <w:p>
      <w:pPr>
        <w:pStyle w:val="Heading3"/>
        <w:numPr>
          <w:ilvl w:val="2"/>
          <w:numId w:val="1"/>
        </w:numPr>
        <w:rPr/>
      </w:pPr>
      <w:bookmarkStart w:id="5218" w:name="__RefHeading___Toc2569714_3650668749"/>
      <w:bookmarkStart w:id="5219" w:name="_Toc2366"/>
      <w:bookmarkEnd w:id="5218"/>
      <w:r>
        <w:rPr>
          <w:rtl w:val="true"/>
        </w:rPr>
        <w:t>[ (</w:t>
      </w:r>
      <w:r>
        <w:rPr>
          <w:rtl w:val="true"/>
        </w:rPr>
        <w:t xml:space="preserve">مسألة </w:t>
      </w:r>
      <w:r>
        <w:rPr/>
        <w:t>17</w:t>
      </w:r>
      <w:r>
        <w:rPr>
          <w:rtl w:val="true"/>
        </w:rPr>
        <w:t xml:space="preserve">): </w:t>
      </w:r>
      <w:r>
        <w:rPr>
          <w:rtl w:val="true"/>
        </w:rPr>
        <w:t>الأقویٰ عدم جواز ضمان الأعیان المضمونة</w:t>
      </w:r>
      <w:r>
        <w:rPr>
          <w:rtl w:val="true"/>
        </w:rPr>
        <w:t>]</w:t>
      </w:r>
      <w:bookmarkEnd w:id="5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عدم جواز ضمان الأعیان المضمونة کالغصب و المقبوض بالعقد الفاسد لمالکها عمّن کانت هی فی یده</w:t>
      </w:r>
      <w:r>
        <w:rPr>
          <w:rFonts w:eastAsia="IRNazanin" w:cs="IRNazanin"/>
          <w:color w:val="111111"/>
          <w:sz w:val="28"/>
          <w:szCs w:val="28"/>
          <w:rtl w:val="true"/>
          <w:lang w:bidi="fa-IR"/>
        </w:rPr>
        <w:t>.</w:t>
      </w:r>
    </w:p>
    <w:p>
      <w:pPr>
        <w:pStyle w:val="Heading3"/>
        <w:numPr>
          <w:ilvl w:val="2"/>
          <w:numId w:val="1"/>
        </w:numPr>
        <w:rPr/>
      </w:pPr>
      <w:bookmarkStart w:id="5220" w:name="__RefHeading___Toc2569716_3650668749"/>
      <w:bookmarkStart w:id="5221" w:name="_Toc2367"/>
      <w:bookmarkEnd w:id="5220"/>
      <w:r>
        <w:rPr>
          <w:rtl w:val="true"/>
        </w:rPr>
        <w:t>[ (</w:t>
      </w:r>
      <w:r>
        <w:rPr>
          <w:rtl w:val="true"/>
        </w:rPr>
        <w:t xml:space="preserve">مسألة </w:t>
      </w:r>
      <w:r>
        <w:rPr/>
        <w:t>18</w:t>
      </w:r>
      <w:r>
        <w:rPr>
          <w:rtl w:val="true"/>
        </w:rPr>
        <w:t xml:space="preserve">): </w:t>
      </w:r>
      <w:r>
        <w:rPr>
          <w:rtl w:val="true"/>
        </w:rPr>
        <w:t>لا إشکال فی جواز ضمان عهدة الثمن للمشتری عن البائع</w:t>
      </w:r>
      <w:r>
        <w:rPr>
          <w:rtl w:val="true"/>
        </w:rPr>
        <w:t>]</w:t>
      </w:r>
      <w:bookmarkEnd w:id="5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w:t>
      </w:r>
      <w:r>
        <w:rPr>
          <w:rStyle w:val="FootnoteAnchor"/>
          <w:rtl w:val="true"/>
        </w:rPr>
        <w:footnoteReference w:id="1424"/>
      </w:r>
      <w:r>
        <w:rPr>
          <w:rFonts w:ascii="IRNazanin" w:hAnsi="IRNazanin" w:eastAsia="IRNazanin"/>
          <w:color w:val="111111"/>
          <w:sz w:val="28"/>
          <w:sz w:val="28"/>
          <w:szCs w:val="28"/>
          <w:rtl w:val="true"/>
          <w:lang w:bidi="fa-IR"/>
        </w:rPr>
        <w:t>فی جواز ضمان عهدة الثمن للمشتری عن البائع لو ظهر المبیع مستحقّاً للغیر، أو ظهر بطلان البیع لفقد شرط من شروط صحّته، إذا کان ذلک بعد قبض البائع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ضمان درک ما یحدثه المشتری من بناء أو غرس فی الأرض المشتراة إذا ظهرت مستحقّة للغیر و قلعه المالک المشتری عن البائع ففیه إشکال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2" w:name="__RefHeading___Toc2569718_3650668749"/>
      <w:bookmarkStart w:id="5223" w:name="_Toc2368"/>
      <w:bookmarkEnd w:id="5222"/>
      <w:r>
        <w:rPr>
          <w:rtl w:val="true"/>
        </w:rPr>
        <w:t>[ (</w:t>
      </w:r>
      <w:r>
        <w:rPr>
          <w:rtl w:val="true"/>
        </w:rPr>
        <w:t xml:space="preserve">مسألة </w:t>
      </w:r>
      <w:r>
        <w:rPr/>
        <w:t>19</w:t>
      </w:r>
      <w:r>
        <w:rPr>
          <w:rtl w:val="true"/>
        </w:rPr>
        <w:t xml:space="preserve">): </w:t>
      </w:r>
      <w:r>
        <w:rPr>
          <w:rtl w:val="true"/>
        </w:rPr>
        <w:t>إذا کان علی الدین الذی علی المضمون عنه رهن ینفکّ بالضمان علیٰ إشکال</w:t>
      </w:r>
      <w:r>
        <w:rPr>
          <w:rtl w:val="true"/>
        </w:rPr>
        <w:t>]</w:t>
      </w:r>
      <w:bookmarkEnd w:id="5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علی الدین الذی علی المضمون عنه رهن ینفکّ بالضمان علیٰ إشکال </w:t>
      </w:r>
      <w:r>
        <w:rPr>
          <w:rStyle w:val="FootnoteAnchor"/>
          <w:rtl w:val="true"/>
        </w:rPr>
        <w:footnoteReference w:id="1426"/>
      </w:r>
      <w:r>
        <w:rPr>
          <w:rFonts w:ascii="IRNazanin" w:hAnsi="IRNazanin" w:eastAsia="IRNazanin"/>
          <w:color w:val="111111"/>
          <w:sz w:val="28"/>
          <w:sz w:val="28"/>
          <w:szCs w:val="28"/>
          <w:rtl w:val="true"/>
          <w:lang w:bidi="fa-IR"/>
        </w:rPr>
        <w:t>، نعم لو شرط الضامن مع المضمون له انفکاکه، انفکّ بلا إشکال</w:t>
      </w:r>
      <w:r>
        <w:rPr>
          <w:rFonts w:eastAsia="IRNazanin" w:cs="IRNazanin"/>
          <w:color w:val="111111"/>
          <w:sz w:val="28"/>
          <w:szCs w:val="28"/>
          <w:rtl w:val="true"/>
          <w:lang w:bidi="fa-IR"/>
        </w:rPr>
        <w:t>.</w:t>
      </w:r>
    </w:p>
    <w:p>
      <w:pPr>
        <w:pStyle w:val="Heading3"/>
        <w:numPr>
          <w:ilvl w:val="2"/>
          <w:numId w:val="1"/>
        </w:numPr>
        <w:rPr/>
      </w:pPr>
      <w:bookmarkStart w:id="5224" w:name="__RefHeading___Toc2569720_3650668749"/>
      <w:bookmarkStart w:id="5225" w:name="_Toc2369"/>
      <w:bookmarkEnd w:id="5224"/>
      <w:r>
        <w:rPr>
          <w:rtl w:val="true"/>
        </w:rPr>
        <w:t>[ (</w:t>
      </w:r>
      <w:r>
        <w:rPr>
          <w:rtl w:val="true"/>
        </w:rPr>
        <w:t xml:space="preserve">مسألة </w:t>
      </w:r>
      <w:r>
        <w:rPr/>
        <w:t>20</w:t>
      </w:r>
      <w:r>
        <w:rPr>
          <w:rtl w:val="true"/>
        </w:rPr>
        <w:t xml:space="preserve">): </w:t>
      </w:r>
      <w:r>
        <w:rPr>
          <w:rtl w:val="true"/>
        </w:rPr>
        <w:t>لو کان علیٰ أحد دین</w:t>
      </w:r>
      <w:r>
        <w:rPr>
          <w:rtl w:val="true"/>
        </w:rPr>
        <w:t>]</w:t>
      </w:r>
      <w:bookmarkEnd w:id="5225"/>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 أحد دین، فالتمس من غیره أداءه فأدّاه بلا ضمان عنه للدائن، جاز له الرجوع علی الملتمس</w:t>
      </w:r>
      <w:r>
        <w:rPr>
          <w:rFonts w:eastAsia="IRNazanin" w:cs="IRNazanin"/>
          <w:color w:val="111111"/>
          <w:sz w:val="28"/>
          <w:szCs w:val="28"/>
          <w:rtl w:val="true"/>
          <w:lang w:bidi="fa-IR"/>
        </w:rPr>
        <w:t>.</w:t>
      </w:r>
      <w:bookmarkStart w:id="5226" w:name="pg1809_19523"/>
    </w:p>
    <w:p>
      <w:pPr>
        <w:pStyle w:val="Heading2"/>
        <w:numPr>
          <w:ilvl w:val="1"/>
          <w:numId w:val="1"/>
        </w:numPr>
        <w:rPr/>
      </w:pPr>
      <w:bookmarkStart w:id="5227" w:name="__RefHeading___Toc2569722_3650668749"/>
      <w:bookmarkStart w:id="5228" w:name="_Toc2370"/>
      <w:bookmarkEnd w:id="5226"/>
      <w:bookmarkEnd w:id="5227"/>
      <w:r>
        <w:rPr>
          <w:rtl w:val="true"/>
        </w:rPr>
        <w:t>[</w:t>
      </w:r>
      <w:r>
        <w:rPr>
          <w:rtl w:val="true"/>
        </w:rPr>
        <w:t>کتاب الحوالة و الکفالة</w:t>
      </w:r>
      <w:r>
        <w:rPr>
          <w:rtl w:val="true"/>
        </w:rPr>
        <w:t>]</w:t>
      </w:r>
      <w:bookmarkEnd w:id="5228"/>
    </w:p>
    <w:p>
      <w:pPr>
        <w:pStyle w:val="Heading3"/>
        <w:numPr>
          <w:ilvl w:val="2"/>
          <w:numId w:val="1"/>
        </w:numPr>
        <w:rPr/>
      </w:pPr>
      <w:bookmarkStart w:id="5229" w:name="__RefHeading___Toc2569724_3650668749"/>
      <w:bookmarkStart w:id="5230" w:name="_Toc2371"/>
      <w:bookmarkEnd w:id="5229"/>
      <w:r>
        <w:rPr>
          <w:rtl w:val="true"/>
        </w:rPr>
        <w:t>اشارة</w:t>
      </w:r>
      <w:bookmarkEnd w:id="5230"/>
    </w:p>
    <w:p>
      <w:pPr>
        <w:pStyle w:val="BookText"/>
        <w:rPr/>
      </w:pPr>
      <w:r>
        <w:rPr>
          <w:rFonts w:ascii="IRNazanin" w:hAnsi="IRNazanin" w:eastAsia="IRNazanin"/>
          <w:color w:val="111111"/>
          <w:sz w:val="28"/>
          <w:sz w:val="28"/>
          <w:szCs w:val="28"/>
          <w:rtl w:val="true"/>
          <w:lang w:bidi="fa-IR"/>
        </w:rPr>
        <w:t>کتاب الحوالة و الکفالة</w:t>
      </w:r>
    </w:p>
    <w:p>
      <w:pPr>
        <w:pStyle w:val="Heading3"/>
        <w:numPr>
          <w:ilvl w:val="2"/>
          <w:numId w:val="1"/>
        </w:numPr>
        <w:rPr/>
      </w:pPr>
      <w:bookmarkStart w:id="5231" w:name="__RefHeading___Toc2569726_3650668749"/>
      <w:bookmarkStart w:id="5232" w:name="_Toc2372"/>
      <w:bookmarkEnd w:id="5231"/>
      <w:r>
        <w:rPr>
          <w:rtl w:val="true"/>
        </w:rPr>
        <w:t>[</w:t>
      </w:r>
      <w:r>
        <w:rPr>
          <w:rtl w:val="true"/>
        </w:rPr>
        <w:t>أمّا الحوالة</w:t>
      </w:r>
      <w:r>
        <w:rPr>
          <w:rtl w:val="true"/>
        </w:rPr>
        <w:t>]</w:t>
      </w:r>
      <w:bookmarkEnd w:id="5232"/>
    </w:p>
    <w:p>
      <w:pPr>
        <w:pStyle w:val="Heading4"/>
        <w:numPr>
          <w:ilvl w:val="3"/>
          <w:numId w:val="1"/>
        </w:numPr>
        <w:rPr/>
      </w:pPr>
      <w:bookmarkStart w:id="5233" w:name="__RefHeading___Toc2569728_3650668749"/>
      <w:bookmarkStart w:id="5234" w:name="_Toc2373"/>
      <w:bookmarkEnd w:id="5233"/>
      <w:r>
        <w:rPr>
          <w:rtl w:val="true"/>
        </w:rPr>
        <w:t>اشارة</w:t>
      </w:r>
      <w:bookmarkEnd w:id="5234"/>
    </w:p>
    <w:p>
      <w:pPr>
        <w:pStyle w:val="BookText"/>
        <w:rPr/>
      </w:pPr>
      <w:r>
        <w:rPr>
          <w:rFonts w:ascii="IRNazanin" w:hAnsi="IRNazanin" w:eastAsia="IRNazanin"/>
          <w:color w:val="111111"/>
          <w:sz w:val="28"/>
          <w:sz w:val="28"/>
          <w:szCs w:val="28"/>
          <w:rtl w:val="true"/>
          <w:lang w:bidi="fa-IR"/>
        </w:rPr>
        <w:t>أمّا 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فحقیقتها تحویل المدیون ما فی ذمّته إلیٰ ذمّة غیره، و هی متقوّمة بأشخاص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المحیل و هو المدیون، و المحتال و هو الدائن، و المحال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و العقل و الرشد و الاختیار </w:t>
      </w:r>
      <w:r>
        <w:rPr>
          <w:rStyle w:val="FootnoteAnchor"/>
          <w:rtl w:val="true"/>
        </w:rPr>
        <w:footnoteReference w:id="1427"/>
      </w:r>
      <w:r>
        <w:rPr>
          <w:rFonts w:ascii="IRNazanin" w:hAnsi="IRNazanin" w:eastAsia="IRNazanin"/>
          <w:color w:val="111111"/>
          <w:sz w:val="28"/>
          <w:sz w:val="28"/>
          <w:szCs w:val="28"/>
          <w:rtl w:val="true"/>
          <w:lang w:bidi="fa-IR"/>
        </w:rPr>
        <w:t>، و حیث إنّها عقد من العقود تحتاج إلیٰ إیجاب من المحیل و قبول من المحتال، و أمّا المحال علیه فلیس طرفاً للعقد و إن قلنا باعتبار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یعتبر فی عقدها ما یعتبر فی سائر العقود، و منها التنجیز </w:t>
      </w:r>
      <w:r>
        <w:rPr>
          <w:rStyle w:val="FootnoteAnchor"/>
          <w:rtl w:val="true"/>
        </w:rPr>
        <w:footnoteReference w:id="1428"/>
      </w:r>
      <w:r>
        <w:rPr>
          <w:rFonts w:ascii="IRNazanin" w:hAnsi="IRNazanin" w:eastAsia="IRNazanin"/>
          <w:color w:val="111111"/>
          <w:sz w:val="28"/>
          <w:sz w:val="28"/>
          <w:szCs w:val="28"/>
          <w:rtl w:val="true"/>
          <w:lang w:bidi="fa-IR"/>
        </w:rPr>
        <w:t>فلو علّقها علیٰ شی‌ء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الإیجاب کلّ لفظ یدلّ علی التحویل المزبور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أحلتک بما فی ذمّتی من الدین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یفید معناه، و فی القبول ما یدلّ علی الرضا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w:t>
      </w:r>
    </w:p>
    <w:p>
      <w:pPr>
        <w:pStyle w:val="Heading4"/>
        <w:numPr>
          <w:ilvl w:val="3"/>
          <w:numId w:val="1"/>
        </w:numPr>
        <w:rPr/>
      </w:pPr>
      <w:bookmarkStart w:id="5235" w:name="__RefHeading___Toc2569730_3650668749"/>
      <w:bookmarkStart w:id="5236" w:name="_Toc2374"/>
      <w:bookmarkEnd w:id="5235"/>
      <w:r>
        <w:rPr>
          <w:rtl w:val="true"/>
        </w:rPr>
        <w:t>[ (</w:t>
      </w:r>
      <w:r>
        <w:rPr>
          <w:rtl w:val="true"/>
        </w:rPr>
        <w:t xml:space="preserve">مسألة </w:t>
      </w:r>
      <w:r>
        <w:rPr/>
        <w:t>1</w:t>
      </w:r>
      <w:r>
        <w:rPr>
          <w:rtl w:val="true"/>
        </w:rPr>
        <w:t xml:space="preserve">): </w:t>
      </w:r>
      <w:r>
        <w:rPr>
          <w:rtl w:val="true"/>
        </w:rPr>
        <w:t>یشترط فی صحّة الحوالة مضافاً إلیٰ ما اعتبر فی المحیل و المحتال و المحال علیه</w:t>
      </w:r>
      <w:r>
        <w:rPr>
          <w:rtl w:val="true"/>
        </w:rPr>
        <w:t>]</w:t>
      </w:r>
      <w:bookmarkEnd w:id="5236"/>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الحوالة مضافاً إلیٰ ما اعتبر فی المحیل و المحتال و المحال علیه و ما اعتبر فی العقد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المال المحال به ثابتاً فی ذمّة المحیل، فلا تصحّ فی غیر الثابت فی ذمّته و إن وجد سببه، کمال الجعالة قبل العمل، فضلًا عمّا لم یوجد سببه کالحوالة بما سیستقرضه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المال المحال به؛ بمعنی عدم الإبهام و التردید، و أمّا معلومیّة مقداره أو جنسه عند المحیل أو المحتال فالظاهر عدم اعتبارها، فلو کان مجهولًا عندهما لکن کان معلوماً و معیّناً فی الواقع لا بأس به، خصوصاً مع فرض إمکان ارتفاع الجهالة بعد ذلک، کما إذا کان علیه دین لأحد قد أثبته فی دفتره و لم یعلما مقداره فحوّله علیٰ شخص آخر قبل مراجعتهما إلی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bookmarkStart w:id="5237" w:name="pg1809_19524"/>
    </w:p>
    <w:p>
      <w:pPr>
        <w:pStyle w:val="BookText"/>
        <w:rPr/>
      </w:pPr>
      <w:bookmarkEnd w:id="5237"/>
      <w:r>
        <w:rPr>
          <w:rFonts w:ascii="IRNazanin" w:hAnsi="IRNazanin" w:eastAsia="IRNazanin"/>
          <w:color w:val="111111"/>
          <w:sz w:val="28"/>
          <w:sz w:val="28"/>
          <w:szCs w:val="28"/>
          <w:rtl w:val="true"/>
          <w:lang w:bidi="fa-IR"/>
        </w:rPr>
        <w:t xml:space="preserve">رضا المحال علیه و قبوله؛ و إن اشتغلت ذمّته للمحیل بمثل ما أحال علیه علی الأقویٰ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8" w:name="__RefHeading___Toc2569732_3650668749"/>
      <w:bookmarkStart w:id="5239" w:name="_Toc2375"/>
      <w:bookmarkEnd w:id="5238"/>
      <w:r>
        <w:rPr>
          <w:rtl w:val="true"/>
        </w:rPr>
        <w:t>[ (</w:t>
      </w:r>
      <w:r>
        <w:rPr>
          <w:rtl w:val="true"/>
        </w:rPr>
        <w:t xml:space="preserve">مسألة </w:t>
      </w:r>
      <w:r>
        <w:rPr/>
        <w:t>2</w:t>
      </w:r>
      <w:r>
        <w:rPr>
          <w:rtl w:val="true"/>
        </w:rPr>
        <w:t xml:space="preserve">): </w:t>
      </w:r>
      <w:r>
        <w:rPr>
          <w:rtl w:val="true"/>
        </w:rPr>
        <w:t>لا یعتبر فی صحّة الحوالة اشتغال ذمّة المحال علیه بالدین للمحیل</w:t>
      </w:r>
      <w:r>
        <w:rPr>
          <w:rtl w:val="true"/>
        </w:rPr>
        <w:t>]</w:t>
      </w:r>
      <w:bookmarkEnd w:id="5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صحّة الحوالة اشتغال ذمّة المحال علیه بالدین للمحیل، فتصحّ الحوالة علی البری‌ء علی الأقویٰ</w:t>
      </w:r>
      <w:r>
        <w:rPr>
          <w:rFonts w:eastAsia="IRNazanin" w:cs="IRNazanin"/>
          <w:color w:val="111111"/>
          <w:sz w:val="28"/>
          <w:szCs w:val="28"/>
          <w:rtl w:val="true"/>
          <w:lang w:bidi="fa-IR"/>
        </w:rPr>
        <w:t>.</w:t>
      </w:r>
    </w:p>
    <w:p>
      <w:pPr>
        <w:pStyle w:val="Heading4"/>
        <w:numPr>
          <w:ilvl w:val="3"/>
          <w:numId w:val="1"/>
        </w:numPr>
        <w:rPr/>
      </w:pPr>
      <w:bookmarkStart w:id="5240" w:name="__RefHeading___Toc2569734_3650668749"/>
      <w:bookmarkStart w:id="5241" w:name="_Toc2376"/>
      <w:bookmarkEnd w:id="5240"/>
      <w:r>
        <w:rPr>
          <w:rtl w:val="true"/>
        </w:rPr>
        <w:t>[ (</w:t>
      </w:r>
      <w:r>
        <w:rPr>
          <w:rtl w:val="true"/>
        </w:rPr>
        <w:t xml:space="preserve">مسألة </w:t>
      </w:r>
      <w:r>
        <w:rPr/>
        <w:t>3</w:t>
      </w:r>
      <w:r>
        <w:rPr>
          <w:rtl w:val="true"/>
        </w:rPr>
        <w:t xml:space="preserve">): </w:t>
      </w:r>
      <w:r>
        <w:rPr>
          <w:rtl w:val="true"/>
        </w:rPr>
        <w:t>لا فرق فی المحال به بین کونه عیناً ثابتاً فی ذمّة المحیل، و بین کونه منفعة أو عملًا لا یعتبر فیه المباشرة</w:t>
      </w:r>
      <w:r>
        <w:rPr>
          <w:rtl w:val="true"/>
        </w:rPr>
        <w:t>]</w:t>
      </w:r>
      <w:bookmarkEnd w:id="5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المحال به بین کونه عیناً ثابتاً فی ذمّة المحیل، و بین کونه منفعة أو عملًا لا یعتبر فیه المباشرة، فتصحّ إحالة مشغول الذمّة بخیاطة ثوب أو زیارة أو صلاة أو حجّ أو قراءة قرآن و نحو ذلک؛ علیٰ بری‌ء أو علیٰ من اشتغلت ذمّته له بمثل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فرق بین کونه مثلیّا کالحنطة و الشعیر أو قیمیّاً کالعبد و الثوب بعد ما کان موصوفاً بما یرفع الجهالة، فإذا اشتغلت ذمّته بشاة موصوفة مثلًا بسبب کالسلم جاز له إحالتها علیٰ من کان له علیه شاة بذلک الوصف أو کان بریئاً</w:t>
      </w:r>
      <w:r>
        <w:rPr>
          <w:rFonts w:eastAsia="IRNazanin" w:cs="IRNazanin"/>
          <w:color w:val="111111"/>
          <w:sz w:val="28"/>
          <w:szCs w:val="28"/>
          <w:rtl w:val="true"/>
          <w:lang w:bidi="fa-IR"/>
        </w:rPr>
        <w:t>.</w:t>
      </w:r>
    </w:p>
    <w:p>
      <w:pPr>
        <w:pStyle w:val="Heading4"/>
        <w:numPr>
          <w:ilvl w:val="3"/>
          <w:numId w:val="1"/>
        </w:numPr>
        <w:rPr/>
      </w:pPr>
      <w:bookmarkStart w:id="5242" w:name="__RefHeading___Toc2569736_3650668749"/>
      <w:bookmarkStart w:id="5243" w:name="_Toc2377"/>
      <w:bookmarkEnd w:id="5242"/>
      <w:r>
        <w:rPr>
          <w:rtl w:val="true"/>
        </w:rPr>
        <w:t>[ (</w:t>
      </w:r>
      <w:r>
        <w:rPr>
          <w:rtl w:val="true"/>
        </w:rPr>
        <w:t xml:space="preserve">مسألة </w:t>
      </w:r>
      <w:r>
        <w:rPr/>
        <w:t>4</w:t>
      </w:r>
      <w:r>
        <w:rPr>
          <w:rtl w:val="true"/>
        </w:rPr>
        <w:t xml:space="preserve">): </w:t>
      </w:r>
      <w:r>
        <w:rPr>
          <w:rtl w:val="true"/>
        </w:rPr>
        <w:t>لا إشکال فی صحّة الحوالة مع اتّحاد الدین المحال به مع الدین الذی علی المحال علیه</w:t>
      </w:r>
      <w:r>
        <w:rPr>
          <w:rtl w:val="true"/>
        </w:rPr>
        <w:t>]</w:t>
      </w:r>
      <w:bookmarkEnd w:id="5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صحّة الحوالة مع اتّحاد الدین المحال به مع الدین الذی علی المحال علیه جنساً و نوعاً، کما إذا کان علیه لرجل دراهم و له علیٰ آخر دراهم، فیحیل الأوّل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الاختلاف؛ بأن کان علیه مثلًا دراهم و له علیٰ آخر دنانیر فیحیل الأوّل علی الثانی، فهو یقع علیٰ 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یحیل الأوّل بدراهمه علی الثانی بالدنانیر؛ بأن یأخذ منه و یستحقّ علیه بدل الدراهم، دنانیر،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یحیله علیه بالدراهم؛ بأن یأخذ منه الدراهم و یعطی المحال علیه بدل ما علیه من الدنانیر الدراهم، 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یحیله علیه بالدراهم؛ بأن یأخذ منه دراهمه و تبقی الدنانیر علیٰ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صحّة النحو الأوّل و کذا الثالث و یکون هو کالحوالة علی البری‌ء، و أمّا الثانی ففیه إشکال </w:t>
      </w:r>
      <w:r>
        <w:rPr>
          <w:rStyle w:val="FootnoteAnchor"/>
          <w:rtl w:val="true"/>
        </w:rPr>
        <w:footnoteReference w:id="1430"/>
      </w:r>
      <w:r>
        <w:rPr>
          <w:rFonts w:ascii="IRNazanin" w:hAnsi="IRNazanin" w:eastAsia="IRNazanin"/>
          <w:color w:val="111111"/>
          <w:sz w:val="28"/>
          <w:sz w:val="28"/>
          <w:szCs w:val="28"/>
          <w:rtl w:val="true"/>
          <w:lang w:bidi="fa-IR"/>
        </w:rPr>
        <w:t>، فالأحوط فیما إذا أراد ذلک أن یقلب الدنانیر التی علی المحال علیه دراهم بناقل شرعی أوّلًا ثمّ یحال علیه الدراهم</w:t>
      </w:r>
      <w:r>
        <w:rPr>
          <w:rFonts w:eastAsia="IRNazanin" w:cs="IRNazanin"/>
          <w:color w:val="111111"/>
          <w:sz w:val="28"/>
          <w:szCs w:val="28"/>
          <w:rtl w:val="true"/>
          <w:lang w:bidi="fa-IR"/>
        </w:rPr>
        <w:t>.</w:t>
      </w:r>
    </w:p>
    <w:p>
      <w:pPr>
        <w:pStyle w:val="Heading4"/>
        <w:numPr>
          <w:ilvl w:val="3"/>
          <w:numId w:val="1"/>
        </w:numPr>
        <w:rPr/>
      </w:pPr>
      <w:bookmarkStart w:id="5244" w:name="__RefHeading___Toc2569738_3650668749"/>
      <w:bookmarkStart w:id="5245" w:name="_Toc2378"/>
      <w:bookmarkEnd w:id="5244"/>
      <w:r>
        <w:rPr>
          <w:rtl w:val="true"/>
        </w:rPr>
        <w:t>[ (</w:t>
      </w:r>
      <w:r>
        <w:rPr>
          <w:rtl w:val="true"/>
        </w:rPr>
        <w:t xml:space="preserve">مسألة </w:t>
      </w:r>
      <w:r>
        <w:rPr/>
        <w:t>5</w:t>
      </w:r>
      <w:r>
        <w:rPr>
          <w:rtl w:val="true"/>
        </w:rPr>
        <w:t xml:space="preserve">): </w:t>
      </w:r>
      <w:r>
        <w:rPr>
          <w:rtl w:val="true"/>
        </w:rPr>
        <w:t>إذا تحقّقت الحوالة جامعة للشرائط برئت ذمّة المحیل عن الدین</w:t>
      </w:r>
      <w:r>
        <w:rPr>
          <w:rtl w:val="true"/>
        </w:rPr>
        <w:t>]</w:t>
      </w:r>
      <w:bookmarkEnd w:id="5245"/>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تحقّقت الحوالة جامعة للشرائط برئت ذمّة المحیل عن الدین و إن لم یبرئه المحتال و اشتغلت ذمّة المحال علیه للمحتال بما أُحیل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المحیل مع المحتال</w:t>
      </w:r>
      <w:bookmarkStart w:id="5246" w:name="pg1809_19525"/>
    </w:p>
    <w:p>
      <w:pPr>
        <w:pStyle w:val="BookText"/>
        <w:rPr/>
      </w:pPr>
      <w:bookmarkEnd w:id="5246"/>
      <w:r>
        <w:rPr>
          <w:rFonts w:ascii="IRNazanin" w:hAnsi="IRNazanin" w:eastAsia="IRNazanin"/>
          <w:color w:val="111111"/>
          <w:sz w:val="28"/>
          <w:sz w:val="28"/>
          <w:szCs w:val="28"/>
          <w:rtl w:val="true"/>
          <w:lang w:bidi="fa-IR"/>
        </w:rPr>
        <w:t>و المحتال مع المحال علیه، و أمّا حال المحال علیه مع المحیل، فإن کانت الحوالة بمثل ما علیه برئت ذمّته ممّا له علیه، و کذا إن کانت بغیر الجنس و وقعت علی النحو الأوّل من الأنحاء الثلاثة المتقدّمة، و إن وقعت علی النحو الثانی فقد عرفت أنّ فیه إشکالًا، و علیٰ فرض صحّته کان کالأوّل فی براءة ذمّة المحال علیه عمّا علیه، و أمّا إن وقعت علی النحو الأخیر أو کانت الحوالة علی البری‌ء اشتغلت ذمّة المحیل للمحال علیه بما أحال علیه، و إن کان له علیه دین یبقیٰ علیٰ حاله فیتحاسبان بعد ذلک</w:t>
      </w:r>
      <w:r>
        <w:rPr>
          <w:rFonts w:eastAsia="IRNazanin" w:cs="IRNazanin"/>
          <w:color w:val="111111"/>
          <w:sz w:val="28"/>
          <w:szCs w:val="28"/>
          <w:rtl w:val="true"/>
          <w:lang w:bidi="fa-IR"/>
        </w:rPr>
        <w:t>.</w:t>
      </w:r>
    </w:p>
    <w:p>
      <w:pPr>
        <w:pStyle w:val="Heading4"/>
        <w:numPr>
          <w:ilvl w:val="3"/>
          <w:numId w:val="1"/>
        </w:numPr>
        <w:rPr/>
      </w:pPr>
      <w:bookmarkStart w:id="5247" w:name="__RefHeading___Toc2569740_3650668749"/>
      <w:bookmarkStart w:id="5248" w:name="_Toc2379"/>
      <w:bookmarkEnd w:id="5247"/>
      <w:r>
        <w:rPr>
          <w:rtl w:val="true"/>
        </w:rPr>
        <w:t>[ (</w:t>
      </w:r>
      <w:r>
        <w:rPr>
          <w:rtl w:val="true"/>
        </w:rPr>
        <w:t xml:space="preserve">مسألة </w:t>
      </w:r>
      <w:r>
        <w:rPr/>
        <w:t>6</w:t>
      </w:r>
      <w:r>
        <w:rPr>
          <w:rtl w:val="true"/>
        </w:rPr>
        <w:t xml:space="preserve">): </w:t>
      </w:r>
      <w:r>
        <w:rPr>
          <w:rtl w:val="true"/>
        </w:rPr>
        <w:t>لا یجب علی المحتال قبول الحوالة و إن کان علیٰ غنیّ غیر مماطلٍ</w:t>
      </w:r>
      <w:r>
        <w:rPr>
          <w:rtl w:val="true"/>
        </w:rPr>
        <w:t>]</w:t>
      </w:r>
      <w:bookmarkEnd w:id="5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المحتال قبول الحوالة و إن کان علیٰ غنیّ غیر مماطلٍ، و لو قبلها لزم و إن کانت علیٰ فقیر معدم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جاهلًا بحاله ثمّ بان إعساره و فقره وقت الحوالة کان له الفسخ و العود علی المحیل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الفسخ بسبب الفقر الطارئ، کما أنّه لا یزول الخیار لو تبدّل فقره بالیسار</w:t>
      </w:r>
      <w:r>
        <w:rPr>
          <w:rFonts w:eastAsia="IRNazanin" w:cs="IRNazanin"/>
          <w:color w:val="111111"/>
          <w:sz w:val="28"/>
          <w:szCs w:val="28"/>
          <w:rtl w:val="true"/>
          <w:lang w:bidi="fa-IR"/>
        </w:rPr>
        <w:t>.</w:t>
      </w:r>
    </w:p>
    <w:p>
      <w:pPr>
        <w:pStyle w:val="Heading4"/>
        <w:numPr>
          <w:ilvl w:val="3"/>
          <w:numId w:val="1"/>
        </w:numPr>
        <w:rPr/>
      </w:pPr>
      <w:bookmarkStart w:id="5249" w:name="__RefHeading___Toc2569742_3650668749"/>
      <w:bookmarkStart w:id="5250" w:name="_Toc2380"/>
      <w:bookmarkEnd w:id="5249"/>
      <w:r>
        <w:rPr>
          <w:rtl w:val="true"/>
        </w:rPr>
        <w:t>[ (</w:t>
      </w:r>
      <w:r>
        <w:rPr>
          <w:rtl w:val="true"/>
        </w:rPr>
        <w:t xml:space="preserve">مسألة </w:t>
      </w:r>
      <w:r>
        <w:rPr/>
        <w:t>7</w:t>
      </w:r>
      <w:r>
        <w:rPr>
          <w:rtl w:val="true"/>
        </w:rPr>
        <w:t xml:space="preserve">): </w:t>
      </w:r>
      <w:r>
        <w:rPr>
          <w:rtl w:val="true"/>
        </w:rPr>
        <w:t>الحوالة لازمة بالنسبة إلیٰ کلّ من الثلاثة</w:t>
      </w:r>
      <w:r>
        <w:rPr>
          <w:rtl w:val="true"/>
        </w:rPr>
        <w:t>]</w:t>
      </w:r>
      <w:bookmarkEnd w:id="5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الحوالة لازمة بالنسبة إلیٰ کلّ من الثلاثة، إلّا علی المحتال مع إعسار المحال علیه و جهله بالحال کما أشرنا إلیه و المراد بالإعسار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عنده ما یوفی به الدین زائداً علیٰ مستثنیات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اشتراط خیار فسخ الحوالة لکلّ من الثلاثة</w:t>
      </w:r>
      <w:r>
        <w:rPr>
          <w:rFonts w:eastAsia="IRNazanin" w:cs="IRNazanin"/>
          <w:color w:val="111111"/>
          <w:sz w:val="28"/>
          <w:szCs w:val="28"/>
          <w:rtl w:val="true"/>
          <w:lang w:bidi="fa-IR"/>
        </w:rPr>
        <w:t>.</w:t>
      </w:r>
    </w:p>
    <w:p>
      <w:pPr>
        <w:pStyle w:val="Heading4"/>
        <w:numPr>
          <w:ilvl w:val="3"/>
          <w:numId w:val="1"/>
        </w:numPr>
        <w:rPr/>
      </w:pPr>
      <w:bookmarkStart w:id="5251" w:name="__RefHeading___Toc2569744_3650668749"/>
      <w:bookmarkStart w:id="5252" w:name="_Toc2381"/>
      <w:bookmarkEnd w:id="5251"/>
      <w:r>
        <w:rPr>
          <w:rtl w:val="true"/>
        </w:rPr>
        <w:t>[ (</w:t>
      </w:r>
      <w:r>
        <w:rPr>
          <w:rtl w:val="true"/>
        </w:rPr>
        <w:t xml:space="preserve">مسألة </w:t>
      </w:r>
      <w:r>
        <w:rPr/>
        <w:t>8</w:t>
      </w:r>
      <w:r>
        <w:rPr>
          <w:rtl w:val="true"/>
        </w:rPr>
        <w:t xml:space="preserve">): </w:t>
      </w:r>
      <w:r>
        <w:rPr>
          <w:rtl w:val="true"/>
        </w:rPr>
        <w:t>یجوز الترامی فی الحوالة بتعدّد المحال علیه و اتّحاد المحتال</w:t>
      </w:r>
      <w:r>
        <w:rPr>
          <w:rtl w:val="true"/>
        </w:rPr>
        <w:t>]</w:t>
      </w:r>
      <w:bookmarkEnd w:id="5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الترامی فی الحوالة بتعدّد المحال علیه و اتّحاد المحتال، کما لو أحال المدیون زیداً علیٰ عمروٍ ثمّ أحال عمرو زیداً علیٰ بکرٍ ثمّ أحال بکر زیداً علیٰ خالدٍ و هکذا، أو بتعدّد المحتال مع اتّحاد المحال علیه، کما لو أحال المحتال من له دین علیه علی المحال علیه ثمّ أحال المحتال من له علیه دین علیٰ ذاک المحال علیه و هکذا</w:t>
      </w:r>
      <w:r>
        <w:rPr>
          <w:rFonts w:eastAsia="IRNazanin" w:cs="IRNazanin"/>
          <w:color w:val="111111"/>
          <w:sz w:val="28"/>
          <w:szCs w:val="28"/>
          <w:rtl w:val="true"/>
          <w:lang w:bidi="fa-IR"/>
        </w:rPr>
        <w:t>.</w:t>
      </w:r>
    </w:p>
    <w:p>
      <w:pPr>
        <w:pStyle w:val="Heading4"/>
        <w:numPr>
          <w:ilvl w:val="3"/>
          <w:numId w:val="1"/>
        </w:numPr>
        <w:rPr/>
      </w:pPr>
      <w:bookmarkStart w:id="5253" w:name="__RefHeading___Toc2569746_3650668749"/>
      <w:bookmarkStart w:id="5254" w:name="_Toc2382"/>
      <w:bookmarkEnd w:id="5253"/>
      <w:r>
        <w:rPr>
          <w:rtl w:val="true"/>
        </w:rPr>
        <w:t>[ (</w:t>
      </w:r>
      <w:r>
        <w:rPr>
          <w:rtl w:val="true"/>
        </w:rPr>
        <w:t xml:space="preserve">مسألة </w:t>
      </w:r>
      <w:r>
        <w:rPr/>
        <w:t>9</w:t>
      </w:r>
      <w:r>
        <w:rPr>
          <w:rtl w:val="true"/>
        </w:rPr>
        <w:t xml:space="preserve">): </w:t>
      </w:r>
      <w:r>
        <w:rPr>
          <w:rtl w:val="true"/>
        </w:rPr>
        <w:t>إذا قضی المحیل الدین بعد الحوالة برئت ذمّة المحال علیه</w:t>
      </w:r>
      <w:r>
        <w:rPr>
          <w:rtl w:val="true"/>
        </w:rPr>
        <w:t>]</w:t>
      </w:r>
      <w:bookmarkEnd w:id="5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قضی المحیل الدین بعد الحوالة برئت ذمّة المحال علیه، فإن کان ذلک بمسألته رجع المحیل علیه، و إن تبرّع لم یرجع علیه</w:t>
      </w:r>
      <w:r>
        <w:rPr>
          <w:rFonts w:eastAsia="IRNazanin" w:cs="IRNazanin"/>
          <w:color w:val="111111"/>
          <w:sz w:val="28"/>
          <w:szCs w:val="28"/>
          <w:rtl w:val="true"/>
          <w:lang w:bidi="fa-IR"/>
        </w:rPr>
        <w:t>.</w:t>
      </w:r>
    </w:p>
    <w:p>
      <w:pPr>
        <w:pStyle w:val="Heading4"/>
        <w:numPr>
          <w:ilvl w:val="3"/>
          <w:numId w:val="1"/>
        </w:numPr>
        <w:rPr/>
      </w:pPr>
      <w:bookmarkStart w:id="5255" w:name="__RefHeading___Toc2569748_3650668749"/>
      <w:bookmarkStart w:id="5256" w:name="_Toc2383"/>
      <w:bookmarkEnd w:id="5255"/>
      <w:r>
        <w:rPr>
          <w:rtl w:val="true"/>
        </w:rPr>
        <w:t>[ (</w:t>
      </w:r>
      <w:r>
        <w:rPr>
          <w:rtl w:val="true"/>
        </w:rPr>
        <w:t xml:space="preserve">مسألة </w:t>
      </w:r>
      <w:r>
        <w:rPr/>
        <w:t>10</w:t>
      </w:r>
      <w:r>
        <w:rPr>
          <w:rtl w:val="true"/>
        </w:rPr>
        <w:t xml:space="preserve">): </w:t>
      </w:r>
      <w:r>
        <w:rPr>
          <w:rtl w:val="true"/>
        </w:rPr>
        <w:t>إذا أحال علیٰ بری‌ء و قبل المحال علیه، فهل له الرجوع علی المحیل بمجرّد القبول</w:t>
      </w:r>
      <w:r>
        <w:rPr>
          <w:rtl w:val="true"/>
        </w:rPr>
        <w:t>]</w:t>
      </w:r>
      <w:bookmarkEnd w:id="5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أحال علیٰ بری‌ء و قبل المحال علیه، فهل له الرجوع علی المحیل بمجرّد القبول أو لیس له الرجوع علیه إلّا بعد أداء الدین للمحتال؟ فیه تأمّل </w:t>
      </w:r>
      <w:r>
        <w:rPr>
          <w:rStyle w:val="FootnoteAnchor"/>
          <w:rtl w:val="true"/>
        </w:rPr>
        <w:footnoteReference w:id="1431"/>
      </w:r>
      <w:r>
        <w:rPr>
          <w:rFonts w:ascii="IRNazanin" w:hAnsi="IRNazanin" w:eastAsia="IRNazanin"/>
          <w:color w:val="111111"/>
          <w:sz w:val="28"/>
          <w:sz w:val="28"/>
          <w:szCs w:val="28"/>
          <w:rtl w:val="true"/>
          <w:lang w:bidi="fa-IR"/>
        </w:rPr>
        <w:t>و إشکال</w:t>
      </w:r>
      <w:r>
        <w:rPr>
          <w:rFonts w:eastAsia="IRNazanin" w:cs="IRNazanin"/>
          <w:color w:val="111111"/>
          <w:sz w:val="28"/>
          <w:szCs w:val="28"/>
          <w:rtl w:val="true"/>
          <w:lang w:bidi="fa-IR"/>
        </w:rPr>
        <w:t>.</w:t>
      </w:r>
    </w:p>
    <w:p>
      <w:pPr>
        <w:pStyle w:val="Heading4"/>
        <w:numPr>
          <w:ilvl w:val="3"/>
          <w:numId w:val="1"/>
        </w:numPr>
        <w:rPr/>
      </w:pPr>
      <w:bookmarkStart w:id="5257" w:name="__RefHeading___Toc2569750_3650668749"/>
      <w:bookmarkStart w:id="5258" w:name="_Toc2384"/>
      <w:bookmarkEnd w:id="5257"/>
      <w:r>
        <w:rPr>
          <w:rtl w:val="true"/>
        </w:rPr>
        <w:t>[ (</w:t>
      </w:r>
      <w:r>
        <w:rPr>
          <w:rtl w:val="true"/>
        </w:rPr>
        <w:t xml:space="preserve">مسألة </w:t>
      </w:r>
      <w:r>
        <w:rPr/>
        <w:t>11</w:t>
      </w:r>
      <w:r>
        <w:rPr>
          <w:rtl w:val="true"/>
        </w:rPr>
        <w:t xml:space="preserve">): </w:t>
      </w:r>
      <w:r>
        <w:rPr>
          <w:rtl w:val="true"/>
        </w:rPr>
        <w:t>إذا أحال البائع من له علیه دین علی المشتری</w:t>
      </w:r>
      <w:r>
        <w:rPr>
          <w:rtl w:val="true"/>
        </w:rPr>
        <w:t>]</w:t>
      </w:r>
      <w:bookmarkEnd w:id="5258"/>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أحال البائع من له علیه دین علی المشتری، أو أحال المشتری البائع بالثمن علیٰ شخص آخر ثمّ تبیّن بطلان البیع بطلت الحوالة، بخلاف ما إذا انفسخ البیع</w:t>
      </w:r>
      <w:bookmarkStart w:id="5259" w:name="pg1809_19526"/>
    </w:p>
    <w:p>
      <w:pPr>
        <w:pStyle w:val="BookText"/>
        <w:rPr/>
      </w:pPr>
      <w:bookmarkEnd w:id="5259"/>
      <w:r>
        <w:rPr>
          <w:rFonts w:ascii="IRNazanin" w:hAnsi="IRNazanin" w:eastAsia="IRNazanin"/>
          <w:color w:val="111111"/>
          <w:sz w:val="28"/>
          <w:sz w:val="28"/>
          <w:szCs w:val="28"/>
          <w:rtl w:val="true"/>
          <w:lang w:bidi="fa-IR"/>
        </w:rPr>
        <w:t>بخیار أو بالإقالة، فإنّه تبقی الحوالة و لم تتبع البیع فی الانفساخ</w:t>
      </w:r>
      <w:r>
        <w:rPr>
          <w:rFonts w:eastAsia="IRNazanin" w:cs="IRNazanin"/>
          <w:color w:val="111111"/>
          <w:sz w:val="28"/>
          <w:szCs w:val="28"/>
          <w:rtl w:val="true"/>
          <w:lang w:bidi="fa-IR"/>
        </w:rPr>
        <w:t>.</w:t>
      </w:r>
    </w:p>
    <w:p>
      <w:pPr>
        <w:pStyle w:val="Heading4"/>
        <w:numPr>
          <w:ilvl w:val="3"/>
          <w:numId w:val="1"/>
        </w:numPr>
        <w:rPr/>
      </w:pPr>
      <w:bookmarkStart w:id="5260" w:name="__RefHeading___Toc2569752_3650668749"/>
      <w:bookmarkStart w:id="5261" w:name="_Toc2385"/>
      <w:bookmarkEnd w:id="5260"/>
      <w:r>
        <w:rPr>
          <w:rtl w:val="true"/>
        </w:rPr>
        <w:t>[ (</w:t>
      </w:r>
      <w:r>
        <w:rPr>
          <w:rtl w:val="true"/>
        </w:rPr>
        <w:t xml:space="preserve">مسألة </w:t>
      </w:r>
      <w:r>
        <w:rPr/>
        <w:t>12</w:t>
      </w:r>
      <w:r>
        <w:rPr>
          <w:rtl w:val="true"/>
        </w:rPr>
        <w:t xml:space="preserve">): </w:t>
      </w:r>
      <w:r>
        <w:rPr>
          <w:rtl w:val="true"/>
        </w:rPr>
        <w:t>إذا کان له عند وکیله أو أمینه مال معیّن خارجی، فأحال دائنه علیه لیدفع إلیه و قبل المحتال</w:t>
      </w:r>
      <w:r>
        <w:rPr>
          <w:rtl w:val="true"/>
        </w:rPr>
        <w:t>]</w:t>
      </w:r>
      <w:bookmarkEnd w:id="5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عند وکیله أو أمینه مال معیّن خارجی، فأحال دائنه علیه لیدفع إلیه و قبل المحتال وجب علیه دفعه إلیه، و إن لم یدفع فله الرجوع علی المحیل لبقاء شغل ذمّته</w:t>
      </w:r>
      <w:r>
        <w:rPr>
          <w:rFonts w:eastAsia="IRNazanin" w:cs="IRNazanin"/>
          <w:color w:val="111111"/>
          <w:sz w:val="28"/>
          <w:szCs w:val="28"/>
          <w:rtl w:val="true"/>
          <w:lang w:bidi="fa-IR"/>
        </w:rPr>
        <w:t>.</w:t>
      </w:r>
    </w:p>
    <w:p>
      <w:pPr>
        <w:pStyle w:val="Heading3"/>
        <w:numPr>
          <w:ilvl w:val="2"/>
          <w:numId w:val="1"/>
        </w:numPr>
        <w:rPr/>
      </w:pPr>
      <w:bookmarkStart w:id="5262" w:name="__RefHeading___Toc2569754_3650668749"/>
      <w:bookmarkStart w:id="5263" w:name="_Toc2386"/>
      <w:bookmarkEnd w:id="5262"/>
      <w:r>
        <w:rPr>
          <w:rtl w:val="true"/>
        </w:rPr>
        <w:t>[</w:t>
      </w:r>
      <w:r>
        <w:rPr>
          <w:rtl w:val="true"/>
        </w:rPr>
        <w:t>القول فی الکفالة</w:t>
      </w:r>
      <w:r>
        <w:rPr>
          <w:rtl w:val="true"/>
        </w:rPr>
        <w:t>]</w:t>
      </w:r>
      <w:bookmarkEnd w:id="5263"/>
    </w:p>
    <w:p>
      <w:pPr>
        <w:pStyle w:val="Heading4"/>
        <w:numPr>
          <w:ilvl w:val="3"/>
          <w:numId w:val="1"/>
        </w:numPr>
        <w:rPr/>
      </w:pPr>
      <w:bookmarkStart w:id="5264" w:name="__RefHeading___Toc2569756_3650668749"/>
      <w:bookmarkStart w:id="5265" w:name="_Toc2387"/>
      <w:bookmarkEnd w:id="5264"/>
      <w:r>
        <w:rPr>
          <w:rtl w:val="true"/>
        </w:rPr>
        <w:t>اشارة</w:t>
      </w:r>
      <w:bookmarkEnd w:id="5265"/>
    </w:p>
    <w:p>
      <w:pPr>
        <w:pStyle w:val="BookText"/>
        <w:rPr/>
      </w:pPr>
      <w:r>
        <w:rPr>
          <w:rFonts w:ascii="IRNazanin" w:hAnsi="IRNazanin" w:eastAsia="IRNazanin"/>
          <w:color w:val="111111"/>
          <w:sz w:val="28"/>
          <w:sz w:val="28"/>
          <w:szCs w:val="28"/>
          <w:rtl w:val="true"/>
          <w:lang w:bidi="fa-IR"/>
        </w:rPr>
        <w:t>القول فی الکفالة و 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التعهّد و الالتزام لشخص بإحضار نفس له حقّ علیها؛ و هی عقد واقع بین الکفیل و المکفول له و هو صاحب الحقّ، و الإیجاب من الأوّل و القبول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الإیجاب کلّ لفظ دالّ علی الالتزام المزبور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کفّلت لک بدن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کفیل لک بإحضاره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و فی القبول کلّ ما یدلّ علی الرضا بذلک</w:t>
      </w:r>
      <w:r>
        <w:rPr>
          <w:rFonts w:eastAsia="IRNazanin" w:cs="IRNazanin"/>
          <w:color w:val="111111"/>
          <w:sz w:val="28"/>
          <w:szCs w:val="28"/>
          <w:rtl w:val="true"/>
          <w:lang w:bidi="fa-IR"/>
        </w:rPr>
        <w:t>.</w:t>
      </w:r>
    </w:p>
    <w:p>
      <w:pPr>
        <w:pStyle w:val="Heading4"/>
        <w:numPr>
          <w:ilvl w:val="3"/>
          <w:numId w:val="1"/>
        </w:numPr>
        <w:rPr/>
      </w:pPr>
      <w:bookmarkStart w:id="5266" w:name="__RefHeading___Toc2569758_3650668749"/>
      <w:bookmarkStart w:id="5267" w:name="_Toc2388"/>
      <w:bookmarkEnd w:id="5266"/>
      <w:r>
        <w:rPr>
          <w:rtl w:val="true"/>
        </w:rPr>
        <w:t>[ (</w:t>
      </w:r>
      <w:r>
        <w:rPr>
          <w:rtl w:val="true"/>
        </w:rPr>
        <w:t xml:space="preserve">مسألة </w:t>
      </w:r>
      <w:r>
        <w:rPr/>
        <w:t>1</w:t>
      </w:r>
      <w:r>
        <w:rPr>
          <w:rtl w:val="true"/>
        </w:rPr>
        <w:t xml:space="preserve">): </w:t>
      </w:r>
      <w:r>
        <w:rPr>
          <w:rtl w:val="true"/>
        </w:rPr>
        <w:t>یعتبر فی الکفیل</w:t>
      </w:r>
      <w:r>
        <w:rPr>
          <w:rtl w:val="true"/>
        </w:rPr>
        <w:t xml:space="preserve">: </w:t>
      </w:r>
      <w:r>
        <w:rPr>
          <w:rtl w:val="true"/>
        </w:rPr>
        <w:t>البلوغ و العقل و الاختیار و التمکّن من الإحضار</w:t>
      </w:r>
      <w:r>
        <w:rPr>
          <w:rtl w:val="true"/>
        </w:rPr>
        <w:t>]</w:t>
      </w:r>
      <w:bookmarkEnd w:id="5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الاختیار و التمکّن من الإحضار، و لا یشترط فی المکفول له البلوغ و العقل، فیصحّ الکفالة للصبیّ و المجنون إذا قبلها الولیّ</w:t>
      </w:r>
      <w:r>
        <w:rPr>
          <w:rFonts w:eastAsia="IRNazanin" w:cs="IRNazanin"/>
          <w:color w:val="111111"/>
          <w:sz w:val="28"/>
          <w:szCs w:val="28"/>
          <w:rtl w:val="true"/>
          <w:lang w:bidi="fa-IR"/>
        </w:rPr>
        <w:t>.</w:t>
      </w:r>
    </w:p>
    <w:p>
      <w:pPr>
        <w:pStyle w:val="Heading4"/>
        <w:numPr>
          <w:ilvl w:val="3"/>
          <w:numId w:val="1"/>
        </w:numPr>
        <w:rPr/>
      </w:pPr>
      <w:bookmarkStart w:id="5268" w:name="__RefHeading___Toc2569760_3650668749"/>
      <w:bookmarkStart w:id="5269" w:name="_Toc2389"/>
      <w:bookmarkEnd w:id="5268"/>
      <w:r>
        <w:rPr>
          <w:rtl w:val="true"/>
        </w:rPr>
        <w:t>[ (</w:t>
      </w:r>
      <w:r>
        <w:rPr>
          <w:rtl w:val="true"/>
        </w:rPr>
        <w:t xml:space="preserve">مسألة </w:t>
      </w:r>
      <w:r>
        <w:rPr/>
        <w:t>2</w:t>
      </w:r>
      <w:r>
        <w:rPr>
          <w:rtl w:val="true"/>
        </w:rPr>
        <w:t xml:space="preserve">): </w:t>
      </w:r>
      <w:r>
        <w:rPr>
          <w:rtl w:val="true"/>
        </w:rPr>
        <w:t>لا إشکال فی اعتبار رضا الکفیل و المکفول له</w:t>
      </w:r>
      <w:r>
        <w:rPr>
          <w:rtl w:val="true"/>
        </w:rPr>
        <w:t>]</w:t>
      </w:r>
      <w:bookmarkEnd w:id="5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اعتبار رضا الکفیل و المکفول له، و أمّا المکفول ففی اعتبار رضاه تأمّل و إشکال، و الأحوط </w:t>
      </w:r>
      <w:r>
        <w:rPr>
          <w:rStyle w:val="FootnoteAnchor"/>
          <w:rtl w:val="true"/>
        </w:rPr>
        <w:footnoteReference w:id="1432"/>
      </w:r>
      <w:r>
        <w:rPr>
          <w:rFonts w:ascii="IRNazanin" w:hAnsi="IRNazanin" w:eastAsia="IRNazanin"/>
          <w:color w:val="111111"/>
          <w:sz w:val="28"/>
          <w:sz w:val="28"/>
          <w:szCs w:val="28"/>
          <w:rtl w:val="true"/>
          <w:lang w:bidi="fa-IR"/>
        </w:rPr>
        <w:t>اعتباره، بل الأحوط کونه طرفاً للعقد؛ بأن یکون عقدها مرکّباً من إیجاب و قبولین من المکفول له و المکفول</w:t>
      </w:r>
      <w:r>
        <w:rPr>
          <w:rFonts w:eastAsia="IRNazanin" w:cs="IRNazanin"/>
          <w:color w:val="111111"/>
          <w:sz w:val="28"/>
          <w:szCs w:val="28"/>
          <w:rtl w:val="true"/>
          <w:lang w:bidi="fa-IR"/>
        </w:rPr>
        <w:t>.</w:t>
      </w:r>
    </w:p>
    <w:p>
      <w:pPr>
        <w:pStyle w:val="Heading4"/>
        <w:numPr>
          <w:ilvl w:val="3"/>
          <w:numId w:val="1"/>
        </w:numPr>
        <w:rPr/>
      </w:pPr>
      <w:bookmarkStart w:id="5270" w:name="__RefHeading___Toc2569762_3650668749"/>
      <w:bookmarkStart w:id="5271" w:name="_Toc2390"/>
      <w:bookmarkEnd w:id="5270"/>
      <w:r>
        <w:rPr>
          <w:rtl w:val="true"/>
        </w:rPr>
        <w:t>[ (</w:t>
      </w:r>
      <w:r>
        <w:rPr>
          <w:rtl w:val="true"/>
        </w:rPr>
        <w:t xml:space="preserve">مسألة </w:t>
      </w:r>
      <w:r>
        <w:rPr/>
        <w:t>3</w:t>
      </w:r>
      <w:r>
        <w:rPr>
          <w:rtl w:val="true"/>
        </w:rPr>
        <w:t xml:space="preserve">): </w:t>
      </w:r>
      <w:r>
        <w:rPr>
          <w:rtl w:val="true"/>
        </w:rPr>
        <w:t>کلّ من علیه حقّ مالیّ صحّت الکفالة ببدنه، و لا یشترط العلم بمبلغ ذلک المال</w:t>
      </w:r>
      <w:r>
        <w:rPr>
          <w:rtl w:val="true"/>
        </w:rPr>
        <w:t>]</w:t>
      </w:r>
      <w:bookmarkEnd w:id="5271"/>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علیه حقّ مالیّ صحّت الکفالة ببدنه، و لا یشترط العلم بمبلغ ذلک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أن یکون ذلک المال ثابتاً فی الذمّة بحیث یصحّ ضمانه، فلو تکفّل بإحضار من لا مال علیه و إن وجد سببه کمن جعل الجعالة قبل أن یعمل العامل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تصحّ کفالة کلّ من یستحقّ علیه الحضور إلیٰ مجلس الشرع بأن تکون علیه دعوی مسموعة و إن لم تقم البیّنة علیه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تصحّ کفالة من علیه عقوبة </w:t>
      </w:r>
      <w:r>
        <w:rPr>
          <w:rStyle w:val="FootnoteAnchor"/>
          <w:rtl w:val="true"/>
        </w:rPr>
        <w:footnoteReference w:id="1433"/>
      </w:r>
      <w:r>
        <w:rPr>
          <w:rFonts w:ascii="IRNazanin" w:hAnsi="IRNazanin" w:eastAsia="IRNazanin"/>
          <w:color w:val="111111"/>
          <w:sz w:val="28"/>
          <w:sz w:val="28"/>
          <w:szCs w:val="28"/>
          <w:rtl w:val="true"/>
          <w:lang w:bidi="fa-IR"/>
        </w:rPr>
        <w:t>من حدّ أو تعزیر</w:t>
      </w:r>
      <w:r>
        <w:rPr>
          <w:rFonts w:eastAsia="IRNazanin" w:cs="IRNazanin"/>
          <w:color w:val="111111"/>
          <w:sz w:val="28"/>
          <w:szCs w:val="28"/>
          <w:rtl w:val="true"/>
          <w:lang w:bidi="fa-IR"/>
        </w:rPr>
        <w:t>.</w:t>
      </w:r>
      <w:bookmarkStart w:id="5272" w:name="pg1809_19527"/>
    </w:p>
    <w:p>
      <w:pPr>
        <w:pStyle w:val="Heading4"/>
        <w:numPr>
          <w:ilvl w:val="3"/>
          <w:numId w:val="1"/>
        </w:numPr>
        <w:rPr/>
      </w:pPr>
      <w:bookmarkStart w:id="5273" w:name="__RefHeading___Toc2569764_3650668749"/>
      <w:bookmarkStart w:id="5274" w:name="_Toc2391"/>
      <w:bookmarkEnd w:id="5272"/>
      <w:bookmarkEnd w:id="5273"/>
      <w:r>
        <w:rPr>
          <w:rtl w:val="true"/>
        </w:rPr>
        <w:t>[ (</w:t>
      </w:r>
      <w:r>
        <w:rPr>
          <w:rtl w:val="true"/>
        </w:rPr>
        <w:t xml:space="preserve">مسألة </w:t>
      </w:r>
      <w:r>
        <w:rPr/>
        <w:t>4</w:t>
      </w:r>
      <w:r>
        <w:rPr>
          <w:rtl w:val="true"/>
        </w:rPr>
        <w:t xml:space="preserve">): </w:t>
      </w:r>
      <w:r>
        <w:rPr>
          <w:rtl w:val="true"/>
        </w:rPr>
        <w:t>یصحّ إیقاع الکفالة حالّة</w:t>
      </w:r>
      <w:r>
        <w:rPr>
          <w:rtl w:val="true"/>
        </w:rPr>
        <w:t>]</w:t>
      </w:r>
      <w:bookmarkEnd w:id="5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إیقاع الکفالة حالّة </w:t>
      </w:r>
      <w:r>
        <w:rPr>
          <w:rStyle w:val="FootnoteAnchor"/>
          <w:rtl w:val="true"/>
        </w:rPr>
        <w:footnoteReference w:id="1434"/>
      </w:r>
      <w:r>
        <w:rPr>
          <w:rFonts w:ascii="IRNazanin" w:hAnsi="IRNazanin" w:eastAsia="IRNazanin"/>
          <w:color w:val="111111"/>
          <w:sz w:val="28"/>
          <w:sz w:val="28"/>
          <w:szCs w:val="28"/>
          <w:rtl w:val="true"/>
          <w:lang w:bidi="fa-IR"/>
        </w:rPr>
        <w:t xml:space="preserve">و مؤجّلة، و مع الإطلاق تکون معجّلة </w:t>
      </w:r>
      <w:r>
        <w:rPr>
          <w:rStyle w:val="FootnoteAnchor"/>
          <w:rtl w:val="true"/>
        </w:rPr>
        <w:footnoteReference w:id="1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مؤجّلة یلزم تعیین الأجل علیٰ وجه لا یختلف زیادة و نقصاً</w:t>
      </w:r>
      <w:r>
        <w:rPr>
          <w:rFonts w:eastAsia="IRNazanin" w:cs="IRNazanin"/>
          <w:color w:val="111111"/>
          <w:sz w:val="28"/>
          <w:szCs w:val="28"/>
          <w:rtl w:val="true"/>
          <w:lang w:bidi="fa-IR"/>
        </w:rPr>
        <w:t>.</w:t>
      </w:r>
    </w:p>
    <w:p>
      <w:pPr>
        <w:pStyle w:val="Heading4"/>
        <w:numPr>
          <w:ilvl w:val="3"/>
          <w:numId w:val="1"/>
        </w:numPr>
        <w:rPr/>
      </w:pPr>
      <w:bookmarkStart w:id="5275" w:name="__RefHeading___Toc2569766_3650668749"/>
      <w:bookmarkStart w:id="5276" w:name="_Toc2392"/>
      <w:bookmarkEnd w:id="5275"/>
      <w:r>
        <w:rPr>
          <w:rtl w:val="true"/>
        </w:rPr>
        <w:t>[ (</w:t>
      </w:r>
      <w:r>
        <w:rPr>
          <w:rtl w:val="true"/>
        </w:rPr>
        <w:t xml:space="preserve">مسألة </w:t>
      </w:r>
      <w:r>
        <w:rPr/>
        <w:t>5</w:t>
      </w:r>
      <w:r>
        <w:rPr>
          <w:rtl w:val="true"/>
        </w:rPr>
        <w:t xml:space="preserve">): </w:t>
      </w:r>
      <w:r>
        <w:rPr>
          <w:rtl w:val="true"/>
        </w:rPr>
        <w:t>عقد الکفالة لازم لا یجوز فسخه إلّا بالإقالة</w:t>
      </w:r>
      <w:r>
        <w:rPr>
          <w:rtl w:val="true"/>
        </w:rPr>
        <w:t>]</w:t>
      </w:r>
      <w:bookmarkEnd w:id="5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الکفالة لازم لا یجوز فسخه إلّا بالإقالة، و یجوز جعل الخیار فیه لکلّ من الکفیل و المکفول له مدّة معیّنة</w:t>
      </w:r>
      <w:r>
        <w:rPr>
          <w:rFonts w:eastAsia="IRNazanin" w:cs="IRNazanin"/>
          <w:color w:val="111111"/>
          <w:sz w:val="28"/>
          <w:szCs w:val="28"/>
          <w:rtl w:val="true"/>
          <w:lang w:bidi="fa-IR"/>
        </w:rPr>
        <w:t>.</w:t>
      </w:r>
    </w:p>
    <w:p>
      <w:pPr>
        <w:pStyle w:val="Heading4"/>
        <w:numPr>
          <w:ilvl w:val="3"/>
          <w:numId w:val="1"/>
        </w:numPr>
        <w:rPr/>
      </w:pPr>
      <w:bookmarkStart w:id="5277" w:name="__RefHeading___Toc2569768_3650668749"/>
      <w:bookmarkStart w:id="5278" w:name="_Toc2393"/>
      <w:bookmarkEnd w:id="5277"/>
      <w:r>
        <w:rPr>
          <w:rtl w:val="true"/>
        </w:rPr>
        <w:t>[ (</w:t>
      </w:r>
      <w:r>
        <w:rPr>
          <w:rtl w:val="true"/>
        </w:rPr>
        <w:t xml:space="preserve">مسألة </w:t>
      </w:r>
      <w:r>
        <w:rPr/>
        <w:t>6</w:t>
      </w:r>
      <w:r>
        <w:rPr>
          <w:rtl w:val="true"/>
        </w:rPr>
        <w:t xml:space="preserve">): </w:t>
      </w:r>
      <w:r>
        <w:rPr>
          <w:rtl w:val="true"/>
        </w:rPr>
        <w:t>إذا تحقّقت الکفالة جامعة للشرائط، جازت مطالبة المکفول له الکفیل بالمکفول عاجلًا</w:t>
      </w:r>
      <w:r>
        <w:rPr>
          <w:rtl w:val="true"/>
        </w:rPr>
        <w:t>]</w:t>
      </w:r>
      <w:bookmarkEnd w:id="5278"/>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تحقّقت الکفالة جامعة للشرائط، جازت مطالبة المکفول له الکفیل بالمکفول عاجلًا إذا کانت الکفالة مطلقة أو معجّلة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الأجل إن کانت مؤجّلة، فإن کان المکفول حاضراً وجب علی الکفیل إحضاره فإن أحضره و سلّمه تسلیماً تامّاً بحیث یتمکّن المکفول له منه فقد برئ ممّا علیه، و إن امتنع عن ذلک کان له حبسه </w:t>
      </w:r>
      <w:r>
        <w:rPr>
          <w:rStyle w:val="FootnoteAnchor"/>
          <w:rtl w:val="true"/>
        </w:rPr>
        <w:footnoteReference w:id="1436"/>
      </w:r>
      <w:r>
        <w:rPr>
          <w:rFonts w:ascii="IRNazanin" w:hAnsi="IRNazanin" w:eastAsia="IRNazanin"/>
          <w:color w:val="111111"/>
          <w:sz w:val="28"/>
          <w:sz w:val="28"/>
          <w:szCs w:val="28"/>
          <w:rtl w:val="true"/>
          <w:lang w:bidi="fa-IR"/>
        </w:rPr>
        <w:t xml:space="preserve">عند الحاکم حتّی یحضره أو یؤدّی </w:t>
      </w:r>
      <w:r>
        <w:rPr>
          <w:rStyle w:val="FootnoteAnchor"/>
          <w:rtl w:val="true"/>
        </w:rPr>
        <w:footnoteReference w:id="1437"/>
      </w:r>
      <w:r>
        <w:rPr>
          <w:rFonts w:ascii="IRNazanin" w:hAnsi="IRNazanin" w:eastAsia="IRNazanin"/>
          <w:color w:val="111111"/>
          <w:sz w:val="28"/>
          <w:sz w:val="28"/>
          <w:szCs w:val="28"/>
          <w:rtl w:val="true"/>
          <w:lang w:bidi="fa-IR"/>
        </w:rPr>
        <w:t xml:space="preserve">ما علیه، و إن کان غائباً فإن کان موضعه معلوماً یمکن الکفیل ردّه منه أُمهل بقدر ذهابه و مجیئه، فإذا مضی قدر ذلک و لم یأت به من غیر عذر حبس کما مرّ، و إن کان غائباً غیبة منقطعة لا یعرف موضعه و انقطع خبره لم یکلّف </w:t>
      </w:r>
      <w:r>
        <w:rPr>
          <w:rStyle w:val="FootnoteAnchor"/>
          <w:rtl w:val="true"/>
        </w:rPr>
        <w:footnoteReference w:id="1438"/>
      </w:r>
      <w:r>
        <w:rPr>
          <w:rFonts w:ascii="IRNazanin" w:hAnsi="IRNazanin" w:eastAsia="IRNazanin"/>
          <w:color w:val="111111"/>
          <w:sz w:val="28"/>
          <w:sz w:val="28"/>
          <w:szCs w:val="28"/>
          <w:rtl w:val="true"/>
          <w:lang w:bidi="fa-IR"/>
        </w:rPr>
        <w:t>الکفیل إحضاره، و هل یلزم بأداء ما علیه؟ الأقرب ذلک، خصوصاً إذا کان ذلک بتفریط من الکفیل؛ بأن طالبه المکفول له و کان متمکّناً منه فلم یحضره حتّی 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بحیث لا یرجی الظفر به بحسب العادة یشکل </w:t>
      </w:r>
      <w:r>
        <w:rPr>
          <w:rStyle w:val="FootnoteAnchor"/>
          <w:rtl w:val="true"/>
        </w:rPr>
        <w:footnoteReference w:id="1439"/>
      </w:r>
      <w:r>
        <w:rPr>
          <w:rFonts w:ascii="IRNazanin" w:hAnsi="IRNazanin" w:eastAsia="IRNazanin"/>
          <w:color w:val="111111"/>
          <w:sz w:val="28"/>
          <w:sz w:val="28"/>
          <w:szCs w:val="28"/>
          <w:rtl w:val="true"/>
          <w:lang w:bidi="fa-IR"/>
        </w:rPr>
        <w:t>صحّة الکفالة من أصلها</w:t>
      </w:r>
      <w:r>
        <w:rPr>
          <w:rFonts w:eastAsia="IRNazanin" w:cs="IRNazanin"/>
          <w:color w:val="111111"/>
          <w:sz w:val="28"/>
          <w:szCs w:val="28"/>
          <w:rtl w:val="true"/>
          <w:lang w:bidi="fa-IR"/>
        </w:rPr>
        <w:t>.</w:t>
      </w:r>
      <w:bookmarkStart w:id="5279" w:name="pg1809_19528"/>
    </w:p>
    <w:p>
      <w:pPr>
        <w:pStyle w:val="Heading4"/>
        <w:numPr>
          <w:ilvl w:val="3"/>
          <w:numId w:val="1"/>
        </w:numPr>
        <w:rPr/>
      </w:pPr>
      <w:bookmarkStart w:id="5280" w:name="__RefHeading___Toc2569770_3650668749"/>
      <w:bookmarkStart w:id="5281" w:name="_Toc2394"/>
      <w:bookmarkEnd w:id="5279"/>
      <w:bookmarkEnd w:id="5280"/>
      <w:r>
        <w:rPr>
          <w:rtl w:val="true"/>
        </w:rPr>
        <w:t>[ (</w:t>
      </w:r>
      <w:r>
        <w:rPr>
          <w:rtl w:val="true"/>
        </w:rPr>
        <w:t xml:space="preserve">مسألة </w:t>
      </w:r>
      <w:r>
        <w:rPr/>
        <w:t>7</w:t>
      </w:r>
      <w:r>
        <w:rPr>
          <w:rtl w:val="true"/>
        </w:rPr>
        <w:t xml:space="preserve">): </w:t>
      </w:r>
      <w:r>
        <w:rPr>
          <w:rtl w:val="true"/>
        </w:rPr>
        <w:t>إذا لم یحضر الکفیل المکفول فأُخذ منه المال</w:t>
      </w:r>
      <w:r>
        <w:rPr>
          <w:rtl w:val="true"/>
        </w:rPr>
        <w:t>]</w:t>
      </w:r>
      <w:bookmarkEnd w:id="5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یحضر الکفیل المکفول فأُخذ منه المال، فإن لم یأذن له المکفول لا فی الکفالة و لا فی الأداء لیس له الرجوع علیه بما أدّاه، و إذا أذن له فی الأداء کان له أن یرجع به علیه؛ سواء أذن له فی الکفالة أیضاً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أذن له فی الکفالة دون الأداء فهل یرجع علیه أم لا؟ لا یبعد أن یفصّل بین ما إذا أمکن له مراجعته و إحضاره للمکفول له فالثانی، و بین ما إذا تعذّر له ذلک فالأوّل</w:t>
      </w:r>
      <w:r>
        <w:rPr>
          <w:rFonts w:eastAsia="IRNazanin" w:cs="IRNazanin"/>
          <w:color w:val="111111"/>
          <w:sz w:val="28"/>
          <w:szCs w:val="28"/>
          <w:rtl w:val="true"/>
          <w:lang w:bidi="fa-IR"/>
        </w:rPr>
        <w:t>.</w:t>
      </w:r>
    </w:p>
    <w:p>
      <w:pPr>
        <w:pStyle w:val="Heading4"/>
        <w:numPr>
          <w:ilvl w:val="3"/>
          <w:numId w:val="1"/>
        </w:numPr>
        <w:rPr/>
      </w:pPr>
      <w:bookmarkStart w:id="5282" w:name="__RefHeading___Toc2569772_3650668749"/>
      <w:bookmarkStart w:id="5283" w:name="_Toc2395"/>
      <w:bookmarkEnd w:id="5282"/>
      <w:r>
        <w:rPr>
          <w:rtl w:val="true"/>
        </w:rPr>
        <w:t>[ (</w:t>
      </w:r>
      <w:r>
        <w:rPr>
          <w:rtl w:val="true"/>
        </w:rPr>
        <w:t xml:space="preserve">مسألة </w:t>
      </w:r>
      <w:r>
        <w:rPr/>
        <w:t>8</w:t>
      </w:r>
      <w:r>
        <w:rPr>
          <w:rtl w:val="true"/>
        </w:rPr>
        <w:t xml:space="preserve">): </w:t>
      </w:r>
      <w:r>
        <w:rPr>
          <w:rtl w:val="true"/>
        </w:rPr>
        <w:t>إذا عیّن الکفیل فی الکفالة مکان التسلیم تعیّن</w:t>
      </w:r>
      <w:r>
        <w:rPr>
          <w:rtl w:val="true"/>
        </w:rPr>
        <w:t>]</w:t>
      </w:r>
      <w:bookmarkEnd w:id="5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عیّن الکفیل فی الکفالة مکان التسلیم تعیّن، فلا یجب علیه تسلیمه فی غیره، و لو طلب ذلک المکفول له لم تجب إجابته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سلّمه فی غیر ما عیّن لم یجب علی المکفول له تسلّمه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أطلق و لم یعیّن مکان التسلیم، فإن أوقعا العقد فی بلد المکفول له أو بلد قراره انصرف إلیه، و إن أوقعاه فی برّیّة أو بلد غربة لم یکن من قصده القرار و الاستقرار فیه، فإن کانت قرینة علی التعیین فهو بمنزلته و إلّا بطلت </w:t>
      </w:r>
      <w:r>
        <w:rPr>
          <w:rStyle w:val="FootnoteAnchor"/>
          <w:rtl w:val="true"/>
        </w:rPr>
        <w:footnoteReference w:id="1440"/>
      </w:r>
      <w:r>
        <w:rPr>
          <w:rFonts w:ascii="IRNazanin" w:hAnsi="IRNazanin" w:eastAsia="IRNazanin"/>
          <w:color w:val="111111"/>
          <w:sz w:val="28"/>
          <w:sz w:val="28"/>
          <w:szCs w:val="28"/>
          <w:rtl w:val="true"/>
          <w:lang w:bidi="fa-IR"/>
        </w:rPr>
        <w:t>الکفالة من أصلها</w:t>
      </w:r>
      <w:r>
        <w:rPr>
          <w:rFonts w:eastAsia="IRNazanin" w:cs="IRNazanin"/>
          <w:color w:val="111111"/>
          <w:sz w:val="28"/>
          <w:szCs w:val="28"/>
          <w:rtl w:val="true"/>
          <w:lang w:bidi="fa-IR"/>
        </w:rPr>
        <w:t>.</w:t>
      </w:r>
    </w:p>
    <w:p>
      <w:pPr>
        <w:pStyle w:val="Heading4"/>
        <w:numPr>
          <w:ilvl w:val="3"/>
          <w:numId w:val="1"/>
        </w:numPr>
        <w:rPr/>
      </w:pPr>
      <w:bookmarkStart w:id="5284" w:name="__RefHeading___Toc2569774_3650668749"/>
      <w:bookmarkStart w:id="5285" w:name="_Toc2396"/>
      <w:bookmarkEnd w:id="5284"/>
      <w:r>
        <w:rPr>
          <w:rtl w:val="true"/>
        </w:rPr>
        <w:t>[ (</w:t>
      </w:r>
      <w:r>
        <w:rPr>
          <w:rtl w:val="true"/>
        </w:rPr>
        <w:t xml:space="preserve">مسألة </w:t>
      </w:r>
      <w:r>
        <w:rPr/>
        <w:t>9</w:t>
      </w:r>
      <w:r>
        <w:rPr>
          <w:rtl w:val="true"/>
        </w:rPr>
        <w:t xml:space="preserve">): </w:t>
      </w:r>
      <w:r>
        <w:rPr>
          <w:rtl w:val="true"/>
        </w:rPr>
        <w:t>یجب علی الکفیل التوسّل بکلّ وسیلة مشروعة لإحضار المکفول</w:t>
      </w:r>
      <w:r>
        <w:rPr>
          <w:rtl w:val="true"/>
        </w:rPr>
        <w:t>]</w:t>
      </w:r>
      <w:bookmarkEnd w:id="5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الکفیل التوسّل بکلّ وسیلة مشروعة لإحضار المکفول، حتّی أنّه لو احتاج إلی الاستعانة بشخص قاهر لم یکن فیها مفسدة أو مضرّة دینیّة أو دنیویّة لم یبعد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غائباً و احتاج حمله إلیٰ مئونة فعلی المکفول </w:t>
      </w:r>
      <w:r>
        <w:rPr>
          <w:rStyle w:val="FootnoteAnchor"/>
          <w:rtl w:val="true"/>
        </w:rPr>
        <w:footnoteReference w:id="1441"/>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صرفها الکفیل لا بعنوان التبرّع، له أن یرجع بها علیه، علیٰ إشکال فی بعضها</w:t>
      </w:r>
      <w:r>
        <w:rPr>
          <w:rFonts w:eastAsia="IRNazanin" w:cs="IRNazanin"/>
          <w:color w:val="111111"/>
          <w:sz w:val="28"/>
          <w:szCs w:val="28"/>
          <w:rtl w:val="true"/>
          <w:lang w:bidi="fa-IR"/>
        </w:rPr>
        <w:t>.</w:t>
      </w:r>
    </w:p>
    <w:p>
      <w:pPr>
        <w:pStyle w:val="Heading4"/>
        <w:numPr>
          <w:ilvl w:val="3"/>
          <w:numId w:val="1"/>
        </w:numPr>
        <w:rPr/>
      </w:pPr>
      <w:bookmarkStart w:id="5286" w:name="__RefHeading___Toc2569776_3650668749"/>
      <w:bookmarkStart w:id="5287" w:name="_Toc2397"/>
      <w:bookmarkEnd w:id="5286"/>
      <w:r>
        <w:rPr>
          <w:rtl w:val="true"/>
        </w:rPr>
        <w:t>[ (</w:t>
      </w:r>
      <w:r>
        <w:rPr>
          <w:rtl w:val="true"/>
        </w:rPr>
        <w:t xml:space="preserve">مسألة </w:t>
      </w:r>
      <w:r>
        <w:rPr/>
        <w:t>10</w:t>
      </w:r>
      <w:r>
        <w:rPr>
          <w:rtl w:val="true"/>
        </w:rPr>
        <w:t xml:space="preserve">): </w:t>
      </w:r>
      <w:r>
        <w:rPr>
          <w:rtl w:val="true"/>
        </w:rPr>
        <w:t>تبرأ ذمّة الکفیل بإحضار المکفول أو حضوره</w:t>
      </w:r>
      <w:r>
        <w:rPr>
          <w:rtl w:val="true"/>
        </w:rPr>
        <w:t>]</w:t>
      </w:r>
      <w:bookmarkEnd w:id="5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تبرأ ذمّة الکفیل بإحضار المکفول أو حضوره و تسلیم </w:t>
      </w:r>
      <w:r>
        <w:rPr>
          <w:rStyle w:val="FootnoteAnchor"/>
          <w:rtl w:val="true"/>
        </w:rPr>
        <w:footnoteReference w:id="1442"/>
      </w:r>
      <w:r>
        <w:rPr>
          <w:rFonts w:ascii="IRNazanin" w:hAnsi="IRNazanin" w:eastAsia="IRNazanin"/>
          <w:color w:val="111111"/>
          <w:sz w:val="28"/>
          <w:sz w:val="28"/>
          <w:szCs w:val="28"/>
          <w:rtl w:val="true"/>
          <w:lang w:bidi="fa-IR"/>
        </w:rPr>
        <w:t>نفسه تسلیماً تامّاً، و کذا تبرأ ذمّته لو أخذ المکفول له المکفول طوعاً أو کرهاً بحیث تمکّن من استیفاء حقّه أو إحضاره مجلس الحکم، أو إبراء المکفول عن الحقّ الذی علیه أو الکفیل من الکفالة</w:t>
      </w:r>
      <w:r>
        <w:rPr>
          <w:rFonts w:eastAsia="IRNazanin" w:cs="IRNazanin"/>
          <w:color w:val="111111"/>
          <w:sz w:val="28"/>
          <w:szCs w:val="28"/>
          <w:rtl w:val="true"/>
          <w:lang w:bidi="fa-IR"/>
        </w:rPr>
        <w:t>.</w:t>
      </w:r>
    </w:p>
    <w:p>
      <w:pPr>
        <w:pStyle w:val="Heading4"/>
        <w:numPr>
          <w:ilvl w:val="3"/>
          <w:numId w:val="1"/>
        </w:numPr>
        <w:rPr/>
      </w:pPr>
      <w:bookmarkStart w:id="5288" w:name="__RefHeading___Toc2569778_3650668749"/>
      <w:bookmarkStart w:id="5289" w:name="_Toc2398"/>
      <w:bookmarkEnd w:id="5288"/>
      <w:r>
        <w:rPr>
          <w:rtl w:val="true"/>
        </w:rPr>
        <w:t>[ (</w:t>
      </w:r>
      <w:r>
        <w:rPr>
          <w:rtl w:val="true"/>
        </w:rPr>
        <w:t xml:space="preserve">مسألة </w:t>
      </w:r>
      <w:r>
        <w:rPr/>
        <w:t>11</w:t>
      </w:r>
      <w:r>
        <w:rPr>
          <w:rtl w:val="true"/>
        </w:rPr>
        <w:t xml:space="preserve">): </w:t>
      </w:r>
      <w:r>
        <w:rPr>
          <w:rtl w:val="true"/>
        </w:rPr>
        <w:t>إذا مات الکفیل أو المکفول بطلت الکفالة</w:t>
      </w:r>
      <w:r>
        <w:rPr>
          <w:rtl w:val="true"/>
        </w:rPr>
        <w:t>]</w:t>
      </w:r>
      <w:bookmarkEnd w:id="5289"/>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الکفیل أو المکفول بطلت الکفالة، بخلاف ما لو مات المکفول له فإنّه تکون الکفالة باقیة و ینتقل حقّ المکفول له منها إلیٰ ورثته</w:t>
      </w:r>
      <w:r>
        <w:rPr>
          <w:rFonts w:eastAsia="IRNazanin" w:cs="IRNazanin"/>
          <w:color w:val="111111"/>
          <w:sz w:val="28"/>
          <w:szCs w:val="28"/>
          <w:rtl w:val="true"/>
          <w:lang w:bidi="fa-IR"/>
        </w:rPr>
        <w:t>.</w:t>
      </w:r>
      <w:bookmarkStart w:id="5290" w:name="pg1809_19529"/>
    </w:p>
    <w:p>
      <w:pPr>
        <w:pStyle w:val="Heading4"/>
        <w:numPr>
          <w:ilvl w:val="3"/>
          <w:numId w:val="1"/>
        </w:numPr>
        <w:rPr/>
      </w:pPr>
      <w:bookmarkStart w:id="5291" w:name="__RefHeading___Toc2569780_3650668749"/>
      <w:bookmarkStart w:id="5292" w:name="_Toc2399"/>
      <w:bookmarkEnd w:id="5290"/>
      <w:bookmarkEnd w:id="5291"/>
      <w:r>
        <w:rPr>
          <w:rtl w:val="true"/>
        </w:rPr>
        <w:t>[ (</w:t>
      </w:r>
      <w:r>
        <w:rPr>
          <w:rtl w:val="true"/>
        </w:rPr>
        <w:t xml:space="preserve">مسألة </w:t>
      </w:r>
      <w:r>
        <w:rPr/>
        <w:t>12</w:t>
      </w:r>
      <w:r>
        <w:rPr>
          <w:rtl w:val="true"/>
        </w:rPr>
        <w:t xml:space="preserve">): </w:t>
      </w:r>
      <w:r>
        <w:rPr>
          <w:rtl w:val="true"/>
        </w:rPr>
        <w:t>لو نقل المکفول له الحقّ الذی له علی المکفول إلیٰ غیره</w:t>
      </w:r>
      <w:r>
        <w:rPr>
          <w:rtl w:val="true"/>
        </w:rPr>
        <w:t>]</w:t>
      </w:r>
      <w:bookmarkEnd w:id="5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نقل المکفول له الحقّ الذی له علی المکفول إلیٰ غیره ببیع أو صلح أو حوالة بطلت الکفالة</w:t>
      </w:r>
      <w:r>
        <w:rPr>
          <w:rFonts w:eastAsia="IRNazanin" w:cs="IRNazanin"/>
          <w:color w:val="111111"/>
          <w:sz w:val="28"/>
          <w:szCs w:val="28"/>
          <w:rtl w:val="true"/>
          <w:lang w:bidi="fa-IR"/>
        </w:rPr>
        <w:t>.</w:t>
      </w:r>
    </w:p>
    <w:p>
      <w:pPr>
        <w:pStyle w:val="Heading4"/>
        <w:numPr>
          <w:ilvl w:val="3"/>
          <w:numId w:val="1"/>
        </w:numPr>
        <w:rPr/>
      </w:pPr>
      <w:bookmarkStart w:id="5293" w:name="__RefHeading___Toc2569782_3650668749"/>
      <w:bookmarkStart w:id="5294" w:name="_Toc2400"/>
      <w:bookmarkEnd w:id="5293"/>
      <w:r>
        <w:rPr>
          <w:rtl w:val="true"/>
        </w:rPr>
        <w:t>[ (</w:t>
      </w:r>
      <w:r>
        <w:rPr>
          <w:rtl w:val="true"/>
        </w:rPr>
        <w:t xml:space="preserve">مسألة </w:t>
      </w:r>
      <w:r>
        <w:rPr/>
        <w:t>13</w:t>
      </w:r>
      <w:r>
        <w:rPr>
          <w:rtl w:val="true"/>
        </w:rPr>
        <w:t xml:space="preserve">): </w:t>
      </w:r>
      <w:r>
        <w:rPr>
          <w:rtl w:val="true"/>
        </w:rPr>
        <w:t>من خلّیٰ غریماً من ید صاحبه قهراً و إجباراً</w:t>
      </w:r>
      <w:r>
        <w:rPr>
          <w:rtl w:val="true"/>
        </w:rPr>
        <w:t>]</w:t>
      </w:r>
      <w:bookmarkEnd w:id="5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خلّیٰ غریماً من ید صاحبه قهراً و إجباراً، ضمن إحضاره أو أداء </w:t>
      </w:r>
      <w:r>
        <w:rPr>
          <w:rStyle w:val="FootnoteAnchor"/>
          <w:rtl w:val="true"/>
        </w:rPr>
        <w:footnoteReference w:id="1443"/>
      </w:r>
      <w:r>
        <w:rPr>
          <w:rFonts w:ascii="IRNazanin" w:hAnsi="IRNazanin" w:eastAsia="IRNazanin"/>
          <w:color w:val="111111"/>
          <w:sz w:val="28"/>
          <w:sz w:val="28"/>
          <w:szCs w:val="28"/>
          <w:rtl w:val="true"/>
          <w:lang w:bidi="fa-IR"/>
        </w:rPr>
        <w:t xml:space="preserve">ما علیه، و لو خلّیٰ قاتلًا من ید ولیّ الدم لزمه إحضاره أو إعطاء </w:t>
      </w:r>
      <w:r>
        <w:rPr>
          <w:rStyle w:val="FootnoteAnchor"/>
          <w:rtl w:val="true"/>
        </w:rPr>
        <w:footnoteReference w:id="1444"/>
      </w:r>
      <w:r>
        <w:rPr>
          <w:rFonts w:ascii="IRNazanin" w:hAnsi="IRNazanin" w:eastAsia="IRNazanin"/>
          <w:color w:val="111111"/>
          <w:sz w:val="28"/>
          <w:sz w:val="28"/>
          <w:szCs w:val="28"/>
          <w:rtl w:val="true"/>
          <w:lang w:bidi="fa-IR"/>
        </w:rPr>
        <w:t>الدیة و إن کان القتل عمداً</w:t>
      </w:r>
      <w:r>
        <w:rPr>
          <w:rFonts w:eastAsia="IRNazanin" w:cs="IRNazanin"/>
          <w:color w:val="111111"/>
          <w:sz w:val="28"/>
          <w:szCs w:val="28"/>
          <w:rtl w:val="true"/>
          <w:lang w:bidi="fa-IR"/>
        </w:rPr>
        <w:t>.</w:t>
      </w:r>
    </w:p>
    <w:p>
      <w:pPr>
        <w:pStyle w:val="Heading4"/>
        <w:numPr>
          <w:ilvl w:val="3"/>
          <w:numId w:val="1"/>
        </w:numPr>
        <w:rPr/>
      </w:pPr>
      <w:bookmarkStart w:id="5295" w:name="__RefHeading___Toc2569784_3650668749"/>
      <w:bookmarkStart w:id="5296" w:name="_Toc2401"/>
      <w:bookmarkEnd w:id="5295"/>
      <w:r>
        <w:rPr>
          <w:rtl w:val="true"/>
        </w:rPr>
        <w:t>[ (</w:t>
      </w:r>
      <w:r>
        <w:rPr>
          <w:rtl w:val="true"/>
        </w:rPr>
        <w:t xml:space="preserve">مسألة </w:t>
      </w:r>
      <w:r>
        <w:rPr/>
        <w:t>14</w:t>
      </w:r>
      <w:r>
        <w:rPr>
          <w:rtl w:val="true"/>
        </w:rPr>
        <w:t xml:space="preserve">): </w:t>
      </w:r>
      <w:r>
        <w:rPr>
          <w:rtl w:val="true"/>
        </w:rPr>
        <w:t>یجوز ترامی الکفالات</w:t>
      </w:r>
      <w:r>
        <w:rPr>
          <w:rtl w:val="true"/>
        </w:rPr>
        <w:t>]</w:t>
      </w:r>
      <w:bookmarkEnd w:id="5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ترامی الکفالات؛ بأن یکفل الکفیل کفیل آخر، ثمّ یکفل کفیل الکفیل کفیل آخر و هکذا، و حیث إنّ الکلّ فروع الکفالة الاولیٰ و کلّ لاحق فرع سابقه فلو أبرأ المستحقّ الکفیل الأوّل أو أحضر الأوّل المکفول الأوّل أو مات أحدهما برئوا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أبرأ المستحقّ بعض من توسّط برئ هو و من بعده دون من قبله، و کذا لو مات برئ من کان فرعاً له</w:t>
      </w:r>
      <w:r>
        <w:rPr>
          <w:rFonts w:eastAsia="IRNazanin" w:cs="IRNazanin"/>
          <w:color w:val="111111"/>
          <w:sz w:val="28"/>
          <w:szCs w:val="28"/>
          <w:rtl w:val="true"/>
          <w:lang w:bidi="fa-IR"/>
        </w:rPr>
        <w:t>.</w:t>
      </w:r>
    </w:p>
    <w:p>
      <w:pPr>
        <w:pStyle w:val="Heading4"/>
        <w:numPr>
          <w:ilvl w:val="3"/>
          <w:numId w:val="1"/>
        </w:numPr>
        <w:rPr/>
      </w:pPr>
      <w:bookmarkStart w:id="5297" w:name="__RefHeading___Toc2569786_3650668749"/>
      <w:bookmarkStart w:id="5298" w:name="_Toc2402"/>
      <w:bookmarkEnd w:id="5297"/>
      <w:r>
        <w:rPr>
          <w:rtl w:val="true"/>
        </w:rPr>
        <w:t>[ (</w:t>
      </w:r>
      <w:r>
        <w:rPr>
          <w:rtl w:val="true"/>
        </w:rPr>
        <w:t xml:space="preserve">مسألة </w:t>
      </w:r>
      <w:r>
        <w:rPr/>
        <w:t>15</w:t>
      </w:r>
      <w:r>
        <w:rPr>
          <w:rtl w:val="true"/>
        </w:rPr>
        <w:t xml:space="preserve">): </w:t>
      </w:r>
      <w:r>
        <w:rPr>
          <w:rtl w:val="true"/>
        </w:rPr>
        <w:t>یکره التعرّض للکفالات</w:t>
      </w:r>
      <w:r>
        <w:rPr>
          <w:rtl w:val="true"/>
        </w:rPr>
        <w:t>]</w:t>
      </w:r>
      <w:bookmarkEnd w:id="5298"/>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التعرّض للکفالات، و قد قال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لبعض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و الکفالات؟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أنّها أهلکت القرون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خسارة غرامة ندامة</w:t>
      </w:r>
      <w:r>
        <w:rPr>
          <w:rFonts w:eastAsia="IRNazanin" w:cs="IRNazanin"/>
          <w:color w:val="111111"/>
          <w:sz w:val="28"/>
          <w:szCs w:val="28"/>
          <w:rtl w:val="true"/>
          <w:lang w:bidi="fa-IR"/>
        </w:rPr>
        <w:t>».</w:t>
      </w:r>
      <w:bookmarkStart w:id="5299" w:name="pg1809_19530"/>
    </w:p>
    <w:p>
      <w:pPr>
        <w:pStyle w:val="Heading2"/>
        <w:numPr>
          <w:ilvl w:val="1"/>
          <w:numId w:val="1"/>
        </w:numPr>
        <w:rPr/>
      </w:pPr>
      <w:bookmarkStart w:id="5300" w:name="__RefHeading___Toc2569788_3650668749"/>
      <w:bookmarkStart w:id="5301" w:name="_Toc2403"/>
      <w:bookmarkEnd w:id="5299"/>
      <w:bookmarkEnd w:id="5300"/>
      <w:r>
        <w:rPr>
          <w:rtl w:val="true"/>
        </w:rPr>
        <w:t>[</w:t>
      </w:r>
      <w:r>
        <w:rPr>
          <w:rtl w:val="true"/>
        </w:rPr>
        <w:t>کتاب الوکالة</w:t>
      </w:r>
      <w:r>
        <w:rPr>
          <w:rtl w:val="true"/>
        </w:rPr>
        <w:t>]</w:t>
      </w:r>
      <w:bookmarkEnd w:id="5301"/>
    </w:p>
    <w:p>
      <w:pPr>
        <w:pStyle w:val="Heading3"/>
        <w:numPr>
          <w:ilvl w:val="2"/>
          <w:numId w:val="1"/>
        </w:numPr>
        <w:rPr/>
      </w:pPr>
      <w:bookmarkStart w:id="5302" w:name="__RefHeading___Toc2569790_3650668749"/>
      <w:bookmarkStart w:id="5303" w:name="_Toc2404"/>
      <w:bookmarkEnd w:id="5302"/>
      <w:r>
        <w:rPr>
          <w:rtl w:val="true"/>
        </w:rPr>
        <w:t>اشارة</w:t>
      </w:r>
      <w:bookmarkEnd w:id="5303"/>
    </w:p>
    <w:p>
      <w:pPr>
        <w:pStyle w:val="BookText"/>
        <w:rPr/>
      </w:pPr>
      <w:r>
        <w:rPr>
          <w:rFonts w:ascii="IRNazanin" w:hAnsi="IRNazanin" w:eastAsia="IRNazanin"/>
          <w:color w:val="111111"/>
          <w:sz w:val="28"/>
          <w:sz w:val="28"/>
          <w:szCs w:val="28"/>
          <w:rtl w:val="true"/>
          <w:lang w:bidi="fa-IR"/>
        </w:rPr>
        <w:t xml:space="preserve">کتاب الوکالة و هی تولیة الغیر فی إمضاء أمر </w:t>
      </w:r>
      <w:r>
        <w:rPr>
          <w:rStyle w:val="FootnoteAnchor"/>
          <w:rtl w:val="true"/>
        </w:rPr>
        <w:footnoteReference w:id="1445"/>
      </w:r>
      <w:r>
        <w:rPr>
          <w:rFonts w:ascii="IRNazanin" w:hAnsi="IRNazanin" w:eastAsia="IRNazanin"/>
          <w:color w:val="111111"/>
          <w:sz w:val="28"/>
          <w:sz w:val="28"/>
          <w:szCs w:val="28"/>
          <w:rtl w:val="true"/>
          <w:lang w:bidi="fa-IR"/>
        </w:rPr>
        <w:t>، أو استنابته فی التصرّف فیما کان له ذلک، و حیث إنّها من العقود تحتاج إلیٰ إیجاب و قبول، و یکفی فی الإیجاب کلّ ما دلّ علیٰ التولیة و الاستنابة المزبورتین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وکیلی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فوّضته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استنبتک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بل الظاهر کفایة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قاصداً به الاستنابة فی بیعها، و فی القبول کلّ ما دلّ علی الرضا، بل الظاهر أنّه یکفی فیه فعل ما وکّل فیه کما إذا وکّله فی بیع شی‌ء فباعه أو شراء شی‌ء فاشتراه له، بل یقویٰ وقوعها بالمعاطاة؛ بأن سلّم إلیه متاعاً لیبیعه فتسلّمه لذلک، بل لا یبعد تحقّقها بالکتابة من طرف الموکّل و الرضا بما فیها من طرف الوکیل و إن تأخّر وصولها إلیه مدّة، فلا یعتبر فیها الموالاة بین إیجابها و 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یتّسع الأمر فیها بما لا یتّسع فی غیرها من العقود، حتّی أنّه لو قال الوکیل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وکیلک فی بیع 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 و تمّ و إن لم نکتف بمثله فی سائر العقود</w:t>
      </w:r>
      <w:r>
        <w:rPr>
          <w:rFonts w:eastAsia="IRNazanin" w:cs="IRNazanin"/>
          <w:color w:val="111111"/>
          <w:sz w:val="28"/>
          <w:szCs w:val="28"/>
          <w:rtl w:val="true"/>
          <w:lang w:bidi="fa-IR"/>
        </w:rPr>
        <w:t>.</w:t>
      </w:r>
    </w:p>
    <w:p>
      <w:pPr>
        <w:pStyle w:val="Heading3"/>
        <w:numPr>
          <w:ilvl w:val="2"/>
          <w:numId w:val="1"/>
        </w:numPr>
        <w:rPr/>
      </w:pPr>
      <w:bookmarkStart w:id="5304" w:name="__RefHeading___Toc2569792_3650668749"/>
      <w:bookmarkStart w:id="5305" w:name="_Toc2405"/>
      <w:bookmarkEnd w:id="5304"/>
      <w:r>
        <w:rPr>
          <w:rtl w:val="true"/>
        </w:rPr>
        <w:t>[ (</w:t>
      </w:r>
      <w:r>
        <w:rPr>
          <w:rtl w:val="true"/>
        </w:rPr>
        <w:t xml:space="preserve">مسألة </w:t>
      </w:r>
      <w:r>
        <w:rPr/>
        <w:t>1</w:t>
      </w:r>
      <w:r>
        <w:rPr>
          <w:rtl w:val="true"/>
        </w:rPr>
        <w:t xml:space="preserve">): </w:t>
      </w:r>
      <w:r>
        <w:rPr>
          <w:rtl w:val="true"/>
        </w:rPr>
        <w:t>یشترط فیها التنجیز</w:t>
      </w:r>
      <w:r>
        <w:rPr>
          <w:rtl w:val="true"/>
        </w:rPr>
        <w:t>]</w:t>
      </w:r>
      <w:bookmarkEnd w:id="5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فیها التنجیز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بمعنی عدم تعلیق أصل الوکالة بشی‌ء، کأن یقول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قدم زید أو جاء رأس الشهر وکّلتک أو أنت وکیلی فی أمر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بتعلیق متعلّق الوکالة و التصرّف الذی استنابه فیه،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وکیلی فی أن تبیع داری إذا قدم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وکّلتک فی شراء کذا فی وقت کذا</w:t>
      </w:r>
      <w:r>
        <w:rPr>
          <w:rFonts w:eastAsia="IRNazanin" w:cs="IRNazanin"/>
          <w:color w:val="111111"/>
          <w:sz w:val="28"/>
          <w:szCs w:val="28"/>
          <w:rtl w:val="true"/>
          <w:lang w:bidi="fa-IR"/>
        </w:rPr>
        <w:t>».</w:t>
      </w:r>
    </w:p>
    <w:p>
      <w:pPr>
        <w:pStyle w:val="Heading3"/>
        <w:numPr>
          <w:ilvl w:val="2"/>
          <w:numId w:val="1"/>
        </w:numPr>
        <w:rPr/>
      </w:pPr>
      <w:bookmarkStart w:id="5306" w:name="__RefHeading___Toc2569794_3650668749"/>
      <w:bookmarkStart w:id="5307" w:name="_Toc2406"/>
      <w:bookmarkEnd w:id="5306"/>
      <w:r>
        <w:rPr>
          <w:rtl w:val="true"/>
        </w:rPr>
        <w:t>[ (</w:t>
      </w:r>
      <w:r>
        <w:rPr>
          <w:rtl w:val="true"/>
        </w:rPr>
        <w:t xml:space="preserve">مسألة </w:t>
      </w:r>
      <w:r>
        <w:rPr/>
        <w:t>2</w:t>
      </w:r>
      <w:r>
        <w:rPr>
          <w:rtl w:val="true"/>
        </w:rPr>
        <w:t xml:space="preserve">): </w:t>
      </w:r>
      <w:r>
        <w:rPr>
          <w:rtl w:val="true"/>
        </w:rPr>
        <w:t>یشترط فی کلّ من الموکّل و الوکیل البلوغ</w:t>
      </w:r>
      <w:r>
        <w:rPr>
          <w:rtl w:val="true"/>
        </w:rPr>
        <w:t>]</w:t>
      </w:r>
      <w:bookmarkEnd w:id="5307"/>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کلّ من الموکّل و الوکیل البلوغ </w:t>
      </w:r>
      <w:r>
        <w:rPr>
          <w:rStyle w:val="FootnoteAnchor"/>
          <w:rtl w:val="true"/>
        </w:rPr>
        <w:footnoteReference w:id="1446"/>
      </w:r>
      <w:r>
        <w:rPr>
          <w:rFonts w:ascii="IRNazanin" w:hAnsi="IRNazanin" w:eastAsia="IRNazanin"/>
          <w:color w:val="111111"/>
          <w:sz w:val="28"/>
          <w:sz w:val="28"/>
          <w:szCs w:val="28"/>
          <w:rtl w:val="true"/>
          <w:lang w:bidi="fa-IR"/>
        </w:rPr>
        <w:t>و العقل و القصد و الاختیار،</w:t>
      </w:r>
      <w:bookmarkStart w:id="5308" w:name="pg1809_19531"/>
    </w:p>
    <w:p>
      <w:pPr>
        <w:pStyle w:val="BookText"/>
        <w:rPr/>
      </w:pPr>
      <w:bookmarkEnd w:id="5308"/>
      <w:r>
        <w:rPr>
          <w:rFonts w:ascii="IRNazanin" w:hAnsi="IRNazanin" w:eastAsia="IRNazanin"/>
          <w:color w:val="111111"/>
          <w:sz w:val="28"/>
          <w:sz w:val="28"/>
          <w:szCs w:val="28"/>
          <w:rtl w:val="true"/>
          <w:lang w:bidi="fa-IR"/>
        </w:rPr>
        <w:t>فلا یصحّ التوکیل و لا التوکّل من الصبیّ و المجنون و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الموکّل کونه جائز التصرّف </w:t>
      </w:r>
      <w:r>
        <w:rPr>
          <w:rStyle w:val="FootnoteAnchor"/>
          <w:rtl w:val="true"/>
        </w:rPr>
        <w:footnoteReference w:id="1447"/>
      </w:r>
      <w:r>
        <w:rPr>
          <w:rFonts w:ascii="IRNazanin" w:hAnsi="IRNazanin" w:eastAsia="IRNazanin"/>
          <w:color w:val="111111"/>
          <w:sz w:val="28"/>
          <w:sz w:val="28"/>
          <w:szCs w:val="28"/>
          <w:rtl w:val="true"/>
          <w:lang w:bidi="fa-IR"/>
        </w:rPr>
        <w:t>فیما وکّل فیه، فلا یصحّ توکیل المحجور علیه لسفه أو فلس فیما حجر علیهما فیه دون ما لم یحجر علیهما فیه کالطلاق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الوکیل کونه متمکّناً عقلًا و شرعاً من مباشرة ما توکّل فیه، فلا تصحّ وکالة المحرم فیما لا یجوز له، کابتیاع الصید و إمساکه، و إیقاع عقد النکاح</w:t>
      </w:r>
      <w:r>
        <w:rPr>
          <w:rFonts w:eastAsia="IRNazanin" w:cs="IRNazanin"/>
          <w:color w:val="111111"/>
          <w:sz w:val="28"/>
          <w:szCs w:val="28"/>
          <w:rtl w:val="true"/>
          <w:lang w:bidi="fa-IR"/>
        </w:rPr>
        <w:t>.</w:t>
      </w:r>
    </w:p>
    <w:p>
      <w:pPr>
        <w:pStyle w:val="Heading3"/>
        <w:numPr>
          <w:ilvl w:val="2"/>
          <w:numId w:val="1"/>
        </w:numPr>
        <w:rPr/>
      </w:pPr>
      <w:bookmarkStart w:id="5309" w:name="__RefHeading___Toc2569796_3650668749"/>
      <w:bookmarkStart w:id="5310" w:name="_Toc2407"/>
      <w:bookmarkEnd w:id="5309"/>
      <w:r>
        <w:rPr>
          <w:rtl w:val="true"/>
        </w:rPr>
        <w:t>[ (</w:t>
      </w:r>
      <w:r>
        <w:rPr>
          <w:rtl w:val="true"/>
        </w:rPr>
        <w:t xml:space="preserve">مسألة </w:t>
      </w:r>
      <w:r>
        <w:rPr/>
        <w:t>3</w:t>
      </w:r>
      <w:r>
        <w:rPr>
          <w:rtl w:val="true"/>
        </w:rPr>
        <w:t xml:space="preserve">): </w:t>
      </w:r>
      <w:r>
        <w:rPr>
          <w:rtl w:val="true"/>
        </w:rPr>
        <w:t>لا یشترط فی الوکیل الإسلام</w:t>
      </w:r>
      <w:r>
        <w:rPr>
          <w:rtl w:val="true"/>
        </w:rPr>
        <w:t>]</w:t>
      </w:r>
      <w:bookmarkEnd w:id="5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فی الوکیل الإسلام، فتصحّ وکالة الکافر بل و المرتدّ و إن کان عن فطرة عن المسلم و الکافر إلّا فیما لا یصحّ وقوعه من الکافر، کابتیاع مصحف أو مسلم لکافر أو مسلم علیٰ إشکال </w:t>
      </w:r>
      <w:r>
        <w:rPr>
          <w:rStyle w:val="FootnoteAnchor"/>
          <w:rtl w:val="true"/>
        </w:rPr>
        <w:footnoteReference w:id="1448"/>
      </w:r>
      <w:r>
        <w:rPr>
          <w:rFonts w:ascii="IRNazanin" w:hAnsi="IRNazanin" w:eastAsia="IRNazanin"/>
          <w:color w:val="111111"/>
          <w:sz w:val="28"/>
          <w:sz w:val="28"/>
          <w:szCs w:val="28"/>
          <w:rtl w:val="true"/>
          <w:lang w:bidi="fa-IR"/>
        </w:rPr>
        <w:t xml:space="preserve">فیما إذا کان لمسلم و کاستیفاء حقّ أو مخاصمة مع مسلم، علیٰ تردّد </w:t>
      </w:r>
      <w:r>
        <w:rPr>
          <w:rStyle w:val="FootnoteAnchor"/>
          <w:rtl w:val="true"/>
        </w:rPr>
        <w:footnoteReference w:id="1449"/>
      </w:r>
      <w:r>
        <w:rPr>
          <w:rFonts w:ascii="IRNazanin" w:hAnsi="IRNazanin" w:eastAsia="IRNazanin"/>
          <w:color w:val="111111"/>
          <w:sz w:val="28"/>
          <w:sz w:val="28"/>
          <w:szCs w:val="28"/>
          <w:rtl w:val="true"/>
          <w:lang w:bidi="fa-IR"/>
        </w:rPr>
        <w:t>خصوصاً إذا کان لمسلم</w:t>
      </w:r>
      <w:r>
        <w:rPr>
          <w:rFonts w:eastAsia="IRNazanin" w:cs="IRNazanin"/>
          <w:color w:val="111111"/>
          <w:sz w:val="28"/>
          <w:szCs w:val="28"/>
          <w:rtl w:val="true"/>
          <w:lang w:bidi="fa-IR"/>
        </w:rPr>
        <w:t>.</w:t>
      </w:r>
    </w:p>
    <w:p>
      <w:pPr>
        <w:pStyle w:val="Heading3"/>
        <w:numPr>
          <w:ilvl w:val="2"/>
          <w:numId w:val="1"/>
        </w:numPr>
        <w:rPr/>
      </w:pPr>
      <w:bookmarkStart w:id="5311" w:name="__RefHeading___Toc2569798_3650668749"/>
      <w:bookmarkStart w:id="5312" w:name="_Toc2408"/>
      <w:bookmarkEnd w:id="5311"/>
      <w:r>
        <w:rPr>
          <w:rtl w:val="true"/>
        </w:rPr>
        <w:t>[ (</w:t>
      </w:r>
      <w:r>
        <w:rPr>
          <w:rtl w:val="true"/>
        </w:rPr>
        <w:t xml:space="preserve">مسألة </w:t>
      </w:r>
      <w:r>
        <w:rPr/>
        <w:t>4</w:t>
      </w:r>
      <w:r>
        <w:rPr>
          <w:rtl w:val="true"/>
        </w:rPr>
        <w:t xml:space="preserve">): </w:t>
      </w:r>
      <w:r>
        <w:rPr>
          <w:rtl w:val="true"/>
        </w:rPr>
        <w:t>تصحّ وکالة المحجور علیه لسفه أو فلس عن غیرهما ممّن لا حجر علیه</w:t>
      </w:r>
      <w:r>
        <w:rPr>
          <w:rtl w:val="true"/>
        </w:rPr>
        <w:t>]</w:t>
      </w:r>
      <w:bookmarkEnd w:id="5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وکالة المحجور علیه لسفه أو فلس عن غیرهما ممّن لا حجر علیه؛ لاختصاص ممنوعیّتها بالتصرّف فی أموالهما</w:t>
      </w:r>
      <w:r>
        <w:rPr>
          <w:rFonts w:eastAsia="IRNazanin" w:cs="IRNazanin"/>
          <w:color w:val="111111"/>
          <w:sz w:val="28"/>
          <w:szCs w:val="28"/>
          <w:rtl w:val="true"/>
          <w:lang w:bidi="fa-IR"/>
        </w:rPr>
        <w:t>.</w:t>
      </w:r>
    </w:p>
    <w:p>
      <w:pPr>
        <w:pStyle w:val="Heading3"/>
        <w:numPr>
          <w:ilvl w:val="2"/>
          <w:numId w:val="1"/>
        </w:numPr>
        <w:rPr/>
      </w:pPr>
      <w:bookmarkStart w:id="5313" w:name="__RefHeading___Toc2569800_3650668749"/>
      <w:bookmarkStart w:id="5314" w:name="_Toc2409"/>
      <w:bookmarkEnd w:id="5313"/>
      <w:r>
        <w:rPr>
          <w:rtl w:val="true"/>
        </w:rPr>
        <w:t>[ (</w:t>
      </w:r>
      <w:r>
        <w:rPr>
          <w:rtl w:val="true"/>
        </w:rPr>
        <w:t xml:space="preserve">مسألة </w:t>
      </w:r>
      <w:r>
        <w:rPr/>
        <w:t>5</w:t>
      </w:r>
      <w:r>
        <w:rPr>
          <w:rtl w:val="true"/>
        </w:rPr>
        <w:t xml:space="preserve">): </w:t>
      </w:r>
      <w:r>
        <w:rPr>
          <w:rtl w:val="true"/>
        </w:rPr>
        <w:t>لو جوّزنا للصبیّ بعض التصرّفات فی ماله</w:t>
      </w:r>
      <w:r>
        <w:rPr>
          <w:rtl w:val="true"/>
        </w:rPr>
        <w:t>]</w:t>
      </w:r>
      <w:bookmarkEnd w:id="5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جوّزنا للصبیّ بعض التصرّفات فی ماله کالوصیّة بالمعروف لمن بلغ عشر سنین کما یأتی جاز له التوکیل فیما جاز له</w:t>
      </w:r>
      <w:r>
        <w:rPr>
          <w:rFonts w:eastAsia="IRNazanin" w:cs="IRNazanin"/>
          <w:color w:val="111111"/>
          <w:sz w:val="28"/>
          <w:szCs w:val="28"/>
          <w:rtl w:val="true"/>
          <w:lang w:bidi="fa-IR"/>
        </w:rPr>
        <w:t>.</w:t>
      </w:r>
    </w:p>
    <w:p>
      <w:pPr>
        <w:pStyle w:val="Heading3"/>
        <w:numPr>
          <w:ilvl w:val="2"/>
          <w:numId w:val="1"/>
        </w:numPr>
        <w:rPr/>
      </w:pPr>
      <w:bookmarkStart w:id="5315" w:name="__RefHeading___Toc2569802_3650668749"/>
      <w:bookmarkStart w:id="5316" w:name="_Toc2410"/>
      <w:bookmarkEnd w:id="5315"/>
      <w:r>
        <w:rPr>
          <w:rtl w:val="true"/>
        </w:rPr>
        <w:t>[ (</w:t>
      </w:r>
      <w:r>
        <w:rPr>
          <w:rtl w:val="true"/>
        </w:rPr>
        <w:t xml:space="preserve">مسألة </w:t>
      </w:r>
      <w:r>
        <w:rPr/>
        <w:t>6</w:t>
      </w:r>
      <w:r>
        <w:rPr>
          <w:rtl w:val="true"/>
        </w:rPr>
        <w:t xml:space="preserve">): </w:t>
      </w:r>
      <w:r>
        <w:rPr>
          <w:rtl w:val="true"/>
        </w:rPr>
        <w:t>ما کان شرطاً فی الموکّل و الوکیل ابتداءً شرط فیهما استدامة</w:t>
      </w:r>
      <w:r>
        <w:rPr>
          <w:rtl w:val="true"/>
        </w:rPr>
        <w:t>]</w:t>
      </w:r>
      <w:bookmarkEnd w:id="5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شرطاً فی الموکّل و الوکیل ابتداءً شرط فیهما استدامة، فلو جنّا أو أُغمی علیهما أو حجر علی الموکّل بالنسبة إلیٰ ما وکّل فیه بطلت </w:t>
      </w:r>
      <w:r>
        <w:rPr>
          <w:rStyle w:val="FootnoteAnchor"/>
          <w:rtl w:val="true"/>
        </w:rPr>
        <w:footnoteReference w:id="1450"/>
      </w:r>
      <w:r>
        <w:rPr>
          <w:rFonts w:ascii="IRNazanin" w:hAnsi="IRNazanin" w:eastAsia="IRNazanin"/>
          <w:color w:val="111111"/>
          <w:sz w:val="28"/>
          <w:sz w:val="28"/>
          <w:szCs w:val="28"/>
          <w:rtl w:val="true"/>
          <w:lang w:bidi="fa-IR"/>
        </w:rPr>
        <w:t>الوکالة، و لو زال المانع احتاج عودها إلیٰ توکیل جدید</w:t>
      </w:r>
      <w:r>
        <w:rPr>
          <w:rFonts w:eastAsia="IRNazanin" w:cs="IRNazanin"/>
          <w:color w:val="111111"/>
          <w:sz w:val="28"/>
          <w:szCs w:val="28"/>
          <w:rtl w:val="true"/>
          <w:lang w:bidi="fa-IR"/>
        </w:rPr>
        <w:t>.</w:t>
      </w:r>
    </w:p>
    <w:p>
      <w:pPr>
        <w:pStyle w:val="Heading3"/>
        <w:numPr>
          <w:ilvl w:val="2"/>
          <w:numId w:val="1"/>
        </w:numPr>
        <w:rPr/>
      </w:pPr>
      <w:bookmarkStart w:id="5317" w:name="__RefHeading___Toc2569804_3650668749"/>
      <w:bookmarkStart w:id="5318" w:name="_Toc2411"/>
      <w:bookmarkEnd w:id="5317"/>
      <w:r>
        <w:rPr>
          <w:rtl w:val="true"/>
        </w:rPr>
        <w:t>[ (</w:t>
      </w:r>
      <w:r>
        <w:rPr>
          <w:rtl w:val="true"/>
        </w:rPr>
        <w:t xml:space="preserve">مسألة </w:t>
      </w:r>
      <w:r>
        <w:rPr/>
        <w:t>7</w:t>
      </w:r>
      <w:r>
        <w:rPr>
          <w:rtl w:val="true"/>
        </w:rPr>
        <w:t xml:space="preserve">): </w:t>
      </w:r>
      <w:r>
        <w:rPr>
          <w:rtl w:val="true"/>
        </w:rPr>
        <w:t>یشترط فیما وکّل فیه أن یکون سائغاً فی نفسه</w:t>
      </w:r>
      <w:r>
        <w:rPr>
          <w:rtl w:val="true"/>
        </w:rPr>
        <w:t>]</w:t>
      </w:r>
      <w:bookmarkEnd w:id="5318"/>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فیما وکّل فیه أن یکون سائغاً فی نفسه، و أن یکون للموکّل السلطنة شرعاً علیٰ إیقاعه، فلا توکیل فی المعاصی کالغصب و السرقة و القمار و نحوها، و لا فیما لیس له السلطنة علیٰ إیقاعه کبیع مال الغیر من دون ولایة 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القدرة علیه خارجاً مع کونه ممّا یصحّ وقوعه منه شرعاً، فیجوز لمن لم یقدر علیٰ أخذ ماله من غاصب</w:t>
      </w:r>
      <w:bookmarkStart w:id="5319" w:name="pg1809_19532"/>
    </w:p>
    <w:p>
      <w:pPr>
        <w:pStyle w:val="BookText"/>
        <w:rPr/>
      </w:pPr>
      <w:bookmarkEnd w:id="5319"/>
      <w:r>
        <w:rPr>
          <w:rFonts w:ascii="IRNazanin" w:hAnsi="IRNazanin" w:eastAsia="IRNazanin"/>
          <w:color w:val="111111"/>
          <w:sz w:val="28"/>
          <w:sz w:val="28"/>
          <w:szCs w:val="28"/>
          <w:rtl w:val="true"/>
          <w:lang w:bidi="fa-IR"/>
        </w:rPr>
        <w:t>أن یوکّل فی أخذه منه من یقدر علیه</w:t>
      </w:r>
      <w:r>
        <w:rPr>
          <w:rFonts w:eastAsia="IRNazanin" w:cs="IRNazanin"/>
          <w:color w:val="111111"/>
          <w:sz w:val="28"/>
          <w:szCs w:val="28"/>
          <w:rtl w:val="true"/>
          <w:lang w:bidi="fa-IR"/>
        </w:rPr>
        <w:t>.</w:t>
      </w:r>
    </w:p>
    <w:p>
      <w:pPr>
        <w:pStyle w:val="Heading3"/>
        <w:numPr>
          <w:ilvl w:val="2"/>
          <w:numId w:val="1"/>
        </w:numPr>
        <w:rPr/>
      </w:pPr>
      <w:bookmarkStart w:id="5320" w:name="__RefHeading___Toc2569806_3650668749"/>
      <w:bookmarkStart w:id="5321" w:name="_Toc2412"/>
      <w:bookmarkEnd w:id="5320"/>
      <w:r>
        <w:rPr>
          <w:rtl w:val="true"/>
        </w:rPr>
        <w:t>[ (</w:t>
      </w:r>
      <w:r>
        <w:rPr>
          <w:rtl w:val="true"/>
        </w:rPr>
        <w:t xml:space="preserve">مسألة </w:t>
      </w:r>
      <w:r>
        <w:rPr/>
        <w:t>8</w:t>
      </w:r>
      <w:r>
        <w:rPr>
          <w:rtl w:val="true"/>
        </w:rPr>
        <w:t xml:space="preserve">): </w:t>
      </w:r>
      <w:r>
        <w:rPr>
          <w:rtl w:val="true"/>
        </w:rPr>
        <w:t>إذا لم یتمکّن شرعاً أو عقلًا من إیقاع أمر إلّا بعد حصول أمر غیر حاصل حین التوکیل</w:t>
      </w:r>
      <w:r>
        <w:rPr>
          <w:rtl w:val="true"/>
        </w:rPr>
        <w:t>]</w:t>
      </w:r>
      <w:bookmarkEnd w:id="5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یتمکّن شرعاً أو عقلًا من إیقاع أمر إلّا بعد حصول أمر غیر حاصل حین التوکیل کتطلیق امرأة لم تکن فی حبالته و تزویج من کانت مزوّجة أو معتدّة و إعتاق عبد غیر مملوک له و نحو ذلک لا إشکال </w:t>
      </w:r>
      <w:r>
        <w:rPr>
          <w:rStyle w:val="FootnoteAnchor"/>
          <w:rtl w:val="true"/>
        </w:rPr>
        <w:footnoteReference w:id="1451"/>
      </w:r>
      <w:r>
        <w:rPr>
          <w:rFonts w:ascii="IRNazanin" w:hAnsi="IRNazanin" w:eastAsia="IRNazanin"/>
          <w:color w:val="111111"/>
          <w:sz w:val="28"/>
          <w:sz w:val="28"/>
          <w:szCs w:val="28"/>
          <w:rtl w:val="true"/>
          <w:lang w:bidi="fa-IR"/>
        </w:rPr>
        <w:t>فی جواز التوکیل فیه تبعاً لما تمکّن منه؛ بأن یوکّله فی إیقاع المرتّب علیه، ثمّ إیقاع ما رتّب علیه؛ بأن یوکّله مثلًا فی تزویج امرأة له ثمّ طلاقها، أو شراء عبد له ثمّ إعتاقه، أو شراء مال ثمّ بیعه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التوکیل فیه استقلالًا من دون التوکیل فی المرتّب علیه ففیه إشکال، بل الظاهر عدم الصحّة، من غیر فرق بین ما کان المرتّب علیه غیر قابل للتوکیل کانقضاء العدّة و بین غیره، فلا یجوز أن یوکّل فی تزویج المعتدّة بعد انقضاء العدّة و المزوّجة بعد طلاق زوجها أو بعد موته، و کذا فی طلاق زوجة سینکحها أو إعتاق عبد سیملکه أو بیع متاع سیشتریه و نحو ذلک</w:t>
      </w:r>
      <w:r>
        <w:rPr>
          <w:rFonts w:eastAsia="IRNazanin" w:cs="IRNazanin"/>
          <w:color w:val="111111"/>
          <w:sz w:val="28"/>
          <w:szCs w:val="28"/>
          <w:rtl w:val="true"/>
          <w:lang w:bidi="fa-IR"/>
        </w:rPr>
        <w:t>.</w:t>
      </w:r>
    </w:p>
    <w:p>
      <w:pPr>
        <w:pStyle w:val="Heading3"/>
        <w:numPr>
          <w:ilvl w:val="2"/>
          <w:numId w:val="1"/>
        </w:numPr>
        <w:rPr/>
      </w:pPr>
      <w:bookmarkStart w:id="5322" w:name="__RefHeading___Toc2569808_3650668749"/>
      <w:bookmarkStart w:id="5323" w:name="_Toc2413"/>
      <w:bookmarkEnd w:id="5322"/>
      <w:r>
        <w:rPr>
          <w:rtl w:val="true"/>
        </w:rPr>
        <w:t>[ (</w:t>
      </w:r>
      <w:r>
        <w:rPr>
          <w:rtl w:val="true"/>
        </w:rPr>
        <w:t xml:space="preserve">مسألة </w:t>
      </w:r>
      <w:r>
        <w:rPr/>
        <w:t>9</w:t>
      </w:r>
      <w:r>
        <w:rPr>
          <w:rtl w:val="true"/>
        </w:rPr>
        <w:t xml:space="preserve">): </w:t>
      </w:r>
      <w:r>
        <w:rPr>
          <w:rtl w:val="true"/>
        </w:rPr>
        <w:t>یشترط فی الموکّل فیه أن یکون قابلًا للنیابة</w:t>
      </w:r>
      <w:r>
        <w:rPr>
          <w:rtl w:val="true"/>
        </w:rPr>
        <w:t>]</w:t>
      </w:r>
      <w:bookmarkEnd w:id="5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الموکّل فیه أن یکون قابلًا للنیابة؛ بأن لم یعتبر فی مشروعیّة وقوعه عن الإنسان إیقاعه بالمباشرة، کالعبادات البدنیّة من الطهارات الثلاث و الصلاة </w:t>
      </w:r>
      <w:r>
        <w:rPr>
          <w:rStyle w:val="FootnoteAnchor"/>
          <w:rtl w:val="true"/>
        </w:rPr>
        <w:footnoteReference w:id="1452"/>
      </w:r>
      <w:r>
        <w:rPr>
          <w:rFonts w:ascii="IRNazanin" w:hAnsi="IRNazanin" w:eastAsia="IRNazanin"/>
          <w:color w:val="111111"/>
          <w:sz w:val="28"/>
          <w:sz w:val="28"/>
          <w:szCs w:val="28"/>
          <w:rtl w:val="true"/>
          <w:lang w:bidi="fa-IR"/>
        </w:rPr>
        <w:t>و الصیام فرضها و نفلها دون المالیّة منها، کالزکاة و الخمس و الکفّارات، فإنّه لا یعتبر فیها المباشرة فیصحّ التوکیل و النیابة فیها؛ إخراجاً و إیصالًا إلیٰ مستحقّیها</w:t>
      </w:r>
      <w:r>
        <w:rPr>
          <w:rFonts w:eastAsia="IRNazanin" w:cs="IRNazanin"/>
          <w:color w:val="111111"/>
          <w:sz w:val="28"/>
          <w:szCs w:val="28"/>
          <w:rtl w:val="true"/>
          <w:lang w:bidi="fa-IR"/>
        </w:rPr>
        <w:t>.</w:t>
      </w:r>
    </w:p>
    <w:p>
      <w:pPr>
        <w:pStyle w:val="Heading3"/>
        <w:numPr>
          <w:ilvl w:val="2"/>
          <w:numId w:val="1"/>
        </w:numPr>
        <w:rPr/>
      </w:pPr>
      <w:bookmarkStart w:id="5324" w:name="__RefHeading___Toc2569810_3650668749"/>
      <w:bookmarkStart w:id="5325" w:name="_Toc2414"/>
      <w:bookmarkEnd w:id="5324"/>
      <w:r>
        <w:rPr>
          <w:rtl w:val="true"/>
        </w:rPr>
        <w:t>[ (</w:t>
      </w:r>
      <w:r>
        <w:rPr>
          <w:rtl w:val="true"/>
        </w:rPr>
        <w:t xml:space="preserve">مسألة </w:t>
      </w:r>
      <w:r>
        <w:rPr/>
        <w:t>10</w:t>
      </w:r>
      <w:r>
        <w:rPr>
          <w:rtl w:val="true"/>
        </w:rPr>
        <w:t xml:space="preserve">): </w:t>
      </w:r>
      <w:r>
        <w:rPr>
          <w:rtl w:val="true"/>
        </w:rPr>
        <w:t>یصحّ التوکیل فی جمیع العقود</w:t>
      </w:r>
      <w:r>
        <w:rPr>
          <w:rtl w:val="true"/>
        </w:rPr>
        <w:t>]</w:t>
      </w:r>
      <w:bookmarkEnd w:id="5325"/>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التوکیل فی جمیع العقود، کالبیع و الصلح و الإجارة و الهبة و العاریة و الودیعة و المضاربة و المزارعة و المساقاة و القرض و الرهن و الشرکة و الضمان و الحوالة و الکفالة و الوکالة و النکاح؛ إیجاباً و قبولًا فی الجمیع، و کذا فی الوصیّة و الوقف و فی الطلاق و الإعتاق و الإبراء و الأخذ بالشفعة و إسقاطها، و فسخ العقد فی موارد ثبوت الخیار و إسقاطه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الظاهر أنّه لا یصحّ التوکیل فی الرجوع </w:t>
      </w:r>
      <w:r>
        <w:rPr>
          <w:rStyle w:val="FootnoteAnchor"/>
          <w:rtl w:val="true"/>
        </w:rPr>
        <w:footnoteReference w:id="1453"/>
      </w:r>
      <w:r>
        <w:rPr>
          <w:rFonts w:ascii="IRNazanin" w:hAnsi="IRNazanin" w:eastAsia="IRNazanin"/>
          <w:color w:val="111111"/>
          <w:sz w:val="28"/>
          <w:sz w:val="28"/>
          <w:szCs w:val="28"/>
          <w:rtl w:val="true"/>
          <w:lang w:bidi="fa-IR"/>
        </w:rPr>
        <w:t>إلی المطلّقة فی الطلاق الرجعیّ،</w:t>
      </w:r>
      <w:bookmarkStart w:id="5326" w:name="pg1809_19533"/>
    </w:p>
    <w:p>
      <w:pPr>
        <w:pStyle w:val="BookText"/>
        <w:rPr/>
      </w:pPr>
      <w:bookmarkEnd w:id="5326"/>
      <w:r>
        <w:rPr>
          <w:rFonts w:ascii="IRNazanin" w:hAnsi="IRNazanin" w:eastAsia="IRNazanin"/>
          <w:color w:val="111111"/>
          <w:sz w:val="28"/>
          <w:sz w:val="28"/>
          <w:szCs w:val="28"/>
          <w:rtl w:val="true"/>
          <w:lang w:bidi="fa-IR"/>
        </w:rPr>
        <w:t>کما أنّه لا یصحّ فی الیمین و النذر و العهد و اللعان و الإیلاء و الظهار و فی الشهادة و الإقرار، علیٰ إشکال فی الأخیر</w:t>
      </w:r>
      <w:r>
        <w:rPr>
          <w:rFonts w:eastAsia="IRNazanin" w:cs="IRNazanin"/>
          <w:color w:val="111111"/>
          <w:sz w:val="28"/>
          <w:szCs w:val="28"/>
          <w:rtl w:val="true"/>
          <w:lang w:bidi="fa-IR"/>
        </w:rPr>
        <w:t>.</w:t>
      </w:r>
    </w:p>
    <w:p>
      <w:pPr>
        <w:pStyle w:val="Heading3"/>
        <w:numPr>
          <w:ilvl w:val="2"/>
          <w:numId w:val="1"/>
        </w:numPr>
        <w:rPr/>
      </w:pPr>
      <w:bookmarkStart w:id="5327" w:name="__RefHeading___Toc2569812_3650668749"/>
      <w:bookmarkStart w:id="5328" w:name="_Toc2415"/>
      <w:bookmarkEnd w:id="5327"/>
      <w:r>
        <w:rPr>
          <w:rtl w:val="true"/>
        </w:rPr>
        <w:t>[ (</w:t>
      </w:r>
      <w:r>
        <w:rPr>
          <w:rtl w:val="true"/>
        </w:rPr>
        <w:t xml:space="preserve">مسألة </w:t>
      </w:r>
      <w:r>
        <w:rPr/>
        <w:t>11</w:t>
      </w:r>
      <w:r>
        <w:rPr>
          <w:rtl w:val="true"/>
        </w:rPr>
        <w:t xml:space="preserve">): </w:t>
      </w:r>
      <w:r>
        <w:rPr>
          <w:rtl w:val="true"/>
        </w:rPr>
        <w:t>یصحّ التوکیل فی القبض و الإقباض فی موارد لزومهما</w:t>
      </w:r>
      <w:r>
        <w:rPr>
          <w:rtl w:val="true"/>
        </w:rPr>
        <w:t>]</w:t>
      </w:r>
      <w:bookmarkEnd w:id="5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التوکیل فی القبض و الإقباض فی موارد لزومهما، کما فی الرهن و القرض و الصرف بالنسبة إلی العوضین و السلم بالنسبة إلی الثمن و فی إیفاء الدیون و استیفائها و غیرها</w:t>
      </w:r>
      <w:r>
        <w:rPr>
          <w:rFonts w:eastAsia="IRNazanin" w:cs="IRNazanin"/>
          <w:color w:val="111111"/>
          <w:sz w:val="28"/>
          <w:szCs w:val="28"/>
          <w:rtl w:val="true"/>
          <w:lang w:bidi="fa-IR"/>
        </w:rPr>
        <w:t>.</w:t>
      </w:r>
    </w:p>
    <w:p>
      <w:pPr>
        <w:pStyle w:val="Heading3"/>
        <w:numPr>
          <w:ilvl w:val="2"/>
          <w:numId w:val="1"/>
        </w:numPr>
        <w:rPr/>
      </w:pPr>
      <w:bookmarkStart w:id="5329" w:name="__RefHeading___Toc2569814_3650668749"/>
      <w:bookmarkStart w:id="5330" w:name="_Toc2416"/>
      <w:bookmarkEnd w:id="5329"/>
      <w:r>
        <w:rPr>
          <w:rtl w:val="true"/>
        </w:rPr>
        <w:t>[ (</w:t>
      </w:r>
      <w:r>
        <w:rPr>
          <w:rtl w:val="true"/>
        </w:rPr>
        <w:t xml:space="preserve">مسألة </w:t>
      </w:r>
      <w:r>
        <w:rPr/>
        <w:t>12</w:t>
      </w:r>
      <w:r>
        <w:rPr>
          <w:rtl w:val="true"/>
        </w:rPr>
        <w:t xml:space="preserve">): </w:t>
      </w:r>
      <w:r>
        <w:rPr>
          <w:rtl w:val="true"/>
        </w:rPr>
        <w:t>یجوز التوکیل فی الطلاق غائباً کان الزوج أم حاضراً</w:t>
      </w:r>
      <w:r>
        <w:rPr>
          <w:rtl w:val="true"/>
        </w:rPr>
        <w:t>]</w:t>
      </w:r>
      <w:bookmarkEnd w:id="5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التوکیل فی الطلاق غائباً کان الزوج أم حاضراً بل یجوز توکیل الزوجة فی أن تطلّق نفسها بنفسها، أو بأن توکّل الغیر عن الزوج أو عن نفسها</w:t>
      </w:r>
      <w:r>
        <w:rPr>
          <w:rFonts w:eastAsia="IRNazanin" w:cs="IRNazanin"/>
          <w:color w:val="111111"/>
          <w:sz w:val="28"/>
          <w:szCs w:val="28"/>
          <w:rtl w:val="true"/>
          <w:lang w:bidi="fa-IR"/>
        </w:rPr>
        <w:t>.</w:t>
      </w:r>
    </w:p>
    <w:p>
      <w:pPr>
        <w:pStyle w:val="Heading3"/>
        <w:numPr>
          <w:ilvl w:val="2"/>
          <w:numId w:val="1"/>
        </w:numPr>
        <w:rPr/>
      </w:pPr>
      <w:bookmarkStart w:id="5331" w:name="__RefHeading___Toc2569816_3650668749"/>
      <w:bookmarkStart w:id="5332" w:name="_Toc2417"/>
      <w:bookmarkEnd w:id="5331"/>
      <w:r>
        <w:rPr>
          <w:rtl w:val="true"/>
        </w:rPr>
        <w:t>[ (</w:t>
      </w:r>
      <w:r>
        <w:rPr>
          <w:rtl w:val="true"/>
        </w:rPr>
        <w:t xml:space="preserve">مسألة </w:t>
      </w:r>
      <w:r>
        <w:rPr/>
        <w:t>13</w:t>
      </w:r>
      <w:r>
        <w:rPr>
          <w:rtl w:val="true"/>
        </w:rPr>
        <w:t xml:space="preserve">): </w:t>
      </w:r>
      <w:r>
        <w:rPr>
          <w:rtl w:val="true"/>
        </w:rPr>
        <w:t>یجوز الوکالة و النیابة فی حیازة المباح</w:t>
      </w:r>
      <w:r>
        <w:rPr>
          <w:rtl w:val="true"/>
        </w:rPr>
        <w:t>]</w:t>
      </w:r>
      <w:bookmarkEnd w:id="5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الوکالة و النیابة فی حیازة المباح، کالاستقاء و الاحتطاب و الاحتشاش و غیرها، فإذا وکّل و استناب شخصاً فی حیازتها و قد حازها بعنوان النیابة عنه کانت بمنزلة حیازة المنوب عنه و صار ما حازه ملکاً له</w:t>
      </w:r>
      <w:r>
        <w:rPr>
          <w:rFonts w:eastAsia="IRNazanin" w:cs="IRNazanin"/>
          <w:color w:val="111111"/>
          <w:sz w:val="28"/>
          <w:szCs w:val="28"/>
          <w:rtl w:val="true"/>
          <w:lang w:bidi="fa-IR"/>
        </w:rPr>
        <w:t>.</w:t>
      </w:r>
    </w:p>
    <w:p>
      <w:pPr>
        <w:pStyle w:val="Heading3"/>
        <w:numPr>
          <w:ilvl w:val="2"/>
          <w:numId w:val="1"/>
        </w:numPr>
        <w:rPr/>
      </w:pPr>
      <w:bookmarkStart w:id="5333" w:name="__RefHeading___Toc2569818_3650668749"/>
      <w:bookmarkStart w:id="5334" w:name="_Toc2418"/>
      <w:bookmarkEnd w:id="5333"/>
      <w:r>
        <w:rPr>
          <w:rtl w:val="true"/>
        </w:rPr>
        <w:t>[ (</w:t>
      </w:r>
      <w:r>
        <w:rPr>
          <w:rtl w:val="true"/>
        </w:rPr>
        <w:t xml:space="preserve">مسألة </w:t>
      </w:r>
      <w:r>
        <w:rPr/>
        <w:t>14</w:t>
      </w:r>
      <w:r>
        <w:rPr>
          <w:rtl w:val="true"/>
        </w:rPr>
        <w:t xml:space="preserve">): </w:t>
      </w:r>
      <w:r>
        <w:rPr>
          <w:rtl w:val="true"/>
        </w:rPr>
        <w:t>یشترط فی الموکّل فیه التعیین</w:t>
      </w:r>
      <w:r>
        <w:rPr>
          <w:rtl w:val="true"/>
        </w:rPr>
        <w:t>]</w:t>
      </w:r>
      <w:bookmarkEnd w:id="5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الموکّل فیه التعیین؛ بأن لا یکون مجهولًا أو مبهماً،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 من غیر تعیین، أو علیٰ أمر من الأُمور، أو علیٰ شی‌ء ممّا یتعلّق بی و نحو ذلک،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بالتعمیم أو الإطلاق کما نفصّله</w:t>
      </w:r>
      <w:r>
        <w:rPr>
          <w:rFonts w:eastAsia="IRNazanin" w:cs="IRNazanin"/>
          <w:color w:val="111111"/>
          <w:sz w:val="28"/>
          <w:szCs w:val="28"/>
          <w:rtl w:val="true"/>
          <w:lang w:bidi="fa-IR"/>
        </w:rPr>
        <w:t>.</w:t>
      </w:r>
    </w:p>
    <w:p>
      <w:pPr>
        <w:pStyle w:val="Heading3"/>
        <w:numPr>
          <w:ilvl w:val="2"/>
          <w:numId w:val="1"/>
        </w:numPr>
        <w:rPr/>
      </w:pPr>
      <w:bookmarkStart w:id="5335" w:name="__RefHeading___Toc2569820_3650668749"/>
      <w:bookmarkStart w:id="5336" w:name="_Toc2419"/>
      <w:bookmarkEnd w:id="5335"/>
      <w:r>
        <w:rPr>
          <w:rtl w:val="true"/>
        </w:rPr>
        <w:t>[ (</w:t>
      </w:r>
      <w:r>
        <w:rPr>
          <w:rtl w:val="true"/>
        </w:rPr>
        <w:t xml:space="preserve">مسألة </w:t>
      </w:r>
      <w:r>
        <w:rPr/>
        <w:t>15</w:t>
      </w:r>
      <w:r>
        <w:rPr>
          <w:rtl w:val="true"/>
        </w:rPr>
        <w:t xml:space="preserve">): </w:t>
      </w:r>
      <w:r>
        <w:rPr>
          <w:rtl w:val="true"/>
        </w:rPr>
        <w:t>الوکالة</w:t>
      </w:r>
      <w:r>
        <w:rPr>
          <w:rtl w:val="true"/>
        </w:rPr>
        <w:t xml:space="preserve">: </w:t>
      </w:r>
      <w:r>
        <w:rPr>
          <w:rtl w:val="true"/>
        </w:rPr>
        <w:t>إمّا خاصّة و إمّا عامّة و إمّا مطلقة</w:t>
      </w:r>
      <w:r>
        <w:rPr>
          <w:rtl w:val="true"/>
        </w:rPr>
        <w:t>]</w:t>
      </w:r>
      <w:bookmarkEnd w:id="5336"/>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خاصّة و إمّا عامّة و إمّا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تعلّقت بتصرّف معیّن فی شخص معیّن، کما إذا وکّله فی شراء عبد شخصیّ معیّن، و هذا ممّا لا إشکال فی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عامّة من جهة التصرّف و خاصّة من جهة متعلّقه، کما إذا وکّله فی جمیع التصرّفات الممکنة فی داره المعیّنة من بیعها و هبتها و إجارتها و غیرها، و إمّا بالعکس، کما إذا وکّله فی بیع جمیع ما یملکه، و إمّا عامّة من کلتا الجهتین، کما إذا وکّله فی جمیع التصرّفات الممکنة فی جمیع ما یملکه، أو فی إیقاع جمیع ما کان له فیما یتعلّق به؛ بحیث یشمل التزویج له و طلاق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تکون مطلقة من جهة التصرّف خاصّة من جهة متعلّقه، کما إذا وکّله فی أنّه إمّا یبیع داره المعیّنة بیعاً لازماً أو خیاریّاً </w:t>
      </w:r>
      <w:r>
        <w:rPr>
          <w:rStyle w:val="FootnoteAnchor"/>
          <w:rtl w:val="true"/>
        </w:rPr>
        <w:footnoteReference w:id="1454"/>
      </w:r>
      <w:r>
        <w:rPr>
          <w:rFonts w:ascii="IRNazanin" w:hAnsi="IRNazanin" w:eastAsia="IRNazanin"/>
          <w:color w:val="111111"/>
          <w:sz w:val="28"/>
          <w:sz w:val="28"/>
          <w:szCs w:val="28"/>
          <w:rtl w:val="true"/>
          <w:lang w:bidi="fa-IR"/>
        </w:rPr>
        <w:t>أو یرهنها أو یؤجرها، و أوکل التعیین إلیٰ نظره، و قد تکون بالعکس، کما إذا احتاج إلیٰ بیع</w:t>
      </w:r>
      <w:bookmarkStart w:id="5337" w:name="pg1809_19534"/>
    </w:p>
    <w:p>
      <w:pPr>
        <w:pStyle w:val="BookText"/>
        <w:rPr/>
      </w:pPr>
      <w:bookmarkEnd w:id="5337"/>
      <w:r>
        <w:rPr>
          <w:rFonts w:ascii="IRNazanin" w:hAnsi="IRNazanin" w:eastAsia="IRNazanin"/>
          <w:color w:val="111111"/>
          <w:sz w:val="28"/>
          <w:sz w:val="28"/>
          <w:szCs w:val="28"/>
          <w:rtl w:val="true"/>
          <w:lang w:bidi="fa-IR"/>
        </w:rPr>
        <w:t>أحد أملاکه من داره أو عقاره أو دوابّه أو غیرها، فوکّل شخصاً فی أن یبیع أحدها و فوّض الأمر فی تعیینه بنظره و مصلحته، و قد تکون مطلقة من کلتا الجهتین، کما إذا وکّله فی إیقاع أحد العقود المعاوضیّة من البیع أو الصلح أو الإجارة مثلًا علیٰ أحد أملاکه؛ من داره أو دکّانه أو خانه مثلًا و أوکل التعیین من الجهتین إلیٰ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صحّة الجمیع و إن کان بعضها لا یخلو من مناقشة، لکنّها مندفعة</w:t>
      </w:r>
      <w:r>
        <w:rPr>
          <w:rFonts w:eastAsia="IRNazanin" w:cs="IRNazanin"/>
          <w:color w:val="111111"/>
          <w:sz w:val="28"/>
          <w:szCs w:val="28"/>
          <w:rtl w:val="true"/>
          <w:lang w:bidi="fa-IR"/>
        </w:rPr>
        <w:t>.</w:t>
      </w:r>
    </w:p>
    <w:p>
      <w:pPr>
        <w:pStyle w:val="Heading3"/>
        <w:numPr>
          <w:ilvl w:val="2"/>
          <w:numId w:val="1"/>
        </w:numPr>
        <w:rPr/>
      </w:pPr>
      <w:bookmarkStart w:id="5338" w:name="__RefHeading___Toc2569822_3650668749"/>
      <w:bookmarkStart w:id="5339" w:name="_Toc2420"/>
      <w:bookmarkEnd w:id="5338"/>
      <w:r>
        <w:rPr>
          <w:rtl w:val="true"/>
        </w:rPr>
        <w:t>[ (</w:t>
      </w:r>
      <w:r>
        <w:rPr>
          <w:rtl w:val="true"/>
        </w:rPr>
        <w:t xml:space="preserve">مسألة </w:t>
      </w:r>
      <w:r>
        <w:rPr/>
        <w:t>16</w:t>
      </w:r>
      <w:r>
        <w:rPr>
          <w:rtl w:val="true"/>
        </w:rPr>
        <w:t xml:space="preserve">): </w:t>
      </w:r>
      <w:r>
        <w:rPr>
          <w:rtl w:val="true"/>
        </w:rPr>
        <w:t>قد مرّ أنّه یعتبر فی الموکّل فیه التعیین و لو بالإطلاق أو التعمیم</w:t>
      </w:r>
      <w:r>
        <w:rPr>
          <w:rtl w:val="true"/>
        </w:rPr>
        <w:t>]</w:t>
      </w:r>
      <w:bookmarkEnd w:id="5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أنّه یعتبر فی الموکّل فیه التعیین و لو بالإطلاق أو التعمیم، فإنّهما أیضاً نحو من التعیین، و یقتصر الوکیل فی التصرّف علیٰ ما شمله عقد الوکالة صریحاً أو ظاهراً و لو بمعونة القرائن الحالیّة أو المقالیّة؛ و لو کانت هی العادة الجاریة علیٰ أنّ من یوکّل فی أمر کذا یرید ما یشمل کذا، کما إذا وکّله فی البیع بالنسبة إلیٰ تسلیم المبیع أو فی الشراء بالنسبة إلیٰ تسلیم الثمن دون قبض الثمن و المثمن، إلّا إذا شهدت قرائن الأحوال بأنّه قد وکّله فی البیع أو الشراء بجمیع ما یترتّب علیهما</w:t>
      </w:r>
      <w:r>
        <w:rPr>
          <w:rFonts w:eastAsia="IRNazanin" w:cs="IRNazanin"/>
          <w:color w:val="111111"/>
          <w:sz w:val="28"/>
          <w:szCs w:val="28"/>
          <w:rtl w:val="true"/>
          <w:lang w:bidi="fa-IR"/>
        </w:rPr>
        <w:t>.</w:t>
      </w:r>
    </w:p>
    <w:p>
      <w:pPr>
        <w:pStyle w:val="Heading3"/>
        <w:numPr>
          <w:ilvl w:val="2"/>
          <w:numId w:val="1"/>
        </w:numPr>
        <w:rPr/>
      </w:pPr>
      <w:bookmarkStart w:id="5340" w:name="__RefHeading___Toc2569824_3650668749"/>
      <w:bookmarkStart w:id="5341" w:name="_Toc2421"/>
      <w:bookmarkEnd w:id="5340"/>
      <w:r>
        <w:rPr>
          <w:rtl w:val="true"/>
        </w:rPr>
        <w:t>[ (</w:t>
      </w:r>
      <w:r>
        <w:rPr>
          <w:rtl w:val="true"/>
        </w:rPr>
        <w:t xml:space="preserve">مسألة </w:t>
      </w:r>
      <w:r>
        <w:rPr/>
        <w:t>17</w:t>
      </w:r>
      <w:r>
        <w:rPr>
          <w:rtl w:val="true"/>
        </w:rPr>
        <w:t xml:space="preserve">): </w:t>
      </w:r>
      <w:r>
        <w:rPr>
          <w:rtl w:val="true"/>
        </w:rPr>
        <w:t>لو خالف الوکیل عمّا عیّن له و أتی بالعمل علیٰ نحو لم یشمله عقد الوکالة</w:t>
      </w:r>
      <w:r>
        <w:rPr>
          <w:rtl w:val="true"/>
        </w:rPr>
        <w:t>]</w:t>
      </w:r>
      <w:bookmarkEnd w:id="5341"/>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خالف الوکیل عمّا عیّن له و أتی بالعمل علیٰ نحو لم یشمله عقد الوکالة، فإن کان ممّا یجری فیه الفضولیّة کالعقود، توقّفت صحّته علیٰ إجازة الموکّل و إلّا بطل، و لا فرق فی ذلک بین أن یکون التخالف بالمباینة، کما إذا وکّله فی بیع داره فآجرها، أو ببعض الخصوصیّات، کما إذا وکّله فی أن یبیع نقداً فباع نسیئة أو بالعکس، أو یبیع بخیار فباع بدونه أو بالعکس، أو یبیعه من فلان فباعه من غیره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علم شمول التوکیل لفاقد الخصوصیّة أیضاً صحّ </w:t>
      </w:r>
      <w:r>
        <w:rPr>
          <w:rStyle w:val="FootnoteAnchor"/>
          <w:rtl w:val="true"/>
        </w:rPr>
        <w:footnoteReference w:id="1455"/>
      </w:r>
      <w:r>
        <w:rPr>
          <w:rFonts w:ascii="IRNazanin" w:hAnsi="IRNazanin" w:eastAsia="IRNazanin"/>
          <w:color w:val="111111"/>
          <w:sz w:val="28"/>
          <w:sz w:val="28"/>
          <w:szCs w:val="28"/>
          <w:rtl w:val="true"/>
          <w:lang w:bidi="fa-IR"/>
        </w:rPr>
        <w:t>، کما إذا وکّله فی أن یبیع السلعة بدینار فباعها بدینارین؛ حیث إنّ الظاهر عرفاً بل المعلوم من حال الموکّل أنّ تحدید الثمن بدینار إنّما هو من طرف النقیصة فقط لا من طرف النقیصة و الزیادة معاً،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ثمنها لا ینقص عن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وجود غرض صحیح فی التحدید به زیادة و نقیصة کان بیعها بالزیادة کبیعها بالنقیصة فضولیّاً یحتاج إلی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ما إذا وکّله فی أن یبیعها فی سوق مخصوصة بثمن معیّن فباعها فی غیرها بذلک الثمن، فربّما یفهم عرفاً أنّه</w:t>
      </w:r>
      <w:bookmarkStart w:id="5342" w:name="pg1809_19535"/>
    </w:p>
    <w:p>
      <w:pPr>
        <w:pStyle w:val="BookText"/>
        <w:rPr/>
      </w:pPr>
      <w:bookmarkEnd w:id="5342"/>
      <w:r>
        <w:rPr>
          <w:rFonts w:ascii="IRNazanin" w:hAnsi="IRNazanin" w:eastAsia="IRNazanin"/>
          <w:color w:val="111111"/>
          <w:sz w:val="28"/>
          <w:sz w:val="28"/>
          <w:szCs w:val="28"/>
          <w:rtl w:val="true"/>
          <w:lang w:bidi="fa-IR"/>
        </w:rPr>
        <w:t>لیس الغرض إلّا تحصیل الثمن فیکون ذکر السوق المخصوص 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احتمال وجود غرض عقلائی فی تعیینها احتمالًا معتدّاً به لم یجز التعدّی عنه</w:t>
      </w:r>
      <w:r>
        <w:rPr>
          <w:rFonts w:eastAsia="IRNazanin" w:cs="IRNazanin"/>
          <w:color w:val="111111"/>
          <w:sz w:val="28"/>
          <w:szCs w:val="28"/>
          <w:rtl w:val="true"/>
          <w:lang w:bidi="fa-IR"/>
        </w:rPr>
        <w:t>.</w:t>
      </w:r>
    </w:p>
    <w:p>
      <w:pPr>
        <w:pStyle w:val="Heading3"/>
        <w:numPr>
          <w:ilvl w:val="2"/>
          <w:numId w:val="1"/>
        </w:numPr>
        <w:rPr/>
      </w:pPr>
      <w:bookmarkStart w:id="5343" w:name="__RefHeading___Toc2569826_3650668749"/>
      <w:bookmarkStart w:id="5344" w:name="_Toc2422"/>
      <w:bookmarkEnd w:id="5343"/>
      <w:r>
        <w:rPr>
          <w:rtl w:val="true"/>
        </w:rPr>
        <w:t>[ (</w:t>
      </w:r>
      <w:r>
        <w:rPr>
          <w:rtl w:val="true"/>
        </w:rPr>
        <w:t xml:space="preserve">مسألة </w:t>
      </w:r>
      <w:r>
        <w:rPr/>
        <w:t>18</w:t>
      </w:r>
      <w:r>
        <w:rPr>
          <w:rtl w:val="true"/>
        </w:rPr>
        <w:t xml:space="preserve">): </w:t>
      </w:r>
      <w:r>
        <w:rPr>
          <w:rtl w:val="true"/>
        </w:rPr>
        <w:t>یجوز للولیّ کالأب و الجدّ للصغیر أن یوکّل غیره فیما یتعلّق بالمولّی علیه</w:t>
      </w:r>
      <w:r>
        <w:rPr>
          <w:rtl w:val="true"/>
        </w:rPr>
        <w:t>]</w:t>
      </w:r>
      <w:bookmarkEnd w:id="5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للولیّ کالأب و الجدّ للصغیر أن یوکّل غیره فیما یتعلّق بالمولّی علیه ممّا له الولایة فیه</w:t>
      </w:r>
      <w:r>
        <w:rPr>
          <w:rFonts w:eastAsia="IRNazanin" w:cs="IRNazanin"/>
          <w:color w:val="111111"/>
          <w:sz w:val="28"/>
          <w:szCs w:val="28"/>
          <w:rtl w:val="true"/>
          <w:lang w:bidi="fa-IR"/>
        </w:rPr>
        <w:t>.</w:t>
      </w:r>
    </w:p>
    <w:p>
      <w:pPr>
        <w:pStyle w:val="Heading3"/>
        <w:numPr>
          <w:ilvl w:val="2"/>
          <w:numId w:val="1"/>
        </w:numPr>
        <w:rPr/>
      </w:pPr>
      <w:bookmarkStart w:id="5345" w:name="__RefHeading___Toc2569828_3650668749"/>
      <w:bookmarkStart w:id="5346" w:name="_Toc2423"/>
      <w:bookmarkEnd w:id="5345"/>
      <w:r>
        <w:rPr>
          <w:rtl w:val="true"/>
        </w:rPr>
        <w:t>[ (</w:t>
      </w:r>
      <w:r>
        <w:rPr>
          <w:rtl w:val="true"/>
        </w:rPr>
        <w:t xml:space="preserve">مسألة </w:t>
      </w:r>
      <w:r>
        <w:rPr/>
        <w:t>19</w:t>
      </w:r>
      <w:r>
        <w:rPr>
          <w:rtl w:val="true"/>
        </w:rPr>
        <w:t xml:space="preserve">): </w:t>
      </w:r>
      <w:r>
        <w:rPr>
          <w:rtl w:val="true"/>
        </w:rPr>
        <w:t>لا یجوز للوکیل أن یوکّل غیره فی إیقاع ما توکّل فیه لا عن نفسه</w:t>
      </w:r>
      <w:r>
        <w:rPr>
          <w:rtl w:val="true"/>
        </w:rPr>
        <w:t>]</w:t>
      </w:r>
      <w:bookmarkEnd w:id="5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للوکیل أن یوکّل غیره فی إیقاع ما توکّل فیه لا عن نفسه و لا عن الموکّل إلّا بإذن الموکّل، و یجوز بإذنه بکلا النحوین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عیّن الموکّل فی إذنه أحدهما بأن 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غیرک عنّی أو عنک، فهو المتّبع و لا یجوز له التعدّی عمّا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أطلق فإن وکّله فی أن یوکّل، کما إذا 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وکّلتک فی أن توکّل غیرک، فهو إذن </w:t>
      </w:r>
      <w:r>
        <w:rPr>
          <w:rStyle w:val="FootnoteAnchor"/>
          <w:rtl w:val="true"/>
        </w:rPr>
        <w:footnoteReference w:id="1456"/>
      </w:r>
      <w:r>
        <w:rPr>
          <w:rFonts w:ascii="IRNazanin" w:hAnsi="IRNazanin" w:eastAsia="IRNazanin"/>
          <w:color w:val="111111"/>
          <w:sz w:val="28"/>
          <w:sz w:val="28"/>
          <w:szCs w:val="28"/>
          <w:rtl w:val="true"/>
          <w:lang w:bidi="fa-IR"/>
        </w:rPr>
        <w:t>فی توکیل الغیر عن الموکّل و إن کان مجرّد الإذن فیه،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غیرک، فهو إذن فی توکیله عن نفسه علیٰ تأمّل</w:t>
      </w:r>
      <w:r>
        <w:rPr>
          <w:rFonts w:eastAsia="IRNazanin" w:cs="IRNazanin"/>
          <w:color w:val="111111"/>
          <w:sz w:val="28"/>
          <w:szCs w:val="28"/>
          <w:rtl w:val="true"/>
          <w:lang w:bidi="fa-IR"/>
        </w:rPr>
        <w:t>.</w:t>
      </w:r>
    </w:p>
    <w:p>
      <w:pPr>
        <w:pStyle w:val="Heading3"/>
        <w:numPr>
          <w:ilvl w:val="2"/>
          <w:numId w:val="1"/>
        </w:numPr>
        <w:rPr/>
      </w:pPr>
      <w:bookmarkStart w:id="5347" w:name="__RefHeading___Toc2569830_3650668749"/>
      <w:bookmarkStart w:id="5348" w:name="_Toc2424"/>
      <w:bookmarkEnd w:id="5347"/>
      <w:r>
        <w:rPr>
          <w:rtl w:val="true"/>
        </w:rPr>
        <w:t>[ (</w:t>
      </w:r>
      <w:r>
        <w:rPr>
          <w:rtl w:val="true"/>
        </w:rPr>
        <w:t xml:space="preserve">مسألة </w:t>
      </w:r>
      <w:r>
        <w:rPr/>
        <w:t>20</w:t>
      </w:r>
      <w:r>
        <w:rPr>
          <w:rtl w:val="true"/>
        </w:rPr>
        <w:t xml:space="preserve">): </w:t>
      </w:r>
      <w:r>
        <w:rPr>
          <w:rtl w:val="true"/>
        </w:rPr>
        <w:t>لو کان الوکیل الثانی وکیلًا عن الموکّل</w:t>
      </w:r>
      <w:r>
        <w:rPr>
          <w:rtl w:val="true"/>
        </w:rPr>
        <w:t>]</w:t>
      </w:r>
      <w:bookmarkEnd w:id="5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الوکیل الثانی وکیلًا عن الموکّل، کان فی عرض الوکیل الأوّل، فلیس له أن یعزله و لا ینعزل بانعزاله، بل لو مات الأوّل یبقی الثانی علیٰ وکالته، و أمّا لو کان وکیلًا عن الوکیل کان له أن یعزله و کانت وکالته تبعاً لوکالته، فینعزل بانعزاله، أو موته، و هل للموکّل أن یعزله حینئذٍ من دون أن یعزل الوکیل الأوّل؟ لا یبعد أن یکون له ذلک</w:t>
      </w:r>
      <w:r>
        <w:rPr>
          <w:rFonts w:eastAsia="IRNazanin" w:cs="IRNazanin"/>
          <w:color w:val="111111"/>
          <w:sz w:val="28"/>
          <w:szCs w:val="28"/>
          <w:rtl w:val="true"/>
          <w:lang w:bidi="fa-IR"/>
        </w:rPr>
        <w:t>.</w:t>
      </w:r>
    </w:p>
    <w:p>
      <w:pPr>
        <w:pStyle w:val="Heading3"/>
        <w:numPr>
          <w:ilvl w:val="2"/>
          <w:numId w:val="1"/>
        </w:numPr>
        <w:rPr/>
      </w:pPr>
      <w:bookmarkStart w:id="5349" w:name="__RefHeading___Toc2569832_3650668749"/>
      <w:bookmarkStart w:id="5350" w:name="_Toc2425"/>
      <w:bookmarkEnd w:id="5349"/>
      <w:r>
        <w:rPr>
          <w:rtl w:val="true"/>
        </w:rPr>
        <w:t>[ (</w:t>
      </w:r>
      <w:r>
        <w:rPr>
          <w:rtl w:val="true"/>
        </w:rPr>
        <w:t xml:space="preserve">مسألة </w:t>
      </w:r>
      <w:r>
        <w:rPr/>
        <w:t>21</w:t>
      </w:r>
      <w:r>
        <w:rPr>
          <w:rtl w:val="true"/>
        </w:rPr>
        <w:t xml:space="preserve">): </w:t>
      </w:r>
      <w:r>
        <w:rPr>
          <w:rtl w:val="true"/>
        </w:rPr>
        <w:t>یجوز أن یتوکّل اثنان فصاعداً عن واحد فی أمر واحد</w:t>
      </w:r>
      <w:r>
        <w:rPr>
          <w:rtl w:val="true"/>
        </w:rPr>
        <w:t>]</w:t>
      </w:r>
      <w:bookmarkEnd w:id="5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یتوکّل اثنان فصاعداً عن واحد فی أمر واحد، فإن صرّح </w:t>
      </w:r>
      <w:r>
        <w:rPr>
          <w:rStyle w:val="FootnoteAnchor"/>
          <w:rtl w:val="true"/>
        </w:rPr>
        <w:footnoteReference w:id="1457"/>
      </w:r>
      <w:r>
        <w:rPr>
          <w:rFonts w:ascii="IRNazanin" w:hAnsi="IRNazanin" w:eastAsia="IRNazanin"/>
          <w:color w:val="111111"/>
          <w:sz w:val="28"/>
          <w:sz w:val="28"/>
          <w:szCs w:val="28"/>
          <w:rtl w:val="true"/>
          <w:lang w:bidi="fa-IR"/>
        </w:rPr>
        <w:t>الموکّل بانفرادهما جاز لکلّ منهما الاستقلال فی التصرّف من دون مراجعة الآخر، و إلّا لم یجز الانفراد لأحدهما و لو مع غیبة صاحبه أو عجزه؛ سواء صرّح بالانضمام و الاجتماع أو أطلق؛ بأن 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وکّلتکما، أو أنتما وکیلای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مات أحدهما بطلت الوکالة رأساً مع شرط الاجتماع أو الإطلاق المنزّل منزلته، و بقی وکالة الباقی فیما لو صرّح بالانفراد</w:t>
      </w:r>
      <w:r>
        <w:rPr>
          <w:rFonts w:eastAsia="IRNazanin" w:cs="IRNazanin"/>
          <w:color w:val="111111"/>
          <w:sz w:val="28"/>
          <w:szCs w:val="28"/>
          <w:rtl w:val="true"/>
          <w:lang w:bidi="fa-IR"/>
        </w:rPr>
        <w:t>.</w:t>
      </w:r>
    </w:p>
    <w:p>
      <w:pPr>
        <w:pStyle w:val="Heading3"/>
        <w:numPr>
          <w:ilvl w:val="2"/>
          <w:numId w:val="1"/>
        </w:numPr>
        <w:rPr/>
      </w:pPr>
      <w:bookmarkStart w:id="5351" w:name="__RefHeading___Toc2569834_3650668749"/>
      <w:bookmarkStart w:id="5352" w:name="_Toc2426"/>
      <w:bookmarkEnd w:id="5351"/>
      <w:r>
        <w:rPr>
          <w:rtl w:val="true"/>
        </w:rPr>
        <w:t>[ (</w:t>
      </w:r>
      <w:r>
        <w:rPr>
          <w:rtl w:val="true"/>
        </w:rPr>
        <w:t xml:space="preserve">مسألة </w:t>
      </w:r>
      <w:r>
        <w:rPr/>
        <w:t>22</w:t>
      </w:r>
      <w:r>
        <w:rPr>
          <w:rtl w:val="true"/>
        </w:rPr>
        <w:t xml:space="preserve">): </w:t>
      </w:r>
      <w:r>
        <w:rPr>
          <w:rtl w:val="true"/>
        </w:rPr>
        <w:t>الوکالة عقد جائز من الطرفین</w:t>
      </w:r>
      <w:r>
        <w:rPr>
          <w:rtl w:val="true"/>
        </w:rPr>
        <w:t>]</w:t>
      </w:r>
      <w:bookmarkEnd w:id="5352"/>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الوکالة عقد جائز من الطرفین، فللوکیل أن یعزل نفسه مع حضور الموکّل و غیبته، و کذا للموکّل أن یعزله، لکن انعزاله بعزله مشروط ببلوغه إیّاه، فلو أنشأ عزله</w:t>
      </w:r>
      <w:bookmarkStart w:id="5353" w:name="pg1809_19536"/>
    </w:p>
    <w:p>
      <w:pPr>
        <w:pStyle w:val="BookText"/>
        <w:rPr/>
      </w:pPr>
      <w:bookmarkEnd w:id="5353"/>
      <w:r>
        <w:rPr>
          <w:rFonts w:ascii="IRNazanin" w:hAnsi="IRNazanin" w:eastAsia="IRNazanin"/>
          <w:color w:val="111111"/>
          <w:sz w:val="28"/>
          <w:sz w:val="28"/>
          <w:szCs w:val="28"/>
          <w:rtl w:val="true"/>
          <w:lang w:bidi="fa-IR"/>
        </w:rPr>
        <w:t>و لکن لم یطّلع علیه الوکیل لم ینعزل، فلو أمضیٰ أمراً قبل أن یبلغه العزل و لو بإخبار ثقة کان ماضیاً نافذاً</w:t>
      </w:r>
      <w:r>
        <w:rPr>
          <w:rFonts w:eastAsia="IRNazanin" w:cs="IRNazanin"/>
          <w:color w:val="111111"/>
          <w:sz w:val="28"/>
          <w:szCs w:val="28"/>
          <w:rtl w:val="true"/>
          <w:lang w:bidi="fa-IR"/>
        </w:rPr>
        <w:t>.</w:t>
      </w:r>
    </w:p>
    <w:p>
      <w:pPr>
        <w:pStyle w:val="Heading3"/>
        <w:numPr>
          <w:ilvl w:val="2"/>
          <w:numId w:val="1"/>
        </w:numPr>
        <w:rPr/>
      </w:pPr>
      <w:bookmarkStart w:id="5354" w:name="__RefHeading___Toc2569836_3650668749"/>
      <w:bookmarkStart w:id="5355" w:name="_Toc2427"/>
      <w:bookmarkEnd w:id="5354"/>
      <w:r>
        <w:rPr>
          <w:rtl w:val="true"/>
        </w:rPr>
        <w:t>[ (</w:t>
      </w:r>
      <w:r>
        <w:rPr>
          <w:rtl w:val="true"/>
        </w:rPr>
        <w:t xml:space="preserve">مسألة </w:t>
      </w:r>
      <w:r>
        <w:rPr/>
        <w:t>23</w:t>
      </w:r>
      <w:r>
        <w:rPr>
          <w:rtl w:val="true"/>
        </w:rPr>
        <w:t xml:space="preserve">): </w:t>
      </w:r>
      <w:r>
        <w:rPr>
          <w:rtl w:val="true"/>
        </w:rPr>
        <w:t>تبطل الوکالة بموت الوکیل، و کذا بموت الموکّل</w:t>
      </w:r>
      <w:r>
        <w:rPr>
          <w:rtl w:val="true"/>
        </w:rPr>
        <w:t>]</w:t>
      </w:r>
      <w:bookmarkEnd w:id="5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الوکالة بموت الوکیل، و کذا بموت الموکّل و إن لم یعلم الوکیل بموته، و بعروض الجنون </w:t>
      </w:r>
      <w:r>
        <w:rPr>
          <w:rStyle w:val="FootnoteAnchor"/>
          <w:rtl w:val="true"/>
        </w:rPr>
        <w:footnoteReference w:id="1458"/>
      </w:r>
      <w:r>
        <w:rPr>
          <w:rFonts w:ascii="IRNazanin" w:hAnsi="IRNazanin" w:eastAsia="IRNazanin"/>
          <w:color w:val="111111"/>
          <w:sz w:val="28"/>
          <w:sz w:val="28"/>
          <w:szCs w:val="28"/>
          <w:rtl w:val="true"/>
          <w:lang w:bidi="fa-IR"/>
        </w:rPr>
        <w:t>و الإغماء علیٰ کلّ منهما، و بتلف ما تعلّقت به الوکالة، و بفعل الموکّل ما تعلّقت به الوکالة، کما لو وکّله فی بیع سلعة ثمّ باعها، أو فعل ما ینافیه کما لو وکّله فی بیع عبد ثمّ أعتقه</w:t>
      </w:r>
      <w:r>
        <w:rPr>
          <w:rFonts w:eastAsia="IRNazanin" w:cs="IRNazanin"/>
          <w:color w:val="111111"/>
          <w:sz w:val="28"/>
          <w:szCs w:val="28"/>
          <w:rtl w:val="true"/>
          <w:lang w:bidi="fa-IR"/>
        </w:rPr>
        <w:t>.</w:t>
      </w:r>
    </w:p>
    <w:p>
      <w:pPr>
        <w:pStyle w:val="Heading3"/>
        <w:numPr>
          <w:ilvl w:val="2"/>
          <w:numId w:val="1"/>
        </w:numPr>
        <w:rPr/>
      </w:pPr>
      <w:bookmarkStart w:id="5356" w:name="__RefHeading___Toc2569838_3650668749"/>
      <w:bookmarkStart w:id="5357" w:name="_Toc2428"/>
      <w:bookmarkEnd w:id="5356"/>
      <w:r>
        <w:rPr>
          <w:rtl w:val="true"/>
        </w:rPr>
        <w:t>[ (</w:t>
      </w:r>
      <w:r>
        <w:rPr>
          <w:rtl w:val="true"/>
        </w:rPr>
        <w:t xml:space="preserve">مسألة </w:t>
      </w:r>
      <w:r>
        <w:rPr/>
        <w:t>24</w:t>
      </w:r>
      <w:r>
        <w:rPr>
          <w:rtl w:val="true"/>
        </w:rPr>
        <w:t xml:space="preserve">): </w:t>
      </w:r>
      <w:r>
        <w:rPr>
          <w:rtl w:val="true"/>
        </w:rPr>
        <w:t>یجوز التوکیل فی الخصومة و المرافعة</w:t>
      </w:r>
      <w:r>
        <w:rPr>
          <w:rtl w:val="true"/>
        </w:rPr>
        <w:t>]</w:t>
      </w:r>
      <w:bookmarkEnd w:id="5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التوکیل فی الخصومة و المرافعة، فیجوز لکلّ من المدّعی و المدّعیٰ علیه أن یوکّل شخصاً عن نفسه، بل یکره لذوی المروءات من أهل الشرف و المناصب الجلیلة أن یتولّوا المنازعة و المرافعة بأنفسهم، خصوصاً إذا کان الطرف بذی‌ء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رضا صاحبه فلیس له الامتناع عن خصومة الوکیل</w:t>
      </w:r>
      <w:r>
        <w:rPr>
          <w:rFonts w:eastAsia="IRNazanin" w:cs="IRNazanin"/>
          <w:color w:val="111111"/>
          <w:sz w:val="28"/>
          <w:szCs w:val="28"/>
          <w:rtl w:val="true"/>
          <w:lang w:bidi="fa-IR"/>
        </w:rPr>
        <w:t>.</w:t>
      </w:r>
    </w:p>
    <w:p>
      <w:pPr>
        <w:pStyle w:val="Heading3"/>
        <w:numPr>
          <w:ilvl w:val="2"/>
          <w:numId w:val="1"/>
        </w:numPr>
        <w:rPr/>
      </w:pPr>
      <w:bookmarkStart w:id="5358" w:name="__RefHeading___Toc2569840_3650668749"/>
      <w:bookmarkStart w:id="5359" w:name="_Toc2429"/>
      <w:bookmarkEnd w:id="5358"/>
      <w:r>
        <w:rPr>
          <w:rtl w:val="true"/>
        </w:rPr>
        <w:t>[ (</w:t>
      </w:r>
      <w:r>
        <w:rPr>
          <w:rtl w:val="true"/>
        </w:rPr>
        <w:t xml:space="preserve">مسألة </w:t>
      </w:r>
      <w:r>
        <w:rPr/>
        <w:t>25</w:t>
      </w:r>
      <w:r>
        <w:rPr>
          <w:rtl w:val="true"/>
        </w:rPr>
        <w:t xml:space="preserve">): </w:t>
      </w:r>
      <w:r>
        <w:rPr>
          <w:rtl w:val="true"/>
        </w:rPr>
        <w:t>الوکیل بالخصومة إن کان وکیلًا عن المدّعی کان وظیفته بثّ الدعویٰ علی المدّعیٰ علیه عند الحاکم</w:t>
      </w:r>
      <w:r>
        <w:rPr>
          <w:rtl w:val="true"/>
        </w:rPr>
        <w:t>]</w:t>
      </w:r>
      <w:bookmarkEnd w:id="5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الوکیل بالخصومة إن کان وکیلًا عن المدّعی کان وظیفته بثّ الدعویٰ علی المدّعیٰ علیه عند الحاکم و إقامة البیّنة و تعدیلها و تحلیف المنکر و طلب الحکم علی الخصم و القضاء علیه،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یقع وسیلة إلی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الوکیل عن المدّعیٰ علیه فوظیفته الإنکار و الطعن علی الشهود و إقامة بیّنة الجرح و مطالبة الحاکم بسماعها و الحکم بها،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السعی فی الدفع ما أمکن</w:t>
      </w:r>
      <w:r>
        <w:rPr>
          <w:rFonts w:eastAsia="IRNazanin" w:cs="IRNazanin"/>
          <w:color w:val="111111"/>
          <w:sz w:val="28"/>
          <w:szCs w:val="28"/>
          <w:rtl w:val="true"/>
          <w:lang w:bidi="fa-IR"/>
        </w:rPr>
        <w:t>.</w:t>
      </w:r>
    </w:p>
    <w:p>
      <w:pPr>
        <w:pStyle w:val="Heading3"/>
        <w:numPr>
          <w:ilvl w:val="2"/>
          <w:numId w:val="1"/>
        </w:numPr>
        <w:rPr/>
      </w:pPr>
      <w:bookmarkStart w:id="5360" w:name="__RefHeading___Toc2569842_3650668749"/>
      <w:bookmarkStart w:id="5361" w:name="_Toc2430"/>
      <w:bookmarkEnd w:id="5360"/>
      <w:r>
        <w:rPr>
          <w:rtl w:val="true"/>
        </w:rPr>
        <w:t>[ (</w:t>
      </w:r>
      <w:r>
        <w:rPr>
          <w:rtl w:val="true"/>
        </w:rPr>
        <w:t xml:space="preserve">مسألة </w:t>
      </w:r>
      <w:r>
        <w:rPr/>
        <w:t>26</w:t>
      </w:r>
      <w:r>
        <w:rPr>
          <w:rtl w:val="true"/>
        </w:rPr>
        <w:t xml:space="preserve">): </w:t>
      </w:r>
      <w:r>
        <w:rPr>
          <w:rtl w:val="true"/>
        </w:rPr>
        <w:t>لو ادّعیٰ منکر الدین مثلًا فی أثناء مرافعة وکیله و مدافعته عنه الأداء أو الإبراء</w:t>
      </w:r>
      <w:r>
        <w:rPr>
          <w:rtl w:val="true"/>
        </w:rPr>
        <w:t>]</w:t>
      </w:r>
      <w:bookmarkEnd w:id="5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منکر الدین مثلًا فی أثناء مرافعة وکیله و مدافعته عنه الأداء أو الإبراء، انقلب مدّعیاً، و صارت وظیفة وکیله إقامة البیّنة علیٰ هذه الدعویٰ و طلب الحکم بها من الحاکم، و صارت وظیفة وکیل خصمه الإنکار و الطعن فی الشهود و غیر ذلک</w:t>
      </w:r>
      <w:r>
        <w:rPr>
          <w:rFonts w:eastAsia="IRNazanin" w:cs="IRNazanin"/>
          <w:color w:val="111111"/>
          <w:sz w:val="28"/>
          <w:szCs w:val="28"/>
          <w:rtl w:val="true"/>
          <w:lang w:bidi="fa-IR"/>
        </w:rPr>
        <w:t>.</w:t>
      </w:r>
    </w:p>
    <w:p>
      <w:pPr>
        <w:pStyle w:val="Heading3"/>
        <w:numPr>
          <w:ilvl w:val="2"/>
          <w:numId w:val="1"/>
        </w:numPr>
        <w:rPr/>
      </w:pPr>
      <w:bookmarkStart w:id="5362" w:name="__RefHeading___Toc2569844_3650668749"/>
      <w:bookmarkStart w:id="5363" w:name="_Toc2431"/>
      <w:bookmarkEnd w:id="5362"/>
      <w:r>
        <w:rPr>
          <w:rtl w:val="true"/>
        </w:rPr>
        <w:t>[ (</w:t>
      </w:r>
      <w:r>
        <w:rPr>
          <w:rtl w:val="true"/>
        </w:rPr>
        <w:t xml:space="preserve">مسألة </w:t>
      </w:r>
      <w:r>
        <w:rPr/>
        <w:t>27</w:t>
      </w:r>
      <w:r>
        <w:rPr>
          <w:rtl w:val="true"/>
        </w:rPr>
        <w:t xml:space="preserve">): </w:t>
      </w:r>
      <w:r>
        <w:rPr>
          <w:rtl w:val="true"/>
        </w:rPr>
        <w:t>لا یقبل إقرار الوکیل فی الخصومة علیٰ موکّله</w:t>
      </w:r>
      <w:r>
        <w:rPr>
          <w:rtl w:val="true"/>
        </w:rPr>
        <w:t>]</w:t>
      </w:r>
      <w:bookmarkEnd w:id="5363"/>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إقرار الوکیل فی الخصومة علیٰ موکّله، فلو أقرّ وکیل المدّعی القبض أو الإبراء أو قبول الحوالة أو المصالحة أو بأنّ الحقّ مؤجّل أو أنّ البیّنة فسقة أو أقرّ وکیل المدّعیٰ علیه بالحقّ للمدّعی، لم یقبل و بقیت الخصومة علیٰ حالها؛ سواء أقرّ فی مجلس الحکم أو فی غیره، لکن ینعزل و تبطل وکالته و لیس له المرافعة؛ لأنّه بعد الإقرار ظالم فی الخصومة بزعمه</w:t>
      </w:r>
      <w:r>
        <w:rPr>
          <w:rFonts w:eastAsia="IRNazanin" w:cs="IRNazanin"/>
          <w:color w:val="111111"/>
          <w:sz w:val="28"/>
          <w:szCs w:val="28"/>
          <w:rtl w:val="true"/>
          <w:lang w:bidi="fa-IR"/>
        </w:rPr>
        <w:t>.</w:t>
      </w:r>
      <w:bookmarkStart w:id="5364" w:name="pg1809_19537"/>
    </w:p>
    <w:p>
      <w:pPr>
        <w:pStyle w:val="Heading3"/>
        <w:numPr>
          <w:ilvl w:val="2"/>
          <w:numId w:val="1"/>
        </w:numPr>
        <w:rPr/>
      </w:pPr>
      <w:bookmarkStart w:id="5365" w:name="__RefHeading___Toc2569846_3650668749"/>
      <w:bookmarkStart w:id="5366" w:name="_Toc2432"/>
      <w:bookmarkEnd w:id="5364"/>
      <w:bookmarkEnd w:id="5365"/>
      <w:r>
        <w:rPr>
          <w:rtl w:val="true"/>
        </w:rPr>
        <w:t>[ (</w:t>
      </w:r>
      <w:r>
        <w:rPr>
          <w:rtl w:val="true"/>
        </w:rPr>
        <w:t xml:space="preserve">مسألة </w:t>
      </w:r>
      <w:r>
        <w:rPr/>
        <w:t>28</w:t>
      </w:r>
      <w:r>
        <w:rPr>
          <w:rtl w:val="true"/>
        </w:rPr>
        <w:t xml:space="preserve">): </w:t>
      </w:r>
      <w:r>
        <w:rPr>
          <w:rtl w:val="true"/>
        </w:rPr>
        <w:t>الوکیل بالخصومة لا یملک الصلح عن الحقّ و لا الإبراء منه</w:t>
      </w:r>
      <w:r>
        <w:rPr>
          <w:rtl w:val="true"/>
        </w:rPr>
        <w:t>]</w:t>
      </w:r>
      <w:bookmarkEnd w:id="5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الوکیل بالخصومة لا یملک الصلح عن الحقّ و لا الإبراء منه، إلّا أن یکون وکیلًا فی ذلک أیضاً بالخصوص</w:t>
      </w:r>
      <w:r>
        <w:rPr>
          <w:rFonts w:eastAsia="IRNazanin" w:cs="IRNazanin"/>
          <w:color w:val="111111"/>
          <w:sz w:val="28"/>
          <w:szCs w:val="28"/>
          <w:rtl w:val="true"/>
          <w:lang w:bidi="fa-IR"/>
        </w:rPr>
        <w:t>.</w:t>
      </w:r>
    </w:p>
    <w:p>
      <w:pPr>
        <w:pStyle w:val="Heading3"/>
        <w:numPr>
          <w:ilvl w:val="2"/>
          <w:numId w:val="1"/>
        </w:numPr>
        <w:rPr/>
      </w:pPr>
      <w:bookmarkStart w:id="5367" w:name="__RefHeading___Toc2569848_3650668749"/>
      <w:bookmarkStart w:id="5368" w:name="_Toc2433"/>
      <w:bookmarkEnd w:id="5367"/>
      <w:r>
        <w:rPr>
          <w:rtl w:val="true"/>
        </w:rPr>
        <w:t>[ (</w:t>
      </w:r>
      <w:r>
        <w:rPr>
          <w:rtl w:val="true"/>
        </w:rPr>
        <w:t xml:space="preserve">مسألة </w:t>
      </w:r>
      <w:r>
        <w:rPr/>
        <w:t>29</w:t>
      </w:r>
      <w:r>
        <w:rPr>
          <w:rtl w:val="true"/>
        </w:rPr>
        <w:t xml:space="preserve">): </w:t>
      </w:r>
      <w:r>
        <w:rPr>
          <w:rtl w:val="true"/>
        </w:rPr>
        <w:t>یجوز أن یوکّل اثنین فصاعداً بالخصومة کسائر الأُمور</w:t>
      </w:r>
      <w:r>
        <w:rPr>
          <w:rtl w:val="true"/>
        </w:rPr>
        <w:t>]</w:t>
      </w:r>
      <w:bookmarkEnd w:id="5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یوکّل اثنین فصاعداً بالخصومة کسائر الأُمور، فإن لم یصرّح </w:t>
      </w:r>
      <w:r>
        <w:rPr>
          <w:rStyle w:val="FootnoteAnchor"/>
          <w:rtl w:val="true"/>
        </w:rPr>
        <w:footnoteReference w:id="1459"/>
      </w:r>
      <w:r>
        <w:rPr>
          <w:rFonts w:ascii="IRNazanin" w:hAnsi="IRNazanin" w:eastAsia="IRNazanin"/>
          <w:color w:val="111111"/>
          <w:sz w:val="28"/>
          <w:sz w:val="28"/>
          <w:szCs w:val="28"/>
          <w:rtl w:val="true"/>
          <w:lang w:bidi="fa-IR"/>
        </w:rPr>
        <w:t>باستقلال کلّ واحد منهما لم یستقلّ بها أحدهما، بل یتشاوران و یتباصران و یعضد کلّ واحد منهما صاحبه و یعینه علیٰ ما فوّض إلیهما</w:t>
      </w:r>
      <w:r>
        <w:rPr>
          <w:rFonts w:eastAsia="IRNazanin" w:cs="IRNazanin"/>
          <w:color w:val="111111"/>
          <w:sz w:val="28"/>
          <w:szCs w:val="28"/>
          <w:rtl w:val="true"/>
          <w:lang w:bidi="fa-IR"/>
        </w:rPr>
        <w:t>.</w:t>
      </w:r>
    </w:p>
    <w:p>
      <w:pPr>
        <w:pStyle w:val="Heading3"/>
        <w:numPr>
          <w:ilvl w:val="2"/>
          <w:numId w:val="1"/>
        </w:numPr>
        <w:rPr/>
      </w:pPr>
      <w:bookmarkStart w:id="5369" w:name="__RefHeading___Toc2569850_3650668749"/>
      <w:bookmarkStart w:id="5370" w:name="_Toc2434"/>
      <w:bookmarkEnd w:id="5369"/>
      <w:r>
        <w:rPr>
          <w:rtl w:val="true"/>
        </w:rPr>
        <w:t>[ (</w:t>
      </w:r>
      <w:r>
        <w:rPr>
          <w:rtl w:val="true"/>
        </w:rPr>
        <w:t xml:space="preserve">مسألة </w:t>
      </w:r>
      <w:r>
        <w:rPr/>
        <w:t>30</w:t>
      </w:r>
      <w:r>
        <w:rPr>
          <w:rtl w:val="true"/>
        </w:rPr>
        <w:t xml:space="preserve">): </w:t>
      </w:r>
      <w:r>
        <w:rPr>
          <w:rtl w:val="true"/>
        </w:rPr>
        <w:t>إذا وکّل الرجل وکیلًا بحضور الحاکم فی خصوماته و استیفاء حقوقه مطلقاً أو فی خصومة شخصیّة</w:t>
      </w:r>
      <w:r>
        <w:rPr>
          <w:rtl w:val="true"/>
        </w:rPr>
        <w:t>]</w:t>
      </w:r>
      <w:bookmarkEnd w:id="5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الرجل وکیلًا بحضور الحاکم فی خصوماته و استیفاء حقوقه مطلقاً أو فی خصومة شخصیّة ثمّ قدّم الوکیل خصماً لموکّله و نشر الدعویٰ علیه یسمع الحاکم دعواه علیه، و کذا إذا ادّعیٰ عند الحاکم أن یکون وکیلًا فی الدعویٰ و أقام البیّنة عنده علیٰ وکالته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ادّعی الوکالة من دون بیّنة علیها فإن لم یحضر خصماً عنده أو أحضر و لم یصدّقه فی وکالته لم یسمع دعواه، و أمّا إذا صدّقه فیها فالظاهر أنّه یسمع دعواه لکن لم یثبت بذلک وکالته عن موکّله؛ بحیث یکون حجّة علیه، فإذا قضت موازین القضاء بحقیّة المدّعی یلزم المدّعیٰ علیه بالحقّ، و أمّا إذا قضت بحقّیّة المدّعیٰ علیه فالمدّعی علیٰ حجّته، فإذا أنکر الوکالة تبقیٰ دعواه علیٰ حالها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1" w:name="__RefHeading___Toc2569852_3650668749"/>
      <w:bookmarkStart w:id="5372" w:name="_Toc2435"/>
      <w:bookmarkEnd w:id="5371"/>
      <w:r>
        <w:rPr>
          <w:rtl w:val="true"/>
        </w:rPr>
        <w:t>[ (</w:t>
      </w:r>
      <w:r>
        <w:rPr>
          <w:rtl w:val="true"/>
        </w:rPr>
        <w:t xml:space="preserve">مسألة </w:t>
      </w:r>
      <w:r>
        <w:rPr/>
        <w:t>31</w:t>
      </w:r>
      <w:r>
        <w:rPr>
          <w:rtl w:val="true"/>
        </w:rPr>
        <w:t xml:space="preserve">): </w:t>
      </w:r>
      <w:r>
        <w:rPr>
          <w:rtl w:val="true"/>
        </w:rPr>
        <w:t>إذا وکّله فی الدعویٰ و تثبیت حقّه علیٰ خصمه و ثبّته</w:t>
      </w:r>
      <w:r>
        <w:rPr>
          <w:rtl w:val="true"/>
        </w:rPr>
        <w:t>]</w:t>
      </w:r>
      <w:bookmarkEnd w:id="5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وکّله فی الدعویٰ و تثبیت حقّه علیٰ خصمه و ثبّته لم یکن له قبض الحقّ، فللمحکوم علیه أن یمتنع عن تسلیم ما ثبت علیه إلی الوکیل</w:t>
      </w:r>
      <w:r>
        <w:rPr>
          <w:rFonts w:eastAsia="IRNazanin" w:cs="IRNazanin"/>
          <w:color w:val="111111"/>
          <w:sz w:val="28"/>
          <w:szCs w:val="28"/>
          <w:rtl w:val="true"/>
          <w:lang w:bidi="fa-IR"/>
        </w:rPr>
        <w:t>.</w:t>
      </w:r>
    </w:p>
    <w:p>
      <w:pPr>
        <w:pStyle w:val="Heading3"/>
        <w:numPr>
          <w:ilvl w:val="2"/>
          <w:numId w:val="1"/>
        </w:numPr>
        <w:rPr/>
      </w:pPr>
      <w:bookmarkStart w:id="5373" w:name="__RefHeading___Toc2569854_3650668749"/>
      <w:bookmarkStart w:id="5374" w:name="_Toc2436"/>
      <w:bookmarkEnd w:id="5373"/>
      <w:r>
        <w:rPr>
          <w:rtl w:val="true"/>
        </w:rPr>
        <w:t>[ (</w:t>
      </w:r>
      <w:r>
        <w:rPr>
          <w:rtl w:val="true"/>
        </w:rPr>
        <w:t xml:space="preserve">مسألة </w:t>
      </w:r>
      <w:r>
        <w:rPr/>
        <w:t>32</w:t>
      </w:r>
      <w:r>
        <w:rPr>
          <w:rtl w:val="true"/>
        </w:rPr>
        <w:t xml:space="preserve">): </w:t>
      </w:r>
      <w:r>
        <w:rPr>
          <w:rtl w:val="true"/>
        </w:rPr>
        <w:t>لو وکّله فی استیفاء حقّ له علیٰ غیره، فجحده من علیه الحقّ</w:t>
      </w:r>
      <w:r>
        <w:rPr>
          <w:rtl w:val="true"/>
        </w:rPr>
        <w:t>]</w:t>
      </w:r>
      <w:bookmarkEnd w:id="5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وکّله فی استیفاء حقّ له علیٰ غیره، فجحده من علیه الحقّ، لم یکن للوکیل مخاصمته و المرافعة معه و تثبیت الحقّ علیه ما لم یکن وکیلًا فی الخصومة</w:t>
      </w:r>
      <w:r>
        <w:rPr>
          <w:rFonts w:eastAsia="IRNazanin" w:cs="IRNazanin"/>
          <w:color w:val="111111"/>
          <w:sz w:val="28"/>
          <w:szCs w:val="28"/>
          <w:rtl w:val="true"/>
          <w:lang w:bidi="fa-IR"/>
        </w:rPr>
        <w:t>.</w:t>
      </w:r>
    </w:p>
    <w:p>
      <w:pPr>
        <w:pStyle w:val="Heading3"/>
        <w:numPr>
          <w:ilvl w:val="2"/>
          <w:numId w:val="1"/>
        </w:numPr>
        <w:rPr/>
      </w:pPr>
      <w:bookmarkStart w:id="5375" w:name="__RefHeading___Toc2569856_3650668749"/>
      <w:bookmarkStart w:id="5376" w:name="_Toc2437"/>
      <w:bookmarkEnd w:id="5375"/>
      <w:r>
        <w:rPr>
          <w:rtl w:val="true"/>
        </w:rPr>
        <w:t>[ (</w:t>
      </w:r>
      <w:r>
        <w:rPr>
          <w:rtl w:val="true"/>
        </w:rPr>
        <w:t xml:space="preserve">مسألة </w:t>
      </w:r>
      <w:r>
        <w:rPr/>
        <w:t>33</w:t>
      </w:r>
      <w:r>
        <w:rPr>
          <w:rtl w:val="true"/>
        </w:rPr>
        <w:t xml:space="preserve">): </w:t>
      </w:r>
      <w:r>
        <w:rPr>
          <w:rtl w:val="true"/>
        </w:rPr>
        <w:t>یجوز التوکیل بجعل و بغیر جعل، و إنّما یستحقّ الجعل فیما جعل له الجعل بتسلیم العمل الموکّل فیه</w:t>
      </w:r>
      <w:r>
        <w:rPr>
          <w:rtl w:val="true"/>
        </w:rPr>
        <w:t>]</w:t>
      </w:r>
      <w:bookmarkEnd w:id="5376"/>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التوکیل بجعل و بغیر جعل، و إنّما یستحقّ الجعل فیما جعل له الجعل بتسلیم العمل الموکّل فیه، فلو وکّله فی البیع أو الشراء و جعل له جعلًا کان للوکیل مطالبة الموکّل به بمجرّد إتمام المعاملة و إن لم یتسلّم الموکّل الثمن أو المثمن، و کذا لو وکّله فی المرافعة و تثبیت حقّه استحقّ الجعل بمجرّد إتمام المرافعة و ثبوت الحقّ و إن لم یتسلّمه الموکّل</w:t>
      </w:r>
      <w:r>
        <w:rPr>
          <w:rFonts w:eastAsia="IRNazanin" w:cs="IRNazanin"/>
          <w:color w:val="111111"/>
          <w:sz w:val="28"/>
          <w:szCs w:val="28"/>
          <w:rtl w:val="true"/>
          <w:lang w:bidi="fa-IR"/>
        </w:rPr>
        <w:t>.</w:t>
      </w:r>
      <w:bookmarkStart w:id="5377" w:name="pg1809_19538"/>
    </w:p>
    <w:p>
      <w:pPr>
        <w:pStyle w:val="Heading3"/>
        <w:numPr>
          <w:ilvl w:val="2"/>
          <w:numId w:val="1"/>
        </w:numPr>
        <w:rPr/>
      </w:pPr>
      <w:bookmarkStart w:id="5378" w:name="__RefHeading___Toc2569858_3650668749"/>
      <w:bookmarkStart w:id="5379" w:name="_Toc2438"/>
      <w:bookmarkEnd w:id="5377"/>
      <w:bookmarkEnd w:id="5378"/>
      <w:r>
        <w:rPr>
          <w:rtl w:val="true"/>
        </w:rPr>
        <w:t>[ (</w:t>
      </w:r>
      <w:r>
        <w:rPr>
          <w:rtl w:val="true"/>
        </w:rPr>
        <w:t xml:space="preserve">مسألة </w:t>
      </w:r>
      <w:r>
        <w:rPr/>
        <w:t>34</w:t>
      </w:r>
      <w:r>
        <w:rPr>
          <w:rtl w:val="true"/>
        </w:rPr>
        <w:t xml:space="preserve">): </w:t>
      </w:r>
      <w:r>
        <w:rPr>
          <w:rtl w:val="true"/>
        </w:rPr>
        <w:t>لو وکّله فی قبض دینه من شخص، فمات قبل الأداء لم یکن له مطالبة وارثه</w:t>
      </w:r>
      <w:r>
        <w:rPr>
          <w:rtl w:val="true"/>
        </w:rPr>
        <w:t>]</w:t>
      </w:r>
      <w:bookmarkEnd w:id="5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وکّله فی قبض دینه من شخص، فمات قبل الأداء لم یکن له مطالبة وارثه، نعم لو کانت عبارة الوکالة شاملة له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 حقّی الذی علیٰ فلان، کان له ذلک</w:t>
      </w:r>
      <w:r>
        <w:rPr>
          <w:rFonts w:eastAsia="IRNazanin" w:cs="IRNazanin"/>
          <w:color w:val="111111"/>
          <w:sz w:val="28"/>
          <w:szCs w:val="28"/>
          <w:rtl w:val="true"/>
          <w:lang w:bidi="fa-IR"/>
        </w:rPr>
        <w:t>.</w:t>
      </w:r>
    </w:p>
    <w:p>
      <w:pPr>
        <w:pStyle w:val="Heading3"/>
        <w:numPr>
          <w:ilvl w:val="2"/>
          <w:numId w:val="1"/>
        </w:numPr>
        <w:rPr/>
      </w:pPr>
      <w:bookmarkStart w:id="5380" w:name="__RefHeading___Toc2569860_3650668749"/>
      <w:bookmarkStart w:id="5381" w:name="_Toc2439"/>
      <w:bookmarkEnd w:id="5380"/>
      <w:r>
        <w:rPr>
          <w:rtl w:val="true"/>
        </w:rPr>
        <w:t>[ (</w:t>
      </w:r>
      <w:r>
        <w:rPr>
          <w:rtl w:val="true"/>
        </w:rPr>
        <w:t xml:space="preserve">مسألة </w:t>
      </w:r>
      <w:r>
        <w:rPr/>
        <w:t>35</w:t>
      </w:r>
      <w:r>
        <w:rPr>
          <w:rtl w:val="true"/>
        </w:rPr>
        <w:t xml:space="preserve">): </w:t>
      </w:r>
      <w:r>
        <w:rPr>
          <w:rtl w:val="true"/>
        </w:rPr>
        <w:t>لو وکّله فی استیفاء دینه من زید، فجاء إلیٰ زید للمطالبة فقال زید للوکیل</w:t>
      </w:r>
      <w:r>
        <w:rPr>
          <w:rtl w:val="true"/>
        </w:rPr>
        <w:t>]</w:t>
      </w:r>
      <w:bookmarkEnd w:id="5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وکّله فی استیفاء دینه من زید، فجاء إلیٰ زید للمطالبة فقال زید للوکیل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هذه الدراهم و اقض بها دین فلان یعنی موکّله فأخذها، صار الوکیل وکیل زید فی قضاء دینه و کانت الدراهم باقیة علیٰ ملک زید ما لم یقبضها </w:t>
      </w:r>
      <w:r>
        <w:rPr>
          <w:rStyle w:val="FootnoteAnchor"/>
          <w:rtl w:val="true"/>
        </w:rPr>
        <w:footnoteReference w:id="1461"/>
      </w:r>
      <w:r>
        <w:rPr>
          <w:rFonts w:ascii="IRNazanin" w:hAnsi="IRNazanin" w:eastAsia="IRNazanin"/>
          <w:color w:val="111111"/>
          <w:sz w:val="28"/>
          <w:sz w:val="28"/>
          <w:szCs w:val="28"/>
          <w:rtl w:val="true"/>
          <w:lang w:bidi="fa-IR"/>
        </w:rPr>
        <w:t>صاحب الدین فلزید استردادها ما دامت فی ید الوکیل، و لو تلفت عنده بقی الدین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عن الدین الذی تطالبنی به لفلان، فأخذها کان قابضاً للموکّل و برئت ذمّة زید و لیس له الاسترداد</w:t>
      </w:r>
      <w:r>
        <w:rPr>
          <w:rFonts w:eastAsia="IRNazanin" w:cs="IRNazanin"/>
          <w:color w:val="111111"/>
          <w:sz w:val="28"/>
          <w:szCs w:val="28"/>
          <w:rtl w:val="true"/>
          <w:lang w:bidi="fa-IR"/>
        </w:rPr>
        <w:t>.</w:t>
      </w:r>
    </w:p>
    <w:p>
      <w:pPr>
        <w:pStyle w:val="Heading3"/>
        <w:numPr>
          <w:ilvl w:val="2"/>
          <w:numId w:val="1"/>
        </w:numPr>
        <w:rPr/>
      </w:pPr>
      <w:bookmarkStart w:id="5382" w:name="__RefHeading___Toc2569862_3650668749"/>
      <w:bookmarkStart w:id="5383" w:name="_Toc2440"/>
      <w:bookmarkEnd w:id="5382"/>
      <w:r>
        <w:rPr>
          <w:rtl w:val="true"/>
        </w:rPr>
        <w:t>[ (</w:t>
      </w:r>
      <w:r>
        <w:rPr>
          <w:rtl w:val="true"/>
        </w:rPr>
        <w:t xml:space="preserve">مسألة </w:t>
      </w:r>
      <w:r>
        <w:rPr/>
        <w:t>36</w:t>
      </w:r>
      <w:r>
        <w:rPr>
          <w:rtl w:val="true"/>
        </w:rPr>
        <w:t xml:space="preserve">): </w:t>
      </w:r>
      <w:r>
        <w:rPr>
          <w:rtl w:val="true"/>
        </w:rPr>
        <w:t>الوکیل أمین بالنسبة إلیٰ ما فی یده لا یضمنه إلّا مع التفریط أو التعدّی</w:t>
      </w:r>
      <w:r>
        <w:rPr>
          <w:rtl w:val="true"/>
        </w:rPr>
        <w:t>]</w:t>
      </w:r>
      <w:bookmarkEnd w:id="5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الوکیل أمین بالنسبة إلیٰ ما فی یده لا یضمنه إلّا مع التفریط أو التعدّی، کما إذا لبس ثوباً توکّل فی بیعه أو حمل علیٰ دابّة توکّل فی بیعها؛ لکن لا تبطل بذلک وکالته، فلو باع الثوب بعد لبسه صحّ بیعه و إن کان ضامناً له لو تلف قبل أن یبیعه، و بتسلیمه </w:t>
      </w:r>
      <w:r>
        <w:rPr>
          <w:rStyle w:val="FootnoteAnchor"/>
          <w:rtl w:val="true"/>
        </w:rPr>
        <w:footnoteReference w:id="1462"/>
      </w:r>
      <w:r>
        <w:rPr>
          <w:rFonts w:ascii="IRNazanin" w:hAnsi="IRNazanin" w:eastAsia="IRNazanin"/>
          <w:color w:val="111111"/>
          <w:sz w:val="28"/>
          <w:sz w:val="28"/>
          <w:szCs w:val="28"/>
          <w:rtl w:val="true"/>
          <w:lang w:bidi="fa-IR"/>
        </w:rPr>
        <w:t>إلی المشتری یبرأ عن ضمانه</w:t>
      </w:r>
      <w:r>
        <w:rPr>
          <w:rFonts w:eastAsia="IRNazanin" w:cs="IRNazanin"/>
          <w:color w:val="111111"/>
          <w:sz w:val="28"/>
          <w:szCs w:val="28"/>
          <w:rtl w:val="true"/>
          <w:lang w:bidi="fa-IR"/>
        </w:rPr>
        <w:t>.</w:t>
      </w:r>
    </w:p>
    <w:p>
      <w:pPr>
        <w:pStyle w:val="Heading3"/>
        <w:numPr>
          <w:ilvl w:val="2"/>
          <w:numId w:val="1"/>
        </w:numPr>
        <w:rPr/>
      </w:pPr>
      <w:bookmarkStart w:id="5384" w:name="__RefHeading___Toc2569864_3650668749"/>
      <w:bookmarkStart w:id="5385" w:name="_Toc2441"/>
      <w:bookmarkEnd w:id="5384"/>
      <w:r>
        <w:rPr>
          <w:rtl w:val="true"/>
        </w:rPr>
        <w:t>[ (</w:t>
      </w:r>
      <w:r>
        <w:rPr>
          <w:rtl w:val="true"/>
        </w:rPr>
        <w:t xml:space="preserve">مسألة </w:t>
      </w:r>
      <w:r>
        <w:rPr/>
        <w:t>37</w:t>
      </w:r>
      <w:r>
        <w:rPr>
          <w:rtl w:val="true"/>
        </w:rPr>
        <w:t xml:space="preserve">): </w:t>
      </w:r>
      <w:r>
        <w:rPr>
          <w:rtl w:val="true"/>
        </w:rPr>
        <w:t>لو وکّله فی إیداع مال، فأودعه بلا إشهاد فجحد الودعی لم یضمنه الوکیل</w:t>
      </w:r>
      <w:r>
        <w:rPr>
          <w:rtl w:val="true"/>
        </w:rPr>
        <w:t>]</w:t>
      </w:r>
      <w:bookmarkEnd w:id="5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وکّله فی إیداع مال، فأودعه بلا إشهاد فجحد الودعی لم یضمنه الوکیل، إلّا إذا وکّله فی أن یودعه عنده مع الإشهاد، فأودع بلا 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فیما لو وکّله فی قضاء دینه، فأدّاه بلا إشهاد و أنکر الدائن</w:t>
      </w:r>
      <w:r>
        <w:rPr>
          <w:rFonts w:eastAsia="IRNazanin" w:cs="IRNazanin"/>
          <w:color w:val="111111"/>
          <w:sz w:val="28"/>
          <w:szCs w:val="28"/>
          <w:rtl w:val="true"/>
          <w:lang w:bidi="fa-IR"/>
        </w:rPr>
        <w:t>.</w:t>
      </w:r>
    </w:p>
    <w:p>
      <w:pPr>
        <w:pStyle w:val="Heading3"/>
        <w:numPr>
          <w:ilvl w:val="2"/>
          <w:numId w:val="1"/>
        </w:numPr>
        <w:rPr/>
      </w:pPr>
      <w:bookmarkStart w:id="5386" w:name="__RefHeading___Toc2569866_3650668749"/>
      <w:bookmarkStart w:id="5387" w:name="_Toc2442"/>
      <w:bookmarkEnd w:id="5386"/>
      <w:r>
        <w:rPr>
          <w:rtl w:val="true"/>
        </w:rPr>
        <w:t>[ (</w:t>
      </w:r>
      <w:r>
        <w:rPr>
          <w:rtl w:val="true"/>
        </w:rPr>
        <w:t xml:space="preserve">مسألة </w:t>
      </w:r>
      <w:r>
        <w:rPr/>
        <w:t>38</w:t>
      </w:r>
      <w:r>
        <w:rPr>
          <w:rtl w:val="true"/>
        </w:rPr>
        <w:t xml:space="preserve">): </w:t>
      </w:r>
      <w:r>
        <w:rPr>
          <w:rtl w:val="true"/>
        </w:rPr>
        <w:t>إذا وکّله فی بیع سلعة أو شراء متاع، فإن صرّح بکون البیع أو الشراء من غیره أو بما یعمّ نفسه فلا إشکال</w:t>
      </w:r>
      <w:r>
        <w:rPr>
          <w:rtl w:val="true"/>
        </w:rPr>
        <w:t>]</w:t>
      </w:r>
      <w:bookmarkEnd w:id="5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وکّله فی بیع سلعة أو شراء متاع، فإن صرّح بکون البیع أو الشراء من غیره أو بما یعمّ نفسه فلا إشکال، و إن أطلق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وکیلی فی أن تبیع هذه السلعة أو تشتری لی المتاع الفلانی، فهل یعمّ نفس الوکیل فیجوز أن یبیع السلعة من نفسه أو یشتری له المتاع من نفسه أم لا؟ وجهان بل قولان، أقواهما الأوّل و أحوطهما الثانی</w:t>
      </w:r>
      <w:r>
        <w:rPr>
          <w:rFonts w:eastAsia="IRNazanin" w:cs="IRNazanin"/>
          <w:color w:val="111111"/>
          <w:sz w:val="28"/>
          <w:szCs w:val="28"/>
          <w:rtl w:val="true"/>
          <w:lang w:bidi="fa-IR"/>
        </w:rPr>
        <w:t>.</w:t>
      </w:r>
    </w:p>
    <w:p>
      <w:pPr>
        <w:pStyle w:val="Heading3"/>
        <w:numPr>
          <w:ilvl w:val="2"/>
          <w:numId w:val="1"/>
        </w:numPr>
        <w:rPr/>
      </w:pPr>
      <w:bookmarkStart w:id="5388" w:name="__RefHeading___Toc2569868_3650668749"/>
      <w:bookmarkStart w:id="5389" w:name="_Toc2443"/>
      <w:bookmarkEnd w:id="5388"/>
      <w:r>
        <w:rPr>
          <w:rtl w:val="true"/>
        </w:rPr>
        <w:t>[ (</w:t>
      </w:r>
      <w:r>
        <w:rPr>
          <w:rtl w:val="true"/>
        </w:rPr>
        <w:t xml:space="preserve">مسألة </w:t>
      </w:r>
      <w:r>
        <w:rPr/>
        <w:t>39</w:t>
      </w:r>
      <w:r>
        <w:rPr>
          <w:rtl w:val="true"/>
        </w:rPr>
        <w:t xml:space="preserve">): </w:t>
      </w:r>
      <w:r>
        <w:rPr>
          <w:rtl w:val="true"/>
        </w:rPr>
        <w:t>إذا اختلفا فی الوکالة فالقول قول منکرها</w:t>
      </w:r>
      <w:r>
        <w:rPr>
          <w:rtl w:val="true"/>
        </w:rPr>
        <w:t>]</w:t>
      </w:r>
      <w:bookmarkEnd w:id="5389"/>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اختلفا فی الوکالة فالقول قول منکرها، و لو اختلفا فی التلف أو فی تفریط الوکیل فالقول قول الوکیل، و إذا اختلفا فی دفع المال إلی الموکّل فالظاهر أنّ القول</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الموکّل خصوصاً إذا کانت بجعل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فیما إذا اختلف الوصیّ و الموصیٰ له فی دفع المال الموصی به إلیه، و الأولیاء حتّی الأب و الجدّ إذا اختلفوا مع المولّی علیه بعد زوال الولایة علیه فی دفع ماله إلیه، فإنّ القول قول المنکر فی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اختلف الأولیاء مع المولّی علیهم فی الإنفاق علیهم أو علیٰ ما یتعلّق بهم فی زمان ولایتهم، الظاهر أنّ القول قول الأولیاء بیمینهم</w:t>
      </w:r>
      <w:r>
        <w:rPr>
          <w:rFonts w:eastAsia="IRNazanin" w:cs="IRNazanin"/>
          <w:color w:val="111111"/>
          <w:sz w:val="28"/>
          <w:szCs w:val="28"/>
          <w:rtl w:val="true"/>
          <w:lang w:bidi="fa-IR"/>
        </w:rPr>
        <w:t>.</w:t>
      </w:r>
      <w:bookmarkStart w:id="5390" w:name="pg1809_19540"/>
    </w:p>
    <w:p>
      <w:pPr>
        <w:pStyle w:val="Heading2"/>
        <w:numPr>
          <w:ilvl w:val="1"/>
          <w:numId w:val="1"/>
        </w:numPr>
        <w:rPr/>
      </w:pPr>
      <w:bookmarkStart w:id="5391" w:name="__RefHeading___Toc2569870_3650668749"/>
      <w:bookmarkStart w:id="5392" w:name="_Toc2444"/>
      <w:bookmarkEnd w:id="5390"/>
      <w:bookmarkEnd w:id="5391"/>
      <w:r>
        <w:rPr>
          <w:rtl w:val="true"/>
        </w:rPr>
        <w:t>[</w:t>
      </w:r>
      <w:r>
        <w:rPr>
          <w:rtl w:val="true"/>
        </w:rPr>
        <w:t>کتاب الإقرار</w:t>
      </w:r>
      <w:r>
        <w:rPr>
          <w:rtl w:val="true"/>
        </w:rPr>
        <w:t>]</w:t>
      </w:r>
      <w:bookmarkEnd w:id="5392"/>
    </w:p>
    <w:p>
      <w:pPr>
        <w:pStyle w:val="Heading3"/>
        <w:numPr>
          <w:ilvl w:val="2"/>
          <w:numId w:val="1"/>
        </w:numPr>
        <w:rPr/>
      </w:pPr>
      <w:bookmarkStart w:id="5393" w:name="__RefHeading___Toc2569872_3650668749"/>
      <w:bookmarkStart w:id="5394" w:name="_Toc2445"/>
      <w:bookmarkEnd w:id="5393"/>
      <w:r>
        <w:rPr>
          <w:rtl w:val="true"/>
        </w:rPr>
        <w:t>اشارة</w:t>
      </w:r>
      <w:bookmarkEnd w:id="5394"/>
    </w:p>
    <w:p>
      <w:pPr>
        <w:pStyle w:val="BookText"/>
        <w:rPr/>
      </w:pPr>
      <w:r>
        <w:rPr>
          <w:rFonts w:ascii="IRNazanin" w:hAnsi="IRNazanin" w:eastAsia="IRNazanin"/>
          <w:color w:val="111111"/>
          <w:sz w:val="28"/>
          <w:sz w:val="28"/>
          <w:szCs w:val="28"/>
          <w:rtl w:val="true"/>
          <w:lang w:bidi="fa-IR"/>
        </w:rPr>
        <w:t xml:space="preserve">کتاب الإقرار الذی هو الإخبار الجازم بحقّ لازم </w:t>
      </w:r>
      <w:r>
        <w:rPr>
          <w:rStyle w:val="FootnoteAnchor"/>
          <w:rtl w:val="true"/>
        </w:rPr>
        <w:footnoteReference w:id="1463"/>
      </w:r>
      <w:r>
        <w:rPr>
          <w:rFonts w:ascii="IRNazanin" w:hAnsi="IRNazanin" w:eastAsia="IRNazanin"/>
          <w:color w:val="111111"/>
          <w:sz w:val="28"/>
          <w:sz w:val="28"/>
          <w:szCs w:val="28"/>
          <w:rtl w:val="true"/>
          <w:lang w:bidi="fa-IR"/>
        </w:rPr>
        <w:t>علی المخبر أو بنفی حقّ له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أو لک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أو فی ذمّتی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فی یدی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حقّ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أشبه ذلک بأیّ لغة کان، بل یصحّ إقرار العربی بالعجمی و بالعکس، و الهندی بالترکی و بالعکس إذا کان عالماً بمعنی ما تلفّظ به فی تلک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المعتبر فیه الجزم؛ بمعنی عدم إظهار التردید و عدم الجزم به،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أظنّ أو احتمل أنّک تطلبنی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إقراراً</w:t>
      </w:r>
      <w:r>
        <w:rPr>
          <w:rFonts w:eastAsia="IRNazanin" w:cs="IRNazanin"/>
          <w:color w:val="111111"/>
          <w:sz w:val="28"/>
          <w:szCs w:val="28"/>
          <w:rtl w:val="true"/>
          <w:lang w:bidi="fa-IR"/>
        </w:rPr>
        <w:t>.</w:t>
      </w:r>
    </w:p>
    <w:p>
      <w:pPr>
        <w:pStyle w:val="Heading3"/>
        <w:numPr>
          <w:ilvl w:val="2"/>
          <w:numId w:val="1"/>
        </w:numPr>
        <w:rPr/>
      </w:pPr>
      <w:bookmarkStart w:id="5395" w:name="__RefHeading___Toc2569874_3650668749"/>
      <w:bookmarkStart w:id="5396" w:name="_Toc2446"/>
      <w:bookmarkEnd w:id="5395"/>
      <w:r>
        <w:rPr>
          <w:rtl w:val="true"/>
        </w:rPr>
        <w:t>[ (</w:t>
      </w:r>
      <w:r>
        <w:rPr>
          <w:rtl w:val="true"/>
        </w:rPr>
        <w:t xml:space="preserve">مسألة </w:t>
      </w:r>
      <w:r>
        <w:rPr/>
        <w:t>1</w:t>
      </w:r>
      <w:r>
        <w:rPr>
          <w:rtl w:val="true"/>
        </w:rPr>
        <w:t xml:space="preserve">): </w:t>
      </w:r>
      <w:r>
        <w:rPr>
          <w:rtl w:val="true"/>
        </w:rPr>
        <w:t>یعتبر فی صحّة الإقرار بل فی حقیقته و أخذ المقرّ بإقراره کونه دالّاً علی الإخبار المزبور</w:t>
      </w:r>
      <w:r>
        <w:rPr>
          <w:rtl w:val="true"/>
        </w:rPr>
        <w:t>]</w:t>
      </w:r>
      <w:bookmarkEnd w:id="5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صحّة الإقرار بل فی حقیقته و أخذ المقرّ بإقراره کونه دالّاً علی الإخبار المزبور؛ بالصراحة أو الظهور، فإن احتمل إرادة غیره احتمالًا یخلّ بظهوره عند أهل المحاورة لم یصحّ، و تشخیص ذلک راجع إلی العرف و أهل اللسان کسائر التکلّمات العادیة، فکلّ کلام و لو لخصوصیّة مقام یفهم منه أهل اللسان أنّه قد أخبر بثبوت حقّ علیه أو سلب حقّ عن نفسه من غیر تردید کان ذلک إقراراً، و کلّ ما لم یفهم منه ذلک من جهة تطرّق الاحتمال الموجب للتردّد و الإجمال لم یکن إقراراً</w:t>
      </w:r>
      <w:r>
        <w:rPr>
          <w:rFonts w:eastAsia="IRNazanin" w:cs="IRNazanin"/>
          <w:color w:val="111111"/>
          <w:sz w:val="28"/>
          <w:szCs w:val="28"/>
          <w:rtl w:val="true"/>
          <w:lang w:bidi="fa-IR"/>
        </w:rPr>
        <w:t>.</w:t>
      </w:r>
    </w:p>
    <w:p>
      <w:pPr>
        <w:pStyle w:val="Heading3"/>
        <w:numPr>
          <w:ilvl w:val="2"/>
          <w:numId w:val="1"/>
        </w:numPr>
        <w:rPr/>
      </w:pPr>
      <w:bookmarkStart w:id="5397" w:name="__RefHeading___Toc2569876_3650668749"/>
      <w:bookmarkStart w:id="5398" w:name="_Toc2447"/>
      <w:bookmarkEnd w:id="5397"/>
      <w:r>
        <w:rPr>
          <w:rtl w:val="true"/>
        </w:rPr>
        <w:t>[ (</w:t>
      </w:r>
      <w:r>
        <w:rPr>
          <w:rtl w:val="true"/>
        </w:rPr>
        <w:t xml:space="preserve">مسألة </w:t>
      </w:r>
      <w:r>
        <w:rPr/>
        <w:t>2</w:t>
      </w:r>
      <w:r>
        <w:rPr>
          <w:rtl w:val="true"/>
        </w:rPr>
        <w:t xml:space="preserve">): </w:t>
      </w:r>
      <w:r>
        <w:rPr>
          <w:rtl w:val="true"/>
        </w:rPr>
        <w:t>لا یعتبر فی الإقرار صدوره من المقرّ ابتداءً و کونه مقصوداً بالإفادة</w:t>
      </w:r>
      <w:r>
        <w:rPr>
          <w:rtl w:val="true"/>
        </w:rPr>
        <w:t>]</w:t>
      </w:r>
      <w:bookmarkEnd w:id="5398"/>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الإقرار صدوره من المقرّ ابتداءً و کونه مقصوداً بالإفادة، بل یکفی کونه مستفاداً من تصدیقه لکلام آخر و استفادة ذلک من کلامه بنوع من الاستفادة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464"/>
      </w:r>
      <w:r>
        <w:rPr>
          <w:rFonts w:ascii="IRNazanin" w:hAnsi="IRNazanin" w:eastAsia="IRNazanin"/>
          <w:color w:val="111111"/>
          <w:sz w:val="28"/>
          <w:sz w:val="28"/>
          <w:szCs w:val="28"/>
          <w:rtl w:val="true"/>
          <w:lang w:bidi="fa-IR"/>
        </w:rPr>
        <w:t>أو بلی أو أجل فی 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علیک کذا؟،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لی علیک کذا؟ و کقوله فی 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استقرضت ألفاً، أو لی علیک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رددتها أو أدّیتها؛ لأنّه إقرار منه بأصل ثبوت الحقّ علیه و دعویٰ منه بسقوطه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ذلک ما إذا قال فی جواب</w:t>
      </w:r>
      <w:bookmarkStart w:id="5399" w:name="pg1809_19541"/>
    </w:p>
    <w:p>
      <w:pPr>
        <w:pStyle w:val="BookText"/>
        <w:rPr/>
      </w:pPr>
      <w:bookmarkEnd w:id="5399"/>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الدار التی تسکنها لی اشتریتها منک، فإنّ الأخبار بالاشتراء اعتراف منه بثبوت الملک له و دعویٰ منه بانتقاله إلیه، و من ذلک ما إذا قال لمن یدّعی ملکیّة شی‌ء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توجد قرائن علیٰ أنّ تصدیقه لکلام الآخر لیس تصدیقاً حقیقیّا له فلم یتحقّق الإقرار، بل دخل فی عنوان الإنکار کما إذا قال فی 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علیک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صدقت؛ محرّکاً رأسه مع صدور حرکات منه دلّت علیٰ أنّه فی مقام الاستهزاء و التهکّم و شدّة التعجّب و الإنکار</w:t>
      </w:r>
      <w:r>
        <w:rPr>
          <w:rFonts w:eastAsia="IRNazanin" w:cs="IRNazanin"/>
          <w:color w:val="111111"/>
          <w:sz w:val="28"/>
          <w:szCs w:val="28"/>
          <w:rtl w:val="true"/>
          <w:lang w:bidi="fa-IR"/>
        </w:rPr>
        <w:t>.</w:t>
      </w:r>
    </w:p>
    <w:p>
      <w:pPr>
        <w:pStyle w:val="Heading3"/>
        <w:numPr>
          <w:ilvl w:val="2"/>
          <w:numId w:val="1"/>
        </w:numPr>
        <w:rPr/>
      </w:pPr>
      <w:bookmarkStart w:id="5400" w:name="__RefHeading___Toc2569878_3650668749"/>
      <w:bookmarkStart w:id="5401" w:name="_Toc2448"/>
      <w:bookmarkEnd w:id="5400"/>
      <w:r>
        <w:rPr>
          <w:rtl w:val="true"/>
        </w:rPr>
        <w:t>[ (</w:t>
      </w:r>
      <w:r>
        <w:rPr>
          <w:rtl w:val="true"/>
        </w:rPr>
        <w:t xml:space="preserve">مسألة </w:t>
      </w:r>
      <w:r>
        <w:rPr/>
        <w:t>3</w:t>
      </w:r>
      <w:r>
        <w:rPr>
          <w:rtl w:val="true"/>
        </w:rPr>
        <w:t xml:space="preserve">): </w:t>
      </w:r>
      <w:r>
        <w:rPr>
          <w:rtl w:val="true"/>
        </w:rPr>
        <w:t>یشترط فی المقرّ به أن یکون أمراً لو کان المقرّ صادقاً فی إخباره</w:t>
      </w:r>
      <w:r>
        <w:rPr>
          <w:rtl w:val="true"/>
        </w:rPr>
        <w:t>]</w:t>
      </w:r>
      <w:bookmarkEnd w:id="5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المقرّ به أن یکون أمراً لو کان المقرّ صادقاً فی إخباره کان للمقرّ له </w:t>
      </w:r>
      <w:r>
        <w:rPr>
          <w:rStyle w:val="FootnoteAnchor"/>
          <w:rtl w:val="true"/>
        </w:rPr>
        <w:footnoteReference w:id="1465"/>
      </w:r>
      <w:r>
        <w:rPr>
          <w:rFonts w:ascii="IRNazanin" w:hAnsi="IRNazanin" w:eastAsia="IRNazanin"/>
          <w:color w:val="111111"/>
          <w:sz w:val="28"/>
          <w:sz w:val="28"/>
          <w:szCs w:val="28"/>
          <w:rtl w:val="true"/>
          <w:lang w:bidi="fa-IR"/>
        </w:rPr>
        <w:t>حقّ إلزام علیه و مطالبته به؛ بأن یکون مالًا فی ذمّته عیناً أو منفعة، أو عملًا، أو ملکاً تحت یده، أو حقّا یجوز مطالبته کحقّ الشفعة و الخیار و القصاص و حقّ الاستطراق فی درب و إجراء الماء فی نهر و نصب المیزاب علیٰ ملک و وضع الجذوع علیٰ حائط، أو یکون نسباً أوجب نقصاً فی المیراث أو حرماناً فی حقّ المقرّ و غیر ذلک</w:t>
      </w:r>
      <w:r>
        <w:rPr>
          <w:rFonts w:eastAsia="IRNazanin" w:cs="IRNazanin"/>
          <w:color w:val="111111"/>
          <w:sz w:val="28"/>
          <w:szCs w:val="28"/>
          <w:rtl w:val="true"/>
          <w:lang w:bidi="fa-IR"/>
        </w:rPr>
        <w:t>.</w:t>
      </w:r>
    </w:p>
    <w:p>
      <w:pPr>
        <w:pStyle w:val="Heading3"/>
        <w:numPr>
          <w:ilvl w:val="2"/>
          <w:numId w:val="1"/>
        </w:numPr>
        <w:rPr/>
      </w:pPr>
      <w:bookmarkStart w:id="5402" w:name="__RefHeading___Toc2569880_3650668749"/>
      <w:bookmarkStart w:id="5403" w:name="_Toc2449"/>
      <w:bookmarkEnd w:id="5402"/>
      <w:r>
        <w:rPr>
          <w:rtl w:val="true"/>
        </w:rPr>
        <w:t>[ (</w:t>
      </w:r>
      <w:r>
        <w:rPr>
          <w:rtl w:val="true"/>
        </w:rPr>
        <w:t xml:space="preserve">مسألة </w:t>
      </w:r>
      <w:r>
        <w:rPr/>
        <w:t>4</w:t>
      </w:r>
      <w:r>
        <w:rPr>
          <w:rtl w:val="true"/>
        </w:rPr>
        <w:t xml:space="preserve">): </w:t>
      </w:r>
      <w:r>
        <w:rPr>
          <w:rtl w:val="true"/>
        </w:rPr>
        <w:t>إنّما ینفذ الإقرار بالنسبة إلی المقرّ و یمضیٰ علیه فیما یکون ضرراً علیه</w:t>
      </w:r>
      <w:r>
        <w:rPr>
          <w:rtl w:val="true"/>
        </w:rPr>
        <w:t>]</w:t>
      </w:r>
      <w:bookmarkEnd w:id="5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ینفذ الإقرار بالنسبة إلی المقرّ و یمضیٰ علیه فیما یکون ضرراً علیه لا بالنسبة إلیٰ غیره و لا فیما یکون فیه نفع المقرّ إذا لم یصدّقه الغیر، فإذا أقرّ بزوجیّة امرأة لم تصدّقه، تثبت الزوجیة بالنسبة إلیٰ وجوب إنفاقها </w:t>
      </w:r>
      <w:r>
        <w:rPr>
          <w:rStyle w:val="FootnoteAnchor"/>
          <w:rtl w:val="true"/>
        </w:rPr>
        <w:footnoteReference w:id="1466"/>
      </w:r>
      <w:r>
        <w:rPr>
          <w:rFonts w:ascii="IRNazanin" w:hAnsi="IRNazanin" w:eastAsia="IRNazanin"/>
          <w:color w:val="111111"/>
          <w:sz w:val="28"/>
          <w:sz w:val="28"/>
          <w:szCs w:val="28"/>
          <w:rtl w:val="true"/>
          <w:lang w:bidi="fa-IR"/>
        </w:rPr>
        <w:t>علیه لا بالنسبة إلیٰ وجوب تمکینها منه</w:t>
      </w:r>
      <w:r>
        <w:rPr>
          <w:rFonts w:eastAsia="IRNazanin" w:cs="IRNazanin"/>
          <w:color w:val="111111"/>
          <w:sz w:val="28"/>
          <w:szCs w:val="28"/>
          <w:rtl w:val="true"/>
          <w:lang w:bidi="fa-IR"/>
        </w:rPr>
        <w:t>.</w:t>
      </w:r>
    </w:p>
    <w:p>
      <w:pPr>
        <w:pStyle w:val="Heading3"/>
        <w:numPr>
          <w:ilvl w:val="2"/>
          <w:numId w:val="1"/>
        </w:numPr>
        <w:rPr/>
      </w:pPr>
      <w:bookmarkStart w:id="5404" w:name="__RefHeading___Toc2569882_3650668749"/>
      <w:bookmarkStart w:id="5405" w:name="_Toc2450"/>
      <w:bookmarkEnd w:id="5404"/>
      <w:r>
        <w:rPr>
          <w:rtl w:val="true"/>
        </w:rPr>
        <w:t>[ (</w:t>
      </w:r>
      <w:r>
        <w:rPr>
          <w:rtl w:val="true"/>
        </w:rPr>
        <w:t xml:space="preserve">مسألة </w:t>
      </w:r>
      <w:r>
        <w:rPr/>
        <w:t>5</w:t>
      </w:r>
      <w:r>
        <w:rPr>
          <w:rtl w:val="true"/>
        </w:rPr>
        <w:t xml:space="preserve">): </w:t>
      </w:r>
      <w:r>
        <w:rPr>
          <w:rtl w:val="true"/>
        </w:rPr>
        <w:t>یصحّ الإقرار بالمجهول و المبهم و یقبل من المقرّ و یلزم و یطالب بالتفسیر و البیان و رفع الإبهام</w:t>
      </w:r>
      <w:r>
        <w:rPr>
          <w:rtl w:val="true"/>
        </w:rPr>
        <w:t>]</w:t>
      </w:r>
      <w:bookmarkEnd w:id="5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الإقرار بالمجهول و المبهم و یقبل من المقرّ و یلزم و یطالب بالتفسیر و البیان و رفع الإبهام، و یقبل منه ما فسّره به و یلزم به لو طابق التفسیر مع المبهم بحسب العرف و اللغة، و أمکن بحسبهما أن یکون مراداً منه،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علیّ شی‌ء، أُلزم التفسیر، فإذا فسّره بأیّ شی‌ء کان ممّا یصحّ أن یکون فی الذمّة و علی العهدة یقبل منه و إن لم یکن متموّلًا کحبّة من حنطة، و أمّا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علیّ مال، لم یقبل منه إلّا إذا کان ما فسّره به من الأموال، لا مثل حبّة من حنطة، أو حفنة من تراب أو الخمر أو الخنزیر</w:t>
      </w:r>
      <w:r>
        <w:rPr>
          <w:rFonts w:eastAsia="IRNazanin" w:cs="IRNazanin"/>
          <w:color w:val="111111"/>
          <w:sz w:val="28"/>
          <w:szCs w:val="28"/>
          <w:rtl w:val="true"/>
          <w:lang w:bidi="fa-IR"/>
        </w:rPr>
        <w:t>.</w:t>
      </w:r>
    </w:p>
    <w:p>
      <w:pPr>
        <w:pStyle w:val="Heading3"/>
        <w:numPr>
          <w:ilvl w:val="2"/>
          <w:numId w:val="1"/>
        </w:numPr>
        <w:rPr/>
      </w:pPr>
      <w:bookmarkStart w:id="5406" w:name="__RefHeading___Toc2569884_3650668749"/>
      <w:bookmarkStart w:id="5407" w:name="_Toc2451"/>
      <w:bookmarkEnd w:id="5406"/>
      <w:r>
        <w:rPr>
          <w:rtl w:val="true"/>
        </w:rPr>
        <w:t>[ (</w:t>
      </w:r>
      <w:r>
        <w:rPr>
          <w:rtl w:val="true"/>
        </w:rPr>
        <w:t xml:space="preserve">مسألة </w:t>
      </w:r>
      <w:r>
        <w:rPr/>
        <w:t>6</w:t>
      </w:r>
      <w:r>
        <w:rPr>
          <w:rtl w:val="true"/>
        </w:rPr>
        <w:t xml:space="preserve">): </w:t>
      </w:r>
      <w:r>
        <w:rPr>
          <w:rtl w:val="true"/>
        </w:rPr>
        <w:t>لو قال</w:t>
      </w:r>
      <w:r>
        <w:rPr>
          <w:rtl w:val="true"/>
        </w:rPr>
        <w:t xml:space="preserve">: </w:t>
      </w:r>
      <w:r>
        <w:rPr>
          <w:rtl w:val="true"/>
        </w:rPr>
        <w:t>لک علیّ أحد هذین، ممّا کان تحت یده، أو لک علیّ إمّا وزنة من حنطة أو شعیر</w:t>
      </w:r>
      <w:r>
        <w:rPr>
          <w:rtl w:val="true"/>
        </w:rPr>
        <w:t>]</w:t>
      </w:r>
      <w:bookmarkEnd w:id="5407"/>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علیّ أحد هذین، ممّا کان تحت یده، أو لک علیّ إمّا وزنة من حنطة أو شعیر، الزم بالتفسیر و کشف الإبهام، فإن عیّن الزم به و لا یلزم بغیره، فإن لم یصدّقه</w:t>
      </w:r>
      <w:bookmarkStart w:id="5408" w:name="pg1809_19542"/>
    </w:p>
    <w:p>
      <w:pPr>
        <w:pStyle w:val="BookText"/>
        <w:rPr/>
      </w:pPr>
      <w:bookmarkEnd w:id="5408"/>
      <w:r>
        <w:rPr>
          <w:rFonts w:ascii="IRNazanin" w:hAnsi="IRNazanin" w:eastAsia="IRNazanin"/>
          <w:color w:val="111111"/>
          <w:sz w:val="28"/>
          <w:sz w:val="28"/>
          <w:szCs w:val="28"/>
          <w:rtl w:val="true"/>
          <w:lang w:bidi="fa-IR"/>
        </w:rPr>
        <w:t>المقرّ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لی ما عیّنت، سقط </w:t>
      </w:r>
      <w:r>
        <w:rPr>
          <w:rStyle w:val="FootnoteAnchor"/>
          <w:rtl w:val="true"/>
        </w:rPr>
        <w:footnoteReference w:id="1467"/>
      </w:r>
      <w:r>
        <w:rPr>
          <w:rFonts w:ascii="IRNazanin" w:hAnsi="IRNazanin" w:eastAsia="IRNazanin"/>
          <w:color w:val="111111"/>
          <w:sz w:val="28"/>
          <w:sz w:val="28"/>
          <w:szCs w:val="28"/>
          <w:rtl w:val="true"/>
          <w:lang w:bidi="fa-IR"/>
        </w:rPr>
        <w:t>حقّه لو کان المقرّ به فی الذمّة، و لو کان عیناً کان بینهما مسلوباً بحسب الظاهر عن کلّ منهما، فیبقیٰ إلیٰ أن یتّضح الحال و لو برجوع المقرّ عن إقراره أو المنکر عن إنکاره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ادّعیٰ عدم المعرفة حتّی یفسّره فإن صدّقه المقرّ له فی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أیضاً لا أدری، فلا محیص عن الصلح أو القرعة مع احتمال الحکم بالاشتراک، و الأحوط هو الأوّل </w:t>
      </w:r>
      <w:r>
        <w:rPr>
          <w:rStyle w:val="FootnoteAnchor"/>
          <w:rtl w:val="true"/>
        </w:rPr>
        <w:footnoteReference w:id="1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ادّعی المعرفة و عیّن أحدهما فإن صدّقه المقرّ فذاک و إلّا فله أن یطالبه بالبیّنة، و مع عدمها فله أن یحلّفه، و إن نکل أو لم یمکن إحلافه یکون الحال کما لو جهلا معاً، فلا محیص عن التخلّص بأحد الوجوه الثلاثة المتقدّمة</w:t>
      </w:r>
      <w:r>
        <w:rPr>
          <w:rFonts w:eastAsia="IRNazanin" w:cs="IRNazanin"/>
          <w:color w:val="111111"/>
          <w:sz w:val="28"/>
          <w:szCs w:val="28"/>
          <w:rtl w:val="true"/>
          <w:lang w:bidi="fa-IR"/>
        </w:rPr>
        <w:t>.</w:t>
      </w:r>
    </w:p>
    <w:p>
      <w:pPr>
        <w:pStyle w:val="Heading3"/>
        <w:numPr>
          <w:ilvl w:val="2"/>
          <w:numId w:val="1"/>
        </w:numPr>
        <w:rPr/>
      </w:pPr>
      <w:bookmarkStart w:id="5409" w:name="__RefHeading___Toc2569886_3650668749"/>
      <w:bookmarkStart w:id="5410" w:name="_Toc2452"/>
      <w:bookmarkEnd w:id="5409"/>
      <w:r>
        <w:rPr>
          <w:rtl w:val="true"/>
        </w:rPr>
        <w:t>[ (</w:t>
      </w:r>
      <w:r>
        <w:rPr>
          <w:rtl w:val="true"/>
        </w:rPr>
        <w:t xml:space="preserve">مسألة </w:t>
      </w:r>
      <w:r>
        <w:rPr/>
        <w:t>7</w:t>
      </w:r>
      <w:r>
        <w:rPr>
          <w:rtl w:val="true"/>
        </w:rPr>
        <w:t xml:space="preserve">): </w:t>
      </w:r>
      <w:r>
        <w:rPr>
          <w:rtl w:val="true"/>
        </w:rPr>
        <w:t>و کما لا یضرّ الإبهام و الجهالة فی المقرّ به، لا یضرّان فی المقرّ له</w:t>
      </w:r>
      <w:r>
        <w:rPr>
          <w:rtl w:val="true"/>
        </w:rPr>
        <w:t>]</w:t>
      </w:r>
      <w:bookmarkEnd w:id="5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لا یضرّ الإبهام و الجهالة فی المقرّ به، لا یضرّان فی المقرّ له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الدار التی بیدی لأحد هذین، یقبل و یلزم بالتعیین، فمن عیّنه یقبل و یکون هو المقرّ له، فإن صدّقه الآخر فذاک، و إلّا تقع المخاصمة بینه و بین من عیّنه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ادّعیٰ عدم المعرفة و صدّقاه فی ذلک سقط عنه الإلزام بالتعیین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ادّعیا أو أحدهما علیه العلم کان القول قوله بیمینه</w:t>
      </w:r>
      <w:r>
        <w:rPr>
          <w:rFonts w:eastAsia="IRNazanin" w:cs="IRNazanin"/>
          <w:color w:val="111111"/>
          <w:sz w:val="28"/>
          <w:szCs w:val="28"/>
          <w:rtl w:val="true"/>
          <w:lang w:bidi="fa-IR"/>
        </w:rPr>
        <w:t>.</w:t>
      </w:r>
    </w:p>
    <w:p>
      <w:pPr>
        <w:pStyle w:val="Heading3"/>
        <w:numPr>
          <w:ilvl w:val="2"/>
          <w:numId w:val="1"/>
        </w:numPr>
        <w:rPr/>
      </w:pPr>
      <w:bookmarkStart w:id="5411" w:name="__RefHeading___Toc2569888_3650668749"/>
      <w:bookmarkStart w:id="5412" w:name="_Toc2453"/>
      <w:bookmarkEnd w:id="5411"/>
      <w:r>
        <w:rPr>
          <w:rtl w:val="true"/>
        </w:rPr>
        <w:t>[ (</w:t>
      </w:r>
      <w:r>
        <w:rPr>
          <w:rtl w:val="true"/>
        </w:rPr>
        <w:t xml:space="preserve">مسألة </w:t>
      </w:r>
      <w:r>
        <w:rPr/>
        <w:t>8</w:t>
      </w:r>
      <w:r>
        <w:rPr>
          <w:rtl w:val="true"/>
        </w:rPr>
        <w:t xml:space="preserve">): </w:t>
      </w:r>
      <w:r>
        <w:rPr>
          <w:rtl w:val="true"/>
        </w:rPr>
        <w:t>یعتبر فی المقرّ</w:t>
      </w:r>
      <w:r>
        <w:rPr>
          <w:rtl w:val="true"/>
        </w:rPr>
        <w:t xml:space="preserve">: </w:t>
      </w:r>
      <w:r>
        <w:rPr>
          <w:rtl w:val="true"/>
        </w:rPr>
        <w:t>البلوغ و العقل و القصد و الاختیار</w:t>
      </w:r>
      <w:r>
        <w:rPr>
          <w:rtl w:val="true"/>
        </w:rPr>
        <w:t>]</w:t>
      </w:r>
      <w:bookmarkEnd w:id="5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القصد و الاختیار، فلا اعتبار بإقرار الصبیّ و المجنون و السکران و کذا الهازل و الساهی و الغافل و کذا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صحّة إقرار الصبیّ إذا تعلّق بماله أن یفعله کالوصیّة بالمعروف ممّن له عشر سنین</w:t>
      </w:r>
      <w:r>
        <w:rPr>
          <w:rFonts w:eastAsia="IRNazanin" w:cs="IRNazanin"/>
          <w:color w:val="111111"/>
          <w:sz w:val="28"/>
          <w:szCs w:val="28"/>
          <w:rtl w:val="true"/>
          <w:lang w:bidi="fa-IR"/>
        </w:rPr>
        <w:t>.</w:t>
      </w:r>
    </w:p>
    <w:p>
      <w:pPr>
        <w:pStyle w:val="Heading3"/>
        <w:numPr>
          <w:ilvl w:val="2"/>
          <w:numId w:val="1"/>
        </w:numPr>
        <w:rPr/>
      </w:pPr>
      <w:bookmarkStart w:id="5413" w:name="__RefHeading___Toc2569890_3650668749"/>
      <w:bookmarkStart w:id="5414" w:name="_Toc2454"/>
      <w:bookmarkEnd w:id="5413"/>
      <w:r>
        <w:rPr>
          <w:rtl w:val="true"/>
        </w:rPr>
        <w:t>[ (</w:t>
      </w:r>
      <w:r>
        <w:rPr>
          <w:rtl w:val="true"/>
        </w:rPr>
        <w:t xml:space="preserve">مسألة </w:t>
      </w:r>
      <w:r>
        <w:rPr/>
        <w:t>9</w:t>
      </w:r>
      <w:r>
        <w:rPr>
          <w:rtl w:val="true"/>
        </w:rPr>
        <w:t xml:space="preserve">): </w:t>
      </w:r>
      <w:r>
        <w:rPr>
          <w:rtl w:val="true"/>
        </w:rPr>
        <w:t>السفیه إن أقرّ بمال فی ذمّته أو تحت یده لم یقبل</w:t>
      </w:r>
      <w:r>
        <w:rPr>
          <w:rtl w:val="true"/>
        </w:rPr>
        <w:t>]</w:t>
      </w:r>
      <w:bookmarkEnd w:id="5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السفیه إن أقرّ بمال فی ذمّته أو تحت یده لم یقبل، و یقبل فیما عدا المال کالطلاق و الخلع </w:t>
      </w:r>
      <w:r>
        <w:rPr>
          <w:rStyle w:val="FootnoteAnchor"/>
          <w:rtl w:val="true"/>
        </w:rPr>
        <w:footnoteReference w:id="1469"/>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أقرّ بأمر مشتمل علیٰ مال و غیره کالسرقة لم یقبل بالنسبة إلی المال، و قبل بالنسبة إلیٰ غیره، فیحدّ من أقرّ بالسرقة و لا یلزم بأداء المال</w:t>
      </w:r>
      <w:r>
        <w:rPr>
          <w:rFonts w:eastAsia="IRNazanin" w:cs="IRNazanin"/>
          <w:color w:val="111111"/>
          <w:sz w:val="28"/>
          <w:szCs w:val="28"/>
          <w:rtl w:val="true"/>
          <w:lang w:bidi="fa-IR"/>
        </w:rPr>
        <w:t>.</w:t>
      </w:r>
    </w:p>
    <w:p>
      <w:pPr>
        <w:pStyle w:val="Heading3"/>
        <w:numPr>
          <w:ilvl w:val="2"/>
          <w:numId w:val="1"/>
        </w:numPr>
        <w:rPr/>
      </w:pPr>
      <w:bookmarkStart w:id="5415" w:name="__RefHeading___Toc2569892_3650668749"/>
      <w:bookmarkStart w:id="5416" w:name="_Toc2455"/>
      <w:bookmarkEnd w:id="5415"/>
      <w:r>
        <w:rPr>
          <w:rtl w:val="true"/>
        </w:rPr>
        <w:t>[ (</w:t>
      </w:r>
      <w:r>
        <w:rPr>
          <w:rtl w:val="true"/>
        </w:rPr>
        <w:t xml:space="preserve">مسألة </w:t>
      </w:r>
      <w:r>
        <w:rPr/>
        <w:t>10</w:t>
      </w:r>
      <w:r>
        <w:rPr>
          <w:rtl w:val="true"/>
        </w:rPr>
        <w:t xml:space="preserve">): </w:t>
      </w:r>
      <w:r>
        <w:rPr>
          <w:rtl w:val="true"/>
        </w:rPr>
        <w:t>المملوک لا یقبل إقراره بما یوجب حدّا علیه</w:t>
      </w:r>
      <w:r>
        <w:rPr>
          <w:rtl w:val="true"/>
        </w:rPr>
        <w:t>]</w:t>
      </w:r>
      <w:bookmarkEnd w:id="5416"/>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المملوک لا یقبل </w:t>
      </w:r>
      <w:r>
        <w:rPr>
          <w:rStyle w:val="FootnoteAnchor"/>
          <w:rtl w:val="true"/>
        </w:rPr>
        <w:footnoteReference w:id="1470"/>
      </w:r>
      <w:r>
        <w:rPr>
          <w:rFonts w:ascii="IRNazanin" w:hAnsi="IRNazanin" w:eastAsia="IRNazanin"/>
          <w:color w:val="111111"/>
          <w:sz w:val="28"/>
          <w:sz w:val="28"/>
          <w:szCs w:val="28"/>
          <w:rtl w:val="true"/>
          <w:lang w:bidi="fa-IR"/>
        </w:rPr>
        <w:t>إقراره بما یوجب حدّا علیه، و لا بجنایة أوجبت أرشاً أو قصاصاً أو استرقاقاً، و لا بمال تحت یده من مولاه أو من نفسه بناءً علیٰ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w:t>
      </w:r>
      <w:bookmarkStart w:id="5417" w:name="pg1809_19543"/>
    </w:p>
    <w:p>
      <w:pPr>
        <w:pStyle w:val="BookText"/>
        <w:rPr/>
      </w:pPr>
      <w:bookmarkEnd w:id="5417"/>
      <w:r>
        <w:rPr>
          <w:rFonts w:ascii="IRNazanin" w:hAnsi="IRNazanin" w:eastAsia="IRNazanin"/>
          <w:color w:val="111111"/>
          <w:sz w:val="28"/>
          <w:sz w:val="28"/>
          <w:szCs w:val="28"/>
          <w:rtl w:val="true"/>
          <w:lang w:bidi="fa-IR"/>
        </w:rPr>
        <w:t>مأذوناً فی التجارة من مولاه یقبل إقراره بما یتعلّق بها و یؤخذ ما أقرّ به ممّا فی یده، فإن کان أکثر لم یضمنه المولی بل یضمنه المملوک یتبع به إذا أعتق، کما أنّه لو أقرّ بما یوجب مالًا علیٰ ذمّته من إتلاف و نحوه یقبل فی حقّه و یتبع به إذا أعتق</w:t>
      </w:r>
      <w:r>
        <w:rPr>
          <w:rFonts w:eastAsia="IRNazanin" w:cs="IRNazanin"/>
          <w:color w:val="111111"/>
          <w:sz w:val="28"/>
          <w:szCs w:val="28"/>
          <w:rtl w:val="true"/>
          <w:lang w:bidi="fa-IR"/>
        </w:rPr>
        <w:t>.</w:t>
      </w:r>
    </w:p>
    <w:p>
      <w:pPr>
        <w:pStyle w:val="Heading3"/>
        <w:numPr>
          <w:ilvl w:val="2"/>
          <w:numId w:val="1"/>
        </w:numPr>
        <w:rPr/>
      </w:pPr>
      <w:bookmarkStart w:id="5418" w:name="__RefHeading___Toc2569894_3650668749"/>
      <w:bookmarkStart w:id="5419" w:name="_Toc2456"/>
      <w:bookmarkEnd w:id="5418"/>
      <w:r>
        <w:rPr>
          <w:rtl w:val="true"/>
        </w:rPr>
        <w:t>[ (</w:t>
      </w:r>
      <w:r>
        <w:rPr>
          <w:rtl w:val="true"/>
        </w:rPr>
        <w:t xml:space="preserve">مسألة </w:t>
      </w:r>
      <w:r>
        <w:rPr/>
        <w:t>11</w:t>
      </w:r>
      <w:r>
        <w:rPr>
          <w:rtl w:val="true"/>
        </w:rPr>
        <w:t xml:space="preserve">): </w:t>
      </w:r>
      <w:r>
        <w:rPr>
          <w:rtl w:val="true"/>
        </w:rPr>
        <w:t>یقبل إقرار المفلّس بالدین سابقاً و لاحقاً و یشارک المقرّ له مع الغرماء</w:t>
      </w:r>
      <w:r>
        <w:rPr>
          <w:rtl w:val="true"/>
        </w:rPr>
        <w:t>]</w:t>
      </w:r>
      <w:bookmarkEnd w:id="5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 إقرار المفلّس بالدین سابقاً و لاحقاً و یشارک المقرّ له مع الغرماء علی التفصیل الذی تقدّم </w:t>
      </w:r>
      <w:r>
        <w:rPr>
          <w:rStyle w:val="FootnoteAnchor"/>
          <w:rtl w:val="true"/>
        </w:rPr>
        <w:footnoteReference w:id="1471"/>
      </w:r>
      <w:r>
        <w:rPr>
          <w:rFonts w:ascii="IRNazanin" w:hAnsi="IRNazanin" w:eastAsia="IRNazanin"/>
          <w:color w:val="111111"/>
          <w:sz w:val="28"/>
          <w:sz w:val="28"/>
          <w:szCs w:val="28"/>
          <w:rtl w:val="true"/>
          <w:lang w:bidi="fa-IR"/>
        </w:rPr>
        <w:t>فی کتاب الحجر، کما تقدّم الکلام فی إقرار المریض بمرض الموت و أنّه نافذ، إلّا مع التهمة فینفذ بمقدار الثلث</w:t>
      </w:r>
      <w:r>
        <w:rPr>
          <w:rFonts w:eastAsia="IRNazanin" w:cs="IRNazanin"/>
          <w:color w:val="111111"/>
          <w:sz w:val="28"/>
          <w:szCs w:val="28"/>
          <w:rtl w:val="true"/>
          <w:lang w:bidi="fa-IR"/>
        </w:rPr>
        <w:t>.</w:t>
      </w:r>
    </w:p>
    <w:p>
      <w:pPr>
        <w:pStyle w:val="Heading3"/>
        <w:numPr>
          <w:ilvl w:val="2"/>
          <w:numId w:val="1"/>
        </w:numPr>
        <w:rPr/>
      </w:pPr>
      <w:bookmarkStart w:id="5420" w:name="__RefHeading___Toc2569896_3650668749"/>
      <w:bookmarkStart w:id="5421" w:name="_Toc2457"/>
      <w:bookmarkEnd w:id="5420"/>
      <w:r>
        <w:rPr>
          <w:rtl w:val="true"/>
        </w:rPr>
        <w:t>[ (</w:t>
      </w:r>
      <w:r>
        <w:rPr>
          <w:rtl w:val="true"/>
        </w:rPr>
        <w:t xml:space="preserve">مسألة </w:t>
      </w:r>
      <w:r>
        <w:rPr/>
        <w:t>12</w:t>
      </w:r>
      <w:r>
        <w:rPr>
          <w:rtl w:val="true"/>
        </w:rPr>
        <w:t xml:space="preserve">): </w:t>
      </w:r>
      <w:r>
        <w:rPr>
          <w:rtl w:val="true"/>
        </w:rPr>
        <w:t>إذا ادّعی الصبیّ البلوغ، فإن ادّعاه بالإنبات اعتبر و لا یثبت بمجرّد دعواه</w:t>
      </w:r>
      <w:r>
        <w:rPr>
          <w:rtl w:val="true"/>
        </w:rPr>
        <w:t>]</w:t>
      </w:r>
      <w:bookmarkEnd w:id="5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الصبیّ البلوغ، فإن ادّعاه بالإنبات اعتبر و لا یثبت بمجرّد دعواه، و کذا إن ادّعاه بالسنّ فإنّه یطالب بالبیّنة، و أمّا لو ادّعاه بالاحتلام فی الحدّ الذی یمکن وقوعه فثبوته بقوله بلا یمین، بل مع الیمین محلّ تأمّل و إشکال</w:t>
      </w:r>
      <w:r>
        <w:rPr>
          <w:rFonts w:eastAsia="IRNazanin" w:cs="IRNazanin"/>
          <w:color w:val="111111"/>
          <w:sz w:val="28"/>
          <w:szCs w:val="28"/>
          <w:rtl w:val="true"/>
          <w:lang w:bidi="fa-IR"/>
        </w:rPr>
        <w:t>.</w:t>
      </w:r>
    </w:p>
    <w:p>
      <w:pPr>
        <w:pStyle w:val="Heading3"/>
        <w:numPr>
          <w:ilvl w:val="2"/>
          <w:numId w:val="1"/>
        </w:numPr>
        <w:rPr/>
      </w:pPr>
      <w:bookmarkStart w:id="5422" w:name="__RefHeading___Toc2569898_3650668749"/>
      <w:bookmarkStart w:id="5423" w:name="_Toc2458"/>
      <w:bookmarkEnd w:id="5422"/>
      <w:r>
        <w:rPr>
          <w:rtl w:val="true"/>
        </w:rPr>
        <w:t>[ (</w:t>
      </w:r>
      <w:r>
        <w:rPr>
          <w:rtl w:val="true"/>
        </w:rPr>
        <w:t xml:space="preserve">مسألة </w:t>
      </w:r>
      <w:r>
        <w:rPr/>
        <w:t>13</w:t>
      </w:r>
      <w:r>
        <w:rPr>
          <w:rtl w:val="true"/>
        </w:rPr>
        <w:t xml:space="preserve">): </w:t>
      </w:r>
      <w:r>
        <w:rPr>
          <w:rtl w:val="true"/>
        </w:rPr>
        <w:t>یعتبر فی المقرّ له أن یکون له أهلیّة الاستحقاق</w:t>
      </w:r>
      <w:r>
        <w:rPr>
          <w:rtl w:val="true"/>
        </w:rPr>
        <w:t>]</w:t>
      </w:r>
      <w:bookmarkEnd w:id="5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المقرّ له أن یکون له أهلیّة الاستحقاق فلو أقرّ لدابّة </w:t>
      </w:r>
      <w:r>
        <w:rPr>
          <w:rStyle w:val="FootnoteAnchor"/>
          <w:rtl w:val="true"/>
        </w:rPr>
        <w:footnoteReference w:id="1472"/>
      </w:r>
      <w:r>
        <w:rPr>
          <w:rFonts w:ascii="IRNazanin" w:hAnsi="IRNazanin" w:eastAsia="IRNazanin"/>
          <w:color w:val="111111"/>
          <w:sz w:val="28"/>
          <w:sz w:val="28"/>
          <w:szCs w:val="28"/>
          <w:rtl w:val="true"/>
          <w:lang w:bidi="fa-IR"/>
        </w:rPr>
        <w:t>مثلًا لغا، نعم لو أقرّ لمسجد أو مشهد أو مقبرة أو رباط أو مدرسة و نحوها بمال الظاهر قبوله و صحّته؛ حیث إنّ المقصود من ذلک فی المتعارف اشتغال ذمّته ببعض ما یتعلّق بها من غلّة موقوفاتها أو المنذور أو الموصی به لمصالحها و نحوها</w:t>
      </w:r>
      <w:r>
        <w:rPr>
          <w:rFonts w:eastAsia="IRNazanin" w:cs="IRNazanin"/>
          <w:color w:val="111111"/>
          <w:sz w:val="28"/>
          <w:szCs w:val="28"/>
          <w:rtl w:val="true"/>
          <w:lang w:bidi="fa-IR"/>
        </w:rPr>
        <w:t>.</w:t>
      </w:r>
    </w:p>
    <w:p>
      <w:pPr>
        <w:pStyle w:val="Heading3"/>
        <w:numPr>
          <w:ilvl w:val="2"/>
          <w:numId w:val="1"/>
        </w:numPr>
        <w:rPr/>
      </w:pPr>
      <w:bookmarkStart w:id="5424" w:name="__RefHeading___Toc2569900_3650668749"/>
      <w:bookmarkStart w:id="5425" w:name="_Toc2459"/>
      <w:bookmarkEnd w:id="5424"/>
      <w:r>
        <w:rPr>
          <w:rtl w:val="true"/>
        </w:rPr>
        <w:t>[ (</w:t>
      </w:r>
      <w:r>
        <w:rPr>
          <w:rtl w:val="true"/>
        </w:rPr>
        <w:t xml:space="preserve">مسألة </w:t>
      </w:r>
      <w:r>
        <w:rPr/>
        <w:t>14</w:t>
      </w:r>
      <w:r>
        <w:rPr>
          <w:rtl w:val="true"/>
        </w:rPr>
        <w:t xml:space="preserve">): </w:t>
      </w:r>
      <w:r>
        <w:rPr>
          <w:rtl w:val="true"/>
        </w:rPr>
        <w:t>إذا کذّب المقرّ له المقرّ فی إقراره، فإن کان المقرّ به دیناً أو حقّا لم یطالب به المقرّ</w:t>
      </w:r>
      <w:r>
        <w:rPr>
          <w:rtl w:val="true"/>
        </w:rPr>
        <w:t>]</w:t>
      </w:r>
      <w:bookmarkEnd w:id="5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کذّب المقرّ له المقرّ فی إقراره، فإن کان المقرّ به دیناً أو حقّا لم یطالب به المقرّ و فرغت ذمّته فی الظاهر، و إن کان عیناً کانت مجهول المالک بحسب الظاهر، فتبقیٰ فی ید المقرّ أو فی ید الحاکم إلیٰ أن یتبیّن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بحسب الظاهر، و أمّا بحسب الواقع فعلی المقرّ بینه و بین اللّٰه تفریغ ذمّته من الدین و تخلیص نفسه من العین بالإیصال إلی المالک و إن کان بدسّه فی أمواله، و لو رجع المقرّ له عن إنکاره یلزم </w:t>
      </w:r>
      <w:r>
        <w:rPr>
          <w:rStyle w:val="FootnoteAnchor"/>
          <w:rtl w:val="true"/>
        </w:rPr>
        <w:footnoteReference w:id="1473"/>
      </w:r>
      <w:r>
        <w:rPr>
          <w:rFonts w:ascii="IRNazanin" w:hAnsi="IRNazanin" w:eastAsia="IRNazanin"/>
          <w:color w:val="111111"/>
          <w:sz w:val="28"/>
          <w:sz w:val="28"/>
          <w:szCs w:val="28"/>
          <w:rtl w:val="true"/>
          <w:lang w:bidi="fa-IR"/>
        </w:rPr>
        <w:t>المقرّ بالدفع إلیه</w:t>
      </w:r>
      <w:r>
        <w:rPr>
          <w:rFonts w:eastAsia="IRNazanin" w:cs="IRNazanin"/>
          <w:color w:val="111111"/>
          <w:sz w:val="28"/>
          <w:szCs w:val="28"/>
          <w:rtl w:val="true"/>
          <w:lang w:bidi="fa-IR"/>
        </w:rPr>
        <w:t>.</w:t>
      </w:r>
    </w:p>
    <w:p>
      <w:pPr>
        <w:pStyle w:val="Heading3"/>
        <w:numPr>
          <w:ilvl w:val="2"/>
          <w:numId w:val="1"/>
        </w:numPr>
        <w:rPr/>
      </w:pPr>
      <w:bookmarkStart w:id="5426" w:name="__RefHeading___Toc2569902_3650668749"/>
      <w:bookmarkStart w:id="5427" w:name="_Toc2460"/>
      <w:bookmarkEnd w:id="5426"/>
      <w:r>
        <w:rPr>
          <w:rtl w:val="true"/>
        </w:rPr>
        <w:t>[ (</w:t>
      </w:r>
      <w:r>
        <w:rPr>
          <w:rtl w:val="true"/>
        </w:rPr>
        <w:t xml:space="preserve">مسألة </w:t>
      </w:r>
      <w:r>
        <w:rPr/>
        <w:t>15</w:t>
      </w:r>
      <w:r>
        <w:rPr>
          <w:rtl w:val="true"/>
        </w:rPr>
        <w:t xml:space="preserve">): </w:t>
      </w:r>
      <w:r>
        <w:rPr>
          <w:rtl w:val="true"/>
        </w:rPr>
        <w:t>إذا أقرّ بشی‌ء ثمّ عقّبه بما یضادّه و ینافیه یؤخذ بإقراره</w:t>
      </w:r>
      <w:r>
        <w:rPr>
          <w:rtl w:val="true"/>
        </w:rPr>
        <w:t>]</w:t>
      </w:r>
      <w:bookmarkEnd w:id="5427"/>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بشی‌ء ثمّ عقّبه بما یضادّه و ینافیه یؤخذ بإقراره و یلغی ما ینافیه،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عشرة لا بل تسعة، یلزم بالعشرة،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کذا و هو من ثمن</w:t>
      </w:r>
      <w:bookmarkStart w:id="5428" w:name="pg1809_19544"/>
    </w:p>
    <w:p>
      <w:pPr>
        <w:pStyle w:val="BookText"/>
        <w:rPr/>
      </w:pPr>
      <w:bookmarkEnd w:id="5428"/>
      <w:r>
        <w:rPr>
          <w:rFonts w:ascii="IRNazanin" w:hAnsi="IRNazanin" w:eastAsia="IRNazanin"/>
          <w:color w:val="111111"/>
          <w:sz w:val="28"/>
          <w:sz w:val="28"/>
          <w:szCs w:val="28"/>
          <w:rtl w:val="true"/>
          <w:lang w:bidi="fa-IR"/>
        </w:rPr>
        <w:t>الخمر أو بسبب القمار، یلزم بالمال و لا یسمع منه ما عقّبه، 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ودیعة و قد هلکت، فإنّ إخباره بتلف الودیعة و هلاکها ینافی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عندی، الظاهر فی وجودها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عندی ودیعة و قد هلکت، فهو بحسب الظاهر إقرار بالإیداع عنده سابقاً و لا تنافی بینه و بین طروّ الهلاک علیها، لکن هذا دعوی منه لا بدّ من فصلها علی الموازین الشرعیّة</w:t>
      </w:r>
      <w:r>
        <w:rPr>
          <w:rFonts w:eastAsia="IRNazanin" w:cs="IRNazanin"/>
          <w:color w:val="111111"/>
          <w:sz w:val="28"/>
          <w:szCs w:val="28"/>
          <w:rtl w:val="true"/>
          <w:lang w:bidi="fa-IR"/>
        </w:rPr>
        <w:t>.</w:t>
      </w:r>
    </w:p>
    <w:p>
      <w:pPr>
        <w:pStyle w:val="Heading3"/>
        <w:numPr>
          <w:ilvl w:val="2"/>
          <w:numId w:val="1"/>
        </w:numPr>
        <w:rPr/>
      </w:pPr>
      <w:bookmarkStart w:id="5429" w:name="__RefHeading___Toc2569904_3650668749"/>
      <w:bookmarkStart w:id="5430" w:name="_Toc2461"/>
      <w:bookmarkEnd w:id="5429"/>
      <w:r>
        <w:rPr>
          <w:rtl w:val="true"/>
        </w:rPr>
        <w:t>[ (</w:t>
      </w:r>
      <w:r>
        <w:rPr>
          <w:rtl w:val="true"/>
        </w:rPr>
        <w:t xml:space="preserve">مسألة </w:t>
      </w:r>
      <w:r>
        <w:rPr/>
        <w:t>16</w:t>
      </w:r>
      <w:r>
        <w:rPr>
          <w:rtl w:val="true"/>
        </w:rPr>
        <w:t xml:space="preserve">): </w:t>
      </w:r>
      <w:r>
        <w:rPr>
          <w:rtl w:val="true"/>
        </w:rPr>
        <w:t>لیس الاستثناء من التعقیب بالمنافی</w:t>
      </w:r>
      <w:r>
        <w:rPr>
          <w:rtl w:val="true"/>
        </w:rPr>
        <w:t>]</w:t>
      </w:r>
      <w:bookmarkEnd w:id="5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الاستثناء من التعقیب بالمنافی، بل یکون المقرّ به ما بقی بعد الاستثناء إن کان الاستثناء من المثبت، و نفس المستثنیٰ إن کان الاستثناء من المنفی؛ لأنّ الاستثناء من الإثبات نفی و من النفی إثبات، فلو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عشرة إلّا درهماً، أو هذه الدار التی بیدی لزید إلّا القبّة الفلانیّة، کان إقراراً بالتسعة و بالدار ما عدا القبّة،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علیّ شی‌ء إلّا درهم، أو لیس له من هذه الدار إلّا القبّة الفلانیّة، کان إقراراً بدرهم و 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الإخبار بالإثبات أو النفی متعلّقاً بحقّ الغیر علیه، و أمّا لو کان متعلّقاً بحقّه علی الغیر کان الأمر بالعکس،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علیک عشرة إلّا درهماً، أو لی هذه الدار إلّا القبّة الفلانیّة، کان إقراراً بالنسبة إلیٰ نفی حقّه عن الدراهم الزائد علی التسعة و نفی ملکیّة القبّة، فلو ادّعیٰ بعد ذلک استحقاقه تمام العشرة أو تمام الدار حتّی القبّة لم یسمع منه،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علیک إلّا درهم أو لیس لی من هذه الدار إلّا القبّة الفلانیّة کان إقراراً منه بنفی استحقاق ما عدا درهم و ما عدا القبّة</w:t>
      </w:r>
      <w:r>
        <w:rPr>
          <w:rFonts w:eastAsia="IRNazanin" w:cs="IRNazanin"/>
          <w:color w:val="111111"/>
          <w:sz w:val="28"/>
          <w:szCs w:val="28"/>
          <w:rtl w:val="true"/>
          <w:lang w:bidi="fa-IR"/>
        </w:rPr>
        <w:t>.</w:t>
      </w:r>
    </w:p>
    <w:p>
      <w:pPr>
        <w:pStyle w:val="Heading3"/>
        <w:numPr>
          <w:ilvl w:val="2"/>
          <w:numId w:val="1"/>
        </w:numPr>
        <w:rPr/>
      </w:pPr>
      <w:bookmarkStart w:id="5431" w:name="__RefHeading___Toc2569906_3650668749"/>
      <w:bookmarkStart w:id="5432" w:name="_Toc2462"/>
      <w:bookmarkEnd w:id="5431"/>
      <w:r>
        <w:rPr>
          <w:rtl w:val="true"/>
        </w:rPr>
        <w:t>[ (</w:t>
      </w:r>
      <w:r>
        <w:rPr>
          <w:rtl w:val="true"/>
        </w:rPr>
        <w:t xml:space="preserve">مسألة </w:t>
      </w:r>
      <w:r>
        <w:rPr/>
        <w:t>17</w:t>
      </w:r>
      <w:r>
        <w:rPr>
          <w:rtl w:val="true"/>
        </w:rPr>
        <w:t xml:space="preserve">): </w:t>
      </w:r>
      <w:r>
        <w:rPr>
          <w:rtl w:val="true"/>
        </w:rPr>
        <w:t>لو أقرّ بعین لشخص، ثمّ أقرّ بها لشخص آخر کما إذا قال</w:t>
      </w:r>
      <w:r>
        <w:rPr>
          <w:rtl w:val="true"/>
        </w:rPr>
        <w:t xml:space="preserve">: </w:t>
      </w:r>
      <w:r>
        <w:rPr>
          <w:rtl w:val="true"/>
        </w:rPr>
        <w:t>هذه الدار لزید</w:t>
      </w:r>
      <w:r>
        <w:rPr>
          <w:rtl w:val="true"/>
        </w:rPr>
        <w:t>]</w:t>
      </w:r>
      <w:bookmarkEnd w:id="5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بعین لشخص، ثمّ أقرّ بها لشخص آخر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الدار لزید،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لعمرو، حکم بکونها للأوّل و أُعطیت له و أُغرم للثانی بقیمتها</w:t>
      </w:r>
      <w:r>
        <w:rPr>
          <w:rFonts w:eastAsia="IRNazanin" w:cs="IRNazanin"/>
          <w:color w:val="111111"/>
          <w:sz w:val="28"/>
          <w:szCs w:val="28"/>
          <w:rtl w:val="true"/>
          <w:lang w:bidi="fa-IR"/>
        </w:rPr>
        <w:t>.</w:t>
      </w:r>
    </w:p>
    <w:p>
      <w:pPr>
        <w:pStyle w:val="Heading3"/>
        <w:numPr>
          <w:ilvl w:val="2"/>
          <w:numId w:val="1"/>
        </w:numPr>
        <w:rPr/>
      </w:pPr>
      <w:bookmarkStart w:id="5433" w:name="__RefHeading___Toc2569908_3650668749"/>
      <w:bookmarkStart w:id="5434" w:name="_Toc2463"/>
      <w:bookmarkEnd w:id="5433"/>
      <w:r>
        <w:rPr>
          <w:rtl w:val="true"/>
        </w:rPr>
        <w:t>[ (</w:t>
      </w:r>
      <w:r>
        <w:rPr>
          <w:rtl w:val="true"/>
        </w:rPr>
        <w:t xml:space="preserve">مسألة </w:t>
      </w:r>
      <w:r>
        <w:rPr/>
        <w:t>18</w:t>
      </w:r>
      <w:r>
        <w:rPr>
          <w:rtl w:val="true"/>
        </w:rPr>
        <w:t xml:space="preserve">): </w:t>
      </w:r>
      <w:r>
        <w:rPr>
          <w:rtl w:val="true"/>
        </w:rPr>
        <w:t>من الأقاریر النافذة الإقرار بالنسب کالبنوّة و الاخوّة و غیرهما</w:t>
      </w:r>
      <w:r>
        <w:rPr>
          <w:rtl w:val="true"/>
        </w:rPr>
        <w:t>]</w:t>
      </w:r>
      <w:bookmarkEnd w:id="5434"/>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الأقاریر النافذة الإقرار بالنسب کالبنوّة و الاخوّة و غیرهما و المراد بنفوذه إلزام المقرّ و أخذه بإقراره بالنسبة إلیٰ ما علیه؛ من وجوب إنفاق أو حرمة نکاح أو مشارکته معه فی إرث أو وقف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ثبوت النسب بین المقرّ و المقرّ به بحیث یترتّب جمیع آثاره ففیه تفصیل؛ و هو أنّه إن کان الإقرار بالولد و کان صغیراً غیر بالغ یثبت ولادته بإقراره إذا لم یکذّبه الحسّ و العادة کالإقرار ببنوّة من یقاربه فی السنّ بما لم تجر العادة بتولّده من مثله، و لا الشرع کإقراره ببنوّة من کان ملتحقاً بغیره من جهة الفراش و نحوه، و لم ینازعه فیه منازع، فحینئذٍ یثبت بإقراره کونه ولداً له و یترتّب جمیع آثاره</w:t>
      </w:r>
      <w:bookmarkStart w:id="5435" w:name="pg1809_19545"/>
    </w:p>
    <w:p>
      <w:pPr>
        <w:pStyle w:val="BookText"/>
        <w:rPr/>
      </w:pPr>
      <w:bookmarkEnd w:id="5435"/>
      <w:r>
        <w:rPr>
          <w:rFonts w:ascii="IRNazanin" w:hAnsi="IRNazanin" w:eastAsia="IRNazanin"/>
          <w:color w:val="111111"/>
          <w:sz w:val="28"/>
          <w:sz w:val="28"/>
          <w:szCs w:val="28"/>
          <w:rtl w:val="true"/>
          <w:lang w:bidi="fa-IR"/>
        </w:rPr>
        <w:t>و یتعدّی إلیٰ أنسابهما، فیثبت بذلک کون ولد المقرّ به حفیداً للمقرّ و ولد المقرّ أخاً للمقرّ به و أبیه جدّه و یقع التوارث بینهما، و کذا بین أنسابهما بعضهم مع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لو کان کبیراً و صدّق المقرّ فی إقراره مع الشروط المزبورة، و إن کان الإقرار بغیر الولد و إن کان ولد ولد، فإن کان المقرّ کبیراً و صدّقه أو کان صغیراً و صدّقه بعد بلوغه یتوارثان إذا لم یکن لهما وارث معلوم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یتعدّی التوارث إلیٰ غیرهما من أنسابهما حتّی إلیٰ أولادهما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التصادق أو وجود وارث محقّق لا یثبت بینهما النسب الموجب للتوارث بینهما إلّا بالبیّنة</w:t>
      </w:r>
      <w:r>
        <w:rPr>
          <w:rFonts w:eastAsia="IRNazanin" w:cs="IRNazanin"/>
          <w:color w:val="111111"/>
          <w:sz w:val="28"/>
          <w:szCs w:val="28"/>
          <w:rtl w:val="true"/>
          <w:lang w:bidi="fa-IR"/>
        </w:rPr>
        <w:t>.</w:t>
      </w:r>
    </w:p>
    <w:p>
      <w:pPr>
        <w:pStyle w:val="Heading3"/>
        <w:numPr>
          <w:ilvl w:val="2"/>
          <w:numId w:val="1"/>
        </w:numPr>
        <w:rPr/>
      </w:pPr>
      <w:bookmarkStart w:id="5436" w:name="__RefHeading___Toc2569910_3650668749"/>
      <w:bookmarkStart w:id="5437" w:name="_Toc2464"/>
      <w:bookmarkEnd w:id="5436"/>
      <w:r>
        <w:rPr>
          <w:rtl w:val="true"/>
        </w:rPr>
        <w:t>[ (</w:t>
      </w:r>
      <w:r>
        <w:rPr>
          <w:rtl w:val="true"/>
        </w:rPr>
        <w:t xml:space="preserve">مسألة </w:t>
      </w:r>
      <w:r>
        <w:rPr/>
        <w:t>19</w:t>
      </w:r>
      <w:r>
        <w:rPr>
          <w:rtl w:val="true"/>
        </w:rPr>
        <w:t xml:space="preserve">): </w:t>
      </w:r>
      <w:r>
        <w:rPr>
          <w:rtl w:val="true"/>
        </w:rPr>
        <w:t>إذا أقرّ بولد صغیر، فثبت نسبه، ثمّ بلغ فأنکر لم یلتفت إلیٰ إنکاره</w:t>
      </w:r>
      <w:r>
        <w:rPr>
          <w:rtl w:val="true"/>
        </w:rPr>
        <w:t>]</w:t>
      </w:r>
      <w:bookmarkEnd w:id="5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بولد صغیر، فثبت نسبه، ثمّ بلغ فأنکر لم یلتفت إلیٰ إنکاره</w:t>
      </w:r>
      <w:r>
        <w:rPr>
          <w:rFonts w:eastAsia="IRNazanin" w:cs="IRNazanin"/>
          <w:color w:val="111111"/>
          <w:sz w:val="28"/>
          <w:szCs w:val="28"/>
          <w:rtl w:val="true"/>
          <w:lang w:bidi="fa-IR"/>
        </w:rPr>
        <w:t>.</w:t>
      </w:r>
    </w:p>
    <w:p>
      <w:pPr>
        <w:pStyle w:val="Heading3"/>
        <w:numPr>
          <w:ilvl w:val="2"/>
          <w:numId w:val="1"/>
        </w:numPr>
        <w:rPr/>
      </w:pPr>
      <w:bookmarkStart w:id="5438" w:name="__RefHeading___Toc2569912_3650668749"/>
      <w:bookmarkStart w:id="5439" w:name="_Toc2465"/>
      <w:bookmarkEnd w:id="5438"/>
      <w:r>
        <w:rPr>
          <w:rtl w:val="true"/>
        </w:rPr>
        <w:t>[ (</w:t>
      </w:r>
      <w:r>
        <w:rPr>
          <w:rtl w:val="true"/>
        </w:rPr>
        <w:t xml:space="preserve">مسألة </w:t>
      </w:r>
      <w:r>
        <w:rPr/>
        <w:t>20</w:t>
      </w:r>
      <w:r>
        <w:rPr>
          <w:rtl w:val="true"/>
        </w:rPr>
        <w:t xml:space="preserve">): </w:t>
      </w:r>
      <w:r>
        <w:rPr>
          <w:rtl w:val="true"/>
        </w:rPr>
        <w:t>إذا أقرّ أحد ولدی المیّت بولد آخر له و أنکر الآخر لم یثبت نسب المقرّ به</w:t>
      </w:r>
      <w:r>
        <w:rPr>
          <w:rtl w:val="true"/>
        </w:rPr>
        <w:t>]</w:t>
      </w:r>
      <w:bookmarkEnd w:id="5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أحد ولدی المیّت بولد آخر له و أنکر الآخر لم یثبت نسب المقرّ به، فیأخذ المنکر نصف الترکة و یأخذ المقرّ الثلث؛ حیث إنّ هذا نصیبه بمقتضیٰ إقراره، و یأخذ المقرّ به السدس و هو تکملة نصیب المقرّ و قد تنقّص بسبب إقراره</w:t>
      </w:r>
      <w:r>
        <w:rPr>
          <w:rFonts w:eastAsia="IRNazanin" w:cs="IRNazanin"/>
          <w:color w:val="111111"/>
          <w:sz w:val="28"/>
          <w:szCs w:val="28"/>
          <w:rtl w:val="true"/>
          <w:lang w:bidi="fa-IR"/>
        </w:rPr>
        <w:t>.</w:t>
      </w:r>
    </w:p>
    <w:p>
      <w:pPr>
        <w:pStyle w:val="Heading3"/>
        <w:numPr>
          <w:ilvl w:val="2"/>
          <w:numId w:val="1"/>
        </w:numPr>
        <w:rPr/>
      </w:pPr>
      <w:bookmarkStart w:id="5440" w:name="__RefHeading___Toc2569914_3650668749"/>
      <w:bookmarkStart w:id="5441" w:name="_Toc2466"/>
      <w:bookmarkEnd w:id="5440"/>
      <w:r>
        <w:rPr>
          <w:rtl w:val="true"/>
        </w:rPr>
        <w:t>[ (</w:t>
      </w:r>
      <w:r>
        <w:rPr>
          <w:rtl w:val="true"/>
        </w:rPr>
        <w:t xml:space="preserve">مسألة </w:t>
      </w:r>
      <w:r>
        <w:rPr/>
        <w:t>21</w:t>
      </w:r>
      <w:r>
        <w:rPr>
          <w:rtl w:val="true"/>
        </w:rPr>
        <w:t xml:space="preserve">): </w:t>
      </w:r>
      <w:r>
        <w:rPr>
          <w:rtl w:val="true"/>
        </w:rPr>
        <w:t>لو کان للمیّت إخوة و زوجة فأقرّت بولد له، کان لها الثمن</w:t>
      </w:r>
      <w:r>
        <w:rPr>
          <w:rtl w:val="true"/>
        </w:rPr>
        <w:t>]</w:t>
      </w:r>
      <w:bookmarkEnd w:id="5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للمیّت إخوة و زوجة فأقرّت بولد له، کان لها الثمن و کان الباقی للولد إن صدّقها الإخوة، و إن أنکروا کان لهم ثلاثة أرباع و للزوجة الثمن و باقی حصّتها للولد</w:t>
      </w:r>
      <w:r>
        <w:rPr>
          <w:rFonts w:eastAsia="IRNazanin" w:cs="IRNazanin"/>
          <w:color w:val="111111"/>
          <w:sz w:val="28"/>
          <w:szCs w:val="28"/>
          <w:rtl w:val="true"/>
          <w:lang w:bidi="fa-IR"/>
        </w:rPr>
        <w:t>.</w:t>
      </w:r>
    </w:p>
    <w:p>
      <w:pPr>
        <w:pStyle w:val="Heading3"/>
        <w:numPr>
          <w:ilvl w:val="2"/>
          <w:numId w:val="1"/>
        </w:numPr>
        <w:rPr/>
      </w:pPr>
      <w:bookmarkStart w:id="5442" w:name="__RefHeading___Toc2569916_3650668749"/>
      <w:bookmarkStart w:id="5443" w:name="_Toc2467"/>
      <w:bookmarkEnd w:id="5442"/>
      <w:r>
        <w:rPr>
          <w:rtl w:val="true"/>
        </w:rPr>
        <w:t>[ (</w:t>
      </w:r>
      <w:r>
        <w:rPr>
          <w:rtl w:val="true"/>
        </w:rPr>
        <w:t xml:space="preserve">مسألة </w:t>
      </w:r>
      <w:r>
        <w:rPr/>
        <w:t>22</w:t>
      </w:r>
      <w:r>
        <w:rPr>
          <w:rtl w:val="true"/>
        </w:rPr>
        <w:t xml:space="preserve">): </w:t>
      </w:r>
      <w:r>
        <w:rPr>
          <w:rtl w:val="true"/>
        </w:rPr>
        <w:t>إذا مات صبیّ مجهول النسب</w:t>
      </w:r>
      <w:r>
        <w:rPr>
          <w:rtl w:val="true"/>
        </w:rPr>
        <w:t>]</w:t>
      </w:r>
      <w:bookmarkEnd w:id="5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صبیّ مجهول النسب، فأقرّ إنسان ببنوّته ثبت نسبه و کان میراثه للمقرّ إذا کان له مال</w:t>
      </w:r>
      <w:r>
        <w:rPr>
          <w:rFonts w:eastAsia="IRNazanin" w:cs="IRNazanin"/>
          <w:color w:val="111111"/>
          <w:sz w:val="28"/>
          <w:szCs w:val="28"/>
          <w:rtl w:val="true"/>
          <w:lang w:bidi="fa-IR"/>
        </w:rPr>
        <w:t>.</w:t>
      </w:r>
    </w:p>
    <w:p>
      <w:pPr>
        <w:pStyle w:val="Heading3"/>
        <w:numPr>
          <w:ilvl w:val="2"/>
          <w:numId w:val="1"/>
        </w:numPr>
        <w:rPr/>
      </w:pPr>
      <w:bookmarkStart w:id="5444" w:name="__RefHeading___Toc2569918_3650668749"/>
      <w:bookmarkStart w:id="5445" w:name="_Toc2468"/>
      <w:bookmarkEnd w:id="5444"/>
      <w:r>
        <w:rPr>
          <w:rtl w:val="true"/>
        </w:rPr>
        <w:t>[ (</w:t>
      </w:r>
      <w:r>
        <w:rPr>
          <w:rtl w:val="true"/>
        </w:rPr>
        <w:t xml:space="preserve">مسألة </w:t>
      </w:r>
      <w:r>
        <w:rPr/>
        <w:t>23</w:t>
      </w:r>
      <w:r>
        <w:rPr>
          <w:rtl w:val="true"/>
        </w:rPr>
        <w:t xml:space="preserve">): </w:t>
      </w:r>
      <w:r>
        <w:rPr>
          <w:rtl w:val="true"/>
        </w:rPr>
        <w:t>ینفذ إقرار المریض کالصحیح</w:t>
      </w:r>
      <w:r>
        <w:rPr>
          <w:rtl w:val="true"/>
        </w:rPr>
        <w:t>]</w:t>
      </w:r>
      <w:bookmarkEnd w:id="5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ینفذ إقرار المریض کالصحیح، و یصحّ إلّا فی مرض الموت مع التهمة فلا ینفذ إقراره فیما زاد علی الثلث؛ سواء أقرّ لوارث أو أجنبیّ، و قد تقدّم فی کتاب الحجر</w:t>
      </w:r>
      <w:r>
        <w:rPr>
          <w:rFonts w:eastAsia="IRNazanin" w:cs="IRNazanin"/>
          <w:color w:val="111111"/>
          <w:sz w:val="28"/>
          <w:szCs w:val="28"/>
          <w:rtl w:val="true"/>
          <w:lang w:bidi="fa-IR"/>
        </w:rPr>
        <w:t>.</w:t>
      </w:r>
    </w:p>
    <w:p>
      <w:pPr>
        <w:pStyle w:val="Heading3"/>
        <w:numPr>
          <w:ilvl w:val="2"/>
          <w:numId w:val="1"/>
        </w:numPr>
        <w:rPr/>
      </w:pPr>
      <w:bookmarkStart w:id="5446" w:name="__RefHeading___Toc2569920_3650668749"/>
      <w:bookmarkStart w:id="5447" w:name="_Toc2469"/>
      <w:bookmarkEnd w:id="5446"/>
      <w:r>
        <w:rPr>
          <w:rtl w:val="true"/>
        </w:rPr>
        <w:t>[ (</w:t>
      </w:r>
      <w:r>
        <w:rPr>
          <w:rtl w:val="true"/>
        </w:rPr>
        <w:t xml:space="preserve">مسألة </w:t>
      </w:r>
      <w:r>
        <w:rPr/>
        <w:t>24</w:t>
      </w:r>
      <w:r>
        <w:rPr>
          <w:rtl w:val="true"/>
        </w:rPr>
        <w:t xml:space="preserve">): </w:t>
      </w:r>
      <w:r>
        <w:rPr>
          <w:rtl w:val="true"/>
        </w:rPr>
        <w:t>لو أقرّ الورثة بأسرهم بدین علی المیّت</w:t>
      </w:r>
      <w:r>
        <w:rPr>
          <w:rtl w:val="true"/>
        </w:rPr>
        <w:t>]</w:t>
      </w:r>
      <w:bookmarkEnd w:id="5447"/>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الورثة بأسرهم بدین علی المیّت أو بشی‌ء من ماله للغیر کان مقبولًا؛ لأنّه کإقرار المیّت، و لو أقرّ بعضهم و أنکر البعض فإن أقرّ اثنان و کانا عدلین ثبت الدین علی المیّت و کذا العین للمقرّ له بشهادتهما، و إن لم یکونا عدلین أو کان المقرّ واحداً نفذ إقرار المقرّ فی حقّ نفسه خاصّة و یؤخذ منه من الدین الذی أقرّ به مثلًا بنسبة نصیبه من الترکة، فإذا کانت الترکة مائة و نصیب کلّ من الوارثین خمسین فأقرّ أحدهما لأجنبیّ بخمسین و کذّبه الآخر أخذ المقرّ له من نصیب المقرّ خمسة و عشرین، و کذا الحال فیما إذا أقرّ بعض الورثة بأنّ المیّت أوصیٰ لأجنبیّ بشی‌ء و أنکر البعض</w:t>
      </w:r>
      <w:r>
        <w:rPr>
          <w:rFonts w:eastAsia="IRNazanin" w:cs="IRNazanin"/>
          <w:color w:val="111111"/>
          <w:sz w:val="28"/>
          <w:szCs w:val="28"/>
          <w:rtl w:val="true"/>
          <w:lang w:bidi="fa-IR"/>
        </w:rPr>
        <w:t>.</w:t>
      </w:r>
      <w:bookmarkStart w:id="5448" w:name="pg1809_19546"/>
    </w:p>
    <w:p>
      <w:pPr>
        <w:pStyle w:val="Heading2"/>
        <w:numPr>
          <w:ilvl w:val="1"/>
          <w:numId w:val="1"/>
        </w:numPr>
        <w:rPr/>
      </w:pPr>
      <w:bookmarkStart w:id="5449" w:name="__RefHeading___Toc2569922_3650668749"/>
      <w:bookmarkStart w:id="5450" w:name="_Toc2470"/>
      <w:bookmarkEnd w:id="5448"/>
      <w:bookmarkEnd w:id="5449"/>
      <w:r>
        <w:rPr>
          <w:rtl w:val="true"/>
        </w:rPr>
        <w:t>[</w:t>
      </w:r>
      <w:r>
        <w:rPr>
          <w:rtl w:val="true"/>
        </w:rPr>
        <w:t>کتاب الهبة</w:t>
      </w:r>
      <w:r>
        <w:rPr>
          <w:rtl w:val="true"/>
        </w:rPr>
        <w:t>]</w:t>
      </w:r>
      <w:bookmarkEnd w:id="5450"/>
    </w:p>
    <w:p>
      <w:pPr>
        <w:pStyle w:val="Heading3"/>
        <w:numPr>
          <w:ilvl w:val="2"/>
          <w:numId w:val="1"/>
        </w:numPr>
        <w:rPr/>
      </w:pPr>
      <w:bookmarkStart w:id="5451" w:name="__RefHeading___Toc2569924_3650668749"/>
      <w:bookmarkStart w:id="5452" w:name="_Toc2471"/>
      <w:bookmarkEnd w:id="5451"/>
      <w:r>
        <w:rPr>
          <w:rtl w:val="true"/>
        </w:rPr>
        <w:t>اشارة</w:t>
      </w:r>
      <w:bookmarkEnd w:id="5452"/>
    </w:p>
    <w:p>
      <w:pPr>
        <w:pStyle w:val="BookText"/>
        <w:rPr/>
      </w:pPr>
      <w:r>
        <w:rPr>
          <w:rFonts w:ascii="IRNazanin" w:hAnsi="IRNazanin" w:eastAsia="IRNazanin"/>
          <w:color w:val="111111"/>
          <w:sz w:val="28"/>
          <w:sz w:val="28"/>
          <w:szCs w:val="28"/>
          <w:rtl w:val="true"/>
          <w:lang w:bidi="fa-IR"/>
        </w:rPr>
        <w:t xml:space="preserve">کتاب الهبة و هی تملیک </w:t>
      </w:r>
      <w:r>
        <w:rPr>
          <w:rStyle w:val="FootnoteAnchor"/>
          <w:rtl w:val="true"/>
        </w:rPr>
        <w:footnoteReference w:id="1474"/>
      </w:r>
      <w:r>
        <w:rPr>
          <w:rFonts w:ascii="IRNazanin" w:hAnsi="IRNazanin" w:eastAsia="IRNazanin"/>
          <w:color w:val="111111"/>
          <w:sz w:val="28"/>
          <w:sz w:val="28"/>
          <w:szCs w:val="28"/>
          <w:rtl w:val="true"/>
          <w:lang w:bidi="fa-IR"/>
        </w:rPr>
        <w:t>عین مجّاناً و من غیر عوض، و قد یعبّر عنها بالعطیّة و 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عقد یفتقر إلیٰ إیجاب و قبول، و یکفی فی الإیجاب کلّ لفظ دلّ علی التملیک المذکور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و فی القبول کلّ ما دلّ علی الرضا بالإیجاب، و لا یعتبر فیه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وقوعها بالمعاطاة بتسلیم العین و تسلّمها بعنوان التملیک و التملّک</w:t>
      </w:r>
      <w:r>
        <w:rPr>
          <w:rFonts w:eastAsia="IRNazanin" w:cs="IRNazanin"/>
          <w:color w:val="111111"/>
          <w:sz w:val="28"/>
          <w:szCs w:val="28"/>
          <w:rtl w:val="true"/>
          <w:lang w:bidi="fa-IR"/>
        </w:rPr>
        <w:t>.</w:t>
      </w:r>
    </w:p>
    <w:p>
      <w:pPr>
        <w:pStyle w:val="Heading3"/>
        <w:numPr>
          <w:ilvl w:val="2"/>
          <w:numId w:val="1"/>
        </w:numPr>
        <w:rPr/>
      </w:pPr>
      <w:bookmarkStart w:id="5453" w:name="__RefHeading___Toc2569926_3650668749"/>
      <w:bookmarkStart w:id="5454" w:name="_Toc2472"/>
      <w:bookmarkEnd w:id="5453"/>
      <w:r>
        <w:rPr>
          <w:rtl w:val="true"/>
        </w:rPr>
        <w:t>[ (</w:t>
      </w:r>
      <w:r>
        <w:rPr>
          <w:rtl w:val="true"/>
        </w:rPr>
        <w:t xml:space="preserve">مسألة </w:t>
      </w:r>
      <w:r>
        <w:rPr/>
        <w:t>1</w:t>
      </w:r>
      <w:r>
        <w:rPr>
          <w:rtl w:val="true"/>
        </w:rPr>
        <w:t xml:space="preserve">): </w:t>
      </w:r>
      <w:r>
        <w:rPr>
          <w:rtl w:val="true"/>
        </w:rPr>
        <w:t>یعتبر فی کلّ من الواهب و الموهوب له</w:t>
      </w:r>
      <w:r>
        <w:rPr>
          <w:rtl w:val="true"/>
        </w:rPr>
        <w:t xml:space="preserve">: </w:t>
      </w:r>
      <w:r>
        <w:rPr>
          <w:rtl w:val="true"/>
        </w:rPr>
        <w:t>البلوغ و العقل و القصد و الاختیار</w:t>
      </w:r>
      <w:r>
        <w:rPr>
          <w:rtl w:val="true"/>
        </w:rPr>
        <w:t>]</w:t>
      </w:r>
      <w:bookmarkEnd w:id="5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کلّ من الواهب و الموهوب له </w:t>
      </w:r>
      <w:r>
        <w:rPr>
          <w:rStyle w:val="FootnoteAnchor"/>
          <w:rtl w:val="true"/>
        </w:rPr>
        <w:footnoteReference w:id="1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القصد و الاختیار، و فی الواهب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الحجر علیه بسفه أو فلس، و تصحّ من المریض بمرض الموت و إن زاد علی الثلث، بناءً علیٰ ما هو الأقویٰ من أنّ منجّزات المریض تنفذ من الأصل، کما تقدّم فی کتاب الحجر</w:t>
      </w:r>
      <w:r>
        <w:rPr>
          <w:rFonts w:eastAsia="IRNazanin" w:cs="IRNazanin"/>
          <w:color w:val="111111"/>
          <w:sz w:val="28"/>
          <w:szCs w:val="28"/>
          <w:rtl w:val="true"/>
          <w:lang w:bidi="fa-IR"/>
        </w:rPr>
        <w:t>.</w:t>
      </w:r>
    </w:p>
    <w:p>
      <w:pPr>
        <w:pStyle w:val="Heading3"/>
        <w:numPr>
          <w:ilvl w:val="2"/>
          <w:numId w:val="1"/>
        </w:numPr>
        <w:rPr/>
      </w:pPr>
      <w:bookmarkStart w:id="5455" w:name="__RefHeading___Toc2569928_3650668749"/>
      <w:bookmarkStart w:id="5456" w:name="_Toc2473"/>
      <w:bookmarkEnd w:id="5455"/>
      <w:r>
        <w:rPr>
          <w:rtl w:val="true"/>
        </w:rPr>
        <w:t>[ (</w:t>
      </w:r>
      <w:r>
        <w:rPr>
          <w:rtl w:val="true"/>
        </w:rPr>
        <w:t xml:space="preserve">مسألة </w:t>
      </w:r>
      <w:r>
        <w:rPr/>
        <w:t>2</w:t>
      </w:r>
      <w:r>
        <w:rPr>
          <w:rtl w:val="true"/>
        </w:rPr>
        <w:t xml:space="preserve">): </w:t>
      </w:r>
      <w:r>
        <w:rPr>
          <w:rtl w:val="true"/>
        </w:rPr>
        <w:t>یشترط فی الموهوب أن یکون عیناً</w:t>
      </w:r>
      <w:r>
        <w:rPr>
          <w:rtl w:val="true"/>
        </w:rPr>
        <w:t>]</w:t>
      </w:r>
      <w:bookmarkEnd w:id="5456"/>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الموهوب أن یکون عیناً، فلا تصحّ هبة المنافع، و أمّا الدین فإن کانت لمن علیه الحقّ صحّت بلا إشکال و أفادت فائدة الإبراء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یعتبر فیها القبول علی الأحوط لو لم یکن </w:t>
      </w:r>
      <w:r>
        <w:rPr>
          <w:rStyle w:val="FootnoteAnchor"/>
          <w:rtl w:val="true"/>
        </w:rPr>
        <w:footnoteReference w:id="1476"/>
      </w:r>
      <w:r>
        <w:rPr>
          <w:rFonts w:ascii="IRNazanin" w:hAnsi="IRNazanin" w:eastAsia="IRNazanin"/>
          <w:color w:val="111111"/>
          <w:sz w:val="28"/>
          <w:sz w:val="28"/>
          <w:szCs w:val="28"/>
          <w:rtl w:val="true"/>
          <w:lang w:bidi="fa-IR"/>
        </w:rPr>
        <w:t>الأقویٰ و إن لم یعتبر فی الإبراء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هذه الهبة و الإبراء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الثانی إسقاط لما فی ذمّة المدیون، و هذه تملیک له و إن کان یترتّب علیه</w:t>
      </w:r>
      <w:bookmarkStart w:id="5457" w:name="pg1809_19547"/>
    </w:p>
    <w:p>
      <w:pPr>
        <w:pStyle w:val="BookText"/>
        <w:rPr/>
      </w:pPr>
      <w:bookmarkEnd w:id="5457"/>
      <w:r>
        <w:rPr>
          <w:rFonts w:ascii="IRNazanin" w:hAnsi="IRNazanin" w:eastAsia="IRNazanin"/>
          <w:color w:val="111111"/>
          <w:sz w:val="28"/>
          <w:sz w:val="28"/>
          <w:szCs w:val="28"/>
          <w:rtl w:val="true"/>
          <w:lang w:bidi="fa-IR"/>
        </w:rPr>
        <w:t xml:space="preserve">السقوط کبیع الدین علیٰ من علیه الدین، و إن کانت لغیر من علیه الحقّ ففیه إشکال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8" w:name="__RefHeading___Toc2569930_3650668749"/>
      <w:bookmarkStart w:id="5459" w:name="_Toc2474"/>
      <w:bookmarkEnd w:id="5458"/>
      <w:r>
        <w:rPr>
          <w:rtl w:val="true"/>
        </w:rPr>
        <w:t>[ (</w:t>
      </w:r>
      <w:r>
        <w:rPr>
          <w:rtl w:val="true"/>
        </w:rPr>
        <w:t xml:space="preserve">مسألة </w:t>
      </w:r>
      <w:r>
        <w:rPr/>
        <w:t>3</w:t>
      </w:r>
      <w:r>
        <w:rPr>
          <w:rtl w:val="true"/>
        </w:rPr>
        <w:t xml:space="preserve">): </w:t>
      </w:r>
      <w:r>
        <w:rPr>
          <w:rtl w:val="true"/>
        </w:rPr>
        <w:t>یشترط فی صحّة الهبة قبض الموهوب له</w:t>
      </w:r>
      <w:r>
        <w:rPr>
          <w:rtl w:val="true"/>
        </w:rPr>
        <w:t>]</w:t>
      </w:r>
      <w:bookmarkEnd w:id="5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صحّة الهبة قبض الموهوب له، و لو فی غیر مجلس العقد، و یشترط </w:t>
      </w:r>
      <w:r>
        <w:rPr>
          <w:rStyle w:val="FootnoteAnchor"/>
          <w:rtl w:val="true"/>
        </w:rPr>
        <w:footnoteReference w:id="1478"/>
      </w:r>
      <w:r>
        <w:rPr>
          <w:rFonts w:ascii="IRNazanin" w:hAnsi="IRNazanin" w:eastAsia="IRNazanin"/>
          <w:color w:val="111111"/>
          <w:sz w:val="28"/>
          <w:sz w:val="28"/>
          <w:szCs w:val="28"/>
          <w:rtl w:val="true"/>
          <w:lang w:bidi="fa-IR"/>
        </w:rPr>
        <w:t>فی صحّة القبض کونه بإذن الواهب، نعم لو وهب ما کان فی ید الموهوب له صحّ و لا یحتاج إلیٰ قبض جدید و لا مضیّ زمان یمکن فیه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الواهب ولیّاً علی الموهوب له کالأب و الجدّ للولد الصغیر و قد وهبه ما فی یده صحّ بمجرّد العقد؛ لأنّ قبض الولیّ قبض عن المولّی علیه، و الأحوط أن یقصد القبض عن المولّی علیه بعد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وهب الصغیر غیر الولیّ فلا بدّ من القبض و یتولّاه الولیّ</w:t>
      </w:r>
      <w:r>
        <w:rPr>
          <w:rFonts w:eastAsia="IRNazanin" w:cs="IRNazanin"/>
          <w:color w:val="111111"/>
          <w:sz w:val="28"/>
          <w:szCs w:val="28"/>
          <w:rtl w:val="true"/>
          <w:lang w:bidi="fa-IR"/>
        </w:rPr>
        <w:t>.</w:t>
      </w:r>
    </w:p>
    <w:p>
      <w:pPr>
        <w:pStyle w:val="Heading3"/>
        <w:numPr>
          <w:ilvl w:val="2"/>
          <w:numId w:val="1"/>
        </w:numPr>
        <w:rPr/>
      </w:pPr>
      <w:bookmarkStart w:id="5460" w:name="__RefHeading___Toc2569932_3650668749"/>
      <w:bookmarkStart w:id="5461" w:name="_Toc2475"/>
      <w:bookmarkEnd w:id="5460"/>
      <w:r>
        <w:rPr>
          <w:rtl w:val="true"/>
        </w:rPr>
        <w:t>[ (</w:t>
      </w:r>
      <w:r>
        <w:rPr>
          <w:rtl w:val="true"/>
        </w:rPr>
        <w:t xml:space="preserve">مسألة </w:t>
      </w:r>
      <w:r>
        <w:rPr/>
        <w:t>4</w:t>
      </w:r>
      <w:r>
        <w:rPr>
          <w:rtl w:val="true"/>
        </w:rPr>
        <w:t xml:space="preserve">): </w:t>
      </w:r>
      <w:r>
        <w:rPr>
          <w:rtl w:val="true"/>
        </w:rPr>
        <w:t>القبض فی الهبة کالقبض فی البیع</w:t>
      </w:r>
      <w:r>
        <w:rPr>
          <w:rtl w:val="true"/>
        </w:rPr>
        <w:t>]</w:t>
      </w:r>
      <w:bookmarkEnd w:id="5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فی الهبة کالقبض فی البیع، و هو فی غیر المنقول کالدار و البستان التخلیة برفع یده عنه و رفع المنافیات و الإذن للموهوب له فی التصرّف؛ بحیث صار تحت استیلائه، و فی المنقول الاستقلال و الاستیلاء علیه بالید، أو ما هو بمنزلته کوضعه فی حجره، أو فی جیبه و نحو ذلک</w:t>
      </w:r>
      <w:r>
        <w:rPr>
          <w:rFonts w:eastAsia="IRNazanin" w:cs="IRNazanin"/>
          <w:color w:val="111111"/>
          <w:sz w:val="28"/>
          <w:szCs w:val="28"/>
          <w:rtl w:val="true"/>
          <w:lang w:bidi="fa-IR"/>
        </w:rPr>
        <w:t>.</w:t>
      </w:r>
    </w:p>
    <w:p>
      <w:pPr>
        <w:pStyle w:val="Heading3"/>
        <w:numPr>
          <w:ilvl w:val="2"/>
          <w:numId w:val="1"/>
        </w:numPr>
        <w:rPr/>
      </w:pPr>
      <w:bookmarkStart w:id="5462" w:name="__RefHeading___Toc2569934_3650668749"/>
      <w:bookmarkStart w:id="5463" w:name="_Toc2476"/>
      <w:bookmarkEnd w:id="5462"/>
      <w:r>
        <w:rPr>
          <w:rtl w:val="true"/>
        </w:rPr>
        <w:t>[ (</w:t>
      </w:r>
      <w:r>
        <w:rPr>
          <w:rtl w:val="true"/>
        </w:rPr>
        <w:t xml:space="preserve">مسألة </w:t>
      </w:r>
      <w:r>
        <w:rPr/>
        <w:t>5</w:t>
      </w:r>
      <w:r>
        <w:rPr>
          <w:rtl w:val="true"/>
        </w:rPr>
        <w:t xml:space="preserve">): </w:t>
      </w:r>
      <w:r>
        <w:rPr>
          <w:rtl w:val="true"/>
        </w:rPr>
        <w:t>یجوز هبة المشاع</w:t>
      </w:r>
      <w:r>
        <w:rPr>
          <w:rtl w:val="true"/>
        </w:rPr>
        <w:t>]</w:t>
      </w:r>
      <w:bookmarkEnd w:id="5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هبة المشاع؛ لإمکان قبضه، و لو بقبض المجموع بإذن الشریک أو بتوکیل المتّهب إیّاه فی قبض الحصّة الموهوبة عنه، بل الظاهر تحقّق القبض الذی هو شرط للصحّة فی المشاع باستیلاء المتّهب علیه من دون إذن الشریک أیضاً، و ترتّب الأثر علیه و إن کان تعدّیاً </w:t>
      </w:r>
      <w:r>
        <w:rPr>
          <w:rStyle w:val="FootnoteAnchor"/>
          <w:rtl w:val="true"/>
        </w:rPr>
        <w:footnoteReference w:id="1479"/>
      </w:r>
      <w:r>
        <w:rPr>
          <w:rFonts w:ascii="IRNazanin" w:hAnsi="IRNazanin" w:eastAsia="IRNazanin"/>
          <w:color w:val="111111"/>
          <w:sz w:val="28"/>
          <w:sz w:val="28"/>
          <w:szCs w:val="28"/>
          <w:rtl w:val="true"/>
          <w:lang w:bidi="fa-IR"/>
        </w:rPr>
        <w:t>بالنسبة إلیه</w:t>
      </w:r>
      <w:r>
        <w:rPr>
          <w:rFonts w:eastAsia="IRNazanin" w:cs="IRNazanin"/>
          <w:color w:val="111111"/>
          <w:sz w:val="28"/>
          <w:szCs w:val="28"/>
          <w:rtl w:val="true"/>
          <w:lang w:bidi="fa-IR"/>
        </w:rPr>
        <w:t>.</w:t>
      </w:r>
    </w:p>
    <w:p>
      <w:pPr>
        <w:pStyle w:val="Heading3"/>
        <w:numPr>
          <w:ilvl w:val="2"/>
          <w:numId w:val="1"/>
        </w:numPr>
        <w:rPr/>
      </w:pPr>
      <w:bookmarkStart w:id="5464" w:name="__RefHeading___Toc2569936_3650668749"/>
      <w:bookmarkStart w:id="5465" w:name="_Toc2477"/>
      <w:bookmarkEnd w:id="5464"/>
      <w:r>
        <w:rPr>
          <w:rtl w:val="true"/>
        </w:rPr>
        <w:t>[ (</w:t>
      </w:r>
      <w:r>
        <w:rPr>
          <w:rtl w:val="true"/>
        </w:rPr>
        <w:t xml:space="preserve">مسألة </w:t>
      </w:r>
      <w:r>
        <w:rPr/>
        <w:t>6</w:t>
      </w:r>
      <w:r>
        <w:rPr>
          <w:rtl w:val="true"/>
        </w:rPr>
        <w:t xml:space="preserve">): </w:t>
      </w:r>
      <w:r>
        <w:rPr>
          <w:rtl w:val="true"/>
        </w:rPr>
        <w:t>لا یعتبر الفوریّة فی القبض و لا کونه فی مجلس العقد</w:t>
      </w:r>
      <w:r>
        <w:rPr>
          <w:rtl w:val="true"/>
        </w:rPr>
        <w:t>]</w:t>
      </w:r>
      <w:bookmarkEnd w:id="5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الفوریّة فی القبض و لا کونه فی مجلس العقد، فیجوز فیه التراخی عن العقد و لو بزمان کثیر، و لو تراخی یحصل الانتقال إلی الموهوب له من حینه، فما کان له من النماء سابقاً علی القبض یکون للواهب</w:t>
      </w:r>
      <w:r>
        <w:rPr>
          <w:rFonts w:eastAsia="IRNazanin" w:cs="IRNazanin"/>
          <w:color w:val="111111"/>
          <w:sz w:val="28"/>
          <w:szCs w:val="28"/>
          <w:rtl w:val="true"/>
          <w:lang w:bidi="fa-IR"/>
        </w:rPr>
        <w:t>.</w:t>
      </w:r>
    </w:p>
    <w:p>
      <w:pPr>
        <w:pStyle w:val="Heading3"/>
        <w:numPr>
          <w:ilvl w:val="2"/>
          <w:numId w:val="1"/>
        </w:numPr>
        <w:rPr/>
      </w:pPr>
      <w:bookmarkStart w:id="5466" w:name="__RefHeading___Toc2569938_3650668749"/>
      <w:bookmarkStart w:id="5467" w:name="_Toc2478"/>
      <w:bookmarkEnd w:id="5466"/>
      <w:r>
        <w:rPr>
          <w:rtl w:val="true"/>
        </w:rPr>
        <w:t>[ (</w:t>
      </w:r>
      <w:r>
        <w:rPr>
          <w:rtl w:val="true"/>
        </w:rPr>
        <w:t xml:space="preserve">مسألة </w:t>
      </w:r>
      <w:r>
        <w:rPr/>
        <w:t>7</w:t>
      </w:r>
      <w:r>
        <w:rPr>
          <w:rtl w:val="true"/>
        </w:rPr>
        <w:t xml:space="preserve">): </w:t>
      </w:r>
      <w:r>
        <w:rPr>
          <w:rtl w:val="true"/>
        </w:rPr>
        <w:t>لو مات الواهب بعد العقد و قبل القبض بطل العقد و انفسخ و انتقل الموهوب إلیٰ ورثته</w:t>
      </w:r>
      <w:r>
        <w:rPr>
          <w:rtl w:val="true"/>
        </w:rPr>
        <w:t>]</w:t>
      </w:r>
      <w:bookmarkEnd w:id="5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الواهب بعد العقد و قبل القبض بطل العقد و انفسخ و انتقل الموهوب إلیٰ ورثته و لا یقومون مقامه فی الإقباض، فیحتاج إلیٰ إیقاع هبة جدیدة بینهم و بین الموهوب له، کما أنّه لو مات الموهوب له لا یقوم ورثته مقامه فی القبض، بل یحتاج إلیٰ هبة جدیدة من الواهب إیّاهم</w:t>
      </w:r>
      <w:r>
        <w:rPr>
          <w:rFonts w:eastAsia="IRNazanin" w:cs="IRNazanin"/>
          <w:color w:val="111111"/>
          <w:sz w:val="28"/>
          <w:szCs w:val="28"/>
          <w:rtl w:val="true"/>
          <w:lang w:bidi="fa-IR"/>
        </w:rPr>
        <w:t>.</w:t>
      </w:r>
    </w:p>
    <w:p>
      <w:pPr>
        <w:pStyle w:val="Heading3"/>
        <w:numPr>
          <w:ilvl w:val="2"/>
          <w:numId w:val="1"/>
        </w:numPr>
        <w:rPr/>
      </w:pPr>
      <w:bookmarkStart w:id="5468" w:name="__RefHeading___Toc2569940_3650668749"/>
      <w:bookmarkStart w:id="5469" w:name="_Toc2479"/>
      <w:bookmarkEnd w:id="5468"/>
      <w:r>
        <w:rPr>
          <w:rtl w:val="true"/>
        </w:rPr>
        <w:t>[ (</w:t>
      </w:r>
      <w:r>
        <w:rPr>
          <w:rtl w:val="true"/>
        </w:rPr>
        <w:t xml:space="preserve">مسألة </w:t>
      </w:r>
      <w:r>
        <w:rPr/>
        <w:t>8</w:t>
      </w:r>
      <w:r>
        <w:rPr>
          <w:rtl w:val="true"/>
        </w:rPr>
        <w:t xml:space="preserve">): </w:t>
      </w:r>
      <w:r>
        <w:rPr>
          <w:rtl w:val="true"/>
        </w:rPr>
        <w:t>إذا تمّت الهبة بالقبض</w:t>
      </w:r>
      <w:r>
        <w:rPr>
          <w:rtl w:val="true"/>
        </w:rPr>
        <w:t>]</w:t>
      </w:r>
      <w:bookmarkEnd w:id="5469"/>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تمّت الهبة بالقبض فإن کانت لذی رحم؛ أباً کان أو امّاً أو ولداً، أو</w:t>
      </w:r>
      <w:bookmarkStart w:id="5470" w:name="pg1809_19548"/>
    </w:p>
    <w:p>
      <w:pPr>
        <w:pStyle w:val="BookText"/>
        <w:rPr/>
      </w:pPr>
      <w:bookmarkEnd w:id="5470"/>
      <w:r>
        <w:rPr>
          <w:rFonts w:ascii="IRNazanin" w:hAnsi="IRNazanin" w:eastAsia="IRNazanin"/>
          <w:color w:val="111111"/>
          <w:sz w:val="28"/>
          <w:sz w:val="28"/>
          <w:szCs w:val="28"/>
          <w:rtl w:val="true"/>
          <w:lang w:bidi="fa-IR"/>
        </w:rPr>
        <w:t xml:space="preserve">غیرهم، و کذا إن کانت للزوج أو الزوجة علی الأقویٰ </w:t>
      </w:r>
      <w:r>
        <w:rPr>
          <w:rStyle w:val="FootnoteAnchor"/>
          <w:rtl w:val="true"/>
        </w:rPr>
        <w:footnoteReference w:id="1480"/>
      </w:r>
      <w:r>
        <w:rPr>
          <w:rFonts w:ascii="IRNazanin" w:hAnsi="IRNazanin" w:eastAsia="IRNazanin"/>
          <w:color w:val="111111"/>
          <w:sz w:val="28"/>
          <w:sz w:val="28"/>
          <w:szCs w:val="28"/>
          <w:rtl w:val="true"/>
          <w:lang w:bidi="fa-IR"/>
        </w:rPr>
        <w:t>لم یکن للواهب الرجوع فی 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لأجنبیّ غیر الزوج و الزوجة کان له الرجوع فیها ما دامت العین باقیة، فإن تلفت کلّا أو بعضاً </w:t>
      </w:r>
      <w:r>
        <w:rPr>
          <w:rStyle w:val="FootnoteAnchor"/>
          <w:rtl w:val="true"/>
        </w:rPr>
        <w:footnoteReference w:id="1481"/>
      </w:r>
      <w:r>
        <w:rPr>
          <w:rFonts w:ascii="IRNazanin" w:hAnsi="IRNazanin" w:eastAsia="IRNazanin"/>
          <w:color w:val="111111"/>
          <w:sz w:val="28"/>
          <w:sz w:val="28"/>
          <w:szCs w:val="28"/>
          <w:rtl w:val="true"/>
          <w:lang w:bidi="fa-IR"/>
        </w:rPr>
        <w:t>فلا رجوع، و کذا لا رجوع إن عوّض المتّهب عنها و لو کان یسیراً؛ من غیر فرق بین ما کان إعطاء العوض لأجل اشتراطه فی الهبة و بین غیره؛ بأن أطلق فی العقد، لکن المتّهب أثاب الواهب و أعطاه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رجوع فیها لو قصد الواهب فی هبته القربة و أراد بها وجه اللّٰه تعالیٰ</w:t>
      </w:r>
      <w:r>
        <w:rPr>
          <w:rFonts w:eastAsia="IRNazanin" w:cs="IRNazanin"/>
          <w:color w:val="111111"/>
          <w:sz w:val="28"/>
          <w:szCs w:val="28"/>
          <w:rtl w:val="true"/>
          <w:lang w:bidi="fa-IR"/>
        </w:rPr>
        <w:t>.</w:t>
      </w:r>
    </w:p>
    <w:p>
      <w:pPr>
        <w:pStyle w:val="Heading3"/>
        <w:numPr>
          <w:ilvl w:val="2"/>
          <w:numId w:val="1"/>
        </w:numPr>
        <w:rPr/>
      </w:pPr>
      <w:bookmarkStart w:id="5471" w:name="__RefHeading___Toc2569942_3650668749"/>
      <w:bookmarkStart w:id="5472" w:name="_Toc2480"/>
      <w:bookmarkEnd w:id="5471"/>
      <w:r>
        <w:rPr>
          <w:rtl w:val="true"/>
        </w:rPr>
        <w:t>[ (</w:t>
      </w:r>
      <w:r>
        <w:rPr>
          <w:rtl w:val="true"/>
        </w:rPr>
        <w:t xml:space="preserve">مسألة </w:t>
      </w:r>
      <w:r>
        <w:rPr/>
        <w:t>9</w:t>
      </w:r>
      <w:r>
        <w:rPr>
          <w:rtl w:val="true"/>
        </w:rPr>
        <w:t xml:space="preserve">): </w:t>
      </w:r>
      <w:r>
        <w:rPr>
          <w:rtl w:val="true"/>
        </w:rPr>
        <w:t>یلحق بالتلف التصرّف الناقل کالبیع و الهبة أو المغیّر للعین</w:t>
      </w:r>
      <w:r>
        <w:rPr>
          <w:rtl w:val="true"/>
        </w:rPr>
        <w:t>]</w:t>
      </w:r>
      <w:bookmarkEnd w:id="5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بالتلف التصرّف الناقل کالبیع و الهبة أو المغیّر للعین؛ بحیث یصدق معه عدم قیام العین بعینها کالحنطة یطحنها و الدقیق یخبزه و الثوب یفصّله أو یصبغه و نحو ذلک، دون الغیر المغیّر کالثوب یلبسه و الفراش یفرشه و الدابّة یرکبها أو یعلفها أو یسقیها و نحوها، فإنّ أمثال ذلک لا یمنع عن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الأوّل علی الظاهر الامتزاج الرافع للامتیاز و لو بالجنس، کما أنّ من الثانی علی الظاهر قصارة الثوب</w:t>
      </w:r>
      <w:r>
        <w:rPr>
          <w:rFonts w:eastAsia="IRNazanin" w:cs="IRNazanin"/>
          <w:color w:val="111111"/>
          <w:sz w:val="28"/>
          <w:szCs w:val="28"/>
          <w:rtl w:val="true"/>
          <w:lang w:bidi="fa-IR"/>
        </w:rPr>
        <w:t>.</w:t>
      </w:r>
    </w:p>
    <w:p>
      <w:pPr>
        <w:pStyle w:val="Heading3"/>
        <w:numPr>
          <w:ilvl w:val="2"/>
          <w:numId w:val="1"/>
        </w:numPr>
        <w:rPr/>
      </w:pPr>
      <w:bookmarkStart w:id="5473" w:name="__RefHeading___Toc2569944_3650668749"/>
      <w:bookmarkStart w:id="5474" w:name="_Toc2481"/>
      <w:bookmarkEnd w:id="5473"/>
      <w:r>
        <w:rPr>
          <w:rtl w:val="true"/>
        </w:rPr>
        <w:t>[ (</w:t>
      </w:r>
      <w:r>
        <w:rPr>
          <w:rtl w:val="true"/>
        </w:rPr>
        <w:t xml:space="preserve">مسألة </w:t>
      </w:r>
      <w:r>
        <w:rPr/>
        <w:t>10</w:t>
      </w:r>
      <w:r>
        <w:rPr>
          <w:rtl w:val="true"/>
        </w:rPr>
        <w:t xml:space="preserve">): </w:t>
      </w:r>
      <w:r>
        <w:rPr>
          <w:rtl w:val="true"/>
        </w:rPr>
        <w:t>فیما جاز للواهب الرجوع فی هبته لا فرق بین الکلّ و البعض</w:t>
      </w:r>
      <w:r>
        <w:rPr>
          <w:rtl w:val="true"/>
        </w:rPr>
        <w:t>]</w:t>
      </w:r>
      <w:bookmarkEnd w:id="5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جاز للواهب الرجوع فی هبته لا فرق بین الکلّ و البعض، فلو وهب شیئین لأجنبیّ بعقد واحد یجوز له الرجوع فی أحدهما، بل لو وهب شیئاً واحداً یجوز له الرجوع فی بعضه مشاعاً أو معیّناً و مفروزاً</w:t>
      </w:r>
      <w:r>
        <w:rPr>
          <w:rFonts w:eastAsia="IRNazanin" w:cs="IRNazanin"/>
          <w:color w:val="111111"/>
          <w:sz w:val="28"/>
          <w:szCs w:val="28"/>
          <w:rtl w:val="true"/>
          <w:lang w:bidi="fa-IR"/>
        </w:rPr>
        <w:t>.</w:t>
      </w:r>
    </w:p>
    <w:p>
      <w:pPr>
        <w:pStyle w:val="Heading3"/>
        <w:numPr>
          <w:ilvl w:val="2"/>
          <w:numId w:val="1"/>
        </w:numPr>
        <w:rPr/>
      </w:pPr>
      <w:bookmarkStart w:id="5475" w:name="__RefHeading___Toc2569946_3650668749"/>
      <w:bookmarkStart w:id="5476" w:name="_Toc2482"/>
      <w:bookmarkEnd w:id="5475"/>
      <w:r>
        <w:rPr>
          <w:rtl w:val="true"/>
        </w:rPr>
        <w:t>[ (</w:t>
      </w:r>
      <w:r>
        <w:rPr>
          <w:rtl w:val="true"/>
        </w:rPr>
        <w:t xml:space="preserve">مسألة </w:t>
      </w:r>
      <w:r>
        <w:rPr/>
        <w:t>11</w:t>
      </w:r>
      <w:r>
        <w:rPr>
          <w:rtl w:val="true"/>
        </w:rPr>
        <w:t xml:space="preserve">): </w:t>
      </w:r>
      <w:r>
        <w:rPr>
          <w:rtl w:val="true"/>
        </w:rPr>
        <w:t>الهبة</w:t>
      </w:r>
      <w:r>
        <w:rPr>
          <w:rtl w:val="true"/>
        </w:rPr>
        <w:t xml:space="preserve">: </w:t>
      </w:r>
      <w:r>
        <w:rPr>
          <w:rtl w:val="true"/>
        </w:rPr>
        <w:t>إمّا معوّضة أو غیر معوّضة</w:t>
      </w:r>
      <w:r>
        <w:rPr>
          <w:rtl w:val="true"/>
        </w:rPr>
        <w:t>]</w:t>
      </w:r>
      <w:bookmarkEnd w:id="5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معوّضة أو غیر معوّضة، و المراد بالأُولیٰ ما شرط فیها الثواب و العوض و إن لم یعط العوض أو عوّض عنها و إن لم یشترط فیها العوض</w:t>
      </w:r>
      <w:r>
        <w:rPr>
          <w:rFonts w:eastAsia="IRNazanin" w:cs="IRNazanin"/>
          <w:color w:val="111111"/>
          <w:sz w:val="28"/>
          <w:szCs w:val="28"/>
          <w:rtl w:val="true"/>
          <w:lang w:bidi="fa-IR"/>
        </w:rPr>
        <w:t>.</w:t>
      </w:r>
    </w:p>
    <w:p>
      <w:pPr>
        <w:pStyle w:val="Heading3"/>
        <w:numPr>
          <w:ilvl w:val="2"/>
          <w:numId w:val="1"/>
        </w:numPr>
        <w:rPr/>
      </w:pPr>
      <w:bookmarkStart w:id="5477" w:name="__RefHeading___Toc2569948_3650668749"/>
      <w:bookmarkStart w:id="5478" w:name="_Toc2483"/>
      <w:bookmarkEnd w:id="5477"/>
      <w:r>
        <w:rPr>
          <w:rtl w:val="true"/>
        </w:rPr>
        <w:t>[ (</w:t>
      </w:r>
      <w:r>
        <w:rPr>
          <w:rtl w:val="true"/>
        </w:rPr>
        <w:t xml:space="preserve">مسألة </w:t>
      </w:r>
      <w:r>
        <w:rPr/>
        <w:t>12</w:t>
      </w:r>
      <w:r>
        <w:rPr>
          <w:rtl w:val="true"/>
        </w:rPr>
        <w:t xml:space="preserve">): </w:t>
      </w:r>
      <w:r>
        <w:rPr>
          <w:rtl w:val="true"/>
        </w:rPr>
        <w:t>إذا وهب و أطلق لم یلزم علی المتّهب إعطاء الثواب و العوض</w:t>
      </w:r>
      <w:r>
        <w:rPr>
          <w:rtl w:val="true"/>
        </w:rPr>
        <w:t>]</w:t>
      </w:r>
      <w:bookmarkEnd w:id="5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وهب و أطلق لم یلزم علی المتّهب إعطاء الثواب و العوض؛ سواء کانت من الأدنی للأعلیٰ أو العکس أو من المساوی للمساوی و إن کان الأولیٰ بل الأحوط فی الصورة الأُولیٰ إعطاء العوض، و کیف کان لو أعطی العوض لم یجب علی الواهب قبوله و إن قبل و أخذه لزمت الهبة و لم یکن له الرجوع فیما وهبه، و لم یکن للمتّهب أیضاً الرجوع فی ثوابه</w:t>
      </w:r>
      <w:r>
        <w:rPr>
          <w:rFonts w:eastAsia="IRNazanin" w:cs="IRNazanin"/>
          <w:color w:val="111111"/>
          <w:sz w:val="28"/>
          <w:szCs w:val="28"/>
          <w:rtl w:val="true"/>
          <w:lang w:bidi="fa-IR"/>
        </w:rPr>
        <w:t>.</w:t>
      </w:r>
    </w:p>
    <w:p>
      <w:pPr>
        <w:pStyle w:val="Heading3"/>
        <w:numPr>
          <w:ilvl w:val="2"/>
          <w:numId w:val="1"/>
        </w:numPr>
        <w:rPr/>
      </w:pPr>
      <w:bookmarkStart w:id="5479" w:name="__RefHeading___Toc2569950_3650668749"/>
      <w:bookmarkStart w:id="5480" w:name="_Toc2484"/>
      <w:bookmarkEnd w:id="5479"/>
      <w:r>
        <w:rPr>
          <w:rtl w:val="true"/>
        </w:rPr>
        <w:t>[ (</w:t>
      </w:r>
      <w:r>
        <w:rPr>
          <w:rtl w:val="true"/>
        </w:rPr>
        <w:t xml:space="preserve">مسألة </w:t>
      </w:r>
      <w:r>
        <w:rPr/>
        <w:t>13</w:t>
      </w:r>
      <w:r>
        <w:rPr>
          <w:rtl w:val="true"/>
        </w:rPr>
        <w:t xml:space="preserve">): </w:t>
      </w:r>
      <w:r>
        <w:rPr>
          <w:rtl w:val="true"/>
        </w:rPr>
        <w:t>إذا شرط الواهب فی هبته علی المتّهب إعطاء العوض</w:t>
      </w:r>
      <w:r>
        <w:rPr>
          <w:rtl w:val="true"/>
        </w:rPr>
        <w:t>]</w:t>
      </w:r>
      <w:bookmarkEnd w:id="5480"/>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شرط الواهب فی هبته علی المتّهب إعطاء العوض؛ بأن یهبه شیئاً مکافأةً و ثواباً لهبته و وقع منه القبول علیٰ ما اشترط و کذا القبض للموهوب یلزم علیه </w:t>
      </w:r>
      <w:r>
        <w:rPr>
          <w:rStyle w:val="FootnoteAnchor"/>
          <w:rtl w:val="true"/>
        </w:rPr>
        <w:footnoteReference w:id="1482"/>
      </w:r>
      <w:bookmarkStart w:id="5481" w:name="pg1809_19549"/>
    </w:p>
    <w:p>
      <w:pPr>
        <w:pStyle w:val="BookText"/>
        <w:rPr/>
      </w:pPr>
      <w:bookmarkEnd w:id="5481"/>
      <w:r>
        <w:rPr>
          <w:rFonts w:ascii="IRNazanin" w:hAnsi="IRNazanin" w:eastAsia="IRNazanin"/>
          <w:color w:val="111111"/>
          <w:sz w:val="28"/>
          <w:sz w:val="28"/>
          <w:szCs w:val="28"/>
          <w:rtl w:val="true"/>
          <w:lang w:bidi="fa-IR"/>
        </w:rPr>
        <w:t>دفع العوض، فإن دفع لزمت الهبة الأُولیٰ علی الواهب و إلّا فله الرجوع فی هبته</w:t>
      </w:r>
      <w:r>
        <w:rPr>
          <w:rFonts w:eastAsia="IRNazanin" w:cs="IRNazanin"/>
          <w:color w:val="111111"/>
          <w:sz w:val="28"/>
          <w:szCs w:val="28"/>
          <w:rtl w:val="true"/>
          <w:lang w:bidi="fa-IR"/>
        </w:rPr>
        <w:t>.</w:t>
      </w:r>
    </w:p>
    <w:p>
      <w:pPr>
        <w:pStyle w:val="Heading3"/>
        <w:numPr>
          <w:ilvl w:val="2"/>
          <w:numId w:val="1"/>
        </w:numPr>
        <w:rPr/>
      </w:pPr>
      <w:bookmarkStart w:id="5482" w:name="__RefHeading___Toc2569952_3650668749"/>
      <w:bookmarkStart w:id="5483" w:name="_Toc2485"/>
      <w:bookmarkEnd w:id="5482"/>
      <w:r>
        <w:rPr>
          <w:rtl w:val="true"/>
        </w:rPr>
        <w:t>[ (</w:t>
      </w:r>
      <w:r>
        <w:rPr>
          <w:rtl w:val="true"/>
        </w:rPr>
        <w:t xml:space="preserve">مسألة </w:t>
      </w:r>
      <w:r>
        <w:rPr/>
        <w:t>14</w:t>
      </w:r>
      <w:r>
        <w:rPr>
          <w:rtl w:val="true"/>
        </w:rPr>
        <w:t xml:space="preserve">): </w:t>
      </w:r>
      <w:r>
        <w:rPr>
          <w:rtl w:val="true"/>
        </w:rPr>
        <w:t>لو عیّن العوض فی الهبة المشروط فیها العوض تعیّن</w:t>
      </w:r>
      <w:r>
        <w:rPr>
          <w:rtl w:val="true"/>
        </w:rPr>
        <w:t>]</w:t>
      </w:r>
      <w:bookmarkEnd w:id="5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عیّن العوض فی الهبة المشروط فیها العوض تعیّن، و یلزم علی المتّهب بذل ما عیّن، و لو أطلق؛ بأن شرط علیه أن یثیب و یعوّض و لم یعیّن العوض فإن اتّفقا علیٰ قدر فذاک و إلّا وجب </w:t>
      </w:r>
      <w:r>
        <w:rPr>
          <w:rStyle w:val="FootnoteAnchor"/>
          <w:rtl w:val="true"/>
        </w:rPr>
        <w:footnoteReference w:id="1483"/>
      </w:r>
      <w:r>
        <w:rPr>
          <w:rFonts w:ascii="IRNazanin" w:hAnsi="IRNazanin" w:eastAsia="IRNazanin"/>
          <w:color w:val="111111"/>
          <w:sz w:val="28"/>
          <w:sz w:val="28"/>
          <w:szCs w:val="28"/>
          <w:rtl w:val="true"/>
          <w:lang w:bidi="fa-IR"/>
        </w:rPr>
        <w:t>علیه أن یثیب مقدار الموهوب مثلًا أو قیمةً</w:t>
      </w:r>
      <w:r>
        <w:rPr>
          <w:rFonts w:eastAsia="IRNazanin" w:cs="IRNazanin"/>
          <w:color w:val="111111"/>
          <w:sz w:val="28"/>
          <w:szCs w:val="28"/>
          <w:rtl w:val="true"/>
          <w:lang w:bidi="fa-IR"/>
        </w:rPr>
        <w:t>.</w:t>
      </w:r>
    </w:p>
    <w:p>
      <w:pPr>
        <w:pStyle w:val="Heading3"/>
        <w:numPr>
          <w:ilvl w:val="2"/>
          <w:numId w:val="1"/>
        </w:numPr>
        <w:rPr/>
      </w:pPr>
      <w:bookmarkStart w:id="5484" w:name="__RefHeading___Toc2569954_3650668749"/>
      <w:bookmarkStart w:id="5485" w:name="_Toc2486"/>
      <w:bookmarkEnd w:id="5484"/>
      <w:r>
        <w:rPr>
          <w:rtl w:val="true"/>
        </w:rPr>
        <w:t>[ (</w:t>
      </w:r>
      <w:r>
        <w:rPr>
          <w:rtl w:val="true"/>
        </w:rPr>
        <w:t xml:space="preserve">مسألة </w:t>
      </w:r>
      <w:r>
        <w:rPr/>
        <w:t>15</w:t>
      </w:r>
      <w:r>
        <w:rPr>
          <w:rtl w:val="true"/>
        </w:rPr>
        <w:t xml:space="preserve">): </w:t>
      </w:r>
      <w:r>
        <w:rPr>
          <w:rtl w:val="true"/>
        </w:rPr>
        <w:t>الظاهر أنّه لا یعتبر فی الهبة المشروط فیها العوض</w:t>
      </w:r>
      <w:r>
        <w:rPr>
          <w:rtl w:val="true"/>
        </w:rPr>
        <w:t>]</w:t>
      </w:r>
      <w:bookmarkEnd w:id="5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یعتبر فی الهبة المشروط فیها العوض، أن یکون التعویض المشروط بعنوان الهبة؛ بأن یشترط علی المتّهب أن یهبه شیئاً، بل یجوز أن یکون بعنوان الصلح عن شی‌ء بأن یشترط علیه أن یصالحه عن مال أو حقّ، فإذا صالحه عنه و تحقّق منه القبول فقد عوّضه و لم یکن له الرجوع فی 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أن یکون إبراء عن حقّ أو إیقاع عمل له کخیاطة ثوبه أو صیاغة خاتمه و نحو ذلک، فإذا أبرأه عن ذلک الحقّ، أو عمل له ذلک العمل فقد أثابه و عوّضه</w:t>
      </w:r>
      <w:r>
        <w:rPr>
          <w:rFonts w:eastAsia="IRNazanin" w:cs="IRNazanin"/>
          <w:color w:val="111111"/>
          <w:sz w:val="28"/>
          <w:szCs w:val="28"/>
          <w:rtl w:val="true"/>
          <w:lang w:bidi="fa-IR"/>
        </w:rPr>
        <w:t>.</w:t>
      </w:r>
    </w:p>
    <w:p>
      <w:pPr>
        <w:pStyle w:val="Heading3"/>
        <w:numPr>
          <w:ilvl w:val="2"/>
          <w:numId w:val="1"/>
        </w:numPr>
        <w:rPr/>
      </w:pPr>
      <w:bookmarkStart w:id="5486" w:name="__RefHeading___Toc2569956_3650668749"/>
      <w:bookmarkStart w:id="5487" w:name="_Toc2487"/>
      <w:bookmarkEnd w:id="5486"/>
      <w:r>
        <w:rPr>
          <w:rtl w:val="true"/>
        </w:rPr>
        <w:t>[ (</w:t>
      </w:r>
      <w:r>
        <w:rPr>
          <w:rtl w:val="true"/>
        </w:rPr>
        <w:t xml:space="preserve">مسألة </w:t>
      </w:r>
      <w:r>
        <w:rPr/>
        <w:t>16</w:t>
      </w:r>
      <w:r>
        <w:rPr>
          <w:rtl w:val="true"/>
        </w:rPr>
        <w:t xml:space="preserve">): </w:t>
      </w:r>
      <w:r>
        <w:rPr>
          <w:rtl w:val="true"/>
        </w:rPr>
        <w:t>لو رجع الواهب فی هبته فیما جاز له الرجوع و کان فی الموهوب نماء منفصل حدث بعد العقد و القبض</w:t>
      </w:r>
      <w:r>
        <w:rPr>
          <w:rtl w:val="true"/>
        </w:rPr>
        <w:t>]</w:t>
      </w:r>
      <w:bookmarkEnd w:id="5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رجع الواهب فی هبته فیما جاز له الرجوع و کان فی الموهوب نماء منفصل حدث بعد العقد و القبض، کالثمرة و الحمل و الولد و اللبن فی الضرع، کان من مال المتّهب و لا یرجع إلی الواهب، بخلاف المتّصل کالسمن فإنّه یرجع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w:t>
      </w:r>
      <w:r>
        <w:rPr>
          <w:rStyle w:val="FootnoteAnchor"/>
          <w:rtl w:val="true"/>
        </w:rPr>
        <w:footnoteReference w:id="1484"/>
      </w:r>
      <w:r>
        <w:rPr>
          <w:rFonts w:ascii="IRNazanin" w:hAnsi="IRNazanin" w:eastAsia="IRNazanin"/>
          <w:color w:val="111111"/>
          <w:sz w:val="28"/>
          <w:sz w:val="28"/>
          <w:szCs w:val="28"/>
          <w:rtl w:val="true"/>
          <w:lang w:bidi="fa-IR"/>
        </w:rPr>
        <w:t>أن یکون ذلک مانعاً عن الرجوع؛ لعدم کون الموهوب معه قائماً بعینه، بل لا یخلو من قوّة</w:t>
      </w:r>
      <w:r>
        <w:rPr>
          <w:rFonts w:eastAsia="IRNazanin" w:cs="IRNazanin"/>
          <w:color w:val="111111"/>
          <w:sz w:val="28"/>
          <w:szCs w:val="28"/>
          <w:rtl w:val="true"/>
          <w:lang w:bidi="fa-IR"/>
        </w:rPr>
        <w:t>.</w:t>
      </w:r>
    </w:p>
    <w:p>
      <w:pPr>
        <w:pStyle w:val="Heading3"/>
        <w:numPr>
          <w:ilvl w:val="2"/>
          <w:numId w:val="1"/>
        </w:numPr>
        <w:rPr/>
      </w:pPr>
      <w:bookmarkStart w:id="5488" w:name="__RefHeading___Toc2569958_3650668749"/>
      <w:bookmarkStart w:id="5489" w:name="_Toc2488"/>
      <w:bookmarkEnd w:id="5488"/>
      <w:r>
        <w:rPr>
          <w:rtl w:val="true"/>
        </w:rPr>
        <w:t>[ (</w:t>
      </w:r>
      <w:r>
        <w:rPr>
          <w:rtl w:val="true"/>
        </w:rPr>
        <w:t xml:space="preserve">مسألة </w:t>
      </w:r>
      <w:r>
        <w:rPr/>
        <w:t>17</w:t>
      </w:r>
      <w:r>
        <w:rPr>
          <w:rtl w:val="true"/>
        </w:rPr>
        <w:t xml:space="preserve">): </w:t>
      </w:r>
      <w:r>
        <w:rPr>
          <w:rtl w:val="true"/>
        </w:rPr>
        <w:t>لو مات الواهب بعد إقباض الموهوب، لزمت الهبة و إن کانت لأجنبیّ</w:t>
      </w:r>
      <w:r>
        <w:rPr>
          <w:rtl w:val="true"/>
        </w:rPr>
        <w:t>]</w:t>
      </w:r>
      <w:bookmarkEnd w:id="5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الواهب بعد إقباض الموهوب، لزمت الهبة و إن کانت لأجنبیّ و لم تکن معوّضة و لیس لورثته الرجوع، و کذلک لو مات الموهوب له، فینتقل الموهوب إلیٰ ورثته انتقالًا لازماً</w:t>
      </w:r>
      <w:r>
        <w:rPr>
          <w:rFonts w:eastAsia="IRNazanin" w:cs="IRNazanin"/>
          <w:color w:val="111111"/>
          <w:sz w:val="28"/>
          <w:szCs w:val="28"/>
          <w:rtl w:val="true"/>
          <w:lang w:bidi="fa-IR"/>
        </w:rPr>
        <w:t>.</w:t>
      </w:r>
    </w:p>
    <w:p>
      <w:pPr>
        <w:pStyle w:val="Heading3"/>
        <w:numPr>
          <w:ilvl w:val="2"/>
          <w:numId w:val="1"/>
        </w:numPr>
        <w:rPr/>
      </w:pPr>
      <w:bookmarkStart w:id="5490" w:name="__RefHeading___Toc2569960_3650668749"/>
      <w:bookmarkStart w:id="5491" w:name="_Toc2489"/>
      <w:bookmarkEnd w:id="5490"/>
      <w:r>
        <w:rPr>
          <w:rtl w:val="true"/>
        </w:rPr>
        <w:t>[ (</w:t>
      </w:r>
      <w:r>
        <w:rPr>
          <w:rtl w:val="true"/>
        </w:rPr>
        <w:t xml:space="preserve">مسألة </w:t>
      </w:r>
      <w:r>
        <w:rPr/>
        <w:t>18</w:t>
      </w:r>
      <w:r>
        <w:rPr>
          <w:rtl w:val="true"/>
        </w:rPr>
        <w:t xml:space="preserve">): </w:t>
      </w:r>
      <w:r>
        <w:rPr>
          <w:rtl w:val="true"/>
        </w:rPr>
        <w:t>لو باع الواهب العین الموهوبة، فإن کانت الهبة لازمة بأن کانت لذی رحم أو معوّضة</w:t>
      </w:r>
      <w:r>
        <w:rPr>
          <w:rtl w:val="true"/>
        </w:rPr>
        <w:t>]</w:t>
      </w:r>
      <w:bookmarkEnd w:id="5491"/>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الواهب العین الموهوبة، فإن کانت الهبة لازمة بأن کانت لذی رحم أو معوّضة، أو قصد بها القربة یقع البیع فضولیّاً، فإن أجاز المتّهب صحّ و إلّا بطل، و إن کانت غیر لازمة فالظاهر صحّة البیع و وقوعه من الواهب و کان رجوعاً فی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bookmarkStart w:id="5492" w:name="pg1809_19550"/>
    </w:p>
    <w:p>
      <w:pPr>
        <w:pStyle w:val="BookText"/>
        <w:rPr/>
      </w:pPr>
      <w:bookmarkEnd w:id="5492"/>
      <w:r>
        <w:rPr>
          <w:rFonts w:ascii="Amiri" w:hAnsi="Amiri" w:eastAsia="Amiri" w:cs="Amiri"/>
          <w:color w:val="111111"/>
          <w:sz w:val="28"/>
          <w:sz w:val="28"/>
          <w:szCs w:val="28"/>
          <w:rtl w:val="true"/>
          <w:lang w:bidi="ar-SA"/>
        </w:rPr>
        <w:t>إذا کان ملتفتاً إلیٰ هبته، و أمّا لو کان ناسیاً أو غافلًا و ذاهلًا ففی کونه رجوعاً قهریّاً تأمّل و إشکال، فلا یترک الاحتیاط</w:t>
      </w:r>
      <w:r>
        <w:rPr>
          <w:rFonts w:eastAsia="Amiri" w:cs="Amiri" w:ascii="Amiri" w:hAnsi="Amiri"/>
          <w:color w:val="111111"/>
          <w:sz w:val="28"/>
          <w:szCs w:val="28"/>
          <w:rtl w:val="true"/>
          <w:lang w:bidi="ar-SA"/>
        </w:rPr>
        <w:t>.</w:t>
      </w:r>
    </w:p>
    <w:p>
      <w:pPr>
        <w:pStyle w:val="Heading3"/>
        <w:numPr>
          <w:ilvl w:val="2"/>
          <w:numId w:val="1"/>
        </w:numPr>
        <w:rPr/>
      </w:pPr>
      <w:bookmarkStart w:id="5493" w:name="__RefHeading___Toc2569962_3650668749"/>
      <w:bookmarkStart w:id="5494" w:name="_Toc2490"/>
      <w:bookmarkEnd w:id="5493"/>
      <w:r>
        <w:rPr>
          <w:rtl w:val="true"/>
        </w:rPr>
        <w:t>[ (</w:t>
      </w:r>
      <w:r>
        <w:rPr>
          <w:rtl w:val="true"/>
        </w:rPr>
        <w:t xml:space="preserve">مسألة </w:t>
      </w:r>
      <w:r>
        <w:rPr/>
        <w:t>19</w:t>
      </w:r>
      <w:r>
        <w:rPr>
          <w:rtl w:val="true"/>
        </w:rPr>
        <w:t xml:space="preserve">): </w:t>
      </w:r>
      <w:r>
        <w:rPr>
          <w:rtl w:val="true"/>
        </w:rPr>
        <w:t>الرجوع</w:t>
      </w:r>
      <w:r>
        <w:rPr>
          <w:rtl w:val="true"/>
        </w:rPr>
        <w:t xml:space="preserve">: </w:t>
      </w:r>
      <w:r>
        <w:rPr>
          <w:rtl w:val="true"/>
        </w:rPr>
        <w:t>إمّا بالقول کأن یقول</w:t>
      </w:r>
      <w:r>
        <w:rPr>
          <w:rtl w:val="true"/>
        </w:rPr>
        <w:t xml:space="preserve">: </w:t>
      </w:r>
      <w:r>
        <w:rPr>
          <w:rtl w:val="true"/>
        </w:rPr>
        <w:t>رجعت، و ما یفید معناه و إمّا بالفعل کاسترداد العین</w:t>
      </w:r>
      <w:r>
        <w:rPr>
          <w:rtl w:val="true"/>
        </w:rPr>
        <w:t>]</w:t>
      </w:r>
      <w:bookmarkEnd w:id="5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بالقول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ما یفید معناه و إمّا بالفعل کاسترداد العین و أخذها من ید المتّهب، و من ذلک بیعها بل و إجارتها و رهنها إذا کان ذلک بقصد الرجوع</w:t>
      </w:r>
      <w:r>
        <w:rPr>
          <w:rFonts w:eastAsia="IRNazanin" w:cs="IRNazanin"/>
          <w:color w:val="111111"/>
          <w:sz w:val="28"/>
          <w:szCs w:val="28"/>
          <w:rtl w:val="true"/>
          <w:lang w:bidi="fa-IR"/>
        </w:rPr>
        <w:t>.</w:t>
      </w:r>
    </w:p>
    <w:p>
      <w:pPr>
        <w:pStyle w:val="Heading3"/>
        <w:numPr>
          <w:ilvl w:val="2"/>
          <w:numId w:val="1"/>
        </w:numPr>
        <w:rPr/>
      </w:pPr>
      <w:bookmarkStart w:id="5495" w:name="__RefHeading___Toc2569964_3650668749"/>
      <w:bookmarkStart w:id="5496" w:name="_Toc2491"/>
      <w:bookmarkEnd w:id="5495"/>
      <w:r>
        <w:rPr>
          <w:rtl w:val="true"/>
        </w:rPr>
        <w:t>[ (</w:t>
      </w:r>
      <w:r>
        <w:rPr>
          <w:rtl w:val="true"/>
        </w:rPr>
        <w:t xml:space="preserve">مسألة </w:t>
      </w:r>
      <w:r>
        <w:rPr/>
        <w:t>20</w:t>
      </w:r>
      <w:r>
        <w:rPr>
          <w:rtl w:val="true"/>
        </w:rPr>
        <w:t xml:space="preserve">): </w:t>
      </w:r>
      <w:r>
        <w:rPr>
          <w:rtl w:val="true"/>
        </w:rPr>
        <w:t>لا یشترط فی الرجوع اطّلاع المتّهب</w:t>
      </w:r>
      <w:r>
        <w:rPr>
          <w:rtl w:val="true"/>
        </w:rPr>
        <w:t>]</w:t>
      </w:r>
      <w:bookmarkEnd w:id="5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الرجوع اطّلاع المتّهب، فلو أنشأ الرجوع من غیر اطّلاعه صحّ</w:t>
      </w:r>
      <w:r>
        <w:rPr>
          <w:rFonts w:eastAsia="IRNazanin" w:cs="IRNazanin"/>
          <w:color w:val="111111"/>
          <w:sz w:val="28"/>
          <w:szCs w:val="28"/>
          <w:rtl w:val="true"/>
          <w:lang w:bidi="fa-IR"/>
        </w:rPr>
        <w:t>.</w:t>
      </w:r>
    </w:p>
    <w:p>
      <w:pPr>
        <w:pStyle w:val="Heading3"/>
        <w:numPr>
          <w:ilvl w:val="2"/>
          <w:numId w:val="1"/>
        </w:numPr>
        <w:rPr/>
      </w:pPr>
      <w:bookmarkStart w:id="5497" w:name="__RefHeading___Toc2569966_3650668749"/>
      <w:bookmarkStart w:id="5498" w:name="_Toc2492"/>
      <w:bookmarkEnd w:id="5497"/>
      <w:r>
        <w:rPr>
          <w:rtl w:val="true"/>
        </w:rPr>
        <w:t>[ (</w:t>
      </w:r>
      <w:r>
        <w:rPr>
          <w:rtl w:val="true"/>
        </w:rPr>
        <w:t xml:space="preserve">مسألة </w:t>
      </w:r>
      <w:r>
        <w:rPr/>
        <w:t>21</w:t>
      </w:r>
      <w:r>
        <w:rPr>
          <w:rtl w:val="true"/>
        </w:rPr>
        <w:t xml:space="preserve">): </w:t>
      </w:r>
      <w:r>
        <w:rPr>
          <w:rtl w:val="true"/>
        </w:rPr>
        <w:t>یستحبّ العطیّة للأرحام الذین أمر اللّٰه تعالیٰ أکیداً بصلتهم</w:t>
      </w:r>
      <w:r>
        <w:rPr>
          <w:rtl w:val="true"/>
        </w:rPr>
        <w:t>]</w:t>
      </w:r>
      <w:bookmarkEnd w:id="5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العطیّة للأرحام الذین أمر اللّٰه تعالیٰ أکیداً بصلتهم و نهیٰ شدیداً عن قطیعتهم، فعن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یموت صاحبهنّ أبداً حتّی یریٰ وبالهنّ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البغی و قطیعة الرحم و الیمین الکاذبة یبارز اللّٰه بها، و إنّ أعجل الطاعة ثواباً لصلة الرحم، و إنّ القوم لیکونون فجّاراً فیتواصلون فتنمی أموالهم و یثرون، و إنّ الیمین الکاذبة و قطیعة الرحم لیذران الدیار بلاقع من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خصوصاً الوالدین اللذین أمر اللّٰه تعالیٰ ببرّهما، فعن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تشرک باللّٰه شیئاً و إن أُحرقت بالنار و عذّبت إلّا و قلبک مطمئنّ بالإیمان، و والدیک فأطعهما و برّهما حیّین کانا أو میّتین، و إن أمراک أن تخرج من أهلک و مالک فافعل، فإنّ ذلک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منصور بن حازم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أیّ الأعمال أفضل؟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لوقتها و برّ الوالدین و الجهاد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سیّما الامّ التی یتأکّد برّها و صلتها أزید من الأب،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 الوالدین،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ابرر أُمّک ابرر أُمّک ابرر أُمّک، ابرر أباک ابرر أباک ابرر أباک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بدأ بالأُمّ قبل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هذه المعانی کثیرة لا تحصی، فلتطلب من مظانّها</w:t>
      </w:r>
      <w:r>
        <w:rPr>
          <w:rFonts w:eastAsia="IRNazanin" w:cs="IRNazanin"/>
          <w:color w:val="111111"/>
          <w:sz w:val="28"/>
          <w:szCs w:val="28"/>
          <w:rtl w:val="true"/>
          <w:lang w:bidi="fa-IR"/>
        </w:rPr>
        <w:t>.</w:t>
      </w:r>
    </w:p>
    <w:p>
      <w:pPr>
        <w:pStyle w:val="Heading3"/>
        <w:numPr>
          <w:ilvl w:val="2"/>
          <w:numId w:val="1"/>
        </w:numPr>
        <w:rPr/>
      </w:pPr>
      <w:bookmarkStart w:id="5499" w:name="__RefHeading___Toc2569968_3650668749"/>
      <w:bookmarkStart w:id="5500" w:name="_Toc2493"/>
      <w:bookmarkEnd w:id="5499"/>
      <w:r>
        <w:rPr>
          <w:rtl w:val="true"/>
        </w:rPr>
        <w:t>[ (</w:t>
      </w:r>
      <w:r>
        <w:rPr>
          <w:rtl w:val="true"/>
        </w:rPr>
        <w:t xml:space="preserve">مسألة </w:t>
      </w:r>
      <w:r>
        <w:rPr/>
        <w:t>22</w:t>
      </w:r>
      <w:r>
        <w:rPr>
          <w:rtl w:val="true"/>
        </w:rPr>
        <w:t xml:space="preserve">): </w:t>
      </w:r>
      <w:r>
        <w:rPr>
          <w:rtl w:val="true"/>
        </w:rPr>
        <w:t>یجوز تفضیل بعض الولد علیٰ بعض فی العطیّة علیٰ کراهیة</w:t>
      </w:r>
      <w:r>
        <w:rPr>
          <w:rtl w:val="true"/>
        </w:rPr>
        <w:t>]</w:t>
      </w:r>
      <w:bookmarkEnd w:id="5500"/>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تفضیل بعض الولد علیٰ بعض فی العطیّة علیٰ کراهیة، و ربّما یحرم إذا کان سبباً لإثارة الفتنة و الشحناء و البغضاء المؤدّیة إلی الفساد، کما أنّه ربّما یفضل التفضیل فیما إذا یؤمن من الفساد و یکون لبعضهم خصوصیّة موجبة لأولویّة رعایته</w:t>
      </w:r>
      <w:r>
        <w:rPr>
          <w:rFonts w:eastAsia="IRNazanin" w:cs="IRNazanin"/>
          <w:color w:val="111111"/>
          <w:sz w:val="28"/>
          <w:szCs w:val="28"/>
          <w:rtl w:val="true"/>
          <w:lang w:bidi="fa-IR"/>
        </w:rPr>
        <w:t>.</w:t>
      </w:r>
      <w:bookmarkStart w:id="5501" w:name="pg1809_19551"/>
    </w:p>
    <w:p>
      <w:pPr>
        <w:pStyle w:val="Heading2"/>
        <w:numPr>
          <w:ilvl w:val="1"/>
          <w:numId w:val="1"/>
        </w:numPr>
        <w:rPr/>
      </w:pPr>
      <w:bookmarkStart w:id="5502" w:name="__RefHeading___Toc2569970_3650668749"/>
      <w:bookmarkStart w:id="5503" w:name="_Toc2494"/>
      <w:bookmarkEnd w:id="5501"/>
      <w:bookmarkEnd w:id="5502"/>
      <w:r>
        <w:rPr>
          <w:rtl w:val="true"/>
        </w:rPr>
        <w:t>[</w:t>
      </w:r>
      <w:r>
        <w:rPr>
          <w:rtl w:val="true"/>
        </w:rPr>
        <w:t>کتاب الوقف و أخواته</w:t>
      </w:r>
      <w:r>
        <w:rPr>
          <w:rtl w:val="true"/>
        </w:rPr>
        <w:t>]</w:t>
      </w:r>
      <w:bookmarkEnd w:id="5503"/>
    </w:p>
    <w:p>
      <w:pPr>
        <w:pStyle w:val="Heading3"/>
        <w:numPr>
          <w:ilvl w:val="2"/>
          <w:numId w:val="1"/>
        </w:numPr>
        <w:rPr/>
      </w:pPr>
      <w:bookmarkStart w:id="5504" w:name="__RefHeading___Toc2569972_3650668749"/>
      <w:bookmarkStart w:id="5505" w:name="_Toc2495"/>
      <w:bookmarkEnd w:id="5504"/>
      <w:r>
        <w:rPr>
          <w:rtl w:val="true"/>
        </w:rPr>
        <w:t>اشارة</w:t>
      </w:r>
      <w:bookmarkEnd w:id="5505"/>
    </w:p>
    <w:p>
      <w:pPr>
        <w:pStyle w:val="BookText"/>
        <w:rPr/>
      </w:pPr>
      <w:r>
        <w:rPr>
          <w:rFonts w:ascii="IRNazanin" w:hAnsi="IRNazanin" w:eastAsia="IRNazanin"/>
          <w:color w:val="111111"/>
          <w:sz w:val="28"/>
          <w:sz w:val="28"/>
          <w:szCs w:val="28"/>
          <w:rtl w:val="true"/>
          <w:lang w:bidi="fa-IR"/>
        </w:rPr>
        <w:t>کتاب الوقف و أخواته</w:t>
      </w:r>
    </w:p>
    <w:p>
      <w:pPr>
        <w:pStyle w:val="Heading3"/>
        <w:numPr>
          <w:ilvl w:val="2"/>
          <w:numId w:val="1"/>
        </w:numPr>
        <w:rPr/>
      </w:pPr>
      <w:bookmarkStart w:id="5506" w:name="__RefHeading___Toc2569974_3650668749"/>
      <w:bookmarkStart w:id="5507" w:name="_Toc2496"/>
      <w:bookmarkEnd w:id="5506"/>
      <w:r>
        <w:rPr>
          <w:rtl w:val="true"/>
        </w:rPr>
        <w:t>[</w:t>
      </w:r>
      <w:r>
        <w:rPr>
          <w:rtl w:val="true"/>
        </w:rPr>
        <w:t>القول فی الوقف</w:t>
      </w:r>
      <w:r>
        <w:rPr>
          <w:rtl w:val="true"/>
        </w:rPr>
        <w:t>]</w:t>
      </w:r>
      <w:bookmarkEnd w:id="5507"/>
    </w:p>
    <w:p>
      <w:pPr>
        <w:pStyle w:val="Heading4"/>
        <w:numPr>
          <w:ilvl w:val="3"/>
          <w:numId w:val="1"/>
        </w:numPr>
        <w:rPr/>
      </w:pPr>
      <w:bookmarkStart w:id="5508" w:name="__RefHeading___Toc2569976_3650668749"/>
      <w:bookmarkStart w:id="5509" w:name="_Toc2497"/>
      <w:bookmarkEnd w:id="5508"/>
      <w:r>
        <w:rPr>
          <w:rtl w:val="true"/>
        </w:rPr>
        <w:t>اشارة</w:t>
      </w:r>
      <w:bookmarkEnd w:id="5509"/>
    </w:p>
    <w:p>
      <w:pPr>
        <w:pStyle w:val="BookText"/>
        <w:rPr/>
      </w:pPr>
      <w:r>
        <w:rPr>
          <w:rFonts w:ascii="IRNazanin" w:hAnsi="IRNazanin" w:eastAsia="IRNazanin"/>
          <w:color w:val="111111"/>
          <w:sz w:val="28"/>
          <w:sz w:val="28"/>
          <w:szCs w:val="28"/>
          <w:rtl w:val="true"/>
          <w:lang w:bidi="fa-IR"/>
        </w:rPr>
        <w:t xml:space="preserve">الوقف هو تحبیس العین و تسبیل منفعتها، و فیه فضل کثیر و ثواب جزیل،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14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ابن آدم انقطع عمله إلّا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صالح یدعو له، و علم ینتفع به بعد موته، و صدقة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فسّرت الصدقة الجاریة بالوقف</w:t>
      </w:r>
      <w:r>
        <w:rPr>
          <w:rFonts w:eastAsia="IRNazanin" w:cs="IRNazanin"/>
          <w:color w:val="111111"/>
          <w:sz w:val="28"/>
          <w:szCs w:val="28"/>
          <w:rtl w:val="true"/>
          <w:lang w:bidi="fa-IR"/>
        </w:rPr>
        <w:t>.</w:t>
      </w:r>
    </w:p>
    <w:p>
      <w:pPr>
        <w:pStyle w:val="Heading4"/>
        <w:numPr>
          <w:ilvl w:val="3"/>
          <w:numId w:val="1"/>
        </w:numPr>
        <w:rPr/>
      </w:pPr>
      <w:bookmarkStart w:id="5510" w:name="__RefHeading___Toc2569978_3650668749"/>
      <w:bookmarkStart w:id="5511" w:name="_Toc2498"/>
      <w:bookmarkEnd w:id="5510"/>
      <w:r>
        <w:rPr>
          <w:rtl w:val="true"/>
        </w:rPr>
        <w:t>[ (</w:t>
      </w:r>
      <w:r>
        <w:rPr>
          <w:rtl w:val="true"/>
        </w:rPr>
        <w:t xml:space="preserve">مسألة </w:t>
      </w:r>
      <w:r>
        <w:rPr/>
        <w:t>1</w:t>
      </w:r>
      <w:r>
        <w:rPr>
          <w:rtl w:val="true"/>
        </w:rPr>
        <w:t xml:space="preserve">): </w:t>
      </w:r>
      <w:r>
        <w:rPr>
          <w:rtl w:val="true"/>
        </w:rPr>
        <w:t>یعتبر فی الوقف الصیغة</w:t>
      </w:r>
      <w:r>
        <w:rPr>
          <w:rtl w:val="true"/>
        </w:rPr>
        <w:t>]</w:t>
      </w:r>
      <w:bookmarkEnd w:id="5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الوقف الصیغة، و هی کلّ ما دلّ علیٰ إنشاء المعنی المذکور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اقترن به بعض ما یدلّ علیٰ إرادة المعنی المقصود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مؤبّدة لا تباع و لا توهب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و 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أرضی أو داری أو بستانی موقوفة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مسبّلة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فیه العربیّة و لا الماضویّة، بل یکفی الجملة الاسمیّة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أرضی موقوفة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مسبّلة</w:t>
      </w:r>
      <w:r>
        <w:rPr>
          <w:rFonts w:eastAsia="IRNazanin" w:cs="IRNazanin"/>
          <w:color w:val="111111"/>
          <w:sz w:val="28"/>
          <w:szCs w:val="28"/>
          <w:rtl w:val="true"/>
          <w:lang w:bidi="fa-IR"/>
        </w:rPr>
        <w:t>».</w:t>
      </w:r>
    </w:p>
    <w:p>
      <w:pPr>
        <w:pStyle w:val="Heading4"/>
        <w:numPr>
          <w:ilvl w:val="3"/>
          <w:numId w:val="1"/>
        </w:numPr>
        <w:rPr/>
      </w:pPr>
      <w:bookmarkStart w:id="5512" w:name="__RefHeading___Toc2569980_3650668749"/>
      <w:bookmarkStart w:id="5513" w:name="_Toc2499"/>
      <w:bookmarkEnd w:id="5512"/>
      <w:r>
        <w:rPr>
          <w:rtl w:val="true"/>
        </w:rPr>
        <w:t>[ (</w:t>
      </w:r>
      <w:r>
        <w:rPr>
          <w:rtl w:val="true"/>
        </w:rPr>
        <w:t xml:space="preserve">مسألة </w:t>
      </w:r>
      <w:r>
        <w:rPr/>
        <w:t>2</w:t>
      </w:r>
      <w:r>
        <w:rPr>
          <w:rtl w:val="true"/>
        </w:rPr>
        <w:t xml:space="preserve">): </w:t>
      </w:r>
      <w:r>
        <w:rPr>
          <w:rtl w:val="true"/>
        </w:rPr>
        <w:t>لا بدّ فی وقف المسجد قصد عنوان المسجدیّة</w:t>
      </w:r>
      <w:r>
        <w:rPr>
          <w:rtl w:val="true"/>
        </w:rPr>
        <w:t>]</w:t>
      </w:r>
      <w:bookmarkEnd w:id="5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وقف المسجد قصد عنوان المسجدیّة، فلو وقف مکاناً علیٰ صلاة المصلّین و عبادة المتعبّدین لم یصر بذلک مسجداً، ما لم یکن المقصود ذلک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کفایة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صیغته و إن لم یذکر ما یدلّ علیٰ وقفه و تحبیسه، و إن کان أحوط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هذا المکان أو هذا البنیان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یکون مسجداً</w:t>
      </w:r>
      <w:r>
        <w:rPr>
          <w:rFonts w:eastAsia="IRNazanin" w:cs="IRNazanin"/>
          <w:color w:val="111111"/>
          <w:sz w:val="28"/>
          <w:szCs w:val="28"/>
          <w:rtl w:val="true"/>
          <w:lang w:bidi="fa-IR"/>
        </w:rPr>
        <w:t>».</w:t>
      </w:r>
    </w:p>
    <w:p>
      <w:pPr>
        <w:pStyle w:val="Heading4"/>
        <w:numPr>
          <w:ilvl w:val="3"/>
          <w:numId w:val="1"/>
        </w:numPr>
        <w:rPr/>
      </w:pPr>
      <w:bookmarkStart w:id="5514" w:name="__RefHeading___Toc2569982_3650668749"/>
      <w:bookmarkStart w:id="5515" w:name="_Toc2500"/>
      <w:bookmarkEnd w:id="5514"/>
      <w:r>
        <w:rPr>
          <w:rtl w:val="true"/>
        </w:rPr>
        <w:t>[ (</w:t>
      </w:r>
      <w:r>
        <w:rPr>
          <w:rtl w:val="true"/>
        </w:rPr>
        <w:t xml:space="preserve">مسألة </w:t>
      </w:r>
      <w:r>
        <w:rPr/>
        <w:t>3</w:t>
      </w:r>
      <w:r>
        <w:rPr>
          <w:rtl w:val="true"/>
        </w:rPr>
        <w:t xml:space="preserve">): </w:t>
      </w:r>
      <w:r>
        <w:rPr>
          <w:rtl w:val="true"/>
        </w:rPr>
        <w:t>الظاهر کفایة المعاطاة فی مثل المساجد و المقابر</w:t>
      </w:r>
      <w:r>
        <w:rPr>
          <w:rtl w:val="true"/>
        </w:rPr>
        <w:t>]</w:t>
      </w:r>
      <w:bookmarkEnd w:id="5515"/>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کفایة المعاطاة فی مثل المساجد و المقابر و الطرق و الشوارع و القناطر و الربط المعدّة لنزول المسافرین و الأشجار المغروسة لانتفاع المارّة بظلّها أو ثمرها، بل و مثل البواری للمساجد و القنادیل للمشاهد و أشباه ذلک،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w:t>
      </w:r>
      <w:bookmarkStart w:id="5516" w:name="pg1809_19552"/>
    </w:p>
    <w:p>
      <w:pPr>
        <w:pStyle w:val="BookText"/>
        <w:rPr/>
      </w:pPr>
      <w:bookmarkEnd w:id="5516"/>
      <w:r>
        <w:rPr>
          <w:rFonts w:ascii="IRNazanin" w:hAnsi="IRNazanin" w:eastAsia="IRNazanin"/>
          <w:color w:val="111111"/>
          <w:sz w:val="28"/>
          <w:sz w:val="28"/>
          <w:szCs w:val="28"/>
          <w:rtl w:val="true"/>
          <w:lang w:bidi="fa-IR"/>
        </w:rPr>
        <w:t>محبساً علیٰ مصلحة عامّة، فلو بنیٰ بناءً بعنوان المسجدیّة و أذن فی الصلاة فیه للعموم و صلّی فیه بعض الناس، کفیٰ فی وقفه و صیرورته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عیّن قطعة من الأرض لأن تکون مقبرة للمسلمین و خلّیٰ بینها و بینهم و أذن إذناً عامّاً لهم فی الإقبار فیها فأقبروا فیها بعض الأموات، أو بنیٰ قنطرة و خلّیٰ بینها و بین العابرین فشرعوا فی العبور عنها و هکذا</w:t>
      </w:r>
      <w:r>
        <w:rPr>
          <w:rFonts w:eastAsia="IRNazanin" w:cs="IRNazanin"/>
          <w:color w:val="111111"/>
          <w:sz w:val="28"/>
          <w:szCs w:val="28"/>
          <w:rtl w:val="true"/>
          <w:lang w:bidi="fa-IR"/>
        </w:rPr>
        <w:t>.</w:t>
      </w:r>
    </w:p>
    <w:p>
      <w:pPr>
        <w:pStyle w:val="Heading4"/>
        <w:numPr>
          <w:ilvl w:val="3"/>
          <w:numId w:val="1"/>
        </w:numPr>
        <w:rPr/>
      </w:pPr>
      <w:bookmarkStart w:id="5517" w:name="__RefHeading___Toc2569984_3650668749"/>
      <w:bookmarkStart w:id="5518" w:name="_Toc2501"/>
      <w:bookmarkEnd w:id="5517"/>
      <w:r>
        <w:rPr>
          <w:rtl w:val="true"/>
        </w:rPr>
        <w:t>[ (</w:t>
      </w:r>
      <w:r>
        <w:rPr>
          <w:rtl w:val="true"/>
        </w:rPr>
        <w:t xml:space="preserve">مسألة </w:t>
      </w:r>
      <w:r>
        <w:rPr/>
        <w:t>4</w:t>
      </w:r>
      <w:r>
        <w:rPr>
          <w:rtl w:val="true"/>
        </w:rPr>
        <w:t xml:space="preserve">): </w:t>
      </w:r>
      <w:r>
        <w:rPr>
          <w:rtl w:val="true"/>
        </w:rPr>
        <w:t>ما ذکرنا من کفایة المعاطاة فی المسجد، إنّما هو فیما إذا کان أصل البناء و التعمیر فی المسجد بقصد المسجدیّة</w:t>
      </w:r>
      <w:r>
        <w:rPr>
          <w:rtl w:val="true"/>
        </w:rPr>
        <w:t>]</w:t>
      </w:r>
      <w:bookmarkEnd w:id="5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کفایة المعاطاة فی المسجد، إنّما هو فیما إذا کان أصل البناء و التعمیر فی المسجد بقصد المسجدیّة؛ بأن نویٰ ببنائه و تعمیره أن یکون مسجداً، خصوصاً إذا حاز أرضاً مباحاً لأجل المسجد و بنیٰ فیها بتلک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له بناء مملوک کدار أو خان فنویٰ أن یکون مسجداً، و صرف الناس بالصلاة فیه من دون إجراء صیغة الوقف علیه، یشکل الاکتفاء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 مثل الرباط و القنطرة، فإذا بنیٰ رباطاً فی ملکه، أو فی أرض مباح للمارّة و المسافرین ثمّ خلّیٰ بینه و بینهم و نزل به بعض القوافل کفیٰ ذلک فی وقفیّته علیٰ تلک الجهة، بخلاف ما إذا کان له خان مملوک له معدّ للإجارة و محلّا للتجارة مثلًا فنویٰ أن یکون وقفاً علی الغرباء و النازلین من المسافرین و خلّیٰ بینه و بینهم من دون إجراء صیغة الوقف علیه</w:t>
      </w:r>
      <w:r>
        <w:rPr>
          <w:rFonts w:eastAsia="IRNazanin" w:cs="IRNazanin"/>
          <w:color w:val="111111"/>
          <w:sz w:val="28"/>
          <w:szCs w:val="28"/>
          <w:rtl w:val="true"/>
          <w:lang w:bidi="fa-IR"/>
        </w:rPr>
        <w:t>.</w:t>
      </w:r>
    </w:p>
    <w:p>
      <w:pPr>
        <w:pStyle w:val="Heading4"/>
        <w:numPr>
          <w:ilvl w:val="3"/>
          <w:numId w:val="1"/>
        </w:numPr>
        <w:rPr/>
      </w:pPr>
      <w:bookmarkStart w:id="5519" w:name="__RefHeading___Toc2569986_3650668749"/>
      <w:bookmarkStart w:id="5520" w:name="_Toc2502"/>
      <w:bookmarkEnd w:id="5519"/>
      <w:r>
        <w:rPr>
          <w:rtl w:val="true"/>
        </w:rPr>
        <w:t>[ (</w:t>
      </w:r>
      <w:r>
        <w:rPr>
          <w:rtl w:val="true"/>
        </w:rPr>
        <w:t xml:space="preserve">مسألة </w:t>
      </w:r>
      <w:r>
        <w:rPr/>
        <w:t>5</w:t>
      </w:r>
      <w:r>
        <w:rPr>
          <w:rtl w:val="true"/>
        </w:rPr>
        <w:t xml:space="preserve">): </w:t>
      </w:r>
      <w:r>
        <w:rPr>
          <w:rtl w:val="true"/>
        </w:rPr>
        <w:t>لا إشکال فی جواز التوکیل فی الوقف</w:t>
      </w:r>
      <w:r>
        <w:rPr>
          <w:rtl w:val="true"/>
        </w:rPr>
        <w:t>]</w:t>
      </w:r>
      <w:bookmarkEnd w:id="5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التوکیل فی الوقف، و فی جریان الفضولیّة فیه خلاف و إشکال، لا یبعد جریانها فیه، لکنّ الأحوط خلافه، فلو وقع فضولًا لا یکتفیٰ بالإجازة بل تجدّد الصیغة</w:t>
      </w:r>
      <w:r>
        <w:rPr>
          <w:rFonts w:eastAsia="IRNazanin" w:cs="IRNazanin"/>
          <w:color w:val="111111"/>
          <w:sz w:val="28"/>
          <w:szCs w:val="28"/>
          <w:rtl w:val="true"/>
          <w:lang w:bidi="fa-IR"/>
        </w:rPr>
        <w:t>.</w:t>
      </w:r>
    </w:p>
    <w:p>
      <w:pPr>
        <w:pStyle w:val="Heading4"/>
        <w:numPr>
          <w:ilvl w:val="3"/>
          <w:numId w:val="1"/>
        </w:numPr>
        <w:rPr/>
      </w:pPr>
      <w:bookmarkStart w:id="5521" w:name="__RefHeading___Toc2569988_3650668749"/>
      <w:bookmarkStart w:id="5522" w:name="_Toc2503"/>
      <w:bookmarkEnd w:id="5521"/>
      <w:r>
        <w:rPr>
          <w:rtl w:val="true"/>
        </w:rPr>
        <w:t>[ (</w:t>
      </w:r>
      <w:r>
        <w:rPr>
          <w:rtl w:val="true"/>
        </w:rPr>
        <w:t xml:space="preserve">مسألة </w:t>
      </w:r>
      <w:r>
        <w:rPr/>
        <w:t>6</w:t>
      </w:r>
      <w:r>
        <w:rPr>
          <w:rtl w:val="true"/>
        </w:rPr>
        <w:t xml:space="preserve">): </w:t>
      </w:r>
      <w:r>
        <w:rPr>
          <w:rtl w:val="true"/>
        </w:rPr>
        <w:t>الأقویٰ عدم اعتبار القبول فی الوقف علی الجهات العامّة</w:t>
      </w:r>
      <w:r>
        <w:rPr>
          <w:rtl w:val="true"/>
        </w:rPr>
        <w:t>]</w:t>
      </w:r>
      <w:bookmarkEnd w:id="5522"/>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عدم اعتبار القبول فی الوقف علی الجهات العامّة کالمساجد و المقابر و القناطر و نحوها، و کذا الوقف علی العناوین الکلّیة کالوقف علی الفقراء و الفقهاء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الوقف الخاصّ کالوقف علی الذرّیّة فالأحوط </w:t>
      </w:r>
      <w:r>
        <w:rPr>
          <w:rStyle w:val="FootnoteAnchor"/>
          <w:rtl w:val="true"/>
        </w:rPr>
        <w:footnoteReference w:id="1486"/>
      </w:r>
      <w:r>
        <w:rPr>
          <w:rFonts w:ascii="IRNazanin" w:hAnsi="IRNazanin" w:eastAsia="IRNazanin"/>
          <w:color w:val="111111"/>
          <w:sz w:val="28"/>
          <w:sz w:val="28"/>
          <w:szCs w:val="28"/>
          <w:rtl w:val="true"/>
          <w:lang w:bidi="fa-IR"/>
        </w:rPr>
        <w:t>اعتباره فیه، فیقبله الموقوف علیهم، و إن کانوا صغاراً قام به ولیّهم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قبول الموجودین و لا یحتاج إلیٰ قبول لمن سیوجد منهم بعد وجوده، و الأحوط رعایة القبول فی الوقف العامّ أیضاً، و القائم به الحاکم أو المنصوب من قبله</w:t>
      </w:r>
      <w:r>
        <w:rPr>
          <w:rFonts w:eastAsia="IRNazanin" w:cs="IRNazanin"/>
          <w:color w:val="111111"/>
          <w:sz w:val="28"/>
          <w:szCs w:val="28"/>
          <w:rtl w:val="true"/>
          <w:lang w:bidi="fa-IR"/>
        </w:rPr>
        <w:t>.</w:t>
      </w:r>
      <w:bookmarkStart w:id="5523" w:name="pg1809_19553"/>
    </w:p>
    <w:p>
      <w:pPr>
        <w:pStyle w:val="Heading4"/>
        <w:numPr>
          <w:ilvl w:val="3"/>
          <w:numId w:val="1"/>
        </w:numPr>
        <w:rPr/>
      </w:pPr>
      <w:bookmarkStart w:id="5524" w:name="__RefHeading___Toc2569990_3650668749"/>
      <w:bookmarkStart w:id="5525" w:name="_Toc2504"/>
      <w:bookmarkEnd w:id="5523"/>
      <w:bookmarkEnd w:id="5524"/>
      <w:r>
        <w:rPr>
          <w:rtl w:val="true"/>
        </w:rPr>
        <w:t>[ (</w:t>
      </w:r>
      <w:r>
        <w:rPr>
          <w:rtl w:val="true"/>
        </w:rPr>
        <w:t xml:space="preserve">مسألة </w:t>
      </w:r>
      <w:r>
        <w:rPr/>
        <w:t>7</w:t>
      </w:r>
      <w:r>
        <w:rPr>
          <w:rtl w:val="true"/>
        </w:rPr>
        <w:t xml:space="preserve">): </w:t>
      </w:r>
      <w:r>
        <w:rPr>
          <w:rtl w:val="true"/>
        </w:rPr>
        <w:t>الأحوط قصد القربة فی الوقف</w:t>
      </w:r>
      <w:r>
        <w:rPr>
          <w:rtl w:val="true"/>
        </w:rPr>
        <w:t>]</w:t>
      </w:r>
      <w:bookmarkEnd w:id="5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w:t>
      </w:r>
      <w:r>
        <w:rPr>
          <w:rStyle w:val="FootnoteAnchor"/>
          <w:rtl w:val="true"/>
        </w:rPr>
        <w:footnoteReference w:id="1487"/>
      </w:r>
      <w:r>
        <w:rPr>
          <w:rFonts w:ascii="IRNazanin" w:hAnsi="IRNazanin" w:eastAsia="IRNazanin"/>
          <w:color w:val="111111"/>
          <w:sz w:val="28"/>
          <w:sz w:val="28"/>
          <w:szCs w:val="28"/>
          <w:rtl w:val="true"/>
          <w:lang w:bidi="fa-IR"/>
        </w:rPr>
        <w:t>قصد القربة فی الوقف، و إن کان فی اعتباره نظر، خصوصاً فی الوقف الخاصّ کالوقف علیٰ زید و ذرّیّته و نحو ذلک</w:t>
      </w:r>
      <w:r>
        <w:rPr>
          <w:rFonts w:eastAsia="IRNazanin" w:cs="IRNazanin"/>
          <w:color w:val="111111"/>
          <w:sz w:val="28"/>
          <w:szCs w:val="28"/>
          <w:rtl w:val="true"/>
          <w:lang w:bidi="fa-IR"/>
        </w:rPr>
        <w:t>.</w:t>
      </w:r>
    </w:p>
    <w:p>
      <w:pPr>
        <w:pStyle w:val="Heading4"/>
        <w:numPr>
          <w:ilvl w:val="3"/>
          <w:numId w:val="1"/>
        </w:numPr>
        <w:rPr/>
      </w:pPr>
      <w:bookmarkStart w:id="5526" w:name="__RefHeading___Toc2569992_3650668749"/>
      <w:bookmarkStart w:id="5527" w:name="_Toc2505"/>
      <w:bookmarkEnd w:id="5526"/>
      <w:r>
        <w:rPr>
          <w:rtl w:val="true"/>
        </w:rPr>
        <w:t>[ (</w:t>
      </w:r>
      <w:r>
        <w:rPr>
          <w:rtl w:val="true"/>
        </w:rPr>
        <w:t xml:space="preserve">مسألة </w:t>
      </w:r>
      <w:r>
        <w:rPr/>
        <w:t>8</w:t>
      </w:r>
      <w:r>
        <w:rPr>
          <w:rtl w:val="true"/>
        </w:rPr>
        <w:t xml:space="preserve">): </w:t>
      </w:r>
      <w:r>
        <w:rPr>
          <w:rtl w:val="true"/>
        </w:rPr>
        <w:t>یشترط فی صحّة الوقف القبض</w:t>
      </w:r>
      <w:r>
        <w:rPr>
          <w:rtl w:val="true"/>
        </w:rPr>
        <w:t>]</w:t>
      </w:r>
      <w:bookmarkEnd w:id="5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الوقف القبض، و یعتبر فیه أن یکون بإذن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الوقف الخاصّ و هو الوقف الذی کان علیٰ أشخاص کالوقف علیٰ أولاده و ذرّیّته یعتبر قبض الموقوف علیهم، و یکفی قبض الطبقة الأُولیٰ عن بقیّة الطبقات فلا یعتبر قبض الطبقات اللاحقة، بل یکفی قبض الموجودین من الطبقة الأُولیٰ عمّن یوجد منهم فیما بعد، فإذا وقف علیٰ أولاده ثمّ علیٰ أولاد أولاده و کان الموجود من أولاده ثلاثة فقبضوا ثمّ تولّد رابع بعد ذلک فلا حاجة إلیٰ قبضه، و لو کان الموجودون جماعة فقبض بعضهم دون بعض صحّ بالنسبة إلیٰ من قبض و بطل بالنسبة إلیٰ من لم یقبض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الوقف علی الجهات و المصالح کالمساجد و ما وقف علیها فإن جعل الواقف له قیّماً و متولّیاً اعتبر قبضه أو قبض الحاکم، و الأحوط عدم الاکتفاء بالثانی مع وجود الأوّل، و إن لم یکن قیّم تعیّن قبض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الوقف علی العناوین العامّة کالفقراء و الطلبة 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یکفی قبض بعض المستحقّین من أفراد ذلک العنوان العامّ؛ بأن یقبض مثلًا فقیر من الفقراء فی الوقف علی الفقراء أو عالم من العلماء فی الوقف علی العلماء؟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الأوّل هو الأقویٰ فیما إذا سلّم الوقف إلی المستحقّ لاستیفاء ما یستحقّ، کما إذا سلّم الدار الموقوفة علیٰ سکنی الفقراء إلیٰ فقیر فسکنها، أو الدابّة الموقوفة علی الزوّار أو الحجّاج إلیٰ زائر و حاجّ فرکبها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یکفی مجرّد استیفاء المنفعة و الثمرة من دون استیلاء علی العین، فإذا وقف بستاناً علی الفقراء لا یکفی فی القبض إعطاء شی‌ء من ثمرتها لبعض الفقراء مع کون البستان تحت یده</w:t>
      </w:r>
      <w:r>
        <w:rPr>
          <w:rFonts w:eastAsia="IRNazanin" w:cs="IRNazanin"/>
          <w:color w:val="111111"/>
          <w:sz w:val="28"/>
          <w:szCs w:val="28"/>
          <w:rtl w:val="true"/>
          <w:lang w:bidi="fa-IR"/>
        </w:rPr>
        <w:t>.</w:t>
      </w:r>
    </w:p>
    <w:p>
      <w:pPr>
        <w:pStyle w:val="Heading4"/>
        <w:numPr>
          <w:ilvl w:val="3"/>
          <w:numId w:val="1"/>
        </w:numPr>
        <w:rPr/>
      </w:pPr>
      <w:bookmarkStart w:id="5528" w:name="__RefHeading___Toc2569994_3650668749"/>
      <w:bookmarkStart w:id="5529" w:name="_Toc2506"/>
      <w:bookmarkEnd w:id="5528"/>
      <w:r>
        <w:rPr>
          <w:rtl w:val="true"/>
        </w:rPr>
        <w:t>[ (</w:t>
      </w:r>
      <w:r>
        <w:rPr>
          <w:rtl w:val="true"/>
        </w:rPr>
        <w:t xml:space="preserve">مسألة </w:t>
      </w:r>
      <w:r>
        <w:rPr/>
        <w:t>9</w:t>
      </w:r>
      <w:r>
        <w:rPr>
          <w:rtl w:val="true"/>
        </w:rPr>
        <w:t xml:space="preserve">): </w:t>
      </w:r>
      <w:r>
        <w:rPr>
          <w:rtl w:val="true"/>
        </w:rPr>
        <w:t>لو وقف مسجداً أو مقبرة، کفیٰ فی قبضها صلاة واحدة فی المسجد</w:t>
      </w:r>
      <w:r>
        <w:rPr>
          <w:rtl w:val="true"/>
        </w:rPr>
        <w:t>]</w:t>
      </w:r>
      <w:bookmarkEnd w:id="5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وقف مسجداً أو مقبرة، کفیٰ فی قبضها صلاة </w:t>
      </w:r>
      <w:r>
        <w:rPr>
          <w:rStyle w:val="FootnoteAnchor"/>
          <w:rtl w:val="true"/>
        </w:rPr>
        <w:footnoteReference w:id="1488"/>
      </w:r>
      <w:r>
        <w:rPr>
          <w:rFonts w:ascii="IRNazanin" w:hAnsi="IRNazanin" w:eastAsia="IRNazanin"/>
          <w:color w:val="111111"/>
          <w:sz w:val="28"/>
          <w:sz w:val="28"/>
          <w:szCs w:val="28"/>
          <w:rtl w:val="true"/>
          <w:lang w:bidi="fa-IR"/>
        </w:rPr>
        <w:t>واحدة فی المسجد، و دفن میّت واحد فی المقبرة</w:t>
      </w:r>
      <w:r>
        <w:rPr>
          <w:rFonts w:eastAsia="IRNazanin" w:cs="IRNazanin"/>
          <w:color w:val="111111"/>
          <w:sz w:val="28"/>
          <w:szCs w:val="28"/>
          <w:rtl w:val="true"/>
          <w:lang w:bidi="fa-IR"/>
        </w:rPr>
        <w:t>.</w:t>
      </w:r>
    </w:p>
    <w:p>
      <w:pPr>
        <w:pStyle w:val="Heading4"/>
        <w:numPr>
          <w:ilvl w:val="3"/>
          <w:numId w:val="1"/>
        </w:numPr>
        <w:rPr/>
      </w:pPr>
      <w:bookmarkStart w:id="5530" w:name="__RefHeading___Toc2569996_3650668749"/>
      <w:bookmarkStart w:id="5531" w:name="_Toc2507"/>
      <w:bookmarkEnd w:id="5530"/>
      <w:r>
        <w:rPr>
          <w:rtl w:val="true"/>
        </w:rPr>
        <w:t>[ (</w:t>
      </w:r>
      <w:r>
        <w:rPr>
          <w:rtl w:val="true"/>
        </w:rPr>
        <w:t xml:space="preserve">مسألة </w:t>
      </w:r>
      <w:r>
        <w:rPr/>
        <w:t>10</w:t>
      </w:r>
      <w:r>
        <w:rPr>
          <w:rtl w:val="true"/>
        </w:rPr>
        <w:t xml:space="preserve">): </w:t>
      </w:r>
      <w:r>
        <w:rPr>
          <w:rtl w:val="true"/>
        </w:rPr>
        <w:t>لو وقف الأب علیٰ أولاده الصغار، لم یحتج إلیٰ قبض جدید</w:t>
      </w:r>
      <w:r>
        <w:rPr>
          <w:rtl w:val="true"/>
        </w:rPr>
        <w:t>]</w:t>
      </w:r>
      <w:bookmarkEnd w:id="5531"/>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الأب علیٰ أولاده الصغار، لم یحتج إلیٰ قبض جدید، و کذا کلّ ولیّ</w:t>
      </w:r>
      <w:bookmarkStart w:id="5532" w:name="pg1809_19554"/>
    </w:p>
    <w:p>
      <w:pPr>
        <w:pStyle w:val="BookText"/>
        <w:rPr/>
      </w:pPr>
      <w:bookmarkEnd w:id="5532"/>
      <w:r>
        <w:rPr>
          <w:rFonts w:ascii="IRNazanin" w:hAnsi="IRNazanin" w:eastAsia="IRNazanin"/>
          <w:color w:val="111111"/>
          <w:sz w:val="28"/>
          <w:sz w:val="28"/>
          <w:szCs w:val="28"/>
          <w:rtl w:val="true"/>
          <w:lang w:bidi="fa-IR"/>
        </w:rPr>
        <w:t xml:space="preserve">إذا وقف علی المولّی علیه؛ لأنّ قبض الولیّ قبض المولّی علیه، و الأحوط </w:t>
      </w:r>
      <w:r>
        <w:rPr>
          <w:rStyle w:val="FootnoteAnchor"/>
          <w:rtl w:val="true"/>
        </w:rPr>
        <w:footnoteReference w:id="1489"/>
      </w:r>
      <w:r>
        <w:rPr>
          <w:rFonts w:ascii="IRNazanin" w:hAnsi="IRNazanin" w:eastAsia="IRNazanin"/>
          <w:color w:val="111111"/>
          <w:sz w:val="28"/>
          <w:sz w:val="28"/>
          <w:szCs w:val="28"/>
          <w:rtl w:val="true"/>
          <w:lang w:bidi="fa-IR"/>
        </w:rPr>
        <w:t>أن یقصد کون قبضه عنه</w:t>
      </w:r>
      <w:r>
        <w:rPr>
          <w:rFonts w:eastAsia="IRNazanin" w:cs="IRNazanin"/>
          <w:color w:val="111111"/>
          <w:sz w:val="28"/>
          <w:szCs w:val="28"/>
          <w:rtl w:val="true"/>
          <w:lang w:bidi="fa-IR"/>
        </w:rPr>
        <w:t>.</w:t>
      </w:r>
    </w:p>
    <w:p>
      <w:pPr>
        <w:pStyle w:val="Heading4"/>
        <w:numPr>
          <w:ilvl w:val="3"/>
          <w:numId w:val="1"/>
        </w:numPr>
        <w:rPr/>
      </w:pPr>
      <w:bookmarkStart w:id="5533" w:name="__RefHeading___Toc2569998_3650668749"/>
      <w:bookmarkStart w:id="5534" w:name="_Toc2508"/>
      <w:bookmarkEnd w:id="5533"/>
      <w:r>
        <w:rPr>
          <w:rtl w:val="true"/>
        </w:rPr>
        <w:t>[ (</w:t>
      </w:r>
      <w:r>
        <w:rPr>
          <w:rtl w:val="true"/>
        </w:rPr>
        <w:t xml:space="preserve">مسألة </w:t>
      </w:r>
      <w:r>
        <w:rPr/>
        <w:t>11</w:t>
      </w:r>
      <w:r>
        <w:rPr>
          <w:rtl w:val="true"/>
        </w:rPr>
        <w:t xml:space="preserve">): </w:t>
      </w:r>
      <w:r>
        <w:rPr>
          <w:rtl w:val="true"/>
        </w:rPr>
        <w:t>فیما یعتبر أو یکفی قبض المتولّی</w:t>
      </w:r>
      <w:r>
        <w:rPr>
          <w:rtl w:val="true"/>
        </w:rPr>
        <w:t>]</w:t>
      </w:r>
      <w:bookmarkEnd w:id="5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یعتبر أو یکفی قبض المتولّی کالوقف علی الجهات العامّة لو جعل الواقف التولیة لنفسه، لا یحتاج إلیٰ قبض آخر و یکفی </w:t>
      </w:r>
      <w:r>
        <w:rPr>
          <w:rStyle w:val="FootnoteAnchor"/>
          <w:rtl w:val="true"/>
        </w:rPr>
        <w:footnoteReference w:id="1490"/>
      </w:r>
      <w:r>
        <w:rPr>
          <w:rFonts w:ascii="IRNazanin" w:hAnsi="IRNazanin" w:eastAsia="IRNazanin"/>
          <w:color w:val="111111"/>
          <w:sz w:val="28"/>
          <w:sz w:val="28"/>
          <w:szCs w:val="28"/>
          <w:rtl w:val="true"/>
          <w:lang w:bidi="fa-IR"/>
        </w:rPr>
        <w:t>قبضه الذی هو حاصل</w:t>
      </w:r>
      <w:r>
        <w:rPr>
          <w:rFonts w:eastAsia="IRNazanin" w:cs="IRNazanin"/>
          <w:color w:val="111111"/>
          <w:sz w:val="28"/>
          <w:szCs w:val="28"/>
          <w:rtl w:val="true"/>
          <w:lang w:bidi="fa-IR"/>
        </w:rPr>
        <w:t>.</w:t>
      </w:r>
    </w:p>
    <w:p>
      <w:pPr>
        <w:pStyle w:val="Heading4"/>
        <w:numPr>
          <w:ilvl w:val="3"/>
          <w:numId w:val="1"/>
        </w:numPr>
        <w:rPr/>
      </w:pPr>
      <w:bookmarkStart w:id="5535" w:name="__RefHeading___Toc2570000_3650668749"/>
      <w:bookmarkStart w:id="5536" w:name="_Toc2509"/>
      <w:bookmarkEnd w:id="5535"/>
      <w:r>
        <w:rPr>
          <w:rtl w:val="true"/>
        </w:rPr>
        <w:t>[ (</w:t>
      </w:r>
      <w:r>
        <w:rPr>
          <w:rtl w:val="true"/>
        </w:rPr>
        <w:t xml:space="preserve">مسألة </w:t>
      </w:r>
      <w:r>
        <w:rPr/>
        <w:t>12</w:t>
      </w:r>
      <w:r>
        <w:rPr>
          <w:rtl w:val="true"/>
        </w:rPr>
        <w:t xml:space="preserve">): </w:t>
      </w:r>
      <w:r>
        <w:rPr>
          <w:rtl w:val="true"/>
        </w:rPr>
        <w:t>لو کانت العین الموقوفة بید الموقوف علیه قبل الوقف بعنوان الودیعة أو العاریة</w:t>
      </w:r>
      <w:r>
        <w:rPr>
          <w:rtl w:val="true"/>
        </w:rPr>
        <w:t>]</w:t>
      </w:r>
      <w:bookmarkEnd w:id="5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العین الموقوفة بید الموقوف علیه قبل الوقف بعنوان الودیعة أو العاریة أو علیٰ وجه آخر، لم یحتج إلیٰ قبض جدید؛ بأن یستردّها ثمّ یقبضها، نعم لا بدّ أن یکون بقاؤها فی یده بإذن الواقف </w:t>
      </w:r>
      <w:r>
        <w:rPr>
          <w:rStyle w:val="FootnoteAnchor"/>
          <w:rtl w:val="true"/>
        </w:rPr>
        <w:footnoteReference w:id="1491"/>
      </w:r>
      <w:r>
        <w:rPr>
          <w:rFonts w:ascii="IRNazanin" w:hAnsi="IRNazanin" w:eastAsia="IRNazanin"/>
          <w:color w:val="111111"/>
          <w:sz w:val="28"/>
          <w:sz w:val="28"/>
          <w:szCs w:val="28"/>
          <w:rtl w:val="true"/>
          <w:lang w:bidi="fa-IR"/>
        </w:rPr>
        <w:t>، بناءً علی اشتراط کون القبض بإذنه کما مرّ</w:t>
      </w:r>
      <w:r>
        <w:rPr>
          <w:rFonts w:eastAsia="IRNazanin" w:cs="IRNazanin"/>
          <w:color w:val="111111"/>
          <w:sz w:val="28"/>
          <w:szCs w:val="28"/>
          <w:rtl w:val="true"/>
          <w:lang w:bidi="fa-IR"/>
        </w:rPr>
        <w:t>.</w:t>
      </w:r>
    </w:p>
    <w:p>
      <w:pPr>
        <w:pStyle w:val="Heading4"/>
        <w:numPr>
          <w:ilvl w:val="3"/>
          <w:numId w:val="1"/>
        </w:numPr>
        <w:rPr/>
      </w:pPr>
      <w:bookmarkStart w:id="5537" w:name="__RefHeading___Toc2570002_3650668749"/>
      <w:bookmarkStart w:id="5538" w:name="_Toc2510"/>
      <w:bookmarkEnd w:id="5537"/>
      <w:r>
        <w:rPr>
          <w:rtl w:val="true"/>
        </w:rPr>
        <w:t>[ (</w:t>
      </w:r>
      <w:r>
        <w:rPr>
          <w:rtl w:val="true"/>
        </w:rPr>
        <w:t xml:space="preserve">مسألة </w:t>
      </w:r>
      <w:r>
        <w:rPr/>
        <w:t>13</w:t>
      </w:r>
      <w:r>
        <w:rPr>
          <w:rtl w:val="true"/>
        </w:rPr>
        <w:t xml:space="preserve">): </w:t>
      </w:r>
      <w:r>
        <w:rPr>
          <w:rtl w:val="true"/>
        </w:rPr>
        <w:t>لا یشترط فی القبض الفوریّة</w:t>
      </w:r>
      <w:r>
        <w:rPr>
          <w:rtl w:val="true"/>
        </w:rPr>
        <w:t>]</w:t>
      </w:r>
      <w:bookmarkEnd w:id="5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القبض الفوریّة، فلو وقف عیناً فی زمان ثمّ أقبضها فی زمان متأخّر کفیٰ و تمّ الوقف من حینه</w:t>
      </w:r>
      <w:r>
        <w:rPr>
          <w:rFonts w:eastAsia="IRNazanin" w:cs="IRNazanin"/>
          <w:color w:val="111111"/>
          <w:sz w:val="28"/>
          <w:szCs w:val="28"/>
          <w:rtl w:val="true"/>
          <w:lang w:bidi="fa-IR"/>
        </w:rPr>
        <w:t>.</w:t>
      </w:r>
    </w:p>
    <w:p>
      <w:pPr>
        <w:pStyle w:val="Heading4"/>
        <w:numPr>
          <w:ilvl w:val="3"/>
          <w:numId w:val="1"/>
        </w:numPr>
        <w:rPr/>
      </w:pPr>
      <w:bookmarkStart w:id="5539" w:name="__RefHeading___Toc2570004_3650668749"/>
      <w:bookmarkStart w:id="5540" w:name="_Toc2511"/>
      <w:bookmarkEnd w:id="5539"/>
      <w:r>
        <w:rPr>
          <w:rtl w:val="true"/>
        </w:rPr>
        <w:t>[ (</w:t>
      </w:r>
      <w:r>
        <w:rPr>
          <w:rtl w:val="true"/>
        </w:rPr>
        <w:t xml:space="preserve">مسألة </w:t>
      </w:r>
      <w:r>
        <w:rPr/>
        <w:t>14</w:t>
      </w:r>
      <w:r>
        <w:rPr>
          <w:rtl w:val="true"/>
        </w:rPr>
        <w:t xml:space="preserve">): </w:t>
      </w:r>
      <w:r>
        <w:rPr>
          <w:rtl w:val="true"/>
        </w:rPr>
        <w:t>لو مات الواقف قبل القبض بطل الوقف</w:t>
      </w:r>
      <w:r>
        <w:rPr>
          <w:rtl w:val="true"/>
        </w:rPr>
        <w:t>]</w:t>
      </w:r>
      <w:bookmarkEnd w:id="5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الواقف قبل القبض بطل الوقف و کان میراثاً</w:t>
      </w:r>
      <w:r>
        <w:rPr>
          <w:rFonts w:eastAsia="IRNazanin" w:cs="IRNazanin"/>
          <w:color w:val="111111"/>
          <w:sz w:val="28"/>
          <w:szCs w:val="28"/>
          <w:rtl w:val="true"/>
          <w:lang w:bidi="fa-IR"/>
        </w:rPr>
        <w:t>.</w:t>
      </w:r>
    </w:p>
    <w:p>
      <w:pPr>
        <w:pStyle w:val="Heading4"/>
        <w:numPr>
          <w:ilvl w:val="3"/>
          <w:numId w:val="1"/>
        </w:numPr>
        <w:rPr/>
      </w:pPr>
      <w:bookmarkStart w:id="5541" w:name="__RefHeading___Toc2570006_3650668749"/>
      <w:bookmarkStart w:id="5542" w:name="_Toc2512"/>
      <w:bookmarkEnd w:id="5541"/>
      <w:r>
        <w:rPr>
          <w:rtl w:val="true"/>
        </w:rPr>
        <w:t>[ (</w:t>
      </w:r>
      <w:r>
        <w:rPr>
          <w:rtl w:val="true"/>
        </w:rPr>
        <w:t xml:space="preserve">مسألة </w:t>
      </w:r>
      <w:r>
        <w:rPr/>
        <w:t>15</w:t>
      </w:r>
      <w:r>
        <w:rPr>
          <w:rtl w:val="true"/>
        </w:rPr>
        <w:t xml:space="preserve">): </w:t>
      </w:r>
      <w:r>
        <w:rPr>
          <w:rtl w:val="true"/>
        </w:rPr>
        <w:t>یشترط فی الوقف الدوام</w:t>
      </w:r>
      <w:r>
        <w:rPr>
          <w:rtl w:val="true"/>
        </w:rPr>
        <w:t>]</w:t>
      </w:r>
      <w:bookmarkEnd w:id="5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الوقف الدوام؛ بمعنی عدم توقیته بمدّة،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هذه البستان علی الفقراء إلیٰ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وقفاً، و فی صحّته حبساً أو بطلانه کذلک أیضاً وجهان، أوجههما الثانی </w:t>
      </w:r>
      <w:r>
        <w:rPr>
          <w:rStyle w:val="FootnoteAnchor"/>
          <w:rtl w:val="true"/>
        </w:rPr>
        <w:footnoteReference w:id="1492"/>
      </w:r>
      <w:r>
        <w:rPr>
          <w:rFonts w:ascii="Amiri" w:hAnsi="Amiri" w:eastAsia="Amiri" w:cs="Amiri"/>
          <w:color w:val="111111"/>
          <w:sz w:val="28"/>
          <w:sz w:val="28"/>
          <w:szCs w:val="28"/>
          <w:rtl w:val="true"/>
          <w:lang w:bidi="ar-SA"/>
        </w:rPr>
        <w:t>، إلّا إذا علم أنّه قصد کونه حبساً</w:t>
      </w:r>
      <w:r>
        <w:rPr>
          <w:rFonts w:eastAsia="Amiri" w:cs="Amiri" w:ascii="Amiri" w:hAnsi="Amiri"/>
          <w:color w:val="111111"/>
          <w:sz w:val="28"/>
          <w:szCs w:val="28"/>
          <w:rtl w:val="true"/>
          <w:lang w:bidi="ar-SA"/>
        </w:rPr>
        <w:t>.</w:t>
      </w:r>
    </w:p>
    <w:p>
      <w:pPr>
        <w:pStyle w:val="Heading4"/>
        <w:numPr>
          <w:ilvl w:val="3"/>
          <w:numId w:val="1"/>
        </w:numPr>
        <w:rPr/>
      </w:pPr>
      <w:bookmarkStart w:id="5543" w:name="__RefHeading___Toc2570008_3650668749"/>
      <w:bookmarkStart w:id="5544" w:name="_Toc2513"/>
      <w:bookmarkEnd w:id="5543"/>
      <w:r>
        <w:rPr>
          <w:rtl w:val="true"/>
        </w:rPr>
        <w:t>[ (</w:t>
      </w:r>
      <w:r>
        <w:rPr>
          <w:rtl w:val="true"/>
        </w:rPr>
        <w:t xml:space="preserve">مسألة </w:t>
      </w:r>
      <w:r>
        <w:rPr/>
        <w:t>16</w:t>
      </w:r>
      <w:r>
        <w:rPr>
          <w:rtl w:val="true"/>
        </w:rPr>
        <w:t xml:space="preserve">): </w:t>
      </w:r>
      <w:r>
        <w:rPr>
          <w:rtl w:val="true"/>
        </w:rPr>
        <w:t>إذا وقف علیٰ من ینقرض کما إذا وقف علیٰ أولاده و اقتصر علیٰ بطن أو بطون ممّن ینقرض غالباً</w:t>
      </w:r>
      <w:r>
        <w:rPr>
          <w:rtl w:val="true"/>
        </w:rPr>
        <w:t>]</w:t>
      </w:r>
      <w:bookmarkEnd w:id="5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وقف علیٰ من ینقرض کما إذا وقف علیٰ أولاده و اقتصر علیٰ بطن أو بطون ممّن ینقرض غالباً، و لم یذکر المصرف بعد انقراضهم، ففی صحّته وقفاً أو حبساً أو بطلانه رأساً أقوال، و الأقوی هو الأوّل، فیصحّ الوقف المنقطع الآخر؛ بأن یکون وقفاً حقیقة إلیٰ زمان الانقراض و الانقطاع، و ینقضی بعد ذلک و یرجع </w:t>
      </w:r>
      <w:r>
        <w:rPr>
          <w:rStyle w:val="FootnoteAnchor"/>
          <w:rtl w:val="true"/>
        </w:rPr>
        <w:footnoteReference w:id="1493"/>
      </w:r>
      <w:r>
        <w:rPr>
          <w:rFonts w:ascii="IRNazanin" w:hAnsi="IRNazanin" w:eastAsia="IRNazanin"/>
          <w:color w:val="111111"/>
          <w:sz w:val="28"/>
          <w:sz w:val="28"/>
          <w:szCs w:val="28"/>
          <w:rtl w:val="true"/>
          <w:lang w:bidi="fa-IR"/>
        </w:rPr>
        <w:t>إلی الواقف أو ورثته</w:t>
      </w:r>
      <w:r>
        <w:rPr>
          <w:rFonts w:eastAsia="IRNazanin" w:cs="IRNazanin"/>
          <w:color w:val="111111"/>
          <w:sz w:val="28"/>
          <w:szCs w:val="28"/>
          <w:rtl w:val="true"/>
          <w:lang w:bidi="fa-IR"/>
        </w:rPr>
        <w:t>.</w:t>
      </w:r>
    </w:p>
    <w:p>
      <w:pPr>
        <w:pStyle w:val="Heading4"/>
        <w:numPr>
          <w:ilvl w:val="3"/>
          <w:numId w:val="1"/>
        </w:numPr>
        <w:rPr/>
      </w:pPr>
      <w:bookmarkStart w:id="5545" w:name="__RefHeading___Toc2570010_3650668749"/>
      <w:bookmarkStart w:id="5546" w:name="_Toc2514"/>
      <w:bookmarkEnd w:id="5545"/>
      <w:r>
        <w:rPr>
          <w:rtl w:val="true"/>
        </w:rPr>
        <w:t>[ (</w:t>
      </w:r>
      <w:r>
        <w:rPr>
          <w:rtl w:val="true"/>
        </w:rPr>
        <w:t xml:space="preserve">مسألة </w:t>
      </w:r>
      <w:r>
        <w:rPr/>
        <w:t>17</w:t>
      </w:r>
      <w:r>
        <w:rPr>
          <w:rtl w:val="true"/>
        </w:rPr>
        <w:t xml:space="preserve">): </w:t>
      </w:r>
      <w:r>
        <w:rPr>
          <w:rtl w:val="true"/>
        </w:rPr>
        <w:t>الفرق بین الوقف و الحبس</w:t>
      </w:r>
      <w:r>
        <w:rPr>
          <w:rtl w:val="true"/>
        </w:rPr>
        <w:t>]</w:t>
      </w:r>
      <w:bookmarkEnd w:id="5546"/>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Style w:val="FootnoteAnchor"/>
          <w:rtl w:val="true"/>
        </w:rPr>
        <w:footnoteReference w:id="1494"/>
      </w:r>
      <w:r>
        <w:rPr>
          <w:rFonts w:ascii="IRNazanin" w:hAnsi="IRNazanin" w:eastAsia="IRNazanin"/>
          <w:color w:val="111111"/>
          <w:sz w:val="28"/>
          <w:sz w:val="28"/>
          <w:szCs w:val="28"/>
          <w:rtl w:val="true"/>
          <w:lang w:bidi="fa-IR"/>
        </w:rPr>
        <w:t>بین الوقف و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الوقف یوجب زوال ملک الواقف، أو</w:t>
      </w:r>
      <w:bookmarkStart w:id="5547" w:name="pg1809_19555"/>
    </w:p>
    <w:p>
      <w:pPr>
        <w:pStyle w:val="BookText"/>
        <w:rPr/>
      </w:pPr>
      <w:bookmarkEnd w:id="5547"/>
      <w:r>
        <w:rPr>
          <w:rFonts w:ascii="Amiri" w:hAnsi="Amiri" w:eastAsia="Amiri" w:cs="Amiri"/>
          <w:color w:val="111111"/>
          <w:sz w:val="28"/>
          <w:sz w:val="28"/>
          <w:szCs w:val="28"/>
          <w:rtl w:val="true"/>
          <w:lang w:bidi="ar-SA"/>
        </w:rPr>
        <w:t xml:space="preserve">ممنوعیّته </w:t>
      </w:r>
      <w:r>
        <w:rPr>
          <w:rStyle w:val="FootnoteAnchor"/>
          <w:rtl w:val="true"/>
        </w:rPr>
        <w:footnoteReference w:id="1495"/>
      </w:r>
      <w:r>
        <w:rPr>
          <w:rFonts w:ascii="IRNazanin" w:hAnsi="IRNazanin" w:eastAsia="IRNazanin"/>
          <w:color w:val="111111"/>
          <w:sz w:val="28"/>
          <w:sz w:val="28"/>
          <w:szCs w:val="28"/>
          <w:rtl w:val="true"/>
          <w:lang w:bidi="fa-IR"/>
        </w:rPr>
        <w:t xml:space="preserve">من جمیع التصرّفات و سلب أنحاء السلطنة منه حتّی أنّه لا یورث، بخلاف الحبس، فإنّه باقٍ </w:t>
      </w:r>
      <w:r>
        <w:rPr>
          <w:rStyle w:val="FootnoteAnchor"/>
          <w:rtl w:val="true"/>
        </w:rPr>
        <w:footnoteReference w:id="1496"/>
      </w:r>
      <w:r>
        <w:rPr>
          <w:rFonts w:ascii="IRNazanin" w:hAnsi="IRNazanin" w:eastAsia="IRNazanin"/>
          <w:color w:val="111111"/>
          <w:sz w:val="28"/>
          <w:sz w:val="28"/>
          <w:szCs w:val="28"/>
          <w:rtl w:val="true"/>
          <w:lang w:bidi="fa-IR"/>
        </w:rPr>
        <w:t xml:space="preserve">علیٰ ملک الحابس و یورث و یجوز له جمیع التصرّفات الغیر المنافیة </w:t>
      </w:r>
      <w:r>
        <w:rPr>
          <w:rStyle w:val="FootnoteAnchor"/>
          <w:rtl w:val="true"/>
        </w:rPr>
        <w:footnoteReference w:id="1497"/>
      </w:r>
      <w:r>
        <w:rPr>
          <w:rFonts w:ascii="IRNazanin" w:hAnsi="IRNazanin" w:eastAsia="IRNazanin"/>
          <w:color w:val="111111"/>
          <w:sz w:val="28"/>
          <w:sz w:val="28"/>
          <w:szCs w:val="28"/>
          <w:rtl w:val="true"/>
          <w:lang w:bidi="fa-IR"/>
        </w:rPr>
        <w:t>لاستیفاء المحبّس علیه المنفعة</w:t>
      </w:r>
      <w:r>
        <w:rPr>
          <w:rFonts w:eastAsia="IRNazanin" w:cs="IRNazanin"/>
          <w:color w:val="111111"/>
          <w:sz w:val="28"/>
          <w:szCs w:val="28"/>
          <w:rtl w:val="true"/>
          <w:lang w:bidi="fa-IR"/>
        </w:rPr>
        <w:t>.</w:t>
      </w:r>
    </w:p>
    <w:p>
      <w:pPr>
        <w:pStyle w:val="Heading4"/>
        <w:numPr>
          <w:ilvl w:val="3"/>
          <w:numId w:val="1"/>
        </w:numPr>
        <w:rPr/>
      </w:pPr>
      <w:bookmarkStart w:id="5548" w:name="__RefHeading___Toc2570012_3650668749"/>
      <w:bookmarkStart w:id="5549" w:name="_Toc2515"/>
      <w:bookmarkEnd w:id="5548"/>
      <w:r>
        <w:rPr>
          <w:rtl w:val="true"/>
        </w:rPr>
        <w:t>[ (</w:t>
      </w:r>
      <w:r>
        <w:rPr>
          <w:rtl w:val="true"/>
        </w:rPr>
        <w:t xml:space="preserve">مسألة </w:t>
      </w:r>
      <w:r>
        <w:rPr/>
        <w:t>18</w:t>
      </w:r>
      <w:r>
        <w:rPr>
          <w:rtl w:val="true"/>
        </w:rPr>
        <w:t xml:space="preserve">): </w:t>
      </w:r>
      <w:r>
        <w:rPr>
          <w:rtl w:val="true"/>
        </w:rPr>
        <w:t>إذا انقرض الموقوف علیه و رجع إلیٰ ورثة الواقف، فهل یرجع إلیٰ ورثته حین الموت</w:t>
      </w:r>
      <w:r>
        <w:rPr>
          <w:rtl w:val="true"/>
        </w:rPr>
        <w:t>]</w:t>
      </w:r>
      <w:bookmarkEnd w:id="55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انقرض الموقوف علیه و رجع إلیٰ ورثة الواقف، فهل یرجع إلیٰ ورثته حین الموت أو ورثته حین الانقراض؟ قولان، أظهرهما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الثمرة بین القولین فیما لو وقف علیٰ من ینقرض کزید و أولاده ثمّ مات الواقف عن ولدین، و مات بعده أحد الولدین عن ولد قبل انقراض الموقوف علیهم ثمّ انقرضوا، فعلی الثانی یرجع إلی الولد الباقی خاصّة؛ لأنّه الوارث حین الانقراض، و علی الأوّل یشارکه ابن أخیه؛ حیث إنّه یقوم مقام أبیه فشارک عمّه</w:t>
      </w:r>
      <w:r>
        <w:rPr>
          <w:rFonts w:eastAsia="IRNazanin" w:cs="IRNazanin"/>
          <w:color w:val="111111"/>
          <w:sz w:val="28"/>
          <w:szCs w:val="28"/>
          <w:rtl w:val="true"/>
          <w:lang w:bidi="fa-IR"/>
        </w:rPr>
        <w:t>.</w:t>
      </w:r>
    </w:p>
    <w:p>
      <w:pPr>
        <w:pStyle w:val="Heading4"/>
        <w:numPr>
          <w:ilvl w:val="3"/>
          <w:numId w:val="1"/>
        </w:numPr>
        <w:rPr/>
      </w:pPr>
      <w:bookmarkStart w:id="5550" w:name="__RefHeading___Toc2570014_3650668749"/>
      <w:bookmarkStart w:id="5551" w:name="_Toc2516"/>
      <w:bookmarkEnd w:id="5550"/>
      <w:r>
        <w:rPr>
          <w:rtl w:val="true"/>
        </w:rPr>
        <w:t>[ (</w:t>
      </w:r>
      <w:r>
        <w:rPr>
          <w:rtl w:val="true"/>
        </w:rPr>
        <w:t xml:space="preserve">مسألة </w:t>
      </w:r>
      <w:r>
        <w:rPr/>
        <w:t>19</w:t>
      </w:r>
      <w:r>
        <w:rPr>
          <w:rtl w:val="true"/>
        </w:rPr>
        <w:t xml:space="preserve">): </w:t>
      </w:r>
      <w:r>
        <w:rPr>
          <w:rtl w:val="true"/>
        </w:rPr>
        <w:t>و من الوقف المنقطع الآخر ما کان الوقف مبنیّاً علی الدوام</w:t>
      </w:r>
      <w:r>
        <w:rPr>
          <w:rtl w:val="true"/>
        </w:rPr>
        <w:t>]</w:t>
      </w:r>
      <w:bookmarkEnd w:id="5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الوقف المنقطع الآخر ما کان الوقف مبنیّاً علی الدوام، لکن کان وقفاً علیٰ من یصحّ الوقف علیه فی أوّله دون آخره، کما إذا وقف علیٰ زید و أولاده و بعد انقراضهم علی الکنائس و البیع مثلًا فعلی ما اخترناه فی الوقف علیٰ من ینقرض، یصحّ وقفاً بالنسبة إلیٰ من یصحّ الوقف علیه، و یبطل بالنسبة إلیٰ ما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أنّ صور الوقف المنقطع الآخر ثلاث یبطل الوقف رأساً </w:t>
      </w:r>
      <w:r>
        <w:rPr>
          <w:rStyle w:val="FootnoteAnchor"/>
          <w:rtl w:val="true"/>
        </w:rPr>
        <w:footnoteReference w:id="1498"/>
      </w:r>
      <w:r>
        <w:rPr>
          <w:rFonts w:ascii="IRNazanin" w:hAnsi="IRNazanin" w:eastAsia="IRNazanin"/>
          <w:color w:val="111111"/>
          <w:sz w:val="28"/>
          <w:sz w:val="28"/>
          <w:szCs w:val="28"/>
          <w:rtl w:val="true"/>
          <w:lang w:bidi="fa-IR"/>
        </w:rPr>
        <w:t>فی صورة و یصحّ فی صورتین</w:t>
      </w:r>
      <w:r>
        <w:rPr>
          <w:rFonts w:eastAsia="IRNazanin" w:cs="IRNazanin"/>
          <w:color w:val="111111"/>
          <w:sz w:val="28"/>
          <w:szCs w:val="28"/>
          <w:rtl w:val="true"/>
          <w:lang w:bidi="fa-IR"/>
        </w:rPr>
        <w:t>.</w:t>
      </w:r>
    </w:p>
    <w:p>
      <w:pPr>
        <w:pStyle w:val="Heading4"/>
        <w:numPr>
          <w:ilvl w:val="3"/>
          <w:numId w:val="1"/>
        </w:numPr>
        <w:rPr/>
      </w:pPr>
      <w:bookmarkStart w:id="5552" w:name="__RefHeading___Toc2570016_3650668749"/>
      <w:bookmarkStart w:id="5553" w:name="_Toc2517"/>
      <w:bookmarkEnd w:id="5552"/>
      <w:r>
        <w:rPr>
          <w:rtl w:val="true"/>
        </w:rPr>
        <w:t>[ (</w:t>
      </w:r>
      <w:r>
        <w:rPr>
          <w:rtl w:val="true"/>
        </w:rPr>
        <w:t xml:space="preserve">مسألة </w:t>
      </w:r>
      <w:r>
        <w:rPr/>
        <w:t>20</w:t>
      </w:r>
      <w:r>
        <w:rPr>
          <w:rtl w:val="true"/>
        </w:rPr>
        <w:t xml:space="preserve">): </w:t>
      </w:r>
      <w:r>
        <w:rPr>
          <w:rtl w:val="true"/>
        </w:rPr>
        <w:t>الوقف المنقطع الأوّل</w:t>
      </w:r>
      <w:r>
        <w:rPr>
          <w:rtl w:val="true"/>
        </w:rPr>
        <w:t xml:space="preserve">: </w:t>
      </w:r>
      <w:r>
        <w:rPr>
          <w:rtl w:val="true"/>
        </w:rPr>
        <w:t>إمّا بجعل الواقف</w:t>
      </w:r>
      <w:r>
        <w:rPr>
          <w:rtl w:val="true"/>
        </w:rPr>
        <w:t>]</w:t>
      </w:r>
      <w:bookmarkEnd w:id="5553"/>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المنقطع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بجعل الواقف، کما إذا وقفه إذا جاء رأس الشهر الکذائی، و إمّا بحکم الشرع؛ بأن وقف أوّلًا علیٰ ما لا یصحّ الوقف علیه ثمّ علیٰ غیره، الظاهر بطلانه </w:t>
      </w:r>
      <w:r>
        <w:rPr>
          <w:rStyle w:val="FootnoteAnchor"/>
          <w:rtl w:val="true"/>
        </w:rPr>
        <w:footnoteReference w:id="1499"/>
      </w:r>
      <w:r>
        <w:rPr>
          <w:rFonts w:ascii="IRNazanin" w:hAnsi="IRNazanin" w:eastAsia="IRNazanin"/>
          <w:color w:val="111111"/>
          <w:sz w:val="28"/>
          <w:sz w:val="28"/>
          <w:szCs w:val="28"/>
          <w:rtl w:val="true"/>
          <w:lang w:bidi="fa-IR"/>
        </w:rPr>
        <w:t>رأساً، و إن کان الأحوط فی الثانی تجدید صیغة الوقف عند انقراض الأوّل، أو عمل الوقف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المنقطع الوسط، کما إذا کان الموقوف علیه فی الوسط غیر صالح للوقف علیه، بخلافه فی المبدأ و المنتهیٰ، فهو بالنسبة إلیٰ شطره الأوّل</w:t>
      </w:r>
      <w:bookmarkStart w:id="5554" w:name="pg1809_19556"/>
    </w:p>
    <w:p>
      <w:pPr>
        <w:pStyle w:val="BookText"/>
        <w:rPr/>
      </w:pPr>
      <w:bookmarkEnd w:id="5554"/>
      <w:r>
        <w:rPr>
          <w:rFonts w:ascii="IRNazanin" w:hAnsi="IRNazanin" w:eastAsia="IRNazanin"/>
          <w:color w:val="111111"/>
          <w:sz w:val="28"/>
          <w:sz w:val="28"/>
          <w:szCs w:val="28"/>
          <w:rtl w:val="true"/>
          <w:lang w:bidi="fa-IR"/>
        </w:rPr>
        <w:t>کالمنقطع الآخر، فیصحّ وقفاً، و بالنسبة إلیٰ شطره الآخر کالمنقطع الأوّل یبطل رأساً</w:t>
      </w:r>
      <w:r>
        <w:rPr>
          <w:rFonts w:eastAsia="IRNazanin" w:cs="IRNazanin"/>
          <w:color w:val="111111"/>
          <w:sz w:val="28"/>
          <w:szCs w:val="28"/>
          <w:rtl w:val="true"/>
          <w:lang w:bidi="fa-IR"/>
        </w:rPr>
        <w:t>.</w:t>
      </w:r>
    </w:p>
    <w:p>
      <w:pPr>
        <w:pStyle w:val="Heading4"/>
        <w:numPr>
          <w:ilvl w:val="3"/>
          <w:numId w:val="1"/>
        </w:numPr>
        <w:rPr/>
      </w:pPr>
      <w:bookmarkStart w:id="5555" w:name="__RefHeading___Toc2570018_3650668749"/>
      <w:bookmarkStart w:id="5556" w:name="_Toc2518"/>
      <w:bookmarkEnd w:id="5555"/>
      <w:r>
        <w:rPr>
          <w:rtl w:val="true"/>
        </w:rPr>
        <w:t>[ (</w:t>
      </w:r>
      <w:r>
        <w:rPr>
          <w:rtl w:val="true"/>
        </w:rPr>
        <w:t xml:space="preserve">مسألة </w:t>
      </w:r>
      <w:r>
        <w:rPr/>
        <w:t>21</w:t>
      </w:r>
      <w:r>
        <w:rPr>
          <w:rtl w:val="true"/>
        </w:rPr>
        <w:t xml:space="preserve">): </w:t>
      </w:r>
      <w:r>
        <w:rPr>
          <w:rtl w:val="true"/>
        </w:rPr>
        <w:t>إذا وقف علیٰ غیره أو علیٰ جهة و شرط عوده إلیه عند حاجته صحّ</w:t>
      </w:r>
      <w:r>
        <w:rPr>
          <w:rtl w:val="true"/>
        </w:rPr>
        <w:t>]</w:t>
      </w:r>
      <w:bookmarkEnd w:id="5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 غیره أو علیٰ جهة و شرط عوده إلیه عند حاجته صحّ علی الأقویٰ، و مرجعه إلیٰ کونه وقفاً ما دام لم یحتج إلیه، فإذا احتاج إلیه ینقطع و یدخل فی منقطع الآخر، و قد مرّ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مات الواقف فإن کان بعد طروّ الحاجة کان میراثاً و إلّا بقی علیٰ وقفیّته</w:t>
      </w:r>
      <w:r>
        <w:rPr>
          <w:rFonts w:eastAsia="IRNazanin" w:cs="IRNazanin"/>
          <w:color w:val="111111"/>
          <w:sz w:val="28"/>
          <w:szCs w:val="28"/>
          <w:rtl w:val="true"/>
          <w:lang w:bidi="fa-IR"/>
        </w:rPr>
        <w:t>.</w:t>
      </w:r>
    </w:p>
    <w:p>
      <w:pPr>
        <w:pStyle w:val="Heading4"/>
        <w:numPr>
          <w:ilvl w:val="3"/>
          <w:numId w:val="1"/>
        </w:numPr>
        <w:rPr/>
      </w:pPr>
      <w:bookmarkStart w:id="5557" w:name="__RefHeading___Toc2570020_3650668749"/>
      <w:bookmarkStart w:id="5558" w:name="_Toc2519"/>
      <w:bookmarkEnd w:id="5557"/>
      <w:r>
        <w:rPr>
          <w:rtl w:val="true"/>
        </w:rPr>
        <w:t>[ (</w:t>
      </w:r>
      <w:r>
        <w:rPr>
          <w:rtl w:val="true"/>
        </w:rPr>
        <w:t xml:space="preserve">مسألة </w:t>
      </w:r>
      <w:r>
        <w:rPr/>
        <w:t>22</w:t>
      </w:r>
      <w:r>
        <w:rPr>
          <w:rtl w:val="true"/>
        </w:rPr>
        <w:t xml:space="preserve">): </w:t>
      </w:r>
      <w:r>
        <w:rPr>
          <w:rtl w:val="true"/>
        </w:rPr>
        <w:t>یشترط فی صحّة الوقف التنجیز</w:t>
      </w:r>
      <w:r>
        <w:rPr>
          <w:rtl w:val="true"/>
        </w:rPr>
        <w:t>]</w:t>
      </w:r>
      <w:bookmarkEnd w:id="5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صحّة الوقف التنجیز </w:t>
      </w:r>
      <w:r>
        <w:rPr>
          <w:rStyle w:val="FootnoteAnchor"/>
          <w:rtl w:val="true"/>
        </w:rPr>
        <w:footnoteReference w:id="1500"/>
      </w:r>
      <w:r>
        <w:rPr>
          <w:rFonts w:ascii="IRNazanin" w:hAnsi="IRNazanin" w:eastAsia="IRNazanin"/>
          <w:color w:val="111111"/>
          <w:sz w:val="28"/>
          <w:sz w:val="28"/>
          <w:szCs w:val="28"/>
          <w:rtl w:val="true"/>
          <w:lang w:bidi="fa-IR"/>
        </w:rPr>
        <w:t>، فلو علّقه علیٰ شرط متوقّع الحصول کمجی‌ء زید أو شی‌ء غیر حاصل یقینیّ الحصول فیما بعد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إذا جاء رأس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بالتعلیق علیٰ شی‌ء حاصل مع القبض به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إن کان الیوم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9" w:name="__RefHeading___Toc2570022_3650668749"/>
      <w:bookmarkStart w:id="5560" w:name="_Toc2520"/>
      <w:bookmarkEnd w:id="5559"/>
      <w:r>
        <w:rPr>
          <w:rtl w:val="true"/>
        </w:rPr>
        <w:t>[ (</w:t>
      </w:r>
      <w:r>
        <w:rPr>
          <w:rtl w:val="true"/>
        </w:rPr>
        <w:t xml:space="preserve">مسألة </w:t>
      </w:r>
      <w:r>
        <w:rPr/>
        <w:t>23</w:t>
      </w:r>
      <w:r>
        <w:rPr>
          <w:rtl w:val="true"/>
        </w:rPr>
        <w:t xml:space="preserve">): </w:t>
      </w:r>
      <w:r>
        <w:rPr>
          <w:rtl w:val="true"/>
        </w:rPr>
        <w:t>لو قال</w:t>
      </w:r>
      <w:r>
        <w:rPr>
          <w:rtl w:val="true"/>
        </w:rPr>
        <w:t>: «</w:t>
      </w:r>
      <w:r>
        <w:rPr>
          <w:rtl w:val="true"/>
        </w:rPr>
        <w:t>هو وقف بعد موتی</w:t>
      </w:r>
      <w:r>
        <w:rPr>
          <w:rtl w:val="true"/>
        </w:rPr>
        <w:t xml:space="preserve">» </w:t>
      </w:r>
      <w:r>
        <w:rPr>
          <w:rtl w:val="true"/>
        </w:rPr>
        <w:t>فإن فهم منه فی متفاهم العرف أنّه وصیّة بالوقف صحّ</w:t>
      </w:r>
      <w:r>
        <w:rPr>
          <w:rtl w:val="true"/>
        </w:rPr>
        <w:t>]</w:t>
      </w:r>
      <w:bookmarkEnd w:id="5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وقف بعد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فهم منه فی متفاهم العرف أنّه وصیّة بالوقف صحّ، و إلّا بطل</w:t>
      </w:r>
      <w:r>
        <w:rPr>
          <w:rFonts w:eastAsia="IRNazanin" w:cs="IRNazanin"/>
          <w:color w:val="111111"/>
          <w:sz w:val="28"/>
          <w:szCs w:val="28"/>
          <w:rtl w:val="true"/>
          <w:lang w:bidi="fa-IR"/>
        </w:rPr>
        <w:t>.</w:t>
      </w:r>
    </w:p>
    <w:p>
      <w:pPr>
        <w:pStyle w:val="Heading4"/>
        <w:numPr>
          <w:ilvl w:val="3"/>
          <w:numId w:val="1"/>
        </w:numPr>
        <w:rPr/>
      </w:pPr>
      <w:bookmarkStart w:id="5561" w:name="__RefHeading___Toc2570024_3650668749"/>
      <w:bookmarkStart w:id="5562" w:name="_Toc2521"/>
      <w:bookmarkEnd w:id="5561"/>
      <w:r>
        <w:rPr>
          <w:rtl w:val="true"/>
        </w:rPr>
        <w:t>[ (</w:t>
      </w:r>
      <w:r>
        <w:rPr>
          <w:rtl w:val="true"/>
        </w:rPr>
        <w:t xml:space="preserve">مسألة </w:t>
      </w:r>
      <w:r>
        <w:rPr/>
        <w:t>24</w:t>
      </w:r>
      <w:r>
        <w:rPr>
          <w:rtl w:val="true"/>
        </w:rPr>
        <w:t xml:space="preserve">): </w:t>
      </w:r>
      <w:r>
        <w:rPr>
          <w:rtl w:val="true"/>
        </w:rPr>
        <w:t>و من شرائط صحّة الوقف إخراج نفسه عن الوقف</w:t>
      </w:r>
      <w:r>
        <w:rPr>
          <w:rtl w:val="true"/>
        </w:rPr>
        <w:t>]</w:t>
      </w:r>
      <w:bookmarkEnd w:id="5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شرائط صحّة الوقف إخراج نفسه عن الوقف، فلو وقف علیٰ نفسه لم یصحّ، و لو وقف علیٰ نفسه و علیٰ غیره فإن کان بنحو التشریک بطل بالنسبة إلیٰ نفسه و صحّ بالنسبة إلیٰ غیره، و إن کان بنحو الترتیب، فإن وقف علیٰ نفسه ثمّ علیٰ غیره کان من الوقف المنقطع الأوّل، و إن کان بالعکس کان من المنقطع الآخر، و إن کان علیٰ غیره ثمّ علیٰ نفسه ثمّ علیٰ غیره کان من المنقطع الوسط، و قد مرّ حکم هذه الصور</w:t>
      </w:r>
      <w:r>
        <w:rPr>
          <w:rFonts w:eastAsia="IRNazanin" w:cs="IRNazanin"/>
          <w:color w:val="111111"/>
          <w:sz w:val="28"/>
          <w:szCs w:val="28"/>
          <w:rtl w:val="true"/>
          <w:lang w:bidi="fa-IR"/>
        </w:rPr>
        <w:t>.</w:t>
      </w:r>
    </w:p>
    <w:p>
      <w:pPr>
        <w:pStyle w:val="Heading4"/>
        <w:numPr>
          <w:ilvl w:val="3"/>
          <w:numId w:val="1"/>
        </w:numPr>
        <w:rPr/>
      </w:pPr>
      <w:bookmarkStart w:id="5563" w:name="__RefHeading___Toc2570026_3650668749"/>
      <w:bookmarkStart w:id="5564" w:name="_Toc2522"/>
      <w:bookmarkEnd w:id="5563"/>
      <w:r>
        <w:rPr>
          <w:rtl w:val="true"/>
        </w:rPr>
        <w:t>[ (</w:t>
      </w:r>
      <w:r>
        <w:rPr>
          <w:rtl w:val="true"/>
        </w:rPr>
        <w:t xml:space="preserve">مسألة </w:t>
      </w:r>
      <w:r>
        <w:rPr/>
        <w:t>25</w:t>
      </w:r>
      <w:r>
        <w:rPr>
          <w:rtl w:val="true"/>
        </w:rPr>
        <w:t xml:space="preserve">): </w:t>
      </w:r>
      <w:r>
        <w:rPr>
          <w:rtl w:val="true"/>
        </w:rPr>
        <w:t>لو وقف علیٰ غیره کأولاده أو الفقراء مثلًا</w:t>
      </w:r>
      <w:r>
        <w:rPr>
          <w:rtl w:val="true"/>
        </w:rPr>
        <w:t>]</w:t>
      </w:r>
      <w:bookmarkEnd w:id="5564"/>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وقف علیٰ غیره کأولاده أو الفقراء مثلًا و شرط أن یقضی دیونه أو یؤدّی ما علیه من الحقوق المالیة کالزکاة و الخمس، أو ینفق علیه من غلّة الوقف، لم یصحّ </w:t>
      </w:r>
      <w:r>
        <w:rPr>
          <w:rStyle w:val="FootnoteAnchor"/>
          <w:rtl w:val="true"/>
        </w:rPr>
        <w:footnoteReference w:id="1502"/>
      </w:r>
      <w:bookmarkStart w:id="5565" w:name="pg1809_19557"/>
    </w:p>
    <w:p>
      <w:pPr>
        <w:pStyle w:val="BookText"/>
        <w:rPr/>
      </w:pPr>
      <w:bookmarkEnd w:id="5565"/>
      <w:r>
        <w:rPr>
          <w:rFonts w:ascii="IRNazanin" w:hAnsi="IRNazanin" w:eastAsia="IRNazanin"/>
          <w:color w:val="111111"/>
          <w:sz w:val="28"/>
          <w:sz w:val="28"/>
          <w:szCs w:val="28"/>
          <w:rtl w:val="true"/>
          <w:lang w:bidi="fa-IR"/>
        </w:rPr>
        <w:t>و بطل الوقف، من غیر فرق بین ما لو أطلق الدین أو عیّن، و کذا بین أن یکون الشرط الإنفاق علیه و إدرار مئونته إلیٰ آخر عمرة أو إلیٰ مدّة معیّنة، و کذا بین تعیین مقدار المئونة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شرط ذلک علی الموقوف علیه من ماله و لو من غیر منافع الوقف جاز</w:t>
      </w:r>
      <w:r>
        <w:rPr>
          <w:rFonts w:eastAsia="IRNazanin" w:cs="IRNazanin"/>
          <w:color w:val="111111"/>
          <w:sz w:val="28"/>
          <w:szCs w:val="28"/>
          <w:rtl w:val="true"/>
          <w:lang w:bidi="fa-IR"/>
        </w:rPr>
        <w:t>.</w:t>
      </w:r>
    </w:p>
    <w:p>
      <w:pPr>
        <w:pStyle w:val="Heading4"/>
        <w:numPr>
          <w:ilvl w:val="3"/>
          <w:numId w:val="1"/>
        </w:numPr>
        <w:rPr/>
      </w:pPr>
      <w:bookmarkStart w:id="5566" w:name="__RefHeading___Toc2570028_3650668749"/>
      <w:bookmarkStart w:id="5567" w:name="_Toc2523"/>
      <w:bookmarkEnd w:id="5566"/>
      <w:r>
        <w:rPr>
          <w:rtl w:val="true"/>
        </w:rPr>
        <w:t>[ (</w:t>
      </w:r>
      <w:r>
        <w:rPr>
          <w:rtl w:val="true"/>
        </w:rPr>
        <w:t xml:space="preserve">مسألة </w:t>
      </w:r>
      <w:r>
        <w:rPr/>
        <w:t>26</w:t>
      </w:r>
      <w:r>
        <w:rPr>
          <w:rtl w:val="true"/>
        </w:rPr>
        <w:t xml:space="preserve">): </w:t>
      </w:r>
      <w:r>
        <w:rPr>
          <w:rtl w:val="true"/>
        </w:rPr>
        <w:t>لو شرط أکل أضیافه و من یمرّ علیه من ثمرة الوقف جاز</w:t>
      </w:r>
      <w:r>
        <w:rPr>
          <w:rtl w:val="true"/>
        </w:rPr>
        <w:t>]</w:t>
      </w:r>
      <w:bookmarkEnd w:id="5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أکل أضیافه و من یمرّ علیه من ثمرة الوقف جاز، و کذا لو شرط إدرار مئونة أهله و عیاله و إن کان ممّن یجب علیه نفقته حتّی الزوجة الدائمة إذا لم یکن بعنوان النفقة الواجبة علیه حتّی تسقط عنه، و إلّا رجع إلی الوقف علی النفس، مثل شرط أداء دیونه</w:t>
      </w:r>
      <w:r>
        <w:rPr>
          <w:rFonts w:eastAsia="IRNazanin" w:cs="IRNazanin"/>
          <w:color w:val="111111"/>
          <w:sz w:val="28"/>
          <w:szCs w:val="28"/>
          <w:rtl w:val="true"/>
          <w:lang w:bidi="fa-IR"/>
        </w:rPr>
        <w:t>.</w:t>
      </w:r>
    </w:p>
    <w:p>
      <w:pPr>
        <w:pStyle w:val="Heading4"/>
        <w:numPr>
          <w:ilvl w:val="3"/>
          <w:numId w:val="1"/>
        </w:numPr>
        <w:rPr/>
      </w:pPr>
      <w:bookmarkStart w:id="5568" w:name="__RefHeading___Toc2570030_3650668749"/>
      <w:bookmarkStart w:id="5569" w:name="_Toc2524"/>
      <w:bookmarkEnd w:id="5568"/>
      <w:r>
        <w:rPr>
          <w:rtl w:val="true"/>
        </w:rPr>
        <w:t>[ (</w:t>
      </w:r>
      <w:r>
        <w:rPr>
          <w:rtl w:val="true"/>
        </w:rPr>
        <w:t xml:space="preserve">مسألة </w:t>
      </w:r>
      <w:r>
        <w:rPr/>
        <w:t>27</w:t>
      </w:r>
      <w:r>
        <w:rPr>
          <w:rtl w:val="true"/>
        </w:rPr>
        <w:t xml:space="preserve">): </w:t>
      </w:r>
      <w:r>
        <w:rPr>
          <w:rtl w:val="true"/>
        </w:rPr>
        <w:t>إذا آجر عیناً ثمّ وقفها، صحّ الوقف و بقیت الإجارة علیٰ حالها</w:t>
      </w:r>
      <w:r>
        <w:rPr>
          <w:rtl w:val="true"/>
        </w:rPr>
        <w:t>]</w:t>
      </w:r>
      <w:bookmarkEnd w:id="5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عیناً ثمّ وقفها، صحّ الوقف و بقیت الإجارة علیٰ حالها و کان الوقف مسلوبة المنفعة فی مدّة الإجارة، فإذا انفسخت الإجارة بالفسخ أو الإقالة بعد تمام الوقف رجعت المنفعة إلی الواقف المؤجر و لا یملکها الموقوف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أن ینتفع بما یوقف یمکنه الاحتیال بأن یؤجره مدّة کعشرین سنة مثلًا مع شرط خیار الفسخ له، ثمّ یفسخ الإجارة بعد تمامیّة الوقف، فترجع إلیه منفعة تلک المدّة</w:t>
      </w:r>
      <w:r>
        <w:rPr>
          <w:rFonts w:eastAsia="IRNazanin" w:cs="IRNazanin"/>
          <w:color w:val="111111"/>
          <w:sz w:val="28"/>
          <w:szCs w:val="28"/>
          <w:rtl w:val="true"/>
          <w:lang w:bidi="fa-IR"/>
        </w:rPr>
        <w:t>.</w:t>
      </w:r>
    </w:p>
    <w:p>
      <w:pPr>
        <w:pStyle w:val="Heading4"/>
        <w:numPr>
          <w:ilvl w:val="3"/>
          <w:numId w:val="1"/>
        </w:numPr>
        <w:rPr/>
      </w:pPr>
      <w:bookmarkStart w:id="5570" w:name="__RefHeading___Toc2570032_3650668749"/>
      <w:bookmarkStart w:id="5571" w:name="_Toc2525"/>
      <w:bookmarkEnd w:id="5570"/>
      <w:r>
        <w:rPr>
          <w:rtl w:val="true"/>
        </w:rPr>
        <w:t>[ (</w:t>
      </w:r>
      <w:r>
        <w:rPr>
          <w:rtl w:val="true"/>
        </w:rPr>
        <w:t xml:space="preserve">مسألة </w:t>
      </w:r>
      <w:r>
        <w:rPr/>
        <w:t>28</w:t>
      </w:r>
      <w:r>
        <w:rPr>
          <w:rtl w:val="true"/>
        </w:rPr>
        <w:t xml:space="preserve">): </w:t>
      </w:r>
      <w:r>
        <w:rPr>
          <w:rtl w:val="true"/>
        </w:rPr>
        <w:t>لا إشکال فی جواز انتفاع الواقف بالأوقاف علی الجهات العامّة</w:t>
      </w:r>
      <w:r>
        <w:rPr>
          <w:rtl w:val="true"/>
        </w:rPr>
        <w:t>]</w:t>
      </w:r>
      <w:bookmarkEnd w:id="5571"/>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انتفاع الواقف بالأوقاف علی الجهات العامّة کالمساجد و المدارس و القناطر و الخانات المعدّة لنزول الزوّار و الحجّاج و المسافرین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الوقف علی العناوین العامّة کالفقراء و العلماء إذا کان الواقف داخلًا فی العنوان حین الوقف أو صار داخلًا فیه فیما بعد، فإن کان المراد التوزیع علیهم فلا إشکال فی عدم جواز أخذه حصّته من المنافع، بل یلزم أن یقصد من العنوان المذکور حین الوقف من عدا نفسه و یقصد خروجه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ما إذا وقف شیئاً علیٰ ذرّیّة أبیه أو جدّه إذا کان المقصود البسط و التوزیع کما هو الشائع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المراد بیان المصرف کما هو الغالب المتعارف فی الوقف علی الفقراء و الزوّار و الحجّاج و الفقهاء و الطلبة و نحوها، فلا إشکال فی خروجه و عدم جواز انتفاعه منه إذا قصد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الإشکال فیما لو قصد </w:t>
      </w:r>
      <w:r>
        <w:rPr>
          <w:rStyle w:val="FootnoteAnchor"/>
          <w:rtl w:val="true"/>
        </w:rPr>
        <w:footnoteReference w:id="1503"/>
      </w:r>
      <w:r>
        <w:rPr>
          <w:rFonts w:ascii="IRNazanin" w:hAnsi="IRNazanin" w:eastAsia="IRNazanin"/>
          <w:color w:val="111111"/>
          <w:sz w:val="28"/>
          <w:sz w:val="28"/>
          <w:szCs w:val="28"/>
          <w:rtl w:val="true"/>
          <w:lang w:bidi="fa-IR"/>
        </w:rPr>
        <w:t>الإطلاق و العموم بحیث شمل نفسه و أنّه هل یجوز له الانتفاع به أم لا؟ أقواهما الأوّل، و أحوطهما الثانی، خصوصاً فیما إذا قصد دخول نفسه</w:t>
      </w:r>
      <w:r>
        <w:rPr>
          <w:rFonts w:eastAsia="IRNazanin" w:cs="IRNazanin"/>
          <w:color w:val="111111"/>
          <w:sz w:val="28"/>
          <w:szCs w:val="28"/>
          <w:rtl w:val="true"/>
          <w:lang w:bidi="fa-IR"/>
        </w:rPr>
        <w:t>.</w:t>
      </w:r>
      <w:bookmarkStart w:id="5572" w:name="pg1809_19558"/>
    </w:p>
    <w:p>
      <w:pPr>
        <w:pStyle w:val="Heading4"/>
        <w:numPr>
          <w:ilvl w:val="3"/>
          <w:numId w:val="1"/>
        </w:numPr>
        <w:rPr/>
      </w:pPr>
      <w:bookmarkStart w:id="5573" w:name="__RefHeading___Toc2570034_3650668749"/>
      <w:bookmarkStart w:id="5574" w:name="_Toc2526"/>
      <w:bookmarkEnd w:id="5572"/>
      <w:bookmarkEnd w:id="5573"/>
      <w:r>
        <w:rPr>
          <w:rtl w:val="true"/>
        </w:rPr>
        <w:t>[ (</w:t>
      </w:r>
      <w:r>
        <w:rPr>
          <w:rtl w:val="true"/>
        </w:rPr>
        <w:t xml:space="preserve">مسألة </w:t>
      </w:r>
      <w:r>
        <w:rPr/>
        <w:t>29</w:t>
      </w:r>
      <w:r>
        <w:rPr>
          <w:rtl w:val="true"/>
        </w:rPr>
        <w:t xml:space="preserve">): </w:t>
      </w:r>
      <w:r>
        <w:rPr>
          <w:rtl w:val="true"/>
        </w:rPr>
        <w:t>یعتبر فی الواقف</w:t>
      </w:r>
      <w:r>
        <w:rPr>
          <w:rtl w:val="true"/>
        </w:rPr>
        <w:t xml:space="preserve">: </w:t>
      </w:r>
      <w:r>
        <w:rPr>
          <w:rtl w:val="true"/>
        </w:rPr>
        <w:t>البلوغ و العقل و الاختیار و عدم الحجر لفلس أو سفه فلا یصحّ وقف الصبیّ</w:t>
      </w:r>
      <w:r>
        <w:rPr>
          <w:rtl w:val="true"/>
        </w:rPr>
        <w:t>]</w:t>
      </w:r>
      <w:bookmarkEnd w:id="5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الاختیار و عدم الحجر لفلس أو سفه فلا یصحّ وقف الصبیّ و إن بلغ عشراً علی الأقویٰ، نعم حیث إنّ الأقویٰ صحّة وصیّة من بلغ ذلک کما یأتی، فإذا أوصیٰ بالوقف صحّ وقف الوصیّ عنه</w:t>
      </w:r>
      <w:r>
        <w:rPr>
          <w:rFonts w:eastAsia="IRNazanin" w:cs="IRNazanin"/>
          <w:color w:val="111111"/>
          <w:sz w:val="28"/>
          <w:szCs w:val="28"/>
          <w:rtl w:val="true"/>
          <w:lang w:bidi="fa-IR"/>
        </w:rPr>
        <w:t>.</w:t>
      </w:r>
    </w:p>
    <w:p>
      <w:pPr>
        <w:pStyle w:val="Heading4"/>
        <w:numPr>
          <w:ilvl w:val="3"/>
          <w:numId w:val="1"/>
        </w:numPr>
        <w:rPr/>
      </w:pPr>
      <w:bookmarkStart w:id="5575" w:name="__RefHeading___Toc2570036_3650668749"/>
      <w:bookmarkStart w:id="5576" w:name="_Toc2527"/>
      <w:bookmarkEnd w:id="5575"/>
      <w:r>
        <w:rPr>
          <w:rtl w:val="true"/>
        </w:rPr>
        <w:t>[ (</w:t>
      </w:r>
      <w:r>
        <w:rPr>
          <w:rtl w:val="true"/>
        </w:rPr>
        <w:t xml:space="preserve">مسألة </w:t>
      </w:r>
      <w:r>
        <w:rPr/>
        <w:t>30</w:t>
      </w:r>
      <w:r>
        <w:rPr>
          <w:rtl w:val="true"/>
        </w:rPr>
        <w:t xml:space="preserve">): </w:t>
      </w:r>
      <w:r>
        <w:rPr>
          <w:rtl w:val="true"/>
        </w:rPr>
        <w:t>لا یعتبر فی الواقف أن یکون مسلماً</w:t>
      </w:r>
      <w:r>
        <w:rPr>
          <w:rtl w:val="true"/>
        </w:rPr>
        <w:t>]</w:t>
      </w:r>
      <w:bookmarkEnd w:id="5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فی الواقف أن یکون مسلماً، فیصحّ وقف الکافر فیما یصحّ </w:t>
      </w:r>
      <w:r>
        <w:rPr>
          <w:rStyle w:val="FootnoteAnchor"/>
          <w:rtl w:val="true"/>
        </w:rPr>
        <w:footnoteReference w:id="1504"/>
      </w:r>
      <w:r>
        <w:rPr>
          <w:rFonts w:ascii="IRNazanin" w:hAnsi="IRNazanin" w:eastAsia="IRNazanin"/>
          <w:color w:val="111111"/>
          <w:sz w:val="28"/>
          <w:sz w:val="28"/>
          <w:szCs w:val="28"/>
          <w:rtl w:val="true"/>
          <w:lang w:bidi="fa-IR"/>
        </w:rPr>
        <w:t>من المسلم علی الأقویٰ</w:t>
      </w:r>
      <w:r>
        <w:rPr>
          <w:rFonts w:eastAsia="IRNazanin" w:cs="IRNazanin"/>
          <w:color w:val="111111"/>
          <w:sz w:val="28"/>
          <w:szCs w:val="28"/>
          <w:rtl w:val="true"/>
          <w:lang w:bidi="fa-IR"/>
        </w:rPr>
        <w:t>.</w:t>
      </w:r>
    </w:p>
    <w:p>
      <w:pPr>
        <w:pStyle w:val="Heading4"/>
        <w:numPr>
          <w:ilvl w:val="3"/>
          <w:numId w:val="1"/>
        </w:numPr>
        <w:rPr/>
      </w:pPr>
      <w:bookmarkStart w:id="5577" w:name="__RefHeading___Toc2570038_3650668749"/>
      <w:bookmarkStart w:id="5578" w:name="_Toc2528"/>
      <w:bookmarkEnd w:id="5577"/>
      <w:r>
        <w:rPr>
          <w:rtl w:val="true"/>
        </w:rPr>
        <w:t>[ (</w:t>
      </w:r>
      <w:r>
        <w:rPr>
          <w:rtl w:val="true"/>
        </w:rPr>
        <w:t xml:space="preserve">مسألة </w:t>
      </w:r>
      <w:r>
        <w:rPr/>
        <w:t>31</w:t>
      </w:r>
      <w:r>
        <w:rPr>
          <w:rtl w:val="true"/>
        </w:rPr>
        <w:t xml:space="preserve">): </w:t>
      </w:r>
      <w:r>
        <w:rPr>
          <w:rtl w:val="true"/>
        </w:rPr>
        <w:t>یعتبر فی الموقوف</w:t>
      </w:r>
      <w:r>
        <w:rPr>
          <w:rtl w:val="true"/>
        </w:rPr>
        <w:t xml:space="preserve">: </w:t>
      </w:r>
      <w:r>
        <w:rPr>
          <w:rtl w:val="true"/>
        </w:rPr>
        <w:t>أن یکون عیناً مملوکاً</w:t>
      </w:r>
      <w:r>
        <w:rPr>
          <w:rtl w:val="true"/>
        </w:rPr>
        <w:t>]</w:t>
      </w:r>
      <w:bookmarkEnd w:id="5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عیناً مملوکاً، یصحّ الانتفاع به منفعة محلّلة مع بقاء عینه و یمکن </w:t>
      </w:r>
      <w:r>
        <w:rPr>
          <w:rStyle w:val="FootnoteAnchor"/>
          <w:rtl w:val="true"/>
        </w:rPr>
        <w:footnoteReference w:id="1505"/>
      </w:r>
      <w:r>
        <w:rPr>
          <w:rFonts w:ascii="IRNazanin" w:hAnsi="IRNazanin" w:eastAsia="IRNazanin"/>
          <w:color w:val="111111"/>
          <w:sz w:val="28"/>
          <w:sz w:val="28"/>
          <w:szCs w:val="28"/>
          <w:rtl w:val="true"/>
          <w:lang w:bidi="fa-IR"/>
        </w:rPr>
        <w:t>قبضه، فلا یصحّ وقف المنافع، و لا الدیون، و لا وقف ما لا یملک مطلقاً کالحرّ، أو لا یملکه المسلم کالخنزیر، و لا ما لا انتفاع به إلّا بإتلافه کالأطعمة و الفواکه، و لا ما انحصر انتفاعه المقصود فی المحرّم کآلات اللهو و 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به ما کانت المنفعة المقصودة من الوقف محرّمة، کما إذا وقف الدابّة لحمل الخمر أو الدکّان لحرزه أو بیعه، و کذا لا یصحّ ما لا یمکن قبضه کالعبد الآبق و الدابّة الشاردة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وقف کلّ ما صحّ الانتفاع به مع بقاء عینه، کالأراضی و الدور و العقار و الثیاب و السلاح و الآلات المباحة و الأشجار و المصاحف و الکتب و الحلیّ و صنوف الحیوان حتّی الکلب المملوک و السنّور و نحوها</w:t>
      </w:r>
      <w:r>
        <w:rPr>
          <w:rFonts w:eastAsia="IRNazanin" w:cs="IRNazanin"/>
          <w:color w:val="111111"/>
          <w:sz w:val="28"/>
          <w:szCs w:val="28"/>
          <w:rtl w:val="true"/>
          <w:lang w:bidi="fa-IR"/>
        </w:rPr>
        <w:t>.</w:t>
      </w:r>
    </w:p>
    <w:p>
      <w:pPr>
        <w:pStyle w:val="Heading4"/>
        <w:numPr>
          <w:ilvl w:val="3"/>
          <w:numId w:val="1"/>
        </w:numPr>
        <w:rPr/>
      </w:pPr>
      <w:bookmarkStart w:id="5579" w:name="__RefHeading___Toc2570040_3650668749"/>
      <w:bookmarkStart w:id="5580" w:name="_Toc2529"/>
      <w:bookmarkEnd w:id="5579"/>
      <w:r>
        <w:rPr>
          <w:rtl w:val="true"/>
        </w:rPr>
        <w:t>[ (</w:t>
      </w:r>
      <w:r>
        <w:rPr>
          <w:rtl w:val="true"/>
        </w:rPr>
        <w:t xml:space="preserve">مسألة </w:t>
      </w:r>
      <w:r>
        <w:rPr/>
        <w:t>32</w:t>
      </w:r>
      <w:r>
        <w:rPr>
          <w:rtl w:val="true"/>
        </w:rPr>
        <w:t xml:space="preserve">): </w:t>
      </w:r>
      <w:r>
        <w:rPr>
          <w:rtl w:val="true"/>
        </w:rPr>
        <w:t>لا یعتبر فی العین الموقوفة کونها ممّا ینتفع بها فعلًا</w:t>
      </w:r>
      <w:r>
        <w:rPr>
          <w:rtl w:val="true"/>
        </w:rPr>
        <w:t>]</w:t>
      </w:r>
      <w:bookmarkEnd w:id="55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العین الموقوفة کونها ممّا ینتفع بها فعلًا، بل یکفی کونها معرضاً للانتفاع و لو بعد مدّة و زمان، فیصحّ وقف الدابّة الصغیرة و الأُصول المغروسة التی لا تثمر إلّا بعد سنین</w:t>
      </w:r>
      <w:r>
        <w:rPr>
          <w:rFonts w:eastAsia="IRNazanin" w:cs="IRNazanin"/>
          <w:color w:val="111111"/>
          <w:sz w:val="28"/>
          <w:szCs w:val="28"/>
          <w:rtl w:val="true"/>
          <w:lang w:bidi="fa-IR"/>
        </w:rPr>
        <w:t>.</w:t>
      </w:r>
    </w:p>
    <w:p>
      <w:pPr>
        <w:pStyle w:val="Heading4"/>
        <w:numPr>
          <w:ilvl w:val="3"/>
          <w:numId w:val="1"/>
        </w:numPr>
        <w:rPr/>
      </w:pPr>
      <w:bookmarkStart w:id="5581" w:name="__RefHeading___Toc2570042_3650668749"/>
      <w:bookmarkStart w:id="5582" w:name="_Toc2530"/>
      <w:bookmarkEnd w:id="5581"/>
      <w:r>
        <w:rPr>
          <w:rtl w:val="true"/>
        </w:rPr>
        <w:t>[ (</w:t>
      </w:r>
      <w:r>
        <w:rPr>
          <w:rtl w:val="true"/>
        </w:rPr>
        <w:t xml:space="preserve">مسألة </w:t>
      </w:r>
      <w:r>
        <w:rPr/>
        <w:t>33</w:t>
      </w:r>
      <w:r>
        <w:rPr>
          <w:rtl w:val="true"/>
        </w:rPr>
        <w:t xml:space="preserve">): </w:t>
      </w:r>
      <w:r>
        <w:rPr>
          <w:rtl w:val="true"/>
        </w:rPr>
        <w:t>المنفعة المقصودة فی الوقف أعمّ من المنفعة المقصودة فی العاریة و الإجارة</w:t>
      </w:r>
      <w:r>
        <w:rPr>
          <w:rtl w:val="true"/>
        </w:rPr>
        <w:t>]</w:t>
      </w:r>
      <w:bookmarkEnd w:id="55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المنفعة المقصودة فی الوقف أعمّ من المنفعة المقصودة فی العاریة و الإجارة فتشمل النماءات و الثمرات، فیصحّ وقف الأشجار لثمرها و الشاة لصوفها و لبنها و نتاجها و إن لم یصحّ إجارتها لذلک</w:t>
      </w:r>
      <w:r>
        <w:rPr>
          <w:rFonts w:eastAsia="IRNazanin" w:cs="IRNazanin"/>
          <w:color w:val="111111"/>
          <w:sz w:val="28"/>
          <w:szCs w:val="28"/>
          <w:rtl w:val="true"/>
          <w:lang w:bidi="fa-IR"/>
        </w:rPr>
        <w:t>.</w:t>
      </w:r>
    </w:p>
    <w:p>
      <w:pPr>
        <w:pStyle w:val="Heading4"/>
        <w:numPr>
          <w:ilvl w:val="3"/>
          <w:numId w:val="1"/>
        </w:numPr>
        <w:rPr/>
      </w:pPr>
      <w:bookmarkStart w:id="5583" w:name="__RefHeading___Toc2570044_3650668749"/>
      <w:bookmarkStart w:id="5584" w:name="_Toc2531"/>
      <w:bookmarkEnd w:id="5583"/>
      <w:r>
        <w:rPr>
          <w:rtl w:val="true"/>
        </w:rPr>
        <w:t>[ (</w:t>
      </w:r>
      <w:r>
        <w:rPr>
          <w:rtl w:val="true"/>
        </w:rPr>
        <w:t xml:space="preserve">مسألة </w:t>
      </w:r>
      <w:r>
        <w:rPr/>
        <w:t>34</w:t>
      </w:r>
      <w:r>
        <w:rPr>
          <w:rtl w:val="true"/>
        </w:rPr>
        <w:t xml:space="preserve">): </w:t>
      </w:r>
      <w:r>
        <w:rPr>
          <w:rtl w:val="true"/>
        </w:rPr>
        <w:t>ینقسم الوقف باعتبار الموقوف علیه علیٰ قسمین</w:t>
      </w:r>
      <w:r>
        <w:rPr>
          <w:rtl w:val="true"/>
        </w:rPr>
        <w:t>]</w:t>
      </w:r>
      <w:bookmarkEnd w:id="5584"/>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الوقف باعتبار الموقوف علیه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الخاصّ؛ و هو</w:t>
      </w:r>
      <w:bookmarkStart w:id="5585" w:name="pg1809_19559"/>
    </w:p>
    <w:p>
      <w:pPr>
        <w:pStyle w:val="BookText"/>
        <w:rPr/>
      </w:pPr>
      <w:bookmarkEnd w:id="5585"/>
      <w:r>
        <w:rPr>
          <w:rFonts w:ascii="IRNazanin" w:hAnsi="IRNazanin" w:eastAsia="IRNazanin"/>
          <w:color w:val="111111"/>
          <w:sz w:val="28"/>
          <w:sz w:val="28"/>
          <w:szCs w:val="28"/>
          <w:rtl w:val="true"/>
          <w:lang w:bidi="fa-IR"/>
        </w:rPr>
        <w:t>ما کان وقفاً علیٰ شخص أو أشخاص کالوقف علیٰ أولاده و ذرّیّته، أو علیٰ زید و ذرّیّته، و الوقف العامّ؛ و هو ما کان علیٰ جهة و مصلحة عامّة کالمساجد و القناطر و الخانات المعدّة لنزول القوافل، أو علیٰ عنوان عامّ کالفقراء و الفقهاء و الطلبة و الأیتام</w:t>
      </w:r>
      <w:r>
        <w:rPr>
          <w:rFonts w:eastAsia="IRNazanin" w:cs="IRNazanin"/>
          <w:color w:val="111111"/>
          <w:sz w:val="28"/>
          <w:szCs w:val="28"/>
          <w:rtl w:val="true"/>
          <w:lang w:bidi="fa-IR"/>
        </w:rPr>
        <w:t>.</w:t>
      </w:r>
    </w:p>
    <w:p>
      <w:pPr>
        <w:pStyle w:val="Heading4"/>
        <w:numPr>
          <w:ilvl w:val="3"/>
          <w:numId w:val="1"/>
        </w:numPr>
        <w:rPr/>
      </w:pPr>
      <w:bookmarkStart w:id="5586" w:name="__RefHeading___Toc2570046_3650668749"/>
      <w:bookmarkStart w:id="5587" w:name="_Toc2532"/>
      <w:bookmarkEnd w:id="5586"/>
      <w:r>
        <w:rPr>
          <w:rtl w:val="true"/>
        </w:rPr>
        <w:t>[ (</w:t>
      </w:r>
      <w:r>
        <w:rPr>
          <w:rtl w:val="true"/>
        </w:rPr>
        <w:t xml:space="preserve">مسألة </w:t>
      </w:r>
      <w:r>
        <w:rPr/>
        <w:t>35</w:t>
      </w:r>
      <w:r>
        <w:rPr>
          <w:rtl w:val="true"/>
        </w:rPr>
        <w:t xml:space="preserve">): </w:t>
      </w:r>
      <w:r>
        <w:rPr>
          <w:rtl w:val="true"/>
        </w:rPr>
        <w:t>یعتبر فی الوقف الخاصّ وجود الموقوف علیه حین الوقف</w:t>
      </w:r>
      <w:r>
        <w:rPr>
          <w:rtl w:val="true"/>
        </w:rPr>
        <w:t>]</w:t>
      </w:r>
      <w:bookmarkEnd w:id="5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الوقف الخاصّ وجود الموقوف علیه حین الوقف، فلا یصحّ الوقف ابتداءً علی المعدوم و من سیوجد، بل و کذا علی الحمل قبل أن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بکونه ابتداءً أن یکون هو الطبقة الاولیٰ من دون مشارکة موجود فی تلک الطبقة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وقف علی المعدوم أو الحمل تبعاً للموجود؛ بأن یجعل طبقة ثانیة أو مساویاً للموجود فی الطبقة بحیث لو وجد لشارکه صحّ بلا إشکال، کما إذا وقف علیٰ أولاده الموجودین و من سیولد له علی التشریک أو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فی الوقف الخاصّ من وجود شخص خاصّ فی کلّ زمان </w:t>
      </w:r>
      <w:r>
        <w:rPr>
          <w:rStyle w:val="FootnoteAnchor"/>
          <w:rtl w:val="true"/>
        </w:rPr>
        <w:footnoteReference w:id="1506"/>
      </w:r>
      <w:r>
        <w:rPr>
          <w:rFonts w:ascii="IRNazanin" w:hAnsi="IRNazanin" w:eastAsia="IRNazanin"/>
          <w:color w:val="111111"/>
          <w:sz w:val="28"/>
          <w:sz w:val="28"/>
          <w:szCs w:val="28"/>
          <w:rtl w:val="true"/>
          <w:lang w:bidi="fa-IR"/>
        </w:rPr>
        <w:t>یکون هو الموقوف علیه فی ذلک الزمان، و لا یکفی کونه ممّن سیوجد إذا لم یوجد شخص فی ذلک الزمان، فإذا وقف علیٰ من سیوجد و سیولد من ولده ثمّ علی الموجود لم یتحقّق الوقف فی الابتداء و کان من المنقطع الأوّل، و لو وقف علیٰ ولده الموجود ثمّ علیٰ أولاد الولد ثمّ علیٰ زید فتوفّی ولده قبل أن یولد له الولد ثمّ تولّد انقطع الوقف بعد موت ولد الواقف و کان من المنقطع الوسط، کما أنّه لو وقف علیٰ ذرّیّته نسلًا بعد نسل و کان له أولاد و أولاد أولاد ثمّ انقرضوا کان من المنقطع الآخر</w:t>
      </w:r>
      <w:r>
        <w:rPr>
          <w:rFonts w:eastAsia="IRNazanin" w:cs="IRNazanin"/>
          <w:color w:val="111111"/>
          <w:sz w:val="28"/>
          <w:szCs w:val="28"/>
          <w:rtl w:val="true"/>
          <w:lang w:bidi="fa-IR"/>
        </w:rPr>
        <w:t>.</w:t>
      </w:r>
    </w:p>
    <w:p>
      <w:pPr>
        <w:pStyle w:val="Heading4"/>
        <w:numPr>
          <w:ilvl w:val="3"/>
          <w:numId w:val="1"/>
        </w:numPr>
        <w:rPr/>
      </w:pPr>
      <w:bookmarkStart w:id="5588" w:name="__RefHeading___Toc2570048_3650668749"/>
      <w:bookmarkStart w:id="5589" w:name="_Toc2533"/>
      <w:bookmarkEnd w:id="5588"/>
      <w:r>
        <w:rPr>
          <w:rtl w:val="true"/>
        </w:rPr>
        <w:t>[ (</w:t>
      </w:r>
      <w:r>
        <w:rPr>
          <w:rtl w:val="true"/>
        </w:rPr>
        <w:t xml:space="preserve">مسألة </w:t>
      </w:r>
      <w:r>
        <w:rPr/>
        <w:t>36</w:t>
      </w:r>
      <w:r>
        <w:rPr>
          <w:rtl w:val="true"/>
        </w:rPr>
        <w:t xml:space="preserve">): </w:t>
      </w:r>
      <w:r>
        <w:rPr>
          <w:rtl w:val="true"/>
        </w:rPr>
        <w:t>لا یعتبر فی الوقف علی العنوان العامّ وجوده فی کلّ زمان</w:t>
      </w:r>
      <w:r>
        <w:rPr>
          <w:rtl w:val="true"/>
        </w:rPr>
        <w:t>]</w:t>
      </w:r>
      <w:bookmarkEnd w:id="5589"/>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الوقف علی العنوان العامّ وجوده فی کلّ زمان، بل یکفی إمکان وجوده مع وجوده فعلًا فی بعض الأزمان، فإذا وقف بستاناً مثلًا علیٰ فقراء البلد و لم یکن فی زمان الوقف فقیر فی البلد لکن سیوجد، صحّ الوقف و لم یکن من المنقطع الأوّل، کما أنّه لو کان موجوداً لکن لم یوجد فی زمان ثمّ وجد لم یکن من المنقطع الوسط، بل هو باقٍ علیٰ وقفیّته فیحفظ غلّته فی زمان عدم وجود الفقیر إلیٰ أن یوجد</w:t>
      </w:r>
      <w:r>
        <w:rPr>
          <w:rFonts w:eastAsia="IRNazanin" w:cs="IRNazanin"/>
          <w:color w:val="111111"/>
          <w:sz w:val="28"/>
          <w:szCs w:val="28"/>
          <w:rtl w:val="true"/>
          <w:lang w:bidi="fa-IR"/>
        </w:rPr>
        <w:t>.</w:t>
      </w:r>
      <w:bookmarkStart w:id="5590" w:name="pg1809_19560"/>
    </w:p>
    <w:p>
      <w:pPr>
        <w:pStyle w:val="Heading4"/>
        <w:numPr>
          <w:ilvl w:val="3"/>
          <w:numId w:val="1"/>
        </w:numPr>
        <w:rPr/>
      </w:pPr>
      <w:bookmarkStart w:id="5591" w:name="__RefHeading___Toc2570050_3650668749"/>
      <w:bookmarkStart w:id="5592" w:name="_Toc2534"/>
      <w:bookmarkEnd w:id="5590"/>
      <w:bookmarkEnd w:id="5591"/>
      <w:r>
        <w:rPr>
          <w:rtl w:val="true"/>
        </w:rPr>
        <w:t>[ (</w:t>
      </w:r>
      <w:r>
        <w:rPr>
          <w:rtl w:val="true"/>
        </w:rPr>
        <w:t xml:space="preserve">مسألة </w:t>
      </w:r>
      <w:r>
        <w:rPr/>
        <w:t>37</w:t>
      </w:r>
      <w:r>
        <w:rPr>
          <w:rtl w:val="true"/>
        </w:rPr>
        <w:t xml:space="preserve">): </w:t>
      </w:r>
      <w:r>
        <w:rPr>
          <w:rtl w:val="true"/>
        </w:rPr>
        <w:t>یشترط فی الموقوف علیه التعیین</w:t>
      </w:r>
      <w:r>
        <w:rPr>
          <w:rtl w:val="true"/>
        </w:rPr>
        <w:t>]</w:t>
      </w:r>
      <w:bookmarkEnd w:id="5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الموقوف علیه التعیین، فلو وقف علیٰ أحد الشخصین أو أحد المشهدین أو أحد المسجدین أو أحد الفریقین لم یصحّ</w:t>
      </w:r>
      <w:r>
        <w:rPr>
          <w:rFonts w:eastAsia="IRNazanin" w:cs="IRNazanin"/>
          <w:color w:val="111111"/>
          <w:sz w:val="28"/>
          <w:szCs w:val="28"/>
          <w:rtl w:val="true"/>
          <w:lang w:bidi="fa-IR"/>
        </w:rPr>
        <w:t>.</w:t>
      </w:r>
    </w:p>
    <w:p>
      <w:pPr>
        <w:pStyle w:val="Heading4"/>
        <w:numPr>
          <w:ilvl w:val="3"/>
          <w:numId w:val="1"/>
        </w:numPr>
        <w:rPr/>
      </w:pPr>
      <w:bookmarkStart w:id="5593" w:name="__RefHeading___Toc2570052_3650668749"/>
      <w:bookmarkStart w:id="5594" w:name="_Toc2535"/>
      <w:bookmarkEnd w:id="5593"/>
      <w:r>
        <w:rPr>
          <w:rtl w:val="true"/>
        </w:rPr>
        <w:t>[ (</w:t>
      </w:r>
      <w:r>
        <w:rPr>
          <w:rtl w:val="true"/>
        </w:rPr>
        <w:t xml:space="preserve">مسألة </w:t>
      </w:r>
      <w:r>
        <w:rPr/>
        <w:t>38</w:t>
      </w:r>
      <w:r>
        <w:rPr>
          <w:rtl w:val="true"/>
        </w:rPr>
        <w:t xml:space="preserve">): </w:t>
      </w:r>
      <w:r>
        <w:rPr>
          <w:rtl w:val="true"/>
        </w:rPr>
        <w:t>لا یصحّ الوقف علی الکافر الحربی و المرتدّ عن فطرة</w:t>
      </w:r>
      <w:r>
        <w:rPr>
          <w:rtl w:val="true"/>
        </w:rPr>
        <w:t>]</w:t>
      </w:r>
      <w:bookmarkEnd w:id="5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w:t>
      </w:r>
      <w:r>
        <w:rPr>
          <w:rStyle w:val="FootnoteAnchor"/>
          <w:rtl w:val="true"/>
        </w:rPr>
        <w:footnoteReference w:id="1507"/>
      </w:r>
      <w:r>
        <w:rPr>
          <w:rFonts w:ascii="IRNazanin" w:hAnsi="IRNazanin" w:eastAsia="IRNazanin"/>
          <w:color w:val="111111"/>
          <w:sz w:val="28"/>
          <w:sz w:val="28"/>
          <w:szCs w:val="28"/>
          <w:rtl w:val="true"/>
          <w:lang w:bidi="fa-IR"/>
        </w:rPr>
        <w:t>الوقف علی الکافر الحربی و المرتدّ عن فطرة، و أمّا الذمّی و المرتدّ لا عن فطرة، فالظاهر صحّته سیّما إذا کان رحماً للواقف</w:t>
      </w:r>
      <w:r>
        <w:rPr>
          <w:rFonts w:eastAsia="IRNazanin" w:cs="IRNazanin"/>
          <w:color w:val="111111"/>
          <w:sz w:val="28"/>
          <w:szCs w:val="28"/>
          <w:rtl w:val="true"/>
          <w:lang w:bidi="fa-IR"/>
        </w:rPr>
        <w:t>.</w:t>
      </w:r>
    </w:p>
    <w:p>
      <w:pPr>
        <w:pStyle w:val="Heading4"/>
        <w:numPr>
          <w:ilvl w:val="3"/>
          <w:numId w:val="1"/>
        </w:numPr>
        <w:rPr/>
      </w:pPr>
      <w:bookmarkStart w:id="5595" w:name="__RefHeading___Toc2570054_3650668749"/>
      <w:bookmarkStart w:id="5596" w:name="_Toc2536"/>
      <w:bookmarkEnd w:id="5595"/>
      <w:r>
        <w:rPr>
          <w:rtl w:val="true"/>
        </w:rPr>
        <w:t>[ (</w:t>
      </w:r>
      <w:r>
        <w:rPr>
          <w:rtl w:val="true"/>
        </w:rPr>
        <w:t xml:space="preserve">مسألة </w:t>
      </w:r>
      <w:r>
        <w:rPr/>
        <w:t>39</w:t>
      </w:r>
      <w:r>
        <w:rPr>
          <w:rtl w:val="true"/>
        </w:rPr>
        <w:t xml:space="preserve">): </w:t>
      </w:r>
      <w:r>
        <w:rPr>
          <w:rtl w:val="true"/>
        </w:rPr>
        <w:t>لا یصحّ الوقف علی الجهات المحرّمة و ما فیه إعانة علی المعصیة</w:t>
      </w:r>
      <w:r>
        <w:rPr>
          <w:rtl w:val="true"/>
        </w:rPr>
        <w:t>]</w:t>
      </w:r>
      <w:bookmarkEnd w:id="5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الوقف علی الجهات المحرّمة و ما فیه إعانة علی المعصیة، کمعونة الزنا و قطّاع الطریق و کتابة کتب الضلال، و کالوقف علی البیع و الکنائس و بیوت النیران لجهة عمارتها و خدمتها و فرشها و معلّقاتها و غیرها، نعم یصحّ وقف الکافر علیها</w:t>
      </w:r>
      <w:r>
        <w:rPr>
          <w:rFonts w:eastAsia="IRNazanin" w:cs="IRNazanin"/>
          <w:color w:val="111111"/>
          <w:sz w:val="28"/>
          <w:szCs w:val="28"/>
          <w:rtl w:val="true"/>
          <w:lang w:bidi="fa-IR"/>
        </w:rPr>
        <w:t>.</w:t>
      </w:r>
    </w:p>
    <w:p>
      <w:pPr>
        <w:pStyle w:val="Heading4"/>
        <w:numPr>
          <w:ilvl w:val="3"/>
          <w:numId w:val="1"/>
        </w:numPr>
        <w:rPr/>
      </w:pPr>
      <w:bookmarkStart w:id="5597" w:name="__RefHeading___Toc2570056_3650668749"/>
      <w:bookmarkStart w:id="5598" w:name="_Toc2537"/>
      <w:bookmarkEnd w:id="5597"/>
      <w:r>
        <w:rPr>
          <w:rtl w:val="true"/>
        </w:rPr>
        <w:t>[ (</w:t>
      </w:r>
      <w:r>
        <w:rPr>
          <w:rtl w:val="true"/>
        </w:rPr>
        <w:t xml:space="preserve">مسألة </w:t>
      </w:r>
      <w:r>
        <w:rPr/>
        <w:t>40</w:t>
      </w:r>
      <w:r>
        <w:rPr>
          <w:rtl w:val="true"/>
        </w:rPr>
        <w:t xml:space="preserve">): </w:t>
      </w:r>
      <w:r>
        <w:rPr>
          <w:rtl w:val="true"/>
        </w:rPr>
        <w:t>إذا وقف مسلم علی الفقراء أو فقراء البلد انصرف إلیٰ فقراء المسلمین</w:t>
      </w:r>
      <w:r>
        <w:rPr>
          <w:rtl w:val="true"/>
        </w:rPr>
        <w:t>]</w:t>
      </w:r>
      <w:bookmarkEnd w:id="5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مسلم علی الفقراء أو فقراء البلد انصرف إلیٰ فقراء المسلمین، بل الظاهر أنّه لو کان الواقف شیعیّاً انصرف إلیٰ فقراء الشیعة، و إذا وقف کافر علی الفقراء انصرف إلیٰ فقراء نحلته، فالیهود إلی الیهود، و النصاری إلیٰ النصاری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أنّه لو کان الواقف سنّیاً انصرف إلیٰ فقراء أهل السنّة، نعم الظاهر أنّه لا یختصّ بمن یوافقه فی المذهب، فلا انصراف لو وقف الحنفی إلی الحنفی و الشافعی إلی الشافعی و هکذا</w:t>
      </w:r>
      <w:r>
        <w:rPr>
          <w:rFonts w:eastAsia="IRNazanin" w:cs="IRNazanin"/>
          <w:color w:val="111111"/>
          <w:sz w:val="28"/>
          <w:szCs w:val="28"/>
          <w:rtl w:val="true"/>
          <w:lang w:bidi="fa-IR"/>
        </w:rPr>
        <w:t>.</w:t>
      </w:r>
    </w:p>
    <w:p>
      <w:pPr>
        <w:pStyle w:val="Heading4"/>
        <w:numPr>
          <w:ilvl w:val="3"/>
          <w:numId w:val="1"/>
        </w:numPr>
        <w:rPr/>
      </w:pPr>
      <w:bookmarkStart w:id="5599" w:name="__RefHeading___Toc2570058_3650668749"/>
      <w:bookmarkStart w:id="5600" w:name="_Toc2538"/>
      <w:bookmarkEnd w:id="5599"/>
      <w:r>
        <w:rPr>
          <w:rtl w:val="true"/>
        </w:rPr>
        <w:t>[ (</w:t>
      </w:r>
      <w:r>
        <w:rPr>
          <w:rtl w:val="true"/>
        </w:rPr>
        <w:t xml:space="preserve">مسألة </w:t>
      </w:r>
      <w:r>
        <w:rPr/>
        <w:t>41</w:t>
      </w:r>
      <w:r>
        <w:rPr>
          <w:rtl w:val="true"/>
        </w:rPr>
        <w:t xml:space="preserve">): </w:t>
      </w:r>
      <w:r>
        <w:rPr>
          <w:rtl w:val="true"/>
        </w:rPr>
        <w:t>إذا کان أفراد عنوان الموقوف علیه منحصرة فی أفراد محصورة</w:t>
      </w:r>
      <w:r>
        <w:rPr>
          <w:rtl w:val="true"/>
        </w:rPr>
        <w:t>]</w:t>
      </w:r>
      <w:bookmarkEnd w:id="5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أفراد عنوان الموقوف علیه منحصرة فی أفراد محصورة، کما إذا وقف علیٰ فقراء محلّة أو قریة صغیرة، توزّع منافع الوقف علی الجمیع، و إن کانوا غیر محصورین لم یجب الاستیعاب، لکن لا یترک الاحتیاط بمراعاة الاستیعاب العرفی مع کثرة المنفعة، فیوزّع علیٰ جماعة معتدّ بها بحسب مقدار المنفعة</w:t>
      </w:r>
      <w:r>
        <w:rPr>
          <w:rFonts w:eastAsia="IRNazanin" w:cs="IRNazanin"/>
          <w:color w:val="111111"/>
          <w:sz w:val="28"/>
          <w:szCs w:val="28"/>
          <w:rtl w:val="true"/>
          <w:lang w:bidi="fa-IR"/>
        </w:rPr>
        <w:t>.</w:t>
      </w:r>
    </w:p>
    <w:p>
      <w:pPr>
        <w:pStyle w:val="Heading4"/>
        <w:numPr>
          <w:ilvl w:val="3"/>
          <w:numId w:val="1"/>
        </w:numPr>
        <w:rPr/>
      </w:pPr>
      <w:bookmarkStart w:id="5601" w:name="__RefHeading___Toc2570060_3650668749"/>
      <w:bookmarkStart w:id="5602" w:name="_Toc2539"/>
      <w:bookmarkEnd w:id="5601"/>
      <w:r>
        <w:rPr>
          <w:rtl w:val="true"/>
        </w:rPr>
        <w:t>[ (</w:t>
      </w:r>
      <w:r>
        <w:rPr>
          <w:rtl w:val="true"/>
        </w:rPr>
        <w:t xml:space="preserve">مسألة </w:t>
      </w:r>
      <w:r>
        <w:rPr/>
        <w:t>42</w:t>
      </w:r>
      <w:r>
        <w:rPr>
          <w:rtl w:val="true"/>
        </w:rPr>
        <w:t xml:space="preserve">): </w:t>
      </w:r>
      <w:r>
        <w:rPr>
          <w:rtl w:val="true"/>
        </w:rPr>
        <w:t>إذا وقف علیٰ فقراء قبیلة کبنی فلان و کانوا متفرّقین لم یقتصر علی الحاضرین</w:t>
      </w:r>
      <w:r>
        <w:rPr>
          <w:rtl w:val="true"/>
        </w:rPr>
        <w:t>]</w:t>
      </w:r>
      <w:bookmarkEnd w:id="5602"/>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وقف علیٰ فقراء قبیلة کبنی فلان و کانوا متفرّقین لم یقتصر </w:t>
      </w:r>
      <w:r>
        <w:rPr>
          <w:rStyle w:val="FootnoteAnchor"/>
          <w:rtl w:val="true"/>
        </w:rPr>
        <w:footnoteReference w:id="1508"/>
      </w:r>
      <w:r>
        <w:rPr>
          <w:rFonts w:ascii="IRNazanin" w:hAnsi="IRNazanin" w:eastAsia="IRNazanin"/>
          <w:color w:val="111111"/>
          <w:sz w:val="28"/>
          <w:sz w:val="28"/>
          <w:szCs w:val="28"/>
          <w:rtl w:val="true"/>
          <w:lang w:bidi="fa-IR"/>
        </w:rPr>
        <w:t xml:space="preserve">علی الحاضرین، بل یجب تتبّع الغائبین و حفظ حصّتهم للإیصال إلیهم، نعم إذا لم یمکن التفتیش عنهم و صعب إحصاؤهم لم یجب الاستقصاء، بل یقتصر </w:t>
      </w:r>
      <w:r>
        <w:rPr>
          <w:rStyle w:val="FootnoteAnchor"/>
          <w:rtl w:val="true"/>
        </w:rPr>
        <w:footnoteReference w:id="1509"/>
      </w:r>
      <w:r>
        <w:rPr>
          <w:rFonts w:ascii="Amiri" w:hAnsi="Amiri" w:eastAsia="Amiri" w:cs="Amiri"/>
          <w:color w:val="111111"/>
          <w:sz w:val="28"/>
          <w:sz w:val="28"/>
          <w:szCs w:val="28"/>
          <w:rtl w:val="true"/>
          <w:lang w:bidi="ar-SA"/>
        </w:rPr>
        <w:t>علیٰ من حضر</w:t>
      </w:r>
      <w:r>
        <w:rPr>
          <w:rFonts w:eastAsia="Amiri" w:cs="Amiri" w:ascii="Amiri" w:hAnsi="Amiri"/>
          <w:color w:val="111111"/>
          <w:sz w:val="28"/>
          <w:szCs w:val="28"/>
          <w:rtl w:val="true"/>
          <w:lang w:bidi="ar-SA"/>
        </w:rPr>
        <w:t>.</w:t>
      </w:r>
      <w:bookmarkStart w:id="5603" w:name="pg1809_19561"/>
    </w:p>
    <w:p>
      <w:pPr>
        <w:pStyle w:val="Heading4"/>
        <w:numPr>
          <w:ilvl w:val="3"/>
          <w:numId w:val="1"/>
        </w:numPr>
        <w:rPr/>
      </w:pPr>
      <w:bookmarkStart w:id="5604" w:name="__RefHeading___Toc2570062_3650668749"/>
      <w:bookmarkStart w:id="5605" w:name="_Toc2540"/>
      <w:bookmarkEnd w:id="5603"/>
      <w:bookmarkEnd w:id="5604"/>
      <w:r>
        <w:rPr>
          <w:rtl w:val="true"/>
        </w:rPr>
        <w:t>[ (</w:t>
      </w:r>
      <w:r>
        <w:rPr>
          <w:rtl w:val="true"/>
        </w:rPr>
        <w:t xml:space="preserve">مسألة </w:t>
      </w:r>
      <w:r>
        <w:rPr/>
        <w:t>43</w:t>
      </w:r>
      <w:r>
        <w:rPr>
          <w:rtl w:val="true"/>
        </w:rPr>
        <w:t xml:space="preserve">): </w:t>
      </w:r>
      <w:r>
        <w:rPr>
          <w:rtl w:val="true"/>
        </w:rPr>
        <w:t>إذا وقف علی المسلمین کان لکلّ من أقرّ بالشهادتین</w:t>
      </w:r>
      <w:r>
        <w:rPr>
          <w:rtl w:val="true"/>
        </w:rPr>
        <w:t>]</w:t>
      </w:r>
      <w:bookmarkEnd w:id="5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وقف علی المسلمین کان لکلّ </w:t>
      </w:r>
      <w:r>
        <w:rPr>
          <w:rStyle w:val="FootnoteAnchor"/>
          <w:rtl w:val="true"/>
        </w:rPr>
        <w:footnoteReference w:id="1510"/>
      </w:r>
      <w:r>
        <w:rPr>
          <w:rFonts w:ascii="IRNazanin" w:hAnsi="IRNazanin" w:eastAsia="IRNazanin"/>
          <w:color w:val="111111"/>
          <w:sz w:val="28"/>
          <w:sz w:val="28"/>
          <w:szCs w:val="28"/>
          <w:rtl w:val="true"/>
          <w:lang w:bidi="fa-IR"/>
        </w:rPr>
        <w:t>من أقرّ بالشهادتین، و لو وقف علی المؤمنین اختصّ بالاثنی عشریّة لو کان الواقف إمامیّاً و کذا لو وقف علی الشیعة</w:t>
      </w:r>
      <w:r>
        <w:rPr>
          <w:rFonts w:eastAsia="IRNazanin" w:cs="IRNazanin"/>
          <w:color w:val="111111"/>
          <w:sz w:val="28"/>
          <w:szCs w:val="28"/>
          <w:rtl w:val="true"/>
          <w:lang w:bidi="fa-IR"/>
        </w:rPr>
        <w:t>.</w:t>
      </w:r>
    </w:p>
    <w:p>
      <w:pPr>
        <w:pStyle w:val="Heading4"/>
        <w:numPr>
          <w:ilvl w:val="3"/>
          <w:numId w:val="1"/>
        </w:numPr>
        <w:rPr/>
      </w:pPr>
      <w:bookmarkStart w:id="5606" w:name="__RefHeading___Toc2570064_3650668749"/>
      <w:bookmarkStart w:id="5607" w:name="_Toc2541"/>
      <w:bookmarkEnd w:id="5606"/>
      <w:r>
        <w:rPr>
          <w:rtl w:val="true"/>
        </w:rPr>
        <w:t>[ (</w:t>
      </w:r>
      <w:r>
        <w:rPr>
          <w:rtl w:val="true"/>
        </w:rPr>
        <w:t xml:space="preserve">مسألة </w:t>
      </w:r>
      <w:r>
        <w:rPr/>
        <w:t>44</w:t>
      </w:r>
      <w:r>
        <w:rPr>
          <w:rtl w:val="true"/>
        </w:rPr>
        <w:t xml:space="preserve">): </w:t>
      </w:r>
      <w:r>
        <w:rPr>
          <w:rtl w:val="true"/>
        </w:rPr>
        <w:t>إذا وقف فی سبیل اللّٰه یصرف فی کلّ ما یکون و صلة إلی الثواب</w:t>
      </w:r>
      <w:r>
        <w:rPr>
          <w:rtl w:val="true"/>
        </w:rPr>
        <w:t>]</w:t>
      </w:r>
      <w:bookmarkEnd w:id="5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فی سبیل اللّٰه یصرف فی کلّ ما یکون و صلة إلی الثواب، و کذلک لو وقف فی وجوه البرّ</w:t>
      </w:r>
      <w:r>
        <w:rPr>
          <w:rFonts w:eastAsia="IRNazanin" w:cs="IRNazanin"/>
          <w:color w:val="111111"/>
          <w:sz w:val="28"/>
          <w:szCs w:val="28"/>
          <w:rtl w:val="true"/>
          <w:lang w:bidi="fa-IR"/>
        </w:rPr>
        <w:t>.</w:t>
      </w:r>
    </w:p>
    <w:p>
      <w:pPr>
        <w:pStyle w:val="Heading4"/>
        <w:numPr>
          <w:ilvl w:val="3"/>
          <w:numId w:val="1"/>
        </w:numPr>
        <w:rPr/>
      </w:pPr>
      <w:bookmarkStart w:id="5608" w:name="__RefHeading___Toc2570066_3650668749"/>
      <w:bookmarkStart w:id="5609" w:name="_Toc2542"/>
      <w:bookmarkEnd w:id="5608"/>
      <w:r>
        <w:rPr>
          <w:rtl w:val="true"/>
        </w:rPr>
        <w:t>[ (</w:t>
      </w:r>
      <w:r>
        <w:rPr>
          <w:rtl w:val="true"/>
        </w:rPr>
        <w:t xml:space="preserve">مسألة </w:t>
      </w:r>
      <w:r>
        <w:rPr/>
        <w:t>45</w:t>
      </w:r>
      <w:r>
        <w:rPr>
          <w:rtl w:val="true"/>
        </w:rPr>
        <w:t xml:space="preserve">): </w:t>
      </w:r>
      <w:r>
        <w:rPr>
          <w:rtl w:val="true"/>
        </w:rPr>
        <w:t>إذا وقف علیٰ أرحامه أو أقاربه فالمرجع العرف</w:t>
      </w:r>
      <w:r>
        <w:rPr>
          <w:rtl w:val="true"/>
        </w:rPr>
        <w:t>]</w:t>
      </w:r>
      <w:bookmarkEnd w:id="5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 أرحامه أو أقاربه فالمرجع العرف، و إذا وقف علی الأقرب فالأقرب کان ترتیبیّاً علیٰ کیفیّة طبقات الإرث</w:t>
      </w:r>
      <w:r>
        <w:rPr>
          <w:rFonts w:eastAsia="IRNazanin" w:cs="IRNazanin"/>
          <w:color w:val="111111"/>
          <w:sz w:val="28"/>
          <w:szCs w:val="28"/>
          <w:rtl w:val="true"/>
          <w:lang w:bidi="fa-IR"/>
        </w:rPr>
        <w:t>.</w:t>
      </w:r>
    </w:p>
    <w:p>
      <w:pPr>
        <w:pStyle w:val="Heading4"/>
        <w:numPr>
          <w:ilvl w:val="3"/>
          <w:numId w:val="1"/>
        </w:numPr>
        <w:rPr/>
      </w:pPr>
      <w:bookmarkStart w:id="5610" w:name="__RefHeading___Toc2570068_3650668749"/>
      <w:bookmarkStart w:id="5611" w:name="_Toc2543"/>
      <w:bookmarkEnd w:id="5610"/>
      <w:r>
        <w:rPr>
          <w:rtl w:val="true"/>
        </w:rPr>
        <w:t>[ (</w:t>
      </w:r>
      <w:r>
        <w:rPr>
          <w:rtl w:val="true"/>
        </w:rPr>
        <w:t xml:space="preserve">مسألة </w:t>
      </w:r>
      <w:r>
        <w:rPr/>
        <w:t>46</w:t>
      </w:r>
      <w:r>
        <w:rPr>
          <w:rtl w:val="true"/>
        </w:rPr>
        <w:t xml:space="preserve">): </w:t>
      </w:r>
      <w:r>
        <w:rPr>
          <w:rtl w:val="true"/>
        </w:rPr>
        <w:t>إذا وقف علیٰ أولاده اشترک الذکر و الأُنثیٰ و الخنثیٰ و یکون التقسیم بینهم علی السواء</w:t>
      </w:r>
      <w:r>
        <w:rPr>
          <w:rtl w:val="true"/>
        </w:rPr>
        <w:t>]</w:t>
      </w:r>
      <w:bookmarkEnd w:id="5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 أولاده اشترک الذکر و الأُنثیٰ و الخنثیٰ و یکون التقسیم بینهم علی السواء، و إذا وقف علیٰ أولاد أولاده عمّ أولاد البنین و البنات ذکورهم و إناثهم بالسویّة</w:t>
      </w:r>
      <w:r>
        <w:rPr>
          <w:rFonts w:eastAsia="IRNazanin" w:cs="IRNazanin"/>
          <w:color w:val="111111"/>
          <w:sz w:val="28"/>
          <w:szCs w:val="28"/>
          <w:rtl w:val="true"/>
          <w:lang w:bidi="fa-IR"/>
        </w:rPr>
        <w:t>.</w:t>
      </w:r>
    </w:p>
    <w:p>
      <w:pPr>
        <w:pStyle w:val="Heading4"/>
        <w:numPr>
          <w:ilvl w:val="3"/>
          <w:numId w:val="1"/>
        </w:numPr>
        <w:rPr/>
      </w:pPr>
      <w:bookmarkStart w:id="5612" w:name="__RefHeading___Toc2570070_3650668749"/>
      <w:bookmarkStart w:id="5613" w:name="_Toc2544"/>
      <w:bookmarkEnd w:id="5612"/>
      <w:r>
        <w:rPr>
          <w:rtl w:val="true"/>
        </w:rPr>
        <w:t>[ (</w:t>
      </w:r>
      <w:r>
        <w:rPr>
          <w:rtl w:val="true"/>
        </w:rPr>
        <w:t xml:space="preserve">مسألة </w:t>
      </w:r>
      <w:r>
        <w:rPr/>
        <w:t>47</w:t>
      </w:r>
      <w:r>
        <w:rPr>
          <w:rtl w:val="true"/>
        </w:rPr>
        <w:t xml:space="preserve">): </w:t>
      </w:r>
      <w:r>
        <w:rPr>
          <w:rtl w:val="true"/>
        </w:rPr>
        <w:t>إذا قال</w:t>
      </w:r>
      <w:r>
        <w:rPr>
          <w:rtl w:val="true"/>
        </w:rPr>
        <w:t>: «</w:t>
      </w:r>
      <w:r>
        <w:rPr>
          <w:rtl w:val="true"/>
        </w:rPr>
        <w:t>وقفت علیٰ ذرّیّتی</w:t>
      </w:r>
      <w:r>
        <w:rPr>
          <w:rtl w:val="true"/>
        </w:rPr>
        <w:t xml:space="preserve">» </w:t>
      </w:r>
      <w:r>
        <w:rPr>
          <w:rtl w:val="true"/>
        </w:rPr>
        <w:t>عمّ الأولاد بنین و بنات و أولادهم بلا واسطة و معها ذکوراً و إناثاً</w:t>
      </w:r>
      <w:r>
        <w:rPr>
          <w:rtl w:val="true"/>
        </w:rPr>
        <w:t>]</w:t>
      </w:r>
      <w:bookmarkEnd w:id="5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الأولاد بنین و بنات و أولادهم بلا واسطة و معها ذکوراً و إناثاً، و یکون الوقف تشریکیّاً یشارک الطبقات اللاحقة مع السابقة و یکون علی الرؤوس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أولادی و أولاد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أنّ الأوّل ینصرف إلی الصلبی فلا یشمل أولاد الأولاد، و الثانی یختصّ بطنین، فلا یشمل سائر البطون، لکن الظاهر خلافه و أنّ الظاهر منهما عرفاً التعمیم </w:t>
      </w:r>
      <w:r>
        <w:rPr>
          <w:rStyle w:val="FootnoteAnchor"/>
          <w:rtl w:val="true"/>
        </w:rPr>
        <w:footnoteReference w:id="1511"/>
      </w:r>
      <w:r>
        <w:rPr>
          <w:rFonts w:ascii="IRNazanin" w:hAnsi="IRNazanin" w:eastAsia="IRNazanin"/>
          <w:color w:val="111111"/>
          <w:sz w:val="28"/>
          <w:sz w:val="28"/>
          <w:szCs w:val="28"/>
          <w:rtl w:val="true"/>
          <w:lang w:bidi="fa-IR"/>
        </w:rPr>
        <w:t>خصوصاً فی الثانی</w:t>
      </w:r>
      <w:r>
        <w:rPr>
          <w:rFonts w:eastAsia="IRNazanin" w:cs="IRNazanin"/>
          <w:color w:val="111111"/>
          <w:sz w:val="28"/>
          <w:szCs w:val="28"/>
          <w:rtl w:val="true"/>
          <w:lang w:bidi="fa-IR"/>
        </w:rPr>
        <w:t>.</w:t>
      </w:r>
    </w:p>
    <w:p>
      <w:pPr>
        <w:pStyle w:val="Heading4"/>
        <w:numPr>
          <w:ilvl w:val="3"/>
          <w:numId w:val="1"/>
        </w:numPr>
        <w:rPr/>
      </w:pPr>
      <w:bookmarkStart w:id="5614" w:name="__RefHeading___Toc2570072_3650668749"/>
      <w:bookmarkStart w:id="5615" w:name="_Toc2545"/>
      <w:bookmarkEnd w:id="5614"/>
      <w:r>
        <w:rPr>
          <w:rtl w:val="true"/>
        </w:rPr>
        <w:t>[ (</w:t>
      </w:r>
      <w:r>
        <w:rPr>
          <w:rtl w:val="true"/>
        </w:rPr>
        <w:t xml:space="preserve">مسألة </w:t>
      </w:r>
      <w:r>
        <w:rPr/>
        <w:t>48</w:t>
      </w:r>
      <w:r>
        <w:rPr>
          <w:rtl w:val="true"/>
        </w:rPr>
        <w:t xml:space="preserve">): </w:t>
      </w:r>
      <w:r>
        <w:rPr>
          <w:rtl w:val="true"/>
        </w:rPr>
        <w:t>إذا قال</w:t>
      </w:r>
      <w:r>
        <w:rPr>
          <w:rtl w:val="true"/>
        </w:rPr>
        <w:t>: «</w:t>
      </w:r>
      <w:r>
        <w:rPr>
          <w:rtl w:val="true"/>
        </w:rPr>
        <w:t>وقفت علیٰ أولادی نسلًا بعد نسل و بطناً بعد بطن</w:t>
      </w:r>
      <w:r>
        <w:rPr>
          <w:rtl w:val="true"/>
        </w:rPr>
        <w:t xml:space="preserve">» </w:t>
      </w:r>
      <w:r>
        <w:rPr>
          <w:rtl w:val="true"/>
        </w:rPr>
        <w:t>الظاهر المتبادر منه عند العرف أنّه وقف ترتیب</w:t>
      </w:r>
      <w:r>
        <w:rPr>
          <w:rtl w:val="true"/>
        </w:rPr>
        <w:t>]</w:t>
      </w:r>
      <w:bookmarkEnd w:id="5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 أولادی نسلًا بعد نسل و بطناً بعد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المتبادر منه عند العرف أنّه وقف ترتیب، فلا یشارک الولد أباه و لا ابن الأخ عمّه</w:t>
      </w:r>
      <w:r>
        <w:rPr>
          <w:rFonts w:eastAsia="IRNazanin" w:cs="IRNazanin"/>
          <w:color w:val="111111"/>
          <w:sz w:val="28"/>
          <w:szCs w:val="28"/>
          <w:rtl w:val="true"/>
          <w:lang w:bidi="fa-IR"/>
        </w:rPr>
        <w:t>.</w:t>
      </w:r>
    </w:p>
    <w:p>
      <w:pPr>
        <w:pStyle w:val="Heading4"/>
        <w:numPr>
          <w:ilvl w:val="3"/>
          <w:numId w:val="1"/>
        </w:numPr>
        <w:rPr/>
      </w:pPr>
      <w:bookmarkStart w:id="5616" w:name="__RefHeading___Toc2570074_3650668749"/>
      <w:bookmarkStart w:id="5617" w:name="_Toc2546"/>
      <w:bookmarkEnd w:id="5616"/>
      <w:r>
        <w:rPr>
          <w:rtl w:val="true"/>
        </w:rPr>
        <w:t>[ (</w:t>
      </w:r>
      <w:r>
        <w:rPr>
          <w:rtl w:val="true"/>
        </w:rPr>
        <w:t xml:space="preserve">مسألة </w:t>
      </w:r>
      <w:r>
        <w:rPr/>
        <w:t>49</w:t>
      </w:r>
      <w:r>
        <w:rPr>
          <w:rtl w:val="true"/>
        </w:rPr>
        <w:t xml:space="preserve">): </w:t>
      </w:r>
      <w:r>
        <w:rPr>
          <w:rtl w:val="true"/>
        </w:rPr>
        <w:t>إذا قال</w:t>
      </w:r>
      <w:r>
        <w:rPr>
          <w:rtl w:val="true"/>
        </w:rPr>
        <w:t>: «</w:t>
      </w:r>
      <w:r>
        <w:rPr>
          <w:rtl w:val="true"/>
        </w:rPr>
        <w:t>وقفت علیٰ ذرّیّتی</w:t>
      </w:r>
      <w:r>
        <w:rPr>
          <w:rtl w:val="true"/>
        </w:rPr>
        <w:t xml:space="preserve">» </w:t>
      </w:r>
      <w:r>
        <w:rPr>
          <w:rtl w:val="true"/>
        </w:rPr>
        <w:t>أو قال</w:t>
      </w:r>
      <w:r>
        <w:rPr>
          <w:rtl w:val="true"/>
        </w:rPr>
        <w:t>: «</w:t>
      </w:r>
      <w:r>
        <w:rPr>
          <w:rtl w:val="true"/>
        </w:rPr>
        <w:t>علیٰ أولادی و أولاد أولادی</w:t>
      </w:r>
      <w:r>
        <w:rPr>
          <w:rtl w:val="true"/>
        </w:rPr>
        <w:t xml:space="preserve">» </w:t>
      </w:r>
      <w:r>
        <w:rPr>
          <w:rtl w:val="true"/>
        </w:rPr>
        <w:t>و لم یذکر أنّه وقف تشریک أو وقف ترتیب</w:t>
      </w:r>
      <w:r>
        <w:rPr>
          <w:rtl w:val="true"/>
        </w:rPr>
        <w:t>]</w:t>
      </w:r>
      <w:bookmarkEnd w:id="5617"/>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أولادی و أولاد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أنّه وقف تشریک أو وقف ترتیب یحمل علی الأوّل، و کذا </w:t>
      </w:r>
      <w:r>
        <w:rPr>
          <w:rStyle w:val="FootnoteAnchor"/>
          <w:rtl w:val="true"/>
        </w:rPr>
        <w:footnoteReference w:id="1512"/>
      </w:r>
      <w:r>
        <w:rPr>
          <w:rFonts w:ascii="IRNazanin" w:hAnsi="IRNazanin" w:eastAsia="IRNazanin"/>
          <w:color w:val="111111"/>
          <w:sz w:val="28"/>
          <w:sz w:val="28"/>
          <w:szCs w:val="28"/>
          <w:rtl w:val="true"/>
          <w:lang w:bidi="fa-IR"/>
        </w:rPr>
        <w:t>لو علم من الخارج وقفیّة شی‌ء علی الذرّیّة و لم یعلم أنّه وقف تشریک أو وقف ترتیب</w:t>
      </w:r>
      <w:r>
        <w:rPr>
          <w:rFonts w:eastAsia="IRNazanin" w:cs="IRNazanin"/>
          <w:color w:val="111111"/>
          <w:sz w:val="28"/>
          <w:szCs w:val="28"/>
          <w:rtl w:val="true"/>
          <w:lang w:bidi="fa-IR"/>
        </w:rPr>
        <w:t>.</w:t>
      </w:r>
      <w:bookmarkStart w:id="5618" w:name="pg1809_19562"/>
    </w:p>
    <w:p>
      <w:pPr>
        <w:pStyle w:val="Heading4"/>
        <w:numPr>
          <w:ilvl w:val="3"/>
          <w:numId w:val="1"/>
        </w:numPr>
        <w:rPr/>
      </w:pPr>
      <w:bookmarkStart w:id="5619" w:name="__RefHeading___Toc2570076_3650668749"/>
      <w:bookmarkStart w:id="5620" w:name="_Toc2547"/>
      <w:bookmarkEnd w:id="5618"/>
      <w:bookmarkEnd w:id="5619"/>
      <w:r>
        <w:rPr>
          <w:rtl w:val="true"/>
        </w:rPr>
        <w:t>[ (</w:t>
      </w:r>
      <w:r>
        <w:rPr>
          <w:rtl w:val="true"/>
        </w:rPr>
        <w:t xml:space="preserve">مسألة </w:t>
      </w:r>
      <w:r>
        <w:rPr/>
        <w:t>50</w:t>
      </w:r>
      <w:r>
        <w:rPr>
          <w:rtl w:val="true"/>
        </w:rPr>
        <w:t xml:space="preserve">): </w:t>
      </w:r>
      <w:r>
        <w:rPr>
          <w:rtl w:val="true"/>
        </w:rPr>
        <w:t>لو قال</w:t>
      </w:r>
      <w:r>
        <w:rPr>
          <w:rtl w:val="true"/>
        </w:rPr>
        <w:t>: «</w:t>
      </w:r>
      <w:r>
        <w:rPr>
          <w:rtl w:val="true"/>
        </w:rPr>
        <w:t>وقفت علیٰ أولادی الذکور نسلًا بعد نسل</w:t>
      </w:r>
      <w:r>
        <w:rPr>
          <w:rtl w:val="true"/>
        </w:rPr>
        <w:t xml:space="preserve">» </w:t>
      </w:r>
      <w:r>
        <w:rPr>
          <w:rtl w:val="true"/>
        </w:rPr>
        <w:t>یختصّ بالذکور من الذکور فی جمیع الطبقات</w:t>
      </w:r>
      <w:r>
        <w:rPr>
          <w:rtl w:val="true"/>
        </w:rPr>
        <w:t>]</w:t>
      </w:r>
      <w:bookmarkEnd w:id="56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 أولادی الذکور نسلًا بعد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بالذکور من الذکور فی جمیع الطبقات و لا یشمل الذکور من الإناث</w:t>
      </w:r>
      <w:r>
        <w:rPr>
          <w:rFonts w:eastAsia="IRNazanin" w:cs="IRNazanin"/>
          <w:color w:val="111111"/>
          <w:sz w:val="28"/>
          <w:szCs w:val="28"/>
          <w:rtl w:val="true"/>
          <w:lang w:bidi="fa-IR"/>
        </w:rPr>
        <w:t>.</w:t>
      </w:r>
    </w:p>
    <w:p>
      <w:pPr>
        <w:pStyle w:val="Heading4"/>
        <w:numPr>
          <w:ilvl w:val="3"/>
          <w:numId w:val="1"/>
        </w:numPr>
        <w:rPr/>
      </w:pPr>
      <w:bookmarkStart w:id="5621" w:name="__RefHeading___Toc2570078_3650668749"/>
      <w:bookmarkStart w:id="5622" w:name="_Toc2548"/>
      <w:bookmarkEnd w:id="5621"/>
      <w:r>
        <w:rPr>
          <w:rtl w:val="true"/>
        </w:rPr>
        <w:t>[ (</w:t>
      </w:r>
      <w:r>
        <w:rPr>
          <w:rtl w:val="true"/>
        </w:rPr>
        <w:t xml:space="preserve">مسألة </w:t>
      </w:r>
      <w:r>
        <w:rPr/>
        <w:t>51</w:t>
      </w:r>
      <w:r>
        <w:rPr>
          <w:rtl w:val="true"/>
        </w:rPr>
        <w:t xml:space="preserve">): </w:t>
      </w:r>
      <w:r>
        <w:rPr>
          <w:rtl w:val="true"/>
        </w:rPr>
        <w:t>إذا کان الوقف ترتیبیّاً کانت الکیفیّة تابعة لجعل الواقف</w:t>
      </w:r>
      <w:r>
        <w:rPr>
          <w:rtl w:val="true"/>
        </w:rPr>
        <w:t>]</w:t>
      </w:r>
      <w:bookmarkEnd w:id="56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الوقف ترتیبیّاً کانت الکیفیّة تابعة لجعل الواقف،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الترتیب بین الطبقة السابقة و اللاحقة و یراعی الأقرب فالأقرب إلی الواقف، فلا یشارک الولد أباه و لا ابن الأخ عمّه و عمّته و لا ابن الأُخت خاله و خالته،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الترتیب بین خصوص الآباء من کلّ طبقة و أبنائهم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إخوة و لبعضهم أولاد لم یکن للأولاد شی‌ء ما دام حیاة الآباء، فإذا توفّی الآباء شارک الأولاد أعمامهم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یجعل الترتیب علیٰ نحو آخر و یتّبع فإنّ الوقوف علیٰ حسب ما یقفها أهلها</w:t>
      </w:r>
      <w:r>
        <w:rPr>
          <w:rFonts w:eastAsia="IRNazanin" w:cs="IRNazanin"/>
          <w:color w:val="111111"/>
          <w:sz w:val="28"/>
          <w:szCs w:val="28"/>
          <w:rtl w:val="true"/>
          <w:lang w:bidi="fa-IR"/>
        </w:rPr>
        <w:t>.</w:t>
      </w:r>
    </w:p>
    <w:p>
      <w:pPr>
        <w:pStyle w:val="Heading4"/>
        <w:numPr>
          <w:ilvl w:val="3"/>
          <w:numId w:val="1"/>
        </w:numPr>
        <w:rPr/>
      </w:pPr>
      <w:bookmarkStart w:id="5623" w:name="__RefHeading___Toc2570080_3650668749"/>
      <w:bookmarkStart w:id="5624" w:name="_Toc2549"/>
      <w:bookmarkEnd w:id="5623"/>
      <w:r>
        <w:rPr>
          <w:rtl w:val="true"/>
        </w:rPr>
        <w:t>[ (</w:t>
      </w:r>
      <w:r>
        <w:rPr>
          <w:rtl w:val="true"/>
        </w:rPr>
        <w:t xml:space="preserve">مسألة </w:t>
      </w:r>
      <w:r>
        <w:rPr/>
        <w:t>52</w:t>
      </w:r>
      <w:r>
        <w:rPr>
          <w:rtl w:val="true"/>
        </w:rPr>
        <w:t xml:space="preserve">): </w:t>
      </w:r>
      <w:r>
        <w:rPr>
          <w:rtl w:val="true"/>
        </w:rPr>
        <w:t>لو قال</w:t>
      </w:r>
      <w:r>
        <w:rPr>
          <w:rtl w:val="true"/>
        </w:rPr>
        <w:t>: «</w:t>
      </w:r>
      <w:r>
        <w:rPr>
          <w:rtl w:val="true"/>
        </w:rPr>
        <w:t>وقفت علیٰ أولادی طبقة بعد طبقة و إذا مات أحدهم و کان له ولد فنصیبه لولده</w:t>
      </w:r>
      <w:r>
        <w:rPr>
          <w:rtl w:val="true"/>
        </w:rPr>
        <w:t>»]</w:t>
      </w:r>
      <w:bookmarkEnd w:id="5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 أولادی طبقة بعد طبقة و إذا مات أحدهم و کان له ولد فنصیبه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مات أحدهم و له ولد یکون نصیبه لولده، و لو تعدّد الولد یقسّم النصیب بینهم علی 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مات من لا ولد له فنصیبه لمن کان فی طبقته و لا یشارکهم الولد الذی أخذ نصیب والده</w:t>
      </w:r>
      <w:r>
        <w:rPr>
          <w:rFonts w:eastAsia="IRNazanin" w:cs="IRNazanin"/>
          <w:color w:val="111111"/>
          <w:sz w:val="28"/>
          <w:szCs w:val="28"/>
          <w:rtl w:val="true"/>
          <w:lang w:bidi="fa-IR"/>
        </w:rPr>
        <w:t>.</w:t>
      </w:r>
    </w:p>
    <w:p>
      <w:pPr>
        <w:pStyle w:val="Heading4"/>
        <w:numPr>
          <w:ilvl w:val="3"/>
          <w:numId w:val="1"/>
        </w:numPr>
        <w:rPr/>
      </w:pPr>
      <w:bookmarkStart w:id="5625" w:name="__RefHeading___Toc2570082_3650668749"/>
      <w:bookmarkStart w:id="5626" w:name="_Toc2550"/>
      <w:bookmarkEnd w:id="5625"/>
      <w:r>
        <w:rPr>
          <w:rtl w:val="true"/>
        </w:rPr>
        <w:t>[ (</w:t>
      </w:r>
      <w:r>
        <w:rPr>
          <w:rtl w:val="true"/>
        </w:rPr>
        <w:t xml:space="preserve">مسألة </w:t>
      </w:r>
      <w:r>
        <w:rPr/>
        <w:t>53</w:t>
      </w:r>
      <w:r>
        <w:rPr>
          <w:rtl w:val="true"/>
        </w:rPr>
        <w:t xml:space="preserve">): </w:t>
      </w:r>
      <w:r>
        <w:rPr>
          <w:rtl w:val="true"/>
        </w:rPr>
        <w:t>لو وقف علی العلماء انصرف إلیٰ علماء الشریعة</w:t>
      </w:r>
      <w:r>
        <w:rPr>
          <w:rtl w:val="true"/>
        </w:rPr>
        <w:t>]</w:t>
      </w:r>
      <w:bookmarkEnd w:id="5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علی العلماء انصرف إلیٰ علماء الشریعة، فلا یشمل غیرهم کعلماء الطبّ و النجوم و الحکمة</w:t>
      </w:r>
      <w:r>
        <w:rPr>
          <w:rFonts w:eastAsia="IRNazanin" w:cs="IRNazanin"/>
          <w:color w:val="111111"/>
          <w:sz w:val="28"/>
          <w:szCs w:val="28"/>
          <w:rtl w:val="true"/>
          <w:lang w:bidi="fa-IR"/>
        </w:rPr>
        <w:t>.</w:t>
      </w:r>
    </w:p>
    <w:p>
      <w:pPr>
        <w:pStyle w:val="Heading4"/>
        <w:numPr>
          <w:ilvl w:val="3"/>
          <w:numId w:val="1"/>
        </w:numPr>
        <w:rPr/>
      </w:pPr>
      <w:bookmarkStart w:id="5627" w:name="__RefHeading___Toc2570084_3650668749"/>
      <w:bookmarkStart w:id="5628" w:name="_Toc2551"/>
      <w:bookmarkEnd w:id="5627"/>
      <w:r>
        <w:rPr>
          <w:rtl w:val="true"/>
        </w:rPr>
        <w:t>[ (</w:t>
      </w:r>
      <w:r>
        <w:rPr>
          <w:rtl w:val="true"/>
        </w:rPr>
        <w:t xml:space="preserve">مسألة </w:t>
      </w:r>
      <w:r>
        <w:rPr/>
        <w:t>54</w:t>
      </w:r>
      <w:r>
        <w:rPr>
          <w:rtl w:val="true"/>
        </w:rPr>
        <w:t xml:space="preserve">): </w:t>
      </w:r>
      <w:r>
        <w:rPr>
          <w:rtl w:val="true"/>
        </w:rPr>
        <w:t>لو وقف علیٰ أهل مشهدٍ کالنجف مثلًا اختصّ بالمتوطّنین و المجاورین</w:t>
      </w:r>
      <w:r>
        <w:rPr>
          <w:rtl w:val="true"/>
        </w:rPr>
        <w:t>]</w:t>
      </w:r>
      <w:bookmarkEnd w:id="5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علیٰ أهل مشهدٍ کالنجف مثلًا اختصّ بالمتوطّنین و المجاورین و لا یشمل الزوّار و المتردّدین</w:t>
      </w:r>
      <w:r>
        <w:rPr>
          <w:rFonts w:eastAsia="IRNazanin" w:cs="IRNazanin"/>
          <w:color w:val="111111"/>
          <w:sz w:val="28"/>
          <w:szCs w:val="28"/>
          <w:rtl w:val="true"/>
          <w:lang w:bidi="fa-IR"/>
        </w:rPr>
        <w:t>.</w:t>
      </w:r>
    </w:p>
    <w:p>
      <w:pPr>
        <w:pStyle w:val="Heading4"/>
        <w:numPr>
          <w:ilvl w:val="3"/>
          <w:numId w:val="1"/>
        </w:numPr>
        <w:rPr/>
      </w:pPr>
      <w:bookmarkStart w:id="5629" w:name="__RefHeading___Toc2570086_3650668749"/>
      <w:bookmarkStart w:id="5630" w:name="_Toc2552"/>
      <w:bookmarkEnd w:id="5629"/>
      <w:r>
        <w:rPr>
          <w:rtl w:val="true"/>
        </w:rPr>
        <w:t>[ (</w:t>
      </w:r>
      <w:r>
        <w:rPr>
          <w:rtl w:val="true"/>
        </w:rPr>
        <w:t xml:space="preserve">مسألة </w:t>
      </w:r>
      <w:r>
        <w:rPr/>
        <w:t>55</w:t>
      </w:r>
      <w:r>
        <w:rPr>
          <w:rtl w:val="true"/>
        </w:rPr>
        <w:t xml:space="preserve">): </w:t>
      </w:r>
      <w:r>
        <w:rPr>
          <w:rtl w:val="true"/>
        </w:rPr>
        <w:t>لو وقف علی المشتغلین فی النجف</w:t>
      </w:r>
      <w:r>
        <w:rPr>
          <w:rtl w:val="true"/>
        </w:rPr>
        <w:t>]</w:t>
      </w:r>
      <w:bookmarkEnd w:id="5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علی المشتغلین فی النجف مثلًا من أهل البلد الفلانی کطهران أو غیره من البلدان اختصّ بمن هاجر من بلده إلی النجف للاشتغال و لا یشمل من جعله وطناً له معرضاً عن بلده</w:t>
      </w:r>
      <w:r>
        <w:rPr>
          <w:rFonts w:eastAsia="IRNazanin" w:cs="IRNazanin"/>
          <w:color w:val="111111"/>
          <w:sz w:val="28"/>
          <w:szCs w:val="28"/>
          <w:rtl w:val="true"/>
          <w:lang w:bidi="fa-IR"/>
        </w:rPr>
        <w:t>.</w:t>
      </w:r>
    </w:p>
    <w:p>
      <w:pPr>
        <w:pStyle w:val="Heading4"/>
        <w:numPr>
          <w:ilvl w:val="3"/>
          <w:numId w:val="1"/>
        </w:numPr>
        <w:rPr/>
      </w:pPr>
      <w:bookmarkStart w:id="5631" w:name="__RefHeading___Toc2570088_3650668749"/>
      <w:bookmarkStart w:id="5632" w:name="_Toc2553"/>
      <w:bookmarkEnd w:id="5631"/>
      <w:r>
        <w:rPr>
          <w:rtl w:val="true"/>
        </w:rPr>
        <w:t>[ (</w:t>
      </w:r>
      <w:r>
        <w:rPr>
          <w:rtl w:val="true"/>
        </w:rPr>
        <w:t xml:space="preserve">مسألة </w:t>
      </w:r>
      <w:r>
        <w:rPr/>
        <w:t>56</w:t>
      </w:r>
      <w:r>
        <w:rPr>
          <w:rtl w:val="true"/>
        </w:rPr>
        <w:t xml:space="preserve">): </w:t>
      </w:r>
      <w:r>
        <w:rPr>
          <w:rtl w:val="true"/>
        </w:rPr>
        <w:t>لو وقف علیٰ مسجد صرفت منافعه مع الإطلاق فی تعمیره وضوئه و فرشه و خادمه</w:t>
      </w:r>
      <w:r>
        <w:rPr>
          <w:rtl w:val="true"/>
        </w:rPr>
        <w:t>]</w:t>
      </w:r>
      <w:bookmarkEnd w:id="5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علیٰ مسجد صرفت منافعه مع الإطلاق فی تعمیره وضوئه و فرشه و خادمه، و لو زاد شی‌ء یعطیٰ لإمامه</w:t>
      </w:r>
      <w:r>
        <w:rPr>
          <w:rFonts w:eastAsia="IRNazanin" w:cs="IRNazanin"/>
          <w:color w:val="111111"/>
          <w:sz w:val="28"/>
          <w:szCs w:val="28"/>
          <w:rtl w:val="true"/>
          <w:lang w:bidi="fa-IR"/>
        </w:rPr>
        <w:t>.</w:t>
      </w:r>
    </w:p>
    <w:p>
      <w:pPr>
        <w:pStyle w:val="Heading4"/>
        <w:numPr>
          <w:ilvl w:val="3"/>
          <w:numId w:val="1"/>
        </w:numPr>
        <w:rPr/>
      </w:pPr>
      <w:bookmarkStart w:id="5633" w:name="__RefHeading___Toc2570090_3650668749"/>
      <w:bookmarkStart w:id="5634" w:name="_Toc2554"/>
      <w:bookmarkEnd w:id="5633"/>
      <w:r>
        <w:rPr>
          <w:rtl w:val="true"/>
        </w:rPr>
        <w:t>[ (</w:t>
      </w:r>
      <w:r>
        <w:rPr>
          <w:rtl w:val="true"/>
        </w:rPr>
        <w:t xml:space="preserve">مسألة </w:t>
      </w:r>
      <w:r>
        <w:rPr/>
        <w:t>57</w:t>
      </w:r>
      <w:r>
        <w:rPr>
          <w:rtl w:val="true"/>
        </w:rPr>
        <w:t xml:space="preserve">): </w:t>
      </w:r>
      <w:r>
        <w:rPr>
          <w:rtl w:val="true"/>
        </w:rPr>
        <w:t>لو وقف علیٰ مشهد یصرف فی تعمیره وضوئه و خدّامه</w:t>
      </w:r>
      <w:r>
        <w:rPr>
          <w:rtl w:val="true"/>
        </w:rPr>
        <w:t>]</w:t>
      </w:r>
      <w:bookmarkEnd w:id="56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علیٰ مشهد یصرف فی تعمیره وضوئه و خدّامه المواظبین لبعض الأشغال اللازمة المتعلّقة بذلک المشهد</w:t>
      </w:r>
      <w:r>
        <w:rPr>
          <w:rFonts w:eastAsia="IRNazanin" w:cs="IRNazanin"/>
          <w:color w:val="111111"/>
          <w:sz w:val="28"/>
          <w:szCs w:val="28"/>
          <w:rtl w:val="true"/>
          <w:lang w:bidi="fa-IR"/>
        </w:rPr>
        <w:t>.</w:t>
      </w:r>
    </w:p>
    <w:p>
      <w:pPr>
        <w:pStyle w:val="Heading4"/>
        <w:numPr>
          <w:ilvl w:val="3"/>
          <w:numId w:val="1"/>
        </w:numPr>
        <w:rPr/>
      </w:pPr>
      <w:bookmarkStart w:id="5635" w:name="__RefHeading___Toc2570092_3650668749"/>
      <w:bookmarkStart w:id="5636" w:name="_Toc2555"/>
      <w:bookmarkEnd w:id="5635"/>
      <w:r>
        <w:rPr>
          <w:rtl w:val="true"/>
        </w:rPr>
        <w:t>[ (</w:t>
      </w:r>
      <w:r>
        <w:rPr>
          <w:rtl w:val="true"/>
        </w:rPr>
        <w:t xml:space="preserve">مسألة </w:t>
      </w:r>
      <w:r>
        <w:rPr/>
        <w:t>58</w:t>
      </w:r>
      <w:r>
        <w:rPr>
          <w:rtl w:val="true"/>
        </w:rPr>
        <w:t xml:space="preserve">): </w:t>
      </w:r>
      <w:r>
        <w:rPr>
          <w:rtl w:val="true"/>
        </w:rPr>
        <w:t xml:space="preserve">لو وقف علی الحسین </w:t>
      </w:r>
      <w:r>
        <w:rPr>
          <w:rtl w:val="true"/>
        </w:rPr>
        <w:t>(</w:t>
      </w:r>
      <w:r>
        <w:rPr>
          <w:rtl w:val="true"/>
        </w:rPr>
        <w:t>علیه السّلام</w:t>
      </w:r>
      <w:r>
        <w:rPr>
          <w:rtl w:val="true"/>
        </w:rPr>
        <w:t xml:space="preserve">) </w:t>
      </w:r>
      <w:r>
        <w:rPr>
          <w:rtl w:val="true"/>
        </w:rPr>
        <w:t>یصرف فی إقامة تعزیته من اجرة القارئ</w:t>
      </w:r>
      <w:r>
        <w:rPr>
          <w:rtl w:val="true"/>
        </w:rPr>
        <w:t>]</w:t>
      </w:r>
      <w:bookmarkEnd w:id="5636"/>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وقف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 فی إقامة تعزیته من اجرة القارئ و ما یتعارف صرفه فی المجلس للمستمعین</w:t>
      </w:r>
      <w:r>
        <w:rPr>
          <w:rFonts w:eastAsia="IRNazanin" w:cs="IRNazanin"/>
          <w:color w:val="111111"/>
          <w:sz w:val="28"/>
          <w:szCs w:val="28"/>
          <w:rtl w:val="true"/>
          <w:lang w:bidi="fa-IR"/>
        </w:rPr>
        <w:t>.</w:t>
      </w:r>
      <w:bookmarkStart w:id="5637" w:name="pg1809_19563"/>
    </w:p>
    <w:p>
      <w:pPr>
        <w:pStyle w:val="Heading4"/>
        <w:numPr>
          <w:ilvl w:val="3"/>
          <w:numId w:val="1"/>
        </w:numPr>
        <w:rPr/>
      </w:pPr>
      <w:bookmarkStart w:id="5638" w:name="__RefHeading___Toc2570094_3650668749"/>
      <w:bookmarkStart w:id="5639" w:name="_Toc2556"/>
      <w:bookmarkEnd w:id="5637"/>
      <w:bookmarkEnd w:id="5638"/>
      <w:r>
        <w:rPr>
          <w:rtl w:val="true"/>
        </w:rPr>
        <w:t>[ (</w:t>
      </w:r>
      <w:r>
        <w:rPr>
          <w:rtl w:val="true"/>
        </w:rPr>
        <w:t xml:space="preserve">مسألة </w:t>
      </w:r>
      <w:r>
        <w:rPr/>
        <w:t>59</w:t>
      </w:r>
      <w:r>
        <w:rPr>
          <w:rtl w:val="true"/>
        </w:rPr>
        <w:t xml:space="preserve">): </w:t>
      </w:r>
      <w:r>
        <w:rPr>
          <w:rtl w:val="true"/>
        </w:rPr>
        <w:t>لا إشکال فی أنّه بعد تمام الوقف لیس للواقف التغییر فی الموقوف علیه</w:t>
      </w:r>
      <w:r>
        <w:rPr>
          <w:rtl w:val="true"/>
        </w:rPr>
        <w:t>]</w:t>
      </w:r>
      <w:bookmarkEnd w:id="5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أنّه بعد تمام الوقف لیس للواقف التغییر فی الموقوف علیه بإخراج بعض من کان داخلًا أو إدخال من کان خارجاً، إذا لم یشترط ذلک فی ضمن عقد الوقف، و هل یصحّ ذلک إذا شرط ذلک؟ فالمشهور و هو المنصور </w:t>
      </w:r>
      <w:r>
        <w:rPr>
          <w:rStyle w:val="FootnoteAnchor"/>
          <w:rtl w:val="true"/>
        </w:rPr>
        <w:footnoteReference w:id="1513"/>
      </w:r>
      <w:r>
        <w:rPr>
          <w:rFonts w:ascii="IRNazanin" w:hAnsi="IRNazanin" w:eastAsia="IRNazanin"/>
          <w:color w:val="111111"/>
          <w:sz w:val="28"/>
          <w:sz w:val="28"/>
          <w:szCs w:val="28"/>
          <w:rtl w:val="true"/>
          <w:lang w:bidi="fa-IR"/>
        </w:rPr>
        <w:t>جواز الإدخال دون الإخراج، فلو شرط إدخال من یرید صحّ و جاز له ذلک، و لو شرط إخراج من یرید بطل الشرط بل الوقف أیضاً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ذلک لو شرط نقل الوقف من الموقوف علیهم إلیٰ من سیوجد، نعم لو وقف علیٰ جماعة إلیٰ أن یوجد من سیوجد و بعد ذلک کان الوقف علیٰ من سیوجد صحّ بلا إشکال</w:t>
      </w:r>
      <w:r>
        <w:rPr>
          <w:rFonts w:eastAsia="IRNazanin" w:cs="IRNazanin"/>
          <w:color w:val="111111"/>
          <w:sz w:val="28"/>
          <w:szCs w:val="28"/>
          <w:rtl w:val="true"/>
          <w:lang w:bidi="fa-IR"/>
        </w:rPr>
        <w:t>.</w:t>
      </w:r>
    </w:p>
    <w:p>
      <w:pPr>
        <w:pStyle w:val="Heading4"/>
        <w:numPr>
          <w:ilvl w:val="3"/>
          <w:numId w:val="1"/>
        </w:numPr>
        <w:rPr/>
      </w:pPr>
      <w:bookmarkStart w:id="5640" w:name="__RefHeading___Toc2570096_3650668749"/>
      <w:bookmarkStart w:id="5641" w:name="_Toc2557"/>
      <w:bookmarkEnd w:id="5640"/>
      <w:r>
        <w:rPr>
          <w:rtl w:val="true"/>
        </w:rPr>
        <w:t>[ (</w:t>
      </w:r>
      <w:r>
        <w:rPr>
          <w:rtl w:val="true"/>
        </w:rPr>
        <w:t xml:space="preserve">مسألة </w:t>
      </w:r>
      <w:r>
        <w:rPr/>
        <w:t>60</w:t>
      </w:r>
      <w:r>
        <w:rPr>
          <w:rtl w:val="true"/>
        </w:rPr>
        <w:t xml:space="preserve">): </w:t>
      </w:r>
      <w:r>
        <w:rPr>
          <w:rtl w:val="true"/>
        </w:rPr>
        <w:t>إذا علم وقفیّة شی‌ء و لم یعلم مصرفه</w:t>
      </w:r>
      <w:r>
        <w:rPr>
          <w:rtl w:val="true"/>
        </w:rPr>
        <w:t>]</w:t>
      </w:r>
      <w:bookmarkEnd w:id="5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وقفیّة شی‌ء و لم یعلم مصرفه و لو من جهة نسیانه فإن کانت المحتملات متصادقة غیر متباینة یصرف فی المتیقّن، کما إذا لم یدر أنّه وقف علی الفقراء أو علی الفقهاء فتقتصر علیٰ مورد تصادق العنوانین و هو الفقهاء الفقراء و إن کانت متباینة فإن کان الاحتمال بین أُمور محصورة، کما إذا لم یدر أنّه وقف علیٰ أهالی النجف أو کربلاء، أو لم یدر أنّه وقف علی المسجد الفلانی أو المشهد الفلانی و نحو ذلک یوزّع بین المحتملات بالتنصیف، لو کان مردّداً بین أمرین، و التثلیث لو کان مردّداً بین ثلاثة و هکذا، و یحتمل </w:t>
      </w:r>
      <w:r>
        <w:rPr>
          <w:rStyle w:val="FootnoteAnchor"/>
          <w:rtl w:val="true"/>
        </w:rPr>
        <w:footnoteReference w:id="1514"/>
      </w:r>
      <w:r>
        <w:rPr>
          <w:rFonts w:ascii="IRNazanin" w:hAnsi="IRNazanin" w:eastAsia="IRNazanin"/>
          <w:color w:val="111111"/>
          <w:sz w:val="28"/>
          <w:sz w:val="28"/>
          <w:szCs w:val="28"/>
          <w:rtl w:val="true"/>
          <w:lang w:bidi="fa-IR"/>
        </w:rPr>
        <w:t>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بین أُمور غیر محصورة، فإن کان مردّداً بین عناوین و أشخاص غیر محصورین، کما إذا لم یدر أنّه وقف علیٰ فقراء البلد الفلانی أو فقهاء البلد الفلانی أو سادة البلد الفلانی أو ذرّیّة زید أو ذرّیّة عمرو أو ذرّیّة خالد و هکذا، کانت منافعه بحکم مجهول المالک فیتصدّق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مردّداً بین جهات غیر محصورة، کما إذا لم یعلم أنّه وقف علی المسجد أو المشهد أو القناطر أو إعانة الزوّار أو تعزیة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یصرف فی وجوه البرّ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2" w:name="__RefHeading___Toc2570098_3650668749"/>
      <w:bookmarkStart w:id="5643" w:name="_Toc2558"/>
      <w:bookmarkEnd w:id="5642"/>
      <w:r>
        <w:rPr>
          <w:rtl w:val="true"/>
        </w:rPr>
        <w:t>[ (</w:t>
      </w:r>
      <w:r>
        <w:rPr>
          <w:rtl w:val="true"/>
        </w:rPr>
        <w:t xml:space="preserve">مسألة </w:t>
      </w:r>
      <w:r>
        <w:rPr/>
        <w:t>61</w:t>
      </w:r>
      <w:r>
        <w:rPr>
          <w:rtl w:val="true"/>
        </w:rPr>
        <w:t xml:space="preserve">): </w:t>
      </w:r>
      <w:r>
        <w:rPr>
          <w:rtl w:val="true"/>
        </w:rPr>
        <w:t>إذا کانت للعین الموقوفة منافع متجدّدة و ثمرات متنوّعة</w:t>
      </w:r>
      <w:r>
        <w:rPr>
          <w:rtl w:val="true"/>
        </w:rPr>
        <w:t>]</w:t>
      </w:r>
      <w:bookmarkEnd w:id="5643"/>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للعین الموقوفة منافع متجدّدة و ثمرات متنوّعة، یملک الموقوف علیهم جمیعها مع إطلاق الوقف، فإذا وقف العبد یملکون جمیع منافعه من مکتسباته و حیازاته من الالتقاط و الاصطیاد و الاحتشاش و غیر ذلک، و فی الشاة الموقوفة یملکون</w:t>
      </w:r>
      <w:bookmarkStart w:id="5644" w:name="pg1809_19564"/>
    </w:p>
    <w:p>
      <w:pPr>
        <w:pStyle w:val="BookText"/>
        <w:rPr/>
      </w:pPr>
      <w:bookmarkEnd w:id="5644"/>
      <w:r>
        <w:rPr>
          <w:rFonts w:ascii="IRNazanin" w:hAnsi="IRNazanin" w:eastAsia="IRNazanin"/>
          <w:color w:val="111111"/>
          <w:sz w:val="28"/>
          <w:sz w:val="28"/>
          <w:szCs w:val="28"/>
          <w:rtl w:val="true"/>
          <w:lang w:bidi="fa-IR"/>
        </w:rPr>
        <w:t xml:space="preserve">صوفها المتجدّد و لبنها و نتاجها، و فی الشجر و النخل ثمرهما و منفعة الاستظلال بهما و السعف و الأغصان و الأوراق الیابسة، بل و غیرها إذا قطّعت للإصلاح، و کذا فروخهما و غیر ذلک، و هل یجوز التخصیص ببعض المنافع حتّی یکون للموقوف علیهم بعض المنافع دون بعض؟ فیه تأمّل </w:t>
      </w:r>
      <w:r>
        <w:rPr>
          <w:rStyle w:val="FootnoteAnchor"/>
          <w:rtl w:val="true"/>
        </w:rPr>
        <w:footnoteReference w:id="1516"/>
      </w:r>
      <w:r>
        <w:rPr>
          <w:rFonts w:ascii="IRNazanin" w:hAnsi="IRNazanin" w:eastAsia="IRNazanin"/>
          <w:color w:val="111111"/>
          <w:sz w:val="28"/>
          <w:sz w:val="28"/>
          <w:szCs w:val="28"/>
          <w:rtl w:val="true"/>
          <w:lang w:bidi="fa-IR"/>
        </w:rPr>
        <w:t>و إشکال</w:t>
      </w:r>
      <w:r>
        <w:rPr>
          <w:rFonts w:eastAsia="IRNazanin" w:cs="IRNazanin"/>
          <w:color w:val="111111"/>
          <w:sz w:val="28"/>
          <w:szCs w:val="28"/>
          <w:rtl w:val="true"/>
          <w:lang w:bidi="fa-IR"/>
        </w:rPr>
        <w:t>.</w:t>
      </w:r>
    </w:p>
    <w:p>
      <w:pPr>
        <w:pStyle w:val="Heading4"/>
        <w:numPr>
          <w:ilvl w:val="3"/>
          <w:numId w:val="1"/>
        </w:numPr>
        <w:rPr/>
      </w:pPr>
      <w:bookmarkStart w:id="5645" w:name="__RefHeading___Toc2570100_3650668749"/>
      <w:bookmarkStart w:id="5646" w:name="_Toc2559"/>
      <w:bookmarkEnd w:id="5645"/>
      <w:r>
        <w:rPr>
          <w:rtl w:val="true"/>
        </w:rPr>
        <w:t>[ (</w:t>
      </w:r>
      <w:r>
        <w:rPr>
          <w:rtl w:val="true"/>
        </w:rPr>
        <w:t xml:space="preserve">مسألة </w:t>
      </w:r>
      <w:r>
        <w:rPr/>
        <w:t>62</w:t>
      </w:r>
      <w:r>
        <w:rPr>
          <w:rtl w:val="true"/>
        </w:rPr>
        <w:t xml:space="preserve">): </w:t>
      </w:r>
      <w:r>
        <w:rPr>
          <w:rtl w:val="true"/>
        </w:rPr>
        <w:t>لو وقف علیٰ مصلحة فبطل رسمها</w:t>
      </w:r>
      <w:r>
        <w:rPr>
          <w:rtl w:val="true"/>
        </w:rPr>
        <w:t>]</w:t>
      </w:r>
      <w:bookmarkEnd w:id="5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علیٰ مصلحة فبطل رسمها، کما إذا وقف علیٰ مسجد أو مدرسة أو قنطرة فخربت و لم یمکن تعمیرها، أو لم یحتج المسجد إلیٰ مصرف لانقطاع من یصلّی فیه، و المدرسة لعدم الطلبة، و القنطرة لعدم المارّة، صرف الوقف فی وجوه البرّ، و الأحوط صرفه فی مصلحة أُخری من جنس تلک المصلحة، و مع التعذّر یراعی الأقرب فالأقرب منها</w:t>
      </w:r>
      <w:r>
        <w:rPr>
          <w:rFonts w:eastAsia="IRNazanin" w:cs="IRNazanin"/>
          <w:color w:val="111111"/>
          <w:sz w:val="28"/>
          <w:szCs w:val="28"/>
          <w:rtl w:val="true"/>
          <w:lang w:bidi="fa-IR"/>
        </w:rPr>
        <w:t>.</w:t>
      </w:r>
    </w:p>
    <w:p>
      <w:pPr>
        <w:pStyle w:val="Heading4"/>
        <w:numPr>
          <w:ilvl w:val="3"/>
          <w:numId w:val="1"/>
        </w:numPr>
        <w:rPr/>
      </w:pPr>
      <w:bookmarkStart w:id="5647" w:name="__RefHeading___Toc2570102_3650668749"/>
      <w:bookmarkStart w:id="5648" w:name="_Toc2560"/>
      <w:bookmarkEnd w:id="5647"/>
      <w:r>
        <w:rPr>
          <w:rtl w:val="true"/>
        </w:rPr>
        <w:t>[ (</w:t>
      </w:r>
      <w:r>
        <w:rPr>
          <w:rtl w:val="true"/>
        </w:rPr>
        <w:t xml:space="preserve">مسألة </w:t>
      </w:r>
      <w:r>
        <w:rPr/>
        <w:t>63</w:t>
      </w:r>
      <w:r>
        <w:rPr>
          <w:rtl w:val="true"/>
        </w:rPr>
        <w:t xml:space="preserve">): </w:t>
      </w:r>
      <w:r>
        <w:rPr>
          <w:rtl w:val="true"/>
        </w:rPr>
        <w:t>إذا خرب المسجد لم تخرج عرصته عن المسجدیّة</w:t>
      </w:r>
      <w:r>
        <w:rPr>
          <w:rtl w:val="true"/>
        </w:rPr>
        <w:t>]</w:t>
      </w:r>
      <w:bookmarkEnd w:id="5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خرب المسجد لم تخرج </w:t>
      </w:r>
      <w:r>
        <w:rPr>
          <w:rStyle w:val="FootnoteAnchor"/>
          <w:rtl w:val="true"/>
        </w:rPr>
        <w:footnoteReference w:id="1517"/>
      </w:r>
      <w:r>
        <w:rPr>
          <w:rFonts w:ascii="IRNazanin" w:hAnsi="IRNazanin" w:eastAsia="IRNazanin"/>
          <w:color w:val="111111"/>
          <w:sz w:val="28"/>
          <w:sz w:val="28"/>
          <w:szCs w:val="28"/>
          <w:rtl w:val="true"/>
          <w:lang w:bidi="fa-IR"/>
        </w:rPr>
        <w:t>عرصته عن المسجدیّة، فتجری علیها أحکامها، و کذا لو خربت القریة التی هو فیها بقی المسجد علیٰ صفة المسجدیّة</w:t>
      </w:r>
      <w:r>
        <w:rPr>
          <w:rFonts w:eastAsia="IRNazanin" w:cs="IRNazanin"/>
          <w:color w:val="111111"/>
          <w:sz w:val="28"/>
          <w:szCs w:val="28"/>
          <w:rtl w:val="true"/>
          <w:lang w:bidi="fa-IR"/>
        </w:rPr>
        <w:t>.</w:t>
      </w:r>
    </w:p>
    <w:p>
      <w:pPr>
        <w:pStyle w:val="Heading4"/>
        <w:numPr>
          <w:ilvl w:val="3"/>
          <w:numId w:val="1"/>
        </w:numPr>
        <w:rPr/>
      </w:pPr>
      <w:bookmarkStart w:id="5649" w:name="__RefHeading___Toc2570104_3650668749"/>
      <w:bookmarkStart w:id="5650" w:name="_Toc2561"/>
      <w:bookmarkEnd w:id="5649"/>
      <w:r>
        <w:rPr>
          <w:rtl w:val="true"/>
        </w:rPr>
        <w:t>[ (</w:t>
      </w:r>
      <w:r>
        <w:rPr>
          <w:rtl w:val="true"/>
        </w:rPr>
        <w:t xml:space="preserve">مسألة </w:t>
      </w:r>
      <w:r>
        <w:rPr/>
        <w:t>64</w:t>
      </w:r>
      <w:r>
        <w:rPr>
          <w:rtl w:val="true"/>
        </w:rPr>
        <w:t xml:space="preserve">): </w:t>
      </w:r>
      <w:r>
        <w:rPr>
          <w:rtl w:val="true"/>
        </w:rPr>
        <w:t>لو وقف داراً علیٰ أولاده أو علی المحتاجین منهم فإن أطلق فهو وقف منفعة</w:t>
      </w:r>
      <w:r>
        <w:rPr>
          <w:rtl w:val="true"/>
        </w:rPr>
        <w:t>]</w:t>
      </w:r>
      <w:bookmarkEnd w:id="5650"/>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داراً علیٰ أولاده أو علی المحتاجین منهم فإن أطلق فهو وقف منفعة کما إذا وقف علیهم قریة أو مزرعة أو خاناً أو دکّاناً و نحوها یملکون منافعها، فلهم استنماؤها، فیقسّمون بینهم ما یحصّلون منها بإجارة و غیرها علیٰ حسب ما قرّره الواقف من الکمّیة و الکیفیّة، و إن لم یقرّر کیفیّة فی القسمة یقسّمونه بینهم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وقفها علیهم لسکناهم، فهو وقف انتفاع و یتعیّن لهم ذلک و لیس لهم إجارتها، و حینئذٍ فإن کفت لسکنی الجمیع سکنوها و لیس لبعضهم أن یستقلّ به و یمنع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وقع بینهم التشاحّ فی اختیار الحجر، فإن جعل الواقف متولّیاً یکون له النظر فی تعیین المسکن للساکن، کان نظره و تعیینه هو المتّبع، و مع عدمه کانت القرعة هی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سکن بعضهم و لم یسکنها البعض، فلیس له مطالبة الساکن بأُجرة حصّته إذا لم یکن مانعاً عنه، بل کان باذلًا له الإسکان و هو لم یسکن بمیله و اختیاره أو لمانع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کانت کافیة لسکنی الجمیع، و إن لم تکف لسکنی الجمیع سکنها البعض، و مع التشاحّ و عدم متولّی من قبل الواقف یکون له النظر فی تعیین الساکن و عدم تسالمهم علی المهایاة لا محیص عن القرعة، و من خرج اسمه یسکن و لیس لمن لم یسکن مطالبته بأُجرة حصّته</w:t>
      </w:r>
      <w:r>
        <w:rPr>
          <w:rFonts w:eastAsia="IRNazanin" w:cs="IRNazanin"/>
          <w:color w:val="111111"/>
          <w:sz w:val="28"/>
          <w:szCs w:val="28"/>
          <w:rtl w:val="true"/>
          <w:lang w:bidi="fa-IR"/>
        </w:rPr>
        <w:t>.</w:t>
      </w:r>
      <w:bookmarkStart w:id="5651" w:name="pg1809_19565"/>
    </w:p>
    <w:p>
      <w:pPr>
        <w:pStyle w:val="Heading4"/>
        <w:numPr>
          <w:ilvl w:val="3"/>
          <w:numId w:val="1"/>
        </w:numPr>
        <w:rPr/>
      </w:pPr>
      <w:bookmarkStart w:id="5652" w:name="__RefHeading___Toc2570106_3650668749"/>
      <w:bookmarkStart w:id="5653" w:name="_Toc2562"/>
      <w:bookmarkEnd w:id="5651"/>
      <w:bookmarkEnd w:id="5652"/>
      <w:r>
        <w:rPr>
          <w:rtl w:val="true"/>
        </w:rPr>
        <w:t>[ (</w:t>
      </w:r>
      <w:r>
        <w:rPr>
          <w:rtl w:val="true"/>
        </w:rPr>
        <w:t xml:space="preserve">مسألة </w:t>
      </w:r>
      <w:r>
        <w:rPr/>
        <w:t>65</w:t>
      </w:r>
      <w:r>
        <w:rPr>
          <w:rtl w:val="true"/>
        </w:rPr>
        <w:t xml:space="preserve">): </w:t>
      </w:r>
      <w:r>
        <w:rPr>
          <w:rtl w:val="true"/>
        </w:rPr>
        <w:t>الثمر الموجود حال الوقف علی النخل و الشجر لا یکون للموقوف علیهم</w:t>
      </w:r>
      <w:r>
        <w:rPr>
          <w:rtl w:val="true"/>
        </w:rPr>
        <w:t>]</w:t>
      </w:r>
      <w:bookmarkEnd w:id="56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 الموجود حال الوقف علی النخل و الشجر لا یکون للموقوف علیهم، بل هو باقٍ علیٰ ملک الواقف، و کذلک الحمل الموجود حال وقف الحامل، نعم فی الصوف علی الشاة و اللبن فی ضرعها إشکال فلا یترک الاحتیاط</w:t>
      </w:r>
      <w:r>
        <w:rPr>
          <w:rFonts w:eastAsia="IRNazanin" w:cs="IRNazanin"/>
          <w:color w:val="111111"/>
          <w:sz w:val="28"/>
          <w:szCs w:val="28"/>
          <w:rtl w:val="true"/>
          <w:lang w:bidi="fa-IR"/>
        </w:rPr>
        <w:t>.</w:t>
      </w:r>
    </w:p>
    <w:p>
      <w:pPr>
        <w:pStyle w:val="Heading4"/>
        <w:numPr>
          <w:ilvl w:val="3"/>
          <w:numId w:val="1"/>
        </w:numPr>
        <w:rPr/>
      </w:pPr>
      <w:bookmarkStart w:id="5654" w:name="__RefHeading___Toc2570108_3650668749"/>
      <w:bookmarkStart w:id="5655" w:name="_Toc2563"/>
      <w:bookmarkEnd w:id="5654"/>
      <w:r>
        <w:rPr>
          <w:rtl w:val="true"/>
        </w:rPr>
        <w:t>[ (</w:t>
      </w:r>
      <w:r>
        <w:rPr>
          <w:rtl w:val="true"/>
        </w:rPr>
        <w:t xml:space="preserve">مسألة </w:t>
      </w:r>
      <w:r>
        <w:rPr/>
        <w:t>66</w:t>
      </w:r>
      <w:r>
        <w:rPr>
          <w:rtl w:val="true"/>
        </w:rPr>
        <w:t xml:space="preserve">): </w:t>
      </w:r>
      <w:r>
        <w:rPr>
          <w:rtl w:val="true"/>
        </w:rPr>
        <w:t>لو قال</w:t>
      </w:r>
      <w:r>
        <w:rPr>
          <w:rtl w:val="true"/>
        </w:rPr>
        <w:t>: «</w:t>
      </w:r>
      <w:r>
        <w:rPr>
          <w:rtl w:val="true"/>
        </w:rPr>
        <w:t>وقفت علیٰ أولادی و أولاد أولادی</w:t>
      </w:r>
      <w:r>
        <w:rPr>
          <w:rtl w:val="true"/>
        </w:rPr>
        <w:t xml:space="preserve">» </w:t>
      </w:r>
      <w:r>
        <w:rPr>
          <w:rtl w:val="true"/>
        </w:rPr>
        <w:t>شمل جمیع البطون</w:t>
      </w:r>
      <w:r>
        <w:rPr>
          <w:rtl w:val="true"/>
        </w:rPr>
        <w:t>]</w:t>
      </w:r>
      <w:bookmarkEnd w:id="5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 أولادی و أولاد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 جمیع البطون کما أشرنا سابقاً فمع اشتراط الترتیب أو التشریک أو المساواة أو التفضیل أو قید الذکوریّة أو الأُنوثیّة أو غیر ذلک یکون هو المتّبع، و إذا أطلق فمقتضاه التشریک و الشمول للذکور و الإناث و المساواة و عدم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 أولادی ثمّ علیٰ أولاد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الترتیب بین الأولاد و أولاد الأولاد قطعاً، و أمّا أولاد الأولاد بناءً علیٰ شموله لجمیع البطون فالظاهر عدم الدلالة علی الترتیب بینهم، إلّا إذا قامت قرینة علی أنّ حکمهم کحکمهم مع الأولاد و أنّ ذکر الترتیب بین الأولاد و أولاد الأولاد من باب المثال، و المقصود الترتیب فی سلسلة الأولاد و أنّ الوقف للأقرب فالأقرب إلی الواقف</w:t>
      </w:r>
      <w:r>
        <w:rPr>
          <w:rFonts w:eastAsia="IRNazanin" w:cs="IRNazanin"/>
          <w:color w:val="111111"/>
          <w:sz w:val="28"/>
          <w:szCs w:val="28"/>
          <w:rtl w:val="true"/>
          <w:lang w:bidi="fa-IR"/>
        </w:rPr>
        <w:t>.</w:t>
      </w:r>
    </w:p>
    <w:p>
      <w:pPr>
        <w:pStyle w:val="Heading4"/>
        <w:numPr>
          <w:ilvl w:val="3"/>
          <w:numId w:val="1"/>
        </w:numPr>
        <w:rPr/>
      </w:pPr>
      <w:bookmarkStart w:id="5656" w:name="__RefHeading___Toc2570110_3650668749"/>
      <w:bookmarkStart w:id="5657" w:name="_Toc2564"/>
      <w:bookmarkEnd w:id="5656"/>
      <w:r>
        <w:rPr>
          <w:rtl w:val="true"/>
        </w:rPr>
        <w:t>[ (</w:t>
      </w:r>
      <w:r>
        <w:rPr>
          <w:rtl w:val="true"/>
        </w:rPr>
        <w:t xml:space="preserve">مسألة </w:t>
      </w:r>
      <w:r>
        <w:rPr/>
        <w:t>67</w:t>
      </w:r>
      <w:r>
        <w:rPr>
          <w:rtl w:val="true"/>
        </w:rPr>
        <w:t xml:space="preserve">): </w:t>
      </w:r>
      <w:r>
        <w:rPr>
          <w:rtl w:val="true"/>
        </w:rPr>
        <w:t>لا ینبغی الإشکال فی أنّ الوقف بعد ما تمّ یوجب زوال ملک الواقف عن العین الموقوفة</w:t>
      </w:r>
      <w:r>
        <w:rPr>
          <w:rtl w:val="true"/>
        </w:rPr>
        <w:t>]</w:t>
      </w:r>
      <w:bookmarkEnd w:id="56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الإشکال فی أنّ الوقف بعد ما تمّ یوجب زوال </w:t>
      </w:r>
      <w:r>
        <w:rPr>
          <w:rStyle w:val="FootnoteAnchor"/>
          <w:rtl w:val="true"/>
        </w:rPr>
        <w:footnoteReference w:id="1518"/>
      </w:r>
      <w:r>
        <w:rPr>
          <w:rFonts w:ascii="IRNazanin" w:hAnsi="IRNazanin" w:eastAsia="IRNazanin"/>
          <w:color w:val="111111"/>
          <w:sz w:val="28"/>
          <w:sz w:val="28"/>
          <w:szCs w:val="28"/>
          <w:rtl w:val="true"/>
          <w:lang w:bidi="fa-IR"/>
        </w:rPr>
        <w:t>ملک الواقف عن العین الموقوفة، کما أنّه لا ینبغی الریب فی أنّ الوقف علی الجهات العامّة کالمساجد و المشاهد و القناطر و الخانات المعدّة لنزول القوافل و المقابر و المدارس، و کذا أوقاف المساجد و المشاهد و أشباه ذلک لا یملکها أحد، بل هو فکّ ملک بمنزلة التحریر بالنسبة إلی الرقّیة و تسبیل للمنافع علیٰ جهات معیّنة</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الوقف الخاصّ، کالوقف علی الأولاد، و الوقف العامّ علی العناوین العامّة، کالوقف علی الفقراء و الفقهاء و الطلبة و نحوها، فإن کانت وقف منفعة؛ بأن وقف علیهم لیکون منافع الوقف لهم فیستوفونها بأنفسهم أو بالإجارة أو ببیع الثمرة و غیر ذلک، فالظاهر أنّهم کما یملکون المنافع ملکاً طلقاً یملکون الرقبة أیضاً </w:t>
      </w:r>
      <w:r>
        <w:rPr>
          <w:rStyle w:val="FootnoteAnchor"/>
          <w:rtl w:val="true"/>
        </w:rPr>
        <w:footnoteReference w:id="1519"/>
      </w:r>
      <w:r>
        <w:rPr>
          <w:rFonts w:ascii="IRNazanin" w:hAnsi="IRNazanin" w:eastAsia="IRNazanin"/>
          <w:color w:val="111111"/>
          <w:sz w:val="28"/>
          <w:sz w:val="28"/>
          <w:szCs w:val="28"/>
          <w:rtl w:val="true"/>
          <w:lang w:bidi="fa-IR"/>
        </w:rPr>
        <w:t>ملکاً غیر طلق، و إن کان وقف انتفاع، کما إذا وقف الدار لسکنی ذرّیّته أو الخان لسکنی الفقراء، ففی کونه</w:t>
      </w:r>
      <w:bookmarkStart w:id="5658" w:name="pg1809_19566"/>
    </w:p>
    <w:p>
      <w:pPr>
        <w:pStyle w:val="BookText"/>
        <w:rPr/>
      </w:pPr>
      <w:bookmarkEnd w:id="5658"/>
      <w:r>
        <w:rPr>
          <w:rFonts w:ascii="IRNazanin" w:hAnsi="IRNazanin" w:eastAsia="IRNazanin"/>
          <w:color w:val="111111"/>
          <w:sz w:val="28"/>
          <w:sz w:val="28"/>
          <w:szCs w:val="28"/>
          <w:rtl w:val="true"/>
          <w:lang w:bidi="fa-IR"/>
        </w:rPr>
        <w:t>کوقف المنفعة فیکون ملکاً غیر طلق للموقوف علیهم، أو کالوقف علی الجهات العامّة فلا یملکه أحد، أو الفرق بین الوقف الخاصّ فالأوّل و الوقف العامّ فالثانی، وجوه</w:t>
      </w:r>
      <w:r>
        <w:rPr>
          <w:rFonts w:eastAsia="IRNazanin" w:cs="IRNazanin"/>
          <w:color w:val="111111"/>
          <w:sz w:val="28"/>
          <w:szCs w:val="28"/>
          <w:rtl w:val="true"/>
          <w:lang w:bidi="fa-IR"/>
        </w:rPr>
        <w:t>.</w:t>
      </w:r>
    </w:p>
    <w:p>
      <w:pPr>
        <w:pStyle w:val="Heading4"/>
        <w:numPr>
          <w:ilvl w:val="3"/>
          <w:numId w:val="1"/>
        </w:numPr>
        <w:rPr/>
      </w:pPr>
      <w:bookmarkStart w:id="5659" w:name="__RefHeading___Toc2570112_3650668749"/>
      <w:bookmarkStart w:id="5660" w:name="_Toc2565"/>
      <w:bookmarkEnd w:id="5659"/>
      <w:r>
        <w:rPr>
          <w:rtl w:val="true"/>
        </w:rPr>
        <w:t>[ (</w:t>
      </w:r>
      <w:r>
        <w:rPr>
          <w:rtl w:val="true"/>
        </w:rPr>
        <w:t xml:space="preserve">مسألة </w:t>
      </w:r>
      <w:r>
        <w:rPr/>
        <w:t>68</w:t>
      </w:r>
      <w:r>
        <w:rPr>
          <w:rtl w:val="true"/>
        </w:rPr>
        <w:t xml:space="preserve">): </w:t>
      </w:r>
      <w:r>
        <w:rPr>
          <w:rtl w:val="true"/>
        </w:rPr>
        <w:t>لا یجوز تغییر الوقف و إبطال رسمه و إزالة عنوانه و لو إلیٰ عنوان آخر</w:t>
      </w:r>
      <w:r>
        <w:rPr>
          <w:rtl w:val="true"/>
        </w:rPr>
        <w:t>]</w:t>
      </w:r>
      <w:bookmarkEnd w:id="56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تغییر الوقف و إبطال رسمه و إزالة عنوانه و لو إلیٰ عنوان آخر، کجعل الدار خاناً أو دکّاناً أو بالعکس، نعم إذا کان الوقف وقف منفعة و صار بعنوانه الفعلی مسلوب المنفعة أو قلیلها فی الغایة، لا یبعد جواز تبدیله إلیٰ عنوان آخر ذی منفعة، کما إذا صارت البستان الموقوفة من جهة انقطاع الماء عنها أو لعارض آخر لم ینتفع عنها، بخلاف ما إذا جعلت داراً أو خاناً</w:t>
      </w:r>
      <w:r>
        <w:rPr>
          <w:rFonts w:eastAsia="IRNazanin" w:cs="IRNazanin"/>
          <w:color w:val="111111"/>
          <w:sz w:val="28"/>
          <w:szCs w:val="28"/>
          <w:rtl w:val="true"/>
          <w:lang w:bidi="fa-IR"/>
        </w:rPr>
        <w:t>.</w:t>
      </w:r>
    </w:p>
    <w:p>
      <w:pPr>
        <w:pStyle w:val="Heading4"/>
        <w:numPr>
          <w:ilvl w:val="3"/>
          <w:numId w:val="1"/>
        </w:numPr>
        <w:rPr/>
      </w:pPr>
      <w:bookmarkStart w:id="5661" w:name="__RefHeading___Toc2570114_3650668749"/>
      <w:bookmarkStart w:id="5662" w:name="_Toc2566"/>
      <w:bookmarkEnd w:id="5661"/>
      <w:r>
        <w:rPr>
          <w:rtl w:val="true"/>
        </w:rPr>
        <w:t>[ (</w:t>
      </w:r>
      <w:r>
        <w:rPr>
          <w:rtl w:val="true"/>
        </w:rPr>
        <w:t xml:space="preserve">مسألة </w:t>
      </w:r>
      <w:r>
        <w:rPr/>
        <w:t>69</w:t>
      </w:r>
      <w:r>
        <w:rPr>
          <w:rtl w:val="true"/>
        </w:rPr>
        <w:t xml:space="preserve">): </w:t>
      </w:r>
      <w:r>
        <w:rPr>
          <w:rtl w:val="true"/>
        </w:rPr>
        <w:t>لو خرب الوقف و انهدم و زال عنوانه</w:t>
      </w:r>
      <w:r>
        <w:rPr>
          <w:rtl w:val="true"/>
        </w:rPr>
        <w:t>]</w:t>
      </w:r>
      <w:bookmarkEnd w:id="5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خرب الوقف و انهدم و زال عنوانه، کالبستان انقلعت أو یبست أشجارها و الدار تهدّمت حیطانها و عفت آثارها، فإن أمکن تعمیره و إعادة عنوانه و لو بصرف حاصله الحاصل بالإجارة و نحوها فیه لزم </w:t>
      </w:r>
      <w:r>
        <w:rPr>
          <w:rStyle w:val="FootnoteAnchor"/>
          <w:rtl w:val="true"/>
        </w:rPr>
        <w:footnoteReference w:id="1520"/>
      </w:r>
      <w:r>
        <w:rPr>
          <w:rFonts w:ascii="IRNazanin" w:hAnsi="IRNazanin" w:eastAsia="IRNazanin"/>
          <w:color w:val="111111"/>
          <w:sz w:val="28"/>
          <w:sz w:val="28"/>
          <w:szCs w:val="28"/>
          <w:rtl w:val="true"/>
          <w:lang w:bidi="fa-IR"/>
        </w:rPr>
        <w:t>و تعیّن، و إلّا ففی خروج العرصة عن الوقفیّة و عدمه فیستنمیٰ منها بوجه آخر و لو بزرع و نحوه وجهان بل قولان؛ أقواهما الثانی، و الأحوط أن یجعل وقفاً و یجعل مصرفه و کیفیّاته علیٰ حسب الوقف الأوّل</w:t>
      </w:r>
      <w:r>
        <w:rPr>
          <w:rFonts w:eastAsia="IRNazanin" w:cs="IRNazanin"/>
          <w:color w:val="111111"/>
          <w:sz w:val="28"/>
          <w:szCs w:val="28"/>
          <w:rtl w:val="true"/>
          <w:lang w:bidi="fa-IR"/>
        </w:rPr>
        <w:t>.</w:t>
      </w:r>
    </w:p>
    <w:p>
      <w:pPr>
        <w:pStyle w:val="Heading4"/>
        <w:numPr>
          <w:ilvl w:val="3"/>
          <w:numId w:val="1"/>
        </w:numPr>
        <w:rPr/>
      </w:pPr>
      <w:bookmarkStart w:id="5663" w:name="__RefHeading___Toc2570116_3650668749"/>
      <w:bookmarkStart w:id="5664" w:name="_Toc2567"/>
      <w:bookmarkEnd w:id="5663"/>
      <w:r>
        <w:rPr>
          <w:rtl w:val="true"/>
        </w:rPr>
        <w:t>[ (</w:t>
      </w:r>
      <w:r>
        <w:rPr>
          <w:rtl w:val="true"/>
        </w:rPr>
        <w:t xml:space="preserve">مسألة </w:t>
      </w:r>
      <w:r>
        <w:rPr/>
        <w:t>70</w:t>
      </w:r>
      <w:r>
        <w:rPr>
          <w:rtl w:val="true"/>
        </w:rPr>
        <w:t xml:space="preserve">): </w:t>
      </w:r>
      <w:r>
        <w:rPr>
          <w:rtl w:val="true"/>
        </w:rPr>
        <w:t>إذا احتاجت الأملاک الموقوفة إلیٰ تعمیر و ترمیم و إصلاح لبقائها و الاستنماء بها</w:t>
      </w:r>
      <w:r>
        <w:rPr>
          <w:rtl w:val="true"/>
        </w:rPr>
        <w:t>]</w:t>
      </w:r>
      <w:bookmarkEnd w:id="5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احتاجت الأملاک الموقوفة إلیٰ تعمیر و ترمیم و إصلاح لبقائها و الاستنماء بها، فإن عیّن الواقف لها ما یصرف </w:t>
      </w:r>
      <w:r>
        <w:rPr>
          <w:rStyle w:val="FootnoteAnchor"/>
          <w:rtl w:val="true"/>
        </w:rPr>
        <w:footnoteReference w:id="1521"/>
      </w:r>
      <w:r>
        <w:rPr>
          <w:rFonts w:ascii="IRNazanin" w:hAnsi="IRNazanin" w:eastAsia="IRNazanin"/>
          <w:color w:val="111111"/>
          <w:sz w:val="28"/>
          <w:sz w:val="28"/>
          <w:szCs w:val="28"/>
          <w:rtl w:val="true"/>
          <w:lang w:bidi="fa-IR"/>
        </w:rPr>
        <w:t>فیها فهو، و إلّا یصرف فیها من نمائها مقدّماً علیٰ حقّ الموقوف علیهم، حتّی أنّه إذا توقّف بقاؤها علیٰ بیع بعضها جاز</w:t>
      </w:r>
      <w:r>
        <w:rPr>
          <w:rFonts w:eastAsia="IRNazanin" w:cs="IRNazanin"/>
          <w:color w:val="111111"/>
          <w:sz w:val="28"/>
          <w:szCs w:val="28"/>
          <w:rtl w:val="true"/>
          <w:lang w:bidi="fa-IR"/>
        </w:rPr>
        <w:t>.</w:t>
      </w:r>
    </w:p>
    <w:p>
      <w:pPr>
        <w:pStyle w:val="Heading4"/>
        <w:numPr>
          <w:ilvl w:val="3"/>
          <w:numId w:val="1"/>
        </w:numPr>
        <w:rPr/>
      </w:pPr>
      <w:bookmarkStart w:id="5665" w:name="__RefHeading___Toc2570118_3650668749"/>
      <w:bookmarkStart w:id="5666" w:name="_Toc2568"/>
      <w:bookmarkEnd w:id="5665"/>
      <w:r>
        <w:rPr>
          <w:rtl w:val="true"/>
        </w:rPr>
        <w:t>[ (</w:t>
      </w:r>
      <w:r>
        <w:rPr>
          <w:rtl w:val="true"/>
        </w:rPr>
        <w:t xml:space="preserve">مسألة </w:t>
      </w:r>
      <w:r>
        <w:rPr/>
        <w:t>71</w:t>
      </w:r>
      <w:r>
        <w:rPr>
          <w:rtl w:val="true"/>
        </w:rPr>
        <w:t xml:space="preserve">): </w:t>
      </w:r>
      <w:r>
        <w:rPr>
          <w:rtl w:val="true"/>
        </w:rPr>
        <w:t>الأوقاف علی الجهات العامّة التی قد مرّ أنّه لا یملکها أحد</w:t>
      </w:r>
      <w:r>
        <w:rPr>
          <w:rtl w:val="true"/>
        </w:rPr>
        <w:t>]</w:t>
      </w:r>
      <w:bookmarkEnd w:id="5666"/>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الأوقاف علی الجهات العامّة التی قد مرّ أنّه لا یملکها أحد کالمساجد و المشاهد و المدارس و المقابر و القناطر و نحوها لا یجوز بیعها بلا إشکال </w:t>
      </w:r>
      <w:r>
        <w:rPr>
          <w:rStyle w:val="FootnoteAnchor"/>
          <w:rtl w:val="true"/>
        </w:rPr>
        <w:footnoteReference w:id="1522"/>
      </w:r>
      <w:r>
        <w:rPr>
          <w:rFonts w:ascii="IRNazanin" w:hAnsi="IRNazanin" w:eastAsia="IRNazanin"/>
          <w:color w:val="111111"/>
          <w:sz w:val="28"/>
          <w:sz w:val="28"/>
          <w:szCs w:val="28"/>
          <w:rtl w:val="true"/>
          <w:lang w:bidi="fa-IR"/>
        </w:rPr>
        <w:t>، و إن آل إلیٰ ما آل، حتّی عند خرابها و اندراسها بحیث لا یرجی الانتفاع بها فی الجهة المقصودة أصلًا بل تبقیٰ علیٰ حالها، فلو خرب المسجد و خربت القریة التی هو فیها و انقطعت المارّة عن الطریق الذی یسلک إلیه لم یجز بیعه و صرف ثمنه فی إحداث مسجد آخر أو تعمیره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أعیان هذه الأوقاف، و أمّا ما یتعلّق بها من الآلات و الفرش و الحیوانات و ثیاب الضرائح و أشباه ذلک فما دام یمکن الانتفاع بها باقیة علیٰ حالها لا یجوز بیعها، فإن أمکن</w:t>
      </w:r>
      <w:bookmarkStart w:id="5667" w:name="pg1809_19567"/>
    </w:p>
    <w:p>
      <w:pPr>
        <w:pStyle w:val="BookText"/>
        <w:rPr/>
      </w:pPr>
      <w:bookmarkEnd w:id="5667"/>
      <w:r>
        <w:rPr>
          <w:rFonts w:ascii="IRNazanin" w:hAnsi="IRNazanin" w:eastAsia="IRNazanin"/>
          <w:color w:val="111111"/>
          <w:sz w:val="28"/>
          <w:sz w:val="28"/>
          <w:szCs w:val="28"/>
          <w:rtl w:val="true"/>
          <w:lang w:bidi="fa-IR"/>
        </w:rPr>
        <w:t>الانتفاع بها فی المحلّ الذی أُعدّت له و لو بغیر ذلک الانتفاع الذی أُعدّت له بقیت علیٰ حالها فی ذلک المحلّ، فالفرش المتعلّقة بمسجد أو مشهد إذا أمکن الانتفاع بها فی ذلک المحلّ، بقیت علیٰ حالها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استغناء المحلّ عن الافتراش بالمرّة لکن یحتاج إلیٰ ستر یقی أهله من الحرّ أو البرد تجعل ستراً لذلک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استغناء المحلّ عنها بالمرّة بحیث لا یترتّب علیٰ إمساکها و إبقائها فیه إلّا الضیاع و الضرر و التلف، تجعل فی محلّ آخر مماثل له؛ بأن تجعل ما للمسجد لمسجد آخر، و ما للمشهد لمشهد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المماثل، أو استغنیٰ عنها بالمرّة جعلت فی المصالح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أمکن الانتفاع بها باقیة علیٰ حالها، و أمّا لو فرض أنّه لا یمکن الانتفاع بها إلّا ببیعها و کانت بحیث لو بقیت علیٰ حالها ضاعت و تلفت، بیعت و صرف ثمنها فی ذلک المحلّ إن احتاج إلیه، و إلّا ففی المماثل، ثمّ المصالح حسب ما مرّ</w:t>
      </w:r>
      <w:r>
        <w:rPr>
          <w:rFonts w:eastAsia="IRNazanin" w:cs="IRNazanin"/>
          <w:color w:val="111111"/>
          <w:sz w:val="28"/>
          <w:szCs w:val="28"/>
          <w:rtl w:val="true"/>
          <w:lang w:bidi="fa-IR"/>
        </w:rPr>
        <w:t>.</w:t>
      </w:r>
    </w:p>
    <w:p>
      <w:pPr>
        <w:pStyle w:val="Heading4"/>
        <w:numPr>
          <w:ilvl w:val="3"/>
          <w:numId w:val="1"/>
        </w:numPr>
        <w:rPr/>
      </w:pPr>
      <w:bookmarkStart w:id="5668" w:name="__RefHeading___Toc2570120_3650668749"/>
      <w:bookmarkStart w:id="5669" w:name="_Toc2569"/>
      <w:bookmarkEnd w:id="5668"/>
      <w:r>
        <w:rPr>
          <w:rtl w:val="true"/>
        </w:rPr>
        <w:t>[ (</w:t>
      </w:r>
      <w:r>
        <w:rPr>
          <w:rtl w:val="true"/>
        </w:rPr>
        <w:t xml:space="preserve">مسألة </w:t>
      </w:r>
      <w:r>
        <w:rPr/>
        <w:t>72</w:t>
      </w:r>
      <w:r>
        <w:rPr>
          <w:rtl w:val="true"/>
        </w:rPr>
        <w:t xml:space="preserve">): </w:t>
      </w:r>
      <w:r>
        <w:rPr>
          <w:rtl w:val="true"/>
        </w:rPr>
        <w:t>کما لا یجوز بیع تلک الأوقاف، الظاهر أنّه لا یجوز إجارتها</w:t>
      </w:r>
      <w:r>
        <w:rPr>
          <w:rtl w:val="true"/>
        </w:rPr>
        <w:t>]</w:t>
      </w:r>
      <w:bookmarkEnd w:id="5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یجوز بیع تلک الأوقاف، الظاهر أنّه لا یجوز إجارتها، و لو غصبها غاصب و استوفی منها غیر تلک المنافع المقصودة منها کما إذا جعل المسجد أو المدرسة بیت المسکن أو محرزاً لم یکن علیه اجرة </w:t>
      </w:r>
      <w:r>
        <w:rPr>
          <w:rStyle w:val="FootnoteAnchor"/>
          <w:rtl w:val="true"/>
        </w:rPr>
        <w:footnoteReference w:id="1523"/>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أتلف أعیانها متلف، الظاهر ضمانه فیؤخذ منه القیمة و تصرف فی بدل التالف و مثله</w:t>
      </w:r>
      <w:r>
        <w:rPr>
          <w:rFonts w:eastAsia="IRNazanin" w:cs="IRNazanin"/>
          <w:color w:val="111111"/>
          <w:sz w:val="28"/>
          <w:szCs w:val="28"/>
          <w:rtl w:val="true"/>
          <w:lang w:bidi="fa-IR"/>
        </w:rPr>
        <w:t>.</w:t>
      </w:r>
    </w:p>
    <w:p>
      <w:pPr>
        <w:pStyle w:val="Heading4"/>
        <w:numPr>
          <w:ilvl w:val="3"/>
          <w:numId w:val="1"/>
        </w:numPr>
        <w:rPr/>
      </w:pPr>
      <w:bookmarkStart w:id="5670" w:name="__RefHeading___Toc2570122_3650668749"/>
      <w:bookmarkStart w:id="5671" w:name="_Toc2570"/>
      <w:bookmarkEnd w:id="5670"/>
      <w:r>
        <w:rPr>
          <w:rtl w:val="true"/>
        </w:rPr>
        <w:t>[ (</w:t>
      </w:r>
      <w:r>
        <w:rPr>
          <w:rtl w:val="true"/>
        </w:rPr>
        <w:t xml:space="preserve">مسألة </w:t>
      </w:r>
      <w:r>
        <w:rPr/>
        <w:t>73</w:t>
      </w:r>
      <w:r>
        <w:rPr>
          <w:rtl w:val="true"/>
        </w:rPr>
        <w:t xml:space="preserve">): </w:t>
      </w:r>
      <w:r>
        <w:rPr>
          <w:rtl w:val="true"/>
        </w:rPr>
        <w:t>الأوقاف الخاصّة کالوقف علی الأولاد</w:t>
      </w:r>
      <w:r>
        <w:rPr>
          <w:rtl w:val="true"/>
        </w:rPr>
        <w:t>]</w:t>
      </w:r>
      <w:bookmarkEnd w:id="56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الأوقاف الخاصّة کالوقف علی الأولاد، و الأوقاف العامّة التی کانت علی العناوین العامّة کالفقراء و إن کانت ملکاً للموقوف علیهم کما مرّ </w:t>
      </w:r>
      <w:r>
        <w:rPr>
          <w:rStyle w:val="FootnoteAnchor"/>
          <w:rtl w:val="true"/>
        </w:rPr>
        <w:footnoteReference w:id="1524"/>
      </w:r>
      <w:r>
        <w:rPr>
          <w:rFonts w:ascii="IRNazanin" w:hAnsi="IRNazanin" w:eastAsia="IRNazanin"/>
          <w:color w:val="111111"/>
          <w:sz w:val="28"/>
          <w:sz w:val="28"/>
          <w:szCs w:val="28"/>
          <w:rtl w:val="true"/>
          <w:lang w:bidi="fa-IR"/>
        </w:rPr>
        <w:t>، لکنّها لیست ملکاً طلقاً لهم حتّی یجوز لهم بیعها و نقلها بأحد النواقل متی شاؤوا و أرادوا کسائر أملاکهم، و إنّما یجوز لهم ذلک لعروض بعض العوارض و طروّ بعض الطوارئ و هی أُمور</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خربت بحیث لا یمکن إعادتها إلیٰ حالتها الاولیٰ و لا الانتفاع بها إلّا ببیعها، فینتفع بثمنها کالحیوان المذبوح و الجذع البالی و الحصیر الخلق، فتباع و یشتری بثمنها ما ینتفع به الموقوف علیهم، و الأحوط لو لم یکن الأقویٰ مراعاة الأقرب فالأقرب إلی العین الموقوفة</w:t>
      </w:r>
      <w:r>
        <w:rPr>
          <w:rFonts w:eastAsia="IRNazanin" w:cs="IRNazanin"/>
          <w:color w:val="111111"/>
          <w:sz w:val="28"/>
          <w:szCs w:val="28"/>
          <w:rtl w:val="true"/>
          <w:lang w:bidi="fa-IR"/>
        </w:rPr>
        <w:t>.</w:t>
      </w:r>
      <w:bookmarkStart w:id="5672" w:name="pg1809_19568"/>
    </w:p>
    <w:p>
      <w:pPr>
        <w:pStyle w:val="BookText"/>
        <w:rPr/>
      </w:pPr>
      <w:bookmarkEnd w:id="5672"/>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یسقط بسبب الخراب أو غیره عن الانتفاع المعتدّ به </w:t>
      </w:r>
      <w:r>
        <w:rPr>
          <w:rStyle w:val="FootnoteAnchor"/>
          <w:rtl w:val="true"/>
        </w:rPr>
        <w:footnoteReference w:id="1525"/>
      </w:r>
      <w:r>
        <w:rPr>
          <w:rFonts w:ascii="IRNazanin" w:hAnsi="IRNazanin" w:eastAsia="IRNazanin"/>
          <w:color w:val="111111"/>
          <w:sz w:val="28"/>
          <w:sz w:val="28"/>
          <w:szCs w:val="28"/>
          <w:rtl w:val="true"/>
          <w:lang w:bidi="fa-IR"/>
        </w:rPr>
        <w:t>بحیث کان الانتفاع به بحکم العدم بالنسبة إلیٰ منفعة أمثال العین الموقوفة، کما إذا انهدمت الدار و اندرست البستان فصارت عرصة لا یمکن الانتفاع بها إلّا بمقدار جزئی جدّاً یکون بحکم العدم بالنسبة إلیهما، لکن إذا بیعت یمکن أن یشتری بثمنها دار أو بستان أُخری أو ملک آخر تکون منفعتها تساوی منفعة الدار و البستان أو تقرب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أنّه علیٰ تقدیر بیع العرصة لا یشتری بثمنها إلّا ما یکون منفعتها بمقدار منفعتها باقیة علیٰ حالها لم یجز بیعها بل تبقیٰ علیٰ حالها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إذا علم أو ظنّ أنّه یؤدّی </w:t>
      </w:r>
      <w:r>
        <w:rPr>
          <w:rStyle w:val="FootnoteAnchor"/>
          <w:rtl w:val="true"/>
        </w:rPr>
        <w:footnoteReference w:id="1526"/>
      </w:r>
      <w:r>
        <w:rPr>
          <w:rFonts w:ascii="IRNazanin" w:hAnsi="IRNazanin" w:eastAsia="IRNazanin"/>
          <w:color w:val="111111"/>
          <w:sz w:val="28"/>
          <w:sz w:val="28"/>
          <w:szCs w:val="28"/>
          <w:rtl w:val="true"/>
          <w:lang w:bidi="fa-IR"/>
        </w:rPr>
        <w:t>بقاؤه إلیٰ خرابه علیٰ وجه لا ینتفع بها أصلًا، أو ینتفع به قلیلًا ملحقاً بالعدم؛ سواء کان ذلک بسبب الاختلاف الواقع بین أربابه أو لأمر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اشترط الواقف فی وقفه أن یباع عند حدوث أمر، مثل قلّة المنفعة أو کثرة الخراج أو المخارج أو وقوع الاختلاف بین أربابه أو حصول ضرورة أو حاجة لهم أو غیر ذلک، فإنّه لا مانع حینئذٍ من بیعه عند حدوث ذلک الأمر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وقع بین أرباب الوقف اختلاف شدید؛ لا یؤمن معه من تلف الأموال و النفوس، و لا ینحسم ذلک إلّا ببیعه، فیجوز حینئذٍ بیعه و تقسیم ثمنه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أنّه یرتفع الاختلاف بمجرّد بیعه و صرف الثمن فی شراء عین اخریٰ لهم، أو تبدیل العین الموقوفة بعین اخریٰ تعیّن ذلک، فیشتریٰ بالثمن عیناً أُخری أو یبدّل بملک آخر، فیجعل وقفاً و یبقی لسائر البطون و الطبقات</w:t>
      </w:r>
      <w:r>
        <w:rPr>
          <w:rFonts w:eastAsia="IRNazanin" w:cs="IRNazanin"/>
          <w:color w:val="111111"/>
          <w:sz w:val="28"/>
          <w:szCs w:val="28"/>
          <w:rtl w:val="true"/>
          <w:lang w:bidi="fa-IR"/>
        </w:rPr>
        <w:t>.</w:t>
      </w:r>
    </w:p>
    <w:p>
      <w:pPr>
        <w:pStyle w:val="Heading4"/>
        <w:numPr>
          <w:ilvl w:val="3"/>
          <w:numId w:val="1"/>
        </w:numPr>
        <w:rPr/>
      </w:pPr>
      <w:bookmarkStart w:id="5673" w:name="__RefHeading___Toc2570124_3650668749"/>
      <w:bookmarkStart w:id="5674" w:name="_Toc2571"/>
      <w:bookmarkEnd w:id="5673"/>
      <w:r>
        <w:rPr>
          <w:rtl w:val="true"/>
        </w:rPr>
        <w:t>[ (</w:t>
      </w:r>
      <w:r>
        <w:rPr>
          <w:rtl w:val="true"/>
        </w:rPr>
        <w:t xml:space="preserve">مسألة </w:t>
      </w:r>
      <w:r>
        <w:rPr/>
        <w:t>74</w:t>
      </w:r>
      <w:r>
        <w:rPr>
          <w:rtl w:val="true"/>
        </w:rPr>
        <w:t xml:space="preserve">): </w:t>
      </w:r>
      <w:r>
        <w:rPr>
          <w:rtl w:val="true"/>
        </w:rPr>
        <w:t>لا إشکال فی جواز إجارة ما وقف وقف منفعة</w:t>
      </w:r>
      <w:r>
        <w:rPr>
          <w:rtl w:val="true"/>
        </w:rPr>
        <w:t>]</w:t>
      </w:r>
      <w:bookmarkEnd w:id="5674"/>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إجارة ما وقف وقف منفعة؛ سواء کان وقفاً خاصّاً أو عامّاً کالدکاکین و المزارع و الخانات الموقوفة علی الأولاد أو الفقراء أو الجهات و المصالح العامّة؛ حیث إنّ المقصود استنماؤها بإجارة و نحوها و وصول نفعها و نمائها إلی الموقوف علیهم، بخلاف ما کان وقف انتفاع کالدار الموقوفة علیٰ سکنی الذرّیّة</w:t>
      </w:r>
      <w:bookmarkStart w:id="5675" w:name="pg1809_19569"/>
    </w:p>
    <w:p>
      <w:pPr>
        <w:pStyle w:val="BookText"/>
        <w:rPr/>
      </w:pPr>
      <w:bookmarkEnd w:id="5675"/>
      <w:r>
        <w:rPr>
          <w:rFonts w:ascii="IRNazanin" w:hAnsi="IRNazanin" w:eastAsia="IRNazanin"/>
          <w:color w:val="111111"/>
          <w:sz w:val="28"/>
          <w:sz w:val="28"/>
          <w:szCs w:val="28"/>
          <w:rtl w:val="true"/>
          <w:lang w:bidi="fa-IR"/>
        </w:rPr>
        <w:t>و کالمدرسة و المقبرة و القنطرة و الخانات الموقوفة لنزول المارّة، فإنّ الظاهر عدم جواز إجارتها فی حال من الأحوال</w:t>
      </w:r>
      <w:r>
        <w:rPr>
          <w:rFonts w:eastAsia="IRNazanin" w:cs="IRNazanin"/>
          <w:color w:val="111111"/>
          <w:sz w:val="28"/>
          <w:szCs w:val="28"/>
          <w:rtl w:val="true"/>
          <w:lang w:bidi="fa-IR"/>
        </w:rPr>
        <w:t>.</w:t>
      </w:r>
    </w:p>
    <w:p>
      <w:pPr>
        <w:pStyle w:val="Heading4"/>
        <w:numPr>
          <w:ilvl w:val="3"/>
          <w:numId w:val="1"/>
        </w:numPr>
        <w:rPr/>
      </w:pPr>
      <w:bookmarkStart w:id="5676" w:name="__RefHeading___Toc2570126_3650668749"/>
      <w:bookmarkStart w:id="5677" w:name="_Toc2572"/>
      <w:bookmarkEnd w:id="5676"/>
      <w:r>
        <w:rPr>
          <w:rtl w:val="true"/>
        </w:rPr>
        <w:t>[ (</w:t>
      </w:r>
      <w:r>
        <w:rPr>
          <w:rtl w:val="true"/>
        </w:rPr>
        <w:t xml:space="preserve">مسألة </w:t>
      </w:r>
      <w:r>
        <w:rPr/>
        <w:t>75</w:t>
      </w:r>
      <w:r>
        <w:rPr>
          <w:rtl w:val="true"/>
        </w:rPr>
        <w:t xml:space="preserve">): </w:t>
      </w:r>
      <w:r>
        <w:rPr>
          <w:rtl w:val="true"/>
        </w:rPr>
        <w:t>إذا خرب بعض الوقف بحیث جاز بیعه</w:t>
      </w:r>
      <w:r>
        <w:rPr>
          <w:rtl w:val="true"/>
        </w:rPr>
        <w:t>]</w:t>
      </w:r>
      <w:bookmarkEnd w:id="5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خرب بعض الوقف بحیث جاز بیعه، و احتاج بعضه الآخر إلیٰ تعمیر و لو لأجل توفیر المنفعة، لا یبعد </w:t>
      </w:r>
      <w:r>
        <w:rPr>
          <w:rStyle w:val="FootnoteAnchor"/>
          <w:rtl w:val="true"/>
        </w:rPr>
        <w:footnoteReference w:id="1527"/>
      </w:r>
      <w:r>
        <w:rPr>
          <w:rFonts w:ascii="IRNazanin" w:hAnsi="IRNazanin" w:eastAsia="IRNazanin"/>
          <w:color w:val="111111"/>
          <w:sz w:val="28"/>
          <w:sz w:val="28"/>
          <w:szCs w:val="28"/>
          <w:rtl w:val="true"/>
          <w:lang w:bidi="fa-IR"/>
        </w:rPr>
        <w:t>أن یکون الأولیٰ بل الأحوط أن یصرف ثمن البعض الخراب فی تعمیر البعض الآخر</w:t>
      </w:r>
      <w:r>
        <w:rPr>
          <w:rFonts w:eastAsia="IRNazanin" w:cs="IRNazanin"/>
          <w:color w:val="111111"/>
          <w:sz w:val="28"/>
          <w:szCs w:val="28"/>
          <w:rtl w:val="true"/>
          <w:lang w:bidi="fa-IR"/>
        </w:rPr>
        <w:t>.</w:t>
      </w:r>
    </w:p>
    <w:p>
      <w:pPr>
        <w:pStyle w:val="Heading4"/>
        <w:numPr>
          <w:ilvl w:val="3"/>
          <w:numId w:val="1"/>
        </w:numPr>
        <w:rPr/>
      </w:pPr>
      <w:bookmarkStart w:id="5678" w:name="__RefHeading___Toc2570128_3650668749"/>
      <w:bookmarkStart w:id="5679" w:name="_Toc2573"/>
      <w:bookmarkEnd w:id="5678"/>
      <w:r>
        <w:rPr>
          <w:rtl w:val="true"/>
        </w:rPr>
        <w:t>[ (</w:t>
      </w:r>
      <w:r>
        <w:rPr>
          <w:rtl w:val="true"/>
        </w:rPr>
        <w:t xml:space="preserve">مسألة </w:t>
      </w:r>
      <w:r>
        <w:rPr/>
        <w:t>76</w:t>
      </w:r>
      <w:r>
        <w:rPr>
          <w:rtl w:val="true"/>
        </w:rPr>
        <w:t xml:space="preserve">): </w:t>
      </w:r>
      <w:r>
        <w:rPr>
          <w:rtl w:val="true"/>
        </w:rPr>
        <w:t>لا إشکال فی جواز قسمة الوقف عن الملک الطلق فیما إذا کانت العین مشترکة بین الوقف و الطلق</w:t>
      </w:r>
      <w:r>
        <w:rPr>
          <w:rtl w:val="true"/>
        </w:rPr>
        <w:t>]</w:t>
      </w:r>
      <w:bookmarkEnd w:id="5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قسمة الوقف عن الملک الطلق فیما إذا کانت العین مشترکة بین الوقف و الطلق، فیتصدّیها مالک الطلق مع متولّی الوقف أو الموقوف علیهم، بل الظاهر جواز قسمة الوقف أیضاً لو تعدّد الوقف و الموقوف علیه، کما إذا کانت دار مشترکة بین شخصین فوقف کلّ منهما حصّته علیٰ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جوازها فیما إذا تعدّد الوقف و الموقوف علیه مع اتّحاد الواقف، کما إذا وقف نصف داره مشاعاً علیٰ مسجد و النصف الآخر علیٰ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قسمته بین أربابه إذا اتّحد الوقف و الواقف مع کون الموقوف علیهم بطوناً متلاحقة، نعم لو وقع خلف بین أربابه بما جاز معه بیع الوقف و لا ینحسم ذلک الاختلاف إلّا بالقسمة جازت علی الأقویٰ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80" w:name="__RefHeading___Toc2570130_3650668749"/>
      <w:bookmarkStart w:id="5681" w:name="_Toc2574"/>
      <w:bookmarkEnd w:id="5680"/>
      <w:r>
        <w:rPr>
          <w:rtl w:val="true"/>
        </w:rPr>
        <w:t>[ (</w:t>
      </w:r>
      <w:r>
        <w:rPr>
          <w:rtl w:val="true"/>
        </w:rPr>
        <w:t xml:space="preserve">مسألة </w:t>
      </w:r>
      <w:r>
        <w:rPr/>
        <w:t>77</w:t>
      </w:r>
      <w:r>
        <w:rPr>
          <w:rtl w:val="true"/>
        </w:rPr>
        <w:t xml:space="preserve">): </w:t>
      </w:r>
      <w:r>
        <w:rPr>
          <w:rtl w:val="true"/>
        </w:rPr>
        <w:t>لو آجر الوقف البطن الأوّل و انقرضوا قبل انقضاء مدّة الإجارة</w:t>
      </w:r>
      <w:r>
        <w:rPr>
          <w:rtl w:val="true"/>
        </w:rPr>
        <w:t>]</w:t>
      </w:r>
      <w:bookmarkEnd w:id="5681"/>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آجر الوقف البطن الأوّل و انقرضوا قبل انقضاء مدّة الإجارة، بطلت بالنسبة إلیٰ بقیّة المدّة، و فی صحّتها بإجازة البطن اللاحق إشکال </w:t>
      </w:r>
      <w:r>
        <w:rPr>
          <w:rStyle w:val="FootnoteAnchor"/>
          <w:rtl w:val="true"/>
        </w:rPr>
        <w:footnoteReference w:id="1529"/>
      </w:r>
      <w:r>
        <w:rPr>
          <w:rFonts w:ascii="IRNazanin" w:hAnsi="IRNazanin" w:eastAsia="IRNazanin"/>
          <w:color w:val="111111"/>
          <w:sz w:val="28"/>
          <w:sz w:val="28"/>
          <w:szCs w:val="28"/>
          <w:rtl w:val="true"/>
          <w:lang w:bidi="fa-IR"/>
        </w:rPr>
        <w:t>، فالأحوط تجدید الإجارة منهم لو أرادوا بقاءها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آجر البطن الأوّل، و أمّا لو آجر المتولّی، فإن لاحظ فی ذلک مصلحة الوقف، صحّت و نفذت بالنسبة إلیٰ سائر البطون، و أمّا لو کانت لأجل</w:t>
      </w:r>
      <w:bookmarkStart w:id="5682" w:name="pg1809_19570"/>
    </w:p>
    <w:p>
      <w:pPr>
        <w:pStyle w:val="BookText"/>
        <w:rPr/>
      </w:pPr>
      <w:bookmarkEnd w:id="5682"/>
      <w:r>
        <w:rPr>
          <w:rFonts w:ascii="IRNazanin" w:hAnsi="IRNazanin" w:eastAsia="IRNazanin"/>
          <w:color w:val="111111"/>
          <w:sz w:val="28"/>
          <w:sz w:val="28"/>
          <w:szCs w:val="28"/>
          <w:rtl w:val="true"/>
          <w:lang w:bidi="fa-IR"/>
        </w:rPr>
        <w:t xml:space="preserve">مراعاة البطن اللاحق دون أصل الوقف، فنفوذها بالنسبة إلیهم بدون إجازتهم لا یخلو من إشکال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83" w:name="__RefHeading___Toc2570132_3650668749"/>
      <w:bookmarkStart w:id="5684" w:name="_Toc2575"/>
      <w:bookmarkEnd w:id="5683"/>
      <w:r>
        <w:rPr>
          <w:rtl w:val="true"/>
        </w:rPr>
        <w:t>[ (</w:t>
      </w:r>
      <w:r>
        <w:rPr>
          <w:rtl w:val="true"/>
        </w:rPr>
        <w:t xml:space="preserve">مسألة </w:t>
      </w:r>
      <w:r>
        <w:rPr/>
        <w:t>78</w:t>
      </w:r>
      <w:r>
        <w:rPr>
          <w:rtl w:val="true"/>
        </w:rPr>
        <w:t xml:space="preserve">): </w:t>
      </w:r>
      <w:r>
        <w:rPr>
          <w:rtl w:val="true"/>
        </w:rPr>
        <w:t>یجوز للواقف أن یجعل تولیة الوقف و نظارته لنفسه</w:t>
      </w:r>
      <w:r>
        <w:rPr>
          <w:rtl w:val="true"/>
        </w:rPr>
        <w:t>]</w:t>
      </w:r>
      <w:bookmarkEnd w:id="5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للواقف أن یجعل تولیة الوقف و نظارته لنفسه؛ دائماً أو إلیٰ مدّة، مستقلا أو مشترکاً مع غیره، و کذا یجوز جعلها للغیر کذلک، بل یجوز أن یجعل أمر التولیة بید شخص؛ بأن یکون المتولّی کلّ من یعیّنه ذلک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أن یجعل التولیة لشخص و یجعل أمر تعیین المتولّی بعده بیده، و هکذا کلّ متولٍّ یعیّن المتولّی بعده</w:t>
      </w:r>
      <w:r>
        <w:rPr>
          <w:rFonts w:eastAsia="IRNazanin" w:cs="IRNazanin"/>
          <w:color w:val="111111"/>
          <w:sz w:val="28"/>
          <w:szCs w:val="28"/>
          <w:rtl w:val="true"/>
          <w:lang w:bidi="fa-IR"/>
        </w:rPr>
        <w:t>.</w:t>
      </w:r>
    </w:p>
    <w:p>
      <w:pPr>
        <w:pStyle w:val="Heading4"/>
        <w:numPr>
          <w:ilvl w:val="3"/>
          <w:numId w:val="1"/>
        </w:numPr>
        <w:rPr/>
      </w:pPr>
      <w:bookmarkStart w:id="5685" w:name="__RefHeading___Toc2570134_3650668749"/>
      <w:bookmarkStart w:id="5686" w:name="_Toc2576"/>
      <w:bookmarkEnd w:id="5685"/>
      <w:r>
        <w:rPr>
          <w:rtl w:val="true"/>
        </w:rPr>
        <w:t>[ (</w:t>
      </w:r>
      <w:r>
        <w:rPr>
          <w:rtl w:val="true"/>
        </w:rPr>
        <w:t xml:space="preserve">مسألة </w:t>
      </w:r>
      <w:r>
        <w:rPr/>
        <w:t>79</w:t>
      </w:r>
      <w:r>
        <w:rPr>
          <w:rtl w:val="true"/>
        </w:rPr>
        <w:t xml:space="preserve">): </w:t>
      </w:r>
      <w:r>
        <w:rPr>
          <w:rtl w:val="true"/>
        </w:rPr>
        <w:t>إنّما یکون للواقف جعل التولیة لنفسه أو لغیره حین إیقاع الوقف</w:t>
      </w:r>
      <w:r>
        <w:rPr>
          <w:rtl w:val="true"/>
        </w:rPr>
        <w:t>]</w:t>
      </w:r>
      <w:bookmarkEnd w:id="56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للواقف جعل التولیة لنفسه أو لغیره حین إیقاع الوقف و فی ضمن عقده، و أمّا بعد تمامه فهو أجنبیّ عن الوقف، فلیس له جعل التولیة لأحد و لا عزل من جعله متولّیاً عن التولیة إلّا إذا اشترط لنفسه ذلک؛ بأن جعل التولیة لشخص و شرط أنّه متی أراد أن یعزله عزله</w:t>
      </w:r>
      <w:r>
        <w:rPr>
          <w:rFonts w:eastAsia="IRNazanin" w:cs="IRNazanin"/>
          <w:color w:val="111111"/>
          <w:sz w:val="28"/>
          <w:szCs w:val="28"/>
          <w:rtl w:val="true"/>
          <w:lang w:bidi="fa-IR"/>
        </w:rPr>
        <w:t>.</w:t>
      </w:r>
    </w:p>
    <w:p>
      <w:pPr>
        <w:pStyle w:val="Heading4"/>
        <w:numPr>
          <w:ilvl w:val="3"/>
          <w:numId w:val="1"/>
        </w:numPr>
        <w:rPr/>
      </w:pPr>
      <w:bookmarkStart w:id="5687" w:name="__RefHeading___Toc2570136_3650668749"/>
      <w:bookmarkStart w:id="5688" w:name="_Toc2577"/>
      <w:bookmarkEnd w:id="5687"/>
      <w:r>
        <w:rPr>
          <w:rtl w:val="true"/>
        </w:rPr>
        <w:t>[ (</w:t>
      </w:r>
      <w:r>
        <w:rPr>
          <w:rtl w:val="true"/>
        </w:rPr>
        <w:t xml:space="preserve">مسألة </w:t>
      </w:r>
      <w:r>
        <w:rPr/>
        <w:t>80</w:t>
      </w:r>
      <w:r>
        <w:rPr>
          <w:rtl w:val="true"/>
        </w:rPr>
        <w:t xml:space="preserve">): </w:t>
      </w:r>
      <w:r>
        <w:rPr>
          <w:rtl w:val="true"/>
        </w:rPr>
        <w:t>لا إشکال فی عدم اعتبار العدالة فیما إذا جعل التولیة و النظر لنفسه</w:t>
      </w:r>
      <w:r>
        <w:rPr>
          <w:rtl w:val="true"/>
        </w:rPr>
        <w:t>]</w:t>
      </w:r>
      <w:bookmarkEnd w:id="5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عدم اعتبار العدالة فیما إذا جعل التولیة و النظر لنفسه، و فی اعتبارها فیما إذا جعل النظر لغیره قولان، أقواهما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أنّه یعتبر فیه الأمانة و الکفایة، فلا یجوز جعل التولیة خصوصاً فی الجهات و المصالح العامّة لمن کان خائناً غیر موثوق به، و کذا من لیس له الکفایة فی تولیة أُمور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یقوی اعتبار التمیّز و العقل فیه، فلا یصحّ تولیة المجنون و الصبیّ الغیر الممیّز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89" w:name="__RefHeading___Toc2570138_3650668749"/>
      <w:bookmarkStart w:id="5690" w:name="_Toc2578"/>
      <w:bookmarkEnd w:id="5689"/>
      <w:r>
        <w:rPr>
          <w:rtl w:val="true"/>
        </w:rPr>
        <w:t>[ (</w:t>
      </w:r>
      <w:r>
        <w:rPr>
          <w:rtl w:val="true"/>
        </w:rPr>
        <w:t xml:space="preserve">مسألة </w:t>
      </w:r>
      <w:r>
        <w:rPr/>
        <w:t>81</w:t>
      </w:r>
      <w:r>
        <w:rPr>
          <w:rtl w:val="true"/>
        </w:rPr>
        <w:t xml:space="preserve">): </w:t>
      </w:r>
      <w:r>
        <w:rPr>
          <w:rtl w:val="true"/>
        </w:rPr>
        <w:t>لو جعل التولیة لشخص لم یجب علیه القبول</w:t>
      </w:r>
      <w:r>
        <w:rPr>
          <w:rtl w:val="true"/>
        </w:rPr>
        <w:t>]</w:t>
      </w:r>
      <w:bookmarkEnd w:id="5690"/>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التولیة لشخص لم یجب علیه القبول؛ سواء کان حاضراً فی مجلس العقد أو لم یکن حاضراً فیه ثمّ بلغ إلیه الخبر و لو بعد وفاة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جعل التولیة لأشخاص علی الترتیب و قبل بعضهم لم یجب القبول علی المتولّین بعده، فمع عدم القبول کان الوقف بلا متولٍّ منصوب، و لو قبل التولیة فهل یجوز له عزل نفسه بعد ذلک کالوکیل أم لا؟ قولان، لا یترک الاحتیاط؛ بأن لا یرفع الید عن الأمر و لا یعزل نفسه، و لو عزل یقوم بوظائفه مع المراجعة إلی الحاکم</w:t>
      </w:r>
      <w:r>
        <w:rPr>
          <w:rFonts w:eastAsia="IRNazanin" w:cs="IRNazanin"/>
          <w:color w:val="111111"/>
          <w:sz w:val="28"/>
          <w:szCs w:val="28"/>
          <w:rtl w:val="true"/>
          <w:lang w:bidi="fa-IR"/>
        </w:rPr>
        <w:t>.</w:t>
      </w:r>
      <w:bookmarkStart w:id="5691" w:name="pg1809_19571"/>
    </w:p>
    <w:p>
      <w:pPr>
        <w:pStyle w:val="Heading4"/>
        <w:numPr>
          <w:ilvl w:val="3"/>
          <w:numId w:val="1"/>
        </w:numPr>
        <w:rPr/>
      </w:pPr>
      <w:bookmarkStart w:id="5692" w:name="__RefHeading___Toc2570140_3650668749"/>
      <w:bookmarkStart w:id="5693" w:name="_Toc2579"/>
      <w:bookmarkEnd w:id="5691"/>
      <w:bookmarkEnd w:id="5692"/>
      <w:r>
        <w:rPr>
          <w:rtl w:val="true"/>
        </w:rPr>
        <w:t>[ (</w:t>
      </w:r>
      <w:r>
        <w:rPr>
          <w:rtl w:val="true"/>
        </w:rPr>
        <w:t xml:space="preserve">مسألة </w:t>
      </w:r>
      <w:r>
        <w:rPr/>
        <w:t>82</w:t>
      </w:r>
      <w:r>
        <w:rPr>
          <w:rtl w:val="true"/>
        </w:rPr>
        <w:t xml:space="preserve">): </w:t>
      </w:r>
      <w:r>
        <w:rPr>
          <w:rtl w:val="true"/>
        </w:rPr>
        <w:t>لو شرط التولیة لاثنین، فإن صرّح باستقلال کلّ منهما استقلّ</w:t>
      </w:r>
      <w:r>
        <w:rPr>
          <w:rtl w:val="true"/>
        </w:rPr>
        <w:t>]</w:t>
      </w:r>
      <w:bookmarkEnd w:id="56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التولیة لاثنین، فإن صرّح باستقلال کلّ منهما استقلّ و لا یلزم علیه مراجعة الآخر، و إذا مات أحدهما أو خرج عن الأهلیّة انفرد الآخر، و إن صرّح بالاجتماع لیس لأحدهما الاستقلال، و کذا لو أطلق و لم تکن علیٰ إرادة الاستقلال قرائن الأحوال، و حینئذٍ لو مات أحدهما أو خرج عن الأهلیّة یضمّ الحاکم إلی الآخر شخصاً آخر علی الأحوط، لو لم یکن الأقویٰ</w:t>
      </w:r>
      <w:r>
        <w:rPr>
          <w:rFonts w:eastAsia="IRNazanin" w:cs="IRNazanin"/>
          <w:color w:val="111111"/>
          <w:sz w:val="28"/>
          <w:szCs w:val="28"/>
          <w:rtl w:val="true"/>
          <w:lang w:bidi="fa-IR"/>
        </w:rPr>
        <w:t>.</w:t>
      </w:r>
    </w:p>
    <w:p>
      <w:pPr>
        <w:pStyle w:val="Heading4"/>
        <w:numPr>
          <w:ilvl w:val="3"/>
          <w:numId w:val="1"/>
        </w:numPr>
        <w:rPr/>
      </w:pPr>
      <w:bookmarkStart w:id="5694" w:name="__RefHeading___Toc2570142_3650668749"/>
      <w:bookmarkStart w:id="5695" w:name="_Toc2580"/>
      <w:bookmarkEnd w:id="5694"/>
      <w:r>
        <w:rPr>
          <w:rtl w:val="true"/>
        </w:rPr>
        <w:t>[ (</w:t>
      </w:r>
      <w:r>
        <w:rPr>
          <w:rtl w:val="true"/>
        </w:rPr>
        <w:t xml:space="preserve">مسألة </w:t>
      </w:r>
      <w:r>
        <w:rPr/>
        <w:t>83</w:t>
      </w:r>
      <w:r>
        <w:rPr>
          <w:rtl w:val="true"/>
        </w:rPr>
        <w:t xml:space="preserve">): </w:t>
      </w:r>
      <w:r>
        <w:rPr>
          <w:rtl w:val="true"/>
        </w:rPr>
        <w:t>لو عیّن الواقف وظیفة المتولّی و شغله فهو المتّبع</w:t>
      </w:r>
      <w:r>
        <w:rPr>
          <w:rtl w:val="true"/>
        </w:rPr>
        <w:t>]</w:t>
      </w:r>
      <w:bookmarkEnd w:id="56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عیّن الواقف وظیفة المتولّی و شغله فهو المتّبع، و لو أطلق کانت وظیفته ما هو المتعارف من تعمیر الوقف و إجارته و تحصیل أُجرته و قسمتها علیٰ أربابه و أداء خراجه و نحو ذلک، کلّ ذلک علیٰ وجه الاحتیاط و مراعاة الصلاح، و لیس لأحد مزاحمته فی ذلک حتّی الموقوف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ینصب الواقف متولّیاً فی بعض الأُمور و آخر فی الآخر، کما إذا جعل أمر التعمیر و تحصیل المنافع إلیٰ أحد، و أمر حفظها و قسمتها علیٰ أربابها إلیٰ آخر، أو جعل لواحد أن یکون الوقف بیده و حفظه و للآخر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فوّض إلیٰ واحد التعمیر و تحصیل الفائدة و أهمل باقی الجهات من الحفظ و القسمة و غیرهما کان الوقف بالنسبة إلیٰ غیر ما فوّض إلیه بلا متولٍّ منصوب فیجری علیه حکمه و سیأتی</w:t>
      </w:r>
      <w:r>
        <w:rPr>
          <w:rFonts w:eastAsia="IRNazanin" w:cs="IRNazanin"/>
          <w:color w:val="111111"/>
          <w:sz w:val="28"/>
          <w:szCs w:val="28"/>
          <w:rtl w:val="true"/>
          <w:lang w:bidi="fa-IR"/>
        </w:rPr>
        <w:t>.</w:t>
      </w:r>
    </w:p>
    <w:p>
      <w:pPr>
        <w:pStyle w:val="Heading4"/>
        <w:numPr>
          <w:ilvl w:val="3"/>
          <w:numId w:val="1"/>
        </w:numPr>
        <w:rPr/>
      </w:pPr>
      <w:bookmarkStart w:id="5696" w:name="__RefHeading___Toc2570144_3650668749"/>
      <w:bookmarkStart w:id="5697" w:name="_Toc2581"/>
      <w:bookmarkEnd w:id="5696"/>
      <w:r>
        <w:rPr>
          <w:rtl w:val="true"/>
        </w:rPr>
        <w:t>[ (</w:t>
      </w:r>
      <w:r>
        <w:rPr>
          <w:rtl w:val="true"/>
        </w:rPr>
        <w:t xml:space="preserve">مسألة </w:t>
      </w:r>
      <w:r>
        <w:rPr/>
        <w:t>84</w:t>
      </w:r>
      <w:r>
        <w:rPr>
          <w:rtl w:val="true"/>
        </w:rPr>
        <w:t xml:space="preserve">): </w:t>
      </w:r>
      <w:r>
        <w:rPr>
          <w:rtl w:val="true"/>
        </w:rPr>
        <w:t>لو عیّن الواقف للمتولّی شیئاً من المنافع تعیّن و کان ذلک اجرة عمله</w:t>
      </w:r>
      <w:r>
        <w:rPr>
          <w:rtl w:val="true"/>
        </w:rPr>
        <w:t>]</w:t>
      </w:r>
      <w:bookmarkEnd w:id="5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عیّن الواقف للمتولّی شیئاً من المنافع تعیّن و کان ذلک اجرة عمله؛ لیس له أزید من ذلک و إن کان أقلّ من اجرة مثله، و لو لم یذکر شیئاً فالأقرب أنّ له اجرة المثل</w:t>
      </w:r>
      <w:r>
        <w:rPr>
          <w:rFonts w:eastAsia="IRNazanin" w:cs="IRNazanin"/>
          <w:color w:val="111111"/>
          <w:sz w:val="28"/>
          <w:szCs w:val="28"/>
          <w:rtl w:val="true"/>
          <w:lang w:bidi="fa-IR"/>
        </w:rPr>
        <w:t>.</w:t>
      </w:r>
    </w:p>
    <w:p>
      <w:pPr>
        <w:pStyle w:val="Heading4"/>
        <w:numPr>
          <w:ilvl w:val="3"/>
          <w:numId w:val="1"/>
        </w:numPr>
        <w:rPr/>
      </w:pPr>
      <w:bookmarkStart w:id="5698" w:name="__RefHeading___Toc2570146_3650668749"/>
      <w:bookmarkStart w:id="5699" w:name="_Toc2582"/>
      <w:bookmarkEnd w:id="5698"/>
      <w:r>
        <w:rPr>
          <w:rtl w:val="true"/>
        </w:rPr>
        <w:t>[ (</w:t>
      </w:r>
      <w:r>
        <w:rPr>
          <w:rtl w:val="true"/>
        </w:rPr>
        <w:t xml:space="preserve">مسألة </w:t>
      </w:r>
      <w:r>
        <w:rPr/>
        <w:t>85</w:t>
      </w:r>
      <w:r>
        <w:rPr>
          <w:rtl w:val="true"/>
        </w:rPr>
        <w:t xml:space="preserve">): </w:t>
      </w:r>
      <w:r>
        <w:rPr>
          <w:rtl w:val="true"/>
        </w:rPr>
        <w:t>لیس للمتولّی تفویض التولیة إلیٰ غیره</w:t>
      </w:r>
      <w:r>
        <w:rPr>
          <w:rtl w:val="true"/>
        </w:rPr>
        <w:t>]</w:t>
      </w:r>
      <w:bookmarkEnd w:id="5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للمتولّی تفویض التولیة إلیٰ غیره حتّی مع عجزه عن التصدّی، إلّا إذا جعل الواقف له ذلک عند جعله متولّیاً، نعم یجوز له التوکیل فی بعض ما کان تصدّیه من وظیفته إذا لم یشترط علیه المباشرة</w:t>
      </w:r>
      <w:r>
        <w:rPr>
          <w:rFonts w:eastAsia="IRNazanin" w:cs="IRNazanin"/>
          <w:color w:val="111111"/>
          <w:sz w:val="28"/>
          <w:szCs w:val="28"/>
          <w:rtl w:val="true"/>
          <w:lang w:bidi="fa-IR"/>
        </w:rPr>
        <w:t>.</w:t>
      </w:r>
    </w:p>
    <w:p>
      <w:pPr>
        <w:pStyle w:val="Heading4"/>
        <w:numPr>
          <w:ilvl w:val="3"/>
          <w:numId w:val="1"/>
        </w:numPr>
        <w:rPr/>
      </w:pPr>
      <w:bookmarkStart w:id="5700" w:name="__RefHeading___Toc2570148_3650668749"/>
      <w:bookmarkStart w:id="5701" w:name="_Toc2583"/>
      <w:bookmarkEnd w:id="5700"/>
      <w:r>
        <w:rPr>
          <w:rtl w:val="true"/>
        </w:rPr>
        <w:t>[ (</w:t>
      </w:r>
      <w:r>
        <w:rPr>
          <w:rtl w:val="true"/>
        </w:rPr>
        <w:t xml:space="preserve">مسألة </w:t>
      </w:r>
      <w:r>
        <w:rPr/>
        <w:t>86</w:t>
      </w:r>
      <w:r>
        <w:rPr>
          <w:rtl w:val="true"/>
        </w:rPr>
        <w:t xml:space="preserve">): </w:t>
      </w:r>
      <w:r>
        <w:rPr>
          <w:rtl w:val="true"/>
        </w:rPr>
        <w:t>یجوز للواقف أن یجعل ناظراً علی المتولّی</w:t>
      </w:r>
      <w:r>
        <w:rPr>
          <w:rtl w:val="true"/>
        </w:rPr>
        <w:t>]</w:t>
      </w:r>
      <w:bookmarkEnd w:id="57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للواقف أن یجعل ناظراً علی المتولّی، فإن أحرز أنّ المقصود مجرّد اطّلاعه علیٰ أعماله لأجل الاستیثاق فهو مستقلّ فی تصرّفاته، و لا یعتبر إذن الناظر فی صحّتها و نفوذها، و إنّما اللازم علیه اطلاعه، و إن کان المقصود إعمال نظره و تصویب عمله لم یجز له التصرّف إلّا بإذنه و تصویبه، و لو لم یحرز مراده فاللازم مراعاة الأمرین</w:t>
      </w:r>
      <w:r>
        <w:rPr>
          <w:rFonts w:eastAsia="IRNazanin" w:cs="IRNazanin"/>
          <w:color w:val="111111"/>
          <w:sz w:val="28"/>
          <w:szCs w:val="28"/>
          <w:rtl w:val="true"/>
          <w:lang w:bidi="fa-IR"/>
        </w:rPr>
        <w:t>.</w:t>
      </w:r>
    </w:p>
    <w:p>
      <w:pPr>
        <w:pStyle w:val="Heading4"/>
        <w:numPr>
          <w:ilvl w:val="3"/>
          <w:numId w:val="1"/>
        </w:numPr>
        <w:rPr/>
      </w:pPr>
      <w:bookmarkStart w:id="5702" w:name="__RefHeading___Toc2570150_3650668749"/>
      <w:bookmarkStart w:id="5703" w:name="_Toc2584"/>
      <w:bookmarkEnd w:id="5702"/>
      <w:r>
        <w:rPr>
          <w:rtl w:val="true"/>
        </w:rPr>
        <w:t>[ (</w:t>
      </w:r>
      <w:r>
        <w:rPr>
          <w:rtl w:val="true"/>
        </w:rPr>
        <w:t xml:space="preserve">مسألة </w:t>
      </w:r>
      <w:r>
        <w:rPr/>
        <w:t>87</w:t>
      </w:r>
      <w:r>
        <w:rPr>
          <w:rtl w:val="true"/>
        </w:rPr>
        <w:t xml:space="preserve">): </w:t>
      </w:r>
      <w:r>
        <w:rPr>
          <w:rtl w:val="true"/>
        </w:rPr>
        <w:t>إذا لم یعیّن الواقف متولّیاً أصلًا</w:t>
      </w:r>
      <w:r>
        <w:rPr>
          <w:rtl w:val="true"/>
        </w:rPr>
        <w:t>]</w:t>
      </w:r>
      <w:bookmarkEnd w:id="5703"/>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یعیّن الواقف متولّیاً أصلًا؛ فأمّا الأوقاف العامّة فالمتولّی لها الحاکم أو المنصوب من قبله علی الأقویٰ، و أمّا الأوقاف الخاصّة فالحقّ أنّه بالنسبة إلیٰ ما کان راجعاً إلیٰ مصلحة الوقف و مراعاة البطون من تعمیره و حفظ الأُصول و إجارته علی</w:t>
      </w:r>
      <w:bookmarkStart w:id="5704" w:name="pg1809_19572"/>
    </w:p>
    <w:p>
      <w:pPr>
        <w:pStyle w:val="BookText"/>
        <w:rPr/>
      </w:pPr>
      <w:bookmarkEnd w:id="5704"/>
      <w:r>
        <w:rPr>
          <w:rFonts w:ascii="IRNazanin" w:hAnsi="IRNazanin" w:eastAsia="IRNazanin"/>
          <w:color w:val="111111"/>
          <w:sz w:val="28"/>
          <w:sz w:val="28"/>
          <w:szCs w:val="28"/>
          <w:rtl w:val="true"/>
          <w:lang w:bidi="fa-IR"/>
        </w:rPr>
        <w:t>البطون اللاحقة و نحوها کالأوقاف العامّة تولیتها للحاکم أو منصوبة، و أمّا بالنسبة إلیٰ تنمیته و إصلاحاته الجزئیّة المتوقّف علیها فی حصول النماء الفعلی کتنقیة أنهاره و کریه و حرثه و جمع حاصله و تقسیمه و أمثال ذلک، فأمرها راجع إلی الموقوف علیهم الموجودین</w:t>
      </w:r>
      <w:r>
        <w:rPr>
          <w:rFonts w:eastAsia="IRNazanin" w:cs="IRNazanin"/>
          <w:color w:val="111111"/>
          <w:sz w:val="28"/>
          <w:szCs w:val="28"/>
          <w:rtl w:val="true"/>
          <w:lang w:bidi="fa-IR"/>
        </w:rPr>
        <w:t>.</w:t>
      </w:r>
    </w:p>
    <w:p>
      <w:pPr>
        <w:pStyle w:val="Heading4"/>
        <w:numPr>
          <w:ilvl w:val="3"/>
          <w:numId w:val="1"/>
        </w:numPr>
        <w:rPr/>
      </w:pPr>
      <w:bookmarkStart w:id="5705" w:name="__RefHeading___Toc2570152_3650668749"/>
      <w:bookmarkStart w:id="5706" w:name="_Toc2585"/>
      <w:bookmarkEnd w:id="5705"/>
      <w:r>
        <w:rPr>
          <w:rtl w:val="true"/>
        </w:rPr>
        <w:t>[ (</w:t>
      </w:r>
      <w:r>
        <w:rPr>
          <w:rtl w:val="true"/>
        </w:rPr>
        <w:t xml:space="preserve">مسألة </w:t>
      </w:r>
      <w:r>
        <w:rPr/>
        <w:t>88</w:t>
      </w:r>
      <w:r>
        <w:rPr>
          <w:rtl w:val="true"/>
        </w:rPr>
        <w:t xml:space="preserve">): </w:t>
      </w:r>
      <w:r>
        <w:rPr>
          <w:rtl w:val="true"/>
        </w:rPr>
        <w:t>فی الأوقاف التی تولیتها للحاکم و منصوبة، مع فقده و عدم الوصول إلیه تولیتها لعدول المؤمنین</w:t>
      </w:r>
      <w:r>
        <w:rPr>
          <w:rtl w:val="true"/>
        </w:rPr>
        <w:t>]</w:t>
      </w:r>
      <w:bookmarkEnd w:id="57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الأوقاف التی تولیتها للحاکم و منصوبة، مع فقده و عدم الوصول إلیه تولیتها لعدول المؤمنین</w:t>
      </w:r>
      <w:r>
        <w:rPr>
          <w:rFonts w:eastAsia="IRNazanin" w:cs="IRNazanin"/>
          <w:color w:val="111111"/>
          <w:sz w:val="28"/>
          <w:szCs w:val="28"/>
          <w:rtl w:val="true"/>
          <w:lang w:bidi="fa-IR"/>
        </w:rPr>
        <w:t>.</w:t>
      </w:r>
    </w:p>
    <w:p>
      <w:pPr>
        <w:pStyle w:val="Heading4"/>
        <w:numPr>
          <w:ilvl w:val="3"/>
          <w:numId w:val="1"/>
        </w:numPr>
        <w:rPr/>
      </w:pPr>
      <w:bookmarkStart w:id="5707" w:name="__RefHeading___Toc2570154_3650668749"/>
      <w:bookmarkStart w:id="5708" w:name="_Toc2586"/>
      <w:bookmarkEnd w:id="5707"/>
      <w:r>
        <w:rPr>
          <w:rtl w:val="true"/>
        </w:rPr>
        <w:t>[ (</w:t>
      </w:r>
      <w:r>
        <w:rPr>
          <w:rtl w:val="true"/>
        </w:rPr>
        <w:t xml:space="preserve">مسألة </w:t>
      </w:r>
      <w:r>
        <w:rPr/>
        <w:t>89</w:t>
      </w:r>
      <w:r>
        <w:rPr>
          <w:rtl w:val="true"/>
        </w:rPr>
        <w:t xml:space="preserve">): </w:t>
      </w:r>
      <w:r>
        <w:rPr>
          <w:rtl w:val="true"/>
        </w:rPr>
        <w:t>لا فرق فیما کان أمره راجعاً إلی الحاکم بین ما إذا لم یعیّن الواقف متولّیاً و بین ما إذا عیّن</w:t>
      </w:r>
      <w:r>
        <w:rPr>
          <w:rtl w:val="true"/>
        </w:rPr>
        <w:t>]</w:t>
      </w:r>
      <w:bookmarkEnd w:id="57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فیما کان أمره راجعاً إلی الحاکم بین ما إذا لم یعیّن الواقف متولّیاً و بین ما إذا عیّن و لم یکن أهلًا لها أو خرج عن الأهلیّة، فإذا جعل التولیة للعادل من أولاده و لم یکن بینهم عادل أو کان ففسق کان کأن لم ینصب متولّیاً</w:t>
      </w:r>
      <w:r>
        <w:rPr>
          <w:rFonts w:eastAsia="IRNazanin" w:cs="IRNazanin"/>
          <w:color w:val="111111"/>
          <w:sz w:val="28"/>
          <w:szCs w:val="28"/>
          <w:rtl w:val="true"/>
          <w:lang w:bidi="fa-IR"/>
        </w:rPr>
        <w:t>.</w:t>
      </w:r>
    </w:p>
    <w:p>
      <w:pPr>
        <w:pStyle w:val="Heading4"/>
        <w:numPr>
          <w:ilvl w:val="3"/>
          <w:numId w:val="1"/>
        </w:numPr>
        <w:rPr/>
      </w:pPr>
      <w:bookmarkStart w:id="5709" w:name="__RefHeading___Toc2570156_3650668749"/>
      <w:bookmarkStart w:id="5710" w:name="_Toc2587"/>
      <w:bookmarkEnd w:id="5709"/>
      <w:r>
        <w:rPr>
          <w:rtl w:val="true"/>
        </w:rPr>
        <w:t>[ (</w:t>
      </w:r>
      <w:r>
        <w:rPr>
          <w:rtl w:val="true"/>
        </w:rPr>
        <w:t xml:space="preserve">مسألة </w:t>
      </w:r>
      <w:r>
        <w:rPr/>
        <w:t>90</w:t>
      </w:r>
      <w:r>
        <w:rPr>
          <w:rtl w:val="true"/>
        </w:rPr>
        <w:t xml:space="preserve">): </w:t>
      </w:r>
      <w:r>
        <w:rPr>
          <w:rtl w:val="true"/>
        </w:rPr>
        <w:t>لو جعل التولیة لعدلین من أولاده مثلًا و لم یکن فیهم إلّا عدل واحد</w:t>
      </w:r>
      <w:r>
        <w:rPr>
          <w:rtl w:val="true"/>
        </w:rPr>
        <w:t>]</w:t>
      </w:r>
      <w:bookmarkEnd w:id="57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التولیة لعدلین من أولاده مثلًا و لم یکن فیهم إلّا عدل واحد ضمّ الحاکم إلیه عدلًا آخر، و أمّا لو لم یوجد فیهم عدل أصلًا، فهل اللازم علی الحاکم نصب عدلین أو یکفی نصب واحد؟ أحوطهما الأوّل و أقواهما الثانی</w:t>
      </w:r>
      <w:r>
        <w:rPr>
          <w:rFonts w:eastAsia="IRNazanin" w:cs="IRNazanin"/>
          <w:color w:val="111111"/>
          <w:sz w:val="28"/>
          <w:szCs w:val="28"/>
          <w:rtl w:val="true"/>
          <w:lang w:bidi="fa-IR"/>
        </w:rPr>
        <w:t>.</w:t>
      </w:r>
    </w:p>
    <w:p>
      <w:pPr>
        <w:pStyle w:val="Heading4"/>
        <w:numPr>
          <w:ilvl w:val="3"/>
          <w:numId w:val="1"/>
        </w:numPr>
        <w:rPr/>
      </w:pPr>
      <w:bookmarkStart w:id="5711" w:name="__RefHeading___Toc2570158_3650668749"/>
      <w:bookmarkStart w:id="5712" w:name="_Toc2588"/>
      <w:bookmarkEnd w:id="5711"/>
      <w:r>
        <w:rPr>
          <w:rtl w:val="true"/>
        </w:rPr>
        <w:t>[ (</w:t>
      </w:r>
      <w:r>
        <w:rPr>
          <w:rtl w:val="true"/>
        </w:rPr>
        <w:t xml:space="preserve">مسألة </w:t>
      </w:r>
      <w:r>
        <w:rPr/>
        <w:t>91</w:t>
      </w:r>
      <w:r>
        <w:rPr>
          <w:rtl w:val="true"/>
        </w:rPr>
        <w:t xml:space="preserve">): </w:t>
      </w:r>
      <w:r>
        <w:rPr>
          <w:rtl w:val="true"/>
        </w:rPr>
        <w:t>إذا احتاج الوقف إلی التعمیر و لم یکن وجه یصرف فیه</w:t>
      </w:r>
      <w:r>
        <w:rPr>
          <w:rtl w:val="true"/>
        </w:rPr>
        <w:t>]</w:t>
      </w:r>
      <w:bookmarkEnd w:id="57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احتاج الوقف إلی التعمیر و لم یکن وجه یصرف فیه، یجوز للمتولّی أن یقترض له قاصداً أداء ما فی ذمّته بعد ذلک ممّا یرجع إلیه کمنافعه أو منافع موقوفاته، فیقترض متولّی البستان مثلًا لتعمیرها بقصد أن یؤدّی بعد ذلک دینه من عائداتها، و متولّی المسجد أو المشهد أو المقبرة و نحوها بقصد أن یؤدّی دینه من عائدات موقوفاتها، بل یجوز أن یصرف فی ذلک من ماله بقصد الاستیفاء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اقترض له لا بقصد الأداء منه، أو صرف من ماله لا بنیّة الاستیفاء منه، لم یکن له ذلک بعد ذلک</w:t>
      </w:r>
      <w:r>
        <w:rPr>
          <w:rFonts w:eastAsia="IRNazanin" w:cs="IRNazanin"/>
          <w:color w:val="111111"/>
          <w:sz w:val="28"/>
          <w:szCs w:val="28"/>
          <w:rtl w:val="true"/>
          <w:lang w:bidi="fa-IR"/>
        </w:rPr>
        <w:t>.</w:t>
      </w:r>
    </w:p>
    <w:p>
      <w:pPr>
        <w:pStyle w:val="Heading4"/>
        <w:numPr>
          <w:ilvl w:val="3"/>
          <w:numId w:val="1"/>
        </w:numPr>
        <w:rPr/>
      </w:pPr>
      <w:bookmarkStart w:id="5713" w:name="__RefHeading___Toc2570160_3650668749"/>
      <w:bookmarkStart w:id="5714" w:name="_Toc2589"/>
      <w:bookmarkEnd w:id="5713"/>
      <w:r>
        <w:rPr>
          <w:rtl w:val="true"/>
        </w:rPr>
        <w:t>[ (</w:t>
      </w:r>
      <w:r>
        <w:rPr>
          <w:rtl w:val="true"/>
        </w:rPr>
        <w:t xml:space="preserve">مسألة </w:t>
      </w:r>
      <w:r>
        <w:rPr/>
        <w:t>92</w:t>
      </w:r>
      <w:r>
        <w:rPr>
          <w:rtl w:val="true"/>
        </w:rPr>
        <w:t xml:space="preserve">): </w:t>
      </w:r>
      <w:r>
        <w:rPr>
          <w:rtl w:val="true"/>
        </w:rPr>
        <w:t>تثبت الوقفیّة بالشیاع إذا أفاد العلم أو الاطمئنان</w:t>
      </w:r>
      <w:r>
        <w:rPr>
          <w:rtl w:val="true"/>
        </w:rPr>
        <w:t>]</w:t>
      </w:r>
      <w:bookmarkEnd w:id="57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الوقفیّة بالشیاع إذا أفاد العلم أو الاطمئنان و بإقرار ذی الید أو ورثته، و بکونه فی تصرّف الوقف؛ بأن یعامل المتصرّفون فیه معاملة الوقف بلا معارض، و کذا تثبت بالبیّنة الشرعیّة</w:t>
      </w:r>
      <w:r>
        <w:rPr>
          <w:rFonts w:eastAsia="IRNazanin" w:cs="IRNazanin"/>
          <w:color w:val="111111"/>
          <w:sz w:val="28"/>
          <w:szCs w:val="28"/>
          <w:rtl w:val="true"/>
          <w:lang w:bidi="fa-IR"/>
        </w:rPr>
        <w:t>.</w:t>
      </w:r>
    </w:p>
    <w:p>
      <w:pPr>
        <w:pStyle w:val="Heading4"/>
        <w:numPr>
          <w:ilvl w:val="3"/>
          <w:numId w:val="1"/>
        </w:numPr>
        <w:rPr/>
      </w:pPr>
      <w:bookmarkStart w:id="5715" w:name="__RefHeading___Toc2570162_3650668749"/>
      <w:bookmarkStart w:id="5716" w:name="_Toc2590"/>
      <w:bookmarkEnd w:id="5715"/>
      <w:r>
        <w:rPr>
          <w:rtl w:val="true"/>
        </w:rPr>
        <w:t>[ (</w:t>
      </w:r>
      <w:r>
        <w:rPr>
          <w:rtl w:val="true"/>
        </w:rPr>
        <w:t xml:space="preserve">مسألة </w:t>
      </w:r>
      <w:r>
        <w:rPr/>
        <w:t>93</w:t>
      </w:r>
      <w:r>
        <w:rPr>
          <w:rtl w:val="true"/>
        </w:rPr>
        <w:t xml:space="preserve">): </w:t>
      </w:r>
      <w:r>
        <w:rPr>
          <w:rtl w:val="true"/>
        </w:rPr>
        <w:t>إذا أقرّ بالوقف ثمّ ادّعیٰ أنّ إقراره کان لمصلحة یسمع منه</w:t>
      </w:r>
      <w:r>
        <w:rPr>
          <w:rtl w:val="true"/>
        </w:rPr>
        <w:t>]</w:t>
      </w:r>
      <w:bookmarkEnd w:id="5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بالوقف ثمّ ادّعیٰ أنّ إقراره کان لمصلحة یسمع منه، لکن یحتاج إلی الإثبات، بخلاف ما إذا أوقع العقد و حصل القبض، ثمّ ادّعیٰ أنّه لم یکن قاصداً فإنّه لا یسمع منه أصلًا، کما هو الحال فی جمیع العقود و الإیقاعات</w:t>
      </w:r>
      <w:r>
        <w:rPr>
          <w:rFonts w:eastAsia="IRNazanin" w:cs="IRNazanin"/>
          <w:color w:val="111111"/>
          <w:sz w:val="28"/>
          <w:szCs w:val="28"/>
          <w:rtl w:val="true"/>
          <w:lang w:bidi="fa-IR"/>
        </w:rPr>
        <w:t>.</w:t>
      </w:r>
    </w:p>
    <w:p>
      <w:pPr>
        <w:pStyle w:val="Heading4"/>
        <w:numPr>
          <w:ilvl w:val="3"/>
          <w:numId w:val="1"/>
        </w:numPr>
        <w:rPr/>
      </w:pPr>
      <w:bookmarkStart w:id="5717" w:name="__RefHeading___Toc2570164_3650668749"/>
      <w:bookmarkStart w:id="5718" w:name="_Toc2591"/>
      <w:bookmarkEnd w:id="5717"/>
      <w:r>
        <w:rPr>
          <w:rtl w:val="true"/>
        </w:rPr>
        <w:t>[ (</w:t>
      </w:r>
      <w:r>
        <w:rPr>
          <w:rtl w:val="true"/>
        </w:rPr>
        <w:t xml:space="preserve">مسألة </w:t>
      </w:r>
      <w:r>
        <w:rPr/>
        <w:t>94</w:t>
      </w:r>
      <w:r>
        <w:rPr>
          <w:rtl w:val="true"/>
        </w:rPr>
        <w:t xml:space="preserve">): </w:t>
      </w:r>
      <w:r>
        <w:rPr>
          <w:rtl w:val="true"/>
        </w:rPr>
        <w:t>کما أنّ معاملة المتصرّفین معاملة الوقفیّة دلیل علیٰ أصل الوقفیّة</w:t>
      </w:r>
      <w:r>
        <w:rPr>
          <w:rtl w:val="true"/>
        </w:rPr>
        <w:t>]</w:t>
      </w:r>
      <w:bookmarkEnd w:id="5718"/>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معاملة المتصرّفین معاملة الوقفیّة دلیل علیٰ أصل الوقفیّة ما لم</w:t>
      </w:r>
      <w:bookmarkStart w:id="5719" w:name="pg1809_19573"/>
    </w:p>
    <w:p>
      <w:pPr>
        <w:pStyle w:val="BookText"/>
        <w:rPr/>
      </w:pPr>
      <w:bookmarkEnd w:id="5719"/>
      <w:r>
        <w:rPr>
          <w:rFonts w:ascii="IRNazanin" w:hAnsi="IRNazanin" w:eastAsia="IRNazanin"/>
          <w:color w:val="111111"/>
          <w:sz w:val="28"/>
          <w:sz w:val="28"/>
          <w:szCs w:val="28"/>
          <w:rtl w:val="true"/>
          <w:lang w:bidi="fa-IR"/>
        </w:rPr>
        <w:t>یثبت خلافها، کذلک کیفیّة عملهم من الترتیب أو التشریک و المصرف و غیر ذلک دلیل علیٰ کیفیّته، فیتّبع ما لم یعلم خلافها</w:t>
      </w:r>
      <w:r>
        <w:rPr>
          <w:rFonts w:eastAsia="IRNazanin" w:cs="IRNazanin"/>
          <w:color w:val="111111"/>
          <w:sz w:val="28"/>
          <w:szCs w:val="28"/>
          <w:rtl w:val="true"/>
          <w:lang w:bidi="fa-IR"/>
        </w:rPr>
        <w:t>.</w:t>
      </w:r>
    </w:p>
    <w:p>
      <w:pPr>
        <w:pStyle w:val="Heading4"/>
        <w:numPr>
          <w:ilvl w:val="3"/>
          <w:numId w:val="1"/>
        </w:numPr>
        <w:rPr/>
      </w:pPr>
      <w:bookmarkStart w:id="5720" w:name="__RefHeading___Toc2570166_3650668749"/>
      <w:bookmarkStart w:id="5721" w:name="_Toc2592"/>
      <w:bookmarkEnd w:id="5720"/>
      <w:r>
        <w:rPr>
          <w:rtl w:val="true"/>
        </w:rPr>
        <w:t>[ (</w:t>
      </w:r>
      <w:r>
        <w:rPr>
          <w:rtl w:val="true"/>
        </w:rPr>
        <w:t xml:space="preserve">مسألة </w:t>
      </w:r>
      <w:r>
        <w:rPr/>
        <w:t>95</w:t>
      </w:r>
      <w:r>
        <w:rPr>
          <w:rtl w:val="true"/>
        </w:rPr>
        <w:t xml:space="preserve">): </w:t>
      </w:r>
      <w:r>
        <w:rPr>
          <w:rtl w:val="true"/>
        </w:rPr>
        <w:t>إذا کان ملک بید شخص یتصرّف فیه بعنوان الملکیة</w:t>
      </w:r>
      <w:r>
        <w:rPr>
          <w:rtl w:val="true"/>
        </w:rPr>
        <w:t>]</w:t>
      </w:r>
      <w:bookmarkEnd w:id="57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ملک بید شخص یتصرّف فیه بعنوان الملکیة، لکن علم أنّه قد کان فی السابق وقفاً، لم ینتزع من یده بمجرّد ذلک، ما لم یثبت وقفیّته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ادّعیٰ أحد أنّه قد وقف علیٰ آبائه نسلًا بعد نسل، و أثبت ذلک من دون أن یثبت کونه وقفاً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أقرّ ذو الید فی مقابل خصمه؛ بأنّه قد کان وقفاً إلّا أنّه قد حصل المسوّغ للبیع و قد اشتراه، سقط حکم یده و ینتزع منه، و یلزم بإثبات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المسوّغ للبیع و وقوع الشراء</w:t>
      </w:r>
      <w:r>
        <w:rPr>
          <w:rFonts w:eastAsia="IRNazanin" w:cs="IRNazanin"/>
          <w:color w:val="111111"/>
          <w:sz w:val="28"/>
          <w:szCs w:val="28"/>
          <w:rtl w:val="true"/>
          <w:lang w:bidi="fa-IR"/>
        </w:rPr>
        <w:t>.</w:t>
      </w:r>
    </w:p>
    <w:p>
      <w:pPr>
        <w:pStyle w:val="Heading4"/>
        <w:numPr>
          <w:ilvl w:val="3"/>
          <w:numId w:val="1"/>
        </w:numPr>
        <w:rPr/>
      </w:pPr>
      <w:bookmarkStart w:id="5722" w:name="__RefHeading___Toc2570168_3650668749"/>
      <w:bookmarkStart w:id="5723" w:name="_Toc2593"/>
      <w:bookmarkEnd w:id="5722"/>
      <w:r>
        <w:rPr>
          <w:rtl w:val="true"/>
        </w:rPr>
        <w:t>[ (</w:t>
      </w:r>
      <w:r>
        <w:rPr>
          <w:rtl w:val="true"/>
        </w:rPr>
        <w:t xml:space="preserve">مسألة </w:t>
      </w:r>
      <w:r>
        <w:rPr/>
        <w:t>96</w:t>
      </w:r>
      <w:r>
        <w:rPr>
          <w:rtl w:val="true"/>
        </w:rPr>
        <w:t xml:space="preserve">): </w:t>
      </w:r>
      <w:r>
        <w:rPr>
          <w:rtl w:val="true"/>
        </w:rPr>
        <w:t>إذا کان کتاب أو مصحف أو صفر مثلًا بید شخص</w:t>
      </w:r>
      <w:r>
        <w:rPr>
          <w:rtl w:val="true"/>
        </w:rPr>
        <w:t>]</w:t>
      </w:r>
      <w:bookmarkEnd w:id="5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کتاب أو مصحف أو صفر مثلًا بید شخص، و هو یدّعی ملکیّته و کان مکتوباً علیه أنّه وقف، لم یحکم بوقفیّته بمجرّد ذلک، فیجوز الشراء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أنّ وجود مثل ذلک عیب و نقص فی العین، فلو خفی علی المشتری ثمّ اطّلع علیه کان له خیار الفسخ</w:t>
      </w:r>
      <w:r>
        <w:rPr>
          <w:rFonts w:eastAsia="IRNazanin" w:cs="IRNazanin"/>
          <w:color w:val="111111"/>
          <w:sz w:val="28"/>
          <w:szCs w:val="28"/>
          <w:rtl w:val="true"/>
          <w:lang w:bidi="fa-IR"/>
        </w:rPr>
        <w:t>.</w:t>
      </w:r>
    </w:p>
    <w:p>
      <w:pPr>
        <w:pStyle w:val="Heading4"/>
        <w:numPr>
          <w:ilvl w:val="3"/>
          <w:numId w:val="1"/>
        </w:numPr>
        <w:rPr/>
      </w:pPr>
      <w:bookmarkStart w:id="5724" w:name="__RefHeading___Toc2570170_3650668749"/>
      <w:bookmarkStart w:id="5725" w:name="_Toc2594"/>
      <w:bookmarkEnd w:id="5724"/>
      <w:r>
        <w:rPr>
          <w:rtl w:val="true"/>
        </w:rPr>
        <w:t>[ (</w:t>
      </w:r>
      <w:r>
        <w:rPr>
          <w:rtl w:val="true"/>
        </w:rPr>
        <w:t xml:space="preserve">مسألة </w:t>
      </w:r>
      <w:r>
        <w:rPr/>
        <w:t>97</w:t>
      </w:r>
      <w:r>
        <w:rPr>
          <w:rtl w:val="true"/>
        </w:rPr>
        <w:t xml:space="preserve">): </w:t>
      </w:r>
      <w:r>
        <w:rPr>
          <w:rtl w:val="true"/>
        </w:rPr>
        <w:t>لو ظهر فی ترکة المیّت ورقة بخطّه</w:t>
      </w:r>
      <w:r>
        <w:rPr>
          <w:rtl w:val="true"/>
        </w:rPr>
        <w:t xml:space="preserve">: </w:t>
      </w:r>
      <w:r>
        <w:rPr>
          <w:rtl w:val="true"/>
        </w:rPr>
        <w:t>أنّ ملکه الفلانی وقف و أنّه وقع القبض و الإقباض</w:t>
      </w:r>
      <w:r>
        <w:rPr>
          <w:rtl w:val="true"/>
        </w:rPr>
        <w:t>]</w:t>
      </w:r>
      <w:bookmarkEnd w:id="57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ظهر فی ترکة المیّت ورقة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ملکه الفلانی وقف و أنّه وقع القبض و الإقباض، لم یحکم بوقفیّته بمجرّد ذلک ما لم یحصل العلم أو الاطمئنان به؛ لاحتمال أنّه کتب لیجعله وقفاً کما یتّفق ذلک کثیراً</w:t>
      </w:r>
      <w:r>
        <w:rPr>
          <w:rFonts w:eastAsia="IRNazanin" w:cs="IRNazanin"/>
          <w:color w:val="111111"/>
          <w:sz w:val="28"/>
          <w:szCs w:val="28"/>
          <w:rtl w:val="true"/>
          <w:lang w:bidi="fa-IR"/>
        </w:rPr>
        <w:t>.</w:t>
      </w:r>
    </w:p>
    <w:p>
      <w:pPr>
        <w:pStyle w:val="Heading4"/>
        <w:numPr>
          <w:ilvl w:val="3"/>
          <w:numId w:val="1"/>
        </w:numPr>
        <w:rPr/>
      </w:pPr>
      <w:bookmarkStart w:id="5726" w:name="__RefHeading___Toc2570172_3650668749"/>
      <w:bookmarkStart w:id="5727" w:name="_Toc2595"/>
      <w:bookmarkEnd w:id="5726"/>
      <w:r>
        <w:rPr>
          <w:rtl w:val="true"/>
        </w:rPr>
        <w:t>[ (</w:t>
      </w:r>
      <w:r>
        <w:rPr>
          <w:rtl w:val="true"/>
        </w:rPr>
        <w:t xml:space="preserve">مسألة </w:t>
      </w:r>
      <w:r>
        <w:rPr/>
        <w:t>98</w:t>
      </w:r>
      <w:r>
        <w:rPr>
          <w:rtl w:val="true"/>
        </w:rPr>
        <w:t xml:space="preserve">): </w:t>
      </w:r>
      <w:r>
        <w:rPr>
          <w:rtl w:val="true"/>
        </w:rPr>
        <w:t>إذا کانت العین الموقوفة من الأعیان الزکویّة</w:t>
      </w:r>
      <w:r>
        <w:rPr>
          <w:rtl w:val="true"/>
        </w:rPr>
        <w:t>]</w:t>
      </w:r>
      <w:bookmarkEnd w:id="57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العین الموقوفة من الأعیان الزکویّة کالأنعام الثلاثة لم یجب علی الموقوف علیهم زکاتها و إن بلغت حصّة کلّ منهم حدّ النصاب، و أمّا لو کانت نماؤها منها کالعنب و التمر ففی الوقف الخاصّ وجبت الزکاة علیٰ کلّ من بلغت حصّته النصاب من الموقوف علیهم؛ لأنّها ملک طلق لهم بخلاف الوقف العامّ، و إن کان مثل الوقف علی الفقراء؛ لعدم کونه ملکاً لواحد منهم إلّا بعد قبضه، نعم لو أعطی الفقیر مثلًا حصّة من الحاصل علی الشجر قبل وقت تعلّق الزکاة، کما قبل </w:t>
      </w:r>
      <w:r>
        <w:rPr>
          <w:rStyle w:val="FootnoteAnchor"/>
          <w:rtl w:val="true"/>
        </w:rPr>
        <w:footnoteReference w:id="1532"/>
      </w:r>
      <w:r>
        <w:rPr>
          <w:rFonts w:ascii="IRNazanin" w:hAnsi="IRNazanin" w:eastAsia="IRNazanin"/>
          <w:color w:val="111111"/>
          <w:sz w:val="28"/>
          <w:sz w:val="28"/>
          <w:szCs w:val="28"/>
          <w:rtl w:val="true"/>
          <w:lang w:bidi="fa-IR"/>
        </w:rPr>
        <w:t>احمرار التمر أو اصفراره، وجبت علیه الزکاة إذا بلغت حدّ النصاب</w:t>
      </w:r>
      <w:r>
        <w:rPr>
          <w:rFonts w:eastAsia="IRNazanin" w:cs="IRNazanin"/>
          <w:color w:val="111111"/>
          <w:sz w:val="28"/>
          <w:szCs w:val="28"/>
          <w:rtl w:val="true"/>
          <w:lang w:bidi="fa-IR"/>
        </w:rPr>
        <w:t>.</w:t>
      </w:r>
    </w:p>
    <w:p>
      <w:pPr>
        <w:pStyle w:val="Heading4"/>
        <w:numPr>
          <w:ilvl w:val="3"/>
          <w:numId w:val="1"/>
        </w:numPr>
        <w:rPr/>
      </w:pPr>
      <w:bookmarkStart w:id="5728" w:name="__RefHeading___Toc2570174_3650668749"/>
      <w:bookmarkStart w:id="5729" w:name="_Toc2596"/>
      <w:bookmarkEnd w:id="5728"/>
      <w:r>
        <w:rPr>
          <w:rtl w:val="true"/>
        </w:rPr>
        <w:t>[ (</w:t>
      </w:r>
      <w:r>
        <w:rPr>
          <w:rtl w:val="true"/>
        </w:rPr>
        <w:t xml:space="preserve">مسألة </w:t>
      </w:r>
      <w:r>
        <w:rPr/>
        <w:t>99</w:t>
      </w:r>
      <w:r>
        <w:rPr>
          <w:rtl w:val="true"/>
        </w:rPr>
        <w:t xml:space="preserve">): </w:t>
      </w:r>
      <w:r>
        <w:rPr>
          <w:rtl w:val="true"/>
        </w:rPr>
        <w:t>الوقف المتداول بین الأعراب و بعض الطوائف من غیرهم</w:t>
      </w:r>
      <w:r>
        <w:rPr>
          <w:rtl w:val="true"/>
        </w:rPr>
        <w:t>]</w:t>
      </w:r>
      <w:bookmarkEnd w:id="5729"/>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المتداول بین الأعراب و بعض الطوائف من غیرهم؛ یعمدون إلیٰ نعجة أو بقرة و یتکلّمون بألفاظ متعارفة بینهم، و یکون المقصود أن تبقیٰ و تذبح أولادها</w:t>
      </w:r>
      <w:bookmarkStart w:id="5730" w:name="pg1809_19574"/>
    </w:p>
    <w:p>
      <w:pPr>
        <w:pStyle w:val="BookText"/>
        <w:rPr/>
      </w:pPr>
      <w:bookmarkEnd w:id="5730"/>
      <w:r>
        <w:rPr>
          <w:rFonts w:ascii="IRNazanin" w:hAnsi="IRNazanin" w:eastAsia="IRNazanin"/>
          <w:color w:val="111111"/>
          <w:sz w:val="28"/>
          <w:sz w:val="28"/>
          <w:szCs w:val="28"/>
          <w:rtl w:val="true"/>
          <w:lang w:bidi="fa-IR"/>
        </w:rPr>
        <w:t>الذکور و تبقی الإناث و هکذا، الظاهر بطلانها؛ لعدم الصیغة و عدم القبض و عدم تعیین المصرف و غیر ذلک</w:t>
      </w:r>
      <w:r>
        <w:rPr>
          <w:rFonts w:eastAsia="IRNazanin" w:cs="IRNazanin"/>
          <w:color w:val="111111"/>
          <w:sz w:val="28"/>
          <w:szCs w:val="28"/>
          <w:rtl w:val="true"/>
          <w:lang w:bidi="fa-IR"/>
        </w:rPr>
        <w:t>.</w:t>
      </w:r>
    </w:p>
    <w:p>
      <w:pPr>
        <w:pStyle w:val="Heading3"/>
        <w:numPr>
          <w:ilvl w:val="2"/>
          <w:numId w:val="1"/>
        </w:numPr>
        <w:rPr/>
      </w:pPr>
      <w:bookmarkStart w:id="5731" w:name="__RefHeading___Toc2570176_3650668749"/>
      <w:bookmarkStart w:id="5732" w:name="_Toc2597"/>
      <w:bookmarkEnd w:id="5731"/>
      <w:r>
        <w:rPr>
          <w:rtl w:val="true"/>
        </w:rPr>
        <w:t>[</w:t>
      </w:r>
      <w:r>
        <w:rPr>
          <w:rtl w:val="true"/>
        </w:rPr>
        <w:t>خاتمة تشتمل علیٰ أمرین</w:t>
      </w:r>
      <w:r>
        <w:rPr>
          <w:rtl w:val="true"/>
        </w:rPr>
        <w:t xml:space="preserve">: </w:t>
      </w:r>
      <w:r>
        <w:rPr>
          <w:rtl w:val="true"/>
        </w:rPr>
        <w:t>أحدهما فی الحبس و ما یلحق به، ثانیهما فی الصدقة</w:t>
      </w:r>
      <w:r>
        <w:rPr>
          <w:rtl w:val="true"/>
        </w:rPr>
        <w:t>]</w:t>
      </w:r>
      <w:bookmarkEnd w:id="5732"/>
    </w:p>
    <w:p>
      <w:pPr>
        <w:pStyle w:val="Heading4"/>
        <w:numPr>
          <w:ilvl w:val="3"/>
          <w:numId w:val="1"/>
        </w:numPr>
        <w:rPr/>
      </w:pPr>
      <w:bookmarkStart w:id="5733" w:name="__RefHeading___Toc2570178_3650668749"/>
      <w:bookmarkStart w:id="5734" w:name="_Toc2598"/>
      <w:bookmarkEnd w:id="5733"/>
      <w:r>
        <w:rPr>
          <w:rtl w:val="true"/>
        </w:rPr>
        <w:t>اشارة</w:t>
      </w:r>
      <w:bookmarkEnd w:id="5734"/>
    </w:p>
    <w:p>
      <w:pPr>
        <w:pStyle w:val="BookText"/>
        <w:rPr/>
      </w:pPr>
      <w:r>
        <w:rPr>
          <w:rFonts w:ascii="IRNazanin" w:hAnsi="IRNazanin" w:eastAsia="IRNazanin"/>
          <w:color w:val="111111"/>
          <w:sz w:val="28"/>
          <w:sz w:val="28"/>
          <w:szCs w:val="28"/>
          <w:rtl w:val="true"/>
          <w:lang w:bidi="fa-IR"/>
        </w:rPr>
        <w:t>خاتمة تشتمل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الحبس و ما یلحق به، ثانیهما فی الصدقة</w:t>
      </w:r>
      <w:r>
        <w:rPr>
          <w:rFonts w:eastAsia="IRNazanin" w:cs="IRNazanin"/>
          <w:color w:val="111111"/>
          <w:sz w:val="28"/>
          <w:szCs w:val="28"/>
          <w:rtl w:val="true"/>
          <w:lang w:bidi="fa-IR"/>
        </w:rPr>
        <w:t>.</w:t>
      </w:r>
    </w:p>
    <w:p>
      <w:pPr>
        <w:pStyle w:val="Heading4"/>
        <w:numPr>
          <w:ilvl w:val="3"/>
          <w:numId w:val="1"/>
        </w:numPr>
        <w:rPr/>
      </w:pPr>
      <w:bookmarkStart w:id="5735" w:name="__RefHeading___Toc2570180_3650668749"/>
      <w:bookmarkStart w:id="5736" w:name="_Toc2599"/>
      <w:bookmarkEnd w:id="5735"/>
      <w:r>
        <w:rPr>
          <w:rtl w:val="true"/>
        </w:rPr>
        <w:t>[</w:t>
      </w:r>
      <w:r>
        <w:rPr>
          <w:rtl w:val="true"/>
        </w:rPr>
        <w:t>القول فی الحبس و أخواته</w:t>
      </w:r>
      <w:r>
        <w:rPr>
          <w:rtl w:val="true"/>
        </w:rPr>
        <w:t>]</w:t>
      </w:r>
      <w:bookmarkEnd w:id="5736"/>
    </w:p>
    <w:p>
      <w:pPr>
        <w:pStyle w:val="Heading5"/>
        <w:numPr>
          <w:ilvl w:val="4"/>
          <w:numId w:val="1"/>
        </w:numPr>
        <w:rPr/>
      </w:pPr>
      <w:bookmarkStart w:id="5737" w:name="__RefHeading___Toc2570182_3650668749"/>
      <w:bookmarkStart w:id="5738" w:name="_Toc2600"/>
      <w:bookmarkEnd w:id="5737"/>
      <w:r>
        <w:rPr>
          <w:rtl w:val="true"/>
        </w:rPr>
        <w:t>اشارة</w:t>
      </w:r>
      <w:bookmarkEnd w:id="5738"/>
    </w:p>
    <w:p>
      <w:pPr>
        <w:pStyle w:val="BookText"/>
        <w:rPr/>
      </w:pPr>
      <w:r>
        <w:rPr>
          <w:rFonts w:ascii="IRNazanin" w:hAnsi="IRNazanin" w:eastAsia="IRNazanin"/>
          <w:color w:val="111111"/>
          <w:sz w:val="28"/>
          <w:sz w:val="28"/>
          <w:szCs w:val="28"/>
          <w:rtl w:val="true"/>
          <w:lang w:bidi="fa-IR"/>
        </w:rPr>
        <w:t>القول فی الحبس و أخواته</w:t>
      </w:r>
    </w:p>
    <w:p>
      <w:pPr>
        <w:pStyle w:val="Heading5"/>
        <w:numPr>
          <w:ilvl w:val="4"/>
          <w:numId w:val="1"/>
        </w:numPr>
        <w:rPr/>
      </w:pPr>
      <w:bookmarkStart w:id="5739" w:name="__RefHeading___Toc2570184_3650668749"/>
      <w:bookmarkStart w:id="5740" w:name="_Toc2601"/>
      <w:bookmarkEnd w:id="5739"/>
      <w:r>
        <w:rPr>
          <w:rtl w:val="true"/>
        </w:rPr>
        <w:t>[ (</w:t>
      </w:r>
      <w:r>
        <w:rPr>
          <w:rtl w:val="true"/>
        </w:rPr>
        <w:t xml:space="preserve">مسألة </w:t>
      </w:r>
      <w:r>
        <w:rPr/>
        <w:t>1</w:t>
      </w:r>
      <w:r>
        <w:rPr>
          <w:rtl w:val="true"/>
        </w:rPr>
        <w:t xml:space="preserve">): </w:t>
      </w:r>
      <w:r>
        <w:rPr>
          <w:rtl w:val="true"/>
        </w:rPr>
        <w:t>یجوز للإنسان أن یحبس ملکه علیٰ کلّ ما یصحّ الوقف علیه</w:t>
      </w:r>
      <w:r>
        <w:rPr>
          <w:rtl w:val="true"/>
        </w:rPr>
        <w:t>]</w:t>
      </w:r>
      <w:bookmarkEnd w:id="5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للإنسان أن یحبس ملکه علیٰ کلّ ما یصحّ الوقف علیه؛ بأن یصرف منافعه فیما عیّنه علیٰ ما عیّنه، فلو حبسه علیٰ سبیل من سبل الخیر و مواقع قرب العبادات، مثل الکعبة المعظّمة و المساجد و المشاهد المشرّفة، فإن کان مطلقاً أو صرّح بالدوام فلا رجوع </w:t>
      </w:r>
      <w:r>
        <w:rPr>
          <w:rStyle w:val="FootnoteAnchor"/>
          <w:rtl w:val="true"/>
        </w:rPr>
        <w:footnoteReference w:id="1533"/>
      </w:r>
      <w:r>
        <w:rPr>
          <w:rFonts w:ascii="IRNazanin" w:hAnsi="IRNazanin" w:eastAsia="IRNazanin"/>
          <w:color w:val="111111"/>
          <w:sz w:val="28"/>
          <w:sz w:val="28"/>
          <w:szCs w:val="28"/>
          <w:rtl w:val="true"/>
          <w:lang w:bidi="fa-IR"/>
        </w:rPr>
        <w:t>و لا یعود علیٰ ملک المالک و لا یورث، و إن کان إلیٰ مدّة فلا رجوع فی تلک المدّة، و بعد انقضائها یرجع إلی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حبسه علیٰ شخص، فإن عیّن مدّة، أو مدّة حیاته، لزم حبسه علیه فی تلک المدّة، و لو مات الحابس قبل انقضائها یبقیٰ علیٰ حاله إلیٰ أن تنقضی، و إن أطلق و لم یعیّن وقتاً لزم ما دام حیاة الحابس، و إن مات کان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لو حبس علیٰ عنوان عامّ کالفقراء، فإن حدّده بوقت لزم إلی انقضائه، و إن لم یوقّت لزم ما دام حیاة الحابس</w:t>
      </w:r>
      <w:r>
        <w:rPr>
          <w:rFonts w:eastAsia="IRNazanin" w:cs="IRNazanin"/>
          <w:color w:val="111111"/>
          <w:sz w:val="28"/>
          <w:szCs w:val="28"/>
          <w:rtl w:val="true"/>
          <w:lang w:bidi="fa-IR"/>
        </w:rPr>
        <w:t>.</w:t>
      </w:r>
    </w:p>
    <w:p>
      <w:pPr>
        <w:pStyle w:val="Heading5"/>
        <w:numPr>
          <w:ilvl w:val="4"/>
          <w:numId w:val="1"/>
        </w:numPr>
        <w:rPr/>
      </w:pPr>
      <w:bookmarkStart w:id="5741" w:name="__RefHeading___Toc2570186_3650668749"/>
      <w:bookmarkStart w:id="5742" w:name="_Toc2602"/>
      <w:bookmarkEnd w:id="5741"/>
      <w:r>
        <w:rPr>
          <w:rtl w:val="true"/>
        </w:rPr>
        <w:t>[ (</w:t>
      </w:r>
      <w:r>
        <w:rPr>
          <w:rtl w:val="true"/>
        </w:rPr>
        <w:t xml:space="preserve">مسألة </w:t>
      </w:r>
      <w:r>
        <w:rPr/>
        <w:t>2</w:t>
      </w:r>
      <w:r>
        <w:rPr>
          <w:rtl w:val="true"/>
        </w:rPr>
        <w:t xml:space="preserve">): </w:t>
      </w:r>
      <w:r>
        <w:rPr>
          <w:rtl w:val="true"/>
        </w:rPr>
        <w:t>إذا جعل لأحد سکنیٰ داره مثلًا بأن سلّطه علیٰ إسکانها مع بقائها علیٰ ملکه</w:t>
      </w:r>
      <w:r>
        <w:rPr>
          <w:rtl w:val="true"/>
        </w:rPr>
        <w:t>]</w:t>
      </w:r>
      <w:bookmarkEnd w:id="57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 لأحد سکنیٰ داره مثلًا بأن سلّطه علیٰ إسکانها مع بقائها علیٰ ملکه یقال له السکنی؛ سواء أطلق و لم یعیّن مدّة أصلًا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أسکنتک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سکناها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قدّره بعمر أحدهما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سکنیٰ داری مدّة حیاتک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قدّره بالزمان کسنة و سنتین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کلّ من الأخیرین له اسم یختصّ به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ثانیهما</w:t>
      </w:r>
      <w:r>
        <w:rPr>
          <w:rFonts w:eastAsia="IRNazanin" w:cs="IRNazanin"/>
          <w:color w:val="111111"/>
          <w:sz w:val="28"/>
          <w:szCs w:val="28"/>
          <w:rtl w:val="true"/>
          <w:lang w:bidi="fa-IR"/>
        </w:rPr>
        <w:t>.</w:t>
      </w:r>
    </w:p>
    <w:p>
      <w:pPr>
        <w:pStyle w:val="Heading5"/>
        <w:numPr>
          <w:ilvl w:val="4"/>
          <w:numId w:val="1"/>
        </w:numPr>
        <w:rPr/>
      </w:pPr>
      <w:bookmarkStart w:id="5743" w:name="__RefHeading___Toc2570188_3650668749"/>
      <w:bookmarkStart w:id="5744" w:name="_Toc2603"/>
      <w:bookmarkEnd w:id="5743"/>
      <w:r>
        <w:rPr>
          <w:rtl w:val="true"/>
        </w:rPr>
        <w:t>[ (</w:t>
      </w:r>
      <w:r>
        <w:rPr>
          <w:rtl w:val="true"/>
        </w:rPr>
        <w:t xml:space="preserve">مسألة </w:t>
      </w:r>
      <w:r>
        <w:rPr/>
        <w:t>3</w:t>
      </w:r>
      <w:r>
        <w:rPr>
          <w:rtl w:val="true"/>
        </w:rPr>
        <w:t xml:space="preserve">): </w:t>
      </w:r>
      <w:r>
        <w:rPr>
          <w:rtl w:val="true"/>
        </w:rPr>
        <w:t>یحتاج کلّ من هذه الثلاثة إلیٰ عقد مشتمل علیٰ إیجاب من المالک و قبول من الساکن</w:t>
      </w:r>
      <w:r>
        <w:rPr>
          <w:rtl w:val="true"/>
        </w:rPr>
        <w:t>]</w:t>
      </w:r>
      <w:bookmarkEnd w:id="5744"/>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کلّ من هذه الثلاثة إلیٰ عقد مشتمل علیٰ إیجاب من المالک و قبول من الساکن، فالإیجاب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أفاد التسلیط المزبور بحسب المتفاهم العرفی کأن یقول فی</w:t>
      </w:r>
      <w:bookmarkStart w:id="5745" w:name="pg1809_19575"/>
    </w:p>
    <w:p>
      <w:pPr>
        <w:pStyle w:val="BookText"/>
        <w:rPr/>
      </w:pPr>
      <w:bookmarkEnd w:id="5745"/>
      <w:r>
        <w:rPr>
          <w:rFonts w:ascii="IRNazanin" w:hAnsi="IRNazanin" w:eastAsia="IRNazanin"/>
          <w:color w:val="111111"/>
          <w:sz w:val="28"/>
          <w:sz w:val="28"/>
          <w:szCs w:val="28"/>
          <w:rtl w:val="true"/>
          <w:lang w:bidi="fa-IR"/>
        </w:rPr>
        <w:t>السکنی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أسکنتک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سکناها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أفاد معناهما؛ بأیّ لغة کان، و فی العمریٰ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أسکنتکها أو لک سکناها مدّة حیاتک أو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الرقبیٰ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أسکنتکها سنة أو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للعمریٰ و الرقبیٰ لفظان آخران فلُلأولی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أعمرتک هذه الدار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و للثانیة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أرقبتک مدّة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کلّ ما دلّ علی الرضا و القبول من الساکن</w:t>
      </w:r>
      <w:r>
        <w:rPr>
          <w:rFonts w:eastAsia="IRNazanin" w:cs="IRNazanin"/>
          <w:color w:val="111111"/>
          <w:sz w:val="28"/>
          <w:szCs w:val="28"/>
          <w:rtl w:val="true"/>
          <w:lang w:bidi="fa-IR"/>
        </w:rPr>
        <w:t>.</w:t>
      </w:r>
    </w:p>
    <w:p>
      <w:pPr>
        <w:pStyle w:val="Heading5"/>
        <w:numPr>
          <w:ilvl w:val="4"/>
          <w:numId w:val="1"/>
        </w:numPr>
        <w:rPr/>
      </w:pPr>
      <w:bookmarkStart w:id="5746" w:name="__RefHeading___Toc2570190_3650668749"/>
      <w:bookmarkStart w:id="5747" w:name="_Toc2604"/>
      <w:bookmarkEnd w:id="5746"/>
      <w:r>
        <w:rPr>
          <w:rtl w:val="true"/>
        </w:rPr>
        <w:t>[ (</w:t>
      </w:r>
      <w:r>
        <w:rPr>
          <w:rtl w:val="true"/>
        </w:rPr>
        <w:t xml:space="preserve">مسألة </w:t>
      </w:r>
      <w:r>
        <w:rPr/>
        <w:t>4</w:t>
      </w:r>
      <w:r>
        <w:rPr>
          <w:rtl w:val="true"/>
        </w:rPr>
        <w:t xml:space="preserve">): </w:t>
      </w:r>
      <w:r>
        <w:rPr>
          <w:rtl w:val="true"/>
        </w:rPr>
        <w:t>یشترط فی کلّ من الثلاثة قبض الساکن</w:t>
      </w:r>
      <w:r>
        <w:rPr>
          <w:rtl w:val="true"/>
        </w:rPr>
        <w:t>]</w:t>
      </w:r>
      <w:bookmarkEnd w:id="57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کلّ من الثلاثة قبض </w:t>
      </w:r>
      <w:r>
        <w:rPr>
          <w:rStyle w:val="FootnoteAnchor"/>
          <w:rtl w:val="true"/>
        </w:rPr>
        <w:footnoteReference w:id="1534"/>
      </w:r>
      <w:r>
        <w:rPr>
          <w:rFonts w:ascii="IRNazanin" w:hAnsi="IRNazanin" w:eastAsia="IRNazanin"/>
          <w:color w:val="111111"/>
          <w:sz w:val="28"/>
          <w:sz w:val="28"/>
          <w:szCs w:val="28"/>
          <w:rtl w:val="true"/>
          <w:lang w:bidi="fa-IR"/>
        </w:rPr>
        <w:t>الساکن، فلو لم یقبض حتّی مات المالک بطلت کالوقف</w:t>
      </w:r>
      <w:r>
        <w:rPr>
          <w:rFonts w:eastAsia="IRNazanin" w:cs="IRNazanin"/>
          <w:color w:val="111111"/>
          <w:sz w:val="28"/>
          <w:szCs w:val="28"/>
          <w:rtl w:val="true"/>
          <w:lang w:bidi="fa-IR"/>
        </w:rPr>
        <w:t>.</w:t>
      </w:r>
    </w:p>
    <w:p>
      <w:pPr>
        <w:pStyle w:val="Heading5"/>
        <w:numPr>
          <w:ilvl w:val="4"/>
          <w:numId w:val="1"/>
        </w:numPr>
        <w:rPr/>
      </w:pPr>
      <w:bookmarkStart w:id="5748" w:name="__RefHeading___Toc2570192_3650668749"/>
      <w:bookmarkStart w:id="5749" w:name="_Toc2605"/>
      <w:bookmarkEnd w:id="5748"/>
      <w:r>
        <w:rPr>
          <w:rtl w:val="true"/>
        </w:rPr>
        <w:t>[ (</w:t>
      </w:r>
      <w:r>
        <w:rPr>
          <w:rtl w:val="true"/>
        </w:rPr>
        <w:t xml:space="preserve">مسألة </w:t>
      </w:r>
      <w:r>
        <w:rPr/>
        <w:t>5</w:t>
      </w:r>
      <w:r>
        <w:rPr>
          <w:rtl w:val="true"/>
        </w:rPr>
        <w:t xml:space="preserve">): </w:t>
      </w:r>
      <w:r>
        <w:rPr>
          <w:rtl w:val="true"/>
        </w:rPr>
        <w:t>هذه العقود الثلاثة لازمة یجب العمل بمقتضاها</w:t>
      </w:r>
      <w:r>
        <w:rPr>
          <w:rtl w:val="true"/>
        </w:rPr>
        <w:t>]</w:t>
      </w:r>
      <w:bookmarkEnd w:id="5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العقود الثلاثة لازمة یجب العمل بمقتضاها، و لیس للمالک الرجوع و إخراج الساکن، ففی السکنی المطلقة حیث إنّ الساکن استحقّ مسمّی الإسکان و لو یوماً لزم العقد فی هذا المقدار، فلیس للمالک منعه عن ذلک نعم له الرجوع و الأمر بالخروج فی الزائد 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العمری المقدّرة بعمر الساکن أو عمر المالک، لزمت مدّة حیاة أحدهما، و فی الرقبیٰ لزمت المدّة المضروبة، فلیس للمالک إخراجه قبل انقضائها</w:t>
      </w:r>
      <w:r>
        <w:rPr>
          <w:rFonts w:eastAsia="IRNazanin" w:cs="IRNazanin"/>
          <w:color w:val="111111"/>
          <w:sz w:val="28"/>
          <w:szCs w:val="28"/>
          <w:rtl w:val="true"/>
          <w:lang w:bidi="fa-IR"/>
        </w:rPr>
        <w:t>.</w:t>
      </w:r>
    </w:p>
    <w:p>
      <w:pPr>
        <w:pStyle w:val="Heading5"/>
        <w:numPr>
          <w:ilvl w:val="4"/>
          <w:numId w:val="1"/>
        </w:numPr>
        <w:rPr/>
      </w:pPr>
      <w:bookmarkStart w:id="5750" w:name="__RefHeading___Toc2570194_3650668749"/>
      <w:bookmarkStart w:id="5751" w:name="_Toc2606"/>
      <w:bookmarkEnd w:id="5750"/>
      <w:r>
        <w:rPr>
          <w:rtl w:val="true"/>
        </w:rPr>
        <w:t>[ (</w:t>
      </w:r>
      <w:r>
        <w:rPr>
          <w:rtl w:val="true"/>
        </w:rPr>
        <w:t xml:space="preserve">مسألة </w:t>
      </w:r>
      <w:r>
        <w:rPr/>
        <w:t>6</w:t>
      </w:r>
      <w:r>
        <w:rPr>
          <w:rtl w:val="true"/>
        </w:rPr>
        <w:t xml:space="preserve">): </w:t>
      </w:r>
      <w:r>
        <w:rPr>
          <w:rtl w:val="true"/>
        </w:rPr>
        <w:t>إذا جعل داره سکنیٰ أو عمریٰ أو رقبیٰ لشخص</w:t>
      </w:r>
      <w:r>
        <w:rPr>
          <w:rtl w:val="true"/>
        </w:rPr>
        <w:t>]</w:t>
      </w:r>
      <w:bookmarkEnd w:id="57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جعل داره سکنیٰ أو عمریٰ أو رقبیٰ لشخص، لم تخرج عن ملکه و جاز له بیعها و لم یبطل </w:t>
      </w:r>
      <w:r>
        <w:rPr>
          <w:rStyle w:val="FootnoteAnchor"/>
          <w:rtl w:val="true"/>
        </w:rPr>
        <w:footnoteReference w:id="1535"/>
      </w:r>
      <w:r>
        <w:rPr>
          <w:rFonts w:ascii="IRNazanin" w:hAnsi="IRNazanin" w:eastAsia="IRNazanin"/>
          <w:color w:val="111111"/>
          <w:sz w:val="28"/>
          <w:sz w:val="28"/>
          <w:szCs w:val="28"/>
          <w:rtl w:val="true"/>
          <w:lang w:bidi="fa-IR"/>
        </w:rPr>
        <w:t>الإسکان و لا الإعمار و لا الإرقاب، بل یستحقّ الساکن السکنی علی النحو الذی جعلت له و کذا لیس للمشتری إبطالها، نعم لو کان جاهلًا کان له الخیار بین فسخ البیع و إمضائه بجمیع الثمن</w:t>
      </w:r>
      <w:r>
        <w:rPr>
          <w:rFonts w:eastAsia="IRNazanin" w:cs="IRNazanin"/>
          <w:color w:val="111111"/>
          <w:sz w:val="28"/>
          <w:szCs w:val="28"/>
          <w:rtl w:val="true"/>
          <w:lang w:bidi="fa-IR"/>
        </w:rPr>
        <w:t>.</w:t>
      </w:r>
    </w:p>
    <w:p>
      <w:pPr>
        <w:pStyle w:val="Heading5"/>
        <w:numPr>
          <w:ilvl w:val="4"/>
          <w:numId w:val="1"/>
        </w:numPr>
        <w:rPr/>
      </w:pPr>
      <w:bookmarkStart w:id="5752" w:name="__RefHeading___Toc2570196_3650668749"/>
      <w:bookmarkStart w:id="5753" w:name="_Toc2607"/>
      <w:bookmarkEnd w:id="5752"/>
      <w:r>
        <w:rPr>
          <w:rtl w:val="true"/>
        </w:rPr>
        <w:t>[ (</w:t>
      </w:r>
      <w:r>
        <w:rPr>
          <w:rtl w:val="true"/>
        </w:rPr>
        <w:t xml:space="preserve">مسألة </w:t>
      </w:r>
      <w:r>
        <w:rPr/>
        <w:t>7</w:t>
      </w:r>
      <w:r>
        <w:rPr>
          <w:rtl w:val="true"/>
        </w:rPr>
        <w:t xml:space="preserve">): </w:t>
      </w:r>
      <w:r>
        <w:rPr>
          <w:rtl w:val="true"/>
        </w:rPr>
        <w:t>لو جعل المدّة فی العمریٰ طول حیاة المالک و مات الساکن قبله کان لورثته السکنی</w:t>
      </w:r>
      <w:r>
        <w:rPr>
          <w:rtl w:val="true"/>
        </w:rPr>
        <w:t>]</w:t>
      </w:r>
      <w:bookmarkEnd w:id="5753"/>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المدّة فی العمریٰ طول حیاة المالک و مات الساکن قبله کان لورثته السکنی إلیٰ أن یموت المالک، و لو جعل المدّة طول حیاة الساکن و مات المالک قبله لم یکن لورثته إزعاج الساکن بل یسکن طول حیاته، و لو مات الساکن لم یکن لورثته السکنی، إلّا إذا جعل له السکنی مدّة حیاته و لعقبه و نسله بعد وفاته، فلهم ذلک ما لم ینقرضوا فإذا انقرضوا رجعت إلی المالک أو ورثته</w:t>
      </w:r>
      <w:r>
        <w:rPr>
          <w:rFonts w:eastAsia="IRNazanin" w:cs="IRNazanin"/>
          <w:color w:val="111111"/>
          <w:sz w:val="28"/>
          <w:szCs w:val="28"/>
          <w:rtl w:val="true"/>
          <w:lang w:bidi="fa-IR"/>
        </w:rPr>
        <w:t>.</w:t>
      </w:r>
      <w:bookmarkStart w:id="5754" w:name="pg1809_19576"/>
    </w:p>
    <w:p>
      <w:pPr>
        <w:pStyle w:val="Heading5"/>
        <w:numPr>
          <w:ilvl w:val="4"/>
          <w:numId w:val="1"/>
        </w:numPr>
        <w:rPr/>
      </w:pPr>
      <w:bookmarkStart w:id="5755" w:name="__RefHeading___Toc2570198_3650668749"/>
      <w:bookmarkStart w:id="5756" w:name="_Toc2608"/>
      <w:bookmarkEnd w:id="5754"/>
      <w:bookmarkEnd w:id="5755"/>
      <w:r>
        <w:rPr>
          <w:rtl w:val="true"/>
        </w:rPr>
        <w:t>[ (</w:t>
      </w:r>
      <w:r>
        <w:rPr>
          <w:rtl w:val="true"/>
        </w:rPr>
        <w:t xml:space="preserve">مسألة </w:t>
      </w:r>
      <w:r>
        <w:rPr/>
        <w:t>8</w:t>
      </w:r>
      <w:r>
        <w:rPr>
          <w:rtl w:val="true"/>
        </w:rPr>
        <w:t xml:space="preserve">): </w:t>
      </w:r>
      <w:r>
        <w:rPr>
          <w:rtl w:val="true"/>
        </w:rPr>
        <w:t>إطلاق السکنی یقتضی أن یسکن من جعلت له السکنی بنفسه و أهله و أولاده</w:t>
      </w:r>
      <w:r>
        <w:rPr>
          <w:rtl w:val="true"/>
        </w:rPr>
        <w:t>]</w:t>
      </w:r>
      <w:bookmarkEnd w:id="57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السکنی یقتضی </w:t>
      </w:r>
      <w:r>
        <w:rPr>
          <w:rStyle w:val="FootnoteAnchor"/>
          <w:rtl w:val="true"/>
        </w:rPr>
        <w:footnoteReference w:id="1536"/>
      </w:r>
      <w:r>
        <w:rPr>
          <w:rFonts w:ascii="IRNazanin" w:hAnsi="IRNazanin" w:eastAsia="IRNazanin"/>
          <w:color w:val="111111"/>
          <w:sz w:val="28"/>
          <w:sz w:val="28"/>
          <w:szCs w:val="28"/>
          <w:rtl w:val="true"/>
          <w:lang w:bidi="fa-IR"/>
        </w:rPr>
        <w:t>أن یسکن من جعلت له السکنی بنفسه و أهله و أولاده، و الأقرب جواز إسکان من جرت العادة بالسکنیٰ معه کغلامه و جاریته و مرضعة ولده و ضیوفه، بل کذا دابّته إذا کان الموضع معدّاً لمثلها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یسکن غیرهم إلّا أن یشترط ذلک أو یرضی المالک، و کذا لا یجوز أن یؤجر المسکن أو یعیره لغیره علی الأقویٰ</w:t>
      </w:r>
      <w:r>
        <w:rPr>
          <w:rFonts w:eastAsia="IRNazanin" w:cs="IRNazanin"/>
          <w:color w:val="111111"/>
          <w:sz w:val="28"/>
          <w:szCs w:val="28"/>
          <w:rtl w:val="true"/>
          <w:lang w:bidi="fa-IR"/>
        </w:rPr>
        <w:t>.</w:t>
      </w:r>
    </w:p>
    <w:p>
      <w:pPr>
        <w:pStyle w:val="Heading5"/>
        <w:numPr>
          <w:ilvl w:val="4"/>
          <w:numId w:val="1"/>
        </w:numPr>
        <w:rPr/>
      </w:pPr>
      <w:bookmarkStart w:id="5757" w:name="__RefHeading___Toc2570200_3650668749"/>
      <w:bookmarkStart w:id="5758" w:name="_Toc2609"/>
      <w:bookmarkEnd w:id="5757"/>
      <w:r>
        <w:rPr>
          <w:rtl w:val="true"/>
        </w:rPr>
        <w:t>[ (</w:t>
      </w:r>
      <w:r>
        <w:rPr>
          <w:rtl w:val="true"/>
        </w:rPr>
        <w:t xml:space="preserve">مسألة </w:t>
      </w:r>
      <w:r>
        <w:rPr/>
        <w:t>9</w:t>
      </w:r>
      <w:r>
        <w:rPr>
          <w:rtl w:val="true"/>
        </w:rPr>
        <w:t xml:space="preserve">): </w:t>
      </w:r>
      <w:r>
        <w:rPr>
          <w:rtl w:val="true"/>
        </w:rPr>
        <w:t>کلّ ما صحّ وقفه صحّ إعماره</w:t>
      </w:r>
      <w:r>
        <w:rPr>
          <w:rtl w:val="true"/>
        </w:rPr>
        <w:t>]</w:t>
      </w:r>
      <w:bookmarkEnd w:id="57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صحّ وقفه صحّ إعماره؛ من العقار و الحیوان و الأثاث و غیرها، و یختصّ مورد السکنی بالمساکن، و أمّا الرقبیٰ ففی کونها فی ذلک بحکم العمریٰ، أو بحکم السکنی تأمّل </w:t>
      </w:r>
      <w:r>
        <w:rPr>
          <w:rStyle w:val="FootnoteAnchor"/>
          <w:rtl w:val="true"/>
        </w:rPr>
        <w:footnoteReference w:id="1537"/>
      </w:r>
      <w:r>
        <w:rPr>
          <w:rFonts w:ascii="IRNazanin" w:hAnsi="IRNazanin" w:eastAsia="IRNazanin"/>
          <w:color w:val="111111"/>
          <w:sz w:val="28"/>
          <w:sz w:val="28"/>
          <w:szCs w:val="28"/>
          <w:rtl w:val="true"/>
          <w:lang w:bidi="fa-IR"/>
        </w:rPr>
        <w:t>و إشکال</w:t>
      </w:r>
      <w:r>
        <w:rPr>
          <w:rFonts w:eastAsia="IRNazanin" w:cs="IRNazanin"/>
          <w:color w:val="111111"/>
          <w:sz w:val="28"/>
          <w:szCs w:val="28"/>
          <w:rtl w:val="true"/>
          <w:lang w:bidi="fa-IR"/>
        </w:rPr>
        <w:t>.</w:t>
      </w:r>
    </w:p>
    <w:p>
      <w:pPr>
        <w:pStyle w:val="Heading4"/>
        <w:numPr>
          <w:ilvl w:val="3"/>
          <w:numId w:val="1"/>
        </w:numPr>
        <w:rPr/>
      </w:pPr>
      <w:bookmarkStart w:id="5759" w:name="__RefHeading___Toc2570202_3650668749"/>
      <w:bookmarkStart w:id="5760" w:name="_Toc2610"/>
      <w:bookmarkEnd w:id="5759"/>
      <w:r>
        <w:rPr>
          <w:rtl w:val="true"/>
        </w:rPr>
        <w:t>[</w:t>
      </w:r>
      <w:r>
        <w:rPr>
          <w:rtl w:val="true"/>
        </w:rPr>
        <w:t>القول فی الصدقة</w:t>
      </w:r>
      <w:r>
        <w:rPr>
          <w:rtl w:val="true"/>
        </w:rPr>
        <w:t>]</w:t>
      </w:r>
      <w:bookmarkEnd w:id="5760"/>
    </w:p>
    <w:p>
      <w:pPr>
        <w:pStyle w:val="Heading5"/>
        <w:numPr>
          <w:ilvl w:val="4"/>
          <w:numId w:val="1"/>
        </w:numPr>
        <w:rPr/>
      </w:pPr>
      <w:bookmarkStart w:id="5761" w:name="__RefHeading___Toc2570204_3650668749"/>
      <w:bookmarkStart w:id="5762" w:name="_Toc2611"/>
      <w:bookmarkEnd w:id="5761"/>
      <w:r>
        <w:rPr>
          <w:rtl w:val="true"/>
        </w:rPr>
        <w:t>اشارة</w:t>
      </w:r>
      <w:bookmarkEnd w:id="5762"/>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فی الصدقة التی قد تواتر النصوص علیٰ ندبها و الحثّ علیها، خصوصاً فی أوقات مخصوصة کالجمعة و عرفة و شهر رمضان، و علیٰ طوائف مخصوصة کالجیران و الأرحام، بل ورد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صدقة و ذو الرحم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دواء المریض و دافعة البلاء و قد أبرم إبراماً، و بها یستنزل الرزق و یقضی الدین و تخلف البرکة و تزید فی المال، و بها تدفع میتة السوء و الداء و الحرق و الغرق و الهدم و الجنون إلیٰ سبعین باباً من السوء، و بها فی أوّل کلّ یوم یدفع نحوسة ذلک الیوم و شروره، و فی أوّل کلّ لیلة تدفع نحوسة تلک اللیلة</w:t>
      </w:r>
      <w:bookmarkStart w:id="5763" w:name="pg1809_19577"/>
    </w:p>
    <w:p>
      <w:pPr>
        <w:pStyle w:val="BookText"/>
        <w:rPr/>
      </w:pPr>
      <w:bookmarkEnd w:id="5763"/>
      <w:r>
        <w:rPr>
          <w:rFonts w:ascii="IRNazanin" w:hAnsi="IRNazanin" w:eastAsia="IRNazanin"/>
          <w:color w:val="111111"/>
          <w:sz w:val="28"/>
          <w:sz w:val="28"/>
          <w:szCs w:val="28"/>
          <w:rtl w:val="true"/>
          <w:lang w:bidi="fa-IR"/>
        </w:rPr>
        <w:t>و شرورها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یستقلّ قلیلها فقد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تصدّقوا، و لو بقبضة أو ببعض قبضة و لو بشقّ تمرة فمن لم یجد فبکلمة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یستکثر کثیرها فإنّها تجارة رابحة، 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أملقتم تاجروا اللّٰه بالصدقة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خیر الذخائر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یربی الصدقات لصاحبها حتّی یلقیها یوم القیامة کجبل عظیم</w:t>
      </w:r>
      <w:r>
        <w:rPr>
          <w:rFonts w:eastAsia="IRNazanin" w:cs="IRNazanin"/>
          <w:color w:val="111111"/>
          <w:sz w:val="28"/>
          <w:szCs w:val="28"/>
          <w:rtl w:val="true"/>
          <w:lang w:bidi="fa-IR"/>
        </w:rPr>
        <w:t>».</w:t>
      </w:r>
    </w:p>
    <w:p>
      <w:pPr>
        <w:pStyle w:val="Heading5"/>
        <w:numPr>
          <w:ilvl w:val="4"/>
          <w:numId w:val="1"/>
        </w:numPr>
        <w:rPr/>
      </w:pPr>
      <w:bookmarkStart w:id="5764" w:name="__RefHeading___Toc2570206_3650668749"/>
      <w:bookmarkStart w:id="5765" w:name="_Toc2612"/>
      <w:bookmarkEnd w:id="5764"/>
      <w:r>
        <w:rPr>
          <w:rtl w:val="true"/>
        </w:rPr>
        <w:t>[ (</w:t>
      </w:r>
      <w:r>
        <w:rPr>
          <w:rtl w:val="true"/>
        </w:rPr>
        <w:t xml:space="preserve">مسألة </w:t>
      </w:r>
      <w:r>
        <w:rPr/>
        <w:t>1</w:t>
      </w:r>
      <w:r>
        <w:rPr>
          <w:rtl w:val="true"/>
        </w:rPr>
        <w:t xml:space="preserve">): </w:t>
      </w:r>
      <w:r>
        <w:rPr>
          <w:rtl w:val="true"/>
        </w:rPr>
        <w:t>یعتبر فی الصدقة قصد القربة</w:t>
      </w:r>
      <w:r>
        <w:rPr>
          <w:rtl w:val="true"/>
        </w:rPr>
        <w:t>]</w:t>
      </w:r>
      <w:bookmarkEnd w:id="57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الصدقة قصد القربة، و الأقویٰ أنّه لا یعتبر فیها العقد المشتمل علی الإیجاب و القبول، کما نسب إلی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المعاطاة، فتتحقّق بکلّ لفظ أو فعل؛ من إعطاء أو تسلیط قصد به التملیک مجّاناً مع نیّة القربة، و یشترط فیها الإقباض و القبض</w:t>
      </w:r>
      <w:r>
        <w:rPr>
          <w:rFonts w:eastAsia="IRNazanin" w:cs="IRNazanin"/>
          <w:color w:val="111111"/>
          <w:sz w:val="28"/>
          <w:szCs w:val="28"/>
          <w:rtl w:val="true"/>
          <w:lang w:bidi="fa-IR"/>
        </w:rPr>
        <w:t>.</w:t>
      </w:r>
    </w:p>
    <w:p>
      <w:pPr>
        <w:pStyle w:val="Heading5"/>
        <w:numPr>
          <w:ilvl w:val="4"/>
          <w:numId w:val="1"/>
        </w:numPr>
        <w:rPr/>
      </w:pPr>
      <w:bookmarkStart w:id="5766" w:name="__RefHeading___Toc2570208_3650668749"/>
      <w:bookmarkStart w:id="5767" w:name="_Toc2613"/>
      <w:bookmarkEnd w:id="5766"/>
      <w:r>
        <w:rPr>
          <w:rtl w:val="true"/>
        </w:rPr>
        <w:t>[ (</w:t>
      </w:r>
      <w:r>
        <w:rPr>
          <w:rtl w:val="true"/>
        </w:rPr>
        <w:t xml:space="preserve">مسألة </w:t>
      </w:r>
      <w:r>
        <w:rPr/>
        <w:t>2</w:t>
      </w:r>
      <w:r>
        <w:rPr>
          <w:rtl w:val="true"/>
        </w:rPr>
        <w:t xml:space="preserve">): </w:t>
      </w:r>
      <w:r>
        <w:rPr>
          <w:rtl w:val="true"/>
        </w:rPr>
        <w:t>لا یجوز الرجوع فی الصدقة بعد القبض و إن کانت علیٰ أجنبیّ علی الأصحّ</w:t>
      </w:r>
      <w:r>
        <w:rPr>
          <w:rtl w:val="true"/>
        </w:rPr>
        <w:t>]</w:t>
      </w:r>
      <w:bookmarkEnd w:id="5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الرجوع فی الصدقة بعد القبض و إن کانت علیٰ أجنبیّ علی الأصحّ</w:t>
      </w:r>
      <w:r>
        <w:rPr>
          <w:rFonts w:eastAsia="IRNazanin" w:cs="IRNazanin"/>
          <w:color w:val="111111"/>
          <w:sz w:val="28"/>
          <w:szCs w:val="28"/>
          <w:rtl w:val="true"/>
          <w:lang w:bidi="fa-IR"/>
        </w:rPr>
        <w:t>.</w:t>
      </w:r>
    </w:p>
    <w:p>
      <w:pPr>
        <w:pStyle w:val="Heading5"/>
        <w:numPr>
          <w:ilvl w:val="4"/>
          <w:numId w:val="1"/>
        </w:numPr>
        <w:rPr/>
      </w:pPr>
      <w:bookmarkStart w:id="5768" w:name="__RefHeading___Toc2570210_3650668749"/>
      <w:bookmarkStart w:id="5769" w:name="_Toc2614"/>
      <w:bookmarkEnd w:id="5768"/>
      <w:r>
        <w:rPr>
          <w:rtl w:val="true"/>
        </w:rPr>
        <w:t>[ (</w:t>
      </w:r>
      <w:r>
        <w:rPr>
          <w:rtl w:val="true"/>
        </w:rPr>
        <w:t xml:space="preserve">مسألة </w:t>
      </w:r>
      <w:r>
        <w:rPr/>
        <w:t>3</w:t>
      </w:r>
      <w:r>
        <w:rPr>
          <w:rtl w:val="true"/>
        </w:rPr>
        <w:t xml:space="preserve">): </w:t>
      </w:r>
      <w:r>
        <w:rPr>
          <w:rtl w:val="true"/>
        </w:rPr>
        <w:t>تحلّ صدقة الهاشمی لمثله و لغیره مطلقاً</w:t>
      </w:r>
      <w:r>
        <w:rPr>
          <w:rtl w:val="true"/>
        </w:rPr>
        <w:t>]</w:t>
      </w:r>
      <w:bookmarkEnd w:id="57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صدقة الهاشمی لمثله و لغیره مطلقاً، حتّی الزکاة المفروضة و الفطرة، و أمّا صدقة غیر الهاشمی للهاشمی فتحلّ فی المندوبة و تحرم فی الزکاة المفروضة و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المفروضة غیرهما کالمظالم و الکفّارات و نحوها فالظاهر أنّها کالمندوبة و إن کان الأحوط عدم إعطائهم لها و تنزّههم عنها</w:t>
      </w:r>
      <w:r>
        <w:rPr>
          <w:rFonts w:eastAsia="IRNazanin" w:cs="IRNazanin"/>
          <w:color w:val="111111"/>
          <w:sz w:val="28"/>
          <w:szCs w:val="28"/>
          <w:rtl w:val="true"/>
          <w:lang w:bidi="fa-IR"/>
        </w:rPr>
        <w:t>.</w:t>
      </w:r>
    </w:p>
    <w:p>
      <w:pPr>
        <w:pStyle w:val="Heading5"/>
        <w:numPr>
          <w:ilvl w:val="4"/>
          <w:numId w:val="1"/>
        </w:numPr>
        <w:rPr/>
      </w:pPr>
      <w:bookmarkStart w:id="5770" w:name="__RefHeading___Toc2570212_3650668749"/>
      <w:bookmarkStart w:id="5771" w:name="_Toc2615"/>
      <w:bookmarkEnd w:id="5770"/>
      <w:r>
        <w:rPr>
          <w:rtl w:val="true"/>
        </w:rPr>
        <w:t>[ (</w:t>
      </w:r>
      <w:r>
        <w:rPr>
          <w:rtl w:val="true"/>
        </w:rPr>
        <w:t xml:space="preserve">مسألة </w:t>
      </w:r>
      <w:r>
        <w:rPr/>
        <w:t>4</w:t>
      </w:r>
      <w:r>
        <w:rPr>
          <w:rtl w:val="true"/>
        </w:rPr>
        <w:t xml:space="preserve">): </w:t>
      </w:r>
      <w:r>
        <w:rPr>
          <w:rtl w:val="true"/>
        </w:rPr>
        <w:t>یعتبر فی المتصدّق</w:t>
      </w:r>
      <w:r>
        <w:rPr>
          <w:rtl w:val="true"/>
        </w:rPr>
        <w:t xml:space="preserve">: </w:t>
      </w:r>
      <w:r>
        <w:rPr>
          <w:rtl w:val="true"/>
        </w:rPr>
        <w:t>البلوغ و العقل و عدم الحجر لفلس أو سفه</w:t>
      </w:r>
      <w:r>
        <w:rPr>
          <w:rtl w:val="true"/>
        </w:rPr>
        <w:t>]</w:t>
      </w:r>
      <w:bookmarkEnd w:id="57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المتصدّق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و العقل و عدم الحجر لفلس أو سفه، نعم فی صحّة صدقة من بلغ عشر سنین وجه </w:t>
      </w:r>
      <w:r>
        <w:rPr>
          <w:rStyle w:val="FootnoteAnchor"/>
          <w:rtl w:val="true"/>
        </w:rPr>
        <w:footnoteReference w:id="1538"/>
      </w:r>
      <w:r>
        <w:rPr>
          <w:rFonts w:ascii="IRNazanin" w:hAnsi="IRNazanin" w:eastAsia="IRNazanin"/>
          <w:color w:val="111111"/>
          <w:sz w:val="28"/>
          <w:sz w:val="28"/>
          <w:szCs w:val="28"/>
          <w:rtl w:val="true"/>
          <w:lang w:bidi="fa-IR"/>
        </w:rPr>
        <w:t>، لکنّه لا یخلو عن إشکال</w:t>
      </w:r>
      <w:r>
        <w:rPr>
          <w:rFonts w:eastAsia="IRNazanin" w:cs="IRNazanin"/>
          <w:color w:val="111111"/>
          <w:sz w:val="28"/>
          <w:szCs w:val="28"/>
          <w:rtl w:val="true"/>
          <w:lang w:bidi="fa-IR"/>
        </w:rPr>
        <w:t>.</w:t>
      </w:r>
    </w:p>
    <w:p>
      <w:pPr>
        <w:pStyle w:val="Heading5"/>
        <w:numPr>
          <w:ilvl w:val="4"/>
          <w:numId w:val="1"/>
        </w:numPr>
        <w:rPr/>
      </w:pPr>
      <w:bookmarkStart w:id="5772" w:name="__RefHeading___Toc2570214_3650668749"/>
      <w:bookmarkStart w:id="5773" w:name="_Toc2616"/>
      <w:bookmarkEnd w:id="5772"/>
      <w:r>
        <w:rPr>
          <w:rtl w:val="true"/>
        </w:rPr>
        <w:t>[ (</w:t>
      </w:r>
      <w:r>
        <w:rPr>
          <w:rtl w:val="true"/>
        </w:rPr>
        <w:t xml:space="preserve">مسألة </w:t>
      </w:r>
      <w:r>
        <w:rPr/>
        <w:t>5</w:t>
      </w:r>
      <w:r>
        <w:rPr>
          <w:rtl w:val="true"/>
        </w:rPr>
        <w:t xml:space="preserve">): </w:t>
      </w:r>
      <w:r>
        <w:rPr>
          <w:rtl w:val="true"/>
        </w:rPr>
        <w:t>لا یعتبر فی المتصدّق علیه فی الصدقة المندوبة الفقر و لا الإیمان</w:t>
      </w:r>
      <w:r>
        <w:rPr>
          <w:rtl w:val="true"/>
        </w:rPr>
        <w:t>]</w:t>
      </w:r>
      <w:bookmarkEnd w:id="57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المتصدّق علیه فی الصدقة المندوبة الفقر و لا الإیمان، بل و لا الإسلام، فیجوز علی الغنیّ و علی المخالف و علی الذمّی و إن کانا أجنبیّین، نعم لا یجوز علی الناصب و لا علی الحربی و إن کانا قریبین</w:t>
      </w:r>
      <w:r>
        <w:rPr>
          <w:rFonts w:eastAsia="IRNazanin" w:cs="IRNazanin"/>
          <w:color w:val="111111"/>
          <w:sz w:val="28"/>
          <w:szCs w:val="28"/>
          <w:rtl w:val="true"/>
          <w:lang w:bidi="fa-IR"/>
        </w:rPr>
        <w:t>.</w:t>
      </w:r>
    </w:p>
    <w:p>
      <w:pPr>
        <w:pStyle w:val="Heading5"/>
        <w:numPr>
          <w:ilvl w:val="4"/>
          <w:numId w:val="1"/>
        </w:numPr>
        <w:rPr/>
      </w:pPr>
      <w:bookmarkStart w:id="5774" w:name="__RefHeading___Toc2570216_3650668749"/>
      <w:bookmarkStart w:id="5775" w:name="_Toc2617"/>
      <w:bookmarkEnd w:id="5774"/>
      <w:r>
        <w:rPr>
          <w:rtl w:val="true"/>
        </w:rPr>
        <w:t>[ (</w:t>
      </w:r>
      <w:r>
        <w:rPr>
          <w:rtl w:val="true"/>
        </w:rPr>
        <w:t xml:space="preserve">مسألة </w:t>
      </w:r>
      <w:r>
        <w:rPr/>
        <w:t>6</w:t>
      </w:r>
      <w:r>
        <w:rPr>
          <w:rtl w:val="true"/>
        </w:rPr>
        <w:t xml:space="preserve">): </w:t>
      </w:r>
      <w:r>
        <w:rPr>
          <w:rtl w:val="true"/>
        </w:rPr>
        <w:t>الصدقة المندوبة سرّاً أفضل</w:t>
      </w:r>
      <w:r>
        <w:rPr>
          <w:rtl w:val="true"/>
        </w:rPr>
        <w:t>]</w:t>
      </w:r>
      <w:bookmarkEnd w:id="5775"/>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المندوبة سرّاً أفضل، فقد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صدقة السرّ تطفئ غضب الربّ و تطفئ الخطیئة کما یطفئ الماء النار و تدفع سبعین باباً من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خبر آخر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یظلّهم اللّٰه فی ظلّه یوم لا ظلّ إلّا ظلّه إلیٰ أن قال و رجل تصدّق بصدقة فأخفاها حتّی لم تعلم یمینه ما تنفق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اتّهم بترک المواساة فأراد دفع التهمة عن نفسه أو قصد اقتداء غیره به لا بأس بالإجهار بها و لم یتأکّد إخفاؤها، هذا فی</w:t>
      </w:r>
      <w:bookmarkStart w:id="5776" w:name="pg1809_19578"/>
    </w:p>
    <w:p>
      <w:pPr>
        <w:pStyle w:val="BookText"/>
        <w:rPr/>
      </w:pPr>
      <w:bookmarkEnd w:id="5776"/>
      <w:r>
        <w:rPr>
          <w:rFonts w:ascii="Amiri" w:hAnsi="Amiri" w:eastAsia="Amiri" w:cs="Amiri"/>
          <w:color w:val="111111"/>
          <w:sz w:val="28"/>
          <w:sz w:val="28"/>
          <w:szCs w:val="28"/>
          <w:rtl w:val="true"/>
          <w:lang w:bidi="ar-SA"/>
        </w:rPr>
        <w:t>الصدقة المندوبة، و أمّا الواجبة فالأفضل إظهارها مطلقاً</w:t>
      </w:r>
      <w:r>
        <w:rPr>
          <w:rFonts w:eastAsia="Amiri" w:cs="Amiri" w:ascii="Amiri" w:hAnsi="Amiri"/>
          <w:color w:val="111111"/>
          <w:sz w:val="28"/>
          <w:szCs w:val="28"/>
          <w:rtl w:val="true"/>
          <w:lang w:bidi="ar-SA"/>
        </w:rPr>
        <w:t>.</w:t>
      </w:r>
    </w:p>
    <w:p>
      <w:pPr>
        <w:pStyle w:val="Heading5"/>
        <w:numPr>
          <w:ilvl w:val="4"/>
          <w:numId w:val="1"/>
        </w:numPr>
        <w:rPr/>
      </w:pPr>
      <w:bookmarkStart w:id="5777" w:name="__RefHeading___Toc2570218_3650668749"/>
      <w:bookmarkStart w:id="5778" w:name="_Toc2618"/>
      <w:bookmarkEnd w:id="5777"/>
      <w:r>
        <w:rPr>
          <w:rtl w:val="true"/>
        </w:rPr>
        <w:t>[ (</w:t>
      </w:r>
      <w:r>
        <w:rPr>
          <w:rtl w:val="true"/>
        </w:rPr>
        <w:t xml:space="preserve">مسألة </w:t>
      </w:r>
      <w:r>
        <w:rPr/>
        <w:t>7</w:t>
      </w:r>
      <w:r>
        <w:rPr>
          <w:rtl w:val="true"/>
        </w:rPr>
        <w:t xml:space="preserve">): </w:t>
      </w:r>
      <w:r>
        <w:rPr>
          <w:rtl w:val="true"/>
        </w:rPr>
        <w:t>یستحبّ المساعدة و التوسّط فی إیصال الصدقة إلی المستحقّ</w:t>
      </w:r>
      <w:r>
        <w:rPr>
          <w:rtl w:val="true"/>
        </w:rPr>
        <w:t>]</w:t>
      </w:r>
      <w:bookmarkEnd w:id="57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المساعدة و التوسّط فی إیصال الصدقة إلی المستحقّ، فعن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جری المعروف علیٰ ثمانین کفّاً لأُوجروا کلّهم من غیر أن ینقص صاحبه من أجره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خبر آخر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تصدّق بصدقة عن رجل إلیٰ مسکین کان له مثل أجره و لو تداولها أربعون ألف إنسان ثمّ وصلت إلی المسکین کان لهم أجر کامل</w:t>
      </w:r>
      <w:r>
        <w:rPr>
          <w:rFonts w:eastAsia="IRNazanin" w:cs="IRNazanin"/>
          <w:color w:val="111111"/>
          <w:sz w:val="28"/>
          <w:szCs w:val="28"/>
          <w:rtl w:val="true"/>
          <w:lang w:bidi="fa-IR"/>
        </w:rPr>
        <w:t>».</w:t>
      </w:r>
    </w:p>
    <w:p>
      <w:pPr>
        <w:pStyle w:val="Heading5"/>
        <w:numPr>
          <w:ilvl w:val="4"/>
          <w:numId w:val="1"/>
        </w:numPr>
        <w:rPr/>
      </w:pPr>
      <w:bookmarkStart w:id="5779" w:name="__RefHeading___Toc2570220_3650668749"/>
      <w:bookmarkStart w:id="5780" w:name="_Toc2619"/>
      <w:bookmarkEnd w:id="5779"/>
      <w:r>
        <w:rPr>
          <w:rtl w:val="true"/>
        </w:rPr>
        <w:t>[ (</w:t>
      </w:r>
      <w:r>
        <w:rPr>
          <w:rtl w:val="true"/>
        </w:rPr>
        <w:t xml:space="preserve">مسألة </w:t>
      </w:r>
      <w:r>
        <w:rPr/>
        <w:t>8</w:t>
      </w:r>
      <w:r>
        <w:rPr>
          <w:rtl w:val="true"/>
        </w:rPr>
        <w:t xml:space="preserve">): </w:t>
      </w:r>
      <w:r>
        <w:rPr>
          <w:rtl w:val="true"/>
        </w:rPr>
        <w:t>یکره کراهة شدیدة أن یتملّک من الفقیر ما تصدّق به بشراء أو اتّهاب أو بسبب آخر</w:t>
      </w:r>
      <w:r>
        <w:rPr>
          <w:rtl w:val="true"/>
        </w:rPr>
        <w:t>]</w:t>
      </w:r>
      <w:bookmarkEnd w:id="57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کراهة شدیدة أن یتملّک من الفقیر ما تصدّق به بشراء أو اتّهاب أو بسبب آخر بل قیل بحرمته، نعم لا بأس بأن یرجع إلیه بالمیراث</w:t>
      </w:r>
      <w:r>
        <w:rPr>
          <w:rFonts w:eastAsia="IRNazanin" w:cs="IRNazanin"/>
          <w:color w:val="111111"/>
          <w:sz w:val="28"/>
          <w:szCs w:val="28"/>
          <w:rtl w:val="true"/>
          <w:lang w:bidi="fa-IR"/>
        </w:rPr>
        <w:t>.</w:t>
      </w:r>
    </w:p>
    <w:p>
      <w:pPr>
        <w:pStyle w:val="Heading5"/>
        <w:numPr>
          <w:ilvl w:val="4"/>
          <w:numId w:val="1"/>
        </w:numPr>
        <w:rPr/>
      </w:pPr>
      <w:bookmarkStart w:id="5781" w:name="__RefHeading___Toc2570222_3650668749"/>
      <w:bookmarkStart w:id="5782" w:name="_Toc2620"/>
      <w:bookmarkEnd w:id="5781"/>
      <w:r>
        <w:rPr>
          <w:rtl w:val="true"/>
        </w:rPr>
        <w:t>[ (</w:t>
      </w:r>
      <w:r>
        <w:rPr>
          <w:rtl w:val="true"/>
        </w:rPr>
        <w:t xml:space="preserve">مسألة </w:t>
      </w:r>
      <w:r>
        <w:rPr/>
        <w:t>9</w:t>
      </w:r>
      <w:r>
        <w:rPr>
          <w:rtl w:val="true"/>
        </w:rPr>
        <w:t xml:space="preserve">): </w:t>
      </w:r>
      <w:r>
        <w:rPr>
          <w:rtl w:val="true"/>
        </w:rPr>
        <w:t>یکره ردّ السائل و لو ظنّ غناه</w:t>
      </w:r>
      <w:r>
        <w:rPr>
          <w:rtl w:val="true"/>
        </w:rPr>
        <w:t>]</w:t>
      </w:r>
      <w:bookmarkEnd w:id="57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ردّ السائل و لو ظنّ غناه، بل أعطاه و لو شیئاً یسیراً، فعن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 السائل و لو کان علیٰ ظهر 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فیما ناجی اللّٰه عزّ و جلّ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أکرم السائل ببذل یسیر أو بردٍّ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5"/>
        <w:numPr>
          <w:ilvl w:val="4"/>
          <w:numId w:val="1"/>
        </w:numPr>
        <w:rPr/>
      </w:pPr>
      <w:bookmarkStart w:id="5783" w:name="__RefHeading___Toc2570224_3650668749"/>
      <w:bookmarkStart w:id="5784" w:name="_Toc2621"/>
      <w:bookmarkEnd w:id="5783"/>
      <w:r>
        <w:rPr>
          <w:rtl w:val="true"/>
        </w:rPr>
        <w:t>[ (</w:t>
      </w:r>
      <w:r>
        <w:rPr>
          <w:rtl w:val="true"/>
        </w:rPr>
        <w:t xml:space="preserve">مسألة </w:t>
      </w:r>
      <w:r>
        <w:rPr/>
        <w:t>10</w:t>
      </w:r>
      <w:r>
        <w:rPr>
          <w:rtl w:val="true"/>
        </w:rPr>
        <w:t xml:space="preserve">): </w:t>
      </w:r>
      <w:r>
        <w:rPr>
          <w:rtl w:val="true"/>
        </w:rPr>
        <w:t>یکره کراهة شدیدة السؤال من غیر احتیاج</w:t>
      </w:r>
      <w:r>
        <w:rPr>
          <w:rtl w:val="true"/>
        </w:rPr>
        <w:t>]</w:t>
      </w:r>
      <w:bookmarkEnd w:id="5784"/>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کراهة شدیدة السؤال من غیر احتیاج، بل مع الحاجة أیضاً، و ربّما یقال بحرمة الأوّل و لا یخلو من قوّة </w:t>
      </w:r>
      <w:r>
        <w:rPr>
          <w:rStyle w:val="FootnoteAnchor"/>
          <w:rtl w:val="true"/>
        </w:rPr>
        <w:footnoteReference w:id="1539"/>
      </w:r>
      <w:r>
        <w:rPr>
          <w:rFonts w:ascii="IRNazanin" w:hAnsi="IRNazanin" w:eastAsia="IRNazanin"/>
          <w:color w:val="111111"/>
          <w:sz w:val="28"/>
          <w:sz w:val="28"/>
          <w:szCs w:val="28"/>
          <w:rtl w:val="true"/>
          <w:lang w:bidi="fa-IR"/>
        </w:rPr>
        <w:t xml:space="preserve">، فعن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فتح علیٰ نفسه باب مسألة فتح اللّٰه علیه باب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علیٰ ربّی أنّه لا یسأل أحد من غیر حاجة إلّا اضطرّ به المسألة یوماً إلیٰ أن یسأل من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یعلم السائل ما فی المسألة ما سأل أحد أحداً، و لو یعلم المعطی ما فی العطیّة ما ردّ أحد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سأل و هو یظهر غنی لقی اللّٰه مخموشاً وجهه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سأل من غیر فقر فإنّما یأکل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سأل الناس و عنده قوت ثلاثة أیّام لقی اللّٰه یوم القیامة و لیس علیٰ وجهه 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آخر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ینظر إلیهم یوم القیامة و لا یزکّیهم و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الدیّوث و الفاحش المتفحّش و الذی یسأل الناس و فی یده یظهر غنی</w:t>
      </w:r>
      <w:r>
        <w:rPr>
          <w:rFonts w:eastAsia="IRNazanin" w:cs="IRNazanin"/>
          <w:color w:val="111111"/>
          <w:sz w:val="28"/>
          <w:szCs w:val="28"/>
          <w:rtl w:val="true"/>
          <w:lang w:bidi="fa-IR"/>
        </w:rPr>
        <w:t>».</w:t>
      </w:r>
      <w:bookmarkStart w:id="5785" w:name="pg1809_19579"/>
    </w:p>
    <w:p>
      <w:pPr>
        <w:pStyle w:val="Heading2"/>
        <w:numPr>
          <w:ilvl w:val="1"/>
          <w:numId w:val="1"/>
        </w:numPr>
        <w:rPr/>
      </w:pPr>
      <w:bookmarkStart w:id="5786" w:name="__RefHeading___Toc2570226_3650668749"/>
      <w:bookmarkStart w:id="5787" w:name="_Toc2622"/>
      <w:bookmarkEnd w:id="5785"/>
      <w:bookmarkEnd w:id="5786"/>
      <w:r>
        <w:rPr>
          <w:rtl w:val="true"/>
        </w:rPr>
        <w:t>[</w:t>
      </w:r>
      <w:r>
        <w:rPr>
          <w:rtl w:val="true"/>
        </w:rPr>
        <w:t>کتاب الوصیّة</w:t>
      </w:r>
      <w:r>
        <w:rPr>
          <w:rtl w:val="true"/>
        </w:rPr>
        <w:t>]</w:t>
      </w:r>
      <w:bookmarkEnd w:id="5787"/>
    </w:p>
    <w:p>
      <w:pPr>
        <w:pStyle w:val="Heading3"/>
        <w:numPr>
          <w:ilvl w:val="2"/>
          <w:numId w:val="1"/>
        </w:numPr>
        <w:rPr/>
      </w:pPr>
      <w:bookmarkStart w:id="5788" w:name="__RefHeading___Toc2570228_3650668749"/>
      <w:bookmarkStart w:id="5789" w:name="_Toc2623"/>
      <w:bookmarkEnd w:id="5788"/>
      <w:r>
        <w:rPr>
          <w:rtl w:val="true"/>
        </w:rPr>
        <w:t>اشارة</w:t>
      </w:r>
      <w:bookmarkEnd w:id="5789"/>
    </w:p>
    <w:p>
      <w:pPr>
        <w:pStyle w:val="BookText"/>
        <w:rPr/>
      </w:pPr>
      <w:r>
        <w:rPr>
          <w:rFonts w:ascii="IRNazanin" w:hAnsi="IRNazanin" w:eastAsia="IRNazanin"/>
          <w:color w:val="111111"/>
          <w:sz w:val="28"/>
          <w:sz w:val="28"/>
          <w:szCs w:val="28"/>
          <w:rtl w:val="true"/>
          <w:lang w:bidi="fa-IR"/>
        </w:rPr>
        <w:t xml:space="preserve">کتاب الوصیّة و هی علیٰ ضربین </w:t>
      </w:r>
      <w:r>
        <w:rPr>
          <w:rStyle w:val="FootnoteAnchor"/>
          <w:rtl w:val="true"/>
        </w:rPr>
        <w:footnoteReference w:id="1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تملیکیّة، کأن یوصی بشی‌ء من ترکته لزید، و عهدیّة، کأن یوصی بما یتعلّق بتجهیزه أو باستئجار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 الحجّ أو الصوم أو الصلاة أو الزیارات له</w:t>
      </w:r>
      <w:r>
        <w:rPr>
          <w:rFonts w:eastAsia="IRNazanin" w:cs="IRNazanin"/>
          <w:color w:val="111111"/>
          <w:sz w:val="28"/>
          <w:szCs w:val="28"/>
          <w:rtl w:val="true"/>
          <w:lang w:bidi="fa-IR"/>
        </w:rPr>
        <w:t>.</w:t>
      </w:r>
    </w:p>
    <w:p>
      <w:pPr>
        <w:pStyle w:val="Heading3"/>
        <w:numPr>
          <w:ilvl w:val="2"/>
          <w:numId w:val="1"/>
        </w:numPr>
        <w:rPr/>
      </w:pPr>
      <w:bookmarkStart w:id="5790" w:name="__RefHeading___Toc2570230_3650668749"/>
      <w:bookmarkStart w:id="5791" w:name="_Toc2624"/>
      <w:bookmarkEnd w:id="5790"/>
      <w:r>
        <w:rPr>
          <w:rtl w:val="true"/>
        </w:rPr>
        <w:t>[ (</w:t>
      </w:r>
      <w:r>
        <w:rPr>
          <w:rtl w:val="true"/>
        </w:rPr>
        <w:t xml:space="preserve">مسألة </w:t>
      </w:r>
      <w:r>
        <w:rPr/>
        <w:t>1</w:t>
      </w:r>
      <w:r>
        <w:rPr>
          <w:rtl w:val="true"/>
        </w:rPr>
        <w:t xml:space="preserve">): </w:t>
      </w:r>
      <w:r>
        <w:rPr>
          <w:rtl w:val="true"/>
        </w:rPr>
        <w:t>إذا ظهرت للإنسان أمارات الموت یجب علیه أن یوصی بإیصال ما عنده من أموال الناس</w:t>
      </w:r>
      <w:r>
        <w:rPr>
          <w:rtl w:val="true"/>
        </w:rPr>
        <w:t>]</w:t>
      </w:r>
      <w:bookmarkEnd w:id="57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ظهرت للإنسان أمارات الموت یجب علیه </w:t>
      </w:r>
      <w:r>
        <w:rPr>
          <w:rStyle w:val="FootnoteAnchor"/>
          <w:rtl w:val="true"/>
        </w:rPr>
        <w:footnoteReference w:id="1541"/>
      </w:r>
      <w:r>
        <w:rPr>
          <w:rFonts w:ascii="IRNazanin" w:hAnsi="IRNazanin" w:eastAsia="IRNazanin"/>
          <w:color w:val="111111"/>
          <w:sz w:val="28"/>
          <w:sz w:val="28"/>
          <w:szCs w:val="28"/>
          <w:rtl w:val="true"/>
          <w:lang w:bidi="fa-IR"/>
        </w:rPr>
        <w:t>أن یوصی بإیصال ما عنده من أموال الناس من الودائع و البضائع و نحوها إلیٰ أربابها و الإشهاد علیها، خصوصاً إذا خفیت علی الورثة، و کذا بأداء ما علیه من الحقوق المالیّة؛ خلقیّاً کان کالدیون و الضمانات و الدیات و أُروش الجنایات، أو خالقیّاً کالخمس و الزکاة و المظالم و الکفّارات، بل یجب علیه أن یوصی بأن یستأجر عنه ما علیه من الواجبات البدنیّة ممّا یصحّ فیها النیابة و الاستئجار کقضاء الصوم و الصلاة إذا لم یکن له ولیّ یقضیها عنه، بل و لو کان له ولیّ لا یصحّ منه العمل کالصبیّ، أو کان ممّن لا وثوق بإتیانه أو صحّة عمله</w:t>
      </w:r>
      <w:r>
        <w:rPr>
          <w:rFonts w:eastAsia="IRNazanin" w:cs="IRNazanin"/>
          <w:color w:val="111111"/>
          <w:sz w:val="28"/>
          <w:szCs w:val="28"/>
          <w:rtl w:val="true"/>
          <w:lang w:bidi="fa-IR"/>
        </w:rPr>
        <w:t>.</w:t>
      </w:r>
    </w:p>
    <w:p>
      <w:pPr>
        <w:pStyle w:val="Heading3"/>
        <w:numPr>
          <w:ilvl w:val="2"/>
          <w:numId w:val="1"/>
        </w:numPr>
        <w:rPr/>
      </w:pPr>
      <w:bookmarkStart w:id="5792" w:name="__RefHeading___Toc2570232_3650668749"/>
      <w:bookmarkStart w:id="5793" w:name="_Toc2625"/>
      <w:bookmarkEnd w:id="5792"/>
      <w:r>
        <w:rPr>
          <w:rtl w:val="true"/>
        </w:rPr>
        <w:t>[ (</w:t>
      </w:r>
      <w:r>
        <w:rPr>
          <w:rtl w:val="true"/>
        </w:rPr>
        <w:t xml:space="preserve">مسألة </w:t>
      </w:r>
      <w:r>
        <w:rPr/>
        <w:t>2</w:t>
      </w:r>
      <w:r>
        <w:rPr>
          <w:rtl w:val="true"/>
        </w:rPr>
        <w:t xml:space="preserve">): </w:t>
      </w:r>
      <w:r>
        <w:rPr>
          <w:rtl w:val="true"/>
        </w:rPr>
        <w:t>إذا کان عنده أموال الناس، أو کان علیه حقوق و واجبات، لکن یعلم أو یطمئنّ بأنّ أخلافه یوصلون الأموال</w:t>
      </w:r>
      <w:r>
        <w:rPr>
          <w:rtl w:val="true"/>
        </w:rPr>
        <w:t>]</w:t>
      </w:r>
      <w:bookmarkEnd w:id="5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أموال الناس، أو کان علیه حقوق و واجبات، لکن یعلم أو یطمئنّ بأنّ أخلافه یوصلون الأموال و یؤدّون الحقوق و الواجبات، لم یجب علیه الإیصاء و إن کان أحوط و أولی</w:t>
      </w:r>
      <w:r>
        <w:rPr>
          <w:rFonts w:eastAsia="IRNazanin" w:cs="IRNazanin"/>
          <w:color w:val="111111"/>
          <w:sz w:val="28"/>
          <w:szCs w:val="28"/>
          <w:rtl w:val="true"/>
          <w:lang w:bidi="fa-IR"/>
        </w:rPr>
        <w:t>.</w:t>
      </w:r>
    </w:p>
    <w:p>
      <w:pPr>
        <w:pStyle w:val="Heading3"/>
        <w:numPr>
          <w:ilvl w:val="2"/>
          <w:numId w:val="1"/>
        </w:numPr>
        <w:rPr/>
      </w:pPr>
      <w:bookmarkStart w:id="5794" w:name="__RefHeading___Toc2570234_3650668749"/>
      <w:bookmarkStart w:id="5795" w:name="_Toc2626"/>
      <w:bookmarkEnd w:id="5794"/>
      <w:r>
        <w:rPr>
          <w:rtl w:val="true"/>
        </w:rPr>
        <w:t>[ (</w:t>
      </w:r>
      <w:r>
        <w:rPr>
          <w:rtl w:val="true"/>
        </w:rPr>
        <w:t xml:space="preserve">مسألة </w:t>
      </w:r>
      <w:r>
        <w:rPr/>
        <w:t>3</w:t>
      </w:r>
      <w:r>
        <w:rPr>
          <w:rtl w:val="true"/>
        </w:rPr>
        <w:t xml:space="preserve">): </w:t>
      </w:r>
      <w:r>
        <w:rPr>
          <w:rtl w:val="true"/>
        </w:rPr>
        <w:t>یکفی فی الوصیّة کلّ ما دلّ علیها من الألفاظ من أیّ لغة کان</w:t>
      </w:r>
      <w:r>
        <w:rPr>
          <w:rtl w:val="true"/>
        </w:rPr>
        <w:t>]</w:t>
      </w:r>
      <w:bookmarkEnd w:id="5795"/>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الوصیّة کلّ ما دلّ علیها من الألفاظ من أیّ لغة کان، و لا یعتبر فیها لفظ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لفظها الصریح فی التملیکیة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أوصیت لفلان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فلاناً</w:t>
      </w:r>
      <w:r>
        <w:rPr>
          <w:rFonts w:eastAsia="IRNazanin" w:cs="IRNazanin"/>
          <w:color w:val="111111"/>
          <w:sz w:val="28"/>
          <w:szCs w:val="28"/>
          <w:rtl w:val="true"/>
          <w:lang w:bidi="fa-IR"/>
        </w:rPr>
        <w:t>»</w:t>
      </w:r>
      <w:bookmarkStart w:id="5796" w:name="pg1809_19580"/>
    </w:p>
    <w:p>
      <w:pPr>
        <w:pStyle w:val="BookText"/>
        <w:rPr/>
      </w:pPr>
      <w:bookmarkEnd w:id="5796"/>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ادفعوا إلیه بعد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بعد موتی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فی العهدیّة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افعلوا بعد موتی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عدم </w:t>
      </w:r>
      <w:r>
        <w:rPr>
          <w:rStyle w:val="FootnoteAnchor"/>
          <w:rtl w:val="true"/>
        </w:rPr>
        <w:footnoteReference w:id="1542"/>
      </w:r>
      <w:r>
        <w:rPr>
          <w:rFonts w:ascii="IRNazanin" w:hAnsi="IRNazanin" w:eastAsia="IRNazanin"/>
          <w:color w:val="111111"/>
          <w:sz w:val="28"/>
          <w:sz w:val="28"/>
          <w:szCs w:val="28"/>
          <w:rtl w:val="true"/>
          <w:lang w:bidi="fa-IR"/>
        </w:rPr>
        <w:t>کفایة الإشارة إلّا مع العجز عن النطق، بخلاف الکتابة فإنّ الظاهر الاکتفاء بها مطلقاً، خصوصاً فی الوصیّة العهدیّة إذا علم أنّه قد کان فی مقام الوصیّة و کانت العبارة ظاهرة الدلالة علی المعنی المقصود، فیکفی وجود مکتوب من الموصی بخطّه و خاتمه إذا علم من قرائن الأحوال کونه بعنوان الوصیّة فیجب تنفیذها</w:t>
      </w:r>
      <w:r>
        <w:rPr>
          <w:rFonts w:eastAsia="IRNazanin" w:cs="IRNazanin"/>
          <w:color w:val="111111"/>
          <w:sz w:val="28"/>
          <w:szCs w:val="28"/>
          <w:rtl w:val="true"/>
          <w:lang w:bidi="fa-IR"/>
        </w:rPr>
        <w:t>.</w:t>
      </w:r>
    </w:p>
    <w:p>
      <w:pPr>
        <w:pStyle w:val="Heading3"/>
        <w:numPr>
          <w:ilvl w:val="2"/>
          <w:numId w:val="1"/>
        </w:numPr>
        <w:rPr/>
      </w:pPr>
      <w:bookmarkStart w:id="5797" w:name="__RefHeading___Toc2570236_3650668749"/>
      <w:bookmarkStart w:id="5798" w:name="_Toc2627"/>
      <w:bookmarkEnd w:id="5797"/>
      <w:r>
        <w:rPr>
          <w:rtl w:val="true"/>
        </w:rPr>
        <w:t>[ (</w:t>
      </w:r>
      <w:r>
        <w:rPr>
          <w:rtl w:val="true"/>
        </w:rPr>
        <w:t xml:space="preserve">مسألة </w:t>
      </w:r>
      <w:r>
        <w:rPr/>
        <w:t>4</w:t>
      </w:r>
      <w:r>
        <w:rPr>
          <w:rtl w:val="true"/>
        </w:rPr>
        <w:t xml:space="preserve">): </w:t>
      </w:r>
      <w:r>
        <w:rPr>
          <w:rtl w:val="true"/>
        </w:rPr>
        <w:t>الوصیّة التملیکیّة لها أرکان ثلاثة</w:t>
      </w:r>
      <w:r>
        <w:rPr>
          <w:rtl w:val="true"/>
        </w:rPr>
        <w:t>]</w:t>
      </w:r>
      <w:bookmarkEnd w:id="57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التملیکیّة لها أرکان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الموصی و الموصیٰ به و الموصیٰ له، و أمّا الوصیّة العهدیّة فإنّما یکون قوامها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الموصی و الموصیٰ به، نعم إذا عیّن الموصی شخصاً لتنفیذها تقوّم حینئذٍ بأُمور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الموصی و الموصیٰ به و الموصیٰ إلیه، و هو الذی یطلق علیه الوصیّ</w:t>
      </w:r>
      <w:r>
        <w:rPr>
          <w:rFonts w:eastAsia="IRNazanin" w:cs="IRNazanin"/>
          <w:color w:val="111111"/>
          <w:sz w:val="28"/>
          <w:szCs w:val="28"/>
          <w:rtl w:val="true"/>
          <w:lang w:bidi="fa-IR"/>
        </w:rPr>
        <w:t>.</w:t>
      </w:r>
    </w:p>
    <w:p>
      <w:pPr>
        <w:pStyle w:val="Heading3"/>
        <w:numPr>
          <w:ilvl w:val="2"/>
          <w:numId w:val="1"/>
        </w:numPr>
        <w:rPr/>
      </w:pPr>
      <w:bookmarkStart w:id="5799" w:name="__RefHeading___Toc2570238_3650668749"/>
      <w:bookmarkStart w:id="5800" w:name="_Toc2628"/>
      <w:bookmarkEnd w:id="5799"/>
      <w:r>
        <w:rPr>
          <w:rtl w:val="true"/>
        </w:rPr>
        <w:t>[ (</w:t>
      </w:r>
      <w:r>
        <w:rPr>
          <w:rtl w:val="true"/>
        </w:rPr>
        <w:t xml:space="preserve">مسألة </w:t>
      </w:r>
      <w:r>
        <w:rPr/>
        <w:t>5</w:t>
      </w:r>
      <w:r>
        <w:rPr>
          <w:rtl w:val="true"/>
        </w:rPr>
        <w:t xml:space="preserve">): </w:t>
      </w:r>
      <w:r>
        <w:rPr>
          <w:rtl w:val="true"/>
        </w:rPr>
        <w:t>لا إشکال فی أنّ الوصیّة العهدیّة لا یحتاج إلیٰ قبول</w:t>
      </w:r>
      <w:r>
        <w:rPr>
          <w:rtl w:val="true"/>
        </w:rPr>
        <w:t>]</w:t>
      </w:r>
      <w:bookmarkEnd w:id="58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الوصیّة العهدیّة لا یحتاج إلیٰ قبول، نعم لو عیّن وصیّاً لتنفیذها لا بدّ من قبوله، لکن فی وصایته لا فی أصل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الوصیّة التملیکیّة فإن کانت تملیکاً للنوع کالوصیّة للفقراء و السادة و الطلبة، فهی کالعهدیّة لا یعتبر فیها القبول، و إن کانت تملیکاً للشخص، فالمشهور علیٰ أنّه یعتبر فیها القبول من الموصی له، و لا یبعد </w:t>
      </w:r>
      <w:r>
        <w:rPr>
          <w:rStyle w:val="FootnoteAnchor"/>
          <w:rtl w:val="true"/>
        </w:rPr>
        <w:footnoteReference w:id="1543"/>
      </w:r>
      <w:r>
        <w:rPr>
          <w:rFonts w:ascii="IRNazanin" w:hAnsi="IRNazanin" w:eastAsia="IRNazanin"/>
          <w:color w:val="111111"/>
          <w:sz w:val="28"/>
          <w:sz w:val="28"/>
          <w:szCs w:val="28"/>
          <w:rtl w:val="true"/>
          <w:lang w:bidi="fa-IR"/>
        </w:rPr>
        <w:t>عدم اعتباره و کفایة عدم الردّ، فتبطل الوصیّة بالردّ لا أنّ القبول شرط</w:t>
      </w:r>
      <w:r>
        <w:rPr>
          <w:rFonts w:eastAsia="IRNazanin" w:cs="IRNazanin"/>
          <w:color w:val="111111"/>
          <w:sz w:val="28"/>
          <w:szCs w:val="28"/>
          <w:rtl w:val="true"/>
          <w:lang w:bidi="fa-IR"/>
        </w:rPr>
        <w:t>.</w:t>
      </w:r>
    </w:p>
    <w:p>
      <w:pPr>
        <w:pStyle w:val="Heading3"/>
        <w:numPr>
          <w:ilvl w:val="2"/>
          <w:numId w:val="1"/>
        </w:numPr>
        <w:rPr/>
      </w:pPr>
      <w:bookmarkStart w:id="5801" w:name="__RefHeading___Toc2570240_3650668749"/>
      <w:bookmarkStart w:id="5802" w:name="_Toc2629"/>
      <w:bookmarkEnd w:id="5801"/>
      <w:r>
        <w:rPr>
          <w:rtl w:val="true"/>
        </w:rPr>
        <w:t>[ (</w:t>
      </w:r>
      <w:r>
        <w:rPr>
          <w:rtl w:val="true"/>
        </w:rPr>
        <w:t xml:space="preserve">مسألة </w:t>
      </w:r>
      <w:r>
        <w:rPr/>
        <w:t>6</w:t>
      </w:r>
      <w:r>
        <w:rPr>
          <w:rtl w:val="true"/>
        </w:rPr>
        <w:t xml:space="preserve">): </w:t>
      </w:r>
      <w:r>
        <w:rPr>
          <w:rtl w:val="true"/>
        </w:rPr>
        <w:t>یکفی فی القبول بناءً علی اعتباره کلّ ما دلّ علی الرضا</w:t>
      </w:r>
      <w:r>
        <w:rPr>
          <w:rtl w:val="true"/>
        </w:rPr>
        <w:t>]</w:t>
      </w:r>
      <w:bookmarkEnd w:id="58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القبول بناءً علی اعتباره کلّ ما دلّ علی الرضا؛ قولًا أو فعلًا کأخذ الموصی به و التصرّف فیه</w:t>
      </w:r>
      <w:r>
        <w:rPr>
          <w:rFonts w:eastAsia="IRNazanin" w:cs="IRNazanin"/>
          <w:color w:val="111111"/>
          <w:sz w:val="28"/>
          <w:szCs w:val="28"/>
          <w:rtl w:val="true"/>
          <w:lang w:bidi="fa-IR"/>
        </w:rPr>
        <w:t>.</w:t>
      </w:r>
    </w:p>
    <w:p>
      <w:pPr>
        <w:pStyle w:val="Heading3"/>
        <w:numPr>
          <w:ilvl w:val="2"/>
          <w:numId w:val="1"/>
        </w:numPr>
        <w:rPr/>
      </w:pPr>
      <w:bookmarkStart w:id="5803" w:name="__RefHeading___Toc2570242_3650668749"/>
      <w:bookmarkStart w:id="5804" w:name="_Toc2630"/>
      <w:bookmarkEnd w:id="5803"/>
      <w:r>
        <w:rPr>
          <w:rtl w:val="true"/>
        </w:rPr>
        <w:t>[ (</w:t>
      </w:r>
      <w:r>
        <w:rPr>
          <w:rtl w:val="true"/>
        </w:rPr>
        <w:t xml:space="preserve">مسألة </w:t>
      </w:r>
      <w:r>
        <w:rPr/>
        <w:t>7</w:t>
      </w:r>
      <w:r>
        <w:rPr>
          <w:rtl w:val="true"/>
        </w:rPr>
        <w:t xml:space="preserve">): </w:t>
      </w:r>
      <w:r>
        <w:rPr>
          <w:rtl w:val="true"/>
        </w:rPr>
        <w:t>بناءً علی اعتبار القبول، لا فرق بین وقوعه فی حیاة الموصی أو بعد موته</w:t>
      </w:r>
      <w:r>
        <w:rPr>
          <w:rtl w:val="true"/>
        </w:rPr>
        <w:t>]</w:t>
      </w:r>
      <w:bookmarkEnd w:id="58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اعتبار القبول، لا فرق بین وقوعه فی حیاة الموصی أو بعد موته، کما أنّه لا فرق فی الواقع بعد الموت بین أن یکون متّصلًا به أو متأخّراً عنه مدّة</w:t>
      </w:r>
      <w:r>
        <w:rPr>
          <w:rFonts w:eastAsia="IRNazanin" w:cs="IRNazanin"/>
          <w:color w:val="111111"/>
          <w:sz w:val="28"/>
          <w:szCs w:val="28"/>
          <w:rtl w:val="true"/>
          <w:lang w:bidi="fa-IR"/>
        </w:rPr>
        <w:t>.</w:t>
      </w:r>
    </w:p>
    <w:p>
      <w:pPr>
        <w:pStyle w:val="Heading3"/>
        <w:numPr>
          <w:ilvl w:val="2"/>
          <w:numId w:val="1"/>
        </w:numPr>
        <w:rPr/>
      </w:pPr>
      <w:bookmarkStart w:id="5805" w:name="__RefHeading___Toc2570244_3650668749"/>
      <w:bookmarkStart w:id="5806" w:name="_Toc2631"/>
      <w:bookmarkEnd w:id="5805"/>
      <w:r>
        <w:rPr>
          <w:rtl w:val="true"/>
        </w:rPr>
        <w:t>[ (</w:t>
      </w:r>
      <w:r>
        <w:rPr>
          <w:rtl w:val="true"/>
        </w:rPr>
        <w:t xml:space="preserve">مسألة </w:t>
      </w:r>
      <w:r>
        <w:rPr/>
        <w:t>8</w:t>
      </w:r>
      <w:r>
        <w:rPr>
          <w:rtl w:val="true"/>
        </w:rPr>
        <w:t xml:space="preserve">): </w:t>
      </w:r>
      <w:r>
        <w:rPr>
          <w:rtl w:val="true"/>
        </w:rPr>
        <w:t>لو ردّ بعضاً و قبل بعضاً، صحّ</w:t>
      </w:r>
      <w:r>
        <w:rPr>
          <w:rtl w:val="true"/>
        </w:rPr>
        <w:t>]</w:t>
      </w:r>
      <w:bookmarkEnd w:id="5806"/>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ردّ بعضاً و قبل بعضاً، صحّ </w:t>
      </w:r>
      <w:r>
        <w:rPr>
          <w:rStyle w:val="FootnoteAnchor"/>
          <w:rtl w:val="true"/>
        </w:rPr>
        <w:footnoteReference w:id="1544"/>
      </w:r>
      <w:r>
        <w:rPr>
          <w:rFonts w:ascii="IRNazanin" w:hAnsi="IRNazanin" w:eastAsia="IRNazanin"/>
          <w:color w:val="111111"/>
          <w:sz w:val="28"/>
          <w:sz w:val="28"/>
          <w:szCs w:val="28"/>
          <w:rtl w:val="true"/>
          <w:lang w:bidi="fa-IR"/>
        </w:rPr>
        <w:t>فیما قبله، و بطل فیما ردّه علی الأقویٰ</w:t>
      </w:r>
      <w:r>
        <w:rPr>
          <w:rFonts w:eastAsia="IRNazanin" w:cs="IRNazanin"/>
          <w:color w:val="111111"/>
          <w:sz w:val="28"/>
          <w:szCs w:val="28"/>
          <w:rtl w:val="true"/>
          <w:lang w:bidi="fa-IR"/>
        </w:rPr>
        <w:t>.</w:t>
      </w:r>
      <w:bookmarkStart w:id="5807" w:name="pg1809_19581"/>
    </w:p>
    <w:p>
      <w:pPr>
        <w:pStyle w:val="Heading3"/>
        <w:numPr>
          <w:ilvl w:val="2"/>
          <w:numId w:val="1"/>
        </w:numPr>
        <w:rPr/>
      </w:pPr>
      <w:bookmarkStart w:id="5808" w:name="__RefHeading___Toc2570246_3650668749"/>
      <w:bookmarkStart w:id="5809" w:name="_Toc2632"/>
      <w:bookmarkEnd w:id="5807"/>
      <w:bookmarkEnd w:id="5808"/>
      <w:r>
        <w:rPr>
          <w:rtl w:val="true"/>
        </w:rPr>
        <w:t>[ (</w:t>
      </w:r>
      <w:r>
        <w:rPr>
          <w:rtl w:val="true"/>
        </w:rPr>
        <w:t xml:space="preserve">مسألة </w:t>
      </w:r>
      <w:r>
        <w:rPr/>
        <w:t>9</w:t>
      </w:r>
      <w:r>
        <w:rPr>
          <w:rtl w:val="true"/>
        </w:rPr>
        <w:t xml:space="preserve">): </w:t>
      </w:r>
      <w:r>
        <w:rPr>
          <w:rtl w:val="true"/>
        </w:rPr>
        <w:t>لو مات الموصی له فی حیاة الموصی، أو بعد موته قبل أن یصدر منه ردّ أو قبول</w:t>
      </w:r>
      <w:r>
        <w:rPr>
          <w:rtl w:val="true"/>
        </w:rPr>
        <w:t>]</w:t>
      </w:r>
      <w:bookmarkEnd w:id="58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الموصی له فی حیاة الموصی، أو بعد موته قبل أن یصدر منه ردّ أو قبول، قام ورثته مقامه فی الردّ و القبول، فیملکون الموصی به بقبولهم </w:t>
      </w:r>
      <w:r>
        <w:rPr>
          <w:rStyle w:val="FootnoteAnchor"/>
          <w:rtl w:val="true"/>
        </w:rPr>
        <w:footnoteReference w:id="1545"/>
      </w:r>
      <w:r>
        <w:rPr>
          <w:rFonts w:ascii="IRNazanin" w:hAnsi="IRNazanin" w:eastAsia="IRNazanin"/>
          <w:color w:val="111111"/>
          <w:sz w:val="28"/>
          <w:sz w:val="28"/>
          <w:szCs w:val="28"/>
          <w:rtl w:val="true"/>
          <w:lang w:bidi="fa-IR"/>
        </w:rPr>
        <w:t>أو عدم ردّهم کمورّثهم لو لم یرجع الموصی عن وصیّته قبل موته</w:t>
      </w:r>
      <w:r>
        <w:rPr>
          <w:rFonts w:eastAsia="IRNazanin" w:cs="IRNazanin"/>
          <w:color w:val="111111"/>
          <w:sz w:val="28"/>
          <w:szCs w:val="28"/>
          <w:rtl w:val="true"/>
          <w:lang w:bidi="fa-IR"/>
        </w:rPr>
        <w:t>.</w:t>
      </w:r>
    </w:p>
    <w:p>
      <w:pPr>
        <w:pStyle w:val="Heading3"/>
        <w:numPr>
          <w:ilvl w:val="2"/>
          <w:numId w:val="1"/>
        </w:numPr>
        <w:rPr/>
      </w:pPr>
      <w:bookmarkStart w:id="5810" w:name="__RefHeading___Toc2570248_3650668749"/>
      <w:bookmarkStart w:id="5811" w:name="_Toc2633"/>
      <w:bookmarkEnd w:id="5810"/>
      <w:r>
        <w:rPr>
          <w:rtl w:val="true"/>
        </w:rPr>
        <w:t>[ (</w:t>
      </w:r>
      <w:r>
        <w:rPr>
          <w:rtl w:val="true"/>
        </w:rPr>
        <w:t xml:space="preserve">مسألة </w:t>
      </w:r>
      <w:r>
        <w:rPr/>
        <w:t>10</w:t>
      </w:r>
      <w:r>
        <w:rPr>
          <w:rtl w:val="true"/>
        </w:rPr>
        <w:t xml:space="preserve">): </w:t>
      </w:r>
      <w:r>
        <w:rPr>
          <w:rtl w:val="true"/>
        </w:rPr>
        <w:t>الظاهر أنّ الوارث یتلقّی المال الموصی به من الموصی ابتداءً</w:t>
      </w:r>
      <w:r>
        <w:rPr>
          <w:rtl w:val="true"/>
        </w:rPr>
        <w:t>]</w:t>
      </w:r>
      <w:bookmarkEnd w:id="58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الوارث یتلقّی المال الموصی به من الموصی ابتداءً لا أنّه ینتقل إلی الموصی له أوّلًا ثمّ إلیٰ وارثه، و إن کانت القسمة بین الورثة فی صورة التعدّد علیٰ حسب قسمة المواریث، فعلی هذا لا یخرج من الموصی به دیون الموصی له و لا تنفذ فیه وصایاه</w:t>
      </w:r>
      <w:r>
        <w:rPr>
          <w:rFonts w:eastAsia="IRNazanin" w:cs="IRNazanin"/>
          <w:color w:val="111111"/>
          <w:sz w:val="28"/>
          <w:szCs w:val="28"/>
          <w:rtl w:val="true"/>
          <w:lang w:bidi="fa-IR"/>
        </w:rPr>
        <w:t>.</w:t>
      </w:r>
    </w:p>
    <w:p>
      <w:pPr>
        <w:pStyle w:val="Heading3"/>
        <w:numPr>
          <w:ilvl w:val="2"/>
          <w:numId w:val="1"/>
        </w:numPr>
        <w:rPr/>
      </w:pPr>
      <w:bookmarkStart w:id="5812" w:name="__RefHeading___Toc2570250_3650668749"/>
      <w:bookmarkStart w:id="5813" w:name="_Toc2634"/>
      <w:bookmarkEnd w:id="5812"/>
      <w:r>
        <w:rPr>
          <w:rtl w:val="true"/>
        </w:rPr>
        <w:t>[ (</w:t>
      </w:r>
      <w:r>
        <w:rPr>
          <w:rtl w:val="true"/>
        </w:rPr>
        <w:t xml:space="preserve">مسألة </w:t>
      </w:r>
      <w:r>
        <w:rPr/>
        <w:t>11</w:t>
      </w:r>
      <w:r>
        <w:rPr>
          <w:rtl w:val="true"/>
        </w:rPr>
        <w:t xml:space="preserve">): </w:t>
      </w:r>
      <w:r>
        <w:rPr>
          <w:rtl w:val="true"/>
        </w:rPr>
        <w:t>إذا قبل بعض الورثة و ردّ بعضهم، صحّت الوصیّة فیمن قبل</w:t>
      </w:r>
      <w:r>
        <w:rPr>
          <w:rtl w:val="true"/>
        </w:rPr>
        <w:t>]</w:t>
      </w:r>
      <w:bookmarkEnd w:id="58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 بعض الورثة و ردّ بعضهم، صحّت الوصیّة فیمن قبل، و بطلت فیمن ردّ بالنسبة</w:t>
      </w:r>
      <w:r>
        <w:rPr>
          <w:rFonts w:eastAsia="IRNazanin" w:cs="IRNazanin"/>
          <w:color w:val="111111"/>
          <w:sz w:val="28"/>
          <w:szCs w:val="28"/>
          <w:rtl w:val="true"/>
          <w:lang w:bidi="fa-IR"/>
        </w:rPr>
        <w:t>.</w:t>
      </w:r>
    </w:p>
    <w:p>
      <w:pPr>
        <w:pStyle w:val="Heading3"/>
        <w:numPr>
          <w:ilvl w:val="2"/>
          <w:numId w:val="1"/>
        </w:numPr>
        <w:rPr/>
      </w:pPr>
      <w:bookmarkStart w:id="5814" w:name="__RefHeading___Toc2570252_3650668749"/>
      <w:bookmarkStart w:id="5815" w:name="_Toc2635"/>
      <w:bookmarkEnd w:id="5814"/>
      <w:r>
        <w:rPr>
          <w:rtl w:val="true"/>
        </w:rPr>
        <w:t>[ (</w:t>
      </w:r>
      <w:r>
        <w:rPr>
          <w:rtl w:val="true"/>
        </w:rPr>
        <w:t xml:space="preserve">مسألة </w:t>
      </w:r>
      <w:r>
        <w:rPr/>
        <w:t>12</w:t>
      </w:r>
      <w:r>
        <w:rPr>
          <w:rtl w:val="true"/>
        </w:rPr>
        <w:t xml:space="preserve">): </w:t>
      </w:r>
      <w:r>
        <w:rPr>
          <w:rtl w:val="true"/>
        </w:rPr>
        <w:t>یعتبر فی الموصی</w:t>
      </w:r>
      <w:r>
        <w:rPr>
          <w:rtl w:val="true"/>
        </w:rPr>
        <w:t xml:space="preserve">: </w:t>
      </w:r>
      <w:r>
        <w:rPr>
          <w:rtl w:val="true"/>
        </w:rPr>
        <w:t>البلوغ و العقل و الاختیار و الرشد و الحرّیة</w:t>
      </w:r>
      <w:r>
        <w:rPr>
          <w:rtl w:val="true"/>
        </w:rPr>
        <w:t>]</w:t>
      </w:r>
      <w:bookmarkEnd w:id="58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الاختیار و الرشد و الحرّیة، فلا تصحّ وصیّة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الأقویٰ صحّة وصیّة البالغ عشراً إذا کانت فی البرّ و المعروف کبناء المساجد و القناطر و وجوه الخیرات و المبرّات، و کذا لا تصحّ وصیّة المجنون و لو أدواریّاً فی دور جنونه و لا السکران و کذا المکره و السفیه </w:t>
      </w:r>
      <w:r>
        <w:rPr>
          <w:rStyle w:val="FootnoteAnchor"/>
          <w:rtl w:val="true"/>
        </w:rPr>
        <w:footnoteReference w:id="1546"/>
      </w:r>
      <w:r>
        <w:rPr>
          <w:rFonts w:ascii="IRNazanin" w:hAnsi="IRNazanin" w:eastAsia="IRNazanin"/>
          <w:color w:val="111111"/>
          <w:sz w:val="28"/>
          <w:sz w:val="28"/>
          <w:szCs w:val="28"/>
          <w:rtl w:val="true"/>
          <w:lang w:bidi="fa-IR"/>
        </w:rPr>
        <w:t xml:space="preserve">و المملوک و إن قلنا بملکه کما هو </w:t>
      </w:r>
      <w:r>
        <w:rPr>
          <w:rStyle w:val="FootnoteAnchor"/>
          <w:rtl w:val="true"/>
        </w:rPr>
        <w:footnoteReference w:id="1547"/>
      </w:r>
      <w:r>
        <w:rPr>
          <w:rFonts w:ascii="Amiri" w:hAnsi="Amiri" w:eastAsia="Amiri" w:cs="Amiri"/>
          <w:color w:val="111111"/>
          <w:sz w:val="28"/>
          <w:sz w:val="28"/>
          <w:szCs w:val="28"/>
          <w:rtl w:val="true"/>
          <w:lang w:bidi="ar-SA"/>
        </w:rPr>
        <w:t>الأقویٰ</w:t>
      </w:r>
      <w:r>
        <w:rPr>
          <w:rFonts w:eastAsia="Amiri" w:cs="Amiri" w:ascii="Amiri" w:hAnsi="Amiri"/>
          <w:color w:val="111111"/>
          <w:sz w:val="28"/>
          <w:szCs w:val="28"/>
          <w:rtl w:val="true"/>
          <w:lang w:bidi="ar-SA"/>
        </w:rPr>
        <w:t>.</w:t>
      </w:r>
    </w:p>
    <w:p>
      <w:pPr>
        <w:pStyle w:val="Heading3"/>
        <w:numPr>
          <w:ilvl w:val="2"/>
          <w:numId w:val="1"/>
        </w:numPr>
        <w:rPr/>
      </w:pPr>
      <w:bookmarkStart w:id="5816" w:name="__RefHeading___Toc2570254_3650668749"/>
      <w:bookmarkStart w:id="5817" w:name="_Toc2636"/>
      <w:bookmarkEnd w:id="5816"/>
      <w:r>
        <w:rPr>
          <w:rtl w:val="true"/>
        </w:rPr>
        <w:t>[ (</w:t>
      </w:r>
      <w:r>
        <w:rPr>
          <w:rtl w:val="true"/>
        </w:rPr>
        <w:t xml:space="preserve">مسألة </w:t>
      </w:r>
      <w:r>
        <w:rPr/>
        <w:t>13</w:t>
      </w:r>
      <w:r>
        <w:rPr>
          <w:rtl w:val="true"/>
        </w:rPr>
        <w:t xml:space="preserve">): </w:t>
      </w:r>
      <w:r>
        <w:rPr>
          <w:rtl w:val="true"/>
        </w:rPr>
        <w:t>یعتبر فی الموصی مضافاً إلیٰ ما ذکر</w:t>
      </w:r>
      <w:r>
        <w:rPr>
          <w:rtl w:val="true"/>
        </w:rPr>
        <w:t xml:space="preserve">-: </w:t>
      </w:r>
      <w:r>
        <w:rPr>
          <w:rtl w:val="true"/>
        </w:rPr>
        <w:t>أن لا یکون قاتل نفسه متعمّداً</w:t>
      </w:r>
      <w:r>
        <w:rPr>
          <w:rtl w:val="true"/>
        </w:rPr>
        <w:t>]</w:t>
      </w:r>
      <w:bookmarkEnd w:id="58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الموصی مضافاً إلیٰ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قاتل نفسه متعمّداً، فمن أوقع علیٰ نفسه جرحاً أو شرب السمّ أو ألقیٰ نفسه من شاهق مثلًا ممّا یقطع أو یظنّ کونه مؤدّیاً إلی الهلاک لم تصحّ وصیّته المتعلّقة بأمواله إذا وقع منه ذلک متعمّداً، فإن کان إیقاع ذلک خطأً أو کان مع ظنّ السلامة فاتّفق موته به نفذت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أوصیٰ ثمّ أحدث فی نفسه ما یؤدّی إلیٰ هلاکه، لم تبطل وصیّته و إن کان حین الوصیّة بانیاً علیٰ أن یحدث ذلک بعدها</w:t>
      </w:r>
      <w:r>
        <w:rPr>
          <w:rFonts w:eastAsia="IRNazanin" w:cs="IRNazanin"/>
          <w:color w:val="111111"/>
          <w:sz w:val="28"/>
          <w:szCs w:val="28"/>
          <w:rtl w:val="true"/>
          <w:lang w:bidi="fa-IR"/>
        </w:rPr>
        <w:t>.</w:t>
      </w:r>
    </w:p>
    <w:p>
      <w:pPr>
        <w:pStyle w:val="Heading3"/>
        <w:numPr>
          <w:ilvl w:val="2"/>
          <w:numId w:val="1"/>
        </w:numPr>
        <w:rPr/>
      </w:pPr>
      <w:bookmarkStart w:id="5818" w:name="__RefHeading___Toc2570256_3650668749"/>
      <w:bookmarkStart w:id="5819" w:name="_Toc2637"/>
      <w:bookmarkEnd w:id="5818"/>
      <w:r>
        <w:rPr>
          <w:rtl w:val="true"/>
        </w:rPr>
        <w:t>[ (</w:t>
      </w:r>
      <w:r>
        <w:rPr>
          <w:rtl w:val="true"/>
        </w:rPr>
        <w:t xml:space="preserve">مسألة </w:t>
      </w:r>
      <w:r>
        <w:rPr/>
        <w:t>14</w:t>
      </w:r>
      <w:r>
        <w:rPr>
          <w:rtl w:val="true"/>
        </w:rPr>
        <w:t xml:space="preserve">): </w:t>
      </w:r>
      <w:r>
        <w:rPr>
          <w:rtl w:val="true"/>
        </w:rPr>
        <w:t>لا تبطل الوصیّة بعروض الإغماء و الجنون للموصی</w:t>
      </w:r>
      <w:r>
        <w:rPr>
          <w:rtl w:val="true"/>
        </w:rPr>
        <w:t>]</w:t>
      </w:r>
      <w:bookmarkEnd w:id="58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الوصیّة بعروض الإغماء و الجنون للموصی و إن داما حین الممات</w:t>
      </w:r>
      <w:r>
        <w:rPr>
          <w:rFonts w:eastAsia="IRNazanin" w:cs="IRNazanin"/>
          <w:color w:val="111111"/>
          <w:sz w:val="28"/>
          <w:szCs w:val="28"/>
          <w:rtl w:val="true"/>
          <w:lang w:bidi="fa-IR"/>
        </w:rPr>
        <w:t>.</w:t>
      </w:r>
    </w:p>
    <w:p>
      <w:pPr>
        <w:pStyle w:val="Heading3"/>
        <w:numPr>
          <w:ilvl w:val="2"/>
          <w:numId w:val="1"/>
        </w:numPr>
        <w:rPr/>
      </w:pPr>
      <w:bookmarkStart w:id="5820" w:name="__RefHeading___Toc2570258_3650668749"/>
      <w:bookmarkStart w:id="5821" w:name="_Toc2638"/>
      <w:bookmarkEnd w:id="5820"/>
      <w:r>
        <w:rPr>
          <w:rtl w:val="true"/>
        </w:rPr>
        <w:t>[ (</w:t>
      </w:r>
      <w:r>
        <w:rPr>
          <w:rtl w:val="true"/>
        </w:rPr>
        <w:t xml:space="preserve">مسألة </w:t>
      </w:r>
      <w:r>
        <w:rPr/>
        <w:t>15</w:t>
      </w:r>
      <w:r>
        <w:rPr>
          <w:rtl w:val="true"/>
        </w:rPr>
        <w:t xml:space="preserve">): </w:t>
      </w:r>
      <w:r>
        <w:rPr>
          <w:rtl w:val="true"/>
        </w:rPr>
        <w:t>یشترط فی الموصی له الوجود حین الوصیّة</w:t>
      </w:r>
      <w:r>
        <w:rPr>
          <w:rtl w:val="true"/>
        </w:rPr>
        <w:t>]</w:t>
      </w:r>
      <w:bookmarkEnd w:id="5821"/>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الموصی له الوجود حین الوصیّة، فلا تصحّ الوصیّة للمعدوم،</w:t>
      </w:r>
      <w:bookmarkStart w:id="5822" w:name="pg1809_19582"/>
    </w:p>
    <w:p>
      <w:pPr>
        <w:pStyle w:val="BookText"/>
        <w:rPr/>
      </w:pPr>
      <w:bookmarkEnd w:id="5822"/>
      <w:r>
        <w:rPr>
          <w:rFonts w:ascii="IRNazanin" w:hAnsi="IRNazanin" w:eastAsia="IRNazanin"/>
          <w:color w:val="111111"/>
          <w:sz w:val="28"/>
          <w:sz w:val="28"/>
          <w:szCs w:val="28"/>
          <w:rtl w:val="true"/>
          <w:lang w:bidi="fa-IR"/>
        </w:rPr>
        <w:t>کما أوصیٰ للمیّت أو لما تحمله المرأة فی المستقبل و لمن یوجد من أولاد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الوصیّة للحمل بشرط وجوده حین الوصیّة و إن لم تلجه الروح و انفصاله حیّاً، فلو انفصل میّتاً بطلت الوصیّة و رجع المال میراثاً لورثة الموصی</w:t>
      </w:r>
      <w:r>
        <w:rPr>
          <w:rFonts w:eastAsia="IRNazanin" w:cs="IRNazanin"/>
          <w:color w:val="111111"/>
          <w:sz w:val="28"/>
          <w:szCs w:val="28"/>
          <w:rtl w:val="true"/>
          <w:lang w:bidi="fa-IR"/>
        </w:rPr>
        <w:t>.</w:t>
      </w:r>
    </w:p>
    <w:p>
      <w:pPr>
        <w:pStyle w:val="Heading3"/>
        <w:numPr>
          <w:ilvl w:val="2"/>
          <w:numId w:val="1"/>
        </w:numPr>
        <w:rPr/>
      </w:pPr>
      <w:bookmarkStart w:id="5823" w:name="__RefHeading___Toc2570260_3650668749"/>
      <w:bookmarkStart w:id="5824" w:name="_Toc2639"/>
      <w:bookmarkEnd w:id="5823"/>
      <w:r>
        <w:rPr>
          <w:rtl w:val="true"/>
        </w:rPr>
        <w:t>[ (</w:t>
      </w:r>
      <w:r>
        <w:rPr>
          <w:rtl w:val="true"/>
        </w:rPr>
        <w:t xml:space="preserve">مسألة </w:t>
      </w:r>
      <w:r>
        <w:rPr/>
        <w:t>16</w:t>
      </w:r>
      <w:r>
        <w:rPr>
          <w:rtl w:val="true"/>
        </w:rPr>
        <w:t xml:space="preserve">): </w:t>
      </w:r>
      <w:r>
        <w:rPr>
          <w:rtl w:val="true"/>
        </w:rPr>
        <w:t>تصحّ الوصیّة للذمّی</w:t>
      </w:r>
      <w:r>
        <w:rPr>
          <w:rtl w:val="true"/>
        </w:rPr>
        <w:t>]</w:t>
      </w:r>
      <w:bookmarkEnd w:id="58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 الوصیّة للذمّی، و کذا للمرتدّ الملّی إذا لم یکن المال ممّا لا یملکه الکافر کالمصحف و العبد المسلم، و لا تصحّ </w:t>
      </w:r>
      <w:r>
        <w:rPr>
          <w:rStyle w:val="FootnoteAnchor"/>
          <w:rtl w:val="true"/>
        </w:rPr>
        <w:footnoteReference w:id="1548"/>
      </w:r>
      <w:r>
        <w:rPr>
          <w:rFonts w:ascii="IRNazanin" w:hAnsi="IRNazanin" w:eastAsia="IRNazanin"/>
          <w:color w:val="111111"/>
          <w:sz w:val="28"/>
          <w:sz w:val="28"/>
          <w:szCs w:val="28"/>
          <w:rtl w:val="true"/>
          <w:lang w:bidi="fa-IR"/>
        </w:rPr>
        <w:t>للحربی و لا للمرتدّ عن فطرة علیٰ إشکال</w:t>
      </w:r>
      <w:r>
        <w:rPr>
          <w:rFonts w:eastAsia="IRNazanin" w:cs="IRNazanin"/>
          <w:color w:val="111111"/>
          <w:sz w:val="28"/>
          <w:szCs w:val="28"/>
          <w:rtl w:val="true"/>
          <w:lang w:bidi="fa-IR"/>
        </w:rPr>
        <w:t>.</w:t>
      </w:r>
    </w:p>
    <w:p>
      <w:pPr>
        <w:pStyle w:val="Heading3"/>
        <w:numPr>
          <w:ilvl w:val="2"/>
          <w:numId w:val="1"/>
        </w:numPr>
        <w:rPr/>
      </w:pPr>
      <w:bookmarkStart w:id="5825" w:name="__RefHeading___Toc2570262_3650668749"/>
      <w:bookmarkStart w:id="5826" w:name="_Toc2640"/>
      <w:bookmarkEnd w:id="5825"/>
      <w:r>
        <w:rPr>
          <w:rtl w:val="true"/>
        </w:rPr>
        <w:t>[ (</w:t>
      </w:r>
      <w:r>
        <w:rPr>
          <w:rtl w:val="true"/>
        </w:rPr>
        <w:t xml:space="preserve">مسألة </w:t>
      </w:r>
      <w:r>
        <w:rPr/>
        <w:t>17</w:t>
      </w:r>
      <w:r>
        <w:rPr>
          <w:rtl w:val="true"/>
        </w:rPr>
        <w:t xml:space="preserve">): </w:t>
      </w:r>
      <w:r>
        <w:rPr>
          <w:rtl w:val="true"/>
        </w:rPr>
        <w:t>لا تصحّ الوصیّة لمملوک الغیر و إن أجاز المالک</w:t>
      </w:r>
      <w:r>
        <w:rPr>
          <w:rtl w:val="true"/>
        </w:rPr>
        <w:t>]</w:t>
      </w:r>
      <w:bookmarkEnd w:id="5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w:t>
      </w:r>
      <w:r>
        <w:rPr>
          <w:rStyle w:val="FootnoteAnchor"/>
          <w:rtl w:val="true"/>
        </w:rPr>
        <w:footnoteReference w:id="1549"/>
      </w:r>
      <w:r>
        <w:rPr>
          <w:rFonts w:ascii="IRNazanin" w:hAnsi="IRNazanin" w:eastAsia="IRNazanin"/>
          <w:color w:val="111111"/>
          <w:sz w:val="28"/>
          <w:sz w:val="28"/>
          <w:szCs w:val="28"/>
          <w:rtl w:val="true"/>
          <w:lang w:bidi="fa-IR"/>
        </w:rPr>
        <w:t xml:space="preserve">الوصیّة لمملوک الغیر و إن أجاز المالک، و تصحّ </w:t>
      </w:r>
      <w:r>
        <w:rPr>
          <w:rStyle w:val="FootnoteAnchor"/>
          <w:rtl w:val="true"/>
        </w:rPr>
        <w:footnoteReference w:id="1550"/>
      </w:r>
      <w:r>
        <w:rPr>
          <w:rFonts w:ascii="IRNazanin" w:hAnsi="IRNazanin" w:eastAsia="IRNazanin"/>
          <w:color w:val="111111"/>
          <w:sz w:val="28"/>
          <w:sz w:val="28"/>
          <w:szCs w:val="28"/>
          <w:rtl w:val="true"/>
          <w:lang w:bidi="fa-IR"/>
        </w:rPr>
        <w:t>لمملوک نفسه، و لکن لا یملک الموصی به کالأحرار، بل إن کان بقدر قیمته ینعتق و لا شی‌ء له و إن کان أکثر من قیمته انعتق و کان الفاضل له، و إن کان أقلّ ینعتق منه بمقداره، و سعیٰ للورثة فی البقیّة</w:t>
      </w:r>
      <w:r>
        <w:rPr>
          <w:rFonts w:eastAsia="IRNazanin" w:cs="IRNazanin"/>
          <w:color w:val="111111"/>
          <w:sz w:val="28"/>
          <w:szCs w:val="28"/>
          <w:rtl w:val="true"/>
          <w:lang w:bidi="fa-IR"/>
        </w:rPr>
        <w:t>.</w:t>
      </w:r>
    </w:p>
    <w:p>
      <w:pPr>
        <w:pStyle w:val="Heading3"/>
        <w:numPr>
          <w:ilvl w:val="2"/>
          <w:numId w:val="1"/>
        </w:numPr>
        <w:rPr/>
      </w:pPr>
      <w:bookmarkStart w:id="5827" w:name="__RefHeading___Toc2570264_3650668749"/>
      <w:bookmarkStart w:id="5828" w:name="_Toc2641"/>
      <w:bookmarkEnd w:id="5827"/>
      <w:r>
        <w:rPr>
          <w:rtl w:val="true"/>
        </w:rPr>
        <w:t>[ (</w:t>
      </w:r>
      <w:r>
        <w:rPr>
          <w:rtl w:val="true"/>
        </w:rPr>
        <w:t xml:space="preserve">مسألة </w:t>
      </w:r>
      <w:r>
        <w:rPr/>
        <w:t>18</w:t>
      </w:r>
      <w:r>
        <w:rPr>
          <w:rtl w:val="true"/>
        </w:rPr>
        <w:t xml:space="preserve">): </w:t>
      </w:r>
      <w:r>
        <w:rPr>
          <w:rtl w:val="true"/>
        </w:rPr>
        <w:t>یشترط فی الموصی به فی الوصیّة التملیکیّة أن یکون مالًا أو حقّا قابلًا للنقل</w:t>
      </w:r>
      <w:r>
        <w:rPr>
          <w:rtl w:val="true"/>
        </w:rPr>
        <w:t>]</w:t>
      </w:r>
      <w:bookmarkEnd w:id="58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الموصی به فی الوصیّة التملیکیّة أن یکون مالًا أو حقّا قابلًا للنقل کحقّی التحجیر و الاختصاص، من غیر فرق فی المال بین کونه عیناً أو دیناً فی ذمّة الغیر أو منفعة، و فی العین بین کونها موجودة فعلًا أو ممّا سیوجد، فتصحّ الوصیّة بما تحمله الدابّة أو تثمر الشجرة فی المستقبل</w:t>
      </w:r>
      <w:r>
        <w:rPr>
          <w:rFonts w:eastAsia="IRNazanin" w:cs="IRNazanin"/>
          <w:color w:val="111111"/>
          <w:sz w:val="28"/>
          <w:szCs w:val="28"/>
          <w:rtl w:val="true"/>
          <w:lang w:bidi="fa-IR"/>
        </w:rPr>
        <w:t>.</w:t>
      </w:r>
    </w:p>
    <w:p>
      <w:pPr>
        <w:pStyle w:val="Heading3"/>
        <w:numPr>
          <w:ilvl w:val="2"/>
          <w:numId w:val="1"/>
        </w:numPr>
        <w:rPr/>
      </w:pPr>
      <w:bookmarkStart w:id="5829" w:name="__RefHeading___Toc2570266_3650668749"/>
      <w:bookmarkStart w:id="5830" w:name="_Toc2642"/>
      <w:bookmarkEnd w:id="5829"/>
      <w:r>
        <w:rPr>
          <w:rtl w:val="true"/>
        </w:rPr>
        <w:t>[ (</w:t>
      </w:r>
      <w:r>
        <w:rPr>
          <w:rtl w:val="true"/>
        </w:rPr>
        <w:t xml:space="preserve">مسألة </w:t>
      </w:r>
      <w:r>
        <w:rPr/>
        <w:t>19</w:t>
      </w:r>
      <w:r>
        <w:rPr>
          <w:rtl w:val="true"/>
        </w:rPr>
        <w:t xml:space="preserve">): </w:t>
      </w:r>
      <w:r>
        <w:rPr>
          <w:rtl w:val="true"/>
        </w:rPr>
        <w:t>لا بدّ أن تکون العین الموصی بها ذات منفعة محلّلة مقصودة</w:t>
      </w:r>
      <w:r>
        <w:rPr>
          <w:rtl w:val="true"/>
        </w:rPr>
        <w:t>]</w:t>
      </w:r>
      <w:bookmarkEnd w:id="58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تکون العین الموصی بها ذات منفعة محلّلة مقصودة حتّی تکون مالًا شرعاً، فلا تصحّ الوصیّة بالخمر </w:t>
      </w:r>
      <w:r>
        <w:rPr>
          <w:rStyle w:val="FootnoteAnchor"/>
          <w:rtl w:val="true"/>
        </w:rPr>
        <w:footnoteReference w:id="1551"/>
      </w:r>
      <w:r>
        <w:rPr>
          <w:rFonts w:ascii="IRNazanin" w:hAnsi="IRNazanin" w:eastAsia="IRNazanin"/>
          <w:color w:val="111111"/>
          <w:sz w:val="28"/>
          <w:sz w:val="28"/>
          <w:szCs w:val="28"/>
          <w:rtl w:val="true"/>
          <w:lang w:bidi="fa-IR"/>
        </w:rPr>
        <w:t>و الخنزیر و آلات اللهو و القمار و لا بالحشرات و کلب الهراش و نحوها، و أن تکون المنفعة الموصی بها محلّلة مقصودة، فلا تصحّ الوصیّة بمنفعة المغنّیة و آلات اللهو، و کذا منافع القردة و نحوها</w:t>
      </w:r>
      <w:r>
        <w:rPr>
          <w:rFonts w:eastAsia="IRNazanin" w:cs="IRNazanin"/>
          <w:color w:val="111111"/>
          <w:sz w:val="28"/>
          <w:szCs w:val="28"/>
          <w:rtl w:val="true"/>
          <w:lang w:bidi="fa-IR"/>
        </w:rPr>
        <w:t>.</w:t>
      </w:r>
    </w:p>
    <w:p>
      <w:pPr>
        <w:pStyle w:val="Heading3"/>
        <w:numPr>
          <w:ilvl w:val="2"/>
          <w:numId w:val="1"/>
        </w:numPr>
        <w:rPr/>
      </w:pPr>
      <w:bookmarkStart w:id="5831" w:name="__RefHeading___Toc2570268_3650668749"/>
      <w:bookmarkStart w:id="5832" w:name="_Toc2643"/>
      <w:bookmarkEnd w:id="5831"/>
      <w:r>
        <w:rPr>
          <w:rtl w:val="true"/>
        </w:rPr>
        <w:t>[ (</w:t>
      </w:r>
      <w:r>
        <w:rPr>
          <w:rtl w:val="true"/>
        </w:rPr>
        <w:t xml:space="preserve">مسألة </w:t>
      </w:r>
      <w:r>
        <w:rPr/>
        <w:t>20</w:t>
      </w:r>
      <w:r>
        <w:rPr>
          <w:rtl w:val="true"/>
        </w:rPr>
        <w:t xml:space="preserve">): </w:t>
      </w:r>
      <w:r>
        <w:rPr>
          <w:rtl w:val="true"/>
        </w:rPr>
        <w:t>لا تصحّ الوصیّة بمال الغیر و إن أجاز المالک</w:t>
      </w:r>
      <w:r>
        <w:rPr>
          <w:rtl w:val="true"/>
        </w:rPr>
        <w:t>]</w:t>
      </w:r>
      <w:bookmarkEnd w:id="5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تصحّ الوصیّة بمال الغیر و إن أجاز المالک؛ سواء کان الإیصاء به عن نفسه بأن جعل مال الغیر لشخص بعد وفاة نفسه أو عن الغیر </w:t>
      </w:r>
      <w:r>
        <w:rPr>
          <w:rStyle w:val="FootnoteAnchor"/>
          <w:rtl w:val="true"/>
        </w:rPr>
        <w:footnoteReference w:id="1552"/>
      </w:r>
      <w:r>
        <w:rPr>
          <w:rFonts w:ascii="IRNazanin" w:hAnsi="IRNazanin" w:eastAsia="IRNazanin"/>
          <w:color w:val="111111"/>
          <w:sz w:val="28"/>
          <w:sz w:val="28"/>
          <w:szCs w:val="28"/>
          <w:rtl w:val="true"/>
          <w:lang w:bidi="fa-IR"/>
        </w:rPr>
        <w:t>بأن جعله لشخص بعد وفاة مالکه</w:t>
      </w:r>
      <w:r>
        <w:rPr>
          <w:rFonts w:eastAsia="IRNazanin" w:cs="IRNazanin"/>
          <w:color w:val="111111"/>
          <w:sz w:val="28"/>
          <w:szCs w:val="28"/>
          <w:rtl w:val="true"/>
          <w:lang w:bidi="fa-IR"/>
        </w:rPr>
        <w:t>.</w:t>
      </w:r>
    </w:p>
    <w:p>
      <w:pPr>
        <w:pStyle w:val="Heading3"/>
        <w:numPr>
          <w:ilvl w:val="2"/>
          <w:numId w:val="1"/>
        </w:numPr>
        <w:rPr/>
      </w:pPr>
      <w:bookmarkStart w:id="5833" w:name="__RefHeading___Toc2570270_3650668749"/>
      <w:bookmarkStart w:id="5834" w:name="_Toc2644"/>
      <w:bookmarkEnd w:id="5833"/>
      <w:r>
        <w:rPr>
          <w:rtl w:val="true"/>
        </w:rPr>
        <w:t>[ (</w:t>
      </w:r>
      <w:r>
        <w:rPr>
          <w:rtl w:val="true"/>
        </w:rPr>
        <w:t xml:space="preserve">مسألة </w:t>
      </w:r>
      <w:r>
        <w:rPr/>
        <w:t>21</w:t>
      </w:r>
      <w:r>
        <w:rPr>
          <w:rtl w:val="true"/>
        </w:rPr>
        <w:t xml:space="preserve">): </w:t>
      </w:r>
      <w:r>
        <w:rPr>
          <w:rtl w:val="true"/>
        </w:rPr>
        <w:t>یشترط فی الوصیّة العهدیّة أن یکون ما أوصیٰ به عملًا سائغاً تعلّق به</w:t>
      </w:r>
      <w:r>
        <w:rPr>
          <w:rtl w:val="true"/>
        </w:rPr>
        <w:t>]</w:t>
      </w:r>
      <w:bookmarkEnd w:id="5834"/>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یشترط فی الوصیّة العهدیّة أن یکون ما أوصیٰ به عملًا سائغاً تعلّق به</w:t>
      </w:r>
      <w:bookmarkStart w:id="5835" w:name="pg1809_19583"/>
    </w:p>
    <w:p>
      <w:pPr>
        <w:pStyle w:val="BookText"/>
        <w:rPr/>
      </w:pPr>
      <w:bookmarkEnd w:id="5835"/>
      <w:r>
        <w:rPr>
          <w:rFonts w:ascii="IRNazanin" w:hAnsi="IRNazanin" w:eastAsia="IRNazanin"/>
          <w:color w:val="111111"/>
          <w:sz w:val="28"/>
          <w:sz w:val="28"/>
          <w:szCs w:val="28"/>
          <w:rtl w:val="true"/>
          <w:lang w:bidi="fa-IR"/>
        </w:rPr>
        <w:t>أغراض العقلاء، فلا تصحّ الوصیّة بصرف ماله فی معونة الظلّام و قطّاع الطریق و تعمیر الکنائس و نسخ کتب الضلال و نحوها، و کذا الوصیّة بما یکون صرف المال فیه سفهاً أو عبثاً</w:t>
      </w:r>
      <w:r>
        <w:rPr>
          <w:rFonts w:eastAsia="IRNazanin" w:cs="IRNazanin"/>
          <w:color w:val="111111"/>
          <w:sz w:val="28"/>
          <w:szCs w:val="28"/>
          <w:rtl w:val="true"/>
          <w:lang w:bidi="fa-IR"/>
        </w:rPr>
        <w:t>.</w:t>
      </w:r>
    </w:p>
    <w:p>
      <w:pPr>
        <w:pStyle w:val="Heading3"/>
        <w:numPr>
          <w:ilvl w:val="2"/>
          <w:numId w:val="1"/>
        </w:numPr>
        <w:rPr/>
      </w:pPr>
      <w:bookmarkStart w:id="5836" w:name="__RefHeading___Toc2570272_3650668749"/>
      <w:bookmarkStart w:id="5837" w:name="_Toc2645"/>
      <w:bookmarkEnd w:id="5836"/>
      <w:r>
        <w:rPr>
          <w:rtl w:val="true"/>
        </w:rPr>
        <w:t>[ (</w:t>
      </w:r>
      <w:r>
        <w:rPr>
          <w:rtl w:val="true"/>
        </w:rPr>
        <w:t xml:space="preserve">مسألة </w:t>
      </w:r>
      <w:r>
        <w:rPr/>
        <w:t>22</w:t>
      </w:r>
      <w:r>
        <w:rPr>
          <w:rtl w:val="true"/>
        </w:rPr>
        <w:t xml:space="preserve">): </w:t>
      </w:r>
      <w:r>
        <w:rPr>
          <w:rtl w:val="true"/>
        </w:rPr>
        <w:t>لو أوصیٰ بما هو سائغ عنده اجتهاداً أو تقلیداً و غیر سائغ عند الوصیّ</w:t>
      </w:r>
      <w:r>
        <w:rPr>
          <w:rtl w:val="true"/>
        </w:rPr>
        <w:t>]</w:t>
      </w:r>
      <w:bookmarkEnd w:id="58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بما هو سائغ عنده اجتهاداً أو تقلیداً و غیر سائغ عند الوصیّ، کما إذا أوصیٰ بنقل جنازته مع عروض الفساد علیها إلیٰ أحد المشاهد و کان ذلک سائغاً عند الموصی لم یجب، بل لم یجز علیه تنفیذها، و لو انعکس الأمر انعکس الأمر</w:t>
      </w:r>
      <w:r>
        <w:rPr>
          <w:rFonts w:eastAsia="IRNazanin" w:cs="IRNazanin"/>
          <w:color w:val="111111"/>
          <w:sz w:val="28"/>
          <w:szCs w:val="28"/>
          <w:rtl w:val="true"/>
          <w:lang w:bidi="fa-IR"/>
        </w:rPr>
        <w:t>.</w:t>
      </w:r>
    </w:p>
    <w:p>
      <w:pPr>
        <w:pStyle w:val="Heading3"/>
        <w:numPr>
          <w:ilvl w:val="2"/>
          <w:numId w:val="1"/>
        </w:numPr>
        <w:rPr/>
      </w:pPr>
      <w:bookmarkStart w:id="5838" w:name="__RefHeading___Toc2570274_3650668749"/>
      <w:bookmarkStart w:id="5839" w:name="_Toc2646"/>
      <w:bookmarkEnd w:id="5838"/>
      <w:r>
        <w:rPr>
          <w:rtl w:val="true"/>
        </w:rPr>
        <w:t>[ (</w:t>
      </w:r>
      <w:r>
        <w:rPr>
          <w:rtl w:val="true"/>
        </w:rPr>
        <w:t xml:space="preserve">مسألة </w:t>
      </w:r>
      <w:r>
        <w:rPr/>
        <w:t>23</w:t>
      </w:r>
      <w:r>
        <w:rPr>
          <w:rtl w:val="true"/>
        </w:rPr>
        <w:t xml:space="preserve">): </w:t>
      </w:r>
      <w:r>
        <w:rPr>
          <w:rtl w:val="true"/>
        </w:rPr>
        <w:t>لو أوصیٰ لغیر الولیّ بمباشرة تجهیزه کتغسیله و الصلاة علیه مع وجود الولیّ</w:t>
      </w:r>
      <w:r>
        <w:rPr>
          <w:rtl w:val="true"/>
        </w:rPr>
        <w:t>]</w:t>
      </w:r>
      <w:bookmarkEnd w:id="58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أوصیٰ لغیر الولیّ بمباشرة تجهیزه کتغسیله و الصلاة علیه مع وجود الولیّ، ففی نفوذها و تقدیمه علی الولیّ و عدمه وجهان بل قولان، لا یخلو أوّلهما من رجحان، و الأحوط </w:t>
      </w:r>
      <w:r>
        <w:rPr>
          <w:rStyle w:val="FootnoteAnchor"/>
          <w:rtl w:val="true"/>
        </w:rPr>
        <w:footnoteReference w:id="1553"/>
      </w:r>
      <w:r>
        <w:rPr>
          <w:rFonts w:ascii="IRNazanin" w:hAnsi="IRNazanin" w:eastAsia="IRNazanin"/>
          <w:color w:val="111111"/>
          <w:sz w:val="28"/>
          <w:sz w:val="28"/>
          <w:szCs w:val="28"/>
          <w:rtl w:val="true"/>
          <w:lang w:bidi="fa-IR"/>
        </w:rPr>
        <w:t>أن یکون ذلک بإذن الولیّ؛ بأن یستأذن الوصیّ من الولیّ و یأذن الولیّ للوصیّ</w:t>
      </w:r>
      <w:r>
        <w:rPr>
          <w:rFonts w:eastAsia="IRNazanin" w:cs="IRNazanin"/>
          <w:color w:val="111111"/>
          <w:sz w:val="28"/>
          <w:szCs w:val="28"/>
          <w:rtl w:val="true"/>
          <w:lang w:bidi="fa-IR"/>
        </w:rPr>
        <w:t>.</w:t>
      </w:r>
    </w:p>
    <w:p>
      <w:pPr>
        <w:pStyle w:val="Heading3"/>
        <w:numPr>
          <w:ilvl w:val="2"/>
          <w:numId w:val="1"/>
        </w:numPr>
        <w:rPr/>
      </w:pPr>
      <w:bookmarkStart w:id="5840" w:name="__RefHeading___Toc2570276_3650668749"/>
      <w:bookmarkStart w:id="5841" w:name="_Toc2647"/>
      <w:bookmarkEnd w:id="5840"/>
      <w:r>
        <w:rPr>
          <w:rtl w:val="true"/>
        </w:rPr>
        <w:t>[ (</w:t>
      </w:r>
      <w:r>
        <w:rPr>
          <w:rtl w:val="true"/>
        </w:rPr>
        <w:t xml:space="preserve">مسألة </w:t>
      </w:r>
      <w:r>
        <w:rPr/>
        <w:t>24</w:t>
      </w:r>
      <w:r>
        <w:rPr>
          <w:rtl w:val="true"/>
        </w:rPr>
        <w:t xml:space="preserve">): </w:t>
      </w:r>
      <w:r>
        <w:rPr>
          <w:rtl w:val="true"/>
        </w:rPr>
        <w:t>یشترط فی نفوذ الوصیّة فی الجملة أن لا یکون زائداً علی الثلث</w:t>
      </w:r>
      <w:r>
        <w:rPr>
          <w:rtl w:val="true"/>
        </w:rPr>
        <w:t>]</w:t>
      </w:r>
      <w:bookmarkEnd w:id="58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نفوذ الوصیّة فی الجملة أن لا یکون زائداً علی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الوصیّة إن کانت بواجب مالی کأداء دیونه و أداء ما علیه من الحقوق کالخمس و الزکاة و المظالم و الکفّارات تخرج من أصل المال بلغ ما بلغ، بل لو لم یوص بها یخرج من الأصل و إن استوعبت الترکة، و یلحق به الواجب المالی المشوب بالبدنی کالحجّ و لو کان منذوراً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تملیکیّة أو عهدیّة تبرّعیة کما إذا أوصیٰ بإطعام الفقراء أو الزیارات أو إقامة التعزیة و نحو ذلک نفذت بمقدار الثلث، و فی الزائد یتوقّف علیٰ إمضاء الورثة و إجازتهم، فإن أمضوا صحّت، و إلّا بطلت؛ من غیر فرق بین وقوع الوصیّة فی حال الصحّة أو فی حال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کانت بواجب غیر مالیّ علی الأقویٰ، کما إذا أوصیٰ بالصلاة و الصوم عنه إذا اشتغلت ذمّته بهما</w:t>
      </w:r>
      <w:r>
        <w:rPr>
          <w:rFonts w:eastAsia="IRNazanin" w:cs="IRNazanin"/>
          <w:color w:val="111111"/>
          <w:sz w:val="28"/>
          <w:szCs w:val="28"/>
          <w:rtl w:val="true"/>
          <w:lang w:bidi="fa-IR"/>
        </w:rPr>
        <w:t>.</w:t>
      </w:r>
    </w:p>
    <w:p>
      <w:pPr>
        <w:pStyle w:val="Heading3"/>
        <w:numPr>
          <w:ilvl w:val="2"/>
          <w:numId w:val="1"/>
        </w:numPr>
        <w:rPr/>
      </w:pPr>
      <w:bookmarkStart w:id="5842" w:name="__RefHeading___Toc2570278_3650668749"/>
      <w:bookmarkStart w:id="5843" w:name="_Toc2648"/>
      <w:bookmarkEnd w:id="5842"/>
      <w:r>
        <w:rPr>
          <w:rtl w:val="true"/>
        </w:rPr>
        <w:t>[ (</w:t>
      </w:r>
      <w:r>
        <w:rPr>
          <w:rtl w:val="true"/>
        </w:rPr>
        <w:t xml:space="preserve">مسألة </w:t>
      </w:r>
      <w:r>
        <w:rPr/>
        <w:t>25</w:t>
      </w:r>
      <w:r>
        <w:rPr>
          <w:rtl w:val="true"/>
        </w:rPr>
        <w:t xml:space="preserve">): </w:t>
      </w:r>
      <w:r>
        <w:rPr>
          <w:rtl w:val="true"/>
        </w:rPr>
        <w:t>لا فرق فیما ذکر بین ما إذا کانت الوصیّة بکسر مشاع أو بمال معیّن أو بمقدار من المال</w:t>
      </w:r>
      <w:r>
        <w:rPr>
          <w:rtl w:val="true"/>
        </w:rPr>
        <w:t>]</w:t>
      </w:r>
      <w:bookmarkEnd w:id="5843"/>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فیما ذکر بین ما إذا کانت الوصیّة بکسر مشاع أو بمال معیّن أو بمقدار من المال، فکما أنّه لو أوصیٰ بثلث ماله نفذت فی تمامه، و لو أوصیٰ بالنصف نفذت بمقدار الثلث و بطلت فی الزائد و هو السدس بدون إجازة الورثة، کذلک لو أوصیٰ بمال معیّن، فإنّه ینسب إلیٰ مجموع الترکة، فإن کان بمقدار ثلث المجموع أو أقلّ نفذت فی</w:t>
      </w:r>
      <w:bookmarkStart w:id="5844" w:name="pg1809_19584"/>
    </w:p>
    <w:p>
      <w:pPr>
        <w:pStyle w:val="BookText"/>
        <w:rPr/>
      </w:pPr>
      <w:bookmarkEnd w:id="5844"/>
      <w:r>
        <w:rPr>
          <w:rFonts w:ascii="IRNazanin" w:hAnsi="IRNazanin" w:eastAsia="IRNazanin"/>
          <w:color w:val="111111"/>
          <w:sz w:val="28"/>
          <w:sz w:val="28"/>
          <w:szCs w:val="28"/>
          <w:rtl w:val="true"/>
          <w:lang w:bidi="fa-IR"/>
        </w:rPr>
        <w:t>تمامه، و إن کان أکثر نفذت فیه بمقدار ما یساوی الثلث، و فی الزائد یتوقّف علیٰ إمضاء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لو أوصیٰ بمقدار من المال، کما إذا أوصیٰ بألف دینار مثلًا یقوّم مجموع الترکة و ینسب ما أوصیٰ به إلیٰ قیمة المجموع، فتنفذ فی تمامه لو کان بمقدار الثلث أو أقلّ، و فی المقدار الذی یساوی ثلث الترکة لو کان أزید و لم یجز الورثة</w:t>
      </w:r>
      <w:r>
        <w:rPr>
          <w:rFonts w:eastAsia="IRNazanin" w:cs="IRNazanin"/>
          <w:color w:val="111111"/>
          <w:sz w:val="28"/>
          <w:szCs w:val="28"/>
          <w:rtl w:val="true"/>
          <w:lang w:bidi="fa-IR"/>
        </w:rPr>
        <w:t>.</w:t>
      </w:r>
    </w:p>
    <w:p>
      <w:pPr>
        <w:pStyle w:val="Heading3"/>
        <w:numPr>
          <w:ilvl w:val="2"/>
          <w:numId w:val="1"/>
        </w:numPr>
        <w:rPr/>
      </w:pPr>
      <w:bookmarkStart w:id="5845" w:name="__RefHeading___Toc2570280_3650668749"/>
      <w:bookmarkStart w:id="5846" w:name="_Toc2649"/>
      <w:bookmarkEnd w:id="5845"/>
      <w:r>
        <w:rPr>
          <w:rtl w:val="true"/>
        </w:rPr>
        <w:t>[ (</w:t>
      </w:r>
      <w:r>
        <w:rPr>
          <w:rtl w:val="true"/>
        </w:rPr>
        <w:t xml:space="preserve">مسألة </w:t>
      </w:r>
      <w:r>
        <w:rPr/>
        <w:t>26</w:t>
      </w:r>
      <w:r>
        <w:rPr>
          <w:rtl w:val="true"/>
        </w:rPr>
        <w:t xml:space="preserve">): </w:t>
      </w:r>
      <w:r>
        <w:rPr>
          <w:rtl w:val="true"/>
        </w:rPr>
        <w:t>لو کانت إجازة الوارث لما زاد علی الثلث بعد موت الموصی نفذت بلا إشکال</w:t>
      </w:r>
      <w:r>
        <w:rPr>
          <w:rtl w:val="true"/>
        </w:rPr>
        <w:t>]</w:t>
      </w:r>
      <w:bookmarkEnd w:id="58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إجازة الوارث لما زاد علی الثلث بعد موت الموصی نفذت بلا إشکال و إن ردّها قبل الموت، و کذا لو أجازها قبل الموت و بقی علیٰ إجازتها إلیٰ ما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ردّها بعد الموت فهل تنفذ الإجازة السابقة و لا أثر للردّ بعدها أم لا؟ قولان، أقواهما الأوّل</w:t>
      </w:r>
      <w:r>
        <w:rPr>
          <w:rFonts w:eastAsia="IRNazanin" w:cs="IRNazanin"/>
          <w:color w:val="111111"/>
          <w:sz w:val="28"/>
          <w:szCs w:val="28"/>
          <w:rtl w:val="true"/>
          <w:lang w:bidi="fa-IR"/>
        </w:rPr>
        <w:t>.</w:t>
      </w:r>
    </w:p>
    <w:p>
      <w:pPr>
        <w:pStyle w:val="Heading3"/>
        <w:numPr>
          <w:ilvl w:val="2"/>
          <w:numId w:val="1"/>
        </w:numPr>
        <w:rPr/>
      </w:pPr>
      <w:bookmarkStart w:id="5847" w:name="__RefHeading___Toc2570282_3650668749"/>
      <w:bookmarkStart w:id="5848" w:name="_Toc2650"/>
      <w:bookmarkEnd w:id="5847"/>
      <w:r>
        <w:rPr>
          <w:rtl w:val="true"/>
        </w:rPr>
        <w:t>[ (</w:t>
      </w:r>
      <w:r>
        <w:rPr>
          <w:rtl w:val="true"/>
        </w:rPr>
        <w:t xml:space="preserve">مسألة </w:t>
      </w:r>
      <w:r>
        <w:rPr/>
        <w:t>27</w:t>
      </w:r>
      <w:r>
        <w:rPr>
          <w:rtl w:val="true"/>
        </w:rPr>
        <w:t xml:space="preserve">): </w:t>
      </w:r>
      <w:r>
        <w:rPr>
          <w:rtl w:val="true"/>
        </w:rPr>
        <w:t>لو أجاز الوارث بعض الزیادة لا تمامها</w:t>
      </w:r>
      <w:r>
        <w:rPr>
          <w:rtl w:val="true"/>
        </w:rPr>
        <w:t>]</w:t>
      </w:r>
      <w:bookmarkEnd w:id="5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أجاز الوارث بعض الزیادة لا تمامها، نفذت بمقدار ما أجاز، فلو أوصیٰ بثلثی ماله و أجاز الوارث النصف نفذت فی هذا المقدار، و بطلت فی الزائد و هو السدس من ماله</w:t>
      </w:r>
      <w:r>
        <w:rPr>
          <w:rFonts w:eastAsia="IRNazanin" w:cs="IRNazanin"/>
          <w:color w:val="111111"/>
          <w:sz w:val="28"/>
          <w:szCs w:val="28"/>
          <w:rtl w:val="true"/>
          <w:lang w:bidi="fa-IR"/>
        </w:rPr>
        <w:t>.</w:t>
      </w:r>
    </w:p>
    <w:p>
      <w:pPr>
        <w:pStyle w:val="Heading3"/>
        <w:numPr>
          <w:ilvl w:val="2"/>
          <w:numId w:val="1"/>
        </w:numPr>
        <w:rPr/>
      </w:pPr>
      <w:bookmarkStart w:id="5849" w:name="__RefHeading___Toc2570284_3650668749"/>
      <w:bookmarkStart w:id="5850" w:name="_Toc2651"/>
      <w:bookmarkEnd w:id="5849"/>
      <w:r>
        <w:rPr>
          <w:rtl w:val="true"/>
        </w:rPr>
        <w:t>[ (</w:t>
      </w:r>
      <w:r>
        <w:rPr>
          <w:rtl w:val="true"/>
        </w:rPr>
        <w:t xml:space="preserve">مسألة </w:t>
      </w:r>
      <w:r>
        <w:rPr/>
        <w:t>28</w:t>
      </w:r>
      <w:r>
        <w:rPr>
          <w:rtl w:val="true"/>
        </w:rPr>
        <w:t xml:space="preserve">): </w:t>
      </w:r>
      <w:r>
        <w:rPr>
          <w:rtl w:val="true"/>
        </w:rPr>
        <w:t>لو أجاز بعض الورثة دون بعضهم، نفذت الوصیّة فی حقّ المجیز فی الزیادة</w:t>
      </w:r>
      <w:r>
        <w:rPr>
          <w:rtl w:val="true"/>
        </w:rPr>
        <w:t>]</w:t>
      </w:r>
      <w:bookmarkEnd w:id="58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أجاز بعض الورثة دون بعضهم، نفذت الوصیّة فی حقّ المجیز فی الزیادة و بطلت فی حقّ غیره، فإذا کان للموصی ابن و بنت و أوصی لزید بنصف ماله قسمت الترکة ثمانیة عشر و نفذت فی ثلثها و هو ستّة و فی الزائد و هو ثلاثة احتاج إلیٰ إمضاء الابن و البنت، فإن أمضیا معاً نفذت فی تمامها، و إن أمضی الابن دون البنت نفذت فی الاثنین و بطلت فی واحد، فکان للموصیٰ له ثمانیة، و إن کان بالعکس کان بالعکس و کان للموصیٰ له سبعة</w:t>
      </w:r>
      <w:r>
        <w:rPr>
          <w:rFonts w:eastAsia="IRNazanin" w:cs="IRNazanin"/>
          <w:color w:val="111111"/>
          <w:sz w:val="28"/>
          <w:szCs w:val="28"/>
          <w:rtl w:val="true"/>
          <w:lang w:bidi="fa-IR"/>
        </w:rPr>
        <w:t>.</w:t>
      </w:r>
    </w:p>
    <w:p>
      <w:pPr>
        <w:pStyle w:val="Heading3"/>
        <w:numPr>
          <w:ilvl w:val="2"/>
          <w:numId w:val="1"/>
        </w:numPr>
        <w:rPr/>
      </w:pPr>
      <w:bookmarkStart w:id="5851" w:name="__RefHeading___Toc2570286_3650668749"/>
      <w:bookmarkStart w:id="5852" w:name="_Toc2652"/>
      <w:bookmarkEnd w:id="5851"/>
      <w:r>
        <w:rPr>
          <w:rtl w:val="true"/>
        </w:rPr>
        <w:t>[ (</w:t>
      </w:r>
      <w:r>
        <w:rPr>
          <w:rtl w:val="true"/>
        </w:rPr>
        <w:t xml:space="preserve">مسألة </w:t>
      </w:r>
      <w:r>
        <w:rPr/>
        <w:t>29</w:t>
      </w:r>
      <w:r>
        <w:rPr>
          <w:rtl w:val="true"/>
        </w:rPr>
        <w:t xml:space="preserve">): </w:t>
      </w:r>
      <w:r>
        <w:rPr>
          <w:rtl w:val="true"/>
        </w:rPr>
        <w:t>لو أوصیٰ بعین معیّنة أو مقدار کلّی من المال کمائة دینار</w:t>
      </w:r>
      <w:r>
        <w:rPr>
          <w:rtl w:val="true"/>
        </w:rPr>
        <w:t>]</w:t>
      </w:r>
      <w:bookmarkEnd w:id="5852"/>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بعین معیّنة أو مقدار کلّی من المال کمائة دینار، یلاحظ فی کونه بمقدار الثلث أو أقلّ أو أزید بالنسبة إلیٰ أموال الموصی حین الوفاة لا بالنسبة إلیٰ أمواله الموجودة حال الوصیّة، فلو أوصیٰ لزید بعین کانت بمقدار نصف أمواله حین الوصیّة، لکن من جهة نقصان قیمتها أو زیادة قیمة غیرها أو تجدّد مال آخر له بعد ذلک صارت قیمتها بمقدار الثلث ممّا ترک، نفذت فی جمیعها، و لو فرض أنّها کانت بمقدار الثلث حین الوصیّة، لکن من جهة ارتفاع قیمتها أو نقصان قیمة غیرها أو تلف بعض أمواله صارت بمقدار نصف ما ترکه حین الموت، نفذت فیها بما یساوی الثلث و بطلت فی الزائد لو لم تجز الورثة، و هذا ممّا لا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الإشکال فیما إذا أوصیٰ بکسر مشاع کما</w:t>
      </w:r>
      <w:bookmarkStart w:id="5853" w:name="pg1809_19585"/>
    </w:p>
    <w:p>
      <w:pPr>
        <w:pStyle w:val="BookText"/>
        <w:rPr/>
      </w:pPr>
      <w:bookmarkEnd w:id="5853"/>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 مالی لزید بعد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تجدّد له بعد الوصیّة بعض الأموال و أنّه هل تشمل الوصیّة الزیادات المتجدّدة بعدها أم لا؟ سیّما إذا لم تکن متوقّعة الحصول، لکنّ الظاهر نظراً إلیٰ شاهد الحال أنّ المراد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الذی لو لم یوص بالثلث کان جمیعه للورثة، و هو ما کان له عند الوفاة، نعم لو کانت قرینة فی کلامه تدلّ علیٰ أنّ المراد الأموال الموجودة حال الوصیّة اقتصر علیها کما إذا عدّ أمواله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 أموالی لزید بعد وفاتی</w:t>
      </w:r>
      <w:r>
        <w:rPr>
          <w:rFonts w:eastAsia="IRNazanin" w:cs="IRNazanin"/>
          <w:color w:val="111111"/>
          <w:sz w:val="28"/>
          <w:szCs w:val="28"/>
          <w:rtl w:val="true"/>
          <w:lang w:bidi="fa-IR"/>
        </w:rPr>
        <w:t>».</w:t>
      </w:r>
    </w:p>
    <w:p>
      <w:pPr>
        <w:pStyle w:val="Heading3"/>
        <w:numPr>
          <w:ilvl w:val="2"/>
          <w:numId w:val="1"/>
        </w:numPr>
        <w:rPr/>
      </w:pPr>
      <w:bookmarkStart w:id="5854" w:name="__RefHeading___Toc2570288_3650668749"/>
      <w:bookmarkStart w:id="5855" w:name="_Toc2653"/>
      <w:bookmarkEnd w:id="5854"/>
      <w:r>
        <w:rPr>
          <w:rtl w:val="true"/>
        </w:rPr>
        <w:t>[ (</w:t>
      </w:r>
      <w:r>
        <w:rPr>
          <w:rtl w:val="true"/>
        </w:rPr>
        <w:t xml:space="preserve">مسألة </w:t>
      </w:r>
      <w:r>
        <w:rPr/>
        <w:t>30</w:t>
      </w:r>
      <w:r>
        <w:rPr>
          <w:rtl w:val="true"/>
        </w:rPr>
        <w:t xml:space="preserve">): </w:t>
      </w:r>
      <w:r>
        <w:rPr>
          <w:rtl w:val="true"/>
        </w:rPr>
        <w:t>الإجازة من الوارث إمضاء و تنفیذ</w:t>
      </w:r>
      <w:r>
        <w:rPr>
          <w:rtl w:val="true"/>
        </w:rPr>
        <w:t>]</w:t>
      </w:r>
      <w:bookmarkEnd w:id="58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من الوارث إمضاء و تنفیذ، فلا یکفی فیها مجرّد الرضا و طیب النفس من دون قول أو فعل یدلّان علی التنفیذ و الإمضاء</w:t>
      </w:r>
      <w:r>
        <w:rPr>
          <w:rFonts w:eastAsia="IRNazanin" w:cs="IRNazanin"/>
          <w:color w:val="111111"/>
          <w:sz w:val="28"/>
          <w:szCs w:val="28"/>
          <w:rtl w:val="true"/>
          <w:lang w:bidi="fa-IR"/>
        </w:rPr>
        <w:t>.</w:t>
      </w:r>
    </w:p>
    <w:p>
      <w:pPr>
        <w:pStyle w:val="Heading3"/>
        <w:numPr>
          <w:ilvl w:val="2"/>
          <w:numId w:val="1"/>
        </w:numPr>
        <w:rPr/>
      </w:pPr>
      <w:bookmarkStart w:id="5856" w:name="__RefHeading___Toc2570290_3650668749"/>
      <w:bookmarkStart w:id="5857" w:name="_Toc2654"/>
      <w:bookmarkEnd w:id="5856"/>
      <w:r>
        <w:rPr>
          <w:rtl w:val="true"/>
        </w:rPr>
        <w:t>[ (</w:t>
      </w:r>
      <w:r>
        <w:rPr>
          <w:rtl w:val="true"/>
        </w:rPr>
        <w:t xml:space="preserve">مسألة </w:t>
      </w:r>
      <w:r>
        <w:rPr/>
        <w:t>31</w:t>
      </w:r>
      <w:r>
        <w:rPr>
          <w:rtl w:val="true"/>
        </w:rPr>
        <w:t xml:space="preserve">): </w:t>
      </w:r>
      <w:r>
        <w:rPr>
          <w:rtl w:val="true"/>
        </w:rPr>
        <w:t>لا یعتبر فی الإجازة کونها علی الفور</w:t>
      </w:r>
      <w:r>
        <w:rPr>
          <w:rtl w:val="true"/>
        </w:rPr>
        <w:t>]</w:t>
      </w:r>
      <w:bookmarkEnd w:id="58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الإجازة کونها علی الفور</w:t>
      </w:r>
      <w:r>
        <w:rPr>
          <w:rFonts w:eastAsia="IRNazanin" w:cs="IRNazanin"/>
          <w:color w:val="111111"/>
          <w:sz w:val="28"/>
          <w:szCs w:val="28"/>
          <w:rtl w:val="true"/>
          <w:lang w:bidi="fa-IR"/>
        </w:rPr>
        <w:t>.</w:t>
      </w:r>
    </w:p>
    <w:p>
      <w:pPr>
        <w:pStyle w:val="Heading3"/>
        <w:numPr>
          <w:ilvl w:val="2"/>
          <w:numId w:val="1"/>
        </w:numPr>
        <w:rPr/>
      </w:pPr>
      <w:bookmarkStart w:id="5858" w:name="__RefHeading___Toc2570292_3650668749"/>
      <w:bookmarkStart w:id="5859" w:name="_Toc2655"/>
      <w:bookmarkEnd w:id="5858"/>
      <w:r>
        <w:rPr>
          <w:rtl w:val="true"/>
        </w:rPr>
        <w:t>[ (</w:t>
      </w:r>
      <w:r>
        <w:rPr>
          <w:rtl w:val="true"/>
        </w:rPr>
        <w:t xml:space="preserve">مسألة </w:t>
      </w:r>
      <w:r>
        <w:rPr/>
        <w:t>32</w:t>
      </w:r>
      <w:r>
        <w:rPr>
          <w:rtl w:val="true"/>
        </w:rPr>
        <w:t xml:space="preserve">): </w:t>
      </w:r>
      <w:r>
        <w:rPr>
          <w:rtl w:val="true"/>
        </w:rPr>
        <w:t>یحسب من الترکة ما یملک بالموت کالدیة</w:t>
      </w:r>
      <w:r>
        <w:rPr>
          <w:rtl w:val="true"/>
        </w:rPr>
        <w:t>]</w:t>
      </w:r>
      <w:bookmarkEnd w:id="58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 من الترکة ما یملک بالموت کالدیة، بل و کذا ما یملک بعد الموت إذا أوجد المیّت سببه قبل الموت، مثل ما یقع فی الشبکة التی نصبها المیّت فی زمان حیاته، فیخرج منه الدین و وصایا </w:t>
      </w:r>
      <w:r>
        <w:rPr>
          <w:rStyle w:val="FootnoteAnchor"/>
          <w:rtl w:val="true"/>
        </w:rPr>
        <w:footnoteReference w:id="1554"/>
      </w:r>
      <w:r>
        <w:rPr>
          <w:rFonts w:ascii="Amiri" w:hAnsi="Amiri" w:eastAsia="Amiri" w:cs="Amiri"/>
          <w:color w:val="111111"/>
          <w:sz w:val="28"/>
          <w:sz w:val="28"/>
          <w:szCs w:val="28"/>
          <w:rtl w:val="true"/>
          <w:lang w:bidi="ar-SA"/>
        </w:rPr>
        <w:t>المیّت إذا أوصیٰ بالثلث</w:t>
      </w:r>
      <w:r>
        <w:rPr>
          <w:rFonts w:eastAsia="Amiri" w:cs="Amiri" w:ascii="Amiri" w:hAnsi="Amiri"/>
          <w:color w:val="111111"/>
          <w:sz w:val="28"/>
          <w:szCs w:val="28"/>
          <w:rtl w:val="true"/>
          <w:lang w:bidi="ar-SA"/>
        </w:rPr>
        <w:t>.</w:t>
      </w:r>
    </w:p>
    <w:p>
      <w:pPr>
        <w:pStyle w:val="Heading3"/>
        <w:numPr>
          <w:ilvl w:val="2"/>
          <w:numId w:val="1"/>
        </w:numPr>
        <w:rPr/>
      </w:pPr>
      <w:bookmarkStart w:id="5860" w:name="__RefHeading___Toc2570294_3650668749"/>
      <w:bookmarkStart w:id="5861" w:name="_Toc2656"/>
      <w:bookmarkEnd w:id="5860"/>
      <w:r>
        <w:rPr>
          <w:rtl w:val="true"/>
        </w:rPr>
        <w:t>[ (</w:t>
      </w:r>
      <w:r>
        <w:rPr>
          <w:rtl w:val="true"/>
        </w:rPr>
        <w:t xml:space="preserve">مسألة </w:t>
      </w:r>
      <w:r>
        <w:rPr/>
        <w:t>33</w:t>
      </w:r>
      <w:r>
        <w:rPr>
          <w:rtl w:val="true"/>
        </w:rPr>
        <w:t xml:space="preserve">): </w:t>
      </w:r>
      <w:r>
        <w:rPr>
          <w:rtl w:val="true"/>
        </w:rPr>
        <w:t>للموصی تعیین ثلثه فی عین مخصوصة من الترکة</w:t>
      </w:r>
      <w:r>
        <w:rPr>
          <w:rtl w:val="true"/>
        </w:rPr>
        <w:t>]</w:t>
      </w:r>
      <w:bookmarkEnd w:id="58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للموصی تعیین ثلثه فی عین مخصوصة من الترکة و له تفویض التعیین إلی الوصیّ فیتعیّن فیما عیّنه، و مع الإطلاق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 مالی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شریکاً مع الورثة بالإشاعة، فلا بدّ أن یکون الإفراز و التعیین برضا الجمیع کسائر الأموال المشترکة</w:t>
      </w:r>
      <w:r>
        <w:rPr>
          <w:rFonts w:eastAsia="IRNazanin" w:cs="IRNazanin"/>
          <w:color w:val="111111"/>
          <w:sz w:val="28"/>
          <w:szCs w:val="28"/>
          <w:rtl w:val="true"/>
          <w:lang w:bidi="fa-IR"/>
        </w:rPr>
        <w:t>.</w:t>
      </w:r>
    </w:p>
    <w:p>
      <w:pPr>
        <w:pStyle w:val="Heading3"/>
        <w:numPr>
          <w:ilvl w:val="2"/>
          <w:numId w:val="1"/>
        </w:numPr>
        <w:rPr/>
      </w:pPr>
      <w:bookmarkStart w:id="5862" w:name="__RefHeading___Toc2570296_3650668749"/>
      <w:bookmarkStart w:id="5863" w:name="_Toc2657"/>
      <w:bookmarkEnd w:id="5862"/>
      <w:r>
        <w:rPr>
          <w:rtl w:val="true"/>
        </w:rPr>
        <w:t>[ (</w:t>
      </w:r>
      <w:r>
        <w:rPr>
          <w:rtl w:val="true"/>
        </w:rPr>
        <w:t xml:space="preserve">مسألة </w:t>
      </w:r>
      <w:r>
        <w:rPr/>
        <w:t>34</w:t>
      </w:r>
      <w:r>
        <w:rPr>
          <w:rtl w:val="true"/>
        </w:rPr>
        <w:t xml:space="preserve">): </w:t>
      </w:r>
      <w:r>
        <w:rPr>
          <w:rtl w:val="true"/>
        </w:rPr>
        <w:t>إنّما یحسب الثلث بعد إخراج ما یخرج من الأصل</w:t>
      </w:r>
      <w:r>
        <w:rPr>
          <w:rtl w:val="true"/>
        </w:rPr>
        <w:t>]</w:t>
      </w:r>
      <w:bookmarkEnd w:id="58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یحسب الثلث بعد إخراج ما یخرج من الأصل کالدین و الواجبات المالیّة، فإن بقی بعد ذلک شی‌ء یخرج ثلثه</w:t>
      </w:r>
      <w:r>
        <w:rPr>
          <w:rFonts w:eastAsia="IRNazanin" w:cs="IRNazanin"/>
          <w:color w:val="111111"/>
          <w:sz w:val="28"/>
          <w:szCs w:val="28"/>
          <w:rtl w:val="true"/>
          <w:lang w:bidi="fa-IR"/>
        </w:rPr>
        <w:t>.</w:t>
      </w:r>
    </w:p>
    <w:p>
      <w:pPr>
        <w:pStyle w:val="Heading3"/>
        <w:numPr>
          <w:ilvl w:val="2"/>
          <w:numId w:val="1"/>
        </w:numPr>
        <w:rPr/>
      </w:pPr>
      <w:bookmarkStart w:id="5864" w:name="__RefHeading___Toc2570298_3650668749"/>
      <w:bookmarkStart w:id="5865" w:name="_Toc2658"/>
      <w:bookmarkEnd w:id="5864"/>
      <w:r>
        <w:rPr>
          <w:rtl w:val="true"/>
        </w:rPr>
        <w:t>[ (</w:t>
      </w:r>
      <w:r>
        <w:rPr>
          <w:rtl w:val="true"/>
        </w:rPr>
        <w:t xml:space="preserve">مسألة </w:t>
      </w:r>
      <w:r>
        <w:rPr/>
        <w:t>35</w:t>
      </w:r>
      <w:r>
        <w:rPr>
          <w:rtl w:val="true"/>
        </w:rPr>
        <w:t xml:space="preserve">): </w:t>
      </w:r>
      <w:r>
        <w:rPr>
          <w:rtl w:val="true"/>
        </w:rPr>
        <w:t>لو أوصیٰ بوصایا متعدّدة غیر متضادّة، فإن کانت من نوع واحد</w:t>
      </w:r>
      <w:r>
        <w:rPr>
          <w:rtl w:val="true"/>
        </w:rPr>
        <w:t>]</w:t>
      </w:r>
      <w:bookmarkEnd w:id="5865"/>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بوصایا متعدّدة غیر متضادّة، فإن کانت من نوع واحد، فإن کانت الجمیع واجبة مالیّة أو واجبة بدنیّة کانت الجمیع بمنزلة وصیّة واحدة، فتنفذ الجمیع من الأصل فی الواجب المالی و من الثلث فی الواجب البدنی، فإن و فی الثلث بالجمیع نفذت فی الجمیع، و کذا إن زادت علیه و أجاز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لم یجیزوا یوزّع </w:t>
      </w:r>
      <w:r>
        <w:rPr>
          <w:rStyle w:val="FootnoteAnchor"/>
          <w:rtl w:val="true"/>
        </w:rPr>
        <w:footnoteReference w:id="1555"/>
      </w:r>
      <w:r>
        <w:rPr>
          <w:rFonts w:ascii="IRNazanin" w:hAnsi="IRNazanin" w:eastAsia="IRNazanin"/>
          <w:color w:val="111111"/>
          <w:sz w:val="28"/>
          <w:sz w:val="28"/>
          <w:szCs w:val="28"/>
          <w:rtl w:val="true"/>
          <w:lang w:bidi="fa-IR"/>
        </w:rPr>
        <w:t>النقص علی الجمیع بالنسبة، فلو أوصیٰ بمقدار من الصوم و مقدار من الصلاة و لم یف الثلث بهما</w:t>
      </w:r>
      <w:bookmarkStart w:id="5866" w:name="pg1809_19586"/>
    </w:p>
    <w:p>
      <w:pPr>
        <w:pStyle w:val="BookText"/>
        <w:rPr/>
      </w:pPr>
      <w:bookmarkEnd w:id="5866"/>
      <w:r>
        <w:rPr>
          <w:rFonts w:ascii="IRNazanin" w:hAnsi="IRNazanin" w:eastAsia="IRNazanin"/>
          <w:color w:val="111111"/>
          <w:sz w:val="28"/>
          <w:sz w:val="28"/>
          <w:szCs w:val="28"/>
          <w:rtl w:val="true"/>
          <w:lang w:bidi="fa-IR"/>
        </w:rPr>
        <w:t>و کانت اجرة الصلاة ضعف اجرة الصوم ینتقص من وصیّة الصلاة ضعف ما ینتقص من وصیّة الصوم، کما إذا کانت الترکة ثمانیة عشر و أوصی بستّة لاستئجار الصلاة ثمّ أوصیٰ بثلاثة لاستئجار الصوم، فإن أجاز الوارث نفذت الوصیّتان، و إن لم یجز بطلتا بالنسبة إلیٰ ثلاثة و توزّعت علی الوصیّتین بالنسبة، فینقص عن الوصیّة الأُولی اثنان و عن الثانیة واحد، فیصرف فی الصلاة أربعة و فی الصوم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الجمیع تبرّعیّة، فإن لم یکن بینها ترتیب بل کانت مجتمعة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زیداً و عمراً و خالداً کلّا منهم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بمنزلة وصیّة واحدة، فإن زادت علی الثلث و لم یجز الورثة ورد النقص علی الجمیع بالنسبة، و إن کانت بینها ترتیب و تقدیم و تأخیر فی الذکر؛ بأن کانت الثانیة بعد تمامیّة الوصیّة الأُولیٰ و الثالثة بعد تمامیة الثانیة و هکذا،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زیداً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عمراً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خالداً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المجموع أزید من الثلث و لم یجز الورثة یبدأ بالأوّل فالأوّل إلیٰ أن یکمل الثلث فإذا کان الثلث مائة نفذت الاولیٰ و لغت الأخیرتان، و إن کان مائتین نفذت الأُولیان و لغت الأخیرة، و إن کان مائة و خمسین نفذت الاولیٰ، و الثانیة فی نصف الموصی به، و لغت البواقی و هکذا</w:t>
      </w:r>
      <w:r>
        <w:rPr>
          <w:rFonts w:eastAsia="IRNazanin" w:cs="IRNazanin"/>
          <w:color w:val="111111"/>
          <w:sz w:val="28"/>
          <w:szCs w:val="28"/>
          <w:rtl w:val="true"/>
          <w:lang w:bidi="fa-IR"/>
        </w:rPr>
        <w:t>.</w:t>
      </w:r>
    </w:p>
    <w:p>
      <w:pPr>
        <w:pStyle w:val="Heading3"/>
        <w:numPr>
          <w:ilvl w:val="2"/>
          <w:numId w:val="1"/>
        </w:numPr>
        <w:rPr/>
      </w:pPr>
      <w:bookmarkStart w:id="5867" w:name="__RefHeading___Toc2570300_3650668749"/>
      <w:bookmarkStart w:id="5868" w:name="_Toc2659"/>
      <w:bookmarkEnd w:id="5867"/>
      <w:r>
        <w:rPr>
          <w:rtl w:val="true"/>
        </w:rPr>
        <w:t>[ (</w:t>
      </w:r>
      <w:r>
        <w:rPr>
          <w:rtl w:val="true"/>
        </w:rPr>
        <w:t xml:space="preserve">مسألة </w:t>
      </w:r>
      <w:r>
        <w:rPr/>
        <w:t>36</w:t>
      </w:r>
      <w:r>
        <w:rPr>
          <w:rtl w:val="true"/>
        </w:rPr>
        <w:t xml:space="preserve">): </w:t>
      </w:r>
      <w:r>
        <w:rPr>
          <w:rtl w:val="true"/>
        </w:rPr>
        <w:t>لو أوصیٰ بوصایا مختلفة بالنوع کما إذا أوصیٰ بأن یعطیٰ مقداراً معیّناً خمساً و زکاة</w:t>
      </w:r>
      <w:r>
        <w:rPr>
          <w:rtl w:val="true"/>
        </w:rPr>
        <w:t>]</w:t>
      </w:r>
      <w:bookmarkEnd w:id="5868"/>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بوصایا مختلفة بالنوع کما إذا أوصیٰ بأن یعطیٰ مقداراً معیّناً خمساً و زکاة، و مقداراً صوماً و صلاة، و مقداراً لإطعام الفقراء، فإن أطلق و لم یذکر المخرج یبدأ بالواجب المالی فیخرج من الأصل، فإذا بقی شی‌ء یعیّن ثلثه و یخرج منه البدنی و التبرّعی، فإن وفیٰ بهما أو لم یف بهما و أجاز الوارث نفذت فی کلیهما و إن لم یف بهما و لم یجز الوارث فی الزیادة یقدّم الواجب البدنی و یردّ النقص علی التبرّعی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ذکر المخرج و أوصی بأن تخرج من الثلث، یعیّن الثلث فیخرج منه </w:t>
      </w:r>
      <w:r>
        <w:rPr>
          <w:rStyle w:val="FootnoteAnchor"/>
          <w:rtl w:val="true"/>
        </w:rPr>
        <w:footnoteReference w:id="1556"/>
      </w:r>
      <w:r>
        <w:rPr>
          <w:rFonts w:ascii="IRNazanin" w:hAnsi="IRNazanin" w:eastAsia="IRNazanin"/>
          <w:color w:val="111111"/>
          <w:sz w:val="28"/>
          <w:sz w:val="28"/>
          <w:szCs w:val="28"/>
          <w:rtl w:val="true"/>
          <w:lang w:bidi="fa-IR"/>
        </w:rPr>
        <w:t>الواجب المالی، فإن بقی منه شی‌ء یصرف فی الواجب البدنی، فإن بقی شی‌ء یصرف فی التبرّعی، حتّی أنّه لو لم</w:t>
      </w:r>
      <w:bookmarkStart w:id="5869" w:name="pg1809_19587"/>
    </w:p>
    <w:p>
      <w:pPr>
        <w:pStyle w:val="BookText"/>
        <w:rPr/>
      </w:pPr>
      <w:bookmarkEnd w:id="5869"/>
      <w:r>
        <w:rPr>
          <w:rFonts w:ascii="IRNazanin" w:hAnsi="IRNazanin" w:eastAsia="IRNazanin"/>
          <w:color w:val="111111"/>
          <w:sz w:val="28"/>
          <w:sz w:val="28"/>
          <w:szCs w:val="28"/>
          <w:rtl w:val="true"/>
          <w:lang w:bidi="fa-IR"/>
        </w:rPr>
        <w:t>یف الثلث إلّا بالواجبات المالیّة لغت الوصایا الأخیرة بالمرّة، إلّا أن یجیز الورثة</w:t>
      </w:r>
      <w:r>
        <w:rPr>
          <w:rFonts w:eastAsia="IRNazanin" w:cs="IRNazanin"/>
          <w:color w:val="111111"/>
          <w:sz w:val="28"/>
          <w:szCs w:val="28"/>
          <w:rtl w:val="true"/>
          <w:lang w:bidi="fa-IR"/>
        </w:rPr>
        <w:t>.</w:t>
      </w:r>
    </w:p>
    <w:p>
      <w:pPr>
        <w:pStyle w:val="Heading3"/>
        <w:numPr>
          <w:ilvl w:val="2"/>
          <w:numId w:val="1"/>
        </w:numPr>
        <w:rPr/>
      </w:pPr>
      <w:bookmarkStart w:id="5870" w:name="__RefHeading___Toc2570302_3650668749"/>
      <w:bookmarkStart w:id="5871" w:name="_Toc2660"/>
      <w:bookmarkEnd w:id="5870"/>
      <w:r>
        <w:rPr>
          <w:rtl w:val="true"/>
        </w:rPr>
        <w:t>[ (</w:t>
      </w:r>
      <w:r>
        <w:rPr>
          <w:rtl w:val="true"/>
        </w:rPr>
        <w:t xml:space="preserve">مسألة </w:t>
      </w:r>
      <w:r>
        <w:rPr/>
        <w:t>37</w:t>
      </w:r>
      <w:r>
        <w:rPr>
          <w:rtl w:val="true"/>
        </w:rPr>
        <w:t xml:space="preserve">): </w:t>
      </w:r>
      <w:r>
        <w:rPr>
          <w:rtl w:val="true"/>
        </w:rPr>
        <w:t>لو أوصیٰ بوصایا متعدّدة متضادّة</w:t>
      </w:r>
      <w:r>
        <w:rPr>
          <w:rtl w:val="true"/>
        </w:rPr>
        <w:t>]</w:t>
      </w:r>
      <w:bookmarkEnd w:id="58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بوصایا متعدّدة متضادّة؛ بأن کانت المتأخّرة منافیة للمتقدّمة، کما لو أوصیٰ بعین شخصیّة لواحد ثمّ أوصیٰ بها لآخر، و مثله ما إذا أوصیٰ بثلثه لشخص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ثلثی لزید بعد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ثلثی لعمرو بعد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اللاحقة عدولًا عن السابقة فیعمل باللاحقة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أوصیٰ بعین شخصی لشخص ثمّ أوصیٰ بنصفها مثلًا لشخص آخر، فالظاهر کون الثانیة عدولًا بالنسبة إلیٰ نصفها لا تمامها، فیبقی النصف الآخر للأوّل</w:t>
      </w:r>
      <w:r>
        <w:rPr>
          <w:rFonts w:eastAsia="IRNazanin" w:cs="IRNazanin"/>
          <w:color w:val="111111"/>
          <w:sz w:val="28"/>
          <w:szCs w:val="28"/>
          <w:rtl w:val="true"/>
          <w:lang w:bidi="fa-IR"/>
        </w:rPr>
        <w:t>.</w:t>
      </w:r>
    </w:p>
    <w:p>
      <w:pPr>
        <w:pStyle w:val="Heading3"/>
        <w:numPr>
          <w:ilvl w:val="2"/>
          <w:numId w:val="1"/>
        </w:numPr>
        <w:rPr/>
      </w:pPr>
      <w:bookmarkStart w:id="5872" w:name="__RefHeading___Toc2570304_3650668749"/>
      <w:bookmarkStart w:id="5873" w:name="_Toc2661"/>
      <w:bookmarkEnd w:id="5872"/>
      <w:r>
        <w:rPr>
          <w:rtl w:val="true"/>
        </w:rPr>
        <w:t>[ (</w:t>
      </w:r>
      <w:r>
        <w:rPr>
          <w:rtl w:val="true"/>
        </w:rPr>
        <w:t xml:space="preserve">مسألة </w:t>
      </w:r>
      <w:r>
        <w:rPr/>
        <w:t>38</w:t>
      </w:r>
      <w:r>
        <w:rPr>
          <w:rtl w:val="true"/>
        </w:rPr>
        <w:t xml:space="preserve">): </w:t>
      </w:r>
      <w:r>
        <w:rPr>
          <w:rtl w:val="true"/>
        </w:rPr>
        <w:t>متعلّق الوصیّة إن کان کسراً مشاعاً من الترکة کالثلث أو الربع</w:t>
      </w:r>
      <w:r>
        <w:rPr>
          <w:rtl w:val="true"/>
        </w:rPr>
        <w:t>]</w:t>
      </w:r>
      <w:bookmarkEnd w:id="58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الوصیّة إن کان کسراً مشاعاً من الترکة کالثلث أو الربع مثلًا ملکه الموصی له بالموت و القبول بناءً علی اعتباره، و کان له من کلّ شی‌ء ثلثه أو ربعه مثلًا و شارک الورثة فی الترکة من حین ما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الوصیّة التملیکیّة، و أمّا فی الوصیّة العهدیّة کما إذا أوصیٰ بصرف ثلثه أو ربع ترکته فی العبادات و الزیارات، کان الموصی به فیها باقیاً علیٰ حکم مال المیّت، فهو یشارک الورثة حین ما ملکوا بالإرث، فکان للمیّت من کلّ شی‌ء ثلثه أو ربعه مثلًا و الباقی للورثة، و هذه الشرکة باقیة ما لم یفرز الموصی به عن مال الورثة و لم تقع القسمة بینهم و بین الموصی له، فلو حصل نماء متّصل أو منفصل قبل القسمة کان بینهما، و لو تلفت من الترکة شی‌ء کان منهما</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ما أوصیٰ به مالًا معیّناً یساوی الثلث أو دونه، اختصّ به الموصی له و لا اعتراض فیه للورثة و لا حاجة إلیٰ إجازتهم؛ لما عرفت سابقاً أنّ للموصی تعیین ثلثه فیما شاء من ترکته، لکن إنّما یستقرّ ملکیّة الموصی له أو المیّت فی تمام الموصی به إذا کان یصل إلی الوارث ضعف ما أوصیٰ به، فإذا کان له مال حاضر عند الورثة بهذا المقدار استقرّت ملکیّة تمام المال المعیّن، فللموصی له أو الوصیّ أن یتصرّف فیه أنحاء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ما عدا ما عیّن للوصیّة غائباً توقّف </w:t>
      </w:r>
      <w:r>
        <w:rPr>
          <w:rStyle w:val="FootnoteAnchor"/>
          <w:rtl w:val="true"/>
        </w:rPr>
        <w:footnoteReference w:id="1557"/>
      </w:r>
      <w:r>
        <w:rPr>
          <w:rFonts w:ascii="IRNazanin" w:hAnsi="IRNazanin" w:eastAsia="IRNazanin"/>
          <w:color w:val="111111"/>
          <w:sz w:val="28"/>
          <w:sz w:val="28"/>
          <w:szCs w:val="28"/>
          <w:rtl w:val="true"/>
          <w:lang w:bidi="fa-IR"/>
        </w:rPr>
        <w:t>التصرّف فیه علیٰ حصول مثلیه</w:t>
      </w:r>
      <w:bookmarkStart w:id="5874" w:name="pg1809_19588"/>
    </w:p>
    <w:p>
      <w:pPr>
        <w:pStyle w:val="BookText"/>
        <w:rPr/>
      </w:pPr>
      <w:bookmarkEnd w:id="5874"/>
      <w:r>
        <w:rPr>
          <w:rFonts w:ascii="IRNazanin" w:hAnsi="IRNazanin" w:eastAsia="IRNazanin"/>
          <w:color w:val="111111"/>
          <w:sz w:val="28"/>
          <w:sz w:val="28"/>
          <w:szCs w:val="28"/>
          <w:rtl w:val="true"/>
          <w:lang w:bidi="fa-IR"/>
        </w:rPr>
        <w:t>بید الورثة، فإن لم یحصل بیدهم شی‌ء منه شارکوا الموصی له فی المال المعیّن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للموصیٰ له، و ثلثان للورثة</w:t>
      </w:r>
      <w:r>
        <w:rPr>
          <w:rFonts w:eastAsia="IRNazanin" w:cs="IRNazanin"/>
          <w:color w:val="111111"/>
          <w:sz w:val="28"/>
          <w:szCs w:val="28"/>
          <w:rtl w:val="true"/>
          <w:lang w:bidi="fa-IR"/>
        </w:rPr>
        <w:t>.</w:t>
      </w:r>
    </w:p>
    <w:p>
      <w:pPr>
        <w:pStyle w:val="Heading3"/>
        <w:numPr>
          <w:ilvl w:val="2"/>
          <w:numId w:val="1"/>
        </w:numPr>
        <w:rPr/>
      </w:pPr>
      <w:bookmarkStart w:id="5875" w:name="__RefHeading___Toc2570306_3650668749"/>
      <w:bookmarkStart w:id="5876" w:name="_Toc2662"/>
      <w:bookmarkEnd w:id="5875"/>
      <w:r>
        <w:rPr>
          <w:rtl w:val="true"/>
        </w:rPr>
        <w:t>[ (</w:t>
      </w:r>
      <w:r>
        <w:rPr>
          <w:rtl w:val="true"/>
        </w:rPr>
        <w:t xml:space="preserve">مسألة </w:t>
      </w:r>
      <w:r>
        <w:rPr/>
        <w:t>39</w:t>
      </w:r>
      <w:r>
        <w:rPr>
          <w:rtl w:val="true"/>
        </w:rPr>
        <w:t xml:space="preserve">): </w:t>
      </w:r>
      <w:r>
        <w:rPr>
          <w:rtl w:val="true"/>
        </w:rPr>
        <w:t>یجوز للموصی أن یعیّن شخصاً لتنجیز وصایاه و تنفیذها</w:t>
      </w:r>
      <w:r>
        <w:rPr>
          <w:rtl w:val="true"/>
        </w:rPr>
        <w:t>]</w:t>
      </w:r>
      <w:bookmarkEnd w:id="58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للموصی أن یعیّن شخصاً لتنجیز وصایاه و تنفیذها، فیتعیّن و یقال له الموصی إلیه و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فیه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الإسلام، فلا تصحّ وصایة الصغیر و لا المجنون و لا الکافر عن المسلم و إن کان ذمیّاً قریباً، و هل یشترط فیه العدالة کما نسب إلی المشهور أم یکفی الوثاقة؟ لا یبعد الثانی و إن کان الأوّل أحوط</w:t>
      </w:r>
      <w:r>
        <w:rPr>
          <w:rFonts w:eastAsia="IRNazanin" w:cs="IRNazanin"/>
          <w:color w:val="111111"/>
          <w:sz w:val="28"/>
          <w:szCs w:val="28"/>
          <w:rtl w:val="true"/>
          <w:lang w:bidi="fa-IR"/>
        </w:rPr>
        <w:t>.</w:t>
      </w:r>
    </w:p>
    <w:p>
      <w:pPr>
        <w:pStyle w:val="Heading3"/>
        <w:numPr>
          <w:ilvl w:val="2"/>
          <w:numId w:val="1"/>
        </w:numPr>
        <w:rPr/>
      </w:pPr>
      <w:bookmarkStart w:id="5877" w:name="__RefHeading___Toc2570308_3650668749"/>
      <w:bookmarkStart w:id="5878" w:name="_Toc2663"/>
      <w:bookmarkEnd w:id="5877"/>
      <w:r>
        <w:rPr>
          <w:rtl w:val="true"/>
        </w:rPr>
        <w:t>[ (</w:t>
      </w:r>
      <w:r>
        <w:rPr>
          <w:rtl w:val="true"/>
        </w:rPr>
        <w:t xml:space="preserve">مسألة </w:t>
      </w:r>
      <w:r>
        <w:rPr/>
        <w:t>40</w:t>
      </w:r>
      <w:r>
        <w:rPr>
          <w:rtl w:val="true"/>
        </w:rPr>
        <w:t xml:space="preserve">): </w:t>
      </w:r>
      <w:r>
        <w:rPr>
          <w:rtl w:val="true"/>
        </w:rPr>
        <w:t>إنّما لا تصحّ وصایة الصغیر منفرداً، و أمّا منضمّاً إلی الکامل فلا بأس به</w:t>
      </w:r>
      <w:r>
        <w:rPr>
          <w:rtl w:val="true"/>
        </w:rPr>
        <w:t>]</w:t>
      </w:r>
      <w:bookmarkEnd w:id="58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لا تصحّ وصایة الصغیر منفرداً، و أمّا منضمّاً إلی الکامل فلا بأس به، فیستقلّ الکامل بالتصرّف إلیٰ زمن بلوغ الصغیر و لا ینتظر بلوغه، فإذا بلغ شارکه من حینه، و لیس له اعتراض فیما أمضاه الکامل سابقاً إلّا ما کان علیٰ خلاف ما أوصیٰ به المیّت فیردّه إلیٰ ما أوصیٰ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مات الصغیر أو بلغ فاسد العقل کان للکامل الانفراد بالوصایة</w:t>
      </w:r>
      <w:r>
        <w:rPr>
          <w:rFonts w:eastAsia="IRNazanin" w:cs="IRNazanin"/>
          <w:color w:val="111111"/>
          <w:sz w:val="28"/>
          <w:szCs w:val="28"/>
          <w:rtl w:val="true"/>
          <w:lang w:bidi="fa-IR"/>
        </w:rPr>
        <w:t>.</w:t>
      </w:r>
    </w:p>
    <w:p>
      <w:pPr>
        <w:pStyle w:val="Heading3"/>
        <w:numPr>
          <w:ilvl w:val="2"/>
          <w:numId w:val="1"/>
        </w:numPr>
        <w:rPr/>
      </w:pPr>
      <w:bookmarkStart w:id="5879" w:name="__RefHeading___Toc2570310_3650668749"/>
      <w:bookmarkStart w:id="5880" w:name="_Toc2664"/>
      <w:bookmarkEnd w:id="5879"/>
      <w:r>
        <w:rPr>
          <w:rtl w:val="true"/>
        </w:rPr>
        <w:t>[ (</w:t>
      </w:r>
      <w:r>
        <w:rPr>
          <w:rtl w:val="true"/>
        </w:rPr>
        <w:t xml:space="preserve">مسألة </w:t>
      </w:r>
      <w:r>
        <w:rPr/>
        <w:t>41</w:t>
      </w:r>
      <w:r>
        <w:rPr>
          <w:rtl w:val="true"/>
        </w:rPr>
        <w:t xml:space="preserve">): </w:t>
      </w:r>
      <w:r>
        <w:rPr>
          <w:rtl w:val="true"/>
        </w:rPr>
        <w:t>لو طرأ الجنون علی الوصیّ بعد موت الموصی بطلت</w:t>
      </w:r>
      <w:r>
        <w:rPr>
          <w:rtl w:val="true"/>
        </w:rPr>
        <w:t>]</w:t>
      </w:r>
      <w:bookmarkEnd w:id="58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طرأ الجنون علی الوصیّ بعد موت الموصی بطلت </w:t>
      </w:r>
      <w:r>
        <w:rPr>
          <w:rStyle w:val="FootnoteAnchor"/>
          <w:rtl w:val="true"/>
        </w:rPr>
        <w:footnoteReference w:id="1558"/>
      </w:r>
      <w:r>
        <w:rPr>
          <w:rFonts w:ascii="IRNazanin" w:hAnsi="IRNazanin" w:eastAsia="IRNazanin"/>
          <w:color w:val="111111"/>
          <w:sz w:val="28"/>
          <w:sz w:val="28"/>
          <w:szCs w:val="28"/>
          <w:rtl w:val="true"/>
          <w:lang w:bidi="fa-IR"/>
        </w:rPr>
        <w:t>وصایته، و لو أفاق بعد ذلک لم تعد و احتاج إلیٰ نصب جدید من الحاکم</w:t>
      </w:r>
      <w:r>
        <w:rPr>
          <w:rFonts w:eastAsia="IRNazanin" w:cs="IRNazanin"/>
          <w:color w:val="111111"/>
          <w:sz w:val="28"/>
          <w:szCs w:val="28"/>
          <w:rtl w:val="true"/>
          <w:lang w:bidi="fa-IR"/>
        </w:rPr>
        <w:t>.</w:t>
      </w:r>
    </w:p>
    <w:p>
      <w:pPr>
        <w:pStyle w:val="Heading3"/>
        <w:numPr>
          <w:ilvl w:val="2"/>
          <w:numId w:val="1"/>
        </w:numPr>
        <w:rPr/>
      </w:pPr>
      <w:bookmarkStart w:id="5881" w:name="__RefHeading___Toc2570312_3650668749"/>
      <w:bookmarkStart w:id="5882" w:name="_Toc2665"/>
      <w:bookmarkEnd w:id="5881"/>
      <w:r>
        <w:rPr>
          <w:rtl w:val="true"/>
        </w:rPr>
        <w:t>[ (</w:t>
      </w:r>
      <w:r>
        <w:rPr>
          <w:rtl w:val="true"/>
        </w:rPr>
        <w:t xml:space="preserve">مسألة </w:t>
      </w:r>
      <w:r>
        <w:rPr/>
        <w:t>42</w:t>
      </w:r>
      <w:r>
        <w:rPr>
          <w:rtl w:val="true"/>
        </w:rPr>
        <w:t xml:space="preserve">): </w:t>
      </w:r>
      <w:r>
        <w:rPr>
          <w:rtl w:val="true"/>
        </w:rPr>
        <w:t>لا یجب علی الموصی إلیه قبول الوصایة</w:t>
      </w:r>
      <w:r>
        <w:rPr>
          <w:rtl w:val="true"/>
        </w:rPr>
        <w:t>]</w:t>
      </w:r>
      <w:bookmarkEnd w:id="58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w:t>
      </w:r>
      <w:r>
        <w:rPr>
          <w:rStyle w:val="FootnoteAnchor"/>
          <w:rtl w:val="true"/>
        </w:rPr>
        <w:footnoteReference w:id="1559"/>
      </w:r>
      <w:r>
        <w:rPr>
          <w:rFonts w:ascii="IRNazanin" w:hAnsi="IRNazanin" w:eastAsia="IRNazanin"/>
          <w:color w:val="111111"/>
          <w:sz w:val="28"/>
          <w:sz w:val="28"/>
          <w:szCs w:val="28"/>
          <w:rtl w:val="true"/>
          <w:lang w:bidi="fa-IR"/>
        </w:rPr>
        <w:t>علی الموصی إلیه قبول الوصایة و له أن یردّها ما دام الموصی حیّاً بشرط أن یبلغه الردّ، فلو کان الردّ بعد موت الموصی أو قبله، و لکن لم یبلغه الردّ حتّی مات، لم یکن أثر للردّ و کانت الوصایة لازمة علی الوصیّ، بل لو لم یبلغه أنّه قد أوصیٰ إلیه و جعله وصیّاً إلّا بعد موت الموصی لزمته الوصایة و لیس له ردّها</w:t>
      </w:r>
      <w:r>
        <w:rPr>
          <w:rFonts w:eastAsia="IRNazanin" w:cs="IRNazanin"/>
          <w:color w:val="111111"/>
          <w:sz w:val="28"/>
          <w:szCs w:val="28"/>
          <w:rtl w:val="true"/>
          <w:lang w:bidi="fa-IR"/>
        </w:rPr>
        <w:t>.</w:t>
      </w:r>
    </w:p>
    <w:p>
      <w:pPr>
        <w:pStyle w:val="Heading3"/>
        <w:numPr>
          <w:ilvl w:val="2"/>
          <w:numId w:val="1"/>
        </w:numPr>
        <w:rPr/>
      </w:pPr>
      <w:bookmarkStart w:id="5883" w:name="__RefHeading___Toc2570314_3650668749"/>
      <w:bookmarkStart w:id="5884" w:name="_Toc2666"/>
      <w:bookmarkEnd w:id="5883"/>
      <w:r>
        <w:rPr>
          <w:rtl w:val="true"/>
        </w:rPr>
        <w:t>[ (</w:t>
      </w:r>
      <w:r>
        <w:rPr>
          <w:rtl w:val="true"/>
        </w:rPr>
        <w:t xml:space="preserve">مسألة </w:t>
      </w:r>
      <w:r>
        <w:rPr/>
        <w:t>43</w:t>
      </w:r>
      <w:r>
        <w:rPr>
          <w:rtl w:val="true"/>
        </w:rPr>
        <w:t xml:space="preserve">): </w:t>
      </w:r>
      <w:r>
        <w:rPr>
          <w:rtl w:val="true"/>
        </w:rPr>
        <w:t>یجوز للموصی أن یجعل الوصایة لاثنین فما فوق</w:t>
      </w:r>
      <w:r>
        <w:rPr>
          <w:rtl w:val="true"/>
        </w:rPr>
        <w:t>]</w:t>
      </w:r>
      <w:bookmarkEnd w:id="5884"/>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للموصی أن یجعل الوصایة لاثنین فما فوق، فإن نصّ </w:t>
      </w:r>
      <w:r>
        <w:rPr>
          <w:rStyle w:val="FootnoteAnchor"/>
          <w:rtl w:val="true"/>
        </w:rPr>
        <w:footnoteReference w:id="1560"/>
      </w:r>
      <w:r>
        <w:rPr>
          <w:rFonts w:ascii="IRNazanin" w:hAnsi="IRNazanin" w:eastAsia="IRNazanin"/>
          <w:color w:val="111111"/>
          <w:sz w:val="28"/>
          <w:sz w:val="28"/>
          <w:szCs w:val="28"/>
          <w:rtl w:val="true"/>
          <w:lang w:bidi="fa-IR"/>
        </w:rPr>
        <w:t>علی</w:t>
      </w:r>
      <w:bookmarkStart w:id="5885" w:name="pg1809_19589"/>
    </w:p>
    <w:p>
      <w:pPr>
        <w:pStyle w:val="BookText"/>
        <w:rPr/>
      </w:pPr>
      <w:bookmarkEnd w:id="5885"/>
      <w:r>
        <w:rPr>
          <w:rFonts w:ascii="IRNazanin" w:hAnsi="IRNazanin" w:eastAsia="IRNazanin"/>
          <w:color w:val="111111"/>
          <w:sz w:val="28"/>
          <w:sz w:val="28"/>
          <w:szCs w:val="28"/>
          <w:rtl w:val="true"/>
          <w:lang w:bidi="fa-IR"/>
        </w:rPr>
        <w:t>الاستقلال و الانفراد فهو، و إلّا فلیس لکلّ منهما الاستقلال بالتصرّف؛ لا فی جمیع ما أوصیٰ به و لا فی بعضه، و لیس لهما أن یقسّما الثلث مثلًا و ینفرد کلّ منهما فی نصفه، من غیر فرق فی ذلک بین أن یشترط علیهما الاجتماع أو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تشاحّا و لم یجتمعا أجبرهما </w:t>
      </w:r>
      <w:r>
        <w:rPr>
          <w:rStyle w:val="FootnoteAnchor"/>
          <w:rtl w:val="true"/>
        </w:rPr>
        <w:footnoteReference w:id="1561"/>
      </w:r>
      <w:r>
        <w:rPr>
          <w:rFonts w:ascii="IRNazanin" w:hAnsi="IRNazanin" w:eastAsia="IRNazanin"/>
          <w:color w:val="111111"/>
          <w:sz w:val="28"/>
          <w:sz w:val="28"/>
          <w:szCs w:val="28"/>
          <w:rtl w:val="true"/>
          <w:lang w:bidi="fa-IR"/>
        </w:rPr>
        <w:t>الحاکم علی الاجتماع فإن تعذّر استبدل بهما</w:t>
      </w:r>
      <w:r>
        <w:rPr>
          <w:rFonts w:eastAsia="IRNazanin" w:cs="IRNazanin"/>
          <w:color w:val="111111"/>
          <w:sz w:val="28"/>
          <w:szCs w:val="28"/>
          <w:rtl w:val="true"/>
          <w:lang w:bidi="fa-IR"/>
        </w:rPr>
        <w:t>.</w:t>
      </w:r>
    </w:p>
    <w:p>
      <w:pPr>
        <w:pStyle w:val="Heading3"/>
        <w:numPr>
          <w:ilvl w:val="2"/>
          <w:numId w:val="1"/>
        </w:numPr>
        <w:rPr/>
      </w:pPr>
      <w:bookmarkStart w:id="5886" w:name="__RefHeading___Toc2570316_3650668749"/>
      <w:bookmarkStart w:id="5887" w:name="_Toc2667"/>
      <w:bookmarkEnd w:id="5886"/>
      <w:r>
        <w:rPr>
          <w:rtl w:val="true"/>
        </w:rPr>
        <w:t>[ (</w:t>
      </w:r>
      <w:r>
        <w:rPr>
          <w:rtl w:val="true"/>
        </w:rPr>
        <w:t xml:space="preserve">مسألة </w:t>
      </w:r>
      <w:r>
        <w:rPr/>
        <w:t>44</w:t>
      </w:r>
      <w:r>
        <w:rPr>
          <w:rtl w:val="true"/>
        </w:rPr>
        <w:t xml:space="preserve">): </w:t>
      </w:r>
      <w:r>
        <w:rPr>
          <w:rtl w:val="true"/>
        </w:rPr>
        <w:t>لو مات أحد الوصیّین أو طرأ علیه الجنون أو غیره ممّا یوجب ارتفاع وصایته استقلّ الآخر</w:t>
      </w:r>
      <w:r>
        <w:rPr>
          <w:rtl w:val="true"/>
        </w:rPr>
        <w:t>]</w:t>
      </w:r>
      <w:bookmarkEnd w:id="58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أحد الوصیّین أو طرأ علیه الجنون أو غیره ممّا یوجب ارتفاع وصایته استقلّ </w:t>
      </w:r>
      <w:r>
        <w:rPr>
          <w:rStyle w:val="FootnoteAnchor"/>
          <w:rtl w:val="true"/>
        </w:rPr>
        <w:footnoteReference w:id="1562"/>
      </w:r>
      <w:r>
        <w:rPr>
          <w:rFonts w:ascii="IRNazanin" w:hAnsi="IRNazanin" w:eastAsia="IRNazanin"/>
          <w:color w:val="111111"/>
          <w:sz w:val="28"/>
          <w:sz w:val="28"/>
          <w:szCs w:val="28"/>
          <w:rtl w:val="true"/>
          <w:lang w:bidi="fa-IR"/>
        </w:rPr>
        <w:t>الآخر و لا یحتاج إلیٰ ضمّ شخص آخر من قبل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ماتا معاً احتاج إلی النصب من قبله، فهل اللازم نصب اثنین أو یکفی نصب واحد إذا کان کافیاً؟ وجهان؛ أحوطهما الأوّل و أقواهما الثانی</w:t>
      </w:r>
      <w:r>
        <w:rPr>
          <w:rFonts w:eastAsia="IRNazanin" w:cs="IRNazanin"/>
          <w:color w:val="111111"/>
          <w:sz w:val="28"/>
          <w:szCs w:val="28"/>
          <w:rtl w:val="true"/>
          <w:lang w:bidi="fa-IR"/>
        </w:rPr>
        <w:t>.</w:t>
      </w:r>
    </w:p>
    <w:p>
      <w:pPr>
        <w:pStyle w:val="Heading3"/>
        <w:numPr>
          <w:ilvl w:val="2"/>
          <w:numId w:val="1"/>
        </w:numPr>
        <w:rPr/>
      </w:pPr>
      <w:bookmarkStart w:id="5888" w:name="__RefHeading___Toc2570318_3650668749"/>
      <w:bookmarkStart w:id="5889" w:name="_Toc2668"/>
      <w:bookmarkEnd w:id="5888"/>
      <w:r>
        <w:rPr>
          <w:rtl w:val="true"/>
        </w:rPr>
        <w:t>[ (</w:t>
      </w:r>
      <w:r>
        <w:rPr>
          <w:rtl w:val="true"/>
        </w:rPr>
        <w:t xml:space="preserve">مسألة </w:t>
      </w:r>
      <w:r>
        <w:rPr/>
        <w:t>45</w:t>
      </w:r>
      <w:r>
        <w:rPr>
          <w:rtl w:val="true"/>
        </w:rPr>
        <w:t xml:space="preserve">): </w:t>
      </w:r>
      <w:r>
        <w:rPr>
          <w:rtl w:val="true"/>
        </w:rPr>
        <w:t>یجوز أن یوصی إلیٰ واحد فی شی‌ء بعینه و إلیٰ آخر فی غیره</w:t>
      </w:r>
      <w:r>
        <w:rPr>
          <w:rtl w:val="true"/>
        </w:rPr>
        <w:t>]</w:t>
      </w:r>
      <w:bookmarkEnd w:id="58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یوصی إلیٰ واحد فی شی‌ء بعینه و إلیٰ آخر فی غیره، و لا یشارک أحدهما الآخر</w:t>
      </w:r>
      <w:r>
        <w:rPr>
          <w:rFonts w:eastAsia="IRNazanin" w:cs="IRNazanin"/>
          <w:color w:val="111111"/>
          <w:sz w:val="28"/>
          <w:szCs w:val="28"/>
          <w:rtl w:val="true"/>
          <w:lang w:bidi="fa-IR"/>
        </w:rPr>
        <w:t>.</w:t>
      </w:r>
    </w:p>
    <w:p>
      <w:pPr>
        <w:pStyle w:val="Heading3"/>
        <w:numPr>
          <w:ilvl w:val="2"/>
          <w:numId w:val="1"/>
        </w:numPr>
        <w:rPr/>
      </w:pPr>
      <w:bookmarkStart w:id="5890" w:name="__RefHeading___Toc2570320_3650668749"/>
      <w:bookmarkStart w:id="5891" w:name="_Toc2669"/>
      <w:bookmarkEnd w:id="5890"/>
      <w:r>
        <w:rPr>
          <w:rtl w:val="true"/>
        </w:rPr>
        <w:t>[ (</w:t>
      </w:r>
      <w:r>
        <w:rPr>
          <w:rtl w:val="true"/>
        </w:rPr>
        <w:t xml:space="preserve">مسألة </w:t>
      </w:r>
      <w:r>
        <w:rPr/>
        <w:t>46</w:t>
      </w:r>
      <w:r>
        <w:rPr>
          <w:rtl w:val="true"/>
        </w:rPr>
        <w:t xml:space="preserve">): </w:t>
      </w:r>
      <w:r>
        <w:rPr>
          <w:rtl w:val="true"/>
        </w:rPr>
        <w:t>لو قال</w:t>
      </w:r>
      <w:r>
        <w:rPr>
          <w:rtl w:val="true"/>
        </w:rPr>
        <w:t>: «</w:t>
      </w:r>
      <w:r>
        <w:rPr>
          <w:rtl w:val="true"/>
        </w:rPr>
        <w:t>أوصیت إلیٰ زید فإن مات فإلیٰ عمرو</w:t>
      </w:r>
      <w:r>
        <w:rPr>
          <w:rtl w:val="true"/>
        </w:rPr>
        <w:t xml:space="preserve">» </w:t>
      </w:r>
      <w:r>
        <w:rPr>
          <w:rtl w:val="true"/>
        </w:rPr>
        <w:t>صحّ</w:t>
      </w:r>
      <w:r>
        <w:rPr>
          <w:rtl w:val="true"/>
        </w:rPr>
        <w:t>]</w:t>
      </w:r>
      <w:bookmarkEnd w:id="58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أوصیت إلیٰ زید فإن مات فإلیٰ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و یکونان وصیّین، إلّا أنّ وصایة عمرو موقوفة علیٰ موت زید، و کذا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أوصیت إلیٰ زید فإن کبر ابنی أو تاب عن فسقه أو اشتغل بالعلم فهو وصیّی</w:t>
      </w:r>
      <w:r>
        <w:rPr>
          <w:rFonts w:eastAsia="IRNazanin" w:cs="IRNazanin"/>
          <w:color w:val="111111"/>
          <w:sz w:val="28"/>
          <w:szCs w:val="28"/>
          <w:rtl w:val="true"/>
          <w:lang w:bidi="fa-IR"/>
        </w:rPr>
        <w:t>».</w:t>
      </w:r>
    </w:p>
    <w:p>
      <w:pPr>
        <w:pStyle w:val="Heading3"/>
        <w:numPr>
          <w:ilvl w:val="2"/>
          <w:numId w:val="1"/>
        </w:numPr>
        <w:rPr/>
      </w:pPr>
      <w:bookmarkStart w:id="5892" w:name="__RefHeading___Toc2570322_3650668749"/>
      <w:bookmarkStart w:id="5893" w:name="_Toc2670"/>
      <w:bookmarkEnd w:id="5892"/>
      <w:r>
        <w:rPr>
          <w:rtl w:val="true"/>
        </w:rPr>
        <w:t>[ (</w:t>
      </w:r>
      <w:r>
        <w:rPr>
          <w:rtl w:val="true"/>
        </w:rPr>
        <w:t xml:space="preserve">مسألة </w:t>
      </w:r>
      <w:r>
        <w:rPr/>
        <w:t>47</w:t>
      </w:r>
      <w:r>
        <w:rPr>
          <w:rtl w:val="true"/>
        </w:rPr>
        <w:t xml:space="preserve">): </w:t>
      </w:r>
      <w:r>
        <w:rPr>
          <w:rtl w:val="true"/>
        </w:rPr>
        <w:t>إذا ظهرت خیانة الوصیّ فللحاکم عزله و نصب شخص آخر مکانه</w:t>
      </w:r>
      <w:r>
        <w:rPr>
          <w:rtl w:val="true"/>
        </w:rPr>
        <w:t>]</w:t>
      </w:r>
      <w:bookmarkEnd w:id="58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ظهرت خیانة الوصیّ فللحاکم </w:t>
      </w:r>
      <w:r>
        <w:rPr>
          <w:rStyle w:val="FootnoteAnchor"/>
          <w:rtl w:val="true"/>
        </w:rPr>
        <w:footnoteReference w:id="1563"/>
      </w:r>
      <w:r>
        <w:rPr>
          <w:rFonts w:ascii="IRNazanin" w:hAnsi="IRNazanin" w:eastAsia="IRNazanin"/>
          <w:color w:val="111111"/>
          <w:sz w:val="28"/>
          <w:sz w:val="28"/>
          <w:szCs w:val="28"/>
          <w:rtl w:val="true"/>
          <w:lang w:bidi="fa-IR"/>
        </w:rPr>
        <w:t xml:space="preserve">عزله و نصب شخص آخر مکانه، أو ضمّ أمین إلیه حسب ما یراه من المصلحة، و أمّا لو ظهر منه العجز ضمّ إلیه </w:t>
      </w:r>
      <w:r>
        <w:rPr>
          <w:rStyle w:val="FootnoteAnchor"/>
          <w:rtl w:val="true"/>
        </w:rPr>
        <w:footnoteReference w:id="1564"/>
      </w:r>
      <w:r>
        <w:rPr>
          <w:rFonts w:ascii="IRNazanin" w:hAnsi="IRNazanin" w:eastAsia="IRNazanin"/>
          <w:color w:val="111111"/>
          <w:sz w:val="28"/>
          <w:sz w:val="28"/>
          <w:szCs w:val="28"/>
          <w:rtl w:val="true"/>
          <w:lang w:bidi="fa-IR"/>
        </w:rPr>
        <w:t>من یساعده</w:t>
      </w:r>
      <w:r>
        <w:rPr>
          <w:rFonts w:eastAsia="IRNazanin" w:cs="IRNazanin"/>
          <w:color w:val="111111"/>
          <w:sz w:val="28"/>
          <w:szCs w:val="28"/>
          <w:rtl w:val="true"/>
          <w:lang w:bidi="fa-IR"/>
        </w:rPr>
        <w:t>.</w:t>
      </w:r>
    </w:p>
    <w:p>
      <w:pPr>
        <w:pStyle w:val="Heading3"/>
        <w:numPr>
          <w:ilvl w:val="2"/>
          <w:numId w:val="1"/>
        </w:numPr>
        <w:rPr/>
      </w:pPr>
      <w:bookmarkStart w:id="5894" w:name="__RefHeading___Toc2570324_3650668749"/>
      <w:bookmarkStart w:id="5895" w:name="_Toc2671"/>
      <w:bookmarkEnd w:id="5894"/>
      <w:r>
        <w:rPr>
          <w:rtl w:val="true"/>
        </w:rPr>
        <w:t>[ (</w:t>
      </w:r>
      <w:r>
        <w:rPr>
          <w:rtl w:val="true"/>
        </w:rPr>
        <w:t xml:space="preserve">مسألة </w:t>
      </w:r>
      <w:r>
        <w:rPr/>
        <w:t>48</w:t>
      </w:r>
      <w:r>
        <w:rPr>
          <w:rtl w:val="true"/>
        </w:rPr>
        <w:t xml:space="preserve">): </w:t>
      </w:r>
      <w:r>
        <w:rPr>
          <w:rtl w:val="true"/>
        </w:rPr>
        <w:t>إذا لم ینجّز الوصیّ ما أوصیٰ إلیه فی زمن حیاته، لیس له أن یجعل وصیّاً لتنجیزه و إمضائه بعد موته</w:t>
      </w:r>
      <w:r>
        <w:rPr>
          <w:rtl w:val="true"/>
        </w:rPr>
        <w:t>]</w:t>
      </w:r>
      <w:bookmarkEnd w:id="5895"/>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ینجّز الوصیّ ما أوصیٰ إلیه فی زمن حیاته، لیس له أن یجعل وصیّاً لتنجیزه و إمضائه بعد موته، إلّا إذا کان مأذوناً من الموصی فی الإیصاء</w:t>
      </w:r>
      <w:r>
        <w:rPr>
          <w:rFonts w:eastAsia="IRNazanin" w:cs="IRNazanin"/>
          <w:color w:val="111111"/>
          <w:sz w:val="28"/>
          <w:szCs w:val="28"/>
          <w:rtl w:val="true"/>
          <w:lang w:bidi="fa-IR"/>
        </w:rPr>
        <w:t>.</w:t>
      </w:r>
      <w:bookmarkStart w:id="5896" w:name="pg1809_19590"/>
    </w:p>
    <w:p>
      <w:pPr>
        <w:pStyle w:val="Heading3"/>
        <w:numPr>
          <w:ilvl w:val="2"/>
          <w:numId w:val="1"/>
        </w:numPr>
        <w:rPr/>
      </w:pPr>
      <w:bookmarkStart w:id="5897" w:name="__RefHeading___Toc2570326_3650668749"/>
      <w:bookmarkStart w:id="5898" w:name="_Toc2672"/>
      <w:bookmarkEnd w:id="5896"/>
      <w:bookmarkEnd w:id="5897"/>
      <w:r>
        <w:rPr>
          <w:rtl w:val="true"/>
        </w:rPr>
        <w:t>[ (</w:t>
      </w:r>
      <w:r>
        <w:rPr>
          <w:rtl w:val="true"/>
        </w:rPr>
        <w:t xml:space="preserve">مسألة </w:t>
      </w:r>
      <w:r>
        <w:rPr/>
        <w:t>49</w:t>
      </w:r>
      <w:r>
        <w:rPr>
          <w:rtl w:val="true"/>
        </w:rPr>
        <w:t xml:space="preserve">): </w:t>
      </w:r>
      <w:r>
        <w:rPr>
          <w:rtl w:val="true"/>
        </w:rPr>
        <w:t>الوصیّ أمین</w:t>
      </w:r>
      <w:r>
        <w:rPr>
          <w:rtl w:val="true"/>
        </w:rPr>
        <w:t>]</w:t>
      </w:r>
      <w:bookmarkEnd w:id="58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 أمین، فلا یضمن ما کان فی یده إلّا مع التعدّی أو التفریط و لو بمخالفة الوصیّة، فیضمن لو تلف، فضلًا عمّا لو أتلف</w:t>
      </w:r>
      <w:r>
        <w:rPr>
          <w:rFonts w:eastAsia="IRNazanin" w:cs="IRNazanin"/>
          <w:color w:val="111111"/>
          <w:sz w:val="28"/>
          <w:szCs w:val="28"/>
          <w:rtl w:val="true"/>
          <w:lang w:bidi="fa-IR"/>
        </w:rPr>
        <w:t>.</w:t>
      </w:r>
    </w:p>
    <w:p>
      <w:pPr>
        <w:pStyle w:val="Heading3"/>
        <w:numPr>
          <w:ilvl w:val="2"/>
          <w:numId w:val="1"/>
        </w:numPr>
        <w:rPr/>
      </w:pPr>
      <w:bookmarkStart w:id="5899" w:name="__RefHeading___Toc2570328_3650668749"/>
      <w:bookmarkStart w:id="5900" w:name="_Toc2673"/>
      <w:bookmarkEnd w:id="5899"/>
      <w:r>
        <w:rPr>
          <w:rtl w:val="true"/>
        </w:rPr>
        <w:t>[ (</w:t>
      </w:r>
      <w:r>
        <w:rPr>
          <w:rtl w:val="true"/>
        </w:rPr>
        <w:t xml:space="preserve">مسألة </w:t>
      </w:r>
      <w:r>
        <w:rPr/>
        <w:t>50</w:t>
      </w:r>
      <w:r>
        <w:rPr>
          <w:rtl w:val="true"/>
        </w:rPr>
        <w:t xml:space="preserve">): </w:t>
      </w:r>
      <w:r>
        <w:rPr>
          <w:rtl w:val="true"/>
        </w:rPr>
        <w:t>لو أوصیٰ إلیه بعمل خاصّ أو قدر مخصوص أو کیفیّة خاصّة</w:t>
      </w:r>
      <w:r>
        <w:rPr>
          <w:rtl w:val="true"/>
        </w:rPr>
        <w:t>]</w:t>
      </w:r>
      <w:bookmarkEnd w:id="59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إلیه بعمل خاصّ أو قدر مخصوص أو کیفیّة خاصّة، اقتصر علیه و لم یتجاوز عنه إلیٰ غیره، و أمّا لو أطلق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وصیّی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ذکر المتعلّق، فالأقرب وقوعه لغواً إلّا إذا کان هناک عرف خاصّ و تعارف یدلّ علی المراد فهو المتّبع، کما فی عرف الأعراب و بعض طوائف الأعجام؛ حیث إنّ مرادهم بحسب الظاهر الولایة علیٰ أداء ما علیه من الدیون و استیفاء ما له علی الناس و ردّ الأمانات و البضائع إلیٰ أهلها و أخذها و إخراج ثلثه و صرفه فیما ینفعه، و لو بنظر حاکم الشرع؛ من استئجار العبادات و أداء الحقوق و المظالم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شموله بمجرّده للقیمومة علی الأطفال تأمّل و إشکال، فالأحوط أن یکون تصدّیه لأُمورهم بإذن من الحاکم، و لعلّ المنساق منه فی بعض البلاد ما یشملها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کان التعارف هو المدار فیختلف باختلاف الأعصار و الأمصار</w:t>
      </w:r>
      <w:r>
        <w:rPr>
          <w:rFonts w:eastAsia="IRNazanin" w:cs="IRNazanin"/>
          <w:color w:val="111111"/>
          <w:sz w:val="28"/>
          <w:szCs w:val="28"/>
          <w:rtl w:val="true"/>
          <w:lang w:bidi="fa-IR"/>
        </w:rPr>
        <w:t>.</w:t>
      </w:r>
    </w:p>
    <w:p>
      <w:pPr>
        <w:pStyle w:val="Heading3"/>
        <w:numPr>
          <w:ilvl w:val="2"/>
          <w:numId w:val="1"/>
        </w:numPr>
        <w:rPr/>
      </w:pPr>
      <w:bookmarkStart w:id="5901" w:name="__RefHeading___Toc2570330_3650668749"/>
      <w:bookmarkStart w:id="5902" w:name="_Toc2674"/>
      <w:bookmarkEnd w:id="5901"/>
      <w:r>
        <w:rPr>
          <w:rtl w:val="true"/>
        </w:rPr>
        <w:t>[ (</w:t>
      </w:r>
      <w:r>
        <w:rPr>
          <w:rtl w:val="true"/>
        </w:rPr>
        <w:t xml:space="preserve">مسألة </w:t>
      </w:r>
      <w:r>
        <w:rPr/>
        <w:t>51</w:t>
      </w:r>
      <w:r>
        <w:rPr>
          <w:rtl w:val="true"/>
        </w:rPr>
        <w:t xml:space="preserve">): </w:t>
      </w:r>
      <w:r>
        <w:rPr>
          <w:rtl w:val="true"/>
        </w:rPr>
        <w:t>لیس للوصیّ أن یعزل نفسه بعد موت الموصی</w:t>
      </w:r>
      <w:r>
        <w:rPr>
          <w:rtl w:val="true"/>
        </w:rPr>
        <w:t>]</w:t>
      </w:r>
      <w:bookmarkEnd w:id="59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للوصیّ أن یعزل نفسه بعد موت الموصی، و لا أن یفوّض أمر الوصیّة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التوکیل فی إیقاع بعض الأعمال المتعلّقة بالوصیّة ممّا لم یتعلّق الغرض إلّا بوقوعها من أیّ مباشر کان، خصوصاً إذا کان ممّا لم تجر العادة علیٰ مباشرة أمثال هذا الوصیّ و لم یشترط علیه المباشرة</w:t>
      </w:r>
      <w:r>
        <w:rPr>
          <w:rFonts w:eastAsia="IRNazanin" w:cs="IRNazanin"/>
          <w:color w:val="111111"/>
          <w:sz w:val="28"/>
          <w:szCs w:val="28"/>
          <w:rtl w:val="true"/>
          <w:lang w:bidi="fa-IR"/>
        </w:rPr>
        <w:t>.</w:t>
      </w:r>
    </w:p>
    <w:p>
      <w:pPr>
        <w:pStyle w:val="Heading3"/>
        <w:numPr>
          <w:ilvl w:val="2"/>
          <w:numId w:val="1"/>
        </w:numPr>
        <w:rPr/>
      </w:pPr>
      <w:bookmarkStart w:id="5903" w:name="__RefHeading___Toc2570332_3650668749"/>
      <w:bookmarkStart w:id="5904" w:name="_Toc2675"/>
      <w:bookmarkEnd w:id="5903"/>
      <w:r>
        <w:rPr>
          <w:rtl w:val="true"/>
        </w:rPr>
        <w:t>[ (</w:t>
      </w:r>
      <w:r>
        <w:rPr>
          <w:rtl w:val="true"/>
        </w:rPr>
        <w:t xml:space="preserve">مسألة </w:t>
      </w:r>
      <w:r>
        <w:rPr/>
        <w:t>52</w:t>
      </w:r>
      <w:r>
        <w:rPr>
          <w:rtl w:val="true"/>
        </w:rPr>
        <w:t xml:space="preserve">): </w:t>
      </w:r>
      <w:r>
        <w:rPr>
          <w:rtl w:val="true"/>
        </w:rPr>
        <w:t>لو نسی الوصیّ مصرف الوصیّة، صرف الموصی به فی وجوه البرّ</w:t>
      </w:r>
      <w:r>
        <w:rPr>
          <w:rtl w:val="true"/>
        </w:rPr>
        <w:t>]</w:t>
      </w:r>
      <w:bookmarkEnd w:id="5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نسی </w:t>
      </w:r>
      <w:r>
        <w:rPr>
          <w:rStyle w:val="FootnoteAnchor"/>
          <w:rtl w:val="true"/>
        </w:rPr>
        <w:footnoteReference w:id="1565"/>
      </w:r>
      <w:r>
        <w:rPr>
          <w:rFonts w:ascii="IRNazanin" w:hAnsi="IRNazanin" w:eastAsia="IRNazanin"/>
          <w:color w:val="111111"/>
          <w:sz w:val="28"/>
          <w:sz w:val="28"/>
          <w:szCs w:val="28"/>
          <w:rtl w:val="true"/>
          <w:lang w:bidi="fa-IR"/>
        </w:rPr>
        <w:t>الوصیّ مصرف الوصیّة، صرف الموصی به فی وجوه البرّ</w:t>
      </w:r>
      <w:r>
        <w:rPr>
          <w:rFonts w:eastAsia="IRNazanin" w:cs="IRNazanin"/>
          <w:color w:val="111111"/>
          <w:sz w:val="28"/>
          <w:szCs w:val="28"/>
          <w:rtl w:val="true"/>
          <w:lang w:bidi="fa-IR"/>
        </w:rPr>
        <w:t>.</w:t>
      </w:r>
    </w:p>
    <w:p>
      <w:pPr>
        <w:pStyle w:val="Heading3"/>
        <w:numPr>
          <w:ilvl w:val="2"/>
          <w:numId w:val="1"/>
        </w:numPr>
        <w:rPr/>
      </w:pPr>
      <w:bookmarkStart w:id="5905" w:name="__RefHeading___Toc2570334_3650668749"/>
      <w:bookmarkStart w:id="5906" w:name="_Toc2676"/>
      <w:bookmarkEnd w:id="5905"/>
      <w:r>
        <w:rPr>
          <w:rtl w:val="true"/>
        </w:rPr>
        <w:t>[ (</w:t>
      </w:r>
      <w:r>
        <w:rPr>
          <w:rtl w:val="true"/>
        </w:rPr>
        <w:t xml:space="preserve">مسألة </w:t>
      </w:r>
      <w:r>
        <w:rPr/>
        <w:t>53</w:t>
      </w:r>
      <w:r>
        <w:rPr>
          <w:rtl w:val="true"/>
        </w:rPr>
        <w:t xml:space="preserve">): </w:t>
      </w:r>
      <w:r>
        <w:rPr>
          <w:rtl w:val="true"/>
        </w:rPr>
        <w:t>إذا أوصی المیّت وصیّة عهدیّة و لم یعیّن وصیّاً، أو بطل وصایة من عیّنه بموت أو جنون أو غیر ذلک</w:t>
      </w:r>
      <w:r>
        <w:rPr>
          <w:rtl w:val="true"/>
        </w:rPr>
        <w:t>]</w:t>
      </w:r>
      <w:bookmarkEnd w:id="59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المیّت وصیّة عهدیّة و لم یعیّن وصیّاً، أو بطل وصایة من عیّنه بموت أو جنون أو غیر ذلک، تولّی الحاکم أمرها أو عیّن من یتولّاه، و لو لم یکن الحاکم و لا منصوبة، تولّاه من المؤمنین من یوثق به</w:t>
      </w:r>
      <w:r>
        <w:rPr>
          <w:rFonts w:eastAsia="IRNazanin" w:cs="IRNazanin"/>
          <w:color w:val="111111"/>
          <w:sz w:val="28"/>
          <w:szCs w:val="28"/>
          <w:rtl w:val="true"/>
          <w:lang w:bidi="fa-IR"/>
        </w:rPr>
        <w:t>.</w:t>
      </w:r>
    </w:p>
    <w:p>
      <w:pPr>
        <w:pStyle w:val="Heading3"/>
        <w:numPr>
          <w:ilvl w:val="2"/>
          <w:numId w:val="1"/>
        </w:numPr>
        <w:rPr/>
      </w:pPr>
      <w:bookmarkStart w:id="5907" w:name="__RefHeading___Toc2570336_3650668749"/>
      <w:bookmarkStart w:id="5908" w:name="_Toc2677"/>
      <w:bookmarkEnd w:id="5907"/>
      <w:r>
        <w:rPr>
          <w:rtl w:val="true"/>
        </w:rPr>
        <w:t>[ (</w:t>
      </w:r>
      <w:r>
        <w:rPr>
          <w:rtl w:val="true"/>
        </w:rPr>
        <w:t xml:space="preserve">مسألة </w:t>
      </w:r>
      <w:r>
        <w:rPr/>
        <w:t>54</w:t>
      </w:r>
      <w:r>
        <w:rPr>
          <w:rtl w:val="true"/>
        </w:rPr>
        <w:t xml:space="preserve">): </w:t>
      </w:r>
      <w:r>
        <w:rPr>
          <w:rtl w:val="true"/>
        </w:rPr>
        <w:t>یجوز للموصی أن یجعل ناظراً علی الوصیّ</w:t>
      </w:r>
      <w:r>
        <w:rPr>
          <w:rtl w:val="true"/>
        </w:rPr>
        <w:t>]</w:t>
      </w:r>
      <w:bookmarkEnd w:id="5908"/>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للموصی أن یجعل ناظراً علی الوصیّ، و وظیفته تابعة لجعل</w:t>
      </w:r>
      <w:bookmarkStart w:id="5909" w:name="pg1809_19591"/>
    </w:p>
    <w:p>
      <w:pPr>
        <w:pStyle w:val="BookText"/>
        <w:rPr/>
      </w:pPr>
      <w:bookmarkEnd w:id="5909"/>
      <w:r>
        <w:rPr>
          <w:rFonts w:ascii="IRNazanin" w:hAnsi="IRNazanin" w:eastAsia="IRNazanin"/>
          <w:color w:val="111111"/>
          <w:sz w:val="28"/>
          <w:sz w:val="28"/>
          <w:szCs w:val="28"/>
          <w:rtl w:val="true"/>
          <w:lang w:bidi="fa-IR"/>
        </w:rPr>
        <w:t>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الاستیثاق علیٰ وقوع ما أوصیٰ به علیٰ ما أوصیٰ به یجعل الناظر رقیباً علی الوصیّ و أن یکون أعماله باطّلاعه، حتّی أنّه لو رأی منه خلاف ما قرّره الموصی لاعترض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عدم الاطمئنان بأنظار الوصیّ و الاطمئنان التامّ بأنظار الناظر یجعل علی الوصیّ أن یکون أعماله علیٰ طبق نظر الناظر و لا یعمل إلّا ما رآه 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فالوصیّ و إن کان ولیّاً مستقلا فی التصرّف لکنّه غیر مستقلّ فی الرأی و النظر، فلا یمضیٰ من أعماله إلّا ما وافق نظر الناظر، فلو استبدّ الوصیّ بالعمل علیٰ نظره من دون مراجعة الناظر و اطّلاعه و کان عمله علیٰ طبق ما قرّره الموصی فالظاهر صحّة عمله و نفوذه علی الأوّل بخلافه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الغالب المتعارف فی جعل الناظر فی الوصایا هو النحو الأوّل</w:t>
      </w:r>
      <w:r>
        <w:rPr>
          <w:rFonts w:eastAsia="IRNazanin" w:cs="IRNazanin"/>
          <w:color w:val="111111"/>
          <w:sz w:val="28"/>
          <w:szCs w:val="28"/>
          <w:rtl w:val="true"/>
          <w:lang w:bidi="fa-IR"/>
        </w:rPr>
        <w:t>.</w:t>
      </w:r>
    </w:p>
    <w:p>
      <w:pPr>
        <w:pStyle w:val="Heading3"/>
        <w:numPr>
          <w:ilvl w:val="2"/>
          <w:numId w:val="1"/>
        </w:numPr>
        <w:rPr/>
      </w:pPr>
      <w:bookmarkStart w:id="5910" w:name="__RefHeading___Toc2570338_3650668749"/>
      <w:bookmarkStart w:id="5911" w:name="_Toc2678"/>
      <w:bookmarkEnd w:id="5910"/>
      <w:r>
        <w:rPr>
          <w:rtl w:val="true"/>
        </w:rPr>
        <w:t>[ (</w:t>
      </w:r>
      <w:r>
        <w:rPr>
          <w:rtl w:val="true"/>
        </w:rPr>
        <w:t xml:space="preserve">مسألة </w:t>
      </w:r>
      <w:r>
        <w:rPr/>
        <w:t>55</w:t>
      </w:r>
      <w:r>
        <w:rPr>
          <w:rtl w:val="true"/>
        </w:rPr>
        <w:t xml:space="preserve">): </w:t>
      </w:r>
      <w:r>
        <w:rPr>
          <w:rtl w:val="true"/>
        </w:rPr>
        <w:t>یجوز للأب مع عدم الجدّ و للجدّ للأب مع فقد الأب، جعل القیّم علی الصغار</w:t>
      </w:r>
      <w:r>
        <w:rPr>
          <w:rtl w:val="true"/>
        </w:rPr>
        <w:t>]</w:t>
      </w:r>
      <w:bookmarkEnd w:id="59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للأب مع عدم الجدّ و للجدّ للأب مع فقد الأب، جعل القیّم علی الصغار، و معه لا ولایة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لغیر الأب و الجدّ للأب أن ینصب القیّم علیهم حتّی الأُمّ</w:t>
      </w:r>
      <w:r>
        <w:rPr>
          <w:rFonts w:eastAsia="IRNazanin" w:cs="IRNazanin"/>
          <w:color w:val="111111"/>
          <w:sz w:val="28"/>
          <w:szCs w:val="28"/>
          <w:rtl w:val="true"/>
          <w:lang w:bidi="fa-IR"/>
        </w:rPr>
        <w:t>.</w:t>
      </w:r>
    </w:p>
    <w:p>
      <w:pPr>
        <w:pStyle w:val="Heading3"/>
        <w:numPr>
          <w:ilvl w:val="2"/>
          <w:numId w:val="1"/>
        </w:numPr>
        <w:rPr/>
      </w:pPr>
      <w:bookmarkStart w:id="5912" w:name="__RefHeading___Toc2570340_3650668749"/>
      <w:bookmarkStart w:id="5913" w:name="_Toc2679"/>
      <w:bookmarkEnd w:id="5912"/>
      <w:r>
        <w:rPr>
          <w:rtl w:val="true"/>
        </w:rPr>
        <w:t>[ (</w:t>
      </w:r>
      <w:r>
        <w:rPr>
          <w:rtl w:val="true"/>
        </w:rPr>
        <w:t xml:space="preserve">مسألة </w:t>
      </w:r>
      <w:r>
        <w:rPr/>
        <w:t>56</w:t>
      </w:r>
      <w:r>
        <w:rPr>
          <w:rtl w:val="true"/>
        </w:rPr>
        <w:t xml:space="preserve">): </w:t>
      </w:r>
      <w:r>
        <w:rPr>
          <w:rtl w:val="true"/>
        </w:rPr>
        <w:t>یشترط فی القیّم علی الأطفال ما اشترط فی الوصیّ علی المال</w:t>
      </w:r>
      <w:r>
        <w:rPr>
          <w:rtl w:val="true"/>
        </w:rPr>
        <w:t>]</w:t>
      </w:r>
      <w:bookmarkEnd w:id="59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القیّم علی الأطفال ما اشترط فی الوصیّ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باعتبار العدالة هنا لا یخلو من قوّة </w:t>
      </w:r>
      <w:r>
        <w:rPr>
          <w:rStyle w:val="FootnoteAnchor"/>
          <w:rtl w:val="true"/>
        </w:rPr>
        <w:footnoteReference w:id="1566"/>
      </w:r>
      <w:r>
        <w:rPr>
          <w:rFonts w:ascii="IRNazanin" w:hAnsi="IRNazanin" w:eastAsia="IRNazanin"/>
          <w:color w:val="111111"/>
          <w:sz w:val="28"/>
          <w:sz w:val="28"/>
          <w:szCs w:val="28"/>
          <w:rtl w:val="true"/>
          <w:lang w:bidi="fa-IR"/>
        </w:rPr>
        <w:t>، و إن کان الاکتفاء بالأمانة و وجود المصلحة لیس ببعید</w:t>
      </w:r>
      <w:r>
        <w:rPr>
          <w:rFonts w:eastAsia="IRNazanin" w:cs="IRNazanin"/>
          <w:color w:val="111111"/>
          <w:sz w:val="28"/>
          <w:szCs w:val="28"/>
          <w:rtl w:val="true"/>
          <w:lang w:bidi="fa-IR"/>
        </w:rPr>
        <w:t>.</w:t>
      </w:r>
    </w:p>
    <w:p>
      <w:pPr>
        <w:pStyle w:val="Heading3"/>
        <w:numPr>
          <w:ilvl w:val="2"/>
          <w:numId w:val="1"/>
        </w:numPr>
        <w:rPr/>
      </w:pPr>
      <w:bookmarkStart w:id="5914" w:name="__RefHeading___Toc2570342_3650668749"/>
      <w:bookmarkStart w:id="5915" w:name="_Toc2680"/>
      <w:bookmarkEnd w:id="5914"/>
      <w:r>
        <w:rPr>
          <w:rtl w:val="true"/>
        </w:rPr>
        <w:t>[ (</w:t>
      </w:r>
      <w:r>
        <w:rPr>
          <w:rtl w:val="true"/>
        </w:rPr>
        <w:t xml:space="preserve">مسألة </w:t>
      </w:r>
      <w:r>
        <w:rPr/>
        <w:t>57</w:t>
      </w:r>
      <w:r>
        <w:rPr>
          <w:rtl w:val="true"/>
        </w:rPr>
        <w:t xml:space="preserve">): </w:t>
      </w:r>
      <w:r>
        <w:rPr>
          <w:rtl w:val="true"/>
        </w:rPr>
        <w:t>لو عیّن الموصی علی القیّم تولّی جهة خاصّة و تصرّفاً مخصوصاً اقتصر علیه</w:t>
      </w:r>
      <w:r>
        <w:rPr>
          <w:rtl w:val="true"/>
        </w:rPr>
        <w:t>]</w:t>
      </w:r>
      <w:bookmarkEnd w:id="5915"/>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عیّن الموصی علی القیّم تولّی جهة خاصّة و تصرّفاً مخصوصاً اقتصر علیه، و یکون أمره فی غیره إلی الحاکم أو المنصوب من قبله، فلو جعله قیّماً بالنسبة إلیٰ حفظ أمواله و ما یتعلّق بإنفاقه لیس له الولایة علیٰ أمواله بالبیع و الإجارة و المزارعة و غیرها، و علیٰ نفسه بالإجارة و نحوها، و علیٰ دیونه بالوفاء و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أطلق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قیّم علیٰ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کان ولیّاً علیٰ جمیع ما یتعلّق بهم ممّا کان للموصی الولایة علیه، فله الإنفاق علیهم بالمعروف، و الإنفاق علیٰ من علیهم نفقته کالأبوین </w:t>
      </w:r>
      <w:r>
        <w:rPr>
          <w:rStyle w:val="FootnoteAnchor"/>
          <w:rtl w:val="true"/>
        </w:rPr>
        <w:footnoteReference w:id="1567"/>
      </w:r>
      <w:r>
        <w:rPr>
          <w:rFonts w:ascii="IRNazanin" w:hAnsi="IRNazanin" w:eastAsia="IRNazanin"/>
          <w:color w:val="111111"/>
          <w:sz w:val="28"/>
          <w:sz w:val="28"/>
          <w:szCs w:val="28"/>
          <w:rtl w:val="true"/>
          <w:lang w:bidi="fa-IR"/>
        </w:rPr>
        <w:t>الفقیرین،</w:t>
      </w:r>
      <w:bookmarkStart w:id="5916" w:name="pg1809_19592"/>
    </w:p>
    <w:p>
      <w:pPr>
        <w:pStyle w:val="BookText"/>
        <w:rPr/>
      </w:pPr>
      <w:bookmarkEnd w:id="5916"/>
      <w:r>
        <w:rPr>
          <w:rFonts w:ascii="IRNazanin" w:hAnsi="IRNazanin" w:eastAsia="IRNazanin"/>
          <w:color w:val="111111"/>
          <w:sz w:val="28"/>
          <w:sz w:val="28"/>
          <w:szCs w:val="28"/>
          <w:rtl w:val="true"/>
          <w:lang w:bidi="fa-IR"/>
        </w:rPr>
        <w:t xml:space="preserve">و حفظ أموالهم و استنماؤها و استیفاء دیونهم و إیفاء ما علیهم، کأرش ما أتلفوا من أموال الناس و کفّارة </w:t>
      </w:r>
      <w:r>
        <w:rPr>
          <w:rStyle w:val="FootnoteAnchor"/>
          <w:rtl w:val="true"/>
        </w:rPr>
        <w:footnoteReference w:id="1568"/>
      </w:r>
      <w:r>
        <w:rPr>
          <w:rFonts w:ascii="IRNazanin" w:hAnsi="IRNazanin" w:eastAsia="IRNazanin"/>
          <w:color w:val="111111"/>
          <w:sz w:val="28"/>
          <w:sz w:val="28"/>
          <w:szCs w:val="28"/>
          <w:rtl w:val="true"/>
          <w:lang w:bidi="fa-IR"/>
        </w:rPr>
        <w:t>القتل دون الدیة، فإنّها فی العمد و الخطأ علی العاقلة، و کذا إخراج الحقوق المتعلّقة بأموالهم کالخمس إذا تعلّق بمالهم و غیر ذلک، نعم فی ولایته علیٰ تزویجهم کلام یأتی فی محلّه إن شاء اللّٰه تعالیٰ</w:t>
      </w:r>
      <w:r>
        <w:rPr>
          <w:rFonts w:eastAsia="IRNazanin" w:cs="IRNazanin"/>
          <w:color w:val="111111"/>
          <w:sz w:val="28"/>
          <w:szCs w:val="28"/>
          <w:rtl w:val="true"/>
          <w:lang w:bidi="fa-IR"/>
        </w:rPr>
        <w:t>.</w:t>
      </w:r>
    </w:p>
    <w:p>
      <w:pPr>
        <w:pStyle w:val="Heading3"/>
        <w:numPr>
          <w:ilvl w:val="2"/>
          <w:numId w:val="1"/>
        </w:numPr>
        <w:rPr/>
      </w:pPr>
      <w:bookmarkStart w:id="5917" w:name="__RefHeading___Toc2570344_3650668749"/>
      <w:bookmarkStart w:id="5918" w:name="_Toc2681"/>
      <w:bookmarkEnd w:id="5917"/>
      <w:r>
        <w:rPr>
          <w:rtl w:val="true"/>
        </w:rPr>
        <w:t>[ (</w:t>
      </w:r>
      <w:r>
        <w:rPr>
          <w:rtl w:val="true"/>
        </w:rPr>
        <w:t xml:space="preserve">مسألة </w:t>
      </w:r>
      <w:r>
        <w:rPr/>
        <w:t>58</w:t>
      </w:r>
      <w:r>
        <w:rPr>
          <w:rtl w:val="true"/>
        </w:rPr>
        <w:t xml:space="preserve">): </w:t>
      </w:r>
      <w:r>
        <w:rPr>
          <w:rtl w:val="true"/>
        </w:rPr>
        <w:t>یجوز جعل الولایة علی الأطفال لاثنین فما زاد</w:t>
      </w:r>
      <w:r>
        <w:rPr>
          <w:rtl w:val="true"/>
        </w:rPr>
        <w:t>]</w:t>
      </w:r>
      <w:bookmarkEnd w:id="59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جعل الولایة علی الأطفال لاثنین فما زاد؛ بالاستقلال و الاشتراک، و جعل الناظر علی الوصیّ کالوصیّة بالمال</w:t>
      </w:r>
      <w:r>
        <w:rPr>
          <w:rFonts w:eastAsia="IRNazanin" w:cs="IRNazanin"/>
          <w:color w:val="111111"/>
          <w:sz w:val="28"/>
          <w:szCs w:val="28"/>
          <w:rtl w:val="true"/>
          <w:lang w:bidi="fa-IR"/>
        </w:rPr>
        <w:t>.</w:t>
      </w:r>
    </w:p>
    <w:p>
      <w:pPr>
        <w:pStyle w:val="Heading3"/>
        <w:numPr>
          <w:ilvl w:val="2"/>
          <w:numId w:val="1"/>
        </w:numPr>
        <w:rPr/>
      </w:pPr>
      <w:bookmarkStart w:id="5919" w:name="__RefHeading___Toc2570346_3650668749"/>
      <w:bookmarkStart w:id="5920" w:name="_Toc2682"/>
      <w:bookmarkEnd w:id="5919"/>
      <w:r>
        <w:rPr>
          <w:rtl w:val="true"/>
        </w:rPr>
        <w:t>[ (</w:t>
      </w:r>
      <w:r>
        <w:rPr>
          <w:rtl w:val="true"/>
        </w:rPr>
        <w:t xml:space="preserve">مسألة </w:t>
      </w:r>
      <w:r>
        <w:rPr/>
        <w:t>59</w:t>
      </w:r>
      <w:r>
        <w:rPr>
          <w:rtl w:val="true"/>
        </w:rPr>
        <w:t xml:space="preserve">): </w:t>
      </w:r>
      <w:r>
        <w:rPr>
          <w:rtl w:val="true"/>
        </w:rPr>
        <w:t>ینفق الوصیّ علی الصبیّ من غیر إسراف و لا تقتیر</w:t>
      </w:r>
      <w:r>
        <w:rPr>
          <w:rtl w:val="true"/>
        </w:rPr>
        <w:t>]</w:t>
      </w:r>
      <w:bookmarkEnd w:id="59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ینفق الوصیّ علی الصبیّ من غیر إسراف و لا تقتیر، فیطعمه و یلبسه عادة أمثاله و نظرائه، فإن أسرف ضمن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بلغ فأنکر أصل الإنفاق أو ادّعیٰ علیه الإسراف فالقول قول الوصیّ بیمینه، و کذا لو ادّعیٰ علیه أنّه باع ماله من غیر حاجة و لا غبطة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اختلفا فی دفع المال إلیه بعد البلوغ فادّعاه الوصیّ و أنکره الصبیّ قدّم قول الصبیّ و البیّنة علی الوصیّ</w:t>
      </w:r>
      <w:r>
        <w:rPr>
          <w:rFonts w:eastAsia="IRNazanin" w:cs="IRNazanin"/>
          <w:color w:val="111111"/>
          <w:sz w:val="28"/>
          <w:szCs w:val="28"/>
          <w:rtl w:val="true"/>
          <w:lang w:bidi="fa-IR"/>
        </w:rPr>
        <w:t>.</w:t>
      </w:r>
    </w:p>
    <w:p>
      <w:pPr>
        <w:pStyle w:val="Heading3"/>
        <w:numPr>
          <w:ilvl w:val="2"/>
          <w:numId w:val="1"/>
        </w:numPr>
        <w:rPr/>
      </w:pPr>
      <w:bookmarkStart w:id="5921" w:name="__RefHeading___Toc2570348_3650668749"/>
      <w:bookmarkStart w:id="5922" w:name="_Toc2683"/>
      <w:bookmarkEnd w:id="5921"/>
      <w:r>
        <w:rPr>
          <w:rtl w:val="true"/>
        </w:rPr>
        <w:t>[ (</w:t>
      </w:r>
      <w:r>
        <w:rPr>
          <w:rtl w:val="true"/>
        </w:rPr>
        <w:t xml:space="preserve">مسألة </w:t>
      </w:r>
      <w:r>
        <w:rPr/>
        <w:t>60</w:t>
      </w:r>
      <w:r>
        <w:rPr>
          <w:rtl w:val="true"/>
        </w:rPr>
        <w:t xml:space="preserve">): </w:t>
      </w:r>
      <w:r>
        <w:rPr>
          <w:rtl w:val="true"/>
        </w:rPr>
        <w:t>یجوز للقیّم الذی یتولّیٰ أُمور الیتیم أن یأخذ من ماله اجرة مثل عمله</w:t>
      </w:r>
      <w:r>
        <w:rPr>
          <w:rtl w:val="true"/>
        </w:rPr>
        <w:t>]</w:t>
      </w:r>
      <w:bookmarkEnd w:id="5922"/>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للقیّم الذی یتولّیٰ أُمور الیتیم أن یأخذ من ماله اجرة مثل عمله سواء کان غنیّاً أو فقیراً، و إن کان الأحوط الأولیٰ للأوّل التجنّب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الوصیّ علی الأموال، فإن عیّن الموصی مقدار المال الموصی به و طبّقه علیٰ مصرفه المعیّن المقدّر بحیث لم یبق شیئاً لُاجرة الوصیّ و استلزم أخذ الأُجرة إمّا الزیادة عن المال الموصی به أو النقصان فی مقدار المصرف کما إذا أوصیٰ بأن یصرف ثلثه أو عیناً معیّناً من ترکته أو مقداراً من المال کألف درهم فی استئجار عشرین سنة عبادة کلّ سنة کذا مقداراً و إطعام خمسین فقیراً بخمسین درهماً و قد ساوی المال مع المصرف بحیث لو أراد أن یأخذ شیئاً لنفسه لزم أحد الأمرین المذکورین لم یجز له أن یأخذ الأُجرة لنفسه؛ حیث إنّ مرجع هذه الوصیّة إلی الإیصاء إلیه بأن یتولّیٰ أُمور الوصیّة تبرّعاً و بلا اجرة، فهو کما لو نصّ علیٰ ذلک، و الوصیّ قد قبل الوصایة علیٰ هذا النحو فلم یستحقّ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عیّن المال و المصرف علیٰ نحو قابل للزیادة و النقصان کان حاله حال متولّی الوقف فی أنّه لو لم یعیّن له جعلًا معیّناً جاز له أن یأخذ أُجرة مثل عمله، و ذلک کما إذا أوصیٰ بأن یصرف ثلثه</w:t>
      </w:r>
      <w:bookmarkStart w:id="5923" w:name="pg1809_19593"/>
    </w:p>
    <w:p>
      <w:pPr>
        <w:pStyle w:val="BookText"/>
        <w:rPr/>
      </w:pPr>
      <w:bookmarkEnd w:id="5923"/>
      <w:r>
        <w:rPr>
          <w:rFonts w:ascii="IRNazanin" w:hAnsi="IRNazanin" w:eastAsia="IRNazanin"/>
          <w:color w:val="111111"/>
          <w:sz w:val="28"/>
          <w:sz w:val="28"/>
          <w:szCs w:val="28"/>
          <w:rtl w:val="true"/>
          <w:lang w:bidi="fa-IR"/>
        </w:rPr>
        <w:t>أو مقداراً معیّناً من المال فی بناء القناطر و تسویة المعابر و تعمیر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أوصیٰ بأن یعمّر المسجد الفلانی من ماله أو من ثلثه</w:t>
      </w:r>
      <w:r>
        <w:rPr>
          <w:rFonts w:eastAsia="IRNazanin" w:cs="IRNazanin"/>
          <w:color w:val="111111"/>
          <w:sz w:val="28"/>
          <w:szCs w:val="28"/>
          <w:rtl w:val="true"/>
          <w:lang w:bidi="fa-IR"/>
        </w:rPr>
        <w:t>.</w:t>
      </w:r>
    </w:p>
    <w:p>
      <w:pPr>
        <w:pStyle w:val="Heading3"/>
        <w:numPr>
          <w:ilvl w:val="2"/>
          <w:numId w:val="1"/>
        </w:numPr>
        <w:rPr/>
      </w:pPr>
      <w:bookmarkStart w:id="5924" w:name="__RefHeading___Toc2570350_3650668749"/>
      <w:bookmarkStart w:id="5925" w:name="_Toc2684"/>
      <w:bookmarkEnd w:id="5924"/>
      <w:r>
        <w:rPr>
          <w:rtl w:val="true"/>
        </w:rPr>
        <w:t>[ (</w:t>
      </w:r>
      <w:r>
        <w:rPr>
          <w:rtl w:val="true"/>
        </w:rPr>
        <w:t xml:space="preserve">مسألة </w:t>
      </w:r>
      <w:r>
        <w:rPr/>
        <w:t>61</w:t>
      </w:r>
      <w:r>
        <w:rPr>
          <w:rtl w:val="true"/>
        </w:rPr>
        <w:t xml:space="preserve">): </w:t>
      </w:r>
      <w:r>
        <w:rPr>
          <w:rtl w:val="true"/>
        </w:rPr>
        <w:t>الوصیّة جائزة من طرف الموصی</w:t>
      </w:r>
      <w:r>
        <w:rPr>
          <w:rtl w:val="true"/>
        </w:rPr>
        <w:t>]</w:t>
      </w:r>
      <w:bookmarkEnd w:id="5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جائزة من طرف الموصی، فله أن یرجع عن وصیّته ما دام فیه الروح و تبدیلها من أصلها أو من بعض جهاتها و کیفیّاتها و متعلّقاتها، فله تبدیل الموصی به کلّا أو بعضاً، و تغییر الوصیّ و الموصیٰ له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رجع عن بعض الجهات یبقیٰ غیرها بحالها، فلو أوصیٰ بصرف ثلثه فی مصارف مخصوصة و جعل الوصایة لزید، ثمّ بعد ذلک عدل عن وصایة زید و جعل الوصایة لعمرو تبقیٰ أصل الوصیّة بحالها، و کذلک إذا أوصیٰ بصرف ثلثه فی مصارف معیّنة علیٰ ید زید، ثمّ بعد ذلک عدل عن تلک المصارف و عیّن مصارف أُخر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له الرجوع فی الوصیّة المتعلّقة بالمال کذلک له الرجوع فی الوصیّة بالولایة علی الأطفال</w:t>
      </w:r>
      <w:r>
        <w:rPr>
          <w:rFonts w:eastAsia="IRNazanin" w:cs="IRNazanin"/>
          <w:color w:val="111111"/>
          <w:sz w:val="28"/>
          <w:szCs w:val="28"/>
          <w:rtl w:val="true"/>
          <w:lang w:bidi="fa-IR"/>
        </w:rPr>
        <w:t>.</w:t>
      </w:r>
    </w:p>
    <w:p>
      <w:pPr>
        <w:pStyle w:val="Heading3"/>
        <w:numPr>
          <w:ilvl w:val="2"/>
          <w:numId w:val="1"/>
        </w:numPr>
        <w:rPr/>
      </w:pPr>
      <w:bookmarkStart w:id="5926" w:name="__RefHeading___Toc2570352_3650668749"/>
      <w:bookmarkStart w:id="5927" w:name="_Toc2685"/>
      <w:bookmarkEnd w:id="5926"/>
      <w:r>
        <w:rPr>
          <w:rtl w:val="true"/>
        </w:rPr>
        <w:t>[ (</w:t>
      </w:r>
      <w:r>
        <w:rPr>
          <w:rtl w:val="true"/>
        </w:rPr>
        <w:t xml:space="preserve">مسألة </w:t>
      </w:r>
      <w:r>
        <w:rPr/>
        <w:t>62</w:t>
      </w:r>
      <w:r>
        <w:rPr>
          <w:rtl w:val="true"/>
        </w:rPr>
        <w:t xml:space="preserve">): </w:t>
      </w:r>
      <w:r>
        <w:rPr>
          <w:rtl w:val="true"/>
        </w:rPr>
        <w:t>یتحقّق الرجوع عن الوصیّة بالقول</w:t>
      </w:r>
      <w:r>
        <w:rPr>
          <w:rtl w:val="true"/>
        </w:rPr>
        <w:t>]</w:t>
      </w:r>
      <w:bookmarkEnd w:id="59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الرجوع عن الوصیّة بالقول، و هو کلّ لفظ دالّ علیه بحسب متفاهم العرف بأیّ لغة کان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عن وصیّتی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و بالفعل؛ و هو إمّا بإعدام موضوعها کإتلاف الموصی به، و کذا نقله إلی الغیر بعقد لازم کالبیع أو جائز کالهبة مع القبض، و إمّا بما یعدّ عند العرف رجوعاً و إن بقی الموصی به بحاله و فی ملکه، کما إذا وکّل شخصاً علیٰ بیعه أو وهبه و لم یقبضه بعد</w:t>
      </w:r>
      <w:r>
        <w:rPr>
          <w:rFonts w:eastAsia="IRNazanin" w:cs="IRNazanin"/>
          <w:color w:val="111111"/>
          <w:sz w:val="28"/>
          <w:szCs w:val="28"/>
          <w:rtl w:val="true"/>
          <w:lang w:bidi="fa-IR"/>
        </w:rPr>
        <w:t>.</w:t>
      </w:r>
    </w:p>
    <w:p>
      <w:pPr>
        <w:pStyle w:val="Heading3"/>
        <w:numPr>
          <w:ilvl w:val="2"/>
          <w:numId w:val="1"/>
        </w:numPr>
        <w:rPr/>
      </w:pPr>
      <w:bookmarkStart w:id="5928" w:name="__RefHeading___Toc2570354_3650668749"/>
      <w:bookmarkStart w:id="5929" w:name="_Toc2686"/>
      <w:bookmarkEnd w:id="5928"/>
      <w:r>
        <w:rPr>
          <w:rtl w:val="true"/>
        </w:rPr>
        <w:t>[ (</w:t>
      </w:r>
      <w:r>
        <w:rPr>
          <w:rtl w:val="true"/>
        </w:rPr>
        <w:t xml:space="preserve">مسألة </w:t>
      </w:r>
      <w:r>
        <w:rPr/>
        <w:t>63</w:t>
      </w:r>
      <w:r>
        <w:rPr>
          <w:rtl w:val="true"/>
        </w:rPr>
        <w:t xml:space="preserve">): </w:t>
      </w:r>
      <w:r>
        <w:rPr>
          <w:rtl w:val="true"/>
        </w:rPr>
        <w:t>الوصیّة بعد ما وقعت تبقیٰ علیٰ حالها</w:t>
      </w:r>
      <w:r>
        <w:rPr>
          <w:rtl w:val="true"/>
        </w:rPr>
        <w:t>]</w:t>
      </w:r>
      <w:bookmarkEnd w:id="5929"/>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بعد ما وقعت تبقیٰ علیٰ حالها و یعمل بها ما لم یرجع الموصی و إن طالت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فی الرجوع و لو للشکّ فی کون لفظ أو فعل رجوعاً یحکم ببقائها و عدم الرجوع، لکنّه فیما إذا کانت الوصیّة مطلقة؛ بأن کان مقصود الموصی وقوع مضمون الوصیّة و العمل بها بعد موته فی أیّ زمان قضی اللّٰه علیه، فلو کانت مقیّدة بموته فی سفر کذا أو عن مرض کذا، و لم یتّفق موته فی ذلک السفر أو عن ذاک المرض، بطلت تلک الوصیّة و احتاج إلیٰ وصیّة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الغالب فی الوصایا و لا سیّما ما تقع عند المسافرة إلی البلاد البعیدة بالطرق الغیر المأمونة کسفر الحجّ و نحوه و فی حال الأمراض الشدیدة و أمثال ذلک قصر نظر الموصی إلیٰ موته فی ذلک السفر و فی ذلک المرض، و قد یصرّح بذلک و قد یشهد بذلک ظاهر حاله بحیث لو سئل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رجعت عن هذا السفر سالماً أو طبت عن هذا المرض إن شاء اللّٰه تعالیٰ و بقیت مدّة مدیدة هل نعمل بهذه</w:t>
      </w:r>
      <w:bookmarkStart w:id="5930" w:name="pg1809_19594"/>
    </w:p>
    <w:p>
      <w:pPr>
        <w:pStyle w:val="BookText"/>
        <w:rPr/>
      </w:pPr>
      <w:bookmarkEnd w:id="5930"/>
      <w:r>
        <w:rPr>
          <w:rFonts w:ascii="IRNazanin" w:hAnsi="IRNazanin" w:eastAsia="IRNazanin"/>
          <w:color w:val="111111"/>
          <w:sz w:val="28"/>
          <w:sz w:val="28"/>
          <w:szCs w:val="28"/>
          <w:rtl w:val="true"/>
          <w:lang w:bidi="fa-IR"/>
        </w:rPr>
        <w:t>الوصیّة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لا بدّ لی من نظر جدید و وصیّة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یشکل </w:t>
      </w:r>
      <w:r>
        <w:rPr>
          <w:rStyle w:val="FootnoteAnchor"/>
          <w:rtl w:val="true"/>
        </w:rPr>
        <w:footnoteReference w:id="1569"/>
      </w:r>
      <w:r>
        <w:rPr>
          <w:rFonts w:ascii="IRNazanin" w:hAnsi="IRNazanin" w:eastAsia="IRNazanin"/>
          <w:color w:val="111111"/>
          <w:sz w:val="28"/>
          <w:sz w:val="28"/>
          <w:szCs w:val="28"/>
          <w:rtl w:val="true"/>
          <w:lang w:bidi="fa-IR"/>
        </w:rPr>
        <w:t>العمل بالوصایا الصادرة عند الأسفار و فی حال الأمراض بمجرّد عدم رجوع الموصی و عدم نسخها بوصیّة أُخری، خصوصاً مع طول المدّة، إلّا إذا علم بالقرائن و ظهر من حاله أنّ عدم الإیصاء الجدید منه إنّما هو لأجل الاعتماد علی الوصیّة السابقة، کما إذا شوهد منه المحافظة علیٰ ورقة الوصیّة و تکرّر منه ذکرها عند الناس و إشهادهم بها</w:t>
      </w:r>
      <w:r>
        <w:rPr>
          <w:rFonts w:eastAsia="IRNazanin" w:cs="IRNazanin"/>
          <w:color w:val="111111"/>
          <w:sz w:val="28"/>
          <w:szCs w:val="28"/>
          <w:rtl w:val="true"/>
          <w:lang w:bidi="fa-IR"/>
        </w:rPr>
        <w:t>.</w:t>
      </w:r>
    </w:p>
    <w:p>
      <w:pPr>
        <w:pStyle w:val="Heading3"/>
        <w:numPr>
          <w:ilvl w:val="2"/>
          <w:numId w:val="1"/>
        </w:numPr>
        <w:rPr/>
      </w:pPr>
      <w:bookmarkStart w:id="5931" w:name="__RefHeading___Toc2570356_3650668749"/>
      <w:bookmarkStart w:id="5932" w:name="_Toc2687"/>
      <w:bookmarkEnd w:id="5931"/>
      <w:r>
        <w:rPr>
          <w:rtl w:val="true"/>
        </w:rPr>
        <w:t>[ (</w:t>
      </w:r>
      <w:r>
        <w:rPr>
          <w:rtl w:val="true"/>
        </w:rPr>
        <w:t xml:space="preserve">مسألة </w:t>
      </w:r>
      <w:r>
        <w:rPr/>
        <w:t>64</w:t>
      </w:r>
      <w:r>
        <w:rPr>
          <w:rtl w:val="true"/>
        </w:rPr>
        <w:t xml:space="preserve">): </w:t>
      </w:r>
      <w:r>
        <w:rPr>
          <w:rtl w:val="true"/>
        </w:rPr>
        <w:t>لا تثبت الوصیّة بالولایة</w:t>
      </w:r>
      <w:r>
        <w:rPr>
          <w:rtl w:val="true"/>
        </w:rPr>
        <w:t>]</w:t>
      </w:r>
      <w:bookmarkEnd w:id="59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تثبت الوصیّة بالولایة؛ سواء کانت علی المال أو علی الأطفال، إلّا بشهادة عدلین من الرجال، و لا تقبل فیها شهادة النساء لا منفردات و لا منضمّات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الوصیّة بالمال فهی کسائر الدعاوی المالیّة تثبت بشهادة رجلین عدلین و شاهد و یمین و شهادة رجل و امرأتین، و تمتاز من بین الدعاوی المالیّة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تثبت بشهادة النساء منفردات و إن لم تکمل أربع و لم تنضمّ الیمین، فتثبت ربع الوصیّة بواحدة و نصفها باثنتین و ثلاثة أرباعها بثلاث و تمامها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تثبت بشهادة رجلین ذمّیین عدلین فی دینهما عند الضرورة و عدم عدول المسلمین، و لا تقبل شهادة غیر أهل الذمّة من الکفّار</w:t>
      </w:r>
      <w:r>
        <w:rPr>
          <w:rFonts w:eastAsia="IRNazanin" w:cs="IRNazanin"/>
          <w:color w:val="111111"/>
          <w:sz w:val="28"/>
          <w:szCs w:val="28"/>
          <w:rtl w:val="true"/>
          <w:lang w:bidi="fa-IR"/>
        </w:rPr>
        <w:t>.</w:t>
      </w:r>
    </w:p>
    <w:p>
      <w:pPr>
        <w:pStyle w:val="Heading3"/>
        <w:numPr>
          <w:ilvl w:val="2"/>
          <w:numId w:val="1"/>
        </w:numPr>
        <w:rPr/>
      </w:pPr>
      <w:bookmarkStart w:id="5933" w:name="__RefHeading___Toc2570358_3650668749"/>
      <w:bookmarkStart w:id="5934" w:name="_Toc2688"/>
      <w:bookmarkEnd w:id="5933"/>
      <w:r>
        <w:rPr>
          <w:rtl w:val="true"/>
        </w:rPr>
        <w:t>[ (</w:t>
      </w:r>
      <w:r>
        <w:rPr>
          <w:rtl w:val="true"/>
        </w:rPr>
        <w:t xml:space="preserve">مسألة </w:t>
      </w:r>
      <w:r>
        <w:rPr/>
        <w:t>65</w:t>
      </w:r>
      <w:r>
        <w:rPr>
          <w:rtl w:val="true"/>
        </w:rPr>
        <w:t xml:space="preserve">): </w:t>
      </w:r>
      <w:r>
        <w:rPr>
          <w:rtl w:val="true"/>
        </w:rPr>
        <w:t>إذا کانت الورثة کباراً، و أقرّوا کلّهم بالوصیّة بالثلث و ما دونه لوارث أو أجنبیّ</w:t>
      </w:r>
      <w:r>
        <w:rPr>
          <w:rtl w:val="true"/>
        </w:rPr>
        <w:t>]</w:t>
      </w:r>
      <w:bookmarkEnd w:id="5934"/>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الورثة کباراً، و أقرّوا کلّهم بالوصیّة بالثلث و ما دونه لوارث أو أجنبیّ، أو بأن یصرف علی الفقراء مثلًا تثبت فی تمام الموصی به و یلزمون بالعمل بها أخذاً بإقرارهم، و لا یحتاج إلیٰ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أقرّ بها بعضهم دون بعض فإن کان المقرّ اثنین عادلین ثبتت أیضاً فی التمام؛ لکونه إقراراً بالنسبة إلی المقرّ و شهادة بالنسبة إلیٰ غیره، فلا یحتاج إلیٰ بیّنة اخریٰ، و إلّا ثبتت بالنسبة إلیٰ حصّة المقرّ خاصّة أخذاً بإقراره، و أمّا بالنسبة إلیٰ حصّة الباقین یحتاج إلی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المقرّ عدلًا واحداً و کانت الوصیّة بالمال لشخص أو أشخاص کفیٰ ضمّ یمین المقرّ له مع إقرار المقرّ فی ثبوت التمام، بل لو کان المقرّ امرأة ثبتت فی ربع حصّة الباقین إن کانت واحدة </w:t>
      </w:r>
      <w:r>
        <w:rPr>
          <w:rStyle w:val="FootnoteAnchor"/>
          <w:rtl w:val="true"/>
        </w:rPr>
        <w:footnoteReference w:id="1570"/>
      </w:r>
      <w:r>
        <w:rPr>
          <w:rFonts w:ascii="IRNazanin" w:hAnsi="IRNazanin" w:eastAsia="IRNazanin"/>
          <w:color w:val="111111"/>
          <w:sz w:val="28"/>
          <w:sz w:val="28"/>
          <w:szCs w:val="28"/>
          <w:rtl w:val="true"/>
          <w:lang w:bidi="fa-IR"/>
        </w:rPr>
        <w:t>و فی نصفها إن کانت اثنتین و فی ثلاثة أرباعها إن کانت ثلاث و فی تمامها إن کانت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کان المقرّ</w:t>
      </w:r>
      <w:bookmarkStart w:id="5935" w:name="pg1809_19595"/>
    </w:p>
    <w:p>
      <w:pPr>
        <w:pStyle w:val="BookText"/>
        <w:rPr/>
      </w:pPr>
      <w:bookmarkEnd w:id="5935"/>
      <w:r>
        <w:rPr>
          <w:rFonts w:ascii="IRNazanin" w:hAnsi="IRNazanin" w:eastAsia="IRNazanin"/>
          <w:color w:val="111111"/>
          <w:sz w:val="28"/>
          <w:sz w:val="28"/>
          <w:szCs w:val="28"/>
          <w:rtl w:val="true"/>
          <w:lang w:bidi="fa-IR"/>
        </w:rPr>
        <w:t>من الورثة شاهداً بالنسبة إلیٰ حصّة الباقی، کان کالشاهد الأجنبی فیثبت به ما یثبت به</w:t>
      </w:r>
      <w:r>
        <w:rPr>
          <w:rFonts w:eastAsia="IRNazanin" w:cs="IRNazanin"/>
          <w:color w:val="111111"/>
          <w:sz w:val="28"/>
          <w:szCs w:val="28"/>
          <w:rtl w:val="true"/>
          <w:lang w:bidi="fa-IR"/>
        </w:rPr>
        <w:t>.</w:t>
      </w:r>
    </w:p>
    <w:p>
      <w:pPr>
        <w:pStyle w:val="Heading3"/>
        <w:numPr>
          <w:ilvl w:val="2"/>
          <w:numId w:val="1"/>
        </w:numPr>
        <w:rPr/>
      </w:pPr>
      <w:bookmarkStart w:id="5936" w:name="__RefHeading___Toc2570360_3650668749"/>
      <w:bookmarkStart w:id="5937" w:name="_Toc2689"/>
      <w:bookmarkEnd w:id="5936"/>
      <w:r>
        <w:rPr>
          <w:rtl w:val="true"/>
        </w:rPr>
        <w:t>[ (</w:t>
      </w:r>
      <w:r>
        <w:rPr>
          <w:rtl w:val="true"/>
        </w:rPr>
        <w:t xml:space="preserve">مسألة </w:t>
      </w:r>
      <w:r>
        <w:rPr/>
        <w:t>66</w:t>
      </w:r>
      <w:r>
        <w:rPr>
          <w:rtl w:val="true"/>
        </w:rPr>
        <w:t xml:space="preserve">): </w:t>
      </w:r>
      <w:r>
        <w:rPr>
          <w:rtl w:val="true"/>
        </w:rPr>
        <w:t>إذا أقرّ الوارث بأصل الوصیّة کان کالأجنبی</w:t>
      </w:r>
      <w:r>
        <w:rPr>
          <w:rtl w:val="true"/>
        </w:rPr>
        <w:t>]</w:t>
      </w:r>
      <w:bookmarkEnd w:id="59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الوارث بأصل الوصیّة کان کالأجنبی، فلیس له إنکار وصایة من یدّعی الوصایة و لا یسمع منه هذا الإنکار کغیره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الوصیّة متعلّقة بالقصّر أو العناوین العامّة کالفقراء أو وجوه القرب کالمساجد و المشاهد أو المیّت نفسه کاستئجار العبادات و الزیارات له و نحو ذلک، کان لکلّ من یعلم بکذب من یدّعی الوصایة خصوصاً إذا رأی منه الخیانة الإنکار علیه و الترافع معه عند الحاکم من باب الحسبة، لکن الوارث و الأجنبی فی ذلک 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إذا تعلّقت بأُمور المیّت لا یبعد أولویة الوارث من غیره و اختصاص حقّ الدعویٰ به مقدّماً علیٰ غیره</w:t>
      </w:r>
      <w:r>
        <w:rPr>
          <w:rFonts w:eastAsia="IRNazanin" w:cs="IRNazanin"/>
          <w:color w:val="111111"/>
          <w:sz w:val="28"/>
          <w:szCs w:val="28"/>
          <w:rtl w:val="true"/>
          <w:lang w:bidi="fa-IR"/>
        </w:rPr>
        <w:t>.</w:t>
      </w:r>
    </w:p>
    <w:p>
      <w:pPr>
        <w:pStyle w:val="Heading3"/>
        <w:numPr>
          <w:ilvl w:val="2"/>
          <w:numId w:val="1"/>
        </w:numPr>
        <w:rPr/>
      </w:pPr>
      <w:bookmarkStart w:id="5938" w:name="__RefHeading___Toc2570362_3650668749"/>
      <w:bookmarkStart w:id="5939" w:name="_Toc2690"/>
      <w:bookmarkEnd w:id="5938"/>
      <w:r>
        <w:rPr>
          <w:rtl w:val="true"/>
        </w:rPr>
        <w:t>[ (</w:t>
      </w:r>
      <w:r>
        <w:rPr>
          <w:rtl w:val="true"/>
        </w:rPr>
        <w:t xml:space="preserve">مسألة </w:t>
      </w:r>
      <w:r>
        <w:rPr/>
        <w:t>67</w:t>
      </w:r>
      <w:r>
        <w:rPr>
          <w:rtl w:val="true"/>
        </w:rPr>
        <w:t xml:space="preserve">): </w:t>
      </w:r>
      <w:r>
        <w:rPr>
          <w:rtl w:val="true"/>
        </w:rPr>
        <w:t>إذا تصرّف الإنسان فی مرض موته، فإن کان معلّقاً علیٰ موته</w:t>
      </w:r>
      <w:r>
        <w:rPr>
          <w:rtl w:val="true"/>
        </w:rPr>
        <w:t>]</w:t>
      </w:r>
      <w:bookmarkEnd w:id="59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تصرّف الإنسان فی مرض موته، فإن کان معلّقاً علیٰ موته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فلاناً بعد موتی کذا أو هذا المال المعیّن أو ثلث مالی أو ربعه أو نصفه مثلًا لفلان بعد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فهو وصیّة، و قد عرفت أنّها نافذة مع اجتماع الشرائط ما لم تزد علی الثلث، و فی الزائد موقوف علیٰ إجازة الورثة کالواقعة فی مرض آخر غیر مرض الموت أو فی حال الصحّة و إن کان منجّزاً؛ بمعنی کونه غیر معلّق علی الموت، و إن کان معلّقاً علیٰ أمر آخر فإن لم یکن مشتملًا علی المجّانیّة و المحاباة کبیع شی‌ء بثمن المثل و إجارة عین بأُجرة المثل، فهو نافذ بلا إشکال، و إن کان مشتملًا علی المحاباة، بأن لم یصل ما یساوی ماله إلیه؛ سواء کان مجّاناً محضاً کالوقف و العتق و الإبراء و الهبة الغیر المعوّضة، أم لا کالبیع بأقلّ من ثمن المثل، و الإجارة بأقلّ من اجرة المثل، و الهبة المعوّضة بما دون القیمة و غیر ذلک، ففی نفوذه مطلقاً أو کونه مثل الوصیّة فی توقّف ما زاد علی الثلث علیٰ إمضاء الورثة قولان معروفان، أقواهما الأوّل کما مرّ فی کتاب الحجر</w:t>
      </w:r>
      <w:r>
        <w:rPr>
          <w:rFonts w:eastAsia="IRNazanin" w:cs="IRNazanin"/>
          <w:color w:val="111111"/>
          <w:sz w:val="28"/>
          <w:szCs w:val="28"/>
          <w:rtl w:val="true"/>
          <w:lang w:bidi="fa-IR"/>
        </w:rPr>
        <w:t>.</w:t>
      </w:r>
    </w:p>
    <w:p>
      <w:pPr>
        <w:pStyle w:val="Heading3"/>
        <w:numPr>
          <w:ilvl w:val="2"/>
          <w:numId w:val="1"/>
        </w:numPr>
        <w:rPr/>
      </w:pPr>
      <w:bookmarkStart w:id="5940" w:name="__RefHeading___Toc2570364_3650668749"/>
      <w:bookmarkStart w:id="5941" w:name="_Toc2691"/>
      <w:bookmarkEnd w:id="5940"/>
      <w:r>
        <w:rPr>
          <w:rtl w:val="true"/>
        </w:rPr>
        <w:t>[ (</w:t>
      </w:r>
      <w:r>
        <w:rPr>
          <w:rtl w:val="true"/>
        </w:rPr>
        <w:t xml:space="preserve">مسألة </w:t>
      </w:r>
      <w:r>
        <w:rPr/>
        <w:t>68</w:t>
      </w:r>
      <w:r>
        <w:rPr>
          <w:rtl w:val="true"/>
        </w:rPr>
        <w:t xml:space="preserve">): </w:t>
      </w:r>
      <w:r>
        <w:rPr>
          <w:rtl w:val="true"/>
        </w:rPr>
        <w:t>إذا جمع فی مرض الموت بین عطیّة منجّزة و معلّقة بالموت</w:t>
      </w:r>
      <w:r>
        <w:rPr>
          <w:rtl w:val="true"/>
        </w:rPr>
        <w:t>]</w:t>
      </w:r>
      <w:bookmarkEnd w:id="5941"/>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فی مرض الموت بین عطیّة منجّزة و معلّقة بالموت، فإن و فی الثلث بهما لا إشکال فی نفوذهما فی تمام ما تعلّقتا به، و إن لم یف بهما فعلی المختار من إخراج المنجّزة من الأصل یبدأ بها، فتخرج من الأصل و تخرج المعلّقة من ثلث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الآخر، فإن أمضی الورثة تنفذان معاً، و إن لم یمضوا تخرجان معاً من الثلث، و یبدأ أوّلًا بالمنجّزة، فإن بقی شی‌ء یصرف فی المعلّقة</w:t>
      </w:r>
      <w:r>
        <w:rPr>
          <w:rFonts w:eastAsia="IRNazanin" w:cs="IRNazanin"/>
          <w:color w:val="111111"/>
          <w:sz w:val="28"/>
          <w:szCs w:val="28"/>
          <w:rtl w:val="true"/>
          <w:lang w:bidi="fa-IR"/>
        </w:rPr>
        <w:t>.</w:t>
      </w:r>
      <w:bookmarkStart w:id="5942" w:name="pg1809_19596"/>
    </w:p>
    <w:p>
      <w:pPr>
        <w:pStyle w:val="Heading2"/>
        <w:numPr>
          <w:ilvl w:val="1"/>
          <w:numId w:val="1"/>
        </w:numPr>
        <w:rPr/>
      </w:pPr>
      <w:bookmarkStart w:id="5943" w:name="__RefHeading___Toc2570366_3650668749"/>
      <w:bookmarkStart w:id="5944" w:name="_Toc2692"/>
      <w:bookmarkEnd w:id="5942"/>
      <w:bookmarkEnd w:id="5943"/>
      <w:r>
        <w:rPr>
          <w:rtl w:val="true"/>
        </w:rPr>
        <w:t>[</w:t>
      </w:r>
      <w:r>
        <w:rPr>
          <w:rtl w:val="true"/>
        </w:rPr>
        <w:t>کتاب الأیمان و النذور</w:t>
      </w:r>
      <w:r>
        <w:rPr>
          <w:rtl w:val="true"/>
        </w:rPr>
        <w:t>]</w:t>
      </w:r>
      <w:bookmarkEnd w:id="5944"/>
    </w:p>
    <w:p>
      <w:pPr>
        <w:pStyle w:val="Heading3"/>
        <w:numPr>
          <w:ilvl w:val="2"/>
          <w:numId w:val="1"/>
        </w:numPr>
        <w:rPr/>
      </w:pPr>
      <w:bookmarkStart w:id="5945" w:name="__RefHeading___Toc2570368_3650668749"/>
      <w:bookmarkStart w:id="5946" w:name="_Toc2693"/>
      <w:bookmarkEnd w:id="5945"/>
      <w:r>
        <w:rPr>
          <w:rtl w:val="true"/>
        </w:rPr>
        <w:t>اشارة</w:t>
      </w:r>
      <w:bookmarkEnd w:id="5946"/>
    </w:p>
    <w:p>
      <w:pPr>
        <w:pStyle w:val="BookText"/>
        <w:rPr/>
      </w:pPr>
      <w:r>
        <w:rPr>
          <w:rFonts w:ascii="IRNazanin" w:hAnsi="IRNazanin" w:eastAsia="IRNazanin"/>
          <w:color w:val="111111"/>
          <w:sz w:val="28"/>
          <w:sz w:val="28"/>
          <w:szCs w:val="28"/>
          <w:rtl w:val="true"/>
          <w:lang w:bidi="fa-IR"/>
        </w:rPr>
        <w:t>کتاب الأیمان و النذور</w:t>
      </w:r>
    </w:p>
    <w:p>
      <w:pPr>
        <w:pStyle w:val="Heading3"/>
        <w:numPr>
          <w:ilvl w:val="2"/>
          <w:numId w:val="1"/>
        </w:numPr>
        <w:rPr/>
      </w:pPr>
      <w:bookmarkStart w:id="5947" w:name="__RefHeading___Toc2570370_3650668749"/>
      <w:bookmarkStart w:id="5948" w:name="_Toc2694"/>
      <w:bookmarkEnd w:id="5947"/>
      <w:r>
        <w:rPr>
          <w:rtl w:val="true"/>
        </w:rPr>
        <w:t>[</w:t>
      </w:r>
      <w:r>
        <w:rPr>
          <w:rtl w:val="true"/>
        </w:rPr>
        <w:t>القول فی الیمین</w:t>
      </w:r>
      <w:r>
        <w:rPr>
          <w:rtl w:val="true"/>
        </w:rPr>
        <w:t>]</w:t>
      </w:r>
      <w:bookmarkEnd w:id="5948"/>
    </w:p>
    <w:p>
      <w:pPr>
        <w:pStyle w:val="Heading4"/>
        <w:numPr>
          <w:ilvl w:val="3"/>
          <w:numId w:val="1"/>
        </w:numPr>
        <w:rPr/>
      </w:pPr>
      <w:bookmarkStart w:id="5949" w:name="__RefHeading___Toc2570372_3650668749"/>
      <w:bookmarkStart w:id="5950" w:name="_Toc2695"/>
      <w:bookmarkEnd w:id="5949"/>
      <w:r>
        <w:rPr>
          <w:rtl w:val="true"/>
        </w:rPr>
        <w:t>اشارة</w:t>
      </w:r>
      <w:bookmarkEnd w:id="5950"/>
    </w:p>
    <w:p>
      <w:pPr>
        <w:pStyle w:val="BookText"/>
        <w:rPr/>
      </w:pPr>
      <w:r>
        <w:rPr>
          <w:rFonts w:ascii="IRNazanin" w:hAnsi="IRNazanin" w:eastAsia="IRNazanin"/>
          <w:color w:val="111111"/>
          <w:sz w:val="28"/>
          <w:sz w:val="28"/>
          <w:szCs w:val="28"/>
          <w:rtl w:val="true"/>
          <w:lang w:bidi="fa-IR"/>
        </w:rPr>
        <w:t>القول فی الیمین و یطلق علیه الحلف و القسم، و هو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یقع تأکیداً و تحقیقاً للإخبار عمّا وقع فی الماضی أو عن الواقع فی الحال </w:t>
      </w:r>
      <w:r>
        <w:rPr>
          <w:rStyle w:val="FootnoteAnchor"/>
          <w:rtl w:val="true"/>
        </w:rPr>
        <w:footnoteReference w:id="1571"/>
      </w:r>
      <w:r>
        <w:rPr>
          <w:rFonts w:ascii="IRNazanin" w:hAnsi="IRNazanin" w:eastAsia="IRNazanin"/>
          <w:color w:val="111111"/>
          <w:sz w:val="28"/>
          <w:sz w:val="28"/>
          <w:szCs w:val="28"/>
          <w:rtl w:val="true"/>
          <w:lang w:bidi="fa-IR"/>
        </w:rPr>
        <w:t>،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جاء زید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المناشدة و هو ما یقرن به الطلب و السؤال، یقصد به حثّ المسئول علیٰ إنجاح المقصود، کقول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باللّٰه أن تعطینی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الحالف و المقسم، و للمسئول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المحلوف علیه و المقسم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الأدعیة المأثورة و غیرها مشحونة بهذا القسم من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العقد و هو ما یقع تأکیداً و تحقیقاً لما بنیٰ علیه، و التزم به من إیقاع أمر أو ترکه فی المستقبل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لأصومنّ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لأترکنّ شرب 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 أنّه لا ینعقد القسم الأوّل و لا یترتّب علیه شی‌ء سوی الإثم فیما لو کان کاذباً فی إخباره عن عمد، و هی المسمّاة بیمین الغموس </w:t>
      </w:r>
      <w:r>
        <w:rPr>
          <w:rStyle w:val="FootnoteAnchor"/>
          <w:rtl w:val="true"/>
        </w:rPr>
        <w:footnoteReference w:id="1572"/>
      </w:r>
      <w:r>
        <w:rPr>
          <w:rFonts w:ascii="IRNazanin" w:hAnsi="IRNazanin" w:eastAsia="IRNazanin"/>
          <w:color w:val="111111"/>
          <w:sz w:val="28"/>
          <w:sz w:val="28"/>
          <w:szCs w:val="28"/>
          <w:rtl w:val="true"/>
          <w:lang w:bidi="fa-IR"/>
        </w:rPr>
        <w:t>التی فی بعض الأخبار عدّت من الکبائر 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تدع الدیار بلاقع،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سمّیت بالغموس لأنّها تغمس صاحبها فی الإثم أو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ینعقد القسم الثانی و لا یترتّب علیه شی‌ء من إثم أو کفّارة لا علی الحالف فی إحلافه و لا علی المحلوف علیه فی حنثه و عدم إنجاح مسؤوله</w:t>
      </w:r>
      <w:r>
        <w:rPr>
          <w:rFonts w:eastAsia="IRNazanin" w:cs="IRNazanin"/>
          <w:color w:val="111111"/>
          <w:sz w:val="28"/>
          <w:szCs w:val="28"/>
          <w:rtl w:val="true"/>
          <w:lang w:bidi="fa-IR"/>
        </w:rPr>
        <w:t>.</w:t>
      </w:r>
      <w:bookmarkStart w:id="5951" w:name="pg1809_19597"/>
    </w:p>
    <w:p>
      <w:pPr>
        <w:pStyle w:val="BookText"/>
        <w:rPr/>
      </w:pPr>
      <w:bookmarkEnd w:id="5951"/>
      <w:r>
        <w:rPr>
          <w:rFonts w:ascii="IRNazanin" w:hAnsi="IRNazanin" w:eastAsia="IRNazanin"/>
          <w:color w:val="111111"/>
          <w:sz w:val="28"/>
          <w:sz w:val="28"/>
          <w:szCs w:val="28"/>
          <w:rtl w:val="true"/>
          <w:lang w:bidi="fa-IR"/>
        </w:rPr>
        <w:t>و أمّا القسم الثالث فهو الذی ینعقد عند اجتماع الشرائط الآتیة و یجب برّه و الوفاء به، و یحرم حنثه و یترتّب علیٰ حنثه الکفّارة</w:t>
      </w:r>
      <w:r>
        <w:rPr>
          <w:rFonts w:eastAsia="IRNazanin" w:cs="IRNazanin"/>
          <w:color w:val="111111"/>
          <w:sz w:val="28"/>
          <w:szCs w:val="28"/>
          <w:rtl w:val="true"/>
          <w:lang w:bidi="fa-IR"/>
        </w:rPr>
        <w:t>.</w:t>
      </w:r>
    </w:p>
    <w:p>
      <w:pPr>
        <w:pStyle w:val="Heading4"/>
        <w:numPr>
          <w:ilvl w:val="3"/>
          <w:numId w:val="1"/>
        </w:numPr>
        <w:rPr/>
      </w:pPr>
      <w:bookmarkStart w:id="5952" w:name="__RefHeading___Toc2570374_3650668749"/>
      <w:bookmarkStart w:id="5953" w:name="_Toc2696"/>
      <w:bookmarkEnd w:id="5952"/>
      <w:r>
        <w:rPr>
          <w:rtl w:val="true"/>
        </w:rPr>
        <w:t>[ (</w:t>
      </w:r>
      <w:r>
        <w:rPr>
          <w:rtl w:val="true"/>
        </w:rPr>
        <w:t xml:space="preserve">مسألة </w:t>
      </w:r>
      <w:r>
        <w:rPr/>
        <w:t>1</w:t>
      </w:r>
      <w:r>
        <w:rPr>
          <w:rtl w:val="true"/>
        </w:rPr>
        <w:t xml:space="preserve">): </w:t>
      </w:r>
      <w:r>
        <w:rPr>
          <w:rtl w:val="true"/>
        </w:rPr>
        <w:t>لا ینعقد الیمین إلّا باللفظ أو ما یقوم مقامه</w:t>
      </w:r>
      <w:r>
        <w:rPr>
          <w:rtl w:val="true"/>
        </w:rPr>
        <w:t>]</w:t>
      </w:r>
      <w:bookmarkEnd w:id="59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ینعقد الیمین إلّا باللفظ أو ما یقوم مقامه کإشارة الأخرس، و فی انعقاده بالکتابة إشکال </w:t>
      </w:r>
      <w:r>
        <w:rPr>
          <w:rStyle w:val="FootnoteAnchor"/>
          <w:rtl w:val="true"/>
        </w:rPr>
        <w:footnoteReference w:id="1573"/>
      </w:r>
      <w:r>
        <w:rPr>
          <w:rFonts w:ascii="IRNazanin" w:hAnsi="IRNazanin" w:eastAsia="IRNazanin"/>
          <w:color w:val="111111"/>
          <w:sz w:val="28"/>
          <w:sz w:val="28"/>
          <w:szCs w:val="28"/>
          <w:rtl w:val="true"/>
          <w:lang w:bidi="fa-IR"/>
        </w:rPr>
        <w:t>، و الظاهر أنّه لا یعتبر فیه العربیّة خصوصاً فی متعلّقاته</w:t>
      </w:r>
      <w:r>
        <w:rPr>
          <w:rFonts w:eastAsia="IRNazanin" w:cs="IRNazanin"/>
          <w:color w:val="111111"/>
          <w:sz w:val="28"/>
          <w:szCs w:val="28"/>
          <w:rtl w:val="true"/>
          <w:lang w:bidi="fa-IR"/>
        </w:rPr>
        <w:t>.</w:t>
      </w:r>
    </w:p>
    <w:p>
      <w:pPr>
        <w:pStyle w:val="Heading4"/>
        <w:numPr>
          <w:ilvl w:val="3"/>
          <w:numId w:val="1"/>
        </w:numPr>
        <w:rPr/>
      </w:pPr>
      <w:bookmarkStart w:id="5954" w:name="__RefHeading___Toc2570376_3650668749"/>
      <w:bookmarkStart w:id="5955" w:name="_Toc2697"/>
      <w:bookmarkEnd w:id="5954"/>
      <w:r>
        <w:rPr>
          <w:rtl w:val="true"/>
        </w:rPr>
        <w:t>[ (</w:t>
      </w:r>
      <w:r>
        <w:rPr>
          <w:rtl w:val="true"/>
        </w:rPr>
        <w:t xml:space="preserve">مسألة </w:t>
      </w:r>
      <w:r>
        <w:rPr/>
        <w:t>2</w:t>
      </w:r>
      <w:r>
        <w:rPr>
          <w:rtl w:val="true"/>
        </w:rPr>
        <w:t xml:space="preserve">): </w:t>
      </w:r>
      <w:r>
        <w:rPr>
          <w:rtl w:val="true"/>
        </w:rPr>
        <w:t>لا ینعقد الیمین إلّا إذا کان المقسم به هو اللّٰه</w:t>
      </w:r>
      <w:r>
        <w:rPr>
          <w:rtl w:val="true"/>
        </w:rPr>
        <w:t>]</w:t>
      </w:r>
      <w:bookmarkEnd w:id="59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ینعقد الیمین إلّا إذا کان المقسم به هو اللّٰه جلّ شأنه أعنی ذاته المقدّسة؛ إمّا بذکر اسمه العلمیّ المختصّ به کلفظ الجلالة، و یلحق به ما لا یطلق علیٰ غیره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بذکر الأوصاف و الأفعال المختصّة به التی لا یشارکه فیها غیره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مقلّب القلوب و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 و برأ 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أشباه ذلک، أو بذکر الأوصاف و الأفعال المشترکة التی تطلق فی حقّه تعالیٰ و فی حقّ غیره، لکنّ الغالب إطلاقها فی حقّه بحیث ینصرف إطلاقها إلیه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ینعقد بما لا ینصرف إطلاقه إلیه کالموجود و الحیّ و السمیع و البصیر و القادر و إن نویٰ بها الحلف بذاته المقدّسة، علیٰ إشکال فلا یترک الاحتیاط</w:t>
      </w:r>
      <w:r>
        <w:rPr>
          <w:rFonts w:eastAsia="IRNazanin" w:cs="IRNazanin"/>
          <w:color w:val="111111"/>
          <w:sz w:val="28"/>
          <w:szCs w:val="28"/>
          <w:rtl w:val="true"/>
          <w:lang w:bidi="fa-IR"/>
        </w:rPr>
        <w:t>.</w:t>
      </w:r>
    </w:p>
    <w:p>
      <w:pPr>
        <w:pStyle w:val="Heading4"/>
        <w:numPr>
          <w:ilvl w:val="3"/>
          <w:numId w:val="1"/>
        </w:numPr>
        <w:rPr/>
      </w:pPr>
      <w:bookmarkStart w:id="5956" w:name="__RefHeading___Toc2570378_3650668749"/>
      <w:bookmarkStart w:id="5957" w:name="_Toc2698"/>
      <w:bookmarkEnd w:id="5956"/>
      <w:r>
        <w:rPr>
          <w:rtl w:val="true"/>
        </w:rPr>
        <w:t>[ (</w:t>
      </w:r>
      <w:r>
        <w:rPr>
          <w:rtl w:val="true"/>
        </w:rPr>
        <w:t xml:space="preserve">مسألة </w:t>
      </w:r>
      <w:r>
        <w:rPr/>
        <w:t>3</w:t>
      </w:r>
      <w:r>
        <w:rPr>
          <w:rtl w:val="true"/>
        </w:rPr>
        <w:t xml:space="preserve">): </w:t>
      </w:r>
      <w:r>
        <w:rPr>
          <w:rtl w:val="true"/>
        </w:rPr>
        <w:t>المعتبر فی انعقاد الیمین أن یکون الحلف باللّٰه تعالیٰ لا بغیره</w:t>
      </w:r>
      <w:r>
        <w:rPr>
          <w:rtl w:val="true"/>
        </w:rPr>
        <w:t>]</w:t>
      </w:r>
      <w:bookmarkEnd w:id="59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انعقاد الیمین أن یکون الحلف باللّٰه تعالیٰ لا بغیره، فکلّ ما صدق عرفاً أنّه قد حلف به تعالی انعقد الیمین به، و الظاهر صدق ذلک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بجلال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قدرة اللّٰه </w:t>
      </w:r>
      <w:r>
        <w:rPr>
          <w:rStyle w:val="FootnoteAnchor"/>
          <w:rtl w:val="true"/>
        </w:rPr>
        <w:footnoteReference w:id="1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 اللّٰه</w:t>
      </w:r>
      <w:r>
        <w:rPr>
          <w:rFonts w:eastAsia="Amiri" w:cs="Amiri" w:ascii="Amiri" w:hAnsi="Amiri"/>
          <w:color w:val="111111"/>
          <w:sz w:val="28"/>
          <w:szCs w:val="28"/>
          <w:rtl w:val="true"/>
          <w:lang w:bidi="ar-SA"/>
        </w:rPr>
        <w:t>».</w:t>
      </w:r>
    </w:p>
    <w:p>
      <w:pPr>
        <w:pStyle w:val="Heading4"/>
        <w:numPr>
          <w:ilvl w:val="3"/>
          <w:numId w:val="1"/>
        </w:numPr>
        <w:rPr/>
      </w:pPr>
      <w:bookmarkStart w:id="5958" w:name="__RefHeading___Toc2570380_3650668749"/>
      <w:bookmarkStart w:id="5959" w:name="_Toc2699"/>
      <w:bookmarkEnd w:id="5958"/>
      <w:r>
        <w:rPr>
          <w:rtl w:val="true"/>
        </w:rPr>
        <w:t>[ (</w:t>
      </w:r>
      <w:r>
        <w:rPr>
          <w:rtl w:val="true"/>
        </w:rPr>
        <w:t xml:space="preserve">مسألة </w:t>
      </w:r>
      <w:r>
        <w:rPr/>
        <w:t>4</w:t>
      </w:r>
      <w:r>
        <w:rPr>
          <w:rtl w:val="true"/>
        </w:rPr>
        <w:t xml:space="preserve">): </w:t>
      </w:r>
      <w:r>
        <w:rPr>
          <w:rtl w:val="true"/>
        </w:rPr>
        <w:t>لا یعتبر فی انعقاده أن یکون إنشاء القسم بحروفه</w:t>
      </w:r>
      <w:r>
        <w:rPr>
          <w:rtl w:val="true"/>
        </w:rPr>
        <w:t>]</w:t>
      </w:r>
      <w:bookmarkEnd w:id="59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انعقاده أن یکون إنشاء القسم بحروفه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أو باللّٰه أو تاللّٰه لأفعلنّ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لو أنشأه بصیغتی القسم و الحلف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یکفی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لفظ الجلالة أو ما هو بمنزلته</w:t>
      </w:r>
      <w:r>
        <w:rPr>
          <w:rFonts w:eastAsia="IRNazanin" w:cs="IRNazanin"/>
          <w:color w:val="111111"/>
          <w:sz w:val="28"/>
          <w:szCs w:val="28"/>
          <w:rtl w:val="true"/>
          <w:lang w:bidi="fa-IR"/>
        </w:rPr>
        <w:t>.</w:t>
      </w:r>
    </w:p>
    <w:p>
      <w:pPr>
        <w:pStyle w:val="Heading4"/>
        <w:numPr>
          <w:ilvl w:val="3"/>
          <w:numId w:val="1"/>
        </w:numPr>
        <w:rPr/>
      </w:pPr>
      <w:bookmarkStart w:id="5960" w:name="__RefHeading___Toc2570382_3650668749"/>
      <w:bookmarkStart w:id="5961" w:name="_Toc2700"/>
      <w:bookmarkEnd w:id="5960"/>
      <w:r>
        <w:rPr>
          <w:rtl w:val="true"/>
        </w:rPr>
        <w:t>[ (</w:t>
      </w:r>
      <w:r>
        <w:rPr>
          <w:rtl w:val="true"/>
        </w:rPr>
        <w:t xml:space="preserve">مسألة </w:t>
      </w:r>
      <w:r>
        <w:rPr/>
        <w:t>5</w:t>
      </w:r>
      <w:r>
        <w:rPr>
          <w:rtl w:val="true"/>
        </w:rPr>
        <w:t xml:space="preserve">): </w:t>
      </w:r>
      <w:r>
        <w:rPr>
          <w:rtl w:val="true"/>
        </w:rPr>
        <w:t xml:space="preserve">لا ینعقد الیمین بالحلف بالنبیّ </w:t>
      </w:r>
      <w:r>
        <w:rPr>
          <w:rtl w:val="true"/>
        </w:rPr>
        <w:t>(</w:t>
      </w:r>
      <w:r>
        <w:rPr>
          <w:rtl w:val="true"/>
        </w:rPr>
        <w:t>صلّی اللّٰه علیه و آله و سلّم</w:t>
      </w:r>
      <w:r>
        <w:rPr>
          <w:rtl w:val="true"/>
        </w:rPr>
        <w:t xml:space="preserve">) </w:t>
      </w:r>
      <w:r>
        <w:rPr>
          <w:rtl w:val="true"/>
        </w:rPr>
        <w:t xml:space="preserve">و الأئمّة </w:t>
      </w:r>
      <w:r>
        <w:rPr>
          <w:rtl w:val="true"/>
        </w:rPr>
        <w:t>(</w:t>
      </w:r>
      <w:r>
        <w:rPr>
          <w:rtl w:val="true"/>
        </w:rPr>
        <w:t>علیهم السّلام</w:t>
      </w:r>
      <w:r>
        <w:rPr>
          <w:rtl w:val="true"/>
        </w:rPr>
        <w:t xml:space="preserve">) </w:t>
      </w:r>
      <w:r>
        <w:rPr>
          <w:rtl w:val="true"/>
        </w:rPr>
        <w:t>و سائر النفوس المقدّسة</w:t>
      </w:r>
      <w:r>
        <w:rPr>
          <w:rtl w:val="true"/>
        </w:rPr>
        <w:t>]</w:t>
      </w:r>
      <w:bookmarkEnd w:id="5961"/>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ینعقد الیمین بالحلف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النفوس المقدّسة</w:t>
      </w:r>
      <w:bookmarkStart w:id="5962" w:name="pg1809_19598"/>
    </w:p>
    <w:p>
      <w:pPr>
        <w:pStyle w:val="BookText"/>
        <w:rPr/>
      </w:pPr>
      <w:bookmarkEnd w:id="5962"/>
      <w:r>
        <w:rPr>
          <w:rFonts w:ascii="IRNazanin" w:hAnsi="IRNazanin" w:eastAsia="IRNazanin"/>
          <w:color w:val="111111"/>
          <w:sz w:val="28"/>
          <w:sz w:val="28"/>
          <w:szCs w:val="28"/>
          <w:rtl w:val="true"/>
          <w:lang w:bidi="fa-IR"/>
        </w:rPr>
        <w:t>المعظّمة و لا بالقرآن الشریف و لا بالکعبة المشرّفة و سائر الأمکنة الشریفة المحترمة</w:t>
      </w:r>
      <w:r>
        <w:rPr>
          <w:rFonts w:eastAsia="IRNazanin" w:cs="IRNazanin"/>
          <w:color w:val="111111"/>
          <w:sz w:val="28"/>
          <w:szCs w:val="28"/>
          <w:rtl w:val="true"/>
          <w:lang w:bidi="fa-IR"/>
        </w:rPr>
        <w:t>.</w:t>
      </w:r>
    </w:p>
    <w:p>
      <w:pPr>
        <w:pStyle w:val="Heading4"/>
        <w:numPr>
          <w:ilvl w:val="3"/>
          <w:numId w:val="1"/>
        </w:numPr>
        <w:rPr/>
      </w:pPr>
      <w:bookmarkStart w:id="5963" w:name="__RefHeading___Toc2570384_3650668749"/>
      <w:bookmarkStart w:id="5964" w:name="_Toc2701"/>
      <w:bookmarkEnd w:id="5963"/>
      <w:r>
        <w:rPr>
          <w:rtl w:val="true"/>
        </w:rPr>
        <w:t>[ (</w:t>
      </w:r>
      <w:r>
        <w:rPr>
          <w:rtl w:val="true"/>
        </w:rPr>
        <w:t xml:space="preserve">مسألة </w:t>
      </w:r>
      <w:r>
        <w:rPr/>
        <w:t>6</w:t>
      </w:r>
      <w:r>
        <w:rPr>
          <w:rtl w:val="true"/>
        </w:rPr>
        <w:t xml:space="preserve">): </w:t>
      </w:r>
      <w:r>
        <w:rPr>
          <w:rtl w:val="true"/>
        </w:rPr>
        <w:t>لا ینعقد الیمین بالطلاق و العتاق</w:t>
      </w:r>
      <w:r>
        <w:rPr>
          <w:rtl w:val="true"/>
        </w:rPr>
        <w:t>]</w:t>
      </w:r>
      <w:bookmarkEnd w:id="59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الیمین بالطلاق و العتاق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زوجتی طالق و عبدی حرّ إن فعلت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یؤثّر مثل هذا الیمین لا فی حصول الطلاق و العتاق بالحنث و لا فی ترتّب إثم أو کفّارة علیه، و کذا الیمین بالبراءة من اللّٰه أو من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دینه أو من الأئمّة بأن یقول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برئت من اللّٰه أو من دین الإسلام إن فعلت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یؤثّر فی ترتّب الإثم أو الکفّارة علیٰ حنثه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الیمین بنفسه حرام و یأثم حالفه من غیر فرق بین الصدق و الکذب و الحنث و عدمه، ففی خبر یونس بن ظبیان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یونس لا تحلف بالبراءة منّا، فإنّ من حلف بالبراءة منّا صادقاً أو کاذباً برئ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خبر آخر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بری‌ء من دین محمّد،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إذا برئت من دین محمّد فعلی دین مَنْ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تکفیر الحالف بإطعام عشرة مساکین لکلّ مسکین مدّ و یستغفر اللّٰه تعالیٰ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الیمین </w:t>
      </w:r>
      <w:r>
        <w:rPr>
          <w:rStyle w:val="FootnoteAnchor"/>
          <w:rtl w:val="true"/>
        </w:rPr>
        <w:footnoteReference w:id="1575"/>
      </w:r>
      <w:r>
        <w:rPr>
          <w:rFonts w:ascii="IRNazanin" w:hAnsi="IRNazanin" w:eastAsia="IRNazanin"/>
          <w:color w:val="111111"/>
          <w:sz w:val="28"/>
          <w:sz w:val="28"/>
          <w:szCs w:val="28"/>
          <w:rtl w:val="true"/>
          <w:lang w:bidi="fa-IR"/>
        </w:rPr>
        <w:t>بالبراءة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یفعل کذا أو لم یترک کذا فهو یهودیّ أو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Heading4"/>
        <w:numPr>
          <w:ilvl w:val="3"/>
          <w:numId w:val="1"/>
        </w:numPr>
        <w:rPr/>
      </w:pPr>
      <w:bookmarkStart w:id="5965" w:name="__RefHeading___Toc2570386_3650668749"/>
      <w:bookmarkStart w:id="5966" w:name="_Toc2702"/>
      <w:bookmarkEnd w:id="5965"/>
      <w:r>
        <w:rPr>
          <w:rtl w:val="true"/>
        </w:rPr>
        <w:t>[ (</w:t>
      </w:r>
      <w:r>
        <w:rPr>
          <w:rtl w:val="true"/>
        </w:rPr>
        <w:t xml:space="preserve">مسألة </w:t>
      </w:r>
      <w:r>
        <w:rPr/>
        <w:t>7</w:t>
      </w:r>
      <w:r>
        <w:rPr>
          <w:rtl w:val="true"/>
        </w:rPr>
        <w:t xml:space="preserve">): </w:t>
      </w:r>
      <w:r>
        <w:rPr>
          <w:rtl w:val="true"/>
        </w:rPr>
        <w:t>لو علّق الیمین علیٰ مشیّة اللّٰه بأن قال</w:t>
      </w:r>
      <w:r>
        <w:rPr>
          <w:rtl w:val="true"/>
        </w:rPr>
        <w:t>: «</w:t>
      </w:r>
      <w:r>
        <w:rPr>
          <w:rtl w:val="true"/>
        </w:rPr>
        <w:t>و اللّٰه لأفعلنّ کذا إن شاء اللّٰه</w:t>
      </w:r>
      <w:r>
        <w:rPr>
          <w:rtl w:val="true"/>
        </w:rPr>
        <w:t xml:space="preserve">» </w:t>
      </w:r>
      <w:r>
        <w:rPr>
          <w:rtl w:val="true"/>
        </w:rPr>
        <w:t>و کان المقصود التعلیق علیٰ مشیّته تعالیٰ</w:t>
      </w:r>
      <w:r>
        <w:rPr>
          <w:rtl w:val="true"/>
        </w:rPr>
        <w:t>]</w:t>
      </w:r>
      <w:bookmarkEnd w:id="5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علّق الیمین علیٰ مشیّة اللّٰه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لأفعلنّ کذا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المقصود التعلیق علیٰ مشیّته تعالیٰ لا مجرّد التبرّک بهذه الکلمة لم تنعقد إلّا إذا </w:t>
      </w:r>
      <w:r>
        <w:rPr>
          <w:rStyle w:val="FootnoteAnchor"/>
          <w:rtl w:val="true"/>
        </w:rPr>
        <w:footnoteReference w:id="1576"/>
      </w:r>
      <w:r>
        <w:rPr>
          <w:rFonts w:ascii="IRNazanin" w:hAnsi="IRNazanin" w:eastAsia="IRNazanin"/>
          <w:color w:val="111111"/>
          <w:sz w:val="28"/>
          <w:sz w:val="28"/>
          <w:szCs w:val="28"/>
          <w:rtl w:val="true"/>
          <w:lang w:bidi="fa-IR"/>
        </w:rPr>
        <w:t>کان المحلوف علیه فعل واجب أو ترک حرام، بخلاف ما إذا علّق علیٰ مشیّة غیره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لأفعلنّ کذا إن شاء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فإنّه تنعقد علیٰ تقدیر مشیّته، فإن قال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شئت أن تفعل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انعقدت و تحقّق الحنث بترکه و 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تنعقد، و کذا لو لم یعلم أنّه شاء أو لم یشأ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لو علّق علیٰ شی‌ء آخر غیر المشیّة، فإنّه تنعقد علیٰ تقدیر حصول المعلّق علیه، فیحنث لو لم یأت بالمحلوف علیه علیٰ ذلک التقدیر</w:t>
      </w:r>
      <w:r>
        <w:rPr>
          <w:rFonts w:eastAsia="IRNazanin" w:cs="IRNazanin"/>
          <w:color w:val="111111"/>
          <w:sz w:val="28"/>
          <w:szCs w:val="28"/>
          <w:rtl w:val="true"/>
          <w:lang w:bidi="fa-IR"/>
        </w:rPr>
        <w:t>.</w:t>
      </w:r>
    </w:p>
    <w:p>
      <w:pPr>
        <w:pStyle w:val="Heading4"/>
        <w:numPr>
          <w:ilvl w:val="3"/>
          <w:numId w:val="1"/>
        </w:numPr>
        <w:rPr/>
      </w:pPr>
      <w:bookmarkStart w:id="5967" w:name="__RefHeading___Toc2570388_3650668749"/>
      <w:bookmarkStart w:id="5968" w:name="_Toc2703"/>
      <w:bookmarkEnd w:id="5967"/>
      <w:r>
        <w:rPr>
          <w:rtl w:val="true"/>
        </w:rPr>
        <w:t>[ (</w:t>
      </w:r>
      <w:r>
        <w:rPr>
          <w:rtl w:val="true"/>
        </w:rPr>
        <w:t xml:space="preserve">مسألة </w:t>
      </w:r>
      <w:r>
        <w:rPr/>
        <w:t>8</w:t>
      </w:r>
      <w:r>
        <w:rPr>
          <w:rtl w:val="true"/>
        </w:rPr>
        <w:t xml:space="preserve">): </w:t>
      </w:r>
      <w:r>
        <w:rPr>
          <w:rtl w:val="true"/>
        </w:rPr>
        <w:t>یعتبر فی الحالف</w:t>
      </w:r>
      <w:r>
        <w:rPr>
          <w:rtl w:val="true"/>
        </w:rPr>
        <w:t xml:space="preserve">: </w:t>
      </w:r>
      <w:r>
        <w:rPr>
          <w:rtl w:val="true"/>
        </w:rPr>
        <w:t>البلوغ و العقل و الاختیار و القصد</w:t>
      </w:r>
      <w:r>
        <w:rPr>
          <w:rtl w:val="true"/>
        </w:rPr>
        <w:t>]</w:t>
      </w:r>
      <w:bookmarkEnd w:id="5968"/>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الاختیار و القصد، فلا تنعقد یمین الصغیر و المجنون مطبقاً أو أدواراً و لا المکره و لا السکران، بل و لا الغضبان فی شدّة الغضب السالب للقصد</w:t>
      </w:r>
      <w:r>
        <w:rPr>
          <w:rFonts w:eastAsia="IRNazanin" w:cs="IRNazanin"/>
          <w:color w:val="111111"/>
          <w:sz w:val="28"/>
          <w:szCs w:val="28"/>
          <w:rtl w:val="true"/>
          <w:lang w:bidi="fa-IR"/>
        </w:rPr>
        <w:t>.</w:t>
      </w:r>
      <w:bookmarkStart w:id="5969" w:name="pg1809_19599"/>
    </w:p>
    <w:p>
      <w:pPr>
        <w:pStyle w:val="Heading4"/>
        <w:numPr>
          <w:ilvl w:val="3"/>
          <w:numId w:val="1"/>
        </w:numPr>
        <w:rPr/>
      </w:pPr>
      <w:bookmarkStart w:id="5970" w:name="__RefHeading___Toc2570390_3650668749"/>
      <w:bookmarkStart w:id="5971" w:name="_Toc2704"/>
      <w:bookmarkEnd w:id="5969"/>
      <w:bookmarkEnd w:id="5970"/>
      <w:r>
        <w:rPr>
          <w:rtl w:val="true"/>
        </w:rPr>
        <w:t>[ (</w:t>
      </w:r>
      <w:r>
        <w:rPr>
          <w:rtl w:val="true"/>
        </w:rPr>
        <w:t xml:space="preserve">مسألة </w:t>
      </w:r>
      <w:r>
        <w:rPr/>
        <w:t>9</w:t>
      </w:r>
      <w:r>
        <w:rPr>
          <w:rtl w:val="true"/>
        </w:rPr>
        <w:t xml:space="preserve">): </w:t>
      </w:r>
      <w:r>
        <w:rPr>
          <w:rtl w:val="true"/>
        </w:rPr>
        <w:t>لا تنعقد یمین الولد مع منع الوالد</w:t>
      </w:r>
      <w:r>
        <w:rPr>
          <w:rtl w:val="true"/>
        </w:rPr>
        <w:t>]</w:t>
      </w:r>
      <w:bookmarkEnd w:id="59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تنعقد یمین الولد مع منع الوالد، و لا یمین الزوجة مع منع الزوج، و لا یمین المملوک مع منع المالک، إلّا أن یکون المحلوف علیه فعل واجب </w:t>
      </w:r>
      <w:r>
        <w:rPr>
          <w:rStyle w:val="FootnoteAnchor"/>
          <w:rtl w:val="true"/>
        </w:rPr>
        <w:footnoteReference w:id="1577"/>
      </w:r>
      <w:r>
        <w:rPr>
          <w:rFonts w:ascii="IRNazanin" w:hAnsi="IRNazanin" w:eastAsia="IRNazanin"/>
          <w:color w:val="111111"/>
          <w:sz w:val="28"/>
          <w:sz w:val="28"/>
          <w:szCs w:val="28"/>
          <w:rtl w:val="true"/>
          <w:lang w:bidi="fa-IR"/>
        </w:rPr>
        <w:t>أو ترک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حلف أحد الثلاثة فی غیر ذلک، کان للأب أو الزوج أو المالک حلّ الیمین و ارتفع أثرها، فلو حنث لا کفّارة علیه، و هل یشترط إذنهم و رضاهم فی انعقاد یمینهم حتّی أنّه لو لم یطّلعوا علیٰ حلفهم أو لم یحلّوا مع علمهم لم تنعقد من أصلها أولا، بل کان منعهم مانعاً عن انعقادها و حلّهم رافعاً لاستمرارها، فصحّت و انعقدت فی الصورتین المزبورتین؟ قولان، أحوطهما ثانیهما، بل لا یخلو من قوّة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72" w:name="__RefHeading___Toc2570392_3650668749"/>
      <w:bookmarkStart w:id="5973" w:name="_Toc2705"/>
      <w:bookmarkEnd w:id="5972"/>
      <w:r>
        <w:rPr>
          <w:rtl w:val="true"/>
        </w:rPr>
        <w:t>[ (</w:t>
      </w:r>
      <w:r>
        <w:rPr>
          <w:rtl w:val="true"/>
        </w:rPr>
        <w:t xml:space="preserve">مسألة </w:t>
      </w:r>
      <w:r>
        <w:rPr/>
        <w:t>10</w:t>
      </w:r>
      <w:r>
        <w:rPr>
          <w:rtl w:val="true"/>
        </w:rPr>
        <w:t xml:space="preserve">): </w:t>
      </w:r>
      <w:r>
        <w:rPr>
          <w:rtl w:val="true"/>
        </w:rPr>
        <w:t>لا إشکال فی انعقاد الیمین إذا تعلّقت بفعل واجب أو مستحبّ</w:t>
      </w:r>
      <w:r>
        <w:rPr>
          <w:rtl w:val="true"/>
        </w:rPr>
        <w:t>]</w:t>
      </w:r>
      <w:bookmarkEnd w:id="59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انعقاد الیمین إذا تعلّقت بفعل واجب أو مستحبّ، أو بترک حرام أو مکروه، و فی عدم انعقادها إذا تعلّقت بترک واجب أو مستحبّ أو بفعل حرام أو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المباح المتساوی الطرفین فی الدین و فی نظر الشرع، فإن ترجّح فعله علیٰ ترکه بحسب المنافع و الأغراض العقلائیّة الدنیویّة أو العکس فلا إشکال فی انعقادها إذا تعلّقت بطرفه الراجح و عدم انعقادها إذا تعلّقت بطرفه المرجوح، و أمّا إذا ساویٰ طرفاه بحسب الدنیا أیضاً فهل تنعقد إذا تعلّقت به فعلًا أو ترکاً؟ قولان، أشهرهما و أحوطهما أوّلهما و لا یخلو من قوّة</w:t>
      </w:r>
      <w:r>
        <w:rPr>
          <w:rFonts w:eastAsia="IRNazanin" w:cs="IRNazanin"/>
          <w:color w:val="111111"/>
          <w:sz w:val="28"/>
          <w:szCs w:val="28"/>
          <w:rtl w:val="true"/>
          <w:lang w:bidi="fa-IR"/>
        </w:rPr>
        <w:t>.</w:t>
      </w:r>
    </w:p>
    <w:p>
      <w:pPr>
        <w:pStyle w:val="Heading4"/>
        <w:numPr>
          <w:ilvl w:val="3"/>
          <w:numId w:val="1"/>
        </w:numPr>
        <w:rPr/>
      </w:pPr>
      <w:bookmarkStart w:id="5974" w:name="__RefHeading___Toc2570394_3650668749"/>
      <w:bookmarkStart w:id="5975" w:name="_Toc2706"/>
      <w:bookmarkEnd w:id="5974"/>
      <w:r>
        <w:rPr>
          <w:rtl w:val="true"/>
        </w:rPr>
        <w:t>[ (</w:t>
      </w:r>
      <w:r>
        <w:rPr>
          <w:rtl w:val="true"/>
        </w:rPr>
        <w:t xml:space="preserve">مسألة </w:t>
      </w:r>
      <w:r>
        <w:rPr/>
        <w:t>11</w:t>
      </w:r>
      <w:r>
        <w:rPr>
          <w:rtl w:val="true"/>
        </w:rPr>
        <w:t xml:space="preserve">): </w:t>
      </w:r>
      <w:r>
        <w:rPr>
          <w:rtl w:val="true"/>
        </w:rPr>
        <w:t>فکما لا تنعقد الیمین علیٰ ما کان مرجوحاً تنحلّ إذا تعلّقت براجح ثمّ صار مرجوحاً</w:t>
      </w:r>
      <w:r>
        <w:rPr>
          <w:rtl w:val="true"/>
        </w:rPr>
        <w:t>]</w:t>
      </w:r>
      <w:bookmarkEnd w:id="59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تنعقد الیمین علیٰ ما کان مرجوحاً تنحلّ إذا تعلّقت براجح ثمّ صار مرجوحاً، و لو عاد إلی الرجحان لم تعد الیمین بعد انحلالها علی الأقویٰ</w:t>
      </w:r>
      <w:r>
        <w:rPr>
          <w:rFonts w:eastAsia="IRNazanin" w:cs="IRNazanin"/>
          <w:color w:val="111111"/>
          <w:sz w:val="28"/>
          <w:szCs w:val="28"/>
          <w:rtl w:val="true"/>
          <w:lang w:bidi="fa-IR"/>
        </w:rPr>
        <w:t>.</w:t>
      </w:r>
    </w:p>
    <w:p>
      <w:pPr>
        <w:pStyle w:val="Heading4"/>
        <w:numPr>
          <w:ilvl w:val="3"/>
          <w:numId w:val="1"/>
        </w:numPr>
        <w:rPr/>
      </w:pPr>
      <w:bookmarkStart w:id="5976" w:name="__RefHeading___Toc2570396_3650668749"/>
      <w:bookmarkStart w:id="5977" w:name="_Toc2707"/>
      <w:bookmarkEnd w:id="5976"/>
      <w:r>
        <w:rPr>
          <w:rtl w:val="true"/>
        </w:rPr>
        <w:t>[ (</w:t>
      </w:r>
      <w:r>
        <w:rPr>
          <w:rtl w:val="true"/>
        </w:rPr>
        <w:t xml:space="preserve">مسألة </w:t>
      </w:r>
      <w:r>
        <w:rPr/>
        <w:t>12</w:t>
      </w:r>
      <w:r>
        <w:rPr>
          <w:rtl w:val="true"/>
        </w:rPr>
        <w:t xml:space="preserve">): </w:t>
      </w:r>
      <w:r>
        <w:rPr>
          <w:rtl w:val="true"/>
        </w:rPr>
        <w:t>إنّما تنعقد الیمین علی المقدور دون غیره</w:t>
      </w:r>
      <w:r>
        <w:rPr>
          <w:rtl w:val="true"/>
        </w:rPr>
        <w:t>]</w:t>
      </w:r>
      <w:bookmarkEnd w:id="5977"/>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تنعقد الیمین علی المقدور دون غیره، و لو کان مقدوراً ثمّ طرأ العجز </w:t>
      </w:r>
      <w:r>
        <w:rPr>
          <w:rStyle w:val="FootnoteAnchor"/>
          <w:rtl w:val="true"/>
        </w:rPr>
        <w:footnoteReference w:id="1579"/>
      </w:r>
      <w:r>
        <w:rPr>
          <w:rFonts w:ascii="IRNazanin" w:hAnsi="IRNazanin" w:eastAsia="IRNazanin"/>
          <w:color w:val="111111"/>
          <w:sz w:val="28"/>
          <w:sz w:val="28"/>
          <w:szCs w:val="28"/>
          <w:rtl w:val="true"/>
          <w:lang w:bidi="fa-IR"/>
        </w:rPr>
        <w:t>عنه بعد الیمین انحلّت الیمین، و یلحق بالعجز العسر و الحرج الرافعان للتکلیف</w:t>
      </w:r>
      <w:r>
        <w:rPr>
          <w:rFonts w:eastAsia="IRNazanin" w:cs="IRNazanin"/>
          <w:color w:val="111111"/>
          <w:sz w:val="28"/>
          <w:szCs w:val="28"/>
          <w:rtl w:val="true"/>
          <w:lang w:bidi="fa-IR"/>
        </w:rPr>
        <w:t>.</w:t>
      </w:r>
      <w:bookmarkStart w:id="5978" w:name="pg1809_19600"/>
    </w:p>
    <w:p>
      <w:pPr>
        <w:pStyle w:val="Heading4"/>
        <w:numPr>
          <w:ilvl w:val="3"/>
          <w:numId w:val="1"/>
        </w:numPr>
        <w:rPr/>
      </w:pPr>
      <w:bookmarkStart w:id="5979" w:name="__RefHeading___Toc2570398_3650668749"/>
      <w:bookmarkStart w:id="5980" w:name="_Toc2708"/>
      <w:bookmarkEnd w:id="5978"/>
      <w:bookmarkEnd w:id="5979"/>
      <w:r>
        <w:rPr>
          <w:rtl w:val="true"/>
        </w:rPr>
        <w:t>[ (</w:t>
      </w:r>
      <w:r>
        <w:rPr>
          <w:rtl w:val="true"/>
        </w:rPr>
        <w:t xml:space="preserve">مسألة </w:t>
      </w:r>
      <w:r>
        <w:rPr/>
        <w:t>13</w:t>
      </w:r>
      <w:r>
        <w:rPr>
          <w:rtl w:val="true"/>
        </w:rPr>
        <w:t xml:space="preserve">): </w:t>
      </w:r>
      <w:r>
        <w:rPr>
          <w:rtl w:val="true"/>
        </w:rPr>
        <w:t>إذا انعقدت الیمین وجب علیه الوفاء بها و حرمت علیه مخالفتها</w:t>
      </w:r>
      <w:r>
        <w:rPr>
          <w:rtl w:val="true"/>
        </w:rPr>
        <w:t>]</w:t>
      </w:r>
      <w:bookmarkEnd w:id="59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انعقدت الیمین وجب علیه الوفاء بها و حرمت علیه مخالفتها، و وجبت الکفّارة بحنثها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الحنث الموجب للکفّارة هی المخالفة عمداً، فلو کانت جهلًا أو نسیاناً أو اضطراراً أو إکراهاً فلا حنث و لا کفّارة</w:t>
      </w:r>
      <w:r>
        <w:rPr>
          <w:rFonts w:eastAsia="IRNazanin" w:cs="IRNazanin"/>
          <w:color w:val="111111"/>
          <w:sz w:val="28"/>
          <w:szCs w:val="28"/>
          <w:rtl w:val="true"/>
          <w:lang w:bidi="fa-IR"/>
        </w:rPr>
        <w:t>.</w:t>
      </w:r>
    </w:p>
    <w:p>
      <w:pPr>
        <w:pStyle w:val="Heading4"/>
        <w:numPr>
          <w:ilvl w:val="3"/>
          <w:numId w:val="1"/>
        </w:numPr>
        <w:rPr/>
      </w:pPr>
      <w:bookmarkStart w:id="5981" w:name="__RefHeading___Toc2570400_3650668749"/>
      <w:bookmarkStart w:id="5982" w:name="_Toc2709"/>
      <w:bookmarkEnd w:id="5981"/>
      <w:r>
        <w:rPr>
          <w:rtl w:val="true"/>
        </w:rPr>
        <w:t>[ (</w:t>
      </w:r>
      <w:r>
        <w:rPr>
          <w:rtl w:val="true"/>
        </w:rPr>
        <w:t xml:space="preserve">مسألة </w:t>
      </w:r>
      <w:r>
        <w:rPr/>
        <w:t>14</w:t>
      </w:r>
      <w:r>
        <w:rPr>
          <w:rtl w:val="true"/>
        </w:rPr>
        <w:t xml:space="preserve">): </w:t>
      </w:r>
      <w:r>
        <w:rPr>
          <w:rtl w:val="true"/>
        </w:rPr>
        <w:t>إذا کان متعلّق الیمین الفعل کالصلاة و الصوم فإن عیّن له وقتاً تعیّن</w:t>
      </w:r>
      <w:r>
        <w:rPr>
          <w:rtl w:val="true"/>
        </w:rPr>
        <w:t>]</w:t>
      </w:r>
      <w:bookmarkEnd w:id="59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متعلّق الیمین الفعل کالصلاة و الصوم فإن عیّن له وقتاً تعیّن و کان الوفاء بها بالإتیان به فی وقته، و حنثها بعدم الإتیان به فی وقته و إن أتی به فی وقت آخر، و إن أطلق کان الوفاء بها بإیجاده فی أیّ وقت کان و لو مرّة و حنثها بترکه بالمرّة، و لا یجب التکرار و لا الفور و البدار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له التأخیر و لو بالاختیار إلیٰ أن یظنّ الفوت لظنّ طروّ العجز أو عروض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متعلّقها الترک، کما إذا حلف أن لا یأکل الثوم أو لا یشرب الدخان، فإن قیّده بزمان کان حنثها بإیجاده و لو مرّة فی ذلک الزمان، و إن أطلق کان مقتضاه التأبید مدّة العمر فلو أتی به مدّته و لو مرّة فی أیّ زمان کان تحقّق الحنث</w:t>
      </w:r>
      <w:r>
        <w:rPr>
          <w:rFonts w:eastAsia="IRNazanin" w:cs="IRNazanin"/>
          <w:color w:val="111111"/>
          <w:sz w:val="28"/>
          <w:szCs w:val="28"/>
          <w:rtl w:val="true"/>
          <w:lang w:bidi="fa-IR"/>
        </w:rPr>
        <w:t>.</w:t>
      </w:r>
    </w:p>
    <w:p>
      <w:pPr>
        <w:pStyle w:val="Heading4"/>
        <w:numPr>
          <w:ilvl w:val="3"/>
          <w:numId w:val="1"/>
        </w:numPr>
        <w:rPr/>
      </w:pPr>
      <w:bookmarkStart w:id="5983" w:name="__RefHeading___Toc2570402_3650668749"/>
      <w:bookmarkStart w:id="5984" w:name="_Toc2710"/>
      <w:bookmarkEnd w:id="5983"/>
      <w:r>
        <w:rPr>
          <w:rtl w:val="true"/>
        </w:rPr>
        <w:t>[ (</w:t>
      </w:r>
      <w:r>
        <w:rPr>
          <w:rtl w:val="true"/>
        </w:rPr>
        <w:t xml:space="preserve">مسألة </w:t>
      </w:r>
      <w:r>
        <w:rPr/>
        <w:t>15</w:t>
      </w:r>
      <w:r>
        <w:rPr>
          <w:rtl w:val="true"/>
        </w:rPr>
        <w:t xml:space="preserve">): </w:t>
      </w:r>
      <w:r>
        <w:rPr>
          <w:rtl w:val="true"/>
        </w:rPr>
        <w:t>إذا کان المحلوف علیه الإتیان بعمل کصوم یوم</w:t>
      </w:r>
      <w:r>
        <w:rPr>
          <w:rtl w:val="true"/>
        </w:rPr>
        <w:t>]</w:t>
      </w:r>
      <w:bookmarkEnd w:id="59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المحلوف علیه الإتیان بعمل کصوم یوم؛ سواء کان مقیّداً بزمان کصوم یوم من شعبان، أو مطلقاً من حیث الزمان، لم یکن له إلّا حنث واحد، فلا تتکرّر فیه الکفّارة؛ إذ مع الإتیان به فی الوقت المعیّن أو مدّة العمر و لو مرّة لا مخالفة و لا حنث، و مع ترکه بالمرّة یتحقّق الحنث الموجب للکفّارة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إذا کان ترک عمل علی الإطلاق؛ سواء کان مقیّداً بزمان کما إذا حلف علیٰ ترک شرب الدخان فی یوم الجمعة، أو غیر مقیّد به کما إذا حلف علیٰ ترکه مطلقاً؛ لأنّ الوفاء بهذا الیمین إنّما هو بترک ذلک العمل بالمرّة فی یوم الجمعة أو مطلقاً، و حنثها بإیقاعه و لو مرّة، فلو أتی به حنث و انحلّت الیمین، فلو أتی به مراراً لم یحنث إلّا بالمرّة الاولیٰ فلا تتکرّر الکفّارة، و هذا ممّا لا إشکال فیه، إنّما الإشکال فی مثل ما إذا حلف علیٰ أن یصوم کلّ خمیس أو حلف علیٰ أن لا یأکل الثوم فی کلّ جمعة مثلًا فهل یتکرّر الحنث و الکفّارة إذا ترک الصوم فی أکثر من یوم، أو أکل الثوم فی أکثر من جمعة واحدة أم لا، بل تنحلّ الیمین بالمخالفة الاولیٰ فلا حنث بعدها؟ قولان، أحوطهما الأوّل و أشهرهما الثانی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85" w:name="__RefHeading___Toc2570404_3650668749"/>
      <w:bookmarkStart w:id="5986" w:name="_Toc2711"/>
      <w:bookmarkEnd w:id="5985"/>
      <w:r>
        <w:rPr>
          <w:rtl w:val="true"/>
        </w:rPr>
        <w:t>[ (</w:t>
      </w:r>
      <w:r>
        <w:rPr>
          <w:rtl w:val="true"/>
        </w:rPr>
        <w:t xml:space="preserve">مسألة </w:t>
      </w:r>
      <w:r>
        <w:rPr/>
        <w:t>16</w:t>
      </w:r>
      <w:r>
        <w:rPr>
          <w:rtl w:val="true"/>
        </w:rPr>
        <w:t xml:space="preserve">): </w:t>
      </w:r>
      <w:r>
        <w:rPr>
          <w:rtl w:val="true"/>
        </w:rPr>
        <w:t>کفّارة الیمین عتق رقبة، أو إطعام عشرة مساکین، أو کسوتهم</w:t>
      </w:r>
      <w:r>
        <w:rPr>
          <w:rtl w:val="true"/>
        </w:rPr>
        <w:t>]</w:t>
      </w:r>
      <w:bookmarkEnd w:id="5986"/>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الیمین عتق رقبة، أو إطعام عشرة مساکین، أو کسوتهم، فإن لم</w:t>
      </w:r>
      <w:bookmarkStart w:id="5987" w:name="pg1809_19601"/>
    </w:p>
    <w:p>
      <w:pPr>
        <w:pStyle w:val="BookText"/>
        <w:rPr/>
      </w:pPr>
      <w:bookmarkEnd w:id="5987"/>
      <w:r>
        <w:rPr>
          <w:rFonts w:ascii="IRNazanin" w:hAnsi="IRNazanin" w:eastAsia="IRNazanin"/>
          <w:color w:val="111111"/>
          <w:sz w:val="28"/>
          <w:sz w:val="28"/>
          <w:szCs w:val="28"/>
          <w:rtl w:val="true"/>
          <w:lang w:bidi="fa-IR"/>
        </w:rPr>
        <w:t>یقدر فصیام ثلاثة أیّام، و سیجی‌ء تفصیلها و ما یتعلّق بها من الأحکام فی کتاب الکفّارات إن شاء اللّٰه تعالیٰ</w:t>
      </w:r>
      <w:r>
        <w:rPr>
          <w:rFonts w:eastAsia="IRNazanin" w:cs="IRNazanin"/>
          <w:color w:val="111111"/>
          <w:sz w:val="28"/>
          <w:szCs w:val="28"/>
          <w:rtl w:val="true"/>
          <w:lang w:bidi="fa-IR"/>
        </w:rPr>
        <w:t>.</w:t>
      </w:r>
    </w:p>
    <w:p>
      <w:pPr>
        <w:pStyle w:val="Heading4"/>
        <w:numPr>
          <w:ilvl w:val="3"/>
          <w:numId w:val="1"/>
        </w:numPr>
        <w:rPr/>
      </w:pPr>
      <w:bookmarkStart w:id="5988" w:name="__RefHeading___Toc2570406_3650668749"/>
      <w:bookmarkStart w:id="5989" w:name="_Toc2712"/>
      <w:bookmarkEnd w:id="5988"/>
      <w:r>
        <w:rPr>
          <w:rtl w:val="true"/>
        </w:rPr>
        <w:t>[ (</w:t>
      </w:r>
      <w:r>
        <w:rPr>
          <w:rtl w:val="true"/>
        </w:rPr>
        <w:t xml:space="preserve">مسألة </w:t>
      </w:r>
      <w:r>
        <w:rPr/>
        <w:t>17</w:t>
      </w:r>
      <w:r>
        <w:rPr>
          <w:rtl w:val="true"/>
        </w:rPr>
        <w:t xml:space="preserve">): </w:t>
      </w:r>
      <w:r>
        <w:rPr>
          <w:rtl w:val="true"/>
        </w:rPr>
        <w:t>الأیمان الصادقة کلّها مکروهة؛ سواء کانت علی الماضی أو المستقبل</w:t>
      </w:r>
      <w:r>
        <w:rPr>
          <w:rtl w:val="true"/>
        </w:rPr>
        <w:t>]</w:t>
      </w:r>
      <w:bookmarkEnd w:id="59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الأیمان الصادقة کلّها مکروهة؛ سواء کانت علی الماضی أو المستقبل، و تتأکّد الکراهة فی الأوّل </w:t>
      </w:r>
      <w:r>
        <w:rPr>
          <w:rStyle w:val="FootnoteAnchor"/>
          <w:rtl w:val="true"/>
        </w:rPr>
        <w:footnoteReference w:id="1581"/>
      </w:r>
      <w:r>
        <w:rPr>
          <w:rFonts w:ascii="IRNazanin" w:hAnsi="IRNazanin" w:eastAsia="IRNazanin"/>
          <w:color w:val="111111"/>
          <w:sz w:val="28"/>
          <w:sz w:val="28"/>
          <w:szCs w:val="28"/>
          <w:rtl w:val="true"/>
          <w:lang w:bidi="fa-IR"/>
        </w:rPr>
        <w:t xml:space="preserve">، ففی خبر الخزّاز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تحلفوا باللّٰه صادقین و لا کاذبین فإنّه یقول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تَجْعَلُوا اللّٰهَ عُرْضَةً لِأَیْمٰانِکُمْ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خبر ابن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 الحواریّون إلیٰ عیسیٰ علیٰ نبیّنا و آله و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معلّم الخیر أرشدنا،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نبیّ اللّٰه أمرکم أن لا تحلفوا باللّٰه کاذبین و أنا آمرکم أن لا تحلفوا باللّٰه کاذبین و لا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قصد بها رفع مظلمة عن نفسه أو عن غیره من إخوانه جاز بلا کراهة و لو کذباً، ففی خبر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نمرّ بالمال علی العشّارین فیطلبون منّا أن نحلف لهم و یخلّون سبیلنا و لا یرضون منّا إلّا بذلک،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احلف لهم فهو أحلی من التمر و الزبد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تجب الیمین الکاذبة لدفع ظالم عن نفسه أو عرضه أو عن نفس مؤمن أو عرضه، لکن إذا کان ملتفتاً إلی التوریة و یحسنها، فالأحوط لو لم یکن الأقویٰ </w:t>
      </w:r>
      <w:r>
        <w:rPr>
          <w:rStyle w:val="FootnoteAnchor"/>
          <w:rtl w:val="true"/>
        </w:rPr>
        <w:footnoteReference w:id="1582"/>
      </w:r>
      <w:r>
        <w:rPr>
          <w:rFonts w:ascii="IRNazanin" w:hAnsi="IRNazanin" w:eastAsia="IRNazanin"/>
          <w:color w:val="111111"/>
          <w:sz w:val="28"/>
          <w:sz w:val="28"/>
          <w:szCs w:val="28"/>
          <w:rtl w:val="true"/>
          <w:lang w:bidi="fa-IR"/>
        </w:rPr>
        <w:t>أن یورّی؛ بأن یقصد باللفظ خلاف ظاهره من دون قرینة مفهمة</w:t>
      </w:r>
      <w:r>
        <w:rPr>
          <w:rFonts w:eastAsia="IRNazanin" w:cs="IRNazanin"/>
          <w:color w:val="111111"/>
          <w:sz w:val="28"/>
          <w:szCs w:val="28"/>
          <w:rtl w:val="true"/>
          <w:lang w:bidi="fa-IR"/>
        </w:rPr>
        <w:t>.</w:t>
      </w:r>
    </w:p>
    <w:p>
      <w:pPr>
        <w:pStyle w:val="Heading4"/>
        <w:numPr>
          <w:ilvl w:val="3"/>
          <w:numId w:val="1"/>
        </w:numPr>
        <w:rPr/>
      </w:pPr>
      <w:bookmarkStart w:id="5990" w:name="__RefHeading___Toc2570408_3650668749"/>
      <w:bookmarkStart w:id="5991" w:name="_Toc2713"/>
      <w:bookmarkEnd w:id="5990"/>
      <w:r>
        <w:rPr>
          <w:rtl w:val="true"/>
        </w:rPr>
        <w:t>[ (</w:t>
      </w:r>
      <w:r>
        <w:rPr>
          <w:rtl w:val="true"/>
        </w:rPr>
        <w:t xml:space="preserve">مسألة </w:t>
      </w:r>
      <w:r>
        <w:rPr/>
        <w:t>18</w:t>
      </w:r>
      <w:r>
        <w:rPr>
          <w:rtl w:val="true"/>
        </w:rPr>
        <w:t xml:space="preserve">): </w:t>
      </w:r>
      <w:r>
        <w:rPr>
          <w:rtl w:val="true"/>
        </w:rPr>
        <w:t>الأقویٰ أنّه یجوز الحلف بغیر اللّٰه فی الماضی و المستقبل و إن لم یترتّب علیٰ مخالفتها إثم</w:t>
      </w:r>
      <w:r>
        <w:rPr>
          <w:rtl w:val="true"/>
        </w:rPr>
        <w:t>]</w:t>
      </w:r>
      <w:bookmarkEnd w:id="59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أنّه یجوز الحلف بغیر اللّٰه فی الماضی و المستقبل و إن لم یترتّب علیٰ مخالفتها إثم و لا کفّارة، کما أنّه لیس قسماً فاصلًا فی الدعاوی و المرافعات</w:t>
      </w:r>
      <w:r>
        <w:rPr>
          <w:rFonts w:eastAsia="IRNazanin" w:cs="IRNazanin"/>
          <w:color w:val="111111"/>
          <w:sz w:val="28"/>
          <w:szCs w:val="28"/>
          <w:rtl w:val="true"/>
          <w:lang w:bidi="fa-IR"/>
        </w:rPr>
        <w:t>.</w:t>
      </w:r>
    </w:p>
    <w:p>
      <w:pPr>
        <w:pStyle w:val="Heading3"/>
        <w:numPr>
          <w:ilvl w:val="2"/>
          <w:numId w:val="1"/>
        </w:numPr>
        <w:rPr/>
      </w:pPr>
      <w:bookmarkStart w:id="5992" w:name="__RefHeading___Toc2570410_3650668749"/>
      <w:bookmarkStart w:id="5993" w:name="_Toc2714"/>
      <w:bookmarkEnd w:id="5992"/>
      <w:r>
        <w:rPr>
          <w:rtl w:val="true"/>
        </w:rPr>
        <w:t>[</w:t>
      </w:r>
      <w:r>
        <w:rPr>
          <w:rtl w:val="true"/>
        </w:rPr>
        <w:t>القول فی النذر و العهد</w:t>
      </w:r>
      <w:r>
        <w:rPr>
          <w:rtl w:val="true"/>
        </w:rPr>
        <w:t>]</w:t>
      </w:r>
      <w:bookmarkEnd w:id="5993"/>
    </w:p>
    <w:p>
      <w:pPr>
        <w:pStyle w:val="Heading4"/>
        <w:numPr>
          <w:ilvl w:val="3"/>
          <w:numId w:val="1"/>
        </w:numPr>
        <w:rPr/>
      </w:pPr>
      <w:bookmarkStart w:id="5994" w:name="__RefHeading___Toc2570412_3650668749"/>
      <w:bookmarkStart w:id="5995" w:name="_Toc2715"/>
      <w:bookmarkEnd w:id="5994"/>
      <w:r>
        <w:rPr>
          <w:rtl w:val="true"/>
        </w:rPr>
        <w:t>اشارة</w:t>
      </w:r>
      <w:bookmarkEnd w:id="5995"/>
    </w:p>
    <w:p>
      <w:pPr>
        <w:pStyle w:val="BookText"/>
        <w:rPr/>
      </w:pPr>
      <w:r>
        <w:rPr>
          <w:rFonts w:ascii="IRNazanin" w:hAnsi="IRNazanin" w:eastAsia="IRNazanin"/>
          <w:color w:val="111111"/>
          <w:sz w:val="28"/>
          <w:sz w:val="28"/>
          <w:szCs w:val="28"/>
          <w:rtl w:val="true"/>
          <w:lang w:bidi="fa-IR"/>
        </w:rPr>
        <w:t>القول فی النذر و العهد</w:t>
      </w:r>
    </w:p>
    <w:p>
      <w:pPr>
        <w:pStyle w:val="Heading4"/>
        <w:numPr>
          <w:ilvl w:val="3"/>
          <w:numId w:val="1"/>
        </w:numPr>
        <w:rPr/>
      </w:pPr>
      <w:bookmarkStart w:id="5996" w:name="__RefHeading___Toc2570414_3650668749"/>
      <w:bookmarkStart w:id="5997" w:name="_Toc2716"/>
      <w:bookmarkEnd w:id="5996"/>
      <w:r>
        <w:rPr>
          <w:rtl w:val="true"/>
        </w:rPr>
        <w:t>[ (</w:t>
      </w:r>
      <w:r>
        <w:rPr>
          <w:rtl w:val="true"/>
        </w:rPr>
        <w:t xml:space="preserve">مسألة </w:t>
      </w:r>
      <w:r>
        <w:rPr/>
        <w:t>1</w:t>
      </w:r>
      <w:r>
        <w:rPr>
          <w:rtl w:val="true"/>
        </w:rPr>
        <w:t xml:space="preserve">): </w:t>
      </w:r>
      <w:r>
        <w:rPr>
          <w:rtl w:val="true"/>
        </w:rPr>
        <w:t>النذر هو الالتزام بعمل للّٰه تعالیٰ علیٰ نحو مخصوص</w:t>
      </w:r>
      <w:r>
        <w:rPr>
          <w:rtl w:val="true"/>
        </w:rPr>
        <w:t>]</w:t>
      </w:r>
      <w:bookmarkEnd w:id="5997"/>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 هو الالتزام بعمل للّٰه تعالیٰ علیٰ نحو مخصوص، لا ینعقد بمجرّد النیّة، بل لا بدّ من الصیغة، و هی ما کانت مفادها إنشاء الالتزام بفعل أو ترک للّٰه تعالیٰ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أترک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یعتبر فی الصیغة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أو یجزی غیر هذه اللفظة من أسمائه المختصّة کما تقدّم فی الیمین؟ الظاهر هو الثانی، فکلّ ما دلّ علی الالتزام بعمل للّٰه جلّ شأنه یکفی فی الانعقاد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w:t>
      </w:r>
      <w:bookmarkStart w:id="5998" w:name="pg1809_19602"/>
    </w:p>
    <w:p>
      <w:pPr>
        <w:pStyle w:val="BookText"/>
        <w:rPr/>
      </w:pPr>
      <w:bookmarkEnd w:id="5998"/>
      <w:r>
        <w:rPr>
          <w:rFonts w:ascii="IRNazanin" w:hAnsi="IRNazanin" w:eastAsia="IRNazanin"/>
          <w:color w:val="111111"/>
          <w:sz w:val="28"/>
          <w:sz w:val="28"/>
          <w:szCs w:val="28"/>
          <w:rtl w:val="true"/>
          <w:lang w:bidi="fa-IR"/>
        </w:rPr>
        <w:t>انعقاده بما یرادف القول المزبور من کلّ لغة، خصوصاً لمن لم یحسن العربیّة، نعم لو اقتصر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ینعقد النذر و إن نویٰ فی ضمیره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نذرت للّٰه أن أصوم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نذر صوم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لم ینعقد، علیٰ إشکال، فلا یترک الاحتیاط</w:t>
      </w:r>
      <w:r>
        <w:rPr>
          <w:rFonts w:eastAsia="IRNazanin" w:cs="IRNazanin"/>
          <w:color w:val="111111"/>
          <w:sz w:val="28"/>
          <w:szCs w:val="28"/>
          <w:rtl w:val="true"/>
          <w:lang w:bidi="fa-IR"/>
        </w:rPr>
        <w:t>.</w:t>
      </w:r>
    </w:p>
    <w:p>
      <w:pPr>
        <w:pStyle w:val="Heading4"/>
        <w:numPr>
          <w:ilvl w:val="3"/>
          <w:numId w:val="1"/>
        </w:numPr>
        <w:rPr/>
      </w:pPr>
      <w:bookmarkStart w:id="5999" w:name="__RefHeading___Toc2570416_3650668749"/>
      <w:bookmarkStart w:id="6000" w:name="_Toc2717"/>
      <w:bookmarkEnd w:id="5999"/>
      <w:r>
        <w:rPr>
          <w:rtl w:val="true"/>
        </w:rPr>
        <w:t>[ (</w:t>
      </w:r>
      <w:r>
        <w:rPr>
          <w:rtl w:val="true"/>
        </w:rPr>
        <w:t xml:space="preserve">مسألة </w:t>
      </w:r>
      <w:r>
        <w:rPr/>
        <w:t>2</w:t>
      </w:r>
      <w:r>
        <w:rPr>
          <w:rtl w:val="true"/>
        </w:rPr>
        <w:t xml:space="preserve">): </w:t>
      </w:r>
      <w:r>
        <w:rPr>
          <w:rtl w:val="true"/>
        </w:rPr>
        <w:t>یشترط فی الناذر</w:t>
      </w:r>
      <w:r>
        <w:rPr>
          <w:rtl w:val="true"/>
        </w:rPr>
        <w:t xml:space="preserve">: </w:t>
      </w:r>
      <w:r>
        <w:rPr>
          <w:rtl w:val="true"/>
        </w:rPr>
        <w:t>البلوغ و العقل و الاختیار و القصد و انتفاء الحجر فی متعلّق النذر</w:t>
      </w:r>
      <w:r>
        <w:rPr>
          <w:rtl w:val="true"/>
        </w:rPr>
        <w:t>]</w:t>
      </w:r>
      <w:bookmarkEnd w:id="60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الاختیار و القصد و انتفاء الحجر فی متعلّق النذر، فلا ینعقد نذر الصبیّ و إن کان ممیّزاً و بلغ عشراً، و لا المجنون و لو أدواریّاً حال دوره، و لا المکره، و لا السکران، بل و لا الغضبان غضباً رافعاً للقصد، و کذا السفیه إن کان المنذور مالًا و لو فی ذمّته، و المفلّس إن کان المنذور من المال الذی حجر علیه و تعلّق به حقّ الغرماء</w:t>
      </w:r>
      <w:r>
        <w:rPr>
          <w:rFonts w:eastAsia="IRNazanin" w:cs="IRNazanin"/>
          <w:color w:val="111111"/>
          <w:sz w:val="28"/>
          <w:szCs w:val="28"/>
          <w:rtl w:val="true"/>
          <w:lang w:bidi="fa-IR"/>
        </w:rPr>
        <w:t>.</w:t>
      </w:r>
    </w:p>
    <w:p>
      <w:pPr>
        <w:pStyle w:val="Heading4"/>
        <w:numPr>
          <w:ilvl w:val="3"/>
          <w:numId w:val="1"/>
        </w:numPr>
        <w:rPr/>
      </w:pPr>
      <w:bookmarkStart w:id="6001" w:name="__RefHeading___Toc2570418_3650668749"/>
      <w:bookmarkStart w:id="6002" w:name="_Toc2718"/>
      <w:bookmarkEnd w:id="6001"/>
      <w:r>
        <w:rPr>
          <w:rtl w:val="true"/>
        </w:rPr>
        <w:t>[ (</w:t>
      </w:r>
      <w:r>
        <w:rPr>
          <w:rtl w:val="true"/>
        </w:rPr>
        <w:t xml:space="preserve">مسألة </w:t>
      </w:r>
      <w:r>
        <w:rPr/>
        <w:t>3</w:t>
      </w:r>
      <w:r>
        <w:rPr>
          <w:rtl w:val="true"/>
        </w:rPr>
        <w:t xml:space="preserve">): </w:t>
      </w:r>
      <w:r>
        <w:rPr>
          <w:rtl w:val="true"/>
        </w:rPr>
        <w:t>لا یصحّ نذر الزوجة مع منع الزوج</w:t>
      </w:r>
      <w:r>
        <w:rPr>
          <w:rtl w:val="true"/>
        </w:rPr>
        <w:t>]</w:t>
      </w:r>
      <w:bookmarkEnd w:id="60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نذر الزوجة مع منع </w:t>
      </w:r>
      <w:r>
        <w:rPr>
          <w:rStyle w:val="FootnoteAnchor"/>
          <w:rtl w:val="true"/>
        </w:rPr>
        <w:footnoteReference w:id="1583"/>
      </w:r>
      <w:r>
        <w:rPr>
          <w:rFonts w:ascii="IRNazanin" w:hAnsi="IRNazanin" w:eastAsia="IRNazanin"/>
          <w:color w:val="111111"/>
          <w:sz w:val="28"/>
          <w:sz w:val="28"/>
          <w:szCs w:val="28"/>
          <w:rtl w:val="true"/>
          <w:lang w:bidi="fa-IR"/>
        </w:rPr>
        <w:t>الزوج، و لو نذرت بدون إذنه کان له حلّه کالیمین و إن کان متعلّقاً بمالها و لم یکن العمل به مانعاً عن الاستمتاع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أذن لها فی النذر فنذرت عن إذنه انعقد و لیس له بعد ذلک حلّه و لا المنع عن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یشترط انعقاد نذر الولد بإذن الوالد، فلا ینعقد بدونه، أو ینعقد و له حلّه، أو لا یشترط </w:t>
      </w:r>
      <w:r>
        <w:rPr>
          <w:rStyle w:val="FootnoteAnchor"/>
          <w:rtl w:val="true"/>
        </w:rPr>
        <w:footnoteReference w:id="1584"/>
      </w:r>
      <w:r>
        <w:rPr>
          <w:rFonts w:ascii="IRNazanin" w:hAnsi="IRNazanin" w:eastAsia="IRNazanin"/>
          <w:color w:val="111111"/>
          <w:sz w:val="28"/>
          <w:sz w:val="28"/>
          <w:szCs w:val="28"/>
          <w:rtl w:val="true"/>
          <w:lang w:bidi="fa-IR"/>
        </w:rPr>
        <w:t>بالإذن و لا له حلّه؟ فیه خلاف و إشکال، و الأحوط أن یکون بإذنه ثمّ بعد ذلک لزم و لیس له حلّه و لا منعه عن الوفاء به</w:t>
      </w:r>
      <w:r>
        <w:rPr>
          <w:rFonts w:eastAsia="IRNazanin" w:cs="IRNazanin"/>
          <w:color w:val="111111"/>
          <w:sz w:val="28"/>
          <w:szCs w:val="28"/>
          <w:rtl w:val="true"/>
          <w:lang w:bidi="fa-IR"/>
        </w:rPr>
        <w:t>.</w:t>
      </w:r>
    </w:p>
    <w:p>
      <w:pPr>
        <w:pStyle w:val="Heading4"/>
        <w:numPr>
          <w:ilvl w:val="3"/>
          <w:numId w:val="1"/>
        </w:numPr>
        <w:rPr/>
      </w:pPr>
      <w:bookmarkStart w:id="6003" w:name="__RefHeading___Toc2570420_3650668749"/>
      <w:bookmarkStart w:id="6004" w:name="_Toc2719"/>
      <w:bookmarkEnd w:id="6003"/>
      <w:r>
        <w:rPr>
          <w:rtl w:val="true"/>
        </w:rPr>
        <w:t>[ (</w:t>
      </w:r>
      <w:r>
        <w:rPr>
          <w:rtl w:val="true"/>
        </w:rPr>
        <w:t xml:space="preserve">مسألة </w:t>
      </w:r>
      <w:r>
        <w:rPr/>
        <w:t>4</w:t>
      </w:r>
      <w:r>
        <w:rPr>
          <w:rtl w:val="true"/>
        </w:rPr>
        <w:t xml:space="preserve">): </w:t>
      </w:r>
      <w:r>
        <w:rPr>
          <w:rtl w:val="true"/>
        </w:rPr>
        <w:t>النذر</w:t>
      </w:r>
      <w:r>
        <w:rPr>
          <w:rtl w:val="true"/>
        </w:rPr>
        <w:t xml:space="preserve">: </w:t>
      </w:r>
      <w:r>
        <w:rPr>
          <w:rtl w:val="true"/>
        </w:rPr>
        <w:t>إمّا نذر برّ، و یقال له نذر المجازاة</w:t>
      </w:r>
      <w:r>
        <w:rPr>
          <w:rtl w:val="true"/>
        </w:rPr>
        <w:t>]</w:t>
      </w:r>
      <w:bookmarkEnd w:id="6004"/>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نذر برّ، و یقال له نذر المجازاة و هو ما علّق علیٰ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شکراً لنعمة دنیویّة، أو أُخرویّة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أو إن وفّقت لزیارة بیت اللّٰه فللّه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إمّا استدفاعاً لبلیّة،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شفی اللّٰه مریضی فللّه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إمّا نذر زجر، و هو ما علّق علیٰ فعل حرام أو مکروه زجراً للنفس عن ارتکابهما، مثل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تعمّدت الکذب أو بلت فی الماء فللّه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علیٰ ترک واجب أو مستحبّ زجراً لها عن ترکهما مثل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ترکت فریضة أو نافلة اللیل فللّه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نذر تبرّع، و هو ما کان مطلقاً و لم یعلّق علیٰ شی‌ء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أصوم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و لا خلاف فی انعقاد الأوّلین، و فی انعقاد الأخیر قولان، أقواهما الانعقاد</w:t>
      </w:r>
      <w:r>
        <w:rPr>
          <w:rFonts w:eastAsia="IRNazanin" w:cs="IRNazanin"/>
          <w:color w:val="111111"/>
          <w:sz w:val="28"/>
          <w:szCs w:val="28"/>
          <w:rtl w:val="true"/>
          <w:lang w:bidi="fa-IR"/>
        </w:rPr>
        <w:t>.</w:t>
      </w:r>
      <w:bookmarkStart w:id="6005" w:name="pg1809_19603"/>
    </w:p>
    <w:p>
      <w:pPr>
        <w:pStyle w:val="Heading4"/>
        <w:numPr>
          <w:ilvl w:val="3"/>
          <w:numId w:val="1"/>
        </w:numPr>
        <w:rPr/>
      </w:pPr>
      <w:bookmarkStart w:id="6006" w:name="__RefHeading___Toc2570422_3650668749"/>
      <w:bookmarkStart w:id="6007" w:name="_Toc2720"/>
      <w:bookmarkEnd w:id="6005"/>
      <w:bookmarkEnd w:id="6006"/>
      <w:r>
        <w:rPr>
          <w:rtl w:val="true"/>
        </w:rPr>
        <w:t>[ (</w:t>
      </w:r>
      <w:r>
        <w:rPr>
          <w:rtl w:val="true"/>
        </w:rPr>
        <w:t xml:space="preserve">مسألة </w:t>
      </w:r>
      <w:r>
        <w:rPr/>
        <w:t>5</w:t>
      </w:r>
      <w:r>
        <w:rPr>
          <w:rtl w:val="true"/>
        </w:rPr>
        <w:t xml:space="preserve">): </w:t>
      </w:r>
      <w:r>
        <w:rPr>
          <w:rtl w:val="true"/>
        </w:rPr>
        <w:t>یشترط فی متعلّق النذر سواء کان معلّقاً و مشروطاً شکراً أو زجراً أو کان تبرّعاً أن یکون مقدوراً للناذر</w:t>
      </w:r>
      <w:r>
        <w:rPr>
          <w:rtl w:val="true"/>
        </w:rPr>
        <w:t>]</w:t>
      </w:r>
      <w:bookmarkEnd w:id="60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متعلّق النذر سواء کان معلّقاً و مشروطاً شکراً أو زجراً أو کان تبرّعاً أن یکون مقدوراً للناذر و أن یکون طاعة للّٰه تعالیٰ صلاةً أو صوماً أو حجّا أو صدقةً أو عتقاً و نحوها ممّا یعتبر فی صحّتها القربة، أو أمراً ندب إلیه الشرع و یصحّ التقرّب به کزیارة المؤمنین و تشییع الجنائز و عیادة المرضیٰ و غیرها، فینعقد فی کلّ واجب أو مندوب، و لو کفائیّاً، کتجهیز الموتی إذا تعلّق بفعله، و فی کلّ حرام أو مکروه إذا تعلّق 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المباح، کما إذا نذر أکل طعام أو ترکه، فإن قصد به معنیً راجحاً کما لو قصد بأکله التقوّی علی العبادة أو بترکه منع النفس عن الشهوة، فلا إشکال فی انعقاده، کما لا إشکال فی عدم الانعقاد فیما إذا صار متعلّق النذر فعلًا أو ترکاً بسبب اقترانه ببعض العوارض مرجوحاً و لو دنیویّاً، و أمّا إذا لم یقصد به معنیً راجحاً و لم یطرأ علیه ما یوجب رجحانه أو مرجوحیّته، فالظاهر </w:t>
      </w:r>
      <w:r>
        <w:rPr>
          <w:rStyle w:val="FootnoteAnchor"/>
          <w:rtl w:val="true"/>
        </w:rPr>
        <w:footnoteReference w:id="1585"/>
      </w:r>
      <w:r>
        <w:rPr>
          <w:rFonts w:ascii="IRNazanin" w:hAnsi="IRNazanin" w:eastAsia="IRNazanin"/>
          <w:color w:val="111111"/>
          <w:sz w:val="28"/>
          <w:sz w:val="28"/>
          <w:szCs w:val="28"/>
          <w:rtl w:val="true"/>
          <w:lang w:bidi="fa-IR"/>
        </w:rPr>
        <w:t>عدم انعقاد النذر به</w:t>
      </w:r>
      <w:r>
        <w:rPr>
          <w:rFonts w:eastAsia="IRNazanin" w:cs="IRNazanin"/>
          <w:color w:val="111111"/>
          <w:sz w:val="28"/>
          <w:szCs w:val="28"/>
          <w:rtl w:val="true"/>
          <w:lang w:bidi="fa-IR"/>
        </w:rPr>
        <w:t>.</w:t>
      </w:r>
    </w:p>
    <w:p>
      <w:pPr>
        <w:pStyle w:val="Heading4"/>
        <w:numPr>
          <w:ilvl w:val="3"/>
          <w:numId w:val="1"/>
        </w:numPr>
        <w:rPr/>
      </w:pPr>
      <w:bookmarkStart w:id="6008" w:name="__RefHeading___Toc2570424_3650668749"/>
      <w:bookmarkStart w:id="6009" w:name="_Toc2721"/>
      <w:bookmarkEnd w:id="6008"/>
      <w:r>
        <w:rPr>
          <w:rtl w:val="true"/>
        </w:rPr>
        <w:t>[ (</w:t>
      </w:r>
      <w:r>
        <w:rPr>
          <w:rtl w:val="true"/>
        </w:rPr>
        <w:t xml:space="preserve">مسألة </w:t>
      </w:r>
      <w:r>
        <w:rPr/>
        <w:t>6</w:t>
      </w:r>
      <w:r>
        <w:rPr>
          <w:rtl w:val="true"/>
        </w:rPr>
        <w:t xml:space="preserve">): </w:t>
      </w:r>
      <w:r>
        <w:rPr>
          <w:rtl w:val="true"/>
        </w:rPr>
        <w:t>قد عرفت أنّ النذر</w:t>
      </w:r>
      <w:r>
        <w:rPr>
          <w:rtl w:val="true"/>
        </w:rPr>
        <w:t xml:space="preserve">: </w:t>
      </w:r>
      <w:r>
        <w:rPr>
          <w:rtl w:val="true"/>
        </w:rPr>
        <w:t>إمّا معلّق علیٰ أمر أو غیر معلّق</w:t>
      </w:r>
      <w:r>
        <w:rPr>
          <w:rtl w:val="true"/>
        </w:rPr>
        <w:t>]</w:t>
      </w:r>
      <w:bookmarkEnd w:id="6009"/>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معلّق علیٰ أمر أو غیر معلّق، و الأوّل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شکر و نذر زجر، فلیعلم أنّ المعلّق علیه فی نذر الشکر إمّا من فعل الناذر أو من فعل غیره أو من فعل اللّٰه تعالیٰ، و لا بدّ فی الجمیع من أن یکون أمراً صالحاً لأن یشکر علیه حتّی یقع المنذور مجازاة له، فإن کان من فعل الناذر فلا بدّ أن یکون طاعة للّٰه تعالیٰ؛ من فعل واجب أو مندوب أو ترک حرام أو مکروه، فیلتزم بالمنذور شکراً له تعالیٰ؛ حیث إنّه وفّقه علیها مثل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حججت فی هذه السنة أو زرت زیارة عرفة أو إن ترکت الکبائر أو المکروه الفلانی فی شهر رمضان فللّه علیّ أن أصوم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علّق النذر شکراً علیٰ ترک واجب أو مندوب أو فعل حرام أو مکروه لم ینعقد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فعل غیره، فلا بدّ أن یکون ممّا فیه منفعة دینیّة، أو دنیویّة للناذر صالحة لأن یشکر علیها شرعاً أو عرفاً، مثل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أقبل الناس علی الطاعات فللّه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قدم مسافری أو لم یقدم عدوّی الذی یؤذینی فللّه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علیٰ عکس ذلک مثل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تجاهر الناس علی المعاصی أو شاع بینهم المنکرات فللّه علیّ صوم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لم ینعقد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فعله تعالیٰ لزم أن یکون أمراً یسوغ تمنّیه و یحسن طلبه منه تعالیٰ کشفاء مریض</w:t>
      </w:r>
      <w:bookmarkStart w:id="6010" w:name="pg1809_19604"/>
    </w:p>
    <w:p>
      <w:pPr>
        <w:pStyle w:val="BookText"/>
        <w:rPr/>
      </w:pPr>
      <w:bookmarkEnd w:id="6010"/>
      <w:r>
        <w:rPr>
          <w:rFonts w:ascii="IRNazanin" w:hAnsi="IRNazanin" w:eastAsia="IRNazanin"/>
          <w:color w:val="111111"/>
          <w:sz w:val="28"/>
          <w:sz w:val="28"/>
          <w:szCs w:val="28"/>
          <w:rtl w:val="true"/>
          <w:lang w:bidi="fa-IR"/>
        </w:rPr>
        <w:t>أو إهلاک عدوّ دینی أو أمن فی البلاد أو سعة علی العباد و نحو ذلک، فلا ینعقد إن کان علیٰ عکس ذلک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أهلک اللّٰه هذا المؤمن الصالح أو إن شفی اللّٰه هذا الکافر الطالح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وقع القحط فی البلاد أو شمل الخوف علی العباد فللّه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نذر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نذر الزجر، فلا بدّ أن یکون الشرط و المعلّق علیه فعلًا أو ترکاً اختیاریّاً للناذر و کان صالحاً لأن یزجر عنه حتّی یقع النذر زاجراً عنه کفعل حرام أو مکروه، مثل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تعمّدت الکذب أو تعمّدت الضحک فی المقابر مثلًا فللّه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ترک واجب أو مندوب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ترکت الصلاة أو نافلة اللیل فللّه علیّ کذا</w:t>
      </w:r>
      <w:r>
        <w:rPr>
          <w:rFonts w:eastAsia="IRNazanin" w:cs="IRNazanin"/>
          <w:color w:val="111111"/>
          <w:sz w:val="28"/>
          <w:szCs w:val="28"/>
          <w:rtl w:val="true"/>
          <w:lang w:bidi="fa-IR"/>
        </w:rPr>
        <w:t>».</w:t>
      </w:r>
    </w:p>
    <w:p>
      <w:pPr>
        <w:pStyle w:val="Heading4"/>
        <w:numPr>
          <w:ilvl w:val="3"/>
          <w:numId w:val="1"/>
        </w:numPr>
        <w:rPr/>
      </w:pPr>
      <w:bookmarkStart w:id="6011" w:name="__RefHeading___Toc2570426_3650668749"/>
      <w:bookmarkStart w:id="6012" w:name="_Toc2722"/>
      <w:bookmarkEnd w:id="6011"/>
      <w:r>
        <w:rPr>
          <w:rtl w:val="true"/>
        </w:rPr>
        <w:t>[ (</w:t>
      </w:r>
      <w:r>
        <w:rPr>
          <w:rtl w:val="true"/>
        </w:rPr>
        <w:t xml:space="preserve">مسألة </w:t>
      </w:r>
      <w:r>
        <w:rPr/>
        <w:t>7</w:t>
      </w:r>
      <w:r>
        <w:rPr>
          <w:rtl w:val="true"/>
        </w:rPr>
        <w:t xml:space="preserve">): </w:t>
      </w:r>
      <w:r>
        <w:rPr>
          <w:rtl w:val="true"/>
        </w:rPr>
        <w:t>إذا کان الشرط فعلًا اختیاریّاً للناذر، فالنذر المعلّق علیه قابل لأن یکون نذر شکر</w:t>
      </w:r>
      <w:r>
        <w:rPr>
          <w:rtl w:val="true"/>
        </w:rPr>
        <w:t>]</w:t>
      </w:r>
      <w:bookmarkEnd w:id="60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الشرط فعلًا اختیاریّاً للناذر، فالنذر المعلّق علیه قابل لأن یکون نذر شکر و أن یکون نذر زجر، و المائز هو القصد، مثلًا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شربت الخمر فللّه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مقام زجر النفس و صرفها عن الشرب و إنّما أوجب علیٰ نفسه شیئاً علیٰ تقدیر شربه لیکون زاجراً عنه فهو نذر زجر فینعقد، و إن کان فی مقام تنشیط النفس و ترغیبها و قد جعل المنذور جزاءً لصدوره منه و تهیّؤ أسبابه له کان نذر شکر فلا ینعقد</w:t>
      </w:r>
      <w:r>
        <w:rPr>
          <w:rFonts w:eastAsia="IRNazanin" w:cs="IRNazanin"/>
          <w:color w:val="111111"/>
          <w:sz w:val="28"/>
          <w:szCs w:val="28"/>
          <w:rtl w:val="true"/>
          <w:lang w:bidi="fa-IR"/>
        </w:rPr>
        <w:t>.</w:t>
      </w:r>
    </w:p>
    <w:p>
      <w:pPr>
        <w:pStyle w:val="Heading4"/>
        <w:numPr>
          <w:ilvl w:val="3"/>
          <w:numId w:val="1"/>
        </w:numPr>
        <w:rPr/>
      </w:pPr>
      <w:bookmarkStart w:id="6013" w:name="__RefHeading___Toc2570428_3650668749"/>
      <w:bookmarkStart w:id="6014" w:name="_Toc2723"/>
      <w:bookmarkEnd w:id="6013"/>
      <w:r>
        <w:rPr>
          <w:rtl w:val="true"/>
        </w:rPr>
        <w:t>[ (</w:t>
      </w:r>
      <w:r>
        <w:rPr>
          <w:rtl w:val="true"/>
        </w:rPr>
        <w:t xml:space="preserve">مسألة </w:t>
      </w:r>
      <w:r>
        <w:rPr/>
        <w:t>8</w:t>
      </w:r>
      <w:r>
        <w:rPr>
          <w:rtl w:val="true"/>
        </w:rPr>
        <w:t xml:space="preserve">): </w:t>
      </w:r>
      <w:r>
        <w:rPr>
          <w:rtl w:val="true"/>
        </w:rPr>
        <w:t>لو نذر الصلاة أو الصوم أو الصدقة فی زمان معیّن تعیّن</w:t>
      </w:r>
      <w:r>
        <w:rPr>
          <w:rtl w:val="true"/>
        </w:rPr>
        <w:t>]</w:t>
      </w:r>
      <w:bookmarkEnd w:id="60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الصلاة أو الصوم أو الصدقة فی زمان معیّن تعیّن، فلو أتی بها فی زمان آخر مقدّم أو مؤخّر لم یجز، و کذا لو نذرها فی مکان فیه رجحان، فلا یجزی فی غیره و إن کان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نذرها فی مکان لیس فیه رجحان ففی انعقاده و تعیّنه وجهان بل قولان، أقواهما الانعقاد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نذر إیقاع بعض فرائضه أو بعض نوافله الراتبة کصلاة اللیل أو صوم شهر رمضان مثلًا فی مکان أو بلد لا رجحان فیه؛ بحیث لم یتعلّق النذر بأصل الصلاة و الصیام بل تعلّق بإیقاعهما فی المکان الخاصّ فالظاهر عدم انعقاد النذر؛ لعدم الرجحان فی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یطرأ علیه عنوان راجح مثل کونه أفرغ للعبادة أو أبعد عن الریاء و نحو ذلک، و إلّا فلا إشکال فی الانعقاد</w:t>
      </w:r>
      <w:r>
        <w:rPr>
          <w:rFonts w:eastAsia="IRNazanin" w:cs="IRNazanin"/>
          <w:color w:val="111111"/>
          <w:sz w:val="28"/>
          <w:szCs w:val="28"/>
          <w:rtl w:val="true"/>
          <w:lang w:bidi="fa-IR"/>
        </w:rPr>
        <w:t>.</w:t>
      </w:r>
    </w:p>
    <w:p>
      <w:pPr>
        <w:pStyle w:val="Heading4"/>
        <w:numPr>
          <w:ilvl w:val="3"/>
          <w:numId w:val="1"/>
        </w:numPr>
        <w:rPr/>
      </w:pPr>
      <w:bookmarkStart w:id="6015" w:name="__RefHeading___Toc2570430_3650668749"/>
      <w:bookmarkStart w:id="6016" w:name="_Toc2724"/>
      <w:bookmarkEnd w:id="6015"/>
      <w:r>
        <w:rPr>
          <w:rtl w:val="true"/>
        </w:rPr>
        <w:t>[ (</w:t>
      </w:r>
      <w:r>
        <w:rPr>
          <w:rtl w:val="true"/>
        </w:rPr>
        <w:t xml:space="preserve">مسألة </w:t>
      </w:r>
      <w:r>
        <w:rPr/>
        <w:t>9</w:t>
      </w:r>
      <w:r>
        <w:rPr>
          <w:rtl w:val="true"/>
        </w:rPr>
        <w:t xml:space="preserve">): </w:t>
      </w:r>
      <w:r>
        <w:rPr>
          <w:rtl w:val="true"/>
        </w:rPr>
        <w:t>لو نذر صوماً و لم یعیّن العدد کفیٰ صوم یوم</w:t>
      </w:r>
      <w:r>
        <w:rPr>
          <w:rtl w:val="true"/>
        </w:rPr>
        <w:t>]</w:t>
      </w:r>
      <w:bookmarkEnd w:id="6016"/>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صوماً و لم یعیّن العدد کفیٰ صوم یوم، و لو نذر صلاة و لم یعیّن الکیفیّة و الکمّیّة یجزی رکعتان و لا یجزی </w:t>
      </w:r>
      <w:r>
        <w:rPr>
          <w:rStyle w:val="FootnoteAnchor"/>
          <w:rtl w:val="true"/>
        </w:rPr>
        <w:footnoteReference w:id="1586"/>
      </w:r>
      <w:r>
        <w:rPr>
          <w:rFonts w:ascii="IRNazanin" w:hAnsi="IRNazanin" w:eastAsia="IRNazanin"/>
          <w:color w:val="111111"/>
          <w:sz w:val="28"/>
          <w:sz w:val="28"/>
          <w:szCs w:val="28"/>
          <w:rtl w:val="true"/>
          <w:lang w:bidi="fa-IR"/>
        </w:rPr>
        <w:t>رکعة علی الأقویٰ، و لو نذر صدقة و لم یعیّن جنسها و مقدارها کفیٰ أقلّ ما یتناوله الاسم، و لو نذر أن یفعل قربة أتی بعمل قربی و یکفی</w:t>
      </w:r>
      <w:bookmarkStart w:id="6017" w:name="pg1809_19605"/>
    </w:p>
    <w:p>
      <w:pPr>
        <w:pStyle w:val="BookText"/>
        <w:rPr/>
      </w:pPr>
      <w:bookmarkEnd w:id="6017"/>
      <w:r>
        <w:rPr>
          <w:rFonts w:ascii="IRNazanin" w:hAnsi="IRNazanin" w:eastAsia="IRNazanin"/>
          <w:color w:val="111111"/>
          <w:sz w:val="28"/>
          <w:sz w:val="28"/>
          <w:szCs w:val="28"/>
          <w:rtl w:val="true"/>
          <w:lang w:bidi="fa-IR"/>
        </w:rPr>
        <w:t>صیام یوم أو التصدّق بشی‌ء أو صلاة و لو مفردة الوتر و غیر ذلک</w:t>
      </w:r>
      <w:r>
        <w:rPr>
          <w:rFonts w:eastAsia="IRNazanin" w:cs="IRNazanin"/>
          <w:color w:val="111111"/>
          <w:sz w:val="28"/>
          <w:szCs w:val="28"/>
          <w:rtl w:val="true"/>
          <w:lang w:bidi="fa-IR"/>
        </w:rPr>
        <w:t>.</w:t>
      </w:r>
    </w:p>
    <w:p>
      <w:pPr>
        <w:pStyle w:val="Heading4"/>
        <w:numPr>
          <w:ilvl w:val="3"/>
          <w:numId w:val="1"/>
        </w:numPr>
        <w:rPr/>
      </w:pPr>
      <w:bookmarkStart w:id="6018" w:name="__RefHeading___Toc2570432_3650668749"/>
      <w:bookmarkStart w:id="6019" w:name="_Toc2725"/>
      <w:bookmarkEnd w:id="6018"/>
      <w:r>
        <w:rPr>
          <w:rtl w:val="true"/>
        </w:rPr>
        <w:t>[ (</w:t>
      </w:r>
      <w:r>
        <w:rPr>
          <w:rtl w:val="true"/>
        </w:rPr>
        <w:t xml:space="preserve">مسألة </w:t>
      </w:r>
      <w:r>
        <w:rPr/>
        <w:t>10</w:t>
      </w:r>
      <w:r>
        <w:rPr>
          <w:rtl w:val="true"/>
        </w:rPr>
        <w:t xml:space="preserve">): </w:t>
      </w:r>
      <w:r>
        <w:rPr>
          <w:rtl w:val="true"/>
        </w:rPr>
        <w:t>لو نذر صوم عشرة أیّام مثلًا فإن قیّد بالتتابع أو التفریق تعیّن</w:t>
      </w:r>
      <w:r>
        <w:rPr>
          <w:rtl w:val="true"/>
        </w:rPr>
        <w:t>]</w:t>
      </w:r>
      <w:bookmarkEnd w:id="60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صوم عشرة أیّام مثلًا فإن قیّد بالتتابع أو التفریق تعیّن و إلّا تخیّر بینهما، و کذا لو نذر صیام سنة فإنّ الظاهر أنّه مع الإطلاق یکفی صوم اثنی عشر شهراً، و لو متفرّقاً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نذر صوم شهر لم یبعد </w:t>
      </w:r>
      <w:r>
        <w:rPr>
          <w:rStyle w:val="FootnoteAnchor"/>
          <w:rtl w:val="true"/>
        </w:rPr>
        <w:footnoteReference w:id="1587"/>
      </w:r>
      <w:r>
        <w:rPr>
          <w:rFonts w:ascii="IRNazanin" w:hAnsi="IRNazanin" w:eastAsia="IRNazanin"/>
          <w:color w:val="111111"/>
          <w:sz w:val="28"/>
          <w:sz w:val="28"/>
          <w:szCs w:val="28"/>
          <w:rtl w:val="true"/>
          <w:lang w:bidi="fa-IR"/>
        </w:rPr>
        <w:t>ظهوره فی التتابع و یکفی ما بین الهلالین من شهر و لو ناقصاً، و له أن یشرع فیه فی أثناء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فهل یجب إکمال ثلاثین أو یکفی التلفیق بأن یکمل من الشهر التالی مقدار ما مضی من الشهر الأوّل؟ أظهرهما الثانی و أحوطهما الأوّل</w:t>
      </w:r>
      <w:r>
        <w:rPr>
          <w:rFonts w:eastAsia="IRNazanin" w:cs="IRNazanin"/>
          <w:color w:val="111111"/>
          <w:sz w:val="28"/>
          <w:szCs w:val="28"/>
          <w:rtl w:val="true"/>
          <w:lang w:bidi="fa-IR"/>
        </w:rPr>
        <w:t>.</w:t>
      </w:r>
    </w:p>
    <w:p>
      <w:pPr>
        <w:pStyle w:val="Heading4"/>
        <w:numPr>
          <w:ilvl w:val="3"/>
          <w:numId w:val="1"/>
        </w:numPr>
        <w:rPr/>
      </w:pPr>
      <w:bookmarkStart w:id="6020" w:name="__RefHeading___Toc2570434_3650668749"/>
      <w:bookmarkStart w:id="6021" w:name="_Toc2726"/>
      <w:bookmarkEnd w:id="6020"/>
      <w:r>
        <w:rPr>
          <w:rtl w:val="true"/>
        </w:rPr>
        <w:t>[ (</w:t>
      </w:r>
      <w:r>
        <w:rPr>
          <w:rtl w:val="true"/>
        </w:rPr>
        <w:t xml:space="preserve">مسألة </w:t>
      </w:r>
      <w:r>
        <w:rPr/>
        <w:t>11</w:t>
      </w:r>
      <w:r>
        <w:rPr>
          <w:rtl w:val="true"/>
        </w:rPr>
        <w:t xml:space="preserve">): </w:t>
      </w:r>
      <w:r>
        <w:rPr>
          <w:rtl w:val="true"/>
        </w:rPr>
        <w:t>إذا نذر صیام سنة معیّنة استثنی منها العیدان</w:t>
      </w:r>
      <w:r>
        <w:rPr>
          <w:rtl w:val="true"/>
        </w:rPr>
        <w:t>]</w:t>
      </w:r>
      <w:bookmarkEnd w:id="60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صیام سنة معیّنة استثنی منها العیدان، فیفطر فیهما و لا قضاء علیه، و کذا یفطر فی الأیّام التی عرض فیها ما لا یجوز معه الصیام من مرض أو حیض أو نفاس أو سفر، لکن یجب القضاء علی الأقویٰ</w:t>
      </w:r>
      <w:r>
        <w:rPr>
          <w:rFonts w:eastAsia="IRNazanin" w:cs="IRNazanin"/>
          <w:color w:val="111111"/>
          <w:sz w:val="28"/>
          <w:szCs w:val="28"/>
          <w:rtl w:val="true"/>
          <w:lang w:bidi="fa-IR"/>
        </w:rPr>
        <w:t>.</w:t>
      </w:r>
    </w:p>
    <w:p>
      <w:pPr>
        <w:pStyle w:val="Heading4"/>
        <w:numPr>
          <w:ilvl w:val="3"/>
          <w:numId w:val="1"/>
        </w:numPr>
        <w:rPr/>
      </w:pPr>
      <w:bookmarkStart w:id="6022" w:name="__RefHeading___Toc2570436_3650668749"/>
      <w:bookmarkStart w:id="6023" w:name="_Toc2727"/>
      <w:bookmarkEnd w:id="6022"/>
      <w:r>
        <w:rPr>
          <w:rtl w:val="true"/>
        </w:rPr>
        <w:t>[ (</w:t>
      </w:r>
      <w:r>
        <w:rPr>
          <w:rtl w:val="true"/>
        </w:rPr>
        <w:t xml:space="preserve">مسألة </w:t>
      </w:r>
      <w:r>
        <w:rPr/>
        <w:t>12</w:t>
      </w:r>
      <w:r>
        <w:rPr>
          <w:rtl w:val="true"/>
        </w:rPr>
        <w:t xml:space="preserve">): </w:t>
      </w:r>
      <w:r>
        <w:rPr>
          <w:rtl w:val="true"/>
        </w:rPr>
        <w:t>لو نذر صوم کلّ خمیس مثلًا فصادف بعضها أحد العیدین أو أحد العوارض المبیح للإفطار</w:t>
      </w:r>
      <w:r>
        <w:rPr>
          <w:rtl w:val="true"/>
        </w:rPr>
        <w:t>]</w:t>
      </w:r>
      <w:bookmarkEnd w:id="60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صوم کلّ خمیس مثلًا فصادف بعضها أحد العیدین أو أحد العوارض المبیح للإفطار؛ من مرض أو حیض أو نفاس أو سفر، أفطر و یجب علیه القضاء حتّی فی الأوّل علی الأقویٰ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24" w:name="__RefHeading___Toc2570438_3650668749"/>
      <w:bookmarkStart w:id="6025" w:name="_Toc2728"/>
      <w:bookmarkEnd w:id="6024"/>
      <w:r>
        <w:rPr>
          <w:rtl w:val="true"/>
        </w:rPr>
        <w:t>[ (</w:t>
      </w:r>
      <w:r>
        <w:rPr>
          <w:rtl w:val="true"/>
        </w:rPr>
        <w:t xml:space="preserve">مسألة </w:t>
      </w:r>
      <w:r>
        <w:rPr/>
        <w:t>13</w:t>
      </w:r>
      <w:r>
        <w:rPr>
          <w:rtl w:val="true"/>
        </w:rPr>
        <w:t xml:space="preserve">): </w:t>
      </w:r>
      <w:r>
        <w:rPr>
          <w:rtl w:val="true"/>
        </w:rPr>
        <w:t>لو نذر صوم یوم معیّن فأفطر عمداً یجب قضاؤه مع الکفّارة</w:t>
      </w:r>
      <w:r>
        <w:rPr>
          <w:rtl w:val="true"/>
        </w:rPr>
        <w:t>]</w:t>
      </w:r>
      <w:bookmarkEnd w:id="60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صوم یوم معیّن فأفطر عمداً یجب قضاؤه مع الکفّارة</w:t>
      </w:r>
      <w:r>
        <w:rPr>
          <w:rFonts w:eastAsia="IRNazanin" w:cs="IRNazanin"/>
          <w:color w:val="111111"/>
          <w:sz w:val="28"/>
          <w:szCs w:val="28"/>
          <w:rtl w:val="true"/>
          <w:lang w:bidi="fa-IR"/>
        </w:rPr>
        <w:t>.</w:t>
      </w:r>
    </w:p>
    <w:p>
      <w:pPr>
        <w:pStyle w:val="Heading4"/>
        <w:numPr>
          <w:ilvl w:val="3"/>
          <w:numId w:val="1"/>
        </w:numPr>
        <w:rPr/>
      </w:pPr>
      <w:bookmarkStart w:id="6026" w:name="__RefHeading___Toc2570440_3650668749"/>
      <w:bookmarkStart w:id="6027" w:name="_Toc2729"/>
      <w:bookmarkEnd w:id="6026"/>
      <w:r>
        <w:rPr>
          <w:rtl w:val="true"/>
        </w:rPr>
        <w:t>[ (</w:t>
      </w:r>
      <w:r>
        <w:rPr>
          <w:rtl w:val="true"/>
        </w:rPr>
        <w:t xml:space="preserve">مسألة </w:t>
      </w:r>
      <w:r>
        <w:rPr/>
        <w:t>14</w:t>
      </w:r>
      <w:r>
        <w:rPr>
          <w:rtl w:val="true"/>
        </w:rPr>
        <w:t xml:space="preserve">): </w:t>
      </w:r>
      <w:r>
        <w:rPr>
          <w:rtl w:val="true"/>
        </w:rPr>
        <w:t>إذا نذر صوم یوم معیّن جاز له السفر و إن کان غیر ضروریّ و یفطر</w:t>
      </w:r>
      <w:r>
        <w:rPr>
          <w:rtl w:val="true"/>
        </w:rPr>
        <w:t>]</w:t>
      </w:r>
      <w:bookmarkEnd w:id="60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صوم یوم معیّن جاز له السفر و إن کان غیر ضروریّ و یفطر، ثمّ یقضیه و لا کفّارة علیه</w:t>
      </w:r>
      <w:r>
        <w:rPr>
          <w:rFonts w:eastAsia="IRNazanin" w:cs="IRNazanin"/>
          <w:color w:val="111111"/>
          <w:sz w:val="28"/>
          <w:szCs w:val="28"/>
          <w:rtl w:val="true"/>
          <w:lang w:bidi="fa-IR"/>
        </w:rPr>
        <w:t>.</w:t>
      </w:r>
    </w:p>
    <w:p>
      <w:pPr>
        <w:pStyle w:val="Heading4"/>
        <w:numPr>
          <w:ilvl w:val="3"/>
          <w:numId w:val="1"/>
        </w:numPr>
        <w:rPr/>
      </w:pPr>
      <w:bookmarkStart w:id="6028" w:name="__RefHeading___Toc2570442_3650668749"/>
      <w:bookmarkStart w:id="6029" w:name="_Toc2730"/>
      <w:bookmarkEnd w:id="6028"/>
      <w:r>
        <w:rPr>
          <w:rtl w:val="true"/>
        </w:rPr>
        <w:t>[ (</w:t>
      </w:r>
      <w:r>
        <w:rPr>
          <w:rtl w:val="true"/>
        </w:rPr>
        <w:t xml:space="preserve">مسألة </w:t>
      </w:r>
      <w:r>
        <w:rPr/>
        <w:t>15</w:t>
      </w:r>
      <w:r>
        <w:rPr>
          <w:rtl w:val="true"/>
        </w:rPr>
        <w:t xml:space="preserve">): </w:t>
      </w:r>
      <w:r>
        <w:rPr>
          <w:rtl w:val="true"/>
        </w:rPr>
        <w:t xml:space="preserve">لو نذر زیارة أحد من الأئمّة </w:t>
      </w:r>
      <w:r>
        <w:rPr>
          <w:rtl w:val="true"/>
        </w:rPr>
        <w:t>(</w:t>
      </w:r>
      <w:r>
        <w:rPr>
          <w:rtl w:val="true"/>
        </w:rPr>
        <w:t>علیهم السّلام</w:t>
      </w:r>
      <w:r>
        <w:rPr>
          <w:rtl w:val="true"/>
        </w:rPr>
        <w:t>)</w:t>
      </w:r>
      <w:r>
        <w:rPr>
          <w:rtl w:val="true"/>
        </w:rPr>
        <w:t>، أو بعض الصالحین لزم</w:t>
      </w:r>
      <w:r>
        <w:rPr>
          <w:rtl w:val="true"/>
        </w:rPr>
        <w:t>]</w:t>
      </w:r>
      <w:bookmarkEnd w:id="6029"/>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زیارة أحد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بعض الصالحین لزم، و یکفی الحضور و السلام علی المزور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عدم وجوب غسل الزیارة و صلاتها مع الإطلاق و عدم ذکرهما فی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عیّن إماماً لم یجز غیره و إن کان زیارته أفضل، کما أنّه إن عجز عن زیارة من عیّنه لم یجب زیارة غیره بدلًا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عیّن للزیارة زماناً تعیّن، فلو ترکها فی وقتها عامداً حنث و یجب الکفّارة، و هل یجب معها القضاء؟ فیه تردّد </w:t>
      </w:r>
      <w:r>
        <w:rPr>
          <w:rStyle w:val="FootnoteAnchor"/>
          <w:rtl w:val="true"/>
        </w:rPr>
        <w:footnoteReference w:id="1589"/>
      </w:r>
      <w:r>
        <w:rPr>
          <w:rFonts w:ascii="IRNazanin" w:hAnsi="IRNazanin" w:eastAsia="IRNazanin"/>
          <w:color w:val="111111"/>
          <w:sz w:val="28"/>
          <w:sz w:val="28"/>
          <w:szCs w:val="28"/>
          <w:rtl w:val="true"/>
          <w:lang w:bidi="fa-IR"/>
        </w:rPr>
        <w:t>و إشکال</w:t>
      </w:r>
      <w:r>
        <w:rPr>
          <w:rFonts w:eastAsia="IRNazanin" w:cs="IRNazanin"/>
          <w:color w:val="111111"/>
          <w:sz w:val="28"/>
          <w:szCs w:val="28"/>
          <w:rtl w:val="true"/>
          <w:lang w:bidi="fa-IR"/>
        </w:rPr>
        <w:t>.</w:t>
      </w:r>
      <w:bookmarkStart w:id="6030" w:name="pg1809_19607"/>
    </w:p>
    <w:p>
      <w:pPr>
        <w:pStyle w:val="Heading4"/>
        <w:numPr>
          <w:ilvl w:val="3"/>
          <w:numId w:val="1"/>
        </w:numPr>
        <w:rPr/>
      </w:pPr>
      <w:bookmarkStart w:id="6031" w:name="__RefHeading___Toc2570444_3650668749"/>
      <w:bookmarkStart w:id="6032" w:name="_Toc2731"/>
      <w:bookmarkEnd w:id="6030"/>
      <w:bookmarkEnd w:id="6031"/>
      <w:r>
        <w:rPr>
          <w:rtl w:val="true"/>
        </w:rPr>
        <w:t>[ (</w:t>
      </w:r>
      <w:r>
        <w:rPr>
          <w:rtl w:val="true"/>
        </w:rPr>
        <w:t xml:space="preserve">مسألة </w:t>
      </w:r>
      <w:r>
        <w:rPr/>
        <w:t>16</w:t>
      </w:r>
      <w:r>
        <w:rPr>
          <w:rtl w:val="true"/>
        </w:rPr>
        <w:t xml:space="preserve">): </w:t>
      </w:r>
      <w:r>
        <w:rPr>
          <w:rtl w:val="true"/>
        </w:rPr>
        <w:t xml:space="preserve">لو نذر أن یحجّ أو یزور الحسین </w:t>
      </w:r>
      <w:r>
        <w:rPr>
          <w:rtl w:val="true"/>
        </w:rPr>
        <w:t>(</w:t>
      </w:r>
      <w:r>
        <w:rPr>
          <w:rtl w:val="true"/>
        </w:rPr>
        <w:t>علیه السّلام</w:t>
      </w:r>
      <w:r>
        <w:rPr>
          <w:rtl w:val="true"/>
        </w:rPr>
        <w:t xml:space="preserve">) </w:t>
      </w:r>
      <w:r>
        <w:rPr>
          <w:rtl w:val="true"/>
        </w:rPr>
        <w:t>ماشیاً انعقد مع القدرة و عدم الضرر</w:t>
      </w:r>
      <w:r>
        <w:rPr>
          <w:rtl w:val="true"/>
        </w:rPr>
        <w:t>]</w:t>
      </w:r>
      <w:bookmarkEnd w:id="60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أن یحجّ أو یزور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ماشیاً انعقد مع القدرة و عدم الضرر، فلو حجّ أو زار راکباً مع القدرة علی المشی، فإن کان النذر مطلقاً و لم یعیّن الوقت أعاده ماشیاً، و إن عیّن وقتاً و فات الوقت حنث بلا إشکال و لزم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یجب مع ذلک القضاء ماشیاً؟ فیه تردّد </w:t>
      </w:r>
      <w:r>
        <w:rPr>
          <w:rStyle w:val="FootnoteAnchor"/>
          <w:rtl w:val="true"/>
        </w:rPr>
        <w:footnoteReference w:id="1590"/>
      </w:r>
      <w:r>
        <w:rPr>
          <w:rFonts w:ascii="IRNazanin" w:hAnsi="IRNazanin" w:eastAsia="IRNazanin"/>
          <w:color w:val="111111"/>
          <w:sz w:val="28"/>
          <w:sz w:val="28"/>
          <w:szCs w:val="28"/>
          <w:rtl w:val="true"/>
          <w:lang w:bidi="fa-IR"/>
        </w:rPr>
        <w:t>، و الأحوط القضاء، و کذلک الحال لو رکب فی بعض الطریق و مشیٰ فی البعض</w:t>
      </w:r>
      <w:r>
        <w:rPr>
          <w:rFonts w:eastAsia="IRNazanin" w:cs="IRNazanin"/>
          <w:color w:val="111111"/>
          <w:sz w:val="28"/>
          <w:szCs w:val="28"/>
          <w:rtl w:val="true"/>
          <w:lang w:bidi="fa-IR"/>
        </w:rPr>
        <w:t>.</w:t>
      </w:r>
    </w:p>
    <w:p>
      <w:pPr>
        <w:pStyle w:val="Heading4"/>
        <w:numPr>
          <w:ilvl w:val="3"/>
          <w:numId w:val="1"/>
        </w:numPr>
        <w:rPr/>
      </w:pPr>
      <w:bookmarkStart w:id="6033" w:name="__RefHeading___Toc2570446_3650668749"/>
      <w:bookmarkStart w:id="6034" w:name="_Toc2732"/>
      <w:bookmarkEnd w:id="6033"/>
      <w:r>
        <w:rPr>
          <w:rtl w:val="true"/>
        </w:rPr>
        <w:t>[ (</w:t>
      </w:r>
      <w:r>
        <w:rPr>
          <w:rtl w:val="true"/>
        </w:rPr>
        <w:t xml:space="preserve">مسألة </w:t>
      </w:r>
      <w:r>
        <w:rPr/>
        <w:t>17</w:t>
      </w:r>
      <w:r>
        <w:rPr>
          <w:rtl w:val="true"/>
        </w:rPr>
        <w:t xml:space="preserve">): </w:t>
      </w:r>
      <w:r>
        <w:rPr>
          <w:rtl w:val="true"/>
        </w:rPr>
        <w:t>لیس لمن نذر الحجّ أو الزیارة ماشیاً أن یرکب البحر</w:t>
      </w:r>
      <w:r>
        <w:rPr>
          <w:rtl w:val="true"/>
        </w:rPr>
        <w:t>]</w:t>
      </w:r>
      <w:bookmarkEnd w:id="60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لمن نذر الحجّ أو الزیارة ماشیاً أن یرکب البحر، أو یسلک طریقاً یحتاج إلیٰ رکوب السفینة و نحوها و لو لأجل العبور من الشطّ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انحصر الطریق فی البحر، فإن کان کذلک من أوّل الأمر لم ینعقد النذر، و إن طرأ ذلک بعد النذر، فإن کان النذر مطلقاً و توقّع المکنة من طریق البرّ و المشی منه فیما بعد انتظر، و إن کان معیّناً و طرأ ذلک فی الوقت أو مطلقاً و یئس من المکنة بالمرّة سقط عنه و لا شی‌ء علیه</w:t>
      </w:r>
      <w:r>
        <w:rPr>
          <w:rFonts w:eastAsia="IRNazanin" w:cs="IRNazanin"/>
          <w:color w:val="111111"/>
          <w:sz w:val="28"/>
          <w:szCs w:val="28"/>
          <w:rtl w:val="true"/>
          <w:lang w:bidi="fa-IR"/>
        </w:rPr>
        <w:t>.</w:t>
      </w:r>
    </w:p>
    <w:p>
      <w:pPr>
        <w:pStyle w:val="Heading4"/>
        <w:numPr>
          <w:ilvl w:val="3"/>
          <w:numId w:val="1"/>
        </w:numPr>
        <w:rPr/>
      </w:pPr>
      <w:bookmarkStart w:id="6035" w:name="__RefHeading___Toc2570448_3650668749"/>
      <w:bookmarkStart w:id="6036" w:name="_Toc2733"/>
      <w:bookmarkEnd w:id="6035"/>
      <w:r>
        <w:rPr>
          <w:rtl w:val="true"/>
        </w:rPr>
        <w:t>[ (</w:t>
      </w:r>
      <w:r>
        <w:rPr>
          <w:rtl w:val="true"/>
        </w:rPr>
        <w:t xml:space="preserve">مسألة </w:t>
      </w:r>
      <w:r>
        <w:rPr/>
        <w:t>18</w:t>
      </w:r>
      <w:r>
        <w:rPr>
          <w:rtl w:val="true"/>
        </w:rPr>
        <w:t xml:space="preserve">): </w:t>
      </w:r>
      <w:r>
        <w:rPr>
          <w:rtl w:val="true"/>
        </w:rPr>
        <w:t>لو طرأ لناذر المشی العجز عنه فی بعض الطریق دون البعض</w:t>
      </w:r>
      <w:r>
        <w:rPr>
          <w:rtl w:val="true"/>
        </w:rPr>
        <w:t>]</w:t>
      </w:r>
      <w:bookmarkEnd w:id="60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طرأ لناذر المشی العجز عنه فی بعض الطریق دون البعض الأحوط لو لم یکن الأقویٰ أن یمشی مقدار ما یستطیع و یرکب فی البعض و لا شی‌ء علیه </w:t>
      </w:r>
      <w:r>
        <w:rPr>
          <w:rStyle w:val="FootnoteAnchor"/>
          <w:rtl w:val="true"/>
        </w:rPr>
        <w:footnoteReference w:id="1591"/>
      </w:r>
      <w:r>
        <w:rPr>
          <w:rFonts w:ascii="IRNazanin" w:hAnsi="IRNazanin" w:eastAsia="IRNazanin"/>
          <w:color w:val="111111"/>
          <w:sz w:val="28"/>
          <w:sz w:val="28"/>
          <w:szCs w:val="28"/>
          <w:rtl w:val="true"/>
          <w:lang w:bidi="fa-IR"/>
        </w:rPr>
        <w:t>، و لو اضطرّ إلیٰ رکوب السفینة الأحوط أن یقوم فیها بقدر الإمکان</w:t>
      </w:r>
      <w:r>
        <w:rPr>
          <w:rFonts w:eastAsia="IRNazanin" w:cs="IRNazanin"/>
          <w:color w:val="111111"/>
          <w:sz w:val="28"/>
          <w:szCs w:val="28"/>
          <w:rtl w:val="true"/>
          <w:lang w:bidi="fa-IR"/>
        </w:rPr>
        <w:t>.</w:t>
      </w:r>
    </w:p>
    <w:p>
      <w:pPr>
        <w:pStyle w:val="Heading4"/>
        <w:numPr>
          <w:ilvl w:val="3"/>
          <w:numId w:val="1"/>
        </w:numPr>
        <w:rPr/>
      </w:pPr>
      <w:bookmarkStart w:id="6037" w:name="__RefHeading___Toc2570450_3650668749"/>
      <w:bookmarkStart w:id="6038" w:name="_Toc2734"/>
      <w:bookmarkEnd w:id="6037"/>
      <w:r>
        <w:rPr>
          <w:rtl w:val="true"/>
        </w:rPr>
        <w:t>[ (</w:t>
      </w:r>
      <w:r>
        <w:rPr>
          <w:rtl w:val="true"/>
        </w:rPr>
        <w:t xml:space="preserve">مسألة </w:t>
      </w:r>
      <w:r>
        <w:rPr/>
        <w:t>19</w:t>
      </w:r>
      <w:r>
        <w:rPr>
          <w:rtl w:val="true"/>
        </w:rPr>
        <w:t xml:space="preserve">): </w:t>
      </w:r>
      <w:r>
        <w:rPr>
          <w:rtl w:val="true"/>
        </w:rPr>
        <w:t>لو نذر التصدّق بعین شخصیّة تعیّنت، و لا یجزی مثلها أو قیمتها مع وجودها</w:t>
      </w:r>
      <w:r>
        <w:rPr>
          <w:rtl w:val="true"/>
        </w:rPr>
        <w:t>]</w:t>
      </w:r>
      <w:bookmarkEnd w:id="60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التصدّق بعین شخصیّة تعیّنت، و لا یجزی مثلها أو قیمتها مع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التلف، فإن کان لا بإتلاف منه انحلّ النذر و لا شی‌ء علیه، و إن کان بإتلاف منه ضمنها </w:t>
      </w:r>
      <w:r>
        <w:rPr>
          <w:rStyle w:val="FootnoteAnchor"/>
          <w:rtl w:val="true"/>
        </w:rPr>
        <w:footnoteReference w:id="1592"/>
      </w:r>
      <w:r>
        <w:rPr>
          <w:rFonts w:ascii="IRNazanin" w:hAnsi="IRNazanin" w:eastAsia="IRNazanin"/>
          <w:color w:val="111111"/>
          <w:sz w:val="28"/>
          <w:sz w:val="28"/>
          <w:szCs w:val="28"/>
          <w:rtl w:val="true"/>
          <w:lang w:bidi="fa-IR"/>
        </w:rPr>
        <w:t xml:space="preserve">بالمثل أو القیمة، فیتصدّق بالبدل، بل یکفّر أیضاً علی الأحوط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9" w:name="__RefHeading___Toc2570452_3650668749"/>
      <w:bookmarkStart w:id="6040" w:name="_Toc2735"/>
      <w:bookmarkEnd w:id="6039"/>
      <w:r>
        <w:rPr>
          <w:rtl w:val="true"/>
        </w:rPr>
        <w:t>[ (</w:t>
      </w:r>
      <w:r>
        <w:rPr>
          <w:rtl w:val="true"/>
        </w:rPr>
        <w:t xml:space="preserve">مسألة </w:t>
      </w:r>
      <w:r>
        <w:rPr/>
        <w:t>20</w:t>
      </w:r>
      <w:r>
        <w:rPr>
          <w:rtl w:val="true"/>
        </w:rPr>
        <w:t xml:space="preserve">): </w:t>
      </w:r>
      <w:r>
        <w:rPr>
          <w:rtl w:val="true"/>
        </w:rPr>
        <w:t>لو نذر الصدقة علیٰ شخص معیّن لزم</w:t>
      </w:r>
      <w:r>
        <w:rPr>
          <w:rtl w:val="true"/>
        </w:rPr>
        <w:t>]</w:t>
      </w:r>
      <w:bookmarkEnd w:id="6040"/>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الصدقة علیٰ شخص معیّن لزم، و لا یملک المنذور له الإبراء منه، فلا یسقط عن الناذر بإبرائه، و هل یلزم علی المنذور له القبول؟ الظاهر لا، فینحلّ </w:t>
      </w:r>
      <w:r>
        <w:rPr>
          <w:rStyle w:val="FootnoteAnchor"/>
          <w:rtl w:val="true"/>
        </w:rPr>
        <w:footnoteReference w:id="1594"/>
      </w:r>
      <w:r>
        <w:rPr>
          <w:rFonts w:ascii="IRNazanin" w:hAnsi="IRNazanin" w:eastAsia="IRNazanin"/>
          <w:color w:val="111111"/>
          <w:sz w:val="28"/>
          <w:sz w:val="28"/>
          <w:szCs w:val="28"/>
          <w:rtl w:val="true"/>
          <w:lang w:bidi="fa-IR"/>
        </w:rPr>
        <w:t>النذر</w:t>
      </w:r>
      <w:bookmarkStart w:id="6041" w:name="pg1809_19609"/>
    </w:p>
    <w:p>
      <w:pPr>
        <w:pStyle w:val="BookText"/>
        <w:rPr/>
      </w:pPr>
      <w:bookmarkEnd w:id="6041"/>
      <w:r>
        <w:rPr>
          <w:rFonts w:ascii="IRNazanin" w:hAnsi="IRNazanin" w:eastAsia="IRNazanin"/>
          <w:color w:val="111111"/>
          <w:sz w:val="28"/>
          <w:sz w:val="28"/>
          <w:szCs w:val="28"/>
          <w:rtl w:val="true"/>
          <w:lang w:bidi="fa-IR"/>
        </w:rPr>
        <w:t>بعدم قبوله للتعذّر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امتنع ثمّ رجع إلی القبول فهل یعود النذر و یجب التصدّق علیه؟ فیه تأمّل، و الاحتیاط 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مات الناذر قبل أن یفی بالنذر یخرج من أصل ترکته، و کذا کلّ نذر تعلّق بالمال کسائر الواجبات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مات المنذور له قبل أن یتصدّق علیه قام وارثه مقامه علی احتمال مطابق للاحتیاط، و یقوی هذا الاحتمال لو نذر أن یکون مال معیّن صدقة </w:t>
      </w:r>
      <w:r>
        <w:rPr>
          <w:rStyle w:val="FootnoteAnchor"/>
          <w:rtl w:val="true"/>
        </w:rPr>
        <w:footnoteReference w:id="1595"/>
      </w:r>
      <w:r>
        <w:rPr>
          <w:rFonts w:ascii="IRNazanin" w:hAnsi="IRNazanin" w:eastAsia="IRNazanin"/>
          <w:color w:val="111111"/>
          <w:sz w:val="28"/>
          <w:sz w:val="28"/>
          <w:szCs w:val="28"/>
          <w:rtl w:val="true"/>
          <w:lang w:bidi="fa-IR"/>
        </w:rPr>
        <w:t>علیٰ فلان، فمات قبل قبضه</w:t>
      </w:r>
      <w:r>
        <w:rPr>
          <w:rFonts w:eastAsia="IRNazanin" w:cs="IRNazanin"/>
          <w:color w:val="111111"/>
          <w:sz w:val="28"/>
          <w:szCs w:val="28"/>
          <w:rtl w:val="true"/>
          <w:lang w:bidi="fa-IR"/>
        </w:rPr>
        <w:t>.</w:t>
      </w:r>
    </w:p>
    <w:p>
      <w:pPr>
        <w:pStyle w:val="Heading4"/>
        <w:numPr>
          <w:ilvl w:val="3"/>
          <w:numId w:val="1"/>
        </w:numPr>
        <w:rPr/>
      </w:pPr>
      <w:bookmarkStart w:id="6042" w:name="__RefHeading___Toc2570454_3650668749"/>
      <w:bookmarkStart w:id="6043" w:name="_Toc2736"/>
      <w:bookmarkEnd w:id="6042"/>
      <w:r>
        <w:rPr>
          <w:rtl w:val="true"/>
        </w:rPr>
        <w:t>[ (</w:t>
      </w:r>
      <w:r>
        <w:rPr>
          <w:rtl w:val="true"/>
        </w:rPr>
        <w:t xml:space="preserve">مسألة </w:t>
      </w:r>
      <w:r>
        <w:rPr/>
        <w:t>21</w:t>
      </w:r>
      <w:r>
        <w:rPr>
          <w:rtl w:val="true"/>
        </w:rPr>
        <w:t xml:space="preserve">): </w:t>
      </w:r>
      <w:r>
        <w:rPr>
          <w:rtl w:val="true"/>
        </w:rPr>
        <w:t>لو نذر شیئاً لمشهد من المشاهد المشرّفة صرفه فی مصالحه</w:t>
      </w:r>
      <w:r>
        <w:rPr>
          <w:rtl w:val="true"/>
        </w:rPr>
        <w:t>]</w:t>
      </w:r>
      <w:bookmarkEnd w:id="60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شیئاً لمشهد من المشاهد المشرّفة صرفه فی مصالحه کتعمیره و ضیائه و طیبه و فرشه و قوّامه و خدّامه و نحو ذلک، و فی معونة زوّاره </w:t>
      </w:r>
      <w:r>
        <w:rPr>
          <w:rStyle w:val="FootnoteAnchor"/>
          <w:rtl w:val="true"/>
        </w:rPr>
        <w:footnoteReference w:id="1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نذر شیئاً للإمام أو بعض أولاد الأئمة، کما لو نذر شیئاً للأمیر أو الحسین أو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فالظاهر أنّ المراد صرفه فی سبل الخیر بقصد رجوع ثوابه إلیهم، من غیر فرق بین الصدقة علی المساکین و إعانة الزائرین و غیرهما من وجوه الخیر کبناء مسجد أو قنطرة و نحو ذلک، و إن کان الأحوط الاقتصار علیٰ معونة زوّارهم و صلة من یلوذ بهم من المجاورین المحتاجین و الصلحاء من الخدّام المواظبین بشؤون مشاهدهم و إقامة مجالس تعازیهم، هذا إذا لم یکن فی قصد الناذر جهة خاصّة </w:t>
      </w:r>
      <w:r>
        <w:rPr>
          <w:rStyle w:val="FootnoteAnchor"/>
          <w:rtl w:val="true"/>
        </w:rPr>
        <w:footnoteReference w:id="1597"/>
      </w:r>
      <w:r>
        <w:rPr>
          <w:rFonts w:ascii="IRNazanin" w:hAnsi="IRNazanin" w:eastAsia="IRNazanin"/>
          <w:color w:val="111111"/>
          <w:sz w:val="28"/>
          <w:sz w:val="28"/>
          <w:szCs w:val="28"/>
          <w:rtl w:val="true"/>
          <w:lang w:bidi="fa-IR"/>
        </w:rPr>
        <w:t>، و إلّا اقتصر علیها</w:t>
      </w:r>
      <w:r>
        <w:rPr>
          <w:rFonts w:eastAsia="IRNazanin" w:cs="IRNazanin"/>
          <w:color w:val="111111"/>
          <w:sz w:val="28"/>
          <w:szCs w:val="28"/>
          <w:rtl w:val="true"/>
          <w:lang w:bidi="fa-IR"/>
        </w:rPr>
        <w:t>.</w:t>
      </w:r>
    </w:p>
    <w:p>
      <w:pPr>
        <w:pStyle w:val="Heading4"/>
        <w:numPr>
          <w:ilvl w:val="3"/>
          <w:numId w:val="1"/>
        </w:numPr>
        <w:rPr/>
      </w:pPr>
      <w:bookmarkStart w:id="6044" w:name="__RefHeading___Toc2570456_3650668749"/>
      <w:bookmarkStart w:id="6045" w:name="_Toc2737"/>
      <w:bookmarkEnd w:id="6044"/>
      <w:r>
        <w:rPr>
          <w:rtl w:val="true"/>
        </w:rPr>
        <w:t>[ (</w:t>
      </w:r>
      <w:r>
        <w:rPr>
          <w:rtl w:val="true"/>
        </w:rPr>
        <w:t xml:space="preserve">مسألة </w:t>
      </w:r>
      <w:r>
        <w:rPr/>
        <w:t>22</w:t>
      </w:r>
      <w:r>
        <w:rPr>
          <w:rtl w:val="true"/>
        </w:rPr>
        <w:t xml:space="preserve">): </w:t>
      </w:r>
      <w:r>
        <w:rPr>
          <w:rtl w:val="true"/>
        </w:rPr>
        <w:t>لو عیّن شاة للصدقة، أو لأحد الأئمّة، أو لمشهد من المشاهد، یتبعها نماؤها المتّصل کالسمن</w:t>
      </w:r>
      <w:r>
        <w:rPr>
          <w:rtl w:val="true"/>
        </w:rPr>
        <w:t>]</w:t>
      </w:r>
      <w:bookmarkEnd w:id="60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عیّن شاة للصدقة، أو لأحد الأئمّة، أو لمشهد من المشاهد، یتبعها نماؤها المتّصل کالسمن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المنفصل کالنتاج </w:t>
      </w:r>
      <w:r>
        <w:rPr>
          <w:rStyle w:val="FootnoteAnchor"/>
          <w:rtl w:val="true"/>
        </w:rPr>
        <w:footnoteReference w:id="1598"/>
      </w:r>
      <w:r>
        <w:rPr>
          <w:rFonts w:ascii="IRNazanin" w:hAnsi="IRNazanin" w:eastAsia="IRNazanin"/>
          <w:color w:val="111111"/>
          <w:sz w:val="28"/>
          <w:sz w:val="28"/>
          <w:szCs w:val="28"/>
          <w:rtl w:val="true"/>
          <w:lang w:bidi="fa-IR"/>
        </w:rPr>
        <w:t>و اللبن، فالظاهر أنّه ملک للناذر</w:t>
      </w:r>
      <w:r>
        <w:rPr>
          <w:rFonts w:eastAsia="IRNazanin" w:cs="IRNazanin"/>
          <w:color w:val="111111"/>
          <w:sz w:val="28"/>
          <w:szCs w:val="28"/>
          <w:rtl w:val="true"/>
          <w:lang w:bidi="fa-IR"/>
        </w:rPr>
        <w:t>.</w:t>
      </w:r>
    </w:p>
    <w:p>
      <w:pPr>
        <w:pStyle w:val="Heading4"/>
        <w:numPr>
          <w:ilvl w:val="3"/>
          <w:numId w:val="1"/>
        </w:numPr>
        <w:rPr/>
      </w:pPr>
      <w:bookmarkStart w:id="6046" w:name="__RefHeading___Toc2570458_3650668749"/>
      <w:bookmarkStart w:id="6047" w:name="_Toc2738"/>
      <w:bookmarkEnd w:id="6046"/>
      <w:r>
        <w:rPr>
          <w:rtl w:val="true"/>
        </w:rPr>
        <w:t>[ (</w:t>
      </w:r>
      <w:r>
        <w:rPr>
          <w:rtl w:val="true"/>
        </w:rPr>
        <w:t xml:space="preserve">مسألة </w:t>
      </w:r>
      <w:r>
        <w:rPr/>
        <w:t>23</w:t>
      </w:r>
      <w:r>
        <w:rPr>
          <w:rtl w:val="true"/>
        </w:rPr>
        <w:t xml:space="preserve">): </w:t>
      </w:r>
      <w:r>
        <w:rPr>
          <w:rtl w:val="true"/>
        </w:rPr>
        <w:t>لو نذر التصدّق بجمیع ما یملکه لزم</w:t>
      </w:r>
      <w:r>
        <w:rPr>
          <w:rtl w:val="true"/>
        </w:rPr>
        <w:t>]</w:t>
      </w:r>
      <w:bookmarkEnd w:id="60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التصدّق بجمیع ما یملکه لزم، فإن شقّ علیه قوّم الجمیع بقیمة عادلة علیٰ ذمّته و تصرّف فی أمواله بما یشاء و کیف شاء، ثمّ یتصدّق عمّا فی ذمّته شیئاً فشیئاً، و یحسب منها ما یعطیٰ إلیٰ الفقراء و المساکین و أرحامه المحتاجین، و یقیّد ذلک فی دفتر إلیٰ أن یوفی التمام، فإن بقی منه شی‌ء أوصیٰ بأن یؤدّی ممّا ترکه بعد موته</w:t>
      </w:r>
      <w:r>
        <w:rPr>
          <w:rFonts w:eastAsia="IRNazanin" w:cs="IRNazanin"/>
          <w:color w:val="111111"/>
          <w:sz w:val="28"/>
          <w:szCs w:val="28"/>
          <w:rtl w:val="true"/>
          <w:lang w:bidi="fa-IR"/>
        </w:rPr>
        <w:t>.</w:t>
      </w:r>
    </w:p>
    <w:p>
      <w:pPr>
        <w:pStyle w:val="Heading4"/>
        <w:numPr>
          <w:ilvl w:val="3"/>
          <w:numId w:val="1"/>
        </w:numPr>
        <w:rPr/>
      </w:pPr>
      <w:bookmarkStart w:id="6048" w:name="__RefHeading___Toc2570460_3650668749"/>
      <w:bookmarkStart w:id="6049" w:name="_Toc2739"/>
      <w:bookmarkEnd w:id="6048"/>
      <w:r>
        <w:rPr>
          <w:rtl w:val="true"/>
        </w:rPr>
        <w:t>[ (</w:t>
      </w:r>
      <w:r>
        <w:rPr>
          <w:rtl w:val="true"/>
        </w:rPr>
        <w:t xml:space="preserve">مسألة </w:t>
      </w:r>
      <w:r>
        <w:rPr/>
        <w:t>24</w:t>
      </w:r>
      <w:r>
        <w:rPr>
          <w:rtl w:val="true"/>
        </w:rPr>
        <w:t xml:space="preserve">): </w:t>
      </w:r>
      <w:r>
        <w:rPr>
          <w:rtl w:val="true"/>
        </w:rPr>
        <w:t>إذا عجز الناذر عن المنذور فی وقته إن کان موقّتاً، و مطلقاً إن کان مطلقاً</w:t>
      </w:r>
      <w:r>
        <w:rPr>
          <w:rtl w:val="true"/>
        </w:rPr>
        <w:t>]</w:t>
      </w:r>
      <w:bookmarkEnd w:id="6049"/>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 الناذر عن المنذور فی وقته إن کان موقّتاً، و مطلقاً إن کان مطلقاً، انحلّ نذره و سقط عنه و لا شی‌ء علیه، نعم لو نذر صوماً فعجز عنه، تصدّق عن کلّ یوم</w:t>
      </w:r>
      <w:bookmarkStart w:id="6050" w:name="pg1809_19612"/>
    </w:p>
    <w:p>
      <w:pPr>
        <w:pStyle w:val="BookText"/>
        <w:rPr/>
      </w:pPr>
      <w:bookmarkEnd w:id="6050"/>
      <w:r>
        <w:rPr>
          <w:rFonts w:ascii="IRNazanin" w:hAnsi="IRNazanin" w:eastAsia="IRNazanin"/>
          <w:color w:val="111111"/>
          <w:sz w:val="28"/>
          <w:sz w:val="28"/>
          <w:szCs w:val="28"/>
          <w:rtl w:val="true"/>
          <w:lang w:bidi="fa-IR"/>
        </w:rPr>
        <w:t xml:space="preserve">بمدّ من طعام علی الأحوط </w:t>
      </w:r>
      <w:r>
        <w:rPr>
          <w:rStyle w:val="FootnoteAnchor"/>
          <w:rtl w:val="true"/>
        </w:rPr>
        <w:footnoteReference w:id="1599"/>
      </w:r>
      <w:r>
        <w:rPr>
          <w:rFonts w:ascii="IRNazanin" w:hAnsi="IRNazanin" w:eastAsia="IRNazanin"/>
          <w:color w:val="111111"/>
          <w:sz w:val="28"/>
          <w:sz w:val="28"/>
          <w:szCs w:val="28"/>
          <w:rtl w:val="true"/>
          <w:lang w:bidi="fa-IR"/>
        </w:rPr>
        <w:t>، و أحوط منه التصدّق بمدّین</w:t>
      </w:r>
      <w:r>
        <w:rPr>
          <w:rFonts w:eastAsia="IRNazanin" w:cs="IRNazanin"/>
          <w:color w:val="111111"/>
          <w:sz w:val="28"/>
          <w:szCs w:val="28"/>
          <w:rtl w:val="true"/>
          <w:lang w:bidi="fa-IR"/>
        </w:rPr>
        <w:t>.</w:t>
      </w:r>
    </w:p>
    <w:p>
      <w:pPr>
        <w:pStyle w:val="Heading4"/>
        <w:numPr>
          <w:ilvl w:val="3"/>
          <w:numId w:val="1"/>
        </w:numPr>
        <w:rPr/>
      </w:pPr>
      <w:bookmarkStart w:id="6051" w:name="__RefHeading___Toc2570462_3650668749"/>
      <w:bookmarkStart w:id="6052" w:name="_Toc2740"/>
      <w:bookmarkEnd w:id="6051"/>
      <w:r>
        <w:rPr>
          <w:rtl w:val="true"/>
        </w:rPr>
        <w:t>[ (</w:t>
      </w:r>
      <w:r>
        <w:rPr>
          <w:rtl w:val="true"/>
        </w:rPr>
        <w:t xml:space="preserve">مسألة </w:t>
      </w:r>
      <w:r>
        <w:rPr/>
        <w:t>25</w:t>
      </w:r>
      <w:r>
        <w:rPr>
          <w:rtl w:val="true"/>
        </w:rPr>
        <w:t xml:space="preserve">): </w:t>
      </w:r>
      <w:r>
        <w:rPr>
          <w:rtl w:val="true"/>
        </w:rPr>
        <w:t>النذر کالیمین</w:t>
      </w:r>
      <w:r>
        <w:rPr>
          <w:rtl w:val="true"/>
        </w:rPr>
        <w:t>]</w:t>
      </w:r>
      <w:bookmarkEnd w:id="60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النذر کالیمین فی أنّه إذا تعلّق بإیجاد عمل من صوم أو صلاة أو صدقة أو غیرها فإن عیّن له وقتاً تعیّن و یتحقّق الحنث و یجب الکفّارة بترکه فیه، فإن کان صوماً أو صلاة یجب قضاؤه أیضاً علی الأقویٰ </w:t>
      </w:r>
      <w:r>
        <w:rPr>
          <w:rStyle w:val="FootnoteAnchor"/>
          <w:rtl w:val="true"/>
        </w:rPr>
        <w:footnoteReference w:id="1600"/>
      </w:r>
      <w:r>
        <w:rPr>
          <w:rFonts w:ascii="IRNazanin" w:hAnsi="IRNazanin" w:eastAsia="IRNazanin"/>
          <w:color w:val="111111"/>
          <w:sz w:val="28"/>
          <w:sz w:val="28"/>
          <w:szCs w:val="28"/>
          <w:rtl w:val="true"/>
          <w:lang w:bidi="fa-IR"/>
        </w:rPr>
        <w:t>، بل و إن کان غیرهما أیضاً علی الأحوط، و إن کان مطلقاً کان وقته العمر و جاز له التأخیر إلیٰ أن یظنّ بالوفاة، فیتضیّق و یتحقّق الحنث بترکه مدّة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المنذور فعل شی‌ء، و إن کان ترک شی‌ء، فإن عیّن له الوقت کان حنثه بإیجاده فیه، و إن کان مطلقاً کان حنثه بإیجاده مدّة حیاته و لو مرّة و لو أتی به تحقّق الحنث و انحلّ النذر کما مرّ فی الیمین</w:t>
      </w:r>
      <w:r>
        <w:rPr>
          <w:rFonts w:eastAsia="IRNazanin" w:cs="IRNazanin"/>
          <w:color w:val="111111"/>
          <w:sz w:val="28"/>
          <w:szCs w:val="28"/>
          <w:rtl w:val="true"/>
          <w:lang w:bidi="fa-IR"/>
        </w:rPr>
        <w:t>.</w:t>
      </w:r>
    </w:p>
    <w:p>
      <w:pPr>
        <w:pStyle w:val="Heading4"/>
        <w:numPr>
          <w:ilvl w:val="3"/>
          <w:numId w:val="1"/>
        </w:numPr>
        <w:rPr/>
      </w:pPr>
      <w:bookmarkStart w:id="6053" w:name="__RefHeading___Toc2570464_3650668749"/>
      <w:bookmarkStart w:id="6054" w:name="_Toc2741"/>
      <w:bookmarkEnd w:id="6053"/>
      <w:r>
        <w:rPr>
          <w:rtl w:val="true"/>
        </w:rPr>
        <w:t>[ (</w:t>
      </w:r>
      <w:r>
        <w:rPr>
          <w:rtl w:val="true"/>
        </w:rPr>
        <w:t xml:space="preserve">مسألة </w:t>
      </w:r>
      <w:r>
        <w:rPr/>
        <w:t>26</w:t>
      </w:r>
      <w:r>
        <w:rPr>
          <w:rtl w:val="true"/>
        </w:rPr>
        <w:t xml:space="preserve">): </w:t>
      </w:r>
      <w:r>
        <w:rPr>
          <w:rtl w:val="true"/>
        </w:rPr>
        <w:t>إنّما یتحقّق الحنث الموجب للکفّارة بمخالفة النذر اختیاراً</w:t>
      </w:r>
      <w:r>
        <w:rPr>
          <w:rtl w:val="true"/>
        </w:rPr>
        <w:t>]</w:t>
      </w:r>
      <w:bookmarkEnd w:id="60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یتحقّق الحنث الموجب للکفّارة بمخالفة النذر اختیاراً، فلو أتی بشی‌ء تعلّق النذر بترکه نسیاناً أو جهلًا أو اضطراراً، لم یترتّب علیه شی‌ء، بل الظاهر عدم انحلال النذر به، فیجب الترک بعد ارتفاع العذر لو کان النذر مطلقاً أو موقّتاً و قد بقی الوقت</w:t>
      </w:r>
      <w:r>
        <w:rPr>
          <w:rFonts w:eastAsia="IRNazanin" w:cs="IRNazanin"/>
          <w:color w:val="111111"/>
          <w:sz w:val="28"/>
          <w:szCs w:val="28"/>
          <w:rtl w:val="true"/>
          <w:lang w:bidi="fa-IR"/>
        </w:rPr>
        <w:t>.</w:t>
      </w:r>
    </w:p>
    <w:p>
      <w:pPr>
        <w:pStyle w:val="Heading4"/>
        <w:numPr>
          <w:ilvl w:val="3"/>
          <w:numId w:val="1"/>
        </w:numPr>
        <w:rPr/>
      </w:pPr>
      <w:bookmarkStart w:id="6055" w:name="__RefHeading___Toc2570466_3650668749"/>
      <w:bookmarkStart w:id="6056" w:name="_Toc2742"/>
      <w:bookmarkEnd w:id="6055"/>
      <w:r>
        <w:rPr>
          <w:rtl w:val="true"/>
        </w:rPr>
        <w:t>[ (</w:t>
      </w:r>
      <w:r>
        <w:rPr>
          <w:rtl w:val="true"/>
        </w:rPr>
        <w:t xml:space="preserve">مسألة </w:t>
      </w:r>
      <w:r>
        <w:rPr/>
        <w:t>27</w:t>
      </w:r>
      <w:r>
        <w:rPr>
          <w:rtl w:val="true"/>
        </w:rPr>
        <w:t xml:space="preserve">): </w:t>
      </w:r>
      <w:r>
        <w:rPr>
          <w:rtl w:val="true"/>
        </w:rPr>
        <w:t>لو نذر</w:t>
      </w:r>
      <w:r>
        <w:rPr>
          <w:rtl w:val="true"/>
        </w:rPr>
        <w:t xml:space="preserve">: </w:t>
      </w:r>
      <w:r>
        <w:rPr>
          <w:rtl w:val="true"/>
        </w:rPr>
        <w:t>إن برئ مریضة أو قدم مسافرة صام یوماً</w:t>
      </w:r>
      <w:r>
        <w:rPr>
          <w:rtl w:val="true"/>
        </w:rPr>
        <w:t>]</w:t>
      </w:r>
      <w:bookmarkEnd w:id="60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برئ مریضة أو قدم مسافرة صام یوماً مثلًا فبان أنّ المریض برئ أو المسافر قدم قبل النذر لم یلزم</w:t>
      </w:r>
      <w:r>
        <w:rPr>
          <w:rFonts w:eastAsia="IRNazanin" w:cs="IRNazanin"/>
          <w:color w:val="111111"/>
          <w:sz w:val="28"/>
          <w:szCs w:val="28"/>
          <w:rtl w:val="true"/>
          <w:lang w:bidi="fa-IR"/>
        </w:rPr>
        <w:t>.</w:t>
      </w:r>
    </w:p>
    <w:p>
      <w:pPr>
        <w:pStyle w:val="Heading4"/>
        <w:numPr>
          <w:ilvl w:val="3"/>
          <w:numId w:val="1"/>
        </w:numPr>
        <w:rPr/>
      </w:pPr>
      <w:bookmarkStart w:id="6057" w:name="__RefHeading___Toc2570468_3650668749"/>
      <w:bookmarkStart w:id="6058" w:name="_Toc2743"/>
      <w:bookmarkEnd w:id="6057"/>
      <w:r>
        <w:rPr>
          <w:rtl w:val="true"/>
        </w:rPr>
        <w:t>[ (</w:t>
      </w:r>
      <w:r>
        <w:rPr>
          <w:rtl w:val="true"/>
        </w:rPr>
        <w:t xml:space="preserve">مسألة </w:t>
      </w:r>
      <w:r>
        <w:rPr/>
        <w:t>28</w:t>
      </w:r>
      <w:r>
        <w:rPr>
          <w:rtl w:val="true"/>
        </w:rPr>
        <w:t xml:space="preserve">): </w:t>
      </w:r>
      <w:r>
        <w:rPr>
          <w:rtl w:val="true"/>
        </w:rPr>
        <w:t>کفّارة حنث النذر کفّارة الیمین</w:t>
      </w:r>
      <w:r>
        <w:rPr>
          <w:rtl w:val="true"/>
        </w:rPr>
        <w:t>]</w:t>
      </w:r>
      <w:bookmarkEnd w:id="60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حنث النذر کفّارة الیمین، و قیل </w:t>
      </w:r>
      <w:r>
        <w:rPr>
          <w:rStyle w:val="FootnoteAnchor"/>
          <w:rtl w:val="true"/>
        </w:rPr>
        <w:footnoteReference w:id="1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من أفطر شهر رمضان، و سیجی‌ء فی کتاب الکفّارات إن شاء اللّٰه تعالیٰ</w:t>
      </w:r>
      <w:r>
        <w:rPr>
          <w:rFonts w:eastAsia="IRNazanin" w:cs="IRNazanin"/>
          <w:color w:val="111111"/>
          <w:sz w:val="28"/>
          <w:szCs w:val="28"/>
          <w:rtl w:val="true"/>
          <w:lang w:bidi="fa-IR"/>
        </w:rPr>
        <w:t>.</w:t>
      </w:r>
    </w:p>
    <w:p>
      <w:pPr>
        <w:pStyle w:val="Heading3"/>
        <w:numPr>
          <w:ilvl w:val="2"/>
          <w:numId w:val="1"/>
        </w:numPr>
        <w:rPr/>
      </w:pPr>
      <w:bookmarkStart w:id="6059" w:name="__RefHeading___Toc2570470_3650668749"/>
      <w:bookmarkStart w:id="6060" w:name="_Toc2744"/>
      <w:bookmarkEnd w:id="6059"/>
      <w:r>
        <w:rPr>
          <w:rtl w:val="true"/>
        </w:rPr>
        <w:t>[</w:t>
      </w:r>
      <w:r>
        <w:rPr>
          <w:rtl w:val="true"/>
        </w:rPr>
        <w:t>القول فی العهد</w:t>
      </w:r>
      <w:r>
        <w:rPr>
          <w:rtl w:val="true"/>
        </w:rPr>
        <w:t>]</w:t>
      </w:r>
      <w:bookmarkEnd w:id="6060"/>
    </w:p>
    <w:p>
      <w:pPr>
        <w:pStyle w:val="Heading4"/>
        <w:numPr>
          <w:ilvl w:val="3"/>
          <w:numId w:val="1"/>
        </w:numPr>
        <w:rPr/>
      </w:pPr>
      <w:bookmarkStart w:id="6061" w:name="__RefHeading___Toc2570472_3650668749"/>
      <w:bookmarkStart w:id="6062" w:name="_Toc2745"/>
      <w:bookmarkEnd w:id="6061"/>
      <w:r>
        <w:rPr>
          <w:rtl w:val="true"/>
        </w:rPr>
        <w:t>اشارة</w:t>
      </w:r>
      <w:bookmarkEnd w:id="6062"/>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فی العهد لا ینعقد العهد بمجرّد النیة، بل یحتاج إلی الصیغة علی الأقویٰ، و صورتها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عاهدت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یقع مطلقاً و معلّقاً علیٰ شرط کالنذر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یعتبر فی المعلّق علیه إذا کان مشروطاً ما اعتبر فیه فی النذر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عاهد علیه فهو بالنسبة إلیه کالیمین، یعتبر فیه أن لا یکون مرجوحاً دیناً أو دنیا، و لا یعتبر فیه الرجحان</w:t>
      </w:r>
      <w:bookmarkStart w:id="6063" w:name="pg1809_19614"/>
    </w:p>
    <w:p>
      <w:pPr>
        <w:pStyle w:val="BookText"/>
        <w:rPr/>
      </w:pPr>
      <w:bookmarkEnd w:id="6063"/>
      <w:r>
        <w:rPr>
          <w:rFonts w:ascii="IRNazanin" w:hAnsi="IRNazanin" w:eastAsia="IRNazanin"/>
          <w:color w:val="111111"/>
          <w:sz w:val="28"/>
          <w:sz w:val="28"/>
          <w:szCs w:val="28"/>
          <w:rtl w:val="true"/>
          <w:lang w:bidi="fa-IR"/>
        </w:rPr>
        <w:t>فضلًا عن کونه طاعة کما اعتبر ذلک فی النذر، فلو عاهد علیٰ فعل مباح لزم کالیمین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عاهد علیٰ فعل کان ترکه أرجح، أو علیٰ ترک أمر کان فعله أولیٰ و لو من جهة الدنیا لم ینعقد، و لو لم یکن کذلک من أوّل الأمر ثمّ طرأ علیه ذلک انحلّ</w:t>
      </w:r>
      <w:r>
        <w:rPr>
          <w:rFonts w:eastAsia="IRNazanin" w:cs="IRNazanin"/>
          <w:color w:val="111111"/>
          <w:sz w:val="28"/>
          <w:szCs w:val="28"/>
          <w:rtl w:val="true"/>
          <w:lang w:bidi="fa-IR"/>
        </w:rPr>
        <w:t>.</w:t>
      </w:r>
    </w:p>
    <w:p>
      <w:pPr>
        <w:pStyle w:val="Heading4"/>
        <w:numPr>
          <w:ilvl w:val="3"/>
          <w:numId w:val="1"/>
        </w:numPr>
        <w:rPr/>
      </w:pPr>
      <w:bookmarkStart w:id="6064" w:name="__RefHeading___Toc2570474_3650668749"/>
      <w:bookmarkStart w:id="6065" w:name="_Toc2746"/>
      <w:bookmarkEnd w:id="6064"/>
      <w:r>
        <w:rPr>
          <w:rtl w:val="true"/>
        </w:rPr>
        <w:t>[ (</w:t>
      </w:r>
      <w:r>
        <w:rPr>
          <w:rtl w:val="true"/>
        </w:rPr>
        <w:t>مسألة</w:t>
      </w:r>
      <w:r>
        <w:rPr>
          <w:rtl w:val="true"/>
        </w:rPr>
        <w:t xml:space="preserve">): </w:t>
      </w:r>
      <w:r>
        <w:rPr>
          <w:rtl w:val="true"/>
        </w:rPr>
        <w:t>مخالفة العهد بعد انعقاده یوجب الکفّارة</w:t>
      </w:r>
      <w:r>
        <w:rPr>
          <w:rtl w:val="true"/>
        </w:rPr>
        <w:t>]</w:t>
      </w:r>
      <w:bookmarkEnd w:id="6065"/>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العهد بعد انعقاده یوجب الکفّارة، و هل هی کفّارة من أفطر شهر رمضان أو کفّارة الیمین؟ قولان، أظهرهما الأوّل کما یجی‌ء فی الکفّارات</w:t>
      </w:r>
      <w:r>
        <w:rPr>
          <w:rFonts w:eastAsia="IRNazanin" w:cs="IRNazanin"/>
          <w:color w:val="111111"/>
          <w:sz w:val="28"/>
          <w:szCs w:val="28"/>
          <w:rtl w:val="true"/>
          <w:lang w:bidi="fa-IR"/>
        </w:rPr>
        <w:t>.</w:t>
      </w:r>
      <w:bookmarkStart w:id="6066" w:name="pg1809_19616"/>
    </w:p>
    <w:p>
      <w:pPr>
        <w:pStyle w:val="Heading2"/>
        <w:numPr>
          <w:ilvl w:val="1"/>
          <w:numId w:val="1"/>
        </w:numPr>
        <w:rPr/>
      </w:pPr>
      <w:bookmarkStart w:id="6067" w:name="__RefHeading___Toc2570476_3650668749"/>
      <w:bookmarkStart w:id="6068" w:name="_Toc2747"/>
      <w:bookmarkEnd w:id="6066"/>
      <w:bookmarkEnd w:id="6067"/>
      <w:r>
        <w:rPr>
          <w:rtl w:val="true"/>
        </w:rPr>
        <w:t>[</w:t>
      </w:r>
      <w:r>
        <w:rPr>
          <w:rtl w:val="true"/>
        </w:rPr>
        <w:t>کتاب الکفّارات</w:t>
      </w:r>
      <w:r>
        <w:rPr>
          <w:rtl w:val="true"/>
        </w:rPr>
        <w:t>]</w:t>
      </w:r>
      <w:bookmarkEnd w:id="6068"/>
    </w:p>
    <w:p>
      <w:pPr>
        <w:pStyle w:val="Heading3"/>
        <w:numPr>
          <w:ilvl w:val="2"/>
          <w:numId w:val="1"/>
        </w:numPr>
        <w:rPr/>
      </w:pPr>
      <w:bookmarkStart w:id="6069" w:name="__RefHeading___Toc2570478_3650668749"/>
      <w:bookmarkStart w:id="6070" w:name="_Toc2748"/>
      <w:bookmarkEnd w:id="6069"/>
      <w:r>
        <w:rPr>
          <w:rtl w:val="true"/>
        </w:rPr>
        <w:t>اشارة</w:t>
      </w:r>
      <w:bookmarkEnd w:id="6070"/>
    </w:p>
    <w:p>
      <w:pPr>
        <w:pStyle w:val="BookText"/>
        <w:rPr/>
      </w:pPr>
      <w:r>
        <w:rPr>
          <w:rFonts w:ascii="IRNazanin" w:hAnsi="IRNazanin" w:eastAsia="IRNazanin"/>
          <w:color w:val="111111"/>
          <w:sz w:val="28"/>
          <w:sz w:val="28"/>
          <w:szCs w:val="28"/>
          <w:rtl w:val="true"/>
          <w:lang w:bidi="fa-IR"/>
        </w:rPr>
        <w:t>کتاب الکفّارات و الکلام فی أقسامها و أحکامها</w:t>
      </w:r>
    </w:p>
    <w:p>
      <w:pPr>
        <w:pStyle w:val="Heading3"/>
        <w:numPr>
          <w:ilvl w:val="2"/>
          <w:numId w:val="1"/>
        </w:numPr>
        <w:rPr/>
      </w:pPr>
      <w:bookmarkStart w:id="6071" w:name="__RefHeading___Toc2570480_3650668749"/>
      <w:bookmarkStart w:id="6072" w:name="_Toc2749"/>
      <w:bookmarkEnd w:id="6071"/>
      <w:r>
        <w:rPr>
          <w:rtl w:val="true"/>
        </w:rPr>
        <w:t>[</w:t>
      </w:r>
      <w:r>
        <w:rPr>
          <w:rtl w:val="true"/>
        </w:rPr>
        <w:t>القول فی أقسام الکفّارات</w:t>
      </w:r>
      <w:r>
        <w:rPr>
          <w:rtl w:val="true"/>
        </w:rPr>
        <w:t>]</w:t>
      </w:r>
      <w:bookmarkEnd w:id="6072"/>
    </w:p>
    <w:p>
      <w:pPr>
        <w:pStyle w:val="Heading4"/>
        <w:numPr>
          <w:ilvl w:val="3"/>
          <w:numId w:val="1"/>
        </w:numPr>
        <w:rPr/>
      </w:pPr>
      <w:bookmarkStart w:id="6073" w:name="__RefHeading___Toc2570482_3650668749"/>
      <w:bookmarkStart w:id="6074" w:name="_Toc2750"/>
      <w:bookmarkEnd w:id="6073"/>
      <w:r>
        <w:rPr>
          <w:rtl w:val="true"/>
        </w:rPr>
        <w:t>اشارة</w:t>
      </w:r>
      <w:bookmarkEnd w:id="6074"/>
    </w:p>
    <w:p>
      <w:pPr>
        <w:pStyle w:val="BookText"/>
        <w:rPr/>
      </w:pPr>
      <w:r>
        <w:rPr>
          <w:rFonts w:ascii="IRNazanin" w:hAnsi="IRNazanin" w:eastAsia="IRNazanin"/>
          <w:color w:val="111111"/>
          <w:sz w:val="28"/>
          <w:sz w:val="28"/>
          <w:szCs w:val="28"/>
          <w:rtl w:val="true"/>
          <w:lang w:bidi="fa-IR"/>
        </w:rPr>
        <w:t>القول فی أقسام الکفّارات و هی علیٰ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و مخیّرة، و ما اجتمع فیه الأمران، و کفّارة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المرتّبة فهی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الظهار، و کفّارة قتل الخطأ، یجب فیهما العتق، فإن عجز فصیام شهرین متتابعین، فإن عجز فإطعام ستّین مسکیناً، و کفّارة من أفطر یوماً من قضاء شهر رمضان بعد الزوال، و هی إطعام عشرة مساکین، فإن عجز فصیام ثلاثة أیّام متتابعات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المخیّرة فهی أیضاً ثلاث </w:t>
      </w:r>
      <w:r>
        <w:rPr>
          <w:rStyle w:val="FootnoteAnchor"/>
          <w:rtl w:val="true"/>
        </w:rPr>
        <w:footnoteReference w:id="1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من أفطر فی شهر رمضان بأحد الأسباب الموجبة للکفّارة التی مرّت فی کتاب الصوم و کفّارة حنث العهد، و کفّارة جزّ المرأة شعرها فی المصاب، و هی العتق أو صیام شهرین متتابعین أو إطعام ستّین مسکیناً مخیّراً بینها علی الأظهر</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اجتمع فیه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کفّارة حنث الیمین، و کفّارة حنث النذر </w:t>
      </w:r>
      <w:r>
        <w:rPr>
          <w:rStyle w:val="FootnoteAnchor"/>
          <w:rtl w:val="true"/>
        </w:rPr>
        <w:footnoteReference w:id="1604"/>
      </w:r>
      <w:r>
        <w:rPr>
          <w:rFonts w:ascii="IRNazanin" w:hAnsi="IRNazanin" w:eastAsia="IRNazanin"/>
          <w:color w:val="111111"/>
          <w:sz w:val="28"/>
          <w:sz w:val="28"/>
          <w:szCs w:val="28"/>
          <w:rtl w:val="true"/>
          <w:lang w:bidi="fa-IR"/>
        </w:rPr>
        <w:t>علی الأظهر، و کفّارة نتف المرأة شعرها و خدش وجهها فی المصاب، و شقّ الرجل ثوبه فی موت ولده أو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جمیع ذلک عتق رقبة أو إطعام عشرة مساکین أو کسوتهم</w:t>
      </w:r>
      <w:bookmarkStart w:id="6075" w:name="pg1809_19619"/>
    </w:p>
    <w:p>
      <w:pPr>
        <w:pStyle w:val="BookText"/>
        <w:rPr/>
      </w:pPr>
      <w:bookmarkEnd w:id="6075"/>
      <w:r>
        <w:rPr>
          <w:rFonts w:ascii="IRNazanin" w:hAnsi="IRNazanin" w:eastAsia="IRNazanin"/>
          <w:color w:val="111111"/>
          <w:sz w:val="28"/>
          <w:sz w:val="28"/>
          <w:szCs w:val="28"/>
          <w:rtl w:val="true"/>
          <w:lang w:bidi="fa-IR"/>
        </w:rPr>
        <w:t>مخیّراً بینها، فإن عجز عن الجمیع فصیام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کفّارة النذر مثل کفّارة إفطار شهر رمضان و حیث إنّ هذا هو المشهور فلا ینبغی ترک الاحتیاط لمن عجز عن العتق باختیار الإطعام و إکمال ستّین، و مع العجز عنه صیام شهرین متتابعین فقط مع العجز عن إکساء عشرة مساکین، و الجمع بینهما مع التمکّن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کفّارة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کفّارة قتل المؤمن عمداً و ظلماً، و کفّارة الإفطار فی شهر رمضان بالمحرّم علی الأحوط لو لم یکن الأقویٰ </w:t>
      </w:r>
      <w:r>
        <w:rPr>
          <w:rStyle w:val="FootnoteAnchor"/>
          <w:rtl w:val="true"/>
        </w:rPr>
        <w:footnoteReference w:id="1605"/>
      </w:r>
      <w:r>
        <w:rPr>
          <w:rFonts w:ascii="IRNazanin" w:hAnsi="IRNazanin" w:eastAsia="IRNazanin"/>
          <w:color w:val="111111"/>
          <w:sz w:val="28"/>
          <w:sz w:val="28"/>
          <w:szCs w:val="28"/>
          <w:rtl w:val="true"/>
          <w:lang w:bidi="fa-IR"/>
        </w:rPr>
        <w:t>و هی عتق رقبة مع صیام شهرین متتابعین و إطعام ستّین مسکیناً</w:t>
      </w:r>
      <w:r>
        <w:rPr>
          <w:rFonts w:eastAsia="IRNazanin" w:cs="IRNazanin"/>
          <w:color w:val="111111"/>
          <w:sz w:val="28"/>
          <w:szCs w:val="28"/>
          <w:rtl w:val="true"/>
          <w:lang w:bidi="fa-IR"/>
        </w:rPr>
        <w:t>.</w:t>
      </w:r>
    </w:p>
    <w:p>
      <w:pPr>
        <w:pStyle w:val="Heading4"/>
        <w:numPr>
          <w:ilvl w:val="3"/>
          <w:numId w:val="1"/>
        </w:numPr>
        <w:rPr/>
      </w:pPr>
      <w:bookmarkStart w:id="6076" w:name="__RefHeading___Toc2570484_3650668749"/>
      <w:bookmarkStart w:id="6077" w:name="_Toc2751"/>
      <w:bookmarkEnd w:id="6076"/>
      <w:r>
        <w:rPr>
          <w:rtl w:val="true"/>
        </w:rPr>
        <w:t>[ (</w:t>
      </w:r>
      <w:r>
        <w:rPr>
          <w:rtl w:val="true"/>
        </w:rPr>
        <w:t xml:space="preserve">مسألة </w:t>
      </w:r>
      <w:r>
        <w:rPr/>
        <w:t>1</w:t>
      </w:r>
      <w:r>
        <w:rPr>
          <w:rtl w:val="true"/>
        </w:rPr>
        <w:t xml:space="preserve">): </w:t>
      </w:r>
      <w:r>
        <w:rPr>
          <w:rtl w:val="true"/>
        </w:rPr>
        <w:t>لا فرق فی جزّ المرأة شعرها بین جزّ تمام شعر رأسها، و جزّ بعضه</w:t>
      </w:r>
      <w:r>
        <w:rPr>
          <w:rtl w:val="true"/>
        </w:rPr>
        <w:t>]</w:t>
      </w:r>
      <w:bookmarkEnd w:id="60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جزّ المرأة شعرها بین جزّ تمام شعر رأسها، و جزّ بعضه بما یصدق عرفاً أنّه قد جزّت شعرها، کما أنّه لا فرق بین کونه فی مصاب زوجها و مصاب غیره، و بین القریب و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w:t>
      </w:r>
      <w:r>
        <w:rPr>
          <w:rStyle w:val="FootnoteAnchor"/>
          <w:rtl w:val="true"/>
        </w:rPr>
        <w:footnoteReference w:id="1606"/>
      </w:r>
      <w:r>
        <w:rPr>
          <w:rFonts w:ascii="IRNazanin" w:hAnsi="IRNazanin" w:eastAsia="IRNazanin"/>
          <w:color w:val="111111"/>
          <w:sz w:val="28"/>
          <w:sz w:val="28"/>
          <w:szCs w:val="28"/>
          <w:rtl w:val="true"/>
          <w:lang w:bidi="fa-IR"/>
        </w:rPr>
        <w:t>إلحاق الحلق بالجزّ، بل الأحوط إلحاق الإحراق به أیضاً</w:t>
      </w:r>
      <w:r>
        <w:rPr>
          <w:rFonts w:eastAsia="IRNazanin" w:cs="IRNazanin"/>
          <w:color w:val="111111"/>
          <w:sz w:val="28"/>
          <w:szCs w:val="28"/>
          <w:rtl w:val="true"/>
          <w:lang w:bidi="fa-IR"/>
        </w:rPr>
        <w:t>.</w:t>
      </w:r>
    </w:p>
    <w:p>
      <w:pPr>
        <w:pStyle w:val="Heading4"/>
        <w:numPr>
          <w:ilvl w:val="3"/>
          <w:numId w:val="1"/>
        </w:numPr>
        <w:rPr/>
      </w:pPr>
      <w:bookmarkStart w:id="6078" w:name="__RefHeading___Toc2570486_3650668749"/>
      <w:bookmarkStart w:id="6079" w:name="_Toc2752"/>
      <w:bookmarkEnd w:id="6078"/>
      <w:r>
        <w:rPr>
          <w:rtl w:val="true"/>
        </w:rPr>
        <w:t>[ (</w:t>
      </w:r>
      <w:r>
        <w:rPr>
          <w:rtl w:val="true"/>
        </w:rPr>
        <w:t xml:space="preserve">مسألة </w:t>
      </w:r>
      <w:r>
        <w:rPr/>
        <w:t>2</w:t>
      </w:r>
      <w:r>
        <w:rPr>
          <w:rtl w:val="true"/>
        </w:rPr>
        <w:t xml:space="preserve">): </w:t>
      </w:r>
      <w:r>
        <w:rPr>
          <w:rtl w:val="true"/>
        </w:rPr>
        <w:t>لا یعتبر فی خدش الوجه خدش تمامه بل یکفی مسمّاه</w:t>
      </w:r>
      <w:r>
        <w:rPr>
          <w:rtl w:val="true"/>
        </w:rPr>
        <w:t>]</w:t>
      </w:r>
      <w:bookmarkEnd w:id="60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خدش الوجه خدش تمامه بل یکفی مسمّاه، نعم الظاهر أنّه یعتبر فیه الإدماء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عبرة بخدش غیر الوجه و لو مع الإدماء، و لا بشقّ ثوبها و إن کان علیٰ ولدها أو زوجها، کما لا عبرة بخدش الرجل وجهه، و لا بجزّ شعره، و لا بشقّ ثوبه علیٰ غیر ولده و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فرق فی الولد بین الذکر و الأُنثی، و فی شموله لولد الولد خصوصاً ولد البنت تأمّل </w:t>
      </w:r>
      <w:r>
        <w:rPr>
          <w:rStyle w:val="FootnoteAnchor"/>
          <w:rtl w:val="true"/>
        </w:rPr>
        <w:footnoteReference w:id="1607"/>
      </w:r>
      <w:r>
        <w:rPr>
          <w:rFonts w:ascii="IRNazanin" w:hAnsi="IRNazanin" w:eastAsia="IRNazanin"/>
          <w:color w:val="111111"/>
          <w:sz w:val="28"/>
          <w:sz w:val="28"/>
          <w:szCs w:val="28"/>
          <w:rtl w:val="true"/>
          <w:lang w:bidi="fa-IR"/>
        </w:rPr>
        <w:t>و إن کان الأحوط الشمول، و کذلک فی شمول الزوجة لغیر الدائمة، فإنّه قد یشکّ فیه لکن لا یبعد الشمول، خصوصاً لمن کانت مدّتها طویلة کتسعین سنة</w:t>
      </w:r>
      <w:r>
        <w:rPr>
          <w:rFonts w:eastAsia="IRNazanin" w:cs="IRNazanin"/>
          <w:color w:val="111111"/>
          <w:sz w:val="28"/>
          <w:szCs w:val="28"/>
          <w:rtl w:val="true"/>
          <w:lang w:bidi="fa-IR"/>
        </w:rPr>
        <w:t>.</w:t>
      </w:r>
    </w:p>
    <w:p>
      <w:pPr>
        <w:pStyle w:val="Heading3"/>
        <w:numPr>
          <w:ilvl w:val="2"/>
          <w:numId w:val="1"/>
        </w:numPr>
        <w:rPr/>
      </w:pPr>
      <w:bookmarkStart w:id="6080" w:name="__RefHeading___Toc2570488_3650668749"/>
      <w:bookmarkStart w:id="6081" w:name="_Toc2753"/>
      <w:bookmarkEnd w:id="6080"/>
      <w:r>
        <w:rPr>
          <w:rtl w:val="true"/>
        </w:rPr>
        <w:t>[</w:t>
      </w:r>
      <w:r>
        <w:rPr>
          <w:rtl w:val="true"/>
        </w:rPr>
        <w:t>القول فی أحکام الکفّارات</w:t>
      </w:r>
      <w:r>
        <w:rPr>
          <w:rtl w:val="true"/>
        </w:rPr>
        <w:t>]</w:t>
      </w:r>
      <w:bookmarkEnd w:id="6081"/>
    </w:p>
    <w:p>
      <w:pPr>
        <w:pStyle w:val="Heading4"/>
        <w:numPr>
          <w:ilvl w:val="3"/>
          <w:numId w:val="1"/>
        </w:numPr>
        <w:rPr/>
      </w:pPr>
      <w:bookmarkStart w:id="6082" w:name="__RefHeading___Toc2570490_3650668749"/>
      <w:bookmarkStart w:id="6083" w:name="_Toc2754"/>
      <w:bookmarkEnd w:id="6082"/>
      <w:r>
        <w:rPr>
          <w:rtl w:val="true"/>
        </w:rPr>
        <w:t>اشارة</w:t>
      </w:r>
      <w:bookmarkEnd w:id="6083"/>
    </w:p>
    <w:p>
      <w:pPr>
        <w:pStyle w:val="BookText"/>
        <w:rPr/>
      </w:pPr>
      <w:r>
        <w:rPr>
          <w:rFonts w:ascii="IRNazanin" w:hAnsi="IRNazanin" w:eastAsia="IRNazanin"/>
          <w:color w:val="111111"/>
          <w:sz w:val="28"/>
          <w:sz w:val="28"/>
          <w:szCs w:val="28"/>
          <w:rtl w:val="true"/>
          <w:lang w:bidi="fa-IR"/>
        </w:rPr>
        <w:t>القول فی أحکام الکفّارات</w:t>
      </w:r>
    </w:p>
    <w:p>
      <w:pPr>
        <w:pStyle w:val="Heading4"/>
        <w:numPr>
          <w:ilvl w:val="3"/>
          <w:numId w:val="1"/>
        </w:numPr>
        <w:rPr/>
      </w:pPr>
      <w:bookmarkStart w:id="6084" w:name="__RefHeading___Toc2570492_3650668749"/>
      <w:bookmarkStart w:id="6085" w:name="_Toc2755"/>
      <w:bookmarkEnd w:id="6084"/>
      <w:r>
        <w:rPr>
          <w:rtl w:val="true"/>
        </w:rPr>
        <w:t>[ (</w:t>
      </w:r>
      <w:r>
        <w:rPr>
          <w:rtl w:val="true"/>
        </w:rPr>
        <w:t xml:space="preserve">مسألة </w:t>
      </w:r>
      <w:r>
        <w:rPr/>
        <w:t>1</w:t>
      </w:r>
      <w:r>
        <w:rPr>
          <w:rtl w:val="true"/>
        </w:rPr>
        <w:t xml:space="preserve">): </w:t>
      </w:r>
      <w:r>
        <w:rPr>
          <w:rtl w:val="true"/>
        </w:rPr>
        <w:t>لا یجزی عتق الکافر فی الکفّارة مطلقاً فیشترط فیه الإسلام</w:t>
      </w:r>
      <w:r>
        <w:rPr>
          <w:rtl w:val="true"/>
        </w:rPr>
        <w:t>]</w:t>
      </w:r>
      <w:bookmarkEnd w:id="6085"/>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عتق الکافر فی الکفّارة مطلقاً فیشترط فیه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یستوی فی الإجزاء الذکر و الأُنثیٰ و الکبیر و الصغیر </w:t>
      </w:r>
      <w:r>
        <w:rPr>
          <w:rStyle w:val="FootnoteAnchor"/>
          <w:rtl w:val="true"/>
        </w:rPr>
        <w:footnoteReference w:id="1608"/>
      </w:r>
      <w:r>
        <w:rPr>
          <w:rFonts w:ascii="IRNazanin" w:hAnsi="IRNazanin" w:eastAsia="IRNazanin"/>
          <w:color w:val="111111"/>
          <w:sz w:val="28"/>
          <w:sz w:val="28"/>
          <w:szCs w:val="28"/>
          <w:rtl w:val="true"/>
          <w:lang w:bidi="fa-IR"/>
        </w:rPr>
        <w:t>الذی کان بحکم المسلم؛ بأن کان أحد أبویه</w:t>
      </w:r>
      <w:bookmarkStart w:id="6086" w:name="pg1809_19621"/>
    </w:p>
    <w:p>
      <w:pPr>
        <w:pStyle w:val="BookText"/>
        <w:rPr/>
      </w:pPr>
      <w:bookmarkEnd w:id="6086"/>
      <w:r>
        <w:rPr>
          <w:rFonts w:ascii="IRNazanin" w:hAnsi="IRNazanin" w:eastAsia="IRNazanin"/>
          <w:color w:val="111111"/>
          <w:sz w:val="28"/>
          <w:sz w:val="28"/>
          <w:szCs w:val="28"/>
          <w:rtl w:val="true"/>
          <w:lang w:bidi="fa-IR"/>
        </w:rPr>
        <w:t>مسلماً، و یشترط أیضاً أن یکون سالماً من العیوب التی یوجب الانعتاق قهراً کالعمیٰ و الجذام و الإقعاد و التنکیل، و لا بأس بسائر العیوب فیجزی عتق الأصمّ و الأخرس و غیرهما، و یجزی عتق الآبق و إن لم یعلم مکانه إذا لم یعلم موته</w:t>
      </w:r>
      <w:r>
        <w:rPr>
          <w:rFonts w:eastAsia="IRNazanin" w:cs="IRNazanin"/>
          <w:color w:val="111111"/>
          <w:sz w:val="28"/>
          <w:szCs w:val="28"/>
          <w:rtl w:val="true"/>
          <w:lang w:bidi="fa-IR"/>
        </w:rPr>
        <w:t>.</w:t>
      </w:r>
    </w:p>
    <w:p>
      <w:pPr>
        <w:pStyle w:val="Heading4"/>
        <w:numPr>
          <w:ilvl w:val="3"/>
          <w:numId w:val="1"/>
        </w:numPr>
        <w:rPr/>
      </w:pPr>
      <w:bookmarkStart w:id="6087" w:name="__RefHeading___Toc2570494_3650668749"/>
      <w:bookmarkStart w:id="6088" w:name="_Toc2756"/>
      <w:bookmarkEnd w:id="6087"/>
      <w:r>
        <w:rPr>
          <w:rtl w:val="true"/>
        </w:rPr>
        <w:t>[ (</w:t>
      </w:r>
      <w:r>
        <w:rPr>
          <w:rtl w:val="true"/>
        </w:rPr>
        <w:t xml:space="preserve">مسألة </w:t>
      </w:r>
      <w:r>
        <w:rPr/>
        <w:t>2</w:t>
      </w:r>
      <w:r>
        <w:rPr>
          <w:rtl w:val="true"/>
        </w:rPr>
        <w:t xml:space="preserve">): </w:t>
      </w:r>
      <w:r>
        <w:rPr>
          <w:rtl w:val="true"/>
        </w:rPr>
        <w:t>یعتبر فی الخصال الثلاث العتق و الصیام و الإطعام النیة المشتملة علیٰ قصد العمل</w:t>
      </w:r>
      <w:r>
        <w:rPr>
          <w:rtl w:val="true"/>
        </w:rPr>
        <w:t>]</w:t>
      </w:r>
      <w:bookmarkEnd w:id="60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الخصال الثلاث العتق و الصیام و الإطعام النیة المشتملة علیٰ قصد العمل و قصد القربة و قصد کونه عن الکفّارة و تعیین نوعها إذا کانت علیه أنواع متعدّدة، فلو کانت علیه کفّارة ظهار و کفّارة یمین و کفّارة إفطار، فأعتق عبداً و نوی القربة و التکفیر لم یجز عن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المتعدّد من نوع واحد یکفی قصد النوع و لا یحتاج إلیٰ تعیین آخر، فلو أفطر أیّاماً من شهر رمضان من سنة أو سنین متعدّدة فأعتق عبداً بقصد أنّه عن کفّارة الإفطار کفیٰ و إن لم یعیّن الیوم الذی أفطر فیه، و کذلک بالنسبة إلی الصیام و الإطعام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علیه کفّارة و لا یدری نوعها کفی الإتیان بإحدی الخصال ناویاً عمّا فی ذمّته، بل لو علم أنّ علیه إعتاق عبد مثلًا و لا یدری أنّه منذور أو عن کفّارة القتل مثلًا کفیٰ إعتاق عبد بقصد ما فی الذمّة</w:t>
      </w:r>
      <w:r>
        <w:rPr>
          <w:rFonts w:eastAsia="IRNazanin" w:cs="IRNazanin"/>
          <w:color w:val="111111"/>
          <w:sz w:val="28"/>
          <w:szCs w:val="28"/>
          <w:rtl w:val="true"/>
          <w:lang w:bidi="fa-IR"/>
        </w:rPr>
        <w:t>.</w:t>
      </w:r>
    </w:p>
    <w:p>
      <w:pPr>
        <w:pStyle w:val="Heading4"/>
        <w:numPr>
          <w:ilvl w:val="3"/>
          <w:numId w:val="1"/>
        </w:numPr>
        <w:rPr/>
      </w:pPr>
      <w:bookmarkStart w:id="6089" w:name="__RefHeading___Toc2570496_3650668749"/>
      <w:bookmarkStart w:id="6090" w:name="_Toc2757"/>
      <w:bookmarkEnd w:id="6089"/>
      <w:r>
        <w:rPr>
          <w:rtl w:val="true"/>
        </w:rPr>
        <w:t>[ (</w:t>
      </w:r>
      <w:r>
        <w:rPr>
          <w:rtl w:val="true"/>
        </w:rPr>
        <w:t xml:space="preserve">مسألة </w:t>
      </w:r>
      <w:r>
        <w:rPr/>
        <w:t>3</w:t>
      </w:r>
      <w:r>
        <w:rPr>
          <w:rtl w:val="true"/>
        </w:rPr>
        <w:t xml:space="preserve">): </w:t>
      </w:r>
      <w:r>
        <w:rPr>
          <w:rtl w:val="true"/>
        </w:rPr>
        <w:t>یتحقّق العجز عن العتق الموجب لوجوب الصیام أو الإطعام فی الکفّارة المرتّبة</w:t>
      </w:r>
      <w:r>
        <w:rPr>
          <w:rtl w:val="true"/>
        </w:rPr>
        <w:t>]</w:t>
      </w:r>
      <w:bookmarkEnd w:id="6090"/>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العجز عن العتق الموجب لوجوب الصیام أو الإطعام فی الکفّارة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بعدم الرقبة، أو عدم ثمنها، أو عدم التمکّن من شرائها و إن وجد الثمن، أو احتیاجه إلیٰ خدمتها لمرض </w:t>
      </w:r>
      <w:r>
        <w:rPr>
          <w:rStyle w:val="FootnoteAnchor"/>
          <w:rtl w:val="true"/>
        </w:rPr>
        <w:footnoteReference w:id="1609"/>
      </w:r>
      <w:r>
        <w:rPr>
          <w:rFonts w:ascii="IRNazanin" w:hAnsi="IRNazanin" w:eastAsia="IRNazanin"/>
          <w:color w:val="111111"/>
          <w:sz w:val="28"/>
          <w:sz w:val="28"/>
          <w:szCs w:val="28"/>
          <w:rtl w:val="true"/>
          <w:lang w:bidi="fa-IR"/>
        </w:rPr>
        <w:t xml:space="preserve">أو کبر أو زمانة أو لرفعة شأن، أو احتیاجه إلیٰ ثمنها فی نفقته و نفقة عیاله الواجبی النفقة، أو أداء دیونه، بل کلّ واجب یجب صرف المال فیه، بل إذا لم یکن عنده إلّا مستثنیات </w:t>
      </w:r>
      <w:r>
        <w:rPr>
          <w:rStyle w:val="FootnoteAnchor"/>
          <w:rtl w:val="true"/>
        </w:rPr>
        <w:footnoteReference w:id="1610"/>
      </w:r>
      <w:r>
        <w:rPr>
          <w:rFonts w:ascii="IRNazanin" w:hAnsi="IRNazanin" w:eastAsia="IRNazanin"/>
          <w:color w:val="111111"/>
          <w:sz w:val="28"/>
          <w:sz w:val="28"/>
          <w:szCs w:val="28"/>
          <w:rtl w:val="true"/>
          <w:lang w:bidi="fa-IR"/>
        </w:rPr>
        <w:t>الدین لا تباع فی العتق و کان داخلًا فی عنوان العاجز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بیع العبد بأزید من ثمن المثل و کان عنده الثمن وجب الشراء، و لا یعدّ ذلک عجزاً إلّا إذا استلزم قبحاً و ضرراً مجحفاً، و کذا لو کان له مال غائب یصل إلیه قریباً، أو کان عنده ثمن الرقبة دون عینها و یتوقّع وجودها بعد مدّة غیر مدیدة لم یعدّ ذلک من العجز بل ینتظر، إلّا إذا شقّ علیه تأخیر التکفیر، کالمظاهر الشبق الذی یشقّ علیه </w:t>
      </w:r>
      <w:r>
        <w:rPr>
          <w:rStyle w:val="FootnoteAnchor"/>
          <w:rtl w:val="true"/>
        </w:rPr>
        <w:footnoteReference w:id="1611"/>
      </w:r>
      <w:r>
        <w:rPr>
          <w:rFonts w:ascii="IRNazanin" w:hAnsi="IRNazanin" w:eastAsia="IRNazanin"/>
          <w:color w:val="111111"/>
          <w:sz w:val="28"/>
          <w:sz w:val="28"/>
          <w:szCs w:val="28"/>
          <w:rtl w:val="true"/>
          <w:lang w:bidi="fa-IR"/>
        </w:rPr>
        <w:t>ترک مباشرة زوجته</w:t>
      </w:r>
      <w:r>
        <w:rPr>
          <w:rFonts w:eastAsia="IRNazanin" w:cs="IRNazanin"/>
          <w:color w:val="111111"/>
          <w:sz w:val="28"/>
          <w:szCs w:val="28"/>
          <w:rtl w:val="true"/>
          <w:lang w:bidi="fa-IR"/>
        </w:rPr>
        <w:t>.</w:t>
      </w:r>
      <w:bookmarkStart w:id="6091" w:name="pg1809_19624"/>
    </w:p>
    <w:p>
      <w:pPr>
        <w:pStyle w:val="BookText"/>
        <w:rPr/>
      </w:pPr>
      <w:bookmarkEnd w:id="6091"/>
      <w:r>
        <w:rPr>
          <w:rFonts w:ascii="IRNazanin" w:hAnsi="IRNazanin" w:eastAsia="IRNazanin"/>
          <w:color w:val="111111"/>
          <w:sz w:val="28"/>
          <w:sz w:val="28"/>
          <w:szCs w:val="28"/>
          <w:rtl w:val="true"/>
          <w:lang w:bidi="fa-IR"/>
        </w:rPr>
        <w:t>و یتحقّق العجز من الصیام الموجب لتعیّن الإطعام بالمرض المانع منه أو خوف حدوثه أو زیادته، و بکونه شاقّاً علیه مشقّة لا یتحمّل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یکفی وجود المرض أو خوف حدوثه أو زیادته فی الحال و لو مع رجاء البرء و تبدّل الأحوال أو یعتبر الیأس؟ وجهان بل قولان، لا یخلو أوّلهما من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رجا البرء بعد زمان قصیر کیوم أو یومین یشکل الانتقال إلی الإطعام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لو أخّر الصیام و الإطعام إلیٰ أن برئ من المرض و تمکّن من الصوم لا شکّ فی تعیّنه فی المرتّبة و لم یجز الإطعام</w:t>
      </w:r>
      <w:r>
        <w:rPr>
          <w:rFonts w:eastAsia="IRNazanin" w:cs="IRNazanin"/>
          <w:color w:val="111111"/>
          <w:sz w:val="28"/>
          <w:szCs w:val="28"/>
          <w:rtl w:val="true"/>
          <w:lang w:bidi="fa-IR"/>
        </w:rPr>
        <w:t>.</w:t>
      </w:r>
    </w:p>
    <w:p>
      <w:pPr>
        <w:pStyle w:val="Heading4"/>
        <w:numPr>
          <w:ilvl w:val="3"/>
          <w:numId w:val="1"/>
        </w:numPr>
        <w:rPr/>
      </w:pPr>
      <w:bookmarkStart w:id="6092" w:name="__RefHeading___Toc2570498_3650668749"/>
      <w:bookmarkStart w:id="6093" w:name="_Toc2758"/>
      <w:bookmarkEnd w:id="6092"/>
      <w:r>
        <w:rPr>
          <w:rtl w:val="true"/>
        </w:rPr>
        <w:t>[ (</w:t>
      </w:r>
      <w:r>
        <w:rPr>
          <w:rtl w:val="true"/>
        </w:rPr>
        <w:t xml:space="preserve">مسألة </w:t>
      </w:r>
      <w:r>
        <w:rPr/>
        <w:t>4</w:t>
      </w:r>
      <w:r>
        <w:rPr>
          <w:rtl w:val="true"/>
        </w:rPr>
        <w:t xml:space="preserve">): </w:t>
      </w:r>
      <w:r>
        <w:rPr>
          <w:rtl w:val="true"/>
        </w:rPr>
        <w:t>لیس طروّ الحیض و النفاس موجباً للعجز عن الصیام و الانتقال إلی الإطعام</w:t>
      </w:r>
      <w:r>
        <w:rPr>
          <w:rtl w:val="true"/>
        </w:rPr>
        <w:t>]</w:t>
      </w:r>
      <w:bookmarkEnd w:id="60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طروّ الحیض و النفاس موجباً للعجز عن الصیام و الانتقال إلی الإطعام، و کذا طروّ الاضطرار علی السفر الموجب للإفطار؛ لعدم انقطاع التتابع بطروّ ذلک</w:t>
      </w:r>
      <w:r>
        <w:rPr>
          <w:rFonts w:eastAsia="IRNazanin" w:cs="IRNazanin"/>
          <w:color w:val="111111"/>
          <w:sz w:val="28"/>
          <w:szCs w:val="28"/>
          <w:rtl w:val="true"/>
          <w:lang w:bidi="fa-IR"/>
        </w:rPr>
        <w:t>.</w:t>
      </w:r>
    </w:p>
    <w:p>
      <w:pPr>
        <w:pStyle w:val="Heading4"/>
        <w:numPr>
          <w:ilvl w:val="3"/>
          <w:numId w:val="1"/>
        </w:numPr>
        <w:rPr/>
      </w:pPr>
      <w:bookmarkStart w:id="6094" w:name="__RefHeading___Toc2570500_3650668749"/>
      <w:bookmarkStart w:id="6095" w:name="_Toc2759"/>
      <w:bookmarkEnd w:id="6094"/>
      <w:r>
        <w:rPr>
          <w:rtl w:val="true"/>
        </w:rPr>
        <w:t>[ (</w:t>
      </w:r>
      <w:r>
        <w:rPr>
          <w:rtl w:val="true"/>
        </w:rPr>
        <w:t xml:space="preserve">مسألة </w:t>
      </w:r>
      <w:r>
        <w:rPr/>
        <w:t>5</w:t>
      </w:r>
      <w:r>
        <w:rPr>
          <w:rtl w:val="true"/>
        </w:rPr>
        <w:t xml:space="preserve">): </w:t>
      </w:r>
      <w:r>
        <w:rPr>
          <w:rtl w:val="true"/>
        </w:rPr>
        <w:t>المعتبر فی العجز و القدرة علیٰ حال الأداء لا حال الوجوب</w:t>
      </w:r>
      <w:r>
        <w:rPr>
          <w:rtl w:val="true"/>
        </w:rPr>
        <w:t>]</w:t>
      </w:r>
      <w:bookmarkEnd w:id="60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العجز و القدرة علیٰ حال الأداء لا حال الوجوب، فلو کان حال حدوث موجب الکفّارة قادراً علی العتق عاجزاً عن الصیام فلم یعتق حتّی صار بالعکس، صار فرضه الصیام و سقط عنه وجوب العتق</w:t>
      </w:r>
      <w:r>
        <w:rPr>
          <w:rFonts w:eastAsia="IRNazanin" w:cs="IRNazanin"/>
          <w:color w:val="111111"/>
          <w:sz w:val="28"/>
          <w:szCs w:val="28"/>
          <w:rtl w:val="true"/>
          <w:lang w:bidi="fa-IR"/>
        </w:rPr>
        <w:t>.</w:t>
      </w:r>
    </w:p>
    <w:p>
      <w:pPr>
        <w:pStyle w:val="Heading4"/>
        <w:numPr>
          <w:ilvl w:val="3"/>
          <w:numId w:val="1"/>
        </w:numPr>
        <w:rPr/>
      </w:pPr>
      <w:bookmarkStart w:id="6096" w:name="__RefHeading___Toc2570502_3650668749"/>
      <w:bookmarkStart w:id="6097" w:name="_Toc2760"/>
      <w:bookmarkEnd w:id="6096"/>
      <w:r>
        <w:rPr>
          <w:rtl w:val="true"/>
        </w:rPr>
        <w:t>[ (</w:t>
      </w:r>
      <w:r>
        <w:rPr>
          <w:rtl w:val="true"/>
        </w:rPr>
        <w:t xml:space="preserve">مسألة </w:t>
      </w:r>
      <w:r>
        <w:rPr/>
        <w:t>6</w:t>
      </w:r>
      <w:r>
        <w:rPr>
          <w:rtl w:val="true"/>
        </w:rPr>
        <w:t xml:space="preserve">): </w:t>
      </w:r>
      <w:r>
        <w:rPr>
          <w:rtl w:val="true"/>
        </w:rPr>
        <w:t>إذا عجز عن العتق فی المرتّبة، فشرع فی الصوم و لو ساعة من النهار، ثمّ وجد ما یعتق</w:t>
      </w:r>
      <w:r>
        <w:rPr>
          <w:rtl w:val="true"/>
        </w:rPr>
        <w:t>]</w:t>
      </w:r>
      <w:bookmarkEnd w:id="60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 عن العتق فی المرتّبة، فشرع فی الصوم و لو ساعة من النهار، ثمّ وجد ما یعتق لم یلزمه العتق، فله إتمام الصیام و یجزی عن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جواز رفع الید عن الصوم و اختیار العتق وجه، بل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الأفضل </w:t>
      </w:r>
      <w:r>
        <w:rPr>
          <w:rStyle w:val="FootnoteAnchor"/>
          <w:rtl w:val="true"/>
        </w:rPr>
        <w:footnoteReference w:id="1612"/>
      </w:r>
      <w:r>
        <w:rPr>
          <w:rFonts w:ascii="IRNazanin" w:hAnsi="IRNazanin" w:eastAsia="IRNazanin"/>
          <w:color w:val="111111"/>
          <w:sz w:val="28"/>
          <w:sz w:val="28"/>
          <w:szCs w:val="28"/>
          <w:rtl w:val="true"/>
          <w:lang w:bidi="fa-IR"/>
        </w:rPr>
        <w:t>، لکن لا یخلو من إشکال فالأحوط إتمام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عرض ما یوجب استئنافه؛ بأن عرض فی أثنائه ما أبطل التتابع، تعیّن علیه العتق مع بقاء القدرة علیه، و کذا الکلام فیما لو عجز عن الصیام فدخل فی الإطعام ثمّ زال العجز</w:t>
      </w:r>
      <w:r>
        <w:rPr>
          <w:rFonts w:eastAsia="IRNazanin" w:cs="IRNazanin"/>
          <w:color w:val="111111"/>
          <w:sz w:val="28"/>
          <w:szCs w:val="28"/>
          <w:rtl w:val="true"/>
          <w:lang w:bidi="fa-IR"/>
        </w:rPr>
        <w:t>.</w:t>
      </w:r>
    </w:p>
    <w:p>
      <w:pPr>
        <w:pStyle w:val="Heading4"/>
        <w:numPr>
          <w:ilvl w:val="3"/>
          <w:numId w:val="1"/>
        </w:numPr>
        <w:rPr/>
      </w:pPr>
      <w:bookmarkStart w:id="6098" w:name="__RefHeading___Toc2570504_3650668749"/>
      <w:bookmarkStart w:id="6099" w:name="_Toc2761"/>
      <w:bookmarkEnd w:id="6098"/>
      <w:r>
        <w:rPr>
          <w:rtl w:val="true"/>
        </w:rPr>
        <w:t>[ (</w:t>
      </w:r>
      <w:r>
        <w:rPr>
          <w:rtl w:val="true"/>
        </w:rPr>
        <w:t xml:space="preserve">مسألة </w:t>
      </w:r>
      <w:r>
        <w:rPr/>
        <w:t>7</w:t>
      </w:r>
      <w:r>
        <w:rPr>
          <w:rtl w:val="true"/>
        </w:rPr>
        <w:t xml:space="preserve">): </w:t>
      </w:r>
      <w:r>
        <w:rPr>
          <w:rtl w:val="true"/>
        </w:rPr>
        <w:t>یجب التتابع فی الصیام فی جمیع الکفّارات بعدم تخلّل الإفطار</w:t>
      </w:r>
      <w:r>
        <w:rPr>
          <w:rtl w:val="true"/>
        </w:rPr>
        <w:t>]</w:t>
      </w:r>
      <w:bookmarkEnd w:id="6099"/>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التتابع فی الصیام فی جمیع </w:t>
      </w:r>
      <w:r>
        <w:rPr>
          <w:rStyle w:val="FootnoteAnchor"/>
          <w:rtl w:val="true"/>
        </w:rPr>
        <w:footnoteReference w:id="1613"/>
      </w:r>
      <w:r>
        <w:rPr>
          <w:rFonts w:ascii="IRNazanin" w:hAnsi="IRNazanin" w:eastAsia="IRNazanin"/>
          <w:color w:val="111111"/>
          <w:sz w:val="28"/>
          <w:sz w:val="28"/>
          <w:szCs w:val="28"/>
          <w:rtl w:val="true"/>
          <w:lang w:bidi="fa-IR"/>
        </w:rPr>
        <w:t xml:space="preserve">الکفّارات بعدم تخلّل الإفطار و لا صوم آخر غیر الکفّارة </w:t>
      </w:r>
      <w:r>
        <w:rPr>
          <w:rStyle w:val="FootnoteAnchor"/>
          <w:rtl w:val="true"/>
        </w:rPr>
        <w:footnoteReference w:id="1614"/>
      </w:r>
      <w:r>
        <w:rPr>
          <w:rFonts w:ascii="IRNazanin" w:hAnsi="IRNazanin" w:eastAsia="IRNazanin"/>
          <w:color w:val="111111"/>
          <w:sz w:val="28"/>
          <w:sz w:val="28"/>
          <w:szCs w:val="28"/>
          <w:rtl w:val="true"/>
          <w:lang w:bidi="fa-IR"/>
        </w:rPr>
        <w:t>بین أیّامها، من غیر فرق بین ما وجب فیه شهران مرتّباً علیٰ غیره أو مخیّراً أو جمعاً، و کذا بین ما وجب فیه شهران و ما وجب فیه ثلاثة أیّام ککفّارة الیمین، و متیٰ أخلّ بالتتابع وجب الاستئناف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یتفرّع علیٰ وجوب التتابع أنّه لا یجوز الشروع فی الصوم من زمان یعلم بتخلّل صوم آخر یجب فی زمان معیّن بین أیّامه، فلو شرع فی</w:t>
      </w:r>
      <w:bookmarkStart w:id="6100" w:name="pg1809_19626"/>
    </w:p>
    <w:p>
      <w:pPr>
        <w:pStyle w:val="BookText"/>
        <w:rPr/>
      </w:pPr>
      <w:bookmarkEnd w:id="6100"/>
      <w:r>
        <w:rPr>
          <w:rFonts w:ascii="IRNazanin" w:hAnsi="IRNazanin" w:eastAsia="IRNazanin"/>
          <w:color w:val="111111"/>
          <w:sz w:val="28"/>
          <w:sz w:val="28"/>
          <w:szCs w:val="28"/>
          <w:rtl w:val="true"/>
          <w:lang w:bidi="fa-IR"/>
        </w:rPr>
        <w:t>صیام ثلاثة أیّام قبل شهر رمضان أو قبل خمیس معیّن نذر صومه بیوم أو یومین لم یجز، بل وجب استئنافه</w:t>
      </w:r>
      <w:r>
        <w:rPr>
          <w:rFonts w:eastAsia="IRNazanin" w:cs="IRNazanin"/>
          <w:color w:val="111111"/>
          <w:sz w:val="28"/>
          <w:szCs w:val="28"/>
          <w:rtl w:val="true"/>
          <w:lang w:bidi="fa-IR"/>
        </w:rPr>
        <w:t>.</w:t>
      </w:r>
    </w:p>
    <w:p>
      <w:pPr>
        <w:pStyle w:val="Heading4"/>
        <w:numPr>
          <w:ilvl w:val="3"/>
          <w:numId w:val="1"/>
        </w:numPr>
        <w:rPr/>
      </w:pPr>
      <w:bookmarkStart w:id="6101" w:name="__RefHeading___Toc2570506_3650668749"/>
      <w:bookmarkStart w:id="6102" w:name="_Toc2762"/>
      <w:bookmarkEnd w:id="6101"/>
      <w:r>
        <w:rPr>
          <w:rtl w:val="true"/>
        </w:rPr>
        <w:t>[ (</w:t>
      </w:r>
      <w:r>
        <w:rPr>
          <w:rtl w:val="true"/>
        </w:rPr>
        <w:t xml:space="preserve">مسألة </w:t>
      </w:r>
      <w:r>
        <w:rPr/>
        <w:t>8</w:t>
      </w:r>
      <w:r>
        <w:rPr>
          <w:rtl w:val="true"/>
        </w:rPr>
        <w:t xml:space="preserve">): </w:t>
      </w:r>
      <w:r>
        <w:rPr>
          <w:rtl w:val="true"/>
        </w:rPr>
        <w:t>إنّما یضرّ بالتتابع ما إذا وقع الإفطار فی البین بالاختیار</w:t>
      </w:r>
      <w:r>
        <w:rPr>
          <w:rtl w:val="true"/>
        </w:rPr>
        <w:t>]</w:t>
      </w:r>
      <w:bookmarkEnd w:id="6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یضرّ بالتتابع ما إذا وقع الإفطار فی البین بالاختیار، فلو وقع ذلک لعذر من الأعذار کما إذا کان الإفطار بسبب الإکراه أو الاضطرار أو بسبب عروض المرض أو طروّ الحیض أو النفاس لم یضرّ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العذر وقوع السفر فی الأثناء إذا کان ضروریّاً دون ما کان بالاختیار، و کذا منه ما إذا نسی النیّة حتّی فات وقتها؛ بأن تذکّر بعد الزوال، و کذا الحال فیما إذا کان تخلّل صوم آخر فی البین لا بالاختیار کما إذا نسی فنویٰ صوماً آخر و لم یتذکّر إلّا بعد الزوال، و منه ما إذا نذر صوم کلّ خمیس مثلًا ثمّ وجب علیه صوم شهرین متتابعین فلا یضرّ بالتتابع تخلّل المنذور فی البین و لا یتعیّن علیه البدل فی المخیّرة و لا ینتقل إلی الإطعام فی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صوم ثلاثة أیّام یخلّ </w:t>
      </w:r>
      <w:r>
        <w:rPr>
          <w:rStyle w:val="FootnoteAnchor"/>
          <w:rtl w:val="true"/>
        </w:rPr>
        <w:footnoteReference w:id="1615"/>
      </w:r>
      <w:r>
        <w:rPr>
          <w:rFonts w:ascii="IRNazanin" w:hAnsi="IRNazanin" w:eastAsia="IRNazanin"/>
          <w:color w:val="111111"/>
          <w:sz w:val="28"/>
          <w:sz w:val="28"/>
          <w:szCs w:val="28"/>
          <w:rtl w:val="true"/>
          <w:lang w:bidi="fa-IR"/>
        </w:rPr>
        <w:t>تخلّله، فیلزم الشروع فیها من زمان لم یتخلّل المنذور بینها کما أشرنا إلیه فی المسألة السابقة</w:t>
      </w:r>
      <w:r>
        <w:rPr>
          <w:rFonts w:eastAsia="IRNazanin" w:cs="IRNazanin"/>
          <w:color w:val="111111"/>
          <w:sz w:val="28"/>
          <w:szCs w:val="28"/>
          <w:rtl w:val="true"/>
          <w:lang w:bidi="fa-IR"/>
        </w:rPr>
        <w:t>.</w:t>
      </w:r>
    </w:p>
    <w:p>
      <w:pPr>
        <w:pStyle w:val="Heading4"/>
        <w:numPr>
          <w:ilvl w:val="3"/>
          <w:numId w:val="1"/>
        </w:numPr>
        <w:rPr/>
      </w:pPr>
      <w:bookmarkStart w:id="6103" w:name="__RefHeading___Toc2570508_3650668749"/>
      <w:bookmarkStart w:id="6104" w:name="_Toc2763"/>
      <w:bookmarkEnd w:id="6103"/>
      <w:r>
        <w:rPr>
          <w:rtl w:val="true"/>
        </w:rPr>
        <w:t>[ (</w:t>
      </w:r>
      <w:r>
        <w:rPr>
          <w:rtl w:val="true"/>
        </w:rPr>
        <w:t xml:space="preserve">مسألة </w:t>
      </w:r>
      <w:r>
        <w:rPr/>
        <w:t>9</w:t>
      </w:r>
      <w:r>
        <w:rPr>
          <w:rtl w:val="true"/>
        </w:rPr>
        <w:t xml:space="preserve">): </w:t>
      </w:r>
      <w:r>
        <w:rPr>
          <w:rtl w:val="true"/>
        </w:rPr>
        <w:t>یکفی فی تتابع الشهرین فی الکفّارة مرتّبة کانت أو مخیّرة صیام شهر و یوم متتابعاً</w:t>
      </w:r>
      <w:r>
        <w:rPr>
          <w:rtl w:val="true"/>
        </w:rPr>
        <w:t>]</w:t>
      </w:r>
      <w:bookmarkEnd w:id="6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تتابع الشهرین فی الکفّارة مرتّبة کانت أو مخیّرة صیام شهر و یوم متتابعاً، و یجوز له التفریق فی البقیّة و لو اختیاراً لا 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علیه صیام شهرین متتابعین یجوز له الشروع فیه قبل شعبان بیوم و لا یجوز له الاقتصار علیٰ شعبان لتخلّل شهر رمضان قبل إکمال شهر و یوم، و کذا یجوز له الشروع قبل الأضحیٰ بواحد و ثلاثین یوماً و لا یجوز قبله بثلاثین</w:t>
      </w:r>
      <w:r>
        <w:rPr>
          <w:rFonts w:eastAsia="IRNazanin" w:cs="IRNazanin"/>
          <w:color w:val="111111"/>
          <w:sz w:val="28"/>
          <w:szCs w:val="28"/>
          <w:rtl w:val="true"/>
          <w:lang w:bidi="fa-IR"/>
        </w:rPr>
        <w:t>.</w:t>
      </w:r>
    </w:p>
    <w:p>
      <w:pPr>
        <w:pStyle w:val="Heading4"/>
        <w:numPr>
          <w:ilvl w:val="3"/>
          <w:numId w:val="1"/>
        </w:numPr>
        <w:rPr/>
      </w:pPr>
      <w:bookmarkStart w:id="6105" w:name="__RefHeading___Toc2570510_3650668749"/>
      <w:bookmarkStart w:id="6106" w:name="_Toc2764"/>
      <w:bookmarkEnd w:id="6105"/>
      <w:r>
        <w:rPr>
          <w:rtl w:val="true"/>
        </w:rPr>
        <w:t>[ (</w:t>
      </w:r>
      <w:r>
        <w:rPr>
          <w:rtl w:val="true"/>
        </w:rPr>
        <w:t xml:space="preserve">مسألة </w:t>
      </w:r>
      <w:r>
        <w:rPr/>
        <w:t>10</w:t>
      </w:r>
      <w:r>
        <w:rPr>
          <w:rtl w:val="true"/>
        </w:rPr>
        <w:t xml:space="preserve">): </w:t>
      </w:r>
      <w:r>
        <w:rPr>
          <w:rtl w:val="true"/>
        </w:rPr>
        <w:t>من وجب علیه صیام شهرین، فإن شرع فیه من أوّل الشهر یجزی هلالیّان</w:t>
      </w:r>
      <w:r>
        <w:rPr>
          <w:rtl w:val="true"/>
        </w:rPr>
        <w:t>]</w:t>
      </w:r>
      <w:bookmarkEnd w:id="6106"/>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وجب علیه صیام شهرین، فإن شرع فیه من أوّل الشهر یجزی هلالیّان و إن کانا ناقصین، و إن شرع فی أثناء الشهر و إن کان فیه وجوه </w:t>
      </w:r>
      <w:r>
        <w:rPr>
          <w:rStyle w:val="FootnoteAnchor"/>
          <w:rtl w:val="true"/>
        </w:rPr>
        <w:footnoteReference w:id="1616"/>
      </w:r>
      <w:r>
        <w:rPr>
          <w:rFonts w:ascii="IRNazanin" w:hAnsi="IRNazanin" w:eastAsia="IRNazanin"/>
          <w:color w:val="111111"/>
          <w:sz w:val="28"/>
          <w:sz w:val="28"/>
          <w:szCs w:val="28"/>
          <w:rtl w:val="true"/>
          <w:lang w:bidi="fa-IR"/>
        </w:rPr>
        <w:t>بل أقوال، و لکن الأحوط انکسار الشهرین و جعل کلّ شهر ثلاثین، فیصوم ستّین یوماً مطلقاً؛ سواء کان الشهر الذی شرع فیه مع تالیه تامّین أو ناقصین أو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یتعیّن ذلک بلا إشکال فیما إذا وقع التفریق بین الأیّام بتخلّل ما لا یضرّ بالتتابع شرعاً</w:t>
      </w:r>
      <w:r>
        <w:rPr>
          <w:rFonts w:eastAsia="IRNazanin" w:cs="IRNazanin"/>
          <w:color w:val="111111"/>
          <w:sz w:val="28"/>
          <w:szCs w:val="28"/>
          <w:rtl w:val="true"/>
          <w:lang w:bidi="fa-IR"/>
        </w:rPr>
        <w:t>.</w:t>
      </w:r>
      <w:bookmarkStart w:id="6107" w:name="pg1809_19628"/>
    </w:p>
    <w:p>
      <w:pPr>
        <w:pStyle w:val="Heading4"/>
        <w:numPr>
          <w:ilvl w:val="3"/>
          <w:numId w:val="1"/>
        </w:numPr>
        <w:rPr/>
      </w:pPr>
      <w:bookmarkStart w:id="6108" w:name="__RefHeading___Toc2570512_3650668749"/>
      <w:bookmarkStart w:id="6109" w:name="_Toc2765"/>
      <w:bookmarkEnd w:id="6107"/>
      <w:bookmarkEnd w:id="6108"/>
      <w:r>
        <w:rPr>
          <w:rtl w:val="true"/>
        </w:rPr>
        <w:t>[ (</w:t>
      </w:r>
      <w:r>
        <w:rPr>
          <w:rtl w:val="true"/>
        </w:rPr>
        <w:t xml:space="preserve">مسألة </w:t>
      </w:r>
      <w:r>
        <w:rPr/>
        <w:t>11</w:t>
      </w:r>
      <w:r>
        <w:rPr>
          <w:rtl w:val="true"/>
        </w:rPr>
        <w:t xml:space="preserve">): </w:t>
      </w:r>
      <w:r>
        <w:rPr>
          <w:rtl w:val="true"/>
        </w:rPr>
        <w:t>یتخیّر فی الإطعام الواجب فی الکفّارات بین إشباع المساکین و التسلیم لهم</w:t>
      </w:r>
      <w:r>
        <w:rPr>
          <w:rtl w:val="true"/>
        </w:rPr>
        <w:t>]</w:t>
      </w:r>
      <w:bookmarkEnd w:id="6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فی الإطعام الواجب فی الکفّارات بین إشباع المساکین و التسلیم لهم، و یجوز إشباع البعض و التسلیم إلی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یتقدّر الإشباع بمقدار بل المدار علیٰ أن یأکلوا بمقدار شبعهم قلّ أو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التسلیم فلا بدّ من أن یسلّم إلیٰ کلّ منهم مدّاً من الطعام لا أقلّ، و الأفضل بل الأحوط 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 کلّ من النحوین کمال العدد من ستّین أو عشرة فلا یجزی إشباع ثلاثین أو خمسة مرّتین أو تسلیم کلّ واحد منهم مدّین، و لا یجب الاجتماع لا فی التسلیم و لا فی الإشباع فلو أطعم ستّین مسکیناً فی أوقات متفرّقة من بلاد مختلفة و لو کان هذا فی سنة و ذلک فی سنة أُخری لأجزأ و کفی</w:t>
      </w:r>
      <w:r>
        <w:rPr>
          <w:rFonts w:eastAsia="IRNazanin" w:cs="IRNazanin"/>
          <w:color w:val="111111"/>
          <w:sz w:val="28"/>
          <w:szCs w:val="28"/>
          <w:rtl w:val="true"/>
          <w:lang w:bidi="fa-IR"/>
        </w:rPr>
        <w:t>.</w:t>
      </w:r>
    </w:p>
    <w:p>
      <w:pPr>
        <w:pStyle w:val="Heading4"/>
        <w:numPr>
          <w:ilvl w:val="3"/>
          <w:numId w:val="1"/>
        </w:numPr>
        <w:rPr/>
      </w:pPr>
      <w:bookmarkStart w:id="6110" w:name="__RefHeading___Toc2570514_3650668749"/>
      <w:bookmarkStart w:id="6111" w:name="_Toc2766"/>
      <w:bookmarkEnd w:id="6110"/>
      <w:r>
        <w:rPr>
          <w:rtl w:val="true"/>
        </w:rPr>
        <w:t>[ (</w:t>
      </w:r>
      <w:r>
        <w:rPr>
          <w:rtl w:val="true"/>
        </w:rPr>
        <w:t xml:space="preserve">مسألة </w:t>
      </w:r>
      <w:r>
        <w:rPr/>
        <w:t>12</w:t>
      </w:r>
      <w:r>
        <w:rPr>
          <w:rtl w:val="true"/>
        </w:rPr>
        <w:t xml:space="preserve">): </w:t>
      </w:r>
      <w:r>
        <w:rPr>
          <w:rtl w:val="true"/>
        </w:rPr>
        <w:t>الواجب فی الإشباع إشباع کلّ واحد من العدد مرّة</w:t>
      </w:r>
      <w:r>
        <w:rPr>
          <w:rtl w:val="true"/>
        </w:rPr>
        <w:t>]</w:t>
      </w:r>
      <w:bookmarkEnd w:id="6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فی الإشباع إشباع کلّ واحد من العدد مرّة و إن کان الأفضل إشباعه فی یومه و لیله غداة و عشاءً</w:t>
      </w:r>
      <w:r>
        <w:rPr>
          <w:rFonts w:eastAsia="IRNazanin" w:cs="IRNazanin"/>
          <w:color w:val="111111"/>
          <w:sz w:val="28"/>
          <w:szCs w:val="28"/>
          <w:rtl w:val="true"/>
          <w:lang w:bidi="fa-IR"/>
        </w:rPr>
        <w:t>.</w:t>
      </w:r>
    </w:p>
    <w:p>
      <w:pPr>
        <w:pStyle w:val="Heading4"/>
        <w:numPr>
          <w:ilvl w:val="3"/>
          <w:numId w:val="1"/>
        </w:numPr>
        <w:rPr/>
      </w:pPr>
      <w:bookmarkStart w:id="6112" w:name="__RefHeading___Toc2570516_3650668749"/>
      <w:bookmarkStart w:id="6113" w:name="_Toc2767"/>
      <w:bookmarkEnd w:id="6112"/>
      <w:r>
        <w:rPr>
          <w:rtl w:val="true"/>
        </w:rPr>
        <w:t>[ (</w:t>
      </w:r>
      <w:r>
        <w:rPr>
          <w:rtl w:val="true"/>
        </w:rPr>
        <w:t xml:space="preserve">مسألة </w:t>
      </w:r>
      <w:r>
        <w:rPr/>
        <w:t>13</w:t>
      </w:r>
      <w:r>
        <w:rPr>
          <w:rtl w:val="true"/>
        </w:rPr>
        <w:t xml:space="preserve">): </w:t>
      </w:r>
      <w:r>
        <w:rPr>
          <w:rtl w:val="true"/>
        </w:rPr>
        <w:t>یجزی فی الإشباع کلّ ما یتعارف التغذّی و التقوّت به لغالب الناس</w:t>
      </w:r>
      <w:r>
        <w:rPr>
          <w:rtl w:val="true"/>
        </w:rPr>
        <w:t>]</w:t>
      </w:r>
      <w:bookmarkEnd w:id="6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 </w:t>
      </w:r>
      <w:r>
        <w:rPr>
          <w:rStyle w:val="FootnoteAnchor"/>
          <w:rtl w:val="true"/>
        </w:rPr>
        <w:footnoteReference w:id="1617"/>
      </w:r>
      <w:r>
        <w:rPr>
          <w:rFonts w:ascii="IRNazanin" w:hAnsi="IRNazanin" w:eastAsia="IRNazanin"/>
          <w:color w:val="111111"/>
          <w:sz w:val="28"/>
          <w:sz w:val="28"/>
          <w:szCs w:val="28"/>
          <w:rtl w:val="true"/>
          <w:lang w:bidi="fa-IR"/>
        </w:rPr>
        <w:t>فی الإشباع کلّ ما یتعارف التغذّی و التقوّت به لغالب الناس؛ من المطبوخ، و ما یُصنع من أنواع الأطعمة، و من الخبز من أیّ جنس کان ممّا یتعارف تخبیزه من حنطة أو شعیر أو ذرة أو دخن و غیرها و إن کان بلا إدام، و الأفضل أن یکون مع الإدام، و هو کلّ ما جرت العادة علیٰ أکله مع الخبز جامداً أو مائعاً و إن کان خلّا أو ملحاً أو بصلًا، و کلّ ما کان أفضل کان أفضل و فی التسلیم بذل ما یسمّیٰ طعاماً من نیٍّ و مطبوخ؛ من الحنطة و الشعیر و دقیقهما و خبزهما و الأرز و غیر ذلک، و الأحوط الحنطة أو دقیقة، و یجزی التمر و الزبیب تسلیماً و إشباعاً</w:t>
      </w:r>
      <w:r>
        <w:rPr>
          <w:rFonts w:eastAsia="IRNazanin" w:cs="IRNazanin"/>
          <w:color w:val="111111"/>
          <w:sz w:val="28"/>
          <w:szCs w:val="28"/>
          <w:rtl w:val="true"/>
          <w:lang w:bidi="fa-IR"/>
        </w:rPr>
        <w:t>.</w:t>
      </w:r>
    </w:p>
    <w:p>
      <w:pPr>
        <w:pStyle w:val="Heading4"/>
        <w:numPr>
          <w:ilvl w:val="3"/>
          <w:numId w:val="1"/>
        </w:numPr>
        <w:rPr/>
      </w:pPr>
      <w:bookmarkStart w:id="6114" w:name="__RefHeading___Toc2570518_3650668749"/>
      <w:bookmarkStart w:id="6115" w:name="_Toc2768"/>
      <w:bookmarkEnd w:id="6114"/>
      <w:r>
        <w:rPr>
          <w:rtl w:val="true"/>
        </w:rPr>
        <w:t>[ (</w:t>
      </w:r>
      <w:r>
        <w:rPr>
          <w:rtl w:val="true"/>
        </w:rPr>
        <w:t xml:space="preserve">مسألة </w:t>
      </w:r>
      <w:r>
        <w:rPr/>
        <w:t>14</w:t>
      </w:r>
      <w:r>
        <w:rPr>
          <w:rtl w:val="true"/>
        </w:rPr>
        <w:t xml:space="preserve">): </w:t>
      </w:r>
      <w:r>
        <w:rPr>
          <w:rtl w:val="true"/>
        </w:rPr>
        <w:t>التسلیم إلی المسکین تملیک له کسائر الصدقات</w:t>
      </w:r>
      <w:r>
        <w:rPr>
          <w:rtl w:val="true"/>
        </w:rPr>
        <w:t>]</w:t>
      </w:r>
      <w:bookmarkEnd w:id="6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إلی المسکین تملیک له کسائر الصدقات، فیملک ما قبضه و یفعل به ما شاء، و لا یتعیّن علیه صرفه فی الأکل</w:t>
      </w:r>
      <w:r>
        <w:rPr>
          <w:rFonts w:eastAsia="IRNazanin" w:cs="IRNazanin"/>
          <w:color w:val="111111"/>
          <w:sz w:val="28"/>
          <w:szCs w:val="28"/>
          <w:rtl w:val="true"/>
          <w:lang w:bidi="fa-IR"/>
        </w:rPr>
        <w:t>.</w:t>
      </w:r>
    </w:p>
    <w:p>
      <w:pPr>
        <w:pStyle w:val="Heading4"/>
        <w:numPr>
          <w:ilvl w:val="3"/>
          <w:numId w:val="1"/>
        </w:numPr>
        <w:rPr/>
      </w:pPr>
      <w:bookmarkStart w:id="6116" w:name="__RefHeading___Toc2570520_3650668749"/>
      <w:bookmarkStart w:id="6117" w:name="_Toc2769"/>
      <w:bookmarkEnd w:id="6116"/>
      <w:r>
        <w:rPr>
          <w:rtl w:val="true"/>
        </w:rPr>
        <w:t>[ (</w:t>
      </w:r>
      <w:r>
        <w:rPr>
          <w:rtl w:val="true"/>
        </w:rPr>
        <w:t xml:space="preserve">مسألة </w:t>
      </w:r>
      <w:r>
        <w:rPr/>
        <w:t>15</w:t>
      </w:r>
      <w:r>
        <w:rPr>
          <w:rtl w:val="true"/>
        </w:rPr>
        <w:t xml:space="preserve">): </w:t>
      </w:r>
      <w:r>
        <w:rPr>
          <w:rtl w:val="true"/>
        </w:rPr>
        <w:t>یتساوی الصغیر و الکبیر إن کان التکفیر بنحو التسلیم</w:t>
      </w:r>
      <w:r>
        <w:rPr>
          <w:rtl w:val="true"/>
        </w:rPr>
        <w:t>]</w:t>
      </w:r>
      <w:bookmarkEnd w:id="6117"/>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یتساوی الصغیر و الکبیر إن کان التکفیر بنحو التسلیم، فیعطی الصغیر مدّاً من طعام کما یعطی الکبیر و إن کان اللازم فی الصغیر التسلیم إلی الولیّ، و إن کان بنحو الإشباع فکذلک إذا اختلط </w:t>
      </w:r>
      <w:r>
        <w:rPr>
          <w:rStyle w:val="FootnoteAnchor"/>
          <w:rtl w:val="true"/>
        </w:rPr>
        <w:footnoteReference w:id="1618"/>
      </w:r>
      <w:r>
        <w:rPr>
          <w:rFonts w:ascii="IRNazanin" w:hAnsi="IRNazanin" w:eastAsia="IRNazanin"/>
          <w:color w:val="111111"/>
          <w:sz w:val="28"/>
          <w:sz w:val="28"/>
          <w:szCs w:val="28"/>
          <w:rtl w:val="true"/>
          <w:lang w:bidi="fa-IR"/>
        </w:rPr>
        <w:t>الصغار مع الکبار، فإذا أشبع عائلة کانت ستّین نفساً مشتملة علیٰ کبار و صغار أجزأ، و إن کان الصغار منفردین فاللازم احتساب اثنین</w:t>
      </w:r>
      <w:bookmarkStart w:id="6118" w:name="pg1809_19630"/>
    </w:p>
    <w:p>
      <w:pPr>
        <w:pStyle w:val="BookText"/>
        <w:rPr/>
      </w:pPr>
      <w:bookmarkEnd w:id="6118"/>
      <w:r>
        <w:rPr>
          <w:rFonts w:ascii="IRNazanin" w:hAnsi="IRNazanin" w:eastAsia="IRNazanin"/>
          <w:color w:val="111111"/>
          <w:sz w:val="28"/>
          <w:sz w:val="28"/>
          <w:szCs w:val="28"/>
          <w:rtl w:val="true"/>
          <w:lang w:bidi="fa-IR"/>
        </w:rPr>
        <w:t>بواحد، فیلزم إشباع مائة و عشرین بدل ستّین و عشرین بدل عشرة، و الظاهر أنّه لا یعتبر فی إشباع الصغیر إذن الولیّ</w:t>
      </w:r>
      <w:r>
        <w:rPr>
          <w:rFonts w:eastAsia="IRNazanin" w:cs="IRNazanin"/>
          <w:color w:val="111111"/>
          <w:sz w:val="28"/>
          <w:szCs w:val="28"/>
          <w:rtl w:val="true"/>
          <w:lang w:bidi="fa-IR"/>
        </w:rPr>
        <w:t>.</w:t>
      </w:r>
    </w:p>
    <w:p>
      <w:pPr>
        <w:pStyle w:val="Heading4"/>
        <w:numPr>
          <w:ilvl w:val="3"/>
          <w:numId w:val="1"/>
        </w:numPr>
        <w:rPr/>
      </w:pPr>
      <w:bookmarkStart w:id="6119" w:name="__RefHeading___Toc2570522_3650668749"/>
      <w:bookmarkStart w:id="6120" w:name="_Toc2770"/>
      <w:bookmarkEnd w:id="6119"/>
      <w:r>
        <w:rPr>
          <w:rtl w:val="true"/>
        </w:rPr>
        <w:t>[ (</w:t>
      </w:r>
      <w:r>
        <w:rPr>
          <w:rtl w:val="true"/>
        </w:rPr>
        <w:t xml:space="preserve">مسألة </w:t>
      </w:r>
      <w:r>
        <w:rPr/>
        <w:t>16</w:t>
      </w:r>
      <w:r>
        <w:rPr>
          <w:rtl w:val="true"/>
        </w:rPr>
        <w:t xml:space="preserve">): </w:t>
      </w:r>
      <w:r>
        <w:rPr>
          <w:rtl w:val="true"/>
        </w:rPr>
        <w:t>لا إشکال فی جواز إعطاء کلّ مسکین أزید من مدّ من کفّارات متعدّدة</w:t>
      </w:r>
      <w:r>
        <w:rPr>
          <w:rtl w:val="true"/>
        </w:rPr>
        <w:t>]</w:t>
      </w:r>
      <w:bookmarkEnd w:id="6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إعطاء کلّ مسکین أزید من مدّ من کفّارات متعدّدة و لو مع الاختیار، من غیر فرق بین الإشباع و التسلیم، فلو أفطر تمام شهر رمضان جاز له إشباع ستّین شخصاً معیّنین فی ثلاثین یوماً، أو تسلیم ثلاثین مدّاً من طعام لکلّ واحد منهم و إن وجد غیرهم</w:t>
      </w:r>
      <w:r>
        <w:rPr>
          <w:rFonts w:eastAsia="IRNazanin" w:cs="IRNazanin"/>
          <w:color w:val="111111"/>
          <w:sz w:val="28"/>
          <w:szCs w:val="28"/>
          <w:rtl w:val="true"/>
          <w:lang w:bidi="fa-IR"/>
        </w:rPr>
        <w:t>.</w:t>
      </w:r>
    </w:p>
    <w:p>
      <w:pPr>
        <w:pStyle w:val="Heading4"/>
        <w:numPr>
          <w:ilvl w:val="3"/>
          <w:numId w:val="1"/>
        </w:numPr>
        <w:rPr/>
      </w:pPr>
      <w:bookmarkStart w:id="6121" w:name="__RefHeading___Toc2570524_3650668749"/>
      <w:bookmarkStart w:id="6122" w:name="_Toc2771"/>
      <w:bookmarkEnd w:id="6121"/>
      <w:r>
        <w:rPr>
          <w:rtl w:val="true"/>
        </w:rPr>
        <w:t>[ (</w:t>
      </w:r>
      <w:r>
        <w:rPr>
          <w:rtl w:val="true"/>
        </w:rPr>
        <w:t xml:space="preserve">مسألة </w:t>
      </w:r>
      <w:r>
        <w:rPr/>
        <w:t>17</w:t>
      </w:r>
      <w:r>
        <w:rPr>
          <w:rtl w:val="true"/>
        </w:rPr>
        <w:t xml:space="preserve">): </w:t>
      </w:r>
      <w:r>
        <w:rPr>
          <w:rtl w:val="true"/>
        </w:rPr>
        <w:t>لو تعذّر العدد فی البلد وجب النقل إلیٰ غیره و إن تعذّر انتظر</w:t>
      </w:r>
      <w:r>
        <w:rPr>
          <w:rtl w:val="true"/>
        </w:rPr>
        <w:t>]</w:t>
      </w:r>
      <w:bookmarkEnd w:id="6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تعذّر العدد فی البلد وجب النقل إلیٰ غیره و إن تعذّر انتظر، و لو وجد بعض العدد کرّر علی الموجود حتّی یستوفی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یقتصر فی التکرار علیٰ مقدار التعذّر فلو تمکّن من عشرة کرّر علیهم ستّ مرّات و لا یجوز التکرار علیٰ خمسة اثنتی عشرة مرّة، و الأحوط عند تعذّر العدد الاقتصار علی الإشباع دون التسلیم، و أن یکون فی أیّام متعدّدة</w:t>
      </w:r>
      <w:r>
        <w:rPr>
          <w:rFonts w:eastAsia="IRNazanin" w:cs="IRNazanin"/>
          <w:color w:val="111111"/>
          <w:sz w:val="28"/>
          <w:szCs w:val="28"/>
          <w:rtl w:val="true"/>
          <w:lang w:bidi="fa-IR"/>
        </w:rPr>
        <w:t>.</w:t>
      </w:r>
    </w:p>
    <w:p>
      <w:pPr>
        <w:pStyle w:val="Heading4"/>
        <w:numPr>
          <w:ilvl w:val="3"/>
          <w:numId w:val="1"/>
        </w:numPr>
        <w:rPr/>
      </w:pPr>
      <w:bookmarkStart w:id="6123" w:name="__RefHeading___Toc2570526_3650668749"/>
      <w:bookmarkStart w:id="6124" w:name="_Toc2772"/>
      <w:bookmarkEnd w:id="6123"/>
      <w:r>
        <w:rPr>
          <w:rtl w:val="true"/>
        </w:rPr>
        <w:t>[ (</w:t>
      </w:r>
      <w:r>
        <w:rPr>
          <w:rtl w:val="true"/>
        </w:rPr>
        <w:t xml:space="preserve">مسألة </w:t>
      </w:r>
      <w:r>
        <w:rPr/>
        <w:t>18</w:t>
      </w:r>
      <w:r>
        <w:rPr>
          <w:rtl w:val="true"/>
        </w:rPr>
        <w:t xml:space="preserve">): </w:t>
      </w:r>
      <w:r>
        <w:rPr>
          <w:rtl w:val="true"/>
        </w:rPr>
        <w:t>المراد بالمسکین الذی هو مصرف الکفّارة هو الفقیر الذی یستحقّ الزکاة</w:t>
      </w:r>
      <w:r>
        <w:rPr>
          <w:rtl w:val="true"/>
        </w:rPr>
        <w:t>]</w:t>
      </w:r>
      <w:bookmarkEnd w:id="6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بالمسکین الذی هو مصرف الکفّارة هو الفقیر الذی یستحقّ الزکاة، و هو من لم یملک قوت سنته لا فعلًا و لا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یشترط فیه الإسلام بل الإیمان علی الأحوط </w:t>
      </w:r>
      <w:r>
        <w:rPr>
          <w:rStyle w:val="FootnoteAnchor"/>
          <w:rtl w:val="true"/>
        </w:rPr>
        <w:footnoteReference w:id="1619"/>
      </w:r>
      <w:r>
        <w:rPr>
          <w:rFonts w:ascii="IRNazanin" w:hAnsi="IRNazanin" w:eastAsia="IRNazanin"/>
          <w:color w:val="111111"/>
          <w:sz w:val="28"/>
          <w:sz w:val="28"/>
          <w:szCs w:val="28"/>
          <w:rtl w:val="true"/>
          <w:lang w:bidi="fa-IR"/>
        </w:rPr>
        <w:t>، و أن لا یکون ممّن یجب نفقته علی الدافع، کالوالدین و الأولاد و المملوک و الزوجة الدائمة، دون المنقطعة و دون سائر الأقارب و الأرحام حتّی الإخوة و الأخوات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فیه العدالة و لا عدم الفسق، نعم لا یعطی المتجاهر بالفسق الذی ألقیٰ جلباب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جواز إعطاء غیر الهاشمی إلی الهاشمی قولان، لا یخلو الجواز من رجحان، و إن کان الأحوط الاقتصار علیٰ مورد الاضطرار و الاحتیاج التامّ الذی یحلّ معه أخذ الزکاة</w:t>
      </w:r>
      <w:r>
        <w:rPr>
          <w:rFonts w:eastAsia="IRNazanin" w:cs="IRNazanin"/>
          <w:color w:val="111111"/>
          <w:sz w:val="28"/>
          <w:szCs w:val="28"/>
          <w:rtl w:val="true"/>
          <w:lang w:bidi="fa-IR"/>
        </w:rPr>
        <w:t>.</w:t>
      </w:r>
    </w:p>
    <w:p>
      <w:pPr>
        <w:pStyle w:val="Heading4"/>
        <w:numPr>
          <w:ilvl w:val="3"/>
          <w:numId w:val="1"/>
        </w:numPr>
        <w:rPr/>
      </w:pPr>
      <w:bookmarkStart w:id="6125" w:name="__RefHeading___Toc2570528_3650668749"/>
      <w:bookmarkStart w:id="6126" w:name="_Toc2773"/>
      <w:bookmarkEnd w:id="6125"/>
      <w:r>
        <w:rPr>
          <w:rtl w:val="true"/>
        </w:rPr>
        <w:t>[ (</w:t>
      </w:r>
      <w:r>
        <w:rPr>
          <w:rtl w:val="true"/>
        </w:rPr>
        <w:t xml:space="preserve">مسألة </w:t>
      </w:r>
      <w:r>
        <w:rPr/>
        <w:t>19</w:t>
      </w:r>
      <w:r>
        <w:rPr>
          <w:rtl w:val="true"/>
        </w:rPr>
        <w:t xml:space="preserve">): </w:t>
      </w:r>
      <w:r>
        <w:rPr>
          <w:rtl w:val="true"/>
        </w:rPr>
        <w:t>یعتبر فی الکسوة التی تخیّر بینها و بین العتق و الإطعام فی کفّارة الیمین</w:t>
      </w:r>
      <w:r>
        <w:rPr>
          <w:rtl w:val="true"/>
        </w:rPr>
        <w:t>]</w:t>
      </w:r>
      <w:bookmarkEnd w:id="6126"/>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الکسوة التی تخیّر بینها و بین العتق و الإطعام فی کفّارة الیمین و ما بحکمها أن یکون ما یعدّ لباساً عرفاً، من غیر فرق بین الجدید و غیره ما لم یکن منخرقاً أو منسحقاً و بالیاً بحیث ینخرق بالاستعمال، فلا یکتفیٰ بالعمامة و القلنسوة و الحزام و الخفّ و الجورب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عدم الاکتفاء </w:t>
      </w:r>
      <w:r>
        <w:rPr>
          <w:rStyle w:val="FootnoteAnchor"/>
          <w:rtl w:val="true"/>
        </w:rPr>
        <w:footnoteReference w:id="1620"/>
      </w:r>
      <w:r>
        <w:rPr>
          <w:rFonts w:ascii="IRNazanin" w:hAnsi="IRNazanin" w:eastAsia="IRNazanin"/>
          <w:color w:val="111111"/>
          <w:sz w:val="28"/>
          <w:sz w:val="28"/>
          <w:szCs w:val="28"/>
          <w:rtl w:val="true"/>
          <w:lang w:bidi="fa-IR"/>
        </w:rPr>
        <w:t>بثوب واحد خصوصاً بمثل السراویل أو</w:t>
      </w:r>
      <w:bookmarkStart w:id="6127" w:name="pg1809_19632"/>
    </w:p>
    <w:p>
      <w:pPr>
        <w:pStyle w:val="BookText"/>
        <w:rPr/>
      </w:pPr>
      <w:bookmarkEnd w:id="6127"/>
      <w:r>
        <w:rPr>
          <w:rFonts w:ascii="IRNazanin" w:hAnsi="IRNazanin" w:eastAsia="IRNazanin"/>
          <w:color w:val="111111"/>
          <w:sz w:val="28"/>
          <w:sz w:val="28"/>
          <w:szCs w:val="28"/>
          <w:rtl w:val="true"/>
          <w:lang w:bidi="fa-IR"/>
        </w:rPr>
        <w:t>القمیص القصیر، بل لا یکون أقلّ من قمیص مع 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فیها العدد کالإطعام فلو کرّر علیٰ واحد بأن کساه عشر مرّات لم تحسب له إلّا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المکسوّ بین الصغیر و الکبیر و الحرّ و العبد و الذکر و الأُنثی، نعم فی الاکتفاء بکسوة البالغ نهایة الصغر کابن شهر أو شهرین إشکال فلا یترک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اعتبار کونه مخیطاً </w:t>
      </w:r>
      <w:r>
        <w:rPr>
          <w:rStyle w:val="FootnoteAnchor"/>
          <w:rtl w:val="true"/>
        </w:rPr>
        <w:footnoteReference w:id="1621"/>
      </w:r>
      <w:r>
        <w:rPr>
          <w:rFonts w:ascii="IRNazanin" w:hAnsi="IRNazanin" w:eastAsia="IRNazanin"/>
          <w:color w:val="111111"/>
          <w:sz w:val="28"/>
          <w:sz w:val="28"/>
          <w:szCs w:val="28"/>
          <w:rtl w:val="true"/>
          <w:lang w:bidi="fa-IR"/>
        </w:rPr>
        <w:t>فلو سلّم إلیه الثوب غیر مخیط لم یکن مجزیاً، نعم الظاهر أنّه لا بأس بأن یدفع أُجرة الخیاطة معه لیخیطه و یلبسه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یجزی إعطاء لباس الرجال للنساء و بالعکس و لا إعطاء لباس الصغیر للکبیر، و لا فرق فی جنسه بین کونه من صوف أو قطن أو کتّان أو قنّبٍ أو حریر، و فی الاجتزاء بالحریر المحض للرجال إشکال </w:t>
      </w:r>
      <w:r>
        <w:rPr>
          <w:rStyle w:val="FootnoteAnchor"/>
          <w:rtl w:val="true"/>
        </w:rPr>
        <w:footnoteReference w:id="1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تعذّر تمام العدد کسا الموجود و انتظر للباقی، و الأحوط التکرار علی الموجود، فإذا وجد باقی العدد کساه</w:t>
      </w:r>
      <w:r>
        <w:rPr>
          <w:rFonts w:eastAsia="IRNazanin" w:cs="IRNazanin"/>
          <w:color w:val="111111"/>
          <w:sz w:val="28"/>
          <w:szCs w:val="28"/>
          <w:rtl w:val="true"/>
          <w:lang w:bidi="fa-IR"/>
        </w:rPr>
        <w:t>.</w:t>
      </w:r>
    </w:p>
    <w:p>
      <w:pPr>
        <w:pStyle w:val="Heading4"/>
        <w:numPr>
          <w:ilvl w:val="3"/>
          <w:numId w:val="1"/>
        </w:numPr>
        <w:rPr/>
      </w:pPr>
      <w:bookmarkStart w:id="6128" w:name="__RefHeading___Toc2570530_3650668749"/>
      <w:bookmarkStart w:id="6129" w:name="_Toc2774"/>
      <w:bookmarkEnd w:id="6128"/>
      <w:r>
        <w:rPr>
          <w:rtl w:val="true"/>
        </w:rPr>
        <w:t>[ (</w:t>
      </w:r>
      <w:r>
        <w:rPr>
          <w:rtl w:val="true"/>
        </w:rPr>
        <w:t xml:space="preserve">مسألة </w:t>
      </w:r>
      <w:r>
        <w:rPr/>
        <w:t>20</w:t>
      </w:r>
      <w:r>
        <w:rPr>
          <w:rtl w:val="true"/>
        </w:rPr>
        <w:t xml:space="preserve">): </w:t>
      </w:r>
      <w:r>
        <w:rPr>
          <w:rtl w:val="true"/>
        </w:rPr>
        <w:t>لا تجزی القیمة فی الکفّارة لا فی الإطعام و لا فی الکسوة</w:t>
      </w:r>
      <w:r>
        <w:rPr>
          <w:rtl w:val="true"/>
        </w:rPr>
        <w:t>]</w:t>
      </w:r>
      <w:bookmarkEnd w:id="6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تجزی القیمة فی الکفّارة لا فی الإطعام و لا فی الکسوة، بل لا بدّ فی الإطعام من بذل الطعام إشباعاً أو تملیکاً و کذلک فی الکسوة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بأن یدفع القیمة إلی المستحقّ </w:t>
      </w:r>
      <w:r>
        <w:rPr>
          <w:rStyle w:val="FootnoteAnchor"/>
          <w:rtl w:val="true"/>
        </w:rPr>
        <w:footnoteReference w:id="1623"/>
      </w:r>
      <w:r>
        <w:rPr>
          <w:rFonts w:ascii="IRNazanin" w:hAnsi="IRNazanin" w:eastAsia="IRNazanin"/>
          <w:color w:val="111111"/>
          <w:sz w:val="28"/>
          <w:sz w:val="28"/>
          <w:szCs w:val="28"/>
          <w:rtl w:val="true"/>
          <w:lang w:bidi="fa-IR"/>
        </w:rPr>
        <w:t>و یوکّله فی أن یشتری بها طعاماً فیأکله أو کسوة فیلبسها، فیکون هو المعطی عن المالک و معطی له لنفسه باعتبارین</w:t>
      </w:r>
      <w:r>
        <w:rPr>
          <w:rFonts w:eastAsia="IRNazanin" w:cs="IRNazanin"/>
          <w:color w:val="111111"/>
          <w:sz w:val="28"/>
          <w:szCs w:val="28"/>
          <w:rtl w:val="true"/>
          <w:lang w:bidi="fa-IR"/>
        </w:rPr>
        <w:t>.</w:t>
      </w:r>
    </w:p>
    <w:p>
      <w:pPr>
        <w:pStyle w:val="Heading4"/>
        <w:numPr>
          <w:ilvl w:val="3"/>
          <w:numId w:val="1"/>
        </w:numPr>
        <w:rPr/>
      </w:pPr>
      <w:bookmarkStart w:id="6130" w:name="__RefHeading___Toc2570532_3650668749"/>
      <w:bookmarkStart w:id="6131" w:name="_Toc2775"/>
      <w:bookmarkEnd w:id="6130"/>
      <w:r>
        <w:rPr>
          <w:rtl w:val="true"/>
        </w:rPr>
        <w:t>[ (</w:t>
      </w:r>
      <w:r>
        <w:rPr>
          <w:rtl w:val="true"/>
        </w:rPr>
        <w:t xml:space="preserve">مسألة </w:t>
      </w:r>
      <w:r>
        <w:rPr/>
        <w:t>21</w:t>
      </w:r>
      <w:r>
        <w:rPr>
          <w:rtl w:val="true"/>
        </w:rPr>
        <w:t xml:space="preserve">): </w:t>
      </w:r>
      <w:r>
        <w:rPr>
          <w:rtl w:val="true"/>
        </w:rPr>
        <w:t>إذا وجبت علیه کفّارة مخیّرة لم یجز أن یکفّر بجنسین</w:t>
      </w:r>
      <w:r>
        <w:rPr>
          <w:rtl w:val="true"/>
        </w:rPr>
        <w:t>]</w:t>
      </w:r>
      <w:bookmarkEnd w:id="6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وجبت علیه کفّارة مخیّرة لم یجز أن یکفّر بجنسین؛ بأن یصوم شهراً و یطعم ثلاثین فی کفّارة شهر رمضان أو یطعم خمسة و یکسو خمسة مثلًا فی کفّارة الیمین، نعم لا بأس باختلاف أفراد الصنف الواحد منها، کما لو أطعم بعض العدد طعاماً خاصّاً و بعضه غیره، أو کسا بعضهم ثوباً من جنس و بعضهم من جنس آخر، بل یجوز فی الإطعام أن یشبع بعضاً و یسلّم إلیٰ بعض کما مرّ</w:t>
      </w:r>
      <w:r>
        <w:rPr>
          <w:rFonts w:eastAsia="IRNazanin" w:cs="IRNazanin"/>
          <w:color w:val="111111"/>
          <w:sz w:val="28"/>
          <w:szCs w:val="28"/>
          <w:rtl w:val="true"/>
          <w:lang w:bidi="fa-IR"/>
        </w:rPr>
        <w:t>.</w:t>
      </w:r>
    </w:p>
    <w:p>
      <w:pPr>
        <w:pStyle w:val="Heading4"/>
        <w:numPr>
          <w:ilvl w:val="3"/>
          <w:numId w:val="1"/>
        </w:numPr>
        <w:rPr/>
      </w:pPr>
      <w:bookmarkStart w:id="6132" w:name="__RefHeading___Toc2570534_3650668749"/>
      <w:bookmarkStart w:id="6133" w:name="_Toc2776"/>
      <w:bookmarkEnd w:id="6132"/>
      <w:r>
        <w:rPr>
          <w:rtl w:val="true"/>
        </w:rPr>
        <w:t>[ (</w:t>
      </w:r>
      <w:r>
        <w:rPr>
          <w:rtl w:val="true"/>
        </w:rPr>
        <w:t xml:space="preserve">مسألة </w:t>
      </w:r>
      <w:r>
        <w:rPr/>
        <w:t>22</w:t>
      </w:r>
      <w:r>
        <w:rPr>
          <w:rtl w:val="true"/>
        </w:rPr>
        <w:t xml:space="preserve">): </w:t>
      </w:r>
      <w:r>
        <w:rPr>
          <w:rtl w:val="true"/>
        </w:rPr>
        <w:t>لا بدل شرعاً للعتق فی الکفّارة مخیّرة کانت أو مرتّبة أو کفّارة الجمع</w:t>
      </w:r>
      <w:r>
        <w:rPr>
          <w:rtl w:val="true"/>
        </w:rPr>
        <w:t>]</w:t>
      </w:r>
      <w:bookmarkEnd w:id="6133"/>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بدل شرعاً للعتق فی الکفّارة مخیّرة کانت أو مرتّبة أو کفّارة الجمع فیسقط بالتعذّر، و أمّا صیام شهرین متتابعین و الإطعام لو تعذّرا بالتمام صام </w:t>
      </w:r>
      <w:r>
        <w:rPr>
          <w:rStyle w:val="FootnoteAnchor"/>
          <w:rtl w:val="true"/>
        </w:rPr>
        <w:footnoteReference w:id="1624"/>
      </w:r>
      <w:r>
        <w:rPr>
          <w:rFonts w:ascii="IRNazanin" w:hAnsi="IRNazanin" w:eastAsia="IRNazanin"/>
          <w:color w:val="111111"/>
          <w:sz w:val="28"/>
          <w:sz w:val="28"/>
          <w:szCs w:val="28"/>
          <w:rtl w:val="true"/>
          <w:lang w:bidi="fa-IR"/>
        </w:rPr>
        <w:t>ثمانیة</w:t>
      </w:r>
      <w:bookmarkStart w:id="6134" w:name="pg1809_19635"/>
    </w:p>
    <w:p>
      <w:pPr>
        <w:pStyle w:val="BookText"/>
        <w:rPr/>
      </w:pPr>
      <w:bookmarkEnd w:id="6134"/>
      <w:r>
        <w:rPr>
          <w:rFonts w:ascii="IRNazanin" w:hAnsi="IRNazanin" w:eastAsia="IRNazanin"/>
          <w:color w:val="111111"/>
          <w:sz w:val="28"/>
          <w:sz w:val="28"/>
          <w:szCs w:val="28"/>
          <w:rtl w:val="true"/>
          <w:lang w:bidi="fa-IR"/>
        </w:rPr>
        <w:t xml:space="preserve">عشر </w:t>
      </w:r>
      <w:r>
        <w:rPr>
          <w:rStyle w:val="FootnoteAnchor"/>
          <w:rtl w:val="true"/>
        </w:rPr>
        <w:footnoteReference w:id="1625"/>
      </w:r>
      <w:r>
        <w:rPr>
          <w:rFonts w:ascii="IRNazanin" w:hAnsi="IRNazanin" w:eastAsia="IRNazanin"/>
          <w:color w:val="111111"/>
          <w:sz w:val="28"/>
          <w:sz w:val="28"/>
          <w:szCs w:val="28"/>
          <w:rtl w:val="true"/>
          <w:lang w:bidi="fa-IR"/>
        </w:rPr>
        <w:t xml:space="preserve">یوماً متتابعات </w:t>
      </w:r>
      <w:r>
        <w:rPr>
          <w:rStyle w:val="FootnoteAnchor"/>
          <w:rtl w:val="true"/>
        </w:rPr>
        <w:footnoteReference w:id="1626"/>
      </w:r>
      <w:r>
        <w:rPr>
          <w:rFonts w:ascii="IRNazanin" w:hAnsi="IRNazanin" w:eastAsia="IRNazanin"/>
          <w:color w:val="111111"/>
          <w:sz w:val="28"/>
          <w:sz w:val="28"/>
          <w:szCs w:val="28"/>
          <w:rtl w:val="true"/>
          <w:lang w:bidi="fa-IR"/>
        </w:rPr>
        <w:t xml:space="preserve">، فإن عجز عنه صام ما استطاع </w:t>
      </w:r>
      <w:r>
        <w:rPr>
          <w:rStyle w:val="FootnoteAnchor"/>
          <w:rtl w:val="true"/>
        </w:rPr>
        <w:footnoteReference w:id="1627"/>
      </w:r>
      <w:r>
        <w:rPr>
          <w:rFonts w:ascii="Amiri" w:hAnsi="Amiri" w:eastAsia="Amiri" w:cs="Amiri"/>
          <w:color w:val="111111"/>
          <w:sz w:val="28"/>
          <w:sz w:val="28"/>
          <w:szCs w:val="28"/>
          <w:rtl w:val="true"/>
          <w:lang w:bidi="ar-SA"/>
        </w:rPr>
        <w:t>أو تصدّق بما وجد، و مع العجز عنهما بالمرّة استغفر اللّٰه تعالیٰ و لو مرّة</w:t>
      </w:r>
      <w:r>
        <w:rPr>
          <w:rFonts w:eastAsia="Amiri" w:cs="Amiri" w:ascii="Amiri" w:hAnsi="Amiri"/>
          <w:color w:val="111111"/>
          <w:sz w:val="28"/>
          <w:szCs w:val="28"/>
          <w:rtl w:val="true"/>
          <w:lang w:bidi="ar-SA"/>
        </w:rPr>
        <w:t>.</w:t>
      </w:r>
    </w:p>
    <w:p>
      <w:pPr>
        <w:pStyle w:val="Heading4"/>
        <w:numPr>
          <w:ilvl w:val="3"/>
          <w:numId w:val="1"/>
        </w:numPr>
        <w:rPr/>
      </w:pPr>
      <w:bookmarkStart w:id="6135" w:name="__RefHeading___Toc2570536_3650668749"/>
      <w:bookmarkStart w:id="6136" w:name="_Toc2777"/>
      <w:bookmarkEnd w:id="6135"/>
      <w:r>
        <w:rPr>
          <w:rtl w:val="true"/>
        </w:rPr>
        <w:t>[ (</w:t>
      </w:r>
      <w:r>
        <w:rPr>
          <w:rtl w:val="true"/>
        </w:rPr>
        <w:t xml:space="preserve">مسألة </w:t>
      </w:r>
      <w:r>
        <w:rPr/>
        <w:t>23</w:t>
      </w:r>
      <w:r>
        <w:rPr>
          <w:rtl w:val="true"/>
        </w:rPr>
        <w:t xml:space="preserve">): </w:t>
      </w:r>
      <w:r>
        <w:rPr>
          <w:rtl w:val="true"/>
        </w:rPr>
        <w:t>الظاهر أنّ وجوب الکفّارات موسّع</w:t>
      </w:r>
      <w:r>
        <w:rPr>
          <w:rtl w:val="true"/>
        </w:rPr>
        <w:t>]</w:t>
      </w:r>
      <w:bookmarkEnd w:id="6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وجوب الکفّارات موسّع، فلا تجب المبادرة إلیها، و یجوز التأخیر ما لم یؤدّ إلیٰ حدّ التهاون</w:t>
      </w:r>
      <w:r>
        <w:rPr>
          <w:rFonts w:eastAsia="IRNazanin" w:cs="IRNazanin"/>
          <w:color w:val="111111"/>
          <w:sz w:val="28"/>
          <w:szCs w:val="28"/>
          <w:rtl w:val="true"/>
          <w:lang w:bidi="fa-IR"/>
        </w:rPr>
        <w:t>.</w:t>
      </w:r>
    </w:p>
    <w:p>
      <w:pPr>
        <w:pStyle w:val="Heading4"/>
        <w:numPr>
          <w:ilvl w:val="3"/>
          <w:numId w:val="1"/>
        </w:numPr>
        <w:rPr/>
      </w:pPr>
      <w:bookmarkStart w:id="6137" w:name="__RefHeading___Toc2570538_3650668749"/>
      <w:bookmarkStart w:id="6138" w:name="_Toc2778"/>
      <w:bookmarkEnd w:id="6137"/>
      <w:r>
        <w:rPr>
          <w:rtl w:val="true"/>
        </w:rPr>
        <w:t>[ (</w:t>
      </w:r>
      <w:r>
        <w:rPr>
          <w:rtl w:val="true"/>
        </w:rPr>
        <w:t xml:space="preserve">مسألة </w:t>
      </w:r>
      <w:r>
        <w:rPr/>
        <w:t>24</w:t>
      </w:r>
      <w:r>
        <w:rPr>
          <w:rtl w:val="true"/>
        </w:rPr>
        <w:t xml:space="preserve">): </w:t>
      </w:r>
      <w:r>
        <w:rPr>
          <w:rtl w:val="true"/>
        </w:rPr>
        <w:t>یجوز التوکیل فی إخراج الکفّارات المالیّة و أدائها</w:t>
      </w:r>
      <w:r>
        <w:rPr>
          <w:rtl w:val="true"/>
        </w:rPr>
        <w:t>]</w:t>
      </w:r>
      <w:bookmarkEnd w:id="6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التوکیل فی إخراج الکفّارات المالیّة و أدائها، و یتولّی الوکیل النیّة إذا کان وکیلًا فی الإخراج، و الموکّل حین دفعه إلی الوکیل </w:t>
      </w:r>
      <w:r>
        <w:rPr>
          <w:rStyle w:val="FootnoteAnchor"/>
          <w:rtl w:val="true"/>
        </w:rPr>
        <w:footnoteReference w:id="1628"/>
      </w:r>
      <w:r>
        <w:rPr>
          <w:rFonts w:ascii="IRNazanin" w:hAnsi="IRNazanin" w:eastAsia="IRNazanin"/>
          <w:color w:val="111111"/>
          <w:sz w:val="28"/>
          <w:sz w:val="28"/>
          <w:szCs w:val="28"/>
          <w:rtl w:val="true"/>
          <w:lang w:bidi="fa-IR"/>
        </w:rPr>
        <w:t>إذا کان وکیلًا فی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الکفّارات البدنیّة، فلا یجزی فیها التوکیل، و لا تجوز فیها النیابة علی الأقویٰ إلّا عن المیّت</w:t>
      </w:r>
      <w:r>
        <w:rPr>
          <w:rFonts w:eastAsia="IRNazanin" w:cs="IRNazanin"/>
          <w:color w:val="111111"/>
          <w:sz w:val="28"/>
          <w:szCs w:val="28"/>
          <w:rtl w:val="true"/>
          <w:lang w:bidi="fa-IR"/>
        </w:rPr>
        <w:t>.</w:t>
      </w:r>
    </w:p>
    <w:p>
      <w:pPr>
        <w:pStyle w:val="Heading4"/>
        <w:numPr>
          <w:ilvl w:val="3"/>
          <w:numId w:val="1"/>
        </w:numPr>
        <w:rPr/>
      </w:pPr>
      <w:bookmarkStart w:id="6139" w:name="__RefHeading___Toc2570540_3650668749"/>
      <w:bookmarkStart w:id="6140" w:name="_Toc2779"/>
      <w:bookmarkEnd w:id="6139"/>
      <w:r>
        <w:rPr>
          <w:rtl w:val="true"/>
        </w:rPr>
        <w:t>[ (</w:t>
      </w:r>
      <w:r>
        <w:rPr>
          <w:rtl w:val="true"/>
        </w:rPr>
        <w:t xml:space="preserve">مسألة </w:t>
      </w:r>
      <w:r>
        <w:rPr/>
        <w:t>25</w:t>
      </w:r>
      <w:r>
        <w:rPr>
          <w:rtl w:val="true"/>
        </w:rPr>
        <w:t xml:space="preserve">): </w:t>
      </w:r>
      <w:r>
        <w:rPr>
          <w:rtl w:val="true"/>
        </w:rPr>
        <w:t>الکفّارات المالیّة بحکم الدیون</w:t>
      </w:r>
      <w:r>
        <w:rPr>
          <w:rtl w:val="true"/>
        </w:rPr>
        <w:t>]</w:t>
      </w:r>
      <w:bookmarkEnd w:id="6140"/>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الکفّارات المالیّة بحکم الدیون، فإذا مات من وجبت علیه تخرج من أصل المال، و أمّا البدنیّة فلا یجب علی الورثة أداؤها و لا إخراجها من الترکة ما لم یوص بها المیّت فیخرج من ثلثه، نعم فی وجوبها علی الولیّ و هو الولد الأکبر احتمال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یجری هذا الاحتمال فیما إذا تعیّن علی المیّت الصیام، و أمّا إذا تعیّن علیه غیره؛ بأن کانت مرتّبة و تعیّن علیه الإطعام أو کانت مخیّرة و کان متمکّناً من الصیام و الإطعام، لم یجب علی الولیّ قطعاً </w:t>
      </w:r>
      <w:r>
        <w:rPr>
          <w:rStyle w:val="FootnoteAnchor"/>
          <w:rtl w:val="true"/>
        </w:rPr>
        <w:footnoteReference w:id="1629"/>
      </w:r>
      <w:r>
        <w:rPr>
          <w:rFonts w:ascii="IRNazanin" w:hAnsi="IRNazanin" w:eastAsia="IRNazanin"/>
          <w:color w:val="111111"/>
          <w:sz w:val="28"/>
          <w:sz w:val="28"/>
          <w:szCs w:val="28"/>
          <w:rtl w:val="true"/>
          <w:lang w:bidi="fa-IR"/>
        </w:rPr>
        <w:t>، بل یخرج من ترکة المیّت مقدار الإطعام</w:t>
      </w:r>
      <w:r>
        <w:rPr>
          <w:rFonts w:eastAsia="IRNazanin" w:cs="IRNazanin"/>
          <w:color w:val="111111"/>
          <w:sz w:val="28"/>
          <w:szCs w:val="28"/>
          <w:rtl w:val="true"/>
          <w:lang w:bidi="fa-IR"/>
        </w:rPr>
        <w:t>.</w:t>
      </w:r>
      <w:bookmarkStart w:id="6141" w:name="pg1809_19637"/>
    </w:p>
    <w:p>
      <w:pPr>
        <w:pStyle w:val="Heading2"/>
        <w:numPr>
          <w:ilvl w:val="1"/>
          <w:numId w:val="1"/>
        </w:numPr>
        <w:rPr/>
      </w:pPr>
      <w:bookmarkStart w:id="6142" w:name="__RefHeading___Toc2570542_3650668749"/>
      <w:bookmarkStart w:id="6143" w:name="_Toc2780"/>
      <w:bookmarkEnd w:id="6141"/>
      <w:bookmarkEnd w:id="6142"/>
      <w:r>
        <w:rPr>
          <w:rtl w:val="true"/>
        </w:rPr>
        <w:t>[</w:t>
      </w:r>
      <w:r>
        <w:rPr>
          <w:rtl w:val="true"/>
        </w:rPr>
        <w:t>کتاب الصید و الذباحة</w:t>
      </w:r>
      <w:r>
        <w:rPr>
          <w:rtl w:val="true"/>
        </w:rPr>
        <w:t>]</w:t>
      </w:r>
      <w:bookmarkEnd w:id="6143"/>
    </w:p>
    <w:p>
      <w:pPr>
        <w:pStyle w:val="Heading3"/>
        <w:numPr>
          <w:ilvl w:val="2"/>
          <w:numId w:val="1"/>
        </w:numPr>
        <w:rPr/>
      </w:pPr>
      <w:bookmarkStart w:id="6144" w:name="__RefHeading___Toc2570544_3650668749"/>
      <w:bookmarkStart w:id="6145" w:name="_Toc2781"/>
      <w:bookmarkEnd w:id="6144"/>
      <w:r>
        <w:rPr>
          <w:rtl w:val="true"/>
        </w:rPr>
        <w:t>اشارة</w:t>
      </w:r>
      <w:bookmarkEnd w:id="6145"/>
    </w:p>
    <w:p>
      <w:pPr>
        <w:pStyle w:val="BookText"/>
        <w:rPr/>
      </w:pPr>
      <w:r>
        <w:rPr>
          <w:rFonts w:ascii="IRNazanin" w:hAnsi="IRNazanin" w:eastAsia="IRNazanin"/>
          <w:color w:val="111111"/>
          <w:sz w:val="28"/>
          <w:sz w:val="28"/>
          <w:szCs w:val="28"/>
          <w:rtl w:val="true"/>
          <w:lang w:bidi="fa-IR"/>
        </w:rPr>
        <w:t>کتاب الصید و الذباحة</w:t>
      </w:r>
    </w:p>
    <w:p>
      <w:pPr>
        <w:pStyle w:val="Heading3"/>
        <w:numPr>
          <w:ilvl w:val="2"/>
          <w:numId w:val="1"/>
        </w:numPr>
        <w:rPr/>
      </w:pPr>
      <w:bookmarkStart w:id="6146" w:name="__RefHeading___Toc2570546_3650668749"/>
      <w:bookmarkStart w:id="6147" w:name="_Toc2782"/>
      <w:bookmarkEnd w:id="6146"/>
      <w:r>
        <w:rPr>
          <w:rtl w:val="true"/>
        </w:rPr>
        <w:t>[</w:t>
      </w:r>
      <w:r>
        <w:rPr>
          <w:rtl w:val="true"/>
        </w:rPr>
        <w:t>القول فی الصید</w:t>
      </w:r>
      <w:r>
        <w:rPr>
          <w:rtl w:val="true"/>
        </w:rPr>
        <w:t>]</w:t>
      </w:r>
      <w:bookmarkEnd w:id="6147"/>
    </w:p>
    <w:p>
      <w:pPr>
        <w:pStyle w:val="Heading4"/>
        <w:numPr>
          <w:ilvl w:val="3"/>
          <w:numId w:val="1"/>
        </w:numPr>
        <w:rPr/>
      </w:pPr>
      <w:bookmarkStart w:id="6148" w:name="__RefHeading___Toc2570548_3650668749"/>
      <w:bookmarkStart w:id="6149" w:name="_Toc2783"/>
      <w:bookmarkEnd w:id="6148"/>
      <w:r>
        <w:rPr>
          <w:rtl w:val="true"/>
        </w:rPr>
        <w:t>اشارة</w:t>
      </w:r>
      <w:bookmarkEnd w:id="6149"/>
    </w:p>
    <w:p>
      <w:pPr>
        <w:pStyle w:val="BookText"/>
        <w:rPr/>
      </w:pPr>
      <w:r>
        <w:rPr>
          <w:rFonts w:ascii="IRNazanin" w:hAnsi="IRNazanin" w:eastAsia="IRNazanin"/>
          <w:color w:val="111111"/>
          <w:sz w:val="28"/>
          <w:sz w:val="28"/>
          <w:szCs w:val="28"/>
          <w:rtl w:val="true"/>
          <w:lang w:bidi="fa-IR"/>
        </w:rPr>
        <w:t>القول فی الصید و لیعلم أنّه کما یذکّی الحیوان و یحلّ أکل لحم ما حلّ أکله بالذبح الواقع علی النحو المعتبر شرعاً، یذکّی أیضاً بالصید علی النحو المعتبر، و هو إمّا بالحیوان أو بغیر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الآلة التی یصاد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حیوانیّة أو جمادیّة، و یتمّ الکلام فی القسمین فی ضمن مسائل</w:t>
      </w:r>
      <w:r>
        <w:rPr>
          <w:rFonts w:eastAsia="IRNazanin" w:cs="IRNazanin"/>
          <w:color w:val="111111"/>
          <w:sz w:val="28"/>
          <w:szCs w:val="28"/>
          <w:rtl w:val="true"/>
          <w:lang w:bidi="fa-IR"/>
        </w:rPr>
        <w:t>:</w:t>
      </w:r>
    </w:p>
    <w:p>
      <w:pPr>
        <w:pStyle w:val="Heading4"/>
        <w:numPr>
          <w:ilvl w:val="3"/>
          <w:numId w:val="1"/>
        </w:numPr>
        <w:rPr/>
      </w:pPr>
      <w:bookmarkStart w:id="6150" w:name="__RefHeading___Toc2570550_3650668749"/>
      <w:bookmarkStart w:id="6151" w:name="_Toc2784"/>
      <w:bookmarkEnd w:id="6150"/>
      <w:r>
        <w:rPr>
          <w:rtl w:val="true"/>
        </w:rPr>
        <w:t>[ (</w:t>
      </w:r>
      <w:r>
        <w:rPr>
          <w:rtl w:val="true"/>
        </w:rPr>
        <w:t xml:space="preserve">مسألة </w:t>
      </w:r>
      <w:r>
        <w:rPr/>
        <w:t>1</w:t>
      </w:r>
      <w:r>
        <w:rPr>
          <w:rtl w:val="true"/>
        </w:rPr>
        <w:t xml:space="preserve">): </w:t>
      </w:r>
      <w:r>
        <w:rPr>
          <w:rtl w:val="true"/>
        </w:rPr>
        <w:t>لا یحلّ من صید الحیوان و مقتوله إلّا ما کان بالکلب المعلّم</w:t>
      </w:r>
      <w:r>
        <w:rPr>
          <w:rtl w:val="true"/>
        </w:rPr>
        <w:t>]</w:t>
      </w:r>
      <w:bookmarkEnd w:id="6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من صید الحیوان و مقتوله إلّا ما کان بالکلب المعلّم؛ سواء کان سلوقیّاً أو غیره، و سواء کان أسود أو غیره، فلا یحلّ صید غیر الکلب من جوارح السباع کالفهد و النمر و غیرهما و جوارح الطیر کالبازی و العقاب و الباشق و غیرها و إن کانت معلّمة، فما یأخذه الکلب المعلّم و یقتله بعقره و جرحه مذکّی حلال أکله من غیر ذبح، فیکون عضّ الکلب و جرحه علیٰ أیّ موضع من الحیوان کان بمنزلة ذبحه</w:t>
      </w:r>
      <w:r>
        <w:rPr>
          <w:rFonts w:eastAsia="IRNazanin" w:cs="IRNazanin"/>
          <w:color w:val="111111"/>
          <w:sz w:val="28"/>
          <w:szCs w:val="28"/>
          <w:rtl w:val="true"/>
          <w:lang w:bidi="fa-IR"/>
        </w:rPr>
        <w:t>.</w:t>
      </w:r>
    </w:p>
    <w:p>
      <w:pPr>
        <w:pStyle w:val="Heading4"/>
        <w:numPr>
          <w:ilvl w:val="3"/>
          <w:numId w:val="1"/>
        </w:numPr>
        <w:rPr/>
      </w:pPr>
      <w:bookmarkStart w:id="6152" w:name="__RefHeading___Toc2570552_3650668749"/>
      <w:bookmarkStart w:id="6153" w:name="_Toc2785"/>
      <w:bookmarkEnd w:id="6152"/>
      <w:r>
        <w:rPr>
          <w:rtl w:val="true"/>
        </w:rPr>
        <w:t>[ (</w:t>
      </w:r>
      <w:r>
        <w:rPr>
          <w:rtl w:val="true"/>
        </w:rPr>
        <w:t xml:space="preserve">مسألة </w:t>
      </w:r>
      <w:r>
        <w:rPr/>
        <w:t>2</w:t>
      </w:r>
      <w:r>
        <w:rPr>
          <w:rtl w:val="true"/>
        </w:rPr>
        <w:t xml:space="preserve">): </w:t>
      </w:r>
      <w:r>
        <w:rPr>
          <w:rtl w:val="true"/>
        </w:rPr>
        <w:t>یعتبر فی حلّیّة صید الکلب أن یکون معلّماً للاصطیاد</w:t>
      </w:r>
      <w:r>
        <w:rPr>
          <w:rtl w:val="true"/>
        </w:rPr>
        <w:t>]</w:t>
      </w:r>
      <w:bookmarkEnd w:id="6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حلّیّة صید الکلب أن یکون معلّماً للاصطیاد، و علامة کونه بتلک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عادته مع عدم المانع أن یسترسل و یهیج إلی الصید لو أرسله صاحبه و أغراه به، و أن ینزجر </w:t>
      </w:r>
      <w:r>
        <w:rPr>
          <w:rStyle w:val="FootnoteAnchor"/>
          <w:rtl w:val="true"/>
        </w:rPr>
        <w:footnoteReference w:id="1630"/>
      </w:r>
      <w:r>
        <w:rPr>
          <w:rFonts w:ascii="IRNazanin" w:hAnsi="IRNazanin" w:eastAsia="IRNazanin"/>
          <w:color w:val="111111"/>
          <w:sz w:val="28"/>
          <w:sz w:val="28"/>
          <w:szCs w:val="28"/>
          <w:rtl w:val="true"/>
          <w:lang w:bidi="fa-IR"/>
        </w:rPr>
        <w:t>و یقف عن الذهاب و الهیاج إذا زجره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اعتبر المشهور مع ذلک أن یکون من عادته التی لا تتخلّف إلّا نادراً أن یمسک الصید و لا یأکل منه شیئاً حتّی یصل صاحبه، و فی اعتبار ذلک نظر و إن کان أحوط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54" w:name="__RefHeading___Toc2570554_3650668749"/>
      <w:bookmarkStart w:id="6155" w:name="_Toc2786"/>
      <w:bookmarkEnd w:id="6154"/>
      <w:r>
        <w:rPr>
          <w:rtl w:val="true"/>
        </w:rPr>
        <w:t>[ (</w:t>
      </w:r>
      <w:r>
        <w:rPr>
          <w:rtl w:val="true"/>
        </w:rPr>
        <w:t xml:space="preserve">مسألة </w:t>
      </w:r>
      <w:r>
        <w:rPr/>
        <w:t>3</w:t>
      </w:r>
      <w:r>
        <w:rPr>
          <w:rtl w:val="true"/>
        </w:rPr>
        <w:t xml:space="preserve">): </w:t>
      </w:r>
      <w:r>
        <w:rPr>
          <w:rtl w:val="true"/>
        </w:rPr>
        <w:t>یشترط فی حلّیّة صید الکلب أُمور</w:t>
      </w:r>
      <w:r>
        <w:rPr>
          <w:rtl w:val="true"/>
        </w:rPr>
        <w:t>]</w:t>
      </w:r>
      <w:bookmarkEnd w:id="6155"/>
    </w:p>
    <w:p>
      <w:pPr>
        <w:pStyle w:val="Heading5"/>
        <w:numPr>
          <w:ilvl w:val="4"/>
          <w:numId w:val="1"/>
        </w:numPr>
        <w:rPr/>
      </w:pPr>
      <w:bookmarkStart w:id="6156" w:name="__RefHeading___Toc2570556_3650668749"/>
      <w:bookmarkStart w:id="6157" w:name="_Toc2787"/>
      <w:bookmarkEnd w:id="6156"/>
      <w:r>
        <w:rPr>
          <w:rtl w:val="true"/>
        </w:rPr>
        <w:t>اشارة</w:t>
      </w:r>
      <w:bookmarkEnd w:id="6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حلّیّة صید الکلب أُمور</w:t>
      </w:r>
      <w:r>
        <w:rPr>
          <w:rFonts w:eastAsia="IRNazanin" w:cs="IRNazanin"/>
          <w:color w:val="111111"/>
          <w:sz w:val="28"/>
          <w:szCs w:val="28"/>
          <w:rtl w:val="true"/>
          <w:lang w:bidi="fa-IR"/>
        </w:rPr>
        <w:t>:</w:t>
      </w:r>
    </w:p>
    <w:p>
      <w:pPr>
        <w:pStyle w:val="Heading5"/>
        <w:numPr>
          <w:ilvl w:val="4"/>
          <w:numId w:val="1"/>
        </w:numPr>
        <w:rPr/>
      </w:pPr>
      <w:bookmarkStart w:id="6158" w:name="__RefHeading___Toc2570558_3650668749"/>
      <w:bookmarkStart w:id="6159" w:name="_Toc2788"/>
      <w:bookmarkEnd w:id="6158"/>
      <w:r>
        <w:rPr>
          <w:rtl w:val="true"/>
        </w:rPr>
        <w:t>[</w:t>
      </w:r>
      <w:r>
        <w:rPr>
          <w:rtl w:val="true"/>
        </w:rPr>
        <w:t>الأوّل</w:t>
      </w:r>
      <w:r>
        <w:rPr>
          <w:rtl w:val="true"/>
        </w:rPr>
        <w:t xml:space="preserve">: </w:t>
      </w:r>
      <w:r>
        <w:rPr>
          <w:rtl w:val="true"/>
        </w:rPr>
        <w:t>أن یکون ذلک بإرساله للاصطیاد</w:t>
      </w:r>
      <w:r>
        <w:rPr>
          <w:rtl w:val="true"/>
        </w:rPr>
        <w:t>]</w:t>
      </w:r>
      <w:bookmarkEnd w:id="6159"/>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بإرساله للاصطیاد، فلو استرسل بنفسه من دون إرسال لم یحلّ</w:t>
      </w:r>
      <w:bookmarkStart w:id="6160" w:name="pg1809_19639"/>
    </w:p>
    <w:p>
      <w:pPr>
        <w:pStyle w:val="BookText"/>
        <w:rPr/>
      </w:pPr>
      <w:bookmarkEnd w:id="6160"/>
      <w:r>
        <w:rPr>
          <w:rFonts w:ascii="IRNazanin" w:hAnsi="IRNazanin" w:eastAsia="IRNazanin"/>
          <w:color w:val="111111"/>
          <w:sz w:val="28"/>
          <w:sz w:val="28"/>
          <w:szCs w:val="28"/>
          <w:rtl w:val="true"/>
          <w:lang w:bidi="fa-IR"/>
        </w:rPr>
        <w:t>مقتوله و إن أغراه صاحبه بعد الاسترسال، حتّی فیما إذا أثّر إغراؤه فیه بأن زاد فی عدوه بسببه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لو أرسله لا للاصطیاد بل لأمر آخر من دفع عدوّ أو طرد سبع أو غیر ذلک فصادف غزالًا مثلًا فصاده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المعتبر قصد الجنس لا الشخص، فلو أرسله مسلم إلیٰ صید غزال فصادف غزالًا آخر فأخذه و قتله کفیٰ فی حلّه، و کذا لو أرسله إلیٰ صید فصاده و غیره حلّا معاً</w:t>
      </w:r>
      <w:r>
        <w:rPr>
          <w:rFonts w:eastAsia="IRNazanin" w:cs="IRNazanin"/>
          <w:color w:val="111111"/>
          <w:sz w:val="28"/>
          <w:szCs w:val="28"/>
          <w:rtl w:val="true"/>
          <w:lang w:bidi="fa-IR"/>
        </w:rPr>
        <w:t>.</w:t>
      </w:r>
    </w:p>
    <w:p>
      <w:pPr>
        <w:pStyle w:val="Heading5"/>
        <w:numPr>
          <w:ilvl w:val="4"/>
          <w:numId w:val="1"/>
        </w:numPr>
        <w:rPr/>
      </w:pPr>
      <w:bookmarkStart w:id="6161" w:name="__RefHeading___Toc2570560_3650668749"/>
      <w:bookmarkStart w:id="6162" w:name="_Toc2789"/>
      <w:bookmarkEnd w:id="6161"/>
      <w:r>
        <w:rPr>
          <w:rtl w:val="true"/>
        </w:rPr>
        <w:t>[</w:t>
      </w:r>
      <w:r>
        <w:rPr>
          <w:rtl w:val="true"/>
        </w:rPr>
        <w:t>الثانی</w:t>
      </w:r>
      <w:r>
        <w:rPr>
          <w:rtl w:val="true"/>
        </w:rPr>
        <w:t xml:space="preserve">: </w:t>
      </w:r>
      <w:r>
        <w:rPr>
          <w:rtl w:val="true"/>
        </w:rPr>
        <w:t>أن یکون المرسل مسلماً أو بحکمه کالصبیّ الملحق به</w:t>
      </w:r>
      <w:r>
        <w:rPr>
          <w:rtl w:val="true"/>
        </w:rPr>
        <w:t>]</w:t>
      </w:r>
      <w:bookmarkEnd w:id="616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المرسل مسلماً أو بحکمه کالصبیّ </w:t>
      </w:r>
      <w:r>
        <w:rPr>
          <w:rStyle w:val="FootnoteAnchor"/>
          <w:rtl w:val="true"/>
        </w:rPr>
        <w:footnoteReference w:id="1632"/>
      </w:r>
      <w:r>
        <w:rPr>
          <w:rFonts w:ascii="IRNazanin" w:hAnsi="IRNazanin" w:eastAsia="IRNazanin"/>
          <w:color w:val="111111"/>
          <w:sz w:val="28"/>
          <w:sz w:val="28"/>
          <w:szCs w:val="28"/>
          <w:rtl w:val="true"/>
          <w:lang w:bidi="fa-IR"/>
        </w:rPr>
        <w:t>الملحق به، فلو أرسله کافر بجمیع أنواعه أو من کان بحکمه کالنواصب لم یحلّ أکل ما یقتله</w:t>
      </w:r>
      <w:r>
        <w:rPr>
          <w:rFonts w:eastAsia="IRNazanin" w:cs="IRNazanin"/>
          <w:color w:val="111111"/>
          <w:sz w:val="28"/>
          <w:szCs w:val="28"/>
          <w:rtl w:val="true"/>
          <w:lang w:bidi="fa-IR"/>
        </w:rPr>
        <w:t>.</w:t>
      </w:r>
    </w:p>
    <w:p>
      <w:pPr>
        <w:pStyle w:val="Heading5"/>
        <w:numPr>
          <w:ilvl w:val="4"/>
          <w:numId w:val="1"/>
        </w:numPr>
        <w:rPr/>
      </w:pPr>
      <w:bookmarkStart w:id="6163" w:name="__RefHeading___Toc2570562_3650668749"/>
      <w:bookmarkStart w:id="6164" w:name="_Toc2790"/>
      <w:bookmarkEnd w:id="6163"/>
      <w:r>
        <w:rPr>
          <w:rtl w:val="true"/>
        </w:rPr>
        <w:t>[</w:t>
      </w:r>
      <w:r>
        <w:rPr>
          <w:rtl w:val="true"/>
        </w:rPr>
        <w:t>الثالث</w:t>
      </w:r>
      <w:r>
        <w:rPr>
          <w:rtl w:val="true"/>
        </w:rPr>
        <w:t xml:space="preserve">: </w:t>
      </w:r>
      <w:r>
        <w:rPr>
          <w:rtl w:val="true"/>
        </w:rPr>
        <w:t>أن یسمّی؛ بأن یذکر اسم اللّٰه عند إرساله</w:t>
      </w:r>
      <w:r>
        <w:rPr>
          <w:rtl w:val="true"/>
        </w:rPr>
        <w:t>]</w:t>
      </w:r>
      <w:bookmarkEnd w:id="616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یسمّی؛ بأن یذکر اسم اللّٰه عند إرساله، فلو ترک التسمیة عمداً لم یحلّ مقتوله، و لا یضرّ لو کان الترک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الاکتفاء بالتسمیة قبل الإصابة وجه قویّ </w:t>
      </w:r>
      <w:r>
        <w:rPr>
          <w:rStyle w:val="FootnoteAnchor"/>
          <w:rtl w:val="true"/>
        </w:rPr>
        <w:footnoteReference w:id="1633"/>
      </w:r>
      <w:r>
        <w:rPr>
          <w:rFonts w:ascii="IRNazanin" w:hAnsi="IRNazanin" w:eastAsia="IRNazanin"/>
          <w:color w:val="111111"/>
          <w:sz w:val="28"/>
          <w:sz w:val="28"/>
          <w:szCs w:val="28"/>
          <w:rtl w:val="true"/>
          <w:lang w:bidi="fa-IR"/>
        </w:rPr>
        <w:t>، إلّا أنّ الأحوط احتیاطاً لا یترک أن تکون عند الإرسال</w:t>
      </w:r>
      <w:r>
        <w:rPr>
          <w:rFonts w:eastAsia="IRNazanin" w:cs="IRNazanin"/>
          <w:color w:val="111111"/>
          <w:sz w:val="28"/>
          <w:szCs w:val="28"/>
          <w:rtl w:val="true"/>
          <w:lang w:bidi="fa-IR"/>
        </w:rPr>
        <w:t>.</w:t>
      </w:r>
    </w:p>
    <w:p>
      <w:pPr>
        <w:pStyle w:val="Heading5"/>
        <w:numPr>
          <w:ilvl w:val="4"/>
          <w:numId w:val="1"/>
        </w:numPr>
        <w:rPr/>
      </w:pPr>
      <w:bookmarkStart w:id="6165" w:name="__RefHeading___Toc2570564_3650668749"/>
      <w:bookmarkStart w:id="6166" w:name="_Toc2791"/>
      <w:bookmarkEnd w:id="6165"/>
      <w:r>
        <w:rPr>
          <w:rtl w:val="true"/>
        </w:rPr>
        <w:t>[</w:t>
      </w:r>
      <w:r>
        <w:rPr>
          <w:rtl w:val="true"/>
        </w:rPr>
        <w:t>الرابع</w:t>
      </w:r>
      <w:r>
        <w:rPr>
          <w:rtl w:val="true"/>
        </w:rPr>
        <w:t xml:space="preserve">: </w:t>
      </w:r>
      <w:r>
        <w:rPr>
          <w:rtl w:val="true"/>
        </w:rPr>
        <w:t>أن یکون موت الحیوان مستنداً إلیٰ جرحه و عقره</w:t>
      </w:r>
      <w:r>
        <w:rPr>
          <w:rtl w:val="true"/>
        </w:rPr>
        <w:t>]</w:t>
      </w:r>
      <w:bookmarkEnd w:id="6166"/>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موت الحیوان مستنداً إلیٰ جرحه و عقره، فلو کان بسبب صدمه أو خنقه أو إتعابه فی العدو أو ذهاب مرارته من جهة شدّة خوفه لم یحلّ</w:t>
      </w:r>
      <w:r>
        <w:rPr>
          <w:rFonts w:eastAsia="IRNazanin" w:cs="IRNazanin"/>
          <w:color w:val="111111"/>
          <w:sz w:val="28"/>
          <w:szCs w:val="28"/>
          <w:rtl w:val="true"/>
          <w:lang w:bidi="fa-IR"/>
        </w:rPr>
        <w:t>.</w:t>
      </w:r>
    </w:p>
    <w:p>
      <w:pPr>
        <w:pStyle w:val="Heading5"/>
        <w:numPr>
          <w:ilvl w:val="4"/>
          <w:numId w:val="1"/>
        </w:numPr>
        <w:rPr/>
      </w:pPr>
      <w:bookmarkStart w:id="6167" w:name="__RefHeading___Toc2570566_3650668749"/>
      <w:bookmarkStart w:id="6168" w:name="_Toc2792"/>
      <w:bookmarkEnd w:id="6167"/>
      <w:r>
        <w:rPr>
          <w:rtl w:val="true"/>
        </w:rPr>
        <w:t>[</w:t>
      </w:r>
      <w:r>
        <w:rPr>
          <w:rtl w:val="true"/>
        </w:rPr>
        <w:t>الخامس</w:t>
      </w:r>
      <w:r>
        <w:rPr>
          <w:rtl w:val="true"/>
        </w:rPr>
        <w:t xml:space="preserve">: </w:t>
      </w:r>
      <w:r>
        <w:rPr>
          <w:rtl w:val="true"/>
        </w:rPr>
        <w:t>عدم إدراک صاحب الکلب الصید حیّاً مع تمکّنه من تذکیته</w:t>
      </w:r>
      <w:r>
        <w:rPr>
          <w:rtl w:val="true"/>
        </w:rPr>
        <w:t>]</w:t>
      </w:r>
      <w:bookmarkEnd w:id="6168"/>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إدراک صاحب الکلب الصید حیّاً مع تمکّنه من تذکیته؛ بأن أدرکه میّتاً أو أدرکه حیّاً لکن لم یسع الزمان لذبحه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 هذا الشرط أنّه إذا أرسل کلبه إلی الصید فإن لحق به بعد ما أخذه و عقره و صار غیر ممتنع فوجده میّتاً کان ذکیّاً و حلّ أکله، و کذا إن وجده حیّاً و لم یتّسع الزمان لذبحه فترکه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اتسع الزمان لذبحه لا یحلّ إلّا بالذبح، فلو ترکه حتّی مات کان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أدنی ما یدرک ذکاته أن یجده تطرف عینیه أو ترکض رجله أو یحرّک ذنبه أو یده، فإن وجده هکذا و اتّسع الزمان لذبحه لم یحلّ أکله إلّا بالذبح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لو وجده بعد عقر الکلب علیه ممتنعاً فجعل یعدو خلفه فوقف له، فإن بقی من حیاته زماناً یتّسع لذبحه لم یحلّ إلّا بالذبح، و إن لم یتّسع له حلّ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یلحق بعدم اتّساع الزمان ما إذا وسع و لکن کان ترک التذکیة لا بتقصیر منه، کما إذا اشتغل </w:t>
      </w:r>
      <w:r>
        <w:rPr>
          <w:rStyle w:val="FootnoteAnchor"/>
          <w:rtl w:val="true"/>
        </w:rPr>
        <w:footnoteReference w:id="1634"/>
      </w:r>
      <w:bookmarkStart w:id="6169" w:name="pg1809_19641"/>
    </w:p>
    <w:p>
      <w:pPr>
        <w:pStyle w:val="BookText"/>
        <w:rPr/>
      </w:pPr>
      <w:bookmarkEnd w:id="6169"/>
      <w:r>
        <w:rPr>
          <w:rFonts w:ascii="IRNazanin" w:hAnsi="IRNazanin" w:eastAsia="IRNazanin"/>
          <w:color w:val="111111"/>
          <w:sz w:val="28"/>
          <w:sz w:val="28"/>
          <w:szCs w:val="28"/>
          <w:rtl w:val="true"/>
          <w:lang w:bidi="fa-IR"/>
        </w:rPr>
        <w:t>بأخذ الآلة و سلّ السکّین و امتنع الصید من التمکین بما فیه من بقیّة قوّة و نحو ذلک فمات قبل أن یمکنه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یلحق به فقد الآلة علی الأحوط لو لم یکن أقوی فلو وجده حیّاً و اتّسع الزمان لذبحه إلّا أنّه لم یکن عنده السکّین فلم یذبحه لذلک حتّی مات، لم یحلّ أکله</w:t>
      </w:r>
      <w:r>
        <w:rPr>
          <w:rFonts w:eastAsia="IRNazanin" w:cs="IRNazanin"/>
          <w:color w:val="111111"/>
          <w:sz w:val="28"/>
          <w:szCs w:val="28"/>
          <w:rtl w:val="true"/>
          <w:lang w:bidi="fa-IR"/>
        </w:rPr>
        <w:t>.</w:t>
      </w:r>
    </w:p>
    <w:p>
      <w:pPr>
        <w:pStyle w:val="Heading4"/>
        <w:numPr>
          <w:ilvl w:val="3"/>
          <w:numId w:val="1"/>
        </w:numPr>
        <w:rPr/>
      </w:pPr>
      <w:bookmarkStart w:id="6170" w:name="__RefHeading___Toc2570568_3650668749"/>
      <w:bookmarkStart w:id="6171" w:name="_Toc2793"/>
      <w:bookmarkEnd w:id="6170"/>
      <w:r>
        <w:rPr>
          <w:rtl w:val="true"/>
        </w:rPr>
        <w:t>[ (</w:t>
      </w:r>
      <w:r>
        <w:rPr>
          <w:rtl w:val="true"/>
        </w:rPr>
        <w:t xml:space="preserve">مسألة </w:t>
      </w:r>
      <w:r>
        <w:rPr/>
        <w:t>4</w:t>
      </w:r>
      <w:r>
        <w:rPr>
          <w:rtl w:val="true"/>
        </w:rPr>
        <w:t xml:space="preserve">): </w:t>
      </w:r>
      <w:r>
        <w:rPr>
          <w:rtl w:val="true"/>
        </w:rPr>
        <w:t>هل یجب علیٰ من أرسل الکلب المسارعة و المبادرة إلی الصید</w:t>
      </w:r>
      <w:r>
        <w:rPr>
          <w:rtl w:val="true"/>
        </w:rPr>
        <w:t>]</w:t>
      </w:r>
      <w:bookmarkEnd w:id="6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من أرسل الکلب المسارعة و المبادرة إلی الصید من حین الإرسال، أو من حین ما رآه قد أصاب الصید و إن کان بعد علی امتناعه، أو من حین ما أوقفه و صار غیر ممتنع، أولا تجب أصلًا؟ الظاهر وجوبها من حین الإیقاف، فإذا أشعر بإیقافه و عدم امتناعه یجب علیه المسارعة العرفیّة حتّی أنّه لو أدرکه حیّاً ذبحه، فلو لم یتسارع ثمّ وجده میّتاً لم یحلّ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قبل ذلک فالظاهر عدم وجوبها و إن کان الاحتیاط لا ینبغی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احتمل ترتّب أثر علی المسارعة و اللحوق بالصید؛ بأن احتمل أنّه یدرکه حیّاً و یقدر علیٰ ذبحه من جهة اتّساع الزمان و وجود الآلة، و أمّا مع عدم احتماله و لو من جهة عدم ما یذبح به فلا إشکال فی عدم وجوبها، فلو خلّاه حینئذٍ علیٰ حاله إلیٰ أن قتله الکلب و أزهق روحه بعقره حلّ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توقّف إحراز کون موته بسبب جرح الکلب لا بسبب آخر علی التسارع إلیه و تعرّف حاله لزم علیه لأجل ذلک</w:t>
      </w:r>
      <w:r>
        <w:rPr>
          <w:rFonts w:eastAsia="IRNazanin" w:cs="IRNazanin"/>
          <w:color w:val="111111"/>
          <w:sz w:val="28"/>
          <w:szCs w:val="28"/>
          <w:rtl w:val="true"/>
          <w:lang w:bidi="fa-IR"/>
        </w:rPr>
        <w:t>.</w:t>
      </w:r>
    </w:p>
    <w:p>
      <w:pPr>
        <w:pStyle w:val="Heading4"/>
        <w:numPr>
          <w:ilvl w:val="3"/>
          <w:numId w:val="1"/>
        </w:numPr>
        <w:rPr/>
      </w:pPr>
      <w:bookmarkStart w:id="6172" w:name="__RefHeading___Toc2570570_3650668749"/>
      <w:bookmarkStart w:id="6173" w:name="_Toc2794"/>
      <w:bookmarkEnd w:id="6172"/>
      <w:r>
        <w:rPr>
          <w:rtl w:val="true"/>
        </w:rPr>
        <w:t>[ (</w:t>
      </w:r>
      <w:r>
        <w:rPr>
          <w:rtl w:val="true"/>
        </w:rPr>
        <w:t xml:space="preserve">مسألة </w:t>
      </w:r>
      <w:r>
        <w:rPr/>
        <w:t>5</w:t>
      </w:r>
      <w:r>
        <w:rPr>
          <w:rtl w:val="true"/>
        </w:rPr>
        <w:t xml:space="preserve">): </w:t>
      </w:r>
      <w:r>
        <w:rPr>
          <w:rtl w:val="true"/>
        </w:rPr>
        <w:t>لا یعتبر فی حلّیّة الصید وحدة المرسل و لا وحدة الکلب</w:t>
      </w:r>
      <w:r>
        <w:rPr>
          <w:rtl w:val="true"/>
        </w:rPr>
        <w:t>]</w:t>
      </w:r>
      <w:bookmarkEnd w:id="6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حلّیّة الصید وحدة المرسل و لا وحدة الکلب، فلو أرسل جماعة کلباً واحداً أو أرسل واحد أو جماعة کلاباً متعدّدة فقتلت صیداً حلّ أکله، نعم یعتبر فی المتعدّد صائداً أو آلة أن یکون الجمیع واجداً للأُمور المعتبرة شرعاً، فلو کان المرسل اثنین أحدهما مسلم و الآخر کافر، أو سمّی أحدهما دون الآخر، أو أُرسل کلبان أحدهما معلّم و الآخر غیر معلّم، لم یحلّ</w:t>
      </w:r>
      <w:r>
        <w:rPr>
          <w:rFonts w:eastAsia="IRNazanin" w:cs="IRNazanin"/>
          <w:color w:val="111111"/>
          <w:sz w:val="28"/>
          <w:szCs w:val="28"/>
          <w:rtl w:val="true"/>
          <w:lang w:bidi="fa-IR"/>
        </w:rPr>
        <w:t>.</w:t>
      </w:r>
    </w:p>
    <w:p>
      <w:pPr>
        <w:pStyle w:val="Heading4"/>
        <w:numPr>
          <w:ilvl w:val="3"/>
          <w:numId w:val="1"/>
        </w:numPr>
        <w:rPr/>
      </w:pPr>
      <w:bookmarkStart w:id="6174" w:name="__RefHeading___Toc2570572_3650668749"/>
      <w:bookmarkStart w:id="6175" w:name="_Toc2795"/>
      <w:bookmarkEnd w:id="6174"/>
      <w:r>
        <w:rPr>
          <w:rtl w:val="true"/>
        </w:rPr>
        <w:t>[ (</w:t>
      </w:r>
      <w:r>
        <w:rPr>
          <w:rtl w:val="true"/>
        </w:rPr>
        <w:t xml:space="preserve">مسألة </w:t>
      </w:r>
      <w:r>
        <w:rPr/>
        <w:t>6</w:t>
      </w:r>
      <w:r>
        <w:rPr>
          <w:rtl w:val="true"/>
        </w:rPr>
        <w:t xml:space="preserve">): </w:t>
      </w:r>
      <w:r>
        <w:rPr>
          <w:rtl w:val="true"/>
        </w:rPr>
        <w:t>لا یؤکل من الصید المقتول بالآلة الجمادیّة إلّا ما قتله السیف و السکّین و الخنجر و نحوها</w:t>
      </w:r>
      <w:r>
        <w:rPr>
          <w:rtl w:val="true"/>
        </w:rPr>
        <w:t>]</w:t>
      </w:r>
      <w:bookmarkEnd w:id="6175"/>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یؤکل من الصید المقتول بالآلة الجمادیّة إلّا ما قتله السیف و السکّین و الخنجر و نحوها؛ من الأسلحة التی تقطع بحدّها أو الرمح و السهم و النشّاب ممّا یشاک بحدّه حتّی العصا التی فی طرفها حدیدة محدّدة، من غیر فرق بین ما کان فیه نصل کالسهم الذی یرکب علیه الریش أو صنع قاطعاً أو شائکاً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عدم اعتبار کونه من الحدید، فیکفی بعد کونه سلاحاً قاطعاً أو شائکاً کونه من أیّ فلزّ کان حتّی الصفر و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یحتمل قویّاً عدم اعتبار کونه مستعملًا سلاحاً فی العادة فیشمل</w:t>
      </w:r>
      <w:bookmarkStart w:id="6176" w:name="pg1809_19642"/>
    </w:p>
    <w:p>
      <w:pPr>
        <w:pStyle w:val="BookText"/>
        <w:rPr/>
      </w:pPr>
      <w:bookmarkEnd w:id="6176"/>
      <w:r>
        <w:rPr>
          <w:rFonts w:ascii="IRNazanin" w:hAnsi="IRNazanin" w:eastAsia="IRNazanin"/>
          <w:color w:val="111111"/>
          <w:sz w:val="28"/>
          <w:sz w:val="28"/>
          <w:szCs w:val="28"/>
          <w:rtl w:val="true"/>
          <w:lang w:bidi="fa-IR"/>
        </w:rPr>
        <w:t xml:space="preserve">المخیط و السکّ و السفود و نحوها، إلّا أنّ الأحوط </w:t>
      </w:r>
      <w:r>
        <w:rPr>
          <w:rStyle w:val="FootnoteAnchor"/>
          <w:rtl w:val="true"/>
        </w:rPr>
        <w:footnoteReference w:id="1635"/>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لا یعتبر الخرق و الجرح فی الآلة المذکورة أعنی ذات الحدید المحدّدة فلو رمی الصید بسهم أو طعنة برمح فقتله بالرمی و الطعن من دون أن یکون فیه أثر السهم و الرمح حلّ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یلحق بالآلة الحدیدیّة ما لم تشتمل علی الحدید، لکن تکون محدّدة کالمعراض </w:t>
      </w:r>
      <w:r>
        <w:rPr>
          <w:rStyle w:val="FootnoteAnchor"/>
          <w:rtl w:val="true"/>
        </w:rPr>
        <w:footnoteReference w:id="1636"/>
      </w:r>
      <w:r>
        <w:rPr>
          <w:rFonts w:ascii="IRNazanin" w:hAnsi="IRNazanin" w:eastAsia="IRNazanin"/>
          <w:color w:val="111111"/>
          <w:sz w:val="28"/>
          <w:sz w:val="28"/>
          <w:szCs w:val="28"/>
          <w:rtl w:val="true"/>
          <w:lang w:bidi="fa-IR"/>
        </w:rPr>
        <w:t>الذی هو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خشبة لا نصل فیها إلّا أنّها محدّدة الطرفین ثقیلة الوسط و السهم الحادّ الرأس الذی لا نصل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إنّما یحلّ مقتول هذه الآلة لو قتلت الصید بخرقها إیّاه و شوکها فیه و لو یسیراً، فلو قتلته بثقلها من دون خرق لم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أنّه یعتبر فی الآلة الجمادیّة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تکون حدیدة </w:t>
      </w:r>
      <w:r>
        <w:rPr>
          <w:rStyle w:val="FootnoteAnchor"/>
          <w:rtl w:val="true"/>
        </w:rPr>
        <w:footnoteReference w:id="1637"/>
      </w:r>
      <w:r>
        <w:rPr>
          <w:rFonts w:ascii="IRNazanin" w:hAnsi="IRNazanin" w:eastAsia="IRNazanin"/>
          <w:color w:val="111111"/>
          <w:sz w:val="28"/>
          <w:sz w:val="28"/>
          <w:szCs w:val="28"/>
          <w:rtl w:val="true"/>
          <w:lang w:bidi="fa-IR"/>
        </w:rPr>
        <w:t>محدّدة و إن لم تکن خارقة، و إمّا أن تکون محدّدة غیر حدیدیّة بشرط کونها خارقة</w:t>
      </w:r>
      <w:r>
        <w:rPr>
          <w:rFonts w:eastAsia="IRNazanin" w:cs="IRNazanin"/>
          <w:color w:val="111111"/>
          <w:sz w:val="28"/>
          <w:szCs w:val="28"/>
          <w:rtl w:val="true"/>
          <w:lang w:bidi="fa-IR"/>
        </w:rPr>
        <w:t>.</w:t>
      </w:r>
    </w:p>
    <w:p>
      <w:pPr>
        <w:pStyle w:val="Heading4"/>
        <w:numPr>
          <w:ilvl w:val="3"/>
          <w:numId w:val="1"/>
        </w:numPr>
        <w:rPr/>
      </w:pPr>
      <w:bookmarkStart w:id="6177" w:name="__RefHeading___Toc2570574_3650668749"/>
      <w:bookmarkStart w:id="6178" w:name="_Toc2796"/>
      <w:bookmarkEnd w:id="6177"/>
      <w:r>
        <w:rPr>
          <w:rtl w:val="true"/>
        </w:rPr>
        <w:t>[ (</w:t>
      </w:r>
      <w:r>
        <w:rPr>
          <w:rtl w:val="true"/>
        </w:rPr>
        <w:t xml:space="preserve">مسألة </w:t>
      </w:r>
      <w:r>
        <w:rPr/>
        <w:t>7</w:t>
      </w:r>
      <w:r>
        <w:rPr>
          <w:rtl w:val="true"/>
        </w:rPr>
        <w:t xml:space="preserve">): </w:t>
      </w:r>
      <w:r>
        <w:rPr>
          <w:rtl w:val="true"/>
        </w:rPr>
        <w:t>کلّ آلة جمادیّة لم تکن ذات حدید محدّدة و لا محدّدة غیر حدیدیّة</w:t>
      </w:r>
      <w:r>
        <w:rPr>
          <w:rtl w:val="true"/>
        </w:rPr>
        <w:t>]</w:t>
      </w:r>
      <w:bookmarkEnd w:id="6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آلة جمادیّة لم تکن ذات حدید محدّدة و لا محدّدة غیر حدیدیّة قتلت بخرقها من المثقلات کالحجارة و المقمعة و العمود و البندقة لا یحلّ مقتولها، کالمقتول بالحبالة و الشبکة و الشرک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بالاصطیاد بها و بالحیوان غیر الکلب کالفهد و النمر و البازی و نحوها؛ بمعنی جعل الحیوان الممتنع بها غیر ممتنع و تحت الید، لکنّه لا یحلّ ما یصطاد بها إلّا إذا أدرک ذکاته فذکّاه</w:t>
      </w:r>
      <w:r>
        <w:rPr>
          <w:rFonts w:eastAsia="IRNazanin" w:cs="IRNazanin"/>
          <w:color w:val="111111"/>
          <w:sz w:val="28"/>
          <w:szCs w:val="28"/>
          <w:rtl w:val="true"/>
          <w:lang w:bidi="fa-IR"/>
        </w:rPr>
        <w:t>.</w:t>
      </w:r>
    </w:p>
    <w:p>
      <w:pPr>
        <w:pStyle w:val="Heading4"/>
        <w:numPr>
          <w:ilvl w:val="3"/>
          <w:numId w:val="1"/>
        </w:numPr>
        <w:rPr/>
      </w:pPr>
      <w:bookmarkStart w:id="6179" w:name="__RefHeading___Toc2570576_3650668749"/>
      <w:bookmarkStart w:id="6180" w:name="_Toc2797"/>
      <w:bookmarkEnd w:id="6179"/>
      <w:r>
        <w:rPr>
          <w:rtl w:val="true"/>
        </w:rPr>
        <w:t>[ (</w:t>
      </w:r>
      <w:r>
        <w:rPr>
          <w:rtl w:val="true"/>
        </w:rPr>
        <w:t xml:space="preserve">مسألة </w:t>
      </w:r>
      <w:r>
        <w:rPr/>
        <w:t>8</w:t>
      </w:r>
      <w:r>
        <w:rPr>
          <w:rtl w:val="true"/>
        </w:rPr>
        <w:t xml:space="preserve">): </w:t>
      </w:r>
      <w:r>
        <w:rPr>
          <w:rtl w:val="true"/>
        </w:rPr>
        <w:t>لا یبعد حلّیّة ما قتل بالآلة المعروفة المسمّاة بالتفنک</w:t>
      </w:r>
      <w:r>
        <w:rPr>
          <w:rtl w:val="true"/>
        </w:rPr>
        <w:t>]</w:t>
      </w:r>
      <w:bookmarkEnd w:id="6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حلّیّة ما قتل بالآلة المعروفة المسمّاة بالتفنک </w:t>
      </w:r>
      <w:r>
        <w:rPr>
          <w:rStyle w:val="FootnoteAnchor"/>
          <w:rtl w:val="true"/>
        </w:rPr>
        <w:footnoteReference w:id="1638"/>
      </w:r>
      <w:r>
        <w:rPr>
          <w:rFonts w:ascii="IRNazanin" w:hAnsi="IRNazanin" w:eastAsia="IRNazanin"/>
          <w:color w:val="111111"/>
          <w:sz w:val="28"/>
          <w:sz w:val="28"/>
          <w:szCs w:val="28"/>
          <w:rtl w:val="true"/>
          <w:lang w:bidi="fa-IR"/>
        </w:rPr>
        <w:t>إذا سمّی الرامی و اجتمعت سائر الشرائط، و البندقة التی قلنا فی المسألة السابقة بحرمة مقتولها غیر هذه البندقة النافذة الخارقة، خصوصاً فی الطرز الجدید منها المستحدث فی هذه الأعصار الأخیرة ممّا صنع الرصاص فیه بشکل یشبه المخروط و لا یکون بشکل البندقة</w:t>
      </w:r>
      <w:r>
        <w:rPr>
          <w:rFonts w:eastAsia="IRNazanin" w:cs="IRNazanin"/>
          <w:color w:val="111111"/>
          <w:sz w:val="28"/>
          <w:szCs w:val="28"/>
          <w:rtl w:val="true"/>
          <w:lang w:bidi="fa-IR"/>
        </w:rPr>
        <w:t>.</w:t>
      </w:r>
    </w:p>
    <w:p>
      <w:pPr>
        <w:pStyle w:val="Heading4"/>
        <w:numPr>
          <w:ilvl w:val="3"/>
          <w:numId w:val="1"/>
        </w:numPr>
        <w:rPr/>
      </w:pPr>
      <w:bookmarkStart w:id="6181" w:name="__RefHeading___Toc2570578_3650668749"/>
      <w:bookmarkStart w:id="6182" w:name="_Toc2798"/>
      <w:bookmarkEnd w:id="6181"/>
      <w:r>
        <w:rPr>
          <w:rtl w:val="true"/>
        </w:rPr>
        <w:t>[ (</w:t>
      </w:r>
      <w:r>
        <w:rPr>
          <w:rtl w:val="true"/>
        </w:rPr>
        <w:t xml:space="preserve">مسألة </w:t>
      </w:r>
      <w:r>
        <w:rPr/>
        <w:t>9</w:t>
      </w:r>
      <w:r>
        <w:rPr>
          <w:rtl w:val="true"/>
        </w:rPr>
        <w:t xml:space="preserve">): </w:t>
      </w:r>
      <w:r>
        <w:rPr>
          <w:rtl w:val="true"/>
        </w:rPr>
        <w:t>لا یعتبر فی حلّیّة الصید بالآلة الجمادیّة وحدة الصائد</w:t>
      </w:r>
      <w:r>
        <w:rPr>
          <w:rtl w:val="true"/>
        </w:rPr>
        <w:t>]</w:t>
      </w:r>
      <w:bookmarkEnd w:id="6182"/>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حلّیّة الصید بالآلة الجمادیّة وحدة الصائد، و لا وحدة الآلة، فلو</w:t>
      </w:r>
      <w:bookmarkStart w:id="6183" w:name="pg1809_19645"/>
    </w:p>
    <w:p>
      <w:pPr>
        <w:pStyle w:val="BookText"/>
        <w:rPr/>
      </w:pPr>
      <w:bookmarkEnd w:id="6183"/>
      <w:r>
        <w:rPr>
          <w:rFonts w:ascii="IRNazanin" w:hAnsi="IRNazanin" w:eastAsia="IRNazanin"/>
          <w:color w:val="111111"/>
          <w:sz w:val="28"/>
          <w:sz w:val="28"/>
          <w:szCs w:val="28"/>
          <w:rtl w:val="true"/>
          <w:lang w:bidi="fa-IR"/>
        </w:rPr>
        <w:t>رمیٰ شخص بالسهم و طعن آخر بالرمح و سمّیا معاً فقتلا صیداً حلّ إذا اجتمع الشرائط فی کلیهما، بل إذا أرسل أحد کلبه إلیٰ صید و رماه آخر بسهم فقتل بهما حلّ ما قتلاه</w:t>
      </w:r>
      <w:r>
        <w:rPr>
          <w:rFonts w:eastAsia="IRNazanin" w:cs="IRNazanin"/>
          <w:color w:val="111111"/>
          <w:sz w:val="28"/>
          <w:szCs w:val="28"/>
          <w:rtl w:val="true"/>
          <w:lang w:bidi="fa-IR"/>
        </w:rPr>
        <w:t>.</w:t>
      </w:r>
    </w:p>
    <w:p>
      <w:pPr>
        <w:pStyle w:val="Heading4"/>
        <w:numPr>
          <w:ilvl w:val="3"/>
          <w:numId w:val="1"/>
        </w:numPr>
        <w:rPr/>
      </w:pPr>
      <w:bookmarkStart w:id="6184" w:name="__RefHeading___Toc2570580_3650668749"/>
      <w:bookmarkStart w:id="6185" w:name="_Toc2799"/>
      <w:bookmarkEnd w:id="6184"/>
      <w:r>
        <w:rPr>
          <w:rtl w:val="true"/>
        </w:rPr>
        <w:t>[ (</w:t>
      </w:r>
      <w:r>
        <w:rPr>
          <w:rtl w:val="true"/>
        </w:rPr>
        <w:t xml:space="preserve">مسألة </w:t>
      </w:r>
      <w:r>
        <w:rPr/>
        <w:t>10</w:t>
      </w:r>
      <w:r>
        <w:rPr>
          <w:rtl w:val="true"/>
        </w:rPr>
        <w:t xml:space="preserve">): </w:t>
      </w:r>
      <w:r>
        <w:rPr>
          <w:rtl w:val="true"/>
        </w:rPr>
        <w:t>یشترط فی الصید بالآلة الجمادیّة جمیع ما اشترط فی الصید</w:t>
      </w:r>
      <w:r>
        <w:rPr>
          <w:rtl w:val="true"/>
        </w:rPr>
        <w:t>]</w:t>
      </w:r>
      <w:bookmarkEnd w:id="6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الصید بالآلة الجمادیّة جمیع ما اشترط فی الصید بالآلة الحیوانیّة، فیشترط کون الصائد مسلماً، و التسمیة عند استعمال الآلة، و أن یکون استعمال الآلة للاصطیاد، فلو رمیٰ إلیٰ هدف أو إلیٰ عدوّ أو إلیٰ خنزیر فأصاب غزالًا فقتله لم یحلّ و إن کان مسمّیاً عند الرمی لغرض من الأغراض، و کذا لو أفلت من یده فأصاب صیداً فقتله، و أن لا یدرکه حیّاً زماناً اتّسع للذبح، فلو أدرکه کذلک لم یحلّ إلّا بالذبح، و الکلام فی وجوب المسارعة و عدمه کما مرّ، و أن یستقلّ الآلة المحلّلة فی قتل الصید فلو شارکها فیه غیرها لم یحلّ، فلو سقط بعد إصابة السهم من الجبل أو وقع فی الماء و استند موته إلیهما، بل و إن لم یعلم استقلال إصابة السهم فی إماتته لم یحلّ، و کذا لو رماه شخصان فقتلاه و سمّیٰ أحدهما و لم یسمّ الآخر أو کان أحدهما مسلماً دون الآخر</w:t>
      </w:r>
      <w:r>
        <w:rPr>
          <w:rFonts w:eastAsia="IRNazanin" w:cs="IRNazanin"/>
          <w:color w:val="111111"/>
          <w:sz w:val="28"/>
          <w:szCs w:val="28"/>
          <w:rtl w:val="true"/>
          <w:lang w:bidi="fa-IR"/>
        </w:rPr>
        <w:t>.</w:t>
      </w:r>
    </w:p>
    <w:p>
      <w:pPr>
        <w:pStyle w:val="Heading4"/>
        <w:numPr>
          <w:ilvl w:val="3"/>
          <w:numId w:val="1"/>
        </w:numPr>
        <w:rPr/>
      </w:pPr>
      <w:bookmarkStart w:id="6186" w:name="__RefHeading___Toc2570582_3650668749"/>
      <w:bookmarkStart w:id="6187" w:name="_Toc2800"/>
      <w:bookmarkEnd w:id="6186"/>
      <w:r>
        <w:rPr>
          <w:rtl w:val="true"/>
        </w:rPr>
        <w:t>[ (</w:t>
      </w:r>
      <w:r>
        <w:rPr>
          <w:rtl w:val="true"/>
        </w:rPr>
        <w:t xml:space="preserve">مسألة </w:t>
      </w:r>
      <w:r>
        <w:rPr/>
        <w:t>11</w:t>
      </w:r>
      <w:r>
        <w:rPr>
          <w:rtl w:val="true"/>
        </w:rPr>
        <w:t xml:space="preserve">): </w:t>
      </w:r>
      <w:r>
        <w:rPr>
          <w:rtl w:val="true"/>
        </w:rPr>
        <w:t>لا یشترط فی حلّیّة الصید إباحة الآلة</w:t>
      </w:r>
      <w:r>
        <w:rPr>
          <w:rtl w:val="true"/>
        </w:rPr>
        <w:t>]</w:t>
      </w:r>
      <w:bookmarkEnd w:id="6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حلّیّة الصید إباحة الآلة فیحلّ الصید بالکلب أو السهم المغصوبین و إن فعل حراماً و علیه الأُجرة و یملکه الصائد دون صاحب الآلة</w:t>
      </w:r>
      <w:r>
        <w:rPr>
          <w:rFonts w:eastAsia="IRNazanin" w:cs="IRNazanin"/>
          <w:color w:val="111111"/>
          <w:sz w:val="28"/>
          <w:szCs w:val="28"/>
          <w:rtl w:val="true"/>
          <w:lang w:bidi="fa-IR"/>
        </w:rPr>
        <w:t>.</w:t>
      </w:r>
    </w:p>
    <w:p>
      <w:pPr>
        <w:pStyle w:val="Heading4"/>
        <w:numPr>
          <w:ilvl w:val="3"/>
          <w:numId w:val="1"/>
        </w:numPr>
        <w:rPr/>
      </w:pPr>
      <w:bookmarkStart w:id="6188" w:name="__RefHeading___Toc2570584_3650668749"/>
      <w:bookmarkStart w:id="6189" w:name="_Toc2801"/>
      <w:bookmarkEnd w:id="6188"/>
      <w:r>
        <w:rPr>
          <w:rtl w:val="true"/>
        </w:rPr>
        <w:t>[ (</w:t>
      </w:r>
      <w:r>
        <w:rPr>
          <w:rtl w:val="true"/>
        </w:rPr>
        <w:t xml:space="preserve">مسألة </w:t>
      </w:r>
      <w:r>
        <w:rPr/>
        <w:t>12</w:t>
      </w:r>
      <w:r>
        <w:rPr>
          <w:rtl w:val="true"/>
        </w:rPr>
        <w:t xml:space="preserve">): </w:t>
      </w:r>
      <w:r>
        <w:rPr>
          <w:rtl w:val="true"/>
        </w:rPr>
        <w:t>الحیوان الذی یحلّ مقتوله بالکلب و الآلة مع اجتماع الشرائط</w:t>
      </w:r>
      <w:r>
        <w:rPr>
          <w:rtl w:val="true"/>
        </w:rPr>
        <w:t>]</w:t>
      </w:r>
      <w:bookmarkEnd w:id="6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الذی یحلّ مقتوله بالکلب و الآلة مع اجتماع الشرائط کلّ حیوان ممتنع مستوحش من طیر أو وحش؛ سواء کان کذلک بالأصل کالحمام و الظبی و بقر الوحش، أو کان إنسیّاً فتوحّش أو استعصیٰ کالبقر المستعصی و البعیر العاصی و کذلک الصائل من البهائم کالجاموس الصائل و نحوه،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لا یجی‌ء تحت الید و لا یقدر علیه غالباً إلّا بالعلاج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تقع التذکیة الصیدیّة علیٰ کلّ حیوان أهلی مستأنس؛ سواء کان استئناسه أصلیّاً کالدجاج و الشاة و البعیر و البقر أو عارضیّاً کالظبی و الطیر المستأنسین، و کذا ولد الوحش قبل أن یقدر علی العدو، و فرخ الطیر قبل نهوضه للطیران، فلو رمیٰ طائراً و فرخه الذی لم ینهض فقتلهما، حلّ الطائر دون الفرخ</w:t>
      </w:r>
      <w:r>
        <w:rPr>
          <w:rFonts w:eastAsia="IRNazanin" w:cs="IRNazanin"/>
          <w:color w:val="111111"/>
          <w:sz w:val="28"/>
          <w:szCs w:val="28"/>
          <w:rtl w:val="true"/>
          <w:lang w:bidi="fa-IR"/>
        </w:rPr>
        <w:t>.</w:t>
      </w:r>
    </w:p>
    <w:p>
      <w:pPr>
        <w:pStyle w:val="Heading4"/>
        <w:numPr>
          <w:ilvl w:val="3"/>
          <w:numId w:val="1"/>
        </w:numPr>
        <w:rPr/>
      </w:pPr>
      <w:bookmarkStart w:id="6190" w:name="__RefHeading___Toc2570586_3650668749"/>
      <w:bookmarkStart w:id="6191" w:name="_Toc2802"/>
      <w:bookmarkEnd w:id="6190"/>
      <w:r>
        <w:rPr>
          <w:rtl w:val="true"/>
        </w:rPr>
        <w:t>[ (</w:t>
      </w:r>
      <w:r>
        <w:rPr>
          <w:rtl w:val="true"/>
        </w:rPr>
        <w:t xml:space="preserve">مسألة </w:t>
      </w:r>
      <w:r>
        <w:rPr/>
        <w:t>13</w:t>
      </w:r>
      <w:r>
        <w:rPr>
          <w:rtl w:val="true"/>
        </w:rPr>
        <w:t xml:space="preserve">): </w:t>
      </w:r>
      <w:r>
        <w:rPr>
          <w:rtl w:val="true"/>
        </w:rPr>
        <w:t>الظاهر أنّه کما تقع التذکیة الصیدیّة علی الحیوان المأکول اللحم فیحلّ بها أکل لحمه</w:t>
      </w:r>
      <w:r>
        <w:rPr>
          <w:rtl w:val="true"/>
        </w:rPr>
        <w:t>]</w:t>
      </w:r>
      <w:bookmarkEnd w:id="6191"/>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کما تقع التذکیة الصیدیّة علی الحیوان المأکول اللحم فیحلّ بها أکل لحمه، تقع علیٰ غیر المأکول اللحم القابل للتذکیة أیضاً، فیطهر بها جلده و یجوز الانتفاع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القدر المتیقّن ما إذا کانت بالآلة الجمادیّة، و أمّا الحیوانیّة ففیها تأمّل و إشکال</w:t>
      </w:r>
      <w:r>
        <w:rPr>
          <w:rFonts w:eastAsia="IRNazanin" w:cs="IRNazanin"/>
          <w:color w:val="111111"/>
          <w:sz w:val="28"/>
          <w:szCs w:val="28"/>
          <w:rtl w:val="true"/>
          <w:lang w:bidi="fa-IR"/>
        </w:rPr>
        <w:t>.</w:t>
      </w:r>
      <w:bookmarkStart w:id="6192" w:name="pg1809_19647"/>
    </w:p>
    <w:p>
      <w:pPr>
        <w:pStyle w:val="Heading4"/>
        <w:numPr>
          <w:ilvl w:val="3"/>
          <w:numId w:val="1"/>
        </w:numPr>
        <w:rPr/>
      </w:pPr>
      <w:bookmarkStart w:id="6193" w:name="__RefHeading___Toc2570588_3650668749"/>
      <w:bookmarkStart w:id="6194" w:name="_Toc2803"/>
      <w:bookmarkEnd w:id="6192"/>
      <w:bookmarkEnd w:id="6193"/>
      <w:r>
        <w:rPr>
          <w:rtl w:val="true"/>
        </w:rPr>
        <w:t>[ (</w:t>
      </w:r>
      <w:r>
        <w:rPr>
          <w:rtl w:val="true"/>
        </w:rPr>
        <w:t xml:space="preserve">مسألة </w:t>
      </w:r>
      <w:r>
        <w:rPr/>
        <w:t>14</w:t>
      </w:r>
      <w:r>
        <w:rPr>
          <w:rtl w:val="true"/>
        </w:rPr>
        <w:t xml:space="preserve">): </w:t>
      </w:r>
      <w:r>
        <w:rPr>
          <w:rtl w:val="true"/>
        </w:rPr>
        <w:t>لو قطعت الآلة قطعة من الحیوان، فإن کانت الآلة غیر محلّلة کالشبکة و الحبالة</w:t>
      </w:r>
      <w:r>
        <w:rPr>
          <w:rtl w:val="true"/>
        </w:rPr>
        <w:t>]</w:t>
      </w:r>
      <w:bookmarkEnd w:id="6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قطعت الآلة قطعة من الحیوان، فإن کانت الآلة غیر محلّلة کالشبکة و الحبالة یحرم الجزء الذی لیس فیه الرأس و محالّ التذکیة و کذلک الجزء الآخر إذا زال </w:t>
      </w:r>
      <w:r>
        <w:rPr>
          <w:rStyle w:val="FootnoteAnchor"/>
          <w:rtl w:val="true"/>
        </w:rPr>
        <w:footnoteReference w:id="1639"/>
      </w:r>
      <w:r>
        <w:rPr>
          <w:rFonts w:ascii="IRNazanin" w:hAnsi="IRNazanin" w:eastAsia="IRNazanin"/>
          <w:color w:val="111111"/>
          <w:sz w:val="28"/>
          <w:sz w:val="28"/>
          <w:szCs w:val="28"/>
          <w:rtl w:val="true"/>
          <w:lang w:bidi="fa-IR"/>
        </w:rPr>
        <w:t>عنه الحیاة المستقرّة، و إن بقیت حیاته المستقرّة یحلّ بالتذکیة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الآلة محلّلة کالسیف فی الصید مع اجتماع الشرائط، فإن زال الحیاة المستقرّة عن الجزئین بهذا التقطیع حلّا معاً، و کذا إن بقیت الحیاة المستقرّة و لم یتّسع </w:t>
      </w:r>
      <w:r>
        <w:rPr>
          <w:rStyle w:val="FootnoteAnchor"/>
          <w:rtl w:val="true"/>
        </w:rPr>
        <w:footnoteReference w:id="1640"/>
      </w:r>
      <w:r>
        <w:rPr>
          <w:rFonts w:ascii="IRNazanin" w:hAnsi="IRNazanin" w:eastAsia="IRNazanin"/>
          <w:color w:val="111111"/>
          <w:sz w:val="28"/>
          <w:sz w:val="28"/>
          <w:szCs w:val="28"/>
          <w:rtl w:val="true"/>
          <w:lang w:bidi="fa-IR"/>
        </w:rPr>
        <w:t>الزمان للتذکیة، و إن اتّسع لها لا یحلّ الجزء الذی فیه الرأس إلّا بالذبح، و أمّا الجزء الآخر فهو جزء مبان من الحیّ فیکون میتة</w:t>
      </w:r>
      <w:r>
        <w:rPr>
          <w:rFonts w:eastAsia="IRNazanin" w:cs="IRNazanin"/>
          <w:color w:val="111111"/>
          <w:sz w:val="28"/>
          <w:szCs w:val="28"/>
          <w:rtl w:val="true"/>
          <w:lang w:bidi="fa-IR"/>
        </w:rPr>
        <w:t>.</w:t>
      </w:r>
    </w:p>
    <w:p>
      <w:pPr>
        <w:pStyle w:val="Heading4"/>
        <w:numPr>
          <w:ilvl w:val="3"/>
          <w:numId w:val="1"/>
        </w:numPr>
        <w:rPr/>
      </w:pPr>
      <w:bookmarkStart w:id="6195" w:name="__RefHeading___Toc2570590_3650668749"/>
      <w:bookmarkStart w:id="6196" w:name="_Toc2804"/>
      <w:bookmarkEnd w:id="6195"/>
      <w:r>
        <w:rPr>
          <w:rtl w:val="true"/>
        </w:rPr>
        <w:t>[ (</w:t>
      </w:r>
      <w:r>
        <w:rPr>
          <w:rtl w:val="true"/>
        </w:rPr>
        <w:t xml:space="preserve">مسألة </w:t>
      </w:r>
      <w:r>
        <w:rPr/>
        <w:t>15</w:t>
      </w:r>
      <w:r>
        <w:rPr>
          <w:rtl w:val="true"/>
        </w:rPr>
        <w:t xml:space="preserve">): </w:t>
      </w:r>
      <w:r>
        <w:rPr>
          <w:rtl w:val="true"/>
        </w:rPr>
        <w:t>یملک الحیوان الوحشی وحشاً کان أو طیراً بأحد أُمور ثلاثة</w:t>
      </w:r>
      <w:r>
        <w:rPr>
          <w:rtl w:val="true"/>
        </w:rPr>
        <w:t>]</w:t>
      </w:r>
      <w:bookmarkEnd w:id="6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الحیوان الوحشی وحشاً کان أو طیراً بأحد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الید </w:t>
      </w:r>
      <w:r>
        <w:rPr>
          <w:rStyle w:val="FootnoteAnchor"/>
          <w:rtl w:val="true"/>
        </w:rPr>
        <w:footnoteReference w:id="1641"/>
      </w:r>
      <w:r>
        <w:rPr>
          <w:rFonts w:ascii="IRNazanin" w:hAnsi="IRNazanin" w:eastAsia="IRNazanin"/>
          <w:color w:val="111111"/>
          <w:sz w:val="28"/>
          <w:sz w:val="28"/>
          <w:szCs w:val="28"/>
          <w:rtl w:val="true"/>
          <w:lang w:bidi="fa-IR"/>
        </w:rPr>
        <w:t>علیه و أخذه حقیقة، مثل أن یأخذ رجله أو قرنه أو جناحه أو شدّه بحبل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فی آلة معتادة للاصطیاد بها، کالحبالة و الشرک و الشبکة و نحوها إذا نصبها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یصیّره غیر ممتنع و یمسکه بآلة، مثل أن رماه فجرحه جراحة منعته عن العدو، أو کسر جناحه فمنعه عن الطیران؛ سواء کانت الآلة من الآلات المحلّلة للصید کالسهم و الکلب المعلّم، أو من غیرها کالحجارة و الخشب و الفهد و الباز و الشاهین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 هذا أیضاً أن یکون إعمال الآلة بقصد الاصطیاد و التملّک، فلو رماه عبثاً أو هدفاً أو لغرض آخر لم یملکه الرامی، فلو أخذه شخص آخر بقصد التملّک ملکه</w:t>
      </w:r>
      <w:r>
        <w:rPr>
          <w:rFonts w:eastAsia="IRNazanin" w:cs="IRNazanin"/>
          <w:color w:val="111111"/>
          <w:sz w:val="28"/>
          <w:szCs w:val="28"/>
          <w:rtl w:val="true"/>
          <w:lang w:bidi="fa-IR"/>
        </w:rPr>
        <w:t>.</w:t>
      </w:r>
    </w:p>
    <w:p>
      <w:pPr>
        <w:pStyle w:val="Heading4"/>
        <w:numPr>
          <w:ilvl w:val="3"/>
          <w:numId w:val="1"/>
        </w:numPr>
        <w:rPr/>
      </w:pPr>
      <w:bookmarkStart w:id="6197" w:name="__RefHeading___Toc2570592_3650668749"/>
      <w:bookmarkStart w:id="6198" w:name="_Toc2805"/>
      <w:bookmarkEnd w:id="6197"/>
      <w:r>
        <w:rPr>
          <w:rtl w:val="true"/>
        </w:rPr>
        <w:t>[ (</w:t>
      </w:r>
      <w:r>
        <w:rPr>
          <w:rtl w:val="true"/>
        </w:rPr>
        <w:t xml:space="preserve">مسألة </w:t>
      </w:r>
      <w:r>
        <w:rPr/>
        <w:t>16</w:t>
      </w:r>
      <w:r>
        <w:rPr>
          <w:rtl w:val="true"/>
        </w:rPr>
        <w:t xml:space="preserve">): </w:t>
      </w:r>
      <w:r>
        <w:rPr>
          <w:rtl w:val="true"/>
        </w:rPr>
        <w:t>الظاهر أنّه یلحق بآلة الاصطیاد کلّ ما جعل وسیلة لإثبات الحیوان و زوال امتناعه</w:t>
      </w:r>
      <w:r>
        <w:rPr>
          <w:rtl w:val="true"/>
        </w:rPr>
        <w:t>]</w:t>
      </w:r>
      <w:bookmarkEnd w:id="6198"/>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یلحق بآلة الاصطیاد کلّ ما جعل وسیلة لإثبات الحیوان و زوال امتناعه؛ و لو بحفر حفیرة فی طریقه لیقع فیها فوقع فیها، أو باتّخاذ أرض و إجراء الماء علیها لتصیر موحلة فیتوحّل فیها فتوحّل فیها، أو فتح باب البیت و إلقاء الحبوب فیه لیدخل فیه العصافیر فدخلت فأغلق </w:t>
      </w:r>
      <w:r>
        <w:rPr>
          <w:rStyle w:val="FootnoteAnchor"/>
          <w:rtl w:val="true"/>
        </w:rPr>
        <w:footnoteReference w:id="1642"/>
      </w:r>
      <w:r>
        <w:rPr>
          <w:rFonts w:ascii="IRNazanin" w:hAnsi="IRNazanin" w:eastAsia="IRNazanin"/>
          <w:color w:val="111111"/>
          <w:sz w:val="28"/>
          <w:sz w:val="28"/>
          <w:szCs w:val="28"/>
          <w:rtl w:val="true"/>
          <w:lang w:bidi="fa-IR"/>
        </w:rPr>
        <w:t>علیها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عشّش الطیر فی داره لم یملکه بمجرّد</w:t>
      </w:r>
      <w:bookmarkStart w:id="6199" w:name="pg1809_19649"/>
    </w:p>
    <w:p>
      <w:pPr>
        <w:pStyle w:val="BookText"/>
        <w:rPr/>
      </w:pPr>
      <w:bookmarkEnd w:id="6199"/>
      <w:r>
        <w:rPr>
          <w:rFonts w:ascii="IRNazanin" w:hAnsi="IRNazanin" w:eastAsia="IRNazanin"/>
          <w:color w:val="111111"/>
          <w:sz w:val="28"/>
          <w:sz w:val="28"/>
          <w:szCs w:val="28"/>
          <w:rtl w:val="true"/>
          <w:lang w:bidi="fa-IR"/>
        </w:rPr>
        <w:t>ذلک، و کذا لو توحّل حیوان فی أرضه الموحلة ما لم یجعلها کذلک لأجل ذلک، فلو أخذه إنسان بعد ذلک ملکه و إن عصیٰ فی دخول داره أو أرضه بغیر إذنه</w:t>
      </w:r>
      <w:r>
        <w:rPr>
          <w:rFonts w:eastAsia="IRNazanin" w:cs="IRNazanin"/>
          <w:color w:val="111111"/>
          <w:sz w:val="28"/>
          <w:szCs w:val="28"/>
          <w:rtl w:val="true"/>
          <w:lang w:bidi="fa-IR"/>
        </w:rPr>
        <w:t>.</w:t>
      </w:r>
    </w:p>
    <w:p>
      <w:pPr>
        <w:pStyle w:val="Heading4"/>
        <w:numPr>
          <w:ilvl w:val="3"/>
          <w:numId w:val="1"/>
        </w:numPr>
        <w:rPr/>
      </w:pPr>
      <w:bookmarkStart w:id="6200" w:name="__RefHeading___Toc2570594_3650668749"/>
      <w:bookmarkStart w:id="6201" w:name="_Toc2806"/>
      <w:bookmarkEnd w:id="6200"/>
      <w:r>
        <w:rPr>
          <w:rtl w:val="true"/>
        </w:rPr>
        <w:t>[ (</w:t>
      </w:r>
      <w:r>
        <w:rPr>
          <w:rtl w:val="true"/>
        </w:rPr>
        <w:t xml:space="preserve">مسألة </w:t>
      </w:r>
      <w:r>
        <w:rPr/>
        <w:t>17</w:t>
      </w:r>
      <w:r>
        <w:rPr>
          <w:rtl w:val="true"/>
        </w:rPr>
        <w:t xml:space="preserve">): </w:t>
      </w:r>
      <w:r>
        <w:rPr>
          <w:rtl w:val="true"/>
        </w:rPr>
        <w:t>لو سعیٰ خلف حیوان حتّی أعیاه و وقف عن العدو لم یملکه ما لم یأخذه</w:t>
      </w:r>
      <w:r>
        <w:rPr>
          <w:rtl w:val="true"/>
        </w:rPr>
        <w:t>]</w:t>
      </w:r>
      <w:bookmarkEnd w:id="6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سعیٰ خلف حیوان حتّی أعیاه و وقف عن العدو لم یملکه ما لم یأخذه، فلو أخذه غیره قبل أن یأخذه ملکه</w:t>
      </w:r>
      <w:r>
        <w:rPr>
          <w:rFonts w:eastAsia="IRNazanin" w:cs="IRNazanin"/>
          <w:color w:val="111111"/>
          <w:sz w:val="28"/>
          <w:szCs w:val="28"/>
          <w:rtl w:val="true"/>
          <w:lang w:bidi="fa-IR"/>
        </w:rPr>
        <w:t>.</w:t>
      </w:r>
    </w:p>
    <w:p>
      <w:pPr>
        <w:pStyle w:val="Heading4"/>
        <w:numPr>
          <w:ilvl w:val="3"/>
          <w:numId w:val="1"/>
        </w:numPr>
        <w:rPr/>
      </w:pPr>
      <w:bookmarkStart w:id="6202" w:name="__RefHeading___Toc2570596_3650668749"/>
      <w:bookmarkStart w:id="6203" w:name="_Toc2807"/>
      <w:bookmarkEnd w:id="6202"/>
      <w:r>
        <w:rPr>
          <w:rtl w:val="true"/>
        </w:rPr>
        <w:t>[ (</w:t>
      </w:r>
      <w:r>
        <w:rPr>
          <w:rtl w:val="true"/>
        </w:rPr>
        <w:t xml:space="preserve">مسألة </w:t>
      </w:r>
      <w:r>
        <w:rPr/>
        <w:t>18</w:t>
      </w:r>
      <w:r>
        <w:rPr>
          <w:rtl w:val="true"/>
        </w:rPr>
        <w:t xml:space="preserve">): </w:t>
      </w:r>
      <w:r>
        <w:rPr>
          <w:rtl w:val="true"/>
        </w:rPr>
        <w:t>لو وقع حیوان فی شبکة منصوبة للاصطیاد، و لم تمسکه الشبکة لضعفها و قوّته فانفلت منها</w:t>
      </w:r>
      <w:r>
        <w:rPr>
          <w:rtl w:val="true"/>
        </w:rPr>
        <w:t>]</w:t>
      </w:r>
      <w:bookmarkEnd w:id="6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حیوان فی شبکة منصوبة للاصطیاد، و لم تمسکه الشبکة لضعفها و قوّته فانفلت منها، لم یملکه ناصبها، و کذا إن أخذ الشبکة و انفلت بها من دون أن یزول عنه الامتناع، فإن صاده غیره ملکه و ردّ الشبکة إلیٰ صاحبها، نعم لو أمسکته الشبکة و أثبتته ثمّ انفلت منها بسبب من الأسباب الخارجیّة لم یخرج بذلک عن ملکه، کما لو أمسکه بیده ثمّ انفلت منها، و کذا لو مشیٰ بالشبکة علیٰ وجه لا یقدر علی الامتناع فإنّه لناصبها، فلو أخذه غیره لم یملکه، بل یجب أن یردّه إلیه</w:t>
      </w:r>
      <w:r>
        <w:rPr>
          <w:rFonts w:eastAsia="IRNazanin" w:cs="IRNazanin"/>
          <w:color w:val="111111"/>
          <w:sz w:val="28"/>
          <w:szCs w:val="28"/>
          <w:rtl w:val="true"/>
          <w:lang w:bidi="fa-IR"/>
        </w:rPr>
        <w:t>.</w:t>
      </w:r>
    </w:p>
    <w:p>
      <w:pPr>
        <w:pStyle w:val="Heading4"/>
        <w:numPr>
          <w:ilvl w:val="3"/>
          <w:numId w:val="1"/>
        </w:numPr>
        <w:rPr/>
      </w:pPr>
      <w:bookmarkStart w:id="6204" w:name="__RefHeading___Toc2570598_3650668749"/>
      <w:bookmarkStart w:id="6205" w:name="_Toc2808"/>
      <w:bookmarkEnd w:id="6204"/>
      <w:r>
        <w:rPr>
          <w:rtl w:val="true"/>
        </w:rPr>
        <w:t>[ (</w:t>
      </w:r>
      <w:r>
        <w:rPr>
          <w:rtl w:val="true"/>
        </w:rPr>
        <w:t xml:space="preserve">مسألة </w:t>
      </w:r>
      <w:r>
        <w:rPr/>
        <w:t>19</w:t>
      </w:r>
      <w:r>
        <w:rPr>
          <w:rtl w:val="true"/>
        </w:rPr>
        <w:t xml:space="preserve">): </w:t>
      </w:r>
      <w:r>
        <w:rPr>
          <w:rtl w:val="true"/>
        </w:rPr>
        <w:t>لو رماه فجرحه لکن لم یخرجه عن الامتناع فدخل داراً فأخذه صاحب الدار ملکه بأخذه</w:t>
      </w:r>
      <w:r>
        <w:rPr>
          <w:rtl w:val="true"/>
        </w:rPr>
        <w:t>]</w:t>
      </w:r>
      <w:bookmarkEnd w:id="6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رماه فجرحه لکن لم یخرجه عن الامتناع فدخل داراً فأخذه صاحب الدار ملکه بأخذه لا بدخول الدار، کما أنّه لو رماه و لم یثبته فرماه شخص آخر </w:t>
      </w:r>
      <w:r>
        <w:rPr>
          <w:rStyle w:val="FootnoteAnchor"/>
          <w:rtl w:val="true"/>
        </w:rPr>
        <w:footnoteReference w:id="1643"/>
      </w:r>
      <w:r>
        <w:rPr>
          <w:rFonts w:ascii="IRNazanin" w:hAnsi="IRNazanin" w:eastAsia="IRNazanin"/>
          <w:color w:val="111111"/>
          <w:sz w:val="28"/>
          <w:sz w:val="28"/>
          <w:szCs w:val="28"/>
          <w:rtl w:val="true"/>
          <w:lang w:bidi="fa-IR"/>
        </w:rPr>
        <w:t>فهو للثانی لا الأوّل</w:t>
      </w:r>
      <w:r>
        <w:rPr>
          <w:rFonts w:eastAsia="IRNazanin" w:cs="IRNazanin"/>
          <w:color w:val="111111"/>
          <w:sz w:val="28"/>
          <w:szCs w:val="28"/>
          <w:rtl w:val="true"/>
          <w:lang w:bidi="fa-IR"/>
        </w:rPr>
        <w:t>.</w:t>
      </w:r>
    </w:p>
    <w:p>
      <w:pPr>
        <w:pStyle w:val="Heading4"/>
        <w:numPr>
          <w:ilvl w:val="3"/>
          <w:numId w:val="1"/>
        </w:numPr>
        <w:rPr/>
      </w:pPr>
      <w:bookmarkStart w:id="6206" w:name="__RefHeading___Toc2570600_3650668749"/>
      <w:bookmarkStart w:id="6207" w:name="_Toc2809"/>
      <w:bookmarkEnd w:id="6206"/>
      <w:r>
        <w:rPr>
          <w:rtl w:val="true"/>
        </w:rPr>
        <w:t>[ (</w:t>
      </w:r>
      <w:r>
        <w:rPr>
          <w:rtl w:val="true"/>
        </w:rPr>
        <w:t xml:space="preserve">مسألة </w:t>
      </w:r>
      <w:r>
        <w:rPr/>
        <w:t>20</w:t>
      </w:r>
      <w:r>
        <w:rPr>
          <w:rtl w:val="true"/>
        </w:rPr>
        <w:t xml:space="preserve">): </w:t>
      </w:r>
      <w:r>
        <w:rPr>
          <w:rtl w:val="true"/>
        </w:rPr>
        <w:t>لو أطلق الصائد صیده من یده، فإن لم یقصد الإعراض عنه لم یخرج عن ملکه و لا یملکه غیره باصطیاده</w:t>
      </w:r>
      <w:r>
        <w:rPr>
          <w:rtl w:val="true"/>
        </w:rPr>
        <w:t>]</w:t>
      </w:r>
      <w:bookmarkEnd w:id="6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أطلق الصائد صیده من یده، فإن لم یقصد الإعراض عنه لم یخرج عن ملکه و لا یملکه غیره باصطیاده، و إن قصد الإعراض و زوال ملکه عنه فالظاهر أنّه یصیر کالمباح جاز اصطیاده لغیره و یملکه، و لیس للأوّل الرجوع إلی الثانی بعد ما ملکه علی الأقویٰ</w:t>
      </w:r>
      <w:r>
        <w:rPr>
          <w:rFonts w:eastAsia="IRNazanin" w:cs="IRNazanin"/>
          <w:color w:val="111111"/>
          <w:sz w:val="28"/>
          <w:szCs w:val="28"/>
          <w:rtl w:val="true"/>
          <w:lang w:bidi="fa-IR"/>
        </w:rPr>
        <w:t>.</w:t>
      </w:r>
    </w:p>
    <w:p>
      <w:pPr>
        <w:pStyle w:val="Heading4"/>
        <w:numPr>
          <w:ilvl w:val="3"/>
          <w:numId w:val="1"/>
        </w:numPr>
        <w:rPr/>
      </w:pPr>
      <w:bookmarkStart w:id="6208" w:name="__RefHeading___Toc2570602_3650668749"/>
      <w:bookmarkStart w:id="6209" w:name="_Toc2810"/>
      <w:bookmarkEnd w:id="6208"/>
      <w:r>
        <w:rPr>
          <w:rtl w:val="true"/>
        </w:rPr>
        <w:t>[ (</w:t>
      </w:r>
      <w:r>
        <w:rPr>
          <w:rtl w:val="true"/>
        </w:rPr>
        <w:t xml:space="preserve">مسألة </w:t>
      </w:r>
      <w:r>
        <w:rPr/>
        <w:t>21</w:t>
      </w:r>
      <w:r>
        <w:rPr>
          <w:rtl w:val="true"/>
        </w:rPr>
        <w:t xml:space="preserve">): </w:t>
      </w:r>
      <w:r>
        <w:rPr>
          <w:rtl w:val="true"/>
        </w:rPr>
        <w:t>إنّما یملک غیر الطیر بالاصطیاد إذا لم یعلم کونه ملکاً للغیر</w:t>
      </w:r>
      <w:r>
        <w:rPr>
          <w:rtl w:val="true"/>
        </w:rPr>
        <w:t>]</w:t>
      </w:r>
      <w:bookmarkEnd w:id="6209"/>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یملک غیر الطیر بالاصطیاد إذا لم یعلم کونه ملکاً للغیر و لو من جهة وجود آثار الید التی هی أمارة علی الملک فیه کما إذا کان طوق فی عنقه أو قرط فی اذنه أو شدّ حبل فی أحد قوائمه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علم ذلک لم یملکه الصائد بل یردّ إلیٰ صاحبه إن عرفه، و إن لم یعرفه یکون بحکم اللقطة و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الطیر فإن کان مقصوص الجناحین کان بحکم ما علم أنّ له مالکاً </w:t>
      </w:r>
      <w:r>
        <w:rPr>
          <w:rStyle w:val="FootnoteAnchor"/>
          <w:rtl w:val="true"/>
        </w:rPr>
        <w:footnoteReference w:id="1644"/>
      </w:r>
      <w:r>
        <w:rPr>
          <w:rFonts w:ascii="IRNazanin" w:hAnsi="IRNazanin" w:eastAsia="IRNazanin"/>
          <w:color w:val="111111"/>
          <w:sz w:val="28"/>
          <w:sz w:val="28"/>
          <w:szCs w:val="28"/>
          <w:rtl w:val="true"/>
          <w:lang w:bidi="fa-IR"/>
        </w:rPr>
        <w:t>، فیردّ إلیٰ صاحبه إن عرف، و إن لم یعرف کان لقطة، و أمّا إن ملک جناحیه یتملّک بالاصطیاد إلّا إذا کان له مالک معلوم، فیجب علیه ردّه إلیه، و الأحوط</w:t>
      </w:r>
      <w:bookmarkStart w:id="6210" w:name="pg1809_19651"/>
    </w:p>
    <w:p>
      <w:pPr>
        <w:pStyle w:val="BookText"/>
        <w:rPr/>
      </w:pPr>
      <w:bookmarkEnd w:id="6210"/>
      <w:r>
        <w:rPr>
          <w:rFonts w:ascii="IRNazanin" w:hAnsi="IRNazanin" w:eastAsia="IRNazanin"/>
          <w:color w:val="111111"/>
          <w:sz w:val="28"/>
          <w:sz w:val="28"/>
          <w:szCs w:val="28"/>
          <w:rtl w:val="true"/>
          <w:lang w:bidi="fa-IR"/>
        </w:rPr>
        <w:t>فیما إذا علم أنّ له مالکاً و لم یعرفه أن یعامل معه معاملة اللقطة و مجهول المالک کغیر الطیر</w:t>
      </w:r>
      <w:r>
        <w:rPr>
          <w:rFonts w:eastAsia="IRNazanin" w:cs="IRNazanin"/>
          <w:color w:val="111111"/>
          <w:sz w:val="28"/>
          <w:szCs w:val="28"/>
          <w:rtl w:val="true"/>
          <w:lang w:bidi="fa-IR"/>
        </w:rPr>
        <w:t>.</w:t>
      </w:r>
    </w:p>
    <w:p>
      <w:pPr>
        <w:pStyle w:val="Heading4"/>
        <w:numPr>
          <w:ilvl w:val="3"/>
          <w:numId w:val="1"/>
        </w:numPr>
        <w:rPr/>
      </w:pPr>
      <w:bookmarkStart w:id="6211" w:name="__RefHeading___Toc2570604_3650668749"/>
      <w:bookmarkStart w:id="6212" w:name="_Toc2811"/>
      <w:bookmarkEnd w:id="6211"/>
      <w:r>
        <w:rPr>
          <w:rtl w:val="true"/>
        </w:rPr>
        <w:t>[ (</w:t>
      </w:r>
      <w:r>
        <w:rPr>
          <w:rtl w:val="true"/>
        </w:rPr>
        <w:t xml:space="preserve">مسألة </w:t>
      </w:r>
      <w:r>
        <w:rPr/>
        <w:t>22</w:t>
      </w:r>
      <w:r>
        <w:rPr>
          <w:rtl w:val="true"/>
        </w:rPr>
        <w:t xml:space="preserve">): </w:t>
      </w:r>
      <w:r>
        <w:rPr>
          <w:rtl w:val="true"/>
        </w:rPr>
        <w:t>لو صنع برجاً لتعشیش الحمام فعشّشت فیه لم یملکها</w:t>
      </w:r>
      <w:r>
        <w:rPr>
          <w:rtl w:val="true"/>
        </w:rPr>
        <w:t>]</w:t>
      </w:r>
      <w:bookmarkEnd w:id="6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صنع برجاً لتعشیش الحمام فعشّشت فیه لم یملکها، خصوصاً لو کان الغرض حیازة زرقها مثلًا فیجوز لغیره صیدها و یملک ما صاده، بل لو أخذ حمامة من البرج ملکها و إن أثم من جهة الدخول فیه بغیر إذن مالکه، و کذلک فیما إذا عشّشت فی بئر مملوک فإنّه لا یملکها مالک البئر</w:t>
      </w:r>
      <w:r>
        <w:rPr>
          <w:rFonts w:eastAsia="IRNazanin" w:cs="IRNazanin"/>
          <w:color w:val="111111"/>
          <w:sz w:val="28"/>
          <w:szCs w:val="28"/>
          <w:rtl w:val="true"/>
          <w:lang w:bidi="fa-IR"/>
        </w:rPr>
        <w:t>.</w:t>
      </w:r>
    </w:p>
    <w:p>
      <w:pPr>
        <w:pStyle w:val="Heading4"/>
        <w:numPr>
          <w:ilvl w:val="3"/>
          <w:numId w:val="1"/>
        </w:numPr>
        <w:rPr/>
      </w:pPr>
      <w:bookmarkStart w:id="6213" w:name="__RefHeading___Toc2570606_3650668749"/>
      <w:bookmarkStart w:id="6214" w:name="_Toc2812"/>
      <w:bookmarkEnd w:id="6213"/>
      <w:r>
        <w:rPr>
          <w:rtl w:val="true"/>
        </w:rPr>
        <w:t>[ (</w:t>
      </w:r>
      <w:r>
        <w:rPr>
          <w:rtl w:val="true"/>
        </w:rPr>
        <w:t xml:space="preserve">مسألة </w:t>
      </w:r>
      <w:r>
        <w:rPr/>
        <w:t>23</w:t>
      </w:r>
      <w:r>
        <w:rPr>
          <w:rtl w:val="true"/>
        </w:rPr>
        <w:t xml:space="preserve">): </w:t>
      </w:r>
      <w:r>
        <w:rPr>
          <w:rtl w:val="true"/>
        </w:rPr>
        <w:t>الظاهر أنّه یکفی فی تملّک النحل الغیر المملوکة أخذ أمیرها</w:t>
      </w:r>
      <w:r>
        <w:rPr>
          <w:rtl w:val="true"/>
        </w:rPr>
        <w:t>]</w:t>
      </w:r>
      <w:bookmarkEnd w:id="6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یکفی فی تملّک النحل الغیر المملوکة أخذ أمیرها، فمن أخذه من الجبال مثلًا و استولی علیه یملکه، و یملک کلّ ما تتبعه من النحل ممّا تسیر بسیرة و تقف بوقوفه، و تدخل الکنّ و تخرج منه بدخوله و خروجه</w:t>
      </w:r>
      <w:r>
        <w:rPr>
          <w:rFonts w:eastAsia="IRNazanin" w:cs="IRNazanin"/>
          <w:color w:val="111111"/>
          <w:sz w:val="28"/>
          <w:szCs w:val="28"/>
          <w:rtl w:val="true"/>
          <w:lang w:bidi="fa-IR"/>
        </w:rPr>
        <w:t>.</w:t>
      </w:r>
    </w:p>
    <w:p>
      <w:pPr>
        <w:pStyle w:val="Heading4"/>
        <w:numPr>
          <w:ilvl w:val="3"/>
          <w:numId w:val="1"/>
        </w:numPr>
        <w:rPr/>
      </w:pPr>
      <w:bookmarkStart w:id="6215" w:name="__RefHeading___Toc2570608_3650668749"/>
      <w:bookmarkStart w:id="6216" w:name="_Toc2813"/>
      <w:bookmarkEnd w:id="6215"/>
      <w:r>
        <w:rPr>
          <w:rtl w:val="true"/>
        </w:rPr>
        <w:t>[ (</w:t>
      </w:r>
      <w:r>
        <w:rPr>
          <w:rtl w:val="true"/>
        </w:rPr>
        <w:t xml:space="preserve">مسألة </w:t>
      </w:r>
      <w:r>
        <w:rPr/>
        <w:t>24</w:t>
      </w:r>
      <w:r>
        <w:rPr>
          <w:rtl w:val="true"/>
        </w:rPr>
        <w:t xml:space="preserve">): </w:t>
      </w:r>
      <w:r>
        <w:rPr>
          <w:rtl w:val="true"/>
        </w:rPr>
        <w:t>ذکاة السمک إمّا بإخراجه من الماء حیّاً، أو بأخذه بعد خروجه منه قبل موته</w:t>
      </w:r>
      <w:r>
        <w:rPr>
          <w:rtl w:val="true"/>
        </w:rPr>
        <w:t>]</w:t>
      </w:r>
      <w:bookmarkEnd w:id="6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ذکاة السمک إمّا بإخراجه من الماء حیّاً، أو بأخذه بعد خروجه منه قبل موته؛ سواء کان ذلک بالید أو بآلة کالشبکة و نحوها، فلو وثب علی الجدّ أو نبذه البحر إلی الساحل أو نضب الماء الذی کان فیه، حلّ لو أخذه إنسان قبل أن یموت، و حرم لو مات قبل الأخذ و إن أدرکه حیّاً ناظراً إلیه علی الأقویٰ</w:t>
      </w:r>
      <w:r>
        <w:rPr>
          <w:rFonts w:eastAsia="IRNazanin" w:cs="IRNazanin"/>
          <w:color w:val="111111"/>
          <w:sz w:val="28"/>
          <w:szCs w:val="28"/>
          <w:rtl w:val="true"/>
          <w:lang w:bidi="fa-IR"/>
        </w:rPr>
        <w:t>.</w:t>
      </w:r>
    </w:p>
    <w:p>
      <w:pPr>
        <w:pStyle w:val="Heading4"/>
        <w:numPr>
          <w:ilvl w:val="3"/>
          <w:numId w:val="1"/>
        </w:numPr>
        <w:rPr/>
      </w:pPr>
      <w:bookmarkStart w:id="6217" w:name="__RefHeading___Toc2570610_3650668749"/>
      <w:bookmarkStart w:id="6218" w:name="_Toc2814"/>
      <w:bookmarkEnd w:id="6217"/>
      <w:r>
        <w:rPr>
          <w:rtl w:val="true"/>
        </w:rPr>
        <w:t>[ (</w:t>
      </w:r>
      <w:r>
        <w:rPr>
          <w:rtl w:val="true"/>
        </w:rPr>
        <w:t xml:space="preserve">مسألة </w:t>
      </w:r>
      <w:r>
        <w:rPr/>
        <w:t>25</w:t>
      </w:r>
      <w:r>
        <w:rPr>
          <w:rtl w:val="true"/>
        </w:rPr>
        <w:t xml:space="preserve">): </w:t>
      </w:r>
      <w:r>
        <w:rPr>
          <w:rtl w:val="true"/>
        </w:rPr>
        <w:t>لا یشترط فی تذکیة السمک عند إخراجه من الماء أو أخذه بعد خروجه منه التسمیة</w:t>
      </w:r>
      <w:r>
        <w:rPr>
          <w:rtl w:val="true"/>
        </w:rPr>
        <w:t>]</w:t>
      </w:r>
      <w:bookmarkEnd w:id="6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تذکیة السمک عند إخراجه من الماء أو أخذه بعد خروجه منه التسمیة، کما أنّه لا یعتبر فی صائده الإسلام، فلو أخرجه کافر أو أخذه فمات بعد أخذه حلّ؛ سواء کان کتابیّاً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وجده فی یده میّتاً لم یحلّ أکله ما لم یعلم أنّه قد مات خارج الماء بعد إخراجه أو أخذه بعد خروجه و قبل موته، و لا یحرز ذلک بکونه فی یده و لا بقوله لو أخبر به، بخلاف ما إذا کان فی ید مسلم فإنّه یحکم بتذکیته حتّی یعلم خلافها</w:t>
      </w:r>
      <w:r>
        <w:rPr>
          <w:rFonts w:eastAsia="IRNazanin" w:cs="IRNazanin"/>
          <w:color w:val="111111"/>
          <w:sz w:val="28"/>
          <w:szCs w:val="28"/>
          <w:rtl w:val="true"/>
          <w:lang w:bidi="fa-IR"/>
        </w:rPr>
        <w:t>.</w:t>
      </w:r>
    </w:p>
    <w:p>
      <w:pPr>
        <w:pStyle w:val="Heading4"/>
        <w:numPr>
          <w:ilvl w:val="3"/>
          <w:numId w:val="1"/>
        </w:numPr>
        <w:rPr/>
      </w:pPr>
      <w:bookmarkStart w:id="6219" w:name="__RefHeading___Toc2570612_3650668749"/>
      <w:bookmarkStart w:id="6220" w:name="_Toc2815"/>
      <w:bookmarkEnd w:id="6219"/>
      <w:r>
        <w:rPr>
          <w:rtl w:val="true"/>
        </w:rPr>
        <w:t>[ (</w:t>
      </w:r>
      <w:r>
        <w:rPr>
          <w:rtl w:val="true"/>
        </w:rPr>
        <w:t xml:space="preserve">مسألة </w:t>
      </w:r>
      <w:r>
        <w:rPr/>
        <w:t>26</w:t>
      </w:r>
      <w:r>
        <w:rPr>
          <w:rtl w:val="true"/>
        </w:rPr>
        <w:t xml:space="preserve">): </w:t>
      </w:r>
      <w:r>
        <w:rPr>
          <w:rtl w:val="true"/>
        </w:rPr>
        <w:t>لو وثب من الماء سمکة إلی السفینة لم یحلّ ما لم یؤخذ بالید</w:t>
      </w:r>
      <w:r>
        <w:rPr>
          <w:rtl w:val="true"/>
        </w:rPr>
        <w:t>]</w:t>
      </w:r>
      <w:bookmarkEnd w:id="6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وثب من الماء سمکة إلی السفینة لم یحلّ ما لم یؤخذ بالید، و لم یملکه السفان و لا صاحب السفینة بل کلّ من أخذه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قصد صاحب السفینة الصید بها؛ بأن جعل فی السفینة ضوءً باللیل و دقّ بشی‌ء کالجرس لیثب فیها السموک فوثبت فیها فالوجه أنّه یملکها، و یکون و ثوبها فیها بسبب هذا الصنع بمنزلة إخراجها حیّاً فیکون به تذکیتها</w:t>
      </w:r>
      <w:r>
        <w:rPr>
          <w:rFonts w:eastAsia="IRNazanin" w:cs="IRNazanin"/>
          <w:color w:val="111111"/>
          <w:sz w:val="28"/>
          <w:szCs w:val="28"/>
          <w:rtl w:val="true"/>
          <w:lang w:bidi="fa-IR"/>
        </w:rPr>
        <w:t>.</w:t>
      </w:r>
    </w:p>
    <w:p>
      <w:pPr>
        <w:pStyle w:val="Heading4"/>
        <w:numPr>
          <w:ilvl w:val="3"/>
          <w:numId w:val="1"/>
        </w:numPr>
        <w:rPr/>
      </w:pPr>
      <w:bookmarkStart w:id="6221" w:name="__RefHeading___Toc2570614_3650668749"/>
      <w:bookmarkStart w:id="6222" w:name="_Toc2816"/>
      <w:bookmarkEnd w:id="6221"/>
      <w:r>
        <w:rPr>
          <w:rtl w:val="true"/>
        </w:rPr>
        <w:t>[ (</w:t>
      </w:r>
      <w:r>
        <w:rPr>
          <w:rtl w:val="true"/>
        </w:rPr>
        <w:t xml:space="preserve">مسألة </w:t>
      </w:r>
      <w:r>
        <w:rPr/>
        <w:t>27</w:t>
      </w:r>
      <w:r>
        <w:rPr>
          <w:rtl w:val="true"/>
        </w:rPr>
        <w:t xml:space="preserve">): </w:t>
      </w:r>
      <w:r>
        <w:rPr>
          <w:rtl w:val="true"/>
        </w:rPr>
        <w:t>لو نصب شبکة أو صنع حظیرة فی الماء لاصطیاد السمک فکلّ ما وقع و احتبس فیهما ملکه</w:t>
      </w:r>
      <w:r>
        <w:rPr>
          <w:rtl w:val="true"/>
        </w:rPr>
        <w:t>]</w:t>
      </w:r>
      <w:bookmarkEnd w:id="6222"/>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نصب شبکة أو صنع حظیرة فی الماء لاصطیاد السمک فکلّ ما وقع و احتبس فیهما ملکه، فإن أخرج ما فیها من الماء حیّاً حلّ بلا إشکال، و کذا لو نضب الماء</w:t>
      </w:r>
      <w:bookmarkStart w:id="6223" w:name="pg1809_19653"/>
    </w:p>
    <w:p>
      <w:pPr>
        <w:pStyle w:val="BookText"/>
        <w:rPr/>
      </w:pPr>
      <w:bookmarkEnd w:id="6223"/>
      <w:r>
        <w:rPr>
          <w:rFonts w:ascii="IRNazanin" w:hAnsi="IRNazanin" w:eastAsia="IRNazanin"/>
          <w:color w:val="111111"/>
          <w:sz w:val="28"/>
          <w:sz w:val="28"/>
          <w:szCs w:val="28"/>
          <w:rtl w:val="true"/>
          <w:lang w:bidi="fa-IR"/>
        </w:rPr>
        <w:t>و غار و لو بسبب جزره فماتت فیهما بعد نضوبه، و أمّا لو ماتت فی الماء فهل هی حلال أم لا؟ قولان، أشهرهما و أحوطهما الثانی، بل 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أخرج الشبکة من الماء فوجد بعض ما فیه من السمک أو کلّه میّتاً، و لم یدر أنّه قد مات فی الماء أو بعد خروجه لا یبعد </w:t>
      </w:r>
      <w:r>
        <w:rPr>
          <w:rStyle w:val="FootnoteAnchor"/>
          <w:rtl w:val="true"/>
        </w:rPr>
        <w:footnoteReference w:id="1645"/>
      </w:r>
      <w:r>
        <w:rPr>
          <w:rFonts w:ascii="IRNazanin" w:hAnsi="IRNazanin" w:eastAsia="IRNazanin"/>
          <w:color w:val="111111"/>
          <w:sz w:val="28"/>
          <w:sz w:val="28"/>
          <w:szCs w:val="28"/>
          <w:rtl w:val="true"/>
          <w:lang w:bidi="fa-IR"/>
        </w:rPr>
        <w:t>البناء علی الثانی و حلّیّة أکله</w:t>
      </w:r>
      <w:r>
        <w:rPr>
          <w:rFonts w:eastAsia="IRNazanin" w:cs="IRNazanin"/>
          <w:color w:val="111111"/>
          <w:sz w:val="28"/>
          <w:szCs w:val="28"/>
          <w:rtl w:val="true"/>
          <w:lang w:bidi="fa-IR"/>
        </w:rPr>
        <w:t>.</w:t>
      </w:r>
    </w:p>
    <w:p>
      <w:pPr>
        <w:pStyle w:val="Heading4"/>
        <w:numPr>
          <w:ilvl w:val="3"/>
          <w:numId w:val="1"/>
        </w:numPr>
        <w:rPr/>
      </w:pPr>
      <w:bookmarkStart w:id="6224" w:name="__RefHeading___Toc2570616_3650668749"/>
      <w:bookmarkStart w:id="6225" w:name="_Toc2817"/>
      <w:bookmarkEnd w:id="6224"/>
      <w:r>
        <w:rPr>
          <w:rtl w:val="true"/>
        </w:rPr>
        <w:t>[ (</w:t>
      </w:r>
      <w:r>
        <w:rPr>
          <w:rtl w:val="true"/>
        </w:rPr>
        <w:t xml:space="preserve">مسألة </w:t>
      </w:r>
      <w:r>
        <w:rPr/>
        <w:t>28</w:t>
      </w:r>
      <w:r>
        <w:rPr>
          <w:rtl w:val="true"/>
        </w:rPr>
        <w:t xml:space="preserve">): </w:t>
      </w:r>
      <w:r>
        <w:rPr>
          <w:rtl w:val="true"/>
        </w:rPr>
        <w:t>لو أخرج السمک من الماء حیّاً ثمّ أعاده إلی الماء</w:t>
      </w:r>
      <w:r>
        <w:rPr>
          <w:rtl w:val="true"/>
        </w:rPr>
        <w:t>]</w:t>
      </w:r>
      <w:bookmarkEnd w:id="6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أخرج السمک من الماء حیّاً ثمّ أعاده إلی الماء مربوطاً أو غیر مربوط فمات فیه حرم</w:t>
      </w:r>
      <w:r>
        <w:rPr>
          <w:rFonts w:eastAsia="IRNazanin" w:cs="IRNazanin"/>
          <w:color w:val="111111"/>
          <w:sz w:val="28"/>
          <w:szCs w:val="28"/>
          <w:rtl w:val="true"/>
          <w:lang w:bidi="fa-IR"/>
        </w:rPr>
        <w:t>.</w:t>
      </w:r>
    </w:p>
    <w:p>
      <w:pPr>
        <w:pStyle w:val="Heading4"/>
        <w:numPr>
          <w:ilvl w:val="3"/>
          <w:numId w:val="1"/>
        </w:numPr>
        <w:rPr/>
      </w:pPr>
      <w:bookmarkStart w:id="6226" w:name="__RefHeading___Toc2570618_3650668749"/>
      <w:bookmarkStart w:id="6227" w:name="_Toc2818"/>
      <w:bookmarkEnd w:id="6226"/>
      <w:r>
        <w:rPr>
          <w:rtl w:val="true"/>
        </w:rPr>
        <w:t>[ (</w:t>
      </w:r>
      <w:r>
        <w:rPr>
          <w:rtl w:val="true"/>
        </w:rPr>
        <w:t xml:space="preserve">مسألة </w:t>
      </w:r>
      <w:r>
        <w:rPr/>
        <w:t>29</w:t>
      </w:r>
      <w:r>
        <w:rPr>
          <w:rtl w:val="true"/>
        </w:rPr>
        <w:t xml:space="preserve">): </w:t>
      </w:r>
      <w:r>
        <w:rPr>
          <w:rtl w:val="true"/>
        </w:rPr>
        <w:t>لو طفا السمک علی الماء و زال امتناعه بسبب من الأسباب</w:t>
      </w:r>
      <w:r>
        <w:rPr>
          <w:rtl w:val="true"/>
        </w:rPr>
        <w:t>]</w:t>
      </w:r>
      <w:bookmarkEnd w:id="6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طفا السمک علی الماء و زال امتناعه بسبب من الأسباب، مثل أن ضرب بمضراب أو بلع ما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لسان بعض الناس أو غیر ذلک، فإن أدرکه إنسان و أخذه و أخرجه من الماء قبل أن یموت حلّ و إن مات علی الماء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ألقی الزهر أحد فبلعه السمک و صار علیٰ وجه الماء لم یملکه الملقی ما لم یأخذه، فلو أخذه غیره ملکه، من غیر فرق بین ما إذا لم یقصد سمکاً معیّناً کما إذا ألقاه فی الشطّ فبلعه بعض السموک أو قصد سمکاً معیّناً و ألقاه له فبلعه فطفا علی الماء، علیٰ إشکال فی الثانی </w:t>
      </w:r>
      <w:r>
        <w:rPr>
          <w:rStyle w:val="FootnoteAnchor"/>
          <w:rtl w:val="true"/>
        </w:rPr>
        <w:footnoteReference w:id="1646"/>
      </w:r>
      <w:r>
        <w:rPr>
          <w:rFonts w:ascii="IRNazanin" w:hAnsi="IRNazanin" w:eastAsia="IRNazanin"/>
          <w:color w:val="111111"/>
          <w:sz w:val="28"/>
          <w:sz w:val="28"/>
          <w:szCs w:val="28"/>
          <w:rtl w:val="true"/>
          <w:lang w:bidi="fa-IR"/>
        </w:rPr>
        <w:t>لاحتمال کونه کإثبات صید البرّ و إزالة امتناعه بالرمی و قد مرّ فی بابه أنّه للرامی فلا یملکه غیره بالأخذ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فیما إذا أُزیل امتناع السمک باستعمال آلة کما لو رماه بالرصاص فطفا علی الماء و فیه حیاة، بل الأمر فیه أشکل لقوّة احتمال کونه ملکاً لرامیه لا لمن أخذه</w:t>
      </w:r>
      <w:r>
        <w:rPr>
          <w:rFonts w:eastAsia="IRNazanin" w:cs="IRNazanin"/>
          <w:color w:val="111111"/>
          <w:sz w:val="28"/>
          <w:szCs w:val="28"/>
          <w:rtl w:val="true"/>
          <w:lang w:bidi="fa-IR"/>
        </w:rPr>
        <w:t>.</w:t>
      </w:r>
    </w:p>
    <w:p>
      <w:pPr>
        <w:pStyle w:val="Heading4"/>
        <w:numPr>
          <w:ilvl w:val="3"/>
          <w:numId w:val="1"/>
        </w:numPr>
        <w:rPr/>
      </w:pPr>
      <w:bookmarkStart w:id="6228" w:name="__RefHeading___Toc2570620_3650668749"/>
      <w:bookmarkStart w:id="6229" w:name="_Toc2819"/>
      <w:bookmarkEnd w:id="6228"/>
      <w:r>
        <w:rPr>
          <w:rtl w:val="true"/>
        </w:rPr>
        <w:t>[ (</w:t>
      </w:r>
      <w:r>
        <w:rPr>
          <w:rtl w:val="true"/>
        </w:rPr>
        <w:t xml:space="preserve">مسألة </w:t>
      </w:r>
      <w:r>
        <w:rPr/>
        <w:t>30</w:t>
      </w:r>
      <w:r>
        <w:rPr>
          <w:rtl w:val="true"/>
        </w:rPr>
        <w:t xml:space="preserve">): </w:t>
      </w:r>
      <w:r>
        <w:rPr>
          <w:rtl w:val="true"/>
        </w:rPr>
        <w:t>لا یعتبر فی حلّیّة السمک بعد ما أُخرج من الماء حیّاً أو أُخذ حیّاً بعد خروجه</w:t>
      </w:r>
      <w:r>
        <w:rPr>
          <w:rtl w:val="true"/>
        </w:rPr>
        <w:t>]</w:t>
      </w:r>
      <w:bookmarkEnd w:id="6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حلّیّة السمک بعد ما أُخرج من الماء حیّاً أو أُخذ حیّاً بعد خروجه أن یموت خارج الماء بنفسه، فلو قطعه قبل أن یموت و مات بالتقطیع، بل لو شوّاه حیّاً حلّ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یعتبر فی حلّه الموت من أصله فیحلّ بلعه حیّاً، بل لو قطع منه قطعة و أُعید الباقی إلی الماء حلّ ما قطعه؛ سواء مات الباقی فی الماء أم لا، نعم لو قطع منه قطعة و هو فی الماء حیّ أو میّت لم یحلّ ما قطعه</w:t>
      </w:r>
      <w:r>
        <w:rPr>
          <w:rFonts w:eastAsia="IRNazanin" w:cs="IRNazanin"/>
          <w:color w:val="111111"/>
          <w:sz w:val="28"/>
          <w:szCs w:val="28"/>
          <w:rtl w:val="true"/>
          <w:lang w:bidi="fa-IR"/>
        </w:rPr>
        <w:t>.</w:t>
      </w:r>
    </w:p>
    <w:p>
      <w:pPr>
        <w:pStyle w:val="Heading4"/>
        <w:numPr>
          <w:ilvl w:val="3"/>
          <w:numId w:val="1"/>
        </w:numPr>
        <w:rPr/>
      </w:pPr>
      <w:bookmarkStart w:id="6230" w:name="__RefHeading___Toc2570622_3650668749"/>
      <w:bookmarkStart w:id="6231" w:name="_Toc2820"/>
      <w:bookmarkEnd w:id="6230"/>
      <w:r>
        <w:rPr>
          <w:rtl w:val="true"/>
        </w:rPr>
        <w:t>[ (</w:t>
      </w:r>
      <w:r>
        <w:rPr>
          <w:rtl w:val="true"/>
        </w:rPr>
        <w:t xml:space="preserve">مسألة </w:t>
      </w:r>
      <w:r>
        <w:rPr/>
        <w:t>31</w:t>
      </w:r>
      <w:r>
        <w:rPr>
          <w:rtl w:val="true"/>
        </w:rPr>
        <w:t xml:space="preserve">): </w:t>
      </w:r>
      <w:r>
        <w:rPr>
          <w:rtl w:val="true"/>
        </w:rPr>
        <w:t>ذکاة الجراد أخذه حیّاً؛ سواء کان بالید أو بالآلة</w:t>
      </w:r>
      <w:r>
        <w:rPr>
          <w:rtl w:val="true"/>
        </w:rPr>
        <w:t>]</w:t>
      </w:r>
      <w:bookmarkEnd w:id="6231"/>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ذکاة الجراد أخذه حیّاً؛ سواء کان بالید أو بالآلة، فلو مات قبل أخذه حرم</w:t>
      </w:r>
      <w:r>
        <w:rPr>
          <w:rFonts w:eastAsia="IRNazanin" w:cs="IRNazanin"/>
          <w:color w:val="111111"/>
          <w:sz w:val="28"/>
          <w:szCs w:val="28"/>
          <w:rtl w:val="true"/>
          <w:lang w:bidi="fa-IR"/>
        </w:rPr>
        <w:t>.</w:t>
      </w:r>
      <w:bookmarkStart w:id="6232" w:name="pg1809_19655"/>
    </w:p>
    <w:p>
      <w:pPr>
        <w:pStyle w:val="BookText"/>
        <w:rPr/>
      </w:pPr>
      <w:bookmarkEnd w:id="6232"/>
      <w:r>
        <w:rPr>
          <w:rFonts w:ascii="IRNazanin" w:hAnsi="IRNazanin" w:eastAsia="IRNazanin"/>
          <w:color w:val="111111"/>
          <w:sz w:val="28"/>
          <w:sz w:val="28"/>
          <w:szCs w:val="28"/>
          <w:rtl w:val="true"/>
          <w:lang w:bidi="fa-IR"/>
        </w:rPr>
        <w:t>و لا یعتبر فیه التسمیة و لا إسلام الآخذ کما مرّ فی 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وجده میّتاً فی ید الکافر لم یحلّ ما لم یعلم بأخذه حیّاً، و لا یجدی یده و لا أخباره فی إحراز ذلک کما تقدّم فی السمک</w:t>
      </w:r>
      <w:r>
        <w:rPr>
          <w:rFonts w:eastAsia="IRNazanin" w:cs="IRNazanin"/>
          <w:color w:val="111111"/>
          <w:sz w:val="28"/>
          <w:szCs w:val="28"/>
          <w:rtl w:val="true"/>
          <w:lang w:bidi="fa-IR"/>
        </w:rPr>
        <w:t>.</w:t>
      </w:r>
    </w:p>
    <w:p>
      <w:pPr>
        <w:pStyle w:val="Heading4"/>
        <w:numPr>
          <w:ilvl w:val="3"/>
          <w:numId w:val="1"/>
        </w:numPr>
        <w:rPr/>
      </w:pPr>
      <w:bookmarkStart w:id="6233" w:name="__RefHeading___Toc2570624_3650668749"/>
      <w:bookmarkStart w:id="6234" w:name="_Toc2821"/>
      <w:bookmarkEnd w:id="6233"/>
      <w:r>
        <w:rPr>
          <w:rtl w:val="true"/>
        </w:rPr>
        <w:t>[ (</w:t>
      </w:r>
      <w:r>
        <w:rPr>
          <w:rtl w:val="true"/>
        </w:rPr>
        <w:t xml:space="preserve">مسألة </w:t>
      </w:r>
      <w:r>
        <w:rPr/>
        <w:t>32</w:t>
      </w:r>
      <w:r>
        <w:rPr>
          <w:rtl w:val="true"/>
        </w:rPr>
        <w:t xml:space="preserve">): </w:t>
      </w:r>
      <w:r>
        <w:rPr>
          <w:rtl w:val="true"/>
        </w:rPr>
        <w:t>لو وقعت نار فی أجمة و نحوها فأحرقت ما فیها من الجراد</w:t>
      </w:r>
      <w:r>
        <w:rPr>
          <w:rtl w:val="true"/>
        </w:rPr>
        <w:t>]</w:t>
      </w:r>
      <w:bookmarkEnd w:id="6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وقعت نار فی أجمة و نحوها فأحرقت ما فیها من الجراد، لم یحلّ و إن قصده المحرق، نعم لو أحرقها أو شوّاها أو طبخها بعد ما أخذت قبل أن تموت حلّ کما مرّ فی السمک، کما أنّه لو فرض کون النار آلة صید الجراد بأنّه لو أجّجها اجتمعت من الأطراف و ألقت أنفسها فیها فأجّجها لذلک فاجتمعت و احترقت بها، لا یبعد حلّیّة ما احترقت بها من الجراد؛ لکونها حینئذٍ من آلات الصید کالشبکة و الحظیرة للسمک</w:t>
      </w:r>
      <w:r>
        <w:rPr>
          <w:rFonts w:eastAsia="IRNazanin" w:cs="IRNazanin"/>
          <w:color w:val="111111"/>
          <w:sz w:val="28"/>
          <w:szCs w:val="28"/>
          <w:rtl w:val="true"/>
          <w:lang w:bidi="fa-IR"/>
        </w:rPr>
        <w:t>.</w:t>
      </w:r>
    </w:p>
    <w:p>
      <w:pPr>
        <w:pStyle w:val="Heading4"/>
        <w:numPr>
          <w:ilvl w:val="3"/>
          <w:numId w:val="1"/>
        </w:numPr>
        <w:rPr/>
      </w:pPr>
      <w:bookmarkStart w:id="6235" w:name="__RefHeading___Toc2570626_3650668749"/>
      <w:bookmarkStart w:id="6236" w:name="_Toc2822"/>
      <w:bookmarkEnd w:id="6235"/>
      <w:r>
        <w:rPr>
          <w:rtl w:val="true"/>
        </w:rPr>
        <w:t>[ (</w:t>
      </w:r>
      <w:r>
        <w:rPr>
          <w:rtl w:val="true"/>
        </w:rPr>
        <w:t xml:space="preserve">مسألة </w:t>
      </w:r>
      <w:r>
        <w:rPr/>
        <w:t>33</w:t>
      </w:r>
      <w:r>
        <w:rPr>
          <w:rtl w:val="true"/>
        </w:rPr>
        <w:t xml:space="preserve">): </w:t>
      </w:r>
      <w:r>
        <w:rPr>
          <w:rtl w:val="true"/>
        </w:rPr>
        <w:t xml:space="preserve">لا یحلّ من الجراد ما لم یستقلّ بالطیران و هو المسمّی ب </w:t>
      </w:r>
      <w:r>
        <w:rPr>
          <w:rtl w:val="true"/>
        </w:rPr>
        <w:t>«</w:t>
      </w:r>
      <w:r>
        <w:rPr>
          <w:rtl w:val="true"/>
        </w:rPr>
        <w:t>الدبیٰ</w:t>
      </w:r>
      <w:r>
        <w:rPr>
          <w:rtl w:val="true"/>
        </w:rPr>
        <w:t>»]</w:t>
      </w:r>
      <w:bookmarkEnd w:id="6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من الجراد ما لم یستقلّ بالطیران و هو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العصا، و هو الجراد إذا تحرّک و لم تنبت بعد أجنحته</w:t>
      </w:r>
      <w:r>
        <w:rPr>
          <w:rFonts w:eastAsia="IRNazanin" w:cs="IRNazanin"/>
          <w:color w:val="111111"/>
          <w:sz w:val="28"/>
          <w:szCs w:val="28"/>
          <w:rtl w:val="true"/>
          <w:lang w:bidi="fa-IR"/>
        </w:rPr>
        <w:t>.</w:t>
      </w:r>
    </w:p>
    <w:p>
      <w:pPr>
        <w:pStyle w:val="Heading3"/>
        <w:numPr>
          <w:ilvl w:val="2"/>
          <w:numId w:val="1"/>
        </w:numPr>
        <w:rPr/>
      </w:pPr>
      <w:bookmarkStart w:id="6237" w:name="__RefHeading___Toc2570628_3650668749"/>
      <w:bookmarkStart w:id="6238" w:name="_Toc2823"/>
      <w:bookmarkEnd w:id="6237"/>
      <w:r>
        <w:rPr>
          <w:rtl w:val="true"/>
        </w:rPr>
        <w:t>[</w:t>
      </w:r>
      <w:r>
        <w:rPr>
          <w:rtl w:val="true"/>
        </w:rPr>
        <w:t>القول فی الذباحة</w:t>
      </w:r>
      <w:r>
        <w:rPr>
          <w:rtl w:val="true"/>
        </w:rPr>
        <w:t>]</w:t>
      </w:r>
      <w:bookmarkEnd w:id="6238"/>
    </w:p>
    <w:p>
      <w:pPr>
        <w:pStyle w:val="Heading4"/>
        <w:numPr>
          <w:ilvl w:val="3"/>
          <w:numId w:val="1"/>
        </w:numPr>
        <w:rPr/>
      </w:pPr>
      <w:bookmarkStart w:id="6239" w:name="__RefHeading___Toc2570630_3650668749"/>
      <w:bookmarkStart w:id="6240" w:name="_Toc2824"/>
      <w:bookmarkEnd w:id="6239"/>
      <w:r>
        <w:rPr>
          <w:rtl w:val="true"/>
        </w:rPr>
        <w:t>اشارة</w:t>
      </w:r>
      <w:bookmarkEnd w:id="6240"/>
    </w:p>
    <w:p>
      <w:pPr>
        <w:pStyle w:val="BookText"/>
        <w:rPr/>
      </w:pPr>
      <w:r>
        <w:rPr>
          <w:rFonts w:ascii="IRNazanin" w:hAnsi="IRNazanin" w:eastAsia="IRNazanin"/>
          <w:color w:val="111111"/>
          <w:sz w:val="28"/>
          <w:sz w:val="28"/>
          <w:szCs w:val="28"/>
          <w:rtl w:val="true"/>
          <w:lang w:bidi="fa-IR"/>
        </w:rPr>
        <w:t>القول فی الذباحة و الکلام فی الذابح و آلة الذبح و کیفیّته و بعض الأحکام المتعلّقة به فی طیّ مسائل</w:t>
      </w:r>
      <w:r>
        <w:rPr>
          <w:rFonts w:eastAsia="IRNazanin" w:cs="IRNazanin"/>
          <w:color w:val="111111"/>
          <w:sz w:val="28"/>
          <w:szCs w:val="28"/>
          <w:rtl w:val="true"/>
          <w:lang w:bidi="fa-IR"/>
        </w:rPr>
        <w:t>:</w:t>
      </w:r>
    </w:p>
    <w:p>
      <w:pPr>
        <w:pStyle w:val="Heading4"/>
        <w:numPr>
          <w:ilvl w:val="3"/>
          <w:numId w:val="1"/>
        </w:numPr>
        <w:rPr/>
      </w:pPr>
      <w:bookmarkStart w:id="6241" w:name="__RefHeading___Toc2570632_3650668749"/>
      <w:bookmarkStart w:id="6242" w:name="_Toc2825"/>
      <w:bookmarkEnd w:id="6241"/>
      <w:r>
        <w:rPr>
          <w:rtl w:val="true"/>
        </w:rPr>
        <w:t>[ (</w:t>
      </w:r>
      <w:r>
        <w:rPr>
          <w:rtl w:val="true"/>
        </w:rPr>
        <w:t xml:space="preserve">مسألة </w:t>
      </w:r>
      <w:r>
        <w:rPr/>
        <w:t>1</w:t>
      </w:r>
      <w:r>
        <w:rPr>
          <w:rtl w:val="true"/>
        </w:rPr>
        <w:t xml:space="preserve">): </w:t>
      </w:r>
      <w:r>
        <w:rPr>
          <w:rtl w:val="true"/>
        </w:rPr>
        <w:t>یشترط فی الذابح أن یکون مسلماً أو بحکمه کالمتولّد منه</w:t>
      </w:r>
      <w:r>
        <w:rPr>
          <w:rtl w:val="true"/>
        </w:rPr>
        <w:t>]</w:t>
      </w:r>
      <w:bookmarkEnd w:id="6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الذابح أن یکون مسلماً أو بحکمه کالمتولّد منه، فلا تحلّ ذبیحة الکافر؛ مشرکاً کان أم غیره حتّی الکتابی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یشترط فیه الإیمان فتحلّ ذبیحة جمیع فرق الإسلام عدا النواصب المحکوم بکفرهم، و هم المعلنون بعداوة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کالخارجی و إن أظهر الإسلام</w:t>
      </w:r>
      <w:r>
        <w:rPr>
          <w:rFonts w:eastAsia="IRNazanin" w:cs="IRNazanin"/>
          <w:color w:val="111111"/>
          <w:sz w:val="28"/>
          <w:szCs w:val="28"/>
          <w:rtl w:val="true"/>
          <w:lang w:bidi="fa-IR"/>
        </w:rPr>
        <w:t>.</w:t>
      </w:r>
    </w:p>
    <w:p>
      <w:pPr>
        <w:pStyle w:val="Heading4"/>
        <w:numPr>
          <w:ilvl w:val="3"/>
          <w:numId w:val="1"/>
        </w:numPr>
        <w:rPr/>
      </w:pPr>
      <w:bookmarkStart w:id="6243" w:name="__RefHeading___Toc2570634_3650668749"/>
      <w:bookmarkStart w:id="6244" w:name="_Toc2826"/>
      <w:bookmarkEnd w:id="6243"/>
      <w:r>
        <w:rPr>
          <w:rtl w:val="true"/>
        </w:rPr>
        <w:t>[ (</w:t>
      </w:r>
      <w:r>
        <w:rPr>
          <w:rtl w:val="true"/>
        </w:rPr>
        <w:t xml:space="preserve">مسألة </w:t>
      </w:r>
      <w:r>
        <w:rPr/>
        <w:t>2</w:t>
      </w:r>
      <w:r>
        <w:rPr>
          <w:rtl w:val="true"/>
        </w:rPr>
        <w:t xml:space="preserve">): </w:t>
      </w:r>
      <w:r>
        <w:rPr>
          <w:rtl w:val="true"/>
        </w:rPr>
        <w:t>لا یشترط فیه الذکورة و لا البلوغ و لا غیر ذلک</w:t>
      </w:r>
      <w:r>
        <w:rPr>
          <w:rtl w:val="true"/>
        </w:rPr>
        <w:t>]</w:t>
      </w:r>
      <w:bookmarkEnd w:id="6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فیه الذکورة و لا البلوغ و لا غیر ذلک، فتحلّ ذبیحة المرأة فضلًا عن الخُنثیٰ، و کذا الحائض و الجنب و النفساء و الطفل إذا کان ممیّزاً و الأعمیٰ و الأغلف و ولد الزنا</w:t>
      </w:r>
      <w:r>
        <w:rPr>
          <w:rFonts w:eastAsia="IRNazanin" w:cs="IRNazanin"/>
          <w:color w:val="111111"/>
          <w:sz w:val="28"/>
          <w:szCs w:val="28"/>
          <w:rtl w:val="true"/>
          <w:lang w:bidi="fa-IR"/>
        </w:rPr>
        <w:t>.</w:t>
      </w:r>
    </w:p>
    <w:p>
      <w:pPr>
        <w:pStyle w:val="Heading4"/>
        <w:numPr>
          <w:ilvl w:val="3"/>
          <w:numId w:val="1"/>
        </w:numPr>
        <w:rPr/>
      </w:pPr>
      <w:bookmarkStart w:id="6245" w:name="__RefHeading___Toc2570636_3650668749"/>
      <w:bookmarkStart w:id="6246" w:name="_Toc2827"/>
      <w:bookmarkEnd w:id="6245"/>
      <w:r>
        <w:rPr>
          <w:rtl w:val="true"/>
        </w:rPr>
        <w:t>[ (</w:t>
      </w:r>
      <w:r>
        <w:rPr>
          <w:rtl w:val="true"/>
        </w:rPr>
        <w:t xml:space="preserve">مسألة </w:t>
      </w:r>
      <w:r>
        <w:rPr/>
        <w:t>3</w:t>
      </w:r>
      <w:r>
        <w:rPr>
          <w:rtl w:val="true"/>
        </w:rPr>
        <w:t xml:space="preserve">): </w:t>
      </w:r>
      <w:r>
        <w:rPr>
          <w:rtl w:val="true"/>
        </w:rPr>
        <w:t>لا یجوز الذبح بغیر الحدید مع الاختیار</w:t>
      </w:r>
      <w:r>
        <w:rPr>
          <w:rtl w:val="true"/>
        </w:rPr>
        <w:t>]</w:t>
      </w:r>
      <w:bookmarkEnd w:id="6246"/>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الذبح بغیر الحدید مع الاختیار، فإن ذبح بغیره مع التمکّن منه لم یحلّ؛ و إن کان من المعادن المنطبعة کالصفر و النحاس و الذهب و الفضّة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لم یوجد الحدید و خیف </w:t>
      </w:r>
      <w:r>
        <w:rPr>
          <w:rStyle w:val="FootnoteAnchor"/>
          <w:rtl w:val="true"/>
        </w:rPr>
        <w:footnoteReference w:id="1647"/>
      </w:r>
      <w:r>
        <w:rPr>
          <w:rFonts w:ascii="IRNazanin" w:hAnsi="IRNazanin" w:eastAsia="IRNazanin"/>
          <w:color w:val="111111"/>
          <w:sz w:val="28"/>
          <w:sz w:val="28"/>
          <w:szCs w:val="28"/>
          <w:rtl w:val="true"/>
          <w:lang w:bidi="fa-IR"/>
        </w:rPr>
        <w:t>فوت الذبیحة بتأخیر ذبحها جاز بکلّ ما یفری أعضاء الذبح؛ و لو کان قصباً أو لیطة أو حجارة حادّة أو زجاجة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وقوع الذکاة بالسنّ</w:t>
      </w:r>
      <w:bookmarkStart w:id="6247" w:name="pg1809_19657"/>
    </w:p>
    <w:p>
      <w:pPr>
        <w:pStyle w:val="BookText"/>
        <w:rPr/>
      </w:pPr>
      <w:bookmarkEnd w:id="6247"/>
      <w:r>
        <w:rPr>
          <w:rFonts w:ascii="IRNazanin" w:hAnsi="IRNazanin" w:eastAsia="IRNazanin"/>
          <w:color w:val="111111"/>
          <w:sz w:val="28"/>
          <w:sz w:val="28"/>
          <w:szCs w:val="28"/>
          <w:rtl w:val="true"/>
          <w:lang w:bidi="fa-IR"/>
        </w:rPr>
        <w:t xml:space="preserve">و الظفر مع الضرورة إشکال، و إن کان الوقوع لا یخلو من رجحان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48" w:name="__RefHeading___Toc2570638_3650668749"/>
      <w:bookmarkStart w:id="6249" w:name="_Toc2828"/>
      <w:bookmarkEnd w:id="6248"/>
      <w:r>
        <w:rPr>
          <w:rtl w:val="true"/>
        </w:rPr>
        <w:t>[ (</w:t>
      </w:r>
      <w:r>
        <w:rPr>
          <w:rtl w:val="true"/>
        </w:rPr>
        <w:t xml:space="preserve">مسألة </w:t>
      </w:r>
      <w:r>
        <w:rPr/>
        <w:t>4</w:t>
      </w:r>
      <w:r>
        <w:rPr>
          <w:rtl w:val="true"/>
        </w:rPr>
        <w:t xml:space="preserve">): </w:t>
      </w:r>
      <w:r>
        <w:rPr>
          <w:rtl w:val="true"/>
        </w:rPr>
        <w:t>الواجب فی الذبح قطع تمام الأعضاء الأربعة</w:t>
      </w:r>
      <w:r>
        <w:rPr>
          <w:rtl w:val="true"/>
        </w:rPr>
        <w:t>]</w:t>
      </w:r>
      <w:bookmarkEnd w:id="6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فی الذبح قطع تمام الأعضاء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الحلقوم و هو مجری النفس دخولًا و خروجاً، و المری‌ء و هو مجری الطعام و الشراب و محلّه تحت الحلقوم، و الودجان و هما العرقان الغلیظان المحیطان بالحلقوم أو المری‌ء، و ربّما یطلق علیٰ هذه الأربعة الأوداج الأربعة و اللازم قطعها رأساً، فلا یکفی شقّها من دون قطعها و فصلها</w:t>
      </w:r>
      <w:r>
        <w:rPr>
          <w:rFonts w:eastAsia="IRNazanin" w:cs="IRNazanin"/>
          <w:color w:val="111111"/>
          <w:sz w:val="28"/>
          <w:szCs w:val="28"/>
          <w:rtl w:val="true"/>
          <w:lang w:bidi="fa-IR"/>
        </w:rPr>
        <w:t>.</w:t>
      </w:r>
    </w:p>
    <w:p>
      <w:pPr>
        <w:pStyle w:val="Heading4"/>
        <w:numPr>
          <w:ilvl w:val="3"/>
          <w:numId w:val="1"/>
        </w:numPr>
        <w:rPr/>
      </w:pPr>
      <w:bookmarkStart w:id="6250" w:name="__RefHeading___Toc2570640_3650668749"/>
      <w:bookmarkStart w:id="6251" w:name="_Toc2829"/>
      <w:bookmarkEnd w:id="6250"/>
      <w:r>
        <w:rPr>
          <w:rtl w:val="true"/>
        </w:rPr>
        <w:t>[ (</w:t>
      </w:r>
      <w:r>
        <w:rPr>
          <w:rtl w:val="true"/>
        </w:rPr>
        <w:t xml:space="preserve">مسألة </w:t>
      </w:r>
      <w:r>
        <w:rPr/>
        <w:t>5</w:t>
      </w:r>
      <w:r>
        <w:rPr>
          <w:rtl w:val="true"/>
        </w:rPr>
        <w:t xml:space="preserve">): </w:t>
      </w:r>
      <w:r>
        <w:rPr>
          <w:rtl w:val="true"/>
        </w:rPr>
        <w:t>محلّ الذبح فی الحلق تحت اللحیین علیٰ نحو یقطع به الأوداج الأربعة</w:t>
      </w:r>
      <w:r>
        <w:rPr>
          <w:rtl w:val="true"/>
        </w:rPr>
        <w:t>]</w:t>
      </w:r>
      <w:bookmarkEnd w:id="6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الذبح فی الحلق تحت اللحیین علیٰ نحو یقطع به الأوداج الأربعة، و اللازم وقوعه تحت العقدة المسمّاة فی لسان أهل هذا الزمان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جعلها فی الرأس دون الجثّة و البدن، بناءً علیٰ ما قد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الحلقوم أو الأعضاء الأربعة بتلک العقدة علیٰ وجه لو لم یبقها الذابح فی الرأس بتمامها و لم یقع الذبح من تحتها لم تقطع الأوداج بتمامها، و هذا أمر یعرفه أهل الخبرة الممارسون لذلک، فإن کان الأمر کذلک، أو لم یحصل القطع بقطع الأوداج بتمامها بدون ذلک فاللازم مراعاته، کما أنّه یلزم أن یکون شی‌ء من هذه الأعضاء الأربعة علی الرأس حتّی یعلم أنّها قد انقطعت و انفصلت عمّا یلی الرأس</w:t>
      </w:r>
      <w:r>
        <w:rPr>
          <w:rFonts w:eastAsia="IRNazanin" w:cs="IRNazanin"/>
          <w:color w:val="111111"/>
          <w:sz w:val="28"/>
          <w:szCs w:val="28"/>
          <w:rtl w:val="true"/>
          <w:lang w:bidi="fa-IR"/>
        </w:rPr>
        <w:t>.</w:t>
      </w:r>
    </w:p>
    <w:p>
      <w:pPr>
        <w:pStyle w:val="Heading4"/>
        <w:numPr>
          <w:ilvl w:val="3"/>
          <w:numId w:val="1"/>
        </w:numPr>
        <w:rPr/>
      </w:pPr>
      <w:bookmarkStart w:id="6252" w:name="__RefHeading___Toc2570642_3650668749"/>
      <w:bookmarkStart w:id="6253" w:name="_Toc2830"/>
      <w:bookmarkEnd w:id="6252"/>
      <w:r>
        <w:rPr>
          <w:rtl w:val="true"/>
        </w:rPr>
        <w:t>[ (</w:t>
      </w:r>
      <w:r>
        <w:rPr>
          <w:rtl w:val="true"/>
        </w:rPr>
        <w:t xml:space="preserve">مسألة </w:t>
      </w:r>
      <w:r>
        <w:rPr/>
        <w:t>6</w:t>
      </w:r>
      <w:r>
        <w:rPr>
          <w:rtl w:val="true"/>
        </w:rPr>
        <w:t xml:space="preserve">): </w:t>
      </w:r>
      <w:r>
        <w:rPr>
          <w:rtl w:val="true"/>
        </w:rPr>
        <w:t>یشترط أن یکون الذبح من القدّام</w:t>
      </w:r>
      <w:r>
        <w:rPr>
          <w:rtl w:val="true"/>
        </w:rPr>
        <w:t>]</w:t>
      </w:r>
      <w:bookmarkEnd w:id="6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أن یکون الذبح من القدّام فلو ذبح من القفا و أسرع إلیٰ أن قطع ما یعتبر قطعه من الأوداج قبل خروج الروح حرمت، نعم لو قطعها من القدّام لکن لا من الفوق؛ بأن أدخل السکّین تحت الأعضاء و قطعها إلیٰ فوق، لم تحرم الذبیحة و إن فعل مکروهاً علیٰ قول و محرّماً علیٰ قول آخر، و لعلّه الأظهر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54" w:name="__RefHeading___Toc2570644_3650668749"/>
      <w:bookmarkStart w:id="6255" w:name="_Toc2831"/>
      <w:bookmarkEnd w:id="6254"/>
      <w:r>
        <w:rPr>
          <w:rtl w:val="true"/>
        </w:rPr>
        <w:t>[ (</w:t>
      </w:r>
      <w:r>
        <w:rPr>
          <w:rtl w:val="true"/>
        </w:rPr>
        <w:t xml:space="preserve">مسألة </w:t>
      </w:r>
      <w:r>
        <w:rPr/>
        <w:t>7</w:t>
      </w:r>
      <w:r>
        <w:rPr>
          <w:rtl w:val="true"/>
        </w:rPr>
        <w:t xml:space="preserve">): </w:t>
      </w:r>
      <w:r>
        <w:rPr>
          <w:rtl w:val="true"/>
        </w:rPr>
        <w:t>یجب التتابع فی الذبح</w:t>
      </w:r>
      <w:r>
        <w:rPr>
          <w:rtl w:val="true"/>
        </w:rPr>
        <w:t>]</w:t>
      </w:r>
      <w:bookmarkEnd w:id="6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التتابع فی الذبح؛ بأن یستوفی قطع الأعضاء قبل زهوق الروح من الذبیحة، فلو قطع بعضها و أرسلها حتّی انتهت إلی الموت ثمّ استأنف و قطع الباقی حرمت، بل لا یترک الاحتیاط؛ بأن لا یفصل بینها بما یخرج عن المتعارف المعتاد و لا یعدّ معه عملًا واحداً عرفاً، بل یعدّ عملین و إن استوفی التمام قبل خروج الروح منها</w:t>
      </w:r>
      <w:r>
        <w:rPr>
          <w:rFonts w:eastAsia="IRNazanin" w:cs="IRNazanin"/>
          <w:color w:val="111111"/>
          <w:sz w:val="28"/>
          <w:szCs w:val="28"/>
          <w:rtl w:val="true"/>
          <w:lang w:bidi="fa-IR"/>
        </w:rPr>
        <w:t>.</w:t>
      </w:r>
    </w:p>
    <w:p>
      <w:pPr>
        <w:pStyle w:val="Heading4"/>
        <w:numPr>
          <w:ilvl w:val="3"/>
          <w:numId w:val="1"/>
        </w:numPr>
        <w:rPr/>
      </w:pPr>
      <w:bookmarkStart w:id="6256" w:name="__RefHeading___Toc2570646_3650668749"/>
      <w:bookmarkStart w:id="6257" w:name="_Toc2832"/>
      <w:bookmarkEnd w:id="6256"/>
      <w:r>
        <w:rPr>
          <w:rtl w:val="true"/>
        </w:rPr>
        <w:t>[ (</w:t>
      </w:r>
      <w:r>
        <w:rPr>
          <w:rtl w:val="true"/>
        </w:rPr>
        <w:t xml:space="preserve">مسألة </w:t>
      </w:r>
      <w:r>
        <w:rPr/>
        <w:t>8</w:t>
      </w:r>
      <w:r>
        <w:rPr>
          <w:rtl w:val="true"/>
        </w:rPr>
        <w:t xml:space="preserve">): </w:t>
      </w:r>
      <w:r>
        <w:rPr>
          <w:rtl w:val="true"/>
        </w:rPr>
        <w:t>لو قطع رقبة الذبیحة من القفا و بقیت أعضاء الذباحة</w:t>
      </w:r>
      <w:r>
        <w:rPr>
          <w:rtl w:val="true"/>
        </w:rPr>
        <w:t>]</w:t>
      </w:r>
      <w:bookmarkEnd w:id="6257"/>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قطع رقبة الذبیحة من القفا و بقیت أعضاء الذباحة، فإن بقیت لها الحیاة المستکشفة بالحرکة </w:t>
      </w:r>
      <w:r>
        <w:rPr>
          <w:rStyle w:val="FootnoteAnchor"/>
          <w:rtl w:val="true"/>
        </w:rPr>
        <w:footnoteReference w:id="1650"/>
      </w:r>
      <w:r>
        <w:rPr>
          <w:rFonts w:ascii="IRNazanin" w:hAnsi="IRNazanin" w:eastAsia="IRNazanin"/>
          <w:color w:val="111111"/>
          <w:sz w:val="28"/>
          <w:sz w:val="28"/>
          <w:szCs w:val="28"/>
          <w:rtl w:val="true"/>
          <w:lang w:bidi="fa-IR"/>
        </w:rPr>
        <w:t>و لو کانت یسیرة، ذبحت و حلّت و إلّا لم تحلّ و صارت میتة</w:t>
      </w:r>
      <w:r>
        <w:rPr>
          <w:rFonts w:eastAsia="IRNazanin" w:cs="IRNazanin"/>
          <w:color w:val="111111"/>
          <w:sz w:val="28"/>
          <w:szCs w:val="28"/>
          <w:rtl w:val="true"/>
          <w:lang w:bidi="fa-IR"/>
        </w:rPr>
        <w:t>.</w:t>
      </w:r>
      <w:bookmarkStart w:id="6258" w:name="pg1809_19659"/>
    </w:p>
    <w:p>
      <w:pPr>
        <w:pStyle w:val="Heading4"/>
        <w:numPr>
          <w:ilvl w:val="3"/>
          <w:numId w:val="1"/>
        </w:numPr>
        <w:rPr/>
      </w:pPr>
      <w:bookmarkStart w:id="6259" w:name="__RefHeading___Toc2570648_3650668749"/>
      <w:bookmarkStart w:id="6260" w:name="_Toc2833"/>
      <w:bookmarkEnd w:id="6258"/>
      <w:bookmarkEnd w:id="6259"/>
      <w:r>
        <w:rPr>
          <w:rtl w:val="true"/>
        </w:rPr>
        <w:t>[ (</w:t>
      </w:r>
      <w:r>
        <w:rPr>
          <w:rtl w:val="true"/>
        </w:rPr>
        <w:t xml:space="preserve">مسألة </w:t>
      </w:r>
      <w:r>
        <w:rPr/>
        <w:t>9</w:t>
      </w:r>
      <w:r>
        <w:rPr>
          <w:rtl w:val="true"/>
        </w:rPr>
        <w:t xml:space="preserve">): </w:t>
      </w:r>
      <w:r>
        <w:rPr>
          <w:rtl w:val="true"/>
        </w:rPr>
        <w:t>لو أخطأ الذابح و ذبح من فوق العقدة و لم یقطع الأعضاء الأربعة</w:t>
      </w:r>
      <w:r>
        <w:rPr>
          <w:rtl w:val="true"/>
        </w:rPr>
        <w:t>]</w:t>
      </w:r>
      <w:bookmarkEnd w:id="6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أخطأ الذابح و ذبح من فوق العقدة و لم یقطع الأعضاء الأربعة فإن لم تبق لها الحیاة حرمت و إن بقیت لها الحیاة یمکن أن یتدارک؛ بأن یتسارع إلیٰ إیقاع الذبح من تحت و قطع الأعضاء و حلّت</w:t>
      </w:r>
      <w:r>
        <w:rPr>
          <w:rFonts w:eastAsia="IRNazanin" w:cs="IRNazanin"/>
          <w:color w:val="111111"/>
          <w:sz w:val="28"/>
          <w:szCs w:val="28"/>
          <w:rtl w:val="true"/>
          <w:lang w:bidi="fa-IR"/>
        </w:rPr>
        <w:t>.</w:t>
      </w:r>
    </w:p>
    <w:p>
      <w:pPr>
        <w:pStyle w:val="Heading4"/>
        <w:numPr>
          <w:ilvl w:val="3"/>
          <w:numId w:val="1"/>
        </w:numPr>
        <w:rPr/>
      </w:pPr>
      <w:bookmarkStart w:id="6261" w:name="__RefHeading___Toc2570650_3650668749"/>
      <w:bookmarkStart w:id="6262" w:name="_Toc2834"/>
      <w:bookmarkEnd w:id="6261"/>
      <w:r>
        <w:rPr>
          <w:rtl w:val="true"/>
        </w:rPr>
        <w:t>[ (</w:t>
      </w:r>
      <w:r>
        <w:rPr>
          <w:rtl w:val="true"/>
        </w:rPr>
        <w:t xml:space="preserve">مسألة </w:t>
      </w:r>
      <w:r>
        <w:rPr/>
        <w:t>10</w:t>
      </w:r>
      <w:r>
        <w:rPr>
          <w:rtl w:val="true"/>
        </w:rPr>
        <w:t xml:space="preserve">): </w:t>
      </w:r>
      <w:r>
        <w:rPr>
          <w:rtl w:val="true"/>
        </w:rPr>
        <w:t>لو أکل الذئب مثلًا مذبح الحیوان و أدرکه حیّاً</w:t>
      </w:r>
      <w:r>
        <w:rPr>
          <w:rtl w:val="true"/>
        </w:rPr>
        <w:t>]</w:t>
      </w:r>
      <w:bookmarkEnd w:id="6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أکل الذئب مثلًا مذبح الحیوان و أدرکه حیّاً فإن أکل الأوداج من فوق أو من تحت و بقی مقدار من الجمیع معلّقة بالرأس أو متّصلة بالبدن یمکن </w:t>
      </w:r>
      <w:r>
        <w:rPr>
          <w:rStyle w:val="FootnoteAnchor"/>
          <w:rtl w:val="true"/>
        </w:rPr>
        <w:footnoteReference w:id="1651"/>
      </w:r>
      <w:r>
        <w:rPr>
          <w:rFonts w:ascii="IRNazanin" w:hAnsi="IRNazanin" w:eastAsia="IRNazanin"/>
          <w:color w:val="111111"/>
          <w:sz w:val="28"/>
          <w:sz w:val="28"/>
          <w:szCs w:val="28"/>
          <w:rtl w:val="true"/>
          <w:lang w:bidi="fa-IR"/>
        </w:rPr>
        <w:t>ذبحه الشرعی؛ بأن یقطع ما بقی منها، و کذلک لو أکل بعضها تماماً و أبقی بعضها کذلک، کما إذا أکل الحلقوم بالتمام و أبقی الباقی کذلک و کان بعد حیّاً، فلو قطع الباقی مع الشرائط وقعت علیه الذکاة و کان حلالًا، و أمّا إن أکل التمام بالتمام بحیث لم یبق شی‌ء منها فالظاهر أنّه غیر قابل للتذکیة</w:t>
      </w:r>
      <w:r>
        <w:rPr>
          <w:rFonts w:eastAsia="IRNazanin" w:cs="IRNazanin"/>
          <w:color w:val="111111"/>
          <w:sz w:val="28"/>
          <w:szCs w:val="28"/>
          <w:rtl w:val="true"/>
          <w:lang w:bidi="fa-IR"/>
        </w:rPr>
        <w:t>.</w:t>
      </w:r>
    </w:p>
    <w:p>
      <w:pPr>
        <w:pStyle w:val="Heading4"/>
        <w:numPr>
          <w:ilvl w:val="3"/>
          <w:numId w:val="1"/>
        </w:numPr>
        <w:rPr/>
      </w:pPr>
      <w:bookmarkStart w:id="6263" w:name="__RefHeading___Toc2570652_3650668749"/>
      <w:bookmarkStart w:id="6264" w:name="_Toc2835"/>
      <w:bookmarkEnd w:id="6263"/>
      <w:r>
        <w:rPr>
          <w:rtl w:val="true"/>
        </w:rPr>
        <w:t>[ (</w:t>
      </w:r>
      <w:r>
        <w:rPr>
          <w:rtl w:val="true"/>
        </w:rPr>
        <w:t xml:space="preserve">مسألة </w:t>
      </w:r>
      <w:r>
        <w:rPr/>
        <w:t>11</w:t>
      </w:r>
      <w:r>
        <w:rPr>
          <w:rtl w:val="true"/>
        </w:rPr>
        <w:t xml:space="preserve">): </w:t>
      </w:r>
      <w:r>
        <w:rPr>
          <w:rtl w:val="true"/>
        </w:rPr>
        <w:t>یشترط فی التذکیة الذبحیّة مضافاً إلیٰ ما مرّ أُمور</w:t>
      </w:r>
      <w:r>
        <w:rPr>
          <w:rtl w:val="true"/>
        </w:rPr>
        <w:t>]</w:t>
      </w:r>
      <w:bookmarkEnd w:id="6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یشترط فی التذکیة الذبحیّة مضافاً إلیٰ ما مرّ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الاستقبال بالذبیحة حال الذبح بأن یوجّه مذبحها و مقادیم بدنها إلی القبلة، فإن أخلّ به، فإن کان عامداً عالماً حرمت، و إن کان ناسیاً أو جاهلًا أو خطأ فی القبلة أو فی العمل لم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یعلم جهة القبلة أو لم یتمکّن من توجیهها إلیها سقط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استقبال الذابح علی الأقویٰ و إن کان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التسمیة من الذابح؛ بأن یذکر اسم اللّٰه علیه حینما یتشاغل بالذبح أو متّصلًا به </w:t>
      </w:r>
      <w:r>
        <w:rPr>
          <w:rStyle w:val="FootnoteAnchor"/>
          <w:rtl w:val="true"/>
        </w:rPr>
        <w:footnoteReference w:id="1652"/>
      </w:r>
      <w:r>
        <w:rPr>
          <w:rFonts w:ascii="IRNazanin" w:hAnsi="IRNazanin" w:eastAsia="IRNazanin"/>
          <w:color w:val="111111"/>
          <w:sz w:val="28"/>
          <w:sz w:val="28"/>
          <w:szCs w:val="28"/>
          <w:rtl w:val="true"/>
          <w:lang w:bidi="fa-IR"/>
        </w:rPr>
        <w:t>عرفاً، فلو أخلّ بها فإن کان عمداً حرمت، و إن کان نسیاناً لم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إلحاق الجهل بالحکم بالنسیان أو العمد قولان، أظهرهما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المعتبر فی التسمیة وقوعها بهذا القصد؛ أعنی بعنوان کونها علی الذبیحة و لا تجزی التسمیة الاتّفاقیّة الصادرة لغرض آخر</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حرکة منها بعد تمامیة الذبح کی تدلّ علیٰ وقوعه علی الحیّ و لو کانت جزئیّة، مثل أن تطرف عینها أو تحرّک اذنها أو ذنبها أو ترکض برجلها و نحوها، و لا یحتاج مع ذلک إلیٰ خروج الدم المعتدل، فلو تحرّک و لم یخرج الدم أو خرج متثاقلًا و متقاطراً لا</w:t>
      </w:r>
      <w:bookmarkStart w:id="6265" w:name="pg1809_19661"/>
    </w:p>
    <w:p>
      <w:pPr>
        <w:pStyle w:val="BookText"/>
        <w:rPr/>
      </w:pPr>
      <w:bookmarkEnd w:id="6265"/>
      <w:r>
        <w:rPr>
          <w:rFonts w:ascii="IRNazanin" w:hAnsi="IRNazanin" w:eastAsia="IRNazanin"/>
          <w:color w:val="111111"/>
          <w:sz w:val="28"/>
          <w:sz w:val="28"/>
          <w:szCs w:val="28"/>
          <w:rtl w:val="true"/>
          <w:lang w:bidi="fa-IR"/>
        </w:rPr>
        <w:t xml:space="preserve">سائلًا معتدلًا کفیٰ فی التذکیة، و فی الاکتفاء به أیضاً حتّی یکون المعتبر أحد الأمرین من الحرکة أو خروج الدم المعتدل قول مشهور </w:t>
      </w:r>
      <w:r>
        <w:rPr>
          <w:rStyle w:val="FootnoteAnchor"/>
          <w:rtl w:val="true"/>
        </w:rPr>
        <w:footnoteReference w:id="1653"/>
      </w:r>
      <w:r>
        <w:rPr>
          <w:rFonts w:ascii="IRNazanin" w:hAnsi="IRNazanin" w:eastAsia="IRNazanin"/>
          <w:color w:val="111111"/>
          <w:sz w:val="28"/>
          <w:sz w:val="28"/>
          <w:szCs w:val="28"/>
          <w:rtl w:val="true"/>
          <w:lang w:bidi="fa-IR"/>
        </w:rPr>
        <w:t>، لکن عندی فیه تردّد و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یعلم حیاته، و أمّا إذا علم حیاته بخروج مثل هذا الدم اکتفی به بلا إشکال</w:t>
      </w:r>
      <w:r>
        <w:rPr>
          <w:rFonts w:eastAsia="IRNazanin" w:cs="IRNazanin"/>
          <w:color w:val="111111"/>
          <w:sz w:val="28"/>
          <w:szCs w:val="28"/>
          <w:rtl w:val="true"/>
          <w:lang w:bidi="fa-IR"/>
        </w:rPr>
        <w:t>.</w:t>
      </w:r>
    </w:p>
    <w:p>
      <w:pPr>
        <w:pStyle w:val="Heading4"/>
        <w:numPr>
          <w:ilvl w:val="3"/>
          <w:numId w:val="1"/>
        </w:numPr>
        <w:rPr/>
      </w:pPr>
      <w:bookmarkStart w:id="6266" w:name="__RefHeading___Toc2570654_3650668749"/>
      <w:bookmarkStart w:id="6267" w:name="_Toc2836"/>
      <w:bookmarkEnd w:id="6266"/>
      <w:r>
        <w:rPr>
          <w:rtl w:val="true"/>
        </w:rPr>
        <w:t>[ (</w:t>
      </w:r>
      <w:r>
        <w:rPr>
          <w:rtl w:val="true"/>
        </w:rPr>
        <w:t xml:space="preserve">مسألة </w:t>
      </w:r>
      <w:r>
        <w:rPr/>
        <w:t>12</w:t>
      </w:r>
      <w:r>
        <w:rPr>
          <w:rtl w:val="true"/>
        </w:rPr>
        <w:t xml:space="preserve">): </w:t>
      </w:r>
      <w:r>
        <w:rPr>
          <w:rtl w:val="true"/>
        </w:rPr>
        <w:t>لا یعتبر کیفیّة خاصّة فی وضع الذبیحة علی الأرض حال الذبح</w:t>
      </w:r>
      <w:r>
        <w:rPr>
          <w:rtl w:val="true"/>
        </w:rPr>
        <w:t>]</w:t>
      </w:r>
      <w:bookmarkEnd w:id="6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کیفیّة خاصّة فی وضع الذبیحة علی الأرض حال الذبح، فلا فرق بین أن یضعها علی الجانب الأیمن کهیئة المیّت حال الدفن، و أن یضعها علی الأیسر</w:t>
      </w:r>
      <w:r>
        <w:rPr>
          <w:rFonts w:eastAsia="IRNazanin" w:cs="IRNazanin"/>
          <w:color w:val="111111"/>
          <w:sz w:val="28"/>
          <w:szCs w:val="28"/>
          <w:rtl w:val="true"/>
          <w:lang w:bidi="fa-IR"/>
        </w:rPr>
        <w:t>.</w:t>
      </w:r>
    </w:p>
    <w:p>
      <w:pPr>
        <w:pStyle w:val="Heading4"/>
        <w:numPr>
          <w:ilvl w:val="3"/>
          <w:numId w:val="1"/>
        </w:numPr>
        <w:rPr/>
      </w:pPr>
      <w:bookmarkStart w:id="6268" w:name="__RefHeading___Toc2570656_3650668749"/>
      <w:bookmarkStart w:id="6269" w:name="_Toc2837"/>
      <w:bookmarkEnd w:id="6268"/>
      <w:r>
        <w:rPr>
          <w:rtl w:val="true"/>
        </w:rPr>
        <w:t>[ (</w:t>
      </w:r>
      <w:r>
        <w:rPr>
          <w:rtl w:val="true"/>
        </w:rPr>
        <w:t xml:space="preserve">مسألة </w:t>
      </w:r>
      <w:r>
        <w:rPr/>
        <w:t>13</w:t>
      </w:r>
      <w:r>
        <w:rPr>
          <w:rtl w:val="true"/>
        </w:rPr>
        <w:t xml:space="preserve">): </w:t>
      </w:r>
      <w:r>
        <w:rPr>
          <w:rtl w:val="true"/>
        </w:rPr>
        <w:t>لا یعتبر فی التسمیة کیفیّة خاصّة و أن یکون فی ضمن البسملة</w:t>
      </w:r>
      <w:r>
        <w:rPr>
          <w:rtl w:val="true"/>
        </w:rPr>
        <w:t>]</w:t>
      </w:r>
      <w:bookmarkEnd w:id="6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التسمیة کیفیّة خاصّة و أن یکون فی ضمن البسملة، بل المدار علیٰ صدق ذکر اسم اللّٰه علیها فیکفی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الاکتفاء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یقرن بما یصیر به کلاماً تامّاً دالّاً علیٰ صفة کمال أو ثناء أو تمجید إشکال، کالتعدّی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سائر أسمائه الحسنیٰ کالرحمان و الرحیم و الخالق و غیرها، و کذا التعدّی إلیٰ ما یرادف هذه اللفظة المبارکة فی لغة أُخری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الفارسیّة و غیرها فی غیرها، فإنّ فیه إشکالًا، بل عدم الجواز قویّ جدّاً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0" w:name="__RefHeading___Toc2570658_3650668749"/>
      <w:bookmarkStart w:id="6271" w:name="_Toc2838"/>
      <w:bookmarkEnd w:id="6270"/>
      <w:r>
        <w:rPr>
          <w:rtl w:val="true"/>
        </w:rPr>
        <w:t>[ (</w:t>
      </w:r>
      <w:r>
        <w:rPr>
          <w:rtl w:val="true"/>
        </w:rPr>
        <w:t xml:space="preserve">مسألة </w:t>
      </w:r>
      <w:r>
        <w:rPr/>
        <w:t>14</w:t>
      </w:r>
      <w:r>
        <w:rPr>
          <w:rtl w:val="true"/>
        </w:rPr>
        <w:t xml:space="preserve">): </w:t>
      </w:r>
      <w:r>
        <w:rPr>
          <w:rtl w:val="true"/>
        </w:rPr>
        <w:t>ذهب جماعة من الفقهاء إلیٰ أنّه یشترط فی حلّیّة الذبیحة استقرار الحیاة لها قبل الذبح</w:t>
      </w:r>
      <w:r>
        <w:rPr>
          <w:rtl w:val="true"/>
        </w:rPr>
        <w:t>]</w:t>
      </w:r>
      <w:bookmarkEnd w:id="6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جماعة من الفقهاء إلیٰ أنّه یشترط فی حلّیّة الذبیحة استقرار الحیاة لها قبل الذبح فلو کانت غیر مستقرّة الحیاة لم تحلّ بالذبح و کانت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فسّروا الاستقرار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تکون مشرفة علی الموت؛ بحیث لا یمکن أن یعیش مثلها الیوم أو نصف یوم کالمشقوق بطنه، و المخرج حشوته، و المذبوح من قفاه الباقیة أوداجه، و الساقط عن شاهق تکسّرت عظامه، و ما أکل السبع بعض ما به حیاته 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عدم اعتبار استقرار الحیاة بالمعنی المزبور، بل المعتبر أصل الحیاة و لو کانت عند إشراف انقطاعها و خروجها، فإن علم ذلک، و إلّا یکون الکاشف عنها الحرکة بعد الذبح و لو کانت جزئیّة یسیرة کما تقدّم</w:t>
      </w:r>
      <w:r>
        <w:rPr>
          <w:rFonts w:eastAsia="IRNazanin" w:cs="IRNazanin"/>
          <w:color w:val="111111"/>
          <w:sz w:val="28"/>
          <w:szCs w:val="28"/>
          <w:rtl w:val="true"/>
          <w:lang w:bidi="fa-IR"/>
        </w:rPr>
        <w:t>.</w:t>
      </w:r>
    </w:p>
    <w:p>
      <w:pPr>
        <w:pStyle w:val="Heading4"/>
        <w:numPr>
          <w:ilvl w:val="3"/>
          <w:numId w:val="1"/>
        </w:numPr>
        <w:rPr/>
      </w:pPr>
      <w:bookmarkStart w:id="6272" w:name="__RefHeading___Toc2570660_3650668749"/>
      <w:bookmarkStart w:id="6273" w:name="_Toc2839"/>
      <w:bookmarkEnd w:id="6272"/>
      <w:r>
        <w:rPr>
          <w:rtl w:val="true"/>
        </w:rPr>
        <w:t>[ (</w:t>
      </w:r>
      <w:r>
        <w:rPr>
          <w:rtl w:val="true"/>
        </w:rPr>
        <w:t xml:space="preserve">مسألة </w:t>
      </w:r>
      <w:r>
        <w:rPr/>
        <w:t>15</w:t>
      </w:r>
      <w:r>
        <w:rPr>
          <w:rtl w:val="true"/>
        </w:rPr>
        <w:t xml:space="preserve">): </w:t>
      </w:r>
      <w:r>
        <w:rPr>
          <w:rtl w:val="true"/>
        </w:rPr>
        <w:t>لا یشترط فی حلّیّة أکل الذبیحة بعد وقوع الذبح علیها حیّاً</w:t>
      </w:r>
      <w:r>
        <w:rPr>
          <w:rtl w:val="true"/>
        </w:rPr>
        <w:t>]</w:t>
      </w:r>
      <w:bookmarkEnd w:id="6273"/>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حلّیّة أکل الذبیحة بعد وقوع الذبح علیها حیّاً أن یکون خروج</w:t>
      </w:r>
      <w:bookmarkStart w:id="6274" w:name="pg1809_19663"/>
    </w:p>
    <w:p>
      <w:pPr>
        <w:pStyle w:val="BookText"/>
        <w:rPr/>
      </w:pPr>
      <w:bookmarkEnd w:id="6274"/>
      <w:r>
        <w:rPr>
          <w:rFonts w:ascii="IRNazanin" w:hAnsi="IRNazanin" w:eastAsia="IRNazanin"/>
          <w:color w:val="111111"/>
          <w:sz w:val="28"/>
          <w:sz w:val="28"/>
          <w:szCs w:val="28"/>
          <w:rtl w:val="true"/>
          <w:lang w:bidi="fa-IR"/>
        </w:rPr>
        <w:t>روحها بذلک الذبح، فلو وقع علیها الذبح الشرعی ثمّ وقعت فی نار أو ماء أو سقطت من جبل و نحو ذلک فماتت بذلک حلّت علی الأقویٰ</w:t>
      </w:r>
      <w:r>
        <w:rPr>
          <w:rFonts w:eastAsia="IRNazanin" w:cs="IRNazanin"/>
          <w:color w:val="111111"/>
          <w:sz w:val="28"/>
          <w:szCs w:val="28"/>
          <w:rtl w:val="true"/>
          <w:lang w:bidi="fa-IR"/>
        </w:rPr>
        <w:t>.</w:t>
      </w:r>
    </w:p>
    <w:p>
      <w:pPr>
        <w:pStyle w:val="Heading4"/>
        <w:numPr>
          <w:ilvl w:val="3"/>
          <w:numId w:val="1"/>
        </w:numPr>
        <w:rPr/>
      </w:pPr>
      <w:bookmarkStart w:id="6275" w:name="__RefHeading___Toc2570662_3650668749"/>
      <w:bookmarkStart w:id="6276" w:name="_Toc2840"/>
      <w:bookmarkEnd w:id="6275"/>
      <w:r>
        <w:rPr>
          <w:rtl w:val="true"/>
        </w:rPr>
        <w:t>[ (</w:t>
      </w:r>
      <w:r>
        <w:rPr>
          <w:rtl w:val="true"/>
        </w:rPr>
        <w:t xml:space="preserve">مسألة </w:t>
      </w:r>
      <w:r>
        <w:rPr/>
        <w:t>16</w:t>
      </w:r>
      <w:r>
        <w:rPr>
          <w:rtl w:val="true"/>
        </w:rPr>
        <w:t xml:space="preserve">): </w:t>
      </w:r>
      <w:r>
        <w:rPr>
          <w:rtl w:val="true"/>
        </w:rPr>
        <w:t>یختصّ الإبل من بین البهائم بأنّ تذکیته بالنحر</w:t>
      </w:r>
      <w:r>
        <w:rPr>
          <w:rtl w:val="true"/>
        </w:rPr>
        <w:t>]</w:t>
      </w:r>
      <w:bookmarkEnd w:id="6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الإبل من بین البهائم بأنّ تذکیته بالنحر، کما أنّ غیره یختصّ بالذبح، فلو ذبح الإبل أو نحر غیره کان میتة، نعم لو بقیت له الحیاة بعد ذلک أمکن التدارک بأن یذبح ما یجب ذبحه بعد ما نحر، أو ینحر ما یجب نحره بعد ما ذبحه و وقعت علیه التذکیة</w:t>
      </w:r>
      <w:r>
        <w:rPr>
          <w:rFonts w:eastAsia="IRNazanin" w:cs="IRNazanin"/>
          <w:color w:val="111111"/>
          <w:sz w:val="28"/>
          <w:szCs w:val="28"/>
          <w:rtl w:val="true"/>
          <w:lang w:bidi="fa-IR"/>
        </w:rPr>
        <w:t>.</w:t>
      </w:r>
    </w:p>
    <w:p>
      <w:pPr>
        <w:pStyle w:val="Heading4"/>
        <w:numPr>
          <w:ilvl w:val="3"/>
          <w:numId w:val="1"/>
        </w:numPr>
        <w:rPr/>
      </w:pPr>
      <w:bookmarkStart w:id="6277" w:name="__RefHeading___Toc2570664_3650668749"/>
      <w:bookmarkStart w:id="6278" w:name="_Toc2841"/>
      <w:bookmarkEnd w:id="6277"/>
      <w:r>
        <w:rPr>
          <w:rtl w:val="true"/>
        </w:rPr>
        <w:t>[ (</w:t>
      </w:r>
      <w:r>
        <w:rPr>
          <w:rtl w:val="true"/>
        </w:rPr>
        <w:t xml:space="preserve">مسألة </w:t>
      </w:r>
      <w:r>
        <w:rPr/>
        <w:t>17</w:t>
      </w:r>
      <w:r>
        <w:rPr>
          <w:rtl w:val="true"/>
        </w:rPr>
        <w:t xml:space="preserve">): </w:t>
      </w:r>
      <w:r>
        <w:rPr>
          <w:rtl w:val="true"/>
        </w:rPr>
        <w:t>کیفیّة النحر و محلّه</w:t>
      </w:r>
      <w:r>
        <w:rPr>
          <w:rtl w:val="true"/>
        </w:rPr>
        <w:t xml:space="preserve">: </w:t>
      </w:r>
      <w:r>
        <w:rPr>
          <w:rtl w:val="true"/>
        </w:rPr>
        <w:t>أن یدخل سکّیناً أو رمحاً و نحوهما من الآلات الحادّة الحدیدیة فی لبّته</w:t>
      </w:r>
      <w:r>
        <w:rPr>
          <w:rtl w:val="true"/>
        </w:rPr>
        <w:t>]</w:t>
      </w:r>
      <w:bookmarkEnd w:id="6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النحر و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یدخل سکّیناً أو رمحاً و نحوهما من الآلات الحادّة الحدیدیة فی لبّته، و هی المحلّ المنخفض الواقع بین أصل العنق و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فیه کلّ ما اشترط فی التذکیة الذبحیّة، فیشترط فی الناحر ما اشترط فی الذابح، و فی آلة النحر ما اشترط فی آلة الذبح، و تجب التسمیة عند النحر کما تجب عند الذبح، و یجب الاستقبال بالمنحور کما یجب بالذبیحة، و فی اعتبار الحیاة أو استقرارها هنا ما مرّ فی الذبیحة</w:t>
      </w:r>
      <w:r>
        <w:rPr>
          <w:rFonts w:eastAsia="IRNazanin" w:cs="IRNazanin"/>
          <w:color w:val="111111"/>
          <w:sz w:val="28"/>
          <w:szCs w:val="28"/>
          <w:rtl w:val="true"/>
          <w:lang w:bidi="fa-IR"/>
        </w:rPr>
        <w:t>.</w:t>
      </w:r>
    </w:p>
    <w:p>
      <w:pPr>
        <w:pStyle w:val="Heading4"/>
        <w:numPr>
          <w:ilvl w:val="3"/>
          <w:numId w:val="1"/>
        </w:numPr>
        <w:rPr/>
      </w:pPr>
      <w:bookmarkStart w:id="6279" w:name="__RefHeading___Toc2570666_3650668749"/>
      <w:bookmarkStart w:id="6280" w:name="_Toc2842"/>
      <w:bookmarkEnd w:id="6279"/>
      <w:r>
        <w:rPr>
          <w:rtl w:val="true"/>
        </w:rPr>
        <w:t>[ (</w:t>
      </w:r>
      <w:r>
        <w:rPr>
          <w:rtl w:val="true"/>
        </w:rPr>
        <w:t xml:space="preserve">مسألة </w:t>
      </w:r>
      <w:r>
        <w:rPr/>
        <w:t>18</w:t>
      </w:r>
      <w:r>
        <w:rPr>
          <w:rtl w:val="true"/>
        </w:rPr>
        <w:t xml:space="preserve">): </w:t>
      </w:r>
      <w:r>
        <w:rPr>
          <w:rtl w:val="true"/>
        </w:rPr>
        <w:t>یجوز نحر الإبل قائمة و بارکة مقبلة إلی القبلة</w:t>
      </w:r>
      <w:r>
        <w:rPr>
          <w:rtl w:val="true"/>
        </w:rPr>
        <w:t>]</w:t>
      </w:r>
      <w:bookmarkEnd w:id="6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نحر الإبل قائمة و بارکة مقبلة إلی القبلة، بل یجوز نحرها ساقطة علیٰ جنبها مع توجیه منحرها و مقادیم بدنها إلی القبلة، و إن کان الأفضل کونها قائمة</w:t>
      </w:r>
      <w:r>
        <w:rPr>
          <w:rFonts w:eastAsia="IRNazanin" w:cs="IRNazanin"/>
          <w:color w:val="111111"/>
          <w:sz w:val="28"/>
          <w:szCs w:val="28"/>
          <w:rtl w:val="true"/>
          <w:lang w:bidi="fa-IR"/>
        </w:rPr>
        <w:t>.</w:t>
      </w:r>
    </w:p>
    <w:p>
      <w:pPr>
        <w:pStyle w:val="Heading4"/>
        <w:numPr>
          <w:ilvl w:val="3"/>
          <w:numId w:val="1"/>
        </w:numPr>
        <w:rPr/>
      </w:pPr>
      <w:bookmarkStart w:id="6281" w:name="__RefHeading___Toc2570668_3650668749"/>
      <w:bookmarkStart w:id="6282" w:name="_Toc2843"/>
      <w:bookmarkEnd w:id="6281"/>
      <w:r>
        <w:rPr>
          <w:rtl w:val="true"/>
        </w:rPr>
        <w:t>[ (</w:t>
      </w:r>
      <w:r>
        <w:rPr>
          <w:rtl w:val="true"/>
        </w:rPr>
        <w:t xml:space="preserve">مسألة </w:t>
      </w:r>
      <w:r>
        <w:rPr/>
        <w:t>19</w:t>
      </w:r>
      <w:r>
        <w:rPr>
          <w:rtl w:val="true"/>
        </w:rPr>
        <w:t xml:space="preserve">): </w:t>
      </w:r>
      <w:r>
        <w:rPr>
          <w:rtl w:val="true"/>
        </w:rPr>
        <w:t>کلّ ما یتعذّر ذبحه أو نحره من الحیوان إمّا لاستعصائه</w:t>
      </w:r>
      <w:r>
        <w:rPr>
          <w:rtl w:val="true"/>
        </w:rPr>
        <w:t>]</w:t>
      </w:r>
      <w:bookmarkEnd w:id="6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یتعذّر ذبحه أو نحره من الحیوان إمّا لاستعصائه أو لوقوعه فی موضع لا یتمکّن الإنسان من الوصول إلیٰ موضع الذکاة لیذبحه أو ینحره، کما لو تردّی فی البئر أو وقع فی مکان ضیّق و خیف موته جاز أن یعقره بسیف أو سکّین أو رمح أو غیرها ممّا یجرحه و یقتله، و یحلّ أکله و إن لم یصادف العقر موضع التذکیة، و سقطت شرطیّة الذبح و النحر و کذلک الاستقبال، نعم سائر الشرائط من التسمیة و شرائط الذابح و الناحر تجب مراعاتها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الآلة فیعتبر فیها ما مرّ فی آلة الصید الجمادیّة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الاجتزاء هنا بعقر الکلب وجهان، أقواهما ذلک فی المستعصی </w:t>
      </w:r>
      <w:r>
        <w:rPr>
          <w:rStyle w:val="FootnoteAnchor"/>
          <w:rtl w:val="true"/>
        </w:rPr>
        <w:footnoteReference w:id="1655"/>
      </w:r>
      <w:r>
        <w:rPr>
          <w:rFonts w:ascii="IRNazanin" w:hAnsi="IRNazanin" w:eastAsia="IRNazanin"/>
          <w:color w:val="111111"/>
          <w:sz w:val="28"/>
          <w:sz w:val="28"/>
          <w:szCs w:val="28"/>
          <w:rtl w:val="true"/>
          <w:lang w:bidi="fa-IR"/>
        </w:rPr>
        <w:t>دون غیره کالمتردّی</w:t>
      </w:r>
      <w:r>
        <w:rPr>
          <w:rFonts w:eastAsia="IRNazanin" w:cs="IRNazanin"/>
          <w:color w:val="111111"/>
          <w:sz w:val="28"/>
          <w:szCs w:val="28"/>
          <w:rtl w:val="true"/>
          <w:lang w:bidi="fa-IR"/>
        </w:rPr>
        <w:t>.</w:t>
      </w:r>
    </w:p>
    <w:p>
      <w:pPr>
        <w:pStyle w:val="Heading4"/>
        <w:numPr>
          <w:ilvl w:val="3"/>
          <w:numId w:val="1"/>
        </w:numPr>
        <w:rPr/>
      </w:pPr>
      <w:bookmarkStart w:id="6283" w:name="__RefHeading___Toc2570670_3650668749"/>
      <w:bookmarkStart w:id="6284" w:name="_Toc2844"/>
      <w:bookmarkEnd w:id="6283"/>
      <w:r>
        <w:rPr>
          <w:rtl w:val="true"/>
        </w:rPr>
        <w:t>[ (</w:t>
      </w:r>
      <w:r>
        <w:rPr>
          <w:rtl w:val="true"/>
        </w:rPr>
        <w:t xml:space="preserve">مسألة </w:t>
      </w:r>
      <w:r>
        <w:rPr/>
        <w:t>20</w:t>
      </w:r>
      <w:r>
        <w:rPr>
          <w:rtl w:val="true"/>
        </w:rPr>
        <w:t xml:space="preserve">): </w:t>
      </w:r>
      <w:r>
        <w:rPr>
          <w:rtl w:val="true"/>
        </w:rPr>
        <w:t>للذباحة و النحر آداب و وظائف بین مستحبّة و مکروهة</w:t>
      </w:r>
      <w:r>
        <w:rPr>
          <w:rtl w:val="true"/>
        </w:rPr>
        <w:t>]</w:t>
      </w:r>
      <w:bookmarkEnd w:id="6284"/>
    </w:p>
    <w:p>
      <w:pPr>
        <w:pStyle w:val="Heading5"/>
        <w:numPr>
          <w:ilvl w:val="4"/>
          <w:numId w:val="1"/>
        </w:numPr>
        <w:rPr/>
      </w:pPr>
      <w:bookmarkStart w:id="6285" w:name="__RefHeading___Toc2570672_3650668749"/>
      <w:bookmarkStart w:id="6286" w:name="_Toc2845"/>
      <w:bookmarkEnd w:id="6285"/>
      <w:r>
        <w:rPr>
          <w:rtl w:val="true"/>
        </w:rPr>
        <w:t>اشارة</w:t>
      </w:r>
      <w:bookmarkEnd w:id="6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للذباحة و النحر آداب و وظائف بین مستحبّة و مکروهة</w:t>
      </w:r>
      <w:r>
        <w:rPr>
          <w:rFonts w:eastAsia="IRNazanin" w:cs="IRNazanin"/>
          <w:color w:val="111111"/>
          <w:sz w:val="28"/>
          <w:szCs w:val="28"/>
          <w:rtl w:val="true"/>
          <w:lang w:bidi="fa-IR"/>
        </w:rPr>
        <w:t>:</w:t>
      </w:r>
    </w:p>
    <w:p>
      <w:pPr>
        <w:pStyle w:val="Heading5"/>
        <w:numPr>
          <w:ilvl w:val="4"/>
          <w:numId w:val="1"/>
        </w:numPr>
        <w:rPr/>
      </w:pPr>
      <w:bookmarkStart w:id="6287" w:name="__RefHeading___Toc2570674_3650668749"/>
      <w:bookmarkStart w:id="6288" w:name="_Toc2846"/>
      <w:bookmarkEnd w:id="6287"/>
      <w:r>
        <w:rPr>
          <w:rtl w:val="true"/>
        </w:rPr>
        <w:t>[</w:t>
      </w:r>
      <w:r>
        <w:rPr>
          <w:rtl w:val="true"/>
        </w:rPr>
        <w:t>أمّا المستحبّة</w:t>
      </w:r>
      <w:r>
        <w:rPr>
          <w:rtl w:val="true"/>
        </w:rPr>
        <w:t>]</w:t>
      </w:r>
      <w:bookmarkEnd w:id="6288"/>
    </w:p>
    <w:p>
      <w:pPr>
        <w:pStyle w:val="BookText"/>
        <w:rPr/>
      </w:pPr>
      <w:r>
        <w:rPr>
          <w:rFonts w:ascii="Amiri" w:hAnsi="Amiri" w:eastAsia="Amiri" w:cs="Amiri"/>
          <w:color w:val="111111"/>
          <w:sz w:val="28"/>
          <w:sz w:val="28"/>
          <w:szCs w:val="28"/>
          <w:rtl w:val="true"/>
          <w:lang w:bidi="ar-SA"/>
        </w:rPr>
        <w:t>أمّا المستحبّة</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یربط </w:t>
      </w:r>
      <w:r>
        <w:rPr>
          <w:rStyle w:val="FootnoteAnchor"/>
          <w:rtl w:val="true"/>
        </w:rPr>
        <w:footnoteReference w:id="1656"/>
      </w:r>
      <w:r>
        <w:rPr>
          <w:rFonts w:ascii="IRNazanin" w:hAnsi="IRNazanin" w:eastAsia="IRNazanin"/>
          <w:color w:val="111111"/>
          <w:sz w:val="28"/>
          <w:sz w:val="28"/>
          <w:szCs w:val="28"/>
          <w:rtl w:val="true"/>
          <w:lang w:bidi="fa-IR"/>
        </w:rPr>
        <w:t>یدی الغنم مع إحدیٰ رجلیه و یطلق الأُخریٰ و یمسک صوفه و شعره بیده حتّی تبرد، و فی البقر أن یعقل قوائمه الأربع و یطلق ذنبه، و فی الإبل أن تکون قائمة</w:t>
      </w:r>
      <w:bookmarkStart w:id="6289" w:name="pg1809_19665"/>
    </w:p>
    <w:p>
      <w:pPr>
        <w:pStyle w:val="BookText"/>
        <w:rPr/>
      </w:pPr>
      <w:bookmarkEnd w:id="6289"/>
      <w:r>
        <w:rPr>
          <w:rFonts w:ascii="IRNazanin" w:hAnsi="IRNazanin" w:eastAsia="IRNazanin"/>
          <w:color w:val="111111"/>
          <w:sz w:val="28"/>
          <w:sz w:val="28"/>
          <w:szCs w:val="28"/>
          <w:rtl w:val="true"/>
          <w:lang w:bidi="fa-IR"/>
        </w:rPr>
        <w:t>و یربط یدیها ما بین الخفّین إلی الرکبتین، أو الإبطین و یطلق رجلیها، و فی الطیر أن یرسله بعد الذبح حتّی یرفرف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الذابح أو الناحر مستقبل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یعرض علیه الماء قبل الذبح أو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یعامل مع الحیوان فی الذبح أو النحر و مقدّماتهما ما هو الأسهل و الأروح و أبعد من التعذیب و الأذیّة له؛ بأن یساق إلی الذبح أو النحر برفق و یضجعه للذبح برفق، و أن یحدّد الشفرة و تواریٰ و تستر عنه حتّی لا یراها، و أن یسرع فی العمل و یمرّ السکین فی المذبح بقوّة، فعن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شأنه کتب علیکم الإحسان فی کلّ شی‌ء فإذا قتلتم فأحسنوا القتلة و إذا ذبحتم فأحسنوا الذبحة و لیحدّ أحدکم شفرته و لیرح ذبیحته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نبویّ آخر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أن تحدّ الشفار و أن تواریٰ عن البهائم</w:t>
      </w:r>
      <w:r>
        <w:rPr>
          <w:rFonts w:eastAsia="IRNazanin" w:cs="IRNazanin"/>
          <w:color w:val="111111"/>
          <w:sz w:val="28"/>
          <w:szCs w:val="28"/>
          <w:rtl w:val="true"/>
          <w:lang w:bidi="fa-IR"/>
        </w:rPr>
        <w:t>.</w:t>
      </w:r>
    </w:p>
    <w:p>
      <w:pPr>
        <w:pStyle w:val="Heading5"/>
        <w:numPr>
          <w:ilvl w:val="4"/>
          <w:numId w:val="1"/>
        </w:numPr>
        <w:rPr/>
      </w:pPr>
      <w:bookmarkStart w:id="6290" w:name="__RefHeading___Toc2570676_3650668749"/>
      <w:bookmarkStart w:id="6291" w:name="_Toc2847"/>
      <w:bookmarkEnd w:id="6290"/>
      <w:r>
        <w:rPr>
          <w:rtl w:val="true"/>
        </w:rPr>
        <w:t>[</w:t>
      </w:r>
      <w:r>
        <w:rPr>
          <w:rtl w:val="true"/>
        </w:rPr>
        <w:t>و أمّا المکروهة</w:t>
      </w:r>
      <w:r>
        <w:rPr>
          <w:rtl w:val="true"/>
        </w:rPr>
        <w:t>]</w:t>
      </w:r>
      <w:bookmarkEnd w:id="6291"/>
    </w:p>
    <w:p>
      <w:pPr>
        <w:pStyle w:val="BookText"/>
        <w:rPr/>
      </w:pPr>
      <w:r>
        <w:rPr>
          <w:rFonts w:ascii="IRNazanin" w:hAnsi="IRNazanin" w:eastAsia="IRNazanin"/>
          <w:color w:val="111111"/>
          <w:sz w:val="28"/>
          <w:sz w:val="28"/>
          <w:szCs w:val="28"/>
          <w:rtl w:val="true"/>
          <w:lang w:bidi="fa-IR"/>
        </w:rPr>
        <w:t>و أمّا المکروهة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إبانة الرأس قبل خروج الروح منها عند الأکثر و حرّمها جماعة و هو الأحوط </w:t>
      </w:r>
      <w:r>
        <w:rPr>
          <w:rStyle w:val="FootnoteAnchor"/>
          <w:rtl w:val="true"/>
        </w:rPr>
        <w:footnoteReference w:id="1657"/>
      </w:r>
      <w:r>
        <w:rPr>
          <w:rFonts w:ascii="IRNazanin" w:hAnsi="IRNazanin" w:eastAsia="IRNazanin"/>
          <w:color w:val="111111"/>
          <w:sz w:val="28"/>
          <w:sz w:val="28"/>
          <w:szCs w:val="28"/>
          <w:rtl w:val="true"/>
          <w:lang w:bidi="fa-IR"/>
        </w:rPr>
        <w:t>، و لا تحرم الذبیحة بفعلها و لو قلنا بالحرمة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التعمّد، و أمّا مع الغفلة أو سبق السکّین، فلا حرمة و لا کراهة لا فی الأکل و لا فی الإبانة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تنخع </w:t>
      </w:r>
      <w:r>
        <w:rPr>
          <w:rStyle w:val="FootnoteAnchor"/>
          <w:rtl w:val="true"/>
        </w:rPr>
        <w:footnoteReference w:id="1658"/>
      </w:r>
      <w:r>
        <w:rPr>
          <w:rFonts w:ascii="IRNazanin" w:hAnsi="IRNazanin" w:eastAsia="IRNazanin"/>
          <w:color w:val="111111"/>
          <w:sz w:val="28"/>
          <w:sz w:val="28"/>
          <w:szCs w:val="28"/>
          <w:rtl w:val="true"/>
          <w:lang w:bidi="fa-IR"/>
        </w:rPr>
        <w:t>الذبیحة؛ بمعنی إصابة السکّین إلیٰ نخاعها، و هو الخیط الأبیض وسط الفقار الممتدّ من الرقبة إلیٰ عجز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یسلخ جلدها قبل خروج الروح منها، و قیل فیه بالحرمة و إن لم تحرم الذبیحة و هی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یقرب السکّین و یدخلها تحت الحلقوم و یقطع إلیٰ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یذبح حیوان و حیوان آخر </w:t>
      </w:r>
      <w:r>
        <w:rPr>
          <w:rStyle w:val="FootnoteAnchor"/>
          <w:rtl w:val="true"/>
        </w:rPr>
        <w:footnoteReference w:id="1659"/>
      </w:r>
      <w:r>
        <w:rPr>
          <w:rFonts w:ascii="IRNazanin" w:hAnsi="IRNazanin" w:eastAsia="IRNazanin"/>
          <w:color w:val="111111"/>
          <w:sz w:val="28"/>
          <w:sz w:val="28"/>
          <w:szCs w:val="28"/>
          <w:rtl w:val="true"/>
          <w:lang w:bidi="fa-IR"/>
        </w:rPr>
        <w:t>ینظر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یذبح لیلًا، و بالنهار قبل الزوال یوم الجمعة إلّا مع الضرورة</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یذبح بیده ما ربّاه من النعم</w:t>
      </w:r>
      <w:r>
        <w:rPr>
          <w:rFonts w:eastAsia="IRNazanin" w:cs="IRNazanin"/>
          <w:color w:val="111111"/>
          <w:sz w:val="28"/>
          <w:szCs w:val="28"/>
          <w:rtl w:val="true"/>
          <w:lang w:bidi="fa-IR"/>
        </w:rPr>
        <w:t>.</w:t>
      </w:r>
      <w:bookmarkStart w:id="6292" w:name="pg1809_19667"/>
    </w:p>
    <w:p>
      <w:pPr>
        <w:pStyle w:val="Heading4"/>
        <w:numPr>
          <w:ilvl w:val="3"/>
          <w:numId w:val="1"/>
        </w:numPr>
        <w:rPr/>
      </w:pPr>
      <w:bookmarkStart w:id="6293" w:name="__RefHeading___Toc2570678_3650668749"/>
      <w:bookmarkStart w:id="6294" w:name="_Toc2848"/>
      <w:bookmarkEnd w:id="6292"/>
      <w:bookmarkEnd w:id="6293"/>
      <w:r>
        <w:rPr>
          <w:rtl w:val="true"/>
        </w:rPr>
        <w:t>[ (</w:t>
      </w:r>
      <w:r>
        <w:rPr>
          <w:rtl w:val="true"/>
        </w:rPr>
        <w:t xml:space="preserve">مسألة </w:t>
      </w:r>
      <w:r>
        <w:rPr/>
        <w:t>21</w:t>
      </w:r>
      <w:r>
        <w:rPr>
          <w:rtl w:val="true"/>
        </w:rPr>
        <w:t xml:space="preserve">): </w:t>
      </w:r>
      <w:r>
        <w:rPr>
          <w:rtl w:val="true"/>
        </w:rPr>
        <w:t>إذا خرج الجنین أو أُخرج من بطن امّه</w:t>
      </w:r>
      <w:r>
        <w:rPr>
          <w:rtl w:val="true"/>
        </w:rPr>
        <w:t>]</w:t>
      </w:r>
      <w:bookmarkEnd w:id="6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الجنین أو أُخرج من بطن امّه، فمع حیاة الأُمّ أو موتها بدون التذکیة لم یحل أکله إلّا إذا کان حیّاً و وقعت علیه التذکیة، و کذا إن خرج أو أُخرج حیّاً من بطن امّه المذکّاة فإنّه لم یحلّ إلّا بالتذکیة، فلو لم یذکّ لم یحلّ و إن کان عدم التذکیة من جهة عدم اتّساع الزمان لها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خرج أو أُخرج میّتاً من بطن امّه المذکّاة حلّ أکله و کانت تذکیته بتذکیة أُمّه، لکن بشرط کونه تامّ الخلقة و قد أشعر أو أوبر، فإن لم تتمّ خلقته و لم یشعر و لا أوبر کان میتة و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حلّیّته مع الشرط المزبور بین ما لم تلجه الروح بعد، و بین ما ولجته فمات فی بطن امّه علی الأقویٰ</w:t>
      </w:r>
      <w:r>
        <w:rPr>
          <w:rFonts w:eastAsia="IRNazanin" w:cs="IRNazanin"/>
          <w:color w:val="111111"/>
          <w:sz w:val="28"/>
          <w:szCs w:val="28"/>
          <w:rtl w:val="true"/>
          <w:lang w:bidi="fa-IR"/>
        </w:rPr>
        <w:t>.</w:t>
      </w:r>
    </w:p>
    <w:p>
      <w:pPr>
        <w:pStyle w:val="Heading4"/>
        <w:numPr>
          <w:ilvl w:val="3"/>
          <w:numId w:val="1"/>
        </w:numPr>
        <w:rPr/>
      </w:pPr>
      <w:bookmarkStart w:id="6295" w:name="__RefHeading___Toc2570680_3650668749"/>
      <w:bookmarkStart w:id="6296" w:name="_Toc2849"/>
      <w:bookmarkEnd w:id="6295"/>
      <w:r>
        <w:rPr>
          <w:rtl w:val="true"/>
        </w:rPr>
        <w:t>[ (</w:t>
      </w:r>
      <w:r>
        <w:rPr>
          <w:rtl w:val="true"/>
        </w:rPr>
        <w:t xml:space="preserve">مسألة </w:t>
      </w:r>
      <w:r>
        <w:rPr/>
        <w:t>22</w:t>
      </w:r>
      <w:r>
        <w:rPr>
          <w:rtl w:val="true"/>
        </w:rPr>
        <w:t xml:space="preserve">): </w:t>
      </w:r>
      <w:r>
        <w:rPr>
          <w:rtl w:val="true"/>
        </w:rPr>
        <w:t>لو کان الجنین حیّاً حال إیقاع الذبح أو النحر علیٰ امّه و مات بعده قبل أن یشقّوا بطنها</w:t>
      </w:r>
      <w:r>
        <w:rPr>
          <w:rtl w:val="true"/>
        </w:rPr>
        <w:t>]</w:t>
      </w:r>
      <w:bookmarkEnd w:id="6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الجنین حیّاً حال إیقاع الذبح أو النحر علیٰ امّه و مات بعده قبل أن یشقّوا بطنها و یستخرج منها، حلّ علی الأقویٰ لو بادر علیٰ شقّ بطنها و لم یدرک حیاته، بل و لو لم یبادر و لم یؤخّر زائداً علی القدر المتعارف فی شقّ بطون الذبائح بعد الذبح، و إن کان الأحوط المبادرة و عدم التأخیر حتّی بالمقدار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أخّر زائداً عن المقدار المتعارف و مات قبل أن یشقّ البطن فالظاهر </w:t>
      </w:r>
      <w:r>
        <w:rPr>
          <w:rStyle w:val="FootnoteAnchor"/>
          <w:rtl w:val="true"/>
        </w:rPr>
        <w:footnoteReference w:id="1660"/>
      </w:r>
      <w:r>
        <w:rPr>
          <w:rFonts w:ascii="Amiri" w:hAnsi="Amiri" w:eastAsia="Amiri" w:cs="Amiri"/>
          <w:color w:val="111111"/>
          <w:sz w:val="28"/>
          <w:sz w:val="28"/>
          <w:szCs w:val="28"/>
          <w:rtl w:val="true"/>
          <w:lang w:bidi="ar-SA"/>
        </w:rPr>
        <w:t>عدم حلّیّته</w:t>
      </w:r>
      <w:r>
        <w:rPr>
          <w:rFonts w:eastAsia="Amiri" w:cs="Amiri" w:ascii="Amiri" w:hAnsi="Amiri"/>
          <w:color w:val="111111"/>
          <w:sz w:val="28"/>
          <w:szCs w:val="28"/>
          <w:rtl w:val="true"/>
          <w:lang w:bidi="ar-SA"/>
        </w:rPr>
        <w:t>.</w:t>
      </w:r>
    </w:p>
    <w:p>
      <w:pPr>
        <w:pStyle w:val="Heading4"/>
        <w:numPr>
          <w:ilvl w:val="3"/>
          <w:numId w:val="1"/>
        </w:numPr>
        <w:rPr/>
      </w:pPr>
      <w:bookmarkStart w:id="6297" w:name="__RefHeading___Toc2570682_3650668749"/>
      <w:bookmarkStart w:id="6298" w:name="_Toc2850"/>
      <w:bookmarkEnd w:id="6297"/>
      <w:r>
        <w:rPr>
          <w:rtl w:val="true"/>
        </w:rPr>
        <w:t>[ (</w:t>
      </w:r>
      <w:r>
        <w:rPr>
          <w:rtl w:val="true"/>
        </w:rPr>
        <w:t xml:space="preserve">مسألة </w:t>
      </w:r>
      <w:r>
        <w:rPr/>
        <w:t>23</w:t>
      </w:r>
      <w:r>
        <w:rPr>
          <w:rtl w:val="true"/>
        </w:rPr>
        <w:t xml:space="preserve">): </w:t>
      </w:r>
      <w:r>
        <w:rPr>
          <w:rtl w:val="true"/>
        </w:rPr>
        <w:t>لا إشکال فی وقوع التذکیة علیٰ کلّ حیوان حلّ أکله ذاتاً</w:t>
      </w:r>
      <w:r>
        <w:rPr>
          <w:rtl w:val="true"/>
        </w:rPr>
        <w:t>]</w:t>
      </w:r>
      <w:bookmarkEnd w:id="6298"/>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وقوع التذکیة علیٰ کلّ حیوان حلّ أکله ذاتاً و إن حرم بالعارض کالجلّال و الموطوء بحریّاً کان أو برّیّاً، وحشیّاً کان أو إنسیّاً، طیراً کان أو غیره، و إن اختلف فی کیفیّة التذکیة علیٰ ما سبق تفصیلها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أثر التذکیة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لحمها و جلدها و حلّیّة أکل لحمها لو لم یحرم بالعارض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غیر المأکول من الحیوان، فما لیس له نفس سائلة لا أثر للتذکیة فیه؛ لا من حیث الطهارة و لا من حیث الحلّیة؛ لأنّه طاهر و محرّم أکله علیٰ کلّ حال، و أمّا ما کان له نفس سائلة، فما کان نجس العین کالکلب و الخنزیر لیس قابلًا للتذکیة و کذا المسوخ غیر السباع کالفیل و الدبّ و القرد و نحوها و الحشرات؛ و هی الدوابّ الصغار التی تسکن باطن الأرض کالفأرة و ابن عرس و الضبّ و نحوها علی الأحوط لو لم یکن الأقویٰ فیهما </w:t>
      </w:r>
      <w:r>
        <w:rPr>
          <w:rStyle w:val="FootnoteAnchor"/>
          <w:rtl w:val="true"/>
        </w:rPr>
        <w:footnoteReference w:id="1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السباع و هی ما تفترس الحیوان و تأکل اللحم سواء کانت من الوحوش کالأسد و النمر و الفهد و الثعلب و ابن آویٰ و غیرها</w:t>
      </w:r>
      <w:bookmarkStart w:id="6299" w:name="pg1809_19669"/>
    </w:p>
    <w:p>
      <w:pPr>
        <w:pStyle w:val="BookText"/>
        <w:rPr/>
      </w:pPr>
      <w:bookmarkEnd w:id="6299"/>
      <w:r>
        <w:rPr>
          <w:rFonts w:ascii="IRNazanin" w:hAnsi="IRNazanin" w:eastAsia="IRNazanin"/>
          <w:color w:val="111111"/>
          <w:sz w:val="28"/>
          <w:sz w:val="28"/>
          <w:szCs w:val="28"/>
          <w:rtl w:val="true"/>
          <w:lang w:bidi="fa-IR"/>
        </w:rPr>
        <w:t>أو من الطیور کالصقر و البازی و الباشق و غیرها، فالأقویٰ قبولها التذکیة، و بها یطهر لحومها و جلودها، فیحلّ الانتفاع بها؛ بأن تلبس فی غیر الصلاة و یفترش بها، بل بأن تجعل وعاء للمائعات کأن تجعل قربة ماء أو عکّة سمن أو دبّة دهن و نحوها و إن لم تدبغ علی الأقویٰ، و إن کان الأحوط أن لا تستعمل ما لم تکن مدبوغة</w:t>
      </w:r>
      <w:r>
        <w:rPr>
          <w:rFonts w:eastAsia="IRNazanin" w:cs="IRNazanin"/>
          <w:color w:val="111111"/>
          <w:sz w:val="28"/>
          <w:szCs w:val="28"/>
          <w:rtl w:val="true"/>
          <w:lang w:bidi="fa-IR"/>
        </w:rPr>
        <w:t>.</w:t>
      </w:r>
    </w:p>
    <w:p>
      <w:pPr>
        <w:pStyle w:val="Heading4"/>
        <w:numPr>
          <w:ilvl w:val="3"/>
          <w:numId w:val="1"/>
        </w:numPr>
        <w:rPr/>
      </w:pPr>
      <w:bookmarkStart w:id="6300" w:name="__RefHeading___Toc2570684_3650668749"/>
      <w:bookmarkStart w:id="6301" w:name="_Toc2851"/>
      <w:bookmarkEnd w:id="6300"/>
      <w:r>
        <w:rPr>
          <w:rtl w:val="true"/>
        </w:rPr>
        <w:t>[ (</w:t>
      </w:r>
      <w:r>
        <w:rPr>
          <w:rtl w:val="true"/>
        </w:rPr>
        <w:t xml:space="preserve">مسألة </w:t>
      </w:r>
      <w:r>
        <w:rPr/>
        <w:t>24</w:t>
      </w:r>
      <w:r>
        <w:rPr>
          <w:rtl w:val="true"/>
        </w:rPr>
        <w:t xml:space="preserve">): </w:t>
      </w:r>
      <w:r>
        <w:rPr>
          <w:rtl w:val="true"/>
        </w:rPr>
        <w:t>الظاهر أنّ جمیع أنواع الحیوان المحرّم الأکل ممّا کانت له نفس سائلة</w:t>
      </w:r>
      <w:r>
        <w:rPr>
          <w:rtl w:val="true"/>
        </w:rPr>
        <w:t>]</w:t>
      </w:r>
      <w:bookmarkEnd w:id="6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جمیع أنواع الحیوان المحرّم الأکل ممّا کانت له نفس سائلة غیر ما ذکر من أنواع الوحوش و الطیور المحرّمة تقع علیها التذکیة، فتطهر بها لحومها و جلودها</w:t>
      </w:r>
      <w:r>
        <w:rPr>
          <w:rFonts w:eastAsia="IRNazanin" w:cs="IRNazanin"/>
          <w:color w:val="111111"/>
          <w:sz w:val="28"/>
          <w:szCs w:val="28"/>
          <w:rtl w:val="true"/>
          <w:lang w:bidi="fa-IR"/>
        </w:rPr>
        <w:t>.</w:t>
      </w:r>
    </w:p>
    <w:p>
      <w:pPr>
        <w:pStyle w:val="Heading4"/>
        <w:numPr>
          <w:ilvl w:val="3"/>
          <w:numId w:val="1"/>
        </w:numPr>
        <w:rPr/>
      </w:pPr>
      <w:bookmarkStart w:id="6302" w:name="__RefHeading___Toc2570686_3650668749"/>
      <w:bookmarkStart w:id="6303" w:name="_Toc2852"/>
      <w:bookmarkEnd w:id="6302"/>
      <w:r>
        <w:rPr>
          <w:rtl w:val="true"/>
        </w:rPr>
        <w:t>[ (</w:t>
      </w:r>
      <w:r>
        <w:rPr>
          <w:rtl w:val="true"/>
        </w:rPr>
        <w:t xml:space="preserve">مسألة </w:t>
      </w:r>
      <w:r>
        <w:rPr/>
        <w:t>25</w:t>
      </w:r>
      <w:r>
        <w:rPr>
          <w:rtl w:val="true"/>
        </w:rPr>
        <w:t xml:space="preserve">): </w:t>
      </w:r>
      <w:r>
        <w:rPr>
          <w:rtl w:val="true"/>
        </w:rPr>
        <w:t>تذکیة جمیع ما یقبل التذکیة من الحیوان المحرّم الأکل إنّما یکون بالذبح مع الشرائط المعتبرة</w:t>
      </w:r>
      <w:r>
        <w:rPr>
          <w:rtl w:val="true"/>
        </w:rPr>
        <w:t>]</w:t>
      </w:r>
      <w:bookmarkEnd w:id="6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تذکیة جمیع ما یقبل التذکیة من الحیوان المحرّم الأکل إنّما یکون بالذبح مع الشرائط المعتبرة فی ذبح الحیوان المحلّل، و کذا بالاصطیاد بالآلة الجمادیّة فی خصوص الممتنع منها کالمحلّل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تذکیتها بالاصطیاد بالکلب المعلّم تردّد و إشکال</w:t>
      </w:r>
      <w:r>
        <w:rPr>
          <w:rFonts w:eastAsia="IRNazanin" w:cs="IRNazanin"/>
          <w:color w:val="111111"/>
          <w:sz w:val="28"/>
          <w:szCs w:val="28"/>
          <w:rtl w:val="true"/>
          <w:lang w:bidi="fa-IR"/>
        </w:rPr>
        <w:t>.</w:t>
      </w:r>
    </w:p>
    <w:p>
      <w:pPr>
        <w:pStyle w:val="Heading4"/>
        <w:numPr>
          <w:ilvl w:val="3"/>
          <w:numId w:val="1"/>
        </w:numPr>
        <w:rPr/>
      </w:pPr>
      <w:bookmarkStart w:id="6304" w:name="__RefHeading___Toc2570688_3650668749"/>
      <w:bookmarkStart w:id="6305" w:name="_Toc2853"/>
      <w:bookmarkEnd w:id="6304"/>
      <w:r>
        <w:rPr>
          <w:rtl w:val="true"/>
        </w:rPr>
        <w:t>[ (</w:t>
      </w:r>
      <w:r>
        <w:rPr>
          <w:rtl w:val="true"/>
        </w:rPr>
        <w:t xml:space="preserve">مسألة </w:t>
      </w:r>
      <w:r>
        <w:rPr/>
        <w:t>26</w:t>
      </w:r>
      <w:r>
        <w:rPr>
          <w:rtl w:val="true"/>
        </w:rPr>
        <w:t xml:space="preserve">): </w:t>
      </w:r>
      <w:r>
        <w:rPr>
          <w:rtl w:val="true"/>
        </w:rPr>
        <w:t>ما کان بید المسلم من اللحوم و الشحوم و الجلود إذا لم یعلم کونها من غیر الذکیّ یؤخذ منه</w:t>
      </w:r>
      <w:r>
        <w:rPr>
          <w:rtl w:val="true"/>
        </w:rPr>
        <w:t>]</w:t>
      </w:r>
      <w:bookmarkEnd w:id="6305"/>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بید المسلم </w:t>
      </w:r>
      <w:r>
        <w:rPr>
          <w:rStyle w:val="FootnoteAnchor"/>
          <w:rtl w:val="true"/>
        </w:rPr>
        <w:footnoteReference w:id="1662"/>
      </w:r>
      <w:r>
        <w:rPr>
          <w:rFonts w:ascii="IRNazanin" w:hAnsi="IRNazanin" w:eastAsia="IRNazanin"/>
          <w:color w:val="111111"/>
          <w:sz w:val="28"/>
          <w:sz w:val="28"/>
          <w:szCs w:val="28"/>
          <w:rtl w:val="true"/>
          <w:lang w:bidi="fa-IR"/>
        </w:rPr>
        <w:t>من اللحوم و الشحوم و الجلود إذا لم یعلم کونها من غیر الذکیّ یؤخذ منه و یعامل معه معاملة المذکی، فیجوز بیعه و شراؤه و أکله و استصحابه فی الصلاة و سائر الاستعمالات المتوقّفة علی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علیه الفحص و السؤال، بل و لا یستحبّ بل 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ما یباع منها فی سوق المسلمین؛ سواء کان بید المسلم أو مجهول الحال، بل و کذا ما کان مطروحاً فی أرضهم إذا کان فیه أثر الاستعمال، کما إذا کان اللحم مطبوخاً أو الجلد مخیطاً أو مدبوغاً،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فیه أمارة تدلّ علیٰ وقوع الید علیه، بل و کذا إذا أُخذ من الکافر و علم کونه مسبوقاً بید المسلم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یؤخذ من ید الکافر و لو فی بلاد المسلمین و لم یعلم کونه مسبوقاً بید المسلم، و ما کان بید مجهول الحال فی بلاد الکفّار، أو کان مطروحاً فی أرضهم یعامل معه معاملة غیر المذکی، و هو بحکم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المدار فی کون البلد أو الأرض منسوباً إلی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السکّان و القاطنین بحیث ینسب عرفاً إلیهم و لو کانوا تحت سلطنة الکفّار، کما أنّ هذا هو المدار فی بلد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تساوت النسبة من جهة عدم الغلبة فحکمه حکم بلد الکفّار</w:t>
      </w:r>
      <w:r>
        <w:rPr>
          <w:rFonts w:eastAsia="IRNazanin" w:cs="IRNazanin"/>
          <w:color w:val="111111"/>
          <w:sz w:val="28"/>
          <w:szCs w:val="28"/>
          <w:rtl w:val="true"/>
          <w:lang w:bidi="fa-IR"/>
        </w:rPr>
        <w:t>.</w:t>
      </w:r>
      <w:bookmarkStart w:id="6306" w:name="pg1809_19671"/>
    </w:p>
    <w:p>
      <w:pPr>
        <w:pStyle w:val="Heading4"/>
        <w:numPr>
          <w:ilvl w:val="3"/>
          <w:numId w:val="1"/>
        </w:numPr>
        <w:rPr/>
      </w:pPr>
      <w:bookmarkStart w:id="6307" w:name="__RefHeading___Toc2570690_3650668749"/>
      <w:bookmarkStart w:id="6308" w:name="_Toc2854"/>
      <w:bookmarkEnd w:id="6306"/>
      <w:bookmarkEnd w:id="6307"/>
      <w:r>
        <w:rPr>
          <w:rtl w:val="true"/>
        </w:rPr>
        <w:t>[ (</w:t>
      </w:r>
      <w:r>
        <w:rPr>
          <w:rtl w:val="true"/>
        </w:rPr>
        <w:t xml:space="preserve">مسألة </w:t>
      </w:r>
      <w:r>
        <w:rPr/>
        <w:t>27</w:t>
      </w:r>
      <w:r>
        <w:rPr>
          <w:rtl w:val="true"/>
        </w:rPr>
        <w:t xml:space="preserve">): </w:t>
      </w:r>
      <w:r>
        <w:rPr>
          <w:rtl w:val="true"/>
        </w:rPr>
        <w:t>لا فرق فی إباحة ما یؤخذ من ید المسلم بین کونه مؤمناً أو مخالفاً</w:t>
      </w:r>
      <w:r>
        <w:rPr>
          <w:rtl w:val="true"/>
        </w:rPr>
        <w:t>]</w:t>
      </w:r>
      <w:bookmarkEnd w:id="6308"/>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إباحة ما یؤخذ من ید المسلم بین کونه مؤمناً أو مخالفاً یعتقد طهارة جلد المیتة بالدبغ و یستحلّ ذبائح أهل الکتاب و لا یراعی الشروط التی اعتبرناها فی التذکیة، و کذا لا فرق بین کون الآخذ موافقاً مع المأخوذ منه فی شرائط التذکیة اجتهاداً أو تقلیداً، أو مخالفاً معه فیها إذا احتمل تذکیته علیٰ وفق مذهب الآخذ، کما إذا کان المأخوذ منه یعتقد کفایة قطع الحلقوم فی الذبح و یعتقد الآخذ لزوم قطع الأوداج الأربعة، إذا احتمل أنّ ما بیده قد روعی فیه ذلک و إن لم یلزم رعایته عنده، و اللّٰه العالم</w:t>
      </w:r>
      <w:r>
        <w:rPr>
          <w:rFonts w:eastAsia="IRNazanin" w:cs="IRNazanin"/>
          <w:color w:val="111111"/>
          <w:sz w:val="28"/>
          <w:szCs w:val="28"/>
          <w:rtl w:val="true"/>
          <w:lang w:bidi="fa-IR"/>
        </w:rPr>
        <w:t>.</w:t>
      </w:r>
      <w:bookmarkStart w:id="6309" w:name="pg1809_19672"/>
    </w:p>
    <w:p>
      <w:pPr>
        <w:pStyle w:val="Heading2"/>
        <w:numPr>
          <w:ilvl w:val="1"/>
          <w:numId w:val="1"/>
        </w:numPr>
        <w:rPr/>
      </w:pPr>
      <w:bookmarkStart w:id="6310" w:name="__RefHeading___Toc2570692_3650668749"/>
      <w:bookmarkStart w:id="6311" w:name="_Toc2855"/>
      <w:bookmarkEnd w:id="6309"/>
      <w:bookmarkEnd w:id="6310"/>
      <w:r>
        <w:rPr>
          <w:rtl w:val="true"/>
        </w:rPr>
        <w:t>[</w:t>
      </w:r>
      <w:r>
        <w:rPr>
          <w:rtl w:val="true"/>
        </w:rPr>
        <w:t>کتاب الأطعمة و الأشربة</w:t>
      </w:r>
      <w:r>
        <w:rPr>
          <w:rtl w:val="true"/>
        </w:rPr>
        <w:t>]</w:t>
      </w:r>
      <w:bookmarkEnd w:id="6311"/>
    </w:p>
    <w:p>
      <w:pPr>
        <w:pStyle w:val="Heading3"/>
        <w:numPr>
          <w:ilvl w:val="2"/>
          <w:numId w:val="1"/>
        </w:numPr>
        <w:rPr/>
      </w:pPr>
      <w:bookmarkStart w:id="6312" w:name="__RefHeading___Toc2570694_3650668749"/>
      <w:bookmarkStart w:id="6313" w:name="_Toc2856"/>
      <w:bookmarkEnd w:id="6312"/>
      <w:r>
        <w:rPr>
          <w:rtl w:val="true"/>
        </w:rPr>
        <w:t>اشارة</w:t>
      </w:r>
      <w:bookmarkEnd w:id="6313"/>
    </w:p>
    <w:p>
      <w:pPr>
        <w:pStyle w:val="BookText"/>
        <w:rPr/>
      </w:pPr>
      <w:r>
        <w:rPr>
          <w:rFonts w:ascii="IRNazanin" w:hAnsi="IRNazanin" w:eastAsia="IRNazanin"/>
          <w:color w:val="111111"/>
          <w:sz w:val="28"/>
          <w:sz w:val="28"/>
          <w:szCs w:val="28"/>
          <w:rtl w:val="true"/>
          <w:lang w:bidi="fa-IR"/>
        </w:rPr>
        <w:t>کتاب الأطعمة و الأشربة و المقصود من هذا الکتاب بیان المحلّل و المحرّم من الحیوان و غیر الحیوان</w:t>
      </w:r>
      <w:r>
        <w:rPr>
          <w:rFonts w:eastAsia="IRNazanin" w:cs="IRNazanin"/>
          <w:color w:val="111111"/>
          <w:sz w:val="28"/>
          <w:szCs w:val="28"/>
          <w:rtl w:val="true"/>
          <w:lang w:bidi="fa-IR"/>
        </w:rPr>
        <w:t>.</w:t>
      </w:r>
    </w:p>
    <w:p>
      <w:pPr>
        <w:pStyle w:val="Heading3"/>
        <w:numPr>
          <w:ilvl w:val="2"/>
          <w:numId w:val="1"/>
        </w:numPr>
        <w:rPr/>
      </w:pPr>
      <w:bookmarkStart w:id="6314" w:name="__RefHeading___Toc2570696_3650668749"/>
      <w:bookmarkStart w:id="6315" w:name="_Toc2857"/>
      <w:bookmarkEnd w:id="6314"/>
      <w:r>
        <w:rPr>
          <w:rtl w:val="true"/>
        </w:rPr>
        <w:t>[</w:t>
      </w:r>
      <w:r>
        <w:rPr>
          <w:rtl w:val="true"/>
        </w:rPr>
        <w:t>القول فی الحیوان</w:t>
      </w:r>
      <w:r>
        <w:rPr>
          <w:rtl w:val="true"/>
        </w:rPr>
        <w:t>]</w:t>
      </w:r>
      <w:bookmarkEnd w:id="6315"/>
    </w:p>
    <w:p>
      <w:pPr>
        <w:pStyle w:val="Heading4"/>
        <w:numPr>
          <w:ilvl w:val="3"/>
          <w:numId w:val="1"/>
        </w:numPr>
        <w:rPr/>
      </w:pPr>
      <w:bookmarkStart w:id="6316" w:name="__RefHeading___Toc2570698_3650668749"/>
      <w:bookmarkStart w:id="6317" w:name="_Toc2858"/>
      <w:bookmarkEnd w:id="6316"/>
      <w:r>
        <w:rPr>
          <w:rtl w:val="true"/>
        </w:rPr>
        <w:t>اشارة</w:t>
      </w:r>
      <w:bookmarkEnd w:id="6317"/>
    </w:p>
    <w:p>
      <w:pPr>
        <w:pStyle w:val="BookText"/>
        <w:rPr/>
      </w:pPr>
      <w:r>
        <w:rPr>
          <w:rFonts w:ascii="IRNazanin" w:hAnsi="IRNazanin" w:eastAsia="IRNazanin"/>
          <w:color w:val="111111"/>
          <w:sz w:val="28"/>
          <w:sz w:val="28"/>
          <w:szCs w:val="28"/>
          <w:rtl w:val="true"/>
          <w:lang w:bidi="fa-IR"/>
        </w:rPr>
        <w:t>القول فی الحیوان</w:t>
      </w:r>
    </w:p>
    <w:p>
      <w:pPr>
        <w:pStyle w:val="Heading4"/>
        <w:numPr>
          <w:ilvl w:val="3"/>
          <w:numId w:val="1"/>
        </w:numPr>
        <w:rPr/>
      </w:pPr>
      <w:bookmarkStart w:id="6318" w:name="__RefHeading___Toc2570700_3650668749"/>
      <w:bookmarkStart w:id="6319" w:name="_Toc2859"/>
      <w:bookmarkEnd w:id="6318"/>
      <w:r>
        <w:rPr>
          <w:rtl w:val="true"/>
        </w:rPr>
        <w:t>[ (</w:t>
      </w:r>
      <w:r>
        <w:rPr>
          <w:rtl w:val="true"/>
        </w:rPr>
        <w:t xml:space="preserve">مسألة </w:t>
      </w:r>
      <w:r>
        <w:rPr/>
        <w:t>1</w:t>
      </w:r>
      <w:r>
        <w:rPr>
          <w:rtl w:val="true"/>
        </w:rPr>
        <w:t xml:space="preserve">): </w:t>
      </w:r>
      <w:r>
        <w:rPr>
          <w:rtl w:val="true"/>
        </w:rPr>
        <w:t>لا یؤکل من حیوان البحر إلّا السمک</w:t>
      </w:r>
      <w:r>
        <w:rPr>
          <w:rtl w:val="true"/>
        </w:rPr>
        <w:t>]</w:t>
      </w:r>
      <w:bookmarkEnd w:id="6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یؤکل من حیوان البحر إلّا السمک </w:t>
      </w:r>
      <w:r>
        <w:rPr>
          <w:rStyle w:val="FootnoteAnchor"/>
          <w:rtl w:val="true"/>
        </w:rPr>
        <w:footnoteReference w:id="1663"/>
      </w:r>
      <w:r>
        <w:rPr>
          <w:rFonts w:ascii="IRNazanin" w:hAnsi="IRNazanin" w:eastAsia="IRNazanin"/>
          <w:color w:val="111111"/>
          <w:sz w:val="28"/>
          <w:sz w:val="28"/>
          <w:szCs w:val="28"/>
          <w:rtl w:val="true"/>
          <w:lang w:bidi="fa-IR"/>
        </w:rPr>
        <w:t>، فیحرم غیره من أنواع حیوانه، حتّی ما یؤکل مثله فی البرّ کبقرة علی الأقویٰ</w:t>
      </w:r>
      <w:r>
        <w:rPr>
          <w:rFonts w:eastAsia="IRNazanin" w:cs="IRNazanin"/>
          <w:color w:val="111111"/>
          <w:sz w:val="28"/>
          <w:szCs w:val="28"/>
          <w:rtl w:val="true"/>
          <w:lang w:bidi="fa-IR"/>
        </w:rPr>
        <w:t>.</w:t>
      </w:r>
    </w:p>
    <w:p>
      <w:pPr>
        <w:pStyle w:val="Heading4"/>
        <w:numPr>
          <w:ilvl w:val="3"/>
          <w:numId w:val="1"/>
        </w:numPr>
        <w:rPr/>
      </w:pPr>
      <w:bookmarkStart w:id="6320" w:name="__RefHeading___Toc2570702_3650668749"/>
      <w:bookmarkStart w:id="6321" w:name="_Toc2860"/>
      <w:bookmarkEnd w:id="6320"/>
      <w:r>
        <w:rPr>
          <w:rtl w:val="true"/>
        </w:rPr>
        <w:t>[ (</w:t>
      </w:r>
      <w:r>
        <w:rPr>
          <w:rtl w:val="true"/>
        </w:rPr>
        <w:t xml:space="preserve">مسألة </w:t>
      </w:r>
      <w:r>
        <w:rPr/>
        <w:t>2</w:t>
      </w:r>
      <w:r>
        <w:rPr>
          <w:rtl w:val="true"/>
        </w:rPr>
        <w:t xml:space="preserve">): </w:t>
      </w:r>
      <w:r>
        <w:rPr>
          <w:rtl w:val="true"/>
        </w:rPr>
        <w:t>لا یؤکل من السمک إلّا ما کان له فلس و قشور بالأصل</w:t>
      </w:r>
      <w:r>
        <w:rPr>
          <w:rtl w:val="true"/>
        </w:rPr>
        <w:t>]</w:t>
      </w:r>
      <w:bookmarkEnd w:id="6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یؤکل من السمک إلّا ما کان له فلس و قشور بالأصل و إن لم تبق و زالت بالعارض کالکنعت؛ فإنّه علیٰ ما ورد فیه حوت سیّئة الخلق تحتکّ بکلّ شی‌ء فیذهب فلسها، و لذا لو نظرتَ إلیٰ أصل أُذنها وجدته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أقسام السمک ذی القشور فیحلّ جمیعها؛ صغیرها و کبیرها من البزّ و البنّی و الشبّوط و القطّان و الطیرامی و الإبلامی و غیرها، و لا یؤکل منه ما لیس له فلس فی الأصل کالجرّی و الزمّار و الزهو و المارماهی</w:t>
      </w:r>
      <w:r>
        <w:rPr>
          <w:rFonts w:eastAsia="IRNazanin" w:cs="IRNazanin"/>
          <w:color w:val="111111"/>
          <w:sz w:val="28"/>
          <w:szCs w:val="28"/>
          <w:rtl w:val="true"/>
          <w:lang w:bidi="fa-IR"/>
        </w:rPr>
        <w:t>.</w:t>
      </w:r>
    </w:p>
    <w:p>
      <w:pPr>
        <w:pStyle w:val="Heading4"/>
        <w:numPr>
          <w:ilvl w:val="3"/>
          <w:numId w:val="1"/>
        </w:numPr>
        <w:rPr/>
      </w:pPr>
      <w:bookmarkStart w:id="6322" w:name="__RefHeading___Toc2570704_3650668749"/>
      <w:bookmarkStart w:id="6323" w:name="_Toc2861"/>
      <w:bookmarkEnd w:id="6322"/>
      <w:r>
        <w:rPr>
          <w:rtl w:val="true"/>
        </w:rPr>
        <w:t>[ (</w:t>
      </w:r>
      <w:r>
        <w:rPr>
          <w:rtl w:val="true"/>
        </w:rPr>
        <w:t xml:space="preserve">مسألة </w:t>
      </w:r>
      <w:r>
        <w:rPr/>
        <w:t>3</w:t>
      </w:r>
      <w:r>
        <w:rPr>
          <w:rtl w:val="true"/>
        </w:rPr>
        <w:t xml:space="preserve">): </w:t>
      </w:r>
      <w:r>
        <w:rPr>
          <w:rtl w:val="true"/>
        </w:rPr>
        <w:t xml:space="preserve">الإربیان المسمّی فی لسان أهل هذا الزمان ب </w:t>
      </w:r>
      <w:r>
        <w:rPr>
          <w:rtl w:val="true"/>
        </w:rPr>
        <w:t>«</w:t>
      </w:r>
      <w:r>
        <w:rPr>
          <w:rtl w:val="true"/>
        </w:rPr>
        <w:t>الروبیان</w:t>
      </w:r>
      <w:r>
        <w:rPr>
          <w:rtl w:val="true"/>
        </w:rPr>
        <w:t xml:space="preserve">» </w:t>
      </w:r>
      <w:r>
        <w:rPr>
          <w:rtl w:val="true"/>
        </w:rPr>
        <w:t>من جنس السمک الذی له فلس</w:t>
      </w:r>
      <w:r>
        <w:rPr>
          <w:rtl w:val="true"/>
        </w:rPr>
        <w:t>]</w:t>
      </w:r>
      <w:bookmarkEnd w:id="6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الإربیان المسمّی فی لسان أهل هذا الزمان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جنس السمک الذی له فلس، فیجوز أکله</w:t>
      </w:r>
      <w:r>
        <w:rPr>
          <w:rFonts w:eastAsia="IRNazanin" w:cs="IRNazanin"/>
          <w:color w:val="111111"/>
          <w:sz w:val="28"/>
          <w:szCs w:val="28"/>
          <w:rtl w:val="true"/>
          <w:lang w:bidi="fa-IR"/>
        </w:rPr>
        <w:t>.</w:t>
      </w:r>
    </w:p>
    <w:p>
      <w:pPr>
        <w:pStyle w:val="Heading4"/>
        <w:numPr>
          <w:ilvl w:val="3"/>
          <w:numId w:val="1"/>
        </w:numPr>
        <w:rPr/>
      </w:pPr>
      <w:bookmarkStart w:id="6324" w:name="__RefHeading___Toc2570706_3650668749"/>
      <w:bookmarkStart w:id="6325" w:name="_Toc2862"/>
      <w:bookmarkEnd w:id="6324"/>
      <w:r>
        <w:rPr>
          <w:rtl w:val="true"/>
        </w:rPr>
        <w:t>[ (</w:t>
      </w:r>
      <w:r>
        <w:rPr>
          <w:rtl w:val="true"/>
        </w:rPr>
        <w:t xml:space="preserve">مسألة </w:t>
      </w:r>
      <w:r>
        <w:rPr/>
        <w:t>4</w:t>
      </w:r>
      <w:r>
        <w:rPr>
          <w:rtl w:val="true"/>
        </w:rPr>
        <w:t xml:space="preserve">): </w:t>
      </w:r>
      <w:r>
        <w:rPr>
          <w:rtl w:val="true"/>
        </w:rPr>
        <w:t>بیض السمک تتبع السمک، فبیض المحلّل حلال و إن کان أملس، و بیض</w:t>
      </w:r>
      <w:r>
        <w:rPr>
          <w:rtl w:val="true"/>
        </w:rPr>
        <w:t>]</w:t>
      </w:r>
      <w:bookmarkEnd w:id="6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السمک تتبع السمک، فبیض المحلّل حلال و إن کان أملس، و بیض المحرّم حرام و إن کان خشناً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اشتبه أنّه من المحلّل أو من المحرّم حلّ أکله و الأحوط </w:t>
      </w:r>
      <w:r>
        <w:rPr>
          <w:rStyle w:val="FootnoteAnchor"/>
          <w:rtl w:val="true"/>
        </w:rPr>
        <w:footnoteReference w:id="1664"/>
      </w:r>
      <w:r>
        <w:rPr>
          <w:rFonts w:ascii="IRNazanin" w:hAnsi="IRNazanin" w:eastAsia="IRNazanin"/>
          <w:color w:val="111111"/>
          <w:sz w:val="28"/>
          <w:sz w:val="28"/>
          <w:szCs w:val="28"/>
          <w:rtl w:val="true"/>
          <w:lang w:bidi="fa-IR"/>
        </w:rPr>
        <w:t>فی حال الاشتباه عدم أکل ما کان أملس</w:t>
      </w:r>
      <w:r>
        <w:rPr>
          <w:rFonts w:eastAsia="IRNazanin" w:cs="IRNazanin"/>
          <w:color w:val="111111"/>
          <w:sz w:val="28"/>
          <w:szCs w:val="28"/>
          <w:rtl w:val="true"/>
          <w:lang w:bidi="fa-IR"/>
        </w:rPr>
        <w:t>.</w:t>
      </w:r>
    </w:p>
    <w:p>
      <w:pPr>
        <w:pStyle w:val="Heading4"/>
        <w:numPr>
          <w:ilvl w:val="3"/>
          <w:numId w:val="1"/>
        </w:numPr>
        <w:rPr/>
      </w:pPr>
      <w:bookmarkStart w:id="6326" w:name="__RefHeading___Toc2570708_3650668749"/>
      <w:bookmarkStart w:id="6327" w:name="_Toc2863"/>
      <w:bookmarkEnd w:id="6326"/>
      <w:r>
        <w:rPr>
          <w:rtl w:val="true"/>
        </w:rPr>
        <w:t>[ (</w:t>
      </w:r>
      <w:r>
        <w:rPr>
          <w:rtl w:val="true"/>
        </w:rPr>
        <w:t xml:space="preserve">مسألة </w:t>
      </w:r>
      <w:r>
        <w:rPr/>
        <w:t>5</w:t>
      </w:r>
      <w:r>
        <w:rPr>
          <w:rtl w:val="true"/>
        </w:rPr>
        <w:t xml:space="preserve">): </w:t>
      </w:r>
      <w:r>
        <w:rPr>
          <w:rtl w:val="true"/>
        </w:rPr>
        <w:t>البهائم البرّیّة من الحیوان صنفان</w:t>
      </w:r>
      <w:r>
        <w:rPr>
          <w:rtl w:val="true"/>
        </w:rPr>
        <w:t xml:space="preserve">: </w:t>
      </w:r>
      <w:r>
        <w:rPr>
          <w:rtl w:val="true"/>
        </w:rPr>
        <w:t>إنسیّة و وحشیّة</w:t>
      </w:r>
      <w:r>
        <w:rPr>
          <w:rtl w:val="true"/>
        </w:rPr>
        <w:t>]</w:t>
      </w:r>
      <w:bookmarkEnd w:id="6327"/>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البهائم البرّیّة من الحیوان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إنسیّة و وحشیّة، أمّا الإنسیّة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فیحلّ منها جمیع أصناف الغنم و البقر و الإبل، و یکره الخیل و البغال و الحمیر، و أخفّها کراهة الأوّل،</w:t>
      </w:r>
      <w:bookmarkStart w:id="6328" w:name="pg1809_19675"/>
    </w:p>
    <w:p>
      <w:pPr>
        <w:pStyle w:val="BookText"/>
        <w:rPr/>
      </w:pPr>
      <w:bookmarkEnd w:id="6328"/>
      <w:r>
        <w:rPr>
          <w:rFonts w:ascii="IRNazanin" w:hAnsi="IRNazanin" w:eastAsia="IRNazanin"/>
          <w:color w:val="111111"/>
          <w:sz w:val="28"/>
          <w:sz w:val="28"/>
          <w:szCs w:val="28"/>
          <w:rtl w:val="true"/>
          <w:lang w:bidi="fa-IR"/>
        </w:rPr>
        <w:t>و اختلف فی الأخیرین فقیل بأخفّیّة الثانی و قیل بأخفّیّة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تحرم منها غیر ذلک کالکلب و السنّور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الوحشیّة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فتحلّ منها الظبی و الغزلان و البقر و الکباش الجبلیّة و الیحمور و الحمیر الوحشیّة </w:t>
      </w:r>
      <w:r>
        <w:rPr>
          <w:rStyle w:val="FootnoteAnchor"/>
          <w:rtl w:val="true"/>
        </w:rPr>
        <w:footnoteReference w:id="1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تحرم منها السباع؛ و هی ما کان مفترساً و له ظفر و ناب؛ قویّاً کان کالأسد و النمر و الفهد و الذئب، أو ضعیفاً کالثعلب و الضبع و ابن آویٰ، و کذا یحرم الأرنب و إن لم یکن من السباع، و کذا تحرم الحشرات کلّها کالحیّة و الفأرة و الضبّ و الیربوع و القنفذ و الصراصر و الجُعل و البراغیث و القمّل و غیرها ممّا لا تحصی</w:t>
      </w:r>
      <w:r>
        <w:rPr>
          <w:rFonts w:eastAsia="IRNazanin" w:cs="IRNazanin"/>
          <w:color w:val="111111"/>
          <w:sz w:val="28"/>
          <w:szCs w:val="28"/>
          <w:rtl w:val="true"/>
          <w:lang w:bidi="fa-IR"/>
        </w:rPr>
        <w:t>.</w:t>
      </w:r>
    </w:p>
    <w:p>
      <w:pPr>
        <w:pStyle w:val="Heading4"/>
        <w:numPr>
          <w:ilvl w:val="3"/>
          <w:numId w:val="1"/>
        </w:numPr>
        <w:rPr/>
      </w:pPr>
      <w:bookmarkStart w:id="6329" w:name="__RefHeading___Toc2570710_3650668749"/>
      <w:bookmarkStart w:id="6330" w:name="_Toc2864"/>
      <w:bookmarkEnd w:id="6329"/>
      <w:r>
        <w:rPr>
          <w:rtl w:val="true"/>
        </w:rPr>
        <w:t>[ (</w:t>
      </w:r>
      <w:r>
        <w:rPr>
          <w:rtl w:val="true"/>
        </w:rPr>
        <w:t xml:space="preserve">مسألة </w:t>
      </w:r>
      <w:r>
        <w:rPr/>
        <w:t>6</w:t>
      </w:r>
      <w:r>
        <w:rPr>
          <w:rtl w:val="true"/>
        </w:rPr>
        <w:t xml:space="preserve">): </w:t>
      </w:r>
      <w:r>
        <w:rPr>
          <w:rtl w:val="true"/>
        </w:rPr>
        <w:t>یحلّ من الطیر</w:t>
      </w:r>
      <w:r>
        <w:rPr>
          <w:rtl w:val="true"/>
        </w:rPr>
        <w:t xml:space="preserve">: </w:t>
      </w:r>
      <w:r>
        <w:rPr>
          <w:rtl w:val="true"/>
        </w:rPr>
        <w:t>الحمام بجمیع أصنافه</w:t>
      </w:r>
      <w:r>
        <w:rPr>
          <w:rtl w:val="true"/>
        </w:rPr>
        <w:t>]</w:t>
      </w:r>
      <w:bookmarkEnd w:id="6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من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الحمام بجمیع أصنافه کالقماری و هو الأزرق و الدباسی و هو الأحمر و الورشان و هو الأبیض و الدرّاج و القبج و القطا و الطیهوج و البطّ و الکروان و الحباری و الکرکی و الدجاج بجمیع أقسامه و العصفور بجمیع أنواعه و منه البلبل و الزرزور و القبّرة؛ و هی التی علیٰ رأسها القزعة، و قد ورد أنّها من مسحة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منه الهدهد و الخطّاف و هو الذی یأوی البیوت و آنس الطیور بالناس، و الصرد و هو طائر ضخم الرأس و المنقار یصید العصافیر أبقع نصفه أسود و نصفه أبیض و الصوام و هو طائر أغبر اللون طویل الرقبة أکثر ما یبیت فی النخل و الشقرّاق و هو طائر أخضر ملیح بقدر الحمام خضرته حسنة مشبعة فی أجنحته سواد و یکون مخطّطاً بحمرة و خضرة و سواد و لا یحرم شی‌ء منها حتّی الخطّاف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منه الخفّاش و الطاوس و کلّ ذی مخلب؛ سواء کان قویّاً یقویٰ به علی افتراس الطیر، کالبازی و الصقر و العقاب و الشاهین و الباشق، أو ضعیفاً لا یقوی به علیٰ ذلک کالنسر و البغاث</w:t>
      </w:r>
      <w:r>
        <w:rPr>
          <w:rFonts w:eastAsia="IRNazanin" w:cs="IRNazanin"/>
          <w:color w:val="111111"/>
          <w:sz w:val="28"/>
          <w:szCs w:val="28"/>
          <w:rtl w:val="true"/>
          <w:lang w:bidi="fa-IR"/>
        </w:rPr>
        <w:t>.</w:t>
      </w:r>
    </w:p>
    <w:p>
      <w:pPr>
        <w:pStyle w:val="Heading4"/>
        <w:numPr>
          <w:ilvl w:val="3"/>
          <w:numId w:val="1"/>
        </w:numPr>
        <w:rPr/>
      </w:pPr>
      <w:bookmarkStart w:id="6331" w:name="__RefHeading___Toc2570712_3650668749"/>
      <w:bookmarkStart w:id="6332" w:name="_Toc2865"/>
      <w:bookmarkEnd w:id="6331"/>
      <w:r>
        <w:rPr>
          <w:rtl w:val="true"/>
        </w:rPr>
        <w:t>[ (</w:t>
      </w:r>
      <w:r>
        <w:rPr>
          <w:rtl w:val="true"/>
        </w:rPr>
        <w:t xml:space="preserve">مسألة </w:t>
      </w:r>
      <w:r>
        <w:rPr/>
        <w:t>7</w:t>
      </w:r>
      <w:r>
        <w:rPr>
          <w:rtl w:val="true"/>
        </w:rPr>
        <w:t xml:space="preserve">): </w:t>
      </w:r>
      <w:r>
        <w:rPr>
          <w:rtl w:val="true"/>
        </w:rPr>
        <w:t>الأحوط التنزّه و الاجتناب عن الغراب</w:t>
      </w:r>
      <w:r>
        <w:rPr>
          <w:rtl w:val="true"/>
        </w:rPr>
        <w:t>]</w:t>
      </w:r>
      <w:bookmarkEnd w:id="6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w:t>
      </w:r>
      <w:r>
        <w:rPr>
          <w:rStyle w:val="FootnoteAnchor"/>
          <w:rtl w:val="true"/>
        </w:rPr>
        <w:footnoteReference w:id="1666"/>
      </w:r>
      <w:r>
        <w:rPr>
          <w:rFonts w:ascii="IRNazanin" w:hAnsi="IRNazanin" w:eastAsia="IRNazanin"/>
          <w:color w:val="111111"/>
          <w:sz w:val="28"/>
          <w:sz w:val="28"/>
          <w:szCs w:val="28"/>
          <w:rtl w:val="true"/>
          <w:lang w:bidi="fa-IR"/>
        </w:rPr>
        <w:t>التنزّه و الاجتناب عن الغراب بجمیع أنواعه حتّی الزاغ و هو غراب الزرع و الغداف الذی هو أصغر منه أغبر اللون کالرماد و یتأکّد الاحتیاط فی الأبقع الذی فیه سواد و بیاض و یقال له العقعق و الأسود الکبیر الذی یسکن الجبال و هما یأکلان الجیف، و یحتمل قویّاً کونهما من سباع الطیر فیقویٰ فیهما الحرمة</w:t>
      </w:r>
      <w:r>
        <w:rPr>
          <w:rFonts w:eastAsia="IRNazanin" w:cs="IRNazanin"/>
          <w:color w:val="111111"/>
          <w:sz w:val="28"/>
          <w:szCs w:val="28"/>
          <w:rtl w:val="true"/>
          <w:lang w:bidi="fa-IR"/>
        </w:rPr>
        <w:t>.</w:t>
      </w:r>
    </w:p>
    <w:p>
      <w:pPr>
        <w:pStyle w:val="Heading4"/>
        <w:numPr>
          <w:ilvl w:val="3"/>
          <w:numId w:val="1"/>
        </w:numPr>
        <w:rPr/>
      </w:pPr>
      <w:bookmarkStart w:id="6333" w:name="__RefHeading___Toc2570714_3650668749"/>
      <w:bookmarkStart w:id="6334" w:name="_Toc2866"/>
      <w:bookmarkEnd w:id="6333"/>
      <w:r>
        <w:rPr>
          <w:rtl w:val="true"/>
        </w:rPr>
        <w:t>[ (</w:t>
      </w:r>
      <w:r>
        <w:rPr>
          <w:rtl w:val="true"/>
        </w:rPr>
        <w:t xml:space="preserve">مسألة </w:t>
      </w:r>
      <w:r>
        <w:rPr/>
        <w:t>8</w:t>
      </w:r>
      <w:r>
        <w:rPr>
          <w:rtl w:val="true"/>
        </w:rPr>
        <w:t xml:space="preserve">): </w:t>
      </w:r>
      <w:r>
        <w:rPr>
          <w:rtl w:val="true"/>
        </w:rPr>
        <w:t>یمیّز محلّل الطیر عن محرّمه بأمرین</w:t>
      </w:r>
      <w:r>
        <w:rPr>
          <w:rtl w:val="true"/>
        </w:rPr>
        <w:t>]</w:t>
      </w:r>
      <w:bookmarkEnd w:id="6334"/>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یمیّز محلّل الطیر عن محرّمه بأمرین، جعل کلّ منهما فی الشرع علامة للحلّ و الحرمة فیما لم ینصّ علیٰ حلّیّته و لا علیٰ حرمته دون ما نصّ فیه علیٰ حکمه من</w:t>
      </w:r>
      <w:bookmarkStart w:id="6335" w:name="pg1809_19677"/>
    </w:p>
    <w:p>
      <w:pPr>
        <w:pStyle w:val="BookText"/>
        <w:rPr/>
      </w:pPr>
      <w:bookmarkEnd w:id="6335"/>
      <w:r>
        <w:rPr>
          <w:rFonts w:ascii="IRNazanin" w:hAnsi="IRNazanin" w:eastAsia="IRNazanin"/>
          <w:color w:val="111111"/>
          <w:sz w:val="28"/>
          <w:sz w:val="28"/>
          <w:szCs w:val="28"/>
          <w:rtl w:val="true"/>
          <w:lang w:bidi="fa-IR"/>
        </w:rPr>
        <w:t>حیث الحلّ أو الحرمة کالأنواع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الصفیف و الدفیف، فکلّ ما کان صفیفه و هو بسط جناحیه عند الطیران أکثر من دفیفه و هو تحریکهما عنده فهو حرام و ما کان بالعکس بأن کان دفیفه أکثر من صفیفه فهو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الحوصلة و القانصة و الصیصیة، فما کان فیه أحد هذه الثلاثة فهو حلال، و ما لم یکن فیه شی‌ء منها فهو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یجتمع فیه الحبّ و غیره من المأکول عند الحلق، و القانصة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الطیر بمنزلة الکرش </w:t>
      </w:r>
      <w:r>
        <w:rPr>
          <w:rStyle w:val="FootnoteAnchor"/>
          <w:rtl w:val="true"/>
        </w:rPr>
        <w:footnoteReference w:id="1667"/>
      </w:r>
      <w:r>
        <w:rPr>
          <w:rFonts w:ascii="IRNazanin" w:hAnsi="IRNazanin" w:eastAsia="IRNazanin"/>
          <w:color w:val="111111"/>
          <w:sz w:val="28"/>
          <w:sz w:val="28"/>
          <w:szCs w:val="28"/>
          <w:rtl w:val="true"/>
          <w:lang w:bidi="fa-IR"/>
        </w:rPr>
        <w:t>لغیره، أو هی قطعة صلبة تجتمع فیها الحصاة الدقاق التی یأکلها الطیر، و الصیصیة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الشوکة التی فی رجل الطیر موضع 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یتساوی طیر الماء مع غیره فی العلامتین المزبورتین فما کان دفیفه أکثر من صفیفه، أو کان فیه أحد الثلاثة الحوصلة و القانصة و الصیصیة فهو حلال و إن کان یأکل السمک، و ما کان صفیفه أکثر من دفیفه، أو لم یوجد فیه شی‌ء من الثلاثة فهو حرام</w:t>
      </w:r>
      <w:r>
        <w:rPr>
          <w:rFonts w:eastAsia="IRNazanin" w:cs="IRNazanin"/>
          <w:color w:val="111111"/>
          <w:sz w:val="28"/>
          <w:szCs w:val="28"/>
          <w:rtl w:val="true"/>
          <w:lang w:bidi="fa-IR"/>
        </w:rPr>
        <w:t>.</w:t>
      </w:r>
    </w:p>
    <w:p>
      <w:pPr>
        <w:pStyle w:val="Heading4"/>
        <w:numPr>
          <w:ilvl w:val="3"/>
          <w:numId w:val="1"/>
        </w:numPr>
        <w:rPr/>
      </w:pPr>
      <w:bookmarkStart w:id="6336" w:name="__RefHeading___Toc2570716_3650668749"/>
      <w:bookmarkStart w:id="6337" w:name="_Toc2867"/>
      <w:bookmarkEnd w:id="6336"/>
      <w:r>
        <w:rPr>
          <w:rtl w:val="true"/>
        </w:rPr>
        <w:t>[ (</w:t>
      </w:r>
      <w:r>
        <w:rPr>
          <w:rtl w:val="true"/>
        </w:rPr>
        <w:t xml:space="preserve">مسألة </w:t>
      </w:r>
      <w:r>
        <w:rPr/>
        <w:t>9</w:t>
      </w:r>
      <w:r>
        <w:rPr>
          <w:rtl w:val="true"/>
        </w:rPr>
        <w:t xml:space="preserve">): </w:t>
      </w:r>
      <w:r>
        <w:rPr>
          <w:rtl w:val="true"/>
        </w:rPr>
        <w:t>لو تعارضت العلامتان کما إذا کان ما صفیفه أکثر من دفیفه</w:t>
      </w:r>
      <w:r>
        <w:rPr>
          <w:rtl w:val="true"/>
        </w:rPr>
        <w:t>]</w:t>
      </w:r>
      <w:bookmarkEnd w:id="6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تعارضت العلامتان کما إذا کان ما صفیفه أکثر من دفیفه ذا حوصلة أو قانصة أو صیصیة، أو کان ما دفیفه أکثر من صفیفه فاقداً للثلاثة، فالظاهر أنّ الاعتبار بالصفیف و الدفیف، فیحرم الأوّل و یحلّ الثانی، علیٰ إشکال فی الثانی فلا یترک </w:t>
      </w:r>
      <w:r>
        <w:rPr>
          <w:rStyle w:val="FootnoteAnchor"/>
          <w:rtl w:val="true"/>
        </w:rPr>
        <w:footnoteReference w:id="1668"/>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ربّما قیل بالتلازم بین العلامتین و عدم وقوع التعارض بینهما فلا إشکال</w:t>
      </w:r>
      <w:r>
        <w:rPr>
          <w:rFonts w:eastAsia="IRNazanin" w:cs="IRNazanin"/>
          <w:color w:val="111111"/>
          <w:sz w:val="28"/>
          <w:szCs w:val="28"/>
          <w:rtl w:val="true"/>
          <w:lang w:bidi="fa-IR"/>
        </w:rPr>
        <w:t>.</w:t>
      </w:r>
    </w:p>
    <w:p>
      <w:pPr>
        <w:pStyle w:val="Heading4"/>
        <w:numPr>
          <w:ilvl w:val="3"/>
          <w:numId w:val="1"/>
        </w:numPr>
        <w:rPr/>
      </w:pPr>
      <w:bookmarkStart w:id="6338" w:name="__RefHeading___Toc2570718_3650668749"/>
      <w:bookmarkStart w:id="6339" w:name="_Toc2868"/>
      <w:bookmarkEnd w:id="6338"/>
      <w:r>
        <w:rPr>
          <w:rtl w:val="true"/>
        </w:rPr>
        <w:t>[ (</w:t>
      </w:r>
      <w:r>
        <w:rPr>
          <w:rtl w:val="true"/>
        </w:rPr>
        <w:t xml:space="preserve">مسألة </w:t>
      </w:r>
      <w:r>
        <w:rPr/>
        <w:t>10</w:t>
      </w:r>
      <w:r>
        <w:rPr>
          <w:rtl w:val="true"/>
        </w:rPr>
        <w:t xml:space="preserve">): </w:t>
      </w:r>
      <w:r>
        <w:rPr>
          <w:rtl w:val="true"/>
        </w:rPr>
        <w:t>لو رأی طیراً یطیر و له صفیف و دفیف و لم یتبیّن أیّهما أکثر</w:t>
      </w:r>
      <w:r>
        <w:rPr>
          <w:rtl w:val="true"/>
        </w:rPr>
        <w:t>]</w:t>
      </w:r>
      <w:bookmarkEnd w:id="6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رأی طیراً یطیر و له صفیف و دفیف و لم یتبیّن أیّهما أکثر تعیّن له الرجوع إلی العلامة الثانیة؛ و هی وجود أحد الثلاثة و عدمها فیه، و کذا إذا وجد طیراً مذبوحاً لم یعرف حاله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40" w:name="__RefHeading___Toc2570720_3650668749"/>
      <w:bookmarkStart w:id="6341" w:name="_Toc2869"/>
      <w:bookmarkEnd w:id="6340"/>
      <w:r>
        <w:rPr>
          <w:rtl w:val="true"/>
        </w:rPr>
        <w:t>[ (</w:t>
      </w:r>
      <w:r>
        <w:rPr>
          <w:rtl w:val="true"/>
        </w:rPr>
        <w:t xml:space="preserve">مسألة </w:t>
      </w:r>
      <w:r>
        <w:rPr/>
        <w:t>11</w:t>
      </w:r>
      <w:r>
        <w:rPr>
          <w:rtl w:val="true"/>
        </w:rPr>
        <w:t xml:space="preserve">): </w:t>
      </w:r>
      <w:r>
        <w:rPr>
          <w:rtl w:val="true"/>
        </w:rPr>
        <w:t>لو فرض تساوی الصفیف و الدفیف فیه فالمشهور علیٰ حلّیّته</w:t>
      </w:r>
      <w:r>
        <w:rPr>
          <w:rtl w:val="true"/>
        </w:rPr>
        <w:t>]</w:t>
      </w:r>
      <w:bookmarkEnd w:id="6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تساوی الصفیف و الدفیف فیه فالمشهور علیٰ حلّیّته، لکن لا یخلو من إشکال، فالأحوط أن یرجع فیه إلی العلامة الثانیة</w:t>
      </w:r>
      <w:r>
        <w:rPr>
          <w:rFonts w:eastAsia="IRNazanin" w:cs="IRNazanin"/>
          <w:color w:val="111111"/>
          <w:sz w:val="28"/>
          <w:szCs w:val="28"/>
          <w:rtl w:val="true"/>
          <w:lang w:bidi="fa-IR"/>
        </w:rPr>
        <w:t>.</w:t>
      </w:r>
    </w:p>
    <w:p>
      <w:pPr>
        <w:pStyle w:val="Heading4"/>
        <w:numPr>
          <w:ilvl w:val="3"/>
          <w:numId w:val="1"/>
        </w:numPr>
        <w:rPr/>
      </w:pPr>
      <w:bookmarkStart w:id="6342" w:name="__RefHeading___Toc2570722_3650668749"/>
      <w:bookmarkStart w:id="6343" w:name="_Toc2870"/>
      <w:bookmarkEnd w:id="6342"/>
      <w:r>
        <w:rPr>
          <w:rtl w:val="true"/>
        </w:rPr>
        <w:t>[ (</w:t>
      </w:r>
      <w:r>
        <w:rPr>
          <w:rtl w:val="true"/>
        </w:rPr>
        <w:t xml:space="preserve">مسألة </w:t>
      </w:r>
      <w:r>
        <w:rPr/>
        <w:t>12</w:t>
      </w:r>
      <w:r>
        <w:rPr>
          <w:rtl w:val="true"/>
        </w:rPr>
        <w:t xml:space="preserve">): </w:t>
      </w:r>
      <w:r>
        <w:rPr>
          <w:rtl w:val="true"/>
        </w:rPr>
        <w:t>بیض الطیور تابعة لها فی الحلّ و الحرمة</w:t>
      </w:r>
      <w:r>
        <w:rPr>
          <w:rtl w:val="true"/>
        </w:rPr>
        <w:t>]</w:t>
      </w:r>
      <w:bookmarkEnd w:id="6343"/>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الطیور تابعة لها فی الحلّ و الحرمة، فبیض المحلّل حلال و بیض المحرّم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اشتبه أنّه من المحلّل أو المحرّم یؤکل ما اختلف طرفاها و تمیّز رأسها من تحتها مثل بیض الدجاج دون ما اتّفق و تساویٰ طرفاه</w:t>
      </w:r>
      <w:r>
        <w:rPr>
          <w:rFonts w:eastAsia="IRNazanin" w:cs="IRNazanin"/>
          <w:color w:val="111111"/>
          <w:sz w:val="28"/>
          <w:szCs w:val="28"/>
          <w:rtl w:val="true"/>
          <w:lang w:bidi="fa-IR"/>
        </w:rPr>
        <w:t>.</w:t>
      </w:r>
      <w:bookmarkStart w:id="6344" w:name="pg1809_19679"/>
    </w:p>
    <w:p>
      <w:pPr>
        <w:pStyle w:val="Heading4"/>
        <w:numPr>
          <w:ilvl w:val="3"/>
          <w:numId w:val="1"/>
        </w:numPr>
        <w:rPr/>
      </w:pPr>
      <w:bookmarkStart w:id="6345" w:name="__RefHeading___Toc2570724_3650668749"/>
      <w:bookmarkStart w:id="6346" w:name="_Toc2871"/>
      <w:bookmarkEnd w:id="6344"/>
      <w:bookmarkEnd w:id="6345"/>
      <w:r>
        <w:rPr>
          <w:rtl w:val="true"/>
        </w:rPr>
        <w:t>[ (</w:t>
      </w:r>
      <w:r>
        <w:rPr>
          <w:rtl w:val="true"/>
        </w:rPr>
        <w:t xml:space="preserve">مسألة </w:t>
      </w:r>
      <w:r>
        <w:rPr/>
        <w:t>13</w:t>
      </w:r>
      <w:r>
        <w:rPr>
          <w:rtl w:val="true"/>
        </w:rPr>
        <w:t xml:space="preserve">): </w:t>
      </w:r>
      <w:r>
        <w:rPr>
          <w:rtl w:val="true"/>
        </w:rPr>
        <w:t>النعامة من الطیور؛ و هی حلال لحماً و بیضاً علی الأقویٰ</w:t>
      </w:r>
      <w:r>
        <w:rPr>
          <w:rtl w:val="true"/>
        </w:rPr>
        <w:t>]</w:t>
      </w:r>
      <w:bookmarkEnd w:id="6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النعامة من الطیور؛ و هی حلال لحماً و بیضاً علی الأقویٰ</w:t>
      </w:r>
      <w:r>
        <w:rPr>
          <w:rFonts w:eastAsia="IRNazanin" w:cs="IRNazanin"/>
          <w:color w:val="111111"/>
          <w:sz w:val="28"/>
          <w:szCs w:val="28"/>
          <w:rtl w:val="true"/>
          <w:lang w:bidi="fa-IR"/>
        </w:rPr>
        <w:t>.</w:t>
      </w:r>
    </w:p>
    <w:p>
      <w:pPr>
        <w:pStyle w:val="Heading4"/>
        <w:numPr>
          <w:ilvl w:val="3"/>
          <w:numId w:val="1"/>
        </w:numPr>
        <w:rPr/>
      </w:pPr>
      <w:bookmarkStart w:id="6347" w:name="__RefHeading___Toc2570726_3650668749"/>
      <w:bookmarkStart w:id="6348" w:name="_Toc2872"/>
      <w:bookmarkEnd w:id="6347"/>
      <w:r>
        <w:rPr>
          <w:rtl w:val="true"/>
        </w:rPr>
        <w:t>[ (</w:t>
      </w:r>
      <w:r>
        <w:rPr>
          <w:rtl w:val="true"/>
        </w:rPr>
        <w:t xml:space="preserve">مسألة </w:t>
      </w:r>
      <w:r>
        <w:rPr/>
        <w:t>14</w:t>
      </w:r>
      <w:r>
        <w:rPr>
          <w:rtl w:val="true"/>
        </w:rPr>
        <w:t xml:space="preserve">): </w:t>
      </w:r>
      <w:r>
        <w:rPr>
          <w:rtl w:val="true"/>
        </w:rPr>
        <w:t>اللقلق لم ینصّ علیٰ حرمته و لا علیٰ حلّیته</w:t>
      </w:r>
      <w:r>
        <w:rPr>
          <w:rtl w:val="true"/>
        </w:rPr>
        <w:t>]</w:t>
      </w:r>
      <w:bookmarkEnd w:id="6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اللقلق لم ینصّ علیٰ حرمته و لا علیٰ حلّیته فلیرجع فی حکمه إلیٰ علامات الحلّ و الحرمة؛ أمّا من جهة الدفیف و الصفیف فقد اختلف فی ذلک أنظار من تفقّده؛ فبعض ادّعیٰ أنّ دفیفه أکثر من صفیفه، و بعض ادّعی العکس، و لعلّ طیرانه غیر 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إذا تبیّن حاله من جهة الدفیف و الصفیف فهو، و إلّا فلیرجع إلی العلامة الثانیة؛ و هی وجود إحدی الثلاث و عدمها</w:t>
      </w:r>
      <w:r>
        <w:rPr>
          <w:rFonts w:eastAsia="IRNazanin" w:cs="IRNazanin"/>
          <w:color w:val="111111"/>
          <w:sz w:val="28"/>
          <w:szCs w:val="28"/>
          <w:rtl w:val="true"/>
          <w:lang w:bidi="fa-IR"/>
        </w:rPr>
        <w:t>.</w:t>
      </w:r>
    </w:p>
    <w:p>
      <w:pPr>
        <w:pStyle w:val="Heading4"/>
        <w:numPr>
          <w:ilvl w:val="3"/>
          <w:numId w:val="1"/>
        </w:numPr>
        <w:rPr/>
      </w:pPr>
      <w:bookmarkStart w:id="6349" w:name="__RefHeading___Toc2570728_3650668749"/>
      <w:bookmarkStart w:id="6350" w:name="_Toc2873"/>
      <w:bookmarkEnd w:id="6349"/>
      <w:r>
        <w:rPr>
          <w:rtl w:val="true"/>
        </w:rPr>
        <w:t>[ (</w:t>
      </w:r>
      <w:r>
        <w:rPr>
          <w:rtl w:val="true"/>
        </w:rPr>
        <w:t xml:space="preserve">مسألة </w:t>
      </w:r>
      <w:r>
        <w:rPr/>
        <w:t>15</w:t>
      </w:r>
      <w:r>
        <w:rPr>
          <w:rtl w:val="true"/>
        </w:rPr>
        <w:t xml:space="preserve">): </w:t>
      </w:r>
      <w:r>
        <w:rPr>
          <w:rtl w:val="true"/>
        </w:rPr>
        <w:t>تعرض الحرمة علی الحیوان المحلّل بالأصل من أُمور</w:t>
      </w:r>
      <w:r>
        <w:rPr>
          <w:rtl w:val="true"/>
        </w:rPr>
        <w:t>]</w:t>
      </w:r>
      <w:bookmarkEnd w:id="6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الحرمة علی الحیوان المحلّل بالأصل من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الجلل، و هو أن یتغذّی الحیوان عذرة الإنسان بحیث یصدق عرفاً أنّها غذاؤه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یلحق بعذرة الإنسان عذرة غیره و لا سائر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یتحقّق الصدق المزبور بانحصار غذائه بها، فلو کان یتغذّی بها مع غیرها لم یتحقّق الصدق فلم یحرم، إلّا أن یکون تغذّیه بغیرها نادراً جدّاً بحیث یکون بأنظار العرف بحکم العدم، و بأن یکون تغذّیه بها مدّة معتدّاً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عدم کفایة یوم و لیلة بل یشکّ صدقه بأقلّ من یومین بل ثلاثة</w:t>
      </w:r>
      <w:r>
        <w:rPr>
          <w:rFonts w:eastAsia="IRNazanin" w:cs="IRNazanin"/>
          <w:color w:val="111111"/>
          <w:sz w:val="28"/>
          <w:szCs w:val="28"/>
          <w:rtl w:val="true"/>
          <w:lang w:bidi="fa-IR"/>
        </w:rPr>
        <w:t>.</w:t>
      </w:r>
    </w:p>
    <w:p>
      <w:pPr>
        <w:pStyle w:val="Heading4"/>
        <w:numPr>
          <w:ilvl w:val="3"/>
          <w:numId w:val="1"/>
        </w:numPr>
        <w:rPr/>
      </w:pPr>
      <w:bookmarkStart w:id="6351" w:name="__RefHeading___Toc2570730_3650668749"/>
      <w:bookmarkStart w:id="6352" w:name="_Toc2874"/>
      <w:bookmarkEnd w:id="6351"/>
      <w:r>
        <w:rPr>
          <w:rtl w:val="true"/>
        </w:rPr>
        <w:t>[ (</w:t>
      </w:r>
      <w:r>
        <w:rPr>
          <w:rtl w:val="true"/>
        </w:rPr>
        <w:t xml:space="preserve">مسألة </w:t>
      </w:r>
      <w:r>
        <w:rPr/>
        <w:t>16</w:t>
      </w:r>
      <w:r>
        <w:rPr>
          <w:rtl w:val="true"/>
        </w:rPr>
        <w:t xml:space="preserve">): </w:t>
      </w:r>
      <w:r>
        <w:rPr>
          <w:rtl w:val="true"/>
        </w:rPr>
        <w:t>یعمّ حکم الجلل کلّ حیوان محلّل حتّی الطیر و السمک</w:t>
      </w:r>
      <w:r>
        <w:rPr>
          <w:rtl w:val="true"/>
        </w:rPr>
        <w:t>]</w:t>
      </w:r>
      <w:bookmarkEnd w:id="6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حکم الجلل کلّ حیوان محلّل حتّی الطیر و السمک</w:t>
      </w:r>
      <w:r>
        <w:rPr>
          <w:rFonts w:eastAsia="IRNazanin" w:cs="IRNazanin"/>
          <w:color w:val="111111"/>
          <w:sz w:val="28"/>
          <w:szCs w:val="28"/>
          <w:rtl w:val="true"/>
          <w:lang w:bidi="fa-IR"/>
        </w:rPr>
        <w:t>.</w:t>
      </w:r>
    </w:p>
    <w:p>
      <w:pPr>
        <w:pStyle w:val="Heading4"/>
        <w:numPr>
          <w:ilvl w:val="3"/>
          <w:numId w:val="1"/>
        </w:numPr>
        <w:rPr/>
      </w:pPr>
      <w:bookmarkStart w:id="6353" w:name="__RefHeading___Toc2570732_3650668749"/>
      <w:bookmarkStart w:id="6354" w:name="_Toc2875"/>
      <w:bookmarkEnd w:id="6353"/>
      <w:r>
        <w:rPr>
          <w:rtl w:val="true"/>
        </w:rPr>
        <w:t>[ (</w:t>
      </w:r>
      <w:r>
        <w:rPr>
          <w:rtl w:val="true"/>
        </w:rPr>
        <w:t xml:space="preserve">مسألة </w:t>
      </w:r>
      <w:r>
        <w:rPr/>
        <w:t>17</w:t>
      </w:r>
      <w:r>
        <w:rPr>
          <w:rtl w:val="true"/>
        </w:rPr>
        <w:t xml:space="preserve">): </w:t>
      </w:r>
      <w:r>
        <w:rPr>
          <w:rtl w:val="true"/>
        </w:rPr>
        <w:t>و کما یحرم لحم الحیوان بالجلل، یحرم لبنه و بیضه</w:t>
      </w:r>
      <w:r>
        <w:rPr>
          <w:rtl w:val="true"/>
        </w:rPr>
        <w:t>]</w:t>
      </w:r>
      <w:bookmarkEnd w:id="6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یحرم لحم الحیوان بالجلل، یحرم لبنه و بیضه، و یحلّان بما یحلّ به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الحیوان المحرّم بالعارض کالحیوان المحرّم بالأصل فی جمیع </w:t>
      </w:r>
      <w:r>
        <w:rPr>
          <w:rStyle w:val="FootnoteAnchor"/>
          <w:rtl w:val="true"/>
        </w:rPr>
        <w:footnoteReference w:id="1670"/>
      </w:r>
      <w:r>
        <w:rPr>
          <w:rFonts w:ascii="IRNazanin" w:hAnsi="IRNazanin" w:eastAsia="IRNazanin"/>
          <w:color w:val="111111"/>
          <w:sz w:val="28"/>
          <w:sz w:val="28"/>
          <w:szCs w:val="28"/>
          <w:rtl w:val="true"/>
          <w:lang w:bidi="fa-IR"/>
        </w:rPr>
        <w:t>الأحکام قبل أن یستبرأ و یزول حکمه</w:t>
      </w:r>
      <w:r>
        <w:rPr>
          <w:rFonts w:eastAsia="IRNazanin" w:cs="IRNazanin"/>
          <w:color w:val="111111"/>
          <w:sz w:val="28"/>
          <w:szCs w:val="28"/>
          <w:rtl w:val="true"/>
          <w:lang w:bidi="fa-IR"/>
        </w:rPr>
        <w:t>.</w:t>
      </w:r>
    </w:p>
    <w:p>
      <w:pPr>
        <w:pStyle w:val="Heading4"/>
        <w:numPr>
          <w:ilvl w:val="3"/>
          <w:numId w:val="1"/>
        </w:numPr>
        <w:rPr/>
      </w:pPr>
      <w:bookmarkStart w:id="6355" w:name="__RefHeading___Toc2570734_3650668749"/>
      <w:bookmarkStart w:id="6356" w:name="_Toc2876"/>
      <w:bookmarkEnd w:id="6355"/>
      <w:r>
        <w:rPr>
          <w:rtl w:val="true"/>
        </w:rPr>
        <w:t>[ (</w:t>
      </w:r>
      <w:r>
        <w:rPr>
          <w:rtl w:val="true"/>
        </w:rPr>
        <w:t xml:space="preserve">مسألة </w:t>
      </w:r>
      <w:r>
        <w:rPr/>
        <w:t>18</w:t>
      </w:r>
      <w:r>
        <w:rPr>
          <w:rtl w:val="true"/>
        </w:rPr>
        <w:t xml:space="preserve">): </w:t>
      </w:r>
      <w:r>
        <w:rPr>
          <w:rtl w:val="true"/>
        </w:rPr>
        <w:t>الظاهر أنّ الجلل لیس مانعاً عن وقوع التذکیة</w:t>
      </w:r>
      <w:r>
        <w:rPr>
          <w:rtl w:val="true"/>
        </w:rPr>
        <w:t>]</w:t>
      </w:r>
      <w:bookmarkEnd w:id="6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الجلل لیس مانعاً عن وقوع التذکیة، فیذکّی الجلّال بما یذکّی به غیره، و یترتّب علیها طهارة لحمه و جلده کسائر الحیوان المحرّم بالأصل القابل للتذکیة</w:t>
      </w:r>
      <w:r>
        <w:rPr>
          <w:rFonts w:eastAsia="IRNazanin" w:cs="IRNazanin"/>
          <w:color w:val="111111"/>
          <w:sz w:val="28"/>
          <w:szCs w:val="28"/>
          <w:rtl w:val="true"/>
          <w:lang w:bidi="fa-IR"/>
        </w:rPr>
        <w:t>.</w:t>
      </w:r>
    </w:p>
    <w:p>
      <w:pPr>
        <w:pStyle w:val="Heading4"/>
        <w:numPr>
          <w:ilvl w:val="3"/>
          <w:numId w:val="1"/>
        </w:numPr>
        <w:rPr/>
      </w:pPr>
      <w:bookmarkStart w:id="6357" w:name="__RefHeading___Toc2570736_3650668749"/>
      <w:bookmarkStart w:id="6358" w:name="_Toc2877"/>
      <w:bookmarkEnd w:id="6357"/>
      <w:r>
        <w:rPr>
          <w:rtl w:val="true"/>
        </w:rPr>
        <w:t>[ (</w:t>
      </w:r>
      <w:r>
        <w:rPr>
          <w:rtl w:val="true"/>
        </w:rPr>
        <w:t xml:space="preserve">مسألة </w:t>
      </w:r>
      <w:r>
        <w:rPr/>
        <w:t>19</w:t>
      </w:r>
      <w:r>
        <w:rPr>
          <w:rtl w:val="true"/>
        </w:rPr>
        <w:t xml:space="preserve">): </w:t>
      </w:r>
      <w:r>
        <w:rPr>
          <w:rtl w:val="true"/>
        </w:rPr>
        <w:t>تزول حرمة الجلّال بالاستبراء بترک التغذّی بالعذرة و التغذّی بغیرها مدّة</w:t>
      </w:r>
      <w:r>
        <w:rPr>
          <w:rtl w:val="true"/>
        </w:rPr>
        <w:t>]</w:t>
      </w:r>
      <w:bookmarkEnd w:id="6358"/>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تزول حرمة الجلّال بالاستبراء بترک التغذّی بالعذرة و التغذّی بغیرها مدّة، و هی فی الإبل أربعون یوماً، و فی البقر عشرون یوماً و الأحوط ثلاثون یوماً، و فی الشاة عشرة أیّام، و فی البطّة خمسة أیّام، و فی الدجاجة ثلاثة أیّام، و فی السمک 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 ما ذکر فالمدار علیٰ زوال اسم الجلل بحیث لم یصدق علیه أنّه یتغذّی بالعذرة، بل صدق أنّ غذاءه غیرها</w:t>
      </w:r>
      <w:r>
        <w:rPr>
          <w:rFonts w:eastAsia="IRNazanin" w:cs="IRNazanin"/>
          <w:color w:val="111111"/>
          <w:sz w:val="28"/>
          <w:szCs w:val="28"/>
          <w:rtl w:val="true"/>
          <w:lang w:bidi="fa-IR"/>
        </w:rPr>
        <w:t>.</w:t>
      </w:r>
      <w:bookmarkStart w:id="6359" w:name="pg1809_19680"/>
    </w:p>
    <w:p>
      <w:pPr>
        <w:pStyle w:val="Heading4"/>
        <w:numPr>
          <w:ilvl w:val="3"/>
          <w:numId w:val="1"/>
        </w:numPr>
        <w:rPr/>
      </w:pPr>
      <w:bookmarkStart w:id="6360" w:name="__RefHeading___Toc2570738_3650668749"/>
      <w:bookmarkStart w:id="6361" w:name="_Toc2878"/>
      <w:bookmarkEnd w:id="6359"/>
      <w:bookmarkEnd w:id="6360"/>
      <w:r>
        <w:rPr>
          <w:rtl w:val="true"/>
        </w:rPr>
        <w:t>[ (</w:t>
      </w:r>
      <w:r>
        <w:rPr>
          <w:rtl w:val="true"/>
        </w:rPr>
        <w:t xml:space="preserve">مسألة </w:t>
      </w:r>
      <w:r>
        <w:rPr/>
        <w:t>20</w:t>
      </w:r>
      <w:r>
        <w:rPr>
          <w:rtl w:val="true"/>
        </w:rPr>
        <w:t xml:space="preserve">): </w:t>
      </w:r>
      <w:r>
        <w:rPr>
          <w:rtl w:val="true"/>
        </w:rPr>
        <w:t>کیفیّة الاستبراء أن یمنع الحیوان بربط أو حبس عن التغذّی بالعذرة فی المدّة المقرّرة</w:t>
      </w:r>
      <w:r>
        <w:rPr>
          <w:rtl w:val="true"/>
        </w:rPr>
        <w:t>]</w:t>
      </w:r>
      <w:bookmarkEnd w:id="6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الاستبراء أن یمنع الحیوان بربط أو حبس عن التغذّی بالعذرة فی المدّة المقرّرة و یعلف فی تلک المدّة علفاً طاهراً علی الأحوط، و إن کان الاکتفاء بالتغذّی بغیر ما أوجب الجلل مطلقاً و إن کان متنجّساً أو نجساً لا یخلو من قوّة، خصوصاً فی المتنجّس</w:t>
      </w:r>
      <w:r>
        <w:rPr>
          <w:rFonts w:eastAsia="IRNazanin" w:cs="IRNazanin"/>
          <w:color w:val="111111"/>
          <w:sz w:val="28"/>
          <w:szCs w:val="28"/>
          <w:rtl w:val="true"/>
          <w:lang w:bidi="fa-IR"/>
        </w:rPr>
        <w:t>.</w:t>
      </w:r>
    </w:p>
    <w:p>
      <w:pPr>
        <w:pStyle w:val="Heading4"/>
        <w:numPr>
          <w:ilvl w:val="3"/>
          <w:numId w:val="1"/>
        </w:numPr>
        <w:rPr/>
      </w:pPr>
      <w:bookmarkStart w:id="6362" w:name="__RefHeading___Toc2570740_3650668749"/>
      <w:bookmarkStart w:id="6363" w:name="_Toc2879"/>
      <w:bookmarkEnd w:id="6362"/>
      <w:r>
        <w:rPr>
          <w:rtl w:val="true"/>
        </w:rPr>
        <w:t>[ (</w:t>
      </w:r>
      <w:r>
        <w:rPr>
          <w:rtl w:val="true"/>
        </w:rPr>
        <w:t xml:space="preserve">مسألة </w:t>
      </w:r>
      <w:r>
        <w:rPr/>
        <w:t>21</w:t>
      </w:r>
      <w:r>
        <w:rPr>
          <w:rtl w:val="true"/>
        </w:rPr>
        <w:t xml:space="preserve">): </w:t>
      </w:r>
      <w:r>
        <w:rPr>
          <w:rtl w:val="true"/>
        </w:rPr>
        <w:t>یستحبّ ربط الدجاجة التی یراد أکلها أیّاماً، ثمّ ذبحها و إن لم یعلم جللها</w:t>
      </w:r>
      <w:r>
        <w:rPr>
          <w:rtl w:val="true"/>
        </w:rPr>
        <w:t>]</w:t>
      </w:r>
      <w:bookmarkEnd w:id="6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ربط الدجاجة التی یراد أکلها أیّاماً، ثمّ ذبحها و إن لم یعلم جللها</w:t>
      </w:r>
      <w:r>
        <w:rPr>
          <w:rFonts w:eastAsia="IRNazanin" w:cs="IRNazanin"/>
          <w:color w:val="111111"/>
          <w:sz w:val="28"/>
          <w:szCs w:val="28"/>
          <w:rtl w:val="true"/>
          <w:lang w:bidi="fa-IR"/>
        </w:rPr>
        <w:t>.</w:t>
      </w:r>
    </w:p>
    <w:p>
      <w:pPr>
        <w:pStyle w:val="Heading4"/>
        <w:numPr>
          <w:ilvl w:val="3"/>
          <w:numId w:val="1"/>
        </w:numPr>
        <w:rPr/>
      </w:pPr>
      <w:bookmarkStart w:id="6364" w:name="__RefHeading___Toc2570742_3650668749"/>
      <w:bookmarkStart w:id="6365" w:name="_Toc2880"/>
      <w:bookmarkEnd w:id="6364"/>
      <w:r>
        <w:rPr>
          <w:rtl w:val="true"/>
        </w:rPr>
        <w:t>[ (</w:t>
      </w:r>
      <w:r>
        <w:rPr>
          <w:rtl w:val="true"/>
        </w:rPr>
        <w:t xml:space="preserve">مسألة </w:t>
      </w:r>
      <w:r>
        <w:rPr/>
        <w:t>22</w:t>
      </w:r>
      <w:r>
        <w:rPr>
          <w:rtl w:val="true"/>
        </w:rPr>
        <w:t xml:space="preserve">): </w:t>
      </w:r>
      <w:r>
        <w:rPr>
          <w:rtl w:val="true"/>
        </w:rPr>
        <w:t>و ممّا یوجب حرمة الحیوان المحلّل بالأصل أن یطأه الإنسان قبلًا أو دبراً و إن لم ینزل</w:t>
      </w:r>
      <w:r>
        <w:rPr>
          <w:rtl w:val="true"/>
        </w:rPr>
        <w:t>]</w:t>
      </w:r>
      <w:bookmarkEnd w:id="6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یوجب حرمة الحیوان </w:t>
      </w:r>
      <w:r>
        <w:rPr>
          <w:rStyle w:val="FootnoteAnchor"/>
          <w:rtl w:val="true"/>
        </w:rPr>
        <w:footnoteReference w:id="1671"/>
      </w:r>
      <w:r>
        <w:rPr>
          <w:rFonts w:ascii="IRNazanin" w:hAnsi="IRNazanin" w:eastAsia="IRNazanin"/>
          <w:color w:val="111111"/>
          <w:sz w:val="28"/>
          <w:sz w:val="28"/>
          <w:szCs w:val="28"/>
          <w:rtl w:val="true"/>
          <w:lang w:bidi="fa-IR"/>
        </w:rPr>
        <w:t xml:space="preserve">المحلّل بالأصل أن یطأه الإنسان قبلًا أو دبراً و إن لم ینزل؛ صغیراً کان الواطئ أو کبیراً، عالماً کان أو جاهلًا، مختاراً کان أو مکرهاً، فحلًا کان الموطوء أو أُنثی، فیحرم بذلک لحمه و لحم نسله </w:t>
      </w:r>
      <w:r>
        <w:rPr>
          <w:rStyle w:val="FootnoteAnchor"/>
          <w:rtl w:val="true"/>
        </w:rPr>
        <w:footnoteReference w:id="1672"/>
      </w:r>
      <w:r>
        <w:rPr>
          <w:rFonts w:ascii="IRNazanin" w:hAnsi="IRNazanin" w:eastAsia="IRNazanin"/>
          <w:color w:val="111111"/>
          <w:sz w:val="28"/>
          <w:sz w:val="28"/>
          <w:szCs w:val="28"/>
          <w:rtl w:val="true"/>
          <w:lang w:bidi="fa-IR"/>
        </w:rPr>
        <w:t xml:space="preserve">المتجدّد بعد الوطء و لبنهما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66" w:name="__RefHeading___Toc2570744_3650668749"/>
      <w:bookmarkStart w:id="6367" w:name="_Toc2881"/>
      <w:bookmarkEnd w:id="6366"/>
      <w:r>
        <w:rPr>
          <w:rtl w:val="true"/>
        </w:rPr>
        <w:t>[ (</w:t>
      </w:r>
      <w:r>
        <w:rPr>
          <w:rtl w:val="true"/>
        </w:rPr>
        <w:t xml:space="preserve">مسألة </w:t>
      </w:r>
      <w:r>
        <w:rPr/>
        <w:t>23</w:t>
      </w:r>
      <w:r>
        <w:rPr>
          <w:rtl w:val="true"/>
        </w:rPr>
        <w:t xml:space="preserve">): </w:t>
      </w:r>
      <w:r>
        <w:rPr>
          <w:rtl w:val="true"/>
        </w:rPr>
        <w:t>الحیوان الموطوء إن کان ممّا یراد أکله کالشاة و البقرة و الناقة یجب أن یذبح</w:t>
      </w:r>
      <w:r>
        <w:rPr>
          <w:rtl w:val="true"/>
        </w:rPr>
        <w:t>]</w:t>
      </w:r>
      <w:bookmarkEnd w:id="6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الموطوء إن کان ممّا یراد أکله کالشاة و البقرة و الناقة یجب أن یذبح، ثمّ یحرق، و یغرم الواطئ قیمته لمالکه إذا کان غیر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ممّا یراد ظهره حملًا أو رکوباً و لیس یعتاد أکله کالحمار و البغل و الفرس أُخرج من المحلّ الذی فعل به إلیٰ بلد آخر فیباع فیه، فیعطیٰ ثمنه للواطئ و یغرم قیمته إن کان غیر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لعلّنا نستوفی بعض ما یتعلّق بهذه المسألة فی کتاب الحدود لو ساعدنا التوفیق</w:t>
      </w:r>
      <w:r>
        <w:rPr>
          <w:rFonts w:eastAsia="IRNazanin" w:cs="IRNazanin"/>
          <w:color w:val="111111"/>
          <w:sz w:val="28"/>
          <w:szCs w:val="28"/>
          <w:rtl w:val="true"/>
          <w:lang w:bidi="fa-IR"/>
        </w:rPr>
        <w:t>.</w:t>
      </w:r>
    </w:p>
    <w:p>
      <w:pPr>
        <w:pStyle w:val="Heading4"/>
        <w:numPr>
          <w:ilvl w:val="3"/>
          <w:numId w:val="1"/>
        </w:numPr>
        <w:rPr/>
      </w:pPr>
      <w:bookmarkStart w:id="6368" w:name="__RefHeading___Toc2570746_3650668749"/>
      <w:bookmarkStart w:id="6369" w:name="_Toc2882"/>
      <w:bookmarkEnd w:id="6368"/>
      <w:r>
        <w:rPr>
          <w:rtl w:val="true"/>
        </w:rPr>
        <w:t>[ (</w:t>
      </w:r>
      <w:r>
        <w:rPr>
          <w:rtl w:val="true"/>
        </w:rPr>
        <w:t xml:space="preserve">مسألة </w:t>
      </w:r>
      <w:r>
        <w:rPr/>
        <w:t>24</w:t>
      </w:r>
      <w:r>
        <w:rPr>
          <w:rtl w:val="true"/>
        </w:rPr>
        <w:t xml:space="preserve">): </w:t>
      </w:r>
      <w:r>
        <w:rPr>
          <w:rtl w:val="true"/>
        </w:rPr>
        <w:t>و ممّا یوجب عروض الحرمة علی الحیوان المحلّل بالأصل أن یرضع حمل أو جدی أو عجل من لبن خنزیرة</w:t>
      </w:r>
      <w:r>
        <w:rPr>
          <w:rtl w:val="true"/>
        </w:rPr>
        <w:t>]</w:t>
      </w:r>
      <w:bookmarkEnd w:id="6369"/>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یوجب عروض الحرمة علی الحیوان المحلّل بالأصل أن یرضع حمل أو جدی أو عجل من لبن خنزیرة حتّی قوی و نبت لحمه و اشتدّ عظمه، فیحرم لحمه و لحم نسله و لبنهما، و لا تلحق بالخنزیرة الکلبة و لا الکافرة، و فی تعمیم الحکم للشرب من دون رضاع و للرضاع بعد ما کبر و فطم إشکال، و إن کان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اشتدّ، و أمّا إذا لم یشتدّ کره لحمه، و تزول الکراهة بالاستبراء سبعة أیّام؛ بأن یمنع عن التغذّی بلبن الخنزیرة و یعلف إن استغنیٰ عن اللبن، و إن لم یستغن عنه یلقیٰ علیٰ ضرع شاة مثلًا فی تلک المدّة</w:t>
      </w:r>
      <w:r>
        <w:rPr>
          <w:rFonts w:eastAsia="IRNazanin" w:cs="IRNazanin"/>
          <w:color w:val="111111"/>
          <w:sz w:val="28"/>
          <w:szCs w:val="28"/>
          <w:rtl w:val="true"/>
          <w:lang w:bidi="fa-IR"/>
        </w:rPr>
        <w:t>.</w:t>
      </w:r>
      <w:bookmarkStart w:id="6370" w:name="pg1809_19683"/>
    </w:p>
    <w:p>
      <w:pPr>
        <w:pStyle w:val="Heading4"/>
        <w:numPr>
          <w:ilvl w:val="3"/>
          <w:numId w:val="1"/>
        </w:numPr>
        <w:rPr/>
      </w:pPr>
      <w:bookmarkStart w:id="6371" w:name="__RefHeading___Toc2570748_3650668749"/>
      <w:bookmarkStart w:id="6372" w:name="_Toc2883"/>
      <w:bookmarkEnd w:id="6370"/>
      <w:bookmarkEnd w:id="6371"/>
      <w:r>
        <w:rPr>
          <w:rtl w:val="true"/>
        </w:rPr>
        <w:t>[ (</w:t>
      </w:r>
      <w:r>
        <w:rPr>
          <w:rtl w:val="true"/>
        </w:rPr>
        <w:t xml:space="preserve">مسألة </w:t>
      </w:r>
      <w:r>
        <w:rPr/>
        <w:t>25</w:t>
      </w:r>
      <w:r>
        <w:rPr>
          <w:rtl w:val="true"/>
        </w:rPr>
        <w:t xml:space="preserve">): </w:t>
      </w:r>
      <w:r>
        <w:rPr>
          <w:rtl w:val="true"/>
        </w:rPr>
        <w:t>لو شرب الحیوان المحلّل الخمر حتّی سکر و ذبح فی تلک الحال یؤکل لحمه</w:t>
      </w:r>
      <w:r>
        <w:rPr>
          <w:rtl w:val="true"/>
        </w:rPr>
        <w:t>]</w:t>
      </w:r>
      <w:bookmarkEnd w:id="6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شرب الحیوان المحلّل الخمر حتّی سکر و ذبح فی تلک الحال یؤکل لحمه، لکن بعد غسله </w:t>
      </w:r>
      <w:r>
        <w:rPr>
          <w:rStyle w:val="FootnoteAnchor"/>
          <w:rtl w:val="true"/>
        </w:rPr>
        <w:footnoteReference w:id="1674"/>
      </w:r>
      <w:r>
        <w:rPr>
          <w:rFonts w:ascii="IRNazanin" w:hAnsi="IRNazanin" w:eastAsia="IRNazanin"/>
          <w:color w:val="111111"/>
          <w:sz w:val="28"/>
          <w:sz w:val="28"/>
          <w:szCs w:val="28"/>
          <w:rtl w:val="true"/>
          <w:lang w:bidi="fa-IR"/>
        </w:rPr>
        <w:t>، و لا یؤکل ما فی جوفه من الأمعاء و الکرش و القلب و الکبد و غیرها و إن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شرب بولًا ثمّ ذبح عقیب الشرب حلّ لحمه بلا غسل و یؤکل ما فی جوفه بعد ما یغسل</w:t>
      </w:r>
      <w:r>
        <w:rPr>
          <w:rFonts w:eastAsia="IRNazanin" w:cs="IRNazanin"/>
          <w:color w:val="111111"/>
          <w:sz w:val="28"/>
          <w:szCs w:val="28"/>
          <w:rtl w:val="true"/>
          <w:lang w:bidi="fa-IR"/>
        </w:rPr>
        <w:t>.</w:t>
      </w:r>
    </w:p>
    <w:p>
      <w:pPr>
        <w:pStyle w:val="Heading4"/>
        <w:numPr>
          <w:ilvl w:val="3"/>
          <w:numId w:val="1"/>
        </w:numPr>
        <w:rPr/>
      </w:pPr>
      <w:bookmarkStart w:id="6373" w:name="__RefHeading___Toc2570750_3650668749"/>
      <w:bookmarkStart w:id="6374" w:name="_Toc2884"/>
      <w:bookmarkEnd w:id="6373"/>
      <w:r>
        <w:rPr>
          <w:rtl w:val="true"/>
        </w:rPr>
        <w:t>[ (</w:t>
      </w:r>
      <w:r>
        <w:rPr>
          <w:rtl w:val="true"/>
        </w:rPr>
        <w:t xml:space="preserve">مسألة </w:t>
      </w:r>
      <w:r>
        <w:rPr/>
        <w:t>26</w:t>
      </w:r>
      <w:r>
        <w:rPr>
          <w:rtl w:val="true"/>
        </w:rPr>
        <w:t xml:space="preserve">): </w:t>
      </w:r>
      <w:r>
        <w:rPr>
          <w:rtl w:val="true"/>
        </w:rPr>
        <w:t>لو رضع جدی أو عناق أو عجل من لبن امرأة حتّی فطم و کبر</w:t>
      </w:r>
      <w:r>
        <w:rPr>
          <w:rtl w:val="true"/>
        </w:rPr>
        <w:t>]</w:t>
      </w:r>
      <w:bookmarkEnd w:id="6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رضع جدی أو عناق أو عجل من لبن امرأة حتّی فطم و کبر، لم یحرم لحمه، لکنّه مکروه</w:t>
      </w:r>
      <w:r>
        <w:rPr>
          <w:rFonts w:eastAsia="IRNazanin" w:cs="IRNazanin"/>
          <w:color w:val="111111"/>
          <w:sz w:val="28"/>
          <w:szCs w:val="28"/>
          <w:rtl w:val="true"/>
          <w:lang w:bidi="fa-IR"/>
        </w:rPr>
        <w:t>.</w:t>
      </w:r>
    </w:p>
    <w:p>
      <w:pPr>
        <w:pStyle w:val="Heading4"/>
        <w:numPr>
          <w:ilvl w:val="3"/>
          <w:numId w:val="1"/>
        </w:numPr>
        <w:rPr/>
      </w:pPr>
      <w:bookmarkStart w:id="6375" w:name="__RefHeading___Toc2570752_3650668749"/>
      <w:bookmarkStart w:id="6376" w:name="_Toc2885"/>
      <w:bookmarkEnd w:id="6375"/>
      <w:r>
        <w:rPr>
          <w:rtl w:val="true"/>
        </w:rPr>
        <w:t>[ (</w:t>
      </w:r>
      <w:r>
        <w:rPr>
          <w:rtl w:val="true"/>
        </w:rPr>
        <w:t xml:space="preserve">مسألة </w:t>
      </w:r>
      <w:r>
        <w:rPr/>
        <w:t>27</w:t>
      </w:r>
      <w:r>
        <w:rPr>
          <w:rtl w:val="true"/>
        </w:rPr>
        <w:t xml:space="preserve">): </w:t>
      </w:r>
      <w:r>
        <w:rPr>
          <w:rtl w:val="true"/>
        </w:rPr>
        <w:t>یحرم من الحیوان المحلّل و إن ذکّی أربعة عشر شیئاً</w:t>
      </w:r>
      <w:r>
        <w:rPr>
          <w:rtl w:val="true"/>
        </w:rPr>
        <w:t>]</w:t>
      </w:r>
      <w:bookmarkEnd w:id="6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من الحیوان المحلّل و إن ذکّی أربعة عشر </w:t>
      </w:r>
      <w:r>
        <w:rPr>
          <w:rStyle w:val="FootnoteAnchor"/>
          <w:rtl w:val="true"/>
        </w:rPr>
        <w:footnoteReference w:id="1675"/>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و الروث و الطحال و القضیب و الأُنثیان و المثانة و المرارة و النخاع و هو خیط أبیض کالمخّ فی وسط فقار الظهر و الغدد و هی کلّ عقدة فی الجسد مدوّرة تشبه البندق فی الأغلب و المشیمة و هی موضع الولد أو قرینة </w:t>
      </w:r>
      <w:r>
        <w:rPr>
          <w:rStyle w:val="FootnoteAnchor"/>
          <w:rtl w:val="true"/>
        </w:rPr>
        <w:footnoteReference w:id="1676"/>
      </w:r>
      <w:r>
        <w:rPr>
          <w:rFonts w:ascii="IRNazanin" w:hAnsi="IRNazanin" w:eastAsia="IRNazanin"/>
          <w:color w:val="111111"/>
          <w:sz w:val="28"/>
          <w:sz w:val="28"/>
          <w:szCs w:val="28"/>
          <w:rtl w:val="true"/>
          <w:lang w:bidi="fa-IR"/>
        </w:rPr>
        <w:t>الذی یخرج معه و یجب الاحتیاط بالتنزّه عنهما و العلباوان و هما عصبتان عریضتان صفراوان ممتدّتان علی الظهر من الرقبة إلی الذنب و خرزة الدماغ و هی حبّة فی وسط الدماغ بقدر الحمّصة تمیل إلی الغبرة فی الجملة یخالف لونها لون المخّ الذی فی الجمجمة و الحدقة و هی الحبّة الناظرة من العین لا جسم العین کلّه</w:t>
      </w:r>
      <w:r>
        <w:rPr>
          <w:rFonts w:eastAsia="IRNazanin" w:cs="IRNazanin"/>
          <w:color w:val="111111"/>
          <w:sz w:val="28"/>
          <w:szCs w:val="28"/>
          <w:rtl w:val="true"/>
          <w:lang w:bidi="fa-IR"/>
        </w:rPr>
        <w:t>.</w:t>
      </w:r>
    </w:p>
    <w:p>
      <w:pPr>
        <w:pStyle w:val="Heading4"/>
        <w:numPr>
          <w:ilvl w:val="3"/>
          <w:numId w:val="1"/>
        </w:numPr>
        <w:rPr/>
      </w:pPr>
      <w:bookmarkStart w:id="6377" w:name="__RefHeading___Toc2570754_3650668749"/>
      <w:bookmarkStart w:id="6378" w:name="_Toc2886"/>
      <w:bookmarkEnd w:id="6377"/>
      <w:r>
        <w:rPr>
          <w:rtl w:val="true"/>
        </w:rPr>
        <w:t>[ (</w:t>
      </w:r>
      <w:r>
        <w:rPr>
          <w:rtl w:val="true"/>
        </w:rPr>
        <w:t xml:space="preserve">مسألة </w:t>
      </w:r>
      <w:r>
        <w:rPr/>
        <w:t>28</w:t>
      </w:r>
      <w:r>
        <w:rPr>
          <w:rtl w:val="true"/>
        </w:rPr>
        <w:t xml:space="preserve">): </w:t>
      </w:r>
      <w:r>
        <w:rPr>
          <w:rtl w:val="true"/>
        </w:rPr>
        <w:t>تختصّ حرمة الأشیاء المذکورة بالذبیحة و المنحورة</w:t>
      </w:r>
      <w:r>
        <w:rPr>
          <w:rtl w:val="true"/>
        </w:rPr>
        <w:t>]</w:t>
      </w:r>
      <w:bookmarkEnd w:id="6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 حرمة الأشیاء المذکورة بالذبیحة و المنحورة، فلا یحرم من السمک و الجراد شی‌ء منها ما عدا الرجیع و الدم علیٰ إشکال فیهما</w:t>
      </w:r>
      <w:r>
        <w:rPr>
          <w:rFonts w:eastAsia="IRNazanin" w:cs="IRNazanin"/>
          <w:color w:val="111111"/>
          <w:sz w:val="28"/>
          <w:szCs w:val="28"/>
          <w:rtl w:val="true"/>
          <w:lang w:bidi="fa-IR"/>
        </w:rPr>
        <w:t>.</w:t>
      </w:r>
    </w:p>
    <w:p>
      <w:pPr>
        <w:pStyle w:val="Heading4"/>
        <w:numPr>
          <w:ilvl w:val="3"/>
          <w:numId w:val="1"/>
        </w:numPr>
        <w:rPr/>
      </w:pPr>
      <w:bookmarkStart w:id="6379" w:name="__RefHeading___Toc2570756_3650668749"/>
      <w:bookmarkStart w:id="6380" w:name="_Toc2887"/>
      <w:bookmarkEnd w:id="6379"/>
      <w:r>
        <w:rPr>
          <w:rtl w:val="true"/>
        </w:rPr>
        <w:t>[ (</w:t>
      </w:r>
      <w:r>
        <w:rPr>
          <w:rtl w:val="true"/>
        </w:rPr>
        <w:t xml:space="preserve">مسألة </w:t>
      </w:r>
      <w:r>
        <w:rPr/>
        <w:t>29</w:t>
      </w:r>
      <w:r>
        <w:rPr>
          <w:rtl w:val="true"/>
        </w:rPr>
        <w:t xml:space="preserve">): </w:t>
      </w:r>
      <w:r>
        <w:rPr>
          <w:rtl w:val="true"/>
        </w:rPr>
        <w:t>لا یوجد فی الطیور شی‌ء ممّا ذکر</w:t>
      </w:r>
      <w:r>
        <w:rPr>
          <w:rtl w:val="true"/>
        </w:rPr>
        <w:t>]</w:t>
      </w:r>
      <w:bookmarkEnd w:id="6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w:t>
      </w:r>
      <w:r>
        <w:rPr>
          <w:rStyle w:val="FootnoteAnchor"/>
          <w:rtl w:val="true"/>
        </w:rPr>
        <w:footnoteReference w:id="1677"/>
      </w:r>
      <w:r>
        <w:rPr>
          <w:rFonts w:ascii="IRNazanin" w:hAnsi="IRNazanin" w:eastAsia="IRNazanin"/>
          <w:color w:val="111111"/>
          <w:sz w:val="28"/>
          <w:sz w:val="28"/>
          <w:szCs w:val="28"/>
          <w:rtl w:val="true"/>
          <w:lang w:bidi="fa-IR"/>
        </w:rPr>
        <w:t>فی الطیور شی‌ء ممّا ذکر عدا الرجیع و الدم و المرارة و الطحال و البیضتین فی الدیکة، و لا إشکال فی حرمة الأوّلین منها فیها، و أمّا البواقی ففیها إشکال فلا یترک فیها الاحتیاط</w:t>
      </w:r>
      <w:r>
        <w:rPr>
          <w:rFonts w:eastAsia="IRNazanin" w:cs="IRNazanin"/>
          <w:color w:val="111111"/>
          <w:sz w:val="28"/>
          <w:szCs w:val="28"/>
          <w:rtl w:val="true"/>
          <w:lang w:bidi="fa-IR"/>
        </w:rPr>
        <w:t>.</w:t>
      </w:r>
    </w:p>
    <w:p>
      <w:pPr>
        <w:pStyle w:val="Heading4"/>
        <w:numPr>
          <w:ilvl w:val="3"/>
          <w:numId w:val="1"/>
        </w:numPr>
        <w:rPr/>
      </w:pPr>
      <w:bookmarkStart w:id="6381" w:name="__RefHeading___Toc2570758_3650668749"/>
      <w:bookmarkStart w:id="6382" w:name="_Toc2888"/>
      <w:bookmarkEnd w:id="6381"/>
      <w:r>
        <w:rPr>
          <w:rtl w:val="true"/>
        </w:rPr>
        <w:t>[ (</w:t>
      </w:r>
      <w:r>
        <w:rPr>
          <w:rtl w:val="true"/>
        </w:rPr>
        <w:t xml:space="preserve">مسألة </w:t>
      </w:r>
      <w:r>
        <w:rPr/>
        <w:t>30</w:t>
      </w:r>
      <w:r>
        <w:rPr>
          <w:rtl w:val="true"/>
        </w:rPr>
        <w:t xml:space="preserve">): </w:t>
      </w:r>
      <w:r>
        <w:rPr>
          <w:rtl w:val="true"/>
        </w:rPr>
        <w:t>یؤکل من الذبیحة غیر ما مرّ</w:t>
      </w:r>
      <w:r>
        <w:rPr>
          <w:rtl w:val="true"/>
        </w:rPr>
        <w:t>]</w:t>
      </w:r>
      <w:bookmarkEnd w:id="6382"/>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یؤکل من الذبیحة غیر ما مرّ، فیؤکل القلب و الکبد و الکرش و الأمعاء</w:t>
      </w:r>
      <w:bookmarkStart w:id="6383" w:name="pg1809_19684"/>
    </w:p>
    <w:p>
      <w:pPr>
        <w:pStyle w:val="BookText"/>
        <w:rPr/>
      </w:pPr>
      <w:bookmarkEnd w:id="6383"/>
      <w:r>
        <w:rPr>
          <w:rFonts w:ascii="IRNazanin" w:hAnsi="IRNazanin" w:eastAsia="IRNazanin"/>
          <w:color w:val="111111"/>
          <w:sz w:val="28"/>
          <w:sz w:val="28"/>
          <w:szCs w:val="28"/>
          <w:rtl w:val="true"/>
          <w:lang w:bidi="fa-IR"/>
        </w:rPr>
        <w:t>و الغضروف و العضلات و غیرها، نعم یکره الکلیتان و أُذنا القلب و العروق، خصوصاً الأوداج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یؤکل منها الجلد و العظم مع عدم الضرر أم لا؟ أظهرهما الأوّل و أحوطهما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إشکال فی جلد الرأس و جلد الدجاج و غیره من الطیور، و کذا فی عظم صغار الطیور کالعصفور</w:t>
      </w:r>
      <w:r>
        <w:rPr>
          <w:rFonts w:eastAsia="IRNazanin" w:cs="IRNazanin"/>
          <w:color w:val="111111"/>
          <w:sz w:val="28"/>
          <w:szCs w:val="28"/>
          <w:rtl w:val="true"/>
          <w:lang w:bidi="fa-IR"/>
        </w:rPr>
        <w:t>.</w:t>
      </w:r>
    </w:p>
    <w:p>
      <w:pPr>
        <w:pStyle w:val="Heading4"/>
        <w:numPr>
          <w:ilvl w:val="3"/>
          <w:numId w:val="1"/>
        </w:numPr>
        <w:rPr/>
      </w:pPr>
      <w:bookmarkStart w:id="6384" w:name="__RefHeading___Toc2570760_3650668749"/>
      <w:bookmarkStart w:id="6385" w:name="_Toc2889"/>
      <w:bookmarkEnd w:id="6384"/>
      <w:r>
        <w:rPr>
          <w:rtl w:val="true"/>
        </w:rPr>
        <w:t>[ (</w:t>
      </w:r>
      <w:r>
        <w:rPr>
          <w:rtl w:val="true"/>
        </w:rPr>
        <w:t xml:space="preserve">مسألة </w:t>
      </w:r>
      <w:r>
        <w:rPr/>
        <w:t>31</w:t>
      </w:r>
      <w:r>
        <w:rPr>
          <w:rtl w:val="true"/>
        </w:rPr>
        <w:t xml:space="preserve">): </w:t>
      </w:r>
      <w:r>
        <w:rPr>
          <w:rtl w:val="true"/>
        </w:rPr>
        <w:t>یجوز أکل لحم ما حلّ أکله نیّاً و مطبوخاً</w:t>
      </w:r>
      <w:r>
        <w:rPr>
          <w:rtl w:val="true"/>
        </w:rPr>
        <w:t>]</w:t>
      </w:r>
      <w:bookmarkEnd w:id="6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أکل لحم ما حلّ أکله نیّاً و مطبوخاً، بل و محروقاً أیضاً إذا لم یکن مضرّاً، نعم یکره أکله غریضاً؛ بمعنی کونه طریّاً لم یتغیّر بشمس و لا نار و لا بذرّ الملح علیه و تجفیفه فی الظلّ و جعله قدیداً</w:t>
      </w:r>
      <w:r>
        <w:rPr>
          <w:rFonts w:eastAsia="IRNazanin" w:cs="IRNazanin"/>
          <w:color w:val="111111"/>
          <w:sz w:val="28"/>
          <w:szCs w:val="28"/>
          <w:rtl w:val="true"/>
          <w:lang w:bidi="fa-IR"/>
        </w:rPr>
        <w:t>.</w:t>
      </w:r>
    </w:p>
    <w:p>
      <w:pPr>
        <w:pStyle w:val="Heading4"/>
        <w:numPr>
          <w:ilvl w:val="3"/>
          <w:numId w:val="1"/>
        </w:numPr>
        <w:rPr/>
      </w:pPr>
      <w:bookmarkStart w:id="6386" w:name="__RefHeading___Toc2570762_3650668749"/>
      <w:bookmarkStart w:id="6387" w:name="_Toc2890"/>
      <w:bookmarkEnd w:id="6386"/>
      <w:r>
        <w:rPr>
          <w:rtl w:val="true"/>
        </w:rPr>
        <w:t>[ (</w:t>
      </w:r>
      <w:r>
        <w:rPr>
          <w:rtl w:val="true"/>
        </w:rPr>
        <w:t xml:space="preserve">مسألة </w:t>
      </w:r>
      <w:r>
        <w:rPr/>
        <w:t>32</w:t>
      </w:r>
      <w:r>
        <w:rPr>
          <w:rtl w:val="true"/>
        </w:rPr>
        <w:t xml:space="preserve">): </w:t>
      </w:r>
      <w:r>
        <w:rPr>
          <w:rtl w:val="true"/>
        </w:rPr>
        <w:t>اختلفوا فی حلّیّة بول ما یؤکل لحمه کالغنم و البقر عند عدم الضرورة علیٰ قولین</w:t>
      </w:r>
      <w:r>
        <w:rPr>
          <w:rtl w:val="true"/>
        </w:rPr>
        <w:t>]</w:t>
      </w:r>
      <w:bookmarkEnd w:id="6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حلّیّة بول ما یؤکل لحمه کالغنم و البقر عند عدم الضرورة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 بالحلّیّة </w:t>
      </w:r>
      <w:r>
        <w:rPr>
          <w:rStyle w:val="FootnoteAnchor"/>
          <w:rtl w:val="true"/>
        </w:rPr>
        <w:footnoteReference w:id="1678"/>
      </w:r>
      <w:r>
        <w:rPr>
          <w:rFonts w:ascii="IRNazanin" w:hAnsi="IRNazanin" w:eastAsia="IRNazanin"/>
          <w:color w:val="111111"/>
          <w:sz w:val="28"/>
          <w:sz w:val="28"/>
          <w:szCs w:val="28"/>
          <w:rtl w:val="true"/>
          <w:lang w:bidi="fa-IR"/>
        </w:rPr>
        <w:t>، و حرّمه جماعة و هو الأحوط، نعم لا إشکال فی حلّیّة بول الإبل للاستشفاء</w:t>
      </w:r>
      <w:r>
        <w:rPr>
          <w:rFonts w:eastAsia="IRNazanin" w:cs="IRNazanin"/>
          <w:color w:val="111111"/>
          <w:sz w:val="28"/>
          <w:szCs w:val="28"/>
          <w:rtl w:val="true"/>
          <w:lang w:bidi="fa-IR"/>
        </w:rPr>
        <w:t>.</w:t>
      </w:r>
    </w:p>
    <w:p>
      <w:pPr>
        <w:pStyle w:val="Heading4"/>
        <w:numPr>
          <w:ilvl w:val="3"/>
          <w:numId w:val="1"/>
        </w:numPr>
        <w:rPr/>
      </w:pPr>
      <w:bookmarkStart w:id="6388" w:name="__RefHeading___Toc2570764_3650668749"/>
      <w:bookmarkStart w:id="6389" w:name="_Toc2891"/>
      <w:bookmarkEnd w:id="6388"/>
      <w:r>
        <w:rPr>
          <w:rtl w:val="true"/>
        </w:rPr>
        <w:t>[ (</w:t>
      </w:r>
      <w:r>
        <w:rPr>
          <w:rtl w:val="true"/>
        </w:rPr>
        <w:t xml:space="preserve">مسألة </w:t>
      </w:r>
      <w:r>
        <w:rPr/>
        <w:t>33</w:t>
      </w:r>
      <w:r>
        <w:rPr>
          <w:rtl w:val="true"/>
        </w:rPr>
        <w:t xml:space="preserve">): </w:t>
      </w:r>
      <w:r>
        <w:rPr>
          <w:rtl w:val="true"/>
        </w:rPr>
        <w:t>یحرم رجیع کلّ حیوان، و لو کان ممّا حلّ أکله</w:t>
      </w:r>
      <w:r>
        <w:rPr>
          <w:rtl w:val="true"/>
        </w:rPr>
        <w:t>]</w:t>
      </w:r>
      <w:bookmarkEnd w:id="6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رجیع کلّ حیوان، و لو کان ممّا حلّ أکله، نعم الظاهر عدم حرمة فضلات الدیدان الملتصقة بأجواف الفواکه و البطائخ و نحوها، و کذا ما فی جوف السمک و الجراد إذا أُکل معهما</w:t>
      </w:r>
      <w:r>
        <w:rPr>
          <w:rFonts w:eastAsia="IRNazanin" w:cs="IRNazanin"/>
          <w:color w:val="111111"/>
          <w:sz w:val="28"/>
          <w:szCs w:val="28"/>
          <w:rtl w:val="true"/>
          <w:lang w:bidi="fa-IR"/>
        </w:rPr>
        <w:t>.</w:t>
      </w:r>
    </w:p>
    <w:p>
      <w:pPr>
        <w:pStyle w:val="Heading4"/>
        <w:numPr>
          <w:ilvl w:val="3"/>
          <w:numId w:val="1"/>
        </w:numPr>
        <w:rPr/>
      </w:pPr>
      <w:bookmarkStart w:id="6390" w:name="__RefHeading___Toc2570766_3650668749"/>
      <w:bookmarkStart w:id="6391" w:name="_Toc2892"/>
      <w:bookmarkEnd w:id="6390"/>
      <w:r>
        <w:rPr>
          <w:rtl w:val="true"/>
        </w:rPr>
        <w:t>[ (</w:t>
      </w:r>
      <w:r>
        <w:rPr>
          <w:rtl w:val="true"/>
        </w:rPr>
        <w:t xml:space="preserve">مسألة </w:t>
      </w:r>
      <w:r>
        <w:rPr/>
        <w:t>34</w:t>
      </w:r>
      <w:r>
        <w:rPr>
          <w:rtl w:val="true"/>
        </w:rPr>
        <w:t xml:space="preserve">): </w:t>
      </w:r>
      <w:r>
        <w:rPr>
          <w:rtl w:val="true"/>
        </w:rPr>
        <w:t>یحرم الدم من الحیوان ذی النفس حتّی العلقة و الدم فی البیضة</w:t>
      </w:r>
      <w:r>
        <w:rPr>
          <w:rtl w:val="true"/>
        </w:rPr>
        <w:t>]</w:t>
      </w:r>
      <w:bookmarkEnd w:id="6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الدم من الحیوان ذی النفس حتّی العلقة و الدم فی البیضة </w:t>
      </w:r>
      <w:r>
        <w:rPr>
          <w:rStyle w:val="FootnoteAnchor"/>
          <w:rtl w:val="true"/>
        </w:rPr>
        <w:footnoteReference w:id="1679"/>
      </w:r>
      <w:r>
        <w:rPr>
          <w:rFonts w:ascii="IRNazanin" w:hAnsi="IRNazanin" w:eastAsia="IRNazanin"/>
          <w:color w:val="111111"/>
          <w:sz w:val="28"/>
          <w:sz w:val="28"/>
          <w:szCs w:val="28"/>
          <w:rtl w:val="true"/>
          <w:lang w:bidi="fa-IR"/>
        </w:rPr>
        <w:t>، عدا ما یتخلّف فی الذبیحة علیٰ إشکال فیما یجتمع منه فی القلب و الکبد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الدم من غیر ذی النفس، فما کان ممّا حرم أکله کالوزغ و الضفدع و القرد فلا إشکال فی حرمته، و أمّا ما کان ممّا حلّ أکله کالسمک الحلال ففیه خلاف، و الظاهر حلّیّته إذا أُکل مع السمک بأن أُکل السمک بدمه، و أمّا إذا أُکل منفرداً ففیه إشکال</w:t>
      </w:r>
      <w:r>
        <w:rPr>
          <w:rFonts w:eastAsia="IRNazanin" w:cs="IRNazanin"/>
          <w:color w:val="111111"/>
          <w:sz w:val="28"/>
          <w:szCs w:val="28"/>
          <w:rtl w:val="true"/>
          <w:lang w:bidi="fa-IR"/>
        </w:rPr>
        <w:t>.</w:t>
      </w:r>
    </w:p>
    <w:p>
      <w:pPr>
        <w:pStyle w:val="Heading4"/>
        <w:numPr>
          <w:ilvl w:val="3"/>
          <w:numId w:val="1"/>
        </w:numPr>
        <w:rPr/>
      </w:pPr>
      <w:bookmarkStart w:id="6392" w:name="__RefHeading___Toc2570768_3650668749"/>
      <w:bookmarkStart w:id="6393" w:name="_Toc2893"/>
      <w:bookmarkEnd w:id="6392"/>
      <w:r>
        <w:rPr>
          <w:rtl w:val="true"/>
        </w:rPr>
        <w:t>[ (</w:t>
      </w:r>
      <w:r>
        <w:rPr>
          <w:rtl w:val="true"/>
        </w:rPr>
        <w:t xml:space="preserve">مسألة </w:t>
      </w:r>
      <w:r>
        <w:rPr/>
        <w:t>35</w:t>
      </w:r>
      <w:r>
        <w:rPr>
          <w:rtl w:val="true"/>
        </w:rPr>
        <w:t xml:space="preserve">): </w:t>
      </w:r>
      <w:r>
        <w:rPr>
          <w:rtl w:val="true"/>
        </w:rPr>
        <w:t>قد مرّ فی کتاب الطهارة طهارة ما لا تحلّه الحیاة من المیتة</w:t>
      </w:r>
      <w:r>
        <w:rPr>
          <w:rtl w:val="true"/>
        </w:rPr>
        <w:t>]</w:t>
      </w:r>
      <w:bookmarkEnd w:id="6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کتاب الطهارة طهارة ما لا تحلّه الحیاة من المیتة، حتّی اللبن و البیضة إذا اکتست جلدها الأعلی الصلب، و الإنفحة و هی کما أنّها طاهرة، حلال أیضاً</w:t>
      </w:r>
      <w:r>
        <w:rPr>
          <w:rFonts w:eastAsia="IRNazanin" w:cs="IRNazanin"/>
          <w:color w:val="111111"/>
          <w:sz w:val="28"/>
          <w:szCs w:val="28"/>
          <w:rtl w:val="true"/>
          <w:lang w:bidi="fa-IR"/>
        </w:rPr>
        <w:t>.</w:t>
      </w:r>
    </w:p>
    <w:p>
      <w:pPr>
        <w:pStyle w:val="Heading4"/>
        <w:numPr>
          <w:ilvl w:val="3"/>
          <w:numId w:val="1"/>
        </w:numPr>
        <w:rPr/>
      </w:pPr>
      <w:bookmarkStart w:id="6394" w:name="__RefHeading___Toc2570770_3650668749"/>
      <w:bookmarkStart w:id="6395" w:name="_Toc2894"/>
      <w:bookmarkEnd w:id="6394"/>
      <w:r>
        <w:rPr>
          <w:rtl w:val="true"/>
        </w:rPr>
        <w:t>[ (</w:t>
      </w:r>
      <w:r>
        <w:rPr>
          <w:rtl w:val="true"/>
        </w:rPr>
        <w:t xml:space="preserve">مسألة </w:t>
      </w:r>
      <w:r>
        <w:rPr/>
        <w:t>36</w:t>
      </w:r>
      <w:r>
        <w:rPr>
          <w:rtl w:val="true"/>
        </w:rPr>
        <w:t xml:space="preserve">): </w:t>
      </w:r>
      <w:r>
        <w:rPr>
          <w:rtl w:val="true"/>
        </w:rPr>
        <w:t>لا إشکال فی حرمة القیح و الوسخ و البلغم و النخامة من کلّ حیوان</w:t>
      </w:r>
      <w:r>
        <w:rPr>
          <w:rtl w:val="true"/>
        </w:rPr>
        <w:t>]</w:t>
      </w:r>
      <w:bookmarkEnd w:id="6395"/>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حرمة القیح و الوسخ و البلغم و النخامة من کلّ حیوان، و أمّا البصاق و العرق من غیر نجس العین فالظاهر حلّیّتهما، خصوصاً الأوّل و خصوصاً إذا کان من الإنسان أو ممّا یؤکل لحمه من الحیوان</w:t>
      </w:r>
      <w:r>
        <w:rPr>
          <w:rFonts w:eastAsia="IRNazanin" w:cs="IRNazanin"/>
          <w:color w:val="111111"/>
          <w:sz w:val="28"/>
          <w:szCs w:val="28"/>
          <w:rtl w:val="true"/>
          <w:lang w:bidi="fa-IR"/>
        </w:rPr>
        <w:t>.</w:t>
      </w:r>
      <w:bookmarkStart w:id="6396" w:name="pg1809_19686"/>
    </w:p>
    <w:p>
      <w:pPr>
        <w:pStyle w:val="Heading3"/>
        <w:numPr>
          <w:ilvl w:val="2"/>
          <w:numId w:val="1"/>
        </w:numPr>
        <w:rPr/>
      </w:pPr>
      <w:bookmarkStart w:id="6397" w:name="__RefHeading___Toc2570772_3650668749"/>
      <w:bookmarkStart w:id="6398" w:name="_Toc2895"/>
      <w:bookmarkEnd w:id="6396"/>
      <w:bookmarkEnd w:id="6397"/>
      <w:r>
        <w:rPr>
          <w:rtl w:val="true"/>
        </w:rPr>
        <w:t>[</w:t>
      </w:r>
      <w:r>
        <w:rPr>
          <w:rtl w:val="true"/>
        </w:rPr>
        <w:t>القول فی غیر الحیوان</w:t>
      </w:r>
      <w:r>
        <w:rPr>
          <w:rtl w:val="true"/>
        </w:rPr>
        <w:t>]</w:t>
      </w:r>
      <w:bookmarkEnd w:id="6398"/>
    </w:p>
    <w:p>
      <w:pPr>
        <w:pStyle w:val="Heading4"/>
        <w:numPr>
          <w:ilvl w:val="3"/>
          <w:numId w:val="1"/>
        </w:numPr>
        <w:rPr/>
      </w:pPr>
      <w:bookmarkStart w:id="6399" w:name="__RefHeading___Toc2570774_3650668749"/>
      <w:bookmarkStart w:id="6400" w:name="_Toc2896"/>
      <w:bookmarkEnd w:id="6399"/>
      <w:r>
        <w:rPr>
          <w:rtl w:val="true"/>
        </w:rPr>
        <w:t>اشارة</w:t>
      </w:r>
      <w:bookmarkEnd w:id="6400"/>
    </w:p>
    <w:p>
      <w:pPr>
        <w:pStyle w:val="BookText"/>
        <w:rPr/>
      </w:pPr>
      <w:r>
        <w:rPr>
          <w:rFonts w:ascii="IRNazanin" w:hAnsi="IRNazanin" w:eastAsia="IRNazanin"/>
          <w:color w:val="111111"/>
          <w:sz w:val="28"/>
          <w:sz w:val="28"/>
          <w:szCs w:val="28"/>
          <w:rtl w:val="true"/>
          <w:lang w:bidi="fa-IR"/>
        </w:rPr>
        <w:t>القول فی غیر الحیوان</w:t>
      </w:r>
    </w:p>
    <w:p>
      <w:pPr>
        <w:pStyle w:val="Heading4"/>
        <w:numPr>
          <w:ilvl w:val="3"/>
          <w:numId w:val="1"/>
        </w:numPr>
        <w:rPr/>
      </w:pPr>
      <w:bookmarkStart w:id="6401" w:name="__RefHeading___Toc2570776_3650668749"/>
      <w:bookmarkStart w:id="6402" w:name="_Toc2897"/>
      <w:bookmarkEnd w:id="6401"/>
      <w:r>
        <w:rPr>
          <w:rtl w:val="true"/>
        </w:rPr>
        <w:t>[ (</w:t>
      </w:r>
      <w:r>
        <w:rPr>
          <w:rtl w:val="true"/>
        </w:rPr>
        <w:t xml:space="preserve">مسألة </w:t>
      </w:r>
      <w:r>
        <w:rPr/>
        <w:t>1</w:t>
      </w:r>
      <w:r>
        <w:rPr>
          <w:rtl w:val="true"/>
        </w:rPr>
        <w:t xml:space="preserve">): </w:t>
      </w:r>
      <w:r>
        <w:rPr>
          <w:rtl w:val="true"/>
        </w:rPr>
        <w:t>یحرم تناول الأعیان النجسة و کذا المتنجّسة ما دامت باقیة علی النجاسة</w:t>
      </w:r>
      <w:r>
        <w:rPr>
          <w:rtl w:val="true"/>
        </w:rPr>
        <w:t>]</w:t>
      </w:r>
      <w:bookmarkEnd w:id="6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تناول الأعیان النجسة و کذا المتنجّسة ما دامت باقیة علی النجاسة؛ مائعة کانت أو جامدة</w:t>
      </w:r>
      <w:r>
        <w:rPr>
          <w:rFonts w:eastAsia="IRNazanin" w:cs="IRNazanin"/>
          <w:color w:val="111111"/>
          <w:sz w:val="28"/>
          <w:szCs w:val="28"/>
          <w:rtl w:val="true"/>
          <w:lang w:bidi="fa-IR"/>
        </w:rPr>
        <w:t>.</w:t>
      </w:r>
    </w:p>
    <w:p>
      <w:pPr>
        <w:pStyle w:val="Heading4"/>
        <w:numPr>
          <w:ilvl w:val="3"/>
          <w:numId w:val="1"/>
        </w:numPr>
        <w:rPr/>
      </w:pPr>
      <w:bookmarkStart w:id="6403" w:name="__RefHeading___Toc2570778_3650668749"/>
      <w:bookmarkStart w:id="6404" w:name="_Toc2898"/>
      <w:bookmarkEnd w:id="6403"/>
      <w:r>
        <w:rPr>
          <w:rtl w:val="true"/>
        </w:rPr>
        <w:t>[ (</w:t>
      </w:r>
      <w:r>
        <w:rPr>
          <w:rtl w:val="true"/>
        </w:rPr>
        <w:t xml:space="preserve">مسألة </w:t>
      </w:r>
      <w:r>
        <w:rPr/>
        <w:t>2</w:t>
      </w:r>
      <w:r>
        <w:rPr>
          <w:rtl w:val="true"/>
        </w:rPr>
        <w:t xml:space="preserve">): </w:t>
      </w:r>
      <w:r>
        <w:rPr>
          <w:rtl w:val="true"/>
        </w:rPr>
        <w:t>یحرم تناول کلّ ما یضرّ بالبدن</w:t>
      </w:r>
      <w:r>
        <w:rPr>
          <w:rtl w:val="true"/>
        </w:rPr>
        <w:t>]</w:t>
      </w:r>
      <w:bookmarkEnd w:id="6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تناول کلّ ما یضرّ بالبدن؛ سواء کان موجباً للهلاک کشرب السموم القاتلة و شرب الحامل ما یوجب سقوط الجنین أو سبباً لانحراف المزاج أو لتعطیل بعض الحواسّ؛ ظاهرة أو باطنة أو لفقد بعض القوی، کالرجل یشرب ما یقطع به قوّة الباه و التناسل، أو المرأة تشرب ما به تصیر عقیماً لا تلد</w:t>
      </w:r>
      <w:r>
        <w:rPr>
          <w:rFonts w:eastAsia="IRNazanin" w:cs="IRNazanin"/>
          <w:color w:val="111111"/>
          <w:sz w:val="28"/>
          <w:szCs w:val="28"/>
          <w:rtl w:val="true"/>
          <w:lang w:bidi="fa-IR"/>
        </w:rPr>
        <w:t>.</w:t>
      </w:r>
    </w:p>
    <w:p>
      <w:pPr>
        <w:pStyle w:val="Heading4"/>
        <w:numPr>
          <w:ilvl w:val="3"/>
          <w:numId w:val="1"/>
        </w:numPr>
        <w:rPr/>
      </w:pPr>
      <w:bookmarkStart w:id="6405" w:name="__RefHeading___Toc2570780_3650668749"/>
      <w:bookmarkStart w:id="6406" w:name="_Toc2899"/>
      <w:bookmarkEnd w:id="6405"/>
      <w:r>
        <w:rPr>
          <w:rtl w:val="true"/>
        </w:rPr>
        <w:t>[ (</w:t>
      </w:r>
      <w:r>
        <w:rPr>
          <w:rtl w:val="true"/>
        </w:rPr>
        <w:t xml:space="preserve">مسألة </w:t>
      </w:r>
      <w:r>
        <w:rPr/>
        <w:t>3</w:t>
      </w:r>
      <w:r>
        <w:rPr>
          <w:rtl w:val="true"/>
        </w:rPr>
        <w:t xml:space="preserve">): </w:t>
      </w:r>
      <w:r>
        <w:rPr>
          <w:rtl w:val="true"/>
        </w:rPr>
        <w:t>لا فرق فی حرمة تناول المضرّ بین المعلوم الضرر و مظنونه</w:t>
      </w:r>
      <w:r>
        <w:rPr>
          <w:rtl w:val="true"/>
        </w:rPr>
        <w:t>]</w:t>
      </w:r>
      <w:bookmarkEnd w:id="6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w:t>
      </w:r>
      <w:r>
        <w:rPr>
          <w:rStyle w:val="FootnoteAnchor"/>
          <w:rtl w:val="true"/>
        </w:rPr>
        <w:footnoteReference w:id="1680"/>
      </w:r>
      <w:r>
        <w:rPr>
          <w:rFonts w:ascii="IRNazanin" w:hAnsi="IRNazanin" w:eastAsia="IRNazanin"/>
          <w:color w:val="111111"/>
          <w:sz w:val="28"/>
          <w:sz w:val="28"/>
          <w:szCs w:val="28"/>
          <w:rtl w:val="true"/>
          <w:lang w:bidi="fa-IR"/>
        </w:rPr>
        <w:t>فی حرمة تناول المضرّ بین المعلوم الضرر و مظنونه، بل و محتمله أیضاً إذا کان احتماله معتدّاً به عند العقلاء بحیث أوجب الخوف عندهم، و کذا لا فرق بین أن یکون الضرر المترتّب علیه عاجلًا أو بعد مدّة</w:t>
      </w:r>
      <w:r>
        <w:rPr>
          <w:rFonts w:eastAsia="IRNazanin" w:cs="IRNazanin"/>
          <w:color w:val="111111"/>
          <w:sz w:val="28"/>
          <w:szCs w:val="28"/>
          <w:rtl w:val="true"/>
          <w:lang w:bidi="fa-IR"/>
        </w:rPr>
        <w:t>.</w:t>
      </w:r>
    </w:p>
    <w:p>
      <w:pPr>
        <w:pStyle w:val="Heading4"/>
        <w:numPr>
          <w:ilvl w:val="3"/>
          <w:numId w:val="1"/>
        </w:numPr>
        <w:rPr/>
      </w:pPr>
      <w:bookmarkStart w:id="6407" w:name="__RefHeading___Toc2570782_3650668749"/>
      <w:bookmarkStart w:id="6408" w:name="_Toc2900"/>
      <w:bookmarkEnd w:id="6407"/>
      <w:r>
        <w:rPr>
          <w:rtl w:val="true"/>
        </w:rPr>
        <w:t>[ (</w:t>
      </w:r>
      <w:r>
        <w:rPr>
          <w:rtl w:val="true"/>
        </w:rPr>
        <w:t xml:space="preserve">مسألة </w:t>
      </w:r>
      <w:r>
        <w:rPr/>
        <w:t>4</w:t>
      </w:r>
      <w:r>
        <w:rPr>
          <w:rtl w:val="true"/>
        </w:rPr>
        <w:t xml:space="preserve">): </w:t>
      </w:r>
      <w:r>
        <w:rPr>
          <w:rtl w:val="true"/>
        </w:rPr>
        <w:t>یجوز التداوی و المعالجة بما یحتمل فیه الخطر</w:t>
      </w:r>
      <w:r>
        <w:rPr>
          <w:rtl w:val="true"/>
        </w:rPr>
        <w:t>]</w:t>
      </w:r>
      <w:bookmarkEnd w:id="6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التداوی و المعالجة بما یحتمل فیه الخطر و یؤدّی إلیه أحیاناً؛ إذا کان النفع المترتّب علیه حسب ما ساعدت علیه التجربة و حکم به الحذّاق و أهل الخبرة غالبیّاً، بل یجوز المعالجة بالمضرّ العاجل الفعلی المقطوع به إذا یدفع به ما هو أعظم ضرراً و أشدّ خطراً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بعض الأعضاء دفعاً للسرایة المؤدّیة إلی الهلاک، و بطّ الجرح و الکیّ بالنار، و بعض العملیات المعمولة فی هذه الأعصار؛ بشرط أن یکون الإقدام علیٰ ذلک جاریاً مجری العقلاء بأن یکون المباشر للعمل حاذقاً محتاطاً مبالیاً غیر مسامح و لا متهوّر، لا إذا کان علیٰ خلاف ذلک کبعض المتطبّبین</w:t>
      </w:r>
      <w:r>
        <w:rPr>
          <w:rFonts w:eastAsia="IRNazanin" w:cs="IRNazanin"/>
          <w:color w:val="111111"/>
          <w:sz w:val="28"/>
          <w:szCs w:val="28"/>
          <w:rtl w:val="true"/>
          <w:lang w:bidi="fa-IR"/>
        </w:rPr>
        <w:t>.</w:t>
      </w:r>
    </w:p>
    <w:p>
      <w:pPr>
        <w:pStyle w:val="Heading4"/>
        <w:numPr>
          <w:ilvl w:val="3"/>
          <w:numId w:val="1"/>
        </w:numPr>
        <w:rPr/>
      </w:pPr>
      <w:bookmarkStart w:id="6409" w:name="__RefHeading___Toc2570784_3650668749"/>
      <w:bookmarkStart w:id="6410" w:name="_Toc2901"/>
      <w:bookmarkEnd w:id="6409"/>
      <w:r>
        <w:rPr>
          <w:rtl w:val="true"/>
        </w:rPr>
        <w:t>[ (</w:t>
      </w:r>
      <w:r>
        <w:rPr>
          <w:rtl w:val="true"/>
        </w:rPr>
        <w:t xml:space="preserve">مسألة </w:t>
      </w:r>
      <w:r>
        <w:rPr/>
        <w:t>5</w:t>
      </w:r>
      <w:r>
        <w:rPr>
          <w:rtl w:val="true"/>
        </w:rPr>
        <w:t xml:space="preserve">): </w:t>
      </w:r>
      <w:r>
        <w:rPr>
          <w:rtl w:val="true"/>
        </w:rPr>
        <w:t>ما کان یضرّ کثیره دون قلیله، یحرم کثیره المضرّ دون قلیله الغیر المضرّ</w:t>
      </w:r>
      <w:r>
        <w:rPr>
          <w:rtl w:val="true"/>
        </w:rPr>
        <w:t>]</w:t>
      </w:r>
      <w:bookmarkEnd w:id="6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یضرّ کثیره دون قلیله، یحرم کثیره المضرّ دون قلیله الغیر المضرّ، و لو فرض العکس کان بالعکس، و کذا ما یضرّ منفرداً لا منضمّاً مع غیره، یحرم منفرداً لا منضمّاً، و ما کان بالعکس کان بالعکس</w:t>
      </w:r>
      <w:r>
        <w:rPr>
          <w:rFonts w:eastAsia="IRNazanin" w:cs="IRNazanin"/>
          <w:color w:val="111111"/>
          <w:sz w:val="28"/>
          <w:szCs w:val="28"/>
          <w:rtl w:val="true"/>
          <w:lang w:bidi="fa-IR"/>
        </w:rPr>
        <w:t>.</w:t>
      </w:r>
    </w:p>
    <w:p>
      <w:pPr>
        <w:pStyle w:val="Heading4"/>
        <w:numPr>
          <w:ilvl w:val="3"/>
          <w:numId w:val="1"/>
        </w:numPr>
        <w:rPr/>
      </w:pPr>
      <w:bookmarkStart w:id="6411" w:name="__RefHeading___Toc2570786_3650668749"/>
      <w:bookmarkStart w:id="6412" w:name="_Toc2902"/>
      <w:bookmarkEnd w:id="6411"/>
      <w:r>
        <w:rPr>
          <w:rtl w:val="true"/>
        </w:rPr>
        <w:t>[ (</w:t>
      </w:r>
      <w:r>
        <w:rPr>
          <w:rtl w:val="true"/>
        </w:rPr>
        <w:t xml:space="preserve">مسألة </w:t>
      </w:r>
      <w:r>
        <w:rPr/>
        <w:t>6</w:t>
      </w:r>
      <w:r>
        <w:rPr>
          <w:rtl w:val="true"/>
        </w:rPr>
        <w:t xml:space="preserve">): </w:t>
      </w:r>
      <w:r>
        <w:rPr>
          <w:rtl w:val="true"/>
        </w:rPr>
        <w:t>إذا کان لا یضرّ تناوله مرّة أو مرّتین مثلًا و لکن یضرّ إدمانه و زیادة تکریره و التعوّد به</w:t>
      </w:r>
      <w:r>
        <w:rPr>
          <w:rtl w:val="true"/>
        </w:rPr>
        <w:t>]</w:t>
      </w:r>
      <w:bookmarkEnd w:id="6412"/>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لا یضرّ تناوله مرّة أو مرّتین مثلًا و لکن یضرّ إدمانه و زیادة تکریره و التعوّد به یحرم تکریره المضرّ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شرب الأفیون بابتلاعه أو</w:t>
      </w:r>
      <w:bookmarkStart w:id="6413" w:name="pg1809_19688"/>
    </w:p>
    <w:p>
      <w:pPr>
        <w:pStyle w:val="BookText"/>
        <w:rPr/>
      </w:pPr>
      <w:bookmarkEnd w:id="6413"/>
      <w:r>
        <w:rPr>
          <w:rFonts w:ascii="IRNazanin" w:hAnsi="IRNazanin" w:eastAsia="IRNazanin"/>
          <w:color w:val="111111"/>
          <w:sz w:val="28"/>
          <w:sz w:val="28"/>
          <w:szCs w:val="28"/>
          <w:rtl w:val="true"/>
          <w:lang w:bidi="fa-IR"/>
        </w:rPr>
        <w:t>شرب دخانه فإنّه لا یضرّ مرّة أو مرّتین، لکن تکراره و المداومة علیه و التعوّد به کما هو المتداول فی بعض البلاد، خصوصاً ببعض کیفیّاته المعروفة عند أهله مضرّ غایته و فیه فساد، و أیّ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بلاء و أیّ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داء عظیم و بلاء جسیم و خطر خطیر و فساد کبیر أعاذ اللّٰه المسلمین منه فمن رام شربه لغرض من الأغراض فلیلتفت إلیٰ أن لا یکثّره و لا یکرّره إلیٰ حدّ یتعوّد و یبتلی به، و من تعوّد به یجب علیه الاجتهاد فی ترکه </w:t>
      </w:r>
      <w:r>
        <w:rPr>
          <w:rStyle w:val="FootnoteAnchor"/>
          <w:rtl w:val="true"/>
        </w:rPr>
        <w:footnoteReference w:id="1681"/>
      </w:r>
      <w:r>
        <w:rPr>
          <w:rFonts w:ascii="IRNazanin" w:hAnsi="IRNazanin" w:eastAsia="IRNazanin"/>
          <w:color w:val="111111"/>
          <w:sz w:val="28"/>
          <w:sz w:val="28"/>
          <w:szCs w:val="28"/>
          <w:rtl w:val="true"/>
          <w:lang w:bidi="fa-IR"/>
        </w:rPr>
        <w:t>و کفّ النفس و العلاج بما یزیل عنه هذا الاعتیاد</w:t>
      </w:r>
      <w:r>
        <w:rPr>
          <w:rFonts w:eastAsia="IRNazanin" w:cs="IRNazanin"/>
          <w:color w:val="111111"/>
          <w:sz w:val="28"/>
          <w:szCs w:val="28"/>
          <w:rtl w:val="true"/>
          <w:lang w:bidi="fa-IR"/>
        </w:rPr>
        <w:t>.</w:t>
      </w:r>
    </w:p>
    <w:p>
      <w:pPr>
        <w:pStyle w:val="Heading4"/>
        <w:numPr>
          <w:ilvl w:val="3"/>
          <w:numId w:val="1"/>
        </w:numPr>
        <w:rPr/>
      </w:pPr>
      <w:bookmarkStart w:id="6414" w:name="__RefHeading___Toc2570788_3650668749"/>
      <w:bookmarkStart w:id="6415" w:name="_Toc2903"/>
      <w:bookmarkEnd w:id="6414"/>
      <w:r>
        <w:rPr>
          <w:rtl w:val="true"/>
        </w:rPr>
        <w:t>[ (</w:t>
      </w:r>
      <w:r>
        <w:rPr>
          <w:rtl w:val="true"/>
        </w:rPr>
        <w:t xml:space="preserve">مسألة </w:t>
      </w:r>
      <w:r>
        <w:rPr/>
        <w:t>7</w:t>
      </w:r>
      <w:r>
        <w:rPr>
          <w:rtl w:val="true"/>
        </w:rPr>
        <w:t xml:space="preserve">): </w:t>
      </w:r>
      <w:r>
        <w:rPr>
          <w:rtl w:val="true"/>
        </w:rPr>
        <w:t>یحرم أکل الطین</w:t>
      </w:r>
      <w:r>
        <w:rPr>
          <w:rtl w:val="true"/>
        </w:rPr>
        <w:t>]</w:t>
      </w:r>
      <w:bookmarkEnd w:id="6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أکل الطین و هو التراب المختلط بالماء حال بلّته و کذا المدر و هو الطین الیابس و یلحق بهما التراب أیضاً علی الأحوط </w:t>
      </w:r>
      <w:r>
        <w:rPr>
          <w:rStyle w:val="FootnoteAnchor"/>
          <w:rtl w:val="true"/>
        </w:rPr>
        <w:footnoteReference w:id="1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بما یختلط به الحنطة أو الشعیر مثلًا من التراب و المدر </w:t>
      </w:r>
      <w:r>
        <w:rPr>
          <w:rStyle w:val="FootnoteAnchor"/>
          <w:rtl w:val="true"/>
        </w:rPr>
        <w:footnoteReference w:id="1683"/>
      </w:r>
      <w:r>
        <w:rPr>
          <w:rFonts w:ascii="IRNazanin" w:hAnsi="IRNazanin" w:eastAsia="IRNazanin"/>
          <w:color w:val="111111"/>
          <w:sz w:val="28"/>
          <w:sz w:val="28"/>
          <w:szCs w:val="28"/>
          <w:rtl w:val="true"/>
          <w:lang w:bidi="fa-IR"/>
        </w:rPr>
        <w:t>، و کذا ما یکون علیٰ وجه الفواکه و نحوها من التراب و الغبار، و کذا الطین الممتزج بالماء المتوحّل الباقی علی إطلاقه؛ و ذلک لاستهلاک الخلیط فی المخلوط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أحسّ ذائقتة الأجزاء الطینیة حین الشرب فلا یترک </w:t>
      </w:r>
      <w:r>
        <w:rPr>
          <w:rStyle w:val="FootnoteAnchor"/>
          <w:rtl w:val="true"/>
        </w:rPr>
        <w:footnoteReference w:id="1684"/>
      </w:r>
      <w:r>
        <w:rPr>
          <w:rFonts w:ascii="IRNazanin" w:hAnsi="IRNazanin" w:eastAsia="IRNazanin"/>
          <w:color w:val="111111"/>
          <w:sz w:val="28"/>
          <w:sz w:val="28"/>
          <w:szCs w:val="28"/>
          <w:rtl w:val="true"/>
          <w:lang w:bidi="fa-IR"/>
        </w:rPr>
        <w:t>الاحتیاط بترک شربه أو ترکه إلّا أن یصفو و ترسب تلک الأجزاء</w:t>
      </w:r>
      <w:r>
        <w:rPr>
          <w:rFonts w:eastAsia="IRNazanin" w:cs="IRNazanin"/>
          <w:color w:val="111111"/>
          <w:sz w:val="28"/>
          <w:szCs w:val="28"/>
          <w:rtl w:val="true"/>
          <w:lang w:bidi="fa-IR"/>
        </w:rPr>
        <w:t>.</w:t>
      </w:r>
    </w:p>
    <w:p>
      <w:pPr>
        <w:pStyle w:val="Heading4"/>
        <w:numPr>
          <w:ilvl w:val="3"/>
          <w:numId w:val="1"/>
        </w:numPr>
        <w:rPr/>
      </w:pPr>
      <w:bookmarkStart w:id="6416" w:name="__RefHeading___Toc2570790_3650668749"/>
      <w:bookmarkStart w:id="6417" w:name="_Toc2904"/>
      <w:bookmarkEnd w:id="6416"/>
      <w:r>
        <w:rPr>
          <w:rtl w:val="true"/>
        </w:rPr>
        <w:t>[ (</w:t>
      </w:r>
      <w:r>
        <w:rPr>
          <w:rtl w:val="true"/>
        </w:rPr>
        <w:t xml:space="preserve">مسألة </w:t>
      </w:r>
      <w:r>
        <w:rPr/>
        <w:t>8</w:t>
      </w:r>
      <w:r>
        <w:rPr>
          <w:rtl w:val="true"/>
        </w:rPr>
        <w:t xml:space="preserve">): </w:t>
      </w:r>
      <w:r>
        <w:rPr>
          <w:rtl w:val="true"/>
        </w:rPr>
        <w:t>الظاهر أنّه لا یلحق بالطین الرمل و الأحجار و أنواع المعادن</w:t>
      </w:r>
      <w:r>
        <w:rPr>
          <w:rtl w:val="true"/>
        </w:rPr>
        <w:t>]</w:t>
      </w:r>
      <w:bookmarkEnd w:id="6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یلحق بالطین الرمل و الأحجار و أنواع المعادن فهی حلال کلّها مع عدم الضرر</w:t>
      </w:r>
      <w:r>
        <w:rPr>
          <w:rFonts w:eastAsia="IRNazanin" w:cs="IRNazanin"/>
          <w:color w:val="111111"/>
          <w:sz w:val="28"/>
          <w:szCs w:val="28"/>
          <w:rtl w:val="true"/>
          <w:lang w:bidi="fa-IR"/>
        </w:rPr>
        <w:t>.</w:t>
      </w:r>
    </w:p>
    <w:p>
      <w:pPr>
        <w:pStyle w:val="Heading4"/>
        <w:numPr>
          <w:ilvl w:val="3"/>
          <w:numId w:val="1"/>
        </w:numPr>
        <w:rPr/>
      </w:pPr>
      <w:bookmarkStart w:id="6418" w:name="__RefHeading___Toc2570792_3650668749"/>
      <w:bookmarkStart w:id="6419" w:name="_Toc2905"/>
      <w:bookmarkEnd w:id="6418"/>
      <w:r>
        <w:rPr>
          <w:rtl w:val="true"/>
        </w:rPr>
        <w:t>[ (</w:t>
      </w:r>
      <w:r>
        <w:rPr>
          <w:rtl w:val="true"/>
        </w:rPr>
        <w:t xml:space="preserve">مسألة </w:t>
      </w:r>
      <w:r>
        <w:rPr/>
        <w:t>9</w:t>
      </w:r>
      <w:r>
        <w:rPr>
          <w:rtl w:val="true"/>
        </w:rPr>
        <w:t xml:space="preserve">): </w:t>
      </w:r>
      <w:r>
        <w:rPr>
          <w:rtl w:val="true"/>
        </w:rPr>
        <w:t xml:space="preserve">یستثنیٰ من الطین طین قبر الحسین </w:t>
      </w:r>
      <w:r>
        <w:rPr>
          <w:rtl w:val="true"/>
        </w:rPr>
        <w:t>(</w:t>
      </w:r>
      <w:r>
        <w:rPr>
          <w:rtl w:val="true"/>
        </w:rPr>
        <w:t>علیه السّلام</w:t>
      </w:r>
      <w:r>
        <w:rPr>
          <w:rtl w:val="true"/>
        </w:rPr>
        <w:t xml:space="preserve">) </w:t>
      </w:r>
      <w:r>
        <w:rPr>
          <w:rtl w:val="true"/>
        </w:rPr>
        <w:t>للاستشفاء</w:t>
      </w:r>
      <w:r>
        <w:rPr>
          <w:rtl w:val="true"/>
        </w:rPr>
        <w:t>]</w:t>
      </w:r>
      <w:bookmarkEnd w:id="6419"/>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یستثنیٰ من الطین طین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للاستشفاء، فإنّ فی تربته </w:t>
      </w:r>
      <w:r>
        <w:rPr>
          <w:rStyle w:val="FootnoteAnchor"/>
          <w:rtl w:val="true"/>
        </w:rPr>
        <w:footnoteReference w:id="1685"/>
      </w:r>
      <w:r>
        <w:rPr>
          <w:rFonts w:ascii="IRNazanin" w:hAnsi="IRNazanin" w:eastAsia="IRNazanin"/>
          <w:color w:val="111111"/>
          <w:sz w:val="28"/>
          <w:sz w:val="28"/>
          <w:szCs w:val="28"/>
          <w:rtl w:val="true"/>
          <w:lang w:bidi="fa-IR"/>
        </w:rPr>
        <w:t>المقدّسة الشفاء من کلّ داء، و إنّها من الأدویة المفردة، و إنّها لا تمرّ بداء إلّا هضمته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أکلها لغیر الاستشفاء، و لا أکل ما زاد عن قدر الحمّصة 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یلحق به طین</w:t>
      </w:r>
      <w:bookmarkStart w:id="6420" w:name="pg1809_19690"/>
    </w:p>
    <w:p>
      <w:pPr>
        <w:pStyle w:val="BookText"/>
        <w:rPr/>
      </w:pPr>
      <w:bookmarkEnd w:id="6420"/>
      <w:r>
        <w:rPr>
          <w:rFonts w:ascii="IRNazanin" w:hAnsi="IRNazanin" w:eastAsia="IRNazanin"/>
          <w:color w:val="111111"/>
          <w:sz w:val="28"/>
          <w:sz w:val="28"/>
          <w:szCs w:val="28"/>
          <w:rtl w:val="true"/>
          <w:lang w:bidi="fa-IR"/>
        </w:rPr>
        <w:t xml:space="preserve">غیر قبره حتّی قبر النبیّ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الأحوط </w:t>
      </w:r>
      <w:r>
        <w:rPr>
          <w:rStyle w:val="FootnoteAnchor"/>
          <w:rtl w:val="true"/>
        </w:rPr>
        <w:footnoteReference w:id="1686"/>
      </w:r>
      <w:r>
        <w:rPr>
          <w:rFonts w:ascii="IRNazanin" w:hAnsi="IRNazanin" w:eastAsia="IRNazanin"/>
          <w:color w:val="111111"/>
          <w:sz w:val="28"/>
          <w:sz w:val="28"/>
          <w:szCs w:val="28"/>
          <w:rtl w:val="true"/>
          <w:lang w:bidi="fa-IR"/>
        </w:rPr>
        <w:t>لو لم یکن الأقوی، نعم لا بأس بأن یمزج بماء أو شربة و التبرّک و الاستشفاء بذلک الماء و تلک الشربة</w:t>
      </w:r>
      <w:r>
        <w:rPr>
          <w:rFonts w:eastAsia="IRNazanin" w:cs="IRNazanin"/>
          <w:color w:val="111111"/>
          <w:sz w:val="28"/>
          <w:szCs w:val="28"/>
          <w:rtl w:val="true"/>
          <w:lang w:bidi="fa-IR"/>
        </w:rPr>
        <w:t>.</w:t>
      </w:r>
    </w:p>
    <w:p>
      <w:pPr>
        <w:pStyle w:val="Heading4"/>
        <w:numPr>
          <w:ilvl w:val="3"/>
          <w:numId w:val="1"/>
        </w:numPr>
        <w:rPr/>
      </w:pPr>
      <w:bookmarkStart w:id="6421" w:name="__RefHeading___Toc2570794_3650668749"/>
      <w:bookmarkStart w:id="6422" w:name="_Toc2906"/>
      <w:bookmarkEnd w:id="6421"/>
      <w:r>
        <w:rPr>
          <w:rtl w:val="true"/>
        </w:rPr>
        <w:t>[ (</w:t>
      </w:r>
      <w:r>
        <w:rPr>
          <w:rtl w:val="true"/>
        </w:rPr>
        <w:t xml:space="preserve">مسألة </w:t>
      </w:r>
      <w:r>
        <w:rPr/>
        <w:t>10</w:t>
      </w:r>
      <w:r>
        <w:rPr>
          <w:rtl w:val="true"/>
        </w:rPr>
        <w:t xml:space="preserve">): </w:t>
      </w:r>
      <w:r>
        <w:rPr>
          <w:rtl w:val="true"/>
        </w:rPr>
        <w:t>لأخذ التربة المقدّسة و تناولها عند الحاجة آداب و أدعیة مذکورة فی محالّها</w:t>
      </w:r>
      <w:r>
        <w:rPr>
          <w:rtl w:val="true"/>
        </w:rPr>
        <w:t>]</w:t>
      </w:r>
      <w:bookmarkEnd w:id="6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 التربة المقدّسة و تناولها عند الحاجة آداب و أدعیة مذکورة فی محالّها، خصوصاً فی کتب المزار و لا سیّما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الظاهر أنّها کلّها شروط کمال لسرعة تأثیرها لا أنّها شرط لجواز تناولها</w:t>
      </w:r>
      <w:r>
        <w:rPr>
          <w:rFonts w:eastAsia="IRNazanin" w:cs="IRNazanin"/>
          <w:color w:val="111111"/>
          <w:sz w:val="28"/>
          <w:szCs w:val="28"/>
          <w:rtl w:val="true"/>
          <w:lang w:bidi="fa-IR"/>
        </w:rPr>
        <w:t>.</w:t>
      </w:r>
    </w:p>
    <w:p>
      <w:pPr>
        <w:pStyle w:val="Heading4"/>
        <w:numPr>
          <w:ilvl w:val="3"/>
          <w:numId w:val="1"/>
        </w:numPr>
        <w:rPr/>
      </w:pPr>
      <w:bookmarkStart w:id="6423" w:name="__RefHeading___Toc2570796_3650668749"/>
      <w:bookmarkStart w:id="6424" w:name="_Toc2907"/>
      <w:bookmarkEnd w:id="6423"/>
      <w:r>
        <w:rPr>
          <w:rtl w:val="true"/>
        </w:rPr>
        <w:t>[ (</w:t>
      </w:r>
      <w:r>
        <w:rPr>
          <w:rtl w:val="true"/>
        </w:rPr>
        <w:t xml:space="preserve">مسألة </w:t>
      </w:r>
      <w:r>
        <w:rPr/>
        <w:t>11</w:t>
      </w:r>
      <w:r>
        <w:rPr>
          <w:rtl w:val="true"/>
        </w:rPr>
        <w:t xml:space="preserve">): </w:t>
      </w:r>
      <w:r>
        <w:rPr>
          <w:rtl w:val="true"/>
        </w:rPr>
        <w:t>القدر المتیقّن من محلّ أخذ التربة هو القبر الشریف و ما یقرب منه علیٰ وجه یلحق به عرفاً</w:t>
      </w:r>
      <w:r>
        <w:rPr>
          <w:rtl w:val="true"/>
        </w:rPr>
        <w:t>]</w:t>
      </w:r>
      <w:bookmarkEnd w:id="6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المتیقّن من محلّ أخذ التربة هو القبر الشریف و ما یقرب منه علیٰ وجه یلحق به عرفاً، و لعلّه کذلک الحائر </w:t>
      </w:r>
      <w:r>
        <w:rPr>
          <w:rStyle w:val="FootnoteAnchor"/>
          <w:rtl w:val="true"/>
        </w:rPr>
        <w:footnoteReference w:id="1687"/>
      </w:r>
      <w:r>
        <w:rPr>
          <w:rFonts w:ascii="IRNazanin" w:hAnsi="IRNazanin" w:eastAsia="IRNazanin"/>
          <w:color w:val="111111"/>
          <w:sz w:val="28"/>
          <w:sz w:val="28"/>
          <w:szCs w:val="28"/>
          <w:rtl w:val="true"/>
          <w:lang w:bidi="fa-IR"/>
        </w:rPr>
        <w:t>المقدّس بأجمعه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بعض الأخبار یؤخذ طین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القبر علیٰ سبعین ذراعاً، و فی بعضها طین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شفاء و إن أُخذ علیٰ رأس میل، بل و فی بعضها أنّه یستشفیٰ ممّا بینه و بین القبر علیٰ رأس أربعة أمیال، بل و فی بعضها علیٰ عشرة أمیال، و فی بعضها فرسخ فی فرسخ، بل و روی إلیٰ أربعة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الاختلاف من جهة تفاوت مراتبها فی الفضل فکلّ ما قرب إلی القبر الشریف کان أفضل، و الأحوط الاقتصار علیٰ ما حول القبر إلیٰ سبعین </w:t>
      </w:r>
      <w:r>
        <w:rPr>
          <w:rStyle w:val="FootnoteAnchor"/>
          <w:rtl w:val="true"/>
        </w:rPr>
        <w:footnoteReference w:id="1688"/>
      </w:r>
      <w:r>
        <w:rPr>
          <w:rFonts w:ascii="IRNazanin" w:hAnsi="IRNazanin" w:eastAsia="IRNazanin"/>
          <w:color w:val="111111"/>
          <w:sz w:val="28"/>
          <w:sz w:val="28"/>
          <w:szCs w:val="28"/>
          <w:rtl w:val="true"/>
          <w:lang w:bidi="fa-IR"/>
        </w:rPr>
        <w:t>ذراعاً، و فیما زاد علیٰ ذلک أن تستعمل ممزوجاً بماء، أو شربة علیٰ نحو لا یصدق علیه الطین و یستشفی به رجاءً</w:t>
      </w:r>
      <w:r>
        <w:rPr>
          <w:rFonts w:eastAsia="IRNazanin" w:cs="IRNazanin"/>
          <w:color w:val="111111"/>
          <w:sz w:val="28"/>
          <w:szCs w:val="28"/>
          <w:rtl w:val="true"/>
          <w:lang w:bidi="fa-IR"/>
        </w:rPr>
        <w:t>.</w:t>
      </w:r>
    </w:p>
    <w:p>
      <w:pPr>
        <w:pStyle w:val="Heading4"/>
        <w:numPr>
          <w:ilvl w:val="3"/>
          <w:numId w:val="1"/>
        </w:numPr>
        <w:rPr/>
      </w:pPr>
      <w:bookmarkStart w:id="6425" w:name="__RefHeading___Toc2570798_3650668749"/>
      <w:bookmarkStart w:id="6426" w:name="_Toc2908"/>
      <w:bookmarkEnd w:id="6425"/>
      <w:r>
        <w:rPr>
          <w:rtl w:val="true"/>
        </w:rPr>
        <w:t>[ (</w:t>
      </w:r>
      <w:r>
        <w:rPr>
          <w:rtl w:val="true"/>
        </w:rPr>
        <w:t xml:space="preserve">مسألة </w:t>
      </w:r>
      <w:r>
        <w:rPr/>
        <w:t>12</w:t>
      </w:r>
      <w:r>
        <w:rPr>
          <w:rtl w:val="true"/>
        </w:rPr>
        <w:t xml:space="preserve">): </w:t>
      </w:r>
      <w:r>
        <w:rPr>
          <w:rtl w:val="true"/>
        </w:rPr>
        <w:t>تناول التربة المقدّسة للاستشفاء</w:t>
      </w:r>
      <w:r>
        <w:rPr>
          <w:rtl w:val="true"/>
        </w:rPr>
        <w:t>]</w:t>
      </w:r>
      <w:bookmarkEnd w:id="6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التربة المقدّسة للاستشفاء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بازدرادها و ابتلاعها، و إمّا بحلّها فی الماء و شربه، أو بأن یمزجها بشربة و یشربها بقصد التبرّک و الشفاء</w:t>
      </w:r>
      <w:r>
        <w:rPr>
          <w:rFonts w:eastAsia="IRNazanin" w:cs="IRNazanin"/>
          <w:color w:val="111111"/>
          <w:sz w:val="28"/>
          <w:szCs w:val="28"/>
          <w:rtl w:val="true"/>
          <w:lang w:bidi="fa-IR"/>
        </w:rPr>
        <w:t>.</w:t>
      </w:r>
    </w:p>
    <w:p>
      <w:pPr>
        <w:pStyle w:val="Heading4"/>
        <w:numPr>
          <w:ilvl w:val="3"/>
          <w:numId w:val="1"/>
        </w:numPr>
        <w:rPr/>
      </w:pPr>
      <w:bookmarkStart w:id="6427" w:name="__RefHeading___Toc2570800_3650668749"/>
      <w:bookmarkStart w:id="6428" w:name="_Toc2909"/>
      <w:bookmarkEnd w:id="6427"/>
      <w:r>
        <w:rPr>
          <w:rtl w:val="true"/>
        </w:rPr>
        <w:t>[ (</w:t>
      </w:r>
      <w:r>
        <w:rPr>
          <w:rtl w:val="true"/>
        </w:rPr>
        <w:t xml:space="preserve">مسألة </w:t>
      </w:r>
      <w:r>
        <w:rPr/>
        <w:t>13</w:t>
      </w:r>
      <w:r>
        <w:rPr>
          <w:rtl w:val="true"/>
        </w:rPr>
        <w:t xml:space="preserve">): </w:t>
      </w:r>
      <w:r>
        <w:rPr>
          <w:rtl w:val="true"/>
        </w:rPr>
        <w:t>إذا أخذ التربة بنفسه، أو علم من الخارج بأنّ هذا الطین من تلک التربة المقدّسة فلا إشکال</w:t>
      </w:r>
      <w:r>
        <w:rPr>
          <w:rtl w:val="true"/>
        </w:rPr>
        <w:t>]</w:t>
      </w:r>
      <w:bookmarkEnd w:id="6428"/>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التربة بنفسه، أو علم من الخارج بأنّ هذا الطین من تلک التربة المقدّسة فلا إشکال، و کذا إذا قامت علیٰ ذلک البیّنة، بل الظاهر کفایة قول عدل واحد بل</w:t>
      </w:r>
      <w:bookmarkStart w:id="6429" w:name="pg1809_19692"/>
    </w:p>
    <w:p>
      <w:pPr>
        <w:pStyle w:val="BookText"/>
        <w:rPr/>
      </w:pPr>
      <w:bookmarkEnd w:id="6429"/>
      <w:r>
        <w:rPr>
          <w:rFonts w:ascii="IRNazanin" w:hAnsi="IRNazanin" w:eastAsia="IRNazanin"/>
          <w:color w:val="111111"/>
          <w:sz w:val="28"/>
          <w:sz w:val="28"/>
          <w:szCs w:val="28"/>
          <w:rtl w:val="true"/>
          <w:lang w:bidi="fa-IR"/>
        </w:rPr>
        <w:t xml:space="preserve">شخص ثقة، و هل یکفی إخبار ذی الید </w:t>
      </w:r>
      <w:r>
        <w:rPr>
          <w:rStyle w:val="FootnoteAnchor"/>
          <w:rtl w:val="true"/>
        </w:rPr>
        <w:footnoteReference w:id="1689"/>
      </w:r>
      <w:r>
        <w:rPr>
          <w:rFonts w:ascii="IRNazanin" w:hAnsi="IRNazanin" w:eastAsia="IRNazanin"/>
          <w:color w:val="111111"/>
          <w:sz w:val="28"/>
          <w:sz w:val="28"/>
          <w:szCs w:val="28"/>
          <w:rtl w:val="true"/>
          <w:lang w:bidi="fa-IR"/>
        </w:rPr>
        <w:t>بکونه منها أو بذله لها علیٰ أنّه منها؟ لا یبعد ذلک و إن کان الأحوط فی غیر صورة العلم و قیام البیّنة تناولها بالامتزاج بماء أو شربة</w:t>
      </w:r>
      <w:r>
        <w:rPr>
          <w:rFonts w:eastAsia="IRNazanin" w:cs="IRNazanin"/>
          <w:color w:val="111111"/>
          <w:sz w:val="28"/>
          <w:szCs w:val="28"/>
          <w:rtl w:val="true"/>
          <w:lang w:bidi="fa-IR"/>
        </w:rPr>
        <w:t>.</w:t>
      </w:r>
    </w:p>
    <w:p>
      <w:pPr>
        <w:pStyle w:val="Heading4"/>
        <w:numPr>
          <w:ilvl w:val="3"/>
          <w:numId w:val="1"/>
        </w:numPr>
        <w:rPr/>
      </w:pPr>
      <w:bookmarkStart w:id="6430" w:name="__RefHeading___Toc2570802_3650668749"/>
      <w:bookmarkStart w:id="6431" w:name="_Toc2910"/>
      <w:bookmarkEnd w:id="6430"/>
      <w:r>
        <w:rPr>
          <w:rtl w:val="true"/>
        </w:rPr>
        <w:t>[ (</w:t>
      </w:r>
      <w:r>
        <w:rPr>
          <w:rtl w:val="true"/>
        </w:rPr>
        <w:t xml:space="preserve">مسألة </w:t>
      </w:r>
      <w:r>
        <w:rPr/>
        <w:t>14</w:t>
      </w:r>
      <w:r>
        <w:rPr>
          <w:rtl w:val="true"/>
        </w:rPr>
        <w:t xml:space="preserve">): </w:t>
      </w:r>
      <w:r>
        <w:rPr>
          <w:rtl w:val="true"/>
        </w:rPr>
        <w:t>قد استثنیٰ بعض العلماء من الطین طین الأرمنی للتداوی به</w:t>
      </w:r>
      <w:r>
        <w:rPr>
          <w:rtl w:val="true"/>
        </w:rPr>
        <w:t>]</w:t>
      </w:r>
      <w:bookmarkEnd w:id="6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استثنیٰ بعض العلماء من الطین طین الأرمنی للتداوی به و هو غیر بعید، لکن الأحوط عدم تناوله إلّا عند انحصار العلاج أو ممزوجاً بالماء أو شربة أو أجزاء آخر بحیث لا یصدق معه أکل الطین</w:t>
      </w:r>
      <w:r>
        <w:rPr>
          <w:rFonts w:eastAsia="IRNazanin" w:cs="IRNazanin"/>
          <w:color w:val="111111"/>
          <w:sz w:val="28"/>
          <w:szCs w:val="28"/>
          <w:rtl w:val="true"/>
          <w:lang w:bidi="fa-IR"/>
        </w:rPr>
        <w:t>.</w:t>
      </w:r>
    </w:p>
    <w:p>
      <w:pPr>
        <w:pStyle w:val="Heading4"/>
        <w:numPr>
          <w:ilvl w:val="3"/>
          <w:numId w:val="1"/>
        </w:numPr>
        <w:rPr/>
      </w:pPr>
      <w:bookmarkStart w:id="6432" w:name="__RefHeading___Toc2570804_3650668749"/>
      <w:bookmarkStart w:id="6433" w:name="_Toc2911"/>
      <w:bookmarkEnd w:id="6432"/>
      <w:r>
        <w:rPr>
          <w:rtl w:val="true"/>
        </w:rPr>
        <w:t>[ (</w:t>
      </w:r>
      <w:r>
        <w:rPr>
          <w:rtl w:val="true"/>
        </w:rPr>
        <w:t xml:space="preserve">مسألة </w:t>
      </w:r>
      <w:r>
        <w:rPr/>
        <w:t>15</w:t>
      </w:r>
      <w:r>
        <w:rPr>
          <w:rtl w:val="true"/>
        </w:rPr>
        <w:t xml:space="preserve">): </w:t>
      </w:r>
      <w:r>
        <w:rPr>
          <w:rtl w:val="true"/>
        </w:rPr>
        <w:t>یحرم الخمر بالضرورة من الدین بحیث یکون مستحلّه فی زمرة الکافرین</w:t>
      </w:r>
      <w:r>
        <w:rPr>
          <w:rtl w:val="true"/>
        </w:rPr>
        <w:t>]</w:t>
      </w:r>
      <w:bookmarkEnd w:id="6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الخمر بالضرورة من الدین بحیث یکون مستحلّه فی زمرة الکافرین </w:t>
      </w:r>
      <w:r>
        <w:rPr>
          <w:rStyle w:val="FootnoteAnchor"/>
          <w:rtl w:val="true"/>
        </w:rPr>
        <w:footnoteReference w:id="1690"/>
      </w:r>
      <w:r>
        <w:rPr>
          <w:rFonts w:ascii="IRNazanin" w:hAnsi="IRNazanin" w:eastAsia="IRNazanin"/>
          <w:color w:val="111111"/>
          <w:sz w:val="28"/>
          <w:sz w:val="28"/>
          <w:szCs w:val="28"/>
          <w:rtl w:val="true"/>
          <w:lang w:bidi="fa-IR"/>
        </w:rPr>
        <w:t xml:space="preserve">، بل عن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یبعث اللّٰه نبیّاً و لا یرسل رسولًا إلّا و یجعل فی شریعته تحریم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ما بعث اللّٰه نبیّاً قطّ إلّا بتحریم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الخمر أُمّ الخبائث و رأس کلّ شرّ، یأتی علیٰ شاربها ساعة یسلب لبّه فلا یعرف ربّه، و لا یترک معصیة إلّا رکبها، و لا یترک حرمة إلّا انتهکها، و لا رحماً ماسّة إلّا قطعها، و لا فاحشة إلّا أتاها، و إنّ من شرب منها جرعة لعنه اللّٰه و ملائکته و رسله و المؤمنون، و إن شربها حتّی سکر منها نزع روح الإیمان من جسده، و رکبت فیه روح سخیفة خبیثة ملعونة، و لم تقبل صلاته أربعین یوماً، و یأتی شاربها یوم القیامة مسودّاً وجهه مدلعاً لسانه یسیل لعابه علیٰ صدره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الخمر بعد ما حرّمها اللّٰه علیٰ لسانی، فلیس بأهل أن یزوّج إذا خطب، و لا یشفّع إذا شفّع، و لا یصدّق إذا حدّث، و لا یعاد إذا مرض، و لا یشهد له جنازة، و لا یؤتمن علیٰ 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غارسها و حارسها و عاصرها و شاربها و ساقیها و حاملها و المحمول إلیه و بائعها و مشتریها و آکل ثمنها، و 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ترکها و لو لغیر اللّٰه بل صیانة لنفسه سقاه اللّٰه من الرحیق المختوم</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فی تشدید أمرها و الترغیب فی ترکها أکثر من أن تحصی، بل نصّ فی بعضها أنّه أکبر الکبائر، خصوصاً مدمنه، فقد ورد فی أخبار مستفیضة أو 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کعابد وثن أو کمن عبد الأوثان، و قد فسّر المدمن فی بعض الأخبار بأنّه لیس الذی</w:t>
      </w:r>
      <w:bookmarkStart w:id="6434" w:name="pg1809_19694"/>
    </w:p>
    <w:p>
      <w:pPr>
        <w:pStyle w:val="BookText"/>
        <w:rPr/>
      </w:pPr>
      <w:bookmarkEnd w:id="6434"/>
      <w:r>
        <w:rPr>
          <w:rFonts w:ascii="IRNazanin" w:hAnsi="IRNazanin" w:eastAsia="IRNazanin"/>
          <w:color w:val="111111"/>
          <w:sz w:val="28"/>
          <w:sz w:val="28"/>
          <w:szCs w:val="28"/>
          <w:rtl w:val="true"/>
          <w:lang w:bidi="fa-IR"/>
        </w:rPr>
        <w:t>یشربها کلّ یوم و لکنّه الموطّن نفسه أنّه إذا وجدها شربها، هذا مع کثرة المضارّ فی شربها التی اکتشفها حذّاق الأطبّاء فی هذه الأزمنة و أذعن بها المنصفون من غیر ملّتنا</w:t>
      </w:r>
      <w:r>
        <w:rPr>
          <w:rFonts w:eastAsia="IRNazanin" w:cs="IRNazanin"/>
          <w:color w:val="111111"/>
          <w:sz w:val="28"/>
          <w:szCs w:val="28"/>
          <w:rtl w:val="true"/>
          <w:lang w:bidi="fa-IR"/>
        </w:rPr>
        <w:t>.</w:t>
      </w:r>
    </w:p>
    <w:p>
      <w:pPr>
        <w:pStyle w:val="Heading4"/>
        <w:numPr>
          <w:ilvl w:val="3"/>
          <w:numId w:val="1"/>
        </w:numPr>
        <w:rPr/>
      </w:pPr>
      <w:bookmarkStart w:id="6435" w:name="__RefHeading___Toc2570806_3650668749"/>
      <w:bookmarkStart w:id="6436" w:name="_Toc2912"/>
      <w:bookmarkEnd w:id="6435"/>
      <w:r>
        <w:rPr>
          <w:rtl w:val="true"/>
        </w:rPr>
        <w:t>[ (</w:t>
      </w:r>
      <w:r>
        <w:rPr>
          <w:rtl w:val="true"/>
        </w:rPr>
        <w:t xml:space="preserve">مسألة </w:t>
      </w:r>
      <w:r>
        <w:rPr/>
        <w:t>16</w:t>
      </w:r>
      <w:r>
        <w:rPr>
          <w:rtl w:val="true"/>
        </w:rPr>
        <w:t xml:space="preserve">): </w:t>
      </w:r>
      <w:r>
        <w:rPr>
          <w:rtl w:val="true"/>
        </w:rPr>
        <w:t>یلحق بالخمر موضوعاً أو حکماً کلّ مسکر</w:t>
      </w:r>
      <w:r>
        <w:rPr>
          <w:rtl w:val="true"/>
        </w:rPr>
        <w:t>]</w:t>
      </w:r>
      <w:bookmarkEnd w:id="6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بالخمر موضوعاً أو حکماً کلّ مسکر؛ جامداً کان أو مائعاً، و ما أسکر کثیره دون قلیله، حرم قلیله و کثیره</w:t>
      </w:r>
      <w:r>
        <w:rPr>
          <w:rFonts w:eastAsia="IRNazanin" w:cs="IRNazanin"/>
          <w:color w:val="111111"/>
          <w:sz w:val="28"/>
          <w:szCs w:val="28"/>
          <w:rtl w:val="true"/>
          <w:lang w:bidi="fa-IR"/>
        </w:rPr>
        <w:t>.</w:t>
      </w:r>
    </w:p>
    <w:p>
      <w:pPr>
        <w:pStyle w:val="Heading4"/>
        <w:numPr>
          <w:ilvl w:val="3"/>
          <w:numId w:val="1"/>
        </w:numPr>
        <w:rPr/>
      </w:pPr>
      <w:bookmarkStart w:id="6437" w:name="__RefHeading___Toc2570808_3650668749"/>
      <w:bookmarkStart w:id="6438" w:name="_Toc2913"/>
      <w:bookmarkEnd w:id="6437"/>
      <w:r>
        <w:rPr>
          <w:rtl w:val="true"/>
        </w:rPr>
        <w:t>[ (</w:t>
      </w:r>
      <w:r>
        <w:rPr>
          <w:rtl w:val="true"/>
        </w:rPr>
        <w:t xml:space="preserve">مسألة </w:t>
      </w:r>
      <w:r>
        <w:rPr/>
        <w:t>17</w:t>
      </w:r>
      <w:r>
        <w:rPr>
          <w:rtl w:val="true"/>
        </w:rPr>
        <w:t xml:space="preserve">): </w:t>
      </w:r>
      <w:r>
        <w:rPr>
          <w:rtl w:val="true"/>
        </w:rPr>
        <w:t>إذا انقلبت الخمر خلّا حلّت</w:t>
      </w:r>
      <w:r>
        <w:rPr>
          <w:rtl w:val="true"/>
        </w:rPr>
        <w:t>]</w:t>
      </w:r>
      <w:bookmarkEnd w:id="6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انقلبت الخمر خلّا حلّت؛ سواء کان بنفسها أو بعلاج، و سواء کان العلاج بدون ممازجة شی‌ء فیها، کما إذا کان بتدخین أو مجاورة شی‌ء، أو کان بالممازجة؛ سواء استهلک الخلیط فیها قبل أن تنقلب خلّا، کما إذا مزجت بقلیل من الملح أو الخلّ فاستهلکا فیها ثمّ انقلبت خلّا، أو لم یستهلک </w:t>
      </w:r>
      <w:r>
        <w:rPr>
          <w:rStyle w:val="FootnoteAnchor"/>
          <w:rtl w:val="true"/>
        </w:rPr>
        <w:footnoteReference w:id="1691"/>
      </w:r>
      <w:r>
        <w:rPr>
          <w:rFonts w:ascii="IRNazanin" w:hAnsi="IRNazanin" w:eastAsia="IRNazanin"/>
          <w:color w:val="111111"/>
          <w:sz w:val="28"/>
          <w:sz w:val="28"/>
          <w:szCs w:val="28"/>
          <w:rtl w:val="true"/>
          <w:lang w:bidi="fa-IR"/>
        </w:rPr>
        <w:t>، بل بقی فیها إلیٰ ما بعد الانقلاب، و یطهر ذلک الممتزج الباقی بالتبعیة کما یطهر بها الإناء</w:t>
      </w:r>
      <w:r>
        <w:rPr>
          <w:rFonts w:eastAsia="IRNazanin" w:cs="IRNazanin"/>
          <w:color w:val="111111"/>
          <w:sz w:val="28"/>
          <w:szCs w:val="28"/>
          <w:rtl w:val="true"/>
          <w:lang w:bidi="fa-IR"/>
        </w:rPr>
        <w:t>.</w:t>
      </w:r>
    </w:p>
    <w:p>
      <w:pPr>
        <w:pStyle w:val="Heading4"/>
        <w:numPr>
          <w:ilvl w:val="3"/>
          <w:numId w:val="1"/>
        </w:numPr>
        <w:rPr/>
      </w:pPr>
      <w:bookmarkStart w:id="6439" w:name="__RefHeading___Toc2570810_3650668749"/>
      <w:bookmarkStart w:id="6440" w:name="_Toc2914"/>
      <w:bookmarkEnd w:id="6439"/>
      <w:r>
        <w:rPr>
          <w:rtl w:val="true"/>
        </w:rPr>
        <w:t>[ (</w:t>
      </w:r>
      <w:r>
        <w:rPr>
          <w:rtl w:val="true"/>
        </w:rPr>
        <w:t xml:space="preserve">مسألة </w:t>
      </w:r>
      <w:r>
        <w:rPr/>
        <w:t>18</w:t>
      </w:r>
      <w:r>
        <w:rPr>
          <w:rtl w:val="true"/>
        </w:rPr>
        <w:t xml:space="preserve">): </w:t>
      </w:r>
      <w:r>
        <w:rPr>
          <w:rtl w:val="true"/>
        </w:rPr>
        <w:t>و من المحرّمات المائعة الفقّاع إذا صار فیه غلیان و نشیش</w:t>
      </w:r>
      <w:r>
        <w:rPr>
          <w:rtl w:val="true"/>
        </w:rPr>
        <w:t>]</w:t>
      </w:r>
      <w:bookmarkEnd w:id="6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المحرّمات المائعة الفقّاع إذا صار فیه غلیان و نشیش و إن لم یسکر، و هو شراب معروف کان فی الصدر الأوّل یتّخذ من الشعیر فی الأغلب، و لیس منه ماء الشعیر المعمول بین الأطبّاء</w:t>
      </w:r>
      <w:r>
        <w:rPr>
          <w:rFonts w:eastAsia="IRNazanin" w:cs="IRNazanin"/>
          <w:color w:val="111111"/>
          <w:sz w:val="28"/>
          <w:szCs w:val="28"/>
          <w:rtl w:val="true"/>
          <w:lang w:bidi="fa-IR"/>
        </w:rPr>
        <w:t>.</w:t>
      </w:r>
    </w:p>
    <w:p>
      <w:pPr>
        <w:pStyle w:val="Heading4"/>
        <w:numPr>
          <w:ilvl w:val="3"/>
          <w:numId w:val="1"/>
        </w:numPr>
        <w:rPr/>
      </w:pPr>
      <w:bookmarkStart w:id="6441" w:name="__RefHeading___Toc2570812_3650668749"/>
      <w:bookmarkStart w:id="6442" w:name="_Toc2915"/>
      <w:bookmarkEnd w:id="6441"/>
      <w:r>
        <w:rPr>
          <w:rtl w:val="true"/>
        </w:rPr>
        <w:t>[</w:t>
      </w:r>
      <w:r>
        <w:rPr>
          <w:rtl w:val="true"/>
        </w:rPr>
        <w:t xml:space="preserve">مسألة </w:t>
      </w:r>
      <w:r>
        <w:rPr/>
        <w:t>19</w:t>
      </w:r>
      <w:r>
        <w:rPr>
          <w:rtl w:val="true"/>
        </w:rPr>
        <w:t xml:space="preserve">): </w:t>
      </w:r>
      <w:r>
        <w:rPr>
          <w:rtl w:val="true"/>
        </w:rPr>
        <w:t>یحرم عصیر العنب إذا نشّ و غلیٰ بنفسه</w:t>
      </w:r>
      <w:r>
        <w:rPr>
          <w:rtl w:val="true"/>
        </w:rPr>
        <w:t>]</w:t>
      </w:r>
      <w:bookmarkEnd w:id="6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عصیر العنب إذا نشّ و غلیٰ بنفسه، أو غلیٰ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عصیر الزبیب </w:t>
      </w:r>
      <w:r>
        <w:rPr>
          <w:rStyle w:val="FootnoteAnchor"/>
          <w:rtl w:val="true"/>
        </w:rPr>
        <w:footnoteReference w:id="1692"/>
      </w:r>
      <w:r>
        <w:rPr>
          <w:rFonts w:ascii="IRNazanin" w:hAnsi="IRNazanin" w:eastAsia="IRNazanin"/>
          <w:color w:val="111111"/>
          <w:sz w:val="28"/>
          <w:sz w:val="28"/>
          <w:szCs w:val="28"/>
          <w:rtl w:val="true"/>
          <w:lang w:bidi="fa-IR"/>
        </w:rPr>
        <w:t>علی الأحوط لو لم یکن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عصیر التمر، فالأقویٰ أنّه یحرم إذا غلیٰ بنفسه </w:t>
      </w:r>
      <w:r>
        <w:rPr>
          <w:rStyle w:val="FootnoteAnchor"/>
          <w:rtl w:val="true"/>
        </w:rPr>
        <w:footnoteReference w:id="1693"/>
      </w:r>
      <w:r>
        <w:rPr>
          <w:rFonts w:ascii="IRNazanin" w:hAnsi="IRNazanin" w:eastAsia="IRNazanin"/>
          <w:color w:val="111111"/>
          <w:sz w:val="28"/>
          <w:sz w:val="28"/>
          <w:szCs w:val="28"/>
          <w:rtl w:val="true"/>
          <w:lang w:bidi="fa-IR"/>
        </w:rPr>
        <w:t>و یحلّ إذا غلیٰ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الغلیان بالشمس کالغلیان بالنار فله حکمه</w:t>
      </w:r>
      <w:r>
        <w:rPr>
          <w:rFonts w:eastAsia="IRNazanin" w:cs="IRNazanin"/>
          <w:color w:val="111111"/>
          <w:sz w:val="28"/>
          <w:szCs w:val="28"/>
          <w:rtl w:val="true"/>
          <w:lang w:bidi="fa-IR"/>
        </w:rPr>
        <w:t>.</w:t>
      </w:r>
    </w:p>
    <w:p>
      <w:pPr>
        <w:pStyle w:val="Heading4"/>
        <w:numPr>
          <w:ilvl w:val="3"/>
          <w:numId w:val="1"/>
        </w:numPr>
        <w:rPr/>
      </w:pPr>
      <w:bookmarkStart w:id="6443" w:name="__RefHeading___Toc2570814_3650668749"/>
      <w:bookmarkStart w:id="6444" w:name="_Toc2916"/>
      <w:bookmarkEnd w:id="6443"/>
      <w:r>
        <w:rPr>
          <w:rtl w:val="true"/>
        </w:rPr>
        <w:t>[ (</w:t>
      </w:r>
      <w:r>
        <w:rPr>
          <w:rtl w:val="true"/>
        </w:rPr>
        <w:t xml:space="preserve">مسألة </w:t>
      </w:r>
      <w:r>
        <w:rPr/>
        <w:t>20</w:t>
      </w:r>
      <w:r>
        <w:rPr>
          <w:rtl w:val="true"/>
        </w:rPr>
        <w:t xml:space="preserve">): </w:t>
      </w:r>
      <w:r>
        <w:rPr>
          <w:rtl w:val="true"/>
        </w:rPr>
        <w:t>الظاهر أنّ الماء الذی فی جوف حبّة العنب بحکم عصیره</w:t>
      </w:r>
      <w:r>
        <w:rPr>
          <w:rtl w:val="true"/>
        </w:rPr>
        <w:t>]</w:t>
      </w:r>
      <w:bookmarkEnd w:id="6444"/>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الماء الذی فی جوف حبّة العنب بحکم عصیره، فیحرم إذا غلیٰ بنفسه أو بالنار، نعم لا یحکم بحرمته ما لم یعلم بغلیانه، و هو نادر جدّاً؛ لعدم الاطّلاع علیٰ باطنها غالباً، فلو وقعت حبّة من العنب فی قدر یغلی و هی تعلو و تسفل فی الماء المغلیّ، فمن یطّلع علیٰ کیفیّة ما فی جوف تلک الحبّة؟ و لا ملازمة بین غلیان ماء القدر و غلیان ما فی جوفها، بل لعلّ المظنون عدمها؛ لأنّ المظنون أنّه لو غلیٰ ما فی جوفها لتفسّخت و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علیٰ حصول العلم بالغلیان و عدمه، فمن علم به حرم علیه و من لم یعلم به حلّ له</w:t>
      </w:r>
      <w:r>
        <w:rPr>
          <w:rFonts w:eastAsia="IRNazanin" w:cs="IRNazanin"/>
          <w:color w:val="111111"/>
          <w:sz w:val="28"/>
          <w:szCs w:val="28"/>
          <w:rtl w:val="true"/>
          <w:lang w:bidi="fa-IR"/>
        </w:rPr>
        <w:t>.</w:t>
      </w:r>
      <w:bookmarkStart w:id="6445" w:name="pg1809_19696"/>
    </w:p>
    <w:p>
      <w:pPr>
        <w:pStyle w:val="Heading4"/>
        <w:numPr>
          <w:ilvl w:val="3"/>
          <w:numId w:val="1"/>
        </w:numPr>
        <w:rPr/>
      </w:pPr>
      <w:bookmarkStart w:id="6446" w:name="__RefHeading___Toc2570816_3650668749"/>
      <w:bookmarkStart w:id="6447" w:name="_Toc2917"/>
      <w:bookmarkEnd w:id="6445"/>
      <w:bookmarkEnd w:id="6446"/>
      <w:r>
        <w:rPr>
          <w:rtl w:val="true"/>
        </w:rPr>
        <w:t>[ (</w:t>
      </w:r>
      <w:r>
        <w:rPr>
          <w:rtl w:val="true"/>
        </w:rPr>
        <w:t xml:space="preserve">مسألة </w:t>
      </w:r>
      <w:r>
        <w:rPr/>
        <w:t>21</w:t>
      </w:r>
      <w:r>
        <w:rPr>
          <w:rtl w:val="true"/>
        </w:rPr>
        <w:t xml:space="preserve">): </w:t>
      </w:r>
      <w:r>
        <w:rPr>
          <w:rtl w:val="true"/>
        </w:rPr>
        <w:t>من المعلوم أنّ الزبیب لیس له عصیر فی نفسه</w:t>
      </w:r>
      <w:r>
        <w:rPr>
          <w:rtl w:val="true"/>
        </w:rPr>
        <w:t>]</w:t>
      </w:r>
      <w:bookmarkEnd w:id="6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الزبیب لیس له عصیر فی نفسه، فالمراد بعصیره ما اکتسب منه الحلاوة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یدقّ و یخلط بالماء، و إمّا بأن ینقع فی الماء و یمکث إلیٰ أن یکتسب حلاوته بحیث صار فی الحلاوة بمثابة عصیر العنب، و إمّا بأن یمرس و یعصر بعد النقع فیستخرج عصارته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الزبیب علیٰ حاله و حصل فی جوفه ماء فالظاهر أنّ ما فیه لیس من عصیر الزبیب، فلا یحرم بالغلیان و إن کان الأحوط الاجتناب عنه، لکنّ العلم به غیر حاصل عادة، فإذا ألقیٰ زبیب فی قدر فیه ماء أو مرق و کان یغلی، فرأینا الزبیب فیه منتفخاً من أین ندری أنّ ما فی جوفه قد غلیٰ مع أنّه بحسب العادة لو غلیٰ ما فی جوفه لانشقّ و تفسّخ؟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من ذلک بعدم وجوب الاجتناب ما إذا وضع فی وسط طبیخ أو کبّة أو محشیّ و نحوها ممّا لیس فیه ماء و إن انتفخ فیه لأجل الأبخرة الحاصلة فیه</w:t>
      </w:r>
      <w:r>
        <w:rPr>
          <w:rFonts w:eastAsia="IRNazanin" w:cs="IRNazanin"/>
          <w:color w:val="111111"/>
          <w:sz w:val="28"/>
          <w:szCs w:val="28"/>
          <w:rtl w:val="true"/>
          <w:lang w:bidi="fa-IR"/>
        </w:rPr>
        <w:t>.</w:t>
      </w:r>
    </w:p>
    <w:p>
      <w:pPr>
        <w:pStyle w:val="Heading4"/>
        <w:numPr>
          <w:ilvl w:val="3"/>
          <w:numId w:val="1"/>
        </w:numPr>
        <w:rPr/>
      </w:pPr>
      <w:bookmarkStart w:id="6448" w:name="__RefHeading___Toc2570818_3650668749"/>
      <w:bookmarkStart w:id="6449" w:name="_Toc2918"/>
      <w:bookmarkEnd w:id="6448"/>
      <w:r>
        <w:rPr>
          <w:rtl w:val="true"/>
        </w:rPr>
        <w:t>[ (</w:t>
      </w:r>
      <w:r>
        <w:rPr>
          <w:rtl w:val="true"/>
        </w:rPr>
        <w:t xml:space="preserve">مسألة </w:t>
      </w:r>
      <w:r>
        <w:rPr/>
        <w:t>22</w:t>
      </w:r>
      <w:r>
        <w:rPr>
          <w:rtl w:val="true"/>
        </w:rPr>
        <w:t xml:space="preserve">): </w:t>
      </w:r>
      <w:r>
        <w:rPr>
          <w:rtl w:val="true"/>
        </w:rPr>
        <w:t>الظاهر أنّ ما غلیٰ بنفسه من أقسام العصیر لا تزول حرمته إلّا بالتخلیل</w:t>
      </w:r>
      <w:r>
        <w:rPr>
          <w:rtl w:val="true"/>
        </w:rPr>
        <w:t>]</w:t>
      </w:r>
      <w:bookmarkEnd w:id="6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ما غلیٰ بنفسه من أقسام العصیر لا تزول حرمته إلّا بالتخلیل، کالخمر حیث إنّها لا تحلّ إلّا بانقلابها خلّا و لا أثر فیه لذهاب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غلیٰ بالنار تزول حرمته بذهاب ثلثیه و بقاء ثلث منه، و الأحوط أن یکون ذلک بالنار </w:t>
      </w:r>
      <w:r>
        <w:rPr>
          <w:rStyle w:val="FootnoteAnchor"/>
          <w:rtl w:val="true"/>
        </w:rPr>
        <w:footnoteReference w:id="1694"/>
      </w:r>
      <w:r>
        <w:rPr>
          <w:rFonts w:ascii="IRNazanin" w:hAnsi="IRNazanin" w:eastAsia="IRNazanin"/>
          <w:color w:val="111111"/>
          <w:sz w:val="28"/>
          <w:sz w:val="28"/>
          <w:szCs w:val="28"/>
          <w:rtl w:val="true"/>
          <w:lang w:bidi="fa-IR"/>
        </w:rPr>
        <w:t>لا بالهواء و طول المکث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یلزم أن یکون ذهاب الثلثین فی حال غلیانه بل یکفی کون ذلک مستنداً إلی النار و لو بضمیمة ما ینقص منه بعد غلیانه قبل أن یبرد، فلو کان العصیر فی القدر علی النار و قد غلیٰ حتّی ذهب نصفه ثلاثة أسداسه ثمّ وضع القدر علی الأرض فنقص منه قبل أن یبرد بسبب صعود البخار سدس آخر کفیٰ فی الحلّیة</w:t>
      </w:r>
      <w:r>
        <w:rPr>
          <w:rFonts w:eastAsia="IRNazanin" w:cs="IRNazanin"/>
          <w:color w:val="111111"/>
          <w:sz w:val="28"/>
          <w:szCs w:val="28"/>
          <w:rtl w:val="true"/>
          <w:lang w:bidi="fa-IR"/>
        </w:rPr>
        <w:t>.</w:t>
      </w:r>
    </w:p>
    <w:p>
      <w:pPr>
        <w:pStyle w:val="Heading4"/>
        <w:numPr>
          <w:ilvl w:val="3"/>
          <w:numId w:val="1"/>
        </w:numPr>
        <w:rPr/>
      </w:pPr>
      <w:bookmarkStart w:id="6450" w:name="__RefHeading___Toc2570820_3650668749"/>
      <w:bookmarkStart w:id="6451" w:name="_Toc2919"/>
      <w:bookmarkEnd w:id="6450"/>
      <w:r>
        <w:rPr>
          <w:rtl w:val="true"/>
        </w:rPr>
        <w:t>[ (</w:t>
      </w:r>
      <w:r>
        <w:rPr>
          <w:rtl w:val="true"/>
        </w:rPr>
        <w:t xml:space="preserve">مسألة </w:t>
      </w:r>
      <w:r>
        <w:rPr/>
        <w:t>23</w:t>
      </w:r>
      <w:r>
        <w:rPr>
          <w:rtl w:val="true"/>
        </w:rPr>
        <w:t xml:space="preserve">): </w:t>
      </w:r>
      <w:r>
        <w:rPr>
          <w:rtl w:val="true"/>
        </w:rPr>
        <w:t>إذا صار العصیر المغلیّ دبساً قبل أن یذهب ثلثاه، لا یکفی فی حلّیته</w:t>
      </w:r>
      <w:r>
        <w:rPr>
          <w:rtl w:val="true"/>
        </w:rPr>
        <w:t>]</w:t>
      </w:r>
      <w:bookmarkEnd w:id="6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 العصیر المغلیّ دبساً قبل أن یذهب ثلثاه، لا یکفی فی حلّیته علی الأقویٰ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52" w:name="__RefHeading___Toc2570822_3650668749"/>
      <w:bookmarkStart w:id="6453" w:name="_Toc2920"/>
      <w:bookmarkEnd w:id="6452"/>
      <w:r>
        <w:rPr>
          <w:rtl w:val="true"/>
        </w:rPr>
        <w:t>[ (</w:t>
      </w:r>
      <w:r>
        <w:rPr>
          <w:rtl w:val="true"/>
        </w:rPr>
        <w:t xml:space="preserve">مسألة </w:t>
      </w:r>
      <w:r>
        <w:rPr/>
        <w:t>24</w:t>
      </w:r>
      <w:r>
        <w:rPr>
          <w:rtl w:val="true"/>
        </w:rPr>
        <w:t xml:space="preserve">): </w:t>
      </w:r>
      <w:r>
        <w:rPr>
          <w:rtl w:val="true"/>
        </w:rPr>
        <w:t>إذا اختلط العصیر بالماء ثمّ غلیٰ، یکفی فی حلّیته ذهاب ثلثی المجموع و بقاء ثلثه</w:t>
      </w:r>
      <w:r>
        <w:rPr>
          <w:rtl w:val="true"/>
        </w:rPr>
        <w:t>]</w:t>
      </w:r>
      <w:bookmarkEnd w:id="6453"/>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اختلط العصیر بالماء ثمّ غلیٰ، یکفی </w:t>
      </w:r>
      <w:r>
        <w:rPr>
          <w:rStyle w:val="FootnoteAnchor"/>
          <w:rtl w:val="true"/>
        </w:rPr>
        <w:footnoteReference w:id="1696"/>
      </w:r>
      <w:r>
        <w:rPr>
          <w:rFonts w:ascii="IRNazanin" w:hAnsi="IRNazanin" w:eastAsia="IRNazanin"/>
          <w:color w:val="111111"/>
          <w:sz w:val="28"/>
          <w:sz w:val="28"/>
          <w:szCs w:val="28"/>
          <w:rtl w:val="true"/>
          <w:lang w:bidi="fa-IR"/>
        </w:rPr>
        <w:t>فی حلّیته ذهاب ثلثی المجموع و بقاء ثلثه، فلو صبّ عشرین رطلًا من ماء فی عشرة أرطال من عصیر العنب ثمّ طبخه حتّی ذهب منه عشرون و بقی عشرة فهو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یمکن العلاج فی طبخ بعض أقسام</w:t>
      </w:r>
      <w:bookmarkStart w:id="6454" w:name="pg1809_19698"/>
    </w:p>
    <w:p>
      <w:pPr>
        <w:pStyle w:val="BookText"/>
        <w:rPr/>
      </w:pPr>
      <w:bookmarkEnd w:id="6454"/>
      <w:r>
        <w:rPr>
          <w:rFonts w:ascii="IRNazanin" w:hAnsi="IRNazanin" w:eastAsia="IRNazanin"/>
          <w:color w:val="111111"/>
          <w:sz w:val="28"/>
          <w:sz w:val="28"/>
          <w:szCs w:val="28"/>
          <w:rtl w:val="true"/>
          <w:lang w:bidi="fa-IR"/>
        </w:rPr>
        <w:t>العصیر ممّا لا یمکن لغلظها و قوامها أن تطبخ علی الثلث؛ لأنّه یحترق و یفسد قبل أن یذهب ثلثاه فیصبّ فیه الماء بمقداره أو أقلّ منه أو أکثر، ثمّ یطبخ إلیٰ أن یذهب الثلثان و یبقی الثلث</w:t>
      </w:r>
      <w:r>
        <w:rPr>
          <w:rFonts w:eastAsia="IRNazanin" w:cs="IRNazanin"/>
          <w:color w:val="111111"/>
          <w:sz w:val="28"/>
          <w:szCs w:val="28"/>
          <w:rtl w:val="true"/>
          <w:lang w:bidi="fa-IR"/>
        </w:rPr>
        <w:t>.</w:t>
      </w:r>
    </w:p>
    <w:p>
      <w:pPr>
        <w:pStyle w:val="Heading4"/>
        <w:numPr>
          <w:ilvl w:val="3"/>
          <w:numId w:val="1"/>
        </w:numPr>
        <w:rPr/>
      </w:pPr>
      <w:bookmarkStart w:id="6455" w:name="__RefHeading___Toc2570824_3650668749"/>
      <w:bookmarkStart w:id="6456" w:name="_Toc2921"/>
      <w:bookmarkEnd w:id="6455"/>
      <w:r>
        <w:rPr>
          <w:rtl w:val="true"/>
        </w:rPr>
        <w:t>[ (</w:t>
      </w:r>
      <w:r>
        <w:rPr>
          <w:rtl w:val="true"/>
        </w:rPr>
        <w:t xml:space="preserve">مسألة </w:t>
      </w:r>
      <w:r>
        <w:rPr/>
        <w:t>25</w:t>
      </w:r>
      <w:r>
        <w:rPr>
          <w:rtl w:val="true"/>
        </w:rPr>
        <w:t xml:space="preserve">): </w:t>
      </w:r>
      <w:r>
        <w:rPr>
          <w:rtl w:val="true"/>
        </w:rPr>
        <w:t>لو صبّ علی العصیر المغلیّ قبل أن یذهب ثلثاه مقدار من العصیر الغیر المغلیّ</w:t>
      </w:r>
      <w:r>
        <w:rPr>
          <w:rtl w:val="true"/>
        </w:rPr>
        <w:t>]</w:t>
      </w:r>
      <w:bookmarkEnd w:id="6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صبّ علی العصیر المغلیّ قبل أن یذهب ثلثاه مقدار من العصیر الغیر المغلیّ، وجب </w:t>
      </w:r>
      <w:r>
        <w:rPr>
          <w:rStyle w:val="FootnoteAnchor"/>
          <w:rtl w:val="true"/>
        </w:rPr>
        <w:footnoteReference w:id="1697"/>
      </w:r>
      <w:r>
        <w:rPr>
          <w:rFonts w:ascii="IRNazanin" w:hAnsi="IRNazanin" w:eastAsia="IRNazanin"/>
          <w:color w:val="111111"/>
          <w:sz w:val="28"/>
          <w:sz w:val="28"/>
          <w:szCs w:val="28"/>
          <w:rtl w:val="true"/>
          <w:lang w:bidi="fa-IR"/>
        </w:rPr>
        <w:t>ذهاب ثلثی مجموع ما بقی من الأوّل مع ما صبّ ثانیاً، و لا یحسب ما ذهب من الأوّل أوّلًا، فإذا کان فی القدر تسعة أرطال من العصیر فغلی حتّی ذهب منه ثلاثة و بقی ستّة ثمّ صبّ علیه تسعة أرطال أُخر فصار خمسة عشر یجب أن یغلی حتّی یذهب عشرة و یبقی خمسة، و لا یکفی ذهاب تسعة و بقاء ستّة</w:t>
      </w:r>
      <w:r>
        <w:rPr>
          <w:rFonts w:eastAsia="IRNazanin" w:cs="IRNazanin"/>
          <w:color w:val="111111"/>
          <w:sz w:val="28"/>
          <w:szCs w:val="28"/>
          <w:rtl w:val="true"/>
          <w:lang w:bidi="fa-IR"/>
        </w:rPr>
        <w:t>.</w:t>
      </w:r>
    </w:p>
    <w:p>
      <w:pPr>
        <w:pStyle w:val="Heading4"/>
        <w:numPr>
          <w:ilvl w:val="3"/>
          <w:numId w:val="1"/>
        </w:numPr>
        <w:rPr/>
      </w:pPr>
      <w:bookmarkStart w:id="6457" w:name="__RefHeading___Toc2570826_3650668749"/>
      <w:bookmarkStart w:id="6458" w:name="_Toc2922"/>
      <w:bookmarkEnd w:id="6457"/>
      <w:r>
        <w:rPr>
          <w:rtl w:val="true"/>
        </w:rPr>
        <w:t>[ (</w:t>
      </w:r>
      <w:r>
        <w:rPr>
          <w:rtl w:val="true"/>
        </w:rPr>
        <w:t xml:space="preserve">مسألة </w:t>
      </w:r>
      <w:r>
        <w:rPr/>
        <w:t>26</w:t>
      </w:r>
      <w:r>
        <w:rPr>
          <w:rtl w:val="true"/>
        </w:rPr>
        <w:t xml:space="preserve">): </w:t>
      </w:r>
      <w:r>
        <w:rPr>
          <w:rtl w:val="true"/>
        </w:rPr>
        <w:t>لا بأس بأن یطرح فی العصیر قبل ذهاب الثلثین مثل الیقطین</w:t>
      </w:r>
      <w:r>
        <w:rPr>
          <w:rtl w:val="true"/>
        </w:rPr>
        <w:t>]</w:t>
      </w:r>
      <w:bookmarkEnd w:id="6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یطرح فی العصیر قبل ذهاب الثلثین مثل الیقطین و السفرجل و التفّاح و غیرها </w:t>
      </w:r>
      <w:r>
        <w:rPr>
          <w:rStyle w:val="FootnoteAnchor"/>
          <w:rtl w:val="true"/>
        </w:rPr>
        <w:footnoteReference w:id="1698"/>
      </w:r>
      <w:r>
        <w:rPr>
          <w:rFonts w:ascii="IRNazanin" w:hAnsi="IRNazanin" w:eastAsia="IRNazanin"/>
          <w:color w:val="111111"/>
          <w:sz w:val="28"/>
          <w:sz w:val="28"/>
          <w:szCs w:val="28"/>
          <w:rtl w:val="true"/>
          <w:lang w:bidi="fa-IR"/>
        </w:rPr>
        <w:t>و یطبخ فیه حتّی یذهب ثلثاه، فإذا حلّ حلّ ما طبخ فیه</w:t>
      </w:r>
      <w:r>
        <w:rPr>
          <w:rFonts w:eastAsia="IRNazanin" w:cs="IRNazanin"/>
          <w:color w:val="111111"/>
          <w:sz w:val="28"/>
          <w:szCs w:val="28"/>
          <w:rtl w:val="true"/>
          <w:lang w:bidi="fa-IR"/>
        </w:rPr>
        <w:t>.</w:t>
      </w:r>
    </w:p>
    <w:p>
      <w:pPr>
        <w:pStyle w:val="Heading4"/>
        <w:numPr>
          <w:ilvl w:val="3"/>
          <w:numId w:val="1"/>
        </w:numPr>
        <w:rPr/>
      </w:pPr>
      <w:bookmarkStart w:id="6459" w:name="__RefHeading___Toc2570828_3650668749"/>
      <w:bookmarkStart w:id="6460" w:name="_Toc2923"/>
      <w:bookmarkEnd w:id="6459"/>
      <w:r>
        <w:rPr>
          <w:rtl w:val="true"/>
        </w:rPr>
        <w:t>[ (</w:t>
      </w:r>
      <w:r>
        <w:rPr>
          <w:rtl w:val="true"/>
        </w:rPr>
        <w:t xml:space="preserve">مسألة </w:t>
      </w:r>
      <w:r>
        <w:rPr/>
        <w:t>27</w:t>
      </w:r>
      <w:r>
        <w:rPr>
          <w:rtl w:val="true"/>
        </w:rPr>
        <w:t xml:space="preserve">): </w:t>
      </w:r>
      <w:r>
        <w:rPr>
          <w:rtl w:val="true"/>
        </w:rPr>
        <w:t>یثبت ذهاب الثلثین من العصیر المغلیّ بالعلم و بالبیّنة و بإخبار ذی الید المسلم</w:t>
      </w:r>
      <w:r>
        <w:rPr>
          <w:rtl w:val="true"/>
        </w:rPr>
        <w:t>]</w:t>
      </w:r>
      <w:bookmarkEnd w:id="6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ذهاب الثلثین من العصیر المغلیّ بالعلم و بالبیّنة و بإخبار ذی الید المسلم، بل و بالأخذ منه إذا کان ممّن یعتقد حرمة ما لم یذهب ثلثاه، بل و إذا لم یعلم اعتقاده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علم أنّه ممّن یستحلّ العصیر المغلیّ قبل أن یذهب ثلثاه، مثل أن یعتقد أنّه یکفی فی حلّیّته صیرورته دبساً إمّا اجتهاداً أو تقلیداً ففی جواز الاستئمان بقوله إذا أخبر عن حصول التثلیث خلاف و إشکال، و أولی بالإشکال جواز الأخذ منه و البناء علیٰ أنّه طبخ علیٰ الثلث إذا احتمل ذلک من دون تفحّص عن حاله، و لکنّ الأقویٰ </w:t>
      </w:r>
      <w:r>
        <w:rPr>
          <w:rStyle w:val="FootnoteAnchor"/>
          <w:rtl w:val="true"/>
        </w:rPr>
        <w:footnoteReference w:id="1699"/>
      </w:r>
      <w:r>
        <w:rPr>
          <w:rFonts w:ascii="IRNazanin" w:hAnsi="IRNazanin" w:eastAsia="IRNazanin"/>
          <w:color w:val="111111"/>
          <w:sz w:val="28"/>
          <w:sz w:val="28"/>
          <w:szCs w:val="28"/>
          <w:rtl w:val="true"/>
          <w:lang w:bidi="fa-IR"/>
        </w:rPr>
        <w:t>جواز الاعتماد بقوله، و کذا جواز الأخذ منه و البناء علی التثلیث علیٰ کراهیة</w:t>
      </w:r>
      <w:r>
        <w:rPr>
          <w:rFonts w:eastAsia="IRNazanin" w:cs="IRNazanin"/>
          <w:color w:val="111111"/>
          <w:sz w:val="28"/>
          <w:szCs w:val="28"/>
          <w:rtl w:val="true"/>
          <w:lang w:bidi="fa-IR"/>
        </w:rPr>
        <w:t>.</w:t>
      </w:r>
    </w:p>
    <w:p>
      <w:pPr>
        <w:pStyle w:val="Heading4"/>
        <w:numPr>
          <w:ilvl w:val="3"/>
          <w:numId w:val="1"/>
        </w:numPr>
        <w:rPr/>
      </w:pPr>
      <w:bookmarkStart w:id="6461" w:name="__RefHeading___Toc2570830_3650668749"/>
      <w:bookmarkStart w:id="6462" w:name="_Toc2924"/>
      <w:bookmarkEnd w:id="6461"/>
      <w:r>
        <w:rPr>
          <w:rtl w:val="true"/>
        </w:rPr>
        <w:t>[ (</w:t>
      </w:r>
      <w:r>
        <w:rPr>
          <w:rtl w:val="true"/>
        </w:rPr>
        <w:t xml:space="preserve">مسألة </w:t>
      </w:r>
      <w:r>
        <w:rPr/>
        <w:t>28</w:t>
      </w:r>
      <w:r>
        <w:rPr>
          <w:rtl w:val="true"/>
        </w:rPr>
        <w:t xml:space="preserve">): </w:t>
      </w:r>
      <w:r>
        <w:rPr>
          <w:rtl w:val="true"/>
        </w:rPr>
        <w:t>یحرم تناول مال الغیر و إن کان کافراً محترم المال بدون إذنه و رضاه</w:t>
      </w:r>
      <w:r>
        <w:rPr>
          <w:rtl w:val="true"/>
        </w:rPr>
        <w:t>]</w:t>
      </w:r>
      <w:bookmarkEnd w:id="6462"/>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تناول مال الغیر و إن کان کافراً محترم المال بدون إذنه و رضاه، حتّی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أکل من طعام لم یدع إلیه فکأنّما أکل قطعة من النار</w:t>
      </w:r>
      <w:r>
        <w:rPr>
          <w:rFonts w:eastAsia="IRNazanin" w:cs="IRNazanin"/>
          <w:color w:val="111111"/>
          <w:sz w:val="28"/>
          <w:szCs w:val="28"/>
          <w:rtl w:val="true"/>
          <w:lang w:bidi="fa-IR"/>
        </w:rPr>
        <w:t>».</w:t>
      </w:r>
      <w:bookmarkStart w:id="6463" w:name="pg1809_19700"/>
    </w:p>
    <w:p>
      <w:pPr>
        <w:pStyle w:val="Heading4"/>
        <w:numPr>
          <w:ilvl w:val="3"/>
          <w:numId w:val="1"/>
        </w:numPr>
        <w:rPr/>
      </w:pPr>
      <w:bookmarkStart w:id="6464" w:name="__RefHeading___Toc2570832_3650668749"/>
      <w:bookmarkStart w:id="6465" w:name="_Toc2925"/>
      <w:bookmarkEnd w:id="6463"/>
      <w:bookmarkEnd w:id="6464"/>
      <w:r>
        <w:rPr>
          <w:rtl w:val="true"/>
        </w:rPr>
        <w:t>[ (</w:t>
      </w:r>
      <w:r>
        <w:rPr>
          <w:rtl w:val="true"/>
        </w:rPr>
        <w:t xml:space="preserve">مسألة </w:t>
      </w:r>
      <w:r>
        <w:rPr/>
        <w:t>29</w:t>
      </w:r>
      <w:r>
        <w:rPr>
          <w:rtl w:val="true"/>
        </w:rPr>
        <w:t xml:space="preserve">): </w:t>
      </w:r>
      <w:r>
        <w:rPr>
          <w:rtl w:val="true"/>
        </w:rPr>
        <w:t>یجوز أن یأکل الإنسان و لو مع عدم الضرورة</w:t>
      </w:r>
      <w:r>
        <w:rPr>
          <w:rtl w:val="true"/>
        </w:rPr>
        <w:t>]</w:t>
      </w:r>
      <w:bookmarkEnd w:id="6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یأکل الإنسان و لو مع عدم الضرورة من بیوت من تضمّنته الآیة الشریفة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الآباء و الأُمّهات و الإخوان و الأخوات و الأعمام و العمّات و الأخوال و الخالات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لمن کان وکیلًا علیٰ بیت أحد مفوّضاً إلیه أُموره و حفظه بما فیه، أن یأکل من بیت موکّله، و هو المراد من مٰا مَلَکْتُمْ مَفٰاتِحَهُ المذکور فی تلک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أن یأکل الصدیق من بیت صدیقه، و کذا الزوجة من بیت زوجها، و الأب و الأُمّ من بیت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یجوز الأکل من تلک البیوت إذا لم یعلم کراهة صاحب البیت، فیکون امتیازها عن غیرها بعدم توقّف جواز الأکل منها علیٰ إحراز الرضا و الإذن من صاحبها، فیجوز مع الشکّ، بل و مع الظنّ بالعدم أیضاً علی الأقویٰ </w:t>
      </w:r>
      <w:r>
        <w:rPr>
          <w:rStyle w:val="FootnoteAnchor"/>
          <w:rtl w:val="true"/>
        </w:rPr>
        <w:footnoteReference w:id="1700"/>
      </w:r>
      <w:r>
        <w:rPr>
          <w:rFonts w:ascii="IRNazanin" w:hAnsi="IRNazanin" w:eastAsia="IRNazanin"/>
          <w:color w:val="111111"/>
          <w:sz w:val="28"/>
          <w:sz w:val="28"/>
          <w:szCs w:val="28"/>
          <w:rtl w:val="true"/>
          <w:lang w:bidi="fa-IR"/>
        </w:rPr>
        <w:t>بخلاف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اختصاص الحکم بما یعتاد أکله من الخبز و التمر و الإدام و الفواکه و البقول و نحوها، دون نفائس الأطعمة التی تدّخر غالباً لمواقع الحاجة و للأضیاف ذوی الشرف و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التعدیة إلیٰ غیر المأکول من المشروبات العادیّة؛ من الماء و اللبن المخیض و اللبن الحلیب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یتعدّی إلیٰ بیوت غیرهم، و لا إلیٰ غیر بیوتهم کدکاکینهم و بساتینهم، کما أنّه یقتصر علیٰ ما فی البیت من المأکول، فلا یتعدّیٰ إلیٰ ما یشتری من الخارج بثمن یؤخذ من البیت</w:t>
      </w:r>
      <w:r>
        <w:rPr>
          <w:rFonts w:eastAsia="IRNazanin" w:cs="IRNazanin"/>
          <w:color w:val="111111"/>
          <w:sz w:val="28"/>
          <w:szCs w:val="28"/>
          <w:rtl w:val="true"/>
          <w:lang w:bidi="fa-IR"/>
        </w:rPr>
        <w:t>.</w:t>
      </w:r>
    </w:p>
    <w:p>
      <w:pPr>
        <w:pStyle w:val="Heading4"/>
        <w:numPr>
          <w:ilvl w:val="3"/>
          <w:numId w:val="1"/>
        </w:numPr>
        <w:rPr/>
      </w:pPr>
      <w:bookmarkStart w:id="6466" w:name="__RefHeading___Toc2570834_3650668749"/>
      <w:bookmarkStart w:id="6467" w:name="_Toc2926"/>
      <w:bookmarkEnd w:id="6466"/>
      <w:r>
        <w:rPr>
          <w:rtl w:val="true"/>
        </w:rPr>
        <w:t>[ (</w:t>
      </w:r>
      <w:r>
        <w:rPr>
          <w:rtl w:val="true"/>
        </w:rPr>
        <w:t xml:space="preserve">مسألة </w:t>
      </w:r>
      <w:r>
        <w:rPr/>
        <w:t>30</w:t>
      </w:r>
      <w:r>
        <w:rPr>
          <w:rtl w:val="true"/>
        </w:rPr>
        <w:t xml:space="preserve">): </w:t>
      </w:r>
      <w:r>
        <w:rPr>
          <w:rtl w:val="true"/>
        </w:rPr>
        <w:t>تباح جمیع المحرّمات المزبورة حال الضرورة</w:t>
      </w:r>
      <w:r>
        <w:rPr>
          <w:rtl w:val="true"/>
        </w:rPr>
        <w:t>]</w:t>
      </w:r>
      <w:bookmarkEnd w:id="6467"/>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تباح جمیع المحرّمات المزبورة حال الضرورة؛ إمّا لتوقّف حفظ نفسه و سدّ رمقه علیٰ تناوله، أو لعروض المرض الشدید الذی لا یتحمّل عادة بترکه، أو لأداء ترکه إلیٰ لحوق الضعف المفرط المؤدّی إلی المرض </w:t>
      </w:r>
      <w:r>
        <w:rPr>
          <w:rStyle w:val="FootnoteAnchor"/>
          <w:rtl w:val="true"/>
        </w:rPr>
        <w:footnoteReference w:id="1701"/>
      </w:r>
      <w:r>
        <w:rPr>
          <w:rFonts w:ascii="IRNazanin" w:hAnsi="IRNazanin" w:eastAsia="IRNazanin"/>
          <w:color w:val="111111"/>
          <w:sz w:val="28"/>
          <w:sz w:val="28"/>
          <w:szCs w:val="28"/>
          <w:rtl w:val="true"/>
          <w:lang w:bidi="fa-IR"/>
        </w:rPr>
        <w:t>أو التلف، أو المؤدّی للتخلّف عن الرفقة مع ظهور أمارة العطب،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خیف بترکه علیٰ نفس اخریٰ محترمة، کالحامل تخاف علیٰ جنینها، و المرضعة علیٰ طفلها، بل و من الضرورة خوف طول المرض </w:t>
      </w:r>
      <w:r>
        <w:rPr>
          <w:rStyle w:val="FootnoteAnchor"/>
          <w:rtl w:val="true"/>
        </w:rPr>
        <w:footnoteReference w:id="1702"/>
      </w:r>
      <w:r>
        <w:rPr>
          <w:rFonts w:ascii="IRNazanin" w:hAnsi="IRNazanin" w:eastAsia="IRNazanin"/>
          <w:color w:val="111111"/>
          <w:sz w:val="28"/>
          <w:sz w:val="28"/>
          <w:szCs w:val="28"/>
          <w:rtl w:val="true"/>
          <w:lang w:bidi="fa-IR"/>
        </w:rPr>
        <w:t>أو عسر علاجه بترک التناول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المدار فی الکلّ علی الخوف الحاصل من العلم أو الظنّ </w:t>
      </w:r>
      <w:r>
        <w:rPr>
          <w:rStyle w:val="FootnoteAnchor"/>
          <w:rtl w:val="true"/>
        </w:rPr>
        <w:footnoteReference w:id="1703"/>
      </w:r>
      <w:r>
        <w:rPr>
          <w:rFonts w:ascii="IRNazanin" w:hAnsi="IRNazanin" w:eastAsia="IRNazanin"/>
          <w:color w:val="111111"/>
          <w:sz w:val="28"/>
          <w:sz w:val="28"/>
          <w:szCs w:val="28"/>
          <w:rtl w:val="true"/>
          <w:lang w:bidi="fa-IR"/>
        </w:rPr>
        <w:t>بالترتّب، لا مجرّد الوهم و الاحتمال</w:t>
      </w:r>
      <w:r>
        <w:rPr>
          <w:rFonts w:eastAsia="IRNazanin" w:cs="IRNazanin"/>
          <w:color w:val="111111"/>
          <w:sz w:val="28"/>
          <w:szCs w:val="28"/>
          <w:rtl w:val="true"/>
          <w:lang w:bidi="fa-IR"/>
        </w:rPr>
        <w:t>.</w:t>
      </w:r>
      <w:bookmarkStart w:id="6468" w:name="pg1809_19703"/>
    </w:p>
    <w:p>
      <w:pPr>
        <w:pStyle w:val="Heading4"/>
        <w:numPr>
          <w:ilvl w:val="3"/>
          <w:numId w:val="1"/>
        </w:numPr>
        <w:rPr/>
      </w:pPr>
      <w:bookmarkStart w:id="6469" w:name="__RefHeading___Toc2570836_3650668749"/>
      <w:bookmarkStart w:id="6470" w:name="_Toc2927"/>
      <w:bookmarkEnd w:id="6468"/>
      <w:bookmarkEnd w:id="6469"/>
      <w:r>
        <w:rPr>
          <w:rtl w:val="true"/>
        </w:rPr>
        <w:t>[ (</w:t>
      </w:r>
      <w:r>
        <w:rPr>
          <w:rtl w:val="true"/>
        </w:rPr>
        <w:t xml:space="preserve">مسألة </w:t>
      </w:r>
      <w:r>
        <w:rPr/>
        <w:t>31</w:t>
      </w:r>
      <w:r>
        <w:rPr>
          <w:rtl w:val="true"/>
        </w:rPr>
        <w:t xml:space="preserve">): </w:t>
      </w:r>
      <w:r>
        <w:rPr>
          <w:rtl w:val="true"/>
        </w:rPr>
        <w:t>و من الضرورات المبیحة للمحرّمات الإکراه و التقیّة عمّن یخاف منه علیٰ نفسه</w:t>
      </w:r>
      <w:r>
        <w:rPr>
          <w:rtl w:val="true"/>
        </w:rPr>
        <w:t>]</w:t>
      </w:r>
      <w:bookmarkEnd w:id="6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الضرورات المبیحة للمحرّمات الإکراه و التقیّة عمّن یخاف منه علیٰ نفسه أو نفس محترمة، أو علیٰ عرضه أو عرض محترم، أو مال محترم </w:t>
      </w:r>
      <w:r>
        <w:rPr>
          <w:rStyle w:val="FootnoteAnchor"/>
          <w:rtl w:val="true"/>
        </w:rPr>
        <w:footnoteReference w:id="1704"/>
      </w:r>
      <w:r>
        <w:rPr>
          <w:rFonts w:ascii="IRNazanin" w:hAnsi="IRNazanin" w:eastAsia="IRNazanin"/>
          <w:color w:val="111111"/>
          <w:sz w:val="28"/>
          <w:sz w:val="28"/>
          <w:szCs w:val="28"/>
          <w:rtl w:val="true"/>
          <w:lang w:bidi="fa-IR"/>
        </w:rPr>
        <w:t>یجب علیه حفظه</w:t>
      </w:r>
      <w:r>
        <w:rPr>
          <w:rFonts w:eastAsia="IRNazanin" w:cs="IRNazanin"/>
          <w:color w:val="111111"/>
          <w:sz w:val="28"/>
          <w:szCs w:val="28"/>
          <w:rtl w:val="true"/>
          <w:lang w:bidi="fa-IR"/>
        </w:rPr>
        <w:t>.</w:t>
      </w:r>
    </w:p>
    <w:p>
      <w:pPr>
        <w:pStyle w:val="Heading4"/>
        <w:numPr>
          <w:ilvl w:val="3"/>
          <w:numId w:val="1"/>
        </w:numPr>
        <w:rPr/>
      </w:pPr>
      <w:bookmarkStart w:id="6471" w:name="__RefHeading___Toc2570838_3650668749"/>
      <w:bookmarkStart w:id="6472" w:name="_Toc2928"/>
      <w:bookmarkEnd w:id="6471"/>
      <w:r>
        <w:rPr>
          <w:rtl w:val="true"/>
        </w:rPr>
        <w:t>[ (</w:t>
      </w:r>
      <w:r>
        <w:rPr>
          <w:rtl w:val="true"/>
        </w:rPr>
        <w:t xml:space="preserve">مسألة </w:t>
      </w:r>
      <w:r>
        <w:rPr/>
        <w:t>32</w:t>
      </w:r>
      <w:r>
        <w:rPr>
          <w:rtl w:val="true"/>
        </w:rPr>
        <w:t xml:space="preserve">): </w:t>
      </w:r>
      <w:r>
        <w:rPr>
          <w:rtl w:val="true"/>
        </w:rPr>
        <w:t>فی کلّ مورد یتوقّف حفظ النفس علی ارتکاب محرّم، یجب الارتکاب</w:t>
      </w:r>
      <w:r>
        <w:rPr>
          <w:rtl w:val="true"/>
        </w:rPr>
        <w:t>]</w:t>
      </w:r>
      <w:bookmarkEnd w:id="6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مورد یتوقّف حفظ النفس علی ارتکاب محرّم، یجب الارتکاب فلا یجوز له التنزّه و الحال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الخمر و الطین و بین سائر المحرّمات فی هذا الحکم و القول بوجوب التنزّه عن الخمر و الطین حتّی مع الضرورة و أنّه لا یباحان بها ضعیف، خصوصاً فی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أصابه عطش حتّی خاف علیٰ نفسه فأصاب خمراً جاز بل وجب شربها، و کذا إن اضطرّ إلیٰ أکل الطین</w:t>
      </w:r>
      <w:r>
        <w:rPr>
          <w:rFonts w:eastAsia="IRNazanin" w:cs="IRNazanin"/>
          <w:color w:val="111111"/>
          <w:sz w:val="28"/>
          <w:szCs w:val="28"/>
          <w:rtl w:val="true"/>
          <w:lang w:bidi="fa-IR"/>
        </w:rPr>
        <w:t>.</w:t>
      </w:r>
    </w:p>
    <w:p>
      <w:pPr>
        <w:pStyle w:val="Heading4"/>
        <w:numPr>
          <w:ilvl w:val="3"/>
          <w:numId w:val="1"/>
        </w:numPr>
        <w:rPr/>
      </w:pPr>
      <w:bookmarkStart w:id="6473" w:name="__RefHeading___Toc2570840_3650668749"/>
      <w:bookmarkStart w:id="6474" w:name="_Toc2929"/>
      <w:bookmarkEnd w:id="6473"/>
      <w:r>
        <w:rPr>
          <w:rtl w:val="true"/>
        </w:rPr>
        <w:t>[ (</w:t>
      </w:r>
      <w:r>
        <w:rPr>
          <w:rtl w:val="true"/>
        </w:rPr>
        <w:t xml:space="preserve">مسألة </w:t>
      </w:r>
      <w:r>
        <w:rPr/>
        <w:t>33</w:t>
      </w:r>
      <w:r>
        <w:rPr>
          <w:rtl w:val="true"/>
        </w:rPr>
        <w:t xml:space="preserve">): </w:t>
      </w:r>
      <w:r>
        <w:rPr>
          <w:rtl w:val="true"/>
        </w:rPr>
        <w:t>إذا اضطرّ إلیٰ محرّم فلیقتصر علیٰ مقدار الضرورة</w:t>
      </w:r>
      <w:r>
        <w:rPr>
          <w:rtl w:val="true"/>
        </w:rPr>
        <w:t>]</w:t>
      </w:r>
      <w:bookmarkEnd w:id="6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إلیٰ محرّم فلیقتصر علیٰ مقدار الضرورة و لا یجوز له الزیادة، فإذا اقتضت الضرورة أن یأکل المیتة لسدّ رمقه فلیقتصر علیٰ ذلک، و لا یجوز له أن یأکل حدّ الشبع، إلّا إذا فرض أنّ ضرورته لا تندفع إلّا بالشبع</w:t>
      </w:r>
      <w:r>
        <w:rPr>
          <w:rFonts w:eastAsia="IRNazanin" w:cs="IRNazanin"/>
          <w:color w:val="111111"/>
          <w:sz w:val="28"/>
          <w:szCs w:val="28"/>
          <w:rtl w:val="true"/>
          <w:lang w:bidi="fa-IR"/>
        </w:rPr>
        <w:t>.</w:t>
      </w:r>
    </w:p>
    <w:p>
      <w:pPr>
        <w:pStyle w:val="Heading4"/>
        <w:numPr>
          <w:ilvl w:val="3"/>
          <w:numId w:val="1"/>
        </w:numPr>
        <w:rPr/>
      </w:pPr>
      <w:bookmarkStart w:id="6475" w:name="__RefHeading___Toc2570842_3650668749"/>
      <w:bookmarkStart w:id="6476" w:name="_Toc2930"/>
      <w:bookmarkEnd w:id="6475"/>
      <w:r>
        <w:rPr>
          <w:rtl w:val="true"/>
        </w:rPr>
        <w:t>[ (</w:t>
      </w:r>
      <w:r>
        <w:rPr>
          <w:rtl w:val="true"/>
        </w:rPr>
        <w:t xml:space="preserve">مسألة </w:t>
      </w:r>
      <w:r>
        <w:rPr/>
        <w:t>34</w:t>
      </w:r>
      <w:r>
        <w:rPr>
          <w:rtl w:val="true"/>
        </w:rPr>
        <w:t xml:space="preserve">): </w:t>
      </w:r>
      <w:r>
        <w:rPr>
          <w:rtl w:val="true"/>
        </w:rPr>
        <w:t>یجوز التداوی لمعالجة الأمراض بکلّ محرّم إذا انحصر به العلاج</w:t>
      </w:r>
      <w:r>
        <w:rPr>
          <w:rtl w:val="true"/>
        </w:rPr>
        <w:t>]</w:t>
      </w:r>
      <w:bookmarkEnd w:id="6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التداوی لمعالجة الأمراض بکلّ محرّم إذا انحصر به العلاج و لو بحکم الحذّاق الثقات من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المدار علی انحصار العلاج به بین ما بأیدی الناس ممّا یعالج به هذا الداء، لا الانحصار واقعاً فإنّه ممّا لا یحیط به إدراک البشر</w:t>
      </w:r>
      <w:r>
        <w:rPr>
          <w:rFonts w:eastAsia="IRNazanin" w:cs="IRNazanin"/>
          <w:color w:val="111111"/>
          <w:sz w:val="28"/>
          <w:szCs w:val="28"/>
          <w:rtl w:val="true"/>
          <w:lang w:bidi="fa-IR"/>
        </w:rPr>
        <w:t>.</w:t>
      </w:r>
    </w:p>
    <w:p>
      <w:pPr>
        <w:pStyle w:val="Heading4"/>
        <w:numPr>
          <w:ilvl w:val="3"/>
          <w:numId w:val="1"/>
        </w:numPr>
        <w:rPr/>
      </w:pPr>
      <w:bookmarkStart w:id="6477" w:name="__RefHeading___Toc2570844_3650668749"/>
      <w:bookmarkStart w:id="6478" w:name="_Toc2931"/>
      <w:bookmarkEnd w:id="6477"/>
      <w:r>
        <w:rPr>
          <w:rtl w:val="true"/>
        </w:rPr>
        <w:t>[ (</w:t>
      </w:r>
      <w:r>
        <w:rPr>
          <w:rtl w:val="true"/>
        </w:rPr>
        <w:t xml:space="preserve">مسألة </w:t>
      </w:r>
      <w:r>
        <w:rPr/>
        <w:t>35</w:t>
      </w:r>
      <w:r>
        <w:rPr>
          <w:rtl w:val="true"/>
        </w:rPr>
        <w:t xml:space="preserve">): </w:t>
      </w:r>
      <w:r>
        <w:rPr>
          <w:rtl w:val="true"/>
        </w:rPr>
        <w:t>المشهور عدم جواز التداوی بالخمر</w:t>
      </w:r>
      <w:r>
        <w:rPr>
          <w:rtl w:val="true"/>
        </w:rPr>
        <w:t>]</w:t>
      </w:r>
      <w:bookmarkEnd w:id="6478"/>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عدم جواز التداوی بالخمر، بل بکلّ مسکر حتّی مع الانحصار، لکن الجواز لا یخلو من قوّة بشرط العلم بکون المرض قابلًا للعلاج و العلم بأنّ ترک معالجته یؤدّی إلی الهلاک أو إلیٰ ما یدانیه، و العلم بانحصار العلاج به بالمعنی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یخفی شدّة أمر الخمر فلا یبادر إلیٰ تناولها و المعالجة بها إلّا إذا رأی من نفسه الهلاک لو ترک التداوی بها و لو بسبب توافق جماعة من الحذّاق و أُولی الدیانة و الدرایة من الأطبّاء، و إلّا فلیصطبر علی المشقّة، فلعلّ الباری تعالیٰ شأنه یعافیه لما رأی منه التحفّظ علیٰ دینه، فعن الثقة الجلیل عبد اللّٰه بن أبی یعفور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أصابته هذه الأوجاع فإذا اشتدّت شرب الحسو من النبیذ فسکن عنه، فدخل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بوجعه و أنّه إذا شرب الحسو من النبیذ سکن عنه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أن رجع إلی الکوفة هاج به</w:t>
      </w:r>
      <w:bookmarkStart w:id="6479" w:name="pg1809_19705"/>
    </w:p>
    <w:p>
      <w:pPr>
        <w:pStyle w:val="BookText"/>
        <w:rPr/>
      </w:pPr>
      <w:bookmarkEnd w:id="6479"/>
      <w:r>
        <w:rPr>
          <w:rFonts w:ascii="IRNazanin" w:hAnsi="IRNazanin" w:eastAsia="IRNazanin"/>
          <w:color w:val="111111"/>
          <w:sz w:val="28"/>
          <w:sz w:val="28"/>
          <w:szCs w:val="28"/>
          <w:rtl w:val="true"/>
          <w:lang w:bidi="fa-IR"/>
        </w:rPr>
        <w:t xml:space="preserve">وجعه، فأقبل أهله فلم یزالوا به حتّی شرب فساعة شرب منه سکن عنه، فعاد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بوجعه و شربه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أبی یعفور لا تشرب فإنّه حرام، إنّما هو الشیطان موکّل بک، و لو قد یئس منک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رجع إلی الکوفة هاج به وجعه أشدّ ممّا کان فأقبل أهله علیه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أذوق منه قطرة أبداً فآیسوا منه أهله فکان یتّهم علیٰ شی‌ء و لا یحلف و کان إذا حلف علیٰ شی‌ء لا یخلف، فلمّا سمعوا آیسوا منه و اشتدّ به الوجع أیّاماً ثمّ أذهب اللّٰه به عنه، فما عاد إلیه حتّی مات رحمة اللّٰه علیه</w:t>
      </w:r>
      <w:r>
        <w:rPr>
          <w:rFonts w:eastAsia="IRNazanin" w:cs="IRNazanin"/>
          <w:color w:val="111111"/>
          <w:sz w:val="28"/>
          <w:szCs w:val="28"/>
          <w:rtl w:val="true"/>
          <w:lang w:bidi="fa-IR"/>
        </w:rPr>
        <w:t>.</w:t>
      </w:r>
    </w:p>
    <w:p>
      <w:pPr>
        <w:pStyle w:val="Heading4"/>
        <w:numPr>
          <w:ilvl w:val="3"/>
          <w:numId w:val="1"/>
        </w:numPr>
        <w:rPr/>
      </w:pPr>
      <w:bookmarkStart w:id="6480" w:name="__RefHeading___Toc2570846_3650668749"/>
      <w:bookmarkStart w:id="6481" w:name="_Toc2932"/>
      <w:bookmarkEnd w:id="6480"/>
      <w:r>
        <w:rPr>
          <w:rtl w:val="true"/>
        </w:rPr>
        <w:t>[ (</w:t>
      </w:r>
      <w:r>
        <w:rPr>
          <w:rtl w:val="true"/>
        </w:rPr>
        <w:t xml:space="preserve">مسألة </w:t>
      </w:r>
      <w:r>
        <w:rPr/>
        <w:t>36</w:t>
      </w:r>
      <w:r>
        <w:rPr>
          <w:rtl w:val="true"/>
        </w:rPr>
        <w:t xml:space="preserve">): </w:t>
      </w:r>
      <w:r>
        <w:rPr>
          <w:rtl w:val="true"/>
        </w:rPr>
        <w:t>لو اضطرّ إلیٰ أکل طعام الغیر لسدّ رمقه و کان المالک حاضراً</w:t>
      </w:r>
      <w:r>
        <w:rPr>
          <w:rtl w:val="true"/>
        </w:rPr>
        <w:t>]</w:t>
      </w:r>
      <w:bookmarkEnd w:id="6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اضطرّ إلیٰ أکل طعام الغیر لسدّ رمقه و کان المالک حاضراً، فإن کان هو أیضاً مضطرّاً لم یجب علیه، بل لا یجوز </w:t>
      </w:r>
      <w:r>
        <w:rPr>
          <w:rStyle w:val="FootnoteAnchor"/>
          <w:rtl w:val="true"/>
        </w:rPr>
        <w:footnoteReference w:id="1705"/>
      </w:r>
      <w:r>
        <w:rPr>
          <w:rFonts w:ascii="IRNazanin" w:hAnsi="IRNazanin" w:eastAsia="IRNazanin"/>
          <w:color w:val="111111"/>
          <w:sz w:val="28"/>
          <w:sz w:val="28"/>
          <w:szCs w:val="28"/>
          <w:rtl w:val="true"/>
          <w:lang w:bidi="fa-IR"/>
        </w:rPr>
        <w:t>له بذله و لا یجوز للمضطرّ قهره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مضطرّاً یجب علیه بذله للمضطرّ، و إن امتنع عن البذل جاز له قهره، بل مقاتلته و الأخذ منه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یتعیّن علی المالک بذله مجّاناً، فله أن لا یبذله إلّا بالعوض، و لیس للمضطرّ قهره بدونه، فإن اختار البذل بالعوض فإن لم یقدّره بمقدار کان له علیه ثمن مثل ما أکله، أو مثله إن کان مثلیّا، و إن قدّره لم یتعیّن علیه تقدیره بثمن المثل أو أقلّ، بل له أن یقدّره بأزید منه </w:t>
      </w:r>
      <w:r>
        <w:rPr>
          <w:rStyle w:val="FootnoteAnchor"/>
          <w:rtl w:val="true"/>
        </w:rPr>
        <w:footnoteReference w:id="1706"/>
      </w:r>
      <w:r>
        <w:rPr>
          <w:rFonts w:ascii="IRNazanin" w:hAnsi="IRNazanin" w:eastAsia="IRNazanin"/>
          <w:color w:val="111111"/>
          <w:sz w:val="28"/>
          <w:sz w:val="28"/>
          <w:szCs w:val="28"/>
          <w:rtl w:val="true"/>
          <w:lang w:bidi="fa-IR"/>
        </w:rPr>
        <w:t>، و حینئذٍ إذا کان المضطرّ قادراً علیٰ دفعه یجب علیه الدفع إذا طالبه به و إن کان عاجزاً یکون فی ذمّته یتّبع تمکّنه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المالک حاضراً، و أمّا إذا کان غائباً فله الأکل منه بمقدار سدّ رمقه و تقدیر الثمن و جعله فی ذمّته، و لا یکون أقلّ من ثمن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المراجعة إلی الحاکم لو وجد، و مع عدمه فإلیٰ عدول المؤمنین</w:t>
      </w:r>
      <w:r>
        <w:rPr>
          <w:rFonts w:eastAsia="IRNazanin" w:cs="IRNazanin"/>
          <w:color w:val="111111"/>
          <w:sz w:val="28"/>
          <w:szCs w:val="28"/>
          <w:rtl w:val="true"/>
          <w:lang w:bidi="fa-IR"/>
        </w:rPr>
        <w:t>.</w:t>
      </w:r>
    </w:p>
    <w:p>
      <w:pPr>
        <w:pStyle w:val="Heading4"/>
        <w:numPr>
          <w:ilvl w:val="3"/>
          <w:numId w:val="1"/>
        </w:numPr>
        <w:rPr/>
      </w:pPr>
      <w:bookmarkStart w:id="6482" w:name="__RefHeading___Toc2570848_3650668749"/>
      <w:bookmarkStart w:id="6483" w:name="_Toc2933"/>
      <w:bookmarkEnd w:id="6482"/>
      <w:r>
        <w:rPr>
          <w:rtl w:val="true"/>
        </w:rPr>
        <w:t>[ (</w:t>
      </w:r>
      <w:r>
        <w:rPr>
          <w:rtl w:val="true"/>
        </w:rPr>
        <w:t xml:space="preserve">مسألة </w:t>
      </w:r>
      <w:r>
        <w:rPr/>
        <w:t>37</w:t>
      </w:r>
      <w:r>
        <w:rPr>
          <w:rtl w:val="true"/>
        </w:rPr>
        <w:t xml:space="preserve">): </w:t>
      </w:r>
      <w:r>
        <w:rPr>
          <w:rtl w:val="true"/>
        </w:rPr>
        <w:t>یحرم الأکل علیٰ مائدة یشرب علیها شی‌ء من الخمر</w:t>
      </w:r>
      <w:r>
        <w:rPr>
          <w:rtl w:val="true"/>
        </w:rPr>
        <w:t>]</w:t>
      </w:r>
      <w:bookmarkEnd w:id="6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الأکل علیٰ مائدة یشرب علیها شی‌ء من الخمر، بل و غیرها من المسکرات و کذا الفقّاع، بل ذهب بعض العلماء إلیٰ حرمة کلّ طعام یعصی اللّٰه تعالیٰ به أو علیه</w:t>
      </w:r>
      <w:r>
        <w:rPr>
          <w:rFonts w:eastAsia="IRNazanin" w:cs="IRNazanin"/>
          <w:color w:val="111111"/>
          <w:sz w:val="28"/>
          <w:szCs w:val="28"/>
          <w:rtl w:val="true"/>
          <w:lang w:bidi="fa-IR"/>
        </w:rPr>
        <w:t>.</w:t>
      </w:r>
    </w:p>
    <w:p>
      <w:pPr>
        <w:pStyle w:val="Heading3"/>
        <w:numPr>
          <w:ilvl w:val="2"/>
          <w:numId w:val="1"/>
        </w:numPr>
        <w:rPr/>
      </w:pPr>
      <w:bookmarkStart w:id="6484" w:name="__RefHeading___Toc2570850_3650668749"/>
      <w:bookmarkStart w:id="6485" w:name="_Toc2934"/>
      <w:bookmarkEnd w:id="6484"/>
      <w:r>
        <w:rPr>
          <w:rtl w:val="true"/>
        </w:rPr>
        <w:t>[</w:t>
      </w:r>
      <w:r>
        <w:rPr>
          <w:rtl w:val="true"/>
        </w:rPr>
        <w:t>خاتمة</w:t>
      </w:r>
      <w:r>
        <w:rPr>
          <w:rtl w:val="true"/>
        </w:rPr>
        <w:t xml:space="preserve">: </w:t>
      </w:r>
      <w:r>
        <w:rPr>
          <w:rtl w:val="true"/>
        </w:rPr>
        <w:t>فی بعض الآداب المتعلّقة بالأکل و الشرب</w:t>
      </w:r>
      <w:r>
        <w:rPr>
          <w:rtl w:val="true"/>
        </w:rPr>
        <w:t>]</w:t>
      </w:r>
      <w:bookmarkEnd w:id="6485"/>
    </w:p>
    <w:p>
      <w:pPr>
        <w:pStyle w:val="Heading4"/>
        <w:numPr>
          <w:ilvl w:val="3"/>
          <w:numId w:val="1"/>
        </w:numPr>
        <w:rPr/>
      </w:pPr>
      <w:bookmarkStart w:id="6486" w:name="__RefHeading___Toc2570852_3650668749"/>
      <w:bookmarkStart w:id="6487" w:name="_Toc2935"/>
      <w:bookmarkEnd w:id="6486"/>
      <w:r>
        <w:rPr>
          <w:rtl w:val="true"/>
        </w:rPr>
        <w:t>اشارة</w:t>
      </w:r>
      <w:bookmarkEnd w:id="6487"/>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الآداب المتعلّقة بالأکل و الشرب</w:t>
      </w:r>
    </w:p>
    <w:p>
      <w:pPr>
        <w:pStyle w:val="Heading4"/>
        <w:numPr>
          <w:ilvl w:val="3"/>
          <w:numId w:val="1"/>
        </w:numPr>
        <w:rPr/>
      </w:pPr>
      <w:bookmarkStart w:id="6488" w:name="__RefHeading___Toc2570854_3650668749"/>
      <w:bookmarkStart w:id="6489" w:name="_Toc2936"/>
      <w:bookmarkEnd w:id="6488"/>
      <w:r>
        <w:rPr>
          <w:rtl w:val="true"/>
        </w:rPr>
        <w:t>[</w:t>
      </w:r>
      <w:r>
        <w:rPr>
          <w:rtl w:val="true"/>
        </w:rPr>
        <w:t>فأمّا آداب الأکل فهی بین مستحبّ و مکروه</w:t>
      </w:r>
      <w:r>
        <w:rPr>
          <w:rtl w:val="true"/>
        </w:rPr>
        <w:t>]</w:t>
      </w:r>
      <w:bookmarkEnd w:id="6489"/>
    </w:p>
    <w:p>
      <w:pPr>
        <w:pStyle w:val="Heading5"/>
        <w:numPr>
          <w:ilvl w:val="4"/>
          <w:numId w:val="1"/>
        </w:numPr>
        <w:rPr/>
      </w:pPr>
      <w:bookmarkStart w:id="6490" w:name="__RefHeading___Toc2570856_3650668749"/>
      <w:bookmarkStart w:id="6491" w:name="_Toc2937"/>
      <w:bookmarkEnd w:id="6490"/>
      <w:r>
        <w:rPr>
          <w:rtl w:val="true"/>
        </w:rPr>
        <w:t>اشارة</w:t>
      </w:r>
      <w:bookmarkEnd w:id="6491"/>
    </w:p>
    <w:p>
      <w:pPr>
        <w:pStyle w:val="BookText"/>
        <w:rPr/>
      </w:pPr>
      <w:r>
        <w:rPr>
          <w:rFonts w:ascii="IRNazanin" w:hAnsi="IRNazanin" w:eastAsia="IRNazanin"/>
          <w:color w:val="111111"/>
          <w:sz w:val="28"/>
          <w:sz w:val="28"/>
          <w:szCs w:val="28"/>
          <w:rtl w:val="true"/>
          <w:lang w:bidi="fa-IR"/>
        </w:rPr>
        <w:t>فأمّا آداب الأکل فهی بین مستحبّ و مکروه</w:t>
      </w:r>
      <w:r>
        <w:rPr>
          <w:rFonts w:eastAsia="IRNazanin" w:cs="IRNazanin"/>
          <w:color w:val="111111"/>
          <w:sz w:val="28"/>
          <w:szCs w:val="28"/>
          <w:rtl w:val="true"/>
          <w:lang w:bidi="fa-IR"/>
        </w:rPr>
        <w:t>.</w:t>
      </w:r>
    </w:p>
    <w:p>
      <w:pPr>
        <w:pStyle w:val="Heading5"/>
        <w:numPr>
          <w:ilvl w:val="4"/>
          <w:numId w:val="1"/>
        </w:numPr>
        <w:rPr/>
      </w:pPr>
      <w:bookmarkStart w:id="6492" w:name="__RefHeading___Toc2570858_3650668749"/>
      <w:bookmarkStart w:id="6493" w:name="_Toc2938"/>
      <w:bookmarkEnd w:id="6492"/>
      <w:r>
        <w:rPr>
          <w:rtl w:val="true"/>
        </w:rPr>
        <w:t>[</w:t>
      </w:r>
      <w:r>
        <w:rPr>
          <w:rtl w:val="true"/>
        </w:rPr>
        <w:t>أمّا المستحبّ</w:t>
      </w:r>
      <w:r>
        <w:rPr>
          <w:rtl w:val="true"/>
        </w:rPr>
        <w:t>]</w:t>
      </w:r>
      <w:bookmarkEnd w:id="6493"/>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المستحبّ فأُمور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الیدین معاً قبل الطعام و بعده؛ مائعاً کان الطعام أو جامداً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جماعة علی المائدة یبدأ فی الغسل الأوّل بصاحب الطعام ثمّ بمن علیٰ یمینه و یدور إلیٰ أن یتمّ الدور علیٰ من فی یسار صاحب الطعام، و فی الغسل الثانی یبدأ بمن فی یسار صاحب الطعام ثمّ یدور إلیٰ أن یختم بصاحب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بالمندیل بعد الغسل الثانی و ترک المسح به بعد الغسل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یسمّی عند الشروع فی الأکل، بل علیٰ کلّ لون علی انفراده عند الشروع فی الأکل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یحمد اللّٰه تعالیٰ بعد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یبدأ صاحب الطعام و أن یکون آخر من یمتنع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یأکل بثلاث أصابع أو أکثر و لا یأکل بإصبعین، و قد ورد أنّه من فعل الجبّارین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یأکل ممّا یلیه إذا کان مع جماعة علیٰ مائدة و لا یتناول من قدّام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اللقمة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المضغ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الجلوس علی الموائد و طول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 الأصابع و مصّها و کذا لطع القصعة و لحسها بعد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الخلال بعد الطعام و أن لا یکون بعود الریحان و قضیب الرمّان و الخوص و القصب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 ما یسقط من الخوان خارج السفرة و الطبق و أکله، فإنّه شفاء من کلّ داءٍ إذا قصد به الاستشفاء، و إنّه ینفی الفقر و یکثر الولد، و هذا فی غیر الصحراء و نحوها، و أمّا فیها فیستحبّ أن یترک للطیر و السبع، بل ورد أنّ ما کان فی الصحراء فدعه و لو فخذ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غداء و عشیّاً و عدم الأکل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یستلقی بعد الأکل علیٰ قفاه و یجعل رجله الیمنیٰ علی الیسریٰ</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الافتتاح بالملح و الاختتام به، فقد ورد أنّ فیه المعافاة عن اثنین و سبعین من</w:t>
      </w:r>
      <w:bookmarkStart w:id="6494" w:name="pg1809_19709"/>
    </w:p>
    <w:p>
      <w:pPr>
        <w:pStyle w:val="BookText"/>
        <w:rPr/>
      </w:pPr>
      <w:bookmarkEnd w:id="6494"/>
      <w:r>
        <w:rPr>
          <w:rFonts w:ascii="IRNazanin" w:hAnsi="IRNazanin" w:eastAsia="IRNazanin"/>
          <w:color w:val="111111"/>
          <w:sz w:val="28"/>
          <w:sz w:val="28"/>
          <w:szCs w:val="28"/>
          <w:rtl w:val="true"/>
          <w:lang w:bidi="fa-IR"/>
        </w:rPr>
        <w:t>البلاء، و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ابدءوا بالملح فی أوّل طعامکم، فلو یعلم الناس ما فی الملح لاختاروه علی التریاق المجرّب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الثمار بالماء قبل أکلها، 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ثمرة سمّاً فإذا أتیتم بها اغمسوها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اغسلوها</w:t>
      </w:r>
      <w:r>
        <w:rPr>
          <w:rFonts w:eastAsia="IRNazanin" w:cs="IRNazanin"/>
          <w:color w:val="111111"/>
          <w:sz w:val="28"/>
          <w:szCs w:val="28"/>
          <w:rtl w:val="true"/>
          <w:lang w:bidi="fa-IR"/>
        </w:rPr>
        <w:t>.</w:t>
      </w:r>
    </w:p>
    <w:p>
      <w:pPr>
        <w:pStyle w:val="Heading5"/>
        <w:numPr>
          <w:ilvl w:val="4"/>
          <w:numId w:val="1"/>
        </w:numPr>
        <w:rPr/>
      </w:pPr>
      <w:bookmarkStart w:id="6495" w:name="__RefHeading___Toc2570860_3650668749"/>
      <w:bookmarkStart w:id="6496" w:name="_Toc2939"/>
      <w:bookmarkEnd w:id="6495"/>
      <w:r>
        <w:rPr>
          <w:rtl w:val="true"/>
        </w:rPr>
        <w:t>[</w:t>
      </w:r>
      <w:r>
        <w:rPr>
          <w:rtl w:val="true"/>
        </w:rPr>
        <w:t>و أمّا المکروه</w:t>
      </w:r>
      <w:r>
        <w:rPr>
          <w:rtl w:val="true"/>
        </w:rPr>
        <w:t>]</w:t>
      </w:r>
      <w:bookmarkEnd w:id="6496"/>
    </w:p>
    <w:p>
      <w:pPr>
        <w:pStyle w:val="BookText"/>
        <w:rPr/>
      </w:pPr>
      <w:r>
        <w:rPr>
          <w:rFonts w:ascii="IRNazanin" w:hAnsi="IRNazanin" w:eastAsia="IRNazanin"/>
          <w:color w:val="111111"/>
          <w:sz w:val="28"/>
          <w:sz w:val="28"/>
          <w:szCs w:val="28"/>
          <w:rtl w:val="true"/>
          <w:lang w:bidi="fa-IR"/>
        </w:rPr>
        <w:t>و أمّا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علی الشبع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التملّؤ من الطعام، 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أبغض إلی اللّٰه من بطن مملوء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خبر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ما یکون العبد إلی اللّٰه إذا خفّ بطنه، و أبغض ما یکون العبد إلی اللّٰه إذا امتلأ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الناس قصدوا فی المطعم لاستقامت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ینبغی الاقتصار علیٰ ما دون الشبع، 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البطن إذا شبع 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خبر آخر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عیسیٰ بن مریم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إسرائیل لا تأکلوا حتّی تجوعوا، و إذا جعتم فکلوا و لا تشبعوا، فإنّکم إذا شبعتم غلظت رقابکم و سمنت جنوبکم و نسیتم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وجوه الناس عند الأکل علی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النفخ علی الطعام و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غیر الخبز إذا وضع الخبز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الخبز بالسکّین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یوضع الخبز تحت إناء و وضع الإناء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فی أکل اللحم الذی علی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تقشیر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بقیّة الثمرة قبل الاستقصاء فی أکلها</w:t>
      </w:r>
      <w:r>
        <w:rPr>
          <w:rFonts w:eastAsia="IRNazanin" w:cs="IRNazanin"/>
          <w:color w:val="111111"/>
          <w:sz w:val="28"/>
          <w:szCs w:val="28"/>
          <w:rtl w:val="true"/>
          <w:lang w:bidi="fa-IR"/>
        </w:rPr>
        <w:t>.</w:t>
      </w:r>
    </w:p>
    <w:p>
      <w:pPr>
        <w:pStyle w:val="Heading4"/>
        <w:numPr>
          <w:ilvl w:val="3"/>
          <w:numId w:val="1"/>
        </w:numPr>
        <w:rPr/>
      </w:pPr>
      <w:bookmarkStart w:id="6497" w:name="__RefHeading___Toc2570862_3650668749"/>
      <w:bookmarkStart w:id="6498" w:name="_Toc2940"/>
      <w:bookmarkEnd w:id="6497"/>
      <w:r>
        <w:rPr>
          <w:rtl w:val="true"/>
        </w:rPr>
        <w:t>[</w:t>
      </w:r>
      <w:r>
        <w:rPr>
          <w:rtl w:val="true"/>
        </w:rPr>
        <w:t>و أمّا آداب الشرب</w:t>
      </w:r>
      <w:r>
        <w:rPr>
          <w:rtl w:val="true"/>
        </w:rPr>
        <w:t>]</w:t>
      </w:r>
      <w:bookmarkEnd w:id="6498"/>
    </w:p>
    <w:p>
      <w:pPr>
        <w:pStyle w:val="Heading5"/>
        <w:numPr>
          <w:ilvl w:val="4"/>
          <w:numId w:val="1"/>
        </w:numPr>
        <w:rPr/>
      </w:pPr>
      <w:bookmarkStart w:id="6499" w:name="__RefHeading___Toc2570864_3650668749"/>
      <w:bookmarkStart w:id="6500" w:name="_Toc2941"/>
      <w:bookmarkEnd w:id="6499"/>
      <w:r>
        <w:rPr>
          <w:rtl w:val="true"/>
        </w:rPr>
        <w:t>اشارة</w:t>
      </w:r>
      <w:bookmarkEnd w:id="6500"/>
    </w:p>
    <w:p>
      <w:pPr>
        <w:pStyle w:val="BookText"/>
        <w:rPr/>
      </w:pPr>
      <w:r>
        <w:rPr>
          <w:rFonts w:ascii="IRNazanin" w:hAnsi="IRNazanin" w:eastAsia="IRNazanin"/>
          <w:color w:val="111111"/>
          <w:sz w:val="28"/>
          <w:sz w:val="28"/>
          <w:szCs w:val="28"/>
          <w:rtl w:val="true"/>
          <w:lang w:bidi="fa-IR"/>
        </w:rPr>
        <w:t>و أمّا آداب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أیضاً بین مندوب و مکروه</w:t>
      </w:r>
      <w:r>
        <w:rPr>
          <w:rFonts w:eastAsia="IRNazanin" w:cs="IRNazanin"/>
          <w:color w:val="111111"/>
          <w:sz w:val="28"/>
          <w:szCs w:val="28"/>
          <w:rtl w:val="true"/>
          <w:lang w:bidi="fa-IR"/>
        </w:rPr>
        <w:t>.</w:t>
      </w:r>
    </w:p>
    <w:p>
      <w:pPr>
        <w:pStyle w:val="Heading5"/>
        <w:numPr>
          <w:ilvl w:val="4"/>
          <w:numId w:val="1"/>
        </w:numPr>
        <w:rPr/>
      </w:pPr>
      <w:bookmarkStart w:id="6501" w:name="__RefHeading___Toc2570866_3650668749"/>
      <w:bookmarkStart w:id="6502" w:name="_Toc2942"/>
      <w:bookmarkEnd w:id="6501"/>
      <w:r>
        <w:rPr>
          <w:rtl w:val="true"/>
        </w:rPr>
        <w:t>[</w:t>
      </w:r>
      <w:r>
        <w:rPr>
          <w:rtl w:val="true"/>
        </w:rPr>
        <w:t>أمّا المندوب</w:t>
      </w:r>
      <w:r>
        <w:rPr>
          <w:rtl w:val="true"/>
        </w:rPr>
        <w:t>]</w:t>
      </w:r>
      <w:bookmarkEnd w:id="6502"/>
    </w:p>
    <w:p>
      <w:pPr>
        <w:pStyle w:val="BookText"/>
        <w:rPr/>
      </w:pPr>
      <w:r>
        <w:rPr>
          <w:rFonts w:ascii="IRNazanin" w:hAnsi="IRNazanin" w:eastAsia="IRNazanin"/>
          <w:color w:val="111111"/>
          <w:sz w:val="28"/>
          <w:sz w:val="28"/>
          <w:szCs w:val="28"/>
          <w:rtl w:val="true"/>
          <w:lang w:bidi="fa-IR"/>
        </w:rPr>
        <w:t>أمّا المندوب</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یشرب الماء مصّاً لا عبّاً، فإنّه کما فی الخبر یوجد منه الکباد، یعنی وجع الکبد</w:t>
      </w:r>
      <w:r>
        <w:rPr>
          <w:rFonts w:eastAsia="IRNazanin" w:cs="IRNazanin"/>
          <w:color w:val="111111"/>
          <w:sz w:val="28"/>
          <w:szCs w:val="28"/>
          <w:rtl w:val="true"/>
          <w:lang w:bidi="fa-IR"/>
        </w:rPr>
        <w:t>.</w:t>
      </w:r>
      <w:bookmarkStart w:id="6503" w:name="pg1809_19711"/>
    </w:p>
    <w:p>
      <w:pPr>
        <w:pStyle w:val="BookText"/>
        <w:rPr/>
      </w:pPr>
      <w:bookmarkEnd w:id="6503"/>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یشرب قائماً بالنهار فإنّه أقوی و أصحّ للبدن و یمرئ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یسمّی عند الشروع و یحمد اللّٰه بعد ما فرغ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یشرب بثلاثة أنفاس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التلذّذ بالماء، 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تلذّذ بالماء فی الدنیا لذّذه اللّٰه من أشربة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یذکر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بیته و یلعن قاتله بعد شرب الماء، فعن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استسقی الماء، فلمّا شربه رأیته قد استعبر و اغرورقت عیناه بدموعه، ثمّ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داود لعن اللّٰه قاتل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أنغص ذکر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للعیش، إنّی ما شربت ماءً بارداً إلّا ذکرت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من عبد شرب الماء فذکر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بیته و لعن قاتله إلّا کتب اللّٰه عزّ و جلّ له مائة ألف حسنة، و حطّ عنه مائة ألف سیّئة و رفع له مائة ألف درجة، و کأنّما أعتق مائة ألف نسمة و حشره اللّٰه یوم القیامة ثلج الفؤاد</w:t>
      </w:r>
      <w:r>
        <w:rPr>
          <w:rFonts w:eastAsia="IRNazanin" w:cs="IRNazanin"/>
          <w:color w:val="111111"/>
          <w:sz w:val="28"/>
          <w:szCs w:val="28"/>
          <w:rtl w:val="true"/>
          <w:lang w:bidi="fa-IR"/>
        </w:rPr>
        <w:t>».</w:t>
      </w:r>
    </w:p>
    <w:p>
      <w:pPr>
        <w:pStyle w:val="Heading5"/>
        <w:numPr>
          <w:ilvl w:val="4"/>
          <w:numId w:val="1"/>
        </w:numPr>
        <w:rPr/>
      </w:pPr>
      <w:bookmarkStart w:id="6504" w:name="__RefHeading___Toc2570868_3650668749"/>
      <w:bookmarkStart w:id="6505" w:name="_Toc2943"/>
      <w:bookmarkEnd w:id="6504"/>
      <w:r>
        <w:rPr>
          <w:rtl w:val="true"/>
        </w:rPr>
        <w:t>[</w:t>
      </w:r>
      <w:r>
        <w:rPr>
          <w:rtl w:val="true"/>
        </w:rPr>
        <w:t>و أمّا المکروه</w:t>
      </w:r>
      <w:r>
        <w:rPr>
          <w:rtl w:val="true"/>
        </w:rPr>
        <w:t>]</w:t>
      </w:r>
      <w:bookmarkEnd w:id="6505"/>
    </w:p>
    <w:p>
      <w:pPr>
        <w:pStyle w:val="BookText"/>
        <w:rPr/>
      </w:pPr>
      <w:r>
        <w:rPr>
          <w:rFonts w:ascii="IRNazanin" w:hAnsi="IRNazanin" w:eastAsia="IRNazanin"/>
          <w:color w:val="111111"/>
          <w:sz w:val="28"/>
          <w:sz w:val="28"/>
          <w:szCs w:val="28"/>
          <w:rtl w:val="true"/>
          <w:lang w:bidi="fa-IR"/>
        </w:rPr>
        <w:t>و أمّا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الإکثار فی شرب الماء فإنّه کما فی الخبر مادّة لکلّ داء، و کان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 رجلًا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شرب الماء، فإنّه یمدّ کلّ داء و اجتنب الدواء ما احتمل بدنک الداء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الناس أقلّوا من شرب الماء لاستقامت أبدانهم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الماء بعد أکل الطعام الدسم، فإنّه کما فی الخبر یهیّج الداء، 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 الدسم أقلّ شرب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لتقلّ 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أمرأ لطعامی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الشرب بالیسار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الشرب من قیام فی اللیل فإنّه کما فی الخبر یورث الماء الأصفر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یشرب من عند کسر الکوز إن کان فیه کسر، و من عند عروته</w:t>
      </w:r>
      <w:r>
        <w:rPr>
          <w:rFonts w:eastAsia="IRNazanin" w:cs="IRNazanin"/>
          <w:color w:val="111111"/>
          <w:sz w:val="28"/>
          <w:szCs w:val="28"/>
          <w:rtl w:val="true"/>
          <w:lang w:bidi="fa-IR"/>
        </w:rPr>
        <w:t>.</w:t>
      </w:r>
    </w:p>
    <w:p>
      <w:pPr>
        <w:pStyle w:val="Heading4"/>
        <w:numPr>
          <w:ilvl w:val="3"/>
          <w:numId w:val="1"/>
        </w:numPr>
        <w:rPr/>
      </w:pPr>
      <w:bookmarkStart w:id="6506" w:name="__RefHeading___Toc2570870_3650668749"/>
      <w:bookmarkStart w:id="6507" w:name="_Toc2944"/>
      <w:bookmarkEnd w:id="6506"/>
      <w:r>
        <w:rPr>
          <w:rtl w:val="true"/>
        </w:rPr>
        <w:t>[</w:t>
      </w:r>
      <w:r>
        <w:rPr>
          <w:rtl w:val="true"/>
        </w:rPr>
        <w:t>تذییل فی فضل السقایة</w:t>
      </w:r>
      <w:r>
        <w:rPr>
          <w:rtl w:val="true"/>
        </w:rPr>
        <w:t>]</w:t>
      </w:r>
      <w:bookmarkEnd w:id="6507"/>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تذییل فی الکافی بإسناده عن أبی حمزة الثمالی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سقیٰ مؤمناً من ظمأ سقاه اللّٰه من الرحیق المختوم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سقیٰ مؤمناً شربة من ماء من حیث یقدر علی الماء أعطاه بکلّ شربة سبعین ألف حسنة، و إن سقاه من حیث لا یقدر علی الماء فکأنّما أعتق عشر رقاب من ولد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أطعم مؤمناً من جوع أطعمه اللّٰه من ثمار الجنّة، و من کساه من عری کساه اللّٰه من إستبرق و حریر، و من سقاه شربة من عطش سقاه اللّٰه من الرحیق المختوم، و من أعانه أو کشف کربته أظلّه اللّٰه فی ظلّ عرشه یوم لا ظلّ إلّا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عمل یعدل عتق رقبة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أدعو ثلاثة نفر من المسلمین فأطعمهم حتّی یشبعوا و أسقیهم حتّی یرووا، أحبّ إلیّ أن أعتق نسمة و 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 سبعاً أو أکثر</w:t>
      </w:r>
      <w:r>
        <w:rPr>
          <w:rFonts w:eastAsia="IRNazanin" w:cs="IRNazanin"/>
          <w:color w:val="111111"/>
          <w:sz w:val="28"/>
          <w:szCs w:val="28"/>
          <w:rtl w:val="true"/>
          <w:lang w:bidi="fa-IR"/>
        </w:rPr>
        <w:t>.</w:t>
      </w:r>
      <w:bookmarkStart w:id="6508" w:name="pg1809_19715"/>
    </w:p>
    <w:p>
      <w:pPr>
        <w:pStyle w:val="Heading2"/>
        <w:numPr>
          <w:ilvl w:val="1"/>
          <w:numId w:val="1"/>
        </w:numPr>
        <w:rPr/>
      </w:pPr>
      <w:bookmarkStart w:id="6509" w:name="__RefHeading___Toc2570872_3650668749"/>
      <w:bookmarkStart w:id="6510" w:name="_Toc2945"/>
      <w:bookmarkEnd w:id="6508"/>
      <w:bookmarkEnd w:id="6509"/>
      <w:r>
        <w:rPr>
          <w:rtl w:val="true"/>
        </w:rPr>
        <w:t>[</w:t>
      </w:r>
      <w:r>
        <w:rPr>
          <w:rtl w:val="true"/>
        </w:rPr>
        <w:t>کتاب الغصب</w:t>
      </w:r>
      <w:r>
        <w:rPr>
          <w:rtl w:val="true"/>
        </w:rPr>
        <w:t>]</w:t>
      </w:r>
      <w:bookmarkEnd w:id="6510"/>
    </w:p>
    <w:p>
      <w:pPr>
        <w:pStyle w:val="Heading3"/>
        <w:numPr>
          <w:ilvl w:val="2"/>
          <w:numId w:val="1"/>
        </w:numPr>
        <w:rPr/>
      </w:pPr>
      <w:bookmarkStart w:id="6511" w:name="__RefHeading___Toc2570874_3650668749"/>
      <w:bookmarkStart w:id="6512" w:name="_Toc2946"/>
      <w:bookmarkEnd w:id="6511"/>
      <w:r>
        <w:rPr>
          <w:rtl w:val="true"/>
        </w:rPr>
        <w:t>اشارة</w:t>
      </w:r>
      <w:bookmarkEnd w:id="6512"/>
    </w:p>
    <w:p>
      <w:pPr>
        <w:pStyle w:val="BookText"/>
        <w:rPr/>
      </w:pPr>
      <w:r>
        <w:rPr>
          <w:rFonts w:ascii="IRNazanin" w:hAnsi="IRNazanin" w:eastAsia="IRNazanin"/>
          <w:color w:val="111111"/>
          <w:sz w:val="28"/>
          <w:sz w:val="28"/>
          <w:szCs w:val="28"/>
          <w:rtl w:val="true"/>
          <w:lang w:bidi="fa-IR"/>
        </w:rPr>
        <w:t>کتاب الغصب و هو الاستیلاء علیٰ ما للغیر؛ من مال أو حقّ عدواناً، و قد تطابق العقل و النقل کتاباً و سنّة و إجماعاً علیٰ حرمته، و هو من أفحش الظلم الذی قد استقلّ العقل بقبحه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غصب شبراً من الأرض طوّقه اللّٰه من سبع أرضین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نبوی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 جاره شبراً من الأرض جعله اللّٰه طوقاً فی عنقه من تخوم الأرض السابعة حتّی یلقی اللّٰه یوم القیامة مطوّقاً، إلّا أن یتوب و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أرضاً بغیر حقّ کلّف أن یحمل ترابها إلی المحشر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کلام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 الغصب فی الدار رهن علیٰ خرابها</w:t>
      </w:r>
      <w:r>
        <w:rPr>
          <w:rFonts w:eastAsia="IRNazanin" w:cs="IRNazanin"/>
          <w:color w:val="111111"/>
          <w:sz w:val="28"/>
          <w:szCs w:val="28"/>
          <w:rtl w:val="true"/>
          <w:lang w:bidi="fa-IR"/>
        </w:rPr>
        <w:t>».</w:t>
      </w:r>
    </w:p>
    <w:p>
      <w:pPr>
        <w:pStyle w:val="Heading3"/>
        <w:numPr>
          <w:ilvl w:val="2"/>
          <w:numId w:val="1"/>
        </w:numPr>
        <w:rPr/>
      </w:pPr>
      <w:bookmarkStart w:id="6513" w:name="__RefHeading___Toc2570876_3650668749"/>
      <w:bookmarkStart w:id="6514" w:name="_Toc2947"/>
      <w:bookmarkEnd w:id="6513"/>
      <w:r>
        <w:rPr>
          <w:rtl w:val="true"/>
        </w:rPr>
        <w:t>[ (</w:t>
      </w:r>
      <w:r>
        <w:rPr>
          <w:rtl w:val="true"/>
        </w:rPr>
        <w:t xml:space="preserve">مسألة </w:t>
      </w:r>
      <w:r>
        <w:rPr/>
        <w:t>1</w:t>
      </w:r>
      <w:r>
        <w:rPr>
          <w:rtl w:val="true"/>
        </w:rPr>
        <w:t xml:space="preserve">): </w:t>
      </w:r>
      <w:r>
        <w:rPr>
          <w:rtl w:val="true"/>
        </w:rPr>
        <w:t>المغصوب</w:t>
      </w:r>
      <w:r>
        <w:rPr>
          <w:rtl w:val="true"/>
        </w:rPr>
        <w:t xml:space="preserve">: </w:t>
      </w:r>
      <w:r>
        <w:rPr>
          <w:rtl w:val="true"/>
        </w:rPr>
        <w:t>إمّا عین مع المنفعة من مالک واحد أو مالکین</w:t>
      </w:r>
      <w:r>
        <w:rPr>
          <w:rtl w:val="true"/>
        </w:rPr>
        <w:t>]</w:t>
      </w:r>
      <w:bookmarkEnd w:id="6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عین مع المنفعة من مالک واحد أو مالکین، و إمّا عین بلا منفعة، و إمّا منفعة مجرّدة، و إمّا حقّ مالیّ متعلّق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کغصب الدار من مالکها، و کغصب العین المستأجرة إذا غصبها غیر المؤجر و المستأجر فهو غاصب للعین من المؤجر، و للمنفعة من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غصب المستأجر العین المستأجرة من مالکها مدّة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غصب المؤجر العین المؤجرة، و انتزعها من ید المستأجر، و استولی علیٰ منفعتها مدّة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استولیٰ علیٰ أرض محجّرة، أو العین المرهونة بالنسبة إلی المرتهن الذی له فیها حقّ الرهانة، و من ذلک غصب المساجد و المدارس و الربط و القناطر و الطرق و الشوارع العامّة، و غصب المکان الذی سبق إلیه أحد فی المساجد و المشاهد</w:t>
      </w:r>
      <w:r>
        <w:rPr>
          <w:rFonts w:eastAsia="IRNazanin" w:cs="IRNazanin"/>
          <w:color w:val="111111"/>
          <w:sz w:val="28"/>
          <w:szCs w:val="28"/>
          <w:rtl w:val="true"/>
          <w:lang w:bidi="fa-IR"/>
        </w:rPr>
        <w:t>.</w:t>
      </w:r>
    </w:p>
    <w:p>
      <w:pPr>
        <w:pStyle w:val="Heading3"/>
        <w:numPr>
          <w:ilvl w:val="2"/>
          <w:numId w:val="1"/>
        </w:numPr>
        <w:rPr/>
      </w:pPr>
      <w:bookmarkStart w:id="6515" w:name="__RefHeading___Toc2570878_3650668749"/>
      <w:bookmarkStart w:id="6516" w:name="_Toc2948"/>
      <w:bookmarkEnd w:id="6515"/>
      <w:r>
        <w:rPr>
          <w:rtl w:val="true"/>
        </w:rPr>
        <w:t>[ (</w:t>
      </w:r>
      <w:r>
        <w:rPr>
          <w:rtl w:val="true"/>
        </w:rPr>
        <w:t xml:space="preserve">مسألة </w:t>
      </w:r>
      <w:r>
        <w:rPr/>
        <w:t>2</w:t>
      </w:r>
      <w:r>
        <w:rPr>
          <w:rtl w:val="true"/>
        </w:rPr>
        <w:t xml:space="preserve">): </w:t>
      </w:r>
      <w:r>
        <w:rPr>
          <w:rtl w:val="true"/>
        </w:rPr>
        <w:t>المغصوب منه</w:t>
      </w:r>
      <w:r>
        <w:rPr>
          <w:rtl w:val="true"/>
        </w:rPr>
        <w:t xml:space="preserve">: </w:t>
      </w:r>
      <w:r>
        <w:rPr>
          <w:rtl w:val="true"/>
        </w:rPr>
        <w:t>قد یکون شخصاً</w:t>
      </w:r>
      <w:r>
        <w:rPr>
          <w:rtl w:val="true"/>
        </w:rPr>
        <w:t>]</w:t>
      </w:r>
      <w:bookmarkEnd w:id="6516"/>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المغصوب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شخصاً کما فی غصب الأعیان و المنافع المملوکة للأشخاص و الحقوق کذلک، و قد یکون هو النوع کما فی غصب مال تعیّن خمساً أو زکاة قبل أن یدفع إلی المستحقّ و غصب الرباط المعدّ لنزول القوافل و المدرسة المعدّة</w:t>
      </w:r>
      <w:bookmarkStart w:id="6517" w:name="pg1809_19717"/>
    </w:p>
    <w:p>
      <w:pPr>
        <w:pStyle w:val="BookText"/>
        <w:rPr/>
      </w:pPr>
      <w:bookmarkEnd w:id="6517"/>
      <w:r>
        <w:rPr>
          <w:rFonts w:ascii="IRNazanin" w:hAnsi="IRNazanin" w:eastAsia="IRNazanin"/>
          <w:color w:val="111111"/>
          <w:sz w:val="28"/>
          <w:sz w:val="28"/>
          <w:szCs w:val="28"/>
          <w:rtl w:val="true"/>
          <w:lang w:bidi="fa-IR"/>
        </w:rPr>
        <w:t>لسکنی الطلبة، فإذا استولیٰ علیٰ حجرة قد سکنها واحد من الطلبة و انتزعها منه، فهو غاصب لحقّ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استولیٰ علیٰ أصل المدرسة و منع عن أن یسکنها الطلبة، فهو غاصب لحقّ النوع</w:t>
      </w:r>
      <w:r>
        <w:rPr>
          <w:rFonts w:eastAsia="IRNazanin" w:cs="IRNazanin"/>
          <w:color w:val="111111"/>
          <w:sz w:val="28"/>
          <w:szCs w:val="28"/>
          <w:rtl w:val="true"/>
          <w:lang w:bidi="fa-IR"/>
        </w:rPr>
        <w:t>.</w:t>
      </w:r>
    </w:p>
    <w:p>
      <w:pPr>
        <w:pStyle w:val="Heading3"/>
        <w:numPr>
          <w:ilvl w:val="2"/>
          <w:numId w:val="1"/>
        </w:numPr>
        <w:rPr/>
      </w:pPr>
      <w:bookmarkStart w:id="6518" w:name="__RefHeading___Toc2570880_3650668749"/>
      <w:bookmarkStart w:id="6519" w:name="_Toc2949"/>
      <w:bookmarkEnd w:id="6518"/>
      <w:r>
        <w:rPr>
          <w:rtl w:val="true"/>
        </w:rPr>
        <w:t>[ (</w:t>
      </w:r>
      <w:r>
        <w:rPr>
          <w:rtl w:val="true"/>
        </w:rPr>
        <w:t xml:space="preserve">مسألة </w:t>
      </w:r>
      <w:r>
        <w:rPr/>
        <w:t>3</w:t>
      </w:r>
      <w:r>
        <w:rPr>
          <w:rtl w:val="true"/>
        </w:rPr>
        <w:t xml:space="preserve">): </w:t>
      </w:r>
      <w:r>
        <w:rPr>
          <w:rtl w:val="true"/>
        </w:rPr>
        <w:t>للغصب حکمان تکلیفیّان و هما</w:t>
      </w:r>
      <w:r>
        <w:rPr>
          <w:rtl w:val="true"/>
        </w:rPr>
        <w:t xml:space="preserve">: </w:t>
      </w:r>
      <w:r>
        <w:rPr>
          <w:rtl w:val="true"/>
        </w:rPr>
        <w:t>الحرمة، و وجوب رفع الید</w:t>
      </w:r>
      <w:r>
        <w:rPr>
          <w:rtl w:val="true"/>
        </w:rPr>
        <w:t>]</w:t>
      </w:r>
      <w:bookmarkEnd w:id="6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للغصب حکمان تکلیفیّان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و وجوب رفع الید و الردّ إلی المغصوب منه أو ولیّه، و حکم وضعیّ، و هو الضمان؛ بمعنی کون المغصوب علیٰ عهدة الغاصب و کون تلفه و خسارته علیه و أنّه إذا تلف یجب علیه دفع بدله، و یقال لهذا الضمان ضمان الید</w:t>
      </w:r>
      <w:r>
        <w:rPr>
          <w:rFonts w:eastAsia="IRNazanin" w:cs="IRNazanin"/>
          <w:color w:val="111111"/>
          <w:sz w:val="28"/>
          <w:szCs w:val="28"/>
          <w:rtl w:val="true"/>
          <w:lang w:bidi="fa-IR"/>
        </w:rPr>
        <w:t>.</w:t>
      </w:r>
    </w:p>
    <w:p>
      <w:pPr>
        <w:pStyle w:val="Heading3"/>
        <w:numPr>
          <w:ilvl w:val="2"/>
          <w:numId w:val="1"/>
        </w:numPr>
        <w:rPr/>
      </w:pPr>
      <w:bookmarkStart w:id="6520" w:name="__RefHeading___Toc2570882_3650668749"/>
      <w:bookmarkStart w:id="6521" w:name="_Toc2950"/>
      <w:bookmarkEnd w:id="6520"/>
      <w:r>
        <w:rPr>
          <w:rtl w:val="true"/>
        </w:rPr>
        <w:t>[ (</w:t>
      </w:r>
      <w:r>
        <w:rPr>
          <w:rtl w:val="true"/>
        </w:rPr>
        <w:t xml:space="preserve">مسألة </w:t>
      </w:r>
      <w:r>
        <w:rPr/>
        <w:t>4</w:t>
      </w:r>
      <w:r>
        <w:rPr>
          <w:rtl w:val="true"/>
        </w:rPr>
        <w:t xml:space="preserve">): </w:t>
      </w:r>
      <w:r>
        <w:rPr>
          <w:rtl w:val="true"/>
        </w:rPr>
        <w:t>یجری الحکمان التکلیفیّان فی جمیع أقسام الغصب</w:t>
      </w:r>
      <w:r>
        <w:rPr>
          <w:rtl w:val="true"/>
        </w:rPr>
        <w:t>]</w:t>
      </w:r>
      <w:bookmarkEnd w:id="65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الحکمان التکلیفیّان فی جمیع أقسام الغصب ففی الجمیع الغاصب آثم و یجب علیه رفع الید و ردّ المغصوب إلی المغصوب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الحکم الوضعی و هو الضمان فیختصّ بما إذا کان المغصوب من الأموال عیناً کان أو منفعة، فلیس فی غصب الحقوق هذا الضمان أعنی ضمان الید علیٰ إشکال </w:t>
      </w:r>
      <w:r>
        <w:rPr>
          <w:rStyle w:val="FootnoteAnchor"/>
          <w:rtl w:val="true"/>
        </w:rPr>
        <w:footnoteReference w:id="1707"/>
      </w:r>
      <w:r>
        <w:rPr>
          <w:rFonts w:ascii="IRNazanin" w:hAnsi="IRNazanin" w:eastAsia="IRNazanin"/>
          <w:color w:val="111111"/>
          <w:sz w:val="28"/>
          <w:sz w:val="28"/>
          <w:szCs w:val="28"/>
          <w:rtl w:val="true"/>
          <w:lang w:bidi="fa-IR"/>
        </w:rPr>
        <w:t>فی بعضها کحقّی التحجیر و الاختصاص</w:t>
      </w:r>
      <w:r>
        <w:rPr>
          <w:rFonts w:eastAsia="IRNazanin" w:cs="IRNazanin"/>
          <w:color w:val="111111"/>
          <w:sz w:val="28"/>
          <w:szCs w:val="28"/>
          <w:rtl w:val="true"/>
          <w:lang w:bidi="fa-IR"/>
        </w:rPr>
        <w:t>.</w:t>
      </w:r>
    </w:p>
    <w:p>
      <w:pPr>
        <w:pStyle w:val="Heading3"/>
        <w:numPr>
          <w:ilvl w:val="2"/>
          <w:numId w:val="1"/>
        </w:numPr>
        <w:rPr/>
      </w:pPr>
      <w:bookmarkStart w:id="6522" w:name="__RefHeading___Toc2570884_3650668749"/>
      <w:bookmarkStart w:id="6523" w:name="_Toc2951"/>
      <w:bookmarkEnd w:id="6522"/>
      <w:r>
        <w:rPr>
          <w:rtl w:val="true"/>
        </w:rPr>
        <w:t>[ (</w:t>
      </w:r>
      <w:r>
        <w:rPr>
          <w:rtl w:val="true"/>
        </w:rPr>
        <w:t xml:space="preserve">مسألة </w:t>
      </w:r>
      <w:r>
        <w:rPr/>
        <w:t>5</w:t>
      </w:r>
      <w:r>
        <w:rPr>
          <w:rtl w:val="true"/>
        </w:rPr>
        <w:t xml:space="preserve">): </w:t>
      </w:r>
      <w:r>
        <w:rPr>
          <w:rtl w:val="true"/>
        </w:rPr>
        <w:t>لو استولیٰ علیٰ حرّ فحبسه، لم یتحقّق الغصب</w:t>
      </w:r>
      <w:r>
        <w:rPr>
          <w:rtl w:val="true"/>
        </w:rPr>
        <w:t>]</w:t>
      </w:r>
      <w:bookmarkEnd w:id="6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استولیٰ علیٰ حرّ فحبسه، لم یتحقّق الغصب لا بالنسبة إلیٰ عینه و لا بالنسبة إلیٰ منفعته و إن أثم بذلک و ظلمه؛ سواء کان کبیراً أو صغیراً، فلیس علیه ضمان الید الذی هو من أحکام الغصب، فلو أصابه حرق أو غرق أو مات تحت استیلائه من غیر تسبیب منه لم یضمن، و کذا لا یضمن منافعه کما إذا کان صانعاً و لم یشتغل بصنعته فی تلک المدّة فلا یضمن أُجرته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استوفیٰ منه بعض منافعه، کما إذا استخدمه لزمه أُجرته، و کذا لو تلف بتسبیب منه، مثل ما إذا حبسه فی دار فیه حیّة مؤذیة فلدغته، أو فی محلّ السباع فافترسته، ضمنه من جهة سببیّته للتلف لا لأجل الغصب و الید</w:t>
      </w:r>
      <w:r>
        <w:rPr>
          <w:rFonts w:eastAsia="IRNazanin" w:cs="IRNazanin"/>
          <w:color w:val="111111"/>
          <w:sz w:val="28"/>
          <w:szCs w:val="28"/>
          <w:rtl w:val="true"/>
          <w:lang w:bidi="fa-IR"/>
        </w:rPr>
        <w:t>.</w:t>
      </w:r>
    </w:p>
    <w:p>
      <w:pPr>
        <w:pStyle w:val="Heading3"/>
        <w:numPr>
          <w:ilvl w:val="2"/>
          <w:numId w:val="1"/>
        </w:numPr>
        <w:rPr/>
      </w:pPr>
      <w:bookmarkStart w:id="6524" w:name="__RefHeading___Toc2570886_3650668749"/>
      <w:bookmarkStart w:id="6525" w:name="_Toc2952"/>
      <w:bookmarkEnd w:id="6524"/>
      <w:r>
        <w:rPr>
          <w:rtl w:val="true"/>
        </w:rPr>
        <w:t>[ (</w:t>
      </w:r>
      <w:r>
        <w:rPr>
          <w:rtl w:val="true"/>
        </w:rPr>
        <w:t xml:space="preserve">مسألة </w:t>
      </w:r>
      <w:r>
        <w:rPr/>
        <w:t>6</w:t>
      </w:r>
      <w:r>
        <w:rPr>
          <w:rtl w:val="true"/>
        </w:rPr>
        <w:t xml:space="preserve">): </w:t>
      </w:r>
      <w:r>
        <w:rPr>
          <w:rtl w:val="true"/>
        </w:rPr>
        <w:t>لو منع غیره عن إمساک دابّته المرسلة أو من القعود علیٰ فراشه أو عن الدخول فی داره</w:t>
      </w:r>
      <w:r>
        <w:rPr>
          <w:rtl w:val="true"/>
        </w:rPr>
        <w:t>]</w:t>
      </w:r>
      <w:bookmarkEnd w:id="6525"/>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منع غیره عن إمساک دابّته المرسلة أو من القعود علیٰ فراشه أو عن الدخول فی داره أو عن بیع متاعه لم یکن غاصباً؛ لعدم وضع الید علیٰ ماله و إن کان عاصیاً و ظالماً له من جهة منعه، فلو هلکت الدابّة، أو تلف الفراش، أو انهدمت الدار، أو نقصت قیمة المتاع بعد المنع لم یکن علی المانع ضمان من جهة الغصب 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علیه ضمان</w:t>
      </w:r>
      <w:bookmarkStart w:id="6526" w:name="pg1809_19720"/>
    </w:p>
    <w:p>
      <w:pPr>
        <w:pStyle w:val="BookText"/>
        <w:rPr/>
      </w:pPr>
      <w:bookmarkEnd w:id="6526"/>
      <w:r>
        <w:rPr>
          <w:rFonts w:ascii="IRNazanin" w:hAnsi="IRNazanin" w:eastAsia="IRNazanin"/>
          <w:color w:val="111111"/>
          <w:sz w:val="28"/>
          <w:sz w:val="28"/>
          <w:szCs w:val="28"/>
          <w:rtl w:val="true"/>
          <w:lang w:bidi="fa-IR"/>
        </w:rPr>
        <w:t xml:space="preserve">من جهة أُخری أم لا؟ أقواهما العدم فی الأخیر و هو ما إذا تنقّصت القیمة و أمّا فی غیره، فإن کان الهلاک و التلف و الانهدام غیر مستند إلیٰ منعه؛ بأن کانت بآفة سماویّة و سبب قهری لا یتفاوت فی ترتّبها بین ممنوعیّة المالک و عدمها لم یکن علیه ضمان قطعاً، و أمّا إذا کان مستنداً إلیه، کما إذا کانت الدابّة ضعیفة أو فی موضع السباع، و کان المالک یحفظها، فلمّا منعه المانع و لم یقدر علیٰ حفظها وقع علیها الهلاک، فللضمان وجه، بل لا یخلو من قوّة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7" w:name="__RefHeading___Toc2570888_3650668749"/>
      <w:bookmarkStart w:id="6528" w:name="_Toc2953"/>
      <w:bookmarkEnd w:id="6527"/>
      <w:r>
        <w:rPr>
          <w:rtl w:val="true"/>
        </w:rPr>
        <w:t>[ (</w:t>
      </w:r>
      <w:r>
        <w:rPr>
          <w:rtl w:val="true"/>
        </w:rPr>
        <w:t xml:space="preserve">مسألة </w:t>
      </w:r>
      <w:r>
        <w:rPr/>
        <w:t>7</w:t>
      </w:r>
      <w:r>
        <w:rPr>
          <w:rtl w:val="true"/>
        </w:rPr>
        <w:t xml:space="preserve">) </w:t>
      </w:r>
      <w:r>
        <w:rPr>
          <w:rtl w:val="true"/>
        </w:rPr>
        <w:t>أنّ المدار فی تحقّق الغصب علی استیلاء الغاصب علی المغصوب یختلف باختلاف المغصوبات</w:t>
      </w:r>
      <w:r>
        <w:rPr>
          <w:rtl w:val="true"/>
        </w:rPr>
        <w:t>]</w:t>
      </w:r>
      <w:bookmarkEnd w:id="6528"/>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عرفت أنّ المدار فی تحقّق الغصب علی استیلاء الغاصب علی المغصوب، و صیرورته تحت یده عرفاً بدون إذن صاحبه، فلیعلم أنّه یختلف </w:t>
      </w:r>
      <w:r>
        <w:rPr>
          <w:rStyle w:val="FootnoteAnchor"/>
          <w:rtl w:val="true"/>
        </w:rPr>
        <w:footnoteReference w:id="1709"/>
      </w:r>
      <w:r>
        <w:rPr>
          <w:rFonts w:ascii="IRNazanin" w:hAnsi="IRNazanin" w:eastAsia="IRNazanin"/>
          <w:color w:val="111111"/>
          <w:sz w:val="28"/>
          <w:sz w:val="28"/>
          <w:szCs w:val="28"/>
          <w:rtl w:val="true"/>
          <w:lang w:bidi="fa-IR"/>
        </w:rPr>
        <w:t>ذلک باختلاف المغصوبات، ففی المنقول غیر الحیوان یتحقّق بأخذه بالید أو بنقله إلیه أو إلیٰ بیته أو دکّانه أو أنباره و غیرها ممّا یکون محرزاً لأمواله و لو کان ذلک بأمره، فلو نقل حمّال بأمره متاعاً من الغیر بدون إذنه إلیٰ بیته أو طعاماً منه إلی أنباره کان بذلک غاصباً للمتاع و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یلحق بالأخذ بالید قعوده علی البساط و الفراش بقصد </w:t>
      </w:r>
      <w:r>
        <w:rPr>
          <w:rStyle w:val="FootnoteAnchor"/>
          <w:rtl w:val="true"/>
        </w:rPr>
        <w:footnoteReference w:id="1710"/>
      </w:r>
      <w:r>
        <w:rPr>
          <w:rFonts w:ascii="IRNazanin" w:hAnsi="IRNazanin" w:eastAsia="IRNazanin"/>
          <w:color w:val="111111"/>
          <w:sz w:val="28"/>
          <w:sz w:val="28"/>
          <w:szCs w:val="28"/>
          <w:rtl w:val="true"/>
          <w:lang w:bidi="fa-IR"/>
        </w:rPr>
        <w:t>الاستیلاء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الحیوان، ففی الصامت منه یکفی الرکوب علیه أو أخذ مقودة و زمامه، بل و کذا سوقه بعد طرد المالک أو عدم حضوره إذا کان یمشی بسیاقه و یکون منقاداً لسائقه، فلو کانت قطیع غنم فی الصحراء معها راعیها فطرده و استولی علیها بعنوان القهر و الانتزاع من مالکها و جعل یسوقها و صار بمنزلة راعیها یحافظها و یمنعها عن التفرّق و التشتّت، فالظاهر أنّه یکفی ذلک فی تحقّق الغصب؛ لصدق الاستیلاء و وضع الید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العبید و الإماء، فیکفی مع رفع ید المالک أو عدم حضوره القهر علیه؛ بحبسه عنده أو فی بیته و استخدامه فی حوائجه، هذا کلّه فی المنقول</w:t>
      </w:r>
      <w:r>
        <w:rPr>
          <w:rFonts w:eastAsia="IRNazanin" w:cs="IRNazanin"/>
          <w:color w:val="111111"/>
          <w:sz w:val="28"/>
          <w:szCs w:val="28"/>
          <w:rtl w:val="true"/>
          <w:lang w:bidi="fa-IR"/>
        </w:rPr>
        <w:t>.</w:t>
      </w:r>
      <w:bookmarkStart w:id="6529" w:name="pg1809_19722"/>
    </w:p>
    <w:p>
      <w:pPr>
        <w:pStyle w:val="BookText"/>
        <w:rPr/>
      </w:pPr>
      <w:bookmarkEnd w:id="6529"/>
      <w:r>
        <w:rPr>
          <w:rFonts w:ascii="IRNazanin" w:hAnsi="IRNazanin" w:eastAsia="IRNazanin"/>
          <w:color w:val="111111"/>
          <w:sz w:val="28"/>
          <w:sz w:val="28"/>
          <w:szCs w:val="28"/>
          <w:rtl w:val="true"/>
          <w:lang w:bidi="fa-IR"/>
        </w:rPr>
        <w:t>و أمّا غیر المنقول، فیکفی فی غصب الدار أن یسکنها أو یسکن غیره ممّن یأتمر بأمره فیها بعد إزعاج المالک عنها، أو عدم حضوره، و کذا لو أخذ مفاتحها من صاحبها قهراً و کان یغلق الباب و یفتحه و یتردّد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 الدکّان و الخان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البستان، فإن کان لها باب و حیطان، فیکفی فی غصبها أخذ المفتاح و غلق الباب و فتحه مع التردّد فیها بعنوان الاستیلاء، و أمّا لو لم یکن لها باب و لا حیطان، فیکفی دخولها و التردّد فیها بعد طرد المالک بعنوان الاستیلاء و بعض التصرّفات فیها، و کذا الحال فی غصب القریة و المزرعة، هذا کلّه فی غصب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غصب المنافع، فإنّما هو بانتزاع العین ذات المنفعة عن مالک المنفعة و جعلها تحت یده، کما فی العین المستأجرة إذا أخذها المؤجر أو شخص ثالث من المستأجر و استولی علیها فی مدّة الإجارة؛ سواء استوفیٰ تلک المنفعة التی ملکها المستأجر أم لا</w:t>
      </w:r>
      <w:r>
        <w:rPr>
          <w:rFonts w:eastAsia="IRNazanin" w:cs="IRNazanin"/>
          <w:color w:val="111111"/>
          <w:sz w:val="28"/>
          <w:szCs w:val="28"/>
          <w:rtl w:val="true"/>
          <w:lang w:bidi="fa-IR"/>
        </w:rPr>
        <w:t>.</w:t>
      </w:r>
    </w:p>
    <w:p>
      <w:pPr>
        <w:pStyle w:val="Heading3"/>
        <w:numPr>
          <w:ilvl w:val="2"/>
          <w:numId w:val="1"/>
        </w:numPr>
        <w:rPr/>
      </w:pPr>
      <w:bookmarkStart w:id="6530" w:name="__RefHeading___Toc2570890_3650668749"/>
      <w:bookmarkStart w:id="6531" w:name="_Toc2954"/>
      <w:bookmarkEnd w:id="6530"/>
      <w:r>
        <w:rPr>
          <w:rtl w:val="true"/>
        </w:rPr>
        <w:t>[ (</w:t>
      </w:r>
      <w:r>
        <w:rPr>
          <w:rtl w:val="true"/>
        </w:rPr>
        <w:t xml:space="preserve">مسألة </w:t>
      </w:r>
      <w:r>
        <w:rPr/>
        <w:t>8</w:t>
      </w:r>
      <w:r>
        <w:rPr>
          <w:rtl w:val="true"/>
        </w:rPr>
        <w:t xml:space="preserve">): </w:t>
      </w:r>
      <w:r>
        <w:rPr>
          <w:rtl w:val="true"/>
        </w:rPr>
        <w:t>لو دخل الدار و سکنها مع مالکها، فإن کان المالک ضعیفاً غیر قادر علیٰ مدافعته و إخراجه</w:t>
      </w:r>
      <w:r>
        <w:rPr>
          <w:rtl w:val="true"/>
        </w:rPr>
        <w:t>]</w:t>
      </w:r>
      <w:bookmarkEnd w:id="6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الدار و سکنها مع مالکها، فإن کان المالک ضعیفاً غیر قادر علیٰ مدافعته و إخراجه، فإن اختصّ استیلاؤه و تصرّفه بطرف معیّن منها اختصّ الغصب و الضمان بذلک الطرف دون الأطراف الأُخر، و إن کان استیلاؤه و تصرّفاته و تقلّباته فی أطراف الدار و أجزائها بنسبة واحدة و تساویٰ ید الساکن مع ید المالک علیها فالظاهر کونه غاصباً للنصف، فیکون ضامناً له خاصّة؛ بمعنی أنّه لو انهدمت تمام الدار ضمن الساکن نصفها، و لو انهدم بعضها ضمن نصف ذلک البعض، و کذا یضمن نصف منافعها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أنّ المالک الساکن أزید من واحد ضمن الساکن الغاصب بالنسبة، فإن کانا اثنین ضمن الثلث، و إن کانوا ثلاثة ضمن الربع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المالک ضعیفاً، و أمّا لو کان الساکن ضعیفاً؛ بمعنی أنّه لا یقدر علیٰ مقاومة المالک و أنّه کلّما أراد أن یخرجه من داره أخرجه، فالظاهر عدم تحقّق الغصب، بل و لا الید، فلیس علیه ضمان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علیه بدل ما استوفاه من منفعة الدار ما دام کونه فیها لو کان لها بدل</w:t>
      </w:r>
      <w:r>
        <w:rPr>
          <w:rFonts w:eastAsia="IRNazanin" w:cs="IRNazanin"/>
          <w:color w:val="111111"/>
          <w:sz w:val="28"/>
          <w:szCs w:val="28"/>
          <w:rtl w:val="true"/>
          <w:lang w:bidi="fa-IR"/>
        </w:rPr>
        <w:t>.</w:t>
      </w:r>
    </w:p>
    <w:p>
      <w:pPr>
        <w:pStyle w:val="Heading3"/>
        <w:numPr>
          <w:ilvl w:val="2"/>
          <w:numId w:val="1"/>
        </w:numPr>
        <w:rPr/>
      </w:pPr>
      <w:bookmarkStart w:id="6532" w:name="__RefHeading___Toc2570892_3650668749"/>
      <w:bookmarkStart w:id="6533" w:name="_Toc2955"/>
      <w:bookmarkEnd w:id="6532"/>
      <w:r>
        <w:rPr>
          <w:rtl w:val="true"/>
        </w:rPr>
        <w:t>[ (</w:t>
      </w:r>
      <w:r>
        <w:rPr>
          <w:rtl w:val="true"/>
        </w:rPr>
        <w:t xml:space="preserve">مسألة </w:t>
      </w:r>
      <w:r>
        <w:rPr/>
        <w:t>9</w:t>
      </w:r>
      <w:r>
        <w:rPr>
          <w:rtl w:val="true"/>
        </w:rPr>
        <w:t xml:space="preserve">): </w:t>
      </w:r>
      <w:r>
        <w:rPr>
          <w:rtl w:val="true"/>
        </w:rPr>
        <w:t>لو أخذ بمقود الدابّة فقادها و کان المالک راکباً علیها</w:t>
      </w:r>
      <w:r>
        <w:rPr>
          <w:rtl w:val="true"/>
        </w:rPr>
        <w:t>]</w:t>
      </w:r>
      <w:bookmarkEnd w:id="6533"/>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 بمقود الدابّة فقادها و کان المالک راکباً علیها فإن کان فی الضعف و عدم الاستقلال بمثابة المحمول علیها کان القائد غاصباً لها بتمامها و یتبعه الضمان، و لو کان بالعکس بأن کان المالک الراکب قویّاً قادراً علیٰ مقاومته و مدافعته فالظاهر عدم تحقّق الغصب من القائد أصلًا، فلا ضمان علیه لو تلفت الدابّة فی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إشکال</w:t>
      </w:r>
      <w:bookmarkStart w:id="6534" w:name="pg1809_19724"/>
    </w:p>
    <w:p>
      <w:pPr>
        <w:pStyle w:val="BookText"/>
        <w:rPr/>
      </w:pPr>
      <w:bookmarkEnd w:id="6534"/>
      <w:r>
        <w:rPr>
          <w:rFonts w:ascii="IRNazanin" w:hAnsi="IRNazanin" w:eastAsia="IRNazanin"/>
          <w:color w:val="111111"/>
          <w:sz w:val="28"/>
          <w:sz w:val="28"/>
          <w:szCs w:val="28"/>
          <w:rtl w:val="true"/>
          <w:lang w:bidi="fa-IR"/>
        </w:rPr>
        <w:t>فی ضمانه لها لو اتّفق تلفها بسبب قوده لها، کما یضمن السائق لها لو کان لها جماح فشردت بسوقه، فوقعت فی بئر أو سقطت عن مرتفع فتلفت</w:t>
      </w:r>
      <w:r>
        <w:rPr>
          <w:rFonts w:eastAsia="IRNazanin" w:cs="IRNazanin"/>
          <w:color w:val="111111"/>
          <w:sz w:val="28"/>
          <w:szCs w:val="28"/>
          <w:rtl w:val="true"/>
          <w:lang w:bidi="fa-IR"/>
        </w:rPr>
        <w:t>.</w:t>
      </w:r>
    </w:p>
    <w:p>
      <w:pPr>
        <w:pStyle w:val="Heading3"/>
        <w:numPr>
          <w:ilvl w:val="2"/>
          <w:numId w:val="1"/>
        </w:numPr>
        <w:rPr/>
      </w:pPr>
      <w:bookmarkStart w:id="6535" w:name="__RefHeading___Toc2570894_3650668749"/>
      <w:bookmarkStart w:id="6536" w:name="_Toc2956"/>
      <w:bookmarkEnd w:id="6535"/>
      <w:r>
        <w:rPr>
          <w:rtl w:val="true"/>
        </w:rPr>
        <w:t>[ (</w:t>
      </w:r>
      <w:r>
        <w:rPr>
          <w:rtl w:val="true"/>
        </w:rPr>
        <w:t xml:space="preserve">مسألة </w:t>
      </w:r>
      <w:r>
        <w:rPr/>
        <w:t>10</w:t>
      </w:r>
      <w:r>
        <w:rPr>
          <w:rtl w:val="true"/>
        </w:rPr>
        <w:t xml:space="preserve">): </w:t>
      </w:r>
      <w:r>
        <w:rPr>
          <w:rtl w:val="true"/>
        </w:rPr>
        <w:t>إذا اشترک اثنان فی الغصب، فإن لم یستقلّ واحد منهما بانفراده</w:t>
      </w:r>
      <w:r>
        <w:rPr>
          <w:rtl w:val="true"/>
        </w:rPr>
        <w:t>]</w:t>
      </w:r>
      <w:bookmarkEnd w:id="6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اشترک اثنان فی الغصب، فإن لم یستقلّ واحد منهما بانفراده بأن کان کلّ منهما ضعیفاً و إنّما کان استیلاؤهما علی المغصوب و دفع المالک بالتعاضد و التعاون فالظاهر اشتراکهما فی الید و الضمان، فکلّ منهما یضمن النصف، و أمّا إذا کان کلّ واحد منهما مستقلا فی الاستیلاء بأن کان کلّ منهما کافیاً فی دفع المالک و القهر علیه، أو لم یکن المالک حاضراً فالظاهر أنّ کلّ واحد منهما ضامن </w:t>
      </w:r>
      <w:r>
        <w:rPr>
          <w:rStyle w:val="FootnoteAnchor"/>
          <w:rtl w:val="true"/>
        </w:rPr>
        <w:footnoteReference w:id="1711"/>
      </w:r>
      <w:r>
        <w:rPr>
          <w:rFonts w:ascii="IRNazanin" w:hAnsi="IRNazanin" w:eastAsia="IRNazanin"/>
          <w:color w:val="111111"/>
          <w:sz w:val="28"/>
          <w:sz w:val="28"/>
          <w:szCs w:val="28"/>
          <w:rtl w:val="true"/>
          <w:lang w:bidi="fa-IR"/>
        </w:rPr>
        <w:t>للتمام، فیتخیّر المالک فی تضمین أیّهما شاء کما یأتی فی الأیادی المتعاقبة</w:t>
      </w:r>
      <w:r>
        <w:rPr>
          <w:rFonts w:eastAsia="IRNazanin" w:cs="IRNazanin"/>
          <w:color w:val="111111"/>
          <w:sz w:val="28"/>
          <w:szCs w:val="28"/>
          <w:rtl w:val="true"/>
          <w:lang w:bidi="fa-IR"/>
        </w:rPr>
        <w:t>.</w:t>
      </w:r>
    </w:p>
    <w:p>
      <w:pPr>
        <w:pStyle w:val="Heading3"/>
        <w:numPr>
          <w:ilvl w:val="2"/>
          <w:numId w:val="1"/>
        </w:numPr>
        <w:rPr/>
      </w:pPr>
      <w:bookmarkStart w:id="6537" w:name="__RefHeading___Toc2570896_3650668749"/>
      <w:bookmarkStart w:id="6538" w:name="_Toc2957"/>
      <w:bookmarkEnd w:id="6537"/>
      <w:r>
        <w:rPr>
          <w:rtl w:val="true"/>
        </w:rPr>
        <w:t>[ (</w:t>
      </w:r>
      <w:r>
        <w:rPr>
          <w:rtl w:val="true"/>
        </w:rPr>
        <w:t xml:space="preserve">مسألة </w:t>
      </w:r>
      <w:r>
        <w:rPr/>
        <w:t>11</w:t>
      </w:r>
      <w:r>
        <w:rPr>
          <w:rtl w:val="true"/>
        </w:rPr>
        <w:t xml:space="preserve">): </w:t>
      </w:r>
      <w:r>
        <w:rPr>
          <w:rtl w:val="true"/>
        </w:rPr>
        <w:t>غصب الأوقاف العامّة</w:t>
      </w:r>
      <w:r>
        <w:rPr>
          <w:rtl w:val="true"/>
        </w:rPr>
        <w:t>]</w:t>
      </w:r>
      <w:bookmarkEnd w:id="6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الأوقاف العامّة کالمساجد و المقابر و المدارس و القناطر و الربط المعدّة لنزول المسافرین و الطرق و الشوارع العامّة و نحوها و الاستیلاء علیها و إن کان حراماً و یجب ردّها و رفع الید عنها لکنّ الظاهر أنّه لا یوجب الضمان؛ لا عیناً و لا منفعة ضمان الید، فلو غصب مسجداً أو مدرسة أو رباطاً و وضع الید علیها فانهدمت تحت یده من دون تسبیب منه لم یضمن عینهما، کما أنّه لو کانت تحت یده مدّة ثمّ رفع یده عنها لم یکن علیه أُجرتها فی تلک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الأوقاف العامّة علی العناوین الکلّیة کالفقراء و الطلبة بنحو وقف المنفعة یوجب غصبها الضمان عیناً و منفعة، فإذا غصب خاناً أو دکّاناً أو بستاناً کانت وقفاً علی الفقراء أو الطلبة؛ علیٰ أن یکون منفعتها و نماؤها لهم، ترتّب علیه الضمان فإذا تلفت تحت یده کان ضامناً لعینها، و إذا کانت تحت یده مدّة ثمّ ردّها کان علیه اجرة مثلها، فیکون غصبها کغصب الأعیان المملوکة للأشخاص</w:t>
      </w:r>
      <w:r>
        <w:rPr>
          <w:rFonts w:eastAsia="IRNazanin" w:cs="IRNazanin"/>
          <w:color w:val="111111"/>
          <w:sz w:val="28"/>
          <w:szCs w:val="28"/>
          <w:rtl w:val="true"/>
          <w:lang w:bidi="fa-IR"/>
        </w:rPr>
        <w:t>.</w:t>
      </w:r>
    </w:p>
    <w:p>
      <w:pPr>
        <w:pStyle w:val="Heading3"/>
        <w:numPr>
          <w:ilvl w:val="2"/>
          <w:numId w:val="1"/>
        </w:numPr>
        <w:rPr/>
      </w:pPr>
      <w:bookmarkStart w:id="6539" w:name="__RefHeading___Toc2570898_3650668749"/>
      <w:bookmarkStart w:id="6540" w:name="_Toc2958"/>
      <w:bookmarkEnd w:id="6539"/>
      <w:r>
        <w:rPr>
          <w:rtl w:val="true"/>
        </w:rPr>
        <w:t>[ (</w:t>
      </w:r>
      <w:r>
        <w:rPr>
          <w:rtl w:val="true"/>
        </w:rPr>
        <w:t xml:space="preserve">مسألة </w:t>
      </w:r>
      <w:r>
        <w:rPr/>
        <w:t>12</w:t>
      </w:r>
      <w:r>
        <w:rPr>
          <w:rtl w:val="true"/>
        </w:rPr>
        <w:t xml:space="preserve">): </w:t>
      </w:r>
      <w:r>
        <w:rPr>
          <w:rtl w:val="true"/>
        </w:rPr>
        <w:t>إذا حبس حرّا لم یضمن لا نفسه و لا منافعه ضمان الید حتّی فیما إذا کان صانعاً</w:t>
      </w:r>
      <w:r>
        <w:rPr>
          <w:rtl w:val="true"/>
        </w:rPr>
        <w:t>]</w:t>
      </w:r>
      <w:bookmarkEnd w:id="6540"/>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حبس حرّا لم یضمن لا نفسه و لا منافعه ضمان الید حتّی فیما إذا کان صانعاً، فلیس علی الحابس اجرة صنعته مدّة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أجیراً </w:t>
      </w:r>
      <w:r>
        <w:rPr>
          <w:rStyle w:val="FootnoteAnchor"/>
          <w:rtl w:val="true"/>
        </w:rPr>
        <w:footnoteReference w:id="1712"/>
      </w:r>
      <w:r>
        <w:rPr>
          <w:rFonts w:ascii="IRNazanin" w:hAnsi="IRNazanin" w:eastAsia="IRNazanin"/>
          <w:color w:val="111111"/>
          <w:sz w:val="28"/>
          <w:sz w:val="28"/>
          <w:szCs w:val="28"/>
          <w:rtl w:val="true"/>
          <w:lang w:bidi="fa-IR"/>
        </w:rPr>
        <w:t>لغیره ضمن منفعته الفائتة للمستأجر، و کذا لو استخدمه و استوفی منفعته کان علیه اجرة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bookmarkStart w:id="6541" w:name="pg1809_19727"/>
    </w:p>
    <w:p>
      <w:pPr>
        <w:pStyle w:val="BookText"/>
        <w:rPr/>
      </w:pPr>
      <w:bookmarkEnd w:id="6541"/>
      <w:r>
        <w:rPr>
          <w:rFonts w:ascii="IRNazanin" w:hAnsi="IRNazanin" w:eastAsia="IRNazanin"/>
          <w:color w:val="111111"/>
          <w:sz w:val="28"/>
          <w:sz w:val="28"/>
          <w:szCs w:val="28"/>
          <w:rtl w:val="true"/>
          <w:lang w:bidi="fa-IR"/>
        </w:rPr>
        <w:t>کلّه فی حبس الحرّ، و أمّا لو غصب عبداً أو دابّة مثلًا ضمن منافعها؛ سواء استوفاها الغاصب أم لا</w:t>
      </w:r>
      <w:r>
        <w:rPr>
          <w:rFonts w:eastAsia="IRNazanin" w:cs="IRNazanin"/>
          <w:color w:val="111111"/>
          <w:sz w:val="28"/>
          <w:szCs w:val="28"/>
          <w:rtl w:val="true"/>
          <w:lang w:bidi="fa-IR"/>
        </w:rPr>
        <w:t>.</w:t>
      </w:r>
    </w:p>
    <w:p>
      <w:pPr>
        <w:pStyle w:val="Heading3"/>
        <w:numPr>
          <w:ilvl w:val="2"/>
          <w:numId w:val="1"/>
        </w:numPr>
        <w:rPr/>
      </w:pPr>
      <w:bookmarkStart w:id="6542" w:name="__RefHeading___Toc2570900_3650668749"/>
      <w:bookmarkStart w:id="6543" w:name="_Toc2959"/>
      <w:bookmarkEnd w:id="6542"/>
      <w:r>
        <w:rPr>
          <w:rtl w:val="true"/>
        </w:rPr>
        <w:t>[ (</w:t>
      </w:r>
      <w:r>
        <w:rPr>
          <w:rtl w:val="true"/>
        </w:rPr>
        <w:t xml:space="preserve">مسألة </w:t>
      </w:r>
      <w:r>
        <w:rPr/>
        <w:t>13</w:t>
      </w:r>
      <w:r>
        <w:rPr>
          <w:rtl w:val="true"/>
        </w:rPr>
        <w:t xml:space="preserve">): </w:t>
      </w:r>
      <w:r>
        <w:rPr>
          <w:rtl w:val="true"/>
        </w:rPr>
        <w:t>لو منع حرّا أو عبداً عن عمل له اجرة من غیر تصرّف و استیفاء و لا وضع یده علیه</w:t>
      </w:r>
      <w:r>
        <w:rPr>
          <w:rtl w:val="true"/>
        </w:rPr>
        <w:t>]</w:t>
      </w:r>
      <w:bookmarkEnd w:id="6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 حرّا أو عبداً </w:t>
      </w:r>
      <w:r>
        <w:rPr>
          <w:rStyle w:val="FootnoteAnchor"/>
          <w:rtl w:val="true"/>
        </w:rPr>
        <w:footnoteReference w:id="1713"/>
      </w:r>
      <w:r>
        <w:rPr>
          <w:rFonts w:ascii="IRNazanin" w:hAnsi="IRNazanin" w:eastAsia="IRNazanin"/>
          <w:color w:val="111111"/>
          <w:sz w:val="28"/>
          <w:sz w:val="28"/>
          <w:szCs w:val="28"/>
          <w:rtl w:val="true"/>
          <w:lang w:bidi="fa-IR"/>
        </w:rPr>
        <w:t>عن عمل له اجرة من غیر تصرّف و استیفاء و لا وضع یده علیه لم یضمن عمله و لم یکن علیه أُجرته</w:t>
      </w:r>
      <w:r>
        <w:rPr>
          <w:rFonts w:eastAsia="IRNazanin" w:cs="IRNazanin"/>
          <w:color w:val="111111"/>
          <w:sz w:val="28"/>
          <w:szCs w:val="28"/>
          <w:rtl w:val="true"/>
          <w:lang w:bidi="fa-IR"/>
        </w:rPr>
        <w:t>.</w:t>
      </w:r>
    </w:p>
    <w:p>
      <w:pPr>
        <w:pStyle w:val="Heading3"/>
        <w:numPr>
          <w:ilvl w:val="2"/>
          <w:numId w:val="1"/>
        </w:numPr>
        <w:rPr/>
      </w:pPr>
      <w:bookmarkStart w:id="6544" w:name="__RefHeading___Toc2570902_3650668749"/>
      <w:bookmarkStart w:id="6545" w:name="_Toc2960"/>
      <w:bookmarkEnd w:id="6544"/>
      <w:r>
        <w:rPr>
          <w:rtl w:val="true"/>
        </w:rPr>
        <w:t>[ (</w:t>
      </w:r>
      <w:r>
        <w:rPr>
          <w:rtl w:val="true"/>
        </w:rPr>
        <w:t xml:space="preserve">مسألة </w:t>
      </w:r>
      <w:r>
        <w:rPr/>
        <w:t>14</w:t>
      </w:r>
      <w:r>
        <w:rPr>
          <w:rtl w:val="true"/>
        </w:rPr>
        <w:t xml:space="preserve">): </w:t>
      </w:r>
      <w:r>
        <w:rPr>
          <w:rtl w:val="true"/>
        </w:rPr>
        <w:t>یلحق بالغصب فی الضمان، المقبوض بالعقد المعاوضی الفاسد</w:t>
      </w:r>
      <w:r>
        <w:rPr>
          <w:rtl w:val="true"/>
        </w:rPr>
        <w:t>]</w:t>
      </w:r>
      <w:bookmarkEnd w:id="6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یلحق بالغصب فی الضمان، المقبوض بالعقد المعاوضی الفاسد </w:t>
      </w:r>
      <w:r>
        <w:rPr>
          <w:rStyle w:val="FootnoteAnchor"/>
          <w:rtl w:val="true"/>
        </w:rPr>
        <w:footnoteReference w:id="1714"/>
      </w:r>
      <w:r>
        <w:rPr>
          <w:rFonts w:ascii="IRNazanin" w:hAnsi="IRNazanin" w:eastAsia="IRNazanin"/>
          <w:color w:val="111111"/>
          <w:sz w:val="28"/>
          <w:sz w:val="28"/>
          <w:szCs w:val="28"/>
          <w:rtl w:val="true"/>
          <w:lang w:bidi="fa-IR"/>
        </w:rPr>
        <w:t>، فالمبیع الذی یأخذه المشتری و الثمن الذی یأخذه البائع فی البیع الفاسد یکون فی ضمانهما کالمغصوب؛ سواء علما بالفساد أو جهلا به، و کذلک الأُجرة التی یأخذها المؤجر فی الإجارة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المقبوض بالعقد الفاسد الغیر المعاوضی فلیس فیه الضمان، فلو قبض المتّهب ما وهب له بالهبة الفاسدة لیس علیه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یلحق بالغصب المقبوض بالسوم؛ و المراد به ما یأخذه الشخص لینظر فیه أو یضع عنده لیطّلع علیٰ خصوصیّاته لکی یشتریه إذا وافق نظره، فهذا فی ضمان آخذه فلو تلف عنده ضمنه</w:t>
      </w:r>
      <w:r>
        <w:rPr>
          <w:rFonts w:eastAsia="IRNazanin" w:cs="IRNazanin"/>
          <w:color w:val="111111"/>
          <w:sz w:val="28"/>
          <w:szCs w:val="28"/>
          <w:rtl w:val="true"/>
          <w:lang w:bidi="fa-IR"/>
        </w:rPr>
        <w:t>.</w:t>
      </w:r>
    </w:p>
    <w:p>
      <w:pPr>
        <w:pStyle w:val="Heading3"/>
        <w:numPr>
          <w:ilvl w:val="2"/>
          <w:numId w:val="1"/>
        </w:numPr>
        <w:rPr/>
      </w:pPr>
      <w:bookmarkStart w:id="6546" w:name="__RefHeading___Toc2570904_3650668749"/>
      <w:bookmarkStart w:id="6547" w:name="_Toc2961"/>
      <w:bookmarkEnd w:id="6546"/>
      <w:r>
        <w:rPr>
          <w:rtl w:val="true"/>
        </w:rPr>
        <w:t>[ (</w:t>
      </w:r>
      <w:r>
        <w:rPr>
          <w:rtl w:val="true"/>
        </w:rPr>
        <w:t xml:space="preserve">مسألة </w:t>
      </w:r>
      <w:r>
        <w:rPr/>
        <w:t>15</w:t>
      </w:r>
      <w:r>
        <w:rPr>
          <w:rtl w:val="true"/>
        </w:rPr>
        <w:t xml:space="preserve">): </w:t>
      </w:r>
      <w:r>
        <w:rPr>
          <w:rtl w:val="true"/>
        </w:rPr>
        <w:t>یجب ردّ المغصوب إلیٰ مالکه ما دام باقیاً</w:t>
      </w:r>
      <w:r>
        <w:rPr>
          <w:rtl w:val="true"/>
        </w:rPr>
        <w:t>]</w:t>
      </w:r>
      <w:bookmarkEnd w:id="6547"/>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ردّ المغصوب إلیٰ مالکه ما دام باقیاً و إن کان فی ردّه مئونة، بل و إن استلزم ردّه الضرر علیه، حتّی أنّه لو أدخل الخشبة المغصوبة فی بناء لزم علیه إخراجها و ردّها لو أرادها المالک و إن أدّی إلیٰ خراب البناء، و کذا إذا أدخل اللوح المغصوب فی سفینة یجب علیه نزعه إلّا إذا خیف من قلعه الغرق الموجب لهلاک نفس محترمة أو مال محترم </w:t>
      </w:r>
      <w:r>
        <w:rPr>
          <w:rStyle w:val="FootnoteAnchor"/>
          <w:rtl w:val="true"/>
        </w:rPr>
        <w:footnoteReference w:id="1715"/>
      </w:r>
      <w:r>
        <w:rPr>
          <w:rFonts w:ascii="IRNazanin" w:hAnsi="IRNazanin" w:eastAsia="IRNazanin"/>
          <w:color w:val="111111"/>
          <w:sz w:val="28"/>
          <w:sz w:val="28"/>
          <w:szCs w:val="28"/>
          <w:rtl w:val="true"/>
          <w:lang w:bidi="fa-IR"/>
        </w:rPr>
        <w:t>، و هکذا الحال فیما إذا خاط ثوبه بخیوط مغصوبة فإنّ للمالک إلزامه بنزعها و یجب علیه ذلک و إن أدّی إلیٰ فساد الثوب، و إن ورد نقص علی الخشب أو اللوح أو الخیط بسبب إخراجها و نزعها یجب علی الغاصب تدارکه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یبقیٰ للمُخرج من الخشبة و المنزوع من الخیط قیمة، و أمّا إذا کان بحیث لا یبقیٰ له قیمة بعد الإخراج أصلًا کما إذا کان الخیط ضعیفاً یفسد بنزعه، فالظاهر أنّه بحکم التالف فیلزم الغاصب بدفع البدل، و لیس للمالک مطالبة العین</w:t>
      </w:r>
      <w:r>
        <w:rPr>
          <w:rFonts w:eastAsia="IRNazanin" w:cs="IRNazanin"/>
          <w:color w:val="111111"/>
          <w:sz w:val="28"/>
          <w:szCs w:val="28"/>
          <w:rtl w:val="true"/>
          <w:lang w:bidi="fa-IR"/>
        </w:rPr>
        <w:t>.</w:t>
      </w:r>
      <w:bookmarkStart w:id="6548" w:name="pg1809_19729"/>
    </w:p>
    <w:p>
      <w:pPr>
        <w:pStyle w:val="Heading3"/>
        <w:numPr>
          <w:ilvl w:val="2"/>
          <w:numId w:val="1"/>
        </w:numPr>
        <w:rPr/>
      </w:pPr>
      <w:bookmarkStart w:id="6549" w:name="__RefHeading___Toc2570906_3650668749"/>
      <w:bookmarkStart w:id="6550" w:name="_Toc2962"/>
      <w:bookmarkEnd w:id="6548"/>
      <w:bookmarkEnd w:id="6549"/>
      <w:r>
        <w:rPr>
          <w:rtl w:val="true"/>
        </w:rPr>
        <w:t>[ (</w:t>
      </w:r>
      <w:r>
        <w:rPr>
          <w:rtl w:val="true"/>
        </w:rPr>
        <w:t xml:space="preserve">مسألة </w:t>
      </w:r>
      <w:r>
        <w:rPr/>
        <w:t>16</w:t>
      </w:r>
      <w:r>
        <w:rPr>
          <w:rtl w:val="true"/>
        </w:rPr>
        <w:t xml:space="preserve">): </w:t>
      </w:r>
      <w:r>
        <w:rPr>
          <w:rtl w:val="true"/>
        </w:rPr>
        <w:t>لو مزج المغصوب بما یمکن تمیّزه و لکن مع المشقّة</w:t>
      </w:r>
      <w:r>
        <w:rPr>
          <w:rtl w:val="true"/>
        </w:rPr>
        <w:t>]</w:t>
      </w:r>
      <w:bookmarkEnd w:id="6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مزج المغصوب بما یمکن تمیّزه و لکن مع المشقّة، کما إذا مزج الشعیر المغصوب بالحنطة أو الدخن بالذرة، یجب علیه أن یمیّزه و یردّه</w:t>
      </w:r>
      <w:r>
        <w:rPr>
          <w:rFonts w:eastAsia="IRNazanin" w:cs="IRNazanin"/>
          <w:color w:val="111111"/>
          <w:sz w:val="28"/>
          <w:szCs w:val="28"/>
          <w:rtl w:val="true"/>
          <w:lang w:bidi="fa-IR"/>
        </w:rPr>
        <w:t>.</w:t>
      </w:r>
    </w:p>
    <w:p>
      <w:pPr>
        <w:pStyle w:val="Heading3"/>
        <w:numPr>
          <w:ilvl w:val="2"/>
          <w:numId w:val="1"/>
        </w:numPr>
        <w:rPr/>
      </w:pPr>
      <w:bookmarkStart w:id="6551" w:name="__RefHeading___Toc2570908_3650668749"/>
      <w:bookmarkStart w:id="6552" w:name="_Toc2963"/>
      <w:bookmarkEnd w:id="6551"/>
      <w:r>
        <w:rPr>
          <w:rtl w:val="true"/>
        </w:rPr>
        <w:t>[ (</w:t>
      </w:r>
      <w:r>
        <w:rPr>
          <w:rtl w:val="true"/>
        </w:rPr>
        <w:t xml:space="preserve">مسألة </w:t>
      </w:r>
      <w:r>
        <w:rPr/>
        <w:t>17</w:t>
      </w:r>
      <w:r>
        <w:rPr>
          <w:rtl w:val="true"/>
        </w:rPr>
        <w:t xml:space="preserve">): </w:t>
      </w:r>
      <w:r>
        <w:rPr>
          <w:rtl w:val="true"/>
        </w:rPr>
        <w:t>یجب علی الغاصب مع ردّ العین بدل ما کانت لها من المنفعة فی تلک المدّة</w:t>
      </w:r>
      <w:r>
        <w:rPr>
          <w:rtl w:val="true"/>
        </w:rPr>
        <w:t>]</w:t>
      </w:r>
      <w:bookmarkEnd w:id="6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الغاصب مع ردّ العین بدل ما کانت لها من المنفعة فی تلک المدّة إن کانت لها منفعة؛ سواء استوفاها کالدار سکنها و الدابّة رکبها، أو لم یستوفها بل کانت العین معطّلة</w:t>
      </w:r>
      <w:r>
        <w:rPr>
          <w:rFonts w:eastAsia="IRNazanin" w:cs="IRNazanin"/>
          <w:color w:val="111111"/>
          <w:sz w:val="28"/>
          <w:szCs w:val="28"/>
          <w:rtl w:val="true"/>
          <w:lang w:bidi="fa-IR"/>
        </w:rPr>
        <w:t>.</w:t>
      </w:r>
    </w:p>
    <w:p>
      <w:pPr>
        <w:pStyle w:val="Heading3"/>
        <w:numPr>
          <w:ilvl w:val="2"/>
          <w:numId w:val="1"/>
        </w:numPr>
        <w:rPr/>
      </w:pPr>
      <w:bookmarkStart w:id="6553" w:name="__RefHeading___Toc2570910_3650668749"/>
      <w:bookmarkStart w:id="6554" w:name="_Toc2964"/>
      <w:bookmarkEnd w:id="6553"/>
      <w:r>
        <w:rPr>
          <w:rtl w:val="true"/>
        </w:rPr>
        <w:t>[ (</w:t>
      </w:r>
      <w:r>
        <w:rPr>
          <w:rtl w:val="true"/>
        </w:rPr>
        <w:t xml:space="preserve">مسألة </w:t>
      </w:r>
      <w:r>
        <w:rPr/>
        <w:t>18</w:t>
      </w:r>
      <w:r>
        <w:rPr>
          <w:rtl w:val="true"/>
        </w:rPr>
        <w:t xml:space="preserve">): </w:t>
      </w:r>
      <w:r>
        <w:rPr>
          <w:rtl w:val="true"/>
        </w:rPr>
        <w:t>إذا کانت للعین منافع متعدّدة و کانت معطّلة</w:t>
      </w:r>
      <w:r>
        <w:rPr>
          <w:rtl w:val="true"/>
        </w:rPr>
        <w:t>]</w:t>
      </w:r>
      <w:bookmarkEnd w:id="65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للعین منافع متعدّدة و کانت معطّلة، فالمدار علی المنفعة المتعارفة بالنسبة إلیٰ تلک العین، و لا ینظر إلیٰ مجرّد قابلیّتها لبعض المنافع، فمنفعة الدار بحسب المتعارف هی السکنی و إن کانت قابلة فی نفسها بأن تجعل محرزاً أو مسکناً لبعض الدوابّ و غیر ذلک، فلا ینظر إلیٰ غیر السکنی، و منفعة بعض الدوابّ کالفرس بحسب المتعارف الرکوب و منفعة بعضها الحمل و إن کانت قابلة فی نفسها لأن تستعمل فی إدارة الرحی و الدولاب أیضاً، فالمضمون فی غصب کلّ عین هو المنفعة المتعارفة بالنسبة إلیٰ تلک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فرض تعدّد المتعارف </w:t>
      </w:r>
      <w:r>
        <w:rPr>
          <w:rStyle w:val="FootnoteAnchor"/>
          <w:rtl w:val="true"/>
        </w:rPr>
        <w:footnoteReference w:id="1716"/>
      </w:r>
      <w:r>
        <w:rPr>
          <w:rFonts w:ascii="IRNazanin" w:hAnsi="IRNazanin" w:eastAsia="IRNazanin"/>
          <w:color w:val="111111"/>
          <w:sz w:val="28"/>
          <w:sz w:val="28"/>
          <w:szCs w:val="28"/>
          <w:rtl w:val="true"/>
          <w:lang w:bidi="fa-IR"/>
        </w:rPr>
        <w:t>منها فیها کبعض الدوابّ التی تعارف استعمالها فی الحمل و الرکوب معاً، فإن لم تتفاوت اجرة تلک المنافع ضمن تلک الأُجرة، فلو غصب یوماً دابّة تستعمل فی الرکوب و الحمل معاً و کانت اجرة کلّ منهما فی کلّ یوم درهماً، کان علیه درهم واحد، و إن کانت اجرة بعضها أعلیٰ ضمن الأعلی، فلو فرض أنّ اجرة الحمل فی کلّ یوم درهمان و أُجرة الرکوب درهم کان علیه درهمان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الحکم کذلک مع الاستیفاء أیضاً، فمع تساوی المنافع فی الأُجرة کان علیه اجرة ما استوفاه، و مع التفاوت کان علیه أُجرة الأعلی؛ سواء استوفی الأعلی أو الأدنی</w:t>
      </w:r>
      <w:r>
        <w:rPr>
          <w:rFonts w:eastAsia="IRNazanin" w:cs="IRNazanin"/>
          <w:color w:val="111111"/>
          <w:sz w:val="28"/>
          <w:szCs w:val="28"/>
          <w:rtl w:val="true"/>
          <w:lang w:bidi="fa-IR"/>
        </w:rPr>
        <w:t>.</w:t>
      </w:r>
    </w:p>
    <w:p>
      <w:pPr>
        <w:pStyle w:val="Heading3"/>
        <w:numPr>
          <w:ilvl w:val="2"/>
          <w:numId w:val="1"/>
        </w:numPr>
        <w:rPr/>
      </w:pPr>
      <w:bookmarkStart w:id="6555" w:name="__RefHeading___Toc2570912_3650668749"/>
      <w:bookmarkStart w:id="6556" w:name="_Toc2965"/>
      <w:bookmarkEnd w:id="6555"/>
      <w:r>
        <w:rPr>
          <w:rtl w:val="true"/>
        </w:rPr>
        <w:t>[ (</w:t>
      </w:r>
      <w:r>
        <w:rPr>
          <w:rtl w:val="true"/>
        </w:rPr>
        <w:t xml:space="preserve">مسألة </w:t>
      </w:r>
      <w:r>
        <w:rPr/>
        <w:t>19</w:t>
      </w:r>
      <w:r>
        <w:rPr>
          <w:rtl w:val="true"/>
        </w:rPr>
        <w:t xml:space="preserve">): </w:t>
      </w:r>
      <w:r>
        <w:rPr>
          <w:rtl w:val="true"/>
        </w:rPr>
        <w:t>إن کان المغصوب منه شخصاً یجب الردّ إلیه أو إلیٰ وکیله إن کان کاملًا</w:t>
      </w:r>
      <w:r>
        <w:rPr>
          <w:rtl w:val="true"/>
        </w:rPr>
        <w:t>]</w:t>
      </w:r>
      <w:bookmarkEnd w:id="6556"/>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المغصوب منه شخصاً یجب الردّ إلیه أو إلیٰ وکیله إن کان کاملًا، و إلیٰ ولیّه إن کان قاصراً، کما إذا کان صبیّاً أو مجنوناً، فلو ردّ فی الثانی إلیٰ نفس المالک لم یرتفع منه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المغصوب منه هو النوع، کما إذا کان المغصوب وقفاً علی الفقراء وقف منفعة فإن کان له متولٍّ خاصّ یردّه إلیه و إلّا فیردّه إلی الولیّ العامّ و هو الحاکم، و لیس له أن یردّه إلیٰ بعض أفراد النوع بأن یسلّمه فی المثال المذکور إلیٰ أحد</w:t>
      </w:r>
      <w:bookmarkStart w:id="6557" w:name="pg1809_19731"/>
    </w:p>
    <w:p>
      <w:pPr>
        <w:pStyle w:val="BookText"/>
        <w:rPr/>
      </w:pPr>
      <w:bookmarkEnd w:id="6557"/>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مثل المساجد و الشوارع و القناطر بل الربط إذا غصبها، یکفی فی ردّها رفع الید عنها و إبقاؤها علیٰ حالها، بل یحتمل أن یکون الأمر کذلک فی المدارس، فإذا غصب مدرسة یکفی فی ردّها رفع الید عنها و التخلیة بینها و بین الطلبة، لکنّ </w:t>
      </w:r>
      <w:r>
        <w:rPr>
          <w:rStyle w:val="FootnoteAnchor"/>
          <w:rtl w:val="true"/>
        </w:rPr>
        <w:footnoteReference w:id="1717"/>
      </w:r>
      <w:r>
        <w:rPr>
          <w:rFonts w:ascii="IRNazanin" w:hAnsi="IRNazanin" w:eastAsia="IRNazanin"/>
          <w:color w:val="111111"/>
          <w:sz w:val="28"/>
          <w:sz w:val="28"/>
          <w:szCs w:val="28"/>
          <w:rtl w:val="true"/>
          <w:lang w:bidi="fa-IR"/>
        </w:rPr>
        <w:t>الأحوط الردّ إلی الناظر الخاصّ لو کان، و إلّا فإلی الحاکم</w:t>
      </w:r>
      <w:r>
        <w:rPr>
          <w:rFonts w:eastAsia="IRNazanin" w:cs="IRNazanin"/>
          <w:color w:val="111111"/>
          <w:sz w:val="28"/>
          <w:szCs w:val="28"/>
          <w:rtl w:val="true"/>
          <w:lang w:bidi="fa-IR"/>
        </w:rPr>
        <w:t>.</w:t>
      </w:r>
    </w:p>
    <w:p>
      <w:pPr>
        <w:pStyle w:val="Heading3"/>
        <w:numPr>
          <w:ilvl w:val="2"/>
          <w:numId w:val="1"/>
        </w:numPr>
        <w:rPr/>
      </w:pPr>
      <w:bookmarkStart w:id="6558" w:name="__RefHeading___Toc2570914_3650668749"/>
      <w:bookmarkStart w:id="6559" w:name="_Toc2966"/>
      <w:bookmarkEnd w:id="6558"/>
      <w:r>
        <w:rPr>
          <w:rtl w:val="true"/>
        </w:rPr>
        <w:t>[ (</w:t>
      </w:r>
      <w:r>
        <w:rPr>
          <w:rtl w:val="true"/>
        </w:rPr>
        <w:t xml:space="preserve">مسألة </w:t>
      </w:r>
      <w:r>
        <w:rPr/>
        <w:t>20</w:t>
      </w:r>
      <w:r>
        <w:rPr>
          <w:rtl w:val="true"/>
        </w:rPr>
        <w:t xml:space="preserve">): </w:t>
      </w:r>
      <w:r>
        <w:rPr>
          <w:rtl w:val="true"/>
        </w:rPr>
        <w:t>إذا کان المغصوب و المالک کلاهما فی بلد الغصب فلا إشکال</w:t>
      </w:r>
      <w:r>
        <w:rPr>
          <w:rtl w:val="true"/>
        </w:rPr>
        <w:t>]</w:t>
      </w:r>
      <w:bookmarkEnd w:id="65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المغصوب و المالک کلاهما فی بلد الغصب فلا إشکال، و کذا إن نقل المال إلیٰ بلد آخر و کان المالک فی بلد الغصب فإنّه یجب علیه عود المال إلیٰ ذلک البلد و تسلیمه إلی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المالک فی غیر بلد الغصب، فإن کان فی بلد المال فله إلزامه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بتسلیمه له فی ذلک البلد، و إمّا بنقله إلیٰ بلد الغصب، و أمّا إن کان فی بلد آخر فلا إشکال فی أنّ له إلزامه بنقل المال إلیٰ بلد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له إلزامه بنقل المال إلی البلد الذی یکون فیه المالک؟ فیه إشکال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0" w:name="__RefHeading___Toc2570916_3650668749"/>
      <w:bookmarkStart w:id="6561" w:name="_Toc2967"/>
      <w:bookmarkEnd w:id="6560"/>
      <w:r>
        <w:rPr>
          <w:rtl w:val="true"/>
        </w:rPr>
        <w:t>[ (</w:t>
      </w:r>
      <w:r>
        <w:rPr>
          <w:rtl w:val="true"/>
        </w:rPr>
        <w:t xml:space="preserve">مسألة </w:t>
      </w:r>
      <w:r>
        <w:rPr/>
        <w:t>21</w:t>
      </w:r>
      <w:r>
        <w:rPr>
          <w:rtl w:val="true"/>
        </w:rPr>
        <w:t xml:space="preserve">): </w:t>
      </w:r>
      <w:r>
        <w:rPr>
          <w:rtl w:val="true"/>
        </w:rPr>
        <w:t>لو حدث فی المغصوب نقص و عیب وجب علی الغاصب أرش النقصان</w:t>
      </w:r>
      <w:r>
        <w:rPr>
          <w:rtl w:val="true"/>
        </w:rPr>
        <w:t>]</w:t>
      </w:r>
      <w:bookmarkEnd w:id="6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حدث فی المغصوب نقص و عیب وجب علی الغاصب أرش النقصان و هو التفاوت بین قیمته صحیحاً و قیمته معیباً و ردّ المعیوب إلیٰ مالکه، و لیس للمالک إلزامه بأخذ المعیوب و دفع تمام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علی الظاهر بین ما کان العیب مستقرّاً و بین ما کان ممّا یسری </w:t>
      </w:r>
      <w:r>
        <w:rPr>
          <w:rStyle w:val="FootnoteAnchor"/>
          <w:rtl w:val="true"/>
        </w:rPr>
        <w:footnoteReference w:id="1719"/>
      </w:r>
      <w:r>
        <w:rPr>
          <w:rFonts w:ascii="IRNazanin" w:hAnsi="IRNazanin" w:eastAsia="IRNazanin"/>
          <w:color w:val="111111"/>
          <w:sz w:val="28"/>
          <w:sz w:val="28"/>
          <w:szCs w:val="28"/>
          <w:rtl w:val="true"/>
          <w:lang w:bidi="fa-IR"/>
        </w:rPr>
        <w:t>و یتزاید شیئاً فشیئاً حتّی یتلف المال بالمرّة، کما إذا عرضت علی الحنطة أو الأرز بلّة و عفونة، ففی الثانی أیضاً یجب علی الغاصب أرش النقصان و تفاوت القیمة بین کونها مبلولة و غیر مبلولة؛ فإنّ للحنطة المبلولة أیضاً قیمة عند العرف و أهل الخبرة</w:t>
      </w:r>
      <w:r>
        <w:rPr>
          <w:rFonts w:eastAsia="IRNazanin" w:cs="IRNazanin"/>
          <w:color w:val="111111"/>
          <w:sz w:val="28"/>
          <w:szCs w:val="28"/>
          <w:rtl w:val="true"/>
          <w:lang w:bidi="fa-IR"/>
        </w:rPr>
        <w:t>.</w:t>
      </w:r>
    </w:p>
    <w:p>
      <w:pPr>
        <w:pStyle w:val="Heading3"/>
        <w:numPr>
          <w:ilvl w:val="2"/>
          <w:numId w:val="1"/>
        </w:numPr>
        <w:rPr/>
      </w:pPr>
      <w:bookmarkStart w:id="6562" w:name="__RefHeading___Toc2570918_3650668749"/>
      <w:bookmarkStart w:id="6563" w:name="_Toc2968"/>
      <w:bookmarkEnd w:id="6562"/>
      <w:r>
        <w:rPr>
          <w:rtl w:val="true"/>
        </w:rPr>
        <w:t>[ (</w:t>
      </w:r>
      <w:r>
        <w:rPr>
          <w:rtl w:val="true"/>
        </w:rPr>
        <w:t xml:space="preserve">مسألة </w:t>
      </w:r>
      <w:r>
        <w:rPr/>
        <w:t>22</w:t>
      </w:r>
      <w:r>
        <w:rPr>
          <w:rtl w:val="true"/>
        </w:rPr>
        <w:t xml:space="preserve">): </w:t>
      </w:r>
      <w:r>
        <w:rPr>
          <w:rtl w:val="true"/>
        </w:rPr>
        <w:t>لو کان المغصوب باقیاً لکن نزلت قیمته السوقیّة ردّه و لم یضمن نقصان القیمة</w:t>
      </w:r>
      <w:r>
        <w:rPr>
          <w:rtl w:val="true"/>
        </w:rPr>
        <w:t>]</w:t>
      </w:r>
      <w:bookmarkEnd w:id="6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المغصوب باقیاً لکن نزلت قیمته السوقیّة ردّه و لم یضمن نقصان القیمة، ما لم یکن ذلک بسبب نقصان فی العین</w:t>
      </w:r>
      <w:r>
        <w:rPr>
          <w:rFonts w:eastAsia="IRNazanin" w:cs="IRNazanin"/>
          <w:color w:val="111111"/>
          <w:sz w:val="28"/>
          <w:szCs w:val="28"/>
          <w:rtl w:val="true"/>
          <w:lang w:bidi="fa-IR"/>
        </w:rPr>
        <w:t>.</w:t>
      </w:r>
    </w:p>
    <w:p>
      <w:pPr>
        <w:pStyle w:val="Heading3"/>
        <w:numPr>
          <w:ilvl w:val="2"/>
          <w:numId w:val="1"/>
        </w:numPr>
        <w:rPr/>
      </w:pPr>
      <w:bookmarkStart w:id="6564" w:name="__RefHeading___Toc2570920_3650668749"/>
      <w:bookmarkStart w:id="6565" w:name="_Toc2969"/>
      <w:bookmarkEnd w:id="6564"/>
      <w:r>
        <w:rPr>
          <w:rtl w:val="true"/>
        </w:rPr>
        <w:t>[ (</w:t>
      </w:r>
      <w:r>
        <w:rPr>
          <w:rtl w:val="true"/>
        </w:rPr>
        <w:t xml:space="preserve">مسألة </w:t>
      </w:r>
      <w:r>
        <w:rPr/>
        <w:t>23</w:t>
      </w:r>
      <w:r>
        <w:rPr>
          <w:rtl w:val="true"/>
        </w:rPr>
        <w:t xml:space="preserve">): </w:t>
      </w:r>
      <w:r>
        <w:rPr>
          <w:rtl w:val="true"/>
        </w:rPr>
        <w:t>لو تلف المغصوب أو ما بحکمه کالمقبوض بالعقد الفاسد و المقبوض بالسوم قبل ردّه إلی المالک</w:t>
      </w:r>
      <w:r>
        <w:rPr>
          <w:rtl w:val="true"/>
        </w:rPr>
        <w:t>]</w:t>
      </w:r>
      <w:bookmarkEnd w:id="6565"/>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المغصوب أو ما بحکمه کالمقبوض بالعقد الفاسد و المقبوض بالسوم قبل ردّه إلی المالک ضمنه بمثله إن کان مثلیّا، أو بقیمته إن کان قیمیّاً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w:t>
      </w:r>
      <w:bookmarkStart w:id="6566" w:name="pg1809_19733"/>
    </w:p>
    <w:p>
      <w:pPr>
        <w:pStyle w:val="BookText"/>
        <w:rPr/>
      </w:pPr>
      <w:bookmarkEnd w:id="6566"/>
      <w:r>
        <w:rPr>
          <w:rFonts w:ascii="IRNazanin" w:hAnsi="IRNazanin" w:eastAsia="IRNazanin"/>
          <w:color w:val="111111"/>
          <w:sz w:val="28"/>
          <w:sz w:val="28"/>
          <w:szCs w:val="28"/>
          <w:rtl w:val="true"/>
          <w:lang w:bidi="fa-IR"/>
        </w:rPr>
        <w:t xml:space="preserve">بالمثلی </w:t>
      </w:r>
      <w:r>
        <w:rPr>
          <w:rStyle w:val="FootnoteAnchor"/>
          <w:rtl w:val="true"/>
        </w:rPr>
        <w:footnoteReference w:id="1720"/>
      </w:r>
      <w:r>
        <w:rPr>
          <w:rFonts w:ascii="IRNazanin" w:hAnsi="IRNazanin" w:eastAsia="IRNazanin"/>
          <w:color w:val="111111"/>
          <w:sz w:val="28"/>
          <w:sz w:val="28"/>
          <w:szCs w:val="28"/>
          <w:rtl w:val="true"/>
          <w:lang w:bidi="fa-IR"/>
        </w:rPr>
        <w:t>ما تساوت قیمة أجزائه لتقاربها فی غالب الصفات و الخواصّ کالحبوبات من الحنطة و الشعیر و الأرز و الذرة و الدخن و الماش و العدس و غیرها، و کذا الأدهان و عقاقیر الأدویة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القیمی ما یکون بخلافه کالعبید و الإماء و أنواع الحیوان کالفرس و البغل و الحمار و الغنم و البقر و غیرها، و کذا الجواهر الکبار و الثیاب و الفرش و البسط و أنواع المصنوعات و غیرها</w:t>
      </w:r>
      <w:r>
        <w:rPr>
          <w:rFonts w:eastAsia="IRNazanin" w:cs="IRNazanin"/>
          <w:color w:val="111111"/>
          <w:sz w:val="28"/>
          <w:szCs w:val="28"/>
          <w:rtl w:val="true"/>
          <w:lang w:bidi="fa-IR"/>
        </w:rPr>
        <w:t>.</w:t>
      </w:r>
    </w:p>
    <w:p>
      <w:pPr>
        <w:pStyle w:val="Heading3"/>
        <w:numPr>
          <w:ilvl w:val="2"/>
          <w:numId w:val="1"/>
        </w:numPr>
        <w:rPr/>
      </w:pPr>
      <w:bookmarkStart w:id="6567" w:name="__RefHeading___Toc2570922_3650668749"/>
      <w:bookmarkStart w:id="6568" w:name="_Toc2970"/>
      <w:bookmarkEnd w:id="6567"/>
      <w:r>
        <w:rPr>
          <w:rtl w:val="true"/>
        </w:rPr>
        <w:t>[ (</w:t>
      </w:r>
      <w:r>
        <w:rPr>
          <w:rtl w:val="true"/>
        </w:rPr>
        <w:t xml:space="preserve">مسألة </w:t>
      </w:r>
      <w:r>
        <w:rPr/>
        <w:t>24</w:t>
      </w:r>
      <w:r>
        <w:rPr>
          <w:rtl w:val="true"/>
        </w:rPr>
        <w:t xml:space="preserve">): </w:t>
      </w:r>
      <w:r>
        <w:rPr>
          <w:rtl w:val="true"/>
        </w:rPr>
        <w:t>إنّما یکون مثل الحنطة مثلیّا إذا لوحظ أشخاص کلّ صنف منها علیٰ حدة</w:t>
      </w:r>
      <w:r>
        <w:rPr>
          <w:rtl w:val="true"/>
        </w:rPr>
        <w:t>]</w:t>
      </w:r>
      <w:bookmarkEnd w:id="6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مثل الحنطة مثلیّا إذا لوحظ أشخاص کلّ صنف منها علیٰ حدة، و لم یلاحظ أشخاص صنف مع أشخاص صنف آخر منها مبائن له فی کثیر من الصفات و الخصوصیّات، فإذا تلف عنده مقدار من صنف خاصّ من الحنطة یجب علیه دفع ذلک المقدار من ذلک الصنف لا صنف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التفاوت الذی بین أشخاص ذلک الصنف لا ینظر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الأرز فإنّ فیه أصنافاً متفاوتة جدّاً، فأین العنبر من الحویزاوی أو غیره، فإذا تلف عنده مقدار من العنبر یجب علیه دفع ذلک المقدار منه لا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 التمر و أصنافه و الأدهان و غیر ذلک ممّا لا یحصی</w:t>
      </w:r>
      <w:r>
        <w:rPr>
          <w:rFonts w:eastAsia="IRNazanin" w:cs="IRNazanin"/>
          <w:color w:val="111111"/>
          <w:sz w:val="28"/>
          <w:szCs w:val="28"/>
          <w:rtl w:val="true"/>
          <w:lang w:bidi="fa-IR"/>
        </w:rPr>
        <w:t>.</w:t>
      </w:r>
    </w:p>
    <w:p>
      <w:pPr>
        <w:pStyle w:val="Heading3"/>
        <w:numPr>
          <w:ilvl w:val="2"/>
          <w:numId w:val="1"/>
        </w:numPr>
        <w:rPr/>
      </w:pPr>
      <w:bookmarkStart w:id="6569" w:name="__RefHeading___Toc2570924_3650668749"/>
      <w:bookmarkStart w:id="6570" w:name="_Toc2971"/>
      <w:bookmarkEnd w:id="6569"/>
      <w:r>
        <w:rPr>
          <w:rtl w:val="true"/>
        </w:rPr>
        <w:t>[ (</w:t>
      </w:r>
      <w:r>
        <w:rPr>
          <w:rtl w:val="true"/>
        </w:rPr>
        <w:t xml:space="preserve">مسألة </w:t>
      </w:r>
      <w:r>
        <w:rPr/>
        <w:t>25</w:t>
      </w:r>
      <w:r>
        <w:rPr>
          <w:rtl w:val="true"/>
        </w:rPr>
        <w:t xml:space="preserve">): </w:t>
      </w:r>
      <w:r>
        <w:rPr>
          <w:rtl w:val="true"/>
        </w:rPr>
        <w:t>لو تعذّر المثل فی المثلی ضمن قیمته</w:t>
      </w:r>
      <w:r>
        <w:rPr>
          <w:rtl w:val="true"/>
        </w:rPr>
        <w:t>]</w:t>
      </w:r>
      <w:bookmarkEnd w:id="6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تعذّر المثل فی المثلی ضمن قیمته، و إن تفاوتت القیمة و زادت و نقصت بحسب الأزمنة؛ بأن کان له حین الغصب قیمة و فی وقت تلف العین قیمة و یوم التعذّر قیمة و الیوم الذی یدفع القیمة إلی المغصوب منه قیمة، فالمدار علی الأخیر، فیجب علیه دفع تلک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غصب منّاً من الحنطة کان قیمتها درهمین فأتلفها فی زمان کانت الحنطة موجودة و کانت قیمتها ثلاثة دراهم، ثمّ تعذّرت و کانت قیمتها أربعة دراهم، ثمّ مضی زمان و أراد أن یدفع القیمة من جهة تفریغ ذمّته و کانت قیمة الحنطة فی ذلک الزمان خمسة دراهم یجب علیه دفع هذه القیمة</w:t>
      </w:r>
      <w:r>
        <w:rPr>
          <w:rFonts w:eastAsia="IRNazanin" w:cs="IRNazanin"/>
          <w:color w:val="111111"/>
          <w:sz w:val="28"/>
          <w:szCs w:val="28"/>
          <w:rtl w:val="true"/>
          <w:lang w:bidi="fa-IR"/>
        </w:rPr>
        <w:t>.</w:t>
      </w:r>
    </w:p>
    <w:p>
      <w:pPr>
        <w:pStyle w:val="Heading3"/>
        <w:numPr>
          <w:ilvl w:val="2"/>
          <w:numId w:val="1"/>
        </w:numPr>
        <w:rPr/>
      </w:pPr>
      <w:bookmarkStart w:id="6571" w:name="__RefHeading___Toc2570926_3650668749"/>
      <w:bookmarkStart w:id="6572" w:name="_Toc2972"/>
      <w:bookmarkEnd w:id="6571"/>
      <w:r>
        <w:rPr>
          <w:rtl w:val="true"/>
        </w:rPr>
        <w:t>[ (</w:t>
      </w:r>
      <w:r>
        <w:rPr>
          <w:rtl w:val="true"/>
        </w:rPr>
        <w:t xml:space="preserve">مسألة </w:t>
      </w:r>
      <w:r>
        <w:rPr/>
        <w:t>26</w:t>
      </w:r>
      <w:r>
        <w:rPr>
          <w:rtl w:val="true"/>
        </w:rPr>
        <w:t xml:space="preserve">): </w:t>
      </w:r>
      <w:r>
        <w:rPr>
          <w:rtl w:val="true"/>
        </w:rPr>
        <w:t>یکفی فی التعذّر الذی یجب معه دفع القیمة</w:t>
      </w:r>
      <w:r>
        <w:rPr>
          <w:rtl w:val="true"/>
        </w:rPr>
        <w:t>]</w:t>
      </w:r>
      <w:bookmarkEnd w:id="65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التعذّر الذی یجب معه دفع القیمة، فقدانه فی البلد و ما حوله ممّا ینقل منها إلیه عادة</w:t>
      </w:r>
      <w:r>
        <w:rPr>
          <w:rFonts w:eastAsia="IRNazanin" w:cs="IRNazanin"/>
          <w:color w:val="111111"/>
          <w:sz w:val="28"/>
          <w:szCs w:val="28"/>
          <w:rtl w:val="true"/>
          <w:lang w:bidi="fa-IR"/>
        </w:rPr>
        <w:t>.</w:t>
      </w:r>
    </w:p>
    <w:p>
      <w:pPr>
        <w:pStyle w:val="Heading3"/>
        <w:numPr>
          <w:ilvl w:val="2"/>
          <w:numId w:val="1"/>
        </w:numPr>
        <w:rPr/>
      </w:pPr>
      <w:bookmarkStart w:id="6573" w:name="__RefHeading___Toc2570928_3650668749"/>
      <w:bookmarkStart w:id="6574" w:name="_Toc2973"/>
      <w:bookmarkEnd w:id="6573"/>
      <w:r>
        <w:rPr>
          <w:rtl w:val="true"/>
        </w:rPr>
        <w:t>[ (</w:t>
      </w:r>
      <w:r>
        <w:rPr>
          <w:rtl w:val="true"/>
        </w:rPr>
        <w:t xml:space="preserve">مسألة </w:t>
      </w:r>
      <w:r>
        <w:rPr/>
        <w:t>27</w:t>
      </w:r>
      <w:r>
        <w:rPr>
          <w:rtl w:val="true"/>
        </w:rPr>
        <w:t xml:space="preserve">): </w:t>
      </w:r>
      <w:r>
        <w:rPr>
          <w:rtl w:val="true"/>
        </w:rPr>
        <w:t>لو وجد المثل بأکثر من ثمن المثل وجب علیه الشراء</w:t>
      </w:r>
      <w:r>
        <w:rPr>
          <w:rtl w:val="true"/>
        </w:rPr>
        <w:t>]</w:t>
      </w:r>
      <w:bookmarkEnd w:id="6574"/>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 المثل بأکثر من ثمن المثل وجب </w:t>
      </w:r>
      <w:r>
        <w:rPr>
          <w:rStyle w:val="FootnoteAnchor"/>
          <w:rtl w:val="true"/>
        </w:rPr>
        <w:footnoteReference w:id="1721"/>
      </w:r>
      <w:r>
        <w:rPr>
          <w:rFonts w:ascii="IRNazanin" w:hAnsi="IRNazanin" w:eastAsia="IRNazanin"/>
          <w:color w:val="111111"/>
          <w:sz w:val="28"/>
          <w:sz w:val="28"/>
          <w:szCs w:val="28"/>
          <w:rtl w:val="true"/>
          <w:lang w:bidi="fa-IR"/>
        </w:rPr>
        <w:t>علیه الشراء و دفعه إلی المالک</w:t>
      </w:r>
      <w:r>
        <w:rPr>
          <w:rFonts w:eastAsia="IRNazanin" w:cs="IRNazanin"/>
          <w:color w:val="111111"/>
          <w:sz w:val="28"/>
          <w:szCs w:val="28"/>
          <w:rtl w:val="true"/>
          <w:lang w:bidi="fa-IR"/>
        </w:rPr>
        <w:t>.</w:t>
      </w:r>
      <w:bookmarkStart w:id="6575" w:name="pg1809_19734"/>
    </w:p>
    <w:p>
      <w:pPr>
        <w:pStyle w:val="Heading3"/>
        <w:numPr>
          <w:ilvl w:val="2"/>
          <w:numId w:val="1"/>
        </w:numPr>
        <w:rPr/>
      </w:pPr>
      <w:bookmarkStart w:id="6576" w:name="__RefHeading___Toc2570930_3650668749"/>
      <w:bookmarkStart w:id="6577" w:name="_Toc2974"/>
      <w:bookmarkEnd w:id="6575"/>
      <w:bookmarkEnd w:id="6576"/>
      <w:r>
        <w:rPr>
          <w:rtl w:val="true"/>
        </w:rPr>
        <w:t>[ (</w:t>
      </w:r>
      <w:r>
        <w:rPr>
          <w:rtl w:val="true"/>
        </w:rPr>
        <w:t xml:space="preserve">مسألة </w:t>
      </w:r>
      <w:r>
        <w:rPr/>
        <w:t>28</w:t>
      </w:r>
      <w:r>
        <w:rPr>
          <w:rtl w:val="true"/>
        </w:rPr>
        <w:t xml:space="preserve">): </w:t>
      </w:r>
      <w:r>
        <w:rPr>
          <w:rtl w:val="true"/>
        </w:rPr>
        <w:t>لو وجد المثل و لکن تنزّل قیمته لم یکن علی الغاصب إلّا إعطاؤه</w:t>
      </w:r>
      <w:r>
        <w:rPr>
          <w:rtl w:val="true"/>
        </w:rPr>
        <w:t>]</w:t>
      </w:r>
      <w:bookmarkEnd w:id="6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المثل و لکن تنزّل قیمته لم یکن علی الغاصب إلّا إعطاؤه، و لیس للمالک مطالبته بالقیمة و لا بالتفاوت، فلو غصب منّاً من الحنطة فی زمان کانت قیمتها عشرة دراهم و أتلفها و لم یدفع مثلها قصوراً أو تقصیراً إلیٰ زمان قد تنزّلت قیمتها و صارت خمسة دراهم، لم یکن علیه إلّا إعطاء منّ من الحنطة، و لم یکن للمالک مطالبة القیمة و لا مطالبه خمسة دراهم مع منّ من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لیس له الامتناع عن الأخذ فعلًا و إبقاؤها فی ذمّة الغاصب إلیٰ أن تترقّی القیمة؛ إذا کان الغاصب یرید الأداء و تفریغ ذمّته فعلًا</w:t>
      </w:r>
      <w:r>
        <w:rPr>
          <w:rFonts w:eastAsia="IRNazanin" w:cs="IRNazanin"/>
          <w:color w:val="111111"/>
          <w:sz w:val="28"/>
          <w:szCs w:val="28"/>
          <w:rtl w:val="true"/>
          <w:lang w:bidi="fa-IR"/>
        </w:rPr>
        <w:t>.</w:t>
      </w:r>
    </w:p>
    <w:p>
      <w:pPr>
        <w:pStyle w:val="Heading3"/>
        <w:numPr>
          <w:ilvl w:val="2"/>
          <w:numId w:val="1"/>
        </w:numPr>
        <w:rPr/>
      </w:pPr>
      <w:bookmarkStart w:id="6578" w:name="__RefHeading___Toc2570932_3650668749"/>
      <w:bookmarkStart w:id="6579" w:name="_Toc2975"/>
      <w:bookmarkEnd w:id="6578"/>
      <w:r>
        <w:rPr>
          <w:rtl w:val="true"/>
        </w:rPr>
        <w:t>[ (</w:t>
      </w:r>
      <w:r>
        <w:rPr>
          <w:rtl w:val="true"/>
        </w:rPr>
        <w:t xml:space="preserve">مسألة </w:t>
      </w:r>
      <w:r>
        <w:rPr/>
        <w:t>29</w:t>
      </w:r>
      <w:r>
        <w:rPr>
          <w:rtl w:val="true"/>
        </w:rPr>
        <w:t xml:space="preserve">): </w:t>
      </w:r>
      <w:r>
        <w:rPr>
          <w:rtl w:val="true"/>
        </w:rPr>
        <w:t>لو سقط المثل عن المالیّة بالمرّة؛ من جهة الزمان أو المکان</w:t>
      </w:r>
      <w:r>
        <w:rPr>
          <w:rtl w:val="true"/>
        </w:rPr>
        <w:t>]</w:t>
      </w:r>
      <w:bookmarkEnd w:id="6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سقط المثل عن المالیّة بالمرّة؛ من جهة الزمان أو المکان، فالظاهر أنّه لیس للغاصب إلزام المالک بأخذ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یکفی دفعه فی ذلک الزمان أو المکان فی ارتفاع الضمان لو لم یرض به المالک، فلو غصب جمداً فی الصیف و أتلفه و أراد أن یدفع إلی المالک مثله فی الشتاء، أو قربة ماء فی مفازة فأراد أن یدفع إلیه قربة ماء عند الشطّ لیس له ذلک، و للمالک الامتناع، فله أن یصبر و ینتظر زماناً أو مکاناً آخر فیطالبها بالمثل الذی له القیمة، و له أن یطالب الغاصب بالقیمة فعلًا، کما فی صورة تعذّر المثل، و حینئذٍ فالظاهر أنّه یراعیٰ </w:t>
      </w:r>
      <w:r>
        <w:rPr>
          <w:rStyle w:val="FootnoteAnchor"/>
          <w:rtl w:val="true"/>
        </w:rPr>
        <w:footnoteReference w:id="1722"/>
      </w:r>
      <w:r>
        <w:rPr>
          <w:rFonts w:ascii="IRNazanin" w:hAnsi="IRNazanin" w:eastAsia="IRNazanin"/>
          <w:color w:val="111111"/>
          <w:sz w:val="28"/>
          <w:sz w:val="28"/>
          <w:szCs w:val="28"/>
          <w:rtl w:val="true"/>
          <w:lang w:bidi="fa-IR"/>
        </w:rPr>
        <w:t>قیمة المغصوب فی زمان الغصب و مکانه</w:t>
      </w:r>
      <w:r>
        <w:rPr>
          <w:rFonts w:eastAsia="IRNazanin" w:cs="IRNazanin"/>
          <w:color w:val="111111"/>
          <w:sz w:val="28"/>
          <w:szCs w:val="28"/>
          <w:rtl w:val="true"/>
          <w:lang w:bidi="fa-IR"/>
        </w:rPr>
        <w:t>.</w:t>
      </w:r>
    </w:p>
    <w:p>
      <w:pPr>
        <w:pStyle w:val="Heading3"/>
        <w:numPr>
          <w:ilvl w:val="2"/>
          <w:numId w:val="1"/>
        </w:numPr>
        <w:rPr/>
      </w:pPr>
      <w:bookmarkStart w:id="6580" w:name="__RefHeading___Toc2570934_3650668749"/>
      <w:bookmarkStart w:id="6581" w:name="_Toc2976"/>
      <w:bookmarkEnd w:id="6580"/>
      <w:r>
        <w:rPr>
          <w:rtl w:val="true"/>
        </w:rPr>
        <w:t>[ (</w:t>
      </w:r>
      <w:r>
        <w:rPr>
          <w:rtl w:val="true"/>
        </w:rPr>
        <w:t xml:space="preserve">مسألة </w:t>
      </w:r>
      <w:r>
        <w:rPr/>
        <w:t>30</w:t>
      </w:r>
      <w:r>
        <w:rPr>
          <w:rtl w:val="true"/>
        </w:rPr>
        <w:t xml:space="preserve">): </w:t>
      </w:r>
      <w:r>
        <w:rPr>
          <w:rtl w:val="true"/>
        </w:rPr>
        <w:t>لو تلف المغصوب و کان قیمیّاً کالدوابّ و الثیاب ضمن قیمته</w:t>
      </w:r>
      <w:r>
        <w:rPr>
          <w:rtl w:val="true"/>
        </w:rPr>
        <w:t>]</w:t>
      </w:r>
      <w:bookmarkEnd w:id="6581"/>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تلف المغصوب و کان قیمیّاً کالدوابّ و الثیاب ضمن قیمته، فإن لم یتفاوت قیمته فی الزمان الذی غصبه مع قیمته فی زمان تلفه فلا إشکال، و إن تفاوتت بأن کانت قیمته یوم الغصب أزید من قیمته یوم التلف أو العکس فهل یراعی الأوّل أو الثانی؟ فیه قولان </w:t>
      </w:r>
      <w:r>
        <w:rPr>
          <w:rStyle w:val="FootnoteAnchor"/>
          <w:rtl w:val="true"/>
        </w:rPr>
        <w:footnoteReference w:id="1723"/>
      </w:r>
      <w:r>
        <w:rPr>
          <w:rFonts w:ascii="IRNazanin" w:hAnsi="IRNazanin" w:eastAsia="IRNazanin"/>
          <w:color w:val="111111"/>
          <w:sz w:val="28"/>
          <w:sz w:val="28"/>
          <w:szCs w:val="28"/>
          <w:rtl w:val="true"/>
          <w:lang w:bidi="fa-IR"/>
        </w:rPr>
        <w:t>مشهوران، لا یخلو ثانیهما من رجحان، لکن الأحوط التراضی و التصالح فیما به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تفاوت القیمة من جهة السوق و تفاوت رغبة الناس، و أمّا إن کان من جهة زیادة و نقصان فی العین کالسمن و الهزال فلا إشکال فی أنّه یراعیٰ أعلی القیم و أحسن الأحوال، بل لو فرض أنّه لم یتفاوت قیمة زمانی الغصب و التلف من هذه</w:t>
      </w:r>
      <w:bookmarkStart w:id="6582" w:name="pg1809_19737"/>
    </w:p>
    <w:p>
      <w:pPr>
        <w:pStyle w:val="BookText"/>
        <w:rPr/>
      </w:pPr>
      <w:bookmarkEnd w:id="6582"/>
      <w:r>
        <w:rPr>
          <w:rFonts w:ascii="IRNazanin" w:hAnsi="IRNazanin" w:eastAsia="IRNazanin"/>
          <w:color w:val="111111"/>
          <w:sz w:val="28"/>
          <w:sz w:val="28"/>
          <w:szCs w:val="28"/>
          <w:rtl w:val="true"/>
          <w:lang w:bidi="fa-IR"/>
        </w:rPr>
        <w:t>الجهة لکن حصل فیه ارتفاع بین الزمانین ثمّ زال، ضمن ارتفاع قیمته الحاصل فی تلک الحال، مثل أنّه کان الحیوان هازلًا حین الغصب ثمّ سمن ثمّ عاد إلی الهزال و تلف، فإنّه یضمن قیمته حال سمنه</w:t>
      </w:r>
      <w:r>
        <w:rPr>
          <w:rFonts w:eastAsia="IRNazanin" w:cs="IRNazanin"/>
          <w:color w:val="111111"/>
          <w:sz w:val="28"/>
          <w:szCs w:val="28"/>
          <w:rtl w:val="true"/>
          <w:lang w:bidi="fa-IR"/>
        </w:rPr>
        <w:t>.</w:t>
      </w:r>
    </w:p>
    <w:p>
      <w:pPr>
        <w:pStyle w:val="Heading3"/>
        <w:numPr>
          <w:ilvl w:val="2"/>
          <w:numId w:val="1"/>
        </w:numPr>
        <w:rPr/>
      </w:pPr>
      <w:bookmarkStart w:id="6583" w:name="__RefHeading___Toc2570936_3650668749"/>
      <w:bookmarkStart w:id="6584" w:name="_Toc2977"/>
      <w:bookmarkEnd w:id="6583"/>
      <w:r>
        <w:rPr>
          <w:rtl w:val="true"/>
        </w:rPr>
        <w:t>[ (</w:t>
      </w:r>
      <w:r>
        <w:rPr>
          <w:rtl w:val="true"/>
        </w:rPr>
        <w:t xml:space="preserve">مسألة </w:t>
      </w:r>
      <w:r>
        <w:rPr/>
        <w:t>31</w:t>
      </w:r>
      <w:r>
        <w:rPr>
          <w:rtl w:val="true"/>
        </w:rPr>
        <w:t xml:space="preserve">): </w:t>
      </w:r>
      <w:r>
        <w:rPr>
          <w:rtl w:val="true"/>
        </w:rPr>
        <w:t>إذا اختلفت القیمة باختلاف المکان، کما إذا کان المغصوب فی بلد الغصب بعشرة</w:t>
      </w:r>
      <w:r>
        <w:rPr>
          <w:rtl w:val="true"/>
        </w:rPr>
        <w:t>]</w:t>
      </w:r>
      <w:bookmarkEnd w:id="6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اختلفت القیمة باختلاف المکان، کما إذا کان المغصوب فی بلد الغصب بعشرة و فی بلد التلف بعشرین، فالظاهر </w:t>
      </w:r>
      <w:r>
        <w:rPr>
          <w:rStyle w:val="FootnoteAnchor"/>
          <w:rtl w:val="true"/>
        </w:rPr>
        <w:footnoteReference w:id="1724"/>
      </w:r>
      <w:r>
        <w:rPr>
          <w:rFonts w:ascii="IRNazanin" w:hAnsi="IRNazanin" w:eastAsia="IRNazanin"/>
          <w:color w:val="111111"/>
          <w:sz w:val="28"/>
          <w:sz w:val="28"/>
          <w:szCs w:val="28"/>
          <w:rtl w:val="true"/>
          <w:lang w:bidi="fa-IR"/>
        </w:rPr>
        <w:t>اعتبار محلّ التلف</w:t>
      </w:r>
      <w:r>
        <w:rPr>
          <w:rFonts w:eastAsia="IRNazanin" w:cs="IRNazanin"/>
          <w:color w:val="111111"/>
          <w:sz w:val="28"/>
          <w:szCs w:val="28"/>
          <w:rtl w:val="true"/>
          <w:lang w:bidi="fa-IR"/>
        </w:rPr>
        <w:t>.</w:t>
      </w:r>
    </w:p>
    <w:p>
      <w:pPr>
        <w:pStyle w:val="Heading3"/>
        <w:numPr>
          <w:ilvl w:val="2"/>
          <w:numId w:val="1"/>
        </w:numPr>
        <w:rPr/>
      </w:pPr>
      <w:bookmarkStart w:id="6585" w:name="__RefHeading___Toc2570938_3650668749"/>
      <w:bookmarkStart w:id="6586" w:name="_Toc2978"/>
      <w:bookmarkEnd w:id="6585"/>
      <w:r>
        <w:rPr>
          <w:rtl w:val="true"/>
        </w:rPr>
        <w:t>[ (</w:t>
      </w:r>
      <w:r>
        <w:rPr>
          <w:rtl w:val="true"/>
        </w:rPr>
        <w:t xml:space="preserve">مسألة </w:t>
      </w:r>
      <w:r>
        <w:rPr/>
        <w:t>32</w:t>
      </w:r>
      <w:r>
        <w:rPr>
          <w:rtl w:val="true"/>
        </w:rPr>
        <w:t xml:space="preserve">): </w:t>
      </w:r>
      <w:r>
        <w:rPr>
          <w:rtl w:val="true"/>
        </w:rPr>
        <w:t>کما أنّه عند تلف المغصوب یجب علی الغاصب دفع بدله إلی المالک</w:t>
      </w:r>
      <w:r>
        <w:rPr>
          <w:rtl w:val="true"/>
        </w:rPr>
        <w:t>]</w:t>
      </w:r>
      <w:bookmarkEnd w:id="65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عند تلف المغصوب یجب علی الغاصب دفع بدله إلی المالک مثلًا أو قیمة کذلک فیما إذا تعذّر علی الغاصب عادة تسلیمه، کما إذا سرق أو دُفن فی مکان لا یقدر علیٰ إخراجه أو أبق العبد أو شردت الدابّة و نحو ذلک، فإنّه یجب علیه إعطاء مثله أو قیمته ما دام کذلک، و یسمّی ذلک البدل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یملک المالک البدل مع بقاء المغصوب فی ملکه، و إذا أمکن تسلیم المغصوب و ردّه یسترجع البدل</w:t>
      </w:r>
      <w:r>
        <w:rPr>
          <w:rFonts w:eastAsia="IRNazanin" w:cs="IRNazanin"/>
          <w:color w:val="111111"/>
          <w:sz w:val="28"/>
          <w:szCs w:val="28"/>
          <w:rtl w:val="true"/>
          <w:lang w:bidi="fa-IR"/>
        </w:rPr>
        <w:t>.</w:t>
      </w:r>
    </w:p>
    <w:p>
      <w:pPr>
        <w:pStyle w:val="Heading3"/>
        <w:numPr>
          <w:ilvl w:val="2"/>
          <w:numId w:val="1"/>
        </w:numPr>
        <w:rPr/>
      </w:pPr>
      <w:bookmarkStart w:id="6587" w:name="__RefHeading___Toc2570940_3650668749"/>
      <w:bookmarkStart w:id="6588" w:name="_Toc2979"/>
      <w:bookmarkEnd w:id="6587"/>
      <w:r>
        <w:rPr>
          <w:rtl w:val="true"/>
        </w:rPr>
        <w:t>[ (</w:t>
      </w:r>
      <w:r>
        <w:rPr>
          <w:rtl w:val="true"/>
        </w:rPr>
        <w:t xml:space="preserve">مسألة </w:t>
      </w:r>
      <w:r>
        <w:rPr/>
        <w:t>33</w:t>
      </w:r>
      <w:r>
        <w:rPr>
          <w:rtl w:val="true"/>
        </w:rPr>
        <w:t xml:space="preserve">): </w:t>
      </w:r>
      <w:r>
        <w:rPr>
          <w:rtl w:val="true"/>
        </w:rPr>
        <w:t>لو کان للبدل نماء و منافع فی تلک المدّة کان للمغصوب منه</w:t>
      </w:r>
      <w:r>
        <w:rPr>
          <w:rtl w:val="true"/>
        </w:rPr>
        <w:t>]</w:t>
      </w:r>
      <w:bookmarkEnd w:id="6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للبدل نماء و منافع فی تلک المدّة کان للمغصوب منه، نعم نماؤه المتّصل کالسمن تتبع العین، فإذا استرجعها الغاصب استرجعها بنمائها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المبدل فلمّا کان باقیاً علیٰ ملک مالکه فنماؤه و منافعه له، لکن الغاصب لا یضمن منافعها الغیر المستوفاة فی تلک المدّة علی الأقویٰ</w:t>
      </w:r>
      <w:r>
        <w:rPr>
          <w:rFonts w:eastAsia="IRNazanin" w:cs="IRNazanin"/>
          <w:color w:val="111111"/>
          <w:sz w:val="28"/>
          <w:szCs w:val="28"/>
          <w:rtl w:val="true"/>
          <w:lang w:bidi="fa-IR"/>
        </w:rPr>
        <w:t>.</w:t>
      </w:r>
    </w:p>
    <w:p>
      <w:pPr>
        <w:pStyle w:val="Heading3"/>
        <w:numPr>
          <w:ilvl w:val="2"/>
          <w:numId w:val="1"/>
        </w:numPr>
        <w:rPr/>
      </w:pPr>
      <w:bookmarkStart w:id="6589" w:name="__RefHeading___Toc2570942_3650668749"/>
      <w:bookmarkStart w:id="6590" w:name="_Toc2980"/>
      <w:bookmarkEnd w:id="6589"/>
      <w:r>
        <w:rPr>
          <w:rtl w:val="true"/>
        </w:rPr>
        <w:t>[ (</w:t>
      </w:r>
      <w:r>
        <w:rPr>
          <w:rtl w:val="true"/>
        </w:rPr>
        <w:t xml:space="preserve">مسألة </w:t>
      </w:r>
      <w:r>
        <w:rPr/>
        <w:t>34</w:t>
      </w:r>
      <w:r>
        <w:rPr>
          <w:rtl w:val="true"/>
        </w:rPr>
        <w:t xml:space="preserve">): </w:t>
      </w:r>
      <w:r>
        <w:rPr>
          <w:rtl w:val="true"/>
        </w:rPr>
        <w:t>القیمة التی یضمنها الغاصب فی القیمیّات و فی المثلیّات</w:t>
      </w:r>
      <w:r>
        <w:rPr>
          <w:rtl w:val="true"/>
        </w:rPr>
        <w:t>]</w:t>
      </w:r>
      <w:bookmarkEnd w:id="6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القیمة التی یضمنها الغاصب فی القیمیّات و فی المثلیّات عند تعذّر المثل هو نقد البلد من الذهب و الفضّة </w:t>
      </w:r>
      <w:r>
        <w:rPr>
          <w:rStyle w:val="FootnoteAnchor"/>
          <w:rtl w:val="true"/>
        </w:rPr>
        <w:footnoteReference w:id="1725"/>
      </w:r>
      <w:r>
        <w:rPr>
          <w:rFonts w:ascii="IRNazanin" w:hAnsi="IRNazanin" w:eastAsia="IRNazanin"/>
          <w:color w:val="111111"/>
          <w:sz w:val="28"/>
          <w:sz w:val="28"/>
          <w:szCs w:val="28"/>
          <w:rtl w:val="true"/>
          <w:lang w:bidi="fa-IR"/>
        </w:rPr>
        <w:t>المضروبین بسکّة المعاملة، و هذا هو الذی یستحقّه المغصوب منه، کما هو کذلک فی جمیع الغرامات و الضمانات، فلیس للضامن دفع غیره إلّا بالتراضی بعد مراعاة قیمة ما یدفعه مقیساً إلی النقدین</w:t>
      </w:r>
      <w:r>
        <w:rPr>
          <w:rFonts w:eastAsia="IRNazanin" w:cs="IRNazanin"/>
          <w:color w:val="111111"/>
          <w:sz w:val="28"/>
          <w:szCs w:val="28"/>
          <w:rtl w:val="true"/>
          <w:lang w:bidi="fa-IR"/>
        </w:rPr>
        <w:t>.</w:t>
      </w:r>
    </w:p>
    <w:p>
      <w:pPr>
        <w:pStyle w:val="Heading3"/>
        <w:numPr>
          <w:ilvl w:val="2"/>
          <w:numId w:val="1"/>
        </w:numPr>
        <w:rPr/>
      </w:pPr>
      <w:bookmarkStart w:id="6591" w:name="__RefHeading___Toc2570944_3650668749"/>
      <w:bookmarkStart w:id="6592" w:name="_Toc2981"/>
      <w:bookmarkEnd w:id="6591"/>
      <w:r>
        <w:rPr>
          <w:rtl w:val="true"/>
        </w:rPr>
        <w:t>[ (</w:t>
      </w:r>
      <w:r>
        <w:rPr>
          <w:rtl w:val="true"/>
        </w:rPr>
        <w:t xml:space="preserve">مسألة </w:t>
      </w:r>
      <w:r>
        <w:rPr/>
        <w:t>35</w:t>
      </w:r>
      <w:r>
        <w:rPr>
          <w:rtl w:val="true"/>
        </w:rPr>
        <w:t xml:space="preserve">): </w:t>
      </w:r>
      <w:r>
        <w:rPr>
          <w:rtl w:val="true"/>
        </w:rPr>
        <w:t>الظاهر أنّ الفلزّات و المعادن المنطبعة کالحدید و الرصاص و النحاس کلّها مثلیّة</w:t>
      </w:r>
      <w:r>
        <w:rPr>
          <w:rtl w:val="true"/>
        </w:rPr>
        <w:t>]</w:t>
      </w:r>
      <w:bookmarkEnd w:id="6592"/>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الفلزّات و المعادن المنطبعة کالحدید و الرصاص و النحاس کلّها مثلیّة حتّی الذهب و الفضّة مضروبین أو غیر مضروبین و حینئذٍ تضمن جمیعها بالمثل، و عند التعذّر تضمن بالقیمة کسائر المثلیّات المتعذّر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خصوص الذهب و الفضّة تفصیل؛ و هو أنّه إذا قوّم بغیر الجنس کما إذا قوّم الذهب بالدرهم أو قوّم</w:t>
      </w:r>
      <w:bookmarkStart w:id="6593" w:name="pg1809_19739"/>
    </w:p>
    <w:p>
      <w:pPr>
        <w:pStyle w:val="BookText"/>
        <w:rPr/>
      </w:pPr>
      <w:bookmarkEnd w:id="6593"/>
      <w:r>
        <w:rPr>
          <w:rFonts w:ascii="IRNazanin" w:hAnsi="IRNazanin" w:eastAsia="IRNazanin"/>
          <w:color w:val="111111"/>
          <w:sz w:val="28"/>
          <w:sz w:val="28"/>
          <w:szCs w:val="28"/>
          <w:rtl w:val="true"/>
          <w:lang w:bidi="fa-IR"/>
        </w:rPr>
        <w:t>الفضّة بالدینار فلا إشکال، و أمّا إذا قوّم بالجنس بأن قوّم الفضّة بالدرهم أو قوّم الذهب بالدینار فإن تساوی القیمة و المقوّم وزناً کما إذا کانت الفضّة المضمونة المقوّمة عشرة مثاقیل فقوّمت بثمانیة دراهم و کان وزنها أیضاً عشرة مثاقیل، فلا إشکال أیضاً، و إن کان بینهما التفاوت بأن کانت الفضّة المقوّمة عشرة مثاقیل مثلًا و قد قوّمت بثمانیة دراهم وزنها ثمانیة مثاقیل فیشکل دفعها غرامة عن الفضّة؛ لاحتمال کونه داخلًا فی الربا فیحرم، کما أفتیٰ به جماعة، فالأحوط أن یقوّم بغیر الجنس؛ بأن یقوّم الفضّة بالدینار و الذهب بالدرهم حتّی یسلم من شبهة الربا</w:t>
      </w:r>
      <w:r>
        <w:rPr>
          <w:rFonts w:eastAsia="IRNazanin" w:cs="IRNazanin"/>
          <w:color w:val="111111"/>
          <w:sz w:val="28"/>
          <w:szCs w:val="28"/>
          <w:rtl w:val="true"/>
          <w:lang w:bidi="fa-IR"/>
        </w:rPr>
        <w:t>.</w:t>
      </w:r>
    </w:p>
    <w:p>
      <w:pPr>
        <w:pStyle w:val="Heading3"/>
        <w:numPr>
          <w:ilvl w:val="2"/>
          <w:numId w:val="1"/>
        </w:numPr>
        <w:rPr/>
      </w:pPr>
      <w:bookmarkStart w:id="6594" w:name="__RefHeading___Toc2570946_3650668749"/>
      <w:bookmarkStart w:id="6595" w:name="_Toc2982"/>
      <w:bookmarkEnd w:id="6594"/>
      <w:r>
        <w:rPr>
          <w:rtl w:val="true"/>
        </w:rPr>
        <w:t>[ (</w:t>
      </w:r>
      <w:r>
        <w:rPr>
          <w:rtl w:val="true"/>
        </w:rPr>
        <w:t xml:space="preserve">مسألة </w:t>
      </w:r>
      <w:r>
        <w:rPr/>
        <w:t>36</w:t>
      </w:r>
      <w:r>
        <w:rPr>
          <w:rtl w:val="true"/>
        </w:rPr>
        <w:t xml:space="preserve">): </w:t>
      </w:r>
      <w:r>
        <w:rPr>
          <w:rtl w:val="true"/>
        </w:rPr>
        <w:t>لو تعاقبت الأیادی الغاصبة علیٰ عین ثمّ تلفت</w:t>
      </w:r>
      <w:r>
        <w:rPr>
          <w:rtl w:val="true"/>
        </w:rPr>
        <w:t>]</w:t>
      </w:r>
      <w:bookmarkEnd w:id="6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تعاقبت الأیادی الغاصبة علیٰ عین ثمّ تلفت؛ بأن غصبها شخص عن مالکها ثمّ غصبها من الغاصب شخص آخر ثمّ غصبها من الثانی شخص ثالث و هکذا ثمّ تلفت، ضمن الجمیع، فللمالک أن یرجع ببدل ماله من المثل أو القیمة إلیٰ کلّ واحد منهم و إلی أکثر من واحد بالتوزیع متساویاً أو متفاوتاً، حتّی أنّه لو کانوا عشرة مثلًا له أن یرجع إلی الجمیع و یأخذ من کلّ منهم عشر ما یستحقّه من البدل، و له أن یأخذ من واحد منهم النصف و الباقی من الباقین بالتوزیع متساویاً أو بالتفاوت هذا حکم المالک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حکم بعضهم مع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الغاصب الأخیر الذی تلف المال عنده فعلیه قرار الضمان؛ بمعنی أنّه لو رجع علیه المالک و غرمه لم یرجع هو علیٰ غیره بما غرمه، بخلاف غیره من الأیادی السابقة، فإنّ المالک لو رجع إلیٰ واحد منهم فله أن یرجع علی الأخیر الذی تلف المال عنده، کما أنّ لکلّ منهم الرجوع علیٰ تالیه و هو علیٰ تالیه و هکذا إلیٰ أن ینتهی إلی الأخیر</w:t>
      </w:r>
      <w:r>
        <w:rPr>
          <w:rFonts w:eastAsia="IRNazanin" w:cs="IRNazanin"/>
          <w:color w:val="111111"/>
          <w:sz w:val="28"/>
          <w:szCs w:val="28"/>
          <w:rtl w:val="true"/>
          <w:lang w:bidi="fa-IR"/>
        </w:rPr>
        <w:t>.</w:t>
      </w:r>
    </w:p>
    <w:p>
      <w:pPr>
        <w:pStyle w:val="Heading3"/>
        <w:numPr>
          <w:ilvl w:val="2"/>
          <w:numId w:val="1"/>
        </w:numPr>
        <w:rPr/>
      </w:pPr>
      <w:bookmarkStart w:id="6596" w:name="__RefHeading___Toc2570948_3650668749"/>
      <w:bookmarkStart w:id="6597" w:name="_Toc2983"/>
      <w:bookmarkEnd w:id="6596"/>
      <w:r>
        <w:rPr>
          <w:rtl w:val="true"/>
        </w:rPr>
        <w:t>[ (</w:t>
      </w:r>
      <w:r>
        <w:rPr>
          <w:rtl w:val="true"/>
        </w:rPr>
        <w:t xml:space="preserve">مسألة </w:t>
      </w:r>
      <w:r>
        <w:rPr/>
        <w:t>37</w:t>
      </w:r>
      <w:r>
        <w:rPr>
          <w:rtl w:val="true"/>
        </w:rPr>
        <w:t xml:space="preserve">): </w:t>
      </w:r>
      <w:r>
        <w:rPr>
          <w:rtl w:val="true"/>
        </w:rPr>
        <w:t>لو غصب شیئاً مثلیّا فیه صنعة محلّلة</w:t>
      </w:r>
      <w:r>
        <w:rPr>
          <w:rtl w:val="true"/>
        </w:rPr>
        <w:t>]</w:t>
      </w:r>
      <w:bookmarkEnd w:id="6597"/>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غصب شیئاً مثلیّا فیه صنعة محلّلة کالحلیّ من الذهب و الفضّة و کالآنیة من النحاس و شبهه فتلف عنده أو أتلفه ضمن مادّته بالمثل و صنعته بالقیمة، فلو غصب قرطاً من ذهب کان وزنه مثقالین و قیمة صنعته و صیاغته عشرة دراهم ضمن مثقالین من ذهب بدل مادّته، و عشرة دراهم قیمة صنعته، و یحتمل قریباً صیرورته بعد الصیاغة و بعد ما عرض علیه الصنعة قیمیّاً فیقوّم القرط مثلًا بمادّته و صنعته و یعطی قیمته السوقیّة، و الأحوط التصالح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احتمال کون المصنوع مثلیّا مع صنعته فبعید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ذلک بل قریب جدّاً فی المصنوعات التی لها أمثال متقاربة جدّاً</w:t>
      </w:r>
      <w:bookmarkStart w:id="6598" w:name="pg1809_19741"/>
    </w:p>
    <w:p>
      <w:pPr>
        <w:pStyle w:val="BookText"/>
        <w:rPr/>
      </w:pPr>
      <w:bookmarkEnd w:id="6598"/>
      <w:r>
        <w:rPr>
          <w:rFonts w:ascii="IRNazanin" w:hAnsi="IRNazanin" w:eastAsia="IRNazanin"/>
          <w:color w:val="111111"/>
          <w:sz w:val="28"/>
          <w:sz w:val="28"/>
          <w:szCs w:val="28"/>
          <w:rtl w:val="true"/>
          <w:lang w:bidi="fa-IR"/>
        </w:rPr>
        <w:t>کالمصنوعات بالمکائن و المعامل المعمولة فی هذه الأعصار من أنواع الظروف و الأدوات و الأثواب و غیرها فتضمن کلّها بالمثل مع مراعاة صنفها</w:t>
      </w:r>
      <w:r>
        <w:rPr>
          <w:rFonts w:eastAsia="IRNazanin" w:cs="IRNazanin"/>
          <w:color w:val="111111"/>
          <w:sz w:val="28"/>
          <w:szCs w:val="28"/>
          <w:rtl w:val="true"/>
          <w:lang w:bidi="fa-IR"/>
        </w:rPr>
        <w:t>.</w:t>
      </w:r>
    </w:p>
    <w:p>
      <w:pPr>
        <w:pStyle w:val="Heading3"/>
        <w:numPr>
          <w:ilvl w:val="2"/>
          <w:numId w:val="1"/>
        </w:numPr>
        <w:rPr/>
      </w:pPr>
      <w:bookmarkStart w:id="6599" w:name="__RefHeading___Toc2570950_3650668749"/>
      <w:bookmarkStart w:id="6600" w:name="_Toc2984"/>
      <w:bookmarkEnd w:id="6599"/>
      <w:r>
        <w:rPr>
          <w:rtl w:val="true"/>
        </w:rPr>
        <w:t>[ (</w:t>
      </w:r>
      <w:r>
        <w:rPr>
          <w:rtl w:val="true"/>
        </w:rPr>
        <w:t xml:space="preserve">مسألة </w:t>
      </w:r>
      <w:r>
        <w:rPr/>
        <w:t>38</w:t>
      </w:r>
      <w:r>
        <w:rPr>
          <w:rtl w:val="true"/>
        </w:rPr>
        <w:t xml:space="preserve">): </w:t>
      </w:r>
      <w:r>
        <w:rPr>
          <w:rtl w:val="true"/>
        </w:rPr>
        <w:t>لو غصب المصنوع و تلفت عنده الهیئة و الصنعة فقط دون المادّة ردّ العین</w:t>
      </w:r>
      <w:r>
        <w:rPr>
          <w:rtl w:val="true"/>
        </w:rPr>
        <w:t>]</w:t>
      </w:r>
      <w:bookmarkEnd w:id="6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غصب المصنوع و تلفت عنده الهیئة و الصنعة فقط دون المادّة ردّ العین و علیه قیمة الصنعة، و لیس للمالک إلزامه بإعادة الصنعة، کما أنّه لیس علیه القبول لو بذله الغاصب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أصنعه کما کان سابقاً</w:t>
      </w:r>
      <w:r>
        <w:rPr>
          <w:rFonts w:eastAsia="IRNazanin" w:cs="IRNazanin"/>
          <w:color w:val="111111"/>
          <w:sz w:val="28"/>
          <w:szCs w:val="28"/>
          <w:rtl w:val="true"/>
          <w:lang w:bidi="fa-IR"/>
        </w:rPr>
        <w:t>.</w:t>
      </w:r>
    </w:p>
    <w:p>
      <w:pPr>
        <w:pStyle w:val="Heading3"/>
        <w:numPr>
          <w:ilvl w:val="2"/>
          <w:numId w:val="1"/>
        </w:numPr>
        <w:rPr/>
      </w:pPr>
      <w:bookmarkStart w:id="6601" w:name="__RefHeading___Toc2570952_3650668749"/>
      <w:bookmarkStart w:id="6602" w:name="_Toc2985"/>
      <w:bookmarkEnd w:id="6601"/>
      <w:r>
        <w:rPr>
          <w:rtl w:val="true"/>
        </w:rPr>
        <w:t>[ (</w:t>
      </w:r>
      <w:r>
        <w:rPr>
          <w:rtl w:val="true"/>
        </w:rPr>
        <w:t xml:space="preserve">مسألة </w:t>
      </w:r>
      <w:r>
        <w:rPr/>
        <w:t>39</w:t>
      </w:r>
      <w:r>
        <w:rPr>
          <w:rtl w:val="true"/>
        </w:rPr>
        <w:t xml:space="preserve">): </w:t>
      </w:r>
      <w:r>
        <w:rPr>
          <w:rtl w:val="true"/>
        </w:rPr>
        <w:t>لو کانت فی المغصوب المثلی صنعة محرّمة غیر محترمة</w:t>
      </w:r>
      <w:r>
        <w:rPr>
          <w:rtl w:val="true"/>
        </w:rPr>
        <w:t>]</w:t>
      </w:r>
      <w:bookmarkEnd w:id="6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فی المغصوب المثلی صنعة محرّمة غیر محترمة کما فی آلات القمار و الملاهی و آنیة </w:t>
      </w:r>
      <w:r>
        <w:rPr>
          <w:rStyle w:val="FootnoteAnchor"/>
          <w:rtl w:val="true"/>
        </w:rPr>
        <w:footnoteReference w:id="1726"/>
      </w:r>
      <w:r>
        <w:rPr>
          <w:rFonts w:ascii="IRNazanin" w:hAnsi="IRNazanin" w:eastAsia="IRNazanin"/>
          <w:color w:val="111111"/>
          <w:sz w:val="28"/>
          <w:sz w:val="28"/>
          <w:szCs w:val="28"/>
          <w:rtl w:val="true"/>
          <w:lang w:bidi="fa-IR"/>
        </w:rPr>
        <w:t xml:space="preserve">الذهب و الفضّة و نحوها لم یضمن الصنعة؛ سواء أتلفها خاصّة أو مع ذیها، فیردّ المادّة لو بقیت </w:t>
      </w:r>
      <w:r>
        <w:rPr>
          <w:rStyle w:val="FootnoteAnchor"/>
          <w:rtl w:val="true"/>
        </w:rPr>
        <w:footnoteReference w:id="1727"/>
      </w:r>
      <w:r>
        <w:rPr>
          <w:rFonts w:ascii="IRNazanin" w:hAnsi="IRNazanin" w:eastAsia="IRNazanin"/>
          <w:color w:val="111111"/>
          <w:sz w:val="28"/>
          <w:sz w:val="28"/>
          <w:szCs w:val="28"/>
          <w:rtl w:val="true"/>
          <w:lang w:bidi="fa-IR"/>
        </w:rPr>
        <w:t>إلی المالک و لیس علیه شی‌ء لأجل الهیئة و الصنعة</w:t>
      </w:r>
      <w:r>
        <w:rPr>
          <w:rFonts w:eastAsia="IRNazanin" w:cs="IRNazanin"/>
          <w:color w:val="111111"/>
          <w:sz w:val="28"/>
          <w:szCs w:val="28"/>
          <w:rtl w:val="true"/>
          <w:lang w:bidi="fa-IR"/>
        </w:rPr>
        <w:t>.</w:t>
      </w:r>
    </w:p>
    <w:p>
      <w:pPr>
        <w:pStyle w:val="Heading3"/>
        <w:numPr>
          <w:ilvl w:val="2"/>
          <w:numId w:val="1"/>
        </w:numPr>
        <w:rPr/>
      </w:pPr>
      <w:bookmarkStart w:id="6603" w:name="__RefHeading___Toc2570954_3650668749"/>
      <w:bookmarkStart w:id="6604" w:name="_Toc2986"/>
      <w:bookmarkEnd w:id="6603"/>
      <w:r>
        <w:rPr>
          <w:rtl w:val="true"/>
        </w:rPr>
        <w:t>[ (</w:t>
      </w:r>
      <w:r>
        <w:rPr>
          <w:rtl w:val="true"/>
        </w:rPr>
        <w:t xml:space="preserve">مسألة </w:t>
      </w:r>
      <w:r>
        <w:rPr/>
        <w:t>40</w:t>
      </w:r>
      <w:r>
        <w:rPr>
          <w:rtl w:val="true"/>
        </w:rPr>
        <w:t xml:space="preserve">): </w:t>
      </w:r>
      <w:r>
        <w:rPr>
          <w:rtl w:val="true"/>
        </w:rPr>
        <w:t>إذا تعیّب المغصوب فی ید الغاصب کان علیه أرش النقصان</w:t>
      </w:r>
      <w:r>
        <w:rPr>
          <w:rtl w:val="true"/>
        </w:rPr>
        <w:t>]</w:t>
      </w:r>
      <w:bookmarkEnd w:id="6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تعیّب المغصوب فی ید الغاصب کان علیه أرش النقصان، و لا فرق فی ذلک بین الحیوان و غیر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اختصّ العبید و الإماء ببعض الأحکام و تفاصیل لا یسعها المقام</w:t>
      </w:r>
      <w:r>
        <w:rPr>
          <w:rFonts w:eastAsia="IRNazanin" w:cs="IRNazanin"/>
          <w:color w:val="111111"/>
          <w:sz w:val="28"/>
          <w:szCs w:val="28"/>
          <w:rtl w:val="true"/>
          <w:lang w:bidi="fa-IR"/>
        </w:rPr>
        <w:t>.</w:t>
      </w:r>
    </w:p>
    <w:p>
      <w:pPr>
        <w:pStyle w:val="Heading3"/>
        <w:numPr>
          <w:ilvl w:val="2"/>
          <w:numId w:val="1"/>
        </w:numPr>
        <w:rPr/>
      </w:pPr>
      <w:bookmarkStart w:id="6605" w:name="__RefHeading___Toc2570956_3650668749"/>
      <w:bookmarkStart w:id="6606" w:name="_Toc2987"/>
      <w:bookmarkEnd w:id="6605"/>
      <w:r>
        <w:rPr>
          <w:rtl w:val="true"/>
        </w:rPr>
        <w:t>[ (</w:t>
      </w:r>
      <w:r>
        <w:rPr>
          <w:rtl w:val="true"/>
        </w:rPr>
        <w:t xml:space="preserve">مسألة </w:t>
      </w:r>
      <w:r>
        <w:rPr/>
        <w:t>41</w:t>
      </w:r>
      <w:r>
        <w:rPr>
          <w:rtl w:val="true"/>
        </w:rPr>
        <w:t xml:space="preserve">): </w:t>
      </w:r>
      <w:r>
        <w:rPr>
          <w:rtl w:val="true"/>
        </w:rPr>
        <w:t>لو غصب شیئین تنقص قیمة کلّ واحد منهما منفرداً عنها</w:t>
      </w:r>
      <w:r>
        <w:rPr>
          <w:rtl w:val="true"/>
        </w:rPr>
        <w:t>]</w:t>
      </w:r>
      <w:bookmarkEnd w:id="6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غصب شیئین تنقص قیمة کلّ واحد منهما منفرداً عنها فیما إذا کانا مجتمعین کمصراعی الباب و الخفّین فتلف أحدهما أو أتلفه ضمن قیمة التالف مجتمعاً و ردّ الباقی مع ما نقص من قیمته بسبب انفراده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غصب خفّین کان قیمتهما مجتمعین عشرة و کان قیمة کلّ منهما منفرداً ثلاثة فتلف أحدهما عنده، ضمن التالف بقیمته مجتمعاً و هی خمسة و ردّ الآخر مع ما ورد علیه من النقص بسبب انفراده و هو اثنان، فیعطی للمالک سبعة مع أحد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غصب أحدهما و تلف عنده ضمن التالف بقیمته مجتمعاً و هی خمسة فی الفرض المذکور و هل یضمن النقص الوارد علی الثانی و هو اثنان حتّی تکون علیه سبعة أم لا؟ فیه وجهان بل قولان، لا یخلو أوّلهما من رجحان</w:t>
      </w:r>
      <w:r>
        <w:rPr>
          <w:rFonts w:eastAsia="IRNazanin" w:cs="IRNazanin"/>
          <w:color w:val="111111"/>
          <w:sz w:val="28"/>
          <w:szCs w:val="28"/>
          <w:rtl w:val="true"/>
          <w:lang w:bidi="fa-IR"/>
        </w:rPr>
        <w:t>.</w:t>
      </w:r>
    </w:p>
    <w:p>
      <w:pPr>
        <w:pStyle w:val="Heading3"/>
        <w:numPr>
          <w:ilvl w:val="2"/>
          <w:numId w:val="1"/>
        </w:numPr>
        <w:rPr/>
      </w:pPr>
      <w:bookmarkStart w:id="6607" w:name="__RefHeading___Toc2570958_3650668749"/>
      <w:bookmarkStart w:id="6608" w:name="_Toc2988"/>
      <w:bookmarkEnd w:id="6607"/>
      <w:r>
        <w:rPr>
          <w:rtl w:val="true"/>
        </w:rPr>
        <w:t>[ (</w:t>
      </w:r>
      <w:r>
        <w:rPr>
          <w:rtl w:val="true"/>
        </w:rPr>
        <w:t xml:space="preserve">مسألة </w:t>
      </w:r>
      <w:r>
        <w:rPr/>
        <w:t>42</w:t>
      </w:r>
      <w:r>
        <w:rPr>
          <w:rtl w:val="true"/>
        </w:rPr>
        <w:t xml:space="preserve">): </w:t>
      </w:r>
      <w:r>
        <w:rPr>
          <w:rtl w:val="true"/>
        </w:rPr>
        <w:t>لو زادت بفعل الغاصب زیادة فی العین المغصوبة فهی علیٰ أقسام ثلاثة</w:t>
      </w:r>
      <w:r>
        <w:rPr>
          <w:rtl w:val="true"/>
        </w:rPr>
        <w:t>]</w:t>
      </w:r>
      <w:bookmarkEnd w:id="6608"/>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زادت بفعل الغاصب زیادة فی العین المغصوبة فهی علیٰ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أثراً محضاً، کتعلیم الصنعة فی العبد و خیاطة الثوب بخیوط المالک و غزل القطن و نسج الغزل و طحن الطعام و صیاغة الفضّة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w:t>
      </w:r>
      <w:bookmarkStart w:id="6609" w:name="pg1809_19743"/>
    </w:p>
    <w:p>
      <w:pPr>
        <w:pStyle w:val="BookText"/>
        <w:rPr/>
      </w:pPr>
      <w:bookmarkEnd w:id="6609"/>
      <w:r>
        <w:rPr>
          <w:rFonts w:ascii="IRNazanin" w:hAnsi="IRNazanin" w:eastAsia="IRNazanin"/>
          <w:color w:val="111111"/>
          <w:sz w:val="28"/>
          <w:sz w:val="28"/>
          <w:szCs w:val="28"/>
          <w:rtl w:val="true"/>
          <w:lang w:bidi="fa-IR"/>
        </w:rPr>
        <w:t>عینیّة محضة، کغرس الأشجار و البناء فی الأرض البسیطة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أثراً مشوباً بالعینیّة، کصبغ الثوب و نحوه</w:t>
      </w:r>
      <w:r>
        <w:rPr>
          <w:rFonts w:eastAsia="IRNazanin" w:cs="IRNazanin"/>
          <w:color w:val="111111"/>
          <w:sz w:val="28"/>
          <w:szCs w:val="28"/>
          <w:rtl w:val="true"/>
          <w:lang w:bidi="fa-IR"/>
        </w:rPr>
        <w:t>.</w:t>
      </w:r>
    </w:p>
    <w:p>
      <w:pPr>
        <w:pStyle w:val="Heading3"/>
        <w:numPr>
          <w:ilvl w:val="2"/>
          <w:numId w:val="1"/>
        </w:numPr>
        <w:rPr/>
      </w:pPr>
      <w:bookmarkStart w:id="6610" w:name="__RefHeading___Toc2570960_3650668749"/>
      <w:bookmarkStart w:id="6611" w:name="_Toc2989"/>
      <w:bookmarkEnd w:id="6610"/>
      <w:r>
        <w:rPr>
          <w:rtl w:val="true"/>
        </w:rPr>
        <w:t>[ (</w:t>
      </w:r>
      <w:r>
        <w:rPr>
          <w:rtl w:val="true"/>
        </w:rPr>
        <w:t xml:space="preserve">مسألة </w:t>
      </w:r>
      <w:r>
        <w:rPr/>
        <w:t>43</w:t>
      </w:r>
      <w:r>
        <w:rPr>
          <w:rtl w:val="true"/>
        </w:rPr>
        <w:t xml:space="preserve">): </w:t>
      </w:r>
      <w:r>
        <w:rPr>
          <w:rtl w:val="true"/>
        </w:rPr>
        <w:t>لو زادت فی العین المغصوبة بما یکون أثراً محضاً ردّها کما هی</w:t>
      </w:r>
      <w:r>
        <w:rPr>
          <w:rtl w:val="true"/>
        </w:rPr>
        <w:t>]</w:t>
      </w:r>
      <w:bookmarkEnd w:id="6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زادت فی العین المغصوبة بما یکون أثراً محضاً ردّها کما هی، و لا شی‌ء له لأجل تلک الزیادة و لا من جهة أُجرة العمل، و لیس له إزالة الأثر و إعادة العین إلیٰ ما کانت بدون إذن المالک؛ حیث إنّه تصرّف فی مال الغیر بدون إذنه، بل لو أزاله بدون إذنه ضمن قیمته للمالک و إن لم یرد نقص علی العین، و للمالک إلزامه بإزالة الأثر و إعادة الحالة الأُولیٰ للعین إذا کان فیه غرض عقلائی، و لا یضمن الغاصب حینئذٍ قیمة الصنعة، نعم لو ورد نقص علی العین ضمن أرش النقصان</w:t>
      </w:r>
      <w:r>
        <w:rPr>
          <w:rFonts w:eastAsia="IRNazanin" w:cs="IRNazanin"/>
          <w:color w:val="111111"/>
          <w:sz w:val="28"/>
          <w:szCs w:val="28"/>
          <w:rtl w:val="true"/>
          <w:lang w:bidi="fa-IR"/>
        </w:rPr>
        <w:t>.</w:t>
      </w:r>
    </w:p>
    <w:p>
      <w:pPr>
        <w:pStyle w:val="Heading3"/>
        <w:numPr>
          <w:ilvl w:val="2"/>
          <w:numId w:val="1"/>
        </w:numPr>
        <w:rPr/>
      </w:pPr>
      <w:bookmarkStart w:id="6612" w:name="__RefHeading___Toc2570962_3650668749"/>
      <w:bookmarkStart w:id="6613" w:name="_Toc2990"/>
      <w:bookmarkEnd w:id="6612"/>
      <w:r>
        <w:rPr>
          <w:rtl w:val="true"/>
        </w:rPr>
        <w:t>[ (</w:t>
      </w:r>
      <w:r>
        <w:rPr>
          <w:rtl w:val="true"/>
        </w:rPr>
        <w:t xml:space="preserve">مسألة </w:t>
      </w:r>
      <w:r>
        <w:rPr/>
        <w:t>44</w:t>
      </w:r>
      <w:r>
        <w:rPr>
          <w:rtl w:val="true"/>
        </w:rPr>
        <w:t xml:space="preserve">): </w:t>
      </w:r>
      <w:r>
        <w:rPr>
          <w:rtl w:val="true"/>
        </w:rPr>
        <w:t>لو غصب أرضاً فزرعها أو غرسها، فالزرع و الغرس و نماؤهما للغاصب</w:t>
      </w:r>
      <w:r>
        <w:rPr>
          <w:rtl w:val="true"/>
        </w:rPr>
        <w:t>]</w:t>
      </w:r>
      <w:bookmarkEnd w:id="6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غصب أرضاً فزرعها أو غرسها، فالزرع و الغرس و نماؤهما للغاصب و علیه أُجرة الأرض ما دامت مزروعة أو مغروسة، و یلزم علیه إزالة غرسه و زرعه و إن تضرّر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أیضاً طمّ الحفر و أرش النقصان إن نقصت الأرض بالزرع و القلع، إلّا أن یرضی المالک بالبقاء مجّاناً أو بالأُجرة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بذل صاحب الأرض قیمة الغرس أو الزرع لم یجب علی الغاصب إجابته، و کذا لو بذل الغاصب أُجرة الأرض أو قیمتها لم یجب علیٰ صاحب الأرض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حفر الغاصب فی الأرض بئراً کان علیه طمّها مع طلب المالک، و لیس له طمّها مع عدم الطلب فضلًا عمّا لو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بنیٰ فی الأرض المغصوبة بناءً فهو کما لو غرس فیها، فیکون البناء للغاصب إن کان أجزاؤه له و للمالک إلزامه بالقلع، فحکمه حکم الغرس فی جمیع ما ذکر</w:t>
      </w:r>
      <w:r>
        <w:rPr>
          <w:rFonts w:eastAsia="IRNazanin" w:cs="IRNazanin"/>
          <w:color w:val="111111"/>
          <w:sz w:val="28"/>
          <w:szCs w:val="28"/>
          <w:rtl w:val="true"/>
          <w:lang w:bidi="fa-IR"/>
        </w:rPr>
        <w:t>.</w:t>
      </w:r>
    </w:p>
    <w:p>
      <w:pPr>
        <w:pStyle w:val="Heading3"/>
        <w:numPr>
          <w:ilvl w:val="2"/>
          <w:numId w:val="1"/>
        </w:numPr>
        <w:rPr/>
      </w:pPr>
      <w:bookmarkStart w:id="6614" w:name="__RefHeading___Toc2570964_3650668749"/>
      <w:bookmarkStart w:id="6615" w:name="_Toc2991"/>
      <w:bookmarkEnd w:id="6614"/>
      <w:r>
        <w:rPr>
          <w:rtl w:val="true"/>
        </w:rPr>
        <w:t>[ (</w:t>
      </w:r>
      <w:r>
        <w:rPr>
          <w:rtl w:val="true"/>
        </w:rPr>
        <w:t xml:space="preserve">مسألة </w:t>
      </w:r>
      <w:r>
        <w:rPr/>
        <w:t>45</w:t>
      </w:r>
      <w:r>
        <w:rPr>
          <w:rtl w:val="true"/>
        </w:rPr>
        <w:t xml:space="preserve">): </w:t>
      </w:r>
      <w:r>
        <w:rPr>
          <w:rtl w:val="true"/>
        </w:rPr>
        <w:t>لو غرس أو بنیٰ فی أرض غصبها و کان الغراس و أجزاء البناء لصاحب الأرض</w:t>
      </w:r>
      <w:r>
        <w:rPr>
          <w:rtl w:val="true"/>
        </w:rPr>
        <w:t>]</w:t>
      </w:r>
      <w:bookmarkEnd w:id="6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غرس أو بنیٰ فی أرض غصبها و کان الغراس و أجزاء البناء لصاحب الأرض کان الکلّ له و لیس للغاصب قلعها أو مطالبة الأُجرة، و للمالک إلزامه بالقلع و الهدم </w:t>
      </w:r>
      <w:r>
        <w:rPr>
          <w:rStyle w:val="FootnoteAnchor"/>
          <w:rtl w:val="true"/>
        </w:rPr>
        <w:footnoteReference w:id="1728"/>
      </w:r>
      <w:r>
        <w:rPr>
          <w:rFonts w:ascii="IRNazanin" w:hAnsi="IRNazanin" w:eastAsia="IRNazanin"/>
          <w:color w:val="111111"/>
          <w:sz w:val="28"/>
          <w:sz w:val="28"/>
          <w:szCs w:val="28"/>
          <w:rtl w:val="true"/>
          <w:lang w:bidi="fa-IR"/>
        </w:rPr>
        <w:t>إن کان له غرض عقلائی فی ذلک</w:t>
      </w:r>
      <w:r>
        <w:rPr>
          <w:rFonts w:eastAsia="IRNazanin" w:cs="IRNazanin"/>
          <w:color w:val="111111"/>
          <w:sz w:val="28"/>
          <w:szCs w:val="28"/>
          <w:rtl w:val="true"/>
          <w:lang w:bidi="fa-IR"/>
        </w:rPr>
        <w:t>.</w:t>
      </w:r>
    </w:p>
    <w:p>
      <w:pPr>
        <w:pStyle w:val="Heading3"/>
        <w:numPr>
          <w:ilvl w:val="2"/>
          <w:numId w:val="1"/>
        </w:numPr>
        <w:rPr/>
      </w:pPr>
      <w:bookmarkStart w:id="6616" w:name="__RefHeading___Toc2570966_3650668749"/>
      <w:bookmarkStart w:id="6617" w:name="_Toc2992"/>
      <w:bookmarkEnd w:id="6616"/>
      <w:r>
        <w:rPr>
          <w:rtl w:val="true"/>
        </w:rPr>
        <w:t>[ (</w:t>
      </w:r>
      <w:r>
        <w:rPr>
          <w:rtl w:val="true"/>
        </w:rPr>
        <w:t xml:space="preserve">مسألة </w:t>
      </w:r>
      <w:r>
        <w:rPr/>
        <w:t>46</w:t>
      </w:r>
      <w:r>
        <w:rPr>
          <w:rtl w:val="true"/>
        </w:rPr>
        <w:t xml:space="preserve">): </w:t>
      </w:r>
      <w:r>
        <w:rPr>
          <w:rtl w:val="true"/>
        </w:rPr>
        <w:t>لو غصب ثوباً و صبغه بصبغه</w:t>
      </w:r>
      <w:r>
        <w:rPr>
          <w:rtl w:val="true"/>
        </w:rPr>
        <w:t>]</w:t>
      </w:r>
      <w:bookmarkEnd w:id="6617"/>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غصب ثوباً و صبغه بصبغه، فإن أمکن إزالته مع بقاء مالیّة له کان له ذلک و لیس لمالک الثوب منعه، کما أنّ للمالک إلزامه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ورد نقص علی الثوب بسبب إزالة صبغه ضمنه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طلب مالک الثوب من الغاصب أن یملّکه الصبغ بقیمته</w:t>
      </w:r>
      <w:bookmarkStart w:id="6618" w:name="pg1809_19745"/>
    </w:p>
    <w:p>
      <w:pPr>
        <w:pStyle w:val="BookText"/>
        <w:rPr/>
      </w:pPr>
      <w:bookmarkEnd w:id="6618"/>
      <w:r>
        <w:rPr>
          <w:rFonts w:ascii="IRNazanin" w:hAnsi="IRNazanin" w:eastAsia="IRNazanin"/>
          <w:color w:val="111111"/>
          <w:sz w:val="28"/>
          <w:sz w:val="28"/>
          <w:szCs w:val="28"/>
          <w:rtl w:val="true"/>
          <w:lang w:bidi="fa-IR"/>
        </w:rPr>
        <w:t>لم یجب علیه إجابته، کالعکس؛ بأن یطلب الغاصب منه أن یملّکه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أمکن إزالة الصبغ، و أمّا إذا لم یمکن الإزالة </w:t>
      </w:r>
      <w:r>
        <w:rPr>
          <w:rStyle w:val="FootnoteAnchor"/>
          <w:rtl w:val="true"/>
        </w:rPr>
        <w:footnoteReference w:id="1729"/>
      </w:r>
      <w:r>
        <w:rPr>
          <w:rFonts w:ascii="IRNazanin" w:hAnsi="IRNazanin" w:eastAsia="IRNazanin"/>
          <w:color w:val="111111"/>
          <w:sz w:val="28"/>
          <w:sz w:val="28"/>
          <w:szCs w:val="28"/>
          <w:rtl w:val="true"/>
          <w:lang w:bidi="fa-IR"/>
        </w:rPr>
        <w:t xml:space="preserve">أو تراضیا علیٰ بقائه اشترکا فی الثوب المغصوب بنسبة القیمة، فلو کان قیمة الثوب قبل الصبغ یساوی قیمة </w:t>
      </w:r>
      <w:r>
        <w:rPr>
          <w:rStyle w:val="FootnoteAnchor"/>
          <w:rtl w:val="true"/>
        </w:rPr>
        <w:footnoteReference w:id="1730"/>
      </w:r>
      <w:r>
        <w:rPr>
          <w:rFonts w:ascii="IRNazanin" w:hAnsi="IRNazanin" w:eastAsia="IRNazanin"/>
          <w:color w:val="111111"/>
          <w:sz w:val="28"/>
          <w:sz w:val="28"/>
          <w:szCs w:val="28"/>
          <w:rtl w:val="true"/>
          <w:lang w:bidi="fa-IR"/>
        </w:rPr>
        <w:t>الصبغ کان بینهما نصفین، و إن کانت ضعف قیمته کان بینهما أثلاثاً؛ ثلثان لصاحب الثوب و ثلث لصاحب الصبغ، فإن بقیت قیمة کلّ واحد منهما محفوظة من غیر زیادة و لا نقصان فالثمن بینهما علیٰ نسبة مالیهما، و لم یکن علی الغاصب ضمان، کما إذا کانت قیمة الثوب عشرة و قیمة الصبغ عشرة و قیمة الثوب المصبوغ عشرین، أو کانت قیمة الثوب عشرین و قیمة الصبغ عشرة و قیمة المجموع ثلاثین، فیکون الثمن بینهما بالتنصیف فی الأوّل و فی الثانی أثلاثاً، و کذا لو زادت قیمة المجموع تکون الزیادة بینهما بتلک النسبة، فلو فرض أنّه بیع الثوب المصبوغ فی الأوّل بثلاثین، کانت العشرة الزائدة بینهما بالسویّة، و لو بیع فی الفرض الثانی بأربعین کانت العشرة الزائدة بینهما أثلاثاً؛ ثلثان لصاحب الثوب و ثلث لصاحب الصبغ، و إن نقصت قیمته مصبوغاً عن قیمتهما منفردین کما إذا کانت قیمة کلّ منهما عشرة و کانت قیمة الثوب مصبوغاً خمسة عشر فإن کان ذلک من جهة انتقاص الثوب بسبب الصبغ ضمنه الغاصب، و إن کان بسبب تنزّل القیمة السوقیّة فهو محسوب علیٰ صاحبه و لا یضمنه الغاصب</w:t>
      </w:r>
      <w:r>
        <w:rPr>
          <w:rFonts w:eastAsia="IRNazanin" w:cs="IRNazanin"/>
          <w:color w:val="111111"/>
          <w:sz w:val="28"/>
          <w:szCs w:val="28"/>
          <w:rtl w:val="true"/>
          <w:lang w:bidi="fa-IR"/>
        </w:rPr>
        <w:t>.</w:t>
      </w:r>
    </w:p>
    <w:p>
      <w:pPr>
        <w:pStyle w:val="Heading3"/>
        <w:numPr>
          <w:ilvl w:val="2"/>
          <w:numId w:val="1"/>
        </w:numPr>
        <w:rPr/>
      </w:pPr>
      <w:bookmarkStart w:id="6619" w:name="__RefHeading___Toc2570968_3650668749"/>
      <w:bookmarkStart w:id="6620" w:name="_Toc2993"/>
      <w:bookmarkEnd w:id="6619"/>
      <w:r>
        <w:rPr>
          <w:rtl w:val="true"/>
        </w:rPr>
        <w:t>[ (</w:t>
      </w:r>
      <w:r>
        <w:rPr>
          <w:rtl w:val="true"/>
        </w:rPr>
        <w:t xml:space="preserve">مسألة </w:t>
      </w:r>
      <w:r>
        <w:rPr/>
        <w:t>47</w:t>
      </w:r>
      <w:r>
        <w:rPr>
          <w:rtl w:val="true"/>
        </w:rPr>
        <w:t xml:space="preserve">): </w:t>
      </w:r>
      <w:r>
        <w:rPr>
          <w:rtl w:val="true"/>
        </w:rPr>
        <w:t>لو صبغ الثوب المغصوب بصبغ مغصوب حصلت الشرکة</w:t>
      </w:r>
      <w:r>
        <w:rPr>
          <w:rtl w:val="true"/>
        </w:rPr>
        <w:t>]</w:t>
      </w:r>
      <w:bookmarkEnd w:id="6620"/>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صبغ الثوب المغصوب بصبغ مغصوب حصلت الشرکة </w:t>
      </w:r>
      <w:r>
        <w:rPr>
          <w:rStyle w:val="FootnoteAnchor"/>
          <w:rtl w:val="true"/>
        </w:rPr>
        <w:footnoteReference w:id="1731"/>
      </w:r>
      <w:r>
        <w:rPr>
          <w:rFonts w:ascii="IRNazanin" w:hAnsi="IRNazanin" w:eastAsia="IRNazanin"/>
          <w:color w:val="111111"/>
          <w:sz w:val="28"/>
          <w:sz w:val="28"/>
          <w:szCs w:val="28"/>
          <w:rtl w:val="true"/>
          <w:lang w:bidi="fa-IR"/>
        </w:rPr>
        <w:t>بین صاحبی الثوب و الصبغ بنسبة قیمتهما و لا غرامة علی الغاصب لو لم یرد نقص علیهما، و إن ورد ضمنه الغاصب لمن ورد علیه، فلو فرض أنّ قیمة کلّ من الثوب و الصبغ عشرة</w:t>
      </w:r>
      <w:bookmarkStart w:id="6621" w:name="pg1809_19747"/>
    </w:p>
    <w:p>
      <w:pPr>
        <w:pStyle w:val="BookText"/>
        <w:rPr/>
      </w:pPr>
      <w:bookmarkEnd w:id="6621"/>
      <w:r>
        <w:rPr>
          <w:rFonts w:ascii="IRNazanin" w:hAnsi="IRNazanin" w:eastAsia="IRNazanin"/>
          <w:color w:val="111111"/>
          <w:sz w:val="28"/>
          <w:sz w:val="28"/>
          <w:szCs w:val="28"/>
          <w:rtl w:val="true"/>
          <w:lang w:bidi="fa-IR"/>
        </w:rPr>
        <w:t xml:space="preserve">و کانت قیمة الثوب المصبوغ خمسة عشر، ضمن الغاصب لهما خمسة </w:t>
      </w:r>
      <w:r>
        <w:rPr>
          <w:rStyle w:val="FootnoteAnchor"/>
          <w:rtl w:val="true"/>
        </w:rPr>
        <w:footnoteReference w:id="1732"/>
      </w:r>
      <w:r>
        <w:rPr>
          <w:rFonts w:ascii="IRNazanin" w:hAnsi="IRNazanin" w:eastAsia="IRNazanin"/>
          <w:color w:val="111111"/>
          <w:sz w:val="28"/>
          <w:sz w:val="28"/>
          <w:szCs w:val="28"/>
          <w:rtl w:val="true"/>
          <w:lang w:bidi="fa-IR"/>
        </w:rPr>
        <w:t>لکلّ منهما اثنان و نصف</w:t>
      </w:r>
      <w:r>
        <w:rPr>
          <w:rFonts w:eastAsia="IRNazanin" w:cs="IRNazanin"/>
          <w:color w:val="111111"/>
          <w:sz w:val="28"/>
          <w:szCs w:val="28"/>
          <w:rtl w:val="true"/>
          <w:lang w:bidi="fa-IR"/>
        </w:rPr>
        <w:t>.</w:t>
      </w:r>
    </w:p>
    <w:p>
      <w:pPr>
        <w:pStyle w:val="Heading3"/>
        <w:numPr>
          <w:ilvl w:val="2"/>
          <w:numId w:val="1"/>
        </w:numPr>
        <w:rPr/>
      </w:pPr>
      <w:bookmarkStart w:id="6622" w:name="__RefHeading___Toc2570970_3650668749"/>
      <w:bookmarkStart w:id="6623" w:name="_Toc2994"/>
      <w:bookmarkEnd w:id="6622"/>
      <w:r>
        <w:rPr>
          <w:rtl w:val="true"/>
        </w:rPr>
        <w:t>[ (</w:t>
      </w:r>
      <w:r>
        <w:rPr>
          <w:rtl w:val="true"/>
        </w:rPr>
        <w:t xml:space="preserve">مسألة </w:t>
      </w:r>
      <w:r>
        <w:rPr/>
        <w:t>48</w:t>
      </w:r>
      <w:r>
        <w:rPr>
          <w:rtl w:val="true"/>
        </w:rPr>
        <w:t xml:space="preserve">): </w:t>
      </w:r>
      <w:r>
        <w:rPr>
          <w:rtl w:val="true"/>
        </w:rPr>
        <w:t>لو مزج الغاصب المغصوب بغیره، أو امتزج فی یده بغیر اختیاره مزجاً رافعاً للتمیّز بینهما</w:t>
      </w:r>
      <w:r>
        <w:rPr>
          <w:rtl w:val="true"/>
        </w:rPr>
        <w:t>]</w:t>
      </w:r>
      <w:bookmarkEnd w:id="6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مزج الغاصب المغصوب بغیره، أو امتزج فی یده بغیر اختیاره مزجاً رافعاً للتمیّز بینهما، فإن کان بجنسه و کانا متماثلین لیس أحدهما أجود من الآخر و أردأ، تشارکا فی المجموع بنسبة مالیهما، و لیس علی الغاصب غرامة بالمثل أو القیمة، بل الذی علیه تسلیم المال و الإقدام علی الإفراز و التقسیم بنسبة المالین أو البیع و أخذ کلّ واحد منهما حصّته من الثمن کسائر الأموال المشترکة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خلط المغصوب بما هو أجود أو أردأ منه تشارکا أیضاً بنسبة المالین، إلّا أنّ التقسیم و توزیع الثمن بینهما بنسبة القیمة، فلو خلط منّاً من زیت قیمته خمسة بمنّ منه قیمته عشرة، کان لکلّ منهما نصف المجموع، لکن إذا بنیا علی القسمة یجعل ثلاثة أسهم و یعطی لصاحب الأوّل سهم و لصاحب الثانی سهمان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باعاه یقسّم الثمن بینهما أثلاثاً، و الأحوط فی مثل ذلک أعنی اختلاط مختلفی القیمة من جنس واحد البیع و توزیع الثمن بنسبة القیمة لا التقسیم بالتفاضل بنسبتها من جهة شبهة لزوم الربا فی الثانی کما قال به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مزج المغصوب بجنسه، و أمّا إذا اختلط بغیر جنسه، فإن کان فیما یعدّ معه تالفاً کما إذا اختلط ماء الورد المغصوب بالزیت ضمن المثل، و إن لم یکن کذلک کما لو خلط دقیق الحنطة بدقیق الشعیر أو خلط الخلّ بالعسل، فالظاهر أنّه بحکم الخلط بالأجود أو الأردإ من جنس واحد، فیشترکان فی العین بنسبة المالین و یقسّمان العین و یوزّعان الثمن بینهما بنسبة القیمتین کما مرّ</w:t>
      </w:r>
      <w:r>
        <w:rPr>
          <w:rFonts w:eastAsia="IRNazanin" w:cs="IRNazanin"/>
          <w:color w:val="111111"/>
          <w:sz w:val="28"/>
          <w:szCs w:val="28"/>
          <w:rtl w:val="true"/>
          <w:lang w:bidi="fa-IR"/>
        </w:rPr>
        <w:t>.</w:t>
      </w:r>
    </w:p>
    <w:p>
      <w:pPr>
        <w:pStyle w:val="Heading3"/>
        <w:numPr>
          <w:ilvl w:val="2"/>
          <w:numId w:val="1"/>
        </w:numPr>
        <w:rPr/>
      </w:pPr>
      <w:bookmarkStart w:id="6624" w:name="__RefHeading___Toc2570972_3650668749"/>
      <w:bookmarkStart w:id="6625" w:name="_Toc2995"/>
      <w:bookmarkEnd w:id="6624"/>
      <w:r>
        <w:rPr>
          <w:rtl w:val="true"/>
        </w:rPr>
        <w:t>[ (</w:t>
      </w:r>
      <w:r>
        <w:rPr>
          <w:rtl w:val="true"/>
        </w:rPr>
        <w:t xml:space="preserve">مسألة </w:t>
      </w:r>
      <w:r>
        <w:rPr/>
        <w:t>49</w:t>
      </w:r>
      <w:r>
        <w:rPr>
          <w:rtl w:val="true"/>
        </w:rPr>
        <w:t xml:space="preserve">): </w:t>
      </w:r>
      <w:r>
        <w:rPr>
          <w:rtl w:val="true"/>
        </w:rPr>
        <w:t>لو خلط المغصوب بالأجود أو الأردأ و صار قیمة المجموع المخلوط أنقص من قیمة الخلیطین منفردین</w:t>
      </w:r>
      <w:r>
        <w:rPr>
          <w:rtl w:val="true"/>
        </w:rPr>
        <w:t>]</w:t>
      </w:r>
      <w:bookmarkEnd w:id="6625"/>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خلط المغصوب بالأجود أو الأردأ و صار قیمة المجموع المخلوط أنقص من قیمة الخلیطین منفردین، فورد بذلک النقص المالی علی المغصوب ضمنه الغاصب، کما لو غصب منّاً من زیت جیّد قیمته عشرة و خلطه بمنّ منه ردی‌ء قیمته خمسة و بسبب الاختلاط یکون قیمة المنّین اثنی عشر، فصار حصّة المغصوب منه من الثمن بعد التوزیع ثمانیة و الحال أنّ زیته غیر مخلوط کان یسوی عشرة، فورد النقص علیه باثنین، و هذا النقص یغرمه الغاصب،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یستوفی المالک قیمة ماله غیر مخلوط من الثمن و ما بقی یکون للغاصب</w:t>
      </w:r>
      <w:r>
        <w:rPr>
          <w:rFonts w:eastAsia="IRNazanin" w:cs="IRNazanin"/>
          <w:color w:val="111111"/>
          <w:sz w:val="28"/>
          <w:szCs w:val="28"/>
          <w:rtl w:val="true"/>
          <w:lang w:bidi="fa-IR"/>
        </w:rPr>
        <w:t>.</w:t>
      </w:r>
      <w:bookmarkStart w:id="6626" w:name="pg1809_19748"/>
    </w:p>
    <w:p>
      <w:pPr>
        <w:pStyle w:val="Heading3"/>
        <w:numPr>
          <w:ilvl w:val="2"/>
          <w:numId w:val="1"/>
        </w:numPr>
        <w:rPr/>
      </w:pPr>
      <w:bookmarkStart w:id="6627" w:name="__RefHeading___Toc2570974_3650668749"/>
      <w:bookmarkStart w:id="6628" w:name="_Toc2996"/>
      <w:bookmarkEnd w:id="6626"/>
      <w:bookmarkEnd w:id="6627"/>
      <w:r>
        <w:rPr>
          <w:rtl w:val="true"/>
        </w:rPr>
        <w:t>[ (</w:t>
      </w:r>
      <w:r>
        <w:rPr>
          <w:rtl w:val="true"/>
        </w:rPr>
        <w:t xml:space="preserve">مسألة </w:t>
      </w:r>
      <w:r>
        <w:rPr/>
        <w:t>50</w:t>
      </w:r>
      <w:r>
        <w:rPr>
          <w:rtl w:val="true"/>
        </w:rPr>
        <w:t xml:space="preserve">): </w:t>
      </w:r>
      <w:r>
        <w:rPr>
          <w:rtl w:val="true"/>
        </w:rPr>
        <w:t>فوائد المغصوب مملوکة للمغصوب منه و ان تجدّدت بعد الغصب</w:t>
      </w:r>
      <w:r>
        <w:rPr>
          <w:rtl w:val="true"/>
        </w:rPr>
        <w:t>]</w:t>
      </w:r>
      <w:bookmarkEnd w:id="6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المغصوب مملوکة للمغصوب منه و ان تجدّدت بعد الغصب، و هی کلّها مضمونة علی الغاصب أعیاناً کانت کاللبن و الولد و الشعر و الثمر أو منافع کسکنی الدار و رکوب الدابّة، بل کلّ صفة زادت بها قیمة المغصوب لو وجدت فی زمان الغصب ثمّ زالت و تنقّصت بزوالها قیمته، ضمنها الغاصب و إن ردّ العین کما کانت قبل الغصب، فلو غصب دابّة هازلة أو عبداً جاهلًا ثمّ سمنت الدابّة أو تعلّم العبد الصنعة فزادت قیمتهما بسبب ذلک ثمّ هزلت الدابّة أو نسی المملوک الصنعة، ضمن الغاصب تلک الزیادة التی حصلت ثمّ 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زادت القیمة لزیادة صفة ثمّ زالت تلک الصفة ثمّ عادت الصفة بعینها لم یضمن قیمة الزیادة التالفة؛ لانجبارها بالزیادة العائدة، کما إذا سمنت الدابّة فی یده فزادت قیمتها ثمّ هزلت ثمّ سمنت، فإنّه لا یضمن الزیادة الحاصلة بالسمن الأوّل، إلّا إذا نقصت الزیادة الثانیة عن الأُولیٰ؛ بأن کانت الزیادة الحاصلة بالسمن الأوّل درهمین و الحاصلة بالثانی درهماً مثلًا فیضمن التفاوت</w:t>
      </w:r>
      <w:r>
        <w:rPr>
          <w:rFonts w:eastAsia="IRNazanin" w:cs="IRNazanin"/>
          <w:color w:val="111111"/>
          <w:sz w:val="28"/>
          <w:szCs w:val="28"/>
          <w:rtl w:val="true"/>
          <w:lang w:bidi="fa-IR"/>
        </w:rPr>
        <w:t>.</w:t>
      </w:r>
    </w:p>
    <w:p>
      <w:pPr>
        <w:pStyle w:val="Heading3"/>
        <w:numPr>
          <w:ilvl w:val="2"/>
          <w:numId w:val="1"/>
        </w:numPr>
        <w:rPr/>
      </w:pPr>
      <w:bookmarkStart w:id="6629" w:name="__RefHeading___Toc2570976_3650668749"/>
      <w:bookmarkStart w:id="6630" w:name="_Toc2997"/>
      <w:bookmarkEnd w:id="6629"/>
      <w:r>
        <w:rPr>
          <w:rtl w:val="true"/>
        </w:rPr>
        <w:t>[ (</w:t>
      </w:r>
      <w:r>
        <w:rPr>
          <w:rtl w:val="true"/>
        </w:rPr>
        <w:t xml:space="preserve">مسألة </w:t>
      </w:r>
      <w:r>
        <w:rPr/>
        <w:t>51</w:t>
      </w:r>
      <w:r>
        <w:rPr>
          <w:rtl w:val="true"/>
        </w:rPr>
        <w:t xml:space="preserve">): </w:t>
      </w:r>
      <w:r>
        <w:rPr>
          <w:rtl w:val="true"/>
        </w:rPr>
        <w:t>لو حصلت فیه صفة فزادت قیمته ثمّ زالت فنقصت ثمّ حصلت فیه صفة أُخری</w:t>
      </w:r>
      <w:r>
        <w:rPr>
          <w:rtl w:val="true"/>
        </w:rPr>
        <w:t>]</w:t>
      </w:r>
      <w:bookmarkEnd w:id="6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حصلت فیه صفة فزادت قیمته ثمّ زالت فنقصت ثمّ حصلت فیه صفة أُخری زادت بها قیمته، لم یزل ضمان الزیادة الأُولیٰ و لم ینجبر نقصانها بالزیادة الثانیة، کما إذا سمنت الجاریة المغصوبة ثمّ هزلت فنقصت قیمتها، ثمّ تعلّمت الخیاطة فزادت قیمتها بقدر الزیادة الأُولیٰ أو أزید، لم یزل ضمان الغاصب للزیادة الاولیٰ</w:t>
      </w:r>
      <w:r>
        <w:rPr>
          <w:rFonts w:eastAsia="IRNazanin" w:cs="IRNazanin"/>
          <w:color w:val="111111"/>
          <w:sz w:val="28"/>
          <w:szCs w:val="28"/>
          <w:rtl w:val="true"/>
          <w:lang w:bidi="fa-IR"/>
        </w:rPr>
        <w:t>.</w:t>
      </w:r>
    </w:p>
    <w:p>
      <w:pPr>
        <w:pStyle w:val="Heading3"/>
        <w:numPr>
          <w:ilvl w:val="2"/>
          <w:numId w:val="1"/>
        </w:numPr>
        <w:rPr/>
      </w:pPr>
      <w:bookmarkStart w:id="6631" w:name="__RefHeading___Toc2570978_3650668749"/>
      <w:bookmarkStart w:id="6632" w:name="_Toc2998"/>
      <w:bookmarkEnd w:id="6631"/>
      <w:r>
        <w:rPr>
          <w:rtl w:val="true"/>
        </w:rPr>
        <w:t>[ (</w:t>
      </w:r>
      <w:r>
        <w:rPr>
          <w:rtl w:val="true"/>
        </w:rPr>
        <w:t xml:space="preserve">مسألة </w:t>
      </w:r>
      <w:r>
        <w:rPr/>
        <w:t>52</w:t>
      </w:r>
      <w:r>
        <w:rPr>
          <w:rtl w:val="true"/>
        </w:rPr>
        <w:t xml:space="preserve">): </w:t>
      </w:r>
      <w:r>
        <w:rPr>
          <w:rtl w:val="true"/>
        </w:rPr>
        <w:t>إذا غصب حبّا فزرعه أو بیضاً فاستفرخه تحت دجاجته</w:t>
      </w:r>
      <w:r>
        <w:rPr>
          <w:rtl w:val="true"/>
        </w:rPr>
        <w:t>]</w:t>
      </w:r>
      <w:bookmarkEnd w:id="6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حبّا فزرعه أو بیضاً فاستفرخه تحت دجاجته مثلًا کان الزرع و الفرخ للمغصوب منه، و کذا لو غصب خمراً فصار خلّا أو غصب عصیراً فصار خمراً عنده ثمّ صار خلّا، فإنّه ملک للمغصوب منه لا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غصب فحلًا فأنزاه علی الأُنثیٰ و أولدها کان الولد لصاحب الأُنثیٰ، و إن کان هو الغاصب و علیه اجرة الضراب</w:t>
      </w:r>
      <w:r>
        <w:rPr>
          <w:rFonts w:eastAsia="IRNazanin" w:cs="IRNazanin"/>
          <w:color w:val="111111"/>
          <w:sz w:val="28"/>
          <w:szCs w:val="28"/>
          <w:rtl w:val="true"/>
          <w:lang w:bidi="fa-IR"/>
        </w:rPr>
        <w:t>.</w:t>
      </w:r>
    </w:p>
    <w:p>
      <w:pPr>
        <w:pStyle w:val="Heading3"/>
        <w:numPr>
          <w:ilvl w:val="2"/>
          <w:numId w:val="1"/>
        </w:numPr>
        <w:rPr/>
      </w:pPr>
      <w:bookmarkStart w:id="6633" w:name="__RefHeading___Toc2570980_3650668749"/>
      <w:bookmarkStart w:id="6634" w:name="_Toc2999"/>
      <w:bookmarkEnd w:id="6633"/>
      <w:r>
        <w:rPr>
          <w:rtl w:val="true"/>
        </w:rPr>
        <w:t>[ (</w:t>
      </w:r>
      <w:r>
        <w:rPr>
          <w:rtl w:val="true"/>
        </w:rPr>
        <w:t xml:space="preserve">مسألة </w:t>
      </w:r>
      <w:r>
        <w:rPr/>
        <w:t>53</w:t>
      </w:r>
      <w:r>
        <w:rPr>
          <w:rtl w:val="true"/>
        </w:rPr>
        <w:t xml:space="preserve">): </w:t>
      </w:r>
      <w:r>
        <w:rPr>
          <w:rtl w:val="true"/>
        </w:rPr>
        <w:t>جمیع ما مرّ من الضمان و کیفیّته و أحکامه و تفاصیله جاریة فی کلّ ید جاریة علیٰ مال الغیر</w:t>
      </w:r>
      <w:r>
        <w:rPr>
          <w:rtl w:val="true"/>
        </w:rPr>
        <w:t>]</w:t>
      </w:r>
      <w:bookmarkEnd w:id="66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مرّ من الضمان و کیفیّته و أحکامه و تفاصیله جاریة فی کلّ ید جاریة علیٰ مال الغیر بغیر حقّ و إن لم تکن عادیة و غاصبة و ظالمة، إلّا فی موارد الأمانات مالکیّة کانت أو شرعیّة کما عرفت التفصیل فی کتاب الودیعة فتجری فی جمیع ما یقبض بالمعاملات الفاسدة و ما وضع الید علیه بسبب الجهل و الاشتباه، کما إذا لبس مداس غیره أو ثوبه اشتباهاً، أو أخذ شیئاً من سارق عاریة باعتقاد أنّه ماله و غیر ذلک ممّا لا یحصی</w:t>
      </w:r>
      <w:r>
        <w:rPr>
          <w:rFonts w:eastAsia="IRNazanin" w:cs="IRNazanin"/>
          <w:color w:val="111111"/>
          <w:sz w:val="28"/>
          <w:szCs w:val="28"/>
          <w:rtl w:val="true"/>
          <w:lang w:bidi="fa-IR"/>
        </w:rPr>
        <w:t>.</w:t>
      </w:r>
    </w:p>
    <w:p>
      <w:pPr>
        <w:pStyle w:val="Heading3"/>
        <w:numPr>
          <w:ilvl w:val="2"/>
          <w:numId w:val="1"/>
        </w:numPr>
        <w:rPr/>
      </w:pPr>
      <w:bookmarkStart w:id="6635" w:name="__RefHeading___Toc2570982_3650668749"/>
      <w:bookmarkStart w:id="6636" w:name="_Toc3000"/>
      <w:bookmarkEnd w:id="6635"/>
      <w:r>
        <w:rPr>
          <w:rtl w:val="true"/>
        </w:rPr>
        <w:t>[ (</w:t>
      </w:r>
      <w:r>
        <w:rPr>
          <w:rtl w:val="true"/>
        </w:rPr>
        <w:t xml:space="preserve">مسألة </w:t>
      </w:r>
      <w:r>
        <w:rPr/>
        <w:t>54</w:t>
      </w:r>
      <w:r>
        <w:rPr>
          <w:rtl w:val="true"/>
        </w:rPr>
        <w:t xml:space="preserve">): </w:t>
      </w:r>
      <w:r>
        <w:rPr>
          <w:rtl w:val="true"/>
        </w:rPr>
        <w:t>کما أنّ الید الغاصبة و ما یلحق بها موجبة للضمان</w:t>
      </w:r>
      <w:r>
        <w:rPr>
          <w:rtl w:val="true"/>
        </w:rPr>
        <w:t>]</w:t>
      </w:r>
      <w:bookmarkEnd w:id="6636"/>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الید الغاصبة و ما یلحق بها موجبة للضمان و هو المسمّی بضمان</w:t>
      </w:r>
      <w:bookmarkStart w:id="6637" w:name="pg1809_19751"/>
    </w:p>
    <w:p>
      <w:pPr>
        <w:pStyle w:val="BookText"/>
        <w:rPr/>
      </w:pPr>
      <w:bookmarkEnd w:id="6637"/>
      <w:r>
        <w:rPr>
          <w:rFonts w:ascii="IRNazanin" w:hAnsi="IRNazanin" w:eastAsia="IRNazanin"/>
          <w:color w:val="111111"/>
          <w:sz w:val="28"/>
          <w:sz w:val="28"/>
          <w:szCs w:val="28"/>
          <w:rtl w:val="true"/>
          <w:lang w:bidi="fa-IR"/>
        </w:rPr>
        <w:t>الید و قد عرفت تفصیله فی المسائل السابقة کذلک للضمان سببان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الإتلاف، و التسبیب،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سبب آخر و هو الإتلاف؛ سواء کان بالمباشرة أو التسبیب</w:t>
      </w:r>
      <w:r>
        <w:rPr>
          <w:rFonts w:eastAsia="IRNazanin" w:cs="IRNazanin"/>
          <w:color w:val="111111"/>
          <w:sz w:val="28"/>
          <w:szCs w:val="28"/>
          <w:rtl w:val="true"/>
          <w:lang w:bidi="fa-IR"/>
        </w:rPr>
        <w:t>.</w:t>
      </w:r>
    </w:p>
    <w:p>
      <w:pPr>
        <w:pStyle w:val="Heading3"/>
        <w:numPr>
          <w:ilvl w:val="2"/>
          <w:numId w:val="1"/>
        </w:numPr>
        <w:rPr/>
      </w:pPr>
      <w:bookmarkStart w:id="6638" w:name="__RefHeading___Toc2570984_3650668749"/>
      <w:bookmarkStart w:id="6639" w:name="_Toc3001"/>
      <w:bookmarkEnd w:id="6638"/>
      <w:r>
        <w:rPr>
          <w:rtl w:val="true"/>
        </w:rPr>
        <w:t>[ (</w:t>
      </w:r>
      <w:r>
        <w:rPr>
          <w:rtl w:val="true"/>
        </w:rPr>
        <w:t xml:space="preserve">مسألة </w:t>
      </w:r>
      <w:r>
        <w:rPr/>
        <w:t>55</w:t>
      </w:r>
      <w:r>
        <w:rPr>
          <w:rtl w:val="true"/>
        </w:rPr>
        <w:t xml:space="preserve">): </w:t>
      </w:r>
      <w:r>
        <w:rPr>
          <w:rtl w:val="true"/>
        </w:rPr>
        <w:t>الإتلاف بالمباشرة واضح لا یخفیٰ مصادیقه</w:t>
      </w:r>
      <w:r>
        <w:rPr>
          <w:rtl w:val="true"/>
        </w:rPr>
        <w:t>]</w:t>
      </w:r>
      <w:bookmarkEnd w:id="6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الإتلاف بالمباشرة واضح لا یخفیٰ مصادیقه، کما إذا ذبح حیواناً أو رماه بسهم فقتله، أو ضرب علیٰ إناء فکسره، أو رمیٰ شیئاً فی النار فأحرقه و غیر ذلک ممّا لا یحصیٰ، و أمّا الإتلاف بالتسبیب فهو إیجاد شی‌ء یترتّب علیه الإتلاف بسبب وقوع شی‌ء، کما لو حفر بئراً فی المعابر فوقع فیها إنسان أو حیوان، أو طرح المعاثر و المزالق کقشر البطّیخ و الرقّی فی المسالک، أو أوتد وتداً فی الطریق فأصاب به عطب أو جنایة علیٰ حیوان أو إنسان، أو وضع شیئاً علی الطریق فتمرّ به الدابّة فتنفر بصاحبها فتعقره، أو أخرج میزاباً علی الطریق فأضرّ بالمارّة، أو ألقیٰ صبیّاً أو حیواناً یضعف عن الفرار فی مسبعة فقتله السبع، و من ذلک ما لو فکّ القید عن الدابّة فشردت، أو فتح قفصاً عن طائر فطار مبادراً أو بعد مکث و غیر ذلک، ففی جمیع ذلک یکون فاعل السبب ضامناً و یکون علیه غرامة التالف و بدله؛ إن کان مثلیّا فبالمثل و إن کان قیمیّاً فبالقیمة، و إن صار سبباً لتعیّب المال کان علیه الأرش کما مرّ فی ضمان الید</w:t>
      </w:r>
      <w:r>
        <w:rPr>
          <w:rFonts w:eastAsia="IRNazanin" w:cs="IRNazanin"/>
          <w:color w:val="111111"/>
          <w:sz w:val="28"/>
          <w:szCs w:val="28"/>
          <w:rtl w:val="true"/>
          <w:lang w:bidi="fa-IR"/>
        </w:rPr>
        <w:t>.</w:t>
      </w:r>
    </w:p>
    <w:p>
      <w:pPr>
        <w:pStyle w:val="Heading3"/>
        <w:numPr>
          <w:ilvl w:val="2"/>
          <w:numId w:val="1"/>
        </w:numPr>
        <w:rPr/>
      </w:pPr>
      <w:bookmarkStart w:id="6640" w:name="__RefHeading___Toc2570986_3650668749"/>
      <w:bookmarkStart w:id="6641" w:name="_Toc3002"/>
      <w:bookmarkEnd w:id="6640"/>
      <w:r>
        <w:rPr>
          <w:rtl w:val="true"/>
        </w:rPr>
        <w:t>[ (</w:t>
      </w:r>
      <w:r>
        <w:rPr>
          <w:rtl w:val="true"/>
        </w:rPr>
        <w:t xml:space="preserve">مسألة </w:t>
      </w:r>
      <w:r>
        <w:rPr/>
        <w:t>56</w:t>
      </w:r>
      <w:r>
        <w:rPr>
          <w:rtl w:val="true"/>
        </w:rPr>
        <w:t xml:space="preserve">): </w:t>
      </w:r>
      <w:r>
        <w:rPr>
          <w:rtl w:val="true"/>
        </w:rPr>
        <w:t>لو غصب شاة ذات ولد فمات ولدها جوعاً</w:t>
      </w:r>
      <w:r>
        <w:rPr>
          <w:rtl w:val="true"/>
        </w:rPr>
        <w:t>]</w:t>
      </w:r>
      <w:bookmarkEnd w:id="6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غصب شاة ذات ولد فمات ولدها جوعاً، أو حبس مالک الماشیة أو راعیها عن حراستها فاتّفق تلفها لم یضمن بسبب التسبیب، إلّا إذا انحصر غذاء الولد بارتضاع من امّه و کانت الماشیة فی محالّ السباع و مظانّ الخطر و انحصر حفظها بحراسة راعیها، فعلیه الضمان حینئذٍ علی الأقویٰ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2" w:name="__RefHeading___Toc2570988_3650668749"/>
      <w:bookmarkStart w:id="6643" w:name="_Toc3003"/>
      <w:bookmarkEnd w:id="6642"/>
      <w:r>
        <w:rPr>
          <w:rtl w:val="true"/>
        </w:rPr>
        <w:t>[ (</w:t>
      </w:r>
      <w:r>
        <w:rPr>
          <w:rtl w:val="true"/>
        </w:rPr>
        <w:t xml:space="preserve">مسألة </w:t>
      </w:r>
      <w:r>
        <w:rPr/>
        <w:t>57</w:t>
      </w:r>
      <w:r>
        <w:rPr>
          <w:rtl w:val="true"/>
        </w:rPr>
        <w:t xml:space="preserve">): </w:t>
      </w:r>
      <w:r>
        <w:rPr>
          <w:rtl w:val="true"/>
        </w:rPr>
        <w:t>و من التسبیب الموجب للضمان</w:t>
      </w:r>
      <w:r>
        <w:rPr>
          <w:rtl w:val="true"/>
        </w:rPr>
        <w:t>]</w:t>
      </w:r>
      <w:bookmarkEnd w:id="6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التسبیب الموجب للضمان ما لو فکّ وکاء ظرف فیه مائع فسال ما فیه، و أمّا لو فتح رأس الظرف ثمّ اتّفق أنّه قلبته الریح الحادثة أو انقلب بوقوع طائر علیه مثلًا فسال ما فیه، ففی الضمان تردّد و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یقوی الضمان فیما کان ذلک فی حال هبوب الریاح العاصفة أو فی مجتمع الطیور و مظانّ وقوعها علیه</w:t>
      </w:r>
      <w:r>
        <w:rPr>
          <w:rFonts w:eastAsia="IRNazanin" w:cs="IRNazanin"/>
          <w:color w:val="111111"/>
          <w:sz w:val="28"/>
          <w:szCs w:val="28"/>
          <w:rtl w:val="true"/>
          <w:lang w:bidi="fa-IR"/>
        </w:rPr>
        <w:t>.</w:t>
      </w:r>
    </w:p>
    <w:p>
      <w:pPr>
        <w:pStyle w:val="Heading3"/>
        <w:numPr>
          <w:ilvl w:val="2"/>
          <w:numId w:val="1"/>
        </w:numPr>
        <w:rPr/>
      </w:pPr>
      <w:bookmarkStart w:id="6644" w:name="__RefHeading___Toc2570990_3650668749"/>
      <w:bookmarkStart w:id="6645" w:name="_Toc3004"/>
      <w:bookmarkEnd w:id="6644"/>
      <w:r>
        <w:rPr>
          <w:rtl w:val="true"/>
        </w:rPr>
        <w:t>[ (</w:t>
      </w:r>
      <w:r>
        <w:rPr>
          <w:rtl w:val="true"/>
        </w:rPr>
        <w:t xml:space="preserve">مسألة </w:t>
      </w:r>
      <w:r>
        <w:rPr/>
        <w:t>58</w:t>
      </w:r>
      <w:r>
        <w:rPr>
          <w:rtl w:val="true"/>
        </w:rPr>
        <w:t xml:space="preserve">): </w:t>
      </w:r>
      <w:r>
        <w:rPr>
          <w:rtl w:val="true"/>
        </w:rPr>
        <w:t>لیس من التسبیب الموجب للضمان ما لو فتح باباً علیٰ مال فسرق</w:t>
      </w:r>
      <w:r>
        <w:rPr>
          <w:rtl w:val="true"/>
        </w:rPr>
        <w:t>]</w:t>
      </w:r>
      <w:bookmarkEnd w:id="6645"/>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التسبیب الموجب للضمان ما لو فتح باباً علیٰ مال فسرق، أو دلّ سارقاً علیه فسرقه، فلا ضمان علیه</w:t>
      </w:r>
      <w:r>
        <w:rPr>
          <w:rFonts w:eastAsia="IRNazanin" w:cs="IRNazanin"/>
          <w:color w:val="111111"/>
          <w:sz w:val="28"/>
          <w:szCs w:val="28"/>
          <w:rtl w:val="true"/>
          <w:lang w:bidi="fa-IR"/>
        </w:rPr>
        <w:t>.</w:t>
      </w:r>
      <w:bookmarkStart w:id="6646" w:name="pg1809_19753"/>
    </w:p>
    <w:p>
      <w:pPr>
        <w:pStyle w:val="Heading3"/>
        <w:numPr>
          <w:ilvl w:val="2"/>
          <w:numId w:val="1"/>
        </w:numPr>
        <w:rPr/>
      </w:pPr>
      <w:bookmarkStart w:id="6647" w:name="__RefHeading___Toc2570992_3650668749"/>
      <w:bookmarkStart w:id="6648" w:name="_Toc3005"/>
      <w:bookmarkEnd w:id="6646"/>
      <w:bookmarkEnd w:id="6647"/>
      <w:r>
        <w:rPr>
          <w:rtl w:val="true"/>
        </w:rPr>
        <w:t>[ (</w:t>
      </w:r>
      <w:r>
        <w:rPr>
          <w:rtl w:val="true"/>
        </w:rPr>
        <w:t xml:space="preserve">مسألة </w:t>
      </w:r>
      <w:r>
        <w:rPr/>
        <w:t>59</w:t>
      </w:r>
      <w:r>
        <w:rPr>
          <w:rtl w:val="true"/>
        </w:rPr>
        <w:t xml:space="preserve">): </w:t>
      </w:r>
      <w:r>
        <w:rPr>
          <w:rtl w:val="true"/>
        </w:rPr>
        <w:t>لو وقع الحائط علی الطریق مثلًا فتلف بوقوعه مال أو نفس لم یضمن صاحبه</w:t>
      </w:r>
      <w:r>
        <w:rPr>
          <w:rtl w:val="true"/>
        </w:rPr>
        <w:t>]</w:t>
      </w:r>
      <w:bookmarkEnd w:id="6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الحائط علی الطریق مثلًا فتلف بوقوعه مال أو نفس لم یضمن صاحبه، إلّا إذا بناه مائلًا إلی الطریق أو مال إلیه بعد ما کان مستویاً و قد تمکّن صاحبه من الإزالة و لم یزله، فعلیه الضمان فی الصورتین علی الأقویٰ</w:t>
      </w:r>
      <w:r>
        <w:rPr>
          <w:rFonts w:eastAsia="IRNazanin" w:cs="IRNazanin"/>
          <w:color w:val="111111"/>
          <w:sz w:val="28"/>
          <w:szCs w:val="28"/>
          <w:rtl w:val="true"/>
          <w:lang w:bidi="fa-IR"/>
        </w:rPr>
        <w:t>.</w:t>
      </w:r>
    </w:p>
    <w:p>
      <w:pPr>
        <w:pStyle w:val="Heading3"/>
        <w:numPr>
          <w:ilvl w:val="2"/>
          <w:numId w:val="1"/>
        </w:numPr>
        <w:rPr/>
      </w:pPr>
      <w:bookmarkStart w:id="6649" w:name="__RefHeading___Toc2570994_3650668749"/>
      <w:bookmarkStart w:id="6650" w:name="_Toc3006"/>
      <w:bookmarkEnd w:id="6649"/>
      <w:r>
        <w:rPr>
          <w:rtl w:val="true"/>
        </w:rPr>
        <w:t>[ (</w:t>
      </w:r>
      <w:r>
        <w:rPr>
          <w:rtl w:val="true"/>
        </w:rPr>
        <w:t xml:space="preserve">مسألة </w:t>
      </w:r>
      <w:r>
        <w:rPr/>
        <w:t>60</w:t>
      </w:r>
      <w:r>
        <w:rPr>
          <w:rtl w:val="true"/>
        </w:rPr>
        <w:t xml:space="preserve">): </w:t>
      </w:r>
      <w:r>
        <w:rPr>
          <w:rtl w:val="true"/>
        </w:rPr>
        <w:t>لو وضع شربة أو کوزاً مثلًا علیٰ حائطه</w:t>
      </w:r>
      <w:r>
        <w:rPr>
          <w:rtl w:val="true"/>
        </w:rPr>
        <w:t>]</w:t>
      </w:r>
      <w:bookmarkEnd w:id="6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 شربة أو کوزاً مثلًا علیٰ حائطه، فسقط و تلف به مال أو نفس لم یضمن، إلّا إذا وضعه مائلًا إلی الطریق أو وضعه علیٰ وجه یسقط مثله</w:t>
      </w:r>
      <w:r>
        <w:rPr>
          <w:rFonts w:eastAsia="IRNazanin" w:cs="IRNazanin"/>
          <w:color w:val="111111"/>
          <w:sz w:val="28"/>
          <w:szCs w:val="28"/>
          <w:rtl w:val="true"/>
          <w:lang w:bidi="fa-IR"/>
        </w:rPr>
        <w:t>.</w:t>
      </w:r>
    </w:p>
    <w:p>
      <w:pPr>
        <w:pStyle w:val="Heading3"/>
        <w:numPr>
          <w:ilvl w:val="2"/>
          <w:numId w:val="1"/>
        </w:numPr>
        <w:rPr/>
      </w:pPr>
      <w:bookmarkStart w:id="6651" w:name="__RefHeading___Toc2570996_3650668749"/>
      <w:bookmarkStart w:id="6652" w:name="_Toc3007"/>
      <w:bookmarkEnd w:id="6651"/>
      <w:r>
        <w:rPr>
          <w:rtl w:val="true"/>
        </w:rPr>
        <w:t>[ (</w:t>
      </w:r>
      <w:r>
        <w:rPr>
          <w:rtl w:val="true"/>
        </w:rPr>
        <w:t xml:space="preserve">مسألة </w:t>
      </w:r>
      <w:r>
        <w:rPr/>
        <w:t>61</w:t>
      </w:r>
      <w:r>
        <w:rPr>
          <w:rtl w:val="true"/>
        </w:rPr>
        <w:t xml:space="preserve">): </w:t>
      </w:r>
      <w:r>
        <w:rPr>
          <w:rtl w:val="true"/>
        </w:rPr>
        <w:t>و من التسبیب الموجب للضمان أن یشعل ناراً فی ملکه و داره فتعدّت و أحرقت دار جاره</w:t>
      </w:r>
      <w:r>
        <w:rPr>
          <w:rtl w:val="true"/>
        </w:rPr>
        <w:t>]</w:t>
      </w:r>
      <w:bookmarkEnd w:id="66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التسبیب الموجب للضمان أن یشعل ناراً فی ملکه و داره فتعدّت و أحرقت دار جاره مثلًا فیما إذا تجاوز قدر حاجته و یعلم أو یظنّ تعدّیها لعصف الهواء مثلًا، بل الظاهر کفایة الثانی فیضمن مع العلم أو الظنّ بالتعدّی و لو کان بمقدار الحاجة، بل لا یبعد الضمان إذا اعتقد عدم کونها متعدّیة فتبیّن خلافه، کما إذا کانت ریح حین إشعال النار و هو قد اعتقد أنّ بمثل هذه الریح لا تسری النار إلی الجار فتبیّن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الهواء ساکناً بحیث یؤمن معه من التعدّی فاتّفق عصف الهواء بغتة فطارت شرارتها یقویٰ عدم الضمان</w:t>
      </w:r>
      <w:r>
        <w:rPr>
          <w:rFonts w:eastAsia="IRNazanin" w:cs="IRNazanin"/>
          <w:color w:val="111111"/>
          <w:sz w:val="28"/>
          <w:szCs w:val="28"/>
          <w:rtl w:val="true"/>
          <w:lang w:bidi="fa-IR"/>
        </w:rPr>
        <w:t>.</w:t>
      </w:r>
    </w:p>
    <w:p>
      <w:pPr>
        <w:pStyle w:val="Heading3"/>
        <w:numPr>
          <w:ilvl w:val="2"/>
          <w:numId w:val="1"/>
        </w:numPr>
        <w:rPr/>
      </w:pPr>
      <w:bookmarkStart w:id="6653" w:name="__RefHeading___Toc2570998_3650668749"/>
      <w:bookmarkStart w:id="6654" w:name="_Toc3008"/>
      <w:bookmarkEnd w:id="6653"/>
      <w:r>
        <w:rPr>
          <w:rtl w:val="true"/>
        </w:rPr>
        <w:t>[ (</w:t>
      </w:r>
      <w:r>
        <w:rPr>
          <w:rtl w:val="true"/>
        </w:rPr>
        <w:t xml:space="preserve">مسألة </w:t>
      </w:r>
      <w:r>
        <w:rPr/>
        <w:t>62</w:t>
      </w:r>
      <w:r>
        <w:rPr>
          <w:rtl w:val="true"/>
        </w:rPr>
        <w:t xml:space="preserve">): </w:t>
      </w:r>
      <w:r>
        <w:rPr>
          <w:rtl w:val="true"/>
        </w:rPr>
        <w:t>إذا أرسل الماء فی ملکه فتعدّی إلیٰ ملک غیره فأضرّ به ضمن</w:t>
      </w:r>
      <w:r>
        <w:rPr>
          <w:rtl w:val="true"/>
        </w:rPr>
        <w:t>]</w:t>
      </w:r>
      <w:bookmarkEnd w:id="6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أرسل الماء فی ملکه فتعدّی إلیٰ ملک غیره فأضرّ به ضمن </w:t>
      </w:r>
      <w:r>
        <w:rPr>
          <w:rStyle w:val="FootnoteAnchor"/>
          <w:rtl w:val="true"/>
        </w:rPr>
        <w:footnoteReference w:id="1734"/>
      </w:r>
      <w:r>
        <w:rPr>
          <w:rFonts w:ascii="IRNazanin" w:hAnsi="IRNazanin" w:eastAsia="IRNazanin"/>
          <w:color w:val="111111"/>
          <w:sz w:val="28"/>
          <w:sz w:val="28"/>
          <w:szCs w:val="28"/>
          <w:rtl w:val="true"/>
          <w:lang w:bidi="fa-IR"/>
        </w:rPr>
        <w:t>مطلقاً و لو مع عدم اعتقاده عدم التعدّی، فضلًا عمّا لو علم أو ظنّ به</w:t>
      </w:r>
      <w:r>
        <w:rPr>
          <w:rFonts w:eastAsia="IRNazanin" w:cs="IRNazanin"/>
          <w:color w:val="111111"/>
          <w:sz w:val="28"/>
          <w:szCs w:val="28"/>
          <w:rtl w:val="true"/>
          <w:lang w:bidi="fa-IR"/>
        </w:rPr>
        <w:t>.</w:t>
      </w:r>
    </w:p>
    <w:p>
      <w:pPr>
        <w:pStyle w:val="Heading3"/>
        <w:numPr>
          <w:ilvl w:val="2"/>
          <w:numId w:val="1"/>
        </w:numPr>
        <w:rPr/>
      </w:pPr>
      <w:bookmarkStart w:id="6655" w:name="__RefHeading___Toc2571000_3650668749"/>
      <w:bookmarkStart w:id="6656" w:name="_Toc3009"/>
      <w:bookmarkEnd w:id="6655"/>
      <w:r>
        <w:rPr>
          <w:rtl w:val="true"/>
        </w:rPr>
        <w:t>[ (</w:t>
      </w:r>
      <w:r>
        <w:rPr>
          <w:rtl w:val="true"/>
        </w:rPr>
        <w:t xml:space="preserve">مسألة </w:t>
      </w:r>
      <w:r>
        <w:rPr/>
        <w:t>63</w:t>
      </w:r>
      <w:r>
        <w:rPr>
          <w:rtl w:val="true"/>
        </w:rPr>
        <w:t xml:space="preserve">): </w:t>
      </w:r>
      <w:r>
        <w:rPr>
          <w:rtl w:val="true"/>
        </w:rPr>
        <w:t>لو تعب حمّال الخشبة فأسندها إلیٰ جدار الغیر لیستریح بدون إذن صاحب الجدار</w:t>
      </w:r>
      <w:r>
        <w:rPr>
          <w:rtl w:val="true"/>
        </w:rPr>
        <w:t>]</w:t>
      </w:r>
      <w:bookmarkEnd w:id="66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تعب حمّال الخشبة فأسندها إلیٰ جدار الغیر لیستریح بدون إذن صاحب الجدار فوقع بإسناده إلیه ضمنه، و ضمن ما تلف بوقوعه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وقعت الخشبة فأتلفت شیئاً ضمنه؛ سواء وقعت فی الحال أو بعد ساعة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7" w:name="__RefHeading___Toc2571002_3650668749"/>
      <w:bookmarkStart w:id="6658" w:name="_Toc3010"/>
      <w:bookmarkEnd w:id="6657"/>
      <w:r>
        <w:rPr>
          <w:rtl w:val="true"/>
        </w:rPr>
        <w:t>[ (</w:t>
      </w:r>
      <w:r>
        <w:rPr>
          <w:rtl w:val="true"/>
        </w:rPr>
        <w:t xml:space="preserve">مسألة </w:t>
      </w:r>
      <w:r>
        <w:rPr/>
        <w:t>64</w:t>
      </w:r>
      <w:r>
        <w:rPr>
          <w:rtl w:val="true"/>
        </w:rPr>
        <w:t xml:space="preserve">): </w:t>
      </w:r>
      <w:r>
        <w:rPr>
          <w:rtl w:val="true"/>
        </w:rPr>
        <w:t>لو فتح قفصاً عن طائر فخرج و کسر بخروجه قارورة شخص مثلًا ضمنها الفاتح</w:t>
      </w:r>
      <w:r>
        <w:rPr>
          <w:rtl w:val="true"/>
        </w:rPr>
        <w:t>]</w:t>
      </w:r>
      <w:bookmarkEnd w:id="66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فتح قفصاً عن طائر فخرج و کسر بخروجه قارورة شخص مثلًا ضمنها </w:t>
      </w:r>
      <w:r>
        <w:rPr>
          <w:rStyle w:val="FootnoteAnchor"/>
          <w:rtl w:val="true"/>
        </w:rPr>
        <w:footnoteReference w:id="1736"/>
      </w:r>
      <w:r>
        <w:rPr>
          <w:rFonts w:ascii="IRNazanin" w:hAnsi="IRNazanin" w:eastAsia="IRNazanin"/>
          <w:color w:val="111111"/>
          <w:sz w:val="28"/>
          <w:sz w:val="28"/>
          <w:szCs w:val="28"/>
          <w:rtl w:val="true"/>
          <w:lang w:bidi="fa-IR"/>
        </w:rPr>
        <w:t>الفاتح، و کذا لو کان القفص ضیّقاً مثلًا فاضطرب بخروجه فسقط و انکسر ضمنه</w:t>
      </w:r>
      <w:r>
        <w:rPr>
          <w:rFonts w:eastAsia="IRNazanin" w:cs="IRNazanin"/>
          <w:color w:val="111111"/>
          <w:sz w:val="28"/>
          <w:szCs w:val="28"/>
          <w:rtl w:val="true"/>
          <w:lang w:bidi="fa-IR"/>
        </w:rPr>
        <w:t>.</w:t>
      </w:r>
    </w:p>
    <w:p>
      <w:pPr>
        <w:pStyle w:val="Heading3"/>
        <w:numPr>
          <w:ilvl w:val="2"/>
          <w:numId w:val="1"/>
        </w:numPr>
        <w:rPr/>
      </w:pPr>
      <w:bookmarkStart w:id="6659" w:name="__RefHeading___Toc2571004_3650668749"/>
      <w:bookmarkStart w:id="6660" w:name="_Toc3011"/>
      <w:bookmarkEnd w:id="6659"/>
      <w:r>
        <w:rPr>
          <w:rtl w:val="true"/>
        </w:rPr>
        <w:t>[ (</w:t>
      </w:r>
      <w:r>
        <w:rPr>
          <w:rtl w:val="true"/>
        </w:rPr>
        <w:t xml:space="preserve">مسألة </w:t>
      </w:r>
      <w:r>
        <w:rPr/>
        <w:t>65</w:t>
      </w:r>
      <w:r>
        <w:rPr>
          <w:rtl w:val="true"/>
        </w:rPr>
        <w:t xml:space="preserve">): </w:t>
      </w:r>
      <w:r>
        <w:rPr>
          <w:rtl w:val="true"/>
        </w:rPr>
        <w:t>إذا أکلت دابّة شخص زرع غیره أو أفسده</w:t>
      </w:r>
      <w:r>
        <w:rPr>
          <w:rtl w:val="true"/>
        </w:rPr>
        <w:t>]</w:t>
      </w:r>
      <w:bookmarkEnd w:id="6660"/>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أکلت دابّة شخص زرع غیره أو أفسده، فإن کان معها صاحبها راکباً أو سائقاً أو قائداً أو مصاحباً ضمن ما أتلفته، و إن لم یکن معها؛ بأن انفلتت من مراحها</w:t>
      </w:r>
      <w:bookmarkStart w:id="6661" w:name="pg1809_19755"/>
    </w:p>
    <w:p>
      <w:pPr>
        <w:pStyle w:val="BookText"/>
        <w:rPr/>
      </w:pPr>
      <w:bookmarkEnd w:id="6661"/>
      <w:r>
        <w:rPr>
          <w:rFonts w:ascii="IRNazanin" w:hAnsi="IRNazanin" w:eastAsia="IRNazanin"/>
          <w:color w:val="111111"/>
          <w:sz w:val="28"/>
          <w:sz w:val="28"/>
          <w:szCs w:val="28"/>
          <w:rtl w:val="true"/>
          <w:lang w:bidi="fa-IR"/>
        </w:rPr>
        <w:t xml:space="preserve">مثلًا فدخلت زرع غیره، ضمن </w:t>
      </w:r>
      <w:r>
        <w:rPr>
          <w:rStyle w:val="FootnoteAnchor"/>
          <w:rtl w:val="true"/>
        </w:rPr>
        <w:footnoteReference w:id="1737"/>
      </w:r>
      <w:r>
        <w:rPr>
          <w:rFonts w:ascii="IRNazanin" w:hAnsi="IRNazanin" w:eastAsia="IRNazanin"/>
          <w:color w:val="111111"/>
          <w:sz w:val="28"/>
          <w:sz w:val="28"/>
          <w:szCs w:val="28"/>
          <w:rtl w:val="true"/>
          <w:lang w:bidi="fa-IR"/>
        </w:rPr>
        <w:t>ما أتلفته إن کان ذلک لیلًا، و لیس علیه ضمان إن کان نهاراً</w:t>
      </w:r>
      <w:r>
        <w:rPr>
          <w:rFonts w:eastAsia="IRNazanin" w:cs="IRNazanin"/>
          <w:color w:val="111111"/>
          <w:sz w:val="28"/>
          <w:szCs w:val="28"/>
          <w:rtl w:val="true"/>
          <w:lang w:bidi="fa-IR"/>
        </w:rPr>
        <w:t>.</w:t>
      </w:r>
    </w:p>
    <w:p>
      <w:pPr>
        <w:pStyle w:val="Heading3"/>
        <w:numPr>
          <w:ilvl w:val="2"/>
          <w:numId w:val="1"/>
        </w:numPr>
        <w:rPr/>
      </w:pPr>
      <w:bookmarkStart w:id="6662" w:name="__RefHeading___Toc2571006_3650668749"/>
      <w:bookmarkStart w:id="6663" w:name="_Toc3012"/>
      <w:bookmarkEnd w:id="6662"/>
      <w:r>
        <w:rPr>
          <w:rtl w:val="true"/>
        </w:rPr>
        <w:t>[ (</w:t>
      </w:r>
      <w:r>
        <w:rPr>
          <w:rtl w:val="true"/>
        </w:rPr>
        <w:t xml:space="preserve">مسألة </w:t>
      </w:r>
      <w:r>
        <w:rPr/>
        <w:t>66</w:t>
      </w:r>
      <w:r>
        <w:rPr>
          <w:rtl w:val="true"/>
        </w:rPr>
        <w:t xml:space="preserve">): </w:t>
      </w:r>
      <w:r>
        <w:rPr>
          <w:rtl w:val="true"/>
        </w:rPr>
        <w:t>لو کانت الشاة أو غیرها فی ید الراعی، أو الدابّة فی ید المستعیر أو المستأجر، فأتلفتا</w:t>
      </w:r>
      <w:r>
        <w:rPr>
          <w:rtl w:val="true"/>
        </w:rPr>
        <w:t>]</w:t>
      </w:r>
      <w:bookmarkEnd w:id="6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الشاة أو غیرها فی ید الراعی، أو الدابّة فی ید المستعیر أو المستأجر، فأتلفتا زرعاً أو غیره، کان الضمان علی الراعی و المستأجر و المستعیر، لا علی المالک و المعیر</w:t>
      </w:r>
      <w:r>
        <w:rPr>
          <w:rFonts w:eastAsia="IRNazanin" w:cs="IRNazanin"/>
          <w:color w:val="111111"/>
          <w:sz w:val="28"/>
          <w:szCs w:val="28"/>
          <w:rtl w:val="true"/>
          <w:lang w:bidi="fa-IR"/>
        </w:rPr>
        <w:t>.</w:t>
      </w:r>
    </w:p>
    <w:p>
      <w:pPr>
        <w:pStyle w:val="Heading3"/>
        <w:numPr>
          <w:ilvl w:val="2"/>
          <w:numId w:val="1"/>
        </w:numPr>
        <w:rPr/>
      </w:pPr>
      <w:bookmarkStart w:id="6664" w:name="__RefHeading___Toc2571008_3650668749"/>
      <w:bookmarkStart w:id="6665" w:name="_Toc3013"/>
      <w:bookmarkEnd w:id="6664"/>
      <w:r>
        <w:rPr>
          <w:rtl w:val="true"/>
        </w:rPr>
        <w:t>[ (</w:t>
      </w:r>
      <w:r>
        <w:rPr>
          <w:rtl w:val="true"/>
        </w:rPr>
        <w:t xml:space="preserve">مسألة </w:t>
      </w:r>
      <w:r>
        <w:rPr/>
        <w:t>67</w:t>
      </w:r>
      <w:r>
        <w:rPr>
          <w:rtl w:val="true"/>
        </w:rPr>
        <w:t xml:space="preserve">): </w:t>
      </w:r>
      <w:r>
        <w:rPr>
          <w:rtl w:val="true"/>
        </w:rPr>
        <w:t>لو اجتمع سببان للإتلاف بفعل شخصین</w:t>
      </w:r>
      <w:r>
        <w:rPr>
          <w:rtl w:val="true"/>
        </w:rPr>
        <w:t>]</w:t>
      </w:r>
      <w:bookmarkEnd w:id="66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سببان للإتلاف بفعل شخصین، فإن لم یکن أحدهما أسبق فی التأثیر اشترکا فی الضمان، و إلّا کان الضمان علی المتقدّم فی التأثیر، فلو حفر شخص بئراً فی الطریق و وضع شخص آخر حجراً بقربها، فعثر به إنسان أو حیوان فوقع فی البئر کان الضمان علیٰ واضع الحجر دون حافر البئر، و یحتمل قویّاً اشتراکهما فی الضمان مطلقاً</w:t>
      </w:r>
      <w:r>
        <w:rPr>
          <w:rFonts w:eastAsia="IRNazanin" w:cs="IRNazanin"/>
          <w:color w:val="111111"/>
          <w:sz w:val="28"/>
          <w:szCs w:val="28"/>
          <w:rtl w:val="true"/>
          <w:lang w:bidi="fa-IR"/>
        </w:rPr>
        <w:t>.</w:t>
      </w:r>
    </w:p>
    <w:p>
      <w:pPr>
        <w:pStyle w:val="Heading3"/>
        <w:numPr>
          <w:ilvl w:val="2"/>
          <w:numId w:val="1"/>
        </w:numPr>
        <w:rPr/>
      </w:pPr>
      <w:bookmarkStart w:id="6666" w:name="__RefHeading___Toc2571010_3650668749"/>
      <w:bookmarkStart w:id="6667" w:name="_Toc3014"/>
      <w:bookmarkEnd w:id="6666"/>
      <w:r>
        <w:rPr>
          <w:rtl w:val="true"/>
        </w:rPr>
        <w:t>[ (</w:t>
      </w:r>
      <w:r>
        <w:rPr>
          <w:rtl w:val="true"/>
        </w:rPr>
        <w:t xml:space="preserve">مسألة </w:t>
      </w:r>
      <w:r>
        <w:rPr/>
        <w:t>68</w:t>
      </w:r>
      <w:r>
        <w:rPr>
          <w:rtl w:val="true"/>
        </w:rPr>
        <w:t xml:space="preserve">): </w:t>
      </w:r>
      <w:r>
        <w:rPr>
          <w:rtl w:val="true"/>
        </w:rPr>
        <w:t>لو اجتمع السبب مع المباشر، کان الضمان علی المباشر دون فاعل السبب</w:t>
      </w:r>
      <w:r>
        <w:rPr>
          <w:rtl w:val="true"/>
        </w:rPr>
        <w:t>]</w:t>
      </w:r>
      <w:bookmarkEnd w:id="6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السبب مع المباشر، کان الضمان علی المباشر دون فاعل السبب، فلو حفر شخص بئراً فی الطریق فدفع غیره فیها إنساناً أو حیواناً کان الضمان علی الدافع دون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السبب أقوی من المباشر کان الضمان علیه لا علی المباشر، فلو وضع قارورة تحت رجل شخص نائم فمدّ رجله و کسرها کان الضمان علی الواضع دون النائم</w:t>
      </w:r>
      <w:r>
        <w:rPr>
          <w:rFonts w:eastAsia="IRNazanin" w:cs="IRNazanin"/>
          <w:color w:val="111111"/>
          <w:sz w:val="28"/>
          <w:szCs w:val="28"/>
          <w:rtl w:val="true"/>
          <w:lang w:bidi="fa-IR"/>
        </w:rPr>
        <w:t>.</w:t>
      </w:r>
    </w:p>
    <w:p>
      <w:pPr>
        <w:pStyle w:val="Heading3"/>
        <w:numPr>
          <w:ilvl w:val="2"/>
          <w:numId w:val="1"/>
        </w:numPr>
        <w:rPr/>
      </w:pPr>
      <w:bookmarkStart w:id="6668" w:name="__RefHeading___Toc2571012_3650668749"/>
      <w:bookmarkStart w:id="6669" w:name="_Toc3015"/>
      <w:bookmarkEnd w:id="6668"/>
      <w:r>
        <w:rPr>
          <w:rtl w:val="true"/>
        </w:rPr>
        <w:t>[ (</w:t>
      </w:r>
      <w:r>
        <w:rPr>
          <w:rtl w:val="true"/>
        </w:rPr>
        <w:t xml:space="preserve">مسألة </w:t>
      </w:r>
      <w:r>
        <w:rPr/>
        <w:t>69</w:t>
      </w:r>
      <w:r>
        <w:rPr>
          <w:rtl w:val="true"/>
        </w:rPr>
        <w:t xml:space="preserve">): </w:t>
      </w:r>
      <w:r>
        <w:rPr>
          <w:rtl w:val="true"/>
        </w:rPr>
        <w:t>لو اکره علیٰ إتلاف مال غیره، کان الضمان علیٰ من أکرهه</w:t>
      </w:r>
      <w:r>
        <w:rPr>
          <w:rtl w:val="true"/>
        </w:rPr>
        <w:t>]</w:t>
      </w:r>
      <w:bookmarkEnd w:id="6669"/>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اکره علیٰ إتلاف مال غیره، کان الضمان علیٰ من أکرهه و لیس علیه ضمان؛ لکون ذی السبب أقوی من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المال مضموناً فی یده؛ بأن أکرهه علیٰ إتلاف ما لیس تحت یده أو علیٰ إتلاف الودیعة التی عنده مثلًا، و أمّا إذا کان المال مضموناً فی یده، کما إذا غصب مالًا فأکرهه شخص علیٰ إتلافه، فالظاهر ضمان کلیهما، فللمالک الرجوع علیٰ أیّهما شاء، فإن رجع علی المکره بالکسر لم یرجع علی المکره بالفتح بخلاف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أُکره علیٰ إتلاف المال، و أمّا لو اکره علیٰ قتل أحد معصوم الدم فقتله، فالضمان علی القاتل من دون رجوع علی المکره بالکسر و إن کان علیه عقوبة، فإنّه لا إکراه فی الدماء</w:t>
      </w:r>
      <w:r>
        <w:rPr>
          <w:rFonts w:eastAsia="IRNazanin" w:cs="IRNazanin"/>
          <w:color w:val="111111"/>
          <w:sz w:val="28"/>
          <w:szCs w:val="28"/>
          <w:rtl w:val="true"/>
          <w:lang w:bidi="fa-IR"/>
        </w:rPr>
        <w:t>.</w:t>
      </w:r>
      <w:bookmarkStart w:id="6670" w:name="pg1809_19757"/>
    </w:p>
    <w:p>
      <w:pPr>
        <w:pStyle w:val="Heading3"/>
        <w:numPr>
          <w:ilvl w:val="2"/>
          <w:numId w:val="1"/>
        </w:numPr>
        <w:rPr/>
      </w:pPr>
      <w:bookmarkStart w:id="6671" w:name="__RefHeading___Toc2571014_3650668749"/>
      <w:bookmarkStart w:id="6672" w:name="_Toc3016"/>
      <w:bookmarkEnd w:id="6670"/>
      <w:bookmarkEnd w:id="6671"/>
      <w:r>
        <w:rPr>
          <w:rtl w:val="true"/>
        </w:rPr>
        <w:t>[ (</w:t>
      </w:r>
      <w:r>
        <w:rPr>
          <w:rtl w:val="true"/>
        </w:rPr>
        <w:t xml:space="preserve">مسألة </w:t>
      </w:r>
      <w:r>
        <w:rPr/>
        <w:t>70</w:t>
      </w:r>
      <w:r>
        <w:rPr>
          <w:rtl w:val="true"/>
        </w:rPr>
        <w:t xml:space="preserve">): </w:t>
      </w:r>
      <w:r>
        <w:rPr>
          <w:rtl w:val="true"/>
        </w:rPr>
        <w:t>لو غصب مأکولًا مثلًا فأطعمه المالک مع جهله بأنّه ماله</w:t>
      </w:r>
      <w:r>
        <w:rPr>
          <w:rtl w:val="true"/>
        </w:rPr>
        <w:t>]</w:t>
      </w:r>
      <w:bookmarkEnd w:id="66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غصب مأکولًا مثلًا فأطعمه المالک مع جهله بأنّه ماله؛ بأن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ملکی و طعامی، أو قدّمه إلیه ضیافة، مثلًا لو غصب شاة و استدعیٰ من المالک ذبحها فذبحها مع جهله بأنّها شاته، ضمن الغاصب و إن کان المالک هو المباشر للإتلاف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دخل المالک دار الغاصب مثلًا و رأیٰ طعاماً فأکله علی اعتقاد أنّه طعام الغاصب فکان طعام الآکل، فالظاهر عدم ضمان الغاصب، و قد برئ عن ضمان الطعام</w:t>
      </w:r>
      <w:r>
        <w:rPr>
          <w:rFonts w:eastAsia="IRNazanin" w:cs="IRNazanin"/>
          <w:color w:val="111111"/>
          <w:sz w:val="28"/>
          <w:szCs w:val="28"/>
          <w:rtl w:val="true"/>
          <w:lang w:bidi="fa-IR"/>
        </w:rPr>
        <w:t>.</w:t>
      </w:r>
    </w:p>
    <w:p>
      <w:pPr>
        <w:pStyle w:val="Heading3"/>
        <w:numPr>
          <w:ilvl w:val="2"/>
          <w:numId w:val="1"/>
        </w:numPr>
        <w:rPr/>
      </w:pPr>
      <w:bookmarkStart w:id="6673" w:name="__RefHeading___Toc2571016_3650668749"/>
      <w:bookmarkStart w:id="6674" w:name="_Toc3017"/>
      <w:bookmarkEnd w:id="6673"/>
      <w:r>
        <w:rPr>
          <w:rtl w:val="true"/>
        </w:rPr>
        <w:t>[ (</w:t>
      </w:r>
      <w:r>
        <w:rPr>
          <w:rtl w:val="true"/>
        </w:rPr>
        <w:t xml:space="preserve">مسألة </w:t>
      </w:r>
      <w:r>
        <w:rPr/>
        <w:t>71</w:t>
      </w:r>
      <w:r>
        <w:rPr>
          <w:rtl w:val="true"/>
        </w:rPr>
        <w:t xml:space="preserve">): </w:t>
      </w:r>
      <w:r>
        <w:rPr>
          <w:rtl w:val="true"/>
        </w:rPr>
        <w:t>لو غصب طعاماً من شخص و أطعمه غیر المالک علیٰ أنّه ماله مع جهل الآکل</w:t>
      </w:r>
      <w:r>
        <w:rPr>
          <w:rtl w:val="true"/>
        </w:rPr>
        <w:t>]</w:t>
      </w:r>
      <w:bookmarkEnd w:id="6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غصب طعاماً من شخص و أطعمه غیر المالک علیٰ أنّه ماله مع جهل الآکل بأنّه مال غیره، کما إذا قدّمه إلیه بعنوان الضیافة مثلًا ضمن کلاهما، فللمالک أن یغرم أیّهما شاء فإن أغرم الغاصب لم یرجع علی الآکل و إن أغرم الآکل رجع علی الغاصب؛ لأنّه قد غرّه</w:t>
      </w:r>
      <w:r>
        <w:rPr>
          <w:rFonts w:eastAsia="IRNazanin" w:cs="IRNazanin"/>
          <w:color w:val="111111"/>
          <w:sz w:val="28"/>
          <w:szCs w:val="28"/>
          <w:rtl w:val="true"/>
          <w:lang w:bidi="fa-IR"/>
        </w:rPr>
        <w:t>.</w:t>
      </w:r>
    </w:p>
    <w:p>
      <w:pPr>
        <w:pStyle w:val="Heading3"/>
        <w:numPr>
          <w:ilvl w:val="2"/>
          <w:numId w:val="1"/>
        </w:numPr>
        <w:rPr/>
      </w:pPr>
      <w:bookmarkStart w:id="6675" w:name="__RefHeading___Toc2571018_3650668749"/>
      <w:bookmarkStart w:id="6676" w:name="_Toc3018"/>
      <w:bookmarkEnd w:id="6675"/>
      <w:r>
        <w:rPr>
          <w:rtl w:val="true"/>
        </w:rPr>
        <w:t>[ (</w:t>
      </w:r>
      <w:r>
        <w:rPr>
          <w:rtl w:val="true"/>
        </w:rPr>
        <w:t xml:space="preserve">مسألة </w:t>
      </w:r>
      <w:r>
        <w:rPr/>
        <w:t>72</w:t>
      </w:r>
      <w:r>
        <w:rPr>
          <w:rtl w:val="true"/>
        </w:rPr>
        <w:t xml:space="preserve">): </w:t>
      </w:r>
      <w:r>
        <w:rPr>
          <w:rtl w:val="true"/>
        </w:rPr>
        <w:t>إذا سعیٰ إلیٰ الظالم علیٰ أحد أو اشتکیٰ علیه عنده بحقّ أو بغیر حقّ</w:t>
      </w:r>
      <w:r>
        <w:rPr>
          <w:rtl w:val="true"/>
        </w:rPr>
        <w:t>]</w:t>
      </w:r>
      <w:bookmarkEnd w:id="66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سعیٰ إلیٰ الظالم علیٰ أحد أو اشتکیٰ علیه عنده بحقّ أو بغیر حقّ، فأخذ الظالم منه مالًا بغیر حقّ لم یضمن الساعی و المشتکی ما خسره و إن أثم بسبب سعایته أو شکایته إذا کانت بغیر حقّ، و إنّما الضمان علیٰ من أخذ المال</w:t>
      </w:r>
      <w:r>
        <w:rPr>
          <w:rFonts w:eastAsia="IRNazanin" w:cs="IRNazanin"/>
          <w:color w:val="111111"/>
          <w:sz w:val="28"/>
          <w:szCs w:val="28"/>
          <w:rtl w:val="true"/>
          <w:lang w:bidi="fa-IR"/>
        </w:rPr>
        <w:t>.</w:t>
      </w:r>
    </w:p>
    <w:p>
      <w:pPr>
        <w:pStyle w:val="Heading3"/>
        <w:numPr>
          <w:ilvl w:val="2"/>
          <w:numId w:val="1"/>
        </w:numPr>
        <w:rPr/>
      </w:pPr>
      <w:bookmarkStart w:id="6677" w:name="__RefHeading___Toc2571020_3650668749"/>
      <w:bookmarkStart w:id="6678" w:name="_Toc3019"/>
      <w:bookmarkEnd w:id="6677"/>
      <w:r>
        <w:rPr>
          <w:rtl w:val="true"/>
        </w:rPr>
        <w:t>[ (</w:t>
      </w:r>
      <w:r>
        <w:rPr>
          <w:rtl w:val="true"/>
        </w:rPr>
        <w:t xml:space="preserve">مسألة </w:t>
      </w:r>
      <w:r>
        <w:rPr/>
        <w:t>73</w:t>
      </w:r>
      <w:r>
        <w:rPr>
          <w:rtl w:val="true"/>
        </w:rPr>
        <w:t xml:space="preserve">): </w:t>
      </w:r>
      <w:r>
        <w:rPr>
          <w:rtl w:val="true"/>
        </w:rPr>
        <w:t>إذا تلف المغصوب و تنازع المالک و الغاصب فی القیمة و لم تکن بیّنة</w:t>
      </w:r>
      <w:r>
        <w:rPr>
          <w:rtl w:val="true"/>
        </w:rPr>
        <w:t>]</w:t>
      </w:r>
      <w:bookmarkEnd w:id="66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تلف المغصوب و تنازع المالک و الغاصب فی القیمة و لم تکن بیّنة فالقول قول الغاصب </w:t>
      </w:r>
      <w:r>
        <w:rPr>
          <w:rStyle w:val="FootnoteAnchor"/>
          <w:rtl w:val="true"/>
        </w:rPr>
        <w:footnoteReference w:id="1738"/>
      </w:r>
      <w:r>
        <w:rPr>
          <w:rFonts w:ascii="IRNazanin" w:hAnsi="IRNazanin" w:eastAsia="IRNazanin"/>
          <w:color w:val="111111"/>
          <w:sz w:val="28"/>
          <w:sz w:val="28"/>
          <w:szCs w:val="28"/>
          <w:rtl w:val="true"/>
          <w:lang w:bidi="fa-IR"/>
        </w:rPr>
        <w:t>مع یمینه، و کذا لو تنازعا فی صفة تزید بها الثمن؛ بأن ادّعی المالک وجود تلک الصفة فیه یوم غصبه، أو حدوثها بعده و إن زالت فیما بعد و أنکره الغاصب و لم یکن بیّنة، فالقول قول الغاصب مع یمینه</w:t>
      </w:r>
      <w:r>
        <w:rPr>
          <w:rFonts w:eastAsia="IRNazanin" w:cs="IRNazanin"/>
          <w:color w:val="111111"/>
          <w:sz w:val="28"/>
          <w:szCs w:val="28"/>
          <w:rtl w:val="true"/>
          <w:lang w:bidi="fa-IR"/>
        </w:rPr>
        <w:t>.</w:t>
      </w:r>
    </w:p>
    <w:p>
      <w:pPr>
        <w:pStyle w:val="Heading3"/>
        <w:numPr>
          <w:ilvl w:val="2"/>
          <w:numId w:val="1"/>
        </w:numPr>
        <w:rPr/>
      </w:pPr>
      <w:bookmarkStart w:id="6679" w:name="__RefHeading___Toc2571022_3650668749"/>
      <w:bookmarkStart w:id="6680" w:name="_Toc3020"/>
      <w:bookmarkEnd w:id="6679"/>
      <w:r>
        <w:rPr>
          <w:rtl w:val="true"/>
        </w:rPr>
        <w:t>[ (</w:t>
      </w:r>
      <w:r>
        <w:rPr>
          <w:rtl w:val="true"/>
        </w:rPr>
        <w:t xml:space="preserve">مسألة </w:t>
      </w:r>
      <w:r>
        <w:rPr/>
        <w:t>74</w:t>
      </w:r>
      <w:r>
        <w:rPr>
          <w:rtl w:val="true"/>
        </w:rPr>
        <w:t xml:space="preserve">): </w:t>
      </w:r>
      <w:r>
        <w:rPr>
          <w:rtl w:val="true"/>
        </w:rPr>
        <w:t>إذا کان علی العبد المغصوب الذی تحت ید الغاصب ثوب أو خاتم</w:t>
      </w:r>
      <w:r>
        <w:rPr>
          <w:rtl w:val="true"/>
        </w:rPr>
        <w:t>]</w:t>
      </w:r>
      <w:bookmarkEnd w:id="6680"/>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العبد المغصوب الذی تحت ید الغاصب ثوب أو خاتم مثلًا أو علی الدابّة المغصوبة رحل، أو علّق بها حبل، و اختلفا فیما علیهما فقال المغصوب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 و قال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 و لم تکن بیّنة فالقول قول الغاصب مع یمینه؛ لکونه ذا ید فعلیّة علیه</w:t>
      </w:r>
      <w:r>
        <w:rPr>
          <w:rFonts w:eastAsia="IRNazanin" w:cs="IRNazanin"/>
          <w:color w:val="111111"/>
          <w:sz w:val="28"/>
          <w:szCs w:val="28"/>
          <w:rtl w:val="true"/>
          <w:lang w:bidi="fa-IR"/>
        </w:rPr>
        <w:t>.</w:t>
      </w:r>
      <w:bookmarkStart w:id="6681" w:name="pg1809_19759"/>
    </w:p>
    <w:p>
      <w:pPr>
        <w:pStyle w:val="Heading2"/>
        <w:numPr>
          <w:ilvl w:val="1"/>
          <w:numId w:val="1"/>
        </w:numPr>
        <w:rPr/>
      </w:pPr>
      <w:bookmarkStart w:id="6682" w:name="__RefHeading___Toc2571024_3650668749"/>
      <w:bookmarkStart w:id="6683" w:name="_Toc3021"/>
      <w:bookmarkEnd w:id="6681"/>
      <w:bookmarkEnd w:id="6682"/>
      <w:r>
        <w:rPr>
          <w:rtl w:val="true"/>
        </w:rPr>
        <w:t>[</w:t>
      </w:r>
      <w:r>
        <w:rPr>
          <w:rtl w:val="true"/>
        </w:rPr>
        <w:t>کتاب إحیاء الموات و المشترکات</w:t>
      </w:r>
      <w:r>
        <w:rPr>
          <w:rtl w:val="true"/>
        </w:rPr>
        <w:t>]</w:t>
      </w:r>
      <w:bookmarkEnd w:id="6683"/>
    </w:p>
    <w:p>
      <w:pPr>
        <w:pStyle w:val="Heading3"/>
        <w:numPr>
          <w:ilvl w:val="2"/>
          <w:numId w:val="1"/>
        </w:numPr>
        <w:rPr/>
      </w:pPr>
      <w:bookmarkStart w:id="6684" w:name="__RefHeading___Toc2571026_3650668749"/>
      <w:bookmarkStart w:id="6685" w:name="_Toc3022"/>
      <w:bookmarkEnd w:id="6684"/>
      <w:r>
        <w:rPr>
          <w:rtl w:val="true"/>
        </w:rPr>
        <w:t>اشارة</w:t>
      </w:r>
      <w:bookmarkEnd w:id="6685"/>
    </w:p>
    <w:p>
      <w:pPr>
        <w:pStyle w:val="BookText"/>
        <w:rPr/>
      </w:pPr>
      <w:r>
        <w:rPr>
          <w:rFonts w:ascii="IRNazanin" w:hAnsi="IRNazanin" w:eastAsia="IRNazanin"/>
          <w:color w:val="111111"/>
          <w:sz w:val="28"/>
          <w:sz w:val="28"/>
          <w:szCs w:val="28"/>
          <w:rtl w:val="true"/>
          <w:lang w:bidi="fa-IR"/>
        </w:rPr>
        <w:t>کتاب إحیاء الموات و المشترکات</w:t>
      </w:r>
    </w:p>
    <w:p>
      <w:pPr>
        <w:pStyle w:val="Heading3"/>
        <w:numPr>
          <w:ilvl w:val="2"/>
          <w:numId w:val="1"/>
        </w:numPr>
        <w:rPr/>
      </w:pPr>
      <w:bookmarkStart w:id="6686" w:name="__RefHeading___Toc2571028_3650668749"/>
      <w:bookmarkStart w:id="6687" w:name="_Toc3023"/>
      <w:bookmarkEnd w:id="6686"/>
      <w:r>
        <w:rPr>
          <w:rtl w:val="true"/>
        </w:rPr>
        <w:t>[</w:t>
      </w:r>
      <w:r>
        <w:rPr>
          <w:rtl w:val="true"/>
        </w:rPr>
        <w:t>القول فی إحیاء الموات</w:t>
      </w:r>
      <w:r>
        <w:rPr>
          <w:rtl w:val="true"/>
        </w:rPr>
        <w:t>]</w:t>
      </w:r>
      <w:bookmarkEnd w:id="6687"/>
    </w:p>
    <w:p>
      <w:pPr>
        <w:pStyle w:val="Heading4"/>
        <w:numPr>
          <w:ilvl w:val="3"/>
          <w:numId w:val="1"/>
        </w:numPr>
        <w:rPr/>
      </w:pPr>
      <w:bookmarkStart w:id="6688" w:name="__RefHeading___Toc2571030_3650668749"/>
      <w:bookmarkStart w:id="6689" w:name="_Toc3024"/>
      <w:bookmarkEnd w:id="6688"/>
      <w:r>
        <w:rPr>
          <w:rtl w:val="true"/>
        </w:rPr>
        <w:t>اشارة</w:t>
      </w:r>
      <w:bookmarkEnd w:id="6689"/>
    </w:p>
    <w:p>
      <w:pPr>
        <w:pStyle w:val="BookText"/>
        <w:rPr/>
      </w:pPr>
      <w:r>
        <w:rPr>
          <w:rFonts w:ascii="IRNazanin" w:hAnsi="IRNazanin" w:eastAsia="IRNazanin"/>
          <w:color w:val="111111"/>
          <w:sz w:val="28"/>
          <w:sz w:val="28"/>
          <w:szCs w:val="28"/>
          <w:rtl w:val="true"/>
          <w:lang w:bidi="fa-IR"/>
        </w:rPr>
        <w:t>القول فی إحیاء الموات الموات هی الأرض العطلة التی لا ینتفع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لانقطاع الماء عنها، أو لاستیلاء المیاه و الرمول أو السبخ أو الأحجار علیها، أو لاستئجامها و التفاف القصب و الأشجار بها، أو لغیر ذلک، و 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الموات بالأصل، و هو ما لم یعلم مسبوقیّته بالملک و الإحیاء، أو علم عدم مسبوقیّته بهما کأکثر المفاوز </w:t>
      </w:r>
      <w:r>
        <w:rPr>
          <w:rStyle w:val="FootnoteAnchor"/>
          <w:rtl w:val="true"/>
        </w:rPr>
        <w:footnoteReference w:id="1739"/>
      </w:r>
      <w:r>
        <w:rPr>
          <w:rFonts w:ascii="IRNazanin" w:hAnsi="IRNazanin" w:eastAsia="IRNazanin"/>
          <w:color w:val="111111"/>
          <w:sz w:val="28"/>
          <w:sz w:val="28"/>
          <w:szCs w:val="28"/>
          <w:rtl w:val="true"/>
          <w:lang w:bidi="fa-IR"/>
        </w:rPr>
        <w:t>و البراری و البوادی و صفحات الجبال و أذیالها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الموات بالعارض، و هو ما عرض علیه الخراب و الموتان بعد الحیاة و العمران، کالأراضی الدارسة التی بها آثار المرور و الأنهار و القری الخربة التی بقیت منها رسوم العمارة</w:t>
      </w:r>
      <w:r>
        <w:rPr>
          <w:rFonts w:eastAsia="IRNazanin" w:cs="IRNazanin"/>
          <w:color w:val="111111"/>
          <w:sz w:val="28"/>
          <w:szCs w:val="28"/>
          <w:rtl w:val="true"/>
          <w:lang w:bidi="fa-IR"/>
        </w:rPr>
        <w:t>.</w:t>
      </w:r>
    </w:p>
    <w:p>
      <w:pPr>
        <w:pStyle w:val="Heading4"/>
        <w:numPr>
          <w:ilvl w:val="3"/>
          <w:numId w:val="1"/>
        </w:numPr>
        <w:rPr/>
      </w:pPr>
      <w:bookmarkStart w:id="6690" w:name="__RefHeading___Toc2571032_3650668749"/>
      <w:bookmarkStart w:id="6691" w:name="_Toc3025"/>
      <w:bookmarkEnd w:id="6690"/>
      <w:r>
        <w:rPr>
          <w:rtl w:val="true"/>
        </w:rPr>
        <w:t>[ (</w:t>
      </w:r>
      <w:r>
        <w:rPr>
          <w:rtl w:val="true"/>
        </w:rPr>
        <w:t xml:space="preserve">مسألة </w:t>
      </w:r>
      <w:r>
        <w:rPr/>
        <w:t>1</w:t>
      </w:r>
      <w:r>
        <w:rPr>
          <w:rtl w:val="true"/>
        </w:rPr>
        <w:t xml:space="preserve">): </w:t>
      </w:r>
      <w:r>
        <w:rPr>
          <w:rtl w:val="true"/>
        </w:rPr>
        <w:t xml:space="preserve">الموات بالأصل و إن کان ملکاً للإمام </w:t>
      </w:r>
      <w:r>
        <w:rPr>
          <w:rtl w:val="true"/>
        </w:rPr>
        <w:t>(</w:t>
      </w:r>
      <w:r>
        <w:rPr>
          <w:rtl w:val="true"/>
        </w:rPr>
        <w:t>علیه السّلام</w:t>
      </w:r>
      <w:r>
        <w:rPr>
          <w:rtl w:val="true"/>
        </w:rPr>
        <w:t>)]</w:t>
      </w:r>
      <w:bookmarkEnd w:id="66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الموات بالأصل و إن کان ملکاً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من الأنفال کما مرّ فی کتاب الخمس لکن یجوز فی زمان الغیبة لکلّ أحد إحیاؤه مع الشروط الآتیة و القیام بعمارته، و یملکه المحیی علی الأقویٰ؛ سواء کان فی دار الإسلام أو فی دار الکفر، و سواء کان فی أرض الخراج کأرض العراق أو فی غیرها، و سواء کان المحیی مسلماً أو کافراً</w:t>
      </w:r>
      <w:r>
        <w:rPr>
          <w:rFonts w:eastAsia="IRNazanin" w:cs="IRNazanin"/>
          <w:color w:val="111111"/>
          <w:sz w:val="28"/>
          <w:szCs w:val="28"/>
          <w:rtl w:val="true"/>
          <w:lang w:bidi="fa-IR"/>
        </w:rPr>
        <w:t>.</w:t>
      </w:r>
    </w:p>
    <w:p>
      <w:pPr>
        <w:pStyle w:val="Heading4"/>
        <w:numPr>
          <w:ilvl w:val="3"/>
          <w:numId w:val="1"/>
        </w:numPr>
        <w:rPr/>
      </w:pPr>
      <w:bookmarkStart w:id="6692" w:name="__RefHeading___Toc2571034_3650668749"/>
      <w:bookmarkStart w:id="6693" w:name="_Toc3026"/>
      <w:bookmarkEnd w:id="6692"/>
      <w:r>
        <w:rPr>
          <w:rtl w:val="true"/>
        </w:rPr>
        <w:t>[ (</w:t>
      </w:r>
      <w:r>
        <w:rPr>
          <w:rtl w:val="true"/>
        </w:rPr>
        <w:t xml:space="preserve">مسألة </w:t>
      </w:r>
      <w:r>
        <w:rPr/>
        <w:t>2</w:t>
      </w:r>
      <w:r>
        <w:rPr>
          <w:rtl w:val="true"/>
        </w:rPr>
        <w:t xml:space="preserve">): </w:t>
      </w:r>
      <w:r>
        <w:rPr>
          <w:rtl w:val="true"/>
        </w:rPr>
        <w:t>الموات بالعارض الذی کان مسبوقاً بالملک و الإحیاء</w:t>
      </w:r>
      <w:r>
        <w:rPr>
          <w:rtl w:val="true"/>
        </w:rPr>
        <w:t>]</w:t>
      </w:r>
      <w:bookmarkEnd w:id="66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الموات بالعارض الذی کان مسبوقاً بالملک و الإحیاء إذا لم یکن له مالک معروف علیٰ قسمین</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باد أهلها و صارت بسبب مرور الزمان و تقادم الأیّام بلا مالک، و ذلک کالأراضی الدارسة و القریٰ و البلاد الخربة و القنوات الطامسة التی کانت للُامم الماضین الذین لم یبق منهم اسم و لا رسم، أو نسبت إلیٰ أقوام أو أشخاص لم یعرف منهم إلّا الاسم</w:t>
      </w:r>
      <w:r>
        <w:rPr>
          <w:rFonts w:eastAsia="IRNazanin" w:cs="IRNazanin"/>
          <w:color w:val="111111"/>
          <w:sz w:val="28"/>
          <w:szCs w:val="28"/>
          <w:rtl w:val="true"/>
          <w:lang w:bidi="fa-IR"/>
        </w:rPr>
        <w:t>.</w:t>
      </w:r>
      <w:bookmarkStart w:id="6694" w:name="pg1809_19761"/>
    </w:p>
    <w:p>
      <w:pPr>
        <w:pStyle w:val="BookText"/>
        <w:rPr/>
      </w:pPr>
      <w:bookmarkEnd w:id="6694"/>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کذلک و لم تکن بحیث عدّت بلا مالک، بل کانت لمالک موجود و لم یعرف شخصه و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بحکم الموات بالأصل فی کونه من الأنفال، و أنّه یجوز إحیاؤه و یملکه المحیی، فیجوز إحیاء الأراضی الدارسة التی بقیت فیها آثار الأنهار و السواقی و المروز و تنقیة القنوات و الآبار المطمومة و تعمیر الخربة من القری و البلاد القدیمة التی بقیت بلا مالک، و لا یعامل معها معاملة مجهول المالک، و لا یحتاج إلی الإذن من حاکم الشرع أو الشراء منه، بل یملکها المحیی و المعمّر بنفس الإحیاء و التعمیر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w:t>
      </w:r>
      <w:r>
        <w:rPr>
          <w:rStyle w:val="FootnoteAnchor"/>
          <w:rtl w:val="true"/>
        </w:rPr>
        <w:footnoteReference w:id="1740"/>
      </w:r>
      <w:r>
        <w:rPr>
          <w:rFonts w:ascii="IRNazanin" w:hAnsi="IRNazanin" w:eastAsia="IRNazanin"/>
          <w:color w:val="111111"/>
          <w:sz w:val="28"/>
          <w:sz w:val="28"/>
          <w:szCs w:val="28"/>
          <w:rtl w:val="true"/>
          <w:lang w:bidi="fa-IR"/>
        </w:rPr>
        <w:t>فی جواز إحیائه و القیام بتعمیره و التصرّف فیه بأنواع التصرّفات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یملکه المحیی عیناً و منفعة و لیس علیه شی‌ء إلّا الزکاة عند اجتماع شرائطها کالقسم الأوّل أم لا؟ ظاهر المشهور هو الأوّل، لکنّه لا یخلو من إشکال، فالأحوط أن یتفحّص عن صاحبه و بعد الیأس عنه یعامل معه معاملة مجهول المالک، فإمّا أن یشتری عینها من حاکم الشرع و یصرف ثمنها علی الفقراء، و إمّا أن یستأجرها منه بأُجرة معیّنة أو یقدّر ما هو اجرة مثلها لو انتفع بها و یتصدّق بها علی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أنّ مالکها قد أعرض عنها أو انجلیٰ عنها أهلها و ترکوها لقوم آخرین، جاز إحیاؤها و تملّکها بلا إشکال</w:t>
      </w:r>
      <w:r>
        <w:rPr>
          <w:rFonts w:eastAsia="IRNazanin" w:cs="IRNazanin"/>
          <w:color w:val="111111"/>
          <w:sz w:val="28"/>
          <w:szCs w:val="28"/>
          <w:rtl w:val="true"/>
          <w:lang w:bidi="fa-IR"/>
        </w:rPr>
        <w:t>.</w:t>
      </w:r>
    </w:p>
    <w:p>
      <w:pPr>
        <w:pStyle w:val="Heading4"/>
        <w:numPr>
          <w:ilvl w:val="3"/>
          <w:numId w:val="1"/>
        </w:numPr>
        <w:rPr/>
      </w:pPr>
      <w:bookmarkStart w:id="6695" w:name="__RefHeading___Toc2571036_3650668749"/>
      <w:bookmarkStart w:id="6696" w:name="_Toc3027"/>
      <w:bookmarkEnd w:id="6695"/>
      <w:r>
        <w:rPr>
          <w:rtl w:val="true"/>
        </w:rPr>
        <w:t>[ (</w:t>
      </w:r>
      <w:r>
        <w:rPr>
          <w:rtl w:val="true"/>
        </w:rPr>
        <w:t xml:space="preserve">مسألة </w:t>
      </w:r>
      <w:r>
        <w:rPr/>
        <w:t>3</w:t>
      </w:r>
      <w:r>
        <w:rPr>
          <w:rtl w:val="true"/>
        </w:rPr>
        <w:t xml:space="preserve">): </w:t>
      </w:r>
      <w:r>
        <w:rPr>
          <w:rtl w:val="true"/>
        </w:rPr>
        <w:t>إذا کان ما طرأ علیه الخراب لمالک معلوم، فإن أعرض عنه مالکه</w:t>
      </w:r>
      <w:r>
        <w:rPr>
          <w:rtl w:val="true"/>
        </w:rPr>
        <w:t>]</w:t>
      </w:r>
      <w:bookmarkEnd w:id="6696"/>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 طرأ علیه الخراب لمالک معلوم، فإن أعرض عنه مالکه، کان لکلّ أحد إحیاؤه و تملّکه، و إن لم یعرض عنه، فإن أبقاه مواتاً للانتفاع بها فی تلک الحال من جهة تعلیف دوابّه أو بیع حشیشه أو قصبة و نحو ذلک فربّما ینتفع منها مواتاً أکثر ممّا ینتفع منها محیاة فلا إشکال فی أنّه لا یجوز لأحد إحیاؤها و التصرّف فیها بدون إذن مالکها، و کذا فیما إذا کان مهتمّاً بإحیائها عازماً علیه و إنّما أخّر الاشتغال به لجمع الآلات و تهیئة الأسباب المتوقّعة الحصول أو لانتظار وقت صالح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ترک تعمیر الأرض و إصلاحها و أبقاها إلی الخراب؛ من جهة عدم الاعتناء بشأنها و عدم الاهتمام و الالتفات إلیٰ</w:t>
      </w:r>
      <w:bookmarkStart w:id="6697" w:name="pg1809_19763"/>
    </w:p>
    <w:p>
      <w:pPr>
        <w:pStyle w:val="BookText"/>
        <w:rPr/>
      </w:pPr>
      <w:bookmarkEnd w:id="6697"/>
      <w:r>
        <w:rPr>
          <w:rFonts w:ascii="IRNazanin" w:hAnsi="IRNazanin" w:eastAsia="IRNazanin"/>
          <w:color w:val="111111"/>
          <w:sz w:val="28"/>
          <w:sz w:val="28"/>
          <w:szCs w:val="28"/>
          <w:rtl w:val="true"/>
          <w:lang w:bidi="fa-IR"/>
        </w:rPr>
        <w:t xml:space="preserve">مرمّتها و عدم عزمه علیٰ إحیائها إمّا لعدم حاجته إلیها أو لاشتغاله بتعمیر غیرها فبقیت مهجورة مدّة معتدّاً بها حتّی آل إلی الخراب، فإن کان سبب ملک المالک غیر الإحیاء مثل أنّه ملکها بالإرث أو الشراء، فلیس لأحد وضع الید علیها و إحیاؤها و التصرّف فیها إلّا بإذن مالکها، و لو أحیاها أحد و تصرّف فیها و انتفع بها بزرع أو غیره فعلیه أُجرتها لمالکها، و إن کان سبب ملکه الإحیاء بأن کانت أرضاً مواتاً بالأصل، فأحیاها و ملکها ثمّ بعد ذلک عطّلها و ترک تعمیرها حتّی آلت إلی الخراب، فالظاهر </w:t>
      </w:r>
      <w:r>
        <w:rPr>
          <w:rStyle w:val="FootnoteAnchor"/>
          <w:rtl w:val="true"/>
        </w:rPr>
        <w:footnoteReference w:id="1741"/>
      </w:r>
      <w:r>
        <w:rPr>
          <w:rFonts w:ascii="IRNazanin" w:hAnsi="IRNazanin" w:eastAsia="IRNazanin"/>
          <w:color w:val="111111"/>
          <w:sz w:val="28"/>
          <w:sz w:val="28"/>
          <w:szCs w:val="28"/>
          <w:rtl w:val="true"/>
          <w:lang w:bidi="fa-IR"/>
        </w:rPr>
        <w:t>أنّه یجوز إحیاؤها لغیره، فلو أحیاها غیره و عمّرها کان الثانی أحقّ بها من الأوّل و لیس للأوّل انتزاعها من یده، و إن کان الأحوط أنّه لو رجع الأوّل إلیه أعطی حقّه إلیه و لم یتصرّف فیها إلّا بإذنه</w:t>
      </w:r>
      <w:r>
        <w:rPr>
          <w:rFonts w:eastAsia="IRNazanin" w:cs="IRNazanin"/>
          <w:color w:val="111111"/>
          <w:sz w:val="28"/>
          <w:szCs w:val="28"/>
          <w:rtl w:val="true"/>
          <w:lang w:bidi="fa-IR"/>
        </w:rPr>
        <w:t>.</w:t>
      </w:r>
    </w:p>
    <w:p>
      <w:pPr>
        <w:pStyle w:val="Heading4"/>
        <w:numPr>
          <w:ilvl w:val="3"/>
          <w:numId w:val="1"/>
        </w:numPr>
        <w:rPr/>
      </w:pPr>
      <w:bookmarkStart w:id="6698" w:name="__RefHeading___Toc2571038_3650668749"/>
      <w:bookmarkStart w:id="6699" w:name="_Toc3028"/>
      <w:bookmarkEnd w:id="6698"/>
      <w:r>
        <w:rPr>
          <w:rtl w:val="true"/>
        </w:rPr>
        <w:t>[ (</w:t>
      </w:r>
      <w:r>
        <w:rPr>
          <w:rtl w:val="true"/>
        </w:rPr>
        <w:t xml:space="preserve">مسألة </w:t>
      </w:r>
      <w:r>
        <w:rPr/>
        <w:t>4</w:t>
      </w:r>
      <w:r>
        <w:rPr>
          <w:rtl w:val="true"/>
        </w:rPr>
        <w:t xml:space="preserve">): </w:t>
      </w:r>
      <w:r>
        <w:rPr>
          <w:rtl w:val="true"/>
        </w:rPr>
        <w:t>کما یجوز إحیاء القری الدارسة و البلاد القدیمة التی باد أهلها و صارت بلا مالک</w:t>
      </w:r>
      <w:r>
        <w:rPr>
          <w:rtl w:val="true"/>
        </w:rPr>
        <w:t>]</w:t>
      </w:r>
      <w:bookmarkEnd w:id="6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إحیاء القری الدارسة و البلاد القدیمة التی باد أهلها و صارت بلا مالک بجعلها مزرعاً أو مسکناً أو غیرهما، کذا یجوز حیازة أجزائها الباقیة من أحجارها و أخشابها و آجرها و غیرها و یملکها الحائز إذا أخذها بقصد التملّک</w:t>
      </w:r>
      <w:r>
        <w:rPr>
          <w:rFonts w:eastAsia="IRNazanin" w:cs="IRNazanin"/>
          <w:color w:val="111111"/>
          <w:sz w:val="28"/>
          <w:szCs w:val="28"/>
          <w:rtl w:val="true"/>
          <w:lang w:bidi="fa-IR"/>
        </w:rPr>
        <w:t>.</w:t>
      </w:r>
    </w:p>
    <w:p>
      <w:pPr>
        <w:pStyle w:val="Heading4"/>
        <w:numPr>
          <w:ilvl w:val="3"/>
          <w:numId w:val="1"/>
        </w:numPr>
        <w:rPr/>
      </w:pPr>
      <w:bookmarkStart w:id="6700" w:name="__RefHeading___Toc2571040_3650668749"/>
      <w:bookmarkStart w:id="6701" w:name="_Toc3029"/>
      <w:bookmarkEnd w:id="6700"/>
      <w:r>
        <w:rPr>
          <w:rtl w:val="true"/>
        </w:rPr>
        <w:t>[ (</w:t>
      </w:r>
      <w:r>
        <w:rPr>
          <w:rtl w:val="true"/>
        </w:rPr>
        <w:t xml:space="preserve">مسألة </w:t>
      </w:r>
      <w:r>
        <w:rPr/>
        <w:t>5</w:t>
      </w:r>
      <w:r>
        <w:rPr>
          <w:rtl w:val="true"/>
        </w:rPr>
        <w:t xml:space="preserve">): </w:t>
      </w:r>
      <w:r>
        <w:rPr>
          <w:rtl w:val="true"/>
        </w:rPr>
        <w:t>لو کانت الأرض موقوفة و طرأها الموتان و الخراب</w:t>
      </w:r>
      <w:r>
        <w:rPr>
          <w:rtl w:val="true"/>
        </w:rPr>
        <w:t>]</w:t>
      </w:r>
      <w:bookmarkEnd w:id="6701"/>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الأرض موقوفة و طرأها الموتان و الخراب، فإن کانت من الموقوفات القدیمة الدارسة التی لم یعلم کیفیّة وقفها و أنّها خاصّ أو عامّ أو وقف علی الجهات، و لم یعلم من الاستفاضة و الشهرة غیر کونها وقفاً علیٰ أقوام ماضین لم یبق منهم اسم و لا رسم، أو قبیله لم یعرف منهم إلّا الاسم، فالظاهر أنّها من الأنفال فیجوز إحیاؤها، کما إذا کان الموات المسبوق بالملک علیٰ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علم أنّها وقف علی الجهات و لم تتعیّن؛ بأن علم أنّها وقف إمّا علیٰ مسجد أو مشهد أو مقبرة أو مدرسة أو غیرها و لم یعلمها بعینها، أو علم أنّها وقف علیٰ أشخاص لم یعرفهم بأشخاصهم أو أعیانهم کما إذا علم أنّ مالکها قد وقفها علیٰ ذرّیّته و لم یعلم من الواقف و من الذرّیّة، فالظاهر أنّ ذلک بحکم الموات المجهول المالک الذی نسب إلی المشهور القول بأنّه من الأنفال، و قد مرّ ما فیه من الإشکال، بل القول به هنا أشکل فالأحوط القیام </w:t>
      </w:r>
      <w:r>
        <w:rPr>
          <w:rStyle w:val="FootnoteAnchor"/>
          <w:rtl w:val="true"/>
        </w:rPr>
        <w:footnoteReference w:id="1742"/>
      </w:r>
      <w:r>
        <w:rPr>
          <w:rFonts w:ascii="IRNazanin" w:hAnsi="IRNazanin" w:eastAsia="IRNazanin"/>
          <w:color w:val="111111"/>
          <w:sz w:val="28"/>
          <w:sz w:val="28"/>
          <w:szCs w:val="28"/>
          <w:rtl w:val="true"/>
          <w:lang w:bidi="fa-IR"/>
        </w:rPr>
        <w:t>بإحیائها</w:t>
      </w:r>
      <w:bookmarkStart w:id="6702" w:name="pg1809_19765"/>
    </w:p>
    <w:p>
      <w:pPr>
        <w:pStyle w:val="BookText"/>
        <w:rPr/>
      </w:pPr>
      <w:bookmarkEnd w:id="6702"/>
      <w:r>
        <w:rPr>
          <w:rFonts w:ascii="IRNazanin" w:hAnsi="IRNazanin" w:eastAsia="IRNazanin"/>
          <w:color w:val="111111"/>
          <w:sz w:val="28"/>
          <w:sz w:val="28"/>
          <w:szCs w:val="28"/>
          <w:rtl w:val="true"/>
          <w:lang w:bidi="fa-IR"/>
        </w:rPr>
        <w:t>و تعمیرها و التصرّف فیها و الانتفاع بها بزرع أو غیره، و أن یصرف اجرة مثلها فی الأوّل فی وجوه البرّ و فی الثانی علی الفقراء، بل الأحوط خصوصاً فی الأوّل مراجعة حاکم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طرأ الموتان علی الوقف الذی علم مصرفه، أو الموقوف علیهم، فلا ینبغی الإشکال فی أنّه لو أحیاه </w:t>
      </w:r>
      <w:r>
        <w:rPr>
          <w:rStyle w:val="FootnoteAnchor"/>
          <w:rtl w:val="true"/>
        </w:rPr>
        <w:footnoteReference w:id="1743"/>
      </w:r>
      <w:r>
        <w:rPr>
          <w:rFonts w:ascii="IRNazanin" w:hAnsi="IRNazanin" w:eastAsia="IRNazanin"/>
          <w:color w:val="111111"/>
          <w:sz w:val="28"/>
          <w:sz w:val="28"/>
          <w:szCs w:val="28"/>
          <w:rtl w:val="true"/>
          <w:lang w:bidi="fa-IR"/>
        </w:rPr>
        <w:t>أحد و عمّره وجب علیه صرف منفعته فی مصرفه المعلوم فی الأوّل، و دفعها و إیصالها إلی الموقوف علیهم المعلومین فی الثانی، و إن کان المتولّی أو الموقوف علیهم تارکین إصلاحه و تعمیره و مرمّته إلی أن آل إلی الخراب</w:t>
      </w:r>
      <w:r>
        <w:rPr>
          <w:rFonts w:eastAsia="IRNazanin" w:cs="IRNazanin"/>
          <w:color w:val="111111"/>
          <w:sz w:val="28"/>
          <w:szCs w:val="28"/>
          <w:rtl w:val="true"/>
          <w:lang w:bidi="fa-IR"/>
        </w:rPr>
        <w:t>.</w:t>
      </w:r>
    </w:p>
    <w:p>
      <w:pPr>
        <w:pStyle w:val="Heading4"/>
        <w:numPr>
          <w:ilvl w:val="3"/>
          <w:numId w:val="1"/>
        </w:numPr>
        <w:rPr/>
      </w:pPr>
      <w:bookmarkStart w:id="6703" w:name="__RefHeading___Toc2571042_3650668749"/>
      <w:bookmarkStart w:id="6704" w:name="_Toc3030"/>
      <w:bookmarkEnd w:id="6703"/>
      <w:r>
        <w:rPr>
          <w:rtl w:val="true"/>
        </w:rPr>
        <w:t>[ (</w:t>
      </w:r>
      <w:r>
        <w:rPr>
          <w:rtl w:val="true"/>
        </w:rPr>
        <w:t xml:space="preserve">مسألة </w:t>
      </w:r>
      <w:r>
        <w:rPr/>
        <w:t>6</w:t>
      </w:r>
      <w:r>
        <w:rPr>
          <w:rtl w:val="true"/>
        </w:rPr>
        <w:t xml:space="preserve">): </w:t>
      </w:r>
      <w:r>
        <w:rPr>
          <w:rtl w:val="true"/>
        </w:rPr>
        <w:t>إذا کانت الموات بالأصل حریماً لعامر مملوک، لا یجوز لغیر مالکه إحیاؤه</w:t>
      </w:r>
      <w:r>
        <w:rPr>
          <w:rtl w:val="true"/>
        </w:rPr>
        <w:t>]</w:t>
      </w:r>
      <w:bookmarkEnd w:id="67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الموات بالأصل حریماً لعامر مملوک، لا یجوز لغیر مالکه إحیاؤه، و إن أحیاه لم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أحیی مواتاً لإحداث شی‌ء؛ من دار أو بستان أو مزرع أو غیرها، تبع ذلک الشی‌ء الذی أحدثه مقدار من الأرض الموات القریبة من ذلک الشی‌ء الحادث، ممّا یحتاج إلیها لتمام الانتفاع به، و یتعلّق بمصالحه عادة، و یسمّی ذلک المقدار التابع حریماً لذلک المتبوع، و یختلف مقدار الحریم زیادة و نقیصة باختلاف ذی الحریم، و ذلک من جهة تفاوت الأشیاء فی المصالح و المرافق المحتاج إلیها، فما یحتاج إلیه الدار من المرافق بحسب العادة غیر ما یحتاج إلیه البئر و النهر مثلًا و هکذا باقی الأشیاء، بل یختلف ذلک باختلاف البلاد و العادات أیضاً، فإذا أراد شخص إحیاء حوالی ماله الحریم، لا یجوز له إحیاء مقدار الحریم بدون إذن المالک و رضاه، و إن أحیاه لم یملکه و کان غاصباً</w:t>
      </w:r>
      <w:r>
        <w:rPr>
          <w:rFonts w:eastAsia="IRNazanin" w:cs="IRNazanin"/>
          <w:color w:val="111111"/>
          <w:sz w:val="28"/>
          <w:szCs w:val="28"/>
          <w:rtl w:val="true"/>
          <w:lang w:bidi="fa-IR"/>
        </w:rPr>
        <w:t>.</w:t>
      </w:r>
    </w:p>
    <w:p>
      <w:pPr>
        <w:pStyle w:val="Heading4"/>
        <w:numPr>
          <w:ilvl w:val="3"/>
          <w:numId w:val="1"/>
        </w:numPr>
        <w:rPr/>
      </w:pPr>
      <w:bookmarkStart w:id="6705" w:name="__RefHeading___Toc2571044_3650668749"/>
      <w:bookmarkStart w:id="6706" w:name="_Toc3031"/>
      <w:bookmarkEnd w:id="6705"/>
      <w:r>
        <w:rPr>
          <w:rtl w:val="true"/>
        </w:rPr>
        <w:t>[ (</w:t>
      </w:r>
      <w:r>
        <w:rPr>
          <w:rtl w:val="true"/>
        </w:rPr>
        <w:t xml:space="preserve">مسألة </w:t>
      </w:r>
      <w:r>
        <w:rPr/>
        <w:t>7</w:t>
      </w:r>
      <w:r>
        <w:rPr>
          <w:rtl w:val="true"/>
        </w:rPr>
        <w:t xml:space="preserve">): </w:t>
      </w:r>
      <w:r>
        <w:rPr>
          <w:rtl w:val="true"/>
        </w:rPr>
        <w:t>حریم الدار</w:t>
      </w:r>
      <w:r>
        <w:rPr>
          <w:rtl w:val="true"/>
        </w:rPr>
        <w:t xml:space="preserve">: </w:t>
      </w:r>
      <w:r>
        <w:rPr>
          <w:rtl w:val="true"/>
        </w:rPr>
        <w:t>مطرح ترابها و کناستها و رمادها و مصبّ مائها</w:t>
      </w:r>
      <w:r>
        <w:rPr>
          <w:rtl w:val="true"/>
        </w:rPr>
        <w:t>]</w:t>
      </w:r>
      <w:bookmarkEnd w:id="6706"/>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ترابها و کناستها و رمادها و مصبّ مائها و مطرح ثلوجها و مسلک الدخول و الخروج منها فی الصوب الذی یفتح إلیه الباب، فلو بنیٰ داراً فی أرض موات تبعه هذا المقدار من الموات من حوالیها، فلیس لأحد أن یحیی هذا المقدار بدون رضا صاحب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من استحقاق الممرّ فی قبالة الباب استحقاقه علی الاستقامة و علی امتداد الموات، بل المراد أن یبقیٰ مسلک له یدخل و یخرج إلی الخارج بنفسه و عیاله</w:t>
      </w:r>
      <w:bookmarkStart w:id="6707" w:name="pg1809_19767"/>
    </w:p>
    <w:p>
      <w:pPr>
        <w:pStyle w:val="BookText"/>
        <w:rPr/>
      </w:pPr>
      <w:bookmarkEnd w:id="6707"/>
      <w:r>
        <w:rPr>
          <w:rFonts w:ascii="IRNazanin" w:hAnsi="IRNazanin" w:eastAsia="IRNazanin"/>
          <w:color w:val="111111"/>
          <w:sz w:val="28"/>
          <w:sz w:val="28"/>
          <w:szCs w:val="28"/>
          <w:rtl w:val="true"/>
          <w:lang w:bidi="fa-IR"/>
        </w:rPr>
        <w:t>و أضیافه و ما تعلّق به من دوابّه و أحماله و أثقاله بدون مشقّة بأیّ نحو کان، فیجوز لغیره إحیاء ما فی قبالة الباب من الموات إذا بقی له الممرّ و لو بانعطاف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حریم الحائط لو لم یکن من الدار بأن کان مثلًا جدار حصار أو بستان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 یحتاج إلیه لطرح التراب و الآلات و بلّ الطین لو انتقض و احتاج إلی البناء و الترمیم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حریم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مطرح طینه و ترابه إذا احتاج إلی التنقیة و المجاز علیٰ حافّتیه للمواظبة علیه و لإصلاحه علیٰ قدر ما یحتاج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حریم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یحتاج إلیه لأجل السقی منها و الانتفاع بها من الموضع الذی یقف فیه النازح إن کان الاستقاء منها بالید، و موضع الدولاب و متردّد البهیمة إن کان الاستقاء بهما، و مصبّ الماء و الموضع الذی یجتمع فیه لسقی الماشیة أو الزرع من حوض و نحوه، و الموضع الذی یطرح فیه ما یخرج منها من الطین و غیره لو اتّفق الاحتیاج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یحتاج إلیه لأجل الانتفاع بها، أو إصلاحها و حفظها علیٰ قیاس غیرها</w:t>
      </w:r>
      <w:r>
        <w:rPr>
          <w:rFonts w:eastAsia="IRNazanin" w:cs="IRNazanin"/>
          <w:color w:val="111111"/>
          <w:sz w:val="28"/>
          <w:szCs w:val="28"/>
          <w:rtl w:val="true"/>
          <w:lang w:bidi="fa-IR"/>
        </w:rPr>
        <w:t>.</w:t>
      </w:r>
    </w:p>
    <w:p>
      <w:pPr>
        <w:pStyle w:val="Heading4"/>
        <w:numPr>
          <w:ilvl w:val="3"/>
          <w:numId w:val="1"/>
        </w:numPr>
        <w:rPr/>
      </w:pPr>
      <w:bookmarkStart w:id="6708" w:name="__RefHeading___Toc2571046_3650668749"/>
      <w:bookmarkStart w:id="6709" w:name="_Toc3032"/>
      <w:bookmarkEnd w:id="6708"/>
      <w:r>
        <w:rPr>
          <w:rtl w:val="true"/>
        </w:rPr>
        <w:t>[ (</w:t>
      </w:r>
      <w:r>
        <w:rPr>
          <w:rtl w:val="true"/>
        </w:rPr>
        <w:t xml:space="preserve">مسألة </w:t>
      </w:r>
      <w:r>
        <w:rPr/>
        <w:t>8</w:t>
      </w:r>
      <w:r>
        <w:rPr>
          <w:rtl w:val="true"/>
        </w:rPr>
        <w:t xml:space="preserve">): </w:t>
      </w:r>
      <w:r>
        <w:rPr>
          <w:rtl w:val="true"/>
        </w:rPr>
        <w:t>لکلّ من البئر و العین و القناة أعنی بئرها الأخیرة</w:t>
      </w:r>
      <w:r>
        <w:rPr>
          <w:rtl w:val="true"/>
        </w:rPr>
        <w:t>]</w:t>
      </w:r>
      <w:bookmarkEnd w:id="6709"/>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من البئر و العین و القناة أعنی بئرها الأخیرة </w:t>
      </w:r>
      <w:r>
        <w:rPr>
          <w:rStyle w:val="FootnoteAnchor"/>
          <w:rtl w:val="true"/>
        </w:rPr>
        <w:footnoteReference w:id="1744"/>
      </w:r>
      <w:r>
        <w:rPr>
          <w:rFonts w:ascii="IRNazanin" w:hAnsi="IRNazanin" w:eastAsia="IRNazanin"/>
          <w:color w:val="111111"/>
          <w:sz w:val="28"/>
          <w:sz w:val="28"/>
          <w:szCs w:val="28"/>
          <w:rtl w:val="true"/>
          <w:lang w:bidi="fa-IR"/>
        </w:rPr>
        <w:t>التی هی منبع الماء و یقال لها بئر العین و أُمّ الآبار حریم آخر بمعنی آخر، و هو المقدار الذی لیس لأحد أن یحدث بئراً أو قناة أُخری فیما دون ذلک المقدار بدون إذن صاحبهما، و هو فی البئر أربعون ذراعاً إذا کان حفرها لأجل استقاء الماشیة من الإبل و نحوها منها، و ستّون ذراعاً إذا کان لأجل الزرع و غیره، فلو أحدث شخص بئراً فی موات من الأرض لم یکن لشخص آخر إحداث بئر أُخری فی جنبها بدون إذنه، بل ما لم یکن الفصل بینهما أربعین ذراعاً، أو ستّین فما زاد علیٰ ما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العین و القناة خمسمائة ذراع فی الأرض الصلبة، و ألف ذراع فی الأرض الرخوة، فإذا استنبط إنسان عیناً أو قناة فی أرض موات صلبة و أراد غیره حفر اخریٰ، تباعد عنه بخمسمائة ذراع، و إن کانت رخوة تباعد بألف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أنّ الثانیة تضرّ بالأُولیٰ و تنقص ماءها مع البعد المزبور، فالأحوط لو لم یکن الأقویٰ زیادة البعد بما یندفع به الضرر أو التراضی مع صاحب الاولیٰ</w:t>
      </w:r>
      <w:r>
        <w:rPr>
          <w:rFonts w:eastAsia="IRNazanin" w:cs="IRNazanin"/>
          <w:color w:val="111111"/>
          <w:sz w:val="28"/>
          <w:szCs w:val="28"/>
          <w:rtl w:val="true"/>
          <w:lang w:bidi="fa-IR"/>
        </w:rPr>
        <w:t>.</w:t>
      </w:r>
      <w:bookmarkStart w:id="6710" w:name="pg1809_19769"/>
    </w:p>
    <w:p>
      <w:pPr>
        <w:pStyle w:val="Heading4"/>
        <w:numPr>
          <w:ilvl w:val="3"/>
          <w:numId w:val="1"/>
        </w:numPr>
        <w:rPr/>
      </w:pPr>
      <w:bookmarkStart w:id="6711" w:name="__RefHeading___Toc2571048_3650668749"/>
      <w:bookmarkStart w:id="6712" w:name="_Toc3033"/>
      <w:bookmarkEnd w:id="6710"/>
      <w:bookmarkEnd w:id="6711"/>
      <w:r>
        <w:rPr>
          <w:rtl w:val="true"/>
        </w:rPr>
        <w:t>[ (</w:t>
      </w:r>
      <w:r>
        <w:rPr>
          <w:rtl w:val="true"/>
        </w:rPr>
        <w:t xml:space="preserve">مسألة </w:t>
      </w:r>
      <w:r>
        <w:rPr/>
        <w:t>9</w:t>
      </w:r>
      <w:r>
        <w:rPr>
          <w:rtl w:val="true"/>
        </w:rPr>
        <w:t xml:space="preserve">): </w:t>
      </w:r>
      <w:r>
        <w:rPr>
          <w:rtl w:val="true"/>
        </w:rPr>
        <w:t>اعتبار البعد المزبور فی القناة إنّما هو فی أحداث قناة أُخری</w:t>
      </w:r>
      <w:r>
        <w:rPr>
          <w:rtl w:val="true"/>
        </w:rPr>
        <w:t>]</w:t>
      </w:r>
      <w:bookmarkEnd w:id="67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البعد المزبور فی القناة إنّما هو فی أحداث قناة أُخری کما أشرنا إلیه آنفاً، و أمّا إحیاء الموات الذی فی حوالیها لزرع أو بناء أو غیرهما، فلا مانع منه إذا بقی من جوانبها مقدار تحتاج للنزح و الاستقاء أو الإصلاح و التنقیة و غیرهما ممّا ذکر فی مطلق البئر، بل لا مانع من إحیاء الموات الذی فوق الآبار و ما بینها إذا ابقی من أطراف حلقها مقدار ما یحتاج إلیه لمصالحها، فلیس لصاحب القناة المنع عن الإحیاء للزرع و غیره فوقها إذا لم یضرّ بها</w:t>
      </w:r>
      <w:r>
        <w:rPr>
          <w:rFonts w:eastAsia="IRNazanin" w:cs="IRNazanin"/>
          <w:color w:val="111111"/>
          <w:sz w:val="28"/>
          <w:szCs w:val="28"/>
          <w:rtl w:val="true"/>
          <w:lang w:bidi="fa-IR"/>
        </w:rPr>
        <w:t>.</w:t>
      </w:r>
    </w:p>
    <w:p>
      <w:pPr>
        <w:pStyle w:val="Heading4"/>
        <w:numPr>
          <w:ilvl w:val="3"/>
          <w:numId w:val="1"/>
        </w:numPr>
        <w:rPr/>
      </w:pPr>
      <w:bookmarkStart w:id="6713" w:name="__RefHeading___Toc2571050_3650668749"/>
      <w:bookmarkStart w:id="6714" w:name="_Toc3034"/>
      <w:bookmarkEnd w:id="6713"/>
      <w:r>
        <w:rPr>
          <w:rtl w:val="true"/>
        </w:rPr>
        <w:t>[ (</w:t>
      </w:r>
      <w:r>
        <w:rPr>
          <w:rtl w:val="true"/>
        </w:rPr>
        <w:t xml:space="preserve">مسألة </w:t>
      </w:r>
      <w:r>
        <w:rPr/>
        <w:t>10</w:t>
      </w:r>
      <w:r>
        <w:rPr>
          <w:rtl w:val="true"/>
        </w:rPr>
        <w:t xml:space="preserve">): </w:t>
      </w:r>
      <w:r>
        <w:rPr>
          <w:rtl w:val="true"/>
        </w:rPr>
        <w:t>الظاهر أنّ التباعد المزبور فی القناة</w:t>
      </w:r>
      <w:r>
        <w:rPr>
          <w:rtl w:val="true"/>
        </w:rPr>
        <w:t>]</w:t>
      </w:r>
      <w:bookmarkEnd w:id="6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Style w:val="FootnoteAnchor"/>
          <w:rtl w:val="true"/>
        </w:rPr>
        <w:footnoteReference w:id="1745"/>
      </w:r>
      <w:r>
        <w:rPr>
          <w:rFonts w:ascii="IRNazanin" w:hAnsi="IRNazanin" w:eastAsia="IRNazanin"/>
          <w:color w:val="111111"/>
          <w:sz w:val="28"/>
          <w:sz w:val="28"/>
          <w:szCs w:val="28"/>
          <w:rtl w:val="true"/>
          <w:lang w:bidi="fa-IR"/>
        </w:rPr>
        <w:t>أنّ التباعد المزبور فی القناة إنّما یلاحظ بالنسبة إلی البئر التی هی منبع الماء المسمّاة بأُمّ الآبار، فلا یجوز لأحد أن یحدث قناة أُخری یکون منبعها بعیداً عن منبع الأُخریٰ بأقلّ من خمسمائة أو ألف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الآبار الأُخر التی هی مجری الماء فلا یراعی الفصل المذکور بینها، فلو أحدث الثانی قناة فی أرض صلبة و کان منبعها بعیداً عن منبع الاولیٰ بخمسمائة ذراع، ثمّ تقارب فی الآبار الأُخر التی هی مجری الماء إلی الآبار الأُخر للأُخریٰ، إلیٰ أن صار بینها و بینها عشرة أذرع مثلًا لم یکن لصاحب الاولیٰ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أنّ قرب تلک الآبار أضرّ بتلک الآبار من جهة جذبها للماء الجاری فیها، أو من جهة أُخری تباعد بما یندفع به الضرر</w:t>
      </w:r>
      <w:r>
        <w:rPr>
          <w:rFonts w:eastAsia="IRNazanin" w:cs="IRNazanin"/>
          <w:color w:val="111111"/>
          <w:sz w:val="28"/>
          <w:szCs w:val="28"/>
          <w:rtl w:val="true"/>
          <w:lang w:bidi="fa-IR"/>
        </w:rPr>
        <w:t>.</w:t>
      </w:r>
    </w:p>
    <w:p>
      <w:pPr>
        <w:pStyle w:val="Heading4"/>
        <w:numPr>
          <w:ilvl w:val="3"/>
          <w:numId w:val="1"/>
        </w:numPr>
        <w:rPr/>
      </w:pPr>
      <w:bookmarkStart w:id="6715" w:name="__RefHeading___Toc2571052_3650668749"/>
      <w:bookmarkStart w:id="6716" w:name="_Toc3035"/>
      <w:bookmarkEnd w:id="6715"/>
      <w:r>
        <w:rPr>
          <w:rtl w:val="true"/>
        </w:rPr>
        <w:t>[ (</w:t>
      </w:r>
      <w:r>
        <w:rPr>
          <w:rtl w:val="true"/>
        </w:rPr>
        <w:t xml:space="preserve">مسألة </w:t>
      </w:r>
      <w:r>
        <w:rPr/>
        <w:t>11</w:t>
      </w:r>
      <w:r>
        <w:rPr>
          <w:rtl w:val="true"/>
        </w:rPr>
        <w:t xml:space="preserve">): </w:t>
      </w:r>
      <w:r>
        <w:rPr>
          <w:rtl w:val="true"/>
        </w:rPr>
        <w:t>القریة المبنیّة فی الموات لها حریم لیس لأحد إحیاؤه</w:t>
      </w:r>
      <w:r>
        <w:rPr>
          <w:rtl w:val="true"/>
        </w:rPr>
        <w:t>]</w:t>
      </w:r>
      <w:bookmarkEnd w:id="6716"/>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القریة المبنیّة فی الموات لها حریم لیس لأحد إحیاؤه، و لو أحیاه لم یملکه، و هو ما یتعلّق بمصالحها و مصالح أهلیها؛ من طرقها المسلوکة منها و إلیها و مسیل مائها و مجمع ترابها و کناستها و مطرح سمادها و رمادها و مشرعها و مجمع أهالیها لمصالحهم علیٰ حسب مجری عادتهم و مدفن موتاهم و مرعیٰ ماشیتهم و محتطبهم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البیوت و المساکن المجتمعة المسکونة، فلم یثبت هذا الحریم للضیعة و المزرعة ذات المزارع و البساتین المتّصلة الخالیة من البیوت و المساکن و السکنة، فلو أحدث شخص قناة فی فلاة و أحیی أرضاً بسیطة بمقدار ما یکفیه ماء القناة، و زرع فیها و غرس فیها النخیل و الأشجار لم یکن الموات المجاور لتلک المحیاة حریماً لها، فضلًا عن التلال و الجبال القریبة منها، بل لو أحدث بعد ذلک فی تلک المحیاة دوراً و مساکن حتّی</w:t>
      </w:r>
      <w:bookmarkStart w:id="6717" w:name="pg1809_19771"/>
    </w:p>
    <w:p>
      <w:pPr>
        <w:pStyle w:val="BookText"/>
        <w:rPr/>
      </w:pPr>
      <w:bookmarkEnd w:id="6717"/>
      <w:r>
        <w:rPr>
          <w:rFonts w:ascii="IRNazanin" w:hAnsi="IRNazanin" w:eastAsia="IRNazanin"/>
          <w:color w:val="111111"/>
          <w:sz w:val="28"/>
          <w:sz w:val="28"/>
          <w:szCs w:val="28"/>
          <w:rtl w:val="true"/>
          <w:lang w:bidi="fa-IR"/>
        </w:rPr>
        <w:t xml:space="preserve">صارت قریة کبیرة، یشکل </w:t>
      </w:r>
      <w:r>
        <w:rPr>
          <w:rStyle w:val="FootnoteAnchor"/>
          <w:rtl w:val="true"/>
        </w:rPr>
        <w:footnoteReference w:id="1746"/>
      </w:r>
      <w:r>
        <w:rPr>
          <w:rFonts w:ascii="IRNazanin" w:hAnsi="IRNazanin" w:eastAsia="IRNazanin"/>
          <w:color w:val="111111"/>
          <w:sz w:val="28"/>
          <w:sz w:val="28"/>
          <w:szCs w:val="28"/>
          <w:rtl w:val="true"/>
          <w:lang w:bidi="fa-IR"/>
        </w:rPr>
        <w:t>ثبوت الحریم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فالقدر المتیقّن من ثبوت الحریم للقریة فیما إذا أحدثت فی أرض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للمزرعة بنفسها أیضاً حریم و هو ما تحتاج إلیه فی مصالحها و یکون من مرافقها؛ من مسالک الدخول و الخروج، و محلّ بیادرها و حظائرها، و مجتمع سمادها و ترابها و غیرها</w:t>
      </w:r>
      <w:r>
        <w:rPr>
          <w:rFonts w:eastAsia="IRNazanin" w:cs="IRNazanin"/>
          <w:color w:val="111111"/>
          <w:sz w:val="28"/>
          <w:szCs w:val="28"/>
          <w:rtl w:val="true"/>
          <w:lang w:bidi="fa-IR"/>
        </w:rPr>
        <w:t>.</w:t>
      </w:r>
    </w:p>
    <w:p>
      <w:pPr>
        <w:pStyle w:val="Heading4"/>
        <w:numPr>
          <w:ilvl w:val="3"/>
          <w:numId w:val="1"/>
        </w:numPr>
        <w:rPr/>
      </w:pPr>
      <w:bookmarkStart w:id="6718" w:name="__RefHeading___Toc2571054_3650668749"/>
      <w:bookmarkStart w:id="6719" w:name="_Toc3036"/>
      <w:bookmarkEnd w:id="6718"/>
      <w:r>
        <w:rPr>
          <w:rtl w:val="true"/>
        </w:rPr>
        <w:t>[ (</w:t>
      </w:r>
      <w:r>
        <w:rPr>
          <w:rtl w:val="true"/>
        </w:rPr>
        <w:t xml:space="preserve">مسألة </w:t>
      </w:r>
      <w:r>
        <w:rPr/>
        <w:t>12</w:t>
      </w:r>
      <w:r>
        <w:rPr>
          <w:rtl w:val="true"/>
        </w:rPr>
        <w:t xml:space="preserve">): </w:t>
      </w:r>
      <w:r>
        <w:rPr>
          <w:rtl w:val="true"/>
        </w:rPr>
        <w:t>حدّ المرعی الذی هو حریم للقریة و محتطبها مقدار حاجة أهالیها بحسب العادة</w:t>
      </w:r>
      <w:r>
        <w:rPr>
          <w:rtl w:val="true"/>
        </w:rPr>
        <w:t>]</w:t>
      </w:r>
      <w:bookmarkEnd w:id="67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المرعی الذی هو حریم للقریة و محتطبها مقدار حاجة أهالیها بحسب العادة؛ بحیث لو منعهم مانع أو زاحمهم مزاحم لوقعوا فی الضیق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یختلف ذلک بکثرة الأهالی و قلّتهم و کثرة المواشی و الدوابّ و قلّتها، و بذلک یتفاوت المقدار سعةً و ضیقاً طولًا و عرضاً</w:t>
      </w:r>
      <w:r>
        <w:rPr>
          <w:rFonts w:eastAsia="IRNazanin" w:cs="IRNazanin"/>
          <w:color w:val="111111"/>
          <w:sz w:val="28"/>
          <w:szCs w:val="28"/>
          <w:rtl w:val="true"/>
          <w:lang w:bidi="fa-IR"/>
        </w:rPr>
        <w:t>.</w:t>
      </w:r>
    </w:p>
    <w:p>
      <w:pPr>
        <w:pStyle w:val="Heading4"/>
        <w:numPr>
          <w:ilvl w:val="3"/>
          <w:numId w:val="1"/>
        </w:numPr>
        <w:rPr/>
      </w:pPr>
      <w:bookmarkStart w:id="6720" w:name="__RefHeading___Toc2571056_3650668749"/>
      <w:bookmarkStart w:id="6721" w:name="_Toc3037"/>
      <w:bookmarkEnd w:id="6720"/>
      <w:r>
        <w:rPr>
          <w:rtl w:val="true"/>
        </w:rPr>
        <w:t>[ (</w:t>
      </w:r>
      <w:r>
        <w:rPr>
          <w:rtl w:val="true"/>
        </w:rPr>
        <w:t xml:space="preserve">مسألة </w:t>
      </w:r>
      <w:r>
        <w:rPr/>
        <w:t>13</w:t>
      </w:r>
      <w:r>
        <w:rPr>
          <w:rtl w:val="true"/>
        </w:rPr>
        <w:t xml:space="preserve">): </w:t>
      </w:r>
      <w:r>
        <w:rPr>
          <w:rtl w:val="true"/>
        </w:rPr>
        <w:t>إذا کان موات بقرب العامر و لم یکن من حریمه و مرافقه، جاز لکلّ أحد إحیاؤه</w:t>
      </w:r>
      <w:r>
        <w:rPr>
          <w:rtl w:val="true"/>
        </w:rPr>
        <w:t>]</w:t>
      </w:r>
      <w:bookmarkEnd w:id="67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موات بقرب العامر و لم یکن من حریمه و مرافقه، جاز لکلّ أحد إحیاؤه و لم یختصّ بمالک ذلک العامر و لا أولویّة له، فإذا طلع شاطئ من الشط بقرب أرض محیاة أو بستان مثلًا کان کسائر الموات، فمن سبق إلیٰ إحیائه و حیازته کان له، و لیس لصاحب الأرض أو البستان منعه</w:t>
      </w:r>
      <w:r>
        <w:rPr>
          <w:rFonts w:eastAsia="IRNazanin" w:cs="IRNazanin"/>
          <w:color w:val="111111"/>
          <w:sz w:val="28"/>
          <w:szCs w:val="28"/>
          <w:rtl w:val="true"/>
          <w:lang w:bidi="fa-IR"/>
        </w:rPr>
        <w:t>.</w:t>
      </w:r>
    </w:p>
    <w:p>
      <w:pPr>
        <w:pStyle w:val="Heading4"/>
        <w:numPr>
          <w:ilvl w:val="3"/>
          <w:numId w:val="1"/>
        </w:numPr>
        <w:rPr/>
      </w:pPr>
      <w:bookmarkStart w:id="6722" w:name="__RefHeading___Toc2571058_3650668749"/>
      <w:bookmarkStart w:id="6723" w:name="_Toc3038"/>
      <w:bookmarkEnd w:id="6722"/>
      <w:r>
        <w:rPr>
          <w:rtl w:val="true"/>
        </w:rPr>
        <w:t>[ (</w:t>
      </w:r>
      <w:r>
        <w:rPr>
          <w:rtl w:val="true"/>
        </w:rPr>
        <w:t xml:space="preserve">مسألة </w:t>
      </w:r>
      <w:r>
        <w:rPr/>
        <w:t>14</w:t>
      </w:r>
      <w:r>
        <w:rPr>
          <w:rtl w:val="true"/>
        </w:rPr>
        <w:t xml:space="preserve">): </w:t>
      </w:r>
      <w:r>
        <w:rPr>
          <w:rtl w:val="true"/>
        </w:rPr>
        <w:t>لا إشکال فی أنّ حریم القناة المقدّر بخمسمائة ذراع أو ألف ذراع</w:t>
      </w:r>
      <w:r>
        <w:rPr>
          <w:rtl w:val="true"/>
        </w:rPr>
        <w:t>]</w:t>
      </w:r>
      <w:bookmarkEnd w:id="6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حریم القناة المقدّر بخمسمائة ذراع أو ألف ذراع لیس ملکاً لصاحب القناة و لا متعلّقاً لحقّه المانع عن سائر تصرّفات غیره بدون إذنه، بل لیس له إلّا حقّ المنع عن إحداث قناة أُخری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حریم القریة أیضاً لیس ملکاً لسکّانها و أهلیها، بل إنّما لهم حقّ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حریم النهر و الدار فالظاهر أنّه ملک </w:t>
      </w:r>
      <w:r>
        <w:rPr>
          <w:rStyle w:val="FootnoteAnchor"/>
          <w:rtl w:val="true"/>
        </w:rPr>
        <w:footnoteReference w:id="1747"/>
      </w:r>
      <w:r>
        <w:rPr>
          <w:rFonts w:ascii="IRNazanin" w:hAnsi="IRNazanin" w:eastAsia="IRNazanin"/>
          <w:color w:val="111111"/>
          <w:sz w:val="28"/>
          <w:sz w:val="28"/>
          <w:szCs w:val="28"/>
          <w:rtl w:val="true"/>
          <w:lang w:bidi="fa-IR"/>
        </w:rPr>
        <w:t>لصاحب ذی الحریم، فیجوز له بیعه منفرداً کسائر الأملاک</w:t>
      </w:r>
      <w:r>
        <w:rPr>
          <w:rFonts w:eastAsia="IRNazanin" w:cs="IRNazanin"/>
          <w:color w:val="111111"/>
          <w:sz w:val="28"/>
          <w:szCs w:val="28"/>
          <w:rtl w:val="true"/>
          <w:lang w:bidi="fa-IR"/>
        </w:rPr>
        <w:t>.</w:t>
      </w:r>
    </w:p>
    <w:p>
      <w:pPr>
        <w:pStyle w:val="Heading4"/>
        <w:numPr>
          <w:ilvl w:val="3"/>
          <w:numId w:val="1"/>
        </w:numPr>
        <w:rPr/>
      </w:pPr>
      <w:bookmarkStart w:id="6724" w:name="__RefHeading___Toc2571060_3650668749"/>
      <w:bookmarkStart w:id="6725" w:name="_Toc3039"/>
      <w:bookmarkEnd w:id="6724"/>
      <w:r>
        <w:rPr>
          <w:rtl w:val="true"/>
        </w:rPr>
        <w:t>[ (</w:t>
      </w:r>
      <w:r>
        <w:rPr>
          <w:rtl w:val="true"/>
        </w:rPr>
        <w:t xml:space="preserve">مسألة </w:t>
      </w:r>
      <w:r>
        <w:rPr/>
        <w:t>15</w:t>
      </w:r>
      <w:r>
        <w:rPr>
          <w:rtl w:val="true"/>
        </w:rPr>
        <w:t xml:space="preserve">): </w:t>
      </w:r>
      <w:r>
        <w:rPr>
          <w:rtl w:val="true"/>
        </w:rPr>
        <w:t>ما مرّ من الحریم لبعض الأملاک إنّما هو فیما إذا ابتکرت فی أرض موات</w:t>
      </w:r>
      <w:r>
        <w:rPr>
          <w:rtl w:val="true"/>
        </w:rPr>
        <w:t>]</w:t>
      </w:r>
      <w:bookmarkEnd w:id="6725"/>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الحریم لبعض الأملاک إنّما هو فیما إذا ابتکرت فی أرض موات، و أمّا فی الأملاک المتجاورة فلا حریم لها، فلو أحدث المالکان المجاوران حائطاً فی البین لم یکن له حریم من الجانبین، و لو أحدث أحدهما فی آخر حدود ملکه حائطاً أو نهراً لم یکن لهما حریم فی ملک الآخر، و کذا لو حفر أحدهما قناة فی ملکه کان للآخر إحداث قناة أُخری فی ملکه و إن لم یکن بینهما الحدّ</w:t>
      </w:r>
      <w:r>
        <w:rPr>
          <w:rFonts w:eastAsia="IRNazanin" w:cs="IRNazanin"/>
          <w:color w:val="111111"/>
          <w:sz w:val="28"/>
          <w:szCs w:val="28"/>
          <w:rtl w:val="true"/>
          <w:lang w:bidi="fa-IR"/>
        </w:rPr>
        <w:t>.</w:t>
      </w:r>
      <w:bookmarkStart w:id="6726" w:name="pg1809_19773"/>
    </w:p>
    <w:p>
      <w:pPr>
        <w:pStyle w:val="Heading4"/>
        <w:numPr>
          <w:ilvl w:val="3"/>
          <w:numId w:val="1"/>
        </w:numPr>
        <w:rPr/>
      </w:pPr>
      <w:bookmarkStart w:id="6727" w:name="__RefHeading___Toc2571062_3650668749"/>
      <w:bookmarkStart w:id="6728" w:name="_Toc3040"/>
      <w:bookmarkEnd w:id="6726"/>
      <w:bookmarkEnd w:id="6727"/>
      <w:r>
        <w:rPr>
          <w:rtl w:val="true"/>
        </w:rPr>
        <w:t>[ (</w:t>
      </w:r>
      <w:r>
        <w:rPr>
          <w:rtl w:val="true"/>
        </w:rPr>
        <w:t xml:space="preserve">مسألة </w:t>
      </w:r>
      <w:r>
        <w:rPr/>
        <w:t>16</w:t>
      </w:r>
      <w:r>
        <w:rPr>
          <w:rtl w:val="true"/>
        </w:rPr>
        <w:t xml:space="preserve">): </w:t>
      </w:r>
      <w:r>
        <w:rPr>
          <w:rtl w:val="true"/>
        </w:rPr>
        <w:t>ذکر جماعة</w:t>
      </w:r>
      <w:r>
        <w:rPr>
          <w:rtl w:val="true"/>
        </w:rPr>
        <w:t xml:space="preserve">: </w:t>
      </w:r>
      <w:r>
        <w:rPr>
          <w:rtl w:val="true"/>
        </w:rPr>
        <w:t>أنّه یجوز لکلّ من المالکین المتجاورین التصرّف فی ملکه بما شاء</w:t>
      </w:r>
      <w:r>
        <w:rPr>
          <w:rtl w:val="true"/>
        </w:rPr>
        <w:t>]</w:t>
      </w:r>
      <w:bookmarkEnd w:id="67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لکلّ من المالکین المتجاورین التصرّف فی ملکه بما شاء و إن استلزم ضرراً علی الجار، لکنّه مشکل علیٰ إطلاقه، بل الحقّ عدم جواز </w:t>
      </w:r>
      <w:r>
        <w:rPr>
          <w:rStyle w:val="FootnoteAnchor"/>
          <w:rtl w:val="true"/>
        </w:rPr>
        <w:footnoteReference w:id="1748"/>
      </w:r>
      <w:r>
        <w:rPr>
          <w:rFonts w:ascii="IRNazanin" w:hAnsi="IRNazanin" w:eastAsia="IRNazanin"/>
          <w:color w:val="111111"/>
          <w:sz w:val="28"/>
          <w:sz w:val="28"/>
          <w:szCs w:val="28"/>
          <w:rtl w:val="true"/>
          <w:lang w:bidi="fa-IR"/>
        </w:rPr>
        <w:t>ما یکون سبباً لعروض فساد فی ملک الجار، کما إذا دقّ دقّاً عنیفاً انزعج منه حیطان داره بما أوجب خللًا فیها، أو حبس الماء فی ملکه بحیث تنشر منه النداوة فی حائطه، أو أحدث بالوعة أو کنیفاً بقرب بئر الجار أوجب فساد مائها، بل و کذا لو حفر بئراً بقرب بئره؛ إذا أوجب نقص مائها و کان ذلک من جهة جذب الثانیة ماء الاولیٰ، و أمّا إذا کان من جهة أنّ الثانیة لکونها أعمق و وقوعها فی سمت مجری المیاه یتحدّر فیها الماء من عروق الأرض قبل أن یصل إلی الأوّل، فالظاهر أنّه لا مانع منه، و المائز بین الصورتین أُولوا الحدس الصائب من أهل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مانع من إطالة البناء و إن کان مانعاً من الشمس و القمر و الهواء، أو جعل داره مدبغة، أو مخبزة مثلًا و إن تأذّی الجار من الریح و الدخان إذا لم یکن بقصد الإیذاء، و کذا إحداث ثقبة فی جداره إلیٰ دار جاره موجبة للإشراف أو لانجذاب الهواء، فإنّ المحرّم هو التطلّع علیٰ دار الجار لا مجرّد ثقب الجدار</w:t>
      </w:r>
      <w:r>
        <w:rPr>
          <w:rFonts w:eastAsia="IRNazanin" w:cs="IRNazanin"/>
          <w:color w:val="111111"/>
          <w:sz w:val="28"/>
          <w:szCs w:val="28"/>
          <w:rtl w:val="true"/>
          <w:lang w:bidi="fa-IR"/>
        </w:rPr>
        <w:t>.</w:t>
      </w:r>
    </w:p>
    <w:p>
      <w:pPr>
        <w:pStyle w:val="Heading4"/>
        <w:numPr>
          <w:ilvl w:val="3"/>
          <w:numId w:val="1"/>
        </w:numPr>
        <w:rPr/>
      </w:pPr>
      <w:bookmarkStart w:id="6729" w:name="__RefHeading___Toc2571064_3650668749"/>
      <w:bookmarkStart w:id="6730" w:name="_Toc3041"/>
      <w:bookmarkEnd w:id="6729"/>
      <w:r>
        <w:rPr>
          <w:rtl w:val="true"/>
        </w:rPr>
        <w:t>[ (</w:t>
      </w:r>
      <w:r>
        <w:rPr>
          <w:rtl w:val="true"/>
        </w:rPr>
        <w:t xml:space="preserve">مسألة </w:t>
      </w:r>
      <w:r>
        <w:rPr/>
        <w:t>17</w:t>
      </w:r>
      <w:r>
        <w:rPr>
          <w:rtl w:val="true"/>
        </w:rPr>
        <w:t xml:space="preserve">): </w:t>
      </w:r>
      <w:r>
        <w:rPr>
          <w:rtl w:val="true"/>
        </w:rPr>
        <w:t>لا یخفی أنّ أمر الجار شدید</w:t>
      </w:r>
      <w:r>
        <w:rPr>
          <w:rtl w:val="true"/>
        </w:rPr>
        <w:t>]</w:t>
      </w:r>
      <w:bookmarkEnd w:id="6730"/>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أمر الجار شدید، و حثّ الشرع الأقدس علیٰ رعایته أکید، و الأخبار فی وجوب کفّ الأذیٰ عن الجار و فی الحثّ علیٰ حسن الجوار کثیرة لا تحصی، فعن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جبرئیل یوصینی بالجار حتّی ظننت أنّه سیورثه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و أبا ذر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نسیت آخر و أظنّه المقداد أن ینادوا فی المسجد بأعلی صوتهم بأنّه لا إیمان لمن لم یأمن جاره بوائقه، فنادوا بها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قرأت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بین المهاجرین و الأنصار و من لحق بهم من أهل یثرب أنّ الجار کالنفس غیر مضارّ و لا آثم، و حرمة الجار کحرمة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روی الصدوق بإسناده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جاره حرّم اللّٰه علیه ریح الجنّة و مأواه جهنّم و بئس المصیر، و من ضیّع جاره فلیس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w:t>
      </w:r>
      <w:bookmarkStart w:id="6731" w:name="pg1809_19775"/>
    </w:p>
    <w:p>
      <w:pPr>
        <w:pStyle w:val="BookText"/>
        <w:rPr/>
      </w:pPr>
      <w:bookmarkEnd w:id="6731"/>
      <w:r>
        <w:rPr>
          <w:rFonts w:ascii="IRNazanin" w:hAnsi="IRNazanin" w:eastAsia="IRNazanin"/>
          <w:color w:val="111111"/>
          <w:sz w:val="28"/>
          <w:sz w:val="28"/>
          <w:szCs w:val="28"/>
          <w:rtl w:val="true"/>
          <w:lang w:bidi="fa-IR"/>
        </w:rPr>
        <w:t>لم یأمن جاره بوائقه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 البیت غاصّ بأهله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أنّه لیس منّا من لم یحسن مجاورة من جاوره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 یعمّر الدیار و ینسئ فی الأعمار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فاللازم علیٰ کلّ من یؤمن باللّٰه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الآخر الاجتناب عن کلّ ما یؤذی الجار و إن لم یکن ممّا یوجب فساداً و ضرراً فی ملکه، إلّا أن یکون فی ترکه ضرراً فاحشاً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مثل ثقب الجدار الموجب للإشراف علیٰ دار الجار إیذاء علیه و أیّ إیذاء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إحداث ما یتأذّیٰ من ریحه أو دخانه أو صوته أو ما یمنع عن وصول الهواء إلیه أو عن إشراق الشمس علیه و غیر ذلک</w:t>
      </w:r>
      <w:r>
        <w:rPr>
          <w:rFonts w:eastAsia="IRNazanin" w:cs="IRNazanin"/>
          <w:color w:val="111111"/>
          <w:sz w:val="28"/>
          <w:szCs w:val="28"/>
          <w:rtl w:val="true"/>
          <w:lang w:bidi="fa-IR"/>
        </w:rPr>
        <w:t>.</w:t>
      </w:r>
    </w:p>
    <w:p>
      <w:pPr>
        <w:pStyle w:val="Heading4"/>
        <w:numPr>
          <w:ilvl w:val="3"/>
          <w:numId w:val="1"/>
        </w:numPr>
        <w:rPr/>
      </w:pPr>
      <w:bookmarkStart w:id="6732" w:name="__RefHeading___Toc2571066_3650668749"/>
      <w:bookmarkStart w:id="6733" w:name="_Toc3042"/>
      <w:bookmarkEnd w:id="6732"/>
      <w:r>
        <w:rPr>
          <w:rtl w:val="true"/>
        </w:rPr>
        <w:t>[ (</w:t>
      </w:r>
      <w:r>
        <w:rPr>
          <w:rtl w:val="true"/>
        </w:rPr>
        <w:t xml:space="preserve">مسألة </w:t>
      </w:r>
      <w:r>
        <w:rPr/>
        <w:t>18</w:t>
      </w:r>
      <w:r>
        <w:rPr>
          <w:rtl w:val="true"/>
        </w:rPr>
        <w:t xml:space="preserve">): </w:t>
      </w:r>
      <w:r>
        <w:rPr>
          <w:rtl w:val="true"/>
        </w:rPr>
        <w:t>یشترط فی التملّک بالإحیاء أن لا یسبق إلیه سابق بالتحجیر</w:t>
      </w:r>
      <w:r>
        <w:rPr>
          <w:rtl w:val="true"/>
        </w:rPr>
        <w:t>]</w:t>
      </w:r>
      <w:bookmarkEnd w:id="67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التملّک بالإحیاء أن لا یسبق إلیه سابق بالتحجیر، فإنّ التحجیر یفید أولویّة المحجّر، فهو أولیٰ بالإحیاء و التملّک من غیره فله منعه، و لو أحیاه قهراً علی المحجّر لم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بالتحجیر أن یحدث ما یدلّ علیٰ إرادة الإحیاء، کوضع أحجار أو جمع تراب أو حفر أساس أو غرز خشب أو قصب أو نحو ذلک فی أطرافه و جوانبه، أو یشرع فی إحیاء ما یرید إحیاءه، کما إذا حفر بئراً من آبار القناة الدارسة التی یرید إحیاءها، فإنّه تحجیر بالنسبة إلیٰ سائر آبار القناة، بل و بالنسبة إلیٰ أراضی الموات التی تسقی بمائها بعد جریانه، فلیس لأحد إحیاء تلک القناة و لا إحیاء تلک الأراضی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إذا أراد إحیاء أجمة فیها الماء و القصب فعمد علیٰ قطع مائها فقط فهو تحجیر لها، فلیس لأحد إحیاؤها بقطع قصبها</w:t>
      </w:r>
      <w:r>
        <w:rPr>
          <w:rFonts w:eastAsia="IRNazanin" w:cs="IRNazanin"/>
          <w:color w:val="111111"/>
          <w:sz w:val="28"/>
          <w:szCs w:val="28"/>
          <w:rtl w:val="true"/>
          <w:lang w:bidi="fa-IR"/>
        </w:rPr>
        <w:t>.</w:t>
      </w:r>
    </w:p>
    <w:p>
      <w:pPr>
        <w:pStyle w:val="Heading4"/>
        <w:numPr>
          <w:ilvl w:val="3"/>
          <w:numId w:val="1"/>
        </w:numPr>
        <w:rPr/>
      </w:pPr>
      <w:bookmarkStart w:id="6734" w:name="__RefHeading___Toc2571068_3650668749"/>
      <w:bookmarkStart w:id="6735" w:name="_Toc3043"/>
      <w:bookmarkEnd w:id="6734"/>
      <w:r>
        <w:rPr>
          <w:rtl w:val="true"/>
        </w:rPr>
        <w:t>[ (</w:t>
      </w:r>
      <w:r>
        <w:rPr>
          <w:rtl w:val="true"/>
        </w:rPr>
        <w:t xml:space="preserve">مسألة </w:t>
      </w:r>
      <w:r>
        <w:rPr/>
        <w:t>19</w:t>
      </w:r>
      <w:r>
        <w:rPr>
          <w:rtl w:val="true"/>
        </w:rPr>
        <w:t xml:space="preserve">): </w:t>
      </w:r>
      <w:r>
        <w:rPr>
          <w:rtl w:val="true"/>
        </w:rPr>
        <w:t>لا بدّ من أن یکون التحجیر مضافاً إلیٰ دلالته علیٰ أصل الإحیاء</w:t>
      </w:r>
      <w:r>
        <w:rPr>
          <w:rtl w:val="true"/>
        </w:rPr>
        <w:t>]</w:t>
      </w:r>
      <w:bookmarkEnd w:id="6735"/>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أن یکون التحجیر مضافاً إلیٰ دلالته علیٰ أصل الإحیاء دالّاً علیٰ مقدار ما یرید إحیاءه، فلو کان ذلک بوضع الأحجار أو جمع التراب أو غرز الخشب أو القصب مثلًا لا بدّ أن یکون ذلک فی جمیع الجوانب حتّی یدلّ علیٰ أنّ جمیع ما أحاطت به العلامة یرید إحیاءه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مثل إحیاء القناة البائرة یکفی الشروع فی حفر إحدیٰ آبارها کما أشرنا إلیه آنفاً، فإنّه دلیل بحسب العرف فی کونه بصدد إحیاء جمیع القناة، بل الأراضی المتعلّقة بها أیضاً، بل إذا حفر بئراً فی أرض موات بالأصل لأجل إحداث قناة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تحجیراً بالنسبة إلیٰ أصل القناة و إلی الأراضی الموات التی تسقی بمائها بعد تمامها و جریان مائها، فلیس لأحد إحیاء تلک الجوانب حتّی یتمّ القناة و یعیّن ما</w:t>
      </w:r>
      <w:bookmarkStart w:id="6736" w:name="pg1809_19777"/>
    </w:p>
    <w:p>
      <w:pPr>
        <w:pStyle w:val="BookText"/>
        <w:rPr/>
      </w:pPr>
      <w:bookmarkEnd w:id="6736"/>
      <w:r>
        <w:rPr>
          <w:rFonts w:ascii="IRNazanin" w:hAnsi="IRNazanin" w:eastAsia="IRNazanin"/>
          <w:color w:val="111111"/>
          <w:sz w:val="28"/>
          <w:sz w:val="28"/>
          <w:szCs w:val="28"/>
          <w:rtl w:val="true"/>
          <w:lang w:bidi="fa-IR"/>
        </w:rPr>
        <w:t>تحتاج إلیه من الأراضی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الأرض الموات التی لیس من حریم القناة و ممّا علم أنّه لا یصل إلیه ماؤها بعد جریانه، لا بأس بإحیائها</w:t>
      </w:r>
      <w:r>
        <w:rPr>
          <w:rFonts w:eastAsia="IRNazanin" w:cs="IRNazanin"/>
          <w:color w:val="111111"/>
          <w:sz w:val="28"/>
          <w:szCs w:val="28"/>
          <w:rtl w:val="true"/>
          <w:lang w:bidi="fa-IR"/>
        </w:rPr>
        <w:t>.</w:t>
      </w:r>
    </w:p>
    <w:p>
      <w:pPr>
        <w:pStyle w:val="Heading4"/>
        <w:numPr>
          <w:ilvl w:val="3"/>
          <w:numId w:val="1"/>
        </w:numPr>
        <w:rPr/>
      </w:pPr>
      <w:bookmarkStart w:id="6737" w:name="__RefHeading___Toc2571070_3650668749"/>
      <w:bookmarkStart w:id="6738" w:name="_Toc3044"/>
      <w:bookmarkEnd w:id="6737"/>
      <w:r>
        <w:rPr>
          <w:rtl w:val="true"/>
        </w:rPr>
        <w:t>[ (</w:t>
      </w:r>
      <w:r>
        <w:rPr>
          <w:rtl w:val="true"/>
        </w:rPr>
        <w:t xml:space="preserve">مسألة </w:t>
      </w:r>
      <w:r>
        <w:rPr/>
        <w:t>20</w:t>
      </w:r>
      <w:r>
        <w:rPr>
          <w:rtl w:val="true"/>
        </w:rPr>
        <w:t xml:space="preserve">): </w:t>
      </w:r>
      <w:r>
        <w:rPr>
          <w:rtl w:val="true"/>
        </w:rPr>
        <w:t>التحجیر کما أشرنا إلیه یفید حقّ الأولویّة و لا یفید الملکیّة</w:t>
      </w:r>
      <w:r>
        <w:rPr>
          <w:rtl w:val="true"/>
        </w:rPr>
        <w:t>]</w:t>
      </w:r>
      <w:bookmarkEnd w:id="6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التحجیر کما أشرنا إلیه یفید حقّ الأولویّة و لا یفید الملکیّة، فلا یصحّ بیعه </w:t>
      </w:r>
      <w:r>
        <w:rPr>
          <w:rStyle w:val="FootnoteAnchor"/>
          <w:rtl w:val="true"/>
        </w:rPr>
        <w:footnoteReference w:id="1749"/>
      </w:r>
      <w:r>
        <w:rPr>
          <w:rFonts w:ascii="IRNazanin" w:hAnsi="IRNazanin" w:eastAsia="IRNazanin"/>
          <w:color w:val="111111"/>
          <w:sz w:val="28"/>
          <w:sz w:val="28"/>
          <w:szCs w:val="28"/>
          <w:rtl w:val="true"/>
          <w:lang w:bidi="fa-IR"/>
        </w:rPr>
        <w:t>، نعم یصحّ الصلح عنه و یورث و یقع ثمناً فی البیع؛ لأنّه حقّ قابل للنقل و الانتقال</w:t>
      </w:r>
      <w:r>
        <w:rPr>
          <w:rFonts w:eastAsia="IRNazanin" w:cs="IRNazanin"/>
          <w:color w:val="111111"/>
          <w:sz w:val="28"/>
          <w:szCs w:val="28"/>
          <w:rtl w:val="true"/>
          <w:lang w:bidi="fa-IR"/>
        </w:rPr>
        <w:t>.</w:t>
      </w:r>
    </w:p>
    <w:p>
      <w:pPr>
        <w:pStyle w:val="Heading4"/>
        <w:numPr>
          <w:ilvl w:val="3"/>
          <w:numId w:val="1"/>
        </w:numPr>
        <w:rPr/>
      </w:pPr>
      <w:bookmarkStart w:id="6739" w:name="__RefHeading___Toc2571072_3650668749"/>
      <w:bookmarkStart w:id="6740" w:name="_Toc3045"/>
      <w:bookmarkEnd w:id="6739"/>
      <w:r>
        <w:rPr>
          <w:rtl w:val="true"/>
        </w:rPr>
        <w:t>[ (</w:t>
      </w:r>
      <w:r>
        <w:rPr>
          <w:rtl w:val="true"/>
        </w:rPr>
        <w:t xml:space="preserve">مسألة </w:t>
      </w:r>
      <w:r>
        <w:rPr/>
        <w:t>21</w:t>
      </w:r>
      <w:r>
        <w:rPr>
          <w:rtl w:val="true"/>
        </w:rPr>
        <w:t xml:space="preserve">): </w:t>
      </w:r>
      <w:r>
        <w:rPr>
          <w:rtl w:val="true"/>
        </w:rPr>
        <w:t>یشترط فی مانعیّة التحجیر أن یکون المحجّر متمکّناً من القیام بتعمیره</w:t>
      </w:r>
      <w:r>
        <w:rPr>
          <w:rtl w:val="true"/>
        </w:rPr>
        <w:t>]</w:t>
      </w:r>
      <w:bookmarkEnd w:id="6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مانعیّة التحجیر أن یکون المحجّر متمکّناً </w:t>
      </w:r>
      <w:r>
        <w:rPr>
          <w:rStyle w:val="FootnoteAnchor"/>
          <w:rtl w:val="true"/>
        </w:rPr>
        <w:footnoteReference w:id="1750"/>
      </w:r>
      <w:r>
        <w:rPr>
          <w:rFonts w:ascii="IRNazanin" w:hAnsi="IRNazanin" w:eastAsia="IRNazanin"/>
          <w:color w:val="111111"/>
          <w:sz w:val="28"/>
          <w:sz w:val="28"/>
          <w:szCs w:val="28"/>
          <w:rtl w:val="true"/>
          <w:lang w:bidi="fa-IR"/>
        </w:rPr>
        <w:t>من القیام بتعمیره، فلو حجّر من لم یقدر علیٰ إحیاء ما حجّره؛ إمّا لفقره، أو لعجزه عن تهیئة أسبابه، فلا أثر لتحجیره و جاز لغیره إحیاؤه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حجّر زائداً علیٰ مقدار تمکّنه من الإحیاء لا أثر لتحجیره إلّا فی مقدار ما تمکّن من تعمیره، و أمّا فی الزائد فلیس له منع الغیر عن إحیائه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لیس لمن عجز عن إحیاء الموات تحجیره ثمّ نقل ما حجّره إلیٰ غیره بصلح أو غیره مجّاناً أو بالعوض؛ لأنّه لم یحصل له حقّ حتّی ینقله إلیٰ غیره</w:t>
      </w:r>
      <w:r>
        <w:rPr>
          <w:rFonts w:eastAsia="IRNazanin" w:cs="IRNazanin"/>
          <w:color w:val="111111"/>
          <w:sz w:val="28"/>
          <w:szCs w:val="28"/>
          <w:rtl w:val="true"/>
          <w:lang w:bidi="fa-IR"/>
        </w:rPr>
        <w:t>.</w:t>
      </w:r>
    </w:p>
    <w:p>
      <w:pPr>
        <w:pStyle w:val="Heading4"/>
        <w:numPr>
          <w:ilvl w:val="3"/>
          <w:numId w:val="1"/>
        </w:numPr>
        <w:rPr/>
      </w:pPr>
      <w:bookmarkStart w:id="6741" w:name="__RefHeading___Toc2571074_3650668749"/>
      <w:bookmarkStart w:id="6742" w:name="_Toc3046"/>
      <w:bookmarkEnd w:id="6741"/>
      <w:r>
        <w:rPr>
          <w:rtl w:val="true"/>
        </w:rPr>
        <w:t>[ (</w:t>
      </w:r>
      <w:r>
        <w:rPr>
          <w:rtl w:val="true"/>
        </w:rPr>
        <w:t xml:space="preserve">مسألة </w:t>
      </w:r>
      <w:r>
        <w:rPr/>
        <w:t>22</w:t>
      </w:r>
      <w:r>
        <w:rPr>
          <w:rtl w:val="true"/>
        </w:rPr>
        <w:t xml:space="preserve">): </w:t>
      </w:r>
      <w:r>
        <w:rPr>
          <w:rtl w:val="true"/>
        </w:rPr>
        <w:t>لا یعتبر فی التحجیر أن یکون بالمباشرة</w:t>
      </w:r>
      <w:r>
        <w:rPr>
          <w:rtl w:val="true"/>
        </w:rPr>
        <w:t>]</w:t>
      </w:r>
      <w:bookmarkEnd w:id="67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فی التحجیر أن یکون بالمباشرة، بل یجوز أن یکون بتوکیل الغیر أو استئجاره، فیکون الحقّ الحاصل بسببه ثابتاً للموکّل و المستأجر لا للوکیل و الأجیر، بل لا یبعد </w:t>
      </w:r>
      <w:r>
        <w:rPr>
          <w:rStyle w:val="FootnoteAnchor"/>
          <w:rtl w:val="true"/>
        </w:rPr>
        <w:footnoteReference w:id="1751"/>
      </w:r>
      <w:r>
        <w:rPr>
          <w:rFonts w:ascii="IRNazanin" w:hAnsi="IRNazanin" w:eastAsia="IRNazanin"/>
          <w:color w:val="111111"/>
          <w:sz w:val="28"/>
          <w:sz w:val="28"/>
          <w:szCs w:val="28"/>
          <w:rtl w:val="true"/>
          <w:lang w:bidi="fa-IR"/>
        </w:rPr>
        <w:t>کفایة وقوعه عن شخص نیابة عن غیره ثمّ إجازة ذلک الغیر فی ثبوته للمنوب عنه، و إن لم یخل عن إشکال، فلا ینبغی ترک الاحتیاط</w:t>
      </w:r>
      <w:r>
        <w:rPr>
          <w:rFonts w:eastAsia="IRNazanin" w:cs="IRNazanin"/>
          <w:color w:val="111111"/>
          <w:sz w:val="28"/>
          <w:szCs w:val="28"/>
          <w:rtl w:val="true"/>
          <w:lang w:bidi="fa-IR"/>
        </w:rPr>
        <w:t>.</w:t>
      </w:r>
    </w:p>
    <w:p>
      <w:pPr>
        <w:pStyle w:val="Heading4"/>
        <w:numPr>
          <w:ilvl w:val="3"/>
          <w:numId w:val="1"/>
        </w:numPr>
        <w:rPr/>
      </w:pPr>
      <w:bookmarkStart w:id="6743" w:name="__RefHeading___Toc2571076_3650668749"/>
      <w:bookmarkStart w:id="6744" w:name="_Toc3047"/>
      <w:bookmarkEnd w:id="6743"/>
      <w:r>
        <w:rPr>
          <w:rtl w:val="true"/>
        </w:rPr>
        <w:t>[ (</w:t>
      </w:r>
      <w:r>
        <w:rPr>
          <w:rtl w:val="true"/>
        </w:rPr>
        <w:t xml:space="preserve">مسألة </w:t>
      </w:r>
      <w:r>
        <w:rPr/>
        <w:t>23</w:t>
      </w:r>
      <w:r>
        <w:rPr>
          <w:rtl w:val="true"/>
        </w:rPr>
        <w:t xml:space="preserve">): </w:t>
      </w:r>
      <w:r>
        <w:rPr>
          <w:rtl w:val="true"/>
        </w:rPr>
        <w:t>لو انمحت آثار التحجیر قبل أن یقوم المحجّر بالتعمیر</w:t>
      </w:r>
      <w:r>
        <w:rPr>
          <w:rtl w:val="true"/>
        </w:rPr>
        <w:t>]</w:t>
      </w:r>
      <w:bookmarkEnd w:id="6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انمحت </w:t>
      </w:r>
      <w:r>
        <w:rPr>
          <w:rStyle w:val="FootnoteAnchor"/>
          <w:rtl w:val="true"/>
        </w:rPr>
        <w:footnoteReference w:id="1752"/>
      </w:r>
      <w:r>
        <w:rPr>
          <w:rFonts w:ascii="IRNazanin" w:hAnsi="IRNazanin" w:eastAsia="IRNazanin"/>
          <w:color w:val="111111"/>
          <w:sz w:val="28"/>
          <w:sz w:val="28"/>
          <w:szCs w:val="28"/>
          <w:rtl w:val="true"/>
          <w:lang w:bidi="fa-IR"/>
        </w:rPr>
        <w:t>آثار التحجیر قبل أن یقوم المحجّر بالتعمیر، بطل حقّه و عاد الموات إلیٰ ما کان قبل التحجیر</w:t>
      </w:r>
      <w:r>
        <w:rPr>
          <w:rFonts w:eastAsia="IRNazanin" w:cs="IRNazanin"/>
          <w:color w:val="111111"/>
          <w:sz w:val="28"/>
          <w:szCs w:val="28"/>
          <w:rtl w:val="true"/>
          <w:lang w:bidi="fa-IR"/>
        </w:rPr>
        <w:t>.</w:t>
      </w:r>
    </w:p>
    <w:p>
      <w:pPr>
        <w:pStyle w:val="Heading4"/>
        <w:numPr>
          <w:ilvl w:val="3"/>
          <w:numId w:val="1"/>
        </w:numPr>
        <w:rPr/>
      </w:pPr>
      <w:bookmarkStart w:id="6745" w:name="__RefHeading___Toc2571078_3650668749"/>
      <w:bookmarkStart w:id="6746" w:name="_Toc3048"/>
      <w:bookmarkEnd w:id="6745"/>
      <w:r>
        <w:rPr>
          <w:rtl w:val="true"/>
        </w:rPr>
        <w:t>[ (</w:t>
      </w:r>
      <w:r>
        <w:rPr>
          <w:rtl w:val="true"/>
        </w:rPr>
        <w:t xml:space="preserve">مسألة </w:t>
      </w:r>
      <w:r>
        <w:rPr/>
        <w:t>24</w:t>
      </w:r>
      <w:r>
        <w:rPr>
          <w:rtl w:val="true"/>
        </w:rPr>
        <w:t xml:space="preserve">): </w:t>
      </w:r>
      <w:r>
        <w:rPr>
          <w:rtl w:val="true"/>
        </w:rPr>
        <w:t>لیس للمحجّر تعطیل الموات المحجّر علیه و الإهمال فی التعمیر</w:t>
      </w:r>
      <w:r>
        <w:rPr>
          <w:rtl w:val="true"/>
        </w:rPr>
        <w:t>]</w:t>
      </w:r>
      <w:bookmarkEnd w:id="6746"/>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للمحجّر تعطیل الموات المحجّر علیه و الإهمال فی التعمیر، بل اللازم أن یشتغل بالعمارة عقیب التحجیر، فإن أهمل و طالت المدّة و أراد شخص آخر إحیاءه فالأحوط أن یرفع الأمر إلی الحاکم مع وجوده و بسط یده، فیلزم المحجّر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w:t>
      </w:r>
      <w:bookmarkStart w:id="6747" w:name="pg1809_19779"/>
    </w:p>
    <w:p>
      <w:pPr>
        <w:pStyle w:val="BookText"/>
        <w:rPr/>
      </w:pPr>
      <w:bookmarkEnd w:id="6747"/>
      <w:r>
        <w:rPr>
          <w:rFonts w:ascii="IRNazanin" w:hAnsi="IRNazanin" w:eastAsia="IRNazanin"/>
          <w:color w:val="111111"/>
          <w:sz w:val="28"/>
          <w:sz w:val="28"/>
          <w:szCs w:val="28"/>
          <w:rtl w:val="true"/>
          <w:lang w:bidi="fa-IR"/>
        </w:rPr>
        <w:t xml:space="preserve">العمارة، أو رفع یده عنه لیعمّره غیره، إلّا أن یبدی عذراً موجّهاً مثل انتظار وقت صالح له أو إصلاح آلاته أو حضور العملة فیمهل بمقدار ما یزول معه العذر، و لیس من العذر عدم التمکّن من تهیئة الأسباب لفقره </w:t>
      </w:r>
      <w:r>
        <w:rPr>
          <w:rStyle w:val="FootnoteAnchor"/>
          <w:rtl w:val="true"/>
        </w:rPr>
        <w:footnoteReference w:id="1753"/>
      </w:r>
      <w:r>
        <w:rPr>
          <w:rFonts w:ascii="IRNazanin" w:hAnsi="IRNazanin" w:eastAsia="IRNazanin"/>
          <w:color w:val="111111"/>
          <w:sz w:val="28"/>
          <w:sz w:val="28"/>
          <w:szCs w:val="28"/>
          <w:rtl w:val="true"/>
          <w:lang w:bidi="fa-IR"/>
        </w:rPr>
        <w:t>، منتظراً للغنیٰ و التمکّن، فإذا مضت المدّة و لم یشتغل بالعمارة بطل حقّه و جاز لغیره القیام بالعمارة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یکن حاکم یقوم بهذه الشؤون، فالظاهر أنّه یسقط حقّه أیضاً لو أهمل فی التعمیر و طال الإهمال مدّة طویلة یعدّ مثله فی العرف تعطیلًا فجاز لغیره إحیاؤه، و لیس له منعه، و الأحوط مراعاة حقّه ما لم تمض مدّة تعطیله و إهماله ثلاث سنین</w:t>
      </w:r>
      <w:r>
        <w:rPr>
          <w:rFonts w:eastAsia="IRNazanin" w:cs="IRNazanin"/>
          <w:color w:val="111111"/>
          <w:sz w:val="28"/>
          <w:szCs w:val="28"/>
          <w:rtl w:val="true"/>
          <w:lang w:bidi="fa-IR"/>
        </w:rPr>
        <w:t>.</w:t>
      </w:r>
    </w:p>
    <w:p>
      <w:pPr>
        <w:pStyle w:val="Heading4"/>
        <w:numPr>
          <w:ilvl w:val="3"/>
          <w:numId w:val="1"/>
        </w:numPr>
        <w:rPr/>
      </w:pPr>
      <w:bookmarkStart w:id="6748" w:name="__RefHeading___Toc2571080_3650668749"/>
      <w:bookmarkStart w:id="6749" w:name="_Toc3049"/>
      <w:bookmarkEnd w:id="6748"/>
      <w:r>
        <w:rPr>
          <w:rtl w:val="true"/>
        </w:rPr>
        <w:t>[ (</w:t>
      </w:r>
      <w:r>
        <w:rPr>
          <w:rtl w:val="true"/>
        </w:rPr>
        <w:t xml:space="preserve">مسألة </w:t>
      </w:r>
      <w:r>
        <w:rPr/>
        <w:t>25</w:t>
      </w:r>
      <w:r>
        <w:rPr>
          <w:rtl w:val="true"/>
        </w:rPr>
        <w:t xml:space="preserve">): </w:t>
      </w:r>
      <w:r>
        <w:rPr>
          <w:rtl w:val="true"/>
        </w:rPr>
        <w:t>الظاهر أنّه یشترط فی التملّک بالإحیاء قصد التملّک</w:t>
      </w:r>
      <w:r>
        <w:rPr>
          <w:rtl w:val="true"/>
        </w:rPr>
        <w:t>]</w:t>
      </w:r>
      <w:bookmarkEnd w:id="6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یشترط فی التملّک بالإحیاء قصد التملّک کالتملّک بالحیازة، مثل الاصطیاد و الاحتطاب و الاحتشاش و نحوها، فلو حفر بئراً فی مفازة بقصد أن یقضی منها حاجته ما دام باقیاً لم یملکه، بل لم یکن له إلّا حقّ الأولویّة ما دام مقیماً، فإذا ارتحل زالت تلک الأولویّة و صارت مباحاً للجمیع</w:t>
      </w:r>
      <w:r>
        <w:rPr>
          <w:rFonts w:eastAsia="IRNazanin" w:cs="IRNazanin"/>
          <w:color w:val="111111"/>
          <w:sz w:val="28"/>
          <w:szCs w:val="28"/>
          <w:rtl w:val="true"/>
          <w:lang w:bidi="fa-IR"/>
        </w:rPr>
        <w:t>.</w:t>
      </w:r>
    </w:p>
    <w:p>
      <w:pPr>
        <w:pStyle w:val="Heading4"/>
        <w:numPr>
          <w:ilvl w:val="3"/>
          <w:numId w:val="1"/>
        </w:numPr>
        <w:rPr/>
      </w:pPr>
      <w:bookmarkStart w:id="6750" w:name="__RefHeading___Toc2571082_3650668749"/>
      <w:bookmarkStart w:id="6751" w:name="_Toc3050"/>
      <w:bookmarkEnd w:id="6750"/>
      <w:r>
        <w:rPr>
          <w:rtl w:val="true"/>
        </w:rPr>
        <w:t>[ (</w:t>
      </w:r>
      <w:r>
        <w:rPr>
          <w:rtl w:val="true"/>
        </w:rPr>
        <w:t xml:space="preserve">مسألة </w:t>
      </w:r>
      <w:r>
        <w:rPr/>
        <w:t>26</w:t>
      </w:r>
      <w:r>
        <w:rPr>
          <w:rtl w:val="true"/>
        </w:rPr>
        <w:t xml:space="preserve">): </w:t>
      </w:r>
      <w:r>
        <w:rPr>
          <w:rtl w:val="true"/>
        </w:rPr>
        <w:t>الإحیاء المفید للملک</w:t>
      </w:r>
      <w:r>
        <w:rPr>
          <w:rtl w:val="true"/>
        </w:rPr>
        <w:t xml:space="preserve">: </w:t>
      </w:r>
      <w:r>
        <w:rPr>
          <w:rtl w:val="true"/>
        </w:rPr>
        <w:t>عبارة عن جعل الأرض حیّة بعد الموتان و إخراجها عن صفة الخراب إلی العمران</w:t>
      </w:r>
      <w:r>
        <w:rPr>
          <w:rtl w:val="true"/>
        </w:rPr>
        <w:t>]</w:t>
      </w:r>
      <w:bookmarkEnd w:id="6751"/>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الإحیاء المفید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جعل الأرض حیّة بعد الموتان و إخراجها عن صفة الخراب إلی العمران، و من المعلوم أنّ عمارة الأرض إمّا بکونها مزرعاً أو بستاناً، و إمّا بکونها مسکناً و داراً، و إمّا حظیرة للأغنام و المواشی أو لحوائج أُخر کتجفیف الثمار أو جمع الحطب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فی صدق إحیاء الموات من العمل فیه و إنهائه إلیٰ حدّ صدق علیه أحد العناوین العامرة؛ بأن صدق علیه المزرع، أو الدار مثلًا أو غیرها عند العرف، و یکفی تحقّق أوّل مراتب وجودها، و لا یعتبر إنهاؤها إلیٰ حدّ کمالها، و قبل أن یبلغ إلیٰ ذلک الحدّ و إن صنع فیه ما صنع لم یکن إحیاء بل یکون تحجیراً، و قد مرّ أنّه لا یفید الملک، بل لا یفید إلّا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تبیّن هذه الجملة فلیعلم أنّه یختلف ما اعتبر فی الإحیاء باختلاف العمارة التی یقصدها المحیی فما اعتبر فی إحیاء الموات مزرعاً أو بستاناً غیر ما اعتبر فی إحیائه مسکناً و داراً، و ما اعتبر فی إحیائه قناة أو بئراً غیر ما اعتبر فی إحیائه نهراً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الکلّ إزالة الأُمور المانعة عن التعمیر کالمیاه الغالبة أو الرمول و الأحجار أو القصب و الأشجار لو کانت مستأجمة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یختصّ کلّ منها ببعض</w:t>
      </w:r>
      <w:bookmarkStart w:id="6752" w:name="pg1809_19781"/>
    </w:p>
    <w:p>
      <w:pPr>
        <w:pStyle w:val="BookText"/>
        <w:rPr/>
      </w:pPr>
      <w:bookmarkEnd w:id="6752"/>
      <w:r>
        <w:rPr>
          <w:rFonts w:ascii="IRNazanin" w:hAnsi="IRNazanin" w:eastAsia="IRNazanin"/>
          <w:color w:val="111111"/>
          <w:sz w:val="28"/>
          <w:sz w:val="28"/>
          <w:szCs w:val="28"/>
          <w:rtl w:val="true"/>
          <w:lang w:bidi="fa-IR"/>
        </w:rPr>
        <w:t xml:space="preserve">الأُمور عند المشهور </w:t>
      </w:r>
      <w:r>
        <w:rPr>
          <w:rStyle w:val="FootnoteAnchor"/>
          <w:rtl w:val="true"/>
        </w:rPr>
        <w:footnoteReference w:id="1754"/>
      </w:r>
      <w:r>
        <w:rPr>
          <w:rFonts w:ascii="IRNazanin" w:hAnsi="IRNazanin" w:eastAsia="IRNazanin"/>
          <w:color w:val="111111"/>
          <w:sz w:val="28"/>
          <w:sz w:val="28"/>
          <w:szCs w:val="28"/>
          <w:rtl w:val="true"/>
          <w:lang w:bidi="fa-IR"/>
        </w:rPr>
        <w:t>و نحن نبیّنها فی ضمن مسائل</w:t>
      </w:r>
      <w:r>
        <w:rPr>
          <w:rFonts w:eastAsia="IRNazanin" w:cs="IRNazanin"/>
          <w:color w:val="111111"/>
          <w:sz w:val="28"/>
          <w:szCs w:val="28"/>
          <w:rtl w:val="true"/>
          <w:lang w:bidi="fa-IR"/>
        </w:rPr>
        <w:t>.</w:t>
      </w:r>
    </w:p>
    <w:p>
      <w:pPr>
        <w:pStyle w:val="Heading4"/>
        <w:numPr>
          <w:ilvl w:val="3"/>
          <w:numId w:val="1"/>
        </w:numPr>
        <w:rPr/>
      </w:pPr>
      <w:bookmarkStart w:id="6753" w:name="__RefHeading___Toc2571084_3650668749"/>
      <w:bookmarkStart w:id="6754" w:name="_Toc3051"/>
      <w:bookmarkEnd w:id="6753"/>
      <w:r>
        <w:rPr>
          <w:rtl w:val="true"/>
        </w:rPr>
        <w:t>[ (</w:t>
      </w:r>
      <w:r>
        <w:rPr>
          <w:rtl w:val="true"/>
        </w:rPr>
        <w:t xml:space="preserve">مسألة </w:t>
      </w:r>
      <w:r>
        <w:rPr/>
        <w:t>27</w:t>
      </w:r>
      <w:r>
        <w:rPr>
          <w:rtl w:val="true"/>
        </w:rPr>
        <w:t xml:space="preserve">): </w:t>
      </w:r>
      <w:r>
        <w:rPr>
          <w:rtl w:val="true"/>
        </w:rPr>
        <w:t>یعتبر فی إحیاء الموات داراً و مسکناً بعد إزالة الموانع</w:t>
      </w:r>
      <w:r>
        <w:rPr>
          <w:rtl w:val="true"/>
        </w:rPr>
        <w:t>]</w:t>
      </w:r>
      <w:bookmarkEnd w:id="67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إحیاء الموات داراً و مسکناً بعد إزالة الموانع لو کان أن یدار علیه حائط بما یعتاد فی تلک البلاد؛ و لو کان بخشب أو قصب أو حدید أو غیرها و یسقّف؛ و لو بعضها ممّا یمکن أن یسکن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فیه مع ذلک نصب الباب و لا یکفی إدارة الحائط بدون التسقیف، نعم یکفی ذلک فی إحیائه حظیرة للغنم و غیره، أو لأن یجفّف فیها الثمار أو یجمع فیها الحشیش و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بنیٰ حائطاً فی الموات بقصد بناء الدار و قبل أن یسقّف علیه بدا له و قصد کونه حظیرة ملکها، کما لو قصد ذلک من أوّل الأمر، و کذلک فی العکس </w:t>
      </w:r>
      <w:r>
        <w:rPr>
          <w:rStyle w:val="FootnoteAnchor"/>
          <w:rtl w:val="true"/>
        </w:rPr>
        <w:footnoteReference w:id="1755"/>
      </w:r>
      <w:r>
        <w:rPr>
          <w:rFonts w:ascii="IRNazanin" w:hAnsi="IRNazanin" w:eastAsia="IRNazanin"/>
          <w:color w:val="111111"/>
          <w:sz w:val="28"/>
          <w:sz w:val="28"/>
          <w:szCs w:val="28"/>
          <w:rtl w:val="true"/>
          <w:lang w:bidi="fa-IR"/>
        </w:rPr>
        <w:t>بأن حوّطه بقصد کونه حظیرة فبدا له أن یسقّفه و یجعله داراً</w:t>
      </w:r>
      <w:r>
        <w:rPr>
          <w:rFonts w:eastAsia="IRNazanin" w:cs="IRNazanin"/>
          <w:color w:val="111111"/>
          <w:sz w:val="28"/>
          <w:szCs w:val="28"/>
          <w:rtl w:val="true"/>
          <w:lang w:bidi="fa-IR"/>
        </w:rPr>
        <w:t>.</w:t>
      </w:r>
    </w:p>
    <w:p>
      <w:pPr>
        <w:pStyle w:val="Heading4"/>
        <w:numPr>
          <w:ilvl w:val="3"/>
          <w:numId w:val="1"/>
        </w:numPr>
        <w:rPr/>
      </w:pPr>
      <w:bookmarkStart w:id="6755" w:name="__RefHeading___Toc2571086_3650668749"/>
      <w:bookmarkStart w:id="6756" w:name="_Toc3052"/>
      <w:bookmarkEnd w:id="6755"/>
      <w:r>
        <w:rPr>
          <w:rtl w:val="true"/>
        </w:rPr>
        <w:t>[ (</w:t>
      </w:r>
      <w:r>
        <w:rPr>
          <w:rtl w:val="true"/>
        </w:rPr>
        <w:t xml:space="preserve">مسألة </w:t>
      </w:r>
      <w:r>
        <w:rPr/>
        <w:t>28</w:t>
      </w:r>
      <w:r>
        <w:rPr>
          <w:rtl w:val="true"/>
        </w:rPr>
        <w:t xml:space="preserve">): </w:t>
      </w:r>
      <w:r>
        <w:rPr>
          <w:rtl w:val="true"/>
        </w:rPr>
        <w:t>یعتبر فی إحیاء الموات مزرعاً بعد إزالة الموانع تسویة الأرض</w:t>
      </w:r>
      <w:r>
        <w:rPr>
          <w:rtl w:val="true"/>
        </w:rPr>
        <w:t>]</w:t>
      </w:r>
      <w:bookmarkEnd w:id="67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إحیاء الموات مزرعاً بعد إزالة الموانع تسویة الأرض لو کانت فیها حفر و تلال مانعة عن قابلیتها للزرع و ترتیب 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بشقّ ساقیة من نهر، أو حفر قناة لها، أو بئر، و بذلک یتمّ إحیاؤها و یملکها المحیی، و لا یعتبر فی إحیائها حرثها فضلًا عن زرعها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الأرض ممّا لا تحتاج فی زراعتها إلیٰ ترتیب ماء لأنّه یکفیه ماء السماء کفیٰ فی إحیائها إعمال الأُمور الأُخر عدا ترتیب الماء، و إن کانت مهیّأة للزرع بنفسها؛ بأن لم یکن فیها مانع عنه ممّا ذکر و لم یحتج إلّا إلیٰ سوق الماء کفیٰ فی إحیائها إدارة التراب حولها مع سوق الماء إلیها، و إن لم یحتج إلیٰ سوق الماء أیضاً من جهة أنّه یکفیه ماء السماء کبعض الأراضی السهلة و التلال التی لا تحتاج فی زرعها إلیٰ علاج و قابلة لأن تزرع دیمیّاً فالظاهر أنّ إحیاءها المفید لتملّکها إنّما هو بإدارة المرز حولها مع حرثها و زرعها، بل لا یبعد الاکتفاء بالحرث فی تملّکها، و أمّا الاکتفاء بالمرز من دون حراثة و زراعة ففیه إشکال، نعم لا إشکال فی کونه تحجیراً مفیداً للأولویّة</w:t>
      </w:r>
      <w:r>
        <w:rPr>
          <w:rFonts w:eastAsia="IRNazanin" w:cs="IRNazanin"/>
          <w:color w:val="111111"/>
          <w:sz w:val="28"/>
          <w:szCs w:val="28"/>
          <w:rtl w:val="true"/>
          <w:lang w:bidi="fa-IR"/>
        </w:rPr>
        <w:t>.</w:t>
      </w:r>
    </w:p>
    <w:p>
      <w:pPr>
        <w:pStyle w:val="Heading4"/>
        <w:numPr>
          <w:ilvl w:val="3"/>
          <w:numId w:val="1"/>
        </w:numPr>
        <w:rPr/>
      </w:pPr>
      <w:bookmarkStart w:id="6757" w:name="__RefHeading___Toc2571088_3650668749"/>
      <w:bookmarkStart w:id="6758" w:name="_Toc3053"/>
      <w:bookmarkEnd w:id="6757"/>
      <w:r>
        <w:rPr>
          <w:rtl w:val="true"/>
        </w:rPr>
        <w:t>[ (</w:t>
      </w:r>
      <w:r>
        <w:rPr>
          <w:rtl w:val="true"/>
        </w:rPr>
        <w:t xml:space="preserve">مسألة </w:t>
      </w:r>
      <w:r>
        <w:rPr/>
        <w:t>29</w:t>
      </w:r>
      <w:r>
        <w:rPr>
          <w:rtl w:val="true"/>
        </w:rPr>
        <w:t xml:space="preserve">): </w:t>
      </w:r>
      <w:r>
        <w:rPr>
          <w:rtl w:val="true"/>
        </w:rPr>
        <w:t>یعتبر فی إحیاء البستان کلّ ما اعتبر فی إحیاء الزرع</w:t>
      </w:r>
      <w:r>
        <w:rPr>
          <w:rtl w:val="true"/>
        </w:rPr>
        <w:t>]</w:t>
      </w:r>
      <w:bookmarkEnd w:id="6758"/>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إحیاء البستان کلّ ما اعتبر فی إحیاء الزرع بزیادة غرس النخیل أو الأشجار مع سقیها </w:t>
      </w:r>
      <w:r>
        <w:rPr>
          <w:rStyle w:val="FootnoteAnchor"/>
          <w:rtl w:val="true"/>
        </w:rPr>
        <w:footnoteReference w:id="1756"/>
      </w:r>
      <w:r>
        <w:rPr>
          <w:rFonts w:ascii="IRNazanin" w:hAnsi="IRNazanin" w:eastAsia="IRNazanin"/>
          <w:color w:val="111111"/>
          <w:sz w:val="28"/>
          <w:sz w:val="28"/>
          <w:szCs w:val="28"/>
          <w:rtl w:val="true"/>
          <w:lang w:bidi="fa-IR"/>
        </w:rPr>
        <w:t>حتّی تستعدّ للنموّ إن لم یسقها ماء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التحویط</w:t>
      </w:r>
      <w:bookmarkStart w:id="6759" w:name="pg1809_19783"/>
    </w:p>
    <w:p>
      <w:pPr>
        <w:pStyle w:val="BookText"/>
        <w:rPr/>
      </w:pPr>
      <w:bookmarkEnd w:id="6759"/>
      <w:r>
        <w:rPr>
          <w:rFonts w:ascii="IRNazanin" w:hAnsi="IRNazanin" w:eastAsia="IRNazanin"/>
          <w:color w:val="111111"/>
          <w:sz w:val="28"/>
          <w:sz w:val="28"/>
          <w:szCs w:val="28"/>
          <w:rtl w:val="true"/>
          <w:lang w:bidi="fa-IR"/>
        </w:rPr>
        <w:t>حتّی فی البلاد التی جرت عاداتهم علیه علی الأقویٰ</w:t>
      </w:r>
      <w:r>
        <w:rPr>
          <w:rFonts w:eastAsia="IRNazanin" w:cs="IRNazanin"/>
          <w:color w:val="111111"/>
          <w:sz w:val="28"/>
          <w:szCs w:val="28"/>
          <w:rtl w:val="true"/>
          <w:lang w:bidi="fa-IR"/>
        </w:rPr>
        <w:t>.</w:t>
      </w:r>
    </w:p>
    <w:p>
      <w:pPr>
        <w:pStyle w:val="Heading4"/>
        <w:numPr>
          <w:ilvl w:val="3"/>
          <w:numId w:val="1"/>
        </w:numPr>
        <w:rPr/>
      </w:pPr>
      <w:bookmarkStart w:id="6760" w:name="__RefHeading___Toc2571090_3650668749"/>
      <w:bookmarkStart w:id="6761" w:name="_Toc3054"/>
      <w:bookmarkEnd w:id="6760"/>
      <w:r>
        <w:rPr>
          <w:rtl w:val="true"/>
        </w:rPr>
        <w:t>[ (</w:t>
      </w:r>
      <w:r>
        <w:rPr>
          <w:rtl w:val="true"/>
        </w:rPr>
        <w:t xml:space="preserve">مسألة </w:t>
      </w:r>
      <w:r>
        <w:rPr/>
        <w:t>30</w:t>
      </w:r>
      <w:r>
        <w:rPr>
          <w:rtl w:val="true"/>
        </w:rPr>
        <w:t xml:space="preserve">): </w:t>
      </w:r>
      <w:r>
        <w:rPr>
          <w:rtl w:val="true"/>
        </w:rPr>
        <w:t>یحصل إحیاء البئر فی الموات بأن یحفرها إلیٰ أن یصل إلی الماء</w:t>
      </w:r>
      <w:r>
        <w:rPr>
          <w:rtl w:val="true"/>
        </w:rPr>
        <w:t>]</w:t>
      </w:r>
      <w:bookmarkEnd w:id="67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إحیاء البئر فی الموات بأن یحفرها إلیٰ أن یصل إلی الماء، فیملکها بذلک، و قبل ذلک یکون تحجیراً لا 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إحیاء القناة بأن یحفر الآبار إلیٰ أن یجری ماؤها علی الأرض، و إحیاء النهر بحفره و إنهائه إلی الماء المباح کالشطّ و نحوه؛ بحیث کان الفاصل بینهما یسیراً کالمرز و المسنّاة الصغیرة، و بذلک یتمّ إحیاء النهر فیملکه الحافر، و لا یعتبر فیه جریان الماء فیه فعلًا و إن اعتبر ذلک فی تملّک الماء</w:t>
      </w:r>
      <w:r>
        <w:rPr>
          <w:rFonts w:eastAsia="IRNazanin" w:cs="IRNazanin"/>
          <w:color w:val="111111"/>
          <w:sz w:val="28"/>
          <w:szCs w:val="28"/>
          <w:rtl w:val="true"/>
          <w:lang w:bidi="fa-IR"/>
        </w:rPr>
        <w:t>.</w:t>
      </w:r>
    </w:p>
    <w:p>
      <w:pPr>
        <w:pStyle w:val="Heading3"/>
        <w:numPr>
          <w:ilvl w:val="2"/>
          <w:numId w:val="1"/>
        </w:numPr>
        <w:rPr/>
      </w:pPr>
      <w:bookmarkStart w:id="6762" w:name="__RefHeading___Toc2571092_3650668749"/>
      <w:bookmarkStart w:id="6763" w:name="_Toc3055"/>
      <w:bookmarkEnd w:id="6762"/>
      <w:r>
        <w:rPr>
          <w:rtl w:val="true"/>
        </w:rPr>
        <w:t>[</w:t>
      </w:r>
      <w:r>
        <w:rPr>
          <w:rtl w:val="true"/>
        </w:rPr>
        <w:t>القول فی المشترکات</w:t>
      </w:r>
      <w:r>
        <w:rPr>
          <w:rtl w:val="true"/>
        </w:rPr>
        <w:t>]</w:t>
      </w:r>
      <w:bookmarkEnd w:id="6763"/>
    </w:p>
    <w:p>
      <w:pPr>
        <w:pStyle w:val="Heading4"/>
        <w:numPr>
          <w:ilvl w:val="3"/>
          <w:numId w:val="1"/>
        </w:numPr>
        <w:rPr/>
      </w:pPr>
      <w:bookmarkStart w:id="6764" w:name="__RefHeading___Toc2571094_3650668749"/>
      <w:bookmarkStart w:id="6765" w:name="_Toc3056"/>
      <w:bookmarkEnd w:id="6764"/>
      <w:r>
        <w:rPr>
          <w:rtl w:val="true"/>
        </w:rPr>
        <w:t>اشارة</w:t>
      </w:r>
      <w:bookmarkEnd w:id="6765"/>
    </w:p>
    <w:p>
      <w:pPr>
        <w:pStyle w:val="BookText"/>
        <w:rPr/>
      </w:pPr>
      <w:r>
        <w:rPr>
          <w:rFonts w:ascii="IRNazanin" w:hAnsi="IRNazanin" w:eastAsia="IRNazanin"/>
          <w:color w:val="111111"/>
          <w:sz w:val="28"/>
          <w:sz w:val="28"/>
          <w:szCs w:val="28"/>
          <w:rtl w:val="true"/>
          <w:lang w:bidi="fa-IR"/>
        </w:rPr>
        <w:t>القول فی المشترکات و هی الطرق و الشوارع و المساجد و المدارس و الربط و المیاه و المعادن</w:t>
      </w:r>
      <w:r>
        <w:rPr>
          <w:rFonts w:eastAsia="IRNazanin" w:cs="IRNazanin"/>
          <w:color w:val="111111"/>
          <w:sz w:val="28"/>
          <w:szCs w:val="28"/>
          <w:rtl w:val="true"/>
          <w:lang w:bidi="fa-IR"/>
        </w:rPr>
        <w:t>.</w:t>
      </w:r>
    </w:p>
    <w:p>
      <w:pPr>
        <w:pStyle w:val="Heading4"/>
        <w:numPr>
          <w:ilvl w:val="3"/>
          <w:numId w:val="1"/>
        </w:numPr>
        <w:rPr/>
      </w:pPr>
      <w:bookmarkStart w:id="6766" w:name="__RefHeading___Toc2571096_3650668749"/>
      <w:bookmarkStart w:id="6767" w:name="_Toc3057"/>
      <w:bookmarkEnd w:id="6766"/>
      <w:r>
        <w:rPr>
          <w:rtl w:val="true"/>
        </w:rPr>
        <w:t>[ (</w:t>
      </w:r>
      <w:r>
        <w:rPr>
          <w:rtl w:val="true"/>
        </w:rPr>
        <w:t xml:space="preserve">مسألة </w:t>
      </w:r>
      <w:r>
        <w:rPr/>
        <w:t>1</w:t>
      </w:r>
      <w:r>
        <w:rPr>
          <w:rtl w:val="true"/>
        </w:rPr>
        <w:t xml:space="preserve">): </w:t>
      </w:r>
      <w:r>
        <w:rPr>
          <w:rtl w:val="true"/>
        </w:rPr>
        <w:t>الطریق نوعان</w:t>
      </w:r>
      <w:r>
        <w:rPr>
          <w:rtl w:val="true"/>
        </w:rPr>
        <w:t xml:space="preserve">: </w:t>
      </w:r>
      <w:r>
        <w:rPr>
          <w:rtl w:val="true"/>
        </w:rPr>
        <w:t>نافذ و غیر نافذ</w:t>
      </w:r>
      <w:r>
        <w:rPr>
          <w:rtl w:val="true"/>
        </w:rPr>
        <w:t>]</w:t>
      </w:r>
      <w:bookmarkEnd w:id="6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و غیر نافذ، فالأوّل و هو المسمّی بالشارع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محبوس علیٰ کافّة الأنام و الناس فیه شرع سواء، و لیس لأحد إحیاؤه و الاختصاص به، و لا التصرّف فی أرضه ببناء دکّة أو حائط أو حفر بئر أو نهر أو غرس شجر </w:t>
      </w:r>
      <w:r>
        <w:rPr>
          <w:rStyle w:val="FootnoteAnchor"/>
          <w:rtl w:val="true"/>
        </w:rPr>
        <w:footnoteReference w:id="1757"/>
      </w:r>
      <w:r>
        <w:rPr>
          <w:rFonts w:ascii="IRNazanin" w:hAnsi="IRNazanin" w:eastAsia="IRNazanin"/>
          <w:color w:val="111111"/>
          <w:sz w:val="28"/>
          <w:sz w:val="28"/>
          <w:szCs w:val="28"/>
          <w:rtl w:val="true"/>
          <w:lang w:bidi="fa-IR"/>
        </w:rPr>
        <w:t>أو غیر ذلک و إن لم یضرّ بالمارّة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أنّه یجوز أن یحفر فیه بالوعة لیجتمع فیها ماء المطر و غیره لکونها من مصالحه و مرافقه، لکن مع سدّها فی غیر أوقات الحاجة حفظاً للمستطرقین و المارّة، بل الظاهر جواز حفر سرداب تحته إذا أُحکم الأساس و السقف بحیث یؤمن معه من النقض و 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التصرّف فی فضائه بإخراج روشن أو جناح أو بناء ساباط أو فتح باب أو نصب میزاب و نحو ذلک فلا إشکال فی جوازه إذا لم یضرّ بالمارّة، و لیس لأحد منعه حتّی من یقابل داره داره کما مرّ فی کتاب الصلح</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الطریق الغیر النافذ المسمّی بالسکّة المرفوعة، و قد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لا یسلک منه إلیٰ طریق آخر أو مباح بل أُحیط بثلاث جوانبه الدور و الحیطان و الجدران فهو ملک لأرباب الدور التی أبوابها مفتوحة إلیه، دون من کان حائط داره إلیه من غیر أن یکون بابها إلیه، فیکون هو کسائر الأملاک المشترکة یجوز لأربابه</w:t>
      </w:r>
      <w:bookmarkStart w:id="6768" w:name="pg1809_19786"/>
    </w:p>
    <w:p>
      <w:pPr>
        <w:pStyle w:val="BookText"/>
        <w:rPr/>
      </w:pPr>
      <w:bookmarkEnd w:id="6768"/>
      <w:r>
        <w:rPr>
          <w:rFonts w:ascii="IRNazanin" w:hAnsi="IRNazanin" w:eastAsia="IRNazanin"/>
          <w:color w:val="111111"/>
          <w:sz w:val="28"/>
          <w:sz w:val="28"/>
          <w:szCs w:val="28"/>
          <w:rtl w:val="true"/>
          <w:lang w:bidi="fa-IR"/>
        </w:rPr>
        <w:t xml:space="preserve">سدّه و تقسیمه بینهم و إدخال کلّ منهم حصّته فی داره، و لا یجوز لأحد من غیرهم، بل و لا منهم أن یتصرّف فیه و لا فی فضائه إلّا بإذن الجمیع </w:t>
      </w:r>
      <w:r>
        <w:rPr>
          <w:rStyle w:val="FootnoteAnchor"/>
          <w:rtl w:val="true"/>
        </w:rPr>
        <w:footnoteReference w:id="1758"/>
      </w:r>
      <w:r>
        <w:rPr>
          <w:rFonts w:ascii="IRNazanin" w:hAnsi="IRNazanin" w:eastAsia="IRNazanin"/>
          <w:color w:val="111111"/>
          <w:sz w:val="28"/>
          <w:sz w:val="28"/>
          <w:szCs w:val="28"/>
          <w:rtl w:val="true"/>
          <w:lang w:bidi="fa-IR"/>
        </w:rPr>
        <w:t>و رضاهم</w:t>
      </w:r>
      <w:r>
        <w:rPr>
          <w:rFonts w:eastAsia="IRNazanin" w:cs="IRNazanin"/>
          <w:color w:val="111111"/>
          <w:sz w:val="28"/>
          <w:szCs w:val="28"/>
          <w:rtl w:val="true"/>
          <w:lang w:bidi="fa-IR"/>
        </w:rPr>
        <w:t>.</w:t>
      </w:r>
    </w:p>
    <w:p>
      <w:pPr>
        <w:pStyle w:val="Heading4"/>
        <w:numPr>
          <w:ilvl w:val="3"/>
          <w:numId w:val="1"/>
        </w:numPr>
        <w:rPr/>
      </w:pPr>
      <w:bookmarkStart w:id="6769" w:name="__RefHeading___Toc2571098_3650668749"/>
      <w:bookmarkStart w:id="6770" w:name="_Toc3058"/>
      <w:bookmarkEnd w:id="6769"/>
      <w:r>
        <w:rPr>
          <w:rtl w:val="true"/>
        </w:rPr>
        <w:t>[ (</w:t>
      </w:r>
      <w:r>
        <w:rPr>
          <w:rtl w:val="true"/>
        </w:rPr>
        <w:t xml:space="preserve">مسألة </w:t>
      </w:r>
      <w:r>
        <w:rPr/>
        <w:t>2</w:t>
      </w:r>
      <w:r>
        <w:rPr>
          <w:rtl w:val="true"/>
        </w:rPr>
        <w:t xml:space="preserve">): </w:t>
      </w:r>
      <w:r>
        <w:rPr>
          <w:rtl w:val="true"/>
        </w:rPr>
        <w:t>الظاهر أنّ أرباب الدور المفتوحة فی الدریبة کلّهم مشترکون فی کلّها</w:t>
      </w:r>
      <w:r>
        <w:rPr>
          <w:rtl w:val="true"/>
        </w:rPr>
        <w:t>]</w:t>
      </w:r>
      <w:bookmarkEnd w:id="67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أرباب الدور المفتوحة فی الدریبة کلّهم مشترکون فی کلّها </w:t>
      </w:r>
      <w:r>
        <w:rPr>
          <w:rStyle w:val="FootnoteAnchor"/>
          <w:rtl w:val="true"/>
        </w:rPr>
        <w:footnoteReference w:id="1759"/>
      </w:r>
      <w:r>
        <w:rPr>
          <w:rFonts w:ascii="IRNazanin" w:hAnsi="IRNazanin" w:eastAsia="IRNazanin"/>
          <w:color w:val="111111"/>
          <w:sz w:val="28"/>
          <w:sz w:val="28"/>
          <w:szCs w:val="28"/>
          <w:rtl w:val="true"/>
          <w:lang w:bidi="fa-IR"/>
        </w:rPr>
        <w:t>من رأسها إلیٰ صدرها، حتّی أنّه إذا کانت فی صدرها فضلة لم یفتح إلیها باب، اشترک الجمیع فیها، فلا یجوز لأحد منهم إخراج جناح أو روشن أو بناء ساباط أو حفر بالوعة أو سرداب و لا نصب میزاب و غیر ذلک فی أیّ موضع منها إلّا بإذن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لکلّ منهم حقّ الاستطراق إلیٰ داره من أیّ موضع من جداره، فلکلّ منهم فتح باب آخر أدخل من بابه الأوّل، أو أسبق؛ مع سدّ الباب الأوّل و عدمه</w:t>
      </w:r>
      <w:r>
        <w:rPr>
          <w:rFonts w:eastAsia="IRNazanin" w:cs="IRNazanin"/>
          <w:color w:val="111111"/>
          <w:sz w:val="28"/>
          <w:szCs w:val="28"/>
          <w:rtl w:val="true"/>
          <w:lang w:bidi="fa-IR"/>
        </w:rPr>
        <w:t>.</w:t>
      </w:r>
    </w:p>
    <w:p>
      <w:pPr>
        <w:pStyle w:val="Heading4"/>
        <w:numPr>
          <w:ilvl w:val="3"/>
          <w:numId w:val="1"/>
        </w:numPr>
        <w:rPr/>
      </w:pPr>
      <w:bookmarkStart w:id="6771" w:name="__RefHeading___Toc2571100_3650668749"/>
      <w:bookmarkStart w:id="6772" w:name="_Toc3059"/>
      <w:bookmarkEnd w:id="6771"/>
      <w:r>
        <w:rPr>
          <w:rtl w:val="true"/>
        </w:rPr>
        <w:t>[ (</w:t>
      </w:r>
      <w:r>
        <w:rPr>
          <w:rtl w:val="true"/>
        </w:rPr>
        <w:t xml:space="preserve">مسألة </w:t>
      </w:r>
      <w:r>
        <w:rPr/>
        <w:t>3</w:t>
      </w:r>
      <w:r>
        <w:rPr>
          <w:rtl w:val="true"/>
        </w:rPr>
        <w:t xml:space="preserve">): </w:t>
      </w:r>
      <w:r>
        <w:rPr>
          <w:rtl w:val="true"/>
        </w:rPr>
        <w:t>لیس لمن کان حائط داره إلی الدریبة، فتح باب إلیها إلّا بإذن أربابها</w:t>
      </w:r>
      <w:r>
        <w:rPr>
          <w:rtl w:val="true"/>
        </w:rPr>
        <w:t>]</w:t>
      </w:r>
      <w:bookmarkEnd w:id="67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لمن کان حائط داره إلی الدریبة، فتح باب إلیها إلّا بإذن أربابها، نعم له فتح ثقبة و شبّاک إلیها، و لیس لهم منعه لکونه تصرّفاً فی جداره لا فی ملکهم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له فتح باب إلیها لا للاستطراق بل لمجرّد الاستضاءة و دخول الهواء؟ فیه إشکال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73" w:name="__RefHeading___Toc2571102_3650668749"/>
      <w:bookmarkStart w:id="6774" w:name="_Toc3060"/>
      <w:bookmarkEnd w:id="6773"/>
      <w:r>
        <w:rPr>
          <w:rtl w:val="true"/>
        </w:rPr>
        <w:t>[ (</w:t>
      </w:r>
      <w:r>
        <w:rPr>
          <w:rtl w:val="true"/>
        </w:rPr>
        <w:t xml:space="preserve">مسألة </w:t>
      </w:r>
      <w:r>
        <w:rPr/>
        <w:t>4</w:t>
      </w:r>
      <w:r>
        <w:rPr>
          <w:rtl w:val="true"/>
        </w:rPr>
        <w:t xml:space="preserve">): </w:t>
      </w:r>
      <w:r>
        <w:rPr>
          <w:rtl w:val="true"/>
        </w:rPr>
        <w:t>یجوز لکلّ من أرباب الدریبة الجلوس فیها</w:t>
      </w:r>
      <w:r>
        <w:rPr>
          <w:rtl w:val="true"/>
        </w:rPr>
        <w:t>]</w:t>
      </w:r>
      <w:bookmarkEnd w:id="6774"/>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لکلّ من أرباب الدریبة الجلوس فیها، و الاستطراق و التردّد منها إلیٰ داره بنفسه و ما یتعلّق به؛ من عیاله و دوابّه و أضیافه و عائدیه و زائریه، و کذا وضع الحطب و نحوه فیها لإدخاله فی الدار و وضع الأحمال و الأثقال عند إدخالها و إخراجها من دون إذن الشرکاء، بل و إن کان فیهم القصّر و المولّیٰ علیهم من دون رعایة المساواة مع الباقین</w:t>
      </w:r>
      <w:r>
        <w:rPr>
          <w:rFonts w:eastAsia="IRNazanin" w:cs="IRNazanin"/>
          <w:color w:val="111111"/>
          <w:sz w:val="28"/>
          <w:szCs w:val="28"/>
          <w:rtl w:val="true"/>
          <w:lang w:bidi="fa-IR"/>
        </w:rPr>
        <w:t>.</w:t>
      </w:r>
      <w:bookmarkStart w:id="6775" w:name="pg1809_19788"/>
    </w:p>
    <w:p>
      <w:pPr>
        <w:pStyle w:val="Heading4"/>
        <w:numPr>
          <w:ilvl w:val="3"/>
          <w:numId w:val="1"/>
        </w:numPr>
        <w:rPr/>
      </w:pPr>
      <w:bookmarkStart w:id="6776" w:name="__RefHeading___Toc2571104_3650668749"/>
      <w:bookmarkStart w:id="6777" w:name="_Toc3061"/>
      <w:bookmarkEnd w:id="6775"/>
      <w:bookmarkEnd w:id="6776"/>
      <w:r>
        <w:rPr>
          <w:rtl w:val="true"/>
        </w:rPr>
        <w:t>[ (</w:t>
      </w:r>
      <w:r>
        <w:rPr>
          <w:rtl w:val="true"/>
        </w:rPr>
        <w:t xml:space="preserve">مسألة </w:t>
      </w:r>
      <w:r>
        <w:rPr/>
        <w:t>5</w:t>
      </w:r>
      <w:r>
        <w:rPr>
          <w:rtl w:val="true"/>
        </w:rPr>
        <w:t xml:space="preserve">): </w:t>
      </w:r>
      <w:r>
        <w:rPr>
          <w:rtl w:val="true"/>
        </w:rPr>
        <w:t>الشوارع و الطرق العامّة و إن کانت معدّة لاستطراق عامّة الناس</w:t>
      </w:r>
      <w:r>
        <w:rPr>
          <w:rtl w:val="true"/>
        </w:rPr>
        <w:t>]</w:t>
      </w:r>
      <w:bookmarkEnd w:id="67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الشوارع و الطرق العامّة و إن کانت معدّة لاستطراق عامّة الناس، و منفعتها الأصلیّة التردّد فیها بالذهاب و الإیاب، إلّا أنّه یجوز لکلّ أحد الانتفاع بها بغیر ذلک؛ من جلوس أو نوم أو صلاة و غیرها بشرط أن لا یتضرّر </w:t>
      </w:r>
      <w:r>
        <w:rPr>
          <w:rStyle w:val="FootnoteAnchor"/>
          <w:rtl w:val="true"/>
        </w:rPr>
        <w:footnoteReference w:id="1761"/>
      </w:r>
      <w:r>
        <w:rPr>
          <w:rFonts w:ascii="IRNazanin" w:hAnsi="IRNazanin" w:eastAsia="IRNazanin"/>
          <w:color w:val="111111"/>
          <w:sz w:val="28"/>
          <w:sz w:val="28"/>
          <w:szCs w:val="28"/>
          <w:rtl w:val="true"/>
          <w:lang w:bidi="fa-IR"/>
        </w:rPr>
        <w:t>بها أحد و لم یزاحم المستطرفین و لا یتضیّق علی المارّة</w:t>
      </w:r>
      <w:r>
        <w:rPr>
          <w:rFonts w:eastAsia="IRNazanin" w:cs="IRNazanin"/>
          <w:color w:val="111111"/>
          <w:sz w:val="28"/>
          <w:szCs w:val="28"/>
          <w:rtl w:val="true"/>
          <w:lang w:bidi="fa-IR"/>
        </w:rPr>
        <w:t>.</w:t>
      </w:r>
    </w:p>
    <w:p>
      <w:pPr>
        <w:pStyle w:val="Heading4"/>
        <w:numPr>
          <w:ilvl w:val="3"/>
          <w:numId w:val="1"/>
        </w:numPr>
        <w:rPr/>
      </w:pPr>
      <w:bookmarkStart w:id="6778" w:name="__RefHeading___Toc2571106_3650668749"/>
      <w:bookmarkStart w:id="6779" w:name="_Toc3062"/>
      <w:bookmarkEnd w:id="6778"/>
      <w:r>
        <w:rPr>
          <w:rtl w:val="true"/>
        </w:rPr>
        <w:t>[ (</w:t>
      </w:r>
      <w:r>
        <w:rPr>
          <w:rtl w:val="true"/>
        </w:rPr>
        <w:t xml:space="preserve">مسألة </w:t>
      </w:r>
      <w:r>
        <w:rPr/>
        <w:t>6</w:t>
      </w:r>
      <w:r>
        <w:rPr>
          <w:rtl w:val="true"/>
        </w:rPr>
        <w:t xml:space="preserve">): </w:t>
      </w:r>
      <w:r>
        <w:rPr>
          <w:rtl w:val="true"/>
        </w:rPr>
        <w:t>لا فرق فی الجلوس الغیر المضرّ بین ما کان للاستراحة أو النزهة</w:t>
      </w:r>
      <w:r>
        <w:rPr>
          <w:rtl w:val="true"/>
        </w:rPr>
        <w:t>]</w:t>
      </w:r>
      <w:bookmarkEnd w:id="67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الجلوس الغیر المضرّ بین ما کان للاستراحة أو النزهة، و بین ما کان للحرفة و المعاملة إذا جلس فی الرحاب و المواضع المتّسعة لئلّا یتضیّق علی المارّة، فلو جلس فیها بأیّ غرض من الأغراض لم یکن لأحد إزعاجه</w:t>
      </w:r>
      <w:r>
        <w:rPr>
          <w:rFonts w:eastAsia="IRNazanin" w:cs="IRNazanin"/>
          <w:color w:val="111111"/>
          <w:sz w:val="28"/>
          <w:szCs w:val="28"/>
          <w:rtl w:val="true"/>
          <w:lang w:bidi="fa-IR"/>
        </w:rPr>
        <w:t>.</w:t>
      </w:r>
    </w:p>
    <w:p>
      <w:pPr>
        <w:pStyle w:val="Heading4"/>
        <w:numPr>
          <w:ilvl w:val="3"/>
          <w:numId w:val="1"/>
        </w:numPr>
        <w:rPr/>
      </w:pPr>
      <w:bookmarkStart w:id="6780" w:name="__RefHeading___Toc2571108_3650668749"/>
      <w:bookmarkStart w:id="6781" w:name="_Toc3063"/>
      <w:bookmarkEnd w:id="6780"/>
      <w:r>
        <w:rPr>
          <w:rtl w:val="true"/>
        </w:rPr>
        <w:t>[ (</w:t>
      </w:r>
      <w:r>
        <w:rPr>
          <w:rtl w:val="true"/>
        </w:rPr>
        <w:t xml:space="preserve">مسألة </w:t>
      </w:r>
      <w:r>
        <w:rPr/>
        <w:t>7</w:t>
      </w:r>
      <w:r>
        <w:rPr>
          <w:rtl w:val="true"/>
        </w:rPr>
        <w:t xml:space="preserve">): </w:t>
      </w:r>
      <w:r>
        <w:rPr>
          <w:rtl w:val="true"/>
        </w:rPr>
        <w:t>لو جلس فی موضع من الطریق ثمّ قام عنه</w:t>
      </w:r>
      <w:r>
        <w:rPr>
          <w:rtl w:val="true"/>
        </w:rPr>
        <w:t>]</w:t>
      </w:r>
      <w:bookmarkEnd w:id="67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جلس فی موضع من الطریق ثمّ قام عنه، فإن کان جلوس استراحة و نحوها بطل حقّه فجاز لغیره الجلوس فیه، و کذا إن کان لحرفة و معاملة و قام بعد استیفاء غرضه و عدم نیّة العود، فلو عاد إلیه بعد أن جلس فی مجلسه غیره لم یکن له دفعه، و أمّا لو قام قبل استیفاء غرضه ناویاً للعود، فإن بقی منه فیه متاع أو رحل أو بساط فالظاهر بقاء حقّه </w:t>
      </w:r>
      <w:r>
        <w:rPr>
          <w:rStyle w:val="FootnoteAnchor"/>
          <w:rtl w:val="true"/>
        </w:rPr>
        <w:footnoteReference w:id="1762"/>
      </w:r>
      <w:r>
        <w:rPr>
          <w:rFonts w:ascii="IRNazanin" w:hAnsi="IRNazanin" w:eastAsia="IRNazanin"/>
          <w:color w:val="111111"/>
          <w:sz w:val="28"/>
          <w:sz w:val="28"/>
          <w:szCs w:val="28"/>
          <w:rtl w:val="true"/>
          <w:lang w:bidi="fa-IR"/>
        </w:rPr>
        <w:t>و إن لم یکن منه فیه شی‌ء ففی بقاء حقّه بمجرّد نیّة العود إشکال، فلا یترک الاحتیاط</w:t>
      </w:r>
      <w:r>
        <w:rPr>
          <w:rFonts w:eastAsia="IRNazanin" w:cs="IRNazanin"/>
          <w:color w:val="111111"/>
          <w:sz w:val="28"/>
          <w:szCs w:val="28"/>
          <w:rtl w:val="true"/>
          <w:lang w:bidi="fa-IR"/>
        </w:rPr>
        <w:t>.</w:t>
      </w:r>
    </w:p>
    <w:p>
      <w:pPr>
        <w:pStyle w:val="Heading4"/>
        <w:numPr>
          <w:ilvl w:val="3"/>
          <w:numId w:val="1"/>
        </w:numPr>
        <w:rPr/>
      </w:pPr>
      <w:bookmarkStart w:id="6782" w:name="__RefHeading___Toc2571110_3650668749"/>
      <w:bookmarkStart w:id="6783" w:name="_Toc3064"/>
      <w:bookmarkEnd w:id="6782"/>
      <w:r>
        <w:rPr>
          <w:rtl w:val="true"/>
        </w:rPr>
        <w:t>[ (</w:t>
      </w:r>
      <w:r>
        <w:rPr>
          <w:rtl w:val="true"/>
        </w:rPr>
        <w:t xml:space="preserve">مسألة </w:t>
      </w:r>
      <w:r>
        <w:rPr/>
        <w:t>8</w:t>
      </w:r>
      <w:r>
        <w:rPr>
          <w:rtl w:val="true"/>
        </w:rPr>
        <w:t xml:space="preserve">): </w:t>
      </w:r>
      <w:r>
        <w:rPr>
          <w:rtl w:val="true"/>
        </w:rPr>
        <w:t>کما أنّ موضع الجلوس حقّ للجالس للمعاملة فلا یجوز مزاحمته</w:t>
      </w:r>
      <w:r>
        <w:rPr>
          <w:rtl w:val="true"/>
        </w:rPr>
        <w:t>]</w:t>
      </w:r>
      <w:bookmarkEnd w:id="67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موضع الجلوس حقّ </w:t>
      </w:r>
      <w:r>
        <w:rPr>
          <w:rStyle w:val="FootnoteAnchor"/>
          <w:rtl w:val="true"/>
        </w:rPr>
        <w:footnoteReference w:id="1763"/>
      </w:r>
      <w:r>
        <w:rPr>
          <w:rFonts w:ascii="IRNazanin" w:hAnsi="IRNazanin" w:eastAsia="IRNazanin"/>
          <w:color w:val="111111"/>
          <w:sz w:val="28"/>
          <w:sz w:val="28"/>
          <w:szCs w:val="28"/>
          <w:rtl w:val="true"/>
          <w:lang w:bidi="fa-IR"/>
        </w:rPr>
        <w:t>للجالس للمعاملة فلا یجوز مزاحمته، کذا ما حوله قدر ما یحتاج إلیه لوضع متاعه و وقوف المعاملین فیه، بل لیس لغیره أن یقعد حیث یمنع من رؤیة متاعه أو وصول المعاملین إلیه</w:t>
      </w:r>
      <w:r>
        <w:rPr>
          <w:rFonts w:eastAsia="IRNazanin" w:cs="IRNazanin"/>
          <w:color w:val="111111"/>
          <w:sz w:val="28"/>
          <w:szCs w:val="28"/>
          <w:rtl w:val="true"/>
          <w:lang w:bidi="fa-IR"/>
        </w:rPr>
        <w:t>.</w:t>
      </w:r>
    </w:p>
    <w:p>
      <w:pPr>
        <w:pStyle w:val="Heading4"/>
        <w:numPr>
          <w:ilvl w:val="3"/>
          <w:numId w:val="1"/>
        </w:numPr>
        <w:rPr/>
      </w:pPr>
      <w:bookmarkStart w:id="6784" w:name="__RefHeading___Toc2571112_3650668749"/>
      <w:bookmarkStart w:id="6785" w:name="_Toc3065"/>
      <w:bookmarkEnd w:id="6784"/>
      <w:r>
        <w:rPr>
          <w:rtl w:val="true"/>
        </w:rPr>
        <w:t>[ (</w:t>
      </w:r>
      <w:r>
        <w:rPr>
          <w:rtl w:val="true"/>
        </w:rPr>
        <w:t xml:space="preserve">مسألة </w:t>
      </w:r>
      <w:r>
        <w:rPr/>
        <w:t>9</w:t>
      </w:r>
      <w:r>
        <w:rPr>
          <w:rtl w:val="true"/>
        </w:rPr>
        <w:t xml:space="preserve">): </w:t>
      </w:r>
      <w:r>
        <w:rPr>
          <w:rtl w:val="true"/>
        </w:rPr>
        <w:t>یجوز للجالس للمعاملة أن یظلّل علیٰ موضع جلوسه بما لا یضرّ بالمارّة</w:t>
      </w:r>
      <w:r>
        <w:rPr>
          <w:rtl w:val="true"/>
        </w:rPr>
        <w:t>]</w:t>
      </w:r>
      <w:bookmarkEnd w:id="67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للجالس للمعاملة أن یظلّل علیٰ موضع جلوسه بما لا یضرّ بالمارّة بثوب أو باریة و نحوهما، و لیس له بناء دکّة و نحوها فیها</w:t>
      </w:r>
      <w:r>
        <w:rPr>
          <w:rFonts w:eastAsia="IRNazanin" w:cs="IRNazanin"/>
          <w:color w:val="111111"/>
          <w:sz w:val="28"/>
          <w:szCs w:val="28"/>
          <w:rtl w:val="true"/>
          <w:lang w:bidi="fa-IR"/>
        </w:rPr>
        <w:t>.</w:t>
      </w:r>
    </w:p>
    <w:p>
      <w:pPr>
        <w:pStyle w:val="Heading4"/>
        <w:numPr>
          <w:ilvl w:val="3"/>
          <w:numId w:val="1"/>
        </w:numPr>
        <w:rPr/>
      </w:pPr>
      <w:bookmarkStart w:id="6786" w:name="__RefHeading___Toc2571114_3650668749"/>
      <w:bookmarkStart w:id="6787" w:name="_Toc3066"/>
      <w:bookmarkEnd w:id="6786"/>
      <w:r>
        <w:rPr>
          <w:rtl w:val="true"/>
        </w:rPr>
        <w:t>[ (</w:t>
      </w:r>
      <w:r>
        <w:rPr>
          <w:rtl w:val="true"/>
        </w:rPr>
        <w:t xml:space="preserve">مسألة </w:t>
      </w:r>
      <w:r>
        <w:rPr/>
        <w:t>10</w:t>
      </w:r>
      <w:r>
        <w:rPr>
          <w:rtl w:val="true"/>
        </w:rPr>
        <w:t xml:space="preserve">): </w:t>
      </w:r>
      <w:r>
        <w:rPr>
          <w:rtl w:val="true"/>
        </w:rPr>
        <w:t>إذا جلس فی موضع من الطریق للمعاملة فی یوم، فسبقه فی یوم آخر</w:t>
      </w:r>
      <w:r>
        <w:rPr>
          <w:rtl w:val="true"/>
        </w:rPr>
        <w:t>]</w:t>
      </w:r>
      <w:bookmarkEnd w:id="6787"/>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جلس فی موضع من الطریق للمعاملة فی یوم، فسبقه فی یوم آخر</w:t>
      </w:r>
      <w:bookmarkStart w:id="6788" w:name="pg1809_19790"/>
    </w:p>
    <w:p>
      <w:pPr>
        <w:pStyle w:val="BookText"/>
        <w:rPr/>
      </w:pPr>
      <w:bookmarkEnd w:id="6788"/>
      <w:r>
        <w:rPr>
          <w:rFonts w:ascii="IRNazanin" w:hAnsi="IRNazanin" w:eastAsia="IRNazanin"/>
          <w:color w:val="111111"/>
          <w:sz w:val="28"/>
          <w:sz w:val="28"/>
          <w:szCs w:val="28"/>
          <w:rtl w:val="true"/>
          <w:lang w:bidi="fa-IR"/>
        </w:rPr>
        <w:t>شخص آخر و أخذ مکانه کان الثانی أحقّ به، فلیس للأوّل إزعاجه</w:t>
      </w:r>
      <w:r>
        <w:rPr>
          <w:rFonts w:eastAsia="IRNazanin" w:cs="IRNazanin"/>
          <w:color w:val="111111"/>
          <w:sz w:val="28"/>
          <w:szCs w:val="28"/>
          <w:rtl w:val="true"/>
          <w:lang w:bidi="fa-IR"/>
        </w:rPr>
        <w:t>.</w:t>
      </w:r>
    </w:p>
    <w:p>
      <w:pPr>
        <w:pStyle w:val="Heading4"/>
        <w:numPr>
          <w:ilvl w:val="3"/>
          <w:numId w:val="1"/>
        </w:numPr>
        <w:rPr/>
      </w:pPr>
      <w:bookmarkStart w:id="6789" w:name="__RefHeading___Toc2571116_3650668749"/>
      <w:bookmarkStart w:id="6790" w:name="_Toc3067"/>
      <w:bookmarkEnd w:id="6789"/>
      <w:r>
        <w:rPr>
          <w:rtl w:val="true"/>
        </w:rPr>
        <w:t>[ (</w:t>
      </w:r>
      <w:r>
        <w:rPr>
          <w:rtl w:val="true"/>
        </w:rPr>
        <w:t xml:space="preserve">مسألة </w:t>
      </w:r>
      <w:r>
        <w:rPr/>
        <w:t>11</w:t>
      </w:r>
      <w:r>
        <w:rPr>
          <w:rtl w:val="true"/>
        </w:rPr>
        <w:t xml:space="preserve">): </w:t>
      </w:r>
      <w:r>
        <w:rPr>
          <w:rtl w:val="true"/>
        </w:rPr>
        <w:t>إنّما یصیر الموضع شارعاً عامّاً بأُمور</w:t>
      </w:r>
      <w:r>
        <w:rPr>
          <w:rtl w:val="true"/>
        </w:rPr>
        <w:t>]</w:t>
      </w:r>
      <w:bookmarkEnd w:id="67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یصیر الموضع شارعاً عامّاً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بکثرة التردّد و الاستطراق و مرور القوافل فی الأرض الموات کالجادّات الحاصلة فی البراری و القفار التی یسلک فیها من بلاد إلیٰ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إنسان ملکه شارعاً، و سبّله تسبیلًا دائمیّاً لسلوک عامّة الناس و سلک فیه بعض الناس، فإنّه یصیر بذلک طریقاً عامّاً و لم یکن للمسبّل الرجوع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یحیی جماعة أرضاً مواتاً قریة أو بلدة و یترکوا مسلکاً نافذاً بین الدور و المساکن و یفتحوا إلیه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بکونه نافذاً أن یکون له مدخل و مخرج؛ یدخل فیه الناس من جانب و یخرجون من جانب آخر إلیٰ جادّة عامّة أو أرض موات</w:t>
      </w:r>
      <w:r>
        <w:rPr>
          <w:rFonts w:eastAsia="IRNazanin" w:cs="IRNazanin"/>
          <w:color w:val="111111"/>
          <w:sz w:val="28"/>
          <w:szCs w:val="28"/>
          <w:rtl w:val="true"/>
          <w:lang w:bidi="fa-IR"/>
        </w:rPr>
        <w:t>.</w:t>
      </w:r>
    </w:p>
    <w:p>
      <w:pPr>
        <w:pStyle w:val="Heading4"/>
        <w:numPr>
          <w:ilvl w:val="3"/>
          <w:numId w:val="1"/>
        </w:numPr>
        <w:rPr/>
      </w:pPr>
      <w:bookmarkStart w:id="6791" w:name="__RefHeading___Toc2571118_3650668749"/>
      <w:bookmarkStart w:id="6792" w:name="_Toc3068"/>
      <w:bookmarkEnd w:id="6791"/>
      <w:r>
        <w:rPr>
          <w:rtl w:val="true"/>
        </w:rPr>
        <w:t>[ (</w:t>
      </w:r>
      <w:r>
        <w:rPr>
          <w:rtl w:val="true"/>
        </w:rPr>
        <w:t xml:space="preserve">مسألة </w:t>
      </w:r>
      <w:r>
        <w:rPr/>
        <w:t>12</w:t>
      </w:r>
      <w:r>
        <w:rPr>
          <w:rtl w:val="true"/>
        </w:rPr>
        <w:t xml:space="preserve">): </w:t>
      </w:r>
      <w:r>
        <w:rPr>
          <w:rtl w:val="true"/>
        </w:rPr>
        <w:t>لا حریم للشارع العامّ لو وقع بین الأملاک</w:t>
      </w:r>
      <w:r>
        <w:rPr>
          <w:rtl w:val="true"/>
        </w:rPr>
        <w:t>]</w:t>
      </w:r>
      <w:bookmarkEnd w:id="67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حریم للشارع العامّ لو وقع بین الأملاک، فلو کانت بین الأملاک قطعة أرض موات عرضها ثلاثة أو أربعة أذرع مثلًا و استطرقها الناس حتّی صارت جادّة لم یجب علی الملّاک توسیعها و إن تضیّقت علی المارّة، و کذا لو سبّل شخص فی وسط ملکه أو من طرف ملکه المجاور لملک غیره ثلاثة أو أربعة أذرع مثلًا للشارع، و أمّا لو کان الشارع محدوداً بالموات بطرفیه أو أحد طرفیه، فیکون له الحریم، و هو المقدار الذی یوجب إحیاؤه نقص الشارع عن سبعة </w:t>
      </w:r>
      <w:r>
        <w:rPr>
          <w:rStyle w:val="FootnoteAnchor"/>
          <w:rtl w:val="true"/>
        </w:rPr>
        <w:footnoteReference w:id="1764"/>
      </w:r>
      <w:r>
        <w:rPr>
          <w:rFonts w:ascii="IRNazanin" w:hAnsi="IRNazanin" w:eastAsia="IRNazanin"/>
          <w:color w:val="111111"/>
          <w:sz w:val="28"/>
          <w:sz w:val="28"/>
          <w:szCs w:val="28"/>
          <w:rtl w:val="true"/>
          <w:lang w:bidi="fa-IR"/>
        </w:rPr>
        <w:t>أذرع، فلو حدث بسبب الاستطراق شارع فی وسط الموات جاز إحیاء طرفیه إلیٰ حدّ یبقیٰ له سبعة أذرع و لا یتجاوز عن 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لأحد فی وسط المباح ملک عرضه أربعة أذرع مثلًا فسبّله شارعاً لا یجوز إحیاء طرفیه بما لم یبق للطریق سبعة أذرع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 أحد طرفی الشارع أرض مملوک و فی الطرف الآخر أرض موات کان الحریم من طرف الموات، بل لو کان طریق بین الموات و سبق شخص و أحیی أحد طرفیه إلیٰ حدّ الطریق اختصّ الحریم بالطرف الآخر، فلا یجوز لآخر الإحیاء إلیٰ حدّ لا یبقیٰ للطریق سبعة أذرع، فلو بنیٰ بناءً مجاوزاً لذلک الحدّ الزم هو بهدمه و تبعیده دون المحیی الأوّل</w:t>
      </w:r>
      <w:r>
        <w:rPr>
          <w:rFonts w:eastAsia="IRNazanin" w:cs="IRNazanin"/>
          <w:color w:val="111111"/>
          <w:sz w:val="28"/>
          <w:szCs w:val="28"/>
          <w:rtl w:val="true"/>
          <w:lang w:bidi="fa-IR"/>
        </w:rPr>
        <w:t>.</w:t>
      </w:r>
    </w:p>
    <w:p>
      <w:pPr>
        <w:pStyle w:val="Heading4"/>
        <w:numPr>
          <w:ilvl w:val="3"/>
          <w:numId w:val="1"/>
        </w:numPr>
        <w:rPr/>
      </w:pPr>
      <w:bookmarkStart w:id="6793" w:name="__RefHeading___Toc2571120_3650668749"/>
      <w:bookmarkStart w:id="6794" w:name="_Toc3069"/>
      <w:bookmarkEnd w:id="6793"/>
      <w:r>
        <w:rPr>
          <w:rtl w:val="true"/>
        </w:rPr>
        <w:t>[ (</w:t>
      </w:r>
      <w:r>
        <w:rPr>
          <w:rtl w:val="true"/>
        </w:rPr>
        <w:t xml:space="preserve">مسألة </w:t>
      </w:r>
      <w:r>
        <w:rPr/>
        <w:t>13</w:t>
      </w:r>
      <w:r>
        <w:rPr>
          <w:rtl w:val="true"/>
        </w:rPr>
        <w:t xml:space="preserve">): </w:t>
      </w:r>
      <w:r>
        <w:rPr>
          <w:rtl w:val="true"/>
        </w:rPr>
        <w:t>إذا استؤجم الطریق أو انقطعت عنه المارّة زال حکمه</w:t>
      </w:r>
      <w:r>
        <w:rPr>
          <w:rtl w:val="true"/>
        </w:rPr>
        <w:t>]</w:t>
      </w:r>
      <w:bookmarkEnd w:id="6794"/>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استؤجم الطریق أو انقطعت عنه المارّة زال حکمه، بل ارتفع موضوعه و عنوانه، فجاز </w:t>
      </w:r>
      <w:r>
        <w:rPr>
          <w:rStyle w:val="FootnoteAnchor"/>
          <w:rtl w:val="true"/>
        </w:rPr>
        <w:footnoteReference w:id="1765"/>
      </w:r>
      <w:r>
        <w:rPr>
          <w:rFonts w:ascii="IRNazanin" w:hAnsi="IRNazanin" w:eastAsia="IRNazanin"/>
          <w:color w:val="111111"/>
          <w:sz w:val="28"/>
          <w:sz w:val="28"/>
          <w:szCs w:val="28"/>
          <w:rtl w:val="true"/>
          <w:lang w:bidi="fa-IR"/>
        </w:rPr>
        <w:t>لکلّ أحد إحیاؤه کالموات، من غیر فرق فی صورة انقطاع المارّة بین أن</w:t>
      </w:r>
      <w:bookmarkStart w:id="6795" w:name="pg1809_19792"/>
    </w:p>
    <w:p>
      <w:pPr>
        <w:pStyle w:val="BookText"/>
        <w:rPr/>
      </w:pPr>
      <w:bookmarkEnd w:id="6795"/>
      <w:r>
        <w:rPr>
          <w:rFonts w:ascii="IRNazanin" w:hAnsi="IRNazanin" w:eastAsia="IRNazanin"/>
          <w:color w:val="111111"/>
          <w:sz w:val="28"/>
          <w:sz w:val="28"/>
          <w:szCs w:val="28"/>
          <w:rtl w:val="true"/>
          <w:lang w:bidi="fa-IR"/>
        </w:rPr>
        <w:t>یکون ذلک لعدم وجودهم، أو بمنع قاهر إیّاهم، أو لهجرهم إیّاه و استطراقهم غیره، أو بسبب آخر</w:t>
      </w:r>
      <w:r>
        <w:rPr>
          <w:rFonts w:eastAsia="IRNazanin" w:cs="IRNazanin"/>
          <w:color w:val="111111"/>
          <w:sz w:val="28"/>
          <w:szCs w:val="28"/>
          <w:rtl w:val="true"/>
          <w:lang w:bidi="fa-IR"/>
        </w:rPr>
        <w:t>.</w:t>
      </w:r>
    </w:p>
    <w:p>
      <w:pPr>
        <w:pStyle w:val="Heading4"/>
        <w:numPr>
          <w:ilvl w:val="3"/>
          <w:numId w:val="1"/>
        </w:numPr>
        <w:rPr/>
      </w:pPr>
      <w:bookmarkStart w:id="6796" w:name="__RefHeading___Toc2571122_3650668749"/>
      <w:bookmarkStart w:id="6797" w:name="_Toc3070"/>
      <w:bookmarkEnd w:id="6796"/>
      <w:r>
        <w:rPr>
          <w:rtl w:val="true"/>
        </w:rPr>
        <w:t>[ (</w:t>
      </w:r>
      <w:r>
        <w:rPr>
          <w:rtl w:val="true"/>
        </w:rPr>
        <w:t xml:space="preserve">مسألة </w:t>
      </w:r>
      <w:r>
        <w:rPr/>
        <w:t>14</w:t>
      </w:r>
      <w:r>
        <w:rPr>
          <w:rtl w:val="true"/>
        </w:rPr>
        <w:t xml:space="preserve">): </w:t>
      </w:r>
      <w:r>
        <w:rPr>
          <w:rtl w:val="true"/>
        </w:rPr>
        <w:t>لو زاد عرض الطریق المسلوک عن سبعة أذرع، فأمّا المسبّل</w:t>
      </w:r>
      <w:r>
        <w:rPr>
          <w:rtl w:val="true"/>
        </w:rPr>
        <w:t>]</w:t>
      </w:r>
      <w:bookmarkEnd w:id="67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زاد عرض الطریق المسلوک عن سبعة أذرع، فأمّا المسبّل فلا یجوز لأحد أخذ ما زاد علیها و إحیاؤه و تملّکه قطعاً، و أمّا غیره ففی جواز إحیاء الزائد و عدمه وجهان، أوجههما </w:t>
      </w:r>
      <w:r>
        <w:rPr>
          <w:rStyle w:val="FootnoteAnchor"/>
          <w:rtl w:val="true"/>
        </w:rPr>
        <w:footnoteReference w:id="1766"/>
      </w:r>
      <w:r>
        <w:rPr>
          <w:rFonts w:ascii="IRNazanin" w:hAnsi="IRNazanin" w:eastAsia="IRNazanin"/>
          <w:color w:val="111111"/>
          <w:sz w:val="28"/>
          <w:sz w:val="28"/>
          <w:szCs w:val="28"/>
          <w:rtl w:val="true"/>
          <w:lang w:bidi="fa-IR"/>
        </w:rPr>
        <w:t>التفصیل بین الحاجة إلیه لکثرة المارّة فالثانی، و عدمها لقلّتهم فالأوّل</w:t>
      </w:r>
      <w:r>
        <w:rPr>
          <w:rFonts w:eastAsia="IRNazanin" w:cs="IRNazanin"/>
          <w:color w:val="111111"/>
          <w:sz w:val="28"/>
          <w:szCs w:val="28"/>
          <w:rtl w:val="true"/>
          <w:lang w:bidi="fa-IR"/>
        </w:rPr>
        <w:t>.</w:t>
      </w:r>
    </w:p>
    <w:p>
      <w:pPr>
        <w:pStyle w:val="Heading4"/>
        <w:numPr>
          <w:ilvl w:val="3"/>
          <w:numId w:val="1"/>
        </w:numPr>
        <w:rPr/>
      </w:pPr>
      <w:bookmarkStart w:id="6798" w:name="__RefHeading___Toc2571124_3650668749"/>
      <w:bookmarkStart w:id="6799" w:name="_Toc3071"/>
      <w:bookmarkEnd w:id="6798"/>
      <w:r>
        <w:rPr>
          <w:rtl w:val="true"/>
        </w:rPr>
        <w:t>[ (</w:t>
      </w:r>
      <w:r>
        <w:rPr>
          <w:rtl w:val="true"/>
        </w:rPr>
        <w:t xml:space="preserve">مسألة </w:t>
      </w:r>
      <w:r>
        <w:rPr/>
        <w:t>15</w:t>
      </w:r>
      <w:r>
        <w:rPr>
          <w:rtl w:val="true"/>
        </w:rPr>
        <w:t xml:space="preserve">): </w:t>
      </w:r>
      <w:r>
        <w:rPr>
          <w:rtl w:val="true"/>
        </w:rPr>
        <w:t>و من المشترکات</w:t>
      </w:r>
      <w:r>
        <w:rPr>
          <w:rtl w:val="true"/>
        </w:rPr>
        <w:t xml:space="preserve">: </w:t>
      </w:r>
      <w:r>
        <w:rPr>
          <w:rtl w:val="true"/>
        </w:rPr>
        <w:t>المسجد</w:t>
      </w:r>
      <w:r>
        <w:rPr>
          <w:rtl w:val="true"/>
        </w:rPr>
        <w:t>]</w:t>
      </w:r>
      <w:bookmarkEnd w:id="6799"/>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و هو المکان </w:t>
      </w:r>
      <w:r>
        <w:rPr>
          <w:rStyle w:val="FootnoteAnchor"/>
          <w:rtl w:val="true"/>
        </w:rPr>
        <w:footnoteReference w:id="1767"/>
      </w:r>
      <w:r>
        <w:rPr>
          <w:rFonts w:ascii="IRNazanin" w:hAnsi="IRNazanin" w:eastAsia="IRNazanin"/>
          <w:color w:val="111111"/>
          <w:sz w:val="28"/>
          <w:sz w:val="28"/>
          <w:szCs w:val="28"/>
          <w:rtl w:val="true"/>
          <w:lang w:bidi="fa-IR"/>
        </w:rPr>
        <w:t>المعدّ لتعبّد المتعبّدین و صلاة المصلّین، و هو من مرافق المسلمین یشترک فیه عامّتهم، و هم شرع سواء فی الانتفاع به إلّا بما لا یناسبه و نهی الشرع عنه، کمکث الجنب فیه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سبق إلیٰ مکان منه لصلاة أو عبادة أو قراءة قرآن أو دعاء بل و تدریس أو وعظ أو إفتاء و غیرها کان أحقّ به و لیس لأحد إزعاجه؛ سواء توافق السابق مع المسبوق فی الغرض أو تخالفا فیه، فلیس لأحد بأیّ غرض کان مزاحمة من سبق إلیٰ مکان منه بأیّ غرض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تقدّم الصلاة جماعة أو فرادی علیٰ غیرها من الأغراض، فلو کان جلوس السابق لغرض القراءة أو الدعاء أو التدریس و أراد أحد أن یصلّی فی ذلک المکان جماعة أو فرادی یجب علیه تخلیة المکان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ینبغی تقیید ذلک بما إذا لم یکن اختیار مرید الصلاة فی ذلک المکان لمجرّد الاقتراح، بل کان إمّا لانحصار محلّ الصلاة فیه، أو لغرض راجح دینی کالالتحاق بصفوف الجماعة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أصل المسألة لا تخلو من إشکال فیما إذا کان جلوس السابق لغرض العبادة کالدعاء و القراءة لا لمجرّد النزهة و الاستراحة، فلا ینبغی فیه ترک الاحتیاط للمسبوق بعدم المزاحمة و للسابق بتخلیة المکان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تسویة الصلاة فرادی مع الصلاة جماعة، فلا أولویّة للثانیة علی الاولیٰ، فمن سبق إلیٰ مکان للصلاة منفرداً فلیس لمرید الصلاة جماعة إزعاجه لها، و إن کان الأولیٰ له تخلیة المکان له إذا وجد مکان آخر له، و لا یکون منّاعاً للخیر عن أخیه</w:t>
      </w:r>
      <w:r>
        <w:rPr>
          <w:rFonts w:eastAsia="IRNazanin" w:cs="IRNazanin"/>
          <w:color w:val="111111"/>
          <w:sz w:val="28"/>
          <w:szCs w:val="28"/>
          <w:rtl w:val="true"/>
          <w:lang w:bidi="fa-IR"/>
        </w:rPr>
        <w:t>.</w:t>
      </w:r>
      <w:bookmarkStart w:id="6800" w:name="pg1809_19794"/>
    </w:p>
    <w:p>
      <w:pPr>
        <w:pStyle w:val="Heading4"/>
        <w:numPr>
          <w:ilvl w:val="3"/>
          <w:numId w:val="1"/>
        </w:numPr>
        <w:rPr/>
      </w:pPr>
      <w:bookmarkStart w:id="6801" w:name="__RefHeading___Toc2571126_3650668749"/>
      <w:bookmarkStart w:id="6802" w:name="_Toc3072"/>
      <w:bookmarkEnd w:id="6800"/>
      <w:bookmarkEnd w:id="6801"/>
      <w:r>
        <w:rPr>
          <w:rtl w:val="true"/>
        </w:rPr>
        <w:t>[ (</w:t>
      </w:r>
      <w:r>
        <w:rPr>
          <w:rtl w:val="true"/>
        </w:rPr>
        <w:t xml:space="preserve">مسألة </w:t>
      </w:r>
      <w:r>
        <w:rPr/>
        <w:t>16</w:t>
      </w:r>
      <w:r>
        <w:rPr>
          <w:rtl w:val="true"/>
        </w:rPr>
        <w:t xml:space="preserve">): </w:t>
      </w:r>
      <w:r>
        <w:rPr>
          <w:rtl w:val="true"/>
        </w:rPr>
        <w:t>لو قام الجالس السابق و فارق المکان رافعاً یده منه معرضاً عنه بطل حقّه</w:t>
      </w:r>
      <w:r>
        <w:rPr>
          <w:rtl w:val="true"/>
        </w:rPr>
        <w:t>]</w:t>
      </w:r>
      <w:bookmarkEnd w:id="68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قام الجالس السابق و فارق المکان رافعاً یده منه معرضاً عنه بطل حقّه و إن بقی رحله، فلو عاد إلیه و قد أخذه غیره کان هو الأولیٰ و لیس له إزعاجه، و إن کان ناویاً للعود، فإن کان رحله باقیاً بقی حقّه بلا إشکال، و إلّا ففیه إشکال </w:t>
      </w:r>
      <w:r>
        <w:rPr>
          <w:rStyle w:val="FootnoteAnchor"/>
          <w:rtl w:val="true"/>
        </w:rPr>
        <w:footnoteReference w:id="1768"/>
      </w:r>
      <w:r>
        <w:rPr>
          <w:rFonts w:ascii="IRNazanin" w:hAnsi="IRNazanin" w:eastAsia="IRNazanin"/>
          <w:color w:val="111111"/>
          <w:sz w:val="28"/>
          <w:sz w:val="28"/>
          <w:szCs w:val="28"/>
          <w:rtl w:val="true"/>
          <w:lang w:bidi="fa-IR"/>
        </w:rPr>
        <w:t>، و الأحوط شدیداً مراعاة حقّه، خصوصاً إذا کان خروجه لضرورة کتجدید طهارة أو إزالة نجاسة أو قضاء حاجة و نحوها</w:t>
      </w:r>
      <w:r>
        <w:rPr>
          <w:rFonts w:eastAsia="IRNazanin" w:cs="IRNazanin"/>
          <w:color w:val="111111"/>
          <w:sz w:val="28"/>
          <w:szCs w:val="28"/>
          <w:rtl w:val="true"/>
          <w:lang w:bidi="fa-IR"/>
        </w:rPr>
        <w:t>.</w:t>
      </w:r>
    </w:p>
    <w:p>
      <w:pPr>
        <w:pStyle w:val="Heading4"/>
        <w:numPr>
          <w:ilvl w:val="3"/>
          <w:numId w:val="1"/>
        </w:numPr>
        <w:rPr/>
      </w:pPr>
      <w:bookmarkStart w:id="6803" w:name="__RefHeading___Toc2571128_3650668749"/>
      <w:bookmarkStart w:id="6804" w:name="_Toc3073"/>
      <w:bookmarkEnd w:id="6803"/>
      <w:r>
        <w:rPr>
          <w:rtl w:val="true"/>
        </w:rPr>
        <w:t>[ (</w:t>
      </w:r>
      <w:r>
        <w:rPr>
          <w:rtl w:val="true"/>
        </w:rPr>
        <w:t xml:space="preserve">مسألة </w:t>
      </w:r>
      <w:r>
        <w:rPr/>
        <w:t>17</w:t>
      </w:r>
      <w:r>
        <w:rPr>
          <w:rtl w:val="true"/>
        </w:rPr>
        <w:t xml:space="preserve">): </w:t>
      </w:r>
      <w:r>
        <w:rPr>
          <w:rtl w:val="true"/>
        </w:rPr>
        <w:t>الظاهر أنّ وضع الرحل مقدّمة للجلوس کالجلوس فی إفادة الأولویّة</w:t>
      </w:r>
      <w:r>
        <w:rPr>
          <w:rtl w:val="true"/>
        </w:rPr>
        <w:t>]</w:t>
      </w:r>
      <w:bookmarkEnd w:id="68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وضع الرحل مقدّمة للجلوس کالجلوس فی إفادة الأولویّة، لکن إذا کان ذلک بمثل فرش سجّادة و نحوها ممّا یشغل مقدار مکان الصلاة أو معظمه، لا بمثل وضع تربة أو سبحة أو مسواک و شبهها</w:t>
      </w:r>
      <w:r>
        <w:rPr>
          <w:rFonts w:eastAsia="IRNazanin" w:cs="IRNazanin"/>
          <w:color w:val="111111"/>
          <w:sz w:val="28"/>
          <w:szCs w:val="28"/>
          <w:rtl w:val="true"/>
          <w:lang w:bidi="fa-IR"/>
        </w:rPr>
        <w:t>.</w:t>
      </w:r>
    </w:p>
    <w:p>
      <w:pPr>
        <w:pStyle w:val="Heading4"/>
        <w:numPr>
          <w:ilvl w:val="3"/>
          <w:numId w:val="1"/>
        </w:numPr>
        <w:rPr/>
      </w:pPr>
      <w:bookmarkStart w:id="6805" w:name="__RefHeading___Toc2571130_3650668749"/>
      <w:bookmarkStart w:id="6806" w:name="_Toc3074"/>
      <w:bookmarkEnd w:id="6805"/>
      <w:r>
        <w:rPr>
          <w:rtl w:val="true"/>
        </w:rPr>
        <w:t>[ (</w:t>
      </w:r>
      <w:r>
        <w:rPr>
          <w:rtl w:val="true"/>
        </w:rPr>
        <w:t xml:space="preserve">مسألة </w:t>
      </w:r>
      <w:r>
        <w:rPr/>
        <w:t>18</w:t>
      </w:r>
      <w:r>
        <w:rPr>
          <w:rtl w:val="true"/>
        </w:rPr>
        <w:t xml:space="preserve">): </w:t>
      </w:r>
      <w:r>
        <w:rPr>
          <w:rtl w:val="true"/>
        </w:rPr>
        <w:t>یعتبر أن لا یکون بین وضع الرحل و مجیئه طول زمان بحیث استلزم تعطیل المکان</w:t>
      </w:r>
      <w:r>
        <w:rPr>
          <w:rtl w:val="true"/>
        </w:rPr>
        <w:t>]</w:t>
      </w:r>
      <w:bookmarkEnd w:id="68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أن لا یکون بین وضع الرحل و مجیئه طول زمان بحیث استلزم تعطیل المکان و إلّا لم یفد حقّا، فجاز لغیره أخذ المکان قبل مجیئه و رفع رحله و الصلاة مکانه؛ إذا شغل المحلّ بحیث لا یمکن الصلاة فیه إلّا برفعه، و الظاهر أنّه یضمنه الرافع إلیٰ أن یوصله إلیٰ صاحبه، و کذا الحال فیما لو فارق المکان معرضاً عنه مع بقاء رحله فیه</w:t>
      </w:r>
      <w:r>
        <w:rPr>
          <w:rFonts w:eastAsia="IRNazanin" w:cs="IRNazanin"/>
          <w:color w:val="111111"/>
          <w:sz w:val="28"/>
          <w:szCs w:val="28"/>
          <w:rtl w:val="true"/>
          <w:lang w:bidi="fa-IR"/>
        </w:rPr>
        <w:t>.</w:t>
      </w:r>
    </w:p>
    <w:p>
      <w:pPr>
        <w:pStyle w:val="Heading4"/>
        <w:numPr>
          <w:ilvl w:val="3"/>
          <w:numId w:val="1"/>
        </w:numPr>
        <w:rPr/>
      </w:pPr>
      <w:bookmarkStart w:id="6807" w:name="__RefHeading___Toc2571132_3650668749"/>
      <w:bookmarkStart w:id="6808" w:name="_Toc3075"/>
      <w:bookmarkEnd w:id="6807"/>
      <w:r>
        <w:rPr>
          <w:rtl w:val="true"/>
        </w:rPr>
        <w:t>[ (</w:t>
      </w:r>
      <w:r>
        <w:rPr>
          <w:rtl w:val="true"/>
        </w:rPr>
        <w:t xml:space="preserve">مسألة </w:t>
      </w:r>
      <w:r>
        <w:rPr/>
        <w:t>19</w:t>
      </w:r>
      <w:r>
        <w:rPr>
          <w:rtl w:val="true"/>
        </w:rPr>
        <w:t xml:space="preserve">): </w:t>
      </w:r>
      <w:r>
        <w:rPr>
          <w:rtl w:val="true"/>
        </w:rPr>
        <w:t>المشاهد کالمساجد فی جمیع ما ذکر من الأحکام</w:t>
      </w:r>
      <w:r>
        <w:rPr>
          <w:rtl w:val="true"/>
        </w:rPr>
        <w:t>]</w:t>
      </w:r>
      <w:bookmarkEnd w:id="68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المشاهد کالمساجد فی جمیع ما ذکر من الأحکام، فإنّ المسلمین فیها شرع سواء، سواء العاکف فیها و الباد، و المجاور لها و المتحمّل إلیها من بعد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سبق إلیٰ مکان منها لزیارة أو صلاة أو دعاء أو قراءة کان أحقّ و أولی به، و لیس لأحد إزعاجه، و هل للزیارة أولویّة علیٰ غیرها کالصلاة فی المسجد بالنسبة إلیٰ غیرها لو قلنا بأولویّتها؟ لا یخلو من وجه، لکنّه غیر وجیه کأولویّة من جاء إلیها من البلاد البعیدة بالنسبة إلی المجاورین و إن کان ینبغی لهم مراعاتهم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مفارقة المکان و وضع الرحل و بقائه کما سبق </w:t>
      </w:r>
      <w:r>
        <w:rPr>
          <w:rStyle w:val="FootnoteAnchor"/>
          <w:rtl w:val="true"/>
        </w:rPr>
        <w:footnoteReference w:id="1769"/>
      </w:r>
      <w:r>
        <w:rPr>
          <w:rFonts w:ascii="IRNazanin" w:hAnsi="IRNazanin" w:eastAsia="IRNazanin"/>
          <w:color w:val="111111"/>
          <w:sz w:val="28"/>
          <w:sz w:val="28"/>
          <w:szCs w:val="28"/>
          <w:rtl w:val="true"/>
          <w:lang w:bidi="fa-IR"/>
        </w:rPr>
        <w:t>فی المساجد</w:t>
      </w:r>
      <w:r>
        <w:rPr>
          <w:rFonts w:eastAsia="IRNazanin" w:cs="IRNazanin"/>
          <w:color w:val="111111"/>
          <w:sz w:val="28"/>
          <w:szCs w:val="28"/>
          <w:rtl w:val="true"/>
          <w:lang w:bidi="fa-IR"/>
        </w:rPr>
        <w:t>.</w:t>
      </w:r>
    </w:p>
    <w:p>
      <w:pPr>
        <w:pStyle w:val="Heading4"/>
        <w:numPr>
          <w:ilvl w:val="3"/>
          <w:numId w:val="1"/>
        </w:numPr>
        <w:rPr/>
      </w:pPr>
      <w:bookmarkStart w:id="6809" w:name="__RefHeading___Toc2571134_3650668749"/>
      <w:bookmarkStart w:id="6810" w:name="_Toc3076"/>
      <w:bookmarkEnd w:id="6809"/>
      <w:r>
        <w:rPr>
          <w:rtl w:val="true"/>
        </w:rPr>
        <w:t>[ (</w:t>
      </w:r>
      <w:r>
        <w:rPr>
          <w:rtl w:val="true"/>
        </w:rPr>
        <w:t xml:space="preserve">مسألة </w:t>
      </w:r>
      <w:r>
        <w:rPr/>
        <w:t>20</w:t>
      </w:r>
      <w:r>
        <w:rPr>
          <w:rtl w:val="true"/>
        </w:rPr>
        <w:t xml:space="preserve">): </w:t>
      </w:r>
      <w:r>
        <w:rPr>
          <w:rtl w:val="true"/>
        </w:rPr>
        <w:t>و من المشترکات</w:t>
      </w:r>
      <w:r>
        <w:rPr>
          <w:rtl w:val="true"/>
        </w:rPr>
        <w:t xml:space="preserve">: </w:t>
      </w:r>
      <w:r>
        <w:rPr>
          <w:rtl w:val="true"/>
        </w:rPr>
        <w:t>المدارس بالنسبة إلیٰ طالبی العلم</w:t>
      </w:r>
      <w:r>
        <w:rPr>
          <w:rtl w:val="true"/>
        </w:rPr>
        <w:t>]</w:t>
      </w:r>
      <w:bookmarkEnd w:id="6810"/>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المدارس بالنسبة إلیٰ طالبی العلم، أو الطائفة الخاصّة منهم إذا خصّها الواقف بصنف خاصّ، کما إذا خصّها بصنف العرب أو العجم أو طالبی</w:t>
      </w:r>
      <w:bookmarkStart w:id="6811" w:name="pg1809_19796"/>
    </w:p>
    <w:p>
      <w:pPr>
        <w:pStyle w:val="BookText"/>
        <w:rPr/>
      </w:pPr>
      <w:bookmarkEnd w:id="6811"/>
      <w:r>
        <w:rPr>
          <w:rFonts w:ascii="IRNazanin" w:hAnsi="IRNazanin" w:eastAsia="IRNazanin"/>
          <w:color w:val="111111"/>
          <w:sz w:val="28"/>
          <w:sz w:val="28"/>
          <w:szCs w:val="28"/>
          <w:rtl w:val="true"/>
          <w:lang w:bidi="fa-IR"/>
        </w:rPr>
        <w:t xml:space="preserve">العلوم الشرعیّة أو خصوص الفقه مثلًا فهی بالنسبة إلیٰ مستحقّی السکنی بها کالمساجد </w:t>
      </w:r>
      <w:r>
        <w:rPr>
          <w:rStyle w:val="FootnoteAnchor"/>
          <w:rtl w:val="true"/>
        </w:rPr>
        <w:footnoteReference w:id="1770"/>
      </w:r>
      <w:r>
        <w:rPr>
          <w:rFonts w:ascii="IRNazanin" w:hAnsi="IRNazanin" w:eastAsia="IRNazanin"/>
          <w:color w:val="111111"/>
          <w:sz w:val="28"/>
          <w:sz w:val="28"/>
          <w:szCs w:val="28"/>
          <w:rtl w:val="true"/>
          <w:lang w:bidi="fa-IR"/>
        </w:rPr>
        <w:t>، فمن سبق إلیٰ سکنیٰ حجرة منها فهو أحقّ بها ما لم یفارقها معرضاً عنها و إن طالت مدّة السکنی، إلّا إذا اشترط الواقف له مدّة معیّنة کثلاث سنین مثلًا فیلزمه الخروج بعد انقضائها بلا مهلة و إن لم یؤمر به، أو شرط اتّصافه بصفة فزالت عنه تلک الصفة، کما إذا شرط کونه مشغولًا بالتحصیل أو التدریس فطرأ علیه العجز لمرض أو هرم و نحو ذلک</w:t>
      </w:r>
      <w:r>
        <w:rPr>
          <w:rFonts w:eastAsia="IRNazanin" w:cs="IRNazanin"/>
          <w:color w:val="111111"/>
          <w:sz w:val="28"/>
          <w:szCs w:val="28"/>
          <w:rtl w:val="true"/>
          <w:lang w:bidi="fa-IR"/>
        </w:rPr>
        <w:t>.</w:t>
      </w:r>
    </w:p>
    <w:p>
      <w:pPr>
        <w:pStyle w:val="Heading4"/>
        <w:numPr>
          <w:ilvl w:val="3"/>
          <w:numId w:val="1"/>
        </w:numPr>
        <w:rPr/>
      </w:pPr>
      <w:bookmarkStart w:id="6812" w:name="__RefHeading___Toc2571136_3650668749"/>
      <w:bookmarkStart w:id="6813" w:name="_Toc3077"/>
      <w:bookmarkEnd w:id="6812"/>
      <w:r>
        <w:rPr>
          <w:rtl w:val="true"/>
        </w:rPr>
        <w:t>[ (</w:t>
      </w:r>
      <w:r>
        <w:rPr>
          <w:rtl w:val="true"/>
        </w:rPr>
        <w:t xml:space="preserve">مسألة </w:t>
      </w:r>
      <w:r>
        <w:rPr/>
        <w:t>21</w:t>
      </w:r>
      <w:r>
        <w:rPr>
          <w:rtl w:val="true"/>
        </w:rPr>
        <w:t xml:space="preserve">): </w:t>
      </w:r>
      <w:r>
        <w:rPr>
          <w:rtl w:val="true"/>
        </w:rPr>
        <w:t>لا یبطل حقّ الساکن بالخروج لحاجة معتادة</w:t>
      </w:r>
      <w:r>
        <w:rPr>
          <w:rtl w:val="true"/>
        </w:rPr>
        <w:t>]</w:t>
      </w:r>
      <w:bookmarkEnd w:id="68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یبطل حقّ الساکن بالخروج لحاجة معتادة کشراء مأکول أو مشروب أو کسوة و نحوها قطعاً و إن لم یترک رحله فیها، و لا یلزم تخلیف أحد مکانه، بل و لا بالأسفار المتعارفة المعتادة کالرواح للزیارة أو لتحصیل المعاش أو للمعالجة مع نیّة العود و بقاء متاعه و رحله، ما لم تطل المدّة إلیٰ حدّ لم یصدق معه السکنی و الإقامة عرفاً </w:t>
      </w:r>
      <w:r>
        <w:rPr>
          <w:rStyle w:val="FootnoteAnchor"/>
          <w:rtl w:val="true"/>
        </w:rPr>
        <w:footnoteReference w:id="1771"/>
      </w:r>
      <w:r>
        <w:rPr>
          <w:rFonts w:ascii="IRNazanin" w:hAnsi="IRNazanin" w:eastAsia="IRNazanin"/>
          <w:color w:val="111111"/>
          <w:sz w:val="28"/>
          <w:sz w:val="28"/>
          <w:szCs w:val="28"/>
          <w:rtl w:val="true"/>
          <w:lang w:bidi="fa-IR"/>
        </w:rPr>
        <w:t>، و لم یشترط الواقف لذلک مدّة معیّنة، کما إذا شرط أن لا یکون خروجه أزید من شهر أو شهرین مثلًا فیبطل حقّه لو تعدّیٰ زمن خروجه عن تلک المدّة</w:t>
      </w:r>
      <w:r>
        <w:rPr>
          <w:rFonts w:eastAsia="IRNazanin" w:cs="IRNazanin"/>
          <w:color w:val="111111"/>
          <w:sz w:val="28"/>
          <w:szCs w:val="28"/>
          <w:rtl w:val="true"/>
          <w:lang w:bidi="fa-IR"/>
        </w:rPr>
        <w:t>.</w:t>
      </w:r>
    </w:p>
    <w:p>
      <w:pPr>
        <w:pStyle w:val="Heading4"/>
        <w:numPr>
          <w:ilvl w:val="3"/>
          <w:numId w:val="1"/>
        </w:numPr>
        <w:rPr/>
      </w:pPr>
      <w:bookmarkStart w:id="6814" w:name="__RefHeading___Toc2571138_3650668749"/>
      <w:bookmarkStart w:id="6815" w:name="_Toc3078"/>
      <w:bookmarkEnd w:id="6814"/>
      <w:r>
        <w:rPr>
          <w:rtl w:val="true"/>
        </w:rPr>
        <w:t>[ (</w:t>
      </w:r>
      <w:r>
        <w:rPr>
          <w:rtl w:val="true"/>
        </w:rPr>
        <w:t xml:space="preserve">مسألة </w:t>
      </w:r>
      <w:r>
        <w:rPr/>
        <w:t>22</w:t>
      </w:r>
      <w:r>
        <w:rPr>
          <w:rtl w:val="true"/>
        </w:rPr>
        <w:t xml:space="preserve">): </w:t>
      </w:r>
      <w:r>
        <w:rPr>
          <w:rtl w:val="true"/>
        </w:rPr>
        <w:t>من أقام فی حجرة منها ممّن یستحقّ السکنی بها، له أن یمنع من أن یشارکه غیره</w:t>
      </w:r>
      <w:r>
        <w:rPr>
          <w:rtl w:val="true"/>
        </w:rPr>
        <w:t>]</w:t>
      </w:r>
      <w:bookmarkEnd w:id="68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أقام فی حجرة منها ممّن یستحقّ السکنی بها، له أن یمنع من أن یشارکه غیره إذا کان المسکن معدّاً لواحد؛ إمّا بحسب قابلیة المحلّ أو بسبب شرط الواقف، و لو أُعدّ لما فوقه لم یکن له منع غیره إلّا إذا بلغ العدد الذی أُعدّ له، فللسکنة منع الزائد</w:t>
      </w:r>
      <w:r>
        <w:rPr>
          <w:rFonts w:eastAsia="IRNazanin" w:cs="IRNazanin"/>
          <w:color w:val="111111"/>
          <w:sz w:val="28"/>
          <w:szCs w:val="28"/>
          <w:rtl w:val="true"/>
          <w:lang w:bidi="fa-IR"/>
        </w:rPr>
        <w:t>.</w:t>
      </w:r>
    </w:p>
    <w:p>
      <w:pPr>
        <w:pStyle w:val="Heading4"/>
        <w:numPr>
          <w:ilvl w:val="3"/>
          <w:numId w:val="1"/>
        </w:numPr>
        <w:rPr/>
      </w:pPr>
      <w:bookmarkStart w:id="6816" w:name="__RefHeading___Toc2571140_3650668749"/>
      <w:bookmarkStart w:id="6817" w:name="_Toc3079"/>
      <w:bookmarkEnd w:id="6816"/>
      <w:r>
        <w:rPr>
          <w:rtl w:val="true"/>
        </w:rPr>
        <w:t>[ (</w:t>
      </w:r>
      <w:r>
        <w:rPr>
          <w:rtl w:val="true"/>
        </w:rPr>
        <w:t xml:space="preserve">مسألة </w:t>
      </w:r>
      <w:r>
        <w:rPr/>
        <w:t>23</w:t>
      </w:r>
      <w:r>
        <w:rPr>
          <w:rtl w:val="true"/>
        </w:rPr>
        <w:t xml:space="preserve">): </w:t>
      </w:r>
      <w:r>
        <w:rPr>
          <w:rtl w:val="true"/>
        </w:rPr>
        <w:t>و یلحق بالمدارس الربط</w:t>
      </w:r>
      <w:r>
        <w:rPr>
          <w:rtl w:val="true"/>
        </w:rPr>
        <w:t>]</w:t>
      </w:r>
      <w:bookmarkEnd w:id="68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بالمدارس الربط، و هی المواضع المبنیّة لسکنی الفقراء و الملحوظ فیها غالباً للغرباء، فمن سبق منهم إلیٰ إقامة بیت منها کان أحقّ به و لیس لأحد إزعاجه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مقدار حقّه، و ما به یبطل حقّه، و جواز منع الشریک و عدمه فیها کما سبق فی المدارس</w:t>
      </w:r>
      <w:r>
        <w:rPr>
          <w:rFonts w:eastAsia="IRNazanin" w:cs="IRNazanin"/>
          <w:color w:val="111111"/>
          <w:sz w:val="28"/>
          <w:szCs w:val="28"/>
          <w:rtl w:val="true"/>
          <w:lang w:bidi="fa-IR"/>
        </w:rPr>
        <w:t>.</w:t>
      </w:r>
    </w:p>
    <w:p>
      <w:pPr>
        <w:pStyle w:val="Heading4"/>
        <w:numPr>
          <w:ilvl w:val="3"/>
          <w:numId w:val="1"/>
        </w:numPr>
        <w:rPr/>
      </w:pPr>
      <w:bookmarkStart w:id="6818" w:name="__RefHeading___Toc2571142_3650668749"/>
      <w:bookmarkStart w:id="6819" w:name="_Toc3080"/>
      <w:bookmarkEnd w:id="6818"/>
      <w:r>
        <w:rPr>
          <w:rtl w:val="true"/>
        </w:rPr>
        <w:t>[ (</w:t>
      </w:r>
      <w:r>
        <w:rPr>
          <w:rtl w:val="true"/>
        </w:rPr>
        <w:t xml:space="preserve">مسألة </w:t>
      </w:r>
      <w:r>
        <w:rPr/>
        <w:t>24</w:t>
      </w:r>
      <w:r>
        <w:rPr>
          <w:rtl w:val="true"/>
        </w:rPr>
        <w:t xml:space="preserve">): </w:t>
      </w:r>
      <w:r>
        <w:rPr>
          <w:rtl w:val="true"/>
        </w:rPr>
        <w:t>و من المشترکات</w:t>
      </w:r>
      <w:r>
        <w:rPr>
          <w:rtl w:val="true"/>
        </w:rPr>
        <w:t xml:space="preserve">: </w:t>
      </w:r>
      <w:r>
        <w:rPr>
          <w:rtl w:val="true"/>
        </w:rPr>
        <w:t>المیاه</w:t>
      </w:r>
      <w:r>
        <w:rPr>
          <w:rtl w:val="true"/>
        </w:rPr>
        <w:t>]</w:t>
      </w:r>
      <w:bookmarkEnd w:id="6819"/>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المیاه، و المراد بها میاه الشطوط و الأنهار الکبار کدجلة</w:t>
      </w:r>
      <w:bookmarkStart w:id="6820" w:name="pg1809_19798"/>
    </w:p>
    <w:p>
      <w:pPr>
        <w:pStyle w:val="BookText"/>
        <w:rPr/>
      </w:pPr>
      <w:bookmarkEnd w:id="6820"/>
      <w:r>
        <w:rPr>
          <w:rFonts w:ascii="IRNazanin" w:hAnsi="IRNazanin" w:eastAsia="IRNazanin"/>
          <w:color w:val="111111"/>
          <w:sz w:val="28"/>
          <w:sz w:val="28"/>
          <w:szCs w:val="28"/>
          <w:rtl w:val="true"/>
          <w:lang w:bidi="fa-IR"/>
        </w:rPr>
        <w:t>و الفرات و النیل، أو الصغار التی لم یجرها أحد، بل جرت بنفسها من العیون أو السیول أو ذوبان الثلوج، و کذلک العیون المنفجرة من الجبال أو فی أراضی الموات و المیاه المجتمعة فی الوهاد من نزول الأمطار، فإنّ الناس فی جمیع ذلک شرع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حاز منها شیئاً بآنیة أو مصنع أو حوض و نحوها ملکه و جریٰ علیه أحکام الملک من غیر فرق بین المسلم و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میاه العیون و الآبار و القنوات التی حفرها أحد فی ملکه، أو فی الموات بقصد تملّک مائها، فهی ملک للحافر کسائر الأملاک لا یجوز لأحد أخذها و التصرّف </w:t>
      </w:r>
      <w:r>
        <w:rPr>
          <w:rStyle w:val="FootnoteAnchor"/>
          <w:rtl w:val="true"/>
        </w:rPr>
        <w:footnoteReference w:id="1772"/>
      </w:r>
      <w:r>
        <w:rPr>
          <w:rFonts w:ascii="IRNazanin" w:hAnsi="IRNazanin" w:eastAsia="IRNazanin"/>
          <w:color w:val="111111"/>
          <w:sz w:val="28"/>
          <w:sz w:val="28"/>
          <w:szCs w:val="28"/>
          <w:rtl w:val="true"/>
          <w:lang w:bidi="fa-IR"/>
        </w:rPr>
        <w:t>فیها إلّا بإذن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ینتقل إلیٰ غیره بالنواقل الشرعیة؛ قهریّةً کانت کالإرث، أو اختیاریّةً کالبیع و الصلح و الهبة و غیرها</w:t>
      </w:r>
      <w:r>
        <w:rPr>
          <w:rFonts w:eastAsia="IRNazanin" w:cs="IRNazanin"/>
          <w:color w:val="111111"/>
          <w:sz w:val="28"/>
          <w:szCs w:val="28"/>
          <w:rtl w:val="true"/>
          <w:lang w:bidi="fa-IR"/>
        </w:rPr>
        <w:t>.</w:t>
      </w:r>
    </w:p>
    <w:p>
      <w:pPr>
        <w:pStyle w:val="Heading4"/>
        <w:numPr>
          <w:ilvl w:val="3"/>
          <w:numId w:val="1"/>
        </w:numPr>
        <w:rPr/>
      </w:pPr>
      <w:bookmarkStart w:id="6821" w:name="__RefHeading___Toc2571144_3650668749"/>
      <w:bookmarkStart w:id="6822" w:name="_Toc3081"/>
      <w:bookmarkEnd w:id="6821"/>
      <w:r>
        <w:rPr>
          <w:rtl w:val="true"/>
        </w:rPr>
        <w:t>[ (</w:t>
      </w:r>
      <w:r>
        <w:rPr>
          <w:rtl w:val="true"/>
        </w:rPr>
        <w:t xml:space="preserve">مسألة </w:t>
      </w:r>
      <w:r>
        <w:rPr/>
        <w:t>25</w:t>
      </w:r>
      <w:r>
        <w:rPr>
          <w:rtl w:val="true"/>
        </w:rPr>
        <w:t xml:space="preserve">): </w:t>
      </w:r>
      <w:r>
        <w:rPr>
          <w:rtl w:val="true"/>
        </w:rPr>
        <w:t>إذا شقّ نهراً من ماء مباح کالشطّ و نحوه، ملک ما یدخل فیه من الماء</w:t>
      </w:r>
      <w:r>
        <w:rPr>
          <w:rtl w:val="true"/>
        </w:rPr>
        <w:t>]</w:t>
      </w:r>
      <w:bookmarkEnd w:id="68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شقّ نهراً من ماء مباح کالشطّ و نحوه، ملک ما یدخل فیه من الماء و یجری علیه أحکام الملک، کالماء المحوز فی آنیة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تتبع ملکیّة الماء ملکیّة النهر، فإن کان النهر لواحد ملک الماء بالتمام، و إن کان لجماعة ملک کلّ منهم من الماء بمقدار حصّته من ذلک النهر، فإن کان لواحد نصفه و لآخر ثلثه و لثالث سدسه ملکوا الماء بتلک النسبة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یتبع مقدار استحقاق الماء مقدار الأراضی التی تسقی منه، فلو کان النهر مشترکاً بین ثلاثة أشخاص بالتساوی، کان لکلّ منهم ثلث الماء و إن کانت الأراضی التی تسقی منه لأحدهم ألف جریب و لآخر جریباً و لآخر نصف جریب؛ یصرفان ما زاد علی احتیاج أرضهما فیما 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کان لأحدهما رحیً یدور به، و لم یکن له أرض أصلًا، یساوی مع کلّ من شریکیه فی استحقاق الماء</w:t>
      </w:r>
      <w:r>
        <w:rPr>
          <w:rFonts w:eastAsia="IRNazanin" w:cs="IRNazanin"/>
          <w:color w:val="111111"/>
          <w:sz w:val="28"/>
          <w:szCs w:val="28"/>
          <w:rtl w:val="true"/>
          <w:lang w:bidi="fa-IR"/>
        </w:rPr>
        <w:t>.</w:t>
      </w:r>
    </w:p>
    <w:p>
      <w:pPr>
        <w:pStyle w:val="Heading4"/>
        <w:numPr>
          <w:ilvl w:val="3"/>
          <w:numId w:val="1"/>
        </w:numPr>
        <w:rPr/>
      </w:pPr>
      <w:bookmarkStart w:id="6823" w:name="__RefHeading___Toc2571146_3650668749"/>
      <w:bookmarkStart w:id="6824" w:name="_Toc3082"/>
      <w:bookmarkEnd w:id="6823"/>
      <w:r>
        <w:rPr>
          <w:rtl w:val="true"/>
        </w:rPr>
        <w:t>[ (</w:t>
      </w:r>
      <w:r>
        <w:rPr>
          <w:rtl w:val="true"/>
        </w:rPr>
        <w:t xml:space="preserve">مسألة </w:t>
      </w:r>
      <w:r>
        <w:rPr/>
        <w:t>26</w:t>
      </w:r>
      <w:r>
        <w:rPr>
          <w:rtl w:val="true"/>
        </w:rPr>
        <w:t xml:space="preserve">): </w:t>
      </w:r>
      <w:r>
        <w:rPr>
          <w:rtl w:val="true"/>
        </w:rPr>
        <w:t>إنّما یملک النهر المتّصل بالمباح؛ إمّا بحفره فی أرض مملوکة له، و إمّا بحفره فی الموات</w:t>
      </w:r>
      <w:r>
        <w:rPr>
          <w:rtl w:val="true"/>
        </w:rPr>
        <w:t>]</w:t>
      </w:r>
      <w:bookmarkEnd w:id="68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یملک النهر المتّصل بالمباح؛ إمّا بحفره فی أرض مملوکة له، و إمّا بحفره فی الموات بقصد إحیائه نهراً مع نیّة تملّکه إلیٰ أن أوصله بالمباح کما مرّ فی إحیاء الموات فإن کان الحافر واحداً ملکه بالتمام، و إن کان جماعة کان بینهم </w:t>
      </w:r>
      <w:r>
        <w:rPr>
          <w:rStyle w:val="FootnoteAnchor"/>
          <w:rtl w:val="true"/>
        </w:rPr>
        <w:footnoteReference w:id="1773"/>
      </w:r>
      <w:r>
        <w:rPr>
          <w:rFonts w:ascii="IRNazanin" w:hAnsi="IRNazanin" w:eastAsia="IRNazanin"/>
          <w:color w:val="111111"/>
          <w:sz w:val="28"/>
          <w:sz w:val="28"/>
          <w:szCs w:val="28"/>
          <w:rtl w:val="true"/>
          <w:lang w:bidi="fa-IR"/>
        </w:rPr>
        <w:t xml:space="preserve">علیٰ قدر ما عملوا و أنفقوا </w:t>
      </w:r>
      <w:r>
        <w:rPr>
          <w:rStyle w:val="FootnoteAnchor"/>
          <w:rtl w:val="true"/>
        </w:rPr>
        <w:footnoteReference w:id="1774"/>
      </w:r>
      <w:r>
        <w:rPr>
          <w:rFonts w:ascii="IRNazanin" w:hAnsi="IRNazanin" w:eastAsia="IRNazanin"/>
          <w:color w:val="111111"/>
          <w:sz w:val="28"/>
          <w:sz w:val="28"/>
          <w:szCs w:val="28"/>
          <w:rtl w:val="true"/>
          <w:lang w:bidi="fa-IR"/>
        </w:rPr>
        <w:t>فمع التساوی بالتساوی و مع التفاوت بالتفاوت</w:t>
      </w:r>
      <w:r>
        <w:rPr>
          <w:rFonts w:eastAsia="IRNazanin" w:cs="IRNazanin"/>
          <w:color w:val="111111"/>
          <w:sz w:val="28"/>
          <w:szCs w:val="28"/>
          <w:rtl w:val="true"/>
          <w:lang w:bidi="fa-IR"/>
        </w:rPr>
        <w:t>.</w:t>
      </w:r>
    </w:p>
    <w:p>
      <w:pPr>
        <w:pStyle w:val="Heading4"/>
        <w:numPr>
          <w:ilvl w:val="3"/>
          <w:numId w:val="1"/>
        </w:numPr>
        <w:rPr/>
      </w:pPr>
      <w:bookmarkStart w:id="6825" w:name="__RefHeading___Toc2571148_3650668749"/>
      <w:bookmarkStart w:id="6826" w:name="_Toc3083"/>
      <w:bookmarkEnd w:id="6825"/>
      <w:r>
        <w:rPr>
          <w:rtl w:val="true"/>
        </w:rPr>
        <w:t>[ (</w:t>
      </w:r>
      <w:r>
        <w:rPr>
          <w:rtl w:val="true"/>
        </w:rPr>
        <w:t xml:space="preserve">مسألة </w:t>
      </w:r>
      <w:r>
        <w:rPr/>
        <w:t>27</w:t>
      </w:r>
      <w:r>
        <w:rPr>
          <w:rtl w:val="true"/>
        </w:rPr>
        <w:t xml:space="preserve">): </w:t>
      </w:r>
      <w:r>
        <w:rPr>
          <w:rtl w:val="true"/>
        </w:rPr>
        <w:t>لمّا کان الماء الذی یفیضه النهر المشترک بین جماعة مشترکاً بینهم</w:t>
      </w:r>
      <w:r>
        <w:rPr>
          <w:rtl w:val="true"/>
        </w:rPr>
        <w:t>]</w:t>
      </w:r>
      <w:bookmarkEnd w:id="6826"/>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الماء الذی یفیضه النهر المشترک بین جماعة مشترکاً بینهم، کان</w:t>
      </w:r>
      <w:bookmarkStart w:id="6827" w:name="pg1809_19800"/>
    </w:p>
    <w:p>
      <w:pPr>
        <w:pStyle w:val="BookText"/>
        <w:rPr/>
      </w:pPr>
      <w:bookmarkEnd w:id="6827"/>
      <w:r>
        <w:rPr>
          <w:rFonts w:ascii="IRNazanin" w:hAnsi="IRNazanin" w:eastAsia="IRNazanin"/>
          <w:color w:val="111111"/>
          <w:sz w:val="28"/>
          <w:sz w:val="28"/>
          <w:szCs w:val="28"/>
          <w:rtl w:val="true"/>
          <w:lang w:bidi="fa-IR"/>
        </w:rPr>
        <w:t>حکمه حکم سائر الأموال المشترکة، فلا یجوز لکلّ واحد منهم التصرّف فیه و أخذه و السقایة به إلّا بإذن باقی الشرکاء، فإن لم یکن بینهم تعاسر و یبیح کلّ منهم سائر شرکائه أن یقضی منه حاجته فی کلّ وقت و زمان فلا بحث، و إن وقع بینهم تعاسر فإن تراضوا بالتناوب و المهایاة بحسب الساعات أو الأیّام أو الأسابیع مثلًا فهو، و إلّا فلا محیص من تقسیمه بینهم بالأجزاء؛ بأن توضع علیٰ فم النهر خشبة أو صخرة أو حدیدة ذات ثقب متساویة السعة حتّی یتساوی الماء الجاری فیها و یجعل لکلّ منهم من الثقب بمقدار حصّته، و یجری کلّ منهم ما یجری فی الثقبة المختصّة به فی ساقیة تختصّ به؛ فإذا کان بین ثلاثة و سهامهم متساویة، فإن کانت الثقب ثلاثاً متساویة جعلت لکلّ منهم ثقبة، و إن کانت ستّاً جعلت لکلّ منهم ثقبتان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سهامهم متفاوتة تجعل الثقب علیٰ أقلّهم سهماً؛ فإذا کان لأحدهم نصفه و لآخر ثلثه و لثالث سدسه جعلت الثقب ستّاً؛ ثلاث منها لذی النصف و اثنتان لذی الثلث و واحدة لذی السدس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 افرزت حصّة کلّ منهم من الماء یصنع بمائه ما شاء؛ إن شاء استعمله فی الاستقاء أو فی غیره، و إن شاء باعه أو إباحة لغیره</w:t>
      </w:r>
      <w:r>
        <w:rPr>
          <w:rFonts w:eastAsia="IRNazanin" w:cs="IRNazanin"/>
          <w:color w:val="111111"/>
          <w:sz w:val="28"/>
          <w:szCs w:val="28"/>
          <w:rtl w:val="true"/>
          <w:lang w:bidi="fa-IR"/>
        </w:rPr>
        <w:t>.</w:t>
      </w:r>
    </w:p>
    <w:p>
      <w:pPr>
        <w:pStyle w:val="Heading4"/>
        <w:numPr>
          <w:ilvl w:val="3"/>
          <w:numId w:val="1"/>
        </w:numPr>
        <w:rPr/>
      </w:pPr>
      <w:bookmarkStart w:id="6828" w:name="__RefHeading___Toc2571150_3650668749"/>
      <w:bookmarkStart w:id="6829" w:name="_Toc3084"/>
      <w:bookmarkEnd w:id="6828"/>
      <w:r>
        <w:rPr>
          <w:rtl w:val="true"/>
        </w:rPr>
        <w:t>[ (</w:t>
      </w:r>
      <w:r>
        <w:rPr>
          <w:rtl w:val="true"/>
        </w:rPr>
        <w:t xml:space="preserve">مسألة </w:t>
      </w:r>
      <w:r>
        <w:rPr/>
        <w:t>28</w:t>
      </w:r>
      <w:r>
        <w:rPr>
          <w:rtl w:val="true"/>
        </w:rPr>
        <w:t xml:space="preserve">): </w:t>
      </w:r>
      <w:r>
        <w:rPr>
          <w:rtl w:val="true"/>
        </w:rPr>
        <w:t>الظاهر أنّ القسمة بحسب الأجزاء قسمة إجبار</w:t>
      </w:r>
      <w:r>
        <w:rPr>
          <w:rtl w:val="true"/>
        </w:rPr>
        <w:t>]</w:t>
      </w:r>
      <w:bookmarkEnd w:id="68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القسمة بحسب الأجزاء قسمة إجبار، فإذا طلبها أحد الشرکاء یجبر الممتنع منهم علیها، و هی لازمة لیس لأحدهم الرجوع عنها بعد وقوعها، و أمّا المهایاة فهی موقوفة علی التراضی و لیست بلازمة، فلبعضهم الرجوع عنها حتّی فیما إذا استوفیٰ تمام نوبته و لم یستوف الآخر نوبته، و إن ضمن حینئذٍ مقدار ما استوفاه بالقیمة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30" w:name="__RefHeading___Toc2571152_3650668749"/>
      <w:bookmarkStart w:id="6831" w:name="_Toc3085"/>
      <w:bookmarkEnd w:id="6830"/>
      <w:r>
        <w:rPr>
          <w:rtl w:val="true"/>
        </w:rPr>
        <w:t>[ (</w:t>
      </w:r>
      <w:r>
        <w:rPr>
          <w:rtl w:val="true"/>
        </w:rPr>
        <w:t xml:space="preserve">مسألة </w:t>
      </w:r>
      <w:r>
        <w:rPr/>
        <w:t>29</w:t>
      </w:r>
      <w:r>
        <w:rPr>
          <w:rtl w:val="true"/>
        </w:rPr>
        <w:t xml:space="preserve">): </w:t>
      </w:r>
      <w:r>
        <w:rPr>
          <w:rtl w:val="true"/>
        </w:rPr>
        <w:t>إذا اجتمعت أملاک علیٰ ماء مباح</w:t>
      </w:r>
      <w:r>
        <w:rPr>
          <w:rtl w:val="true"/>
        </w:rPr>
        <w:t>]</w:t>
      </w:r>
      <w:bookmarkEnd w:id="6831"/>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 أملاک علیٰ ماء مباح من عین أو واد أو نهر و نحوها بأن أحیاها أشخاص علیه لیسقوها منه بواسطة السواقی أو الدوالی أو النواعیر أو المکائن المتداولة فی هذه الأعصار، کان للجمیع حقّ السقی منه، فلیس لأحد أن یشقّ نهراً فوقها یقبض الماء کلّه أو ینقّصه عن مقدار احتیاج تلک الأملاک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فإن و فی الماء لسقی الجمیع من دون مزاحمة فی البین فهو، و إن لم یف و وقع بین أربابها فی التقدّم و التأخّر</w:t>
      </w:r>
      <w:bookmarkStart w:id="6832" w:name="pg1809_19803"/>
    </w:p>
    <w:p>
      <w:pPr>
        <w:pStyle w:val="BookText"/>
        <w:rPr/>
      </w:pPr>
      <w:bookmarkEnd w:id="6832"/>
      <w:r>
        <w:rPr>
          <w:rFonts w:ascii="IRNazanin" w:hAnsi="IRNazanin" w:eastAsia="IRNazanin"/>
          <w:color w:val="111111"/>
          <w:sz w:val="28"/>
          <w:sz w:val="28"/>
          <w:szCs w:val="28"/>
          <w:rtl w:val="true"/>
          <w:lang w:bidi="fa-IR"/>
        </w:rPr>
        <w:t xml:space="preserve">التشاحّ و التعاسر یقدّم الأسبق فالأسبق فی الإحیاء إن علم السابق، و إلّا یقدّم الأعلی فالأعلیٰ و الأقرب فالأقرب إلیٰ فوهة الماء واصلة، فیقضی الأعلی حاجته </w:t>
      </w:r>
      <w:r>
        <w:rPr>
          <w:rStyle w:val="FootnoteAnchor"/>
          <w:rtl w:val="true"/>
        </w:rPr>
        <w:footnoteReference w:id="1776"/>
      </w:r>
      <w:r>
        <w:rPr>
          <w:rFonts w:ascii="IRNazanin" w:hAnsi="IRNazanin" w:eastAsia="IRNazanin"/>
          <w:color w:val="111111"/>
          <w:sz w:val="28"/>
          <w:sz w:val="28"/>
          <w:szCs w:val="28"/>
          <w:rtl w:val="true"/>
          <w:lang w:bidi="fa-IR"/>
        </w:rPr>
        <w:t>ثمّ یرسله لمن یلیه و هکذا</w:t>
      </w:r>
      <w:r>
        <w:rPr>
          <w:rFonts w:eastAsia="IRNazanin" w:cs="IRNazanin"/>
          <w:color w:val="111111"/>
          <w:sz w:val="28"/>
          <w:szCs w:val="28"/>
          <w:rtl w:val="true"/>
          <w:lang w:bidi="fa-IR"/>
        </w:rPr>
        <w:t>.</w:t>
      </w:r>
    </w:p>
    <w:p>
      <w:pPr>
        <w:pStyle w:val="Heading4"/>
        <w:numPr>
          <w:ilvl w:val="3"/>
          <w:numId w:val="1"/>
        </w:numPr>
        <w:rPr/>
      </w:pPr>
      <w:bookmarkStart w:id="6833" w:name="__RefHeading___Toc2571154_3650668749"/>
      <w:bookmarkStart w:id="6834" w:name="_Toc3086"/>
      <w:bookmarkEnd w:id="6833"/>
      <w:r>
        <w:rPr>
          <w:rtl w:val="true"/>
        </w:rPr>
        <w:t>[ (</w:t>
      </w:r>
      <w:r>
        <w:rPr>
          <w:rtl w:val="true"/>
        </w:rPr>
        <w:t xml:space="preserve">مسألة </w:t>
      </w:r>
      <w:r>
        <w:rPr/>
        <w:t>30</w:t>
      </w:r>
      <w:r>
        <w:rPr>
          <w:rtl w:val="true"/>
        </w:rPr>
        <w:t xml:space="preserve">): </w:t>
      </w:r>
      <w:r>
        <w:rPr>
          <w:rtl w:val="true"/>
        </w:rPr>
        <w:t>الأنهار المملوکة المنشقّة من الشطوط و نحوها؛ إذا وقع التعاسر بین أربابها</w:t>
      </w:r>
      <w:r>
        <w:rPr>
          <w:rtl w:val="true"/>
        </w:rPr>
        <w:t>]</w:t>
      </w:r>
      <w:bookmarkEnd w:id="68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الأنهار المملوکة المنشقّة من الشطوط و نحوها؛ إذا وقع التعاسر بین أربابها بأن کان الشطّ لا یفی فی زمان واحد بإملاء جمیع تلک الأنهار کان حالها کحال اجتماع الأملاک علی الماء المباح المتقدّم فی المسألة السابقة، فالأحقّ ما کان شقّه أسبق ثمّ الأسبق، و إن لم یعلم الأسبق فالمدار علی الأعلی فالأعلیٰ، فیقبض الأعلی ما یسعه ثمّ ما یلیه و هکذا</w:t>
      </w:r>
      <w:r>
        <w:rPr>
          <w:rFonts w:eastAsia="IRNazanin" w:cs="IRNazanin"/>
          <w:color w:val="111111"/>
          <w:sz w:val="28"/>
          <w:szCs w:val="28"/>
          <w:rtl w:val="true"/>
          <w:lang w:bidi="fa-IR"/>
        </w:rPr>
        <w:t>.</w:t>
      </w:r>
    </w:p>
    <w:p>
      <w:pPr>
        <w:pStyle w:val="Heading4"/>
        <w:numPr>
          <w:ilvl w:val="3"/>
          <w:numId w:val="1"/>
        </w:numPr>
        <w:rPr/>
      </w:pPr>
      <w:bookmarkStart w:id="6835" w:name="__RefHeading___Toc2571156_3650668749"/>
      <w:bookmarkStart w:id="6836" w:name="_Toc3087"/>
      <w:bookmarkEnd w:id="6835"/>
      <w:r>
        <w:rPr>
          <w:rtl w:val="true"/>
        </w:rPr>
        <w:t>[ (</w:t>
      </w:r>
      <w:r>
        <w:rPr>
          <w:rtl w:val="true"/>
        </w:rPr>
        <w:t xml:space="preserve">مسألة </w:t>
      </w:r>
      <w:r>
        <w:rPr/>
        <w:t>31</w:t>
      </w:r>
      <w:r>
        <w:rPr>
          <w:rtl w:val="true"/>
        </w:rPr>
        <w:t xml:space="preserve">): </w:t>
      </w:r>
      <w:r>
        <w:rPr>
          <w:rtl w:val="true"/>
        </w:rPr>
        <w:t>لو احتاج النهر المملوک المشترک بین جماعة إلیٰ تنقیه أو حفر</w:t>
      </w:r>
      <w:r>
        <w:rPr>
          <w:rtl w:val="true"/>
        </w:rPr>
        <w:t>]</w:t>
      </w:r>
      <w:bookmarkEnd w:id="68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احتاج النهر المملوک المشترک بین جماعة إلیٰ تنقیه أو حفر أو إصلاح أو سدّ خرق و نحو ذلک، فإن أقدم الجمیع علیٰ ذلک کانت المئونة علی الجمیع بنسبة ملکهم للنهر؛ سواء کان إقدامهم بالاختیار أو بالإجبار من حاکم قاهر جائر أو بإلزام من الشرع، کما إذا کان مشترکاً بین المولّی علیهم و رأی الولیّ المصلحة الملزمة فی تعمیره مثلًا، و إن لم یقدم إلّا البعض لم یجبر الممتنع و لیس للمقدّمین مطالبته بحصّته من المئونة، ما لم یکن إقدامهم بالتماس منه و تعهّده ببذل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النهر مشترکاً بین القاصر و غیره، و کان إقدام غیر القاصر متوقّفاً علیٰ مشارکة القاصر إمّا لعدم اقتداره بدونه أو لغیر ذلک وجب علیٰ ولیّ القاصر مراعاة لمصلحته تشریکه فی التعمیر و بذل المئونة من ماله بمقدار حصّته</w:t>
      </w:r>
      <w:r>
        <w:rPr>
          <w:rFonts w:eastAsia="IRNazanin" w:cs="IRNazanin"/>
          <w:color w:val="111111"/>
          <w:sz w:val="28"/>
          <w:szCs w:val="28"/>
          <w:rtl w:val="true"/>
          <w:lang w:bidi="fa-IR"/>
        </w:rPr>
        <w:t>.</w:t>
      </w:r>
    </w:p>
    <w:p>
      <w:pPr>
        <w:pStyle w:val="Heading4"/>
        <w:numPr>
          <w:ilvl w:val="3"/>
          <w:numId w:val="1"/>
        </w:numPr>
        <w:rPr/>
      </w:pPr>
      <w:bookmarkStart w:id="6837" w:name="__RefHeading___Toc2571158_3650668749"/>
      <w:bookmarkStart w:id="6838" w:name="_Toc3088"/>
      <w:bookmarkEnd w:id="6837"/>
      <w:r>
        <w:rPr>
          <w:rtl w:val="true"/>
        </w:rPr>
        <w:t>[ (</w:t>
      </w:r>
      <w:r>
        <w:rPr>
          <w:rtl w:val="true"/>
        </w:rPr>
        <w:t xml:space="preserve">مسألة </w:t>
      </w:r>
      <w:r>
        <w:rPr/>
        <w:t>32</w:t>
      </w:r>
      <w:r>
        <w:rPr>
          <w:rtl w:val="true"/>
        </w:rPr>
        <w:t xml:space="preserve">): </w:t>
      </w:r>
      <w:r>
        <w:rPr>
          <w:rtl w:val="true"/>
        </w:rPr>
        <w:t>و من المشترکات</w:t>
      </w:r>
      <w:r>
        <w:rPr>
          <w:rtl w:val="true"/>
        </w:rPr>
        <w:t xml:space="preserve">: </w:t>
      </w:r>
      <w:r>
        <w:rPr>
          <w:rtl w:val="true"/>
        </w:rPr>
        <w:t>المعادن</w:t>
      </w:r>
      <w:r>
        <w:rPr>
          <w:rtl w:val="true"/>
        </w:rPr>
        <w:t>]</w:t>
      </w:r>
      <w:bookmarkEnd w:id="6838"/>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المعادن، و هی إمّا ظاهرة؛ و هی ما لا یحتاج فی استخراجها و الوصول إلیها إلیٰ عمل و مئونة کالملح </w:t>
      </w:r>
      <w:r>
        <w:rPr>
          <w:rStyle w:val="FootnoteAnchor"/>
          <w:rtl w:val="true"/>
        </w:rPr>
        <w:footnoteReference w:id="1777"/>
      </w:r>
      <w:r>
        <w:rPr>
          <w:rFonts w:ascii="IRNazanin" w:hAnsi="IRNazanin" w:eastAsia="IRNazanin"/>
          <w:color w:val="111111"/>
          <w:sz w:val="28"/>
          <w:sz w:val="28"/>
          <w:szCs w:val="28"/>
          <w:rtl w:val="true"/>
          <w:lang w:bidi="fa-IR"/>
        </w:rPr>
        <w:t>و القیر و الکبریت و المومیا و الکحل، و کذا النفط إذا لم یحتج فی استخراجه إلی الحفر و العمل، و إمّا باطنة؛ و هی ما لا تظهر إلّا بالعمل و العلاج کالذهب و الفضّة و النحاس و الرصاص، و کذا النفط إذا احتاج فی</w:t>
      </w:r>
      <w:bookmarkStart w:id="6839" w:name="pg1809_19805"/>
    </w:p>
    <w:p>
      <w:pPr>
        <w:pStyle w:val="BookText"/>
        <w:rPr/>
      </w:pPr>
      <w:bookmarkEnd w:id="6839"/>
      <w:r>
        <w:rPr>
          <w:rFonts w:ascii="IRNazanin" w:hAnsi="IRNazanin" w:eastAsia="IRNazanin"/>
          <w:color w:val="111111"/>
          <w:sz w:val="28"/>
          <w:sz w:val="28"/>
          <w:szCs w:val="28"/>
          <w:rtl w:val="true"/>
          <w:lang w:bidi="fa-IR"/>
        </w:rPr>
        <w:t xml:space="preserve">استخراجه إلیٰ حفر آبار، کما هو المعمول غالباً فی هذه الأعصار، فأمّا الظاهرة؛ فهی تملک بالحیازة لا بالإحیاء فمن أخذ منها شیئاً ملک ما أخذه؛ قلیلًا کان أو کثیراً و إن کان زائداً علیٰ ما یعتاد لمثله و علیٰ مقدار حاجته، و یبقی الباقی ممّا لم یأخذه علی الاشتراک، و لا یختصّ بالسابق فی الأخذ، و لیس له </w:t>
      </w:r>
      <w:r>
        <w:rPr>
          <w:rStyle w:val="FootnoteAnchor"/>
          <w:rtl w:val="true"/>
        </w:rPr>
        <w:footnoteReference w:id="1778"/>
      </w:r>
      <w:r>
        <w:rPr>
          <w:rFonts w:ascii="IRNazanin" w:hAnsi="IRNazanin" w:eastAsia="IRNazanin"/>
          <w:color w:val="111111"/>
          <w:sz w:val="28"/>
          <w:sz w:val="28"/>
          <w:szCs w:val="28"/>
          <w:rtl w:val="true"/>
          <w:lang w:bidi="fa-IR"/>
        </w:rPr>
        <w:t>أن یحوز مقداراً یوجب الضیق و المضارّة علی الناس، و أمّا الباطنة؛ فهی تملک بالإحیاء؛ بأن ینهی العمل و النقب و الحفر إلیٰ أن یبلغ نیلها، فیکون حالها حال الآبار المحفورة فی الموات لأجل استنباط الماء، و قد مرّ أنّها تملک بحفرها حتّی یبلغ الماء و یملک بتبعها الماء، و لو عمل فیها عملًا لم یبلغ به نیلها کان تحجیراً أفاد الأحقیّة و الأولویّة دون الملکیّة</w:t>
      </w:r>
      <w:r>
        <w:rPr>
          <w:rFonts w:eastAsia="IRNazanin" w:cs="IRNazanin"/>
          <w:color w:val="111111"/>
          <w:sz w:val="28"/>
          <w:szCs w:val="28"/>
          <w:rtl w:val="true"/>
          <w:lang w:bidi="fa-IR"/>
        </w:rPr>
        <w:t>.</w:t>
      </w:r>
    </w:p>
    <w:p>
      <w:pPr>
        <w:pStyle w:val="Heading4"/>
        <w:numPr>
          <w:ilvl w:val="3"/>
          <w:numId w:val="1"/>
        </w:numPr>
        <w:rPr/>
      </w:pPr>
      <w:bookmarkStart w:id="6840" w:name="__RefHeading___Toc2571160_3650668749"/>
      <w:bookmarkStart w:id="6841" w:name="_Toc3089"/>
      <w:bookmarkEnd w:id="6840"/>
      <w:r>
        <w:rPr>
          <w:rtl w:val="true"/>
        </w:rPr>
        <w:t>[ (</w:t>
      </w:r>
      <w:r>
        <w:rPr>
          <w:rtl w:val="true"/>
        </w:rPr>
        <w:t xml:space="preserve">مسألة </w:t>
      </w:r>
      <w:r>
        <w:rPr/>
        <w:t>33</w:t>
      </w:r>
      <w:r>
        <w:rPr>
          <w:rtl w:val="true"/>
        </w:rPr>
        <w:t xml:space="preserve">): </w:t>
      </w:r>
      <w:r>
        <w:rPr>
          <w:rtl w:val="true"/>
        </w:rPr>
        <w:t>إذا شرع فی إحیاء معدن ثمّ أهمله و عطّله اجبر علیٰ إتمام العمل أو رفع یده عنه</w:t>
      </w:r>
      <w:r>
        <w:rPr>
          <w:rtl w:val="true"/>
        </w:rPr>
        <w:t>]</w:t>
      </w:r>
      <w:bookmarkEnd w:id="68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شرع فی إحیاء معدن ثمّ أهمله و عطّله اجبر علیٰ إتمام العمل أو رفع یده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أبدیٰ عذراً انظر بمقدار زوال عذره ثمّ الزم علیٰ أحد الأمرین، کما سبق ذلک کلّه فی إحیاء الموات</w:t>
      </w:r>
      <w:r>
        <w:rPr>
          <w:rFonts w:eastAsia="IRNazanin" w:cs="IRNazanin"/>
          <w:color w:val="111111"/>
          <w:sz w:val="28"/>
          <w:szCs w:val="28"/>
          <w:rtl w:val="true"/>
          <w:lang w:bidi="fa-IR"/>
        </w:rPr>
        <w:t>.</w:t>
      </w:r>
    </w:p>
    <w:p>
      <w:pPr>
        <w:pStyle w:val="Heading4"/>
        <w:numPr>
          <w:ilvl w:val="3"/>
          <w:numId w:val="1"/>
        </w:numPr>
        <w:rPr/>
      </w:pPr>
      <w:bookmarkStart w:id="6842" w:name="__RefHeading___Toc2571162_3650668749"/>
      <w:bookmarkStart w:id="6843" w:name="_Toc3090"/>
      <w:bookmarkEnd w:id="6842"/>
      <w:r>
        <w:rPr>
          <w:rtl w:val="true"/>
        </w:rPr>
        <w:t>[ (</w:t>
      </w:r>
      <w:r>
        <w:rPr>
          <w:rtl w:val="true"/>
        </w:rPr>
        <w:t xml:space="preserve">مسألة </w:t>
      </w:r>
      <w:r>
        <w:rPr/>
        <w:t>34</w:t>
      </w:r>
      <w:r>
        <w:rPr>
          <w:rtl w:val="true"/>
        </w:rPr>
        <w:t xml:space="preserve">): </w:t>
      </w:r>
      <w:r>
        <w:rPr>
          <w:rtl w:val="true"/>
        </w:rPr>
        <w:t>لو أحیا أرضاً مزرعاً أو مسکناً مثلًا فظهر فیها معدن ملکه تبعاً لها</w:t>
      </w:r>
      <w:r>
        <w:rPr>
          <w:rtl w:val="true"/>
        </w:rPr>
        <w:t>]</w:t>
      </w:r>
      <w:bookmarkEnd w:id="68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أحیا أرضاً مزرعاً أو مسکناً مثلًا فظهر فیها معدن ملکه تبعاً لها؛ سواء کان عالماً به حین إحیائها أم لا</w:t>
      </w:r>
      <w:r>
        <w:rPr>
          <w:rFonts w:eastAsia="IRNazanin" w:cs="IRNazanin"/>
          <w:color w:val="111111"/>
          <w:sz w:val="28"/>
          <w:szCs w:val="28"/>
          <w:rtl w:val="true"/>
          <w:lang w:bidi="fa-IR"/>
        </w:rPr>
        <w:t>.</w:t>
      </w:r>
    </w:p>
    <w:p>
      <w:pPr>
        <w:pStyle w:val="Heading4"/>
        <w:numPr>
          <w:ilvl w:val="3"/>
          <w:numId w:val="1"/>
        </w:numPr>
        <w:rPr/>
      </w:pPr>
      <w:bookmarkStart w:id="6844" w:name="__RefHeading___Toc2571164_3650668749"/>
      <w:bookmarkStart w:id="6845" w:name="_Toc3091"/>
      <w:bookmarkEnd w:id="6844"/>
      <w:r>
        <w:rPr>
          <w:rtl w:val="true"/>
        </w:rPr>
        <w:t>[ (</w:t>
      </w:r>
      <w:r>
        <w:rPr>
          <w:rtl w:val="true"/>
        </w:rPr>
        <w:t xml:space="preserve">مسألة </w:t>
      </w:r>
      <w:r>
        <w:rPr/>
        <w:t>35</w:t>
      </w:r>
      <w:r>
        <w:rPr>
          <w:rtl w:val="true"/>
        </w:rPr>
        <w:t xml:space="preserve">): </w:t>
      </w:r>
      <w:r>
        <w:rPr>
          <w:rtl w:val="true"/>
        </w:rPr>
        <w:t>لو قال ربّ المعدن لآخر</w:t>
      </w:r>
      <w:r>
        <w:rPr>
          <w:rtl w:val="true"/>
        </w:rPr>
        <w:t xml:space="preserve">: </w:t>
      </w:r>
      <w:r>
        <w:rPr>
          <w:rtl w:val="true"/>
        </w:rPr>
        <w:t>اعمل فیه و لک نصف الخارج مثلًا، بطل</w:t>
      </w:r>
      <w:r>
        <w:rPr>
          <w:rtl w:val="true"/>
        </w:rPr>
        <w:t>]</w:t>
      </w:r>
      <w:bookmarkEnd w:id="6845"/>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ربّ المعدن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فیه و لک نصف الخارج مثلًا، بطل إن کان بعنوان الإجارة، و صحّ لو کان بعنوان الجعالة</w:t>
      </w:r>
      <w:r>
        <w:rPr>
          <w:rFonts w:eastAsia="IRNazanin" w:cs="IRNazanin"/>
          <w:color w:val="111111"/>
          <w:sz w:val="28"/>
          <w:szCs w:val="28"/>
          <w:rtl w:val="true"/>
          <w:lang w:bidi="fa-IR"/>
        </w:rPr>
        <w:t>.</w:t>
      </w:r>
      <w:bookmarkStart w:id="6846" w:name="pg1809_19807"/>
    </w:p>
    <w:p>
      <w:pPr>
        <w:pStyle w:val="Heading2"/>
        <w:numPr>
          <w:ilvl w:val="1"/>
          <w:numId w:val="1"/>
        </w:numPr>
        <w:rPr/>
      </w:pPr>
      <w:bookmarkStart w:id="6847" w:name="__RefHeading___Toc2571166_3650668749"/>
      <w:bookmarkStart w:id="6848" w:name="_Toc3092"/>
      <w:bookmarkEnd w:id="6846"/>
      <w:bookmarkEnd w:id="6847"/>
      <w:r>
        <w:rPr>
          <w:rtl w:val="true"/>
        </w:rPr>
        <w:t>[</w:t>
      </w:r>
      <w:r>
        <w:rPr>
          <w:rtl w:val="true"/>
        </w:rPr>
        <w:t>کتاب اللقطة</w:t>
      </w:r>
      <w:r>
        <w:rPr>
          <w:rtl w:val="true"/>
        </w:rPr>
        <w:t>]</w:t>
      </w:r>
      <w:bookmarkEnd w:id="6848"/>
    </w:p>
    <w:p>
      <w:pPr>
        <w:pStyle w:val="Heading3"/>
        <w:numPr>
          <w:ilvl w:val="2"/>
          <w:numId w:val="1"/>
        </w:numPr>
        <w:rPr/>
      </w:pPr>
      <w:bookmarkStart w:id="6849" w:name="__RefHeading___Toc2571168_3650668749"/>
      <w:bookmarkStart w:id="6850" w:name="_Toc3093"/>
      <w:bookmarkEnd w:id="6849"/>
      <w:r>
        <w:rPr>
          <w:rtl w:val="true"/>
        </w:rPr>
        <w:t>اشارة</w:t>
      </w:r>
      <w:bookmarkEnd w:id="6850"/>
    </w:p>
    <w:p>
      <w:pPr>
        <w:pStyle w:val="BookText"/>
        <w:rPr/>
      </w:pPr>
      <w:r>
        <w:rPr>
          <w:rFonts w:ascii="IRNazanin" w:hAnsi="IRNazanin" w:eastAsia="IRNazanin"/>
          <w:color w:val="111111"/>
          <w:sz w:val="28"/>
          <w:sz w:val="28"/>
          <w:szCs w:val="28"/>
          <w:rtl w:val="true"/>
          <w:lang w:bidi="fa-IR"/>
        </w:rPr>
        <w:t>کتاب اللقطة التی بمعناها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مال ضائع عن مالکه و لم یکن ید علیه، و هی إمّا حیوان، أو غیر حیوان</w:t>
      </w:r>
      <w:r>
        <w:rPr>
          <w:rFonts w:eastAsia="IRNazanin" w:cs="IRNazanin"/>
          <w:color w:val="111111"/>
          <w:sz w:val="28"/>
          <w:szCs w:val="28"/>
          <w:rtl w:val="true"/>
          <w:lang w:bidi="fa-IR"/>
        </w:rPr>
        <w:t>:</w:t>
      </w:r>
    </w:p>
    <w:p>
      <w:pPr>
        <w:pStyle w:val="Heading3"/>
        <w:numPr>
          <w:ilvl w:val="2"/>
          <w:numId w:val="1"/>
        </w:numPr>
        <w:rPr/>
      </w:pPr>
      <w:bookmarkStart w:id="6851" w:name="__RefHeading___Toc2571170_3650668749"/>
      <w:bookmarkStart w:id="6852" w:name="_Toc3094"/>
      <w:bookmarkEnd w:id="6851"/>
      <w:r>
        <w:rPr>
          <w:rtl w:val="true"/>
        </w:rPr>
        <w:t>[</w:t>
      </w:r>
      <w:r>
        <w:rPr>
          <w:rtl w:val="true"/>
        </w:rPr>
        <w:t>القول فی لقطة الحیوان</w:t>
      </w:r>
      <w:r>
        <w:rPr>
          <w:rtl w:val="true"/>
        </w:rPr>
        <w:t>]</w:t>
      </w:r>
      <w:bookmarkEnd w:id="6852"/>
    </w:p>
    <w:p>
      <w:pPr>
        <w:pStyle w:val="Heading4"/>
        <w:numPr>
          <w:ilvl w:val="3"/>
          <w:numId w:val="1"/>
        </w:numPr>
        <w:rPr/>
      </w:pPr>
      <w:bookmarkStart w:id="6853" w:name="__RefHeading___Toc2571172_3650668749"/>
      <w:bookmarkStart w:id="6854" w:name="_Toc3095"/>
      <w:bookmarkEnd w:id="6853"/>
      <w:r>
        <w:rPr>
          <w:rtl w:val="true"/>
        </w:rPr>
        <w:t>اشارة</w:t>
      </w:r>
      <w:bookmarkEnd w:id="6854"/>
    </w:p>
    <w:p>
      <w:pPr>
        <w:pStyle w:val="BookText"/>
        <w:rPr/>
      </w:pPr>
      <w:r>
        <w:rPr>
          <w:rFonts w:ascii="IRNazanin" w:hAnsi="IRNazanin" w:eastAsia="IRNazanin"/>
          <w:color w:val="111111"/>
          <w:sz w:val="28"/>
          <w:sz w:val="28"/>
          <w:szCs w:val="28"/>
          <w:rtl w:val="true"/>
          <w:lang w:bidi="fa-IR"/>
        </w:rPr>
        <w:t xml:space="preserve">القول فی لقطة الحیوان و هی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الضالّة</w:t>
      </w:r>
      <w:r>
        <w:rPr>
          <w:rFonts w:eastAsia="IRNazanin" w:cs="IRNazanin"/>
          <w:color w:val="111111"/>
          <w:sz w:val="28"/>
          <w:szCs w:val="28"/>
          <w:rtl w:val="true"/>
          <w:lang w:bidi="fa-IR"/>
        </w:rPr>
        <w:t>».</w:t>
      </w:r>
    </w:p>
    <w:p>
      <w:pPr>
        <w:pStyle w:val="Heading4"/>
        <w:numPr>
          <w:ilvl w:val="3"/>
          <w:numId w:val="1"/>
        </w:numPr>
        <w:rPr/>
      </w:pPr>
      <w:bookmarkStart w:id="6855" w:name="__RefHeading___Toc2571174_3650668749"/>
      <w:bookmarkStart w:id="6856" w:name="_Toc3096"/>
      <w:bookmarkEnd w:id="6855"/>
      <w:r>
        <w:rPr>
          <w:rtl w:val="true"/>
        </w:rPr>
        <w:t>[ (</w:t>
      </w:r>
      <w:r>
        <w:rPr>
          <w:rtl w:val="true"/>
        </w:rPr>
        <w:t xml:space="preserve">مسألة </w:t>
      </w:r>
      <w:r>
        <w:rPr/>
        <w:t>1</w:t>
      </w:r>
      <w:r>
        <w:rPr>
          <w:rtl w:val="true"/>
        </w:rPr>
        <w:t xml:space="preserve">): </w:t>
      </w:r>
      <w:r>
        <w:rPr>
          <w:rtl w:val="true"/>
        </w:rPr>
        <w:t>إذا وجد الحیوان فی العمران لا یجوز أخذه و وضع الید علیه</w:t>
      </w:r>
      <w:r>
        <w:rPr>
          <w:rtl w:val="true"/>
        </w:rPr>
        <w:t>]</w:t>
      </w:r>
      <w:bookmarkEnd w:id="68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الحیوان فی العمران لا یجوز أخذه و وضع الید علیه أیّ حیوان کان، فمن أخذه ضمنه، و یجب علیه حفظه </w:t>
      </w:r>
      <w:r>
        <w:rPr>
          <w:rStyle w:val="FootnoteAnchor"/>
          <w:rtl w:val="true"/>
        </w:rPr>
        <w:footnoteReference w:id="1779"/>
      </w:r>
      <w:r>
        <w:rPr>
          <w:rFonts w:ascii="IRNazanin" w:hAnsi="IRNazanin" w:eastAsia="IRNazanin"/>
          <w:color w:val="111111"/>
          <w:sz w:val="28"/>
          <w:sz w:val="28"/>
          <w:szCs w:val="28"/>
          <w:rtl w:val="true"/>
          <w:lang w:bidi="fa-IR"/>
        </w:rPr>
        <w:t>من التلف و الإنفاق علیه بما یلزم، و لیس له الرجوع علیٰ صاحبه بما أنفق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فی معرض الخطر لمرض أو غیره جاز له أخذه من دون ضمان و یجب علیه الإنفاق علیه، و جاز له الرجوع بما أنفقه علیٰ مالکه، لو کان إنفاقه علیه بقصد الرجوع علیه، و إن کان له منفعة من رکوب أو حمل علیه أو لبن و نحوه، جاز له استیفاؤها و احتسابها بإزاء </w:t>
      </w:r>
      <w:r>
        <w:rPr>
          <w:rStyle w:val="FootnoteAnchor"/>
          <w:rtl w:val="true"/>
        </w:rPr>
        <w:footnoteReference w:id="1780"/>
      </w:r>
      <w:r>
        <w:rPr>
          <w:rFonts w:ascii="IRNazanin" w:hAnsi="IRNazanin" w:eastAsia="IRNazanin"/>
          <w:color w:val="111111"/>
          <w:sz w:val="28"/>
          <w:sz w:val="28"/>
          <w:szCs w:val="28"/>
          <w:rtl w:val="true"/>
          <w:lang w:bidi="fa-IR"/>
        </w:rPr>
        <w:t>ما أنفق</w:t>
      </w:r>
      <w:r>
        <w:rPr>
          <w:rFonts w:eastAsia="IRNazanin" w:cs="IRNazanin"/>
          <w:color w:val="111111"/>
          <w:sz w:val="28"/>
          <w:szCs w:val="28"/>
          <w:rtl w:val="true"/>
          <w:lang w:bidi="fa-IR"/>
        </w:rPr>
        <w:t>.</w:t>
      </w:r>
    </w:p>
    <w:p>
      <w:pPr>
        <w:pStyle w:val="Heading4"/>
        <w:numPr>
          <w:ilvl w:val="3"/>
          <w:numId w:val="1"/>
        </w:numPr>
        <w:rPr/>
      </w:pPr>
      <w:bookmarkStart w:id="6857" w:name="__RefHeading___Toc2571176_3650668749"/>
      <w:bookmarkStart w:id="6858" w:name="_Toc3097"/>
      <w:bookmarkEnd w:id="6857"/>
      <w:r>
        <w:rPr>
          <w:rtl w:val="true"/>
        </w:rPr>
        <w:t>[ (</w:t>
      </w:r>
      <w:r>
        <w:rPr>
          <w:rtl w:val="true"/>
        </w:rPr>
        <w:t xml:space="preserve">مسألة </w:t>
      </w:r>
      <w:r>
        <w:rPr/>
        <w:t>2</w:t>
      </w:r>
      <w:r>
        <w:rPr>
          <w:rtl w:val="true"/>
        </w:rPr>
        <w:t xml:space="preserve">): </w:t>
      </w:r>
      <w:r>
        <w:rPr>
          <w:rtl w:val="true"/>
        </w:rPr>
        <w:t>بعد ما أخذ الحیوان فی العمران و صار تحت یده، یجب علیه الفحص عن صاحبه</w:t>
      </w:r>
      <w:r>
        <w:rPr>
          <w:rtl w:val="true"/>
        </w:rPr>
        <w:t>]</w:t>
      </w:r>
      <w:bookmarkEnd w:id="68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أخذ الحیوان فی العمران و صار تحت یده، یجب علیه الفحص عن صاحبه فی صورتی جواز الأخذ و عدمه، فإذا یئس من صاحبه تصدّق به أو بثمنه، کغیره من مجهول المالک</w:t>
      </w:r>
      <w:r>
        <w:rPr>
          <w:rFonts w:eastAsia="IRNazanin" w:cs="IRNazanin"/>
          <w:color w:val="111111"/>
          <w:sz w:val="28"/>
          <w:szCs w:val="28"/>
          <w:rtl w:val="true"/>
          <w:lang w:bidi="fa-IR"/>
        </w:rPr>
        <w:t>.</w:t>
      </w:r>
    </w:p>
    <w:p>
      <w:pPr>
        <w:pStyle w:val="Heading4"/>
        <w:numPr>
          <w:ilvl w:val="3"/>
          <w:numId w:val="1"/>
        </w:numPr>
        <w:rPr/>
      </w:pPr>
      <w:bookmarkStart w:id="6859" w:name="__RefHeading___Toc2571178_3650668749"/>
      <w:bookmarkStart w:id="6860" w:name="_Toc3098"/>
      <w:bookmarkEnd w:id="6859"/>
      <w:r>
        <w:rPr>
          <w:rtl w:val="true"/>
        </w:rPr>
        <w:t>[ (</w:t>
      </w:r>
      <w:r>
        <w:rPr>
          <w:rtl w:val="true"/>
        </w:rPr>
        <w:t xml:space="preserve">مسألة </w:t>
      </w:r>
      <w:r>
        <w:rPr/>
        <w:t>3</w:t>
      </w:r>
      <w:r>
        <w:rPr>
          <w:rtl w:val="true"/>
        </w:rPr>
        <w:t xml:space="preserve">): </w:t>
      </w:r>
      <w:r>
        <w:rPr>
          <w:rtl w:val="true"/>
        </w:rPr>
        <w:t>ما یدخل فی دار الإنسان من الحیوان کالدجاج و الحمام ممّا لم یعرف صاحبه</w:t>
      </w:r>
      <w:r>
        <w:rPr>
          <w:rtl w:val="true"/>
        </w:rPr>
        <w:t>]</w:t>
      </w:r>
      <w:bookmarkEnd w:id="6860"/>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یدخل فی دار الإنسان من الحیوان کالدجاج و الحمام ممّا لم یعرف صاحبه، الظاهر خروجه عن عنوان اللقطة، بل هو داخل فی عنوان مجهول المالک،</w:t>
      </w:r>
      <w:bookmarkStart w:id="6861" w:name="pg1809_19809"/>
    </w:p>
    <w:p>
      <w:pPr>
        <w:pStyle w:val="BookText"/>
        <w:rPr/>
      </w:pPr>
      <w:bookmarkEnd w:id="6861"/>
      <w:r>
        <w:rPr>
          <w:rFonts w:ascii="IRNazanin" w:hAnsi="IRNazanin" w:eastAsia="IRNazanin"/>
          <w:color w:val="111111"/>
          <w:sz w:val="28"/>
          <w:sz w:val="28"/>
          <w:szCs w:val="28"/>
          <w:rtl w:val="true"/>
          <w:lang w:bidi="fa-IR"/>
        </w:rPr>
        <w:t>فیتفحّص عن صاحبه و عند الیأس منه یتصدّق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الفحص اللازم هو المتعارف فی أمثال ذلک؛ بأن یسأل من الجیران و القریبة من الدور و العمران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یبعد جواز تملّک مثل الحمام إذا ملک جناحیه و لم یعرف </w:t>
      </w:r>
      <w:r>
        <w:rPr>
          <w:rStyle w:val="FootnoteAnchor"/>
          <w:rtl w:val="true"/>
        </w:rPr>
        <w:footnoteReference w:id="1781"/>
      </w:r>
      <w:r>
        <w:rPr>
          <w:rFonts w:ascii="IRNazanin" w:hAnsi="IRNazanin" w:eastAsia="IRNazanin"/>
          <w:color w:val="111111"/>
          <w:sz w:val="28"/>
          <w:sz w:val="28"/>
          <w:szCs w:val="28"/>
          <w:rtl w:val="true"/>
          <w:lang w:bidi="fa-IR"/>
        </w:rPr>
        <w:t>صاحبه من دون فحص عنه، کما مرّ فی کتاب الصید</w:t>
      </w:r>
      <w:r>
        <w:rPr>
          <w:rFonts w:eastAsia="IRNazanin" w:cs="IRNazanin"/>
          <w:color w:val="111111"/>
          <w:sz w:val="28"/>
          <w:szCs w:val="28"/>
          <w:rtl w:val="true"/>
          <w:lang w:bidi="fa-IR"/>
        </w:rPr>
        <w:t>.</w:t>
      </w:r>
    </w:p>
    <w:p>
      <w:pPr>
        <w:pStyle w:val="Heading4"/>
        <w:numPr>
          <w:ilvl w:val="3"/>
          <w:numId w:val="1"/>
        </w:numPr>
        <w:rPr/>
      </w:pPr>
      <w:bookmarkStart w:id="6862" w:name="__RefHeading___Toc2571180_3650668749"/>
      <w:bookmarkStart w:id="6863" w:name="_Toc3099"/>
      <w:bookmarkEnd w:id="6862"/>
      <w:r>
        <w:rPr>
          <w:rtl w:val="true"/>
        </w:rPr>
        <w:t>[ (</w:t>
      </w:r>
      <w:r>
        <w:rPr>
          <w:rtl w:val="true"/>
        </w:rPr>
        <w:t xml:space="preserve">مسألة </w:t>
      </w:r>
      <w:r>
        <w:rPr/>
        <w:t>4</w:t>
      </w:r>
      <w:r>
        <w:rPr>
          <w:rtl w:val="true"/>
        </w:rPr>
        <w:t xml:space="preserve">): </w:t>
      </w:r>
      <w:r>
        <w:rPr>
          <w:rtl w:val="true"/>
        </w:rPr>
        <w:t>ما یوجد من الحیوان فی غیر العمران من الطرق و الشوارع</w:t>
      </w:r>
      <w:r>
        <w:rPr>
          <w:rtl w:val="true"/>
        </w:rPr>
        <w:t>]</w:t>
      </w:r>
      <w:bookmarkEnd w:id="68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یوجد من الحیوان فی غیر العمران من الطرق و الشوارع و المفاوز و الصحاری و البراری و الجبال و الآجام و نحوها إن کان ممّا یحفظ نفسه بحسب العادة من صغار السباع مثل الثعالب و ابن آویٰ و الذئب و الضبع و نحوها إمّا لکبر جثّته کالبعیر، أو لسرعة عدوه کالفرس و الغزال، أو لقوّته و بطشه کالجاموس و الثور لا یجوز أخذه و وضع الید علیه إذا کان فی کلأ و ماء، أو کان صحیحاً یقدر علیٰ تحصیل الماء و الکلأ، و إن کان ممّا تغلب علیه صغار السباع کالشاة و أطفال البعیر و الدوابّ جاز أخذه، فإذا أخذه عرّفه </w:t>
      </w:r>
      <w:r>
        <w:rPr>
          <w:rStyle w:val="FootnoteAnchor"/>
          <w:rtl w:val="true"/>
        </w:rPr>
        <w:footnoteReference w:id="1782"/>
      </w:r>
      <w:r>
        <w:rPr>
          <w:rFonts w:ascii="IRNazanin" w:hAnsi="IRNazanin" w:eastAsia="IRNazanin"/>
          <w:color w:val="111111"/>
          <w:sz w:val="28"/>
          <w:sz w:val="28"/>
          <w:szCs w:val="28"/>
          <w:rtl w:val="true"/>
          <w:lang w:bidi="fa-IR"/>
        </w:rPr>
        <w:t>فی المکان الذی أصابه و حوالیه إن کان فیه أحد، فإن عرف صاحبه ردّه إلیه، و إلّا کان له تملّکه و بیعه و أکله مع الضمان لمالکه لو وجد، کما أنّ له إبقاؤه و حفظه لمالکه و لا ضمان علیه</w:t>
      </w:r>
      <w:r>
        <w:rPr>
          <w:rFonts w:eastAsia="IRNazanin" w:cs="IRNazanin"/>
          <w:color w:val="111111"/>
          <w:sz w:val="28"/>
          <w:szCs w:val="28"/>
          <w:rtl w:val="true"/>
          <w:lang w:bidi="fa-IR"/>
        </w:rPr>
        <w:t>.</w:t>
      </w:r>
    </w:p>
    <w:p>
      <w:pPr>
        <w:pStyle w:val="Heading4"/>
        <w:numPr>
          <w:ilvl w:val="3"/>
          <w:numId w:val="1"/>
        </w:numPr>
        <w:rPr/>
      </w:pPr>
      <w:bookmarkStart w:id="6864" w:name="__RefHeading___Toc2571182_3650668749"/>
      <w:bookmarkStart w:id="6865" w:name="_Toc3100"/>
      <w:bookmarkEnd w:id="6864"/>
      <w:r>
        <w:rPr>
          <w:rtl w:val="true"/>
        </w:rPr>
        <w:t>[ (</w:t>
      </w:r>
      <w:r>
        <w:rPr>
          <w:rtl w:val="true"/>
        </w:rPr>
        <w:t xml:space="preserve">مسألة </w:t>
      </w:r>
      <w:r>
        <w:rPr/>
        <w:t>5</w:t>
      </w:r>
      <w:r>
        <w:rPr>
          <w:rtl w:val="true"/>
        </w:rPr>
        <w:t xml:space="preserve">): </w:t>
      </w:r>
      <w:r>
        <w:rPr>
          <w:rtl w:val="true"/>
        </w:rPr>
        <w:t>لو أخذ البعیر و نحوه فی صورة لا یجوز له أخذه ضمنه</w:t>
      </w:r>
      <w:r>
        <w:rPr>
          <w:rtl w:val="true"/>
        </w:rPr>
        <w:t>]</w:t>
      </w:r>
      <w:bookmarkEnd w:id="68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 البعیر و نحوه فی صورة لا یجوز له أخذه ضمنه، و یجب علیه الإنفاق علیه، و لیس له الرجوع بما أنفقه علیٰ صاحبه و إن کان من قصده الرجوع علیه، کما مرّ فیما یؤخذ من العمران</w:t>
      </w:r>
      <w:r>
        <w:rPr>
          <w:rFonts w:eastAsia="IRNazanin" w:cs="IRNazanin"/>
          <w:color w:val="111111"/>
          <w:sz w:val="28"/>
          <w:szCs w:val="28"/>
          <w:rtl w:val="true"/>
          <w:lang w:bidi="fa-IR"/>
        </w:rPr>
        <w:t>.</w:t>
      </w:r>
    </w:p>
    <w:p>
      <w:pPr>
        <w:pStyle w:val="Heading4"/>
        <w:numPr>
          <w:ilvl w:val="3"/>
          <w:numId w:val="1"/>
        </w:numPr>
        <w:rPr/>
      </w:pPr>
      <w:bookmarkStart w:id="6866" w:name="__RefHeading___Toc2571184_3650668749"/>
      <w:bookmarkStart w:id="6867" w:name="_Toc3101"/>
      <w:bookmarkEnd w:id="6866"/>
      <w:r>
        <w:rPr>
          <w:rtl w:val="true"/>
        </w:rPr>
        <w:t>[ (</w:t>
      </w:r>
      <w:r>
        <w:rPr>
          <w:rtl w:val="true"/>
        </w:rPr>
        <w:t xml:space="preserve">مسألة </w:t>
      </w:r>
      <w:r>
        <w:rPr/>
        <w:t>6</w:t>
      </w:r>
      <w:r>
        <w:rPr>
          <w:rtl w:val="true"/>
        </w:rPr>
        <w:t xml:space="preserve">): </w:t>
      </w:r>
      <w:r>
        <w:rPr>
          <w:rtl w:val="true"/>
        </w:rPr>
        <w:t>إذا ترک الحیوان صاحبه، و سرّحه فی الطرق أو الصحاری و البراری</w:t>
      </w:r>
      <w:r>
        <w:rPr>
          <w:rtl w:val="true"/>
        </w:rPr>
        <w:t>]</w:t>
      </w:r>
      <w:bookmarkEnd w:id="6867"/>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الحیوان صاحبه، و سرّحه فی الطرق أو الصحاری و البراری، فإن کان بقصد الإعراض عنه جاز لکلّ أحد أخذه و تملّکه، کما هو الحال فی کلّ مال أعرض عنه صاحبه، و إن لم یکن بقصد الإعراض، بل کان من جهة العجز عن إنفاقه، أو من جهة جهد الحیوان و کلاله کما یتّفق کثیراً أنّ الإنسان إذا کلّت دابّته فی الطرق و المفاوز و لم یتمکّن من الوقوف عندها یأخذ رحلها أو سرجها و یسرّحها و یذهب فإن ترکه فی کلأ و ماء و أمن لیس لأحد أن یأخذه، فلو أخذه کان غاصباً ضامناً له، و إن أرسله بعد ما أخذه لم یخرج من</w:t>
      </w:r>
      <w:bookmarkStart w:id="6868" w:name="pg1809_19811"/>
    </w:p>
    <w:p>
      <w:pPr>
        <w:pStyle w:val="BookText"/>
        <w:rPr/>
      </w:pPr>
      <w:bookmarkEnd w:id="6868"/>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وجوب حفظه و الإنفاق علیه و عدم الرجوع علیٰ صاحبه ما مرّ فیما یؤخذ فی العمران، و إن ترکه فی خوف و علیٰ غیر ماء و کلأ جاز أخذه و الإنفاق علیه و هو للآخذ إذا تملّکه</w:t>
      </w:r>
      <w:r>
        <w:rPr>
          <w:rFonts w:eastAsia="IRNazanin" w:cs="IRNazanin"/>
          <w:color w:val="111111"/>
          <w:sz w:val="28"/>
          <w:szCs w:val="28"/>
          <w:rtl w:val="true"/>
          <w:lang w:bidi="fa-IR"/>
        </w:rPr>
        <w:t>.</w:t>
      </w:r>
    </w:p>
    <w:p>
      <w:pPr>
        <w:pStyle w:val="Heading4"/>
        <w:numPr>
          <w:ilvl w:val="3"/>
          <w:numId w:val="1"/>
        </w:numPr>
        <w:rPr/>
      </w:pPr>
      <w:bookmarkStart w:id="6869" w:name="__RefHeading___Toc2571186_3650668749"/>
      <w:bookmarkStart w:id="6870" w:name="_Toc3102"/>
      <w:bookmarkEnd w:id="6869"/>
      <w:r>
        <w:rPr>
          <w:rtl w:val="true"/>
        </w:rPr>
        <w:t>[ (</w:t>
      </w:r>
      <w:r>
        <w:rPr>
          <w:rtl w:val="true"/>
        </w:rPr>
        <w:t xml:space="preserve">مسألة </w:t>
      </w:r>
      <w:r>
        <w:rPr/>
        <w:t>7</w:t>
      </w:r>
      <w:r>
        <w:rPr>
          <w:rtl w:val="true"/>
        </w:rPr>
        <w:t xml:space="preserve">): </w:t>
      </w:r>
      <w:r>
        <w:rPr>
          <w:rtl w:val="true"/>
        </w:rPr>
        <w:t>إذا أصاب دابّة و علم بالقرائن أنّ صاحبها قد ترکها و لم یدر أنّه قد ترکها بقصد الإعراض</w:t>
      </w:r>
      <w:r>
        <w:rPr>
          <w:rtl w:val="true"/>
        </w:rPr>
        <w:t>]</w:t>
      </w:r>
      <w:bookmarkEnd w:id="68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دابّة و علم بالقرائن أنّ صاحبها قد ترکها و لم یدر أنّه قد ترکها بقصد الإعراض أو بسبب آخر کان بحکم الثانی، فلیس له أخذها و تملّکها، إلّا إذا کانت فی مکان خوف بلا ماء و لا کلأ</w:t>
      </w:r>
      <w:r>
        <w:rPr>
          <w:rFonts w:eastAsia="IRNazanin" w:cs="IRNazanin"/>
          <w:color w:val="111111"/>
          <w:sz w:val="28"/>
          <w:szCs w:val="28"/>
          <w:rtl w:val="true"/>
          <w:lang w:bidi="fa-IR"/>
        </w:rPr>
        <w:t>.</w:t>
      </w:r>
    </w:p>
    <w:p>
      <w:pPr>
        <w:pStyle w:val="Heading4"/>
        <w:numPr>
          <w:ilvl w:val="3"/>
          <w:numId w:val="1"/>
        </w:numPr>
        <w:rPr/>
      </w:pPr>
      <w:bookmarkStart w:id="6871" w:name="__RefHeading___Toc2571188_3650668749"/>
      <w:bookmarkStart w:id="6872" w:name="_Toc3103"/>
      <w:bookmarkEnd w:id="6871"/>
      <w:r>
        <w:rPr>
          <w:rtl w:val="true"/>
        </w:rPr>
        <w:t>[ (</w:t>
      </w:r>
      <w:r>
        <w:rPr>
          <w:rtl w:val="true"/>
        </w:rPr>
        <w:t xml:space="preserve">مسألة </w:t>
      </w:r>
      <w:r>
        <w:rPr/>
        <w:t>8</w:t>
      </w:r>
      <w:r>
        <w:rPr>
          <w:rtl w:val="true"/>
        </w:rPr>
        <w:t xml:space="preserve">): </w:t>
      </w:r>
      <w:r>
        <w:rPr>
          <w:rtl w:val="true"/>
        </w:rPr>
        <w:t>إذا أصاب حیواناً فی غیر العمران، و لم یدر أنّ صاحبه قد ترکه بأحد النحوین</w:t>
      </w:r>
      <w:r>
        <w:rPr>
          <w:rtl w:val="true"/>
        </w:rPr>
        <w:t>]</w:t>
      </w:r>
      <w:bookmarkEnd w:id="68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حیواناً فی غیر العمران، و لم یدر أنّ صاحبه قد ترکه بأحد النحوین، أو لم یترکه بل ضاعه أو شرد عنه، کان بحکم الثانی من التفصیل المتقدّم، فإن کان مثل البعیر لم یجز أخذه و تملّکه إلّا إذا کان غیر صحیح و لم یکن فی ماء و کلأ، و إن کان مثل الشاة جاز أخذه مطلقاً</w:t>
      </w:r>
      <w:r>
        <w:rPr>
          <w:rFonts w:eastAsia="IRNazanin" w:cs="IRNazanin"/>
          <w:color w:val="111111"/>
          <w:sz w:val="28"/>
          <w:szCs w:val="28"/>
          <w:rtl w:val="true"/>
          <w:lang w:bidi="fa-IR"/>
        </w:rPr>
        <w:t>.</w:t>
      </w:r>
    </w:p>
    <w:p>
      <w:pPr>
        <w:pStyle w:val="Heading3"/>
        <w:numPr>
          <w:ilvl w:val="2"/>
          <w:numId w:val="1"/>
        </w:numPr>
        <w:rPr/>
      </w:pPr>
      <w:bookmarkStart w:id="6873" w:name="__RefHeading___Toc2571190_3650668749"/>
      <w:bookmarkStart w:id="6874" w:name="_Toc3104"/>
      <w:bookmarkEnd w:id="6873"/>
      <w:r>
        <w:rPr>
          <w:rtl w:val="true"/>
        </w:rPr>
        <w:t>[</w:t>
      </w:r>
      <w:r>
        <w:rPr>
          <w:rtl w:val="true"/>
        </w:rPr>
        <w:t>القول فی لقطة غیر الحیوان</w:t>
      </w:r>
      <w:r>
        <w:rPr>
          <w:rtl w:val="true"/>
        </w:rPr>
        <w:t>]</w:t>
      </w:r>
      <w:bookmarkEnd w:id="6874"/>
    </w:p>
    <w:p>
      <w:pPr>
        <w:pStyle w:val="Heading4"/>
        <w:numPr>
          <w:ilvl w:val="3"/>
          <w:numId w:val="1"/>
        </w:numPr>
        <w:rPr/>
      </w:pPr>
      <w:bookmarkStart w:id="6875" w:name="__RefHeading___Toc2571192_3650668749"/>
      <w:bookmarkStart w:id="6876" w:name="_Toc3105"/>
      <w:bookmarkEnd w:id="6875"/>
      <w:r>
        <w:rPr>
          <w:rtl w:val="true"/>
        </w:rPr>
        <w:t>اشارة</w:t>
      </w:r>
      <w:bookmarkEnd w:id="6876"/>
    </w:p>
    <w:p>
      <w:pPr>
        <w:pStyle w:val="BookText"/>
        <w:rPr/>
      </w:pPr>
      <w:r>
        <w:rPr>
          <w:rFonts w:ascii="IRNazanin" w:hAnsi="IRNazanin" w:eastAsia="IRNazanin"/>
          <w:color w:val="111111"/>
          <w:sz w:val="28"/>
          <w:sz w:val="28"/>
          <w:szCs w:val="28"/>
          <w:rtl w:val="true"/>
          <w:lang w:bidi="fa-IR"/>
        </w:rPr>
        <w:t xml:space="preserve">القول فی لقطة غیر الحیوان التی یطلق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الإطلاق و اللقطة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فیها عدم معرفة المالک، فهو قسم من المجهول المالک، له أحکام خاصّة</w:t>
      </w:r>
      <w:r>
        <w:rPr>
          <w:rFonts w:eastAsia="IRNazanin" w:cs="IRNazanin"/>
          <w:color w:val="111111"/>
          <w:sz w:val="28"/>
          <w:szCs w:val="28"/>
          <w:rtl w:val="true"/>
          <w:lang w:bidi="fa-IR"/>
        </w:rPr>
        <w:t>.</w:t>
      </w:r>
    </w:p>
    <w:p>
      <w:pPr>
        <w:pStyle w:val="Heading4"/>
        <w:numPr>
          <w:ilvl w:val="3"/>
          <w:numId w:val="1"/>
        </w:numPr>
        <w:rPr/>
      </w:pPr>
      <w:bookmarkStart w:id="6877" w:name="__RefHeading___Toc2571194_3650668749"/>
      <w:bookmarkStart w:id="6878" w:name="_Toc3106"/>
      <w:bookmarkEnd w:id="6877"/>
      <w:r>
        <w:rPr>
          <w:rtl w:val="true"/>
        </w:rPr>
        <w:t>[ (</w:t>
      </w:r>
      <w:r>
        <w:rPr>
          <w:rtl w:val="true"/>
        </w:rPr>
        <w:t xml:space="preserve">مسألة </w:t>
      </w:r>
      <w:r>
        <w:rPr/>
        <w:t>1</w:t>
      </w:r>
      <w:r>
        <w:rPr>
          <w:rtl w:val="true"/>
        </w:rPr>
        <w:t xml:space="preserve">): </w:t>
      </w:r>
      <w:r>
        <w:rPr>
          <w:rtl w:val="true"/>
        </w:rPr>
        <w:t>یعتبر فیه الضیاع عن المالک</w:t>
      </w:r>
      <w:r>
        <w:rPr>
          <w:rtl w:val="true"/>
        </w:rPr>
        <w:t>]</w:t>
      </w:r>
      <w:bookmarkEnd w:id="68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فیه الضیاع عن المالک، فما یؤخذ من ید الغاصب و السارق لیس من اللقطة؛ لعدم الضیاع عن مالکه، بل لا بدّ فی ترتیب أحکامها من إحراز الضیاع، و لو بشاهد الحال، فالمداس المتبدّل بمداسه فی المساجد و نحوها یشکل ترتیب أحکام اللقطة علیه، و کذا الثوب المتبدّل بثوبه فی الحمّام و نحوه؛ لاحتمال تقصّد المالک فی التبدیل، و معه یکون من المجهول المالک لأمن اللقطة</w:t>
      </w:r>
      <w:r>
        <w:rPr>
          <w:rFonts w:eastAsia="IRNazanin" w:cs="IRNazanin"/>
          <w:color w:val="111111"/>
          <w:sz w:val="28"/>
          <w:szCs w:val="28"/>
          <w:rtl w:val="true"/>
          <w:lang w:bidi="fa-IR"/>
        </w:rPr>
        <w:t>.</w:t>
      </w:r>
    </w:p>
    <w:p>
      <w:pPr>
        <w:pStyle w:val="Heading4"/>
        <w:numPr>
          <w:ilvl w:val="3"/>
          <w:numId w:val="1"/>
        </w:numPr>
        <w:rPr/>
      </w:pPr>
      <w:bookmarkStart w:id="6879" w:name="__RefHeading___Toc2571196_3650668749"/>
      <w:bookmarkStart w:id="6880" w:name="_Toc3107"/>
      <w:bookmarkEnd w:id="6879"/>
      <w:r>
        <w:rPr>
          <w:rtl w:val="true"/>
        </w:rPr>
        <w:t>[ (</w:t>
      </w:r>
      <w:r>
        <w:rPr>
          <w:rtl w:val="true"/>
        </w:rPr>
        <w:t xml:space="preserve">مسألة </w:t>
      </w:r>
      <w:r>
        <w:rPr/>
        <w:t>2</w:t>
      </w:r>
      <w:r>
        <w:rPr>
          <w:rtl w:val="true"/>
        </w:rPr>
        <w:t xml:space="preserve">): </w:t>
      </w:r>
      <w:r>
        <w:rPr>
          <w:rtl w:val="true"/>
        </w:rPr>
        <w:t>یعتبر فی صدق اللقطة و ثبوت أحکامها الأخذ و الالتقاط</w:t>
      </w:r>
      <w:r>
        <w:rPr>
          <w:rtl w:val="true"/>
        </w:rPr>
        <w:t>]</w:t>
      </w:r>
      <w:bookmarkEnd w:id="6880"/>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صدق اللقطة و ثبوت أحکامها الأخذ و الالتقاط، فلو رأی شیئاً و أخبر به غیره فأخذه، کان حکمها علی الآخذ دون الرائی و إن تسبّب منه، بل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ناولنیه، فنوی المأمور الأخذ لنفسه، کان هو الملتقط دون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أخذه لا لنفسه و ناوله إیّاه الظاهر صدق الملتقط علی الآمر </w:t>
      </w:r>
      <w:r>
        <w:rPr>
          <w:rStyle w:val="FootnoteAnchor"/>
          <w:rtl w:val="true"/>
        </w:rPr>
        <w:footnoteReference w:id="1783"/>
      </w:r>
      <w:r>
        <w:rPr>
          <w:rFonts w:ascii="IRNazanin" w:hAnsi="IRNazanin" w:eastAsia="IRNazanin"/>
          <w:color w:val="111111"/>
          <w:sz w:val="28"/>
          <w:sz w:val="28"/>
          <w:szCs w:val="28"/>
          <w:rtl w:val="true"/>
          <w:lang w:bidi="fa-IR"/>
        </w:rPr>
        <w:t>المتناول، بل بناءً علیٰ صحّة الاستنابة</w:t>
      </w:r>
      <w:bookmarkStart w:id="6881" w:name="pg1809_19813"/>
    </w:p>
    <w:p>
      <w:pPr>
        <w:pStyle w:val="BookText"/>
        <w:rPr/>
      </w:pPr>
      <w:bookmarkEnd w:id="6881"/>
      <w:r>
        <w:rPr>
          <w:rFonts w:ascii="IRNazanin" w:hAnsi="IRNazanin" w:eastAsia="IRNazanin"/>
          <w:color w:val="111111"/>
          <w:sz w:val="28"/>
          <w:sz w:val="28"/>
          <w:szCs w:val="28"/>
          <w:rtl w:val="true"/>
          <w:lang w:bidi="fa-IR"/>
        </w:rPr>
        <w:t>و النیابة فی الالتقاط کما فی حیازة المباحات و إحیاء الموات یکفی مجرّد أخذ المأمور النائب فی صیرورة الآمر ملتقطاً؛ لکون یده بمنزلة یده و أخذه بمنزلة أخذه</w:t>
      </w:r>
      <w:r>
        <w:rPr>
          <w:rFonts w:eastAsia="IRNazanin" w:cs="IRNazanin"/>
          <w:color w:val="111111"/>
          <w:sz w:val="28"/>
          <w:szCs w:val="28"/>
          <w:rtl w:val="true"/>
          <w:lang w:bidi="fa-IR"/>
        </w:rPr>
        <w:t>.</w:t>
      </w:r>
    </w:p>
    <w:p>
      <w:pPr>
        <w:pStyle w:val="Heading4"/>
        <w:numPr>
          <w:ilvl w:val="3"/>
          <w:numId w:val="1"/>
        </w:numPr>
        <w:rPr/>
      </w:pPr>
      <w:bookmarkStart w:id="6882" w:name="__RefHeading___Toc2571198_3650668749"/>
      <w:bookmarkStart w:id="6883" w:name="_Toc3108"/>
      <w:bookmarkEnd w:id="6882"/>
      <w:r>
        <w:rPr>
          <w:rtl w:val="true"/>
        </w:rPr>
        <w:t>[ (</w:t>
      </w:r>
      <w:r>
        <w:rPr>
          <w:rtl w:val="true"/>
        </w:rPr>
        <w:t xml:space="preserve">مسألة </w:t>
      </w:r>
      <w:r>
        <w:rPr/>
        <w:t>3</w:t>
      </w:r>
      <w:r>
        <w:rPr>
          <w:rtl w:val="true"/>
        </w:rPr>
        <w:t xml:space="preserve">): </w:t>
      </w:r>
      <w:r>
        <w:rPr>
          <w:rtl w:val="true"/>
        </w:rPr>
        <w:t>لو رأی شیئاً مطروحاً علی الأرض فأخذه بظنّ أنّه ماله فتبیّن أنّه ضائع عن غیره</w:t>
      </w:r>
      <w:r>
        <w:rPr>
          <w:rtl w:val="true"/>
        </w:rPr>
        <w:t>]</w:t>
      </w:r>
      <w:bookmarkEnd w:id="68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رأی شیئاً مطروحاً علی الأرض فأخذه بظنّ أنّه ماله فتبیّن أنّه ضائع عن غیره، صار بذلک لقطة و علیه حکمها، و کذا لو رأی مالًا ضائعاً فنحّاه </w:t>
      </w:r>
      <w:r>
        <w:rPr>
          <w:rStyle w:val="FootnoteAnchor"/>
          <w:rtl w:val="true"/>
        </w:rPr>
        <w:footnoteReference w:id="1784"/>
      </w:r>
      <w:r>
        <w:rPr>
          <w:rFonts w:ascii="IRNazanin" w:hAnsi="IRNazanin" w:eastAsia="IRNazanin"/>
          <w:color w:val="111111"/>
          <w:sz w:val="28"/>
          <w:sz w:val="28"/>
          <w:szCs w:val="28"/>
          <w:rtl w:val="true"/>
          <w:lang w:bidi="fa-IR"/>
        </w:rPr>
        <w:t xml:space="preserve">من جانب إلیٰ آخر، نعم لو دفعه برجله </w:t>
      </w:r>
      <w:r>
        <w:rPr>
          <w:rStyle w:val="FootnoteAnchor"/>
          <w:rtl w:val="true"/>
        </w:rPr>
        <w:footnoteReference w:id="1785"/>
      </w:r>
      <w:r>
        <w:rPr>
          <w:rFonts w:ascii="IRNazanin" w:hAnsi="IRNazanin" w:eastAsia="IRNazanin"/>
          <w:color w:val="111111"/>
          <w:sz w:val="28"/>
          <w:sz w:val="28"/>
          <w:szCs w:val="28"/>
          <w:rtl w:val="true"/>
          <w:lang w:bidi="fa-IR"/>
        </w:rPr>
        <w:t>لیتعرّفه، الظاهر عدم صیرورته بذلک ملتقطاً بل و لا ضامناً؛ لعدم صدق الید و الأخذ</w:t>
      </w:r>
      <w:r>
        <w:rPr>
          <w:rFonts w:eastAsia="IRNazanin" w:cs="IRNazanin"/>
          <w:color w:val="111111"/>
          <w:sz w:val="28"/>
          <w:szCs w:val="28"/>
          <w:rtl w:val="true"/>
          <w:lang w:bidi="fa-IR"/>
        </w:rPr>
        <w:t>.</w:t>
      </w:r>
    </w:p>
    <w:p>
      <w:pPr>
        <w:pStyle w:val="Heading4"/>
        <w:numPr>
          <w:ilvl w:val="3"/>
          <w:numId w:val="1"/>
        </w:numPr>
        <w:rPr/>
      </w:pPr>
      <w:bookmarkStart w:id="6884" w:name="__RefHeading___Toc2571200_3650668749"/>
      <w:bookmarkStart w:id="6885" w:name="_Toc3109"/>
      <w:bookmarkEnd w:id="6884"/>
      <w:r>
        <w:rPr>
          <w:rtl w:val="true"/>
        </w:rPr>
        <w:t>[ (</w:t>
      </w:r>
      <w:r>
        <w:rPr>
          <w:rtl w:val="true"/>
        </w:rPr>
        <w:t xml:space="preserve">مسألة </w:t>
      </w:r>
      <w:r>
        <w:rPr/>
        <w:t>4</w:t>
      </w:r>
      <w:r>
        <w:rPr>
          <w:rtl w:val="true"/>
        </w:rPr>
        <w:t xml:space="preserve">): </w:t>
      </w:r>
      <w:r>
        <w:rPr>
          <w:rtl w:val="true"/>
        </w:rPr>
        <w:t>المال المجهول المالک الغیر الضائع لا یجوز أخذه و وضع الید علیه</w:t>
      </w:r>
      <w:r>
        <w:rPr>
          <w:rtl w:val="true"/>
        </w:rPr>
        <w:t>]</w:t>
      </w:r>
      <w:bookmarkEnd w:id="68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المجهول المالک الغیر الضائع لا یجوز أخذه و وضع الید علیه، فإن أخذه کان غاصباً ضامناً إلّا إذا کان فی معرض التلف فیجوز بقصد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حینئذٍ فی یده أمانة شرعیّة لا یضمن إلّا بالتعدّی أو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من تقدیری جواز الأخذ و عدمه لو أخذه یجب علیه الفحص </w:t>
      </w:r>
      <w:r>
        <w:rPr>
          <w:rStyle w:val="FootnoteAnchor"/>
          <w:rtl w:val="true"/>
        </w:rPr>
        <w:footnoteReference w:id="1786"/>
      </w:r>
      <w:r>
        <w:rPr>
          <w:rFonts w:ascii="IRNazanin" w:hAnsi="IRNazanin" w:eastAsia="IRNazanin"/>
          <w:color w:val="111111"/>
          <w:sz w:val="28"/>
          <w:sz w:val="28"/>
          <w:szCs w:val="28"/>
          <w:rtl w:val="true"/>
          <w:lang w:bidi="fa-IR"/>
        </w:rPr>
        <w:t xml:space="preserve">عن مالکه إلیٰ أن یئس من الظفر به، و عند ذلک یجب علیه أن یتصدّق به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86" w:name="__RefHeading___Toc2571202_3650668749"/>
      <w:bookmarkStart w:id="6887" w:name="_Toc3110"/>
      <w:bookmarkEnd w:id="6886"/>
      <w:r>
        <w:rPr>
          <w:rtl w:val="true"/>
        </w:rPr>
        <w:t>[ (</w:t>
      </w:r>
      <w:r>
        <w:rPr>
          <w:rtl w:val="true"/>
        </w:rPr>
        <w:t xml:space="preserve">مسألة </w:t>
      </w:r>
      <w:r>
        <w:rPr/>
        <w:t>5</w:t>
      </w:r>
      <w:r>
        <w:rPr>
          <w:rtl w:val="true"/>
        </w:rPr>
        <w:t xml:space="preserve">): </w:t>
      </w:r>
      <w:r>
        <w:rPr>
          <w:rtl w:val="true"/>
        </w:rPr>
        <w:t>کلّ مال غیر الحیوان أُحرز ضیاعه عن مالکه المجهول</w:t>
      </w:r>
      <w:r>
        <w:rPr>
          <w:rtl w:val="true"/>
        </w:rPr>
        <w:t>]</w:t>
      </w:r>
      <w:bookmarkEnd w:id="68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مال غیر الحیوان أُحرز ضیاعه عن مالکه المجهول؛ و لو بشاهد الحال و هو الذی یطلق علیه اللقطة کما مرّ یجوز أخذه و التقاطه علیٰ کراهة، و إن کان المال الضائع فی الحرم أی حرم مکّة زادها اللّٰه شرفاً و تعظیماً اشتدّت کراهة التقاطه، بل نسب إلی المشهور </w:t>
      </w:r>
      <w:r>
        <w:rPr>
          <w:rStyle w:val="FootnoteAnchor"/>
          <w:rtl w:val="true"/>
        </w:rPr>
        <w:footnoteReference w:id="1788"/>
      </w:r>
      <w:r>
        <w:rPr>
          <w:rFonts w:ascii="IRNazanin" w:hAnsi="IRNazanin" w:eastAsia="IRNazanin"/>
          <w:color w:val="111111"/>
          <w:sz w:val="28"/>
          <w:sz w:val="28"/>
          <w:szCs w:val="28"/>
          <w:rtl w:val="true"/>
          <w:lang w:bidi="fa-IR"/>
        </w:rPr>
        <w:t>حرمته، فلا یترک فیه الاحتیاط</w:t>
      </w:r>
      <w:r>
        <w:rPr>
          <w:rFonts w:eastAsia="IRNazanin" w:cs="IRNazanin"/>
          <w:color w:val="111111"/>
          <w:sz w:val="28"/>
          <w:szCs w:val="28"/>
          <w:rtl w:val="true"/>
          <w:lang w:bidi="fa-IR"/>
        </w:rPr>
        <w:t>.</w:t>
      </w:r>
    </w:p>
    <w:p>
      <w:pPr>
        <w:pStyle w:val="Heading4"/>
        <w:numPr>
          <w:ilvl w:val="3"/>
          <w:numId w:val="1"/>
        </w:numPr>
        <w:rPr/>
      </w:pPr>
      <w:bookmarkStart w:id="6888" w:name="__RefHeading___Toc2571204_3650668749"/>
      <w:bookmarkStart w:id="6889" w:name="_Toc3111"/>
      <w:bookmarkEnd w:id="6888"/>
      <w:r>
        <w:rPr>
          <w:rtl w:val="true"/>
        </w:rPr>
        <w:t>[ (</w:t>
      </w:r>
      <w:r>
        <w:rPr>
          <w:rtl w:val="true"/>
        </w:rPr>
        <w:t xml:space="preserve">مسألة </w:t>
      </w:r>
      <w:r>
        <w:rPr/>
        <w:t>6</w:t>
      </w:r>
      <w:r>
        <w:rPr>
          <w:rtl w:val="true"/>
        </w:rPr>
        <w:t xml:space="preserve">): </w:t>
      </w:r>
      <w:r>
        <w:rPr>
          <w:rtl w:val="true"/>
        </w:rPr>
        <w:t>اللقطة إن کانت قیمتها دون الدرهم، جاز تملّکها فی الحال من دون تعریف</w:t>
      </w:r>
      <w:r>
        <w:rPr>
          <w:rtl w:val="true"/>
        </w:rPr>
        <w:t>]</w:t>
      </w:r>
      <w:bookmarkEnd w:id="6889"/>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اللقطة إن کانت قیمتها دون الدرهم، جاز تملّکها فی الحال من دون تعریف و فحص عن مالکها، و لا یملکها قهراً بدون قصد التملّک علی الأقویٰ، فإن جاء مالکها بعد ما التقطها دفعها إلیه مع بقائها؛ و إن تملّکها علی الأحوط لو لم یکن الأقویٰ، و إن کانت تالفة لم یضمنها الملتقط و لیس علیه عوضها إن کان بعد التملّک </w:t>
      </w:r>
      <w:r>
        <w:rPr>
          <w:rStyle w:val="FootnoteAnchor"/>
          <w:rtl w:val="true"/>
        </w:rPr>
        <w:footnoteReference w:id="1789"/>
      </w:r>
      <w:r>
        <w:rPr>
          <w:rFonts w:ascii="IRNazanin" w:hAnsi="IRNazanin" w:eastAsia="IRNazanin"/>
          <w:color w:val="111111"/>
          <w:sz w:val="28"/>
          <w:sz w:val="28"/>
          <w:szCs w:val="28"/>
          <w:rtl w:val="true"/>
          <w:lang w:bidi="fa-IR"/>
        </w:rPr>
        <w:t>، و إن کانت قیمتها درهماً أو</w:t>
      </w:r>
      <w:bookmarkStart w:id="6890" w:name="pg1809_19815"/>
    </w:p>
    <w:p>
      <w:pPr>
        <w:pStyle w:val="BookText"/>
        <w:rPr/>
      </w:pPr>
      <w:bookmarkEnd w:id="6890"/>
      <w:r>
        <w:rPr>
          <w:rFonts w:ascii="IRNazanin" w:hAnsi="IRNazanin" w:eastAsia="IRNazanin"/>
          <w:color w:val="111111"/>
          <w:sz w:val="28"/>
          <w:sz w:val="28"/>
          <w:szCs w:val="28"/>
          <w:rtl w:val="true"/>
          <w:lang w:bidi="fa-IR"/>
        </w:rPr>
        <w:t>أزید وجب علیه تعریفها و الفحص عن صاحبها، فإن لم یظفر به، فإن کانت لقطة الحرم تخیّر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التصدّق بها أو إبقاؤها عنده و حفظها لمالکها، و لیس له تملّکها، و إن کانت لقطة غیر الحرم تخیّر بین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تملّکها، و التصدّق بها </w:t>
      </w:r>
      <w:r>
        <w:rPr>
          <w:rStyle w:val="FootnoteAnchor"/>
          <w:rtl w:val="true"/>
        </w:rPr>
        <w:footnoteReference w:id="1790"/>
      </w:r>
      <w:r>
        <w:rPr>
          <w:rFonts w:ascii="IRNazanin" w:hAnsi="IRNazanin" w:eastAsia="IRNazanin"/>
          <w:color w:val="111111"/>
          <w:sz w:val="28"/>
          <w:sz w:val="28"/>
          <w:szCs w:val="28"/>
          <w:rtl w:val="true"/>
          <w:lang w:bidi="fa-IR"/>
        </w:rPr>
        <w:t>مع الضمان فیهما، و إبقاؤها أمانة بیده من غیر ضمان</w:t>
      </w:r>
      <w:r>
        <w:rPr>
          <w:rFonts w:eastAsia="IRNazanin" w:cs="IRNazanin"/>
          <w:color w:val="111111"/>
          <w:sz w:val="28"/>
          <w:szCs w:val="28"/>
          <w:rtl w:val="true"/>
          <w:lang w:bidi="fa-IR"/>
        </w:rPr>
        <w:t>.</w:t>
      </w:r>
    </w:p>
    <w:p>
      <w:pPr>
        <w:pStyle w:val="Heading4"/>
        <w:numPr>
          <w:ilvl w:val="3"/>
          <w:numId w:val="1"/>
        </w:numPr>
        <w:rPr/>
      </w:pPr>
      <w:bookmarkStart w:id="6891" w:name="__RefHeading___Toc2571206_3650668749"/>
      <w:bookmarkStart w:id="6892" w:name="_Toc3112"/>
      <w:bookmarkEnd w:id="6891"/>
      <w:r>
        <w:rPr>
          <w:rtl w:val="true"/>
        </w:rPr>
        <w:t>[ (</w:t>
      </w:r>
      <w:r>
        <w:rPr>
          <w:rtl w:val="true"/>
        </w:rPr>
        <w:t xml:space="preserve">مسألة </w:t>
      </w:r>
      <w:r>
        <w:rPr/>
        <w:t>7</w:t>
      </w:r>
      <w:r>
        <w:rPr>
          <w:rtl w:val="true"/>
        </w:rPr>
        <w:t xml:space="preserve">): </w:t>
      </w:r>
      <w:r>
        <w:rPr>
          <w:rtl w:val="true"/>
        </w:rPr>
        <w:t>الدرهم</w:t>
      </w:r>
      <w:r>
        <w:rPr>
          <w:rtl w:val="true"/>
        </w:rPr>
        <w:t xml:space="preserve">: </w:t>
      </w:r>
      <w:r>
        <w:rPr>
          <w:rtl w:val="true"/>
        </w:rPr>
        <w:t>هو الفضّة المسکوکة الرائجة فی المعاملة</w:t>
      </w:r>
      <w:r>
        <w:rPr>
          <w:rtl w:val="true"/>
        </w:rPr>
        <w:t>]</w:t>
      </w:r>
      <w:bookmarkEnd w:id="68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الفضّة المسکوکة الرائجة فی المعاملة، و هو و إن اختلف عیاره بحسب الأزمنة و الأمکنة إلّا أنّ المراد هنا ما کان علیٰ وزن اثنتی عشر حمّصة و نصف حمّصة و عشرها؛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مثقال و ربع عشر مثقال بالمثقال الصیرفی الذی یساوی أربعة و عشرین حمّصة معتدلة فالدرهم یقارب نصف ریال عجمیّ، و کذا ربع روبیة إنکلیسیّة</w:t>
      </w:r>
      <w:r>
        <w:rPr>
          <w:rFonts w:eastAsia="IRNazanin" w:cs="IRNazanin"/>
          <w:color w:val="111111"/>
          <w:sz w:val="28"/>
          <w:szCs w:val="28"/>
          <w:rtl w:val="true"/>
          <w:lang w:bidi="fa-IR"/>
        </w:rPr>
        <w:t>.</w:t>
      </w:r>
    </w:p>
    <w:p>
      <w:pPr>
        <w:pStyle w:val="Heading4"/>
        <w:numPr>
          <w:ilvl w:val="3"/>
          <w:numId w:val="1"/>
        </w:numPr>
        <w:rPr/>
      </w:pPr>
      <w:bookmarkStart w:id="6893" w:name="__RefHeading___Toc2571208_3650668749"/>
      <w:bookmarkStart w:id="6894" w:name="_Toc3113"/>
      <w:bookmarkEnd w:id="6893"/>
      <w:r>
        <w:rPr>
          <w:rtl w:val="true"/>
        </w:rPr>
        <w:t>[ (</w:t>
      </w:r>
      <w:r>
        <w:rPr>
          <w:rtl w:val="true"/>
        </w:rPr>
        <w:t xml:space="preserve">مسألة </w:t>
      </w:r>
      <w:r>
        <w:rPr/>
        <w:t>8</w:t>
      </w:r>
      <w:r>
        <w:rPr>
          <w:rtl w:val="true"/>
        </w:rPr>
        <w:t xml:space="preserve">): </w:t>
      </w:r>
      <w:r>
        <w:rPr>
          <w:rtl w:val="true"/>
        </w:rPr>
        <w:t>المدار فی القیمة علیٰ مکان الالتقاط و زمانه فی اللقطة و فی الدرهم</w:t>
      </w:r>
      <w:r>
        <w:rPr>
          <w:rtl w:val="true"/>
        </w:rPr>
        <w:t>]</w:t>
      </w:r>
      <w:bookmarkEnd w:id="68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فی القیمة علیٰ مکان الالتقاط و زمانه فی اللقطة و فی الدرهم، فإن وجد شیئاً فی بلاد العجم مثلًا و کان قیمته فی بلد الالتقاط و زمانه أقلّ من نصف ریال، أو وجد فی بلاد تکون الرائج فیها الروبیة و کان قیمته أقلّ من ربعها جاز تملّکه فی الحال و لا یجب تعریفه</w:t>
      </w:r>
      <w:r>
        <w:rPr>
          <w:rFonts w:eastAsia="IRNazanin" w:cs="IRNazanin"/>
          <w:color w:val="111111"/>
          <w:sz w:val="28"/>
          <w:szCs w:val="28"/>
          <w:rtl w:val="true"/>
          <w:lang w:bidi="fa-IR"/>
        </w:rPr>
        <w:t>.</w:t>
      </w:r>
    </w:p>
    <w:p>
      <w:pPr>
        <w:pStyle w:val="Heading4"/>
        <w:numPr>
          <w:ilvl w:val="3"/>
          <w:numId w:val="1"/>
        </w:numPr>
        <w:rPr/>
      </w:pPr>
      <w:bookmarkStart w:id="6895" w:name="__RefHeading___Toc2571210_3650668749"/>
      <w:bookmarkStart w:id="6896" w:name="_Toc3114"/>
      <w:bookmarkEnd w:id="6895"/>
      <w:r>
        <w:rPr>
          <w:rtl w:val="true"/>
        </w:rPr>
        <w:t>[ (</w:t>
      </w:r>
      <w:r>
        <w:rPr>
          <w:rtl w:val="true"/>
        </w:rPr>
        <w:t xml:space="preserve">مسألة </w:t>
      </w:r>
      <w:r>
        <w:rPr/>
        <w:t>9</w:t>
      </w:r>
      <w:r>
        <w:rPr>
          <w:rtl w:val="true"/>
        </w:rPr>
        <w:t xml:space="preserve">): </w:t>
      </w:r>
      <w:r>
        <w:rPr>
          <w:rtl w:val="true"/>
        </w:rPr>
        <w:t>یجب التعریف فوراً فیما لم یکن أقلّ من درهم</w:t>
      </w:r>
      <w:r>
        <w:rPr>
          <w:rtl w:val="true"/>
        </w:rPr>
        <w:t>]</w:t>
      </w:r>
      <w:bookmarkEnd w:id="68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التعریف فوراً </w:t>
      </w:r>
      <w:r>
        <w:rPr>
          <w:rStyle w:val="FootnoteAnchor"/>
          <w:rtl w:val="true"/>
        </w:rPr>
        <w:footnoteReference w:id="1791"/>
      </w:r>
      <w:r>
        <w:rPr>
          <w:rFonts w:ascii="IRNazanin" w:hAnsi="IRNazanin" w:eastAsia="IRNazanin"/>
          <w:color w:val="111111"/>
          <w:sz w:val="28"/>
          <w:sz w:val="28"/>
          <w:szCs w:val="28"/>
          <w:rtl w:val="true"/>
          <w:lang w:bidi="fa-IR"/>
        </w:rPr>
        <w:t>فیما لم یکن أقلّ من درهم، فلو أخّره من أوّل زمن الالتقاط عصیٰ إلّا إذا کان لعذر و لو أخّره لعذر أو لا لعذر لم یسقط</w:t>
      </w:r>
      <w:r>
        <w:rPr>
          <w:rFonts w:eastAsia="IRNazanin" w:cs="IRNazanin"/>
          <w:color w:val="111111"/>
          <w:sz w:val="28"/>
          <w:szCs w:val="28"/>
          <w:rtl w:val="true"/>
          <w:lang w:bidi="fa-IR"/>
        </w:rPr>
        <w:t>.</w:t>
      </w:r>
    </w:p>
    <w:p>
      <w:pPr>
        <w:pStyle w:val="Heading4"/>
        <w:numPr>
          <w:ilvl w:val="3"/>
          <w:numId w:val="1"/>
        </w:numPr>
        <w:rPr/>
      </w:pPr>
      <w:bookmarkStart w:id="6897" w:name="__RefHeading___Toc2571212_3650668749"/>
      <w:bookmarkStart w:id="6898" w:name="_Toc3115"/>
      <w:bookmarkEnd w:id="6897"/>
      <w:r>
        <w:rPr>
          <w:rtl w:val="true"/>
        </w:rPr>
        <w:t>[ (</w:t>
      </w:r>
      <w:r>
        <w:rPr>
          <w:rtl w:val="true"/>
        </w:rPr>
        <w:t xml:space="preserve">مسألة </w:t>
      </w:r>
      <w:r>
        <w:rPr/>
        <w:t>10</w:t>
      </w:r>
      <w:r>
        <w:rPr>
          <w:rtl w:val="true"/>
        </w:rPr>
        <w:t xml:space="preserve">): </w:t>
      </w:r>
      <w:r>
        <w:rPr>
          <w:rtl w:val="true"/>
        </w:rPr>
        <w:t>قیل</w:t>
      </w:r>
      <w:r>
        <w:rPr>
          <w:rtl w:val="true"/>
        </w:rPr>
        <w:t xml:space="preserve">: </w:t>
      </w:r>
      <w:r>
        <w:rPr>
          <w:rtl w:val="true"/>
        </w:rPr>
        <w:t>لا یجب التعریف إلّا إذا کان ناویاً للتملّک بعده</w:t>
      </w:r>
      <w:r>
        <w:rPr>
          <w:rtl w:val="true"/>
        </w:rPr>
        <w:t>]</w:t>
      </w:r>
      <w:bookmarkEnd w:id="68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التعریف إلّا إذا کان ناویاً للتملّک بعده، و الأقوی وجوبه مطلقاً؛ و إن کان من نیّته التصدّق أو الحفظ لمالکها أو غیر ناو لشی‌ء أصلًا</w:t>
      </w:r>
      <w:r>
        <w:rPr>
          <w:rFonts w:eastAsia="IRNazanin" w:cs="IRNazanin"/>
          <w:color w:val="111111"/>
          <w:sz w:val="28"/>
          <w:szCs w:val="28"/>
          <w:rtl w:val="true"/>
          <w:lang w:bidi="fa-IR"/>
        </w:rPr>
        <w:t>.</w:t>
      </w:r>
    </w:p>
    <w:p>
      <w:pPr>
        <w:pStyle w:val="Heading4"/>
        <w:numPr>
          <w:ilvl w:val="3"/>
          <w:numId w:val="1"/>
        </w:numPr>
        <w:rPr/>
      </w:pPr>
      <w:bookmarkStart w:id="6899" w:name="__RefHeading___Toc2571214_3650668749"/>
      <w:bookmarkStart w:id="6900" w:name="_Toc3116"/>
      <w:bookmarkEnd w:id="6899"/>
      <w:r>
        <w:rPr>
          <w:rtl w:val="true"/>
        </w:rPr>
        <w:t>[ (</w:t>
      </w:r>
      <w:r>
        <w:rPr>
          <w:rtl w:val="true"/>
        </w:rPr>
        <w:t xml:space="preserve">مسألة </w:t>
      </w:r>
      <w:r>
        <w:rPr/>
        <w:t>11</w:t>
      </w:r>
      <w:r>
        <w:rPr>
          <w:rtl w:val="true"/>
        </w:rPr>
        <w:t xml:space="preserve">): </w:t>
      </w:r>
      <w:r>
        <w:rPr>
          <w:rtl w:val="true"/>
        </w:rPr>
        <w:t>مدّة التعریف الواجب سنة کاملة</w:t>
      </w:r>
      <w:r>
        <w:rPr>
          <w:rtl w:val="true"/>
        </w:rPr>
        <w:t>]</w:t>
      </w:r>
      <w:bookmarkEnd w:id="6900"/>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التعریف الواجب سنة کاملة و لا یشترط فیها التوالی، فإن عرّفها فی ثلاثة شهور فی سنة علیٰ نحو یقال 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عرّفها فی تلک المدّة، ثمّ ترک التعریف بالمرّة، ثمّ عرّفها فی سنة أُخری ثلاثة شهور و هکذا إلیٰ أن کمل مقدار سنة فی ضمن أربع سنوات مثلًا کفیٰ فی تحقّق التعریف الذی هو شرط لجواز التملّک و التصدّق، و سقط عنه ما وجب علیه و إن کان عاصیاً فی تأخیره </w:t>
      </w:r>
      <w:r>
        <w:rPr>
          <w:rStyle w:val="FootnoteAnchor"/>
          <w:rtl w:val="true"/>
        </w:rPr>
        <w:footnoteReference w:id="1792"/>
      </w:r>
      <w:r>
        <w:rPr>
          <w:rFonts w:ascii="IRNazanin" w:hAnsi="IRNazanin" w:eastAsia="IRNazanin"/>
          <w:color w:val="111111"/>
          <w:sz w:val="28"/>
          <w:sz w:val="28"/>
          <w:szCs w:val="28"/>
          <w:rtl w:val="true"/>
          <w:lang w:bidi="fa-IR"/>
        </w:rPr>
        <w:t>إن کان بدون عذر</w:t>
      </w:r>
      <w:r>
        <w:rPr>
          <w:rFonts w:eastAsia="IRNazanin" w:cs="IRNazanin"/>
          <w:color w:val="111111"/>
          <w:sz w:val="28"/>
          <w:szCs w:val="28"/>
          <w:rtl w:val="true"/>
          <w:lang w:bidi="fa-IR"/>
        </w:rPr>
        <w:t>.</w:t>
      </w:r>
      <w:bookmarkStart w:id="6901" w:name="pg1809_19817"/>
    </w:p>
    <w:p>
      <w:pPr>
        <w:pStyle w:val="Heading4"/>
        <w:numPr>
          <w:ilvl w:val="3"/>
          <w:numId w:val="1"/>
        </w:numPr>
        <w:rPr/>
      </w:pPr>
      <w:bookmarkStart w:id="6902" w:name="__RefHeading___Toc2571216_3650668749"/>
      <w:bookmarkStart w:id="6903" w:name="_Toc3117"/>
      <w:bookmarkEnd w:id="6901"/>
      <w:bookmarkEnd w:id="6902"/>
      <w:r>
        <w:rPr>
          <w:rtl w:val="true"/>
        </w:rPr>
        <w:t>[ (</w:t>
      </w:r>
      <w:r>
        <w:rPr>
          <w:rtl w:val="true"/>
        </w:rPr>
        <w:t xml:space="preserve">مسألة </w:t>
      </w:r>
      <w:r>
        <w:rPr/>
        <w:t>12</w:t>
      </w:r>
      <w:r>
        <w:rPr>
          <w:rtl w:val="true"/>
        </w:rPr>
        <w:t xml:space="preserve">): </w:t>
      </w:r>
      <w:r>
        <w:rPr>
          <w:rtl w:val="true"/>
        </w:rPr>
        <w:t>لا یعتبر فی التعریف مباشرة الملتقط</w:t>
      </w:r>
      <w:r>
        <w:rPr>
          <w:rtl w:val="true"/>
        </w:rPr>
        <w:t>]</w:t>
      </w:r>
      <w:bookmarkEnd w:id="69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التعریف مباشرة الملتقط، بل یجوز استنابة الغیر مجّاناً أو بالأُجرة مع الاطمئنان بإیقاعه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اجرة التعریف علی الملتقط إلّا إذا کان من قصده أن یبقیٰ </w:t>
      </w:r>
      <w:r>
        <w:rPr>
          <w:rStyle w:val="FootnoteAnchor"/>
          <w:rtl w:val="true"/>
        </w:rPr>
        <w:footnoteReference w:id="1793"/>
      </w:r>
      <w:r>
        <w:rPr>
          <w:rFonts w:ascii="IRNazanin" w:hAnsi="IRNazanin" w:eastAsia="IRNazanin"/>
          <w:color w:val="111111"/>
          <w:sz w:val="28"/>
          <w:sz w:val="28"/>
          <w:szCs w:val="28"/>
          <w:rtl w:val="true"/>
          <w:lang w:bidi="fa-IR"/>
        </w:rPr>
        <w:t>بیده و یحفظها لمالکه</w:t>
      </w:r>
      <w:r>
        <w:rPr>
          <w:rFonts w:eastAsia="IRNazanin" w:cs="IRNazanin"/>
          <w:color w:val="111111"/>
          <w:sz w:val="28"/>
          <w:szCs w:val="28"/>
          <w:rtl w:val="true"/>
          <w:lang w:bidi="fa-IR"/>
        </w:rPr>
        <w:t>.</w:t>
      </w:r>
    </w:p>
    <w:p>
      <w:pPr>
        <w:pStyle w:val="Heading4"/>
        <w:numPr>
          <w:ilvl w:val="3"/>
          <w:numId w:val="1"/>
        </w:numPr>
        <w:rPr/>
      </w:pPr>
      <w:bookmarkStart w:id="6904" w:name="__RefHeading___Toc2571218_3650668749"/>
      <w:bookmarkStart w:id="6905" w:name="_Toc3118"/>
      <w:bookmarkEnd w:id="6904"/>
      <w:r>
        <w:rPr>
          <w:rtl w:val="true"/>
        </w:rPr>
        <w:t>[ (</w:t>
      </w:r>
      <w:r>
        <w:rPr>
          <w:rtl w:val="true"/>
        </w:rPr>
        <w:t xml:space="preserve">مسألة </w:t>
      </w:r>
      <w:r>
        <w:rPr/>
        <w:t>13</w:t>
      </w:r>
      <w:r>
        <w:rPr>
          <w:rtl w:val="true"/>
        </w:rPr>
        <w:t xml:space="preserve">): </w:t>
      </w:r>
      <w:r>
        <w:rPr>
          <w:rtl w:val="true"/>
        </w:rPr>
        <w:t>لو علم بأنّ التعریف لا فائدة فیه أو حصل له الیأس من وجدان مالکها قبل تمام السنة سقط</w:t>
      </w:r>
      <w:r>
        <w:rPr>
          <w:rtl w:val="true"/>
        </w:rPr>
        <w:t>]</w:t>
      </w:r>
      <w:bookmarkEnd w:id="69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بأنّ التعریف لا فائدة فیه أو حصل له الیأس من وجدان مالکها قبل تمام السنة سقط، و تخیّر بین الأمرین فی لقطة الحرم، و الأُمور الثلاثة فی لقطة غیره، و الأحوط </w:t>
      </w:r>
      <w:r>
        <w:rPr>
          <w:rStyle w:val="FootnoteAnchor"/>
          <w:rtl w:val="true"/>
        </w:rPr>
        <w:footnoteReference w:id="1794"/>
      </w:r>
      <w:r>
        <w:rPr>
          <w:rFonts w:ascii="IRNazanin" w:hAnsi="IRNazanin" w:eastAsia="IRNazanin"/>
          <w:color w:val="111111"/>
          <w:sz w:val="28"/>
          <w:sz w:val="28"/>
          <w:szCs w:val="28"/>
          <w:rtl w:val="true"/>
          <w:lang w:bidi="fa-IR"/>
        </w:rPr>
        <w:t>فی الثانی أن یتصدّق بها و لا یتملّک</w:t>
      </w:r>
      <w:r>
        <w:rPr>
          <w:rFonts w:eastAsia="IRNazanin" w:cs="IRNazanin"/>
          <w:color w:val="111111"/>
          <w:sz w:val="28"/>
          <w:szCs w:val="28"/>
          <w:rtl w:val="true"/>
          <w:lang w:bidi="fa-IR"/>
        </w:rPr>
        <w:t>.</w:t>
      </w:r>
    </w:p>
    <w:p>
      <w:pPr>
        <w:pStyle w:val="Heading4"/>
        <w:numPr>
          <w:ilvl w:val="3"/>
          <w:numId w:val="1"/>
        </w:numPr>
        <w:rPr/>
      </w:pPr>
      <w:bookmarkStart w:id="6906" w:name="__RefHeading___Toc2571220_3650668749"/>
      <w:bookmarkStart w:id="6907" w:name="_Toc3119"/>
      <w:bookmarkEnd w:id="6906"/>
      <w:r>
        <w:rPr>
          <w:rtl w:val="true"/>
        </w:rPr>
        <w:t>[ (</w:t>
      </w:r>
      <w:r>
        <w:rPr>
          <w:rtl w:val="true"/>
        </w:rPr>
        <w:t xml:space="preserve">مسألة </w:t>
      </w:r>
      <w:r>
        <w:rPr/>
        <w:t>14</w:t>
      </w:r>
      <w:r>
        <w:rPr>
          <w:rtl w:val="true"/>
        </w:rPr>
        <w:t xml:space="preserve">): </w:t>
      </w:r>
      <w:r>
        <w:rPr>
          <w:rtl w:val="true"/>
        </w:rPr>
        <w:t>لو تعذّر التعریف فی أثناء السنة انتظر رفع العذر</w:t>
      </w:r>
      <w:r>
        <w:rPr>
          <w:rtl w:val="true"/>
        </w:rPr>
        <w:t>]</w:t>
      </w:r>
      <w:bookmarkEnd w:id="69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تعذّر التعریف فی أثناء السنة انتظر رفع العذر، و لیس علیه بعد ارتفاع العذر استئناف السنة بل یکفی تتمیمها</w:t>
      </w:r>
      <w:r>
        <w:rPr>
          <w:rFonts w:eastAsia="IRNazanin" w:cs="IRNazanin"/>
          <w:color w:val="111111"/>
          <w:sz w:val="28"/>
          <w:szCs w:val="28"/>
          <w:rtl w:val="true"/>
          <w:lang w:bidi="fa-IR"/>
        </w:rPr>
        <w:t>.</w:t>
      </w:r>
    </w:p>
    <w:p>
      <w:pPr>
        <w:pStyle w:val="Heading4"/>
        <w:numPr>
          <w:ilvl w:val="3"/>
          <w:numId w:val="1"/>
        </w:numPr>
        <w:rPr/>
      </w:pPr>
      <w:bookmarkStart w:id="6908" w:name="__RefHeading___Toc2571222_3650668749"/>
      <w:bookmarkStart w:id="6909" w:name="_Toc3120"/>
      <w:bookmarkEnd w:id="6908"/>
      <w:r>
        <w:rPr>
          <w:rtl w:val="true"/>
        </w:rPr>
        <w:t>[ (</w:t>
      </w:r>
      <w:r>
        <w:rPr>
          <w:rtl w:val="true"/>
        </w:rPr>
        <w:t xml:space="preserve">مسألة </w:t>
      </w:r>
      <w:r>
        <w:rPr/>
        <w:t>15</w:t>
      </w:r>
      <w:r>
        <w:rPr>
          <w:rtl w:val="true"/>
        </w:rPr>
        <w:t xml:space="preserve">): </w:t>
      </w:r>
      <w:r>
        <w:rPr>
          <w:rtl w:val="true"/>
        </w:rPr>
        <w:t>لو علم بعد تعریف سنة أنّه لو زاد علیها عثر علیٰ صاحبه، فهل یجب الزیادة</w:t>
      </w:r>
      <w:r>
        <w:rPr>
          <w:rtl w:val="true"/>
        </w:rPr>
        <w:t>]</w:t>
      </w:r>
      <w:bookmarkEnd w:id="69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بعد تعریف سنة أنّه لو زاد علیها عثر علیٰ صاحبه، فهل یجب الزیادة إلیٰ أن یعثر علیه أم لا؟ وجهان، أحوطهما </w:t>
      </w:r>
      <w:r>
        <w:rPr>
          <w:rStyle w:val="FootnoteAnchor"/>
          <w:rtl w:val="true"/>
        </w:rPr>
        <w:footnoteReference w:id="1795"/>
      </w:r>
      <w:r>
        <w:rPr>
          <w:rFonts w:ascii="IRNazanin" w:hAnsi="IRNazanin" w:eastAsia="IRNazanin"/>
          <w:color w:val="111111"/>
          <w:sz w:val="28"/>
          <w:sz w:val="28"/>
          <w:szCs w:val="28"/>
          <w:rtl w:val="true"/>
          <w:lang w:bidi="fa-IR"/>
        </w:rPr>
        <w:t>الأوّل و إن کان الثانی لا یخلو من قوّة</w:t>
      </w:r>
      <w:r>
        <w:rPr>
          <w:rFonts w:eastAsia="IRNazanin" w:cs="IRNazanin"/>
          <w:color w:val="111111"/>
          <w:sz w:val="28"/>
          <w:szCs w:val="28"/>
          <w:rtl w:val="true"/>
          <w:lang w:bidi="fa-IR"/>
        </w:rPr>
        <w:t>.</w:t>
      </w:r>
    </w:p>
    <w:p>
      <w:pPr>
        <w:pStyle w:val="Heading4"/>
        <w:numPr>
          <w:ilvl w:val="3"/>
          <w:numId w:val="1"/>
        </w:numPr>
        <w:rPr/>
      </w:pPr>
      <w:bookmarkStart w:id="6910" w:name="__RefHeading___Toc2571224_3650668749"/>
      <w:bookmarkStart w:id="6911" w:name="_Toc3121"/>
      <w:bookmarkEnd w:id="6910"/>
      <w:r>
        <w:rPr>
          <w:rtl w:val="true"/>
        </w:rPr>
        <w:t>[ (</w:t>
      </w:r>
      <w:r>
        <w:rPr>
          <w:rtl w:val="true"/>
        </w:rPr>
        <w:t xml:space="preserve">مسألة </w:t>
      </w:r>
      <w:r>
        <w:rPr/>
        <w:t>16</w:t>
      </w:r>
      <w:r>
        <w:rPr>
          <w:rtl w:val="true"/>
        </w:rPr>
        <w:t xml:space="preserve">): </w:t>
      </w:r>
      <w:r>
        <w:rPr>
          <w:rtl w:val="true"/>
        </w:rPr>
        <w:t>لو ضاعت اللقطة من الملتقط و وجدها شخص آخر، لم یجب علیه التعریف</w:t>
      </w:r>
      <w:r>
        <w:rPr>
          <w:rtl w:val="true"/>
        </w:rPr>
        <w:t>]</w:t>
      </w:r>
      <w:bookmarkEnd w:id="69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ضاعت اللقطة من الملتقط و وجدها شخص آخر، لم یجب علیه التعریف، بل یجب علیه إیصالها إلی الملتقط الأوّل، نعم لو لم یعرّفه وجب علیه التعریف سنة طالباً به المالک أو الملتقط الأوّل، فأیّاً منهما عثر علیه یجب دفعها إلیه، من غیر فرق بین ما کان ضیاعها من الملتقط قبل تعریفه سنة أو بعده</w:t>
      </w:r>
      <w:r>
        <w:rPr>
          <w:rFonts w:eastAsia="IRNazanin" w:cs="IRNazanin"/>
          <w:color w:val="111111"/>
          <w:sz w:val="28"/>
          <w:szCs w:val="28"/>
          <w:rtl w:val="true"/>
          <w:lang w:bidi="fa-IR"/>
        </w:rPr>
        <w:t>.</w:t>
      </w:r>
    </w:p>
    <w:p>
      <w:pPr>
        <w:pStyle w:val="Heading4"/>
        <w:numPr>
          <w:ilvl w:val="3"/>
          <w:numId w:val="1"/>
        </w:numPr>
        <w:rPr/>
      </w:pPr>
      <w:bookmarkStart w:id="6912" w:name="__RefHeading___Toc2571226_3650668749"/>
      <w:bookmarkStart w:id="6913" w:name="_Toc3122"/>
      <w:bookmarkEnd w:id="6912"/>
      <w:r>
        <w:rPr>
          <w:rtl w:val="true"/>
        </w:rPr>
        <w:t>[ (</w:t>
      </w:r>
      <w:r>
        <w:rPr>
          <w:rtl w:val="true"/>
        </w:rPr>
        <w:t xml:space="preserve">مسألة </w:t>
      </w:r>
      <w:r>
        <w:rPr/>
        <w:t>17</w:t>
      </w:r>
      <w:r>
        <w:rPr>
          <w:rtl w:val="true"/>
        </w:rPr>
        <w:t xml:space="preserve">): </w:t>
      </w:r>
      <w:r>
        <w:rPr>
          <w:rtl w:val="true"/>
        </w:rPr>
        <w:t>إذا کانت اللقطة ممّا لا تبقیٰ سنة</w:t>
      </w:r>
      <w:r>
        <w:rPr>
          <w:rtl w:val="true"/>
        </w:rPr>
        <w:t>]</w:t>
      </w:r>
      <w:bookmarkEnd w:id="6913"/>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اللقطة ممّا لا تبقیٰ سنة کالطبیخ و البطّیخ و اللحم و الفواکه و الخضروات جاز أن یقوّمها علیٰ نفسه و یأکلها و یتصرّف بها أو یبیعها من غیره و یحفظ ثمنها لمالکها، و الأحوط </w:t>
      </w:r>
      <w:r>
        <w:rPr>
          <w:rStyle w:val="FootnoteAnchor"/>
          <w:rtl w:val="true"/>
        </w:rPr>
        <w:footnoteReference w:id="1796"/>
      </w:r>
      <w:r>
        <w:rPr>
          <w:rFonts w:ascii="IRNazanin" w:hAnsi="IRNazanin" w:eastAsia="IRNazanin"/>
          <w:color w:val="111111"/>
          <w:sz w:val="28"/>
          <w:sz w:val="28"/>
          <w:szCs w:val="28"/>
          <w:rtl w:val="true"/>
          <w:lang w:bidi="fa-IR"/>
        </w:rPr>
        <w:t>أن یکون بیعها بإذن الحاکم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یسقط التعریف فیحفظ خصوصیّاتها و صفاتها قبل أن یأکلها أو یبیعها ثمّ یعرّفها سنة، فإن جاء صاحبها و قد باعها دفع ثمنها إلیه و إن أکلها غرمه بقیمته، و إن لم یجی‌ء فلا شی‌ء علیه</w:t>
      </w:r>
      <w:r>
        <w:rPr>
          <w:rFonts w:eastAsia="IRNazanin" w:cs="IRNazanin"/>
          <w:color w:val="111111"/>
          <w:sz w:val="28"/>
          <w:szCs w:val="28"/>
          <w:rtl w:val="true"/>
          <w:lang w:bidi="fa-IR"/>
        </w:rPr>
        <w:t>.</w:t>
      </w:r>
      <w:bookmarkStart w:id="6914" w:name="pg1809_19819"/>
    </w:p>
    <w:p>
      <w:pPr>
        <w:pStyle w:val="Heading4"/>
        <w:numPr>
          <w:ilvl w:val="3"/>
          <w:numId w:val="1"/>
        </w:numPr>
        <w:rPr/>
      </w:pPr>
      <w:bookmarkStart w:id="6915" w:name="__RefHeading___Toc2571228_3650668749"/>
      <w:bookmarkStart w:id="6916" w:name="_Toc3123"/>
      <w:bookmarkEnd w:id="6914"/>
      <w:bookmarkEnd w:id="6915"/>
      <w:r>
        <w:rPr>
          <w:rtl w:val="true"/>
        </w:rPr>
        <w:t>[ (</w:t>
      </w:r>
      <w:r>
        <w:rPr>
          <w:rtl w:val="true"/>
        </w:rPr>
        <w:t xml:space="preserve">مسألة </w:t>
      </w:r>
      <w:r>
        <w:rPr/>
        <w:t>18</w:t>
      </w:r>
      <w:r>
        <w:rPr>
          <w:rtl w:val="true"/>
        </w:rPr>
        <w:t xml:space="preserve">): </w:t>
      </w:r>
      <w:r>
        <w:rPr>
          <w:rtl w:val="true"/>
        </w:rPr>
        <w:t>یتحقّق تعریف سنة</w:t>
      </w:r>
      <w:r>
        <w:rPr>
          <w:rtl w:val="true"/>
        </w:rPr>
        <w:t xml:space="preserve">: </w:t>
      </w:r>
      <w:r>
        <w:rPr>
          <w:rtl w:val="true"/>
        </w:rPr>
        <w:t>بأن یکون فی مدّة سنة متوالیة أو غیر متوالیة</w:t>
      </w:r>
      <w:r>
        <w:rPr>
          <w:rtl w:val="true"/>
        </w:rPr>
        <w:t>]</w:t>
      </w:r>
      <w:bookmarkEnd w:id="69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تعریف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فی مدّة سنة متوالیة أو غیر متوالیة مشغولًا بالتعریف؛ بحیث لم یعدّ فی العرف متسامحاً متساهلًا فی الفحص عن مالکه، بل عدّوه فاحصاً عنه فی هذه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یتقدّر ذلک بمقدار معیّن، بل هو أمر عرفی، و قد نسب إلی المشهور تحدیده بأن یعرّف فی الأُسبوع الأوّل فی کلّ یوم مرّة، ثمّ فی بقیّة الشهر فی کلّ أُسبوع مرّة، و بعد ذلک فی کلّ شهر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بیان أقلّ ما یصدق علیه تعریف سنة عرفاً و مرجعه إلیٰ کفایة بضع و عشرین مرّة بهذه الکیفیّة، و فیه إشکال من جهة الإشکال فی کفایة کلّ شهر مرّة فی غیر الشهر الأوّل، و الظاهر کفایة کلّ أُسبوع مرّة إلیٰ تمام الحول، و الأحوط أن یکون فی الأُسبوع الأوّل کلّ یوم مرّة</w:t>
      </w:r>
      <w:r>
        <w:rPr>
          <w:rFonts w:eastAsia="IRNazanin" w:cs="IRNazanin"/>
          <w:color w:val="111111"/>
          <w:sz w:val="28"/>
          <w:szCs w:val="28"/>
          <w:rtl w:val="true"/>
          <w:lang w:bidi="fa-IR"/>
        </w:rPr>
        <w:t>.</w:t>
      </w:r>
    </w:p>
    <w:p>
      <w:pPr>
        <w:pStyle w:val="Heading4"/>
        <w:numPr>
          <w:ilvl w:val="3"/>
          <w:numId w:val="1"/>
        </w:numPr>
        <w:rPr/>
      </w:pPr>
      <w:bookmarkStart w:id="6917" w:name="__RefHeading___Toc2571230_3650668749"/>
      <w:bookmarkStart w:id="6918" w:name="_Toc3124"/>
      <w:bookmarkEnd w:id="6917"/>
      <w:r>
        <w:rPr>
          <w:rtl w:val="true"/>
        </w:rPr>
        <w:t>[ (</w:t>
      </w:r>
      <w:r>
        <w:rPr>
          <w:rtl w:val="true"/>
        </w:rPr>
        <w:t xml:space="preserve">مسألة </w:t>
      </w:r>
      <w:r>
        <w:rPr/>
        <w:t>19</w:t>
      </w:r>
      <w:r>
        <w:rPr>
          <w:rtl w:val="true"/>
        </w:rPr>
        <w:t xml:space="preserve">): </w:t>
      </w:r>
      <w:r>
        <w:rPr>
          <w:rtl w:val="true"/>
        </w:rPr>
        <w:t>محلّ التعریف مجامع الناس</w:t>
      </w:r>
      <w:r>
        <w:rPr>
          <w:rtl w:val="true"/>
        </w:rPr>
        <w:t>]</w:t>
      </w:r>
      <w:bookmarkEnd w:id="69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التعریف مجامع الناس، کالأسواق و المشاهد و محلّ إقامة الجماعات و مجالس التعازی و کذا المساجد حین اجتماع الناس فیها و إن کره ذلک فیها فینبغی أن یکون علیٰ أبوابها حین دخول الناس فیها أو خروجهم عنها</w:t>
      </w:r>
      <w:r>
        <w:rPr>
          <w:rFonts w:eastAsia="IRNazanin" w:cs="IRNazanin"/>
          <w:color w:val="111111"/>
          <w:sz w:val="28"/>
          <w:szCs w:val="28"/>
          <w:rtl w:val="true"/>
          <w:lang w:bidi="fa-IR"/>
        </w:rPr>
        <w:t>.</w:t>
      </w:r>
    </w:p>
    <w:p>
      <w:pPr>
        <w:pStyle w:val="Heading4"/>
        <w:numPr>
          <w:ilvl w:val="3"/>
          <w:numId w:val="1"/>
        </w:numPr>
        <w:rPr/>
      </w:pPr>
      <w:bookmarkStart w:id="6919" w:name="__RefHeading___Toc2571232_3650668749"/>
      <w:bookmarkStart w:id="6920" w:name="_Toc3125"/>
      <w:bookmarkEnd w:id="6919"/>
      <w:r>
        <w:rPr>
          <w:rtl w:val="true"/>
        </w:rPr>
        <w:t>[ (</w:t>
      </w:r>
      <w:r>
        <w:rPr>
          <w:rtl w:val="true"/>
        </w:rPr>
        <w:t xml:space="preserve">مسألة </w:t>
      </w:r>
      <w:r>
        <w:rPr/>
        <w:t>20</w:t>
      </w:r>
      <w:r>
        <w:rPr>
          <w:rtl w:val="true"/>
        </w:rPr>
        <w:t xml:space="preserve">): </w:t>
      </w:r>
      <w:r>
        <w:rPr>
          <w:rtl w:val="true"/>
        </w:rPr>
        <w:t>یجب أن یعرّف اللقطة فی موضع الالتقاط؛ إن وجدها فی محلّ متأهّل</w:t>
      </w:r>
      <w:r>
        <w:rPr>
          <w:rtl w:val="true"/>
        </w:rPr>
        <w:t>]</w:t>
      </w:r>
      <w:bookmarkEnd w:id="69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یعرّف اللقطة فی موضع </w:t>
      </w:r>
      <w:r>
        <w:rPr>
          <w:rStyle w:val="FootnoteAnchor"/>
          <w:rtl w:val="true"/>
        </w:rPr>
        <w:footnoteReference w:id="1797"/>
      </w:r>
      <w:r>
        <w:rPr>
          <w:rFonts w:ascii="IRNazanin" w:hAnsi="IRNazanin" w:eastAsia="IRNazanin"/>
          <w:color w:val="111111"/>
          <w:sz w:val="28"/>
          <w:sz w:val="28"/>
          <w:szCs w:val="28"/>
          <w:rtl w:val="true"/>
          <w:lang w:bidi="fa-IR"/>
        </w:rPr>
        <w:t>الالتقاط؛ إن وجدها فی محلّ متأهّل من بلد أو قریة و نحوهما، و لو لم یقدر علی البقاء لم یسافر بها، بل استناب شخصاً أمیناً ثقة لیعرّفها، و إن وجدها فی المفاوز و البراری و الشوارع و أمثال ذلک عرّفها لمن یجده فیها، حتّی أنّه لو اجتازت قافلة تبعهم و عرّفها فیهم، فإن لم یجد المالک فیها أتمّ التعریف فی غیرها من البلاد أیّ بلد شاء ممّا احتمل وجود صاحبها فیه، و ینبغی أن یکون فی أقرب البلدان إلیها فالأقرب مع الإمکان</w:t>
      </w:r>
      <w:r>
        <w:rPr>
          <w:rFonts w:eastAsia="IRNazanin" w:cs="IRNazanin"/>
          <w:color w:val="111111"/>
          <w:sz w:val="28"/>
          <w:szCs w:val="28"/>
          <w:rtl w:val="true"/>
          <w:lang w:bidi="fa-IR"/>
        </w:rPr>
        <w:t>.</w:t>
      </w:r>
    </w:p>
    <w:p>
      <w:pPr>
        <w:pStyle w:val="Heading4"/>
        <w:numPr>
          <w:ilvl w:val="3"/>
          <w:numId w:val="1"/>
        </w:numPr>
        <w:rPr/>
      </w:pPr>
      <w:bookmarkStart w:id="6921" w:name="__RefHeading___Toc2571234_3650668749"/>
      <w:bookmarkStart w:id="6922" w:name="_Toc3126"/>
      <w:bookmarkEnd w:id="6921"/>
      <w:r>
        <w:rPr>
          <w:rtl w:val="true"/>
        </w:rPr>
        <w:t>[ (</w:t>
      </w:r>
      <w:r>
        <w:rPr>
          <w:rtl w:val="true"/>
        </w:rPr>
        <w:t xml:space="preserve">مسألة </w:t>
      </w:r>
      <w:r>
        <w:rPr/>
        <w:t>21</w:t>
      </w:r>
      <w:r>
        <w:rPr>
          <w:rtl w:val="true"/>
        </w:rPr>
        <w:t xml:space="preserve">): </w:t>
      </w:r>
      <w:r>
        <w:rPr>
          <w:rtl w:val="true"/>
        </w:rPr>
        <w:t>کیفیّة التعریف</w:t>
      </w:r>
      <w:r>
        <w:rPr>
          <w:rtl w:val="true"/>
        </w:rPr>
        <w:t>]</w:t>
      </w:r>
      <w:bookmarkEnd w:id="6922"/>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التعریف أن یقول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ضاع له ذهب أو فضّة أو ثوب؟ و ما شاکل ذلک من الألفاظ بلغة یفهمها الأغلب، و یجوز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ضاع له شی‌ء، أو مال؟ بل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أحوط و أولی فإذا ادّعیٰ أحد ضیاعه سأله عن خصوصیّاته و صفاته و علاماته؛ من وعائه و خیطه و صنعته و أُمور یبعد اطّلاع غیر المالک علیه من عدده و زمان ضیاعه و مکانه و غیر ذلک فإذا توافقت الصفات و الخصوصیّات التی ذکره مع الخصوصیّات الموجودة فی ذلک المال فقد تمّ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جهله ببعض</w:t>
      </w:r>
      <w:bookmarkStart w:id="6923" w:name="pg1809_19821"/>
    </w:p>
    <w:p>
      <w:pPr>
        <w:pStyle w:val="BookText"/>
        <w:rPr/>
      </w:pPr>
      <w:bookmarkEnd w:id="6923"/>
      <w:r>
        <w:rPr>
          <w:rFonts w:ascii="IRNazanin" w:hAnsi="IRNazanin" w:eastAsia="IRNazanin"/>
          <w:color w:val="111111"/>
          <w:sz w:val="28"/>
          <w:sz w:val="28"/>
          <w:szCs w:val="28"/>
          <w:rtl w:val="true"/>
          <w:lang w:bidi="fa-IR"/>
        </w:rPr>
        <w:t>الخصوصیّات التی لا یطّلع علیها المالک غالباً و لا یلتفت إلیها إلّا نادراً، أ لا تری أنّ الکتاب الذی یملکه الإنسان و یقرؤه و یطالعه مدّة طویلة من الزمان لا یطّلع غالباً علیٰ عدد أوراقه و صفحاته، فلو لم یعرف مثل ذلک، لکن وصفه بصفات و علامات أُخر لا تخفیٰ علی المالک، کفیٰ فی تعریفه و توصیفه</w:t>
      </w:r>
      <w:r>
        <w:rPr>
          <w:rFonts w:eastAsia="IRNazanin" w:cs="IRNazanin"/>
          <w:color w:val="111111"/>
          <w:sz w:val="28"/>
          <w:szCs w:val="28"/>
          <w:rtl w:val="true"/>
          <w:lang w:bidi="fa-IR"/>
        </w:rPr>
        <w:t>.</w:t>
      </w:r>
    </w:p>
    <w:p>
      <w:pPr>
        <w:pStyle w:val="Heading4"/>
        <w:numPr>
          <w:ilvl w:val="3"/>
          <w:numId w:val="1"/>
        </w:numPr>
        <w:rPr/>
      </w:pPr>
      <w:bookmarkStart w:id="6924" w:name="__RefHeading___Toc2571236_3650668749"/>
      <w:bookmarkStart w:id="6925" w:name="_Toc3127"/>
      <w:bookmarkEnd w:id="6924"/>
      <w:r>
        <w:rPr>
          <w:rtl w:val="true"/>
        </w:rPr>
        <w:t>[ (</w:t>
      </w:r>
      <w:r>
        <w:rPr>
          <w:rtl w:val="true"/>
        </w:rPr>
        <w:t xml:space="preserve">مسألة </w:t>
      </w:r>
      <w:r>
        <w:rPr/>
        <w:t>22</w:t>
      </w:r>
      <w:r>
        <w:rPr>
          <w:rtl w:val="true"/>
        </w:rPr>
        <w:t xml:space="preserve">): </w:t>
      </w:r>
      <w:r>
        <w:rPr>
          <w:rtl w:val="true"/>
        </w:rPr>
        <w:t>إذا لم تکن اللقطة قابلة للتعریف بأن لم تکن لها علامة و خصوصیّات ممتازة عن غیرها</w:t>
      </w:r>
      <w:r>
        <w:rPr>
          <w:rtl w:val="true"/>
        </w:rPr>
        <w:t>]</w:t>
      </w:r>
      <w:bookmarkEnd w:id="6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اللقطة قابلة للتعریف بأن لم تکن لها علامة و خصوصیّات ممتازة عن غیرها حتّی یصف بها من یدّعیها و یسأل عنها الملتقط، کدینار واحد من الدنانیر المتعارفة غیر مصرور و لا مکسور سقط التعریف، و حینئذٍ هل یتخیّر بین الأُمور الثلاثة المتقدّمة من دون تعریف مثل ما حصل الیأس من وجدان مالکه، أو یعامل معه معاملة مجهول المالک فیتعیّن التصدّق به؟ وجهان، أحوطهما الثانی</w:t>
      </w:r>
      <w:r>
        <w:rPr>
          <w:rFonts w:eastAsia="IRNazanin" w:cs="IRNazanin"/>
          <w:color w:val="111111"/>
          <w:sz w:val="28"/>
          <w:szCs w:val="28"/>
          <w:rtl w:val="true"/>
          <w:lang w:bidi="fa-IR"/>
        </w:rPr>
        <w:t>.</w:t>
      </w:r>
    </w:p>
    <w:p>
      <w:pPr>
        <w:pStyle w:val="Heading4"/>
        <w:numPr>
          <w:ilvl w:val="3"/>
          <w:numId w:val="1"/>
        </w:numPr>
        <w:rPr/>
      </w:pPr>
      <w:bookmarkStart w:id="6926" w:name="__RefHeading___Toc2571238_3650668749"/>
      <w:bookmarkStart w:id="6927" w:name="_Toc3128"/>
      <w:bookmarkEnd w:id="6926"/>
      <w:r>
        <w:rPr>
          <w:rtl w:val="true"/>
        </w:rPr>
        <w:t>[ (</w:t>
      </w:r>
      <w:r>
        <w:rPr>
          <w:rtl w:val="true"/>
        </w:rPr>
        <w:t xml:space="preserve">مسألة </w:t>
      </w:r>
      <w:r>
        <w:rPr/>
        <w:t>23</w:t>
      </w:r>
      <w:r>
        <w:rPr>
          <w:rtl w:val="true"/>
        </w:rPr>
        <w:t xml:space="preserve">): </w:t>
      </w:r>
      <w:r>
        <w:rPr>
          <w:rtl w:val="true"/>
        </w:rPr>
        <w:t>إذا التقط اثنان لقطة واحدة</w:t>
      </w:r>
      <w:r>
        <w:rPr>
          <w:rtl w:val="true"/>
        </w:rPr>
        <w:t>]</w:t>
      </w:r>
      <w:bookmarkEnd w:id="69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التقط اثنان لقطة واحدة، فإن کان المجموع دون درهم جاز لهما تملّکها فی الحال من دون تعریف و کان بینهما بالتساوی، و إن کانت بمقدار درهم فما زاد وجب علیهما تعریفها و إن کانت حصّة کلّ منهما أقلّ من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أن یتصدّی للتعریف کلاهما أو أحدهما </w:t>
      </w:r>
      <w:r>
        <w:rPr>
          <w:rStyle w:val="FootnoteAnchor"/>
          <w:rtl w:val="true"/>
        </w:rPr>
        <w:footnoteReference w:id="1798"/>
      </w:r>
      <w:r>
        <w:rPr>
          <w:rFonts w:ascii="IRNazanin" w:hAnsi="IRNazanin" w:eastAsia="IRNazanin"/>
          <w:color w:val="111111"/>
          <w:sz w:val="28"/>
          <w:sz w:val="28"/>
          <w:szCs w:val="28"/>
          <w:rtl w:val="true"/>
          <w:lang w:bidi="fa-IR"/>
        </w:rPr>
        <w:t>أو یوزّع الحول علیهما بالتساوی أو التفاضل، فإن توافقا علیٰ أحد الأنحاء فقد تأدّیٰ ما هو الواجب علیهما و سقط عنهما، و إن تعاسر یوزّع الحول علیهما بالتساوی، و هکذا بالنسبة إلیٰ أُجرة التعریف لو کانت علیهما، و بعد ما تمّ حول التعریف یجوز اتّفاقهما علی التملّک أو التصدّق أو الإبقاء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یختار أحدهما غیر ما یختاره الآخر؛ بأن یختار أحدهما التملّک و الآخر التصدّق مثلًا؛ کلّ فی نصفه</w:t>
      </w:r>
      <w:r>
        <w:rPr>
          <w:rFonts w:eastAsia="IRNazanin" w:cs="IRNazanin"/>
          <w:color w:val="111111"/>
          <w:sz w:val="28"/>
          <w:szCs w:val="28"/>
          <w:rtl w:val="true"/>
          <w:lang w:bidi="fa-IR"/>
        </w:rPr>
        <w:t>.</w:t>
      </w:r>
    </w:p>
    <w:p>
      <w:pPr>
        <w:pStyle w:val="Heading4"/>
        <w:numPr>
          <w:ilvl w:val="3"/>
          <w:numId w:val="1"/>
        </w:numPr>
        <w:rPr/>
      </w:pPr>
      <w:bookmarkStart w:id="6928" w:name="__RefHeading___Toc2571240_3650668749"/>
      <w:bookmarkStart w:id="6929" w:name="_Toc3129"/>
      <w:bookmarkEnd w:id="6928"/>
      <w:r>
        <w:rPr>
          <w:rtl w:val="true"/>
        </w:rPr>
        <w:t>[ (</w:t>
      </w:r>
      <w:r>
        <w:rPr>
          <w:rtl w:val="true"/>
        </w:rPr>
        <w:t xml:space="preserve">مسألة </w:t>
      </w:r>
      <w:r>
        <w:rPr/>
        <w:t>24</w:t>
      </w:r>
      <w:r>
        <w:rPr>
          <w:rtl w:val="true"/>
        </w:rPr>
        <w:t xml:space="preserve">): </w:t>
      </w:r>
      <w:r>
        <w:rPr>
          <w:rtl w:val="true"/>
        </w:rPr>
        <w:t>إذا التقط الصبیّ أو المجنون، فما کان دون درهم ملکاه إن قصدا</w:t>
      </w:r>
      <w:r>
        <w:rPr>
          <w:rtl w:val="true"/>
        </w:rPr>
        <w:t>]</w:t>
      </w:r>
      <w:bookmarkEnd w:id="6929"/>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التقط الصبیّ أو المجنون، فما کان دون درهم ملکاه إن قصدا </w:t>
      </w:r>
      <w:r>
        <w:rPr>
          <w:rStyle w:val="FootnoteAnchor"/>
          <w:rtl w:val="true"/>
        </w:rPr>
        <w:footnoteReference w:id="1799"/>
      </w:r>
      <w:r>
        <w:rPr>
          <w:rFonts w:ascii="IRNazanin" w:hAnsi="IRNazanin" w:eastAsia="IRNazanin"/>
          <w:color w:val="111111"/>
          <w:sz w:val="28"/>
          <w:sz w:val="28"/>
          <w:szCs w:val="28"/>
          <w:rtl w:val="true"/>
          <w:lang w:bidi="fa-IR"/>
        </w:rPr>
        <w:t>أو قصد ولیّهما التملّک، و ما کان مقدار درهم فما زاد یعرّف و کان التعریف علیٰ ولیّهما، و بعد تمام الحول یختار من التملّک لهما و التصدّق و الإبقاء أمانة ما هو الأصلح لهما</w:t>
      </w:r>
      <w:r>
        <w:rPr>
          <w:rFonts w:eastAsia="IRNazanin" w:cs="IRNazanin"/>
          <w:color w:val="111111"/>
          <w:sz w:val="28"/>
          <w:szCs w:val="28"/>
          <w:rtl w:val="true"/>
          <w:lang w:bidi="fa-IR"/>
        </w:rPr>
        <w:t>.</w:t>
      </w:r>
      <w:bookmarkStart w:id="6930" w:name="pg1809_19823"/>
    </w:p>
    <w:p>
      <w:pPr>
        <w:pStyle w:val="Heading4"/>
        <w:numPr>
          <w:ilvl w:val="3"/>
          <w:numId w:val="1"/>
        </w:numPr>
        <w:rPr/>
      </w:pPr>
      <w:bookmarkStart w:id="6931" w:name="__RefHeading___Toc2571242_3650668749"/>
      <w:bookmarkStart w:id="6932" w:name="_Toc3130"/>
      <w:bookmarkEnd w:id="6930"/>
      <w:bookmarkEnd w:id="6931"/>
      <w:r>
        <w:rPr>
          <w:rtl w:val="true"/>
        </w:rPr>
        <w:t>[ (</w:t>
      </w:r>
      <w:r>
        <w:rPr>
          <w:rtl w:val="true"/>
        </w:rPr>
        <w:t xml:space="preserve">مسألة </w:t>
      </w:r>
      <w:r>
        <w:rPr/>
        <w:t>25</w:t>
      </w:r>
      <w:r>
        <w:rPr>
          <w:rtl w:val="true"/>
        </w:rPr>
        <w:t xml:space="preserve">): </w:t>
      </w:r>
      <w:r>
        <w:rPr>
          <w:rtl w:val="true"/>
        </w:rPr>
        <w:t>اللقطة فی مدّة التعریف أمانة لا یضمنها الملتقط إلّا مع التعدّی أو التفریط</w:t>
      </w:r>
      <w:r>
        <w:rPr>
          <w:rtl w:val="true"/>
        </w:rPr>
        <w:t>]</w:t>
      </w:r>
      <w:bookmarkEnd w:id="69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اللقطة فی مدّة التعریف أمانة لا یضمنها الملتقط إلّا مع التعدّی أو التفریط، و کذا بعد تمام الحول إن اختار بقاؤها عنده أمانة لمالکها، و أمّا إن اختار التملّک أو التصدّق، فإنّه تصیر فی ضمانه کما تعرفه</w:t>
      </w:r>
      <w:r>
        <w:rPr>
          <w:rFonts w:eastAsia="IRNazanin" w:cs="IRNazanin"/>
          <w:color w:val="111111"/>
          <w:sz w:val="28"/>
          <w:szCs w:val="28"/>
          <w:rtl w:val="true"/>
          <w:lang w:bidi="fa-IR"/>
        </w:rPr>
        <w:t>.</w:t>
      </w:r>
    </w:p>
    <w:p>
      <w:pPr>
        <w:pStyle w:val="Heading4"/>
        <w:numPr>
          <w:ilvl w:val="3"/>
          <w:numId w:val="1"/>
        </w:numPr>
        <w:rPr/>
      </w:pPr>
      <w:bookmarkStart w:id="6933" w:name="__RefHeading___Toc2571244_3650668749"/>
      <w:bookmarkStart w:id="6934" w:name="_Toc3131"/>
      <w:bookmarkEnd w:id="6933"/>
      <w:r>
        <w:rPr>
          <w:rtl w:val="true"/>
        </w:rPr>
        <w:t>[ (</w:t>
      </w:r>
      <w:r>
        <w:rPr>
          <w:rtl w:val="true"/>
        </w:rPr>
        <w:t xml:space="preserve">مسألة </w:t>
      </w:r>
      <w:r>
        <w:rPr/>
        <w:t>26</w:t>
      </w:r>
      <w:r>
        <w:rPr>
          <w:rtl w:val="true"/>
        </w:rPr>
        <w:t xml:space="preserve">): </w:t>
      </w:r>
      <w:r>
        <w:rPr>
          <w:rtl w:val="true"/>
        </w:rPr>
        <w:t>إن وجد المالک و قد تملّکه الملتقط بعد التعریف، فإن کانت العین باقیة أخذها</w:t>
      </w:r>
      <w:r>
        <w:rPr>
          <w:rtl w:val="true"/>
        </w:rPr>
        <w:t>]</w:t>
      </w:r>
      <w:bookmarkEnd w:id="69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المالک و قد تملّکه الملتقط بعد التعریف، فإن کانت العین باقیة أخذها و لیس له إلزام الملتقط بدفع البدل من المثل أو القیمة، و کذا لیس له إلزام المالک بأخذ البدل، و إن کانت تالفة أو منتقلة إلی الغیر ببیع و نحوه أخذ بدله من الملتقط من المثل أو القیمة، و إن وجد بعد ما تصدّق به فلیس له أن یرجع إلی العین و إن کانت موجودة عند المتصدّق له، و إنّما له أن یرجع علی الملتقط و یأخذ منه بدل ماله إن لم یرض بالتصدّق، و إن رضی به لم یکن له الرجوع علیه و کان أجر الصدقة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وُجد المالک، و أمّا إذا لم یوجد فلا شی‌ء علیه فی الصورتین</w:t>
      </w:r>
      <w:r>
        <w:rPr>
          <w:rFonts w:eastAsia="IRNazanin" w:cs="IRNazanin"/>
          <w:color w:val="111111"/>
          <w:sz w:val="28"/>
          <w:szCs w:val="28"/>
          <w:rtl w:val="true"/>
          <w:lang w:bidi="fa-IR"/>
        </w:rPr>
        <w:t>.</w:t>
      </w:r>
    </w:p>
    <w:p>
      <w:pPr>
        <w:pStyle w:val="Heading4"/>
        <w:numPr>
          <w:ilvl w:val="3"/>
          <w:numId w:val="1"/>
        </w:numPr>
        <w:rPr/>
      </w:pPr>
      <w:bookmarkStart w:id="6935" w:name="__RefHeading___Toc2571246_3650668749"/>
      <w:bookmarkStart w:id="6936" w:name="_Toc3132"/>
      <w:bookmarkEnd w:id="6935"/>
      <w:r>
        <w:rPr>
          <w:rtl w:val="true"/>
        </w:rPr>
        <w:t>[ (</w:t>
      </w:r>
      <w:r>
        <w:rPr>
          <w:rtl w:val="true"/>
        </w:rPr>
        <w:t xml:space="preserve">مسألة </w:t>
      </w:r>
      <w:r>
        <w:rPr/>
        <w:t>27</w:t>
      </w:r>
      <w:r>
        <w:rPr>
          <w:rtl w:val="true"/>
        </w:rPr>
        <w:t xml:space="preserve">): </w:t>
      </w:r>
      <w:r>
        <w:rPr>
          <w:rtl w:val="true"/>
        </w:rPr>
        <w:t>لا یسقط التعریف عن الملتقط بدفع اللقطة إلی الحاکم و إن جاز له دفعها إلیه قبل التعریف و بعده</w:t>
      </w:r>
      <w:r>
        <w:rPr>
          <w:rtl w:val="true"/>
        </w:rPr>
        <w:t>]</w:t>
      </w:r>
      <w:bookmarkEnd w:id="69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التعریف عن الملتقط بدفع اللقطة إلی الحاکم و إن جاز له دفعها إلیه قبل التعریف و بعده، بل إن اختار التصدّق بها بعد التعریف کان الأولیٰ أن یدفعها إلیه لیتصدّق بها</w:t>
      </w:r>
      <w:r>
        <w:rPr>
          <w:rFonts w:eastAsia="IRNazanin" w:cs="IRNazanin"/>
          <w:color w:val="111111"/>
          <w:sz w:val="28"/>
          <w:szCs w:val="28"/>
          <w:rtl w:val="true"/>
          <w:lang w:bidi="fa-IR"/>
        </w:rPr>
        <w:t>.</w:t>
      </w:r>
    </w:p>
    <w:p>
      <w:pPr>
        <w:pStyle w:val="Heading4"/>
        <w:numPr>
          <w:ilvl w:val="3"/>
          <w:numId w:val="1"/>
        </w:numPr>
        <w:rPr/>
      </w:pPr>
      <w:bookmarkStart w:id="6937" w:name="__RefHeading___Toc2571248_3650668749"/>
      <w:bookmarkStart w:id="6938" w:name="_Toc3133"/>
      <w:bookmarkEnd w:id="6937"/>
      <w:r>
        <w:rPr>
          <w:rtl w:val="true"/>
        </w:rPr>
        <w:t>[ (</w:t>
      </w:r>
      <w:r>
        <w:rPr>
          <w:rtl w:val="true"/>
        </w:rPr>
        <w:t xml:space="preserve">مسألة </w:t>
      </w:r>
      <w:r>
        <w:rPr/>
        <w:t>28</w:t>
      </w:r>
      <w:r>
        <w:rPr>
          <w:rtl w:val="true"/>
        </w:rPr>
        <w:t xml:space="preserve">): </w:t>
      </w:r>
      <w:r>
        <w:rPr>
          <w:rtl w:val="true"/>
        </w:rPr>
        <w:t>لو وجد المالک و قد حصل للّقطة نماء متّصل یتبع العین</w:t>
      </w:r>
      <w:r>
        <w:rPr>
          <w:rtl w:val="true"/>
        </w:rPr>
        <w:t>]</w:t>
      </w:r>
      <w:bookmarkEnd w:id="69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المالک و قد حصل للّقطة نماء متّصل یتبع العین، فیأخذ العین بنمائه؛ سواء حصل قبل تمام التعریف أو بعده، و سواء حصل قبل التملّک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النماء المنفصل، فإن حصل بعد التملّک کان للملتقط، فإذا کانت العین موجودة تدفعها إلی المالک دون نمائها، و إن حصل فی زمن التعریف أو بعده قبل التملّک کان للمالک</w:t>
      </w:r>
      <w:r>
        <w:rPr>
          <w:rFonts w:eastAsia="IRNazanin" w:cs="IRNazanin"/>
          <w:color w:val="111111"/>
          <w:sz w:val="28"/>
          <w:szCs w:val="28"/>
          <w:rtl w:val="true"/>
          <w:lang w:bidi="fa-IR"/>
        </w:rPr>
        <w:t>.</w:t>
      </w:r>
    </w:p>
    <w:p>
      <w:pPr>
        <w:pStyle w:val="Heading4"/>
        <w:numPr>
          <w:ilvl w:val="3"/>
          <w:numId w:val="1"/>
        </w:numPr>
        <w:rPr/>
      </w:pPr>
      <w:bookmarkStart w:id="6939" w:name="__RefHeading___Toc2571250_3650668749"/>
      <w:bookmarkStart w:id="6940" w:name="_Toc3134"/>
      <w:bookmarkEnd w:id="6939"/>
      <w:r>
        <w:rPr>
          <w:rtl w:val="true"/>
        </w:rPr>
        <w:t>[ (</w:t>
      </w:r>
      <w:r>
        <w:rPr>
          <w:rtl w:val="true"/>
        </w:rPr>
        <w:t xml:space="preserve">مسألة </w:t>
      </w:r>
      <w:r>
        <w:rPr/>
        <w:t>29</w:t>
      </w:r>
      <w:r>
        <w:rPr>
          <w:rtl w:val="true"/>
        </w:rPr>
        <w:t xml:space="preserve">): </w:t>
      </w:r>
      <w:r>
        <w:rPr>
          <w:rtl w:val="true"/>
        </w:rPr>
        <w:t>لو حصل لها نماء منفصل بعد الالتقاط، فعرّف العین حولًا</w:t>
      </w:r>
      <w:r>
        <w:rPr>
          <w:rtl w:val="true"/>
        </w:rPr>
        <w:t>]</w:t>
      </w:r>
      <w:bookmarkEnd w:id="69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حصل لها نماء منفصل بعد الالتقاط، فعرّف العین حولًا و لم یجد المالک فهل له تملّک النماء بتبع العین أم لا؟ وجهان، بل قولان، أظهرهما الأوّل و أحوطهما </w:t>
      </w:r>
      <w:r>
        <w:rPr>
          <w:rStyle w:val="FootnoteAnchor"/>
          <w:rtl w:val="true"/>
        </w:rPr>
        <w:footnoteReference w:id="1800"/>
      </w:r>
      <w:r>
        <w:rPr>
          <w:rFonts w:ascii="IRNazanin" w:hAnsi="IRNazanin" w:eastAsia="IRNazanin"/>
          <w:color w:val="111111"/>
          <w:sz w:val="28"/>
          <w:sz w:val="28"/>
          <w:szCs w:val="28"/>
          <w:rtl w:val="true"/>
          <w:lang w:bidi="fa-IR"/>
        </w:rPr>
        <w:t>الثانی؛ بأن یعمل معه معاملة مجهول المالک فیتصدّق به بعد الیأس عن المالک</w:t>
      </w:r>
      <w:r>
        <w:rPr>
          <w:rFonts w:eastAsia="IRNazanin" w:cs="IRNazanin"/>
          <w:color w:val="111111"/>
          <w:sz w:val="28"/>
          <w:szCs w:val="28"/>
          <w:rtl w:val="true"/>
          <w:lang w:bidi="fa-IR"/>
        </w:rPr>
        <w:t>.</w:t>
      </w:r>
    </w:p>
    <w:p>
      <w:pPr>
        <w:pStyle w:val="Heading4"/>
        <w:numPr>
          <w:ilvl w:val="3"/>
          <w:numId w:val="1"/>
        </w:numPr>
        <w:rPr/>
      </w:pPr>
      <w:bookmarkStart w:id="6941" w:name="__RefHeading___Toc2571252_3650668749"/>
      <w:bookmarkStart w:id="6942" w:name="_Toc3135"/>
      <w:bookmarkEnd w:id="6941"/>
      <w:r>
        <w:rPr>
          <w:rtl w:val="true"/>
        </w:rPr>
        <w:t>[ (</w:t>
      </w:r>
      <w:r>
        <w:rPr>
          <w:rtl w:val="true"/>
        </w:rPr>
        <w:t xml:space="preserve">مسألة </w:t>
      </w:r>
      <w:r>
        <w:rPr/>
        <w:t>30</w:t>
      </w:r>
      <w:r>
        <w:rPr>
          <w:rtl w:val="true"/>
        </w:rPr>
        <w:t xml:space="preserve">): </w:t>
      </w:r>
      <w:r>
        <w:rPr>
          <w:rtl w:val="true"/>
        </w:rPr>
        <w:t>ما یوجد مدفوناً فی الخربة الدارسة التی باد أهلها و فی المفاوز و کلّ أرض لا ربّ لها</w:t>
      </w:r>
      <w:r>
        <w:rPr>
          <w:rtl w:val="true"/>
        </w:rPr>
        <w:t>]</w:t>
      </w:r>
      <w:bookmarkEnd w:id="6942"/>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یوجد مدفوناً فی الخربة الدارسة التی باد أهلها و فی المفاوز و کلّ أرض لا ربّ لها، فهو لواجده من دون تعریف، و علیه الخمس </w:t>
      </w:r>
      <w:r>
        <w:rPr>
          <w:rStyle w:val="FootnoteAnchor"/>
          <w:rtl w:val="true"/>
        </w:rPr>
        <w:footnoteReference w:id="1801"/>
      </w:r>
      <w:r>
        <w:rPr>
          <w:rFonts w:ascii="IRNazanin" w:hAnsi="IRNazanin" w:eastAsia="IRNazanin"/>
          <w:color w:val="111111"/>
          <w:sz w:val="28"/>
          <w:sz w:val="28"/>
          <w:szCs w:val="28"/>
          <w:rtl w:val="true"/>
          <w:lang w:bidi="fa-IR"/>
        </w:rPr>
        <w:t>کما مرّ فی کتابه، و کذا ما کان مطروحاً و علم أو ظنّ بشهادة بعض العلائم و الخصوصیّات أنّه لیس لأهل زمن الواجد</w:t>
      </w:r>
      <w:r>
        <w:rPr>
          <w:rFonts w:eastAsia="IRNazanin" w:cs="IRNazanin"/>
          <w:color w:val="111111"/>
          <w:sz w:val="28"/>
          <w:szCs w:val="28"/>
          <w:rtl w:val="true"/>
          <w:lang w:bidi="fa-IR"/>
        </w:rPr>
        <w:t>.</w:t>
      </w:r>
      <w:bookmarkStart w:id="6943" w:name="pg1809_19826"/>
    </w:p>
    <w:p>
      <w:pPr>
        <w:pStyle w:val="BookText"/>
        <w:rPr/>
      </w:pPr>
      <w:bookmarkEnd w:id="6943"/>
      <w:r>
        <w:rPr>
          <w:rFonts w:ascii="IRNazanin" w:hAnsi="IRNazanin" w:eastAsia="IRNazanin"/>
          <w:color w:val="111111"/>
          <w:sz w:val="28"/>
          <w:sz w:val="28"/>
          <w:szCs w:val="28"/>
          <w:rtl w:val="true"/>
          <w:lang w:bidi="fa-IR"/>
        </w:rPr>
        <w:t>و أمّا ما علم أنّه لأهل زمانه فهی لقطة، فیجب تعریفها إن کان بمقدار الدرهم فما زاد، و قد مرّ أنّه یعرّف فی أیّ بلد شاء</w:t>
      </w:r>
      <w:r>
        <w:rPr>
          <w:rFonts w:eastAsia="IRNazanin" w:cs="IRNazanin"/>
          <w:color w:val="111111"/>
          <w:sz w:val="28"/>
          <w:szCs w:val="28"/>
          <w:rtl w:val="true"/>
          <w:lang w:bidi="fa-IR"/>
        </w:rPr>
        <w:t>.</w:t>
      </w:r>
    </w:p>
    <w:p>
      <w:pPr>
        <w:pStyle w:val="Heading4"/>
        <w:numPr>
          <w:ilvl w:val="3"/>
          <w:numId w:val="1"/>
        </w:numPr>
        <w:rPr/>
      </w:pPr>
      <w:bookmarkStart w:id="6944" w:name="__RefHeading___Toc2571254_3650668749"/>
      <w:bookmarkStart w:id="6945" w:name="_Toc3136"/>
      <w:bookmarkEnd w:id="6944"/>
      <w:r>
        <w:rPr>
          <w:rtl w:val="true"/>
        </w:rPr>
        <w:t>[ (</w:t>
      </w:r>
      <w:r>
        <w:rPr>
          <w:rtl w:val="true"/>
        </w:rPr>
        <w:t xml:space="preserve">مسألة </w:t>
      </w:r>
      <w:r>
        <w:rPr/>
        <w:t>31</w:t>
      </w:r>
      <w:r>
        <w:rPr>
          <w:rtl w:val="true"/>
        </w:rPr>
        <w:t xml:space="preserve">): </w:t>
      </w:r>
      <w:r>
        <w:rPr>
          <w:rtl w:val="true"/>
        </w:rPr>
        <w:t>لو علم مالک اللقطة قبل التعریف أو بعده</w:t>
      </w:r>
      <w:r>
        <w:rPr>
          <w:rtl w:val="true"/>
        </w:rPr>
        <w:t>]</w:t>
      </w:r>
      <w:bookmarkEnd w:id="69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مالک اللقطة قبل التعریف أو بعده، لکن لم یمکن الإیصال إلیه و لا إلیٰ وارثه، ففی إجراء حکم اللقطة علیه من التخییر بین الأُمور الثلاثة، أو إجراء حکم مجهول المالک علیه و تعیّن التصدّق به وجهان، الأحوط الثانی </w:t>
      </w:r>
      <w:r>
        <w:rPr>
          <w:rStyle w:val="FootnoteAnchor"/>
          <w:rtl w:val="true"/>
        </w:rPr>
        <w:footnoteReference w:id="1802"/>
      </w:r>
      <w:r>
        <w:rPr>
          <w:rFonts w:ascii="IRNazanin" w:hAnsi="IRNazanin" w:eastAsia="IRNazanin"/>
          <w:color w:val="111111"/>
          <w:sz w:val="28"/>
          <w:sz w:val="28"/>
          <w:szCs w:val="28"/>
          <w:rtl w:val="true"/>
          <w:lang w:bidi="fa-IR"/>
        </w:rPr>
        <w:t>، بل لا یخلو من قوّة</w:t>
      </w:r>
      <w:r>
        <w:rPr>
          <w:rFonts w:eastAsia="IRNazanin" w:cs="IRNazanin"/>
          <w:color w:val="111111"/>
          <w:sz w:val="28"/>
          <w:szCs w:val="28"/>
          <w:rtl w:val="true"/>
          <w:lang w:bidi="fa-IR"/>
        </w:rPr>
        <w:t>.</w:t>
      </w:r>
    </w:p>
    <w:p>
      <w:pPr>
        <w:pStyle w:val="Heading4"/>
        <w:numPr>
          <w:ilvl w:val="3"/>
          <w:numId w:val="1"/>
        </w:numPr>
        <w:rPr/>
      </w:pPr>
      <w:bookmarkStart w:id="6946" w:name="__RefHeading___Toc2571256_3650668749"/>
      <w:bookmarkStart w:id="6947" w:name="_Toc3137"/>
      <w:bookmarkEnd w:id="6946"/>
      <w:r>
        <w:rPr>
          <w:rtl w:val="true"/>
        </w:rPr>
        <w:t>[ (</w:t>
      </w:r>
      <w:r>
        <w:rPr>
          <w:rtl w:val="true"/>
        </w:rPr>
        <w:t xml:space="preserve">مسألة </w:t>
      </w:r>
      <w:r>
        <w:rPr/>
        <w:t>32</w:t>
      </w:r>
      <w:r>
        <w:rPr>
          <w:rtl w:val="true"/>
        </w:rPr>
        <w:t xml:space="preserve">): </w:t>
      </w:r>
      <w:r>
        <w:rPr>
          <w:rtl w:val="true"/>
        </w:rPr>
        <w:t>لو مات الملتقط، فإن کان بعد التعریف و التملّک ینتقل إلیٰ وارثه</w:t>
      </w:r>
      <w:r>
        <w:rPr>
          <w:rtl w:val="true"/>
        </w:rPr>
        <w:t>]</w:t>
      </w:r>
      <w:bookmarkEnd w:id="69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الملتقط، فإن کان بعد التعریف و التملّک ینتقل إلیٰ وارثه، و إن کان بعد التعریف و قبل التملّک، یتخیّر وارثه بین الأُمور الثلاثة، و إن کان قبل التعریف أو فی أثنائه یتولّاه </w:t>
      </w:r>
      <w:r>
        <w:rPr>
          <w:rStyle w:val="FootnoteAnchor"/>
          <w:rtl w:val="true"/>
        </w:rPr>
        <w:footnoteReference w:id="1803"/>
      </w:r>
      <w:r>
        <w:rPr>
          <w:rFonts w:ascii="IRNazanin" w:hAnsi="IRNazanin" w:eastAsia="IRNazanin"/>
          <w:color w:val="111111"/>
          <w:sz w:val="28"/>
          <w:sz w:val="28"/>
          <w:szCs w:val="28"/>
          <w:rtl w:val="true"/>
          <w:lang w:bidi="fa-IR"/>
        </w:rPr>
        <w:t>وارثه فی الأوّل، و یتمّه فی الثانی، ثمّ هو مخیّر بین الأُمور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تعدّدت الورثة کان حکمهم حکم الملتقط المتعدّد مع وحدة اللقطة، و قد مرّ حکمه فی بعض المسائل السابقة</w:t>
      </w:r>
      <w:r>
        <w:rPr>
          <w:rFonts w:eastAsia="IRNazanin" w:cs="IRNazanin"/>
          <w:color w:val="111111"/>
          <w:sz w:val="28"/>
          <w:szCs w:val="28"/>
          <w:rtl w:val="true"/>
          <w:lang w:bidi="fa-IR"/>
        </w:rPr>
        <w:t>.</w:t>
      </w:r>
    </w:p>
    <w:p>
      <w:pPr>
        <w:pStyle w:val="Heading4"/>
        <w:numPr>
          <w:ilvl w:val="3"/>
          <w:numId w:val="1"/>
        </w:numPr>
        <w:rPr/>
      </w:pPr>
      <w:bookmarkStart w:id="6948" w:name="__RefHeading___Toc2571258_3650668749"/>
      <w:bookmarkStart w:id="6949" w:name="_Toc3138"/>
      <w:bookmarkEnd w:id="6948"/>
      <w:r>
        <w:rPr>
          <w:rtl w:val="true"/>
        </w:rPr>
        <w:t>[ (</w:t>
      </w:r>
      <w:r>
        <w:rPr>
          <w:rtl w:val="true"/>
        </w:rPr>
        <w:t xml:space="preserve">مسألة </w:t>
      </w:r>
      <w:r>
        <w:rPr/>
        <w:t>33</w:t>
      </w:r>
      <w:r>
        <w:rPr>
          <w:rtl w:val="true"/>
        </w:rPr>
        <w:t xml:space="preserve">): </w:t>
      </w:r>
      <w:r>
        <w:rPr>
          <w:rtl w:val="true"/>
        </w:rPr>
        <w:t>لو وجد مالًا فی دار معمورة یسکنها الغیر سواء کانت ملکاً له أو مستأجرة أو مستعارة</w:t>
      </w:r>
      <w:r>
        <w:rPr>
          <w:rtl w:val="true"/>
        </w:rPr>
        <w:t>]</w:t>
      </w:r>
      <w:bookmarkEnd w:id="69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مالًا فی دار معمورة یسکنها الغیر سواء کانت ملکاً له أو مستأجرة أو مستعارة بل أو مغصوبة عرّفه الساکن، فإن ادّعیٰ ملکیّته فهو له، فلیدفع إلیه بلا بیّنة، 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w:t>
      </w:r>
      <w:r>
        <w:rPr>
          <w:rStyle w:val="FootnoteAnchor"/>
          <w:rtl w:val="true"/>
        </w:rPr>
        <w:footnoteReference w:id="1804"/>
      </w:r>
      <w:r>
        <w:rPr>
          <w:rFonts w:ascii="IRNazanin" w:hAnsi="IRNazanin" w:eastAsia="IRNazanin"/>
          <w:color w:val="111111"/>
          <w:sz w:val="28"/>
          <w:sz w:val="28"/>
          <w:szCs w:val="28"/>
          <w:rtl w:val="true"/>
          <w:lang w:bidi="fa-IR"/>
        </w:rPr>
        <w:t xml:space="preserve">، و إن سلبه عن نفسه فقد نُسب إلی المشهور </w:t>
      </w:r>
      <w:r>
        <w:rPr>
          <w:rStyle w:val="FootnoteAnchor"/>
          <w:rtl w:val="true"/>
        </w:rPr>
        <w:footnoteReference w:id="1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ملک للواجد، و فیه إشکال، فالأحوط إجراء حکم اللقطة علیه، و أحوط منه إجراء حکم مجهول المالک، فیتصدّق به بعد الیأس عن المالک</w:t>
      </w:r>
      <w:r>
        <w:rPr>
          <w:rFonts w:eastAsia="IRNazanin" w:cs="IRNazanin"/>
          <w:color w:val="111111"/>
          <w:sz w:val="28"/>
          <w:szCs w:val="28"/>
          <w:rtl w:val="true"/>
          <w:lang w:bidi="fa-IR"/>
        </w:rPr>
        <w:t>.</w:t>
      </w:r>
    </w:p>
    <w:p>
      <w:pPr>
        <w:pStyle w:val="Heading4"/>
        <w:numPr>
          <w:ilvl w:val="3"/>
          <w:numId w:val="1"/>
        </w:numPr>
        <w:rPr/>
      </w:pPr>
      <w:bookmarkStart w:id="6950" w:name="__RefHeading___Toc2571260_3650668749"/>
      <w:bookmarkStart w:id="6951" w:name="_Toc3139"/>
      <w:bookmarkEnd w:id="6950"/>
      <w:r>
        <w:rPr>
          <w:rtl w:val="true"/>
        </w:rPr>
        <w:t>[ (</w:t>
      </w:r>
      <w:r>
        <w:rPr>
          <w:rtl w:val="true"/>
        </w:rPr>
        <w:t xml:space="preserve">مسألة </w:t>
      </w:r>
      <w:r>
        <w:rPr/>
        <w:t>34</w:t>
      </w:r>
      <w:r>
        <w:rPr>
          <w:rtl w:val="true"/>
        </w:rPr>
        <w:t xml:space="preserve">): </w:t>
      </w:r>
      <w:r>
        <w:rPr>
          <w:rtl w:val="true"/>
        </w:rPr>
        <w:t>لو وجد شیئاً فی جوف حیوان قد انتقل إلیه من غیره</w:t>
      </w:r>
      <w:r>
        <w:rPr>
          <w:rtl w:val="true"/>
        </w:rPr>
        <w:t>]</w:t>
      </w:r>
      <w:bookmarkEnd w:id="6951"/>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شیئاً فی جوف حیوان قد انتقل إلیه من غیره، فإن کان غیر السمک کالغنم و البقر عرّفه صاحبه السابق، فإن ادّعاه دفعه إلیه، و کذا 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الأحوط </w:t>
      </w:r>
      <w:r>
        <w:rPr>
          <w:rStyle w:val="FootnoteAnchor"/>
          <w:rtl w:val="true"/>
        </w:rPr>
        <w:footnoteReference w:id="1806"/>
      </w:r>
      <w:r>
        <w:rPr>
          <w:rFonts w:ascii="IRNazanin" w:hAnsi="IRNazanin" w:eastAsia="IRNazanin"/>
          <w:color w:val="111111"/>
          <w:sz w:val="28"/>
          <w:sz w:val="28"/>
          <w:szCs w:val="28"/>
          <w:rtl w:val="true"/>
          <w:lang w:bidi="fa-IR"/>
        </w:rPr>
        <w:t>، و إن أنکره کان للواجد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وجد شیئاً لؤلؤة أو غیرها فی جوف سمکة اشتراها من غیره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الحیوان الذی لم یکن له مالک سابق غیر السمک</w:t>
      </w:r>
      <w:bookmarkStart w:id="6952" w:name="pg1809_19827"/>
    </w:p>
    <w:p>
      <w:pPr>
        <w:pStyle w:val="BookText"/>
        <w:rPr/>
      </w:pPr>
      <w:bookmarkEnd w:id="6952"/>
      <w:r>
        <w:rPr>
          <w:rFonts w:ascii="IRNazanin" w:hAnsi="IRNazanin" w:eastAsia="IRNazanin"/>
          <w:color w:val="111111"/>
          <w:sz w:val="28"/>
          <w:sz w:val="28"/>
          <w:szCs w:val="28"/>
          <w:rtl w:val="true"/>
          <w:lang w:bidi="fa-IR"/>
        </w:rPr>
        <w:t>بحکم السمک، کما إذا اصطاد غزالًا فوجد فی جوفه شیئاً، و إن کان الأحوط إجراء حکم اللقطة أو المجهول المالک علیه</w:t>
      </w:r>
      <w:r>
        <w:rPr>
          <w:rFonts w:eastAsia="IRNazanin" w:cs="IRNazanin"/>
          <w:color w:val="111111"/>
          <w:sz w:val="28"/>
          <w:szCs w:val="28"/>
          <w:rtl w:val="true"/>
          <w:lang w:bidi="fa-IR"/>
        </w:rPr>
        <w:t>.</w:t>
      </w:r>
    </w:p>
    <w:p>
      <w:pPr>
        <w:pStyle w:val="Heading4"/>
        <w:numPr>
          <w:ilvl w:val="3"/>
          <w:numId w:val="1"/>
        </w:numPr>
        <w:rPr/>
      </w:pPr>
      <w:bookmarkStart w:id="6953" w:name="__RefHeading___Toc2571262_3650668749"/>
      <w:bookmarkStart w:id="6954" w:name="_Toc3140"/>
      <w:bookmarkEnd w:id="6953"/>
      <w:r>
        <w:rPr>
          <w:rtl w:val="true"/>
        </w:rPr>
        <w:t>[ (</w:t>
      </w:r>
      <w:r>
        <w:rPr>
          <w:rtl w:val="true"/>
        </w:rPr>
        <w:t xml:space="preserve">مسألة </w:t>
      </w:r>
      <w:r>
        <w:rPr/>
        <w:t>35</w:t>
      </w:r>
      <w:r>
        <w:rPr>
          <w:rtl w:val="true"/>
        </w:rPr>
        <w:t xml:space="preserve">): </w:t>
      </w:r>
      <w:r>
        <w:rPr>
          <w:rtl w:val="true"/>
        </w:rPr>
        <w:t>لو وجد فی داره التی یسکنها شیئاً، و لم یعلم أنّه ماله أو مال غیره</w:t>
      </w:r>
      <w:r>
        <w:rPr>
          <w:rtl w:val="true"/>
        </w:rPr>
        <w:t>]</w:t>
      </w:r>
      <w:bookmarkEnd w:id="69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فی داره التی یسکنها شیئاً، و لم یعلم أنّه ماله أو مال غیره، فإن لم یدخلها غیره، أو یدخلها آحاد من الناس من باب الاتّفاق، کالدخلانیّة المعدّة لأهله و عیاله فهو له، و إن کانت ممّا یتردّد فیها الناس، کالبرّانیّة المعدّة للأضیاف و الواردین و العائدین و المضایف و نحوها، فهی لقطة یجری علیه حکمها، و إن وجد فی صندوقه شیئاً و لم یعلم أنّه ماله أو مال غیره، فهو له إلّا إذا کان غیره یدخل یده فیه أو یضع فیه شیئاً، فیعرّفه ذلک الغیر، فإن أنکره کان له، لا لذلک الغیر، فإن ادّعاه دفعه إلیه، و 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التصالح</w:t>
      </w:r>
      <w:r>
        <w:rPr>
          <w:rFonts w:eastAsia="IRNazanin" w:cs="IRNazanin"/>
          <w:color w:val="111111"/>
          <w:sz w:val="28"/>
          <w:szCs w:val="28"/>
          <w:rtl w:val="true"/>
          <w:lang w:bidi="fa-IR"/>
        </w:rPr>
        <w:t>.</w:t>
      </w:r>
    </w:p>
    <w:p>
      <w:pPr>
        <w:pStyle w:val="Heading4"/>
        <w:numPr>
          <w:ilvl w:val="3"/>
          <w:numId w:val="1"/>
        </w:numPr>
        <w:rPr/>
      </w:pPr>
      <w:bookmarkStart w:id="6955" w:name="__RefHeading___Toc2571264_3650668749"/>
      <w:bookmarkStart w:id="6956" w:name="_Toc3141"/>
      <w:bookmarkEnd w:id="6955"/>
      <w:r>
        <w:rPr>
          <w:rtl w:val="true"/>
        </w:rPr>
        <w:t>[ (</w:t>
      </w:r>
      <w:r>
        <w:rPr>
          <w:rtl w:val="true"/>
        </w:rPr>
        <w:t xml:space="preserve">مسألة </w:t>
      </w:r>
      <w:r>
        <w:rPr/>
        <w:t>36</w:t>
      </w:r>
      <w:r>
        <w:rPr>
          <w:rtl w:val="true"/>
        </w:rPr>
        <w:t xml:space="preserve">): </w:t>
      </w:r>
      <w:r>
        <w:rPr>
          <w:rtl w:val="true"/>
        </w:rPr>
        <w:t>لو أخذ من شخص مالًا، ثمّ علم أنّه لغیره قد أخذ منه بغیر وجه شرعی</w:t>
      </w:r>
      <w:r>
        <w:rPr>
          <w:rtl w:val="true"/>
        </w:rPr>
        <w:t>]</w:t>
      </w:r>
      <w:bookmarkEnd w:id="69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 من شخص مالًا، ثمّ علم أنّه لغیره قد أخذ منه بغیر وجه شرعی و عدواناً و لم یعرف المالک، یجری علیه حکم مجهول المالک لا اللقطة، لما مرّ أنّه یعتبر فی صدقها الضیاع عن المالک و لا ضیاع فی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خصوص ما إذا أودع عنده سارق مالًا ثمّ تبیّن أنّه مال غیره و لم یعرفه، یجب علیه أن یمسکه، و لا یردّه إلی السارق مع الإمکان، ثمّ هو بحکم اللقطة فیعرّفها حولًا، فإن أصاب صاحبها ردّها علیه، و إلّا تصدّق بها، فإن جاء صاحبها بعد ذلک خیّره بین الأجر و الغرم، فإن اختار الأجر فله، و إن اختار الغرم غرم له، و کان الأجر له، و لیس له </w:t>
      </w:r>
      <w:r>
        <w:rPr>
          <w:rStyle w:val="FootnoteAnchor"/>
          <w:rtl w:val="true"/>
        </w:rPr>
        <w:footnoteReference w:id="1807"/>
      </w:r>
      <w:r>
        <w:rPr>
          <w:rFonts w:ascii="IRNazanin" w:hAnsi="IRNazanin" w:eastAsia="IRNazanin"/>
          <w:color w:val="111111"/>
          <w:sz w:val="28"/>
          <w:sz w:val="28"/>
          <w:szCs w:val="28"/>
          <w:rtl w:val="true"/>
          <w:lang w:bidi="fa-IR"/>
        </w:rPr>
        <w:t>أن یتملّکه بعد التعریف، فلیس هو بحکم اللقطة من هذه الجهة</w:t>
      </w:r>
      <w:r>
        <w:rPr>
          <w:rFonts w:eastAsia="IRNazanin" w:cs="IRNazanin"/>
          <w:color w:val="111111"/>
          <w:sz w:val="28"/>
          <w:szCs w:val="28"/>
          <w:rtl w:val="true"/>
          <w:lang w:bidi="fa-IR"/>
        </w:rPr>
        <w:t>.</w:t>
      </w:r>
    </w:p>
    <w:p>
      <w:pPr>
        <w:pStyle w:val="Heading4"/>
        <w:numPr>
          <w:ilvl w:val="3"/>
          <w:numId w:val="1"/>
        </w:numPr>
        <w:rPr/>
      </w:pPr>
      <w:bookmarkStart w:id="6957" w:name="__RefHeading___Toc2571266_3650668749"/>
      <w:bookmarkStart w:id="6958" w:name="_Toc3142"/>
      <w:bookmarkEnd w:id="6957"/>
      <w:r>
        <w:rPr>
          <w:rtl w:val="true"/>
        </w:rPr>
        <w:t>[ (</w:t>
      </w:r>
      <w:r>
        <w:rPr>
          <w:rtl w:val="true"/>
        </w:rPr>
        <w:t xml:space="preserve">مسألة </w:t>
      </w:r>
      <w:r>
        <w:rPr/>
        <w:t>37</w:t>
      </w:r>
      <w:r>
        <w:rPr>
          <w:rtl w:val="true"/>
        </w:rPr>
        <w:t xml:space="preserve">): </w:t>
      </w:r>
      <w:r>
        <w:rPr>
          <w:rtl w:val="true"/>
        </w:rPr>
        <w:t>لو التقط شیئاً فبعد ما صار فی یده ادّعاه شخص حاضر</w:t>
      </w:r>
      <w:r>
        <w:rPr>
          <w:rtl w:val="true"/>
        </w:rPr>
        <w:t>]</w:t>
      </w:r>
      <w:bookmarkEnd w:id="69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التقط شیئاً فبعد ما صار فی یده ادّعاه شخص حاضر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دفعه إلیه بمجرّد دعواه، بل یحتاج إلی البیّنة، إلّا إذا کان بحیث یصدق عرفاً أنّه فی یده أو ادّعاه قبل أن یلتقطه، فیحکم بکونه ملکاً للمدّعی، و لا یجوز له أن یلتقطه</w:t>
      </w:r>
      <w:r>
        <w:rPr>
          <w:rFonts w:eastAsia="IRNazanin" w:cs="IRNazanin"/>
          <w:color w:val="111111"/>
          <w:sz w:val="28"/>
          <w:szCs w:val="28"/>
          <w:rtl w:val="true"/>
          <w:lang w:bidi="fa-IR"/>
        </w:rPr>
        <w:t>.</w:t>
      </w:r>
    </w:p>
    <w:p>
      <w:pPr>
        <w:pStyle w:val="Heading4"/>
        <w:numPr>
          <w:ilvl w:val="3"/>
          <w:numId w:val="1"/>
        </w:numPr>
        <w:rPr/>
      </w:pPr>
      <w:bookmarkStart w:id="6959" w:name="__RefHeading___Toc2571268_3650668749"/>
      <w:bookmarkStart w:id="6960" w:name="_Toc3143"/>
      <w:bookmarkEnd w:id="6959"/>
      <w:r>
        <w:rPr>
          <w:rtl w:val="true"/>
        </w:rPr>
        <w:t>[ (</w:t>
      </w:r>
      <w:r>
        <w:rPr>
          <w:rtl w:val="true"/>
        </w:rPr>
        <w:t xml:space="preserve">مسألة </w:t>
      </w:r>
      <w:r>
        <w:rPr/>
        <w:t>38</w:t>
      </w:r>
      <w:r>
        <w:rPr>
          <w:rtl w:val="true"/>
        </w:rPr>
        <w:t xml:space="preserve">): </w:t>
      </w:r>
      <w:r>
        <w:rPr>
          <w:rtl w:val="true"/>
        </w:rPr>
        <w:t>لا یجب دفع اللقطة إلیٰ من یدّعیها إلّا مع العلم أو البیّنة</w:t>
      </w:r>
      <w:r>
        <w:rPr>
          <w:rtl w:val="true"/>
        </w:rPr>
        <w:t>]</w:t>
      </w:r>
      <w:bookmarkEnd w:id="6960"/>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دفع اللقطة إلیٰ من یدّعیها إلّا مع العلم أو البیّنة، و إن وصفها بصفات و علامات لا یطّلع علیها غیر المالک غالباً إذا لم یفد القطع بکونه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نسب إلی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أفاد الظنّ جاز </w:t>
      </w:r>
      <w:r>
        <w:rPr>
          <w:rStyle w:val="FootnoteAnchor"/>
          <w:rtl w:val="true"/>
        </w:rPr>
        <w:footnoteReference w:id="1808"/>
      </w:r>
      <w:r>
        <w:rPr>
          <w:rFonts w:ascii="IRNazanin" w:hAnsi="IRNazanin" w:eastAsia="IRNazanin"/>
          <w:color w:val="111111"/>
          <w:sz w:val="28"/>
          <w:sz w:val="28"/>
          <w:szCs w:val="28"/>
          <w:rtl w:val="true"/>
          <w:lang w:bidi="fa-IR"/>
        </w:rPr>
        <w:t>دفعها إلیه، فإن تبرّع بالدفع علیه لم یمنع، و إن امتنع</w:t>
      </w:r>
      <w:bookmarkStart w:id="6961" w:name="pg1809_19830"/>
    </w:p>
    <w:p>
      <w:pPr>
        <w:pStyle w:val="BookText"/>
        <w:rPr/>
      </w:pPr>
      <w:bookmarkEnd w:id="6961"/>
      <w:r>
        <w:rPr>
          <w:rFonts w:ascii="IRNazanin" w:hAnsi="IRNazanin" w:eastAsia="IRNazanin"/>
          <w:color w:val="111111"/>
          <w:sz w:val="28"/>
          <w:sz w:val="28"/>
          <w:szCs w:val="28"/>
          <w:rtl w:val="true"/>
          <w:lang w:bidi="fa-IR"/>
        </w:rPr>
        <w:t>لم یجبر، و فیه إشکال، فالأحوط الاقتصار فی الدفع علیٰ صورة العلم أو البیّنة</w:t>
      </w:r>
      <w:r>
        <w:rPr>
          <w:rFonts w:eastAsia="IRNazanin" w:cs="IRNazanin"/>
          <w:color w:val="111111"/>
          <w:sz w:val="28"/>
          <w:szCs w:val="28"/>
          <w:rtl w:val="true"/>
          <w:lang w:bidi="fa-IR"/>
        </w:rPr>
        <w:t>.</w:t>
      </w:r>
    </w:p>
    <w:p>
      <w:pPr>
        <w:pStyle w:val="Heading4"/>
        <w:numPr>
          <w:ilvl w:val="3"/>
          <w:numId w:val="1"/>
        </w:numPr>
        <w:rPr/>
      </w:pPr>
      <w:bookmarkStart w:id="6962" w:name="__RefHeading___Toc2571270_3650668749"/>
      <w:bookmarkStart w:id="6963" w:name="_Toc3144"/>
      <w:bookmarkEnd w:id="6962"/>
      <w:r>
        <w:rPr>
          <w:rtl w:val="true"/>
        </w:rPr>
        <w:t>[ (</w:t>
      </w:r>
      <w:r>
        <w:rPr>
          <w:rtl w:val="true"/>
        </w:rPr>
        <w:t xml:space="preserve">مسألة </w:t>
      </w:r>
      <w:r>
        <w:rPr/>
        <w:t>39</w:t>
      </w:r>
      <w:r>
        <w:rPr>
          <w:rtl w:val="true"/>
        </w:rPr>
        <w:t xml:space="preserve">): </w:t>
      </w:r>
      <w:r>
        <w:rPr>
          <w:rtl w:val="true"/>
        </w:rPr>
        <w:t>لو تبدّل مداسه بمداس آخر فی مسجد أو غیره، أو تبدّل ثیابه فی حمّام أو غیره بثیاب آخر</w:t>
      </w:r>
      <w:r>
        <w:rPr>
          <w:rtl w:val="true"/>
        </w:rPr>
        <w:t>]</w:t>
      </w:r>
      <w:bookmarkEnd w:id="69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تبدّل مداسه بمداس آخر فی مسجد أو غیره، أو تبدّل ثیابه فی حمّام أو غیره بثیاب آخر، فإن علم أنّ الموجود لمن أخذ ماله جاز أن یتصرّف فیه، بل یتملّکه بعنوان التقاصّ </w:t>
      </w:r>
      <w:r>
        <w:rPr>
          <w:rStyle w:val="FootnoteAnchor"/>
          <w:rtl w:val="true"/>
        </w:rPr>
        <w:footnoteReference w:id="1809"/>
      </w:r>
      <w:r>
        <w:rPr>
          <w:rFonts w:ascii="IRNazanin" w:hAnsi="IRNazanin" w:eastAsia="IRNazanin"/>
          <w:color w:val="111111"/>
          <w:sz w:val="28"/>
          <w:sz w:val="28"/>
          <w:szCs w:val="28"/>
          <w:rtl w:val="true"/>
          <w:lang w:bidi="fa-IR"/>
        </w:rPr>
        <w:t>عن ماله، خصوصاً فیما إذا علم و لو بشاهد الحال أنّ صاحبه قد بدّله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الموجود أجود ممّا أخذ یلاحظ التفاوت فیقوّمان معاً و یتصدّق مقدار التفاوت بعد الیأس عن صاحب المتروک، و إن لم یعلم بأنّ المتروک لمن أخذ ماله أو لغیره، یعامل معه معاملة مجهول المالک، فیتفحّص عن صاحبه، و مع الیأس عنه یتصدّق به، بل الأحوط ذلک أیضاً فیما لو علم أنّ الموجود للآخذ، لکن لم یعلم أنّه قد بدّل متعمّداً</w:t>
      </w:r>
      <w:r>
        <w:rPr>
          <w:rFonts w:eastAsia="IRNazanin" w:cs="IRNazanin"/>
          <w:color w:val="111111"/>
          <w:sz w:val="28"/>
          <w:szCs w:val="28"/>
          <w:rtl w:val="true"/>
          <w:lang w:bidi="fa-IR"/>
        </w:rPr>
        <w:t>.</w:t>
      </w:r>
    </w:p>
    <w:p>
      <w:pPr>
        <w:pStyle w:val="Heading3"/>
        <w:numPr>
          <w:ilvl w:val="2"/>
          <w:numId w:val="1"/>
        </w:numPr>
        <w:rPr/>
      </w:pPr>
      <w:bookmarkStart w:id="6964" w:name="__RefHeading___Toc2571272_3650668749"/>
      <w:bookmarkStart w:id="6965" w:name="_Toc3145"/>
      <w:bookmarkEnd w:id="6964"/>
      <w:r>
        <w:rPr>
          <w:rtl w:val="true"/>
        </w:rPr>
        <w:t>[</w:t>
      </w:r>
      <w:r>
        <w:rPr>
          <w:rtl w:val="true"/>
        </w:rPr>
        <w:t>خاتمة</w:t>
      </w:r>
      <w:r>
        <w:rPr>
          <w:rtl w:val="true"/>
        </w:rPr>
        <w:t>]</w:t>
      </w:r>
      <w:bookmarkEnd w:id="6965"/>
    </w:p>
    <w:p>
      <w:pPr>
        <w:pStyle w:val="Heading4"/>
        <w:numPr>
          <w:ilvl w:val="3"/>
          <w:numId w:val="1"/>
        </w:numPr>
        <w:rPr/>
      </w:pPr>
      <w:bookmarkStart w:id="6966" w:name="__RefHeading___Toc2571274_3650668749"/>
      <w:bookmarkStart w:id="6967" w:name="_Toc3146"/>
      <w:bookmarkEnd w:id="6966"/>
      <w:r>
        <w:rPr>
          <w:rtl w:val="true"/>
        </w:rPr>
        <w:t>اشارة</w:t>
      </w:r>
      <w:bookmarkEnd w:id="6967"/>
    </w:p>
    <w:p>
      <w:pPr>
        <w:pStyle w:val="BookText"/>
        <w:rPr/>
      </w:pPr>
      <w:r>
        <w:rPr>
          <w:rFonts w:ascii="Amiri" w:hAnsi="Amiri" w:eastAsia="Amiri" w:cs="Amiri"/>
          <w:color w:val="111111"/>
          <w:sz w:val="28"/>
          <w:sz w:val="28"/>
          <w:szCs w:val="28"/>
          <w:rtl w:val="true"/>
          <w:lang w:bidi="ar-SA"/>
        </w:rPr>
        <w:t>خاتمة</w:t>
      </w:r>
    </w:p>
    <w:p>
      <w:pPr>
        <w:pStyle w:val="Heading4"/>
        <w:numPr>
          <w:ilvl w:val="3"/>
          <w:numId w:val="1"/>
        </w:numPr>
        <w:rPr/>
      </w:pPr>
      <w:bookmarkStart w:id="6968" w:name="__RefHeading___Toc2571276_3650668749"/>
      <w:bookmarkStart w:id="6969" w:name="_Toc3147"/>
      <w:bookmarkEnd w:id="6968"/>
      <w:r>
        <w:rPr>
          <w:rtl w:val="true"/>
        </w:rPr>
        <w:t>[</w:t>
      </w:r>
      <w:r>
        <w:rPr>
          <w:rtl w:val="true"/>
        </w:rPr>
        <w:t>إذا وجد صبیّاً ضائعاً لا کافل له</w:t>
      </w:r>
      <w:r>
        <w:rPr>
          <w:rtl w:val="true"/>
        </w:rPr>
        <w:t>]</w:t>
      </w:r>
      <w:bookmarkEnd w:id="6969"/>
    </w:p>
    <w:p>
      <w:pPr>
        <w:pStyle w:val="BookText"/>
        <w:rPr/>
      </w:pPr>
      <w:r>
        <w:rPr>
          <w:rFonts w:ascii="IRNazanin" w:hAnsi="IRNazanin" w:eastAsia="IRNazanin"/>
          <w:color w:val="111111"/>
          <w:sz w:val="28"/>
          <w:sz w:val="28"/>
          <w:szCs w:val="28"/>
          <w:rtl w:val="true"/>
          <w:lang w:bidi="fa-IR"/>
        </w:rPr>
        <w:t>إذا وجد صبیّاً ضائعاً لا کافل له، و لا یستقلّ بنفسه علی السعی فیما یصلحه و الدفع عمّا یضرّه و یهلکه و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بل یستحبّ التقاطه و أخذه، بل یجب </w:t>
      </w:r>
      <w:r>
        <w:rPr>
          <w:rStyle w:val="FootnoteAnchor"/>
          <w:rtl w:val="true"/>
        </w:rPr>
        <w:footnoteReference w:id="1810"/>
      </w:r>
      <w:r>
        <w:rPr>
          <w:rFonts w:ascii="IRNazanin" w:hAnsi="IRNazanin" w:eastAsia="IRNazanin"/>
          <w:color w:val="111111"/>
          <w:sz w:val="28"/>
          <w:sz w:val="28"/>
          <w:szCs w:val="28"/>
          <w:rtl w:val="true"/>
          <w:lang w:bidi="fa-IR"/>
        </w:rPr>
        <w:t>إذا کان فی معرض التلف؛ سواء کان منبوذاً قد طرحه أهله فی شارع أو مسجد و نحوهما عجزاً عن النفقة، أو خوفاً من التهمة، أو غیره، بل و إن کان ممیّزاً بعد صدق کونه ضائعاً تائهاً لا کافل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 أخذ اللّقیط و التقطه، یجب علیه حضانته و حفظه و القیام بضرورة تربیته بنفسه أو بغیره و هو أحقّ به من غیره إلیٰ أن یبلغ، فلیس لأحد أن ینتزعه من یده و یتصدّی حضانته، غیر من له حقّ الحضانة شرعاً بحقّ النسب کالأبوین و الأجداد و سائر الأقارب، أو بحقّ الوصایة کوصیّ الأب أو الجدّ إذا وجد أحد هؤلاء، فیخرج بذلک عن عنوان اللّقیط؛ لوجود الکافل له حینئذٍ، و اللّقیط من لا کافل له، و کما لهؤلاء حقّ الحضانة، فلهم انتزاعه من ید آخذه کذلک علیهم ذلک، فلو امتنعوا أُجبروا علیه</w:t>
      </w:r>
      <w:r>
        <w:rPr>
          <w:rFonts w:eastAsia="IRNazanin" w:cs="IRNazanin"/>
          <w:color w:val="111111"/>
          <w:sz w:val="28"/>
          <w:szCs w:val="28"/>
          <w:rtl w:val="true"/>
          <w:lang w:bidi="fa-IR"/>
        </w:rPr>
        <w:t>.</w:t>
      </w:r>
    </w:p>
    <w:p>
      <w:pPr>
        <w:pStyle w:val="Heading4"/>
        <w:numPr>
          <w:ilvl w:val="3"/>
          <w:numId w:val="1"/>
        </w:numPr>
        <w:rPr/>
      </w:pPr>
      <w:bookmarkStart w:id="6970" w:name="__RefHeading___Toc2571278_3650668749"/>
      <w:bookmarkStart w:id="6971" w:name="_Toc3148"/>
      <w:bookmarkEnd w:id="6970"/>
      <w:r>
        <w:rPr>
          <w:rtl w:val="true"/>
        </w:rPr>
        <w:t>[ (</w:t>
      </w:r>
      <w:r>
        <w:rPr>
          <w:rtl w:val="true"/>
        </w:rPr>
        <w:t xml:space="preserve">مسألة </w:t>
      </w:r>
      <w:r>
        <w:rPr/>
        <w:t>1</w:t>
      </w:r>
      <w:r>
        <w:rPr>
          <w:rtl w:val="true"/>
        </w:rPr>
        <w:t xml:space="preserve">): </w:t>
      </w:r>
      <w:r>
        <w:rPr>
          <w:rtl w:val="true"/>
        </w:rPr>
        <w:t>إذا کان للّقیط مال؛ من فراش أو غطاء زائدین علیٰ مقدار حاجته</w:t>
      </w:r>
      <w:r>
        <w:rPr>
          <w:rtl w:val="true"/>
        </w:rPr>
        <w:t>]</w:t>
      </w:r>
      <w:bookmarkEnd w:id="6971"/>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للّقیط مال؛ من فراش أو غطاء زائدین علیٰ مقدار حاجته، أو غیر</w:t>
      </w:r>
      <w:bookmarkStart w:id="6972" w:name="pg1809_19832"/>
    </w:p>
    <w:p>
      <w:pPr>
        <w:pStyle w:val="BookText"/>
        <w:rPr/>
      </w:pPr>
      <w:bookmarkEnd w:id="6972"/>
      <w:r>
        <w:rPr>
          <w:rFonts w:ascii="IRNazanin" w:hAnsi="IRNazanin" w:eastAsia="IRNazanin"/>
          <w:color w:val="111111"/>
          <w:sz w:val="28"/>
          <w:sz w:val="28"/>
          <w:szCs w:val="28"/>
          <w:rtl w:val="true"/>
          <w:lang w:bidi="fa-IR"/>
        </w:rPr>
        <w:t xml:space="preserve">ذلک، جاز للملتقط صرفه فی إنفاقه بإذن الحاکم أو وکیله، و مع تعذّرهما </w:t>
      </w:r>
      <w:r>
        <w:rPr>
          <w:rStyle w:val="FootnoteAnchor"/>
          <w:rtl w:val="true"/>
        </w:rPr>
        <w:footnoteReference w:id="1811"/>
      </w:r>
      <w:r>
        <w:rPr>
          <w:rFonts w:ascii="IRNazanin" w:hAnsi="IRNazanin" w:eastAsia="IRNazanin"/>
          <w:color w:val="111111"/>
          <w:sz w:val="28"/>
          <w:sz w:val="28"/>
          <w:szCs w:val="28"/>
          <w:rtl w:val="true"/>
          <w:lang w:bidi="fa-IR"/>
        </w:rPr>
        <w:t>جاز له ذلک بنفسه و لا ضمان علیه، و إن لم یکن له مال، فإن وجد من ینفق علیه من حاکم بیده بیت المال، أو من کان عنده حقوق تنطبق علیه من زکاة أو غیرها، أو متبرّع کان له الاستعانة بهم فی إنفاقه، أو الإنفاق علیه من ماله، و لیس له حینئذٍ الرجوع علی اللّقیط بما أنفقه بعد بلوغه و یساره و إن نوی الرجوع علیه، و إن لم یکن من ینفق علیه من أمثال ما ذکر تعیّن علیه و کان له الرجوع علیه مع قصد الرجوع لا بدونه</w:t>
      </w:r>
      <w:r>
        <w:rPr>
          <w:rFonts w:eastAsia="IRNazanin" w:cs="IRNazanin"/>
          <w:color w:val="111111"/>
          <w:sz w:val="28"/>
          <w:szCs w:val="28"/>
          <w:rtl w:val="true"/>
          <w:lang w:bidi="fa-IR"/>
        </w:rPr>
        <w:t>.</w:t>
      </w:r>
    </w:p>
    <w:p>
      <w:pPr>
        <w:pStyle w:val="Heading4"/>
        <w:numPr>
          <w:ilvl w:val="3"/>
          <w:numId w:val="1"/>
        </w:numPr>
        <w:rPr/>
      </w:pPr>
      <w:bookmarkStart w:id="6973" w:name="__RefHeading___Toc2571280_3650668749"/>
      <w:bookmarkStart w:id="6974" w:name="_Toc3149"/>
      <w:bookmarkEnd w:id="6973"/>
      <w:r>
        <w:rPr>
          <w:rtl w:val="true"/>
        </w:rPr>
        <w:t>[ (</w:t>
      </w:r>
      <w:r>
        <w:rPr>
          <w:rtl w:val="true"/>
        </w:rPr>
        <w:t xml:space="preserve">مسألة </w:t>
      </w:r>
      <w:r>
        <w:rPr/>
        <w:t>2</w:t>
      </w:r>
      <w:r>
        <w:rPr>
          <w:rtl w:val="true"/>
        </w:rPr>
        <w:t xml:space="preserve">): </w:t>
      </w:r>
      <w:r>
        <w:rPr>
          <w:rtl w:val="true"/>
        </w:rPr>
        <w:t>یشترط فی الملتقط</w:t>
      </w:r>
      <w:r>
        <w:rPr>
          <w:rtl w:val="true"/>
        </w:rPr>
        <w:t xml:space="preserve">: </w:t>
      </w:r>
      <w:r>
        <w:rPr>
          <w:rtl w:val="true"/>
        </w:rPr>
        <w:t>البلوغ و العقل و الحرّیة</w:t>
      </w:r>
      <w:r>
        <w:rPr>
          <w:rtl w:val="true"/>
        </w:rPr>
        <w:t>]</w:t>
      </w:r>
      <w:bookmarkEnd w:id="69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الحرّیة، و کذا الإسلام إن کان اللّقیط محکوماً بالإسلام</w:t>
      </w:r>
      <w:r>
        <w:rPr>
          <w:rFonts w:eastAsia="IRNazanin" w:cs="IRNazanin"/>
          <w:color w:val="111111"/>
          <w:sz w:val="28"/>
          <w:szCs w:val="28"/>
          <w:rtl w:val="true"/>
          <w:lang w:bidi="fa-IR"/>
        </w:rPr>
        <w:t>.</w:t>
      </w:r>
    </w:p>
    <w:p>
      <w:pPr>
        <w:pStyle w:val="Heading4"/>
        <w:numPr>
          <w:ilvl w:val="3"/>
          <w:numId w:val="1"/>
        </w:numPr>
        <w:rPr/>
      </w:pPr>
      <w:bookmarkStart w:id="6975" w:name="__RefHeading___Toc2571282_3650668749"/>
      <w:bookmarkStart w:id="6976" w:name="_Toc3150"/>
      <w:bookmarkEnd w:id="6975"/>
      <w:r>
        <w:rPr>
          <w:rtl w:val="true"/>
        </w:rPr>
        <w:t>[ (</w:t>
      </w:r>
      <w:r>
        <w:rPr>
          <w:rtl w:val="true"/>
        </w:rPr>
        <w:t xml:space="preserve">مسألة </w:t>
      </w:r>
      <w:r>
        <w:rPr/>
        <w:t>3</w:t>
      </w:r>
      <w:r>
        <w:rPr>
          <w:rtl w:val="true"/>
        </w:rPr>
        <w:t xml:space="preserve">): </w:t>
      </w:r>
      <w:r>
        <w:rPr>
          <w:rtl w:val="true"/>
        </w:rPr>
        <w:t>لقیط دار الإسلام محکوم بالإسلام</w:t>
      </w:r>
      <w:r>
        <w:rPr>
          <w:rtl w:val="true"/>
        </w:rPr>
        <w:t>]</w:t>
      </w:r>
      <w:bookmarkEnd w:id="69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لقیط دار الإسلام محکوم بالإسلام، و کذا لقیط دار الکفر إذا وجد فیها مسلم احتمل تولّد اللّقیط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دار الکفر و لم یکن فیها مسلم أو کان و لم یحتمل کونه منه یحکم بکفره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کان محکوماً بالإسلام لو أعرب عن نفسه الکفر بعد البلوغ یحکم بکفره، لکن لا یجری علیه حکم المرتدّ الفطری علی الأقویٰ</w:t>
      </w:r>
      <w:r>
        <w:rPr>
          <w:rFonts w:eastAsia="IRNazanin" w:cs="IRNazanin"/>
          <w:color w:val="111111"/>
          <w:sz w:val="28"/>
          <w:szCs w:val="28"/>
          <w:rtl w:val="true"/>
          <w:lang w:bidi="fa-IR"/>
        </w:rPr>
        <w:t>.</w:t>
      </w:r>
    </w:p>
    <w:p>
      <w:pPr>
        <w:pStyle w:val="Heading4"/>
        <w:numPr>
          <w:ilvl w:val="3"/>
          <w:numId w:val="1"/>
        </w:numPr>
        <w:rPr/>
      </w:pPr>
      <w:bookmarkStart w:id="6977" w:name="__RefHeading___Toc2571284_3650668749"/>
      <w:bookmarkStart w:id="6978" w:name="_Toc3151"/>
      <w:bookmarkEnd w:id="6977"/>
      <w:r>
        <w:rPr>
          <w:rtl w:val="true"/>
        </w:rPr>
        <w:t>[ (</w:t>
      </w:r>
      <w:r>
        <w:rPr>
          <w:rtl w:val="true"/>
        </w:rPr>
        <w:t xml:space="preserve">مسألة </w:t>
      </w:r>
      <w:r>
        <w:rPr/>
        <w:t>4</w:t>
      </w:r>
      <w:r>
        <w:rPr>
          <w:rtl w:val="true"/>
        </w:rPr>
        <w:t xml:space="preserve">): </w:t>
      </w:r>
      <w:r>
        <w:rPr>
          <w:rtl w:val="true"/>
        </w:rPr>
        <w:t>اللّقیط محکوم بالحرّیة ما لم یعلم خلافه</w:t>
      </w:r>
      <w:r>
        <w:rPr>
          <w:rtl w:val="true"/>
        </w:rPr>
        <w:t>]</w:t>
      </w:r>
      <w:bookmarkEnd w:id="6978"/>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اللّقیط محکوم بالحرّیة ما لم یعلم خلافه، أو أقرّ علیٰ نفسه بالرقّ بعد بلوغه، حتّی فیما </w:t>
      </w:r>
      <w:r>
        <w:rPr>
          <w:rStyle w:val="FootnoteAnchor"/>
          <w:rtl w:val="true"/>
        </w:rPr>
        <w:footnoteReference w:id="1812"/>
      </w:r>
      <w:r>
        <w:rPr>
          <w:rFonts w:ascii="IRNazanin" w:hAnsi="IRNazanin" w:eastAsia="IRNazanin"/>
          <w:color w:val="111111"/>
          <w:sz w:val="28"/>
          <w:sz w:val="28"/>
          <w:szCs w:val="28"/>
          <w:rtl w:val="true"/>
          <w:lang w:bidi="fa-IR"/>
        </w:rPr>
        <w:t>لو التقط من دار الکفر و لم یکن فیها مسلم احتمل تولّده منه، غایة الأمر أنّه یجوز استرقاقه حینئذٍ، و هذا غیر الحکم برقّیّته کما لا یخفی</w:t>
      </w:r>
      <w:r>
        <w:rPr>
          <w:rFonts w:eastAsia="IRNazanin" w:cs="IRNazanin"/>
          <w:color w:val="111111"/>
          <w:sz w:val="28"/>
          <w:szCs w:val="28"/>
          <w:rtl w:val="true"/>
          <w:lang w:bidi="fa-IR"/>
        </w:rPr>
        <w:t>.</w:t>
      </w:r>
      <w:bookmarkStart w:id="6979" w:name="pg1809_19834"/>
    </w:p>
    <w:p>
      <w:pPr>
        <w:pStyle w:val="Heading2"/>
        <w:numPr>
          <w:ilvl w:val="1"/>
          <w:numId w:val="1"/>
        </w:numPr>
        <w:rPr/>
      </w:pPr>
      <w:bookmarkStart w:id="6980" w:name="__RefHeading___Toc2571286_3650668749"/>
      <w:bookmarkStart w:id="6981" w:name="_Toc3152"/>
      <w:bookmarkEnd w:id="6979"/>
      <w:bookmarkEnd w:id="6980"/>
      <w:r>
        <w:rPr>
          <w:rtl w:val="true"/>
        </w:rPr>
        <w:t>[</w:t>
      </w:r>
      <w:r>
        <w:rPr>
          <w:rtl w:val="true"/>
        </w:rPr>
        <w:t>کتاب النکاح</w:t>
      </w:r>
      <w:r>
        <w:rPr>
          <w:rtl w:val="true"/>
        </w:rPr>
        <w:t>]</w:t>
      </w:r>
      <w:bookmarkEnd w:id="6981"/>
    </w:p>
    <w:p>
      <w:pPr>
        <w:pStyle w:val="Heading3"/>
        <w:numPr>
          <w:ilvl w:val="2"/>
          <w:numId w:val="1"/>
        </w:numPr>
        <w:rPr/>
      </w:pPr>
      <w:bookmarkStart w:id="6982" w:name="__RefHeading___Toc2571288_3650668749"/>
      <w:bookmarkStart w:id="6983" w:name="_Toc3153"/>
      <w:bookmarkEnd w:id="6982"/>
      <w:r>
        <w:rPr>
          <w:rtl w:val="true"/>
        </w:rPr>
        <w:t>اشارة</w:t>
      </w:r>
      <w:bookmarkEnd w:id="6983"/>
    </w:p>
    <w:p>
      <w:pPr>
        <w:pStyle w:val="BookText"/>
        <w:rPr/>
      </w:pPr>
      <w:r>
        <w:rPr>
          <w:rFonts w:ascii="Amiri" w:hAnsi="Amiri" w:eastAsia="Amiri" w:cs="Amiri"/>
          <w:color w:val="111111"/>
          <w:sz w:val="28"/>
          <w:sz w:val="28"/>
          <w:szCs w:val="28"/>
          <w:rtl w:val="true"/>
          <w:lang w:bidi="ar-SA"/>
        </w:rPr>
        <w:t xml:space="preserve">کتاب النکاح و هو من المستحبّات الأکیدة، و ما ورد فی الحثّ علیه و الذمّ علیٰ ترکه ممّا لا یحصیٰ کثرة، فعن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بنی بناء فی الإسلام أحبّ إلی اللّٰه عزّ و جلّ من التزویج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رکعتان یصلّیهما المتزوّج أفضل من سبعین رکعة یصلّیها عزب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 موتاکم العزّاب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 خبر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 أهل النار العزّاب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ینبغی أن یمنعه عنه الفقر و العیلة بعد ما وعد اللّٰه عزّ و جلّ بالإغناء و السعة بقوله عزّ من قائل إِنْ یَکُونُوا فُقَرٰاءَ یُغْنِهِمُ اللّٰهُ مِنْ فَضْلِهِ، فعن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ترک التزویج مخافة العیلة، فقد أساء الظنّ باللّٰه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ممّا یناسب تقدیمه علیٰ مقاصد هذا الکتاب أُمور بعضها متعلّق بمن ینبغی اختیاره للزواج و من لا ینبغی، و بعضها فی آداب العقد، و بعضها فی آداب الخلوة مع الزوجة، و بعضها من اللواحق التی لها مناسبة بالمقام، و هی تذکر فی ضمن مسائل</w:t>
      </w:r>
      <w:r>
        <w:rPr>
          <w:rFonts w:eastAsia="IRNazanin" w:cs="IRNazanin"/>
          <w:color w:val="111111"/>
          <w:sz w:val="28"/>
          <w:szCs w:val="28"/>
          <w:rtl w:val="true"/>
          <w:lang w:bidi="fa-IR"/>
        </w:rPr>
        <w:t>:</w:t>
      </w:r>
    </w:p>
    <w:p>
      <w:pPr>
        <w:pStyle w:val="Heading3"/>
        <w:numPr>
          <w:ilvl w:val="2"/>
          <w:numId w:val="1"/>
        </w:numPr>
        <w:rPr/>
      </w:pPr>
      <w:bookmarkStart w:id="6984" w:name="__RefHeading___Toc2571290_3650668749"/>
      <w:bookmarkStart w:id="6985" w:name="_Toc3154"/>
      <w:bookmarkEnd w:id="6984"/>
      <w:r>
        <w:rPr>
          <w:rtl w:val="true"/>
        </w:rPr>
        <w:t>[</w:t>
      </w:r>
      <w:r>
        <w:rPr>
          <w:rtl w:val="true"/>
        </w:rPr>
        <w:t>مسائل</w:t>
      </w:r>
      <w:r>
        <w:rPr>
          <w:rtl w:val="true"/>
        </w:rPr>
        <w:t>]</w:t>
      </w:r>
      <w:bookmarkEnd w:id="6985"/>
    </w:p>
    <w:p>
      <w:pPr>
        <w:pStyle w:val="Heading4"/>
        <w:numPr>
          <w:ilvl w:val="3"/>
          <w:numId w:val="1"/>
        </w:numPr>
        <w:rPr/>
      </w:pPr>
      <w:bookmarkStart w:id="6986" w:name="__RefHeading___Toc2571292_3650668749"/>
      <w:bookmarkStart w:id="6987" w:name="_Toc3155"/>
      <w:bookmarkEnd w:id="6986"/>
      <w:r>
        <w:rPr>
          <w:rtl w:val="true"/>
        </w:rPr>
        <w:t>[ (</w:t>
      </w:r>
      <w:r>
        <w:rPr>
          <w:rtl w:val="true"/>
        </w:rPr>
        <w:t xml:space="preserve">مسألة </w:t>
      </w:r>
      <w:r>
        <w:rPr/>
        <w:t>1</w:t>
      </w:r>
      <w:r>
        <w:rPr>
          <w:rtl w:val="true"/>
        </w:rPr>
        <w:t xml:space="preserve">): </w:t>
      </w:r>
      <w:r>
        <w:rPr>
          <w:rtl w:val="true"/>
        </w:rPr>
        <w:t>ممّا ینبغی أن یهتمّ به الإنسان النظر فی صفات من یرید تزویجها</w:t>
      </w:r>
      <w:r>
        <w:rPr>
          <w:rtl w:val="true"/>
        </w:rPr>
        <w:t>]</w:t>
      </w:r>
      <w:bookmarkEnd w:id="6987"/>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ینبغی أن یهتمّ به الإنسان النظر فی صفات من یرید تزویجها، فعن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اختاروا لنطفکم، فإنّ الخال أحد الضجیعین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تخیّروا لنطفکم، فإنّ الأبناء تشبه الأخوال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أصحابه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هممت أن أتزوّج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أین تضع نفسک و من تشرکه فی مالک و تطلعه علیٰ دینک و سرّک، فإن کنت لا بدّ فاعلًا، فبکراً تنسب إلی الخیر و حسن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المرأة قلّادة فانظر ما تتقلّد، و لیس للمرأة خطر لا لصالحتهنّ و لا لطالحتهنّ، فأمّا صالحتهنّ فلیس خطرها الذهب و الفضّة، هی خیر من الذهب و الفضّة، و أمّا طالحتهنّ فلیس خطرها التراب، التراب خیر منها</w:t>
      </w:r>
      <w:r>
        <w:rPr>
          <w:rFonts w:eastAsia="IRNazanin" w:cs="IRNazanin"/>
          <w:color w:val="111111"/>
          <w:sz w:val="28"/>
          <w:szCs w:val="28"/>
          <w:rtl w:val="true"/>
          <w:lang w:bidi="fa-IR"/>
        </w:rPr>
        <w:t>».</w:t>
      </w:r>
      <w:bookmarkStart w:id="6988" w:name="pg1809_19836"/>
    </w:p>
    <w:p>
      <w:pPr>
        <w:pStyle w:val="BookText"/>
        <w:rPr/>
      </w:pPr>
      <w:bookmarkEnd w:id="6988"/>
      <w:r>
        <w:rPr>
          <w:rFonts w:ascii="IRNazanin" w:hAnsi="IRNazanin" w:eastAsia="IRNazanin"/>
          <w:color w:val="111111"/>
          <w:sz w:val="28"/>
          <w:sz w:val="28"/>
          <w:szCs w:val="28"/>
          <w:rtl w:val="true"/>
          <w:lang w:bidi="fa-IR"/>
        </w:rPr>
        <w:t xml:space="preserve">و کما ینبغی للرجل أن ینظر فیمن یختارها للتزویج، کذلک ینبغی ذلک للمرأة و أولیائها بالنسبة إلی الرجل، فعن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 رقّ فإذا أنکح أحدکم ولیدته فقد أرقّها، فلینظر أحدکم لمن یرقّ کریمته</w:t>
      </w:r>
      <w:r>
        <w:rPr>
          <w:rFonts w:eastAsia="IRNazanin" w:cs="IRNazanin"/>
          <w:color w:val="111111"/>
          <w:sz w:val="28"/>
          <w:szCs w:val="28"/>
          <w:rtl w:val="true"/>
          <w:lang w:bidi="fa-IR"/>
        </w:rPr>
        <w:t>».</w:t>
      </w:r>
    </w:p>
    <w:p>
      <w:pPr>
        <w:pStyle w:val="Heading4"/>
        <w:numPr>
          <w:ilvl w:val="3"/>
          <w:numId w:val="1"/>
        </w:numPr>
        <w:rPr/>
      </w:pPr>
      <w:bookmarkStart w:id="6989" w:name="__RefHeading___Toc2571294_3650668749"/>
      <w:bookmarkStart w:id="6990" w:name="_Toc3156"/>
      <w:bookmarkEnd w:id="6989"/>
      <w:r>
        <w:rPr>
          <w:rtl w:val="true"/>
        </w:rPr>
        <w:t>[ (</w:t>
      </w:r>
      <w:r>
        <w:rPr>
          <w:rtl w:val="true"/>
        </w:rPr>
        <w:t xml:space="preserve">مسألة </w:t>
      </w:r>
      <w:r>
        <w:rPr/>
        <w:t>2</w:t>
      </w:r>
      <w:r>
        <w:rPr>
          <w:rtl w:val="true"/>
        </w:rPr>
        <w:t xml:space="preserve">): </w:t>
      </w:r>
      <w:r>
        <w:rPr>
          <w:rtl w:val="true"/>
        </w:rPr>
        <w:t>ینبغی أن لا یکون النظر فی اختیار المرأة مقصوراً علی الجمال و المال</w:t>
      </w:r>
      <w:r>
        <w:rPr>
          <w:rtl w:val="true"/>
        </w:rPr>
        <w:t>]</w:t>
      </w:r>
      <w:bookmarkEnd w:id="69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لا یکون النظر فی اختیار المرأة مقصوراً علی الجمال و المال، فعن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المرأة لا یتزوّجها إلّا لجمالها لم یر فیها ما یحبّ، و من تزوّجها لمالها لا یتزوّجها إلّا له وکله اللّٰه إلیه، فعلیکم بذات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یختار من کانت واجدة لصفات شریفة صالحة قد وردت فی مدحها الأخبار، فاقدة لصفات ذمیمة قد نطقت بذمّها الآثار، و أجمع خبر فی هذا الباب ما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نسائکم الولود، الودود، العفیفة، العزیزة فی أهلها، الذلیلة مع بعلها، المتبرّجة مع زوجها، الحصان علیٰ غیره، التی تسمع قوله، و تطیع أمره إلیٰ أن قال أ لا أُخبرکم بشرار نسائکم؟ الذلیلة فی أهلها، العزیزة مع بعلها، العقیم، الحقود، التی لا تورّع من قبیح، المتبرّجة إذا غاب عنها بعلها، الحصان معه إذا حضر، لا تسمع قوله، و لا تطیع أمره، و إذا خلا بها بعلها تمنّعت منه کما تمنّع الصعبة عن رکوبها، لا تقبل منه عذراً، و لا تقیل له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خبر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خضراء الدمن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خضراء الدمن؟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الحسناء فی منبت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أشار </w:t>
      </w:r>
      <w:r>
        <w:rPr>
          <w:rStyle w:val="FootnoteAnchor"/>
          <w:rtl w:val="true"/>
        </w:rPr>
        <w:footnoteReference w:id="1813"/>
      </w:r>
      <w:r>
        <w:rPr>
          <w:rFonts w:ascii="IRNazanin" w:hAnsi="IRNazanin" w:eastAsia="IRNazanin"/>
          <w:color w:val="111111"/>
          <w:sz w:val="28"/>
          <w:sz w:val="28"/>
          <w:szCs w:val="28"/>
          <w:rtl w:val="true"/>
          <w:lang w:bidi="fa-IR"/>
        </w:rPr>
        <w:t>إلیٰ کونها ممّن تنال آباءها و أُمّهاتها و عشیرتها الألسن، و کانوا معروفین بعدم النجابة</w:t>
      </w:r>
      <w:r>
        <w:rPr>
          <w:rFonts w:eastAsia="IRNazanin" w:cs="IRNazanin"/>
          <w:color w:val="111111"/>
          <w:sz w:val="28"/>
          <w:szCs w:val="28"/>
          <w:rtl w:val="true"/>
          <w:lang w:bidi="fa-IR"/>
        </w:rPr>
        <w:t>.</w:t>
      </w:r>
    </w:p>
    <w:p>
      <w:pPr>
        <w:pStyle w:val="Heading4"/>
        <w:numPr>
          <w:ilvl w:val="3"/>
          <w:numId w:val="1"/>
        </w:numPr>
        <w:rPr/>
      </w:pPr>
      <w:bookmarkStart w:id="6991" w:name="__RefHeading___Toc2571296_3650668749"/>
      <w:bookmarkStart w:id="6992" w:name="_Toc3157"/>
      <w:bookmarkEnd w:id="6991"/>
      <w:r>
        <w:rPr>
          <w:rtl w:val="true"/>
        </w:rPr>
        <w:t>[ (</w:t>
      </w:r>
      <w:r>
        <w:rPr>
          <w:rtl w:val="true"/>
        </w:rPr>
        <w:t xml:space="preserve">مسألة </w:t>
      </w:r>
      <w:r>
        <w:rPr/>
        <w:t>3</w:t>
      </w:r>
      <w:r>
        <w:rPr>
          <w:rtl w:val="true"/>
        </w:rPr>
        <w:t xml:space="preserve">): </w:t>
      </w:r>
      <w:r>
        <w:rPr>
          <w:rtl w:val="true"/>
        </w:rPr>
        <w:t>یکره تزویج الزانیة و المتولّدة من الزنا</w:t>
      </w:r>
      <w:r>
        <w:rPr>
          <w:rtl w:val="true"/>
        </w:rPr>
        <w:t>]</w:t>
      </w:r>
      <w:bookmarkEnd w:id="69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تزویج الزانیة و المتولّدة من الزنا، و أن یتزوّج الشخص قابلته أو ابنتها</w:t>
      </w:r>
      <w:r>
        <w:rPr>
          <w:rFonts w:eastAsia="IRNazanin" w:cs="IRNazanin"/>
          <w:color w:val="111111"/>
          <w:sz w:val="28"/>
          <w:szCs w:val="28"/>
          <w:rtl w:val="true"/>
          <w:lang w:bidi="fa-IR"/>
        </w:rPr>
        <w:t>.</w:t>
      </w:r>
    </w:p>
    <w:p>
      <w:pPr>
        <w:pStyle w:val="Heading4"/>
        <w:numPr>
          <w:ilvl w:val="3"/>
          <w:numId w:val="1"/>
        </w:numPr>
        <w:rPr/>
      </w:pPr>
      <w:bookmarkStart w:id="6993" w:name="__RefHeading___Toc2571298_3650668749"/>
      <w:bookmarkStart w:id="6994" w:name="_Toc3158"/>
      <w:bookmarkEnd w:id="6993"/>
      <w:r>
        <w:rPr>
          <w:rtl w:val="true"/>
        </w:rPr>
        <w:t>[ (</w:t>
      </w:r>
      <w:r>
        <w:rPr>
          <w:rtl w:val="true"/>
        </w:rPr>
        <w:t xml:space="preserve">مسألة </w:t>
      </w:r>
      <w:r>
        <w:rPr/>
        <w:t>4</w:t>
      </w:r>
      <w:r>
        <w:rPr>
          <w:rtl w:val="true"/>
        </w:rPr>
        <w:t xml:space="preserve">): </w:t>
      </w:r>
      <w:r>
        <w:rPr>
          <w:rtl w:val="true"/>
        </w:rPr>
        <w:t>لا ینبغی للمرأة أن تختار زوجاً سیّئ الخلق و المخنّث و الفاسق و شارب الخمر</w:t>
      </w:r>
      <w:r>
        <w:rPr>
          <w:rtl w:val="true"/>
        </w:rPr>
        <w:t>]</w:t>
      </w:r>
      <w:bookmarkEnd w:id="69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للمرأة أن تختار زوجاً سیّئ الخلق و المخنّث و الفاسق و شارب الخمر، و من کان من الزنج أو الأکراد أو الخوزی أو الخزر</w:t>
      </w:r>
      <w:r>
        <w:rPr>
          <w:rFonts w:eastAsia="IRNazanin" w:cs="IRNazanin"/>
          <w:color w:val="111111"/>
          <w:sz w:val="28"/>
          <w:szCs w:val="28"/>
          <w:rtl w:val="true"/>
          <w:lang w:bidi="fa-IR"/>
        </w:rPr>
        <w:t>.</w:t>
      </w:r>
    </w:p>
    <w:p>
      <w:pPr>
        <w:pStyle w:val="Heading4"/>
        <w:numPr>
          <w:ilvl w:val="3"/>
          <w:numId w:val="1"/>
        </w:numPr>
        <w:rPr/>
      </w:pPr>
      <w:bookmarkStart w:id="6995" w:name="__RefHeading___Toc2571300_3650668749"/>
      <w:bookmarkStart w:id="6996" w:name="_Toc3159"/>
      <w:bookmarkEnd w:id="6995"/>
      <w:r>
        <w:rPr>
          <w:rtl w:val="true"/>
        </w:rPr>
        <w:t>[ (</w:t>
      </w:r>
      <w:r>
        <w:rPr>
          <w:rtl w:val="true"/>
        </w:rPr>
        <w:t xml:space="preserve">مسألة </w:t>
      </w:r>
      <w:r>
        <w:rPr/>
        <w:t>5</w:t>
      </w:r>
      <w:r>
        <w:rPr>
          <w:rtl w:val="true"/>
        </w:rPr>
        <w:t xml:space="preserve">): </w:t>
      </w:r>
      <w:r>
        <w:rPr>
          <w:rtl w:val="true"/>
        </w:rPr>
        <w:t>یستحبّ الإشهاد فی العقد و الإعلان به و الخطبة أمامه</w:t>
      </w:r>
      <w:r>
        <w:rPr>
          <w:rtl w:val="true"/>
        </w:rPr>
        <w:t>]</w:t>
      </w:r>
      <w:bookmarkEnd w:id="6996"/>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الإشهاد فی العقد و الإعلان به و الخطبة أمامه؛ أکملها ما اشتمل علی التحمید و الصلاة علی النبیّ و الأئمّة المعصومین و الشهادتین و الوصیّة بالتقویٰ و الدعاء للزوجین، و یجزی </w:t>
      </w:r>
      <w:r>
        <w:rPr>
          <w:rStyle w:val="FootnoteAnchor"/>
          <w:rtl w:val="true"/>
        </w:rPr>
        <w:footnoteReference w:id="1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الصلاة علیٰ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إیقاعه لیلًا، و یکره</w:t>
      </w:r>
      <w:bookmarkStart w:id="6997" w:name="pg1809_19838"/>
    </w:p>
    <w:p>
      <w:pPr>
        <w:pStyle w:val="BookText"/>
        <w:rPr/>
      </w:pPr>
      <w:bookmarkEnd w:id="6997"/>
      <w:r>
        <w:rPr>
          <w:rFonts w:ascii="IRNazanin" w:hAnsi="IRNazanin" w:eastAsia="IRNazanin"/>
          <w:color w:val="111111"/>
          <w:sz w:val="28"/>
          <w:sz w:val="28"/>
          <w:szCs w:val="28"/>
          <w:rtl w:val="true"/>
          <w:lang w:bidi="fa-IR"/>
        </w:rPr>
        <w:t>إیقاعه و القمر فی برج العقرب، و إیقاعه فی محاق الشهر، و فی أحد الأیّام المنحوسة فی کلّ شهر المشتهرة فی الألسن بکوامل الشهر، و هی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الخامس و الثالث عشر و السادس عشر و الحادی و العشرون و الرابع و العشرون و الخامس و العشرون</w:t>
      </w:r>
      <w:r>
        <w:rPr>
          <w:rFonts w:eastAsia="IRNazanin" w:cs="IRNazanin"/>
          <w:color w:val="111111"/>
          <w:sz w:val="28"/>
          <w:szCs w:val="28"/>
          <w:rtl w:val="true"/>
          <w:lang w:bidi="fa-IR"/>
        </w:rPr>
        <w:t>.</w:t>
      </w:r>
    </w:p>
    <w:p>
      <w:pPr>
        <w:pStyle w:val="Heading4"/>
        <w:numPr>
          <w:ilvl w:val="3"/>
          <w:numId w:val="1"/>
        </w:numPr>
        <w:rPr/>
      </w:pPr>
      <w:bookmarkStart w:id="6998" w:name="__RefHeading___Toc2571302_3650668749"/>
      <w:bookmarkStart w:id="6999" w:name="_Toc3160"/>
      <w:bookmarkEnd w:id="6998"/>
      <w:r>
        <w:rPr>
          <w:rtl w:val="true"/>
        </w:rPr>
        <w:t>[ (</w:t>
      </w:r>
      <w:r>
        <w:rPr>
          <w:rtl w:val="true"/>
        </w:rPr>
        <w:t xml:space="preserve">مسألة </w:t>
      </w:r>
      <w:r>
        <w:rPr/>
        <w:t>6</w:t>
      </w:r>
      <w:r>
        <w:rPr>
          <w:rtl w:val="true"/>
        </w:rPr>
        <w:t xml:space="preserve">): </w:t>
      </w:r>
      <w:r>
        <w:rPr>
          <w:rtl w:val="true"/>
        </w:rPr>
        <w:t>یستحبّ أن یکون الزفاف لیلًا، و الولیمة فی لیله أو نهاره</w:t>
      </w:r>
      <w:r>
        <w:rPr>
          <w:rtl w:val="true"/>
        </w:rPr>
        <w:t>]</w:t>
      </w:r>
      <w:bookmarkEnd w:id="69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یکون الزفاف لیلًا، و الولیمة فی لیله أو نهاره، فإنّها من سنن المرسلین، و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ولیمة إلّا فی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عرس أو خرس أو عذار أو وکار أو رکاز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للتزویج أو ولادة الولد أو الختان أو شراء الدار أو القدوم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تستحبّ یوماً أو یومین لا أزید، للنبویّ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الولیمة فی الأوّل حقّ، و یومان مکرمة، و ثلاثة أیّام ریاء و 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أن یدعیٰ لها المؤمنون، و یستحبّ لهم الإجابة و الأکل و إن کان المدعوّ صائماً نفلًا، و ینبغی أن یعمّ صاحب الدعوة الأغنیاء و الفقراء و أن لا یخصّها بالأغنیاء، فعن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الولائم أن یدعیٰ لها الأغنیاء و یترک الفقراء</w:t>
      </w:r>
      <w:r>
        <w:rPr>
          <w:rFonts w:eastAsia="IRNazanin" w:cs="IRNazanin"/>
          <w:color w:val="111111"/>
          <w:sz w:val="28"/>
          <w:szCs w:val="28"/>
          <w:rtl w:val="true"/>
          <w:lang w:bidi="fa-IR"/>
        </w:rPr>
        <w:t>».</w:t>
      </w:r>
    </w:p>
    <w:p>
      <w:pPr>
        <w:pStyle w:val="Heading4"/>
        <w:numPr>
          <w:ilvl w:val="3"/>
          <w:numId w:val="1"/>
        </w:numPr>
        <w:rPr/>
      </w:pPr>
      <w:bookmarkStart w:id="7000" w:name="__RefHeading___Toc2571304_3650668749"/>
      <w:bookmarkStart w:id="7001" w:name="_Toc3161"/>
      <w:bookmarkEnd w:id="7000"/>
      <w:r>
        <w:rPr>
          <w:rtl w:val="true"/>
        </w:rPr>
        <w:t>[ (</w:t>
      </w:r>
      <w:r>
        <w:rPr>
          <w:rtl w:val="true"/>
        </w:rPr>
        <w:t xml:space="preserve">مسألة </w:t>
      </w:r>
      <w:r>
        <w:rPr/>
        <w:t>7</w:t>
      </w:r>
      <w:r>
        <w:rPr>
          <w:rtl w:val="true"/>
        </w:rPr>
        <w:t xml:space="preserve">): </w:t>
      </w:r>
      <w:r>
        <w:rPr>
          <w:rtl w:val="true"/>
        </w:rPr>
        <w:t>یستحبّ لمن أراد الدخول بالمرأة لیلة الزفاف أو یومه أن یصلّی رکعتین</w:t>
      </w:r>
      <w:r>
        <w:rPr>
          <w:rtl w:val="true"/>
        </w:rPr>
        <w:t>]</w:t>
      </w:r>
      <w:bookmarkEnd w:id="70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لمن أراد الدخول بالمرأة لیلة الزفاف أو یومه أن یصلّی رکعتین، ثمّ یدعو بعدهما بالمأثور، و أن یکونا علیٰ طهر و أن یضع یده علیٰ ناصیتها مستقبل القبلة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علیٰ کتابک تزوّجتها و فی أمانتک أخذتها و بکلماتک استحللت فرجها، فإن قضیت فی رحمها شیئاً فاجعله ذکراً مسلماً سویّاً و لا تجعله شرک شیطان</w:t>
      </w:r>
      <w:r>
        <w:rPr>
          <w:rFonts w:eastAsia="IRNazanin" w:cs="IRNazanin"/>
          <w:color w:val="111111"/>
          <w:sz w:val="28"/>
          <w:szCs w:val="28"/>
          <w:rtl w:val="true"/>
          <w:lang w:bidi="fa-IR"/>
        </w:rPr>
        <w:t>».</w:t>
      </w:r>
    </w:p>
    <w:p>
      <w:pPr>
        <w:pStyle w:val="Heading4"/>
        <w:numPr>
          <w:ilvl w:val="3"/>
          <w:numId w:val="1"/>
        </w:numPr>
        <w:rPr/>
      </w:pPr>
      <w:bookmarkStart w:id="7002" w:name="__RefHeading___Toc2571306_3650668749"/>
      <w:bookmarkStart w:id="7003" w:name="_Toc3162"/>
      <w:bookmarkEnd w:id="7002"/>
      <w:r>
        <w:rPr>
          <w:rtl w:val="true"/>
        </w:rPr>
        <w:t>[ (</w:t>
      </w:r>
      <w:r>
        <w:rPr>
          <w:rtl w:val="true"/>
        </w:rPr>
        <w:t xml:space="preserve">مسألة </w:t>
      </w:r>
      <w:r>
        <w:rPr/>
        <w:t>8</w:t>
      </w:r>
      <w:r>
        <w:rPr>
          <w:rtl w:val="true"/>
        </w:rPr>
        <w:t xml:space="preserve">): </w:t>
      </w:r>
      <w:r>
        <w:rPr>
          <w:rtl w:val="true"/>
        </w:rPr>
        <w:t>للخلوة بالمرأة مطلقاً و لو فی غیر لیلة الزفاف آداب</w:t>
      </w:r>
      <w:r>
        <w:rPr>
          <w:rtl w:val="true"/>
        </w:rPr>
        <w:t>]</w:t>
      </w:r>
      <w:bookmarkEnd w:id="70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للخلوة بالمرأة مطلقاً و لو فی غیر لیلة الزفاف آداب، و هی بین مستحبّ و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یسمّی عند الجماع، فإنّه وقایة عن شرک الشیطان،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أحدکم أهله فلیذکر اللّٰه، فإن لم یفعل و کان منه ولد، کان شرک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معناه أخبار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یسأل اللّٰه تعالیٰ أن یرزقه ولداً تقیّاً مبارکاً زکیّاً ذکراً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علیٰ وضوء، سیّما إذا کانت المرأة حاملًا</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فیکره الجماع فی لیلة خسوف القمر، و یوم کسوف الشمس، و یوم هبوب الریح السوداء و الصفراء، و الزلزلة، و عند غروب الشمس حتّی یذهب الشفق، و بعد طلوع الفجر إلیٰ طلوع الشمس، و فی المحاق، و فی أوّل لیلة من کلّ شهر ما عدا شهر رمضان، و فی لیلة النصف من کلّ شهر، و لیلة الأربعاء، و فی لیلتی الأضحیٰ و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لیلة الاثنین و الثلاثاء و الخمیس و الجمعة، و یوم الخمیس عند الزوال، و یوم</w:t>
      </w:r>
      <w:bookmarkStart w:id="7004" w:name="pg1809_19840"/>
    </w:p>
    <w:p>
      <w:pPr>
        <w:pStyle w:val="BookText"/>
        <w:rPr/>
      </w:pPr>
      <w:bookmarkEnd w:id="7004"/>
      <w:r>
        <w:rPr>
          <w:rFonts w:ascii="IRNazanin" w:hAnsi="IRNazanin" w:eastAsia="IRNazanin"/>
          <w:color w:val="111111"/>
          <w:sz w:val="28"/>
          <w:sz w:val="28"/>
          <w:szCs w:val="28"/>
          <w:rtl w:val="true"/>
          <w:lang w:bidi="fa-IR"/>
        </w:rPr>
        <w:t>الجمعة بعد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یکره الجماع فی السفر إذا لم یکن معه ماء یغتسل به، و الجماع و هو عریان، و عقیب الاحتلام قبل الغسل، نعم لا بأس بأن یجامع مرّات من غیر تخلّل الغسل بینها و یکون غسله أخیراً، لکن یستحبّ غسل الفرج و الوضوء عند کلّ مرّة، و أن یجامع و عنده من ینظر إلیه حتّی الصبیّ و الصبیّة، و الجماع مستقبل القبلة و مستدبرها، و فی السفینة، و الکلام عند الجماع بغیر ذکر اللّٰه، و الجماع و هو مختضب أو هی مختضبة، و علی الامتلاء من الطعام،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یهدمن البدن و ربّما قتلن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الحمّام علی البطنة، و الغشیان علی الامتلاء، و نکاح العجائز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الجماع قائماً، و تحت السماء، و تحت الشجرة المثمرة، و یکره أن تکون خرقة الرجل و المرأة واحدة، بل یکون له خرقة و لها خرقة، و لا یمسحا بخرقة واحدة فتقع الشهوة علی الشهوة، ففی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یعقب بینهما العداوة</w:t>
      </w:r>
      <w:r>
        <w:rPr>
          <w:rFonts w:eastAsia="IRNazanin" w:cs="IRNazanin"/>
          <w:color w:val="111111"/>
          <w:sz w:val="28"/>
          <w:szCs w:val="28"/>
          <w:rtl w:val="true"/>
          <w:lang w:bidi="fa-IR"/>
        </w:rPr>
        <w:t>.</w:t>
      </w:r>
    </w:p>
    <w:p>
      <w:pPr>
        <w:pStyle w:val="Heading4"/>
        <w:numPr>
          <w:ilvl w:val="3"/>
          <w:numId w:val="1"/>
        </w:numPr>
        <w:rPr/>
      </w:pPr>
      <w:bookmarkStart w:id="7005" w:name="__RefHeading___Toc2571308_3650668749"/>
      <w:bookmarkStart w:id="7006" w:name="_Toc3163"/>
      <w:bookmarkEnd w:id="7005"/>
      <w:r>
        <w:rPr>
          <w:rtl w:val="true"/>
        </w:rPr>
        <w:t>[ (</w:t>
      </w:r>
      <w:r>
        <w:rPr>
          <w:rtl w:val="true"/>
        </w:rPr>
        <w:t xml:space="preserve">مسألة </w:t>
      </w:r>
      <w:r>
        <w:rPr/>
        <w:t>9</w:t>
      </w:r>
      <w:r>
        <w:rPr>
          <w:rtl w:val="true"/>
        </w:rPr>
        <w:t xml:space="preserve">): </w:t>
      </w:r>
      <w:r>
        <w:rPr>
          <w:rtl w:val="true"/>
        </w:rPr>
        <w:t>یستحبّ التعجیل فی تزویج البنت و تحصینها بالزوج عند بلوغها</w:t>
      </w:r>
      <w:r>
        <w:rPr>
          <w:rtl w:val="true"/>
        </w:rPr>
        <w:t>]</w:t>
      </w:r>
      <w:bookmarkEnd w:id="70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التعجیل فی تزویج البنت و تحصینها بالزوج عند بلوغها،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المرء أن لا تطمث ابنته فی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الأبکار بمنزلة الثمر علی الشجر؛ إذا أدرک ثمارها فلم تجتن أفسدته الشمس و نثرته الریاح، و کذلک الأبکار إذا أدرکن ما تدرک النساء فلیس لهنّ دواء إلّا البعولة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لا یردّ الخاطب إذا کان من یرضیٰ خلقه و دینه و أمانته و کان عفیفاً صاحب یسار، و لا ینظر إلیٰ شرافة الحسب و علوّ النسب، فعن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جاءکم من ترضون خلقه و دینه فزوّجوه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إن کان دنیّاً فی نسبه؟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جاءکم من ترضون خلقه و دینه فزوّجوه، إِلّٰا تَفْعَلُوهُ تَکُنْ فِتْنَةٌ فِی الْأَرْضِ وَ فَسٰادٌ کَبِیرٌ</w:t>
      </w:r>
      <w:r>
        <w:rPr>
          <w:rFonts w:eastAsia="IRNazanin" w:cs="IRNazanin"/>
          <w:color w:val="111111"/>
          <w:sz w:val="28"/>
          <w:szCs w:val="28"/>
          <w:rtl w:val="true"/>
          <w:lang w:bidi="fa-IR"/>
        </w:rPr>
        <w:t>».</w:t>
      </w:r>
    </w:p>
    <w:p>
      <w:pPr>
        <w:pStyle w:val="Heading4"/>
        <w:numPr>
          <w:ilvl w:val="3"/>
          <w:numId w:val="1"/>
        </w:numPr>
        <w:rPr/>
      </w:pPr>
      <w:bookmarkStart w:id="7007" w:name="__RefHeading___Toc2571310_3650668749"/>
      <w:bookmarkStart w:id="7008" w:name="_Toc3164"/>
      <w:bookmarkEnd w:id="7007"/>
      <w:r>
        <w:rPr>
          <w:rtl w:val="true"/>
        </w:rPr>
        <w:t>[ (</w:t>
      </w:r>
      <w:r>
        <w:rPr>
          <w:rtl w:val="true"/>
        </w:rPr>
        <w:t xml:space="preserve">مسألة </w:t>
      </w:r>
      <w:r>
        <w:rPr/>
        <w:t>10</w:t>
      </w:r>
      <w:r>
        <w:rPr>
          <w:rtl w:val="true"/>
        </w:rPr>
        <w:t xml:space="preserve">): </w:t>
      </w:r>
      <w:r>
        <w:rPr>
          <w:rtl w:val="true"/>
        </w:rPr>
        <w:t>یستحبّ السعی فی التزویج و الشفاعة فیه و إرضاء الطرفین</w:t>
      </w:r>
      <w:r>
        <w:rPr>
          <w:rtl w:val="true"/>
        </w:rPr>
        <w:t>]</w:t>
      </w:r>
      <w:bookmarkEnd w:id="7008"/>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السعی فی التزویج و الشفاعة فیه و إرضاء الطرفین،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الشفاعات أن تشفع بین اثنین فی نکاح حتّی یجمع اللّٰه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یستظلّون بظلّ عرش اللّٰه یوم القیامة یوم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زوّج أخاه المسلم أو أخدمه أو کتم له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فی تزویج بین مؤمنین حتّی یجمع بینهما، زوّجه اللّٰه ألف امرأة من الحور العین کلّ امرأة فی قصر من درّ و یاقوت، و کان له بکلّ خطوة خطاها أو بکلّ کلمة تکلّم بها فی ذلک عمل سنة قام لیلها و صام نهارها، و من عمل فی فرقة بین امرأة و زوجها کان علیه غضب</w:t>
      </w:r>
      <w:bookmarkStart w:id="7009" w:name="pg1809_19842"/>
    </w:p>
    <w:p>
      <w:pPr>
        <w:pStyle w:val="BookText"/>
        <w:rPr/>
      </w:pPr>
      <w:bookmarkEnd w:id="7009"/>
      <w:r>
        <w:rPr>
          <w:rFonts w:ascii="IRNazanin" w:hAnsi="IRNazanin" w:eastAsia="IRNazanin"/>
          <w:color w:val="111111"/>
          <w:sz w:val="28"/>
          <w:sz w:val="28"/>
          <w:szCs w:val="28"/>
          <w:rtl w:val="true"/>
          <w:lang w:bidi="fa-IR"/>
        </w:rPr>
        <w:t>اللّٰه و لعنته فی الدنیا و الآخرة، و کان حقّا علی اللّٰه أن یرضخه بألف صخرة من نار، و من مشیٰ فی فساد ما بینهما و لم یفرّق کان فی سخط اللّٰه عزّ و جلّ و لعنته فی الدنیا و الآخرة و حرّم علیه النظر إلیٰ وجهه</w:t>
      </w:r>
      <w:r>
        <w:rPr>
          <w:rFonts w:eastAsia="IRNazanin" w:cs="IRNazanin"/>
          <w:color w:val="111111"/>
          <w:sz w:val="28"/>
          <w:szCs w:val="28"/>
          <w:rtl w:val="true"/>
          <w:lang w:bidi="fa-IR"/>
        </w:rPr>
        <w:t>».</w:t>
      </w:r>
    </w:p>
    <w:p>
      <w:pPr>
        <w:pStyle w:val="Heading4"/>
        <w:numPr>
          <w:ilvl w:val="3"/>
          <w:numId w:val="1"/>
        </w:numPr>
        <w:rPr/>
      </w:pPr>
      <w:bookmarkStart w:id="7010" w:name="__RefHeading___Toc2571312_3650668749"/>
      <w:bookmarkStart w:id="7011" w:name="_Toc3165"/>
      <w:bookmarkEnd w:id="7010"/>
      <w:r>
        <w:rPr>
          <w:rtl w:val="true"/>
        </w:rPr>
        <w:t>[ (</w:t>
      </w:r>
      <w:r>
        <w:rPr>
          <w:rtl w:val="true"/>
        </w:rPr>
        <w:t xml:space="preserve">مسألة </w:t>
      </w:r>
      <w:r>
        <w:rPr/>
        <w:t>11</w:t>
      </w:r>
      <w:r>
        <w:rPr>
          <w:rtl w:val="true"/>
        </w:rPr>
        <w:t xml:space="preserve">): </w:t>
      </w:r>
      <w:r>
        <w:rPr>
          <w:rtl w:val="true"/>
        </w:rPr>
        <w:t>المشهور جواز وطء الزوجة و المملوکة دبراً علیٰ کراهیة شدیدة</w:t>
      </w:r>
      <w:r>
        <w:rPr>
          <w:rtl w:val="true"/>
        </w:rPr>
        <w:t>]</w:t>
      </w:r>
      <w:bookmarkEnd w:id="7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Style w:val="FootnoteAnchor"/>
          <w:rtl w:val="true"/>
        </w:rPr>
        <w:footnoteReference w:id="1815"/>
      </w:r>
      <w:r>
        <w:rPr>
          <w:rFonts w:ascii="IRNazanin" w:hAnsi="IRNazanin" w:eastAsia="IRNazanin"/>
          <w:color w:val="111111"/>
          <w:sz w:val="28"/>
          <w:sz w:val="28"/>
          <w:szCs w:val="28"/>
          <w:rtl w:val="true"/>
          <w:lang w:bidi="fa-IR"/>
        </w:rPr>
        <w:t>جواز وطء الزوجة و المملوکة دبراً علیٰ کراهیة شدیدة، و الأحوط ترکه خصوصاً مع عدم رضاها</w:t>
      </w:r>
      <w:r>
        <w:rPr>
          <w:rFonts w:eastAsia="IRNazanin" w:cs="IRNazanin"/>
          <w:color w:val="111111"/>
          <w:sz w:val="28"/>
          <w:szCs w:val="28"/>
          <w:rtl w:val="true"/>
          <w:lang w:bidi="fa-IR"/>
        </w:rPr>
        <w:t>.</w:t>
      </w:r>
    </w:p>
    <w:p>
      <w:pPr>
        <w:pStyle w:val="Heading4"/>
        <w:numPr>
          <w:ilvl w:val="3"/>
          <w:numId w:val="1"/>
        </w:numPr>
        <w:rPr/>
      </w:pPr>
      <w:bookmarkStart w:id="7012" w:name="__RefHeading___Toc2571314_3650668749"/>
      <w:bookmarkStart w:id="7013" w:name="_Toc3166"/>
      <w:bookmarkEnd w:id="7012"/>
      <w:r>
        <w:rPr>
          <w:rtl w:val="true"/>
        </w:rPr>
        <w:t>[ (</w:t>
      </w:r>
      <w:r>
        <w:rPr>
          <w:rtl w:val="true"/>
        </w:rPr>
        <w:t xml:space="preserve">مسألة </w:t>
      </w:r>
      <w:r>
        <w:rPr/>
        <w:t>12</w:t>
      </w:r>
      <w:r>
        <w:rPr>
          <w:rtl w:val="true"/>
        </w:rPr>
        <w:t xml:space="preserve">): </w:t>
      </w:r>
      <w:r>
        <w:rPr>
          <w:rtl w:val="true"/>
        </w:rPr>
        <w:t>لا یجوز وطء الزوجة قبل إکمال تسع سنین</w:t>
      </w:r>
      <w:r>
        <w:rPr>
          <w:rtl w:val="true"/>
        </w:rPr>
        <w:t>]</w:t>
      </w:r>
      <w:bookmarkEnd w:id="70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وطء الزوجة قبل إکمال تسع سنین؛ دواماً کان النکاح أو منقطعاً، و أمّا سائر الاستمتاعات کاللمس بشهوة و التقبیل و الضمّ و التفخیذ فلا بأس بها حتّی فی الرضیعة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وطئها قبل التسع و لم یفضها لم یترتّب علیه شی‌ء غیر الإثم علی الأقویٰ، و إن أفضاها بأن جعل مسلکی البول و الحیض أو مسلکی الحیض و الغائط </w:t>
      </w:r>
      <w:r>
        <w:rPr>
          <w:rStyle w:val="FootnoteAnchor"/>
          <w:rtl w:val="true"/>
        </w:rPr>
        <w:footnoteReference w:id="1816"/>
      </w:r>
      <w:r>
        <w:rPr>
          <w:rFonts w:ascii="IRNazanin" w:hAnsi="IRNazanin" w:eastAsia="IRNazanin"/>
          <w:color w:val="111111"/>
          <w:sz w:val="28"/>
          <w:sz w:val="28"/>
          <w:szCs w:val="28"/>
          <w:rtl w:val="true"/>
          <w:lang w:bidi="fa-IR"/>
        </w:rPr>
        <w:t>واحداً حرم علیه وطؤها أبداً، و لکن لم تخرج عن زوجیّته علی الأقویٰ، فیجری علیها أحکامها من التوارث و حرمة الخامسة و حرمة أُختها معها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علیه نفقتها ما دامت حیّة؛ و إن طلّقها، بل و إن تزوّجت بعد الطلاق علی الأحوط </w:t>
      </w:r>
      <w:r>
        <w:rPr>
          <w:rStyle w:val="FootnoteAnchor"/>
          <w:rtl w:val="true"/>
        </w:rPr>
        <w:footnoteReference w:id="1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علیه دیة الإفضاء و هی دیة النفس فإذا کانت حرّة، فلها نصف دیة الرجل، مضافاً إلی المهر الذی استحقّته بالعقد و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دخل بزوجته بعد إکمال التسع فأفضاها لم تحرم علیه و لم تثبت الدیة، و لکنّ الأحوط </w:t>
      </w:r>
      <w:r>
        <w:rPr>
          <w:rStyle w:val="FootnoteAnchor"/>
          <w:rtl w:val="true"/>
        </w:rPr>
        <w:footnoteReference w:id="1818"/>
      </w:r>
      <w:r>
        <w:rPr>
          <w:rFonts w:ascii="IRNazanin" w:hAnsi="IRNazanin" w:eastAsia="IRNazanin"/>
          <w:color w:val="111111"/>
          <w:sz w:val="28"/>
          <w:sz w:val="28"/>
          <w:szCs w:val="28"/>
          <w:rtl w:val="true"/>
          <w:lang w:bidi="fa-IR"/>
        </w:rPr>
        <w:t>الإنفاق علیها ما دامت حیّة</w:t>
      </w:r>
      <w:r>
        <w:rPr>
          <w:rFonts w:eastAsia="IRNazanin" w:cs="IRNazanin"/>
          <w:color w:val="111111"/>
          <w:sz w:val="28"/>
          <w:szCs w:val="28"/>
          <w:rtl w:val="true"/>
          <w:lang w:bidi="fa-IR"/>
        </w:rPr>
        <w:t>.</w:t>
      </w:r>
    </w:p>
    <w:p>
      <w:pPr>
        <w:pStyle w:val="Heading4"/>
        <w:numPr>
          <w:ilvl w:val="3"/>
          <w:numId w:val="1"/>
        </w:numPr>
        <w:rPr/>
      </w:pPr>
      <w:bookmarkStart w:id="7014" w:name="__RefHeading___Toc2571316_3650668749"/>
      <w:bookmarkStart w:id="7015" w:name="_Toc3167"/>
      <w:bookmarkEnd w:id="7014"/>
      <w:r>
        <w:rPr>
          <w:rtl w:val="true"/>
        </w:rPr>
        <w:t>[ (</w:t>
      </w:r>
      <w:r>
        <w:rPr>
          <w:rtl w:val="true"/>
        </w:rPr>
        <w:t xml:space="preserve">مسألة </w:t>
      </w:r>
      <w:r>
        <w:rPr/>
        <w:t>13</w:t>
      </w:r>
      <w:r>
        <w:rPr>
          <w:rtl w:val="true"/>
        </w:rPr>
        <w:t xml:space="preserve">): </w:t>
      </w:r>
      <w:r>
        <w:rPr>
          <w:rtl w:val="true"/>
        </w:rPr>
        <w:t>لا یجوز ترک وطء الزوجة أکثر من أربعة أشهر إلّا بإذنها</w:t>
      </w:r>
      <w:r>
        <w:rPr>
          <w:rtl w:val="true"/>
        </w:rPr>
        <w:t>]</w:t>
      </w:r>
      <w:bookmarkEnd w:id="7015"/>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ترک وطء الزوجة أکثر من أربعة أشهر إلّا بإذنها؛ حتّی المنقطعة علی الأحوط </w:t>
      </w:r>
      <w:r>
        <w:rPr>
          <w:rStyle w:val="FootnoteAnchor"/>
          <w:rtl w:val="true"/>
        </w:rPr>
        <w:footnoteReference w:id="1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یختصّ الحکم بصورة عدم العذر، و أمّا معه فیجوز الترک مطلقاً ما دام وجود العذر، کما إذا خیف الضرر علیه أو علیها، و من العذر عدم المیل المانع عن انتشار 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یختصّ الحکم بالحاضر، فلا بأس علی المسافر و إن طال سفره أو یعمّهما، فلا یجوز للمسافر إطالة سفره أزید من أربعة أشهر، بل یجب علیه مع عدم العذر الحضور لإیفاء حقّ زوجته؟ قولان، أظهرهما الأوّل، لکن بشرط کون السفر ضروریّاً و لو عرفاً</w:t>
      </w:r>
      <w:r>
        <w:rPr>
          <w:rFonts w:eastAsia="IRNazanin" w:cs="IRNazanin"/>
          <w:color w:val="111111"/>
          <w:sz w:val="28"/>
          <w:szCs w:val="28"/>
          <w:rtl w:val="true"/>
          <w:lang w:bidi="fa-IR"/>
        </w:rPr>
        <w:t>-</w:t>
      </w:r>
      <w:bookmarkStart w:id="7016" w:name="pg1809_19844"/>
    </w:p>
    <w:p>
      <w:pPr>
        <w:pStyle w:val="BookText"/>
        <w:rPr/>
      </w:pPr>
      <w:bookmarkEnd w:id="7016"/>
      <w:r>
        <w:rPr>
          <w:rFonts w:ascii="IRNazanin" w:hAnsi="IRNazanin" w:eastAsia="IRNazanin"/>
          <w:color w:val="111111"/>
          <w:sz w:val="28"/>
          <w:sz w:val="28"/>
          <w:szCs w:val="28"/>
          <w:rtl w:val="true"/>
          <w:lang w:bidi="fa-IR"/>
        </w:rPr>
        <w:t xml:space="preserve">کسفر تجارة أو زیارة أو تحصیل علم و نحو ذلک، دون </w:t>
      </w:r>
      <w:r>
        <w:rPr>
          <w:rStyle w:val="FootnoteAnchor"/>
          <w:rtl w:val="true"/>
        </w:rPr>
        <w:footnoteReference w:id="1820"/>
      </w:r>
      <w:r>
        <w:rPr>
          <w:rFonts w:ascii="IRNazanin" w:hAnsi="IRNazanin" w:eastAsia="IRNazanin"/>
          <w:color w:val="111111"/>
          <w:sz w:val="28"/>
          <w:sz w:val="28"/>
          <w:szCs w:val="28"/>
          <w:rtl w:val="true"/>
          <w:lang w:bidi="fa-IR"/>
        </w:rPr>
        <w:t>ما کان لمجرّد المیل و الأُنس و التفرّج و نحو ذلک</w:t>
      </w:r>
      <w:r>
        <w:rPr>
          <w:rFonts w:eastAsia="IRNazanin" w:cs="IRNazanin"/>
          <w:color w:val="111111"/>
          <w:sz w:val="28"/>
          <w:szCs w:val="28"/>
          <w:rtl w:val="true"/>
          <w:lang w:bidi="fa-IR"/>
        </w:rPr>
        <w:t>.</w:t>
      </w:r>
    </w:p>
    <w:p>
      <w:pPr>
        <w:pStyle w:val="Heading4"/>
        <w:numPr>
          <w:ilvl w:val="3"/>
          <w:numId w:val="1"/>
        </w:numPr>
        <w:rPr/>
      </w:pPr>
      <w:bookmarkStart w:id="7017" w:name="__RefHeading___Toc2571318_3650668749"/>
      <w:bookmarkStart w:id="7018" w:name="_Toc3168"/>
      <w:bookmarkEnd w:id="7017"/>
      <w:r>
        <w:rPr>
          <w:rtl w:val="true"/>
        </w:rPr>
        <w:t>[ (</w:t>
      </w:r>
      <w:r>
        <w:rPr>
          <w:rtl w:val="true"/>
        </w:rPr>
        <w:t xml:space="preserve">مسألة </w:t>
      </w:r>
      <w:r>
        <w:rPr/>
        <w:t>14</w:t>
      </w:r>
      <w:r>
        <w:rPr>
          <w:rtl w:val="true"/>
        </w:rPr>
        <w:t xml:space="preserve">): </w:t>
      </w:r>
      <w:r>
        <w:rPr>
          <w:rtl w:val="true"/>
        </w:rPr>
        <w:t>لا إشکال فی جواز العزل، و هو إخراج الآلة عند الإنزال و إفراغ المنیّ إلی الخارج</w:t>
      </w:r>
      <w:r>
        <w:rPr>
          <w:rtl w:val="true"/>
        </w:rPr>
        <w:t>]</w:t>
      </w:r>
      <w:bookmarkEnd w:id="70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العزل، و هو إخراج الآلة عند الإنزال و إفراغ المنیّ إلی الخارج فی غیر الزوجة الدائمة الحرّة، و کذا فیها مع إذنها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فیها بدون إذنها ففیه قولان، أشهرهما الجواز مع الکراهة </w:t>
      </w:r>
      <w:r>
        <w:rPr>
          <w:rStyle w:val="FootnoteAnchor"/>
          <w:rtl w:val="true"/>
        </w:rPr>
        <w:footnoteReference w:id="1821"/>
      </w:r>
      <w:r>
        <w:rPr>
          <w:rFonts w:ascii="IRNazanin" w:hAnsi="IRNazanin" w:eastAsia="IRNazanin"/>
          <w:color w:val="111111"/>
          <w:sz w:val="28"/>
          <w:sz w:val="28"/>
          <w:szCs w:val="28"/>
          <w:rtl w:val="true"/>
          <w:lang w:bidi="fa-IR"/>
        </w:rPr>
        <w:t>و هو الأقویٰ، کما أنّ الأقویٰ عدم وجوب دیة النطفة علیه و إن قلنا بالحرمة، و قیل بوجوبها علیه للزوجة؛ و هی عشرة دنانیر، و هو ضعیف فی الغایة</w:t>
      </w:r>
      <w:r>
        <w:rPr>
          <w:rFonts w:eastAsia="IRNazanin" w:cs="IRNazanin"/>
          <w:color w:val="111111"/>
          <w:sz w:val="28"/>
          <w:szCs w:val="28"/>
          <w:rtl w:val="true"/>
          <w:lang w:bidi="fa-IR"/>
        </w:rPr>
        <w:t>.</w:t>
      </w:r>
    </w:p>
    <w:p>
      <w:pPr>
        <w:pStyle w:val="Heading4"/>
        <w:numPr>
          <w:ilvl w:val="3"/>
          <w:numId w:val="1"/>
        </w:numPr>
        <w:rPr/>
      </w:pPr>
      <w:bookmarkStart w:id="7019" w:name="__RefHeading___Toc2571320_3650668749"/>
      <w:bookmarkStart w:id="7020" w:name="_Toc3169"/>
      <w:bookmarkEnd w:id="7019"/>
      <w:r>
        <w:rPr>
          <w:rtl w:val="true"/>
        </w:rPr>
        <w:t>[ (</w:t>
      </w:r>
      <w:r>
        <w:rPr>
          <w:rtl w:val="true"/>
        </w:rPr>
        <w:t xml:space="preserve">مسألة </w:t>
      </w:r>
      <w:r>
        <w:rPr/>
        <w:t>15</w:t>
      </w:r>
      <w:r>
        <w:rPr>
          <w:rtl w:val="true"/>
        </w:rPr>
        <w:t xml:space="preserve">): </w:t>
      </w:r>
      <w:r>
        <w:rPr>
          <w:rtl w:val="true"/>
        </w:rPr>
        <w:t>یجوز لکلّ من الزوج و الزوجة النظر إلیٰ جسد الآخر</w:t>
      </w:r>
      <w:r>
        <w:rPr>
          <w:rtl w:val="true"/>
        </w:rPr>
        <w:t>]</w:t>
      </w:r>
      <w:bookmarkEnd w:id="70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لکلّ من الزوج و الزوجة النظر إلیٰ جسد الآخر؛ ظاهره و باطنه حتّی العورة، و کذا مسّ کلّ منهما بکلّ عضو منه کلّ عضو من الآخر مع التلذّذ و بدونه</w:t>
      </w:r>
      <w:r>
        <w:rPr>
          <w:rFonts w:eastAsia="IRNazanin" w:cs="IRNazanin"/>
          <w:color w:val="111111"/>
          <w:sz w:val="28"/>
          <w:szCs w:val="28"/>
          <w:rtl w:val="true"/>
          <w:lang w:bidi="fa-IR"/>
        </w:rPr>
        <w:t>.</w:t>
      </w:r>
    </w:p>
    <w:p>
      <w:pPr>
        <w:pStyle w:val="Heading4"/>
        <w:numPr>
          <w:ilvl w:val="3"/>
          <w:numId w:val="1"/>
        </w:numPr>
        <w:rPr/>
      </w:pPr>
      <w:bookmarkStart w:id="7021" w:name="__RefHeading___Toc2571322_3650668749"/>
      <w:bookmarkStart w:id="7022" w:name="_Toc3170"/>
      <w:bookmarkEnd w:id="7021"/>
      <w:r>
        <w:rPr>
          <w:rtl w:val="true"/>
        </w:rPr>
        <w:t>[ (</w:t>
      </w:r>
      <w:r>
        <w:rPr>
          <w:rtl w:val="true"/>
        </w:rPr>
        <w:t xml:space="preserve">مسألة </w:t>
      </w:r>
      <w:r>
        <w:rPr/>
        <w:t>16</w:t>
      </w:r>
      <w:r>
        <w:rPr>
          <w:rtl w:val="true"/>
        </w:rPr>
        <w:t xml:space="preserve">): </w:t>
      </w:r>
      <w:r>
        <w:rPr>
          <w:rtl w:val="true"/>
        </w:rPr>
        <w:t>لا إشکال فی جواز نظر الرجل إلیٰ ما عدا العورة من مماثله</w:t>
      </w:r>
      <w:r>
        <w:rPr>
          <w:rtl w:val="true"/>
        </w:rPr>
        <w:t>]</w:t>
      </w:r>
      <w:bookmarkEnd w:id="70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نظر الرجل إلیٰ ما عدا العورة من مماثله؛ شیخاً کان المنظور إلیه أو شابّاً، حسن الصورة أو قبیحها، ما لم یکن بتلذّذ و ریبة و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القبل و الدبر و البیضتان کما سبق فی أحکام التخلّی من کتاب الطهارة و کذا لا إشکال فی جواز نظر المرأة إلیٰ ما عدا العورة من مماثلها، و أمّا عورتها فیحرم أن تنظر إلیها کالرجل</w:t>
      </w:r>
      <w:r>
        <w:rPr>
          <w:rFonts w:eastAsia="IRNazanin" w:cs="IRNazanin"/>
          <w:color w:val="111111"/>
          <w:sz w:val="28"/>
          <w:szCs w:val="28"/>
          <w:rtl w:val="true"/>
          <w:lang w:bidi="fa-IR"/>
        </w:rPr>
        <w:t>.</w:t>
      </w:r>
    </w:p>
    <w:p>
      <w:pPr>
        <w:pStyle w:val="Heading4"/>
        <w:numPr>
          <w:ilvl w:val="3"/>
          <w:numId w:val="1"/>
        </w:numPr>
        <w:rPr/>
      </w:pPr>
      <w:bookmarkStart w:id="7023" w:name="__RefHeading___Toc2571324_3650668749"/>
      <w:bookmarkStart w:id="7024" w:name="_Toc3171"/>
      <w:bookmarkEnd w:id="7023"/>
      <w:r>
        <w:rPr>
          <w:rtl w:val="true"/>
        </w:rPr>
        <w:t>[ (</w:t>
      </w:r>
      <w:r>
        <w:rPr>
          <w:rtl w:val="true"/>
        </w:rPr>
        <w:t xml:space="preserve">مسألة </w:t>
      </w:r>
      <w:r>
        <w:rPr/>
        <w:t>17</w:t>
      </w:r>
      <w:r>
        <w:rPr>
          <w:rtl w:val="true"/>
        </w:rPr>
        <w:t xml:space="preserve">): </w:t>
      </w:r>
      <w:r>
        <w:rPr>
          <w:rtl w:val="true"/>
        </w:rPr>
        <w:t>یجوز للرجل أن ینظر إلیٰ جسد محارمه ما عدا العورة</w:t>
      </w:r>
      <w:r>
        <w:rPr>
          <w:rtl w:val="true"/>
        </w:rPr>
        <w:t>]</w:t>
      </w:r>
      <w:bookmarkEnd w:id="70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للرجل أن ینظر إلیٰ جسد محارمه ما عدا العورة إذا لم یکن مع تلذّذ و 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بالمحارم من یحرم علیه نکاحهنّ من جهة النسب أو الرضاع أو 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لهنّ النظر إلیٰ ما عدا العورة من جسده بدون تلذّذ أو ریبة</w:t>
      </w:r>
      <w:r>
        <w:rPr>
          <w:rFonts w:eastAsia="IRNazanin" w:cs="IRNazanin"/>
          <w:color w:val="111111"/>
          <w:sz w:val="28"/>
          <w:szCs w:val="28"/>
          <w:rtl w:val="true"/>
          <w:lang w:bidi="fa-IR"/>
        </w:rPr>
        <w:t>.</w:t>
      </w:r>
    </w:p>
    <w:p>
      <w:pPr>
        <w:pStyle w:val="Heading4"/>
        <w:numPr>
          <w:ilvl w:val="3"/>
          <w:numId w:val="1"/>
        </w:numPr>
        <w:rPr/>
      </w:pPr>
      <w:bookmarkStart w:id="7025" w:name="__RefHeading___Toc2571326_3650668749"/>
      <w:bookmarkStart w:id="7026" w:name="_Toc3172"/>
      <w:bookmarkEnd w:id="7025"/>
      <w:r>
        <w:rPr>
          <w:rtl w:val="true"/>
        </w:rPr>
        <w:t>[ (</w:t>
      </w:r>
      <w:r>
        <w:rPr>
          <w:rtl w:val="true"/>
        </w:rPr>
        <w:t xml:space="preserve">مسألة </w:t>
      </w:r>
      <w:r>
        <w:rPr/>
        <w:t>18</w:t>
      </w:r>
      <w:r>
        <w:rPr>
          <w:rtl w:val="true"/>
        </w:rPr>
        <w:t xml:space="preserve">): </w:t>
      </w:r>
      <w:r>
        <w:rPr>
          <w:rtl w:val="true"/>
        </w:rPr>
        <w:t>لا إشکال فی عدم جواز نظر الرجل إلیٰ ما عدا الوجه و الکفّین من المرأة الأجنبیّة</w:t>
      </w:r>
      <w:r>
        <w:rPr>
          <w:rtl w:val="true"/>
        </w:rPr>
        <w:t>]</w:t>
      </w:r>
      <w:bookmarkEnd w:id="7026"/>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عدم جواز نظر الرجل إلیٰ ما عدا الوجه و الکفّین من المرأة الأجنبیّة من شعرها و سائر جسدها؛ سواء کان فیه تلذّذ و ریبة أم لا، و کذا الوجه و الکفّان إذا کان بتلذّذ و ریبة، و أمّا بدونها ففیه قولان، بل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مطلقاً و عدمه مطلقاً و التفصیل بین نظرة واحدة فالأوّل و تکرار النظر فالثانی، و أحوط الأقوال، بل أقواها </w:t>
      </w:r>
      <w:r>
        <w:rPr>
          <w:rStyle w:val="FootnoteAnchor"/>
          <w:rtl w:val="true"/>
        </w:rPr>
        <w:footnoteReference w:id="1822"/>
      </w:r>
      <w:r>
        <w:rPr>
          <w:rFonts w:ascii="IRNazanin" w:hAnsi="IRNazanin" w:eastAsia="IRNazanin"/>
          <w:color w:val="111111"/>
          <w:sz w:val="28"/>
          <w:sz w:val="28"/>
          <w:szCs w:val="28"/>
          <w:rtl w:val="true"/>
          <w:lang w:bidi="fa-IR"/>
        </w:rPr>
        <w:t>أوسطها</w:t>
      </w:r>
      <w:r>
        <w:rPr>
          <w:rFonts w:eastAsia="IRNazanin" w:cs="IRNazanin"/>
          <w:color w:val="111111"/>
          <w:sz w:val="28"/>
          <w:szCs w:val="28"/>
          <w:rtl w:val="true"/>
          <w:lang w:bidi="fa-IR"/>
        </w:rPr>
        <w:t>.</w:t>
      </w:r>
      <w:bookmarkStart w:id="7027" w:name="pg1809_19846"/>
    </w:p>
    <w:p>
      <w:pPr>
        <w:pStyle w:val="Heading4"/>
        <w:numPr>
          <w:ilvl w:val="3"/>
          <w:numId w:val="1"/>
        </w:numPr>
        <w:rPr/>
      </w:pPr>
      <w:bookmarkStart w:id="7028" w:name="__RefHeading___Toc2571328_3650668749"/>
      <w:bookmarkStart w:id="7029" w:name="_Toc3173"/>
      <w:bookmarkEnd w:id="7027"/>
      <w:bookmarkEnd w:id="7028"/>
      <w:r>
        <w:rPr>
          <w:rtl w:val="true"/>
        </w:rPr>
        <w:t>[ (</w:t>
      </w:r>
      <w:r>
        <w:rPr>
          <w:rtl w:val="true"/>
        </w:rPr>
        <w:t xml:space="preserve">مسألة </w:t>
      </w:r>
      <w:r>
        <w:rPr/>
        <w:t>19</w:t>
      </w:r>
      <w:r>
        <w:rPr>
          <w:rtl w:val="true"/>
        </w:rPr>
        <w:t xml:space="preserve">): </w:t>
      </w:r>
      <w:r>
        <w:rPr>
          <w:rtl w:val="true"/>
        </w:rPr>
        <w:t>لا یجوز للمرأة النظر إلی الأجنبیّ کالعکس</w:t>
      </w:r>
      <w:r>
        <w:rPr>
          <w:rtl w:val="true"/>
        </w:rPr>
        <w:t>]</w:t>
      </w:r>
      <w:bookmarkEnd w:id="70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للمرأة النظر إلی الأجنبیّ کالعکس، و استثناء الوجه و الکفّین فیه أشکل </w:t>
      </w:r>
      <w:r>
        <w:rPr>
          <w:rStyle w:val="FootnoteAnchor"/>
          <w:rtl w:val="true"/>
        </w:rPr>
        <w:footnoteReference w:id="1823"/>
      </w:r>
      <w:r>
        <w:rPr>
          <w:rFonts w:ascii="IRNazanin" w:hAnsi="IRNazanin" w:eastAsia="IRNazanin"/>
          <w:color w:val="111111"/>
          <w:sz w:val="28"/>
          <w:sz w:val="28"/>
          <w:szCs w:val="28"/>
          <w:rtl w:val="true"/>
          <w:lang w:bidi="fa-IR"/>
        </w:rPr>
        <w:t>منه فی العکس</w:t>
      </w:r>
      <w:r>
        <w:rPr>
          <w:rFonts w:eastAsia="IRNazanin" w:cs="IRNazanin"/>
          <w:color w:val="111111"/>
          <w:sz w:val="28"/>
          <w:szCs w:val="28"/>
          <w:rtl w:val="true"/>
          <w:lang w:bidi="fa-IR"/>
        </w:rPr>
        <w:t>.</w:t>
      </w:r>
    </w:p>
    <w:p>
      <w:pPr>
        <w:pStyle w:val="Heading4"/>
        <w:numPr>
          <w:ilvl w:val="3"/>
          <w:numId w:val="1"/>
        </w:numPr>
        <w:rPr/>
      </w:pPr>
      <w:bookmarkStart w:id="7030" w:name="__RefHeading___Toc2571330_3650668749"/>
      <w:bookmarkStart w:id="7031" w:name="_Toc3174"/>
      <w:bookmarkEnd w:id="7030"/>
      <w:r>
        <w:rPr>
          <w:rtl w:val="true"/>
        </w:rPr>
        <w:t>[ (</w:t>
      </w:r>
      <w:r>
        <w:rPr>
          <w:rtl w:val="true"/>
        </w:rPr>
        <w:t xml:space="preserve">مسألة </w:t>
      </w:r>
      <w:r>
        <w:rPr/>
        <w:t>20</w:t>
      </w:r>
      <w:r>
        <w:rPr>
          <w:rtl w:val="true"/>
        </w:rPr>
        <w:t xml:space="preserve">): </w:t>
      </w:r>
      <w:r>
        <w:rPr>
          <w:rtl w:val="true"/>
        </w:rPr>
        <w:t>کلّ من یحرم النظر إلیه یحرم مسّه</w:t>
      </w:r>
      <w:r>
        <w:rPr>
          <w:rtl w:val="true"/>
        </w:rPr>
        <w:t>]</w:t>
      </w:r>
      <w:bookmarkEnd w:id="70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یحرم النظر إلیه یحرم مسّه، فلا یجوز مسّ الأجنبی الأجنبیّة و بالعکس، بل لو قلنا بجواز النظر إلی الوجه و الکفّین من الأجنبیّة لم نقل بجواز مسّهما منها، فلا یجوز للرجل مصافحتها، نعم لا بأس بها من وراء الثوب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32" w:name="__RefHeading___Toc2571332_3650668749"/>
      <w:bookmarkStart w:id="7033" w:name="_Toc3175"/>
      <w:bookmarkEnd w:id="7032"/>
      <w:r>
        <w:rPr>
          <w:rtl w:val="true"/>
        </w:rPr>
        <w:t>[ (</w:t>
      </w:r>
      <w:r>
        <w:rPr>
          <w:rtl w:val="true"/>
        </w:rPr>
        <w:t xml:space="preserve">مسألة </w:t>
      </w:r>
      <w:r>
        <w:rPr/>
        <w:t>21</w:t>
      </w:r>
      <w:r>
        <w:rPr>
          <w:rtl w:val="true"/>
        </w:rPr>
        <w:t xml:space="preserve">): </w:t>
      </w:r>
      <w:r>
        <w:rPr>
          <w:rtl w:val="true"/>
        </w:rPr>
        <w:t>لا یجوز النظر إلی العضو المبان من الأجنبیّ و الأجنبیّة</w:t>
      </w:r>
      <w:r>
        <w:rPr>
          <w:rtl w:val="true"/>
        </w:rPr>
        <w:t>]</w:t>
      </w:r>
      <w:bookmarkEnd w:id="70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النظر إلی العضو المبان من الأجنبیّ و الأجنبیّة، نعم الظاهر أنّه لا بأس بالنظر إلی السنّ و الظفر و الشعر </w:t>
      </w:r>
      <w:r>
        <w:rPr>
          <w:rStyle w:val="FootnoteAnchor"/>
          <w:rtl w:val="true"/>
        </w:rPr>
        <w:footnoteReference w:id="1825"/>
      </w:r>
      <w:r>
        <w:rPr>
          <w:rFonts w:ascii="IRNazanin" w:hAnsi="IRNazanin" w:eastAsia="IRNazanin"/>
          <w:color w:val="111111"/>
          <w:sz w:val="28"/>
          <w:sz w:val="28"/>
          <w:szCs w:val="28"/>
          <w:rtl w:val="true"/>
          <w:lang w:bidi="fa-IR"/>
        </w:rPr>
        <w:t>المنفصلات</w:t>
      </w:r>
      <w:r>
        <w:rPr>
          <w:rFonts w:eastAsia="IRNazanin" w:cs="IRNazanin"/>
          <w:color w:val="111111"/>
          <w:sz w:val="28"/>
          <w:szCs w:val="28"/>
          <w:rtl w:val="true"/>
          <w:lang w:bidi="fa-IR"/>
        </w:rPr>
        <w:t>.</w:t>
      </w:r>
    </w:p>
    <w:p>
      <w:pPr>
        <w:pStyle w:val="Heading4"/>
        <w:numPr>
          <w:ilvl w:val="3"/>
          <w:numId w:val="1"/>
        </w:numPr>
        <w:rPr/>
      </w:pPr>
      <w:bookmarkStart w:id="7034" w:name="__RefHeading___Toc2571334_3650668749"/>
      <w:bookmarkStart w:id="7035" w:name="_Toc3176"/>
      <w:bookmarkEnd w:id="7034"/>
      <w:r>
        <w:rPr>
          <w:rtl w:val="true"/>
        </w:rPr>
        <w:t>[ (</w:t>
      </w:r>
      <w:r>
        <w:rPr>
          <w:rtl w:val="true"/>
        </w:rPr>
        <w:t xml:space="preserve">مسألة </w:t>
      </w:r>
      <w:r>
        <w:rPr/>
        <w:t>22</w:t>
      </w:r>
      <w:r>
        <w:rPr>
          <w:rtl w:val="true"/>
        </w:rPr>
        <w:t xml:space="preserve">): </w:t>
      </w:r>
      <w:r>
        <w:rPr>
          <w:rtl w:val="true"/>
        </w:rPr>
        <w:t>یستثنیٰ من حرمة النظر و اللمس فی الأجنبی و الأجنبیّة مقام المعالجة</w:t>
      </w:r>
      <w:r>
        <w:rPr>
          <w:rtl w:val="true"/>
        </w:rPr>
        <w:t>]</w:t>
      </w:r>
      <w:bookmarkEnd w:id="70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یستثنیٰ من حرمة النظر و اللمس فی الأجنبی و الأجنبیّة مقام المعالجة إذا لم یمکن بالمماثل کمعرفة النبض </w:t>
      </w:r>
      <w:r>
        <w:rPr>
          <w:rStyle w:val="FootnoteAnchor"/>
          <w:rtl w:val="true"/>
        </w:rPr>
        <w:footnoteReference w:id="1826"/>
      </w:r>
      <w:r>
        <w:rPr>
          <w:rFonts w:ascii="IRNazanin" w:hAnsi="IRNazanin" w:eastAsia="IRNazanin"/>
          <w:color w:val="111111"/>
          <w:sz w:val="28"/>
          <w:sz w:val="28"/>
          <w:szCs w:val="28"/>
          <w:rtl w:val="true"/>
          <w:lang w:bidi="fa-IR"/>
        </w:rPr>
        <w:t>و الفَصد و الحجامة و جبر الکسر و نحو ذلک، و مقام الضرورة کما إذا توقّف استنقاذه من الغرق أو الحرق علی النظر و اللمس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اقتضت الضرورة أو توقّف العلاج علی النظر دون اللمس أو العکس اقتصر </w:t>
      </w:r>
      <w:r>
        <w:rPr>
          <w:rStyle w:val="FootnoteAnchor"/>
          <w:rtl w:val="true"/>
        </w:rPr>
        <w:footnoteReference w:id="1827"/>
      </w:r>
      <w:r>
        <w:rPr>
          <w:rFonts w:ascii="IRNazanin" w:hAnsi="IRNazanin" w:eastAsia="IRNazanin"/>
          <w:color w:val="111111"/>
          <w:sz w:val="28"/>
          <w:sz w:val="28"/>
          <w:szCs w:val="28"/>
          <w:rtl w:val="true"/>
          <w:lang w:bidi="fa-IR"/>
        </w:rPr>
        <w:t>علیٰ ما اضطرّ إلیه فلا یجوز الآخر</w:t>
      </w:r>
      <w:r>
        <w:rPr>
          <w:rFonts w:eastAsia="IRNazanin" w:cs="IRNazanin"/>
          <w:color w:val="111111"/>
          <w:sz w:val="28"/>
          <w:szCs w:val="28"/>
          <w:rtl w:val="true"/>
          <w:lang w:bidi="fa-IR"/>
        </w:rPr>
        <w:t>.</w:t>
      </w:r>
    </w:p>
    <w:p>
      <w:pPr>
        <w:pStyle w:val="Heading4"/>
        <w:numPr>
          <w:ilvl w:val="3"/>
          <w:numId w:val="1"/>
        </w:numPr>
        <w:rPr/>
      </w:pPr>
      <w:bookmarkStart w:id="7036" w:name="__RefHeading___Toc2571336_3650668749"/>
      <w:bookmarkStart w:id="7037" w:name="_Toc3177"/>
      <w:bookmarkEnd w:id="7036"/>
      <w:r>
        <w:rPr>
          <w:rtl w:val="true"/>
        </w:rPr>
        <w:t>[ (</w:t>
      </w:r>
      <w:r>
        <w:rPr>
          <w:rtl w:val="true"/>
        </w:rPr>
        <w:t xml:space="preserve">مسألة </w:t>
      </w:r>
      <w:r>
        <w:rPr/>
        <w:t>23</w:t>
      </w:r>
      <w:r>
        <w:rPr>
          <w:rtl w:val="true"/>
        </w:rPr>
        <w:t xml:space="preserve">): </w:t>
      </w:r>
      <w:r>
        <w:rPr>
          <w:rtl w:val="true"/>
        </w:rPr>
        <w:t>و کما یحرم علی الرجل النظر إلی الأجنبیّة</w:t>
      </w:r>
      <w:r>
        <w:rPr>
          <w:rtl w:val="true"/>
        </w:rPr>
        <w:t>]</w:t>
      </w:r>
      <w:bookmarkEnd w:id="70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یحرم علی الرجل النظر إلی الأجنبیّة یجب علیها التستّر من الأجانب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یجب علی الرجال التستّر و إن کان یحرم علی النساء </w:t>
      </w:r>
      <w:r>
        <w:rPr>
          <w:rStyle w:val="FootnoteAnchor"/>
          <w:rtl w:val="true"/>
        </w:rPr>
        <w:footnoteReference w:id="1828"/>
      </w:r>
      <w:r>
        <w:rPr>
          <w:rFonts w:ascii="IRNazanin" w:hAnsi="IRNazanin" w:eastAsia="IRNazanin"/>
          <w:color w:val="111111"/>
          <w:sz w:val="28"/>
          <w:sz w:val="28"/>
          <w:szCs w:val="28"/>
          <w:rtl w:val="true"/>
          <w:lang w:bidi="fa-IR"/>
        </w:rPr>
        <w:t xml:space="preserve">النظر إلیهم، نعم إذا علموا بأنّ النساء یتعمّدن فی النظر إلیهم یجب علیهم </w:t>
      </w:r>
      <w:r>
        <w:rPr>
          <w:rStyle w:val="FootnoteAnchor"/>
          <w:rtl w:val="true"/>
        </w:rPr>
        <w:footnoteReference w:id="1829"/>
      </w:r>
      <w:r>
        <w:rPr>
          <w:rFonts w:ascii="IRNazanin" w:hAnsi="IRNazanin" w:eastAsia="IRNazanin"/>
          <w:color w:val="111111"/>
          <w:sz w:val="28"/>
          <w:sz w:val="28"/>
          <w:szCs w:val="28"/>
          <w:rtl w:val="true"/>
          <w:lang w:bidi="fa-IR"/>
        </w:rPr>
        <w:t>التستّر منهنّ من باب حرمة الإعانة علی الإثم</w:t>
      </w:r>
      <w:r>
        <w:rPr>
          <w:rFonts w:eastAsia="IRNazanin" w:cs="IRNazanin"/>
          <w:color w:val="111111"/>
          <w:sz w:val="28"/>
          <w:szCs w:val="28"/>
          <w:rtl w:val="true"/>
          <w:lang w:bidi="fa-IR"/>
        </w:rPr>
        <w:t>.</w:t>
      </w:r>
    </w:p>
    <w:p>
      <w:pPr>
        <w:pStyle w:val="Heading4"/>
        <w:numPr>
          <w:ilvl w:val="3"/>
          <w:numId w:val="1"/>
        </w:numPr>
        <w:rPr/>
      </w:pPr>
      <w:bookmarkStart w:id="7038" w:name="__RefHeading___Toc2571338_3650668749"/>
      <w:bookmarkStart w:id="7039" w:name="_Toc3178"/>
      <w:bookmarkEnd w:id="7038"/>
      <w:r>
        <w:rPr>
          <w:rtl w:val="true"/>
        </w:rPr>
        <w:t>[ (</w:t>
      </w:r>
      <w:r>
        <w:rPr>
          <w:rtl w:val="true"/>
        </w:rPr>
        <w:t xml:space="preserve">مسألة </w:t>
      </w:r>
      <w:r>
        <w:rPr/>
        <w:t>24</w:t>
      </w:r>
      <w:r>
        <w:rPr>
          <w:rtl w:val="true"/>
        </w:rPr>
        <w:t xml:space="preserve">): </w:t>
      </w:r>
      <w:r>
        <w:rPr>
          <w:rtl w:val="true"/>
        </w:rPr>
        <w:t>لا إشکال فی أنّ الغیر الممیّز من الصبیّ و الصبیّة خارج عن أحکام النظر و اللمس</w:t>
      </w:r>
      <w:r>
        <w:rPr>
          <w:rtl w:val="true"/>
        </w:rPr>
        <w:t>]</w:t>
      </w:r>
      <w:bookmarkEnd w:id="70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أنّ الغیر الممیّز من الصبیّ و الصبیّة خارج عن أحکام النظر و اللمس </w:t>
      </w:r>
      <w:r>
        <w:rPr>
          <w:rStyle w:val="FootnoteAnchor"/>
          <w:rtl w:val="true"/>
        </w:rPr>
        <w:footnoteReference w:id="1830"/>
      </w:r>
      <w:r>
        <w:rPr>
          <w:rFonts w:ascii="IRNazanin" w:hAnsi="IRNazanin" w:eastAsia="IRNazanin"/>
          <w:color w:val="111111"/>
          <w:sz w:val="28"/>
          <w:sz w:val="28"/>
          <w:szCs w:val="28"/>
          <w:rtl w:val="true"/>
          <w:lang w:bidi="fa-IR"/>
        </w:rPr>
        <w:t>و التستّر، بل هو بمنزلة سائر الحیوانات</w:t>
      </w:r>
      <w:r>
        <w:rPr>
          <w:rFonts w:eastAsia="IRNazanin" w:cs="IRNazanin"/>
          <w:color w:val="111111"/>
          <w:sz w:val="28"/>
          <w:szCs w:val="28"/>
          <w:rtl w:val="true"/>
          <w:lang w:bidi="fa-IR"/>
        </w:rPr>
        <w:t>.</w:t>
      </w:r>
    </w:p>
    <w:p>
      <w:pPr>
        <w:pStyle w:val="Heading4"/>
        <w:numPr>
          <w:ilvl w:val="3"/>
          <w:numId w:val="1"/>
        </w:numPr>
        <w:rPr/>
      </w:pPr>
      <w:bookmarkStart w:id="7040" w:name="__RefHeading___Toc2571340_3650668749"/>
      <w:bookmarkStart w:id="7041" w:name="_Toc3179"/>
      <w:bookmarkEnd w:id="7040"/>
      <w:r>
        <w:rPr>
          <w:rtl w:val="true"/>
        </w:rPr>
        <w:t>[ (</w:t>
      </w:r>
      <w:r>
        <w:rPr>
          <w:rtl w:val="true"/>
        </w:rPr>
        <w:t xml:space="preserve">مسألة </w:t>
      </w:r>
      <w:r>
        <w:rPr/>
        <w:t>25</w:t>
      </w:r>
      <w:r>
        <w:rPr>
          <w:rtl w:val="true"/>
        </w:rPr>
        <w:t xml:space="preserve">): </w:t>
      </w:r>
      <w:r>
        <w:rPr>
          <w:rtl w:val="true"/>
        </w:rPr>
        <w:t>یجوز للرجل أن ینظر إلی الصبیّة ما لم تبلغ</w:t>
      </w:r>
      <w:r>
        <w:rPr>
          <w:rtl w:val="true"/>
        </w:rPr>
        <w:t>]</w:t>
      </w:r>
      <w:bookmarkEnd w:id="7041"/>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للرجل أن ینظر إلی الصبیّة ما لم تبلغ؛ إذا لم یکن فیه تلذّذ و شهوة،</w:t>
      </w:r>
      <w:bookmarkStart w:id="7042" w:name="pg1809_19848"/>
    </w:p>
    <w:p>
      <w:pPr>
        <w:pStyle w:val="BookText"/>
        <w:rPr/>
      </w:pPr>
      <w:bookmarkEnd w:id="7042"/>
      <w:r>
        <w:rPr>
          <w:rFonts w:ascii="IRNazanin" w:hAnsi="IRNazanin" w:eastAsia="IRNazanin"/>
          <w:color w:val="111111"/>
          <w:sz w:val="28"/>
          <w:sz w:val="28"/>
          <w:szCs w:val="28"/>
          <w:rtl w:val="true"/>
          <w:lang w:bidi="fa-IR"/>
        </w:rPr>
        <w:t xml:space="preserve">نعم الأحوط </w:t>
      </w:r>
      <w:r>
        <w:rPr>
          <w:rStyle w:val="FootnoteAnchor"/>
          <w:rtl w:val="true"/>
        </w:rPr>
        <w:footnoteReference w:id="1831"/>
      </w:r>
      <w:r>
        <w:rPr>
          <w:rFonts w:ascii="IRNazanin" w:hAnsi="IRNazanin" w:eastAsia="IRNazanin"/>
          <w:color w:val="111111"/>
          <w:sz w:val="28"/>
          <w:sz w:val="28"/>
          <w:szCs w:val="28"/>
          <w:rtl w:val="true"/>
          <w:lang w:bidi="fa-IR"/>
        </w:rPr>
        <w:t>الاقتصار علیٰ مواضع لم تجر العادة علیٰ سترها بالألبسة المتعارفة مثل الوجه و الکفّین و شعر الرأس و الذراعین و القدمین، لا مثل الفخذ و الألیین و الظهر و الصدر و الثدیین، و کذا الأحوط عدم تقبیلها و عدم وضعها فی حجره إذا بلغت ستّ سنین</w:t>
      </w:r>
      <w:r>
        <w:rPr>
          <w:rFonts w:eastAsia="IRNazanin" w:cs="IRNazanin"/>
          <w:color w:val="111111"/>
          <w:sz w:val="28"/>
          <w:szCs w:val="28"/>
          <w:rtl w:val="true"/>
          <w:lang w:bidi="fa-IR"/>
        </w:rPr>
        <w:t>.</w:t>
      </w:r>
    </w:p>
    <w:p>
      <w:pPr>
        <w:pStyle w:val="Heading4"/>
        <w:numPr>
          <w:ilvl w:val="3"/>
          <w:numId w:val="1"/>
        </w:numPr>
        <w:rPr/>
      </w:pPr>
      <w:bookmarkStart w:id="7043" w:name="__RefHeading___Toc2571342_3650668749"/>
      <w:bookmarkStart w:id="7044" w:name="_Toc3180"/>
      <w:bookmarkEnd w:id="7043"/>
      <w:r>
        <w:rPr>
          <w:rtl w:val="true"/>
        </w:rPr>
        <w:t>[ (</w:t>
      </w:r>
      <w:r>
        <w:rPr>
          <w:rtl w:val="true"/>
        </w:rPr>
        <w:t xml:space="preserve">مسألة </w:t>
      </w:r>
      <w:r>
        <w:rPr/>
        <w:t>26</w:t>
      </w:r>
      <w:r>
        <w:rPr>
          <w:rtl w:val="true"/>
        </w:rPr>
        <w:t xml:space="preserve">): </w:t>
      </w:r>
      <w:r>
        <w:rPr>
          <w:rtl w:val="true"/>
        </w:rPr>
        <w:t>یجوز للمرأة النظر إلی الصبیّ الممیّز ما لم یبلغ</w:t>
      </w:r>
      <w:r>
        <w:rPr>
          <w:rtl w:val="true"/>
        </w:rPr>
        <w:t>]</w:t>
      </w:r>
      <w:bookmarkEnd w:id="70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للمرأة النظر إلی الصبیّ الممیّز ما لم یبلغ، و لا یجب علیها التستّر عنه ما لم یبلغ مبلغاً یترتّب </w:t>
      </w:r>
      <w:r>
        <w:rPr>
          <w:rStyle w:val="FootnoteAnchor"/>
          <w:rtl w:val="true"/>
        </w:rPr>
        <w:footnoteReference w:id="1832"/>
      </w:r>
      <w:r>
        <w:rPr>
          <w:rFonts w:ascii="IRNazanin" w:hAnsi="IRNazanin" w:eastAsia="IRNazanin"/>
          <w:color w:val="111111"/>
          <w:sz w:val="28"/>
          <w:sz w:val="28"/>
          <w:szCs w:val="28"/>
          <w:rtl w:val="true"/>
          <w:lang w:bidi="fa-IR"/>
        </w:rPr>
        <w:t>علی النظر منه أو إلیه ثوران الشهوة</w:t>
      </w:r>
      <w:r>
        <w:rPr>
          <w:rFonts w:eastAsia="IRNazanin" w:cs="IRNazanin"/>
          <w:color w:val="111111"/>
          <w:sz w:val="28"/>
          <w:szCs w:val="28"/>
          <w:rtl w:val="true"/>
          <w:lang w:bidi="fa-IR"/>
        </w:rPr>
        <w:t>.</w:t>
      </w:r>
    </w:p>
    <w:p>
      <w:pPr>
        <w:pStyle w:val="Heading4"/>
        <w:numPr>
          <w:ilvl w:val="3"/>
          <w:numId w:val="1"/>
        </w:numPr>
        <w:rPr/>
      </w:pPr>
      <w:bookmarkStart w:id="7045" w:name="__RefHeading___Toc2571344_3650668749"/>
      <w:bookmarkStart w:id="7046" w:name="_Toc3181"/>
      <w:bookmarkEnd w:id="7045"/>
      <w:r>
        <w:rPr>
          <w:rtl w:val="true"/>
        </w:rPr>
        <w:t>[ (</w:t>
      </w:r>
      <w:r>
        <w:rPr>
          <w:rtl w:val="true"/>
        </w:rPr>
        <w:t xml:space="preserve">مسألة </w:t>
      </w:r>
      <w:r>
        <w:rPr/>
        <w:t>27</w:t>
      </w:r>
      <w:r>
        <w:rPr>
          <w:rtl w:val="true"/>
        </w:rPr>
        <w:t xml:space="preserve">): </w:t>
      </w:r>
      <w:r>
        <w:rPr>
          <w:rtl w:val="true"/>
        </w:rPr>
        <w:t>یجوز النظر إلیٰ نساء أهل الذمّة، بل مطلق الکفّار، مع عدم التلذّذ و الریبة</w:t>
      </w:r>
      <w:r>
        <w:rPr>
          <w:rtl w:val="true"/>
        </w:rPr>
        <w:t>]</w:t>
      </w:r>
      <w:bookmarkEnd w:id="70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النظر إلیٰ نساء أهل الذمّة، بل مطلق الکفّار، مع عدم التلذّذ و الریبة أعنی خوف الوقوع فی الحرام و الأحوط الاقتصار علی المواضع التی جرت عادتهنّ علیٰ عدم التستّر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تلحق بهنّ نساء أهل البوادی و القریٰ من الأعراب و غیرهم اللاتی جرت عادتهنّ علیٰ عدم التستّر و إذا نهین لا ینتهین و هو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أنّه یجوز التردّد فی القری و الأسواق و مواقع تردّد تلک النسوة و مجامعهنّ و محالّ معاملاتهنّ مع العلم عادة بوقوع النظر علیهنّ، و لا یجب غضّ البصر فی تلک المحالّ إذا لم یکن خوف افتتان</w:t>
      </w:r>
      <w:r>
        <w:rPr>
          <w:rFonts w:eastAsia="IRNazanin" w:cs="IRNazanin"/>
          <w:color w:val="111111"/>
          <w:sz w:val="28"/>
          <w:szCs w:val="28"/>
          <w:rtl w:val="true"/>
          <w:lang w:bidi="fa-IR"/>
        </w:rPr>
        <w:t>.</w:t>
      </w:r>
    </w:p>
    <w:p>
      <w:pPr>
        <w:pStyle w:val="Heading4"/>
        <w:numPr>
          <w:ilvl w:val="3"/>
          <w:numId w:val="1"/>
        </w:numPr>
        <w:rPr/>
      </w:pPr>
      <w:bookmarkStart w:id="7047" w:name="__RefHeading___Toc2571346_3650668749"/>
      <w:bookmarkStart w:id="7048" w:name="_Toc3182"/>
      <w:bookmarkEnd w:id="7047"/>
      <w:r>
        <w:rPr>
          <w:rtl w:val="true"/>
        </w:rPr>
        <w:t>[ (</w:t>
      </w:r>
      <w:r>
        <w:rPr>
          <w:rtl w:val="true"/>
        </w:rPr>
        <w:t xml:space="preserve">مسألة </w:t>
      </w:r>
      <w:r>
        <w:rPr/>
        <w:t>28</w:t>
      </w:r>
      <w:r>
        <w:rPr>
          <w:rtl w:val="true"/>
        </w:rPr>
        <w:t xml:space="preserve">): </w:t>
      </w:r>
      <w:r>
        <w:rPr>
          <w:rtl w:val="true"/>
        </w:rPr>
        <w:t>یجوز لمن یرید تزویج امرأة أن ینظر إلیها</w:t>
      </w:r>
      <w:r>
        <w:rPr>
          <w:rtl w:val="true"/>
        </w:rPr>
        <w:t>]</w:t>
      </w:r>
      <w:bookmarkEnd w:id="70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لمن یرید تزویج امرأة أن ینظر إلیها؛ بشرط </w:t>
      </w:r>
      <w:r>
        <w:rPr>
          <w:rStyle w:val="FootnoteAnchor"/>
          <w:rtl w:val="true"/>
        </w:rPr>
        <w:footnoteReference w:id="1833"/>
      </w:r>
      <w:r>
        <w:rPr>
          <w:rFonts w:ascii="IRNazanin" w:hAnsi="IRNazanin" w:eastAsia="IRNazanin"/>
          <w:color w:val="111111"/>
          <w:sz w:val="28"/>
          <w:sz w:val="28"/>
          <w:szCs w:val="28"/>
          <w:rtl w:val="true"/>
          <w:lang w:bidi="fa-IR"/>
        </w:rPr>
        <w:t>أن لا یکون بقصد التلذّذ و إن علم أنّه یحصل بسبب النظر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الاقتصار علیٰ وجهها </w:t>
      </w:r>
      <w:r>
        <w:rPr>
          <w:rStyle w:val="FootnoteAnchor"/>
          <w:rtl w:val="true"/>
        </w:rPr>
        <w:footnoteReference w:id="1834"/>
      </w:r>
      <w:r>
        <w:rPr>
          <w:rFonts w:ascii="IRNazanin" w:hAnsi="IRNazanin" w:eastAsia="IRNazanin"/>
          <w:color w:val="111111"/>
          <w:sz w:val="28"/>
          <w:sz w:val="28"/>
          <w:szCs w:val="28"/>
          <w:rtl w:val="true"/>
          <w:lang w:bidi="fa-IR"/>
        </w:rPr>
        <w:t>و کفّیها و شعرها و محاسنها، کما أنّ الأحوط لو لم یکن الأقوی الاقتصار علیٰ ما إذا کان قاصداً لتزویج المنظورة بالخصوص، فلا یعمّ الحکم ما إذا کان قاصداً لمطلق التزویج و کان بصدد تعیین الزوجة بهذا الاختبار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تکرار النظر إذا لم یحصل الاطّلاع علیها بالنظرة الاولیٰ</w:t>
      </w:r>
      <w:r>
        <w:rPr>
          <w:rFonts w:eastAsia="IRNazanin" w:cs="IRNazanin"/>
          <w:color w:val="111111"/>
          <w:sz w:val="28"/>
          <w:szCs w:val="28"/>
          <w:rtl w:val="true"/>
          <w:lang w:bidi="fa-IR"/>
        </w:rPr>
        <w:t>.</w:t>
      </w:r>
    </w:p>
    <w:p>
      <w:pPr>
        <w:pStyle w:val="Heading4"/>
        <w:numPr>
          <w:ilvl w:val="3"/>
          <w:numId w:val="1"/>
        </w:numPr>
        <w:rPr/>
      </w:pPr>
      <w:bookmarkStart w:id="7049" w:name="__RefHeading___Toc2571348_3650668749"/>
      <w:bookmarkStart w:id="7050" w:name="_Toc3183"/>
      <w:bookmarkEnd w:id="7049"/>
      <w:r>
        <w:rPr>
          <w:rtl w:val="true"/>
        </w:rPr>
        <w:t>[ (</w:t>
      </w:r>
      <w:r>
        <w:rPr>
          <w:rtl w:val="true"/>
        </w:rPr>
        <w:t xml:space="preserve">مسألة </w:t>
      </w:r>
      <w:r>
        <w:rPr/>
        <w:t>29</w:t>
      </w:r>
      <w:r>
        <w:rPr>
          <w:rtl w:val="true"/>
        </w:rPr>
        <w:t xml:space="preserve">): </w:t>
      </w:r>
      <w:r>
        <w:rPr>
          <w:rtl w:val="true"/>
        </w:rPr>
        <w:t>الأقویٰ جواز سماع صوت الأجنبیّة ما لم یکن تلذّذ و ریبة</w:t>
      </w:r>
      <w:r>
        <w:rPr>
          <w:rtl w:val="true"/>
        </w:rPr>
        <w:t>]</w:t>
      </w:r>
      <w:bookmarkEnd w:id="7050"/>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 سماع صوت الأجنبیّة ما لم یکن تلذّذ و ریبة، و کذا یجوز لها</w:t>
      </w:r>
      <w:bookmarkStart w:id="7051" w:name="pg1809_19850"/>
    </w:p>
    <w:p>
      <w:pPr>
        <w:pStyle w:val="BookText"/>
        <w:rPr/>
      </w:pPr>
      <w:bookmarkEnd w:id="7051"/>
      <w:r>
        <w:rPr>
          <w:rFonts w:ascii="IRNazanin" w:hAnsi="IRNazanin" w:eastAsia="IRNazanin"/>
          <w:color w:val="111111"/>
          <w:sz w:val="28"/>
          <w:sz w:val="28"/>
          <w:szCs w:val="28"/>
          <w:rtl w:val="true"/>
          <w:lang w:bidi="fa-IR"/>
        </w:rPr>
        <w:t>إسماع صوتها للأجانب إذا لم یکن خوف فتنة، و إن کان الأحوط الترک فی غیر مقام الضرورة، خصوصاً فی الشابّة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جماعة إلیٰ حرمة السماع و الإسماع و هو ضعیف فی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یحرم علیها المکالمة مع الرجال بکیفیّة مهیّجة؛ بترقیق القول و تلیین الکلام و تحسین الصوت، فیطمع الذی فی قلبه مرض</w:t>
      </w:r>
      <w:r>
        <w:rPr>
          <w:rFonts w:eastAsia="IRNazanin" w:cs="IRNazanin"/>
          <w:color w:val="111111"/>
          <w:sz w:val="28"/>
          <w:szCs w:val="28"/>
          <w:rtl w:val="true"/>
          <w:lang w:bidi="fa-IR"/>
        </w:rPr>
        <w:t>.</w:t>
      </w:r>
    </w:p>
    <w:p>
      <w:pPr>
        <w:pStyle w:val="Heading3"/>
        <w:numPr>
          <w:ilvl w:val="2"/>
          <w:numId w:val="1"/>
        </w:numPr>
        <w:rPr/>
      </w:pPr>
      <w:bookmarkStart w:id="7052" w:name="__RefHeading___Toc2571350_3650668749"/>
      <w:bookmarkStart w:id="7053" w:name="_Toc3184"/>
      <w:bookmarkEnd w:id="7052"/>
      <w:r>
        <w:rPr>
          <w:rtl w:val="true"/>
        </w:rPr>
        <w:t>[</w:t>
      </w:r>
      <w:r>
        <w:rPr>
          <w:rtl w:val="true"/>
        </w:rPr>
        <w:t>فصل فی عقد النکاح و أحکامه</w:t>
      </w:r>
      <w:r>
        <w:rPr>
          <w:rtl w:val="true"/>
        </w:rPr>
        <w:t>]</w:t>
      </w:r>
      <w:bookmarkEnd w:id="7053"/>
    </w:p>
    <w:p>
      <w:pPr>
        <w:pStyle w:val="Heading4"/>
        <w:numPr>
          <w:ilvl w:val="3"/>
          <w:numId w:val="1"/>
        </w:numPr>
        <w:rPr/>
      </w:pPr>
      <w:bookmarkStart w:id="7054" w:name="__RefHeading___Toc2571352_3650668749"/>
      <w:bookmarkStart w:id="7055" w:name="_Toc3185"/>
      <w:bookmarkEnd w:id="7054"/>
      <w:r>
        <w:rPr>
          <w:rtl w:val="true"/>
        </w:rPr>
        <w:t>اشارة</w:t>
      </w:r>
      <w:bookmarkEnd w:id="7055"/>
    </w:p>
    <w:p>
      <w:pPr>
        <w:pStyle w:val="BookText"/>
        <w:rPr/>
      </w:pPr>
      <w:r>
        <w:rPr>
          <w:rFonts w:ascii="IRNazanin" w:hAnsi="IRNazanin" w:eastAsia="IRNazanin"/>
          <w:color w:val="111111"/>
          <w:sz w:val="28"/>
          <w:sz w:val="28"/>
          <w:szCs w:val="28"/>
          <w:rtl w:val="true"/>
          <w:lang w:bidi="fa-IR"/>
        </w:rPr>
        <w:t>فصل فی عقد النکاح و أحکامه النکاح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منقطع، و کلّ منهما یحتاج إلیٰ عقد مشتمل علیٰ إیجاب و قبول لفظیّین دالّین علیٰ إنشاء المعنی المقصود و الرضا به دلالة معتبرة عند أهل المحاورة، فلا یکفی مجرّد الرضا القلبی من الطرفین، و لا المعاطاة الجاریة فی غالب المعاملات، و لا الکتابة، و کذا الإشارة المفهمة فی غیر 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لزوماً کونه فیهما باللفظ العربی، فلا یجزی غیره من سائر اللغات إلّا مع العجز عنه و لو بتوکیل الغیر </w:t>
      </w:r>
      <w:r>
        <w:rPr>
          <w:rStyle w:val="FootnoteAnchor"/>
          <w:rtl w:val="true"/>
        </w:rPr>
        <w:footnoteReference w:id="1835"/>
      </w:r>
      <w:r>
        <w:rPr>
          <w:rFonts w:ascii="IRNazanin" w:hAnsi="IRNazanin" w:eastAsia="IRNazanin"/>
          <w:color w:val="111111"/>
          <w:sz w:val="28"/>
          <w:sz w:val="28"/>
          <w:szCs w:val="28"/>
          <w:rtl w:val="true"/>
          <w:lang w:bidi="fa-IR"/>
        </w:rPr>
        <w:t>، و عند ذلک لا بأس بإیقاعه بغیره، لکن بعبارة یکون مفادها مفاد اللفظ العربی بحیث تعدّ ترجمته</w:t>
      </w:r>
      <w:r>
        <w:rPr>
          <w:rFonts w:eastAsia="IRNazanin" w:cs="IRNazanin"/>
          <w:color w:val="111111"/>
          <w:sz w:val="28"/>
          <w:szCs w:val="28"/>
          <w:rtl w:val="true"/>
          <w:lang w:bidi="fa-IR"/>
        </w:rPr>
        <w:t>.</w:t>
      </w:r>
    </w:p>
    <w:p>
      <w:pPr>
        <w:pStyle w:val="Heading4"/>
        <w:numPr>
          <w:ilvl w:val="3"/>
          <w:numId w:val="1"/>
        </w:numPr>
        <w:rPr/>
      </w:pPr>
      <w:bookmarkStart w:id="7056" w:name="__RefHeading___Toc2571354_3650668749"/>
      <w:bookmarkStart w:id="7057" w:name="_Toc3186"/>
      <w:bookmarkEnd w:id="7056"/>
      <w:r>
        <w:rPr>
          <w:rtl w:val="true"/>
        </w:rPr>
        <w:t>[ (</w:t>
      </w:r>
      <w:r>
        <w:rPr>
          <w:rtl w:val="true"/>
        </w:rPr>
        <w:t xml:space="preserve">مسألة </w:t>
      </w:r>
      <w:r>
        <w:rPr/>
        <w:t>1</w:t>
      </w:r>
      <w:r>
        <w:rPr>
          <w:rtl w:val="true"/>
        </w:rPr>
        <w:t xml:space="preserve">): </w:t>
      </w:r>
      <w:r>
        <w:rPr>
          <w:rtl w:val="true"/>
        </w:rPr>
        <w:t>الأحوط لو لم یکن الأقویٰ أن یکون الإیجاب من طرف الزوجة</w:t>
      </w:r>
      <w:r>
        <w:rPr>
          <w:rtl w:val="true"/>
        </w:rPr>
        <w:t>]</w:t>
      </w:r>
      <w:bookmarkEnd w:id="70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لو لم یکن الأقویٰ أن یکون الإیجاب من طرف الزوجة </w:t>
      </w:r>
      <w:r>
        <w:rPr>
          <w:rStyle w:val="FootnoteAnchor"/>
          <w:rtl w:val="true"/>
        </w:rPr>
        <w:footnoteReference w:id="1836"/>
      </w:r>
      <w:r>
        <w:rPr>
          <w:rFonts w:ascii="IRNazanin" w:hAnsi="IRNazanin" w:eastAsia="IRNazanin"/>
          <w:color w:val="111111"/>
          <w:sz w:val="28"/>
          <w:sz w:val="28"/>
          <w:szCs w:val="28"/>
          <w:rtl w:val="true"/>
          <w:lang w:bidi="fa-IR"/>
        </w:rPr>
        <w:t xml:space="preserve">و القبول من طرف الزوج، و کذا الأحوط تقدیم الأوّل علی الثانی و إن کان الأظهر جواز العکس إذا لم یکن القبول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58" w:name="__RefHeading___Toc2571356_3650668749"/>
      <w:bookmarkStart w:id="7059" w:name="_Toc3187"/>
      <w:bookmarkEnd w:id="7058"/>
      <w:r>
        <w:rPr>
          <w:rtl w:val="true"/>
        </w:rPr>
        <w:t>[ (</w:t>
      </w:r>
      <w:r>
        <w:rPr>
          <w:rtl w:val="true"/>
        </w:rPr>
        <w:t xml:space="preserve">مسألة </w:t>
      </w:r>
      <w:r>
        <w:rPr/>
        <w:t>2</w:t>
      </w:r>
      <w:r>
        <w:rPr>
          <w:rtl w:val="true"/>
        </w:rPr>
        <w:t xml:space="preserve">): </w:t>
      </w:r>
      <w:r>
        <w:rPr>
          <w:rtl w:val="true"/>
        </w:rPr>
        <w:t xml:space="preserve">الأحوط أن یکون الإیجاب فی النکاح الدائم بلفظی </w:t>
      </w:r>
      <w:r>
        <w:rPr>
          <w:rtl w:val="true"/>
        </w:rPr>
        <w:t>«</w:t>
      </w:r>
      <w:r>
        <w:rPr>
          <w:rtl w:val="true"/>
        </w:rPr>
        <w:t>أنکحت</w:t>
      </w:r>
      <w:r>
        <w:rPr>
          <w:rtl w:val="true"/>
        </w:rPr>
        <w:t xml:space="preserve">» </w:t>
      </w:r>
      <w:r>
        <w:rPr>
          <w:rtl w:val="true"/>
        </w:rPr>
        <w:t xml:space="preserve">أو </w:t>
      </w:r>
      <w:r>
        <w:rPr>
          <w:rtl w:val="true"/>
        </w:rPr>
        <w:t>«</w:t>
      </w:r>
      <w:r>
        <w:rPr>
          <w:rtl w:val="true"/>
        </w:rPr>
        <w:t>زوّجت</w:t>
      </w:r>
      <w:r>
        <w:rPr>
          <w:rtl w:val="true"/>
        </w:rPr>
        <w:t>»]</w:t>
      </w:r>
      <w:bookmarkEnd w:id="7059"/>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أن یکون الإیجاب فی النکاح الدائم بلفظی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یوقع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 xml:space="preserve">» </w:t>
      </w:r>
      <w:r>
        <w:rPr>
          <w:rStyle w:val="FootnoteAnchor"/>
          <w:rtl w:val="true"/>
        </w:rPr>
        <w:footnoteReference w:id="1838"/>
      </w:r>
      <w:r>
        <w:rPr>
          <w:rFonts w:ascii="IRNazanin" w:hAnsi="IRNazanin" w:eastAsia="IRNazanin"/>
          <w:color w:val="111111"/>
          <w:sz w:val="28"/>
          <w:sz w:val="28"/>
          <w:szCs w:val="28"/>
          <w:rtl w:val="true"/>
          <w:lang w:bidi="fa-IR"/>
        </w:rPr>
        <w:t xml:space="preserve">فضلًا عن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 یکون القبول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الاقتصار فی القبول بذکر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بعد الإیجاب من دون ذکر المتعلّقات التی ذکر فیه، فلو قال الموجب الوکیل عن الزوجة للزوج</w:t>
      </w:r>
      <w:r>
        <w:rPr>
          <w:rFonts w:eastAsia="IRNazanin" w:cs="IRNazanin"/>
          <w:color w:val="111111"/>
          <w:sz w:val="28"/>
          <w:szCs w:val="28"/>
          <w:rtl w:val="true"/>
          <w:lang w:bidi="fa-IR"/>
        </w:rPr>
        <w:t>:</w:t>
      </w:r>
      <w:bookmarkStart w:id="7060" w:name="pg1809_19852"/>
    </w:p>
    <w:p>
      <w:pPr>
        <w:pStyle w:val="BookText"/>
        <w:rPr/>
      </w:pPr>
      <w:bookmarkEnd w:id="70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أنکحتک موکّلتی فلانة علی المهر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النکاح لنفسی علی المهر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Heading4"/>
        <w:numPr>
          <w:ilvl w:val="3"/>
          <w:numId w:val="1"/>
        </w:numPr>
        <w:rPr/>
      </w:pPr>
      <w:bookmarkStart w:id="7061" w:name="__RefHeading___Toc2571358_3650668749"/>
      <w:bookmarkStart w:id="7062" w:name="_Toc3188"/>
      <w:bookmarkEnd w:id="7061"/>
      <w:r>
        <w:rPr>
          <w:rtl w:val="true"/>
        </w:rPr>
        <w:t>[ (</w:t>
      </w:r>
      <w:r>
        <w:rPr>
          <w:rtl w:val="true"/>
        </w:rPr>
        <w:t xml:space="preserve">مسألة </w:t>
      </w:r>
      <w:r>
        <w:rPr/>
        <w:t>3</w:t>
      </w:r>
      <w:r>
        <w:rPr>
          <w:rtl w:val="true"/>
        </w:rPr>
        <w:t xml:space="preserve">): </w:t>
      </w:r>
      <w:r>
        <w:rPr>
          <w:rtl w:val="true"/>
        </w:rPr>
        <w:t>یتعدّیٰ کلّ من الإنکاح و التزویج إلیٰ مفعولین</w:t>
      </w:r>
      <w:r>
        <w:rPr>
          <w:rtl w:val="true"/>
        </w:rPr>
        <w:t>]</w:t>
      </w:r>
      <w:bookmarkEnd w:id="70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یتعدّیٰ کلّ من الإنکاح و التزویج إلیٰ مفعولین، و یجعل الزوجة </w:t>
      </w:r>
      <w:r>
        <w:rPr>
          <w:rStyle w:val="FootnoteAnchor"/>
          <w:rtl w:val="true"/>
        </w:rPr>
        <w:footnoteReference w:id="1839"/>
      </w:r>
      <w:r>
        <w:rPr>
          <w:rFonts w:ascii="IRNazanin" w:hAnsi="IRNazanin" w:eastAsia="IRNazanin"/>
          <w:color w:val="111111"/>
          <w:sz w:val="28"/>
          <w:sz w:val="28"/>
          <w:szCs w:val="28"/>
          <w:rtl w:val="true"/>
          <w:lang w:bidi="fa-IR"/>
        </w:rPr>
        <w:t xml:space="preserve">مفعولًا أوّلًا و الزوج مفعولًا ثانیاً؛ حیث إنّها بمنزلة المملّک نفسها له و أنّه بمنزلة المتملّک لها لنفسه، و یشترکان فی أنّ کلّا منهما یتعدّیان إلی المفعول الثانی بنفسه تارة و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أنکحت أو زوّجت هنداً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یختصّ الأوّل بتعدیته إلیه باللام </w:t>
      </w:r>
      <w:r>
        <w:rPr>
          <w:rStyle w:val="FootnoteAnchor"/>
          <w:rtl w:val="true"/>
        </w:rPr>
        <w:footnoteReference w:id="1840"/>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أنکحت هنداً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بتعدیته إلیه بواسطة الباء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هنداً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یتعدّیٰ کلّ منهما إلی المفعول الثانی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المشهور و المأنوس من الاستعمال، و ربّما یستعملان علیٰ غیر تلک الوجوه و لکنّه لیس بمشهور و لا مأنوس</w:t>
      </w:r>
      <w:r>
        <w:rPr>
          <w:rFonts w:eastAsia="IRNazanin" w:cs="IRNazanin"/>
          <w:color w:val="111111"/>
          <w:sz w:val="28"/>
          <w:szCs w:val="28"/>
          <w:rtl w:val="true"/>
          <w:lang w:bidi="fa-IR"/>
        </w:rPr>
        <w:t>.</w:t>
      </w:r>
    </w:p>
    <w:p>
      <w:pPr>
        <w:pStyle w:val="Heading4"/>
        <w:numPr>
          <w:ilvl w:val="3"/>
          <w:numId w:val="1"/>
        </w:numPr>
        <w:rPr/>
      </w:pPr>
      <w:bookmarkStart w:id="7063" w:name="__RefHeading___Toc2571360_3650668749"/>
      <w:bookmarkStart w:id="7064" w:name="_Toc3189"/>
      <w:bookmarkEnd w:id="7063"/>
      <w:r>
        <w:rPr>
          <w:rtl w:val="true"/>
        </w:rPr>
        <w:t>[ (</w:t>
      </w:r>
      <w:r>
        <w:rPr>
          <w:rtl w:val="true"/>
        </w:rPr>
        <w:t xml:space="preserve">مسألة </w:t>
      </w:r>
      <w:r>
        <w:rPr/>
        <w:t>4</w:t>
      </w:r>
      <w:r>
        <w:rPr>
          <w:rtl w:val="true"/>
        </w:rPr>
        <w:t xml:space="preserve">): </w:t>
      </w:r>
      <w:r>
        <w:rPr>
          <w:rtl w:val="true"/>
        </w:rPr>
        <w:t>عقد النکاح قد یقع بین الزوج و الزوجة و بمباشرتهما</w:t>
      </w:r>
      <w:r>
        <w:rPr>
          <w:rtl w:val="true"/>
        </w:rPr>
        <w:t>]</w:t>
      </w:r>
      <w:bookmarkEnd w:id="7064"/>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النکاح قد یقع بین الزوج و الزوجة و بمباشرتهما فبعد التقاول و التواطؤ و تعیین المهر، تقول الزوجة مخاطبة للزوج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أنکحتک نفسی أو أنکحت نفسی منک، أو لک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الزوج بغیر فصل معتدّ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النکاح لنفسی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 أو زوّجت نفسی منک أو بک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 لنفسی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یقع بین وکیلیهما، فبعد التقاول و تعیین الموکّلین و المهر یقول وکیل الزوجة مخاطباً لوکیل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أنکحت موکّلتی </w:t>
      </w:r>
      <w:r>
        <w:rPr>
          <w:rStyle w:val="FootnoteAnchor"/>
          <w:rtl w:val="true"/>
        </w:rPr>
        <w:footnoteReference w:id="1841"/>
      </w:r>
      <w:r>
        <w:rPr>
          <w:rFonts w:ascii="IRNazanin" w:hAnsi="IRNazanin" w:eastAsia="IRNazanin"/>
          <w:color w:val="111111"/>
          <w:sz w:val="28"/>
          <w:sz w:val="28"/>
          <w:szCs w:val="28"/>
          <w:rtl w:val="true"/>
          <w:lang w:bidi="fa-IR"/>
        </w:rPr>
        <w:t>فلانة موکّلک فلان أو من موکّلک أو لموکّلک فلان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وکیل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النکاح لموکّلی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 وکیلها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موکّلتی موکّلک أو من موکّلک أو بموکّلک فلان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وکیله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 لموکّلی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یقع بین ولیّیهما کالأب و الجدّ، فبعد التقاول و تعیین المولّی علیهما و المهر یقول ولیّ الزوجة</w:t>
      </w:r>
      <w:r>
        <w:rPr>
          <w:rFonts w:eastAsia="IRNazanin" w:cs="IRNazanin"/>
          <w:color w:val="111111"/>
          <w:sz w:val="28"/>
          <w:szCs w:val="28"/>
          <w:rtl w:val="true"/>
          <w:lang w:bidi="fa-IR"/>
        </w:rPr>
        <w:t>:</w:t>
      </w:r>
      <w:bookmarkStart w:id="7065" w:name="pg1809_19854"/>
    </w:p>
    <w:p>
      <w:pPr>
        <w:pStyle w:val="BookText"/>
        <w:rPr/>
      </w:pPr>
      <w:bookmarkEnd w:id="70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 ابنتی، أو ابنة ابنی فلانة مثلًا ابنک أو ابن ابنک فلان أو من ابنک أو ابن ابنک أو لابنک أو لابن ابنک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بنتی ابنک مثلًا أو من ابنک أو بابنک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ولیّ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النکاح أو التزویج لابنی أو لابن ابنی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بالاختلاف؛ بأن یقع بین الزوجة و وکیل الزوج و بالعکس، أو بینها و بین ولیّ الزوج و بالعکس، أو بین وکیل الزوجة و ولیّ الزوج و بالعکس، و یعرف کیفیّة إیقاع العقد فی هذه الصور الستّ ممّا فصّلناه فی الصور الثلاث المتقدّمة</w:t>
      </w:r>
      <w:r>
        <w:rPr>
          <w:rFonts w:eastAsia="IRNazanin" w:cs="IRNazanin"/>
          <w:color w:val="111111"/>
          <w:sz w:val="28"/>
          <w:szCs w:val="28"/>
          <w:rtl w:val="true"/>
          <w:lang w:bidi="fa-IR"/>
        </w:rPr>
        <w:t>.</w:t>
      </w:r>
    </w:p>
    <w:p>
      <w:pPr>
        <w:pStyle w:val="Heading4"/>
        <w:numPr>
          <w:ilvl w:val="3"/>
          <w:numId w:val="1"/>
        </w:numPr>
        <w:rPr/>
      </w:pPr>
      <w:bookmarkStart w:id="7066" w:name="__RefHeading___Toc2571362_3650668749"/>
      <w:bookmarkStart w:id="7067" w:name="_Toc3190"/>
      <w:bookmarkEnd w:id="7066"/>
      <w:r>
        <w:rPr>
          <w:rtl w:val="true"/>
        </w:rPr>
        <w:t>[ (</w:t>
      </w:r>
      <w:r>
        <w:rPr>
          <w:rtl w:val="true"/>
        </w:rPr>
        <w:t xml:space="preserve">مسألة </w:t>
      </w:r>
      <w:r>
        <w:rPr/>
        <w:t>5</w:t>
      </w:r>
      <w:r>
        <w:rPr>
          <w:rtl w:val="true"/>
        </w:rPr>
        <w:t xml:space="preserve">): </w:t>
      </w:r>
      <w:r>
        <w:rPr>
          <w:rtl w:val="true"/>
        </w:rPr>
        <w:t>لا یشترط فی لفظ القبول مطابقته لعبارة الإیجاب</w:t>
      </w:r>
      <w:r>
        <w:rPr>
          <w:rtl w:val="true"/>
        </w:rPr>
        <w:t>]</w:t>
      </w:r>
      <w:bookmarkEnd w:id="70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لفظ القبول مطابقته لعبارة الإیجاب، بل یصحّ الإیجاب بلفظ و القبول بلفظ آخر،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و إن کان الأحوط المطابقة</w:t>
      </w:r>
      <w:r>
        <w:rPr>
          <w:rFonts w:eastAsia="IRNazanin" w:cs="IRNazanin"/>
          <w:color w:val="111111"/>
          <w:sz w:val="28"/>
          <w:szCs w:val="28"/>
          <w:rtl w:val="true"/>
          <w:lang w:bidi="fa-IR"/>
        </w:rPr>
        <w:t>.</w:t>
      </w:r>
    </w:p>
    <w:p>
      <w:pPr>
        <w:pStyle w:val="Heading4"/>
        <w:numPr>
          <w:ilvl w:val="3"/>
          <w:numId w:val="1"/>
        </w:numPr>
        <w:rPr/>
      </w:pPr>
      <w:bookmarkStart w:id="7068" w:name="__RefHeading___Toc2571364_3650668749"/>
      <w:bookmarkStart w:id="7069" w:name="_Toc3191"/>
      <w:bookmarkEnd w:id="7068"/>
      <w:r>
        <w:rPr>
          <w:rtl w:val="true"/>
        </w:rPr>
        <w:t>[ (</w:t>
      </w:r>
      <w:r>
        <w:rPr>
          <w:rtl w:val="true"/>
        </w:rPr>
        <w:t xml:space="preserve">مسألة </w:t>
      </w:r>
      <w:r>
        <w:rPr/>
        <w:t>6</w:t>
      </w:r>
      <w:r>
        <w:rPr>
          <w:rtl w:val="true"/>
        </w:rPr>
        <w:t xml:space="preserve">): </w:t>
      </w:r>
      <w:r>
        <w:rPr>
          <w:rtl w:val="true"/>
        </w:rPr>
        <w:t>إذا لحن فی الصیغة، فإن کان مغیّراً للمعنیٰ بحیث یعدّ اللفظ عبارة لمعنیً آخر غیر ما هو المقصود لم یکف</w:t>
      </w:r>
      <w:r>
        <w:rPr>
          <w:rtl w:val="true"/>
        </w:rPr>
        <w:t>]</w:t>
      </w:r>
      <w:bookmarkEnd w:id="70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لحن فی الصیغة، فإن کان مغیّراً للمعنیٰ بحیث یعدّ اللفظ عبارة لمعنیً آخر غیر ما هو المقصود لم یکف، و إن لم یکن مغیّراً بل کان بحیث یفهم منه المعنی المقصود و یعدّ لفظاً لهذا المعنی إلّا أنّه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ملحون و عبارة ملحونة من حیث المادّة أو من جهة الإعراب و الحرکات، فالاکتفاء به لا یخلو من قوّة و إن کان الأحوط خلافه، و أولی بالاکتفاء اللغات المحرّفة عن اللغة العربیّة الأصلیّة کلغة أهالی سواد العراق فی هذا الزمان إذا کان المباشر للعقد من أهالی تلک اللغة، فلو قال عراقیّ فی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جوّزت بدل زوّجت صحّ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70" w:name="__RefHeading___Toc2571366_3650668749"/>
      <w:bookmarkStart w:id="7071" w:name="_Toc3192"/>
      <w:bookmarkEnd w:id="7070"/>
      <w:r>
        <w:rPr>
          <w:rtl w:val="true"/>
        </w:rPr>
        <w:t>[ (</w:t>
      </w:r>
      <w:r>
        <w:rPr>
          <w:rtl w:val="true"/>
        </w:rPr>
        <w:t xml:space="preserve">مسألة </w:t>
      </w:r>
      <w:r>
        <w:rPr/>
        <w:t>7</w:t>
      </w:r>
      <w:r>
        <w:rPr>
          <w:rtl w:val="true"/>
        </w:rPr>
        <w:t xml:space="preserve">): </w:t>
      </w:r>
      <w:r>
        <w:rPr>
          <w:rtl w:val="true"/>
        </w:rPr>
        <w:t>یعتبر فی العقد القصد إلیٰ مضمونه</w:t>
      </w:r>
      <w:r>
        <w:rPr>
          <w:rtl w:val="true"/>
        </w:rPr>
        <w:t>]</w:t>
      </w:r>
      <w:bookmarkEnd w:id="7071"/>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العقد القصد إلیٰ مضمونه، و هو متوقّف علیٰ فهم معنیٰ لفظی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بنحو الإجمال؛ حتّی لا یکون مجرّد لقلقة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یعتبر العلم بالقواعد العربیّة و لا العلم و الإحاطة بخصوصیّات معنی اللفظین علی التفصیل، بل یکفی علمه إجمالًا، فإذا کان الموجب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لإیقاع العلقة الخاصّة المعروفة المرتکزة فی الأذهان التی یطلق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لغة العرب و یعبّر عنها فی لغات أُخر بعبارات أُخر، و کان القابل قابلًا لذلک المعنیٰ کفیٰ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bookmarkStart w:id="7072" w:name="pg1809_19856"/>
    </w:p>
    <w:p>
      <w:pPr>
        <w:pStyle w:val="Heading4"/>
        <w:numPr>
          <w:ilvl w:val="3"/>
          <w:numId w:val="1"/>
        </w:numPr>
        <w:rPr/>
      </w:pPr>
      <w:bookmarkStart w:id="7073" w:name="__RefHeading___Toc2571368_3650668749"/>
      <w:bookmarkStart w:id="7074" w:name="_Toc3193"/>
      <w:bookmarkEnd w:id="7072"/>
      <w:bookmarkEnd w:id="7073"/>
      <w:r>
        <w:rPr>
          <w:rtl w:val="true"/>
        </w:rPr>
        <w:t>[ (</w:t>
      </w:r>
      <w:r>
        <w:rPr>
          <w:rtl w:val="true"/>
        </w:rPr>
        <w:t xml:space="preserve">مسألة </w:t>
      </w:r>
      <w:r>
        <w:rPr/>
        <w:t>8</w:t>
      </w:r>
      <w:r>
        <w:rPr>
          <w:rtl w:val="true"/>
        </w:rPr>
        <w:t xml:space="preserve">): </w:t>
      </w:r>
      <w:r>
        <w:rPr>
          <w:rtl w:val="true"/>
        </w:rPr>
        <w:t>یعتبر فی العقد قصد الإنشاء</w:t>
      </w:r>
      <w:r>
        <w:rPr>
          <w:rtl w:val="true"/>
        </w:rPr>
        <w:t>]</w:t>
      </w:r>
      <w:bookmarkEnd w:id="70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العقد قصد الإنشاء؛ بأن یکون الموجب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إیقاع النکاح و الزواج و إحداث و إیجاد ما لم یکن، لا الإخبار و الحکایة عن وقوع شی‌ء فی الخارج، و القابل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منشئاً لقبول ما أوقعه الموجب</w:t>
      </w:r>
      <w:r>
        <w:rPr>
          <w:rFonts w:eastAsia="IRNazanin" w:cs="IRNazanin"/>
          <w:color w:val="111111"/>
          <w:sz w:val="28"/>
          <w:szCs w:val="28"/>
          <w:rtl w:val="true"/>
          <w:lang w:bidi="fa-IR"/>
        </w:rPr>
        <w:t>.</w:t>
      </w:r>
    </w:p>
    <w:p>
      <w:pPr>
        <w:pStyle w:val="Heading4"/>
        <w:numPr>
          <w:ilvl w:val="3"/>
          <w:numId w:val="1"/>
        </w:numPr>
        <w:rPr/>
      </w:pPr>
      <w:bookmarkStart w:id="7075" w:name="__RefHeading___Toc2571370_3650668749"/>
      <w:bookmarkStart w:id="7076" w:name="_Toc3194"/>
      <w:bookmarkEnd w:id="7075"/>
      <w:r>
        <w:rPr>
          <w:rtl w:val="true"/>
        </w:rPr>
        <w:t>[ (</w:t>
      </w:r>
      <w:r>
        <w:rPr>
          <w:rtl w:val="true"/>
        </w:rPr>
        <w:t xml:space="preserve">مسألة </w:t>
      </w:r>
      <w:r>
        <w:rPr/>
        <w:t>9</w:t>
      </w:r>
      <w:r>
        <w:rPr>
          <w:rtl w:val="true"/>
        </w:rPr>
        <w:t xml:space="preserve">): </w:t>
      </w:r>
      <w:r>
        <w:rPr>
          <w:rtl w:val="true"/>
        </w:rPr>
        <w:t>یعتبر الموالاة و عدم الفصل المعتدّ به بین الإیجاب و القبول</w:t>
      </w:r>
      <w:r>
        <w:rPr>
          <w:rtl w:val="true"/>
        </w:rPr>
        <w:t>]</w:t>
      </w:r>
      <w:bookmarkEnd w:id="70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الموالاة و عدم الفصل المعتدّ به بین الإیجاب و القبول</w:t>
      </w:r>
      <w:r>
        <w:rPr>
          <w:rFonts w:eastAsia="IRNazanin" w:cs="IRNazanin"/>
          <w:color w:val="111111"/>
          <w:sz w:val="28"/>
          <w:szCs w:val="28"/>
          <w:rtl w:val="true"/>
          <w:lang w:bidi="fa-IR"/>
        </w:rPr>
        <w:t>.</w:t>
      </w:r>
    </w:p>
    <w:p>
      <w:pPr>
        <w:pStyle w:val="Heading4"/>
        <w:numPr>
          <w:ilvl w:val="3"/>
          <w:numId w:val="1"/>
        </w:numPr>
        <w:rPr/>
      </w:pPr>
      <w:bookmarkStart w:id="7077" w:name="__RefHeading___Toc2571372_3650668749"/>
      <w:bookmarkStart w:id="7078" w:name="_Toc3195"/>
      <w:bookmarkEnd w:id="7077"/>
      <w:r>
        <w:rPr>
          <w:rtl w:val="true"/>
        </w:rPr>
        <w:t>[ (</w:t>
      </w:r>
      <w:r>
        <w:rPr>
          <w:rtl w:val="true"/>
        </w:rPr>
        <w:t xml:space="preserve">مسألة </w:t>
      </w:r>
      <w:r>
        <w:rPr/>
        <w:t>10</w:t>
      </w:r>
      <w:r>
        <w:rPr>
          <w:rtl w:val="true"/>
        </w:rPr>
        <w:t xml:space="preserve">): </w:t>
      </w:r>
      <w:r>
        <w:rPr>
          <w:rtl w:val="true"/>
        </w:rPr>
        <w:t>یشترط فی صحّة العقد التنجیز</w:t>
      </w:r>
      <w:r>
        <w:rPr>
          <w:rtl w:val="true"/>
        </w:rPr>
        <w:t>]</w:t>
      </w:r>
      <w:bookmarkEnd w:id="70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العقد التنجیز، فلو علّقه علیٰ شرط أو مجی‌ء زمان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علّقه علیٰ أمر محقّق الحصول، کما إذا قال فی یوم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أنکحت إذا کان الیوم یوم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یبعد الصحّة، و کذا لو علّقه علیٰ أمر کان صحّة العقد متوقّفة علیه </w:t>
      </w:r>
      <w:r>
        <w:rPr>
          <w:rStyle w:val="FootnoteAnchor"/>
          <w:rtl w:val="true"/>
        </w:rPr>
        <w:footnoteReference w:id="1844"/>
      </w:r>
      <w:r>
        <w:rPr>
          <w:rFonts w:ascii="IRNazanin" w:hAnsi="IRNazanin" w:eastAsia="IRNazanin"/>
          <w:color w:val="111111"/>
          <w:sz w:val="28"/>
          <w:sz w:val="28"/>
          <w:szCs w:val="28"/>
          <w:rtl w:val="true"/>
          <w:lang w:bidi="fa-IR"/>
        </w:rPr>
        <w:t>کما إذا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صحّ نکاحی معک و لم أکن أُختک فقد أنکحتک نفسی</w:t>
      </w:r>
      <w:r>
        <w:rPr>
          <w:rFonts w:eastAsia="IRNazanin" w:cs="IRNazanin"/>
          <w:color w:val="111111"/>
          <w:sz w:val="28"/>
          <w:szCs w:val="28"/>
          <w:rtl w:val="true"/>
          <w:lang w:bidi="fa-IR"/>
        </w:rPr>
        <w:t>».</w:t>
      </w:r>
    </w:p>
    <w:p>
      <w:pPr>
        <w:pStyle w:val="Heading4"/>
        <w:numPr>
          <w:ilvl w:val="3"/>
          <w:numId w:val="1"/>
        </w:numPr>
        <w:rPr/>
      </w:pPr>
      <w:bookmarkStart w:id="7079" w:name="__RefHeading___Toc2571374_3650668749"/>
      <w:bookmarkStart w:id="7080" w:name="_Toc3196"/>
      <w:bookmarkEnd w:id="7079"/>
      <w:r>
        <w:rPr>
          <w:rtl w:val="true"/>
        </w:rPr>
        <w:t>[ (</w:t>
      </w:r>
      <w:r>
        <w:rPr>
          <w:rtl w:val="true"/>
        </w:rPr>
        <w:t xml:space="preserve">مسألة </w:t>
      </w:r>
      <w:r>
        <w:rPr/>
        <w:t>11</w:t>
      </w:r>
      <w:r>
        <w:rPr>
          <w:rtl w:val="true"/>
        </w:rPr>
        <w:t xml:space="preserve">): </w:t>
      </w:r>
      <w:r>
        <w:rPr>
          <w:rtl w:val="true"/>
        </w:rPr>
        <w:t>یشترط فی العاقد المجری للصیغة</w:t>
      </w:r>
      <w:r>
        <w:rPr>
          <w:rtl w:val="true"/>
        </w:rPr>
        <w:t xml:space="preserve">: </w:t>
      </w:r>
      <w:r>
        <w:rPr>
          <w:rtl w:val="true"/>
        </w:rPr>
        <w:t>البلوغ و العقل</w:t>
      </w:r>
      <w:r>
        <w:rPr>
          <w:rtl w:val="true"/>
        </w:rPr>
        <w:t>]</w:t>
      </w:r>
      <w:bookmarkEnd w:id="70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العاقد المجری للصیغة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و العقل، فلا اعتبار بعقد الصبیّ و المجنون، و لو أدواریّاً حال جنونه؛ سواء عقدا لنفسهما أو لغیرهما، علیٰ إشکال </w:t>
      </w:r>
      <w:r>
        <w:rPr>
          <w:rStyle w:val="FootnoteAnchor"/>
          <w:rtl w:val="true"/>
        </w:rPr>
        <w:footnoteReference w:id="1845"/>
      </w:r>
      <w:r>
        <w:rPr>
          <w:rFonts w:ascii="IRNazanin" w:hAnsi="IRNazanin" w:eastAsia="IRNazanin"/>
          <w:color w:val="111111"/>
          <w:sz w:val="28"/>
          <w:sz w:val="28"/>
          <w:szCs w:val="28"/>
          <w:rtl w:val="true"/>
          <w:lang w:bidi="fa-IR"/>
        </w:rPr>
        <w:t>فی الصبیّ إذا کان ممیّزاً قاصداً للمعنیٰ و عقد لغیره وکالة أو فضولًا و أجاز، بل و فیما إذا عقد لنفسه مع إذن الولیّ أو إجازته أو أجاز هو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یعتبر فیه القصد، فلا اعتبار بعقد الساهی و الغالط و السکران </w:t>
      </w:r>
      <w:r>
        <w:rPr>
          <w:rStyle w:val="FootnoteAnchor"/>
          <w:rtl w:val="true"/>
        </w:rPr>
        <w:footnoteReference w:id="1846"/>
      </w:r>
      <w:r>
        <w:rPr>
          <w:rFonts w:ascii="IRNazanin" w:hAnsi="IRNazanin" w:eastAsia="IRNazanin"/>
          <w:color w:val="111111"/>
          <w:sz w:val="28"/>
          <w:sz w:val="28"/>
          <w:szCs w:val="28"/>
          <w:rtl w:val="true"/>
          <w:lang w:bidi="fa-IR"/>
        </w:rPr>
        <w:t>و أشباههم</w:t>
      </w:r>
      <w:r>
        <w:rPr>
          <w:rFonts w:eastAsia="IRNazanin" w:cs="IRNazanin"/>
          <w:color w:val="111111"/>
          <w:sz w:val="28"/>
          <w:szCs w:val="28"/>
          <w:rtl w:val="true"/>
          <w:lang w:bidi="fa-IR"/>
        </w:rPr>
        <w:t>.</w:t>
      </w:r>
    </w:p>
    <w:p>
      <w:pPr>
        <w:pStyle w:val="Heading4"/>
        <w:numPr>
          <w:ilvl w:val="3"/>
          <w:numId w:val="1"/>
        </w:numPr>
        <w:rPr/>
      </w:pPr>
      <w:bookmarkStart w:id="7081" w:name="__RefHeading___Toc2571376_3650668749"/>
      <w:bookmarkStart w:id="7082" w:name="_Toc3197"/>
      <w:bookmarkEnd w:id="7081"/>
      <w:r>
        <w:rPr>
          <w:rtl w:val="true"/>
        </w:rPr>
        <w:t>[ (</w:t>
      </w:r>
      <w:r>
        <w:rPr>
          <w:rtl w:val="true"/>
        </w:rPr>
        <w:t xml:space="preserve">مسألة </w:t>
      </w:r>
      <w:r>
        <w:rPr/>
        <w:t>12</w:t>
      </w:r>
      <w:r>
        <w:rPr>
          <w:rtl w:val="true"/>
        </w:rPr>
        <w:t xml:space="preserve">): </w:t>
      </w:r>
      <w:r>
        <w:rPr>
          <w:rtl w:val="true"/>
        </w:rPr>
        <w:t>یشترط فی صحّة العقد تعیین الزوجین علیٰ وجه یمتازان عن غیرهما</w:t>
      </w:r>
      <w:r>
        <w:rPr>
          <w:rtl w:val="true"/>
        </w:rPr>
        <w:t>]</w:t>
      </w:r>
      <w:bookmarkEnd w:id="7082"/>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العقد تعیین الزوجین علیٰ وجه یمتازان عن غیرهما؛ بالاسم أو الإشارة أو الوصف الموجب لذلک،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إحدیٰ بناتی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بنتی فلانة من أحد بنیک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یشکل فیما لو کانا معیّنین بحسب قصد المتعاقدین و متمیّزین فی ذهنهما، لکن لم یعیّناهما عند إجراء الصیغة و لم یکن ما یدلّ علیه؛ من لفظ أو فعل أو قرینة خارجیّة مفهمة، کما إذا تقاولا </w:t>
      </w:r>
      <w:r>
        <w:rPr>
          <w:rStyle w:val="FootnoteAnchor"/>
          <w:rtl w:val="true"/>
        </w:rPr>
        <w:footnoteReference w:id="1847"/>
      </w:r>
      <w:bookmarkStart w:id="7083" w:name="pg1809_19858"/>
    </w:p>
    <w:p>
      <w:pPr>
        <w:pStyle w:val="BookText"/>
        <w:rPr/>
      </w:pPr>
      <w:bookmarkEnd w:id="7083"/>
      <w:r>
        <w:rPr>
          <w:rFonts w:ascii="IRNazanin" w:hAnsi="IRNazanin" w:eastAsia="IRNazanin"/>
          <w:color w:val="111111"/>
          <w:sz w:val="28"/>
          <w:sz w:val="28"/>
          <w:szCs w:val="28"/>
          <w:rtl w:val="true"/>
          <w:lang w:bidi="fa-IR"/>
        </w:rPr>
        <w:t>و تعاهدا علیٰ تزویج بنته الکبری من ابنه الکبیر و لکن فی مقام إجراء الصیغة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إحدیٰ بناتی من أحد بنیک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الآخر</w:t>
      </w:r>
      <w:r>
        <w:rPr>
          <w:rFonts w:eastAsia="IRNazanin" w:cs="IRNazanin"/>
          <w:color w:val="111111"/>
          <w:sz w:val="28"/>
          <w:szCs w:val="28"/>
          <w:rtl w:val="true"/>
          <w:lang w:bidi="fa-IR"/>
        </w:rPr>
        <w:t>.</w:t>
      </w:r>
    </w:p>
    <w:p>
      <w:pPr>
        <w:pStyle w:val="Heading4"/>
        <w:numPr>
          <w:ilvl w:val="3"/>
          <w:numId w:val="1"/>
        </w:numPr>
        <w:rPr/>
      </w:pPr>
      <w:bookmarkStart w:id="7084" w:name="__RefHeading___Toc2571378_3650668749"/>
      <w:bookmarkStart w:id="7085" w:name="_Toc3198"/>
      <w:bookmarkEnd w:id="7084"/>
      <w:r>
        <w:rPr>
          <w:rtl w:val="true"/>
        </w:rPr>
        <w:t>[ (</w:t>
      </w:r>
      <w:r>
        <w:rPr>
          <w:rtl w:val="true"/>
        </w:rPr>
        <w:t xml:space="preserve">مسألة </w:t>
      </w:r>
      <w:r>
        <w:rPr/>
        <w:t>13</w:t>
      </w:r>
      <w:r>
        <w:rPr>
          <w:rtl w:val="true"/>
        </w:rPr>
        <w:t xml:space="preserve">): </w:t>
      </w:r>
      <w:r>
        <w:rPr>
          <w:rtl w:val="true"/>
        </w:rPr>
        <w:t>لو اختلف الاسم مع الوصف أو اختلفا أو أحدهما مع الإشارة یتبع العقد</w:t>
      </w:r>
      <w:r>
        <w:rPr>
          <w:rtl w:val="true"/>
        </w:rPr>
        <w:t>]</w:t>
      </w:r>
      <w:bookmarkEnd w:id="70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 الاسم مع الوصف أو اختلفا أو أحدهما مع الإشارة یتبع العقد لما هو المقصود و یلغی ما وقع غلطاً و خطأً، فإذا کان المقصود تزویج البنت الکبری و تخیّل أنّ اسمها فاطمة و کانت المسمّاة بفاطمة هی الصغریٰ و کانت الکبری مسمّاة بخدیجة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الکبری من بناتی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العقد علی الکبری التی اسمها خدیجة و یلغی تسمیتها بفاطمة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المقصود تزویج فاطمة و تخیّل أنّها کبریٰ فتبیّن أنّها صغریٰ وقع العقد علی المسمّاة بفاطمة و أُلغی وصفها بأنّها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المقصود تزویج المرأة الحاضرة و تخیّل أنّها کبریٰ و اسمها فاطمة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هذه و هی فاطمة و هی الکبری من بناتی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أنّها الصغریٰ و اسمها خدیجة وقع العقد علی المشار إلیها و یلغی الاسم و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المقصود العقد علی الکبری فلمّا تخیّل أنّ هذه المرأة الحاضرة هی تلک الکبری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هذه و هی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العقد علیٰ تلک الکبری و تلغی الإشارة </w:t>
      </w:r>
      <w:r>
        <w:rPr>
          <w:rStyle w:val="FootnoteAnchor"/>
          <w:rtl w:val="true"/>
        </w:rPr>
        <w:footnoteReference w:id="1848"/>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Heading4"/>
        <w:numPr>
          <w:ilvl w:val="3"/>
          <w:numId w:val="1"/>
        </w:numPr>
        <w:rPr/>
      </w:pPr>
      <w:bookmarkStart w:id="7086" w:name="__RefHeading___Toc2571380_3650668749"/>
      <w:bookmarkStart w:id="7087" w:name="_Toc3199"/>
      <w:bookmarkEnd w:id="7086"/>
      <w:r>
        <w:rPr>
          <w:rtl w:val="true"/>
        </w:rPr>
        <w:t>[ (</w:t>
      </w:r>
      <w:r>
        <w:rPr>
          <w:rtl w:val="true"/>
        </w:rPr>
        <w:t xml:space="preserve">مسألة </w:t>
      </w:r>
      <w:r>
        <w:rPr/>
        <w:t>14</w:t>
      </w:r>
      <w:r>
        <w:rPr>
          <w:rtl w:val="true"/>
        </w:rPr>
        <w:t xml:space="preserve">): </w:t>
      </w:r>
      <w:r>
        <w:rPr>
          <w:rtl w:val="true"/>
        </w:rPr>
        <w:t>لا إشکال فی صحّة التوکیل فی النکاح من طرف واحد أو من طرفین</w:t>
      </w:r>
      <w:r>
        <w:rPr>
          <w:rtl w:val="true"/>
        </w:rPr>
        <w:t>]</w:t>
      </w:r>
      <w:bookmarkEnd w:id="70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صحّة التوکیل فی النکاح من طرف واحد أو من طرفین؛ بتوکیل الزوج أو الزوجة إن کانا کاملین أو بتوکیل ولیّهما إذا کانا قاصرین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 الوکیل أن لا یتعدّیٰ عمّا عیّنه الموکّل من حیث الشخص و المهر و سائر الخصوصیّات، فإن تعدّیٰ کان فضولیّاً موقوفاً علی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یجب علیه مراعاة مصلحة الموکّل، فإن تعدّیٰ و أتی بما هو خلاف المصلحة کان فضولیّاً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عیّن خصوصیّة تعیّن و نفذ عمل الوکیل و إن کان ذلک علیٰ خلاف مصلحة الموکّل</w:t>
      </w:r>
      <w:r>
        <w:rPr>
          <w:rFonts w:eastAsia="IRNazanin" w:cs="IRNazanin"/>
          <w:color w:val="111111"/>
          <w:sz w:val="28"/>
          <w:szCs w:val="28"/>
          <w:rtl w:val="true"/>
          <w:lang w:bidi="fa-IR"/>
        </w:rPr>
        <w:t>.</w:t>
      </w:r>
    </w:p>
    <w:p>
      <w:pPr>
        <w:pStyle w:val="Heading4"/>
        <w:numPr>
          <w:ilvl w:val="3"/>
          <w:numId w:val="1"/>
        </w:numPr>
        <w:rPr/>
      </w:pPr>
      <w:bookmarkStart w:id="7088" w:name="__RefHeading___Toc2571382_3650668749"/>
      <w:bookmarkStart w:id="7089" w:name="_Toc3200"/>
      <w:bookmarkEnd w:id="7088"/>
      <w:r>
        <w:rPr>
          <w:rtl w:val="true"/>
        </w:rPr>
        <w:t>[ (</w:t>
      </w:r>
      <w:r>
        <w:rPr>
          <w:rtl w:val="true"/>
        </w:rPr>
        <w:t xml:space="preserve">مسألة </w:t>
      </w:r>
      <w:r>
        <w:rPr/>
        <w:t>15</w:t>
      </w:r>
      <w:r>
        <w:rPr>
          <w:rtl w:val="true"/>
        </w:rPr>
        <w:t xml:space="preserve">): </w:t>
      </w:r>
      <w:r>
        <w:rPr>
          <w:rtl w:val="true"/>
        </w:rPr>
        <w:t>لو وکّلت المرأة رجلًا فی تزویجها لیس له أن یزوّجها من نفسه إلّا إذا صرّحت بالتعمیم</w:t>
      </w:r>
      <w:r>
        <w:rPr>
          <w:rtl w:val="true"/>
        </w:rPr>
        <w:t>]</w:t>
      </w:r>
      <w:bookmarkEnd w:id="7089"/>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وکّلت المرأة رجلًا فی تزویجها لیس له أن یزوّجها من نفسه إلّا إذا صرّحت بالتعمیم، أو کان کلامها بحسب متفاهم العرف ظاهراً فی العموم بحیث شمل نفسه</w:t>
      </w:r>
      <w:r>
        <w:rPr>
          <w:rFonts w:eastAsia="IRNazanin" w:cs="IRNazanin"/>
          <w:color w:val="111111"/>
          <w:sz w:val="28"/>
          <w:szCs w:val="28"/>
          <w:rtl w:val="true"/>
          <w:lang w:bidi="fa-IR"/>
        </w:rPr>
        <w:t>.</w:t>
      </w:r>
      <w:bookmarkStart w:id="7090" w:name="pg1809_19861"/>
    </w:p>
    <w:p>
      <w:pPr>
        <w:pStyle w:val="Heading4"/>
        <w:numPr>
          <w:ilvl w:val="3"/>
          <w:numId w:val="1"/>
        </w:numPr>
        <w:rPr/>
      </w:pPr>
      <w:bookmarkStart w:id="7091" w:name="__RefHeading___Toc2571384_3650668749"/>
      <w:bookmarkStart w:id="7092" w:name="_Toc3201"/>
      <w:bookmarkEnd w:id="7090"/>
      <w:bookmarkEnd w:id="7091"/>
      <w:r>
        <w:rPr>
          <w:rtl w:val="true"/>
        </w:rPr>
        <w:t>[ (</w:t>
      </w:r>
      <w:r>
        <w:rPr>
          <w:rtl w:val="true"/>
        </w:rPr>
        <w:t xml:space="preserve">مسألة </w:t>
      </w:r>
      <w:r>
        <w:rPr/>
        <w:t>16</w:t>
      </w:r>
      <w:r>
        <w:rPr>
          <w:rtl w:val="true"/>
        </w:rPr>
        <w:t xml:space="preserve">): </w:t>
      </w:r>
      <w:r>
        <w:rPr>
          <w:rtl w:val="true"/>
        </w:rPr>
        <w:t>الأقویٰ جواز تولّی شخص واحد فی طرفی العقد</w:t>
      </w:r>
      <w:r>
        <w:rPr>
          <w:rtl w:val="true"/>
        </w:rPr>
        <w:t>]</w:t>
      </w:r>
      <w:bookmarkEnd w:id="70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جواز تولّی شخص واحد فی طرفی العقد؛ بأن یکون موجباً و قابلًا من الطرفین؛ أصالة من طرف و وکالة من آخر، أو ولایة من الطرفین أو وکالة عنهما أو بالاختلاف، و إن کان الأحوط مع الإمکان تولّی الاثنین و عدم تولّی شخص واحد للطرفین، خصوصاً فی تولّی الزوج طرفی العقد أصالة من طرفه و وکالة عن الزوجة فی عقد الانقطاع، فإنّه لا یخلو من إشکال </w:t>
      </w:r>
      <w:r>
        <w:rPr>
          <w:rStyle w:val="FootnoteAnchor"/>
          <w:rtl w:val="true"/>
        </w:rPr>
        <w:footnoteReference w:id="1849"/>
      </w:r>
      <w:r>
        <w:rPr>
          <w:rFonts w:ascii="IRNazanin" w:hAnsi="IRNazanin" w:eastAsia="IRNazanin"/>
          <w:color w:val="111111"/>
          <w:sz w:val="28"/>
          <w:sz w:val="28"/>
          <w:szCs w:val="28"/>
          <w:rtl w:val="true"/>
          <w:lang w:bidi="fa-IR"/>
        </w:rPr>
        <w:t>، فلا ینبغی فیه ترک الاحتیاط</w:t>
      </w:r>
      <w:r>
        <w:rPr>
          <w:rFonts w:eastAsia="IRNazanin" w:cs="IRNazanin"/>
          <w:color w:val="111111"/>
          <w:sz w:val="28"/>
          <w:szCs w:val="28"/>
          <w:rtl w:val="true"/>
          <w:lang w:bidi="fa-IR"/>
        </w:rPr>
        <w:t>.</w:t>
      </w:r>
    </w:p>
    <w:p>
      <w:pPr>
        <w:pStyle w:val="Heading4"/>
        <w:numPr>
          <w:ilvl w:val="3"/>
          <w:numId w:val="1"/>
        </w:numPr>
        <w:rPr/>
      </w:pPr>
      <w:bookmarkStart w:id="7093" w:name="__RefHeading___Toc2571386_3650668749"/>
      <w:bookmarkStart w:id="7094" w:name="_Toc3202"/>
      <w:bookmarkEnd w:id="7093"/>
      <w:r>
        <w:rPr>
          <w:rtl w:val="true"/>
        </w:rPr>
        <w:t>[ (</w:t>
      </w:r>
      <w:r>
        <w:rPr>
          <w:rtl w:val="true"/>
        </w:rPr>
        <w:t xml:space="preserve">مسألة </w:t>
      </w:r>
      <w:r>
        <w:rPr/>
        <w:t>17</w:t>
      </w:r>
      <w:r>
        <w:rPr>
          <w:rtl w:val="true"/>
        </w:rPr>
        <w:t xml:space="preserve">): </w:t>
      </w:r>
      <w:r>
        <w:rPr>
          <w:rtl w:val="true"/>
        </w:rPr>
        <w:t>إذا وکّلا وکیلًا فی العقد فی زمان معیّن، لا یجوز لهما المقاربة بعد ذلک الزمان</w:t>
      </w:r>
      <w:r>
        <w:rPr>
          <w:rtl w:val="true"/>
        </w:rPr>
        <w:t>]</w:t>
      </w:r>
      <w:bookmarkEnd w:id="70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وکّلا وکیلًا فی العقد فی زمان معیّن، لا یجوز لهما المقاربة بعد ذلک الزمان ما لم یحصل لهما العلم بإیقاعه، و لا یکفی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أخبر الوکیل بالإیقاع کفیٰ؛ لأنّ قوله حجّة فیما وکّل فیه</w:t>
      </w:r>
      <w:r>
        <w:rPr>
          <w:rFonts w:eastAsia="IRNazanin" w:cs="IRNazanin"/>
          <w:color w:val="111111"/>
          <w:sz w:val="28"/>
          <w:szCs w:val="28"/>
          <w:rtl w:val="true"/>
          <w:lang w:bidi="fa-IR"/>
        </w:rPr>
        <w:t>.</w:t>
      </w:r>
    </w:p>
    <w:p>
      <w:pPr>
        <w:pStyle w:val="Heading4"/>
        <w:numPr>
          <w:ilvl w:val="3"/>
          <w:numId w:val="1"/>
        </w:numPr>
        <w:rPr/>
      </w:pPr>
      <w:bookmarkStart w:id="7095" w:name="__RefHeading___Toc2571388_3650668749"/>
      <w:bookmarkStart w:id="7096" w:name="_Toc3203"/>
      <w:bookmarkEnd w:id="7095"/>
      <w:r>
        <w:rPr>
          <w:rtl w:val="true"/>
        </w:rPr>
        <w:t>[ (</w:t>
      </w:r>
      <w:r>
        <w:rPr>
          <w:rtl w:val="true"/>
        </w:rPr>
        <w:t xml:space="preserve">مسألة </w:t>
      </w:r>
      <w:r>
        <w:rPr/>
        <w:t>18</w:t>
      </w:r>
      <w:r>
        <w:rPr>
          <w:rtl w:val="true"/>
        </w:rPr>
        <w:t xml:space="preserve">): </w:t>
      </w:r>
      <w:r>
        <w:rPr>
          <w:rtl w:val="true"/>
        </w:rPr>
        <w:t>لا یجوز اشتراط الخیار فی عقد النکاح دواماً أو انقطاعاً</w:t>
      </w:r>
      <w:r>
        <w:rPr>
          <w:rtl w:val="true"/>
        </w:rPr>
        <w:t>]</w:t>
      </w:r>
      <w:bookmarkEnd w:id="70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اشتراط الخیار فی عقد النکاح دواماً أو انقطاعاً؛ لا للزوج و لا للزوجة، فلو شرطاه بطل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المشهور علیٰ بطلان العقد أیضاً، و قیل ببطلان الشرط دون العقد و 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اشتراط الخیار فی المهر مع تعیین المدّة، فلو فسخ ذو الخیار سقط المهر المسمّی فیکون کالعقد بلا ذکر المهر، فیرجع إلیٰ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العقد الدائم الذی لا یعتبر فیه ذکر المهر، و أمّا المتعة التی لا تصحّ بلا مهر، فالظاهر </w:t>
      </w:r>
      <w:r>
        <w:rPr>
          <w:rStyle w:val="FootnoteAnchor"/>
          <w:rtl w:val="true"/>
        </w:rPr>
        <w:footnoteReference w:id="1850"/>
      </w:r>
      <w:r>
        <w:rPr>
          <w:rFonts w:ascii="IRNazanin" w:hAnsi="IRNazanin" w:eastAsia="IRNazanin"/>
          <w:color w:val="111111"/>
          <w:sz w:val="28"/>
          <w:sz w:val="28"/>
          <w:szCs w:val="28"/>
          <w:rtl w:val="true"/>
          <w:lang w:bidi="fa-IR"/>
        </w:rPr>
        <w:t>أنّه لا یصحّ فیها اشتراط الخیار فی المهر</w:t>
      </w:r>
      <w:r>
        <w:rPr>
          <w:rFonts w:eastAsia="IRNazanin" w:cs="IRNazanin"/>
          <w:color w:val="111111"/>
          <w:sz w:val="28"/>
          <w:szCs w:val="28"/>
          <w:rtl w:val="true"/>
          <w:lang w:bidi="fa-IR"/>
        </w:rPr>
        <w:t>.</w:t>
      </w:r>
    </w:p>
    <w:p>
      <w:pPr>
        <w:pStyle w:val="Heading4"/>
        <w:numPr>
          <w:ilvl w:val="3"/>
          <w:numId w:val="1"/>
        </w:numPr>
        <w:rPr/>
      </w:pPr>
      <w:bookmarkStart w:id="7097" w:name="__RefHeading___Toc2571390_3650668749"/>
      <w:bookmarkStart w:id="7098" w:name="_Toc3204"/>
      <w:bookmarkEnd w:id="7097"/>
      <w:r>
        <w:rPr>
          <w:rtl w:val="true"/>
        </w:rPr>
        <w:t>[ (</w:t>
      </w:r>
      <w:r>
        <w:rPr>
          <w:rtl w:val="true"/>
        </w:rPr>
        <w:t xml:space="preserve">مسألة </w:t>
      </w:r>
      <w:r>
        <w:rPr/>
        <w:t>19</w:t>
      </w:r>
      <w:r>
        <w:rPr>
          <w:rtl w:val="true"/>
        </w:rPr>
        <w:t xml:space="preserve">): </w:t>
      </w:r>
      <w:r>
        <w:rPr>
          <w:rtl w:val="true"/>
        </w:rPr>
        <w:t>إذا ادّعیٰ رجل زوجیّة امرأة فصدّقته، أو ادّعت امرأة زوجیّة رجل فصدّقها</w:t>
      </w:r>
      <w:r>
        <w:rPr>
          <w:rtl w:val="true"/>
        </w:rPr>
        <w:t>]</w:t>
      </w:r>
      <w:bookmarkEnd w:id="7098"/>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ادّعیٰ رجل زوجیّة امرأة فصدّقته، أو ادّعت امرأة زوجیّة رجل فصدّقها، حکم لهما </w:t>
      </w:r>
      <w:r>
        <w:rPr>
          <w:rStyle w:val="FootnoteAnchor"/>
          <w:rtl w:val="true"/>
        </w:rPr>
        <w:footnoteReference w:id="1851"/>
      </w:r>
      <w:r>
        <w:rPr>
          <w:rFonts w:ascii="IRNazanin" w:hAnsi="IRNazanin" w:eastAsia="IRNazanin"/>
          <w:color w:val="111111"/>
          <w:sz w:val="28"/>
          <w:sz w:val="28"/>
          <w:szCs w:val="28"/>
          <w:rtl w:val="true"/>
          <w:lang w:bidi="fa-IR"/>
        </w:rPr>
        <w:t>بذلک، و لیس لأحد الاعتراض علیهما، من غیر فرق بین کونهما بلدیّین معروفین أو 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ادّعیٰ أحدهما الزوجیّة و أنکر الآخر، فالبیّنة علی المدّعی و الیمین علیٰ من أنکر، فإن کان للمدّعی بیّنة حکم له و إلّا فیتوجّه الیمین علی المنکر، فإن حلف سقط دعوی المدّعی و إن نکل عن الیمین </w:t>
      </w:r>
      <w:r>
        <w:rPr>
          <w:rStyle w:val="FootnoteAnchor"/>
          <w:rtl w:val="true"/>
        </w:rPr>
        <w:footnoteReference w:id="1852"/>
      </w:r>
      <w:r>
        <w:rPr>
          <w:rFonts w:ascii="IRNazanin" w:hAnsi="IRNazanin" w:eastAsia="IRNazanin"/>
          <w:color w:val="111111"/>
          <w:sz w:val="28"/>
          <w:sz w:val="28"/>
          <w:szCs w:val="28"/>
          <w:rtl w:val="true"/>
          <w:lang w:bidi="fa-IR"/>
        </w:rPr>
        <w:t>ثبت دعواه، و إن ردّ الیمین علی المدّعی و حلف ثبت دعواه، و إن نکل 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موازین القضاء و قواعد</w:t>
      </w:r>
      <w:bookmarkStart w:id="7099" w:name="pg1809_19863"/>
    </w:p>
    <w:p>
      <w:pPr>
        <w:pStyle w:val="BookText"/>
        <w:rPr/>
      </w:pPr>
      <w:bookmarkEnd w:id="7099"/>
      <w:r>
        <w:rPr>
          <w:rFonts w:ascii="Amiri" w:hAnsi="Amiri" w:eastAsia="Amiri" w:cs="Amiri"/>
          <w:color w:val="111111"/>
          <w:sz w:val="28"/>
          <w:sz w:val="28"/>
          <w:szCs w:val="28"/>
          <w:rtl w:val="true"/>
          <w:lang w:bidi="ar-SA"/>
        </w:rPr>
        <w:t>الدعویٰ، و أمّا بحسب الواقع فیجب علیٰ کلّ منهما العمل علیٰ ما هو تکلیفه بینه و بین اللّٰه تعالیٰ</w:t>
      </w:r>
      <w:r>
        <w:rPr>
          <w:rFonts w:eastAsia="Amiri" w:cs="Amiri" w:ascii="Amiri" w:hAnsi="Amiri"/>
          <w:color w:val="111111"/>
          <w:sz w:val="28"/>
          <w:szCs w:val="28"/>
          <w:rtl w:val="true"/>
          <w:lang w:bidi="ar-SA"/>
        </w:rPr>
        <w:t>.</w:t>
      </w:r>
    </w:p>
    <w:p>
      <w:pPr>
        <w:pStyle w:val="Heading4"/>
        <w:numPr>
          <w:ilvl w:val="3"/>
          <w:numId w:val="1"/>
        </w:numPr>
        <w:rPr/>
      </w:pPr>
      <w:bookmarkStart w:id="7100" w:name="__RefHeading___Toc2571392_3650668749"/>
      <w:bookmarkStart w:id="7101" w:name="_Toc3205"/>
      <w:bookmarkEnd w:id="7100"/>
      <w:r>
        <w:rPr>
          <w:rtl w:val="true"/>
        </w:rPr>
        <w:t>[ (</w:t>
      </w:r>
      <w:r>
        <w:rPr>
          <w:rtl w:val="true"/>
        </w:rPr>
        <w:t xml:space="preserve">مسألة </w:t>
      </w:r>
      <w:r>
        <w:rPr/>
        <w:t>20</w:t>
      </w:r>
      <w:r>
        <w:rPr>
          <w:rtl w:val="true"/>
        </w:rPr>
        <w:t xml:space="preserve">): </w:t>
      </w:r>
      <w:r>
        <w:rPr>
          <w:rtl w:val="true"/>
        </w:rPr>
        <w:t>إذا رجع المنکر عن إنکاره إلی الإقرار، یسمع منه و یحکم بالزوجیّة بینهما</w:t>
      </w:r>
      <w:r>
        <w:rPr>
          <w:rtl w:val="true"/>
        </w:rPr>
        <w:t>]</w:t>
      </w:r>
      <w:bookmarkEnd w:id="7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المنکر عن إنکاره إلی الإقرار، یسمع منه و یحکم بالزوجیّة بینهما و إن کان ذلک بعد الحلف علی الأقویٰ</w:t>
      </w:r>
      <w:r>
        <w:rPr>
          <w:rFonts w:eastAsia="IRNazanin" w:cs="IRNazanin"/>
          <w:color w:val="111111"/>
          <w:sz w:val="28"/>
          <w:szCs w:val="28"/>
          <w:rtl w:val="true"/>
          <w:lang w:bidi="fa-IR"/>
        </w:rPr>
        <w:t>.</w:t>
      </w:r>
    </w:p>
    <w:p>
      <w:pPr>
        <w:pStyle w:val="Heading4"/>
        <w:numPr>
          <w:ilvl w:val="3"/>
          <w:numId w:val="1"/>
        </w:numPr>
        <w:rPr/>
      </w:pPr>
      <w:bookmarkStart w:id="7102" w:name="__RefHeading___Toc2571394_3650668749"/>
      <w:bookmarkStart w:id="7103" w:name="_Toc3206"/>
      <w:bookmarkEnd w:id="7102"/>
      <w:r>
        <w:rPr>
          <w:rtl w:val="true"/>
        </w:rPr>
        <w:t>[ (</w:t>
      </w:r>
      <w:r>
        <w:rPr>
          <w:rtl w:val="true"/>
        </w:rPr>
        <w:t xml:space="preserve">مسألة </w:t>
      </w:r>
      <w:r>
        <w:rPr/>
        <w:t>21</w:t>
      </w:r>
      <w:r>
        <w:rPr>
          <w:rtl w:val="true"/>
        </w:rPr>
        <w:t xml:space="preserve">): </w:t>
      </w:r>
      <w:r>
        <w:rPr>
          <w:rtl w:val="true"/>
        </w:rPr>
        <w:t>إذا ادّعیٰ رجل زوجیّة امرأة و أنکرت، فهل لها أن تتزوّج من غیره</w:t>
      </w:r>
      <w:r>
        <w:rPr>
          <w:rtl w:val="true"/>
        </w:rPr>
        <w:t>]</w:t>
      </w:r>
      <w:bookmarkEnd w:id="7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رجل زوجیّة امرأة و أنکرت، فهل لها أن تتزوّج من غیره و للغیر أن یتزوّجها قبل فصل الدعویٰ و الحکم ببطلان دعوی المدّعی أم لا؟ وجهان، أقواهما الأوّل، خصوصاً فیما لو تراخی المدّعی فی الدعویٰ أو سکت عنها حتّی طال الأمر علیها، و حینئذٍ إن أقام المدّعی بعد العقد علیها بیّنة حکم له بها و بفساد العقد علیها، و إن لم تکن بیّنة یتوجّه الیمین علی المعقود علیها، فإن حلفت بقیت علیٰ زوجیّتها و سقطت دعوی المدّعی، و کذا لو ردّت الیمین إلی المدّعی و نکل عن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الإشکال فیما إذا نکلت عن الیمین أو ردّت الیمین إلی المدّعی و حلف، فهل یحکم بسببهما علیٰ فساد العقد علیها فیفرّق بینها و بین زوجها أم لا؟ وجهان، أوجههما الثانی، لکن إذا طلّقها الذی عقد علیها أو مات عنها زال المانع فتردّ علی المدّعی بسبب نکولها </w:t>
      </w:r>
      <w:r>
        <w:rPr>
          <w:rStyle w:val="FootnoteAnchor"/>
          <w:rtl w:val="true"/>
        </w:rPr>
        <w:footnoteReference w:id="1853"/>
      </w:r>
      <w:r>
        <w:rPr>
          <w:rFonts w:ascii="IRNazanin" w:hAnsi="IRNazanin" w:eastAsia="IRNazanin"/>
          <w:color w:val="111111"/>
          <w:sz w:val="28"/>
          <w:sz w:val="28"/>
          <w:szCs w:val="28"/>
          <w:rtl w:val="true"/>
          <w:lang w:bidi="fa-IR"/>
        </w:rPr>
        <w:t>عن الیمین أو الیمین المردودة</w:t>
      </w:r>
      <w:r>
        <w:rPr>
          <w:rFonts w:eastAsia="IRNazanin" w:cs="IRNazanin"/>
          <w:color w:val="111111"/>
          <w:sz w:val="28"/>
          <w:szCs w:val="28"/>
          <w:rtl w:val="true"/>
          <w:lang w:bidi="fa-IR"/>
        </w:rPr>
        <w:t>.</w:t>
      </w:r>
    </w:p>
    <w:p>
      <w:pPr>
        <w:pStyle w:val="Heading4"/>
        <w:numPr>
          <w:ilvl w:val="3"/>
          <w:numId w:val="1"/>
        </w:numPr>
        <w:rPr/>
      </w:pPr>
      <w:bookmarkStart w:id="7104" w:name="__RefHeading___Toc2571396_3650668749"/>
      <w:bookmarkStart w:id="7105" w:name="_Toc3207"/>
      <w:bookmarkEnd w:id="7104"/>
      <w:r>
        <w:rPr>
          <w:rtl w:val="true"/>
        </w:rPr>
        <w:t>[ (</w:t>
      </w:r>
      <w:r>
        <w:rPr>
          <w:rtl w:val="true"/>
        </w:rPr>
        <w:t xml:space="preserve">مسألة </w:t>
      </w:r>
      <w:r>
        <w:rPr/>
        <w:t>22</w:t>
      </w:r>
      <w:r>
        <w:rPr>
          <w:rtl w:val="true"/>
        </w:rPr>
        <w:t xml:space="preserve">): </w:t>
      </w:r>
      <w:r>
        <w:rPr>
          <w:rtl w:val="true"/>
        </w:rPr>
        <w:t>یجوز تزویج امرأة تدّعی أنّها خلیّة من الزوج مع احتمال صدقها من غیر فحص</w:t>
      </w:r>
      <w:r>
        <w:rPr>
          <w:rtl w:val="true"/>
        </w:rPr>
        <w:t>]</w:t>
      </w:r>
      <w:bookmarkEnd w:id="7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تزویج امرأة تدّعی أنّها خلیّة من الزوج مع احتمال صدقها من غیر فحص، حتّی فیما إذا کانت ذات بعل سابقاً فادّعت طلاقها أو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کانت متّهمة فی دعواها، فالأحوط </w:t>
      </w:r>
      <w:r>
        <w:rPr>
          <w:rStyle w:val="FootnoteAnchor"/>
          <w:rtl w:val="true"/>
        </w:rPr>
        <w:footnoteReference w:id="1854"/>
      </w:r>
      <w:r>
        <w:rPr>
          <w:rFonts w:ascii="IRNazanin" w:hAnsi="IRNazanin" w:eastAsia="IRNazanin"/>
          <w:color w:val="111111"/>
          <w:sz w:val="28"/>
          <w:sz w:val="28"/>
          <w:szCs w:val="28"/>
          <w:rtl w:val="true"/>
          <w:lang w:bidi="fa-IR"/>
        </w:rPr>
        <w:t>الفحص عن حالها، فمن غاب غیبة منقطعة لم یعلم موته و حیاته إذا ادّعت زوجته حصول العلم لها بموته من الأمارات و القرائن و إخبار المخبرین جاز تزویجها و إن لم یحصل العلم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للوکیل أن یجری العقد علیها إذا لم یعلم کذبها فی دعوی العلم، و لکنّ الأحوط الترک، خصوصاً إذا کانت متّهمة</w:t>
      </w:r>
      <w:r>
        <w:rPr>
          <w:rFonts w:eastAsia="IRNazanin" w:cs="IRNazanin"/>
          <w:color w:val="111111"/>
          <w:sz w:val="28"/>
          <w:szCs w:val="28"/>
          <w:rtl w:val="true"/>
          <w:lang w:bidi="fa-IR"/>
        </w:rPr>
        <w:t>.</w:t>
      </w:r>
    </w:p>
    <w:p>
      <w:pPr>
        <w:pStyle w:val="Heading4"/>
        <w:numPr>
          <w:ilvl w:val="3"/>
          <w:numId w:val="1"/>
        </w:numPr>
        <w:rPr/>
      </w:pPr>
      <w:bookmarkStart w:id="7106" w:name="__RefHeading___Toc2571398_3650668749"/>
      <w:bookmarkStart w:id="7107" w:name="_Toc3208"/>
      <w:bookmarkEnd w:id="7106"/>
      <w:r>
        <w:rPr>
          <w:rtl w:val="true"/>
        </w:rPr>
        <w:t>[ (</w:t>
      </w:r>
      <w:r>
        <w:rPr>
          <w:rtl w:val="true"/>
        </w:rPr>
        <w:t xml:space="preserve">مسألة </w:t>
      </w:r>
      <w:r>
        <w:rPr/>
        <w:t>23</w:t>
      </w:r>
      <w:r>
        <w:rPr>
          <w:rtl w:val="true"/>
        </w:rPr>
        <w:t xml:space="preserve">): </w:t>
      </w:r>
      <w:r>
        <w:rPr>
          <w:rtl w:val="true"/>
        </w:rPr>
        <w:t>إذا تزوّج بامرأة تدّعی أنّها خلیّة عن الزوج، فادّعیٰ رجل آخر زوجیّتها</w:t>
      </w:r>
      <w:r>
        <w:rPr>
          <w:rtl w:val="true"/>
        </w:rPr>
        <w:t>]</w:t>
      </w:r>
      <w:bookmarkEnd w:id="7107"/>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بامرأة تدّعی أنّها خلیّة عن الزوج، فادّعیٰ رجل آخر زوجیّتها، فهذه الدعویٰ متوجّهة علیٰ کلّ من الزوج و الزوجة، فإن أقام المدّعی بیّنة شرعیّة حکم له علیهما و فرّق بینهما و سلمت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عدم البیّنة توجّه الیمین علیهما، فإن حلفا معاً علیٰ عدم زوجیّته سقطت دعواه علیهما، و إن نکلا </w:t>
      </w:r>
      <w:r>
        <w:rPr>
          <w:rStyle w:val="FootnoteAnchor"/>
          <w:rtl w:val="true"/>
        </w:rPr>
        <w:footnoteReference w:id="1855"/>
      </w:r>
      <w:r>
        <w:rPr>
          <w:rFonts w:ascii="IRNazanin" w:hAnsi="IRNazanin" w:eastAsia="IRNazanin"/>
          <w:color w:val="111111"/>
          <w:sz w:val="28"/>
          <w:sz w:val="28"/>
          <w:szCs w:val="28"/>
          <w:rtl w:val="true"/>
          <w:lang w:bidi="fa-IR"/>
        </w:rPr>
        <w:t>عن الیمین أو ردّاها علیه و حلف ثبت</w:t>
      </w:r>
      <w:bookmarkStart w:id="7108" w:name="pg1809_19865"/>
    </w:p>
    <w:p>
      <w:pPr>
        <w:pStyle w:val="BookText"/>
        <w:rPr/>
      </w:pPr>
      <w:bookmarkEnd w:id="7108"/>
      <w:r>
        <w:rPr>
          <w:rFonts w:ascii="IRNazanin" w:hAnsi="IRNazanin" w:eastAsia="IRNazanin"/>
          <w:color w:val="111111"/>
          <w:sz w:val="28"/>
          <w:sz w:val="28"/>
          <w:szCs w:val="28"/>
          <w:rtl w:val="true"/>
          <w:lang w:bidi="fa-IR"/>
        </w:rPr>
        <w:t>مدّعاه، و إن حلف أحدهما دون الآخر؛ بأن نکل عن الیمین أو ردّ الیمین علی المدّعی، فحلف سقط دعواه بالنسبة إلی الحالف، و أمّا بالنسبة إلی الآخر و إن ثبت دعوی المدّعی بالنسبة إلیه لکن لیس لهذا الثبوت أثر بالنسبة إلیٰ من حلف، فإن کان الحالف هو الزوج و الناکل هی الزوجة لیس لنکولها أثر بالنسبة إلی الزوج، إلّا أنّه لو طلّقها أو مات عنها ردّت إلی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الحالف هی الزوجة و الناکل هو الزوج سقطت دعوی المدّعی بالنسبة إلیها و لیس له سبیل إلیها علیٰ کلّ حال</w:t>
      </w:r>
      <w:r>
        <w:rPr>
          <w:rFonts w:eastAsia="IRNazanin" w:cs="IRNazanin"/>
          <w:color w:val="111111"/>
          <w:sz w:val="28"/>
          <w:szCs w:val="28"/>
          <w:rtl w:val="true"/>
          <w:lang w:bidi="fa-IR"/>
        </w:rPr>
        <w:t>.</w:t>
      </w:r>
    </w:p>
    <w:p>
      <w:pPr>
        <w:pStyle w:val="Heading4"/>
        <w:numPr>
          <w:ilvl w:val="3"/>
          <w:numId w:val="1"/>
        </w:numPr>
        <w:rPr/>
      </w:pPr>
      <w:bookmarkStart w:id="7109" w:name="__RefHeading___Toc2571400_3650668749"/>
      <w:bookmarkStart w:id="7110" w:name="_Toc3209"/>
      <w:bookmarkEnd w:id="7109"/>
      <w:r>
        <w:rPr>
          <w:rtl w:val="true"/>
        </w:rPr>
        <w:t>[ (</w:t>
      </w:r>
      <w:r>
        <w:rPr>
          <w:rtl w:val="true"/>
        </w:rPr>
        <w:t xml:space="preserve">مسألة </w:t>
      </w:r>
      <w:r>
        <w:rPr/>
        <w:t>24</w:t>
      </w:r>
      <w:r>
        <w:rPr>
          <w:rtl w:val="true"/>
        </w:rPr>
        <w:t xml:space="preserve">): </w:t>
      </w:r>
      <w:r>
        <w:rPr>
          <w:rtl w:val="true"/>
        </w:rPr>
        <w:t>إذا ادّعت امرأة أنّها خلیّة فتزوّجها رجل، ثمّ ادّعت بعد ذلک أنّها کانت ذات بعل لم تسمع دعواها</w:t>
      </w:r>
      <w:r>
        <w:rPr>
          <w:rtl w:val="true"/>
        </w:rPr>
        <w:t>]</w:t>
      </w:r>
      <w:bookmarkEnd w:id="7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ادّعت امرأة أنّها خلیّة فتزوّجها رجل، ثمّ ادّعت بعد ذلک أنّها کانت ذات بعل لم تسمع دعواها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أقامت البیّنة علیٰ ذلک فرّق بینهما، و یکفی فی ذلک أن تشهد بأنّها ذات </w:t>
      </w:r>
      <w:r>
        <w:rPr>
          <w:rStyle w:val="FootnoteAnchor"/>
          <w:rtl w:val="true"/>
        </w:rPr>
        <w:footnoteReference w:id="1856"/>
      </w:r>
      <w:r>
        <w:rPr>
          <w:rFonts w:ascii="IRNazanin" w:hAnsi="IRNazanin" w:eastAsia="IRNazanin"/>
          <w:color w:val="111111"/>
          <w:sz w:val="28"/>
          <w:sz w:val="28"/>
          <w:szCs w:val="28"/>
          <w:rtl w:val="true"/>
          <w:lang w:bidi="fa-IR"/>
        </w:rPr>
        <w:t>بعل من غیر تعیین زوج معیّن</w:t>
      </w:r>
      <w:r>
        <w:rPr>
          <w:rFonts w:eastAsia="IRNazanin" w:cs="IRNazanin"/>
          <w:color w:val="111111"/>
          <w:sz w:val="28"/>
          <w:szCs w:val="28"/>
          <w:rtl w:val="true"/>
          <w:lang w:bidi="fa-IR"/>
        </w:rPr>
        <w:t>.</w:t>
      </w:r>
    </w:p>
    <w:p>
      <w:pPr>
        <w:pStyle w:val="Heading4"/>
        <w:numPr>
          <w:ilvl w:val="3"/>
          <w:numId w:val="1"/>
        </w:numPr>
        <w:rPr/>
      </w:pPr>
      <w:bookmarkStart w:id="7111" w:name="__RefHeading___Toc2571402_3650668749"/>
      <w:bookmarkStart w:id="7112" w:name="_Toc3210"/>
      <w:bookmarkEnd w:id="7111"/>
      <w:r>
        <w:rPr>
          <w:rtl w:val="true"/>
        </w:rPr>
        <w:t>[ (</w:t>
      </w:r>
      <w:r>
        <w:rPr>
          <w:rtl w:val="true"/>
        </w:rPr>
        <w:t xml:space="preserve">مسألة </w:t>
      </w:r>
      <w:r>
        <w:rPr/>
        <w:t>25</w:t>
      </w:r>
      <w:r>
        <w:rPr>
          <w:rtl w:val="true"/>
        </w:rPr>
        <w:t xml:space="preserve">): </w:t>
      </w:r>
      <w:r>
        <w:rPr>
          <w:rtl w:val="true"/>
        </w:rPr>
        <w:t>یشترط فی صحّة العقد الاختیار</w:t>
      </w:r>
      <w:r>
        <w:rPr>
          <w:rtl w:val="true"/>
        </w:rPr>
        <w:t>]</w:t>
      </w:r>
      <w:bookmarkEnd w:id="7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العقد الاختیار أعنی اختیار الزوجین فلو أُکرها أو أُکره أحدهما علی الزواج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لحقه الرضا صحّ علی الأقویٰ</w:t>
      </w:r>
      <w:r>
        <w:rPr>
          <w:rFonts w:eastAsia="IRNazanin" w:cs="IRNazanin"/>
          <w:color w:val="111111"/>
          <w:sz w:val="28"/>
          <w:szCs w:val="28"/>
          <w:rtl w:val="true"/>
          <w:lang w:bidi="fa-IR"/>
        </w:rPr>
        <w:t>.</w:t>
      </w:r>
    </w:p>
    <w:p>
      <w:pPr>
        <w:pStyle w:val="Heading3"/>
        <w:numPr>
          <w:ilvl w:val="2"/>
          <w:numId w:val="1"/>
        </w:numPr>
        <w:rPr/>
      </w:pPr>
      <w:bookmarkStart w:id="7113" w:name="__RefHeading___Toc2571404_3650668749"/>
      <w:bookmarkStart w:id="7114" w:name="_Toc3211"/>
      <w:bookmarkEnd w:id="7113"/>
      <w:r>
        <w:rPr>
          <w:rtl w:val="true"/>
        </w:rPr>
        <w:t>[</w:t>
      </w:r>
      <w:r>
        <w:rPr>
          <w:rtl w:val="true"/>
        </w:rPr>
        <w:t>فصل فی أولیاء العقد</w:t>
      </w:r>
      <w:r>
        <w:rPr>
          <w:rtl w:val="true"/>
        </w:rPr>
        <w:t>]</w:t>
      </w:r>
      <w:bookmarkEnd w:id="7114"/>
    </w:p>
    <w:p>
      <w:pPr>
        <w:pStyle w:val="Heading4"/>
        <w:numPr>
          <w:ilvl w:val="3"/>
          <w:numId w:val="1"/>
        </w:numPr>
        <w:rPr/>
      </w:pPr>
      <w:bookmarkStart w:id="7115" w:name="__RefHeading___Toc2571406_3650668749"/>
      <w:bookmarkStart w:id="7116" w:name="_Toc3212"/>
      <w:bookmarkEnd w:id="7115"/>
      <w:r>
        <w:rPr>
          <w:rtl w:val="true"/>
        </w:rPr>
        <w:t>اشارة</w:t>
      </w:r>
      <w:bookmarkEnd w:id="7116"/>
    </w:p>
    <w:p>
      <w:pPr>
        <w:pStyle w:val="BookText"/>
        <w:rPr/>
      </w:pPr>
      <w:r>
        <w:rPr>
          <w:rFonts w:ascii="IRNazanin" w:hAnsi="IRNazanin" w:eastAsia="IRNazanin"/>
          <w:color w:val="111111"/>
          <w:sz w:val="28"/>
          <w:sz w:val="28"/>
          <w:szCs w:val="28"/>
          <w:rtl w:val="true"/>
          <w:lang w:bidi="fa-IR"/>
        </w:rPr>
        <w:t>فصل فی أولیاء العقد</w:t>
      </w:r>
    </w:p>
    <w:p>
      <w:pPr>
        <w:pStyle w:val="Heading4"/>
        <w:numPr>
          <w:ilvl w:val="3"/>
          <w:numId w:val="1"/>
        </w:numPr>
        <w:rPr/>
      </w:pPr>
      <w:bookmarkStart w:id="7117" w:name="__RefHeading___Toc2571408_3650668749"/>
      <w:bookmarkStart w:id="7118" w:name="_Toc3213"/>
      <w:bookmarkEnd w:id="7117"/>
      <w:r>
        <w:rPr>
          <w:rtl w:val="true"/>
        </w:rPr>
        <w:t>[ (</w:t>
      </w:r>
      <w:r>
        <w:rPr>
          <w:rtl w:val="true"/>
        </w:rPr>
        <w:t xml:space="preserve">مسألة </w:t>
      </w:r>
      <w:r>
        <w:rPr/>
        <w:t>1</w:t>
      </w:r>
      <w:r>
        <w:rPr>
          <w:rtl w:val="true"/>
        </w:rPr>
        <w:t xml:space="preserve">): </w:t>
      </w:r>
      <w:r>
        <w:rPr>
          <w:rtl w:val="true"/>
        </w:rPr>
        <w:t>للأب و الجدّ من طرف الأب بمعنی أب الأب فصاعداً ولایة</w:t>
      </w:r>
      <w:r>
        <w:rPr>
          <w:rtl w:val="true"/>
        </w:rPr>
        <w:t>]</w:t>
      </w:r>
      <w:bookmarkEnd w:id="7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للأب و الجدّ من طرف الأب بمعنی أب الأب فصاعداً ولایة علی الصغیر و الصغیرة و المجنون المتّصل جنونه بالبلوغ، و أمّا المنفصل عنه ففیه إشکال </w:t>
      </w:r>
      <w:r>
        <w:rPr>
          <w:rStyle w:val="FootnoteAnchor"/>
          <w:rtl w:val="true"/>
        </w:rPr>
        <w:footnoteReference w:id="1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ولایة للأُمّ علیهم و للجدّ من طرف الامّ و لو من قبل أُمّ الأب؛ بأن کان أباً لأُمّ الأب مثلًا، و لا للأخ و العمّ و الخال و أولادهم</w:t>
      </w:r>
      <w:r>
        <w:rPr>
          <w:rFonts w:eastAsia="Amiri" w:cs="Amiri" w:ascii="Amiri" w:hAnsi="Amiri"/>
          <w:color w:val="111111"/>
          <w:sz w:val="28"/>
          <w:szCs w:val="28"/>
          <w:rtl w:val="true"/>
          <w:lang w:bidi="ar-SA"/>
        </w:rPr>
        <w:t>.</w:t>
      </w:r>
    </w:p>
    <w:p>
      <w:pPr>
        <w:pStyle w:val="Heading4"/>
        <w:numPr>
          <w:ilvl w:val="3"/>
          <w:numId w:val="1"/>
        </w:numPr>
        <w:rPr/>
      </w:pPr>
      <w:bookmarkStart w:id="7119" w:name="__RefHeading___Toc2571410_3650668749"/>
      <w:bookmarkStart w:id="7120" w:name="_Toc3214"/>
      <w:bookmarkEnd w:id="7119"/>
      <w:r>
        <w:rPr>
          <w:rtl w:val="true"/>
        </w:rPr>
        <w:t>[ (</w:t>
      </w:r>
      <w:r>
        <w:rPr>
          <w:rtl w:val="true"/>
        </w:rPr>
        <w:t xml:space="preserve">مسألة </w:t>
      </w:r>
      <w:r>
        <w:rPr/>
        <w:t>2</w:t>
      </w:r>
      <w:r>
        <w:rPr>
          <w:rtl w:val="true"/>
        </w:rPr>
        <w:t xml:space="preserve">): </w:t>
      </w:r>
      <w:r>
        <w:rPr>
          <w:rtl w:val="true"/>
        </w:rPr>
        <w:t>لیس للأب و الجدّ للأب ولایة علی البالغ الرشید</w:t>
      </w:r>
      <w:r>
        <w:rPr>
          <w:rtl w:val="true"/>
        </w:rPr>
        <w:t>]</w:t>
      </w:r>
      <w:bookmarkEnd w:id="7120"/>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للأب و الجدّ للأب ولایة علی البالغ الرشید و لا علی البالغة الرشیدة إذا کانت ثیّبة، و أمّا إذا کانت بکراً ففیه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استقلالها و عدم الولایة لهما علیها لا مستقلا و لا منضمّاً، و استقلالهما و عدم سلطنة و ولایة لها کذلک، و التشریک؛ بمعنی اعتبار إذن الولیّ و إذنها معاً، و التفصیل بین الدوام و الانقطاع إمّا باستقلالها فی الأوّل دون الثانی، أو العکس، و الأقوی هو القول الأوّل و إن کان الأحوط </w:t>
      </w:r>
      <w:r>
        <w:rPr>
          <w:rStyle w:val="FootnoteAnchor"/>
          <w:rtl w:val="true"/>
        </w:rPr>
        <w:footnoteReference w:id="1858"/>
      </w:r>
      <w:r>
        <w:rPr>
          <w:rFonts w:ascii="IRNazanin" w:hAnsi="IRNazanin" w:eastAsia="IRNazanin"/>
          <w:color w:val="111111"/>
          <w:sz w:val="28"/>
          <w:sz w:val="28"/>
          <w:szCs w:val="28"/>
          <w:rtl w:val="true"/>
          <w:lang w:bidi="fa-IR"/>
        </w:rPr>
        <w:t>شدیداً الاستئذان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w:t>
      </w:r>
      <w:bookmarkStart w:id="7121" w:name="pg1809_19867"/>
    </w:p>
    <w:p>
      <w:pPr>
        <w:pStyle w:val="BookText"/>
        <w:rPr/>
      </w:pPr>
      <w:bookmarkEnd w:id="7121"/>
      <w:r>
        <w:rPr>
          <w:rFonts w:ascii="IRNazanin" w:hAnsi="IRNazanin" w:eastAsia="IRNazanin"/>
          <w:color w:val="111111"/>
          <w:sz w:val="28"/>
          <w:sz w:val="28"/>
          <w:szCs w:val="28"/>
          <w:rtl w:val="true"/>
          <w:lang w:bidi="fa-IR"/>
        </w:rPr>
        <w:t>إشکال فی سقوط اعتبار إذنهما إن منعاها من التزویج بمن هو کفو لها شرعاً و عرفاً مع میلها، و کذا إذا کانا غائبین بحیث لا یمکن الاستئذان منهما مع حاجتها إلی التزویج</w:t>
      </w:r>
      <w:r>
        <w:rPr>
          <w:rFonts w:eastAsia="IRNazanin" w:cs="IRNazanin"/>
          <w:color w:val="111111"/>
          <w:sz w:val="28"/>
          <w:szCs w:val="28"/>
          <w:rtl w:val="true"/>
          <w:lang w:bidi="fa-IR"/>
        </w:rPr>
        <w:t>.</w:t>
      </w:r>
    </w:p>
    <w:p>
      <w:pPr>
        <w:pStyle w:val="Heading4"/>
        <w:numPr>
          <w:ilvl w:val="3"/>
          <w:numId w:val="1"/>
        </w:numPr>
        <w:rPr/>
      </w:pPr>
      <w:bookmarkStart w:id="7122" w:name="__RefHeading___Toc2571412_3650668749"/>
      <w:bookmarkStart w:id="7123" w:name="_Toc3215"/>
      <w:bookmarkEnd w:id="7122"/>
      <w:r>
        <w:rPr>
          <w:rtl w:val="true"/>
        </w:rPr>
        <w:t>[ (</w:t>
      </w:r>
      <w:r>
        <w:rPr>
          <w:rtl w:val="true"/>
        </w:rPr>
        <w:t xml:space="preserve">مسألة </w:t>
      </w:r>
      <w:r>
        <w:rPr/>
        <w:t>3</w:t>
      </w:r>
      <w:r>
        <w:rPr>
          <w:rtl w:val="true"/>
        </w:rPr>
        <w:t xml:space="preserve">): </w:t>
      </w:r>
      <w:r>
        <w:rPr>
          <w:rtl w:val="true"/>
        </w:rPr>
        <w:t>ولایة الجدّ لیست منوطة بحیاة الأب و لا موته</w:t>
      </w:r>
      <w:r>
        <w:rPr>
          <w:rtl w:val="true"/>
        </w:rPr>
        <w:t>]</w:t>
      </w:r>
      <w:bookmarkEnd w:id="7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الجدّ لیست منوطة بحیاة الأب و لا موته، فعند وجودهما استقلّ کلّ منهما بالولایة، و إذا مات أحدهما اختصّت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أیّهما سبق فی تزویج المولّی علیه عند وجودهما لم یبق محلّ للآخر، و لو زوّج کلّ منهما من شخص، فإن علم السابق منهما فهو المقدّم و لغا الآخر، و إن علم التقارن قدّم عقد الجدّ و لغا عقد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إن جهل </w:t>
      </w:r>
      <w:r>
        <w:rPr>
          <w:rStyle w:val="FootnoteAnchor"/>
          <w:rtl w:val="true"/>
        </w:rPr>
        <w:footnoteReference w:id="1859"/>
      </w:r>
      <w:r>
        <w:rPr>
          <w:rFonts w:ascii="IRNazanin" w:hAnsi="IRNazanin" w:eastAsia="IRNazanin"/>
          <w:color w:val="111111"/>
          <w:sz w:val="28"/>
          <w:sz w:val="28"/>
          <w:szCs w:val="28"/>
          <w:rtl w:val="true"/>
          <w:lang w:bidi="fa-IR"/>
        </w:rPr>
        <w:t>تاریخ العقدین، فلا یعلم السبق و اللحوق و التقارن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علم تاریخ أحدهما دون الآخر، فإن کان المعلوم تاریخ عقد الجدّ قدّم علیٰ عقد الأب، و إن کان عقد الأب ففی تقدّم أیّ منهما علی الآخر إشکال </w:t>
      </w:r>
      <w:r>
        <w:rPr>
          <w:rStyle w:val="FootnoteAnchor"/>
          <w:rtl w:val="true"/>
        </w:rPr>
        <w:footnoteReference w:id="1860"/>
      </w:r>
      <w:r>
        <w:rPr>
          <w:rFonts w:ascii="IRNazanin" w:hAnsi="IRNazanin" w:eastAsia="IRNazanin"/>
          <w:color w:val="111111"/>
          <w:sz w:val="28"/>
          <w:sz w:val="28"/>
          <w:szCs w:val="28"/>
          <w:rtl w:val="true"/>
          <w:lang w:bidi="fa-IR"/>
        </w:rPr>
        <w:t>فلا یترک الاحتیاط</w:t>
      </w:r>
      <w:r>
        <w:rPr>
          <w:rFonts w:eastAsia="IRNazanin" w:cs="IRNazanin"/>
          <w:color w:val="111111"/>
          <w:sz w:val="28"/>
          <w:szCs w:val="28"/>
          <w:rtl w:val="true"/>
          <w:lang w:bidi="fa-IR"/>
        </w:rPr>
        <w:t>.</w:t>
      </w:r>
    </w:p>
    <w:p>
      <w:pPr>
        <w:pStyle w:val="Heading4"/>
        <w:numPr>
          <w:ilvl w:val="3"/>
          <w:numId w:val="1"/>
        </w:numPr>
        <w:rPr/>
      </w:pPr>
      <w:bookmarkStart w:id="7124" w:name="__RefHeading___Toc2571414_3650668749"/>
      <w:bookmarkStart w:id="7125" w:name="_Toc3216"/>
      <w:bookmarkEnd w:id="7124"/>
      <w:r>
        <w:rPr>
          <w:rtl w:val="true"/>
        </w:rPr>
        <w:t>[ (</w:t>
      </w:r>
      <w:r>
        <w:rPr>
          <w:rtl w:val="true"/>
        </w:rPr>
        <w:t xml:space="preserve">مسألة </w:t>
      </w:r>
      <w:r>
        <w:rPr/>
        <w:t>4</w:t>
      </w:r>
      <w:r>
        <w:rPr>
          <w:rtl w:val="true"/>
        </w:rPr>
        <w:t xml:space="preserve">): </w:t>
      </w:r>
      <w:r>
        <w:rPr>
          <w:rtl w:val="true"/>
        </w:rPr>
        <w:t>یشترط فی صحّة تزویج الأب و الجدّ و نفوذه عدم المفسدة</w:t>
      </w:r>
      <w:r>
        <w:rPr>
          <w:rtl w:val="true"/>
        </w:rPr>
        <w:t>]</w:t>
      </w:r>
      <w:bookmarkEnd w:id="7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تزویج الأب و الجدّ و نفوذه عدم المفسدة، و إلّا یکون العقد فضولیّاً کالأجنبی یتوقّف صحّته علیٰ إجازة الصغیر بعد البلوغ، بل الأحوط مراعاة المصلحة</w:t>
      </w:r>
      <w:r>
        <w:rPr>
          <w:rFonts w:eastAsia="IRNazanin" w:cs="IRNazanin"/>
          <w:color w:val="111111"/>
          <w:sz w:val="28"/>
          <w:szCs w:val="28"/>
          <w:rtl w:val="true"/>
          <w:lang w:bidi="fa-IR"/>
        </w:rPr>
        <w:t>.</w:t>
      </w:r>
    </w:p>
    <w:p>
      <w:pPr>
        <w:pStyle w:val="Heading4"/>
        <w:numPr>
          <w:ilvl w:val="3"/>
          <w:numId w:val="1"/>
        </w:numPr>
        <w:rPr/>
      </w:pPr>
      <w:bookmarkStart w:id="7126" w:name="__RefHeading___Toc2571416_3650668749"/>
      <w:bookmarkStart w:id="7127" w:name="_Toc3217"/>
      <w:bookmarkEnd w:id="7126"/>
      <w:r>
        <w:rPr>
          <w:rtl w:val="true"/>
        </w:rPr>
        <w:t>[ (</w:t>
      </w:r>
      <w:r>
        <w:rPr>
          <w:rtl w:val="true"/>
        </w:rPr>
        <w:t xml:space="preserve">مسألة </w:t>
      </w:r>
      <w:r>
        <w:rPr/>
        <w:t>5</w:t>
      </w:r>
      <w:r>
        <w:rPr>
          <w:rtl w:val="true"/>
        </w:rPr>
        <w:t xml:space="preserve">): </w:t>
      </w:r>
      <w:r>
        <w:rPr>
          <w:rtl w:val="true"/>
        </w:rPr>
        <w:t>إذا وقع العقد من الأب أو الجدّ عن الصغیر أو الصغیرة مع مراعاة ما یجب مراعاته</w:t>
      </w:r>
      <w:r>
        <w:rPr>
          <w:rtl w:val="true"/>
        </w:rPr>
        <w:t>]</w:t>
      </w:r>
      <w:bookmarkEnd w:id="7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العقد من الأب أو الجدّ عن الصغیر أو الصغیرة مع مراعاة ما یجب مراعاته، لا خیار لهما بعد بلوغهما بل هو لازم علیهما</w:t>
      </w:r>
      <w:r>
        <w:rPr>
          <w:rFonts w:eastAsia="IRNazanin" w:cs="IRNazanin"/>
          <w:color w:val="111111"/>
          <w:sz w:val="28"/>
          <w:szCs w:val="28"/>
          <w:rtl w:val="true"/>
          <w:lang w:bidi="fa-IR"/>
        </w:rPr>
        <w:t>.</w:t>
      </w:r>
    </w:p>
    <w:p>
      <w:pPr>
        <w:pStyle w:val="Heading4"/>
        <w:numPr>
          <w:ilvl w:val="3"/>
          <w:numId w:val="1"/>
        </w:numPr>
        <w:rPr/>
      </w:pPr>
      <w:bookmarkStart w:id="7128" w:name="__RefHeading___Toc2571418_3650668749"/>
      <w:bookmarkStart w:id="7129" w:name="_Toc3218"/>
      <w:bookmarkEnd w:id="7128"/>
      <w:r>
        <w:rPr>
          <w:rtl w:val="true"/>
        </w:rPr>
        <w:t>[ (</w:t>
      </w:r>
      <w:r>
        <w:rPr>
          <w:rtl w:val="true"/>
        </w:rPr>
        <w:t xml:space="preserve">مسألة </w:t>
      </w:r>
      <w:r>
        <w:rPr/>
        <w:t>6</w:t>
      </w:r>
      <w:r>
        <w:rPr>
          <w:rtl w:val="true"/>
        </w:rPr>
        <w:t xml:space="preserve">): </w:t>
      </w:r>
      <w:r>
        <w:rPr>
          <w:rtl w:val="true"/>
        </w:rPr>
        <w:t>لو زوّج الولیّ الصغیرة بدون مهر المثل، أو زوّج الصغیر بأزید منه</w:t>
      </w:r>
      <w:r>
        <w:rPr>
          <w:rtl w:val="true"/>
        </w:rPr>
        <w:t>]</w:t>
      </w:r>
      <w:bookmarkEnd w:id="7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زوّج الولیّ الصغیرة بدون مهر المثل، أو زوّج الصغیر بأزید منه، فإن کانت هناک مصلحة تقتضی ذلک صحّ العقد و المهر و لزم، و إن کانت المصلحة فی نفس التزویج دون المهر فالأقویٰ صحّة العقد و لزومه و بطلان المهر؛ بمعنی عدم نفوذه و توقّفه علی الإجازة بعد البلوغ، فإن أجاز استقرّ و إلّا رجع إلیٰ مهر المثل</w:t>
      </w:r>
      <w:r>
        <w:rPr>
          <w:rFonts w:eastAsia="IRNazanin" w:cs="IRNazanin"/>
          <w:color w:val="111111"/>
          <w:sz w:val="28"/>
          <w:szCs w:val="28"/>
          <w:rtl w:val="true"/>
          <w:lang w:bidi="fa-IR"/>
        </w:rPr>
        <w:t>.</w:t>
      </w:r>
    </w:p>
    <w:p>
      <w:pPr>
        <w:pStyle w:val="Heading4"/>
        <w:numPr>
          <w:ilvl w:val="3"/>
          <w:numId w:val="1"/>
        </w:numPr>
        <w:rPr/>
      </w:pPr>
      <w:bookmarkStart w:id="7130" w:name="__RefHeading___Toc2571420_3650668749"/>
      <w:bookmarkStart w:id="7131" w:name="_Toc3219"/>
      <w:bookmarkEnd w:id="7130"/>
      <w:r>
        <w:rPr>
          <w:rtl w:val="true"/>
        </w:rPr>
        <w:t>[ (</w:t>
      </w:r>
      <w:r>
        <w:rPr>
          <w:rtl w:val="true"/>
        </w:rPr>
        <w:t xml:space="preserve">مسألة </w:t>
      </w:r>
      <w:r>
        <w:rPr/>
        <w:t>7</w:t>
      </w:r>
      <w:r>
        <w:rPr>
          <w:rtl w:val="true"/>
        </w:rPr>
        <w:t xml:space="preserve">): </w:t>
      </w:r>
      <w:r>
        <w:rPr>
          <w:rtl w:val="true"/>
        </w:rPr>
        <w:t>السفیه المبذّر لا یصحّ نکاحه</w:t>
      </w:r>
      <w:r>
        <w:rPr>
          <w:rtl w:val="true"/>
        </w:rPr>
        <w:t>]</w:t>
      </w:r>
      <w:bookmarkEnd w:id="7131"/>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السفیه </w:t>
      </w:r>
      <w:r>
        <w:rPr>
          <w:rStyle w:val="FootnoteAnchor"/>
          <w:rtl w:val="true"/>
        </w:rPr>
        <w:footnoteReference w:id="1861"/>
      </w:r>
      <w:r>
        <w:rPr>
          <w:rFonts w:ascii="IRNazanin" w:hAnsi="IRNazanin" w:eastAsia="IRNazanin"/>
          <w:color w:val="111111"/>
          <w:sz w:val="28"/>
          <w:sz w:val="28"/>
          <w:szCs w:val="28"/>
          <w:rtl w:val="true"/>
          <w:lang w:bidi="fa-IR"/>
        </w:rPr>
        <w:t>المبذّر لا یصحّ نکاحه إلّا بإذن أبیه أو جدّه أو الحاکم مع فقدهما، و تعیین المهر و المرأة إلی الولیّ، و لو تزوّج بدون الإذن وقف علی الإجازة، فإن رأی المصلحة و أجاز جاز و لا یحتاج إلیٰ إعادة الصیغة</w:t>
      </w:r>
      <w:r>
        <w:rPr>
          <w:rFonts w:eastAsia="IRNazanin" w:cs="IRNazanin"/>
          <w:color w:val="111111"/>
          <w:sz w:val="28"/>
          <w:szCs w:val="28"/>
          <w:rtl w:val="true"/>
          <w:lang w:bidi="fa-IR"/>
        </w:rPr>
        <w:t>.</w:t>
      </w:r>
      <w:bookmarkStart w:id="7132" w:name="pg1809_19869"/>
    </w:p>
    <w:p>
      <w:pPr>
        <w:pStyle w:val="Heading4"/>
        <w:numPr>
          <w:ilvl w:val="3"/>
          <w:numId w:val="1"/>
        </w:numPr>
        <w:rPr/>
      </w:pPr>
      <w:bookmarkStart w:id="7133" w:name="__RefHeading___Toc2571422_3650668749"/>
      <w:bookmarkStart w:id="7134" w:name="_Toc3220"/>
      <w:bookmarkEnd w:id="7132"/>
      <w:bookmarkEnd w:id="7133"/>
      <w:r>
        <w:rPr>
          <w:rtl w:val="true"/>
        </w:rPr>
        <w:t>[ (</w:t>
      </w:r>
      <w:r>
        <w:rPr>
          <w:rtl w:val="true"/>
        </w:rPr>
        <w:t xml:space="preserve">مسألة </w:t>
      </w:r>
      <w:r>
        <w:rPr/>
        <w:t>8</w:t>
      </w:r>
      <w:r>
        <w:rPr>
          <w:rtl w:val="true"/>
        </w:rPr>
        <w:t xml:space="preserve">): </w:t>
      </w:r>
      <w:r>
        <w:rPr>
          <w:rtl w:val="true"/>
        </w:rPr>
        <w:t>إذا زوّج الولیّ المولّی علیه بمن له عیب لم یصحّ</w:t>
      </w:r>
      <w:r>
        <w:rPr>
          <w:rtl w:val="true"/>
        </w:rPr>
        <w:t>]</w:t>
      </w:r>
      <w:bookmarkEnd w:id="7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زوّج الولیّ المولّی علیه بمن له عیب لم یصحّ </w:t>
      </w:r>
      <w:r>
        <w:rPr>
          <w:rStyle w:val="FootnoteAnchor"/>
          <w:rtl w:val="true"/>
        </w:rPr>
        <w:footnoteReference w:id="1862"/>
      </w:r>
      <w:r>
        <w:rPr>
          <w:rFonts w:ascii="IRNazanin" w:hAnsi="IRNazanin" w:eastAsia="IRNazanin"/>
          <w:color w:val="111111"/>
          <w:sz w:val="28"/>
          <w:sz w:val="28"/>
          <w:szCs w:val="28"/>
          <w:rtl w:val="true"/>
          <w:lang w:bidi="fa-IR"/>
        </w:rPr>
        <w:t>و لم ینفذ؛ سواء کان من العیوب الموجبة للخیار أو غیرها ککونه منهمکاً فی المعاصی أو کونه شارب الخمر أو بذی‌ء اللسان سیّئ الخلق و أمثال ذلک، إلّا إذا کانت مصلحة ملزمة فی تزویجه، و حینئذٍ لم یکن خیار الفسخ لا له و لا للمولّیٰ علیه إذا لم یکن العیب من العیوب المجوّزة للفسخ، و إن کان منها فالظاهر ثبوت الخیار للمولّیٰ علیه بعد بلوغه</w:t>
      </w:r>
      <w:r>
        <w:rPr>
          <w:rFonts w:eastAsia="IRNazanin" w:cs="IRNazanin"/>
          <w:color w:val="111111"/>
          <w:sz w:val="28"/>
          <w:szCs w:val="28"/>
          <w:rtl w:val="true"/>
          <w:lang w:bidi="fa-IR"/>
        </w:rPr>
        <w:t>.</w:t>
      </w:r>
    </w:p>
    <w:p>
      <w:pPr>
        <w:pStyle w:val="Heading4"/>
        <w:numPr>
          <w:ilvl w:val="3"/>
          <w:numId w:val="1"/>
        </w:numPr>
        <w:rPr/>
      </w:pPr>
      <w:bookmarkStart w:id="7135" w:name="__RefHeading___Toc2571424_3650668749"/>
      <w:bookmarkStart w:id="7136" w:name="_Toc3221"/>
      <w:bookmarkEnd w:id="7135"/>
      <w:r>
        <w:rPr>
          <w:rtl w:val="true"/>
        </w:rPr>
        <w:t>[ (</w:t>
      </w:r>
      <w:r>
        <w:rPr>
          <w:rtl w:val="true"/>
        </w:rPr>
        <w:t xml:space="preserve">مسألة </w:t>
      </w:r>
      <w:r>
        <w:rPr/>
        <w:t>9</w:t>
      </w:r>
      <w:r>
        <w:rPr>
          <w:rtl w:val="true"/>
        </w:rPr>
        <w:t xml:space="preserve">): </w:t>
      </w:r>
      <w:r>
        <w:rPr>
          <w:rtl w:val="true"/>
        </w:rPr>
        <w:t>ینبغی بل یستحبّ للمرأة المالکة أمرها أن تستأذن أباها أو جدّها</w:t>
      </w:r>
      <w:r>
        <w:rPr>
          <w:rtl w:val="true"/>
        </w:rPr>
        <w:t>]</w:t>
      </w:r>
      <w:bookmarkEnd w:id="7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بل یستحبّ للمرأة المالکة أمرها أن تستأذن أباها أو جدّها، و إن لم یکونا فأخاها و إن تعدّد الأخ قدّمت الأکبر</w:t>
      </w:r>
      <w:r>
        <w:rPr>
          <w:rFonts w:eastAsia="IRNazanin" w:cs="IRNazanin"/>
          <w:color w:val="111111"/>
          <w:sz w:val="28"/>
          <w:szCs w:val="28"/>
          <w:rtl w:val="true"/>
          <w:lang w:bidi="fa-IR"/>
        </w:rPr>
        <w:t>.</w:t>
      </w:r>
    </w:p>
    <w:p>
      <w:pPr>
        <w:pStyle w:val="Heading4"/>
        <w:numPr>
          <w:ilvl w:val="3"/>
          <w:numId w:val="1"/>
        </w:numPr>
        <w:rPr/>
      </w:pPr>
      <w:bookmarkStart w:id="7137" w:name="__RefHeading___Toc2571426_3650668749"/>
      <w:bookmarkStart w:id="7138" w:name="_Toc3222"/>
      <w:bookmarkEnd w:id="7137"/>
      <w:r>
        <w:rPr>
          <w:rtl w:val="true"/>
        </w:rPr>
        <w:t>[ (</w:t>
      </w:r>
      <w:r>
        <w:rPr>
          <w:rtl w:val="true"/>
        </w:rPr>
        <w:t xml:space="preserve">مسألة </w:t>
      </w:r>
      <w:r>
        <w:rPr/>
        <w:t>10</w:t>
      </w:r>
      <w:r>
        <w:rPr>
          <w:rtl w:val="true"/>
        </w:rPr>
        <w:t xml:space="preserve">): </w:t>
      </w:r>
      <w:r>
        <w:rPr>
          <w:rtl w:val="true"/>
        </w:rPr>
        <w:t>لا ولایة للوصیّ</w:t>
      </w:r>
      <w:r>
        <w:rPr>
          <w:rtl w:val="true"/>
        </w:rPr>
        <w:t>]</w:t>
      </w:r>
      <w:bookmarkEnd w:id="7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ولایة </w:t>
      </w:r>
      <w:r>
        <w:rPr>
          <w:rStyle w:val="FootnoteAnchor"/>
          <w:rtl w:val="true"/>
        </w:rPr>
        <w:footnoteReference w:id="1863"/>
      </w:r>
      <w:r>
        <w:rPr>
          <w:rFonts w:ascii="IRNazanin" w:hAnsi="IRNazanin" w:eastAsia="IRNazanin"/>
          <w:color w:val="111111"/>
          <w:sz w:val="28"/>
          <w:sz w:val="28"/>
          <w:szCs w:val="28"/>
          <w:rtl w:val="true"/>
          <w:lang w:bidi="fa-IR"/>
        </w:rPr>
        <w:t>للوصیّ؛ أی القیّم من قبل الأب أو الجدّ علی الصغیر و الصغیرة و إن نصّ له الموصی علی النکاح علی الأظهر</w:t>
      </w:r>
      <w:r>
        <w:rPr>
          <w:rFonts w:eastAsia="IRNazanin" w:cs="IRNazanin"/>
          <w:color w:val="111111"/>
          <w:sz w:val="28"/>
          <w:szCs w:val="28"/>
          <w:rtl w:val="true"/>
          <w:lang w:bidi="fa-IR"/>
        </w:rPr>
        <w:t>.</w:t>
      </w:r>
    </w:p>
    <w:p>
      <w:pPr>
        <w:pStyle w:val="Heading4"/>
        <w:numPr>
          <w:ilvl w:val="3"/>
          <w:numId w:val="1"/>
        </w:numPr>
        <w:rPr/>
      </w:pPr>
      <w:bookmarkStart w:id="7139" w:name="__RefHeading___Toc2571428_3650668749"/>
      <w:bookmarkStart w:id="7140" w:name="_Toc3223"/>
      <w:bookmarkEnd w:id="7139"/>
      <w:r>
        <w:rPr>
          <w:rtl w:val="true"/>
        </w:rPr>
        <w:t>[ (</w:t>
      </w:r>
      <w:r>
        <w:rPr>
          <w:rtl w:val="true"/>
        </w:rPr>
        <w:t xml:space="preserve">مسألة </w:t>
      </w:r>
      <w:r>
        <w:rPr/>
        <w:t>11</w:t>
      </w:r>
      <w:r>
        <w:rPr>
          <w:rtl w:val="true"/>
        </w:rPr>
        <w:t xml:space="preserve">): </w:t>
      </w:r>
      <w:r>
        <w:rPr>
          <w:rtl w:val="true"/>
        </w:rPr>
        <w:t>لیس للحاکم ولایة فی النکاح علی الصغیر</w:t>
      </w:r>
      <w:r>
        <w:rPr>
          <w:rtl w:val="true"/>
        </w:rPr>
        <w:t>]</w:t>
      </w:r>
      <w:bookmarkEnd w:id="7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للحاکم ولایة فی النکاح علی الصغیر؛ ذکراً کان أو أُنثی مع فقد الأب و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قضت الحاجة و الضرورة و المصلحة اللازمة المراعاة علی النکاح؛ بحیث ترتّبت علیٰ ترکه مفسدة یلزم التحرّز عنها، کانت له الولایة </w:t>
      </w:r>
      <w:r>
        <w:rPr>
          <w:rStyle w:val="FootnoteAnchor"/>
          <w:rtl w:val="true"/>
        </w:rPr>
        <w:footnoteReference w:id="1864"/>
      </w:r>
      <w:r>
        <w:rPr>
          <w:rFonts w:ascii="IRNazanin" w:hAnsi="IRNazanin" w:eastAsia="IRNazanin"/>
          <w:color w:val="111111"/>
          <w:sz w:val="28"/>
          <w:sz w:val="28"/>
          <w:szCs w:val="28"/>
          <w:rtl w:val="true"/>
          <w:lang w:bidi="fa-IR"/>
        </w:rPr>
        <w:t>من باب الحسبة، و کذا له الولایة حینئذٍ علیٰ من بلغ فاسد العقل أو تجدّد فساد عقله و لم یکن له أب و لا جدّ</w:t>
      </w:r>
      <w:r>
        <w:rPr>
          <w:rFonts w:eastAsia="IRNazanin" w:cs="IRNazanin"/>
          <w:color w:val="111111"/>
          <w:sz w:val="28"/>
          <w:szCs w:val="28"/>
          <w:rtl w:val="true"/>
          <w:lang w:bidi="fa-IR"/>
        </w:rPr>
        <w:t>.</w:t>
      </w:r>
    </w:p>
    <w:p>
      <w:pPr>
        <w:pStyle w:val="Heading4"/>
        <w:numPr>
          <w:ilvl w:val="3"/>
          <w:numId w:val="1"/>
        </w:numPr>
        <w:rPr/>
      </w:pPr>
      <w:bookmarkStart w:id="7141" w:name="__RefHeading___Toc2571430_3650668749"/>
      <w:bookmarkStart w:id="7142" w:name="_Toc3224"/>
      <w:bookmarkEnd w:id="7141"/>
      <w:r>
        <w:rPr>
          <w:rtl w:val="true"/>
        </w:rPr>
        <w:t>[ (</w:t>
      </w:r>
      <w:r>
        <w:rPr>
          <w:rtl w:val="true"/>
        </w:rPr>
        <w:t xml:space="preserve">مسألة </w:t>
      </w:r>
      <w:r>
        <w:rPr/>
        <w:t>12</w:t>
      </w:r>
      <w:r>
        <w:rPr>
          <w:rtl w:val="true"/>
        </w:rPr>
        <w:t xml:space="preserve">): </w:t>
      </w:r>
      <w:r>
        <w:rPr>
          <w:rtl w:val="true"/>
        </w:rPr>
        <w:t>للمولیٰ أن یزوّج مملوکه بغیره</w:t>
      </w:r>
      <w:r>
        <w:rPr>
          <w:rtl w:val="true"/>
        </w:rPr>
        <w:t>]</w:t>
      </w:r>
      <w:bookmarkEnd w:id="7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أن یزوّج مملوکه بغیره؛ ذکراً کان أو أُنثی، صغیراً کان أو کبیراً، عاقلًا کان أو مجنوناً، راغباً کان أو کارهاً، و لا خیار له معه</w:t>
      </w:r>
      <w:r>
        <w:rPr>
          <w:rFonts w:eastAsia="IRNazanin" w:cs="IRNazanin"/>
          <w:color w:val="111111"/>
          <w:sz w:val="28"/>
          <w:szCs w:val="28"/>
          <w:rtl w:val="true"/>
          <w:lang w:bidi="fa-IR"/>
        </w:rPr>
        <w:t>.</w:t>
      </w:r>
    </w:p>
    <w:p>
      <w:pPr>
        <w:pStyle w:val="Heading4"/>
        <w:numPr>
          <w:ilvl w:val="3"/>
          <w:numId w:val="1"/>
        </w:numPr>
        <w:rPr/>
      </w:pPr>
      <w:bookmarkStart w:id="7143" w:name="__RefHeading___Toc2571432_3650668749"/>
      <w:bookmarkStart w:id="7144" w:name="_Toc3225"/>
      <w:bookmarkEnd w:id="7143"/>
      <w:r>
        <w:rPr>
          <w:rtl w:val="true"/>
        </w:rPr>
        <w:t>[ (</w:t>
      </w:r>
      <w:r>
        <w:rPr>
          <w:rtl w:val="true"/>
        </w:rPr>
        <w:t xml:space="preserve">مسألة </w:t>
      </w:r>
      <w:r>
        <w:rPr/>
        <w:t>13</w:t>
      </w:r>
      <w:r>
        <w:rPr>
          <w:rtl w:val="true"/>
        </w:rPr>
        <w:t xml:space="preserve">): </w:t>
      </w:r>
      <w:r>
        <w:rPr>
          <w:rtl w:val="true"/>
        </w:rPr>
        <w:t>یشترط فی ولایة الأولیاء</w:t>
      </w:r>
      <w:r>
        <w:rPr>
          <w:rtl w:val="true"/>
        </w:rPr>
        <w:t xml:space="preserve">: </w:t>
      </w:r>
      <w:r>
        <w:rPr>
          <w:rtl w:val="true"/>
        </w:rPr>
        <w:t>البلوغ و العقل و الحرّیّة و الإسلام</w:t>
      </w:r>
      <w:r>
        <w:rPr>
          <w:rtl w:val="true"/>
        </w:rPr>
        <w:t>]</w:t>
      </w:r>
      <w:bookmarkEnd w:id="7144"/>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ولایة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الحرّیّة و الإسلام إذا کان المولّی علیه مسلماً، فلا ولایة للصغیر و الصغیرة علیٰ مملوکهما من عبد أو أمة بل الولایة حینئذٍ لولیّهما، و کذا لا ولایة للأب و الجدّ إذا جنّا، و إن جنّ أحدهما تختصّ الولایة بالآخر، و کذا لا</w:t>
      </w:r>
      <w:bookmarkStart w:id="7145" w:name="pg1809_19871"/>
    </w:p>
    <w:p>
      <w:pPr>
        <w:pStyle w:val="BookText"/>
        <w:rPr/>
      </w:pPr>
      <w:bookmarkEnd w:id="7145"/>
      <w:r>
        <w:rPr>
          <w:rFonts w:ascii="IRNazanin" w:hAnsi="IRNazanin" w:eastAsia="IRNazanin"/>
          <w:color w:val="111111"/>
          <w:sz w:val="28"/>
          <w:sz w:val="28"/>
          <w:szCs w:val="28"/>
          <w:rtl w:val="true"/>
          <w:lang w:bidi="fa-IR"/>
        </w:rPr>
        <w:t xml:space="preserve">ولایة للمملوک علیٰ ولده حرّا کان أو عبداً، و کذا لا ولایة للأب الکافر علیٰ ولده المسلم فتکون للجدّ إذا کان مسلماً، و الظاهر ثبوت ولایته علیٰ ولده الکافر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46" w:name="__RefHeading___Toc2571434_3650668749"/>
      <w:bookmarkStart w:id="7147" w:name="_Toc3226"/>
      <w:bookmarkEnd w:id="7146"/>
      <w:r>
        <w:rPr>
          <w:rtl w:val="true"/>
        </w:rPr>
        <w:t>[ (</w:t>
      </w:r>
      <w:r>
        <w:rPr>
          <w:rtl w:val="true"/>
        </w:rPr>
        <w:t xml:space="preserve">مسألة </w:t>
      </w:r>
      <w:r>
        <w:rPr/>
        <w:t>14</w:t>
      </w:r>
      <w:r>
        <w:rPr>
          <w:rtl w:val="true"/>
        </w:rPr>
        <w:t xml:space="preserve">): </w:t>
      </w:r>
      <w:r>
        <w:rPr>
          <w:rtl w:val="true"/>
        </w:rPr>
        <w:t>العقد الصادر من غیر الوکیل و الولیّ المسمّی بالفضولیّ یصحّ مع الإجازة</w:t>
      </w:r>
      <w:r>
        <w:rPr>
          <w:rtl w:val="true"/>
        </w:rPr>
        <w:t>]</w:t>
      </w:r>
      <w:bookmarkEnd w:id="7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الصادر من غیر الوکیل و الولیّ المسمّی بالفضولیّ یصحّ مع الإجازة؛ سواء کان فضولیّاً من الطرفین أو من أحدهما، و سواء کان المعقود علیه صغیراً أو کبیراً، حرّا أو عبداً، و سواء کان العاقد قریباً للمعقود علیه کالأخ و العمّ و الخال أو أجنبیّا، و منه العقد الصادر من العبد أو الأمة لنفسهما بدون إذن المولی، و الصادر من الولیّ أو الوکیل علیٰ غیر الوجه المأذون فیه؛ بأن أوقع الولیّ علیٰ خلاف المصلحة أو الوکیل علیٰ خلاف ما عیّنه الموکّل</w:t>
      </w:r>
      <w:r>
        <w:rPr>
          <w:rFonts w:eastAsia="IRNazanin" w:cs="IRNazanin"/>
          <w:color w:val="111111"/>
          <w:sz w:val="28"/>
          <w:szCs w:val="28"/>
          <w:rtl w:val="true"/>
          <w:lang w:bidi="fa-IR"/>
        </w:rPr>
        <w:t>.</w:t>
      </w:r>
    </w:p>
    <w:p>
      <w:pPr>
        <w:pStyle w:val="Heading4"/>
        <w:numPr>
          <w:ilvl w:val="3"/>
          <w:numId w:val="1"/>
        </w:numPr>
        <w:rPr/>
      </w:pPr>
      <w:bookmarkStart w:id="7148" w:name="__RefHeading___Toc2571436_3650668749"/>
      <w:bookmarkStart w:id="7149" w:name="_Toc3227"/>
      <w:bookmarkEnd w:id="7148"/>
      <w:r>
        <w:rPr>
          <w:rtl w:val="true"/>
        </w:rPr>
        <w:t>[ (</w:t>
      </w:r>
      <w:r>
        <w:rPr>
          <w:rtl w:val="true"/>
        </w:rPr>
        <w:t xml:space="preserve">مسألة </w:t>
      </w:r>
      <w:r>
        <w:rPr/>
        <w:t>15</w:t>
      </w:r>
      <w:r>
        <w:rPr>
          <w:rtl w:val="true"/>
        </w:rPr>
        <w:t xml:space="preserve">): </w:t>
      </w:r>
      <w:r>
        <w:rPr>
          <w:rtl w:val="true"/>
        </w:rPr>
        <w:t>إن کان المعقود له ممّن صحّ منه العقد لنفسه</w:t>
      </w:r>
      <w:r>
        <w:rPr>
          <w:rtl w:val="true"/>
        </w:rPr>
        <w:t>]</w:t>
      </w:r>
      <w:bookmarkEnd w:id="7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المعقود له ممّن صحّ منه العقد لنفسه؛ بأن کان بالغاً عاقلًا حرّا، فإنّما یصحّ العقد الصادر من الفضولی بإجازته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ممّن لا یصحّ منه العقد و کان مولّی علیه بأن کان صغیراً أو مجنوناً أو مملوکاً فإنّما یصحّ إمّا بإجازة ولیّه فی زمان قصوره أو إجازته بنفسه بعد کماله، فلو أوقع الأجنبی عقداً علی الصغیر أو الصغیرة، وقفت صحّة عقده علیٰ إجازتهما له بعد بلوغهما و رشدهما، إن لم یجز أبوهما أو جدّهما فی حال صغرهما، فأیّ من الإجازتین حصلت 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فی صحّة إجازة الولیّ ما اعتبر فی صحّة عقده، فلو أجاز العقد الواقع علیٰ خلاف مصلحة الصغیر لغت إجازته و انحصر الأمر فی إجازته بنفسه بعد بلوغه و رشده</w:t>
      </w:r>
      <w:r>
        <w:rPr>
          <w:rFonts w:eastAsia="IRNazanin" w:cs="IRNazanin"/>
          <w:color w:val="111111"/>
          <w:sz w:val="28"/>
          <w:szCs w:val="28"/>
          <w:rtl w:val="true"/>
          <w:lang w:bidi="fa-IR"/>
        </w:rPr>
        <w:t>.</w:t>
      </w:r>
    </w:p>
    <w:p>
      <w:pPr>
        <w:pStyle w:val="Heading4"/>
        <w:numPr>
          <w:ilvl w:val="3"/>
          <w:numId w:val="1"/>
        </w:numPr>
        <w:rPr/>
      </w:pPr>
      <w:bookmarkStart w:id="7150" w:name="__RefHeading___Toc2571438_3650668749"/>
      <w:bookmarkStart w:id="7151" w:name="_Toc3228"/>
      <w:bookmarkEnd w:id="7150"/>
      <w:r>
        <w:rPr>
          <w:rtl w:val="true"/>
        </w:rPr>
        <w:t>[ (</w:t>
      </w:r>
      <w:r>
        <w:rPr>
          <w:rtl w:val="true"/>
        </w:rPr>
        <w:t xml:space="preserve">مسألة </w:t>
      </w:r>
      <w:r>
        <w:rPr/>
        <w:t>16</w:t>
      </w:r>
      <w:r>
        <w:rPr>
          <w:rtl w:val="true"/>
        </w:rPr>
        <w:t xml:space="preserve">): </w:t>
      </w:r>
      <w:r>
        <w:rPr>
          <w:rtl w:val="true"/>
        </w:rPr>
        <w:t>لیست الإجازة علی الفور</w:t>
      </w:r>
      <w:r>
        <w:rPr>
          <w:rtl w:val="true"/>
        </w:rPr>
        <w:t>]</w:t>
      </w:r>
      <w:bookmarkEnd w:id="7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الإجازة علی الفور، فلو تأخّرت عن العقد بزمن طویل صحّت؛ سواء کان التأخیر من جهة الجهل بوقوعه، أو لأجل التروّی أو للاستشارة أو غیر ذلک</w:t>
      </w:r>
      <w:r>
        <w:rPr>
          <w:rFonts w:eastAsia="IRNazanin" w:cs="IRNazanin"/>
          <w:color w:val="111111"/>
          <w:sz w:val="28"/>
          <w:szCs w:val="28"/>
          <w:rtl w:val="true"/>
          <w:lang w:bidi="fa-IR"/>
        </w:rPr>
        <w:t>.</w:t>
      </w:r>
    </w:p>
    <w:p>
      <w:pPr>
        <w:pStyle w:val="Heading4"/>
        <w:numPr>
          <w:ilvl w:val="3"/>
          <w:numId w:val="1"/>
        </w:numPr>
        <w:rPr/>
      </w:pPr>
      <w:bookmarkStart w:id="7152" w:name="__RefHeading___Toc2571440_3650668749"/>
      <w:bookmarkStart w:id="7153" w:name="_Toc3229"/>
      <w:bookmarkEnd w:id="7152"/>
      <w:r>
        <w:rPr>
          <w:rtl w:val="true"/>
        </w:rPr>
        <w:t>[ (</w:t>
      </w:r>
      <w:r>
        <w:rPr>
          <w:rtl w:val="true"/>
        </w:rPr>
        <w:t xml:space="preserve">مسألة </w:t>
      </w:r>
      <w:r>
        <w:rPr/>
        <w:t>17</w:t>
      </w:r>
      <w:r>
        <w:rPr>
          <w:rtl w:val="true"/>
        </w:rPr>
        <w:t xml:space="preserve">): </w:t>
      </w:r>
      <w:r>
        <w:rPr>
          <w:rtl w:val="true"/>
        </w:rPr>
        <w:t>لا أثر للإجازة بعد الردّ، و کذا لا أثر للردّ بعد الإجازة</w:t>
      </w:r>
      <w:r>
        <w:rPr>
          <w:rtl w:val="true"/>
        </w:rPr>
        <w:t>]</w:t>
      </w:r>
      <w:bookmarkEnd w:id="7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للإجازة بعد الردّ، و کذا لا أثر للردّ بعد الإجازة، فبها یلزم العقد و به ینفسخ؛ سواء کان السابق من الردّ أو الإجازة واقعاً من المعقود له أو ولیّه، فلو أجاز أو ردّ ولیّ الصغیر العقد الواقع علیهما فضولًا، لیس لهما بعد البلوغ ردّ فی الأوّل و لا أجازه فی الثانی</w:t>
      </w:r>
      <w:r>
        <w:rPr>
          <w:rFonts w:eastAsia="IRNazanin" w:cs="IRNazanin"/>
          <w:color w:val="111111"/>
          <w:sz w:val="28"/>
          <w:szCs w:val="28"/>
          <w:rtl w:val="true"/>
          <w:lang w:bidi="fa-IR"/>
        </w:rPr>
        <w:t>.</w:t>
      </w:r>
    </w:p>
    <w:p>
      <w:pPr>
        <w:pStyle w:val="Heading4"/>
        <w:numPr>
          <w:ilvl w:val="3"/>
          <w:numId w:val="1"/>
        </w:numPr>
        <w:rPr/>
      </w:pPr>
      <w:bookmarkStart w:id="7154" w:name="__RefHeading___Toc2571442_3650668749"/>
      <w:bookmarkStart w:id="7155" w:name="_Toc3230"/>
      <w:bookmarkEnd w:id="7154"/>
      <w:r>
        <w:rPr>
          <w:rtl w:val="true"/>
        </w:rPr>
        <w:t>[ (</w:t>
      </w:r>
      <w:r>
        <w:rPr>
          <w:rtl w:val="true"/>
        </w:rPr>
        <w:t xml:space="preserve">مسألة </w:t>
      </w:r>
      <w:r>
        <w:rPr/>
        <w:t>18</w:t>
      </w:r>
      <w:r>
        <w:rPr>
          <w:rtl w:val="true"/>
        </w:rPr>
        <w:t xml:space="preserve">): </w:t>
      </w:r>
      <w:r>
        <w:rPr>
          <w:rtl w:val="true"/>
        </w:rPr>
        <w:t>إذا کان أحد الزوجین کارهاً حال العقد لکن لم یصدر منه ردّ له</w:t>
      </w:r>
      <w:r>
        <w:rPr>
          <w:rtl w:val="true"/>
        </w:rPr>
        <w:t>]</w:t>
      </w:r>
      <w:bookmarkEnd w:id="7155"/>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أحد الزوجین کارهاً حال العقد لکن لم یصدر منه ردّ له، فالظاهر</w:t>
      </w:r>
      <w:bookmarkStart w:id="7156" w:name="pg1809_19874"/>
    </w:p>
    <w:p>
      <w:pPr>
        <w:pStyle w:val="BookText"/>
        <w:rPr/>
      </w:pPr>
      <w:bookmarkEnd w:id="7156"/>
      <w:r>
        <w:rPr>
          <w:rFonts w:ascii="IRNazanin" w:hAnsi="IRNazanin" w:eastAsia="IRNazanin"/>
          <w:color w:val="111111"/>
          <w:sz w:val="28"/>
          <w:sz w:val="28"/>
          <w:szCs w:val="28"/>
          <w:rtl w:val="true"/>
          <w:lang w:bidi="fa-IR"/>
        </w:rPr>
        <w:t xml:space="preserve">أنّه یصحّ لو أجاز بعد ذلک، نعم لو استؤذن فنهیٰ و لم یأذن و مع ذلک أوقع الفضولی العقد یشکل </w:t>
      </w:r>
      <w:r>
        <w:rPr>
          <w:rStyle w:val="FootnoteAnchor"/>
          <w:rtl w:val="true"/>
        </w:rPr>
        <w:footnoteReference w:id="1866"/>
      </w:r>
      <w:r>
        <w:rPr>
          <w:rFonts w:ascii="IRNazanin" w:hAnsi="IRNazanin" w:eastAsia="IRNazanin"/>
          <w:color w:val="111111"/>
          <w:sz w:val="28"/>
          <w:sz w:val="28"/>
          <w:szCs w:val="28"/>
          <w:rtl w:val="true"/>
          <w:lang w:bidi="fa-IR"/>
        </w:rPr>
        <w:t>صحّته بالإجازة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یقاس بما إذا کان مکرهاً علی الزواج فعقد لنفسه بالمباشرة أو بتوکیل الغیر، و قد مرّ أنّ الأقویٰ صحّته إذا لحقه الرضا</w:t>
      </w:r>
      <w:r>
        <w:rPr>
          <w:rFonts w:eastAsia="IRNazanin" w:cs="IRNazanin"/>
          <w:color w:val="111111"/>
          <w:sz w:val="28"/>
          <w:szCs w:val="28"/>
          <w:rtl w:val="true"/>
          <w:lang w:bidi="fa-IR"/>
        </w:rPr>
        <w:t>.</w:t>
      </w:r>
    </w:p>
    <w:p>
      <w:pPr>
        <w:pStyle w:val="Heading4"/>
        <w:numPr>
          <w:ilvl w:val="3"/>
          <w:numId w:val="1"/>
        </w:numPr>
        <w:rPr/>
      </w:pPr>
      <w:bookmarkStart w:id="7157" w:name="__RefHeading___Toc2571444_3650668749"/>
      <w:bookmarkStart w:id="7158" w:name="_Toc3231"/>
      <w:bookmarkEnd w:id="7157"/>
      <w:r>
        <w:rPr>
          <w:rtl w:val="true"/>
        </w:rPr>
        <w:t>[ (</w:t>
      </w:r>
      <w:r>
        <w:rPr>
          <w:rtl w:val="true"/>
        </w:rPr>
        <w:t xml:space="preserve">مسألة </w:t>
      </w:r>
      <w:r>
        <w:rPr/>
        <w:t>19</w:t>
      </w:r>
      <w:r>
        <w:rPr>
          <w:rtl w:val="true"/>
        </w:rPr>
        <w:t xml:space="preserve">): </w:t>
      </w:r>
      <w:r>
        <w:rPr>
          <w:rtl w:val="true"/>
        </w:rPr>
        <w:t>یکفی فی الإجازة المصحّحة لعقد الفضولی کلّ ما دلّ علیٰ إنشاء الرضا بذلک العقد</w:t>
      </w:r>
      <w:r>
        <w:rPr>
          <w:rtl w:val="true"/>
        </w:rPr>
        <w:t>]</w:t>
      </w:r>
      <w:bookmarkEnd w:id="7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الإجازة المصحّحة لعقد الفضولی کلّ ما دلّ علیٰ إنشاء الرضا بذلک العقد، بل یکفی الفعل الدالّ علیه</w:t>
      </w:r>
      <w:r>
        <w:rPr>
          <w:rFonts w:eastAsia="IRNazanin" w:cs="IRNazanin"/>
          <w:color w:val="111111"/>
          <w:sz w:val="28"/>
          <w:szCs w:val="28"/>
          <w:rtl w:val="true"/>
          <w:lang w:bidi="fa-IR"/>
        </w:rPr>
        <w:t>.</w:t>
      </w:r>
    </w:p>
    <w:p>
      <w:pPr>
        <w:pStyle w:val="Heading4"/>
        <w:numPr>
          <w:ilvl w:val="3"/>
          <w:numId w:val="1"/>
        </w:numPr>
        <w:rPr/>
      </w:pPr>
      <w:bookmarkStart w:id="7159" w:name="__RefHeading___Toc2571446_3650668749"/>
      <w:bookmarkStart w:id="7160" w:name="_Toc3232"/>
      <w:bookmarkEnd w:id="7159"/>
      <w:r>
        <w:rPr>
          <w:rtl w:val="true"/>
        </w:rPr>
        <w:t>[ (</w:t>
      </w:r>
      <w:r>
        <w:rPr>
          <w:rtl w:val="true"/>
        </w:rPr>
        <w:t xml:space="preserve">مسألة </w:t>
      </w:r>
      <w:r>
        <w:rPr/>
        <w:t>20</w:t>
      </w:r>
      <w:r>
        <w:rPr>
          <w:rtl w:val="true"/>
        </w:rPr>
        <w:t xml:space="preserve">): </w:t>
      </w:r>
      <w:r>
        <w:rPr>
          <w:rtl w:val="true"/>
        </w:rPr>
        <w:t>لا یکفی الرضا القلبی فی صحّة العقد و خروجه عن الفضولیّة و عدم الاحتیاج إلی الإجازة</w:t>
      </w:r>
      <w:r>
        <w:rPr>
          <w:rtl w:val="true"/>
        </w:rPr>
        <w:t>]</w:t>
      </w:r>
      <w:bookmarkEnd w:id="7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یکفی الرضا القلبی فی صحّة العقد و خروجه عن الفضولیّة و عدم الاحتیاج إلی الإجازة، فلو کان حاضراً حال العقد راضیاً به إلّا أنّه لم یصدر منه قول أو فعل یدلّ علیٰ رضاه، فالظاهر أنّه من الفضولی </w:t>
      </w:r>
      <w:r>
        <w:rPr>
          <w:rStyle w:val="FootnoteAnchor"/>
          <w:rtl w:val="true"/>
        </w:rPr>
        <w:footnoteReference w:id="1867"/>
      </w:r>
      <w:r>
        <w:rPr>
          <w:rFonts w:ascii="IRNazanin" w:hAnsi="IRNazanin" w:eastAsia="IRNazanin"/>
          <w:color w:val="111111"/>
          <w:sz w:val="28"/>
          <w:sz w:val="28"/>
          <w:szCs w:val="28"/>
          <w:rtl w:val="true"/>
          <w:lang w:bidi="fa-IR"/>
        </w:rPr>
        <w:t>، فله أن لا یجیز و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خصوص البکر إذا ظهر من حالها الرضا و إنّما سکتت و لم تنطق بالإذن لحیائها، کفیٰ ذلک، و کان سکوتها إذنها، کما نطقت بذلک بعض الأخبار و أفتی به علماؤنا الأخیار</w:t>
      </w:r>
      <w:r>
        <w:rPr>
          <w:rFonts w:eastAsia="IRNazanin" w:cs="IRNazanin"/>
          <w:color w:val="111111"/>
          <w:sz w:val="28"/>
          <w:szCs w:val="28"/>
          <w:rtl w:val="true"/>
          <w:lang w:bidi="fa-IR"/>
        </w:rPr>
        <w:t>.</w:t>
      </w:r>
    </w:p>
    <w:p>
      <w:pPr>
        <w:pStyle w:val="Heading4"/>
        <w:numPr>
          <w:ilvl w:val="3"/>
          <w:numId w:val="1"/>
        </w:numPr>
        <w:rPr/>
      </w:pPr>
      <w:bookmarkStart w:id="7161" w:name="__RefHeading___Toc2571448_3650668749"/>
      <w:bookmarkStart w:id="7162" w:name="_Toc3233"/>
      <w:bookmarkEnd w:id="7161"/>
      <w:r>
        <w:rPr>
          <w:rtl w:val="true"/>
        </w:rPr>
        <w:t>[ (</w:t>
      </w:r>
      <w:r>
        <w:rPr>
          <w:rtl w:val="true"/>
        </w:rPr>
        <w:t xml:space="preserve">مسألة </w:t>
      </w:r>
      <w:r>
        <w:rPr/>
        <w:t>21</w:t>
      </w:r>
      <w:r>
        <w:rPr>
          <w:rtl w:val="true"/>
        </w:rPr>
        <w:t xml:space="preserve">): </w:t>
      </w:r>
      <w:r>
        <w:rPr>
          <w:rtl w:val="true"/>
        </w:rPr>
        <w:t>لا یعتبر فی وقوع العقد فضولیّاً قصد الفضولیّة، و لا الالتفات إلیها</w:t>
      </w:r>
      <w:r>
        <w:rPr>
          <w:rtl w:val="true"/>
        </w:rPr>
        <w:t>]</w:t>
      </w:r>
      <w:bookmarkEnd w:id="7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فی وقوع العقد فضولیّاً قصد الفضولیّة، و لا الالتفات إلیها، بل المدار فی الفضولیّة و عدمها علیٰ کون العقد بحسب الواقع صادراً عن غیر من هو مالک للعقد أو عن مالکه و إن تخیّل خلافه، فلو تخیّل کونه ولیّاً أو وکیلًا و أوقع العقد فتبیّن خلافه کان من الفضولی و یصحّ بالإجازة، کما أنّه لو اعتقد أنّه لیس بوکیل و لا ولیّ فأوقع العقد بعنوان الفضولیّة فتبیّن خلافه صحّ العقد و لزم </w:t>
      </w:r>
      <w:r>
        <w:rPr>
          <w:rStyle w:val="FootnoteAnchor"/>
          <w:rtl w:val="true"/>
        </w:rPr>
        <w:footnoteReference w:id="1868"/>
      </w:r>
      <w:r>
        <w:rPr>
          <w:rFonts w:ascii="IRNazanin" w:hAnsi="IRNazanin" w:eastAsia="IRNazanin"/>
          <w:color w:val="111111"/>
          <w:sz w:val="28"/>
          <w:sz w:val="28"/>
          <w:szCs w:val="28"/>
          <w:rtl w:val="true"/>
          <w:lang w:bidi="fa-IR"/>
        </w:rPr>
        <w:t>بلا توقّف علی الإجازة</w:t>
      </w:r>
      <w:r>
        <w:rPr>
          <w:rFonts w:eastAsia="IRNazanin" w:cs="IRNazanin"/>
          <w:color w:val="111111"/>
          <w:sz w:val="28"/>
          <w:szCs w:val="28"/>
          <w:rtl w:val="true"/>
          <w:lang w:bidi="fa-IR"/>
        </w:rPr>
        <w:t>.</w:t>
      </w:r>
    </w:p>
    <w:p>
      <w:pPr>
        <w:pStyle w:val="Heading4"/>
        <w:numPr>
          <w:ilvl w:val="3"/>
          <w:numId w:val="1"/>
        </w:numPr>
        <w:rPr/>
      </w:pPr>
      <w:bookmarkStart w:id="7163" w:name="__RefHeading___Toc2571450_3650668749"/>
      <w:bookmarkStart w:id="7164" w:name="_Toc3234"/>
      <w:bookmarkEnd w:id="7163"/>
      <w:r>
        <w:rPr>
          <w:rtl w:val="true"/>
        </w:rPr>
        <w:t>[ (</w:t>
      </w:r>
      <w:r>
        <w:rPr>
          <w:rtl w:val="true"/>
        </w:rPr>
        <w:t xml:space="preserve">مسألة </w:t>
      </w:r>
      <w:r>
        <w:rPr/>
        <w:t>22</w:t>
      </w:r>
      <w:r>
        <w:rPr>
          <w:rtl w:val="true"/>
        </w:rPr>
        <w:t xml:space="preserve">): </w:t>
      </w:r>
      <w:r>
        <w:rPr>
          <w:rtl w:val="true"/>
        </w:rPr>
        <w:t>إذا زوّج صغیران فضولًا، فإن أجاز ولیّهما قبل بلوغهما أو أجازا بعد بلوغهما أو بالاختلاف</w:t>
      </w:r>
      <w:r>
        <w:rPr>
          <w:rtl w:val="true"/>
        </w:rPr>
        <w:t>]</w:t>
      </w:r>
      <w:bookmarkEnd w:id="7164"/>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زوّج صغیران فضولًا، فإن أجاز ولیّهما قبل بلوغهما أو أجازا بعد بلوغهما أو بالاختلاف بأن أجاز ولیّ أحدهما قبل بلوغه فأجاز الآخر بعد بلوغه ثبتت الزوجیة و یترتّب جمیع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ردّ ولیّهما قبل بلوغهما، أو ردّ ولیّ أحدهما قبل بلوغه، أو ردّا بعد بلوغهما، أو ردّ أحدهما بعد بلوغه، أو ماتا، أو مات أحدهما قبل الإجازة، بطل العقد من أصله بحیث لم یترتّب علیه أثر أصلًا؛ من توارث و غیره من سائر</w:t>
      </w:r>
      <w:bookmarkStart w:id="7165" w:name="pg1809_19876"/>
    </w:p>
    <w:p>
      <w:pPr>
        <w:pStyle w:val="BookText"/>
        <w:rPr/>
      </w:pPr>
      <w:bookmarkEnd w:id="7165"/>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بلغ أحدهما و أجاز ثمّ مات قبل بلوغ الآخر و إجازته یعزل من ترکته مقدار ما یرث الآخر علیٰ تقدیر الزوجیّة، فإن بلغ و أجاز یدفع إلیه لکن بعد ما یحلف علیٰ أنّه لم تکن إجازته للطمع فی الإرث، و إن لم یجز أو أجاز و لم یحلف علیٰ ذلک لم یدفع إلیه بل یردّ إلی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الحاجة إلی الحلف إنّما هو فیما إذا کان متّهماً بأنّ إجازته لأجل الإرث، و أمّا مع عدمه کما إذا أجاز مع الجهل بموت الآخر، أو کان الباقی هو الزوج و کان المهر اللازم علیه علیٰ تقدیر الزوجیّة أزید ممّا یرث، یدفع إلیه بدون الحلف</w:t>
      </w:r>
      <w:r>
        <w:rPr>
          <w:rFonts w:eastAsia="IRNazanin" w:cs="IRNazanin"/>
          <w:color w:val="111111"/>
          <w:sz w:val="28"/>
          <w:szCs w:val="28"/>
          <w:rtl w:val="true"/>
          <w:lang w:bidi="fa-IR"/>
        </w:rPr>
        <w:t>.</w:t>
      </w:r>
    </w:p>
    <w:p>
      <w:pPr>
        <w:pStyle w:val="Heading4"/>
        <w:numPr>
          <w:ilvl w:val="3"/>
          <w:numId w:val="1"/>
        </w:numPr>
        <w:rPr/>
      </w:pPr>
      <w:bookmarkStart w:id="7166" w:name="__RefHeading___Toc2571452_3650668749"/>
      <w:bookmarkStart w:id="7167" w:name="_Toc3235"/>
      <w:bookmarkEnd w:id="7166"/>
      <w:r>
        <w:rPr>
          <w:rtl w:val="true"/>
        </w:rPr>
        <w:t>[ (</w:t>
      </w:r>
      <w:r>
        <w:rPr>
          <w:rtl w:val="true"/>
        </w:rPr>
        <w:t xml:space="preserve">مسألة </w:t>
      </w:r>
      <w:r>
        <w:rPr/>
        <w:t>23</w:t>
      </w:r>
      <w:r>
        <w:rPr>
          <w:rtl w:val="true"/>
        </w:rPr>
        <w:t xml:space="preserve">): </w:t>
      </w:r>
      <w:r>
        <w:rPr>
          <w:rtl w:val="true"/>
        </w:rPr>
        <w:t>و کما یترتّب الإرث علیٰ تقدیر الإجازة و الحلف، یترتّب الآثار الأُخر المترتّبة علی الزوجیّة أیضاً</w:t>
      </w:r>
      <w:r>
        <w:rPr>
          <w:rtl w:val="true"/>
        </w:rPr>
        <w:t>]</w:t>
      </w:r>
      <w:bookmarkEnd w:id="7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یترتّب الإرث علیٰ تقدیر الإجازة و الحلف، یترتّب الآثار الأُخر المترتّبة علی الزوجیّة أیضاً؛ من المهر و حرمة الامّ و البنت، و حرمتها علیٰ أب الزوج و ابنه؛ إن کانت الزوجة هی الباقیة و غیر ذلک، بل یمکن أن یقال </w:t>
      </w:r>
      <w:r>
        <w:rPr>
          <w:rStyle w:val="FootnoteAnchor"/>
          <w:rtl w:val="true"/>
        </w:rPr>
        <w:footnoteReference w:id="1869"/>
      </w:r>
      <w:r>
        <w:rPr>
          <w:rFonts w:ascii="IRNazanin" w:hAnsi="IRNazanin" w:eastAsia="IRNazanin"/>
          <w:color w:val="111111"/>
          <w:sz w:val="28"/>
          <w:sz w:val="28"/>
          <w:szCs w:val="28"/>
          <w:rtl w:val="true"/>
          <w:lang w:bidi="fa-IR"/>
        </w:rPr>
        <w:t>بترتّب تلک الآثار بمجرّد الإجازة من غیر حاجة إلی الحلف، و إن کان متّهماً فیفکّک بین الإرث و سائر الآثار، علیٰ إشکال خصوصاً بالنسبة إلیٰ استحقاق المهر إذا کانت الباقیة هی الزوجة</w:t>
      </w:r>
      <w:r>
        <w:rPr>
          <w:rFonts w:eastAsia="IRNazanin" w:cs="IRNazanin"/>
          <w:color w:val="111111"/>
          <w:sz w:val="28"/>
          <w:szCs w:val="28"/>
          <w:rtl w:val="true"/>
          <w:lang w:bidi="fa-IR"/>
        </w:rPr>
        <w:t>.</w:t>
      </w:r>
    </w:p>
    <w:p>
      <w:pPr>
        <w:pStyle w:val="Heading4"/>
        <w:numPr>
          <w:ilvl w:val="3"/>
          <w:numId w:val="1"/>
        </w:numPr>
        <w:rPr/>
      </w:pPr>
      <w:bookmarkStart w:id="7168" w:name="__RefHeading___Toc2571454_3650668749"/>
      <w:bookmarkStart w:id="7169" w:name="_Toc3236"/>
      <w:bookmarkEnd w:id="7168"/>
      <w:r>
        <w:rPr>
          <w:rtl w:val="true"/>
        </w:rPr>
        <w:t>[ (</w:t>
      </w:r>
      <w:r>
        <w:rPr>
          <w:rtl w:val="true"/>
        </w:rPr>
        <w:t xml:space="preserve">مسألة </w:t>
      </w:r>
      <w:r>
        <w:rPr/>
        <w:t>24</w:t>
      </w:r>
      <w:r>
        <w:rPr>
          <w:rtl w:val="true"/>
        </w:rPr>
        <w:t xml:space="preserve">): </w:t>
      </w:r>
      <w:r>
        <w:rPr>
          <w:rtl w:val="true"/>
        </w:rPr>
        <w:t>الظاهر جریان هذا الحکم فی کلّ مورد مات من لزم العقد من طرفه و بقی من یتوقّف زوجیّته علیٰ إجازته</w:t>
      </w:r>
      <w:r>
        <w:rPr>
          <w:rtl w:val="true"/>
        </w:rPr>
        <w:t>]</w:t>
      </w:r>
      <w:bookmarkEnd w:id="7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جریان هذا الحکم فی کلّ مورد مات من لزم العقد من طرفه و بقی من یتوقّف زوجیّته علیٰ إجازته، کما إذا زوّج أحد الصغیرین الولیّ و زوّج الآخر الفضولی، فمات الأوّل قبل بلوغ الثانی و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یشکل جریان الحکم فیما لو کانا کبیرین </w:t>
      </w:r>
      <w:r>
        <w:rPr>
          <w:rStyle w:val="FootnoteAnchor"/>
          <w:rtl w:val="true"/>
        </w:rPr>
        <w:footnoteReference w:id="1870"/>
      </w:r>
      <w:r>
        <w:rPr>
          <w:rFonts w:ascii="IRNazanin" w:hAnsi="IRNazanin" w:eastAsia="IRNazanin"/>
          <w:color w:val="111111"/>
          <w:sz w:val="28"/>
          <w:sz w:val="28"/>
          <w:szCs w:val="28"/>
          <w:rtl w:val="true"/>
          <w:lang w:bidi="fa-IR"/>
        </w:rPr>
        <w:t>فأجاز أحدهما و مات قبل موت الثانی و إجازته، بل المتّجه فیه بطلان العقد</w:t>
      </w:r>
      <w:r>
        <w:rPr>
          <w:rFonts w:eastAsia="IRNazanin" w:cs="IRNazanin"/>
          <w:color w:val="111111"/>
          <w:sz w:val="28"/>
          <w:szCs w:val="28"/>
          <w:rtl w:val="true"/>
          <w:lang w:bidi="fa-IR"/>
        </w:rPr>
        <w:t>.</w:t>
      </w:r>
    </w:p>
    <w:p>
      <w:pPr>
        <w:pStyle w:val="Heading4"/>
        <w:numPr>
          <w:ilvl w:val="3"/>
          <w:numId w:val="1"/>
        </w:numPr>
        <w:rPr/>
      </w:pPr>
      <w:bookmarkStart w:id="7170" w:name="__RefHeading___Toc2571456_3650668749"/>
      <w:bookmarkStart w:id="7171" w:name="_Toc3237"/>
      <w:bookmarkEnd w:id="7170"/>
      <w:r>
        <w:rPr>
          <w:rtl w:val="true"/>
        </w:rPr>
        <w:t>[ (</w:t>
      </w:r>
      <w:r>
        <w:rPr>
          <w:rtl w:val="true"/>
        </w:rPr>
        <w:t xml:space="preserve">مسألة </w:t>
      </w:r>
      <w:r>
        <w:rPr/>
        <w:t>25</w:t>
      </w:r>
      <w:r>
        <w:rPr>
          <w:rtl w:val="true"/>
        </w:rPr>
        <w:t xml:space="preserve">): </w:t>
      </w:r>
      <w:r>
        <w:rPr>
          <w:rtl w:val="true"/>
        </w:rPr>
        <w:t>إذا کان العقد فضولیّاً من أحد الطرفین، کان لازماً من طرف الأصیل</w:t>
      </w:r>
      <w:r>
        <w:rPr>
          <w:rtl w:val="true"/>
        </w:rPr>
        <w:t>]</w:t>
      </w:r>
      <w:bookmarkEnd w:id="7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العقد فضولیّاً من أحد الطرفین، کان لازماً من طرف الأصیل، فلو کان هی الزوجة لیس لها أن تتزوّج بالغیر قبل أن یردّ الآخر العقد و یفسخه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یثبت فی حقّه تحریم المصاهرة قبل إجازة الآخر و ردّه؛ فلو کان زوجاً حرم علیه نکاح أُمّ المرأة و بنتها و أُختها و الخامسة إن کانت هی الرابعة؟ الأحوط ذلک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72" w:name="__RefHeading___Toc2571458_3650668749"/>
      <w:bookmarkStart w:id="7173" w:name="_Toc3238"/>
      <w:bookmarkEnd w:id="7172"/>
      <w:r>
        <w:rPr>
          <w:rtl w:val="true"/>
        </w:rPr>
        <w:t>[ (</w:t>
      </w:r>
      <w:r>
        <w:rPr>
          <w:rtl w:val="true"/>
        </w:rPr>
        <w:t xml:space="preserve">مسألة </w:t>
      </w:r>
      <w:r>
        <w:rPr/>
        <w:t>26</w:t>
      </w:r>
      <w:r>
        <w:rPr>
          <w:rtl w:val="true"/>
        </w:rPr>
        <w:t xml:space="preserve">): </w:t>
      </w:r>
      <w:r>
        <w:rPr>
          <w:rtl w:val="true"/>
        </w:rPr>
        <w:t>إذا ردّ المعقود أو المعقودة العقد الواقع فضولًا، صار العقد کأنّه لم یقع</w:t>
      </w:r>
      <w:r>
        <w:rPr>
          <w:rtl w:val="true"/>
        </w:rPr>
        <w:t>]</w:t>
      </w:r>
      <w:bookmarkEnd w:id="7173"/>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ردّ المعقود أو المعقودة العقد الواقع فضولًا، صار العقد کأنّه لم یقع؛ سواء کان العقد فضولیّاً من الطرفین و ردّاه معاً أو ردّه أحدهما، بل و لو أجاز أحدهما و ردّ</w:t>
      </w:r>
      <w:bookmarkStart w:id="7174" w:name="pg1809_19878"/>
    </w:p>
    <w:p>
      <w:pPr>
        <w:pStyle w:val="BookText"/>
        <w:rPr/>
      </w:pPr>
      <w:bookmarkEnd w:id="7174"/>
      <w:r>
        <w:rPr>
          <w:rFonts w:ascii="IRNazanin" w:hAnsi="IRNazanin" w:eastAsia="IRNazanin"/>
          <w:color w:val="111111"/>
          <w:sz w:val="28"/>
          <w:sz w:val="28"/>
          <w:szCs w:val="28"/>
          <w:rtl w:val="true"/>
          <w:lang w:bidi="fa-IR"/>
        </w:rPr>
        <w:t xml:space="preserve">الآخر، أو من طرف واحد و ردّ ذلک الطرف فتحلّ المعقودة علیٰ أب المعقود و ابنه و تحلّ بنتها و أُمّها علی المعقود، علیٰ إشکال </w:t>
      </w:r>
      <w:r>
        <w:rPr>
          <w:rStyle w:val="FootnoteAnchor"/>
          <w:rtl w:val="true"/>
        </w:rPr>
        <w:footnoteReference w:id="1872"/>
      </w:r>
      <w:r>
        <w:rPr>
          <w:rFonts w:ascii="Amiri" w:hAnsi="Amiri" w:eastAsia="Amiri" w:cs="Amiri"/>
          <w:color w:val="111111"/>
          <w:sz w:val="28"/>
          <w:sz w:val="28"/>
          <w:szCs w:val="28"/>
          <w:rtl w:val="true"/>
          <w:lang w:bidi="ar-SA"/>
        </w:rPr>
        <w:t>فی الأُمّ</w:t>
      </w:r>
      <w:r>
        <w:rPr>
          <w:rFonts w:eastAsia="Amiri" w:cs="Amiri" w:ascii="Amiri" w:hAnsi="Amiri"/>
          <w:color w:val="111111"/>
          <w:sz w:val="28"/>
          <w:szCs w:val="28"/>
          <w:rtl w:val="true"/>
          <w:lang w:bidi="ar-SA"/>
        </w:rPr>
        <w:t>.</w:t>
      </w:r>
    </w:p>
    <w:p>
      <w:pPr>
        <w:pStyle w:val="Heading4"/>
        <w:numPr>
          <w:ilvl w:val="3"/>
          <w:numId w:val="1"/>
        </w:numPr>
        <w:rPr/>
      </w:pPr>
      <w:bookmarkStart w:id="7175" w:name="__RefHeading___Toc2571460_3650668749"/>
      <w:bookmarkStart w:id="7176" w:name="_Toc3239"/>
      <w:bookmarkEnd w:id="7175"/>
      <w:r>
        <w:rPr>
          <w:rtl w:val="true"/>
        </w:rPr>
        <w:t>[ (</w:t>
      </w:r>
      <w:r>
        <w:rPr>
          <w:rtl w:val="true"/>
        </w:rPr>
        <w:t xml:space="preserve">مسألة </w:t>
      </w:r>
      <w:r>
        <w:rPr/>
        <w:t>27</w:t>
      </w:r>
      <w:r>
        <w:rPr>
          <w:rtl w:val="true"/>
        </w:rPr>
        <w:t xml:space="preserve">): </w:t>
      </w:r>
      <w:r>
        <w:rPr>
          <w:rtl w:val="true"/>
        </w:rPr>
        <w:t>إذا زوّج الفضولی امرأة برجل من دون اطّلاعها، و تزوّجت هی برجل آخر، صحّ</w:t>
      </w:r>
      <w:r>
        <w:rPr>
          <w:rtl w:val="true"/>
        </w:rPr>
        <w:t>]</w:t>
      </w:r>
      <w:bookmarkEnd w:id="7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زوّج الفضولی امرأة برجل من دون اطّلاعها، و تزوّجت هی برجل آخر، صحّ و لزم الثانی و لم یبق محلّ لإجازة الأوّل، و کذا لو زوّج الفضولی رجلًا بامرأة من دون اطّلاعه و زوّج هو بأُمّها أو بنتها ثمّ علم</w:t>
      </w:r>
      <w:r>
        <w:rPr>
          <w:rFonts w:eastAsia="IRNazanin" w:cs="IRNazanin"/>
          <w:color w:val="111111"/>
          <w:sz w:val="28"/>
          <w:szCs w:val="28"/>
          <w:rtl w:val="true"/>
          <w:lang w:bidi="fa-IR"/>
        </w:rPr>
        <w:t>.</w:t>
      </w:r>
    </w:p>
    <w:p>
      <w:pPr>
        <w:pStyle w:val="Heading4"/>
        <w:numPr>
          <w:ilvl w:val="3"/>
          <w:numId w:val="1"/>
        </w:numPr>
        <w:rPr/>
      </w:pPr>
      <w:bookmarkStart w:id="7177" w:name="__RefHeading___Toc2571462_3650668749"/>
      <w:bookmarkStart w:id="7178" w:name="_Toc3240"/>
      <w:bookmarkEnd w:id="7177"/>
      <w:r>
        <w:rPr>
          <w:rtl w:val="true"/>
        </w:rPr>
        <w:t>[ (</w:t>
      </w:r>
      <w:r>
        <w:rPr>
          <w:rtl w:val="true"/>
        </w:rPr>
        <w:t xml:space="preserve">مسألة </w:t>
      </w:r>
      <w:r>
        <w:rPr/>
        <w:t>28</w:t>
      </w:r>
      <w:r>
        <w:rPr>
          <w:rtl w:val="true"/>
        </w:rPr>
        <w:t xml:space="preserve">): </w:t>
      </w:r>
      <w:r>
        <w:rPr>
          <w:rtl w:val="true"/>
        </w:rPr>
        <w:t>لو زوّج فضولیّان امرأة؛ کلّ منهما برجل، کانت بالخیار فی إجازة أیّهما شاءت و إن شاءت ردّتهما</w:t>
      </w:r>
      <w:r>
        <w:rPr>
          <w:rtl w:val="true"/>
        </w:rPr>
        <w:t>]</w:t>
      </w:r>
      <w:bookmarkEnd w:id="7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زوّج فضولیّان امرأة؛ کلّ منهما برجل، کانت بالخیار فی إجازة أیّهما شاءت و إن شاءت ردّتهما؛ سواء تقارن العقدان أو تقدّم أحدهما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فیما إذا زوّج أحد الفضولین رجلًا بامرأة و الآخر بأُمّها أو بنتها أو أُختها، فإنّ له إجازة أیّهما شاء</w:t>
      </w:r>
      <w:r>
        <w:rPr>
          <w:rFonts w:eastAsia="IRNazanin" w:cs="IRNazanin"/>
          <w:color w:val="111111"/>
          <w:sz w:val="28"/>
          <w:szCs w:val="28"/>
          <w:rtl w:val="true"/>
          <w:lang w:bidi="fa-IR"/>
        </w:rPr>
        <w:t>.</w:t>
      </w:r>
    </w:p>
    <w:p>
      <w:pPr>
        <w:pStyle w:val="Heading4"/>
        <w:numPr>
          <w:ilvl w:val="3"/>
          <w:numId w:val="1"/>
        </w:numPr>
        <w:rPr/>
      </w:pPr>
      <w:bookmarkStart w:id="7179" w:name="__RefHeading___Toc2571464_3650668749"/>
      <w:bookmarkStart w:id="7180" w:name="_Toc3241"/>
      <w:bookmarkEnd w:id="7179"/>
      <w:r>
        <w:rPr>
          <w:rtl w:val="true"/>
        </w:rPr>
        <w:t>[ (</w:t>
      </w:r>
      <w:r>
        <w:rPr>
          <w:rtl w:val="true"/>
        </w:rPr>
        <w:t xml:space="preserve">مسألة </w:t>
      </w:r>
      <w:r>
        <w:rPr/>
        <w:t>29</w:t>
      </w:r>
      <w:r>
        <w:rPr>
          <w:rtl w:val="true"/>
        </w:rPr>
        <w:t xml:space="preserve">): </w:t>
      </w:r>
      <w:r>
        <w:rPr>
          <w:rtl w:val="true"/>
        </w:rPr>
        <w:t>لو وکّلت رجلین فی تزویجها، فزوّجها کلّ منهما برجل، فإن سبق أحدهما صحّ و لغا الآخر</w:t>
      </w:r>
      <w:r>
        <w:rPr>
          <w:rtl w:val="true"/>
        </w:rPr>
        <w:t>]</w:t>
      </w:r>
      <w:bookmarkEnd w:id="7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وکّلت رجلین فی تزویجها، فزوّجها کلّ منهما برجل، فإن سبق أحدهما صحّ و لغا الآخر، و إن تقارنا بطلا معاً، و إن لم یعلم الحال، فإن علم تاریخ أحدهما حکم بصحّته دون الآخر، و إن جهل تاریخهما، فإن احتمل تقارنهما حکم ببطلانهما معاً فی حقّ کلّ من الزوجة و الزوجین، و إن علم عدم التقارن فیعلم إجمالًا بصحّة أحد العقدین و تکون المرأة زوجة لأحد الرجلین أجنبیّة عن أحدهما، فلیس للزوجة أن تتزوّج بغیرهما و لا للغیر أن یتزوّج بها؛ لکونها ذات بعل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حالها بالنسبة إلی الزوجین و حالهما بالنسبة إلیها، فالأولیٰ أن یطلّقاها و یجدّد النکاح علیها أحدهما برضاها، و إن تعاسرا و کان فی التوقّف إلیٰ أن یظهر الحال عسر و حرج علی الزوجة، أو لا یرجیٰ ظهور الحال، فالمتّجه تعیین الزوج منهما بالقرعة، فیحکم بزوجیّة من وقعت علیه</w:t>
      </w:r>
      <w:r>
        <w:rPr>
          <w:rFonts w:eastAsia="IRNazanin" w:cs="IRNazanin"/>
          <w:color w:val="111111"/>
          <w:sz w:val="28"/>
          <w:szCs w:val="28"/>
          <w:rtl w:val="true"/>
          <w:lang w:bidi="fa-IR"/>
        </w:rPr>
        <w:t>.</w:t>
      </w:r>
    </w:p>
    <w:p>
      <w:pPr>
        <w:pStyle w:val="Heading4"/>
        <w:numPr>
          <w:ilvl w:val="3"/>
          <w:numId w:val="1"/>
        </w:numPr>
        <w:rPr/>
      </w:pPr>
      <w:bookmarkStart w:id="7181" w:name="__RefHeading___Toc2571466_3650668749"/>
      <w:bookmarkStart w:id="7182" w:name="_Toc3242"/>
      <w:bookmarkEnd w:id="7181"/>
      <w:r>
        <w:rPr>
          <w:rtl w:val="true"/>
        </w:rPr>
        <w:t>[ (</w:t>
      </w:r>
      <w:r>
        <w:rPr>
          <w:rtl w:val="true"/>
        </w:rPr>
        <w:t xml:space="preserve">مسألة </w:t>
      </w:r>
      <w:r>
        <w:rPr/>
        <w:t>30</w:t>
      </w:r>
      <w:r>
        <w:rPr>
          <w:rtl w:val="true"/>
        </w:rPr>
        <w:t xml:space="preserve">): </w:t>
      </w:r>
      <w:r>
        <w:rPr>
          <w:rtl w:val="true"/>
        </w:rPr>
        <w:t>لو ادّعیٰ أحد الزوجین سبق عقده، فإن صدّقه الآخر و</w:t>
      </w:r>
      <w:r>
        <w:rPr>
          <w:rtl w:val="true"/>
        </w:rPr>
        <w:t xml:space="preserve">- </w:t>
      </w:r>
      <w:r>
        <w:rPr>
          <w:rtl w:val="true"/>
        </w:rPr>
        <w:t>کذا الزوجة</w:t>
      </w:r>
      <w:r>
        <w:rPr>
          <w:rtl w:val="true"/>
        </w:rPr>
        <w:t>]</w:t>
      </w:r>
      <w:bookmarkEnd w:id="7182"/>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أحد الزوجین سبق عقده، فإن صدّقه الآخر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الزوجة أو صدّقه أحدهما و قال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کلاهما </w:t>
      </w:r>
      <w:r>
        <w:rPr>
          <w:rStyle w:val="FootnoteAnchor"/>
          <w:rtl w:val="true"/>
        </w:rPr>
        <w:footnoteReference w:id="18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فالزوجة لمدّعی</w:t>
      </w:r>
      <w:bookmarkStart w:id="7183" w:name="pg1809_19880"/>
    </w:p>
    <w:p>
      <w:pPr>
        <w:pStyle w:val="BookText"/>
        <w:rPr/>
      </w:pPr>
      <w:bookmarkEnd w:id="7183"/>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صدّقه الآخر و لکن کذّبته الزوجة کانت الدعویٰ بین الزوجة و کلا الزوجین، فالزوج الأوّل یدّعی زوجیّتها و صحّة عقده، و هی تنکر زوجیّته و تدّعی فساد عقده، و تنعکس الدعویٰ بینها و بین الزوج الثانی؛ حیث إنّه یدّعی فساد عقده و هی تدّعی صحّته، ففی الدعوی الاولیٰ تکون هی المدّعیة </w:t>
      </w:r>
      <w:r>
        <w:rPr>
          <w:rStyle w:val="FootnoteAnchor"/>
          <w:rtl w:val="true"/>
        </w:rPr>
        <w:footnoteReference w:id="1874"/>
      </w:r>
      <w:r>
        <w:rPr>
          <w:rFonts w:ascii="IRNazanin" w:hAnsi="IRNazanin" w:eastAsia="IRNazanin"/>
          <w:color w:val="111111"/>
          <w:sz w:val="28"/>
          <w:sz w:val="28"/>
          <w:szCs w:val="28"/>
          <w:rtl w:val="true"/>
          <w:lang w:bidi="fa-IR"/>
        </w:rPr>
        <w:t>و الزوج هو المنکر و فی الثانیة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أقامت البیّنة علیٰ فساد الأوّل المستلزم لصحّة الثانی حکم لها بزوجیّتها للثانی دون الأوّل، و إن أقام الزوج الثانی بیّنة علیٰ فساد عقده یحکم بعدم زوجیّتها له و ثبوتها للأوّل، و إن لم تکن بیّنة یتوجّه الحلف إلی الزوج الأوّل فی الدعوی الاولیٰ و إلی الزوجة فی الدعوة الثانیة، فإن حلف الزوج الأوّل و نکلت الزوجة ثبتت زوجیّتها للأوّل، و إن کان العکس بأن حلفت هی دونه حکم بزوجیّتها للثانی، و إن حلفا معاً فالمرجع هی القرعة، و إن ادّعیٰ کلّ من الزوجین سبق عقده، فإن قالت الزوجة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الدعویٰ بین الزوجین، فإن أقام أحدهما بیّنة دون الآخر حکم له و کانت الزوجة له، و إن أقام کلّ منهما بیّنة تعارضت البیّنتان فیرجع إلی القرعة فیحکم بزوجیّة من وقعت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تکن بیّنة یتوجّه الحلف إلیهما، فإن حلف أحدهما حکم له، و إن حلفا أو نکلا یرجع إلی القرعة، و إن صدّقت المرأة أحدهما کان أحد طرفی الدعویٰ من لم تصدّقه الزوجة و الطرف الآخر الزوج الآخر مع الزوجة، فمع إقامة البیّنة من أحد الطرفین، أو من کلیهما الحکم کما مرّ، و أمّا مع عدمها و انتهاء الأمر إلی الحلف، فإن حلف من لم تصدّقه الزوجة یحکم له علیٰ کلّ من الزوجة و الزوج الآخر، و أمّا مع حلف من صدّقته فلا یترتّب علیٰ حلفه رفع دعوی الزوج الآخر علی الزوجة، بل لا بدّ من حلفها أیضاً</w:t>
      </w:r>
      <w:r>
        <w:rPr>
          <w:rFonts w:eastAsia="IRNazanin" w:cs="IRNazanin"/>
          <w:color w:val="111111"/>
          <w:sz w:val="28"/>
          <w:szCs w:val="28"/>
          <w:rtl w:val="true"/>
          <w:lang w:bidi="fa-IR"/>
        </w:rPr>
        <w:t>.</w:t>
      </w:r>
    </w:p>
    <w:p>
      <w:pPr>
        <w:pStyle w:val="Heading4"/>
        <w:numPr>
          <w:ilvl w:val="3"/>
          <w:numId w:val="1"/>
        </w:numPr>
        <w:rPr/>
      </w:pPr>
      <w:bookmarkStart w:id="7184" w:name="__RefHeading___Toc2571468_3650668749"/>
      <w:bookmarkStart w:id="7185" w:name="_Toc3243"/>
      <w:bookmarkEnd w:id="7184"/>
      <w:r>
        <w:rPr>
          <w:rtl w:val="true"/>
        </w:rPr>
        <w:t>[ (</w:t>
      </w:r>
      <w:r>
        <w:rPr>
          <w:rtl w:val="true"/>
        </w:rPr>
        <w:t xml:space="preserve">مسألة </w:t>
      </w:r>
      <w:r>
        <w:rPr/>
        <w:t>31</w:t>
      </w:r>
      <w:r>
        <w:rPr>
          <w:rtl w:val="true"/>
        </w:rPr>
        <w:t xml:space="preserve">): </w:t>
      </w:r>
      <w:r>
        <w:rPr>
          <w:rtl w:val="true"/>
        </w:rPr>
        <w:t>لو زوّج أحدُ الوکیلین عن الرجل له بامرأة، و الآخر بنتها صحّ السابق</w:t>
      </w:r>
      <w:r>
        <w:rPr>
          <w:rtl w:val="true"/>
        </w:rPr>
        <w:t>]</w:t>
      </w:r>
      <w:bookmarkEnd w:id="7185"/>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زوّج أحدُ الوکیلین عن الرجل له بامرأة، و الآخر بنتها صحّ السابق و لغا اللاحق، و مع التقارن بطلا معاً، و إن لم یعلم السابق، فإن علم تاریخ أحدهما حکم بصحّته دون الآخر، و إن جهل تاریخهما، فإن احتمل تقارنهما یحکم ببطلان کلیهما، و إن علم بعدم</w:t>
      </w:r>
      <w:bookmarkStart w:id="7186" w:name="pg1809_19882"/>
    </w:p>
    <w:p>
      <w:pPr>
        <w:pStyle w:val="BookText"/>
        <w:rPr/>
      </w:pPr>
      <w:bookmarkEnd w:id="7186"/>
      <w:r>
        <w:rPr>
          <w:rFonts w:ascii="IRNazanin" w:hAnsi="IRNazanin" w:eastAsia="IRNazanin"/>
          <w:color w:val="111111"/>
          <w:sz w:val="28"/>
          <w:sz w:val="28"/>
          <w:szCs w:val="28"/>
          <w:rtl w:val="true"/>
          <w:lang w:bidi="fa-IR"/>
        </w:rPr>
        <w:t>التقارن فقد علم بصحّة أحد العقدین و بطلان أحدهما، فلا یجوز للزوج مقاربة واحدة منهما، کما أنّه لا یجوز لهما التمکین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 النظر بالأُمّ و لا یجب علیها التستّر عنه؛ للعلم بأنّه إمّا زوجها أو زوج بنتها، و أمّا البنت فحیث إنّه لم یحرز زوجیّتها و بنت الزوجة إنّما یحلّ النظر إلیها إن دخل بالأُمّ و المفروض عدمه، فلم یحرز ما هو سبب لحلّیة النظر إلیها، و یجب علیها التستّر عنه، نعم لو فرض الدخول بالأُمّ و لو بالشبهة کان حالها حال الامّ</w:t>
      </w:r>
      <w:r>
        <w:rPr>
          <w:rFonts w:eastAsia="IRNazanin" w:cs="IRNazanin"/>
          <w:color w:val="111111"/>
          <w:sz w:val="28"/>
          <w:szCs w:val="28"/>
          <w:rtl w:val="true"/>
          <w:lang w:bidi="fa-IR"/>
        </w:rPr>
        <w:t>.</w:t>
      </w:r>
    </w:p>
    <w:p>
      <w:pPr>
        <w:pStyle w:val="Heading3"/>
        <w:numPr>
          <w:ilvl w:val="2"/>
          <w:numId w:val="1"/>
        </w:numPr>
        <w:rPr/>
      </w:pPr>
      <w:bookmarkStart w:id="7187" w:name="__RefHeading___Toc2571470_3650668749"/>
      <w:bookmarkStart w:id="7188" w:name="_Toc3244"/>
      <w:bookmarkEnd w:id="7187"/>
      <w:r>
        <w:rPr>
          <w:rtl w:val="true"/>
        </w:rPr>
        <w:t>[</w:t>
      </w:r>
      <w:r>
        <w:rPr>
          <w:rtl w:val="true"/>
        </w:rPr>
        <w:t>فصل فی أسباب التحریم</w:t>
      </w:r>
      <w:r>
        <w:rPr>
          <w:rtl w:val="true"/>
        </w:rPr>
        <w:t>]</w:t>
      </w:r>
      <w:bookmarkEnd w:id="7188"/>
    </w:p>
    <w:p>
      <w:pPr>
        <w:pStyle w:val="Heading4"/>
        <w:numPr>
          <w:ilvl w:val="3"/>
          <w:numId w:val="1"/>
        </w:numPr>
        <w:rPr/>
      </w:pPr>
      <w:bookmarkStart w:id="7189" w:name="__RefHeading___Toc2571472_3650668749"/>
      <w:bookmarkStart w:id="7190" w:name="_Toc3245"/>
      <w:bookmarkEnd w:id="7189"/>
      <w:r>
        <w:rPr>
          <w:rtl w:val="true"/>
        </w:rPr>
        <w:t>اشارة</w:t>
      </w:r>
      <w:bookmarkEnd w:id="7190"/>
    </w:p>
    <w:p>
      <w:pPr>
        <w:pStyle w:val="BookText"/>
        <w:rPr/>
      </w:pPr>
      <w:r>
        <w:rPr>
          <w:rFonts w:ascii="IRNazanin" w:hAnsi="IRNazanin" w:eastAsia="IRNazanin"/>
          <w:color w:val="111111"/>
          <w:sz w:val="28"/>
          <w:sz w:val="28"/>
          <w:szCs w:val="28"/>
          <w:rtl w:val="true"/>
          <w:lang w:bidi="fa-IR"/>
        </w:rPr>
        <w:t>فصل فی أسباب التحریم أعنی ما بسببه یحرم و لا یصحّ تزویج الرجل بالمرأة و لا یقع الزواج بینهما، و هی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و الرضاع، و المصاهرة، و ما یلحق بها، و الکفر، و عدم الکفاءة، و استیفاء العدد، و الاعتداد، و الإحرام</w:t>
      </w:r>
      <w:r>
        <w:rPr>
          <w:rFonts w:eastAsia="IRNazanin" w:cs="IRNazanin"/>
          <w:color w:val="111111"/>
          <w:sz w:val="28"/>
          <w:szCs w:val="28"/>
          <w:rtl w:val="true"/>
          <w:lang w:bidi="fa-IR"/>
        </w:rPr>
        <w:t>.</w:t>
      </w:r>
    </w:p>
    <w:p>
      <w:pPr>
        <w:pStyle w:val="Heading4"/>
        <w:numPr>
          <w:ilvl w:val="3"/>
          <w:numId w:val="1"/>
        </w:numPr>
        <w:rPr/>
      </w:pPr>
      <w:bookmarkStart w:id="7191" w:name="__RefHeading___Toc2571474_3650668749"/>
      <w:bookmarkStart w:id="7192" w:name="_Toc3246"/>
      <w:bookmarkEnd w:id="7191"/>
      <w:r>
        <w:rPr>
          <w:rtl w:val="true"/>
        </w:rPr>
        <w:t>[</w:t>
      </w:r>
      <w:r>
        <w:rPr>
          <w:rtl w:val="true"/>
        </w:rPr>
        <w:t>القول فی النسب</w:t>
      </w:r>
      <w:r>
        <w:rPr>
          <w:rtl w:val="true"/>
        </w:rPr>
        <w:t>]</w:t>
      </w:r>
      <w:bookmarkEnd w:id="7192"/>
    </w:p>
    <w:p>
      <w:pPr>
        <w:pStyle w:val="Heading5"/>
        <w:numPr>
          <w:ilvl w:val="4"/>
          <w:numId w:val="1"/>
        </w:numPr>
        <w:rPr/>
      </w:pPr>
      <w:bookmarkStart w:id="7193" w:name="__RefHeading___Toc2571476_3650668749"/>
      <w:bookmarkStart w:id="7194" w:name="_Toc3247"/>
      <w:bookmarkEnd w:id="7193"/>
      <w:r>
        <w:rPr>
          <w:rtl w:val="true"/>
        </w:rPr>
        <w:t>اشارة</w:t>
      </w:r>
      <w:bookmarkEnd w:id="7194"/>
    </w:p>
    <w:p>
      <w:pPr>
        <w:pStyle w:val="BookText"/>
        <w:rPr/>
      </w:pPr>
      <w:r>
        <w:rPr>
          <w:rFonts w:ascii="IRNazanin" w:hAnsi="IRNazanin" w:eastAsia="IRNazanin"/>
          <w:color w:val="111111"/>
          <w:sz w:val="28"/>
          <w:sz w:val="28"/>
          <w:szCs w:val="28"/>
          <w:rtl w:val="true"/>
          <w:lang w:bidi="fa-IR"/>
        </w:rPr>
        <w:t>القول فی النسب یحرم بالنسب سبعة أصناف من النساء علیٰ سبعة أصناف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 بما شملت الجدّات؛ عالیات و سافلات، لأب کنّ أو لُامّ، فتحرم المرأة علی ابنها و علی ابن ابنها و ابن ابن ابنها، و علی ابن بنتها و ابن بنت بنتها و ابن بنت ابنها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علیٰ کلّ ذکر ینتمی إلیها بالولادة؛ سواء کان بلا واسطة أو بواسطة أو وسائط، و سواء کانت الوسائط ذکوراً أو إناثاً أو بالاختلاف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البنت بما شملت الحفیدة و لو بواسطة أو وسائط، فتحرم هی علیٰ أبیها بما شمل الجدّ؛ لأب کان أو لُامّ، فتحرم علی الرجل بنته و بنت ابنه و بنت ابن ابنه، و بنت بنته و بنت بنت بنته و بنت ابن 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أُنثی تنتمی إلیه بالولادة بواسطة أو وسائط؛ ذکوراً کانوا أو إناثاً أو بالاختلاف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الأُخت؛ لأب کانت أو لُامّ أو لهما</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بنت الأخ؛ سواء کان لأب أو لُامّ أو لهما، و هی کلّ مرأة تنتمی بالولادة إلیٰ أخیه بلا واسطة أو معها و إن کثرت؛ سواء کان الانتماء إلیه بالآباء أو الأُمّهات أو بالاختلاف، فتحرم</w:t>
      </w:r>
      <w:bookmarkStart w:id="7195" w:name="pg1809_19884"/>
    </w:p>
    <w:p>
      <w:pPr>
        <w:pStyle w:val="BookText"/>
        <w:rPr/>
      </w:pPr>
      <w:bookmarkEnd w:id="7195"/>
      <w:r>
        <w:rPr>
          <w:rFonts w:ascii="IRNazanin" w:hAnsi="IRNazanin" w:eastAsia="IRNazanin"/>
          <w:color w:val="111111"/>
          <w:sz w:val="28"/>
          <w:sz w:val="28"/>
          <w:szCs w:val="28"/>
          <w:rtl w:val="true"/>
          <w:lang w:bidi="fa-IR"/>
        </w:rPr>
        <w:t>علیه بنت أخیه و بنت ابنه و بنت ابن ابنه، و بنت بنته و بنت بنت بنته و بنت ابن بنته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بنت الأُخت، و هی کلّ أُنثی تنتمی إلیٰ أُخته بالولادة علیٰ النحو الذی ذکر فی بنت الأخ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العمّة، و هی أُخت أبیه لأب أو لُامّ أو لهما و المراد بها ما یشمل العالیات؛ أعنی عمّة الأب؛ أُخت الجدّ للأب؛ لأب أو لُامّ أو لهما، و عمّة الأُمّ؛ أُخت أبیها لأب أو لُامّ أو لهما، و عمّة الجدّ للأب و الجدّ للُامّ، و الجدّة کذلک، فمراتب العمّات مراتب الآباء، فهی کلّ أُنثی هی أُخت لذکر تنتمی إلیک بالولادة من طرف أبیک أو أُمّک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الخالة، و المراد بها أیضاً ما یشمل العالیات، فهی کالعمّة إلّا أنّها أُخت إحدیٰ امّهاتک و لو من طرف أبیک و العمّة أُخت أحد آبائک و لو من طرف أُمّک، فأُخت جدّتک للأب خالتک حیث إنّها خالة أبیک و أُخت جدک للُامّ عمّتک حیث إنّها عمّة أُمّک</w:t>
      </w:r>
      <w:r>
        <w:rPr>
          <w:rFonts w:eastAsia="Amiri" w:cs="Amiri" w:ascii="Amiri" w:hAnsi="Amiri"/>
          <w:color w:val="111111"/>
          <w:sz w:val="28"/>
          <w:szCs w:val="28"/>
          <w:rtl w:val="true"/>
          <w:lang w:bidi="ar-SA"/>
        </w:rPr>
        <w:t>.</w:t>
      </w:r>
    </w:p>
    <w:p>
      <w:pPr>
        <w:pStyle w:val="Heading5"/>
        <w:numPr>
          <w:ilvl w:val="4"/>
          <w:numId w:val="1"/>
        </w:numPr>
        <w:rPr/>
      </w:pPr>
      <w:bookmarkStart w:id="7196" w:name="__RefHeading___Toc2571478_3650668749"/>
      <w:bookmarkStart w:id="7197" w:name="_Toc3248"/>
      <w:bookmarkEnd w:id="7196"/>
      <w:r>
        <w:rPr>
          <w:rtl w:val="true"/>
        </w:rPr>
        <w:t>[ (</w:t>
      </w:r>
      <w:r>
        <w:rPr>
          <w:rtl w:val="true"/>
        </w:rPr>
        <w:t xml:space="preserve">مسألة </w:t>
      </w:r>
      <w:r>
        <w:rPr/>
        <w:t>1</w:t>
      </w:r>
      <w:r>
        <w:rPr>
          <w:rtl w:val="true"/>
        </w:rPr>
        <w:t xml:space="preserve">): </w:t>
      </w:r>
      <w:r>
        <w:rPr>
          <w:rtl w:val="true"/>
        </w:rPr>
        <w:t>لا تحرم عمّة العمّة و لا خالة الخالة ما لم تدخلا فی عنوانی العمّة و الخالة و لو بالواسطة</w:t>
      </w:r>
      <w:r>
        <w:rPr>
          <w:rtl w:val="true"/>
        </w:rPr>
        <w:t>]</w:t>
      </w:r>
      <w:bookmarkEnd w:id="7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تحرم عمّة العمّة و لا خالة الخالة ما لم تدخلا فی عنوانی العمّة و الخالة و لو بالواسطة، و هما قد تدخلان فیهما فتحرمان، کما إذا کانت عمّتک أُختاً لأبیک لأب و أُمّ أو لأب، و لأبی أبیک أُخت لأب أو أُمّ أو لهما، فهذه عمّة لعمّتک بلا واسطة و عمّة لک معها، و کما إذا کانت خالتک أُختاً لأُمّک لُامّها أو لُامّها و أبیها، و کانت لُامّ أُمّک أُخت، فهی خالة لخالتک بلا واسطة و خالة لک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لا تدخلان فیهما فلا تحرمان کما إذا کانت عمّتک أُختاً لأبیک لأُمّة لا لأبیه، و کانت لأبی الأُخت أُخت، فالأُخت الثانیة عمّة لعمّتک و لیس بینک و بینها نسب أصلًا، و کما إذا کانت خالتک أُختاً لأُمّک لأبیها لا لُامّها، و کانت لُامّ الأُخت أُخت، فهی خالة لخالتک و لیست خالتک و لو مع الواسطة و کذلک أُخت الأخ أو الأُخت إنّما تحرم إذا کانت أُختاً لا مطلقاً، فلو کان لک أخ أو أُخت لأبیک و کانت لُامّها بنت من زوج آخر فهی أُخت لأخیک أو أُختک و لیست أُختاً لک؛ لا من طرف أبیک و لا من طرف أُمّک، فلا تحرم علیک</w:t>
      </w:r>
      <w:r>
        <w:rPr>
          <w:rFonts w:eastAsia="IRNazanin" w:cs="IRNazanin"/>
          <w:color w:val="111111"/>
          <w:sz w:val="28"/>
          <w:szCs w:val="28"/>
          <w:rtl w:val="true"/>
          <w:lang w:bidi="fa-IR"/>
        </w:rPr>
        <w:t>.</w:t>
      </w:r>
    </w:p>
    <w:p>
      <w:pPr>
        <w:pStyle w:val="Heading5"/>
        <w:numPr>
          <w:ilvl w:val="4"/>
          <w:numId w:val="1"/>
        </w:numPr>
        <w:rPr/>
      </w:pPr>
      <w:bookmarkStart w:id="7198" w:name="__RefHeading___Toc2571480_3650668749"/>
      <w:bookmarkStart w:id="7199" w:name="_Toc3249"/>
      <w:bookmarkEnd w:id="7198"/>
      <w:r>
        <w:rPr>
          <w:rtl w:val="true"/>
        </w:rPr>
        <w:t>[ (</w:t>
      </w:r>
      <w:r>
        <w:rPr>
          <w:rtl w:val="true"/>
        </w:rPr>
        <w:t xml:space="preserve">مسألة </w:t>
      </w:r>
      <w:r>
        <w:rPr/>
        <w:t>2</w:t>
      </w:r>
      <w:r>
        <w:rPr>
          <w:rtl w:val="true"/>
        </w:rPr>
        <w:t xml:space="preserve">): </w:t>
      </w:r>
      <w:r>
        <w:rPr>
          <w:rtl w:val="true"/>
        </w:rPr>
        <w:t>النسب إمّا شرعی و هو ما کان بسبب وطء حلال ذاتاً بسبب شرعی</w:t>
      </w:r>
      <w:r>
        <w:rPr>
          <w:rtl w:val="true"/>
        </w:rPr>
        <w:t>]</w:t>
      </w:r>
      <w:bookmarkEnd w:id="7199"/>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إمّا شرعی و هو ما کان بسبب وطء حلال ذاتاً بسبب شرعی؛ من نکاح أو ملک یمین أو تحلیل و إن حرم لعارض من حیض أو صیام أو اعتکاف أو إحرام و نحوها، و یلحق به وطء الشبهة، و إمّا غیر شرعی، و هو ما حصل بالسفاح و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الأحکام المترتّبة علی النسب الثابتة فی الشرع من التوارث و غیره و إن اختصّت بالأوّل لکنّ الظاهر بل المقطوع أنّ موضوع حرمة النکاح أعمّ، فیعمّ الغیر الشرعی، فلو زنیٰ بامرأة فولدت منه ذکراً و أُنثیٰ حرمت المزاوجة بینهما، و کذا بین کلّ منهما و بین أولاد</w:t>
      </w:r>
      <w:bookmarkStart w:id="7200" w:name="pg1809_19886"/>
    </w:p>
    <w:p>
      <w:pPr>
        <w:pStyle w:val="BookText"/>
        <w:rPr/>
      </w:pPr>
      <w:bookmarkEnd w:id="7200"/>
      <w:r>
        <w:rPr>
          <w:rFonts w:ascii="IRNazanin" w:hAnsi="IRNazanin" w:eastAsia="IRNazanin"/>
          <w:color w:val="111111"/>
          <w:sz w:val="28"/>
          <w:sz w:val="28"/>
          <w:szCs w:val="28"/>
          <w:rtl w:val="true"/>
          <w:lang w:bidi="fa-IR"/>
        </w:rPr>
        <w:t xml:space="preserve">الزانی و الزانیة الحاصلین بالنکاح </w:t>
      </w:r>
      <w:r>
        <w:rPr>
          <w:rStyle w:val="FootnoteAnchor"/>
          <w:rtl w:val="true"/>
        </w:rPr>
        <w:footnoteReference w:id="1875"/>
      </w:r>
      <w:r>
        <w:rPr>
          <w:rFonts w:ascii="IRNazanin" w:hAnsi="IRNazanin" w:eastAsia="IRNazanin"/>
          <w:color w:val="111111"/>
          <w:sz w:val="28"/>
          <w:sz w:val="28"/>
          <w:szCs w:val="28"/>
          <w:rtl w:val="true"/>
          <w:lang w:bidi="fa-IR"/>
        </w:rPr>
        <w:t>الصحیح، و کذا حرمت الزانیة و أُمّها و أُمّ الزانی و أُختهما علی الذکر، و حرمت الأُنثیٰ علی الزانی و أبیه و أجداده و إخوته و أعمامه</w:t>
      </w:r>
      <w:r>
        <w:rPr>
          <w:rFonts w:eastAsia="IRNazanin" w:cs="IRNazanin"/>
          <w:color w:val="111111"/>
          <w:sz w:val="28"/>
          <w:szCs w:val="28"/>
          <w:rtl w:val="true"/>
          <w:lang w:bidi="fa-IR"/>
        </w:rPr>
        <w:t>.</w:t>
      </w:r>
    </w:p>
    <w:p>
      <w:pPr>
        <w:pStyle w:val="Heading5"/>
        <w:numPr>
          <w:ilvl w:val="4"/>
          <w:numId w:val="1"/>
        </w:numPr>
        <w:rPr/>
      </w:pPr>
      <w:bookmarkStart w:id="7201" w:name="__RefHeading___Toc2571482_3650668749"/>
      <w:bookmarkStart w:id="7202" w:name="_Toc3250"/>
      <w:bookmarkEnd w:id="7201"/>
      <w:r>
        <w:rPr>
          <w:rtl w:val="true"/>
        </w:rPr>
        <w:t>[ (</w:t>
      </w:r>
      <w:r>
        <w:rPr>
          <w:rtl w:val="true"/>
        </w:rPr>
        <w:t xml:space="preserve">مسألة </w:t>
      </w:r>
      <w:r>
        <w:rPr/>
        <w:t>3</w:t>
      </w:r>
      <w:r>
        <w:rPr>
          <w:rtl w:val="true"/>
        </w:rPr>
        <w:t xml:space="preserve">): </w:t>
      </w:r>
      <w:r>
        <w:rPr>
          <w:rtl w:val="true"/>
        </w:rPr>
        <w:t>المراد بوطء الشبهة الوطء الذی لیس بمستحقّ مع عدم العلم</w:t>
      </w:r>
      <w:r>
        <w:rPr>
          <w:rtl w:val="true"/>
        </w:rPr>
        <w:t>]</w:t>
      </w:r>
      <w:bookmarkEnd w:id="7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بوطء الشبهة الوطء الذی لیس بمستحقّ مع عدم العلم </w:t>
      </w:r>
      <w:r>
        <w:rPr>
          <w:rStyle w:val="FootnoteAnchor"/>
          <w:rtl w:val="true"/>
        </w:rPr>
        <w:footnoteReference w:id="1876"/>
      </w:r>
      <w:r>
        <w:rPr>
          <w:rFonts w:ascii="IRNazanin" w:hAnsi="IRNazanin" w:eastAsia="IRNazanin"/>
          <w:color w:val="111111"/>
          <w:sz w:val="28"/>
          <w:sz w:val="28"/>
          <w:szCs w:val="28"/>
          <w:rtl w:val="true"/>
          <w:lang w:bidi="fa-IR"/>
        </w:rPr>
        <w:t xml:space="preserve">بالتحریم، کما إذا وطئ أجنبیّة باعتقاد أنّها زوجته، و یلحق به وطء المجنون و النائم و شبههما، دون السکران إذا کان سکره بشرب المسکر عن عمد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03" w:name="__RefHeading___Toc2571484_3650668749"/>
      <w:bookmarkStart w:id="7204" w:name="_Toc3251"/>
      <w:bookmarkEnd w:id="7203"/>
      <w:r>
        <w:rPr>
          <w:rtl w:val="true"/>
        </w:rPr>
        <w:t>[</w:t>
      </w:r>
      <w:r>
        <w:rPr>
          <w:rtl w:val="true"/>
        </w:rPr>
        <w:t>القول فی الرضاع</w:t>
      </w:r>
      <w:r>
        <w:rPr>
          <w:rtl w:val="true"/>
        </w:rPr>
        <w:t>]</w:t>
      </w:r>
      <w:bookmarkEnd w:id="7204"/>
    </w:p>
    <w:p>
      <w:pPr>
        <w:pStyle w:val="Heading5"/>
        <w:numPr>
          <w:ilvl w:val="4"/>
          <w:numId w:val="1"/>
        </w:numPr>
        <w:rPr/>
      </w:pPr>
      <w:bookmarkStart w:id="7205" w:name="__RefHeading___Toc2571486_3650668749"/>
      <w:bookmarkStart w:id="7206" w:name="_Toc3252"/>
      <w:bookmarkEnd w:id="7205"/>
      <w:r>
        <w:rPr>
          <w:rtl w:val="true"/>
        </w:rPr>
        <w:t>اشارة</w:t>
      </w:r>
      <w:bookmarkEnd w:id="7206"/>
    </w:p>
    <w:p>
      <w:pPr>
        <w:pStyle w:val="BookText"/>
        <w:rPr/>
      </w:pPr>
      <w:r>
        <w:rPr>
          <w:rFonts w:ascii="IRNazanin" w:hAnsi="IRNazanin" w:eastAsia="IRNazanin"/>
          <w:color w:val="111111"/>
          <w:sz w:val="28"/>
          <w:sz w:val="28"/>
          <w:szCs w:val="28"/>
          <w:rtl w:val="true"/>
          <w:lang w:bidi="fa-IR"/>
        </w:rPr>
        <w:t>القول فی الرضاع</w:t>
      </w:r>
    </w:p>
    <w:p>
      <w:pPr>
        <w:pStyle w:val="Heading5"/>
        <w:numPr>
          <w:ilvl w:val="4"/>
          <w:numId w:val="1"/>
        </w:numPr>
        <w:rPr/>
      </w:pPr>
      <w:bookmarkStart w:id="7207" w:name="__RefHeading___Toc2571488_3650668749"/>
      <w:bookmarkStart w:id="7208" w:name="_Toc3253"/>
      <w:bookmarkEnd w:id="7207"/>
      <w:r>
        <w:rPr>
          <w:rtl w:val="true"/>
        </w:rPr>
        <w:t>[</w:t>
      </w:r>
      <w:r>
        <w:rPr>
          <w:rtl w:val="true"/>
        </w:rPr>
        <w:t>انتشار الحرمة بالرضاع یتوقّف علیٰ شروط</w:t>
      </w:r>
      <w:r>
        <w:rPr>
          <w:rtl w:val="true"/>
        </w:rPr>
        <w:t>]</w:t>
      </w:r>
      <w:bookmarkEnd w:id="7208"/>
    </w:p>
    <w:p>
      <w:pPr>
        <w:pStyle w:val="Heading6"/>
        <w:numPr>
          <w:ilvl w:val="5"/>
          <w:numId w:val="1"/>
        </w:numPr>
        <w:rPr/>
      </w:pPr>
      <w:bookmarkStart w:id="7209" w:name="__RefHeading___Toc2571490_3650668749"/>
      <w:bookmarkStart w:id="7210" w:name="_Toc3254"/>
      <w:bookmarkEnd w:id="7209"/>
      <w:r>
        <w:rPr>
          <w:rtl w:val="true"/>
        </w:rPr>
        <w:t>اشارة</w:t>
      </w:r>
      <w:bookmarkEnd w:id="7210"/>
    </w:p>
    <w:p>
      <w:pPr>
        <w:pStyle w:val="BookText"/>
        <w:rPr/>
      </w:pPr>
      <w:r>
        <w:rPr>
          <w:rFonts w:ascii="IRNazanin" w:hAnsi="IRNazanin" w:eastAsia="IRNazanin"/>
          <w:color w:val="111111"/>
          <w:sz w:val="28"/>
          <w:sz w:val="28"/>
          <w:szCs w:val="28"/>
          <w:rtl w:val="true"/>
          <w:lang w:bidi="fa-IR"/>
        </w:rPr>
        <w:t>انتشار الحرمة بالرضاع یتوقّف علیٰ شروط</w:t>
      </w:r>
      <w:r>
        <w:rPr>
          <w:rFonts w:eastAsia="IRNazanin" w:cs="IRNazanin"/>
          <w:color w:val="111111"/>
          <w:sz w:val="28"/>
          <w:szCs w:val="28"/>
          <w:rtl w:val="true"/>
          <w:lang w:bidi="fa-IR"/>
        </w:rPr>
        <w:t>:</w:t>
      </w:r>
    </w:p>
    <w:p>
      <w:pPr>
        <w:pStyle w:val="Heading6"/>
        <w:numPr>
          <w:ilvl w:val="5"/>
          <w:numId w:val="1"/>
        </w:numPr>
        <w:rPr/>
      </w:pPr>
      <w:bookmarkStart w:id="7211" w:name="__RefHeading___Toc2571492_3650668749"/>
      <w:bookmarkStart w:id="7212" w:name="_Toc3255"/>
      <w:bookmarkEnd w:id="7211"/>
      <w:r>
        <w:rPr>
          <w:rtl w:val="true"/>
        </w:rPr>
        <w:t>[</w:t>
      </w:r>
      <w:r>
        <w:rPr>
          <w:rtl w:val="true"/>
        </w:rPr>
        <w:t>الأوّل</w:t>
      </w:r>
      <w:r>
        <w:rPr>
          <w:rtl w:val="true"/>
        </w:rPr>
        <w:t xml:space="preserve">: </w:t>
      </w:r>
      <w:r>
        <w:rPr>
          <w:rtl w:val="true"/>
        </w:rPr>
        <w:t>أن یکون اللبن حاصلًا من وطء جائز شرعاً</w:t>
      </w:r>
      <w:r>
        <w:rPr>
          <w:rtl w:val="true"/>
        </w:rPr>
        <w:t>]</w:t>
      </w:r>
      <w:bookmarkEnd w:id="7212"/>
    </w:p>
    <w:p>
      <w:pPr>
        <w:pStyle w:val="Heading6"/>
        <w:numPr>
          <w:ilvl w:val="5"/>
          <w:numId w:val="1"/>
        </w:numPr>
        <w:rPr/>
      </w:pPr>
      <w:bookmarkStart w:id="7213" w:name="__RefHeading___Toc2571494_3650668749"/>
      <w:bookmarkStart w:id="7214" w:name="_Toc3256"/>
      <w:bookmarkEnd w:id="7213"/>
      <w:r>
        <w:rPr>
          <w:rtl w:val="true"/>
        </w:rPr>
        <w:t>اشارة</w:t>
      </w:r>
      <w:bookmarkEnd w:id="721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اللبن حاصلًا من وطء </w:t>
      </w:r>
      <w:r>
        <w:rPr>
          <w:rStyle w:val="FootnoteAnchor"/>
          <w:rtl w:val="true"/>
        </w:rPr>
        <w:footnoteReference w:id="1878"/>
      </w:r>
      <w:r>
        <w:rPr>
          <w:rFonts w:ascii="IRNazanin" w:hAnsi="IRNazanin" w:eastAsia="IRNazanin"/>
          <w:color w:val="111111"/>
          <w:sz w:val="28"/>
          <w:sz w:val="28"/>
          <w:szCs w:val="28"/>
          <w:rtl w:val="true"/>
          <w:lang w:bidi="fa-IR"/>
        </w:rPr>
        <w:t xml:space="preserve">جائز شرعاً بسبب نکاح أو ملک یمین أو تحلیل، و یلحق به وطء الشبهة علی الأقویٰ، فلو درّ اللبن من الامرأة من دون نکاح </w:t>
      </w:r>
      <w:r>
        <w:rPr>
          <w:rStyle w:val="FootnoteAnchor"/>
          <w:rtl w:val="true"/>
        </w:rPr>
        <w:footnoteReference w:id="1879"/>
      </w:r>
      <w:r>
        <w:rPr>
          <w:rFonts w:ascii="IRNazanin" w:hAnsi="IRNazanin" w:eastAsia="IRNazanin"/>
          <w:color w:val="111111"/>
          <w:sz w:val="28"/>
          <w:sz w:val="28"/>
          <w:szCs w:val="28"/>
          <w:rtl w:val="true"/>
          <w:lang w:bidi="fa-IR"/>
        </w:rPr>
        <w:t>لم ینشر الحرمة، و کذا لو کان اللبن من زنا</w:t>
      </w:r>
      <w:r>
        <w:rPr>
          <w:rFonts w:eastAsia="IRNazanin" w:cs="IRNazanin"/>
          <w:color w:val="111111"/>
          <w:sz w:val="28"/>
          <w:szCs w:val="28"/>
          <w:rtl w:val="true"/>
          <w:lang w:bidi="fa-IR"/>
        </w:rPr>
        <w:t>.</w:t>
      </w:r>
    </w:p>
    <w:p>
      <w:pPr>
        <w:pStyle w:val="Heading6"/>
        <w:numPr>
          <w:ilvl w:val="5"/>
          <w:numId w:val="1"/>
        </w:numPr>
        <w:rPr/>
      </w:pPr>
      <w:bookmarkStart w:id="7215" w:name="__RefHeading___Toc2571496_3650668749"/>
      <w:bookmarkStart w:id="7216" w:name="_Toc3257"/>
      <w:bookmarkEnd w:id="7215"/>
      <w:r>
        <w:rPr>
          <w:rtl w:val="true"/>
        </w:rPr>
        <w:t>[ (</w:t>
      </w:r>
      <w:r>
        <w:rPr>
          <w:rtl w:val="true"/>
        </w:rPr>
        <w:t xml:space="preserve">مسألة </w:t>
      </w:r>
      <w:r>
        <w:rPr/>
        <w:t>1</w:t>
      </w:r>
      <w:r>
        <w:rPr>
          <w:rtl w:val="true"/>
        </w:rPr>
        <w:t xml:space="preserve">): </w:t>
      </w:r>
      <w:r>
        <w:rPr>
          <w:rtl w:val="true"/>
        </w:rPr>
        <w:t>لا یعتبر فی النشر بقاء المرأة فی حبال الرجل</w:t>
      </w:r>
      <w:r>
        <w:rPr>
          <w:rtl w:val="true"/>
        </w:rPr>
        <w:t>]</w:t>
      </w:r>
      <w:bookmarkEnd w:id="7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فی النشر بقاء المرأة فی حبال الرجل، فلو طلّقها الزوج أو مات عنها و هی حامل منه أو مرضع، فأرضعت ولداً نشر الحرمة؛ و إن تزوّجت و دخل بها الزوج الثانی و لم تحمل منه، أو حملت منه و کان اللبن بحاله لم ینقطع و لم تحدث فیه زیادة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17" w:name="__RefHeading___Toc2571498_3650668749"/>
      <w:bookmarkStart w:id="7218" w:name="_Toc3258"/>
      <w:bookmarkEnd w:id="7217"/>
      <w:r>
        <w:rPr>
          <w:rtl w:val="true"/>
        </w:rPr>
        <w:t>[</w:t>
      </w:r>
      <w:r>
        <w:rPr>
          <w:rtl w:val="true"/>
        </w:rPr>
        <w:t>الثانی</w:t>
      </w:r>
      <w:r>
        <w:rPr>
          <w:rtl w:val="true"/>
        </w:rPr>
        <w:t xml:space="preserve">: </w:t>
      </w:r>
      <w:r>
        <w:rPr>
          <w:rtl w:val="true"/>
        </w:rPr>
        <w:t>أن یکون شرب اللبن بالامتصاص من الثدی</w:t>
      </w:r>
      <w:r>
        <w:rPr>
          <w:rtl w:val="true"/>
        </w:rPr>
        <w:t>]</w:t>
      </w:r>
      <w:bookmarkEnd w:id="721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شرب اللبن بالامتصاص من الثدی، فلو و جر فی حلقه اللبن، أو شرب اللبن المحلوب من المرأة، لم ینشر الحرمة</w:t>
      </w:r>
      <w:r>
        <w:rPr>
          <w:rFonts w:eastAsia="IRNazanin" w:cs="IRNazanin"/>
          <w:color w:val="111111"/>
          <w:sz w:val="28"/>
          <w:szCs w:val="28"/>
          <w:rtl w:val="true"/>
          <w:lang w:bidi="fa-IR"/>
        </w:rPr>
        <w:t>.</w:t>
      </w:r>
    </w:p>
    <w:p>
      <w:pPr>
        <w:pStyle w:val="Heading6"/>
        <w:numPr>
          <w:ilvl w:val="5"/>
          <w:numId w:val="1"/>
        </w:numPr>
        <w:rPr/>
      </w:pPr>
      <w:bookmarkStart w:id="7219" w:name="__RefHeading___Toc2571500_3650668749"/>
      <w:bookmarkStart w:id="7220" w:name="_Toc3259"/>
      <w:bookmarkEnd w:id="7219"/>
      <w:r>
        <w:rPr>
          <w:rtl w:val="true"/>
        </w:rPr>
        <w:t>[</w:t>
      </w:r>
      <w:r>
        <w:rPr>
          <w:rtl w:val="true"/>
        </w:rPr>
        <w:t>الثالث</w:t>
      </w:r>
      <w:r>
        <w:rPr>
          <w:rtl w:val="true"/>
        </w:rPr>
        <w:t xml:space="preserve">: </w:t>
      </w:r>
      <w:r>
        <w:rPr>
          <w:rtl w:val="true"/>
        </w:rPr>
        <w:t>أن تکون المرضعة حیّة</w:t>
      </w:r>
      <w:r>
        <w:rPr>
          <w:rtl w:val="true"/>
        </w:rPr>
        <w:t>]</w:t>
      </w:r>
      <w:bookmarkEnd w:id="7220"/>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المرضعة حیّة، فلو ماتت فی أثناء الرضاع و أکمل النصاب حال موتها و لو رضعة، لم ینشر الحرمة</w:t>
      </w:r>
      <w:r>
        <w:rPr>
          <w:rFonts w:eastAsia="IRNazanin" w:cs="IRNazanin"/>
          <w:color w:val="111111"/>
          <w:sz w:val="28"/>
          <w:szCs w:val="28"/>
          <w:rtl w:val="true"/>
          <w:lang w:bidi="fa-IR"/>
        </w:rPr>
        <w:t>.</w:t>
      </w:r>
      <w:bookmarkStart w:id="7221" w:name="pg1809_19888"/>
    </w:p>
    <w:p>
      <w:pPr>
        <w:pStyle w:val="Heading6"/>
        <w:numPr>
          <w:ilvl w:val="5"/>
          <w:numId w:val="1"/>
        </w:numPr>
        <w:rPr/>
      </w:pPr>
      <w:bookmarkStart w:id="7222" w:name="__RefHeading___Toc2571502_3650668749"/>
      <w:bookmarkStart w:id="7223" w:name="_Toc3260"/>
      <w:bookmarkEnd w:id="7221"/>
      <w:bookmarkEnd w:id="7222"/>
      <w:r>
        <w:rPr>
          <w:rtl w:val="true"/>
        </w:rPr>
        <w:t>[</w:t>
      </w:r>
      <w:r>
        <w:rPr>
          <w:rtl w:val="true"/>
        </w:rPr>
        <w:t>الرابع</w:t>
      </w:r>
      <w:r>
        <w:rPr>
          <w:rtl w:val="true"/>
        </w:rPr>
        <w:t xml:space="preserve">: </w:t>
      </w:r>
      <w:r>
        <w:rPr>
          <w:rtl w:val="true"/>
        </w:rPr>
        <w:t>أن یکون المرتضع فی أثناء الحولین و قبل استکمالهما</w:t>
      </w:r>
      <w:r>
        <w:rPr>
          <w:rtl w:val="true"/>
        </w:rPr>
        <w:t>]</w:t>
      </w:r>
      <w:bookmarkEnd w:id="7223"/>
    </w:p>
    <w:p>
      <w:pPr>
        <w:pStyle w:val="Heading6"/>
        <w:numPr>
          <w:ilvl w:val="5"/>
          <w:numId w:val="1"/>
        </w:numPr>
        <w:rPr/>
      </w:pPr>
      <w:bookmarkStart w:id="7224" w:name="__RefHeading___Toc2571504_3650668749"/>
      <w:bookmarkStart w:id="7225" w:name="_Toc3261"/>
      <w:bookmarkEnd w:id="7224"/>
      <w:r>
        <w:rPr>
          <w:rtl w:val="true"/>
        </w:rPr>
        <w:t>اشارة</w:t>
      </w:r>
      <w:bookmarkEnd w:id="7225"/>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المرتضع فی أثناء الحولین و قبل استکمالهما، فلا عبرة برضاعه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الحولان فی ولد المرضعة علی الأقویٰ، فلو وقع الرضاع بعد کمال حولیة نشر الحرمة إذا کان قبل حولی المرتضع</w:t>
      </w:r>
      <w:r>
        <w:rPr>
          <w:rFonts w:eastAsia="IRNazanin" w:cs="IRNazanin"/>
          <w:color w:val="111111"/>
          <w:sz w:val="28"/>
          <w:szCs w:val="28"/>
          <w:rtl w:val="true"/>
          <w:lang w:bidi="fa-IR"/>
        </w:rPr>
        <w:t>.</w:t>
      </w:r>
    </w:p>
    <w:p>
      <w:pPr>
        <w:pStyle w:val="Heading6"/>
        <w:numPr>
          <w:ilvl w:val="5"/>
          <w:numId w:val="1"/>
        </w:numPr>
        <w:rPr/>
      </w:pPr>
      <w:bookmarkStart w:id="7226" w:name="__RefHeading___Toc2571506_3650668749"/>
      <w:bookmarkStart w:id="7227" w:name="_Toc3262"/>
      <w:bookmarkEnd w:id="7226"/>
      <w:r>
        <w:rPr>
          <w:rtl w:val="true"/>
        </w:rPr>
        <w:t>[ (</w:t>
      </w:r>
      <w:r>
        <w:rPr>
          <w:rtl w:val="true"/>
        </w:rPr>
        <w:t xml:space="preserve">مسألة </w:t>
      </w:r>
      <w:r>
        <w:rPr/>
        <w:t>2</w:t>
      </w:r>
      <w:r>
        <w:rPr>
          <w:rtl w:val="true"/>
        </w:rPr>
        <w:t xml:space="preserve">): </w:t>
      </w:r>
      <w:r>
        <w:rPr>
          <w:rtl w:val="true"/>
        </w:rPr>
        <w:t>المراد بالحولین أربع و عشرون شهراً هلالیّاً من حین الولادة</w:t>
      </w:r>
      <w:r>
        <w:rPr>
          <w:rtl w:val="true"/>
        </w:rPr>
        <w:t>]</w:t>
      </w:r>
      <w:bookmarkEnd w:id="7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بالحولین أربع و عشرون شهراً هلالیّاً من حین الولادة، و لو وقعت فی أثناء الشهر یکمل من الشهر الخامس و العشرین ما مضی من الشهر الأوّل علی الأظهر، فلو تولّد فی العاشر من شهر تکمل حولاه فی العاشر من الخامس و العشرین</w:t>
      </w:r>
      <w:r>
        <w:rPr>
          <w:rFonts w:eastAsia="IRNazanin" w:cs="IRNazanin"/>
          <w:color w:val="111111"/>
          <w:sz w:val="28"/>
          <w:szCs w:val="28"/>
          <w:rtl w:val="true"/>
          <w:lang w:bidi="fa-IR"/>
        </w:rPr>
        <w:t>.</w:t>
      </w:r>
    </w:p>
    <w:p>
      <w:pPr>
        <w:pStyle w:val="Heading6"/>
        <w:numPr>
          <w:ilvl w:val="5"/>
          <w:numId w:val="1"/>
        </w:numPr>
        <w:rPr/>
      </w:pPr>
      <w:bookmarkStart w:id="7228" w:name="__RefHeading___Toc2571508_3650668749"/>
      <w:bookmarkStart w:id="7229" w:name="_Toc3263"/>
      <w:bookmarkEnd w:id="7228"/>
      <w:r>
        <w:rPr>
          <w:rtl w:val="true"/>
        </w:rPr>
        <w:t>[</w:t>
      </w:r>
      <w:r>
        <w:rPr>
          <w:rtl w:val="true"/>
        </w:rPr>
        <w:t>الشرط الخامس</w:t>
      </w:r>
      <w:r>
        <w:rPr>
          <w:rtl w:val="true"/>
        </w:rPr>
        <w:t xml:space="preserve">: </w:t>
      </w:r>
      <w:r>
        <w:rPr>
          <w:rtl w:val="true"/>
        </w:rPr>
        <w:t>الکمّیّة،</w:t>
      </w:r>
      <w:r>
        <w:rPr>
          <w:rtl w:val="true"/>
        </w:rPr>
        <w:t>]</w:t>
      </w:r>
      <w:bookmarkEnd w:id="7229"/>
    </w:p>
    <w:p>
      <w:pPr>
        <w:pStyle w:val="Heading6"/>
        <w:numPr>
          <w:ilvl w:val="5"/>
          <w:numId w:val="1"/>
        </w:numPr>
        <w:rPr/>
      </w:pPr>
      <w:bookmarkStart w:id="7230" w:name="__RefHeading___Toc2571510_3650668749"/>
      <w:bookmarkStart w:id="7231" w:name="_Toc3264"/>
      <w:bookmarkEnd w:id="7230"/>
      <w:r>
        <w:rPr>
          <w:rtl w:val="true"/>
        </w:rPr>
        <w:t>اشارة</w:t>
      </w:r>
      <w:bookmarkEnd w:id="7231"/>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الکمّیّة، و هی بلوغه حدّا معیّناً، فلا یکفی مسمّی الرضاع و لا رضعة کاملة، و له فی الأخبار و عند فقهائنا الأخیار تحدیدات و تقدیرات ثلاثة </w:t>
      </w:r>
      <w:r>
        <w:rPr>
          <w:rStyle w:val="FootnoteAnchor"/>
          <w:rtl w:val="true"/>
        </w:rPr>
        <w:footnoteReference w:id="1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و الزمان و العدد، و أیّ واحد منها حصل کفیٰ فی نشر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الأثر فهو أن یرضع بمقدار نبت اللحم و شدّ العظم، و أمّا الزمان فهو أن یرتضع من المرأة یوماً و لیلة مع اتّصالهما؛ بأن یکون غذاؤه فی هذه المدّة منحصراً بلبن المرأة، و أمّا العدد فهو أن یرتضع منها خمس عشرة رضعة کاملة</w:t>
      </w:r>
      <w:r>
        <w:rPr>
          <w:rFonts w:eastAsia="IRNazanin" w:cs="IRNazanin"/>
          <w:color w:val="111111"/>
          <w:sz w:val="28"/>
          <w:szCs w:val="28"/>
          <w:rtl w:val="true"/>
          <w:lang w:bidi="fa-IR"/>
        </w:rPr>
        <w:t>.</w:t>
      </w:r>
    </w:p>
    <w:p>
      <w:pPr>
        <w:pStyle w:val="Heading6"/>
        <w:numPr>
          <w:ilvl w:val="5"/>
          <w:numId w:val="1"/>
        </w:numPr>
        <w:rPr/>
      </w:pPr>
      <w:bookmarkStart w:id="7232" w:name="__RefHeading___Toc2571512_3650668749"/>
      <w:bookmarkStart w:id="7233" w:name="_Toc3265"/>
      <w:bookmarkEnd w:id="7232"/>
      <w:r>
        <w:rPr>
          <w:rtl w:val="true"/>
        </w:rPr>
        <w:t>[ (</w:t>
      </w:r>
      <w:r>
        <w:rPr>
          <w:rtl w:val="true"/>
        </w:rPr>
        <w:t xml:space="preserve">مسألة </w:t>
      </w:r>
      <w:r>
        <w:rPr/>
        <w:t>3</w:t>
      </w:r>
      <w:r>
        <w:rPr>
          <w:rtl w:val="true"/>
        </w:rPr>
        <w:t xml:space="preserve">): </w:t>
      </w:r>
      <w:r>
        <w:rPr>
          <w:rtl w:val="true"/>
        </w:rPr>
        <w:t>المعتبر فی إنبات اللحم و شدّ العظم، استقلال الرضاع فی حصولهما علیٰ وجه ینسبان إلیه</w:t>
      </w:r>
      <w:r>
        <w:rPr>
          <w:rtl w:val="true"/>
        </w:rPr>
        <w:t>]</w:t>
      </w:r>
      <w:bookmarkEnd w:id="7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إنبات اللحم و شدّ العظم، استقلال الرضاع فی حصولهما علیٰ وجه ینسبان إلیه، فلو فرض ضمّ السکّر و نحوه إلیه علیٰ نحو ینسبان إلیهما أشکل ثبوت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المدار علی الإنبات و الشدّ المعتدّ به منهما علیٰ نحو مبان یصدقان عرفاً، و لا یکفی حصولهما بالدقّة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شکّ فی حصولهما بهذه المرتبة أو فی استقلال الرضاع فی حصولهما یرجع إلی التقدیرین الآخرین</w:t>
      </w:r>
      <w:r>
        <w:rPr>
          <w:rFonts w:eastAsia="IRNazanin" w:cs="IRNazanin"/>
          <w:color w:val="111111"/>
          <w:sz w:val="28"/>
          <w:szCs w:val="28"/>
          <w:rtl w:val="true"/>
          <w:lang w:bidi="fa-IR"/>
        </w:rPr>
        <w:t>.</w:t>
      </w:r>
    </w:p>
    <w:p>
      <w:pPr>
        <w:pStyle w:val="Heading6"/>
        <w:numPr>
          <w:ilvl w:val="5"/>
          <w:numId w:val="1"/>
        </w:numPr>
        <w:rPr/>
      </w:pPr>
      <w:bookmarkStart w:id="7234" w:name="__RefHeading___Toc2571514_3650668749"/>
      <w:bookmarkStart w:id="7235" w:name="_Toc3266"/>
      <w:bookmarkEnd w:id="7234"/>
      <w:r>
        <w:rPr>
          <w:rtl w:val="true"/>
        </w:rPr>
        <w:t>[ (</w:t>
      </w:r>
      <w:r>
        <w:rPr>
          <w:rtl w:val="true"/>
        </w:rPr>
        <w:t xml:space="preserve">مسألة </w:t>
      </w:r>
      <w:r>
        <w:rPr/>
        <w:t>4</w:t>
      </w:r>
      <w:r>
        <w:rPr>
          <w:rtl w:val="true"/>
        </w:rPr>
        <w:t xml:space="preserve">): </w:t>
      </w:r>
      <w:r>
        <w:rPr>
          <w:rtl w:val="true"/>
        </w:rPr>
        <w:t>یعتبر فی التقدیر بالزمان أن یکون غذاؤه فی الیوم و اللیلة منحصراً باللبن</w:t>
      </w:r>
      <w:r>
        <w:rPr>
          <w:rtl w:val="true"/>
        </w:rPr>
        <w:t>]</w:t>
      </w:r>
      <w:bookmarkEnd w:id="7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التقدیر بالزمان أن یکون غذاؤه فی الیوم و اللیلة منحصراً باللبن، و لا یقدح شرب الماء للعطش و لا ما یأکل أو یشرب دواء </w:t>
      </w:r>
      <w:r>
        <w:rPr>
          <w:rStyle w:val="FootnoteAnchor"/>
          <w:rtl w:val="true"/>
        </w:rPr>
        <w:footnoteReference w:id="1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کفایة التلفیق فی التقدیر بالزمان لو ابتدأ بالرضاع فی أثناء اللیل أو النهار</w:t>
      </w:r>
      <w:r>
        <w:rPr>
          <w:rFonts w:eastAsia="IRNazanin" w:cs="IRNazanin"/>
          <w:color w:val="111111"/>
          <w:sz w:val="28"/>
          <w:szCs w:val="28"/>
          <w:rtl w:val="true"/>
          <w:lang w:bidi="fa-IR"/>
        </w:rPr>
        <w:t>.</w:t>
      </w:r>
    </w:p>
    <w:p>
      <w:pPr>
        <w:pStyle w:val="Heading6"/>
        <w:numPr>
          <w:ilvl w:val="5"/>
          <w:numId w:val="1"/>
        </w:numPr>
        <w:rPr/>
      </w:pPr>
      <w:bookmarkStart w:id="7236" w:name="__RefHeading___Toc2571516_3650668749"/>
      <w:bookmarkStart w:id="7237" w:name="_Toc3267"/>
      <w:bookmarkEnd w:id="7236"/>
      <w:r>
        <w:rPr>
          <w:rtl w:val="true"/>
        </w:rPr>
        <w:t>[ (</w:t>
      </w:r>
      <w:r>
        <w:rPr>
          <w:rtl w:val="true"/>
        </w:rPr>
        <w:t xml:space="preserve">مسألة </w:t>
      </w:r>
      <w:r>
        <w:rPr/>
        <w:t>5</w:t>
      </w:r>
      <w:r>
        <w:rPr>
          <w:rtl w:val="true"/>
        </w:rPr>
        <w:t xml:space="preserve">): </w:t>
      </w:r>
      <w:r>
        <w:rPr>
          <w:rtl w:val="true"/>
        </w:rPr>
        <w:t>یعتبر فی التقدیر بالعدد أُمور</w:t>
      </w:r>
      <w:r>
        <w:rPr>
          <w:rtl w:val="true"/>
        </w:rPr>
        <w:t>]</w:t>
      </w:r>
      <w:bookmarkEnd w:id="7237"/>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التقدیر بالعدد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الرضعة؛ بأن یروی الصبیّ و یصدر من قبل نفسه، و لا تحسب الرضعة الناقصة و لا تضمّ الناقصات بعضها ببعض؛</w:t>
      </w:r>
      <w:bookmarkStart w:id="7238" w:name="pg1809_19890"/>
    </w:p>
    <w:p>
      <w:pPr>
        <w:pStyle w:val="BookText"/>
        <w:rPr/>
      </w:pPr>
      <w:bookmarkEnd w:id="7238"/>
      <w:r>
        <w:rPr>
          <w:rFonts w:ascii="IRNazanin" w:hAnsi="IRNazanin" w:eastAsia="IRNazanin"/>
          <w:color w:val="111111"/>
          <w:sz w:val="28"/>
          <w:sz w:val="28"/>
          <w:szCs w:val="28"/>
          <w:rtl w:val="true"/>
          <w:lang w:bidi="fa-IR"/>
        </w:rPr>
        <w:t>بأن تحسب رضعتان ناقصتان أو ثلاث رضعات ناقصات مثلًا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التقم الصبیّ الثدی ثمّ رفضه لا بقصد الإعراض بأن کان للتنفّس، أو الالتفات إلیٰ ملاعب أو الانتقال من ثدی إلیٰ آخر أو غیر ذلک، کان الکلّ رضعة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توالی الرضعات؛ بأن لا یفصل بینها رضاع امرأة </w:t>
      </w:r>
      <w:r>
        <w:rPr>
          <w:rStyle w:val="FootnoteAnchor"/>
          <w:rtl w:val="true"/>
        </w:rPr>
        <w:footnoteReference w:id="1883"/>
      </w:r>
      <w:r>
        <w:rPr>
          <w:rFonts w:ascii="IRNazanin" w:hAnsi="IRNazanin" w:eastAsia="IRNazanin"/>
          <w:color w:val="111111"/>
          <w:sz w:val="28"/>
          <w:sz w:val="28"/>
          <w:szCs w:val="28"/>
          <w:rtl w:val="true"/>
          <w:lang w:bidi="fa-IR"/>
        </w:rPr>
        <w:t>أُخری، و لا یقدح فی التوالی تخلّل غیر الرضاع من المأکول و المشروب و إن تغذّیٰ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کمال العدد من امرأة واحدة، فلو ارتضع بعض الرضعات من امرأة و أکملها من امرأة أُخری لم ینشر الحرمة و إن اتّحد الفحل، فلا تکون واحدة من المرضعتین امّاً للمرتضع و لا الفحل أباً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الفحل؛ بأن یکون تمام العدد من لبن فحل واحد، و لا یکفی اتّحاد المرضعة، فلو أرضعت امرأة من لبن فحل ثمان رضعات ثمّ طلّقها الفحل و تزوّجت بآخر و حملت منه ثمّ أرضعت ذلک الطفل من لبن الفحل الثانی تکملة العدد من دون تخلّل رضاع امرأة أُخری فی البین بأن یتغذّی الولد فی هذه المدّة المتخلّلة بالمأکول و المشروب لم ینشر الحرمة</w:t>
      </w:r>
      <w:r>
        <w:rPr>
          <w:rFonts w:eastAsia="IRNazanin" w:cs="IRNazanin"/>
          <w:color w:val="111111"/>
          <w:sz w:val="28"/>
          <w:szCs w:val="28"/>
          <w:rtl w:val="true"/>
          <w:lang w:bidi="fa-IR"/>
        </w:rPr>
        <w:t>.</w:t>
      </w:r>
    </w:p>
    <w:p>
      <w:pPr>
        <w:pStyle w:val="Heading5"/>
        <w:numPr>
          <w:ilvl w:val="4"/>
          <w:numId w:val="1"/>
        </w:numPr>
        <w:rPr/>
      </w:pPr>
      <w:bookmarkStart w:id="7239" w:name="__RefHeading___Toc2571518_3650668749"/>
      <w:bookmarkStart w:id="7240" w:name="_Toc3268"/>
      <w:bookmarkEnd w:id="7239"/>
      <w:r>
        <w:rPr>
          <w:rtl w:val="true"/>
        </w:rPr>
        <w:t>[</w:t>
      </w:r>
      <w:r>
        <w:rPr>
          <w:rtl w:val="true"/>
        </w:rPr>
        <w:t>مسائل</w:t>
      </w:r>
      <w:r>
        <w:rPr>
          <w:rtl w:val="true"/>
        </w:rPr>
        <w:t>]</w:t>
      </w:r>
      <w:bookmarkEnd w:id="7240"/>
    </w:p>
    <w:p>
      <w:pPr>
        <w:pStyle w:val="Heading6"/>
        <w:numPr>
          <w:ilvl w:val="5"/>
          <w:numId w:val="1"/>
        </w:numPr>
        <w:rPr/>
      </w:pPr>
      <w:bookmarkStart w:id="7241" w:name="__RefHeading___Toc2571520_3650668749"/>
      <w:bookmarkStart w:id="7242" w:name="_Toc3269"/>
      <w:bookmarkEnd w:id="7241"/>
      <w:r>
        <w:rPr>
          <w:rtl w:val="true"/>
        </w:rPr>
        <w:t>[ (</w:t>
      </w:r>
      <w:r>
        <w:rPr>
          <w:rtl w:val="true"/>
        </w:rPr>
        <w:t xml:space="preserve">مسألة </w:t>
      </w:r>
      <w:r>
        <w:rPr/>
        <w:t>6</w:t>
      </w:r>
      <w:r>
        <w:rPr>
          <w:rtl w:val="true"/>
        </w:rPr>
        <w:t xml:space="preserve">): </w:t>
      </w:r>
      <w:r>
        <w:rPr>
          <w:rtl w:val="true"/>
        </w:rPr>
        <w:t>ما ذکرنا من الشروط شروط لناشریّة الرضاع للحرمة</w:t>
      </w:r>
      <w:r>
        <w:rPr>
          <w:rtl w:val="true"/>
        </w:rPr>
        <w:t>]</w:t>
      </w:r>
      <w:bookmarkEnd w:id="7242"/>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الشروط شروط لناشریّة الرضاع للحرمة، فلو انتفیٰ بعضها لا أثر له و لیس بناشر لها أصلًا، حتّی بین الفحل و المرتضعة، و کذا بین المرتضع و المرضعة، فضلًا عن الأُصول و الفروع و الحواشی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الرضاع شرط آخر زائد علیٰ ما مرّ مختصّ بنشر الحرمة بین المرتضعین و بین أحدهما و فروع الآخر،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لتحقّق الاخوّة الرضاعیّة بین المرتضعین؛ و هو اتّحاد الفحل الذی ارتضع المرتضعان من لبنه، فلو ارتضع صبیّ من امرأة من لبن شخص رضاعاً کاملًا، و ارتضعت صبیّة من تلک المرأة من لبن شخص آخر کذلک؛ بأن طلّقها الأوّل و زوّجها الثانی و صارت ذات لبن منه فأرضعتها رضاعاً کاملًا، لم تحرم الصبیّة علیٰ ذلک الصبیّ، و لا فروع أحدهما علی الآخر، بخلاف ما إذا کان الفحل و صاحب اللبن واحداً و تعدّدت المرضعة، کما إذا کانت لشخص نسوة متعدّدة و أرضعت کلّ واحدة منهنّ من لبنه طفلًا رضاعاً کاملًا، فإنّه یحرم بعضهم علیٰ بعض و علیٰ فروعه؛ لحصول الاخوّة الرضاعیّة بینهم</w:t>
      </w:r>
      <w:r>
        <w:rPr>
          <w:rFonts w:eastAsia="IRNazanin" w:cs="IRNazanin"/>
          <w:color w:val="111111"/>
          <w:sz w:val="28"/>
          <w:szCs w:val="28"/>
          <w:rtl w:val="true"/>
          <w:lang w:bidi="fa-IR"/>
        </w:rPr>
        <w:t>.</w:t>
      </w:r>
      <w:bookmarkStart w:id="7243" w:name="pg1809_19892"/>
    </w:p>
    <w:p>
      <w:pPr>
        <w:pStyle w:val="Heading6"/>
        <w:numPr>
          <w:ilvl w:val="5"/>
          <w:numId w:val="1"/>
        </w:numPr>
        <w:rPr/>
      </w:pPr>
      <w:bookmarkStart w:id="7244" w:name="__RefHeading___Toc2571522_3650668749"/>
      <w:bookmarkStart w:id="7245" w:name="_Toc3270"/>
      <w:bookmarkEnd w:id="7243"/>
      <w:bookmarkEnd w:id="7244"/>
      <w:r>
        <w:rPr>
          <w:rtl w:val="true"/>
        </w:rPr>
        <w:t>[ (</w:t>
      </w:r>
      <w:r>
        <w:rPr>
          <w:rtl w:val="true"/>
        </w:rPr>
        <w:t xml:space="preserve">مسألة </w:t>
      </w:r>
      <w:r>
        <w:rPr/>
        <w:t>7</w:t>
      </w:r>
      <w:r>
        <w:rPr>
          <w:rtl w:val="true"/>
        </w:rPr>
        <w:t xml:space="preserve">): </w:t>
      </w:r>
      <w:r>
        <w:rPr>
          <w:rtl w:val="true"/>
        </w:rPr>
        <w:t>إذا تحقّق الرضاع الجامع للشرائط، صار الفحل و المرضعة أباً و امّاً للمرتضع</w:t>
      </w:r>
      <w:r>
        <w:rPr>
          <w:rtl w:val="true"/>
        </w:rPr>
        <w:t>]</w:t>
      </w:r>
      <w:bookmarkEnd w:id="7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 الرضاع الجامع للشرائط، صار الفحل و المرضعة أباً و امّاً للمرتضع، و اصولهما أجداداً و جدّات، و فروعهما إخوة و أولاد إخوة له، و من فی حاشیتهما و فی حاشیة اصولهما أعماماً أو عمّات و أخوالًا أو خالات له، و صار هو أعنی المرتضع ابناً أو بنتاً لهما و فروعه أحفاداً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تبیّن ذلک فکلّ عنوان نسبی محرّم من العناوین السبعة المتقدّمة إذا تحقّق مثله فی الرضاع یکون محرّماً، فالامّ الرضاعیّة کالأُمّ النسبیّة، و البنت الرضاعیّة کالبنت النسبیّة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أرضعت امرأة من لبن فحل طفلًا حرمت المرضعة و أُمّها و أُمّ الفحل علی المرتضع للُامومة، و المرتضعة و بناتها و بنات المرتضع علی الفحل و علیٰ أبیه و أبی المرضعة للبنتیّة، و حرمت أُخت الفحل و أُخت المرضعة علی المرتضع لکونهما عمّة و خالة له، و المرتضعة علیٰ أخی الفحل و أخی المرضعة لکونها بنت أخ أو بنت أُخت لهما، و حرمت بنات الفحل علی المرتضع و المرتضعة علیٰ أبنائه نسبیّین کانوا أم رضاعیّین و کذا بنات المرضعة علی المرتضع و المرتضعة علیٰ أبنائها إذا کانوا نسبیّین للُاخوّة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أولاد المرضعة الرضاعیون ممّن أرضعتهم بلبن فحل آخر غیر الفحل الذی ارتضع المرتضع بلبنه لم یحرموا علی المرتضع؛ لما مرّ من اشتراط اتّحاد الفحل فی نشر الحرمة بین المرتضعین</w:t>
      </w:r>
      <w:r>
        <w:rPr>
          <w:rFonts w:eastAsia="IRNazanin" w:cs="IRNazanin"/>
          <w:color w:val="111111"/>
          <w:sz w:val="28"/>
          <w:szCs w:val="28"/>
          <w:rtl w:val="true"/>
          <w:lang w:bidi="fa-IR"/>
        </w:rPr>
        <w:t>.</w:t>
      </w:r>
    </w:p>
    <w:p>
      <w:pPr>
        <w:pStyle w:val="Heading6"/>
        <w:numPr>
          <w:ilvl w:val="5"/>
          <w:numId w:val="1"/>
        </w:numPr>
        <w:rPr/>
      </w:pPr>
      <w:bookmarkStart w:id="7246" w:name="__RefHeading___Toc2571524_3650668749"/>
      <w:bookmarkStart w:id="7247" w:name="_Toc3271"/>
      <w:bookmarkEnd w:id="7246"/>
      <w:r>
        <w:rPr>
          <w:rtl w:val="true"/>
        </w:rPr>
        <w:t>[ (</w:t>
      </w:r>
      <w:r>
        <w:rPr>
          <w:rtl w:val="true"/>
        </w:rPr>
        <w:t xml:space="preserve">مسألة </w:t>
      </w:r>
      <w:r>
        <w:rPr/>
        <w:t>8</w:t>
      </w:r>
      <w:r>
        <w:rPr>
          <w:rtl w:val="true"/>
        </w:rPr>
        <w:t xml:space="preserve">): </w:t>
      </w:r>
      <w:r>
        <w:rPr>
          <w:rtl w:val="true"/>
        </w:rPr>
        <w:t>تکفی فی حصول العلاقة الرضاعیّة المحرّمة دخالة الرضاع فیه فی الجملة</w:t>
      </w:r>
      <w:r>
        <w:rPr>
          <w:rtl w:val="true"/>
        </w:rPr>
        <w:t>]</w:t>
      </w:r>
      <w:bookmarkEnd w:id="7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 فی حصول العلاقة الرضاعیّة المحرّمة دخالة الرضاع فیه فی الجملة، فقد تحصل من دون دخالة غیره فیها کعلاقة الأُبوّة و الأُمومة و الابنیّة و البنتیّة الحاصلة بین الفحل و المرضعة و بین المرتضع، و کذا الحاصلة بینه و بین اصولهما الرضاعیّین، کما إذا کان لهما أب أو أُمّ من الرضاعة؛ حیث إنّهما جدّ و جدّة للمرتضع من جهة الرضاع محضاً و قد تحصل به مع دخالة النسب فی حصولها، کعلاقة الاخوّة الحاصلة بین المرتضع و أولاد الفحل و المرضعة النسبیّین، فإنّهم و إن کانوا منسوبین إلیهما بالولادة إلّا أنّ أُخوّتهم للمرتضع حصلت بسبب الرضاع، فهم إخوة أو أخوات له من الرضاعة</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بین شخصین قد تحصل بعلاقة واحدة کالنسبة بین الولد و والده و والدته، و قد تحصل بعلاقتین کالنسبة بین الأخوین فإنّها تحصل بعلاقة کلّ منهما مع الأب أو الأُمّ أو کلیهما، و کالنسبة بین الشخص و جدّه الأدنی فإنّها تحصل بعلاقة بینه و بین أبیه مثلًا و علاقة بین أبیه و بین جدّه، و قد تحصل بعلاقات ثلاث، کالنسبة بین</w:t>
      </w:r>
      <w:bookmarkStart w:id="7248" w:name="pg1809_19894"/>
    </w:p>
    <w:p>
      <w:pPr>
        <w:pStyle w:val="BookText"/>
        <w:rPr/>
      </w:pPr>
      <w:bookmarkEnd w:id="7248"/>
      <w:r>
        <w:rPr>
          <w:rFonts w:ascii="IRNazanin" w:hAnsi="IRNazanin" w:eastAsia="IRNazanin"/>
          <w:color w:val="111111"/>
          <w:sz w:val="28"/>
          <w:sz w:val="28"/>
          <w:szCs w:val="28"/>
          <w:rtl w:val="true"/>
          <w:lang w:bidi="fa-IR"/>
        </w:rPr>
        <w:t>الشخص و بین جدّه الثانی، و کالنسبة بینه و بین عمّه الأدنی، فإنّه تحصل بعلاقة بینک و بین أبیک و بعلاقة کلّ من أبیک و أخیه مع أبیهما مثلًا و هکذا تتصاعد و تتنازل النسب و تنشعب بقلّة العلاقات و کثرتها، حتّی أنّه قد تتوقّف نسبته بین شخصین علیٰ عشر علائق أو أقلّ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تبیّن ذلک، فإن کانت تلک العلائق کلّها حاصلة بالولادة کانت العلاقة نسبیّة، و إن حصلت کلّها أو بعضها و لو واحدة من العشر بالرضاع کانت العلاقة رضاعیّة</w:t>
      </w:r>
      <w:r>
        <w:rPr>
          <w:rFonts w:eastAsia="IRNazanin" w:cs="IRNazanin"/>
          <w:color w:val="111111"/>
          <w:sz w:val="28"/>
          <w:szCs w:val="28"/>
          <w:rtl w:val="true"/>
          <w:lang w:bidi="fa-IR"/>
        </w:rPr>
        <w:t>.</w:t>
      </w:r>
    </w:p>
    <w:p>
      <w:pPr>
        <w:pStyle w:val="Heading6"/>
        <w:numPr>
          <w:ilvl w:val="5"/>
          <w:numId w:val="1"/>
        </w:numPr>
        <w:rPr/>
      </w:pPr>
      <w:bookmarkStart w:id="7249" w:name="__RefHeading___Toc2571526_3650668749"/>
      <w:bookmarkStart w:id="7250" w:name="_Toc3272"/>
      <w:bookmarkEnd w:id="7249"/>
      <w:r>
        <w:rPr>
          <w:rtl w:val="true"/>
        </w:rPr>
        <w:t>[ (</w:t>
      </w:r>
      <w:r>
        <w:rPr>
          <w:rtl w:val="true"/>
        </w:rPr>
        <w:t xml:space="preserve">مسألة </w:t>
      </w:r>
      <w:r>
        <w:rPr/>
        <w:t>9</w:t>
      </w:r>
      <w:r>
        <w:rPr>
          <w:rtl w:val="true"/>
        </w:rPr>
        <w:t xml:space="preserve">): </w:t>
      </w:r>
      <w:r>
        <w:rPr>
          <w:rtl w:val="true"/>
        </w:rPr>
        <w:t>لمّا کانت المصاهرة التی هی أحد أسباب تحریم النکاح کما یأتی علاقة بین أحد الزوجین و بعض أقرباء الآخر</w:t>
      </w:r>
      <w:r>
        <w:rPr>
          <w:rtl w:val="true"/>
        </w:rPr>
        <w:t>]</w:t>
      </w:r>
      <w:bookmarkEnd w:id="7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المصاهرة التی هی أحد أسباب تحریم النکاح کما یأتی علاقة بین أحد الزوجین و بعض أقرباء الآخر، فهی تتوقّف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مزاوجة و قرابة، و الرضاع إنّما یقوم مقام الثانی دون الأوّل، فمرضعة ولدک لا تکون بمنزلة زوجتک حتّی تحرم أُمّها علیک لکنّ الامّ و البنت الرضاعیّتین لزوجتک تکونان کالأُمّ و البنت النسبیین لها فتحرمان علیک، و کذلک حلیلة الابن الرضاعی کحلیلة الابن النسبی، و حلیلة الأب الرضاعی کحلیلة الأب النسبی، تحرم الاولیٰ علیٰ أبیه الرضاعی و الثانیة علی ابنه الرضاعی</w:t>
      </w:r>
      <w:r>
        <w:rPr>
          <w:rFonts w:eastAsia="IRNazanin" w:cs="IRNazanin"/>
          <w:color w:val="111111"/>
          <w:sz w:val="28"/>
          <w:szCs w:val="28"/>
          <w:rtl w:val="true"/>
          <w:lang w:bidi="fa-IR"/>
        </w:rPr>
        <w:t>.</w:t>
      </w:r>
    </w:p>
    <w:p>
      <w:pPr>
        <w:pStyle w:val="Heading6"/>
        <w:numPr>
          <w:ilvl w:val="5"/>
          <w:numId w:val="1"/>
        </w:numPr>
        <w:rPr/>
      </w:pPr>
      <w:bookmarkStart w:id="7251" w:name="__RefHeading___Toc2571528_3650668749"/>
      <w:bookmarkStart w:id="7252" w:name="_Toc3273"/>
      <w:bookmarkEnd w:id="7251"/>
      <w:r>
        <w:rPr>
          <w:rtl w:val="true"/>
        </w:rPr>
        <w:t>[ (</w:t>
      </w:r>
      <w:r>
        <w:rPr>
          <w:rtl w:val="true"/>
        </w:rPr>
        <w:t xml:space="preserve">مسألة </w:t>
      </w:r>
      <w:r>
        <w:rPr/>
        <w:t>10</w:t>
      </w:r>
      <w:r>
        <w:rPr>
          <w:rtl w:val="true"/>
        </w:rPr>
        <w:t xml:space="preserve">): </w:t>
      </w:r>
      <w:r>
        <w:rPr>
          <w:rtl w:val="true"/>
        </w:rPr>
        <w:t>قد تبیّن ممّا سبق</w:t>
      </w:r>
      <w:r>
        <w:rPr>
          <w:rtl w:val="true"/>
        </w:rPr>
        <w:t xml:space="preserve">: </w:t>
      </w:r>
      <w:r>
        <w:rPr>
          <w:rtl w:val="true"/>
        </w:rPr>
        <w:t>أنّ العلاقة الرضاعیّة المحضة قد تحصل برضاع واحد</w:t>
      </w:r>
      <w:r>
        <w:rPr>
          <w:rtl w:val="true"/>
        </w:rPr>
        <w:t>]</w:t>
      </w:r>
      <w:bookmarkEnd w:id="7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ممّا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العلاقة الرضاعیّة المحضة قد تحصل برضاع واحد کالحاصلة بین المرتضع و بین المرضعة و صاحب اللبن، و قد تحصل برضاعین کالحاصلة بین المرتضع و بین أبوی الفحل و المرضعة الرضاعیّین، و قد تحصل برضاعات متعدّدة، فإذا کان لصاحب اللبن مثلًا أب من جهة الرضاع و کان لذلک الأب الرضاعی أیضاً أب من الرضاع و کان للأخیر أیضاً أب من الرضاع و هکذا إلیٰ عشرة آباء، کان الجمیع أجداداً رضاعیّین للمرتضع الأخیر و جمیع المرضعات جدّات له، فإن کانت أُنثی، حرمت علیٰ جمیع الأجداد، و إن کان ذکراً، حرمت علیه جمیع الجدّات، بل لو کانت للجدّ الرضاعی الأعلی أُخت رضاعیّة، حرمت علیٰ المرتضع الأخیر لکونها عمّته العلیا من الرضاع، و لو کانت للمرضعة الأبعد التی هی الجدّة العلیا للمرتضع أُخت، حرمت علیه لکونها خالته العلیا من الرضاع</w:t>
      </w:r>
      <w:r>
        <w:rPr>
          <w:rFonts w:eastAsia="IRNazanin" w:cs="IRNazanin"/>
          <w:color w:val="111111"/>
          <w:sz w:val="28"/>
          <w:szCs w:val="28"/>
          <w:rtl w:val="true"/>
          <w:lang w:bidi="fa-IR"/>
        </w:rPr>
        <w:t>.</w:t>
      </w:r>
    </w:p>
    <w:p>
      <w:pPr>
        <w:pStyle w:val="Heading6"/>
        <w:numPr>
          <w:ilvl w:val="5"/>
          <w:numId w:val="1"/>
        </w:numPr>
        <w:rPr/>
      </w:pPr>
      <w:bookmarkStart w:id="7253" w:name="__RefHeading___Toc2571530_3650668749"/>
      <w:bookmarkStart w:id="7254" w:name="_Toc3274"/>
      <w:bookmarkEnd w:id="7253"/>
      <w:r>
        <w:rPr>
          <w:rtl w:val="true"/>
        </w:rPr>
        <w:t>[ (</w:t>
      </w:r>
      <w:r>
        <w:rPr>
          <w:rtl w:val="true"/>
        </w:rPr>
        <w:t xml:space="preserve">مسألة </w:t>
      </w:r>
      <w:r>
        <w:rPr/>
        <w:t>11</w:t>
      </w:r>
      <w:r>
        <w:rPr>
          <w:rtl w:val="true"/>
        </w:rPr>
        <w:t xml:space="preserve">): </w:t>
      </w:r>
      <w:r>
        <w:rPr>
          <w:rtl w:val="true"/>
        </w:rPr>
        <w:t>قد عرفت فیما سبق</w:t>
      </w:r>
      <w:r>
        <w:rPr>
          <w:rtl w:val="true"/>
        </w:rPr>
        <w:t xml:space="preserve">: </w:t>
      </w:r>
      <w:r>
        <w:rPr>
          <w:rtl w:val="true"/>
        </w:rPr>
        <w:t>أنّه یشترط فی حصول الاخوّة الرضاعیّة بین المرتضعین اتّحاد الفحل</w:t>
      </w:r>
      <w:r>
        <w:rPr>
          <w:rtl w:val="true"/>
        </w:rPr>
        <w:t>]</w:t>
      </w:r>
      <w:bookmarkEnd w:id="7254"/>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فی حصول الاخوّة الرضاعیّة بین المرتضعین اتّحاد الفحل، و یتفرّع علیٰ ذلک مراعاة هذا الشرط فی العمومة و الخؤولة</w:t>
      </w:r>
      <w:bookmarkStart w:id="7255" w:name="pg1809_19896"/>
    </w:p>
    <w:p>
      <w:pPr>
        <w:pStyle w:val="BookText"/>
        <w:rPr/>
      </w:pPr>
      <w:bookmarkEnd w:id="7255"/>
      <w:r>
        <w:rPr>
          <w:rFonts w:ascii="IRNazanin" w:hAnsi="IRNazanin" w:eastAsia="IRNazanin"/>
          <w:color w:val="111111"/>
          <w:sz w:val="28"/>
          <w:sz w:val="28"/>
          <w:szCs w:val="28"/>
          <w:rtl w:val="true"/>
          <w:lang w:bidi="fa-IR"/>
        </w:rPr>
        <w:t>الحاصلتین بالرضاع أیضاً؛ لأنّ العمّ و العمّة أخ و أُخت للأب، و الخال و الخالة أخ و أُخت للُامّ، فلو تراضع أبوک أو أُمّک مع صبیّة من امرأة فإن اتّحد الفحل کانت الصبیّة عمّتک أو خالتک من الرضاعة بخلاف ما إذا لم یتّحد، فحیث لم تحصل الاخوّة الرضاعیّة بین أبیک أو أُمّک مع الصبیّة لم تکن هی عمّتک أو خالتک، فلم تحرم علیک</w:t>
      </w:r>
      <w:r>
        <w:rPr>
          <w:rFonts w:eastAsia="IRNazanin" w:cs="IRNazanin"/>
          <w:color w:val="111111"/>
          <w:sz w:val="28"/>
          <w:szCs w:val="28"/>
          <w:rtl w:val="true"/>
          <w:lang w:bidi="fa-IR"/>
        </w:rPr>
        <w:t>.</w:t>
      </w:r>
    </w:p>
    <w:p>
      <w:pPr>
        <w:pStyle w:val="Heading6"/>
        <w:numPr>
          <w:ilvl w:val="5"/>
          <w:numId w:val="1"/>
        </w:numPr>
        <w:rPr/>
      </w:pPr>
      <w:bookmarkStart w:id="7256" w:name="__RefHeading___Toc2571532_3650668749"/>
      <w:bookmarkStart w:id="7257" w:name="_Toc3275"/>
      <w:bookmarkEnd w:id="7256"/>
      <w:r>
        <w:rPr>
          <w:rtl w:val="true"/>
        </w:rPr>
        <w:t>[ (</w:t>
      </w:r>
      <w:r>
        <w:rPr>
          <w:rtl w:val="true"/>
        </w:rPr>
        <w:t xml:space="preserve">مسألة </w:t>
      </w:r>
      <w:r>
        <w:rPr/>
        <w:t>12</w:t>
      </w:r>
      <w:r>
        <w:rPr>
          <w:rtl w:val="true"/>
        </w:rPr>
        <w:t xml:space="preserve">): </w:t>
      </w:r>
      <w:r>
        <w:rPr>
          <w:rtl w:val="true"/>
        </w:rPr>
        <w:t>لا یجوز أن ینکح أبو المرتضع فی أولاد صاحب اللبن ولادة و رضاعاً</w:t>
      </w:r>
      <w:r>
        <w:rPr>
          <w:rtl w:val="true"/>
        </w:rPr>
        <w:t>]</w:t>
      </w:r>
      <w:bookmarkEnd w:id="7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ینکح أبو المرتضع فی أولاد صاحب اللبن ولادة و رضاعاً </w:t>
      </w:r>
      <w:r>
        <w:rPr>
          <w:rStyle w:val="FootnoteAnchor"/>
          <w:rtl w:val="true"/>
        </w:rPr>
        <w:footnoteReference w:id="1884"/>
      </w:r>
      <w:r>
        <w:rPr>
          <w:rFonts w:ascii="IRNazanin" w:hAnsi="IRNazanin" w:eastAsia="IRNazanin"/>
          <w:color w:val="111111"/>
          <w:sz w:val="28"/>
          <w:sz w:val="28"/>
          <w:szCs w:val="28"/>
          <w:rtl w:val="true"/>
          <w:lang w:bidi="fa-IR"/>
        </w:rPr>
        <w:t>، و کذا فی أولاد المرضعة نسباً لا رضاعاً، و أمّا أولاده الذین لم یرتضعوا من هذا اللبن فیجوز نکاحهم فی أولاد صاحب اللبن و فی أولاد المرضعة التی أرضعت أخاهم و إن کان الاحتیاط لا ینبغی ترکه</w:t>
      </w:r>
      <w:r>
        <w:rPr>
          <w:rFonts w:eastAsia="IRNazanin" w:cs="IRNazanin"/>
          <w:color w:val="111111"/>
          <w:sz w:val="28"/>
          <w:szCs w:val="28"/>
          <w:rtl w:val="true"/>
          <w:lang w:bidi="fa-IR"/>
        </w:rPr>
        <w:t>.</w:t>
      </w:r>
    </w:p>
    <w:p>
      <w:pPr>
        <w:pStyle w:val="Heading6"/>
        <w:numPr>
          <w:ilvl w:val="5"/>
          <w:numId w:val="1"/>
        </w:numPr>
        <w:rPr/>
      </w:pPr>
      <w:bookmarkStart w:id="7258" w:name="__RefHeading___Toc2571534_3650668749"/>
      <w:bookmarkStart w:id="7259" w:name="_Toc3276"/>
      <w:bookmarkEnd w:id="7258"/>
      <w:r>
        <w:rPr>
          <w:rtl w:val="true"/>
        </w:rPr>
        <w:t>[ (</w:t>
      </w:r>
      <w:r>
        <w:rPr>
          <w:rtl w:val="true"/>
        </w:rPr>
        <w:t xml:space="preserve">مسألة </w:t>
      </w:r>
      <w:r>
        <w:rPr/>
        <w:t>13</w:t>
      </w:r>
      <w:r>
        <w:rPr>
          <w:rtl w:val="true"/>
        </w:rPr>
        <w:t xml:space="preserve">): </w:t>
      </w:r>
      <w:r>
        <w:rPr>
          <w:rtl w:val="true"/>
        </w:rPr>
        <w:t>إذا أرضعت امرأة ابن شخص بلبن فحلها، ثمّ أرضعت بنت شخص آخر من لبن ذلک الفحل</w:t>
      </w:r>
      <w:r>
        <w:rPr>
          <w:rtl w:val="true"/>
        </w:rPr>
        <w:t>]</w:t>
      </w:r>
      <w:bookmarkEnd w:id="7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أرضعت امرأة ابن شخص بلبن فحلها، ثمّ أرضعت بنت شخص آخر من لبن ذلک الفحل، فتلک البنت و إن حرمت علیٰ ذلک الابن لکن تحلّ أخوات کلّ منهما لإخوة الآخر</w:t>
      </w:r>
      <w:r>
        <w:rPr>
          <w:rFonts w:eastAsia="IRNazanin" w:cs="IRNazanin"/>
          <w:color w:val="111111"/>
          <w:sz w:val="28"/>
          <w:szCs w:val="28"/>
          <w:rtl w:val="true"/>
          <w:lang w:bidi="fa-IR"/>
        </w:rPr>
        <w:t>.</w:t>
      </w:r>
    </w:p>
    <w:p>
      <w:pPr>
        <w:pStyle w:val="Heading6"/>
        <w:numPr>
          <w:ilvl w:val="5"/>
          <w:numId w:val="1"/>
        </w:numPr>
        <w:rPr/>
      </w:pPr>
      <w:bookmarkStart w:id="7260" w:name="__RefHeading___Toc2571536_3650668749"/>
      <w:bookmarkStart w:id="7261" w:name="_Toc3277"/>
      <w:bookmarkEnd w:id="7260"/>
      <w:r>
        <w:rPr>
          <w:rtl w:val="true"/>
        </w:rPr>
        <w:t>[ (</w:t>
      </w:r>
      <w:r>
        <w:rPr>
          <w:rtl w:val="true"/>
        </w:rPr>
        <w:t xml:space="preserve">مسألة </w:t>
      </w:r>
      <w:r>
        <w:rPr/>
        <w:t>14</w:t>
      </w:r>
      <w:r>
        <w:rPr>
          <w:rtl w:val="true"/>
        </w:rPr>
        <w:t xml:space="preserve">): </w:t>
      </w:r>
      <w:r>
        <w:rPr>
          <w:rtl w:val="true"/>
        </w:rPr>
        <w:t>الرضاع المحرّم کما یمنع من النکاح لو کان سابقاً، یبطله لو حصل لاحقاً</w:t>
      </w:r>
      <w:r>
        <w:rPr>
          <w:rtl w:val="true"/>
        </w:rPr>
        <w:t>]</w:t>
      </w:r>
      <w:bookmarkEnd w:id="7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 المحرّم کما یمنع من النکاح لو کان سابقاً، یبطله لو حصل لاحقاً، فلو کانت له زوجة صغیرة فأرضعته بنته أو امّه أو أُخته أو بنت أخیه أو بنت أُخته أو زوجة أخیه بلبنه رضاعاً کاملًا بطل نکاحها و حرمت علیه؛ لصیرورتها بالرضاع بنتاً أو أُختاً أو بنت أخ أو بنت أُخت له، فحرمت علیه لاحقاً، کما کانت تحرم علیه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کانت له زوجتان صغیرة و کبیرة فأرضعت الکبیرة الصغیرة حرمت علیه الکبیرة لأنّها صارت أُمّ زوجته، و کذلک الصغیرة إن کان رضاعها من لبنه، أو دخل </w:t>
      </w:r>
      <w:r>
        <w:rPr>
          <w:rStyle w:val="FootnoteAnchor"/>
          <w:rtl w:val="true"/>
        </w:rPr>
        <w:footnoteReference w:id="1885"/>
      </w:r>
      <w:r>
        <w:rPr>
          <w:rFonts w:ascii="IRNazanin" w:hAnsi="IRNazanin" w:eastAsia="IRNazanin"/>
          <w:color w:val="111111"/>
          <w:sz w:val="28"/>
          <w:sz w:val="28"/>
          <w:szCs w:val="28"/>
          <w:rtl w:val="true"/>
          <w:lang w:bidi="fa-IR"/>
        </w:rPr>
        <w:t>بالکبیرة؛ لکونها بنتاً له فی الأوّل و بنت زوجته المدخول بها فی الثانی</w:t>
      </w:r>
      <w:r>
        <w:rPr>
          <w:rFonts w:eastAsia="IRNazanin" w:cs="IRNazanin"/>
          <w:color w:val="111111"/>
          <w:sz w:val="28"/>
          <w:szCs w:val="28"/>
          <w:rtl w:val="true"/>
          <w:lang w:bidi="fa-IR"/>
        </w:rPr>
        <w:t>.</w:t>
      </w:r>
    </w:p>
    <w:p>
      <w:pPr>
        <w:pStyle w:val="Heading5"/>
        <w:numPr>
          <w:ilvl w:val="4"/>
          <w:numId w:val="1"/>
        </w:numPr>
        <w:rPr/>
      </w:pPr>
      <w:bookmarkStart w:id="7262" w:name="__RefHeading___Toc2571538_3650668749"/>
      <w:bookmarkStart w:id="7263" w:name="_Toc3278"/>
      <w:bookmarkEnd w:id="7262"/>
      <w:r>
        <w:rPr>
          <w:rtl w:val="true"/>
        </w:rPr>
        <w:t>[</w:t>
      </w:r>
      <w:r>
        <w:rPr>
          <w:rtl w:val="true"/>
        </w:rPr>
        <w:t>تنبیه</w:t>
      </w:r>
      <w:r>
        <w:rPr>
          <w:rtl w:val="true"/>
        </w:rPr>
        <w:t>]</w:t>
      </w:r>
      <w:bookmarkEnd w:id="7263"/>
    </w:p>
    <w:p>
      <w:pPr>
        <w:pStyle w:val="Heading6"/>
        <w:numPr>
          <w:ilvl w:val="5"/>
          <w:numId w:val="1"/>
        </w:numPr>
        <w:rPr/>
      </w:pPr>
      <w:bookmarkStart w:id="7264" w:name="__RefHeading___Toc2571540_3650668749"/>
      <w:bookmarkStart w:id="7265" w:name="_Toc3279"/>
      <w:bookmarkEnd w:id="7264"/>
      <w:r>
        <w:rPr>
          <w:rtl w:val="true"/>
        </w:rPr>
        <w:t>اشارة</w:t>
      </w:r>
      <w:bookmarkEnd w:id="7265"/>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إذا کان أخوان فی بیت واحد مثلًا و کانت زوجة کلّ منهما أجنبیّة عن الآخر، و أرادا أن تصیر زوجة کلّ منهما من محارم الآخر حتّی یحلّ له النظر إلیها یمکن لهما الاحتیال؛</w:t>
      </w:r>
      <w:bookmarkStart w:id="7266" w:name="pg1809_19899"/>
    </w:p>
    <w:p>
      <w:pPr>
        <w:pStyle w:val="BookText"/>
        <w:rPr/>
      </w:pPr>
      <w:bookmarkEnd w:id="7266"/>
      <w:r>
        <w:rPr>
          <w:rFonts w:ascii="IRNazanin" w:hAnsi="IRNazanin" w:eastAsia="IRNazanin"/>
          <w:color w:val="111111"/>
          <w:sz w:val="28"/>
          <w:sz w:val="28"/>
          <w:szCs w:val="28"/>
          <w:rtl w:val="true"/>
          <w:lang w:bidi="fa-IR"/>
        </w:rPr>
        <w:t>بأن یتزوّج کلّ منهما بصبیّة و ترضع زوجة کلّ منهما زوجة الآخر رضاعاً کاملًا، فصارت زوجة کلّ منهما امّاً لزوجة الآخر، فصارت من محارمه و حلّ نظره إلیها، و بطل نکاح کلتا الصبیّتین؛ لصیرورة کلّ منهما بالرضاع بنت أخی زوجها</w:t>
      </w:r>
      <w:r>
        <w:rPr>
          <w:rFonts w:eastAsia="IRNazanin" w:cs="IRNazanin"/>
          <w:color w:val="111111"/>
          <w:sz w:val="28"/>
          <w:szCs w:val="28"/>
          <w:rtl w:val="true"/>
          <w:lang w:bidi="fa-IR"/>
        </w:rPr>
        <w:t>.</w:t>
      </w:r>
    </w:p>
    <w:p>
      <w:pPr>
        <w:pStyle w:val="Heading6"/>
        <w:numPr>
          <w:ilvl w:val="5"/>
          <w:numId w:val="1"/>
        </w:numPr>
        <w:rPr/>
      </w:pPr>
      <w:bookmarkStart w:id="7267" w:name="__RefHeading___Toc2571542_3650668749"/>
      <w:bookmarkStart w:id="7268" w:name="_Toc3280"/>
      <w:bookmarkEnd w:id="7267"/>
      <w:r>
        <w:rPr>
          <w:rtl w:val="true"/>
        </w:rPr>
        <w:t>[ (</w:t>
      </w:r>
      <w:r>
        <w:rPr>
          <w:rtl w:val="true"/>
        </w:rPr>
        <w:t xml:space="preserve">مسألة </w:t>
      </w:r>
      <w:r>
        <w:rPr/>
        <w:t>1</w:t>
      </w:r>
      <w:r>
        <w:rPr>
          <w:rtl w:val="true"/>
        </w:rPr>
        <w:t xml:space="preserve">): </w:t>
      </w:r>
      <w:r>
        <w:rPr>
          <w:rtl w:val="true"/>
        </w:rPr>
        <w:t>إذا أرضعت امرأة ولد بنتها، و بعبارة أُخری</w:t>
      </w:r>
      <w:r>
        <w:rPr>
          <w:rtl w:val="true"/>
        </w:rPr>
        <w:t>]</w:t>
      </w:r>
      <w:bookmarkEnd w:id="7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أرضعت امرأة ولد بنتها،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أرضعت الولد جدّته من طرف الامّ، حرمت بنتها أُمّ الولد علیٰ زوجها و بطل نکاحها؛ سواء أرضعته بلبن أبی البنت أو بلبن غیره؛ و ذلک لأنّ زوج البنت أب للمرتضع و زوجته بنت للمرضعة جدّة الولد، و قد مرّ أنّه یحرم علیٰ أبی المرتضع نکاح أولاد المرضعة، فإذا منع منه سابقاً أبطله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أرضعت زوجة أبی البنت من لبنه ولد البنت، بطل نکاح البنت؛ لما مرّ من أنّه یحرم نکاح أبی المرتضع فی أولاد صاحب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الجدّة من طرف الأب إذا أرضعت ولد ابنها فلا یترتّب علیه شی‌ء، کما أنّه لو کان رضاع الجدّة من طرف الامّ ولد بنتها بعد وفاة بنتها أو طلاقها أو وفاة زوجها لم یترتّب </w:t>
      </w:r>
      <w:r>
        <w:rPr>
          <w:rStyle w:val="FootnoteAnchor"/>
          <w:rtl w:val="true"/>
        </w:rPr>
        <w:footnoteReference w:id="1886"/>
      </w:r>
      <w:r>
        <w:rPr>
          <w:rFonts w:ascii="IRNazanin" w:hAnsi="IRNazanin" w:eastAsia="IRNazanin"/>
          <w:color w:val="111111"/>
          <w:sz w:val="28"/>
          <w:sz w:val="28"/>
          <w:szCs w:val="28"/>
          <w:rtl w:val="true"/>
          <w:lang w:bidi="fa-IR"/>
        </w:rPr>
        <w:t>علیه شی‌ء، فلا مانع منه</w:t>
      </w:r>
      <w:r>
        <w:rPr>
          <w:rFonts w:eastAsia="IRNazanin" w:cs="IRNazanin"/>
          <w:color w:val="111111"/>
          <w:sz w:val="28"/>
          <w:szCs w:val="28"/>
          <w:rtl w:val="true"/>
          <w:lang w:bidi="fa-IR"/>
        </w:rPr>
        <w:t>.</w:t>
      </w:r>
    </w:p>
    <w:p>
      <w:pPr>
        <w:pStyle w:val="Heading6"/>
        <w:numPr>
          <w:ilvl w:val="5"/>
          <w:numId w:val="1"/>
        </w:numPr>
        <w:rPr/>
      </w:pPr>
      <w:bookmarkStart w:id="7269" w:name="__RefHeading___Toc2571544_3650668749"/>
      <w:bookmarkStart w:id="7270" w:name="_Toc3281"/>
      <w:bookmarkEnd w:id="7269"/>
      <w:r>
        <w:rPr>
          <w:rtl w:val="true"/>
        </w:rPr>
        <w:t>[ (</w:t>
      </w:r>
      <w:r>
        <w:rPr>
          <w:rtl w:val="true"/>
        </w:rPr>
        <w:t xml:space="preserve">مسألة </w:t>
      </w:r>
      <w:r>
        <w:rPr/>
        <w:t>2</w:t>
      </w:r>
      <w:r>
        <w:rPr>
          <w:rtl w:val="true"/>
        </w:rPr>
        <w:t xml:space="preserve">): </w:t>
      </w:r>
      <w:r>
        <w:rPr>
          <w:rtl w:val="true"/>
        </w:rPr>
        <w:t>لو زوّج ابنه الصغیر بابنة أخیه الصغیرة، ثمّ أرضعت جدّتهما</w:t>
      </w:r>
      <w:r>
        <w:rPr>
          <w:rtl w:val="true"/>
        </w:rPr>
        <w:t>]</w:t>
      </w:r>
      <w:bookmarkEnd w:id="7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زوّج ابنه الصغیر بابنة أخیه الصغیرة، ثمّ أرضعت جدّتهما </w:t>
      </w:r>
      <w:r>
        <w:rPr>
          <w:rStyle w:val="FootnoteAnchor"/>
          <w:rtl w:val="true"/>
        </w:rPr>
        <w:footnoteReference w:id="1887"/>
      </w:r>
      <w:r>
        <w:rPr>
          <w:rFonts w:ascii="IRNazanin" w:hAnsi="IRNazanin" w:eastAsia="IRNazanin"/>
          <w:color w:val="111111"/>
          <w:sz w:val="28"/>
          <w:sz w:val="28"/>
          <w:szCs w:val="28"/>
          <w:rtl w:val="true"/>
          <w:lang w:bidi="fa-IR"/>
        </w:rPr>
        <w:t>من طرف الأب أو الأُمّ أحدهما انفسخ نکاحهما؛ لأنّ المرتضع إن کان هو الذکر، فإن أرضعته جدّته من طرف الأب صار عمّاً لزوجته، و إن أرضعته جدّته من طرف الامّ صار خالًا لزوجته، و إن کان هو الأُنثیٰ صارت هی عمّة لزوجها علی الأوّل، و خالة له علی الثانی، فبطل النکاح علیٰ أیّ حال</w:t>
      </w:r>
      <w:r>
        <w:rPr>
          <w:rFonts w:eastAsia="IRNazanin" w:cs="IRNazanin"/>
          <w:color w:val="111111"/>
          <w:sz w:val="28"/>
          <w:szCs w:val="28"/>
          <w:rtl w:val="true"/>
          <w:lang w:bidi="fa-IR"/>
        </w:rPr>
        <w:t>.</w:t>
      </w:r>
    </w:p>
    <w:p>
      <w:pPr>
        <w:pStyle w:val="Heading6"/>
        <w:numPr>
          <w:ilvl w:val="5"/>
          <w:numId w:val="1"/>
        </w:numPr>
        <w:rPr/>
      </w:pPr>
      <w:bookmarkStart w:id="7271" w:name="__RefHeading___Toc2571546_3650668749"/>
      <w:bookmarkStart w:id="7272" w:name="_Toc3282"/>
      <w:bookmarkEnd w:id="7271"/>
      <w:r>
        <w:rPr>
          <w:rtl w:val="true"/>
        </w:rPr>
        <w:t>[ (</w:t>
      </w:r>
      <w:r>
        <w:rPr>
          <w:rtl w:val="true"/>
        </w:rPr>
        <w:t xml:space="preserve">مسألة </w:t>
      </w:r>
      <w:r>
        <w:rPr/>
        <w:t>3</w:t>
      </w:r>
      <w:r>
        <w:rPr>
          <w:rtl w:val="true"/>
        </w:rPr>
        <w:t xml:space="preserve">): </w:t>
      </w:r>
      <w:r>
        <w:rPr>
          <w:rtl w:val="true"/>
        </w:rPr>
        <w:t>إذا حصل الرضاع الطارئ المبطل للنکاح، فإمّا أن یبطل نکاح المرضعة بإرضاعها</w:t>
      </w:r>
      <w:r>
        <w:rPr>
          <w:rtl w:val="true"/>
        </w:rPr>
        <w:t>]</w:t>
      </w:r>
      <w:bookmarkEnd w:id="7272"/>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الرضاع الطارئ المبطل للنکاح، فإمّا أن یبطل نکاح المرضعة بإرضاعها، کما فی إرضاع الزوجة الکبیرة لشخص زوجته الصغیرة بالنسبة إلیٰ نکاحها، و إمّا أن یبطل نکاح المرتضعة، کالمثال بالنسبة إلیٰ نکاح الصغیرة، و إمّا أن یبطل نکاح غیرهما، کما فی إرضاع الجدّة من طرف الامّ ولد بنتها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بقاء استحقاق الزوجة للمهر فی الجمیع إلّا فی الصورة الأُولیٰ </w:t>
      </w:r>
      <w:r>
        <w:rPr>
          <w:rStyle w:val="FootnoteAnchor"/>
          <w:rtl w:val="true"/>
        </w:rPr>
        <w:footnoteReference w:id="1888"/>
      </w:r>
      <w:r>
        <w:rPr>
          <w:rFonts w:ascii="IRNazanin" w:hAnsi="IRNazanin" w:eastAsia="IRNazanin"/>
          <w:color w:val="111111"/>
          <w:sz w:val="28"/>
          <w:sz w:val="28"/>
          <w:szCs w:val="28"/>
          <w:rtl w:val="true"/>
          <w:lang w:bidi="fa-IR"/>
        </w:rPr>
        <w:t>فیما إذا کان الإرضاع و انفساخ العقد قبل</w:t>
      </w:r>
      <w:bookmarkStart w:id="7273" w:name="pg1809_19901"/>
    </w:p>
    <w:p>
      <w:pPr>
        <w:pStyle w:val="BookText"/>
        <w:rPr/>
      </w:pPr>
      <w:bookmarkEnd w:id="7273"/>
      <w:r>
        <w:rPr>
          <w:rFonts w:ascii="IRNazanin" w:hAnsi="IRNazanin" w:eastAsia="IRNazanin"/>
          <w:color w:val="111111"/>
          <w:sz w:val="28"/>
          <w:sz w:val="28"/>
          <w:szCs w:val="28"/>
          <w:rtl w:val="true"/>
          <w:lang w:bidi="fa-IR"/>
        </w:rPr>
        <w:t>الدخول، و هل تضمن المرضعة ما یغرمه الزوج من المهر قبل الدخول فیما إذا کان إرضاعها مبطلًا لنکاح غیرها؟ قولان، أقواهما العدم، و الأحوط التصالح</w:t>
      </w:r>
      <w:r>
        <w:rPr>
          <w:rFonts w:eastAsia="IRNazanin" w:cs="IRNazanin"/>
          <w:color w:val="111111"/>
          <w:sz w:val="28"/>
          <w:szCs w:val="28"/>
          <w:rtl w:val="true"/>
          <w:lang w:bidi="fa-IR"/>
        </w:rPr>
        <w:t>.</w:t>
      </w:r>
    </w:p>
    <w:p>
      <w:pPr>
        <w:pStyle w:val="Heading6"/>
        <w:numPr>
          <w:ilvl w:val="5"/>
          <w:numId w:val="1"/>
        </w:numPr>
        <w:rPr/>
      </w:pPr>
      <w:bookmarkStart w:id="7274" w:name="__RefHeading___Toc2571548_3650668749"/>
      <w:bookmarkStart w:id="7275" w:name="_Toc3283"/>
      <w:bookmarkEnd w:id="7274"/>
      <w:r>
        <w:rPr>
          <w:rtl w:val="true"/>
        </w:rPr>
        <w:t>[ (</w:t>
      </w:r>
      <w:r>
        <w:rPr>
          <w:rtl w:val="true"/>
        </w:rPr>
        <w:t xml:space="preserve">مسألة </w:t>
      </w:r>
      <w:r>
        <w:rPr/>
        <w:t>4</w:t>
      </w:r>
      <w:r>
        <w:rPr>
          <w:rtl w:val="true"/>
        </w:rPr>
        <w:t xml:space="preserve">): </w:t>
      </w:r>
      <w:r>
        <w:rPr>
          <w:rtl w:val="true"/>
        </w:rPr>
        <w:t>قد سبق أنّ العناوین المحرّمة من جهة الولادة و النسب سبعة</w:t>
      </w:r>
      <w:r>
        <w:rPr>
          <w:rtl w:val="true"/>
        </w:rPr>
        <w:t>]</w:t>
      </w:r>
      <w:bookmarkEnd w:id="7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أنّ العناوین المحرّمة من جهة الولادة و النسب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الأُمّهات و البنات و الأخوات و العمّات و الخالات و بنات الأخ و بنات الأُخت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حصل بسبب الرضاع أحد هذه العناوین کان محرّماً کالحاصل بالولادة، و قد عرفت فیما سبق کیفیّة حصولها بالرضاع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لم یحصل بسببه أحد تلک العناوین السبعة، لکن حصل عنوان خاصّ لو کان حاصلًا بالولادة لکان ملازماً و متّحداً مع أحد تلک العناوین السبعة کما لو أرضعت امرأة ولد بنته فصارت أُمّ ولد بنته و أُمّ ولد البنت لیست من تلک السبع، لکن لو کانت أُمومة ولد البنت بالولادة کانت بنتاً له و البنت من المحرّمات السبعة فهل مثل هذا الرضاع أیضاً محرّم، فتکون مرضعة ولد البنت کالبنت أم لا؟ الحقّ هو الثانی، و قیل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 اشتهر فی الألسنة بعموم المنزلة الذی ذهب إلیه بعض الأجلّة و لنذکر لذلک 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أرضعت بلبنک أخاها، فصار ولدک و زوجتک أُخت له، فهل تحرم علیک من جهة أنّ أُخت ولدک إمّا بنتک أو ربیبتک و هما محرّمتان علیک و زوجتک بمنزلتهما أم لا؟ فمن قال بعموم المنزلة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من قال بالعدم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أرضعت بلبنک ابن أخیها فصار ولدک و هی عمّته، و عمّة ولدک حرام علیک لأنّها أُختک فهل تحرم من الرضاع أم لا؟ فمن قال بعموم المنزلة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من قال بالعدم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أرضعت عمّها أو عمّتها أو خالها أو خالتها، فصارت أُمّهم و أُمّ عمّ و عمّة زوجتک حرام علیک؛ حیث إنّها جدّتها من الأب، و کذا أُمّ خال و خالة زوجتک حرام علیک؛ حیث إنّها جدّتها من الامّ، فهل تحرم علیک من جهة الرضاع أم لا؟ فمن قال بعموم المنزلة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من قال بالعدم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أرضعت بلبنک ولد عمّها أو ولد خالها، فصرت أبا ابن عمّها أو أبا ابن خالها و هی تحرم علیٰ أبی ابن عمّها و أبی ابن خالها؛ لکونهما عمّها و خالها، فهل تحرم علیک من جهة الرضاع أم لا؟ فمن قال بعموم المنزلة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من قال بالعدم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bookmarkStart w:id="7276" w:name="pg1809_19903"/>
    </w:p>
    <w:p>
      <w:pPr>
        <w:pStyle w:val="BookText"/>
        <w:rPr/>
      </w:pPr>
      <w:bookmarkEnd w:id="7276"/>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أرضعت أخاک أو أُختک لأبویک، فصارت امّاً لهما، و هی محرّمة فی النسب؛ لأنّها أُمّ لک، فهل تحرم علیک من جهة الرضاع و یبطل نکاح المرضعة إن کانت زوجتک أم لا؟ فمن قال بعموم المنزلة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من قال بالعدم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أرضعت ولد بنتک، فصارت امّاً له، فهل تحرم علیک لکونها بمنزلة بنتک و إن کانت المرضعة زوجتک بطل نکاحها أم لا؟ فمن قال بعموم المنزلة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من قال بالعدم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أرضعت ولد أُختک، فصارت امّاً له، فهل تحرم علیک من جهة أنّ أُمّ ولد الأُخت حرام علیک لأنّها أُختک، و إن کانت المرضعة زوجتک بطل نکاحها أم لا؟ فمن قال بعموم المنزلة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من قال بالعدم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أرضعت عمّک أو عمّتک أو خالک أو خالتک، فصارت أُمّهم، و أُمّ عمّک و عمّتک نسباً تحرم علیک؛ لأنّها جدّتک من طرف أبیک، و کذا أُمّ خالک و خالتک؛ لأنّها جدّتک من طرف الامّ، فهل تحرم علیک بسبب الرضاع و إن کانت المرضعة زوجتک بطل نکاحها أم لا؟ فمن قال بعموم المنزلة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من قال بالعدم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Heading6"/>
        <w:numPr>
          <w:ilvl w:val="5"/>
          <w:numId w:val="1"/>
        </w:numPr>
        <w:rPr/>
      </w:pPr>
      <w:bookmarkStart w:id="7277" w:name="__RefHeading___Toc2571550_3650668749"/>
      <w:bookmarkStart w:id="7278" w:name="_Toc3284"/>
      <w:bookmarkEnd w:id="7277"/>
      <w:r>
        <w:rPr>
          <w:rtl w:val="true"/>
        </w:rPr>
        <w:t>[ (</w:t>
      </w:r>
      <w:r>
        <w:rPr>
          <w:rtl w:val="true"/>
        </w:rPr>
        <w:t xml:space="preserve">مسألة </w:t>
      </w:r>
      <w:r>
        <w:rPr/>
        <w:t>5</w:t>
      </w:r>
      <w:r>
        <w:rPr>
          <w:rtl w:val="true"/>
        </w:rPr>
        <w:t xml:space="preserve">): </w:t>
      </w:r>
      <w:r>
        <w:rPr>
          <w:rtl w:val="true"/>
        </w:rPr>
        <w:t>لو شکّ فی وقوع الرضاع أو فی حصول بعض شروطه من الکمّیّة أو الکیفیّة بنیٰ علی العدم</w:t>
      </w:r>
      <w:r>
        <w:rPr>
          <w:rtl w:val="true"/>
        </w:rPr>
        <w:t>]</w:t>
      </w:r>
      <w:bookmarkEnd w:id="7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وقوع الرضاع أو فی حصول بعض شروطه من الکمّیّة أو الکیفیّة بنیٰ علی العدم، نعم یشکل فیما لو علم بوقوع الرضاع بشروطه، و لم یعلم بوقوعه فی الحولین أو بعدهما، و علم تاریخ الرضاع و جهل تاریخ ولادة المرتضع، فحینئذٍ لا یترک الاحتیاط</w:t>
      </w:r>
      <w:r>
        <w:rPr>
          <w:rFonts w:eastAsia="IRNazanin" w:cs="IRNazanin"/>
          <w:color w:val="111111"/>
          <w:sz w:val="28"/>
          <w:szCs w:val="28"/>
          <w:rtl w:val="true"/>
          <w:lang w:bidi="fa-IR"/>
        </w:rPr>
        <w:t>.</w:t>
      </w:r>
    </w:p>
    <w:p>
      <w:pPr>
        <w:pStyle w:val="Heading6"/>
        <w:numPr>
          <w:ilvl w:val="5"/>
          <w:numId w:val="1"/>
        </w:numPr>
        <w:rPr/>
      </w:pPr>
      <w:bookmarkStart w:id="7279" w:name="__RefHeading___Toc2571552_3650668749"/>
      <w:bookmarkStart w:id="7280" w:name="_Toc3285"/>
      <w:bookmarkEnd w:id="7279"/>
      <w:r>
        <w:rPr>
          <w:rtl w:val="true"/>
        </w:rPr>
        <w:t>[ (</w:t>
      </w:r>
      <w:r>
        <w:rPr>
          <w:rtl w:val="true"/>
        </w:rPr>
        <w:t xml:space="preserve">مسألة </w:t>
      </w:r>
      <w:r>
        <w:rPr/>
        <w:t>6</w:t>
      </w:r>
      <w:r>
        <w:rPr>
          <w:rtl w:val="true"/>
        </w:rPr>
        <w:t xml:space="preserve">): </w:t>
      </w:r>
      <w:r>
        <w:rPr>
          <w:rtl w:val="true"/>
        </w:rPr>
        <w:t>لا تقبل الشهادة علی الرضاع إلّا مفصّلة</w:t>
      </w:r>
      <w:r>
        <w:rPr>
          <w:rtl w:val="true"/>
        </w:rPr>
        <w:t>]</w:t>
      </w:r>
      <w:bookmarkEnd w:id="7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الشهادة علی الرضاع إلّا مفصّلة؛ بأن یشهد الشهود علی الارتضاع فی الحولین بالامتصاص من الثدی خمس عشرة رضعة متوالیات مثلًا إلیٰ آخر ما مرّ من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یکفی </w:t>
      </w:r>
      <w:r>
        <w:rPr>
          <w:rStyle w:val="FootnoteAnchor"/>
          <w:rtl w:val="true"/>
        </w:rPr>
        <w:footnoteReference w:id="1889"/>
      </w:r>
      <w:r>
        <w:rPr>
          <w:rFonts w:ascii="IRNazanin" w:hAnsi="IRNazanin" w:eastAsia="IRNazanin"/>
          <w:color w:val="111111"/>
          <w:sz w:val="28"/>
          <w:sz w:val="28"/>
          <w:szCs w:val="28"/>
          <w:rtl w:val="true"/>
          <w:lang w:bidi="fa-IR"/>
        </w:rPr>
        <w:t>الشهادة المطلقة و المجملة؛ بأن یشهد علیٰ وقوع الرضاع المحرّم أو یشهد مثلًا علیٰ أنّ فلان ولد فلانة، أو فلانة بنت فلان من الرضاع، بل یسأل منه التفصیل</w:t>
      </w:r>
      <w:r>
        <w:rPr>
          <w:rFonts w:eastAsia="IRNazanin" w:cs="IRNazanin"/>
          <w:color w:val="111111"/>
          <w:sz w:val="28"/>
          <w:szCs w:val="28"/>
          <w:rtl w:val="true"/>
          <w:lang w:bidi="fa-IR"/>
        </w:rPr>
        <w:t>.</w:t>
      </w:r>
    </w:p>
    <w:p>
      <w:pPr>
        <w:pStyle w:val="Heading6"/>
        <w:numPr>
          <w:ilvl w:val="5"/>
          <w:numId w:val="1"/>
        </w:numPr>
        <w:rPr/>
      </w:pPr>
      <w:bookmarkStart w:id="7281" w:name="__RefHeading___Toc2571554_3650668749"/>
      <w:bookmarkStart w:id="7282" w:name="_Toc3286"/>
      <w:bookmarkEnd w:id="7281"/>
      <w:r>
        <w:rPr>
          <w:rtl w:val="true"/>
        </w:rPr>
        <w:t>[ (</w:t>
      </w:r>
      <w:r>
        <w:rPr>
          <w:rtl w:val="true"/>
        </w:rPr>
        <w:t xml:space="preserve">مسألة </w:t>
      </w:r>
      <w:r>
        <w:rPr/>
        <w:t>7</w:t>
      </w:r>
      <w:r>
        <w:rPr>
          <w:rtl w:val="true"/>
        </w:rPr>
        <w:t xml:space="preserve">): </w:t>
      </w:r>
      <w:r>
        <w:rPr>
          <w:rtl w:val="true"/>
        </w:rPr>
        <w:t>الأقویٰ أنّه تقبل شهادة النساء العادلات فی الرضاع مستقلّات</w:t>
      </w:r>
      <w:r>
        <w:rPr>
          <w:rtl w:val="true"/>
        </w:rPr>
        <w:t>]</w:t>
      </w:r>
      <w:bookmarkEnd w:id="7282"/>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أنّه تقبل شهادة النساء العادلات فی الرضاع مستقلّات؛ بأن تشهد</w:t>
      </w:r>
      <w:bookmarkStart w:id="7283" w:name="pg1809_19905"/>
    </w:p>
    <w:p>
      <w:pPr>
        <w:pStyle w:val="BookText"/>
        <w:rPr/>
      </w:pPr>
      <w:bookmarkEnd w:id="7283"/>
      <w:r>
        <w:rPr>
          <w:rFonts w:ascii="IRNazanin" w:hAnsi="IRNazanin" w:eastAsia="IRNazanin"/>
          <w:color w:val="111111"/>
          <w:sz w:val="28"/>
          <w:sz w:val="28"/>
          <w:szCs w:val="28"/>
          <w:rtl w:val="true"/>
          <w:lang w:bidi="fa-IR"/>
        </w:rPr>
        <w:t>أربع نسوة علیه، و منضمّات؛ بأن تشهد به امرأتان مع رجل واحد</w:t>
      </w:r>
      <w:r>
        <w:rPr>
          <w:rFonts w:eastAsia="IRNazanin" w:cs="IRNazanin"/>
          <w:color w:val="111111"/>
          <w:sz w:val="28"/>
          <w:szCs w:val="28"/>
          <w:rtl w:val="true"/>
          <w:lang w:bidi="fa-IR"/>
        </w:rPr>
        <w:t>.</w:t>
      </w:r>
    </w:p>
    <w:p>
      <w:pPr>
        <w:pStyle w:val="Heading6"/>
        <w:numPr>
          <w:ilvl w:val="5"/>
          <w:numId w:val="1"/>
        </w:numPr>
        <w:rPr/>
      </w:pPr>
      <w:bookmarkStart w:id="7284" w:name="__RefHeading___Toc2571556_3650668749"/>
      <w:bookmarkStart w:id="7285" w:name="_Toc3287"/>
      <w:bookmarkEnd w:id="7284"/>
      <w:r>
        <w:rPr>
          <w:rtl w:val="true"/>
        </w:rPr>
        <w:t>[ (</w:t>
      </w:r>
      <w:r>
        <w:rPr>
          <w:rtl w:val="true"/>
        </w:rPr>
        <w:t xml:space="preserve">مسألة </w:t>
      </w:r>
      <w:r>
        <w:rPr/>
        <w:t>8</w:t>
      </w:r>
      <w:r>
        <w:rPr>
          <w:rtl w:val="true"/>
        </w:rPr>
        <w:t xml:space="preserve">): </w:t>
      </w:r>
      <w:r>
        <w:rPr>
          <w:rtl w:val="true"/>
        </w:rPr>
        <w:t>یستحبّ أن یختار لرضاع الأولاد، المسلمة العاقلة العفیفة الوضیئة ذات الأوصاف الحسنة</w:t>
      </w:r>
      <w:r>
        <w:rPr>
          <w:rtl w:val="true"/>
        </w:rPr>
        <w:t>]</w:t>
      </w:r>
      <w:bookmarkEnd w:id="7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یختار لرضاع الأولاد، المسلمة العاقلة العفیفة الوضیئة ذات الأوصاف الحسنة، فإنّ للّبن تأثیراً تامّاً فی المرتضع کما یشهد به الاختبار و نطقت به الأخبار و الآثار، فعن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تسترضعوا الحمقاء و العمشاء فإنّ اللبن یعدی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تسترضعوا الحمقاء فإنّ اللبن یغلب الطباع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ترضع أولادکم فإنّ الولد یشبّ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 ذلک من الأخبار المستفاد منها رجحان اختیار ذوات الصفات الحمیدة خلقاً و خُلقاً و مرجوحیّة اختیار أضدادهنّ و کراهته، و لا سیّما الکافرة، و إن اضطرّ إلی استرضاعها فلیختر الیهودیّة و النصرانیّة علی المشرکة و المجوسیّة، و مع ذلک لا یسلّم الطفل إلیهنّ و لا یذهبن بالولد إلیٰ بیوتهنّ و یمنعها من شرب الخمر و أکل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الکافرة أو أشدّ کراهة استرضاع الزانیة باللبن الحاصل من الزنا و المرأة المتولّدة من زنا، فعن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 الیهودیّة و النصرانیّة و المجوسیّة أحبّ إلیّ من 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امرأة زنت هل یصلح أن تسترضع؟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و لا لبن ابنتها التی ولدت من الزنا</w:t>
      </w:r>
      <w:r>
        <w:rPr>
          <w:rFonts w:eastAsia="IRNazanin" w:cs="IRNazanin"/>
          <w:color w:val="111111"/>
          <w:sz w:val="28"/>
          <w:szCs w:val="28"/>
          <w:rtl w:val="true"/>
          <w:lang w:bidi="fa-IR"/>
        </w:rPr>
        <w:t>».</w:t>
      </w:r>
    </w:p>
    <w:p>
      <w:pPr>
        <w:pStyle w:val="Heading4"/>
        <w:numPr>
          <w:ilvl w:val="3"/>
          <w:numId w:val="1"/>
        </w:numPr>
        <w:rPr/>
      </w:pPr>
      <w:bookmarkStart w:id="7286" w:name="__RefHeading___Toc2571558_3650668749"/>
      <w:bookmarkStart w:id="7287" w:name="_Toc3288"/>
      <w:bookmarkEnd w:id="7286"/>
      <w:r>
        <w:rPr>
          <w:rtl w:val="true"/>
        </w:rPr>
        <w:t>[</w:t>
      </w:r>
      <w:r>
        <w:rPr>
          <w:rtl w:val="true"/>
        </w:rPr>
        <w:t>القول فی المصاهرة و ما یلحق بها</w:t>
      </w:r>
      <w:r>
        <w:rPr>
          <w:rtl w:val="true"/>
        </w:rPr>
        <w:t>]</w:t>
      </w:r>
      <w:bookmarkEnd w:id="7287"/>
    </w:p>
    <w:p>
      <w:pPr>
        <w:pStyle w:val="Heading5"/>
        <w:numPr>
          <w:ilvl w:val="4"/>
          <w:numId w:val="1"/>
        </w:numPr>
        <w:rPr/>
      </w:pPr>
      <w:bookmarkStart w:id="7288" w:name="__RefHeading___Toc2571560_3650668749"/>
      <w:bookmarkStart w:id="7289" w:name="_Toc3289"/>
      <w:bookmarkEnd w:id="7288"/>
      <w:r>
        <w:rPr>
          <w:rtl w:val="true"/>
        </w:rPr>
        <w:t>اشارة</w:t>
      </w:r>
      <w:bookmarkEnd w:id="7289"/>
    </w:p>
    <w:p>
      <w:pPr>
        <w:pStyle w:val="BookText"/>
        <w:rPr/>
      </w:pPr>
      <w:r>
        <w:rPr>
          <w:rFonts w:ascii="IRNazanin" w:hAnsi="IRNazanin" w:eastAsia="IRNazanin"/>
          <w:color w:val="111111"/>
          <w:sz w:val="28"/>
          <w:sz w:val="28"/>
          <w:szCs w:val="28"/>
          <w:rtl w:val="true"/>
          <w:lang w:bidi="fa-IR"/>
        </w:rPr>
        <w:t>القول فی المصاهرة و ما یلحق بها 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علاقة بین أحد الزوجین مع أقرباء الآخر موجب لحرمة النکاح إمّا عیناً أو جمعاً علیٰ تفصیل یأتی</w:t>
      </w:r>
      <w:r>
        <w:rPr>
          <w:rFonts w:eastAsia="IRNazanin" w:cs="IRNazanin"/>
          <w:color w:val="111111"/>
          <w:sz w:val="28"/>
          <w:szCs w:val="28"/>
          <w:rtl w:val="true"/>
          <w:lang w:bidi="fa-IR"/>
        </w:rPr>
        <w:t>.</w:t>
      </w:r>
    </w:p>
    <w:p>
      <w:pPr>
        <w:pStyle w:val="Heading5"/>
        <w:numPr>
          <w:ilvl w:val="4"/>
          <w:numId w:val="1"/>
        </w:numPr>
        <w:rPr/>
      </w:pPr>
      <w:bookmarkStart w:id="7290" w:name="__RefHeading___Toc2571562_3650668749"/>
      <w:bookmarkStart w:id="7291" w:name="_Toc3290"/>
      <w:bookmarkEnd w:id="7290"/>
      <w:r>
        <w:rPr>
          <w:rtl w:val="true"/>
        </w:rPr>
        <w:t>[ (</w:t>
      </w:r>
      <w:r>
        <w:rPr>
          <w:rtl w:val="true"/>
        </w:rPr>
        <w:t xml:space="preserve">مسألة </w:t>
      </w:r>
      <w:r>
        <w:rPr/>
        <w:t>1</w:t>
      </w:r>
      <w:r>
        <w:rPr>
          <w:rtl w:val="true"/>
        </w:rPr>
        <w:t xml:space="preserve">): </w:t>
      </w:r>
      <w:r>
        <w:rPr>
          <w:rtl w:val="true"/>
        </w:rPr>
        <w:t>تحرم معقودة الأب علی ابنه و بالعکس، فصاعداً فی الأوّل و نازلًا فی الثانی حرمة دائمیّة</w:t>
      </w:r>
      <w:r>
        <w:rPr>
          <w:rtl w:val="true"/>
        </w:rPr>
        <w:t>]</w:t>
      </w:r>
      <w:bookmarkEnd w:id="7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معقودة الأب علی ابنه و بالعکس، فصاعداً فی الأوّل و نازلًا فی الثانی حرمة دائمیّة؛ سواء کان العقد دائمیّاً أو انقطاعیّاً، و سواء دخل العاقد بالمعقودة أو لم یدخل بها، و سواء کان الأب و الابن نسبیّین أو رضاعیّین</w:t>
      </w:r>
      <w:r>
        <w:rPr>
          <w:rFonts w:eastAsia="IRNazanin" w:cs="IRNazanin"/>
          <w:color w:val="111111"/>
          <w:sz w:val="28"/>
          <w:szCs w:val="28"/>
          <w:rtl w:val="true"/>
          <w:lang w:bidi="fa-IR"/>
        </w:rPr>
        <w:t>.</w:t>
      </w:r>
    </w:p>
    <w:p>
      <w:pPr>
        <w:pStyle w:val="Heading5"/>
        <w:numPr>
          <w:ilvl w:val="4"/>
          <w:numId w:val="1"/>
        </w:numPr>
        <w:rPr/>
      </w:pPr>
      <w:bookmarkStart w:id="7292" w:name="__RefHeading___Toc2571564_3650668749"/>
      <w:bookmarkStart w:id="7293" w:name="_Toc3291"/>
      <w:bookmarkEnd w:id="7292"/>
      <w:r>
        <w:rPr>
          <w:rtl w:val="true"/>
        </w:rPr>
        <w:t>[ (</w:t>
      </w:r>
      <w:r>
        <w:rPr>
          <w:rtl w:val="true"/>
        </w:rPr>
        <w:t xml:space="preserve">مسألة </w:t>
      </w:r>
      <w:r>
        <w:rPr/>
        <w:t>2</w:t>
      </w:r>
      <w:r>
        <w:rPr>
          <w:rtl w:val="true"/>
        </w:rPr>
        <w:t xml:space="preserve">): </w:t>
      </w:r>
      <w:r>
        <w:rPr>
          <w:rtl w:val="true"/>
        </w:rPr>
        <w:t>إذا عقد علی امرأة حرمت علیه أُمّها</w:t>
      </w:r>
      <w:r>
        <w:rPr>
          <w:rtl w:val="true"/>
        </w:rPr>
        <w:t>]</w:t>
      </w:r>
      <w:bookmarkEnd w:id="7293"/>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علی امرأة حرمت علیه أُمّها و إن علت نسباً أو رضاعاً؛ سواء دخلت بها أو لا، و سواء کان العقد دواماً أم انقطاعاً، و سواء کانت المعقودة صغیرة أو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الأحوط </w:t>
      </w:r>
      <w:r>
        <w:rPr>
          <w:rStyle w:val="FootnoteAnchor"/>
          <w:rtl w:val="true"/>
        </w:rPr>
        <w:footnoteReference w:id="1890"/>
      </w:r>
      <w:r>
        <w:rPr>
          <w:rFonts w:ascii="IRNazanin" w:hAnsi="IRNazanin" w:eastAsia="IRNazanin"/>
          <w:color w:val="111111"/>
          <w:sz w:val="28"/>
          <w:sz w:val="28"/>
          <w:szCs w:val="28"/>
          <w:rtl w:val="true"/>
          <w:lang w:bidi="fa-IR"/>
        </w:rPr>
        <w:t>لو لم یکن الأقویٰ فی العقد علی الصغیرة انقطاعاً أن تکون بالغة إلیٰ حدّ</w:t>
      </w:r>
      <w:bookmarkStart w:id="7294" w:name="pg1809_19907"/>
    </w:p>
    <w:p>
      <w:pPr>
        <w:pStyle w:val="BookText"/>
        <w:rPr/>
      </w:pPr>
      <w:bookmarkEnd w:id="7294"/>
      <w:r>
        <w:rPr>
          <w:rFonts w:ascii="IRNazanin" w:hAnsi="IRNazanin" w:eastAsia="IRNazanin"/>
          <w:color w:val="111111"/>
          <w:sz w:val="28"/>
          <w:sz w:val="28"/>
          <w:szCs w:val="28"/>
          <w:rtl w:val="true"/>
          <w:lang w:bidi="fa-IR"/>
        </w:rPr>
        <w:t>تقبل للاستمتاع و التلذّذ بها و لو بغیر الوطء؛ بأن کانت بالغة ستّ سنوات فما فوق مثلًا أو یدخل فی المدّة بلوغها إلیٰ 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تعارف من إیقاع عقد الانقطاع ساعة أو ساعتین علی الصغیرة الرضیعة أو من یقاربها مریدین بذلک محرمیّة أُمّها علی المعقود له فی غایة الإشکال من جهة الإشکال فی صحّة مثل هذا العقد حتّی یترتّب علیه حرمة أُمّ المعقود علیها</w:t>
      </w:r>
      <w:r>
        <w:rPr>
          <w:rFonts w:eastAsia="IRNazanin" w:cs="IRNazanin"/>
          <w:color w:val="111111"/>
          <w:sz w:val="28"/>
          <w:szCs w:val="28"/>
          <w:rtl w:val="true"/>
          <w:lang w:bidi="fa-IR"/>
        </w:rPr>
        <w:t>.</w:t>
      </w:r>
    </w:p>
    <w:p>
      <w:pPr>
        <w:pStyle w:val="Heading5"/>
        <w:numPr>
          <w:ilvl w:val="4"/>
          <w:numId w:val="1"/>
        </w:numPr>
        <w:rPr/>
      </w:pPr>
      <w:bookmarkStart w:id="7295" w:name="__RefHeading___Toc2571566_3650668749"/>
      <w:bookmarkStart w:id="7296" w:name="_Toc3292"/>
      <w:bookmarkEnd w:id="7295"/>
      <w:r>
        <w:rPr>
          <w:rtl w:val="true"/>
        </w:rPr>
        <w:t>[ (</w:t>
      </w:r>
      <w:r>
        <w:rPr>
          <w:rtl w:val="true"/>
        </w:rPr>
        <w:t xml:space="preserve">مسألة </w:t>
      </w:r>
      <w:r>
        <w:rPr/>
        <w:t>3</w:t>
      </w:r>
      <w:r>
        <w:rPr>
          <w:rtl w:val="true"/>
        </w:rPr>
        <w:t xml:space="preserve">): </w:t>
      </w:r>
      <w:r>
        <w:rPr>
          <w:rtl w:val="true"/>
        </w:rPr>
        <w:t>إذا عقد علی امرأة، حرمت علیه بنتها و إن نزلت؛ إذا دخل بالأُمّ و لو دبراً</w:t>
      </w:r>
      <w:r>
        <w:rPr>
          <w:rtl w:val="true"/>
        </w:rPr>
        <w:t>]</w:t>
      </w:r>
      <w:bookmarkEnd w:id="7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علی امرأة، حرمت علیه بنتها و إن نزلت؛ إذا دخل بالأُمّ و لو دبراً، و أمّا إذا لم یدخل بها لم تحرم علیه بنتها عیناً و إنّما تحرم علیه جمعاً؛ بمعنی أنّها تحرم علیه ما دامت الأُمّ فی حباله، فإذا خرجت بموت أو طلاق أو غیر ذلک جاز له نکاحها</w:t>
      </w:r>
      <w:r>
        <w:rPr>
          <w:rFonts w:eastAsia="IRNazanin" w:cs="IRNazanin"/>
          <w:color w:val="111111"/>
          <w:sz w:val="28"/>
          <w:szCs w:val="28"/>
          <w:rtl w:val="true"/>
          <w:lang w:bidi="fa-IR"/>
        </w:rPr>
        <w:t>.</w:t>
      </w:r>
    </w:p>
    <w:p>
      <w:pPr>
        <w:pStyle w:val="Heading5"/>
        <w:numPr>
          <w:ilvl w:val="4"/>
          <w:numId w:val="1"/>
        </w:numPr>
        <w:rPr/>
      </w:pPr>
      <w:bookmarkStart w:id="7297" w:name="__RefHeading___Toc2571568_3650668749"/>
      <w:bookmarkStart w:id="7298" w:name="_Toc3293"/>
      <w:bookmarkEnd w:id="7297"/>
      <w:r>
        <w:rPr>
          <w:rtl w:val="true"/>
        </w:rPr>
        <w:t>[ (</w:t>
      </w:r>
      <w:r>
        <w:rPr>
          <w:rtl w:val="true"/>
        </w:rPr>
        <w:t xml:space="preserve">مسألة </w:t>
      </w:r>
      <w:r>
        <w:rPr/>
        <w:t>4</w:t>
      </w:r>
      <w:r>
        <w:rPr>
          <w:rtl w:val="true"/>
        </w:rPr>
        <w:t xml:space="preserve">): </w:t>
      </w:r>
      <w:r>
        <w:rPr>
          <w:rtl w:val="true"/>
        </w:rPr>
        <w:t>لا فرق فی حرمة بنت الزوجة بین أن تکون البنت موجودة فی زمان زوجیّة الأُمّ أو تولّدت بعد خروجها عن الزوجیة</w:t>
      </w:r>
      <w:r>
        <w:rPr>
          <w:rtl w:val="true"/>
        </w:rPr>
        <w:t>]</w:t>
      </w:r>
      <w:bookmarkEnd w:id="7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حرمة بنت الزوجة بین أن تکون البنت موجودة فی زمان زوجیّة الأُمّ أو تولّدت بعد خروجها عن الزوجیة، فلو عقد علی امرأة و دخل بها ثمّ طلّقها ثمّ تزوّجت و ولدت من الزوج الثانی بنتاً، تحرم هذه البنت علی الزوج الأوّل</w:t>
      </w:r>
      <w:r>
        <w:rPr>
          <w:rFonts w:eastAsia="IRNazanin" w:cs="IRNazanin"/>
          <w:color w:val="111111"/>
          <w:sz w:val="28"/>
          <w:szCs w:val="28"/>
          <w:rtl w:val="true"/>
          <w:lang w:bidi="fa-IR"/>
        </w:rPr>
        <w:t>.</w:t>
      </w:r>
    </w:p>
    <w:p>
      <w:pPr>
        <w:pStyle w:val="Heading5"/>
        <w:numPr>
          <w:ilvl w:val="4"/>
          <w:numId w:val="1"/>
        </w:numPr>
        <w:rPr/>
      </w:pPr>
      <w:bookmarkStart w:id="7299" w:name="__RefHeading___Toc2571570_3650668749"/>
      <w:bookmarkStart w:id="7300" w:name="_Toc3294"/>
      <w:bookmarkEnd w:id="7299"/>
      <w:r>
        <w:rPr>
          <w:rtl w:val="true"/>
        </w:rPr>
        <w:t>[ (</w:t>
      </w:r>
      <w:r>
        <w:rPr>
          <w:rtl w:val="true"/>
        </w:rPr>
        <w:t xml:space="preserve">مسألة </w:t>
      </w:r>
      <w:r>
        <w:rPr/>
        <w:t>5</w:t>
      </w:r>
      <w:r>
        <w:rPr>
          <w:rtl w:val="true"/>
        </w:rPr>
        <w:t xml:space="preserve">): </w:t>
      </w:r>
      <w:r>
        <w:rPr>
          <w:rtl w:val="true"/>
        </w:rPr>
        <w:t>لا إشکال فی ترتّب الحرمات الأربع علی النکاح و الوطء الصحیحین</w:t>
      </w:r>
      <w:r>
        <w:rPr>
          <w:rtl w:val="true"/>
        </w:rPr>
        <w:t>]</w:t>
      </w:r>
      <w:bookmarkEnd w:id="7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ترتّب الحرمات الأربع علی النکاح و الوطء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تترتّب علی الزنا و وطء الشبهة أم لا؟ قولان، أقواهما </w:t>
      </w:r>
      <w:r>
        <w:rPr>
          <w:rStyle w:val="FootnoteAnchor"/>
          <w:rtl w:val="true"/>
        </w:rPr>
        <w:footnoteReference w:id="1891"/>
      </w:r>
      <w:r>
        <w:rPr>
          <w:rFonts w:ascii="IRNazanin" w:hAnsi="IRNazanin" w:eastAsia="IRNazanin"/>
          <w:color w:val="111111"/>
          <w:sz w:val="28"/>
          <w:sz w:val="28"/>
          <w:szCs w:val="28"/>
          <w:rtl w:val="true"/>
          <w:lang w:bidi="fa-IR"/>
        </w:rPr>
        <w:t>و أشهرهما أوّلهما، فلو زنیٰ بامرأة حرمت علیٰ أبی الزانی و حرمت علی الزانی أُمّ المزنیّ بها و بنتها، و کذلک الموطوءة بالشبهة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الزنا الطارئ علی التزویج لا یوجب الحرمة؛ سواء کان بعد الوطء أو قبله، فلو تزوّج بامرأة ثمّ زنیٰ بأُمّها أو بنتها لم تحرم علیه امرأته، و کذا لو زنیٰ الأب بامرأة الابن لم تحرم علی الابن، و لو زنیٰ الابن بامرأة الأب لم تحرم علیٰ أبیه</w:t>
      </w:r>
      <w:r>
        <w:rPr>
          <w:rFonts w:eastAsia="IRNazanin" w:cs="IRNazanin"/>
          <w:color w:val="111111"/>
          <w:sz w:val="28"/>
          <w:szCs w:val="28"/>
          <w:rtl w:val="true"/>
          <w:lang w:bidi="fa-IR"/>
        </w:rPr>
        <w:t>.</w:t>
      </w:r>
    </w:p>
    <w:p>
      <w:pPr>
        <w:pStyle w:val="Heading5"/>
        <w:numPr>
          <w:ilvl w:val="4"/>
          <w:numId w:val="1"/>
        </w:numPr>
        <w:rPr/>
      </w:pPr>
      <w:bookmarkStart w:id="7301" w:name="__RefHeading___Toc2571572_3650668749"/>
      <w:bookmarkStart w:id="7302" w:name="_Toc3295"/>
      <w:bookmarkEnd w:id="7301"/>
      <w:r>
        <w:rPr>
          <w:rtl w:val="true"/>
        </w:rPr>
        <w:t>[ (</w:t>
      </w:r>
      <w:r>
        <w:rPr>
          <w:rtl w:val="true"/>
        </w:rPr>
        <w:t xml:space="preserve">مسألة </w:t>
      </w:r>
      <w:r>
        <w:rPr/>
        <w:t>6</w:t>
      </w:r>
      <w:r>
        <w:rPr>
          <w:rtl w:val="true"/>
        </w:rPr>
        <w:t xml:space="preserve">): </w:t>
      </w:r>
      <w:r>
        <w:rPr>
          <w:rtl w:val="true"/>
        </w:rPr>
        <w:t>لا فرق فی الحکم بین الزنا فی القبل و الدبر</w:t>
      </w:r>
      <w:r>
        <w:rPr>
          <w:rtl w:val="true"/>
        </w:rPr>
        <w:t>]</w:t>
      </w:r>
      <w:bookmarkEnd w:id="7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الحکم بین الزنا </w:t>
      </w:r>
      <w:r>
        <w:rPr>
          <w:rStyle w:val="FootnoteAnchor"/>
          <w:rtl w:val="true"/>
        </w:rPr>
        <w:footnoteReference w:id="1892"/>
      </w:r>
      <w:r>
        <w:rPr>
          <w:rFonts w:ascii="IRNazanin" w:hAnsi="IRNazanin" w:eastAsia="IRNazanin"/>
          <w:color w:val="111111"/>
          <w:sz w:val="28"/>
          <w:sz w:val="28"/>
          <w:szCs w:val="28"/>
          <w:rtl w:val="true"/>
          <w:lang w:bidi="fa-IR"/>
        </w:rPr>
        <w:t>فی القبل و الدبر</w:t>
      </w:r>
      <w:r>
        <w:rPr>
          <w:rFonts w:eastAsia="IRNazanin" w:cs="IRNazanin"/>
          <w:color w:val="111111"/>
          <w:sz w:val="28"/>
          <w:szCs w:val="28"/>
          <w:rtl w:val="true"/>
          <w:lang w:bidi="fa-IR"/>
        </w:rPr>
        <w:t>.</w:t>
      </w:r>
    </w:p>
    <w:p>
      <w:pPr>
        <w:pStyle w:val="Heading5"/>
        <w:numPr>
          <w:ilvl w:val="4"/>
          <w:numId w:val="1"/>
        </w:numPr>
        <w:rPr/>
      </w:pPr>
      <w:bookmarkStart w:id="7303" w:name="__RefHeading___Toc2571574_3650668749"/>
      <w:bookmarkStart w:id="7304" w:name="_Toc3296"/>
      <w:bookmarkEnd w:id="7303"/>
      <w:r>
        <w:rPr>
          <w:rtl w:val="true"/>
        </w:rPr>
        <w:t>[ (</w:t>
      </w:r>
      <w:r>
        <w:rPr>
          <w:rtl w:val="true"/>
        </w:rPr>
        <w:t xml:space="preserve">مسألة </w:t>
      </w:r>
      <w:r>
        <w:rPr/>
        <w:t>7</w:t>
      </w:r>
      <w:r>
        <w:rPr>
          <w:rtl w:val="true"/>
        </w:rPr>
        <w:t xml:space="preserve">): </w:t>
      </w:r>
      <w:r>
        <w:rPr>
          <w:rtl w:val="true"/>
        </w:rPr>
        <w:t>إذا علم بالزنا و شکّ فی کونه سابقاً علی العقد أو طارئاً بنیٰ علی الثانی</w:t>
      </w:r>
      <w:r>
        <w:rPr>
          <w:rtl w:val="true"/>
        </w:rPr>
        <w:t>]</w:t>
      </w:r>
      <w:bookmarkEnd w:id="7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بالزنا و شکّ فی کونه سابقاً علی العقد أو طارئاً بنیٰ علی الثانی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05" w:name="__RefHeading___Toc2571576_3650668749"/>
      <w:bookmarkStart w:id="7306" w:name="_Toc3297"/>
      <w:bookmarkEnd w:id="7305"/>
      <w:r>
        <w:rPr>
          <w:rtl w:val="true"/>
        </w:rPr>
        <w:t>[ (</w:t>
      </w:r>
      <w:r>
        <w:rPr>
          <w:rtl w:val="true"/>
        </w:rPr>
        <w:t xml:space="preserve">مسألة </w:t>
      </w:r>
      <w:r>
        <w:rPr/>
        <w:t>8</w:t>
      </w:r>
      <w:r>
        <w:rPr>
          <w:rtl w:val="true"/>
        </w:rPr>
        <w:t xml:space="preserve">): </w:t>
      </w:r>
      <w:r>
        <w:rPr>
          <w:rtl w:val="true"/>
        </w:rPr>
        <w:t>إذا لمس امرأة أجنبیّة، أو نظر إلیها بشهوة حرمت الملموسة و المنظورة علیٰ أبی اللامس و الناظر و ابنهما</w:t>
      </w:r>
      <w:r>
        <w:rPr>
          <w:rtl w:val="true"/>
        </w:rPr>
        <w:t>]</w:t>
      </w:r>
      <w:bookmarkEnd w:id="7306"/>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لمس امرأة أجنبیّة، أو نظر إلیها بشهوة حرمت الملموسة و المنظورة علیٰ أبی اللامس و الناظر و ابنهما علیٰ قول </w:t>
      </w:r>
      <w:r>
        <w:rPr>
          <w:rStyle w:val="FootnoteAnchor"/>
          <w:rtl w:val="true"/>
        </w:rPr>
        <w:footnoteReference w:id="1894"/>
      </w:r>
      <w:r>
        <w:rPr>
          <w:rFonts w:ascii="IRNazanin" w:hAnsi="IRNazanin" w:eastAsia="IRNazanin"/>
          <w:color w:val="111111"/>
          <w:sz w:val="28"/>
          <w:sz w:val="28"/>
          <w:szCs w:val="28"/>
          <w:rtl w:val="true"/>
          <w:lang w:bidi="fa-IR"/>
        </w:rPr>
        <w:t>، بل قیل بحرمة أُمّ المنظورة و الملموسة علی الناظر و اللامس أیضاً، و هذا و إن کان أحوط، لکنّ الأقویٰ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للأب جاریة</w:t>
      </w:r>
      <w:bookmarkStart w:id="7307" w:name="pg1809_19909"/>
    </w:p>
    <w:p>
      <w:pPr>
        <w:pStyle w:val="BookText"/>
        <w:rPr/>
      </w:pPr>
      <w:bookmarkEnd w:id="7307"/>
      <w:r>
        <w:rPr>
          <w:rFonts w:ascii="Amiri" w:hAnsi="Amiri" w:eastAsia="Amiri" w:cs="Amiri"/>
          <w:color w:val="111111"/>
          <w:sz w:val="28"/>
          <w:sz w:val="28"/>
          <w:szCs w:val="28"/>
          <w:rtl w:val="true"/>
          <w:lang w:bidi="ar-SA"/>
        </w:rPr>
        <w:t xml:space="preserve">منظورة </w:t>
      </w:r>
      <w:r>
        <w:rPr>
          <w:rStyle w:val="FootnoteAnchor"/>
          <w:rtl w:val="true"/>
        </w:rPr>
        <w:footnoteReference w:id="1895"/>
      </w:r>
      <w:r>
        <w:rPr>
          <w:rFonts w:ascii="IRNazanin" w:hAnsi="IRNazanin" w:eastAsia="IRNazanin"/>
          <w:color w:val="111111"/>
          <w:sz w:val="28"/>
          <w:sz w:val="28"/>
          <w:szCs w:val="28"/>
          <w:rtl w:val="true"/>
          <w:lang w:bidi="fa-IR"/>
        </w:rPr>
        <w:t>أو ملموسة له بشهوة حرمت علی ابنه، و کذا العکس علی الأقویٰ</w:t>
      </w:r>
      <w:r>
        <w:rPr>
          <w:rFonts w:eastAsia="IRNazanin" w:cs="IRNazanin"/>
          <w:color w:val="111111"/>
          <w:sz w:val="28"/>
          <w:szCs w:val="28"/>
          <w:rtl w:val="true"/>
          <w:lang w:bidi="fa-IR"/>
        </w:rPr>
        <w:t>.</w:t>
      </w:r>
    </w:p>
    <w:p>
      <w:pPr>
        <w:pStyle w:val="Heading5"/>
        <w:numPr>
          <w:ilvl w:val="4"/>
          <w:numId w:val="1"/>
        </w:numPr>
        <w:rPr/>
      </w:pPr>
      <w:bookmarkStart w:id="7308" w:name="__RefHeading___Toc2571578_3650668749"/>
      <w:bookmarkStart w:id="7309" w:name="_Toc3298"/>
      <w:bookmarkEnd w:id="7308"/>
      <w:r>
        <w:rPr>
          <w:rtl w:val="true"/>
        </w:rPr>
        <w:t>[ (</w:t>
      </w:r>
      <w:r>
        <w:rPr>
          <w:rtl w:val="true"/>
        </w:rPr>
        <w:t xml:space="preserve">مسألة </w:t>
      </w:r>
      <w:r>
        <w:rPr/>
        <w:t>9</w:t>
      </w:r>
      <w:r>
        <w:rPr>
          <w:rtl w:val="true"/>
        </w:rPr>
        <w:t xml:space="preserve">): </w:t>
      </w:r>
      <w:r>
        <w:rPr>
          <w:rtl w:val="true"/>
        </w:rPr>
        <w:t>لا یجوز نکاح بنت الأخ علی العمّة، و بنت الأُخت علی الخالة إلّا بإذنهما</w:t>
      </w:r>
      <w:r>
        <w:rPr>
          <w:rtl w:val="true"/>
        </w:rPr>
        <w:t>]</w:t>
      </w:r>
      <w:bookmarkEnd w:id="7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نکاح بنت الأخ علی العمّة، و بنت الأُخت علی الخالة إلّا بإذنهما، من غیر فرق بین کون النکاحین دائمین أو منقطعین أو مختلفین، و لا بین علم العمّة و الخالة حال العقد و جهلهما، و لا بین اطّلاعهما علیٰ ذلک و عدم اطّلاعهما أبداً، فلو تزوّجهما علیهما بدون إذنهما کان العقد الطارئ کالفضولیّ علی الأقویٰ؛ یتوقّف صحّته علیٰ إجازة العمّة و الخالة، فإن أجازتا جاز و إلّا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نکاح العمّة و الخالة علیٰ بنتی الأخ و الأُخت و إن کانت العمّة و الخالة جاهلتین، و لیس لهما الخیار لا فی فسخ عقد أنفسهما و لا فی فسخ عقد بنتی الأخ و الأُخت علی الأقویٰ</w:t>
      </w:r>
      <w:r>
        <w:rPr>
          <w:rFonts w:eastAsia="IRNazanin" w:cs="IRNazanin"/>
          <w:color w:val="111111"/>
          <w:sz w:val="28"/>
          <w:szCs w:val="28"/>
          <w:rtl w:val="true"/>
          <w:lang w:bidi="fa-IR"/>
        </w:rPr>
        <w:t>.</w:t>
      </w:r>
    </w:p>
    <w:p>
      <w:pPr>
        <w:pStyle w:val="Heading5"/>
        <w:numPr>
          <w:ilvl w:val="4"/>
          <w:numId w:val="1"/>
        </w:numPr>
        <w:rPr/>
      </w:pPr>
      <w:bookmarkStart w:id="7310" w:name="__RefHeading___Toc2571580_3650668749"/>
      <w:bookmarkStart w:id="7311" w:name="_Toc3299"/>
      <w:bookmarkEnd w:id="7310"/>
      <w:r>
        <w:rPr>
          <w:rtl w:val="true"/>
        </w:rPr>
        <w:t>[ (</w:t>
      </w:r>
      <w:r>
        <w:rPr>
          <w:rtl w:val="true"/>
        </w:rPr>
        <w:t xml:space="preserve">مسألة </w:t>
      </w:r>
      <w:r>
        <w:rPr/>
        <w:t>10</w:t>
      </w:r>
      <w:r>
        <w:rPr>
          <w:rtl w:val="true"/>
        </w:rPr>
        <w:t xml:space="preserve">): </w:t>
      </w:r>
      <w:r>
        <w:rPr>
          <w:rtl w:val="true"/>
        </w:rPr>
        <w:t>الظاهر أنّه لا فرق فی العمّة و الخالة بین الدنیا منهما و العلیا</w:t>
      </w:r>
      <w:r>
        <w:rPr>
          <w:rtl w:val="true"/>
        </w:rPr>
        <w:t>]</w:t>
      </w:r>
      <w:bookmarkEnd w:id="7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فرق فی العمّة و الخالة بین الدنیا منهما و العلیا، کما أنّه لا فرق بین نسبیّتین منهما و الرضاعیّتین</w:t>
      </w:r>
      <w:r>
        <w:rPr>
          <w:rFonts w:eastAsia="IRNazanin" w:cs="IRNazanin"/>
          <w:color w:val="111111"/>
          <w:sz w:val="28"/>
          <w:szCs w:val="28"/>
          <w:rtl w:val="true"/>
          <w:lang w:bidi="fa-IR"/>
        </w:rPr>
        <w:t>.</w:t>
      </w:r>
    </w:p>
    <w:p>
      <w:pPr>
        <w:pStyle w:val="Heading5"/>
        <w:numPr>
          <w:ilvl w:val="4"/>
          <w:numId w:val="1"/>
        </w:numPr>
        <w:rPr/>
      </w:pPr>
      <w:bookmarkStart w:id="7312" w:name="__RefHeading___Toc2571582_3650668749"/>
      <w:bookmarkStart w:id="7313" w:name="_Toc3300"/>
      <w:bookmarkEnd w:id="7312"/>
      <w:r>
        <w:rPr>
          <w:rtl w:val="true"/>
        </w:rPr>
        <w:t>[ (</w:t>
      </w:r>
      <w:r>
        <w:rPr>
          <w:rtl w:val="true"/>
        </w:rPr>
        <w:t xml:space="preserve">مسألة </w:t>
      </w:r>
      <w:r>
        <w:rPr/>
        <w:t>11</w:t>
      </w:r>
      <w:r>
        <w:rPr>
          <w:rtl w:val="true"/>
        </w:rPr>
        <w:t xml:space="preserve">): </w:t>
      </w:r>
      <w:r>
        <w:rPr>
          <w:rtl w:val="true"/>
        </w:rPr>
        <w:t>إذا أذنتا ثمّ رجعتا عن الإذن، فإن کان رجوعهما بعد العقد لم یؤثّر فی البطلان</w:t>
      </w:r>
      <w:r>
        <w:rPr>
          <w:rtl w:val="true"/>
        </w:rPr>
        <w:t>]</w:t>
      </w:r>
      <w:bookmarkEnd w:id="7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أذنتا ثمّ رجعتا عن الإذن، فإن کان رجوعهما بعد العقد لم یؤثّر فی البطلان، و إن کان قبله بطل الإذن السابق، فلو لم یبلغه الرجوع و تزوّج اعتماداً علیه توقّف صحّته علی الإجازة اللاحقة</w:t>
      </w:r>
      <w:r>
        <w:rPr>
          <w:rFonts w:eastAsia="IRNazanin" w:cs="IRNazanin"/>
          <w:color w:val="111111"/>
          <w:sz w:val="28"/>
          <w:szCs w:val="28"/>
          <w:rtl w:val="true"/>
          <w:lang w:bidi="fa-IR"/>
        </w:rPr>
        <w:t>.</w:t>
      </w:r>
    </w:p>
    <w:p>
      <w:pPr>
        <w:pStyle w:val="Heading5"/>
        <w:numPr>
          <w:ilvl w:val="4"/>
          <w:numId w:val="1"/>
        </w:numPr>
        <w:rPr/>
      </w:pPr>
      <w:bookmarkStart w:id="7314" w:name="__RefHeading___Toc2571584_3650668749"/>
      <w:bookmarkStart w:id="7315" w:name="_Toc3301"/>
      <w:bookmarkEnd w:id="7314"/>
      <w:r>
        <w:rPr>
          <w:rtl w:val="true"/>
        </w:rPr>
        <w:t>[ (</w:t>
      </w:r>
      <w:r>
        <w:rPr>
          <w:rtl w:val="true"/>
        </w:rPr>
        <w:t xml:space="preserve">مسألة </w:t>
      </w:r>
      <w:r>
        <w:rPr/>
        <w:t>12</w:t>
      </w:r>
      <w:r>
        <w:rPr>
          <w:rtl w:val="true"/>
        </w:rPr>
        <w:t xml:space="preserve">): </w:t>
      </w:r>
      <w:r>
        <w:rPr>
          <w:rtl w:val="true"/>
        </w:rPr>
        <w:t>الظاهر أنّ اعتبار إذنهما لیس حقّا لهما کالخیار حتّی یسقط بالإسقاط</w:t>
      </w:r>
      <w:r>
        <w:rPr>
          <w:rtl w:val="true"/>
        </w:rPr>
        <w:t>]</w:t>
      </w:r>
      <w:bookmarkEnd w:id="7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اعتبار إذنهما لیس حقّا لهما کالخیار حتّی یسقط بالإسقاط، فلو اشترط فی ضمن عقدهما أن لا یکون لهما ذلک لم یؤثّر شیئاً، و لو اشترط علیهما أن یکون للزوج العقد علیٰ بنت الأخ أو الأُخت ففی سقوط </w:t>
      </w:r>
      <w:r>
        <w:rPr>
          <w:rStyle w:val="FootnoteAnchor"/>
          <w:rtl w:val="true"/>
        </w:rPr>
        <w:footnoteReference w:id="1896"/>
      </w:r>
      <w:r>
        <w:rPr>
          <w:rFonts w:ascii="IRNazanin" w:hAnsi="IRNazanin" w:eastAsia="IRNazanin"/>
          <w:color w:val="111111"/>
          <w:sz w:val="28"/>
          <w:sz w:val="28"/>
          <w:szCs w:val="28"/>
          <w:rtl w:val="true"/>
          <w:lang w:bidi="fa-IR"/>
        </w:rPr>
        <w:t>اعتبار إذنهما بذلک إشکال، فلا یترک الاحتیاط</w:t>
      </w:r>
      <w:r>
        <w:rPr>
          <w:rFonts w:eastAsia="IRNazanin" w:cs="IRNazanin"/>
          <w:color w:val="111111"/>
          <w:sz w:val="28"/>
          <w:szCs w:val="28"/>
          <w:rtl w:val="true"/>
          <w:lang w:bidi="fa-IR"/>
        </w:rPr>
        <w:t>.</w:t>
      </w:r>
    </w:p>
    <w:p>
      <w:pPr>
        <w:pStyle w:val="Heading5"/>
        <w:numPr>
          <w:ilvl w:val="4"/>
          <w:numId w:val="1"/>
        </w:numPr>
        <w:rPr/>
      </w:pPr>
      <w:bookmarkStart w:id="7316" w:name="__RefHeading___Toc2571586_3650668749"/>
      <w:bookmarkStart w:id="7317" w:name="_Toc3302"/>
      <w:bookmarkEnd w:id="7316"/>
      <w:r>
        <w:rPr>
          <w:rtl w:val="true"/>
        </w:rPr>
        <w:t>[ (</w:t>
      </w:r>
      <w:r>
        <w:rPr>
          <w:rtl w:val="true"/>
        </w:rPr>
        <w:t xml:space="preserve">مسألة </w:t>
      </w:r>
      <w:r>
        <w:rPr/>
        <w:t>13</w:t>
      </w:r>
      <w:r>
        <w:rPr>
          <w:rtl w:val="true"/>
        </w:rPr>
        <w:t xml:space="preserve">): </w:t>
      </w:r>
      <w:r>
        <w:rPr>
          <w:rtl w:val="true"/>
        </w:rPr>
        <w:t>إذا تزوّج بالعمّة و ابنة الأخ و شکّ فی السابق منهما حکم بصحّة العقدین</w:t>
      </w:r>
      <w:r>
        <w:rPr>
          <w:rtl w:val="true"/>
        </w:rPr>
        <w:t>]</w:t>
      </w:r>
      <w:bookmarkEnd w:id="7317"/>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بالعمّة و ابنة الأخ و شکّ فی السابق منهما حکم بصحّة العقدین، و کذلک فیما إذا تزوّج ببنت الأخ أو الأُخت و شکّ فی أنّه هل کان عن إذن من العمّة أو الخالة أم لا، حکم بالصحّة و حصول الإذن منهما</w:t>
      </w:r>
      <w:r>
        <w:rPr>
          <w:rFonts w:eastAsia="IRNazanin" w:cs="IRNazanin"/>
          <w:color w:val="111111"/>
          <w:sz w:val="28"/>
          <w:szCs w:val="28"/>
          <w:rtl w:val="true"/>
          <w:lang w:bidi="fa-IR"/>
        </w:rPr>
        <w:t>.</w:t>
      </w:r>
      <w:bookmarkStart w:id="7318" w:name="pg1809_19911"/>
    </w:p>
    <w:p>
      <w:pPr>
        <w:pStyle w:val="Heading5"/>
        <w:numPr>
          <w:ilvl w:val="4"/>
          <w:numId w:val="1"/>
        </w:numPr>
        <w:rPr/>
      </w:pPr>
      <w:bookmarkStart w:id="7319" w:name="__RefHeading___Toc2571588_3650668749"/>
      <w:bookmarkStart w:id="7320" w:name="_Toc3303"/>
      <w:bookmarkEnd w:id="7318"/>
      <w:bookmarkEnd w:id="7319"/>
      <w:r>
        <w:rPr>
          <w:rtl w:val="true"/>
        </w:rPr>
        <w:t>[ (</w:t>
      </w:r>
      <w:r>
        <w:rPr>
          <w:rtl w:val="true"/>
        </w:rPr>
        <w:t xml:space="preserve">مسألة </w:t>
      </w:r>
      <w:r>
        <w:rPr/>
        <w:t>14</w:t>
      </w:r>
      <w:r>
        <w:rPr>
          <w:rtl w:val="true"/>
        </w:rPr>
        <w:t xml:space="preserve">): </w:t>
      </w:r>
      <w:r>
        <w:rPr>
          <w:rtl w:val="true"/>
        </w:rPr>
        <w:t>إذا طلّق العمّة أو الخالة، فإن کان بائناً صحّ العقد علیٰ بنتی الأخ و الأُخت بمجرّد الطلاق</w:t>
      </w:r>
      <w:r>
        <w:rPr>
          <w:rtl w:val="true"/>
        </w:rPr>
        <w:t>]</w:t>
      </w:r>
      <w:bookmarkEnd w:id="7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العمّة أو الخالة، فإن کان بائناً صحّ العقد علیٰ بنتی الأخ و الأُخت بمجرّد الطلاق، و إن کان رجعیّاً لم یجز إلّا بعد انقضاء العدّة</w:t>
      </w:r>
      <w:r>
        <w:rPr>
          <w:rFonts w:eastAsia="IRNazanin" w:cs="IRNazanin"/>
          <w:color w:val="111111"/>
          <w:sz w:val="28"/>
          <w:szCs w:val="28"/>
          <w:rtl w:val="true"/>
          <w:lang w:bidi="fa-IR"/>
        </w:rPr>
        <w:t>.</w:t>
      </w:r>
    </w:p>
    <w:p>
      <w:pPr>
        <w:pStyle w:val="Heading5"/>
        <w:numPr>
          <w:ilvl w:val="4"/>
          <w:numId w:val="1"/>
        </w:numPr>
        <w:rPr/>
      </w:pPr>
      <w:bookmarkStart w:id="7321" w:name="__RefHeading___Toc2571590_3650668749"/>
      <w:bookmarkStart w:id="7322" w:name="_Toc3304"/>
      <w:bookmarkEnd w:id="7321"/>
      <w:r>
        <w:rPr>
          <w:rtl w:val="true"/>
        </w:rPr>
        <w:t>[ (</w:t>
      </w:r>
      <w:r>
        <w:rPr>
          <w:rtl w:val="true"/>
        </w:rPr>
        <w:t xml:space="preserve">مسألة </w:t>
      </w:r>
      <w:r>
        <w:rPr/>
        <w:t>15</w:t>
      </w:r>
      <w:r>
        <w:rPr>
          <w:rtl w:val="true"/>
        </w:rPr>
        <w:t xml:space="preserve">): </w:t>
      </w:r>
      <w:r>
        <w:rPr>
          <w:rtl w:val="true"/>
        </w:rPr>
        <w:t>لا یجوز الجمع فی النکاح بین الأُختین نسبیّتین أو رضاعیّتین دواماً أو انقطاعاً أو بالاختلاف</w:t>
      </w:r>
      <w:r>
        <w:rPr>
          <w:rtl w:val="true"/>
        </w:rPr>
        <w:t>]</w:t>
      </w:r>
      <w:bookmarkEnd w:id="7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الجمع فی النکاح بین الأُختین نسبیّتین أو رضاعیّتین دواماً أو انقطاعاً أو بالاختلاف، فلو تزوّج بإحدی الأُختین ثمّ تزوّج بأُخری بطل العقد الثانی دون الأوّل؛ سواء دخل بالأُولیٰ أو لا، و لو اقترن عقدهما؛ بأن تزوّجهما بعقد واحد، أو عقد هو علیٰ إحداهما و وکیله علیٰ الأُخریٰ فی زمان واحد مثلًا بطلا معاً</w:t>
      </w:r>
      <w:r>
        <w:rPr>
          <w:rFonts w:eastAsia="IRNazanin" w:cs="IRNazanin"/>
          <w:color w:val="111111"/>
          <w:sz w:val="28"/>
          <w:szCs w:val="28"/>
          <w:rtl w:val="true"/>
          <w:lang w:bidi="fa-IR"/>
        </w:rPr>
        <w:t>.</w:t>
      </w:r>
    </w:p>
    <w:p>
      <w:pPr>
        <w:pStyle w:val="Heading5"/>
        <w:numPr>
          <w:ilvl w:val="4"/>
          <w:numId w:val="1"/>
        </w:numPr>
        <w:rPr/>
      </w:pPr>
      <w:bookmarkStart w:id="7323" w:name="__RefHeading___Toc2571592_3650668749"/>
      <w:bookmarkStart w:id="7324" w:name="_Toc3305"/>
      <w:bookmarkEnd w:id="7323"/>
      <w:r>
        <w:rPr>
          <w:rtl w:val="true"/>
        </w:rPr>
        <w:t>[ (</w:t>
      </w:r>
      <w:r>
        <w:rPr>
          <w:rtl w:val="true"/>
        </w:rPr>
        <w:t xml:space="preserve">مسألة </w:t>
      </w:r>
      <w:r>
        <w:rPr/>
        <w:t>16</w:t>
      </w:r>
      <w:r>
        <w:rPr>
          <w:rtl w:val="true"/>
        </w:rPr>
        <w:t xml:space="preserve">): </w:t>
      </w:r>
      <w:r>
        <w:rPr>
          <w:rtl w:val="true"/>
        </w:rPr>
        <w:t>لو تزوّج بالأُختین و لم یعلم السابق و اللاحق من العقدین</w:t>
      </w:r>
      <w:r>
        <w:rPr>
          <w:rtl w:val="true"/>
        </w:rPr>
        <w:t>]</w:t>
      </w:r>
      <w:bookmarkEnd w:id="7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تزوّج بالأُختین و لم یعلم السابق و اللاحق من العقدین، فإن علم تاریخ أحدهما حکم بصحّته دون الآخر، و إن جهل تاریخهما فإن احتمل تقارنهما حکم ببطلانهما معاً، و إن علم عدم الاقتران فقد علم إجمالًا بصحّة أحد العقدین و بطلان أحدهما، فلا یجوز له وطؤهما و لا وطء إحداهما ما دام الاشتباه، فیحتمل </w:t>
      </w:r>
      <w:r>
        <w:rPr>
          <w:rStyle w:val="FootnoteAnchor"/>
          <w:rtl w:val="true"/>
        </w:rPr>
        <w:footnoteReference w:id="1897"/>
      </w:r>
      <w:r>
        <w:rPr>
          <w:rFonts w:ascii="IRNazanin" w:hAnsi="IRNazanin" w:eastAsia="IRNazanin"/>
          <w:color w:val="111111"/>
          <w:sz w:val="28"/>
          <w:sz w:val="28"/>
          <w:szCs w:val="28"/>
          <w:rtl w:val="true"/>
          <w:lang w:bidi="fa-IR"/>
        </w:rPr>
        <w:t xml:space="preserve">تعیین السابق بالقرعة، لکنّ الأحوط أن یطلّقهما أو یطلّق الزوجة الواقعیّة منهما ثمّ یزوّج من شاء منهما، علیٰ إشکال فی الثانی </w:t>
      </w:r>
      <w:r>
        <w:rPr>
          <w:rStyle w:val="FootnoteAnchor"/>
          <w:rtl w:val="true"/>
        </w:rPr>
        <w:footnoteReference w:id="1898"/>
      </w:r>
      <w:r>
        <w:rPr>
          <w:rFonts w:ascii="Amiri" w:hAnsi="Amiri" w:eastAsia="Amiri" w:cs="Amiri"/>
          <w:color w:val="111111"/>
          <w:sz w:val="28"/>
          <w:sz w:val="28"/>
          <w:szCs w:val="28"/>
          <w:rtl w:val="true"/>
          <w:lang w:bidi="ar-SA"/>
        </w:rPr>
        <w:t>، و له أن یطلّق إحداهما و یجدّد العقد علی الأُخریٰ بعد انقضاء عدّة الأُولیٰ إذا کانت مدخولًا بها</w:t>
      </w:r>
      <w:r>
        <w:rPr>
          <w:rFonts w:eastAsia="Amiri" w:cs="Amiri" w:ascii="Amiri" w:hAnsi="Amiri"/>
          <w:color w:val="111111"/>
          <w:sz w:val="28"/>
          <w:szCs w:val="28"/>
          <w:rtl w:val="true"/>
          <w:lang w:bidi="ar-SA"/>
        </w:rPr>
        <w:t>.</w:t>
      </w:r>
    </w:p>
    <w:p>
      <w:pPr>
        <w:pStyle w:val="Heading5"/>
        <w:numPr>
          <w:ilvl w:val="4"/>
          <w:numId w:val="1"/>
        </w:numPr>
        <w:rPr/>
      </w:pPr>
      <w:bookmarkStart w:id="7325" w:name="__RefHeading___Toc2571594_3650668749"/>
      <w:bookmarkStart w:id="7326" w:name="_Toc3306"/>
      <w:bookmarkEnd w:id="7325"/>
      <w:r>
        <w:rPr>
          <w:rtl w:val="true"/>
        </w:rPr>
        <w:t>[ (</w:t>
      </w:r>
      <w:r>
        <w:rPr>
          <w:rtl w:val="true"/>
        </w:rPr>
        <w:t xml:space="preserve">مسألة </w:t>
      </w:r>
      <w:r>
        <w:rPr/>
        <w:t>17</w:t>
      </w:r>
      <w:r>
        <w:rPr>
          <w:rtl w:val="true"/>
        </w:rPr>
        <w:t xml:space="preserve">): </w:t>
      </w:r>
      <w:r>
        <w:rPr>
          <w:rtl w:val="true"/>
        </w:rPr>
        <w:t>لو طلّقهما و الحال هذه فإن کان قبل الدخول فعلیه للزوجة الواقعیّة نصف مهرها</w:t>
      </w:r>
      <w:r>
        <w:rPr>
          <w:rtl w:val="true"/>
        </w:rPr>
        <w:t>]</w:t>
      </w:r>
      <w:bookmarkEnd w:id="7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طلّقهما و الحال هذه فإن کان قبل الدخول فعلیه للزوجة الواقعیّة نصف مهرها، و إن کان بعد الدخول فلها علیه تمام مهرها، فإن کان المهران مثلیین و اتّفقا جنساً و قدراً، فقد علم من علیه الحقّ و مقدار الحقّ، و إنّما الاشتباه فیمن له الحقّ، و فی غیر ذلک یکون الاشتباه فی الحقّ أیضاً، فإن اصطلحوا بما تسالموا علیه فهو، و إلّا فلا محیص إلّا عن القرعة، فمن خرجت علیها من الأُختین کان لها نصف مهرها المسمّی أو تمامه، و لم تستحقّ الأُخریٰ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الدخول بها تفصیل لا یسعه هذا المختصر</w:t>
      </w:r>
      <w:r>
        <w:rPr>
          <w:rFonts w:eastAsia="IRNazanin" w:cs="IRNazanin"/>
          <w:color w:val="111111"/>
          <w:sz w:val="28"/>
          <w:szCs w:val="28"/>
          <w:rtl w:val="true"/>
          <w:lang w:bidi="fa-IR"/>
        </w:rPr>
        <w:t>.</w:t>
      </w:r>
    </w:p>
    <w:p>
      <w:pPr>
        <w:pStyle w:val="Heading5"/>
        <w:numPr>
          <w:ilvl w:val="4"/>
          <w:numId w:val="1"/>
        </w:numPr>
        <w:rPr/>
      </w:pPr>
      <w:bookmarkStart w:id="7327" w:name="__RefHeading___Toc2571596_3650668749"/>
      <w:bookmarkStart w:id="7328" w:name="_Toc3307"/>
      <w:bookmarkEnd w:id="7327"/>
      <w:r>
        <w:rPr>
          <w:rtl w:val="true"/>
        </w:rPr>
        <w:t>[ (</w:t>
      </w:r>
      <w:r>
        <w:rPr>
          <w:rtl w:val="true"/>
        </w:rPr>
        <w:t xml:space="preserve">مسألة </w:t>
      </w:r>
      <w:r>
        <w:rPr/>
        <w:t>18</w:t>
      </w:r>
      <w:r>
        <w:rPr>
          <w:rtl w:val="true"/>
        </w:rPr>
        <w:t xml:space="preserve">): </w:t>
      </w:r>
      <w:r>
        <w:rPr>
          <w:rtl w:val="true"/>
        </w:rPr>
        <w:t>الظاهر جریان حکم تحریم الجمع فیما إذا کانت الأُختان کلتاهما أو إحداهما من زنا</w:t>
      </w:r>
      <w:r>
        <w:rPr>
          <w:rtl w:val="true"/>
        </w:rPr>
        <w:t>]</w:t>
      </w:r>
      <w:bookmarkEnd w:id="7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جریان حکم تحریم الجمع فیما إذا کانت الأُختان کلتاهما أو إحداهما من زنا</w:t>
      </w:r>
      <w:r>
        <w:rPr>
          <w:rFonts w:eastAsia="IRNazanin" w:cs="IRNazanin"/>
          <w:color w:val="111111"/>
          <w:sz w:val="28"/>
          <w:szCs w:val="28"/>
          <w:rtl w:val="true"/>
          <w:lang w:bidi="fa-IR"/>
        </w:rPr>
        <w:t>.</w:t>
      </w:r>
    </w:p>
    <w:p>
      <w:pPr>
        <w:pStyle w:val="Heading5"/>
        <w:numPr>
          <w:ilvl w:val="4"/>
          <w:numId w:val="1"/>
        </w:numPr>
        <w:rPr/>
      </w:pPr>
      <w:bookmarkStart w:id="7329" w:name="__RefHeading___Toc2571598_3650668749"/>
      <w:bookmarkStart w:id="7330" w:name="_Toc3308"/>
      <w:bookmarkEnd w:id="7329"/>
      <w:r>
        <w:rPr>
          <w:rtl w:val="true"/>
        </w:rPr>
        <w:t>[ (</w:t>
      </w:r>
      <w:r>
        <w:rPr>
          <w:rtl w:val="true"/>
        </w:rPr>
        <w:t xml:space="preserve">مسألة </w:t>
      </w:r>
      <w:r>
        <w:rPr/>
        <w:t>19</w:t>
      </w:r>
      <w:r>
        <w:rPr>
          <w:rtl w:val="true"/>
        </w:rPr>
        <w:t xml:space="preserve">): </w:t>
      </w:r>
      <w:r>
        <w:rPr>
          <w:rtl w:val="true"/>
        </w:rPr>
        <w:t>إذا طلّق زوجته، فإن کان الطلاق رجعیا لا یجوز و لا یصحّ نکاح أُختها</w:t>
      </w:r>
      <w:r>
        <w:rPr>
          <w:rtl w:val="true"/>
        </w:rPr>
        <w:t>]</w:t>
      </w:r>
      <w:bookmarkEnd w:id="7330"/>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زوجته، فإن کان الطلاق رجعیا لا یجوز و لا یصحّ نکاح أُختها ما</w:t>
      </w:r>
      <w:bookmarkStart w:id="7331" w:name="pg1809_19913"/>
    </w:p>
    <w:p>
      <w:pPr>
        <w:pStyle w:val="BookText"/>
        <w:rPr/>
      </w:pPr>
      <w:bookmarkEnd w:id="7331"/>
      <w:r>
        <w:rPr>
          <w:rFonts w:ascii="IRNazanin" w:hAnsi="IRNazanin" w:eastAsia="IRNazanin"/>
          <w:color w:val="111111"/>
          <w:sz w:val="28"/>
          <w:sz w:val="28"/>
          <w:szCs w:val="28"/>
          <w:rtl w:val="true"/>
          <w:lang w:bidi="fa-IR"/>
        </w:rPr>
        <w:t>لم تنقض عدّتها، و إن کان بائناً کالطلاق الثالث أو کانت المطلّقة ممّن لا عدّة لها کالصغیرة و غیر المدخولة و الیائسة جاز له نکاح أُختها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متمتّعة و انقضت مدّتها أو وهب المدّة لا یجوز له علی الأحوط لو لم یکن أقوی نکاح أُختها قبل انقضاء العدّة و إن کانت بائنة</w:t>
      </w:r>
      <w:r>
        <w:rPr>
          <w:rFonts w:eastAsia="IRNazanin" w:cs="IRNazanin"/>
          <w:color w:val="111111"/>
          <w:sz w:val="28"/>
          <w:szCs w:val="28"/>
          <w:rtl w:val="true"/>
          <w:lang w:bidi="fa-IR"/>
        </w:rPr>
        <w:t>.</w:t>
      </w:r>
    </w:p>
    <w:p>
      <w:pPr>
        <w:pStyle w:val="Heading5"/>
        <w:numPr>
          <w:ilvl w:val="4"/>
          <w:numId w:val="1"/>
        </w:numPr>
        <w:rPr/>
      </w:pPr>
      <w:bookmarkStart w:id="7332" w:name="__RefHeading___Toc2571600_3650668749"/>
      <w:bookmarkStart w:id="7333" w:name="_Toc3309"/>
      <w:bookmarkEnd w:id="7332"/>
      <w:r>
        <w:rPr>
          <w:rtl w:val="true"/>
        </w:rPr>
        <w:t>[ (</w:t>
      </w:r>
      <w:r>
        <w:rPr>
          <w:rtl w:val="true"/>
        </w:rPr>
        <w:t xml:space="preserve">مسألة </w:t>
      </w:r>
      <w:r>
        <w:rPr/>
        <w:t>20</w:t>
      </w:r>
      <w:r>
        <w:rPr>
          <w:rtl w:val="true"/>
        </w:rPr>
        <w:t xml:space="preserve">): </w:t>
      </w:r>
      <w:r>
        <w:rPr>
          <w:rtl w:val="true"/>
        </w:rPr>
        <w:t>ذهب بعض الأخباریّین إلیٰ حرمة الجمع بین الفاطمیّتین فی النکاح</w:t>
      </w:r>
      <w:r>
        <w:rPr>
          <w:rtl w:val="true"/>
        </w:rPr>
        <w:t>]</w:t>
      </w:r>
      <w:bookmarkEnd w:id="7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الأخباریّین إلیٰ حرمة الجمع بین الفاطمیّتین فی النکاح، و الحقّ جوازه و إن کان الترک أحوط و أولیٰ، و لو قلنا بالحرمة فهی تکلیفیّة لا یترتّب علیها غیر الإثم و المعصیة من دون أن تؤثّر فی بطلان عقدیهما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به کما عن بعضهم و جعله کالجمع بین الأُختین إفراط من القول ضعیف فی الغایة</w:t>
      </w:r>
      <w:r>
        <w:rPr>
          <w:rFonts w:eastAsia="IRNazanin" w:cs="IRNazanin"/>
          <w:color w:val="111111"/>
          <w:sz w:val="28"/>
          <w:szCs w:val="28"/>
          <w:rtl w:val="true"/>
          <w:lang w:bidi="fa-IR"/>
        </w:rPr>
        <w:t>.</w:t>
      </w:r>
    </w:p>
    <w:p>
      <w:pPr>
        <w:pStyle w:val="Heading5"/>
        <w:numPr>
          <w:ilvl w:val="4"/>
          <w:numId w:val="1"/>
        </w:numPr>
        <w:rPr/>
      </w:pPr>
      <w:bookmarkStart w:id="7334" w:name="__RefHeading___Toc2571602_3650668749"/>
      <w:bookmarkStart w:id="7335" w:name="_Toc3310"/>
      <w:bookmarkEnd w:id="7334"/>
      <w:r>
        <w:rPr>
          <w:rtl w:val="true"/>
        </w:rPr>
        <w:t>[ (</w:t>
      </w:r>
      <w:r>
        <w:rPr>
          <w:rtl w:val="true"/>
        </w:rPr>
        <w:t xml:space="preserve">مسألة </w:t>
      </w:r>
      <w:r>
        <w:rPr/>
        <w:t>21</w:t>
      </w:r>
      <w:r>
        <w:rPr>
          <w:rtl w:val="true"/>
        </w:rPr>
        <w:t xml:space="preserve">): </w:t>
      </w:r>
      <w:r>
        <w:rPr>
          <w:rtl w:val="true"/>
        </w:rPr>
        <w:t>الأحوط ترک تزویج الحرّ للأمة دواماً</w:t>
      </w:r>
      <w:r>
        <w:rPr>
          <w:rtl w:val="true"/>
        </w:rPr>
        <w:t>]</w:t>
      </w:r>
      <w:bookmarkEnd w:id="7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ترک تزویج الحرّ للأمة دواماً </w:t>
      </w:r>
      <w:r>
        <w:rPr>
          <w:rStyle w:val="FootnoteAnchor"/>
          <w:rtl w:val="true"/>
        </w:rPr>
        <w:footnoteReference w:id="1899"/>
      </w:r>
      <w:r>
        <w:rPr>
          <w:rFonts w:ascii="IRNazanin" w:hAnsi="IRNazanin" w:eastAsia="IRNazanin"/>
          <w:color w:val="111111"/>
          <w:sz w:val="28"/>
          <w:sz w:val="28"/>
          <w:szCs w:val="28"/>
          <w:rtl w:val="true"/>
          <w:lang w:bidi="fa-IR"/>
        </w:rPr>
        <w:t>، إلّا إذا لم یتمکّن من مهر الحرّة و شقّ علیه الصبر علی الشبق بحیث خیف من الوقوع فی الزنا، فیجوز بلا إشکال</w:t>
      </w:r>
      <w:r>
        <w:rPr>
          <w:rFonts w:eastAsia="IRNazanin" w:cs="IRNazanin"/>
          <w:color w:val="111111"/>
          <w:sz w:val="28"/>
          <w:szCs w:val="28"/>
          <w:rtl w:val="true"/>
          <w:lang w:bidi="fa-IR"/>
        </w:rPr>
        <w:t>.</w:t>
      </w:r>
    </w:p>
    <w:p>
      <w:pPr>
        <w:pStyle w:val="Heading5"/>
        <w:numPr>
          <w:ilvl w:val="4"/>
          <w:numId w:val="1"/>
        </w:numPr>
        <w:rPr/>
      </w:pPr>
      <w:bookmarkStart w:id="7336" w:name="__RefHeading___Toc2571604_3650668749"/>
      <w:bookmarkStart w:id="7337" w:name="_Toc3311"/>
      <w:bookmarkEnd w:id="7336"/>
      <w:r>
        <w:rPr>
          <w:rtl w:val="true"/>
        </w:rPr>
        <w:t>[ (</w:t>
      </w:r>
      <w:r>
        <w:rPr>
          <w:rtl w:val="true"/>
        </w:rPr>
        <w:t xml:space="preserve">مسألة </w:t>
      </w:r>
      <w:r>
        <w:rPr/>
        <w:t>22</w:t>
      </w:r>
      <w:r>
        <w:rPr>
          <w:rtl w:val="true"/>
        </w:rPr>
        <w:t xml:space="preserve">): </w:t>
      </w:r>
      <w:r>
        <w:rPr>
          <w:rtl w:val="true"/>
        </w:rPr>
        <w:t>لا یجوز تزویج الأمة علی الحرّة إلّا بإذنها</w:t>
      </w:r>
      <w:r>
        <w:rPr>
          <w:rtl w:val="true"/>
        </w:rPr>
        <w:t>]</w:t>
      </w:r>
      <w:bookmarkEnd w:id="7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تزویج الأمة علی الحرّة إلّا بإذنها، فلو نکحها علیها تتوقّف صحّة عقد الأمة علیٰ إجازة الحرّة، فإن أجازت جاز و إلّا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العکس و هو نکاح الحرّة علی الأمة، فإن کانت الحرّة عالمة بالحال لزم العقدان، و إن کانت جاهلة فلها الخیار فی فسخ عقدها لا فی فسخ عقد الأمة</w:t>
      </w:r>
      <w:r>
        <w:rPr>
          <w:rFonts w:eastAsia="IRNazanin" w:cs="IRNazanin"/>
          <w:color w:val="111111"/>
          <w:sz w:val="28"/>
          <w:szCs w:val="28"/>
          <w:rtl w:val="true"/>
          <w:lang w:bidi="fa-IR"/>
        </w:rPr>
        <w:t>.</w:t>
      </w:r>
    </w:p>
    <w:p>
      <w:pPr>
        <w:pStyle w:val="Heading5"/>
        <w:numPr>
          <w:ilvl w:val="4"/>
          <w:numId w:val="1"/>
        </w:numPr>
        <w:rPr/>
      </w:pPr>
      <w:bookmarkStart w:id="7338" w:name="__RefHeading___Toc2571606_3650668749"/>
      <w:bookmarkStart w:id="7339" w:name="_Toc3312"/>
      <w:bookmarkEnd w:id="7338"/>
      <w:r>
        <w:rPr>
          <w:rtl w:val="true"/>
        </w:rPr>
        <w:t>[ (</w:t>
      </w:r>
      <w:r>
        <w:rPr>
          <w:rtl w:val="true"/>
        </w:rPr>
        <w:t xml:space="preserve">مسألة </w:t>
      </w:r>
      <w:r>
        <w:rPr/>
        <w:t>23</w:t>
      </w:r>
      <w:r>
        <w:rPr>
          <w:rtl w:val="true"/>
        </w:rPr>
        <w:t xml:space="preserve">): </w:t>
      </w:r>
      <w:r>
        <w:rPr>
          <w:rtl w:val="true"/>
        </w:rPr>
        <w:t>لو زنت امرأة ذات بعل لم تحرم علیٰ زوجها</w:t>
      </w:r>
      <w:r>
        <w:rPr>
          <w:rtl w:val="true"/>
        </w:rPr>
        <w:t>]</w:t>
      </w:r>
      <w:bookmarkEnd w:id="7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زنت امرأة ذات بعل لم تحرم علیٰ زوجها، و لا یجب علیٰ زوجها أن یطلّقها و إن کانت مصرّة علیٰ ذلک</w:t>
      </w:r>
      <w:r>
        <w:rPr>
          <w:rFonts w:eastAsia="IRNazanin" w:cs="IRNazanin"/>
          <w:color w:val="111111"/>
          <w:sz w:val="28"/>
          <w:szCs w:val="28"/>
          <w:rtl w:val="true"/>
          <w:lang w:bidi="fa-IR"/>
        </w:rPr>
        <w:t>.</w:t>
      </w:r>
    </w:p>
    <w:p>
      <w:pPr>
        <w:pStyle w:val="Heading5"/>
        <w:numPr>
          <w:ilvl w:val="4"/>
          <w:numId w:val="1"/>
        </w:numPr>
        <w:rPr/>
      </w:pPr>
      <w:bookmarkStart w:id="7340" w:name="__RefHeading___Toc2571608_3650668749"/>
      <w:bookmarkStart w:id="7341" w:name="_Toc3313"/>
      <w:bookmarkEnd w:id="7340"/>
      <w:r>
        <w:rPr>
          <w:rtl w:val="true"/>
        </w:rPr>
        <w:t>[ (</w:t>
      </w:r>
      <w:r>
        <w:rPr>
          <w:rtl w:val="true"/>
        </w:rPr>
        <w:t xml:space="preserve">مسألة </w:t>
      </w:r>
      <w:r>
        <w:rPr/>
        <w:t>24</w:t>
      </w:r>
      <w:r>
        <w:rPr>
          <w:rtl w:val="true"/>
        </w:rPr>
        <w:t xml:space="preserve">): </w:t>
      </w:r>
      <w:r>
        <w:rPr>
          <w:rtl w:val="true"/>
        </w:rPr>
        <w:t>من زنیٰ بذات بعل دواماً أو متعة حرمت علیه أبداً</w:t>
      </w:r>
      <w:r>
        <w:rPr>
          <w:rtl w:val="true"/>
        </w:rPr>
        <w:t>]</w:t>
      </w:r>
      <w:bookmarkEnd w:id="7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بذات بعل دواماً أو متعة حرمت علیه أبداً؛ سواء کانت حرّة أو أمة، مسلمة کانت أو کافرة، مدخولًا بها من زوجها أو غیرها، فلا یجوز له نکاحها بعد موت زوجها أو زوال عقدها بطلاق أو فسخ أو انقضاء مدّة و غیرها، و لا فرق علی الظاهر بین أن یکون الزانی عالماً بأنّها ذات بعل أو لا، و لو کان مکرهاً علی الزنا ففی لحوق الحکم إشکال</w:t>
      </w:r>
      <w:r>
        <w:rPr>
          <w:rFonts w:eastAsia="IRNazanin" w:cs="IRNazanin"/>
          <w:color w:val="111111"/>
          <w:sz w:val="28"/>
          <w:szCs w:val="28"/>
          <w:rtl w:val="true"/>
          <w:lang w:bidi="fa-IR"/>
        </w:rPr>
        <w:t>.</w:t>
      </w:r>
    </w:p>
    <w:p>
      <w:pPr>
        <w:pStyle w:val="Heading5"/>
        <w:numPr>
          <w:ilvl w:val="4"/>
          <w:numId w:val="1"/>
        </w:numPr>
        <w:rPr/>
      </w:pPr>
      <w:bookmarkStart w:id="7342" w:name="__RefHeading___Toc2571610_3650668749"/>
      <w:bookmarkStart w:id="7343" w:name="_Toc3314"/>
      <w:bookmarkEnd w:id="7342"/>
      <w:r>
        <w:rPr>
          <w:rtl w:val="true"/>
        </w:rPr>
        <w:t>[ (</w:t>
      </w:r>
      <w:r>
        <w:rPr>
          <w:rtl w:val="true"/>
        </w:rPr>
        <w:t xml:space="preserve">مسألة </w:t>
      </w:r>
      <w:r>
        <w:rPr/>
        <w:t>25</w:t>
      </w:r>
      <w:r>
        <w:rPr>
          <w:rtl w:val="true"/>
        </w:rPr>
        <w:t xml:space="preserve">): </w:t>
      </w:r>
      <w:r>
        <w:rPr>
          <w:rtl w:val="true"/>
        </w:rPr>
        <w:t>إذا زنیٰ بامرأة فی العدّة الرجعیّة حرمت علیه أبداً کذات البعل</w:t>
      </w:r>
      <w:r>
        <w:rPr>
          <w:rtl w:val="true"/>
        </w:rPr>
        <w:t>]</w:t>
      </w:r>
      <w:bookmarkEnd w:id="7343"/>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بامرأة فی العدّة الرجعیّة حرمت علیه أبداً کذات البعل، دون البائنة و عدّة الوفاة، و لو علم بأنّها کانت فی العدّة و لم یعلم بأنّها کانت رجعیّة أو بائنة فلا حرمة</w:t>
      </w:r>
      <w:r>
        <w:rPr>
          <w:rFonts w:eastAsia="IRNazanin" w:cs="IRNazanin"/>
          <w:color w:val="111111"/>
          <w:sz w:val="28"/>
          <w:szCs w:val="28"/>
          <w:rtl w:val="true"/>
          <w:lang w:bidi="fa-IR"/>
        </w:rPr>
        <w:t>.</w:t>
      </w:r>
      <w:bookmarkStart w:id="7344" w:name="pg1809_19916"/>
    </w:p>
    <w:p>
      <w:pPr>
        <w:pStyle w:val="BookText"/>
        <w:rPr/>
      </w:pPr>
      <w:bookmarkEnd w:id="7344"/>
      <w:r>
        <w:rPr>
          <w:rFonts w:ascii="IRNazanin" w:hAnsi="IRNazanin" w:eastAsia="IRNazanin"/>
          <w:color w:val="111111"/>
          <w:sz w:val="28"/>
          <w:sz w:val="28"/>
          <w:szCs w:val="28"/>
          <w:rtl w:val="true"/>
          <w:lang w:bidi="fa-IR"/>
        </w:rPr>
        <w:t>نعم لو علم بکونها فی عدّة رجعیّة و شکّ فی انقضائها فالظاهر الحرمة</w:t>
      </w:r>
      <w:r>
        <w:rPr>
          <w:rFonts w:eastAsia="IRNazanin" w:cs="IRNazanin"/>
          <w:color w:val="111111"/>
          <w:sz w:val="28"/>
          <w:szCs w:val="28"/>
          <w:rtl w:val="true"/>
          <w:lang w:bidi="fa-IR"/>
        </w:rPr>
        <w:t>.</w:t>
      </w:r>
    </w:p>
    <w:p>
      <w:pPr>
        <w:pStyle w:val="Heading5"/>
        <w:numPr>
          <w:ilvl w:val="4"/>
          <w:numId w:val="1"/>
        </w:numPr>
        <w:rPr/>
      </w:pPr>
      <w:bookmarkStart w:id="7345" w:name="__RefHeading___Toc2571612_3650668749"/>
      <w:bookmarkStart w:id="7346" w:name="_Toc3315"/>
      <w:bookmarkEnd w:id="7345"/>
      <w:r>
        <w:rPr>
          <w:rtl w:val="true"/>
        </w:rPr>
        <w:t>[ (</w:t>
      </w:r>
      <w:r>
        <w:rPr>
          <w:rtl w:val="true"/>
        </w:rPr>
        <w:t xml:space="preserve">مسألة </w:t>
      </w:r>
      <w:r>
        <w:rPr/>
        <w:t>26</w:t>
      </w:r>
      <w:r>
        <w:rPr>
          <w:rtl w:val="true"/>
        </w:rPr>
        <w:t xml:space="preserve">): </w:t>
      </w:r>
      <w:r>
        <w:rPr>
          <w:rtl w:val="true"/>
        </w:rPr>
        <w:t>من لاط بغلام فأوقبه و لو ببعض الحشفة حرمت علیه أبداً أُمّ الغلام و إن علت</w:t>
      </w:r>
      <w:r>
        <w:rPr>
          <w:rtl w:val="true"/>
        </w:rPr>
        <w:t>]</w:t>
      </w:r>
      <w:bookmarkEnd w:id="7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لاط بغلام فأوقبه و لو ببعض الحشفة حرمت علیه أبداً أُمّ الغلام و إن علت، و بنته و إن نزلت، و أُخته؛ من غیر فرق بین کونهما صغیرین أو کبیرین أو مختلفین، و لا تحرم علی المفعول أُمّ الفاعل و بنته و أُخته علی الأقویٰ، و الأُمّ و البنت و الأُخت الرضاعیّات للمفعول کالنسبیّات</w:t>
      </w:r>
      <w:r>
        <w:rPr>
          <w:rFonts w:eastAsia="IRNazanin" w:cs="IRNazanin"/>
          <w:color w:val="111111"/>
          <w:sz w:val="28"/>
          <w:szCs w:val="28"/>
          <w:rtl w:val="true"/>
          <w:lang w:bidi="fa-IR"/>
        </w:rPr>
        <w:t>.</w:t>
      </w:r>
    </w:p>
    <w:p>
      <w:pPr>
        <w:pStyle w:val="Heading5"/>
        <w:numPr>
          <w:ilvl w:val="4"/>
          <w:numId w:val="1"/>
        </w:numPr>
        <w:rPr/>
      </w:pPr>
      <w:bookmarkStart w:id="7347" w:name="__RefHeading___Toc2571614_3650668749"/>
      <w:bookmarkStart w:id="7348" w:name="_Toc3316"/>
      <w:bookmarkEnd w:id="7347"/>
      <w:r>
        <w:rPr>
          <w:rtl w:val="true"/>
        </w:rPr>
        <w:t>[ (</w:t>
      </w:r>
      <w:r>
        <w:rPr>
          <w:rtl w:val="true"/>
        </w:rPr>
        <w:t xml:space="preserve">مسألة </w:t>
      </w:r>
      <w:r>
        <w:rPr/>
        <w:t>27</w:t>
      </w:r>
      <w:r>
        <w:rPr>
          <w:rtl w:val="true"/>
        </w:rPr>
        <w:t xml:space="preserve">): </w:t>
      </w:r>
      <w:r>
        <w:rPr>
          <w:rtl w:val="true"/>
        </w:rPr>
        <w:t>إنّما یوجب اللواط حرمة المذکورات إذا کان سابقاً</w:t>
      </w:r>
      <w:r>
        <w:rPr>
          <w:rtl w:val="true"/>
        </w:rPr>
        <w:t>]</w:t>
      </w:r>
      <w:bookmarkEnd w:id="7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یوجب اللواط حرمة المذکورات إذا کان سابقاً، و أمّا إذا کان طارئاً علی التزویج فلا یوجب الحرمة و بطلان النکاح، فلو تزوّج امرأة ثمّ لاط بابنها أو أبیها أو أخیها لم تحرم علیه امرأته، و إن کان الاحتیاط لا ینبغی ترکه</w:t>
      </w:r>
      <w:r>
        <w:rPr>
          <w:rFonts w:eastAsia="IRNazanin" w:cs="IRNazanin"/>
          <w:color w:val="111111"/>
          <w:sz w:val="28"/>
          <w:szCs w:val="28"/>
          <w:rtl w:val="true"/>
          <w:lang w:bidi="fa-IR"/>
        </w:rPr>
        <w:t>.</w:t>
      </w:r>
    </w:p>
    <w:p>
      <w:pPr>
        <w:pStyle w:val="Heading5"/>
        <w:numPr>
          <w:ilvl w:val="4"/>
          <w:numId w:val="1"/>
        </w:numPr>
        <w:rPr/>
      </w:pPr>
      <w:bookmarkStart w:id="7349" w:name="__RefHeading___Toc2571616_3650668749"/>
      <w:bookmarkStart w:id="7350" w:name="_Toc3317"/>
      <w:bookmarkEnd w:id="7349"/>
      <w:r>
        <w:rPr>
          <w:rtl w:val="true"/>
        </w:rPr>
        <w:t>[ (</w:t>
      </w:r>
      <w:r>
        <w:rPr>
          <w:rtl w:val="true"/>
        </w:rPr>
        <w:t xml:space="preserve">مسألة </w:t>
      </w:r>
      <w:r>
        <w:rPr/>
        <w:t>28</w:t>
      </w:r>
      <w:r>
        <w:rPr>
          <w:rtl w:val="true"/>
        </w:rPr>
        <w:t xml:space="preserve">): </w:t>
      </w:r>
      <w:r>
        <w:rPr>
          <w:rtl w:val="true"/>
        </w:rPr>
        <w:t>لو شکّ فی تحقّق الإیقاب حینما عبث بالغلام أو بعده بنیٰ علی العدم</w:t>
      </w:r>
      <w:r>
        <w:rPr>
          <w:rtl w:val="true"/>
        </w:rPr>
        <w:t>]</w:t>
      </w:r>
      <w:bookmarkEnd w:id="7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تحقّق الإیقاب حینما عبث بالغلام أو بعده بنیٰ علی العدم</w:t>
      </w:r>
      <w:r>
        <w:rPr>
          <w:rFonts w:eastAsia="IRNazanin" w:cs="IRNazanin"/>
          <w:color w:val="111111"/>
          <w:sz w:val="28"/>
          <w:szCs w:val="28"/>
          <w:rtl w:val="true"/>
          <w:lang w:bidi="fa-IR"/>
        </w:rPr>
        <w:t>.</w:t>
      </w:r>
    </w:p>
    <w:p>
      <w:pPr>
        <w:pStyle w:val="Heading4"/>
        <w:numPr>
          <w:ilvl w:val="3"/>
          <w:numId w:val="1"/>
        </w:numPr>
        <w:rPr/>
      </w:pPr>
      <w:bookmarkStart w:id="7351" w:name="__RefHeading___Toc2571618_3650668749"/>
      <w:bookmarkStart w:id="7352" w:name="_Toc3318"/>
      <w:bookmarkEnd w:id="7351"/>
      <w:r>
        <w:rPr>
          <w:rtl w:val="true"/>
        </w:rPr>
        <w:t>[</w:t>
      </w:r>
      <w:r>
        <w:rPr>
          <w:rtl w:val="true"/>
        </w:rPr>
        <w:t>القول فی النکاح فی العدّة و تکمیل العدد</w:t>
      </w:r>
      <w:r>
        <w:rPr>
          <w:rtl w:val="true"/>
        </w:rPr>
        <w:t>]</w:t>
      </w:r>
      <w:bookmarkEnd w:id="7352"/>
    </w:p>
    <w:p>
      <w:pPr>
        <w:pStyle w:val="Heading5"/>
        <w:numPr>
          <w:ilvl w:val="4"/>
          <w:numId w:val="1"/>
        </w:numPr>
        <w:rPr/>
      </w:pPr>
      <w:bookmarkStart w:id="7353" w:name="__RefHeading___Toc2571620_3650668749"/>
      <w:bookmarkStart w:id="7354" w:name="_Toc3319"/>
      <w:bookmarkEnd w:id="7353"/>
      <w:r>
        <w:rPr>
          <w:rtl w:val="true"/>
        </w:rPr>
        <w:t>اشارة</w:t>
      </w:r>
      <w:bookmarkEnd w:id="7354"/>
    </w:p>
    <w:p>
      <w:pPr>
        <w:pStyle w:val="BookText"/>
        <w:rPr/>
      </w:pPr>
      <w:r>
        <w:rPr>
          <w:rFonts w:ascii="IRNazanin" w:hAnsi="IRNazanin" w:eastAsia="IRNazanin"/>
          <w:color w:val="111111"/>
          <w:sz w:val="28"/>
          <w:sz w:val="28"/>
          <w:szCs w:val="28"/>
          <w:rtl w:val="true"/>
          <w:lang w:bidi="fa-IR"/>
        </w:rPr>
        <w:t>القول فی النکاح فی العدّة و تکمیل العدد</w:t>
      </w:r>
    </w:p>
    <w:p>
      <w:pPr>
        <w:pStyle w:val="Heading5"/>
        <w:numPr>
          <w:ilvl w:val="4"/>
          <w:numId w:val="1"/>
        </w:numPr>
        <w:rPr/>
      </w:pPr>
      <w:bookmarkStart w:id="7355" w:name="__RefHeading___Toc2571622_3650668749"/>
      <w:bookmarkStart w:id="7356" w:name="_Toc3320"/>
      <w:bookmarkEnd w:id="7355"/>
      <w:r>
        <w:rPr>
          <w:rtl w:val="true"/>
        </w:rPr>
        <w:t>[ (</w:t>
      </w:r>
      <w:r>
        <w:rPr>
          <w:rtl w:val="true"/>
        </w:rPr>
        <w:t xml:space="preserve">مسألة </w:t>
      </w:r>
      <w:r>
        <w:rPr/>
        <w:t>1</w:t>
      </w:r>
      <w:r>
        <w:rPr>
          <w:rtl w:val="true"/>
        </w:rPr>
        <w:t xml:space="preserve">): </w:t>
      </w:r>
      <w:r>
        <w:rPr>
          <w:rtl w:val="true"/>
        </w:rPr>
        <w:t>لا یجوز نکاح المرأة لا دائماً و لا منقطعاً إذا کانت فی عدّة الغیر</w:t>
      </w:r>
      <w:r>
        <w:rPr>
          <w:rtl w:val="true"/>
        </w:rPr>
        <w:t>]</w:t>
      </w:r>
      <w:bookmarkEnd w:id="7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نکاح المرأة لا دائماً و لا منقطعاً إذا کانت فی عدّة الغیر؛ رجعیّة کانت أو بائنة، عدّة وفاة أو غیرها، من نکاح دائم أو منقطع أو من وطء شبهة، و لو تزوّجها، فإن کانا عالمین بالموضوع و الحکم؛ بأن علما بکونها فی العدّة و علما بأنّه لا یجوز النکاح فی العدّة، أو کان أحدهما عالماً بهما، بطل النکاح و حرمت علیه أبداً؛ سواء دخل بها أو لا، و کذا إن جهلا بهما أو بأحدهما و دخل بها و لو دبراً، و أمّا لو لم یدخل بها بطل العقد و لکن لم تحرم علیه أبداً فله استئناف العقد علیها بعد انقضاء العدّة التی کانت فیها</w:t>
      </w:r>
      <w:r>
        <w:rPr>
          <w:rFonts w:eastAsia="IRNazanin" w:cs="IRNazanin"/>
          <w:color w:val="111111"/>
          <w:sz w:val="28"/>
          <w:szCs w:val="28"/>
          <w:rtl w:val="true"/>
          <w:lang w:bidi="fa-IR"/>
        </w:rPr>
        <w:t>.</w:t>
      </w:r>
    </w:p>
    <w:p>
      <w:pPr>
        <w:pStyle w:val="Heading5"/>
        <w:numPr>
          <w:ilvl w:val="4"/>
          <w:numId w:val="1"/>
        </w:numPr>
        <w:rPr/>
      </w:pPr>
      <w:bookmarkStart w:id="7357" w:name="__RefHeading___Toc2571624_3650668749"/>
      <w:bookmarkStart w:id="7358" w:name="_Toc3321"/>
      <w:bookmarkEnd w:id="7357"/>
      <w:r>
        <w:rPr>
          <w:rtl w:val="true"/>
        </w:rPr>
        <w:t>[ (</w:t>
      </w:r>
      <w:r>
        <w:rPr>
          <w:rtl w:val="true"/>
        </w:rPr>
        <w:t xml:space="preserve">مسألة </w:t>
      </w:r>
      <w:r>
        <w:rPr/>
        <w:t>2</w:t>
      </w:r>
      <w:r>
        <w:rPr>
          <w:rtl w:val="true"/>
        </w:rPr>
        <w:t xml:space="preserve">): </w:t>
      </w:r>
      <w:r>
        <w:rPr>
          <w:rtl w:val="true"/>
        </w:rPr>
        <w:t>لو وکّل أحداً فی تزویج امرأة له، و لم یعیّن الزوجة فزوّجه امرأة ذات عدّة لم تحرم علیه</w:t>
      </w:r>
      <w:r>
        <w:rPr>
          <w:rtl w:val="true"/>
        </w:rPr>
        <w:t>]</w:t>
      </w:r>
      <w:bookmarkEnd w:id="7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وکّل أحداً فی تزویج امرأة له، و لم یعیّن الزوجة فزوّجه امرأة ذات عدّة لم تحرم علیه و إن علم الوکیل بکونها فی العدّة، و إنّما تحرم علیه مع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عیّن الزوجة، فإن کان الموکّل عالماً بالحکم و الموضوع حرمت علیه و إن کان الوکیل جاهلًا بهما، بخلاف العکس، فالمدار علیٰ علم الموکّل و جهله لا الوکیل</w:t>
      </w:r>
      <w:r>
        <w:rPr>
          <w:rFonts w:eastAsia="IRNazanin" w:cs="IRNazanin"/>
          <w:color w:val="111111"/>
          <w:sz w:val="28"/>
          <w:szCs w:val="28"/>
          <w:rtl w:val="true"/>
          <w:lang w:bidi="fa-IR"/>
        </w:rPr>
        <w:t>.</w:t>
      </w:r>
    </w:p>
    <w:p>
      <w:pPr>
        <w:pStyle w:val="Heading5"/>
        <w:numPr>
          <w:ilvl w:val="4"/>
          <w:numId w:val="1"/>
        </w:numPr>
        <w:rPr/>
      </w:pPr>
      <w:bookmarkStart w:id="7359" w:name="__RefHeading___Toc2571626_3650668749"/>
      <w:bookmarkStart w:id="7360" w:name="_Toc3322"/>
      <w:bookmarkEnd w:id="7359"/>
      <w:r>
        <w:rPr>
          <w:rtl w:val="true"/>
        </w:rPr>
        <w:t>[ (</w:t>
      </w:r>
      <w:r>
        <w:rPr>
          <w:rtl w:val="true"/>
        </w:rPr>
        <w:t xml:space="preserve">مسألة </w:t>
      </w:r>
      <w:r>
        <w:rPr/>
        <w:t>3</w:t>
      </w:r>
      <w:r>
        <w:rPr>
          <w:rtl w:val="true"/>
        </w:rPr>
        <w:t xml:space="preserve">): </w:t>
      </w:r>
      <w:r>
        <w:rPr>
          <w:rtl w:val="true"/>
        </w:rPr>
        <w:t>لا یلحق بالتزویج فی العدّة وطء الشبهة أو الزنا بالمعتدّة</w:t>
      </w:r>
      <w:r>
        <w:rPr>
          <w:rtl w:val="true"/>
        </w:rPr>
        <w:t>]</w:t>
      </w:r>
      <w:bookmarkEnd w:id="7360"/>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یلحق بالتزویج فی العدّة وطء الشبهة أو الزنا بالمعتدّة، فلو وطئ شبهة أو زنیٰ بالمرأة فی حال عدّتها لم یؤثّر فی الحرمة الأبدیّة؛ أیّة عدّة کانت، إلّا العدّة الرجعیّة إذا زنیٰ بها فیها، فإنّه یوجب الحرمة کما مرّ</w:t>
      </w:r>
      <w:r>
        <w:rPr>
          <w:rFonts w:eastAsia="IRNazanin" w:cs="IRNazanin"/>
          <w:color w:val="111111"/>
          <w:sz w:val="28"/>
          <w:szCs w:val="28"/>
          <w:rtl w:val="true"/>
          <w:lang w:bidi="fa-IR"/>
        </w:rPr>
        <w:t>.</w:t>
      </w:r>
      <w:bookmarkStart w:id="7361" w:name="pg1809_19918"/>
    </w:p>
    <w:p>
      <w:pPr>
        <w:pStyle w:val="Heading5"/>
        <w:numPr>
          <w:ilvl w:val="4"/>
          <w:numId w:val="1"/>
        </w:numPr>
        <w:rPr/>
      </w:pPr>
      <w:bookmarkStart w:id="7362" w:name="__RefHeading___Toc2571628_3650668749"/>
      <w:bookmarkStart w:id="7363" w:name="_Toc3323"/>
      <w:bookmarkEnd w:id="7361"/>
      <w:bookmarkEnd w:id="7362"/>
      <w:r>
        <w:rPr>
          <w:rtl w:val="true"/>
        </w:rPr>
        <w:t>[ (</w:t>
      </w:r>
      <w:r>
        <w:rPr>
          <w:rtl w:val="true"/>
        </w:rPr>
        <w:t xml:space="preserve">مسألة </w:t>
      </w:r>
      <w:r>
        <w:rPr/>
        <w:t>4</w:t>
      </w:r>
      <w:r>
        <w:rPr>
          <w:rtl w:val="true"/>
        </w:rPr>
        <w:t xml:space="preserve">): </w:t>
      </w:r>
      <w:r>
        <w:rPr>
          <w:rtl w:val="true"/>
        </w:rPr>
        <w:t>إذا کانت المرأة فی عدّة الرجل جاز له العقد علیها فی الحال</w:t>
      </w:r>
      <w:r>
        <w:rPr>
          <w:rtl w:val="true"/>
        </w:rPr>
        <w:t>]</w:t>
      </w:r>
      <w:bookmarkEnd w:id="7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المرأة فی عدّة الرجل جاز له </w:t>
      </w:r>
      <w:r>
        <w:rPr>
          <w:rStyle w:val="FootnoteAnchor"/>
          <w:rtl w:val="true"/>
        </w:rPr>
        <w:footnoteReference w:id="1900"/>
      </w:r>
      <w:r>
        <w:rPr>
          <w:rFonts w:ascii="IRNazanin" w:hAnsi="IRNazanin" w:eastAsia="IRNazanin"/>
          <w:color w:val="111111"/>
          <w:sz w:val="28"/>
          <w:sz w:val="28"/>
          <w:szCs w:val="28"/>
          <w:rtl w:val="true"/>
          <w:lang w:bidi="fa-IR"/>
        </w:rPr>
        <w:t>العقد علیها فی الحال، و لا ینتظر 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إذا کانت معتدّة له بالعدّة الرجعیّة یبطل منه العقد علیها لکونها بمنزلة زوجته و لا یصحّ عقد الزوج علیٰ زوجته، فلو کانت عنده متعة و أراد أن یجعل عقدها دواماً، جاز أن یهب مدّتها و یعقد علیها عقد الدوام فی الحال، بخلاف ما إذا کانت عنده زوجة دائمة و أراد أن یجعلها منقطعة فطلّقها لذلک طلاقاً غیر بائن، فإنّه لا یجوز له إیقاع عقد الانقطاع علیها إلّا بعد خروجها عن العدّة</w:t>
      </w:r>
      <w:r>
        <w:rPr>
          <w:rFonts w:eastAsia="IRNazanin" w:cs="IRNazanin"/>
          <w:color w:val="111111"/>
          <w:sz w:val="28"/>
          <w:szCs w:val="28"/>
          <w:rtl w:val="true"/>
          <w:lang w:bidi="fa-IR"/>
        </w:rPr>
        <w:t>.</w:t>
      </w:r>
    </w:p>
    <w:p>
      <w:pPr>
        <w:pStyle w:val="Heading5"/>
        <w:numPr>
          <w:ilvl w:val="4"/>
          <w:numId w:val="1"/>
        </w:numPr>
        <w:rPr/>
      </w:pPr>
      <w:bookmarkStart w:id="7364" w:name="__RefHeading___Toc2571630_3650668749"/>
      <w:bookmarkStart w:id="7365" w:name="_Toc3324"/>
      <w:bookmarkEnd w:id="7364"/>
      <w:r>
        <w:rPr>
          <w:rtl w:val="true"/>
        </w:rPr>
        <w:t>[ (</w:t>
      </w:r>
      <w:r>
        <w:rPr>
          <w:rtl w:val="true"/>
        </w:rPr>
        <w:t xml:space="preserve">مسألة </w:t>
      </w:r>
      <w:r>
        <w:rPr/>
        <w:t>5</w:t>
      </w:r>
      <w:r>
        <w:rPr>
          <w:rtl w:val="true"/>
        </w:rPr>
        <w:t xml:space="preserve">): </w:t>
      </w:r>
      <w:r>
        <w:rPr>
          <w:rtl w:val="true"/>
        </w:rPr>
        <w:t>هل یعتبر فی الدخول الذی هو شرط للحرمة الأبدیّة فی صورة الجهل أن یکون فی العدّة</w:t>
      </w:r>
      <w:r>
        <w:rPr>
          <w:rtl w:val="true"/>
        </w:rPr>
        <w:t>]</w:t>
      </w:r>
      <w:bookmarkEnd w:id="7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فی الدخول الذی هو شرط للحرمة الأبدیّة فی صورة الجهل أن یکون فی العدّة، أو یکفی وقوع العقد فی العدّة و إن کان الدخول واقعاً بعد انقضائها؟ قولان، أحوطهما </w:t>
      </w:r>
      <w:r>
        <w:rPr>
          <w:rStyle w:val="FootnoteAnchor"/>
          <w:rtl w:val="true"/>
        </w:rPr>
        <w:footnoteReference w:id="1901"/>
      </w:r>
      <w:r>
        <w:rPr>
          <w:rFonts w:ascii="IRNazanin" w:hAnsi="IRNazanin" w:eastAsia="IRNazanin"/>
          <w:color w:val="111111"/>
          <w:sz w:val="28"/>
          <w:sz w:val="28"/>
          <w:szCs w:val="28"/>
          <w:rtl w:val="true"/>
          <w:lang w:bidi="fa-IR"/>
        </w:rPr>
        <w:t>الثانی و أقواهما الأوّل</w:t>
      </w:r>
      <w:r>
        <w:rPr>
          <w:rFonts w:eastAsia="IRNazanin" w:cs="IRNazanin"/>
          <w:color w:val="111111"/>
          <w:sz w:val="28"/>
          <w:szCs w:val="28"/>
          <w:rtl w:val="true"/>
          <w:lang w:bidi="fa-IR"/>
        </w:rPr>
        <w:t>.</w:t>
      </w:r>
    </w:p>
    <w:p>
      <w:pPr>
        <w:pStyle w:val="Heading5"/>
        <w:numPr>
          <w:ilvl w:val="4"/>
          <w:numId w:val="1"/>
        </w:numPr>
        <w:rPr/>
      </w:pPr>
      <w:bookmarkStart w:id="7366" w:name="__RefHeading___Toc2571632_3650668749"/>
      <w:bookmarkStart w:id="7367" w:name="_Toc3325"/>
      <w:bookmarkEnd w:id="7366"/>
      <w:r>
        <w:rPr>
          <w:rtl w:val="true"/>
        </w:rPr>
        <w:t>[ (</w:t>
      </w:r>
      <w:r>
        <w:rPr>
          <w:rtl w:val="true"/>
        </w:rPr>
        <w:t xml:space="preserve">مسألة </w:t>
      </w:r>
      <w:r>
        <w:rPr/>
        <w:t>6</w:t>
      </w:r>
      <w:r>
        <w:rPr>
          <w:rtl w:val="true"/>
        </w:rPr>
        <w:t xml:space="preserve">): </w:t>
      </w:r>
      <w:r>
        <w:rPr>
          <w:rtl w:val="true"/>
        </w:rPr>
        <w:t>لو شکّ فی أنّها معتدّة أم لا، حکم بالعدم و جاز له تزویجها</w:t>
      </w:r>
      <w:r>
        <w:rPr>
          <w:rtl w:val="true"/>
        </w:rPr>
        <w:t>]</w:t>
      </w:r>
      <w:bookmarkEnd w:id="7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أنّها معتدّة أم لا، حکم بالعدم و جاز له تزویجها، و لا یجب علیه التفحّص عن حالها، و کذا لو شکّ فی انقضاء عدّتها و أخبرت هی بالانقضاء، فتصدّق و جاز تزویجها</w:t>
      </w:r>
      <w:r>
        <w:rPr>
          <w:rFonts w:eastAsia="IRNazanin" w:cs="IRNazanin"/>
          <w:color w:val="111111"/>
          <w:sz w:val="28"/>
          <w:szCs w:val="28"/>
          <w:rtl w:val="true"/>
          <w:lang w:bidi="fa-IR"/>
        </w:rPr>
        <w:t>.</w:t>
      </w:r>
    </w:p>
    <w:p>
      <w:pPr>
        <w:pStyle w:val="Heading5"/>
        <w:numPr>
          <w:ilvl w:val="4"/>
          <w:numId w:val="1"/>
        </w:numPr>
        <w:rPr/>
      </w:pPr>
      <w:bookmarkStart w:id="7368" w:name="__RefHeading___Toc2571634_3650668749"/>
      <w:bookmarkStart w:id="7369" w:name="_Toc3326"/>
      <w:bookmarkEnd w:id="7368"/>
      <w:r>
        <w:rPr>
          <w:rtl w:val="true"/>
        </w:rPr>
        <w:t>[ (</w:t>
      </w:r>
      <w:r>
        <w:rPr>
          <w:rtl w:val="true"/>
        </w:rPr>
        <w:t xml:space="preserve">مسألة </w:t>
      </w:r>
      <w:r>
        <w:rPr/>
        <w:t>7</w:t>
      </w:r>
      <w:r>
        <w:rPr>
          <w:rtl w:val="true"/>
        </w:rPr>
        <w:t xml:space="preserve">): </w:t>
      </w:r>
      <w:r>
        <w:rPr>
          <w:rtl w:val="true"/>
        </w:rPr>
        <w:t>لو علم أنّ التزویج کان فی العدّة مع الجهل موضوعاً أو حکماً، و لکن شکّ فی أنّه قد دخل بها</w:t>
      </w:r>
      <w:r>
        <w:rPr>
          <w:rtl w:val="true"/>
        </w:rPr>
        <w:t>]</w:t>
      </w:r>
      <w:bookmarkEnd w:id="7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أنّ التزویج کان فی العدّة مع الجهل موضوعاً أو حکماً، و لکن شکّ فی أنّه قد دخل بها حتّی تحرم علیه أبداً أو لا، بنیٰ علیٰ عدم الدخول، فلم تحرم علیه، و کذا لو علم بعدم الدخول لکن شکّ فی أنّ أحدهما قد کان عالماً أم لا، بنیٰ علی عدم العلم، فلا یحکم بالحرمة الأبدیّة</w:t>
      </w:r>
      <w:r>
        <w:rPr>
          <w:rFonts w:eastAsia="IRNazanin" w:cs="IRNazanin"/>
          <w:color w:val="111111"/>
          <w:sz w:val="28"/>
          <w:szCs w:val="28"/>
          <w:rtl w:val="true"/>
          <w:lang w:bidi="fa-IR"/>
        </w:rPr>
        <w:t>.</w:t>
      </w:r>
    </w:p>
    <w:p>
      <w:pPr>
        <w:pStyle w:val="Heading5"/>
        <w:numPr>
          <w:ilvl w:val="4"/>
          <w:numId w:val="1"/>
        </w:numPr>
        <w:rPr/>
      </w:pPr>
      <w:bookmarkStart w:id="7370" w:name="__RefHeading___Toc2571636_3650668749"/>
      <w:bookmarkStart w:id="7371" w:name="_Toc3327"/>
      <w:bookmarkEnd w:id="7370"/>
      <w:r>
        <w:rPr>
          <w:rtl w:val="true"/>
        </w:rPr>
        <w:t>[ (</w:t>
      </w:r>
      <w:r>
        <w:rPr>
          <w:rtl w:val="true"/>
        </w:rPr>
        <w:t xml:space="preserve">مسألة </w:t>
      </w:r>
      <w:r>
        <w:rPr/>
        <w:t>8</w:t>
      </w:r>
      <w:r>
        <w:rPr>
          <w:rtl w:val="true"/>
        </w:rPr>
        <w:t xml:space="preserve">): </w:t>
      </w:r>
      <w:r>
        <w:rPr>
          <w:rtl w:val="true"/>
        </w:rPr>
        <w:t>یلحق بالتزویج فی العدّة فی إیجاب الحرمة الأبدیّة التزویج بذات البعل</w:t>
      </w:r>
      <w:r>
        <w:rPr>
          <w:rtl w:val="true"/>
        </w:rPr>
        <w:t>]</w:t>
      </w:r>
      <w:bookmarkEnd w:id="7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بالتزویج فی العدّة فی إیجاب الحرمة الأبدیّة التزویج بذات البعل، فلو تزوّجها مع العلم بأنّها ذات بعل حرمت علیه أبداً؛ سواء دخل بها أم لا، و لو تزوّجها مع الجهل لم تحرم علیه إلّا مع الدخول بها</w:t>
      </w:r>
      <w:r>
        <w:rPr>
          <w:rFonts w:eastAsia="IRNazanin" w:cs="IRNazanin"/>
          <w:color w:val="111111"/>
          <w:sz w:val="28"/>
          <w:szCs w:val="28"/>
          <w:rtl w:val="true"/>
          <w:lang w:bidi="fa-IR"/>
        </w:rPr>
        <w:t>.</w:t>
      </w:r>
    </w:p>
    <w:p>
      <w:pPr>
        <w:pStyle w:val="Heading5"/>
        <w:numPr>
          <w:ilvl w:val="4"/>
          <w:numId w:val="1"/>
        </w:numPr>
        <w:rPr/>
      </w:pPr>
      <w:bookmarkStart w:id="7372" w:name="__RefHeading___Toc2571638_3650668749"/>
      <w:bookmarkStart w:id="7373" w:name="_Toc3328"/>
      <w:bookmarkEnd w:id="7372"/>
      <w:r>
        <w:rPr>
          <w:rtl w:val="true"/>
        </w:rPr>
        <w:t>[ (</w:t>
      </w:r>
      <w:r>
        <w:rPr>
          <w:rtl w:val="true"/>
        </w:rPr>
        <w:t xml:space="preserve">مسألة </w:t>
      </w:r>
      <w:r>
        <w:rPr/>
        <w:t>9</w:t>
      </w:r>
      <w:r>
        <w:rPr>
          <w:rtl w:val="true"/>
        </w:rPr>
        <w:t xml:space="preserve">): </w:t>
      </w:r>
      <w:r>
        <w:rPr>
          <w:rtl w:val="true"/>
        </w:rPr>
        <w:t>إذا تزوّج بامرأة علیها عدّة و لم تشرع فیها لعدم تحقّق مبدئها</w:t>
      </w:r>
      <w:r>
        <w:rPr>
          <w:rtl w:val="true"/>
        </w:rPr>
        <w:t>]</w:t>
      </w:r>
      <w:bookmarkEnd w:id="7373"/>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بامرأة علیها عدّة و لم تشرع فیها لعدم تحقّق مبدئها، کما إذا تزوّج بمن مات زوجها و لم یبلغها الخبر، فإنّ مبدأ عدّتها من حین بلوغ الخبر، فهل یوجب الحرمة الأبدیّة أم لا؟ قولان، أحوطهما الأوّل و أرجحهما الثانی</w:t>
      </w:r>
      <w:r>
        <w:rPr>
          <w:rFonts w:eastAsia="IRNazanin" w:cs="IRNazanin"/>
          <w:color w:val="111111"/>
          <w:sz w:val="28"/>
          <w:szCs w:val="28"/>
          <w:rtl w:val="true"/>
          <w:lang w:bidi="fa-IR"/>
        </w:rPr>
        <w:t>.</w:t>
      </w:r>
      <w:bookmarkStart w:id="7374" w:name="pg1809_19920"/>
    </w:p>
    <w:p>
      <w:pPr>
        <w:pStyle w:val="Heading5"/>
        <w:numPr>
          <w:ilvl w:val="4"/>
          <w:numId w:val="1"/>
        </w:numPr>
        <w:rPr/>
      </w:pPr>
      <w:bookmarkStart w:id="7375" w:name="__RefHeading___Toc2571640_3650668749"/>
      <w:bookmarkStart w:id="7376" w:name="_Toc3329"/>
      <w:bookmarkEnd w:id="7374"/>
      <w:bookmarkEnd w:id="7375"/>
      <w:r>
        <w:rPr>
          <w:rtl w:val="true"/>
        </w:rPr>
        <w:t>[ (</w:t>
      </w:r>
      <w:r>
        <w:rPr>
          <w:rtl w:val="true"/>
        </w:rPr>
        <w:t xml:space="preserve">مسألة </w:t>
      </w:r>
      <w:r>
        <w:rPr/>
        <w:t>10</w:t>
      </w:r>
      <w:r>
        <w:rPr>
          <w:rtl w:val="true"/>
        </w:rPr>
        <w:t xml:space="preserve">): </w:t>
      </w:r>
      <w:r>
        <w:rPr>
          <w:rtl w:val="true"/>
        </w:rPr>
        <w:t>من کان عنده أربع زوجات دائمیّة تحرم علیه الخامسة ما دامت الأربع فی حباله</w:t>
      </w:r>
      <w:r>
        <w:rPr>
          <w:rtl w:val="true"/>
        </w:rPr>
        <w:t>]</w:t>
      </w:r>
      <w:bookmarkEnd w:id="7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w:t>
      </w:r>
      <w:r>
        <w:rPr>
          <w:rStyle w:val="FootnoteAnchor"/>
          <w:rtl w:val="true"/>
        </w:rPr>
        <w:footnoteReference w:id="1902"/>
      </w:r>
      <w:r>
        <w:rPr>
          <w:rFonts w:ascii="IRNazanin" w:hAnsi="IRNazanin" w:eastAsia="IRNazanin"/>
          <w:color w:val="111111"/>
          <w:sz w:val="28"/>
          <w:sz w:val="28"/>
          <w:szCs w:val="28"/>
          <w:rtl w:val="true"/>
          <w:lang w:bidi="fa-IR"/>
        </w:rPr>
        <w:t>عنده أربع زوجات دائمیّة تحرم علیه الخامسة ما دامت الأربع فی حباله؛ سواء کان حرّا أو عبداً، و سواء کنّ حرائر أو إماء أو مختلفات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یحرم علی الحرّ أزید من أمتین و علی العبد أزید من حرّتین، و إن لم تزد من عنده من الزوجات علی الأربع، فلا یجوز للأوّل الجمع بین ثلاث إماء و حرّة و لا للثانی الجمع بین ثلاث حرائر و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للأوّل الجمع بین أربع حرائر؛ فضلًا عن ثلاث حرائر و أمة أو حرّتین و أمتین، و أمّا الثانی فلا یجوز له إلّا الجمع بین أربع إماء أو حرّتین أو حرّة و أمتین، و لا یجوز له الجمع بین ثلاث إماء و حرّة، و کذا بین أمتین و حرّتین فضلًا عن أربع حرائر أو ثلاث</w:t>
      </w:r>
      <w:r>
        <w:rPr>
          <w:rFonts w:eastAsia="IRNazanin" w:cs="IRNazanin"/>
          <w:color w:val="111111"/>
          <w:sz w:val="28"/>
          <w:szCs w:val="28"/>
          <w:rtl w:val="true"/>
          <w:lang w:bidi="fa-IR"/>
        </w:rPr>
        <w:t>.</w:t>
      </w:r>
    </w:p>
    <w:p>
      <w:pPr>
        <w:pStyle w:val="Heading5"/>
        <w:numPr>
          <w:ilvl w:val="4"/>
          <w:numId w:val="1"/>
        </w:numPr>
        <w:rPr/>
      </w:pPr>
      <w:bookmarkStart w:id="7377" w:name="__RefHeading___Toc2571642_3650668749"/>
      <w:bookmarkStart w:id="7378" w:name="_Toc3330"/>
      <w:bookmarkEnd w:id="7377"/>
      <w:r>
        <w:rPr>
          <w:rtl w:val="true"/>
        </w:rPr>
        <w:t>[ (</w:t>
      </w:r>
      <w:r>
        <w:rPr>
          <w:rtl w:val="true"/>
        </w:rPr>
        <w:t xml:space="preserve">مسألة </w:t>
      </w:r>
      <w:r>
        <w:rPr/>
        <w:t>11</w:t>
      </w:r>
      <w:r>
        <w:rPr>
          <w:rtl w:val="true"/>
        </w:rPr>
        <w:t xml:space="preserve">): </w:t>
      </w:r>
      <w:r>
        <w:rPr>
          <w:rtl w:val="true"/>
        </w:rPr>
        <w:t>ما ذکر إنّما هو فی العقد الدائم، و أمّا فی المنقطع</w:t>
      </w:r>
      <w:r>
        <w:rPr>
          <w:rtl w:val="true"/>
        </w:rPr>
        <w:t>]</w:t>
      </w:r>
      <w:bookmarkEnd w:id="7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إنّما هو فی العقد الدائم، و أمّا فی المنقطع </w:t>
      </w:r>
      <w:r>
        <w:rPr>
          <w:rStyle w:val="FootnoteAnchor"/>
          <w:rtl w:val="true"/>
        </w:rPr>
        <w:footnoteReference w:id="1903"/>
      </w:r>
      <w:r>
        <w:rPr>
          <w:rFonts w:ascii="IRNazanin" w:hAnsi="IRNazanin" w:eastAsia="IRNazanin"/>
          <w:color w:val="111111"/>
          <w:sz w:val="28"/>
          <w:sz w:val="28"/>
          <w:szCs w:val="28"/>
          <w:rtl w:val="true"/>
          <w:lang w:bidi="fa-IR"/>
        </w:rPr>
        <w:t>فیجوز الجمع بما شاء و إن کانت عند الحرّ أربع دائمیّات حرائر و عند العبد أربع إماء دائمیّات، فیجوز لکلّ منهما أن یزید علیهنّ انقطاعاً بما شاء و لو إلیٰ ألف</w:t>
      </w:r>
      <w:r>
        <w:rPr>
          <w:rFonts w:eastAsia="IRNazanin" w:cs="IRNazanin"/>
          <w:color w:val="111111"/>
          <w:sz w:val="28"/>
          <w:szCs w:val="28"/>
          <w:rtl w:val="true"/>
          <w:lang w:bidi="fa-IR"/>
        </w:rPr>
        <w:t>.</w:t>
      </w:r>
    </w:p>
    <w:p>
      <w:pPr>
        <w:pStyle w:val="Heading5"/>
        <w:numPr>
          <w:ilvl w:val="4"/>
          <w:numId w:val="1"/>
        </w:numPr>
        <w:rPr/>
      </w:pPr>
      <w:bookmarkStart w:id="7379" w:name="__RefHeading___Toc2571644_3650668749"/>
      <w:bookmarkStart w:id="7380" w:name="_Toc3331"/>
      <w:bookmarkEnd w:id="7379"/>
      <w:r>
        <w:rPr>
          <w:rtl w:val="true"/>
        </w:rPr>
        <w:t>[ (</w:t>
      </w:r>
      <w:r>
        <w:rPr>
          <w:rtl w:val="true"/>
        </w:rPr>
        <w:t xml:space="preserve">مسألة </w:t>
      </w:r>
      <w:r>
        <w:rPr/>
        <w:t>12</w:t>
      </w:r>
      <w:r>
        <w:rPr>
          <w:rtl w:val="true"/>
        </w:rPr>
        <w:t xml:space="preserve">): </w:t>
      </w:r>
      <w:r>
        <w:rPr>
          <w:rtl w:val="true"/>
        </w:rPr>
        <w:t>إذا کانت عنده أربع فماتت إحداهنّ، یجوز له تزویج أُخری فی الحال</w:t>
      </w:r>
      <w:r>
        <w:rPr>
          <w:rtl w:val="true"/>
        </w:rPr>
        <w:t>]</w:t>
      </w:r>
      <w:bookmarkEnd w:id="7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عنده أربع فماتت إحداهنّ، یجوز له تزویج أُخری فی الحال، و کذا لو فارق إحداهنّ بالفسخ أو الانفساخ أو بالطلاق البائن، و أولی بذلک ما إذا لم تکن لها عدّة کالغیر المدخول بها و الیائسة، و أمّا إذا طلّقها بالطلاق الرجعی، فلا یجوز له تزویج أُخری إلّا بعد انقضاء عدّة الأُولیٰ</w:t>
      </w:r>
      <w:r>
        <w:rPr>
          <w:rFonts w:eastAsia="IRNazanin" w:cs="IRNazanin"/>
          <w:color w:val="111111"/>
          <w:sz w:val="28"/>
          <w:szCs w:val="28"/>
          <w:rtl w:val="true"/>
          <w:lang w:bidi="fa-IR"/>
        </w:rPr>
        <w:t>.</w:t>
      </w:r>
    </w:p>
    <w:p>
      <w:pPr>
        <w:pStyle w:val="Heading5"/>
        <w:numPr>
          <w:ilvl w:val="4"/>
          <w:numId w:val="1"/>
        </w:numPr>
        <w:rPr/>
      </w:pPr>
      <w:bookmarkStart w:id="7381" w:name="__RefHeading___Toc2571646_3650668749"/>
      <w:bookmarkStart w:id="7382" w:name="_Toc3332"/>
      <w:bookmarkEnd w:id="7381"/>
      <w:r>
        <w:rPr>
          <w:rtl w:val="true"/>
        </w:rPr>
        <w:t>[ (</w:t>
      </w:r>
      <w:r>
        <w:rPr>
          <w:rtl w:val="true"/>
        </w:rPr>
        <w:t xml:space="preserve">مسألة </w:t>
      </w:r>
      <w:r>
        <w:rPr/>
        <w:t>13</w:t>
      </w:r>
      <w:r>
        <w:rPr>
          <w:rtl w:val="true"/>
        </w:rPr>
        <w:t xml:space="preserve">): </w:t>
      </w:r>
      <w:r>
        <w:rPr>
          <w:rtl w:val="true"/>
        </w:rPr>
        <w:t>إذا طلّق الرجل حرّا کان أو عبداً زوجته الحرّة ثلاث طلقات</w:t>
      </w:r>
      <w:r>
        <w:rPr>
          <w:rtl w:val="true"/>
        </w:rPr>
        <w:t>]</w:t>
      </w:r>
      <w:bookmarkEnd w:id="7382"/>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حرّا کان أو عبداً زوجته الحرّة ثلاث طلقات، لم یتخلّل بینها نکاح رجل آخر، حرمت علیه، و لا یجوز له نکاحها حتّی تنکح زوجاً غیره بالشروط الآتیة فی کتاب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طلّق زوجته الغیر الحرّة طلقتین لم یتخلّل بینهما نکاح رجل آخر، و إذا طلّقها تسعاً للعدّة بتخلّل محلّلین فی البین بأن نکحت غیر المطلّق بعد الثلاثة الأُولیٰ و الثانیة حرمت علیه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کیفیّة وقوع تسع طلقات للعدّة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یطلّقها بالشرائط ثمّ</w:t>
      </w:r>
      <w:bookmarkStart w:id="7383" w:name="pg1809_19922"/>
    </w:p>
    <w:p>
      <w:pPr>
        <w:pStyle w:val="BookText"/>
        <w:rPr/>
      </w:pPr>
      <w:bookmarkEnd w:id="7383"/>
      <w:r>
        <w:rPr>
          <w:rFonts w:ascii="IRNazanin" w:hAnsi="IRNazanin" w:eastAsia="IRNazanin"/>
          <w:color w:val="111111"/>
          <w:sz w:val="28"/>
          <w:sz w:val="28"/>
          <w:szCs w:val="28"/>
          <w:rtl w:val="true"/>
          <w:lang w:bidi="fa-IR"/>
        </w:rPr>
        <w:t xml:space="preserve">یراجعها فی العدّة و یطأها ثمّ یطلّقها فی طهر آخر ثمّ یراجع ثمّ یطأ ثمّ یطلّقها الثالثة، ثمّ ینکحها بعد عدّتها زوج آخر، ثمّ یفارقها بعد أن یطأها ثمّ یتزوّجها الأوّل بعد عدّتها، ثمّ یوقع علیها ثلاث طلقات مثل ما أوقع أوّلًا، ثمّ ینکحها زوج آخر و یطأها، ثمّ یفارقها و یتزوّجها الأوّل و یوقع علیها ثلاث طلقات أُخری </w:t>
      </w:r>
      <w:r>
        <w:rPr>
          <w:rStyle w:val="FootnoteAnchor"/>
          <w:rtl w:val="true"/>
        </w:rPr>
        <w:footnoteReference w:id="1904"/>
      </w:r>
      <w:r>
        <w:rPr>
          <w:rFonts w:ascii="IRNazanin" w:hAnsi="IRNazanin" w:eastAsia="IRNazanin"/>
          <w:color w:val="111111"/>
          <w:sz w:val="28"/>
          <w:sz w:val="28"/>
          <w:szCs w:val="28"/>
          <w:rtl w:val="true"/>
          <w:lang w:bidi="fa-IR"/>
        </w:rPr>
        <w:t>إلیٰ أن یکمل لها تسعاً تخلّل بینها نکاح رجلین، فتحرم علیه فی التاسعة أبداً، و سیجی‌ء تفاصیل هذه المسائل فی کتاب الطلاق إن شاء اللّٰه تعالیٰ</w:t>
      </w:r>
      <w:r>
        <w:rPr>
          <w:rFonts w:eastAsia="IRNazanin" w:cs="IRNazanin"/>
          <w:color w:val="111111"/>
          <w:sz w:val="28"/>
          <w:szCs w:val="28"/>
          <w:rtl w:val="true"/>
          <w:lang w:bidi="fa-IR"/>
        </w:rPr>
        <w:t>.</w:t>
      </w:r>
    </w:p>
    <w:p>
      <w:pPr>
        <w:pStyle w:val="Heading4"/>
        <w:numPr>
          <w:ilvl w:val="3"/>
          <w:numId w:val="1"/>
        </w:numPr>
        <w:rPr/>
      </w:pPr>
      <w:bookmarkStart w:id="7384" w:name="__RefHeading___Toc2571648_3650668749"/>
      <w:bookmarkStart w:id="7385" w:name="_Toc3333"/>
      <w:bookmarkEnd w:id="7384"/>
      <w:r>
        <w:rPr>
          <w:rtl w:val="true"/>
        </w:rPr>
        <w:t>[</w:t>
      </w:r>
      <w:r>
        <w:rPr>
          <w:rtl w:val="true"/>
        </w:rPr>
        <w:t>القول فی الکفر</w:t>
      </w:r>
      <w:r>
        <w:rPr>
          <w:rtl w:val="true"/>
        </w:rPr>
        <w:t>]</w:t>
      </w:r>
      <w:bookmarkEnd w:id="7385"/>
    </w:p>
    <w:p>
      <w:pPr>
        <w:pStyle w:val="Heading5"/>
        <w:numPr>
          <w:ilvl w:val="4"/>
          <w:numId w:val="1"/>
        </w:numPr>
        <w:rPr/>
      </w:pPr>
      <w:bookmarkStart w:id="7386" w:name="__RefHeading___Toc2571650_3650668749"/>
      <w:bookmarkStart w:id="7387" w:name="_Toc3334"/>
      <w:bookmarkEnd w:id="7386"/>
      <w:r>
        <w:rPr>
          <w:rtl w:val="true"/>
        </w:rPr>
        <w:t>اشارة</w:t>
      </w:r>
      <w:bookmarkEnd w:id="7387"/>
    </w:p>
    <w:p>
      <w:pPr>
        <w:pStyle w:val="BookText"/>
        <w:rPr/>
      </w:pPr>
      <w:r>
        <w:rPr>
          <w:rFonts w:ascii="IRNazanin" w:hAnsi="IRNazanin" w:eastAsia="IRNazanin"/>
          <w:color w:val="111111"/>
          <w:sz w:val="28"/>
          <w:sz w:val="28"/>
          <w:szCs w:val="28"/>
          <w:rtl w:val="true"/>
          <w:lang w:bidi="fa-IR"/>
        </w:rPr>
        <w:t>القول فی الکفر لا یجوز للمسلمة أن تنکح الکافر دواماً و انقطاعاً؛ سواء کان أصلیّاً حربیّا کان أو کتابیاً أو کان مرتدّاً؛ عن فطرة کان أو عن 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یجوز للمسلم تزویج غیر الکتابیّة من أصناف الکفّار و لا المرتدّة؛ عن فطرة کانت أو 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الکتابیّة من الیهودیّة و النصرانیة ففیه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أشهرها المنع فی النکاح الدائم و الجواز فی المنقطع، و قیل بالمنع مطلقاً، و قیل بالجواز کذلک و هو لا یخلو من قوّة </w:t>
      </w:r>
      <w:r>
        <w:rPr>
          <w:rStyle w:val="FootnoteAnchor"/>
          <w:rtl w:val="true"/>
        </w:rPr>
        <w:footnoteReference w:id="1905"/>
      </w:r>
      <w:r>
        <w:rPr>
          <w:rFonts w:ascii="IRNazanin" w:hAnsi="IRNazanin" w:eastAsia="IRNazanin"/>
          <w:color w:val="111111"/>
          <w:sz w:val="28"/>
          <w:sz w:val="28"/>
          <w:szCs w:val="28"/>
          <w:rtl w:val="true"/>
          <w:lang w:bidi="fa-IR"/>
        </w:rPr>
        <w:t>علیٰ کراهیة خصوصاً فی الدائم، بل الاحتیاط فیه لا یترک إن استطاع نکاح المسلمة</w:t>
      </w:r>
      <w:r>
        <w:rPr>
          <w:rFonts w:eastAsia="IRNazanin" w:cs="IRNazanin"/>
          <w:color w:val="111111"/>
          <w:sz w:val="28"/>
          <w:szCs w:val="28"/>
          <w:rtl w:val="true"/>
          <w:lang w:bidi="fa-IR"/>
        </w:rPr>
        <w:t>.</w:t>
      </w:r>
    </w:p>
    <w:p>
      <w:pPr>
        <w:pStyle w:val="Heading5"/>
        <w:numPr>
          <w:ilvl w:val="4"/>
          <w:numId w:val="1"/>
        </w:numPr>
        <w:rPr/>
      </w:pPr>
      <w:bookmarkStart w:id="7388" w:name="__RefHeading___Toc2571652_3650668749"/>
      <w:bookmarkStart w:id="7389" w:name="_Toc3335"/>
      <w:bookmarkEnd w:id="7388"/>
      <w:r>
        <w:rPr>
          <w:rtl w:val="true"/>
        </w:rPr>
        <w:t>[ (</w:t>
      </w:r>
      <w:r>
        <w:rPr>
          <w:rtl w:val="true"/>
        </w:rPr>
        <w:t xml:space="preserve">مسألة </w:t>
      </w:r>
      <w:r>
        <w:rPr/>
        <w:t>1</w:t>
      </w:r>
      <w:r>
        <w:rPr>
          <w:rtl w:val="true"/>
        </w:rPr>
        <w:t xml:space="preserve">): </w:t>
      </w:r>
      <w:r>
        <w:rPr>
          <w:rtl w:val="true"/>
        </w:rPr>
        <w:t>الأقویٰ أنّ المجوسیّة بحکم الیهودیّة و النصرانیّة</w:t>
      </w:r>
      <w:r>
        <w:rPr>
          <w:rtl w:val="true"/>
        </w:rPr>
        <w:t>]</w:t>
      </w:r>
      <w:bookmarkEnd w:id="7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w:t>
      </w:r>
      <w:r>
        <w:rPr>
          <w:rStyle w:val="FootnoteAnchor"/>
          <w:rtl w:val="true"/>
        </w:rPr>
        <w:footnoteReference w:id="1906"/>
      </w:r>
      <w:r>
        <w:rPr>
          <w:rFonts w:ascii="IRNazanin" w:hAnsi="IRNazanin" w:eastAsia="IRNazanin"/>
          <w:color w:val="111111"/>
          <w:sz w:val="28"/>
          <w:sz w:val="28"/>
          <w:szCs w:val="28"/>
          <w:rtl w:val="true"/>
          <w:lang w:bidi="fa-IR"/>
        </w:rPr>
        <w:t>أنّ المجوسیّة بحکم الیهودیّة و النصرانیّة، و أمّا الصابئة ففیها إشکال؛ حیث إنّه لم یتحقّق عندنا إلی الآن حقیقة دینهم، فإن تحقّق أنّهم طائفة من النصاری کما قیل کانوا بحکمهم</w:t>
      </w:r>
      <w:r>
        <w:rPr>
          <w:rFonts w:eastAsia="IRNazanin" w:cs="IRNazanin"/>
          <w:color w:val="111111"/>
          <w:sz w:val="28"/>
          <w:szCs w:val="28"/>
          <w:rtl w:val="true"/>
          <w:lang w:bidi="fa-IR"/>
        </w:rPr>
        <w:t>.</w:t>
      </w:r>
    </w:p>
    <w:p>
      <w:pPr>
        <w:pStyle w:val="Heading5"/>
        <w:numPr>
          <w:ilvl w:val="4"/>
          <w:numId w:val="1"/>
        </w:numPr>
        <w:rPr/>
      </w:pPr>
      <w:bookmarkStart w:id="7390" w:name="__RefHeading___Toc2571654_3650668749"/>
      <w:bookmarkStart w:id="7391" w:name="_Toc3336"/>
      <w:bookmarkEnd w:id="7390"/>
      <w:r>
        <w:rPr>
          <w:rtl w:val="true"/>
        </w:rPr>
        <w:t>[ (</w:t>
      </w:r>
      <w:r>
        <w:rPr>
          <w:rtl w:val="true"/>
        </w:rPr>
        <w:t xml:space="preserve">مسألة </w:t>
      </w:r>
      <w:r>
        <w:rPr/>
        <w:t>2</w:t>
      </w:r>
      <w:r>
        <w:rPr>
          <w:rtl w:val="true"/>
        </w:rPr>
        <w:t xml:space="preserve">): </w:t>
      </w:r>
      <w:r>
        <w:rPr>
          <w:rtl w:val="true"/>
        </w:rPr>
        <w:t>العقد الواقع بین الکفّار لو وقع صحیحاً عندهم و علیٰ طبق مذهبهم یترتّب علیه آثار الصحیح عندنا</w:t>
      </w:r>
      <w:r>
        <w:rPr>
          <w:rtl w:val="true"/>
        </w:rPr>
        <w:t>]</w:t>
      </w:r>
      <w:bookmarkEnd w:id="7391"/>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الواقع بین الکفّار لو وقع صحیحاً عندهم و علیٰ طبق مذهبهم یترتّب علیه آثار الصحیح عندنا؛ سواء کان الزوجان کتابیّین أو وثنیّین أو مختلفین؛ حتّی أنّه لو أسلما معاً دفعة اقرّا علیٰ نکاحهما الأوّل و لم یحتج إلیٰ عقد جدید علیٰ طبق مذهبنا، بل و کذا لو أسلم أحدهما أیضاً فی بعض الصور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نکاحهم مشتملًا علیٰ ما</w:t>
      </w:r>
      <w:bookmarkStart w:id="7392" w:name="pg1809_19924"/>
    </w:p>
    <w:p>
      <w:pPr>
        <w:pStyle w:val="BookText"/>
        <w:rPr/>
      </w:pPr>
      <w:bookmarkEnd w:id="7392"/>
      <w:r>
        <w:rPr>
          <w:rFonts w:ascii="IRNazanin" w:hAnsi="IRNazanin" w:eastAsia="IRNazanin"/>
          <w:color w:val="111111"/>
          <w:sz w:val="28"/>
          <w:sz w:val="28"/>
          <w:szCs w:val="28"/>
          <w:rtl w:val="true"/>
          <w:lang w:bidi="fa-IR"/>
        </w:rPr>
        <w:t>یقتضی الفساد ابتداءً و استدامة، کنکاح إحدی المحرّمات عیناً أو جمعاً، جریٰ علیه بعد الإسلام حکم الإسلام</w:t>
      </w:r>
      <w:r>
        <w:rPr>
          <w:rFonts w:eastAsia="IRNazanin" w:cs="IRNazanin"/>
          <w:color w:val="111111"/>
          <w:sz w:val="28"/>
          <w:szCs w:val="28"/>
          <w:rtl w:val="true"/>
          <w:lang w:bidi="fa-IR"/>
        </w:rPr>
        <w:t>.</w:t>
      </w:r>
    </w:p>
    <w:p>
      <w:pPr>
        <w:pStyle w:val="Heading5"/>
        <w:numPr>
          <w:ilvl w:val="4"/>
          <w:numId w:val="1"/>
        </w:numPr>
        <w:rPr/>
      </w:pPr>
      <w:bookmarkStart w:id="7393" w:name="__RefHeading___Toc2571656_3650668749"/>
      <w:bookmarkStart w:id="7394" w:name="_Toc3337"/>
      <w:bookmarkEnd w:id="7393"/>
      <w:r>
        <w:rPr>
          <w:rtl w:val="true"/>
        </w:rPr>
        <w:t>[ (</w:t>
      </w:r>
      <w:r>
        <w:rPr>
          <w:rtl w:val="true"/>
        </w:rPr>
        <w:t xml:space="preserve">مسألة </w:t>
      </w:r>
      <w:r>
        <w:rPr/>
        <w:t>3</w:t>
      </w:r>
      <w:r>
        <w:rPr>
          <w:rtl w:val="true"/>
        </w:rPr>
        <w:t xml:space="preserve">): </w:t>
      </w:r>
      <w:r>
        <w:rPr>
          <w:rtl w:val="true"/>
        </w:rPr>
        <w:t>إذا أسلم زوج الکتابیّة بقیا علیٰ نکاحهما الأوّل</w:t>
      </w:r>
      <w:r>
        <w:rPr>
          <w:rtl w:val="true"/>
        </w:rPr>
        <w:t>]</w:t>
      </w:r>
      <w:bookmarkEnd w:id="7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زوج الکتابیّة بقیا علیٰ نکاحهما الأوّل؛ سواء کان کتابیّاً أو وثنیّاً، و سواء کان إسلامه قبل الدخول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أسلم زوج الوثنیّة وثنیّاً کان أو کتابیّاً فإن کان قبل الدخول انفسخ النکاح فی الحال، و إن کان بعده ینتظر </w:t>
      </w:r>
      <w:r>
        <w:rPr>
          <w:rStyle w:val="FootnoteAnchor"/>
          <w:rtl w:val="true"/>
        </w:rPr>
        <w:footnoteReference w:id="1907"/>
      </w:r>
      <w:r>
        <w:rPr>
          <w:rFonts w:ascii="IRNazanin" w:hAnsi="IRNazanin" w:eastAsia="IRNazanin"/>
          <w:color w:val="111111"/>
          <w:sz w:val="28"/>
          <w:sz w:val="28"/>
          <w:szCs w:val="28"/>
          <w:rtl w:val="true"/>
          <w:lang w:bidi="fa-IR"/>
        </w:rPr>
        <w:t>انقضاء العدّة، فإن أسلمت الزوجة قبل انقضائها بقیا علیٰ نکاحهما و إلّا انفسخ النکاح؛ بمعنی أنّه یتبیّن انفساخه من حین إسلام الزوج</w:t>
      </w:r>
      <w:r>
        <w:rPr>
          <w:rFonts w:eastAsia="IRNazanin" w:cs="IRNazanin"/>
          <w:color w:val="111111"/>
          <w:sz w:val="28"/>
          <w:szCs w:val="28"/>
          <w:rtl w:val="true"/>
          <w:lang w:bidi="fa-IR"/>
        </w:rPr>
        <w:t>.</w:t>
      </w:r>
    </w:p>
    <w:p>
      <w:pPr>
        <w:pStyle w:val="Heading5"/>
        <w:numPr>
          <w:ilvl w:val="4"/>
          <w:numId w:val="1"/>
        </w:numPr>
        <w:rPr/>
      </w:pPr>
      <w:bookmarkStart w:id="7395" w:name="__RefHeading___Toc2571658_3650668749"/>
      <w:bookmarkStart w:id="7396" w:name="_Toc3338"/>
      <w:bookmarkEnd w:id="7395"/>
      <w:r>
        <w:rPr>
          <w:rtl w:val="true"/>
        </w:rPr>
        <w:t>[ (</w:t>
      </w:r>
      <w:r>
        <w:rPr>
          <w:rtl w:val="true"/>
        </w:rPr>
        <w:t xml:space="preserve">مسألة </w:t>
      </w:r>
      <w:r>
        <w:rPr/>
        <w:t>4</w:t>
      </w:r>
      <w:r>
        <w:rPr>
          <w:rtl w:val="true"/>
        </w:rPr>
        <w:t xml:space="preserve">): </w:t>
      </w:r>
      <w:r>
        <w:rPr>
          <w:rtl w:val="true"/>
        </w:rPr>
        <w:t>إذا أسلمت زوجة الوثنی أو الکتابی؛ وثنیّة کانت أو کتابیّة، فإن کان قبل الدخول انفسخ النکاح</w:t>
      </w:r>
      <w:r>
        <w:rPr>
          <w:rtl w:val="true"/>
        </w:rPr>
        <w:t>]</w:t>
      </w:r>
      <w:bookmarkEnd w:id="7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أسلمت زوجة الوثنی أو الکتابی؛ وثنیّة کانت أو کتابیّة، فإن کان قبل الدخول انفسخ النکاح فی الحال، و إن کان بعده وقف </w:t>
      </w:r>
      <w:r>
        <w:rPr>
          <w:rStyle w:val="FootnoteAnchor"/>
          <w:rtl w:val="true"/>
        </w:rPr>
        <w:footnoteReference w:id="1908"/>
      </w:r>
      <w:r>
        <w:rPr>
          <w:rFonts w:ascii="IRNazanin" w:hAnsi="IRNazanin" w:eastAsia="IRNazanin"/>
          <w:color w:val="111111"/>
          <w:sz w:val="28"/>
          <w:sz w:val="28"/>
          <w:szCs w:val="28"/>
          <w:rtl w:val="true"/>
          <w:lang w:bidi="fa-IR"/>
        </w:rPr>
        <w:t>علی انقضاء العدّة، فإن أسلم قبل انقضائها فهی امرأته و إلّا بان أنّها بانت منه حین إسلامها</w:t>
      </w:r>
      <w:r>
        <w:rPr>
          <w:rFonts w:eastAsia="IRNazanin" w:cs="IRNazanin"/>
          <w:color w:val="111111"/>
          <w:sz w:val="28"/>
          <w:szCs w:val="28"/>
          <w:rtl w:val="true"/>
          <w:lang w:bidi="fa-IR"/>
        </w:rPr>
        <w:t>.</w:t>
      </w:r>
    </w:p>
    <w:p>
      <w:pPr>
        <w:pStyle w:val="Heading5"/>
        <w:numPr>
          <w:ilvl w:val="4"/>
          <w:numId w:val="1"/>
        </w:numPr>
        <w:rPr/>
      </w:pPr>
      <w:bookmarkStart w:id="7397" w:name="__RefHeading___Toc2571660_3650668749"/>
      <w:bookmarkStart w:id="7398" w:name="_Toc3339"/>
      <w:bookmarkEnd w:id="7397"/>
      <w:r>
        <w:rPr>
          <w:rtl w:val="true"/>
        </w:rPr>
        <w:t>[ (</w:t>
      </w:r>
      <w:r>
        <w:rPr>
          <w:rtl w:val="true"/>
        </w:rPr>
        <w:t xml:space="preserve">مسألة </w:t>
      </w:r>
      <w:r>
        <w:rPr/>
        <w:t>5</w:t>
      </w:r>
      <w:r>
        <w:rPr>
          <w:rtl w:val="true"/>
        </w:rPr>
        <w:t xml:space="preserve">): </w:t>
      </w:r>
      <w:r>
        <w:rPr>
          <w:rtl w:val="true"/>
        </w:rPr>
        <w:t>لو ارتدّ أحد الزوجین أو ارتدّا معاً دفعة قبل الدخول وقع الانفساخ فی الحال</w:t>
      </w:r>
      <w:r>
        <w:rPr>
          <w:rtl w:val="true"/>
        </w:rPr>
        <w:t>]</w:t>
      </w:r>
      <w:bookmarkEnd w:id="7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ارتدّ أحد الزوجین أو ارتدّا معاً دفعة قبل الدخول وقع الانفساخ فی الحال؛ سواء کان الارتداد عن فطرة أو ملّة، و کذا بعد الدخول إذا کان الارتداد من الزوج و کان عن فطرة، و أمّا إن کان ارتداده عن ملّة أو کان الارتداد من الزوجة مطلقاً وقف الفسخ علی انقضاء العدّة، فإن رجع أو رجعت قبل انقضائها کانت زوجته و إلّا انکشف أنّها بانت منه عند الارتداد</w:t>
      </w:r>
      <w:r>
        <w:rPr>
          <w:rFonts w:eastAsia="IRNazanin" w:cs="IRNazanin"/>
          <w:color w:val="111111"/>
          <w:sz w:val="28"/>
          <w:szCs w:val="28"/>
          <w:rtl w:val="true"/>
          <w:lang w:bidi="fa-IR"/>
        </w:rPr>
        <w:t>.</w:t>
      </w:r>
    </w:p>
    <w:p>
      <w:pPr>
        <w:pStyle w:val="Heading5"/>
        <w:numPr>
          <w:ilvl w:val="4"/>
          <w:numId w:val="1"/>
        </w:numPr>
        <w:rPr/>
      </w:pPr>
      <w:bookmarkStart w:id="7399" w:name="__RefHeading___Toc2571662_3650668749"/>
      <w:bookmarkStart w:id="7400" w:name="_Toc3340"/>
      <w:bookmarkEnd w:id="7399"/>
      <w:r>
        <w:rPr>
          <w:rtl w:val="true"/>
        </w:rPr>
        <w:t>[ (</w:t>
      </w:r>
      <w:r>
        <w:rPr>
          <w:rtl w:val="true"/>
        </w:rPr>
        <w:t xml:space="preserve">مسألة </w:t>
      </w:r>
      <w:r>
        <w:rPr/>
        <w:t>6</w:t>
      </w:r>
      <w:r>
        <w:rPr>
          <w:rtl w:val="true"/>
        </w:rPr>
        <w:t xml:space="preserve">): </w:t>
      </w:r>
      <w:r>
        <w:rPr>
          <w:rtl w:val="true"/>
        </w:rPr>
        <w:t>العدّة فی ارتداد الزوج عن فطرة کالوفاة</w:t>
      </w:r>
      <w:r>
        <w:rPr>
          <w:rtl w:val="true"/>
        </w:rPr>
        <w:t>]</w:t>
      </w:r>
      <w:bookmarkEnd w:id="7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فی ارتداد الزوج عن فطرة کالوفاة، و فی غیره کالطلاق</w:t>
      </w:r>
      <w:r>
        <w:rPr>
          <w:rFonts w:eastAsia="IRNazanin" w:cs="IRNazanin"/>
          <w:color w:val="111111"/>
          <w:sz w:val="28"/>
          <w:szCs w:val="28"/>
          <w:rtl w:val="true"/>
          <w:lang w:bidi="fa-IR"/>
        </w:rPr>
        <w:t>.</w:t>
      </w:r>
    </w:p>
    <w:p>
      <w:pPr>
        <w:pStyle w:val="Heading5"/>
        <w:numPr>
          <w:ilvl w:val="4"/>
          <w:numId w:val="1"/>
        </w:numPr>
        <w:rPr/>
      </w:pPr>
      <w:bookmarkStart w:id="7401" w:name="__RefHeading___Toc2571664_3650668749"/>
      <w:bookmarkStart w:id="7402" w:name="_Toc3341"/>
      <w:bookmarkEnd w:id="7401"/>
      <w:r>
        <w:rPr>
          <w:rtl w:val="true"/>
        </w:rPr>
        <w:t>[ (</w:t>
      </w:r>
      <w:r>
        <w:rPr>
          <w:rtl w:val="true"/>
        </w:rPr>
        <w:t xml:space="preserve">مسألة </w:t>
      </w:r>
      <w:r>
        <w:rPr/>
        <w:t>7</w:t>
      </w:r>
      <w:r>
        <w:rPr>
          <w:rtl w:val="true"/>
        </w:rPr>
        <w:t xml:space="preserve">): </w:t>
      </w:r>
      <w:r>
        <w:rPr>
          <w:rtl w:val="true"/>
        </w:rPr>
        <w:t xml:space="preserve">لا یجوز للمؤمنة أن تنکح الناصب المعلن بعداوة أهل البیت </w:t>
      </w:r>
      <w:r>
        <w:rPr>
          <w:rtl w:val="true"/>
        </w:rPr>
        <w:t>(</w:t>
      </w:r>
      <w:r>
        <w:rPr>
          <w:rtl w:val="true"/>
        </w:rPr>
        <w:t>علیهم السّلام</w:t>
      </w:r>
      <w:r>
        <w:rPr>
          <w:rtl w:val="true"/>
        </w:rPr>
        <w:t>)]</w:t>
      </w:r>
      <w:bookmarkEnd w:id="7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للمؤمنة أن تنکح الناصب المعلن بعداوة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الغالی المعتقد بالوهیّتهم أو نبوّتهم، و کذا لا یجوز للمؤمن أن ینکح الناصبة و الغالیة؛ لأنّهما بحکم الکفّار و إن انتحلا دین الإسلام</w:t>
      </w:r>
      <w:r>
        <w:rPr>
          <w:rFonts w:eastAsia="IRNazanin" w:cs="IRNazanin"/>
          <w:color w:val="111111"/>
          <w:sz w:val="28"/>
          <w:szCs w:val="28"/>
          <w:rtl w:val="true"/>
          <w:lang w:bidi="fa-IR"/>
        </w:rPr>
        <w:t>.</w:t>
      </w:r>
    </w:p>
    <w:p>
      <w:pPr>
        <w:pStyle w:val="Heading5"/>
        <w:numPr>
          <w:ilvl w:val="4"/>
          <w:numId w:val="1"/>
        </w:numPr>
        <w:rPr/>
      </w:pPr>
      <w:bookmarkStart w:id="7403" w:name="__RefHeading___Toc2571666_3650668749"/>
      <w:bookmarkStart w:id="7404" w:name="_Toc3342"/>
      <w:bookmarkEnd w:id="7403"/>
      <w:r>
        <w:rPr>
          <w:rtl w:val="true"/>
        </w:rPr>
        <w:t>[ (</w:t>
      </w:r>
      <w:r>
        <w:rPr>
          <w:rtl w:val="true"/>
        </w:rPr>
        <w:t xml:space="preserve">مسألة </w:t>
      </w:r>
      <w:r>
        <w:rPr/>
        <w:t>8</w:t>
      </w:r>
      <w:r>
        <w:rPr>
          <w:rtl w:val="true"/>
        </w:rPr>
        <w:t xml:space="preserve">): </w:t>
      </w:r>
      <w:r>
        <w:rPr>
          <w:rtl w:val="true"/>
        </w:rPr>
        <w:t>لا إشکال فی جواز نکاح المؤمن المخالفة الغیر الناصبة</w:t>
      </w:r>
      <w:r>
        <w:rPr>
          <w:rtl w:val="true"/>
        </w:rPr>
        <w:t>]</w:t>
      </w:r>
      <w:bookmarkEnd w:id="7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نکاح المؤمن المخالفة الغیر الناصبة، و أمّا نکاح المؤمنة المخالف الغیر الناصب ففیه خلاف، و الجواز مع الکراهة 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إنّه نسب إلی المشهور عدم الجواز، فلا ینبغی ترک الاحتیاط مهما أمکن</w:t>
      </w:r>
      <w:r>
        <w:rPr>
          <w:rFonts w:eastAsia="IRNazanin" w:cs="IRNazanin"/>
          <w:color w:val="111111"/>
          <w:sz w:val="28"/>
          <w:szCs w:val="28"/>
          <w:rtl w:val="true"/>
          <w:lang w:bidi="fa-IR"/>
        </w:rPr>
        <w:t>.</w:t>
      </w:r>
    </w:p>
    <w:p>
      <w:pPr>
        <w:pStyle w:val="Heading5"/>
        <w:numPr>
          <w:ilvl w:val="4"/>
          <w:numId w:val="1"/>
        </w:numPr>
        <w:rPr/>
      </w:pPr>
      <w:bookmarkStart w:id="7405" w:name="__RefHeading___Toc2571668_3650668749"/>
      <w:bookmarkStart w:id="7406" w:name="_Toc3343"/>
      <w:bookmarkEnd w:id="7405"/>
      <w:r>
        <w:rPr>
          <w:rtl w:val="true"/>
        </w:rPr>
        <w:t>[ (</w:t>
      </w:r>
      <w:r>
        <w:rPr>
          <w:rtl w:val="true"/>
        </w:rPr>
        <w:t xml:space="preserve">مسألة </w:t>
      </w:r>
      <w:r>
        <w:rPr/>
        <w:t>9</w:t>
      </w:r>
      <w:r>
        <w:rPr>
          <w:rtl w:val="true"/>
        </w:rPr>
        <w:t xml:space="preserve">): </w:t>
      </w:r>
      <w:r>
        <w:rPr>
          <w:rtl w:val="true"/>
        </w:rPr>
        <w:t>لا یشترط فی صحّة النکاح تمکّن الزوج من النفقة</w:t>
      </w:r>
      <w:r>
        <w:rPr>
          <w:rtl w:val="true"/>
        </w:rPr>
        <w:t>]</w:t>
      </w:r>
      <w:bookmarkEnd w:id="7406"/>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صحّة النکاح تمکّن الزوج من النفقة، نعم لو زوّج الصغیرة</w:t>
      </w:r>
      <w:bookmarkStart w:id="7407" w:name="pg1809_19926"/>
    </w:p>
    <w:p>
      <w:pPr>
        <w:pStyle w:val="BookText"/>
        <w:rPr/>
      </w:pPr>
      <w:bookmarkEnd w:id="7407"/>
      <w:r>
        <w:rPr>
          <w:rFonts w:ascii="IRNazanin" w:hAnsi="IRNazanin" w:eastAsia="IRNazanin"/>
          <w:color w:val="111111"/>
          <w:sz w:val="28"/>
          <w:sz w:val="28"/>
          <w:szCs w:val="28"/>
          <w:rtl w:val="true"/>
          <w:lang w:bidi="fa-IR"/>
        </w:rPr>
        <w:t>ولیّها بغیر القادر علیها لم یلزم العقد علیها، فلها الردّ بعد کمالها؛ لما مرّ من أنّه یعتبر فی نفوذ عقد الولیّ علی المولّی علیه عدم المفسدة، و لا ریب أنّ هذا مفسدة و أیّ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زوحمت بمصلحة غالبة علیها</w:t>
      </w:r>
      <w:r>
        <w:rPr>
          <w:rFonts w:eastAsia="IRNazanin" w:cs="IRNazanin"/>
          <w:color w:val="111111"/>
          <w:sz w:val="28"/>
          <w:szCs w:val="28"/>
          <w:rtl w:val="true"/>
          <w:lang w:bidi="fa-IR"/>
        </w:rPr>
        <w:t>.</w:t>
      </w:r>
    </w:p>
    <w:p>
      <w:pPr>
        <w:pStyle w:val="Heading5"/>
        <w:numPr>
          <w:ilvl w:val="4"/>
          <w:numId w:val="1"/>
        </w:numPr>
        <w:rPr/>
      </w:pPr>
      <w:bookmarkStart w:id="7408" w:name="__RefHeading___Toc2571670_3650668749"/>
      <w:bookmarkStart w:id="7409" w:name="_Toc3344"/>
      <w:bookmarkEnd w:id="7408"/>
      <w:r>
        <w:rPr>
          <w:rtl w:val="true"/>
        </w:rPr>
        <w:t>[ (</w:t>
      </w:r>
      <w:r>
        <w:rPr>
          <w:rtl w:val="true"/>
        </w:rPr>
        <w:t xml:space="preserve">مسألة </w:t>
      </w:r>
      <w:r>
        <w:rPr/>
        <w:t>10</w:t>
      </w:r>
      <w:r>
        <w:rPr>
          <w:rtl w:val="true"/>
        </w:rPr>
        <w:t xml:space="preserve">): </w:t>
      </w:r>
      <w:r>
        <w:rPr>
          <w:rtl w:val="true"/>
        </w:rPr>
        <w:t>بعد ما لم یکن التمکّن من النفقة شرطاً لصحّة العقد و لا لزومه</w:t>
      </w:r>
      <w:r>
        <w:rPr>
          <w:rtl w:val="true"/>
        </w:rPr>
        <w:t>]</w:t>
      </w:r>
      <w:bookmarkEnd w:id="7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لم یکن التمکّن من النفقة شرطاً لصحّة العقد و لا لزومه، فلو کان متمکّناً منها حین العقد ثمّ تجدّد العجز عنها بعد ذلک لم یکن لها التسلّط علی الفسخ؛ لا بنفسها و لا بالحاکم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ممتنعاً عن الإنفاق مع الیسار و رفعت أمرها إلی الحاکم ألزمه بأحد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الإنفاق أو الطلاق، فإذا امتنع عن الأمرین و لم یمکن الإنفاق من ماله و لا إجباره بِالطلاق، فالظاهر أنّ للحاکم أن یطلّقها إن أرادت الطلاق</w:t>
      </w:r>
      <w:r>
        <w:rPr>
          <w:rFonts w:eastAsia="IRNazanin" w:cs="IRNazanin"/>
          <w:color w:val="111111"/>
          <w:sz w:val="28"/>
          <w:szCs w:val="28"/>
          <w:rtl w:val="true"/>
          <w:lang w:bidi="fa-IR"/>
        </w:rPr>
        <w:t>.</w:t>
      </w:r>
    </w:p>
    <w:p>
      <w:pPr>
        <w:pStyle w:val="Heading5"/>
        <w:numPr>
          <w:ilvl w:val="4"/>
          <w:numId w:val="1"/>
        </w:numPr>
        <w:rPr/>
      </w:pPr>
      <w:bookmarkStart w:id="7410" w:name="__RefHeading___Toc2571672_3650668749"/>
      <w:bookmarkStart w:id="7411" w:name="_Toc3345"/>
      <w:bookmarkEnd w:id="7410"/>
      <w:r>
        <w:rPr>
          <w:rtl w:val="true"/>
        </w:rPr>
        <w:t>[ (</w:t>
      </w:r>
      <w:r>
        <w:rPr>
          <w:rtl w:val="true"/>
        </w:rPr>
        <w:t xml:space="preserve">مسألة </w:t>
      </w:r>
      <w:r>
        <w:rPr/>
        <w:t>11</w:t>
      </w:r>
      <w:r>
        <w:rPr>
          <w:rtl w:val="true"/>
        </w:rPr>
        <w:t xml:space="preserve">): </w:t>
      </w:r>
      <w:r>
        <w:rPr>
          <w:rtl w:val="true"/>
        </w:rPr>
        <w:t>لا إشکال فی جواز تزویج الحرّة بالعبد و العربیّة بالعجمی و الهاشمیّة بغیر الهاشمی</w:t>
      </w:r>
      <w:r>
        <w:rPr>
          <w:rtl w:val="true"/>
        </w:rPr>
        <w:t>]</w:t>
      </w:r>
      <w:bookmarkEnd w:id="7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تزویج الحرّة بالعبد و العربیّة بالعجمی و الهاشمیّة بغیر الهاشمی و بالعکس، و کذا ذوات البیوتات الشریفة بأرباب الصنائع الدنیّة کالکنّاس و الحجّام و نحوهما؛ لأنّ المسلم کفو المسلمة و المؤمن کفو المؤمنة و المؤمنون بعضهم أکفاء بعض کما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یکره التزویج بالفاسق خصوصاً شارب الخمر و الزانی کما مرّ</w:t>
      </w:r>
      <w:r>
        <w:rPr>
          <w:rFonts w:eastAsia="IRNazanin" w:cs="IRNazanin"/>
          <w:color w:val="111111"/>
          <w:sz w:val="28"/>
          <w:szCs w:val="28"/>
          <w:rtl w:val="true"/>
          <w:lang w:bidi="fa-IR"/>
        </w:rPr>
        <w:t>.</w:t>
      </w:r>
    </w:p>
    <w:p>
      <w:pPr>
        <w:pStyle w:val="Heading5"/>
        <w:numPr>
          <w:ilvl w:val="4"/>
          <w:numId w:val="1"/>
        </w:numPr>
        <w:rPr/>
      </w:pPr>
      <w:bookmarkStart w:id="7412" w:name="__RefHeading___Toc2571674_3650668749"/>
      <w:bookmarkStart w:id="7413" w:name="_Toc3346"/>
      <w:bookmarkEnd w:id="7412"/>
      <w:r>
        <w:rPr>
          <w:rtl w:val="true"/>
        </w:rPr>
        <w:t>[ (</w:t>
      </w:r>
      <w:r>
        <w:rPr>
          <w:rtl w:val="true"/>
        </w:rPr>
        <w:t xml:space="preserve">مسألة </w:t>
      </w:r>
      <w:r>
        <w:rPr/>
        <w:t>12</w:t>
      </w:r>
      <w:r>
        <w:rPr>
          <w:rtl w:val="true"/>
        </w:rPr>
        <w:t xml:space="preserve">): </w:t>
      </w:r>
      <w:r>
        <w:rPr>
          <w:rtl w:val="true"/>
        </w:rPr>
        <w:t>و ممّا یوجب الحرمة الأبدیّة التزویج حال الإحرام دواماً أو انقطاعاً</w:t>
      </w:r>
      <w:r>
        <w:rPr>
          <w:rtl w:val="true"/>
        </w:rPr>
        <w:t>]</w:t>
      </w:r>
      <w:bookmarkEnd w:id="7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یوجب الحرمة الأبدیّة التزویج حال الإحرام دواماً أو انقطاعاً سواء کانت المرأة محرمة أو محلّة، و سواء کان إیقاع التزویج له بمباشرته أو بتوکیل الغیر محرماً کان الوکیل أو محلّا، کان التوکیل قبل الإحرام أو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العلم بالحرمة، و أمّا مع جهله بها و إن بطل النکاح فی جمیع الصور المذکورة لکن لا یوجب الحرمة الأبدیّة</w:t>
      </w:r>
      <w:r>
        <w:rPr>
          <w:rFonts w:eastAsia="IRNazanin" w:cs="IRNazanin"/>
          <w:color w:val="111111"/>
          <w:sz w:val="28"/>
          <w:szCs w:val="28"/>
          <w:rtl w:val="true"/>
          <w:lang w:bidi="fa-IR"/>
        </w:rPr>
        <w:t>.</w:t>
      </w:r>
    </w:p>
    <w:p>
      <w:pPr>
        <w:pStyle w:val="Heading5"/>
        <w:numPr>
          <w:ilvl w:val="4"/>
          <w:numId w:val="1"/>
        </w:numPr>
        <w:rPr/>
      </w:pPr>
      <w:bookmarkStart w:id="7414" w:name="__RefHeading___Toc2571676_3650668749"/>
      <w:bookmarkStart w:id="7415" w:name="_Toc3347"/>
      <w:bookmarkEnd w:id="7414"/>
      <w:r>
        <w:rPr>
          <w:rtl w:val="true"/>
        </w:rPr>
        <w:t>[ (</w:t>
      </w:r>
      <w:r>
        <w:rPr>
          <w:rtl w:val="true"/>
        </w:rPr>
        <w:t xml:space="preserve">مسألة </w:t>
      </w:r>
      <w:r>
        <w:rPr/>
        <w:t>13</w:t>
      </w:r>
      <w:r>
        <w:rPr>
          <w:rtl w:val="true"/>
        </w:rPr>
        <w:t xml:space="preserve">): </w:t>
      </w:r>
      <w:r>
        <w:rPr>
          <w:rtl w:val="true"/>
        </w:rPr>
        <w:t>لا فرق فیما ذکر من التحریم مع العلم، و البطلان مع الجهل</w:t>
      </w:r>
      <w:r>
        <w:rPr>
          <w:rtl w:val="true"/>
        </w:rPr>
        <w:t>]</w:t>
      </w:r>
      <w:bookmarkEnd w:id="7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فیما ذکر من التحریم مع العلم، و البطلان مع الجهل بین أن یکون الإحرام لحجّ واجب أو مندوب أو لعمرة واجبة أو مندوبة، و لا بین أن یکون حجّه و عمرته لنفسه أو نیابة عن غیره</w:t>
      </w:r>
      <w:r>
        <w:rPr>
          <w:rFonts w:eastAsia="IRNazanin" w:cs="IRNazanin"/>
          <w:color w:val="111111"/>
          <w:sz w:val="28"/>
          <w:szCs w:val="28"/>
          <w:rtl w:val="true"/>
          <w:lang w:bidi="fa-IR"/>
        </w:rPr>
        <w:t>.</w:t>
      </w:r>
    </w:p>
    <w:p>
      <w:pPr>
        <w:pStyle w:val="Heading5"/>
        <w:numPr>
          <w:ilvl w:val="4"/>
          <w:numId w:val="1"/>
        </w:numPr>
        <w:rPr/>
      </w:pPr>
      <w:bookmarkStart w:id="7416" w:name="__RefHeading___Toc2571678_3650668749"/>
      <w:bookmarkStart w:id="7417" w:name="_Toc3348"/>
      <w:bookmarkEnd w:id="7416"/>
      <w:r>
        <w:rPr>
          <w:rtl w:val="true"/>
        </w:rPr>
        <w:t>[ (</w:t>
      </w:r>
      <w:r>
        <w:rPr>
          <w:rtl w:val="true"/>
        </w:rPr>
        <w:t xml:space="preserve">مسألة </w:t>
      </w:r>
      <w:r>
        <w:rPr/>
        <w:t>14</w:t>
      </w:r>
      <w:r>
        <w:rPr>
          <w:rtl w:val="true"/>
        </w:rPr>
        <w:t xml:space="preserve">): </w:t>
      </w:r>
      <w:r>
        <w:rPr>
          <w:rtl w:val="true"/>
        </w:rPr>
        <w:t>لو کانت الزوجة محرمة عالمة بالحرمة و کان الزوج محلّا فهل یوجب الحرمة الأبدیة بینهما</w:t>
      </w:r>
      <w:r>
        <w:rPr>
          <w:rtl w:val="true"/>
        </w:rPr>
        <w:t>]</w:t>
      </w:r>
      <w:bookmarkEnd w:id="7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الزوجة محرمة عالمة بالحرمة و کان الزوج محلّا فهل یوجب الحرمة الأبدیة بینهما؟ قولان؛ أحوطهما ذلک، بل لا یخلو من قوّة</w:t>
      </w:r>
      <w:r>
        <w:rPr>
          <w:rFonts w:eastAsia="IRNazanin" w:cs="IRNazanin"/>
          <w:color w:val="111111"/>
          <w:sz w:val="28"/>
          <w:szCs w:val="28"/>
          <w:rtl w:val="true"/>
          <w:lang w:bidi="fa-IR"/>
        </w:rPr>
        <w:t>.</w:t>
      </w:r>
    </w:p>
    <w:p>
      <w:pPr>
        <w:pStyle w:val="Heading5"/>
        <w:numPr>
          <w:ilvl w:val="4"/>
          <w:numId w:val="1"/>
        </w:numPr>
        <w:rPr/>
      </w:pPr>
      <w:bookmarkStart w:id="7418" w:name="__RefHeading___Toc2571680_3650668749"/>
      <w:bookmarkStart w:id="7419" w:name="_Toc3349"/>
      <w:bookmarkEnd w:id="7418"/>
      <w:r>
        <w:rPr>
          <w:rtl w:val="true"/>
        </w:rPr>
        <w:t>[ (</w:t>
      </w:r>
      <w:r>
        <w:rPr>
          <w:rtl w:val="true"/>
        </w:rPr>
        <w:t xml:space="preserve">مسألة </w:t>
      </w:r>
      <w:r>
        <w:rPr/>
        <w:t>15</w:t>
      </w:r>
      <w:r>
        <w:rPr>
          <w:rtl w:val="true"/>
        </w:rPr>
        <w:t xml:space="preserve">): </w:t>
      </w:r>
      <w:r>
        <w:rPr>
          <w:rtl w:val="true"/>
        </w:rPr>
        <w:t>یجوز للمحرم الرجوع فی الطلاق فی العدّة الرجعیّة</w:t>
      </w:r>
      <w:r>
        <w:rPr>
          <w:rtl w:val="true"/>
        </w:rPr>
        <w:t>]</w:t>
      </w:r>
      <w:bookmarkEnd w:id="7419"/>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للمحرم الرجوع فی الطلاق فی العدّة </w:t>
      </w:r>
      <w:r>
        <w:rPr>
          <w:rStyle w:val="FootnoteAnchor"/>
          <w:rtl w:val="true"/>
        </w:rPr>
        <w:footnoteReference w:id="1909"/>
      </w:r>
      <w:r>
        <w:rPr>
          <w:rFonts w:ascii="IRNazanin" w:hAnsi="IRNazanin" w:eastAsia="IRNazanin"/>
          <w:color w:val="111111"/>
          <w:sz w:val="28"/>
          <w:sz w:val="28"/>
          <w:szCs w:val="28"/>
          <w:rtl w:val="true"/>
          <w:lang w:bidi="fa-IR"/>
        </w:rPr>
        <w:t>الرجعیّة، و کذا یجوز له أن</w:t>
      </w:r>
      <w:bookmarkStart w:id="7420" w:name="pg1809_19929"/>
    </w:p>
    <w:p>
      <w:pPr>
        <w:pStyle w:val="BookText"/>
        <w:rPr/>
      </w:pPr>
      <w:bookmarkEnd w:id="7420"/>
      <w:r>
        <w:rPr>
          <w:rFonts w:ascii="IRNazanin" w:hAnsi="IRNazanin" w:eastAsia="IRNazanin"/>
          <w:color w:val="111111"/>
          <w:sz w:val="28"/>
          <w:sz w:val="28"/>
          <w:szCs w:val="28"/>
          <w:rtl w:val="true"/>
          <w:lang w:bidi="fa-IR"/>
        </w:rPr>
        <w:t>یوکّل محلّا فی أن یزوّج له بعد إحلاله، بل و کذا أن یوکّل محرماً فی أن یزوّج له بعد إحلالهما</w:t>
      </w:r>
      <w:r>
        <w:rPr>
          <w:rFonts w:eastAsia="IRNazanin" w:cs="IRNazanin"/>
          <w:color w:val="111111"/>
          <w:sz w:val="28"/>
          <w:szCs w:val="28"/>
          <w:rtl w:val="true"/>
          <w:lang w:bidi="fa-IR"/>
        </w:rPr>
        <w:t>.</w:t>
      </w:r>
    </w:p>
    <w:p>
      <w:pPr>
        <w:pStyle w:val="Heading5"/>
        <w:numPr>
          <w:ilvl w:val="4"/>
          <w:numId w:val="1"/>
        </w:numPr>
        <w:rPr/>
      </w:pPr>
      <w:bookmarkStart w:id="7421" w:name="__RefHeading___Toc2571682_3650668749"/>
      <w:bookmarkStart w:id="7422" w:name="_Toc3350"/>
      <w:bookmarkEnd w:id="7421"/>
      <w:r>
        <w:rPr>
          <w:rtl w:val="true"/>
        </w:rPr>
        <w:t>[ (</w:t>
      </w:r>
      <w:r>
        <w:rPr>
          <w:rtl w:val="true"/>
        </w:rPr>
        <w:t xml:space="preserve">مسألة </w:t>
      </w:r>
      <w:r>
        <w:rPr/>
        <w:t>16</w:t>
      </w:r>
      <w:r>
        <w:rPr>
          <w:rtl w:val="true"/>
        </w:rPr>
        <w:t xml:space="preserve">): </w:t>
      </w:r>
      <w:r>
        <w:rPr>
          <w:rtl w:val="true"/>
        </w:rPr>
        <w:t>و من أسباب التحریم اللعان بشروطه المذکورة فی بابه</w:t>
      </w:r>
      <w:r>
        <w:rPr>
          <w:rtl w:val="true"/>
        </w:rPr>
        <w:t>]</w:t>
      </w:r>
      <w:bookmarkEnd w:id="7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أسباب التحریم اللعان بشروطه المذکورة فی بابه؛ بأن یرمیها بالزنا و یدّعی المشاهدة بلا بیّنة، أو ینفی ولدها الجامع لشرائط الإلحاق به و تنکر ذلک، و رفعا أمرهما إلی الحاکم فیأمرهما بالملاعنة بالکیفیّة الخاصّة، فإذا تلاعنا سقط عنه حدّ القذف و عنها حدّ الزنا و انتفی الولد عنه و حرمت علیه مؤبّداً</w:t>
      </w:r>
      <w:r>
        <w:rPr>
          <w:rFonts w:eastAsia="IRNazanin" w:cs="IRNazanin"/>
          <w:color w:val="111111"/>
          <w:sz w:val="28"/>
          <w:szCs w:val="28"/>
          <w:rtl w:val="true"/>
          <w:lang w:bidi="fa-IR"/>
        </w:rPr>
        <w:t>.</w:t>
      </w:r>
    </w:p>
    <w:p>
      <w:pPr>
        <w:pStyle w:val="Heading5"/>
        <w:numPr>
          <w:ilvl w:val="4"/>
          <w:numId w:val="1"/>
        </w:numPr>
        <w:rPr/>
      </w:pPr>
      <w:bookmarkStart w:id="7423" w:name="__RefHeading___Toc2571684_3650668749"/>
      <w:bookmarkStart w:id="7424" w:name="_Toc3351"/>
      <w:bookmarkEnd w:id="7423"/>
      <w:r>
        <w:rPr>
          <w:rtl w:val="true"/>
        </w:rPr>
        <w:t>[ (</w:t>
      </w:r>
      <w:r>
        <w:rPr>
          <w:rtl w:val="true"/>
        </w:rPr>
        <w:t xml:space="preserve">مسألة </w:t>
      </w:r>
      <w:r>
        <w:rPr/>
        <w:t>17</w:t>
      </w:r>
      <w:r>
        <w:rPr>
          <w:rtl w:val="true"/>
        </w:rPr>
        <w:t xml:space="preserve">): </w:t>
      </w:r>
      <w:r>
        <w:rPr>
          <w:rtl w:val="true"/>
        </w:rPr>
        <w:t>نکاح الشغار باطل</w:t>
      </w:r>
      <w:r>
        <w:rPr>
          <w:rtl w:val="true"/>
        </w:rPr>
        <w:t>]</w:t>
      </w:r>
      <w:bookmarkEnd w:id="7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الشغار باطل، و هو أن تتزوّج امرأتان برجلین علیٰ أن یکون مهر کلّ واحدة منهما نکاح الأُخریٰ و لا یکون بینهما مهر غیر النکاحین و التزویجین، مثل أن یقول أحد الرجلین للآخر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بنتی أو أُختی علیٰ أن تزوّجنی بنتک أو أُختک و یکون صداق کلّ منهما نکاح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و زوّجتک بنتی أو أُختی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زوّج إحداهما الآخر بمهر معلوم و شرط علیه أن یزوّجه الأُخریٰ بمهر معلوم فصحّ العقدان، مثل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بنتی أو أُختی علیٰ صداق مائة دینار علیٰ أن تزوّجنی أُختک أو بنتک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و زوّجتک بنتی أو أُختی علیٰ 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کذا لو شرط أن یزوّجه الأُخریٰ و لم یذکر مهراً أصلًا، مثل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بنتی علیٰ أن تزوّجنی بنتک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و زوّجتک 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یصحّ العقدان، لکن حیث إنّه لم یذکر المهر تستحقّ کلّ منهما مهر المثل، کما یأتی فی محلّه من أنّ ذکر المهر لیس شرطاً فی صحّة النکاح الدائم، و أنّها تستحقّ مهر المثل لو لم یذکر المهر</w:t>
      </w:r>
      <w:r>
        <w:rPr>
          <w:rFonts w:eastAsia="IRNazanin" w:cs="IRNazanin"/>
          <w:color w:val="111111"/>
          <w:sz w:val="28"/>
          <w:szCs w:val="28"/>
          <w:rtl w:val="true"/>
          <w:lang w:bidi="fa-IR"/>
        </w:rPr>
        <w:t>.</w:t>
      </w:r>
    </w:p>
    <w:p>
      <w:pPr>
        <w:pStyle w:val="Heading3"/>
        <w:numPr>
          <w:ilvl w:val="2"/>
          <w:numId w:val="1"/>
        </w:numPr>
        <w:rPr/>
      </w:pPr>
      <w:bookmarkStart w:id="7425" w:name="__RefHeading___Toc2571686_3650668749"/>
      <w:bookmarkStart w:id="7426" w:name="_Toc3352"/>
      <w:bookmarkEnd w:id="7425"/>
      <w:r>
        <w:rPr>
          <w:rtl w:val="true"/>
        </w:rPr>
        <w:t>[</w:t>
      </w:r>
      <w:r>
        <w:rPr>
          <w:rtl w:val="true"/>
        </w:rPr>
        <w:t>القول فی النکاح المنقطع</w:t>
      </w:r>
      <w:r>
        <w:rPr>
          <w:rtl w:val="true"/>
        </w:rPr>
        <w:t>]</w:t>
      </w:r>
      <w:bookmarkEnd w:id="7426"/>
    </w:p>
    <w:p>
      <w:pPr>
        <w:pStyle w:val="Heading4"/>
        <w:numPr>
          <w:ilvl w:val="3"/>
          <w:numId w:val="1"/>
        </w:numPr>
        <w:rPr/>
      </w:pPr>
      <w:bookmarkStart w:id="7427" w:name="__RefHeading___Toc2571688_3650668749"/>
      <w:bookmarkStart w:id="7428" w:name="_Toc3353"/>
      <w:bookmarkEnd w:id="7427"/>
      <w:r>
        <w:rPr>
          <w:rtl w:val="true"/>
        </w:rPr>
        <w:t>اشارة</w:t>
      </w:r>
      <w:bookmarkEnd w:id="7428"/>
    </w:p>
    <w:p>
      <w:pPr>
        <w:pStyle w:val="BookText"/>
        <w:rPr/>
      </w:pPr>
      <w:r>
        <w:rPr>
          <w:rFonts w:ascii="IRNazanin" w:hAnsi="IRNazanin" w:eastAsia="IRNazanin"/>
          <w:color w:val="111111"/>
          <w:sz w:val="28"/>
          <w:sz w:val="28"/>
          <w:szCs w:val="28"/>
          <w:rtl w:val="true"/>
          <w:lang w:bidi="fa-IR"/>
        </w:rPr>
        <w:t>القول فی النکاح المنقطع و یقال له المتعة و النکاح المؤجّل</w:t>
      </w:r>
      <w:r>
        <w:rPr>
          <w:rFonts w:eastAsia="IRNazanin" w:cs="IRNazanin"/>
          <w:color w:val="111111"/>
          <w:sz w:val="28"/>
          <w:szCs w:val="28"/>
          <w:rtl w:val="true"/>
          <w:lang w:bidi="fa-IR"/>
        </w:rPr>
        <w:t>.</w:t>
      </w:r>
    </w:p>
    <w:p>
      <w:pPr>
        <w:pStyle w:val="Heading4"/>
        <w:numPr>
          <w:ilvl w:val="3"/>
          <w:numId w:val="1"/>
        </w:numPr>
        <w:rPr/>
      </w:pPr>
      <w:bookmarkStart w:id="7429" w:name="__RefHeading___Toc2571690_3650668749"/>
      <w:bookmarkStart w:id="7430" w:name="_Toc3354"/>
      <w:bookmarkEnd w:id="7429"/>
      <w:r>
        <w:rPr>
          <w:rtl w:val="true"/>
        </w:rPr>
        <w:t>[ (</w:t>
      </w:r>
      <w:r>
        <w:rPr>
          <w:rtl w:val="true"/>
        </w:rPr>
        <w:t xml:space="preserve">مسألة </w:t>
      </w:r>
      <w:r>
        <w:rPr/>
        <w:t>1</w:t>
      </w:r>
      <w:r>
        <w:rPr>
          <w:rtl w:val="true"/>
        </w:rPr>
        <w:t xml:space="preserve">): </w:t>
      </w:r>
      <w:r>
        <w:rPr>
          <w:rtl w:val="true"/>
        </w:rPr>
        <w:t>النکاح المنقطع کالدائم</w:t>
      </w:r>
      <w:r>
        <w:rPr>
          <w:rtl w:val="true"/>
        </w:rPr>
        <w:t>]</w:t>
      </w:r>
      <w:bookmarkEnd w:id="7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المنقطع کالدائم فی أنّه یحتاج إلیٰ عقد مشتمل علیٰ إیجاب و قبول لفظیّین، و أنّه لا یکفی مجرّد الرضا القلبی من الطرفین و لا المعاطاة و لا الکتابة و لا الإشارة و فی اعتبار العربیّة و فی کون الإیجاب من طرف الزوجة، کما فصّل ذلک کلّه فیما سبق</w:t>
      </w:r>
      <w:r>
        <w:rPr>
          <w:rFonts w:eastAsia="IRNazanin" w:cs="IRNazanin"/>
          <w:color w:val="111111"/>
          <w:sz w:val="28"/>
          <w:szCs w:val="28"/>
          <w:rtl w:val="true"/>
          <w:lang w:bidi="fa-IR"/>
        </w:rPr>
        <w:t>.</w:t>
      </w:r>
    </w:p>
    <w:p>
      <w:pPr>
        <w:pStyle w:val="Heading4"/>
        <w:numPr>
          <w:ilvl w:val="3"/>
          <w:numId w:val="1"/>
        </w:numPr>
        <w:rPr/>
      </w:pPr>
      <w:bookmarkStart w:id="7431" w:name="__RefHeading___Toc2571692_3650668749"/>
      <w:bookmarkStart w:id="7432" w:name="_Toc3355"/>
      <w:bookmarkEnd w:id="7431"/>
      <w:r>
        <w:rPr>
          <w:rtl w:val="true"/>
        </w:rPr>
        <w:t>[ (</w:t>
      </w:r>
      <w:r>
        <w:rPr>
          <w:rtl w:val="true"/>
        </w:rPr>
        <w:t xml:space="preserve">مسألة </w:t>
      </w:r>
      <w:r>
        <w:rPr/>
        <w:t>2</w:t>
      </w:r>
      <w:r>
        <w:rPr>
          <w:rtl w:val="true"/>
        </w:rPr>
        <w:t xml:space="preserve">): </w:t>
      </w:r>
      <w:r>
        <w:rPr>
          <w:rtl w:val="true"/>
        </w:rPr>
        <w:t>ألفاظ الإیجاب فی هذا العقد ثلاثة</w:t>
      </w:r>
      <w:r>
        <w:rPr>
          <w:rtl w:val="true"/>
        </w:rPr>
        <w:t>: «</w:t>
      </w:r>
      <w:r>
        <w:rPr>
          <w:rtl w:val="true"/>
        </w:rPr>
        <w:t>متّعت</w:t>
      </w:r>
      <w:r>
        <w:rPr>
          <w:rtl w:val="true"/>
        </w:rPr>
        <w:t xml:space="preserve">» </w:t>
      </w:r>
      <w:r>
        <w:rPr>
          <w:rtl w:val="true"/>
        </w:rPr>
        <w:t xml:space="preserve">و </w:t>
      </w:r>
      <w:r>
        <w:rPr>
          <w:rtl w:val="true"/>
        </w:rPr>
        <w:t>«</w:t>
      </w:r>
      <w:r>
        <w:rPr>
          <w:rtl w:val="true"/>
        </w:rPr>
        <w:t>زوّجت</w:t>
      </w:r>
      <w:r>
        <w:rPr>
          <w:rtl w:val="true"/>
        </w:rPr>
        <w:t xml:space="preserve">» </w:t>
      </w:r>
      <w:r>
        <w:rPr>
          <w:rtl w:val="true"/>
        </w:rPr>
        <w:t xml:space="preserve">و </w:t>
      </w:r>
      <w:r>
        <w:rPr>
          <w:rtl w:val="true"/>
        </w:rPr>
        <w:t>«</w:t>
      </w:r>
      <w:r>
        <w:rPr>
          <w:rtl w:val="true"/>
        </w:rPr>
        <w:t>أنکحت</w:t>
      </w:r>
      <w:r>
        <w:rPr>
          <w:rtl w:val="true"/>
        </w:rPr>
        <w:t>»]</w:t>
      </w:r>
      <w:bookmarkEnd w:id="7432"/>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الإیجاب فی هذا العقد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أیّها حصل وقع الإیجاب به، و لا ینعقد بغیرها کلفظ التملیک و الهبة و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القبول کلّ لفظ</w:t>
      </w:r>
      <w:bookmarkStart w:id="7433" w:name="pg1809_19931"/>
    </w:p>
    <w:p>
      <w:pPr>
        <w:pStyle w:val="BookText"/>
        <w:rPr/>
      </w:pPr>
      <w:bookmarkEnd w:id="7433"/>
      <w:r>
        <w:rPr>
          <w:rFonts w:ascii="IRNazanin" w:hAnsi="IRNazanin" w:eastAsia="IRNazanin"/>
          <w:color w:val="111111"/>
          <w:sz w:val="28"/>
          <w:sz w:val="28"/>
          <w:szCs w:val="28"/>
          <w:rtl w:val="true"/>
          <w:lang w:bidi="fa-IR"/>
        </w:rPr>
        <w:t>دالّ علیٰ إنشاء الرضا بذلک الإیجاب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اقتصر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بدا بالقبول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Heading4"/>
        <w:numPr>
          <w:ilvl w:val="3"/>
          <w:numId w:val="1"/>
        </w:numPr>
        <w:rPr/>
      </w:pPr>
      <w:bookmarkStart w:id="7434" w:name="__RefHeading___Toc2571694_3650668749"/>
      <w:bookmarkStart w:id="7435" w:name="_Toc3356"/>
      <w:bookmarkEnd w:id="7434"/>
      <w:r>
        <w:rPr>
          <w:rtl w:val="true"/>
        </w:rPr>
        <w:t>[ (</w:t>
      </w:r>
      <w:r>
        <w:rPr>
          <w:rtl w:val="true"/>
        </w:rPr>
        <w:t xml:space="preserve">مسألة </w:t>
      </w:r>
      <w:r>
        <w:rPr/>
        <w:t>3</w:t>
      </w:r>
      <w:r>
        <w:rPr>
          <w:rtl w:val="true"/>
        </w:rPr>
        <w:t xml:space="preserve">): </w:t>
      </w:r>
      <w:r>
        <w:rPr>
          <w:rtl w:val="true"/>
        </w:rPr>
        <w:t>لا یجوز تمتّع المسلمة بالکافر بجمیع أصنافه</w:t>
      </w:r>
      <w:r>
        <w:rPr>
          <w:rtl w:val="true"/>
        </w:rPr>
        <w:t>]</w:t>
      </w:r>
      <w:bookmarkEnd w:id="7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تمتّع المسلمة بالکافر بجمیع أصنافه، و کذا لا یجوز تمتّع المسلم بغیر الکتابیة من أصناف الکفّار، و لا بالمرتدّة، و لا بالناصبیّة المعلنة بالعداوة کالخارجیّة</w:t>
      </w:r>
      <w:r>
        <w:rPr>
          <w:rFonts w:eastAsia="IRNazanin" w:cs="IRNazanin"/>
          <w:color w:val="111111"/>
          <w:sz w:val="28"/>
          <w:szCs w:val="28"/>
          <w:rtl w:val="true"/>
          <w:lang w:bidi="fa-IR"/>
        </w:rPr>
        <w:t>.</w:t>
      </w:r>
    </w:p>
    <w:p>
      <w:pPr>
        <w:pStyle w:val="Heading4"/>
        <w:numPr>
          <w:ilvl w:val="3"/>
          <w:numId w:val="1"/>
        </w:numPr>
        <w:rPr/>
      </w:pPr>
      <w:bookmarkStart w:id="7436" w:name="__RefHeading___Toc2571696_3650668749"/>
      <w:bookmarkStart w:id="7437" w:name="_Toc3357"/>
      <w:bookmarkEnd w:id="7436"/>
      <w:r>
        <w:rPr>
          <w:rtl w:val="true"/>
        </w:rPr>
        <w:t>[ (</w:t>
      </w:r>
      <w:r>
        <w:rPr>
          <w:rtl w:val="true"/>
        </w:rPr>
        <w:t xml:space="preserve">مسألة </w:t>
      </w:r>
      <w:r>
        <w:rPr/>
        <w:t>4</w:t>
      </w:r>
      <w:r>
        <w:rPr>
          <w:rtl w:val="true"/>
        </w:rPr>
        <w:t xml:space="preserve">): </w:t>
      </w:r>
      <w:r>
        <w:rPr>
          <w:rtl w:val="true"/>
        </w:rPr>
        <w:t>لا یتمتّع بأمة و عنده حرّة إلّا بإذنها</w:t>
      </w:r>
      <w:r>
        <w:rPr>
          <w:rtl w:val="true"/>
        </w:rPr>
        <w:t>]</w:t>
      </w:r>
      <w:bookmarkEnd w:id="7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یتمتّع بأمة و عنده حرّة إلّا بإذنها، و لو فعل وقف علیٰ إجازتها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یدخل علی العمّة بنت أخیها و لا علی الخالة بنت أُختها إلّا بإذنهما أو إجازتهما، و کذا لا یجمع بین الأُختین</w:t>
      </w:r>
      <w:r>
        <w:rPr>
          <w:rFonts w:eastAsia="IRNazanin" w:cs="IRNazanin"/>
          <w:color w:val="111111"/>
          <w:sz w:val="28"/>
          <w:szCs w:val="28"/>
          <w:rtl w:val="true"/>
          <w:lang w:bidi="fa-IR"/>
        </w:rPr>
        <w:t>.</w:t>
      </w:r>
    </w:p>
    <w:p>
      <w:pPr>
        <w:pStyle w:val="Heading4"/>
        <w:numPr>
          <w:ilvl w:val="3"/>
          <w:numId w:val="1"/>
        </w:numPr>
        <w:rPr/>
      </w:pPr>
      <w:bookmarkStart w:id="7438" w:name="__RefHeading___Toc2571698_3650668749"/>
      <w:bookmarkStart w:id="7439" w:name="_Toc3358"/>
      <w:bookmarkEnd w:id="7438"/>
      <w:r>
        <w:rPr>
          <w:rtl w:val="true"/>
        </w:rPr>
        <w:t>[ (</w:t>
      </w:r>
      <w:r>
        <w:rPr>
          <w:rtl w:val="true"/>
        </w:rPr>
        <w:t xml:space="preserve">مسألة </w:t>
      </w:r>
      <w:r>
        <w:rPr/>
        <w:t>5</w:t>
      </w:r>
      <w:r>
        <w:rPr>
          <w:rtl w:val="true"/>
        </w:rPr>
        <w:t xml:space="preserve">): </w:t>
      </w:r>
      <w:r>
        <w:rPr>
          <w:rtl w:val="true"/>
        </w:rPr>
        <w:t>یشترط فی النکاح المنقطع ذکر المهر</w:t>
      </w:r>
      <w:r>
        <w:rPr>
          <w:rtl w:val="true"/>
        </w:rPr>
        <w:t>]</w:t>
      </w:r>
      <w:bookmarkEnd w:id="7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النکاح المنقطع ذکر المهر، فلو أخلّ به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فیه أن یکون ممّا یتموّل؛ سواء کان عیناً خارجیّاً أو کلّیّاً فی الذمّة أو منفعة أو عملًا محلّلًا صالحاً للعوضیّة، بل و حقّاً من الحقوق المالیّة کحقّ التحجیر و نحوه، و أن یکون معلوماً بالکیل أو الوزن فی المکیل و الموزون، و العدّ فی المعدود، أو المشاهدة أو الوصف الرافعین للجهالة، و یتقدّر بالمراضاة قلّ أو کثر و لو کان کفّاً من طعام</w:t>
      </w:r>
      <w:r>
        <w:rPr>
          <w:rFonts w:eastAsia="IRNazanin" w:cs="IRNazanin"/>
          <w:color w:val="111111"/>
          <w:sz w:val="28"/>
          <w:szCs w:val="28"/>
          <w:rtl w:val="true"/>
          <w:lang w:bidi="fa-IR"/>
        </w:rPr>
        <w:t>.</w:t>
      </w:r>
    </w:p>
    <w:p>
      <w:pPr>
        <w:pStyle w:val="Heading4"/>
        <w:numPr>
          <w:ilvl w:val="3"/>
          <w:numId w:val="1"/>
        </w:numPr>
        <w:rPr/>
      </w:pPr>
      <w:bookmarkStart w:id="7440" w:name="__RefHeading___Toc2571700_3650668749"/>
      <w:bookmarkStart w:id="7441" w:name="_Toc3359"/>
      <w:bookmarkEnd w:id="7440"/>
      <w:r>
        <w:rPr>
          <w:rtl w:val="true"/>
        </w:rPr>
        <w:t>[ (</w:t>
      </w:r>
      <w:r>
        <w:rPr>
          <w:rtl w:val="true"/>
        </w:rPr>
        <w:t xml:space="preserve">مسألة </w:t>
      </w:r>
      <w:r>
        <w:rPr/>
        <w:t>6</w:t>
      </w:r>
      <w:r>
        <w:rPr>
          <w:rtl w:val="true"/>
        </w:rPr>
        <w:t xml:space="preserve">): </w:t>
      </w:r>
      <w:r>
        <w:rPr>
          <w:rtl w:val="true"/>
        </w:rPr>
        <w:t>تملک المتمتّعة المهر بالعقد، فیلزم علیه دفعه إلیها بعده لو طالبته</w:t>
      </w:r>
      <w:r>
        <w:rPr>
          <w:rtl w:val="true"/>
        </w:rPr>
        <w:t>]</w:t>
      </w:r>
      <w:bookmarkEnd w:id="7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المتمتّعة المهر بالعقد، فیلزم علیه دفعه إلیها بعده لو طالبته، و إن کان استقراره بالتمام مراعیً بالدخول و وفائها بالتمکین فی تمام المدّة، فلو وهبها المدّة، فإن کان قبل الدخول لزمه نصف المهر، و إن کان بعده لزمه الجمیع و إن مضت من المدّة ساعة و بقیت منها شهور أو أعوام فلا یُقسّط المهر علیٰ ما مضی منها و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یهب المدّة و لکنّها لم تف بها و لم تمکّنه من نفسها فی تمامها کان له أن یضع من المهر بنسبتها؛ إن نصفاً فنصف و إن ثلثاً فثلث و هکذا ما عدا أیّام حیضها، فلا ینقص لها شی‌ء من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إلحاق سائر الأعذار کالمرض المدنف و نحوه بها أو عدمه وجهان بل قولان، لا یخلو أوّلهما من رجحان، و الأحوط </w:t>
      </w:r>
      <w:r>
        <w:rPr>
          <w:rStyle w:val="FootnoteAnchor"/>
          <w:rtl w:val="true"/>
        </w:rPr>
        <w:footnoteReference w:id="1910"/>
      </w:r>
      <w:r>
        <w:rPr>
          <w:rFonts w:ascii="IRNazanin" w:hAnsi="IRNazanin" w:eastAsia="IRNazanin"/>
          <w:color w:val="111111"/>
          <w:sz w:val="28"/>
          <w:sz w:val="28"/>
          <w:szCs w:val="28"/>
          <w:rtl w:val="true"/>
          <w:lang w:bidi="fa-IR"/>
        </w:rPr>
        <w:t>التصالح</w:t>
      </w:r>
      <w:r>
        <w:rPr>
          <w:rFonts w:eastAsia="IRNazanin" w:cs="IRNazanin"/>
          <w:color w:val="111111"/>
          <w:sz w:val="28"/>
          <w:szCs w:val="28"/>
          <w:rtl w:val="true"/>
          <w:lang w:bidi="fa-IR"/>
        </w:rPr>
        <w:t>.</w:t>
      </w:r>
    </w:p>
    <w:p>
      <w:pPr>
        <w:pStyle w:val="Heading4"/>
        <w:numPr>
          <w:ilvl w:val="3"/>
          <w:numId w:val="1"/>
        </w:numPr>
        <w:rPr/>
      </w:pPr>
      <w:bookmarkStart w:id="7442" w:name="__RefHeading___Toc2571702_3650668749"/>
      <w:bookmarkStart w:id="7443" w:name="_Toc3360"/>
      <w:bookmarkEnd w:id="7442"/>
      <w:r>
        <w:rPr>
          <w:rtl w:val="true"/>
        </w:rPr>
        <w:t>[ (</w:t>
      </w:r>
      <w:r>
        <w:rPr>
          <w:rtl w:val="true"/>
        </w:rPr>
        <w:t xml:space="preserve">مسألة </w:t>
      </w:r>
      <w:r>
        <w:rPr/>
        <w:t>7</w:t>
      </w:r>
      <w:r>
        <w:rPr>
          <w:rtl w:val="true"/>
        </w:rPr>
        <w:t xml:space="preserve">): </w:t>
      </w:r>
      <w:r>
        <w:rPr>
          <w:rtl w:val="true"/>
        </w:rPr>
        <w:t>لو أوقع العقد و لم یدخل بها حتّی انقضت المدّة</w:t>
      </w:r>
      <w:r>
        <w:rPr>
          <w:rtl w:val="true"/>
        </w:rPr>
        <w:t>]</w:t>
      </w:r>
      <w:bookmarkEnd w:id="7443"/>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أوقع العقد و لم یدخل </w:t>
      </w:r>
      <w:r>
        <w:rPr>
          <w:rStyle w:val="FootnoteAnchor"/>
          <w:rtl w:val="true"/>
        </w:rPr>
        <w:footnoteReference w:id="1911"/>
      </w:r>
      <w:r>
        <w:rPr>
          <w:rFonts w:ascii="IRNazanin" w:hAnsi="IRNazanin" w:eastAsia="IRNazanin"/>
          <w:color w:val="111111"/>
          <w:sz w:val="28"/>
          <w:sz w:val="28"/>
          <w:szCs w:val="28"/>
          <w:rtl w:val="true"/>
          <w:lang w:bidi="fa-IR"/>
        </w:rPr>
        <w:t>بها حتّی انقضت المدّة، استقرّ علیه تمام المهر</w:t>
      </w:r>
      <w:r>
        <w:rPr>
          <w:rFonts w:eastAsia="IRNazanin" w:cs="IRNazanin"/>
          <w:color w:val="111111"/>
          <w:sz w:val="28"/>
          <w:szCs w:val="28"/>
          <w:rtl w:val="true"/>
          <w:lang w:bidi="fa-IR"/>
        </w:rPr>
        <w:t>.</w:t>
      </w:r>
      <w:bookmarkStart w:id="7444" w:name="pg1809_19933"/>
    </w:p>
    <w:p>
      <w:pPr>
        <w:pStyle w:val="Heading4"/>
        <w:numPr>
          <w:ilvl w:val="3"/>
          <w:numId w:val="1"/>
        </w:numPr>
        <w:rPr/>
      </w:pPr>
      <w:bookmarkStart w:id="7445" w:name="__RefHeading___Toc2571704_3650668749"/>
      <w:bookmarkStart w:id="7446" w:name="_Toc3361"/>
      <w:bookmarkEnd w:id="7444"/>
      <w:bookmarkEnd w:id="7445"/>
      <w:r>
        <w:rPr>
          <w:rtl w:val="true"/>
        </w:rPr>
        <w:t>[ (</w:t>
      </w:r>
      <w:r>
        <w:rPr>
          <w:rtl w:val="true"/>
        </w:rPr>
        <w:t xml:space="preserve">مسألة </w:t>
      </w:r>
      <w:r>
        <w:rPr/>
        <w:t>8</w:t>
      </w:r>
      <w:r>
        <w:rPr>
          <w:rtl w:val="true"/>
        </w:rPr>
        <w:t xml:space="preserve">): </w:t>
      </w:r>
      <w:r>
        <w:rPr>
          <w:rtl w:val="true"/>
        </w:rPr>
        <w:t>لو تبیّن فساد العقد؛ بأن ظهر لها زوج أو کانت أُخت زوجته أو أُمّها</w:t>
      </w:r>
      <w:r>
        <w:rPr>
          <w:rtl w:val="true"/>
        </w:rPr>
        <w:t>]</w:t>
      </w:r>
      <w:bookmarkEnd w:id="7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تبیّن فساد العقد؛ بأن ظهر لها زوج أو کانت أُخت زوجته أو أُمّها مثلًا و لم یدخل بها فلا مهر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قبضته کان له استعادته، بل لو تلف کان علیها بدله، و کذا إن دخل بها و کانت عالمة بالفساد، و أمّا إن کانت جاهلة فلها مهر المثل، فإن کان ما أخذت أزید منه استعاد الزائد و إن کان أقلّ أکمله</w:t>
      </w:r>
      <w:r>
        <w:rPr>
          <w:rFonts w:eastAsia="IRNazanin" w:cs="IRNazanin"/>
          <w:color w:val="111111"/>
          <w:sz w:val="28"/>
          <w:szCs w:val="28"/>
          <w:rtl w:val="true"/>
          <w:lang w:bidi="fa-IR"/>
        </w:rPr>
        <w:t>.</w:t>
      </w:r>
    </w:p>
    <w:p>
      <w:pPr>
        <w:pStyle w:val="Heading4"/>
        <w:numPr>
          <w:ilvl w:val="3"/>
          <w:numId w:val="1"/>
        </w:numPr>
        <w:rPr/>
      </w:pPr>
      <w:bookmarkStart w:id="7447" w:name="__RefHeading___Toc2571706_3650668749"/>
      <w:bookmarkStart w:id="7448" w:name="_Toc3362"/>
      <w:bookmarkEnd w:id="7447"/>
      <w:r>
        <w:rPr>
          <w:rtl w:val="true"/>
        </w:rPr>
        <w:t>[ (</w:t>
      </w:r>
      <w:r>
        <w:rPr>
          <w:rtl w:val="true"/>
        </w:rPr>
        <w:t xml:space="preserve">مسألة </w:t>
      </w:r>
      <w:r>
        <w:rPr/>
        <w:t>9</w:t>
      </w:r>
      <w:r>
        <w:rPr>
          <w:rtl w:val="true"/>
        </w:rPr>
        <w:t xml:space="preserve">): </w:t>
      </w:r>
      <w:r>
        <w:rPr>
          <w:rtl w:val="true"/>
        </w:rPr>
        <w:t>یشترط فی النکاح المنقطع ذکر الأجل</w:t>
      </w:r>
      <w:r>
        <w:rPr>
          <w:rtl w:val="true"/>
        </w:rPr>
        <w:t>]</w:t>
      </w:r>
      <w:bookmarkEnd w:id="7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النکاح المنقطع ذکر الأجل، فلو لم یذکره متعمّداً أو نسیاناً بطل متعةً و انعقد دائماً علیٰ إشکال </w:t>
      </w:r>
      <w:r>
        <w:rPr>
          <w:rStyle w:val="FootnoteAnchor"/>
          <w:rtl w:val="true"/>
        </w:rPr>
        <w:footnoteReference w:id="1912"/>
      </w:r>
      <w:r>
        <w:rPr>
          <w:rFonts w:ascii="IRNazanin" w:hAnsi="IRNazanin" w:eastAsia="IRNazanin"/>
          <w:color w:val="111111"/>
          <w:sz w:val="28"/>
          <w:sz w:val="28"/>
          <w:szCs w:val="28"/>
          <w:rtl w:val="true"/>
          <w:lang w:bidi="fa-IR"/>
        </w:rPr>
        <w:t>، و تقدیر الأجل إلیهما طال أو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بدّ أن یکون معیّناً بالزمان محروساً من الزیادة و النقصان، و لو قدّره بالمرّة أو مرّتین من دون أن یقدّره بزمان بطل متعة و انعقد دائماً، و فیه الإشکال المتقدّم بل هنا أشکل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49" w:name="__RefHeading___Toc2571708_3650668749"/>
      <w:bookmarkStart w:id="7450" w:name="_Toc3363"/>
      <w:bookmarkEnd w:id="7449"/>
      <w:r>
        <w:rPr>
          <w:rtl w:val="true"/>
        </w:rPr>
        <w:t>[ (</w:t>
      </w:r>
      <w:r>
        <w:rPr>
          <w:rtl w:val="true"/>
        </w:rPr>
        <w:t xml:space="preserve">مسألة </w:t>
      </w:r>
      <w:r>
        <w:rPr/>
        <w:t>10</w:t>
      </w:r>
      <w:r>
        <w:rPr>
          <w:rtl w:val="true"/>
        </w:rPr>
        <w:t xml:space="preserve">): </w:t>
      </w:r>
      <w:r>
        <w:rPr>
          <w:rtl w:val="true"/>
        </w:rPr>
        <w:t>إذا قالت</w:t>
      </w:r>
      <w:r>
        <w:rPr>
          <w:rtl w:val="true"/>
        </w:rPr>
        <w:t>: «</w:t>
      </w:r>
      <w:r>
        <w:rPr>
          <w:rtl w:val="true"/>
        </w:rPr>
        <w:t>زوّجتک نفسی إلیٰ شهر</w:t>
      </w:r>
      <w:r>
        <w:rPr>
          <w:rtl w:val="true"/>
        </w:rPr>
        <w:t xml:space="preserve">» </w:t>
      </w:r>
      <w:r>
        <w:rPr>
          <w:rtl w:val="true"/>
        </w:rPr>
        <w:t xml:space="preserve">أو </w:t>
      </w:r>
      <w:r>
        <w:rPr>
          <w:rtl w:val="true"/>
        </w:rPr>
        <w:t xml:space="preserve">«.. </w:t>
      </w:r>
      <w:r>
        <w:rPr>
          <w:rtl w:val="true"/>
        </w:rPr>
        <w:t>شهراً</w:t>
      </w:r>
      <w:r>
        <w:rPr>
          <w:rtl w:val="true"/>
        </w:rPr>
        <w:t xml:space="preserve">» </w:t>
      </w:r>
      <w:r>
        <w:rPr>
          <w:rtl w:val="true"/>
        </w:rPr>
        <w:t>مثلًا و أطلقت، اقتضی الاتّصال بالعقد</w:t>
      </w:r>
      <w:r>
        <w:rPr>
          <w:rtl w:val="true"/>
        </w:rPr>
        <w:t>]</w:t>
      </w:r>
      <w:bookmarkEnd w:id="7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 إلیٰ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أطلقت، اقتضی الاتّصال بالعقد، و هل یجوز أن تجعل المدّة منفصلًا عن العقد؛ بأن تعیّن المدّة شهراً مثلًا و یجعل مبدؤه بعد شهر من حین وقوع العقد أم لا؟ قولان، أحوطهما الثانی بل لا یخلو من قوّة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51" w:name="__RefHeading___Toc2571710_3650668749"/>
      <w:bookmarkStart w:id="7452" w:name="_Toc3364"/>
      <w:bookmarkEnd w:id="7451"/>
      <w:r>
        <w:rPr>
          <w:rtl w:val="true"/>
        </w:rPr>
        <w:t>[ (</w:t>
      </w:r>
      <w:r>
        <w:rPr>
          <w:rtl w:val="true"/>
        </w:rPr>
        <w:t xml:space="preserve">مسألة </w:t>
      </w:r>
      <w:r>
        <w:rPr/>
        <w:t>11</w:t>
      </w:r>
      <w:r>
        <w:rPr>
          <w:rtl w:val="true"/>
        </w:rPr>
        <w:t xml:space="preserve">): </w:t>
      </w:r>
      <w:r>
        <w:rPr>
          <w:rtl w:val="true"/>
        </w:rPr>
        <w:t>لا یصحّ تجدید العقد علیها دائماً و منقطعاً قبل انقضاء الأجل أو بذل المدّة</w:t>
      </w:r>
      <w:r>
        <w:rPr>
          <w:rtl w:val="true"/>
        </w:rPr>
        <w:t>]</w:t>
      </w:r>
      <w:bookmarkEnd w:id="7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تجدید العقد علیها دائماً و منقطعاً قبل انقضاء الأجل أو بذل المدّة، فلو کانت المدّة شهراً و أراد أن تکون شهرین، لا بدّ أن یهبها المدّة ثمّ یعقد علیها و یجعل المدّة شهرین، و لا یجوز أن یعقد علیها عقداً آخر و یجعل المدّة شهراً بعد الشهر الأوّل حتّی یصیر المجموع شهرین</w:t>
      </w:r>
      <w:r>
        <w:rPr>
          <w:rFonts w:eastAsia="IRNazanin" w:cs="IRNazanin"/>
          <w:color w:val="111111"/>
          <w:sz w:val="28"/>
          <w:szCs w:val="28"/>
          <w:rtl w:val="true"/>
          <w:lang w:bidi="fa-IR"/>
        </w:rPr>
        <w:t>.</w:t>
      </w:r>
    </w:p>
    <w:p>
      <w:pPr>
        <w:pStyle w:val="Heading4"/>
        <w:numPr>
          <w:ilvl w:val="3"/>
          <w:numId w:val="1"/>
        </w:numPr>
        <w:rPr/>
      </w:pPr>
      <w:bookmarkStart w:id="7453" w:name="__RefHeading___Toc2571712_3650668749"/>
      <w:bookmarkStart w:id="7454" w:name="_Toc3365"/>
      <w:bookmarkEnd w:id="7453"/>
      <w:r>
        <w:rPr>
          <w:rtl w:val="true"/>
        </w:rPr>
        <w:t>[ (</w:t>
      </w:r>
      <w:r>
        <w:rPr>
          <w:rtl w:val="true"/>
        </w:rPr>
        <w:t xml:space="preserve">مسألة </w:t>
      </w:r>
      <w:r>
        <w:rPr/>
        <w:t>12</w:t>
      </w:r>
      <w:r>
        <w:rPr>
          <w:rtl w:val="true"/>
        </w:rPr>
        <w:t xml:space="preserve">): </w:t>
      </w:r>
      <w:r>
        <w:rPr>
          <w:rtl w:val="true"/>
        </w:rPr>
        <w:t>یجوز أن یشترط علیها و علیه الإتیان لیلًا أو نهاراً</w:t>
      </w:r>
      <w:r>
        <w:rPr>
          <w:rtl w:val="true"/>
        </w:rPr>
        <w:t>]</w:t>
      </w:r>
      <w:bookmarkEnd w:id="7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یشترط علیها و علیه الإتیان لیلًا أو نهاراً، و أن یشترط المرّة أو المرّات مع تعیین المدّة بالزمان</w:t>
      </w:r>
      <w:r>
        <w:rPr>
          <w:rFonts w:eastAsia="IRNazanin" w:cs="IRNazanin"/>
          <w:color w:val="111111"/>
          <w:sz w:val="28"/>
          <w:szCs w:val="28"/>
          <w:rtl w:val="true"/>
          <w:lang w:bidi="fa-IR"/>
        </w:rPr>
        <w:t>.</w:t>
      </w:r>
    </w:p>
    <w:p>
      <w:pPr>
        <w:pStyle w:val="Heading4"/>
        <w:numPr>
          <w:ilvl w:val="3"/>
          <w:numId w:val="1"/>
        </w:numPr>
        <w:rPr/>
      </w:pPr>
      <w:bookmarkStart w:id="7455" w:name="__RefHeading___Toc2571714_3650668749"/>
      <w:bookmarkStart w:id="7456" w:name="_Toc3366"/>
      <w:bookmarkEnd w:id="7455"/>
      <w:r>
        <w:rPr>
          <w:rtl w:val="true"/>
        </w:rPr>
        <w:t>[ (</w:t>
      </w:r>
      <w:r>
        <w:rPr>
          <w:rtl w:val="true"/>
        </w:rPr>
        <w:t xml:space="preserve">مسألة </w:t>
      </w:r>
      <w:r>
        <w:rPr/>
        <w:t>13</w:t>
      </w:r>
      <w:r>
        <w:rPr>
          <w:rtl w:val="true"/>
        </w:rPr>
        <w:t xml:space="preserve">): </w:t>
      </w:r>
      <w:r>
        <w:rPr>
          <w:rtl w:val="true"/>
        </w:rPr>
        <w:t>یجوز العزل للمتمتّع من دون إذنها و إن قلنا بعدم جوازه فی الدائم</w:t>
      </w:r>
      <w:r>
        <w:rPr>
          <w:rtl w:val="true"/>
        </w:rPr>
        <w:t>]</w:t>
      </w:r>
      <w:bookmarkEnd w:id="7456"/>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العزل للمتمتّع من دون إذنها و إن قلنا بعدم جوازه فی الدائم، و لکن یلحق به الولد لو حملت و إن عزل؛ لاحتمال سبق المنیّ من غیر تنبّه، و لو نفاه عن نفسه</w:t>
      </w:r>
      <w:bookmarkStart w:id="7457" w:name="pg1809_19935"/>
    </w:p>
    <w:p>
      <w:pPr>
        <w:pStyle w:val="BookText"/>
        <w:rPr/>
      </w:pPr>
      <w:bookmarkEnd w:id="7457"/>
      <w:r>
        <w:rPr>
          <w:rFonts w:ascii="Amiri" w:hAnsi="Amiri" w:eastAsia="Amiri" w:cs="Amiri"/>
          <w:color w:val="111111"/>
          <w:sz w:val="28"/>
          <w:sz w:val="28"/>
          <w:szCs w:val="28"/>
          <w:rtl w:val="true"/>
          <w:lang w:bidi="ar-SA"/>
        </w:rPr>
        <w:t xml:space="preserve">انتفیٰ </w:t>
      </w:r>
      <w:r>
        <w:rPr>
          <w:rStyle w:val="FootnoteAnchor"/>
          <w:rtl w:val="true"/>
        </w:rPr>
        <w:footnoteReference w:id="1915"/>
      </w:r>
      <w:r>
        <w:rPr>
          <w:rFonts w:ascii="IRNazanin" w:hAnsi="IRNazanin" w:eastAsia="IRNazanin"/>
          <w:color w:val="111111"/>
          <w:sz w:val="28"/>
          <w:sz w:val="28"/>
          <w:szCs w:val="28"/>
          <w:rtl w:val="true"/>
          <w:lang w:bidi="fa-IR"/>
        </w:rPr>
        <w:t>ظاهراً و لم یفتقر إلی اللعان، و لکن لا یجوز له النفی بینه و بین اللّٰه إلّا مع العلم بالانتفاء</w:t>
      </w:r>
      <w:r>
        <w:rPr>
          <w:rFonts w:eastAsia="IRNazanin" w:cs="IRNazanin"/>
          <w:color w:val="111111"/>
          <w:sz w:val="28"/>
          <w:szCs w:val="28"/>
          <w:rtl w:val="true"/>
          <w:lang w:bidi="fa-IR"/>
        </w:rPr>
        <w:t>.</w:t>
      </w:r>
    </w:p>
    <w:p>
      <w:pPr>
        <w:pStyle w:val="Heading4"/>
        <w:numPr>
          <w:ilvl w:val="3"/>
          <w:numId w:val="1"/>
        </w:numPr>
        <w:rPr/>
      </w:pPr>
      <w:bookmarkStart w:id="7458" w:name="__RefHeading___Toc2571716_3650668749"/>
      <w:bookmarkStart w:id="7459" w:name="_Toc3367"/>
      <w:bookmarkEnd w:id="7458"/>
      <w:r>
        <w:rPr>
          <w:rtl w:val="true"/>
        </w:rPr>
        <w:t>[ (</w:t>
      </w:r>
      <w:r>
        <w:rPr>
          <w:rtl w:val="true"/>
        </w:rPr>
        <w:t xml:space="preserve">مسألة </w:t>
      </w:r>
      <w:r>
        <w:rPr/>
        <w:t>14</w:t>
      </w:r>
      <w:r>
        <w:rPr>
          <w:rtl w:val="true"/>
        </w:rPr>
        <w:t xml:space="preserve">): </w:t>
      </w:r>
      <w:r>
        <w:rPr>
          <w:rtl w:val="true"/>
        </w:rPr>
        <w:t>لا یقع بها طلاق و إنّما تبین بانقضاء المدّة أو هبتها</w:t>
      </w:r>
      <w:r>
        <w:rPr>
          <w:rtl w:val="true"/>
        </w:rPr>
        <w:t>]</w:t>
      </w:r>
      <w:bookmarkEnd w:id="7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بها طلاق و إنّما تبین بانقضاء المدّة أو هبتها، و لا رجوع له بعد ذلک</w:t>
      </w:r>
      <w:r>
        <w:rPr>
          <w:rFonts w:eastAsia="IRNazanin" w:cs="IRNazanin"/>
          <w:color w:val="111111"/>
          <w:sz w:val="28"/>
          <w:szCs w:val="28"/>
          <w:rtl w:val="true"/>
          <w:lang w:bidi="fa-IR"/>
        </w:rPr>
        <w:t>.</w:t>
      </w:r>
    </w:p>
    <w:p>
      <w:pPr>
        <w:pStyle w:val="Heading4"/>
        <w:numPr>
          <w:ilvl w:val="3"/>
          <w:numId w:val="1"/>
        </w:numPr>
        <w:rPr/>
      </w:pPr>
      <w:bookmarkStart w:id="7460" w:name="__RefHeading___Toc2571718_3650668749"/>
      <w:bookmarkStart w:id="7461" w:name="_Toc3368"/>
      <w:bookmarkEnd w:id="7460"/>
      <w:r>
        <w:rPr>
          <w:rtl w:val="true"/>
        </w:rPr>
        <w:t>[ (</w:t>
      </w:r>
      <w:r>
        <w:rPr>
          <w:rtl w:val="true"/>
        </w:rPr>
        <w:t xml:space="preserve">مسألة </w:t>
      </w:r>
      <w:r>
        <w:rPr/>
        <w:t>15</w:t>
      </w:r>
      <w:r>
        <w:rPr>
          <w:rtl w:val="true"/>
        </w:rPr>
        <w:t xml:space="preserve">): </w:t>
      </w:r>
      <w:r>
        <w:rPr>
          <w:rtl w:val="true"/>
        </w:rPr>
        <w:t>لا یثبت بهذا العقد توارث بین الزوجین</w:t>
      </w:r>
      <w:r>
        <w:rPr>
          <w:rtl w:val="true"/>
        </w:rPr>
        <w:t>]</w:t>
      </w:r>
      <w:bookmarkEnd w:id="7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یثبت بهذا العقد توارث بین الزوجین، و لو شرطا التوارث أو توریث أحدهما فالظاهر التوریث علیٰ حسب شرطهما </w:t>
      </w:r>
      <w:r>
        <w:rPr>
          <w:rStyle w:val="FootnoteAnchor"/>
          <w:rtl w:val="true"/>
        </w:rPr>
        <w:footnoteReference w:id="1916"/>
      </w:r>
      <w:r>
        <w:rPr>
          <w:rFonts w:ascii="IRNazanin" w:hAnsi="IRNazanin" w:eastAsia="IRNazanin"/>
          <w:color w:val="111111"/>
          <w:sz w:val="28"/>
          <w:sz w:val="28"/>
          <w:szCs w:val="28"/>
          <w:rtl w:val="true"/>
          <w:lang w:bidi="fa-IR"/>
        </w:rPr>
        <w:t>، و إن کان الأحوط التصالح مع باقی الورثة</w:t>
      </w:r>
      <w:r>
        <w:rPr>
          <w:rFonts w:eastAsia="IRNazanin" w:cs="IRNazanin"/>
          <w:color w:val="111111"/>
          <w:sz w:val="28"/>
          <w:szCs w:val="28"/>
          <w:rtl w:val="true"/>
          <w:lang w:bidi="fa-IR"/>
        </w:rPr>
        <w:t>.</w:t>
      </w:r>
    </w:p>
    <w:p>
      <w:pPr>
        <w:pStyle w:val="Heading4"/>
        <w:numPr>
          <w:ilvl w:val="3"/>
          <w:numId w:val="1"/>
        </w:numPr>
        <w:rPr/>
      </w:pPr>
      <w:bookmarkStart w:id="7462" w:name="__RefHeading___Toc2571720_3650668749"/>
      <w:bookmarkStart w:id="7463" w:name="_Toc3369"/>
      <w:bookmarkEnd w:id="7462"/>
      <w:r>
        <w:rPr>
          <w:rtl w:val="true"/>
        </w:rPr>
        <w:t>[ (</w:t>
      </w:r>
      <w:r>
        <w:rPr>
          <w:rtl w:val="true"/>
        </w:rPr>
        <w:t xml:space="preserve">مسألة </w:t>
      </w:r>
      <w:r>
        <w:rPr/>
        <w:t>16</w:t>
      </w:r>
      <w:r>
        <w:rPr>
          <w:rtl w:val="true"/>
        </w:rPr>
        <w:t xml:space="preserve">): </w:t>
      </w:r>
      <w:r>
        <w:rPr>
          <w:rtl w:val="true"/>
        </w:rPr>
        <w:t>إذا انقضیٰ أجلها أو وهب مدّتها قبل الدخول فلا عدّة علیها</w:t>
      </w:r>
      <w:r>
        <w:rPr>
          <w:rtl w:val="true"/>
        </w:rPr>
        <w:t>]</w:t>
      </w:r>
      <w:bookmarkEnd w:id="7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انقضیٰ أجلها أو وهب مدّتها قبل الدخول فلا عدّة علیها، و إن کان بعده لم تکن غیر بالغة و لا یائسة فعلیها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عدّتها علی الأشهر الأظهر حیضتان، و إن کانت فی سنّ من تحیض و لا تحیض فعدّتها خمسة و أربعون یوماً، و الظاهر اعتبار حیضتین تامّتین، فلو انقضی الأجل أو وهب المدّة فی أثناء الحیض لم یحسب تلک الحیضة منها، بل لا بدّ من حیضتین تامّتین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کانت حائلًا، و أمّا لو کانت حاملًا فعدّتها إلیٰ أن تضع حملها کالمطلّقة علیٰ إشکال، فالأحوط مراعاة أبعد الأجلین من وضع الحمل و من انقضاء خمسة و أربعین یوماً أو حیضتین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عدّتها من الوفاة فهی أربعة أشهر و عشرة أیّام إن کانت حائلًا، و أبعد الأجلین منها و من وضع حملها إن کانت حاملًا کالدائمة</w:t>
      </w:r>
      <w:r>
        <w:rPr>
          <w:rFonts w:eastAsia="IRNazanin" w:cs="IRNazanin"/>
          <w:color w:val="111111"/>
          <w:sz w:val="28"/>
          <w:szCs w:val="28"/>
          <w:rtl w:val="true"/>
          <w:lang w:bidi="fa-IR"/>
        </w:rPr>
        <w:t>.</w:t>
      </w:r>
    </w:p>
    <w:p>
      <w:pPr>
        <w:pStyle w:val="Heading4"/>
        <w:numPr>
          <w:ilvl w:val="3"/>
          <w:numId w:val="1"/>
        </w:numPr>
        <w:rPr/>
      </w:pPr>
      <w:bookmarkStart w:id="7464" w:name="__RefHeading___Toc2571722_3650668749"/>
      <w:bookmarkStart w:id="7465" w:name="_Toc3370"/>
      <w:bookmarkEnd w:id="7464"/>
      <w:r>
        <w:rPr>
          <w:rtl w:val="true"/>
        </w:rPr>
        <w:t>[ (</w:t>
      </w:r>
      <w:r>
        <w:rPr>
          <w:rtl w:val="true"/>
        </w:rPr>
        <w:t xml:space="preserve">مسألة </w:t>
      </w:r>
      <w:r>
        <w:rPr/>
        <w:t>17</w:t>
      </w:r>
      <w:r>
        <w:rPr>
          <w:rtl w:val="true"/>
        </w:rPr>
        <w:t xml:space="preserve">): </w:t>
      </w:r>
      <w:r>
        <w:rPr>
          <w:rtl w:val="true"/>
        </w:rPr>
        <w:t>یستحبّ أن تکون المتمتّع بها مؤمنة عفیفة</w:t>
      </w:r>
      <w:r>
        <w:rPr>
          <w:rtl w:val="true"/>
        </w:rPr>
        <w:t>]</w:t>
      </w:r>
      <w:bookmarkEnd w:id="7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تکون المتمتّع بها مؤمنة عفیفة، و السؤال </w:t>
      </w:r>
      <w:r>
        <w:rPr>
          <w:rStyle w:val="FootnoteAnchor"/>
          <w:rtl w:val="true"/>
        </w:rPr>
        <w:footnoteReference w:id="1917"/>
      </w:r>
      <w:r>
        <w:rPr>
          <w:rFonts w:ascii="IRNazanin" w:hAnsi="IRNazanin" w:eastAsia="IRNazanin"/>
          <w:color w:val="111111"/>
          <w:sz w:val="28"/>
          <w:sz w:val="28"/>
          <w:szCs w:val="28"/>
          <w:rtl w:val="true"/>
          <w:lang w:bidi="fa-IR"/>
        </w:rPr>
        <w:t>عن حالها و أنّها ذات بعل أو ذات عدّة أم لا، و لیس السؤال و الفحص عن حالها شرطاً فی الصحّة</w:t>
      </w:r>
      <w:r>
        <w:rPr>
          <w:rFonts w:eastAsia="IRNazanin" w:cs="IRNazanin"/>
          <w:color w:val="111111"/>
          <w:sz w:val="28"/>
          <w:szCs w:val="28"/>
          <w:rtl w:val="true"/>
          <w:lang w:bidi="fa-IR"/>
        </w:rPr>
        <w:t>.</w:t>
      </w:r>
    </w:p>
    <w:p>
      <w:pPr>
        <w:pStyle w:val="Heading4"/>
        <w:numPr>
          <w:ilvl w:val="3"/>
          <w:numId w:val="1"/>
        </w:numPr>
        <w:rPr/>
      </w:pPr>
      <w:bookmarkStart w:id="7466" w:name="__RefHeading___Toc2571724_3650668749"/>
      <w:bookmarkStart w:id="7467" w:name="_Toc3371"/>
      <w:bookmarkEnd w:id="7466"/>
      <w:r>
        <w:rPr>
          <w:rtl w:val="true"/>
        </w:rPr>
        <w:t>[ (</w:t>
      </w:r>
      <w:r>
        <w:rPr>
          <w:rtl w:val="true"/>
        </w:rPr>
        <w:t xml:space="preserve">مسألة </w:t>
      </w:r>
      <w:r>
        <w:rPr/>
        <w:t>18</w:t>
      </w:r>
      <w:r>
        <w:rPr>
          <w:rtl w:val="true"/>
        </w:rPr>
        <w:t xml:space="preserve">): </w:t>
      </w:r>
      <w:r>
        <w:rPr>
          <w:rtl w:val="true"/>
        </w:rPr>
        <w:t>یجوز التمتّع بالزانیة علیٰ کراهیة</w:t>
      </w:r>
      <w:r>
        <w:rPr>
          <w:rtl w:val="true"/>
        </w:rPr>
        <w:t>]</w:t>
      </w:r>
      <w:bookmarkEnd w:id="7467"/>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التمتّع بالزانیة علیٰ کراهیة، خصوصاً لو کانت من العواهر و المشهورات بالزنا، و إن فعل فلیمنعها من الفجور</w:t>
      </w:r>
      <w:r>
        <w:rPr>
          <w:rFonts w:eastAsia="IRNazanin" w:cs="IRNazanin"/>
          <w:color w:val="111111"/>
          <w:sz w:val="28"/>
          <w:szCs w:val="28"/>
          <w:rtl w:val="true"/>
          <w:lang w:bidi="fa-IR"/>
        </w:rPr>
        <w:t>.</w:t>
      </w:r>
      <w:bookmarkStart w:id="7468" w:name="pg1809_19937"/>
    </w:p>
    <w:p>
      <w:pPr>
        <w:pStyle w:val="Heading3"/>
        <w:numPr>
          <w:ilvl w:val="2"/>
          <w:numId w:val="1"/>
        </w:numPr>
        <w:rPr/>
      </w:pPr>
      <w:bookmarkStart w:id="7469" w:name="__RefHeading___Toc2571726_3650668749"/>
      <w:bookmarkStart w:id="7470" w:name="_Toc3372"/>
      <w:bookmarkEnd w:id="7468"/>
      <w:bookmarkEnd w:id="7469"/>
      <w:r>
        <w:rPr>
          <w:rtl w:val="true"/>
        </w:rPr>
        <w:t>[</w:t>
      </w:r>
      <w:r>
        <w:rPr>
          <w:rtl w:val="true"/>
        </w:rPr>
        <w:t>القول فی نکاح العبید و الإماء</w:t>
      </w:r>
      <w:r>
        <w:rPr>
          <w:rtl w:val="true"/>
        </w:rPr>
        <w:t>]</w:t>
      </w:r>
      <w:bookmarkEnd w:id="7470"/>
    </w:p>
    <w:p>
      <w:pPr>
        <w:pStyle w:val="Heading4"/>
        <w:numPr>
          <w:ilvl w:val="3"/>
          <w:numId w:val="1"/>
        </w:numPr>
        <w:rPr/>
      </w:pPr>
      <w:bookmarkStart w:id="7471" w:name="__RefHeading___Toc2571728_3650668749"/>
      <w:bookmarkStart w:id="7472" w:name="_Toc3373"/>
      <w:bookmarkEnd w:id="7471"/>
      <w:r>
        <w:rPr>
          <w:rtl w:val="true"/>
        </w:rPr>
        <w:t>اشارة</w:t>
      </w:r>
      <w:bookmarkEnd w:id="7472"/>
    </w:p>
    <w:p>
      <w:pPr>
        <w:pStyle w:val="BookText"/>
        <w:rPr/>
      </w:pPr>
      <w:r>
        <w:rPr>
          <w:rFonts w:ascii="IRNazanin" w:hAnsi="IRNazanin" w:eastAsia="IRNazanin"/>
          <w:color w:val="111111"/>
          <w:sz w:val="28"/>
          <w:sz w:val="28"/>
          <w:szCs w:val="28"/>
          <w:rtl w:val="true"/>
          <w:lang w:bidi="fa-IR"/>
        </w:rPr>
        <w:t>القول فی نکاح العبید و الإماء</w:t>
      </w:r>
    </w:p>
    <w:p>
      <w:pPr>
        <w:pStyle w:val="Heading4"/>
        <w:numPr>
          <w:ilvl w:val="3"/>
          <w:numId w:val="1"/>
        </w:numPr>
        <w:rPr/>
      </w:pPr>
      <w:bookmarkStart w:id="7473" w:name="__RefHeading___Toc2571730_3650668749"/>
      <w:bookmarkStart w:id="7474" w:name="_Toc3374"/>
      <w:bookmarkEnd w:id="7473"/>
      <w:r>
        <w:rPr>
          <w:rtl w:val="true"/>
        </w:rPr>
        <w:t>[ (</w:t>
      </w:r>
      <w:r>
        <w:rPr>
          <w:rtl w:val="true"/>
        </w:rPr>
        <w:t xml:space="preserve">مسألة </w:t>
      </w:r>
      <w:r>
        <w:rPr/>
        <w:t>1</w:t>
      </w:r>
      <w:r>
        <w:rPr>
          <w:rtl w:val="true"/>
        </w:rPr>
        <w:t xml:space="preserve">): </w:t>
      </w:r>
      <w:r>
        <w:rPr>
          <w:rtl w:val="true"/>
        </w:rPr>
        <w:t>لا یجوز للعبد و لا للأمة أن یتزوّجا بدون إذن المولی</w:t>
      </w:r>
      <w:r>
        <w:rPr>
          <w:rtl w:val="true"/>
        </w:rPr>
        <w:t>]</w:t>
      </w:r>
      <w:bookmarkEnd w:id="7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للعبد و لا للأمة أن یتزوّجا بدون إذن المولی، فلو تزوّجا من غیر إذنه وقف علیٰ إجازته فإذا أجاز جاز، و لو ردّ ثمّ أجاز أو العکس لا أثر </w:t>
      </w:r>
      <w:r>
        <w:rPr>
          <w:rStyle w:val="FootnoteAnchor"/>
          <w:rtl w:val="true"/>
        </w:rPr>
        <w:footnoteReference w:id="1918"/>
      </w:r>
      <w:r>
        <w:rPr>
          <w:rFonts w:ascii="IRNazanin" w:hAnsi="IRNazanin" w:eastAsia="IRNazanin"/>
          <w:color w:val="111111"/>
          <w:sz w:val="28"/>
          <w:sz w:val="28"/>
          <w:szCs w:val="28"/>
          <w:rtl w:val="true"/>
          <w:lang w:bidi="fa-IR"/>
        </w:rPr>
        <w:t>للتالی، و لو کان العبد و الأمة لمالکین أو أکثر وقف علیٰ إذن الجمیع أو إجازتهم، فلو أذن أو أجاز بعضهم دون بعض بطل النکاح</w:t>
      </w:r>
      <w:r>
        <w:rPr>
          <w:rFonts w:eastAsia="IRNazanin" w:cs="IRNazanin"/>
          <w:color w:val="111111"/>
          <w:sz w:val="28"/>
          <w:szCs w:val="28"/>
          <w:rtl w:val="true"/>
          <w:lang w:bidi="fa-IR"/>
        </w:rPr>
        <w:t>.</w:t>
      </w:r>
    </w:p>
    <w:p>
      <w:pPr>
        <w:pStyle w:val="Heading4"/>
        <w:numPr>
          <w:ilvl w:val="3"/>
          <w:numId w:val="1"/>
        </w:numPr>
        <w:rPr/>
      </w:pPr>
      <w:bookmarkStart w:id="7475" w:name="__RefHeading___Toc2571732_3650668749"/>
      <w:bookmarkStart w:id="7476" w:name="_Toc3375"/>
      <w:bookmarkEnd w:id="7475"/>
      <w:r>
        <w:rPr>
          <w:rtl w:val="true"/>
        </w:rPr>
        <w:t>[ (</w:t>
      </w:r>
      <w:r>
        <w:rPr>
          <w:rtl w:val="true"/>
        </w:rPr>
        <w:t xml:space="preserve">مسألة </w:t>
      </w:r>
      <w:r>
        <w:rPr/>
        <w:t>2</w:t>
      </w:r>
      <w:r>
        <w:rPr>
          <w:rtl w:val="true"/>
        </w:rPr>
        <w:t xml:space="preserve">): </w:t>
      </w:r>
      <w:r>
        <w:rPr>
          <w:rtl w:val="true"/>
        </w:rPr>
        <w:t>للسیّد تزویج عبده بحرّة أو أمة</w:t>
      </w:r>
      <w:r>
        <w:rPr>
          <w:rtl w:val="true"/>
        </w:rPr>
        <w:t>]</w:t>
      </w:r>
      <w:bookmarkEnd w:id="7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تزویج عبده بحرّة أو أمة، و کذا تزویج أمته بحرّ أو عبد قهراً علیهما، و لو کانا مبعّضین توقّف صحّته علیٰ رضاهما و إذن السیّد معاً و لیس له إجبارهما</w:t>
      </w:r>
      <w:r>
        <w:rPr>
          <w:rFonts w:eastAsia="IRNazanin" w:cs="IRNazanin"/>
          <w:color w:val="111111"/>
          <w:sz w:val="28"/>
          <w:szCs w:val="28"/>
          <w:rtl w:val="true"/>
          <w:lang w:bidi="fa-IR"/>
        </w:rPr>
        <w:t>.</w:t>
      </w:r>
    </w:p>
    <w:p>
      <w:pPr>
        <w:pStyle w:val="Heading4"/>
        <w:numPr>
          <w:ilvl w:val="3"/>
          <w:numId w:val="1"/>
        </w:numPr>
        <w:rPr/>
      </w:pPr>
      <w:bookmarkStart w:id="7477" w:name="__RefHeading___Toc2571734_3650668749"/>
      <w:bookmarkStart w:id="7478" w:name="_Toc3376"/>
      <w:bookmarkEnd w:id="7477"/>
      <w:r>
        <w:rPr>
          <w:rtl w:val="true"/>
        </w:rPr>
        <w:t>[ (</w:t>
      </w:r>
      <w:r>
        <w:rPr>
          <w:rtl w:val="true"/>
        </w:rPr>
        <w:t xml:space="preserve">مسألة </w:t>
      </w:r>
      <w:r>
        <w:rPr/>
        <w:t>3</w:t>
      </w:r>
      <w:r>
        <w:rPr>
          <w:rtl w:val="true"/>
        </w:rPr>
        <w:t xml:space="preserve">): </w:t>
      </w:r>
      <w:r>
        <w:rPr>
          <w:rtl w:val="true"/>
        </w:rPr>
        <w:t>لو أذن المولی عبده فی التزویج کان علیه المهر</w:t>
      </w:r>
      <w:r>
        <w:rPr>
          <w:rtl w:val="true"/>
        </w:rPr>
        <w:t>]</w:t>
      </w:r>
      <w:bookmarkEnd w:id="7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أذن المولی عبده فی التزویج کان علیه المهر </w:t>
      </w:r>
      <w:r>
        <w:rPr>
          <w:rStyle w:val="FootnoteAnchor"/>
          <w:rtl w:val="true"/>
        </w:rPr>
        <w:footnoteReference w:id="1919"/>
      </w:r>
      <w:r>
        <w:rPr>
          <w:rFonts w:ascii="IRNazanin" w:hAnsi="IRNazanin" w:eastAsia="IRNazanin"/>
          <w:color w:val="111111"/>
          <w:sz w:val="28"/>
          <w:sz w:val="28"/>
          <w:szCs w:val="28"/>
          <w:rtl w:val="true"/>
          <w:lang w:bidi="fa-IR"/>
        </w:rPr>
        <w:t>و نفقة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عیّن کون المهر فی ذمّة العبد تعیّن و یتبع به بعد العتق</w:t>
      </w:r>
      <w:r>
        <w:rPr>
          <w:rFonts w:eastAsia="IRNazanin" w:cs="IRNazanin"/>
          <w:color w:val="111111"/>
          <w:sz w:val="28"/>
          <w:szCs w:val="28"/>
          <w:rtl w:val="true"/>
          <w:lang w:bidi="fa-IR"/>
        </w:rPr>
        <w:t>.</w:t>
      </w:r>
    </w:p>
    <w:p>
      <w:pPr>
        <w:pStyle w:val="Heading4"/>
        <w:numPr>
          <w:ilvl w:val="3"/>
          <w:numId w:val="1"/>
        </w:numPr>
        <w:rPr/>
      </w:pPr>
      <w:bookmarkStart w:id="7479" w:name="__RefHeading___Toc2571736_3650668749"/>
      <w:bookmarkStart w:id="7480" w:name="_Toc3377"/>
      <w:bookmarkEnd w:id="7479"/>
      <w:r>
        <w:rPr>
          <w:rtl w:val="true"/>
        </w:rPr>
        <w:t>[ (</w:t>
      </w:r>
      <w:r>
        <w:rPr>
          <w:rtl w:val="true"/>
        </w:rPr>
        <w:t xml:space="preserve">مسألة </w:t>
      </w:r>
      <w:r>
        <w:rPr/>
        <w:t>4</w:t>
      </w:r>
      <w:r>
        <w:rPr>
          <w:rtl w:val="true"/>
        </w:rPr>
        <w:t xml:space="preserve">): </w:t>
      </w:r>
      <w:r>
        <w:rPr>
          <w:rtl w:val="true"/>
        </w:rPr>
        <w:t>مهر الأمة المزوّجة للمولیٰ؛ سواء کان هو المباشر لتزویجها أو هی بإذنه أو إجازته</w:t>
      </w:r>
      <w:r>
        <w:rPr>
          <w:rtl w:val="true"/>
        </w:rPr>
        <w:t>]</w:t>
      </w:r>
      <w:bookmarkEnd w:id="7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الأمة المزوّجة للمولیٰ؛ سواء کان هو المباشر لتزویجها أو هی بإذنه أو إجازته، و نفقتها علی الزوج، و للمولی استخدامها بما لا ینافی حقّ الزوج</w:t>
      </w:r>
      <w:r>
        <w:rPr>
          <w:rFonts w:eastAsia="IRNazanin" w:cs="IRNazanin"/>
          <w:color w:val="111111"/>
          <w:sz w:val="28"/>
          <w:szCs w:val="28"/>
          <w:rtl w:val="true"/>
          <w:lang w:bidi="fa-IR"/>
        </w:rPr>
        <w:t>.</w:t>
      </w:r>
    </w:p>
    <w:p>
      <w:pPr>
        <w:pStyle w:val="Heading4"/>
        <w:numPr>
          <w:ilvl w:val="3"/>
          <w:numId w:val="1"/>
        </w:numPr>
        <w:rPr/>
      </w:pPr>
      <w:bookmarkStart w:id="7481" w:name="__RefHeading___Toc2571738_3650668749"/>
      <w:bookmarkStart w:id="7482" w:name="_Toc3378"/>
      <w:bookmarkEnd w:id="7481"/>
      <w:r>
        <w:rPr>
          <w:rtl w:val="true"/>
        </w:rPr>
        <w:t>[ (</w:t>
      </w:r>
      <w:r>
        <w:rPr>
          <w:rtl w:val="true"/>
        </w:rPr>
        <w:t xml:space="preserve">مسألة </w:t>
      </w:r>
      <w:r>
        <w:rPr/>
        <w:t>5</w:t>
      </w:r>
      <w:r>
        <w:rPr>
          <w:rtl w:val="true"/>
        </w:rPr>
        <w:t xml:space="preserve">): </w:t>
      </w:r>
      <w:r>
        <w:rPr>
          <w:rtl w:val="true"/>
        </w:rPr>
        <w:t>یجوز للمولیٰ تزویج أمته من عبده قهراً علیهما</w:t>
      </w:r>
      <w:r>
        <w:rPr>
          <w:rtl w:val="true"/>
        </w:rPr>
        <w:t>]</w:t>
      </w:r>
      <w:bookmarkEnd w:id="7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للمولیٰ تزویج أمته من عبده قهراً علیهما، و له بعد ذلک التفریق بینهما، و لا یحتاج إلی الطلاق، بل یکفی أن یأمرهما بالمفارقة و الاعتزال</w:t>
      </w:r>
      <w:r>
        <w:rPr>
          <w:rFonts w:eastAsia="IRNazanin" w:cs="IRNazanin"/>
          <w:color w:val="111111"/>
          <w:sz w:val="28"/>
          <w:szCs w:val="28"/>
          <w:rtl w:val="true"/>
          <w:lang w:bidi="fa-IR"/>
        </w:rPr>
        <w:t>.</w:t>
      </w:r>
    </w:p>
    <w:p>
      <w:pPr>
        <w:pStyle w:val="Heading4"/>
        <w:numPr>
          <w:ilvl w:val="3"/>
          <w:numId w:val="1"/>
        </w:numPr>
        <w:rPr/>
      </w:pPr>
      <w:bookmarkStart w:id="7483" w:name="__RefHeading___Toc2571740_3650668749"/>
      <w:bookmarkStart w:id="7484" w:name="_Toc3379"/>
      <w:bookmarkEnd w:id="7483"/>
      <w:r>
        <w:rPr>
          <w:rtl w:val="true"/>
        </w:rPr>
        <w:t>[ (</w:t>
      </w:r>
      <w:r>
        <w:rPr>
          <w:rtl w:val="true"/>
        </w:rPr>
        <w:t xml:space="preserve">مسألة </w:t>
      </w:r>
      <w:r>
        <w:rPr/>
        <w:t>6</w:t>
      </w:r>
      <w:r>
        <w:rPr>
          <w:rtl w:val="true"/>
        </w:rPr>
        <w:t xml:space="preserve">): </w:t>
      </w:r>
      <w:r>
        <w:rPr>
          <w:rtl w:val="true"/>
        </w:rPr>
        <w:t>لا یجوز للمولیٰ وطء أمته المزوّجة و لو من عبده حتّی یفارقها و تخرج من العدّة</w:t>
      </w:r>
      <w:r>
        <w:rPr>
          <w:rtl w:val="true"/>
        </w:rPr>
        <w:t>]</w:t>
      </w:r>
      <w:bookmarkEnd w:id="7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للمولیٰ وطء أمته المزوّجة و لو من عبده حتّی یفارقها و تخرج من العدّة، بل لا یجوز له النظر منها إلیٰ ما لا یجوز لغیر الزوج و المالک، فضلًا عن سائر الاستمتاعات بها کاللمس و القبلة علی الأحوط لو لم یکن الأقویٰ</w:t>
      </w:r>
      <w:r>
        <w:rPr>
          <w:rFonts w:eastAsia="IRNazanin" w:cs="IRNazanin"/>
          <w:color w:val="111111"/>
          <w:sz w:val="28"/>
          <w:szCs w:val="28"/>
          <w:rtl w:val="true"/>
          <w:lang w:bidi="fa-IR"/>
        </w:rPr>
        <w:t>.</w:t>
      </w:r>
    </w:p>
    <w:p>
      <w:pPr>
        <w:pStyle w:val="Heading4"/>
        <w:numPr>
          <w:ilvl w:val="3"/>
          <w:numId w:val="1"/>
        </w:numPr>
        <w:rPr/>
      </w:pPr>
      <w:bookmarkStart w:id="7485" w:name="__RefHeading___Toc2571742_3650668749"/>
      <w:bookmarkStart w:id="7486" w:name="_Toc3380"/>
      <w:bookmarkEnd w:id="7485"/>
      <w:r>
        <w:rPr>
          <w:rtl w:val="true"/>
        </w:rPr>
        <w:t>[ (</w:t>
      </w:r>
      <w:r>
        <w:rPr>
          <w:rtl w:val="true"/>
        </w:rPr>
        <w:t xml:space="preserve">مسألة </w:t>
      </w:r>
      <w:r>
        <w:rPr/>
        <w:t>7</w:t>
      </w:r>
      <w:r>
        <w:rPr>
          <w:rtl w:val="true"/>
        </w:rPr>
        <w:t xml:space="preserve">): </w:t>
      </w:r>
      <w:r>
        <w:rPr>
          <w:rtl w:val="true"/>
        </w:rPr>
        <w:t>المتولّد بین الرقّین رقّ؛ سواء کان عن نکاح صحیح أو شبهة أو عن زنا من طرف واحد أو طرفین</w:t>
      </w:r>
      <w:r>
        <w:rPr>
          <w:rtl w:val="true"/>
        </w:rPr>
        <w:t>]</w:t>
      </w:r>
      <w:bookmarkEnd w:id="7486"/>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المتولّد بین الرقّین رقّ؛ سواء کان عن نکاح صحیح أو شبهة أو عن زنا من طرف واحد أو طرفین، فإن کان العبد و الأمة لمالک واحد فالولد له، و إن کان کلّ منهما لمالک فالولد بینهما بالسویّة، إلّا إذا کان الولد عن زنا من طرف العبد فإنّ الولد لمالک الأمة؛ سواء کان من طرفها زنا أو شبهة</w:t>
      </w:r>
      <w:r>
        <w:rPr>
          <w:rFonts w:eastAsia="IRNazanin" w:cs="IRNazanin"/>
          <w:color w:val="111111"/>
          <w:sz w:val="28"/>
          <w:szCs w:val="28"/>
          <w:rtl w:val="true"/>
          <w:lang w:bidi="fa-IR"/>
        </w:rPr>
        <w:t>.</w:t>
      </w:r>
      <w:bookmarkStart w:id="7487" w:name="pg1809_19939"/>
    </w:p>
    <w:p>
      <w:pPr>
        <w:pStyle w:val="Heading4"/>
        <w:numPr>
          <w:ilvl w:val="3"/>
          <w:numId w:val="1"/>
        </w:numPr>
        <w:rPr/>
      </w:pPr>
      <w:bookmarkStart w:id="7488" w:name="__RefHeading___Toc2571744_3650668749"/>
      <w:bookmarkStart w:id="7489" w:name="_Toc3381"/>
      <w:bookmarkEnd w:id="7487"/>
      <w:bookmarkEnd w:id="7488"/>
      <w:r>
        <w:rPr>
          <w:rtl w:val="true"/>
        </w:rPr>
        <w:t>[ (</w:t>
      </w:r>
      <w:r>
        <w:rPr>
          <w:rtl w:val="true"/>
        </w:rPr>
        <w:t xml:space="preserve">مسألة </w:t>
      </w:r>
      <w:r>
        <w:rPr/>
        <w:t>8</w:t>
      </w:r>
      <w:r>
        <w:rPr>
          <w:rtl w:val="true"/>
        </w:rPr>
        <w:t xml:space="preserve">): </w:t>
      </w:r>
      <w:r>
        <w:rPr>
          <w:rtl w:val="true"/>
        </w:rPr>
        <w:t>إذا أوقع المالکان العقد بین العبد و الأمة، و شرطا أن یکون الولد لأحدهما دون الآخر</w:t>
      </w:r>
      <w:r>
        <w:rPr>
          <w:rtl w:val="true"/>
        </w:rPr>
        <w:t>]</w:t>
      </w:r>
      <w:bookmarkEnd w:id="7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أوقع المالکان العقد بین العبد و الأمة، و شرطا أن یکون الولد لأحدهما دون الآخر، أو کان نصیب أحدهما منه أزید من الآخر؛ بأن یکون له ثلثاه و للآخر ثلث مثلًا صحّ الشرط و لزم</w:t>
      </w:r>
      <w:r>
        <w:rPr>
          <w:rFonts w:eastAsia="IRNazanin" w:cs="IRNazanin"/>
          <w:color w:val="111111"/>
          <w:sz w:val="28"/>
          <w:szCs w:val="28"/>
          <w:rtl w:val="true"/>
          <w:lang w:bidi="fa-IR"/>
        </w:rPr>
        <w:t>.</w:t>
      </w:r>
    </w:p>
    <w:p>
      <w:pPr>
        <w:pStyle w:val="Heading4"/>
        <w:numPr>
          <w:ilvl w:val="3"/>
          <w:numId w:val="1"/>
        </w:numPr>
        <w:rPr/>
      </w:pPr>
      <w:bookmarkStart w:id="7490" w:name="__RefHeading___Toc2571746_3650668749"/>
      <w:bookmarkStart w:id="7491" w:name="_Toc3382"/>
      <w:bookmarkEnd w:id="7490"/>
      <w:r>
        <w:rPr>
          <w:rtl w:val="true"/>
        </w:rPr>
        <w:t>[ (</w:t>
      </w:r>
      <w:r>
        <w:rPr>
          <w:rtl w:val="true"/>
        </w:rPr>
        <w:t xml:space="preserve">مسألة </w:t>
      </w:r>
      <w:r>
        <w:rPr/>
        <w:t>9</w:t>
      </w:r>
      <w:r>
        <w:rPr>
          <w:rtl w:val="true"/>
        </w:rPr>
        <w:t xml:space="preserve">): </w:t>
      </w:r>
      <w:r>
        <w:rPr>
          <w:rtl w:val="true"/>
        </w:rPr>
        <w:t>إذا کان أحد أبوی الولد حرّا فالولد حرّ</w:t>
      </w:r>
      <w:r>
        <w:rPr>
          <w:rtl w:val="true"/>
        </w:rPr>
        <w:t>]</w:t>
      </w:r>
      <w:bookmarkEnd w:id="7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أحد أبوی الولد حرّا فالولد حرّ، و إذا شرط مالک العبد أو الأمة فی ضمن العقد کونه رقّاً له، فالمشهور صحّة الشرط و لزومه، و هو لا یخلو من قوّة و إن لم یخل من إشکال</w:t>
      </w:r>
      <w:r>
        <w:rPr>
          <w:rFonts w:eastAsia="IRNazanin" w:cs="IRNazanin"/>
          <w:color w:val="111111"/>
          <w:sz w:val="28"/>
          <w:szCs w:val="28"/>
          <w:rtl w:val="true"/>
          <w:lang w:bidi="fa-IR"/>
        </w:rPr>
        <w:t>.</w:t>
      </w:r>
    </w:p>
    <w:p>
      <w:pPr>
        <w:pStyle w:val="Heading4"/>
        <w:numPr>
          <w:ilvl w:val="3"/>
          <w:numId w:val="1"/>
        </w:numPr>
        <w:rPr/>
      </w:pPr>
      <w:bookmarkStart w:id="7492" w:name="__RefHeading___Toc2571748_3650668749"/>
      <w:bookmarkStart w:id="7493" w:name="_Toc3383"/>
      <w:bookmarkEnd w:id="7492"/>
      <w:r>
        <w:rPr>
          <w:rtl w:val="true"/>
        </w:rPr>
        <w:t>[ (</w:t>
      </w:r>
      <w:r>
        <w:rPr>
          <w:rtl w:val="true"/>
        </w:rPr>
        <w:t xml:space="preserve">مسألة </w:t>
      </w:r>
      <w:r>
        <w:rPr/>
        <w:t>10</w:t>
      </w:r>
      <w:r>
        <w:rPr>
          <w:rtl w:val="true"/>
        </w:rPr>
        <w:t xml:space="preserve">): </w:t>
      </w:r>
      <w:r>
        <w:rPr>
          <w:rtl w:val="true"/>
        </w:rPr>
        <w:t>إذا زنی العبد بحرّة فالولد حرّ و إن کانت هی أیضاً زانیة</w:t>
      </w:r>
      <w:r>
        <w:rPr>
          <w:rtl w:val="true"/>
        </w:rPr>
        <w:t>]</w:t>
      </w:r>
      <w:bookmarkEnd w:id="7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العبد بحرّة فالولد حرّ و إن کانت هی أیضاً زانیة، بخلاف ما لو زنیٰ حرّ بأمة الغیر فإنّ الولد رقّ لمولاها و إن کانت هی أیضاً زانیة، و کذا لو زنیٰ عبد شخص بأمة الغیر فإنّ الولد لمولاها</w:t>
      </w:r>
      <w:r>
        <w:rPr>
          <w:rFonts w:eastAsia="IRNazanin" w:cs="IRNazanin"/>
          <w:color w:val="111111"/>
          <w:sz w:val="28"/>
          <w:szCs w:val="28"/>
          <w:rtl w:val="true"/>
          <w:lang w:bidi="fa-IR"/>
        </w:rPr>
        <w:t>.</w:t>
      </w:r>
    </w:p>
    <w:p>
      <w:pPr>
        <w:pStyle w:val="Heading4"/>
        <w:numPr>
          <w:ilvl w:val="3"/>
          <w:numId w:val="1"/>
        </w:numPr>
        <w:rPr/>
      </w:pPr>
      <w:bookmarkStart w:id="7494" w:name="__RefHeading___Toc2571750_3650668749"/>
      <w:bookmarkStart w:id="7495" w:name="_Toc3384"/>
      <w:bookmarkEnd w:id="7494"/>
      <w:r>
        <w:rPr>
          <w:rtl w:val="true"/>
        </w:rPr>
        <w:t>[ (</w:t>
      </w:r>
      <w:r>
        <w:rPr>
          <w:rtl w:val="true"/>
        </w:rPr>
        <w:t xml:space="preserve">مسألة </w:t>
      </w:r>
      <w:r>
        <w:rPr/>
        <w:t>11</w:t>
      </w:r>
      <w:r>
        <w:rPr>
          <w:rtl w:val="true"/>
        </w:rPr>
        <w:t xml:space="preserve">): </w:t>
      </w:r>
      <w:r>
        <w:rPr>
          <w:rtl w:val="true"/>
        </w:rPr>
        <w:t>إذا أُعتقت الأمة المزوّجة، کان لها فسخ نکاحها و إن کانت تحت حرّ علی الأقویٰ</w:t>
      </w:r>
      <w:r>
        <w:rPr>
          <w:rtl w:val="true"/>
        </w:rPr>
        <w:t>]</w:t>
      </w:r>
      <w:bookmarkEnd w:id="7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أُعتقت الأمة المزوّجة، کان لها فسخ نکاحها و إن کانت تحت حرّ علی الأقویٰ؛ سواء کان نکاحها دائماً أو منقطعاً، و سواء کان قبل الدخول أو بعده، و هذا الخیار علی الفور علی الأحوط </w:t>
      </w:r>
      <w:r>
        <w:rPr>
          <w:rStyle w:val="FootnoteAnchor"/>
          <w:rtl w:val="true"/>
        </w:rPr>
        <w:footnoteReference w:id="1920"/>
      </w:r>
      <w:r>
        <w:rPr>
          <w:rFonts w:ascii="IRNazanin" w:hAnsi="IRNazanin" w:eastAsia="IRNazanin"/>
          <w:color w:val="111111"/>
          <w:sz w:val="28"/>
          <w:sz w:val="28"/>
          <w:szCs w:val="28"/>
          <w:rtl w:val="true"/>
          <w:lang w:bidi="fa-IR"/>
        </w:rPr>
        <w:t>فوراً عرفیّاً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جاهلة بالعتق أو الخیار أو الفوریّة جاز لها الفسخ بعد العلم و لا یضرّه التأخیر الواقع من جهة الجهل بأحدها</w:t>
      </w:r>
      <w:r>
        <w:rPr>
          <w:rFonts w:eastAsia="IRNazanin" w:cs="IRNazanin"/>
          <w:color w:val="111111"/>
          <w:sz w:val="28"/>
          <w:szCs w:val="28"/>
          <w:rtl w:val="true"/>
          <w:lang w:bidi="fa-IR"/>
        </w:rPr>
        <w:t>.</w:t>
      </w:r>
    </w:p>
    <w:p>
      <w:pPr>
        <w:pStyle w:val="Heading4"/>
        <w:numPr>
          <w:ilvl w:val="3"/>
          <w:numId w:val="1"/>
        </w:numPr>
        <w:rPr/>
      </w:pPr>
      <w:bookmarkStart w:id="7496" w:name="__RefHeading___Toc2571752_3650668749"/>
      <w:bookmarkStart w:id="7497" w:name="_Toc3385"/>
      <w:bookmarkEnd w:id="7496"/>
      <w:r>
        <w:rPr>
          <w:rtl w:val="true"/>
        </w:rPr>
        <w:t>[ (</w:t>
      </w:r>
      <w:r>
        <w:rPr>
          <w:rtl w:val="true"/>
        </w:rPr>
        <w:t xml:space="preserve">مسألة </w:t>
      </w:r>
      <w:r>
        <w:rPr/>
        <w:t>12</w:t>
      </w:r>
      <w:r>
        <w:rPr>
          <w:rtl w:val="true"/>
        </w:rPr>
        <w:t xml:space="preserve">): </w:t>
      </w:r>
      <w:r>
        <w:rPr>
          <w:rtl w:val="true"/>
        </w:rPr>
        <w:t>یجوز للمولیٰ تحلیل أمته للغیر فی وطئها و سائر الاستمتاعات منها</w:t>
      </w:r>
      <w:r>
        <w:rPr>
          <w:rtl w:val="true"/>
        </w:rPr>
        <w:t>]</w:t>
      </w:r>
      <w:bookmarkEnd w:id="7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للمولیٰ تحلیل أمته للغیر فی وطئها و سائر الاستمتاعات منها، و لو اقتصر علیٰ بعضها کالنظر أو التقبیل أو اللمس مثلًا لا یستبیح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أحلّ له الوطء حلّ له ما دونه </w:t>
      </w:r>
      <w:r>
        <w:rPr>
          <w:rStyle w:val="FootnoteAnchor"/>
          <w:rtl w:val="true"/>
        </w:rPr>
        <w:footnoteReference w:id="1921"/>
      </w:r>
      <w:r>
        <w:rPr>
          <w:rFonts w:ascii="IRNazanin" w:hAnsi="IRNazanin" w:eastAsia="IRNazanin"/>
          <w:color w:val="111111"/>
          <w:sz w:val="28"/>
          <w:sz w:val="28"/>
          <w:szCs w:val="28"/>
          <w:rtl w:val="true"/>
          <w:lang w:bidi="fa-IR"/>
        </w:rPr>
        <w:t>من ضروب الاستمتاع، لکن لا یحلّ بذلک استخدامها</w:t>
      </w:r>
      <w:r>
        <w:rPr>
          <w:rFonts w:eastAsia="IRNazanin" w:cs="IRNazanin"/>
          <w:color w:val="111111"/>
          <w:sz w:val="28"/>
          <w:szCs w:val="28"/>
          <w:rtl w:val="true"/>
          <w:lang w:bidi="fa-IR"/>
        </w:rPr>
        <w:t>.</w:t>
      </w:r>
    </w:p>
    <w:p>
      <w:pPr>
        <w:pStyle w:val="Heading4"/>
        <w:numPr>
          <w:ilvl w:val="3"/>
          <w:numId w:val="1"/>
        </w:numPr>
        <w:rPr/>
      </w:pPr>
      <w:bookmarkStart w:id="7498" w:name="__RefHeading___Toc2571754_3650668749"/>
      <w:bookmarkStart w:id="7499" w:name="_Toc3386"/>
      <w:bookmarkEnd w:id="7498"/>
      <w:r>
        <w:rPr>
          <w:rtl w:val="true"/>
        </w:rPr>
        <w:t>[ (</w:t>
      </w:r>
      <w:r>
        <w:rPr>
          <w:rtl w:val="true"/>
        </w:rPr>
        <w:t xml:space="preserve">مسألة </w:t>
      </w:r>
      <w:r>
        <w:rPr/>
        <w:t>13</w:t>
      </w:r>
      <w:r>
        <w:rPr>
          <w:rtl w:val="true"/>
        </w:rPr>
        <w:t xml:space="preserve">): </w:t>
      </w:r>
      <w:r>
        <w:rPr>
          <w:rtl w:val="true"/>
        </w:rPr>
        <w:t>لا یکفی فی التحلیل مجرّد التراضی و التعاطی</w:t>
      </w:r>
      <w:r>
        <w:rPr>
          <w:rtl w:val="true"/>
        </w:rPr>
        <w:t>]</w:t>
      </w:r>
      <w:bookmarkEnd w:id="7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فی التحلیل مجرّد التراضی و التعاطی، بل یحتاج إلی الصیغة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أحللت لک وطءها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جعلتک فی حلّ من وطئها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الأقوی جواز إیقاعه بلفظ الإباحة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أبحت لک وطءها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بل عدم اعتبار لفظ مخصوص و کفایة کلّ لفظ أفاد المقصود بحسب متفاهم العرف لا یخلو من قوّة، بل الظاهر عدم اعتبار العربیّة أیضاً</w:t>
      </w:r>
      <w:r>
        <w:rPr>
          <w:rFonts w:eastAsia="IRNazanin" w:cs="IRNazanin"/>
          <w:color w:val="111111"/>
          <w:sz w:val="28"/>
          <w:szCs w:val="28"/>
          <w:rtl w:val="true"/>
          <w:lang w:bidi="fa-IR"/>
        </w:rPr>
        <w:t>.</w:t>
      </w:r>
    </w:p>
    <w:p>
      <w:pPr>
        <w:pStyle w:val="Heading4"/>
        <w:numPr>
          <w:ilvl w:val="3"/>
          <w:numId w:val="1"/>
        </w:numPr>
        <w:rPr/>
      </w:pPr>
      <w:bookmarkStart w:id="7500" w:name="__RefHeading___Toc2571756_3650668749"/>
      <w:bookmarkStart w:id="7501" w:name="_Toc3387"/>
      <w:bookmarkEnd w:id="7500"/>
      <w:r>
        <w:rPr>
          <w:rtl w:val="true"/>
        </w:rPr>
        <w:t>[ (</w:t>
      </w:r>
      <w:r>
        <w:rPr>
          <w:rtl w:val="true"/>
        </w:rPr>
        <w:t xml:space="preserve">مسألة </w:t>
      </w:r>
      <w:r>
        <w:rPr/>
        <w:t>14</w:t>
      </w:r>
      <w:r>
        <w:rPr>
          <w:rtl w:val="true"/>
        </w:rPr>
        <w:t xml:space="preserve">): </w:t>
      </w:r>
      <w:r>
        <w:rPr>
          <w:rtl w:val="true"/>
        </w:rPr>
        <w:t>المحلّلة للوطء کالمزوّجة علی الأحوط</w:t>
      </w:r>
      <w:r>
        <w:rPr>
          <w:rtl w:val="true"/>
        </w:rPr>
        <w:t>]</w:t>
      </w:r>
      <w:bookmarkEnd w:id="7501"/>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المحلّلة للوطء کالمزوّجة علی الأحوط </w:t>
      </w:r>
      <w:r>
        <w:rPr>
          <w:rStyle w:val="FootnoteAnchor"/>
          <w:rtl w:val="true"/>
        </w:rPr>
        <w:footnoteReference w:id="1922"/>
      </w:r>
      <w:r>
        <w:rPr>
          <w:rFonts w:ascii="IRNazanin" w:hAnsi="IRNazanin" w:eastAsia="IRNazanin"/>
          <w:color w:val="111111"/>
          <w:sz w:val="28"/>
          <w:sz w:val="28"/>
          <w:szCs w:val="28"/>
          <w:rtl w:val="true"/>
          <w:lang w:bidi="fa-IR"/>
        </w:rPr>
        <w:t>لو لم یکن أقوی فلا یجوز</w:t>
      </w:r>
      <w:bookmarkStart w:id="7502" w:name="pg1809_19941"/>
    </w:p>
    <w:p>
      <w:pPr>
        <w:pStyle w:val="BookText"/>
        <w:rPr/>
      </w:pPr>
      <w:bookmarkEnd w:id="7502"/>
      <w:r>
        <w:rPr>
          <w:rFonts w:ascii="IRNazanin" w:hAnsi="IRNazanin" w:eastAsia="IRNazanin"/>
          <w:color w:val="111111"/>
          <w:sz w:val="28"/>
          <w:sz w:val="28"/>
          <w:szCs w:val="28"/>
          <w:rtl w:val="true"/>
          <w:lang w:bidi="fa-IR"/>
        </w:rPr>
        <w:t>للمولیٰ وطؤها و لا سائر الاستمتاعات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المحلّلة لغیر الوطء، فالظاهر </w:t>
      </w:r>
      <w:r>
        <w:rPr>
          <w:rStyle w:val="FootnoteAnchor"/>
          <w:rtl w:val="true"/>
        </w:rPr>
        <w:footnoteReference w:id="1923"/>
      </w:r>
      <w:r>
        <w:rPr>
          <w:rFonts w:ascii="IRNazanin" w:hAnsi="IRNazanin" w:eastAsia="IRNazanin"/>
          <w:color w:val="111111"/>
          <w:sz w:val="28"/>
          <w:sz w:val="28"/>
          <w:szCs w:val="28"/>
          <w:rtl w:val="true"/>
          <w:lang w:bidi="fa-IR"/>
        </w:rPr>
        <w:t>جواز وطئها للمالک فضلًا عن النظر و سائر الاستمتاعات، إلّا أنّ الأحوط خلافه خصوصاً فی الوطء، بل الاحتیاط فیه لا یترک</w:t>
      </w:r>
      <w:r>
        <w:rPr>
          <w:rFonts w:eastAsia="IRNazanin" w:cs="IRNazanin"/>
          <w:color w:val="111111"/>
          <w:sz w:val="28"/>
          <w:szCs w:val="28"/>
          <w:rtl w:val="true"/>
          <w:lang w:bidi="fa-IR"/>
        </w:rPr>
        <w:t>.</w:t>
      </w:r>
    </w:p>
    <w:p>
      <w:pPr>
        <w:pStyle w:val="Heading3"/>
        <w:numPr>
          <w:ilvl w:val="2"/>
          <w:numId w:val="1"/>
        </w:numPr>
        <w:rPr/>
      </w:pPr>
      <w:bookmarkStart w:id="7503" w:name="__RefHeading___Toc2571758_3650668749"/>
      <w:bookmarkStart w:id="7504" w:name="_Toc3388"/>
      <w:bookmarkEnd w:id="7503"/>
      <w:r>
        <w:rPr>
          <w:rtl w:val="true"/>
        </w:rPr>
        <w:t>[</w:t>
      </w:r>
      <w:r>
        <w:rPr>
          <w:rtl w:val="true"/>
        </w:rPr>
        <w:t>القول فی العیوب الموجبة لخیار الفسخ و التدلیس</w:t>
      </w:r>
      <w:r>
        <w:rPr>
          <w:rtl w:val="true"/>
        </w:rPr>
        <w:t>]</w:t>
      </w:r>
      <w:bookmarkEnd w:id="7504"/>
    </w:p>
    <w:p>
      <w:pPr>
        <w:pStyle w:val="Heading4"/>
        <w:numPr>
          <w:ilvl w:val="3"/>
          <w:numId w:val="1"/>
        </w:numPr>
        <w:rPr/>
      </w:pPr>
      <w:bookmarkStart w:id="7505" w:name="__RefHeading___Toc2571760_3650668749"/>
      <w:bookmarkStart w:id="7506" w:name="_Toc3389"/>
      <w:bookmarkEnd w:id="7505"/>
      <w:r>
        <w:rPr>
          <w:rtl w:val="true"/>
        </w:rPr>
        <w:t>اشارة</w:t>
      </w:r>
      <w:bookmarkEnd w:id="7506"/>
    </w:p>
    <w:p>
      <w:pPr>
        <w:pStyle w:val="BookText"/>
        <w:rPr/>
      </w:pPr>
      <w:r>
        <w:rPr>
          <w:rFonts w:ascii="IRNazanin" w:hAnsi="IRNazanin" w:eastAsia="IRNazanin"/>
          <w:color w:val="111111"/>
          <w:sz w:val="28"/>
          <w:sz w:val="28"/>
          <w:szCs w:val="28"/>
          <w:rtl w:val="true"/>
          <w:lang w:bidi="fa-IR"/>
        </w:rPr>
        <w:t>القول فی العیوب الموجبة لخیار الفسخ و التدلیس و هی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و مختصّ</w:t>
      </w:r>
      <w:r>
        <w:rPr>
          <w:rFonts w:eastAsia="IRNazanin" w:cs="IRNazanin"/>
          <w:color w:val="111111"/>
          <w:sz w:val="28"/>
          <w:szCs w:val="28"/>
          <w:rtl w:val="true"/>
          <w:lang w:bidi="fa-IR"/>
        </w:rPr>
        <w:t>.</w:t>
      </w:r>
    </w:p>
    <w:p>
      <w:pPr>
        <w:pStyle w:val="Heading4"/>
        <w:numPr>
          <w:ilvl w:val="3"/>
          <w:numId w:val="1"/>
        </w:numPr>
        <w:rPr/>
      </w:pPr>
      <w:bookmarkStart w:id="7507" w:name="__RefHeading___Toc2571762_3650668749"/>
      <w:bookmarkStart w:id="7508" w:name="_Toc3390"/>
      <w:bookmarkEnd w:id="7507"/>
      <w:r>
        <w:rPr>
          <w:rtl w:val="true"/>
        </w:rPr>
        <w:t>[</w:t>
      </w:r>
      <w:r>
        <w:rPr>
          <w:rtl w:val="true"/>
        </w:rPr>
        <w:t>أمّا المشترک</w:t>
      </w:r>
      <w:r>
        <w:rPr>
          <w:rtl w:val="true"/>
        </w:rPr>
        <w:t>]</w:t>
      </w:r>
      <w:bookmarkEnd w:id="7508"/>
    </w:p>
    <w:p>
      <w:pPr>
        <w:pStyle w:val="BookText"/>
        <w:rPr/>
      </w:pPr>
      <w:r>
        <w:rPr>
          <w:rFonts w:ascii="IRNazanin" w:hAnsi="IRNazanin" w:eastAsia="IRNazanin"/>
          <w:color w:val="111111"/>
          <w:sz w:val="28"/>
          <w:sz w:val="28"/>
          <w:szCs w:val="28"/>
          <w:rtl w:val="true"/>
          <w:lang w:bidi="fa-IR"/>
        </w:rPr>
        <w:t>أمّا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الجنون، و هو اختلال العقل، و لیس منه الإغماء و مرض الصرع الموجب لعروض الحالة المعهودة فی بعض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من الزوجین فسخ النکاح بجنون صاحبه، فی الرجل مطلقاً؛ سواء کان جنونه قبل العقد مع جهل المرأة به أو حدث بعده </w:t>
      </w:r>
      <w:r>
        <w:rPr>
          <w:rStyle w:val="FootnoteAnchor"/>
          <w:rtl w:val="true"/>
        </w:rPr>
        <w:footnoteReference w:id="1924"/>
      </w:r>
      <w:r>
        <w:rPr>
          <w:rFonts w:ascii="IRNazanin" w:hAnsi="IRNazanin" w:eastAsia="IRNazanin"/>
          <w:color w:val="111111"/>
          <w:sz w:val="28"/>
          <w:sz w:val="28"/>
          <w:szCs w:val="28"/>
          <w:rtl w:val="true"/>
          <w:lang w:bidi="fa-IR"/>
        </w:rPr>
        <w:t>قبل الوطء أو بعده، و أمّا فی المرأة ففیما إذا کان جنونها قبل العقد و لم یعلم الرجل، دون ما إذا طرأ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الجنون الموجب للخیار بین المطبق و الأدوار و إن وقع العقد حال إفاقته، کما أنّ الظاهر عدم الفرق فی الحکم بین النکاح الدائم و المنقطع</w:t>
      </w:r>
      <w:r>
        <w:rPr>
          <w:rFonts w:eastAsia="IRNazanin" w:cs="IRNazanin"/>
          <w:color w:val="111111"/>
          <w:sz w:val="28"/>
          <w:szCs w:val="28"/>
          <w:rtl w:val="true"/>
          <w:lang w:bidi="fa-IR"/>
        </w:rPr>
        <w:t>.</w:t>
      </w:r>
    </w:p>
    <w:p>
      <w:pPr>
        <w:pStyle w:val="Heading4"/>
        <w:numPr>
          <w:ilvl w:val="3"/>
          <w:numId w:val="1"/>
        </w:numPr>
        <w:rPr/>
      </w:pPr>
      <w:bookmarkStart w:id="7509" w:name="__RefHeading___Toc2571764_3650668749"/>
      <w:bookmarkStart w:id="7510" w:name="_Toc3391"/>
      <w:bookmarkEnd w:id="7509"/>
      <w:r>
        <w:rPr>
          <w:rtl w:val="true"/>
        </w:rPr>
        <w:t>[</w:t>
      </w:r>
      <w:r>
        <w:rPr>
          <w:rtl w:val="true"/>
        </w:rPr>
        <w:t>و أمّا المختصّ</w:t>
      </w:r>
      <w:r>
        <w:rPr>
          <w:rtl w:val="true"/>
        </w:rPr>
        <w:t>]</w:t>
      </w:r>
      <w:bookmarkEnd w:id="7510"/>
    </w:p>
    <w:p>
      <w:pPr>
        <w:pStyle w:val="Heading5"/>
        <w:numPr>
          <w:ilvl w:val="4"/>
          <w:numId w:val="1"/>
        </w:numPr>
        <w:rPr/>
      </w:pPr>
      <w:bookmarkStart w:id="7511" w:name="__RefHeading___Toc2571766_3650668749"/>
      <w:bookmarkStart w:id="7512" w:name="_Toc3392"/>
      <w:bookmarkEnd w:id="7511"/>
      <w:r>
        <w:rPr>
          <w:rtl w:val="true"/>
        </w:rPr>
        <w:t>اشارة</w:t>
      </w:r>
      <w:bookmarkEnd w:id="7512"/>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المختصّ بالرجل فثلاثة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الخصاء و هو سَلُّ الأُنثیین أو رضّهما، و تفسخ به المرأة مع سبقه علی العقد و عدم علمها به، و الجبّ، و هو قطع الذکر بشرط أن لا یبقیٰ منه ما یمکن معه الوطء و لو قدر الحشفة، و تفسخ به المرأة؛ سواء سبق العقد أو لحقه </w:t>
      </w:r>
      <w:r>
        <w:rPr>
          <w:rStyle w:val="FootnoteAnchor"/>
          <w:rtl w:val="true"/>
        </w:rPr>
        <w:footnoteReference w:id="1925"/>
      </w:r>
      <w:r>
        <w:rPr>
          <w:rFonts w:ascii="IRNazanin" w:hAnsi="IRNazanin" w:eastAsia="IRNazanin"/>
          <w:color w:val="111111"/>
          <w:sz w:val="28"/>
          <w:sz w:val="28"/>
          <w:szCs w:val="28"/>
          <w:rtl w:val="true"/>
          <w:lang w:bidi="fa-IR"/>
        </w:rPr>
        <w:t>بشرط کونه قبل الوطء لا بعده، و العنن، و هو مرض تضعف معه الآلة عن الانتشار؛ بحیث یعجز عن الإیلاج، و هو سبب لتسلّط المرأة علی الفسخ بشرط عجزه عن الوطء بها و وطء غیرها، فلو لم یقدر علیٰ وطئها و قدر علیٰ وطء غیرها لا خیار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یثبت به الخیار؛ سواء سبق العقد أو تجدّد بعده، لکن بشرط أن لم یقع منه وطؤها و لو مرّة، فلو وطئها </w:t>
      </w:r>
      <w:r>
        <w:rPr>
          <w:rStyle w:val="FootnoteAnchor"/>
          <w:rtl w:val="true"/>
        </w:rPr>
        <w:footnoteReference w:id="1926"/>
      </w:r>
      <w:r>
        <w:rPr>
          <w:rFonts w:ascii="IRNazanin" w:hAnsi="IRNazanin" w:eastAsia="IRNazanin"/>
          <w:color w:val="111111"/>
          <w:sz w:val="28"/>
          <w:sz w:val="28"/>
          <w:szCs w:val="28"/>
          <w:rtl w:val="true"/>
          <w:lang w:bidi="fa-IR"/>
        </w:rPr>
        <w:t>ثمّ حدثت به العنّة بحیث لم یقدر علی الوطء بالمرّة فلا خیار لها</w:t>
      </w:r>
      <w:r>
        <w:rPr>
          <w:rFonts w:eastAsia="IRNazanin" w:cs="IRNazanin"/>
          <w:color w:val="111111"/>
          <w:sz w:val="28"/>
          <w:szCs w:val="28"/>
          <w:rtl w:val="true"/>
          <w:lang w:bidi="fa-IR"/>
        </w:rPr>
        <w:t>.</w:t>
      </w:r>
      <w:bookmarkStart w:id="7513" w:name="pg1809_19944"/>
    </w:p>
    <w:p>
      <w:pPr>
        <w:pStyle w:val="BookText"/>
        <w:rPr/>
      </w:pPr>
      <w:bookmarkEnd w:id="7513"/>
      <w:r>
        <w:rPr>
          <w:rFonts w:ascii="IRNazanin" w:hAnsi="IRNazanin" w:eastAsia="IRNazanin"/>
          <w:color w:val="111111"/>
          <w:sz w:val="28"/>
          <w:sz w:val="28"/>
          <w:szCs w:val="28"/>
          <w:rtl w:val="true"/>
          <w:lang w:bidi="fa-IR"/>
        </w:rPr>
        <w:t>و أمّا المختصّ بالمرأة فستّة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البرص، و الجذام، و الإفضاء و قد مرّ تفسیره فیما سبق و القرن و یقال له العفل و هو لحم </w:t>
      </w:r>
      <w:r>
        <w:rPr>
          <w:rStyle w:val="FootnoteAnchor"/>
          <w:rtl w:val="true"/>
        </w:rPr>
        <w:footnoteReference w:id="1927"/>
      </w:r>
      <w:r>
        <w:rPr>
          <w:rFonts w:ascii="IRNazanin" w:hAnsi="IRNazanin" w:eastAsia="IRNazanin"/>
          <w:color w:val="111111"/>
          <w:sz w:val="28"/>
          <w:sz w:val="28"/>
          <w:szCs w:val="28"/>
          <w:rtl w:val="true"/>
          <w:lang w:bidi="fa-IR"/>
        </w:rPr>
        <w:t xml:space="preserve">ینبت فی فم الرحم یمنع </w:t>
      </w:r>
      <w:r>
        <w:rPr>
          <w:rStyle w:val="FootnoteAnchor"/>
          <w:rtl w:val="true"/>
        </w:rPr>
        <w:footnoteReference w:id="1928"/>
      </w:r>
      <w:r>
        <w:rPr>
          <w:rFonts w:ascii="IRNazanin" w:hAnsi="IRNazanin" w:eastAsia="IRNazanin"/>
          <w:color w:val="111111"/>
          <w:sz w:val="28"/>
          <w:sz w:val="28"/>
          <w:szCs w:val="28"/>
          <w:rtl w:val="true"/>
          <w:lang w:bidi="fa-IR"/>
        </w:rPr>
        <w:t>من الوطء، و العرج البیّن؛ و إن لم یبلغ حدّ الإقعاد و الزمانة علی الأظهر، و العمیٰ و هو ذهاب البصر عن العینین و إن کانتا مفتوحتین، و لا اعتبار بالعور، و لا بالعشا، و هی علّة فی العین لا یبصر فی اللیل و یبصر بالنهار، و لا بالعمش، و هو ضعف الرؤیة مع سیلان الدمع فی غالب الأوقات</w:t>
      </w:r>
      <w:r>
        <w:rPr>
          <w:rFonts w:eastAsia="IRNazanin" w:cs="IRNazanin"/>
          <w:color w:val="111111"/>
          <w:sz w:val="28"/>
          <w:szCs w:val="28"/>
          <w:rtl w:val="true"/>
          <w:lang w:bidi="fa-IR"/>
        </w:rPr>
        <w:t>.</w:t>
      </w:r>
    </w:p>
    <w:p>
      <w:pPr>
        <w:pStyle w:val="Heading5"/>
        <w:numPr>
          <w:ilvl w:val="4"/>
          <w:numId w:val="1"/>
        </w:numPr>
        <w:rPr/>
      </w:pPr>
      <w:bookmarkStart w:id="7514" w:name="__RefHeading___Toc2571768_3650668749"/>
      <w:bookmarkStart w:id="7515" w:name="_Toc3393"/>
      <w:bookmarkEnd w:id="7514"/>
      <w:r>
        <w:rPr>
          <w:rtl w:val="true"/>
        </w:rPr>
        <w:t>[ (</w:t>
      </w:r>
      <w:r>
        <w:rPr>
          <w:rtl w:val="true"/>
        </w:rPr>
        <w:t xml:space="preserve">مسألة </w:t>
      </w:r>
      <w:r>
        <w:rPr/>
        <w:t>1</w:t>
      </w:r>
      <w:r>
        <w:rPr>
          <w:rtl w:val="true"/>
        </w:rPr>
        <w:t xml:space="preserve">): </w:t>
      </w:r>
      <w:r>
        <w:rPr>
          <w:rtl w:val="true"/>
        </w:rPr>
        <w:t>إنّما یفسخ العقد بعیوب المرأة إذا تبیّن وجودها قبل العقد</w:t>
      </w:r>
      <w:r>
        <w:rPr>
          <w:rtl w:val="true"/>
        </w:rPr>
        <w:t>]</w:t>
      </w:r>
      <w:bookmarkEnd w:id="7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یفسخ العقد بعیوب المرأة إذا تبیّن وجودها قبل العقد، و أمّا ما یتجدّد بعده فلا اعتبار به؛ سواء کان قبل الوطء أو بعده</w:t>
      </w:r>
      <w:r>
        <w:rPr>
          <w:rFonts w:eastAsia="IRNazanin" w:cs="IRNazanin"/>
          <w:color w:val="111111"/>
          <w:sz w:val="28"/>
          <w:szCs w:val="28"/>
          <w:rtl w:val="true"/>
          <w:lang w:bidi="fa-IR"/>
        </w:rPr>
        <w:t>.</w:t>
      </w:r>
    </w:p>
    <w:p>
      <w:pPr>
        <w:pStyle w:val="Heading5"/>
        <w:numPr>
          <w:ilvl w:val="4"/>
          <w:numId w:val="1"/>
        </w:numPr>
        <w:rPr/>
      </w:pPr>
      <w:bookmarkStart w:id="7516" w:name="__RefHeading___Toc2571770_3650668749"/>
      <w:bookmarkStart w:id="7517" w:name="_Toc3394"/>
      <w:bookmarkEnd w:id="7516"/>
      <w:r>
        <w:rPr>
          <w:rtl w:val="true"/>
        </w:rPr>
        <w:t>[ (</w:t>
      </w:r>
      <w:r>
        <w:rPr>
          <w:rtl w:val="true"/>
        </w:rPr>
        <w:t xml:space="preserve">مسألة </w:t>
      </w:r>
      <w:r>
        <w:rPr/>
        <w:t>2</w:t>
      </w:r>
      <w:r>
        <w:rPr>
          <w:rtl w:val="true"/>
        </w:rPr>
        <w:t xml:space="preserve">): </w:t>
      </w:r>
      <w:r>
        <w:rPr>
          <w:rtl w:val="true"/>
        </w:rPr>
        <w:t>لیس العقم من العیوب الموجبة للخیار</w:t>
      </w:r>
      <w:r>
        <w:rPr>
          <w:rtl w:val="true"/>
        </w:rPr>
        <w:t>]</w:t>
      </w:r>
      <w:bookmarkEnd w:id="7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العقم من العیوب الموجبة للخیار؛ لا من طرف الرجل و لا من طرف المرأة</w:t>
      </w:r>
      <w:r>
        <w:rPr>
          <w:rFonts w:eastAsia="IRNazanin" w:cs="IRNazanin"/>
          <w:color w:val="111111"/>
          <w:sz w:val="28"/>
          <w:szCs w:val="28"/>
          <w:rtl w:val="true"/>
          <w:lang w:bidi="fa-IR"/>
        </w:rPr>
        <w:t>.</w:t>
      </w:r>
    </w:p>
    <w:p>
      <w:pPr>
        <w:pStyle w:val="Heading5"/>
        <w:numPr>
          <w:ilvl w:val="4"/>
          <w:numId w:val="1"/>
        </w:numPr>
        <w:rPr/>
      </w:pPr>
      <w:bookmarkStart w:id="7518" w:name="__RefHeading___Toc2571772_3650668749"/>
      <w:bookmarkStart w:id="7519" w:name="_Toc3395"/>
      <w:bookmarkEnd w:id="7518"/>
      <w:r>
        <w:rPr>
          <w:rtl w:val="true"/>
        </w:rPr>
        <w:t>[ (</w:t>
      </w:r>
      <w:r>
        <w:rPr>
          <w:rtl w:val="true"/>
        </w:rPr>
        <w:t xml:space="preserve">مسألة </w:t>
      </w:r>
      <w:r>
        <w:rPr/>
        <w:t>3</w:t>
      </w:r>
      <w:r>
        <w:rPr>
          <w:rtl w:val="true"/>
        </w:rPr>
        <w:t xml:space="preserve">): </w:t>
      </w:r>
      <w:r>
        <w:rPr>
          <w:rtl w:val="true"/>
        </w:rPr>
        <w:t>لیس الجذام و البرص من عیوب الرجل الموجبة لخیار المرأة عند المشهور</w:t>
      </w:r>
      <w:r>
        <w:rPr>
          <w:rtl w:val="true"/>
        </w:rPr>
        <w:t>]</w:t>
      </w:r>
      <w:bookmarkEnd w:id="7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الجذام و البرص من عیوب الرجل الموجبة لخیار المرأة عند المشهور </w:t>
      </w:r>
      <w:r>
        <w:rPr>
          <w:rStyle w:val="FootnoteAnchor"/>
          <w:rtl w:val="true"/>
        </w:rPr>
        <w:footnoteReference w:id="1929"/>
      </w:r>
      <w:r>
        <w:rPr>
          <w:rFonts w:ascii="IRNazanin" w:hAnsi="IRNazanin" w:eastAsia="IRNazanin"/>
          <w:color w:val="111111"/>
          <w:sz w:val="28"/>
          <w:sz w:val="28"/>
          <w:szCs w:val="28"/>
          <w:rtl w:val="true"/>
          <w:lang w:bidi="fa-IR"/>
        </w:rPr>
        <w:t>، و قیل بکونهما منها، فهما من العیوب المشترکة بین الرجل و المرأة و هو لیس ببعید، لکن لا یترک الاحتیاط من طرف الزوجة بإرضاء الزوج بالطلاق و من طرف الزوج بتطلیقها إذا أرادت الفسخ و فسخت النکاح</w:t>
      </w:r>
      <w:r>
        <w:rPr>
          <w:rFonts w:eastAsia="IRNazanin" w:cs="IRNazanin"/>
          <w:color w:val="111111"/>
          <w:sz w:val="28"/>
          <w:szCs w:val="28"/>
          <w:rtl w:val="true"/>
          <w:lang w:bidi="fa-IR"/>
        </w:rPr>
        <w:t>.</w:t>
      </w:r>
    </w:p>
    <w:p>
      <w:pPr>
        <w:pStyle w:val="Heading5"/>
        <w:numPr>
          <w:ilvl w:val="4"/>
          <w:numId w:val="1"/>
        </w:numPr>
        <w:rPr/>
      </w:pPr>
      <w:bookmarkStart w:id="7520" w:name="__RefHeading___Toc2571774_3650668749"/>
      <w:bookmarkStart w:id="7521" w:name="_Toc3396"/>
      <w:bookmarkEnd w:id="7520"/>
      <w:r>
        <w:rPr>
          <w:rtl w:val="true"/>
        </w:rPr>
        <w:t>[ (</w:t>
      </w:r>
      <w:r>
        <w:rPr>
          <w:rtl w:val="true"/>
        </w:rPr>
        <w:t xml:space="preserve">مسألة </w:t>
      </w:r>
      <w:r>
        <w:rPr/>
        <w:t>4</w:t>
      </w:r>
      <w:r>
        <w:rPr>
          <w:rtl w:val="true"/>
        </w:rPr>
        <w:t xml:space="preserve">): </w:t>
      </w:r>
      <w:r>
        <w:rPr>
          <w:rtl w:val="true"/>
        </w:rPr>
        <w:t>خیار الفسخ فی کلّ من الرجل و المرأة علی الفور</w:t>
      </w:r>
      <w:r>
        <w:rPr>
          <w:rtl w:val="true"/>
        </w:rPr>
        <w:t>]</w:t>
      </w:r>
      <w:bookmarkEnd w:id="75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الفسخ فی کلّ من الرجل و المرأة علی الفور، فلو علم الرجل أو المرأة بالعیب فلم یبادرا بالفسخ لزم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أنّ الجهل بالخیار بل و الفوریّة عذر، فلو کان عدم المبادرة بالفسخ من جهة الجهل بأحدهما لم یسقط الخیار</w:t>
      </w:r>
      <w:r>
        <w:rPr>
          <w:rFonts w:eastAsia="IRNazanin" w:cs="IRNazanin"/>
          <w:color w:val="111111"/>
          <w:sz w:val="28"/>
          <w:szCs w:val="28"/>
          <w:rtl w:val="true"/>
          <w:lang w:bidi="fa-IR"/>
        </w:rPr>
        <w:t>.</w:t>
      </w:r>
    </w:p>
    <w:p>
      <w:pPr>
        <w:pStyle w:val="Heading5"/>
        <w:numPr>
          <w:ilvl w:val="4"/>
          <w:numId w:val="1"/>
        </w:numPr>
        <w:rPr/>
      </w:pPr>
      <w:bookmarkStart w:id="7522" w:name="__RefHeading___Toc2571776_3650668749"/>
      <w:bookmarkStart w:id="7523" w:name="_Toc3397"/>
      <w:bookmarkEnd w:id="7522"/>
      <w:r>
        <w:rPr>
          <w:rtl w:val="true"/>
        </w:rPr>
        <w:t>[ (</w:t>
      </w:r>
      <w:r>
        <w:rPr>
          <w:rtl w:val="true"/>
        </w:rPr>
        <w:t xml:space="preserve">مسألة </w:t>
      </w:r>
      <w:r>
        <w:rPr/>
        <w:t>5</w:t>
      </w:r>
      <w:r>
        <w:rPr>
          <w:rtl w:val="true"/>
        </w:rPr>
        <w:t xml:space="preserve">): </w:t>
      </w:r>
      <w:r>
        <w:rPr>
          <w:rtl w:val="true"/>
        </w:rPr>
        <w:t>إذا اختلفا فی العیب</w:t>
      </w:r>
      <w:r>
        <w:rPr>
          <w:rtl w:val="true"/>
        </w:rPr>
        <w:t>]</w:t>
      </w:r>
      <w:bookmarkEnd w:id="7523"/>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اختلفا فی العیب، فالقول قول منکره مع الیمین إذا لم یکن لمدّعیه بیّنة، و یثبت بها العیب حتّی العنن علی الأقویٰ، کما أنّه یثبت کلّ عیب بإقرار صاحبه أو البیّنة علیٰ إقراره، و کذا یثبت بالیمین المردودة علی المدّعی و نکول </w:t>
      </w:r>
      <w:r>
        <w:rPr>
          <w:rStyle w:val="FootnoteAnchor"/>
          <w:rtl w:val="true"/>
        </w:rPr>
        <w:footnoteReference w:id="1930"/>
      </w:r>
      <w:r>
        <w:rPr>
          <w:rFonts w:ascii="IRNazanin" w:hAnsi="IRNazanin" w:eastAsia="IRNazanin"/>
          <w:color w:val="111111"/>
          <w:sz w:val="28"/>
          <w:sz w:val="28"/>
          <w:szCs w:val="28"/>
          <w:rtl w:val="true"/>
          <w:lang w:bidi="fa-IR"/>
        </w:rPr>
        <w:t>المنکر عن الیمین کسائر الدعاوی، و تثبت العیوب الباطنة للنساء بشهادة أربع نسوة عادلات کما فی نظائرها</w:t>
      </w:r>
      <w:r>
        <w:rPr>
          <w:rFonts w:eastAsia="IRNazanin" w:cs="IRNazanin"/>
          <w:color w:val="111111"/>
          <w:sz w:val="28"/>
          <w:szCs w:val="28"/>
          <w:rtl w:val="true"/>
          <w:lang w:bidi="fa-IR"/>
        </w:rPr>
        <w:t>.</w:t>
      </w:r>
      <w:bookmarkStart w:id="7524" w:name="pg1809_19946"/>
    </w:p>
    <w:p>
      <w:pPr>
        <w:pStyle w:val="Heading5"/>
        <w:numPr>
          <w:ilvl w:val="4"/>
          <w:numId w:val="1"/>
        </w:numPr>
        <w:rPr/>
      </w:pPr>
      <w:bookmarkStart w:id="7525" w:name="__RefHeading___Toc2571778_3650668749"/>
      <w:bookmarkStart w:id="7526" w:name="_Toc3398"/>
      <w:bookmarkEnd w:id="7524"/>
      <w:bookmarkEnd w:id="7525"/>
      <w:r>
        <w:rPr>
          <w:rtl w:val="true"/>
        </w:rPr>
        <w:t>[ (</w:t>
      </w:r>
      <w:r>
        <w:rPr>
          <w:rtl w:val="true"/>
        </w:rPr>
        <w:t xml:space="preserve">مسألة </w:t>
      </w:r>
      <w:r>
        <w:rPr/>
        <w:t>6</w:t>
      </w:r>
      <w:r>
        <w:rPr>
          <w:rtl w:val="true"/>
        </w:rPr>
        <w:t xml:space="preserve">): </w:t>
      </w:r>
      <w:r>
        <w:rPr>
          <w:rtl w:val="true"/>
        </w:rPr>
        <w:t>إذا ثبت عنن الرجل بأحد الوجوه المذکورة، فإن صبرت فلا کلام</w:t>
      </w:r>
      <w:r>
        <w:rPr>
          <w:rtl w:val="true"/>
        </w:rPr>
        <w:t>]</w:t>
      </w:r>
      <w:bookmarkEnd w:id="7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عنن الرجل بأحد الوجوه المذکورة، فإن صبرت فلا کلام، و إن لم تصبر و رفعت أمرها إلیٰ حاکم الشرع لاستخلاص نفسها منه أجّلها سنة کاملة من حین المرافعة، فإن واقعها أو واقع غیرها فی أثناء هذه المدّة فلا خیار لها، و إلّا کان لها الفسخ فوراً عرفیّاً، و إن لم تبادر بالفسخ، فإن کان بسبب جهلها بالخیار أو فوریّته لم یضرّ کما مرّ، و إلّا سقط خیارها، و کذا إن رضیت أن تقیم معه ثمّ طلبت الفسخ بعد ذلک، فإنّه لیس لها ذلک</w:t>
      </w:r>
      <w:r>
        <w:rPr>
          <w:rFonts w:eastAsia="IRNazanin" w:cs="IRNazanin"/>
          <w:color w:val="111111"/>
          <w:sz w:val="28"/>
          <w:szCs w:val="28"/>
          <w:rtl w:val="true"/>
          <w:lang w:bidi="fa-IR"/>
        </w:rPr>
        <w:t>.</w:t>
      </w:r>
    </w:p>
    <w:p>
      <w:pPr>
        <w:pStyle w:val="Heading5"/>
        <w:numPr>
          <w:ilvl w:val="4"/>
          <w:numId w:val="1"/>
        </w:numPr>
        <w:rPr/>
      </w:pPr>
      <w:bookmarkStart w:id="7527" w:name="__RefHeading___Toc2571780_3650668749"/>
      <w:bookmarkStart w:id="7528" w:name="_Toc3399"/>
      <w:bookmarkEnd w:id="7527"/>
      <w:r>
        <w:rPr>
          <w:rtl w:val="true"/>
        </w:rPr>
        <w:t>[ (</w:t>
      </w:r>
      <w:r>
        <w:rPr>
          <w:rtl w:val="true"/>
        </w:rPr>
        <w:t xml:space="preserve">مسألة </w:t>
      </w:r>
      <w:r>
        <w:rPr/>
        <w:t>7</w:t>
      </w:r>
      <w:r>
        <w:rPr>
          <w:rtl w:val="true"/>
        </w:rPr>
        <w:t xml:space="preserve">): </w:t>
      </w:r>
      <w:r>
        <w:rPr>
          <w:rtl w:val="true"/>
        </w:rPr>
        <w:t>الفسخ بالعیب لیس بطلاق</w:t>
      </w:r>
      <w:r>
        <w:rPr>
          <w:rtl w:val="true"/>
        </w:rPr>
        <w:t>]</w:t>
      </w:r>
      <w:bookmarkEnd w:id="7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الفسخ بالعیب لیس بطلاق؛ سواء وقع من الزوج أو الزوجة، فلیس له أحکامه </w:t>
      </w:r>
      <w:r>
        <w:rPr>
          <w:rStyle w:val="FootnoteAnchor"/>
          <w:rtl w:val="true"/>
        </w:rPr>
        <w:footnoteReference w:id="1931"/>
      </w:r>
      <w:r>
        <w:rPr>
          <w:rFonts w:ascii="IRNazanin" w:hAnsi="IRNazanin" w:eastAsia="IRNazanin"/>
          <w:color w:val="111111"/>
          <w:sz w:val="28"/>
          <w:sz w:val="28"/>
          <w:szCs w:val="28"/>
          <w:rtl w:val="true"/>
          <w:lang w:bidi="fa-IR"/>
        </w:rPr>
        <w:t>و لا یترتّب علیه 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فیه شروطه، فلا یحسب من الثلاثة المحرّمة المحتاجة إلی المحلّل، و لا یعتبر فیه الخلوّ من الحیض و النفاس و لا حضور العدلین</w:t>
      </w:r>
      <w:r>
        <w:rPr>
          <w:rFonts w:eastAsia="IRNazanin" w:cs="IRNazanin"/>
          <w:color w:val="111111"/>
          <w:sz w:val="28"/>
          <w:szCs w:val="28"/>
          <w:rtl w:val="true"/>
          <w:lang w:bidi="fa-IR"/>
        </w:rPr>
        <w:t>.</w:t>
      </w:r>
    </w:p>
    <w:p>
      <w:pPr>
        <w:pStyle w:val="Heading5"/>
        <w:numPr>
          <w:ilvl w:val="4"/>
          <w:numId w:val="1"/>
        </w:numPr>
        <w:rPr/>
      </w:pPr>
      <w:bookmarkStart w:id="7529" w:name="__RefHeading___Toc2571782_3650668749"/>
      <w:bookmarkStart w:id="7530" w:name="_Toc3400"/>
      <w:bookmarkEnd w:id="7529"/>
      <w:r>
        <w:rPr>
          <w:rtl w:val="true"/>
        </w:rPr>
        <w:t>[ (</w:t>
      </w:r>
      <w:r>
        <w:rPr>
          <w:rtl w:val="true"/>
        </w:rPr>
        <w:t xml:space="preserve">مسألة </w:t>
      </w:r>
      <w:r>
        <w:rPr/>
        <w:t>8</w:t>
      </w:r>
      <w:r>
        <w:rPr>
          <w:rtl w:val="true"/>
        </w:rPr>
        <w:t xml:space="preserve">): </w:t>
      </w:r>
      <w:r>
        <w:rPr>
          <w:rtl w:val="true"/>
        </w:rPr>
        <w:t>یجوز للرجل الفسخ بعیب المرأة من دون إذن الحاکم</w:t>
      </w:r>
      <w:r>
        <w:rPr>
          <w:rtl w:val="true"/>
        </w:rPr>
        <w:t>]</w:t>
      </w:r>
      <w:bookmarkEnd w:id="75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للرجل الفسخ بعیب المرأة من دون إذن الحاکم، و کذا المرأة بعیب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ثبوت العنن یفتقر إلی الحاکم، لکن من جهة ضرب الأجل حیث إنّه من وظائفه لا من جهة نفوذ فسخها، فبعدما ضرب الأجل لها کان لها التفرّد بالفسخ عند انقضائه و تعذّر الوطء فی المدّة من دون مراجعته</w:t>
      </w:r>
      <w:r>
        <w:rPr>
          <w:rFonts w:eastAsia="IRNazanin" w:cs="IRNazanin"/>
          <w:color w:val="111111"/>
          <w:sz w:val="28"/>
          <w:szCs w:val="28"/>
          <w:rtl w:val="true"/>
          <w:lang w:bidi="fa-IR"/>
        </w:rPr>
        <w:t>.</w:t>
      </w:r>
    </w:p>
    <w:p>
      <w:pPr>
        <w:pStyle w:val="Heading5"/>
        <w:numPr>
          <w:ilvl w:val="4"/>
          <w:numId w:val="1"/>
        </w:numPr>
        <w:rPr/>
      </w:pPr>
      <w:bookmarkStart w:id="7531" w:name="__RefHeading___Toc2571784_3650668749"/>
      <w:bookmarkStart w:id="7532" w:name="_Toc3401"/>
      <w:bookmarkEnd w:id="7531"/>
      <w:r>
        <w:rPr>
          <w:rtl w:val="true"/>
        </w:rPr>
        <w:t>[ (</w:t>
      </w:r>
      <w:r>
        <w:rPr>
          <w:rtl w:val="true"/>
        </w:rPr>
        <w:t xml:space="preserve">مسألة </w:t>
      </w:r>
      <w:r>
        <w:rPr/>
        <w:t>9</w:t>
      </w:r>
      <w:r>
        <w:rPr>
          <w:rtl w:val="true"/>
        </w:rPr>
        <w:t xml:space="preserve">): </w:t>
      </w:r>
      <w:r>
        <w:rPr>
          <w:rtl w:val="true"/>
        </w:rPr>
        <w:t>إذا فسخ الرجل بأحد عیوب المرأة، فإن کان قبل الدخول فلا مهر لها</w:t>
      </w:r>
      <w:r>
        <w:rPr>
          <w:rtl w:val="true"/>
        </w:rPr>
        <w:t>]</w:t>
      </w:r>
      <w:bookmarkEnd w:id="7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فسخ الرجل بأحد عیوب المرأة، فإن کان قبل الدخول فلا مهر لها، و إن کان بعده استقرّ علیه المهر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فیما إذا فسخت المرأة بعیب الرجل فتستحقّ تمام المهر إن کان بعد الدخول، و إن کان قبله لم تستحقّ شیئاً إلّا فی العنن فإنّها تستحقّ علیه فیه نصف المهر المسمّی</w:t>
      </w:r>
      <w:r>
        <w:rPr>
          <w:rFonts w:eastAsia="IRNazanin" w:cs="IRNazanin"/>
          <w:color w:val="111111"/>
          <w:sz w:val="28"/>
          <w:szCs w:val="28"/>
          <w:rtl w:val="true"/>
          <w:lang w:bidi="fa-IR"/>
        </w:rPr>
        <w:t>.</w:t>
      </w:r>
    </w:p>
    <w:p>
      <w:pPr>
        <w:pStyle w:val="Heading5"/>
        <w:numPr>
          <w:ilvl w:val="4"/>
          <w:numId w:val="1"/>
        </w:numPr>
        <w:rPr/>
      </w:pPr>
      <w:bookmarkStart w:id="7533" w:name="__RefHeading___Toc2571786_3650668749"/>
      <w:bookmarkStart w:id="7534" w:name="_Toc3402"/>
      <w:bookmarkEnd w:id="7533"/>
      <w:r>
        <w:rPr>
          <w:rtl w:val="true"/>
        </w:rPr>
        <w:t>[ (</w:t>
      </w:r>
      <w:r>
        <w:rPr>
          <w:rtl w:val="true"/>
        </w:rPr>
        <w:t xml:space="preserve">مسألة </w:t>
      </w:r>
      <w:r>
        <w:rPr/>
        <w:t>10</w:t>
      </w:r>
      <w:r>
        <w:rPr>
          <w:rtl w:val="true"/>
        </w:rPr>
        <w:t xml:space="preserve">): </w:t>
      </w:r>
      <w:r>
        <w:rPr>
          <w:rtl w:val="true"/>
        </w:rPr>
        <w:t>إذا دلّست المرأة نفسها علی الرجل فی أحد عیوبها الموجبة للخیار</w:t>
      </w:r>
      <w:r>
        <w:rPr>
          <w:rtl w:val="true"/>
        </w:rPr>
        <w:t>]</w:t>
      </w:r>
      <w:bookmarkEnd w:id="7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دلّست المرأة نفسها علی الرجل فی أحد عیوبها الموجبة للخیار و تبیّن له بعد الدخول، فإن اختار البقاء فعلیه تمام المهر کما مرّ، و إن اختار الفسخ لم تستحقّ المهر، و إن دفعه إلیها استعاده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المدلّس غیر الزوجة، فالمهر المسمّی و إن استقرّ علی الزوج بالدخول و استحقّت علیه الزوجة إلّا أنّه بعد ما دفعه إلیها یرجع به علی المدلّس و یأخذه منه</w:t>
      </w:r>
      <w:r>
        <w:rPr>
          <w:rFonts w:eastAsia="IRNazanin" w:cs="IRNazanin"/>
          <w:color w:val="111111"/>
          <w:sz w:val="28"/>
          <w:szCs w:val="28"/>
          <w:rtl w:val="true"/>
          <w:lang w:bidi="fa-IR"/>
        </w:rPr>
        <w:t>.</w:t>
      </w:r>
    </w:p>
    <w:p>
      <w:pPr>
        <w:pStyle w:val="Heading5"/>
        <w:numPr>
          <w:ilvl w:val="4"/>
          <w:numId w:val="1"/>
        </w:numPr>
        <w:rPr/>
      </w:pPr>
      <w:bookmarkStart w:id="7535" w:name="__RefHeading___Toc2571788_3650668749"/>
      <w:bookmarkStart w:id="7536" w:name="_Toc3403"/>
      <w:bookmarkEnd w:id="7535"/>
      <w:r>
        <w:rPr>
          <w:rtl w:val="true"/>
        </w:rPr>
        <w:t>[ (</w:t>
      </w:r>
      <w:r>
        <w:rPr>
          <w:rtl w:val="true"/>
        </w:rPr>
        <w:t xml:space="preserve">مسألة </w:t>
      </w:r>
      <w:r>
        <w:rPr/>
        <w:t>11</w:t>
      </w:r>
      <w:r>
        <w:rPr>
          <w:rtl w:val="true"/>
        </w:rPr>
        <w:t xml:space="preserve">): </w:t>
      </w:r>
      <w:r>
        <w:rPr>
          <w:rtl w:val="true"/>
        </w:rPr>
        <w:t>یتحقّق التدلیس بتوصیف المرأة بالصحّة عند الزوج للتزویج</w:t>
      </w:r>
      <w:r>
        <w:rPr>
          <w:rtl w:val="true"/>
        </w:rPr>
        <w:t>]</w:t>
      </w:r>
      <w:bookmarkEnd w:id="7536"/>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التدلیس بتوصیف المرأة بالصحّة عند الزوج للتزویج؛ بحیث صار</w:t>
      </w:r>
      <w:bookmarkStart w:id="7537" w:name="pg1809_19948"/>
    </w:p>
    <w:p>
      <w:pPr>
        <w:pStyle w:val="BookText"/>
        <w:rPr/>
      </w:pPr>
      <w:bookmarkEnd w:id="7537"/>
      <w:r>
        <w:rPr>
          <w:rFonts w:ascii="IRNazanin" w:hAnsi="IRNazanin" w:eastAsia="IRNazanin"/>
          <w:color w:val="111111"/>
          <w:sz w:val="28"/>
          <w:sz w:val="28"/>
          <w:szCs w:val="28"/>
          <w:rtl w:val="true"/>
          <w:lang w:bidi="fa-IR"/>
        </w:rPr>
        <w:t>ذلک سبباً لغروره و انخداعه، فلا یتحقّق بالإخبار لا للتزویج أو لغیر الزوج، و الظاهر تحقّقه أیضاً بالسکوت عن العیب مع العلم به و خفائه علی الزوج و اعتقاده بالعدم</w:t>
      </w:r>
      <w:r>
        <w:rPr>
          <w:rFonts w:eastAsia="IRNazanin" w:cs="IRNazanin"/>
          <w:color w:val="111111"/>
          <w:sz w:val="28"/>
          <w:szCs w:val="28"/>
          <w:rtl w:val="true"/>
          <w:lang w:bidi="fa-IR"/>
        </w:rPr>
        <w:t>.</w:t>
      </w:r>
    </w:p>
    <w:p>
      <w:pPr>
        <w:pStyle w:val="Heading5"/>
        <w:numPr>
          <w:ilvl w:val="4"/>
          <w:numId w:val="1"/>
        </w:numPr>
        <w:rPr/>
      </w:pPr>
      <w:bookmarkStart w:id="7538" w:name="__RefHeading___Toc2571790_3650668749"/>
      <w:bookmarkStart w:id="7539" w:name="_Toc3404"/>
      <w:bookmarkEnd w:id="7538"/>
      <w:r>
        <w:rPr>
          <w:rtl w:val="true"/>
        </w:rPr>
        <w:t>[ (</w:t>
      </w:r>
      <w:r>
        <w:rPr>
          <w:rtl w:val="true"/>
        </w:rPr>
        <w:t xml:space="preserve">مسألة </w:t>
      </w:r>
      <w:r>
        <w:rPr/>
        <w:t>12</w:t>
      </w:r>
      <w:r>
        <w:rPr>
          <w:rtl w:val="true"/>
        </w:rPr>
        <w:t xml:space="preserve">): </w:t>
      </w:r>
      <w:r>
        <w:rPr>
          <w:rtl w:val="true"/>
        </w:rPr>
        <w:t>من یکون تدلیسه موجباً للرجوع علیه بالمهر هو الذی یسند إلیه التزویج من ولیّها الشرعی</w:t>
      </w:r>
      <w:r>
        <w:rPr>
          <w:rtl w:val="true"/>
        </w:rPr>
        <w:t>]</w:t>
      </w:r>
      <w:bookmarkEnd w:id="7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یکون تدلیسه موجباً للرجوع علیه بالمهر هو الذی یسند إلیه التزویج من ولیّها الشرعی أو العرفی کأبیها و جدّها و أُمّها و أخیها الکبیر و عمّها و خالها ممّن لا تصدر إلّا عن رأیهم و یتصدّون تزویجها و یرجع إلیهم فیه فی العرف و العادة، و مثلهم علی الظاهر بعض الأجانب ممّن له شدّة علاقة و ارتباط بها بحیث لا تصدر إلّا عن رأیه، و یکون هو المرجع فی امورها المهمّة و یرکن إلیه فیما یتعلّق بها، بل لا یبعد أن یلحق بمن ذکر الغیر الذی یراود عند الطرفین و یعالج فی إیجاد وسائل الائتلاف فی البین</w:t>
      </w:r>
      <w:r>
        <w:rPr>
          <w:rFonts w:eastAsia="IRNazanin" w:cs="IRNazanin"/>
          <w:color w:val="111111"/>
          <w:sz w:val="28"/>
          <w:szCs w:val="28"/>
          <w:rtl w:val="true"/>
          <w:lang w:bidi="fa-IR"/>
        </w:rPr>
        <w:t>.</w:t>
      </w:r>
    </w:p>
    <w:p>
      <w:pPr>
        <w:pStyle w:val="Heading5"/>
        <w:numPr>
          <w:ilvl w:val="4"/>
          <w:numId w:val="1"/>
        </w:numPr>
        <w:rPr/>
      </w:pPr>
      <w:bookmarkStart w:id="7540" w:name="__RefHeading___Toc2571792_3650668749"/>
      <w:bookmarkStart w:id="7541" w:name="_Toc3405"/>
      <w:bookmarkEnd w:id="7540"/>
      <w:r>
        <w:rPr>
          <w:rtl w:val="true"/>
        </w:rPr>
        <w:t>[ (</w:t>
      </w:r>
      <w:r>
        <w:rPr>
          <w:rtl w:val="true"/>
        </w:rPr>
        <w:t xml:space="preserve">مسألة </w:t>
      </w:r>
      <w:r>
        <w:rPr/>
        <w:t>13</w:t>
      </w:r>
      <w:r>
        <w:rPr>
          <w:rtl w:val="true"/>
        </w:rPr>
        <w:t xml:space="preserve">): </w:t>
      </w:r>
      <w:r>
        <w:rPr>
          <w:rtl w:val="true"/>
        </w:rPr>
        <w:t>کما یتحقّق التدلیس فی العیوب الموجبة للخیار کالجنون و العمیٰ و غیرهما، کذلک یتحقّق فی مطلق النقص</w:t>
      </w:r>
      <w:r>
        <w:rPr>
          <w:rtl w:val="true"/>
        </w:rPr>
        <w:t>]</w:t>
      </w:r>
      <w:bookmarkEnd w:id="7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یتحقّق التدلیس فی العیوب الموجبة للخیار کالجنون و العمیٰ و غیرهما، کذلک یتحقّق فی مطلق النقص کالعور و نحوه بإخفائه، و کذا فی صفات الکمال کالشرف و الحسب و النسب و الجمال و البکارة و غیرها بتوصیفها بها مع فقدانها، و لا أثر للأوّل أی التدلیس فی العیوب الموجبة للخیار إلّا رجوع الزوج علی المدلّس بالمهر کما مرّ، و أمّا الخیار فإنّما هو بسبب نفس وجود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و هو التدلیس فی سائر أنواع النقص و فی صفة الکمال فهو موجب للخیار إذا کان عدم النقص أو وجود صفة الکمال مذکورین فی العقد بنحو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به توصیفها به فی العقد و إن لم یکن بعبارة الاشتراط،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هذه البنت الباکرة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الثیّبة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الظاهر أنّه إذا وصفها بصفتی الکمال أو عدم النقص قبل العقد عند الخطبة و المقاولة، ثمّ أوقع العقد مبنیّاً علیٰ ما ذکر، کان بمنزلة الاشتراط فیوجب الخیار، و إذا تبیّن ذلک بعد العقد و الدخول و اختار الفسخ و دفع المهر رجع به علی المدلّس</w:t>
      </w:r>
      <w:r>
        <w:rPr>
          <w:rFonts w:eastAsia="IRNazanin" w:cs="IRNazanin"/>
          <w:color w:val="111111"/>
          <w:sz w:val="28"/>
          <w:szCs w:val="28"/>
          <w:rtl w:val="true"/>
          <w:lang w:bidi="fa-IR"/>
        </w:rPr>
        <w:t>.</w:t>
      </w:r>
    </w:p>
    <w:p>
      <w:pPr>
        <w:pStyle w:val="Heading5"/>
        <w:numPr>
          <w:ilvl w:val="4"/>
          <w:numId w:val="1"/>
        </w:numPr>
        <w:rPr/>
      </w:pPr>
      <w:bookmarkStart w:id="7542" w:name="__RefHeading___Toc2571794_3650668749"/>
      <w:bookmarkStart w:id="7543" w:name="_Toc3406"/>
      <w:bookmarkEnd w:id="7542"/>
      <w:r>
        <w:rPr>
          <w:rtl w:val="true"/>
        </w:rPr>
        <w:t>[ (</w:t>
      </w:r>
      <w:r>
        <w:rPr>
          <w:rtl w:val="true"/>
        </w:rPr>
        <w:t xml:space="preserve">مسألة </w:t>
      </w:r>
      <w:r>
        <w:rPr/>
        <w:t>14</w:t>
      </w:r>
      <w:r>
        <w:rPr>
          <w:rtl w:val="true"/>
        </w:rPr>
        <w:t xml:space="preserve">): </w:t>
      </w:r>
      <w:r>
        <w:rPr>
          <w:rtl w:val="true"/>
        </w:rPr>
        <w:t>لیس من التدلیس الموجب للخیار سکوت الزوجة أو ولیّها عن النقص مع وجوده</w:t>
      </w:r>
      <w:r>
        <w:rPr>
          <w:rtl w:val="true"/>
        </w:rPr>
        <w:t>]</w:t>
      </w:r>
      <w:bookmarkEnd w:id="7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التدلیس الموجب للخیار سکوت الزوجة أو ولیّها عن النقص مع وجوده و اعتقاد الزوج عدمه فی غیر العیوب الموجبة للخیار، و أولی بذلک سکوتهما عن فقد صفة الکمال مع اعتقاد الزوج وجودها</w:t>
      </w:r>
      <w:r>
        <w:rPr>
          <w:rFonts w:eastAsia="IRNazanin" w:cs="IRNazanin"/>
          <w:color w:val="111111"/>
          <w:sz w:val="28"/>
          <w:szCs w:val="28"/>
          <w:rtl w:val="true"/>
          <w:lang w:bidi="fa-IR"/>
        </w:rPr>
        <w:t>.</w:t>
      </w:r>
    </w:p>
    <w:p>
      <w:pPr>
        <w:pStyle w:val="Heading5"/>
        <w:numPr>
          <w:ilvl w:val="4"/>
          <w:numId w:val="1"/>
        </w:numPr>
        <w:rPr/>
      </w:pPr>
      <w:bookmarkStart w:id="7544" w:name="__RefHeading___Toc2571796_3650668749"/>
      <w:bookmarkStart w:id="7545" w:name="_Toc3407"/>
      <w:bookmarkEnd w:id="7544"/>
      <w:r>
        <w:rPr>
          <w:rtl w:val="true"/>
        </w:rPr>
        <w:t>[ (</w:t>
      </w:r>
      <w:r>
        <w:rPr>
          <w:rtl w:val="true"/>
        </w:rPr>
        <w:t xml:space="preserve">مسألة </w:t>
      </w:r>
      <w:r>
        <w:rPr/>
        <w:t>15</w:t>
      </w:r>
      <w:r>
        <w:rPr>
          <w:rtl w:val="true"/>
        </w:rPr>
        <w:t xml:space="preserve">): </w:t>
      </w:r>
      <w:r>
        <w:rPr>
          <w:rtl w:val="true"/>
        </w:rPr>
        <w:t>لو تزوّج امرأة علیٰ أنّها حرّة بأحد الوجوه الثلاثة المتقدّمة</w:t>
      </w:r>
      <w:r>
        <w:rPr>
          <w:rtl w:val="true"/>
        </w:rPr>
        <w:t>]</w:t>
      </w:r>
      <w:bookmarkEnd w:id="7545"/>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تزوّج امرأة علیٰ أنّها حرّة بأحد الوجوه الثلاثة المتقدّمة؛ من اشتراط الحرّیة فی العقد أو توصیفها بها أو إیقاع العقد بانیاً علیها، فبانت أمة مع إذن السیّد أو إجازته کان له الفسخ، و لا مهر لها مع الفسخ قبل الدخول، و لها المهر تماماً لو کان الفسخ</w:t>
      </w:r>
      <w:bookmarkStart w:id="7546" w:name="pg1809_19950"/>
    </w:p>
    <w:p>
      <w:pPr>
        <w:pStyle w:val="BookText"/>
        <w:rPr/>
      </w:pPr>
      <w:bookmarkEnd w:id="7546"/>
      <w:r>
        <w:rPr>
          <w:rFonts w:ascii="IRNazanin" w:hAnsi="IRNazanin" w:eastAsia="IRNazanin"/>
          <w:color w:val="111111"/>
          <w:sz w:val="28"/>
          <w:sz w:val="28"/>
          <w:szCs w:val="28"/>
          <w:rtl w:val="true"/>
          <w:lang w:bidi="fa-IR"/>
        </w:rPr>
        <w:t>بعده و کان المهر لمولی الأمة، و یرجع الزوج به علی المدلّس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تزوّجت المرأة برجل علیٰ أنّه حرّ فبان مملوکاً کان لها الفسخ قبل الدخول و بعده، و لا مهر لها مع الفسخ قبل الدخول و لها المهر المسمّی لو فسخت بعده</w:t>
      </w:r>
      <w:r>
        <w:rPr>
          <w:rFonts w:eastAsia="IRNazanin" w:cs="IRNazanin"/>
          <w:color w:val="111111"/>
          <w:sz w:val="28"/>
          <w:szCs w:val="28"/>
          <w:rtl w:val="true"/>
          <w:lang w:bidi="fa-IR"/>
        </w:rPr>
        <w:t>.</w:t>
      </w:r>
    </w:p>
    <w:p>
      <w:pPr>
        <w:pStyle w:val="Heading5"/>
        <w:numPr>
          <w:ilvl w:val="4"/>
          <w:numId w:val="1"/>
        </w:numPr>
        <w:rPr/>
      </w:pPr>
      <w:bookmarkStart w:id="7547" w:name="__RefHeading___Toc2571798_3650668749"/>
      <w:bookmarkStart w:id="7548" w:name="_Toc3408"/>
      <w:bookmarkEnd w:id="7547"/>
      <w:r>
        <w:rPr>
          <w:rtl w:val="true"/>
        </w:rPr>
        <w:t>[ (</w:t>
      </w:r>
      <w:r>
        <w:rPr>
          <w:rtl w:val="true"/>
        </w:rPr>
        <w:t xml:space="preserve">مسألة </w:t>
      </w:r>
      <w:r>
        <w:rPr/>
        <w:t>16</w:t>
      </w:r>
      <w:r>
        <w:rPr>
          <w:rtl w:val="true"/>
        </w:rPr>
        <w:t xml:space="preserve">): </w:t>
      </w:r>
      <w:r>
        <w:rPr>
          <w:rtl w:val="true"/>
        </w:rPr>
        <w:t>لو تزوّج امرأة علیٰ أنّها بکر بأحد الوجوه الثلاثة المتقدّمة، فوجدها ثیّباً</w:t>
      </w:r>
      <w:r>
        <w:rPr>
          <w:rtl w:val="true"/>
        </w:rPr>
        <w:t>]</w:t>
      </w:r>
      <w:bookmarkEnd w:id="7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تزوّج امرأة علیٰ أنّها بکر بأحد الوجوه الثلاثة المتقدّمة، فوجدها ثیّباً لم یکن له الفسخ، إلّا إذا ثبت بالإقرار أو البیّنة سبق ذلک علی العقد فحینئذٍ کان له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تزوّجها باعتقاد البکارة و لم یکن اشتراط و لا توصیف و إخبار و بناء علیٰ ثبوتها فبان خلافها، لیس له الفسخ و إن ثبت زوالها قبل العقد</w:t>
      </w:r>
      <w:r>
        <w:rPr>
          <w:rFonts w:eastAsia="IRNazanin" w:cs="IRNazanin"/>
          <w:color w:val="111111"/>
          <w:sz w:val="28"/>
          <w:szCs w:val="28"/>
          <w:rtl w:val="true"/>
          <w:lang w:bidi="fa-IR"/>
        </w:rPr>
        <w:t>.</w:t>
      </w:r>
    </w:p>
    <w:p>
      <w:pPr>
        <w:pStyle w:val="Heading5"/>
        <w:numPr>
          <w:ilvl w:val="4"/>
          <w:numId w:val="1"/>
        </w:numPr>
        <w:rPr/>
      </w:pPr>
      <w:bookmarkStart w:id="7549" w:name="__RefHeading___Toc2571800_3650668749"/>
      <w:bookmarkStart w:id="7550" w:name="_Toc3409"/>
      <w:bookmarkEnd w:id="7549"/>
      <w:r>
        <w:rPr>
          <w:rtl w:val="true"/>
        </w:rPr>
        <w:t>[ (</w:t>
      </w:r>
      <w:r>
        <w:rPr>
          <w:rtl w:val="true"/>
        </w:rPr>
        <w:t xml:space="preserve">مسألة </w:t>
      </w:r>
      <w:r>
        <w:rPr/>
        <w:t>17</w:t>
      </w:r>
      <w:r>
        <w:rPr>
          <w:rtl w:val="true"/>
        </w:rPr>
        <w:t xml:space="preserve">): </w:t>
      </w:r>
      <w:r>
        <w:rPr>
          <w:rtl w:val="true"/>
        </w:rPr>
        <w:t>إذا فسخ حیث یکون له الفسخ، فإن کان قبل الدخول فلا مهر</w:t>
      </w:r>
      <w:r>
        <w:rPr>
          <w:rtl w:val="true"/>
        </w:rPr>
        <w:t>]</w:t>
      </w:r>
      <w:bookmarkEnd w:id="7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فسخ </w:t>
      </w:r>
      <w:r>
        <w:rPr>
          <w:rStyle w:val="FootnoteAnchor"/>
          <w:rtl w:val="true"/>
        </w:rPr>
        <w:footnoteReference w:id="1932"/>
      </w:r>
      <w:r>
        <w:rPr>
          <w:rFonts w:ascii="IRNazanin" w:hAnsi="IRNazanin" w:eastAsia="IRNazanin"/>
          <w:color w:val="111111"/>
          <w:sz w:val="28"/>
          <w:sz w:val="28"/>
          <w:szCs w:val="28"/>
          <w:rtl w:val="true"/>
          <w:lang w:bidi="fa-IR"/>
        </w:rPr>
        <w:t xml:space="preserve">حیث یکون له الفسخ، فإن کان قبل الدخول فلا مهر، و إن کان بعده استقرّ المهر و رجع به علی المدلّس، و إن کانت هی المدلّس لم تستحقّ شیئاً، و إن لم یکن تدلیس استقرّ علیه المهر و لا رجوع له علیٰ أحد، و إذا اختار البقاء أو لم یکن له الفسخ کما فی صورة اعتقاد البکارة </w:t>
      </w:r>
      <w:r>
        <w:rPr>
          <w:rStyle w:val="FootnoteAnchor"/>
          <w:rtl w:val="true"/>
        </w:rPr>
        <w:footnoteReference w:id="1933"/>
      </w:r>
      <w:r>
        <w:rPr>
          <w:rFonts w:ascii="IRNazanin" w:hAnsi="IRNazanin" w:eastAsia="IRNazanin"/>
          <w:color w:val="111111"/>
          <w:sz w:val="28"/>
          <w:sz w:val="28"/>
          <w:szCs w:val="28"/>
          <w:rtl w:val="true"/>
          <w:lang w:bidi="fa-IR"/>
        </w:rPr>
        <w:t>من دون اشتراط و توصیف و بناء کان له أن ینقص من مهرها شیئاً، و هو نسبة التفاوت بین مهر مثلها بکراً و ثیّباً، فإذا کان المهر المسمّی مائة و کان مهر مثلها بکراً ثمانین و ثیّباً ستّین ینقص من المائة ربعها و هی خمسة و عشرون و تبقیٰ خمسة و سبعون</w:t>
      </w:r>
      <w:r>
        <w:rPr>
          <w:rFonts w:eastAsia="IRNazanin" w:cs="IRNazanin"/>
          <w:color w:val="111111"/>
          <w:sz w:val="28"/>
          <w:szCs w:val="28"/>
          <w:rtl w:val="true"/>
          <w:lang w:bidi="fa-IR"/>
        </w:rPr>
        <w:t>.</w:t>
      </w:r>
    </w:p>
    <w:p>
      <w:pPr>
        <w:pStyle w:val="Heading3"/>
        <w:numPr>
          <w:ilvl w:val="2"/>
          <w:numId w:val="1"/>
        </w:numPr>
        <w:rPr/>
      </w:pPr>
      <w:bookmarkStart w:id="7551" w:name="__RefHeading___Toc2571802_3650668749"/>
      <w:bookmarkStart w:id="7552" w:name="_Toc3410"/>
      <w:bookmarkEnd w:id="7551"/>
      <w:r>
        <w:rPr>
          <w:rtl w:val="true"/>
        </w:rPr>
        <w:t>[</w:t>
      </w:r>
      <w:r>
        <w:rPr>
          <w:rtl w:val="true"/>
        </w:rPr>
        <w:t>فصل فی المهر و یقال له الصداق</w:t>
      </w:r>
      <w:r>
        <w:rPr>
          <w:rtl w:val="true"/>
        </w:rPr>
        <w:t>]</w:t>
      </w:r>
      <w:bookmarkEnd w:id="7552"/>
    </w:p>
    <w:p>
      <w:pPr>
        <w:pStyle w:val="Heading4"/>
        <w:numPr>
          <w:ilvl w:val="3"/>
          <w:numId w:val="1"/>
        </w:numPr>
        <w:rPr/>
      </w:pPr>
      <w:bookmarkStart w:id="7553" w:name="__RefHeading___Toc2571804_3650668749"/>
      <w:bookmarkStart w:id="7554" w:name="_Toc3411"/>
      <w:bookmarkEnd w:id="7553"/>
      <w:r>
        <w:rPr>
          <w:rtl w:val="true"/>
        </w:rPr>
        <w:t>اشارة</w:t>
      </w:r>
      <w:bookmarkEnd w:id="7554"/>
    </w:p>
    <w:p>
      <w:pPr>
        <w:pStyle w:val="BookText"/>
        <w:rPr/>
      </w:pPr>
      <w:r>
        <w:rPr>
          <w:rFonts w:ascii="IRNazanin" w:hAnsi="IRNazanin" w:eastAsia="IRNazanin"/>
          <w:color w:val="111111"/>
          <w:sz w:val="28"/>
          <w:sz w:val="28"/>
          <w:szCs w:val="28"/>
          <w:rtl w:val="true"/>
          <w:lang w:bidi="fa-IR"/>
        </w:rPr>
        <w:t>فصل فی المهر و یقال له الصداق</w:t>
      </w:r>
    </w:p>
    <w:p>
      <w:pPr>
        <w:pStyle w:val="Heading4"/>
        <w:numPr>
          <w:ilvl w:val="3"/>
          <w:numId w:val="1"/>
        </w:numPr>
        <w:rPr/>
      </w:pPr>
      <w:bookmarkStart w:id="7555" w:name="__RefHeading___Toc2571806_3650668749"/>
      <w:bookmarkStart w:id="7556" w:name="_Toc3412"/>
      <w:bookmarkEnd w:id="7555"/>
      <w:r>
        <w:rPr>
          <w:rtl w:val="true"/>
        </w:rPr>
        <w:t>[ (</w:t>
      </w:r>
      <w:r>
        <w:rPr>
          <w:rtl w:val="true"/>
        </w:rPr>
        <w:t xml:space="preserve">مسألة </w:t>
      </w:r>
      <w:r>
        <w:rPr/>
        <w:t>1</w:t>
      </w:r>
      <w:r>
        <w:rPr>
          <w:rtl w:val="true"/>
        </w:rPr>
        <w:t xml:space="preserve">): </w:t>
      </w:r>
      <w:r>
        <w:rPr>
          <w:rtl w:val="true"/>
        </w:rPr>
        <w:t>کلّ ما یملکه المسلم یصحّ جعله مهراً</w:t>
      </w:r>
      <w:r>
        <w:rPr>
          <w:rtl w:val="true"/>
        </w:rPr>
        <w:t>]</w:t>
      </w:r>
      <w:bookmarkEnd w:id="7556"/>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یملکه المسلم یصحّ جعله مهراً؛ عیناً کان أو دیناً أو منفعة لعین مملوکة؛ من دار أو عقار أو حیوان، و یصحّ جعله منفعة الحرّ کتعلیم صنعة و نحوه من کلّ عمل محلّل، بل الظاهر صحّة جعله حقّا مالیّاً قابلًا للنقل و الانتقال کحقّ التحجیر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یتقدّر بقدر بل ما تراضی علیه الزوجان؛ کثیراً کان أو قلیلًا ما لم یخرج بسبب القلّة عن المالیّة کحبّة من حنطة، نعم یستحبّ فی جانب الکثرة أن لا یزید علیٰ مهر السنّة و هو خمسمائة درهم</w:t>
      </w:r>
      <w:r>
        <w:rPr>
          <w:rFonts w:eastAsia="IRNazanin" w:cs="IRNazanin"/>
          <w:color w:val="111111"/>
          <w:sz w:val="28"/>
          <w:szCs w:val="28"/>
          <w:rtl w:val="true"/>
          <w:lang w:bidi="fa-IR"/>
        </w:rPr>
        <w:t>.</w:t>
      </w:r>
      <w:bookmarkStart w:id="7557" w:name="pg1809_19952"/>
    </w:p>
    <w:p>
      <w:pPr>
        <w:pStyle w:val="Heading4"/>
        <w:numPr>
          <w:ilvl w:val="3"/>
          <w:numId w:val="1"/>
        </w:numPr>
        <w:rPr/>
      </w:pPr>
      <w:bookmarkStart w:id="7558" w:name="__RefHeading___Toc2571808_3650668749"/>
      <w:bookmarkStart w:id="7559" w:name="_Toc3413"/>
      <w:bookmarkEnd w:id="7557"/>
      <w:bookmarkEnd w:id="7558"/>
      <w:r>
        <w:rPr>
          <w:rtl w:val="true"/>
        </w:rPr>
        <w:t>[ (</w:t>
      </w:r>
      <w:r>
        <w:rPr>
          <w:rtl w:val="true"/>
        </w:rPr>
        <w:t xml:space="preserve">مسألة </w:t>
      </w:r>
      <w:r>
        <w:rPr/>
        <w:t>2</w:t>
      </w:r>
      <w:r>
        <w:rPr>
          <w:rtl w:val="true"/>
        </w:rPr>
        <w:t xml:space="preserve">): </w:t>
      </w:r>
      <w:r>
        <w:rPr>
          <w:rtl w:val="true"/>
        </w:rPr>
        <w:t>لو جعل المهر ما لا یملکه المسلم کالخمر و الخنزیر صحّ العقد</w:t>
      </w:r>
      <w:r>
        <w:rPr>
          <w:rtl w:val="true"/>
        </w:rPr>
        <w:t>]</w:t>
      </w:r>
      <w:bookmarkEnd w:id="75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جعل المهر ما لا یملکه المسلم کالخمر و الخنزیر صحّ العقد و بطل </w:t>
      </w:r>
      <w:r>
        <w:rPr>
          <w:rStyle w:val="FootnoteAnchor"/>
          <w:rtl w:val="true"/>
        </w:rPr>
        <w:footnoteReference w:id="1934"/>
      </w:r>
      <w:r>
        <w:rPr>
          <w:rFonts w:ascii="IRNazanin" w:hAnsi="IRNazanin" w:eastAsia="IRNazanin"/>
          <w:color w:val="111111"/>
          <w:sz w:val="28"/>
          <w:sz w:val="28"/>
          <w:szCs w:val="28"/>
          <w:rtl w:val="true"/>
          <w:lang w:bidi="fa-IR"/>
        </w:rPr>
        <w:t>المهر، فلم تملک شیئاً بالعقد و إنّما تستحقّ مهر المثل بالدخول</w:t>
      </w:r>
      <w:r>
        <w:rPr>
          <w:rFonts w:eastAsia="IRNazanin" w:cs="IRNazanin"/>
          <w:color w:val="111111"/>
          <w:sz w:val="28"/>
          <w:szCs w:val="28"/>
          <w:rtl w:val="true"/>
          <w:lang w:bidi="fa-IR"/>
        </w:rPr>
        <w:t>.</w:t>
      </w:r>
    </w:p>
    <w:p>
      <w:pPr>
        <w:pStyle w:val="Heading4"/>
        <w:numPr>
          <w:ilvl w:val="3"/>
          <w:numId w:val="1"/>
        </w:numPr>
        <w:rPr/>
      </w:pPr>
      <w:bookmarkStart w:id="7560" w:name="__RefHeading___Toc2571810_3650668749"/>
      <w:bookmarkStart w:id="7561" w:name="_Toc3414"/>
      <w:bookmarkEnd w:id="7560"/>
      <w:r>
        <w:rPr>
          <w:rtl w:val="true"/>
        </w:rPr>
        <w:t>[ (</w:t>
      </w:r>
      <w:r>
        <w:rPr>
          <w:rtl w:val="true"/>
        </w:rPr>
        <w:t xml:space="preserve">مسألة </w:t>
      </w:r>
      <w:r>
        <w:rPr/>
        <w:t>3</w:t>
      </w:r>
      <w:r>
        <w:rPr>
          <w:rtl w:val="true"/>
        </w:rPr>
        <w:t xml:space="preserve">): </w:t>
      </w:r>
      <w:r>
        <w:rPr>
          <w:rtl w:val="true"/>
        </w:rPr>
        <w:t>لا بدّ من تعیین المهر بما یخرج عن الإبهام</w:t>
      </w:r>
      <w:r>
        <w:rPr>
          <w:rtl w:val="true"/>
        </w:rPr>
        <w:t>]</w:t>
      </w:r>
      <w:bookmarkEnd w:id="7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تعیین المهر بما یخرج عن الإبهام، فلو أمهرها أحد هذین أو خیاطة أحد ثوبین مثلًا بطل المهر دون العقد، و کان لها مع الدخول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یعتبر فیه التعیین الذی یعتبر فی البیع و نحوه من المعاوضات، فیکفی مشاهدة عین حاضرة و إن جهل کیله أو وزنه أو عدّه أو ذرعه، کصبرة من الطعام و قطعة من الذهب و طاقة مشاهدة من الثوب و صبرة حاضرة من الجوز و أمثال ذلک</w:t>
      </w:r>
      <w:r>
        <w:rPr>
          <w:rFonts w:eastAsia="IRNazanin" w:cs="IRNazanin"/>
          <w:color w:val="111111"/>
          <w:sz w:val="28"/>
          <w:szCs w:val="28"/>
          <w:rtl w:val="true"/>
          <w:lang w:bidi="fa-IR"/>
        </w:rPr>
        <w:t>.</w:t>
      </w:r>
    </w:p>
    <w:p>
      <w:pPr>
        <w:pStyle w:val="Heading4"/>
        <w:numPr>
          <w:ilvl w:val="3"/>
          <w:numId w:val="1"/>
        </w:numPr>
        <w:rPr/>
      </w:pPr>
      <w:bookmarkStart w:id="7562" w:name="__RefHeading___Toc2571812_3650668749"/>
      <w:bookmarkStart w:id="7563" w:name="_Toc3415"/>
      <w:bookmarkEnd w:id="7562"/>
      <w:r>
        <w:rPr>
          <w:rtl w:val="true"/>
        </w:rPr>
        <w:t>[ (</w:t>
      </w:r>
      <w:r>
        <w:rPr>
          <w:rtl w:val="true"/>
        </w:rPr>
        <w:t xml:space="preserve">مسألة </w:t>
      </w:r>
      <w:r>
        <w:rPr/>
        <w:t>4</w:t>
      </w:r>
      <w:r>
        <w:rPr>
          <w:rtl w:val="true"/>
        </w:rPr>
        <w:t xml:space="preserve">): </w:t>
      </w:r>
      <w:r>
        <w:rPr>
          <w:rtl w:val="true"/>
        </w:rPr>
        <w:t>ذکر المهر لیس شرطاً فی صحّة العقد الدائم</w:t>
      </w:r>
      <w:r>
        <w:rPr>
          <w:rtl w:val="true"/>
        </w:rPr>
        <w:t>]</w:t>
      </w:r>
      <w:bookmarkEnd w:id="7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المهر لیس شرطاً فی صحّة العقد الدائم، فلو عقد علیها و لم یذکر مهراً أصلًا بأن قالت الزوجة للزوج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وکیلها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موکّلتی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العقد، بل لو صرّحت بعدم المهر بأن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 بلا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لهذا أی لإیقاع العقد بلا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البضع، و للمرأة التی لم یذکر فی عقدها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مفوّضة البضع</w:t>
      </w:r>
      <w:r>
        <w:rPr>
          <w:rFonts w:eastAsia="IRNazanin" w:cs="IRNazanin"/>
          <w:color w:val="111111"/>
          <w:sz w:val="28"/>
          <w:szCs w:val="28"/>
          <w:rtl w:val="true"/>
          <w:lang w:bidi="fa-IR"/>
        </w:rPr>
        <w:t>.</w:t>
      </w:r>
    </w:p>
    <w:p>
      <w:pPr>
        <w:pStyle w:val="Heading4"/>
        <w:numPr>
          <w:ilvl w:val="3"/>
          <w:numId w:val="1"/>
        </w:numPr>
        <w:rPr/>
      </w:pPr>
      <w:bookmarkStart w:id="7564" w:name="__RefHeading___Toc2571814_3650668749"/>
      <w:bookmarkStart w:id="7565" w:name="_Toc3416"/>
      <w:bookmarkEnd w:id="7564"/>
      <w:r>
        <w:rPr>
          <w:rtl w:val="true"/>
        </w:rPr>
        <w:t>[ (</w:t>
      </w:r>
      <w:r>
        <w:rPr>
          <w:rtl w:val="true"/>
        </w:rPr>
        <w:t xml:space="preserve">مسألة </w:t>
      </w:r>
      <w:r>
        <w:rPr/>
        <w:t>5</w:t>
      </w:r>
      <w:r>
        <w:rPr>
          <w:rtl w:val="true"/>
        </w:rPr>
        <w:t xml:space="preserve">): </w:t>
      </w:r>
      <w:r>
        <w:rPr>
          <w:rtl w:val="true"/>
        </w:rPr>
        <w:t>إذا وقع العقد بلا مهر لم تستحقّ المرأة قبل الدخول شیئاً</w:t>
      </w:r>
      <w:r>
        <w:rPr>
          <w:rtl w:val="true"/>
        </w:rPr>
        <w:t>]</w:t>
      </w:r>
      <w:bookmarkEnd w:id="7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العقد بلا مهر لم تستحقّ المرأة قبل الدخول شیئاً، إلّا إذا طلّقها حینئذٍ فتستحقّ علیه أن یعطیها شیئاً بحسب حاله من الغنیٰ و الفقر و الیسار و الإعسار من دینار أو درهم أو ثوب أو دابّة أو غیرها، و یقال لذلک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المتعة، و لو انفسخ العقد قبل الدخول بأمر غیر الطلاق لم تستحقّ شیئاً لا مهراً و لا متعةً، و کذا لو مات أحدهما قبله، و أمّا لو دخل بها استحقّت علیه بسبب الدخول مهر أمثالها</w:t>
      </w:r>
      <w:r>
        <w:rPr>
          <w:rFonts w:eastAsia="IRNazanin" w:cs="IRNazanin"/>
          <w:color w:val="111111"/>
          <w:sz w:val="28"/>
          <w:szCs w:val="28"/>
          <w:rtl w:val="true"/>
          <w:lang w:bidi="fa-IR"/>
        </w:rPr>
        <w:t>.</w:t>
      </w:r>
    </w:p>
    <w:p>
      <w:pPr>
        <w:pStyle w:val="Heading4"/>
        <w:numPr>
          <w:ilvl w:val="3"/>
          <w:numId w:val="1"/>
        </w:numPr>
        <w:rPr/>
      </w:pPr>
      <w:bookmarkStart w:id="7566" w:name="__RefHeading___Toc2571816_3650668749"/>
      <w:bookmarkStart w:id="7567" w:name="_Toc3417"/>
      <w:bookmarkEnd w:id="7566"/>
      <w:r>
        <w:rPr>
          <w:rtl w:val="true"/>
        </w:rPr>
        <w:t>[ (</w:t>
      </w:r>
      <w:r>
        <w:rPr>
          <w:rtl w:val="true"/>
        </w:rPr>
        <w:t xml:space="preserve">مسألة </w:t>
      </w:r>
      <w:r>
        <w:rPr/>
        <w:t>6</w:t>
      </w:r>
      <w:r>
        <w:rPr>
          <w:rtl w:val="true"/>
        </w:rPr>
        <w:t xml:space="preserve">): </w:t>
      </w:r>
      <w:r>
        <w:rPr>
          <w:rtl w:val="true"/>
        </w:rPr>
        <w:t>المعتبر فی مهر المثل هنا و فی کلّ مورد نحکم به ملاحظة حال المرأة و صفاتها</w:t>
      </w:r>
      <w:r>
        <w:rPr>
          <w:rtl w:val="true"/>
        </w:rPr>
        <w:t>]</w:t>
      </w:r>
      <w:bookmarkEnd w:id="7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فی مهر المثل هنا </w:t>
      </w:r>
      <w:r>
        <w:rPr>
          <w:rStyle w:val="FootnoteAnchor"/>
          <w:rtl w:val="true"/>
        </w:rPr>
        <w:footnoteReference w:id="1935"/>
      </w:r>
      <w:r>
        <w:rPr>
          <w:rFonts w:ascii="IRNazanin" w:hAnsi="IRNazanin" w:eastAsia="IRNazanin"/>
          <w:color w:val="111111"/>
          <w:sz w:val="28"/>
          <w:sz w:val="28"/>
          <w:szCs w:val="28"/>
          <w:rtl w:val="true"/>
          <w:lang w:bidi="fa-IR"/>
        </w:rPr>
        <w:t>و فی کلّ مورد نحکم به ملاحظة حال المرأة و صفاتها من السنّ و البکارة و النجابة و العفّة و العقل و الأدب و الشرف و الجمال و الکمال و أضدادها، بل یلاحظ کلّ ما له دخل فی العرف و العادة فی ارتفاع المهر و نقصانه، فتلاحظ أقاربها و عشیرتها و بلدها و غیر ذلک أیضاً</w:t>
      </w:r>
      <w:r>
        <w:rPr>
          <w:rFonts w:eastAsia="IRNazanin" w:cs="IRNazanin"/>
          <w:color w:val="111111"/>
          <w:sz w:val="28"/>
          <w:szCs w:val="28"/>
          <w:rtl w:val="true"/>
          <w:lang w:bidi="fa-IR"/>
        </w:rPr>
        <w:t>.</w:t>
      </w:r>
    </w:p>
    <w:p>
      <w:pPr>
        <w:pStyle w:val="Heading4"/>
        <w:numPr>
          <w:ilvl w:val="3"/>
          <w:numId w:val="1"/>
        </w:numPr>
        <w:rPr/>
      </w:pPr>
      <w:bookmarkStart w:id="7568" w:name="__RefHeading___Toc2571818_3650668749"/>
      <w:bookmarkStart w:id="7569" w:name="_Toc3418"/>
      <w:bookmarkEnd w:id="7568"/>
      <w:r>
        <w:rPr>
          <w:rtl w:val="true"/>
        </w:rPr>
        <w:t>[ (</w:t>
      </w:r>
      <w:r>
        <w:rPr>
          <w:rtl w:val="true"/>
        </w:rPr>
        <w:t xml:space="preserve">مسألة </w:t>
      </w:r>
      <w:r>
        <w:rPr/>
        <w:t>7</w:t>
      </w:r>
      <w:r>
        <w:rPr>
          <w:rtl w:val="true"/>
        </w:rPr>
        <w:t xml:space="preserve">): </w:t>
      </w:r>
      <w:r>
        <w:rPr>
          <w:rtl w:val="true"/>
        </w:rPr>
        <w:t>لو أمهر ما لا یملکه أحد کالحرّ، أو ما لا یملکه المسلم</w:t>
      </w:r>
      <w:r>
        <w:rPr>
          <w:rtl w:val="true"/>
        </w:rPr>
        <w:t>]</w:t>
      </w:r>
      <w:bookmarkEnd w:id="7569"/>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أمهر ما لا یملکه أحد کالحرّ، أو ما لا یملکه المسلم کالخمر و الخنزیر،</w:t>
      </w:r>
      <w:bookmarkStart w:id="7570" w:name="pg1809_19954"/>
    </w:p>
    <w:p>
      <w:pPr>
        <w:pStyle w:val="BookText"/>
        <w:rPr/>
      </w:pPr>
      <w:bookmarkEnd w:id="7570"/>
      <w:r>
        <w:rPr>
          <w:rFonts w:ascii="IRNazanin" w:hAnsi="IRNazanin" w:eastAsia="IRNazanin"/>
          <w:color w:val="111111"/>
          <w:sz w:val="28"/>
          <w:sz w:val="28"/>
          <w:szCs w:val="28"/>
          <w:rtl w:val="true"/>
          <w:lang w:bidi="fa-IR"/>
        </w:rPr>
        <w:t>صحّ العقد و بطل المهر و استحقّت علیه مهر المثل بالدخول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فیما إذا جعل المهر شیئاً باعتقاد کونه خلّاً فبان خمراً، أو شخصاً باعتقاد کونه عبداً فبان حرّا، بل و کذا الحال فیما إذا جعل المهر مال الغیر أو شیئاً باعتقاد کونه ماله فبان خلافه</w:t>
      </w:r>
      <w:r>
        <w:rPr>
          <w:rFonts w:eastAsia="IRNazanin" w:cs="IRNazanin"/>
          <w:color w:val="111111"/>
          <w:sz w:val="28"/>
          <w:szCs w:val="28"/>
          <w:rtl w:val="true"/>
          <w:lang w:bidi="fa-IR"/>
        </w:rPr>
        <w:t>.</w:t>
      </w:r>
    </w:p>
    <w:p>
      <w:pPr>
        <w:pStyle w:val="Heading4"/>
        <w:numPr>
          <w:ilvl w:val="3"/>
          <w:numId w:val="1"/>
        </w:numPr>
        <w:rPr/>
      </w:pPr>
      <w:bookmarkStart w:id="7571" w:name="__RefHeading___Toc2571820_3650668749"/>
      <w:bookmarkStart w:id="7572" w:name="_Toc3419"/>
      <w:bookmarkEnd w:id="7571"/>
      <w:r>
        <w:rPr>
          <w:rtl w:val="true"/>
        </w:rPr>
        <w:t>[ (</w:t>
      </w:r>
      <w:r>
        <w:rPr>
          <w:rtl w:val="true"/>
        </w:rPr>
        <w:t xml:space="preserve">مسألة </w:t>
      </w:r>
      <w:r>
        <w:rPr/>
        <w:t>8</w:t>
      </w:r>
      <w:r>
        <w:rPr>
          <w:rtl w:val="true"/>
        </w:rPr>
        <w:t xml:space="preserve">): </w:t>
      </w:r>
      <w:r>
        <w:rPr>
          <w:rtl w:val="true"/>
        </w:rPr>
        <w:t>لو شرّک أباها فی المهر؛ بأن سمّی لها مهراً و لأبیها شیئاً معیّناً تعیّن ما سمّی لها مهراً لها</w:t>
      </w:r>
      <w:r>
        <w:rPr>
          <w:rtl w:val="true"/>
        </w:rPr>
        <w:t>]</w:t>
      </w:r>
      <w:bookmarkEnd w:id="7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شرّک أباها فی المهر؛ بأن سمّی لها مهراً و لأبیها شیئاً معیّناً تعیّن ما سمّی لها مهراً لها و سقط ما سمّی لأبیها، فلا یستحقّ الأب شیئاً</w:t>
      </w:r>
      <w:r>
        <w:rPr>
          <w:rFonts w:eastAsia="Amiri" w:cs="Amiri" w:ascii="Amiri" w:hAnsi="Amiri"/>
          <w:color w:val="111111"/>
          <w:sz w:val="28"/>
          <w:szCs w:val="28"/>
          <w:rtl w:val="true"/>
          <w:lang w:bidi="ar-SA"/>
        </w:rPr>
        <w:t>.</w:t>
      </w:r>
    </w:p>
    <w:p>
      <w:pPr>
        <w:pStyle w:val="Heading4"/>
        <w:numPr>
          <w:ilvl w:val="3"/>
          <w:numId w:val="1"/>
        </w:numPr>
        <w:rPr/>
      </w:pPr>
      <w:bookmarkStart w:id="7573" w:name="__RefHeading___Toc2571822_3650668749"/>
      <w:bookmarkStart w:id="7574" w:name="_Toc3420"/>
      <w:bookmarkEnd w:id="7573"/>
      <w:r>
        <w:rPr>
          <w:rtl w:val="true"/>
        </w:rPr>
        <w:t>[ (</w:t>
      </w:r>
      <w:r>
        <w:rPr>
          <w:rtl w:val="true"/>
        </w:rPr>
        <w:t xml:space="preserve">مسألة </w:t>
      </w:r>
      <w:r>
        <w:rPr/>
        <w:t>9</w:t>
      </w:r>
      <w:r>
        <w:rPr>
          <w:rtl w:val="true"/>
        </w:rPr>
        <w:t xml:space="preserve">): </w:t>
      </w:r>
      <w:r>
        <w:rPr>
          <w:rtl w:val="true"/>
        </w:rPr>
        <w:t>ما تعارف فی بعض البلاد من أنّه یأخذ بعض أقارب البنت کأبیها أو أُمّها أو أُختها من الزوج شیئاً</w:t>
      </w:r>
      <w:r>
        <w:rPr>
          <w:rtl w:val="true"/>
        </w:rPr>
        <w:t>]</w:t>
      </w:r>
      <w:bookmarkEnd w:id="7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تعارف فی بعض البلاد من أنّه یأخذ بعض أقارب البنت کأبیها أو أُمّها أو أُختها من الزوج شیئاً و هو المسمّی فی لسان بعض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لسان بعض آخر بشی‌ء آخر، لیس بعنوان المهر و جزءاً منه، بل هو شی‌ء آخر یؤخذ زائداً علی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إعطاؤه و أخذه بعنوان الجعالة لعمل مباح، کما إذا أعطیٰ شیئاً للأخ لأن یتوسّط فی البین و یرضی أُخته و یسعی فی رفع بعض الموانع، فلا إشکال فی جوازه و حلّیته، بل فی استحقاق القریب له و عدم سلطنة الزوج علی استرجاعه بعد إعطائه، و إن لم یکن بعنوان الجعالة، فإن کان إعطاء الزوج للقریب بطیب نفس منه و إن کان لأجل جلب خاطره و تحبیبه و إرضائه؛ حیث إنّ رضاءه فی نفسه مقصود، أو من جهة أنّ رضا البنت منوط برضائه، فبملاحظة هذه الجهات یطیب خاطر الزوج ببذل المال، فالظاهر جواز أخذه للقریب، لکن یجوز للزوج استرجاعه ما دام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عدم الرضا من الزوج و إنّما أعطاه من جهة استخلاص البنت؛ حیث إنّ القریب مانع عن تمشیة الأمر مع رضاها بالتزویج بما بذل لها من المهر، فیحرم أخذه و أکله، و یجوز للزوج الرجوع فیه؛ باقیاً کان أو تالفاً</w:t>
      </w:r>
      <w:r>
        <w:rPr>
          <w:rFonts w:eastAsia="IRNazanin" w:cs="IRNazanin"/>
          <w:color w:val="111111"/>
          <w:sz w:val="28"/>
          <w:szCs w:val="28"/>
          <w:rtl w:val="true"/>
          <w:lang w:bidi="fa-IR"/>
        </w:rPr>
        <w:t>.</w:t>
      </w:r>
    </w:p>
    <w:p>
      <w:pPr>
        <w:pStyle w:val="Heading4"/>
        <w:numPr>
          <w:ilvl w:val="3"/>
          <w:numId w:val="1"/>
        </w:numPr>
        <w:rPr/>
      </w:pPr>
      <w:bookmarkStart w:id="7575" w:name="__RefHeading___Toc2571824_3650668749"/>
      <w:bookmarkStart w:id="7576" w:name="_Toc3421"/>
      <w:bookmarkEnd w:id="7575"/>
      <w:r>
        <w:rPr>
          <w:rtl w:val="true"/>
        </w:rPr>
        <w:t>[ (</w:t>
      </w:r>
      <w:r>
        <w:rPr>
          <w:rtl w:val="true"/>
        </w:rPr>
        <w:t xml:space="preserve">مسألة </w:t>
      </w:r>
      <w:r>
        <w:rPr/>
        <w:t>10</w:t>
      </w:r>
      <w:r>
        <w:rPr>
          <w:rtl w:val="true"/>
        </w:rPr>
        <w:t xml:space="preserve">): </w:t>
      </w:r>
      <w:r>
        <w:rPr>
          <w:rtl w:val="true"/>
        </w:rPr>
        <w:t>إذا وقع العقد بلا مهر جاز أن یتراضیا بعد العقد علیٰ شی‌ء</w:t>
      </w:r>
      <w:r>
        <w:rPr>
          <w:rtl w:val="true"/>
        </w:rPr>
        <w:t>]</w:t>
      </w:r>
      <w:bookmarkEnd w:id="7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العقد بلا مهر جاز أن یتراضیا بعد العقد علیٰ شی‌ء؛ سواء کان بقدر مهر المثل أو أقلّ منه أو أکثر، و یتعیّن ذلک مهراً و کان کالمذکور فی العقد</w:t>
      </w:r>
      <w:r>
        <w:rPr>
          <w:rFonts w:eastAsia="IRNazanin" w:cs="IRNazanin"/>
          <w:color w:val="111111"/>
          <w:sz w:val="28"/>
          <w:szCs w:val="28"/>
          <w:rtl w:val="true"/>
          <w:lang w:bidi="fa-IR"/>
        </w:rPr>
        <w:t>.</w:t>
      </w:r>
    </w:p>
    <w:p>
      <w:pPr>
        <w:pStyle w:val="Heading4"/>
        <w:numPr>
          <w:ilvl w:val="3"/>
          <w:numId w:val="1"/>
        </w:numPr>
        <w:rPr/>
      </w:pPr>
      <w:bookmarkStart w:id="7577" w:name="__RefHeading___Toc2571826_3650668749"/>
      <w:bookmarkStart w:id="7578" w:name="_Toc3422"/>
      <w:bookmarkEnd w:id="7577"/>
      <w:r>
        <w:rPr>
          <w:rtl w:val="true"/>
        </w:rPr>
        <w:t>[ (</w:t>
      </w:r>
      <w:r>
        <w:rPr>
          <w:rtl w:val="true"/>
        </w:rPr>
        <w:t xml:space="preserve">مسألة </w:t>
      </w:r>
      <w:r>
        <w:rPr/>
        <w:t>11</w:t>
      </w:r>
      <w:r>
        <w:rPr>
          <w:rtl w:val="true"/>
        </w:rPr>
        <w:t xml:space="preserve">): </w:t>
      </w:r>
      <w:r>
        <w:rPr>
          <w:rtl w:val="true"/>
        </w:rPr>
        <w:t>یجوز أن یجعل المهر کلّه حالّا أی بلا أجل و مؤجّلًا</w:t>
      </w:r>
      <w:r>
        <w:rPr>
          <w:rtl w:val="true"/>
        </w:rPr>
        <w:t>]</w:t>
      </w:r>
      <w:bookmarkEnd w:id="7578"/>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یجعل المهر کلّه حالّا أی بلا أجل و مؤجّلًا، و أن یجعل بعضه حالّا و بعضه مؤجّلًا، و للزوجة مطالبة الحالّ فی کلّ حال بشرط مقدرة الزوج و الیسار، بل لها أن تمتنع من التمکین و تسلیم نفسها حتّی تقبض مهرها الحالّ؛ سواء کان الزوج موسراً أو معسراً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لها الامتناع فیما لو کان المهر مؤجّلًا کلّه أو بعضه و قد أخذت بعضه الحالّ</w:t>
      </w:r>
      <w:r>
        <w:rPr>
          <w:rFonts w:eastAsia="IRNazanin" w:cs="IRNazanin"/>
          <w:color w:val="111111"/>
          <w:sz w:val="28"/>
          <w:szCs w:val="28"/>
          <w:rtl w:val="true"/>
          <w:lang w:bidi="fa-IR"/>
        </w:rPr>
        <w:t>.</w:t>
      </w:r>
      <w:bookmarkStart w:id="7579" w:name="pg1809_19956"/>
    </w:p>
    <w:p>
      <w:pPr>
        <w:pStyle w:val="Heading4"/>
        <w:numPr>
          <w:ilvl w:val="3"/>
          <w:numId w:val="1"/>
        </w:numPr>
        <w:rPr/>
      </w:pPr>
      <w:bookmarkStart w:id="7580" w:name="__RefHeading___Toc2571828_3650668749"/>
      <w:bookmarkStart w:id="7581" w:name="_Toc3423"/>
      <w:bookmarkEnd w:id="7579"/>
      <w:bookmarkEnd w:id="7580"/>
      <w:r>
        <w:rPr>
          <w:rtl w:val="true"/>
        </w:rPr>
        <w:t>[ (</w:t>
      </w:r>
      <w:r>
        <w:rPr>
          <w:rtl w:val="true"/>
        </w:rPr>
        <w:t xml:space="preserve">مسألة </w:t>
      </w:r>
      <w:r>
        <w:rPr/>
        <w:t>12</w:t>
      </w:r>
      <w:r>
        <w:rPr>
          <w:rtl w:val="true"/>
        </w:rPr>
        <w:t xml:space="preserve">): </w:t>
      </w:r>
      <w:r>
        <w:rPr>
          <w:rtl w:val="true"/>
        </w:rPr>
        <w:t>یجوز أن یذکر المهر فی العقد فی الجملة</w:t>
      </w:r>
      <w:r>
        <w:rPr>
          <w:rtl w:val="true"/>
        </w:rPr>
        <w:t>]</w:t>
      </w:r>
      <w:bookmarkEnd w:id="7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یذکر المهر فی العقد فی الجملة، و یفوّض تقدیره و تعیینه إلیٰ أحد الزوجین؛ بأن تقول الزوجة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 علیٰ ما تحکم أو أحکم من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الحاکم الذی فوّض إلیه تقدیر المهر فی العقد هو الزوج جاز أن یحکم بما شاء و لم یتقدّر بقدر لا فی طرف الکثرة و لا فی طرف القلّة ما دام متموّلًا، و إن کان الحکم إلیها کان لها الحکم فی طرف القلّة بما شاءت </w:t>
      </w:r>
      <w:r>
        <w:rPr>
          <w:rStyle w:val="FootnoteAnchor"/>
          <w:rtl w:val="true"/>
        </w:rPr>
        <w:footnoteReference w:id="1936"/>
      </w:r>
      <w:r>
        <w:rPr>
          <w:rFonts w:ascii="IRNazanin" w:hAnsi="IRNazanin" w:eastAsia="IRNazanin"/>
          <w:color w:val="111111"/>
          <w:sz w:val="28"/>
          <w:sz w:val="28"/>
          <w:szCs w:val="28"/>
          <w:rtl w:val="true"/>
          <w:lang w:bidi="fa-IR"/>
        </w:rPr>
        <w:t>، و أمّا فی طرف الکثرة فلا یمضی حکمها فیما زاد علیٰ مهر السنّة، و هو خمسمائة درهم</w:t>
      </w:r>
      <w:r>
        <w:rPr>
          <w:rFonts w:eastAsia="IRNazanin" w:cs="IRNazanin"/>
          <w:color w:val="111111"/>
          <w:sz w:val="28"/>
          <w:szCs w:val="28"/>
          <w:rtl w:val="true"/>
          <w:lang w:bidi="fa-IR"/>
        </w:rPr>
        <w:t>.</w:t>
      </w:r>
    </w:p>
    <w:p>
      <w:pPr>
        <w:pStyle w:val="Heading4"/>
        <w:numPr>
          <w:ilvl w:val="3"/>
          <w:numId w:val="1"/>
        </w:numPr>
        <w:rPr/>
      </w:pPr>
      <w:bookmarkStart w:id="7582" w:name="__RefHeading___Toc2571830_3650668749"/>
      <w:bookmarkStart w:id="7583" w:name="_Toc3424"/>
      <w:bookmarkEnd w:id="7582"/>
      <w:r>
        <w:rPr>
          <w:rtl w:val="true"/>
        </w:rPr>
        <w:t>[ (</w:t>
      </w:r>
      <w:r>
        <w:rPr>
          <w:rtl w:val="true"/>
        </w:rPr>
        <w:t xml:space="preserve">مسألة </w:t>
      </w:r>
      <w:r>
        <w:rPr/>
        <w:t>13</w:t>
      </w:r>
      <w:r>
        <w:rPr>
          <w:rtl w:val="true"/>
        </w:rPr>
        <w:t xml:space="preserve">): </w:t>
      </w:r>
      <w:r>
        <w:rPr>
          <w:rtl w:val="true"/>
        </w:rPr>
        <w:t>إذا طلّق قبل الدخول سقط نصف المهر المسمّی و بقی نصفه</w:t>
      </w:r>
      <w:r>
        <w:rPr>
          <w:rtl w:val="true"/>
        </w:rPr>
        <w:t>]</w:t>
      </w:r>
      <w:bookmarkEnd w:id="75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قبل الدخول سقط نصف المهر المسمّی و بقی نصفه، فإن کان دیناً علیه و لم یکن قد دفعه برئت ذمّته من نصفه، و إن کان عیناً صارت مشترکة بینه و بینها، و لو کان دفعه إلیها استعاد نصفه إن کان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تالفاً استعاد نصف مثله إن کان مثلیّا و نصف قیمته إن کان قیمیّاً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حکم التلف نقله إلی الغیر بناقل لازم، و أمّا لو کان انتقاله منها إلی الغیر بناقل جائز کالبیع بخیار تخیّرت </w:t>
      </w:r>
      <w:r>
        <w:rPr>
          <w:rStyle w:val="FootnoteAnchor"/>
          <w:rtl w:val="true"/>
        </w:rPr>
        <w:footnoteReference w:id="1937"/>
      </w:r>
      <w:r>
        <w:rPr>
          <w:rFonts w:ascii="IRNazanin" w:hAnsi="IRNazanin" w:eastAsia="IRNazanin"/>
          <w:color w:val="111111"/>
          <w:sz w:val="28"/>
          <w:sz w:val="28"/>
          <w:szCs w:val="28"/>
          <w:rtl w:val="true"/>
          <w:lang w:bidi="fa-IR"/>
        </w:rPr>
        <w:t>فی الرجوع و دفع نصف العین و فی دفع بدل النصف</w:t>
      </w:r>
      <w:r>
        <w:rPr>
          <w:rFonts w:eastAsia="IRNazanin" w:cs="IRNazanin"/>
          <w:color w:val="111111"/>
          <w:sz w:val="28"/>
          <w:szCs w:val="28"/>
          <w:rtl w:val="true"/>
          <w:lang w:bidi="fa-IR"/>
        </w:rPr>
        <w:t>.</w:t>
      </w:r>
    </w:p>
    <w:p>
      <w:pPr>
        <w:pStyle w:val="Heading4"/>
        <w:numPr>
          <w:ilvl w:val="3"/>
          <w:numId w:val="1"/>
        </w:numPr>
        <w:rPr/>
      </w:pPr>
      <w:bookmarkStart w:id="7584" w:name="__RefHeading___Toc2571832_3650668749"/>
      <w:bookmarkStart w:id="7585" w:name="_Toc3425"/>
      <w:bookmarkEnd w:id="7584"/>
      <w:r>
        <w:rPr>
          <w:rtl w:val="true"/>
        </w:rPr>
        <w:t>[ (</w:t>
      </w:r>
      <w:r>
        <w:rPr>
          <w:rtl w:val="true"/>
        </w:rPr>
        <w:t xml:space="preserve">مسألة </w:t>
      </w:r>
      <w:r>
        <w:rPr/>
        <w:t>14</w:t>
      </w:r>
      <w:r>
        <w:rPr>
          <w:rtl w:val="true"/>
        </w:rPr>
        <w:t xml:space="preserve">): </w:t>
      </w:r>
      <w:r>
        <w:rPr>
          <w:rtl w:val="true"/>
        </w:rPr>
        <w:t>إذا مات أحد الزوجین قبل الدخول، فالمشهور</w:t>
      </w:r>
      <w:r>
        <w:rPr>
          <w:rtl w:val="true"/>
        </w:rPr>
        <w:t xml:space="preserve">: </w:t>
      </w:r>
      <w:r>
        <w:rPr>
          <w:rtl w:val="true"/>
        </w:rPr>
        <w:t>استحقاق المرأة تمام المهر</w:t>
      </w:r>
      <w:r>
        <w:rPr>
          <w:rtl w:val="true"/>
        </w:rPr>
        <w:t>]</w:t>
      </w:r>
      <w:bookmarkEnd w:id="75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أحد الزوجین قبل الدخول، فالمشهور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المرأة تمام المهر، و قیل بأنّ الموت کالطلاق یکون سبباً لتنصیف المهر، و هو الأقویٰ خصوصاً فی موت المرأة، و إن کان الأحوط التصالح خصوصاً فی موت الرجل</w:t>
      </w:r>
      <w:r>
        <w:rPr>
          <w:rFonts w:eastAsia="IRNazanin" w:cs="IRNazanin"/>
          <w:color w:val="111111"/>
          <w:sz w:val="28"/>
          <w:szCs w:val="28"/>
          <w:rtl w:val="true"/>
          <w:lang w:bidi="fa-IR"/>
        </w:rPr>
        <w:t>.</w:t>
      </w:r>
    </w:p>
    <w:p>
      <w:pPr>
        <w:pStyle w:val="Heading4"/>
        <w:numPr>
          <w:ilvl w:val="3"/>
          <w:numId w:val="1"/>
        </w:numPr>
        <w:rPr/>
      </w:pPr>
      <w:bookmarkStart w:id="7586" w:name="__RefHeading___Toc2571834_3650668749"/>
      <w:bookmarkStart w:id="7587" w:name="_Toc3426"/>
      <w:bookmarkEnd w:id="7586"/>
      <w:r>
        <w:rPr>
          <w:rtl w:val="true"/>
        </w:rPr>
        <w:t>[ (</w:t>
      </w:r>
      <w:r>
        <w:rPr>
          <w:rtl w:val="true"/>
        </w:rPr>
        <w:t xml:space="preserve">مسألة </w:t>
      </w:r>
      <w:r>
        <w:rPr/>
        <w:t>15</w:t>
      </w:r>
      <w:r>
        <w:rPr>
          <w:rtl w:val="true"/>
        </w:rPr>
        <w:t xml:space="preserve">): </w:t>
      </w:r>
      <w:r>
        <w:rPr>
          <w:rtl w:val="true"/>
        </w:rPr>
        <w:t>الصداق تملکه المرأة بنفس العقد و تستقرّ ملکیّة تمامه بالدخول</w:t>
      </w:r>
      <w:r>
        <w:rPr>
          <w:rtl w:val="true"/>
        </w:rPr>
        <w:t>]</w:t>
      </w:r>
      <w:bookmarkEnd w:id="7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الصداق تملکه المرأة بنفس العقد و تستقرّ ملکیّة تمامه بالدخول، فإذا طلّقها الزوج قبل الدخول عاد إلیه النصف و بقی للمرأة النصف، فلها التصرّف فیه بعد العقد بأنواع التصرّفات، و لو حصل له نماء کان لها خاصّة، و بعد ما طلّقها قبل الدخول کان له نصف ما وقع علیه </w:t>
      </w:r>
      <w:r>
        <w:rPr>
          <w:rStyle w:val="FootnoteAnchor"/>
          <w:rtl w:val="true"/>
        </w:rPr>
        <w:footnoteReference w:id="1938"/>
      </w:r>
      <w:r>
        <w:rPr>
          <w:rFonts w:ascii="IRNazanin" w:hAnsi="IRNazanin" w:eastAsia="IRNazanin"/>
          <w:color w:val="111111"/>
          <w:sz w:val="28"/>
          <w:sz w:val="28"/>
          <w:szCs w:val="28"/>
          <w:rtl w:val="true"/>
          <w:lang w:bidi="fa-IR"/>
        </w:rPr>
        <w:t>العقد، و لا یستحقّ من النماء السابق شیئاً</w:t>
      </w:r>
      <w:r>
        <w:rPr>
          <w:rFonts w:eastAsia="IRNazanin" w:cs="IRNazanin"/>
          <w:color w:val="111111"/>
          <w:sz w:val="28"/>
          <w:szCs w:val="28"/>
          <w:rtl w:val="true"/>
          <w:lang w:bidi="fa-IR"/>
        </w:rPr>
        <w:t>.</w:t>
      </w:r>
    </w:p>
    <w:p>
      <w:pPr>
        <w:pStyle w:val="Heading4"/>
        <w:numPr>
          <w:ilvl w:val="3"/>
          <w:numId w:val="1"/>
        </w:numPr>
        <w:rPr/>
      </w:pPr>
      <w:bookmarkStart w:id="7588" w:name="__RefHeading___Toc2571836_3650668749"/>
      <w:bookmarkStart w:id="7589" w:name="_Toc3427"/>
      <w:bookmarkEnd w:id="7588"/>
      <w:r>
        <w:rPr>
          <w:rtl w:val="true"/>
        </w:rPr>
        <w:t>[ (</w:t>
      </w:r>
      <w:r>
        <w:rPr>
          <w:rtl w:val="true"/>
        </w:rPr>
        <w:t xml:space="preserve">مسألة </w:t>
      </w:r>
      <w:r>
        <w:rPr/>
        <w:t>16</w:t>
      </w:r>
      <w:r>
        <w:rPr>
          <w:rtl w:val="true"/>
        </w:rPr>
        <w:t xml:space="preserve">): </w:t>
      </w:r>
      <w:r>
        <w:rPr>
          <w:rtl w:val="true"/>
        </w:rPr>
        <w:t>لو أبرأته من الصداق الذی کان علیه ثمّ طلّقها قبل الدخول</w:t>
      </w:r>
      <w:r>
        <w:rPr>
          <w:rtl w:val="true"/>
        </w:rPr>
        <w:t>]</w:t>
      </w:r>
      <w:bookmarkEnd w:id="7589"/>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أبرأته من الصداق الذی کان علیه ثمّ طلّقها قبل الدخول، رجع بنصفه إلیها، و کذا لو کان الصداق عیناً فوهبته إیّاها، رجع بنصف مثلها إلیها أو قیمة نصفها</w:t>
      </w:r>
      <w:r>
        <w:rPr>
          <w:rFonts w:eastAsia="IRNazanin" w:cs="IRNazanin"/>
          <w:color w:val="111111"/>
          <w:sz w:val="28"/>
          <w:szCs w:val="28"/>
          <w:rtl w:val="true"/>
          <w:lang w:bidi="fa-IR"/>
        </w:rPr>
        <w:t>.</w:t>
      </w:r>
      <w:bookmarkStart w:id="7590" w:name="pg1809_19958"/>
    </w:p>
    <w:p>
      <w:pPr>
        <w:pStyle w:val="Heading4"/>
        <w:numPr>
          <w:ilvl w:val="3"/>
          <w:numId w:val="1"/>
        </w:numPr>
        <w:rPr/>
      </w:pPr>
      <w:bookmarkStart w:id="7591" w:name="__RefHeading___Toc2571838_3650668749"/>
      <w:bookmarkStart w:id="7592" w:name="_Toc3428"/>
      <w:bookmarkEnd w:id="7590"/>
      <w:bookmarkEnd w:id="7591"/>
      <w:r>
        <w:rPr>
          <w:rtl w:val="true"/>
        </w:rPr>
        <w:t>[ (</w:t>
      </w:r>
      <w:r>
        <w:rPr>
          <w:rtl w:val="true"/>
        </w:rPr>
        <w:t xml:space="preserve">مسألة </w:t>
      </w:r>
      <w:r>
        <w:rPr/>
        <w:t>17</w:t>
      </w:r>
      <w:r>
        <w:rPr>
          <w:rtl w:val="true"/>
        </w:rPr>
        <w:t xml:space="preserve">): </w:t>
      </w:r>
      <w:r>
        <w:rPr>
          <w:rtl w:val="true"/>
        </w:rPr>
        <w:t>الدخول الذی یستقرّ به تمام المهر هو مطلق الوطء و لو دبراً</w:t>
      </w:r>
      <w:r>
        <w:rPr>
          <w:rtl w:val="true"/>
        </w:rPr>
        <w:t>]</w:t>
      </w:r>
      <w:bookmarkEnd w:id="7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الذی یستقرّ به تمام المهر هو مطلق الوطء و لو دبراً، و إذا اختلف الزوجان بعد ما طلّقها فادّعت وقوع المواقعة و أنکرها فالقول قوله بیمینه، و له أن یدفع الیمین عن نفسه بإقامة البیّنة علی العدم إن أمکن، کما إذا ادّعت المواقعة قبلًا و کانت بکراً و کانت عنده بیّنة علیٰ بقاء بکارتها</w:t>
      </w:r>
      <w:r>
        <w:rPr>
          <w:rFonts w:eastAsia="IRNazanin" w:cs="IRNazanin"/>
          <w:color w:val="111111"/>
          <w:sz w:val="28"/>
          <w:szCs w:val="28"/>
          <w:rtl w:val="true"/>
          <w:lang w:bidi="fa-IR"/>
        </w:rPr>
        <w:t>.</w:t>
      </w:r>
    </w:p>
    <w:p>
      <w:pPr>
        <w:pStyle w:val="Heading4"/>
        <w:numPr>
          <w:ilvl w:val="3"/>
          <w:numId w:val="1"/>
        </w:numPr>
        <w:rPr/>
      </w:pPr>
      <w:bookmarkStart w:id="7593" w:name="__RefHeading___Toc2571840_3650668749"/>
      <w:bookmarkStart w:id="7594" w:name="_Toc3429"/>
      <w:bookmarkEnd w:id="7593"/>
      <w:r>
        <w:rPr>
          <w:rtl w:val="true"/>
        </w:rPr>
        <w:t>[ (</w:t>
      </w:r>
      <w:r>
        <w:rPr>
          <w:rtl w:val="true"/>
        </w:rPr>
        <w:t xml:space="preserve">مسألة </w:t>
      </w:r>
      <w:r>
        <w:rPr/>
        <w:t>18</w:t>
      </w:r>
      <w:r>
        <w:rPr>
          <w:rtl w:val="true"/>
        </w:rPr>
        <w:t xml:space="preserve">): </w:t>
      </w:r>
      <w:r>
        <w:rPr>
          <w:rtl w:val="true"/>
        </w:rPr>
        <w:t>إذا اختلف الزوجان فی أصل المهر فادّعته الزوجة و أنکر الزوج</w:t>
      </w:r>
      <w:r>
        <w:rPr>
          <w:rtl w:val="true"/>
        </w:rPr>
        <w:t>]</w:t>
      </w:r>
      <w:bookmarkEnd w:id="7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الزوجان فی أصل المهر فادّعته الزوجة و أنکر الزوج، فإن کان قبل الدخول فالقول قوله بیمینه، و إن کان بعد الدخول کلّفت بالتعیین، بل لا یبعد عدم سماع الدعویٰ منها ما لم تفسّر، و أنّه لا یسمع منها مجرّد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علیه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تبیّن المقدار، فإذا فسّرت و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أطلب منک مهری و هو المبلغ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أزید من مهر المثل، حکم لها علیه بما تدّعیه و لا یسمع منه إنکار أصل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قال فی جوابها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قد کان علیّ کذا إلّا أنّه قد سقط عنّی، إمّا بالأداء أو الإبراء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 منه ذلک إلّا أنّه یحتاج إلی الإثبات، فإن أقامت البیّنة علیٰ ذلک ثبت مدّعاه و إلّا فله علیها الیمین، فإن حلفت علیٰ نفی الأداء أو الإبراء ثبتت دعواها، و إن نکلت </w:t>
      </w:r>
      <w:r>
        <w:rPr>
          <w:rStyle w:val="FootnoteAnchor"/>
          <w:rtl w:val="true"/>
        </w:rPr>
        <w:footnoteReference w:id="1939"/>
      </w:r>
      <w:r>
        <w:rPr>
          <w:rFonts w:ascii="IRNazanin" w:hAnsi="IRNazanin" w:eastAsia="IRNazanin"/>
          <w:color w:val="111111"/>
          <w:sz w:val="28"/>
          <w:sz w:val="28"/>
          <w:szCs w:val="28"/>
          <w:rtl w:val="true"/>
          <w:lang w:bidi="fa-IR"/>
        </w:rPr>
        <w:t>سقطت، و لها ردّ الیمین علی الزوج، فإن حلف علی الإبراء أو الأداء سقطت دعواها و إن نکل عن الیمین ثبتت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کان ما تدّعیه بمقدار مهر المثل أو أقلّ، و إن کان أکثر کان علیها الإثبات، و إلّا فلها علی الزوج الیمین</w:t>
      </w:r>
      <w:r>
        <w:rPr>
          <w:rFonts w:eastAsia="IRNazanin" w:cs="IRNazanin"/>
          <w:color w:val="111111"/>
          <w:sz w:val="28"/>
          <w:szCs w:val="28"/>
          <w:rtl w:val="true"/>
          <w:lang w:bidi="fa-IR"/>
        </w:rPr>
        <w:t>.</w:t>
      </w:r>
    </w:p>
    <w:p>
      <w:pPr>
        <w:pStyle w:val="Heading4"/>
        <w:numPr>
          <w:ilvl w:val="3"/>
          <w:numId w:val="1"/>
        </w:numPr>
        <w:rPr/>
      </w:pPr>
      <w:bookmarkStart w:id="7595" w:name="__RefHeading___Toc2571842_3650668749"/>
      <w:bookmarkStart w:id="7596" w:name="_Toc3430"/>
      <w:bookmarkEnd w:id="7595"/>
      <w:r>
        <w:rPr>
          <w:rtl w:val="true"/>
        </w:rPr>
        <w:t>[ (</w:t>
      </w:r>
      <w:r>
        <w:rPr>
          <w:rtl w:val="true"/>
        </w:rPr>
        <w:t xml:space="preserve">مسألة </w:t>
      </w:r>
      <w:r>
        <w:rPr/>
        <w:t>19</w:t>
      </w:r>
      <w:r>
        <w:rPr>
          <w:rtl w:val="true"/>
        </w:rPr>
        <w:t xml:space="preserve">): </w:t>
      </w:r>
      <w:r>
        <w:rPr>
          <w:rtl w:val="true"/>
        </w:rPr>
        <w:t>إذا توافقا علیٰ أصل المهر و اختلفا فی مقداره</w:t>
      </w:r>
      <w:r>
        <w:rPr>
          <w:rtl w:val="true"/>
        </w:rPr>
        <w:t>]</w:t>
      </w:r>
      <w:bookmarkEnd w:id="7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توافقا علیٰ أصل المهر و اختلفا فی مقداره، کان القول قول الزوج بیمینه، إلّا إذا أثبتت الزوجة بالموازین الشرعیّة، و کذا إذا ادّعت کون عین من الأعیان کدار أو بستان مهراً لها و أنکر الزوج فإنّ القول قوله بیمینه و علیها البیّنة</w:t>
      </w:r>
      <w:r>
        <w:rPr>
          <w:rFonts w:eastAsia="IRNazanin" w:cs="IRNazanin"/>
          <w:color w:val="111111"/>
          <w:sz w:val="28"/>
          <w:szCs w:val="28"/>
          <w:rtl w:val="true"/>
          <w:lang w:bidi="fa-IR"/>
        </w:rPr>
        <w:t>.</w:t>
      </w:r>
    </w:p>
    <w:p>
      <w:pPr>
        <w:pStyle w:val="Heading4"/>
        <w:numPr>
          <w:ilvl w:val="3"/>
          <w:numId w:val="1"/>
        </w:numPr>
        <w:rPr/>
      </w:pPr>
      <w:bookmarkStart w:id="7597" w:name="__RefHeading___Toc2571844_3650668749"/>
      <w:bookmarkStart w:id="7598" w:name="_Toc3431"/>
      <w:bookmarkEnd w:id="7597"/>
      <w:r>
        <w:rPr>
          <w:rtl w:val="true"/>
        </w:rPr>
        <w:t>[ (</w:t>
      </w:r>
      <w:r>
        <w:rPr>
          <w:rtl w:val="true"/>
        </w:rPr>
        <w:t xml:space="preserve">مسألة </w:t>
      </w:r>
      <w:r>
        <w:rPr/>
        <w:t>20</w:t>
      </w:r>
      <w:r>
        <w:rPr>
          <w:rtl w:val="true"/>
        </w:rPr>
        <w:t xml:space="preserve">): </w:t>
      </w:r>
      <w:r>
        <w:rPr>
          <w:rtl w:val="true"/>
        </w:rPr>
        <w:t>إذا اختلفا فی التعجیل و التأجیل</w:t>
      </w:r>
      <w:r>
        <w:rPr>
          <w:rtl w:val="true"/>
        </w:rPr>
        <w:t>]</w:t>
      </w:r>
      <w:bookmarkEnd w:id="7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اختلفا فی التعجیل و التأجیل، فقالت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حالّ معجّل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بیّنة، کان القول قولها بیمینها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اختلفا فی زیادة الأجل کما إذا ادّعت أنّه سنة و ادّعیٰ أنّه سنتان</w:t>
      </w:r>
      <w:r>
        <w:rPr>
          <w:rFonts w:eastAsia="IRNazanin" w:cs="IRNazanin"/>
          <w:color w:val="111111"/>
          <w:sz w:val="28"/>
          <w:szCs w:val="28"/>
          <w:rtl w:val="true"/>
          <w:lang w:bidi="fa-IR"/>
        </w:rPr>
        <w:t>.</w:t>
      </w:r>
    </w:p>
    <w:p>
      <w:pPr>
        <w:pStyle w:val="Heading4"/>
        <w:numPr>
          <w:ilvl w:val="3"/>
          <w:numId w:val="1"/>
        </w:numPr>
        <w:rPr/>
      </w:pPr>
      <w:bookmarkStart w:id="7599" w:name="__RefHeading___Toc2571846_3650668749"/>
      <w:bookmarkStart w:id="7600" w:name="_Toc3432"/>
      <w:bookmarkEnd w:id="7599"/>
      <w:r>
        <w:rPr>
          <w:rtl w:val="true"/>
        </w:rPr>
        <w:t>[ (</w:t>
      </w:r>
      <w:r>
        <w:rPr>
          <w:rtl w:val="true"/>
        </w:rPr>
        <w:t xml:space="preserve">مسألة </w:t>
      </w:r>
      <w:r>
        <w:rPr/>
        <w:t>21</w:t>
      </w:r>
      <w:r>
        <w:rPr>
          <w:rtl w:val="true"/>
        </w:rPr>
        <w:t xml:space="preserve">): </w:t>
      </w:r>
      <w:r>
        <w:rPr>
          <w:rtl w:val="true"/>
        </w:rPr>
        <w:t>لو توافقا علی المهر و ادّعیٰ تسلیمه و لا بیّنة</w:t>
      </w:r>
      <w:r>
        <w:rPr>
          <w:rtl w:val="true"/>
        </w:rPr>
        <w:t>]</w:t>
      </w:r>
      <w:bookmarkEnd w:id="7600"/>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توافقا علی المهر و ادّعیٰ تسلیمه و لا بیّنة، فالقول قولها بیمینها</w:t>
      </w:r>
      <w:r>
        <w:rPr>
          <w:rFonts w:eastAsia="IRNazanin" w:cs="IRNazanin"/>
          <w:color w:val="111111"/>
          <w:sz w:val="28"/>
          <w:szCs w:val="28"/>
          <w:rtl w:val="true"/>
          <w:lang w:bidi="fa-IR"/>
        </w:rPr>
        <w:t>.</w:t>
      </w:r>
      <w:bookmarkStart w:id="7601" w:name="pg1809_19960"/>
    </w:p>
    <w:p>
      <w:pPr>
        <w:pStyle w:val="Heading4"/>
        <w:numPr>
          <w:ilvl w:val="3"/>
          <w:numId w:val="1"/>
        </w:numPr>
        <w:rPr/>
      </w:pPr>
      <w:bookmarkStart w:id="7602" w:name="__RefHeading___Toc2571848_3650668749"/>
      <w:bookmarkStart w:id="7603" w:name="_Toc3433"/>
      <w:bookmarkEnd w:id="7601"/>
      <w:bookmarkEnd w:id="7602"/>
      <w:r>
        <w:rPr>
          <w:rtl w:val="true"/>
        </w:rPr>
        <w:t>[ (</w:t>
      </w:r>
      <w:r>
        <w:rPr>
          <w:rtl w:val="true"/>
        </w:rPr>
        <w:t xml:space="preserve">مسألة </w:t>
      </w:r>
      <w:r>
        <w:rPr/>
        <w:t>22</w:t>
      </w:r>
      <w:r>
        <w:rPr>
          <w:rtl w:val="true"/>
        </w:rPr>
        <w:t xml:space="preserve">): </w:t>
      </w:r>
      <w:r>
        <w:rPr>
          <w:rtl w:val="true"/>
        </w:rPr>
        <w:t>لو دفع إلیها قدر مهرها ثمّ اختلفا بعد ذلک</w:t>
      </w:r>
      <w:r>
        <w:rPr>
          <w:rtl w:val="true"/>
        </w:rPr>
        <w:t>]</w:t>
      </w:r>
      <w:bookmarkEnd w:id="76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إلیها قدر مهرها ثمّ اختلفا بعد ذلک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دفعته 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دفعته 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قوله </w:t>
      </w:r>
      <w:r>
        <w:rPr>
          <w:rStyle w:val="FootnoteAnchor"/>
          <w:rtl w:val="true"/>
        </w:rPr>
        <w:footnoteReference w:id="1940"/>
      </w:r>
      <w:r>
        <w:rPr>
          <w:rFonts w:ascii="IRNazanin" w:hAnsi="IRNazanin" w:eastAsia="IRNazanin"/>
          <w:color w:val="111111"/>
          <w:sz w:val="28"/>
          <w:sz w:val="28"/>
          <w:szCs w:val="28"/>
          <w:rtl w:val="true"/>
          <w:lang w:bidi="fa-IR"/>
        </w:rPr>
        <w:t>بیمینه</w:t>
      </w:r>
      <w:r>
        <w:rPr>
          <w:rFonts w:eastAsia="IRNazanin" w:cs="IRNazanin"/>
          <w:color w:val="111111"/>
          <w:sz w:val="28"/>
          <w:szCs w:val="28"/>
          <w:rtl w:val="true"/>
          <w:lang w:bidi="fa-IR"/>
        </w:rPr>
        <w:t>.</w:t>
      </w:r>
    </w:p>
    <w:p>
      <w:pPr>
        <w:pStyle w:val="Heading4"/>
        <w:numPr>
          <w:ilvl w:val="3"/>
          <w:numId w:val="1"/>
        </w:numPr>
        <w:rPr/>
      </w:pPr>
      <w:bookmarkStart w:id="7604" w:name="__RefHeading___Toc2571850_3650668749"/>
      <w:bookmarkStart w:id="7605" w:name="_Toc3434"/>
      <w:bookmarkEnd w:id="7604"/>
      <w:r>
        <w:rPr>
          <w:rtl w:val="true"/>
        </w:rPr>
        <w:t>[ (</w:t>
      </w:r>
      <w:r>
        <w:rPr>
          <w:rtl w:val="true"/>
        </w:rPr>
        <w:t xml:space="preserve">مسألة </w:t>
      </w:r>
      <w:r>
        <w:rPr/>
        <w:t>23</w:t>
      </w:r>
      <w:r>
        <w:rPr>
          <w:rtl w:val="true"/>
        </w:rPr>
        <w:t xml:space="preserve">): </w:t>
      </w:r>
      <w:r>
        <w:rPr>
          <w:rtl w:val="true"/>
        </w:rPr>
        <w:t>إذا زوّج ولده الصغیر، فإن کان للولد مال فالمهر علی الولد</w:t>
      </w:r>
      <w:r>
        <w:rPr>
          <w:rtl w:val="true"/>
        </w:rPr>
        <w:t>]</w:t>
      </w:r>
      <w:bookmarkEnd w:id="7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زوّج ولده الصغیر، فإن کان للولد مال فالمهر علی الولد، و إن لم یکن له مال فالمهر فی عهدة </w:t>
      </w:r>
      <w:r>
        <w:rPr>
          <w:rStyle w:val="FootnoteAnchor"/>
          <w:rtl w:val="true"/>
        </w:rPr>
        <w:footnoteReference w:id="1941"/>
      </w:r>
      <w:r>
        <w:rPr>
          <w:rFonts w:ascii="IRNazanin" w:hAnsi="IRNazanin" w:eastAsia="IRNazanin"/>
          <w:color w:val="111111"/>
          <w:sz w:val="28"/>
          <w:sz w:val="28"/>
          <w:szCs w:val="28"/>
          <w:rtl w:val="true"/>
          <w:lang w:bidi="fa-IR"/>
        </w:rPr>
        <w:t>الوالد، فلو مات الوالد أُخرج المهر من أصل ترکته؛ سواء بلغ الولد و أیسر أم لا</w:t>
      </w:r>
      <w:r>
        <w:rPr>
          <w:rFonts w:eastAsia="IRNazanin" w:cs="IRNazanin"/>
          <w:color w:val="111111"/>
          <w:sz w:val="28"/>
          <w:szCs w:val="28"/>
          <w:rtl w:val="true"/>
          <w:lang w:bidi="fa-IR"/>
        </w:rPr>
        <w:t>.</w:t>
      </w:r>
    </w:p>
    <w:p>
      <w:pPr>
        <w:pStyle w:val="Heading4"/>
        <w:numPr>
          <w:ilvl w:val="3"/>
          <w:numId w:val="1"/>
        </w:numPr>
        <w:rPr/>
      </w:pPr>
      <w:bookmarkStart w:id="7606" w:name="__RefHeading___Toc2571852_3650668749"/>
      <w:bookmarkStart w:id="7607" w:name="_Toc3435"/>
      <w:bookmarkEnd w:id="7606"/>
      <w:r>
        <w:rPr>
          <w:rtl w:val="true"/>
        </w:rPr>
        <w:t>[ (</w:t>
      </w:r>
      <w:r>
        <w:rPr>
          <w:rtl w:val="true"/>
        </w:rPr>
        <w:t xml:space="preserve">مسألة </w:t>
      </w:r>
      <w:r>
        <w:rPr/>
        <w:t>24</w:t>
      </w:r>
      <w:r>
        <w:rPr>
          <w:rtl w:val="true"/>
        </w:rPr>
        <w:t xml:space="preserve">): </w:t>
      </w:r>
      <w:r>
        <w:rPr>
          <w:rtl w:val="true"/>
        </w:rPr>
        <w:t>لو دفع الوالد المهر الذی کان علیه من جهة إعسار الولد، ثمّ بلغ الصبیّ فطلّق قبل الدخول</w:t>
      </w:r>
      <w:r>
        <w:rPr>
          <w:rtl w:val="true"/>
        </w:rPr>
        <w:t>]</w:t>
      </w:r>
      <w:bookmarkEnd w:id="7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الوالد المهر الذی کان علیه من جهة إعسار الولد، ثمّ بلغ الصبیّ فطلّق قبل الدخول استعاد الولد نصف المهر و کان له دون والده</w:t>
      </w:r>
      <w:r>
        <w:rPr>
          <w:rFonts w:eastAsia="IRNazanin" w:cs="IRNazanin"/>
          <w:color w:val="111111"/>
          <w:sz w:val="28"/>
          <w:szCs w:val="28"/>
          <w:rtl w:val="true"/>
          <w:lang w:bidi="fa-IR"/>
        </w:rPr>
        <w:t>.</w:t>
      </w:r>
    </w:p>
    <w:p>
      <w:pPr>
        <w:pStyle w:val="Heading3"/>
        <w:numPr>
          <w:ilvl w:val="2"/>
          <w:numId w:val="1"/>
        </w:numPr>
        <w:rPr/>
      </w:pPr>
      <w:bookmarkStart w:id="7608" w:name="__RefHeading___Toc2571854_3650668749"/>
      <w:bookmarkStart w:id="7609" w:name="_Toc3436"/>
      <w:bookmarkEnd w:id="7608"/>
      <w:r>
        <w:rPr>
          <w:rtl w:val="true"/>
        </w:rPr>
        <w:t>[</w:t>
      </w:r>
      <w:r>
        <w:rPr>
          <w:rtl w:val="true"/>
        </w:rPr>
        <w:t>خاتمة فی الشروط المذکورة فی عقد النکاح</w:t>
      </w:r>
      <w:r>
        <w:rPr>
          <w:rtl w:val="true"/>
        </w:rPr>
        <w:t>]</w:t>
      </w:r>
      <w:bookmarkEnd w:id="7609"/>
    </w:p>
    <w:p>
      <w:pPr>
        <w:pStyle w:val="Heading4"/>
        <w:numPr>
          <w:ilvl w:val="3"/>
          <w:numId w:val="1"/>
        </w:numPr>
        <w:rPr/>
      </w:pPr>
      <w:bookmarkStart w:id="7610" w:name="__RefHeading___Toc2571856_3650668749"/>
      <w:bookmarkStart w:id="7611" w:name="_Toc3437"/>
      <w:bookmarkEnd w:id="7610"/>
      <w:r>
        <w:rPr>
          <w:rtl w:val="true"/>
        </w:rPr>
        <w:t>اشارة</w:t>
      </w:r>
      <w:bookmarkEnd w:id="7611"/>
    </w:p>
    <w:p>
      <w:pPr>
        <w:pStyle w:val="BookText"/>
        <w:rPr/>
      </w:pPr>
      <w:r>
        <w:rPr>
          <w:rFonts w:ascii="IRNazanin" w:hAnsi="IRNazanin" w:eastAsia="IRNazanin"/>
          <w:color w:val="111111"/>
          <w:sz w:val="28"/>
          <w:sz w:val="28"/>
          <w:szCs w:val="28"/>
          <w:rtl w:val="true"/>
          <w:lang w:bidi="fa-IR"/>
        </w:rPr>
        <w:t>خاتمة فی الشروط المذکورة فی عقد النکاح</w:t>
      </w:r>
    </w:p>
    <w:p>
      <w:pPr>
        <w:pStyle w:val="Heading4"/>
        <w:numPr>
          <w:ilvl w:val="3"/>
          <w:numId w:val="1"/>
        </w:numPr>
        <w:rPr/>
      </w:pPr>
      <w:bookmarkStart w:id="7612" w:name="__RefHeading___Toc2571858_3650668749"/>
      <w:bookmarkStart w:id="7613" w:name="_Toc3438"/>
      <w:bookmarkEnd w:id="7612"/>
      <w:r>
        <w:rPr>
          <w:rtl w:val="true"/>
        </w:rPr>
        <w:t>[ (</w:t>
      </w:r>
      <w:r>
        <w:rPr>
          <w:rtl w:val="true"/>
        </w:rPr>
        <w:t xml:space="preserve">مسألة </w:t>
      </w:r>
      <w:r>
        <w:rPr/>
        <w:t>1</w:t>
      </w:r>
      <w:r>
        <w:rPr>
          <w:rtl w:val="true"/>
        </w:rPr>
        <w:t xml:space="preserve">): </w:t>
      </w:r>
      <w:r>
        <w:rPr>
          <w:rtl w:val="true"/>
        </w:rPr>
        <w:t>یجوز أن یشترط فی ضمن عقد النکاح کلّ شرط سائغ</w:t>
      </w:r>
      <w:r>
        <w:rPr>
          <w:rtl w:val="true"/>
        </w:rPr>
        <w:t>]</w:t>
      </w:r>
      <w:bookmarkEnd w:id="7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یشترط فی ضمن عقد النکاح کلّ شرط سائغ، و یجب علی المشروط علیه الوفاء به کما فی سائر العقود، لکن تخلّفه أو تعذّره لا یوجب الخیار فی عقد النکاح بخلاف سائر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الشرط الالتزام بوجود صفة فی أحد الزوجین، مثل کون الزوجة باکرة أو کون الزوج حرّا أو مؤمناً غیر مخالف، فتبیّن خلافه، أوجب الخیار کما مرّت الإشارة إلیه فی ضمن بعض المسائل السابقة</w:t>
      </w:r>
      <w:r>
        <w:rPr>
          <w:rFonts w:eastAsia="IRNazanin" w:cs="IRNazanin"/>
          <w:color w:val="111111"/>
          <w:sz w:val="28"/>
          <w:szCs w:val="28"/>
          <w:rtl w:val="true"/>
          <w:lang w:bidi="fa-IR"/>
        </w:rPr>
        <w:t>.</w:t>
      </w:r>
    </w:p>
    <w:p>
      <w:pPr>
        <w:pStyle w:val="Heading4"/>
        <w:numPr>
          <w:ilvl w:val="3"/>
          <w:numId w:val="1"/>
        </w:numPr>
        <w:rPr/>
      </w:pPr>
      <w:bookmarkStart w:id="7614" w:name="__RefHeading___Toc2571860_3650668749"/>
      <w:bookmarkStart w:id="7615" w:name="_Toc3439"/>
      <w:bookmarkEnd w:id="7614"/>
      <w:r>
        <w:rPr>
          <w:rtl w:val="true"/>
        </w:rPr>
        <w:t>[ (</w:t>
      </w:r>
      <w:r>
        <w:rPr>
          <w:rtl w:val="true"/>
        </w:rPr>
        <w:t xml:space="preserve">مسألة </w:t>
      </w:r>
      <w:r>
        <w:rPr/>
        <w:t>2</w:t>
      </w:r>
      <w:r>
        <w:rPr>
          <w:rtl w:val="true"/>
        </w:rPr>
        <w:t xml:space="preserve">): </w:t>
      </w:r>
      <w:r>
        <w:rPr>
          <w:rtl w:val="true"/>
        </w:rPr>
        <w:t>إذا شرط فی عقد النکاح ما یخالف المشروع</w:t>
      </w:r>
      <w:r>
        <w:rPr>
          <w:rtl w:val="true"/>
        </w:rPr>
        <w:t>]</w:t>
      </w:r>
      <w:bookmarkEnd w:id="7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شرط فی عقد النکاح ما یخالف المشروع، مثل أن لا یتزوّج </w:t>
      </w:r>
      <w:r>
        <w:rPr>
          <w:rStyle w:val="FootnoteAnchor"/>
          <w:rtl w:val="true"/>
        </w:rPr>
        <w:footnoteReference w:id="1942"/>
      </w:r>
      <w:r>
        <w:rPr>
          <w:rFonts w:ascii="IRNazanin" w:hAnsi="IRNazanin" w:eastAsia="IRNazanin"/>
          <w:color w:val="111111"/>
          <w:sz w:val="28"/>
          <w:sz w:val="28"/>
          <w:szCs w:val="28"/>
          <w:rtl w:val="true"/>
          <w:lang w:bidi="fa-IR"/>
        </w:rPr>
        <w:t>علیها أو لا یتسرّیٰ أو لا یمنعها من الخروج من المنزل متی شاءت و إلی أین شاءت أو لا یعطی حقّ ضرّتها من المضاجعة أو المواقعة أو النفقة و نحو ذلک، بطل الشرط، لکن صحّ العقد و المهر؛ و إن قلنا بأنّ الشرط الفاسد یفسد العقد، فبهذا أیضاً امتاز عقد النکاح عن سائر العقود</w:t>
      </w:r>
      <w:r>
        <w:rPr>
          <w:rFonts w:eastAsia="IRNazanin" w:cs="IRNazanin"/>
          <w:color w:val="111111"/>
          <w:sz w:val="28"/>
          <w:szCs w:val="28"/>
          <w:rtl w:val="true"/>
          <w:lang w:bidi="fa-IR"/>
        </w:rPr>
        <w:t>.</w:t>
      </w:r>
    </w:p>
    <w:p>
      <w:pPr>
        <w:pStyle w:val="Heading4"/>
        <w:numPr>
          <w:ilvl w:val="3"/>
          <w:numId w:val="1"/>
        </w:numPr>
        <w:rPr/>
      </w:pPr>
      <w:bookmarkStart w:id="7616" w:name="__RefHeading___Toc2571862_3650668749"/>
      <w:bookmarkStart w:id="7617" w:name="_Toc3440"/>
      <w:bookmarkEnd w:id="7616"/>
      <w:r>
        <w:rPr>
          <w:rtl w:val="true"/>
        </w:rPr>
        <w:t>[ (</w:t>
      </w:r>
      <w:r>
        <w:rPr>
          <w:rtl w:val="true"/>
        </w:rPr>
        <w:t xml:space="preserve">مسألة </w:t>
      </w:r>
      <w:r>
        <w:rPr/>
        <w:t>3</w:t>
      </w:r>
      <w:r>
        <w:rPr>
          <w:rtl w:val="true"/>
        </w:rPr>
        <w:t xml:space="preserve">): </w:t>
      </w:r>
      <w:r>
        <w:rPr>
          <w:rtl w:val="true"/>
        </w:rPr>
        <w:t>لو شرط أن لا یفتضّها، لزم الشرط</w:t>
      </w:r>
      <w:r>
        <w:rPr>
          <w:rtl w:val="true"/>
        </w:rPr>
        <w:t>]</w:t>
      </w:r>
      <w:bookmarkEnd w:id="7617"/>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أن لا یفتضّها، لزم الشرط، و لو أذنت بعد ذلک جاز، من غیر فرق فی ذلک بین النکاح الدائم و المنقطع</w:t>
      </w:r>
      <w:r>
        <w:rPr>
          <w:rFonts w:eastAsia="IRNazanin" w:cs="IRNazanin"/>
          <w:color w:val="111111"/>
          <w:sz w:val="28"/>
          <w:szCs w:val="28"/>
          <w:rtl w:val="true"/>
          <w:lang w:bidi="fa-IR"/>
        </w:rPr>
        <w:t>.</w:t>
      </w:r>
      <w:bookmarkStart w:id="7618" w:name="pg1809_19962"/>
    </w:p>
    <w:p>
      <w:pPr>
        <w:pStyle w:val="Heading4"/>
        <w:numPr>
          <w:ilvl w:val="3"/>
          <w:numId w:val="1"/>
        </w:numPr>
        <w:rPr/>
      </w:pPr>
      <w:bookmarkStart w:id="7619" w:name="__RefHeading___Toc2571864_3650668749"/>
      <w:bookmarkStart w:id="7620" w:name="_Toc3441"/>
      <w:bookmarkEnd w:id="7618"/>
      <w:bookmarkEnd w:id="7619"/>
      <w:r>
        <w:rPr>
          <w:rtl w:val="true"/>
        </w:rPr>
        <w:t>[ (</w:t>
      </w:r>
      <w:r>
        <w:rPr>
          <w:rtl w:val="true"/>
        </w:rPr>
        <w:t xml:space="preserve">مسألة </w:t>
      </w:r>
      <w:r>
        <w:rPr/>
        <w:t>4</w:t>
      </w:r>
      <w:r>
        <w:rPr>
          <w:rtl w:val="true"/>
        </w:rPr>
        <w:t xml:space="preserve">): </w:t>
      </w:r>
      <w:r>
        <w:rPr>
          <w:rtl w:val="true"/>
        </w:rPr>
        <w:t>إذا شرط أن لا یخرجها من بلدها أو أن یسکنها فی بلد معلوم</w:t>
      </w:r>
      <w:r>
        <w:rPr>
          <w:rtl w:val="true"/>
        </w:rPr>
        <w:t>]</w:t>
      </w:r>
      <w:bookmarkEnd w:id="76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 أن لا یخرجها من بلدها أو أن یسکنها فی بلد معلوم أو منزل مخصوص یلزم العمل بالشرط</w:t>
      </w:r>
      <w:r>
        <w:rPr>
          <w:rFonts w:eastAsia="IRNazanin" w:cs="IRNazanin"/>
          <w:color w:val="111111"/>
          <w:sz w:val="28"/>
          <w:szCs w:val="28"/>
          <w:rtl w:val="true"/>
          <w:lang w:bidi="fa-IR"/>
        </w:rPr>
        <w:t>.</w:t>
      </w:r>
    </w:p>
    <w:p>
      <w:pPr>
        <w:pStyle w:val="Heading3"/>
        <w:numPr>
          <w:ilvl w:val="2"/>
          <w:numId w:val="1"/>
        </w:numPr>
        <w:rPr/>
      </w:pPr>
      <w:bookmarkStart w:id="7621" w:name="__RefHeading___Toc2571866_3650668749"/>
      <w:bookmarkStart w:id="7622" w:name="_Toc3442"/>
      <w:bookmarkEnd w:id="7621"/>
      <w:r>
        <w:rPr>
          <w:rtl w:val="true"/>
        </w:rPr>
        <w:t>[</w:t>
      </w:r>
      <w:r>
        <w:rPr>
          <w:rtl w:val="true"/>
        </w:rPr>
        <w:t>فصل فی القسم و النشوز و الشقاق</w:t>
      </w:r>
      <w:r>
        <w:rPr>
          <w:rtl w:val="true"/>
        </w:rPr>
        <w:t>]</w:t>
      </w:r>
      <w:bookmarkEnd w:id="7622"/>
    </w:p>
    <w:p>
      <w:pPr>
        <w:pStyle w:val="Heading4"/>
        <w:numPr>
          <w:ilvl w:val="3"/>
          <w:numId w:val="1"/>
        </w:numPr>
        <w:rPr/>
      </w:pPr>
      <w:bookmarkStart w:id="7623" w:name="__RefHeading___Toc2571868_3650668749"/>
      <w:bookmarkStart w:id="7624" w:name="_Toc3443"/>
      <w:bookmarkEnd w:id="7623"/>
      <w:r>
        <w:rPr>
          <w:rtl w:val="true"/>
        </w:rPr>
        <w:t>اشارة</w:t>
      </w:r>
      <w:bookmarkEnd w:id="7624"/>
    </w:p>
    <w:p>
      <w:pPr>
        <w:pStyle w:val="BookText"/>
        <w:rPr/>
      </w:pPr>
      <w:r>
        <w:rPr>
          <w:rFonts w:ascii="IRNazanin" w:hAnsi="IRNazanin" w:eastAsia="IRNazanin"/>
          <w:color w:val="111111"/>
          <w:sz w:val="28"/>
          <w:sz w:val="28"/>
          <w:szCs w:val="28"/>
          <w:rtl w:val="true"/>
          <w:lang w:bidi="fa-IR"/>
        </w:rPr>
        <w:t>فصل فی القسم و النشوز و الشقاق لکلّ واحد من الزوجین حقّ علیٰ صاحبه یجب علیه القیام به و إن کان حقّ الزوج أعظم، حتّی أنّه قد ورد عن سیّد البشر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لبشر أن یسجد لبشر و لو صلح لأمرت المرأة أن تسجد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حقّه </w:t>
      </w:r>
      <w:r>
        <w:rPr>
          <w:rStyle w:val="FootnoteAnchor"/>
          <w:rtl w:val="true"/>
        </w:rPr>
        <w:footnoteReference w:id="1943"/>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تطیعه و لا تعصیه، و لا تخرج من بیتها إلّا بإذنه و لو إلیٰ أهلها و لو لعیادة والدها أو فی عزائه، بل لیس لها أمر مع زوجها فی عتق و لا صدقة و لا تدبیر و لا هبة و لا نذر فی مالها إلّا بإذن زوجها إلّا فی حجّ أو زکاة أو برّ والدیها أو صلة قرابتها، بل أیّما امرأة قالت لزوجها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منک خیراً قطّ أو من وجهک خیراً فقد حبط 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أیّما امرأة باتت و زوجها علیها ساخط فی حقّ لم تقبل منها صلاة حتّی یرضیٰ عنها، و إن خرجت من غیر إذنه لعنتها ملائکة السماء و ملائکة الأرض و ملائکة الغضب و ملائکة الرحمة حتّی ترجع إلیٰ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یشبعها و یکسوها و أن یغفر لها إذا جهلت و لا یقبّح لها وجهاً، و فی الخبر عن سیّد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أوصانی جبرئیل بالمرأة حتّی ظننت أن لا ینبغی طلاقها إلّا من فاحشة 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 الرجل أُسراؤه و أحبّ العباد إلی اللّٰه تعالیٰ أحسنهم صنعاً إلی أُسرائه</w:t>
      </w:r>
      <w:r>
        <w:rPr>
          <w:rFonts w:eastAsia="IRNazanin" w:cs="IRNazanin"/>
          <w:color w:val="111111"/>
          <w:sz w:val="28"/>
          <w:szCs w:val="28"/>
          <w:rtl w:val="true"/>
          <w:lang w:bidi="fa-IR"/>
        </w:rPr>
        <w:t>».</w:t>
      </w:r>
    </w:p>
    <w:p>
      <w:pPr>
        <w:pStyle w:val="Heading4"/>
        <w:numPr>
          <w:ilvl w:val="3"/>
          <w:numId w:val="1"/>
        </w:numPr>
        <w:rPr/>
      </w:pPr>
      <w:bookmarkStart w:id="7625" w:name="__RefHeading___Toc2571870_3650668749"/>
      <w:bookmarkStart w:id="7626" w:name="_Toc3444"/>
      <w:bookmarkEnd w:id="7625"/>
      <w:r>
        <w:rPr>
          <w:rtl w:val="true"/>
        </w:rPr>
        <w:t>[</w:t>
      </w:r>
      <w:r>
        <w:rPr>
          <w:rtl w:val="true"/>
        </w:rPr>
        <w:t>القول فی القسم</w:t>
      </w:r>
      <w:r>
        <w:rPr>
          <w:rtl w:val="true"/>
        </w:rPr>
        <w:t>]</w:t>
      </w:r>
      <w:bookmarkEnd w:id="7626"/>
    </w:p>
    <w:p>
      <w:pPr>
        <w:pStyle w:val="Heading5"/>
        <w:numPr>
          <w:ilvl w:val="4"/>
          <w:numId w:val="1"/>
        </w:numPr>
        <w:rPr/>
      </w:pPr>
      <w:bookmarkStart w:id="7627" w:name="__RefHeading___Toc2571872_3650668749"/>
      <w:bookmarkStart w:id="7628" w:name="_Toc3445"/>
      <w:bookmarkEnd w:id="7627"/>
      <w:r>
        <w:rPr>
          <w:rtl w:val="true"/>
        </w:rPr>
        <w:t>[ (</w:t>
      </w:r>
      <w:r>
        <w:rPr>
          <w:rtl w:val="true"/>
        </w:rPr>
        <w:t xml:space="preserve">مسألة </w:t>
      </w:r>
      <w:r>
        <w:rPr/>
        <w:t>1</w:t>
      </w:r>
      <w:r>
        <w:rPr>
          <w:rtl w:val="true"/>
        </w:rPr>
        <w:t xml:space="preserve">): </w:t>
      </w:r>
      <w:r>
        <w:rPr>
          <w:rtl w:val="true"/>
        </w:rPr>
        <w:t>من کانت له زوجة واحدة، لیس لها علیٰ زوجها حقّ المبیت عندها و المضاجعة معها فی کلّ لیلة</w:t>
      </w:r>
      <w:r>
        <w:rPr>
          <w:rtl w:val="true"/>
        </w:rPr>
        <w:t>]</w:t>
      </w:r>
      <w:bookmarkEnd w:id="7628"/>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زوجة واحدة، لیس لها علیٰ زوجها حقّ المبیت عندها و المضاجعة معها فی کلّ لیلة، بل و لا فی کلّ أربع لیال لیلة علی الأقویٰ، بل القدر اللازم أن لا یهجرها و لا یذرها کالمعلّقة؛ لا هی ذات بعل و لا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لها علیه حقّ المواقعة فی کلّ أربعة أشهر مرّة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کانت عنده أکثر من واحدة إذا بات عند إحداهنّ یجب علیه أن یبیت عند غیرها أیضاً، فإذا کنّ أربع و بات عند إحداهنّ طاف علیهنّ فی أربع لیال لکلّ منهنّ لیلة، و لا یفضّل بعضهنّ علیٰ بعض، و إذا کانت عنده ثلاث فإذا بات عند إحداهنّ</w:t>
      </w:r>
      <w:bookmarkStart w:id="7629" w:name="pg1809_19964"/>
    </w:p>
    <w:p>
      <w:pPr>
        <w:pStyle w:val="BookText"/>
        <w:rPr/>
      </w:pPr>
      <w:bookmarkEnd w:id="7629"/>
      <w:r>
        <w:rPr>
          <w:rFonts w:ascii="IRNazanin" w:hAnsi="IRNazanin" w:eastAsia="IRNazanin"/>
          <w:color w:val="111111"/>
          <w:sz w:val="28"/>
          <w:sz w:val="28"/>
          <w:szCs w:val="28"/>
          <w:rtl w:val="true"/>
          <w:lang w:bidi="fa-IR"/>
        </w:rPr>
        <w:t xml:space="preserve">یجب علیه أن یبیت عند الأُخریین فی لیلتین، و إذا کانت عنده زوجتان و بات عند إحداهما بات فی لیلة أُخری عند الأُخریٰ، و بعد ذلک إن شاء ترک المبیت عند الجمیع و إن شاء </w:t>
      </w:r>
      <w:r>
        <w:rPr>
          <w:rStyle w:val="FootnoteAnchor"/>
          <w:rtl w:val="true"/>
        </w:rPr>
        <w:footnoteReference w:id="1944"/>
      </w:r>
      <w:r>
        <w:rPr>
          <w:rFonts w:ascii="IRNazanin" w:hAnsi="IRNazanin" w:eastAsia="IRNazanin"/>
          <w:color w:val="111111"/>
          <w:sz w:val="28"/>
          <w:sz w:val="28"/>
          <w:szCs w:val="28"/>
          <w:rtl w:val="true"/>
          <w:lang w:bidi="fa-IR"/>
        </w:rPr>
        <w:t>شرع فیه علی النحو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کانت عنده زوجة واحدة کانت لها فی کلّ أربع لیال لیلة و له ثلاث لیال، و إذا کانت عنده زوجات متعدّدة یجب علیه القسم بینهنّ فی کلّ أربع لیال، فإذا کانت عنده أربع کانت لکلّ منهنّ لیلة، فإذا تمّ الدور یجب علیه الابتداء بإحداهنّ و إتمام الدور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لیلة بل یکون جمیع لیالیه لزوجاته، و إذا کانت له زوجتان فلهما لیلتان من کلّ أربع لیال و لیلتان له، و إذا کانت له ثلاث کانت لهنّ ثلاث و الفاضل له، و العمل بهذا القول أحوط، خصوصاً فی أکثر من واحدة، و لکن الأقویٰ ما قدّمناه خصوصاً فی الواحدة</w:t>
      </w:r>
      <w:r>
        <w:rPr>
          <w:rFonts w:eastAsia="IRNazanin" w:cs="IRNazanin"/>
          <w:color w:val="111111"/>
          <w:sz w:val="28"/>
          <w:szCs w:val="28"/>
          <w:rtl w:val="true"/>
          <w:lang w:bidi="fa-IR"/>
        </w:rPr>
        <w:t>.</w:t>
      </w:r>
    </w:p>
    <w:p>
      <w:pPr>
        <w:pStyle w:val="Heading5"/>
        <w:numPr>
          <w:ilvl w:val="4"/>
          <w:numId w:val="1"/>
        </w:numPr>
        <w:rPr/>
      </w:pPr>
      <w:bookmarkStart w:id="7630" w:name="__RefHeading___Toc2571874_3650668749"/>
      <w:bookmarkStart w:id="7631" w:name="_Toc3446"/>
      <w:bookmarkEnd w:id="7630"/>
      <w:r>
        <w:rPr>
          <w:rtl w:val="true"/>
        </w:rPr>
        <w:t>[ (</w:t>
      </w:r>
      <w:r>
        <w:rPr>
          <w:rtl w:val="true"/>
        </w:rPr>
        <w:t xml:space="preserve">مسألة </w:t>
      </w:r>
      <w:r>
        <w:rPr/>
        <w:t>2</w:t>
      </w:r>
      <w:r>
        <w:rPr>
          <w:rtl w:val="true"/>
        </w:rPr>
        <w:t xml:space="preserve">): </w:t>
      </w:r>
      <w:r>
        <w:rPr>
          <w:rtl w:val="true"/>
        </w:rPr>
        <w:t>یختصّ وجوب المبیت و المضاجعة فیما قلنا به بالدائمة</w:t>
      </w:r>
      <w:r>
        <w:rPr>
          <w:rtl w:val="true"/>
        </w:rPr>
        <w:t>]</w:t>
      </w:r>
      <w:bookmarkEnd w:id="76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وجوب المبیت و المضاجعة فیما قلنا به بالدائمة، فلیس للمتمتّع بها هذا الحقّ؛ سواء کانت واحدة أو متعدّدة</w:t>
      </w:r>
      <w:r>
        <w:rPr>
          <w:rFonts w:eastAsia="IRNazanin" w:cs="IRNazanin"/>
          <w:color w:val="111111"/>
          <w:sz w:val="28"/>
          <w:szCs w:val="28"/>
          <w:rtl w:val="true"/>
          <w:lang w:bidi="fa-IR"/>
        </w:rPr>
        <w:t>.</w:t>
      </w:r>
    </w:p>
    <w:p>
      <w:pPr>
        <w:pStyle w:val="Heading5"/>
        <w:numPr>
          <w:ilvl w:val="4"/>
          <w:numId w:val="1"/>
        </w:numPr>
        <w:rPr/>
      </w:pPr>
      <w:bookmarkStart w:id="7632" w:name="__RefHeading___Toc2571876_3650668749"/>
      <w:bookmarkStart w:id="7633" w:name="_Toc3447"/>
      <w:bookmarkEnd w:id="7632"/>
      <w:r>
        <w:rPr>
          <w:rtl w:val="true"/>
        </w:rPr>
        <w:t>[ (</w:t>
      </w:r>
      <w:r>
        <w:rPr>
          <w:rtl w:val="true"/>
        </w:rPr>
        <w:t xml:space="preserve">مسألة </w:t>
      </w:r>
      <w:r>
        <w:rPr/>
        <w:t>3</w:t>
      </w:r>
      <w:r>
        <w:rPr>
          <w:rtl w:val="true"/>
        </w:rPr>
        <w:t xml:space="preserve">): </w:t>
      </w:r>
      <w:r>
        <w:rPr>
          <w:rtl w:val="true"/>
        </w:rPr>
        <w:t>فی کلّ لیلة کان للمرأة حقّ المبیت یجوز لها أن ترفع الید عنه و تهبه للزوج لیصرف لیله فیما یشاء</w:t>
      </w:r>
      <w:r>
        <w:rPr>
          <w:rtl w:val="true"/>
        </w:rPr>
        <w:t>]</w:t>
      </w:r>
      <w:bookmarkEnd w:id="76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لیلة کان للمرأة حقّ المبیت یجوز لها أن ترفع الید عنه و تهبه للزوج لیصرف لیله فیما یشاء، و أن تهبه لضرّتها فصار الحقّ لها</w:t>
      </w:r>
      <w:r>
        <w:rPr>
          <w:rFonts w:eastAsia="IRNazanin" w:cs="IRNazanin"/>
          <w:color w:val="111111"/>
          <w:sz w:val="28"/>
          <w:szCs w:val="28"/>
          <w:rtl w:val="true"/>
          <w:lang w:bidi="fa-IR"/>
        </w:rPr>
        <w:t>.</w:t>
      </w:r>
    </w:p>
    <w:p>
      <w:pPr>
        <w:pStyle w:val="Heading5"/>
        <w:numPr>
          <w:ilvl w:val="4"/>
          <w:numId w:val="1"/>
        </w:numPr>
        <w:rPr/>
      </w:pPr>
      <w:bookmarkStart w:id="7634" w:name="__RefHeading___Toc2571878_3650668749"/>
      <w:bookmarkStart w:id="7635" w:name="_Toc3448"/>
      <w:bookmarkEnd w:id="7634"/>
      <w:r>
        <w:rPr>
          <w:rtl w:val="true"/>
        </w:rPr>
        <w:t>[ (</w:t>
      </w:r>
      <w:r>
        <w:rPr>
          <w:rtl w:val="true"/>
        </w:rPr>
        <w:t xml:space="preserve">مسألة </w:t>
      </w:r>
      <w:r>
        <w:rPr/>
        <w:t>4</w:t>
      </w:r>
      <w:r>
        <w:rPr>
          <w:rtl w:val="true"/>
        </w:rPr>
        <w:t xml:space="preserve">): </w:t>
      </w:r>
      <w:r>
        <w:rPr>
          <w:rtl w:val="true"/>
        </w:rPr>
        <w:t>تختصّ البکر أوّل عرسها بسبع لیال و الثیّب بثلاث تتفضّلان</w:t>
      </w:r>
      <w:r>
        <w:rPr>
          <w:rtl w:val="true"/>
        </w:rPr>
        <w:t>]</w:t>
      </w:r>
      <w:bookmarkEnd w:id="7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تختصّ البکر أوّل عرسها بسبع لیال و الثیّب بثلاث تتفضّلان </w:t>
      </w:r>
      <w:r>
        <w:rPr>
          <w:rStyle w:val="FootnoteAnchor"/>
          <w:rtl w:val="true"/>
        </w:rPr>
        <w:footnoteReference w:id="1945"/>
      </w:r>
      <w:r>
        <w:rPr>
          <w:rFonts w:ascii="IRNazanin" w:hAnsi="IRNazanin" w:eastAsia="IRNazanin"/>
          <w:color w:val="111111"/>
          <w:sz w:val="28"/>
          <w:sz w:val="28"/>
          <w:szCs w:val="28"/>
          <w:rtl w:val="true"/>
          <w:lang w:bidi="fa-IR"/>
        </w:rPr>
        <w:t>بذلک علیٰ غیرهما، و لا یجب علیه أن یقضی تلک اللیالی لنسائه القدیمة</w:t>
      </w:r>
      <w:r>
        <w:rPr>
          <w:rFonts w:eastAsia="IRNazanin" w:cs="IRNazanin"/>
          <w:color w:val="111111"/>
          <w:sz w:val="28"/>
          <w:szCs w:val="28"/>
          <w:rtl w:val="true"/>
          <w:lang w:bidi="fa-IR"/>
        </w:rPr>
        <w:t>.</w:t>
      </w:r>
    </w:p>
    <w:p>
      <w:pPr>
        <w:pStyle w:val="Heading5"/>
        <w:numPr>
          <w:ilvl w:val="4"/>
          <w:numId w:val="1"/>
        </w:numPr>
        <w:rPr/>
      </w:pPr>
      <w:bookmarkStart w:id="7636" w:name="__RefHeading___Toc2571880_3650668749"/>
      <w:bookmarkStart w:id="7637" w:name="_Toc3449"/>
      <w:bookmarkEnd w:id="7636"/>
      <w:r>
        <w:rPr>
          <w:rtl w:val="true"/>
        </w:rPr>
        <w:t>[ (</w:t>
      </w:r>
      <w:r>
        <w:rPr>
          <w:rtl w:val="true"/>
        </w:rPr>
        <w:t xml:space="preserve">مسألة </w:t>
      </w:r>
      <w:r>
        <w:rPr/>
        <w:t>5</w:t>
      </w:r>
      <w:r>
        <w:rPr>
          <w:rtl w:val="true"/>
        </w:rPr>
        <w:t xml:space="preserve">): </w:t>
      </w:r>
      <w:r>
        <w:rPr>
          <w:rtl w:val="true"/>
        </w:rPr>
        <w:t>لا قسمة للصغیرة و لا للمجنونة المطبقة</w:t>
      </w:r>
      <w:r>
        <w:rPr>
          <w:rtl w:val="true"/>
        </w:rPr>
        <w:t>]</w:t>
      </w:r>
      <w:bookmarkEnd w:id="7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قسمة للصغیرة و لا للمجنونة المطبقة </w:t>
      </w:r>
      <w:r>
        <w:rPr>
          <w:rStyle w:val="FootnoteAnchor"/>
          <w:rtl w:val="true"/>
        </w:rPr>
        <w:footnoteReference w:id="1946"/>
      </w:r>
      <w:r>
        <w:rPr>
          <w:rFonts w:ascii="IRNazanin" w:hAnsi="IRNazanin" w:eastAsia="IRNazanin"/>
          <w:color w:val="111111"/>
          <w:sz w:val="28"/>
          <w:sz w:val="28"/>
          <w:szCs w:val="28"/>
          <w:rtl w:val="true"/>
          <w:lang w:bidi="fa-IR"/>
        </w:rPr>
        <w:t>و لا للناشزة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تسقط القسمة و حقّ المضاجعة بالسفر و لیس علیه القضاء</w:t>
      </w:r>
      <w:r>
        <w:rPr>
          <w:rFonts w:eastAsia="IRNazanin" w:cs="IRNazanin"/>
          <w:color w:val="111111"/>
          <w:sz w:val="28"/>
          <w:szCs w:val="28"/>
          <w:rtl w:val="true"/>
          <w:lang w:bidi="fa-IR"/>
        </w:rPr>
        <w:t>.</w:t>
      </w:r>
    </w:p>
    <w:p>
      <w:pPr>
        <w:pStyle w:val="Heading5"/>
        <w:numPr>
          <w:ilvl w:val="4"/>
          <w:numId w:val="1"/>
        </w:numPr>
        <w:rPr/>
      </w:pPr>
      <w:bookmarkStart w:id="7638" w:name="__RefHeading___Toc2571882_3650668749"/>
      <w:bookmarkStart w:id="7639" w:name="_Toc3450"/>
      <w:bookmarkEnd w:id="7638"/>
      <w:r>
        <w:rPr>
          <w:rtl w:val="true"/>
        </w:rPr>
        <w:t>[ (</w:t>
      </w:r>
      <w:r>
        <w:rPr>
          <w:rtl w:val="true"/>
        </w:rPr>
        <w:t xml:space="preserve">مسألة </w:t>
      </w:r>
      <w:r>
        <w:rPr/>
        <w:t>6</w:t>
      </w:r>
      <w:r>
        <w:rPr>
          <w:rtl w:val="true"/>
        </w:rPr>
        <w:t xml:space="preserve">): </w:t>
      </w:r>
      <w:r>
        <w:rPr>
          <w:rtl w:val="true"/>
        </w:rPr>
        <w:t>إذا شرع فی القسمة بین نسائه کان له الابتداء بأیّ منهنّ</w:t>
      </w:r>
      <w:r>
        <w:rPr>
          <w:rtl w:val="true"/>
        </w:rPr>
        <w:t>]</w:t>
      </w:r>
      <w:bookmarkEnd w:id="7639"/>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شرع فی القسمة بین نسائه کان له الابتداء بأیّ منهنّ </w:t>
      </w:r>
      <w:r>
        <w:rPr>
          <w:rStyle w:val="FootnoteAnchor"/>
          <w:rtl w:val="true"/>
        </w:rPr>
        <w:footnoteReference w:id="1947"/>
      </w:r>
      <w:r>
        <w:rPr>
          <w:rFonts w:ascii="IRNazanin" w:hAnsi="IRNazanin" w:eastAsia="IRNazanin"/>
          <w:color w:val="111111"/>
          <w:sz w:val="28"/>
          <w:sz w:val="28"/>
          <w:szCs w:val="28"/>
          <w:rtl w:val="true"/>
          <w:lang w:bidi="fa-IR"/>
        </w:rPr>
        <w:t>شاء و إن کان الأولیٰ و الأحوط التعیین بالقرعة</w:t>
      </w:r>
      <w:r>
        <w:rPr>
          <w:rFonts w:eastAsia="IRNazanin" w:cs="IRNazanin"/>
          <w:color w:val="111111"/>
          <w:sz w:val="28"/>
          <w:szCs w:val="28"/>
          <w:rtl w:val="true"/>
          <w:lang w:bidi="fa-IR"/>
        </w:rPr>
        <w:t>.</w:t>
      </w:r>
      <w:bookmarkStart w:id="7640" w:name="pg1809_19967"/>
    </w:p>
    <w:p>
      <w:pPr>
        <w:pStyle w:val="Heading5"/>
        <w:numPr>
          <w:ilvl w:val="4"/>
          <w:numId w:val="1"/>
        </w:numPr>
        <w:rPr/>
      </w:pPr>
      <w:bookmarkStart w:id="7641" w:name="__RefHeading___Toc2571884_3650668749"/>
      <w:bookmarkStart w:id="7642" w:name="_Toc3451"/>
      <w:bookmarkEnd w:id="7640"/>
      <w:bookmarkEnd w:id="7641"/>
      <w:r>
        <w:rPr>
          <w:rtl w:val="true"/>
        </w:rPr>
        <w:t>[ (</w:t>
      </w:r>
      <w:r>
        <w:rPr>
          <w:rtl w:val="true"/>
        </w:rPr>
        <w:t xml:space="preserve">مسألة </w:t>
      </w:r>
      <w:r>
        <w:rPr/>
        <w:t>7</w:t>
      </w:r>
      <w:r>
        <w:rPr>
          <w:rtl w:val="true"/>
        </w:rPr>
        <w:t xml:space="preserve">): </w:t>
      </w:r>
      <w:r>
        <w:rPr>
          <w:rtl w:val="true"/>
        </w:rPr>
        <w:t>تستحبّ التسویة بین الزوجات فی الإنفاق و الالتفات و إطلاق الوجه و المواقعة</w:t>
      </w:r>
      <w:r>
        <w:rPr>
          <w:rtl w:val="true"/>
        </w:rPr>
        <w:t>]</w:t>
      </w:r>
      <w:bookmarkEnd w:id="76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تستحبّ التسویة بین الزوجات فی الإنفاق و الالتفات و إطلاق الوجه و المواقعة، و أن یکون فی صبیحة کلّ لیلة عند صاحبتها، و أن یأذن لها فی حضور موت أبیها و أُمّها و إن کان له منعها عن ذلک، و عن عیادة أبیها و أُمّها، فضلًا عن غیرهما و عن الخروج من منزله إلّا لحقّ واجب</w:t>
      </w:r>
      <w:r>
        <w:rPr>
          <w:rFonts w:eastAsia="IRNazanin" w:cs="IRNazanin"/>
          <w:color w:val="111111"/>
          <w:sz w:val="28"/>
          <w:szCs w:val="28"/>
          <w:rtl w:val="true"/>
          <w:lang w:bidi="fa-IR"/>
        </w:rPr>
        <w:t>.</w:t>
      </w:r>
    </w:p>
    <w:p>
      <w:pPr>
        <w:pStyle w:val="Heading4"/>
        <w:numPr>
          <w:ilvl w:val="3"/>
          <w:numId w:val="1"/>
        </w:numPr>
        <w:rPr/>
      </w:pPr>
      <w:bookmarkStart w:id="7643" w:name="__RefHeading___Toc2571886_3650668749"/>
      <w:bookmarkStart w:id="7644" w:name="_Toc3452"/>
      <w:bookmarkEnd w:id="7643"/>
      <w:r>
        <w:rPr>
          <w:rtl w:val="true"/>
        </w:rPr>
        <w:t>[</w:t>
      </w:r>
      <w:r>
        <w:rPr>
          <w:rtl w:val="true"/>
        </w:rPr>
        <w:t>القول فی النشوز</w:t>
      </w:r>
      <w:r>
        <w:rPr>
          <w:rtl w:val="true"/>
        </w:rPr>
        <w:t>]</w:t>
      </w:r>
      <w:bookmarkEnd w:id="7644"/>
    </w:p>
    <w:p>
      <w:pPr>
        <w:pStyle w:val="Heading5"/>
        <w:numPr>
          <w:ilvl w:val="4"/>
          <w:numId w:val="1"/>
        </w:numPr>
        <w:rPr/>
      </w:pPr>
      <w:bookmarkStart w:id="7645" w:name="__RefHeading___Toc2571888_3650668749"/>
      <w:bookmarkStart w:id="7646" w:name="_Toc3453"/>
      <w:bookmarkEnd w:id="7645"/>
      <w:r>
        <w:rPr>
          <w:rtl w:val="true"/>
        </w:rPr>
        <w:t>اشارة</w:t>
      </w:r>
      <w:bookmarkEnd w:id="7646"/>
    </w:p>
    <w:p>
      <w:pPr>
        <w:pStyle w:val="BookText"/>
        <w:rPr/>
      </w:pPr>
      <w:r>
        <w:rPr>
          <w:rFonts w:ascii="IRNazanin" w:hAnsi="IRNazanin" w:eastAsia="IRNazanin"/>
          <w:color w:val="111111"/>
          <w:sz w:val="28"/>
          <w:sz w:val="28"/>
          <w:szCs w:val="28"/>
          <w:rtl w:val="true"/>
          <w:lang w:bidi="fa-IR"/>
        </w:rPr>
        <w:t>القول فی النشوز و هو فی الزوجة خروجها عن طاعة الزوج الواجبة علیها من عدم تمکین نفسها و عدم إزالة المنفّرات المضادّة للتمتّع و الالتذاذ بها، بل و ترک التنظیف و التزیین مع اقتضاء الزوج لها، و کذا خروجها من بیته من دون إذنه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یتحقّق النشوز بترک طاعته فیما لیست بواجبة علیها، فلو امتنعت من خدمات البیت و حوائجه التی لا تتعلّق بالاستمتاع؛ من الکنس أو الخیاطة أو الطبخ أو غیر ذلک حتّی سقی الماء و تمهید الفراش لم یتحقّق النشوز</w:t>
      </w:r>
      <w:r>
        <w:rPr>
          <w:rFonts w:eastAsia="IRNazanin" w:cs="IRNazanin"/>
          <w:color w:val="111111"/>
          <w:sz w:val="28"/>
          <w:szCs w:val="28"/>
          <w:rtl w:val="true"/>
          <w:lang w:bidi="fa-IR"/>
        </w:rPr>
        <w:t>.</w:t>
      </w:r>
    </w:p>
    <w:p>
      <w:pPr>
        <w:pStyle w:val="Heading5"/>
        <w:numPr>
          <w:ilvl w:val="4"/>
          <w:numId w:val="1"/>
        </w:numPr>
        <w:rPr/>
      </w:pPr>
      <w:bookmarkStart w:id="7647" w:name="__RefHeading___Toc2571890_3650668749"/>
      <w:bookmarkStart w:id="7648" w:name="_Toc3454"/>
      <w:bookmarkEnd w:id="7647"/>
      <w:r>
        <w:rPr>
          <w:rtl w:val="true"/>
        </w:rPr>
        <w:t>[ (</w:t>
      </w:r>
      <w:r>
        <w:rPr>
          <w:rtl w:val="true"/>
        </w:rPr>
        <w:t xml:space="preserve">مسألة </w:t>
      </w:r>
      <w:r>
        <w:rPr/>
        <w:t>1</w:t>
      </w:r>
      <w:r>
        <w:rPr>
          <w:rtl w:val="true"/>
        </w:rPr>
        <w:t xml:space="preserve">): </w:t>
      </w:r>
      <w:r>
        <w:rPr>
          <w:rtl w:val="true"/>
        </w:rPr>
        <w:t>إذا ظهرت منها أمارات النشوز و الطغیان بسبب تغییر عادتها معه فی القول أو الفعل</w:t>
      </w:r>
      <w:r>
        <w:rPr>
          <w:rtl w:val="true"/>
        </w:rPr>
        <w:t>]</w:t>
      </w:r>
      <w:bookmarkEnd w:id="7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منها أمارات النشوز و الطغیان بسبب تغییر عادتها معه فی القول أو الفعل؛ بأن تجیبه بکلام خشن بعد ما کان بکلام لیّن، أو أن تظهر عبوساً و تقطّباً فی وجهه و تثاقلًا و دمدمة بعد أن کانت علیٰ خلاف ذلک و غیر ذلک، جاز له هجرها فی المضجع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بأن یحوّل إلیها ظهره فی الفراش أو یعتزل فراشها بعد أن یعظها، فإذا لم یؤثّر ذلک فیها حتّی وقع </w:t>
      </w:r>
      <w:r>
        <w:rPr>
          <w:rStyle w:val="FootnoteAnchor"/>
          <w:rtl w:val="true"/>
        </w:rPr>
        <w:footnoteReference w:id="1948"/>
      </w:r>
      <w:r>
        <w:rPr>
          <w:rFonts w:ascii="IRNazanin" w:hAnsi="IRNazanin" w:eastAsia="IRNazanin"/>
          <w:color w:val="111111"/>
          <w:sz w:val="28"/>
          <w:sz w:val="28"/>
          <w:szCs w:val="28"/>
          <w:rtl w:val="true"/>
          <w:lang w:bidi="fa-IR"/>
        </w:rPr>
        <w:t>منها النشوز جاز له ضربها، و یقتصر علیٰ ما یؤمّل معه رجوعها، فلا یجوز الزیادة علیه مع حصول الغرض به، و إلّا تدرّج إلی الأقویٰ فالأقویٰ ما لم یکن مدمیاً و لا شدیداً مؤثّراً فی اسوداد بدنها أو احمراره، و اللازم أن یکون ذلک بقصد الإصلاح لا التشفّی و الانتقام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حصل بالضرب جنایة وجب الغرم</w:t>
      </w:r>
      <w:r>
        <w:rPr>
          <w:rFonts w:eastAsia="IRNazanin" w:cs="IRNazanin"/>
          <w:color w:val="111111"/>
          <w:sz w:val="28"/>
          <w:szCs w:val="28"/>
          <w:rtl w:val="true"/>
          <w:lang w:bidi="fa-IR"/>
        </w:rPr>
        <w:t>.</w:t>
      </w:r>
    </w:p>
    <w:p>
      <w:pPr>
        <w:pStyle w:val="Heading5"/>
        <w:numPr>
          <w:ilvl w:val="4"/>
          <w:numId w:val="1"/>
        </w:numPr>
        <w:rPr/>
      </w:pPr>
      <w:bookmarkStart w:id="7649" w:name="__RefHeading___Toc2571892_3650668749"/>
      <w:bookmarkStart w:id="7650" w:name="_Toc3455"/>
      <w:bookmarkEnd w:id="7649"/>
      <w:r>
        <w:rPr>
          <w:rtl w:val="true"/>
        </w:rPr>
        <w:t>[ (</w:t>
      </w:r>
      <w:r>
        <w:rPr>
          <w:rtl w:val="true"/>
        </w:rPr>
        <w:t xml:space="preserve">مسألة </w:t>
      </w:r>
      <w:r>
        <w:rPr/>
        <w:t>2</w:t>
      </w:r>
      <w:r>
        <w:rPr>
          <w:rtl w:val="true"/>
        </w:rPr>
        <w:t xml:space="preserve">): </w:t>
      </w:r>
      <w:r>
        <w:rPr>
          <w:rtl w:val="true"/>
        </w:rPr>
        <w:t>کما یکون النشوز من طرف الزوجة یکون من طرف الزوج أیضاً</w:t>
      </w:r>
      <w:r>
        <w:rPr>
          <w:rtl w:val="true"/>
        </w:rPr>
        <w:t>]</w:t>
      </w:r>
      <w:bookmarkEnd w:id="7650"/>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یکون النشوز من طرف الزوجة یکون من طرف الزوج أیضاً بتعدّیه</w:t>
      </w:r>
      <w:bookmarkStart w:id="7651" w:name="pg1809_19969"/>
    </w:p>
    <w:p>
      <w:pPr>
        <w:pStyle w:val="BookText"/>
        <w:rPr/>
      </w:pPr>
      <w:bookmarkEnd w:id="7651"/>
      <w:r>
        <w:rPr>
          <w:rFonts w:ascii="IRNazanin" w:hAnsi="IRNazanin" w:eastAsia="IRNazanin"/>
          <w:color w:val="111111"/>
          <w:sz w:val="28"/>
          <w:sz w:val="28"/>
          <w:szCs w:val="28"/>
          <w:rtl w:val="true"/>
          <w:lang w:bidi="fa-IR"/>
        </w:rPr>
        <w:t>علیها و عدم القیام علی حقوقها الواجبة، فإذا ظهر منه النشوز بمنع حقوقها من قسم و نفقة و نحوهما، فلها المطالبة بها و وعظها إیّاه، فإن لم یؤثّر رفعت أمرها إلی الحاکم فیلزمه بها و لیس لها هجره و لا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اطّلع الحاکم علیٰ نشوزه و تعدّیه نهاه عن فعل ما یحرم علیه و أمره بفعل ما یجب، فإن نفع و إلّا عزّره بما یراه، و له أیضاً الإنفاق من ماله مع امتناعه من ذلک و لو ببیع عقاره إذا توقّف علیه</w:t>
      </w:r>
      <w:r>
        <w:rPr>
          <w:rFonts w:eastAsia="IRNazanin" w:cs="IRNazanin"/>
          <w:color w:val="111111"/>
          <w:sz w:val="28"/>
          <w:szCs w:val="28"/>
          <w:rtl w:val="true"/>
          <w:lang w:bidi="fa-IR"/>
        </w:rPr>
        <w:t>.</w:t>
      </w:r>
    </w:p>
    <w:p>
      <w:pPr>
        <w:pStyle w:val="Heading5"/>
        <w:numPr>
          <w:ilvl w:val="4"/>
          <w:numId w:val="1"/>
        </w:numPr>
        <w:rPr/>
      </w:pPr>
      <w:bookmarkStart w:id="7652" w:name="__RefHeading___Toc2571894_3650668749"/>
      <w:bookmarkStart w:id="7653" w:name="_Toc3456"/>
      <w:bookmarkEnd w:id="7652"/>
      <w:r>
        <w:rPr>
          <w:rtl w:val="true"/>
        </w:rPr>
        <w:t>[ (</w:t>
      </w:r>
      <w:r>
        <w:rPr>
          <w:rtl w:val="true"/>
        </w:rPr>
        <w:t xml:space="preserve">مسألة </w:t>
      </w:r>
      <w:r>
        <w:rPr/>
        <w:t>3</w:t>
      </w:r>
      <w:r>
        <w:rPr>
          <w:rtl w:val="true"/>
        </w:rPr>
        <w:t xml:space="preserve">): </w:t>
      </w:r>
      <w:r>
        <w:rPr>
          <w:rtl w:val="true"/>
        </w:rPr>
        <w:t>إذا ترک الزوج بعض حقوقها الغیر الواجبة أو همّ بطلاقها لکراهته لها</w:t>
      </w:r>
      <w:r>
        <w:rPr>
          <w:rtl w:val="true"/>
        </w:rPr>
        <w:t>]</w:t>
      </w:r>
      <w:bookmarkEnd w:id="76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الزوج بعض حقوقها الغیر الواجبة أو همّ بطلاقها لکراهته لها لکبر سنّها أو غیره أو همّ بالتزویج علیها، فبذلت له مالًا أو بعض حقوقها الواجبة من قسم أو نفقة استمالة له، صحّ و حلّ له ذلک، و أمّا لو ترک بعض حقوقها الواجبة أو آذاها بالضرب أو الشتم و غیر ذلک، فبذلت مالًا أو ترکت بعض حقوقها لیقوم بما ترک من حقّها أو لیمسک عن أذیّتها أو لیخلعها فتخلّص من یده، حرم علیه ما بذلت و إن لم یکن من قصده إلجاؤها بالبذل علی الأقویٰ</w:t>
      </w:r>
      <w:r>
        <w:rPr>
          <w:rFonts w:eastAsia="IRNazanin" w:cs="IRNazanin"/>
          <w:color w:val="111111"/>
          <w:sz w:val="28"/>
          <w:szCs w:val="28"/>
          <w:rtl w:val="true"/>
          <w:lang w:bidi="fa-IR"/>
        </w:rPr>
        <w:t>.</w:t>
      </w:r>
    </w:p>
    <w:p>
      <w:pPr>
        <w:pStyle w:val="Heading5"/>
        <w:numPr>
          <w:ilvl w:val="4"/>
          <w:numId w:val="1"/>
        </w:numPr>
        <w:rPr/>
      </w:pPr>
      <w:bookmarkStart w:id="7654" w:name="__RefHeading___Toc2571896_3650668749"/>
      <w:bookmarkStart w:id="7655" w:name="_Toc3457"/>
      <w:bookmarkEnd w:id="7654"/>
      <w:r>
        <w:rPr>
          <w:rtl w:val="true"/>
        </w:rPr>
        <w:t>[ (</w:t>
      </w:r>
      <w:r>
        <w:rPr>
          <w:rtl w:val="true"/>
        </w:rPr>
        <w:t xml:space="preserve">مسألة </w:t>
      </w:r>
      <w:r>
        <w:rPr/>
        <w:t>4</w:t>
      </w:r>
      <w:r>
        <w:rPr>
          <w:rtl w:val="true"/>
        </w:rPr>
        <w:t xml:space="preserve">): </w:t>
      </w:r>
      <w:r>
        <w:rPr>
          <w:rtl w:val="true"/>
        </w:rPr>
        <w:t>إذا وقع نشوز من الزوجین و منافرة و شقاق بین الطرفین و انجرّ أمرهما إلی الحاکم</w:t>
      </w:r>
      <w:r>
        <w:rPr>
          <w:rtl w:val="true"/>
        </w:rPr>
        <w:t>]</w:t>
      </w:r>
      <w:bookmarkEnd w:id="7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نشوز </w:t>
      </w:r>
      <w:r>
        <w:rPr>
          <w:rStyle w:val="FootnoteAnchor"/>
          <w:rtl w:val="true"/>
        </w:rPr>
        <w:footnoteReference w:id="1949"/>
      </w:r>
      <w:r>
        <w:rPr>
          <w:rFonts w:ascii="IRNazanin" w:hAnsi="IRNazanin" w:eastAsia="IRNazanin"/>
          <w:color w:val="111111"/>
          <w:sz w:val="28"/>
          <w:sz w:val="28"/>
          <w:szCs w:val="28"/>
          <w:rtl w:val="true"/>
          <w:lang w:bidi="fa-IR"/>
        </w:rPr>
        <w:t>من الزوجین و منافرة و شقاق بین الطرفین و انجرّ أمرهما إلی الحاکم بعث حکمین؛ حکماً من جانبه و حکماً من جانبها للإصلاح و رفع الشقاق بما رأیاه من الصلاح؛ من الجمع أو الفراق، و یجب علیهما البحث و الاجتهاد فی حالهما، و فیما هو السبب و العلّة لحصول الشقاق بینهما، ثمّ یسعیان فی أمرهما، فکلّما استقرّ علیه رأیهما و حکما به نفذ علی الزوجین، و یلزم علیهما الرضا به بشرط کونه سائغاً، کما لو شرطا علی الزوج أن یسکن الزوجة فی البلد الفلانی أو فی مسکن مخصوص أو عند أبویها أو لا یسکن معها فی الدار امّه أو أُخته و لو فی بیت منفرد، أو لا تسکن معها ضرّتها فی دار واحدة و نحو ذلک أو شرطا علیها أن تؤجّله بالمهر الحالّ إلیٰ أجل، أو تردّ علیه ما قبضته قرضاً و نحو ذلک، بخلاف ما إذا کان غیر سائغ کما إذا شرطا علیه ترک بعض حقوق الضرّة من قسم أو نفقة، أو رخصة المرأة فی خروجها عن بیته حیث شاءت و أین شاءت و نحو ذلک</w:t>
      </w:r>
      <w:r>
        <w:rPr>
          <w:rFonts w:eastAsia="IRNazanin" w:cs="IRNazanin"/>
          <w:color w:val="111111"/>
          <w:sz w:val="28"/>
          <w:szCs w:val="28"/>
          <w:rtl w:val="true"/>
          <w:lang w:bidi="fa-IR"/>
        </w:rPr>
        <w:t>.</w:t>
      </w:r>
    </w:p>
    <w:p>
      <w:pPr>
        <w:pStyle w:val="Heading5"/>
        <w:numPr>
          <w:ilvl w:val="4"/>
          <w:numId w:val="1"/>
        </w:numPr>
        <w:rPr/>
      </w:pPr>
      <w:bookmarkStart w:id="7656" w:name="__RefHeading___Toc2571898_3650668749"/>
      <w:bookmarkStart w:id="7657" w:name="_Toc3458"/>
      <w:bookmarkEnd w:id="7656"/>
      <w:r>
        <w:rPr>
          <w:rtl w:val="true"/>
        </w:rPr>
        <w:t>[ (</w:t>
      </w:r>
      <w:r>
        <w:rPr>
          <w:rtl w:val="true"/>
        </w:rPr>
        <w:t xml:space="preserve">مسألة </w:t>
      </w:r>
      <w:r>
        <w:rPr/>
        <w:t>5</w:t>
      </w:r>
      <w:r>
        <w:rPr>
          <w:rtl w:val="true"/>
        </w:rPr>
        <w:t xml:space="preserve">): </w:t>
      </w:r>
      <w:r>
        <w:rPr>
          <w:rtl w:val="true"/>
        </w:rPr>
        <w:t>إذا اجتمع الحکمان علی التفریق، لیس لهما ذلک إلّا إذا شرطا علیهما</w:t>
      </w:r>
      <w:r>
        <w:rPr>
          <w:rtl w:val="true"/>
        </w:rPr>
        <w:t>]</w:t>
      </w:r>
      <w:bookmarkEnd w:id="7657"/>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الحکمان علی التفریق، لیس لهما ذلک إلّا إذا شرطا علیهما حین</w:t>
      </w:r>
      <w:bookmarkStart w:id="7658" w:name="pg1809_19971"/>
    </w:p>
    <w:p>
      <w:pPr>
        <w:pStyle w:val="BookText"/>
        <w:rPr/>
      </w:pPr>
      <w:bookmarkEnd w:id="7658"/>
      <w:r>
        <w:rPr>
          <w:rFonts w:ascii="IRNazanin" w:hAnsi="IRNazanin" w:eastAsia="IRNazanin"/>
          <w:color w:val="111111"/>
          <w:sz w:val="28"/>
          <w:sz w:val="28"/>
          <w:szCs w:val="28"/>
          <w:rtl w:val="true"/>
          <w:lang w:bidi="fa-IR"/>
        </w:rPr>
        <w:t>بعثهما بأنّهما إن شاءا جمعا و إن شاءا 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التفریق لا یکون إلّا بالطلاق فلا بدّ من وقوعه عند اجتماع شرائطه؛ بأن وقع فی طهر لم یواقعها فیه، و عند حضور العدلین و غیر ذلک</w:t>
      </w:r>
      <w:r>
        <w:rPr>
          <w:rFonts w:eastAsia="IRNazanin" w:cs="IRNazanin"/>
          <w:color w:val="111111"/>
          <w:sz w:val="28"/>
          <w:szCs w:val="28"/>
          <w:rtl w:val="true"/>
          <w:lang w:bidi="fa-IR"/>
        </w:rPr>
        <w:t>.</w:t>
      </w:r>
    </w:p>
    <w:p>
      <w:pPr>
        <w:pStyle w:val="Heading5"/>
        <w:numPr>
          <w:ilvl w:val="4"/>
          <w:numId w:val="1"/>
        </w:numPr>
        <w:rPr/>
      </w:pPr>
      <w:bookmarkStart w:id="7659" w:name="__RefHeading___Toc2571900_3650668749"/>
      <w:bookmarkStart w:id="7660" w:name="_Toc3459"/>
      <w:bookmarkEnd w:id="7659"/>
      <w:r>
        <w:rPr>
          <w:rtl w:val="true"/>
        </w:rPr>
        <w:t>[ (</w:t>
      </w:r>
      <w:r>
        <w:rPr>
          <w:rtl w:val="true"/>
        </w:rPr>
        <w:t xml:space="preserve">مسألة </w:t>
      </w:r>
      <w:r>
        <w:rPr/>
        <w:t>6</w:t>
      </w:r>
      <w:r>
        <w:rPr>
          <w:rtl w:val="true"/>
        </w:rPr>
        <w:t xml:space="preserve">): </w:t>
      </w:r>
      <w:r>
        <w:rPr>
          <w:rtl w:val="true"/>
        </w:rPr>
        <w:t>الأولیٰ بل الأحوط أن یکون الحکمان من أهل الطرفین</w:t>
      </w:r>
      <w:r>
        <w:rPr>
          <w:rtl w:val="true"/>
        </w:rPr>
        <w:t>]</w:t>
      </w:r>
      <w:bookmarkEnd w:id="76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بل الأحوط أن یکون الحکمان من أهل الطرفین؛ بأن یکون حکم من أهله و حکم من أهلها، فإن لم یکن لهما أهل أو لم یکن أهلهما أهلًا لهذا الأمر تعیّن 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أن یکون من جانب کلّ منهما حکم واحد بل لو اقتضت المصلحة بعث أزید تعیّن</w:t>
      </w:r>
      <w:r>
        <w:rPr>
          <w:rFonts w:eastAsia="IRNazanin" w:cs="IRNazanin"/>
          <w:color w:val="111111"/>
          <w:sz w:val="28"/>
          <w:szCs w:val="28"/>
          <w:rtl w:val="true"/>
          <w:lang w:bidi="fa-IR"/>
        </w:rPr>
        <w:t>.</w:t>
      </w:r>
    </w:p>
    <w:p>
      <w:pPr>
        <w:pStyle w:val="Heading5"/>
        <w:numPr>
          <w:ilvl w:val="4"/>
          <w:numId w:val="1"/>
        </w:numPr>
        <w:rPr/>
      </w:pPr>
      <w:bookmarkStart w:id="7661" w:name="__RefHeading___Toc2571902_3650668749"/>
      <w:bookmarkStart w:id="7662" w:name="_Toc3460"/>
      <w:bookmarkEnd w:id="7661"/>
      <w:r>
        <w:rPr>
          <w:rtl w:val="true"/>
        </w:rPr>
        <w:t>[ (</w:t>
      </w:r>
      <w:r>
        <w:rPr>
          <w:rtl w:val="true"/>
        </w:rPr>
        <w:t xml:space="preserve">مسألة </w:t>
      </w:r>
      <w:r>
        <w:rPr/>
        <w:t>7</w:t>
      </w:r>
      <w:r>
        <w:rPr>
          <w:rtl w:val="true"/>
        </w:rPr>
        <w:t xml:space="preserve">): </w:t>
      </w:r>
      <w:r>
        <w:rPr>
          <w:rtl w:val="true"/>
        </w:rPr>
        <w:t>ینبغی للحکمین إخلاص النیّة و قصد الإصلاح</w:t>
      </w:r>
      <w:r>
        <w:rPr>
          <w:rtl w:val="true"/>
        </w:rPr>
        <w:t>]</w:t>
      </w:r>
      <w:bookmarkEnd w:id="7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للحکمین إخلاص النیّة و قصد الإصلاح، فمن حسنت نیّته فیما تحرّاه أصلح اللّٰه مسعاه، کما یرشد إلیٰ ذلک قوله جلّ شأنه فی هذا المقام إِنْ یُرِیدٰا إِصْلٰاحاً یُوَفِّقِ اللّٰهُ بَیْنَهُمٰا</w:t>
      </w:r>
      <w:r>
        <w:rPr>
          <w:rFonts w:eastAsia="Amiri" w:cs="Amiri" w:ascii="Amiri" w:hAnsi="Amiri"/>
          <w:color w:val="111111"/>
          <w:sz w:val="28"/>
          <w:szCs w:val="28"/>
          <w:rtl w:val="true"/>
          <w:lang w:bidi="ar-SA"/>
        </w:rPr>
        <w:t>.</w:t>
      </w:r>
    </w:p>
    <w:p>
      <w:pPr>
        <w:pStyle w:val="Heading3"/>
        <w:numPr>
          <w:ilvl w:val="2"/>
          <w:numId w:val="1"/>
        </w:numPr>
        <w:rPr/>
      </w:pPr>
      <w:bookmarkStart w:id="7663" w:name="__RefHeading___Toc2571904_3650668749"/>
      <w:bookmarkStart w:id="7664" w:name="_Toc3461"/>
      <w:bookmarkEnd w:id="7663"/>
      <w:r>
        <w:rPr>
          <w:rtl w:val="true"/>
        </w:rPr>
        <w:t>[</w:t>
      </w:r>
      <w:r>
        <w:rPr>
          <w:rtl w:val="true"/>
        </w:rPr>
        <w:t>فصل فی أحکام الأولاد و الولادة</w:t>
      </w:r>
      <w:r>
        <w:rPr>
          <w:rtl w:val="true"/>
        </w:rPr>
        <w:t>]</w:t>
      </w:r>
      <w:bookmarkEnd w:id="7664"/>
    </w:p>
    <w:p>
      <w:pPr>
        <w:pStyle w:val="Heading4"/>
        <w:numPr>
          <w:ilvl w:val="3"/>
          <w:numId w:val="1"/>
        </w:numPr>
        <w:rPr/>
      </w:pPr>
      <w:bookmarkStart w:id="7665" w:name="__RefHeading___Toc2571906_3650668749"/>
      <w:bookmarkStart w:id="7666" w:name="_Toc3462"/>
      <w:bookmarkEnd w:id="7665"/>
      <w:r>
        <w:rPr>
          <w:rtl w:val="true"/>
        </w:rPr>
        <w:t>اشارة</w:t>
      </w:r>
      <w:bookmarkEnd w:id="7666"/>
    </w:p>
    <w:p>
      <w:pPr>
        <w:pStyle w:val="BookText"/>
        <w:rPr/>
      </w:pPr>
      <w:r>
        <w:rPr>
          <w:rFonts w:ascii="IRNazanin" w:hAnsi="IRNazanin" w:eastAsia="IRNazanin"/>
          <w:color w:val="111111"/>
          <w:sz w:val="28"/>
          <w:sz w:val="28"/>
          <w:szCs w:val="28"/>
          <w:rtl w:val="true"/>
          <w:lang w:bidi="fa-IR"/>
        </w:rPr>
        <w:t>فصل فی أحکام الأولاد و الولادة</w:t>
      </w:r>
    </w:p>
    <w:p>
      <w:pPr>
        <w:pStyle w:val="Heading4"/>
        <w:numPr>
          <w:ilvl w:val="3"/>
          <w:numId w:val="1"/>
        </w:numPr>
        <w:rPr/>
      </w:pPr>
      <w:bookmarkStart w:id="7667" w:name="__RefHeading___Toc2571908_3650668749"/>
      <w:bookmarkStart w:id="7668" w:name="_Toc3463"/>
      <w:bookmarkEnd w:id="7667"/>
      <w:r>
        <w:rPr>
          <w:rtl w:val="true"/>
        </w:rPr>
        <w:t>[</w:t>
      </w:r>
      <w:r>
        <w:rPr>
          <w:rtl w:val="true"/>
        </w:rPr>
        <w:t>القول فی أحکام الأولاد</w:t>
      </w:r>
      <w:r>
        <w:rPr>
          <w:rtl w:val="true"/>
        </w:rPr>
        <w:t>]</w:t>
      </w:r>
      <w:bookmarkEnd w:id="7668"/>
    </w:p>
    <w:p>
      <w:pPr>
        <w:pStyle w:val="Heading5"/>
        <w:numPr>
          <w:ilvl w:val="4"/>
          <w:numId w:val="1"/>
        </w:numPr>
        <w:rPr/>
      </w:pPr>
      <w:bookmarkStart w:id="7669" w:name="__RefHeading___Toc2571910_3650668749"/>
      <w:bookmarkStart w:id="7670" w:name="_Toc3464"/>
      <w:bookmarkEnd w:id="7669"/>
      <w:r>
        <w:rPr>
          <w:rtl w:val="true"/>
        </w:rPr>
        <w:t>[ (</w:t>
      </w:r>
      <w:r>
        <w:rPr>
          <w:rtl w:val="true"/>
        </w:rPr>
        <w:t xml:space="preserve">مسألة </w:t>
      </w:r>
      <w:r>
        <w:rPr/>
        <w:t>1</w:t>
      </w:r>
      <w:r>
        <w:rPr>
          <w:rtl w:val="true"/>
        </w:rPr>
        <w:t xml:space="preserve">): </w:t>
      </w:r>
      <w:r>
        <w:rPr>
          <w:rtl w:val="true"/>
        </w:rPr>
        <w:t>إنّما یلحق ما ولدته المرأة بزوجها بشروط ثلاثة</w:t>
      </w:r>
      <w:r>
        <w:rPr>
          <w:rtl w:val="true"/>
        </w:rPr>
        <w:t>]</w:t>
      </w:r>
      <w:bookmarkEnd w:id="76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یلحق ما ولدته المرأة بزوجها بشروط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w:t>
      </w:r>
      <w:r>
        <w:rPr>
          <w:rStyle w:val="FootnoteAnchor"/>
          <w:rtl w:val="true"/>
        </w:rPr>
        <w:footnoteReference w:id="1950"/>
      </w:r>
      <w:r>
        <w:rPr>
          <w:rFonts w:ascii="IRNazanin" w:hAnsi="IRNazanin" w:eastAsia="IRNazanin"/>
          <w:color w:val="111111"/>
          <w:sz w:val="28"/>
          <w:sz w:val="28"/>
          <w:szCs w:val="28"/>
          <w:rtl w:val="true"/>
          <w:lang w:bidi="fa-IR"/>
        </w:rPr>
        <w:t xml:space="preserve">، و مضیّ ستّة أشهر أو أکثر من حین الوطء إلیٰ زمن الولادة، و أن لا یتجاوز عن أقصی مدّة الحمل و هو تسعة </w:t>
      </w:r>
      <w:r>
        <w:rPr>
          <w:rStyle w:val="FootnoteAnchor"/>
          <w:rtl w:val="true"/>
        </w:rPr>
        <w:footnoteReference w:id="1951"/>
      </w:r>
      <w:r>
        <w:rPr>
          <w:rFonts w:ascii="IRNazanin" w:hAnsi="IRNazanin" w:eastAsia="IRNazanin"/>
          <w:color w:val="111111"/>
          <w:sz w:val="28"/>
          <w:sz w:val="28"/>
          <w:szCs w:val="28"/>
          <w:rtl w:val="true"/>
          <w:lang w:bidi="fa-IR"/>
        </w:rPr>
        <w:t xml:space="preserve">أشهر علی الأقویٰ فلو لم یدخل </w:t>
      </w:r>
      <w:r>
        <w:rPr>
          <w:rStyle w:val="FootnoteAnchor"/>
          <w:rtl w:val="true"/>
        </w:rPr>
        <w:footnoteReference w:id="1952"/>
      </w:r>
      <w:r>
        <w:rPr>
          <w:rFonts w:ascii="IRNazanin" w:hAnsi="IRNazanin" w:eastAsia="IRNazanin"/>
          <w:color w:val="111111"/>
          <w:sz w:val="28"/>
          <w:sz w:val="28"/>
          <w:szCs w:val="28"/>
          <w:rtl w:val="true"/>
          <w:lang w:bidi="fa-IR"/>
        </w:rPr>
        <w:t xml:space="preserve">بها أصلًا لم یلحق به قطعاً بل یجب نفیه عنه، و کذا لو دخل بها و جاءت بولد حیّ کامل لأقلّ من ستّة أشهر من حین الدخول أو جاءت به و قد مضی من حین وطئه إیّاها أزید من تسعة </w:t>
      </w:r>
      <w:r>
        <w:rPr>
          <w:rStyle w:val="FootnoteAnchor"/>
          <w:rtl w:val="true"/>
        </w:rPr>
        <w:footnoteReference w:id="1953"/>
      </w:r>
      <w:r>
        <w:rPr>
          <w:rFonts w:ascii="IRNazanin" w:hAnsi="IRNazanin" w:eastAsia="IRNazanin"/>
          <w:color w:val="111111"/>
          <w:sz w:val="28"/>
          <w:sz w:val="28"/>
          <w:szCs w:val="28"/>
          <w:rtl w:val="true"/>
          <w:lang w:bidi="fa-IR"/>
        </w:rPr>
        <w:t>أشهر، کما إذا اعتزلها أو غاب عنها عشرة أشهر أو أکثر و ولدت بعدها</w:t>
      </w:r>
      <w:r>
        <w:rPr>
          <w:rFonts w:eastAsia="IRNazanin" w:cs="IRNazanin"/>
          <w:color w:val="111111"/>
          <w:sz w:val="28"/>
          <w:szCs w:val="28"/>
          <w:rtl w:val="true"/>
          <w:lang w:bidi="fa-IR"/>
        </w:rPr>
        <w:t>.</w:t>
      </w:r>
    </w:p>
    <w:p>
      <w:pPr>
        <w:pStyle w:val="Heading5"/>
        <w:numPr>
          <w:ilvl w:val="4"/>
          <w:numId w:val="1"/>
        </w:numPr>
        <w:rPr/>
      </w:pPr>
      <w:bookmarkStart w:id="7671" w:name="__RefHeading___Toc2571912_3650668749"/>
      <w:bookmarkStart w:id="7672" w:name="_Toc3465"/>
      <w:bookmarkEnd w:id="7671"/>
      <w:r>
        <w:rPr>
          <w:rtl w:val="true"/>
        </w:rPr>
        <w:t>[ (</w:t>
      </w:r>
      <w:r>
        <w:rPr>
          <w:rtl w:val="true"/>
        </w:rPr>
        <w:t xml:space="preserve">مسألة </w:t>
      </w:r>
      <w:r>
        <w:rPr/>
        <w:t>2</w:t>
      </w:r>
      <w:r>
        <w:rPr>
          <w:rtl w:val="true"/>
        </w:rPr>
        <w:t xml:space="preserve">): </w:t>
      </w:r>
      <w:r>
        <w:rPr>
          <w:rtl w:val="true"/>
        </w:rPr>
        <w:t>إذا تحقّقت الشروط الثلاثة لحق الولد به و لا یجوز له نفیه و إن وطئها واطئ فجوراً</w:t>
      </w:r>
      <w:r>
        <w:rPr>
          <w:rtl w:val="true"/>
        </w:rPr>
        <w:t>]</w:t>
      </w:r>
      <w:bookmarkEnd w:id="7672"/>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تحقّقت الشروط الثلاثة لحق الولد به و لا یجوز له نفیه و إن وطئها واطئ فجوراً، فضلًا عمّا لو اتّهمها بالفجور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ینتفی عنه لو نفاه إن کان العقد دائماً إلّا باللعان،</w:t>
      </w:r>
      <w:bookmarkStart w:id="7673" w:name="pg1809_19972"/>
    </w:p>
    <w:p>
      <w:pPr>
        <w:pStyle w:val="BookText"/>
        <w:rPr/>
      </w:pPr>
      <w:bookmarkEnd w:id="7673"/>
      <w:r>
        <w:rPr>
          <w:rFonts w:ascii="IRNazanin" w:hAnsi="IRNazanin" w:eastAsia="IRNazanin"/>
          <w:color w:val="111111"/>
          <w:sz w:val="28"/>
          <w:sz w:val="28"/>
          <w:szCs w:val="28"/>
          <w:rtl w:val="true"/>
          <w:lang w:bidi="fa-IR"/>
        </w:rPr>
        <w:t>بخلاف ما إذا کان العقد منقطعاً و جاءت بولد أمکن إلحاقه به، فإنّه و إن لم یجز له نفیه، لکن لو نفاه ینتفی منه ظاهراً من غیر لعان، لکن علیه الیمین مع دعواها أو دعوی الولد النسب</w:t>
      </w:r>
      <w:r>
        <w:rPr>
          <w:rFonts w:eastAsia="IRNazanin" w:cs="IRNazanin"/>
          <w:color w:val="111111"/>
          <w:sz w:val="28"/>
          <w:szCs w:val="28"/>
          <w:rtl w:val="true"/>
          <w:lang w:bidi="fa-IR"/>
        </w:rPr>
        <w:t>.</w:t>
      </w:r>
    </w:p>
    <w:p>
      <w:pPr>
        <w:pStyle w:val="Heading5"/>
        <w:numPr>
          <w:ilvl w:val="4"/>
          <w:numId w:val="1"/>
        </w:numPr>
        <w:rPr/>
      </w:pPr>
      <w:bookmarkStart w:id="7674" w:name="__RefHeading___Toc2571914_3650668749"/>
      <w:bookmarkStart w:id="7675" w:name="_Toc3466"/>
      <w:bookmarkEnd w:id="7674"/>
      <w:r>
        <w:rPr>
          <w:rtl w:val="true"/>
        </w:rPr>
        <w:t>[ (</w:t>
      </w:r>
      <w:r>
        <w:rPr>
          <w:rtl w:val="true"/>
        </w:rPr>
        <w:t xml:space="preserve">مسألة </w:t>
      </w:r>
      <w:r>
        <w:rPr/>
        <w:t>3</w:t>
      </w:r>
      <w:r>
        <w:rPr>
          <w:rtl w:val="true"/>
        </w:rPr>
        <w:t xml:space="preserve">): </w:t>
      </w:r>
      <w:r>
        <w:rPr>
          <w:rtl w:val="true"/>
        </w:rPr>
        <w:t>لا یجوز نفی الولد لمکان العزل</w:t>
      </w:r>
      <w:r>
        <w:rPr>
          <w:rtl w:val="true"/>
        </w:rPr>
        <w:t>]</w:t>
      </w:r>
      <w:bookmarkEnd w:id="76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نفی الولد لمکان العزل، فلو نفاه لم ینتف إلّا باللعان</w:t>
      </w:r>
      <w:r>
        <w:rPr>
          <w:rFonts w:eastAsia="IRNazanin" w:cs="IRNazanin"/>
          <w:color w:val="111111"/>
          <w:sz w:val="28"/>
          <w:szCs w:val="28"/>
          <w:rtl w:val="true"/>
          <w:lang w:bidi="fa-IR"/>
        </w:rPr>
        <w:t>.</w:t>
      </w:r>
    </w:p>
    <w:p>
      <w:pPr>
        <w:pStyle w:val="Heading5"/>
        <w:numPr>
          <w:ilvl w:val="4"/>
          <w:numId w:val="1"/>
        </w:numPr>
        <w:rPr/>
      </w:pPr>
      <w:bookmarkStart w:id="7676" w:name="__RefHeading___Toc2571916_3650668749"/>
      <w:bookmarkStart w:id="7677" w:name="_Toc3467"/>
      <w:bookmarkEnd w:id="7676"/>
      <w:r>
        <w:rPr>
          <w:rtl w:val="true"/>
        </w:rPr>
        <w:t>[ (</w:t>
      </w:r>
      <w:r>
        <w:rPr>
          <w:rtl w:val="true"/>
        </w:rPr>
        <w:t xml:space="preserve">مسألة </w:t>
      </w:r>
      <w:r>
        <w:rPr/>
        <w:t>4</w:t>
      </w:r>
      <w:r>
        <w:rPr>
          <w:rtl w:val="true"/>
        </w:rPr>
        <w:t xml:space="preserve">): </w:t>
      </w:r>
      <w:r>
        <w:rPr>
          <w:rtl w:val="true"/>
        </w:rPr>
        <w:t>الموطوءة بشبهة کما إذا وطئ أجنبیّة بظنّ أنّها زوجته یلحق ولدها بالواطئ</w:t>
      </w:r>
      <w:r>
        <w:rPr>
          <w:rtl w:val="true"/>
        </w:rPr>
        <w:t>]</w:t>
      </w:r>
      <w:bookmarkEnd w:id="7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الموطوءة بشبهة کما إذا وطئ أجنبیّة بظنّ أنّها زوجته یلحق ولدها بالواطئ؛ بشرط </w:t>
      </w:r>
      <w:r>
        <w:rPr>
          <w:rStyle w:val="FootnoteAnchor"/>
          <w:rtl w:val="true"/>
        </w:rPr>
        <w:footnoteReference w:id="1954"/>
      </w:r>
      <w:r>
        <w:rPr>
          <w:rFonts w:ascii="IRNazanin" w:hAnsi="IRNazanin" w:eastAsia="IRNazanin"/>
          <w:color w:val="111111"/>
          <w:sz w:val="28"/>
          <w:sz w:val="28"/>
          <w:szCs w:val="28"/>
          <w:rtl w:val="true"/>
          <w:lang w:bidi="fa-IR"/>
        </w:rPr>
        <w:t>أن تکون ولادته لستّة أشهر من حین الوطء أو أکثر، و أن لا یتجاوز عن أقصی الحمل</w:t>
      </w:r>
      <w:r>
        <w:rPr>
          <w:rFonts w:eastAsia="IRNazanin" w:cs="IRNazanin"/>
          <w:color w:val="111111"/>
          <w:sz w:val="28"/>
          <w:szCs w:val="28"/>
          <w:rtl w:val="true"/>
          <w:lang w:bidi="fa-IR"/>
        </w:rPr>
        <w:t>.</w:t>
      </w:r>
    </w:p>
    <w:p>
      <w:pPr>
        <w:pStyle w:val="Heading5"/>
        <w:numPr>
          <w:ilvl w:val="4"/>
          <w:numId w:val="1"/>
        </w:numPr>
        <w:rPr/>
      </w:pPr>
      <w:bookmarkStart w:id="7678" w:name="__RefHeading___Toc2571918_3650668749"/>
      <w:bookmarkStart w:id="7679" w:name="_Toc3468"/>
      <w:bookmarkEnd w:id="7678"/>
      <w:r>
        <w:rPr>
          <w:rtl w:val="true"/>
        </w:rPr>
        <w:t>[ (</w:t>
      </w:r>
      <w:r>
        <w:rPr>
          <w:rtl w:val="true"/>
        </w:rPr>
        <w:t xml:space="preserve">مسألة </w:t>
      </w:r>
      <w:r>
        <w:rPr/>
        <w:t>5</w:t>
      </w:r>
      <w:r>
        <w:rPr>
          <w:rtl w:val="true"/>
        </w:rPr>
        <w:t xml:space="preserve">): </w:t>
      </w:r>
      <w:r>
        <w:rPr>
          <w:rtl w:val="true"/>
        </w:rPr>
        <w:t>إذا اختلفا فی الدخول الموجب لإلحاق الولد و عدمه، فادّعته المرأة لیلحق الولد به و أنکره</w:t>
      </w:r>
      <w:r>
        <w:rPr>
          <w:rtl w:val="true"/>
        </w:rPr>
        <w:t>]</w:t>
      </w:r>
      <w:bookmarkEnd w:id="7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اختلفا فی الدخول الموجب لإلحاق الولد و عدمه، فادّعته المرأة لیلحق الولد به و أنکره، أو اختلفا فی ولادته فنفاها الزوج و ادّعیٰ إنّها أتت به من خارج، فالقول قوله بیمینه، و أمّا لو اتّفقا فی الدخول و الولادة و اختلفا فی المدّة فادّعیٰ ولادتها لدون ستّة أشهر أو لأزید من أقصی الحمل و ادّعت هی خلافه فالقول قولها بیمینها، و یلحق الولد به و لا ینتفی عنه إلّا باللعان</w:t>
      </w:r>
      <w:r>
        <w:rPr>
          <w:rFonts w:eastAsia="IRNazanin" w:cs="IRNazanin"/>
          <w:color w:val="111111"/>
          <w:sz w:val="28"/>
          <w:szCs w:val="28"/>
          <w:rtl w:val="true"/>
          <w:lang w:bidi="fa-IR"/>
        </w:rPr>
        <w:t>.</w:t>
      </w:r>
    </w:p>
    <w:p>
      <w:pPr>
        <w:pStyle w:val="Heading5"/>
        <w:numPr>
          <w:ilvl w:val="4"/>
          <w:numId w:val="1"/>
        </w:numPr>
        <w:rPr/>
      </w:pPr>
      <w:bookmarkStart w:id="7680" w:name="__RefHeading___Toc2571920_3650668749"/>
      <w:bookmarkStart w:id="7681" w:name="_Toc3469"/>
      <w:bookmarkEnd w:id="7680"/>
      <w:r>
        <w:rPr>
          <w:rtl w:val="true"/>
        </w:rPr>
        <w:t>[ (</w:t>
      </w:r>
      <w:r>
        <w:rPr>
          <w:rtl w:val="true"/>
        </w:rPr>
        <w:t xml:space="preserve">مسألة </w:t>
      </w:r>
      <w:r>
        <w:rPr/>
        <w:t>6</w:t>
      </w:r>
      <w:r>
        <w:rPr>
          <w:rtl w:val="true"/>
        </w:rPr>
        <w:t xml:space="preserve">): </w:t>
      </w:r>
      <w:r>
        <w:rPr>
          <w:rtl w:val="true"/>
        </w:rPr>
        <w:t>لو طلّق زوجته المدخول بها، فاعتدّت و تزوّجت ثمّ أتت بولد، فإن لم یمکن لحوقه بالثانی</w:t>
      </w:r>
      <w:r>
        <w:rPr>
          <w:rtl w:val="true"/>
        </w:rPr>
        <w:t>]</w:t>
      </w:r>
      <w:bookmarkEnd w:id="76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 زوجته المدخول بها، فاعتدّت و تزوّجت ثمّ أتت بولد، فإن لم یمکن لحوقه بالثانی و أمکن لحوقه بالأوّل، کما إذا ولدته لدون ستّة أشهر من وطء الثانی و لتمامها من غیر تجاوز عن أقصی الحمل من وطء الأوّل، فهو للأوّل، و تبیّن بطلان نکاح الثانی لتبیّن وقوعه فی العدّة و حرمت علیه مؤبّداً لوطئه إیّاها، و إن انعکس الأمر؛ بأن أمکن لحوقه بالثانی دون الأوّل لحق بالثانی، بأن ولدته لأزید من أکثر الحمل من وطء الأوّل و لأقلّ الحمل إلی الأقصیٰ من وطء الثانی، و إن لم یمکن لحوقه بأحدهما؛ بأن ولدته لأزید من أقصی الحمل من وطء الأوّل، و لدون ستّة أشهر من وطء الثانی انتفیٰ منهما، و إن أمکن إلحاقه بهما؛ بأن کان ولادته لستّة أشهر من وطء الثانی و لدون أقصی الحمل من وطء الأوّل فهو للثانی</w:t>
      </w:r>
      <w:r>
        <w:rPr>
          <w:rFonts w:eastAsia="IRNazanin" w:cs="IRNazanin"/>
          <w:color w:val="111111"/>
          <w:sz w:val="28"/>
          <w:szCs w:val="28"/>
          <w:rtl w:val="true"/>
          <w:lang w:bidi="fa-IR"/>
        </w:rPr>
        <w:t>.</w:t>
      </w:r>
    </w:p>
    <w:p>
      <w:pPr>
        <w:pStyle w:val="Heading5"/>
        <w:numPr>
          <w:ilvl w:val="4"/>
          <w:numId w:val="1"/>
        </w:numPr>
        <w:rPr/>
      </w:pPr>
      <w:bookmarkStart w:id="7682" w:name="__RefHeading___Toc2571922_3650668749"/>
      <w:bookmarkStart w:id="7683" w:name="_Toc3470"/>
      <w:bookmarkEnd w:id="7682"/>
      <w:r>
        <w:rPr>
          <w:rtl w:val="true"/>
        </w:rPr>
        <w:t>[ (</w:t>
      </w:r>
      <w:r>
        <w:rPr>
          <w:rtl w:val="true"/>
        </w:rPr>
        <w:t xml:space="preserve">مسألة </w:t>
      </w:r>
      <w:r>
        <w:rPr/>
        <w:t>7</w:t>
      </w:r>
      <w:r>
        <w:rPr>
          <w:rtl w:val="true"/>
        </w:rPr>
        <w:t xml:space="preserve">): </w:t>
      </w:r>
      <w:r>
        <w:rPr>
          <w:rtl w:val="true"/>
        </w:rPr>
        <w:t>لو طلّقها ثمّ بعد ذلک وطئت بشبهة ثمّ أتت بولد، فهو کالتزویج بعد العدّة</w:t>
      </w:r>
      <w:r>
        <w:rPr>
          <w:rtl w:val="true"/>
        </w:rPr>
        <w:t>]</w:t>
      </w:r>
      <w:bookmarkEnd w:id="7683"/>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طلّقها ثمّ بعد ذلک وطئت بشبهة ثمّ أتت بولد، فهو کالتزویج بعد العدّة، فیجی‌ء فیه الصور الأربع المتقدّمة حتّی الصورة الأخیرة؛ و هی ما إذا أمکن اللحوق بکلّ منهما، فإنّه یلحق بالأخیر هنا أیضاً</w:t>
      </w:r>
      <w:r>
        <w:rPr>
          <w:rFonts w:eastAsia="IRNazanin" w:cs="IRNazanin"/>
          <w:color w:val="111111"/>
          <w:sz w:val="28"/>
          <w:szCs w:val="28"/>
          <w:rtl w:val="true"/>
          <w:lang w:bidi="fa-IR"/>
        </w:rPr>
        <w:t>.</w:t>
      </w:r>
      <w:bookmarkStart w:id="7684" w:name="pg1809_19973"/>
    </w:p>
    <w:p>
      <w:pPr>
        <w:pStyle w:val="Heading5"/>
        <w:numPr>
          <w:ilvl w:val="4"/>
          <w:numId w:val="1"/>
        </w:numPr>
        <w:rPr/>
      </w:pPr>
      <w:bookmarkStart w:id="7685" w:name="__RefHeading___Toc2571924_3650668749"/>
      <w:bookmarkStart w:id="7686" w:name="_Toc3471"/>
      <w:bookmarkEnd w:id="7684"/>
      <w:bookmarkEnd w:id="7685"/>
      <w:r>
        <w:rPr>
          <w:rtl w:val="true"/>
        </w:rPr>
        <w:t>[ (</w:t>
      </w:r>
      <w:r>
        <w:rPr>
          <w:rtl w:val="true"/>
        </w:rPr>
        <w:t xml:space="preserve">مسألة </w:t>
      </w:r>
      <w:r>
        <w:rPr/>
        <w:t>8</w:t>
      </w:r>
      <w:r>
        <w:rPr>
          <w:rtl w:val="true"/>
        </w:rPr>
        <w:t xml:space="preserve">): </w:t>
      </w:r>
      <w:r>
        <w:rPr>
          <w:rtl w:val="true"/>
        </w:rPr>
        <w:t>إذا کانت تحت زوج و وطئها شخص آخر بشبهة ثمّ أتت بولد</w:t>
      </w:r>
      <w:r>
        <w:rPr>
          <w:rtl w:val="true"/>
        </w:rPr>
        <w:t>]</w:t>
      </w:r>
      <w:bookmarkEnd w:id="76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تحت زوج و وطئها شخص آخر بشبهة ثمّ أتت بولد، فإن أمکن لحوقه بأحدهما دون الآخر یلحق به، و إن لم یمکن اللحوق بهما انتفیٰ عنهما، و إن أمکن لحوقه بکلّ منهما أُقرع بینهما</w:t>
      </w:r>
      <w:r>
        <w:rPr>
          <w:rFonts w:eastAsia="IRNazanin" w:cs="IRNazanin"/>
          <w:color w:val="111111"/>
          <w:sz w:val="28"/>
          <w:szCs w:val="28"/>
          <w:rtl w:val="true"/>
          <w:lang w:bidi="fa-IR"/>
        </w:rPr>
        <w:t>.</w:t>
      </w:r>
    </w:p>
    <w:p>
      <w:pPr>
        <w:pStyle w:val="Heading4"/>
        <w:numPr>
          <w:ilvl w:val="3"/>
          <w:numId w:val="1"/>
        </w:numPr>
        <w:rPr/>
      </w:pPr>
      <w:bookmarkStart w:id="7687" w:name="__RefHeading___Toc2571926_3650668749"/>
      <w:bookmarkStart w:id="7688" w:name="_Toc3472"/>
      <w:bookmarkEnd w:id="7687"/>
      <w:r>
        <w:rPr>
          <w:rtl w:val="true"/>
        </w:rPr>
        <w:t>[</w:t>
      </w:r>
      <w:r>
        <w:rPr>
          <w:rtl w:val="true"/>
        </w:rPr>
        <w:t>القول فی أحکام الولادة و ما یلحق بها</w:t>
      </w:r>
      <w:r>
        <w:rPr>
          <w:rtl w:val="true"/>
        </w:rPr>
        <w:t>]</w:t>
      </w:r>
      <w:bookmarkEnd w:id="7688"/>
    </w:p>
    <w:p>
      <w:pPr>
        <w:pStyle w:val="Heading5"/>
        <w:numPr>
          <w:ilvl w:val="4"/>
          <w:numId w:val="1"/>
        </w:numPr>
        <w:rPr/>
      </w:pPr>
      <w:bookmarkStart w:id="7689" w:name="__RefHeading___Toc2571928_3650668749"/>
      <w:bookmarkStart w:id="7690" w:name="_Toc3473"/>
      <w:bookmarkEnd w:id="7689"/>
      <w:r>
        <w:rPr>
          <w:rtl w:val="true"/>
        </w:rPr>
        <w:t>اشارة</w:t>
      </w:r>
      <w:bookmarkEnd w:id="7690"/>
    </w:p>
    <w:p>
      <w:pPr>
        <w:pStyle w:val="BookText"/>
        <w:rPr/>
      </w:pPr>
      <w:r>
        <w:rPr>
          <w:rFonts w:ascii="IRNazanin" w:hAnsi="IRNazanin" w:eastAsia="IRNazanin"/>
          <w:color w:val="111111"/>
          <w:sz w:val="28"/>
          <w:sz w:val="28"/>
          <w:szCs w:val="28"/>
          <w:rtl w:val="true"/>
          <w:lang w:bidi="fa-IR"/>
        </w:rPr>
        <w:t>القول فی أحکام الولادة و ما یلحق بها للولادة و المولود سنن و آداب بعضها واجبة و بعضها مندوبة نذکر مهمّاتها فی ضمن مسائل</w:t>
      </w:r>
      <w:r>
        <w:rPr>
          <w:rFonts w:eastAsia="IRNazanin" w:cs="IRNazanin"/>
          <w:color w:val="111111"/>
          <w:sz w:val="28"/>
          <w:szCs w:val="28"/>
          <w:rtl w:val="true"/>
          <w:lang w:bidi="fa-IR"/>
        </w:rPr>
        <w:t>:</w:t>
      </w:r>
    </w:p>
    <w:p>
      <w:pPr>
        <w:pStyle w:val="Heading5"/>
        <w:numPr>
          <w:ilvl w:val="4"/>
          <w:numId w:val="1"/>
        </w:numPr>
        <w:rPr/>
      </w:pPr>
      <w:bookmarkStart w:id="7691" w:name="__RefHeading___Toc2571930_3650668749"/>
      <w:bookmarkStart w:id="7692" w:name="_Toc3474"/>
      <w:bookmarkEnd w:id="7691"/>
      <w:r>
        <w:rPr>
          <w:rtl w:val="true"/>
        </w:rPr>
        <w:t>[ (</w:t>
      </w:r>
      <w:r>
        <w:rPr>
          <w:rtl w:val="true"/>
        </w:rPr>
        <w:t xml:space="preserve">مسألة </w:t>
      </w:r>
      <w:r>
        <w:rPr/>
        <w:t>1</w:t>
      </w:r>
      <w:r>
        <w:rPr>
          <w:rtl w:val="true"/>
        </w:rPr>
        <w:t xml:space="preserve">): </w:t>
      </w:r>
      <w:r>
        <w:rPr>
          <w:rtl w:val="true"/>
        </w:rPr>
        <w:t>یجب استبداد النساء فی شؤون المرأة حین ولادتها دون الرجال</w:t>
      </w:r>
      <w:r>
        <w:rPr>
          <w:rtl w:val="true"/>
        </w:rPr>
        <w:t>]</w:t>
      </w:r>
      <w:bookmarkEnd w:id="76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استبداد النساء فی شؤون المرأة حین ولادتها دون الرجال </w:t>
      </w:r>
      <w:r>
        <w:rPr>
          <w:rStyle w:val="FootnoteAnchor"/>
          <w:rtl w:val="true"/>
        </w:rPr>
        <w:footnoteReference w:id="1955"/>
      </w:r>
      <w:r>
        <w:rPr>
          <w:rFonts w:ascii="IRNazanin" w:hAnsi="IRNazanin" w:eastAsia="IRNazanin"/>
          <w:color w:val="111111"/>
          <w:sz w:val="28"/>
          <w:sz w:val="28"/>
          <w:szCs w:val="28"/>
          <w:rtl w:val="true"/>
          <w:lang w:bidi="fa-IR"/>
        </w:rPr>
        <w:t>إلّا مع عدم النساء، نعم لا بأس بالزوج و إن وجدت النساء</w:t>
      </w:r>
      <w:r>
        <w:rPr>
          <w:rFonts w:eastAsia="IRNazanin" w:cs="IRNazanin"/>
          <w:color w:val="111111"/>
          <w:sz w:val="28"/>
          <w:szCs w:val="28"/>
          <w:rtl w:val="true"/>
          <w:lang w:bidi="fa-IR"/>
        </w:rPr>
        <w:t>.</w:t>
      </w:r>
    </w:p>
    <w:p>
      <w:pPr>
        <w:pStyle w:val="Heading5"/>
        <w:numPr>
          <w:ilvl w:val="4"/>
          <w:numId w:val="1"/>
        </w:numPr>
        <w:rPr/>
      </w:pPr>
      <w:bookmarkStart w:id="7693" w:name="__RefHeading___Toc2571932_3650668749"/>
      <w:bookmarkStart w:id="7694" w:name="_Toc3475"/>
      <w:bookmarkEnd w:id="7693"/>
      <w:r>
        <w:rPr>
          <w:rtl w:val="true"/>
        </w:rPr>
        <w:t>[ (</w:t>
      </w:r>
      <w:r>
        <w:rPr>
          <w:rtl w:val="true"/>
        </w:rPr>
        <w:t xml:space="preserve">مسألة </w:t>
      </w:r>
      <w:r>
        <w:rPr/>
        <w:t>2</w:t>
      </w:r>
      <w:r>
        <w:rPr>
          <w:rtl w:val="true"/>
        </w:rPr>
        <w:t xml:space="preserve">): </w:t>
      </w:r>
      <w:r>
        <w:rPr>
          <w:rtl w:val="true"/>
        </w:rPr>
        <w:t>یستحبّ غسل المولود عند وضعه مع الأمن من الضرر، و الأذان</w:t>
      </w:r>
      <w:r>
        <w:rPr>
          <w:rtl w:val="true"/>
        </w:rPr>
        <w:t>]</w:t>
      </w:r>
      <w:bookmarkEnd w:id="76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غسل المولود عند وضعه مع الأمن من الضرر، و الأذان فی اذنه الیمنیٰ و الإقامة فی الیسریٰ فإنّه عصمة من الشیطان الرجیم، و تحنیکه بماء الفرات و تربة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تسمیته بالأسماء المستحسنة فإنّ ذلک من حقّ الولد علی الوالد، و أفضلها ما یتضمّن العبودیّة للّٰه جلّ شأنه کعبد اللّٰه و عبد الرحیم و عبد الرحمان و نحو ذلک، و یلیها أسماء الأنبیاء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أفضلها 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یکره ترک التسمیة به إذا ولد له أربعة أولاد، فعن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 له أربعة أولاد و لم یسمّ أحدهم باسمی فقد جفانی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أن یکنّیه أبا القاسم إذا کان اسمه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أن یحلق رأس الولد یوم السابع، و أن یتصدّق بوزن شعره ذهباً أو فضّة، و یکره أن یحلق من رأسه موضع و یترک موضع</w:t>
      </w:r>
      <w:r>
        <w:rPr>
          <w:rFonts w:eastAsia="IRNazanin" w:cs="IRNazanin"/>
          <w:color w:val="111111"/>
          <w:sz w:val="28"/>
          <w:szCs w:val="28"/>
          <w:rtl w:val="true"/>
          <w:lang w:bidi="fa-IR"/>
        </w:rPr>
        <w:t>.</w:t>
      </w:r>
    </w:p>
    <w:p>
      <w:pPr>
        <w:pStyle w:val="Heading5"/>
        <w:numPr>
          <w:ilvl w:val="4"/>
          <w:numId w:val="1"/>
        </w:numPr>
        <w:rPr/>
      </w:pPr>
      <w:bookmarkStart w:id="7695" w:name="__RefHeading___Toc2571934_3650668749"/>
      <w:bookmarkStart w:id="7696" w:name="_Toc3476"/>
      <w:bookmarkEnd w:id="7695"/>
      <w:r>
        <w:rPr>
          <w:rtl w:val="true"/>
        </w:rPr>
        <w:t>[ (</w:t>
      </w:r>
      <w:r>
        <w:rPr>
          <w:rtl w:val="true"/>
        </w:rPr>
        <w:t xml:space="preserve">مسألة </w:t>
      </w:r>
      <w:r>
        <w:rPr/>
        <w:t>3</w:t>
      </w:r>
      <w:r>
        <w:rPr>
          <w:rtl w:val="true"/>
        </w:rPr>
        <w:t xml:space="preserve">): </w:t>
      </w:r>
      <w:r>
        <w:rPr>
          <w:rtl w:val="true"/>
        </w:rPr>
        <w:t>و تستحبّ الولیمة عند الولادة</w:t>
      </w:r>
      <w:r>
        <w:rPr>
          <w:rtl w:val="true"/>
        </w:rPr>
        <w:t>]</w:t>
      </w:r>
      <w:bookmarkEnd w:id="7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تستحبّ الولیمة عند الولادة، و هی إحدی الخمس التی سنّ فیها الولیمة، کما أنّ إحداها عند الختان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فی السنّة الأُولیٰ إیقاعها فی یوم الولادة، فلا بأس بتأخیرها عنه بأیّام قلائل، و الظاهر أنّه إن ختن فی الیوم السابع أو قبله فأولم فی یوم الختان بقصدهما تتأدّی السنّتان</w:t>
      </w:r>
      <w:r>
        <w:rPr>
          <w:rFonts w:eastAsia="IRNazanin" w:cs="IRNazanin"/>
          <w:color w:val="111111"/>
          <w:sz w:val="28"/>
          <w:szCs w:val="28"/>
          <w:rtl w:val="true"/>
          <w:lang w:bidi="fa-IR"/>
        </w:rPr>
        <w:t>.</w:t>
      </w:r>
    </w:p>
    <w:p>
      <w:pPr>
        <w:pStyle w:val="Heading5"/>
        <w:numPr>
          <w:ilvl w:val="4"/>
          <w:numId w:val="1"/>
        </w:numPr>
        <w:rPr/>
      </w:pPr>
      <w:bookmarkStart w:id="7697" w:name="__RefHeading___Toc2571936_3650668749"/>
      <w:bookmarkStart w:id="7698" w:name="_Toc3477"/>
      <w:bookmarkEnd w:id="7697"/>
      <w:r>
        <w:rPr>
          <w:rtl w:val="true"/>
        </w:rPr>
        <w:t>[ (</w:t>
      </w:r>
      <w:r>
        <w:rPr>
          <w:rtl w:val="true"/>
        </w:rPr>
        <w:t xml:space="preserve">مسألة </w:t>
      </w:r>
      <w:r>
        <w:rPr/>
        <w:t>4</w:t>
      </w:r>
      <w:r>
        <w:rPr>
          <w:rtl w:val="true"/>
        </w:rPr>
        <w:t xml:space="preserve">): </w:t>
      </w:r>
      <w:r>
        <w:rPr>
          <w:rtl w:val="true"/>
        </w:rPr>
        <w:t>یجب ختان الذکور</w:t>
      </w:r>
      <w:r>
        <w:rPr>
          <w:rtl w:val="true"/>
        </w:rPr>
        <w:t>]</w:t>
      </w:r>
      <w:bookmarkEnd w:id="7698"/>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ختان الذکور، بل ربّما یعدّ من الضروریّات، و یستحبّ إیقاعه فی</w:t>
      </w:r>
      <w:bookmarkStart w:id="7699" w:name="pg1809_19974"/>
    </w:p>
    <w:p>
      <w:pPr>
        <w:pStyle w:val="BookText"/>
        <w:rPr/>
      </w:pPr>
      <w:bookmarkEnd w:id="7699"/>
      <w:r>
        <w:rPr>
          <w:rFonts w:ascii="IRNazanin" w:hAnsi="IRNazanin" w:eastAsia="IRNazanin"/>
          <w:color w:val="111111"/>
          <w:sz w:val="28"/>
          <w:sz w:val="28"/>
          <w:szCs w:val="28"/>
          <w:rtl w:val="true"/>
          <w:lang w:bidi="fa-IR"/>
        </w:rPr>
        <w:t>الیوم السابع، و یجوز التأخیر عنه، و إن تأخّر إلیٰ ما بعد البلوغ یجب علیه أن یختن نفسه، حتّی أنّ الکافر إذا أسلم غیر مختون یجب علیه الختان و إن طعن فی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یجب علی الولیّ أن یختن الصبیّ، فلا یجوز له تأخیره إلیٰ ما بعد بلوغه إلّا لعذر، فإن أخّره إلیه بدون عذر عصی الولیّ و إن وجب حینئذٍ علی الصبیّ أم لا؟ قولان، المشهور </w:t>
      </w:r>
      <w:r>
        <w:rPr>
          <w:rStyle w:val="FootnoteAnchor"/>
          <w:rtl w:val="true"/>
        </w:rPr>
        <w:footnoteReference w:id="1956"/>
      </w:r>
      <w:r>
        <w:rPr>
          <w:rFonts w:ascii="IRNazanin" w:hAnsi="IRNazanin" w:eastAsia="IRNazanin"/>
          <w:color w:val="111111"/>
          <w:sz w:val="28"/>
          <w:sz w:val="28"/>
          <w:szCs w:val="28"/>
          <w:rtl w:val="true"/>
          <w:lang w:bidi="fa-IR"/>
        </w:rPr>
        <w:t>علی الثانی و قیل بالأوّل و هو الأحوط</w:t>
      </w:r>
      <w:r>
        <w:rPr>
          <w:rFonts w:eastAsia="IRNazanin" w:cs="IRNazanin"/>
          <w:color w:val="111111"/>
          <w:sz w:val="28"/>
          <w:szCs w:val="28"/>
          <w:rtl w:val="true"/>
          <w:lang w:bidi="fa-IR"/>
        </w:rPr>
        <w:t>.</w:t>
      </w:r>
    </w:p>
    <w:p>
      <w:pPr>
        <w:pStyle w:val="Heading5"/>
        <w:numPr>
          <w:ilvl w:val="4"/>
          <w:numId w:val="1"/>
        </w:numPr>
        <w:rPr/>
      </w:pPr>
      <w:bookmarkStart w:id="7700" w:name="__RefHeading___Toc2571938_3650668749"/>
      <w:bookmarkStart w:id="7701" w:name="_Toc3478"/>
      <w:bookmarkEnd w:id="7700"/>
      <w:r>
        <w:rPr>
          <w:rtl w:val="true"/>
        </w:rPr>
        <w:t>[ (</w:t>
      </w:r>
      <w:r>
        <w:rPr>
          <w:rtl w:val="true"/>
        </w:rPr>
        <w:t xml:space="preserve">مسألة </w:t>
      </w:r>
      <w:r>
        <w:rPr/>
        <w:t>5</w:t>
      </w:r>
      <w:r>
        <w:rPr>
          <w:rtl w:val="true"/>
        </w:rPr>
        <w:t xml:space="preserve">): </w:t>
      </w:r>
      <w:r>
        <w:rPr>
          <w:rtl w:val="true"/>
        </w:rPr>
        <w:t>الختان واجب لنفسه و شرط لصحّة طوافه فی حجّ أو عمرة</w:t>
      </w:r>
      <w:r>
        <w:rPr>
          <w:rtl w:val="true"/>
        </w:rPr>
        <w:t>]</w:t>
      </w:r>
      <w:bookmarkEnd w:id="77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واجب لنفسه و شرط لصحّة طوافه فی حجّ أو عمرة؛ واجبین أو مندوبین، و لیس شرطاً فی صحّة الصلاة علی الأقویٰ، فضلًا عن سائر العبادات</w:t>
      </w:r>
      <w:r>
        <w:rPr>
          <w:rFonts w:eastAsia="IRNazanin" w:cs="IRNazanin"/>
          <w:color w:val="111111"/>
          <w:sz w:val="28"/>
          <w:szCs w:val="28"/>
          <w:rtl w:val="true"/>
          <w:lang w:bidi="fa-IR"/>
        </w:rPr>
        <w:t>.</w:t>
      </w:r>
    </w:p>
    <w:p>
      <w:pPr>
        <w:pStyle w:val="Heading5"/>
        <w:numPr>
          <w:ilvl w:val="4"/>
          <w:numId w:val="1"/>
        </w:numPr>
        <w:rPr/>
      </w:pPr>
      <w:bookmarkStart w:id="7702" w:name="__RefHeading___Toc2571940_3650668749"/>
      <w:bookmarkStart w:id="7703" w:name="_Toc3479"/>
      <w:bookmarkEnd w:id="7702"/>
      <w:r>
        <w:rPr>
          <w:rtl w:val="true"/>
        </w:rPr>
        <w:t>[ (</w:t>
      </w:r>
      <w:r>
        <w:rPr>
          <w:rtl w:val="true"/>
        </w:rPr>
        <w:t xml:space="preserve">مسألة </w:t>
      </w:r>
      <w:r>
        <w:rPr/>
        <w:t>6</w:t>
      </w:r>
      <w:r>
        <w:rPr>
          <w:rtl w:val="true"/>
        </w:rPr>
        <w:t xml:space="preserve">): </w:t>
      </w:r>
      <w:r>
        <w:rPr>
          <w:rtl w:val="true"/>
        </w:rPr>
        <w:t>الظاهر أنّ الحدّ الواجب فی الختان أن تقطع الجلدة الساترة للحشفة المسمّاة بالغلفة</w:t>
      </w:r>
      <w:r>
        <w:rPr>
          <w:rtl w:val="true"/>
        </w:rPr>
        <w:t>]</w:t>
      </w:r>
      <w:bookmarkEnd w:id="77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الحدّ الواجب فی الختان أن تقطع الجلدة الساترة للحشفة المسمّاة بالغلفة؛ بحیث تظهر ثقبة الحشفة و مقدار من بشرتها و إن لم تستأصل تلک الجلدة و لم یظهر </w:t>
      </w:r>
      <w:r>
        <w:rPr>
          <w:rStyle w:val="FootnoteAnchor"/>
          <w:rtl w:val="true"/>
        </w:rPr>
        <w:footnoteReference w:id="1957"/>
      </w:r>
      <w:r>
        <w:rPr>
          <w:rFonts w:ascii="IRNazanin" w:hAnsi="IRNazanin" w:eastAsia="IRNazanin"/>
          <w:color w:val="111111"/>
          <w:sz w:val="28"/>
          <w:sz w:val="28"/>
          <w:szCs w:val="28"/>
          <w:rtl w:val="true"/>
          <w:lang w:bidi="fa-IR"/>
        </w:rPr>
        <w:t>تمام الحشفة، و بعبارة اخریٰ قطعها بحیث لم یصدق علیه الأغلف الذی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تضجّ من بوله أربعین صباحاً</w:t>
      </w:r>
      <w:r>
        <w:rPr>
          <w:rFonts w:eastAsia="IRNazanin" w:cs="IRNazanin"/>
          <w:color w:val="111111"/>
          <w:sz w:val="28"/>
          <w:szCs w:val="28"/>
          <w:rtl w:val="true"/>
          <w:lang w:bidi="fa-IR"/>
        </w:rPr>
        <w:t>.</w:t>
      </w:r>
    </w:p>
    <w:p>
      <w:pPr>
        <w:pStyle w:val="Heading5"/>
        <w:numPr>
          <w:ilvl w:val="4"/>
          <w:numId w:val="1"/>
        </w:numPr>
        <w:rPr/>
      </w:pPr>
      <w:bookmarkStart w:id="7704" w:name="__RefHeading___Toc2571942_3650668749"/>
      <w:bookmarkStart w:id="7705" w:name="_Toc3480"/>
      <w:bookmarkEnd w:id="7704"/>
      <w:r>
        <w:rPr>
          <w:rtl w:val="true"/>
        </w:rPr>
        <w:t>[ (</w:t>
      </w:r>
      <w:r>
        <w:rPr>
          <w:rtl w:val="true"/>
        </w:rPr>
        <w:t xml:space="preserve">مسألة </w:t>
      </w:r>
      <w:r>
        <w:rPr/>
        <w:t>7</w:t>
      </w:r>
      <w:r>
        <w:rPr>
          <w:rtl w:val="true"/>
        </w:rPr>
        <w:t xml:space="preserve">): </w:t>
      </w:r>
      <w:r>
        <w:rPr>
          <w:rtl w:val="true"/>
        </w:rPr>
        <w:t>لا بأس بکون الختّان کافراً حربیّا أو ذمّیا</w:t>
      </w:r>
      <w:r>
        <w:rPr>
          <w:rtl w:val="true"/>
        </w:rPr>
        <w:t>]</w:t>
      </w:r>
      <w:bookmarkEnd w:id="77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بکون الختّان کافراً حربیّا أو ذمّیا، فلا یعتبر فیه الإسلام</w:t>
      </w:r>
      <w:r>
        <w:rPr>
          <w:rFonts w:eastAsia="IRNazanin" w:cs="IRNazanin"/>
          <w:color w:val="111111"/>
          <w:sz w:val="28"/>
          <w:szCs w:val="28"/>
          <w:rtl w:val="true"/>
          <w:lang w:bidi="fa-IR"/>
        </w:rPr>
        <w:t>.</w:t>
      </w:r>
    </w:p>
    <w:p>
      <w:pPr>
        <w:pStyle w:val="Heading5"/>
        <w:numPr>
          <w:ilvl w:val="4"/>
          <w:numId w:val="1"/>
        </w:numPr>
        <w:rPr/>
      </w:pPr>
      <w:bookmarkStart w:id="7706" w:name="__RefHeading___Toc2571944_3650668749"/>
      <w:bookmarkStart w:id="7707" w:name="_Toc3481"/>
      <w:bookmarkEnd w:id="7706"/>
      <w:r>
        <w:rPr>
          <w:rtl w:val="true"/>
        </w:rPr>
        <w:t>[ (</w:t>
      </w:r>
      <w:r>
        <w:rPr>
          <w:rtl w:val="true"/>
        </w:rPr>
        <w:t xml:space="preserve">مسألة </w:t>
      </w:r>
      <w:r>
        <w:rPr/>
        <w:t>8</w:t>
      </w:r>
      <w:r>
        <w:rPr>
          <w:rtl w:val="true"/>
        </w:rPr>
        <w:t xml:space="preserve">): </w:t>
      </w:r>
      <w:r>
        <w:rPr>
          <w:rtl w:val="true"/>
        </w:rPr>
        <w:t>لو ولد الصبیّ مختوناً سقط الختان</w:t>
      </w:r>
      <w:r>
        <w:rPr>
          <w:rtl w:val="true"/>
        </w:rPr>
        <w:t>]</w:t>
      </w:r>
      <w:bookmarkEnd w:id="77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ولد الصبیّ مختوناً سقط الختان و إن استحبّ إمرار الموسی علی المحلّ لإصابة السنّة</w:t>
      </w:r>
      <w:r>
        <w:rPr>
          <w:rFonts w:eastAsia="IRNazanin" w:cs="IRNazanin"/>
          <w:color w:val="111111"/>
          <w:sz w:val="28"/>
          <w:szCs w:val="28"/>
          <w:rtl w:val="true"/>
          <w:lang w:bidi="fa-IR"/>
        </w:rPr>
        <w:t>.</w:t>
      </w:r>
    </w:p>
    <w:p>
      <w:pPr>
        <w:pStyle w:val="Heading5"/>
        <w:numPr>
          <w:ilvl w:val="4"/>
          <w:numId w:val="1"/>
        </w:numPr>
        <w:rPr/>
      </w:pPr>
      <w:bookmarkStart w:id="7708" w:name="__RefHeading___Toc2571946_3650668749"/>
      <w:bookmarkStart w:id="7709" w:name="_Toc3482"/>
      <w:bookmarkEnd w:id="7708"/>
      <w:r>
        <w:rPr>
          <w:rtl w:val="true"/>
        </w:rPr>
        <w:t>[ (</w:t>
      </w:r>
      <w:r>
        <w:rPr>
          <w:rtl w:val="true"/>
        </w:rPr>
        <w:t xml:space="preserve">مسألة </w:t>
      </w:r>
      <w:r>
        <w:rPr/>
        <w:t>9</w:t>
      </w:r>
      <w:r>
        <w:rPr>
          <w:rtl w:val="true"/>
        </w:rPr>
        <w:t xml:space="preserve">): </w:t>
      </w:r>
      <w:r>
        <w:rPr>
          <w:rtl w:val="true"/>
        </w:rPr>
        <w:t>و من المستحبّات الأکیدة العقیقة للذکر و الأُنثی</w:t>
      </w:r>
      <w:r>
        <w:rPr>
          <w:rtl w:val="true"/>
        </w:rPr>
        <w:t>]</w:t>
      </w:r>
      <w:bookmarkEnd w:id="7709"/>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المستحبّات الأکیدة العقیقة للذکر و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أن یعقّ عن الذکر ذکراً و عن الأُنثیٰ أُنثی، و أن یکون یوم السابع، و إن تأخّر عنه لعذر أو لغیر عذر لم یسقط، بل لو لم یعقّ عن الصبیّ حتّی بلغ و کبر عقّ عن نفسه، بل لو لم یعقّ عن نفسه فی حیاته یستحبّ أن یعقّ عنه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تکون من أحد الأنعام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 ضأناً کان أو معزاً و البقر و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یجزی عنها التصدّق بثمنها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أن تجتمع فیها شروط الأُضحیّة </w:t>
      </w:r>
      <w:r>
        <w:rPr>
          <w:rStyle w:val="FootnoteAnchor"/>
          <w:rtl w:val="true"/>
        </w:rPr>
        <w:footnoteReference w:id="1958"/>
      </w:r>
      <w:r>
        <w:rPr>
          <w:rFonts w:ascii="IRNazanin" w:hAnsi="IRNazanin" w:eastAsia="IRNazanin"/>
          <w:color w:val="111111"/>
          <w:sz w:val="28"/>
          <w:sz w:val="28"/>
          <w:szCs w:val="28"/>
          <w:rtl w:val="true"/>
          <w:lang w:bidi="fa-IR"/>
        </w:rPr>
        <w:t>من کونها سلیمة من العیوب، و لا یکون سنّها أقلّ من خمس سنین کاملة فی</w:t>
      </w:r>
      <w:bookmarkStart w:id="7710" w:name="pg1809_19975"/>
    </w:p>
    <w:p>
      <w:pPr>
        <w:pStyle w:val="BookText"/>
        <w:rPr/>
      </w:pPr>
      <w:bookmarkEnd w:id="7710"/>
      <w:r>
        <w:rPr>
          <w:rFonts w:ascii="IRNazanin" w:hAnsi="IRNazanin" w:eastAsia="IRNazanin"/>
          <w:color w:val="111111"/>
          <w:sz w:val="28"/>
          <w:sz w:val="28"/>
          <w:szCs w:val="28"/>
          <w:rtl w:val="true"/>
          <w:lang w:bidi="fa-IR"/>
        </w:rPr>
        <w:t>الإبل، و أقلّ من سنتین فی البقر، و أقلّ من سنة کاملة فی المعز، و أقلّ من سبعة شهور فی الضأن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أن تخصّ القابلة منها بالرجل </w:t>
      </w:r>
      <w:r>
        <w:rPr>
          <w:rStyle w:val="FootnoteAnchor"/>
          <w:rtl w:val="true"/>
        </w:rPr>
        <w:footnoteReference w:id="1959"/>
      </w:r>
      <w:r>
        <w:rPr>
          <w:rFonts w:ascii="Amiri" w:hAnsi="Amiri" w:eastAsia="Amiri" w:cs="Amiri"/>
          <w:color w:val="111111"/>
          <w:sz w:val="28"/>
          <w:sz w:val="28"/>
          <w:szCs w:val="28"/>
          <w:rtl w:val="true"/>
          <w:lang w:bidi="ar-SA"/>
        </w:rPr>
        <w:t>و الورک، و لو لم تکن قابلة أُعطی الأُمّ تتصدّق به</w:t>
      </w:r>
      <w:r>
        <w:rPr>
          <w:rFonts w:eastAsia="Amiri" w:cs="Amiri" w:ascii="Amiri" w:hAnsi="Amiri"/>
          <w:color w:val="111111"/>
          <w:sz w:val="28"/>
          <w:szCs w:val="28"/>
          <w:rtl w:val="true"/>
          <w:lang w:bidi="ar-SA"/>
        </w:rPr>
        <w:t>.</w:t>
      </w:r>
    </w:p>
    <w:p>
      <w:pPr>
        <w:pStyle w:val="Heading5"/>
        <w:numPr>
          <w:ilvl w:val="4"/>
          <w:numId w:val="1"/>
        </w:numPr>
        <w:rPr/>
      </w:pPr>
      <w:bookmarkStart w:id="7711" w:name="__RefHeading___Toc2571948_3650668749"/>
      <w:bookmarkStart w:id="7712" w:name="_Toc3483"/>
      <w:bookmarkEnd w:id="7711"/>
      <w:r>
        <w:rPr>
          <w:rtl w:val="true"/>
        </w:rPr>
        <w:t>[ (</w:t>
      </w:r>
      <w:r>
        <w:rPr>
          <w:rtl w:val="true"/>
        </w:rPr>
        <w:t xml:space="preserve">مسألة </w:t>
      </w:r>
      <w:r>
        <w:rPr/>
        <w:t>10</w:t>
      </w:r>
      <w:r>
        <w:rPr>
          <w:rtl w:val="true"/>
        </w:rPr>
        <w:t xml:space="preserve">): </w:t>
      </w:r>
      <w:r>
        <w:rPr>
          <w:rtl w:val="true"/>
        </w:rPr>
        <w:t>یتخیّر فی العقیقة بین أن یفرّقها لحماً أو مطبوخاً أو تطبخ و یدعیٰ علیها جماعة</w:t>
      </w:r>
      <w:r>
        <w:rPr>
          <w:rtl w:val="true"/>
        </w:rPr>
        <w:t>]</w:t>
      </w:r>
      <w:bookmarkEnd w:id="77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فی العقیقة بین أن یفرّقها لحماً أو مطبوخاً أو تطبخ و یدعیٰ علیها جماعة من المؤمنین، و لا أقلّ من عشرة، و إن زاد فهو أفضل؛ یأکلون منها و یدعون للولد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أفضل أحوال طبخها أن یکون بماء </w:t>
      </w:r>
      <w:r>
        <w:rPr>
          <w:rStyle w:val="FootnoteAnchor"/>
          <w:rtl w:val="true"/>
        </w:rPr>
        <w:footnoteReference w:id="1960"/>
      </w:r>
      <w:r>
        <w:rPr>
          <w:rFonts w:ascii="IRNazanin" w:hAnsi="IRNazanin" w:eastAsia="IRNazanin"/>
          <w:color w:val="111111"/>
          <w:sz w:val="28"/>
          <w:sz w:val="28"/>
          <w:szCs w:val="28"/>
          <w:rtl w:val="true"/>
          <w:lang w:bidi="fa-IR"/>
        </w:rPr>
        <w:t>و ملح، و لا بأس بإضافة شی‌ء إلیها من الحبوب کالحمّص و غیره</w:t>
      </w:r>
      <w:r>
        <w:rPr>
          <w:rFonts w:eastAsia="IRNazanin" w:cs="IRNazanin"/>
          <w:color w:val="111111"/>
          <w:sz w:val="28"/>
          <w:szCs w:val="28"/>
          <w:rtl w:val="true"/>
          <w:lang w:bidi="fa-IR"/>
        </w:rPr>
        <w:t>.</w:t>
      </w:r>
    </w:p>
    <w:p>
      <w:pPr>
        <w:pStyle w:val="Heading5"/>
        <w:numPr>
          <w:ilvl w:val="4"/>
          <w:numId w:val="1"/>
        </w:numPr>
        <w:rPr/>
      </w:pPr>
      <w:bookmarkStart w:id="7713" w:name="__RefHeading___Toc2571950_3650668749"/>
      <w:bookmarkStart w:id="7714" w:name="_Toc3484"/>
      <w:bookmarkEnd w:id="7713"/>
      <w:r>
        <w:rPr>
          <w:rtl w:val="true"/>
        </w:rPr>
        <w:t>[ (</w:t>
      </w:r>
      <w:r>
        <w:rPr>
          <w:rtl w:val="true"/>
        </w:rPr>
        <w:t xml:space="preserve">مسألة </w:t>
      </w:r>
      <w:r>
        <w:rPr/>
        <w:t>11</w:t>
      </w:r>
      <w:r>
        <w:rPr>
          <w:rtl w:val="true"/>
        </w:rPr>
        <w:t xml:space="preserve">): </w:t>
      </w:r>
      <w:r>
        <w:rPr>
          <w:rtl w:val="true"/>
        </w:rPr>
        <w:t>لا یجب علی الأُمّ إرضاع ولدها لا مجّاناً و لا بالأُجرة مع عدم الانحصار</w:t>
      </w:r>
      <w:r>
        <w:rPr>
          <w:rtl w:val="true"/>
        </w:rPr>
        <w:t>]</w:t>
      </w:r>
      <w:bookmarkEnd w:id="77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 الأُمّ إرضاع ولدها لا مجّاناً و لا بالأُجرة مع عدم الانحصار </w:t>
      </w:r>
      <w:r>
        <w:rPr>
          <w:rStyle w:val="FootnoteAnchor"/>
          <w:rtl w:val="true"/>
        </w:rPr>
        <w:footnoteReference w:id="1961"/>
      </w:r>
      <w:r>
        <w:rPr>
          <w:rFonts w:ascii="IRNazanin" w:hAnsi="IRNazanin" w:eastAsia="IRNazanin"/>
          <w:color w:val="111111"/>
          <w:sz w:val="28"/>
          <w:sz w:val="28"/>
          <w:szCs w:val="28"/>
          <w:rtl w:val="true"/>
          <w:lang w:bidi="fa-IR"/>
        </w:rPr>
        <w:t>بها، کما أنّه لا یجب علیها إرضاعه مجّاناً و إن انحصر بها، بل لها المطالبة بأُجرة رضاعها من مال الولد إذا کان له مال، و من أبیه إذا لم یکن له مال و کان الأب موسراً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لم یکن للولد مال و لم یکن الأب </w:t>
      </w:r>
      <w:r>
        <w:rPr>
          <w:rStyle w:val="FootnoteAnchor"/>
          <w:rtl w:val="true"/>
        </w:rPr>
        <w:footnoteReference w:id="1962"/>
      </w:r>
      <w:r>
        <w:rPr>
          <w:rFonts w:ascii="Amiri" w:hAnsi="Amiri" w:eastAsia="Amiri" w:cs="Amiri"/>
          <w:color w:val="111111"/>
          <w:sz w:val="28"/>
          <w:sz w:val="28"/>
          <w:szCs w:val="28"/>
          <w:rtl w:val="true"/>
          <w:lang w:bidi="ar-SA"/>
        </w:rPr>
        <w:t xml:space="preserve">موسراً تعیّن علی الأُمّ إرضاعه مجّاناً؛ إمّا بنفسها أو باستئجار </w:t>
      </w:r>
      <w:r>
        <w:rPr>
          <w:rStyle w:val="FootnoteAnchor"/>
          <w:rtl w:val="true"/>
        </w:rPr>
        <w:footnoteReference w:id="1963"/>
      </w:r>
      <w:r>
        <w:rPr>
          <w:rFonts w:ascii="IRNazanin" w:hAnsi="IRNazanin" w:eastAsia="IRNazanin"/>
          <w:color w:val="111111"/>
          <w:sz w:val="28"/>
          <w:sz w:val="28"/>
          <w:szCs w:val="28"/>
          <w:rtl w:val="true"/>
          <w:lang w:bidi="fa-IR"/>
        </w:rPr>
        <w:t>مرضعة أُخری، و تکون أُجرتها علیها من حیث وجوب إنفاقه علیها</w:t>
      </w:r>
      <w:r>
        <w:rPr>
          <w:rFonts w:eastAsia="IRNazanin" w:cs="IRNazanin"/>
          <w:color w:val="111111"/>
          <w:sz w:val="28"/>
          <w:szCs w:val="28"/>
          <w:rtl w:val="true"/>
          <w:lang w:bidi="fa-IR"/>
        </w:rPr>
        <w:t>.</w:t>
      </w:r>
    </w:p>
    <w:p>
      <w:pPr>
        <w:pStyle w:val="Heading5"/>
        <w:numPr>
          <w:ilvl w:val="4"/>
          <w:numId w:val="1"/>
        </w:numPr>
        <w:rPr/>
      </w:pPr>
      <w:bookmarkStart w:id="7715" w:name="__RefHeading___Toc2571952_3650668749"/>
      <w:bookmarkStart w:id="7716" w:name="_Toc3485"/>
      <w:bookmarkEnd w:id="7715"/>
      <w:r>
        <w:rPr>
          <w:rtl w:val="true"/>
        </w:rPr>
        <w:t>[ (</w:t>
      </w:r>
      <w:r>
        <w:rPr>
          <w:rtl w:val="true"/>
        </w:rPr>
        <w:t xml:space="preserve">مسألة </w:t>
      </w:r>
      <w:r>
        <w:rPr/>
        <w:t>12</w:t>
      </w:r>
      <w:r>
        <w:rPr>
          <w:rtl w:val="true"/>
        </w:rPr>
        <w:t xml:space="preserve">): </w:t>
      </w:r>
      <w:r>
        <w:rPr>
          <w:rtl w:val="true"/>
        </w:rPr>
        <w:t>الأُمّ أحقّ بإرضاع ولدها من غیرها إذا کانت متبرّعة</w:t>
      </w:r>
      <w:r>
        <w:rPr>
          <w:rtl w:val="true"/>
        </w:rPr>
        <w:t>]</w:t>
      </w:r>
      <w:bookmarkEnd w:id="7716"/>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 أحقّ بإرضاع ولدها من غیرها إذا کانت متبرّعة أو تطلب ما تطلب غیرها أو أنقص، و أمّا لو طلبت زیادة أو تطلب الأُجرة و وجدت متبرّعة کان للأب نزعه منها و تسلیمه إلیٰ غیرها، و هل یسقط حینئذٍ حقّ الحضانة الثابت للُامّ أیضاً؟ أقواهما </w:t>
      </w:r>
      <w:r>
        <w:rPr>
          <w:rStyle w:val="FootnoteAnchor"/>
          <w:rtl w:val="true"/>
        </w:rPr>
        <w:footnoteReference w:id="1964"/>
      </w:r>
      <w:r>
        <w:rPr>
          <w:rFonts w:ascii="IRNazanin" w:hAnsi="IRNazanin" w:eastAsia="IRNazanin"/>
          <w:color w:val="111111"/>
          <w:sz w:val="28"/>
          <w:sz w:val="28"/>
          <w:szCs w:val="28"/>
          <w:rtl w:val="true"/>
          <w:lang w:bidi="fa-IR"/>
        </w:rPr>
        <w:t>العدم؛ لعدم التنافی بین سقوط حقّ الإرضاع و ثبوت الحقّ الآخر؛ لإمکان کون الولد فی حضانة الأُمّ مع کون رضاعه من امرأة اخریٰ، إمّا بحمل الامّ الولد إلی المرضعة عند</w:t>
      </w:r>
      <w:bookmarkStart w:id="7717" w:name="pg1809_19976"/>
    </w:p>
    <w:p>
      <w:pPr>
        <w:pStyle w:val="BookText"/>
        <w:rPr/>
      </w:pPr>
      <w:bookmarkEnd w:id="7717"/>
      <w:r>
        <w:rPr>
          <w:rFonts w:ascii="IRNazanin" w:hAnsi="IRNazanin" w:eastAsia="IRNazanin"/>
          <w:color w:val="111111"/>
          <w:sz w:val="28"/>
          <w:sz w:val="28"/>
          <w:szCs w:val="28"/>
          <w:rtl w:val="true"/>
          <w:lang w:bidi="fa-IR"/>
        </w:rPr>
        <w:t>الاحتیاج إلی اللبن أو بإحضار المرضعة مثلًا</w:t>
      </w:r>
      <w:r>
        <w:rPr>
          <w:rFonts w:eastAsia="IRNazanin" w:cs="IRNazanin"/>
          <w:color w:val="111111"/>
          <w:sz w:val="28"/>
          <w:szCs w:val="28"/>
          <w:rtl w:val="true"/>
          <w:lang w:bidi="fa-IR"/>
        </w:rPr>
        <w:t>.</w:t>
      </w:r>
    </w:p>
    <w:p>
      <w:pPr>
        <w:pStyle w:val="Heading5"/>
        <w:numPr>
          <w:ilvl w:val="4"/>
          <w:numId w:val="1"/>
        </w:numPr>
        <w:rPr/>
      </w:pPr>
      <w:bookmarkStart w:id="7718" w:name="__RefHeading___Toc2571954_3650668749"/>
      <w:bookmarkStart w:id="7719" w:name="_Toc3486"/>
      <w:bookmarkEnd w:id="7718"/>
      <w:r>
        <w:rPr>
          <w:rtl w:val="true"/>
        </w:rPr>
        <w:t>[ (</w:t>
      </w:r>
      <w:r>
        <w:rPr>
          <w:rtl w:val="true"/>
        </w:rPr>
        <w:t xml:space="preserve">مسألة </w:t>
      </w:r>
      <w:r>
        <w:rPr/>
        <w:t>13</w:t>
      </w:r>
      <w:r>
        <w:rPr>
          <w:rtl w:val="true"/>
        </w:rPr>
        <w:t xml:space="preserve">): </w:t>
      </w:r>
      <w:r>
        <w:rPr>
          <w:rtl w:val="true"/>
        </w:rPr>
        <w:t>لو ادّعی الأب وجود متبرّعة، و أنکرت الأُمّ و لم یکن له بیّنة علیٰ وجودها</w:t>
      </w:r>
      <w:r>
        <w:rPr>
          <w:rtl w:val="true"/>
        </w:rPr>
        <w:t>]</w:t>
      </w:r>
      <w:bookmarkEnd w:id="77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الأب وجود متبرّعة، و أنکرت الأُمّ و لم یکن له بیّنة علیٰ وجودها، فالقول قولها بیمینها</w:t>
      </w:r>
      <w:r>
        <w:rPr>
          <w:rFonts w:eastAsia="IRNazanin" w:cs="IRNazanin"/>
          <w:color w:val="111111"/>
          <w:sz w:val="28"/>
          <w:szCs w:val="28"/>
          <w:rtl w:val="true"/>
          <w:lang w:bidi="fa-IR"/>
        </w:rPr>
        <w:t>.</w:t>
      </w:r>
    </w:p>
    <w:p>
      <w:pPr>
        <w:pStyle w:val="Heading5"/>
        <w:numPr>
          <w:ilvl w:val="4"/>
          <w:numId w:val="1"/>
        </w:numPr>
        <w:rPr/>
      </w:pPr>
      <w:bookmarkStart w:id="7720" w:name="__RefHeading___Toc2571956_3650668749"/>
      <w:bookmarkStart w:id="7721" w:name="_Toc3487"/>
      <w:bookmarkEnd w:id="7720"/>
      <w:r>
        <w:rPr>
          <w:rtl w:val="true"/>
        </w:rPr>
        <w:t>[ (</w:t>
      </w:r>
      <w:r>
        <w:rPr>
          <w:rtl w:val="true"/>
        </w:rPr>
        <w:t xml:space="preserve">مسألة </w:t>
      </w:r>
      <w:r>
        <w:rPr/>
        <w:t>14</w:t>
      </w:r>
      <w:r>
        <w:rPr>
          <w:rtl w:val="true"/>
        </w:rPr>
        <w:t xml:space="preserve">): </w:t>
      </w:r>
      <w:r>
        <w:rPr>
          <w:rtl w:val="true"/>
        </w:rPr>
        <w:t>یستحبّ أن یکون رضاع الصبیّ بلبن امّه</w:t>
      </w:r>
      <w:r>
        <w:rPr>
          <w:rtl w:val="true"/>
        </w:rPr>
        <w:t>]</w:t>
      </w:r>
      <w:bookmarkEnd w:id="77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یکون رضاع الصبیّ بلبن امّه، فإنّه أبرک من غیره، إلّا إذا اقتضت بعض الجهات أولویّة غیرها؛ من حیث شرافتها و طیب لبنها و خباثة الأُمّ</w:t>
      </w:r>
      <w:r>
        <w:rPr>
          <w:rFonts w:eastAsia="IRNazanin" w:cs="IRNazanin"/>
          <w:color w:val="111111"/>
          <w:sz w:val="28"/>
          <w:szCs w:val="28"/>
          <w:rtl w:val="true"/>
          <w:lang w:bidi="fa-IR"/>
        </w:rPr>
        <w:t>.</w:t>
      </w:r>
    </w:p>
    <w:p>
      <w:pPr>
        <w:pStyle w:val="Heading5"/>
        <w:numPr>
          <w:ilvl w:val="4"/>
          <w:numId w:val="1"/>
        </w:numPr>
        <w:rPr/>
      </w:pPr>
      <w:bookmarkStart w:id="7722" w:name="__RefHeading___Toc2571958_3650668749"/>
      <w:bookmarkStart w:id="7723" w:name="_Toc3488"/>
      <w:bookmarkEnd w:id="7722"/>
      <w:r>
        <w:rPr>
          <w:rtl w:val="true"/>
        </w:rPr>
        <w:t>[ (</w:t>
      </w:r>
      <w:r>
        <w:rPr>
          <w:rtl w:val="true"/>
        </w:rPr>
        <w:t xml:space="preserve">مسألة </w:t>
      </w:r>
      <w:r>
        <w:rPr/>
        <w:t>15</w:t>
      </w:r>
      <w:r>
        <w:rPr>
          <w:rtl w:val="true"/>
        </w:rPr>
        <w:t xml:space="preserve">): </w:t>
      </w:r>
      <w:r>
        <w:rPr>
          <w:rtl w:val="true"/>
        </w:rPr>
        <w:t>کمال الرضاع حولان کاملان؛ أربع و عشرون شهراً</w:t>
      </w:r>
      <w:r>
        <w:rPr>
          <w:rtl w:val="true"/>
        </w:rPr>
        <w:t>]</w:t>
      </w:r>
      <w:bookmarkEnd w:id="7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الرضاع حولان کاملان؛ أربع و عشرون شهراً، و یجوز أن ینقص عن ذلک إلیٰ ثلاثة شهور؛ بأن یفطم علیٰ أحد و عشرین شهراً، و لا یجوز أن ینقص عن ذلک، و لو نقص عن ذلک مع الإمکان و من غیر ضرورة کان جوراً علی الصبیّ کما فی الخبر</w:t>
      </w:r>
      <w:r>
        <w:rPr>
          <w:rFonts w:eastAsia="IRNazanin" w:cs="IRNazanin"/>
          <w:color w:val="111111"/>
          <w:sz w:val="28"/>
          <w:szCs w:val="28"/>
          <w:rtl w:val="true"/>
          <w:lang w:bidi="fa-IR"/>
        </w:rPr>
        <w:t>.</w:t>
      </w:r>
    </w:p>
    <w:p>
      <w:pPr>
        <w:pStyle w:val="Heading5"/>
        <w:numPr>
          <w:ilvl w:val="4"/>
          <w:numId w:val="1"/>
        </w:numPr>
        <w:rPr/>
      </w:pPr>
      <w:bookmarkStart w:id="7724" w:name="__RefHeading___Toc2571960_3650668749"/>
      <w:bookmarkStart w:id="7725" w:name="_Toc3489"/>
      <w:bookmarkEnd w:id="7724"/>
      <w:r>
        <w:rPr>
          <w:rtl w:val="true"/>
        </w:rPr>
        <w:t>[ (</w:t>
      </w:r>
      <w:r>
        <w:rPr>
          <w:rtl w:val="true"/>
        </w:rPr>
        <w:t xml:space="preserve">مسألة </w:t>
      </w:r>
      <w:r>
        <w:rPr/>
        <w:t>16</w:t>
      </w:r>
      <w:r>
        <w:rPr>
          <w:rtl w:val="true"/>
        </w:rPr>
        <w:t xml:space="preserve">): </w:t>
      </w:r>
      <w:r>
        <w:rPr>
          <w:rtl w:val="true"/>
        </w:rPr>
        <w:t>الأُمّ أحقّ بحضانة الولد و تربیته و ما یتعلّق بها من مصلحة حفظه مدّة الرضاع</w:t>
      </w:r>
      <w:r>
        <w:rPr>
          <w:rtl w:val="true"/>
        </w:rPr>
        <w:t>]</w:t>
      </w:r>
      <w:bookmarkEnd w:id="7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أحقّ </w:t>
      </w:r>
      <w:r>
        <w:rPr>
          <w:rStyle w:val="FootnoteAnchor"/>
          <w:rtl w:val="true"/>
        </w:rPr>
        <w:footnoteReference w:id="1965"/>
      </w:r>
      <w:r>
        <w:rPr>
          <w:rFonts w:ascii="IRNazanin" w:hAnsi="IRNazanin" w:eastAsia="IRNazanin"/>
          <w:color w:val="111111"/>
          <w:sz w:val="28"/>
          <w:sz w:val="28"/>
          <w:szCs w:val="28"/>
          <w:rtl w:val="true"/>
          <w:lang w:bidi="fa-IR"/>
        </w:rPr>
        <w:t xml:space="preserve">بحضانة الولد و تربیته و ما یتعلّق بها من مصلحة حفظه مدّة الرضاع أعنی حولین </w:t>
      </w:r>
      <w:r>
        <w:rPr>
          <w:rStyle w:val="FootnoteAnchor"/>
          <w:rtl w:val="true"/>
        </w:rPr>
        <w:footnoteReference w:id="1966"/>
      </w:r>
      <w:r>
        <w:rPr>
          <w:rFonts w:ascii="IRNazanin" w:hAnsi="IRNazanin" w:eastAsia="IRNazanin"/>
          <w:color w:val="111111"/>
          <w:sz w:val="28"/>
          <w:sz w:val="28"/>
          <w:szCs w:val="28"/>
          <w:rtl w:val="true"/>
          <w:lang w:bidi="fa-IR"/>
        </w:rPr>
        <w:t>کاملین ذکراً کان أو أُنثی؛ سواء أرضعته هی بنفسها أو بغیرها، فلا یجوز للأب أن یأخذه فی هذه المدّة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فصل و انقضت مدّة الرضاع فالأب أحقّ بالذکر و الأُمّ أحقّ بالأُنثیٰ حتّی تبلغ سبع سنین من عمرها، ثمّ یکون الأب أحقّ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فارق الامّ بفسخ أو طلاق قبل أن تبلغ سبع سنین لم یسقط حقّ حضانتها ما لم تتزوّج بالغیر، فلو تزوّجت سقط حقّها </w:t>
      </w:r>
      <w:r>
        <w:rPr>
          <w:rStyle w:val="FootnoteAnchor"/>
          <w:rtl w:val="true"/>
        </w:rPr>
        <w:footnoteReference w:id="1967"/>
      </w:r>
      <w:r>
        <w:rPr>
          <w:rFonts w:ascii="IRNazanin" w:hAnsi="IRNazanin" w:eastAsia="IRNazanin"/>
          <w:color w:val="111111"/>
          <w:sz w:val="28"/>
          <w:sz w:val="28"/>
          <w:szCs w:val="28"/>
          <w:rtl w:val="true"/>
          <w:lang w:bidi="fa-IR"/>
        </w:rPr>
        <w:t>و کانت الحضانة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فارقها الثانی فهل تعود حضانتها أم لا؟ وجهان بل قولان، لا یخلو أوّلهما من رجحان، و الأحوط لهما التصالح و التسالم</w:t>
      </w:r>
      <w:r>
        <w:rPr>
          <w:rFonts w:eastAsia="IRNazanin" w:cs="IRNazanin"/>
          <w:color w:val="111111"/>
          <w:sz w:val="28"/>
          <w:szCs w:val="28"/>
          <w:rtl w:val="true"/>
          <w:lang w:bidi="fa-IR"/>
        </w:rPr>
        <w:t>.</w:t>
      </w:r>
    </w:p>
    <w:p>
      <w:pPr>
        <w:pStyle w:val="Heading5"/>
        <w:numPr>
          <w:ilvl w:val="4"/>
          <w:numId w:val="1"/>
        </w:numPr>
        <w:rPr/>
      </w:pPr>
      <w:bookmarkStart w:id="7726" w:name="__RefHeading___Toc2571962_3650668749"/>
      <w:bookmarkStart w:id="7727" w:name="_Toc3490"/>
      <w:bookmarkEnd w:id="7726"/>
      <w:r>
        <w:rPr>
          <w:rtl w:val="true"/>
        </w:rPr>
        <w:t>[ (</w:t>
      </w:r>
      <w:r>
        <w:rPr>
          <w:rtl w:val="true"/>
        </w:rPr>
        <w:t xml:space="preserve">مسألة </w:t>
      </w:r>
      <w:r>
        <w:rPr/>
        <w:t>17</w:t>
      </w:r>
      <w:r>
        <w:rPr>
          <w:rtl w:val="true"/>
        </w:rPr>
        <w:t xml:space="preserve">): </w:t>
      </w:r>
      <w:r>
        <w:rPr>
          <w:rtl w:val="true"/>
        </w:rPr>
        <w:t>لو مات الأب بعد انتقال الحضانة إلیه أو قبله، کانت الأُمّ أحقّ بحضانة الولد</w:t>
      </w:r>
      <w:r>
        <w:rPr>
          <w:rtl w:val="true"/>
        </w:rPr>
        <w:t>]</w:t>
      </w:r>
      <w:bookmarkEnd w:id="7727"/>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الأب بعد انتقال الحضانة إلیه أو قبله، کانت الأُمّ أحقّ بحضانة الولد و إن کانت مزوّجة؛ ذکراً کان أو أُنثی من وصیّ أبیه، و کذا من باقی أقاربه حتّی أبی أبیه و أُمّه فضلًا عن غیرهما، کما أنّه لو ماتت الأُمّ فی زمن حضانتها کان الأب أحقّ بها من وصیّها و من أبیها و أُمّها فضلًا عن باقی أقاربها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فقد الأبوان فالحضانة لأبی الأب،</w:t>
      </w:r>
      <w:bookmarkStart w:id="7728" w:name="pg1809_19977"/>
    </w:p>
    <w:p>
      <w:pPr>
        <w:pStyle w:val="BookText"/>
        <w:rPr/>
      </w:pPr>
      <w:bookmarkEnd w:id="7728"/>
      <w:r>
        <w:rPr>
          <w:rFonts w:ascii="IRNazanin" w:hAnsi="IRNazanin" w:eastAsia="IRNazanin"/>
          <w:color w:val="111111"/>
          <w:sz w:val="28"/>
          <w:sz w:val="28"/>
          <w:szCs w:val="28"/>
          <w:rtl w:val="true"/>
          <w:lang w:bidi="fa-IR"/>
        </w:rPr>
        <w:t>و إذا عدم و لم یکن وصیّ له و لا للأب کانت الحضانة لأقارب الولد علیٰ ترتیب مراتب الإرث الأقرب منهم یمنع الأبعد، و مع التعدّد و التساوی فی المرتبة و التشاحّ أُقرع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وجد وصیّ لأحدهما ففی کون الأمر کذلک أو کون الحضانة للوصیّ ثمّ إلی الأقارب وجهان بل قولان، لا یخلو أوّلهما من رجحان و الأحوط </w:t>
      </w:r>
      <w:r>
        <w:rPr>
          <w:rStyle w:val="FootnoteAnchor"/>
          <w:rtl w:val="true"/>
        </w:rPr>
        <w:footnoteReference w:id="1968"/>
      </w:r>
      <w:r>
        <w:rPr>
          <w:rFonts w:ascii="IRNazanin" w:hAnsi="IRNazanin" w:eastAsia="IRNazanin"/>
          <w:color w:val="111111"/>
          <w:sz w:val="28"/>
          <w:sz w:val="28"/>
          <w:szCs w:val="28"/>
          <w:rtl w:val="true"/>
          <w:lang w:bidi="fa-IR"/>
        </w:rPr>
        <w:t>التصالح و التسالم</w:t>
      </w:r>
      <w:r>
        <w:rPr>
          <w:rFonts w:eastAsia="IRNazanin" w:cs="IRNazanin"/>
          <w:color w:val="111111"/>
          <w:sz w:val="28"/>
          <w:szCs w:val="28"/>
          <w:rtl w:val="true"/>
          <w:lang w:bidi="fa-IR"/>
        </w:rPr>
        <w:t>.</w:t>
      </w:r>
    </w:p>
    <w:p>
      <w:pPr>
        <w:pStyle w:val="Heading5"/>
        <w:numPr>
          <w:ilvl w:val="4"/>
          <w:numId w:val="1"/>
        </w:numPr>
        <w:rPr/>
      </w:pPr>
      <w:bookmarkStart w:id="7729" w:name="__RefHeading___Toc2571964_3650668749"/>
      <w:bookmarkStart w:id="7730" w:name="_Toc3491"/>
      <w:bookmarkEnd w:id="7729"/>
      <w:r>
        <w:rPr>
          <w:rtl w:val="true"/>
        </w:rPr>
        <w:t>[ (</w:t>
      </w:r>
      <w:r>
        <w:rPr>
          <w:rtl w:val="true"/>
        </w:rPr>
        <w:t xml:space="preserve">مسألة </w:t>
      </w:r>
      <w:r>
        <w:rPr/>
        <w:t>18</w:t>
      </w:r>
      <w:r>
        <w:rPr>
          <w:rtl w:val="true"/>
        </w:rPr>
        <w:t xml:space="preserve">): </w:t>
      </w:r>
      <w:r>
        <w:rPr>
          <w:rtl w:val="true"/>
        </w:rPr>
        <w:t>تنتهی الحضانة ببلوغ الولد رشیداً</w:t>
      </w:r>
      <w:r>
        <w:rPr>
          <w:rtl w:val="true"/>
        </w:rPr>
        <w:t>]</w:t>
      </w:r>
      <w:bookmarkEnd w:id="77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تنتهی الحضانة ببلوغ الولد رشیداً، فإذا بلغ الرشد لیس لأحد حقّ الحضانة علیه؛ حتّی الأبوین فضلًا عن غیرهما، بل هو مالک لنفسه و کان إلیه الخیار فی الانضمام إلیٰ من شاء منهما أو من غیرهما؛ ذکراً کان أم أُنثی</w:t>
      </w:r>
      <w:r>
        <w:rPr>
          <w:rFonts w:eastAsia="IRNazanin" w:cs="IRNazanin"/>
          <w:color w:val="111111"/>
          <w:sz w:val="28"/>
          <w:szCs w:val="28"/>
          <w:rtl w:val="true"/>
          <w:lang w:bidi="fa-IR"/>
        </w:rPr>
        <w:t>.</w:t>
      </w:r>
    </w:p>
    <w:p>
      <w:pPr>
        <w:pStyle w:val="Heading3"/>
        <w:numPr>
          <w:ilvl w:val="2"/>
          <w:numId w:val="1"/>
        </w:numPr>
        <w:rPr/>
      </w:pPr>
      <w:bookmarkStart w:id="7731" w:name="__RefHeading___Toc2571966_3650668749"/>
      <w:bookmarkStart w:id="7732" w:name="_Toc3492"/>
      <w:bookmarkEnd w:id="7731"/>
      <w:r>
        <w:rPr>
          <w:rtl w:val="true"/>
        </w:rPr>
        <w:t>[</w:t>
      </w:r>
      <w:r>
        <w:rPr>
          <w:rtl w:val="true"/>
        </w:rPr>
        <w:t>فصل فی النفقات</w:t>
      </w:r>
      <w:r>
        <w:rPr>
          <w:rtl w:val="true"/>
        </w:rPr>
        <w:t>]</w:t>
      </w:r>
      <w:bookmarkEnd w:id="7732"/>
    </w:p>
    <w:p>
      <w:pPr>
        <w:pStyle w:val="Heading4"/>
        <w:numPr>
          <w:ilvl w:val="3"/>
          <w:numId w:val="1"/>
        </w:numPr>
        <w:rPr/>
      </w:pPr>
      <w:bookmarkStart w:id="7733" w:name="__RefHeading___Toc2571968_3650668749"/>
      <w:bookmarkStart w:id="7734" w:name="_Toc3493"/>
      <w:bookmarkEnd w:id="7733"/>
      <w:r>
        <w:rPr>
          <w:rtl w:val="true"/>
        </w:rPr>
        <w:t>اشارة</w:t>
      </w:r>
      <w:bookmarkEnd w:id="7734"/>
    </w:p>
    <w:p>
      <w:pPr>
        <w:pStyle w:val="BookText"/>
        <w:rPr/>
      </w:pPr>
      <w:r>
        <w:rPr>
          <w:rFonts w:ascii="IRNazanin" w:hAnsi="IRNazanin" w:eastAsia="IRNazanin"/>
          <w:color w:val="111111"/>
          <w:sz w:val="28"/>
          <w:sz w:val="28"/>
          <w:szCs w:val="28"/>
          <w:rtl w:val="true"/>
          <w:lang w:bidi="fa-IR"/>
        </w:rPr>
        <w:t>فصل فی النفقات إنّما تجب النفقة بأحد أسباب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الزوجیّة و القرابة و الملک</w:t>
      </w:r>
      <w:r>
        <w:rPr>
          <w:rFonts w:eastAsia="IRNazanin" w:cs="IRNazanin"/>
          <w:color w:val="111111"/>
          <w:sz w:val="28"/>
          <w:szCs w:val="28"/>
          <w:rtl w:val="true"/>
          <w:lang w:bidi="fa-IR"/>
        </w:rPr>
        <w:t>.</w:t>
      </w:r>
    </w:p>
    <w:p>
      <w:pPr>
        <w:pStyle w:val="Heading4"/>
        <w:numPr>
          <w:ilvl w:val="3"/>
          <w:numId w:val="1"/>
        </w:numPr>
        <w:rPr/>
      </w:pPr>
      <w:bookmarkStart w:id="7735" w:name="__RefHeading___Toc2571970_3650668749"/>
      <w:bookmarkStart w:id="7736" w:name="_Toc3494"/>
      <w:bookmarkEnd w:id="7735"/>
      <w:r>
        <w:rPr>
          <w:rtl w:val="true"/>
        </w:rPr>
        <w:t>[</w:t>
      </w:r>
      <w:r>
        <w:rPr>
          <w:rtl w:val="true"/>
        </w:rPr>
        <w:t>القول فی نفقة الزوجة</w:t>
      </w:r>
      <w:r>
        <w:rPr>
          <w:rtl w:val="true"/>
        </w:rPr>
        <w:t>]</w:t>
      </w:r>
      <w:bookmarkEnd w:id="7736"/>
    </w:p>
    <w:p>
      <w:pPr>
        <w:pStyle w:val="Heading5"/>
        <w:numPr>
          <w:ilvl w:val="4"/>
          <w:numId w:val="1"/>
        </w:numPr>
        <w:rPr/>
      </w:pPr>
      <w:bookmarkStart w:id="7737" w:name="__RefHeading___Toc2571972_3650668749"/>
      <w:bookmarkStart w:id="7738" w:name="_Toc3495"/>
      <w:bookmarkEnd w:id="7737"/>
      <w:r>
        <w:rPr>
          <w:rtl w:val="true"/>
        </w:rPr>
        <w:t>[ (</w:t>
      </w:r>
      <w:r>
        <w:rPr>
          <w:rtl w:val="true"/>
        </w:rPr>
        <w:t xml:space="preserve">مسألة </w:t>
      </w:r>
      <w:r>
        <w:rPr/>
        <w:t>1</w:t>
      </w:r>
      <w:r>
        <w:rPr>
          <w:rtl w:val="true"/>
        </w:rPr>
        <w:t xml:space="preserve">): </w:t>
      </w:r>
      <w:r>
        <w:rPr>
          <w:rtl w:val="true"/>
        </w:rPr>
        <w:t>إنّما تجب نفقة الزوجة علی الزوج بشرط أن تکون دائمة</w:t>
      </w:r>
      <w:r>
        <w:rPr>
          <w:rtl w:val="true"/>
        </w:rPr>
        <w:t>]</w:t>
      </w:r>
      <w:bookmarkEnd w:id="7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تجب نفقة الزوجة علی الزوج بشرط أن تکون دائمة، فلا نفقة للمنقطعة، و أن تکون مطیعة للزوج فیما یجب إطاعتها له، فلا نفقة للناشزة و قد مرّ بیان ما یتحقّق به النشوز سابقاً، و لا فرق بین أن تکون مسلمة أو ذمّیّة، و أن تکون حرّة أو أمة</w:t>
      </w:r>
      <w:r>
        <w:rPr>
          <w:rFonts w:eastAsia="IRNazanin" w:cs="IRNazanin"/>
          <w:color w:val="111111"/>
          <w:sz w:val="28"/>
          <w:szCs w:val="28"/>
          <w:rtl w:val="true"/>
          <w:lang w:bidi="fa-IR"/>
        </w:rPr>
        <w:t>.</w:t>
      </w:r>
    </w:p>
    <w:p>
      <w:pPr>
        <w:pStyle w:val="Heading5"/>
        <w:numPr>
          <w:ilvl w:val="4"/>
          <w:numId w:val="1"/>
        </w:numPr>
        <w:rPr/>
      </w:pPr>
      <w:bookmarkStart w:id="7739" w:name="__RefHeading___Toc2571974_3650668749"/>
      <w:bookmarkStart w:id="7740" w:name="_Toc3496"/>
      <w:bookmarkEnd w:id="7739"/>
      <w:r>
        <w:rPr>
          <w:rtl w:val="true"/>
        </w:rPr>
        <w:t>[ (</w:t>
      </w:r>
      <w:r>
        <w:rPr>
          <w:rtl w:val="true"/>
        </w:rPr>
        <w:t xml:space="preserve">مسألة </w:t>
      </w:r>
      <w:r>
        <w:rPr/>
        <w:t>2</w:t>
      </w:r>
      <w:r>
        <w:rPr>
          <w:rtl w:val="true"/>
        </w:rPr>
        <w:t xml:space="preserve">): </w:t>
      </w:r>
      <w:r>
        <w:rPr>
          <w:rtl w:val="true"/>
        </w:rPr>
        <w:t>لو نشزت ثمّ عادت إلی الطاعة لم تستحقّ النفقة حتّی تظهرها و علم بها</w:t>
      </w:r>
      <w:r>
        <w:rPr>
          <w:rtl w:val="true"/>
        </w:rPr>
        <w:t>]</w:t>
      </w:r>
      <w:bookmarkEnd w:id="7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نشزت ثمّ عادت إلی الطاعة لم تستحقّ النفقة حتّی تظهرها و علم بها و انقضیٰ زمان أمکن الوصول إلیها</w:t>
      </w:r>
      <w:r>
        <w:rPr>
          <w:rFonts w:eastAsia="IRNazanin" w:cs="IRNazanin"/>
          <w:color w:val="111111"/>
          <w:sz w:val="28"/>
          <w:szCs w:val="28"/>
          <w:rtl w:val="true"/>
          <w:lang w:bidi="fa-IR"/>
        </w:rPr>
        <w:t>.</w:t>
      </w:r>
    </w:p>
    <w:p>
      <w:pPr>
        <w:pStyle w:val="Heading5"/>
        <w:numPr>
          <w:ilvl w:val="4"/>
          <w:numId w:val="1"/>
        </w:numPr>
        <w:rPr/>
      </w:pPr>
      <w:bookmarkStart w:id="7741" w:name="__RefHeading___Toc2571976_3650668749"/>
      <w:bookmarkStart w:id="7742" w:name="_Toc3497"/>
      <w:bookmarkEnd w:id="7741"/>
      <w:r>
        <w:rPr>
          <w:rtl w:val="true"/>
        </w:rPr>
        <w:t>[ (</w:t>
      </w:r>
      <w:r>
        <w:rPr>
          <w:rtl w:val="true"/>
        </w:rPr>
        <w:t xml:space="preserve">مسألة </w:t>
      </w:r>
      <w:r>
        <w:rPr/>
        <w:t>3</w:t>
      </w:r>
      <w:r>
        <w:rPr>
          <w:rtl w:val="true"/>
        </w:rPr>
        <w:t xml:space="preserve">): </w:t>
      </w:r>
      <w:r>
        <w:rPr>
          <w:rtl w:val="true"/>
        </w:rPr>
        <w:t>لو ارتدّت سقطت النفقة</w:t>
      </w:r>
      <w:r>
        <w:rPr>
          <w:rtl w:val="true"/>
        </w:rPr>
        <w:t>]</w:t>
      </w:r>
      <w:bookmarkEnd w:id="7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ارتدّت سقطت النفقة، و إن عادت </w:t>
      </w:r>
      <w:r>
        <w:rPr>
          <w:rStyle w:val="FootnoteAnchor"/>
          <w:rtl w:val="true"/>
        </w:rPr>
        <w:footnoteReference w:id="1969"/>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p>
    <w:p>
      <w:pPr>
        <w:pStyle w:val="Heading5"/>
        <w:numPr>
          <w:ilvl w:val="4"/>
          <w:numId w:val="1"/>
        </w:numPr>
        <w:rPr/>
      </w:pPr>
      <w:bookmarkStart w:id="7743" w:name="__RefHeading___Toc2571978_3650668749"/>
      <w:bookmarkStart w:id="7744" w:name="_Toc3498"/>
      <w:bookmarkEnd w:id="7743"/>
      <w:r>
        <w:rPr>
          <w:rtl w:val="true"/>
        </w:rPr>
        <w:t>[ (</w:t>
      </w:r>
      <w:r>
        <w:rPr>
          <w:rtl w:val="true"/>
        </w:rPr>
        <w:t xml:space="preserve">مسألة </w:t>
      </w:r>
      <w:r>
        <w:rPr/>
        <w:t>4</w:t>
      </w:r>
      <w:r>
        <w:rPr>
          <w:rtl w:val="true"/>
        </w:rPr>
        <w:t xml:space="preserve">): </w:t>
      </w:r>
      <w:r>
        <w:rPr>
          <w:rtl w:val="true"/>
        </w:rPr>
        <w:t>الظاهر أنّه لا نفقة للزوجة الصغیرة الغیر القابلة للاستمتاع منها علیٰ زوجها</w:t>
      </w:r>
      <w:r>
        <w:rPr>
          <w:rtl w:val="true"/>
        </w:rPr>
        <w:t>]</w:t>
      </w:r>
      <w:bookmarkEnd w:id="7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نفقة للزوجة الصغیرة الغیر القابلة للاستمتاع منها علیٰ زوجها، خصوصاً إذا کان صغیراً غیر قابل للتمتّع و التلذّذ، و کذا للزوجة الکبیرة إذا کان زوجها صغیراً غیر قابل لأن یستمتع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الزوجة مراهقة و کان الزوج مراهقاً أو کبیراً، أو کان الزوج مراهقاً و کانت الزوجة کبیرة لم یبعد استحقاق الزوجة للنفقة مع تمکینها له من نفسها علیٰ ما یمکنه من التلذّذ و الاستمتاع منها</w:t>
      </w:r>
      <w:r>
        <w:rPr>
          <w:rFonts w:eastAsia="IRNazanin" w:cs="IRNazanin"/>
          <w:color w:val="111111"/>
          <w:sz w:val="28"/>
          <w:szCs w:val="28"/>
          <w:rtl w:val="true"/>
          <w:lang w:bidi="fa-IR"/>
        </w:rPr>
        <w:t>.</w:t>
      </w:r>
    </w:p>
    <w:p>
      <w:pPr>
        <w:pStyle w:val="Heading5"/>
        <w:numPr>
          <w:ilvl w:val="4"/>
          <w:numId w:val="1"/>
        </w:numPr>
        <w:rPr/>
      </w:pPr>
      <w:bookmarkStart w:id="7745" w:name="__RefHeading___Toc2571980_3650668749"/>
      <w:bookmarkStart w:id="7746" w:name="_Toc3499"/>
      <w:bookmarkEnd w:id="7745"/>
      <w:r>
        <w:rPr>
          <w:rtl w:val="true"/>
        </w:rPr>
        <w:t>[ (</w:t>
      </w:r>
      <w:r>
        <w:rPr>
          <w:rtl w:val="true"/>
        </w:rPr>
        <w:t xml:space="preserve">مسألة </w:t>
      </w:r>
      <w:r>
        <w:rPr/>
        <w:t>5</w:t>
      </w:r>
      <w:r>
        <w:rPr>
          <w:rtl w:val="true"/>
        </w:rPr>
        <w:t xml:space="preserve">): </w:t>
      </w:r>
      <w:r>
        <w:rPr>
          <w:rtl w:val="true"/>
        </w:rPr>
        <w:t>لا تسقط نفقتها بعدم تمکینه من نفسها لعذر شرعی أو عقلی</w:t>
      </w:r>
      <w:r>
        <w:rPr>
          <w:rtl w:val="true"/>
        </w:rPr>
        <w:t>]</w:t>
      </w:r>
      <w:bookmarkEnd w:id="7746"/>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تسقط نفقتها بعدم تمکینه من نفسها لعذر شرعی أو عقلی؛ من حیض أو</w:t>
      </w:r>
      <w:bookmarkStart w:id="7747" w:name="pg1809_19978"/>
    </w:p>
    <w:p>
      <w:pPr>
        <w:pStyle w:val="BookText"/>
        <w:rPr/>
      </w:pPr>
      <w:bookmarkEnd w:id="7747"/>
      <w:r>
        <w:rPr>
          <w:rFonts w:ascii="IRNazanin" w:hAnsi="IRNazanin" w:eastAsia="IRNazanin"/>
          <w:color w:val="111111"/>
          <w:sz w:val="28"/>
          <w:sz w:val="28"/>
          <w:szCs w:val="28"/>
          <w:rtl w:val="true"/>
          <w:lang w:bidi="fa-IR"/>
        </w:rPr>
        <w:t>إحرام أو اعتکاف واجب أو مرض أو غیر ذلک، و کذا لا تسقط إذا سافرت بإذن الزوج؛ سواء کان فی واجب أو مندوب أو مباح، و کذا لو سافرت فی واجب مضیّق کالحجّ الواجب بغیر إذنه، بل و لو مع منعه و نهیه، بخلاف ما لو سافرت بغیر إذنه فی مندوب أو مباح فإنّه تسقط نفقتها، بل الأمر کذلک لو خرجت من بیته بغیر إذنه و لو لغیر سفر، فضلًا عمّا کان له لتحقّق النشوز المسقط للنفقة</w:t>
      </w:r>
      <w:r>
        <w:rPr>
          <w:rFonts w:eastAsia="IRNazanin" w:cs="IRNazanin"/>
          <w:color w:val="111111"/>
          <w:sz w:val="28"/>
          <w:szCs w:val="28"/>
          <w:rtl w:val="true"/>
          <w:lang w:bidi="fa-IR"/>
        </w:rPr>
        <w:t>.</w:t>
      </w:r>
    </w:p>
    <w:p>
      <w:pPr>
        <w:pStyle w:val="Heading5"/>
        <w:numPr>
          <w:ilvl w:val="4"/>
          <w:numId w:val="1"/>
        </w:numPr>
        <w:rPr/>
      </w:pPr>
      <w:bookmarkStart w:id="7748" w:name="__RefHeading___Toc2571982_3650668749"/>
      <w:bookmarkStart w:id="7749" w:name="_Toc3500"/>
      <w:bookmarkEnd w:id="7748"/>
      <w:r>
        <w:rPr>
          <w:rtl w:val="true"/>
        </w:rPr>
        <w:t>[ (</w:t>
      </w:r>
      <w:r>
        <w:rPr>
          <w:rtl w:val="true"/>
        </w:rPr>
        <w:t xml:space="preserve">مسألة </w:t>
      </w:r>
      <w:r>
        <w:rPr/>
        <w:t>6</w:t>
      </w:r>
      <w:r>
        <w:rPr>
          <w:rtl w:val="true"/>
        </w:rPr>
        <w:t xml:space="preserve">): </w:t>
      </w:r>
      <w:r>
        <w:rPr>
          <w:rtl w:val="true"/>
        </w:rPr>
        <w:t>تثبت النفقة و السکنی لذات العدّة الرجعیّة ما دامت فی العدّة</w:t>
      </w:r>
      <w:r>
        <w:rPr>
          <w:rtl w:val="true"/>
        </w:rPr>
        <w:t>]</w:t>
      </w:r>
      <w:bookmarkEnd w:id="7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النفقة و السکنی لذات العدّة الرجعیّة ما دامت فی العدّة، کما تثبت للزوجة؛ من غیر فرق بین کونها حائلًا أو 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کانت ناشزة و طلّقت فی حال نشوزها لم تثبت </w:t>
      </w:r>
      <w:r>
        <w:rPr>
          <w:rStyle w:val="FootnoteAnchor"/>
          <w:rtl w:val="true"/>
        </w:rPr>
        <w:footnoteReference w:id="1970"/>
      </w:r>
      <w:r>
        <w:rPr>
          <w:rFonts w:ascii="IRNazanin" w:hAnsi="IRNazanin" w:eastAsia="IRNazanin"/>
          <w:color w:val="111111"/>
          <w:sz w:val="28"/>
          <w:sz w:val="28"/>
          <w:szCs w:val="28"/>
          <w:rtl w:val="true"/>
          <w:lang w:bidi="fa-IR"/>
        </w:rPr>
        <w:t>لها النفقة کالزوجة الناشزة، و أمّا ذات العدّة البائنة فتسقط نفقتها و سکناها؛ سواء کانت عن طلاق أو فسخ، إلّا إذا کانت عن طلاق و کانت حاملًا، فإنّها تستحقّ النفقة و السکنیٰ حتّی تضع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تلحق بها المنقطعة الحامل الموهوبة أو المنقضیة مدّتها، و کذا الحامل المتوفّیٰ عنها زوجها، فإنّه لا نفقة لها مدّة حملها؛ لا من ترکة زوجها و لا من نصیب ولدها علی الأقویٰ</w:t>
      </w:r>
      <w:r>
        <w:rPr>
          <w:rFonts w:eastAsia="IRNazanin" w:cs="IRNazanin"/>
          <w:color w:val="111111"/>
          <w:sz w:val="28"/>
          <w:szCs w:val="28"/>
          <w:rtl w:val="true"/>
          <w:lang w:bidi="fa-IR"/>
        </w:rPr>
        <w:t>.</w:t>
      </w:r>
    </w:p>
    <w:p>
      <w:pPr>
        <w:pStyle w:val="Heading5"/>
        <w:numPr>
          <w:ilvl w:val="4"/>
          <w:numId w:val="1"/>
        </w:numPr>
        <w:rPr/>
      </w:pPr>
      <w:bookmarkStart w:id="7750" w:name="__RefHeading___Toc2571984_3650668749"/>
      <w:bookmarkStart w:id="7751" w:name="_Toc3501"/>
      <w:bookmarkEnd w:id="7750"/>
      <w:r>
        <w:rPr>
          <w:rtl w:val="true"/>
        </w:rPr>
        <w:t>[ (</w:t>
      </w:r>
      <w:r>
        <w:rPr>
          <w:rtl w:val="true"/>
        </w:rPr>
        <w:t xml:space="preserve">مسألة </w:t>
      </w:r>
      <w:r>
        <w:rPr/>
        <w:t>7</w:t>
      </w:r>
      <w:r>
        <w:rPr>
          <w:rtl w:val="true"/>
        </w:rPr>
        <w:t xml:space="preserve">): </w:t>
      </w:r>
      <w:r>
        <w:rPr>
          <w:rtl w:val="true"/>
        </w:rPr>
        <w:t>لو ادّعت المطلّقة بائناً أنّها حامل مستندة إلیٰ وجود الأمارات</w:t>
      </w:r>
      <w:r>
        <w:rPr>
          <w:rtl w:val="true"/>
        </w:rPr>
        <w:t>]</w:t>
      </w:r>
      <w:bookmarkEnd w:id="77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ادّعت المطلّقة بائناً أنّها حامل مستندة إلیٰ وجود الأمارات التی یستدلّ بها علی الحمل عند النسوان صدّقت </w:t>
      </w:r>
      <w:r>
        <w:rPr>
          <w:rStyle w:val="FootnoteAnchor"/>
          <w:rtl w:val="true"/>
        </w:rPr>
        <w:footnoteReference w:id="1971"/>
      </w:r>
      <w:r>
        <w:rPr>
          <w:rFonts w:ascii="IRNazanin" w:hAnsi="IRNazanin" w:eastAsia="IRNazanin"/>
          <w:color w:val="111111"/>
          <w:sz w:val="28"/>
          <w:sz w:val="28"/>
          <w:szCs w:val="28"/>
          <w:rtl w:val="true"/>
          <w:lang w:bidi="fa-IR"/>
        </w:rPr>
        <w:t xml:space="preserve">و أنفق علیها یوماً فیوماً إلیٰ أن یتبیّن الحال، فإن تبیّن الحمل و إلّا استعید منها ما صرف إلیها، و فی جواز مطالبتها بکفیل قبل تبیّن الحال وجهان بل قولان، لا یخلو أوّلهما من رجحان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2" w:name="__RefHeading___Toc2571986_3650668749"/>
      <w:bookmarkStart w:id="7753" w:name="_Toc3502"/>
      <w:bookmarkEnd w:id="7752"/>
      <w:r>
        <w:rPr>
          <w:rtl w:val="true"/>
        </w:rPr>
        <w:t>[ (</w:t>
      </w:r>
      <w:r>
        <w:rPr>
          <w:rtl w:val="true"/>
        </w:rPr>
        <w:t xml:space="preserve">مسألة </w:t>
      </w:r>
      <w:r>
        <w:rPr/>
        <w:t>8</w:t>
      </w:r>
      <w:r>
        <w:rPr>
          <w:rtl w:val="true"/>
        </w:rPr>
        <w:t xml:space="preserve">): </w:t>
      </w:r>
      <w:r>
        <w:rPr>
          <w:rtl w:val="true"/>
        </w:rPr>
        <w:t>لا تقدیر للنفقة شرعاً بل الضابط القیام بما تحتاج إلیه المرأة</w:t>
      </w:r>
      <w:r>
        <w:rPr>
          <w:rtl w:val="true"/>
        </w:rPr>
        <w:t>]</w:t>
      </w:r>
      <w:bookmarkEnd w:id="7753"/>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تقدیر للنفقة شرعاً بل الضابط القیام بما تحتاج إلیه المرأة من طعام و إدام و کسوة و فراش و غطاء و إسکان و إخدام و آلات تحتاج إلیها لشربها و طبخها و تنظیفها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فکمّیته بمقدار ما یکفیها لشبعها، و فی جنسه یرجع إلیٰ ما هو</w:t>
      </w:r>
    </w:p>
    <w:p>
      <w:pPr>
        <w:pStyle w:val="BookText"/>
        <w:rPr/>
      </w:pPr>
      <w:r>
        <w:rPr>
          <w:rFonts w:ascii="IRNazanin" w:hAnsi="IRNazanin" w:eastAsia="IRNazanin"/>
          <w:color w:val="111111"/>
          <w:sz w:val="28"/>
          <w:sz w:val="28"/>
          <w:szCs w:val="28"/>
          <w:rtl w:val="true"/>
          <w:lang w:bidi="fa-IR"/>
        </w:rPr>
        <w:t>المتعارف لأمثالها فی بلدها و المؤالم لمزاجها و ما تعوّدت به بحیث تتضرّر 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فقدراً و جنساً کالطعام یراعیٰ ما هو المتعارف لأمثالها فی بلدها و ما یوالم مزاجها و ما هو معتاد لها، حتّی أنّه لو کانت عادة أمثالها أو الموالم لمزاجها دوام اللحم مثلًا لوجب، و کذا لو اعتادت بشی‌ء خاصّ من الإدام بحیث تتضرّر 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مراعاة ما تعارف اعتیاده لأمثالها من غیر الطعام و الإدام کالچای و التنباک و القهوة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بذلک المقدار اللازم من الفواکه الصیفیّة التی تناولها کاللازم فی الأهویة الحارّة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 الکسوة، فیلاحظ فی قدرها و جنسها عادة أمثالها و بلد سکناها و الفصول التی تحتاج إلیها شتاءً و صیفاً؛ ضرورة شدّة الاختلاف فی الکمّ و الکیف و الجنس بالنسبة إلیٰ ذلک، بل لو کانت من ذوات التجمّل وجب لها زیادة علیٰ ثیاب البدن ثیاب له علیٰ حسب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الفراش و الغطاء فإنّ لها ما یفرشها علی الأرض و ما تحتاج إلیها للنوم؛ من لحاف و مخدّة و ما تنام علیها، و یرجع فی قدرها و جنسها و وصفها إلیٰ ما ذکر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تستحقّ فی الإسکان أن یسکنها داراً یلیق بها بحسب عادة أمثالها، و کانت لها من المرافق ما تحتاج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أن تطالبه بالتفرّد بالمسکن عن مشارکة غیر الزوج ضرّة أو غیرها؛ من دار أو حجرة منفردة المرافق؛ إمّا بعاریة أو إجارة أو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من أهل البادیة کفاها کوخ أو بیت شعر منفرد یناسب حالها</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یجب إن کانت ذات حشمة و شأن و من ذوی الأخدام و إلّا خدمت نفسها، و إذا وجبت الخدمة فالزوج بالخیار بین أن یبتاع خادمة لها أو یستأجرها أو یستعیرها لها أو یأمر مملوکته </w:t>
      </w:r>
      <w:r>
        <w:rPr>
          <w:rStyle w:val="FootnoteAnchor"/>
          <w:rtl w:val="true"/>
        </w:rPr>
        <w:footnoteReference w:id="1973"/>
      </w:r>
      <w:r>
        <w:rPr>
          <w:rFonts w:ascii="IRNazanin" w:hAnsi="IRNazanin" w:eastAsia="IRNazanin"/>
          <w:color w:val="111111"/>
          <w:sz w:val="28"/>
          <w:sz w:val="28"/>
          <w:szCs w:val="28"/>
          <w:rtl w:val="true"/>
          <w:lang w:bidi="fa-IR"/>
        </w:rPr>
        <w:t>بأن تخدمها أو یخدمها بنفسه، علیٰ إشکال 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الآلات و الأدوات المحتاج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أیضاً تلاحظ ما هو المتعارف لأمثالها بحسب حاجات بلدها التی تسکن و تتعیّش بها؛ ضرورة اختلافها بحسبها اختلافاً فاحشاً</w:t>
      </w:r>
      <w:r>
        <w:rPr>
          <w:rFonts w:eastAsia="IRNazanin" w:cs="IRNazanin"/>
          <w:color w:val="111111"/>
          <w:sz w:val="28"/>
          <w:szCs w:val="28"/>
          <w:rtl w:val="true"/>
          <w:lang w:bidi="fa-IR"/>
        </w:rPr>
        <w:t>.</w:t>
      </w:r>
      <w:bookmarkStart w:id="7754" w:name="pg1809_19980"/>
    </w:p>
    <w:p>
      <w:pPr>
        <w:pStyle w:val="Heading5"/>
        <w:numPr>
          <w:ilvl w:val="4"/>
          <w:numId w:val="1"/>
        </w:numPr>
        <w:rPr/>
      </w:pPr>
      <w:bookmarkStart w:id="7755" w:name="__RefHeading___Toc2571988_3650668749"/>
      <w:bookmarkStart w:id="7756" w:name="_Toc3503"/>
      <w:bookmarkEnd w:id="7754"/>
      <w:bookmarkEnd w:id="7755"/>
      <w:r>
        <w:rPr>
          <w:rtl w:val="true"/>
        </w:rPr>
        <w:t>[ (</w:t>
      </w:r>
      <w:r>
        <w:rPr>
          <w:rtl w:val="true"/>
        </w:rPr>
        <w:t xml:space="preserve">مسألة </w:t>
      </w:r>
      <w:r>
        <w:rPr/>
        <w:t>9</w:t>
      </w:r>
      <w:r>
        <w:rPr>
          <w:rtl w:val="true"/>
        </w:rPr>
        <w:t xml:space="preserve">): </w:t>
      </w:r>
      <w:r>
        <w:rPr>
          <w:rtl w:val="true"/>
        </w:rPr>
        <w:t>الظاهر أنّه من الإنفاق الذی تستحقّه الزوجة اجرة الحمّام عند الحاجة</w:t>
      </w:r>
      <w:r>
        <w:rPr>
          <w:rtl w:val="true"/>
        </w:rPr>
        <w:t>]</w:t>
      </w:r>
      <w:bookmarkEnd w:id="77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من الإنفاق الذی تستحقّه الزوجة اجرة الحمّام عند الحاجة؛ سواء کان للاغتسال أو للتنظیف إذا کانت فی بلدها لم یتعارف الغسل و الاغتسال فی البیت، أو یتعذّر أو یتعسّر ذلک لها لبرد أو غیره، و منه أیضاً الفحم و الحطب فی زمان الاحتیاج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الأدویة المتعارفة التی یکثر الاحتیاج إلیها بسبب الأمراض و الآلام التی قلّما یخلو الشخص منها فی الشهور و الأعوام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أنّه لیس من الدواء و ما یصرف فی المعالجات الصعبة التی یکون الاحتیاج إلیها من باب الاتّفاق، خصوصاً فیما إذا احتاج إلیٰ بذل مال 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یکون منه اجرة الفصد و الحجامة عند الاحتیاج إلیهما؟ فیه تأمّل و إشکال</w:t>
      </w:r>
      <w:r>
        <w:rPr>
          <w:rFonts w:eastAsia="IRNazanin" w:cs="IRNazanin"/>
          <w:color w:val="111111"/>
          <w:sz w:val="28"/>
          <w:szCs w:val="28"/>
          <w:rtl w:val="true"/>
          <w:lang w:bidi="fa-IR"/>
        </w:rPr>
        <w:t>.</w:t>
      </w:r>
    </w:p>
    <w:p>
      <w:pPr>
        <w:pStyle w:val="Heading5"/>
        <w:numPr>
          <w:ilvl w:val="4"/>
          <w:numId w:val="1"/>
        </w:numPr>
        <w:rPr/>
      </w:pPr>
      <w:bookmarkStart w:id="7757" w:name="__RefHeading___Toc2571990_3650668749"/>
      <w:bookmarkStart w:id="7758" w:name="_Toc3504"/>
      <w:bookmarkEnd w:id="7757"/>
      <w:r>
        <w:rPr>
          <w:rtl w:val="true"/>
        </w:rPr>
        <w:t>[ (</w:t>
      </w:r>
      <w:r>
        <w:rPr>
          <w:rtl w:val="true"/>
        </w:rPr>
        <w:t xml:space="preserve">مسألة </w:t>
      </w:r>
      <w:r>
        <w:rPr/>
        <w:t>10</w:t>
      </w:r>
      <w:r>
        <w:rPr>
          <w:rtl w:val="true"/>
        </w:rPr>
        <w:t xml:space="preserve">): </w:t>
      </w:r>
      <w:r>
        <w:rPr>
          <w:rtl w:val="true"/>
        </w:rPr>
        <w:t>تملک الزوجة علی الزوج نفقة کلّ یوم من الطعام و الإدام و غیرهما ممّا یصرف</w:t>
      </w:r>
      <w:r>
        <w:rPr>
          <w:rtl w:val="true"/>
        </w:rPr>
        <w:t>]</w:t>
      </w:r>
      <w:bookmarkEnd w:id="77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w:t>
      </w:r>
      <w:r>
        <w:rPr>
          <w:rStyle w:val="FootnoteAnchor"/>
          <w:rtl w:val="true"/>
        </w:rPr>
        <w:footnoteReference w:id="1974"/>
      </w:r>
      <w:r>
        <w:rPr>
          <w:rFonts w:ascii="IRNazanin" w:hAnsi="IRNazanin" w:eastAsia="IRNazanin"/>
          <w:color w:val="111111"/>
          <w:sz w:val="28"/>
          <w:sz w:val="28"/>
          <w:szCs w:val="28"/>
          <w:rtl w:val="true"/>
          <w:lang w:bidi="fa-IR"/>
        </w:rPr>
        <w:t>الزوجة علی الزوج نفقة کلّ یوم من الطعام و الإدام و غیرهما ممّا یصرف و لا یبقیٰ عینه فی صبیحته، فلها أن تطالبه بها عندها، فلو منعها و انقضی الیوم استقرّت فی ذمّته و کانت دیناً علیه و لیست لها مطالبة نفقة الأیّام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مضت أیّام و لم ینفق علیها فیها اشتغلت ذمّته بنفقة تلک المدّة؛ سواء طالبته بها أو سکتت عنها، و سواء قدّرها الحاکم و حکم بها أم لا، و سواء کان موسراً أو معسراً، غایة الأمر أنّه مع الإعسار ینظر فی المطالبة إلی الیسار</w:t>
      </w:r>
      <w:r>
        <w:rPr>
          <w:rFonts w:eastAsia="IRNazanin" w:cs="IRNazanin"/>
          <w:color w:val="111111"/>
          <w:sz w:val="28"/>
          <w:szCs w:val="28"/>
          <w:rtl w:val="true"/>
          <w:lang w:bidi="fa-IR"/>
        </w:rPr>
        <w:t>.</w:t>
      </w:r>
    </w:p>
    <w:p>
      <w:pPr>
        <w:pStyle w:val="Heading5"/>
        <w:numPr>
          <w:ilvl w:val="4"/>
          <w:numId w:val="1"/>
        </w:numPr>
        <w:rPr/>
      </w:pPr>
      <w:bookmarkStart w:id="7759" w:name="__RefHeading___Toc2571992_3650668749"/>
      <w:bookmarkStart w:id="7760" w:name="_Toc3505"/>
      <w:bookmarkEnd w:id="7759"/>
      <w:r>
        <w:rPr>
          <w:rtl w:val="true"/>
        </w:rPr>
        <w:t>[ (</w:t>
      </w:r>
      <w:r>
        <w:rPr>
          <w:rtl w:val="true"/>
        </w:rPr>
        <w:t xml:space="preserve">مسألة </w:t>
      </w:r>
      <w:r>
        <w:rPr/>
        <w:t>11</w:t>
      </w:r>
      <w:r>
        <w:rPr>
          <w:rtl w:val="true"/>
        </w:rPr>
        <w:t xml:space="preserve">): </w:t>
      </w:r>
      <w:r>
        <w:rPr>
          <w:rtl w:val="true"/>
        </w:rPr>
        <w:t>لو دفعت إلیها نفقة أیّام کاسبوع أو شهر مثلًا و انقضت المدّة و لم تصرفها علیٰ نفسها</w:t>
      </w:r>
      <w:r>
        <w:rPr>
          <w:rtl w:val="true"/>
        </w:rPr>
        <w:t>]</w:t>
      </w:r>
      <w:bookmarkEnd w:id="7760"/>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دفعت إلیها نفقة أیّام کاسبوع أو شهر مثلًا و انقضت المدّة و لم تصرفها علیٰ نفسها؛ إمّا بأن أنفقت من غیرها، أو أنفق علیها أحد، کانت ملکاً لها و لیس للزوج استردادها، و کذا لو استفضلت منها شیئاً بالتقتیر علیٰ نفسها کانت الزیادة ملکاً لها فلیس له استردادها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خرجت عن الاستحقاق قبل انقضاء المدّة بموت أحدهما أو نشوزها أو طلاقها بائناً، یوزّع المدفوع علی الأیّام الماضیة و الآتیة و یستردّ منها بالنسبة إلیٰ ما بقی من المدّة، بل الظاهر ذلک أیضاً فیما إذا دفع لها نفقة یوم و عرضت أحد تلک العوارض فی أثناء الیوم، فیستردّ الباقی من نفقة ذلک الیوم</w:t>
      </w:r>
      <w:r>
        <w:rPr>
          <w:rFonts w:eastAsia="IRNazanin" w:cs="IRNazanin"/>
          <w:color w:val="111111"/>
          <w:sz w:val="28"/>
          <w:szCs w:val="28"/>
          <w:rtl w:val="true"/>
          <w:lang w:bidi="fa-IR"/>
        </w:rPr>
        <w:t>.</w:t>
      </w:r>
      <w:bookmarkStart w:id="7761" w:name="pg1809_19981"/>
    </w:p>
    <w:p>
      <w:pPr>
        <w:pStyle w:val="Heading5"/>
        <w:numPr>
          <w:ilvl w:val="4"/>
          <w:numId w:val="1"/>
        </w:numPr>
        <w:rPr/>
      </w:pPr>
      <w:bookmarkStart w:id="7762" w:name="__RefHeading___Toc2571994_3650668749"/>
      <w:bookmarkStart w:id="7763" w:name="_Toc3506"/>
      <w:bookmarkEnd w:id="7761"/>
      <w:bookmarkEnd w:id="7762"/>
      <w:r>
        <w:rPr>
          <w:rtl w:val="true"/>
        </w:rPr>
        <w:t>[ (</w:t>
      </w:r>
      <w:r>
        <w:rPr>
          <w:rtl w:val="true"/>
        </w:rPr>
        <w:t xml:space="preserve">مسألة </w:t>
      </w:r>
      <w:r>
        <w:rPr/>
        <w:t>12</w:t>
      </w:r>
      <w:r>
        <w:rPr>
          <w:rtl w:val="true"/>
        </w:rPr>
        <w:t xml:space="preserve">): </w:t>
      </w:r>
      <w:r>
        <w:rPr>
          <w:rtl w:val="true"/>
        </w:rPr>
        <w:t>کیفیّة الإنفاق بالطعام و الإدام</w:t>
      </w:r>
      <w:r>
        <w:rPr>
          <w:rtl w:val="true"/>
        </w:rPr>
        <w:t xml:space="preserve">: </w:t>
      </w:r>
      <w:r>
        <w:rPr>
          <w:rtl w:val="true"/>
        </w:rPr>
        <w:t>إمّا بمؤاکلتها مع الزوج فی بیته علی العادة</w:t>
      </w:r>
      <w:r>
        <w:rPr>
          <w:rtl w:val="true"/>
        </w:rPr>
        <w:t>]</w:t>
      </w:r>
      <w:bookmarkEnd w:id="77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الإنفاق بالطعام و الإدام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بمؤاکلتها مع الزوج فی بیته علی العادة کسائر عیاله و إمّا بتسلیم النفقة لها، و لیس له إلزامها بالنحو الأوّل، فلها أن تمتنع من المؤاکلة معه و تطالبه بکون نفقتها بیدها تفعل بها ما تشاء، إلّا أنّه إذا أکلت و شربت معه علی العادة سقط ما علی الزوج من النفقة، فلیس لها أن تطالبه بها بعد ذلک</w:t>
      </w:r>
      <w:r>
        <w:rPr>
          <w:rFonts w:eastAsia="IRNazanin" w:cs="IRNazanin"/>
          <w:color w:val="111111"/>
          <w:sz w:val="28"/>
          <w:szCs w:val="28"/>
          <w:rtl w:val="true"/>
          <w:lang w:bidi="fa-IR"/>
        </w:rPr>
        <w:t>.</w:t>
      </w:r>
    </w:p>
    <w:p>
      <w:pPr>
        <w:pStyle w:val="Heading5"/>
        <w:numPr>
          <w:ilvl w:val="4"/>
          <w:numId w:val="1"/>
        </w:numPr>
        <w:rPr/>
      </w:pPr>
      <w:bookmarkStart w:id="7764" w:name="__RefHeading___Toc2571996_3650668749"/>
      <w:bookmarkStart w:id="7765" w:name="_Toc3507"/>
      <w:bookmarkEnd w:id="7764"/>
      <w:r>
        <w:rPr>
          <w:rtl w:val="true"/>
        </w:rPr>
        <w:t>[ (</w:t>
      </w:r>
      <w:r>
        <w:rPr>
          <w:rtl w:val="true"/>
        </w:rPr>
        <w:t xml:space="preserve">مسألة </w:t>
      </w:r>
      <w:r>
        <w:rPr/>
        <w:t>13</w:t>
      </w:r>
      <w:r>
        <w:rPr>
          <w:rtl w:val="true"/>
        </w:rPr>
        <w:t xml:space="preserve">): </w:t>
      </w:r>
      <w:r>
        <w:rPr>
          <w:rtl w:val="true"/>
        </w:rPr>
        <w:t>ما یدفع لها للطعام و الإدام</w:t>
      </w:r>
      <w:r>
        <w:rPr>
          <w:rtl w:val="true"/>
        </w:rPr>
        <w:t>]</w:t>
      </w:r>
      <w:bookmarkEnd w:id="77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یدفع لها للطعام و الإدام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عین المأکول کالخبز و التمر و الطبیخ و اللحم المطبوخ ممّا لا یحتاج فی إعداده للأکل إلیٰ علاج و مزاولة و مئونة و کلفة، و إمّا عین یحتاج فی ذلک إلیٰ ذلک کالحبّ و الأرز و الدقیق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الزوج بالخیار </w:t>
      </w:r>
      <w:r>
        <w:rPr>
          <w:rStyle w:val="FootnoteAnchor"/>
          <w:rtl w:val="true"/>
        </w:rPr>
        <w:footnoteReference w:id="1975"/>
      </w:r>
      <w:r>
        <w:rPr>
          <w:rFonts w:ascii="IRNazanin" w:hAnsi="IRNazanin" w:eastAsia="IRNazanin"/>
          <w:color w:val="111111"/>
          <w:sz w:val="28"/>
          <w:sz w:val="28"/>
          <w:szCs w:val="28"/>
          <w:rtl w:val="true"/>
          <w:lang w:bidi="fa-IR"/>
        </w:rPr>
        <w:t>بین النحوین و لیس للزوجة الامتناع و إلزامه بالنحو الأوّل، نعم لو اختار النحو الثانی و احتاج إعداد المدفوع للأکل إلیٰ اجرة أو إلیٰ مئونة کالحطب و غیره کان علیه</w:t>
      </w:r>
      <w:r>
        <w:rPr>
          <w:rFonts w:eastAsia="IRNazanin" w:cs="IRNazanin"/>
          <w:color w:val="111111"/>
          <w:sz w:val="28"/>
          <w:szCs w:val="28"/>
          <w:rtl w:val="true"/>
          <w:lang w:bidi="fa-IR"/>
        </w:rPr>
        <w:t>.</w:t>
      </w:r>
    </w:p>
    <w:p>
      <w:pPr>
        <w:pStyle w:val="Heading5"/>
        <w:numPr>
          <w:ilvl w:val="4"/>
          <w:numId w:val="1"/>
        </w:numPr>
        <w:rPr/>
      </w:pPr>
      <w:bookmarkStart w:id="7766" w:name="__RefHeading___Toc2571998_3650668749"/>
      <w:bookmarkStart w:id="7767" w:name="_Toc3508"/>
      <w:bookmarkEnd w:id="7766"/>
      <w:r>
        <w:rPr>
          <w:rtl w:val="true"/>
        </w:rPr>
        <w:t>[ (</w:t>
      </w:r>
      <w:r>
        <w:rPr>
          <w:rtl w:val="true"/>
        </w:rPr>
        <w:t xml:space="preserve">مسألة </w:t>
      </w:r>
      <w:r>
        <w:rPr/>
        <w:t>14</w:t>
      </w:r>
      <w:r>
        <w:rPr>
          <w:rtl w:val="true"/>
        </w:rPr>
        <w:t xml:space="preserve">): </w:t>
      </w:r>
      <w:r>
        <w:rPr>
          <w:rtl w:val="true"/>
        </w:rPr>
        <w:t>إذا تراضیا علیٰ بذل الثمن و قیمة الطعام و الإدام و تسلّمت</w:t>
      </w:r>
      <w:r>
        <w:rPr>
          <w:rtl w:val="true"/>
        </w:rPr>
        <w:t>]</w:t>
      </w:r>
      <w:bookmarkEnd w:id="7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تراضیا علیٰ بذل الثمن و قیمة الطعام و الإدام و تسلّمت، ملکته و سقط ما هو الواجب علی الزوج، و لیس لکلّ منهما إلزام الآخر به</w:t>
      </w:r>
      <w:r>
        <w:rPr>
          <w:rFonts w:eastAsia="IRNazanin" w:cs="IRNazanin"/>
          <w:color w:val="111111"/>
          <w:sz w:val="28"/>
          <w:szCs w:val="28"/>
          <w:rtl w:val="true"/>
          <w:lang w:bidi="fa-IR"/>
        </w:rPr>
        <w:t>.</w:t>
      </w:r>
    </w:p>
    <w:p>
      <w:pPr>
        <w:pStyle w:val="Heading5"/>
        <w:numPr>
          <w:ilvl w:val="4"/>
          <w:numId w:val="1"/>
        </w:numPr>
        <w:rPr/>
      </w:pPr>
      <w:bookmarkStart w:id="7768" w:name="__RefHeading___Toc2572000_3650668749"/>
      <w:bookmarkStart w:id="7769" w:name="_Toc3509"/>
      <w:bookmarkEnd w:id="7768"/>
      <w:r>
        <w:rPr>
          <w:rtl w:val="true"/>
        </w:rPr>
        <w:t>[ (</w:t>
      </w:r>
      <w:r>
        <w:rPr>
          <w:rtl w:val="true"/>
        </w:rPr>
        <w:t xml:space="preserve">مسألة </w:t>
      </w:r>
      <w:r>
        <w:rPr/>
        <w:t>15</w:t>
      </w:r>
      <w:r>
        <w:rPr>
          <w:rtl w:val="true"/>
        </w:rPr>
        <w:t xml:space="preserve">): </w:t>
      </w:r>
      <w:r>
        <w:rPr>
          <w:rtl w:val="true"/>
        </w:rPr>
        <w:t>إنّما تستحقّ فی الکسوة علی الزوج أن یکسوها بما هو ملکه</w:t>
      </w:r>
      <w:r>
        <w:rPr>
          <w:rtl w:val="true"/>
        </w:rPr>
        <w:t>]</w:t>
      </w:r>
      <w:bookmarkEnd w:id="77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تستحقّ فی الکسوة علی الزوج أن یکسوها بما هو ملکه أو بما استأجره أو استعاره، و لا تستحقّ علیه أن یدفع إلیها بعنوان التملیک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دفع إلیها کسوة لمدّة جرت العادة ببقائها إلیها، فکستها فخلقت قبل تلک المدّة أو سرقت، وجب علیه دفع کسوة أُخری إلیها، و لو انقضت المدّة و الکسوة باقیة </w:t>
      </w:r>
      <w:r>
        <w:rPr>
          <w:rStyle w:val="FootnoteAnchor"/>
          <w:rtl w:val="true"/>
        </w:rPr>
        <w:footnoteReference w:id="1976"/>
      </w:r>
      <w:r>
        <w:rPr>
          <w:rFonts w:ascii="IRNazanin" w:hAnsi="IRNazanin" w:eastAsia="IRNazanin"/>
          <w:color w:val="111111"/>
          <w:sz w:val="28"/>
          <w:sz w:val="28"/>
          <w:szCs w:val="28"/>
          <w:rtl w:val="true"/>
          <w:lang w:bidi="fa-IR"/>
        </w:rPr>
        <w:t>لیس لها مطالبة کسوة اخریٰ، و لو خرجت فی أثناء المدّة عن الاستحقاق لموت أو نشوز أو طلاق تستردّ إذا کانت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الکلام فی الفراش و الغطاء و اللحاف و الآلات التی دفعها إلیها من جهة الإنفاق ممّا ینتفع بها مع بقاء عینها، فإنّها کلّها باقیة علیٰ ملک الزوج تنتفع بها الزوجة، فله استردادها إذا زال استحقاقها إلّا مع التصریح بإنشاء التملیک لها</w:t>
      </w:r>
      <w:r>
        <w:rPr>
          <w:rFonts w:eastAsia="IRNazanin" w:cs="IRNazanin"/>
          <w:color w:val="111111"/>
          <w:sz w:val="28"/>
          <w:szCs w:val="28"/>
          <w:rtl w:val="true"/>
          <w:lang w:bidi="fa-IR"/>
        </w:rPr>
        <w:t>.</w:t>
      </w:r>
    </w:p>
    <w:p>
      <w:pPr>
        <w:pStyle w:val="Heading5"/>
        <w:numPr>
          <w:ilvl w:val="4"/>
          <w:numId w:val="1"/>
        </w:numPr>
        <w:rPr/>
      </w:pPr>
      <w:bookmarkStart w:id="7770" w:name="__RefHeading___Toc2572002_3650668749"/>
      <w:bookmarkStart w:id="7771" w:name="_Toc3510"/>
      <w:bookmarkEnd w:id="7770"/>
      <w:r>
        <w:rPr>
          <w:rtl w:val="true"/>
        </w:rPr>
        <w:t>[ (</w:t>
      </w:r>
      <w:r>
        <w:rPr>
          <w:rtl w:val="true"/>
        </w:rPr>
        <w:t xml:space="preserve">مسألة </w:t>
      </w:r>
      <w:r>
        <w:rPr/>
        <w:t>16</w:t>
      </w:r>
      <w:r>
        <w:rPr>
          <w:rtl w:val="true"/>
        </w:rPr>
        <w:t xml:space="preserve">): </w:t>
      </w:r>
      <w:r>
        <w:rPr>
          <w:rtl w:val="true"/>
        </w:rPr>
        <w:t>إذا اختلف الزوجان فی الإنفاق و عدمه مع اتّفاقهما علی الاستحقاق</w:t>
      </w:r>
      <w:r>
        <w:rPr>
          <w:rtl w:val="true"/>
        </w:rPr>
        <w:t>]</w:t>
      </w:r>
      <w:bookmarkEnd w:id="7771"/>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الزوجان فی الإنفاق و عدمه مع اتّفاقهما علی الاستحقاق، فإن کان الزوج غائباً أو کانت الزوجة منعزلة عنه، فالقول قولها بیمینها إذا لم تکن له بیّنة، و إن کانت فی بیته داخلة فی عیالاته، فالظاهر أنّ القول قول الزوج بیمینه إذا لم تکن لها بیّنة</w:t>
      </w:r>
      <w:r>
        <w:rPr>
          <w:rFonts w:eastAsia="IRNazanin" w:cs="IRNazanin"/>
          <w:color w:val="111111"/>
          <w:sz w:val="28"/>
          <w:szCs w:val="28"/>
          <w:rtl w:val="true"/>
          <w:lang w:bidi="fa-IR"/>
        </w:rPr>
        <w:t>.</w:t>
      </w:r>
      <w:bookmarkStart w:id="7772" w:name="pg1809_19982"/>
    </w:p>
    <w:p>
      <w:pPr>
        <w:pStyle w:val="Heading5"/>
        <w:numPr>
          <w:ilvl w:val="4"/>
          <w:numId w:val="1"/>
        </w:numPr>
        <w:rPr/>
      </w:pPr>
      <w:bookmarkStart w:id="7773" w:name="__RefHeading___Toc2572004_3650668749"/>
      <w:bookmarkStart w:id="7774" w:name="_Toc3511"/>
      <w:bookmarkEnd w:id="7772"/>
      <w:bookmarkEnd w:id="7773"/>
      <w:r>
        <w:rPr>
          <w:rtl w:val="true"/>
        </w:rPr>
        <w:t>[ (</w:t>
      </w:r>
      <w:r>
        <w:rPr>
          <w:rtl w:val="true"/>
        </w:rPr>
        <w:t xml:space="preserve">مسألة </w:t>
      </w:r>
      <w:r>
        <w:rPr/>
        <w:t>17</w:t>
      </w:r>
      <w:r>
        <w:rPr>
          <w:rtl w:val="true"/>
        </w:rPr>
        <w:t xml:space="preserve">): </w:t>
      </w:r>
      <w:r>
        <w:rPr>
          <w:rtl w:val="true"/>
        </w:rPr>
        <w:t>إذا کانت الزوجة حاملًا و وضعت، و قد طلّقت رجعیّاً و اختلفا فی زمان وقوع الطلاق</w:t>
      </w:r>
      <w:r>
        <w:rPr>
          <w:rtl w:val="true"/>
        </w:rPr>
        <w:t>]</w:t>
      </w:r>
      <w:bookmarkEnd w:id="77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الزوجة حاملًا و وضعت، و قد طلّقت رجعیّاً و اختلفا فی زمان وقوع الطلاق، فادّعی الزوج أنّه قبل الوضع، و قد انقضت عدّتها بالوضع فلا نفقة لها الآن، و ادّعت هی أنّه بعده؛ لتثبت لها النفقة و لم تکن بیّنة، فالقول قولها مع الیمین، فإن حلفت ثبت لها استحقاق النفقة، لکن یحکم علیه بالبینونة و عدم جواز الرجوع؛ من جهة اعترافه بأنّها قد خرجت من العدّة بالوضع</w:t>
      </w:r>
      <w:r>
        <w:rPr>
          <w:rFonts w:eastAsia="IRNazanin" w:cs="IRNazanin"/>
          <w:color w:val="111111"/>
          <w:sz w:val="28"/>
          <w:szCs w:val="28"/>
          <w:rtl w:val="true"/>
          <w:lang w:bidi="fa-IR"/>
        </w:rPr>
        <w:t>.</w:t>
      </w:r>
    </w:p>
    <w:p>
      <w:pPr>
        <w:pStyle w:val="Heading5"/>
        <w:numPr>
          <w:ilvl w:val="4"/>
          <w:numId w:val="1"/>
        </w:numPr>
        <w:rPr/>
      </w:pPr>
      <w:bookmarkStart w:id="7775" w:name="__RefHeading___Toc2572006_3650668749"/>
      <w:bookmarkStart w:id="7776" w:name="_Toc3512"/>
      <w:bookmarkEnd w:id="7775"/>
      <w:r>
        <w:rPr>
          <w:rtl w:val="true"/>
        </w:rPr>
        <w:t>[ (</w:t>
      </w:r>
      <w:r>
        <w:rPr>
          <w:rtl w:val="true"/>
        </w:rPr>
        <w:t xml:space="preserve">مسألة </w:t>
      </w:r>
      <w:r>
        <w:rPr/>
        <w:t>18</w:t>
      </w:r>
      <w:r>
        <w:rPr>
          <w:rtl w:val="true"/>
        </w:rPr>
        <w:t xml:space="preserve">): </w:t>
      </w:r>
      <w:r>
        <w:rPr>
          <w:rtl w:val="true"/>
        </w:rPr>
        <w:t>إذا طالبته بالإنفاق و ادّعی الإعسار و عدم الاقتدار، و لم تصدّقه بل ادّعت علیه الیسار</w:t>
      </w:r>
      <w:r>
        <w:rPr>
          <w:rtl w:val="true"/>
        </w:rPr>
        <w:t>]</w:t>
      </w:r>
      <w:bookmarkEnd w:id="77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طالبته بالإنفاق و ادّعی الإعسار و عدم الاقتدار، و لم تصدّقه بل ادّعت علیه الیسار، فالقول قوله بیمینه إذا لم یکن لها بیّنة، إلّا إذا کان مسبوقاً بالیسار و ادّعیٰ تلف أمواله و صیرورته معسراً و أنکرته، فإنّ القول قولها بیمین إذا لم یکن بیّنة</w:t>
      </w:r>
      <w:r>
        <w:rPr>
          <w:rFonts w:eastAsia="IRNazanin" w:cs="IRNazanin"/>
          <w:color w:val="111111"/>
          <w:sz w:val="28"/>
          <w:szCs w:val="28"/>
          <w:rtl w:val="true"/>
          <w:lang w:bidi="fa-IR"/>
        </w:rPr>
        <w:t>.</w:t>
      </w:r>
    </w:p>
    <w:p>
      <w:pPr>
        <w:pStyle w:val="Heading5"/>
        <w:numPr>
          <w:ilvl w:val="4"/>
          <w:numId w:val="1"/>
        </w:numPr>
        <w:rPr/>
      </w:pPr>
      <w:bookmarkStart w:id="7777" w:name="__RefHeading___Toc2572008_3650668749"/>
      <w:bookmarkStart w:id="7778" w:name="_Toc3513"/>
      <w:bookmarkEnd w:id="7777"/>
      <w:r>
        <w:rPr>
          <w:rtl w:val="true"/>
        </w:rPr>
        <w:t>[ (</w:t>
      </w:r>
      <w:r>
        <w:rPr>
          <w:rtl w:val="true"/>
        </w:rPr>
        <w:t xml:space="preserve">مسألة </w:t>
      </w:r>
      <w:r>
        <w:rPr/>
        <w:t>19</w:t>
      </w:r>
      <w:r>
        <w:rPr>
          <w:rtl w:val="true"/>
        </w:rPr>
        <w:t xml:space="preserve">): </w:t>
      </w:r>
      <w:r>
        <w:rPr>
          <w:rtl w:val="true"/>
        </w:rPr>
        <w:t>لا یشترط فی استحقاق الزوجة النفقة فقرها و احتیاجها</w:t>
      </w:r>
      <w:r>
        <w:rPr>
          <w:rtl w:val="true"/>
        </w:rPr>
        <w:t>]</w:t>
      </w:r>
      <w:bookmarkEnd w:id="77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استحقاق الزوجة النفقة فقرها و احتیاجها، فلها علیٰ زوجها الإنفاق و بذل مقدار النفقة و إن کانت من أغنی الناس</w:t>
      </w:r>
      <w:r>
        <w:rPr>
          <w:rFonts w:eastAsia="IRNazanin" w:cs="IRNazanin"/>
          <w:color w:val="111111"/>
          <w:sz w:val="28"/>
          <w:szCs w:val="28"/>
          <w:rtl w:val="true"/>
          <w:lang w:bidi="fa-IR"/>
        </w:rPr>
        <w:t>.</w:t>
      </w:r>
    </w:p>
    <w:p>
      <w:pPr>
        <w:pStyle w:val="Heading5"/>
        <w:numPr>
          <w:ilvl w:val="4"/>
          <w:numId w:val="1"/>
        </w:numPr>
        <w:rPr/>
      </w:pPr>
      <w:bookmarkStart w:id="7779" w:name="__RefHeading___Toc2572010_3650668749"/>
      <w:bookmarkStart w:id="7780" w:name="_Toc3514"/>
      <w:bookmarkEnd w:id="7779"/>
      <w:r>
        <w:rPr>
          <w:rtl w:val="true"/>
        </w:rPr>
        <w:t>[ (</w:t>
      </w:r>
      <w:r>
        <w:rPr>
          <w:rtl w:val="true"/>
        </w:rPr>
        <w:t xml:space="preserve">مسألة </w:t>
      </w:r>
      <w:r>
        <w:rPr/>
        <w:t>20</w:t>
      </w:r>
      <w:r>
        <w:rPr>
          <w:rtl w:val="true"/>
        </w:rPr>
        <w:t xml:space="preserve">): </w:t>
      </w:r>
      <w:r>
        <w:rPr>
          <w:rtl w:val="true"/>
        </w:rPr>
        <w:t>إذا لم یکن له مال یفی بنفقة نفسه و زوجته و أقاربه الواجبی النفقة</w:t>
      </w:r>
      <w:r>
        <w:rPr>
          <w:rtl w:val="true"/>
        </w:rPr>
        <w:t>]</w:t>
      </w:r>
      <w:bookmarkEnd w:id="77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له مال یفی بنفقة نفسه و زوجته و أقاربه الواجبی النفقة، فهو مقدّم علیٰ زوجته، و هی علیٰ أقاربه، فما فضل من قوته صرفه إلیها و لا یدفع إلی الأقارب إلّا ما یفضل من نفقتها</w:t>
      </w:r>
      <w:r>
        <w:rPr>
          <w:rFonts w:eastAsia="IRNazanin" w:cs="IRNazanin"/>
          <w:color w:val="111111"/>
          <w:sz w:val="28"/>
          <w:szCs w:val="28"/>
          <w:rtl w:val="true"/>
          <w:lang w:bidi="fa-IR"/>
        </w:rPr>
        <w:t>.</w:t>
      </w:r>
    </w:p>
    <w:p>
      <w:pPr>
        <w:pStyle w:val="Heading4"/>
        <w:numPr>
          <w:ilvl w:val="3"/>
          <w:numId w:val="1"/>
        </w:numPr>
        <w:rPr/>
      </w:pPr>
      <w:bookmarkStart w:id="7781" w:name="__RefHeading___Toc2572012_3650668749"/>
      <w:bookmarkStart w:id="7782" w:name="_Toc3515"/>
      <w:bookmarkEnd w:id="7781"/>
      <w:r>
        <w:rPr>
          <w:rtl w:val="true"/>
        </w:rPr>
        <w:t>[</w:t>
      </w:r>
      <w:r>
        <w:rPr>
          <w:rtl w:val="true"/>
        </w:rPr>
        <w:t>القول فی نفقة الأقارب</w:t>
      </w:r>
      <w:r>
        <w:rPr>
          <w:rtl w:val="true"/>
        </w:rPr>
        <w:t>]</w:t>
      </w:r>
      <w:bookmarkEnd w:id="7782"/>
    </w:p>
    <w:p>
      <w:pPr>
        <w:pStyle w:val="Heading5"/>
        <w:numPr>
          <w:ilvl w:val="4"/>
          <w:numId w:val="1"/>
        </w:numPr>
        <w:rPr/>
      </w:pPr>
      <w:bookmarkStart w:id="7783" w:name="__RefHeading___Toc2572014_3650668749"/>
      <w:bookmarkStart w:id="7784" w:name="_Toc3516"/>
      <w:bookmarkEnd w:id="7783"/>
      <w:r>
        <w:rPr>
          <w:rtl w:val="true"/>
        </w:rPr>
        <w:t>اشارة</w:t>
      </w:r>
      <w:bookmarkEnd w:id="7784"/>
    </w:p>
    <w:p>
      <w:pPr>
        <w:pStyle w:val="BookText"/>
        <w:rPr/>
      </w:pPr>
      <w:r>
        <w:rPr>
          <w:rFonts w:ascii="IRNazanin" w:hAnsi="IRNazanin" w:eastAsia="IRNazanin"/>
          <w:color w:val="111111"/>
          <w:sz w:val="28"/>
          <w:sz w:val="28"/>
          <w:szCs w:val="28"/>
          <w:rtl w:val="true"/>
          <w:lang w:bidi="fa-IR"/>
        </w:rPr>
        <w:t>القول فی نفقة الأقارب</w:t>
      </w:r>
    </w:p>
    <w:p>
      <w:pPr>
        <w:pStyle w:val="Heading5"/>
        <w:numPr>
          <w:ilvl w:val="4"/>
          <w:numId w:val="1"/>
        </w:numPr>
        <w:rPr/>
      </w:pPr>
      <w:bookmarkStart w:id="7785" w:name="__RefHeading___Toc2572016_3650668749"/>
      <w:bookmarkStart w:id="7786" w:name="_Toc3517"/>
      <w:bookmarkEnd w:id="7785"/>
      <w:r>
        <w:rPr>
          <w:rtl w:val="true"/>
        </w:rPr>
        <w:t>[ (</w:t>
      </w:r>
      <w:r>
        <w:rPr>
          <w:rtl w:val="true"/>
        </w:rPr>
        <w:t xml:space="preserve">مسألة </w:t>
      </w:r>
      <w:r>
        <w:rPr/>
        <w:t>1</w:t>
      </w:r>
      <w:r>
        <w:rPr>
          <w:rtl w:val="true"/>
        </w:rPr>
        <w:t xml:space="preserve">): </w:t>
      </w:r>
      <w:r>
        <w:rPr>
          <w:rtl w:val="true"/>
        </w:rPr>
        <w:t>یجب الإنفاق علی الأبوین و آبائهما و أُمّهاتهما و إن علوا</w:t>
      </w:r>
      <w:r>
        <w:rPr>
          <w:rtl w:val="true"/>
        </w:rPr>
        <w:t>]</w:t>
      </w:r>
      <w:bookmarkEnd w:id="7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Style w:val="FootnoteAnchor"/>
          <w:rtl w:val="true"/>
        </w:rPr>
        <w:footnoteReference w:id="1977"/>
      </w:r>
      <w:r>
        <w:rPr>
          <w:rFonts w:ascii="IRNazanin" w:hAnsi="IRNazanin" w:eastAsia="IRNazanin"/>
          <w:color w:val="111111"/>
          <w:sz w:val="28"/>
          <w:sz w:val="28"/>
          <w:szCs w:val="28"/>
          <w:rtl w:val="true"/>
          <w:lang w:bidi="fa-IR"/>
        </w:rPr>
        <w:t>الإنفاق علی الأبوین و آبائهما و أُمّهاتهما و إن علوا، و علی الأولاد و أولادهم و إن نزلوا؛ ذکوراً و إناثاً، صغیراً کانوا أو کبیراً، مسلماً کانوا أو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تجب علیٰ غیر العمودین من الأقارب کالإخوة و الأخوات و الأعمام و العمّات و الأخوال و الخالات و غیرهم و إن استحبّ، خصوصاً الوارث منهم</w:t>
      </w:r>
      <w:r>
        <w:rPr>
          <w:rFonts w:eastAsia="IRNazanin" w:cs="IRNazanin"/>
          <w:color w:val="111111"/>
          <w:sz w:val="28"/>
          <w:szCs w:val="28"/>
          <w:rtl w:val="true"/>
          <w:lang w:bidi="fa-IR"/>
        </w:rPr>
        <w:t>.</w:t>
      </w:r>
    </w:p>
    <w:p>
      <w:pPr>
        <w:pStyle w:val="Heading5"/>
        <w:numPr>
          <w:ilvl w:val="4"/>
          <w:numId w:val="1"/>
        </w:numPr>
        <w:rPr/>
      </w:pPr>
      <w:bookmarkStart w:id="7787" w:name="__RefHeading___Toc2572018_3650668749"/>
      <w:bookmarkStart w:id="7788" w:name="_Toc3518"/>
      <w:bookmarkEnd w:id="7787"/>
      <w:r>
        <w:rPr>
          <w:rtl w:val="true"/>
        </w:rPr>
        <w:t>[ (</w:t>
      </w:r>
      <w:r>
        <w:rPr>
          <w:rtl w:val="true"/>
        </w:rPr>
        <w:t xml:space="preserve">مسألة </w:t>
      </w:r>
      <w:r>
        <w:rPr/>
        <w:t>2</w:t>
      </w:r>
      <w:r>
        <w:rPr>
          <w:rtl w:val="true"/>
        </w:rPr>
        <w:t xml:space="preserve">): </w:t>
      </w:r>
      <w:r>
        <w:rPr>
          <w:rtl w:val="true"/>
        </w:rPr>
        <w:t>یشترط فی وجوب الإنفاق علی القریب فقره و احتیاجه</w:t>
      </w:r>
      <w:r>
        <w:rPr>
          <w:rtl w:val="true"/>
        </w:rPr>
        <w:t>]</w:t>
      </w:r>
      <w:bookmarkEnd w:id="7788"/>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وجوب الإنفاق علی القریب فقره و احتیاجه؛ بمعنی عدم وجدانه لما یتقوّت به فعلًا، فلا یجب إنفاق من قدر علیٰ نفقته فعلًا و إن کان فقیراً لا یملک قوت سنته و جاز له أخذ الزکاة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الغیر الواجد لها فعلًا القادر علیٰ تحصیلها، فإن کان ذلک بغیر الاکتساب کالاقتراض و الاستعطاء و السؤال لم یمنع ذلک عن وجوب الإنفاق علیه</w:t>
      </w:r>
      <w:bookmarkStart w:id="7789" w:name="pg1809_19983"/>
    </w:p>
    <w:p>
      <w:pPr>
        <w:pStyle w:val="BookText"/>
        <w:rPr/>
      </w:pPr>
      <w:bookmarkEnd w:id="7789"/>
      <w:r>
        <w:rPr>
          <w:rFonts w:ascii="IRNazanin" w:hAnsi="IRNazanin" w:eastAsia="IRNazanin"/>
          <w:color w:val="111111"/>
          <w:sz w:val="28"/>
          <w:sz w:val="28"/>
          <w:szCs w:val="28"/>
          <w:rtl w:val="true"/>
          <w:lang w:bidi="fa-IR"/>
        </w:rPr>
        <w:t>بلا إشکال، فإذا لم یکن للأب مثلًا ما ینفق علیٰ نفسه لکن یمکن له الاقتراض أو السؤال و کان بحیث لو اقترض یقرضونه و لو سأل یعطونه و قد ترکهما، فالواجب علیٰ ولده الموسر نفقته، و إن کان ذلک بالاکتساب، فإن کان ذلک بالاقتدار علیٰ تعلّم صنعة بها إمرار معاشه، کالبنت تقدر علیٰ تعلّم الخیاطة المکفیّة عن معیشتها، و الابن یقدر علیٰ تعلّم الکتابة أو الصیاغة أو النجارة المکفیّة عن نفقته و قد ترکا التعلّم فبقیا بلا نفقة، فلا إشکال فی وجوب الإنفاق علیه، و کذا الحال لو أمکن له التکسّب بما یشقّ علیه تحمّله کحمل الأثقال، أو لا یناسب شأنه کبعض الأشغال لبعض الأشخاص و لم یتکسّب لذلک، فإنّه یجب علیٰ قریبه الإنفاق علیه، و إن کان قادراً علی التکسّب بما یناسب حاله و شأنه کالقویّ القادر علیٰ حمل الأثقال، و الوضیع اللائق بشأنه بعض الأشغال، و من کان کسوباً و له بعض الأشغال و الصنائع، و قد ترک ذلک طلباً للراحة، فالظاهر عدم وجوب الإنفاق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فات عنه زمان اکتسابه بحیث صار محتاجاً فعلًا بالنسبة إلیٰ یوم و أیّام غیر قادر علیٰ تحصیل نفقتها وجب الإنفاق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ذلک العجز قد حصل باختیاره کما أنّه قد ترک التشاغل بالاکتساب لا لطلب الراحة بل لاشتغاله بأمر دنیوی أو دینی مهمّ کطلب العلم الواجب، لم یسقط بذلک التکلیف بوجوب الإنفاق علیه</w:t>
      </w:r>
      <w:r>
        <w:rPr>
          <w:rFonts w:eastAsia="IRNazanin" w:cs="IRNazanin"/>
          <w:color w:val="111111"/>
          <w:sz w:val="28"/>
          <w:szCs w:val="28"/>
          <w:rtl w:val="true"/>
          <w:lang w:bidi="fa-IR"/>
        </w:rPr>
        <w:t>.</w:t>
      </w:r>
    </w:p>
    <w:p>
      <w:pPr>
        <w:pStyle w:val="Heading5"/>
        <w:numPr>
          <w:ilvl w:val="4"/>
          <w:numId w:val="1"/>
        </w:numPr>
        <w:rPr/>
      </w:pPr>
      <w:bookmarkStart w:id="7790" w:name="__RefHeading___Toc2572020_3650668749"/>
      <w:bookmarkStart w:id="7791" w:name="_Toc3519"/>
      <w:bookmarkEnd w:id="7790"/>
      <w:r>
        <w:rPr>
          <w:rtl w:val="true"/>
        </w:rPr>
        <w:t>[ (</w:t>
      </w:r>
      <w:r>
        <w:rPr>
          <w:rtl w:val="true"/>
        </w:rPr>
        <w:t xml:space="preserve">مسألة </w:t>
      </w:r>
      <w:r>
        <w:rPr/>
        <w:t>3</w:t>
      </w:r>
      <w:r>
        <w:rPr>
          <w:rtl w:val="true"/>
        </w:rPr>
        <w:t xml:space="preserve">): </w:t>
      </w:r>
      <w:r>
        <w:rPr>
          <w:rtl w:val="true"/>
        </w:rPr>
        <w:t>إذا أمکن للمرأة التزویج بمن یلیق بها و یقوم بنفقتها دائماً أو منقطعاً</w:t>
      </w:r>
      <w:r>
        <w:rPr>
          <w:rtl w:val="true"/>
        </w:rPr>
        <w:t>]</w:t>
      </w:r>
      <w:bookmarkEnd w:id="77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للمرأة التزویج بمن یلیق بها و یقوم بنفقتها دائماً أو منقطعاً، فهل تکون بحکم القادر، فلا یجب علیٰ أبیها أو ابنها الإنفاق علیها أم لا؟ وجهان، أوجههما الثانی</w:t>
      </w:r>
      <w:r>
        <w:rPr>
          <w:rFonts w:eastAsia="IRNazanin" w:cs="IRNazanin"/>
          <w:color w:val="111111"/>
          <w:sz w:val="28"/>
          <w:szCs w:val="28"/>
          <w:rtl w:val="true"/>
          <w:lang w:bidi="fa-IR"/>
        </w:rPr>
        <w:t>.</w:t>
      </w:r>
    </w:p>
    <w:p>
      <w:pPr>
        <w:pStyle w:val="Heading5"/>
        <w:numPr>
          <w:ilvl w:val="4"/>
          <w:numId w:val="1"/>
        </w:numPr>
        <w:rPr/>
      </w:pPr>
      <w:bookmarkStart w:id="7792" w:name="__RefHeading___Toc2572022_3650668749"/>
      <w:bookmarkStart w:id="7793" w:name="_Toc3520"/>
      <w:bookmarkEnd w:id="7792"/>
      <w:r>
        <w:rPr>
          <w:rtl w:val="true"/>
        </w:rPr>
        <w:t>[ (</w:t>
      </w:r>
      <w:r>
        <w:rPr>
          <w:rtl w:val="true"/>
        </w:rPr>
        <w:t xml:space="preserve">مسألة </w:t>
      </w:r>
      <w:r>
        <w:rPr/>
        <w:t>4</w:t>
      </w:r>
      <w:r>
        <w:rPr>
          <w:rtl w:val="true"/>
        </w:rPr>
        <w:t xml:space="preserve">): </w:t>
      </w:r>
      <w:r>
        <w:rPr>
          <w:rtl w:val="true"/>
        </w:rPr>
        <w:t>یشترط فی وجوب الإنفاق علی القریب قدرة المنفق علیٰ نفقته</w:t>
      </w:r>
      <w:r>
        <w:rPr>
          <w:rtl w:val="true"/>
        </w:rPr>
        <w:t>]</w:t>
      </w:r>
      <w:bookmarkEnd w:id="7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وجوب الإنفاق علی القریب قدرة المنفق علیٰ نفقته بعد نفقة نفسه و نفقة زوجته لو کانت له زوجة دائمة، فلو حصل له قدر کفایة نفسه خاصّة اقتصر علیٰ نفسه، و لو فرض أنّه فضل منه شی‌ء و کانت له زوجة فلزوجته، فلو فضل منه شی‌ء فللأبوین و الأولاد</w:t>
      </w:r>
      <w:r>
        <w:rPr>
          <w:rFonts w:eastAsia="IRNazanin" w:cs="IRNazanin"/>
          <w:color w:val="111111"/>
          <w:sz w:val="28"/>
          <w:szCs w:val="28"/>
          <w:rtl w:val="true"/>
          <w:lang w:bidi="fa-IR"/>
        </w:rPr>
        <w:t>.</w:t>
      </w:r>
    </w:p>
    <w:p>
      <w:pPr>
        <w:pStyle w:val="Heading5"/>
        <w:numPr>
          <w:ilvl w:val="4"/>
          <w:numId w:val="1"/>
        </w:numPr>
        <w:rPr/>
      </w:pPr>
      <w:bookmarkStart w:id="7794" w:name="__RefHeading___Toc2572024_3650668749"/>
      <w:bookmarkStart w:id="7795" w:name="_Toc3521"/>
      <w:bookmarkEnd w:id="7794"/>
      <w:r>
        <w:rPr>
          <w:rtl w:val="true"/>
        </w:rPr>
        <w:t>[ (</w:t>
      </w:r>
      <w:r>
        <w:rPr>
          <w:rtl w:val="true"/>
        </w:rPr>
        <w:t xml:space="preserve">مسألة </w:t>
      </w:r>
      <w:r>
        <w:rPr/>
        <w:t>5</w:t>
      </w:r>
      <w:r>
        <w:rPr>
          <w:rtl w:val="true"/>
        </w:rPr>
        <w:t xml:space="preserve">): </w:t>
      </w:r>
      <w:r>
        <w:rPr>
          <w:rtl w:val="true"/>
        </w:rPr>
        <w:t>المراد بنفقة نفسه المقدّمة علیٰ نفقة زوجته مقدار قوت یومه و لیلته و کسوته</w:t>
      </w:r>
      <w:r>
        <w:rPr>
          <w:rtl w:val="true"/>
        </w:rPr>
        <w:t>]</w:t>
      </w:r>
      <w:bookmarkEnd w:id="77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بنفقة نفسه المقدّمة علیٰ نفقة زوجته مقدار قوت یومه و لیلته و کسوته اللائقة بحاله و کلّ ما اضطرّ إلیه من الآلات للطعام و الشراب، و الفراش و الغطاء و غیرها فإن زاد علیٰ ذلک شی‌ء صرفه إلیٰ زوجته ثمّ إلیٰ قرابته</w:t>
      </w:r>
      <w:r>
        <w:rPr>
          <w:rFonts w:eastAsia="IRNazanin" w:cs="IRNazanin"/>
          <w:color w:val="111111"/>
          <w:sz w:val="28"/>
          <w:szCs w:val="28"/>
          <w:rtl w:val="true"/>
          <w:lang w:bidi="fa-IR"/>
        </w:rPr>
        <w:t>.</w:t>
      </w:r>
    </w:p>
    <w:p>
      <w:pPr>
        <w:pStyle w:val="Heading5"/>
        <w:numPr>
          <w:ilvl w:val="4"/>
          <w:numId w:val="1"/>
        </w:numPr>
        <w:rPr/>
      </w:pPr>
      <w:bookmarkStart w:id="7796" w:name="__RefHeading___Toc2572026_3650668749"/>
      <w:bookmarkStart w:id="7797" w:name="_Toc3522"/>
      <w:bookmarkEnd w:id="7796"/>
      <w:r>
        <w:rPr>
          <w:rtl w:val="true"/>
        </w:rPr>
        <w:t>[ (</w:t>
      </w:r>
      <w:r>
        <w:rPr>
          <w:rtl w:val="true"/>
        </w:rPr>
        <w:t xml:space="preserve">مسألة </w:t>
      </w:r>
      <w:r>
        <w:rPr/>
        <w:t>6</w:t>
      </w:r>
      <w:r>
        <w:rPr>
          <w:rtl w:val="true"/>
        </w:rPr>
        <w:t xml:space="preserve">): </w:t>
      </w:r>
      <w:r>
        <w:rPr>
          <w:rtl w:val="true"/>
        </w:rPr>
        <w:t>لو زاد عن نفقته شی‌ء و لم تکن عنده زوجة</w:t>
      </w:r>
      <w:r>
        <w:rPr>
          <w:rtl w:val="true"/>
        </w:rPr>
        <w:t>]</w:t>
      </w:r>
      <w:bookmarkEnd w:id="7797"/>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 عن نفقته شی‌ء و لم تکن عنده زوجة، فإن اضطرّ إلی التزویج بحیث</w:t>
      </w:r>
      <w:bookmarkStart w:id="7798" w:name="pg1809_19984"/>
    </w:p>
    <w:p>
      <w:pPr>
        <w:pStyle w:val="BookText"/>
        <w:rPr/>
      </w:pPr>
      <w:bookmarkEnd w:id="7798"/>
      <w:r>
        <w:rPr>
          <w:rFonts w:ascii="IRNazanin" w:hAnsi="IRNazanin" w:eastAsia="IRNazanin"/>
          <w:color w:val="111111"/>
          <w:sz w:val="28"/>
          <w:sz w:val="28"/>
          <w:szCs w:val="28"/>
          <w:rtl w:val="true"/>
          <w:lang w:bidi="fa-IR"/>
        </w:rPr>
        <w:t xml:space="preserve">یکون فی ترکه عسر و حرج شدید أو مظنّة فساد دینی، فله أن یصرفه فی التزویج و إن لم یبق لقریبه شی‌ء، و إن لم یکن کذلک ففی جواز صرفه فی الزواج و ترک إنفاق القریب تأمّل </w:t>
      </w:r>
      <w:r>
        <w:rPr>
          <w:rStyle w:val="FootnoteAnchor"/>
          <w:rtl w:val="true"/>
        </w:rPr>
        <w:footnoteReference w:id="1978"/>
      </w:r>
      <w:r>
        <w:rPr>
          <w:rFonts w:ascii="IRNazanin" w:hAnsi="IRNazanin" w:eastAsia="IRNazanin"/>
          <w:color w:val="111111"/>
          <w:sz w:val="28"/>
          <w:sz w:val="28"/>
          <w:szCs w:val="28"/>
          <w:rtl w:val="true"/>
          <w:lang w:bidi="fa-IR"/>
        </w:rPr>
        <w:t>و إشکال</w:t>
      </w:r>
      <w:r>
        <w:rPr>
          <w:rFonts w:eastAsia="IRNazanin" w:cs="IRNazanin"/>
          <w:color w:val="111111"/>
          <w:sz w:val="28"/>
          <w:szCs w:val="28"/>
          <w:rtl w:val="true"/>
          <w:lang w:bidi="fa-IR"/>
        </w:rPr>
        <w:t>.</w:t>
      </w:r>
    </w:p>
    <w:p>
      <w:pPr>
        <w:pStyle w:val="Heading5"/>
        <w:numPr>
          <w:ilvl w:val="4"/>
          <w:numId w:val="1"/>
        </w:numPr>
        <w:rPr/>
      </w:pPr>
      <w:bookmarkStart w:id="7799" w:name="__RefHeading___Toc2572028_3650668749"/>
      <w:bookmarkStart w:id="7800" w:name="_Toc3523"/>
      <w:bookmarkEnd w:id="7799"/>
      <w:r>
        <w:rPr>
          <w:rtl w:val="true"/>
        </w:rPr>
        <w:t>[ (</w:t>
      </w:r>
      <w:r>
        <w:rPr>
          <w:rtl w:val="true"/>
        </w:rPr>
        <w:t xml:space="preserve">مسألة </w:t>
      </w:r>
      <w:r>
        <w:rPr/>
        <w:t>7</w:t>
      </w:r>
      <w:r>
        <w:rPr>
          <w:rtl w:val="true"/>
        </w:rPr>
        <w:t xml:space="preserve">): </w:t>
      </w:r>
      <w:r>
        <w:rPr>
          <w:rtl w:val="true"/>
        </w:rPr>
        <w:t>لو لم یکن عنده ما ینفقه علیٰ نفسه</w:t>
      </w:r>
      <w:r>
        <w:rPr>
          <w:rtl w:val="true"/>
        </w:rPr>
        <w:t>]</w:t>
      </w:r>
      <w:bookmarkEnd w:id="78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عنده ما ینفقه علیٰ نفسه، وجب علیه التوسّل إلیٰ تحصیله بأیّ وسیلة حتّی بالاستعطاء و السؤال، فضلًا عن الاکتساب اللائق بالحال، و أمّا لو لم یکن عنده ما ینفقه علیٰ زوجته أو قریبه، فلا ینبغی الإشکال فی أنّه یجب علیه تحصیله بالاکتساب اللائق بشأنه و حاله و لا یجب علیه التوسّل إلیٰ تحصیله بمثل الاستیهاب و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وجوب الاقتراض إذا أمکن من دون مشقّة و کان له محلّ الإیفاء فیما بعد، و کذا الشراء نسیئة بالشرطین المذکورین</w:t>
      </w:r>
      <w:r>
        <w:rPr>
          <w:rFonts w:eastAsia="IRNazanin" w:cs="IRNazanin"/>
          <w:color w:val="111111"/>
          <w:sz w:val="28"/>
          <w:szCs w:val="28"/>
          <w:rtl w:val="true"/>
          <w:lang w:bidi="fa-IR"/>
        </w:rPr>
        <w:t>.</w:t>
      </w:r>
    </w:p>
    <w:p>
      <w:pPr>
        <w:pStyle w:val="Heading5"/>
        <w:numPr>
          <w:ilvl w:val="4"/>
          <w:numId w:val="1"/>
        </w:numPr>
        <w:rPr/>
      </w:pPr>
      <w:bookmarkStart w:id="7801" w:name="__RefHeading___Toc2572030_3650668749"/>
      <w:bookmarkStart w:id="7802" w:name="_Toc3524"/>
      <w:bookmarkEnd w:id="7801"/>
      <w:r>
        <w:rPr>
          <w:rtl w:val="true"/>
        </w:rPr>
        <w:t>[ (</w:t>
      </w:r>
      <w:r>
        <w:rPr>
          <w:rtl w:val="true"/>
        </w:rPr>
        <w:t xml:space="preserve">مسألة </w:t>
      </w:r>
      <w:r>
        <w:rPr/>
        <w:t>8</w:t>
      </w:r>
      <w:r>
        <w:rPr>
          <w:rtl w:val="true"/>
        </w:rPr>
        <w:t xml:space="preserve">): </w:t>
      </w:r>
      <w:r>
        <w:rPr>
          <w:rtl w:val="true"/>
        </w:rPr>
        <w:t>لا تقدیر فی نفقة الأقارب، بل الواجب قدر الکفایة</w:t>
      </w:r>
      <w:r>
        <w:rPr>
          <w:rtl w:val="true"/>
        </w:rPr>
        <w:t>]</w:t>
      </w:r>
      <w:bookmarkEnd w:id="78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تقدیر فی نفقة الأقارب، بل الواجب قدر الکفایة من الطعام و الإدام و الکسوة و المسکن، مع ملاحظة الحال و الشأن و الزمان و المکان حسب ما مرّ فی نفقة الزوجة</w:t>
      </w:r>
      <w:r>
        <w:rPr>
          <w:rFonts w:eastAsia="IRNazanin" w:cs="IRNazanin"/>
          <w:color w:val="111111"/>
          <w:sz w:val="28"/>
          <w:szCs w:val="28"/>
          <w:rtl w:val="true"/>
          <w:lang w:bidi="fa-IR"/>
        </w:rPr>
        <w:t>.</w:t>
      </w:r>
    </w:p>
    <w:p>
      <w:pPr>
        <w:pStyle w:val="Heading5"/>
        <w:numPr>
          <w:ilvl w:val="4"/>
          <w:numId w:val="1"/>
        </w:numPr>
        <w:rPr/>
      </w:pPr>
      <w:bookmarkStart w:id="7803" w:name="__RefHeading___Toc2572032_3650668749"/>
      <w:bookmarkStart w:id="7804" w:name="_Toc3525"/>
      <w:bookmarkEnd w:id="7803"/>
      <w:r>
        <w:rPr>
          <w:rtl w:val="true"/>
        </w:rPr>
        <w:t>[ (</w:t>
      </w:r>
      <w:r>
        <w:rPr>
          <w:rtl w:val="true"/>
        </w:rPr>
        <w:t xml:space="preserve">مسألة </w:t>
      </w:r>
      <w:r>
        <w:rPr/>
        <w:t>9</w:t>
      </w:r>
      <w:r>
        <w:rPr>
          <w:rtl w:val="true"/>
        </w:rPr>
        <w:t xml:space="preserve">): </w:t>
      </w:r>
      <w:r>
        <w:rPr>
          <w:rtl w:val="true"/>
        </w:rPr>
        <w:t>لا یجب إعفاف من وجبت نفقته</w:t>
      </w:r>
      <w:r>
        <w:rPr>
          <w:rtl w:val="true"/>
        </w:rPr>
        <w:t>]</w:t>
      </w:r>
      <w:bookmarkEnd w:id="78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إعفاف من وجبت نفقته ولداً کان أو والداً بتزویج أو إعطاء مهر له أو تملیک أمة أو تحلیلها علیه، و إن کان أحوط مع حاجته إلی النکاح و عدم قدرته علی التزویج و بذل الصداق، خصوصاً فی الأب</w:t>
      </w:r>
      <w:r>
        <w:rPr>
          <w:rFonts w:eastAsia="IRNazanin" w:cs="IRNazanin"/>
          <w:color w:val="111111"/>
          <w:sz w:val="28"/>
          <w:szCs w:val="28"/>
          <w:rtl w:val="true"/>
          <w:lang w:bidi="fa-IR"/>
        </w:rPr>
        <w:t>.</w:t>
      </w:r>
    </w:p>
    <w:p>
      <w:pPr>
        <w:pStyle w:val="Heading5"/>
        <w:numPr>
          <w:ilvl w:val="4"/>
          <w:numId w:val="1"/>
        </w:numPr>
        <w:rPr/>
      </w:pPr>
      <w:bookmarkStart w:id="7805" w:name="__RefHeading___Toc2572034_3650668749"/>
      <w:bookmarkStart w:id="7806" w:name="_Toc3526"/>
      <w:bookmarkEnd w:id="7805"/>
      <w:r>
        <w:rPr>
          <w:rtl w:val="true"/>
        </w:rPr>
        <w:t>[ (</w:t>
      </w:r>
      <w:r>
        <w:rPr>
          <w:rtl w:val="true"/>
        </w:rPr>
        <w:t xml:space="preserve">مسألة </w:t>
      </w:r>
      <w:r>
        <w:rPr/>
        <w:t>10</w:t>
      </w:r>
      <w:r>
        <w:rPr>
          <w:rtl w:val="true"/>
        </w:rPr>
        <w:t xml:space="preserve">): </w:t>
      </w:r>
      <w:r>
        <w:rPr>
          <w:rtl w:val="true"/>
        </w:rPr>
        <w:t>یجب علی الولد نفقة والده دون أولاده</w:t>
      </w:r>
      <w:r>
        <w:rPr>
          <w:rtl w:val="true"/>
        </w:rPr>
        <w:t>]</w:t>
      </w:r>
      <w:bookmarkEnd w:id="78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الولد نفقة والده دون أولاده؛ لأنّهم إخوته و دون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 الوالد نفقة ولده دون زوجته، نعم یجب علیه نفقة أولاده أیضاً لأنّهم أولاده</w:t>
      </w:r>
      <w:r>
        <w:rPr>
          <w:rFonts w:eastAsia="IRNazanin" w:cs="IRNazanin"/>
          <w:color w:val="111111"/>
          <w:sz w:val="28"/>
          <w:szCs w:val="28"/>
          <w:rtl w:val="true"/>
          <w:lang w:bidi="fa-IR"/>
        </w:rPr>
        <w:t>.</w:t>
      </w:r>
    </w:p>
    <w:p>
      <w:pPr>
        <w:pStyle w:val="Heading5"/>
        <w:numPr>
          <w:ilvl w:val="4"/>
          <w:numId w:val="1"/>
        </w:numPr>
        <w:rPr/>
      </w:pPr>
      <w:bookmarkStart w:id="7807" w:name="__RefHeading___Toc2572036_3650668749"/>
      <w:bookmarkStart w:id="7808" w:name="_Toc3527"/>
      <w:bookmarkEnd w:id="7807"/>
      <w:r>
        <w:rPr>
          <w:rtl w:val="true"/>
        </w:rPr>
        <w:t>[ (</w:t>
      </w:r>
      <w:r>
        <w:rPr>
          <w:rtl w:val="true"/>
        </w:rPr>
        <w:t xml:space="preserve">مسألة </w:t>
      </w:r>
      <w:r>
        <w:rPr/>
        <w:t>11</w:t>
      </w:r>
      <w:r>
        <w:rPr>
          <w:rtl w:val="true"/>
        </w:rPr>
        <w:t xml:space="preserve">): </w:t>
      </w:r>
      <w:r>
        <w:rPr>
          <w:rtl w:val="true"/>
        </w:rPr>
        <w:t>لا تقضیٰ نفقة الأقارب و لا یتدارکه لو فات فی وقته و زمانه</w:t>
      </w:r>
      <w:r>
        <w:rPr>
          <w:rtl w:val="true"/>
        </w:rPr>
        <w:t>]</w:t>
      </w:r>
      <w:bookmarkEnd w:id="7808"/>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تقضیٰ نفقة الأقارب و لا یتدارکه لو فات فی وقته و زمانه و لو بتقصیر من المنفق و لا یستقرّ فی ذمّته، بخلاف الزوجة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لم ینفق علیه لغیبته أو امتنع عن إنفاقه مع یساره و رفع المنفق علیه أمره إلی الحاکم فأمره بالاستدانة علیه، فاستدان علیه اشتغلت ذمّته بما استدانه و وجب علیه قضاؤه، و إن تعذّر الحاکم، فالظاهر أنّه یجتزی بنیّته </w:t>
      </w:r>
      <w:r>
        <w:rPr>
          <w:rStyle w:val="FootnoteAnchor"/>
          <w:rtl w:val="true"/>
        </w:rPr>
        <w:footnoteReference w:id="1979"/>
      </w:r>
      <w:r>
        <w:rPr>
          <w:rFonts w:ascii="IRNazanin" w:hAnsi="IRNazanin" w:eastAsia="IRNazanin"/>
          <w:color w:val="111111"/>
          <w:sz w:val="28"/>
          <w:sz w:val="28"/>
          <w:szCs w:val="28"/>
          <w:rtl w:val="true"/>
          <w:lang w:bidi="fa-IR"/>
        </w:rPr>
        <w:t>بمعنی أنّه لو استدان بقصد کونه علی المنفق وجب علیه قضاؤه</w:t>
      </w:r>
      <w:r>
        <w:rPr>
          <w:rFonts w:eastAsia="IRNazanin" w:cs="IRNazanin"/>
          <w:color w:val="111111"/>
          <w:sz w:val="28"/>
          <w:szCs w:val="28"/>
          <w:rtl w:val="true"/>
          <w:lang w:bidi="fa-IR"/>
        </w:rPr>
        <w:t>.</w:t>
      </w:r>
      <w:bookmarkStart w:id="7809" w:name="pg1809_19985"/>
    </w:p>
    <w:p>
      <w:pPr>
        <w:pStyle w:val="Heading5"/>
        <w:numPr>
          <w:ilvl w:val="4"/>
          <w:numId w:val="1"/>
        </w:numPr>
        <w:rPr/>
      </w:pPr>
      <w:bookmarkStart w:id="7810" w:name="__RefHeading___Toc2572038_3650668749"/>
      <w:bookmarkStart w:id="7811" w:name="_Toc3528"/>
      <w:bookmarkEnd w:id="7809"/>
      <w:bookmarkEnd w:id="7810"/>
      <w:r>
        <w:rPr>
          <w:rtl w:val="true"/>
        </w:rPr>
        <w:t>[ (</w:t>
      </w:r>
      <w:r>
        <w:rPr>
          <w:rtl w:val="true"/>
        </w:rPr>
        <w:t xml:space="preserve">مسألة </w:t>
      </w:r>
      <w:r>
        <w:rPr/>
        <w:t>12</w:t>
      </w:r>
      <w:r>
        <w:rPr>
          <w:rtl w:val="true"/>
        </w:rPr>
        <w:t xml:space="preserve">): </w:t>
      </w:r>
      <w:r>
        <w:rPr>
          <w:rtl w:val="true"/>
        </w:rPr>
        <w:t>قد ظهر ممّا مرّ</w:t>
      </w:r>
      <w:r>
        <w:rPr>
          <w:rtl w:val="true"/>
        </w:rPr>
        <w:t xml:space="preserve">: </w:t>
      </w:r>
      <w:r>
        <w:rPr>
          <w:rtl w:val="true"/>
        </w:rPr>
        <w:t>أنّ وجوب الإنفاق ثابت بشروطه فی عمودی النسب</w:t>
      </w:r>
      <w:r>
        <w:rPr>
          <w:rtl w:val="true"/>
        </w:rPr>
        <w:t>]</w:t>
      </w:r>
      <w:bookmarkEnd w:id="78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الإنفاق ثابت بشروطه فی عمودی النسب أعنی بین الأُصول و الفروع دون الحواشی کالإخوة و الأعمام و الأخوال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فلیعلم أنّ لوجوب الإنفاق ترتیب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المنفق، و من جهة المنفق علیه؛ أمّا من 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فتجب نفقة الولد ذکراً کان أو أُنثی علیٰ أبیه، و مع عدمه أو فقره فعلی جدّة للأب، و مع عدمه أو إعساره فعلی جدّ الأب و هکذا متعالیاً الأقرب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عدمت الآباء أو کانوا معسرین فعلی أُمّ الولد، و مع عدمها أو إعسارها فعلی أبیها و أُمّها و أبی أبیها و أُمّ أبیها و أبی أُمّها و أُمّ أُمّها و هکذا الأقرب فالأقرب، و مع التساوی فی الدرجة یشترکون فی الإنفاق بالسویّة؛ و إن اختلفوا فی الذکورة و الأُنوثة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حکم آباء الامّ و أُمّهاتها أُمّ الأب و کلّ من تقرّب إلی الأب بالأُمّ کأبی أُمّ الأب و أُمّ أُمّ الأب و أُمّ أبی الأب و هکذا، فإنّه تجب علیهم نفقة الولد مع فقد آبائه و أُمّه مع مراعاة الأقرب فالأقرب إلی الولد، فإذا کان له أب و جدّ موسران کانت نفقته علی الأب، و إذا کان له أب مع أُمّ کانت نفقته علی الأب، و إذا کان له جدّ الأب مع أُمّ کانت نفقته علی الجدّ، و إذا کان له جدّ لُامّ مع أُمّ کانت نفقته علی الامّ، و إذا کان له جدّ و جدّة لُامّ تشارکا فی الإنفاق علیه بالسویّة، و إذا کانت له جدّة لأب مع جدّ و جدّة لُامّ تشارکوا فیه ثلاثاً، هذا کلّه فی الأُصول؛ أعنی الآباء و الأُمّهات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الفروع أعنی الأولاد فتجب نفقة الأب و الأُمّ عند الإعسار علی الولد مع الیسار ذکراً کان أم أُنثی، و مع فقده أو إعساره فعلی ولد الولد؛ أعنی ابن ابن أو بنت و بنت ابن أو بنت و هکذا الأقرب فالأقرب، و مع التعدّد و التساوی فی الدرجة یشترکون بالسویّة، فلو کان له ابن أو بنت مع ابن ابن مثلًا کانت نفقته علی الابن أو البنت، و لو کان له ابنان أو بنتان أو ابن و بنت اشترکا فی الإنفاق بالسویّة، و إذا اجتمع الأُصول مع الفروع یراعی الأقرب فالأقرب، و مع التساوی یتشارکون، فإذا کان له أب مع ابن أو بنت تشارکا بالسویّة، و إذا کان له أب مع ابن ابن أو ابن بنت کانت نفقته علی الأب، و إذا کان له ابن و جدّ لأب کانت علی الابن، و إذا کان له ابن ابن مع جدّ لأب تشارکا بالسویّة، و إذا کانت له أُمّ مع ابن ابن أو ابن بنت مثلًا کانت نفقته علی الامّ، و یشکل الأمر فیما إذا اجتمعت الامّ مع الابن أو البنت، و الأحوط التراضی و التصالح علی الاشتراک بالتسویة</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عنده زائداً علیٰ نفقته و نفقة زوجته ما یکفی لإنفاق</w:t>
      </w:r>
      <w:bookmarkStart w:id="7812" w:name="pg1809_19986"/>
    </w:p>
    <w:p>
      <w:pPr>
        <w:pStyle w:val="BookText"/>
        <w:rPr/>
      </w:pPr>
      <w:bookmarkEnd w:id="7812"/>
      <w:r>
        <w:rPr>
          <w:rFonts w:ascii="IRNazanin" w:hAnsi="IRNazanin" w:eastAsia="IRNazanin"/>
          <w:color w:val="111111"/>
          <w:sz w:val="28"/>
          <w:sz w:val="28"/>
          <w:szCs w:val="28"/>
          <w:rtl w:val="true"/>
          <w:lang w:bidi="fa-IR"/>
        </w:rPr>
        <w:t xml:space="preserve">جمیع أقاربه المحتاجین وجب علیه نفقة الجمیع، و إذا لم یکف إلّا لإنفاق بعضهم ینفق علی الأقرب فالأقرب منهم، فإذا کان عنده ابن أو بنت مع ابن ابن و کان عنده ما یکفی أحدهما ینفق علی الابن أو البنت دون ابن ابن، و إذا کان عنده أبواه مع ابن ابن و ابن بنت أو مع جدّ و جدّة لأب أو لُامّ أو بالاختلاف و کان عنده ما یکفی اثنین، أنفق علی الأبوین و هکذا، و أمّا إذا کان عنده قریبان أو أزید فی مرتبة واحدة و کان عنده ما لا یکفی الجمیع فالأقرب أنّه یقسّم بینهم </w:t>
      </w:r>
      <w:r>
        <w:rPr>
          <w:rStyle w:val="FootnoteAnchor"/>
          <w:rtl w:val="true"/>
        </w:rPr>
        <w:footnoteReference w:id="1980"/>
      </w:r>
      <w:r>
        <w:rPr>
          <w:rFonts w:ascii="Amiri" w:hAnsi="Amiri" w:eastAsia="Amiri" w:cs="Amiri"/>
          <w:color w:val="111111"/>
          <w:sz w:val="28"/>
          <w:sz w:val="28"/>
          <w:szCs w:val="28"/>
          <w:rtl w:val="true"/>
          <w:lang w:bidi="ar-SA"/>
        </w:rPr>
        <w:t>بالسویّة</w:t>
      </w:r>
      <w:r>
        <w:rPr>
          <w:rFonts w:eastAsia="Amiri" w:cs="Amiri" w:ascii="Amiri" w:hAnsi="Amiri"/>
          <w:color w:val="111111"/>
          <w:sz w:val="28"/>
          <w:szCs w:val="28"/>
          <w:rtl w:val="true"/>
          <w:lang w:bidi="ar-SA"/>
        </w:rPr>
        <w:t>.</w:t>
      </w:r>
    </w:p>
    <w:p>
      <w:pPr>
        <w:pStyle w:val="Heading5"/>
        <w:numPr>
          <w:ilvl w:val="4"/>
          <w:numId w:val="1"/>
        </w:numPr>
        <w:rPr/>
      </w:pPr>
      <w:bookmarkStart w:id="7813" w:name="__RefHeading___Toc2572040_3650668749"/>
      <w:bookmarkStart w:id="7814" w:name="_Toc3529"/>
      <w:bookmarkEnd w:id="7813"/>
      <w:r>
        <w:rPr>
          <w:rtl w:val="true"/>
        </w:rPr>
        <w:t>[ (</w:t>
      </w:r>
      <w:r>
        <w:rPr>
          <w:rtl w:val="true"/>
        </w:rPr>
        <w:t xml:space="preserve">مسألة </w:t>
      </w:r>
      <w:r>
        <w:rPr/>
        <w:t>13</w:t>
      </w:r>
      <w:r>
        <w:rPr>
          <w:rtl w:val="true"/>
        </w:rPr>
        <w:t xml:space="preserve">): </w:t>
      </w:r>
      <w:r>
        <w:rPr>
          <w:rtl w:val="true"/>
        </w:rPr>
        <w:t>لو کان له ولدان و لم یقدر إلّا علیٰ نفقة أحدهما</w:t>
      </w:r>
      <w:r>
        <w:rPr>
          <w:rtl w:val="true"/>
        </w:rPr>
        <w:t>]</w:t>
      </w:r>
      <w:bookmarkEnd w:id="78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ولدان و لم یقدر إلّا علیٰ نفقة أحدهما و کان له أب موسر، فإن اختلفا فی قدر النفقة و کان ما عنده یکفی لأحدهما بعینه کالأقلّ نفقة اختصّ به، و کان نفقة الآخر علیٰ أبیه جدّ الولدین، و إن اتّفقا فی مقدار النفقة، فإن توافق مع الجدّ فی أن یشترکا فی إنفاقهما أو تراضیا علیٰ أن یکون أحدهما المعیّن فی نفقة أحدهما و الآخر فی نفقة آخر فهو، و إلّا رجعا إلی القرعة</w:t>
      </w:r>
      <w:r>
        <w:rPr>
          <w:rFonts w:eastAsia="IRNazanin" w:cs="IRNazanin"/>
          <w:color w:val="111111"/>
          <w:sz w:val="28"/>
          <w:szCs w:val="28"/>
          <w:rtl w:val="true"/>
          <w:lang w:bidi="fa-IR"/>
        </w:rPr>
        <w:t>.</w:t>
      </w:r>
    </w:p>
    <w:p>
      <w:pPr>
        <w:pStyle w:val="Heading5"/>
        <w:numPr>
          <w:ilvl w:val="4"/>
          <w:numId w:val="1"/>
        </w:numPr>
        <w:rPr/>
      </w:pPr>
      <w:bookmarkStart w:id="7815" w:name="__RefHeading___Toc2572042_3650668749"/>
      <w:bookmarkStart w:id="7816" w:name="_Toc3530"/>
      <w:bookmarkEnd w:id="7815"/>
      <w:r>
        <w:rPr>
          <w:rtl w:val="true"/>
        </w:rPr>
        <w:t>[ (</w:t>
      </w:r>
      <w:r>
        <w:rPr>
          <w:rtl w:val="true"/>
        </w:rPr>
        <w:t xml:space="preserve">مسألة </w:t>
      </w:r>
      <w:r>
        <w:rPr/>
        <w:t>14</w:t>
      </w:r>
      <w:r>
        <w:rPr>
          <w:rtl w:val="true"/>
        </w:rPr>
        <w:t xml:space="preserve">): </w:t>
      </w:r>
      <w:r>
        <w:rPr>
          <w:rtl w:val="true"/>
        </w:rPr>
        <w:t>لو امتنع من وجبت علیه النفقة عن الإنفاق، أجبره الحاکم</w:t>
      </w:r>
      <w:r>
        <w:rPr>
          <w:rtl w:val="true"/>
        </w:rPr>
        <w:t>]</w:t>
      </w:r>
      <w:bookmarkEnd w:id="78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امتنع من وجبت علیه النفقة عن الإنفاق، أجبره الحاکم و مع عدمه فعدول </w:t>
      </w:r>
      <w:r>
        <w:rPr>
          <w:rStyle w:val="FootnoteAnchor"/>
          <w:rtl w:val="true"/>
        </w:rPr>
        <w:footnoteReference w:id="1981"/>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یمکن إجباره، فإن کان له مال أمکن للمنفق علیه أن یقتصّ منه مقدار نفقته جاز له </w:t>
      </w:r>
      <w:r>
        <w:rPr>
          <w:rStyle w:val="FootnoteAnchor"/>
          <w:rtl w:val="true"/>
        </w:rPr>
        <w:footnoteReference w:id="1982"/>
      </w:r>
      <w:r>
        <w:rPr>
          <w:rFonts w:ascii="IRNazanin" w:hAnsi="IRNazanin" w:eastAsia="IRNazanin"/>
          <w:color w:val="111111"/>
          <w:sz w:val="28"/>
          <w:sz w:val="28"/>
          <w:szCs w:val="28"/>
          <w:rtl w:val="true"/>
          <w:lang w:bidi="fa-IR"/>
        </w:rPr>
        <w:t xml:space="preserve">، و إلّا أمره الحاکم بالاستدانة علیه، و مع تعذّر الحاکم جاز له ذلک </w:t>
      </w:r>
      <w:r>
        <w:rPr>
          <w:rStyle w:val="FootnoteAnchor"/>
          <w:rtl w:val="true"/>
        </w:rPr>
        <w:footnoteReference w:id="1983"/>
      </w: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w:t>
      </w:r>
    </w:p>
    <w:p>
      <w:pPr>
        <w:pStyle w:val="Heading4"/>
        <w:numPr>
          <w:ilvl w:val="3"/>
          <w:numId w:val="1"/>
        </w:numPr>
        <w:rPr/>
      </w:pPr>
      <w:bookmarkStart w:id="7817" w:name="__RefHeading___Toc2572044_3650668749"/>
      <w:bookmarkStart w:id="7818" w:name="_Toc3531"/>
      <w:bookmarkEnd w:id="7817"/>
      <w:r>
        <w:rPr>
          <w:rtl w:val="true"/>
        </w:rPr>
        <w:t>[</w:t>
      </w:r>
      <w:r>
        <w:rPr>
          <w:rtl w:val="true"/>
        </w:rPr>
        <w:t>القول فی الملک</w:t>
      </w:r>
      <w:r>
        <w:rPr>
          <w:rtl w:val="true"/>
        </w:rPr>
        <w:t>]</w:t>
      </w:r>
      <w:bookmarkEnd w:id="7818"/>
    </w:p>
    <w:p>
      <w:pPr>
        <w:pStyle w:val="Heading5"/>
        <w:numPr>
          <w:ilvl w:val="4"/>
          <w:numId w:val="1"/>
        </w:numPr>
        <w:rPr/>
      </w:pPr>
      <w:bookmarkStart w:id="7819" w:name="__RefHeading___Toc2572046_3650668749"/>
      <w:bookmarkStart w:id="7820" w:name="_Toc3532"/>
      <w:bookmarkEnd w:id="7819"/>
      <w:r>
        <w:rPr>
          <w:rtl w:val="true"/>
        </w:rPr>
        <w:t>[ (</w:t>
      </w:r>
      <w:r>
        <w:rPr>
          <w:rtl w:val="true"/>
        </w:rPr>
        <w:t xml:space="preserve">مسألة </w:t>
      </w:r>
      <w:r>
        <w:rPr/>
        <w:t>15</w:t>
      </w:r>
      <w:r>
        <w:rPr>
          <w:rtl w:val="true"/>
        </w:rPr>
        <w:t xml:space="preserve">): </w:t>
      </w:r>
      <w:r>
        <w:rPr>
          <w:rtl w:val="true"/>
        </w:rPr>
        <w:t>تجب نفقة المملوک؛ رقیقاً کان أو غیره، حتّی النحل و دود القزّ علیٰ مالکه</w:t>
      </w:r>
      <w:r>
        <w:rPr>
          <w:rtl w:val="true"/>
        </w:rPr>
        <w:t>]</w:t>
      </w:r>
      <w:bookmarkEnd w:id="7820"/>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نفقة المملوک؛ رقیقاً کان أو غیره، حتّی النحل و دود القزّ علیٰ مالکه، و مولی الرقیق بالخیار بین الإنفاق علیه من خالص ماله أو من کسبه؛ بأن یرخّصه فی أن یکتسب و یصرف ما حصّله فی نفقته و ما زاد لسیّده، فلو قصر کسبه عن نفقته کان علی المولی إتمامه، و لا تقدیر لنفقته، بل الواجب قدر الکفایة من طعام و إدام و کسوة، و یرجع</w:t>
      </w:r>
      <w:bookmarkStart w:id="7821" w:name="pg1809_19987"/>
    </w:p>
    <w:p>
      <w:pPr>
        <w:pStyle w:val="BookText"/>
        <w:rPr/>
      </w:pPr>
      <w:bookmarkEnd w:id="7821"/>
      <w:r>
        <w:rPr>
          <w:rFonts w:ascii="IRNazanin" w:hAnsi="IRNazanin" w:eastAsia="IRNazanin"/>
          <w:color w:val="111111"/>
          <w:sz w:val="28"/>
          <w:sz w:val="28"/>
          <w:szCs w:val="28"/>
          <w:rtl w:val="true"/>
          <w:lang w:bidi="fa-IR"/>
        </w:rPr>
        <w:t>فی جنس ذلک إلیٰ عادة ممالیک أمثال السیّد من أهل بلده، کما أنّه لا تقدیر لنفقة البهیمة، بل الواجب القیام بما تحتاج إلیه من أکل و سقی و مکان رحل و نحو ذلک، و أمّا مالکها بالخیار بین علفها و إطعامها و بین تخلیتها ترعی فی خصب الأرض فإن اجتزأت بالرعی، و إلّا علّفها بمقدار کفایتها</w:t>
      </w:r>
      <w:r>
        <w:rPr>
          <w:rFonts w:eastAsia="IRNazanin" w:cs="IRNazanin"/>
          <w:color w:val="111111"/>
          <w:sz w:val="28"/>
          <w:szCs w:val="28"/>
          <w:rtl w:val="true"/>
          <w:lang w:bidi="fa-IR"/>
        </w:rPr>
        <w:t>.</w:t>
      </w:r>
    </w:p>
    <w:p>
      <w:pPr>
        <w:pStyle w:val="Heading5"/>
        <w:numPr>
          <w:ilvl w:val="4"/>
          <w:numId w:val="1"/>
        </w:numPr>
        <w:rPr/>
      </w:pPr>
      <w:bookmarkStart w:id="7822" w:name="__RefHeading___Toc2572048_3650668749"/>
      <w:bookmarkStart w:id="7823" w:name="_Toc3533"/>
      <w:bookmarkEnd w:id="7822"/>
      <w:r>
        <w:rPr>
          <w:rtl w:val="true"/>
        </w:rPr>
        <w:t>[ (</w:t>
      </w:r>
      <w:r>
        <w:rPr>
          <w:rtl w:val="true"/>
        </w:rPr>
        <w:t xml:space="preserve">مسألة </w:t>
      </w:r>
      <w:r>
        <w:rPr/>
        <w:t>16</w:t>
      </w:r>
      <w:r>
        <w:rPr>
          <w:rtl w:val="true"/>
        </w:rPr>
        <w:t xml:space="preserve">): </w:t>
      </w:r>
      <w:r>
        <w:rPr>
          <w:rtl w:val="true"/>
        </w:rPr>
        <w:t>لو امتنع المولی من الإنفاق علیٰ رقیقه اجبر علیٰ بیعه</w:t>
      </w:r>
      <w:r>
        <w:rPr>
          <w:rtl w:val="true"/>
        </w:rPr>
        <w:t>]</w:t>
      </w:r>
      <w:bookmarkEnd w:id="7823"/>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امتنع المولی من الإنفاق علیٰ رقیقه اجبر علیٰ بیعه أو غیره ممّا یزیل ملکه عنه أو الإنفاق علیه، کما أنّه لو امتنع المالک من الإنفاق علی البهیمة و لو بتخلیتها للرعی الکافی لها اجبر علیٰ بیعها أو الإنفاق علیها أو ذبحها إن کانت ممّا یقصد بذبحها اللحم</w:t>
      </w:r>
      <w:r>
        <w:rPr>
          <w:rFonts w:eastAsia="IRNazanin" w:cs="IRNazanin"/>
          <w:color w:val="111111"/>
          <w:sz w:val="28"/>
          <w:szCs w:val="28"/>
          <w:rtl w:val="true"/>
          <w:lang w:bidi="fa-IR"/>
        </w:rPr>
        <w:t>.</w:t>
      </w:r>
      <w:bookmarkStart w:id="7824" w:name="pg1809_19988"/>
    </w:p>
    <w:p>
      <w:pPr>
        <w:pStyle w:val="Heading2"/>
        <w:numPr>
          <w:ilvl w:val="1"/>
          <w:numId w:val="1"/>
        </w:numPr>
        <w:rPr/>
      </w:pPr>
      <w:bookmarkStart w:id="7825" w:name="__RefHeading___Toc2572050_3650668749"/>
      <w:bookmarkStart w:id="7826" w:name="_Toc3534"/>
      <w:bookmarkEnd w:id="7824"/>
      <w:bookmarkEnd w:id="7825"/>
      <w:r>
        <w:rPr>
          <w:rtl w:val="true"/>
        </w:rPr>
        <w:t>[</w:t>
      </w:r>
      <w:r>
        <w:rPr>
          <w:rtl w:val="true"/>
        </w:rPr>
        <w:t>کتاب الطلاق</w:t>
      </w:r>
      <w:r>
        <w:rPr>
          <w:rtl w:val="true"/>
        </w:rPr>
        <w:t>]</w:t>
      </w:r>
      <w:bookmarkEnd w:id="7826"/>
    </w:p>
    <w:p>
      <w:pPr>
        <w:pStyle w:val="Heading3"/>
        <w:numPr>
          <w:ilvl w:val="2"/>
          <w:numId w:val="1"/>
        </w:numPr>
        <w:rPr/>
      </w:pPr>
      <w:bookmarkStart w:id="7827" w:name="__RefHeading___Toc2572052_3650668749"/>
      <w:bookmarkStart w:id="7828" w:name="_Toc3535"/>
      <w:bookmarkEnd w:id="7827"/>
      <w:r>
        <w:rPr>
          <w:rtl w:val="true"/>
        </w:rPr>
        <w:t>اشارة</w:t>
      </w:r>
      <w:bookmarkEnd w:id="7828"/>
    </w:p>
    <w:p>
      <w:pPr>
        <w:pStyle w:val="BookText"/>
        <w:rPr/>
      </w:pPr>
      <w:r>
        <w:rPr>
          <w:rFonts w:ascii="IRNazanin" w:hAnsi="IRNazanin" w:eastAsia="IRNazanin"/>
          <w:color w:val="111111"/>
          <w:sz w:val="28"/>
          <w:sz w:val="28"/>
          <w:szCs w:val="28"/>
          <w:rtl w:val="true"/>
          <w:lang w:bidi="fa-IR"/>
        </w:rPr>
        <w:t>کتاب الطلاق و له شروط و أقسام و لواحق و أحکام</w:t>
      </w:r>
      <w:r>
        <w:rPr>
          <w:rFonts w:eastAsia="IRNazanin" w:cs="IRNazanin"/>
          <w:color w:val="111111"/>
          <w:sz w:val="28"/>
          <w:szCs w:val="28"/>
          <w:rtl w:val="true"/>
          <w:lang w:bidi="fa-IR"/>
        </w:rPr>
        <w:t>:</w:t>
      </w:r>
    </w:p>
    <w:p>
      <w:pPr>
        <w:pStyle w:val="Heading3"/>
        <w:numPr>
          <w:ilvl w:val="2"/>
          <w:numId w:val="1"/>
        </w:numPr>
        <w:rPr/>
      </w:pPr>
      <w:bookmarkStart w:id="7829" w:name="__RefHeading___Toc2572054_3650668749"/>
      <w:bookmarkStart w:id="7830" w:name="_Toc3536"/>
      <w:bookmarkEnd w:id="7829"/>
      <w:r>
        <w:rPr>
          <w:rtl w:val="true"/>
        </w:rPr>
        <w:t>[</w:t>
      </w:r>
      <w:r>
        <w:rPr>
          <w:rtl w:val="true"/>
        </w:rPr>
        <w:t>القول فی شروطه</w:t>
      </w:r>
      <w:r>
        <w:rPr>
          <w:rtl w:val="true"/>
        </w:rPr>
        <w:t>]</w:t>
      </w:r>
      <w:bookmarkEnd w:id="7830"/>
    </w:p>
    <w:p>
      <w:pPr>
        <w:pStyle w:val="Heading4"/>
        <w:numPr>
          <w:ilvl w:val="3"/>
          <w:numId w:val="1"/>
        </w:numPr>
        <w:rPr/>
      </w:pPr>
      <w:bookmarkStart w:id="7831" w:name="__RefHeading___Toc2572056_3650668749"/>
      <w:bookmarkStart w:id="7832" w:name="_Toc3537"/>
      <w:bookmarkEnd w:id="7831"/>
      <w:r>
        <w:rPr>
          <w:rtl w:val="true"/>
        </w:rPr>
        <w:t>اشارة</w:t>
      </w:r>
      <w:bookmarkEnd w:id="7832"/>
    </w:p>
    <w:p>
      <w:pPr>
        <w:pStyle w:val="BookText"/>
        <w:rPr/>
      </w:pPr>
      <w:r>
        <w:rPr>
          <w:rFonts w:ascii="IRNazanin" w:hAnsi="IRNazanin" w:eastAsia="IRNazanin"/>
          <w:color w:val="111111"/>
          <w:sz w:val="28"/>
          <w:sz w:val="28"/>
          <w:szCs w:val="28"/>
          <w:rtl w:val="true"/>
          <w:lang w:bidi="fa-IR"/>
        </w:rPr>
        <w:t>القول فی شروطه</w:t>
      </w:r>
    </w:p>
    <w:p>
      <w:pPr>
        <w:pStyle w:val="Heading4"/>
        <w:numPr>
          <w:ilvl w:val="3"/>
          <w:numId w:val="1"/>
        </w:numPr>
        <w:rPr/>
      </w:pPr>
      <w:bookmarkStart w:id="7833" w:name="__RefHeading___Toc2572058_3650668749"/>
      <w:bookmarkStart w:id="7834" w:name="_Toc3538"/>
      <w:bookmarkEnd w:id="7833"/>
      <w:r>
        <w:rPr>
          <w:rtl w:val="true"/>
        </w:rPr>
        <w:t>[ (</w:t>
      </w:r>
      <w:r>
        <w:rPr>
          <w:rtl w:val="true"/>
        </w:rPr>
        <w:t xml:space="preserve">مسألة </w:t>
      </w:r>
      <w:r>
        <w:rPr/>
        <w:t>1</w:t>
      </w:r>
      <w:r>
        <w:rPr>
          <w:rtl w:val="true"/>
        </w:rPr>
        <w:t xml:space="preserve">): </w:t>
      </w:r>
      <w:r>
        <w:rPr>
          <w:rtl w:val="true"/>
        </w:rPr>
        <w:t>یشترط فی الزوج المطلّق</w:t>
      </w:r>
      <w:r>
        <w:rPr>
          <w:rtl w:val="true"/>
        </w:rPr>
        <w:t xml:space="preserve">: </w:t>
      </w:r>
      <w:r>
        <w:rPr>
          <w:rtl w:val="true"/>
        </w:rPr>
        <w:t>البلوغ و العقل</w:t>
      </w:r>
      <w:r>
        <w:rPr>
          <w:rtl w:val="true"/>
        </w:rPr>
        <w:t>]</w:t>
      </w:r>
      <w:bookmarkEnd w:id="78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الزوج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w:t>
      </w:r>
      <w:r>
        <w:rPr>
          <w:rStyle w:val="FootnoteAnchor"/>
          <w:rtl w:val="true"/>
        </w:rPr>
        <w:footnoteReference w:id="1984"/>
      </w:r>
      <w:r>
        <w:rPr>
          <w:rFonts w:ascii="IRNazanin" w:hAnsi="IRNazanin" w:eastAsia="IRNazanin"/>
          <w:color w:val="111111"/>
          <w:sz w:val="28"/>
          <w:sz w:val="28"/>
          <w:szCs w:val="28"/>
          <w:rtl w:val="true"/>
          <w:lang w:bidi="fa-IR"/>
        </w:rPr>
        <w:t xml:space="preserve">و العقل، فلا یصحّ طلاق الصبیّ لا بالمباشرة و لا بتوکیل الغیر و إن کان ممیّزاً و له عشر سنین؛ و إن کان الاحتیاط فی الطلاق الواقع ممّن بلغ العشر لا ینبغی ترکه </w:t>
      </w:r>
      <w:r>
        <w:rPr>
          <w:rStyle w:val="FootnoteAnchor"/>
          <w:rtl w:val="true"/>
        </w:rPr>
        <w:footnoteReference w:id="1985"/>
      </w:r>
      <w:r>
        <w:rPr>
          <w:rFonts w:ascii="IRNazanin" w:hAnsi="IRNazanin" w:eastAsia="IRNazanin"/>
          <w:color w:val="111111"/>
          <w:sz w:val="28"/>
          <w:sz w:val="28"/>
          <w:szCs w:val="28"/>
          <w:rtl w:val="true"/>
          <w:lang w:bidi="fa-IR"/>
        </w:rPr>
        <w:t>لمکان بعض الأخبار و فتوی جماعة من الفقهاء بصحّته، و لا طلاق المجنون مطبقاً أو أدواراً حال جنونه، و یلحق به السکران و نحوه ممّن زال عقله</w:t>
      </w:r>
      <w:r>
        <w:rPr>
          <w:rFonts w:eastAsia="IRNazanin" w:cs="IRNazanin"/>
          <w:color w:val="111111"/>
          <w:sz w:val="28"/>
          <w:szCs w:val="28"/>
          <w:rtl w:val="true"/>
          <w:lang w:bidi="fa-IR"/>
        </w:rPr>
        <w:t>.</w:t>
      </w:r>
    </w:p>
    <w:p>
      <w:pPr>
        <w:pStyle w:val="Heading4"/>
        <w:numPr>
          <w:ilvl w:val="3"/>
          <w:numId w:val="1"/>
        </w:numPr>
        <w:rPr/>
      </w:pPr>
      <w:bookmarkStart w:id="7835" w:name="__RefHeading___Toc2572060_3650668749"/>
      <w:bookmarkStart w:id="7836" w:name="_Toc3539"/>
      <w:bookmarkEnd w:id="7835"/>
      <w:r>
        <w:rPr>
          <w:rtl w:val="true"/>
        </w:rPr>
        <w:t>[ (</w:t>
      </w:r>
      <w:r>
        <w:rPr>
          <w:rtl w:val="true"/>
        </w:rPr>
        <w:t xml:space="preserve">مسألة </w:t>
      </w:r>
      <w:r>
        <w:rPr/>
        <w:t>2</w:t>
      </w:r>
      <w:r>
        <w:rPr>
          <w:rtl w:val="true"/>
        </w:rPr>
        <w:t xml:space="preserve">): </w:t>
      </w:r>
      <w:r>
        <w:rPr>
          <w:rtl w:val="true"/>
        </w:rPr>
        <w:t>کما لا یصحّ طلاق الصبیّ بالمباشرة و التوکیل، کذلک لا یصحّ طلاق ولیّه عنه</w:t>
      </w:r>
      <w:r>
        <w:rPr>
          <w:rtl w:val="true"/>
        </w:rPr>
        <w:t>]</w:t>
      </w:r>
      <w:bookmarkEnd w:id="78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یصحّ طلاق الصبیّ بالمباشرة و التوکیل، کذلک لا یصحّ طلاق ولیّه عنه کأبیه و جدّه فضلًا عن الوصیّ و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بلغ فاسد العقل، أو طرأ علیه الجنون بعد البلوغ طلّق عنه ولیّه مع مراعاة الغبطة و الصلاح، فإن لم یکن له أب و جدّ فالأمر إلی الحاکم، و إن کان أحدهما معه فالأحوط </w:t>
      </w:r>
      <w:r>
        <w:rPr>
          <w:rStyle w:val="FootnoteAnchor"/>
          <w:rtl w:val="true"/>
        </w:rPr>
        <w:footnoteReference w:id="1986"/>
      </w:r>
      <w:r>
        <w:rPr>
          <w:rFonts w:ascii="IRNazanin" w:hAnsi="IRNazanin" w:eastAsia="IRNazanin"/>
          <w:color w:val="111111"/>
          <w:sz w:val="28"/>
          <w:sz w:val="28"/>
          <w:szCs w:val="28"/>
          <w:rtl w:val="true"/>
          <w:lang w:bidi="fa-IR"/>
        </w:rPr>
        <w:t>أن یکون الطلاق منه مع الحاکم</w:t>
      </w:r>
      <w:r>
        <w:rPr>
          <w:rFonts w:eastAsia="IRNazanin" w:cs="IRNazanin"/>
          <w:color w:val="111111"/>
          <w:sz w:val="28"/>
          <w:szCs w:val="28"/>
          <w:rtl w:val="true"/>
          <w:lang w:bidi="fa-IR"/>
        </w:rPr>
        <w:t>.</w:t>
      </w:r>
    </w:p>
    <w:p>
      <w:pPr>
        <w:pStyle w:val="Heading4"/>
        <w:numPr>
          <w:ilvl w:val="3"/>
          <w:numId w:val="1"/>
        </w:numPr>
        <w:rPr/>
      </w:pPr>
      <w:bookmarkStart w:id="7837" w:name="__RefHeading___Toc2572062_3650668749"/>
      <w:bookmarkStart w:id="7838" w:name="_Toc3540"/>
      <w:bookmarkEnd w:id="7837"/>
      <w:r>
        <w:rPr>
          <w:rtl w:val="true"/>
        </w:rPr>
        <w:t>[ (</w:t>
      </w:r>
      <w:r>
        <w:rPr>
          <w:rtl w:val="true"/>
        </w:rPr>
        <w:t xml:space="preserve">مسألة </w:t>
      </w:r>
      <w:r>
        <w:rPr/>
        <w:t>3</w:t>
      </w:r>
      <w:r>
        <w:rPr>
          <w:rtl w:val="true"/>
        </w:rPr>
        <w:t xml:space="preserve">): </w:t>
      </w:r>
      <w:r>
        <w:rPr>
          <w:rtl w:val="true"/>
        </w:rPr>
        <w:t>و یشترط فی الزوج المطلّق</w:t>
      </w:r>
      <w:r>
        <w:rPr>
          <w:rtl w:val="true"/>
        </w:rPr>
        <w:t xml:space="preserve">: </w:t>
      </w:r>
      <w:r>
        <w:rPr>
          <w:rtl w:val="true"/>
        </w:rPr>
        <w:t>القصد و الاختیار</w:t>
      </w:r>
      <w:r>
        <w:rPr>
          <w:rtl w:val="true"/>
        </w:rPr>
        <w:t>]</w:t>
      </w:r>
      <w:bookmarkEnd w:id="7838"/>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الزوج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و الاختیار؛ بمعنی عدم الإکراه و الإجبار، فلا یصحّ طلاق غیر القاصد کالنائم و الساهی و الغالط، بل الهازل الذی لا یرید وقوع الطلاق جدّاً بل یتکلّم بلفظه هزلًا، و کذا لا یصحّ طلاق المکره الذی قد الزم علیٰ إیقاعه مع التوعید و التهدید علیٰ ترکه</w:t>
      </w:r>
      <w:r>
        <w:rPr>
          <w:rFonts w:eastAsia="IRNazanin" w:cs="IRNazanin"/>
          <w:color w:val="111111"/>
          <w:sz w:val="28"/>
          <w:szCs w:val="28"/>
          <w:rtl w:val="true"/>
          <w:lang w:bidi="fa-IR"/>
        </w:rPr>
        <w:t>.</w:t>
      </w:r>
      <w:bookmarkStart w:id="7839" w:name="pg1809_19989"/>
    </w:p>
    <w:p>
      <w:pPr>
        <w:pStyle w:val="Heading4"/>
        <w:numPr>
          <w:ilvl w:val="3"/>
          <w:numId w:val="1"/>
        </w:numPr>
        <w:rPr/>
      </w:pPr>
      <w:bookmarkStart w:id="7840" w:name="__RefHeading___Toc2572064_3650668749"/>
      <w:bookmarkStart w:id="7841" w:name="_Toc3541"/>
      <w:bookmarkEnd w:id="7839"/>
      <w:bookmarkEnd w:id="7840"/>
      <w:r>
        <w:rPr>
          <w:rtl w:val="true"/>
        </w:rPr>
        <w:t>[ (</w:t>
      </w:r>
      <w:r>
        <w:rPr>
          <w:rtl w:val="true"/>
        </w:rPr>
        <w:t xml:space="preserve">مسألة </w:t>
      </w:r>
      <w:r>
        <w:rPr/>
        <w:t>4</w:t>
      </w:r>
      <w:r>
        <w:rPr>
          <w:rtl w:val="true"/>
        </w:rPr>
        <w:t xml:space="preserve">): </w:t>
      </w:r>
      <w:r>
        <w:rPr>
          <w:rtl w:val="true"/>
        </w:rPr>
        <w:t>الإکراه هو حمل الغیر علیٰ إیجاد ما یکره إیجاده</w:t>
      </w:r>
      <w:r>
        <w:rPr>
          <w:rtl w:val="true"/>
        </w:rPr>
        <w:t>]</w:t>
      </w:r>
      <w:bookmarkEnd w:id="78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الإکراه هو حمل الغیر علیٰ إیجاد ما یکره إیجاده، مع التوعید علیٰ ترکه بإیقاع ما یضرّ بحاله علیه </w:t>
      </w:r>
      <w:r>
        <w:rPr>
          <w:rStyle w:val="FootnoteAnchor"/>
          <w:rtl w:val="true"/>
        </w:rPr>
        <w:footnoteReference w:id="1987"/>
      </w:r>
      <w:r>
        <w:rPr>
          <w:rFonts w:ascii="IRNazanin" w:hAnsi="IRNazanin" w:eastAsia="IRNazanin"/>
          <w:color w:val="111111"/>
          <w:sz w:val="28"/>
          <w:sz w:val="28"/>
          <w:szCs w:val="28"/>
          <w:rtl w:val="true"/>
          <w:lang w:bidi="fa-IR"/>
        </w:rPr>
        <w:t xml:space="preserve">نفساً أو عرضاً أو مالًا، بشرط کون الحامل قادراً علیٰ إیقاع ما توعّد به مع العلم أو الظنّ </w:t>
      </w:r>
      <w:r>
        <w:rPr>
          <w:rStyle w:val="FootnoteAnchor"/>
          <w:rtl w:val="true"/>
        </w:rPr>
        <w:footnoteReference w:id="1988"/>
      </w:r>
      <w:r>
        <w:rPr>
          <w:rFonts w:ascii="IRNazanin" w:hAnsi="IRNazanin" w:eastAsia="IRNazanin"/>
          <w:color w:val="111111"/>
          <w:sz w:val="28"/>
          <w:sz w:val="28"/>
          <w:szCs w:val="28"/>
          <w:rtl w:val="true"/>
          <w:lang w:bidi="fa-IR"/>
        </w:rPr>
        <w:t>بإیقاعه علیٰ تقدیر عدم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به موضوعاً أو حکماً ما إذا أمره بإیجاد ما یکرهه مع خوف المأمور به من عقوبته و الإضرار علیه لو خالفه و إن لم یقع منه توعید أو تهدید، و لا یلحق به موضوعاً و لا حکماً ما لو أوقع الفعل مخافة إضرار الغیر علیه بترکه من دون إلزام منه علیه، فلو تزوّج علی امرأة ثمّ رأی أنّه لو بقیت فی حباله لوقعت علیه وقیعة من بعض متعلّقیها کأبیها أو أخیها فالتجأ إلیٰ طلاقها فطلّقها، فإنّه یصحّ طلاقها</w:t>
      </w:r>
      <w:r>
        <w:rPr>
          <w:rFonts w:eastAsia="IRNazanin" w:cs="IRNazanin"/>
          <w:color w:val="111111"/>
          <w:sz w:val="28"/>
          <w:szCs w:val="28"/>
          <w:rtl w:val="true"/>
          <w:lang w:bidi="fa-IR"/>
        </w:rPr>
        <w:t>.</w:t>
      </w:r>
    </w:p>
    <w:p>
      <w:pPr>
        <w:pStyle w:val="Heading4"/>
        <w:numPr>
          <w:ilvl w:val="3"/>
          <w:numId w:val="1"/>
        </w:numPr>
        <w:rPr/>
      </w:pPr>
      <w:bookmarkStart w:id="7842" w:name="__RefHeading___Toc2572066_3650668749"/>
      <w:bookmarkStart w:id="7843" w:name="_Toc3542"/>
      <w:bookmarkEnd w:id="7842"/>
      <w:r>
        <w:rPr>
          <w:rtl w:val="true"/>
        </w:rPr>
        <w:t>[ (</w:t>
      </w:r>
      <w:r>
        <w:rPr>
          <w:rtl w:val="true"/>
        </w:rPr>
        <w:t xml:space="preserve">مسألة </w:t>
      </w:r>
      <w:r>
        <w:rPr/>
        <w:t>5</w:t>
      </w:r>
      <w:r>
        <w:rPr>
          <w:rtl w:val="true"/>
        </w:rPr>
        <w:t xml:space="preserve">): </w:t>
      </w:r>
      <w:r>
        <w:rPr>
          <w:rtl w:val="true"/>
        </w:rPr>
        <w:t>لو قدر المأمور علیٰ دفع ضرر الآمر ببعض التفصّیات ممّا لیس فیه ضرر علیه</w:t>
      </w:r>
      <w:r>
        <w:rPr>
          <w:rtl w:val="true"/>
        </w:rPr>
        <w:t>]</w:t>
      </w:r>
      <w:bookmarkEnd w:id="78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قدر المأمور علیٰ دفع ضرر الآمر ببعض التفصّیات ممّا لیس فیه ضرر علیه کالفرار و الاستعانة بالغیر لم یتحقّق الإکراه، فلو أوقع الطلاق مثلًا حینئذٍ وقع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قدر علی التوریة و أوقع الطلاق من دون توریة فالظاهر وقوعه مکرهاً علیه و باطلًا</w:t>
      </w:r>
      <w:r>
        <w:rPr>
          <w:rFonts w:eastAsia="IRNazanin" w:cs="IRNazanin"/>
          <w:color w:val="111111"/>
          <w:sz w:val="28"/>
          <w:szCs w:val="28"/>
          <w:rtl w:val="true"/>
          <w:lang w:bidi="fa-IR"/>
        </w:rPr>
        <w:t>.</w:t>
      </w:r>
    </w:p>
    <w:p>
      <w:pPr>
        <w:pStyle w:val="Heading4"/>
        <w:numPr>
          <w:ilvl w:val="3"/>
          <w:numId w:val="1"/>
        </w:numPr>
        <w:rPr/>
      </w:pPr>
      <w:bookmarkStart w:id="7844" w:name="__RefHeading___Toc2572068_3650668749"/>
      <w:bookmarkStart w:id="7845" w:name="_Toc3543"/>
      <w:bookmarkEnd w:id="7844"/>
      <w:r>
        <w:rPr>
          <w:rtl w:val="true"/>
        </w:rPr>
        <w:t>[ (</w:t>
      </w:r>
      <w:r>
        <w:rPr>
          <w:rtl w:val="true"/>
        </w:rPr>
        <w:t xml:space="preserve">مسألة </w:t>
      </w:r>
      <w:r>
        <w:rPr/>
        <w:t>6</w:t>
      </w:r>
      <w:r>
        <w:rPr>
          <w:rtl w:val="true"/>
        </w:rPr>
        <w:t xml:space="preserve">): </w:t>
      </w:r>
      <w:r>
        <w:rPr>
          <w:rtl w:val="true"/>
        </w:rPr>
        <w:t>لو أکرهه علیٰ طلاق إحدیٰ زوجتیه فطلّق إحداهما المعیّنة وقع مکرهاً علیه</w:t>
      </w:r>
      <w:r>
        <w:rPr>
          <w:rtl w:val="true"/>
        </w:rPr>
        <w:t>]</w:t>
      </w:r>
      <w:bookmarkEnd w:id="78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أکرهه علیٰ طلاق إحدیٰ زوجتیه فطلّق إحداهما المعیّنة وقع مکرهاً علیه، و لو طلّقهما معاً ففی وقوع طلاق إحداهما مکرهاً علیه فیعیّن بالقرعة أو صحّة کلیهما وجهان، لا یخلو أوّلهما من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أکرهه علیٰ طلاق کلتیهما فطلّق إحداهما، فالظاهر أنّه وقع مکرهاً علیه</w:t>
      </w:r>
      <w:r>
        <w:rPr>
          <w:rFonts w:eastAsia="IRNazanin" w:cs="IRNazanin"/>
          <w:color w:val="111111"/>
          <w:sz w:val="28"/>
          <w:szCs w:val="28"/>
          <w:rtl w:val="true"/>
          <w:lang w:bidi="fa-IR"/>
        </w:rPr>
        <w:t>.</w:t>
      </w:r>
    </w:p>
    <w:p>
      <w:pPr>
        <w:pStyle w:val="Heading4"/>
        <w:numPr>
          <w:ilvl w:val="3"/>
          <w:numId w:val="1"/>
        </w:numPr>
        <w:rPr/>
      </w:pPr>
      <w:bookmarkStart w:id="7846" w:name="__RefHeading___Toc2572070_3650668749"/>
      <w:bookmarkStart w:id="7847" w:name="_Toc3544"/>
      <w:bookmarkEnd w:id="7846"/>
      <w:r>
        <w:rPr>
          <w:rtl w:val="true"/>
        </w:rPr>
        <w:t>[ (</w:t>
      </w:r>
      <w:r>
        <w:rPr>
          <w:rtl w:val="true"/>
        </w:rPr>
        <w:t xml:space="preserve">مسألة </w:t>
      </w:r>
      <w:r>
        <w:rPr/>
        <w:t>7</w:t>
      </w:r>
      <w:r>
        <w:rPr>
          <w:rtl w:val="true"/>
        </w:rPr>
        <w:t xml:space="preserve">): </w:t>
      </w:r>
      <w:r>
        <w:rPr>
          <w:rtl w:val="true"/>
        </w:rPr>
        <w:t>لو أکرهه علیٰ أن یطلّق زوجته ثلاث طلقات بینهما رجعتان فطلّقها واحدة أو اثنین</w:t>
      </w:r>
      <w:r>
        <w:rPr>
          <w:rtl w:val="true"/>
        </w:rPr>
        <w:t>]</w:t>
      </w:r>
      <w:bookmarkEnd w:id="78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أکرهه علیٰ أن یطلّق زوجته ثلاث طلقات بینهما رجعتان فطلّقها واحدة أو اثنین، ففی وقوع ما أوقعه مکرهاً علیه إشکال، إلّا إذا </w:t>
      </w:r>
      <w:r>
        <w:rPr>
          <w:rStyle w:val="FootnoteAnchor"/>
          <w:rtl w:val="true"/>
        </w:rPr>
        <w:footnoteReference w:id="1989"/>
      </w:r>
      <w:r>
        <w:rPr>
          <w:rFonts w:ascii="IRNazanin" w:hAnsi="IRNazanin" w:eastAsia="IRNazanin"/>
          <w:color w:val="111111"/>
          <w:sz w:val="28"/>
          <w:sz w:val="28"/>
          <w:szCs w:val="28"/>
          <w:rtl w:val="true"/>
          <w:lang w:bidi="fa-IR"/>
        </w:rPr>
        <w:t>کان ذلک بقصد احتمال التخلّص عن المکروه و أنّه لعلّ المکره اقتنع بما أوقعه و أغمض عمّا لم یوقعه</w:t>
      </w:r>
      <w:r>
        <w:rPr>
          <w:rFonts w:eastAsia="IRNazanin" w:cs="IRNazanin"/>
          <w:color w:val="111111"/>
          <w:sz w:val="28"/>
          <w:szCs w:val="28"/>
          <w:rtl w:val="true"/>
          <w:lang w:bidi="fa-IR"/>
        </w:rPr>
        <w:t>.</w:t>
      </w:r>
    </w:p>
    <w:p>
      <w:pPr>
        <w:pStyle w:val="Heading4"/>
        <w:numPr>
          <w:ilvl w:val="3"/>
          <w:numId w:val="1"/>
        </w:numPr>
        <w:rPr/>
      </w:pPr>
      <w:bookmarkStart w:id="7848" w:name="__RefHeading___Toc2572072_3650668749"/>
      <w:bookmarkStart w:id="7849" w:name="_Toc3545"/>
      <w:bookmarkEnd w:id="7848"/>
      <w:r>
        <w:rPr>
          <w:rtl w:val="true"/>
        </w:rPr>
        <w:t>[ (</w:t>
      </w:r>
      <w:r>
        <w:rPr>
          <w:rtl w:val="true"/>
        </w:rPr>
        <w:t xml:space="preserve">مسألة </w:t>
      </w:r>
      <w:r>
        <w:rPr/>
        <w:t>8</w:t>
      </w:r>
      <w:r>
        <w:rPr>
          <w:rtl w:val="true"/>
        </w:rPr>
        <w:t xml:space="preserve">): </w:t>
      </w:r>
      <w:r>
        <w:rPr>
          <w:rtl w:val="true"/>
        </w:rPr>
        <w:t>لو أوقع الطلاق عن إکراه ثمّ تعقّبه الرضا، لم یفد ذلک فی صحّته</w:t>
      </w:r>
      <w:r>
        <w:rPr>
          <w:rtl w:val="true"/>
        </w:rPr>
        <w:t>]</w:t>
      </w:r>
      <w:bookmarkEnd w:id="7849"/>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أوقع الطلاق عن إکراه ثمّ تعقّبه الرضا، لم یفد ذلک فی صحّته و لیس کالعقد المکره علیه الذی تعقّبه الرضا</w:t>
      </w:r>
      <w:r>
        <w:rPr>
          <w:rFonts w:eastAsia="IRNazanin" w:cs="IRNazanin"/>
          <w:color w:val="111111"/>
          <w:sz w:val="28"/>
          <w:szCs w:val="28"/>
          <w:rtl w:val="true"/>
          <w:lang w:bidi="fa-IR"/>
        </w:rPr>
        <w:t>.</w:t>
      </w:r>
      <w:bookmarkStart w:id="7850" w:name="pg1809_19990"/>
    </w:p>
    <w:p>
      <w:pPr>
        <w:pStyle w:val="Heading4"/>
        <w:numPr>
          <w:ilvl w:val="3"/>
          <w:numId w:val="1"/>
        </w:numPr>
        <w:rPr/>
      </w:pPr>
      <w:bookmarkStart w:id="7851" w:name="__RefHeading___Toc2572074_3650668749"/>
      <w:bookmarkStart w:id="7852" w:name="_Toc3546"/>
      <w:bookmarkEnd w:id="7850"/>
      <w:bookmarkEnd w:id="7851"/>
      <w:r>
        <w:rPr>
          <w:rtl w:val="true"/>
        </w:rPr>
        <w:t>[ (</w:t>
      </w:r>
      <w:r>
        <w:rPr>
          <w:rtl w:val="true"/>
        </w:rPr>
        <w:t xml:space="preserve">مسألة </w:t>
      </w:r>
      <w:r>
        <w:rPr/>
        <w:t>9</w:t>
      </w:r>
      <w:r>
        <w:rPr>
          <w:rtl w:val="true"/>
        </w:rPr>
        <w:t xml:space="preserve">): </w:t>
      </w:r>
      <w:r>
        <w:rPr>
          <w:rtl w:val="true"/>
        </w:rPr>
        <w:t>لا یعتبر فی الطلاق اطلاع الزوجة علیه فضلًا عن رضاها به</w:t>
      </w:r>
      <w:r>
        <w:rPr>
          <w:rtl w:val="true"/>
        </w:rPr>
        <w:t>]</w:t>
      </w:r>
      <w:bookmarkEnd w:id="78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الطلاق اطلاع الزوجة علیه فضلًا عن رضاها به</w:t>
      </w:r>
      <w:r>
        <w:rPr>
          <w:rFonts w:eastAsia="IRNazanin" w:cs="IRNazanin"/>
          <w:color w:val="111111"/>
          <w:sz w:val="28"/>
          <w:szCs w:val="28"/>
          <w:rtl w:val="true"/>
          <w:lang w:bidi="fa-IR"/>
        </w:rPr>
        <w:t>.</w:t>
      </w:r>
    </w:p>
    <w:p>
      <w:pPr>
        <w:pStyle w:val="Heading4"/>
        <w:numPr>
          <w:ilvl w:val="3"/>
          <w:numId w:val="1"/>
        </w:numPr>
        <w:rPr/>
      </w:pPr>
      <w:bookmarkStart w:id="7853" w:name="__RefHeading___Toc2572076_3650668749"/>
      <w:bookmarkStart w:id="7854" w:name="_Toc3547"/>
      <w:bookmarkEnd w:id="7853"/>
      <w:r>
        <w:rPr>
          <w:rtl w:val="true"/>
        </w:rPr>
        <w:t>[ (</w:t>
      </w:r>
      <w:r>
        <w:rPr>
          <w:rtl w:val="true"/>
        </w:rPr>
        <w:t xml:space="preserve">مسألة </w:t>
      </w:r>
      <w:r>
        <w:rPr/>
        <w:t>10</w:t>
      </w:r>
      <w:r>
        <w:rPr>
          <w:rtl w:val="true"/>
        </w:rPr>
        <w:t xml:space="preserve">): </w:t>
      </w:r>
      <w:r>
        <w:rPr>
          <w:rtl w:val="true"/>
        </w:rPr>
        <w:t>یشترط فی المطلّقة أن تکون زوجة دائمة فلا یقع الطلاق علی المتمتّع بها</w:t>
      </w:r>
      <w:r>
        <w:rPr>
          <w:rtl w:val="true"/>
        </w:rPr>
        <w:t>]</w:t>
      </w:r>
      <w:bookmarkEnd w:id="78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المطلّقة أن تکون زوجة دائمة فلا یقع الطلاق علی المتمتّع بها، و أن تکون طاهراً من الحیض و النفاس فلا یصحّ طلاقی الحائض و النفساء، و المراد بهما ذات الدمین فعلًا أو حکماً کالنقاء المتخلّل فی البین، فلو نقتا من الدمین و لمّا تغتسلا من الحدث صحّ طلاقهما، و أن لا تکون فی طهر واقعها فیه زوجها</w:t>
      </w:r>
      <w:r>
        <w:rPr>
          <w:rFonts w:eastAsia="IRNazanin" w:cs="IRNazanin"/>
          <w:color w:val="111111"/>
          <w:sz w:val="28"/>
          <w:szCs w:val="28"/>
          <w:rtl w:val="true"/>
          <w:lang w:bidi="fa-IR"/>
        </w:rPr>
        <w:t>.</w:t>
      </w:r>
    </w:p>
    <w:p>
      <w:pPr>
        <w:pStyle w:val="Heading4"/>
        <w:numPr>
          <w:ilvl w:val="3"/>
          <w:numId w:val="1"/>
        </w:numPr>
        <w:rPr/>
      </w:pPr>
      <w:bookmarkStart w:id="7855" w:name="__RefHeading___Toc2572078_3650668749"/>
      <w:bookmarkStart w:id="7856" w:name="_Toc3548"/>
      <w:bookmarkEnd w:id="7855"/>
      <w:r>
        <w:rPr>
          <w:rtl w:val="true"/>
        </w:rPr>
        <w:t>[ (</w:t>
      </w:r>
      <w:r>
        <w:rPr>
          <w:rtl w:val="true"/>
        </w:rPr>
        <w:t xml:space="preserve">مسألة </w:t>
      </w:r>
      <w:r>
        <w:rPr/>
        <w:t>11</w:t>
      </w:r>
      <w:r>
        <w:rPr>
          <w:rtl w:val="true"/>
        </w:rPr>
        <w:t xml:space="preserve">): </w:t>
      </w:r>
      <w:r>
        <w:rPr>
          <w:rtl w:val="true"/>
        </w:rPr>
        <w:t>إنّما یشترط خلوّ المطلّقة من الحیض فی المدخول بها الحائل</w:t>
      </w:r>
      <w:r>
        <w:rPr>
          <w:rtl w:val="true"/>
        </w:rPr>
        <w:t>]</w:t>
      </w:r>
      <w:bookmarkEnd w:id="78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یشترط خلوّ المطلّقة من الحیض فی المدخول بها الحائل، دون الغیر المدخول بها، و دون الحامل بناءً علیٰ مجامعة الحیض للحمل کما هو الأقویٰ، فإنّه یصحّ طلاقهما فی حال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یشترط ذلک فیما إذا کان الزوج حاضراً؛ بمعنی کونهما فی بلد واحد حین الطلاق، و أمّا إذا کان غائباً فیصحّ طلاقها و إن وقع فی حال الحیض، لکن إذا لم یعلم حالها من حیث الطهر و الحیض و تعذّر أو تعسّر علیه استعلامها، فإذا علم أنّها فی حال الحیض و لو من جهة علمه بعادتها الوقتیّة علی الأظهر، أو تمکّن من استعلام حالها و طلّقها فتبیّن وقوعه فی حال الحیض، بطل الطلاق</w:t>
      </w:r>
      <w:r>
        <w:rPr>
          <w:rFonts w:eastAsia="IRNazanin" w:cs="IRNazanin"/>
          <w:color w:val="111111"/>
          <w:sz w:val="28"/>
          <w:szCs w:val="28"/>
          <w:rtl w:val="true"/>
          <w:lang w:bidi="fa-IR"/>
        </w:rPr>
        <w:t>.</w:t>
      </w:r>
    </w:p>
    <w:p>
      <w:pPr>
        <w:pStyle w:val="Heading4"/>
        <w:numPr>
          <w:ilvl w:val="3"/>
          <w:numId w:val="1"/>
        </w:numPr>
        <w:rPr/>
      </w:pPr>
      <w:bookmarkStart w:id="7857" w:name="__RefHeading___Toc2572080_3650668749"/>
      <w:bookmarkStart w:id="7858" w:name="_Toc3549"/>
      <w:bookmarkEnd w:id="7857"/>
      <w:r>
        <w:rPr>
          <w:rtl w:val="true"/>
        </w:rPr>
        <w:t>[ (</w:t>
      </w:r>
      <w:r>
        <w:rPr>
          <w:rtl w:val="true"/>
        </w:rPr>
        <w:t xml:space="preserve">مسألة </w:t>
      </w:r>
      <w:r>
        <w:rPr/>
        <w:t>12</w:t>
      </w:r>
      <w:r>
        <w:rPr>
          <w:rtl w:val="true"/>
        </w:rPr>
        <w:t xml:space="preserve">): </w:t>
      </w:r>
      <w:r>
        <w:rPr>
          <w:rtl w:val="true"/>
        </w:rPr>
        <w:t>إذا غاب الزوج، فإن خرج فی حال حیضها لم یجز طلاقها إلّا بعد مضیّ مدّة</w:t>
      </w:r>
      <w:r>
        <w:rPr>
          <w:rtl w:val="true"/>
        </w:rPr>
        <w:t>]</w:t>
      </w:r>
      <w:bookmarkEnd w:id="7858"/>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غاب الزوج، فإن خرج فی حال حیضها لم یجز طلاقها إلّا بعد مضیّ مدّة قطع </w:t>
      </w:r>
      <w:r>
        <w:rPr>
          <w:rStyle w:val="FootnoteAnchor"/>
          <w:rtl w:val="true"/>
        </w:rPr>
        <w:footnoteReference w:id="1990"/>
      </w:r>
      <w:r>
        <w:rPr>
          <w:rFonts w:ascii="IRNazanin" w:hAnsi="IRNazanin" w:eastAsia="IRNazanin"/>
          <w:color w:val="111111"/>
          <w:sz w:val="28"/>
          <w:sz w:val="28"/>
          <w:szCs w:val="28"/>
          <w:rtl w:val="true"/>
          <w:lang w:bidi="fa-IR"/>
        </w:rPr>
        <w:t xml:space="preserve">بانقطاع ذلک الحیض، فإن طلّقها بعد ذلک فی زمان لم یعلم بکونها حائضاً فی ذلک الزمان صحّ طلاقها و إن تبیّن وقوعه فی حال الحیض، و إن خرج فی حال الطهر الذی لم یواقعها فیه طلّقها فی أیّ زمان لم یعلم </w:t>
      </w:r>
      <w:r>
        <w:rPr>
          <w:rStyle w:val="FootnoteAnchor"/>
          <w:rtl w:val="true"/>
        </w:rPr>
        <w:footnoteReference w:id="1991"/>
      </w:r>
      <w:r>
        <w:rPr>
          <w:rFonts w:ascii="IRNazanin" w:hAnsi="IRNazanin" w:eastAsia="IRNazanin"/>
          <w:color w:val="111111"/>
          <w:sz w:val="28"/>
          <w:sz w:val="28"/>
          <w:szCs w:val="28"/>
          <w:rtl w:val="true"/>
          <w:lang w:bidi="fa-IR"/>
        </w:rPr>
        <w:t xml:space="preserve">بکونها حائضاً و صحّ طلاقها و إن صادف زمان الحیض، و أمّا إن خرج فی الطهر الذی واقعها فیه ینتظر مضیّ زمان انتقلت بمقتضی العادة من ذلک الطهر إلیٰ طهر آخر، و یکفی تربّص شهر </w:t>
      </w:r>
      <w:r>
        <w:rPr>
          <w:rStyle w:val="FootnoteAnchor"/>
          <w:rtl w:val="true"/>
        </w:rPr>
        <w:footnoteReference w:id="1992"/>
      </w:r>
      <w:r>
        <w:rPr>
          <w:rFonts w:ascii="IRNazanin" w:hAnsi="IRNazanin" w:eastAsia="IRNazanin"/>
          <w:color w:val="111111"/>
          <w:sz w:val="28"/>
          <w:sz w:val="28"/>
          <w:szCs w:val="28"/>
          <w:rtl w:val="true"/>
          <w:lang w:bidi="fa-IR"/>
        </w:rPr>
        <w:t xml:space="preserve">، و الأحوط أن لا ینقص عن ذلک، و الأولی تربّص ثلاثة أشهر، فإذا أوقع الطلاق بعد التربّص لم یضرّ مصادفة الحیض فی الواقع، بل الظاهر أنّه لا یضرّ مصادفته للطهر الذی واقعها فیه؛ بأن طلّقها بعد شهر </w:t>
      </w:r>
      <w:r>
        <w:rPr>
          <w:rStyle w:val="FootnoteAnchor"/>
          <w:rtl w:val="true"/>
        </w:rPr>
        <w:footnoteReference w:id="1993"/>
      </w:r>
      <w:bookmarkStart w:id="7859" w:name="pg1809_19991"/>
    </w:p>
    <w:p>
      <w:pPr>
        <w:pStyle w:val="BookText"/>
        <w:rPr/>
      </w:pPr>
      <w:bookmarkEnd w:id="7859"/>
      <w:r>
        <w:rPr>
          <w:rFonts w:ascii="Amiri" w:hAnsi="Amiri" w:eastAsia="Amiri" w:cs="Amiri"/>
          <w:color w:val="111111"/>
          <w:sz w:val="28"/>
          <w:sz w:val="28"/>
          <w:szCs w:val="28"/>
          <w:rtl w:val="true"/>
          <w:lang w:bidi="ar-SA"/>
        </w:rPr>
        <w:t>مثلًا ثمّ تبیّن أنّها لم تخرج من الطهر الأوّل إلیٰ ذاک الزمان</w:t>
      </w:r>
      <w:r>
        <w:rPr>
          <w:rFonts w:eastAsia="Amiri" w:cs="Amiri" w:ascii="Amiri" w:hAnsi="Amiri"/>
          <w:color w:val="111111"/>
          <w:sz w:val="28"/>
          <w:szCs w:val="28"/>
          <w:rtl w:val="true"/>
          <w:lang w:bidi="ar-SA"/>
        </w:rPr>
        <w:t>.</w:t>
      </w:r>
    </w:p>
    <w:p>
      <w:pPr>
        <w:pStyle w:val="Heading4"/>
        <w:numPr>
          <w:ilvl w:val="3"/>
          <w:numId w:val="1"/>
        </w:numPr>
        <w:rPr/>
      </w:pPr>
      <w:bookmarkStart w:id="7860" w:name="__RefHeading___Toc2572082_3650668749"/>
      <w:bookmarkStart w:id="7861" w:name="_Toc3550"/>
      <w:bookmarkEnd w:id="7860"/>
      <w:r>
        <w:rPr>
          <w:rtl w:val="true"/>
        </w:rPr>
        <w:t>[ (</w:t>
      </w:r>
      <w:r>
        <w:rPr>
          <w:rtl w:val="true"/>
        </w:rPr>
        <w:t xml:space="preserve">مسألة </w:t>
      </w:r>
      <w:r>
        <w:rPr/>
        <w:t>13</w:t>
      </w:r>
      <w:r>
        <w:rPr>
          <w:rtl w:val="true"/>
        </w:rPr>
        <w:t xml:space="preserve">): </w:t>
      </w:r>
      <w:r>
        <w:rPr>
          <w:rtl w:val="true"/>
        </w:rPr>
        <w:t>الحاضر الذی یتعذّر أو یتعسّر علیه معرفة حال المرأة من حیث الطهر و الحیض کالغائب</w:t>
      </w:r>
      <w:r>
        <w:rPr>
          <w:rtl w:val="true"/>
        </w:rPr>
        <w:t>]</w:t>
      </w:r>
      <w:bookmarkEnd w:id="78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الحاضر الذی یتعذّر أو یتعسّر علیه معرفة حال المرأة من حیث الطهر و الحیض کالغائب، کما أنّ الغائب لو فرض إمکان علمه </w:t>
      </w:r>
      <w:r>
        <w:rPr>
          <w:rStyle w:val="FootnoteAnchor"/>
          <w:rtl w:val="true"/>
        </w:rPr>
        <w:footnoteReference w:id="1994"/>
      </w:r>
      <w:r>
        <w:rPr>
          <w:rFonts w:ascii="IRNazanin" w:hAnsi="IRNazanin" w:eastAsia="IRNazanin"/>
          <w:color w:val="111111"/>
          <w:sz w:val="28"/>
          <w:sz w:val="28"/>
          <w:szCs w:val="28"/>
          <w:rtl w:val="true"/>
          <w:lang w:bidi="fa-IR"/>
        </w:rPr>
        <w:t>بحالها کان کالحاضر</w:t>
      </w:r>
      <w:r>
        <w:rPr>
          <w:rFonts w:eastAsia="IRNazanin" w:cs="IRNazanin"/>
          <w:color w:val="111111"/>
          <w:sz w:val="28"/>
          <w:szCs w:val="28"/>
          <w:rtl w:val="true"/>
          <w:lang w:bidi="fa-IR"/>
        </w:rPr>
        <w:t>.</w:t>
      </w:r>
    </w:p>
    <w:p>
      <w:pPr>
        <w:pStyle w:val="Heading4"/>
        <w:numPr>
          <w:ilvl w:val="3"/>
          <w:numId w:val="1"/>
        </w:numPr>
        <w:rPr/>
      </w:pPr>
      <w:bookmarkStart w:id="7862" w:name="__RefHeading___Toc2572084_3650668749"/>
      <w:bookmarkStart w:id="7863" w:name="_Toc3551"/>
      <w:bookmarkEnd w:id="7862"/>
      <w:r>
        <w:rPr>
          <w:rtl w:val="true"/>
        </w:rPr>
        <w:t>[ (</w:t>
      </w:r>
      <w:r>
        <w:rPr>
          <w:rtl w:val="true"/>
        </w:rPr>
        <w:t xml:space="preserve">مسألة </w:t>
      </w:r>
      <w:r>
        <w:rPr/>
        <w:t>14</w:t>
      </w:r>
      <w:r>
        <w:rPr>
          <w:rtl w:val="true"/>
        </w:rPr>
        <w:t xml:space="preserve">): </w:t>
      </w:r>
      <w:r>
        <w:rPr>
          <w:rtl w:val="true"/>
        </w:rPr>
        <w:t>یجوز الطلاق فی الطهر الذی واقعها فیه فی الیائسة و الصغیرة</w:t>
      </w:r>
      <w:r>
        <w:rPr>
          <w:rtl w:val="true"/>
        </w:rPr>
        <w:t>]</w:t>
      </w:r>
      <w:bookmarkEnd w:id="78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الطلاق فی الطهر الذی واقعها فیه فی الیائسة و الصغیرة و فی الحامل و المسترابة؛ و هی المرأة التی کانت فی سنّ من تحیض و لا تحیض؛ لخلقة أو عارض، لکن یشترط فی الأخیرة یعنی المسترابة مضیّ ثلاثة أشهر من زمان المواقعة، فإذا أراد تطلیق هذه المرأة اعتزلها ثلاثة أشهر ثمّ طلّقها، فلو طلّقها قبل مضیّ ثلاثة أشهر من حین المواقعة لم یقع الطلاق</w:t>
      </w:r>
      <w:r>
        <w:rPr>
          <w:rFonts w:eastAsia="IRNazanin" w:cs="IRNazanin"/>
          <w:color w:val="111111"/>
          <w:sz w:val="28"/>
          <w:szCs w:val="28"/>
          <w:rtl w:val="true"/>
          <w:lang w:bidi="fa-IR"/>
        </w:rPr>
        <w:t>.</w:t>
      </w:r>
    </w:p>
    <w:p>
      <w:pPr>
        <w:pStyle w:val="Heading4"/>
        <w:numPr>
          <w:ilvl w:val="3"/>
          <w:numId w:val="1"/>
        </w:numPr>
        <w:rPr/>
      </w:pPr>
      <w:bookmarkStart w:id="7864" w:name="__RefHeading___Toc2572086_3650668749"/>
      <w:bookmarkStart w:id="7865" w:name="_Toc3552"/>
      <w:bookmarkEnd w:id="7864"/>
      <w:r>
        <w:rPr>
          <w:rtl w:val="true"/>
        </w:rPr>
        <w:t>[ (</w:t>
      </w:r>
      <w:r>
        <w:rPr>
          <w:rtl w:val="true"/>
        </w:rPr>
        <w:t xml:space="preserve">مسألة </w:t>
      </w:r>
      <w:r>
        <w:rPr/>
        <w:t>15</w:t>
      </w:r>
      <w:r>
        <w:rPr>
          <w:rtl w:val="true"/>
        </w:rPr>
        <w:t xml:space="preserve">): </w:t>
      </w:r>
      <w:r>
        <w:rPr>
          <w:rtl w:val="true"/>
        </w:rPr>
        <w:t>لا یشترط فی تربّص ثلاثة أشهر فی المسترابة أن یکون اعتزاله عنها لأجل ذلک</w:t>
      </w:r>
      <w:r>
        <w:rPr>
          <w:rtl w:val="true"/>
        </w:rPr>
        <w:t>]</w:t>
      </w:r>
      <w:bookmarkEnd w:id="78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تربّص ثلاثة أشهر فی المسترابة أن یکون اعتزاله عنها لأجل ذلک و بقصد أن یطلّقها بعد ذلک، فلو واقعها ثمّ لم یتّفق له المواقعة بسبب من الأسباب إلیٰ أن مضی ثلاثة أشهر، ثمّ بدا له أن یطلّقها، صحّ طلاقها فی الحال و لم یحتج إلیٰ تجدید الاعتزال</w:t>
      </w:r>
      <w:r>
        <w:rPr>
          <w:rFonts w:eastAsia="IRNazanin" w:cs="IRNazanin"/>
          <w:color w:val="111111"/>
          <w:sz w:val="28"/>
          <w:szCs w:val="28"/>
          <w:rtl w:val="true"/>
          <w:lang w:bidi="fa-IR"/>
        </w:rPr>
        <w:t>.</w:t>
      </w:r>
    </w:p>
    <w:p>
      <w:pPr>
        <w:pStyle w:val="Heading4"/>
        <w:numPr>
          <w:ilvl w:val="3"/>
          <w:numId w:val="1"/>
        </w:numPr>
        <w:rPr/>
      </w:pPr>
      <w:bookmarkStart w:id="7866" w:name="__RefHeading___Toc2572088_3650668749"/>
      <w:bookmarkStart w:id="7867" w:name="_Toc3553"/>
      <w:bookmarkEnd w:id="7866"/>
      <w:r>
        <w:rPr>
          <w:rtl w:val="true"/>
        </w:rPr>
        <w:t>[ (</w:t>
      </w:r>
      <w:r>
        <w:rPr>
          <w:rtl w:val="true"/>
        </w:rPr>
        <w:t xml:space="preserve">مسألة </w:t>
      </w:r>
      <w:r>
        <w:rPr/>
        <w:t>16</w:t>
      </w:r>
      <w:r>
        <w:rPr>
          <w:rtl w:val="true"/>
        </w:rPr>
        <w:t xml:space="preserve">): </w:t>
      </w:r>
      <w:r>
        <w:rPr>
          <w:rtl w:val="true"/>
        </w:rPr>
        <w:t>لو واقعها فی حال الحیض لم یصحّ طلاقها فی الطهر الذی بعد تلک الحیضة</w:t>
      </w:r>
      <w:r>
        <w:rPr>
          <w:rtl w:val="true"/>
        </w:rPr>
        <w:t>]</w:t>
      </w:r>
      <w:bookmarkEnd w:id="78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واقعها فی حال الحیض لم یصحّ طلاقها فی الطهر الذی بعد تلک الحیضة، بل لا بدّ من إیقاعه فی طهر آخر بعد حیض آخر؛ لأنّ ما هو شرط فی الحقیقة هو کونها مستبرأة بحیضة بعد المواقعة، لا مجرّد وقوع الطلاق فی طهر غیر طهر المواقعة</w:t>
      </w:r>
      <w:r>
        <w:rPr>
          <w:rFonts w:eastAsia="IRNazanin" w:cs="IRNazanin"/>
          <w:color w:val="111111"/>
          <w:sz w:val="28"/>
          <w:szCs w:val="28"/>
          <w:rtl w:val="true"/>
          <w:lang w:bidi="fa-IR"/>
        </w:rPr>
        <w:t>.</w:t>
      </w:r>
    </w:p>
    <w:p>
      <w:pPr>
        <w:pStyle w:val="Heading4"/>
        <w:numPr>
          <w:ilvl w:val="3"/>
          <w:numId w:val="1"/>
        </w:numPr>
        <w:rPr/>
      </w:pPr>
      <w:bookmarkStart w:id="7868" w:name="__RefHeading___Toc2572090_3650668749"/>
      <w:bookmarkStart w:id="7869" w:name="_Toc3554"/>
      <w:bookmarkEnd w:id="7868"/>
      <w:r>
        <w:rPr>
          <w:rtl w:val="true"/>
        </w:rPr>
        <w:t>[ (</w:t>
      </w:r>
      <w:r>
        <w:rPr>
          <w:rtl w:val="true"/>
        </w:rPr>
        <w:t xml:space="preserve">مسألة </w:t>
      </w:r>
      <w:r>
        <w:rPr/>
        <w:t>17</w:t>
      </w:r>
      <w:r>
        <w:rPr>
          <w:rtl w:val="true"/>
        </w:rPr>
        <w:t xml:space="preserve">): </w:t>
      </w:r>
      <w:r>
        <w:rPr>
          <w:rtl w:val="true"/>
        </w:rPr>
        <w:t>یشترط فی صحّة الطلاق تعیّن المطلّقة</w:t>
      </w:r>
      <w:r>
        <w:rPr>
          <w:rtl w:val="true"/>
        </w:rPr>
        <w:t>]</w:t>
      </w:r>
      <w:bookmarkEnd w:id="78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الطلاق تعیّن المطلّقة؛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یشیر إلیها بما یرفع الإبهام و الإجمال، فلو کانت له زوجة واحدة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بخلاف ما إذا کانت له زوجتان أو أکثر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یصحّ إلّا إذا نویٰ فی نفسه معیّنة، و یقبل تفسیره بمعیّنة من غیر یمین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0" w:name="__RefHeading___Toc2572092_3650668749"/>
      <w:bookmarkStart w:id="7871" w:name="_Toc3555"/>
      <w:bookmarkEnd w:id="7870"/>
      <w:r>
        <w:rPr>
          <w:rtl w:val="true"/>
        </w:rPr>
        <w:t>[</w:t>
      </w:r>
      <w:r>
        <w:rPr>
          <w:rtl w:val="true"/>
        </w:rPr>
        <w:t>القول فی الصیغة</w:t>
      </w:r>
      <w:r>
        <w:rPr>
          <w:rtl w:val="true"/>
        </w:rPr>
        <w:t>]</w:t>
      </w:r>
      <w:bookmarkEnd w:id="7871"/>
    </w:p>
    <w:p>
      <w:pPr>
        <w:pStyle w:val="Heading4"/>
        <w:numPr>
          <w:ilvl w:val="3"/>
          <w:numId w:val="1"/>
        </w:numPr>
        <w:rPr/>
      </w:pPr>
      <w:bookmarkStart w:id="7872" w:name="__RefHeading___Toc2572094_3650668749"/>
      <w:bookmarkStart w:id="7873" w:name="_Toc3556"/>
      <w:bookmarkEnd w:id="7872"/>
      <w:r>
        <w:rPr>
          <w:rtl w:val="true"/>
        </w:rPr>
        <w:t>اشارة</w:t>
      </w:r>
      <w:bookmarkEnd w:id="7873"/>
    </w:p>
    <w:p>
      <w:pPr>
        <w:pStyle w:val="BookText"/>
        <w:rPr/>
      </w:pPr>
      <w:r>
        <w:rPr>
          <w:rFonts w:ascii="IRNazanin" w:hAnsi="IRNazanin" w:eastAsia="IRNazanin"/>
          <w:color w:val="111111"/>
          <w:sz w:val="28"/>
          <w:sz w:val="28"/>
          <w:szCs w:val="28"/>
          <w:rtl w:val="true"/>
          <w:lang w:bidi="fa-IR"/>
        </w:rPr>
        <w:t>القول فی الصیغة</w:t>
      </w:r>
    </w:p>
    <w:p>
      <w:pPr>
        <w:pStyle w:val="Heading4"/>
        <w:numPr>
          <w:ilvl w:val="3"/>
          <w:numId w:val="1"/>
        </w:numPr>
        <w:rPr/>
      </w:pPr>
      <w:bookmarkStart w:id="7874" w:name="__RefHeading___Toc2572096_3650668749"/>
      <w:bookmarkStart w:id="7875" w:name="_Toc3557"/>
      <w:bookmarkEnd w:id="7874"/>
      <w:r>
        <w:rPr>
          <w:rtl w:val="true"/>
        </w:rPr>
        <w:t>[ (</w:t>
      </w:r>
      <w:r>
        <w:rPr>
          <w:rtl w:val="true"/>
        </w:rPr>
        <w:t xml:space="preserve">مسألة </w:t>
      </w:r>
      <w:r>
        <w:rPr/>
        <w:t>1</w:t>
      </w:r>
      <w:r>
        <w:rPr>
          <w:rtl w:val="true"/>
        </w:rPr>
        <w:t xml:space="preserve">): </w:t>
      </w:r>
      <w:r>
        <w:rPr>
          <w:rtl w:val="true"/>
        </w:rPr>
        <w:t>لا یقع الطلاق إلّا بصیغة خاصّة</w:t>
      </w:r>
      <w:r>
        <w:rPr>
          <w:rtl w:val="true"/>
        </w:rPr>
        <w:t>]</w:t>
      </w:r>
      <w:bookmarkEnd w:id="7875"/>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الطلاق إلّا بصیغة خاصّة، و 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شاکلها من الألفاظ الدالّة علیٰ تعیین المطلّقة، فلا یقع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أو هی</w:t>
      </w:r>
      <w:r>
        <w:rPr>
          <w:rFonts w:eastAsia="IRNazanin" w:cs="IRNazanin"/>
          <w:color w:val="111111"/>
          <w:sz w:val="28"/>
          <w:szCs w:val="28"/>
          <w:rtl w:val="true"/>
          <w:lang w:bidi="fa-IR"/>
        </w:rPr>
        <w:t>-</w:t>
      </w:r>
      <w:bookmarkStart w:id="7876" w:name="pg1809_19992"/>
    </w:p>
    <w:p>
      <w:pPr>
        <w:pStyle w:val="BookText"/>
        <w:rPr/>
      </w:pPr>
      <w:bookmarkEnd w:id="7876"/>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w:t>
      </w:r>
      <w:r>
        <w:rPr>
          <w:rStyle w:val="FootnoteAnchor"/>
          <w:rtl w:val="true"/>
        </w:rPr>
        <w:footnoteReference w:id="1996"/>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بعض الکنایات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حبلک علیٰ غاربک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 بأهلک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فإنّه لا یقع بها الطلاق و إن نواه، حتّی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المنویّ به الطلاق علی الأقویٰ</w:t>
      </w:r>
      <w:r>
        <w:rPr>
          <w:rFonts w:eastAsia="IRNazanin" w:cs="IRNazanin"/>
          <w:color w:val="111111"/>
          <w:sz w:val="28"/>
          <w:szCs w:val="28"/>
          <w:rtl w:val="true"/>
          <w:lang w:bidi="fa-IR"/>
        </w:rPr>
        <w:t>.</w:t>
      </w:r>
    </w:p>
    <w:p>
      <w:pPr>
        <w:pStyle w:val="Heading4"/>
        <w:numPr>
          <w:ilvl w:val="3"/>
          <w:numId w:val="1"/>
        </w:numPr>
        <w:rPr/>
      </w:pPr>
      <w:bookmarkStart w:id="7877" w:name="__RefHeading___Toc2572098_3650668749"/>
      <w:bookmarkStart w:id="7878" w:name="_Toc3558"/>
      <w:bookmarkEnd w:id="7877"/>
      <w:r>
        <w:rPr>
          <w:rtl w:val="true"/>
        </w:rPr>
        <w:t>[ (</w:t>
      </w:r>
      <w:r>
        <w:rPr>
          <w:rtl w:val="true"/>
        </w:rPr>
        <w:t xml:space="preserve">مسألة </w:t>
      </w:r>
      <w:r>
        <w:rPr/>
        <w:t>2</w:t>
      </w:r>
      <w:r>
        <w:rPr>
          <w:rtl w:val="true"/>
        </w:rPr>
        <w:t xml:space="preserve">): </w:t>
      </w:r>
      <w:r>
        <w:rPr>
          <w:rtl w:val="true"/>
        </w:rPr>
        <w:t>یجوز إیقاع طلاق أکثر من زوجة واحدة بصیغة واحدة</w:t>
      </w:r>
      <w:r>
        <w:rPr>
          <w:rtl w:val="true"/>
        </w:rPr>
        <w:t>]</w:t>
      </w:r>
      <w:bookmarkEnd w:id="78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إیقاع طلاق أکثر من زوجة واحدة بصیغة واحدة، فلو کانت عنده زوجتان أو ثلاث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زوجتای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زوجاتی طوالق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طلاق الجمیع</w:t>
      </w:r>
      <w:r>
        <w:rPr>
          <w:rFonts w:eastAsia="IRNazanin" w:cs="IRNazanin"/>
          <w:color w:val="111111"/>
          <w:sz w:val="28"/>
          <w:szCs w:val="28"/>
          <w:rtl w:val="true"/>
          <w:lang w:bidi="fa-IR"/>
        </w:rPr>
        <w:t>.</w:t>
      </w:r>
    </w:p>
    <w:p>
      <w:pPr>
        <w:pStyle w:val="Heading4"/>
        <w:numPr>
          <w:ilvl w:val="3"/>
          <w:numId w:val="1"/>
        </w:numPr>
        <w:rPr/>
      </w:pPr>
      <w:bookmarkStart w:id="7879" w:name="__RefHeading___Toc2572100_3650668749"/>
      <w:bookmarkStart w:id="7880" w:name="_Toc3559"/>
      <w:bookmarkEnd w:id="7879"/>
      <w:r>
        <w:rPr>
          <w:rtl w:val="true"/>
        </w:rPr>
        <w:t>[ (</w:t>
      </w:r>
      <w:r>
        <w:rPr>
          <w:rtl w:val="true"/>
        </w:rPr>
        <w:t xml:space="preserve">مسألة </w:t>
      </w:r>
      <w:r>
        <w:rPr/>
        <w:t>3</w:t>
      </w:r>
      <w:r>
        <w:rPr>
          <w:rtl w:val="true"/>
        </w:rPr>
        <w:t xml:space="preserve">): </w:t>
      </w:r>
      <w:r>
        <w:rPr>
          <w:rtl w:val="true"/>
        </w:rPr>
        <w:t>لا یقع الطلاق بما یرادف الصیغة المزبورة من لغة غیر عربیّة</w:t>
      </w:r>
      <w:r>
        <w:rPr>
          <w:rtl w:val="true"/>
        </w:rPr>
        <w:t>]</w:t>
      </w:r>
      <w:bookmarkEnd w:id="78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الطلاق بما یرادف الصیغة المزبورة من لغة غیر عربیّة مع القدرة علیٰ إیقاعه بتلک الصیغة، و أمّا مع العجز عنها فیجزی إیقاعه بما یرادفها بأیّ لغة کان، و کذا لا یقع بالإشارة و لا بالکتابة مع القدرة علی النطق، و أمّا مع العجز عنه کما فی الأخرس فیصحّ منه إیقاعه بهما، و الأحوط تقدیم الکتابة لمن یعرفها علی الإشارة</w:t>
      </w:r>
      <w:r>
        <w:rPr>
          <w:rFonts w:eastAsia="IRNazanin" w:cs="IRNazanin"/>
          <w:color w:val="111111"/>
          <w:sz w:val="28"/>
          <w:szCs w:val="28"/>
          <w:rtl w:val="true"/>
          <w:lang w:bidi="fa-IR"/>
        </w:rPr>
        <w:t>.</w:t>
      </w:r>
    </w:p>
    <w:p>
      <w:pPr>
        <w:pStyle w:val="Heading4"/>
        <w:numPr>
          <w:ilvl w:val="3"/>
          <w:numId w:val="1"/>
        </w:numPr>
        <w:rPr/>
      </w:pPr>
      <w:bookmarkStart w:id="7881" w:name="__RefHeading___Toc2572102_3650668749"/>
      <w:bookmarkStart w:id="7882" w:name="_Toc3560"/>
      <w:bookmarkEnd w:id="7881"/>
      <w:r>
        <w:rPr>
          <w:rtl w:val="true"/>
        </w:rPr>
        <w:t>[ (</w:t>
      </w:r>
      <w:r>
        <w:rPr>
          <w:rtl w:val="true"/>
        </w:rPr>
        <w:t xml:space="preserve">مسألة </w:t>
      </w:r>
      <w:r>
        <w:rPr/>
        <w:t>4</w:t>
      </w:r>
      <w:r>
        <w:rPr>
          <w:rtl w:val="true"/>
        </w:rPr>
        <w:t xml:space="preserve">): </w:t>
      </w:r>
      <w:r>
        <w:rPr>
          <w:rtl w:val="true"/>
        </w:rPr>
        <w:t>یجوز للزوج أن یوکّل غیره فی تطلیق زوجته بنفسه</w:t>
      </w:r>
      <w:r>
        <w:rPr>
          <w:rtl w:val="true"/>
        </w:rPr>
        <w:t>]</w:t>
      </w:r>
      <w:bookmarkEnd w:id="78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للزوج أن یوکّل غیره فی تطلیق زوجته بنفسه؛ بالمباشرة أو بتوکیل غیره؛ سواء کان الزوج غائباً أو حاضراً، بل و کذا له أن یوکّل نفس الزوجة </w:t>
      </w:r>
      <w:r>
        <w:rPr>
          <w:rStyle w:val="FootnoteAnchor"/>
          <w:rtl w:val="true"/>
        </w:rPr>
        <w:footnoteReference w:id="1997"/>
      </w:r>
      <w:r>
        <w:rPr>
          <w:rFonts w:ascii="IRNazanin" w:hAnsi="IRNazanin" w:eastAsia="IRNazanin"/>
          <w:color w:val="111111"/>
          <w:sz w:val="28"/>
          <w:sz w:val="28"/>
          <w:szCs w:val="28"/>
          <w:rtl w:val="true"/>
          <w:lang w:bidi="fa-IR"/>
        </w:rPr>
        <w:t>فی تطلیق نفسها بنفسها أو بتوکیل غیرها</w:t>
      </w:r>
      <w:r>
        <w:rPr>
          <w:rFonts w:eastAsia="IRNazanin" w:cs="IRNazanin"/>
          <w:color w:val="111111"/>
          <w:sz w:val="28"/>
          <w:szCs w:val="28"/>
          <w:rtl w:val="true"/>
          <w:lang w:bidi="fa-IR"/>
        </w:rPr>
        <w:t>.</w:t>
      </w:r>
    </w:p>
    <w:p>
      <w:pPr>
        <w:pStyle w:val="Heading4"/>
        <w:numPr>
          <w:ilvl w:val="3"/>
          <w:numId w:val="1"/>
        </w:numPr>
        <w:rPr/>
      </w:pPr>
      <w:bookmarkStart w:id="7883" w:name="__RefHeading___Toc2572104_3650668749"/>
      <w:bookmarkStart w:id="7884" w:name="_Toc3561"/>
      <w:bookmarkEnd w:id="7883"/>
      <w:r>
        <w:rPr>
          <w:rtl w:val="true"/>
        </w:rPr>
        <w:t>[ (</w:t>
      </w:r>
      <w:r>
        <w:rPr>
          <w:rtl w:val="true"/>
        </w:rPr>
        <w:t xml:space="preserve">مسألة </w:t>
      </w:r>
      <w:r>
        <w:rPr/>
        <w:t>5</w:t>
      </w:r>
      <w:r>
        <w:rPr>
          <w:rtl w:val="true"/>
        </w:rPr>
        <w:t xml:space="preserve">): </w:t>
      </w:r>
      <w:r>
        <w:rPr>
          <w:rtl w:val="true"/>
        </w:rPr>
        <w:t>یجوز أن یوکّلها علیٰ أنّه لو طال سفره أزید من ثلاثة شهور مثلًا</w:t>
      </w:r>
      <w:r>
        <w:rPr>
          <w:rtl w:val="true"/>
        </w:rPr>
        <w:t>]</w:t>
      </w:r>
      <w:bookmarkEnd w:id="78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یوکّلها علیٰ أنّه لو طال سفره أزید من ثلاثة شهور مثلًا أو سامح فی إنفاقها أزید من شهر مثلًا طلّقت نفسها، لکن بشرط أن یکون الشرط قیداً للموکّل فیه لا تعلیقاً فی الوکالة، فتبطل کما مرّ فی کتاب الوکالة</w:t>
      </w:r>
      <w:r>
        <w:rPr>
          <w:rFonts w:eastAsia="IRNazanin" w:cs="IRNazanin"/>
          <w:color w:val="111111"/>
          <w:sz w:val="28"/>
          <w:szCs w:val="28"/>
          <w:rtl w:val="true"/>
          <w:lang w:bidi="fa-IR"/>
        </w:rPr>
        <w:t>.</w:t>
      </w:r>
    </w:p>
    <w:p>
      <w:pPr>
        <w:pStyle w:val="Heading4"/>
        <w:numPr>
          <w:ilvl w:val="3"/>
          <w:numId w:val="1"/>
        </w:numPr>
        <w:rPr/>
      </w:pPr>
      <w:bookmarkStart w:id="7885" w:name="__RefHeading___Toc2572106_3650668749"/>
      <w:bookmarkStart w:id="7886" w:name="_Toc3562"/>
      <w:bookmarkEnd w:id="7885"/>
      <w:r>
        <w:rPr>
          <w:rtl w:val="true"/>
        </w:rPr>
        <w:t>[ (</w:t>
      </w:r>
      <w:r>
        <w:rPr>
          <w:rtl w:val="true"/>
        </w:rPr>
        <w:t xml:space="preserve">مسألة </w:t>
      </w:r>
      <w:r>
        <w:rPr/>
        <w:t>6</w:t>
      </w:r>
      <w:r>
        <w:rPr>
          <w:rtl w:val="true"/>
        </w:rPr>
        <w:t xml:space="preserve">): </w:t>
      </w:r>
      <w:r>
        <w:rPr>
          <w:rtl w:val="true"/>
        </w:rPr>
        <w:t>یشترط فی صیغة الطلاق التنجیز</w:t>
      </w:r>
      <w:r>
        <w:rPr>
          <w:rtl w:val="true"/>
        </w:rPr>
        <w:t>]</w:t>
      </w:r>
      <w:bookmarkEnd w:id="78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صیغة الطلاق التنجیز، فلو علّقه بشرط بطل؛ سواء کان ممّا یحتمل وقوعه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إن 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ممّا یتیقّن حصوله کما إذا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طلعت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جواز تعلیقه بما یکون معلّقاً علیه فی الواقع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فلانة زوجتی فهی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عالماً بأنّها زوجته أو جاهلًا به</w:t>
      </w:r>
      <w:r>
        <w:rPr>
          <w:rFonts w:eastAsia="IRNazanin" w:cs="IRNazanin"/>
          <w:color w:val="111111"/>
          <w:sz w:val="28"/>
          <w:szCs w:val="28"/>
          <w:rtl w:val="true"/>
          <w:lang w:bidi="fa-IR"/>
        </w:rPr>
        <w:t>.</w:t>
      </w:r>
    </w:p>
    <w:p>
      <w:pPr>
        <w:pStyle w:val="Heading4"/>
        <w:numPr>
          <w:ilvl w:val="3"/>
          <w:numId w:val="1"/>
        </w:numPr>
        <w:rPr/>
      </w:pPr>
      <w:bookmarkStart w:id="7887" w:name="__RefHeading___Toc2572108_3650668749"/>
      <w:bookmarkStart w:id="7888" w:name="_Toc3563"/>
      <w:bookmarkEnd w:id="7887"/>
      <w:r>
        <w:rPr>
          <w:rtl w:val="true"/>
        </w:rPr>
        <w:t>[ (</w:t>
      </w:r>
      <w:r>
        <w:rPr>
          <w:rtl w:val="true"/>
        </w:rPr>
        <w:t xml:space="preserve">مسألة </w:t>
      </w:r>
      <w:r>
        <w:rPr/>
        <w:t>7</w:t>
      </w:r>
      <w:r>
        <w:rPr>
          <w:rtl w:val="true"/>
        </w:rPr>
        <w:t xml:space="preserve">): </w:t>
      </w:r>
      <w:r>
        <w:rPr>
          <w:rtl w:val="true"/>
        </w:rPr>
        <w:t>لو کرّر صیغة الطلاق ثلاثاً فقال</w:t>
      </w:r>
      <w:r>
        <w:rPr>
          <w:rtl w:val="true"/>
        </w:rPr>
        <w:t>: «</w:t>
      </w:r>
      <w:r>
        <w:rPr>
          <w:rtl w:val="true"/>
        </w:rPr>
        <w:t>هی طالق هی طالق هی طالق</w:t>
      </w:r>
      <w:r>
        <w:rPr>
          <w:rtl w:val="true"/>
        </w:rPr>
        <w:t xml:space="preserve">» </w:t>
      </w:r>
      <w:r>
        <w:rPr>
          <w:rtl w:val="true"/>
        </w:rPr>
        <w:t>من دون تخلّل رجعة فی البین</w:t>
      </w:r>
      <w:r>
        <w:rPr>
          <w:rtl w:val="true"/>
        </w:rPr>
        <w:t>]</w:t>
      </w:r>
      <w:bookmarkEnd w:id="7888"/>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کرّر صیغة الطلاق ثلاثاً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طالق هی طالق 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تخلّل رجعة فی البین قاصداً تعدّد الطلاق تقع واحدة و لغت الأُخریان، 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طالق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تقع الثلاث قطعاً، و هل تقع واحدة کالصورة السابقة أو یبطل الطلاق و لغت</w:t>
      </w:r>
      <w:bookmarkStart w:id="7889" w:name="pg1809_19993"/>
    </w:p>
    <w:p>
      <w:pPr>
        <w:pStyle w:val="BookText"/>
        <w:rPr/>
      </w:pPr>
      <w:bookmarkEnd w:id="7889"/>
      <w:r>
        <w:rPr>
          <w:rFonts w:ascii="IRNazanin" w:hAnsi="IRNazanin" w:eastAsia="IRNazanin"/>
          <w:color w:val="111111"/>
          <w:sz w:val="28"/>
          <w:sz w:val="28"/>
          <w:szCs w:val="28"/>
          <w:rtl w:val="true"/>
          <w:lang w:bidi="fa-IR"/>
        </w:rPr>
        <w:t xml:space="preserve">الصیغة بالمرّة؟ قولان، أقواهما الثانی، و إن کان الأشهر هو الأوّل </w:t>
      </w:r>
      <w:r>
        <w:rPr>
          <w:rStyle w:val="FootnoteAnchor"/>
          <w:rtl w:val="true"/>
        </w:rPr>
        <w:footnoteReference w:id="1998"/>
      </w:r>
      <w:r>
        <w:rPr>
          <w:rFonts w:ascii="IRNazanin" w:hAnsi="IRNazanin" w:eastAsia="IRNazanin"/>
          <w:color w:val="111111"/>
          <w:sz w:val="28"/>
          <w:sz w:val="28"/>
          <w:szCs w:val="28"/>
          <w:rtl w:val="true"/>
          <w:lang w:bidi="fa-IR"/>
        </w:rPr>
        <w:t>و عند العامّة وقوع الثلاث فی الصورتین، فتبین منه و حرمت علیه حتّی تنکح زوجاً غیره</w:t>
      </w:r>
      <w:r>
        <w:rPr>
          <w:rFonts w:eastAsia="IRNazanin" w:cs="IRNazanin"/>
          <w:color w:val="111111"/>
          <w:sz w:val="28"/>
          <w:szCs w:val="28"/>
          <w:rtl w:val="true"/>
          <w:lang w:bidi="fa-IR"/>
        </w:rPr>
        <w:t>.</w:t>
      </w:r>
    </w:p>
    <w:p>
      <w:pPr>
        <w:pStyle w:val="Heading4"/>
        <w:numPr>
          <w:ilvl w:val="3"/>
          <w:numId w:val="1"/>
        </w:numPr>
        <w:rPr/>
      </w:pPr>
      <w:bookmarkStart w:id="7890" w:name="__RefHeading___Toc2572110_3650668749"/>
      <w:bookmarkStart w:id="7891" w:name="_Toc3564"/>
      <w:bookmarkEnd w:id="7890"/>
      <w:r>
        <w:rPr>
          <w:rtl w:val="true"/>
        </w:rPr>
        <w:t>[ (</w:t>
      </w:r>
      <w:r>
        <w:rPr>
          <w:rtl w:val="true"/>
        </w:rPr>
        <w:t xml:space="preserve">مسألة </w:t>
      </w:r>
      <w:r>
        <w:rPr/>
        <w:t>8</w:t>
      </w:r>
      <w:r>
        <w:rPr>
          <w:rtl w:val="true"/>
        </w:rPr>
        <w:t xml:space="preserve">): </w:t>
      </w:r>
      <w:r>
        <w:rPr>
          <w:rtl w:val="true"/>
        </w:rPr>
        <w:t>لو کان الزوج من العامّة ممّن یعتقد وقوع الثلاث بثلاث مرسلة أو مکرّرة و أوقع الطلاق ثلاثاً بأحد النحوین</w:t>
      </w:r>
      <w:r>
        <w:rPr>
          <w:rtl w:val="true"/>
        </w:rPr>
        <w:t>]</w:t>
      </w:r>
      <w:bookmarkEnd w:id="78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الزوج من العامّة ممّن یعتقد وقوع الثلاث بثلاث مرسلة أو مکرّرة و أوقع الطلاق ثلاثاً بأحد النحوین الزم بذلک؛ سواء کانت المرأة شیعیّة أو مخالفة و نرتّب نحن علیها آثار المطلّقة ثلاثاً، فلو رجع إلیها نحکم ببطلانه </w:t>
      </w:r>
      <w:r>
        <w:rPr>
          <w:rStyle w:val="FootnoteAnchor"/>
          <w:rtl w:val="true"/>
        </w:rPr>
        <w:footnoteReference w:id="1999"/>
      </w:r>
      <w:r>
        <w:rPr>
          <w:rFonts w:ascii="IRNazanin" w:hAnsi="IRNazanin" w:eastAsia="IRNazanin"/>
          <w:color w:val="111111"/>
          <w:sz w:val="28"/>
          <w:sz w:val="28"/>
          <w:szCs w:val="28"/>
          <w:rtl w:val="true"/>
          <w:lang w:bidi="fa-IR"/>
        </w:rPr>
        <w:t>فنتزوّج بها بعد 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الزوجة إذا کانت شیعیّة جاز لها التزویج بالغیر، و لا فرق فی ذلک بین الطلاق ثلاثاً و غیره؛ ممّا هو صحیح عندهم فاسد عندنا؛ کالطلاق المعلّق و الحلف بالطلاق و الطلاق فی طهر المواقعة و الحیض و بغیر شاهدین، فإنّ المذکورات و إن کانت فاسدة عندنا، فإذا وقعت من رجل منّا لا نرتّب علیٰ زوجته آثار المطلّقة، و لکن إذا وقعت من أحد من المخالفین القائلین بصحّتها، نرتّب علیٰ طلاقه بالنسبة إلیٰ زوجته آثار الطلاق الصحیح، فنتزوّج بها بعد انقضاء العدّة، و هذا الحکم جارٍ فی غیر الطلاق أیضاً، فنأخذ بالعول و التعصیب منهم المیراث مثلًا مع أنّهما باطلان عندنا، و التفصیل لا یسع هذا المختصر</w:t>
      </w:r>
      <w:r>
        <w:rPr>
          <w:rFonts w:eastAsia="IRNazanin" w:cs="IRNazanin"/>
          <w:color w:val="111111"/>
          <w:sz w:val="28"/>
          <w:szCs w:val="28"/>
          <w:rtl w:val="true"/>
          <w:lang w:bidi="fa-IR"/>
        </w:rPr>
        <w:t>.</w:t>
      </w:r>
    </w:p>
    <w:p>
      <w:pPr>
        <w:pStyle w:val="Heading4"/>
        <w:numPr>
          <w:ilvl w:val="3"/>
          <w:numId w:val="1"/>
        </w:numPr>
        <w:rPr/>
      </w:pPr>
      <w:bookmarkStart w:id="7892" w:name="__RefHeading___Toc2572112_3650668749"/>
      <w:bookmarkStart w:id="7893" w:name="_Toc3565"/>
      <w:bookmarkEnd w:id="7892"/>
      <w:r>
        <w:rPr>
          <w:rtl w:val="true"/>
        </w:rPr>
        <w:t>[ (</w:t>
      </w:r>
      <w:r>
        <w:rPr>
          <w:rtl w:val="true"/>
        </w:rPr>
        <w:t xml:space="preserve">مسألة </w:t>
      </w:r>
      <w:r>
        <w:rPr/>
        <w:t>9</w:t>
      </w:r>
      <w:r>
        <w:rPr>
          <w:rtl w:val="true"/>
        </w:rPr>
        <w:t xml:space="preserve">): </w:t>
      </w:r>
      <w:r>
        <w:rPr>
          <w:rtl w:val="true"/>
        </w:rPr>
        <w:t>یشترط فی صحّة الطلاق زائداً علیٰ ما مرّ الإشهاد</w:t>
      </w:r>
      <w:r>
        <w:rPr>
          <w:rtl w:val="true"/>
        </w:rPr>
        <w:t>]</w:t>
      </w:r>
      <w:bookmarkEnd w:id="78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الطلاق زائداً علیٰ ما مرّ الإشهاد؛ بمعنی إیقاعه بحضور عدلین ذکرین یسمعان الإنشاء؛ سواء 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اجتماعهما حین سماع الإنشاء، فلو شهد أحدهما و سمع فی مجلس ثمّ کرّر اللفظ و سمع الآخر فی مجلس آخر بانفراده لم یقع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شهدا بإقراره بالطلاق لم یعتبر اجتماعهما؛ لا فی تحمّل الشهادة و لا فی أدائها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اعتبار بشهادة النساء و سماعهنّ؛ لا منفردات و لا منضمّات بالرجال</w:t>
      </w:r>
      <w:r>
        <w:rPr>
          <w:rFonts w:eastAsia="IRNazanin" w:cs="IRNazanin"/>
          <w:color w:val="111111"/>
          <w:sz w:val="28"/>
          <w:szCs w:val="28"/>
          <w:rtl w:val="true"/>
          <w:lang w:bidi="fa-IR"/>
        </w:rPr>
        <w:t>.</w:t>
      </w:r>
    </w:p>
    <w:p>
      <w:pPr>
        <w:pStyle w:val="Heading4"/>
        <w:numPr>
          <w:ilvl w:val="3"/>
          <w:numId w:val="1"/>
        </w:numPr>
        <w:rPr/>
      </w:pPr>
      <w:bookmarkStart w:id="7894" w:name="__RefHeading___Toc2572114_3650668749"/>
      <w:bookmarkStart w:id="7895" w:name="_Toc3566"/>
      <w:bookmarkEnd w:id="7894"/>
      <w:r>
        <w:rPr>
          <w:rtl w:val="true"/>
        </w:rPr>
        <w:t>[ (</w:t>
      </w:r>
      <w:r>
        <w:rPr>
          <w:rtl w:val="true"/>
        </w:rPr>
        <w:t xml:space="preserve">مسألة </w:t>
      </w:r>
      <w:r>
        <w:rPr/>
        <w:t>10</w:t>
      </w:r>
      <w:r>
        <w:rPr>
          <w:rtl w:val="true"/>
        </w:rPr>
        <w:t xml:space="preserve">): </w:t>
      </w:r>
      <w:r>
        <w:rPr>
          <w:rtl w:val="true"/>
        </w:rPr>
        <w:t>لو طلّق الوکیل عن الزوج لا یکتفیٰ به مع عدل آخر فی الشاهدین</w:t>
      </w:r>
      <w:r>
        <w:rPr>
          <w:rtl w:val="true"/>
        </w:rPr>
        <w:t>]</w:t>
      </w:r>
      <w:bookmarkEnd w:id="78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 الوکیل عن الزوج لا یکتفیٰ به مع عدل آخر فی الشاهدین، کما أنّه لا یکتفیٰ بالموکّل مع عدل آخر</w:t>
      </w:r>
      <w:r>
        <w:rPr>
          <w:rFonts w:eastAsia="IRNazanin" w:cs="IRNazanin"/>
          <w:color w:val="111111"/>
          <w:sz w:val="28"/>
          <w:szCs w:val="28"/>
          <w:rtl w:val="true"/>
          <w:lang w:bidi="fa-IR"/>
        </w:rPr>
        <w:t>.</w:t>
      </w:r>
    </w:p>
    <w:p>
      <w:pPr>
        <w:pStyle w:val="Heading4"/>
        <w:numPr>
          <w:ilvl w:val="3"/>
          <w:numId w:val="1"/>
        </w:numPr>
        <w:rPr/>
      </w:pPr>
      <w:bookmarkStart w:id="7896" w:name="__RefHeading___Toc2572116_3650668749"/>
      <w:bookmarkStart w:id="7897" w:name="_Toc3567"/>
      <w:bookmarkEnd w:id="7896"/>
      <w:r>
        <w:rPr>
          <w:rtl w:val="true"/>
        </w:rPr>
        <w:t>[ (</w:t>
      </w:r>
      <w:r>
        <w:rPr>
          <w:rtl w:val="true"/>
        </w:rPr>
        <w:t xml:space="preserve">مسألة </w:t>
      </w:r>
      <w:r>
        <w:rPr/>
        <w:t>11</w:t>
      </w:r>
      <w:r>
        <w:rPr>
          <w:rtl w:val="true"/>
        </w:rPr>
        <w:t xml:space="preserve">): </w:t>
      </w:r>
      <w:r>
        <w:rPr>
          <w:rtl w:val="true"/>
        </w:rPr>
        <w:t>المراد بالعدل فی هذا المقام ما هو المراد به فی غیر المقام</w:t>
      </w:r>
      <w:r>
        <w:rPr>
          <w:rtl w:val="true"/>
        </w:rPr>
        <w:t>]</w:t>
      </w:r>
      <w:bookmarkEnd w:id="7897"/>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بالعدل فی هذا المقام ما هو المراد به فی غیر المقام ممّا رتّب علیه</w:t>
      </w:r>
      <w:bookmarkStart w:id="7898" w:name="pg1809_19994"/>
    </w:p>
    <w:p>
      <w:pPr>
        <w:pStyle w:val="BookText"/>
        <w:rPr/>
      </w:pPr>
      <w:bookmarkEnd w:id="7898"/>
      <w:r>
        <w:rPr>
          <w:rFonts w:ascii="IRNazanin" w:hAnsi="IRNazanin" w:eastAsia="IRNazanin"/>
          <w:color w:val="111111"/>
          <w:sz w:val="28"/>
          <w:sz w:val="28"/>
          <w:szCs w:val="28"/>
          <w:rtl w:val="true"/>
          <w:lang w:bidi="fa-IR"/>
        </w:rPr>
        <w:t>بعض الأحکام؛ و هو من کانت له حالة رادعة عن ارتکاب الکبائر و الإصرار علی الصغائر، و هی التی تسمّی بالملکة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الکاشف عنها حسن الظاهر؛ بمعنی کونه عند الناس حسن الأفعال بحیث لو سئلوا عن حاله قالوا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رجل خیر لم نرَ منه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الشخص لیس عزیز المنال</w:t>
      </w:r>
      <w:r>
        <w:rPr>
          <w:rFonts w:eastAsia="IRNazanin" w:cs="IRNazanin"/>
          <w:color w:val="111111"/>
          <w:sz w:val="28"/>
          <w:szCs w:val="28"/>
          <w:rtl w:val="true"/>
          <w:lang w:bidi="fa-IR"/>
        </w:rPr>
        <w:t>.</w:t>
      </w:r>
    </w:p>
    <w:p>
      <w:pPr>
        <w:pStyle w:val="Heading4"/>
        <w:numPr>
          <w:ilvl w:val="3"/>
          <w:numId w:val="1"/>
        </w:numPr>
        <w:rPr/>
      </w:pPr>
      <w:bookmarkStart w:id="7899" w:name="__RefHeading___Toc2572118_3650668749"/>
      <w:bookmarkStart w:id="7900" w:name="_Toc3568"/>
      <w:bookmarkEnd w:id="7899"/>
      <w:r>
        <w:rPr>
          <w:rtl w:val="true"/>
        </w:rPr>
        <w:t>[ (</w:t>
      </w:r>
      <w:r>
        <w:rPr>
          <w:rtl w:val="true"/>
        </w:rPr>
        <w:t xml:space="preserve">مسألة </w:t>
      </w:r>
      <w:r>
        <w:rPr/>
        <w:t>12</w:t>
      </w:r>
      <w:r>
        <w:rPr>
          <w:rtl w:val="true"/>
        </w:rPr>
        <w:t xml:space="preserve">): </w:t>
      </w:r>
      <w:r>
        <w:rPr>
          <w:rtl w:val="true"/>
        </w:rPr>
        <w:t>لو کان الشاهدان عادلین فی اعتقاد المطلّق أصیلًا کان أو وکیلًا</w:t>
      </w:r>
      <w:r>
        <w:rPr>
          <w:rtl w:val="true"/>
        </w:rPr>
        <w:t>]</w:t>
      </w:r>
      <w:bookmarkEnd w:id="79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الشاهدان عادلین فی اعتقاد المطلّق أصیلًا کان أو وکیلًا فاسقین فی الواقع، یشکل ترتیب آثار الطلاق الصحیح لمن یطّلع علیٰ فسقهما، و کذلک إذا کانا عادلین فی اعتقاد الوکیل دون الموکّل، فإنّه یشکل جواز ترتیب آثار الطلاق علیٰ طلاقه، بل الأمر فیه أشکل من سابقه</w:t>
      </w:r>
      <w:r>
        <w:rPr>
          <w:rFonts w:eastAsia="IRNazanin" w:cs="IRNazanin"/>
          <w:color w:val="111111"/>
          <w:sz w:val="28"/>
          <w:szCs w:val="28"/>
          <w:rtl w:val="true"/>
          <w:lang w:bidi="fa-IR"/>
        </w:rPr>
        <w:t>.</w:t>
      </w:r>
    </w:p>
    <w:p>
      <w:pPr>
        <w:pStyle w:val="Heading3"/>
        <w:numPr>
          <w:ilvl w:val="2"/>
          <w:numId w:val="1"/>
        </w:numPr>
        <w:rPr/>
      </w:pPr>
      <w:bookmarkStart w:id="7901" w:name="__RefHeading___Toc2572120_3650668749"/>
      <w:bookmarkStart w:id="7902" w:name="_Toc3569"/>
      <w:bookmarkEnd w:id="7901"/>
      <w:r>
        <w:rPr>
          <w:rtl w:val="true"/>
        </w:rPr>
        <w:t>[</w:t>
      </w:r>
      <w:r>
        <w:rPr>
          <w:rtl w:val="true"/>
        </w:rPr>
        <w:t>القول فی أقسام الطلاق</w:t>
      </w:r>
      <w:r>
        <w:rPr>
          <w:rtl w:val="true"/>
        </w:rPr>
        <w:t>]</w:t>
      </w:r>
      <w:bookmarkEnd w:id="7902"/>
    </w:p>
    <w:p>
      <w:pPr>
        <w:pStyle w:val="Heading4"/>
        <w:numPr>
          <w:ilvl w:val="3"/>
          <w:numId w:val="1"/>
        </w:numPr>
        <w:rPr/>
      </w:pPr>
      <w:bookmarkStart w:id="7903" w:name="__RefHeading___Toc2572122_3650668749"/>
      <w:bookmarkStart w:id="7904" w:name="_Toc3570"/>
      <w:bookmarkEnd w:id="7903"/>
      <w:r>
        <w:rPr>
          <w:rtl w:val="true"/>
        </w:rPr>
        <w:t>اشارة</w:t>
      </w:r>
      <w:bookmarkEnd w:id="7904"/>
    </w:p>
    <w:p>
      <w:pPr>
        <w:pStyle w:val="BookText"/>
        <w:rPr/>
      </w:pPr>
      <w:r>
        <w:rPr>
          <w:rFonts w:ascii="IRNazanin" w:hAnsi="IRNazanin" w:eastAsia="IRNazanin"/>
          <w:color w:val="111111"/>
          <w:sz w:val="28"/>
          <w:sz w:val="28"/>
          <w:szCs w:val="28"/>
          <w:rtl w:val="true"/>
          <w:lang w:bidi="fa-IR"/>
        </w:rPr>
        <w:t>القول فی أقسام الطلاق الطلاق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بدعیّ و سنّی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الغیر الجامع للشرائط المتقدّمة، و هو علیٰ أقسام فاسدة عندنا صحیحة عند غیرنا، فالبحث عنها لا یهمّنا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 الشرائط فی مذهبنا، و هو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بائن و رجعی، فالبائن ما لیس للزوج الرجوع إلیها بعده؛ سواء کانت لها عدّة أم لا و هو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الصغیرة؛ أعنی من لم تبلغ التسع و إن 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الیائسة، و هذه الثلاث لیست لها عدّة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الخلع و المباراة مع عدم رجوع الزوجة فیما بذلت، و إلّا کانت له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الثالث إذا وقع منه رجوعان </w:t>
      </w:r>
      <w:r>
        <w:rPr>
          <w:rStyle w:val="FootnoteAnchor"/>
          <w:rtl w:val="true"/>
        </w:rPr>
        <w:footnoteReference w:id="2000"/>
      </w:r>
      <w:r>
        <w:rPr>
          <w:rFonts w:ascii="IRNazanin" w:hAnsi="IRNazanin" w:eastAsia="IRNazanin"/>
          <w:color w:val="111111"/>
          <w:sz w:val="28"/>
          <w:sz w:val="28"/>
          <w:szCs w:val="28"/>
          <w:rtl w:val="true"/>
          <w:lang w:bidi="fa-IR"/>
        </w:rPr>
        <w:t>فی البین بین الأوّل و الثانی و بین الثانی و الثالث، و أمّا إذا وقع الثلاث متوالیة بلا رجعة صحّت و وقعت واحدة کما مرّ</w:t>
      </w:r>
      <w:r>
        <w:rPr>
          <w:rFonts w:eastAsia="IRNazanin" w:cs="IRNazanin"/>
          <w:color w:val="111111"/>
          <w:sz w:val="28"/>
          <w:szCs w:val="28"/>
          <w:rtl w:val="true"/>
          <w:lang w:bidi="fa-IR"/>
        </w:rPr>
        <w:t>.</w:t>
      </w:r>
    </w:p>
    <w:p>
      <w:pPr>
        <w:pStyle w:val="Heading4"/>
        <w:numPr>
          <w:ilvl w:val="3"/>
          <w:numId w:val="1"/>
        </w:numPr>
        <w:rPr/>
      </w:pPr>
      <w:bookmarkStart w:id="7905" w:name="__RefHeading___Toc2572124_3650668749"/>
      <w:bookmarkStart w:id="7906" w:name="_Toc3571"/>
      <w:bookmarkEnd w:id="7905"/>
      <w:r>
        <w:rPr>
          <w:rtl w:val="true"/>
        </w:rPr>
        <w:t>[ (</w:t>
      </w:r>
      <w:r>
        <w:rPr>
          <w:rtl w:val="true"/>
        </w:rPr>
        <w:t xml:space="preserve">مسألة </w:t>
      </w:r>
      <w:r>
        <w:rPr/>
        <w:t>1</w:t>
      </w:r>
      <w:r>
        <w:rPr>
          <w:rtl w:val="true"/>
        </w:rPr>
        <w:t xml:space="preserve">): </w:t>
      </w:r>
      <w:r>
        <w:rPr>
          <w:rtl w:val="true"/>
        </w:rPr>
        <w:t>إذا طلّقها ثلاثاً مع تخلّل رجعتین حرمت علیه و لو بعقد جدید</w:t>
      </w:r>
      <w:r>
        <w:rPr>
          <w:rtl w:val="true"/>
        </w:rPr>
        <w:t>]</w:t>
      </w:r>
      <w:bookmarkEnd w:id="7906"/>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طلّقها ثلاثاً مع تخلّل رجعتین حرمت علیه و لو بعقد جدید، و لا تحلّ له إلّا بعد أن تنکح زوجاً غیره، فإذا نکحها غیره ثمّ فارقها بموت أو طلاق و انقضت عدّتها جاز للأوّل نکاحها</w:t>
      </w:r>
      <w:r>
        <w:rPr>
          <w:rFonts w:eastAsia="IRNazanin" w:cs="IRNazanin"/>
          <w:color w:val="111111"/>
          <w:sz w:val="28"/>
          <w:szCs w:val="28"/>
          <w:rtl w:val="true"/>
          <w:lang w:bidi="fa-IR"/>
        </w:rPr>
        <w:t>.</w:t>
      </w:r>
      <w:bookmarkStart w:id="7907" w:name="pg1809_19995"/>
    </w:p>
    <w:p>
      <w:pPr>
        <w:pStyle w:val="Heading4"/>
        <w:numPr>
          <w:ilvl w:val="3"/>
          <w:numId w:val="1"/>
        </w:numPr>
        <w:rPr/>
      </w:pPr>
      <w:bookmarkStart w:id="7908" w:name="__RefHeading___Toc2572126_3650668749"/>
      <w:bookmarkStart w:id="7909" w:name="_Toc3572"/>
      <w:bookmarkEnd w:id="7907"/>
      <w:bookmarkEnd w:id="7908"/>
      <w:r>
        <w:rPr>
          <w:rtl w:val="true"/>
        </w:rPr>
        <w:t>[ (</w:t>
      </w:r>
      <w:r>
        <w:rPr>
          <w:rtl w:val="true"/>
        </w:rPr>
        <w:t xml:space="preserve">مسألة </w:t>
      </w:r>
      <w:r>
        <w:rPr/>
        <w:t>2</w:t>
      </w:r>
      <w:r>
        <w:rPr>
          <w:rtl w:val="true"/>
        </w:rPr>
        <w:t xml:space="preserve">): </w:t>
      </w:r>
      <w:r>
        <w:rPr>
          <w:rtl w:val="true"/>
        </w:rPr>
        <w:t>کلّ امرأة حرّة و إن کانت تحت عبد إذا استکملت الطلاق ثلاثاً مع تخلّل رجعتین فی البین</w:t>
      </w:r>
      <w:r>
        <w:rPr>
          <w:rtl w:val="true"/>
        </w:rPr>
        <w:t>]</w:t>
      </w:r>
      <w:bookmarkEnd w:id="79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امرأة حرّة و إن کانت تحت عبد إذا استکملت الطلاق ثلاثاً مع تخلّل رجعتین فی البین، حرمت علی المطلّق حتّی تنکح زوجاً غیره؛ سواء واقعها بعد کلّ رجعة و طلّقها فی طهر آخر غیر طهر المواقعة و هذا یقال له طلاق العدّة أو لم یواقعها؛ سواء وقع کلّ طلاق فی طهر أو وقع الجمیع فی طهر واحد، فلو طلّقها مع الشرائط ثمّ راجعها ثمّ طلّقها ثمّ راجعها فی مجلس واحد حرمت علیه، فضلًا عمّا إذا طلّقها ثمّ راجعها ثمّ ترکها حتّی حاضت و طهرت ثمّ طلّقها و راجعها ثمّ ترکها حتّی حاضت و طهرت ثمّ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الحرّة، و أمّا الأمة فإذا طلّقت طلاقین بینهما رجعة حرمت علیٰ زوجها حتّی تنکح زوجاً غیره و إن کانت تحت حرّ</w:t>
      </w:r>
      <w:r>
        <w:rPr>
          <w:rFonts w:eastAsia="IRNazanin" w:cs="IRNazanin"/>
          <w:color w:val="111111"/>
          <w:sz w:val="28"/>
          <w:szCs w:val="28"/>
          <w:rtl w:val="true"/>
          <w:lang w:bidi="fa-IR"/>
        </w:rPr>
        <w:t>.</w:t>
      </w:r>
    </w:p>
    <w:p>
      <w:pPr>
        <w:pStyle w:val="Heading4"/>
        <w:numPr>
          <w:ilvl w:val="3"/>
          <w:numId w:val="1"/>
        </w:numPr>
        <w:rPr/>
      </w:pPr>
      <w:bookmarkStart w:id="7910" w:name="__RefHeading___Toc2572128_3650668749"/>
      <w:bookmarkStart w:id="7911" w:name="_Toc3573"/>
      <w:bookmarkEnd w:id="7910"/>
      <w:r>
        <w:rPr>
          <w:rtl w:val="true"/>
        </w:rPr>
        <w:t>[ (</w:t>
      </w:r>
      <w:r>
        <w:rPr>
          <w:rtl w:val="true"/>
        </w:rPr>
        <w:t xml:space="preserve">مسألة </w:t>
      </w:r>
      <w:r>
        <w:rPr/>
        <w:t>3</w:t>
      </w:r>
      <w:r>
        <w:rPr>
          <w:rtl w:val="true"/>
        </w:rPr>
        <w:t xml:space="preserve">): </w:t>
      </w:r>
      <w:r>
        <w:rPr>
          <w:rtl w:val="true"/>
        </w:rPr>
        <w:t>العقد الجدید بحکم الرجوع فی الطلاق</w:t>
      </w:r>
      <w:r>
        <w:rPr>
          <w:rtl w:val="true"/>
        </w:rPr>
        <w:t>]</w:t>
      </w:r>
      <w:bookmarkEnd w:id="79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الجدید بحکم الرجوع فی الطلاق، فلو طلّقها ثلاثاً بینها عقدان مستأنفان، حرمت علیه حتّی تنکح زوجاً غیره؛ سواء لم تکن لها عدّة کما إذا طلّقها قبل الدخول ثمّ عقد علیها ثمّ طلّقها ثمّ عقد علیها ثمّ طلّقها، أو کانت ذات عدّة و عقد علیها بعد انقضاء العدّة</w:t>
      </w:r>
      <w:r>
        <w:rPr>
          <w:rFonts w:eastAsia="IRNazanin" w:cs="IRNazanin"/>
          <w:color w:val="111111"/>
          <w:sz w:val="28"/>
          <w:szCs w:val="28"/>
          <w:rtl w:val="true"/>
          <w:lang w:bidi="fa-IR"/>
        </w:rPr>
        <w:t>.</w:t>
      </w:r>
    </w:p>
    <w:p>
      <w:pPr>
        <w:pStyle w:val="Heading4"/>
        <w:numPr>
          <w:ilvl w:val="3"/>
          <w:numId w:val="1"/>
        </w:numPr>
        <w:rPr/>
      </w:pPr>
      <w:bookmarkStart w:id="7912" w:name="__RefHeading___Toc2572130_3650668749"/>
      <w:bookmarkStart w:id="7913" w:name="_Toc3574"/>
      <w:bookmarkEnd w:id="7912"/>
      <w:r>
        <w:rPr>
          <w:rtl w:val="true"/>
        </w:rPr>
        <w:t>[ (</w:t>
      </w:r>
      <w:r>
        <w:rPr>
          <w:rtl w:val="true"/>
        </w:rPr>
        <w:t xml:space="preserve">مسألة </w:t>
      </w:r>
      <w:r>
        <w:rPr/>
        <w:t>4</w:t>
      </w:r>
      <w:r>
        <w:rPr>
          <w:rtl w:val="true"/>
        </w:rPr>
        <w:t xml:space="preserve">): </w:t>
      </w:r>
      <w:r>
        <w:rPr>
          <w:rtl w:val="true"/>
        </w:rPr>
        <w:t>المطلّقة ثلاثاً إذا نکحت زوجاً آخر و فارقها بموت أو طلاق حلّت للزوج الأوّل</w:t>
      </w:r>
      <w:r>
        <w:rPr>
          <w:rtl w:val="true"/>
        </w:rPr>
        <w:t>]</w:t>
      </w:r>
      <w:bookmarkEnd w:id="79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ثلاثاً إذا نکحت زوجاً آخر و فارقها بموت أو طلاق حلّت للزوج الأوّل و جاز له العقد علیها بعد انقضاء العدّة من الزوج الثانی، فإذا طلّقها ثلاثاً حرمت علیه أیضاً حتّی تنکح زوجاً آخر و إن کان ذاک الزوج الثانی فی الثلاثة الأُولیٰ، فإذا فارقها حلّت للأوّل، فإذا عقد علیها و طلّقها ثلاثاً حرمت علیه حتّی تنکح زوجاً غیره، و هکذا تحرم علیه بعد کلّ طلاق ثالث و تحلّ له بنکاح الغیر بعده و إن طلّقت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طلّقت تسعاً طلاق العدّة بالتفسیر الذی أشرنا إلیه حرمت علیه أبداً؛ و ذلک بأن طلّقها ثمّ راجعها ثمّ واقعها ثمّ طلّقها فی طهر آخر ثمّ راجعها ثمّ واقعها ثمّ طلّقها فی طهر آخر، و هذا هو طلاق العدّة، فإذا حلّت للمطلّق بنکاح زوج آخر، و عقد علیها ثمّ طلّقها ثلاثاً کالثلاثة الاولیٰ ثمّ حلّت له بمحلّل آخر ثمّ عقد علیها ثمّ طلّقها ثلاثاً کالأُولیین حرمت علیه أبداً</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توجب تسع طلقات الحرمة المؤبّدة إذا وقع طلاق العدّة ثلاث مرّات، و یعتبر فیه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تخلّل رجعتین، فلا یکفی وقوع عقدین مستأنفین و لا وقوع رجعة و عقد مستأنف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وقوع المواقعة بعد کلّ رجعة، فطلاق العدّة مرکّب من ثلاث طلقات؛ اثنتان منها رجعیّة و واحدة منها بائنة، فإذا وقعت ثلاثة منه حتّی کملت</w:t>
      </w:r>
      <w:bookmarkStart w:id="7914" w:name="pg1809_19996"/>
    </w:p>
    <w:p>
      <w:pPr>
        <w:pStyle w:val="BookText"/>
        <w:rPr/>
      </w:pPr>
      <w:bookmarkEnd w:id="7914"/>
      <w:r>
        <w:rPr>
          <w:rFonts w:ascii="IRNazanin" w:hAnsi="IRNazanin" w:eastAsia="IRNazanin"/>
          <w:color w:val="111111"/>
          <w:sz w:val="28"/>
          <w:sz w:val="28"/>
          <w:szCs w:val="28"/>
          <w:rtl w:val="true"/>
          <w:lang w:bidi="fa-IR"/>
        </w:rPr>
        <w:t>تسع طلقات حرمت علیه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الأحوط الاجتناب عن المطلّقة تسعاً مطلقاً و إن لم تکن الجمیع طلاق العدّة</w:t>
      </w:r>
      <w:r>
        <w:rPr>
          <w:rFonts w:eastAsia="IRNazanin" w:cs="IRNazanin"/>
          <w:color w:val="111111"/>
          <w:sz w:val="28"/>
          <w:szCs w:val="28"/>
          <w:rtl w:val="true"/>
          <w:lang w:bidi="fa-IR"/>
        </w:rPr>
        <w:t>.</w:t>
      </w:r>
    </w:p>
    <w:p>
      <w:pPr>
        <w:pStyle w:val="Heading4"/>
        <w:numPr>
          <w:ilvl w:val="3"/>
          <w:numId w:val="1"/>
        </w:numPr>
        <w:rPr/>
      </w:pPr>
      <w:bookmarkStart w:id="7915" w:name="__RefHeading___Toc2572132_3650668749"/>
      <w:bookmarkStart w:id="7916" w:name="_Toc3575"/>
      <w:bookmarkEnd w:id="7915"/>
      <w:r>
        <w:rPr>
          <w:rtl w:val="true"/>
        </w:rPr>
        <w:t>[ (</w:t>
      </w:r>
      <w:r>
        <w:rPr>
          <w:rtl w:val="true"/>
        </w:rPr>
        <w:t xml:space="preserve">مسألة </w:t>
      </w:r>
      <w:r>
        <w:rPr/>
        <w:t>5</w:t>
      </w:r>
      <w:r>
        <w:rPr>
          <w:rtl w:val="true"/>
        </w:rPr>
        <w:t xml:space="preserve">): </w:t>
      </w:r>
      <w:r>
        <w:rPr>
          <w:rtl w:val="true"/>
        </w:rPr>
        <w:t>إنّما یوجب التحریم الطلقات الثلاث إذا لم تنکح فی البین زوجاً آخر</w:t>
      </w:r>
      <w:r>
        <w:rPr>
          <w:rtl w:val="true"/>
        </w:rPr>
        <w:t>]</w:t>
      </w:r>
      <w:bookmarkEnd w:id="79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یوجب التحریم الطلقات الثلاث إذا لم تنکح فی البین زوجاً آخر، و أمّا إن تزوّجت للغیر انهدم حکم ما سبق و تکون کأنّها غیر مطلّقة، و یتوقّف التحریم علیٰ إیقاع ثلاث طلقات مستأنفة</w:t>
      </w:r>
      <w:r>
        <w:rPr>
          <w:rFonts w:eastAsia="IRNazanin" w:cs="IRNazanin"/>
          <w:color w:val="111111"/>
          <w:sz w:val="28"/>
          <w:szCs w:val="28"/>
          <w:rtl w:val="true"/>
          <w:lang w:bidi="fa-IR"/>
        </w:rPr>
        <w:t>.</w:t>
      </w:r>
    </w:p>
    <w:p>
      <w:pPr>
        <w:pStyle w:val="Heading4"/>
        <w:numPr>
          <w:ilvl w:val="3"/>
          <w:numId w:val="1"/>
        </w:numPr>
        <w:rPr/>
      </w:pPr>
      <w:bookmarkStart w:id="7917" w:name="__RefHeading___Toc2572134_3650668749"/>
      <w:bookmarkStart w:id="7918" w:name="_Toc3576"/>
      <w:bookmarkEnd w:id="7917"/>
      <w:r>
        <w:rPr>
          <w:rtl w:val="true"/>
        </w:rPr>
        <w:t>[ (</w:t>
      </w:r>
      <w:r>
        <w:rPr>
          <w:rtl w:val="true"/>
        </w:rPr>
        <w:t xml:space="preserve">مسألة </w:t>
      </w:r>
      <w:r>
        <w:rPr/>
        <w:t>6</w:t>
      </w:r>
      <w:r>
        <w:rPr>
          <w:rtl w:val="true"/>
        </w:rPr>
        <w:t xml:space="preserve">): </w:t>
      </w:r>
      <w:r>
        <w:rPr>
          <w:rtl w:val="true"/>
        </w:rPr>
        <w:t>قد مرّ</w:t>
      </w:r>
      <w:r>
        <w:rPr>
          <w:rtl w:val="true"/>
        </w:rPr>
        <w:t xml:space="preserve">: </w:t>
      </w:r>
      <w:r>
        <w:rPr>
          <w:rtl w:val="true"/>
        </w:rPr>
        <w:t>أنّ المطلّقة ثلاثاً تحرم علی المطلّق حتّی تنکح زوجاً غیره</w:t>
      </w:r>
      <w:r>
        <w:rPr>
          <w:rtl w:val="true"/>
        </w:rPr>
        <w:t>]</w:t>
      </w:r>
      <w:bookmarkEnd w:id="79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المطلّقة ثلاثاً تحرم علی المطلّق 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 زوال التحریم به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الزوج المحلّل بالغاً، فلا اعتبار بنکاح غیر البالغ و إن کان مراهقاً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یطأها قبلًا وطء موجباً للغسل بغیبوبة الحشفة أو مقدارها </w:t>
      </w:r>
      <w:r>
        <w:rPr>
          <w:rStyle w:val="FootnoteAnchor"/>
          <w:rtl w:val="true"/>
        </w:rPr>
        <w:footnoteReference w:id="2001"/>
      </w:r>
      <w:r>
        <w:rPr>
          <w:rFonts w:ascii="IRNazanin" w:hAnsi="IRNazanin" w:eastAsia="IRNazanin"/>
          <w:color w:val="111111"/>
          <w:sz w:val="28"/>
          <w:sz w:val="28"/>
          <w:szCs w:val="28"/>
          <w:rtl w:val="true"/>
          <w:lang w:bidi="fa-IR"/>
        </w:rPr>
        <w:t>من مقطوعها، و هل یعتبر الإنزال؟ فیه إشکال، الأحوط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العقد دائماً لا متعة</w:t>
      </w:r>
      <w:r>
        <w:rPr>
          <w:rFonts w:eastAsia="IRNazanin" w:cs="IRNazanin"/>
          <w:color w:val="111111"/>
          <w:sz w:val="28"/>
          <w:szCs w:val="28"/>
          <w:rtl w:val="true"/>
          <w:lang w:bidi="fa-IR"/>
        </w:rPr>
        <w:t>.</w:t>
      </w:r>
    </w:p>
    <w:p>
      <w:pPr>
        <w:pStyle w:val="Heading4"/>
        <w:numPr>
          <w:ilvl w:val="3"/>
          <w:numId w:val="1"/>
        </w:numPr>
        <w:rPr/>
      </w:pPr>
      <w:bookmarkStart w:id="7919" w:name="__RefHeading___Toc2572136_3650668749"/>
      <w:bookmarkStart w:id="7920" w:name="_Toc3577"/>
      <w:bookmarkEnd w:id="7919"/>
      <w:r>
        <w:rPr>
          <w:rtl w:val="true"/>
        </w:rPr>
        <w:t>[ (</w:t>
      </w:r>
      <w:r>
        <w:rPr>
          <w:rtl w:val="true"/>
        </w:rPr>
        <w:t xml:space="preserve">مسألة </w:t>
      </w:r>
      <w:r>
        <w:rPr/>
        <w:t>7</w:t>
      </w:r>
      <w:r>
        <w:rPr>
          <w:rtl w:val="true"/>
        </w:rPr>
        <w:t xml:space="preserve">): </w:t>
      </w:r>
      <w:r>
        <w:rPr>
          <w:rtl w:val="true"/>
        </w:rPr>
        <w:t>لو طلّقها ثلاثاً و انقضت مدّة، فادّعت أنّها تزوّجت و فارقها الزوج الثانی و مضت العدّة</w:t>
      </w:r>
      <w:r>
        <w:rPr>
          <w:rtl w:val="true"/>
        </w:rPr>
        <w:t>]</w:t>
      </w:r>
      <w:bookmarkEnd w:id="79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طلّقها ثلاثاً و انقضت مدّة، فادّعت أنّها تزوّجت و فارقها الزوج الثانی و مضت العدّة و احتمل صدقها، صدّقت و یقبل قولها بلا یمین، فللزوج الأوّل أن ینکحها بعقد جدید و لیس علیه الفحص و التفتیش، و الأحوط الاقتصار علیٰ ما إذا کانت ثقة أمینة</w:t>
      </w:r>
      <w:r>
        <w:rPr>
          <w:rFonts w:eastAsia="IRNazanin" w:cs="IRNazanin"/>
          <w:color w:val="111111"/>
          <w:sz w:val="28"/>
          <w:szCs w:val="28"/>
          <w:rtl w:val="true"/>
          <w:lang w:bidi="fa-IR"/>
        </w:rPr>
        <w:t>.</w:t>
      </w:r>
    </w:p>
    <w:p>
      <w:pPr>
        <w:pStyle w:val="Heading4"/>
        <w:numPr>
          <w:ilvl w:val="3"/>
          <w:numId w:val="1"/>
        </w:numPr>
        <w:rPr/>
      </w:pPr>
      <w:bookmarkStart w:id="7921" w:name="__RefHeading___Toc2572138_3650668749"/>
      <w:bookmarkStart w:id="7922" w:name="_Toc3578"/>
      <w:bookmarkEnd w:id="7921"/>
      <w:r>
        <w:rPr>
          <w:rtl w:val="true"/>
        </w:rPr>
        <w:t>[ (</w:t>
      </w:r>
      <w:r>
        <w:rPr>
          <w:rtl w:val="true"/>
        </w:rPr>
        <w:t xml:space="preserve">مسألة </w:t>
      </w:r>
      <w:r>
        <w:rPr/>
        <w:t>8</w:t>
      </w:r>
      <w:r>
        <w:rPr>
          <w:rtl w:val="true"/>
        </w:rPr>
        <w:t xml:space="preserve">): </w:t>
      </w:r>
      <w:r>
        <w:rPr>
          <w:rtl w:val="true"/>
        </w:rPr>
        <w:t>إذا دخل المحلّل، فادّعت الدخول و لم یکذّبها</w:t>
      </w:r>
      <w:r>
        <w:rPr>
          <w:rtl w:val="true"/>
        </w:rPr>
        <w:t>]</w:t>
      </w:r>
      <w:bookmarkEnd w:id="79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المحلّل، فادّعت الدخول و لم یکذّبها، صدّقت و حلّت للزوج الأوّل، و إن کذّبها لا یبعد قبول قولها أیضاً، لکنّ الأحوط </w:t>
      </w:r>
      <w:r>
        <w:rPr>
          <w:rStyle w:val="FootnoteAnchor"/>
          <w:rtl w:val="true"/>
        </w:rPr>
        <w:footnoteReference w:id="2002"/>
      </w:r>
      <w:r>
        <w:rPr>
          <w:rFonts w:ascii="IRNazanin" w:hAnsi="IRNazanin" w:eastAsia="IRNazanin"/>
          <w:color w:val="111111"/>
          <w:sz w:val="28"/>
          <w:sz w:val="28"/>
          <w:szCs w:val="28"/>
          <w:rtl w:val="true"/>
          <w:lang w:bidi="fa-IR"/>
        </w:rPr>
        <w:t>الاقتصار علیٰ صورة حصول الاطمئنان بصدقها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ادّعت الإصابة ثمّ رجعت عن قولها، فإن کان قبل أن یعقد الأوّل علیها لم تحلّ له، و إن کان بعد العقد علیها لم یقبل رجوعها</w:t>
      </w:r>
      <w:r>
        <w:rPr>
          <w:rFonts w:eastAsia="IRNazanin" w:cs="IRNazanin"/>
          <w:color w:val="111111"/>
          <w:sz w:val="28"/>
          <w:szCs w:val="28"/>
          <w:rtl w:val="true"/>
          <w:lang w:bidi="fa-IR"/>
        </w:rPr>
        <w:t>.</w:t>
      </w:r>
    </w:p>
    <w:p>
      <w:pPr>
        <w:pStyle w:val="Heading4"/>
        <w:numPr>
          <w:ilvl w:val="3"/>
          <w:numId w:val="1"/>
        </w:numPr>
        <w:rPr/>
      </w:pPr>
      <w:bookmarkStart w:id="7923" w:name="__RefHeading___Toc2572140_3650668749"/>
      <w:bookmarkStart w:id="7924" w:name="_Toc3579"/>
      <w:bookmarkEnd w:id="7923"/>
      <w:r>
        <w:rPr>
          <w:rtl w:val="true"/>
        </w:rPr>
        <w:t>[ (</w:t>
      </w:r>
      <w:r>
        <w:rPr>
          <w:rtl w:val="true"/>
        </w:rPr>
        <w:t xml:space="preserve">مسألة </w:t>
      </w:r>
      <w:r>
        <w:rPr/>
        <w:t>9</w:t>
      </w:r>
      <w:r>
        <w:rPr>
          <w:rtl w:val="true"/>
        </w:rPr>
        <w:t xml:space="preserve">): </w:t>
      </w:r>
      <w:r>
        <w:rPr>
          <w:rtl w:val="true"/>
        </w:rPr>
        <w:t>لا فرق فی الوطء المعتبر فی المحلّل بین المحرّم و المحلّل</w:t>
      </w:r>
      <w:r>
        <w:rPr>
          <w:rtl w:val="true"/>
        </w:rPr>
        <w:t>]</w:t>
      </w:r>
      <w:bookmarkEnd w:id="79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الوطء المعتبر فی المحلّل بین المحرّم و المحلّل، فلو وطئها محرّماً کالوطء فی الإحرام أو فی الصوم الواجب أو فی الحیض و نحو ذلک کفیٰ فی حصول التحلیل للزوج الأوّل</w:t>
      </w:r>
      <w:r>
        <w:rPr>
          <w:rFonts w:eastAsia="IRNazanin" w:cs="IRNazanin"/>
          <w:color w:val="111111"/>
          <w:sz w:val="28"/>
          <w:szCs w:val="28"/>
          <w:rtl w:val="true"/>
          <w:lang w:bidi="fa-IR"/>
        </w:rPr>
        <w:t>.</w:t>
      </w:r>
    </w:p>
    <w:p>
      <w:pPr>
        <w:pStyle w:val="Heading4"/>
        <w:numPr>
          <w:ilvl w:val="3"/>
          <w:numId w:val="1"/>
        </w:numPr>
        <w:rPr/>
      </w:pPr>
      <w:bookmarkStart w:id="7925" w:name="__RefHeading___Toc2572142_3650668749"/>
      <w:bookmarkStart w:id="7926" w:name="_Toc3580"/>
      <w:bookmarkEnd w:id="7925"/>
      <w:r>
        <w:rPr>
          <w:rtl w:val="true"/>
        </w:rPr>
        <w:t>[ (</w:t>
      </w:r>
      <w:r>
        <w:rPr>
          <w:rtl w:val="true"/>
        </w:rPr>
        <w:t xml:space="preserve">مسألة </w:t>
      </w:r>
      <w:r>
        <w:rPr/>
        <w:t>10</w:t>
      </w:r>
      <w:r>
        <w:rPr>
          <w:rtl w:val="true"/>
        </w:rPr>
        <w:t xml:space="preserve">): </w:t>
      </w:r>
      <w:r>
        <w:rPr>
          <w:rtl w:val="true"/>
        </w:rPr>
        <w:t>لو شکّ الزوج فی إیقاع أصل الطلاق علیٰ زوجته، لم یلزمه الطلاق</w:t>
      </w:r>
      <w:r>
        <w:rPr>
          <w:rtl w:val="true"/>
        </w:rPr>
        <w:t>]</w:t>
      </w:r>
      <w:bookmarkEnd w:id="7926"/>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الزوج فی إیقاع أصل الطلاق علیٰ زوجته، لم یلزمه الطلاق، بل یحکم ظاهراً ببقاء علقة النکاح، و لو علم بأصل الطلاق و شکّ فی عدده بنیٰ علی الأقلّ؛ سواء</w:t>
      </w:r>
      <w:bookmarkStart w:id="7927" w:name="pg1809_19997"/>
    </w:p>
    <w:p>
      <w:pPr>
        <w:pStyle w:val="BookText"/>
        <w:rPr/>
      </w:pPr>
      <w:bookmarkEnd w:id="7927"/>
      <w:r>
        <w:rPr>
          <w:rFonts w:ascii="IRNazanin" w:hAnsi="IRNazanin" w:eastAsia="IRNazanin"/>
          <w:color w:val="111111"/>
          <w:sz w:val="28"/>
          <w:sz w:val="28"/>
          <w:szCs w:val="28"/>
          <w:rtl w:val="true"/>
          <w:lang w:bidi="fa-IR"/>
        </w:rPr>
        <w:t>کان الطرف الأکثر الثلاث أو التسع، فلا یحکم مع الشکّ بالحرمة الغیر المؤبّدة فی الأوّل و بالحرمة الأبدیّة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شکّ بین الثلاث و التسع یشکل </w:t>
      </w:r>
      <w:r>
        <w:rPr>
          <w:rStyle w:val="FootnoteAnchor"/>
          <w:rtl w:val="true"/>
        </w:rPr>
        <w:footnoteReference w:id="2003"/>
      </w:r>
      <w:r>
        <w:rPr>
          <w:rFonts w:ascii="IRNazanin" w:hAnsi="IRNazanin" w:eastAsia="IRNazanin"/>
          <w:color w:val="111111"/>
          <w:sz w:val="28"/>
          <w:sz w:val="28"/>
          <w:szCs w:val="28"/>
          <w:rtl w:val="true"/>
          <w:lang w:bidi="fa-IR"/>
        </w:rPr>
        <w:t>البناء علی الأوّل؛ بحیث تحلّ له بالمحلّل</w:t>
      </w:r>
      <w:r>
        <w:rPr>
          <w:rFonts w:eastAsia="IRNazanin" w:cs="IRNazanin"/>
          <w:color w:val="111111"/>
          <w:sz w:val="28"/>
          <w:szCs w:val="28"/>
          <w:rtl w:val="true"/>
          <w:lang w:bidi="fa-IR"/>
        </w:rPr>
        <w:t>.</w:t>
      </w:r>
    </w:p>
    <w:p>
      <w:pPr>
        <w:pStyle w:val="Heading3"/>
        <w:numPr>
          <w:ilvl w:val="2"/>
          <w:numId w:val="1"/>
        </w:numPr>
        <w:rPr/>
      </w:pPr>
      <w:bookmarkStart w:id="7928" w:name="__RefHeading___Toc2572144_3650668749"/>
      <w:bookmarkStart w:id="7929" w:name="_Toc3581"/>
      <w:bookmarkEnd w:id="7928"/>
      <w:r>
        <w:rPr>
          <w:rtl w:val="true"/>
        </w:rPr>
        <w:t>[</w:t>
      </w:r>
      <w:r>
        <w:rPr>
          <w:rtl w:val="true"/>
        </w:rPr>
        <w:t>القول فی العدد</w:t>
      </w:r>
      <w:r>
        <w:rPr>
          <w:rtl w:val="true"/>
        </w:rPr>
        <w:t>]</w:t>
      </w:r>
      <w:bookmarkEnd w:id="7929"/>
    </w:p>
    <w:p>
      <w:pPr>
        <w:pStyle w:val="Heading4"/>
        <w:numPr>
          <w:ilvl w:val="3"/>
          <w:numId w:val="1"/>
        </w:numPr>
        <w:rPr/>
      </w:pPr>
      <w:bookmarkStart w:id="7930" w:name="__RefHeading___Toc2572146_3650668749"/>
      <w:bookmarkStart w:id="7931" w:name="_Toc3582"/>
      <w:bookmarkEnd w:id="7930"/>
      <w:r>
        <w:rPr>
          <w:rtl w:val="true"/>
        </w:rPr>
        <w:t>اشارة</w:t>
      </w:r>
      <w:bookmarkEnd w:id="7931"/>
    </w:p>
    <w:p>
      <w:pPr>
        <w:pStyle w:val="BookText"/>
        <w:rPr/>
      </w:pPr>
      <w:r>
        <w:rPr>
          <w:rFonts w:ascii="IRNazanin" w:hAnsi="IRNazanin" w:eastAsia="IRNazanin"/>
          <w:color w:val="111111"/>
          <w:sz w:val="28"/>
          <w:sz w:val="28"/>
          <w:szCs w:val="28"/>
          <w:rtl w:val="true"/>
          <w:lang w:bidi="fa-IR"/>
        </w:rPr>
        <w:t>القول فی العدد إنّما یجب الاعتداد بأُمور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 بین الزوج و الزوجة بطلاق أو فسخ أو انفساخ فی العقد الدائم و انقضاء مدّة أو بذلها فی المتعة، و موت الزوج، و وطء الشبهة</w:t>
      </w:r>
      <w:r>
        <w:rPr>
          <w:rFonts w:eastAsia="IRNazanin" w:cs="IRNazanin"/>
          <w:color w:val="111111"/>
          <w:sz w:val="28"/>
          <w:szCs w:val="28"/>
          <w:rtl w:val="true"/>
          <w:lang w:bidi="fa-IR"/>
        </w:rPr>
        <w:t>.</w:t>
      </w:r>
    </w:p>
    <w:p>
      <w:pPr>
        <w:pStyle w:val="Heading4"/>
        <w:numPr>
          <w:ilvl w:val="3"/>
          <w:numId w:val="1"/>
        </w:numPr>
        <w:rPr/>
      </w:pPr>
      <w:bookmarkStart w:id="7932" w:name="__RefHeading___Toc2572148_3650668749"/>
      <w:bookmarkStart w:id="7933" w:name="_Toc3583"/>
      <w:bookmarkEnd w:id="7932"/>
      <w:r>
        <w:rPr>
          <w:rtl w:val="true"/>
        </w:rPr>
        <w:t>[</w:t>
      </w:r>
      <w:r>
        <w:rPr>
          <w:rtl w:val="true"/>
        </w:rPr>
        <w:t>فصل فی عدّة الفراق؛ طلاقاً کان أو غیره</w:t>
      </w:r>
      <w:r>
        <w:rPr>
          <w:rtl w:val="true"/>
        </w:rPr>
        <w:t>]</w:t>
      </w:r>
      <w:bookmarkEnd w:id="7933"/>
    </w:p>
    <w:p>
      <w:pPr>
        <w:pStyle w:val="Heading5"/>
        <w:numPr>
          <w:ilvl w:val="4"/>
          <w:numId w:val="1"/>
        </w:numPr>
        <w:rPr/>
      </w:pPr>
      <w:bookmarkStart w:id="7934" w:name="__RefHeading___Toc2572150_3650668749"/>
      <w:bookmarkStart w:id="7935" w:name="_Toc3584"/>
      <w:bookmarkEnd w:id="7934"/>
      <w:r>
        <w:rPr>
          <w:rtl w:val="true"/>
        </w:rPr>
        <w:t>اشارة</w:t>
      </w:r>
      <w:bookmarkEnd w:id="7935"/>
    </w:p>
    <w:p>
      <w:pPr>
        <w:pStyle w:val="BookText"/>
        <w:rPr/>
      </w:pPr>
      <w:r>
        <w:rPr>
          <w:rFonts w:ascii="IRNazanin" w:hAnsi="IRNazanin" w:eastAsia="IRNazanin"/>
          <w:color w:val="111111"/>
          <w:sz w:val="28"/>
          <w:sz w:val="28"/>
          <w:szCs w:val="28"/>
          <w:rtl w:val="true"/>
          <w:lang w:bidi="fa-IR"/>
        </w:rPr>
        <w:t>فصل فی عدّة الفراق؛ طلاقاً کان أو غیره</w:t>
      </w:r>
    </w:p>
    <w:p>
      <w:pPr>
        <w:pStyle w:val="Heading5"/>
        <w:numPr>
          <w:ilvl w:val="4"/>
          <w:numId w:val="1"/>
        </w:numPr>
        <w:rPr/>
      </w:pPr>
      <w:bookmarkStart w:id="7936" w:name="__RefHeading___Toc2572152_3650668749"/>
      <w:bookmarkStart w:id="7937" w:name="_Toc3585"/>
      <w:bookmarkEnd w:id="7936"/>
      <w:r>
        <w:rPr>
          <w:rtl w:val="true"/>
        </w:rPr>
        <w:t>[ (</w:t>
      </w:r>
      <w:r>
        <w:rPr>
          <w:rtl w:val="true"/>
        </w:rPr>
        <w:t xml:space="preserve">مسألة </w:t>
      </w:r>
      <w:r>
        <w:rPr/>
        <w:t>1</w:t>
      </w:r>
      <w:r>
        <w:rPr>
          <w:rtl w:val="true"/>
        </w:rPr>
        <w:t xml:space="preserve">): </w:t>
      </w:r>
      <w:r>
        <w:rPr>
          <w:rtl w:val="true"/>
        </w:rPr>
        <w:t>لا عدّة علیٰ من لم یدخل بها و لا علی الصغیرة</w:t>
      </w:r>
      <w:r>
        <w:rPr>
          <w:rtl w:val="true"/>
        </w:rPr>
        <w:t>]</w:t>
      </w:r>
      <w:bookmarkEnd w:id="79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عدّة علیٰ من لم یدخل بها و لا علی الصغیرة و هی من لم تکمل التسع، و إن دخل بها و لا علی الیائسة؛ سواء بانت فی ذلک کلّه بطلاق أو فسخ أو هبة مدّة أو انقضائها</w:t>
      </w:r>
      <w:r>
        <w:rPr>
          <w:rFonts w:eastAsia="IRNazanin" w:cs="IRNazanin"/>
          <w:color w:val="111111"/>
          <w:sz w:val="28"/>
          <w:szCs w:val="28"/>
          <w:rtl w:val="true"/>
          <w:lang w:bidi="fa-IR"/>
        </w:rPr>
        <w:t>.</w:t>
      </w:r>
    </w:p>
    <w:p>
      <w:pPr>
        <w:pStyle w:val="Heading5"/>
        <w:numPr>
          <w:ilvl w:val="4"/>
          <w:numId w:val="1"/>
        </w:numPr>
        <w:rPr/>
      </w:pPr>
      <w:bookmarkStart w:id="7938" w:name="__RefHeading___Toc2572154_3650668749"/>
      <w:bookmarkStart w:id="7939" w:name="_Toc3586"/>
      <w:bookmarkEnd w:id="7938"/>
      <w:r>
        <w:rPr>
          <w:rtl w:val="true"/>
        </w:rPr>
        <w:t>[ (</w:t>
      </w:r>
      <w:r>
        <w:rPr>
          <w:rtl w:val="true"/>
        </w:rPr>
        <w:t xml:space="preserve">مسألة </w:t>
      </w:r>
      <w:r>
        <w:rPr/>
        <w:t>2</w:t>
      </w:r>
      <w:r>
        <w:rPr>
          <w:rtl w:val="true"/>
        </w:rPr>
        <w:t xml:space="preserve">): </w:t>
      </w:r>
      <w:r>
        <w:rPr>
          <w:rtl w:val="true"/>
        </w:rPr>
        <w:t>یتحقّق الدخول بإیلاج تمام الحشفة قبلًا أو دبراً</w:t>
      </w:r>
      <w:r>
        <w:rPr>
          <w:rtl w:val="true"/>
        </w:rPr>
        <w:t>]</w:t>
      </w:r>
      <w:bookmarkEnd w:id="79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الدخول بإیلاج تمام الحشفة قبلًا أو دبراً و إن لم ینزل، بل و إن کان مقطوع الأُنثیین</w:t>
      </w:r>
      <w:r>
        <w:rPr>
          <w:rFonts w:eastAsia="IRNazanin" w:cs="IRNazanin"/>
          <w:color w:val="111111"/>
          <w:sz w:val="28"/>
          <w:szCs w:val="28"/>
          <w:rtl w:val="true"/>
          <w:lang w:bidi="fa-IR"/>
        </w:rPr>
        <w:t>.</w:t>
      </w:r>
    </w:p>
    <w:p>
      <w:pPr>
        <w:pStyle w:val="Heading5"/>
        <w:numPr>
          <w:ilvl w:val="4"/>
          <w:numId w:val="1"/>
        </w:numPr>
        <w:rPr/>
      </w:pPr>
      <w:bookmarkStart w:id="7940" w:name="__RefHeading___Toc2572156_3650668749"/>
      <w:bookmarkStart w:id="7941" w:name="_Toc3587"/>
      <w:bookmarkEnd w:id="7940"/>
      <w:r>
        <w:rPr>
          <w:rtl w:val="true"/>
        </w:rPr>
        <w:t>[ (</w:t>
      </w:r>
      <w:r>
        <w:rPr>
          <w:rtl w:val="true"/>
        </w:rPr>
        <w:t xml:space="preserve">مسألة </w:t>
      </w:r>
      <w:r>
        <w:rPr/>
        <w:t>3</w:t>
      </w:r>
      <w:r>
        <w:rPr>
          <w:rtl w:val="true"/>
        </w:rPr>
        <w:t xml:space="preserve">): </w:t>
      </w:r>
      <w:r>
        <w:rPr>
          <w:rtl w:val="true"/>
        </w:rPr>
        <w:t>یتحقّق الیأس ببلوغ ستّین فی القرشیّة و خمسین فی غیرها</w:t>
      </w:r>
      <w:r>
        <w:rPr>
          <w:rtl w:val="true"/>
        </w:rPr>
        <w:t>]</w:t>
      </w:r>
      <w:bookmarkEnd w:id="79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الیأس ببلوغ ستّین فی القرشیّة و خمسین فی غیرها، و الأحوط مراعاة الستّین مطلقاً بالنسبة إلی التزویج بالغیر و خمسین کذلک بالنسبة إلی الرجوع إلیها</w:t>
      </w:r>
      <w:r>
        <w:rPr>
          <w:rFonts w:eastAsia="IRNazanin" w:cs="IRNazanin"/>
          <w:color w:val="111111"/>
          <w:sz w:val="28"/>
          <w:szCs w:val="28"/>
          <w:rtl w:val="true"/>
          <w:lang w:bidi="fa-IR"/>
        </w:rPr>
        <w:t>.</w:t>
      </w:r>
    </w:p>
    <w:p>
      <w:pPr>
        <w:pStyle w:val="Heading5"/>
        <w:numPr>
          <w:ilvl w:val="4"/>
          <w:numId w:val="1"/>
        </w:numPr>
        <w:rPr/>
      </w:pPr>
      <w:bookmarkStart w:id="7942" w:name="__RefHeading___Toc2572158_3650668749"/>
      <w:bookmarkStart w:id="7943" w:name="_Toc3588"/>
      <w:bookmarkEnd w:id="7942"/>
      <w:r>
        <w:rPr>
          <w:rtl w:val="true"/>
        </w:rPr>
        <w:t>[ (</w:t>
      </w:r>
      <w:r>
        <w:rPr>
          <w:rtl w:val="true"/>
        </w:rPr>
        <w:t xml:space="preserve">مسألة </w:t>
      </w:r>
      <w:r>
        <w:rPr/>
        <w:t>4</w:t>
      </w:r>
      <w:r>
        <w:rPr>
          <w:rtl w:val="true"/>
        </w:rPr>
        <w:t xml:space="preserve">): </w:t>
      </w:r>
      <w:r>
        <w:rPr>
          <w:rtl w:val="true"/>
        </w:rPr>
        <w:t>لو طلّقت ذات الأقراء قبل بلوغ سنّ الیأس و رأت الدم مرّة أو مرّتین ثمّ یئست</w:t>
      </w:r>
      <w:r>
        <w:rPr>
          <w:rtl w:val="true"/>
        </w:rPr>
        <w:t>]</w:t>
      </w:r>
      <w:bookmarkEnd w:id="79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طلّقت ذات الأقراء قبل بلوغ سنّ الیأس و رأت الدم مرّة أو مرّتین ثمّ یئست، أکملت العدّة بشهر أو شهرین، و کذلک ذات الشهور إذا اعتدّت شهراً أو شهرین ثمّ یئست، أتمّت ثلاثة</w:t>
      </w:r>
      <w:r>
        <w:rPr>
          <w:rFonts w:eastAsia="IRNazanin" w:cs="IRNazanin"/>
          <w:color w:val="111111"/>
          <w:sz w:val="28"/>
          <w:szCs w:val="28"/>
          <w:rtl w:val="true"/>
          <w:lang w:bidi="fa-IR"/>
        </w:rPr>
        <w:t>.</w:t>
      </w:r>
    </w:p>
    <w:p>
      <w:pPr>
        <w:pStyle w:val="Heading5"/>
        <w:numPr>
          <w:ilvl w:val="4"/>
          <w:numId w:val="1"/>
        </w:numPr>
        <w:rPr/>
      </w:pPr>
      <w:bookmarkStart w:id="7944" w:name="__RefHeading___Toc2572160_3650668749"/>
      <w:bookmarkStart w:id="7945" w:name="_Toc3589"/>
      <w:bookmarkEnd w:id="7944"/>
      <w:r>
        <w:rPr>
          <w:rtl w:val="true"/>
        </w:rPr>
        <w:t>[ (</w:t>
      </w:r>
      <w:r>
        <w:rPr>
          <w:rtl w:val="true"/>
        </w:rPr>
        <w:t xml:space="preserve">مسألة </w:t>
      </w:r>
      <w:r>
        <w:rPr/>
        <w:t>5</w:t>
      </w:r>
      <w:r>
        <w:rPr>
          <w:rtl w:val="true"/>
        </w:rPr>
        <w:t xml:space="preserve">): </w:t>
      </w:r>
      <w:r>
        <w:rPr>
          <w:rtl w:val="true"/>
        </w:rPr>
        <w:t>المطلّقة و من أُلحقت بها إن کانت حاملًا فعدّتها مدّة حملها</w:t>
      </w:r>
      <w:r>
        <w:rPr>
          <w:rtl w:val="true"/>
        </w:rPr>
        <w:t>]</w:t>
      </w:r>
      <w:bookmarkEnd w:id="7945"/>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و من أُلحقت بها إن کانت حاملًا فعدّتها مدّة حملها، و تنقضی بأن تضع حملها و لو بعد الطلاق بلا فصل؛ سواء کان تامّاً أو غیر تامّ و لو کان مضغة أو علقة إن تحقّق أنّه حمل</w:t>
      </w:r>
      <w:r>
        <w:rPr>
          <w:rFonts w:eastAsia="IRNazanin" w:cs="IRNazanin"/>
          <w:color w:val="111111"/>
          <w:sz w:val="28"/>
          <w:szCs w:val="28"/>
          <w:rtl w:val="true"/>
          <w:lang w:bidi="fa-IR"/>
        </w:rPr>
        <w:t>.</w:t>
      </w:r>
      <w:bookmarkStart w:id="7946" w:name="pg1809_19998"/>
    </w:p>
    <w:p>
      <w:pPr>
        <w:pStyle w:val="Heading5"/>
        <w:numPr>
          <w:ilvl w:val="4"/>
          <w:numId w:val="1"/>
        </w:numPr>
        <w:rPr/>
      </w:pPr>
      <w:bookmarkStart w:id="7947" w:name="__RefHeading___Toc2572162_3650668749"/>
      <w:bookmarkStart w:id="7948" w:name="_Toc3590"/>
      <w:bookmarkEnd w:id="7946"/>
      <w:bookmarkEnd w:id="7947"/>
      <w:r>
        <w:rPr>
          <w:rtl w:val="true"/>
        </w:rPr>
        <w:t>[ (</w:t>
      </w:r>
      <w:r>
        <w:rPr>
          <w:rtl w:val="true"/>
        </w:rPr>
        <w:t xml:space="preserve">مسألة </w:t>
      </w:r>
      <w:r>
        <w:rPr/>
        <w:t>6</w:t>
      </w:r>
      <w:r>
        <w:rPr>
          <w:rtl w:val="true"/>
        </w:rPr>
        <w:t xml:space="preserve">): </w:t>
      </w:r>
      <w:r>
        <w:rPr>
          <w:rtl w:val="true"/>
        </w:rPr>
        <w:t>إنّما تنقضی العدّة بالوضع إذا کان الحمل ملحقاً بمن له العدّة</w:t>
      </w:r>
      <w:r>
        <w:rPr>
          <w:rtl w:val="true"/>
        </w:rPr>
        <w:t>]</w:t>
      </w:r>
      <w:bookmarkEnd w:id="79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تنقضی العدّة بالوضع إذا کان الحمل ملحقاً بمن له العدّة، فلا عبرة بوضع من لم یلحق به فی انقضاء عدّته، فلو کانت حاملًا من زنا قبل الطلاق أو بعده لم تخرج من العدّة بالوضع، بل یکون انقضاؤها بالأقراء و الشهور کغیر الحامل، فوضع هذا الحمل لا أثر له أصلًا لا بالنسبة إلی الزانی لأنّه لا عدّة له و لا بالنسبة إلی المطلّق لأنّ الولد لیس له نعم إذا حملت من وطء الشبهة قبل الطلاق أو بعده بحیث یلحق الولد بالواطئ لا بالزوج، فوضعه سبب لانقضاء العدّة، لکن بالنسبة إلی الواطی لا بالنسبة إلی الزوج المطلّق</w:t>
      </w:r>
      <w:r>
        <w:rPr>
          <w:rFonts w:eastAsia="IRNazanin" w:cs="IRNazanin"/>
          <w:color w:val="111111"/>
          <w:sz w:val="28"/>
          <w:szCs w:val="28"/>
          <w:rtl w:val="true"/>
          <w:lang w:bidi="fa-IR"/>
        </w:rPr>
        <w:t>.</w:t>
      </w:r>
    </w:p>
    <w:p>
      <w:pPr>
        <w:pStyle w:val="Heading5"/>
        <w:numPr>
          <w:ilvl w:val="4"/>
          <w:numId w:val="1"/>
        </w:numPr>
        <w:rPr/>
      </w:pPr>
      <w:bookmarkStart w:id="7949" w:name="__RefHeading___Toc2572164_3650668749"/>
      <w:bookmarkStart w:id="7950" w:name="_Toc3591"/>
      <w:bookmarkEnd w:id="7949"/>
      <w:r>
        <w:rPr>
          <w:rtl w:val="true"/>
        </w:rPr>
        <w:t>[ (</w:t>
      </w:r>
      <w:r>
        <w:rPr>
          <w:rtl w:val="true"/>
        </w:rPr>
        <w:t xml:space="preserve">مسألة </w:t>
      </w:r>
      <w:r>
        <w:rPr/>
        <w:t>7</w:t>
      </w:r>
      <w:r>
        <w:rPr>
          <w:rtl w:val="true"/>
        </w:rPr>
        <w:t xml:space="preserve">): </w:t>
      </w:r>
      <w:r>
        <w:rPr>
          <w:rtl w:val="true"/>
        </w:rPr>
        <w:t>لو کانت حاملًا باثنین مثلًا بانت بوضع الأوّل</w:t>
      </w:r>
      <w:r>
        <w:rPr>
          <w:rtl w:val="true"/>
        </w:rPr>
        <w:t>]</w:t>
      </w:r>
      <w:bookmarkEnd w:id="79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حاملًا باثنین مثلًا بانت </w:t>
      </w:r>
      <w:r>
        <w:rPr>
          <w:rStyle w:val="FootnoteAnchor"/>
          <w:rtl w:val="true"/>
        </w:rPr>
        <w:footnoteReference w:id="2004"/>
      </w:r>
      <w:r>
        <w:rPr>
          <w:rFonts w:ascii="IRNazanin" w:hAnsi="IRNazanin" w:eastAsia="IRNazanin"/>
          <w:color w:val="111111"/>
          <w:sz w:val="28"/>
          <w:sz w:val="28"/>
          <w:szCs w:val="28"/>
          <w:rtl w:val="true"/>
          <w:lang w:bidi="fa-IR"/>
        </w:rPr>
        <w:t>بوضع الأوّل، فلا رجعة للزوج بعده، و لا تنکح زوجاً إلّا بعد وضع الأخیر علی الأحوط فیهما</w:t>
      </w:r>
      <w:r>
        <w:rPr>
          <w:rFonts w:eastAsia="IRNazanin" w:cs="IRNazanin"/>
          <w:color w:val="111111"/>
          <w:sz w:val="28"/>
          <w:szCs w:val="28"/>
          <w:rtl w:val="true"/>
          <w:lang w:bidi="fa-IR"/>
        </w:rPr>
        <w:t>.</w:t>
      </w:r>
    </w:p>
    <w:p>
      <w:pPr>
        <w:pStyle w:val="Heading5"/>
        <w:numPr>
          <w:ilvl w:val="4"/>
          <w:numId w:val="1"/>
        </w:numPr>
        <w:rPr/>
      </w:pPr>
      <w:bookmarkStart w:id="7951" w:name="__RefHeading___Toc2572166_3650668749"/>
      <w:bookmarkStart w:id="7952" w:name="_Toc3592"/>
      <w:bookmarkEnd w:id="7951"/>
      <w:r>
        <w:rPr>
          <w:rtl w:val="true"/>
        </w:rPr>
        <w:t>[ (</w:t>
      </w:r>
      <w:r>
        <w:rPr>
          <w:rtl w:val="true"/>
        </w:rPr>
        <w:t xml:space="preserve">مسألة </w:t>
      </w:r>
      <w:r>
        <w:rPr/>
        <w:t>8</w:t>
      </w:r>
      <w:r>
        <w:rPr>
          <w:rtl w:val="true"/>
        </w:rPr>
        <w:t xml:space="preserve">): </w:t>
      </w:r>
      <w:r>
        <w:rPr>
          <w:rtl w:val="true"/>
        </w:rPr>
        <w:t>لو وطئت شبهة فحملت و الحق الولد بالواطئ لبعد الزوج عنها أو لغیر ذلک ثمّ طلّقها الزوج</w:t>
      </w:r>
      <w:r>
        <w:rPr>
          <w:rtl w:val="true"/>
        </w:rPr>
        <w:t>]</w:t>
      </w:r>
      <w:bookmarkEnd w:id="79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وطئت شبهة فحملت و الحق الولد بالواطئ لبعد الزوج عنها أو لغیر ذلک ثمّ طلّقها الزوج أو طلّقها ثمّ وطئت شبهة علیٰ نحو الحق الولد بالواطئ کانت علیها عدّتان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لوطء الشبهة تنقضی بالوضع، و عدّة للطلاق تستأنفها فیما بعده، و کان مدّتها بعد انقضاء نفاسها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53" w:name="__RefHeading___Toc2572168_3650668749"/>
      <w:bookmarkStart w:id="7954" w:name="_Toc3593"/>
      <w:bookmarkEnd w:id="7953"/>
      <w:r>
        <w:rPr>
          <w:rtl w:val="true"/>
        </w:rPr>
        <w:t>[ (</w:t>
      </w:r>
      <w:r>
        <w:rPr>
          <w:rtl w:val="true"/>
        </w:rPr>
        <w:t xml:space="preserve">مسألة </w:t>
      </w:r>
      <w:r>
        <w:rPr/>
        <w:t>9</w:t>
      </w:r>
      <w:r>
        <w:rPr>
          <w:rtl w:val="true"/>
        </w:rPr>
        <w:t xml:space="preserve">): </w:t>
      </w:r>
      <w:r>
        <w:rPr>
          <w:rtl w:val="true"/>
        </w:rPr>
        <w:t>إذا ادّعت المطلّقة الحامل</w:t>
      </w:r>
      <w:r>
        <w:rPr>
          <w:rtl w:val="true"/>
        </w:rPr>
        <w:t xml:space="preserve">: </w:t>
      </w:r>
      <w:r>
        <w:rPr>
          <w:rtl w:val="true"/>
        </w:rPr>
        <w:t>أنّها وضعت فانقضت عدّتها و أنکر الزوج</w:t>
      </w:r>
      <w:r>
        <w:rPr>
          <w:rtl w:val="true"/>
        </w:rPr>
        <w:t>]</w:t>
      </w:r>
      <w:bookmarkEnd w:id="79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ادّعت المطلّقة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وضعت فانقضت عدّتها و أنکر الزوج، أو انعکس فادّعی الوضع و أنکرت هی، أو ادّعت الحمل و أنکر، أو ادّعت الحمل و الوضع معاً، و أنکرهما یقدّم قولها فی الجمیع </w:t>
      </w:r>
      <w:r>
        <w:rPr>
          <w:rStyle w:val="FootnoteAnchor"/>
          <w:rtl w:val="true"/>
        </w:rPr>
        <w:footnoteReference w:id="2006"/>
      </w:r>
      <w:r>
        <w:rPr>
          <w:rFonts w:ascii="IRNazanin" w:hAnsi="IRNazanin" w:eastAsia="IRNazanin"/>
          <w:color w:val="111111"/>
          <w:sz w:val="28"/>
          <w:sz w:val="28"/>
          <w:szCs w:val="28"/>
          <w:rtl w:val="true"/>
          <w:lang w:bidi="fa-IR"/>
        </w:rPr>
        <w:t>بیمینها</w:t>
      </w:r>
      <w:r>
        <w:rPr>
          <w:rFonts w:eastAsia="IRNazanin" w:cs="IRNazanin"/>
          <w:color w:val="111111"/>
          <w:sz w:val="28"/>
          <w:szCs w:val="28"/>
          <w:rtl w:val="true"/>
          <w:lang w:bidi="fa-IR"/>
        </w:rPr>
        <w:t>.</w:t>
      </w:r>
    </w:p>
    <w:p>
      <w:pPr>
        <w:pStyle w:val="Heading5"/>
        <w:numPr>
          <w:ilvl w:val="4"/>
          <w:numId w:val="1"/>
        </w:numPr>
        <w:rPr/>
      </w:pPr>
      <w:bookmarkStart w:id="7955" w:name="__RefHeading___Toc2572170_3650668749"/>
      <w:bookmarkStart w:id="7956" w:name="_Toc3594"/>
      <w:bookmarkEnd w:id="7955"/>
      <w:r>
        <w:rPr>
          <w:rtl w:val="true"/>
        </w:rPr>
        <w:t>[ (</w:t>
      </w:r>
      <w:r>
        <w:rPr>
          <w:rtl w:val="true"/>
        </w:rPr>
        <w:t xml:space="preserve">مسألة </w:t>
      </w:r>
      <w:r>
        <w:rPr/>
        <w:t>10</w:t>
      </w:r>
      <w:r>
        <w:rPr>
          <w:rtl w:val="true"/>
        </w:rPr>
        <w:t xml:space="preserve">): </w:t>
      </w:r>
      <w:r>
        <w:rPr>
          <w:rtl w:val="true"/>
        </w:rPr>
        <w:t>لو اتّفق الزوجان علیٰ إیقاع الطلاق و وضع الحمل و اختلفا فی المتقدّم و المتأخّر</w:t>
      </w:r>
      <w:r>
        <w:rPr>
          <w:rtl w:val="true"/>
        </w:rPr>
        <w:t>]</w:t>
      </w:r>
      <w:bookmarkEnd w:id="7956"/>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اتّفق الزوجان علیٰ إیقاع الطلاق و وضع الحمل و اختلفا فی المتقدّم و المتأخّر فقال الزوج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 بعد الطلاق فانقضت عدّتک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الزوجة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 قبل الطلاق و الطلاق وقع و أنا حائل فبعد أنا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انعکس فقال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 قبل الطلاق فأنت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یرید الرجوع إلیها و ادّعت الزوجة خلافه، فالظاهر أنّه یقدّم قول</w:t>
      </w:r>
      <w:bookmarkStart w:id="7957" w:name="pg1809_19999"/>
    </w:p>
    <w:p>
      <w:pPr>
        <w:pStyle w:val="BookText"/>
        <w:rPr/>
      </w:pPr>
      <w:bookmarkEnd w:id="7957"/>
      <w:r>
        <w:rPr>
          <w:rFonts w:ascii="Amiri" w:hAnsi="Amiri" w:eastAsia="Amiri" w:cs="Amiri"/>
          <w:color w:val="111111"/>
          <w:sz w:val="28"/>
          <w:sz w:val="28"/>
          <w:szCs w:val="28"/>
          <w:rtl w:val="true"/>
          <w:lang w:bidi="ar-SA"/>
        </w:rPr>
        <w:t xml:space="preserve">من یدّعی </w:t>
      </w:r>
      <w:r>
        <w:rPr>
          <w:rStyle w:val="FootnoteAnchor"/>
          <w:rtl w:val="true"/>
        </w:rPr>
        <w:footnoteReference w:id="2007"/>
      </w:r>
      <w:r>
        <w:rPr>
          <w:rFonts w:ascii="IRNazanin" w:hAnsi="IRNazanin" w:eastAsia="IRNazanin"/>
          <w:color w:val="111111"/>
          <w:sz w:val="28"/>
          <w:sz w:val="28"/>
          <w:szCs w:val="28"/>
          <w:rtl w:val="true"/>
          <w:lang w:bidi="fa-IR"/>
        </w:rPr>
        <w:t>بقاء العدّة؛ سواء کان هو الزوج أو الزوجة؛ من غیر فرق بین ما لم یتّفقا علیٰ زمان أحدهما، کما إذا ادّعیٰ أحدهما أنّ الطلاق کان فی شعبان و الوضع فی رمضان و ادّعی الآخر العکس، أو اتّفقا علیٰ زمان أحدهما، کما إذا اتّفقا علیٰ أنّ الطلاق وقع فی رمضان و اختلفا فی زمان الوضع فقال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فی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فی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اتّفقا فی أنّ الوضع کان فی رمضان و اختلفا فی أنّ الطلاق کان فی شوّال أو شعبان</w:t>
      </w:r>
      <w:r>
        <w:rPr>
          <w:rFonts w:eastAsia="IRNazanin" w:cs="IRNazanin"/>
          <w:color w:val="111111"/>
          <w:sz w:val="28"/>
          <w:szCs w:val="28"/>
          <w:rtl w:val="true"/>
          <w:lang w:bidi="fa-IR"/>
        </w:rPr>
        <w:t>.</w:t>
      </w:r>
    </w:p>
    <w:p>
      <w:pPr>
        <w:pStyle w:val="Heading5"/>
        <w:numPr>
          <w:ilvl w:val="4"/>
          <w:numId w:val="1"/>
        </w:numPr>
        <w:rPr/>
      </w:pPr>
      <w:bookmarkStart w:id="7958" w:name="__RefHeading___Toc2572172_3650668749"/>
      <w:bookmarkStart w:id="7959" w:name="_Toc3595"/>
      <w:bookmarkEnd w:id="7958"/>
      <w:r>
        <w:rPr>
          <w:rtl w:val="true"/>
        </w:rPr>
        <w:t>[ (</w:t>
      </w:r>
      <w:r>
        <w:rPr>
          <w:rtl w:val="true"/>
        </w:rPr>
        <w:t xml:space="preserve">مسألة </w:t>
      </w:r>
      <w:r>
        <w:rPr/>
        <w:t>11</w:t>
      </w:r>
      <w:r>
        <w:rPr>
          <w:rtl w:val="true"/>
        </w:rPr>
        <w:t xml:space="preserve">): </w:t>
      </w:r>
      <w:r>
        <w:rPr>
          <w:rtl w:val="true"/>
        </w:rPr>
        <w:t>إذا طلّقت الحائل أو انفسخ نکاحها، فإن کانت مستقیمة الحیض</w:t>
      </w:r>
      <w:r>
        <w:rPr>
          <w:rtl w:val="true"/>
        </w:rPr>
        <w:t>]</w:t>
      </w:r>
      <w:bookmarkEnd w:id="79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طلّقت الحائل أو انفسخ نکاحها، فإن کانت مستقیمة الحیض؛ بأن تحیض فی کلّ شهر مرّة کما هو المتعارف فی الأغلب کانت عدّتها ثلاثة قروء، و کذا إذا تحیض فی کلّ شهر أزید من مرّة أو تری الدم فی کلّ شهرین مرّة،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الطهر الفاصل بین حیضتین منها أقلّ من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لا تحیض و هی فی سنّ من تحیض إمّا لکونها صغیرة السنّ لم تبلغ الحدّ الذی تری الحیض غالب النساء، و إمّا لانقطاع حیضها لمرض أو حمل أو رضاع کانت عدّتها ثلاثة أشهر، و تلحق بها من تحیض لکنّ الطهر الفاصل بین حیض و حیض منها ثلاثة أشهر أو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الحرّة و إن کانت تحت عبد، و أمّا الأمة و إن کانت تحت حرّ فعدّتها قرءان فی الأوّل، و خمسة و أربعون یوماً فی الثانی</w:t>
      </w:r>
      <w:r>
        <w:rPr>
          <w:rFonts w:eastAsia="IRNazanin" w:cs="IRNazanin"/>
          <w:color w:val="111111"/>
          <w:sz w:val="28"/>
          <w:szCs w:val="28"/>
          <w:rtl w:val="true"/>
          <w:lang w:bidi="fa-IR"/>
        </w:rPr>
        <w:t>.</w:t>
      </w:r>
    </w:p>
    <w:p>
      <w:pPr>
        <w:pStyle w:val="Heading5"/>
        <w:numPr>
          <w:ilvl w:val="4"/>
          <w:numId w:val="1"/>
        </w:numPr>
        <w:rPr/>
      </w:pPr>
      <w:bookmarkStart w:id="7960" w:name="__RefHeading___Toc2572174_3650668749"/>
      <w:bookmarkStart w:id="7961" w:name="_Toc3596"/>
      <w:bookmarkEnd w:id="7960"/>
      <w:r>
        <w:rPr>
          <w:rtl w:val="true"/>
        </w:rPr>
        <w:t>[ (</w:t>
      </w:r>
      <w:r>
        <w:rPr>
          <w:rtl w:val="true"/>
        </w:rPr>
        <w:t xml:space="preserve">مسألة </w:t>
      </w:r>
      <w:r>
        <w:rPr/>
        <w:t>12</w:t>
      </w:r>
      <w:r>
        <w:rPr>
          <w:rtl w:val="true"/>
        </w:rPr>
        <w:t xml:space="preserve">): </w:t>
      </w:r>
      <w:r>
        <w:rPr>
          <w:rtl w:val="true"/>
        </w:rPr>
        <w:t>المراد بالقروء و القرءین</w:t>
      </w:r>
      <w:r>
        <w:rPr>
          <w:rtl w:val="true"/>
        </w:rPr>
        <w:t xml:space="preserve">: </w:t>
      </w:r>
      <w:r>
        <w:rPr>
          <w:rtl w:val="true"/>
        </w:rPr>
        <w:t>الأطهار و الطهرین</w:t>
      </w:r>
      <w:r>
        <w:rPr>
          <w:rtl w:val="true"/>
        </w:rPr>
        <w:t>]</w:t>
      </w:r>
      <w:bookmarkEnd w:id="79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بالقروء و القرءین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الأطهار و الطهرین، و یکفی فی الطهر الأوّل مسمّاه و لو قلیلًا، فلو طلّقها و قد بقیت من طهرها لحظة یحسب ذلک طهراً، فإذا رأت طهرین آخرین تامّین بتخلّل حیضة بینهما فی الحرّة، و طهر آخر تامّ بین حیضتین فی الأمة، انقضت العدّة، فانقضاؤها برؤیة الدم الثالث أو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اتّصل آخر صیغة الطلاق بأوّل زمان الحیض صحّ الطلاق، لکن لا بدّ فی انقضاء العدّة من أطهار تامّة، فتنقضی برؤیة الدم الرابع فی الحرّة و رؤیة الدم الثالث فی الأمة</w:t>
      </w:r>
      <w:r>
        <w:rPr>
          <w:rFonts w:eastAsia="IRNazanin" w:cs="IRNazanin"/>
          <w:color w:val="111111"/>
          <w:sz w:val="28"/>
          <w:szCs w:val="28"/>
          <w:rtl w:val="true"/>
          <w:lang w:bidi="fa-IR"/>
        </w:rPr>
        <w:t>.</w:t>
      </w:r>
    </w:p>
    <w:p>
      <w:pPr>
        <w:pStyle w:val="Heading5"/>
        <w:numPr>
          <w:ilvl w:val="4"/>
          <w:numId w:val="1"/>
        </w:numPr>
        <w:rPr/>
      </w:pPr>
      <w:bookmarkStart w:id="7962" w:name="__RefHeading___Toc2572176_3650668749"/>
      <w:bookmarkStart w:id="7963" w:name="_Toc3597"/>
      <w:bookmarkEnd w:id="7962"/>
      <w:r>
        <w:rPr>
          <w:rtl w:val="true"/>
        </w:rPr>
        <w:t>[ (</w:t>
      </w:r>
      <w:r>
        <w:rPr>
          <w:rtl w:val="true"/>
        </w:rPr>
        <w:t xml:space="preserve">مسألة </w:t>
      </w:r>
      <w:r>
        <w:rPr/>
        <w:t>13</w:t>
      </w:r>
      <w:r>
        <w:rPr>
          <w:rtl w:val="true"/>
        </w:rPr>
        <w:t xml:space="preserve">): </w:t>
      </w:r>
      <w:r>
        <w:rPr>
          <w:rtl w:val="true"/>
        </w:rPr>
        <w:t>بناءً علیٰ کفایة مسمّی الطهر فی الطهر الأوّل و لو لحظة</w:t>
      </w:r>
      <w:r>
        <w:rPr>
          <w:rtl w:val="true"/>
        </w:rPr>
        <w:t>]</w:t>
      </w:r>
      <w:bookmarkEnd w:id="7963"/>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کفایة مسمّی الطهر فی الطهر الأوّل و لو لحظة، و إمکان أن تحیض المرأة فی شهر واحد أزید من مرّة، فأقلّ زمان یمکن أن تنقضی عدّة الحرّة ستّة</w:t>
      </w:r>
      <w:bookmarkStart w:id="7964" w:name="pg1809_20000"/>
    </w:p>
    <w:p>
      <w:pPr>
        <w:pStyle w:val="BookText"/>
        <w:rPr/>
      </w:pPr>
      <w:bookmarkEnd w:id="7964"/>
      <w:r>
        <w:rPr>
          <w:rFonts w:ascii="IRNazanin" w:hAnsi="IRNazanin" w:eastAsia="IRNazanin"/>
          <w:color w:val="111111"/>
          <w:sz w:val="28"/>
          <w:sz w:val="28"/>
          <w:szCs w:val="28"/>
          <w:rtl w:val="true"/>
          <w:lang w:bidi="fa-IR"/>
        </w:rPr>
        <w:t>و عشرون یوماً و لحظتان؛ بأن کان طهرها الأوّل لحظة ثمّ تحیض ثلاثة أیّام ثمّ تری أقلّ الطهر عشرة أیّام ثمّ تحیض ثلاثة أیّام ثمّ تری أقلّ الطهر عشرة أیّام ثمّ تحیض، فبمجرّد رؤیة الدم الأخیر لحظة من أوّله انقضت العدّة، و هذه اللحظة الأخیرة خارجة عن العدّة و إنّما یتوقّف علیها تمامیّة الطهر الثالث، هذا فی الحرّة، و أمّا فی الأمة فأقلّ ما یمکن انقضاء عدّتها لحظتان و ثلاثة عشر یوماً</w:t>
      </w:r>
      <w:r>
        <w:rPr>
          <w:rFonts w:eastAsia="IRNazanin" w:cs="IRNazanin"/>
          <w:color w:val="111111"/>
          <w:sz w:val="28"/>
          <w:szCs w:val="28"/>
          <w:rtl w:val="true"/>
          <w:lang w:bidi="fa-IR"/>
        </w:rPr>
        <w:t>.</w:t>
      </w:r>
    </w:p>
    <w:p>
      <w:pPr>
        <w:pStyle w:val="Heading5"/>
        <w:numPr>
          <w:ilvl w:val="4"/>
          <w:numId w:val="1"/>
        </w:numPr>
        <w:rPr/>
      </w:pPr>
      <w:bookmarkStart w:id="7965" w:name="__RefHeading___Toc2572178_3650668749"/>
      <w:bookmarkStart w:id="7966" w:name="_Toc3598"/>
      <w:bookmarkEnd w:id="7965"/>
      <w:r>
        <w:rPr>
          <w:rtl w:val="true"/>
        </w:rPr>
        <w:t>[ (</w:t>
      </w:r>
      <w:r>
        <w:rPr>
          <w:rtl w:val="true"/>
        </w:rPr>
        <w:t xml:space="preserve">مسألة </w:t>
      </w:r>
      <w:r>
        <w:rPr/>
        <w:t>14</w:t>
      </w:r>
      <w:r>
        <w:rPr>
          <w:rtl w:val="true"/>
        </w:rPr>
        <w:t xml:space="preserve">): </w:t>
      </w:r>
      <w:r>
        <w:rPr>
          <w:rtl w:val="true"/>
        </w:rPr>
        <w:t>عدّة المتعة فی الحامل وضع حملها، و فی الحائل إذا کانت تحیض قرءان</w:t>
      </w:r>
      <w:r>
        <w:rPr>
          <w:rtl w:val="true"/>
        </w:rPr>
        <w:t>]</w:t>
      </w:r>
      <w:bookmarkEnd w:id="79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المتعة فی الحامل وضع حملها، و فی الحائل إذا کانت تحیض قرءان، و المراد بهما هنا حیضتان علی الأقویٰ، و إن کانت لا تحیض و هی فی سنّ من تحیض فخمسة و أربعون یوماً، و لا فرق بین کون المتمتّع بها حرّة أو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الحیضتین الکاملتان، فلو وهبت مدّتها أو انقضت فی أثناء الحیض لم تحسب بقیّة تلک الحیضة من الحیضتین</w:t>
      </w:r>
      <w:r>
        <w:rPr>
          <w:rFonts w:eastAsia="IRNazanin" w:cs="IRNazanin"/>
          <w:color w:val="111111"/>
          <w:sz w:val="28"/>
          <w:szCs w:val="28"/>
          <w:rtl w:val="true"/>
          <w:lang w:bidi="fa-IR"/>
        </w:rPr>
        <w:t>.</w:t>
      </w:r>
    </w:p>
    <w:p>
      <w:pPr>
        <w:pStyle w:val="Heading5"/>
        <w:numPr>
          <w:ilvl w:val="4"/>
          <w:numId w:val="1"/>
        </w:numPr>
        <w:rPr/>
      </w:pPr>
      <w:bookmarkStart w:id="7967" w:name="__RefHeading___Toc2572180_3650668749"/>
      <w:bookmarkStart w:id="7968" w:name="_Toc3599"/>
      <w:bookmarkEnd w:id="7967"/>
      <w:r>
        <w:rPr>
          <w:rtl w:val="true"/>
        </w:rPr>
        <w:t>[ (</w:t>
      </w:r>
      <w:r>
        <w:rPr>
          <w:rtl w:val="true"/>
        </w:rPr>
        <w:t xml:space="preserve">مسألة </w:t>
      </w:r>
      <w:r>
        <w:rPr/>
        <w:t>15</w:t>
      </w:r>
      <w:r>
        <w:rPr>
          <w:rtl w:val="true"/>
        </w:rPr>
        <w:t xml:space="preserve">): </w:t>
      </w:r>
      <w:r>
        <w:rPr>
          <w:rtl w:val="true"/>
        </w:rPr>
        <w:t>المدار فی الشهور علی الهلالی</w:t>
      </w:r>
      <w:r>
        <w:rPr>
          <w:rtl w:val="true"/>
        </w:rPr>
        <w:t>]</w:t>
      </w:r>
      <w:bookmarkEnd w:id="79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فی الشهور علی الهلالی، فإن وقع الطلاق فی أوّل رؤیة الهلال فلا إشکال، و أمّا إن وقع فی أثناء الشهر ففیه خلاف و إشکال، و لعلّ الأقویٰ فی النظر جعل الشهرین الوسطین هلالیّین و إکمال الأوّل من الرابع بمقدار ما فات منه</w:t>
      </w:r>
      <w:r>
        <w:rPr>
          <w:rFonts w:eastAsia="IRNazanin" w:cs="IRNazanin"/>
          <w:color w:val="111111"/>
          <w:sz w:val="28"/>
          <w:szCs w:val="28"/>
          <w:rtl w:val="true"/>
          <w:lang w:bidi="fa-IR"/>
        </w:rPr>
        <w:t>.</w:t>
      </w:r>
    </w:p>
    <w:p>
      <w:pPr>
        <w:pStyle w:val="Heading5"/>
        <w:numPr>
          <w:ilvl w:val="4"/>
          <w:numId w:val="1"/>
        </w:numPr>
        <w:rPr/>
      </w:pPr>
      <w:bookmarkStart w:id="7969" w:name="__RefHeading___Toc2572182_3650668749"/>
      <w:bookmarkStart w:id="7970" w:name="_Toc3600"/>
      <w:bookmarkEnd w:id="7969"/>
      <w:r>
        <w:rPr>
          <w:rtl w:val="true"/>
        </w:rPr>
        <w:t>[ (</w:t>
      </w:r>
      <w:r>
        <w:rPr>
          <w:rtl w:val="true"/>
        </w:rPr>
        <w:t xml:space="preserve">مسألة </w:t>
      </w:r>
      <w:r>
        <w:rPr/>
        <w:t>16</w:t>
      </w:r>
      <w:r>
        <w:rPr>
          <w:rtl w:val="true"/>
        </w:rPr>
        <w:t xml:space="preserve">): </w:t>
      </w:r>
      <w:r>
        <w:rPr>
          <w:rtl w:val="true"/>
        </w:rPr>
        <w:t>لو اختلفا فی انقضاء العدّة و عدمه قدّم قولها بیمینها</w:t>
      </w:r>
      <w:r>
        <w:rPr>
          <w:rtl w:val="true"/>
        </w:rPr>
        <w:t>]</w:t>
      </w:r>
      <w:bookmarkEnd w:id="79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انقضاء العدّة و عدمه قدّم قولها بیمینها؛ سواء ادّعت الانقضاء أو عدمه، و سواء کانت عدّتها بالأقراء أو الأشهر</w:t>
      </w:r>
      <w:r>
        <w:rPr>
          <w:rFonts w:eastAsia="IRNazanin" w:cs="IRNazanin"/>
          <w:color w:val="111111"/>
          <w:sz w:val="28"/>
          <w:szCs w:val="28"/>
          <w:rtl w:val="true"/>
          <w:lang w:bidi="fa-IR"/>
        </w:rPr>
        <w:t>.</w:t>
      </w:r>
    </w:p>
    <w:p>
      <w:pPr>
        <w:pStyle w:val="Heading4"/>
        <w:numPr>
          <w:ilvl w:val="3"/>
          <w:numId w:val="1"/>
        </w:numPr>
        <w:rPr/>
      </w:pPr>
      <w:bookmarkStart w:id="7971" w:name="__RefHeading___Toc2572184_3650668749"/>
      <w:bookmarkStart w:id="7972" w:name="_Toc3601"/>
      <w:bookmarkEnd w:id="7971"/>
      <w:r>
        <w:rPr>
          <w:rtl w:val="true"/>
        </w:rPr>
        <w:t>[</w:t>
      </w:r>
      <w:r>
        <w:rPr>
          <w:rtl w:val="true"/>
        </w:rPr>
        <w:t>القول فی عدّة الوفاة</w:t>
      </w:r>
      <w:r>
        <w:rPr>
          <w:rtl w:val="true"/>
        </w:rPr>
        <w:t>]</w:t>
      </w:r>
      <w:bookmarkEnd w:id="7972"/>
    </w:p>
    <w:p>
      <w:pPr>
        <w:pStyle w:val="Heading5"/>
        <w:numPr>
          <w:ilvl w:val="4"/>
          <w:numId w:val="1"/>
        </w:numPr>
        <w:rPr/>
      </w:pPr>
      <w:bookmarkStart w:id="7973" w:name="__RefHeading___Toc2572186_3650668749"/>
      <w:bookmarkStart w:id="7974" w:name="_Toc3602"/>
      <w:bookmarkEnd w:id="7973"/>
      <w:r>
        <w:rPr>
          <w:rtl w:val="true"/>
        </w:rPr>
        <w:t>اشارة</w:t>
      </w:r>
      <w:bookmarkEnd w:id="7974"/>
    </w:p>
    <w:p>
      <w:pPr>
        <w:pStyle w:val="BookText"/>
        <w:rPr/>
      </w:pPr>
      <w:r>
        <w:rPr>
          <w:rFonts w:ascii="IRNazanin" w:hAnsi="IRNazanin" w:eastAsia="IRNazanin"/>
          <w:color w:val="111111"/>
          <w:sz w:val="28"/>
          <w:sz w:val="28"/>
          <w:szCs w:val="28"/>
          <w:rtl w:val="true"/>
          <w:lang w:bidi="fa-IR"/>
        </w:rPr>
        <w:t>القول فی عدّة الوفاة</w:t>
      </w:r>
    </w:p>
    <w:p>
      <w:pPr>
        <w:pStyle w:val="Heading5"/>
        <w:numPr>
          <w:ilvl w:val="4"/>
          <w:numId w:val="1"/>
        </w:numPr>
        <w:rPr/>
      </w:pPr>
      <w:bookmarkStart w:id="7975" w:name="__RefHeading___Toc2572188_3650668749"/>
      <w:bookmarkStart w:id="7976" w:name="_Toc3603"/>
      <w:bookmarkEnd w:id="7975"/>
      <w:r>
        <w:rPr>
          <w:rtl w:val="true"/>
        </w:rPr>
        <w:t>[ (</w:t>
      </w:r>
      <w:r>
        <w:rPr>
          <w:rtl w:val="true"/>
        </w:rPr>
        <w:t xml:space="preserve">مسألة </w:t>
      </w:r>
      <w:r>
        <w:rPr/>
        <w:t>1</w:t>
      </w:r>
      <w:r>
        <w:rPr>
          <w:rtl w:val="true"/>
        </w:rPr>
        <w:t xml:space="preserve">): </w:t>
      </w:r>
      <w:r>
        <w:rPr>
          <w:rtl w:val="true"/>
        </w:rPr>
        <w:t>عدّة الحرّة المتوفّیٰ عنها زوجها و إن کانت تحت عبد أربعة أشهر و عشرة أیّام</w:t>
      </w:r>
      <w:r>
        <w:rPr>
          <w:rtl w:val="true"/>
        </w:rPr>
        <w:t>]</w:t>
      </w:r>
      <w:bookmarkEnd w:id="7976"/>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الحرّة المتوفّیٰ عنها زوجها و إن کانت تحت عبد أربعة أشهر و عشرة أیّام إذا کانت حائلًا؛ صغیرة کانت أو کبیرة، یائسة کانت أو غیرها، و سواء کانت مدخولًا بها أو غیرها، و دائمة کانت أو منقطعة، و کانت من ذوات الأقراء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کانت حاملًا فعدّتها أبعد الأجلین؛ من وضع الحمل و المدّة المزبورة، فلو وضعت قبل تلک المدّة لم تنقض العدّة، و کذا لو تمّت المدّة و لمّا وضعت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الحرّة، و أمّا الأمة و إن کانت تحت حرّ ففیها خلاف، و الأحوط </w:t>
      </w:r>
      <w:r>
        <w:rPr>
          <w:rStyle w:val="FootnoteAnchor"/>
          <w:rtl w:val="true"/>
        </w:rPr>
        <w:footnoteReference w:id="2008"/>
      </w:r>
      <w:r>
        <w:rPr>
          <w:rFonts w:ascii="Amiri" w:hAnsi="Amiri" w:eastAsia="Amiri" w:cs="Amiri"/>
          <w:color w:val="111111"/>
          <w:sz w:val="28"/>
          <w:sz w:val="28"/>
          <w:szCs w:val="28"/>
          <w:rtl w:val="true"/>
          <w:lang w:bidi="ar-SA"/>
        </w:rPr>
        <w:t>مساواتها للحرّة، فتعتدّ بأربعة أشهر و عشراً</w:t>
      </w:r>
      <w:bookmarkStart w:id="7977" w:name="pg1809_20001"/>
    </w:p>
    <w:p>
      <w:pPr>
        <w:pStyle w:val="BookText"/>
        <w:rPr/>
      </w:pPr>
      <w:bookmarkEnd w:id="7977"/>
      <w:r>
        <w:rPr>
          <w:rFonts w:ascii="IRNazanin" w:hAnsi="IRNazanin" w:eastAsia="IRNazanin"/>
          <w:color w:val="111111"/>
          <w:sz w:val="28"/>
          <w:sz w:val="28"/>
          <w:szCs w:val="28"/>
          <w:rtl w:val="true"/>
          <w:lang w:bidi="fa-IR"/>
        </w:rPr>
        <w:t>إن کانت حائلًا، و بأبعد الأجلین منها و من وضع الحمل إن کانت حاملًا کالحرّة</w:t>
      </w:r>
      <w:r>
        <w:rPr>
          <w:rFonts w:eastAsia="IRNazanin" w:cs="IRNazanin"/>
          <w:color w:val="111111"/>
          <w:sz w:val="28"/>
          <w:szCs w:val="28"/>
          <w:rtl w:val="true"/>
          <w:lang w:bidi="fa-IR"/>
        </w:rPr>
        <w:t>.</w:t>
      </w:r>
    </w:p>
    <w:p>
      <w:pPr>
        <w:pStyle w:val="Heading5"/>
        <w:numPr>
          <w:ilvl w:val="4"/>
          <w:numId w:val="1"/>
        </w:numPr>
        <w:rPr/>
      </w:pPr>
      <w:bookmarkStart w:id="7978" w:name="__RefHeading___Toc2572190_3650668749"/>
      <w:bookmarkStart w:id="7979" w:name="_Toc3604"/>
      <w:bookmarkEnd w:id="7978"/>
      <w:r>
        <w:rPr>
          <w:rtl w:val="true"/>
        </w:rPr>
        <w:t>[ (</w:t>
      </w:r>
      <w:r>
        <w:rPr>
          <w:rtl w:val="true"/>
        </w:rPr>
        <w:t xml:space="preserve">مسألة </w:t>
      </w:r>
      <w:r>
        <w:rPr/>
        <w:t>2</w:t>
      </w:r>
      <w:r>
        <w:rPr>
          <w:rtl w:val="true"/>
        </w:rPr>
        <w:t xml:space="preserve">): </w:t>
      </w:r>
      <w:r>
        <w:rPr>
          <w:rtl w:val="true"/>
        </w:rPr>
        <w:t>المراد بالأشهر هی الهلالیّة</w:t>
      </w:r>
      <w:r>
        <w:rPr>
          <w:rtl w:val="true"/>
        </w:rPr>
        <w:t>]</w:t>
      </w:r>
      <w:bookmarkEnd w:id="79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بالأشهر هی الهلالیّة، فإن مات عند رؤیة الهلال اعتدّت بأربعة أشهر هلالیّات و ضمّت إلیها من الشهر الخامس عشرة أیّام، و إن مات فی أثناء الشهر فالأظهر أنّها تجعل ثلاثة أشهر هلالیّات فی الوسط و أکملت الأوّل بمقدار ما مضی منه من الشهر الخامس حتّی صارت ثلاثة أشهر هلالیّات و شهراً ملفّقاً، و تضیف إلیها من الشهر الخامس عشرة أیّام</w:t>
      </w:r>
      <w:r>
        <w:rPr>
          <w:rFonts w:eastAsia="IRNazanin" w:cs="IRNazanin"/>
          <w:color w:val="111111"/>
          <w:sz w:val="28"/>
          <w:szCs w:val="28"/>
          <w:rtl w:val="true"/>
          <w:lang w:bidi="fa-IR"/>
        </w:rPr>
        <w:t>.</w:t>
      </w:r>
    </w:p>
    <w:p>
      <w:pPr>
        <w:pStyle w:val="Heading5"/>
        <w:numPr>
          <w:ilvl w:val="4"/>
          <w:numId w:val="1"/>
        </w:numPr>
        <w:rPr/>
      </w:pPr>
      <w:bookmarkStart w:id="7980" w:name="__RefHeading___Toc2572192_3650668749"/>
      <w:bookmarkStart w:id="7981" w:name="_Toc3605"/>
      <w:bookmarkEnd w:id="7980"/>
      <w:r>
        <w:rPr>
          <w:rtl w:val="true"/>
        </w:rPr>
        <w:t>[ (</w:t>
      </w:r>
      <w:r>
        <w:rPr>
          <w:rtl w:val="true"/>
        </w:rPr>
        <w:t xml:space="preserve">مسألة </w:t>
      </w:r>
      <w:r>
        <w:rPr/>
        <w:t>3</w:t>
      </w:r>
      <w:r>
        <w:rPr>
          <w:rtl w:val="true"/>
        </w:rPr>
        <w:t xml:space="preserve">): </w:t>
      </w:r>
      <w:r>
        <w:rPr>
          <w:rtl w:val="true"/>
        </w:rPr>
        <w:t>لو طلّقها ثمّ مات قبل انقضاء العدّة، فإن کان رجعیّاً بطلت</w:t>
      </w:r>
      <w:r>
        <w:rPr>
          <w:rtl w:val="true"/>
        </w:rPr>
        <w:t>]</w:t>
      </w:r>
      <w:bookmarkEnd w:id="79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طلّقها ثمّ مات قبل انقضاء العدّة، فإن کان رجعیّاً بطلت </w:t>
      </w:r>
      <w:r>
        <w:rPr>
          <w:rStyle w:val="FootnoteAnchor"/>
          <w:rtl w:val="true"/>
        </w:rPr>
        <w:footnoteReference w:id="2009"/>
      </w:r>
      <w:r>
        <w:rPr>
          <w:rFonts w:ascii="IRNazanin" w:hAnsi="IRNazanin" w:eastAsia="IRNazanin"/>
          <w:color w:val="111111"/>
          <w:sz w:val="28"/>
          <w:sz w:val="28"/>
          <w:szCs w:val="28"/>
          <w:rtl w:val="true"/>
          <w:lang w:bidi="fa-IR"/>
        </w:rPr>
        <w:t>عدّة الطلاق و اعتدّت من حین موته عدّة الوفاة، فإن کانت حائلًا اعتدّت أربعة أشهر و عشراً، و إن کانت حاملًا اعتدّت بأبعد الأجلین منها و من وضع الحمل کغیر المطلّقة، و إن کانت بائناً اقتصرت علیٰ إتمام عدّة الطلاق و لا عدّة علیها بسبب الوفاة</w:t>
      </w:r>
      <w:r>
        <w:rPr>
          <w:rFonts w:eastAsia="IRNazanin" w:cs="IRNazanin"/>
          <w:color w:val="111111"/>
          <w:sz w:val="28"/>
          <w:szCs w:val="28"/>
          <w:rtl w:val="true"/>
          <w:lang w:bidi="fa-IR"/>
        </w:rPr>
        <w:t>.</w:t>
      </w:r>
    </w:p>
    <w:p>
      <w:pPr>
        <w:pStyle w:val="Heading5"/>
        <w:numPr>
          <w:ilvl w:val="4"/>
          <w:numId w:val="1"/>
        </w:numPr>
        <w:rPr/>
      </w:pPr>
      <w:bookmarkStart w:id="7982" w:name="__RefHeading___Toc2572194_3650668749"/>
      <w:bookmarkStart w:id="7983" w:name="_Toc3606"/>
      <w:bookmarkEnd w:id="7982"/>
      <w:r>
        <w:rPr>
          <w:rtl w:val="true"/>
        </w:rPr>
        <w:t>[ (</w:t>
      </w:r>
      <w:r>
        <w:rPr>
          <w:rtl w:val="true"/>
        </w:rPr>
        <w:t xml:space="preserve">مسألة </w:t>
      </w:r>
      <w:r>
        <w:rPr/>
        <w:t>4</w:t>
      </w:r>
      <w:r>
        <w:rPr>
          <w:rtl w:val="true"/>
        </w:rPr>
        <w:t xml:space="preserve">): </w:t>
      </w:r>
      <w:r>
        <w:rPr>
          <w:rtl w:val="true"/>
        </w:rPr>
        <w:t>یجب علی المرأة فی وفاة زوجها الحداد ما دامت فی العدّة</w:t>
      </w:r>
      <w:r>
        <w:rPr>
          <w:rtl w:val="true"/>
        </w:rPr>
        <w:t>]</w:t>
      </w:r>
      <w:bookmarkEnd w:id="79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المرأة فی وفاة زوجها الحداد ما دامت فی العدّة، و المراد به ترک الزینة فی البدن بمثل التکحیل و التطیّب و الخضاب و تحمیر الوجه و الخطاط و نحوها، و فی اللباس بلبس الأحمر و الأصفر و الحلیّ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کلّ ما یعدّ زینة یتزیّن به للزوج فی الأوقات المناسبة له فی العادة کالأعیاد و الأعراس و نحوها، و یختلف ذلک بحسب الأشخاص و الأزمان و البلاد، فیلاحظ فی کلّ بلد ما هو المعتاد و المتعارف فیه للتزیّن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بتنظیف البدن و اللباس و تسریح الشعر و تقلیم الأظفار و دخول الحمّام و الافتراش بالفراش الفاخر و السکنیٰ فی المساکن المزیّنة و تزیین أولادها و خدمها</w:t>
      </w:r>
      <w:r>
        <w:rPr>
          <w:rFonts w:eastAsia="IRNazanin" w:cs="IRNazanin"/>
          <w:color w:val="111111"/>
          <w:sz w:val="28"/>
          <w:szCs w:val="28"/>
          <w:rtl w:val="true"/>
          <w:lang w:bidi="fa-IR"/>
        </w:rPr>
        <w:t>.</w:t>
      </w:r>
    </w:p>
    <w:p>
      <w:pPr>
        <w:pStyle w:val="Heading5"/>
        <w:numPr>
          <w:ilvl w:val="4"/>
          <w:numId w:val="1"/>
        </w:numPr>
        <w:rPr/>
      </w:pPr>
      <w:bookmarkStart w:id="7984" w:name="__RefHeading___Toc2572196_3650668749"/>
      <w:bookmarkStart w:id="7985" w:name="_Toc3607"/>
      <w:bookmarkEnd w:id="7984"/>
      <w:r>
        <w:rPr>
          <w:rtl w:val="true"/>
        </w:rPr>
        <w:t>[ (</w:t>
      </w:r>
      <w:r>
        <w:rPr>
          <w:rtl w:val="true"/>
        </w:rPr>
        <w:t xml:space="preserve">مسألة </w:t>
      </w:r>
      <w:r>
        <w:rPr/>
        <w:t>5</w:t>
      </w:r>
      <w:r>
        <w:rPr>
          <w:rtl w:val="true"/>
        </w:rPr>
        <w:t xml:space="preserve">): </w:t>
      </w:r>
      <w:r>
        <w:rPr>
          <w:rtl w:val="true"/>
        </w:rPr>
        <w:t>الأقویٰ أنّ الحداد لیس شرطاً فی صحّة العدّة</w:t>
      </w:r>
      <w:r>
        <w:rPr>
          <w:rtl w:val="true"/>
        </w:rPr>
        <w:t>]</w:t>
      </w:r>
      <w:bookmarkEnd w:id="7985"/>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أنّ الحداد لیس شرطاً فی صحّة العدّة، بل هو تکلیف علیٰ حدة فی زمانها، فلو ترکته عصیاناً أو جهلًا أو نسیاناً فی تمام المدّة أو بعضها لم یجب علیها استئنافها أو تدارک مقدار ما اعتدّت بدونه</w:t>
      </w:r>
      <w:r>
        <w:rPr>
          <w:rFonts w:eastAsia="IRNazanin" w:cs="IRNazanin"/>
          <w:color w:val="111111"/>
          <w:sz w:val="28"/>
          <w:szCs w:val="28"/>
          <w:rtl w:val="true"/>
          <w:lang w:bidi="fa-IR"/>
        </w:rPr>
        <w:t>.</w:t>
      </w:r>
      <w:bookmarkStart w:id="7986" w:name="pg1809_20002"/>
    </w:p>
    <w:p>
      <w:pPr>
        <w:pStyle w:val="Heading5"/>
        <w:numPr>
          <w:ilvl w:val="4"/>
          <w:numId w:val="1"/>
        </w:numPr>
        <w:rPr/>
      </w:pPr>
      <w:bookmarkStart w:id="7987" w:name="__RefHeading___Toc2572198_3650668749"/>
      <w:bookmarkStart w:id="7988" w:name="_Toc3608"/>
      <w:bookmarkEnd w:id="7986"/>
      <w:bookmarkEnd w:id="7987"/>
      <w:r>
        <w:rPr>
          <w:rtl w:val="true"/>
        </w:rPr>
        <w:t>[ (</w:t>
      </w:r>
      <w:r>
        <w:rPr>
          <w:rtl w:val="true"/>
        </w:rPr>
        <w:t xml:space="preserve">مسألة </w:t>
      </w:r>
      <w:r>
        <w:rPr/>
        <w:t>6</w:t>
      </w:r>
      <w:r>
        <w:rPr>
          <w:rtl w:val="true"/>
        </w:rPr>
        <w:t xml:space="preserve">): </w:t>
      </w:r>
      <w:r>
        <w:rPr>
          <w:rtl w:val="true"/>
        </w:rPr>
        <w:t>لا فرق فی وجوب الحداد بین المسلمة و الذمّیة</w:t>
      </w:r>
      <w:r>
        <w:rPr>
          <w:rtl w:val="true"/>
        </w:rPr>
        <w:t>]</w:t>
      </w:r>
      <w:bookmarkEnd w:id="79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وجوب الحداد بین المسلمة و الذمّیة، کما أنّه لا فرق علی الظاهر بین الدائمة و المنقطعة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عدم وجوبه علیٰ من قصرت مدّة تمتّعها کیوم أو یومین أو ساعة أو ساعتین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 علی الصغیرة و المجنونة أم لا؟ قولان، أشهرهما الوجوب؛ بمعنی وجوبه علیٰ ولیّهما فیجنّبهما عن التزیین ما دامتا فی العدّة، و فیه تأمّل و إن کان أحوط</w:t>
      </w:r>
      <w:r>
        <w:rPr>
          <w:rFonts w:eastAsia="IRNazanin" w:cs="IRNazanin"/>
          <w:color w:val="111111"/>
          <w:sz w:val="28"/>
          <w:szCs w:val="28"/>
          <w:rtl w:val="true"/>
          <w:lang w:bidi="fa-IR"/>
        </w:rPr>
        <w:t>.</w:t>
      </w:r>
    </w:p>
    <w:p>
      <w:pPr>
        <w:pStyle w:val="Heading5"/>
        <w:numPr>
          <w:ilvl w:val="4"/>
          <w:numId w:val="1"/>
        </w:numPr>
        <w:rPr/>
      </w:pPr>
      <w:bookmarkStart w:id="7989" w:name="__RefHeading___Toc2572200_3650668749"/>
      <w:bookmarkStart w:id="7990" w:name="_Toc3609"/>
      <w:bookmarkEnd w:id="7989"/>
      <w:r>
        <w:rPr>
          <w:rtl w:val="true"/>
        </w:rPr>
        <w:t>[ (</w:t>
      </w:r>
      <w:r>
        <w:rPr>
          <w:rtl w:val="true"/>
        </w:rPr>
        <w:t xml:space="preserve">مسألة </w:t>
      </w:r>
      <w:r>
        <w:rPr/>
        <w:t>7</w:t>
      </w:r>
      <w:r>
        <w:rPr>
          <w:rtl w:val="true"/>
        </w:rPr>
        <w:t xml:space="preserve">): </w:t>
      </w:r>
      <w:r>
        <w:rPr>
          <w:rtl w:val="true"/>
        </w:rPr>
        <w:t>لا حداد علی الأمة؛ لا من موت سیّدها و لا من موت زوجها</w:t>
      </w:r>
      <w:r>
        <w:rPr>
          <w:rtl w:val="true"/>
        </w:rPr>
        <w:t>]</w:t>
      </w:r>
      <w:bookmarkEnd w:id="79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حداد علی الأمة؛ لا من موت سیّدها و لا من موت زوجها إذا کانت مزوّجة</w:t>
      </w:r>
      <w:r>
        <w:rPr>
          <w:rFonts w:eastAsia="IRNazanin" w:cs="IRNazanin"/>
          <w:color w:val="111111"/>
          <w:sz w:val="28"/>
          <w:szCs w:val="28"/>
          <w:rtl w:val="true"/>
          <w:lang w:bidi="fa-IR"/>
        </w:rPr>
        <w:t>.</w:t>
      </w:r>
    </w:p>
    <w:p>
      <w:pPr>
        <w:pStyle w:val="Heading5"/>
        <w:numPr>
          <w:ilvl w:val="4"/>
          <w:numId w:val="1"/>
        </w:numPr>
        <w:rPr/>
      </w:pPr>
      <w:bookmarkStart w:id="7991" w:name="__RefHeading___Toc2572202_3650668749"/>
      <w:bookmarkStart w:id="7992" w:name="_Toc3610"/>
      <w:bookmarkEnd w:id="7991"/>
      <w:r>
        <w:rPr>
          <w:rtl w:val="true"/>
        </w:rPr>
        <w:t>[ (</w:t>
      </w:r>
      <w:r>
        <w:rPr>
          <w:rtl w:val="true"/>
        </w:rPr>
        <w:t xml:space="preserve">مسألة </w:t>
      </w:r>
      <w:r>
        <w:rPr/>
        <w:t>8</w:t>
      </w:r>
      <w:r>
        <w:rPr>
          <w:rtl w:val="true"/>
        </w:rPr>
        <w:t xml:space="preserve">): </w:t>
      </w:r>
      <w:r>
        <w:rPr>
          <w:rtl w:val="true"/>
        </w:rPr>
        <w:t>یجوز للمعتدّة بعدّة الوفاة أن تخرج من بیتها فی زمان عدّتها و التردّد فی حوائجها</w:t>
      </w:r>
      <w:r>
        <w:rPr>
          <w:rtl w:val="true"/>
        </w:rPr>
        <w:t>]</w:t>
      </w:r>
      <w:bookmarkEnd w:id="79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للمعتدّة بعدّة الوفاة أن تخرج من بیتها فی زمان عدّتها و التردّد فی حوائجها، خصوصاً إذا کانت ضروریة، أو کان خروجها لأُمور راجحة کالحجّ و الزیارة و عیادة المرضیٰ و زیارة أرحامها و لا سیّما والدیها، نعم ینبغی بل الأحوط أن لا تبیت إلّا فی بیتها الذی کانت تسکنه </w:t>
      </w:r>
      <w:r>
        <w:rPr>
          <w:rStyle w:val="FootnoteAnchor"/>
          <w:rtl w:val="true"/>
        </w:rPr>
        <w:footnoteReference w:id="2010"/>
      </w:r>
      <w:r>
        <w:rPr>
          <w:rFonts w:ascii="IRNazanin" w:hAnsi="IRNazanin" w:eastAsia="IRNazanin"/>
          <w:color w:val="111111"/>
          <w:sz w:val="28"/>
          <w:sz w:val="28"/>
          <w:szCs w:val="28"/>
          <w:rtl w:val="true"/>
          <w:lang w:bidi="fa-IR"/>
        </w:rPr>
        <w:t>فی حیاة زوجها؛ بأن تخرج بعد الزوال و ترجع عند العشیّ، أو تخرج بعد نصف اللیل و ترجع صباحاً</w:t>
      </w:r>
      <w:r>
        <w:rPr>
          <w:rFonts w:eastAsia="IRNazanin" w:cs="IRNazanin"/>
          <w:color w:val="111111"/>
          <w:sz w:val="28"/>
          <w:szCs w:val="28"/>
          <w:rtl w:val="true"/>
          <w:lang w:bidi="fa-IR"/>
        </w:rPr>
        <w:t>.</w:t>
      </w:r>
    </w:p>
    <w:p>
      <w:pPr>
        <w:pStyle w:val="Heading5"/>
        <w:numPr>
          <w:ilvl w:val="4"/>
          <w:numId w:val="1"/>
        </w:numPr>
        <w:rPr/>
      </w:pPr>
      <w:bookmarkStart w:id="7993" w:name="__RefHeading___Toc2572204_3650668749"/>
      <w:bookmarkStart w:id="7994" w:name="_Toc3611"/>
      <w:bookmarkEnd w:id="7993"/>
      <w:r>
        <w:rPr>
          <w:rtl w:val="true"/>
        </w:rPr>
        <w:t>[ (</w:t>
      </w:r>
      <w:r>
        <w:rPr>
          <w:rtl w:val="true"/>
        </w:rPr>
        <w:t xml:space="preserve">مسألة </w:t>
      </w:r>
      <w:r>
        <w:rPr/>
        <w:t>9</w:t>
      </w:r>
      <w:r>
        <w:rPr>
          <w:rtl w:val="true"/>
        </w:rPr>
        <w:t xml:space="preserve">): </w:t>
      </w:r>
      <w:r>
        <w:rPr>
          <w:rtl w:val="true"/>
        </w:rPr>
        <w:t>لا إشکال فی أنّ مبدأ عدّة الطلاق من حین وقوعه</w:t>
      </w:r>
      <w:r>
        <w:rPr>
          <w:rtl w:val="true"/>
        </w:rPr>
        <w:t>]</w:t>
      </w:r>
      <w:bookmarkEnd w:id="79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مبدأ عدّة الطلاق من حین وقوعه؛ حاضراً کان الزوج أو غائباً، بلغ الزوجة الخبر أم لا، فلو طلّقها غائباً و لم یبلغها إلّا بعد مدّة و لو کانت سنة أو أکثر فقد انقضت عدّتها و لیس علیها عدّة بعد بلوغ الخبر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عدّة الطلاق عدّة الفسخ و الانفساخ علی الظاهر، و کذا عدّة وطء الشبهة و إن کان الأحوط الاعتداد من حین ارتفاع الشبهة، بل هذا الاحتیاط 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عدّة الوفاة، فإذا مات غائباً، فعدّتها من حین بلوغ الخبر إلیها، و لا یبعد عدم اختصاص الحکم بصورة غیبة الزوج، بل یعمّ صورة حضوره أیضاً إذا خفی علیها موته لمرض أو حبس أو غیر ذلک، فتعتدّ من حین إخبارها بموته</w:t>
      </w:r>
      <w:r>
        <w:rPr>
          <w:rFonts w:eastAsia="IRNazanin" w:cs="IRNazanin"/>
          <w:color w:val="111111"/>
          <w:sz w:val="28"/>
          <w:szCs w:val="28"/>
          <w:rtl w:val="true"/>
          <w:lang w:bidi="fa-IR"/>
        </w:rPr>
        <w:t>.</w:t>
      </w:r>
    </w:p>
    <w:p>
      <w:pPr>
        <w:pStyle w:val="Heading5"/>
        <w:numPr>
          <w:ilvl w:val="4"/>
          <w:numId w:val="1"/>
        </w:numPr>
        <w:rPr/>
      </w:pPr>
      <w:bookmarkStart w:id="7995" w:name="__RefHeading___Toc2572206_3650668749"/>
      <w:bookmarkStart w:id="7996" w:name="_Toc3612"/>
      <w:bookmarkEnd w:id="7995"/>
      <w:r>
        <w:rPr>
          <w:rtl w:val="true"/>
        </w:rPr>
        <w:t>[ (</w:t>
      </w:r>
      <w:r>
        <w:rPr>
          <w:rtl w:val="true"/>
        </w:rPr>
        <w:t xml:space="preserve">مسألة </w:t>
      </w:r>
      <w:r>
        <w:rPr/>
        <w:t>10</w:t>
      </w:r>
      <w:r>
        <w:rPr>
          <w:rtl w:val="true"/>
        </w:rPr>
        <w:t xml:space="preserve">): </w:t>
      </w:r>
      <w:r>
        <w:rPr>
          <w:rtl w:val="true"/>
        </w:rPr>
        <w:t>لا یعتبر فی الإخبار الموجب للاعتداد من حینه، کونه حجّة شرعیّة</w:t>
      </w:r>
      <w:r>
        <w:rPr>
          <w:rtl w:val="true"/>
        </w:rPr>
        <w:t>]</w:t>
      </w:r>
      <w:bookmarkEnd w:id="7996"/>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الإخبار الموجب للاعتداد من حینه، کونه حجّة شرعیّة، فلا یعتبر أن یکون من عدلین بل و لا عدل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لها التزویج بالغیر ما لم تقم حجّة شرعیّة علیٰ موته، و لا تکتفی بمجرّد بلوغ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فائدته إذا لم یکن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ثبت موته شرعاً یکتفی بالاعتداد من حین البلوغ و لا یحتاج إلی الاعتداد من حین الثبوت</w:t>
      </w:r>
      <w:r>
        <w:rPr>
          <w:rFonts w:eastAsia="IRNazanin" w:cs="IRNazanin"/>
          <w:color w:val="111111"/>
          <w:sz w:val="28"/>
          <w:szCs w:val="28"/>
          <w:rtl w:val="true"/>
          <w:lang w:bidi="fa-IR"/>
        </w:rPr>
        <w:t>.</w:t>
      </w:r>
      <w:bookmarkStart w:id="7997" w:name="pg1809_20003"/>
    </w:p>
    <w:p>
      <w:pPr>
        <w:pStyle w:val="Heading5"/>
        <w:numPr>
          <w:ilvl w:val="4"/>
          <w:numId w:val="1"/>
        </w:numPr>
        <w:rPr/>
      </w:pPr>
      <w:bookmarkStart w:id="7998" w:name="__RefHeading___Toc2572208_3650668749"/>
      <w:bookmarkStart w:id="7999" w:name="_Toc3613"/>
      <w:bookmarkEnd w:id="7997"/>
      <w:bookmarkEnd w:id="7998"/>
      <w:r>
        <w:rPr>
          <w:rtl w:val="true"/>
        </w:rPr>
        <w:t>[ (</w:t>
      </w:r>
      <w:r>
        <w:rPr>
          <w:rtl w:val="true"/>
        </w:rPr>
        <w:t xml:space="preserve">مسألة </w:t>
      </w:r>
      <w:r>
        <w:rPr/>
        <w:t>11</w:t>
      </w:r>
      <w:r>
        <w:rPr>
          <w:rtl w:val="true"/>
        </w:rPr>
        <w:t xml:space="preserve">): </w:t>
      </w:r>
      <w:r>
        <w:rPr>
          <w:rtl w:val="true"/>
        </w:rPr>
        <w:t>لو علمت بالطلاق و لم تعلم وقت وقوعه حتّی تحسب العدّة من ذلک الوقت</w:t>
      </w:r>
      <w:r>
        <w:rPr>
          <w:rtl w:val="true"/>
        </w:rPr>
        <w:t>]</w:t>
      </w:r>
      <w:bookmarkEnd w:id="79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بالطلاق و لم تعلم وقت وقوعه حتّی تحسب العدّة من ذلک الوقت، اعتدّت من الوقت الذی تعلم بعدم تأخّره عنه، و الأحوط أن تعتدّ من حین بلوغ الخبر إلیها، بل هذا الاحتیاط لا یترک</w:t>
      </w:r>
      <w:r>
        <w:rPr>
          <w:rFonts w:eastAsia="IRNazanin" w:cs="IRNazanin"/>
          <w:color w:val="111111"/>
          <w:sz w:val="28"/>
          <w:szCs w:val="28"/>
          <w:rtl w:val="true"/>
          <w:lang w:bidi="fa-IR"/>
        </w:rPr>
        <w:t>.</w:t>
      </w:r>
    </w:p>
    <w:p>
      <w:pPr>
        <w:pStyle w:val="Heading5"/>
        <w:numPr>
          <w:ilvl w:val="4"/>
          <w:numId w:val="1"/>
        </w:numPr>
        <w:rPr/>
      </w:pPr>
      <w:bookmarkStart w:id="8000" w:name="__RefHeading___Toc2572210_3650668749"/>
      <w:bookmarkStart w:id="8001" w:name="_Toc3614"/>
      <w:bookmarkEnd w:id="8000"/>
      <w:r>
        <w:rPr>
          <w:rtl w:val="true"/>
        </w:rPr>
        <w:t>[ (</w:t>
      </w:r>
      <w:r>
        <w:rPr>
          <w:rtl w:val="true"/>
        </w:rPr>
        <w:t xml:space="preserve">مسألة </w:t>
      </w:r>
      <w:r>
        <w:rPr/>
        <w:t>12</w:t>
      </w:r>
      <w:r>
        <w:rPr>
          <w:rtl w:val="true"/>
        </w:rPr>
        <w:t xml:space="preserve">): </w:t>
      </w:r>
      <w:r>
        <w:rPr>
          <w:rtl w:val="true"/>
        </w:rPr>
        <w:t>إذا فقد الرجل و غاب غیبة منقطعة و لم یبلغ منه خبر و لا ظهر منه أثر</w:t>
      </w:r>
      <w:r>
        <w:rPr>
          <w:rtl w:val="true"/>
        </w:rPr>
        <w:t>]</w:t>
      </w:r>
      <w:bookmarkEnd w:id="80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الرجل و غاب غیبة منقطعة و لم یبلغ منه خبر و لا ظهر منه أثر و لم یعلم موته و لا حیاته، فإن بقی له مال تنفق به زوجته أو کان له ولیّ یتولّیٰ أُموره و یتصدّی لإنفاقها أو متبرّع للإنفاق علیها، وجب علیها الصبر و الانتظار، و لا یجوز لها أن تتزوّج أبداً حتّی تعلم بوفاة الزوج أو طلاقه، و إن لم یکن له مال و لا من ینفق علیها، فإن صبرت فلها ذلک، و إن لم تصبر و أرادت الزواج رفعت أمرها إلی الحاکم الشرعی فیؤجّلها أربع سنین من حین رفع الأمر إلیه، ثمّ یتفحّص عنه فی تلک المدّة، فإن لم یتبیّن لا موته و لا حیاته، فإن کان للغائب ولیّ أعنی من کان یتولّیٰ أُموره بتفویضه أو توکیله یأمره الحاکم بطلاق المرأة، و إن لم یقدم علی الطلاق أجبره الحاکم علیه، فإن لم یکن له ولیّ أو کان و لم یقدم علی الطلاق و لم یمکن إجباره علیه طلّقها الحاکم، ثمّ تعتدّ أربعة أشهر و عشراً عدّة الوفاة، فإذا تمّت هذه الأُمور جاز لها التزویج بلا إشکال، و إن کان اعتبار بعضها محلّ التأمل و النظر، إلّا أنّ الجمیع هو الأحوط</w:t>
      </w:r>
      <w:r>
        <w:rPr>
          <w:rFonts w:eastAsia="IRNazanin" w:cs="IRNazanin"/>
          <w:color w:val="111111"/>
          <w:sz w:val="28"/>
          <w:szCs w:val="28"/>
          <w:rtl w:val="true"/>
          <w:lang w:bidi="fa-IR"/>
        </w:rPr>
        <w:t>.</w:t>
      </w:r>
    </w:p>
    <w:p>
      <w:pPr>
        <w:pStyle w:val="Heading5"/>
        <w:numPr>
          <w:ilvl w:val="4"/>
          <w:numId w:val="1"/>
        </w:numPr>
        <w:rPr/>
      </w:pPr>
      <w:bookmarkStart w:id="8002" w:name="__RefHeading___Toc2572212_3650668749"/>
      <w:bookmarkStart w:id="8003" w:name="_Toc3615"/>
      <w:bookmarkEnd w:id="8002"/>
      <w:r>
        <w:rPr>
          <w:rtl w:val="true"/>
        </w:rPr>
        <w:t>[ (</w:t>
      </w:r>
      <w:r>
        <w:rPr>
          <w:rtl w:val="true"/>
        </w:rPr>
        <w:t xml:space="preserve">مسألة </w:t>
      </w:r>
      <w:r>
        <w:rPr/>
        <w:t>13</w:t>
      </w:r>
      <w:r>
        <w:rPr>
          <w:rtl w:val="true"/>
        </w:rPr>
        <w:t xml:space="preserve">): </w:t>
      </w:r>
      <w:r>
        <w:rPr>
          <w:rtl w:val="true"/>
        </w:rPr>
        <w:t>لیست للفحص و الطلب کیفیّة خاصّة</w:t>
      </w:r>
      <w:r>
        <w:rPr>
          <w:rtl w:val="true"/>
        </w:rPr>
        <w:t>]</w:t>
      </w:r>
      <w:bookmarkEnd w:id="80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للفحص و الطلب کیفیّة خاصّة، بل المدار ما یعدّ طلباً و فحصاً و تفتیشاً، و یتحقّق ذلک ببعث من یعرف المفقود رعایة باسمه و شخصه أو بحلیته إلیٰ مظانّ وجوده للظفر به، و بالکتابة و نحوها کالتلغراف المتداول فی هذه الأعصار إلیٰ من یعرفه لیتفقّد عنه فی بلده، و بالالتماس من المسافرین کالزوّار و الحجّاج و التجّار و غیرهم؛ بأن یتفقّدوا عنه فی مسیرهم و منازلهم و مقامهم و بالاستخبار منهم إذا رجعوا من أسفارهم</w:t>
      </w:r>
      <w:r>
        <w:rPr>
          <w:rFonts w:eastAsia="IRNazanin" w:cs="IRNazanin"/>
          <w:color w:val="111111"/>
          <w:sz w:val="28"/>
          <w:szCs w:val="28"/>
          <w:rtl w:val="true"/>
          <w:lang w:bidi="fa-IR"/>
        </w:rPr>
        <w:t>.</w:t>
      </w:r>
    </w:p>
    <w:p>
      <w:pPr>
        <w:pStyle w:val="Heading5"/>
        <w:numPr>
          <w:ilvl w:val="4"/>
          <w:numId w:val="1"/>
        </w:numPr>
        <w:rPr/>
      </w:pPr>
      <w:bookmarkStart w:id="8004" w:name="__RefHeading___Toc2572214_3650668749"/>
      <w:bookmarkStart w:id="8005" w:name="_Toc3616"/>
      <w:bookmarkEnd w:id="8004"/>
      <w:r>
        <w:rPr>
          <w:rtl w:val="true"/>
        </w:rPr>
        <w:t>[ (</w:t>
      </w:r>
      <w:r>
        <w:rPr>
          <w:rtl w:val="true"/>
        </w:rPr>
        <w:t xml:space="preserve">مسألة </w:t>
      </w:r>
      <w:r>
        <w:rPr/>
        <w:t>14</w:t>
      </w:r>
      <w:r>
        <w:rPr>
          <w:rtl w:val="true"/>
        </w:rPr>
        <w:t xml:space="preserve">): </w:t>
      </w:r>
      <w:r>
        <w:rPr>
          <w:rtl w:val="true"/>
        </w:rPr>
        <w:t>لا یشترط فی المبعوث و المکتوب إلیه و المستخبرین منهم من المسافرین العدالة</w:t>
      </w:r>
      <w:r>
        <w:rPr>
          <w:rtl w:val="true"/>
        </w:rPr>
        <w:t>]</w:t>
      </w:r>
      <w:bookmarkEnd w:id="80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المبعوث و المکتوب إلیه و المستخبرین منهم من المسافرین العدالة، بل تکفی الوثاقة</w:t>
      </w:r>
      <w:r>
        <w:rPr>
          <w:rFonts w:eastAsia="IRNazanin" w:cs="IRNazanin"/>
          <w:color w:val="111111"/>
          <w:sz w:val="28"/>
          <w:szCs w:val="28"/>
          <w:rtl w:val="true"/>
          <w:lang w:bidi="fa-IR"/>
        </w:rPr>
        <w:t>.</w:t>
      </w:r>
    </w:p>
    <w:p>
      <w:pPr>
        <w:pStyle w:val="Heading5"/>
        <w:numPr>
          <w:ilvl w:val="4"/>
          <w:numId w:val="1"/>
        </w:numPr>
        <w:rPr/>
      </w:pPr>
      <w:bookmarkStart w:id="8006" w:name="__RefHeading___Toc2572216_3650668749"/>
      <w:bookmarkStart w:id="8007" w:name="_Toc3617"/>
      <w:bookmarkEnd w:id="8006"/>
      <w:r>
        <w:rPr>
          <w:rtl w:val="true"/>
        </w:rPr>
        <w:t>[ (</w:t>
      </w:r>
      <w:r>
        <w:rPr>
          <w:rtl w:val="true"/>
        </w:rPr>
        <w:t xml:space="preserve">مسألة </w:t>
      </w:r>
      <w:r>
        <w:rPr/>
        <w:t>15</w:t>
      </w:r>
      <w:r>
        <w:rPr>
          <w:rtl w:val="true"/>
        </w:rPr>
        <w:t xml:space="preserve">): </w:t>
      </w:r>
      <w:r>
        <w:rPr>
          <w:rtl w:val="true"/>
        </w:rPr>
        <w:t>لا یعتبر أن یکون الفحص بالبعث أو الکتابة و نحوها من الحاکم</w:t>
      </w:r>
      <w:r>
        <w:rPr>
          <w:rtl w:val="true"/>
        </w:rPr>
        <w:t>]</w:t>
      </w:r>
      <w:bookmarkEnd w:id="8007"/>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أن یکون الفحص بالبعث أو الکتابة و نحوها من الحاکم، بل یکفی کونه من کلّ أحد حتّی نفس الزوجة إذا کان بأمره بعد رفع الأمر إلیه، فإذا رفعت أمرها إلیه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تفحّصوا عنه إلیٰ أن تمضی 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تصدّت الزوجة أو تصدّی بعض أقاربها للفحص و الطلب حتّی مضت المدّة کفیٰ</w:t>
      </w:r>
      <w:r>
        <w:rPr>
          <w:rFonts w:eastAsia="IRNazanin" w:cs="IRNazanin"/>
          <w:color w:val="111111"/>
          <w:sz w:val="28"/>
          <w:szCs w:val="28"/>
          <w:rtl w:val="true"/>
          <w:lang w:bidi="fa-IR"/>
        </w:rPr>
        <w:t>.</w:t>
      </w:r>
      <w:bookmarkStart w:id="8008" w:name="pg1809_20004"/>
    </w:p>
    <w:p>
      <w:pPr>
        <w:pStyle w:val="Heading5"/>
        <w:numPr>
          <w:ilvl w:val="4"/>
          <w:numId w:val="1"/>
        </w:numPr>
        <w:rPr/>
      </w:pPr>
      <w:bookmarkStart w:id="8009" w:name="__RefHeading___Toc2572218_3650668749"/>
      <w:bookmarkStart w:id="8010" w:name="_Toc3618"/>
      <w:bookmarkEnd w:id="8008"/>
      <w:bookmarkEnd w:id="8009"/>
      <w:r>
        <w:rPr>
          <w:rtl w:val="true"/>
        </w:rPr>
        <w:t>[ (</w:t>
      </w:r>
      <w:r>
        <w:rPr>
          <w:rtl w:val="true"/>
        </w:rPr>
        <w:t xml:space="preserve">مسألة </w:t>
      </w:r>
      <w:r>
        <w:rPr/>
        <w:t>16</w:t>
      </w:r>
      <w:r>
        <w:rPr>
          <w:rtl w:val="true"/>
        </w:rPr>
        <w:t xml:space="preserve">): </w:t>
      </w:r>
      <w:r>
        <w:rPr>
          <w:rtl w:val="true"/>
        </w:rPr>
        <w:t>مقدار الفحص بحسب الزمان أربعة أعوام</w:t>
      </w:r>
      <w:r>
        <w:rPr>
          <w:rtl w:val="true"/>
        </w:rPr>
        <w:t>]</w:t>
      </w:r>
      <w:bookmarkEnd w:id="80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الفحص بحسب الزمان أربعة أعوام، و لا یعتبر فیه الاتّصال التامّ بل هو علی الظاهر نظیر تعریف اللقطة سنة کاملة؛ یکفی فیه تصدّی الطلب عنه؛ بحیث یصدق عرفاً أنّه قد تفحّص عنه فی تلک المدّة</w:t>
      </w:r>
      <w:r>
        <w:rPr>
          <w:rFonts w:eastAsia="IRNazanin" w:cs="IRNazanin"/>
          <w:color w:val="111111"/>
          <w:sz w:val="28"/>
          <w:szCs w:val="28"/>
          <w:rtl w:val="true"/>
          <w:lang w:bidi="fa-IR"/>
        </w:rPr>
        <w:t>.</w:t>
      </w:r>
    </w:p>
    <w:p>
      <w:pPr>
        <w:pStyle w:val="Heading5"/>
        <w:numPr>
          <w:ilvl w:val="4"/>
          <w:numId w:val="1"/>
        </w:numPr>
        <w:rPr/>
      </w:pPr>
      <w:bookmarkStart w:id="8011" w:name="__RefHeading___Toc2572220_3650668749"/>
      <w:bookmarkStart w:id="8012" w:name="_Toc3619"/>
      <w:bookmarkEnd w:id="8011"/>
      <w:r>
        <w:rPr>
          <w:rtl w:val="true"/>
        </w:rPr>
        <w:t>[ (</w:t>
      </w:r>
      <w:r>
        <w:rPr>
          <w:rtl w:val="true"/>
        </w:rPr>
        <w:t xml:space="preserve">مسألة </w:t>
      </w:r>
      <w:r>
        <w:rPr/>
        <w:t>17</w:t>
      </w:r>
      <w:r>
        <w:rPr>
          <w:rtl w:val="true"/>
        </w:rPr>
        <w:t xml:space="preserve">): </w:t>
      </w:r>
      <w:r>
        <w:rPr>
          <w:rtl w:val="true"/>
        </w:rPr>
        <w:t>المقدار اللازم من الفحص هو المتعارف لأمثال ذلک</w:t>
      </w:r>
      <w:r>
        <w:rPr>
          <w:rtl w:val="true"/>
        </w:rPr>
        <w:t>]</w:t>
      </w:r>
      <w:bookmarkEnd w:id="80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المقدار اللازم من الفحص هو المتعارف لأمثال ذلک و ما هو المعتاد، فلا یعتبر استقصاء الممالک و البلاد، و لا یعتنیٰ بمجرّد إمکان وصوله إلیٰ مکان و لا بالاحتمالات البعیدة، بل إنّما یتفحّص عنه فی مظانّ وجوده فیه و وصوله إلیه، و ما احتمل فیه ذلک احتمالًا قریباً</w:t>
      </w:r>
      <w:r>
        <w:rPr>
          <w:rFonts w:eastAsia="IRNazanin" w:cs="IRNazanin"/>
          <w:color w:val="111111"/>
          <w:sz w:val="28"/>
          <w:szCs w:val="28"/>
          <w:rtl w:val="true"/>
          <w:lang w:bidi="fa-IR"/>
        </w:rPr>
        <w:t>.</w:t>
      </w:r>
    </w:p>
    <w:p>
      <w:pPr>
        <w:pStyle w:val="Heading5"/>
        <w:numPr>
          <w:ilvl w:val="4"/>
          <w:numId w:val="1"/>
        </w:numPr>
        <w:rPr/>
      </w:pPr>
      <w:bookmarkStart w:id="8013" w:name="__RefHeading___Toc2572222_3650668749"/>
      <w:bookmarkStart w:id="8014" w:name="_Toc3620"/>
      <w:bookmarkEnd w:id="8013"/>
      <w:r>
        <w:rPr>
          <w:rtl w:val="true"/>
        </w:rPr>
        <w:t>[ (</w:t>
      </w:r>
      <w:r>
        <w:rPr>
          <w:rtl w:val="true"/>
        </w:rPr>
        <w:t xml:space="preserve">مسألة </w:t>
      </w:r>
      <w:r>
        <w:rPr/>
        <w:t>18</w:t>
      </w:r>
      <w:r>
        <w:rPr>
          <w:rtl w:val="true"/>
        </w:rPr>
        <w:t xml:space="preserve">): </w:t>
      </w:r>
      <w:r>
        <w:rPr>
          <w:rtl w:val="true"/>
        </w:rPr>
        <w:t>إذا علم أنّه قد کان فی بلد معیّن فی زمان ثمّ انقطع أثره، یتفحّص عنه أوّلًا</w:t>
      </w:r>
      <w:r>
        <w:rPr>
          <w:rtl w:val="true"/>
        </w:rPr>
        <w:t>]</w:t>
      </w:r>
      <w:bookmarkEnd w:id="8014"/>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قد کان فی بلد معیّن فی زمان ثمّ انقطع أثره، یتفحّص عنه أوّلًا فی ذلک البلد علی المعتاد، فیکتفی التفقّد عنه فی جوامعه و مجامعه و أسواقه و متنزّهاته و مستشفیاته و خاناته المعدّة لنزول الغرباء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استقصاء تلک المحالّ بالتفتیش أو السؤال، بل یکفی الاکتفاء بالبعض المعتدّ به من مشتهراتها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ملاحظة زیّ المفقود و صنعته و حرفته فیتفقّد عنه فی المحالّ المناسبة له و یسأل عنه من أبناء صنفه و حرفته؛ مثلًا إذا کان من طلبة العلم فالمحلّ المناسب له المدارس و مجامع العلم و ینبغی أن یسأل عنه من العلماء و الطلبة، بخلاف ما إذا کان من غیرهم کما إذا کان جندیّا مثلًا، فإذا تمّ الفحص فی ذلک البلد و لم یظهر منه أثر و لم یعلم موته و لا حیاته، فإن لم یحتمل انتقاله منه إلیٰ محلّ آخر بقرائن الأحوال، سقط الفحص و السؤال، و اکتفیٰ بانقضاء مدّة التربّص أربع سنین، و إن احتمل الانتقال، فإن تساوت الجهات فی احتمال انتقاله منه إلیها تفحّص عنه فی تلک الجهات و لا یلزم الاستقصاء بالتفتیش فی کلّ قریة قریة و لا فی کلّ بلدة بلدة، بل یکفی الاکتفاء ببعض المحالّ المهمّة و المشتهرة فی کلّ جهة؛ مراعیاً للأقرب ثمّ الأبعد إلی البلد الأوّل، و إن کان الاحتمال فی بعضها أقوی جاز جعل محلّ الفحص ذلک البعض و الاکتفاء به، خصوصاً إذا بعد احتمال انتقاله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علم أنّه قد کان فی مملکة کالهند أو إیران أو العراق أو سافر إلیها ثمّ انقطع أثره کفیٰ أن یتفحّص عنه مدّة التربّص فی بلادها المشهورة التی تشدّ إلیها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سافر إلیٰ بلد معیّن من مملکة کالعراقی سافر إلیٰ خراسان، یکفی الفحص عنه فی البلاد و المنازل الواقعة فی طریقه إلیٰ ذلک البلد و فی نفس ذلک البلد، و لا ینظر إلی الأماکن البعیدة عن الطریق، فضلًا</w:t>
      </w:r>
      <w:bookmarkStart w:id="8015" w:name="pg1809_20005"/>
    </w:p>
    <w:p>
      <w:pPr>
        <w:pStyle w:val="BookText"/>
        <w:rPr/>
      </w:pPr>
      <w:bookmarkEnd w:id="8015"/>
      <w:r>
        <w:rPr>
          <w:rFonts w:ascii="IRNazanin" w:hAnsi="IRNazanin" w:eastAsia="IRNazanin"/>
          <w:color w:val="111111"/>
          <w:sz w:val="28"/>
          <w:sz w:val="28"/>
          <w:szCs w:val="28"/>
          <w:rtl w:val="true"/>
          <w:lang w:bidi="fa-IR"/>
        </w:rPr>
        <w:t>عن البلاد الواقعة فی أطراف المملکة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خرج من منزله مریداً للسفر أو هرب و لا یدری إلیٰ أین توجّه و انقطع أثره، تفحّص عنه مدّة التربّص فی الأطراف و الجوانب ممّا یحتمل قریباً وصوله إلیه، و لا ینظر إلیٰ ما بعد احتمال توجّهه إلیه</w:t>
      </w:r>
      <w:r>
        <w:rPr>
          <w:rFonts w:eastAsia="IRNazanin" w:cs="IRNazanin"/>
          <w:color w:val="111111"/>
          <w:sz w:val="28"/>
          <w:szCs w:val="28"/>
          <w:rtl w:val="true"/>
          <w:lang w:bidi="fa-IR"/>
        </w:rPr>
        <w:t>.</w:t>
      </w:r>
    </w:p>
    <w:p>
      <w:pPr>
        <w:pStyle w:val="Heading5"/>
        <w:numPr>
          <w:ilvl w:val="4"/>
          <w:numId w:val="1"/>
        </w:numPr>
        <w:rPr/>
      </w:pPr>
      <w:bookmarkStart w:id="8016" w:name="__RefHeading___Toc2572224_3650668749"/>
      <w:bookmarkStart w:id="8017" w:name="_Toc3621"/>
      <w:bookmarkEnd w:id="8016"/>
      <w:r>
        <w:rPr>
          <w:rtl w:val="true"/>
        </w:rPr>
        <w:t>[ (</w:t>
      </w:r>
      <w:r>
        <w:rPr>
          <w:rtl w:val="true"/>
        </w:rPr>
        <w:t xml:space="preserve">مسألة </w:t>
      </w:r>
      <w:r>
        <w:rPr/>
        <w:t>19</w:t>
      </w:r>
      <w:r>
        <w:rPr>
          <w:rtl w:val="true"/>
        </w:rPr>
        <w:t xml:space="preserve">): </w:t>
      </w:r>
      <w:r>
        <w:rPr>
          <w:rtl w:val="true"/>
        </w:rPr>
        <w:t>قد عرفت أنّ الأحوط أن یکون الفحص و الطلاق بعد رفع أمرها إلی الحاکم</w:t>
      </w:r>
      <w:r>
        <w:rPr>
          <w:rtl w:val="true"/>
        </w:rPr>
        <w:t>]</w:t>
      </w:r>
      <w:bookmarkEnd w:id="80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الأحوط أن یکون الفحص و الطلاق بعد رفع أمرها إلی الحاکم، فإذا لم یمکن الوصول إلیه، فإن کان للحاکم وکیل و مأذون فی التصدّی للأُمور الحسبیّة فلا یبعد قیامه مقامه فی هذا الأمر و مع عدمه فالظاهر قیام عدول </w:t>
      </w:r>
      <w:r>
        <w:rPr>
          <w:rStyle w:val="FootnoteAnchor"/>
          <w:rtl w:val="true"/>
        </w:rPr>
        <w:footnoteReference w:id="2011"/>
      </w:r>
      <w:r>
        <w:rPr>
          <w:rFonts w:ascii="IRNazanin" w:hAnsi="IRNazanin" w:eastAsia="IRNazanin"/>
          <w:color w:val="111111"/>
          <w:sz w:val="28"/>
          <w:sz w:val="28"/>
          <w:szCs w:val="28"/>
          <w:rtl w:val="true"/>
          <w:lang w:bidi="fa-IR"/>
        </w:rPr>
        <w:t>المؤمنین مقامه</w:t>
      </w:r>
      <w:r>
        <w:rPr>
          <w:rFonts w:eastAsia="IRNazanin" w:cs="IRNazanin"/>
          <w:color w:val="111111"/>
          <w:sz w:val="28"/>
          <w:szCs w:val="28"/>
          <w:rtl w:val="true"/>
          <w:lang w:bidi="fa-IR"/>
        </w:rPr>
        <w:t>.</w:t>
      </w:r>
    </w:p>
    <w:p>
      <w:pPr>
        <w:pStyle w:val="Heading5"/>
        <w:numPr>
          <w:ilvl w:val="4"/>
          <w:numId w:val="1"/>
        </w:numPr>
        <w:rPr/>
      </w:pPr>
      <w:bookmarkStart w:id="8018" w:name="__RefHeading___Toc2572226_3650668749"/>
      <w:bookmarkStart w:id="8019" w:name="_Toc3622"/>
      <w:bookmarkEnd w:id="8018"/>
      <w:r>
        <w:rPr>
          <w:rtl w:val="true"/>
        </w:rPr>
        <w:t>[ (</w:t>
      </w:r>
      <w:r>
        <w:rPr>
          <w:rtl w:val="true"/>
        </w:rPr>
        <w:t xml:space="preserve">مسألة </w:t>
      </w:r>
      <w:r>
        <w:rPr/>
        <w:t>20</w:t>
      </w:r>
      <w:r>
        <w:rPr>
          <w:rtl w:val="true"/>
        </w:rPr>
        <w:t xml:space="preserve">): </w:t>
      </w:r>
      <w:r>
        <w:rPr>
          <w:rtl w:val="true"/>
        </w:rPr>
        <w:t>إذا علم أنّ الفحص لا ینفع و لا یترتّب علیه أثر، فالظاهر سقوط وجوبه</w:t>
      </w:r>
      <w:r>
        <w:rPr>
          <w:rtl w:val="true"/>
        </w:rPr>
        <w:t>]</w:t>
      </w:r>
      <w:bookmarkEnd w:id="80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الفحص لا ینفع و لا یترتّب علیه أثر، فالظاهر سقوط وجوبه، و کذا لو حصل الیأس من الاطّلاع علیٰ حاله فی أثناء المدّة، فیکفی مضیّ المدّة فی جواز طلاقها و زواجها</w:t>
      </w:r>
      <w:r>
        <w:rPr>
          <w:rFonts w:eastAsia="IRNazanin" w:cs="IRNazanin"/>
          <w:color w:val="111111"/>
          <w:sz w:val="28"/>
          <w:szCs w:val="28"/>
          <w:rtl w:val="true"/>
          <w:lang w:bidi="fa-IR"/>
        </w:rPr>
        <w:t>.</w:t>
      </w:r>
    </w:p>
    <w:p>
      <w:pPr>
        <w:pStyle w:val="Heading5"/>
        <w:numPr>
          <w:ilvl w:val="4"/>
          <w:numId w:val="1"/>
        </w:numPr>
        <w:rPr/>
      </w:pPr>
      <w:bookmarkStart w:id="8020" w:name="__RefHeading___Toc2572228_3650668749"/>
      <w:bookmarkStart w:id="8021" w:name="_Toc3623"/>
      <w:bookmarkEnd w:id="8020"/>
      <w:r>
        <w:rPr>
          <w:rtl w:val="true"/>
        </w:rPr>
        <w:t>[ (</w:t>
      </w:r>
      <w:r>
        <w:rPr>
          <w:rtl w:val="true"/>
        </w:rPr>
        <w:t xml:space="preserve">مسألة </w:t>
      </w:r>
      <w:r>
        <w:rPr/>
        <w:t>21</w:t>
      </w:r>
      <w:r>
        <w:rPr>
          <w:rtl w:val="true"/>
        </w:rPr>
        <w:t xml:space="preserve">): </w:t>
      </w:r>
      <w:r>
        <w:rPr>
          <w:rtl w:val="true"/>
        </w:rPr>
        <w:t>یجوز لها اختیار البقاء علی الزوجیّة بعد رفع الأمر إلی الحاکم قبل أن تطلّق</w:t>
      </w:r>
      <w:r>
        <w:rPr>
          <w:rtl w:val="true"/>
        </w:rPr>
        <w:t>]</w:t>
      </w:r>
      <w:bookmarkEnd w:id="80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لها اختیار البقاء علی الزوجیّة بعد رفع الأمر إلی الحاکم قبل أن تطلّق و لو بعد تحقّق الفحص و انقضاء الأجل، فلیست هی ملزَمة باختیار الطلاق، و لها أن تعدل عن اختیار البقاء إلی اختیار الطلاق، و حینئذٍ لا یلزم تجدید ضرب الأجل و الفحص بل یکتفیٰ بالأوّل</w:t>
      </w:r>
      <w:r>
        <w:rPr>
          <w:rFonts w:eastAsia="IRNazanin" w:cs="IRNazanin"/>
          <w:color w:val="111111"/>
          <w:sz w:val="28"/>
          <w:szCs w:val="28"/>
          <w:rtl w:val="true"/>
          <w:lang w:bidi="fa-IR"/>
        </w:rPr>
        <w:t>.</w:t>
      </w:r>
    </w:p>
    <w:p>
      <w:pPr>
        <w:pStyle w:val="Heading5"/>
        <w:numPr>
          <w:ilvl w:val="4"/>
          <w:numId w:val="1"/>
        </w:numPr>
        <w:rPr/>
      </w:pPr>
      <w:bookmarkStart w:id="8022" w:name="__RefHeading___Toc2572230_3650668749"/>
      <w:bookmarkStart w:id="8023" w:name="_Toc3624"/>
      <w:bookmarkEnd w:id="8022"/>
      <w:r>
        <w:rPr>
          <w:rtl w:val="true"/>
        </w:rPr>
        <w:t>[ (</w:t>
      </w:r>
      <w:r>
        <w:rPr>
          <w:rtl w:val="true"/>
        </w:rPr>
        <w:t xml:space="preserve">مسألة </w:t>
      </w:r>
      <w:r>
        <w:rPr/>
        <w:t>22</w:t>
      </w:r>
      <w:r>
        <w:rPr>
          <w:rtl w:val="true"/>
        </w:rPr>
        <w:t xml:space="preserve">): </w:t>
      </w:r>
      <w:r>
        <w:rPr>
          <w:rtl w:val="true"/>
        </w:rPr>
        <w:t>الظاهر أنّ العدّة الواقعة بعد الطلاق عدّة طلاق</w:t>
      </w:r>
      <w:r>
        <w:rPr>
          <w:rtl w:val="true"/>
        </w:rPr>
        <w:t>]</w:t>
      </w:r>
      <w:bookmarkEnd w:id="80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العدّة الواقعة بعد الطلاق عدّة طلاق؛ و إن کانت بقدر عدّة الوفاة أربعة أشهر و عشراً و یکون الطلاق رجعیّاً، فتستحقّ النفقة فی أیّامها و إذا ماتت یرثها لو کان فی الواقع حیّاً، و إذا تبیّن موته فیها ترثه و لیس علیها حداد بعد الطلاق</w:t>
      </w:r>
      <w:r>
        <w:rPr>
          <w:rFonts w:eastAsia="IRNazanin" w:cs="IRNazanin"/>
          <w:color w:val="111111"/>
          <w:sz w:val="28"/>
          <w:szCs w:val="28"/>
          <w:rtl w:val="true"/>
          <w:lang w:bidi="fa-IR"/>
        </w:rPr>
        <w:t>.</w:t>
      </w:r>
    </w:p>
    <w:p>
      <w:pPr>
        <w:pStyle w:val="Heading5"/>
        <w:numPr>
          <w:ilvl w:val="4"/>
          <w:numId w:val="1"/>
        </w:numPr>
        <w:rPr/>
      </w:pPr>
      <w:bookmarkStart w:id="8024" w:name="__RefHeading___Toc2572232_3650668749"/>
      <w:bookmarkStart w:id="8025" w:name="_Toc3625"/>
      <w:bookmarkEnd w:id="8024"/>
      <w:r>
        <w:rPr>
          <w:rtl w:val="true"/>
        </w:rPr>
        <w:t>[ (</w:t>
      </w:r>
      <w:r>
        <w:rPr>
          <w:rtl w:val="true"/>
        </w:rPr>
        <w:t xml:space="preserve">مسألة </w:t>
      </w:r>
      <w:r>
        <w:rPr/>
        <w:t>23</w:t>
      </w:r>
      <w:r>
        <w:rPr>
          <w:rtl w:val="true"/>
        </w:rPr>
        <w:t xml:space="preserve">): </w:t>
      </w:r>
      <w:r>
        <w:rPr>
          <w:rtl w:val="true"/>
        </w:rPr>
        <w:t>إذا تبیّن موته قبل انقضاء المدّة أو بعده قبل الطلاق، وجب علیها عدّة الوفاة</w:t>
      </w:r>
      <w:r>
        <w:rPr>
          <w:rtl w:val="true"/>
        </w:rPr>
        <w:t>]</w:t>
      </w:r>
      <w:bookmarkEnd w:id="80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موته قبل انقضاء المدّة أو بعده قبل الطلاق، وجب علیها عدّة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تبیّن بعد انقضاء العدّة اکتفی بها؛ سواء کان التبیّن قبل التزویج أو بعده، و سواء کان موته المتبیّن وقع قبل العدّة أو بعدها أو فی أثنائها أو بعد التزویج، و أمّا لو تبیّن موته فی أثناء العدّة، فهل یکتفی بإتمامها أو تستأنف عدّة الوفاة من حین التبیّن؟ وجهان بل قولان، أحوطهما الثانی لو لم یکن الأقویٰ</w:t>
      </w:r>
      <w:r>
        <w:rPr>
          <w:rFonts w:eastAsia="IRNazanin" w:cs="IRNazanin"/>
          <w:color w:val="111111"/>
          <w:sz w:val="28"/>
          <w:szCs w:val="28"/>
          <w:rtl w:val="true"/>
          <w:lang w:bidi="fa-IR"/>
        </w:rPr>
        <w:t>.</w:t>
      </w:r>
    </w:p>
    <w:p>
      <w:pPr>
        <w:pStyle w:val="Heading5"/>
        <w:numPr>
          <w:ilvl w:val="4"/>
          <w:numId w:val="1"/>
        </w:numPr>
        <w:rPr/>
      </w:pPr>
      <w:bookmarkStart w:id="8026" w:name="__RefHeading___Toc2572234_3650668749"/>
      <w:bookmarkStart w:id="8027" w:name="_Toc3626"/>
      <w:bookmarkEnd w:id="8026"/>
      <w:r>
        <w:rPr>
          <w:rtl w:val="true"/>
        </w:rPr>
        <w:t>[ (</w:t>
      </w:r>
      <w:r>
        <w:rPr>
          <w:rtl w:val="true"/>
        </w:rPr>
        <w:t xml:space="preserve">مسألة </w:t>
      </w:r>
      <w:r>
        <w:rPr/>
        <w:t>24</w:t>
      </w:r>
      <w:r>
        <w:rPr>
          <w:rtl w:val="true"/>
        </w:rPr>
        <w:t xml:space="preserve">): </w:t>
      </w:r>
      <w:r>
        <w:rPr>
          <w:rtl w:val="true"/>
        </w:rPr>
        <w:t>إذا جاء الزوج بعد الفحص و انقضاء الأجل، فإن کان قبل الطلاق فهی زوجته</w:t>
      </w:r>
      <w:r>
        <w:rPr>
          <w:rtl w:val="true"/>
        </w:rPr>
        <w:t>]</w:t>
      </w:r>
      <w:bookmarkEnd w:id="8027"/>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الزوج بعد الفحص و انقضاء الأجل، فإن کان قبل الطلاق فهی زوجته، و إن کان بعد ما تزوّجت بالغیر فلا سبیل له علیها، و إن کان فی أثناء العدّة فله</w:t>
      </w:r>
      <w:bookmarkStart w:id="8028" w:name="pg1809_20006"/>
    </w:p>
    <w:p>
      <w:pPr>
        <w:pStyle w:val="BookText"/>
        <w:rPr/>
      </w:pPr>
      <w:bookmarkEnd w:id="8028"/>
      <w:r>
        <w:rPr>
          <w:rFonts w:ascii="IRNazanin" w:hAnsi="IRNazanin" w:eastAsia="IRNazanin"/>
          <w:color w:val="111111"/>
          <w:sz w:val="28"/>
          <w:sz w:val="28"/>
          <w:szCs w:val="28"/>
          <w:rtl w:val="true"/>
          <w:lang w:bidi="fa-IR"/>
        </w:rPr>
        <w:t>الرجوع إلیها کما أنّ له إبقاؤها علیٰ حالها حتّی تنقضی عدّتها و تبین عنه، و أمّا إن کان بعد انقضاء العدّة و قبل التزویج ففی جواز رجوعها إلیها و عدمه قولان، أقواهما الثانی</w:t>
      </w:r>
      <w:r>
        <w:rPr>
          <w:rFonts w:eastAsia="IRNazanin" w:cs="IRNazanin"/>
          <w:color w:val="111111"/>
          <w:sz w:val="28"/>
          <w:szCs w:val="28"/>
          <w:rtl w:val="true"/>
          <w:lang w:bidi="fa-IR"/>
        </w:rPr>
        <w:t>.</w:t>
      </w:r>
    </w:p>
    <w:p>
      <w:pPr>
        <w:pStyle w:val="Heading5"/>
        <w:numPr>
          <w:ilvl w:val="4"/>
          <w:numId w:val="1"/>
        </w:numPr>
        <w:rPr/>
      </w:pPr>
      <w:bookmarkStart w:id="8029" w:name="__RefHeading___Toc2572236_3650668749"/>
      <w:bookmarkStart w:id="8030" w:name="_Toc3627"/>
      <w:bookmarkEnd w:id="8029"/>
      <w:r>
        <w:rPr>
          <w:rtl w:val="true"/>
        </w:rPr>
        <w:t>[ (</w:t>
      </w:r>
      <w:r>
        <w:rPr>
          <w:rtl w:val="true"/>
        </w:rPr>
        <w:t xml:space="preserve">مسألة </w:t>
      </w:r>
      <w:r>
        <w:rPr/>
        <w:t>25</w:t>
      </w:r>
      <w:r>
        <w:rPr>
          <w:rtl w:val="true"/>
        </w:rPr>
        <w:t xml:space="preserve">): </w:t>
      </w:r>
      <w:r>
        <w:rPr>
          <w:rtl w:val="true"/>
        </w:rPr>
        <w:t>إذا حصل لزوجة الغائب بسبب القرائن و تراکم الأمارات العلم بموته</w:t>
      </w:r>
      <w:r>
        <w:rPr>
          <w:rtl w:val="true"/>
        </w:rPr>
        <w:t>]</w:t>
      </w:r>
      <w:bookmarkEnd w:id="80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لزوجة الغائب بسبب القرائن و تراکم الأمارات العلم بموته، جاز لها بینها و بین اللّٰه أن تتزوّج بعد العدّة من دون حاجة إلیٰ مراجعة الحاکم، و لیس لأحد علیها اعتراض ما لم یعلم کذبها فی دعوی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جواز الاکتفاء بقولها و اعتقادها لمن أراد تزویجها و کذا لمن یصیر وکیلًا عنها فی إیقاع العقد علیها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أن تتزوّج ممّن لم یطّلع بالحال و لم یدر أنّ زوجها قد فقد، و لم یکن فی البین إلّا دعواها بأنّها عالمة بموته، بل یقدم علیٰ تزویجها مستنداً إلیٰ دعواها أنّها خلیّة و بلا مانع، و کذلک توکّل من کان کذلک</w:t>
      </w:r>
      <w:r>
        <w:rPr>
          <w:rFonts w:eastAsia="IRNazanin" w:cs="IRNazanin"/>
          <w:color w:val="111111"/>
          <w:sz w:val="28"/>
          <w:szCs w:val="28"/>
          <w:rtl w:val="true"/>
          <w:lang w:bidi="fa-IR"/>
        </w:rPr>
        <w:t>.</w:t>
      </w:r>
    </w:p>
    <w:p>
      <w:pPr>
        <w:pStyle w:val="Heading4"/>
        <w:numPr>
          <w:ilvl w:val="3"/>
          <w:numId w:val="1"/>
        </w:numPr>
        <w:rPr/>
      </w:pPr>
      <w:bookmarkStart w:id="8031" w:name="__RefHeading___Toc2572238_3650668749"/>
      <w:bookmarkStart w:id="8032" w:name="_Toc3628"/>
      <w:bookmarkEnd w:id="8031"/>
      <w:r>
        <w:rPr>
          <w:rtl w:val="true"/>
        </w:rPr>
        <w:t>[</w:t>
      </w:r>
      <w:r>
        <w:rPr>
          <w:rtl w:val="true"/>
        </w:rPr>
        <w:t>القول فی عدّة وطء الشبهة</w:t>
      </w:r>
      <w:r>
        <w:rPr>
          <w:rtl w:val="true"/>
        </w:rPr>
        <w:t>]</w:t>
      </w:r>
      <w:bookmarkEnd w:id="8032"/>
    </w:p>
    <w:p>
      <w:pPr>
        <w:pStyle w:val="Heading5"/>
        <w:numPr>
          <w:ilvl w:val="4"/>
          <w:numId w:val="1"/>
        </w:numPr>
        <w:rPr/>
      </w:pPr>
      <w:bookmarkStart w:id="8033" w:name="__RefHeading___Toc2572240_3650668749"/>
      <w:bookmarkStart w:id="8034" w:name="_Toc3629"/>
      <w:bookmarkEnd w:id="8033"/>
      <w:r>
        <w:rPr>
          <w:rtl w:val="true"/>
        </w:rPr>
        <w:t>اشارة</w:t>
      </w:r>
      <w:bookmarkEnd w:id="8034"/>
    </w:p>
    <w:p>
      <w:pPr>
        <w:pStyle w:val="BookText"/>
        <w:rPr/>
      </w:pPr>
      <w:r>
        <w:rPr>
          <w:rFonts w:ascii="IRNazanin" w:hAnsi="IRNazanin" w:eastAsia="IRNazanin"/>
          <w:color w:val="111111"/>
          <w:sz w:val="28"/>
          <w:sz w:val="28"/>
          <w:szCs w:val="28"/>
          <w:rtl w:val="true"/>
          <w:lang w:bidi="fa-IR"/>
        </w:rPr>
        <w:t>القول فی عدّة وطء الشبهة و المراد به وطء الأجنبیّة بشبهة أنّها حلیلته؛ إمّا لشبهة فی الموضوع کما إذا وطئ مرأة باعتقاد أنّها زوجته فتبیّن أنّها أجنبیّة، و إمّا لشبهة فی الحکم کما إذا عقد علیٰ أُخت الموطوء معتقداً صحّته و دخل بها</w:t>
      </w:r>
      <w:r>
        <w:rPr>
          <w:rFonts w:eastAsia="IRNazanin" w:cs="IRNazanin"/>
          <w:color w:val="111111"/>
          <w:sz w:val="28"/>
          <w:szCs w:val="28"/>
          <w:rtl w:val="true"/>
          <w:lang w:bidi="fa-IR"/>
        </w:rPr>
        <w:t>.</w:t>
      </w:r>
    </w:p>
    <w:p>
      <w:pPr>
        <w:pStyle w:val="Heading5"/>
        <w:numPr>
          <w:ilvl w:val="4"/>
          <w:numId w:val="1"/>
        </w:numPr>
        <w:rPr/>
      </w:pPr>
      <w:bookmarkStart w:id="8035" w:name="__RefHeading___Toc2572242_3650668749"/>
      <w:bookmarkStart w:id="8036" w:name="_Toc3630"/>
      <w:bookmarkEnd w:id="8035"/>
      <w:r>
        <w:rPr>
          <w:rtl w:val="true"/>
        </w:rPr>
        <w:t>[ (</w:t>
      </w:r>
      <w:r>
        <w:rPr>
          <w:rtl w:val="true"/>
        </w:rPr>
        <w:t xml:space="preserve">مسألة </w:t>
      </w:r>
      <w:r>
        <w:rPr/>
        <w:t>1</w:t>
      </w:r>
      <w:r>
        <w:rPr>
          <w:rtl w:val="true"/>
        </w:rPr>
        <w:t xml:space="preserve">): </w:t>
      </w:r>
      <w:r>
        <w:rPr>
          <w:rtl w:val="true"/>
        </w:rPr>
        <w:t>لا عدّة علی المزنیّ بها</w:t>
      </w:r>
      <w:r>
        <w:rPr>
          <w:rtl w:val="true"/>
        </w:rPr>
        <w:t>]</w:t>
      </w:r>
      <w:bookmarkEnd w:id="80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عدّة علی المزنیّ بها؛ سواء حملت من الزنا أم لا علی الأقویٰ، و أمّا الموطوءة شبهة فعلیها العدّة؛ سواء کانت ذات بعل أو خلیّة، و سواء کانت الشبهة من الطرفین أو من طرف الواطئ خاصّة، و أمّا إن کانت من طرف الموطوءة خاصّة ففیه قولان، أحوطهما لزوم العدّة، بل لا یخلو من قوّة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37" w:name="__RefHeading___Toc2572244_3650668749"/>
      <w:bookmarkStart w:id="8038" w:name="_Toc3631"/>
      <w:bookmarkEnd w:id="8037"/>
      <w:r>
        <w:rPr>
          <w:rtl w:val="true"/>
        </w:rPr>
        <w:t>[ (</w:t>
      </w:r>
      <w:r>
        <w:rPr>
          <w:rtl w:val="true"/>
        </w:rPr>
        <w:t xml:space="preserve">مسألة </w:t>
      </w:r>
      <w:r>
        <w:rPr/>
        <w:t>2</w:t>
      </w:r>
      <w:r>
        <w:rPr>
          <w:rtl w:val="true"/>
        </w:rPr>
        <w:t xml:space="preserve">): </w:t>
      </w:r>
      <w:r>
        <w:rPr>
          <w:rtl w:val="true"/>
        </w:rPr>
        <w:t>عدّة وطء الشبهة کعدّة الطلاق بالأقراء و الشهور</w:t>
      </w:r>
      <w:r>
        <w:rPr>
          <w:rtl w:val="true"/>
        </w:rPr>
        <w:t>]</w:t>
      </w:r>
      <w:bookmarkEnd w:id="80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وطء الشبهة کعدّة الطلاق بالأقراء و الشهور، و بوضع الحمل لو حملت من هذا الوطء علی التفصیل المتقدّم، و من لم یکن علیها عدّة الطلاق کالصغیرة و الیائسة لیس علیها هذه العدّة أیضاً</w:t>
      </w:r>
      <w:r>
        <w:rPr>
          <w:rFonts w:eastAsia="IRNazanin" w:cs="IRNazanin"/>
          <w:color w:val="111111"/>
          <w:sz w:val="28"/>
          <w:szCs w:val="28"/>
          <w:rtl w:val="true"/>
          <w:lang w:bidi="fa-IR"/>
        </w:rPr>
        <w:t>.</w:t>
      </w:r>
    </w:p>
    <w:p>
      <w:pPr>
        <w:pStyle w:val="Heading5"/>
        <w:numPr>
          <w:ilvl w:val="4"/>
          <w:numId w:val="1"/>
        </w:numPr>
        <w:rPr/>
      </w:pPr>
      <w:bookmarkStart w:id="8039" w:name="__RefHeading___Toc2572246_3650668749"/>
      <w:bookmarkStart w:id="8040" w:name="_Toc3632"/>
      <w:bookmarkEnd w:id="8039"/>
      <w:r>
        <w:rPr>
          <w:rtl w:val="true"/>
        </w:rPr>
        <w:t>[ (</w:t>
      </w:r>
      <w:r>
        <w:rPr>
          <w:rtl w:val="true"/>
        </w:rPr>
        <w:t xml:space="preserve">مسألة </w:t>
      </w:r>
      <w:r>
        <w:rPr/>
        <w:t>3</w:t>
      </w:r>
      <w:r>
        <w:rPr>
          <w:rtl w:val="true"/>
        </w:rPr>
        <w:t xml:space="preserve">): </w:t>
      </w:r>
      <w:r>
        <w:rPr>
          <w:rtl w:val="true"/>
        </w:rPr>
        <w:t>إذا کانت الموطوءة شبهة ذات بعل، لا یجوز لزوجها وطؤها فی مدّة عدّتها</w:t>
      </w:r>
      <w:r>
        <w:rPr>
          <w:rtl w:val="true"/>
        </w:rPr>
        <w:t>]</w:t>
      </w:r>
      <w:bookmarkEnd w:id="8040"/>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الموطوءة شبهة ذات بعل، لا یجوز لزوجها وطؤها فی مدّة عدّتها، و هل یجوز له سائر الاستمتاعات منها أم لا؟ قولان، أحوطهما الثانی و أقواهما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لا تسقط نفقتها فی أیّام العدّة و إن قلنا بحرمة جمیع الاستمتاعات علیه</w:t>
      </w:r>
      <w:r>
        <w:rPr>
          <w:rFonts w:eastAsia="IRNazanin" w:cs="IRNazanin"/>
          <w:color w:val="111111"/>
          <w:sz w:val="28"/>
          <w:szCs w:val="28"/>
          <w:rtl w:val="true"/>
          <w:lang w:bidi="fa-IR"/>
        </w:rPr>
        <w:t>.</w:t>
      </w:r>
      <w:bookmarkStart w:id="8041" w:name="pg1809_20007"/>
    </w:p>
    <w:p>
      <w:pPr>
        <w:pStyle w:val="Heading5"/>
        <w:numPr>
          <w:ilvl w:val="4"/>
          <w:numId w:val="1"/>
        </w:numPr>
        <w:rPr/>
      </w:pPr>
      <w:bookmarkStart w:id="8042" w:name="__RefHeading___Toc2572248_3650668749"/>
      <w:bookmarkStart w:id="8043" w:name="_Toc3633"/>
      <w:bookmarkEnd w:id="8041"/>
      <w:bookmarkEnd w:id="8042"/>
      <w:r>
        <w:rPr>
          <w:rtl w:val="true"/>
        </w:rPr>
        <w:t>[ (</w:t>
      </w:r>
      <w:r>
        <w:rPr>
          <w:rtl w:val="true"/>
        </w:rPr>
        <w:t xml:space="preserve">مسألة </w:t>
      </w:r>
      <w:r>
        <w:rPr/>
        <w:t>4</w:t>
      </w:r>
      <w:r>
        <w:rPr>
          <w:rtl w:val="true"/>
        </w:rPr>
        <w:t xml:space="preserve">): </w:t>
      </w:r>
      <w:r>
        <w:rPr>
          <w:rtl w:val="true"/>
        </w:rPr>
        <w:t>إذا کانت خلیّة، یجوز لواطئها أن یتزوّج بها فی زمن عدّتها</w:t>
      </w:r>
      <w:r>
        <w:rPr>
          <w:rtl w:val="true"/>
        </w:rPr>
        <w:t>]</w:t>
      </w:r>
      <w:bookmarkEnd w:id="80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خلیّة، یجوز لواطئها أن یتزوّج بها فی زمن عدّتها، بخلاف غیره فإنّه لا یجوز له ذلک علی الأقویٰ</w:t>
      </w:r>
      <w:r>
        <w:rPr>
          <w:rFonts w:eastAsia="IRNazanin" w:cs="IRNazanin"/>
          <w:color w:val="111111"/>
          <w:sz w:val="28"/>
          <w:szCs w:val="28"/>
          <w:rtl w:val="true"/>
          <w:lang w:bidi="fa-IR"/>
        </w:rPr>
        <w:t>.</w:t>
      </w:r>
    </w:p>
    <w:p>
      <w:pPr>
        <w:pStyle w:val="Heading5"/>
        <w:numPr>
          <w:ilvl w:val="4"/>
          <w:numId w:val="1"/>
        </w:numPr>
        <w:rPr/>
      </w:pPr>
      <w:bookmarkStart w:id="8044" w:name="__RefHeading___Toc2572250_3650668749"/>
      <w:bookmarkStart w:id="8045" w:name="_Toc3634"/>
      <w:bookmarkEnd w:id="8044"/>
      <w:r>
        <w:rPr>
          <w:rtl w:val="true"/>
        </w:rPr>
        <w:t>[ (</w:t>
      </w:r>
      <w:r>
        <w:rPr>
          <w:rtl w:val="true"/>
        </w:rPr>
        <w:t xml:space="preserve">مسألة </w:t>
      </w:r>
      <w:r>
        <w:rPr/>
        <w:t>5</w:t>
      </w:r>
      <w:r>
        <w:rPr>
          <w:rtl w:val="true"/>
        </w:rPr>
        <w:t xml:space="preserve">): </w:t>
      </w:r>
      <w:r>
        <w:rPr>
          <w:rtl w:val="true"/>
        </w:rPr>
        <w:t>لا فرق فی حکم وطء الشبهة من حیث العدّة و غیرها</w:t>
      </w:r>
      <w:r>
        <w:rPr>
          <w:rtl w:val="true"/>
        </w:rPr>
        <w:t>]</w:t>
      </w:r>
      <w:bookmarkEnd w:id="80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حکم وطء الشبهة من حیث العدّة و غیرها بین أن یکون مجرّداً أو یکون بعد العقد؛ بأن وطئ المعقود علیها بشبهة صحّة العقد مع فساده واقعاً</w:t>
      </w:r>
      <w:r>
        <w:rPr>
          <w:rFonts w:eastAsia="IRNazanin" w:cs="IRNazanin"/>
          <w:color w:val="111111"/>
          <w:sz w:val="28"/>
          <w:szCs w:val="28"/>
          <w:rtl w:val="true"/>
          <w:lang w:bidi="fa-IR"/>
        </w:rPr>
        <w:t>.</w:t>
      </w:r>
    </w:p>
    <w:p>
      <w:pPr>
        <w:pStyle w:val="Heading5"/>
        <w:numPr>
          <w:ilvl w:val="4"/>
          <w:numId w:val="1"/>
        </w:numPr>
        <w:rPr/>
      </w:pPr>
      <w:bookmarkStart w:id="8046" w:name="__RefHeading___Toc2572252_3650668749"/>
      <w:bookmarkStart w:id="8047" w:name="_Toc3635"/>
      <w:bookmarkEnd w:id="8046"/>
      <w:r>
        <w:rPr>
          <w:rtl w:val="true"/>
        </w:rPr>
        <w:t>[ (</w:t>
      </w:r>
      <w:r>
        <w:rPr>
          <w:rtl w:val="true"/>
        </w:rPr>
        <w:t xml:space="preserve">مسألة </w:t>
      </w:r>
      <w:r>
        <w:rPr/>
        <w:t>6</w:t>
      </w:r>
      <w:r>
        <w:rPr>
          <w:rtl w:val="true"/>
        </w:rPr>
        <w:t xml:space="preserve">): </w:t>
      </w:r>
      <w:r>
        <w:rPr>
          <w:rtl w:val="true"/>
        </w:rPr>
        <w:t>إذا کانت معتدّة بعدّة الطلاق أو الوفاة فوطئت شبهة، أو وطئت ثمّ طلّقها</w:t>
      </w:r>
      <w:r>
        <w:rPr>
          <w:rtl w:val="true"/>
        </w:rPr>
        <w:t>]</w:t>
      </w:r>
      <w:bookmarkEnd w:id="80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معتدّة بعدّة الطلاق أو الوفاة فوطئت شبهة، أو وطئت ثمّ طلّقها، أو مات عنها زوجها، فعلیها عدّتان عند المشهور، و هو الأحوط لو لم یکن الأقویٰ، فإن کانت حاملًا من أحدهما تقدّم عدّة الحمل، فبعد وضعه تستأنف العدّة الأُخریٰ أو تستکمل الاولیٰ، و إن کانت حائلًا یقدّم الأسبق منهما، و بعد تمامها استقبلت عدّة اخریٰ من الآخر</w:t>
      </w:r>
      <w:r>
        <w:rPr>
          <w:rFonts w:eastAsia="IRNazanin" w:cs="IRNazanin"/>
          <w:color w:val="111111"/>
          <w:sz w:val="28"/>
          <w:szCs w:val="28"/>
          <w:rtl w:val="true"/>
          <w:lang w:bidi="fa-IR"/>
        </w:rPr>
        <w:t>.</w:t>
      </w:r>
    </w:p>
    <w:p>
      <w:pPr>
        <w:pStyle w:val="Heading5"/>
        <w:numPr>
          <w:ilvl w:val="4"/>
          <w:numId w:val="1"/>
        </w:numPr>
        <w:rPr/>
      </w:pPr>
      <w:bookmarkStart w:id="8048" w:name="__RefHeading___Toc2572254_3650668749"/>
      <w:bookmarkStart w:id="8049" w:name="_Toc3636"/>
      <w:bookmarkEnd w:id="8048"/>
      <w:r>
        <w:rPr>
          <w:rtl w:val="true"/>
        </w:rPr>
        <w:t>[ (</w:t>
      </w:r>
      <w:r>
        <w:rPr>
          <w:rtl w:val="true"/>
        </w:rPr>
        <w:t xml:space="preserve">مسألة </w:t>
      </w:r>
      <w:r>
        <w:rPr/>
        <w:t>7</w:t>
      </w:r>
      <w:r>
        <w:rPr>
          <w:rtl w:val="true"/>
        </w:rPr>
        <w:t xml:space="preserve">): </w:t>
      </w:r>
      <w:r>
        <w:rPr>
          <w:rtl w:val="true"/>
        </w:rPr>
        <w:t>إذا طلّق زوجته بائناً ثمّ وطئها شبهة، اعتدّت عدّة اخریٰ</w:t>
      </w:r>
      <w:r>
        <w:rPr>
          <w:rtl w:val="true"/>
        </w:rPr>
        <w:t>]</w:t>
      </w:r>
      <w:bookmarkEnd w:id="80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زوجته بائناً ثمّ وطئها شبهة، اعتدّت </w:t>
      </w:r>
      <w:r>
        <w:rPr>
          <w:rStyle w:val="FootnoteAnchor"/>
          <w:rtl w:val="true"/>
        </w:rPr>
        <w:footnoteReference w:id="2013"/>
      </w:r>
      <w:r>
        <w:rPr>
          <w:rFonts w:ascii="IRNazanin" w:hAnsi="IRNazanin" w:eastAsia="IRNazanin"/>
          <w:color w:val="111111"/>
          <w:sz w:val="28"/>
          <w:sz w:val="28"/>
          <w:szCs w:val="28"/>
          <w:rtl w:val="true"/>
          <w:lang w:bidi="fa-IR"/>
        </w:rPr>
        <w:t>عدّة اخریٰ علی التفصیل المتقدّم فی المسألة السابقة</w:t>
      </w:r>
      <w:r>
        <w:rPr>
          <w:rFonts w:eastAsia="IRNazanin" w:cs="IRNazanin"/>
          <w:color w:val="111111"/>
          <w:sz w:val="28"/>
          <w:szCs w:val="28"/>
          <w:rtl w:val="true"/>
          <w:lang w:bidi="fa-IR"/>
        </w:rPr>
        <w:t>.</w:t>
      </w:r>
    </w:p>
    <w:p>
      <w:pPr>
        <w:pStyle w:val="Heading5"/>
        <w:numPr>
          <w:ilvl w:val="4"/>
          <w:numId w:val="1"/>
        </w:numPr>
        <w:rPr/>
      </w:pPr>
      <w:bookmarkStart w:id="8050" w:name="__RefHeading___Toc2572256_3650668749"/>
      <w:bookmarkStart w:id="8051" w:name="_Toc3637"/>
      <w:bookmarkEnd w:id="8050"/>
      <w:r>
        <w:rPr>
          <w:rtl w:val="true"/>
        </w:rPr>
        <w:t>[ (</w:t>
      </w:r>
      <w:r>
        <w:rPr>
          <w:rtl w:val="true"/>
        </w:rPr>
        <w:t xml:space="preserve">مسألة </w:t>
      </w:r>
      <w:r>
        <w:rPr/>
        <w:t>8</w:t>
      </w:r>
      <w:r>
        <w:rPr>
          <w:rtl w:val="true"/>
        </w:rPr>
        <w:t xml:space="preserve">): </w:t>
      </w:r>
      <w:r>
        <w:rPr>
          <w:rtl w:val="true"/>
        </w:rPr>
        <w:t>الموجب للعدّة أُمور</w:t>
      </w:r>
      <w:r>
        <w:rPr>
          <w:rtl w:val="true"/>
        </w:rPr>
        <w:t xml:space="preserve">: </w:t>
      </w:r>
      <w:r>
        <w:rPr>
          <w:rtl w:val="true"/>
        </w:rPr>
        <w:t>الوفاة، و الطلاق بأقسامه</w:t>
      </w:r>
      <w:r>
        <w:rPr>
          <w:rtl w:val="true"/>
        </w:rPr>
        <w:t>]</w:t>
      </w:r>
      <w:bookmarkEnd w:id="80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للعدّة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و الطلاق بأقسامه، و الفسخ بالعیوب، و الانفساخ بمثل الارتداد أو الإسلام أو الرضاع، و الوطء بالشبهة مجرّداً عن العقد أو معه، و انقضاء المدّة أو هبتها، و یشترط فی الجمیع کونها مدخولًا بها عدا الأوّل و الوطء بالشبهة</w:t>
      </w:r>
      <w:r>
        <w:rPr>
          <w:rFonts w:eastAsia="IRNazanin" w:cs="IRNazanin"/>
          <w:color w:val="111111"/>
          <w:sz w:val="28"/>
          <w:szCs w:val="28"/>
          <w:rtl w:val="true"/>
          <w:lang w:bidi="fa-IR"/>
        </w:rPr>
        <w:t>.</w:t>
      </w:r>
    </w:p>
    <w:p>
      <w:pPr>
        <w:pStyle w:val="Heading5"/>
        <w:numPr>
          <w:ilvl w:val="4"/>
          <w:numId w:val="1"/>
        </w:numPr>
        <w:rPr/>
      </w:pPr>
      <w:bookmarkStart w:id="8052" w:name="__RefHeading___Toc2572258_3650668749"/>
      <w:bookmarkStart w:id="8053" w:name="_Toc3638"/>
      <w:bookmarkEnd w:id="8052"/>
      <w:r>
        <w:rPr>
          <w:rtl w:val="true"/>
        </w:rPr>
        <w:t>[ (</w:t>
      </w:r>
      <w:r>
        <w:rPr>
          <w:rtl w:val="true"/>
        </w:rPr>
        <w:t xml:space="preserve">مسألة </w:t>
      </w:r>
      <w:r>
        <w:rPr/>
        <w:t>9</w:t>
      </w:r>
      <w:r>
        <w:rPr>
          <w:rtl w:val="true"/>
        </w:rPr>
        <w:t xml:space="preserve">): </w:t>
      </w:r>
      <w:r>
        <w:rPr>
          <w:rtl w:val="true"/>
        </w:rPr>
        <w:t>قد مرّ سابقاً</w:t>
      </w:r>
      <w:r>
        <w:rPr>
          <w:rtl w:val="true"/>
        </w:rPr>
        <w:t xml:space="preserve">: </w:t>
      </w:r>
      <w:r>
        <w:rPr>
          <w:rtl w:val="true"/>
        </w:rPr>
        <w:t>أنّه لا عدّة علیٰ من لم یدخل بها</w:t>
      </w:r>
      <w:r>
        <w:rPr>
          <w:rtl w:val="true"/>
        </w:rPr>
        <w:t>]</w:t>
      </w:r>
      <w:bookmarkEnd w:id="8053"/>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عدّة علیٰ من لم یدخل بها، فلیعلم أنّه إذا طلّقها رجعیّاً بعد الدخول ثمّ رجع ثمّ طلّقها قبل الدخول، لا یجری علیه حکم الطلاق قبل الدخول حتّی لا یحتاج إلی العدّة؛ من غیر فرق بین کون الطلاق الثانی رجعیّاً أو بائناً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طلّقها بائناً ثمّ جدّد نکاحها فی أثناء العدّة ثمّ طلّقها قبل الدخول ففی جریان حکم الطلاق قبل الدخول علیه و عدمه وجهان بل قولان، أحوطهما </w:t>
      </w:r>
      <w:r>
        <w:rPr>
          <w:rStyle w:val="FootnoteAnchor"/>
          <w:rtl w:val="true"/>
        </w:rPr>
        <w:footnoteReference w:id="2014"/>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بحکمه ما إذا عقد علیها بالعقد المنقطع ثمّ وهب مدّتها بعد الدخول ثمّ تزوّجها ثمّ طلّقها قبل الدخول، فیشکل </w:t>
      </w:r>
      <w:r>
        <w:rPr>
          <w:rStyle w:val="FootnoteAnchor"/>
          <w:rtl w:val="true"/>
        </w:rPr>
        <w:footnoteReference w:id="2015"/>
      </w:r>
      <w:r>
        <w:rPr>
          <w:rFonts w:ascii="IRNazanin" w:hAnsi="IRNazanin" w:eastAsia="IRNazanin"/>
          <w:color w:val="111111"/>
          <w:sz w:val="28"/>
          <w:sz w:val="28"/>
          <w:szCs w:val="28"/>
          <w:rtl w:val="true"/>
          <w:lang w:bidi="fa-IR"/>
        </w:rPr>
        <w:t>ما ربّما یحتال فی نکاح جماعة فی یوم واحد بل فی مجلس واحد امرأة شابّة ذات عدّة مع دخول الجمیع بها، و ذلک بأن یتمتّع بها أحدهم ثمّ یهب مدّتها بعد الدخول ثمّ یعقد علیها ثمّ یطلّقها قبل الدخول، ثمّ یفعل بها الثانی ما فعل بها الأوّل و هکذا، بزعمهم أنّه لا عدّة علیها؛ أمّا من العقد الأوّل فبسبب وقوع العقد الثانی، و أمّا من العقد الثانی فلأنّه طلّقها قبل الدخول</w:t>
      </w:r>
      <w:r>
        <w:rPr>
          <w:rFonts w:eastAsia="IRNazanin" w:cs="IRNazanin"/>
          <w:color w:val="111111"/>
          <w:sz w:val="28"/>
          <w:szCs w:val="28"/>
          <w:rtl w:val="true"/>
          <w:lang w:bidi="fa-IR"/>
        </w:rPr>
        <w:t>.</w:t>
      </w:r>
      <w:bookmarkStart w:id="8054" w:name="pg1809_20008"/>
    </w:p>
    <w:p>
      <w:pPr>
        <w:pStyle w:val="Heading5"/>
        <w:numPr>
          <w:ilvl w:val="4"/>
          <w:numId w:val="1"/>
        </w:numPr>
        <w:rPr/>
      </w:pPr>
      <w:bookmarkStart w:id="8055" w:name="__RefHeading___Toc2572260_3650668749"/>
      <w:bookmarkStart w:id="8056" w:name="_Toc3639"/>
      <w:bookmarkEnd w:id="8054"/>
      <w:bookmarkEnd w:id="8055"/>
      <w:r>
        <w:rPr>
          <w:rtl w:val="true"/>
        </w:rPr>
        <w:t>[ (</w:t>
      </w:r>
      <w:r>
        <w:rPr>
          <w:rtl w:val="true"/>
        </w:rPr>
        <w:t xml:space="preserve">مسألة </w:t>
      </w:r>
      <w:r>
        <w:rPr/>
        <w:t>10</w:t>
      </w:r>
      <w:r>
        <w:rPr>
          <w:rtl w:val="true"/>
        </w:rPr>
        <w:t xml:space="preserve">): </w:t>
      </w:r>
      <w:r>
        <w:rPr>
          <w:rtl w:val="true"/>
        </w:rPr>
        <w:t>المطلّقة بالطلاق الرجعی زوجة أو بحکم الزوجة</w:t>
      </w:r>
      <w:r>
        <w:rPr>
          <w:rtl w:val="true"/>
        </w:rPr>
        <w:t>]</w:t>
      </w:r>
      <w:bookmarkEnd w:id="80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المطلّقة بالطلاق الرجعی زوجة </w:t>
      </w:r>
      <w:r>
        <w:rPr>
          <w:rStyle w:val="FootnoteAnchor"/>
          <w:rtl w:val="true"/>
        </w:rPr>
        <w:footnoteReference w:id="2016"/>
      </w:r>
      <w:r>
        <w:rPr>
          <w:rFonts w:ascii="IRNazanin" w:hAnsi="IRNazanin" w:eastAsia="IRNazanin"/>
          <w:color w:val="111111"/>
          <w:sz w:val="28"/>
          <w:sz w:val="28"/>
          <w:szCs w:val="28"/>
          <w:rtl w:val="true"/>
          <w:lang w:bidi="fa-IR"/>
        </w:rPr>
        <w:t>أو بحکم الزوجة، ما دامت فی العدّة، فیترتّب علیها آثار الزوجیة؛ من استحقاق النفقة و السکنیٰ و الکسوة إذا لم تکن و لم تصر ناشزة، و من التوارث بینهما لو مات أحدهما فی العدّة، و عدم جواز نکاح أُختها و الخامسة، و کون کفنها و فطرتها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البائنة کالمختلعة و المبارأة و المطلّقة ثلاثاً، فلا یترتّب علیها آثار الزوجیة أصلًا لا فی زمن العدّة و لا بعده؛ لانقطاع العصمة بینهما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حاملًا من زوجها استحقّت النفقة و الکسوة و السکنیٰ علیه حتّی تضع حملها، کما مرّ فی باب النفقات من کتاب النکاح</w:t>
      </w:r>
      <w:r>
        <w:rPr>
          <w:rFonts w:eastAsia="IRNazanin" w:cs="IRNazanin"/>
          <w:color w:val="111111"/>
          <w:sz w:val="28"/>
          <w:szCs w:val="28"/>
          <w:rtl w:val="true"/>
          <w:lang w:bidi="fa-IR"/>
        </w:rPr>
        <w:t>.</w:t>
      </w:r>
    </w:p>
    <w:p>
      <w:pPr>
        <w:pStyle w:val="Heading5"/>
        <w:numPr>
          <w:ilvl w:val="4"/>
          <w:numId w:val="1"/>
        </w:numPr>
        <w:rPr/>
      </w:pPr>
      <w:bookmarkStart w:id="8057" w:name="__RefHeading___Toc2572262_3650668749"/>
      <w:bookmarkStart w:id="8058" w:name="_Toc3640"/>
      <w:bookmarkEnd w:id="8057"/>
      <w:r>
        <w:rPr>
          <w:rtl w:val="true"/>
        </w:rPr>
        <w:t>[ (</w:t>
      </w:r>
      <w:r>
        <w:rPr>
          <w:rtl w:val="true"/>
        </w:rPr>
        <w:t xml:space="preserve">مسألة </w:t>
      </w:r>
      <w:r>
        <w:rPr/>
        <w:t>11</w:t>
      </w:r>
      <w:r>
        <w:rPr>
          <w:rtl w:val="true"/>
        </w:rPr>
        <w:t xml:space="preserve">): </w:t>
      </w:r>
      <w:r>
        <w:rPr>
          <w:rtl w:val="true"/>
        </w:rPr>
        <w:t>قد عرفت أنّه لا توارث بین الزوجین فی الطلاق البائن مطلقاً</w:t>
      </w:r>
      <w:r>
        <w:rPr>
          <w:rtl w:val="true"/>
        </w:rPr>
        <w:t>]</w:t>
      </w:r>
      <w:bookmarkEnd w:id="80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أنّه لا توارث بین الزوجین فی الطلاق البائن مطلقاً، و فی الرجعی بعد انقضاء العدّة، لکنّه إذا طلّقها مریضاً ترثه الزوجة ما بین الطلاق و بین سنة؛ بمعنی أنّه إن مات الزوج </w:t>
      </w:r>
      <w:r>
        <w:rPr>
          <w:rStyle w:val="FootnoteAnchor"/>
          <w:rtl w:val="true"/>
        </w:rPr>
        <w:footnoteReference w:id="2017"/>
      </w:r>
      <w:r>
        <w:rPr>
          <w:rFonts w:ascii="IRNazanin" w:hAnsi="IRNazanin" w:eastAsia="IRNazanin"/>
          <w:color w:val="111111"/>
          <w:sz w:val="28"/>
          <w:sz w:val="28"/>
          <w:szCs w:val="28"/>
          <w:rtl w:val="true"/>
          <w:lang w:bidi="fa-IR"/>
        </w:rPr>
        <w:t>بعد ما طلّقها فی حال المرض، فإن کان موته بعد سنة من حین الطلاق و لو یوماً أو أقلّ لا ترثه، و إن کان بمقدار سنة و ما دونها ترثه؛ سواء کان الطلاق رجعیّاً أو بائناً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بشروط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تتزوّج المرأة، فلو طلّقها فی حال المرض و تزوّجت بعد انقضاء العدّة ثمّ مات الزوج قبل انقضاء سنة لم ترثه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یبرأ الزوج من المرض الذی طلّقها فیه، فلو برئ من ذلک المرض ثمّ مرض ثمّ مات فی أثناء السنة لم ترثه، إلّا إذا کان موته فی أثناء العدّة الرجعیّة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الطلاق بالتماس منها، فلا ترث المختلعة و المبارأة؛ لأنّ الطلاق إنّما هو بالتماس منهما</w:t>
      </w:r>
      <w:r>
        <w:rPr>
          <w:rFonts w:eastAsia="IRNazanin" w:cs="IRNazanin"/>
          <w:color w:val="111111"/>
          <w:sz w:val="28"/>
          <w:szCs w:val="28"/>
          <w:rtl w:val="true"/>
          <w:lang w:bidi="fa-IR"/>
        </w:rPr>
        <w:t>.</w:t>
      </w:r>
    </w:p>
    <w:p>
      <w:pPr>
        <w:pStyle w:val="Heading5"/>
        <w:numPr>
          <w:ilvl w:val="4"/>
          <w:numId w:val="1"/>
        </w:numPr>
        <w:rPr/>
      </w:pPr>
      <w:bookmarkStart w:id="8059" w:name="__RefHeading___Toc2572264_3650668749"/>
      <w:bookmarkStart w:id="8060" w:name="_Toc3641"/>
      <w:bookmarkEnd w:id="8059"/>
      <w:r>
        <w:rPr>
          <w:rtl w:val="true"/>
        </w:rPr>
        <w:t>[ (</w:t>
      </w:r>
      <w:r>
        <w:rPr>
          <w:rtl w:val="true"/>
        </w:rPr>
        <w:t xml:space="preserve">مسألة </w:t>
      </w:r>
      <w:r>
        <w:rPr/>
        <w:t>12</w:t>
      </w:r>
      <w:r>
        <w:rPr>
          <w:rtl w:val="true"/>
        </w:rPr>
        <w:t xml:space="preserve">): </w:t>
      </w:r>
      <w:r>
        <w:rPr>
          <w:rtl w:val="true"/>
        </w:rPr>
        <w:t>لا یجوز لمن طلّق رجعیّاً أن یخرج المطلّقة من بیته حتّی تنقضی عدّتها</w:t>
      </w:r>
      <w:r>
        <w:rPr>
          <w:rtl w:val="true"/>
        </w:rPr>
        <w:t>]</w:t>
      </w:r>
      <w:bookmarkEnd w:id="8060"/>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لمن طلّق رجعیّاً أن یخرج المطلّقة من بیته حتّی تنقضی عدّتها، إلّا أن تأتی بفاحشة؛ أعلاها ما أوجب الحدّ، و أدناها </w:t>
      </w:r>
      <w:r>
        <w:rPr>
          <w:rStyle w:val="FootnoteAnchor"/>
          <w:rtl w:val="true"/>
        </w:rPr>
        <w:footnoteReference w:id="2018"/>
      </w:r>
      <w:r>
        <w:rPr>
          <w:rFonts w:ascii="IRNazanin" w:hAnsi="IRNazanin" w:eastAsia="IRNazanin"/>
          <w:color w:val="111111"/>
          <w:sz w:val="28"/>
          <w:sz w:val="28"/>
          <w:szCs w:val="28"/>
          <w:rtl w:val="true"/>
          <w:lang w:bidi="fa-IR"/>
        </w:rPr>
        <w:t>أن تؤذی أهل البیت بالشتم و بذاءة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یجوز لها الخروج بدون إذن الزوج إلّا لضرورة أو لأداء واجب مضیّق</w:t>
      </w:r>
      <w:r>
        <w:rPr>
          <w:rFonts w:eastAsia="IRNazanin" w:cs="IRNazanin"/>
          <w:color w:val="111111"/>
          <w:sz w:val="28"/>
          <w:szCs w:val="28"/>
          <w:rtl w:val="true"/>
          <w:lang w:bidi="fa-IR"/>
        </w:rPr>
        <w:t>.</w:t>
      </w:r>
      <w:bookmarkStart w:id="8061" w:name="pg1809_20011"/>
    </w:p>
    <w:p>
      <w:pPr>
        <w:pStyle w:val="Heading4"/>
        <w:numPr>
          <w:ilvl w:val="3"/>
          <w:numId w:val="1"/>
        </w:numPr>
        <w:rPr/>
      </w:pPr>
      <w:bookmarkStart w:id="8062" w:name="__RefHeading___Toc2572266_3650668749"/>
      <w:bookmarkStart w:id="8063" w:name="_Toc3642"/>
      <w:bookmarkEnd w:id="8061"/>
      <w:bookmarkEnd w:id="8062"/>
      <w:r>
        <w:rPr>
          <w:rtl w:val="true"/>
        </w:rPr>
        <w:t>[</w:t>
      </w:r>
      <w:r>
        <w:rPr>
          <w:rtl w:val="true"/>
        </w:rPr>
        <w:t>القول فی الرجعة</w:t>
      </w:r>
      <w:r>
        <w:rPr>
          <w:rtl w:val="true"/>
        </w:rPr>
        <w:t>]</w:t>
      </w:r>
      <w:bookmarkEnd w:id="8063"/>
    </w:p>
    <w:p>
      <w:pPr>
        <w:pStyle w:val="Heading5"/>
        <w:numPr>
          <w:ilvl w:val="4"/>
          <w:numId w:val="1"/>
        </w:numPr>
        <w:rPr/>
      </w:pPr>
      <w:bookmarkStart w:id="8064" w:name="__RefHeading___Toc2572268_3650668749"/>
      <w:bookmarkStart w:id="8065" w:name="_Toc3643"/>
      <w:bookmarkEnd w:id="8064"/>
      <w:r>
        <w:rPr>
          <w:rtl w:val="true"/>
        </w:rPr>
        <w:t>اشارة</w:t>
      </w:r>
      <w:bookmarkEnd w:id="8065"/>
    </w:p>
    <w:p>
      <w:pPr>
        <w:pStyle w:val="BookText"/>
        <w:rPr/>
      </w:pPr>
      <w:r>
        <w:rPr>
          <w:rFonts w:ascii="IRNazanin" w:hAnsi="IRNazanin" w:eastAsia="IRNazanin"/>
          <w:color w:val="111111"/>
          <w:sz w:val="28"/>
          <w:sz w:val="28"/>
          <w:szCs w:val="28"/>
          <w:rtl w:val="true"/>
          <w:lang w:bidi="fa-IR"/>
        </w:rPr>
        <w:t>القول فی الرجعة و هی ردّ المطلّقة فی زمان عدّتها إلیٰ نکاحها السابق، فلا رجعة فی البائنة و لا فی الرجعیّة بعد انقضاء العدّة</w:t>
      </w:r>
      <w:r>
        <w:rPr>
          <w:rFonts w:eastAsia="IRNazanin" w:cs="IRNazanin"/>
          <w:color w:val="111111"/>
          <w:sz w:val="28"/>
          <w:szCs w:val="28"/>
          <w:rtl w:val="true"/>
          <w:lang w:bidi="fa-IR"/>
        </w:rPr>
        <w:t>.</w:t>
      </w:r>
    </w:p>
    <w:p>
      <w:pPr>
        <w:pStyle w:val="Heading5"/>
        <w:numPr>
          <w:ilvl w:val="4"/>
          <w:numId w:val="1"/>
        </w:numPr>
        <w:rPr/>
      </w:pPr>
      <w:bookmarkStart w:id="8066" w:name="__RefHeading___Toc2572270_3650668749"/>
      <w:bookmarkStart w:id="8067" w:name="_Toc3644"/>
      <w:bookmarkEnd w:id="8066"/>
      <w:r>
        <w:rPr>
          <w:rtl w:val="true"/>
        </w:rPr>
        <w:t>[ (</w:t>
      </w:r>
      <w:r>
        <w:rPr>
          <w:rtl w:val="true"/>
        </w:rPr>
        <w:t xml:space="preserve">مسألة </w:t>
      </w:r>
      <w:r>
        <w:rPr/>
        <w:t>1</w:t>
      </w:r>
      <w:r>
        <w:rPr>
          <w:rtl w:val="true"/>
        </w:rPr>
        <w:t xml:space="preserve">): </w:t>
      </w:r>
      <w:r>
        <w:rPr>
          <w:rtl w:val="true"/>
        </w:rPr>
        <w:t>الرجعة إمّا بالقول، و هو کلّ لفظ دلّ علیٰ إنشاء الرجوع</w:t>
      </w:r>
      <w:r>
        <w:rPr>
          <w:rtl w:val="true"/>
        </w:rPr>
        <w:t>]</w:t>
      </w:r>
      <w:bookmarkEnd w:id="80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 إمّا بالقول، و هو کلّ لفظ دلّ علیٰ إنشاء الرجوع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ارتجعتک إلیٰ نکاحی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دلّ علی الإمساک بزوجیّتها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رددتک إلیٰ نکاحی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أمسکتک فی نکاحی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فی الجمیع إسقاط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نکاحی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نکاحی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فیه العربیّة، بل یقع بکلّ لغة إذا کان بلفظ أفاد المعنی المقصود فی تلک اللغة، و إمّا بالفعل؛ بأن یفعل بها ما لا یحلّ إلّا للزوج بحلیلته، کالوطء و التقبیل و اللمس بشهوة أو بدونها</w:t>
      </w:r>
      <w:r>
        <w:rPr>
          <w:rFonts w:eastAsia="IRNazanin" w:cs="IRNazanin"/>
          <w:color w:val="111111"/>
          <w:sz w:val="28"/>
          <w:szCs w:val="28"/>
          <w:rtl w:val="true"/>
          <w:lang w:bidi="fa-IR"/>
        </w:rPr>
        <w:t>.</w:t>
      </w:r>
    </w:p>
    <w:p>
      <w:pPr>
        <w:pStyle w:val="Heading5"/>
        <w:numPr>
          <w:ilvl w:val="4"/>
          <w:numId w:val="1"/>
        </w:numPr>
        <w:rPr/>
      </w:pPr>
      <w:bookmarkStart w:id="8068" w:name="__RefHeading___Toc2572272_3650668749"/>
      <w:bookmarkStart w:id="8069" w:name="_Toc3645"/>
      <w:bookmarkEnd w:id="8068"/>
      <w:r>
        <w:rPr>
          <w:rtl w:val="true"/>
        </w:rPr>
        <w:t>[ (</w:t>
      </w:r>
      <w:r>
        <w:rPr>
          <w:rtl w:val="true"/>
        </w:rPr>
        <w:t xml:space="preserve">مسألة </w:t>
      </w:r>
      <w:r>
        <w:rPr/>
        <w:t>2</w:t>
      </w:r>
      <w:r>
        <w:rPr>
          <w:rtl w:val="true"/>
        </w:rPr>
        <w:t xml:space="preserve">): </w:t>
      </w:r>
      <w:r>
        <w:rPr>
          <w:rtl w:val="true"/>
        </w:rPr>
        <w:t>لا تتوقّف حلّیّة الوطء و ما دونه من التقبیل و اللمس علیٰ سبق الرجوع لفظاً</w:t>
      </w:r>
      <w:r>
        <w:rPr>
          <w:rtl w:val="true"/>
        </w:rPr>
        <w:t>]</w:t>
      </w:r>
      <w:bookmarkEnd w:id="80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تتوقّف حلّیّة الوطء و ما دونه من التقبیل و اللمس علیٰ سبق الرجوع لفظاً، و لا علیٰ قصد الرجوع به؛ لما عرفت سابقاً من أنّ المطلّقة الرجعیّة زوجة أو بحکم الزوجة فیستباح منها للزوج ما یستباح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یعتبر فی کونه رجوعاً أن یقصد به الرجوع؟ قولان، أقواهما العدم، بل یحتمل قویّاً کونه رجوعاً و إن قصد العدم </w:t>
      </w:r>
      <w:r>
        <w:rPr>
          <w:rStyle w:val="FootnoteAnchor"/>
          <w:rtl w:val="true"/>
        </w:rPr>
        <w:footnoteReference w:id="2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عبرة بفعل الغافل و الساهی و النائم و نحوها ممّا لا قصد فیه للفعل، کما لا عبرة بالفعل المقصود به غیر المطلّقة، کما لو واقعها باعتقاد أنّها غیرها</w:t>
      </w:r>
      <w:r>
        <w:rPr>
          <w:rFonts w:eastAsia="IRNazanin" w:cs="IRNazanin"/>
          <w:color w:val="111111"/>
          <w:sz w:val="28"/>
          <w:szCs w:val="28"/>
          <w:rtl w:val="true"/>
          <w:lang w:bidi="fa-IR"/>
        </w:rPr>
        <w:t>.</w:t>
      </w:r>
    </w:p>
    <w:p>
      <w:pPr>
        <w:pStyle w:val="Heading5"/>
        <w:numPr>
          <w:ilvl w:val="4"/>
          <w:numId w:val="1"/>
        </w:numPr>
        <w:rPr/>
      </w:pPr>
      <w:bookmarkStart w:id="8070" w:name="__RefHeading___Toc2572274_3650668749"/>
      <w:bookmarkStart w:id="8071" w:name="_Toc3646"/>
      <w:bookmarkEnd w:id="8070"/>
      <w:r>
        <w:rPr>
          <w:rtl w:val="true"/>
        </w:rPr>
        <w:t>[ (</w:t>
      </w:r>
      <w:r>
        <w:rPr>
          <w:rtl w:val="true"/>
        </w:rPr>
        <w:t xml:space="preserve">مسألة </w:t>
      </w:r>
      <w:r>
        <w:rPr/>
        <w:t>3</w:t>
      </w:r>
      <w:r>
        <w:rPr>
          <w:rtl w:val="true"/>
        </w:rPr>
        <w:t xml:space="preserve">): </w:t>
      </w:r>
      <w:r>
        <w:rPr>
          <w:rtl w:val="true"/>
        </w:rPr>
        <w:t>لو أنکر أصل الطلاق و هی فی العدّة، کان ذلک رجوعاً و إن علم کذبه</w:t>
      </w:r>
      <w:r>
        <w:rPr>
          <w:rtl w:val="true"/>
        </w:rPr>
        <w:t>]</w:t>
      </w:r>
      <w:bookmarkEnd w:id="80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أنکر أصل الطلاق و هی فی العدّة، کان ذلک رجوعاً و إن علم کذبه</w:t>
      </w:r>
      <w:r>
        <w:rPr>
          <w:rFonts w:eastAsia="IRNazanin" w:cs="IRNazanin"/>
          <w:color w:val="111111"/>
          <w:sz w:val="28"/>
          <w:szCs w:val="28"/>
          <w:rtl w:val="true"/>
          <w:lang w:bidi="fa-IR"/>
        </w:rPr>
        <w:t>.</w:t>
      </w:r>
    </w:p>
    <w:p>
      <w:pPr>
        <w:pStyle w:val="Heading5"/>
        <w:numPr>
          <w:ilvl w:val="4"/>
          <w:numId w:val="1"/>
        </w:numPr>
        <w:rPr/>
      </w:pPr>
      <w:bookmarkStart w:id="8072" w:name="__RefHeading___Toc2572276_3650668749"/>
      <w:bookmarkStart w:id="8073" w:name="_Toc3647"/>
      <w:bookmarkEnd w:id="8072"/>
      <w:r>
        <w:rPr>
          <w:rtl w:val="true"/>
        </w:rPr>
        <w:t>[ (</w:t>
      </w:r>
      <w:r>
        <w:rPr>
          <w:rtl w:val="true"/>
        </w:rPr>
        <w:t xml:space="preserve">مسألة </w:t>
      </w:r>
      <w:r>
        <w:rPr/>
        <w:t>4</w:t>
      </w:r>
      <w:r>
        <w:rPr>
          <w:rtl w:val="true"/>
        </w:rPr>
        <w:t xml:space="preserve">): </w:t>
      </w:r>
      <w:r>
        <w:rPr>
          <w:rtl w:val="true"/>
        </w:rPr>
        <w:t>لا یعتبر الإشهاد فی الرجعة</w:t>
      </w:r>
      <w:r>
        <w:rPr>
          <w:rtl w:val="true"/>
        </w:rPr>
        <w:t>]</w:t>
      </w:r>
      <w:bookmarkEnd w:id="8073"/>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الإشهاد فی الرجعة، و إن استحبّ دفعاً لوقوع التخاصم و النزاع، و کذا لا یعتبر فیها اطلاع الزوجة علیها، فإن راجعها عند نفسه من دون اطلاع أحد صحّت الرجعة و عادت إلی النکاح السابق واقعاً، لکن لو ادّعاها بعد انقضاء المدّة و لم تصدّقه الزوجة لم تسمع دعواه، غایة الأمر له علیها یمین نفی العلم لو ادّعیٰ علیها العلم بذلک، کما أنّه لو ادّعی الرجوع الفعلی کالوطء و أنکرته کان القول قولها بیمینها، لکنّه علی البتّ لا علیٰ نفی العلم</w:t>
      </w:r>
      <w:r>
        <w:rPr>
          <w:rFonts w:eastAsia="IRNazanin" w:cs="IRNazanin"/>
          <w:color w:val="111111"/>
          <w:sz w:val="28"/>
          <w:szCs w:val="28"/>
          <w:rtl w:val="true"/>
          <w:lang w:bidi="fa-IR"/>
        </w:rPr>
        <w:t>.</w:t>
      </w:r>
      <w:bookmarkStart w:id="8074" w:name="pg1809_20013"/>
    </w:p>
    <w:p>
      <w:pPr>
        <w:pStyle w:val="Heading5"/>
        <w:numPr>
          <w:ilvl w:val="4"/>
          <w:numId w:val="1"/>
        </w:numPr>
        <w:rPr/>
      </w:pPr>
      <w:bookmarkStart w:id="8075" w:name="__RefHeading___Toc2572278_3650668749"/>
      <w:bookmarkStart w:id="8076" w:name="_Toc3648"/>
      <w:bookmarkEnd w:id="8074"/>
      <w:bookmarkEnd w:id="8075"/>
      <w:r>
        <w:rPr>
          <w:rtl w:val="true"/>
        </w:rPr>
        <w:t>[ (</w:t>
      </w:r>
      <w:r>
        <w:rPr>
          <w:rtl w:val="true"/>
        </w:rPr>
        <w:t xml:space="preserve">مسألة </w:t>
      </w:r>
      <w:r>
        <w:rPr/>
        <w:t>5</w:t>
      </w:r>
      <w:r>
        <w:rPr>
          <w:rtl w:val="true"/>
        </w:rPr>
        <w:t xml:space="preserve">): </w:t>
      </w:r>
      <w:r>
        <w:rPr>
          <w:rtl w:val="true"/>
        </w:rPr>
        <w:t>إذا اتّفقا علی الرجوع و انقضاء العدّة و اختلفا فی المتقدّم منهما</w:t>
      </w:r>
      <w:r>
        <w:rPr>
          <w:rtl w:val="true"/>
        </w:rPr>
        <w:t>]</w:t>
      </w:r>
      <w:bookmarkEnd w:id="80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اتّفقا علی الرجوع و انقضاء العدّة و اختلفا فی المتقدّم منهما فادّعی الزوج أنّ المتقدّم هو الرجوع، و ادّعت هی أنّ المتقدّم انقضاء العدّة، فإن تعیّن زمان الانقضاء، و ادّعی الزوج أنّ رجوعه کان قبله فوقع فی محلّه، و ادّعت هی وقوعه بعده فوقع فی غیر محلّه، فالأقرب أنّ القول قوله </w:t>
      </w:r>
      <w:r>
        <w:rPr>
          <w:rStyle w:val="FootnoteAnchor"/>
          <w:rtl w:val="true"/>
        </w:rPr>
        <w:footnoteReference w:id="2020"/>
      </w:r>
      <w:r>
        <w:rPr>
          <w:rFonts w:ascii="IRNazanin" w:hAnsi="IRNazanin" w:eastAsia="IRNazanin"/>
          <w:color w:val="111111"/>
          <w:sz w:val="28"/>
          <w:sz w:val="28"/>
          <w:szCs w:val="28"/>
          <w:rtl w:val="true"/>
          <w:lang w:bidi="fa-IR"/>
        </w:rPr>
        <w:t>بیمینه، و إن کان بالعکس؛ بأن تعیّن زمان الرجوع و أنّه یوم الجمعة مثلًا و ادّعی الزوج أنّ انقضاء العدّة کان فی یوم السبت، و ادّعت هی أنّه کان فی یوم الخمیس، فالقول قولها بیمینها</w:t>
      </w:r>
      <w:r>
        <w:rPr>
          <w:rFonts w:eastAsia="IRNazanin" w:cs="IRNazanin"/>
          <w:color w:val="111111"/>
          <w:sz w:val="28"/>
          <w:szCs w:val="28"/>
          <w:rtl w:val="true"/>
          <w:lang w:bidi="fa-IR"/>
        </w:rPr>
        <w:t>.</w:t>
      </w:r>
    </w:p>
    <w:p>
      <w:pPr>
        <w:pStyle w:val="Heading5"/>
        <w:numPr>
          <w:ilvl w:val="4"/>
          <w:numId w:val="1"/>
        </w:numPr>
        <w:rPr/>
      </w:pPr>
      <w:bookmarkStart w:id="8077" w:name="__RefHeading___Toc2572280_3650668749"/>
      <w:bookmarkStart w:id="8078" w:name="_Toc3649"/>
      <w:bookmarkEnd w:id="8077"/>
      <w:r>
        <w:rPr>
          <w:rtl w:val="true"/>
        </w:rPr>
        <w:t>[ (</w:t>
      </w:r>
      <w:r>
        <w:rPr>
          <w:rtl w:val="true"/>
        </w:rPr>
        <w:t xml:space="preserve">مسألة </w:t>
      </w:r>
      <w:r>
        <w:rPr/>
        <w:t>6</w:t>
      </w:r>
      <w:r>
        <w:rPr>
          <w:rtl w:val="true"/>
        </w:rPr>
        <w:t xml:space="preserve">): </w:t>
      </w:r>
      <w:r>
        <w:rPr>
          <w:rtl w:val="true"/>
        </w:rPr>
        <w:t>لو طلّق و راجع، فأنکرت هی الدخول بها قبل الطلاق</w:t>
      </w:r>
      <w:r>
        <w:rPr>
          <w:rtl w:val="true"/>
        </w:rPr>
        <w:t>]</w:t>
      </w:r>
      <w:bookmarkEnd w:id="80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 و راجع، فأنکرت هی الدخول بها قبل الطلاق؛ لئلا تکون علیها عدّة و لا تکون له الرجعة، و ادّعیٰ هو الدخول، کان القول قولها مع یمینها</w:t>
      </w:r>
      <w:r>
        <w:rPr>
          <w:rFonts w:eastAsia="IRNazanin" w:cs="IRNazanin"/>
          <w:color w:val="111111"/>
          <w:sz w:val="28"/>
          <w:szCs w:val="28"/>
          <w:rtl w:val="true"/>
          <w:lang w:bidi="fa-IR"/>
        </w:rPr>
        <w:t>.</w:t>
      </w:r>
    </w:p>
    <w:p>
      <w:pPr>
        <w:pStyle w:val="Heading5"/>
        <w:numPr>
          <w:ilvl w:val="4"/>
          <w:numId w:val="1"/>
        </w:numPr>
        <w:rPr/>
      </w:pPr>
      <w:bookmarkStart w:id="8079" w:name="__RefHeading___Toc2572282_3650668749"/>
      <w:bookmarkStart w:id="8080" w:name="_Toc3650"/>
      <w:bookmarkEnd w:id="8079"/>
      <w:r>
        <w:rPr>
          <w:rtl w:val="true"/>
        </w:rPr>
        <w:t>[ (</w:t>
      </w:r>
      <w:r>
        <w:rPr>
          <w:rtl w:val="true"/>
        </w:rPr>
        <w:t xml:space="preserve">مسألة </w:t>
      </w:r>
      <w:r>
        <w:rPr/>
        <w:t>7</w:t>
      </w:r>
      <w:r>
        <w:rPr>
          <w:rtl w:val="true"/>
        </w:rPr>
        <w:t xml:space="preserve">): </w:t>
      </w:r>
      <w:r>
        <w:rPr>
          <w:rtl w:val="true"/>
        </w:rPr>
        <w:t>الظاهر أنّ جواز الرجوع فی الطلاق الرجعی حکم شرعی غیر قابل للإسقاط</w:t>
      </w:r>
      <w:r>
        <w:rPr>
          <w:rtl w:val="true"/>
        </w:rPr>
        <w:t>]</w:t>
      </w:r>
      <w:bookmarkEnd w:id="8080"/>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جواز الرجوع فی الطلاق الرجعی حکم شرعی غیر قابل للإسقاط، و لیس حقّا قابلًا للإسقاط کالخیار فی البیع الخیاری، فلو قال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أسقطت ما کان لی من حقّ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یسقط، و کان له الرجوع بعد ذلک، و کذلک إذا صالح عنه بعوض أو بغیر عوض</w:t>
      </w:r>
      <w:r>
        <w:rPr>
          <w:rFonts w:eastAsia="IRNazanin" w:cs="IRNazanin"/>
          <w:color w:val="111111"/>
          <w:sz w:val="28"/>
          <w:szCs w:val="28"/>
          <w:rtl w:val="true"/>
          <w:lang w:bidi="fa-IR"/>
        </w:rPr>
        <w:t>.</w:t>
      </w:r>
      <w:bookmarkStart w:id="8081" w:name="pg1809_20015"/>
    </w:p>
    <w:p>
      <w:pPr>
        <w:pStyle w:val="Heading2"/>
        <w:numPr>
          <w:ilvl w:val="1"/>
          <w:numId w:val="1"/>
        </w:numPr>
        <w:rPr/>
      </w:pPr>
      <w:bookmarkStart w:id="8082" w:name="__RefHeading___Toc2572284_3650668749"/>
      <w:bookmarkStart w:id="8083" w:name="_Toc3651"/>
      <w:bookmarkEnd w:id="8081"/>
      <w:bookmarkEnd w:id="8082"/>
      <w:r>
        <w:rPr>
          <w:rtl w:val="true"/>
        </w:rPr>
        <w:t>[</w:t>
      </w:r>
      <w:r>
        <w:rPr>
          <w:rtl w:val="true"/>
        </w:rPr>
        <w:t>کتاب الخلع و المبارأة</w:t>
      </w:r>
      <w:r>
        <w:rPr>
          <w:rtl w:val="true"/>
        </w:rPr>
        <w:t>]</w:t>
      </w:r>
      <w:bookmarkEnd w:id="8083"/>
    </w:p>
    <w:p>
      <w:pPr>
        <w:pStyle w:val="Heading3"/>
        <w:numPr>
          <w:ilvl w:val="2"/>
          <w:numId w:val="1"/>
        </w:numPr>
        <w:rPr/>
      </w:pPr>
      <w:bookmarkStart w:id="8084" w:name="__RefHeading___Toc2572286_3650668749"/>
      <w:bookmarkStart w:id="8085" w:name="_Toc3652"/>
      <w:bookmarkEnd w:id="8084"/>
      <w:r>
        <w:rPr>
          <w:rtl w:val="true"/>
        </w:rPr>
        <w:t>اشارة</w:t>
      </w:r>
      <w:bookmarkEnd w:id="8085"/>
    </w:p>
    <w:p>
      <w:pPr>
        <w:pStyle w:val="BookText"/>
        <w:rPr/>
      </w:pPr>
      <w:r>
        <w:rPr>
          <w:rFonts w:ascii="IRNazanin" w:hAnsi="IRNazanin" w:eastAsia="IRNazanin"/>
          <w:color w:val="111111"/>
          <w:sz w:val="28"/>
          <w:sz w:val="28"/>
          <w:szCs w:val="28"/>
          <w:rtl w:val="true"/>
          <w:lang w:bidi="fa-IR"/>
        </w:rPr>
        <w:t>کتاب الخلع و المبارأة</w:t>
      </w:r>
    </w:p>
    <w:p>
      <w:pPr>
        <w:pStyle w:val="Heading3"/>
        <w:numPr>
          <w:ilvl w:val="2"/>
          <w:numId w:val="1"/>
        </w:numPr>
        <w:rPr/>
      </w:pPr>
      <w:bookmarkStart w:id="8086" w:name="__RefHeading___Toc2572288_3650668749"/>
      <w:bookmarkStart w:id="8087" w:name="_Toc3653"/>
      <w:bookmarkEnd w:id="8086"/>
      <w:r>
        <w:rPr>
          <w:rtl w:val="true"/>
        </w:rPr>
        <w:t>[ (</w:t>
      </w:r>
      <w:r>
        <w:rPr>
          <w:rtl w:val="true"/>
        </w:rPr>
        <w:t xml:space="preserve">مسألة </w:t>
      </w:r>
      <w:r>
        <w:rPr/>
        <w:t>1</w:t>
      </w:r>
      <w:r>
        <w:rPr>
          <w:rtl w:val="true"/>
        </w:rPr>
        <w:t xml:space="preserve">): </w:t>
      </w:r>
      <w:r>
        <w:rPr>
          <w:rtl w:val="true"/>
        </w:rPr>
        <w:t>الخلع هو الطلاق بفدیة من الزوجة الکارهة لزوجها</w:t>
      </w:r>
      <w:r>
        <w:rPr>
          <w:rtl w:val="true"/>
        </w:rPr>
        <w:t>]</w:t>
      </w:r>
      <w:bookmarkEnd w:id="80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الخلع هو الطلاق بفدیة من الزوجة الکارهة لزوجها، فهو قسم من الطلاق و یعتبر فیه جمیع شروط الطلاق المتقدّمة، و یزید علیها بأنّه یعتبر فیه کراهة الزوجة لزوجها خاصّة، فإن کانت الکراهة من الطرفین کان مباراة، و إن کان من طرف الزوج خاصّة لم یکن خلعاً و لا مباراة</w:t>
      </w:r>
      <w:r>
        <w:rPr>
          <w:rFonts w:eastAsia="IRNazanin" w:cs="IRNazanin"/>
          <w:color w:val="111111"/>
          <w:sz w:val="28"/>
          <w:szCs w:val="28"/>
          <w:rtl w:val="true"/>
          <w:lang w:bidi="fa-IR"/>
        </w:rPr>
        <w:t>.</w:t>
      </w:r>
    </w:p>
    <w:p>
      <w:pPr>
        <w:pStyle w:val="Heading3"/>
        <w:numPr>
          <w:ilvl w:val="2"/>
          <w:numId w:val="1"/>
        </w:numPr>
        <w:rPr/>
      </w:pPr>
      <w:bookmarkStart w:id="8088" w:name="__RefHeading___Toc2572290_3650668749"/>
      <w:bookmarkStart w:id="8089" w:name="_Toc3654"/>
      <w:bookmarkEnd w:id="8088"/>
      <w:r>
        <w:rPr>
          <w:rtl w:val="true"/>
        </w:rPr>
        <w:t>[ (</w:t>
      </w:r>
      <w:r>
        <w:rPr>
          <w:rtl w:val="true"/>
        </w:rPr>
        <w:t xml:space="preserve">مسألة </w:t>
      </w:r>
      <w:r>
        <w:rPr/>
        <w:t>2</w:t>
      </w:r>
      <w:r>
        <w:rPr>
          <w:rtl w:val="true"/>
        </w:rPr>
        <w:t xml:space="preserve">): </w:t>
      </w:r>
      <w:r>
        <w:rPr>
          <w:rtl w:val="true"/>
        </w:rPr>
        <w:t>الظاهر وقوع الخلع بکلّ من لفظی الخلع و الطلاق</w:t>
      </w:r>
      <w:r>
        <w:rPr>
          <w:rtl w:val="true"/>
        </w:rPr>
        <w:t>]</w:t>
      </w:r>
      <w:bookmarkEnd w:id="80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Style w:val="FootnoteAnchor"/>
          <w:rtl w:val="true"/>
        </w:rPr>
        <w:footnoteReference w:id="2021"/>
      </w:r>
      <w:r>
        <w:rPr>
          <w:rFonts w:ascii="IRNazanin" w:hAnsi="IRNazanin" w:eastAsia="IRNazanin"/>
          <w:color w:val="111111"/>
          <w:sz w:val="28"/>
          <w:sz w:val="28"/>
          <w:szCs w:val="28"/>
          <w:rtl w:val="true"/>
          <w:lang w:bidi="fa-IR"/>
        </w:rPr>
        <w:t>وقوع الخلع بکلّ من لفظی الخلع و الطلاق مجرّداً کلّ منهما عن الآخر أو منضمّاً، فبعدما أنشأت الزوجة بذل الفدیة لیخلعها مثلًا یجوز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خلعتکِ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مختلعة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یکتفی به، أو یتبعه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طالق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یکتفی به، أو یتبعه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مختلعة علیٰ کذا</w:t>
      </w:r>
      <w:r>
        <w:rPr>
          <w:rFonts w:eastAsia="IRNazanin" w:cs="IRNazanin"/>
          <w:color w:val="111111"/>
          <w:sz w:val="28"/>
          <w:szCs w:val="28"/>
          <w:rtl w:val="true"/>
          <w:lang w:bidi="fa-IR"/>
        </w:rPr>
        <w:t>».</w:t>
      </w:r>
    </w:p>
    <w:p>
      <w:pPr>
        <w:pStyle w:val="Heading3"/>
        <w:numPr>
          <w:ilvl w:val="2"/>
          <w:numId w:val="1"/>
        </w:numPr>
        <w:rPr/>
      </w:pPr>
      <w:bookmarkStart w:id="8090" w:name="__RefHeading___Toc2572292_3650668749"/>
      <w:bookmarkStart w:id="8091" w:name="_Toc3655"/>
      <w:bookmarkEnd w:id="8090"/>
      <w:r>
        <w:rPr>
          <w:rtl w:val="true"/>
        </w:rPr>
        <w:t>[ (</w:t>
      </w:r>
      <w:r>
        <w:rPr>
          <w:rtl w:val="true"/>
        </w:rPr>
        <w:t xml:space="preserve">مسألة </w:t>
      </w:r>
      <w:r>
        <w:rPr/>
        <w:t>3</w:t>
      </w:r>
      <w:r>
        <w:rPr>
          <w:rtl w:val="true"/>
        </w:rPr>
        <w:t xml:space="preserve">): </w:t>
      </w:r>
      <w:r>
        <w:rPr>
          <w:rtl w:val="true"/>
        </w:rPr>
        <w:t>الخلع و إن کان قسماً من الطلاق و هو من الإیقاعات إلّا أنّه یشبه العقود</w:t>
      </w:r>
      <w:r>
        <w:rPr>
          <w:rtl w:val="true"/>
        </w:rPr>
        <w:t>]</w:t>
      </w:r>
      <w:bookmarkEnd w:id="80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الخلع و إن کان قسماً من الطلاق و هو من الإیقاعات إلّا أنّه یشبه العقود فی الاحتیاج إلیٰ طرفین و إنشاءین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شی‌ء من طرف الزوجة لیطلّقها الزوج، و إنشاء الطلاق من طرف الزوج بما بذلت، و یقع ذلک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یقدّم البذل من طرفها علیٰ أن یطلّقها، فیطلّقها علیٰ 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یبتدئ الزوج بالطلاق مصرّحاً بذکر العوض فتقبّل الزوجة بعده، و الأحوط أن یکون الترتیب علی النحو الأوّل، بل هذا الاحتیاط لا یترک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2" w:name="__RefHeading___Toc2572294_3650668749"/>
      <w:bookmarkStart w:id="8093" w:name="_Toc3656"/>
      <w:bookmarkEnd w:id="8092"/>
      <w:r>
        <w:rPr>
          <w:rtl w:val="true"/>
        </w:rPr>
        <w:t>[ (</w:t>
      </w:r>
      <w:r>
        <w:rPr>
          <w:rtl w:val="true"/>
        </w:rPr>
        <w:t xml:space="preserve">مسألة </w:t>
      </w:r>
      <w:r>
        <w:rPr/>
        <w:t>4</w:t>
      </w:r>
      <w:r>
        <w:rPr>
          <w:rtl w:val="true"/>
        </w:rPr>
        <w:t xml:space="preserve">): </w:t>
      </w:r>
      <w:r>
        <w:rPr>
          <w:rtl w:val="true"/>
        </w:rPr>
        <w:t>یعتبر فی صحّة الخلع عدم الفصل بین إنشاء البذل و الطلاق بما لا یخلّ بالفوریّة العرفیّة</w:t>
      </w:r>
      <w:r>
        <w:rPr>
          <w:rtl w:val="true"/>
        </w:rPr>
        <w:t>]</w:t>
      </w:r>
      <w:bookmarkEnd w:id="8093"/>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صحّة الخلع عدم الفصل بین إنشاء البذل و الطلاق بما لا یخلّ بالفوریّة العرفیّة، فلو أخلّ بها بطل الخلع و لم یستحقّ الزوج العوض، و لکن لم یبطل</w:t>
      </w:r>
      <w:bookmarkStart w:id="8094" w:name="pg1809_20018"/>
    </w:p>
    <w:p>
      <w:pPr>
        <w:pStyle w:val="BookText"/>
        <w:rPr/>
      </w:pPr>
      <w:bookmarkEnd w:id="8094"/>
      <w:r>
        <w:rPr>
          <w:rFonts w:ascii="IRNazanin" w:hAnsi="IRNazanin" w:eastAsia="IRNazanin"/>
          <w:color w:val="111111"/>
          <w:sz w:val="28"/>
          <w:sz w:val="28"/>
          <w:szCs w:val="28"/>
          <w:rtl w:val="true"/>
          <w:lang w:bidi="fa-IR"/>
        </w:rPr>
        <w:t xml:space="preserve">الطلاق و وقع رجعیّاً مع فرض اجتماع شرائطه </w:t>
      </w:r>
      <w:r>
        <w:rPr>
          <w:rStyle w:val="FootnoteAnchor"/>
          <w:rtl w:val="true"/>
        </w:rPr>
        <w:footnoteReference w:id="2023"/>
      </w:r>
      <w:r>
        <w:rPr>
          <w:rFonts w:ascii="Amiri" w:hAnsi="Amiri" w:eastAsia="Amiri" w:cs="Amiri"/>
          <w:color w:val="111111"/>
          <w:sz w:val="28"/>
          <w:sz w:val="28"/>
          <w:szCs w:val="28"/>
          <w:rtl w:val="true"/>
          <w:lang w:bidi="ar-SA"/>
        </w:rPr>
        <w:t>، و إلّا کان بائناً</w:t>
      </w:r>
      <w:r>
        <w:rPr>
          <w:rFonts w:eastAsia="Amiri" w:cs="Amiri" w:ascii="Amiri" w:hAnsi="Amiri"/>
          <w:color w:val="111111"/>
          <w:sz w:val="28"/>
          <w:szCs w:val="28"/>
          <w:rtl w:val="true"/>
          <w:lang w:bidi="ar-SA"/>
        </w:rPr>
        <w:t>.</w:t>
      </w:r>
    </w:p>
    <w:p>
      <w:pPr>
        <w:pStyle w:val="Heading3"/>
        <w:numPr>
          <w:ilvl w:val="2"/>
          <w:numId w:val="1"/>
        </w:numPr>
        <w:rPr/>
      </w:pPr>
      <w:bookmarkStart w:id="8095" w:name="__RefHeading___Toc2572296_3650668749"/>
      <w:bookmarkStart w:id="8096" w:name="_Toc3657"/>
      <w:bookmarkEnd w:id="8095"/>
      <w:r>
        <w:rPr>
          <w:rtl w:val="true"/>
        </w:rPr>
        <w:t>[ (</w:t>
      </w:r>
      <w:r>
        <w:rPr>
          <w:rtl w:val="true"/>
        </w:rPr>
        <w:t xml:space="preserve">مسألة </w:t>
      </w:r>
      <w:r>
        <w:rPr/>
        <w:t>5</w:t>
      </w:r>
      <w:r>
        <w:rPr>
          <w:rtl w:val="true"/>
        </w:rPr>
        <w:t xml:space="preserve">): </w:t>
      </w:r>
      <w:r>
        <w:rPr>
          <w:rtl w:val="true"/>
        </w:rPr>
        <w:t>یجوز أن یکون البذل و الطلاق بمباشرة الزوجین أو بتوکیلهما الغیر أو بالاختلاف</w:t>
      </w:r>
      <w:r>
        <w:rPr>
          <w:rtl w:val="true"/>
        </w:rPr>
        <w:t>]</w:t>
      </w:r>
      <w:bookmarkEnd w:id="80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البذل و الطلاق بمباشرة الزوجین أو بتوکیلهما الغیر أو بالاختلاف، و یجوز أن یوکّلا شخصاً واحداً لیبذل عنها و یطلّق عنه، بل الظاهر أنّه یجوز لکلّ منهما أن یوکّل الآخر فیما هو من طرفه، فیکون أصیلًا فیما یرجع إلیه و وکیلًا فیما یرجع إلی الآخر</w:t>
      </w:r>
      <w:r>
        <w:rPr>
          <w:rFonts w:eastAsia="IRNazanin" w:cs="IRNazanin"/>
          <w:color w:val="111111"/>
          <w:sz w:val="28"/>
          <w:szCs w:val="28"/>
          <w:rtl w:val="true"/>
          <w:lang w:bidi="fa-IR"/>
        </w:rPr>
        <w:t>.</w:t>
      </w:r>
    </w:p>
    <w:p>
      <w:pPr>
        <w:pStyle w:val="Heading3"/>
        <w:numPr>
          <w:ilvl w:val="2"/>
          <w:numId w:val="1"/>
        </w:numPr>
        <w:rPr/>
      </w:pPr>
      <w:bookmarkStart w:id="8097" w:name="__RefHeading___Toc2572298_3650668749"/>
      <w:bookmarkStart w:id="8098" w:name="_Toc3658"/>
      <w:bookmarkEnd w:id="8097"/>
      <w:r>
        <w:rPr>
          <w:rtl w:val="true"/>
        </w:rPr>
        <w:t>[ (</w:t>
      </w:r>
      <w:r>
        <w:rPr>
          <w:rtl w:val="true"/>
        </w:rPr>
        <w:t xml:space="preserve">مسألة </w:t>
      </w:r>
      <w:r>
        <w:rPr/>
        <w:t>6</w:t>
      </w:r>
      <w:r>
        <w:rPr>
          <w:rtl w:val="true"/>
        </w:rPr>
        <w:t xml:space="preserve">): </w:t>
      </w:r>
      <w:r>
        <w:rPr>
          <w:rtl w:val="true"/>
        </w:rPr>
        <w:t>یصحّ التوکیل فی الخلع فی جمیع ما یتعلّق به</w:t>
      </w:r>
      <w:r>
        <w:rPr>
          <w:rtl w:val="true"/>
        </w:rPr>
        <w:t>]</w:t>
      </w:r>
      <w:bookmarkEnd w:id="80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التوکیل فی الخلع فی جمیع ما یتعلّق به؛ من شرط العوض و تعیینه و قبضه و إیقاع الطلاق، و من المرأة فی جمیع ما یتعلّق بها من استدعاء الطلاق و تقدیر العوض و تسلیمه</w:t>
      </w:r>
      <w:r>
        <w:rPr>
          <w:rFonts w:eastAsia="IRNazanin" w:cs="IRNazanin"/>
          <w:color w:val="111111"/>
          <w:sz w:val="28"/>
          <w:szCs w:val="28"/>
          <w:rtl w:val="true"/>
          <w:lang w:bidi="fa-IR"/>
        </w:rPr>
        <w:t>.</w:t>
      </w:r>
    </w:p>
    <w:p>
      <w:pPr>
        <w:pStyle w:val="Heading3"/>
        <w:numPr>
          <w:ilvl w:val="2"/>
          <w:numId w:val="1"/>
        </w:numPr>
        <w:rPr/>
      </w:pPr>
      <w:bookmarkStart w:id="8099" w:name="__RefHeading___Toc2572300_3650668749"/>
      <w:bookmarkStart w:id="8100" w:name="_Toc3659"/>
      <w:bookmarkEnd w:id="8099"/>
      <w:r>
        <w:rPr>
          <w:rtl w:val="true"/>
        </w:rPr>
        <w:t>[ (</w:t>
      </w:r>
      <w:r>
        <w:rPr>
          <w:rtl w:val="true"/>
        </w:rPr>
        <w:t xml:space="preserve">مسألة </w:t>
      </w:r>
      <w:r>
        <w:rPr/>
        <w:t>7</w:t>
      </w:r>
      <w:r>
        <w:rPr>
          <w:rtl w:val="true"/>
        </w:rPr>
        <w:t xml:space="preserve">): </w:t>
      </w:r>
      <w:r>
        <w:rPr>
          <w:rtl w:val="true"/>
        </w:rPr>
        <w:t>إذا وقع الخلع بمباشرة الزوجین</w:t>
      </w:r>
      <w:r>
        <w:rPr>
          <w:rtl w:val="true"/>
        </w:rPr>
        <w:t xml:space="preserve">: </w:t>
      </w:r>
      <w:r>
        <w:rPr>
          <w:rtl w:val="true"/>
        </w:rPr>
        <w:t>فإمّا أن تبدأ الزوجة و تقول</w:t>
      </w:r>
      <w:r>
        <w:rPr>
          <w:rtl w:val="true"/>
        </w:rPr>
        <w:t>]</w:t>
      </w:r>
      <w:bookmarkEnd w:id="8100"/>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الخلع بمباشرة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تبدأ الزوجة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بذلت لک أو أعطیتک ما علیک من المهر أو الشی‌ء الفلانی لتطلّقنی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أو مختلعة بکسر اللام علیٰ 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أعطیت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یبتدئ الزوج بعد ما تواطئا علی الطلاق بعوض،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أو مختلعة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وقع من وکیلین یقول وکیل الزوجة مخاطباً لوکیل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قبل موکّلتی فلانة بذلت لموکّلک ما علیه من المهر أو المبلغ الفلانی لیخلعها و لیطلّقها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 وکیل الزوج 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موکّلی طالق علیٰ ما بذلت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قبل موکّلی خلعت موکّلتک علیٰ 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وقع من وکیل أحدهما مع الآخر کوکیل الزوجة مع الزوج یقول وکیلها مخاطباً للزوج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قبل موکّلتی فلانة أو زوجتک بذلت لک ما علیک من المهر أو الشی‌ء الفلانی علیٰ أن تطلّقها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الزوج 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أو زوجتی طالق علیٰ 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یبتدئ الزوج مخاطباً لوکیلها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موکّلتک أو زوجتی فلانة طالق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قبل موکّلتی قبلت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وقع ممّن کان وکیلًا عن الطرفین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قبل موکّلتی فلانة بذلت لموکّلی فلان الشی‌ء الفلانی لیطلّقها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موکّلی طالق علیٰ ما بذلت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یبتدئ من طرف الزوج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موکّلی طالق علی الشی‌ء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من طرف الزوجة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قبل موکّلتی 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w:t>
      </w:r>
      <w:bookmarkStart w:id="8101" w:name="pg1809_20020"/>
    </w:p>
    <w:p>
      <w:pPr>
        <w:pStyle w:val="BookText"/>
        <w:rPr/>
      </w:pPr>
      <w:bookmarkEnd w:id="8101"/>
      <w:r>
        <w:rPr>
          <w:rFonts w:ascii="IRNazanin" w:hAnsi="IRNazanin" w:eastAsia="IRNazanin"/>
          <w:color w:val="111111"/>
          <w:sz w:val="28"/>
          <w:sz w:val="28"/>
          <w:szCs w:val="28"/>
          <w:rtl w:val="true"/>
          <w:lang w:bidi="fa-IR"/>
        </w:rPr>
        <w:t>فرض أنّ الزوجة وکّلت الزوج فی البذل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قبل موکّلتی زوجتی بذلت لنفسی کذا لُاطلّقها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طالق علیٰ ما بذلت</w:t>
      </w:r>
      <w:r>
        <w:rPr>
          <w:rFonts w:eastAsia="IRNazanin" w:cs="IRNazanin"/>
          <w:color w:val="111111"/>
          <w:sz w:val="28"/>
          <w:szCs w:val="28"/>
          <w:rtl w:val="true"/>
          <w:lang w:bidi="fa-IR"/>
        </w:rPr>
        <w:t>».</w:t>
      </w:r>
    </w:p>
    <w:p>
      <w:pPr>
        <w:pStyle w:val="Heading3"/>
        <w:numPr>
          <w:ilvl w:val="2"/>
          <w:numId w:val="1"/>
        </w:numPr>
        <w:rPr/>
      </w:pPr>
      <w:bookmarkStart w:id="8102" w:name="__RefHeading___Toc2572302_3650668749"/>
      <w:bookmarkStart w:id="8103" w:name="_Toc3660"/>
      <w:bookmarkEnd w:id="8102"/>
      <w:r>
        <w:rPr>
          <w:rtl w:val="true"/>
        </w:rPr>
        <w:t>[ (</w:t>
      </w:r>
      <w:r>
        <w:rPr>
          <w:rtl w:val="true"/>
        </w:rPr>
        <w:t xml:space="preserve">مسألة </w:t>
      </w:r>
      <w:r>
        <w:rPr/>
        <w:t>8</w:t>
      </w:r>
      <w:r>
        <w:rPr>
          <w:rtl w:val="true"/>
        </w:rPr>
        <w:t xml:space="preserve">): </w:t>
      </w:r>
      <w:r>
        <w:rPr>
          <w:rtl w:val="true"/>
        </w:rPr>
        <w:t>یجوز أن یکون البذل من طرف الزوجة؛ باستدعائها الطلاق من الزوج بعوض معلوم</w:t>
      </w:r>
      <w:r>
        <w:rPr>
          <w:rtl w:val="true"/>
        </w:rPr>
        <w:t>]</w:t>
      </w:r>
      <w:bookmarkEnd w:id="8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البذل من طرف الزوجة؛ باستدعائها الطلاق من الزوج بعوض معلوم بأن تقول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طلّقنی أو اخلعنی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أو مختلعة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فیتمّ الخلع، و الأحوط </w:t>
      </w:r>
      <w:r>
        <w:rPr>
          <w:rStyle w:val="FootnoteAnchor"/>
          <w:rtl w:val="true"/>
        </w:rPr>
        <w:footnoteReference w:id="2024"/>
      </w:r>
      <w:r>
        <w:rPr>
          <w:rFonts w:ascii="IRNazanin" w:hAnsi="IRNazanin" w:eastAsia="IRNazanin"/>
          <w:color w:val="111111"/>
          <w:sz w:val="28"/>
          <w:sz w:val="28"/>
          <w:szCs w:val="28"/>
          <w:rtl w:val="true"/>
          <w:lang w:bidi="fa-IR"/>
        </w:rPr>
        <w:t>إتباعه بالقبول منها بأن تقول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p>
    <w:p>
      <w:pPr>
        <w:pStyle w:val="Heading3"/>
        <w:numPr>
          <w:ilvl w:val="2"/>
          <w:numId w:val="1"/>
        </w:numPr>
        <w:rPr/>
      </w:pPr>
      <w:bookmarkStart w:id="8104" w:name="__RefHeading___Toc2572304_3650668749"/>
      <w:bookmarkStart w:id="8105" w:name="_Toc3661"/>
      <w:bookmarkEnd w:id="8104"/>
      <w:r>
        <w:rPr>
          <w:rtl w:val="true"/>
        </w:rPr>
        <w:t>[ (</w:t>
      </w:r>
      <w:r>
        <w:rPr>
          <w:rtl w:val="true"/>
        </w:rPr>
        <w:t xml:space="preserve">مسألة </w:t>
      </w:r>
      <w:r>
        <w:rPr/>
        <w:t>9</w:t>
      </w:r>
      <w:r>
        <w:rPr>
          <w:rtl w:val="true"/>
        </w:rPr>
        <w:t xml:space="preserve">): </w:t>
      </w:r>
      <w:r>
        <w:rPr>
          <w:rtl w:val="true"/>
        </w:rPr>
        <w:t>یشترط فی تحقّق الخلع بذل الفداء عوضاً عن الطلاق</w:t>
      </w:r>
      <w:r>
        <w:rPr>
          <w:rtl w:val="true"/>
        </w:rPr>
        <w:t>]</w:t>
      </w:r>
      <w:bookmarkEnd w:id="8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تحقّق الخلع بذل الفداء عوضاً عن الطلاق، و یجوز الفداء بکلّ متموّل؛ من عین أو دین أو منفعة، قلّ أو کثر و إن زاد عن المهر المسمّی، فإن کان عیناً حاضراً یکفی </w:t>
      </w:r>
      <w:r>
        <w:rPr>
          <w:rStyle w:val="FootnoteAnchor"/>
          <w:rtl w:val="true"/>
        </w:rPr>
        <w:footnoteReference w:id="2025"/>
      </w:r>
      <w:r>
        <w:rPr>
          <w:rFonts w:ascii="IRNazanin" w:hAnsi="IRNazanin" w:eastAsia="IRNazanin"/>
          <w:color w:val="111111"/>
          <w:sz w:val="28"/>
          <w:sz w:val="28"/>
          <w:szCs w:val="28"/>
          <w:rtl w:val="true"/>
          <w:lang w:bidi="fa-IR"/>
        </w:rPr>
        <w:t>فیه المشاهدة، و إن کان کلّیاً فی الذمّة أو غائباً ذکر جنسه و وصفه و قدره، فلو جعل الفداء ألف و لم یذکر المراد فسد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یصحّ جعل الفداء إرضاع ولده لکن مشروطاً بتعیین </w:t>
      </w:r>
      <w:r>
        <w:rPr>
          <w:rStyle w:val="FootnoteAnchor"/>
          <w:rtl w:val="true"/>
        </w:rPr>
        <w:footnoteReference w:id="2026"/>
      </w: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جعل کلّیّاً فی ذمّتها یجوز جعله حالّا و مؤجّلًا، مع تعیین الأجل بما لا إجمال فیه</w:t>
      </w:r>
      <w:r>
        <w:rPr>
          <w:rFonts w:eastAsia="Amiri" w:cs="Amiri" w:ascii="Amiri" w:hAnsi="Amiri"/>
          <w:color w:val="111111"/>
          <w:sz w:val="28"/>
          <w:szCs w:val="28"/>
          <w:rtl w:val="true"/>
          <w:lang w:bidi="ar-SA"/>
        </w:rPr>
        <w:t>.</w:t>
      </w:r>
    </w:p>
    <w:p>
      <w:pPr>
        <w:pStyle w:val="Heading3"/>
        <w:numPr>
          <w:ilvl w:val="2"/>
          <w:numId w:val="1"/>
        </w:numPr>
        <w:rPr/>
      </w:pPr>
      <w:bookmarkStart w:id="8106" w:name="__RefHeading___Toc2572306_3650668749"/>
      <w:bookmarkStart w:id="8107" w:name="_Toc3662"/>
      <w:bookmarkEnd w:id="8106"/>
      <w:r>
        <w:rPr>
          <w:rtl w:val="true"/>
        </w:rPr>
        <w:t>[ (</w:t>
      </w:r>
      <w:r>
        <w:rPr>
          <w:rtl w:val="true"/>
        </w:rPr>
        <w:t xml:space="preserve">مسألة </w:t>
      </w:r>
      <w:r>
        <w:rPr/>
        <w:t>10</w:t>
      </w:r>
      <w:r>
        <w:rPr>
          <w:rtl w:val="true"/>
        </w:rPr>
        <w:t xml:space="preserve">): </w:t>
      </w:r>
      <w:r>
        <w:rPr>
          <w:rtl w:val="true"/>
        </w:rPr>
        <w:t>یصحّ بذل الفداء منها و من وکیلها</w:t>
      </w:r>
      <w:r>
        <w:rPr>
          <w:rtl w:val="true"/>
        </w:rPr>
        <w:t>]</w:t>
      </w:r>
      <w:bookmarkEnd w:id="8107"/>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بذل الفداء منها و من وکیلها؛ بأن یبذل وکالة عنها من مالها الموجود أو بمال فی ذمّتها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یصحّ ممّن یضمنه فی ذمّته بإذنها فیرجع إلیها بعد البذل بأن تقول لشخص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من زوجی أن یطلّقنی بألف درهم مثلًا علیک، و بعد ما دفعتها إلیه ارجع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ذلک و طلّقها الزوج علیٰ ذلک؟ وجهان، بل قولان، لا یخلو أوّلهما من رجحان </w:t>
      </w:r>
      <w:r>
        <w:rPr>
          <w:rStyle w:val="FootnoteAnchor"/>
          <w:rtl w:val="true"/>
        </w:rPr>
        <w:footnoteReference w:id="2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أنّه لا یصحّ من المتبرّع الذی یبذل من ماله من دون رجوع إلیها، فلو قالت الزوجة لزوجها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طلّقنی علیٰ دار زید، أو ألف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فطلّقها علیٰ ذلک و قد أذن زید فی</w:t>
      </w:r>
      <w:bookmarkStart w:id="8108" w:name="pg1809_20023"/>
    </w:p>
    <w:p>
      <w:pPr>
        <w:pStyle w:val="BookText"/>
        <w:rPr/>
      </w:pPr>
      <w:bookmarkEnd w:id="8108"/>
      <w:r>
        <w:rPr>
          <w:rFonts w:ascii="IRNazanin" w:hAnsi="IRNazanin" w:eastAsia="IRNazanin"/>
          <w:color w:val="111111"/>
          <w:sz w:val="28"/>
          <w:sz w:val="28"/>
          <w:szCs w:val="28"/>
          <w:rtl w:val="true"/>
          <w:lang w:bidi="fa-IR"/>
        </w:rPr>
        <w:t xml:space="preserve">ذلک، أو أجاز بعد ذلک لم یصحّ الخلع </w:t>
      </w:r>
      <w:r>
        <w:rPr>
          <w:rStyle w:val="FootnoteAnchor"/>
          <w:rtl w:val="true"/>
        </w:rPr>
        <w:footnoteReference w:id="2028"/>
      </w:r>
      <w:r>
        <w:rPr>
          <w:rFonts w:ascii="Amiri" w:hAnsi="Amiri" w:eastAsia="Amiri" w:cs="Amiri"/>
          <w:color w:val="111111"/>
          <w:sz w:val="28"/>
          <w:sz w:val="28"/>
          <w:szCs w:val="28"/>
          <w:rtl w:val="true"/>
          <w:lang w:bidi="ar-SA"/>
        </w:rPr>
        <w:t>، و کذا لو وکّلت زیداً علیٰ أن یطلب من زوجها أن یطلّقها علیٰ ذلک فطلّقها علیٰ ذلک</w:t>
      </w:r>
      <w:r>
        <w:rPr>
          <w:rFonts w:eastAsia="Amiri" w:cs="Amiri" w:ascii="Amiri" w:hAnsi="Amiri"/>
          <w:color w:val="111111"/>
          <w:sz w:val="28"/>
          <w:szCs w:val="28"/>
          <w:rtl w:val="true"/>
          <w:lang w:bidi="ar-SA"/>
        </w:rPr>
        <w:t>.</w:t>
      </w:r>
    </w:p>
    <w:p>
      <w:pPr>
        <w:pStyle w:val="Heading3"/>
        <w:numPr>
          <w:ilvl w:val="2"/>
          <w:numId w:val="1"/>
        </w:numPr>
        <w:rPr/>
      </w:pPr>
      <w:bookmarkStart w:id="8109" w:name="__RefHeading___Toc2572308_3650668749"/>
      <w:bookmarkStart w:id="8110" w:name="_Toc3663"/>
      <w:bookmarkEnd w:id="8109"/>
      <w:r>
        <w:rPr>
          <w:rtl w:val="true"/>
        </w:rPr>
        <w:t>[ (</w:t>
      </w:r>
      <w:r>
        <w:rPr>
          <w:rtl w:val="true"/>
        </w:rPr>
        <w:t xml:space="preserve">مسألة </w:t>
      </w:r>
      <w:r>
        <w:rPr/>
        <w:t>11</w:t>
      </w:r>
      <w:r>
        <w:rPr>
          <w:rtl w:val="true"/>
        </w:rPr>
        <w:t xml:space="preserve">): </w:t>
      </w:r>
      <w:r>
        <w:rPr>
          <w:rtl w:val="true"/>
        </w:rPr>
        <w:t>إذا قال أبوها</w:t>
      </w:r>
      <w:r>
        <w:rPr>
          <w:rtl w:val="true"/>
        </w:rPr>
        <w:t>: «</w:t>
      </w:r>
      <w:r>
        <w:rPr>
          <w:rtl w:val="true"/>
        </w:rPr>
        <w:t>طلّقها و أنت بری‌ء من صداقها</w:t>
      </w:r>
      <w:r>
        <w:rPr>
          <w:rtl w:val="true"/>
        </w:rPr>
        <w:t xml:space="preserve">» </w:t>
      </w:r>
      <w:r>
        <w:rPr>
          <w:rtl w:val="true"/>
        </w:rPr>
        <w:t>و کانت بالغة رشیدة فطلّقها صحّ الطلاق</w:t>
      </w:r>
      <w:r>
        <w:rPr>
          <w:rtl w:val="true"/>
        </w:rPr>
        <w:t>]</w:t>
      </w:r>
      <w:bookmarkEnd w:id="8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أبوها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طلّقها و أنت بری‌ء من صداقها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بالغة رشیدة فطلّقها صحّ الطلاق </w:t>
      </w:r>
      <w:r>
        <w:rPr>
          <w:rStyle w:val="FootnoteAnchor"/>
          <w:rtl w:val="true"/>
        </w:rPr>
        <w:footnoteReference w:id="2029"/>
      </w:r>
      <w:r>
        <w:rPr>
          <w:rFonts w:ascii="IRNazanin" w:hAnsi="IRNazanin" w:eastAsia="IRNazanin"/>
          <w:color w:val="111111"/>
          <w:sz w:val="28"/>
          <w:sz w:val="28"/>
          <w:szCs w:val="28"/>
          <w:rtl w:val="true"/>
          <w:lang w:bidi="fa-IR"/>
        </w:rPr>
        <w:t>و کان رجعیّاً، و لم تبرأ ذمّته بذلک ما لم تبرئ، و لم یلزم علیها الإبراء و لا یضمنه الأب</w:t>
      </w:r>
      <w:r>
        <w:rPr>
          <w:rFonts w:eastAsia="IRNazanin" w:cs="IRNazanin"/>
          <w:color w:val="111111"/>
          <w:sz w:val="28"/>
          <w:szCs w:val="28"/>
          <w:rtl w:val="true"/>
          <w:lang w:bidi="fa-IR"/>
        </w:rPr>
        <w:t>.</w:t>
      </w:r>
    </w:p>
    <w:p>
      <w:pPr>
        <w:pStyle w:val="Heading3"/>
        <w:numPr>
          <w:ilvl w:val="2"/>
          <w:numId w:val="1"/>
        </w:numPr>
        <w:rPr/>
      </w:pPr>
      <w:bookmarkStart w:id="8111" w:name="__RefHeading___Toc2572310_3650668749"/>
      <w:bookmarkStart w:id="8112" w:name="_Toc3664"/>
      <w:bookmarkEnd w:id="8111"/>
      <w:r>
        <w:rPr>
          <w:rtl w:val="true"/>
        </w:rPr>
        <w:t>[ (</w:t>
      </w:r>
      <w:r>
        <w:rPr>
          <w:rtl w:val="true"/>
        </w:rPr>
        <w:t xml:space="preserve">مسألة </w:t>
      </w:r>
      <w:r>
        <w:rPr/>
        <w:t>12</w:t>
      </w:r>
      <w:r>
        <w:rPr>
          <w:rtl w:val="true"/>
        </w:rPr>
        <w:t xml:space="preserve">): </w:t>
      </w:r>
      <w:r>
        <w:rPr>
          <w:rtl w:val="true"/>
        </w:rPr>
        <w:t>لو جعلت الفداء مال الغیر أو ما لا یملکه المسلم کالخمر مع العلم بذلک بطل البذل</w:t>
      </w:r>
      <w:r>
        <w:rPr>
          <w:rtl w:val="true"/>
        </w:rPr>
        <w:t>]</w:t>
      </w:r>
      <w:bookmarkEnd w:id="8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جعلت الفداء مال الغیر أو ما لا یملکه المسلم کالخمر مع العلم بذلک بطل البذل، فبطل الخلع و کان الطلاق رجعیّاً </w:t>
      </w:r>
      <w:r>
        <w:rPr>
          <w:rStyle w:val="FootnoteAnchor"/>
          <w:rtl w:val="true"/>
        </w:rPr>
        <w:footnoteReference w:id="2030"/>
      </w:r>
      <w:r>
        <w:rPr>
          <w:rFonts w:ascii="IRNazanin" w:hAnsi="IRNazanin" w:eastAsia="IRNazanin"/>
          <w:color w:val="111111"/>
          <w:sz w:val="28"/>
          <w:sz w:val="28"/>
          <w:szCs w:val="28"/>
          <w:rtl w:val="true"/>
          <w:lang w:bidi="fa-IR"/>
        </w:rPr>
        <w:t>، و أمّا لو جعلته مال الغیر مع الجهل بأنّه مال الغیر، فالمشهور صحّة الخلع و ضمانها للمثل أو القیمة و فیه تأمّل</w:t>
      </w:r>
      <w:r>
        <w:rPr>
          <w:rFonts w:eastAsia="IRNazanin" w:cs="IRNazanin"/>
          <w:color w:val="111111"/>
          <w:sz w:val="28"/>
          <w:szCs w:val="28"/>
          <w:rtl w:val="true"/>
          <w:lang w:bidi="fa-IR"/>
        </w:rPr>
        <w:t>.</w:t>
      </w:r>
    </w:p>
    <w:p>
      <w:pPr>
        <w:pStyle w:val="Heading3"/>
        <w:numPr>
          <w:ilvl w:val="2"/>
          <w:numId w:val="1"/>
        </w:numPr>
        <w:rPr/>
      </w:pPr>
      <w:bookmarkStart w:id="8113" w:name="__RefHeading___Toc2572312_3650668749"/>
      <w:bookmarkStart w:id="8114" w:name="_Toc3665"/>
      <w:bookmarkEnd w:id="8113"/>
      <w:r>
        <w:rPr>
          <w:rtl w:val="true"/>
        </w:rPr>
        <w:t>[ (</w:t>
      </w:r>
      <w:r>
        <w:rPr>
          <w:rtl w:val="true"/>
        </w:rPr>
        <w:t xml:space="preserve">مسألة </w:t>
      </w:r>
      <w:r>
        <w:rPr/>
        <w:t>13</w:t>
      </w:r>
      <w:r>
        <w:rPr>
          <w:rtl w:val="true"/>
        </w:rPr>
        <w:t xml:space="preserve">): </w:t>
      </w:r>
      <w:r>
        <w:rPr>
          <w:rtl w:val="true"/>
        </w:rPr>
        <w:t>یشترط فی الخلع أن تکون الزوجة کارهة للزوج من دون عکس</w:t>
      </w:r>
      <w:r>
        <w:rPr>
          <w:rtl w:val="true"/>
        </w:rPr>
        <w:t>]</w:t>
      </w:r>
      <w:bookmarkEnd w:id="8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الخلع أن تکون الزوجة کارهة للزوج من دون عکس کما مرّ، و الأحوط أن تکون الکراهة شدیدة؛ بحیث یخاف من قولها أو فعلها أو غیرهما الخروج عن الطاعة و الوقوع فی المعصیة</w:t>
      </w:r>
      <w:r>
        <w:rPr>
          <w:rFonts w:eastAsia="IRNazanin" w:cs="IRNazanin"/>
          <w:color w:val="111111"/>
          <w:sz w:val="28"/>
          <w:szCs w:val="28"/>
          <w:rtl w:val="true"/>
          <w:lang w:bidi="fa-IR"/>
        </w:rPr>
        <w:t>.</w:t>
      </w:r>
    </w:p>
    <w:p>
      <w:pPr>
        <w:pStyle w:val="Heading3"/>
        <w:numPr>
          <w:ilvl w:val="2"/>
          <w:numId w:val="1"/>
        </w:numPr>
        <w:rPr/>
      </w:pPr>
      <w:bookmarkStart w:id="8115" w:name="__RefHeading___Toc2572314_3650668749"/>
      <w:bookmarkStart w:id="8116" w:name="_Toc3666"/>
      <w:bookmarkEnd w:id="8115"/>
      <w:r>
        <w:rPr>
          <w:rtl w:val="true"/>
        </w:rPr>
        <w:t>[ (</w:t>
      </w:r>
      <w:r>
        <w:rPr>
          <w:rtl w:val="true"/>
        </w:rPr>
        <w:t xml:space="preserve">مسألة </w:t>
      </w:r>
      <w:r>
        <w:rPr/>
        <w:t>14</w:t>
      </w:r>
      <w:r>
        <w:rPr>
          <w:rtl w:val="true"/>
        </w:rPr>
        <w:t xml:space="preserve">): </w:t>
      </w:r>
      <w:r>
        <w:rPr>
          <w:rtl w:val="true"/>
        </w:rPr>
        <w:t>الظاهر أنّه لا فرق بین أن تکون الکراهة المشترطة فی الخلع ذاتیّة ناشئة من خصوصیات الزوج</w:t>
      </w:r>
      <w:r>
        <w:rPr>
          <w:rtl w:val="true"/>
        </w:rPr>
        <w:t>]</w:t>
      </w:r>
      <w:bookmarkEnd w:id="8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فرق بین أن تکون الکراهة المشترطة فی الخلع ذاتیّة ناشئة من خصوصیات الزوج، کقبح منظره و سوء خلقه و فقره و غیر ذلک، و بین أن تکون ناشئة من بعض العوارض، مثل وجود الضرّة و عدم إیفاء الزوج بعض الحقوق المستحبّة أو الواجبة کالقسم و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کانت الکراهة و طلب المفارقة من جهة إیذاء الزوج لها بالسبّ و الشتم و الضرب و نحوها، فترید تخلیص نفسها منه، فبذلت شیئاً لیطلّقها فطلّقها، لم یتحقّق الخلع و حرم علیه ما یأخذه منها، و لکن الطلاق صحّ رجعیّاً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17" w:name="__RefHeading___Toc2572316_3650668749"/>
      <w:bookmarkStart w:id="8118" w:name="_Toc3667"/>
      <w:bookmarkEnd w:id="8117"/>
      <w:r>
        <w:rPr>
          <w:rtl w:val="true"/>
        </w:rPr>
        <w:t>[ (</w:t>
      </w:r>
      <w:r>
        <w:rPr>
          <w:rtl w:val="true"/>
        </w:rPr>
        <w:t xml:space="preserve">مسألة </w:t>
      </w:r>
      <w:r>
        <w:rPr/>
        <w:t>15</w:t>
      </w:r>
      <w:r>
        <w:rPr>
          <w:rtl w:val="true"/>
        </w:rPr>
        <w:t xml:space="preserve">): </w:t>
      </w:r>
      <w:r>
        <w:rPr>
          <w:rtl w:val="true"/>
        </w:rPr>
        <w:t>لو طلّقها بعوض مع عدم الکراهة و کون الأخلاق ملتئمة لم یصحّ الخلع</w:t>
      </w:r>
      <w:r>
        <w:rPr>
          <w:rtl w:val="true"/>
        </w:rPr>
        <w:t>]</w:t>
      </w:r>
      <w:bookmarkEnd w:id="8118"/>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طلّقها بعوض مع عدم الکراهة و کون الأخلاق ملتئمة لم یصحّ الخلع و لم یملک العوض، و لکن صحّ </w:t>
      </w:r>
      <w:r>
        <w:rPr>
          <w:rStyle w:val="FootnoteAnchor"/>
          <w:rtl w:val="true"/>
        </w:rPr>
        <w:footnoteReference w:id="2032"/>
      </w:r>
      <w:r>
        <w:rPr>
          <w:rFonts w:ascii="IRNazanin" w:hAnsi="IRNazanin" w:eastAsia="IRNazanin"/>
          <w:color w:val="111111"/>
          <w:sz w:val="28"/>
          <w:sz w:val="28"/>
          <w:szCs w:val="28"/>
          <w:rtl w:val="true"/>
          <w:lang w:bidi="fa-IR"/>
        </w:rPr>
        <w:t>الطلاق، فإن کان مورداً للطلاق الرجعی کان رجعیّاً، و إلّا کان بائناً</w:t>
      </w:r>
      <w:r>
        <w:rPr>
          <w:rFonts w:eastAsia="IRNazanin" w:cs="IRNazanin"/>
          <w:color w:val="111111"/>
          <w:sz w:val="28"/>
          <w:szCs w:val="28"/>
          <w:rtl w:val="true"/>
          <w:lang w:bidi="fa-IR"/>
        </w:rPr>
        <w:t>.</w:t>
      </w:r>
      <w:bookmarkStart w:id="8119" w:name="pg1809_20025"/>
    </w:p>
    <w:p>
      <w:pPr>
        <w:pStyle w:val="Heading3"/>
        <w:numPr>
          <w:ilvl w:val="2"/>
          <w:numId w:val="1"/>
        </w:numPr>
        <w:rPr/>
      </w:pPr>
      <w:bookmarkStart w:id="8120" w:name="__RefHeading___Toc2572318_3650668749"/>
      <w:bookmarkStart w:id="8121" w:name="_Toc3668"/>
      <w:bookmarkEnd w:id="8119"/>
      <w:bookmarkEnd w:id="8120"/>
      <w:r>
        <w:rPr>
          <w:rtl w:val="true"/>
        </w:rPr>
        <w:t>[ (</w:t>
      </w:r>
      <w:r>
        <w:rPr>
          <w:rtl w:val="true"/>
        </w:rPr>
        <w:t xml:space="preserve">مسألة </w:t>
      </w:r>
      <w:r>
        <w:rPr/>
        <w:t>16</w:t>
      </w:r>
      <w:r>
        <w:rPr>
          <w:rtl w:val="true"/>
        </w:rPr>
        <w:t xml:space="preserve">): </w:t>
      </w:r>
      <w:r>
        <w:rPr>
          <w:rtl w:val="true"/>
        </w:rPr>
        <w:t>طلاق الخلع بائن لا یقع فیه الرجوع ما لم ترجع المرأة فیما بذلت</w:t>
      </w:r>
      <w:r>
        <w:rPr>
          <w:rtl w:val="true"/>
        </w:rPr>
        <w:t>]</w:t>
      </w:r>
      <w:bookmarkEnd w:id="8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الخلع بائن لا یقع فیه الرجوع ما لم ترجع المرأة فیما بذلت، و لها الرجوع فیه ما دامت فی العدّة، فإذا رجعت کان له الرجوع إلیها</w:t>
      </w:r>
      <w:r>
        <w:rPr>
          <w:rFonts w:eastAsia="IRNazanin" w:cs="IRNazanin"/>
          <w:color w:val="111111"/>
          <w:sz w:val="28"/>
          <w:szCs w:val="28"/>
          <w:rtl w:val="true"/>
          <w:lang w:bidi="fa-IR"/>
        </w:rPr>
        <w:t>.</w:t>
      </w:r>
    </w:p>
    <w:p>
      <w:pPr>
        <w:pStyle w:val="Heading3"/>
        <w:numPr>
          <w:ilvl w:val="2"/>
          <w:numId w:val="1"/>
        </w:numPr>
        <w:rPr/>
      </w:pPr>
      <w:bookmarkStart w:id="8122" w:name="__RefHeading___Toc2572320_3650668749"/>
      <w:bookmarkStart w:id="8123" w:name="_Toc3669"/>
      <w:bookmarkEnd w:id="8122"/>
      <w:r>
        <w:rPr>
          <w:rtl w:val="true"/>
        </w:rPr>
        <w:t>[ (</w:t>
      </w:r>
      <w:r>
        <w:rPr>
          <w:rtl w:val="true"/>
        </w:rPr>
        <w:t xml:space="preserve">مسألة </w:t>
      </w:r>
      <w:r>
        <w:rPr/>
        <w:t>17</w:t>
      </w:r>
      <w:r>
        <w:rPr>
          <w:rtl w:val="true"/>
        </w:rPr>
        <w:t xml:space="preserve">): </w:t>
      </w:r>
      <w:r>
        <w:rPr>
          <w:rtl w:val="true"/>
        </w:rPr>
        <w:t>الظاهر اشتراط جواز رجوعها فی المبذول بإمکان رجوعه بعد رجوعها</w:t>
      </w:r>
      <w:r>
        <w:rPr>
          <w:rtl w:val="true"/>
        </w:rPr>
        <w:t>]</w:t>
      </w:r>
      <w:bookmarkEnd w:id="8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اشتراط جواز رجوعها فی المبذول بإمکان رجوعه بعد رجوعها، فلو لم یجز له الرجوع، کالمطلّقة ثلاثاً و کما إذا کانت المختلعة ممّن لیست لها عدّة کالیائسة و غیر المدخول بها، لم یکن لها الرجوع فی البذل، بل لا یبعد عدم صحّة رجوعها فیما بذلت مع فرض عدم علمه بذلک إلی انقضاء محلّ رجوعه، فلو رجعت عند نفسها و لم یطّلع علیه الزوج حتّی انقضت العدّة لا أثر لرجوعها</w:t>
      </w:r>
      <w:r>
        <w:rPr>
          <w:rFonts w:eastAsia="IRNazanin" w:cs="IRNazanin"/>
          <w:color w:val="111111"/>
          <w:sz w:val="28"/>
          <w:szCs w:val="28"/>
          <w:rtl w:val="true"/>
          <w:lang w:bidi="fa-IR"/>
        </w:rPr>
        <w:t>.</w:t>
      </w:r>
    </w:p>
    <w:p>
      <w:pPr>
        <w:pStyle w:val="Heading3"/>
        <w:numPr>
          <w:ilvl w:val="2"/>
          <w:numId w:val="1"/>
        </w:numPr>
        <w:rPr/>
      </w:pPr>
      <w:bookmarkStart w:id="8124" w:name="__RefHeading___Toc2572322_3650668749"/>
      <w:bookmarkStart w:id="8125" w:name="_Toc3670"/>
      <w:bookmarkEnd w:id="8124"/>
      <w:r>
        <w:rPr>
          <w:rtl w:val="true"/>
        </w:rPr>
        <w:t>[ (</w:t>
      </w:r>
      <w:r>
        <w:rPr>
          <w:rtl w:val="true"/>
        </w:rPr>
        <w:t xml:space="preserve">مسألة </w:t>
      </w:r>
      <w:r>
        <w:rPr/>
        <w:t>18</w:t>
      </w:r>
      <w:r>
        <w:rPr>
          <w:rtl w:val="true"/>
        </w:rPr>
        <w:t xml:space="preserve">): </w:t>
      </w:r>
      <w:r>
        <w:rPr>
          <w:rtl w:val="true"/>
        </w:rPr>
        <w:t>المبارأة قسم من الطلاق، فیعتبر فیه جمیع شروطه المتقدّمة</w:t>
      </w:r>
      <w:r>
        <w:rPr>
          <w:rtl w:val="true"/>
        </w:rPr>
        <w:t>]</w:t>
      </w:r>
      <w:bookmarkEnd w:id="8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المبارأة قسم من الطلاق، فیعتبر فیه جمیع شروطه المتقدّمة، و یعتبر فیه ما یشترط فی الخلع من الفدیة و الکراهة، فهی کالخلع طلاق بعوض ما تبذله المرأة، و تقع بلفظ الطلاق مجرّداً بأن یقول الزوج بعد ما بذلت المرأة له شیئاً لیطلّقها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علیٰ 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متبعاً </w:t>
      </w:r>
      <w:r>
        <w:rPr>
          <w:rStyle w:val="FootnoteAnchor"/>
          <w:rtl w:val="true"/>
        </w:rPr>
        <w:footnoteReference w:id="2033"/>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بارأتک علیٰ کذا فأنت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یقع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w:t>
      </w:r>
      <w:r>
        <w:rPr>
          <w:rFonts w:eastAsia="IRNazanin" w:cs="IRNazanin"/>
          <w:color w:val="111111"/>
          <w:sz w:val="28"/>
          <w:szCs w:val="28"/>
          <w:rtl w:val="true"/>
          <w:lang w:bidi="fa-IR"/>
        </w:rPr>
        <w:t>.</w:t>
      </w:r>
    </w:p>
    <w:p>
      <w:pPr>
        <w:pStyle w:val="Heading3"/>
        <w:numPr>
          <w:ilvl w:val="2"/>
          <w:numId w:val="1"/>
        </w:numPr>
        <w:rPr/>
      </w:pPr>
      <w:bookmarkStart w:id="8126" w:name="__RefHeading___Toc2572324_3650668749"/>
      <w:bookmarkStart w:id="8127" w:name="_Toc3671"/>
      <w:bookmarkEnd w:id="8126"/>
      <w:r>
        <w:rPr>
          <w:rtl w:val="true"/>
        </w:rPr>
        <w:t>[ (</w:t>
      </w:r>
      <w:r>
        <w:rPr>
          <w:rtl w:val="true"/>
        </w:rPr>
        <w:t xml:space="preserve">مسألة </w:t>
      </w:r>
      <w:r>
        <w:rPr/>
        <w:t>19</w:t>
      </w:r>
      <w:r>
        <w:rPr>
          <w:rtl w:val="true"/>
        </w:rPr>
        <w:t xml:space="preserve">): </w:t>
      </w:r>
      <w:r>
        <w:rPr>
          <w:rtl w:val="true"/>
        </w:rPr>
        <w:t>المبارأة و إن کانت کالخلع لکنّها تفارقه بأُمور ثلاثة</w:t>
      </w:r>
      <w:r>
        <w:rPr>
          <w:rtl w:val="true"/>
        </w:rPr>
        <w:t>]</w:t>
      </w:r>
      <w:bookmarkEnd w:id="8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المبارأة و إن کانت کالخلع لکنّها تفارقه بأُمور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تترتّب علیٰ کراهة کلّ من الزوجین لصاحبه، بخلاف الخلع فإنّه یترتّب علیٰ کراهة الزوجة خاصّة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فیها أن لا تکون الفداء أکثر من مهرها، بل الأحوط أن یکون أقلّ منه، بخلاف الخلع فإنّه فیه علیٰ ما تراضیا به؛ ساوی المهر أو زاد علیه أو نقص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أوقعت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فیه إتباعه بالطلاق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أو 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الخلع إذ یجوز أن یوقعه بلفظ الخلع مجرّداً کما مرّ، و إن قیل فیه أیضاً بوجوب إتباعه بالطلاق، لکنّ الأقویٰ </w:t>
      </w:r>
      <w:r>
        <w:rPr>
          <w:rStyle w:val="FootnoteAnchor"/>
          <w:rtl w:val="true"/>
        </w:rPr>
        <w:footnoteReference w:id="2034"/>
      </w:r>
      <w:r>
        <w:rPr>
          <w:rFonts w:ascii="IRNazanin" w:hAnsi="IRNazanin" w:eastAsia="IRNazanin"/>
          <w:color w:val="111111"/>
          <w:sz w:val="28"/>
          <w:sz w:val="28"/>
          <w:szCs w:val="28"/>
          <w:rtl w:val="true"/>
          <w:lang w:bidi="fa-IR"/>
        </w:rPr>
        <w:t>خلافه کما مرّ</w:t>
      </w:r>
      <w:r>
        <w:rPr>
          <w:rFonts w:eastAsia="IRNazanin" w:cs="IRNazanin"/>
          <w:color w:val="111111"/>
          <w:sz w:val="28"/>
          <w:szCs w:val="28"/>
          <w:rtl w:val="true"/>
          <w:lang w:bidi="fa-IR"/>
        </w:rPr>
        <w:t>.</w:t>
      </w:r>
    </w:p>
    <w:p>
      <w:pPr>
        <w:pStyle w:val="Heading3"/>
        <w:numPr>
          <w:ilvl w:val="2"/>
          <w:numId w:val="1"/>
        </w:numPr>
        <w:rPr/>
      </w:pPr>
      <w:bookmarkStart w:id="8128" w:name="__RefHeading___Toc2572326_3650668749"/>
      <w:bookmarkStart w:id="8129" w:name="_Toc3672"/>
      <w:bookmarkEnd w:id="8128"/>
      <w:r>
        <w:rPr>
          <w:rtl w:val="true"/>
        </w:rPr>
        <w:t>[ (</w:t>
      </w:r>
      <w:r>
        <w:rPr>
          <w:rtl w:val="true"/>
        </w:rPr>
        <w:t xml:space="preserve">مسألة </w:t>
      </w:r>
      <w:r>
        <w:rPr/>
        <w:t>20</w:t>
      </w:r>
      <w:r>
        <w:rPr>
          <w:rtl w:val="true"/>
        </w:rPr>
        <w:t xml:space="preserve">): </w:t>
      </w:r>
      <w:r>
        <w:rPr>
          <w:rtl w:val="true"/>
        </w:rPr>
        <w:t>طلاق المبارأة بائن کالخلع</w:t>
      </w:r>
      <w:r>
        <w:rPr>
          <w:rtl w:val="true"/>
        </w:rPr>
        <w:t>]</w:t>
      </w:r>
      <w:bookmarkEnd w:id="8129"/>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المبارأة بائن کالخلع، لیس للزوج فیه رجوع إلّا أن ترجع الزوجة فی الفدیة قبل انقضاء العدّة، فله الرجوع حینئذٍ إلیها کما تقدّم فی الخلع</w:t>
      </w:r>
      <w:r>
        <w:rPr>
          <w:rFonts w:eastAsia="IRNazanin" w:cs="IRNazanin"/>
          <w:color w:val="111111"/>
          <w:sz w:val="28"/>
          <w:szCs w:val="28"/>
          <w:rtl w:val="true"/>
          <w:lang w:bidi="fa-IR"/>
        </w:rPr>
        <w:t>.</w:t>
      </w:r>
      <w:bookmarkStart w:id="8130" w:name="pg1809_20027"/>
    </w:p>
    <w:p>
      <w:pPr>
        <w:pStyle w:val="Heading2"/>
        <w:numPr>
          <w:ilvl w:val="1"/>
          <w:numId w:val="1"/>
        </w:numPr>
        <w:rPr/>
      </w:pPr>
      <w:bookmarkStart w:id="8131" w:name="__RefHeading___Toc2572328_3650668749"/>
      <w:bookmarkStart w:id="8132" w:name="_Toc3673"/>
      <w:bookmarkEnd w:id="8130"/>
      <w:bookmarkEnd w:id="8131"/>
      <w:r>
        <w:rPr>
          <w:rtl w:val="true"/>
        </w:rPr>
        <w:t>[</w:t>
      </w:r>
      <w:r>
        <w:rPr>
          <w:rtl w:val="true"/>
        </w:rPr>
        <w:t>کتاب الظهار و الإیلاء و اللعان</w:t>
      </w:r>
      <w:r>
        <w:rPr>
          <w:rtl w:val="true"/>
        </w:rPr>
        <w:t>]</w:t>
      </w:r>
      <w:bookmarkEnd w:id="8132"/>
    </w:p>
    <w:p>
      <w:pPr>
        <w:pStyle w:val="Heading3"/>
        <w:numPr>
          <w:ilvl w:val="2"/>
          <w:numId w:val="1"/>
        </w:numPr>
        <w:rPr/>
      </w:pPr>
      <w:bookmarkStart w:id="8133" w:name="__RefHeading___Toc2572330_3650668749"/>
      <w:bookmarkStart w:id="8134" w:name="_Toc3674"/>
      <w:bookmarkEnd w:id="8133"/>
      <w:r>
        <w:rPr>
          <w:rtl w:val="true"/>
        </w:rPr>
        <w:t>اشارة</w:t>
      </w:r>
      <w:bookmarkEnd w:id="8134"/>
    </w:p>
    <w:p>
      <w:pPr>
        <w:pStyle w:val="BookText"/>
        <w:rPr/>
      </w:pPr>
      <w:r>
        <w:rPr>
          <w:rFonts w:ascii="IRNazanin" w:hAnsi="IRNazanin" w:eastAsia="IRNazanin"/>
          <w:color w:val="111111"/>
          <w:sz w:val="28"/>
          <w:sz w:val="28"/>
          <w:szCs w:val="28"/>
          <w:rtl w:val="true"/>
          <w:lang w:bidi="fa-IR"/>
        </w:rPr>
        <w:t>کتاب الظهار و الإیلاء و اللعان</w:t>
      </w:r>
    </w:p>
    <w:p>
      <w:pPr>
        <w:pStyle w:val="Heading3"/>
        <w:numPr>
          <w:ilvl w:val="2"/>
          <w:numId w:val="1"/>
        </w:numPr>
        <w:rPr/>
      </w:pPr>
      <w:bookmarkStart w:id="8135" w:name="__RefHeading___Toc2572332_3650668749"/>
      <w:bookmarkStart w:id="8136" w:name="_Toc3675"/>
      <w:bookmarkEnd w:id="8135"/>
      <w:r>
        <w:rPr>
          <w:rtl w:val="true"/>
        </w:rPr>
        <w:t>[</w:t>
      </w:r>
      <w:r>
        <w:rPr>
          <w:rtl w:val="true"/>
        </w:rPr>
        <w:t>القول فی الظهار</w:t>
      </w:r>
      <w:r>
        <w:rPr>
          <w:rtl w:val="true"/>
        </w:rPr>
        <w:t>]</w:t>
      </w:r>
      <w:bookmarkEnd w:id="8136"/>
    </w:p>
    <w:p>
      <w:pPr>
        <w:pStyle w:val="Heading4"/>
        <w:numPr>
          <w:ilvl w:val="3"/>
          <w:numId w:val="1"/>
        </w:numPr>
        <w:rPr/>
      </w:pPr>
      <w:bookmarkStart w:id="8137" w:name="__RefHeading___Toc2572334_3650668749"/>
      <w:bookmarkStart w:id="8138" w:name="_Toc3676"/>
      <w:bookmarkEnd w:id="8137"/>
      <w:r>
        <w:rPr>
          <w:rtl w:val="true"/>
        </w:rPr>
        <w:t>اشارة</w:t>
      </w:r>
      <w:bookmarkEnd w:id="8138"/>
    </w:p>
    <w:p>
      <w:pPr>
        <w:pStyle w:val="BookText"/>
        <w:rPr/>
      </w:pPr>
      <w:r>
        <w:rPr>
          <w:rFonts w:ascii="IRNazanin" w:hAnsi="IRNazanin" w:eastAsia="IRNazanin"/>
          <w:color w:val="111111"/>
          <w:sz w:val="28"/>
          <w:sz w:val="28"/>
          <w:szCs w:val="28"/>
          <w:rtl w:val="true"/>
          <w:lang w:bidi="fa-IR"/>
        </w:rPr>
        <w:t>القول فی الظهار الذی کان طلاقاً فی الجاهلیّة و موجباً للحرمة الأبدیّة، و قد غیّر شرع الإسلام حکمه و جعله موجباً لتحریم الزوجة المظاهرة، و لزوم الکفّارة بالعود کما ستعرف تفصیله</w:t>
      </w:r>
      <w:r>
        <w:rPr>
          <w:rFonts w:eastAsia="IRNazanin" w:cs="IRNazanin"/>
          <w:color w:val="111111"/>
          <w:sz w:val="28"/>
          <w:szCs w:val="28"/>
          <w:rtl w:val="true"/>
          <w:lang w:bidi="fa-IR"/>
        </w:rPr>
        <w:t>.</w:t>
      </w:r>
    </w:p>
    <w:p>
      <w:pPr>
        <w:pStyle w:val="Heading4"/>
        <w:numPr>
          <w:ilvl w:val="3"/>
          <w:numId w:val="1"/>
        </w:numPr>
        <w:rPr/>
      </w:pPr>
      <w:bookmarkStart w:id="8139" w:name="__RefHeading___Toc2572336_3650668749"/>
      <w:bookmarkStart w:id="8140" w:name="_Toc3677"/>
      <w:bookmarkEnd w:id="8139"/>
      <w:r>
        <w:rPr>
          <w:rtl w:val="true"/>
        </w:rPr>
        <w:t>[ (</w:t>
      </w:r>
      <w:r>
        <w:rPr>
          <w:rtl w:val="true"/>
        </w:rPr>
        <w:t xml:space="preserve">مسألة </w:t>
      </w:r>
      <w:r>
        <w:rPr/>
        <w:t>1</w:t>
      </w:r>
      <w:r>
        <w:rPr>
          <w:rtl w:val="true"/>
        </w:rPr>
        <w:t xml:space="preserve">): </w:t>
      </w:r>
      <w:r>
        <w:rPr>
          <w:rtl w:val="true"/>
        </w:rPr>
        <w:t>صیغة الظهار أن یقول الزوج مخاطباً للزوجة</w:t>
      </w:r>
      <w:r>
        <w:rPr>
          <w:rtl w:val="true"/>
        </w:rPr>
        <w:t>: «</w:t>
      </w:r>
      <w:r>
        <w:rPr>
          <w:rtl w:val="true"/>
        </w:rPr>
        <w:t>أنت علیّ کظهر أُمّی</w:t>
      </w:r>
      <w:r>
        <w:rPr>
          <w:rtl w:val="true"/>
        </w:rPr>
        <w:t>»]</w:t>
      </w:r>
      <w:bookmarkEnd w:id="8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الظهار أن یقول الزوج مخاطباً للزوجة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یقول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 إلیها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الظاهر عدم اعتبار ذکر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أشباهها أصلًا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کظهر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شبّهها بجزء آخر من أجزاء الأُمّ غیر الظهر کرأسها أو یدها أو بطنها ففی وقوع الظهار قولان، أحوطهما ذلک، بل لا یخلو من قوّة </w:t>
      </w:r>
      <w:r>
        <w:rPr>
          <w:rStyle w:val="FootnoteAnchor"/>
          <w:rtl w:val="true"/>
        </w:rPr>
        <w:footnoteReference w:id="2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کأُمّی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به التحریم لا علوّ المنزلة و التعظیم أو کبر السنّ و غیر ذلک لم یقع، و إن کان الأحوط خلافه، بل لا یترک الاحتیاط</w:t>
      </w:r>
      <w:r>
        <w:rPr>
          <w:rFonts w:eastAsia="IRNazanin" w:cs="IRNazanin"/>
          <w:color w:val="111111"/>
          <w:sz w:val="28"/>
          <w:szCs w:val="28"/>
          <w:rtl w:val="true"/>
          <w:lang w:bidi="fa-IR"/>
        </w:rPr>
        <w:t>.</w:t>
      </w:r>
    </w:p>
    <w:p>
      <w:pPr>
        <w:pStyle w:val="Heading4"/>
        <w:numPr>
          <w:ilvl w:val="3"/>
          <w:numId w:val="1"/>
        </w:numPr>
        <w:rPr/>
      </w:pPr>
      <w:bookmarkStart w:id="8141" w:name="__RefHeading___Toc2572338_3650668749"/>
      <w:bookmarkStart w:id="8142" w:name="_Toc3678"/>
      <w:bookmarkEnd w:id="8141"/>
      <w:r>
        <w:rPr>
          <w:rtl w:val="true"/>
        </w:rPr>
        <w:t>[ (</w:t>
      </w:r>
      <w:r>
        <w:rPr>
          <w:rtl w:val="true"/>
        </w:rPr>
        <w:t xml:space="preserve">مسألة </w:t>
      </w:r>
      <w:r>
        <w:rPr/>
        <w:t>2</w:t>
      </w:r>
      <w:r>
        <w:rPr>
          <w:rtl w:val="true"/>
        </w:rPr>
        <w:t xml:space="preserve">): </w:t>
      </w:r>
      <w:r>
        <w:rPr>
          <w:rtl w:val="true"/>
        </w:rPr>
        <w:t>لو شبّهها بإحدی المحارم النسبیّة غیر الامّ کالبنت و الأُخت</w:t>
      </w:r>
      <w:r>
        <w:rPr>
          <w:rtl w:val="true"/>
        </w:rPr>
        <w:t>]</w:t>
      </w:r>
      <w:bookmarkEnd w:id="8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شبّهها بإحدی المحارم النسبیّة غیر الامّ کالبنت و الأُخت فمع ذکر الظهر بأن 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أُختی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الظهار علی الأقویٰ، و بدونه کما إذا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کرأس أُختی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یقع علیٰ إشکال</w:t>
      </w:r>
      <w:r>
        <w:rPr>
          <w:rFonts w:eastAsia="IRNazanin" w:cs="IRNazanin"/>
          <w:color w:val="111111"/>
          <w:sz w:val="28"/>
          <w:szCs w:val="28"/>
          <w:rtl w:val="true"/>
          <w:lang w:bidi="fa-IR"/>
        </w:rPr>
        <w:t>.</w:t>
      </w:r>
    </w:p>
    <w:p>
      <w:pPr>
        <w:pStyle w:val="Heading4"/>
        <w:numPr>
          <w:ilvl w:val="3"/>
          <w:numId w:val="1"/>
        </w:numPr>
        <w:rPr/>
      </w:pPr>
      <w:bookmarkStart w:id="8143" w:name="__RefHeading___Toc2572340_3650668749"/>
      <w:bookmarkStart w:id="8144" w:name="_Toc3679"/>
      <w:bookmarkEnd w:id="8143"/>
      <w:r>
        <w:rPr>
          <w:rtl w:val="true"/>
        </w:rPr>
        <w:t>[ (</w:t>
      </w:r>
      <w:r>
        <w:rPr>
          <w:rtl w:val="true"/>
        </w:rPr>
        <w:t xml:space="preserve">مسألة </w:t>
      </w:r>
      <w:r>
        <w:rPr/>
        <w:t>3</w:t>
      </w:r>
      <w:r>
        <w:rPr>
          <w:rtl w:val="true"/>
        </w:rPr>
        <w:t xml:space="preserve">): </w:t>
      </w:r>
      <w:r>
        <w:rPr>
          <w:rtl w:val="true"/>
        </w:rPr>
        <w:t>الظهار الموجب للتحریم ما کان من طرف الرجل</w:t>
      </w:r>
      <w:r>
        <w:rPr>
          <w:rtl w:val="true"/>
        </w:rPr>
        <w:t>]</w:t>
      </w:r>
      <w:bookmarkEnd w:id="8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الظهار الموجب للتحریم ما کان من طرف الرجل، فلو قالت المرأة لزوجها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أبی أو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یؤثّر شیئاً</w:t>
      </w:r>
      <w:r>
        <w:rPr>
          <w:rFonts w:eastAsia="IRNazanin" w:cs="IRNazanin"/>
          <w:color w:val="111111"/>
          <w:sz w:val="28"/>
          <w:szCs w:val="28"/>
          <w:rtl w:val="true"/>
          <w:lang w:bidi="fa-IR"/>
        </w:rPr>
        <w:t>.</w:t>
      </w:r>
    </w:p>
    <w:p>
      <w:pPr>
        <w:pStyle w:val="Heading4"/>
        <w:numPr>
          <w:ilvl w:val="3"/>
          <w:numId w:val="1"/>
        </w:numPr>
        <w:rPr/>
      </w:pPr>
      <w:bookmarkStart w:id="8145" w:name="__RefHeading___Toc2572342_3650668749"/>
      <w:bookmarkStart w:id="8146" w:name="_Toc3680"/>
      <w:bookmarkEnd w:id="8145"/>
      <w:r>
        <w:rPr>
          <w:rtl w:val="true"/>
        </w:rPr>
        <w:t>[ (</w:t>
      </w:r>
      <w:r>
        <w:rPr>
          <w:rtl w:val="true"/>
        </w:rPr>
        <w:t xml:space="preserve">مسألة </w:t>
      </w:r>
      <w:r>
        <w:rPr/>
        <w:t>4</w:t>
      </w:r>
      <w:r>
        <w:rPr>
          <w:rtl w:val="true"/>
        </w:rPr>
        <w:t xml:space="preserve">): </w:t>
      </w:r>
      <w:r>
        <w:rPr>
          <w:rtl w:val="true"/>
        </w:rPr>
        <w:t>یشترط فی الظهار وقوعه بحضور عدلین یسمعان قول المظاهر کالطلاق</w:t>
      </w:r>
      <w:r>
        <w:rPr>
          <w:rtl w:val="true"/>
        </w:rPr>
        <w:t>]</w:t>
      </w:r>
      <w:bookmarkEnd w:id="8146"/>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الظهار وقوعه بحضور عدلین یسمعان قول المظاهر کالطلاق</w:t>
      </w:r>
      <w:bookmarkStart w:id="8147" w:name="pg1809_20029"/>
    </w:p>
    <w:p>
      <w:pPr>
        <w:pStyle w:val="BookText"/>
        <w:rPr/>
      </w:pPr>
      <w:bookmarkEnd w:id="8147"/>
      <w:r>
        <w:rPr>
          <w:rFonts w:ascii="IRNazanin" w:hAnsi="IRNazanin" w:eastAsia="IRNazanin"/>
          <w:color w:val="111111"/>
          <w:sz w:val="28"/>
          <w:sz w:val="28"/>
          <w:szCs w:val="28"/>
          <w:rtl w:val="true"/>
          <w:lang w:bidi="fa-IR"/>
        </w:rPr>
        <w:t>و فی المظاهر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و العقل و الاختیار </w:t>
      </w:r>
      <w:r>
        <w:rPr>
          <w:rStyle w:val="FootnoteAnchor"/>
          <w:rtl w:val="true"/>
        </w:rPr>
        <w:footnoteReference w:id="2036"/>
      </w:r>
      <w:r>
        <w:rPr>
          <w:rFonts w:ascii="IRNazanin" w:hAnsi="IRNazanin" w:eastAsia="IRNazanin"/>
          <w:color w:val="111111"/>
          <w:sz w:val="28"/>
          <w:sz w:val="28"/>
          <w:szCs w:val="28"/>
          <w:rtl w:val="true"/>
          <w:lang w:bidi="fa-IR"/>
        </w:rPr>
        <w:t xml:space="preserve">، فلا یقع من الصبیّ و لا المجنون و لا المکره و لا الساهی، بل و لا مع الغضب السالب </w:t>
      </w:r>
      <w:r>
        <w:rPr>
          <w:rStyle w:val="FootnoteAnchor"/>
          <w:rtl w:val="true"/>
        </w:rPr>
        <w:footnoteReference w:id="2037"/>
      </w:r>
      <w:r>
        <w:rPr>
          <w:rFonts w:ascii="IRNazanin" w:hAnsi="IRNazanin" w:eastAsia="IRNazanin"/>
          <w:color w:val="111111"/>
          <w:sz w:val="28"/>
          <w:sz w:val="28"/>
          <w:szCs w:val="28"/>
          <w:rtl w:val="true"/>
          <w:lang w:bidi="fa-IR"/>
        </w:rPr>
        <w:t>للقصد، و فی المظاهرة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خلوّها عن الحیض و النفاس، و کونها فی طهر لم یواقعها فیه علی التفصیل المذکور فی الطلاق، و فی اشتراط کونها مدخولًا بها قولان، أصحّهما ذلک</w:t>
      </w:r>
      <w:r>
        <w:rPr>
          <w:rFonts w:eastAsia="IRNazanin" w:cs="IRNazanin"/>
          <w:color w:val="111111"/>
          <w:sz w:val="28"/>
          <w:szCs w:val="28"/>
          <w:rtl w:val="true"/>
          <w:lang w:bidi="fa-IR"/>
        </w:rPr>
        <w:t>.</w:t>
      </w:r>
    </w:p>
    <w:p>
      <w:pPr>
        <w:pStyle w:val="Heading4"/>
        <w:numPr>
          <w:ilvl w:val="3"/>
          <w:numId w:val="1"/>
        </w:numPr>
        <w:rPr/>
      </w:pPr>
      <w:bookmarkStart w:id="8148" w:name="__RefHeading___Toc2572344_3650668749"/>
      <w:bookmarkStart w:id="8149" w:name="_Toc3681"/>
      <w:bookmarkEnd w:id="8148"/>
      <w:r>
        <w:rPr>
          <w:rtl w:val="true"/>
        </w:rPr>
        <w:t>[ (</w:t>
      </w:r>
      <w:r>
        <w:rPr>
          <w:rtl w:val="true"/>
        </w:rPr>
        <w:t xml:space="preserve">مسألة </w:t>
      </w:r>
      <w:r>
        <w:rPr/>
        <w:t>5</w:t>
      </w:r>
      <w:r>
        <w:rPr>
          <w:rtl w:val="true"/>
        </w:rPr>
        <w:t xml:space="preserve">): </w:t>
      </w:r>
      <w:r>
        <w:rPr>
          <w:rtl w:val="true"/>
        </w:rPr>
        <w:t>الأقویٰ عدم اعتبار دوام الزوجیّة فی المظاهرة</w:t>
      </w:r>
      <w:r>
        <w:rPr>
          <w:rtl w:val="true"/>
        </w:rPr>
        <w:t>]</w:t>
      </w:r>
      <w:bookmarkEnd w:id="8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عدم اعتبار دوام الزوجیّة فی المظاهرة، بل یقع علی المتمتّع بها، بل و علی المملوکة</w:t>
      </w:r>
      <w:r>
        <w:rPr>
          <w:rFonts w:eastAsia="IRNazanin" w:cs="IRNazanin"/>
          <w:color w:val="111111"/>
          <w:sz w:val="28"/>
          <w:szCs w:val="28"/>
          <w:rtl w:val="true"/>
          <w:lang w:bidi="fa-IR"/>
        </w:rPr>
        <w:t>.</w:t>
      </w:r>
    </w:p>
    <w:p>
      <w:pPr>
        <w:pStyle w:val="Heading4"/>
        <w:numPr>
          <w:ilvl w:val="3"/>
          <w:numId w:val="1"/>
        </w:numPr>
        <w:rPr/>
      </w:pPr>
      <w:bookmarkStart w:id="8150" w:name="__RefHeading___Toc2572346_3650668749"/>
      <w:bookmarkStart w:id="8151" w:name="_Toc3682"/>
      <w:bookmarkEnd w:id="8150"/>
      <w:r>
        <w:rPr>
          <w:rtl w:val="true"/>
        </w:rPr>
        <w:t>[ (</w:t>
      </w:r>
      <w:r>
        <w:rPr>
          <w:rtl w:val="true"/>
        </w:rPr>
        <w:t xml:space="preserve">مسألة </w:t>
      </w:r>
      <w:r>
        <w:rPr/>
        <w:t>6</w:t>
      </w:r>
      <w:r>
        <w:rPr>
          <w:rtl w:val="true"/>
        </w:rPr>
        <w:t xml:space="preserve">): </w:t>
      </w:r>
      <w:r>
        <w:rPr>
          <w:rtl w:val="true"/>
        </w:rPr>
        <w:t>إذا تحقّق الظهار بشرائطه حرم علی المظاهر وطء المظاهرة</w:t>
      </w:r>
      <w:r>
        <w:rPr>
          <w:rtl w:val="true"/>
        </w:rPr>
        <w:t>]</w:t>
      </w:r>
      <w:bookmarkEnd w:id="8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 الظهار بشرائطه حرم </w:t>
      </w:r>
      <w:r>
        <w:rPr>
          <w:rStyle w:val="FootnoteAnchor"/>
          <w:rtl w:val="true"/>
        </w:rPr>
        <w:footnoteReference w:id="2038"/>
      </w:r>
      <w:r>
        <w:rPr>
          <w:rFonts w:ascii="IRNazanin" w:hAnsi="IRNazanin" w:eastAsia="IRNazanin"/>
          <w:color w:val="111111"/>
          <w:sz w:val="28"/>
          <w:sz w:val="28"/>
          <w:szCs w:val="28"/>
          <w:rtl w:val="true"/>
          <w:lang w:bidi="fa-IR"/>
        </w:rPr>
        <w:t>علی المظاهر وطء المظاهرة، و لا یحلّ له حتّی یکفّر، فإذا کفّر حلّ له وطؤها و لا تلزم کفّارة أُخری بعد وطئها، و لو وطئها قبل أن یکفّر کانت علیه کفّارتان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یحرم علیه قبل التکفیر غیر الوطء من سائر الاستمتاعات کالقبلة و الملامسة؟ فیه إشکال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52" w:name="__RefHeading___Toc2572348_3650668749"/>
      <w:bookmarkStart w:id="8153" w:name="_Toc3683"/>
      <w:bookmarkEnd w:id="8152"/>
      <w:r>
        <w:rPr>
          <w:rtl w:val="true"/>
        </w:rPr>
        <w:t>[ (</w:t>
      </w:r>
      <w:r>
        <w:rPr>
          <w:rtl w:val="true"/>
        </w:rPr>
        <w:t xml:space="preserve">مسألة </w:t>
      </w:r>
      <w:r>
        <w:rPr/>
        <w:t>7</w:t>
      </w:r>
      <w:r>
        <w:rPr>
          <w:rtl w:val="true"/>
        </w:rPr>
        <w:t xml:space="preserve">): </w:t>
      </w:r>
      <w:r>
        <w:rPr>
          <w:rtl w:val="true"/>
        </w:rPr>
        <w:t>إذا طلّقها رجعیّاً ثمّ راجعها، لم یحلّ له وطؤها حتّی یکفّر</w:t>
      </w:r>
      <w:r>
        <w:rPr>
          <w:rtl w:val="true"/>
        </w:rPr>
        <w:t>]</w:t>
      </w:r>
      <w:bookmarkEnd w:id="8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طلّقها رجعیّاً ثمّ راجعها، لم یحلّ له وطؤها حتّی یکفّر، بخلاف ما إذا تزوّجها جدیداً بعد انقضاء العدّة أو فی العدّة إذا کان الطلاق بائناً، فإنّه یسقط حکم الظهار و یجوز له وطؤها بلا تکفیر</w:t>
      </w:r>
      <w:r>
        <w:rPr>
          <w:rFonts w:eastAsia="IRNazanin" w:cs="IRNazanin"/>
          <w:color w:val="111111"/>
          <w:sz w:val="28"/>
          <w:szCs w:val="28"/>
          <w:rtl w:val="true"/>
          <w:lang w:bidi="fa-IR"/>
        </w:rPr>
        <w:t>.</w:t>
      </w:r>
    </w:p>
    <w:p>
      <w:pPr>
        <w:pStyle w:val="Heading4"/>
        <w:numPr>
          <w:ilvl w:val="3"/>
          <w:numId w:val="1"/>
        </w:numPr>
        <w:rPr/>
      </w:pPr>
      <w:bookmarkStart w:id="8154" w:name="__RefHeading___Toc2572350_3650668749"/>
      <w:bookmarkStart w:id="8155" w:name="_Toc3684"/>
      <w:bookmarkEnd w:id="8154"/>
      <w:r>
        <w:rPr>
          <w:rtl w:val="true"/>
        </w:rPr>
        <w:t>[ (</w:t>
      </w:r>
      <w:r>
        <w:rPr>
          <w:rtl w:val="true"/>
        </w:rPr>
        <w:t xml:space="preserve">مسألة </w:t>
      </w:r>
      <w:r>
        <w:rPr/>
        <w:t>8</w:t>
      </w:r>
      <w:r>
        <w:rPr>
          <w:rtl w:val="true"/>
        </w:rPr>
        <w:t xml:space="preserve">): </w:t>
      </w:r>
      <w:r>
        <w:rPr>
          <w:rtl w:val="true"/>
        </w:rPr>
        <w:t>کفّارة الظهار کما مرّ فی کتاب الکفّارات أحد أُمور ثلاثة مرتّبة</w:t>
      </w:r>
      <w:r>
        <w:rPr>
          <w:rtl w:val="true"/>
        </w:rPr>
        <w:t>]</w:t>
      </w:r>
      <w:bookmarkEnd w:id="8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الظهار کما مرّ فی کتاب الکفّارات أحد أُمور ثلاثة 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و إذا عجز عنه فصیام شهرین متتابعین، و إذا عجز عنه فإطعام ستّین مسکیناً</w:t>
      </w:r>
      <w:r>
        <w:rPr>
          <w:rFonts w:eastAsia="IRNazanin" w:cs="IRNazanin"/>
          <w:color w:val="111111"/>
          <w:sz w:val="28"/>
          <w:szCs w:val="28"/>
          <w:rtl w:val="true"/>
          <w:lang w:bidi="fa-IR"/>
        </w:rPr>
        <w:t>.</w:t>
      </w:r>
    </w:p>
    <w:p>
      <w:pPr>
        <w:pStyle w:val="Heading4"/>
        <w:numPr>
          <w:ilvl w:val="3"/>
          <w:numId w:val="1"/>
        </w:numPr>
        <w:rPr/>
      </w:pPr>
      <w:bookmarkStart w:id="8156" w:name="__RefHeading___Toc2572352_3650668749"/>
      <w:bookmarkStart w:id="8157" w:name="_Toc3685"/>
      <w:bookmarkEnd w:id="8156"/>
      <w:r>
        <w:rPr>
          <w:rtl w:val="true"/>
        </w:rPr>
        <w:t>[ (</w:t>
      </w:r>
      <w:r>
        <w:rPr>
          <w:rtl w:val="true"/>
        </w:rPr>
        <w:t xml:space="preserve">مسألة </w:t>
      </w:r>
      <w:r>
        <w:rPr/>
        <w:t>9</w:t>
      </w:r>
      <w:r>
        <w:rPr>
          <w:rtl w:val="true"/>
        </w:rPr>
        <w:t xml:space="preserve">): </w:t>
      </w:r>
      <w:r>
        <w:rPr>
          <w:rtl w:val="true"/>
        </w:rPr>
        <w:t>إذا صبرت المظاهرة علیٰ ترک وطئها فلا اعتراض</w:t>
      </w:r>
      <w:r>
        <w:rPr>
          <w:rtl w:val="true"/>
        </w:rPr>
        <w:t>]</w:t>
      </w:r>
      <w:bookmarkEnd w:id="8157"/>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صبرت المظاهرة علیٰ ترک وطئها فلا اعتراض، و إن لم تصبر رفعت أمرها إلی الحاکم، فیحضره و یخیّره بین الرجعة بعد التکفیر و بین طلاقها، فإن اختار أحدهما، و إلّا أنظره ثلاثة أشهر من حین المرافعة، فإن انقضت المدّة و لم یختر أحد الأمرین حبسه و ضیّق علیه فی المطعم و المشرب حتّی یختار أحدهما، و لا یجبره علیٰ خصوص أحدهما و لا یطلّق عنه</w:t>
      </w:r>
      <w:r>
        <w:rPr>
          <w:rFonts w:eastAsia="IRNazanin" w:cs="IRNazanin"/>
          <w:color w:val="111111"/>
          <w:sz w:val="28"/>
          <w:szCs w:val="28"/>
          <w:rtl w:val="true"/>
          <w:lang w:bidi="fa-IR"/>
        </w:rPr>
        <w:t>.</w:t>
      </w:r>
      <w:bookmarkStart w:id="8158" w:name="pg1809_20031"/>
    </w:p>
    <w:p>
      <w:pPr>
        <w:pStyle w:val="Heading3"/>
        <w:numPr>
          <w:ilvl w:val="2"/>
          <w:numId w:val="1"/>
        </w:numPr>
        <w:rPr/>
      </w:pPr>
      <w:bookmarkStart w:id="8159" w:name="__RefHeading___Toc2572354_3650668749"/>
      <w:bookmarkStart w:id="8160" w:name="_Toc3686"/>
      <w:bookmarkEnd w:id="8158"/>
      <w:bookmarkEnd w:id="8159"/>
      <w:r>
        <w:rPr>
          <w:rtl w:val="true"/>
        </w:rPr>
        <w:t>[</w:t>
      </w:r>
      <w:r>
        <w:rPr>
          <w:rtl w:val="true"/>
        </w:rPr>
        <w:t>القول فی الإیلاء</w:t>
      </w:r>
      <w:r>
        <w:rPr>
          <w:rtl w:val="true"/>
        </w:rPr>
        <w:t>]</w:t>
      </w:r>
      <w:bookmarkEnd w:id="8160"/>
    </w:p>
    <w:p>
      <w:pPr>
        <w:pStyle w:val="Heading4"/>
        <w:numPr>
          <w:ilvl w:val="3"/>
          <w:numId w:val="1"/>
        </w:numPr>
        <w:rPr/>
      </w:pPr>
      <w:bookmarkStart w:id="8161" w:name="__RefHeading___Toc2572356_3650668749"/>
      <w:bookmarkStart w:id="8162" w:name="_Toc3687"/>
      <w:bookmarkEnd w:id="8161"/>
      <w:r>
        <w:rPr>
          <w:rtl w:val="true"/>
        </w:rPr>
        <w:t>اشارة</w:t>
      </w:r>
      <w:bookmarkEnd w:id="8162"/>
    </w:p>
    <w:p>
      <w:pPr>
        <w:pStyle w:val="BookText"/>
        <w:rPr/>
      </w:pPr>
      <w:r>
        <w:rPr>
          <w:rFonts w:ascii="IRNazanin" w:hAnsi="IRNazanin" w:eastAsia="IRNazanin"/>
          <w:color w:val="111111"/>
          <w:sz w:val="28"/>
          <w:sz w:val="28"/>
          <w:szCs w:val="28"/>
          <w:rtl w:val="true"/>
          <w:lang w:bidi="fa-IR"/>
        </w:rPr>
        <w:t>القول فی الإیلاء و هو الحلف علیٰ ترک وطء الزوجة الدائمة المدخول بها؛ أبداً أو مدّة تزید عن أربعة أشهر للإضرار بها، فلا یتحقّق الإیلاء بالحلف علیٰ ترک وطء المملوکة و لا المتمتّع بها و لا لغیر المدخول بها و لا بالحلف علیٰ ترک وطئها مدّة لا تزید عن أربعة أشهر، و لا فیما إذا کان لملاحظة مصلحة کإصلاح لبنها أو کونها مریضة أو غیر ذلک؛ و إن انعقد الیمین فی جمیع ذلک و یترتّب علیه آثاره إذا اجتمع شروطه</w:t>
      </w:r>
      <w:r>
        <w:rPr>
          <w:rFonts w:eastAsia="IRNazanin" w:cs="IRNazanin"/>
          <w:color w:val="111111"/>
          <w:sz w:val="28"/>
          <w:szCs w:val="28"/>
          <w:rtl w:val="true"/>
          <w:lang w:bidi="fa-IR"/>
        </w:rPr>
        <w:t>.</w:t>
      </w:r>
    </w:p>
    <w:p>
      <w:pPr>
        <w:pStyle w:val="Heading4"/>
        <w:numPr>
          <w:ilvl w:val="3"/>
          <w:numId w:val="1"/>
        </w:numPr>
        <w:rPr/>
      </w:pPr>
      <w:bookmarkStart w:id="8163" w:name="__RefHeading___Toc2572358_3650668749"/>
      <w:bookmarkStart w:id="8164" w:name="_Toc3688"/>
      <w:bookmarkEnd w:id="8163"/>
      <w:r>
        <w:rPr>
          <w:rtl w:val="true"/>
        </w:rPr>
        <w:t>[ (</w:t>
      </w:r>
      <w:r>
        <w:rPr>
          <w:rtl w:val="true"/>
        </w:rPr>
        <w:t xml:space="preserve">مسألة </w:t>
      </w:r>
      <w:r>
        <w:rPr/>
        <w:t>1</w:t>
      </w:r>
      <w:r>
        <w:rPr>
          <w:rtl w:val="true"/>
        </w:rPr>
        <w:t xml:space="preserve">): </w:t>
      </w:r>
      <w:r>
        <w:rPr>
          <w:rtl w:val="true"/>
        </w:rPr>
        <w:t>لا ینعقد الإیلاء کمطلق الیمین إلّا باسم اللّٰه تعالی المختصّ به أو الغالب إطلاقه علیه</w:t>
      </w:r>
      <w:r>
        <w:rPr>
          <w:rtl w:val="true"/>
        </w:rPr>
        <w:t>]</w:t>
      </w:r>
      <w:bookmarkEnd w:id="8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الإیلاء کمطلق الیمین إلّا باسم اللّٰه تعالی المختصّ به أو الغالب إطلاقه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فیه العربیّة، و لا اللفظ الصریح فی کون المحلوف علیه ترک الجماع فی القبل کإدخال الفرج فی الفرج، بل المعتبر صدق کونه حالفاً علیٰ ترک ذلک العمل بلفظ له ظهور فی ذلک فیکفی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أطأک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أُجامعک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جمع رأسی و رأسک وسادة أو مخدّة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بذلک ترک الجماع</w:t>
      </w:r>
      <w:r>
        <w:rPr>
          <w:rFonts w:eastAsia="IRNazanin" w:cs="IRNazanin"/>
          <w:color w:val="111111"/>
          <w:sz w:val="28"/>
          <w:szCs w:val="28"/>
          <w:rtl w:val="true"/>
          <w:lang w:bidi="fa-IR"/>
        </w:rPr>
        <w:t>.</w:t>
      </w:r>
    </w:p>
    <w:p>
      <w:pPr>
        <w:pStyle w:val="Heading4"/>
        <w:numPr>
          <w:ilvl w:val="3"/>
          <w:numId w:val="1"/>
        </w:numPr>
        <w:rPr/>
      </w:pPr>
      <w:bookmarkStart w:id="8165" w:name="__RefHeading___Toc2572360_3650668749"/>
      <w:bookmarkStart w:id="8166" w:name="_Toc3689"/>
      <w:bookmarkEnd w:id="8165"/>
      <w:r>
        <w:rPr>
          <w:rtl w:val="true"/>
        </w:rPr>
        <w:t>[ (</w:t>
      </w:r>
      <w:r>
        <w:rPr>
          <w:rtl w:val="true"/>
        </w:rPr>
        <w:t xml:space="preserve">مسألة </w:t>
      </w:r>
      <w:r>
        <w:rPr/>
        <w:t>2</w:t>
      </w:r>
      <w:r>
        <w:rPr>
          <w:rtl w:val="true"/>
        </w:rPr>
        <w:t xml:space="preserve">): </w:t>
      </w:r>
      <w:r>
        <w:rPr>
          <w:rtl w:val="true"/>
        </w:rPr>
        <w:t>إذا تمّ الإیلاء بشرائطه، فإن صبرت المرأة مع امتناعه عن المواقعة فلا کلام</w:t>
      </w:r>
      <w:r>
        <w:rPr>
          <w:rtl w:val="true"/>
        </w:rPr>
        <w:t>]</w:t>
      </w:r>
      <w:bookmarkEnd w:id="8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الإیلاء بشرائطه، فإن صبرت المرأة مع امتناعه عن المواقعة فلا کلام، و إلّا فلها المرافعة إلی الحاکم، فیحضره و ینظره أربعة أشهر، فإن رجع و واقعها فی هذه المدّة فهو، و إلّا أجبره علیٰ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الرجوع أو الطلاق، فإن فعل أحدهما، و إلّا ضیّق علیه و حبسه حتّی یختار أحدهما، و لا یجبره علیٰ أحدهما معیّناً</w:t>
      </w:r>
      <w:r>
        <w:rPr>
          <w:rFonts w:eastAsia="IRNazanin" w:cs="IRNazanin"/>
          <w:color w:val="111111"/>
          <w:sz w:val="28"/>
          <w:szCs w:val="28"/>
          <w:rtl w:val="true"/>
          <w:lang w:bidi="fa-IR"/>
        </w:rPr>
        <w:t>.</w:t>
      </w:r>
    </w:p>
    <w:p>
      <w:pPr>
        <w:pStyle w:val="Heading4"/>
        <w:numPr>
          <w:ilvl w:val="3"/>
          <w:numId w:val="1"/>
        </w:numPr>
        <w:rPr/>
      </w:pPr>
      <w:bookmarkStart w:id="8167" w:name="__RefHeading___Toc2572362_3650668749"/>
      <w:bookmarkStart w:id="8168" w:name="_Toc3690"/>
      <w:bookmarkEnd w:id="8167"/>
      <w:r>
        <w:rPr>
          <w:rtl w:val="true"/>
        </w:rPr>
        <w:t>[ (</w:t>
      </w:r>
      <w:r>
        <w:rPr>
          <w:rtl w:val="true"/>
        </w:rPr>
        <w:t xml:space="preserve">مسألة </w:t>
      </w:r>
      <w:r>
        <w:rPr/>
        <w:t>3</w:t>
      </w:r>
      <w:r>
        <w:rPr>
          <w:rtl w:val="true"/>
        </w:rPr>
        <w:t xml:space="preserve">): </w:t>
      </w:r>
      <w:r>
        <w:rPr>
          <w:rtl w:val="true"/>
        </w:rPr>
        <w:t>المشهور</w:t>
      </w:r>
      <w:r>
        <w:rPr>
          <w:rtl w:val="true"/>
        </w:rPr>
        <w:t xml:space="preserve">: </w:t>
      </w:r>
      <w:r>
        <w:rPr>
          <w:rtl w:val="true"/>
        </w:rPr>
        <w:t>أنّ الأربعة التی ینظر فیها ثمّ یجبر علیٰ أحد الأمرین بعدها هی من حین الترافع</w:t>
      </w:r>
      <w:r>
        <w:rPr>
          <w:rtl w:val="true"/>
        </w:rPr>
        <w:t>]</w:t>
      </w:r>
      <w:bookmarkEnd w:id="8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Style w:val="FootnoteAnchor"/>
          <w:rtl w:val="true"/>
        </w:rPr>
        <w:footnoteReference w:id="2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الأربعة التی ینظر فیها ثمّ یجبر علیٰ أحد الأمرین بعدها هی من حین الترافع،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حین الإیلاء، فعلی هذا لو لم ترافع حتّی انقضت المدّة ألزمه بأحد الأمرین من دون إمهال و انتظار مدّة، و فیه تأمّل</w:t>
      </w:r>
      <w:r>
        <w:rPr>
          <w:rFonts w:eastAsia="IRNazanin" w:cs="IRNazanin"/>
          <w:color w:val="111111"/>
          <w:sz w:val="28"/>
          <w:szCs w:val="28"/>
          <w:rtl w:val="true"/>
          <w:lang w:bidi="fa-IR"/>
        </w:rPr>
        <w:t>.</w:t>
      </w:r>
    </w:p>
    <w:p>
      <w:pPr>
        <w:pStyle w:val="Heading4"/>
        <w:numPr>
          <w:ilvl w:val="3"/>
          <w:numId w:val="1"/>
        </w:numPr>
        <w:rPr/>
      </w:pPr>
      <w:bookmarkStart w:id="8169" w:name="__RefHeading___Toc2572364_3650668749"/>
      <w:bookmarkStart w:id="8170" w:name="_Toc3691"/>
      <w:bookmarkEnd w:id="8169"/>
      <w:r>
        <w:rPr>
          <w:rtl w:val="true"/>
        </w:rPr>
        <w:t>[ (</w:t>
      </w:r>
      <w:r>
        <w:rPr>
          <w:rtl w:val="true"/>
        </w:rPr>
        <w:t xml:space="preserve">مسألة </w:t>
      </w:r>
      <w:r>
        <w:rPr/>
        <w:t>4</w:t>
      </w:r>
      <w:r>
        <w:rPr>
          <w:rtl w:val="true"/>
        </w:rPr>
        <w:t xml:space="preserve">): </w:t>
      </w:r>
      <w:r>
        <w:rPr>
          <w:rtl w:val="true"/>
        </w:rPr>
        <w:t>یزول حکم الإیلاء بالطلاق البائن</w:t>
      </w:r>
      <w:r>
        <w:rPr>
          <w:rtl w:val="true"/>
        </w:rPr>
        <w:t>]</w:t>
      </w:r>
      <w:bookmarkEnd w:id="8170"/>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یزول حکم الإیلاء بالطلاق البائن، فلو عقد علیها جدیداً فی العدّة أو بعدها کانت کأن لم یؤل علیها، بخلاف ما إذا طلّقها رجعیّاً فإنّه و إن خرج بذلک من حقّها فلیست لها المطالبة و الترافع إلی الحاکم، لکن لا یزول حکم الإیلاء إلّا بانقضاء العدّة، فلو راجعها فی العدّة عاد إلی الحکم الأوّل، فلها المطالبة بحقّها و المرافعة</w:t>
      </w:r>
      <w:r>
        <w:rPr>
          <w:rFonts w:eastAsia="IRNazanin" w:cs="IRNazanin"/>
          <w:color w:val="111111"/>
          <w:sz w:val="28"/>
          <w:szCs w:val="28"/>
          <w:rtl w:val="true"/>
          <w:lang w:bidi="fa-IR"/>
        </w:rPr>
        <w:t>.</w:t>
      </w:r>
      <w:bookmarkStart w:id="8171" w:name="pg1809_20033"/>
    </w:p>
    <w:p>
      <w:pPr>
        <w:pStyle w:val="Heading4"/>
        <w:numPr>
          <w:ilvl w:val="3"/>
          <w:numId w:val="1"/>
        </w:numPr>
        <w:rPr/>
      </w:pPr>
      <w:bookmarkStart w:id="8172" w:name="__RefHeading___Toc2572366_3650668749"/>
      <w:bookmarkStart w:id="8173" w:name="_Toc3692"/>
      <w:bookmarkEnd w:id="8171"/>
      <w:bookmarkEnd w:id="8172"/>
      <w:r>
        <w:rPr>
          <w:rtl w:val="true"/>
        </w:rPr>
        <w:t>[ (</w:t>
      </w:r>
      <w:r>
        <w:rPr>
          <w:rtl w:val="true"/>
        </w:rPr>
        <w:t xml:space="preserve">مسألة </w:t>
      </w:r>
      <w:r>
        <w:rPr/>
        <w:t>5</w:t>
      </w:r>
      <w:r>
        <w:rPr>
          <w:rtl w:val="true"/>
        </w:rPr>
        <w:t xml:space="preserve">): </w:t>
      </w:r>
      <w:r>
        <w:rPr>
          <w:rtl w:val="true"/>
        </w:rPr>
        <w:t>متی وطئها الزوج بعد الإیلاء لزمته الکفّارة</w:t>
      </w:r>
      <w:r>
        <w:rPr>
          <w:rtl w:val="true"/>
        </w:rPr>
        <w:t>]</w:t>
      </w:r>
      <w:bookmarkEnd w:id="8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وطئها الزوج بعد الإیلاء لزمته الکفّارة؛ سواء کان فی مدّة التربّص أو بعدها أو قبلها لو جعلناها من حین المرافعة، لأنّه قد حنث الیمین علیٰ کلّ حال؛ و إن جاز له هذا الحنث، بل وجب بعد انقضاء المدّة و مطالبتها و أمر الحاکم به تخییراً، و بهذا یمتاز هذا الیمین عن سائر الأیمان، کما أنّه یمتاز عن غیره بأنّه لا یعتبر فیه ما یعتبر فی غیره؛ من کون متعلّقه مباحاً تساوی طرفاه أو کان راجحاً دیناً أو دنیا</w:t>
      </w:r>
      <w:r>
        <w:rPr>
          <w:rFonts w:eastAsia="IRNazanin" w:cs="IRNazanin"/>
          <w:color w:val="111111"/>
          <w:sz w:val="28"/>
          <w:szCs w:val="28"/>
          <w:rtl w:val="true"/>
          <w:lang w:bidi="fa-IR"/>
        </w:rPr>
        <w:t>.</w:t>
      </w:r>
    </w:p>
    <w:p>
      <w:pPr>
        <w:pStyle w:val="Heading3"/>
        <w:numPr>
          <w:ilvl w:val="2"/>
          <w:numId w:val="1"/>
        </w:numPr>
        <w:rPr/>
      </w:pPr>
      <w:bookmarkStart w:id="8174" w:name="__RefHeading___Toc2572368_3650668749"/>
      <w:bookmarkStart w:id="8175" w:name="_Toc3693"/>
      <w:bookmarkEnd w:id="8174"/>
      <w:r>
        <w:rPr>
          <w:rtl w:val="true"/>
        </w:rPr>
        <w:t>[</w:t>
      </w:r>
      <w:r>
        <w:rPr>
          <w:rtl w:val="true"/>
        </w:rPr>
        <w:t>القول فی اللعان</w:t>
      </w:r>
      <w:r>
        <w:rPr>
          <w:rtl w:val="true"/>
        </w:rPr>
        <w:t>]</w:t>
      </w:r>
      <w:bookmarkEnd w:id="8175"/>
    </w:p>
    <w:p>
      <w:pPr>
        <w:pStyle w:val="Heading4"/>
        <w:numPr>
          <w:ilvl w:val="3"/>
          <w:numId w:val="1"/>
        </w:numPr>
        <w:rPr/>
      </w:pPr>
      <w:bookmarkStart w:id="8176" w:name="__RefHeading___Toc2572370_3650668749"/>
      <w:bookmarkStart w:id="8177" w:name="_Toc3694"/>
      <w:bookmarkEnd w:id="8176"/>
      <w:r>
        <w:rPr>
          <w:rtl w:val="true"/>
        </w:rPr>
        <w:t>اشارة</w:t>
      </w:r>
      <w:bookmarkEnd w:id="8177"/>
    </w:p>
    <w:p>
      <w:pPr>
        <w:pStyle w:val="BookText"/>
        <w:rPr/>
      </w:pPr>
      <w:r>
        <w:rPr>
          <w:rFonts w:ascii="IRNazanin" w:hAnsi="IRNazanin" w:eastAsia="IRNazanin"/>
          <w:color w:val="111111"/>
          <w:sz w:val="28"/>
          <w:sz w:val="28"/>
          <w:szCs w:val="28"/>
          <w:rtl w:val="true"/>
          <w:lang w:bidi="fa-IR"/>
        </w:rPr>
        <w:t>القول فی اللعان و هی مباهلة خاصّة بین الزوجین، أثرها دفع حدّ أو نفی ولد کما تعرف تفصیله</w:t>
      </w:r>
      <w:r>
        <w:rPr>
          <w:rFonts w:eastAsia="IRNazanin" w:cs="IRNazanin"/>
          <w:color w:val="111111"/>
          <w:sz w:val="28"/>
          <w:szCs w:val="28"/>
          <w:rtl w:val="true"/>
          <w:lang w:bidi="fa-IR"/>
        </w:rPr>
        <w:t>.</w:t>
      </w:r>
    </w:p>
    <w:p>
      <w:pPr>
        <w:pStyle w:val="Heading4"/>
        <w:numPr>
          <w:ilvl w:val="3"/>
          <w:numId w:val="1"/>
        </w:numPr>
        <w:rPr/>
      </w:pPr>
      <w:bookmarkStart w:id="8178" w:name="__RefHeading___Toc2572372_3650668749"/>
      <w:bookmarkStart w:id="8179" w:name="_Toc3695"/>
      <w:bookmarkEnd w:id="8178"/>
      <w:r>
        <w:rPr>
          <w:rtl w:val="true"/>
        </w:rPr>
        <w:t>[ (</w:t>
      </w:r>
      <w:r>
        <w:rPr>
          <w:rtl w:val="true"/>
        </w:rPr>
        <w:t xml:space="preserve">مسألة </w:t>
      </w:r>
      <w:r>
        <w:rPr/>
        <w:t>1</w:t>
      </w:r>
      <w:r>
        <w:rPr>
          <w:rtl w:val="true"/>
        </w:rPr>
        <w:t xml:space="preserve">): </w:t>
      </w:r>
      <w:r>
        <w:rPr>
          <w:rtl w:val="true"/>
        </w:rPr>
        <w:t>إنّما یشرع اللعان فی مقامین</w:t>
      </w:r>
      <w:r>
        <w:rPr>
          <w:rtl w:val="true"/>
        </w:rPr>
        <w:t>]</w:t>
      </w:r>
      <w:bookmarkEnd w:id="8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یشرع اللعان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رمی الزوج زوجته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نفیٰ ولدیّة من وُلد فی فراشه مع إمکان لحوقه به</w:t>
      </w:r>
      <w:r>
        <w:rPr>
          <w:rFonts w:eastAsia="IRNazanin" w:cs="IRNazanin"/>
          <w:color w:val="111111"/>
          <w:sz w:val="28"/>
          <w:szCs w:val="28"/>
          <w:rtl w:val="true"/>
          <w:lang w:bidi="fa-IR"/>
        </w:rPr>
        <w:t>.</w:t>
      </w:r>
    </w:p>
    <w:p>
      <w:pPr>
        <w:pStyle w:val="Heading4"/>
        <w:numPr>
          <w:ilvl w:val="3"/>
          <w:numId w:val="1"/>
        </w:numPr>
        <w:rPr/>
      </w:pPr>
      <w:bookmarkStart w:id="8180" w:name="__RefHeading___Toc2572374_3650668749"/>
      <w:bookmarkStart w:id="8181" w:name="_Toc3696"/>
      <w:bookmarkEnd w:id="8180"/>
      <w:r>
        <w:rPr>
          <w:rtl w:val="true"/>
        </w:rPr>
        <w:t>[ (</w:t>
      </w:r>
      <w:r>
        <w:rPr>
          <w:rtl w:val="true"/>
        </w:rPr>
        <w:t xml:space="preserve">مسألة </w:t>
      </w:r>
      <w:r>
        <w:rPr/>
        <w:t>2</w:t>
      </w:r>
      <w:r>
        <w:rPr>
          <w:rtl w:val="true"/>
        </w:rPr>
        <w:t xml:space="preserve">): </w:t>
      </w:r>
      <w:r>
        <w:rPr>
          <w:rtl w:val="true"/>
        </w:rPr>
        <w:t>لا یجوز للرجل قذف زوجته بالزنا مع الریبة</w:t>
      </w:r>
      <w:r>
        <w:rPr>
          <w:rtl w:val="true"/>
        </w:rPr>
        <w:t>]</w:t>
      </w:r>
      <w:bookmarkEnd w:id="8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للرجل قذف زوجته بالزنا مع الریبة، و لا مع غلبة الظنّ ببعض الأسباب المریبة، بل و لا بالشیاع، و لا بإخبار شخص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مع الیقین، لکن لا یصدّق إذا لم تعترف به الزوجة و لم تکن بیّنة، بل یحدّ حدّ القذف مع مطالبتها إلّا إذا أوقع اللعان الجامع للشروط الآتیة، فیدرأ عنه الحدّ</w:t>
      </w:r>
      <w:r>
        <w:rPr>
          <w:rFonts w:eastAsia="IRNazanin" w:cs="IRNazanin"/>
          <w:color w:val="111111"/>
          <w:sz w:val="28"/>
          <w:szCs w:val="28"/>
          <w:rtl w:val="true"/>
          <w:lang w:bidi="fa-IR"/>
        </w:rPr>
        <w:t>.</w:t>
      </w:r>
    </w:p>
    <w:p>
      <w:pPr>
        <w:pStyle w:val="Heading4"/>
        <w:numPr>
          <w:ilvl w:val="3"/>
          <w:numId w:val="1"/>
        </w:numPr>
        <w:rPr/>
      </w:pPr>
      <w:bookmarkStart w:id="8182" w:name="__RefHeading___Toc2572376_3650668749"/>
      <w:bookmarkStart w:id="8183" w:name="_Toc3697"/>
      <w:bookmarkEnd w:id="8182"/>
      <w:r>
        <w:rPr>
          <w:rtl w:val="true"/>
        </w:rPr>
        <w:t>[ (</w:t>
      </w:r>
      <w:r>
        <w:rPr>
          <w:rtl w:val="true"/>
        </w:rPr>
        <w:t xml:space="preserve">مسألة </w:t>
      </w:r>
      <w:r>
        <w:rPr/>
        <w:t>3</w:t>
      </w:r>
      <w:r>
        <w:rPr>
          <w:rtl w:val="true"/>
        </w:rPr>
        <w:t xml:space="preserve">): </w:t>
      </w:r>
      <w:r>
        <w:rPr>
          <w:rtl w:val="true"/>
        </w:rPr>
        <w:t>یشترط فی ثبوت اللعان بالقذف أن یدّعی المشاهدة</w:t>
      </w:r>
      <w:r>
        <w:rPr>
          <w:rtl w:val="true"/>
        </w:rPr>
        <w:t>]</w:t>
      </w:r>
      <w:bookmarkEnd w:id="8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ثبوت اللعان بالقذف أن یدّعی المشاهدة، فلا لعان فیمن لم یدّعها و من لم یتمکّن منها کالأعمیٰ، فیحدّان مع عدم البیّنة، و أن لا یکون له بیّنة، فإن کانت له بیّنة تتعیّن إقامتها لنفی الحدّ و لا لعان</w:t>
      </w:r>
      <w:r>
        <w:rPr>
          <w:rFonts w:eastAsia="IRNazanin" w:cs="IRNazanin"/>
          <w:color w:val="111111"/>
          <w:sz w:val="28"/>
          <w:szCs w:val="28"/>
          <w:rtl w:val="true"/>
          <w:lang w:bidi="fa-IR"/>
        </w:rPr>
        <w:t>.</w:t>
      </w:r>
    </w:p>
    <w:p>
      <w:pPr>
        <w:pStyle w:val="Heading4"/>
        <w:numPr>
          <w:ilvl w:val="3"/>
          <w:numId w:val="1"/>
        </w:numPr>
        <w:rPr/>
      </w:pPr>
      <w:bookmarkStart w:id="8184" w:name="__RefHeading___Toc2572378_3650668749"/>
      <w:bookmarkStart w:id="8185" w:name="_Toc3698"/>
      <w:bookmarkEnd w:id="8184"/>
      <w:r>
        <w:rPr>
          <w:rtl w:val="true"/>
        </w:rPr>
        <w:t>[ (</w:t>
      </w:r>
      <w:r>
        <w:rPr>
          <w:rtl w:val="true"/>
        </w:rPr>
        <w:t xml:space="preserve">مسألة </w:t>
      </w:r>
      <w:r>
        <w:rPr/>
        <w:t>4</w:t>
      </w:r>
      <w:r>
        <w:rPr>
          <w:rtl w:val="true"/>
        </w:rPr>
        <w:t xml:space="preserve">): </w:t>
      </w:r>
      <w:r>
        <w:rPr>
          <w:rtl w:val="true"/>
        </w:rPr>
        <w:t>یشترط فی ثبوت اللعان أن تکون المقذوفة زوجة دائمة</w:t>
      </w:r>
      <w:r>
        <w:rPr>
          <w:rtl w:val="true"/>
        </w:rPr>
        <w:t>]</w:t>
      </w:r>
      <w:bookmarkEnd w:id="8185"/>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ثبوت اللعان أن تکون المقذوفة زوجة دائمة، فلا لعان فی قذف الأجنبیّة، بل یحدّ القاذف مع عدم البیّنة، و کذا فی المنقطعة علی الأقویٰ، و أن تکون مدخولًا بها، فلا لعان فیمن لم یدخل بها، و أن تکون غیر مشهورة بالزنا و إلّا فلا لعان، بل و لا حدّ حتّی یدفع باللعان، بل علیه التعزیر </w:t>
      </w:r>
      <w:r>
        <w:rPr>
          <w:rStyle w:val="FootnoteAnchor"/>
          <w:rtl w:val="true"/>
        </w:rPr>
        <w:footnoteReference w:id="2041"/>
      </w:r>
      <w:r>
        <w:rPr>
          <w:rFonts w:ascii="IRNazanin" w:hAnsi="IRNazanin" w:eastAsia="IRNazanin"/>
          <w:color w:val="111111"/>
          <w:sz w:val="28"/>
          <w:sz w:val="28"/>
          <w:szCs w:val="28"/>
          <w:rtl w:val="true"/>
          <w:lang w:bidi="fa-IR"/>
        </w:rPr>
        <w:t>لو لم یدفعه عن نفسه بالبیّنة</w:t>
      </w:r>
      <w:r>
        <w:rPr>
          <w:rFonts w:eastAsia="IRNazanin" w:cs="IRNazanin"/>
          <w:color w:val="111111"/>
          <w:sz w:val="28"/>
          <w:szCs w:val="28"/>
          <w:rtl w:val="true"/>
          <w:lang w:bidi="fa-IR"/>
        </w:rPr>
        <w:t>.</w:t>
      </w:r>
      <w:bookmarkStart w:id="8186" w:name="pg1809_20035"/>
    </w:p>
    <w:p>
      <w:pPr>
        <w:pStyle w:val="Heading4"/>
        <w:numPr>
          <w:ilvl w:val="3"/>
          <w:numId w:val="1"/>
        </w:numPr>
        <w:rPr/>
      </w:pPr>
      <w:bookmarkStart w:id="8187" w:name="__RefHeading___Toc2572380_3650668749"/>
      <w:bookmarkStart w:id="8188" w:name="_Toc3699"/>
      <w:bookmarkEnd w:id="8186"/>
      <w:bookmarkEnd w:id="8187"/>
      <w:r>
        <w:rPr>
          <w:rtl w:val="true"/>
        </w:rPr>
        <w:t>[ (</w:t>
      </w:r>
      <w:r>
        <w:rPr>
          <w:rtl w:val="true"/>
        </w:rPr>
        <w:t xml:space="preserve">مسألة </w:t>
      </w:r>
      <w:r>
        <w:rPr/>
        <w:t>5</w:t>
      </w:r>
      <w:r>
        <w:rPr>
          <w:rtl w:val="true"/>
        </w:rPr>
        <w:t xml:space="preserve">): </w:t>
      </w:r>
      <w:r>
        <w:rPr>
          <w:rtl w:val="true"/>
        </w:rPr>
        <w:t>لا یجوز للرجل أن ینکر ولدیّة من تولّد فی فراشه مع إمکان لحوقه به</w:t>
      </w:r>
      <w:r>
        <w:rPr>
          <w:rtl w:val="true"/>
        </w:rPr>
        <w:t>]</w:t>
      </w:r>
      <w:bookmarkEnd w:id="8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للرجل أن ینکر ولدیّة من تولّد فی فراشه مع إمکان لحوقه به؛ بأن دخل بامّه </w:t>
      </w:r>
      <w:r>
        <w:rPr>
          <w:rStyle w:val="FootnoteAnchor"/>
          <w:rtl w:val="true"/>
        </w:rPr>
        <w:footnoteReference w:id="2042"/>
      </w:r>
      <w:r>
        <w:rPr>
          <w:rFonts w:ascii="IRNazanin" w:hAnsi="IRNazanin" w:eastAsia="IRNazanin"/>
          <w:color w:val="111111"/>
          <w:sz w:val="28"/>
          <w:sz w:val="28"/>
          <w:szCs w:val="28"/>
          <w:rtl w:val="true"/>
          <w:lang w:bidi="fa-IR"/>
        </w:rPr>
        <w:t>و قد مضی منه إلیٰ زمان وضعه ستّة أشهر فصاعداً و لم یتجاوز عن أقصی مدّة الحمل، حتّی فیما إذا فجر أحد بها، فضلًا عمّا إذا اتّهمها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یجب علیه الإقرار بولدیّته، فعن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جحد ولده و هو ینظر إلیه احتجب اللّٰه منه و فضحه علیٰ رؤوس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 أن ینفیه و لو باللعان مع علمه بعدم تکوّنه منه من جهة علمه باختلال شروط الالتحاق به إذا کان بحسب ظاهر الشرع لحوقه به لولا نفیه؛ لئلّا یلحق بنسبه من لیس منه، فیترتّب علیه حکم الولد فی المیراث و النکاح و نظر محارمه و غیر ذلک</w:t>
      </w:r>
      <w:r>
        <w:rPr>
          <w:rFonts w:eastAsia="IRNazanin" w:cs="IRNazanin"/>
          <w:color w:val="111111"/>
          <w:sz w:val="28"/>
          <w:szCs w:val="28"/>
          <w:rtl w:val="true"/>
          <w:lang w:bidi="fa-IR"/>
        </w:rPr>
        <w:t>.</w:t>
      </w:r>
    </w:p>
    <w:p>
      <w:pPr>
        <w:pStyle w:val="Heading4"/>
        <w:numPr>
          <w:ilvl w:val="3"/>
          <w:numId w:val="1"/>
        </w:numPr>
        <w:rPr/>
      </w:pPr>
      <w:bookmarkStart w:id="8189" w:name="__RefHeading___Toc2572382_3650668749"/>
      <w:bookmarkStart w:id="8190" w:name="_Toc3700"/>
      <w:bookmarkEnd w:id="8189"/>
      <w:r>
        <w:rPr>
          <w:rtl w:val="true"/>
        </w:rPr>
        <w:t>[ (</w:t>
      </w:r>
      <w:r>
        <w:rPr>
          <w:rtl w:val="true"/>
        </w:rPr>
        <w:t xml:space="preserve">مسألة </w:t>
      </w:r>
      <w:r>
        <w:rPr/>
        <w:t>6</w:t>
      </w:r>
      <w:r>
        <w:rPr>
          <w:rtl w:val="true"/>
        </w:rPr>
        <w:t xml:space="preserve">): </w:t>
      </w:r>
      <w:r>
        <w:rPr>
          <w:rtl w:val="true"/>
        </w:rPr>
        <w:t>إذا نفیٰ ولدیّة من ولد فی فراشه</w:t>
      </w:r>
      <w:r>
        <w:rPr>
          <w:rtl w:val="true"/>
        </w:rPr>
        <w:t>]</w:t>
      </w:r>
      <w:bookmarkEnd w:id="8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نفیٰ ولدیّة من ولد فی فراشه، فإن علم أنّه دخل بامّه دخولًا یمکن معه لحوق الولد به أو أقرّ هو بذلک و مع ذلک نفاه، لا یسمع منه هذا النفی و لا ینتفی منه لا باللعان و لا بغیره، و أمّا لو لم یعلم ذلک و لم یقرّ به و قد نفاه إمّا مجرّداً عن ذکر السبب؛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مع ذکر السبب بأن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لأنّی لم أدخل </w:t>
      </w:r>
      <w:r>
        <w:rPr>
          <w:rStyle w:val="FootnoteAnchor"/>
          <w:rtl w:val="true"/>
        </w:rPr>
        <w:footnoteReference w:id="2043"/>
      </w:r>
      <w:r>
        <w:rPr>
          <w:rFonts w:ascii="IRNazanin" w:hAnsi="IRNazanin" w:eastAsia="IRNazanin"/>
          <w:color w:val="111111"/>
          <w:sz w:val="28"/>
          <w:sz w:val="28"/>
          <w:szCs w:val="28"/>
          <w:rtl w:val="true"/>
          <w:lang w:bidi="fa-IR"/>
        </w:rPr>
        <w:t>بامّه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أنکر دخولًا یمکن تکوّنه منه، فحینئذٍ و إن لم ینتف عنه بمجرّد نفیه لکن باللعان ینتفی عنه</w:t>
      </w:r>
      <w:r>
        <w:rPr>
          <w:rFonts w:eastAsia="IRNazanin" w:cs="IRNazanin"/>
          <w:color w:val="111111"/>
          <w:sz w:val="28"/>
          <w:szCs w:val="28"/>
          <w:rtl w:val="true"/>
          <w:lang w:bidi="fa-IR"/>
        </w:rPr>
        <w:t>.</w:t>
      </w:r>
    </w:p>
    <w:p>
      <w:pPr>
        <w:pStyle w:val="Heading4"/>
        <w:numPr>
          <w:ilvl w:val="3"/>
          <w:numId w:val="1"/>
        </w:numPr>
        <w:rPr/>
      </w:pPr>
      <w:bookmarkStart w:id="8191" w:name="__RefHeading___Toc2572384_3650668749"/>
      <w:bookmarkStart w:id="8192" w:name="_Toc3701"/>
      <w:bookmarkEnd w:id="8191"/>
      <w:r>
        <w:rPr>
          <w:rtl w:val="true"/>
        </w:rPr>
        <w:t>[ (</w:t>
      </w:r>
      <w:r>
        <w:rPr>
          <w:rtl w:val="true"/>
        </w:rPr>
        <w:t xml:space="preserve">مسألة </w:t>
      </w:r>
      <w:r>
        <w:rPr/>
        <w:t>7</w:t>
      </w:r>
      <w:r>
        <w:rPr>
          <w:rtl w:val="true"/>
        </w:rPr>
        <w:t xml:space="preserve">): </w:t>
      </w:r>
      <w:r>
        <w:rPr>
          <w:rtl w:val="true"/>
        </w:rPr>
        <w:t>إنّما یشرع اللعان لنفی الولد إذا کانت المرأة منکوحة بالعقد الدائم</w:t>
      </w:r>
      <w:r>
        <w:rPr>
          <w:rtl w:val="true"/>
        </w:rPr>
        <w:t>]</w:t>
      </w:r>
      <w:bookmarkEnd w:id="8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یشرع اللعان لنفی الولد إذا کانت المرأة منکوحة بالعقد الدائم، و أمّا ولد المتمتّع بها فینتفی بنفیه من دون لعان و إن لم یجز له نفیه و لم یعلم بالانتفاء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أنّه قد دخل بها دخولًا یمکن تکوّن الولد منه أو أقرّ بذلک و مع ذلک قد نفاه، لم ینتف عنه بنفیه و لم یسمع منه ذلک، کما هو کذلک فی الدائمة، فالفرق بین الدائمة و المتمتّع بها إنّما هو فیما إذا کانت المرأة تحتها و ولدت ولداً، و لم یعلم دخول الرجل بها دخولًا یمکن تکوّن الولد منه، و لم یقرّ الزوج بذلک و قد نفاه الزوج و احتمل صدقه و کذبه، ففی ولد الدائمة لم ینتف عنه إلّا باللعان و یشرع اللعان لنفیه، و فی ولد المتمتّع بها ینتفی عنه بمجرّد نفیه بحسب ظاهر الشرع و لا یشرع فیه اللعان</w:t>
      </w:r>
      <w:r>
        <w:rPr>
          <w:rFonts w:eastAsia="IRNazanin" w:cs="IRNazanin"/>
          <w:color w:val="111111"/>
          <w:sz w:val="28"/>
          <w:szCs w:val="28"/>
          <w:rtl w:val="true"/>
          <w:lang w:bidi="fa-IR"/>
        </w:rPr>
        <w:t>.</w:t>
      </w:r>
    </w:p>
    <w:p>
      <w:pPr>
        <w:pStyle w:val="Heading4"/>
        <w:numPr>
          <w:ilvl w:val="3"/>
          <w:numId w:val="1"/>
        </w:numPr>
        <w:rPr/>
      </w:pPr>
      <w:bookmarkStart w:id="8193" w:name="__RefHeading___Toc2572386_3650668749"/>
      <w:bookmarkStart w:id="8194" w:name="_Toc3702"/>
      <w:bookmarkEnd w:id="8193"/>
      <w:r>
        <w:rPr>
          <w:rtl w:val="true"/>
        </w:rPr>
        <w:t>[ (</w:t>
      </w:r>
      <w:r>
        <w:rPr>
          <w:rtl w:val="true"/>
        </w:rPr>
        <w:t xml:space="preserve">مسألة </w:t>
      </w:r>
      <w:r>
        <w:rPr/>
        <w:t>8</w:t>
      </w:r>
      <w:r>
        <w:rPr>
          <w:rtl w:val="true"/>
        </w:rPr>
        <w:t xml:space="preserve">): </w:t>
      </w:r>
      <w:r>
        <w:rPr>
          <w:rtl w:val="true"/>
        </w:rPr>
        <w:t>لا فرق فی مشروعیّة اللعان لنفی الولد</w:t>
      </w:r>
      <w:r>
        <w:rPr>
          <w:rtl w:val="true"/>
        </w:rPr>
        <w:t>]</w:t>
      </w:r>
      <w:bookmarkEnd w:id="8194"/>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مشروعیّة اللعان لنفی الولد بین کونه حملًا أو منفصلًا</w:t>
      </w:r>
      <w:r>
        <w:rPr>
          <w:rFonts w:eastAsia="IRNazanin" w:cs="IRNazanin"/>
          <w:color w:val="111111"/>
          <w:sz w:val="28"/>
          <w:szCs w:val="28"/>
          <w:rtl w:val="true"/>
          <w:lang w:bidi="fa-IR"/>
        </w:rPr>
        <w:t>.</w:t>
      </w:r>
      <w:bookmarkStart w:id="8195" w:name="pg1809_20037"/>
    </w:p>
    <w:p>
      <w:pPr>
        <w:pStyle w:val="Heading4"/>
        <w:numPr>
          <w:ilvl w:val="3"/>
          <w:numId w:val="1"/>
        </w:numPr>
        <w:rPr/>
      </w:pPr>
      <w:bookmarkStart w:id="8196" w:name="__RefHeading___Toc2572388_3650668749"/>
      <w:bookmarkStart w:id="8197" w:name="_Toc3703"/>
      <w:bookmarkEnd w:id="8195"/>
      <w:bookmarkEnd w:id="8196"/>
      <w:r>
        <w:rPr>
          <w:rtl w:val="true"/>
        </w:rPr>
        <w:t>[ (</w:t>
      </w:r>
      <w:r>
        <w:rPr>
          <w:rtl w:val="true"/>
        </w:rPr>
        <w:t xml:space="preserve">مسألة </w:t>
      </w:r>
      <w:r>
        <w:rPr/>
        <w:t>9</w:t>
      </w:r>
      <w:r>
        <w:rPr>
          <w:rtl w:val="true"/>
        </w:rPr>
        <w:t xml:space="preserve">): </w:t>
      </w:r>
      <w:r>
        <w:rPr>
          <w:rtl w:val="true"/>
        </w:rPr>
        <w:t>من المعلوم أنّ انتفاء الولد عن الزوج لا یلازم کونه ولد زنا</w:t>
      </w:r>
      <w:r>
        <w:rPr>
          <w:rtl w:val="true"/>
        </w:rPr>
        <w:t>]</w:t>
      </w:r>
      <w:bookmarkEnd w:id="8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انتفاء الولد عن الزوج لا یلازم کونه ولد زنا؛ لاحتمال تکوّنه عن وطء شبهة أو غیره، فلو علم الرجل بعدم التحاق الولد به و إن جاز له بل وجب علیه نفیه عن نفسه، لکن لا یجوز له أن یرمیها بالزنا و ینسب ولدها بکونه ولد زنا</w:t>
      </w:r>
      <w:r>
        <w:rPr>
          <w:rFonts w:eastAsia="IRNazanin" w:cs="IRNazanin"/>
          <w:color w:val="111111"/>
          <w:sz w:val="28"/>
          <w:szCs w:val="28"/>
          <w:rtl w:val="true"/>
          <w:lang w:bidi="fa-IR"/>
        </w:rPr>
        <w:t>.</w:t>
      </w:r>
    </w:p>
    <w:p>
      <w:pPr>
        <w:pStyle w:val="Heading4"/>
        <w:numPr>
          <w:ilvl w:val="3"/>
          <w:numId w:val="1"/>
        </w:numPr>
        <w:rPr/>
      </w:pPr>
      <w:bookmarkStart w:id="8198" w:name="__RefHeading___Toc2572390_3650668749"/>
      <w:bookmarkStart w:id="8199" w:name="_Toc3704"/>
      <w:bookmarkEnd w:id="8198"/>
      <w:r>
        <w:rPr>
          <w:rtl w:val="true"/>
        </w:rPr>
        <w:t>[ (</w:t>
      </w:r>
      <w:r>
        <w:rPr>
          <w:rtl w:val="true"/>
        </w:rPr>
        <w:t xml:space="preserve">مسألة </w:t>
      </w:r>
      <w:r>
        <w:rPr/>
        <w:t>10</w:t>
      </w:r>
      <w:r>
        <w:rPr>
          <w:rtl w:val="true"/>
        </w:rPr>
        <w:t xml:space="preserve">): </w:t>
      </w:r>
      <w:r>
        <w:rPr>
          <w:rtl w:val="true"/>
        </w:rPr>
        <w:t>لو أقرّ بالولد لم یسمع إنکاره له بعد ذلک</w:t>
      </w:r>
      <w:r>
        <w:rPr>
          <w:rtl w:val="true"/>
        </w:rPr>
        <w:t>]</w:t>
      </w:r>
      <w:bookmarkEnd w:id="8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بالولد لم یسمع إنکاره له بعد ذلک؛ سواء کان إقراره بالصریح أو بالکنایة، مثل أن یبشّر به و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لک فی مولودک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قیل </w:t>
      </w:r>
      <w:r>
        <w:rPr>
          <w:rStyle w:val="FootnoteAnchor"/>
          <w:rtl w:val="true"/>
        </w:rPr>
        <w:footnoteReference w:id="2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الزوج حاضراً وقت الولادة و لم ینکر الولد مع ارتفاع العذر لم یکن له إنکاره بعد ذلک، بل نسب ذلک إلی المشهور</w:t>
      </w:r>
      <w:r>
        <w:rPr>
          <w:rFonts w:eastAsia="IRNazanin" w:cs="IRNazanin"/>
          <w:color w:val="111111"/>
          <w:sz w:val="28"/>
          <w:szCs w:val="28"/>
          <w:rtl w:val="true"/>
          <w:lang w:bidi="fa-IR"/>
        </w:rPr>
        <w:t>.</w:t>
      </w:r>
    </w:p>
    <w:p>
      <w:pPr>
        <w:pStyle w:val="Heading4"/>
        <w:numPr>
          <w:ilvl w:val="3"/>
          <w:numId w:val="1"/>
        </w:numPr>
        <w:rPr/>
      </w:pPr>
      <w:bookmarkStart w:id="8200" w:name="__RefHeading___Toc2572392_3650668749"/>
      <w:bookmarkStart w:id="8201" w:name="_Toc3705"/>
      <w:bookmarkEnd w:id="8200"/>
      <w:r>
        <w:rPr>
          <w:rtl w:val="true"/>
        </w:rPr>
        <w:t>[ (</w:t>
      </w:r>
      <w:r>
        <w:rPr>
          <w:rtl w:val="true"/>
        </w:rPr>
        <w:t xml:space="preserve">مسألة </w:t>
      </w:r>
      <w:r>
        <w:rPr/>
        <w:t>11</w:t>
      </w:r>
      <w:r>
        <w:rPr>
          <w:rtl w:val="true"/>
        </w:rPr>
        <w:t xml:space="preserve">): </w:t>
      </w:r>
      <w:r>
        <w:rPr>
          <w:rtl w:val="true"/>
        </w:rPr>
        <w:t>لا یقع اللعان إلّا عند الحاکم الشرعی أو من نصبه</w:t>
      </w:r>
      <w:r>
        <w:rPr>
          <w:rtl w:val="true"/>
        </w:rPr>
        <w:t>]</w:t>
      </w:r>
      <w:bookmarkEnd w:id="8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یقع اللعان إلّا عند الحاکم الشرعی أو من نصبه </w:t>
      </w:r>
      <w:r>
        <w:rPr>
          <w:rStyle w:val="FootnoteAnchor"/>
          <w:rtl w:val="true"/>
        </w:rPr>
        <w:footnoteReference w:id="2045"/>
      </w:r>
      <w:r>
        <w:rPr>
          <w:rFonts w:ascii="IRNazanin" w:hAnsi="IRNazanin" w:eastAsia="IRNazanin"/>
          <w:color w:val="111111"/>
          <w:sz w:val="28"/>
          <w:sz w:val="28"/>
          <w:szCs w:val="28"/>
          <w:rtl w:val="true"/>
          <w:lang w:bidi="fa-IR"/>
        </w:rPr>
        <w:t>لذلک، و صورته أن یبدأ الرجل و یقول بعد ما قذفها أو نفیٰ ولدها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باللّٰه إنّی لمن الصادقین فیما قلت من قذفها أو من نفی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ذلک أربع مرّات، ثمّ یقول مرّة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علیّ إن کنت 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تقول المرأة بعد ذلک أربع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باللّٰه إنّه لمن الکاذبین فی مقالته من الرمی بالزنا أو نفی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تقول مرّة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غضب اللّٰه علیّ إن کان من الصادقین</w:t>
      </w:r>
      <w:r>
        <w:rPr>
          <w:rFonts w:eastAsia="IRNazanin" w:cs="IRNazanin"/>
          <w:color w:val="111111"/>
          <w:sz w:val="28"/>
          <w:szCs w:val="28"/>
          <w:rtl w:val="true"/>
          <w:lang w:bidi="fa-IR"/>
        </w:rPr>
        <w:t>».</w:t>
      </w:r>
    </w:p>
    <w:p>
      <w:pPr>
        <w:pStyle w:val="Heading4"/>
        <w:numPr>
          <w:ilvl w:val="3"/>
          <w:numId w:val="1"/>
        </w:numPr>
        <w:rPr/>
      </w:pPr>
      <w:bookmarkStart w:id="8202" w:name="__RefHeading___Toc2572394_3650668749"/>
      <w:bookmarkStart w:id="8203" w:name="_Toc3706"/>
      <w:bookmarkEnd w:id="8202"/>
      <w:r>
        <w:rPr>
          <w:rtl w:val="true"/>
        </w:rPr>
        <w:t>[ (</w:t>
      </w:r>
      <w:r>
        <w:rPr>
          <w:rtl w:val="true"/>
        </w:rPr>
        <w:t xml:space="preserve">مسألة </w:t>
      </w:r>
      <w:r>
        <w:rPr/>
        <w:t>12</w:t>
      </w:r>
      <w:r>
        <w:rPr>
          <w:rtl w:val="true"/>
        </w:rPr>
        <w:t xml:space="preserve">): </w:t>
      </w:r>
      <w:r>
        <w:rPr>
          <w:rtl w:val="true"/>
        </w:rPr>
        <w:t>یجب أن تکون الشهادة و اللعن علی الوجه المذکور</w:t>
      </w:r>
      <w:r>
        <w:rPr>
          <w:rtl w:val="true"/>
        </w:rPr>
        <w:t>]</w:t>
      </w:r>
      <w:bookmarkEnd w:id="8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تکون الشهادة و اللعن علی الوجه المذکور، فلو قال أو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أبدلا لفظ الجلالة بالرحمان أو بخالق البشر أو بصانع الموجودات أو قال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قالت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یقع، و کذا لو أبدل الرجل اللعنة بالغضب، و المرأة بالعکس</w:t>
      </w:r>
      <w:r>
        <w:rPr>
          <w:rFonts w:eastAsia="IRNazanin" w:cs="IRNazanin"/>
          <w:color w:val="111111"/>
          <w:sz w:val="28"/>
          <w:szCs w:val="28"/>
          <w:rtl w:val="true"/>
          <w:lang w:bidi="fa-IR"/>
        </w:rPr>
        <w:t>.</w:t>
      </w:r>
    </w:p>
    <w:p>
      <w:pPr>
        <w:pStyle w:val="Heading4"/>
        <w:numPr>
          <w:ilvl w:val="3"/>
          <w:numId w:val="1"/>
        </w:numPr>
        <w:rPr/>
      </w:pPr>
      <w:bookmarkStart w:id="8204" w:name="__RefHeading___Toc2572396_3650668749"/>
      <w:bookmarkStart w:id="8205" w:name="_Toc3707"/>
      <w:bookmarkEnd w:id="8204"/>
      <w:r>
        <w:rPr>
          <w:rtl w:val="true"/>
        </w:rPr>
        <w:t>[ (</w:t>
      </w:r>
      <w:r>
        <w:rPr>
          <w:rtl w:val="true"/>
        </w:rPr>
        <w:t xml:space="preserve">مسألة </w:t>
      </w:r>
      <w:r>
        <w:rPr/>
        <w:t>13</w:t>
      </w:r>
      <w:r>
        <w:rPr>
          <w:rtl w:val="true"/>
        </w:rPr>
        <w:t xml:space="preserve">): </w:t>
      </w:r>
      <w:r>
        <w:rPr>
          <w:rtl w:val="true"/>
        </w:rPr>
        <w:t>یجب أن یکون إتیان کلّ منهما باللعان بعد إلقاء الحاکم إیّاه علیه</w:t>
      </w:r>
      <w:r>
        <w:rPr>
          <w:rtl w:val="true"/>
        </w:rPr>
        <w:t>]</w:t>
      </w:r>
      <w:bookmarkEnd w:id="8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إتیان کلّ منهما باللعان بعد إلقاء الحاکم إیّاه علیه، فلو بادر به قبل أن یأمر الحاکم به لم یقع</w:t>
      </w:r>
      <w:r>
        <w:rPr>
          <w:rFonts w:eastAsia="IRNazanin" w:cs="IRNazanin"/>
          <w:color w:val="111111"/>
          <w:sz w:val="28"/>
          <w:szCs w:val="28"/>
          <w:rtl w:val="true"/>
          <w:lang w:bidi="fa-IR"/>
        </w:rPr>
        <w:t>.</w:t>
      </w:r>
    </w:p>
    <w:p>
      <w:pPr>
        <w:pStyle w:val="Heading4"/>
        <w:numPr>
          <w:ilvl w:val="3"/>
          <w:numId w:val="1"/>
        </w:numPr>
        <w:rPr/>
      </w:pPr>
      <w:bookmarkStart w:id="8206" w:name="__RefHeading___Toc2572398_3650668749"/>
      <w:bookmarkStart w:id="8207" w:name="_Toc3708"/>
      <w:bookmarkEnd w:id="8206"/>
      <w:r>
        <w:rPr>
          <w:rtl w:val="true"/>
        </w:rPr>
        <w:t>[ (</w:t>
      </w:r>
      <w:r>
        <w:rPr>
          <w:rtl w:val="true"/>
        </w:rPr>
        <w:t xml:space="preserve">مسألة </w:t>
      </w:r>
      <w:r>
        <w:rPr/>
        <w:t>14</w:t>
      </w:r>
      <w:r>
        <w:rPr>
          <w:rtl w:val="true"/>
        </w:rPr>
        <w:t xml:space="preserve">): </w:t>
      </w:r>
      <w:r>
        <w:rPr>
          <w:rtl w:val="true"/>
        </w:rPr>
        <w:t>یجب أن یکون النطق بالعربیّة مع القدرة</w:t>
      </w:r>
      <w:r>
        <w:rPr>
          <w:rtl w:val="true"/>
        </w:rPr>
        <w:t>]</w:t>
      </w:r>
      <w:bookmarkEnd w:id="8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یکون النطق بالعربیّة </w:t>
      </w:r>
      <w:r>
        <w:rPr>
          <w:rStyle w:val="FootnoteAnchor"/>
          <w:rtl w:val="true"/>
        </w:rPr>
        <w:footnoteReference w:id="2046"/>
      </w:r>
      <w:r>
        <w:rPr>
          <w:rFonts w:ascii="IRNazanin" w:hAnsi="IRNazanin" w:eastAsia="IRNazanin"/>
          <w:color w:val="111111"/>
          <w:sz w:val="28"/>
          <w:sz w:val="28"/>
          <w:szCs w:val="28"/>
          <w:rtl w:val="true"/>
          <w:lang w:bidi="fa-IR"/>
        </w:rPr>
        <w:t>مع القدرة و یجوز بغیرها مع التعذّر</w:t>
      </w:r>
      <w:r>
        <w:rPr>
          <w:rFonts w:eastAsia="IRNazanin" w:cs="IRNazanin"/>
          <w:color w:val="111111"/>
          <w:sz w:val="28"/>
          <w:szCs w:val="28"/>
          <w:rtl w:val="true"/>
          <w:lang w:bidi="fa-IR"/>
        </w:rPr>
        <w:t>.</w:t>
      </w:r>
    </w:p>
    <w:p>
      <w:pPr>
        <w:pStyle w:val="Heading4"/>
        <w:numPr>
          <w:ilvl w:val="3"/>
          <w:numId w:val="1"/>
        </w:numPr>
        <w:rPr/>
      </w:pPr>
      <w:bookmarkStart w:id="8208" w:name="__RefHeading___Toc2572400_3650668749"/>
      <w:bookmarkStart w:id="8209" w:name="_Toc3709"/>
      <w:bookmarkEnd w:id="8208"/>
      <w:r>
        <w:rPr>
          <w:rtl w:val="true"/>
        </w:rPr>
        <w:t>[ (</w:t>
      </w:r>
      <w:r>
        <w:rPr>
          <w:rtl w:val="true"/>
        </w:rPr>
        <w:t xml:space="preserve">مسألة </w:t>
      </w:r>
      <w:r>
        <w:rPr/>
        <w:t>15</w:t>
      </w:r>
      <w:r>
        <w:rPr>
          <w:rtl w:val="true"/>
        </w:rPr>
        <w:t xml:space="preserve">): </w:t>
      </w:r>
      <w:r>
        <w:rPr>
          <w:rtl w:val="true"/>
        </w:rPr>
        <w:t>یجب أن یکونا قائمین عند التلفّظ بألفاظهما الخمسة</w:t>
      </w:r>
      <w:r>
        <w:rPr>
          <w:rtl w:val="true"/>
        </w:rPr>
        <w:t>]</w:t>
      </w:r>
      <w:bookmarkEnd w:id="8209"/>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یکونا قائمین عند التلفّظ بألفاظهما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یعتبر أن یکونا</w:t>
      </w:r>
      <w:bookmarkStart w:id="8210" w:name="pg1809_20039"/>
    </w:p>
    <w:p>
      <w:pPr>
        <w:pStyle w:val="BookText"/>
        <w:rPr/>
      </w:pPr>
      <w:bookmarkEnd w:id="8210"/>
      <w:r>
        <w:rPr>
          <w:rFonts w:ascii="IRNazanin" w:hAnsi="IRNazanin" w:eastAsia="IRNazanin"/>
          <w:color w:val="111111"/>
          <w:sz w:val="28"/>
          <w:sz w:val="28"/>
          <w:szCs w:val="28"/>
          <w:rtl w:val="true"/>
          <w:lang w:bidi="fa-IR"/>
        </w:rPr>
        <w:t xml:space="preserve">قائمین معاً عند تلفّظ کلّ منهما أو یکفی قیام کلّ منهما عند تلفّظه بما یخصّه؟ أحوطهما </w:t>
      </w:r>
      <w:r>
        <w:rPr>
          <w:rStyle w:val="FootnoteAnchor"/>
          <w:rtl w:val="true"/>
        </w:rPr>
        <w:footnoteReference w:id="2047"/>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Heading4"/>
        <w:numPr>
          <w:ilvl w:val="3"/>
          <w:numId w:val="1"/>
        </w:numPr>
        <w:rPr/>
      </w:pPr>
      <w:bookmarkStart w:id="8211" w:name="__RefHeading___Toc2572402_3650668749"/>
      <w:bookmarkStart w:id="8212" w:name="_Toc3710"/>
      <w:bookmarkEnd w:id="8211"/>
      <w:r>
        <w:rPr>
          <w:rtl w:val="true"/>
        </w:rPr>
        <w:t>[ (</w:t>
      </w:r>
      <w:r>
        <w:rPr>
          <w:rtl w:val="true"/>
        </w:rPr>
        <w:t xml:space="preserve">مسألة </w:t>
      </w:r>
      <w:r>
        <w:rPr/>
        <w:t>16</w:t>
      </w:r>
      <w:r>
        <w:rPr>
          <w:rtl w:val="true"/>
        </w:rPr>
        <w:t xml:space="preserve">): </w:t>
      </w:r>
      <w:r>
        <w:rPr>
          <w:rtl w:val="true"/>
        </w:rPr>
        <w:t>إذا وقع اللعان الجامع للشرائط منهما یترتّب علیه أحکام أربعة</w:t>
      </w:r>
      <w:r>
        <w:rPr>
          <w:rtl w:val="true"/>
        </w:rPr>
        <w:t>]</w:t>
      </w:r>
      <w:bookmarkEnd w:id="8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اللعان الجامع للشرائط منهما یترتّب علیه أحکام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انفساخ عقد النکاح و الفرقة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الأبدیّة، فلا تحلّ له أبداً و لو بعقد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الحکمان ثابتان فی مطلق اللعان؛ سواء کان للقذف أو لنفی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حدّ القذف عن الزوج بلعانه و سقوط حدّ الزنا عن الزوجة بلعانها، فلو قذفها ثمّ لاعن و نکلت هی عن اللعان تخلّص الرجل عن حدّ القذف و تحدّ المرأة حدّ الزانیة؛ لأنّ لعان الرجل بمنزلة البیّنة فی إثبات زنا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الولد عن الرجل دون المرأة إن تلاعنا لنفیه؛ بمعنی أنّه لو نفاه و ادّعت الزوجة کون الولد له فتلاعنا، لم یکن توارث بین الرجل و الولد فلا یرث کلّ منهما عن الآخر، و کذا بین الولد و کلّ من انتسب إلیه بالأُبوّة کالجدّ و الجدّة و الأخ و الأُخت للأب، و کذا الأعمام و العمّات، بخلاف الامّ و من انتسب إلیه بها، حتّی أنّ الإخوة للأب و الأُمّ بحکم الإخوة للُامّ</w:t>
      </w:r>
      <w:r>
        <w:rPr>
          <w:rFonts w:eastAsia="IRNazanin" w:cs="IRNazanin"/>
          <w:color w:val="111111"/>
          <w:sz w:val="28"/>
          <w:szCs w:val="28"/>
          <w:rtl w:val="true"/>
          <w:lang w:bidi="fa-IR"/>
        </w:rPr>
        <w:t>.</w:t>
      </w:r>
    </w:p>
    <w:p>
      <w:pPr>
        <w:pStyle w:val="Heading4"/>
        <w:numPr>
          <w:ilvl w:val="3"/>
          <w:numId w:val="1"/>
        </w:numPr>
        <w:rPr/>
      </w:pPr>
      <w:bookmarkStart w:id="8213" w:name="__RefHeading___Toc2572404_3650668749"/>
      <w:bookmarkStart w:id="8214" w:name="_Toc3711"/>
      <w:bookmarkEnd w:id="8213"/>
      <w:r>
        <w:rPr>
          <w:rtl w:val="true"/>
        </w:rPr>
        <w:t>[ (</w:t>
      </w:r>
      <w:r>
        <w:rPr>
          <w:rtl w:val="true"/>
        </w:rPr>
        <w:t xml:space="preserve">مسألة </w:t>
      </w:r>
      <w:r>
        <w:rPr/>
        <w:t>17</w:t>
      </w:r>
      <w:r>
        <w:rPr>
          <w:rtl w:val="true"/>
        </w:rPr>
        <w:t xml:space="preserve">): </w:t>
      </w:r>
      <w:r>
        <w:rPr>
          <w:rtl w:val="true"/>
        </w:rPr>
        <w:t>إذا کذّب نفسه بعد ما لاعن لنفی الولد، لحق به الولد فیما علیه</w:t>
      </w:r>
      <w:r>
        <w:rPr>
          <w:rtl w:val="true"/>
        </w:rPr>
        <w:t>]</w:t>
      </w:r>
      <w:bookmarkEnd w:id="8214"/>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کذّب نفسه بعد ما لاعن لنفی الولد، لحق به الولد فیما علیه لا فیما له، فیرثه الولد </w:t>
      </w:r>
      <w:r>
        <w:rPr>
          <w:rStyle w:val="FootnoteAnchor"/>
          <w:rtl w:val="true"/>
        </w:rPr>
        <w:footnoteReference w:id="2048"/>
      </w:r>
      <w:r>
        <w:rPr>
          <w:rFonts w:ascii="IRNazanin" w:hAnsi="IRNazanin" w:eastAsia="IRNazanin"/>
          <w:color w:val="111111"/>
          <w:sz w:val="28"/>
          <w:sz w:val="28"/>
          <w:szCs w:val="28"/>
          <w:rtl w:val="true"/>
          <w:lang w:bidi="fa-IR"/>
        </w:rPr>
        <w:t>و لا یرثه الأب و لا من یتقرّب به، و سیجی‌ء تفصیله فی کتاب المیراث إن شاء اللّٰه تعالیٰ</w:t>
      </w:r>
      <w:r>
        <w:rPr>
          <w:rFonts w:eastAsia="IRNazanin" w:cs="IRNazanin"/>
          <w:color w:val="111111"/>
          <w:sz w:val="28"/>
          <w:szCs w:val="28"/>
          <w:rtl w:val="true"/>
          <w:lang w:bidi="fa-IR"/>
        </w:rPr>
        <w:t>.</w:t>
      </w:r>
      <w:bookmarkStart w:id="8215" w:name="pg1809_20041"/>
    </w:p>
    <w:p>
      <w:pPr>
        <w:pStyle w:val="Heading2"/>
        <w:numPr>
          <w:ilvl w:val="1"/>
          <w:numId w:val="1"/>
        </w:numPr>
        <w:rPr/>
      </w:pPr>
      <w:bookmarkStart w:id="8216" w:name="__RefHeading___Toc2572406_3650668749"/>
      <w:bookmarkStart w:id="8217" w:name="_Toc3712"/>
      <w:bookmarkEnd w:id="8215"/>
      <w:bookmarkEnd w:id="8216"/>
      <w:r>
        <w:rPr>
          <w:rtl w:val="true"/>
        </w:rPr>
        <w:t>[</w:t>
      </w:r>
      <w:r>
        <w:rPr>
          <w:rtl w:val="true"/>
        </w:rPr>
        <w:t>کتاب المیراث</w:t>
      </w:r>
      <w:r>
        <w:rPr>
          <w:rtl w:val="true"/>
        </w:rPr>
        <w:t>]</w:t>
      </w:r>
      <w:bookmarkEnd w:id="8217"/>
    </w:p>
    <w:p>
      <w:pPr>
        <w:pStyle w:val="Heading3"/>
        <w:numPr>
          <w:ilvl w:val="2"/>
          <w:numId w:val="1"/>
        </w:numPr>
        <w:rPr/>
      </w:pPr>
      <w:bookmarkStart w:id="8218" w:name="__RefHeading___Toc2572408_3650668749"/>
      <w:bookmarkStart w:id="8219" w:name="_Toc3713"/>
      <w:bookmarkEnd w:id="8218"/>
      <w:r>
        <w:rPr>
          <w:rtl w:val="true"/>
        </w:rPr>
        <w:t>اشارة</w:t>
      </w:r>
      <w:bookmarkEnd w:id="8219"/>
    </w:p>
    <w:p>
      <w:pPr>
        <w:pStyle w:val="BookText"/>
        <w:rPr/>
      </w:pPr>
      <w:r>
        <w:rPr>
          <w:rFonts w:ascii="IRNazanin" w:hAnsi="IRNazanin" w:eastAsia="IRNazanin"/>
          <w:color w:val="111111"/>
          <w:sz w:val="28"/>
          <w:sz w:val="28"/>
          <w:szCs w:val="28"/>
          <w:rtl w:val="true"/>
          <w:lang w:bidi="fa-IR"/>
        </w:rPr>
        <w:t>کتاب المیراث و هو مشتمل علیٰ مقدّمة و مقاصد و لواحق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المقدّمة فتشتمل علیٰ أُمور</w:t>
      </w:r>
      <w:r>
        <w:rPr>
          <w:rFonts w:eastAsia="Amiri" w:cs="Amiri" w:ascii="Amiri" w:hAnsi="Amiri"/>
          <w:color w:val="111111"/>
          <w:sz w:val="28"/>
          <w:szCs w:val="28"/>
          <w:rtl w:val="true"/>
          <w:lang w:bidi="ar-SA"/>
        </w:rPr>
        <w:t>:</w:t>
      </w:r>
    </w:p>
    <w:p>
      <w:pPr>
        <w:pStyle w:val="Heading3"/>
        <w:numPr>
          <w:ilvl w:val="2"/>
          <w:numId w:val="1"/>
        </w:numPr>
        <w:rPr/>
      </w:pPr>
      <w:bookmarkStart w:id="8220" w:name="__RefHeading___Toc2572410_3650668749"/>
      <w:bookmarkStart w:id="8221" w:name="_Toc3714"/>
      <w:bookmarkEnd w:id="8220"/>
      <w:r>
        <w:rPr>
          <w:rtl w:val="true"/>
        </w:rPr>
        <w:t>[</w:t>
      </w:r>
      <w:r>
        <w:rPr>
          <w:rtl w:val="true"/>
        </w:rPr>
        <w:t>الأمر الأوّل</w:t>
      </w:r>
      <w:r>
        <w:rPr>
          <w:rtl w:val="true"/>
        </w:rPr>
        <w:t xml:space="preserve">: </w:t>
      </w:r>
      <w:r>
        <w:rPr>
          <w:rtl w:val="true"/>
        </w:rPr>
        <w:t>فی موجبات الإرث و أسبابه علی الإجمال</w:t>
      </w:r>
      <w:r>
        <w:rPr>
          <w:rtl w:val="true"/>
        </w:rPr>
        <w:t>]</w:t>
      </w:r>
      <w:bookmarkEnd w:id="8221"/>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موجبات الإرث و أسبابه علی الإجمال، و هی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و هو ثلاث طبقات مرتّبة، لا یرث واحد من المرتبة اللاحقة مع وجود وارث من المرتبة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الأُولیٰ و هی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الأبوان من غیر ارتفاع، و الأولاد ذکراً أو أُنثی بلا واسطة أو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أیضاً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الأجداد و الجدّات لأب أو أُمّ و إن علوا، و الإخوة و الأخوات و أولادهم و إن نزلوا؛ لأب کانوا أو لُامّ أو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الأعمام و العمّات و الأخوال و الخالات و إن علوا و أولادهم و إن نزلوا </w:t>
      </w:r>
      <w:r>
        <w:rPr>
          <w:rStyle w:val="FootnoteAnchor"/>
          <w:rtl w:val="true"/>
        </w:rPr>
        <w:footnoteReference w:id="2049"/>
      </w:r>
      <w:r>
        <w:rPr>
          <w:rFonts w:ascii="Amiri" w:hAnsi="Amiri" w:eastAsia="Amiri" w:cs="Amiri"/>
          <w:color w:val="111111"/>
          <w:sz w:val="28"/>
          <w:sz w:val="28"/>
          <w:szCs w:val="28"/>
          <w:rtl w:val="true"/>
          <w:lang w:bidi="ar-SA"/>
        </w:rPr>
        <w:t>، و یعدّ من فی هذه الطبقة کلّهم صنفاً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الزوجیّة، و بها یرث الزوجان کلّ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و هو ثلاثة 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العتق، ثمّ ولاء ضامن الجریرة، ثمّ ولاء الإمامة</w:t>
      </w:r>
      <w:r>
        <w:rPr>
          <w:rFonts w:eastAsia="IRNazanin" w:cs="IRNazanin"/>
          <w:color w:val="111111"/>
          <w:sz w:val="28"/>
          <w:szCs w:val="28"/>
          <w:rtl w:val="true"/>
          <w:lang w:bidi="fa-IR"/>
        </w:rPr>
        <w:t>.</w:t>
      </w:r>
    </w:p>
    <w:p>
      <w:pPr>
        <w:pStyle w:val="Heading3"/>
        <w:numPr>
          <w:ilvl w:val="2"/>
          <w:numId w:val="1"/>
        </w:numPr>
        <w:rPr/>
      </w:pPr>
      <w:bookmarkStart w:id="8222" w:name="__RefHeading___Toc2572412_3650668749"/>
      <w:bookmarkStart w:id="8223" w:name="_Toc3715"/>
      <w:bookmarkEnd w:id="8222"/>
      <w:r>
        <w:rPr>
          <w:rtl w:val="true"/>
        </w:rPr>
        <w:t>[</w:t>
      </w:r>
      <w:r>
        <w:rPr>
          <w:rtl w:val="true"/>
        </w:rPr>
        <w:t>الأمر الثانی</w:t>
      </w:r>
      <w:r>
        <w:rPr>
          <w:rtl w:val="true"/>
        </w:rPr>
        <w:t xml:space="preserve">: </w:t>
      </w:r>
      <w:r>
        <w:rPr>
          <w:rtl w:val="true"/>
        </w:rPr>
        <w:t>الوارث إمّا یرث بالفرض و إمّا یرث بالقرابة</w:t>
      </w:r>
      <w:r>
        <w:rPr>
          <w:rtl w:val="true"/>
        </w:rPr>
        <w:t>]</w:t>
      </w:r>
      <w:bookmarkEnd w:id="8223"/>
    </w:p>
    <w:p>
      <w:pPr>
        <w:pStyle w:val="Heading4"/>
        <w:numPr>
          <w:ilvl w:val="3"/>
          <w:numId w:val="1"/>
        </w:numPr>
        <w:rPr/>
      </w:pPr>
      <w:bookmarkStart w:id="8224" w:name="__RefHeading___Toc2572414_3650668749"/>
      <w:bookmarkStart w:id="8225" w:name="_Toc3716"/>
      <w:bookmarkEnd w:id="8224"/>
      <w:r>
        <w:rPr>
          <w:rtl w:val="true"/>
        </w:rPr>
        <w:t>اشارة</w:t>
      </w:r>
      <w:bookmarkEnd w:id="8225"/>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الوارث إمّا یرث بالفرض و إمّا یرث بالقرابة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بالفرض هو السهم المقدّر و الکسر المعیّن الذی سمّاه اللّٰه تعالیٰ فی کتابه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الفروض ستّة و أربابها 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لبنت واحدة إذا لم یکن معها ابن </w:t>
      </w:r>
      <w:r>
        <w:rPr>
          <w:rStyle w:val="FootnoteAnchor"/>
          <w:rtl w:val="true"/>
        </w:rPr>
        <w:footnoteReference w:id="2050"/>
      </w:r>
      <w:r>
        <w:rPr>
          <w:rFonts w:ascii="IRNazanin" w:hAnsi="IRNazanin" w:eastAsia="IRNazanin"/>
          <w:color w:val="111111"/>
          <w:sz w:val="28"/>
          <w:sz w:val="28"/>
          <w:szCs w:val="28"/>
          <w:rtl w:val="true"/>
          <w:lang w:bidi="fa-IR"/>
        </w:rPr>
        <w:t>، و أُخت واحدة لأبوین أو لأب إذا لم یکن معها</w:t>
      </w:r>
      <w:bookmarkStart w:id="8226" w:name="pg1809_20043"/>
    </w:p>
    <w:p>
      <w:pPr>
        <w:pStyle w:val="BookText"/>
        <w:rPr/>
      </w:pPr>
      <w:bookmarkEnd w:id="8226"/>
      <w:r>
        <w:rPr>
          <w:rFonts w:ascii="IRNazanin" w:hAnsi="IRNazanin" w:eastAsia="IRNazanin"/>
          <w:color w:val="111111"/>
          <w:sz w:val="28"/>
          <w:sz w:val="28"/>
          <w:szCs w:val="28"/>
          <w:rtl w:val="true"/>
          <w:lang w:bidi="fa-IR"/>
        </w:rPr>
        <w:t xml:space="preserve">أخ کذلک، و الزوج إذا لم یکن للزوجة ولد </w:t>
      </w:r>
      <w:r>
        <w:rPr>
          <w:rStyle w:val="FootnoteAnchor"/>
          <w:rtl w:val="true"/>
        </w:rPr>
        <w:footnoteReference w:id="2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إذا کان للزوجة ولد، و للزوجة إذا لم یکن للزوج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للزوجة إذا کان للزوج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 مع عدم الولد للمیّت و لا الإخوة بالشرائط الآتیة، و للأخ و الأُخت من الامّ مع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للبنتین فصاعداً مع عدم وجود الابن، و للأُختین فصاعداً لأبوین أو لأب مع عدم وجود الأخ </w:t>
      </w:r>
      <w:r>
        <w:rPr>
          <w:rStyle w:val="FootnoteAnchor"/>
          <w:rtl w:val="true"/>
        </w:rPr>
        <w:footnoteReference w:id="2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 مع وجود الولد، و للأُمّ مع الولد أو وجود الإخوة للمیّت بالشروط الآتیة، و للأخ أو الأُخت للأُمّ مع عدم التعدّد</w:t>
      </w:r>
      <w:r>
        <w:rPr>
          <w:rFonts w:eastAsia="IRNazanin" w:cs="IRNazanin"/>
          <w:color w:val="111111"/>
          <w:sz w:val="28"/>
          <w:szCs w:val="28"/>
          <w:rtl w:val="true"/>
          <w:lang w:bidi="fa-IR"/>
        </w:rPr>
        <w:t>.</w:t>
      </w:r>
    </w:p>
    <w:p>
      <w:pPr>
        <w:pStyle w:val="Heading4"/>
        <w:numPr>
          <w:ilvl w:val="3"/>
          <w:numId w:val="1"/>
        </w:numPr>
        <w:rPr/>
      </w:pPr>
      <w:bookmarkStart w:id="8227" w:name="__RefHeading___Toc2572416_3650668749"/>
      <w:bookmarkStart w:id="8228" w:name="_Toc3717"/>
      <w:bookmarkEnd w:id="8227"/>
      <w:r>
        <w:rPr>
          <w:rtl w:val="true"/>
        </w:rPr>
        <w:t>[ (</w:t>
      </w:r>
      <w:r>
        <w:rPr>
          <w:rtl w:val="true"/>
        </w:rPr>
        <w:t xml:space="preserve">مسألة </w:t>
      </w:r>
      <w:r>
        <w:rPr/>
        <w:t>1</w:t>
      </w:r>
      <w:r>
        <w:rPr>
          <w:rtl w:val="true"/>
        </w:rPr>
        <w:t xml:space="preserve">): </w:t>
      </w:r>
      <w:r>
        <w:rPr>
          <w:rtl w:val="true"/>
        </w:rPr>
        <w:t>قد ظهر ممّا مرّ</w:t>
      </w:r>
      <w:r>
        <w:rPr>
          <w:rtl w:val="true"/>
        </w:rPr>
        <w:t xml:space="preserve">: </w:t>
      </w:r>
      <w:r>
        <w:rPr>
          <w:rtl w:val="true"/>
        </w:rPr>
        <w:t>أنّ أهل الطبقة الثالثة من ذوی الأنساب لا فرض لهم</w:t>
      </w:r>
      <w:r>
        <w:rPr>
          <w:rtl w:val="true"/>
        </w:rPr>
        <w:t>]</w:t>
      </w:r>
      <w:bookmarkEnd w:id="8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الطبقة الثالثة من ذوی الأنساب لا فرض لهم و إنّما یکون إرثهم بالقرابة، و أنّ الزوجین وراثتهما بالفرض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الطبقة الأُولیٰ و الثانیة فبعضهم لا فرض له أصلًا کالابن و الأخ للأبوین أو لأب، و بعضهم ذو فرض مطلقاً کالأُمّ، و بعضهم ذو فرض علیٰ حال دون حال کالأب، فإنّه ذو فرض مع وجود الولد للمیّت و لیس له فرض مع عدم الولد، و کالبنت و البنتین، و کذا الأُخت و الأُختان لأب أو أبوین، فإنّ لهنّ الفرض إذا لم یکن معهنّ ذکر و لیس لهنّ فرض إذا کان معهنّ ذکر</w:t>
      </w:r>
      <w:r>
        <w:rPr>
          <w:rFonts w:eastAsia="IRNazanin" w:cs="IRNazanin"/>
          <w:color w:val="111111"/>
          <w:sz w:val="28"/>
          <w:szCs w:val="28"/>
          <w:rtl w:val="true"/>
          <w:lang w:bidi="fa-IR"/>
        </w:rPr>
        <w:t>.</w:t>
      </w:r>
    </w:p>
    <w:p>
      <w:pPr>
        <w:pStyle w:val="Heading4"/>
        <w:numPr>
          <w:ilvl w:val="3"/>
          <w:numId w:val="1"/>
        </w:numPr>
        <w:rPr/>
      </w:pPr>
      <w:bookmarkStart w:id="8229" w:name="__RefHeading___Toc2572418_3650668749"/>
      <w:bookmarkStart w:id="8230" w:name="_Toc3718"/>
      <w:bookmarkEnd w:id="8229"/>
      <w:r>
        <w:rPr>
          <w:rtl w:val="true"/>
        </w:rPr>
        <w:t>[ (</w:t>
      </w:r>
      <w:r>
        <w:rPr>
          <w:rtl w:val="true"/>
        </w:rPr>
        <w:t xml:space="preserve">مسألة </w:t>
      </w:r>
      <w:r>
        <w:rPr/>
        <w:t>2</w:t>
      </w:r>
      <w:r>
        <w:rPr>
          <w:rtl w:val="true"/>
        </w:rPr>
        <w:t xml:space="preserve">): </w:t>
      </w:r>
      <w:r>
        <w:rPr>
          <w:rtl w:val="true"/>
        </w:rPr>
        <w:t>ظهر ممّا ذکر</w:t>
      </w:r>
      <w:r>
        <w:rPr>
          <w:rtl w:val="true"/>
        </w:rPr>
        <w:t xml:space="preserve">: </w:t>
      </w:r>
      <w:r>
        <w:rPr>
          <w:rtl w:val="true"/>
        </w:rPr>
        <w:t>أنّ من کان له فرض علیٰ قسمین</w:t>
      </w:r>
      <w:r>
        <w:rPr>
          <w:rtl w:val="true"/>
        </w:rPr>
        <w:t>]</w:t>
      </w:r>
      <w:bookmarkEnd w:id="8230"/>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کان له فرض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لیس له إلّا فرض واحد و لا ینقص و لا یزید فرضه بتبدّل الأحوال، کالأب فإنّه یکون ذا فرض فی صورة وجود الولد، و فرضه لیس إلّا السدس مطلقاً، و کذلک البنت الواحدة و البنتان فصاعداً مع عدم الابن، و کذا الأُخت و الأُختان لأب أو أبوین مع عدم الأخ، فإنّ فرضهنّ النصف أو الثلثان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و إن کانوا ذوی فرض علیٰ حال دون حال، إلّا أنّ فرضهم لا یزید و لا ینقص بتبدّل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من کان له فرض علیٰ کلّ حال لا یتغیّر فرضه بتبدّل الأحوال، و ذلک کالأخ أو الأُخت للأُمّ، فمع الوحدة کان فرضه السدس، و مع التعدّد الثلث، و لا یزید علیٰ ذلک و لا ینقص فی جمیع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فرضه یتغیّر بتبدّل الأحوال، کالأُمّ؛ فإنّ لها الثلث تارة و السدس اخریٰ، و کذا الزوجان فإنّ للزوج نصف مع عدم الولد و الربع مع وجوده، و للزوجة الثمن مع وجود الولد و الربع مع عدمه</w:t>
      </w:r>
      <w:r>
        <w:rPr>
          <w:rFonts w:eastAsia="IRNazanin" w:cs="IRNazanin"/>
          <w:color w:val="111111"/>
          <w:sz w:val="28"/>
          <w:szCs w:val="28"/>
          <w:rtl w:val="true"/>
          <w:lang w:bidi="fa-IR"/>
        </w:rPr>
        <w:t>.</w:t>
      </w:r>
      <w:bookmarkStart w:id="8231" w:name="pg1809_20045"/>
    </w:p>
    <w:p>
      <w:pPr>
        <w:pStyle w:val="Heading3"/>
        <w:numPr>
          <w:ilvl w:val="2"/>
          <w:numId w:val="1"/>
        </w:numPr>
        <w:rPr/>
      </w:pPr>
      <w:bookmarkStart w:id="8232" w:name="__RefHeading___Toc2572420_3650668749"/>
      <w:bookmarkStart w:id="8233" w:name="_Toc3719"/>
      <w:bookmarkEnd w:id="8231"/>
      <w:bookmarkEnd w:id="8232"/>
      <w:r>
        <w:rPr>
          <w:rtl w:val="true"/>
        </w:rPr>
        <w:t>[</w:t>
      </w:r>
      <w:r>
        <w:rPr>
          <w:rtl w:val="true"/>
        </w:rPr>
        <w:t>الأمر الثالث</w:t>
      </w:r>
      <w:r>
        <w:rPr>
          <w:rtl w:val="true"/>
        </w:rPr>
        <w:t xml:space="preserve">: </w:t>
      </w:r>
      <w:r>
        <w:rPr>
          <w:rtl w:val="true"/>
        </w:rPr>
        <w:t>فی موانع الإرث</w:t>
      </w:r>
      <w:r>
        <w:rPr>
          <w:rtl w:val="true"/>
        </w:rPr>
        <w:t>]</w:t>
      </w:r>
      <w:bookmarkEnd w:id="8233"/>
    </w:p>
    <w:p>
      <w:pPr>
        <w:pStyle w:val="Heading4"/>
        <w:numPr>
          <w:ilvl w:val="3"/>
          <w:numId w:val="1"/>
        </w:numPr>
        <w:rPr/>
      </w:pPr>
      <w:bookmarkStart w:id="8234" w:name="__RefHeading___Toc2572422_3650668749"/>
      <w:bookmarkStart w:id="8235" w:name="_Toc3720"/>
      <w:bookmarkEnd w:id="8234"/>
      <w:r>
        <w:rPr>
          <w:rtl w:val="true"/>
        </w:rPr>
        <w:t>اشارة</w:t>
      </w:r>
      <w:bookmarkEnd w:id="8235"/>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موانع الإرث و هی ثلاثة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36" w:name="__RefHeading___Toc2572424_3650668749"/>
      <w:bookmarkStart w:id="8237" w:name="_Toc3721"/>
      <w:bookmarkEnd w:id="8236"/>
      <w:r>
        <w:rPr>
          <w:rtl w:val="true"/>
        </w:rPr>
        <w:t>[</w:t>
      </w:r>
      <w:r>
        <w:rPr>
          <w:rtl w:val="true"/>
        </w:rPr>
        <w:t>الأوّل</w:t>
      </w:r>
      <w:r>
        <w:rPr>
          <w:rtl w:val="true"/>
        </w:rPr>
        <w:t xml:space="preserve">: </w:t>
      </w:r>
      <w:r>
        <w:rPr>
          <w:rtl w:val="true"/>
        </w:rPr>
        <w:t>الکفر بأصنافه</w:t>
      </w:r>
      <w:r>
        <w:rPr>
          <w:rtl w:val="true"/>
        </w:rPr>
        <w:t>]</w:t>
      </w:r>
      <w:bookmarkEnd w:id="8237"/>
    </w:p>
    <w:p>
      <w:pPr>
        <w:pStyle w:val="Heading5"/>
        <w:numPr>
          <w:ilvl w:val="4"/>
          <w:numId w:val="1"/>
        </w:numPr>
        <w:rPr/>
      </w:pPr>
      <w:bookmarkStart w:id="8238" w:name="__RefHeading___Toc2572426_3650668749"/>
      <w:bookmarkStart w:id="8239" w:name="_Toc3722"/>
      <w:bookmarkEnd w:id="8238"/>
      <w:r>
        <w:rPr>
          <w:rtl w:val="true"/>
        </w:rPr>
        <w:t>اشارة</w:t>
      </w:r>
      <w:bookmarkEnd w:id="823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بأصنافه أصلیّاً کان أو عن ارتداد، فلا یرث الکافر من المسلم أصلًا و إن کان قریباً، و إنّما یختصّ إرثه بالمسلم و إن کان بعیداً، فلو کان له ابن کافر و للابن ابن مسلم، یرثه ابن الابن لا الابن، و کذا لو کان له ابن کافر و أخ أو عمّ أو ابن عمّ مسلم، یرثه المسلم دونه، بل و کذا لو لم یکن له وارث من ذوی الأنساب و کان له معتق أو ضامن جریرة مسلم، یختصّ إرثه بهما دونه، و إذا لم یکن له وارث مسلم فی جمیع الطبقات من ذوی الأنساب و غیرهم کان ممّن لا وارث له، و اختصّ إرثه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یرث ابنه الکافر منه شیئاً</w:t>
      </w:r>
      <w:r>
        <w:rPr>
          <w:rFonts w:eastAsia="IRNazanin" w:cs="IRNazanin"/>
          <w:color w:val="111111"/>
          <w:sz w:val="28"/>
          <w:szCs w:val="28"/>
          <w:rtl w:val="true"/>
          <w:lang w:bidi="fa-IR"/>
        </w:rPr>
        <w:t>.</w:t>
      </w:r>
    </w:p>
    <w:p>
      <w:pPr>
        <w:pStyle w:val="Heading5"/>
        <w:numPr>
          <w:ilvl w:val="4"/>
          <w:numId w:val="1"/>
        </w:numPr>
        <w:rPr/>
      </w:pPr>
      <w:bookmarkStart w:id="8240" w:name="__RefHeading___Toc2572428_3650668749"/>
      <w:bookmarkStart w:id="8241" w:name="_Toc3723"/>
      <w:bookmarkEnd w:id="8240"/>
      <w:r>
        <w:rPr>
          <w:rtl w:val="true"/>
        </w:rPr>
        <w:t>[ (</w:t>
      </w:r>
      <w:r>
        <w:rPr>
          <w:rtl w:val="true"/>
        </w:rPr>
        <w:t xml:space="preserve">مسألة </w:t>
      </w:r>
      <w:r>
        <w:rPr/>
        <w:t>3</w:t>
      </w:r>
      <w:r>
        <w:rPr>
          <w:rtl w:val="true"/>
        </w:rPr>
        <w:t xml:space="preserve">): </w:t>
      </w:r>
      <w:r>
        <w:rPr>
          <w:rtl w:val="true"/>
        </w:rPr>
        <w:t>إذا مات الکافر أصلیّاً أو مرتدّاً عن فطرة أو ملّة</w:t>
      </w:r>
      <w:r>
        <w:rPr>
          <w:rtl w:val="true"/>
        </w:rPr>
        <w:t>]</w:t>
      </w:r>
      <w:bookmarkEnd w:id="8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الکافر أصلیّاً أو مرتدّاً عن فطرة أو ملّة و له وارث مسلم و کافر، ورثه المسلم و إن کان بعیداً کالمعتق و ضامن الجریرة، دون الکافر و إن کان قریباً کالأب و الابن، و إن لم یکن له وارث مسلم بل کان جمیع ورثته کفّاراً یرثونه علیٰ قواعد الإرث، إلّا إذا کان مرتدّاً فطریّاً أو ملّیّاً فإنّ میراثه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ورثته الکفّار</w:t>
      </w:r>
      <w:r>
        <w:rPr>
          <w:rFonts w:eastAsia="IRNazanin" w:cs="IRNazanin"/>
          <w:color w:val="111111"/>
          <w:sz w:val="28"/>
          <w:szCs w:val="28"/>
          <w:rtl w:val="true"/>
          <w:lang w:bidi="fa-IR"/>
        </w:rPr>
        <w:t>.</w:t>
      </w:r>
    </w:p>
    <w:p>
      <w:pPr>
        <w:pStyle w:val="Heading5"/>
        <w:numPr>
          <w:ilvl w:val="4"/>
          <w:numId w:val="1"/>
        </w:numPr>
        <w:rPr/>
      </w:pPr>
      <w:bookmarkStart w:id="8242" w:name="__RefHeading___Toc2572430_3650668749"/>
      <w:bookmarkStart w:id="8243" w:name="_Toc3724"/>
      <w:bookmarkEnd w:id="8242"/>
      <w:r>
        <w:rPr>
          <w:rtl w:val="true"/>
        </w:rPr>
        <w:t>[ (</w:t>
      </w:r>
      <w:r>
        <w:rPr>
          <w:rtl w:val="true"/>
        </w:rPr>
        <w:t xml:space="preserve">مسألة </w:t>
      </w:r>
      <w:r>
        <w:rPr/>
        <w:t>4</w:t>
      </w:r>
      <w:r>
        <w:rPr>
          <w:rtl w:val="true"/>
        </w:rPr>
        <w:t xml:space="preserve">): </w:t>
      </w:r>
      <w:r>
        <w:rPr>
          <w:rtl w:val="true"/>
        </w:rPr>
        <w:t>لو مات مسلم أو کافر و کان له وارث کافر و وارث مسلم غیر الإمام و أسلم بعد موته وارثه الکافر</w:t>
      </w:r>
      <w:r>
        <w:rPr>
          <w:rtl w:val="true"/>
        </w:rPr>
        <w:t>]</w:t>
      </w:r>
      <w:bookmarkEnd w:id="8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مسلم أو کافر و کان له وارث کافر و وارث مسلم غیر الإمام و أسلم بعد موته وارثه الکافر، فإن کان وارثه المسلم واحداً </w:t>
      </w:r>
      <w:r>
        <w:rPr>
          <w:rStyle w:val="FootnoteAnchor"/>
          <w:rtl w:val="true"/>
        </w:rPr>
        <w:footnoteReference w:id="2054"/>
      </w:r>
      <w:r>
        <w:rPr>
          <w:rFonts w:ascii="IRNazanin" w:hAnsi="IRNazanin" w:eastAsia="IRNazanin"/>
          <w:color w:val="111111"/>
          <w:sz w:val="28"/>
          <w:sz w:val="28"/>
          <w:szCs w:val="28"/>
          <w:rtl w:val="true"/>
          <w:lang w:bidi="fa-IR"/>
        </w:rPr>
        <w:t>اختصّ بالإرث و لم ینفع لمن أسلم إسلامه، و کذا إن کان متعدّداً و کان إسلام من أسلم بعد قسمة المیراث بینهم، و أمّا لو أسلم قبل القسمة شارکهم فی الإرث إن ساواهم فی المرتبة، و اختصّ بالإرث و حجبهم عنه إن تقدّم علیهم، کما إذا کان ابناً للمیّت و هم إخوته</w:t>
      </w:r>
      <w:r>
        <w:rPr>
          <w:rFonts w:eastAsia="IRNazanin" w:cs="IRNazanin"/>
          <w:color w:val="111111"/>
          <w:sz w:val="28"/>
          <w:szCs w:val="28"/>
          <w:rtl w:val="true"/>
          <w:lang w:bidi="fa-IR"/>
        </w:rPr>
        <w:t>.</w:t>
      </w:r>
    </w:p>
    <w:p>
      <w:pPr>
        <w:pStyle w:val="Heading5"/>
        <w:numPr>
          <w:ilvl w:val="4"/>
          <w:numId w:val="1"/>
        </w:numPr>
        <w:rPr/>
      </w:pPr>
      <w:bookmarkStart w:id="8244" w:name="__RefHeading___Toc2572432_3650668749"/>
      <w:bookmarkStart w:id="8245" w:name="_Toc3725"/>
      <w:bookmarkEnd w:id="8244"/>
      <w:r>
        <w:rPr>
          <w:rtl w:val="true"/>
        </w:rPr>
        <w:t>[ (</w:t>
      </w:r>
      <w:r>
        <w:rPr>
          <w:rtl w:val="true"/>
        </w:rPr>
        <w:t xml:space="preserve">مسألة </w:t>
      </w:r>
      <w:r>
        <w:rPr/>
        <w:t>5</w:t>
      </w:r>
      <w:r>
        <w:rPr>
          <w:rtl w:val="true"/>
        </w:rPr>
        <w:t xml:space="preserve">): </w:t>
      </w:r>
      <w:r>
        <w:rPr>
          <w:rtl w:val="true"/>
        </w:rPr>
        <w:t>لو أسلم الوارث بعد قسمة بعض الترکة دون بعض، کان لکلّ منهما حکمه</w:t>
      </w:r>
      <w:r>
        <w:rPr>
          <w:rtl w:val="true"/>
        </w:rPr>
        <w:t>]</w:t>
      </w:r>
      <w:bookmarkEnd w:id="8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أسلم الوارث بعد قسمة بعض الترکة دون بعض، کان لکلّ منهما حکمه </w:t>
      </w:r>
      <w:r>
        <w:rPr>
          <w:rStyle w:val="FootnoteAnchor"/>
          <w:rtl w:val="true"/>
        </w:rPr>
        <w:footnoteReference w:id="2055"/>
      </w:r>
      <w:r>
        <w:rPr>
          <w:rFonts w:ascii="IRNazanin" w:hAnsi="IRNazanin" w:eastAsia="IRNazanin"/>
          <w:color w:val="111111"/>
          <w:sz w:val="28"/>
          <w:sz w:val="28"/>
          <w:szCs w:val="28"/>
          <w:rtl w:val="true"/>
          <w:lang w:bidi="fa-IR"/>
        </w:rPr>
        <w:t>، فلم یرث فیما قسّم، و اختصّ بالإرث أو شارک فیما لم یقسّم</w:t>
      </w:r>
      <w:r>
        <w:rPr>
          <w:rFonts w:eastAsia="IRNazanin" w:cs="IRNazanin"/>
          <w:color w:val="111111"/>
          <w:sz w:val="28"/>
          <w:szCs w:val="28"/>
          <w:rtl w:val="true"/>
          <w:lang w:bidi="fa-IR"/>
        </w:rPr>
        <w:t>.</w:t>
      </w:r>
    </w:p>
    <w:p>
      <w:pPr>
        <w:pStyle w:val="Heading5"/>
        <w:numPr>
          <w:ilvl w:val="4"/>
          <w:numId w:val="1"/>
        </w:numPr>
        <w:rPr/>
      </w:pPr>
      <w:bookmarkStart w:id="8246" w:name="__RefHeading___Toc2572434_3650668749"/>
      <w:bookmarkStart w:id="8247" w:name="_Toc3726"/>
      <w:bookmarkEnd w:id="8246"/>
      <w:r>
        <w:rPr>
          <w:rtl w:val="true"/>
        </w:rPr>
        <w:t>[ (</w:t>
      </w:r>
      <w:r>
        <w:rPr>
          <w:rtl w:val="true"/>
        </w:rPr>
        <w:t xml:space="preserve">مسألة </w:t>
      </w:r>
      <w:r>
        <w:rPr/>
        <w:t>6</w:t>
      </w:r>
      <w:r>
        <w:rPr>
          <w:rtl w:val="true"/>
        </w:rPr>
        <w:t xml:space="preserve">): </w:t>
      </w:r>
      <w:r>
        <w:rPr>
          <w:rtl w:val="true"/>
        </w:rPr>
        <w:t>لو مات مسلم عن ورثة کفّار لیس بینهم مسلم فأسلم بعضهم بعد موته، اختصّ هو بالإرث</w:t>
      </w:r>
      <w:r>
        <w:rPr>
          <w:rtl w:val="true"/>
        </w:rPr>
        <w:t>]</w:t>
      </w:r>
      <w:bookmarkEnd w:id="8247"/>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مسلم عن ورثة کفّار لیس بینهم مسلم فأسلم بعضهم بعد موته، اختصّ هو بالإرث و لم یرثه الباقون و لم ینته الأمر 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الحال لو کان المیّت</w:t>
      </w:r>
      <w:bookmarkStart w:id="8248" w:name="pg1809_20047"/>
    </w:p>
    <w:p>
      <w:pPr>
        <w:pStyle w:val="BookText"/>
        <w:rPr/>
      </w:pPr>
      <w:bookmarkEnd w:id="8248"/>
      <w:r>
        <w:rPr>
          <w:rFonts w:ascii="Amiri" w:hAnsi="Amiri" w:eastAsia="Amiri" w:cs="Amiri"/>
          <w:color w:val="111111"/>
          <w:sz w:val="28"/>
          <w:sz w:val="28"/>
          <w:szCs w:val="28"/>
          <w:rtl w:val="true"/>
          <w:lang w:bidi="ar-SA"/>
        </w:rPr>
        <w:t>مرتدّاً و خلّف ورثة کفّاراً و أسلم بعضهم بعد موته، فإنّ الإرث یختصّ به</w:t>
      </w:r>
      <w:r>
        <w:rPr>
          <w:rFonts w:eastAsia="Amiri" w:cs="Amiri" w:ascii="Amiri" w:hAnsi="Amiri"/>
          <w:color w:val="111111"/>
          <w:sz w:val="28"/>
          <w:szCs w:val="28"/>
          <w:rtl w:val="true"/>
          <w:lang w:bidi="ar-SA"/>
        </w:rPr>
        <w:t>.</w:t>
      </w:r>
    </w:p>
    <w:p>
      <w:pPr>
        <w:pStyle w:val="Heading5"/>
        <w:numPr>
          <w:ilvl w:val="4"/>
          <w:numId w:val="1"/>
        </w:numPr>
        <w:rPr/>
      </w:pPr>
      <w:bookmarkStart w:id="8249" w:name="__RefHeading___Toc2572436_3650668749"/>
      <w:bookmarkStart w:id="8250" w:name="_Toc3727"/>
      <w:bookmarkEnd w:id="8249"/>
      <w:r>
        <w:rPr>
          <w:rtl w:val="true"/>
        </w:rPr>
        <w:t>[ (</w:t>
      </w:r>
      <w:r>
        <w:rPr>
          <w:rtl w:val="true"/>
        </w:rPr>
        <w:t xml:space="preserve">مسألة </w:t>
      </w:r>
      <w:r>
        <w:rPr/>
        <w:t>7</w:t>
      </w:r>
      <w:r>
        <w:rPr>
          <w:rtl w:val="true"/>
        </w:rPr>
        <w:t xml:space="preserve">): </w:t>
      </w:r>
      <w:r>
        <w:rPr>
          <w:rtl w:val="true"/>
        </w:rPr>
        <w:t>لو مات کافر أصلیّ و لم یخلّف إلّا ورثة کفّاراً لیس بینهم مسلم فأسلم بعضهم بعد موته</w:t>
      </w:r>
      <w:r>
        <w:rPr>
          <w:rtl w:val="true"/>
        </w:rPr>
        <w:t>]</w:t>
      </w:r>
      <w:bookmarkEnd w:id="8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کافر أصلیّ و لم یخلّف إلّا ورثة کفّاراً لیس بینهم مسلم فأسلم بعضهم بعد موته، فالظاهر أنّه لا أثر لإسلامه و کان الحکم کما قبل إسلامه، فإن تقدّمت طبقته علیٰ طبقة الباقین کما إذا کان ابناً للمیّت و هم إخوته اختصّ الإرث به، و إن ساواهم فی الطبقة شارکهم، و إن تأخّرت طبقته کما إذا کان عمّاً للمیّت و هم إخوته اختصّ الإرث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تکون مشارکته مع الباقین فی صورة مساواته معهم فی الطبقة إنّما هو فیما إذا کان إسلامه بعد قسمة الترکة بینه و بینهم، و أمّا إذا کان قبلها اختصّ الإرث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اختصاص الطبقة السابقة بالإرث فی صورة تأخّر طبقة من أسلم إنّما هو فیما إذا کان من فی الطبقة السابقة واحداً أو متعدّداً و کان إسلام من أسلم بعد قسمة الترکة بینهم، و أمّا إذا کان إسلامه قبل القسمة اختصّ الإرث به</w:t>
      </w:r>
      <w:r>
        <w:rPr>
          <w:rFonts w:eastAsia="IRNazanin" w:cs="IRNazanin"/>
          <w:color w:val="111111"/>
          <w:sz w:val="28"/>
          <w:szCs w:val="28"/>
          <w:rtl w:val="true"/>
          <w:lang w:bidi="fa-IR"/>
        </w:rPr>
        <w:t>.</w:t>
      </w:r>
    </w:p>
    <w:p>
      <w:pPr>
        <w:pStyle w:val="Heading5"/>
        <w:numPr>
          <w:ilvl w:val="4"/>
          <w:numId w:val="1"/>
        </w:numPr>
        <w:rPr/>
      </w:pPr>
      <w:bookmarkStart w:id="8251" w:name="__RefHeading___Toc2572438_3650668749"/>
      <w:bookmarkStart w:id="8252" w:name="_Toc3728"/>
      <w:bookmarkEnd w:id="8251"/>
      <w:r>
        <w:rPr>
          <w:rtl w:val="true"/>
        </w:rPr>
        <w:t>[ (</w:t>
      </w:r>
      <w:r>
        <w:rPr>
          <w:rtl w:val="true"/>
        </w:rPr>
        <w:t xml:space="preserve">مسألة </w:t>
      </w:r>
      <w:r>
        <w:rPr/>
        <w:t>8</w:t>
      </w:r>
      <w:r>
        <w:rPr>
          <w:rtl w:val="true"/>
        </w:rPr>
        <w:t xml:space="preserve">): </w:t>
      </w:r>
      <w:r>
        <w:rPr>
          <w:rtl w:val="true"/>
        </w:rPr>
        <w:t>المراد بالمسلم و الکافر وارثاً و مورّثاً و حاجباً و محجوباً</w:t>
      </w:r>
      <w:r>
        <w:rPr>
          <w:rtl w:val="true"/>
        </w:rPr>
        <w:t>]</w:t>
      </w:r>
      <w:bookmarkEnd w:id="8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بالمسلم و الکافر وارثاً و مورّثاً و حاجباً و محجوباً أعمّ منهما حقیقة و مستقلّا أو حکماً و تبعاً، فکلّ طفل کان أحد أبویه مسلماً حال انعقاد نطفته مسلم حکماً و تبعاً فیلحقه حکمه، و إن ارتدّ بعد ذلک المتبوع فلا یتبعه الطفل فی الارتداد الطارئ، نعم یتبعه فی الإسلام إذا أسلم أحد أبویه قبل بلوغه، بعد ما کانا کافرین حین انعقاد نطفته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طفل کان أبواه معاً کافرین أصلیّین أو مرتدّین أو مختلفین حین انعقاد نطفته بحکم الکافر حتّی یسلم أحدهما قبل بلوغه أو أظهر الإسلام هو بعد 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ذکرنا لو مات کافر و له أولاد کفّار و له أطفال أخ مسلم أو أُخت مسلمة، یرثه تلک الأطفال دون الأولاد، و لو کان له ابن کافر و طفل ابن مسلم یرثه طفل ابنه دون ابنه، و لو مات مسلم و له طفل ثمّ مات ذلک الطفل و لیس له وارث مسلم فی جمیع الطبقات کان وارثه الإمام کما هو الحال فی المیّت المسلم، و لو مات طفل بین کافرین و له مال و کان ورثته کلّهم کفّاراً لیس بینهم مسلم، ورثه الکفّار علیٰ ما فرض اللّٰه دون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أبواه کافرین أصلیّین، و أمّا إذا کانا مرتدّین، فهل لهذا الطفل حکم الکفر الارتدادی حتّی یکون وارثه الإمام، أو حکم الکافر الأصلی حتّی یرثه ورثته الکفّار؟ وجهان، لا یخلو ثانیهما من قوّة</w:t>
      </w:r>
      <w:r>
        <w:rPr>
          <w:rFonts w:eastAsia="IRNazanin" w:cs="IRNazanin"/>
          <w:color w:val="111111"/>
          <w:sz w:val="28"/>
          <w:szCs w:val="28"/>
          <w:rtl w:val="true"/>
          <w:lang w:bidi="fa-IR"/>
        </w:rPr>
        <w:t>.</w:t>
      </w:r>
    </w:p>
    <w:p>
      <w:pPr>
        <w:pStyle w:val="Heading5"/>
        <w:numPr>
          <w:ilvl w:val="4"/>
          <w:numId w:val="1"/>
        </w:numPr>
        <w:rPr/>
      </w:pPr>
      <w:bookmarkStart w:id="8253" w:name="__RefHeading___Toc2572440_3650668749"/>
      <w:bookmarkStart w:id="8254" w:name="_Toc3729"/>
      <w:bookmarkEnd w:id="8253"/>
      <w:r>
        <w:rPr>
          <w:rtl w:val="true"/>
        </w:rPr>
        <w:t>[ (</w:t>
      </w:r>
      <w:r>
        <w:rPr>
          <w:rtl w:val="true"/>
        </w:rPr>
        <w:t xml:space="preserve">مسألة </w:t>
      </w:r>
      <w:r>
        <w:rPr/>
        <w:t>9</w:t>
      </w:r>
      <w:r>
        <w:rPr>
          <w:rtl w:val="true"/>
        </w:rPr>
        <w:t xml:space="preserve">): </w:t>
      </w:r>
      <w:r>
        <w:rPr>
          <w:rtl w:val="true"/>
        </w:rPr>
        <w:t>المسلمون یتوارثون و إن اختلفوا فی المذاهب و الأُصول و العقائد</w:t>
      </w:r>
      <w:r>
        <w:rPr>
          <w:rtl w:val="true"/>
        </w:rPr>
        <w:t>]</w:t>
      </w:r>
      <w:bookmarkEnd w:id="8254"/>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یتوارثون و إن اختلفوا فی المذاهب و الأُصول و العقائد، فیرث المحقّ منهم عن مبطلهم و بالعکس و مبطلهم عن مبطلهم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الغلاة و الخوارج و النواصب</w:t>
      </w:r>
      <w:bookmarkStart w:id="8255" w:name="pg1809_20049"/>
    </w:p>
    <w:p>
      <w:pPr>
        <w:pStyle w:val="BookText"/>
        <w:rPr/>
      </w:pPr>
      <w:bookmarkEnd w:id="8255"/>
      <w:r>
        <w:rPr>
          <w:rFonts w:ascii="IRNazanin" w:hAnsi="IRNazanin" w:eastAsia="IRNazanin"/>
          <w:color w:val="111111"/>
          <w:sz w:val="28"/>
          <w:sz w:val="28"/>
          <w:szCs w:val="28"/>
          <w:rtl w:val="true"/>
          <w:lang w:bidi="fa-IR"/>
        </w:rPr>
        <w:t xml:space="preserve">و من أنکر ضروریّاً من ضروریّات الدین کوجوب الصلاة و صوم شهر رمضان کفّار </w:t>
      </w:r>
      <w:r>
        <w:rPr>
          <w:rStyle w:val="FootnoteAnchor"/>
          <w:rtl w:val="true"/>
        </w:rPr>
        <w:footnoteReference w:id="2056"/>
      </w:r>
      <w:r>
        <w:rPr>
          <w:rFonts w:ascii="IRNazanin" w:hAnsi="IRNazanin" w:eastAsia="IRNazanin"/>
          <w:color w:val="111111"/>
          <w:sz w:val="28"/>
          <w:sz w:val="28"/>
          <w:szCs w:val="28"/>
          <w:rtl w:val="true"/>
          <w:lang w:bidi="fa-IR"/>
        </w:rPr>
        <w:t>أو بحکمهم، فیرث منهم المسلمون و هم لا یرثون منهم</w:t>
      </w:r>
      <w:r>
        <w:rPr>
          <w:rFonts w:eastAsia="IRNazanin" w:cs="IRNazanin"/>
          <w:color w:val="111111"/>
          <w:sz w:val="28"/>
          <w:szCs w:val="28"/>
          <w:rtl w:val="true"/>
          <w:lang w:bidi="fa-IR"/>
        </w:rPr>
        <w:t>.</w:t>
      </w:r>
    </w:p>
    <w:p>
      <w:pPr>
        <w:pStyle w:val="Heading5"/>
        <w:numPr>
          <w:ilvl w:val="4"/>
          <w:numId w:val="1"/>
        </w:numPr>
        <w:rPr/>
      </w:pPr>
      <w:bookmarkStart w:id="8256" w:name="__RefHeading___Toc2572442_3650668749"/>
      <w:bookmarkStart w:id="8257" w:name="_Toc3730"/>
      <w:bookmarkEnd w:id="8256"/>
      <w:r>
        <w:rPr>
          <w:rtl w:val="true"/>
        </w:rPr>
        <w:t>[ (</w:t>
      </w:r>
      <w:r>
        <w:rPr>
          <w:rtl w:val="true"/>
        </w:rPr>
        <w:t xml:space="preserve">مسألة </w:t>
      </w:r>
      <w:r>
        <w:rPr/>
        <w:t>10</w:t>
      </w:r>
      <w:r>
        <w:rPr>
          <w:rtl w:val="true"/>
        </w:rPr>
        <w:t xml:space="preserve">): </w:t>
      </w:r>
      <w:r>
        <w:rPr>
          <w:rtl w:val="true"/>
        </w:rPr>
        <w:t>الکفّار یتوارثون و إن اختلفوا فی الملل و النحل</w:t>
      </w:r>
      <w:r>
        <w:rPr>
          <w:rtl w:val="true"/>
        </w:rPr>
        <w:t>]</w:t>
      </w:r>
      <w:bookmarkEnd w:id="8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 یتوارثون و إن اختلفوا فی الملل و النحل، فیرث النصرانی من الیهودی و بالعکس، بل و یرث الذمّی من الحربی و بالعکس، لکن یشترط فی إرث الکافر من الکافر فقد الوارث المسلم، فإن وجد و إن کان بعیداً یحجب الکافر و إن کان قریباً کما تقدّم تفصیله</w:t>
      </w:r>
      <w:r>
        <w:rPr>
          <w:rFonts w:eastAsia="IRNazanin" w:cs="IRNazanin"/>
          <w:color w:val="111111"/>
          <w:sz w:val="28"/>
          <w:szCs w:val="28"/>
          <w:rtl w:val="true"/>
          <w:lang w:bidi="fa-IR"/>
        </w:rPr>
        <w:t>.</w:t>
      </w:r>
    </w:p>
    <w:p>
      <w:pPr>
        <w:pStyle w:val="Heading5"/>
        <w:numPr>
          <w:ilvl w:val="4"/>
          <w:numId w:val="1"/>
        </w:numPr>
        <w:rPr/>
      </w:pPr>
      <w:bookmarkStart w:id="8258" w:name="__RefHeading___Toc2572444_3650668749"/>
      <w:bookmarkStart w:id="8259" w:name="_Toc3731"/>
      <w:bookmarkEnd w:id="8258"/>
      <w:r>
        <w:rPr>
          <w:rtl w:val="true"/>
        </w:rPr>
        <w:t>[ (</w:t>
      </w:r>
      <w:r>
        <w:rPr>
          <w:rtl w:val="true"/>
        </w:rPr>
        <w:t xml:space="preserve">مسألة </w:t>
      </w:r>
      <w:r>
        <w:rPr/>
        <w:t>11</w:t>
      </w:r>
      <w:r>
        <w:rPr>
          <w:rtl w:val="true"/>
        </w:rPr>
        <w:t xml:space="preserve">): </w:t>
      </w:r>
      <w:r>
        <w:rPr>
          <w:rtl w:val="true"/>
        </w:rPr>
        <w:t>المرتدّ و هو من خرج عن الإسلام و اختار الکفر بعد ما کان مسلماً علیٰ قسمین</w:t>
      </w:r>
      <w:r>
        <w:rPr>
          <w:rtl w:val="true"/>
        </w:rPr>
        <w:t>]</w:t>
      </w:r>
      <w:bookmarkEnd w:id="8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و هو من خرج عن الإسلام و اختار الکفر بعد ما کان مسلماً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و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أحد أبویه مسلماً حال انعقاد نطفته ثمّ أظهر الإسلام بعد بلوغه ثمّ خرج عنه،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أبواه کافرین حال انعقاد نطفته ثمّ أظهر الکفر بعد البلوغ فصار کافراً أصلیّاً ثمّ أسلم ثمّ عاد إلی الکفر، کنصرانیّ أسلم ثمّ عاد إلیٰ نصرانیّته</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رجلًا تبین منه زوجته و ینفسخ نکاحها بغیر طلاق و تعتدّ عدّة الوفاة ثمّ تتزوّج بالغیر إن أرادت، و یقسّم أمواله التی کانت له حین ارتداده بین ورثته بعد أداء دیونه کالمیّت و لا ینتظر موته، و لا تفید توبته و رجوعه إلی الإسلام فی رجوع زوجته و ماله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تقبل توبته باطناً علی الأقویٰ، بل ظاهراً أیضاً بالنسبة إلیٰ بعض الأحکام فیطهر بدنه و تصحّ عباداته و یملک الأموال الجدیدة بأسبابه الاختیاریّة کالتجارة و الحیازة، و القهریّة کالإرث، و یجوز له التزویج بالمسلمة، بل له تجدید العقد علی الزوجة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امرأة بقیت أموالها علیٰ ملکها و لا تنتقل إلیٰ ورثتها إلّا بموتها، و تبین من زوجها المسلم فی الحال، بلا اعتداد إن کانت غیر مدخول بها، و مع الدخول بها ینفسخ نکاحها لکن </w:t>
      </w:r>
      <w:r>
        <w:rPr>
          <w:rStyle w:val="FootnoteAnchor"/>
          <w:rtl w:val="true"/>
        </w:rPr>
        <w:footnoteReference w:id="2057"/>
      </w:r>
      <w:r>
        <w:rPr>
          <w:rFonts w:ascii="IRNazanin" w:hAnsi="IRNazanin" w:eastAsia="IRNazanin"/>
          <w:color w:val="111111"/>
          <w:sz w:val="28"/>
          <w:sz w:val="28"/>
          <w:szCs w:val="28"/>
          <w:rtl w:val="true"/>
          <w:lang w:bidi="fa-IR"/>
        </w:rPr>
        <w:t>علیها العدّة؛ عدّة الطلاق، فإن تابت و هی فی العدّة عادت الزوجیّة، و إن لم تتب حتّی انقضت العدّة بانت من زوجها</w:t>
      </w:r>
      <w:r>
        <w:rPr>
          <w:rFonts w:eastAsia="IRNazanin" w:cs="IRNazanin"/>
          <w:color w:val="111111"/>
          <w:sz w:val="28"/>
          <w:szCs w:val="28"/>
          <w:rtl w:val="true"/>
          <w:lang w:bidi="fa-IR"/>
        </w:rPr>
        <w:t>.</w:t>
      </w:r>
      <w:bookmarkStart w:id="8260" w:name="pg1809_20051"/>
    </w:p>
    <w:p>
      <w:pPr>
        <w:pStyle w:val="BookText"/>
        <w:rPr/>
      </w:pPr>
      <w:bookmarkEnd w:id="8260"/>
      <w:r>
        <w:rPr>
          <w:rFonts w:ascii="IRNazanin" w:hAnsi="IRNazanin" w:eastAsia="IRNazanin"/>
          <w:color w:val="111111"/>
          <w:sz w:val="28"/>
          <w:sz w:val="28"/>
          <w:szCs w:val="28"/>
          <w:rtl w:val="true"/>
          <w:lang w:bidi="fa-IR"/>
        </w:rPr>
        <w:t>و أمّا الملّی سواء کان رجلًا أو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تنتقل أمواله إلیٰ ورثته إلّا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ینفسخ النکاح بین المرتدّ و زوجته المسلمة، و کذا بین المرتدّة و زوجها المسلم بمجرّد الارتداد، بدون اعتداد مع عدم الدخول، و مع الاعتداد </w:t>
      </w:r>
      <w:r>
        <w:rPr>
          <w:rStyle w:val="FootnoteAnchor"/>
          <w:rtl w:val="true"/>
        </w:rPr>
        <w:footnoteReference w:id="2058"/>
      </w:r>
      <w:r>
        <w:rPr>
          <w:rFonts w:ascii="IRNazanin" w:hAnsi="IRNazanin" w:eastAsia="IRNazanin"/>
          <w:color w:val="111111"/>
          <w:sz w:val="28"/>
          <w:sz w:val="28"/>
          <w:szCs w:val="28"/>
          <w:rtl w:val="true"/>
          <w:lang w:bidi="fa-IR"/>
        </w:rPr>
        <w:t>عدّة الطلاق مع الدخول، فإن تاب أو تابت قبل انقضاء العدّة عادت الزوجیّة، و إلّا فلا کما عرفت فی المرأة المرتدّة عن فطرة</w:t>
      </w:r>
      <w:r>
        <w:rPr>
          <w:rFonts w:eastAsia="IRNazanin" w:cs="IRNazanin"/>
          <w:color w:val="111111"/>
          <w:sz w:val="28"/>
          <w:szCs w:val="28"/>
          <w:rtl w:val="true"/>
          <w:lang w:bidi="fa-IR"/>
        </w:rPr>
        <w:t>.</w:t>
      </w:r>
    </w:p>
    <w:p>
      <w:pPr>
        <w:pStyle w:val="Heading4"/>
        <w:numPr>
          <w:ilvl w:val="3"/>
          <w:numId w:val="1"/>
        </w:numPr>
        <w:rPr/>
      </w:pPr>
      <w:bookmarkStart w:id="8261" w:name="__RefHeading___Toc2572446_3650668749"/>
      <w:bookmarkStart w:id="8262" w:name="_Toc3732"/>
      <w:bookmarkEnd w:id="8261"/>
      <w:r>
        <w:rPr>
          <w:rtl w:val="true"/>
        </w:rPr>
        <w:t>[</w:t>
      </w:r>
      <w:r>
        <w:rPr>
          <w:rtl w:val="true"/>
        </w:rPr>
        <w:t>الثانی من موانع الإرث</w:t>
      </w:r>
      <w:r>
        <w:rPr>
          <w:rtl w:val="true"/>
        </w:rPr>
        <w:t xml:space="preserve">: </w:t>
      </w:r>
      <w:r>
        <w:rPr>
          <w:rtl w:val="true"/>
        </w:rPr>
        <w:t>القتل</w:t>
      </w:r>
      <w:r>
        <w:rPr>
          <w:rtl w:val="true"/>
        </w:rPr>
        <w:t>]</w:t>
      </w:r>
      <w:bookmarkEnd w:id="8262"/>
    </w:p>
    <w:p>
      <w:pPr>
        <w:pStyle w:val="Heading5"/>
        <w:numPr>
          <w:ilvl w:val="4"/>
          <w:numId w:val="1"/>
        </w:numPr>
        <w:rPr/>
      </w:pPr>
      <w:bookmarkStart w:id="8263" w:name="__RefHeading___Toc2572448_3650668749"/>
      <w:bookmarkStart w:id="8264" w:name="_Toc3733"/>
      <w:bookmarkEnd w:id="8263"/>
      <w:r>
        <w:rPr>
          <w:rtl w:val="true"/>
        </w:rPr>
        <w:t>اشارة</w:t>
      </w:r>
      <w:bookmarkEnd w:id="8264"/>
    </w:p>
    <w:p>
      <w:pPr>
        <w:pStyle w:val="BookText"/>
        <w:rPr/>
      </w:pPr>
      <w:r>
        <w:rPr>
          <w:rFonts w:ascii="IRNazanin" w:hAnsi="IRNazanin" w:eastAsia="IRNazanin"/>
          <w:color w:val="111111"/>
          <w:sz w:val="28"/>
          <w:sz w:val="28"/>
          <w:szCs w:val="28"/>
          <w:rtl w:val="true"/>
          <w:lang w:bidi="fa-IR"/>
        </w:rPr>
        <w:t>الثانی من موانع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p>
    <w:p>
      <w:pPr>
        <w:pStyle w:val="Heading5"/>
        <w:numPr>
          <w:ilvl w:val="4"/>
          <w:numId w:val="1"/>
        </w:numPr>
        <w:rPr/>
      </w:pPr>
      <w:bookmarkStart w:id="8265" w:name="__RefHeading___Toc2572450_3650668749"/>
      <w:bookmarkStart w:id="8266" w:name="_Toc3734"/>
      <w:bookmarkEnd w:id="8265"/>
      <w:r>
        <w:rPr>
          <w:rtl w:val="true"/>
        </w:rPr>
        <w:t>[ (</w:t>
      </w:r>
      <w:r>
        <w:rPr>
          <w:rtl w:val="true"/>
        </w:rPr>
        <w:t xml:space="preserve">مسألة </w:t>
      </w:r>
      <w:r>
        <w:rPr/>
        <w:t>12</w:t>
      </w:r>
      <w:r>
        <w:rPr>
          <w:rtl w:val="true"/>
        </w:rPr>
        <w:t xml:space="preserve">): </w:t>
      </w:r>
      <w:r>
        <w:rPr>
          <w:rtl w:val="true"/>
        </w:rPr>
        <w:t>لا یرث القاتل من المقتول إذا کان القتل عمداً ظلماً</w:t>
      </w:r>
      <w:r>
        <w:rPr>
          <w:rtl w:val="true"/>
        </w:rPr>
        <w:t>]</w:t>
      </w:r>
      <w:bookmarkEnd w:id="8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القاتل من المقتول إذا کان القتل عمداً ظلماً، و یرث منه إذا قتله بحقّ کما إذا کان قصاصاً أو حدّا أو دفاعاً عن نفسه أو عرضه أو ماله، و کذا إذا کان خطأ محضاً، کما إذا رمیٰ إلیٰ طائر فأخطأ و أصاب قریبه فإنّه یرثه، نعم لا یرث من دیته التی تتحمّلها العاقلة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شبه العمد، و هو ما إذا کان قاصداً لإیقاع الفعل علی المقتول غیر قاصد للقتل، و کان الفعل ممّا لا یترتّب علیه القتل فی العادة کما إذا ضربه ضرباً خفیفاً للتأدیب فأدّیٰ إلیٰ قتله ففی کونه کالعمد المحض مانعاً عن الإرث أو کالخطإ المحض قولان، أقواهما أوّلهما </w:t>
      </w:r>
      <w:r>
        <w:rPr>
          <w:rStyle w:val="FootnoteAnchor"/>
          <w:rtl w:val="true"/>
        </w:rPr>
        <w:footnoteReference w:id="2059"/>
      </w:r>
      <w:r>
        <w:rPr>
          <w:rFonts w:ascii="IRNazanin" w:hAnsi="IRNazanin" w:eastAsia="IRNazanin"/>
          <w:color w:val="111111"/>
          <w:sz w:val="28"/>
          <w:sz w:val="28"/>
          <w:szCs w:val="28"/>
          <w:rtl w:val="true"/>
          <w:lang w:bidi="fa-IR"/>
        </w:rPr>
        <w:t>خصوصاً إذا کان إیقاع الفعل بغیر حقّ، کما إذا ضربه ضرباً خفیفاً لا للتأدیب، أو کان الضارب من لیس له ولایة التأدیب فأدّیٰ إلیٰ قتله</w:t>
      </w:r>
      <w:r>
        <w:rPr>
          <w:rFonts w:eastAsia="IRNazanin" w:cs="IRNazanin"/>
          <w:color w:val="111111"/>
          <w:sz w:val="28"/>
          <w:szCs w:val="28"/>
          <w:rtl w:val="true"/>
          <w:lang w:bidi="fa-IR"/>
        </w:rPr>
        <w:t>.</w:t>
      </w:r>
    </w:p>
    <w:p>
      <w:pPr>
        <w:pStyle w:val="Heading5"/>
        <w:numPr>
          <w:ilvl w:val="4"/>
          <w:numId w:val="1"/>
        </w:numPr>
        <w:rPr/>
      </w:pPr>
      <w:bookmarkStart w:id="8267" w:name="__RefHeading___Toc2572452_3650668749"/>
      <w:bookmarkStart w:id="8268" w:name="_Toc3735"/>
      <w:bookmarkEnd w:id="8267"/>
      <w:r>
        <w:rPr>
          <w:rtl w:val="true"/>
        </w:rPr>
        <w:t>[ (</w:t>
      </w:r>
      <w:r>
        <w:rPr>
          <w:rtl w:val="true"/>
        </w:rPr>
        <w:t xml:space="preserve">مسألة </w:t>
      </w:r>
      <w:r>
        <w:rPr/>
        <w:t>13</w:t>
      </w:r>
      <w:r>
        <w:rPr>
          <w:rtl w:val="true"/>
        </w:rPr>
        <w:t xml:space="preserve">): </w:t>
      </w:r>
      <w:r>
        <w:rPr>
          <w:rtl w:val="true"/>
        </w:rPr>
        <w:t>لا فرق فی القتل العمدی الظلمی فی مانعیّته من الإرث بین ما کان بالمباشرة</w:t>
      </w:r>
      <w:r>
        <w:rPr>
          <w:rtl w:val="true"/>
        </w:rPr>
        <w:t>]</w:t>
      </w:r>
      <w:bookmarkEnd w:id="8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القتل العمدی الظلمی فی مانعیّته من الإرث بین ما کان بالمباشرة کما إذا ذبحه أو رماه بالرصاص، و بین ما کان بالتسبیب کما إذا رماه فی مسبعة فافترسه السبع، أو حبسه فی مکان زماناً طویلًا بلا قوت فمات جوعاً، أو أحضر عنده طعاماً مسموماً بدون علم منه فأکله، إلیٰ غیر ذلک من التسبیبات التی ینسب و یسند معها القتل إلی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بعض التسبیبات التی قد یترتّب علیها التلف ممّا لم ینسب و لم یسند التلف إلی المسبّب کحفر البئر و إلقاء المزالق و المعاثر فی الطرق و المعابر و غیر ذلک و إن أوجب الضمان و الدیة علیٰ مسبّبها إذا تلف أحد بسببها کما هو مذکور فی کتابی الغصب و الدیات إلّا أنّها غیر مانعة من الإرث، فیرث حافر البئر فی الطریق عن قریبه الذی وقع و مات فیه</w:t>
      </w:r>
      <w:r>
        <w:rPr>
          <w:rFonts w:eastAsia="IRNazanin" w:cs="IRNazanin"/>
          <w:color w:val="111111"/>
          <w:sz w:val="28"/>
          <w:szCs w:val="28"/>
          <w:rtl w:val="true"/>
          <w:lang w:bidi="fa-IR"/>
        </w:rPr>
        <w:t>.</w:t>
      </w:r>
    </w:p>
    <w:p>
      <w:pPr>
        <w:pStyle w:val="Heading5"/>
        <w:numPr>
          <w:ilvl w:val="4"/>
          <w:numId w:val="1"/>
        </w:numPr>
        <w:rPr/>
      </w:pPr>
      <w:bookmarkStart w:id="8269" w:name="__RefHeading___Toc2572454_3650668749"/>
      <w:bookmarkStart w:id="8270" w:name="_Toc3736"/>
      <w:bookmarkEnd w:id="8269"/>
      <w:r>
        <w:rPr>
          <w:rtl w:val="true"/>
        </w:rPr>
        <w:t>[ (</w:t>
      </w:r>
      <w:r>
        <w:rPr>
          <w:rtl w:val="true"/>
        </w:rPr>
        <w:t xml:space="preserve">مسألة </w:t>
      </w:r>
      <w:r>
        <w:rPr/>
        <w:t>14</w:t>
      </w:r>
      <w:r>
        <w:rPr>
          <w:rtl w:val="true"/>
        </w:rPr>
        <w:t xml:space="preserve">): </w:t>
      </w:r>
      <w:r>
        <w:rPr>
          <w:rtl w:val="true"/>
        </w:rPr>
        <w:t>کما أنّ القاتل ممنوع عن الإرث من المقتول، کذلک لا یکون حاجباً</w:t>
      </w:r>
      <w:r>
        <w:rPr>
          <w:rtl w:val="true"/>
        </w:rPr>
        <w:t>]</w:t>
      </w:r>
      <w:bookmarkEnd w:id="8270"/>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القاتل ممنوع عن الإرث من المقتول، کذلک لا یکون حاجباً عمّن هو</w:t>
      </w:r>
      <w:bookmarkStart w:id="8271" w:name="pg1809_20054"/>
    </w:p>
    <w:p>
      <w:pPr>
        <w:pStyle w:val="BookText"/>
        <w:rPr/>
      </w:pPr>
      <w:bookmarkEnd w:id="8271"/>
      <w:r>
        <w:rPr>
          <w:rFonts w:ascii="IRNazanin" w:hAnsi="IRNazanin" w:eastAsia="IRNazanin"/>
          <w:color w:val="111111"/>
          <w:sz w:val="28"/>
          <w:sz w:val="28"/>
          <w:szCs w:val="28"/>
          <w:rtl w:val="true"/>
          <w:lang w:bidi="fa-IR"/>
        </w:rPr>
        <w:t>دونه فی الدرجة و متأخّر عنه فی الطبقة، فوجوده کالعدم، فلو قتل شخص أباه و کان له ابن و لم یکن لأبیه أولاد غیر القاتل، ورث ابن القاتل من جدّه، و کذا إذا انحصر أولاد المقتول فی ابنه القاتل و له إخوة کان میراثه لإخوته دون ابنه، بل لو لم یکن غیر القاتل قریب و کان له معتق أو ضامن جریرة کان میراثه لهما، و إن لم یکونا له أیضاً ورثه الإمام</w:t>
      </w:r>
      <w:r>
        <w:rPr>
          <w:rFonts w:eastAsia="IRNazanin" w:cs="IRNazanin"/>
          <w:color w:val="111111"/>
          <w:sz w:val="28"/>
          <w:szCs w:val="28"/>
          <w:rtl w:val="true"/>
          <w:lang w:bidi="fa-IR"/>
        </w:rPr>
        <w:t>.</w:t>
      </w:r>
    </w:p>
    <w:p>
      <w:pPr>
        <w:pStyle w:val="Heading5"/>
        <w:numPr>
          <w:ilvl w:val="4"/>
          <w:numId w:val="1"/>
        </w:numPr>
        <w:rPr/>
      </w:pPr>
      <w:bookmarkStart w:id="8272" w:name="__RefHeading___Toc2572456_3650668749"/>
      <w:bookmarkStart w:id="8273" w:name="_Toc3737"/>
      <w:bookmarkEnd w:id="8272"/>
      <w:r>
        <w:rPr>
          <w:rtl w:val="true"/>
        </w:rPr>
        <w:t>[ (</w:t>
      </w:r>
      <w:r>
        <w:rPr>
          <w:rtl w:val="true"/>
        </w:rPr>
        <w:t xml:space="preserve">مسألة </w:t>
      </w:r>
      <w:r>
        <w:rPr/>
        <w:t>15</w:t>
      </w:r>
      <w:r>
        <w:rPr>
          <w:rtl w:val="true"/>
        </w:rPr>
        <w:t xml:space="preserve">): </w:t>
      </w:r>
      <w:r>
        <w:rPr>
          <w:rtl w:val="true"/>
        </w:rPr>
        <w:t>الدیة فی حکم مال المقتول یقضیٰ منها دیونه و یخرج منها وصایاه أوّلًا قبل الإرث</w:t>
      </w:r>
      <w:r>
        <w:rPr>
          <w:rtl w:val="true"/>
        </w:rPr>
        <w:t>]</w:t>
      </w:r>
      <w:bookmarkEnd w:id="8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فی حکم مال المقتول یقضیٰ منها دیونه و یخرج منها وصایاه أوّلًا قبل الإرث، ثمّ یورث الباقی کسائر الأموال؛ سواء کان القتل عمداً و صالحوا عن القصاص بالدیة، أو کان شبه عمد أو خطأ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یرثها کلّ مناسب و مسابب حتّی الزوجین فی القتل العمدی و إن لم یکن لهما حقّ القصاص، لکن إذا وقع الصلح و التراضی بالدیة ورثا نصیبهما منها، نعم لا یرث المتقرّب بالأُمّ وحدها کالأخ و الأُخت للأُمّ من الدیة شیئاً</w:t>
      </w:r>
      <w:r>
        <w:rPr>
          <w:rFonts w:eastAsia="IRNazanin" w:cs="IRNazanin"/>
          <w:color w:val="111111"/>
          <w:sz w:val="28"/>
          <w:szCs w:val="28"/>
          <w:rtl w:val="true"/>
          <w:lang w:bidi="fa-IR"/>
        </w:rPr>
        <w:t>.</w:t>
      </w:r>
    </w:p>
    <w:p>
      <w:pPr>
        <w:pStyle w:val="Heading4"/>
        <w:numPr>
          <w:ilvl w:val="3"/>
          <w:numId w:val="1"/>
        </w:numPr>
        <w:rPr/>
      </w:pPr>
      <w:bookmarkStart w:id="8274" w:name="__RefHeading___Toc2572458_3650668749"/>
      <w:bookmarkStart w:id="8275" w:name="_Toc3738"/>
      <w:bookmarkEnd w:id="8274"/>
      <w:r>
        <w:rPr>
          <w:rtl w:val="true"/>
        </w:rPr>
        <w:t>[</w:t>
      </w:r>
      <w:r>
        <w:rPr>
          <w:rtl w:val="true"/>
        </w:rPr>
        <w:t>الثالث من الموانع</w:t>
      </w:r>
      <w:r>
        <w:rPr>
          <w:rtl w:val="true"/>
        </w:rPr>
        <w:t xml:space="preserve">: </w:t>
      </w:r>
      <w:r>
        <w:rPr>
          <w:rtl w:val="true"/>
        </w:rPr>
        <w:t>الرقّ</w:t>
      </w:r>
      <w:r>
        <w:rPr>
          <w:rtl w:val="true"/>
        </w:rPr>
        <w:t>]</w:t>
      </w:r>
      <w:bookmarkEnd w:id="8275"/>
    </w:p>
    <w:p>
      <w:pPr>
        <w:pStyle w:val="Heading5"/>
        <w:numPr>
          <w:ilvl w:val="4"/>
          <w:numId w:val="1"/>
        </w:numPr>
        <w:rPr/>
      </w:pPr>
      <w:bookmarkStart w:id="8276" w:name="__RefHeading___Toc2572460_3650668749"/>
      <w:bookmarkStart w:id="8277" w:name="_Toc3739"/>
      <w:bookmarkEnd w:id="8276"/>
      <w:r>
        <w:rPr>
          <w:rtl w:val="true"/>
        </w:rPr>
        <w:t>اشارة</w:t>
      </w:r>
      <w:bookmarkEnd w:id="8277"/>
    </w:p>
    <w:p>
      <w:pPr>
        <w:pStyle w:val="BookText"/>
        <w:rPr/>
      </w:pPr>
      <w:r>
        <w:rPr>
          <w:rFonts w:ascii="IRNazanin" w:hAnsi="IRNazanin" w:eastAsia="IRNazanin"/>
          <w:color w:val="111111"/>
          <w:sz w:val="28"/>
          <w:sz w:val="28"/>
          <w:szCs w:val="28"/>
          <w:rtl w:val="true"/>
          <w:lang w:bidi="fa-IR"/>
        </w:rPr>
        <w:t>الثالث من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w:t>
      </w:r>
    </w:p>
    <w:p>
      <w:pPr>
        <w:pStyle w:val="Heading5"/>
        <w:numPr>
          <w:ilvl w:val="4"/>
          <w:numId w:val="1"/>
        </w:numPr>
        <w:rPr/>
      </w:pPr>
      <w:bookmarkStart w:id="8278" w:name="__RefHeading___Toc2572462_3650668749"/>
      <w:bookmarkStart w:id="8279" w:name="_Toc3740"/>
      <w:bookmarkEnd w:id="8278"/>
      <w:r>
        <w:rPr>
          <w:rtl w:val="true"/>
        </w:rPr>
        <w:t>[ (</w:t>
      </w:r>
      <w:r>
        <w:rPr>
          <w:rtl w:val="true"/>
        </w:rPr>
        <w:t xml:space="preserve">مسألة </w:t>
      </w:r>
      <w:r>
        <w:rPr/>
        <w:t>16</w:t>
      </w:r>
      <w:r>
        <w:rPr>
          <w:rtl w:val="true"/>
        </w:rPr>
        <w:t xml:space="preserve">): </w:t>
      </w:r>
      <w:r>
        <w:rPr>
          <w:rtl w:val="true"/>
        </w:rPr>
        <w:t>الرقّیة مانعة عن الإرث فی الوارث و الموروث</w:t>
      </w:r>
      <w:r>
        <w:rPr>
          <w:rtl w:val="true"/>
        </w:rPr>
        <w:t>]</w:t>
      </w:r>
      <w:bookmarkEnd w:id="8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الرقّیة مانعة عن الإرث فی الوارث و الموروث، فلا یرث الرقّ من الحرّ و کذا العکس، و إن قلنا بقابلیّة الرقّ للملک، فإنّ ملکه بعد موته لمولاه، فمن مات و له وارث حرّ و وارث مملوک فالمیراث للحرّ و إن کان بعیداً کضامن الجریرة، دون المملوک و إن کان قریباً کالوالد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یحجب الرقّ من کان تقرّبه بالمیّت بسببه، فلو کان الوارث رقّاً و له ولد حرّ لم یمنع الولد عن الإرث برقّ أبیه، بل یکون هو الوارث دونه</w:t>
      </w:r>
      <w:r>
        <w:rPr>
          <w:rFonts w:eastAsia="IRNazanin" w:cs="IRNazanin"/>
          <w:color w:val="111111"/>
          <w:sz w:val="28"/>
          <w:szCs w:val="28"/>
          <w:rtl w:val="true"/>
          <w:lang w:bidi="fa-IR"/>
        </w:rPr>
        <w:t>.</w:t>
      </w:r>
    </w:p>
    <w:p>
      <w:pPr>
        <w:pStyle w:val="Heading5"/>
        <w:numPr>
          <w:ilvl w:val="4"/>
          <w:numId w:val="1"/>
        </w:numPr>
        <w:rPr/>
      </w:pPr>
      <w:bookmarkStart w:id="8280" w:name="__RefHeading___Toc2572464_3650668749"/>
      <w:bookmarkStart w:id="8281" w:name="_Toc3741"/>
      <w:bookmarkEnd w:id="8280"/>
      <w:r>
        <w:rPr>
          <w:rtl w:val="true"/>
        </w:rPr>
        <w:t>[ (</w:t>
      </w:r>
      <w:r>
        <w:rPr>
          <w:rtl w:val="true"/>
        </w:rPr>
        <w:t xml:space="preserve">مسألة </w:t>
      </w:r>
      <w:r>
        <w:rPr/>
        <w:t>17</w:t>
      </w:r>
      <w:r>
        <w:rPr>
          <w:rtl w:val="true"/>
        </w:rPr>
        <w:t xml:space="preserve">): </w:t>
      </w:r>
      <w:r>
        <w:rPr>
          <w:rtl w:val="true"/>
        </w:rPr>
        <w:t>لو مات شخص و له وارث مملوک و وارث حرّ فأعتق المملوک بعد موته</w:t>
      </w:r>
      <w:r>
        <w:rPr>
          <w:rtl w:val="true"/>
        </w:rPr>
        <w:t>]</w:t>
      </w:r>
      <w:bookmarkEnd w:id="8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شخص و له وارث مملوک و وارث حرّ فأعتق المملوک بعد موته، فإن تعدّد الحرّ و کان عتق المملوک قبل قسمة الترکة بین الأحرار، شارکهم إن ساواهم فی المرتبة، و اختصّ بالإرث إن کان أولیٰ و إن کان الحرّ واحداً </w:t>
      </w:r>
      <w:r>
        <w:rPr>
          <w:rStyle w:val="FootnoteAnchor"/>
          <w:rtl w:val="true"/>
        </w:rPr>
        <w:footnoteReference w:id="2060"/>
      </w:r>
      <w:r>
        <w:rPr>
          <w:rFonts w:ascii="IRNazanin" w:hAnsi="IRNazanin" w:eastAsia="IRNazanin"/>
          <w:color w:val="111111"/>
          <w:sz w:val="28"/>
          <w:sz w:val="28"/>
          <w:szCs w:val="28"/>
          <w:rtl w:val="true"/>
          <w:lang w:bidi="fa-IR"/>
        </w:rPr>
        <w:t>أو کان عتق المملوک بعد القسمة لم یکن له نصیب</w:t>
      </w:r>
      <w:r>
        <w:rPr>
          <w:rFonts w:eastAsia="IRNazanin" w:cs="IRNazanin"/>
          <w:color w:val="111111"/>
          <w:sz w:val="28"/>
          <w:szCs w:val="28"/>
          <w:rtl w:val="true"/>
          <w:lang w:bidi="fa-IR"/>
        </w:rPr>
        <w:t>.</w:t>
      </w:r>
    </w:p>
    <w:p>
      <w:pPr>
        <w:pStyle w:val="Heading5"/>
        <w:numPr>
          <w:ilvl w:val="4"/>
          <w:numId w:val="1"/>
        </w:numPr>
        <w:rPr/>
      </w:pPr>
      <w:bookmarkStart w:id="8282" w:name="__RefHeading___Toc2572466_3650668749"/>
      <w:bookmarkStart w:id="8283" w:name="_Toc3742"/>
      <w:bookmarkEnd w:id="8282"/>
      <w:r>
        <w:rPr>
          <w:rtl w:val="true"/>
        </w:rPr>
        <w:t>[ (</w:t>
      </w:r>
      <w:r>
        <w:rPr>
          <w:rtl w:val="true"/>
        </w:rPr>
        <w:t xml:space="preserve">مسألة </w:t>
      </w:r>
      <w:r>
        <w:rPr/>
        <w:t>18</w:t>
      </w:r>
      <w:r>
        <w:rPr>
          <w:rtl w:val="true"/>
        </w:rPr>
        <w:t xml:space="preserve">): </w:t>
      </w:r>
      <w:r>
        <w:rPr>
          <w:rtl w:val="true"/>
        </w:rPr>
        <w:t>لو لم یکن له وارث فی جمیع الطبقات سوی المملوک یشتری من مال المیّت و یعتق</w:t>
      </w:r>
      <w:r>
        <w:rPr>
          <w:rtl w:val="true"/>
        </w:rPr>
        <w:t>]</w:t>
      </w:r>
      <w:bookmarkEnd w:id="8283"/>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له وارث فی جمیع الطبقات سوی المملوک یشتری من مال المیّت و یعتق، و إذا بقی شی‌ء یعطیٰ له بعنوان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لمالکه الامتناع عن بیعه بل یقهر علیه لو امتنع، بل لیس له الإجحاف و الاقتراح فی الثمن فیعطیٰ له القیمة العادلة و یؤخذ منه</w:t>
      </w:r>
      <w:bookmarkStart w:id="8284" w:name="pg1809_20056"/>
    </w:p>
    <w:p>
      <w:pPr>
        <w:pStyle w:val="BookText"/>
        <w:rPr/>
      </w:pPr>
      <w:bookmarkEnd w:id="8284"/>
      <w:r>
        <w:rPr>
          <w:rFonts w:ascii="IRNazanin" w:hAnsi="IRNazanin" w:eastAsia="IRNazanin"/>
          <w:color w:val="111111"/>
          <w:sz w:val="28"/>
          <w:sz w:val="28"/>
          <w:szCs w:val="28"/>
          <w:rtl w:val="true"/>
          <w:lang w:bidi="fa-IR"/>
        </w:rPr>
        <w:t>المملوک و یعتق، و المباشر لذلک هو الحاکم و مع عدمه عدول المؤمنین، بل غیرهم أیضاً مع عدمهم علیٰ نحو الوجوب الکفائی</w:t>
      </w:r>
      <w:r>
        <w:rPr>
          <w:rFonts w:eastAsia="IRNazanin" w:cs="IRNazanin"/>
          <w:color w:val="111111"/>
          <w:sz w:val="28"/>
          <w:szCs w:val="28"/>
          <w:rtl w:val="true"/>
          <w:lang w:bidi="fa-IR"/>
        </w:rPr>
        <w:t>.</w:t>
      </w:r>
    </w:p>
    <w:p>
      <w:pPr>
        <w:pStyle w:val="Heading5"/>
        <w:numPr>
          <w:ilvl w:val="4"/>
          <w:numId w:val="1"/>
        </w:numPr>
        <w:rPr/>
      </w:pPr>
      <w:bookmarkStart w:id="8285" w:name="__RefHeading___Toc2572468_3650668749"/>
      <w:bookmarkStart w:id="8286" w:name="_Toc3743"/>
      <w:bookmarkEnd w:id="8285"/>
      <w:r>
        <w:rPr>
          <w:rtl w:val="true"/>
        </w:rPr>
        <w:t>[ (</w:t>
      </w:r>
      <w:r>
        <w:rPr>
          <w:rtl w:val="true"/>
        </w:rPr>
        <w:t xml:space="preserve">مسألة </w:t>
      </w:r>
      <w:r>
        <w:rPr/>
        <w:t>19</w:t>
      </w:r>
      <w:r>
        <w:rPr>
          <w:rtl w:val="true"/>
        </w:rPr>
        <w:t xml:space="preserve">): </w:t>
      </w:r>
      <w:r>
        <w:rPr>
          <w:rtl w:val="true"/>
        </w:rPr>
        <w:t>إذا کان المملوک أباً أو امّاً للمیّت لا إشکال</w:t>
      </w:r>
      <w:r>
        <w:rPr>
          <w:rtl w:val="true"/>
        </w:rPr>
        <w:t>]</w:t>
      </w:r>
      <w:bookmarkEnd w:id="8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المملوک أباً أو امّاً للمیّت لا إشکال و لا خلاف فی أنّه یشتری و یعتق، و الظاهر جریان هذا الحکم فی کلّ قریب له، و لا سیّما الأولاد</w:t>
      </w:r>
      <w:r>
        <w:rPr>
          <w:rFonts w:eastAsia="IRNazanin" w:cs="IRNazanin"/>
          <w:color w:val="111111"/>
          <w:sz w:val="28"/>
          <w:szCs w:val="28"/>
          <w:rtl w:val="true"/>
          <w:lang w:bidi="fa-IR"/>
        </w:rPr>
        <w:t>.</w:t>
      </w:r>
    </w:p>
    <w:p>
      <w:pPr>
        <w:pStyle w:val="Heading5"/>
        <w:numPr>
          <w:ilvl w:val="4"/>
          <w:numId w:val="1"/>
        </w:numPr>
        <w:rPr/>
      </w:pPr>
      <w:bookmarkStart w:id="8287" w:name="__RefHeading___Toc2572470_3650668749"/>
      <w:bookmarkStart w:id="8288" w:name="_Toc3744"/>
      <w:bookmarkEnd w:id="8287"/>
      <w:r>
        <w:rPr>
          <w:rtl w:val="true"/>
        </w:rPr>
        <w:t>[ (</w:t>
      </w:r>
      <w:r>
        <w:rPr>
          <w:rtl w:val="true"/>
        </w:rPr>
        <w:t xml:space="preserve">مسألة </w:t>
      </w:r>
      <w:r>
        <w:rPr/>
        <w:t>20</w:t>
      </w:r>
      <w:r>
        <w:rPr>
          <w:rtl w:val="true"/>
        </w:rPr>
        <w:t xml:space="preserve">): </w:t>
      </w:r>
      <w:r>
        <w:rPr>
          <w:rtl w:val="true"/>
        </w:rPr>
        <w:t>إذا لم یف الترکة بتمام ثمن المملوک، فالظاهر أنّه یشتری بها شقص منه</w:t>
      </w:r>
      <w:r>
        <w:rPr>
          <w:rtl w:val="true"/>
        </w:rPr>
        <w:t>]</w:t>
      </w:r>
      <w:bookmarkEnd w:id="8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یف الترکة بتمام ثمن المملوک، فالظاهر </w:t>
      </w:r>
      <w:r>
        <w:rPr>
          <w:rStyle w:val="FootnoteAnchor"/>
          <w:rtl w:val="true"/>
        </w:rPr>
        <w:footnoteReference w:id="2061"/>
      </w:r>
      <w:r>
        <w:rPr>
          <w:rFonts w:ascii="IRNazanin" w:hAnsi="IRNazanin" w:eastAsia="IRNazanin"/>
          <w:color w:val="111111"/>
          <w:sz w:val="28"/>
          <w:sz w:val="28"/>
          <w:szCs w:val="28"/>
          <w:rtl w:val="true"/>
          <w:lang w:bidi="fa-IR"/>
        </w:rPr>
        <w:t>أنّه یشتری بها شقص منه و یعتق و یسعی هو 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فروع أُخر لا جدویٰ فی التعرّض بها لقلّة الابتلاء بها</w:t>
      </w:r>
      <w:r>
        <w:rPr>
          <w:rFonts w:eastAsia="IRNazanin" w:cs="IRNazanin"/>
          <w:color w:val="111111"/>
          <w:sz w:val="28"/>
          <w:szCs w:val="28"/>
          <w:rtl w:val="true"/>
          <w:lang w:bidi="fa-IR"/>
        </w:rPr>
        <w:t>.</w:t>
      </w:r>
    </w:p>
    <w:p>
      <w:pPr>
        <w:pStyle w:val="Heading4"/>
        <w:numPr>
          <w:ilvl w:val="3"/>
          <w:numId w:val="1"/>
        </w:numPr>
        <w:rPr/>
      </w:pPr>
      <w:bookmarkStart w:id="8289" w:name="__RefHeading___Toc2572472_3650668749"/>
      <w:bookmarkStart w:id="8290" w:name="_Toc3745"/>
      <w:bookmarkEnd w:id="8289"/>
      <w:r>
        <w:rPr>
          <w:rtl w:val="true"/>
        </w:rPr>
        <w:t>[</w:t>
      </w:r>
      <w:r>
        <w:rPr>
          <w:rtl w:val="true"/>
        </w:rPr>
        <w:t>و یلحق بموانع الإرث أُمور ینبغی أن یذکر فی ضمن مسائل</w:t>
      </w:r>
      <w:r>
        <w:rPr>
          <w:rtl w:val="true"/>
        </w:rPr>
        <w:t>]</w:t>
      </w:r>
      <w:bookmarkEnd w:id="8290"/>
    </w:p>
    <w:p>
      <w:pPr>
        <w:pStyle w:val="Heading5"/>
        <w:numPr>
          <w:ilvl w:val="4"/>
          <w:numId w:val="1"/>
        </w:numPr>
        <w:rPr/>
      </w:pPr>
      <w:bookmarkStart w:id="8291" w:name="__RefHeading___Toc2572474_3650668749"/>
      <w:bookmarkStart w:id="8292" w:name="_Toc3746"/>
      <w:bookmarkEnd w:id="8291"/>
      <w:r>
        <w:rPr>
          <w:rtl w:val="true"/>
        </w:rPr>
        <w:t>اشارة</w:t>
      </w:r>
      <w:bookmarkEnd w:id="8292"/>
    </w:p>
    <w:p>
      <w:pPr>
        <w:pStyle w:val="BookText"/>
        <w:rPr/>
      </w:pPr>
      <w:r>
        <w:rPr>
          <w:rFonts w:ascii="IRNazanin" w:hAnsi="IRNazanin" w:eastAsia="IRNazanin"/>
          <w:color w:val="111111"/>
          <w:sz w:val="28"/>
          <w:sz w:val="28"/>
          <w:szCs w:val="28"/>
          <w:rtl w:val="true"/>
          <w:lang w:bidi="fa-IR"/>
        </w:rPr>
        <w:t>و یلحق بموانع الإرث أُمور ینبغی أن یذکر فی ضمن مسائل</w:t>
      </w:r>
      <w:r>
        <w:rPr>
          <w:rFonts w:eastAsia="IRNazanin" w:cs="IRNazanin"/>
          <w:color w:val="111111"/>
          <w:sz w:val="28"/>
          <w:szCs w:val="28"/>
          <w:rtl w:val="true"/>
          <w:lang w:bidi="fa-IR"/>
        </w:rPr>
        <w:t>:</w:t>
      </w:r>
    </w:p>
    <w:p>
      <w:pPr>
        <w:pStyle w:val="Heading5"/>
        <w:numPr>
          <w:ilvl w:val="4"/>
          <w:numId w:val="1"/>
        </w:numPr>
        <w:rPr/>
      </w:pPr>
      <w:bookmarkStart w:id="8293" w:name="__RefHeading___Toc2572476_3650668749"/>
      <w:bookmarkStart w:id="8294" w:name="_Toc3747"/>
      <w:bookmarkEnd w:id="8293"/>
      <w:r>
        <w:rPr>
          <w:rtl w:val="true"/>
        </w:rPr>
        <w:t>[ (</w:t>
      </w:r>
      <w:r>
        <w:rPr>
          <w:rtl w:val="true"/>
        </w:rPr>
        <w:t xml:space="preserve">مسألة </w:t>
      </w:r>
      <w:r>
        <w:rPr/>
        <w:t>21</w:t>
      </w:r>
      <w:r>
        <w:rPr>
          <w:rtl w:val="true"/>
        </w:rPr>
        <w:t xml:space="preserve">): </w:t>
      </w:r>
      <w:r>
        <w:rPr>
          <w:rtl w:val="true"/>
        </w:rPr>
        <w:t>اللعان الجامع للشرائط إذا وقع بین الزوجین یقطع التوارث بینهما</w:t>
      </w:r>
      <w:r>
        <w:rPr>
          <w:rtl w:val="true"/>
        </w:rPr>
        <w:t>]</w:t>
      </w:r>
      <w:bookmarkEnd w:id="8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اللعان الجامع للشرائط إذا وقع بین الزوجین یقطع التوارث بینهما، و إذا وقع فی مقام نفی الولد یقطع التوارث بین الأب و الولد، و کذا التوارث بین الولد و کلّ من تقرّب إلیه بواسطة الأب کالجدّ و الجدّة للأب و الأعمام و العمّات و أولادهم، فینحصر التوارث بین الولد و الأُمّ، و بینه و بین من تقرّب إلیه بالأُمّ کالأخ و الأُخت للُامّ و الأخوال و الخالات و أولادهم، حتّی أنّه لو کان له أخ للأب و الأُمّ و أخ للُامّ کان کمن له أخوان للُامّ فیرثان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اعترف الأب بعد اللعان بولدیّته یرثه الولد دون العکس</w:t>
      </w:r>
      <w:r>
        <w:rPr>
          <w:rFonts w:eastAsia="IRNazanin" w:cs="IRNazanin"/>
          <w:color w:val="111111"/>
          <w:sz w:val="28"/>
          <w:szCs w:val="28"/>
          <w:rtl w:val="true"/>
          <w:lang w:bidi="fa-IR"/>
        </w:rPr>
        <w:t>.</w:t>
      </w:r>
    </w:p>
    <w:p>
      <w:pPr>
        <w:pStyle w:val="Heading5"/>
        <w:numPr>
          <w:ilvl w:val="4"/>
          <w:numId w:val="1"/>
        </w:numPr>
        <w:rPr/>
      </w:pPr>
      <w:bookmarkStart w:id="8295" w:name="__RefHeading___Toc2572478_3650668749"/>
      <w:bookmarkStart w:id="8296" w:name="_Toc3748"/>
      <w:bookmarkEnd w:id="8295"/>
      <w:r>
        <w:rPr>
          <w:rtl w:val="true"/>
        </w:rPr>
        <w:t>[ (</w:t>
      </w:r>
      <w:r>
        <w:rPr>
          <w:rtl w:val="true"/>
        </w:rPr>
        <w:t xml:space="preserve">مسألة </w:t>
      </w:r>
      <w:r>
        <w:rPr/>
        <w:t>22</w:t>
      </w:r>
      <w:r>
        <w:rPr>
          <w:rtl w:val="true"/>
        </w:rPr>
        <w:t xml:space="preserve">): </w:t>
      </w:r>
      <w:r>
        <w:rPr>
          <w:rtl w:val="true"/>
        </w:rPr>
        <w:t>الحمل یرث و یورّث إذا انفصل حیّاً و إن مات من ساعته</w:t>
      </w:r>
      <w:r>
        <w:rPr>
          <w:rtl w:val="true"/>
        </w:rPr>
        <w:t>]</w:t>
      </w:r>
      <w:bookmarkEnd w:id="8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یرث و یورّث إذا انفصل حیّاً و إن مات من 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حیاته بعد انفصاله قبل موته من ساعته بأن یتحرّک أو یصیح بعد سقوطه، و لا یشترط ولوج الروح فیه حین موت المورّث، بل یکفی انعقاد نطفته حینه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مات أحد و تبیّن الحمل فی زوجته بعد موته و کان بحیث یلحق به شرعاً یرثه إذا انفصل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فی وارثیّته و مورّثیّته الصیاح بعد السقوط؛ بعد ما علم سقوطه حیّاً بالحرکة البیّنة و غیرها</w:t>
      </w:r>
      <w:r>
        <w:rPr>
          <w:rFonts w:eastAsia="IRNazanin" w:cs="IRNazanin"/>
          <w:color w:val="111111"/>
          <w:sz w:val="28"/>
          <w:szCs w:val="28"/>
          <w:rtl w:val="true"/>
          <w:lang w:bidi="fa-IR"/>
        </w:rPr>
        <w:t>.</w:t>
      </w:r>
    </w:p>
    <w:p>
      <w:pPr>
        <w:pStyle w:val="Heading5"/>
        <w:numPr>
          <w:ilvl w:val="4"/>
          <w:numId w:val="1"/>
        </w:numPr>
        <w:rPr/>
      </w:pPr>
      <w:bookmarkStart w:id="8297" w:name="__RefHeading___Toc2572480_3650668749"/>
      <w:bookmarkStart w:id="8298" w:name="_Toc3749"/>
      <w:bookmarkEnd w:id="8297"/>
      <w:r>
        <w:rPr>
          <w:rtl w:val="true"/>
        </w:rPr>
        <w:t>[ (</w:t>
      </w:r>
      <w:r>
        <w:rPr>
          <w:rtl w:val="true"/>
        </w:rPr>
        <w:t xml:space="preserve">مسألة </w:t>
      </w:r>
      <w:r>
        <w:rPr/>
        <w:t>23</w:t>
      </w:r>
      <w:r>
        <w:rPr>
          <w:rtl w:val="true"/>
        </w:rPr>
        <w:t xml:space="preserve">): </w:t>
      </w:r>
      <w:r>
        <w:rPr>
          <w:rtl w:val="true"/>
        </w:rPr>
        <w:t>الحمل ما دام حملًا لا یرث و لکن یحجب من کان متأخّراً عنه فی المرتبة أو فی الطبقة</w:t>
      </w:r>
      <w:r>
        <w:rPr>
          <w:rtl w:val="true"/>
        </w:rPr>
        <w:t>]</w:t>
      </w:r>
      <w:bookmarkEnd w:id="8298"/>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ما دام حملًا لا یرث و لکن یحجب من کان متأخّراً عنه فی المرتبة أو فی الطبقة، فلو کان للمیّت حمل و له أحفاد و إخوة یحجبون عن الإرث، و لم یعطوا شیئاً حتّی یتبیّن الحال، فإن سقط حیّاً اختصّ بالإرث و إن سقط میّتاً یرثوا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للمیّت وارث آخر فی مرتبة الحمل و طبقته کما إذا کان له أولاد أو أبوان </w:t>
      </w:r>
      <w:r>
        <w:rPr>
          <w:rStyle w:val="FootnoteAnchor"/>
          <w:rtl w:val="true"/>
        </w:rPr>
        <w:footnoteReference w:id="2062"/>
      </w:r>
      <w:r>
        <w:rPr>
          <w:rFonts w:ascii="IRNazanin" w:hAnsi="IRNazanin" w:eastAsia="IRNazanin"/>
          <w:color w:val="111111"/>
          <w:sz w:val="28"/>
          <w:sz w:val="28"/>
          <w:szCs w:val="28"/>
          <w:rtl w:val="true"/>
          <w:lang w:bidi="fa-IR"/>
        </w:rPr>
        <w:t>یعزل للحمل نصیب</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ذکرین و یعطی الباقی للباقین، ثمّ بعد تبیّن الحال، إن سقط میّتاً یعطیٰ ما عزله للوارث الآخر، و لو تعدّد وزّع بینهم علیٰ ما فرض اللّٰه، فلو کان للمیّت ابن واحد یعطی الثلث و یعزل للحمل الثلثان، و لو کانت له بنت واحدة أُعطیت الخمس و عزل للحمل أربعة أخماس، و لو کان له ابن و بنت تقسّم الترکة سبع حصص؛ تعطی البنت حصّة و یعطی الابن حصّتین و تعزل للحمل أربع حصص نصیب ذکرین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الضروریات فیها و فیما یتلوها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التفصیل فیه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التقلید هو العمل مستنداً إلیٰ فتوی الفقیه و هو الموضوع للمسألتین الآتیتین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یکون مصحّحاً للعمل هو صدوره عن حجّة کفتوی الفقیه و إن لم یصدق علیه عنوان التقلید، و سیأتی أنّ مجرّد انطباقه علیٰ فتواه مصحّح 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مکبّ علی الدنیا و لا حریصاً علیها و علیٰ تحصیلها جاهاً و مالًا علی الأحوط</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المساوی، و یجب إذا کان الثانی أعلم علی الأحوط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التعیّن غیر معلوم، نعم الأولیٰ و الأحوط تقلیده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یکفی الاحتیاط فی الفرض الثانی فی فتوی الذین یحتمل أعلمیّتهم؛ بأن یأخذ بأحوط أقوالهم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المسائل التی یعلم تفصیلًا مخالفتهما فیها و کذا فی الفرع الآتی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تحقّق التقلید منه بواسطة العمل ببعض المسائل فالظاهر جواز البقاء مطلقاً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فیه و فی الفرع الآتی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الجواز فیه؛ لجواز الرجوع إلی الحیّ دون البقاء علی الأوّل فی الفرع السابق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عدم انعزاله، و لکن لا ینبغی ترک الاحتیاط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صورة القطع بجامعیّته للشرائط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الخبرة فی الفرعین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صحّته لو أتی به برجاء درک الواقع و انطبق علیه أو علیٰ فتوی من یجوز الرجوع إلیه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تساقطهما مطلقاً مع أنّه أحوط أیضاً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اطمأنّ من نفسه بعدم الابتلاء بها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جواز الاکتفاء بمقدار العلم بالاشتغال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کون حسن الظاهر کاشفاً تعبّدیاً و لو لم یحصل منه الظنّ، فضلًا عن العلم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بارتکاب الصغائر علی الأحوط</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الوصیّ نفس الاستئجار و أمّا الأعمال فهی أعمال الأجیر، و الأقوی فیها لزوم رعایة تقلیده لا تقلید المیّت، و کذا المتبرّع و لو أتی الوصیّ بها استئجاراً أو تبرّعاً فالواجب علیه مراعاة تقلید نفسه علی الأقویٰ و إن کان الأحوط رعایة التقلیدین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بنحو الانحدار مع الدفع بقوّة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دونه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المناط هو حال الاجتماع بعد التصعید، فربّما یکون المصعّد هو الأجزاء المائیة و بعد الاجتماع یکون ماء مطلقاً و ربّما یکون مضافاً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مع الشبهة المفهومیّة و الشکّ فی بقاء الموضوع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لا یبعد عدم التنجّس إلّا إذا حمل أجزاء النجس فتغیّر بها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امتزج بالمعتصم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اعتبار الامتزاج فی تطهیر المیاه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طهارته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یحتاج علی الأقویٰ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بلوغه ثلاثة و أربعین شبراً إلّا ثمن شبر، بل لا یخلو من قوّة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یحتاج علی الأقویٰ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علیٰ ما تنجّس بها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اعتباره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کونه مطهّراً 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نجس مطلقاً علی الأقویٰ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لا یترک الاحتیاط بالتجنّب عنه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تفصیل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ممیّزاً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یستحبّ ستر السرّة و الرکبة و ما بینهما، و أمّا استحبابه إلیٰ نصف الساق فمحلّ تأمّل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هو الاستقبال و الاستدبار العرفیّان و الظاهر عدم دخل الرکبتین فیهما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 الأوّل، بل الأقوی الحرمة فیه إذا خرج معه القطرات و لا ینبغی ترکه فی الثانی أیضاً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لا یمکن الفحص و یتعسّر التأخیر إلیٰ أن تتّضح القبلة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کفایة المرّة فی الرجل مع الخروج عن مخرجه الطبیعی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الاجتزاء بحصول النقاء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خصوصاً فی العظم و الروث، بل حصول الطهارة مطلقاً محلّ 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إشکال فی العفو فی غیر ما ذکر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الأولیٰ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هو الاکتفاء بالوضوء فی هذه الصورة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متناسب الأعضاء، و غیره یرجع إلیه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 الأقوی جوازه بظاهره، بل الجواز بالذراع لا یخلو من وجه، و الأقوی عدم التعیّن بالأیمن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الأقویٰ کفایته إلی الکعب و هو قبّة ظهر القدم و لا ینبغی ترک الاحتیاط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 قد مرّت قوّة الجواز اختیاراً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کفایة المسح بالماء الجدید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عدّ الصبّ تصرّفاً فی المغصوب عرفاً أو جزء أخیراً للعلّة التامة علی الأحوط، و إلّا عدم البطلان هو الأقویٰ، بل عدم البطلان مطلقاً لا یخلو من قوّة حتّی مع غصبیّة المکان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الصحّة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التفصیل بین أن یکون ما فی الید أجزاء مائیة تعدّ ماء عرفاً و بین محض الرطوبة التی کأنّها من الکیفیّات عرفاً، فیصحّ فی الثانی دون الأوّل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یجوز فی غیر ما جرت السیرة علیه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الفرعین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یجب فیما إذا کان مسبوقاً بوجوده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المناط هو احتمال الالتفات حال الوضوء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مع علمه بعدم التفاته حال الوضوء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وجوبه، بل لا یخلو من وجه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إن بقیت فیما هو خارج عن الحدّ کالشعر فوق الجبهة، بل هو أشکل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نیّة القربة أعمّ من قصد الامتثال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مع استقلال الداعیین علی الأحوط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علیٰ وجه التقیید بحیث کان من نیّته عدم ارتفاع غیره ففی الصحّة إشکال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الأمعاء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فیها تأمّل و لا یترک الاحتیاط</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ذکر سائر موجبات الغسل عدا الجنابة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الاکتفاء بوضوء واحد فیه لکلّ صلاة مع عدم التجدید فی الأثناء لا یخلو من قوّة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عدم لزوم التجدید إن لم یتقاطر منه بین الصلاتین، فیأتی بوضوء واحد صلوات کثیرة ما لم یتقاطر فی فواصلها و إن تقاطر فی أثنائها، لکن لا ینبغی ترک الاحتیاط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إلحاقه بالمبطون أقوی إن لم یکن داخلًا فیه موضوعاً، کما لا یبعد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عدم الاشتراط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یبنی علیها فی هذه الصورة أیضاً علی الأقویٰ، هذا إذا لم یعلم الحالة السابقة علی الیقین بهما، و إلّا فالأقویٰ هو البناء علیٰ ضدّها فلو تیقّن الحدث قبل عروض الحالتین بنیٰ علی الطهارة، و لو تیقّن الطهارة بنیٰ علی 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مجهولی التاریخ، و کذا الحال فیما إذا علم تاریخ ما هو ضدّ الحالة السابقة، و أمّا إذا علم تاریخ ما هو مثله فیبنی علی المحدثیّة و یتطهّر، لکن لا ینبغی ترک الاحتیاط فی جمیع الصور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صلوات متعدّدة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النزع و لو مع الإمکان، بل یجب إیصال الماء تحتها علیٰ نحو یحصل مسمّی الغسل بشرائطه مع الإمکان، نعم یجب النزع عن محلّ المسح</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جریان أحکام الجبیرة فی استیعابها لعضو واحد خصوصاً محلّ 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کانت الجبیرة مستوعبة لمعظم الأعضاء فلا یترک الاحتیاط المذکور و إن لا تبعد کفایة التیمّم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أضرّ استعمال الماء ببعض العضو و أمکن غسل ما حوله لا یبعد الاکتفاء بغسله و عدم الانتقال إلی التیمّم، و الأحوط مع ذلک ضمّ التیمّم، و لا یترک هذا الاحتیاط و أحوط منه وضع خرقة و المسح علیها ثمّ التیمّم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إمکان غسل ما حول العین لا یبعد جواز الاکتفاء به علیٰ إشکال، فلا یترک الاحتیاط بضمّ التیمّم إلیه، و لو احتاط مع ذلک بوضع خرقة و المسح علیها ثمّ التیمّم کان حسناً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الوجوب الشرعیّ فی غیر غسل الأموات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کفایة الشهوة فیهما و لا ینبغی ترک الاحتیاط خصوصاً فی المرأة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حصولها بالمسمّی فیه لا یخلو من قوّة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مع عدم التضرّر به و إن لا یبعد عدم الوجوب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علیٰ طهارة، و کذا فی الفرع الآتی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بإتیان أهله بالجماع طلباً للّذّة و إلّا ففیه تأمّل و إن لا یبعد الجواز</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عدم الاشتراط فیهما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لا یبعد اشتراطه به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ارتفاعها فی غیر الوضوء محلّ تأمّل، نعم الأُمور المذکورة توجب تخفیفها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عن الوضوء، و عن الغسل أفضل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وجوب غسله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لبعض العنق و کذا فی الجانب الأیسر، و الأحوط الأولیٰ إدخال تمام الجانب الأیمن من العنق فی الجانب الأیمن و إدخال بعض الرأس معه مقدّمة و إدخال تمام الجانب الأیسر من العنق فی الجانب الأیسر و إدخال بعض الرأس مقدّمه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حصول الارتماسی بغمسه تدریجاً و لو دخل رجله فی الطین یسیراً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خروج بعض البدن عن الماء قبل أن ینغمس البعض الآخر مضرّ بتحقّقه، و الأحوط أن یکون الغمس بالدفعة العرفیّة، ففی الأنهار و الجداول التی تدخل الرجل فی الطین یجوز الارتماسی و إن کان الأحوط اختیار الترتیبی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إباحته علی الأحوط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إباحة ما ذکر مبنیّة علی الاحتیاط، و عدم الاشتراط لا یخلو من وجه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فیهما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 إن کان الأقویٰ عدمه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للمجنب بالإنزال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اجتهد فی الاستبراء بحیث قطع بنقاء المحلّ و عدم بقاء المنیّ فی المجریٰ و احتمل أن یکون المنیّ حادثاً لا تجب الإعادة علی الأقویٰ، و کذا إذا کان طول المدّة منشأ لقطعه، لکن الأحوط الإعادة فی الصورتین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الاستئناف، بل لا یکفی الارتماسی علی الأحوط و إنّما یجب علیه غسل الطرفین لأجل الاحتیاط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کفایة الغسل الواحد عن الأغسال المتعدّدة مطلقاً إذا نوی الجمیع، و أمّا کفایته مع عدم نیّتها ففیها إشکال فلا یترک الاحتیاط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تبعد کفایة نیّة الجنابة عن سائر الأغسال، لکن لا ینبغی ترک الاحتیاط بنیّة الجمیع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أحمر یضرب إلی السواد أو أحمر طریّ له دفع و حرقة و حرارة، و دم الاستحاضة مقابله فی الأوصاف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تردّد و إن لا یبعد، و کذا فیما تری المرأة بعد الیأس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حصول الوثوق بحیضیّته لا یبعد الحکم بها و بالبلوغ، و أمّا فی غیر ذلک فمحلّ تأمّل و إشکال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 الاحتیاط فیما رأت بعد العادة بعشرین یوماً؛ بالجمع بین تروک الحائض و أعمال المستحاضة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بإدخال قطنة و ترکها ملیّاً ثمّ إخراجها رقیقاً علی الأولی الأحوط</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معلوم و الأقوی صحّة عملها لو حصلت منها نیّة القربة مع تبیّن عدم کونه حیضاً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وجوبه لا یخلو من وجه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وجوب الاختبار فإن خرج الدم من الجانب الأیسر فحیض و إلّا فمن القرحة، لکن لا ینبغی ترک الاحتیاط و لو مع العلم بالحالة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مع تعذّر الاختبار تعمل بالحالة السابقة، و مع الجهل بها تجمع بین أعمال الطاهرة و تروک الحائض</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اعتباره، لکن لا ینبغی ترک الاحتیاط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رأت ثلاثة أیّام متوالیات ثمّ انقطع و عاد قبل العشرة من حین رؤیة الأوّل یکون من حین الرؤیة إلیٰ تمام العشرة محکوماً بالحیض حتّی أیّام النقاء علی الأقویٰ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العادة الوقتیّة فقط بل العددیّة فقط بالمرّتین لا یخلو من شوب إشکال و إن کان الأقویٰ تحقّقهما بهما، فلا ینبغی ترک الاحتیاط</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بقاء العادة فیما لو رأت مرّتین غیر متماثلتین تأمّل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الاحتیاط لا ینبغی أن یترک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مفروض المسألة ما إذا کان کلّ واحد من الدمین و النقاء أقلّ من العشرة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إذا کانت ذات عادة عددیّة و کان أحد الدمین موافقاً لها تجعله حیضاً دون الآخر، و یتقدّم علی التمیّز علی الأقویٰ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کانت ذات عادة وقتیّة و عددیّة و وقع بعض أحد الدمین فی الوقت غیر موافق للعدد، و الدم الآخر بمقدار العدد فی غیر الوقت تحتاط فی کلیهما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تحتاط إلیٰ تمام العشرة، فلو رأت ثلاثة أیّام دماً و ثلاثة أیّام طهراً و ستّة أیّام دماً جعلت الثلاثة الأُولیٰ حیضاً و تحتاط فی البقیّة إلیٰ تمام العشرة؛ بالجمع بین تروک الحائض و أفعال الطاهرة فی النقاء المتخلّل، و بالجمع بین تروک الحائض و أفعال المستحاضة فی أیّام الدم إلیٰ تمام العشرة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و لو کان بصفات الحیض، إلّا فی یوم واحد علی الأحوط و إن کان الأقوی استحبابه مطلقاً، و لا ینبغی ترک الاحتیاط فی الزائد أیضاً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إلغاء الأوصاف مطلقاً و صیرورتها فاقدة التمیّز محلّ إشکال و لا یبعد لزوم الأخذ بالصفات فی الدم الأوّل و تتمیمه أو تنقیصه بما هو وظیفتها من الأخذ بالروایات أو عادة نسائها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الأقویٰ، نعم لا تترک الاحتیاط من لم تستقرّ لها عادة بما ذکره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فقد الأقارب أو اختلافهنّ، و مع وجودهنّ أیضاً لا یبعد وجوب جعل أوّل الرؤیة حیضاً بمقدارهنّ عدداً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رجعت إلیٰ أقاربها مع الوجدان، و إلّا تحیّضت بما ذکر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جوازه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جوازه قبله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 الجهل عن تقصیر، علی الأحوط فی بعض الموارد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 الأحوط ذلک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وجهاً لإعطاء الستة، و الوجه فی السبعة ضعیف، و الإعطاء لعشرة مساکین له وجه أوجه من إعطاء السبعة و إن کان ضعیفاً فی نفسه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لخصوصیّات المسألة مقام آخر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بأقوی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خلافه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خلافه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الکلّیة إشکال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لم یعلم کونه منهما ما لم تکن المرأة مقروحة أو مجروحة علی الأحوط</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عدم ثقبها و الظهور من الجانب الآخر و فی المتوسطة الثقب و الظهور من غیر السیلان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الاحتیاط راجع إلی التبدیل أو التطهیر دون وجوب الوضوء فإنّه الأقویٰ، و کذا یجب غسل ظاهر الفرج مع التلوّث فی الأقسام الثلاثة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الوضوء</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بالنسبة إلی الصلاة التی انتقلت من الأدنی إلی الأعلی فی أثنائها فعلیها الاستئناف و العمل علی الأعلی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بالنسبة إلیٰ لیلیّة اللیلة الماضیة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یجب إعادتها فی هذه الصورة مطلقاً علی الأحوط</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الحکم مبنیّ علی الاحتیاط</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بأقوی، و الأقوی عدم لزوم الوضوء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ما هو الأقویٰ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ما هو الأقویٰ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خلافه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وجوبه فی هذه الصورة أیضاً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وجوب الغسل إذا اشتمل علی العظم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 فیه و فیما بعده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بل لا یخلو من قوّة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عدم لزومه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یترک الاحتیاط ما لم ینقل عن محلّ الاحتضار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کما أنّ الأحوط غسله بالکیفیّة التی عندنا و التی عندهم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نحو یأتی تفصیله فی النجاسات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خروج روحه فی المعرکة حین اشتعال الحرب أو فی غیرها قبل إدراکه المسلمون حیّاً، و أمّا لو عثروا علیه بعد الحرب فی المعرکة و به رمق یجب غسله و تکفینه علی الأحوط إذا خرج روحه فیها، و أمّا إذا خرج خارجها فالظاهر وجوب غسله و تکفینه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إلحاق الحیّ بالمیّت فی جمیع الفروع الآتیة إشکال، لا یترک الاحتیاط بالإلحاق فیها و عدم الإلحاق فی المسّ بعد الغسل فی العظم أو المشتمل علیه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إلحاقه بغیره فی الغسل إشکال، بل عدم الوجوب لا یخلو من قوّة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یشتمل علیه فعلًا و کان محلّا له حال الحیاة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شرط فیها علی الأقویٰ، فلا یجوز قیام الغیر به بدونه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تسقط شرطیته مع امتناعه عنه و عن القیام به علی الأقویٰ و إن کان الأحوط الاستئذان من المرتبة المتأخّرة، و فیما إذا کان الولیّ قاصراً لا یبعد وجوب الاستئذان من الحاکم الشرعی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فیه و فی ضامن الجریرة، بل و فی الحاکم الشرعی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الرجال و إن لا یخلو من وجه لکن لا ینبغی ترک الاحتیاط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 إن لا یخلو من وجه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الأقوائیّة ممنوعة، و الأحوط الاستئذان منهما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انقضاء عدّة الطلاق، و أمّا بعده فالأقویٰ عدم الجواز</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جوازه مجرّداً مع ستر العورة لدی الضرورة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مکاتبة علی الأحوط</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إلیٰ غیره من عدم مسّ الماء و بدن المیّت و الغسل فی الکرّ و الجاری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الأحوط ترک الغسل و دفنه بثیابه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وجوبه لا یخلو من قوّة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عدم لزومه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لا یبعد جواز الاکتفاء بید المیّت إن أمکن، و الاحتیاط بالجمع لا یترک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بعید، فالمتعیّن هو الاحتمال الأوّل علی الأقویٰ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الأقویٰ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منافاة ما ذکره هاهنا مع تقریب احتمال وجوب صرفه فی الثالث فی الفرع المتقدّم، لکن الأقویٰ ما ذکره هاهنا کما مرّ فی الفرع المتقدّم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بعد التقصیر فی العمرة و بعد السعی فی الحجّ</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فیه محذور من هتک حرمة المیّت بواسطة فساد جثّته أو الحرج علی الأحیاء بواسطة رائحته أو تجهیزه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کلّه فی غیر الغصب، و أمّا فیه ففی مثل الفرض إشکال و الأحوط للمغصوب منه أخذ قیمة الکفن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کان الغاصب هو المیّت فالأقویٰ جواز النبش و لو مع الهتک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هذه الصورة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أنّه من السنن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یکون المیّت امرأة حاملًا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تثلیث غسل الیدین و الفرجین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الأقوائیّة تأمّل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مقدّماً للأشمل علیٰ غیره لدی الدوران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عمل علیٰ نحو یصدق علیه الثوب یجوز و لو فی حال الاختیار، و إلّا فلا یقدّم علیٰ غیره لدی الدوران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القرض فی هذه الصورة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توقّف علیٰ إخراجه من القبر و هتکه فلا یجب بل لا یجوز، کما لا یجوز تبدیله فی الفرض</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 ما استثنی، و الظاهر خروج ما هو المتعارف اللائق بشأنه من الأصل و کذا سائر مئونة التجهیز، و لا ینبغی ترک الاحتیاط فی الزائد علی الواجب مع التحفّظ علیٰ عدم إهانته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فیها، بل الظاهر کونه علیه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عمّا لو مات قبلها أو مقارناً لها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الدفن، دون قبله و بعد التکفین فإنّ الکفن فی هذه الصورة علی الزوج و لهم الرجوع إلیٰ عین مالهم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شبر و نصف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یغمز فی الموضع الذی انتهیٰ إلیه اللفّ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الذریرة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 الحبرة، فإنّ الأولیٰ أن تکون برداً أحمر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الأولیٰ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کلّ ثوب منه شی‌ء من الکافور و الذریرة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الجریدتین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یثبت استحبابه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التجنّب عن الکتابة فی المواضع التی تنافی احترامها عرفاً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الأولیٰ فیه و فیما بعده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 الإتیان به رجاءً</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دونه درهم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یوضع معه رجاءً</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تأخیره عن الخلاف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شبر فی جانب القلّة و إلی ذراع فی جانب الکثرة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یحملها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کراهته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کراهته فی جنازة المؤمن، لکن الأفضل ما ذکر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لیحرموا من فضل حملها علی الأکتاف و أمّا کراهة حملها علی الدابّة فغیر معلومة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الشخص المعزّی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دلیله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ترکهنّ التشییع و لا یبعد الکراهة للشابّة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 الضیاء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تفصیل یأتی فی النجاسات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تقدیم الرجال مع وجودهم، بل هو أحوط</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الأقوی اشتراطه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وجوب عمل الولیّ و وجوب استئذان الوصیّ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عدم اعتبارها غیر بعید، و کذا فی شرائط الجماعة إلّا فیما یشترط فی صدقها عرفاً کعدم البعد المفرط و الحائل الغلیظ</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هو الإتیان بوظیفة الأقلّ و الأکثر بالنسبة إلی الأدعیة، فإذا شکّ بین الاثنین و الثلاث بنیٰ علی الأقل فأتیٰ بالصلاة علی النبیّ و آله و دعا للمؤمنین و المؤمنات و کبّر و دعا للمؤمنین و المؤمنات و دعا للمیّت و کبّر و دعا للمیّت رجاءً و کبّر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مستلقیاً علیٰ قفاه، ثمّ بعد الصلاة علیه یضطجع علی الهیئة المعهودة فیواریٰ فی قبره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 مثل التکلّم و القهقهة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الإجزاء فی هذه الصورة لا یخلو من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الأقویٰ عدمه فیما إذا اعتقد عدم وجوده فتبیّن خلافه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تقدیم الفریضة مقتصراً علیٰ أقلّ الواجب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 هذه الکیفیّة و الاقتصار علی الاولیٰ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الإتیان بها رجاءً</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دلیله بالکیفیّة الخاصّة، و لا بأس بالعمل به رجاءً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و فی استحباب إسرار المأموم تأمّل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الراجحات العقلیّة و أمّا رجحانه الشرعی فغیر ثابت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یمکن تحصیل العلم و لو بالتأخیر علیٰ وجه لا یخاف علی المیّت و لا یضرّ بالمباشرین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یستلزم النبش و إلّا ففیه تأمّل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لزوم محذور ککون البئر ملک الغیر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مع عدم الفرق بینه و بین غیره من المواضع، و إلّا فیشقّ الموضع الذی یکون الخروج معه أسلم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مع عدم استلزامه للنبش، و لا ینبغی ترک الاحتیاط</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بل الأقویٰ عدم الجواز</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جوازه، خصوصاً إذا کان البقاء هتکاً له، فیجب النبش و النقل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التأمّل فیه إذا لم یستلزم النبش</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کراهة غیر الساج تأمّل و إن کان استحباب وضع المیّت علی التراب لا یخلو من وجه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الترک مع استلزام الهتک علی المیّت و إیذاء الأحیاء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حسن فیه مع الإشکال الآتی، بل الأقویٰ وجوب الدفن بالمواراة تحت الأرض</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غیره من المحرّمات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الأقوائیّة محلّ إشکال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أدمت، و إلّا فتجب علی الأحوط</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قبل فساد البدن و أمّا بعده فلا، و کذا إذا لزم منها هتکه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إشکال فی الثانیة إذا لم یتغیّر البدن و لا یتغیّر إلیٰ وقت الدفن بما یوجب منه الهتک و الإیذاء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محذور فیه، ککون الآثار ملکاً للبانی، أو الأرض مباحة حازها ولیّ المیت لقبره، و بالجملة الحکم بجواز المحو حیثیّ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جوازه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مشروعیّته فی لیلة السبت محلّ تأمّل، فلا یترک الاحتیاط الآتی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إلحاق خوف مطلق العذر به لا یخلو من وجه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الزوال لا بعده، و إن ترکه یستحبّ قضاؤه بعد الزوال و یوم السبت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الأولیٰ إتیانه قبیل الغروب إلّا لیالی العشر الأخیر، فإنّه لا یبعد رجحانه فیها بین العشاءین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الأغسال الفعلیة، و أمّا غسل یوم الغدیر فالأولیٰ أن یؤتیٰ به صدر النهار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یؤتیٰ به رجاءً</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السیّد و الشهید و لا بأس بالإتیان به رجاءً</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یؤتیٰ به رجاءً أیضاً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یؤتیٰ به رجاءً أیضاً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الصدوق، و لا بأس بإتیانه رجاءً أیضاً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ممنوع، لکن لا ینبغی ترک الاحتیاط</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یبعد استحبابها بعد الدخول للکون فیها إذا ترک قبله، خصوصاً إذا لم یتمکّن منه قبله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نعم لا یشرع الإتیان بها بعد الحدث</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حصول الاطمئنان من قول النائب مشکل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المناط فی الرمی غایة ما یقدر الرامی علیه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مصادفة عدم الماء، و کذا مع عدم عثوره علیه لو طلبه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المعتدّ به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الوقت واسعاً له و إلّا فالأحوط تجدید التیمّم و إعادة الصلاة، و کذا فی الفروع الآتیة التی حکم فیها بالإعادة مع عدم إمکان المائیّة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علی الأحوط</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الجواز لا یخلو من قوّة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حصل من منشإ یعتنی به العقلاء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الانتقال إلی التیمّم خوف فوت الوقت و هو حاصل فی الصورتین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ینبغی ترک الاحتیاط بالقضاء مع المائیّة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 سائر الغایات، فلا یجوز مسّ کتابة القرآن علی الأحوط</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 فیه تفصیل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بل لا یخلو من وجه وجیه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بإتیانه رجاءً للأکبر أیضاً، کما أنّ الأولیٰ قصد الرجاء فی غیر صورة خوف فوت صلاة الجنازة، و فی غیر صورة التذکّر لعدم الوضوء بعد الدخول فی فراشه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انحصار المرتبة الأُولیٰ به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جوازه لا یخلو من قوّة، و أمّا الجصّ و النورة بعد إحراقهما فالأحوط عدم الجواز مع التمکّن من التراب و نحوه، و مع عدمه یحتاط بما ذکره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بالموضوع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وجیه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الوضوء ما هو الأقویٰ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محلّ الضرب خارج المحبس، و إلّا فهو کالتیمّم به لا یخلو من إشکال و إن کان الأقوی الصحّة فی الصورتین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الوجوب أظهر، لکن ینبغی أن یفرک الوحل کنفض التراب، و أمّا الإزالة بالغسل فلا یجوز بلا إشکال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 حرجیّا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سقوط الأداء، و الأحوط ثبوت القضاء</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 إن کانت الکفایة لا تخلو من قوّة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یکفی مسح مجموع الممسوح بمجموع الماسح فی الجبهة و الجبین علی النحو المتعارف؛ أی الشقّ الأیمن بالید الیمنیٰ و الأیسر بالیسری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و أمّا مع تعذّر البعض أو بلا حائل فالأحوط الجمع بین الضرب و المسح ببعض الباطن أو الباطن مع الحائل و بینهما بالظاهر، و الانتقال إلی الذراع مکان الظاهر فی الدوران بینهما لا یخلو من وجه، و الأحوط الجمع بینهما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ینبغی ترک الاحتیاط بالجمع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یعدّ حائلًا عرفاً، لا مثل الشعرة و الشعرتین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 الأحوط أن یضرب ضربة و یمسح بها وجهه و کفّیه، و یضرب اخریٰ و یمسح بها کفّیه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له ذراع، و إلّا فتیمّم بها و بالموجودة، و الأحوط مسح تمام الجبهة و الجبینین بالموجودة بعد المسح بهما علی المتعارف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الکلام فی الفرع الآتی، فمقطوع الیدین لو کان له الذراع تیمّم بها و هو مقدّم علیٰ مسح الجبهة علی الأرض و علی الاستنابة، بل الأحوط تنزیل الذراعین منزلة الکفّین فی المسح علیٰ ظهرهما أیضاً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وجوبه لا یخلو من قوّة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 الاحتیاط مع رجاء ارتفاع العذر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 رجاء زوال العذر لا ینبغی ترک الاحتیاط کالسابقة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لا یمکن صرفه إلّا فی أحدهما خاصّةً، و إلّا فما یکفی للغسل یکفی للوضوء</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بل لا یخلو من وجه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فلا تترک الاحتیاطات الآتیة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تمکّن من استعماله شرعاً و عقلًا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یمکن صرفه فی الوضوء، و أمّا مع إمکان صرفه فی کلّ منهما لا کلیهما فالأحوط صرفه فی الغسل و التیمّم بدل الوضوء و إن کان بقاؤه لا یخلو من وجه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الأقوائیّة ممنوعة، خصوصاً بالنسبة إلیٰ ما هو بدل الغسل، بل عدم الاعتناء مطلقاً وجیه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إلّا فیما لیس له لحم کالذباب و البقّ و أشباههما، و إن کانت الطهارة لا تخلو من وجه خصوصاً فی الخرء</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نجاسة الخرء و البول من الطیر الغیر المأکول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إحراز عدم المأکولیّة محلّ إشکال کما مرّ، و لذا یشکل فی خرء الحیّة و إن کانت الطهارة لا تخلو من وجه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 الحیوان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الأقوائیّة تأمّل، و لکن لا یترک الاحتیاط</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أحرز أنّها ممّا تحلّه الحیاة فالأقویٰ نجاستها إذا انفصلت من الحیّ أو المیّت قبل بلوغها و استقلالها و زوال الحیاة عنها حال حیاة الظبی، و مع بلوغها حدّا لا بدّ من لفظها فالأقویٰ طهارتها کانت مبانة من الحیّ أو المیّت، کما أنّه مع الشکّ فی کونها ممّا تحلّها الحیاة محکومة بالطهارة، و مع العلم به و الشکّ فی بلوغها ذلک الحدّ محکومة بالنجاسة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ذکرنا یتّضح حال المسک إذا سرت رطوبة الفأرة إلیه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الاقتصار فی الحکم بالطهارة فی هذه الصورة علیٰ ما عمل المسلم معه معاملة المذکی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فیهما و إن کانت الطهارة فی العلقة فی البیضة لا تخلو من رجحان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طهارته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الحیوان المأکول، و أمّا من غیره فالأحوط الاجتناب عنه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خلافه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 بانخراق الجلد و نحوه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حرمته أیضاً، و لکن لا ینبغی ترک الاحتیاط فیه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صارا مسکراً و کذا التمری، کما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الغلیان بنفسه موجب للسکر، و مع الشکّ فیه یحکم بالطهارة فی الجمیع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جواز الأکل مطلقاً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یرجع جحوده إلیٰ إنکار الرسالة، و لکن نجاسة الخوارج و النواصب لا تتوقّف علیٰ ذلک، بل الطائفتان نجستان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الغالی فإن کان غلوّه مستلزماً لإنکار الأُلوهیّة أو التوحید أو النبوّة فهو کافر، و إلّا فلا یوجب شیئاً منهما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طهارة عرق ما عدا الإبل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الأقوائیّة فی بعضها ممنوعة لو لم یلزم الهتک، لکن لا یترک الاحتیاط فیها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لکنّه أحوط</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الإلحاق مع عدم أمارة علی المسجدیة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إمکان طرح الثوب النجس و الصلاة عریاناً یصلّی کذلک علی الأقویٰ، و کذا فی الفرع الآتی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ضاق الوقت أو لم یحتمل احتمالًا عقلائیاً زوال العذر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الإتیان بها عاریاً، و کذا مع الضیق و لا یجب القضاء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أن یصلّی عاریاً و یقضی خارج الوقت فی ثوب طاهر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إذا لم ترد شهادتهما علیٰ موضوع واحد إشکال، و لا یترک الاحتیاط فیما إذا کانت شهادتهما بنحو الإجمال حتّی لدیهما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 لأنّ فی اعتبار قول المولی بالنسبة إلیٰ نجاسة بدن عبده أو جاریته و لباسهما الذی تحت یدیهما إشکالًا، بل عدم اعتباره لا یخلو من قوّة، خصوصاً إذا أخبرا بالطهارة فإنّ الأقوی اعتبار قولهما لا قوله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إخباره بالطهارة مستنداً إلی الأصل، و کذا فی الفرعین الآتیین، فلو أخبرت البیّنة بالطهارة مستندة إلی الأصل لا تعارض البیّنة القائمة بالنجاسة المستندة إلی الوجدان و کذا العکس، و لا تقدّم البیّنة المستندة إلی الأصل علیٰ قول ذی الید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اعتباره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یراعی الاحتیاط فی الممیّز مطلقاً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قلّة الواسطة کالاثنتین و الثلاثة، و فیما زادت علی الأحوط و إن کان الأقرب مع کثرتها عدم التنجیس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إجراؤها، فیغسل الملاقی لملاقی البول مرّتین، و کذا الإناء الملاقی للإناء الذی ولغ فیه الکلب خصوصاً إذا صبّ ماء الولوغ فیه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عدم لزومه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ممّا لا مشقّة فی تطهیره أو تبدیله علی النوع فالأحوط إزالته أو تبدیل ثوبه، إلّا أن یکون حرجاً علیه فلا یجب بمقدار الخروج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فالمیزان فی العفو أحد الأمرین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یکون فی التطهیر و التبدیل مشقّة علی النوع فلا یجب مطلقاً، أو یکونا حرجیّا علیه مع عدم المشقّة النوعیّة فلا یجب بمقدار التخلّص عنه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دم البواسیر منها و کذا کلّ قرح و جرح باطنی خرج دمهما إلی الظاهر لا یخلو من قوّة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کانت سعته غیر معلومة یقتصر علی القدر المتیقّن و هو سعة عقد السبّابة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فیه و فیما بعده، و إن کان العفو عمّا بعده لا یخلو من وجه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العفو عن شبه النضح مطلقاً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 لکن لا ینبغی ترک الاحتیاط فی الغلیظ</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إشکال و إن لا یخلو من وجه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العفو عنه إلّا إذا کان مسبوقاً بالأکثر من مقدار العفو و شکّ فی صیرورته بمقداره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الجواز من رجحان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تغسل کلّ یوم لأوّل صلاة ابتلت بنجاسة الثوب فتصلّی معه الصلاة بطهر ثمّ صلّت فیه بقیّة الصلوات من غیر لزوم التطهیر، بل لا یخلو من وجه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اعتبار التعفیر فی الولوغ</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 بمثل العصر أو ما یقوم مقامه من الفرک و الغمز و نحوهما فیما یقبله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الإناء المتنجّس بالولوغ إشکال، فالأحوط تطهیره بهما کتطهیره بالقلیل، و کذا فی شرب الخنزیر و موت الجرذ بل فی مطلق الإناء المتنجّس</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المتنجّس بالبول التعدّد فی الکرّ کالقلیل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یکفی نفوذ الرطوبة فیها بل لا بدّ من نفوذ الماء المطلق بحیث یصدق أنّه غسل به، و تحقّق ذلک فی غایة الإشکال فی غالبها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بعید و الأقوی بقاء نجاسة البواطن إلّا بما تقدّم، و مع الشکّ فی النفوذ أو تحقّق الغسل یحکم ببقاء النجاسة، نعم مع القطع بهما و الشکّ فی بقاء الإطلاق یحکم بالطهارة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التعفیر به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ضعیف جدّاً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قوّته تأمّل، لکن لا یترک الاحتیاط، و کذا لا یترک فی مباشرة لعابه من غیر ولوغ و لا یلحق به مباشرته بباقی أعضائه علی الأقویٰ و الاحتیاط حسن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یتّضح وجه معتدّ به للاحتیاط بثلاث غسلات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الاکتفاء به تأمّل إذا لم یصدق الغسل بالتراب و التعفیر به، نعم لو وضع خرقة علیٰ رأس عود و أدخل فیه و حرّکها عنیفاً لیحصل التعفیر کفیٰ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کما مرّ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الأقویٰ عدم سقوط التعفیر فیه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یفعل ذلک ثلاثاً علی الأحوط کما مرّ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یعتبر علی الأحوط</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 أمثالهما، و أمّا تطهیر بواطنها بالقلیل فلا یمکن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مع بقاء إطلاقه و إخراج الغسالة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 عدم منعه وصول الماء إلی الثوب، و فی الاکتفاء بالاحتمال إشکال، بل فی الحکم بطهارته أیضاً لا بدّ من العلم بانغساله و لا یکفی الاحتمال علی الأحوط</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مراعاة شرائط التطهیر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أحوطه ذلک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المحتاج إلیها فی البناء المستدخلة فیه، لا مطلق ما فی الجدار علی الأحوط</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 الأشجار و ما بعدها من الإشکال حتّی الأوانی المثبتة و کذا السفینة و الطرّادة و إن لا یخلو من قوّة، و لا ینبغی ترک الاحتیاط بل لا یترک فی الأخیرة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تطهیرهما بها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جفّ باطنه بسبب إشراقها علی الظاهر و یکون باطنه المتنجّس متّصلًا بظاهره المتنجّس علی الأحوط، فلو کان الباطن فقط نجساً أو کان بین الظاهر و الباطن فصلًا بالجزء الطاهر بقی الباطن علیٰ نجاسته علی الأحوط، بل لا یخلو من قوّة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تعدّ جزء منها عرفاً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 مثله، و التفصیل بین المسامیر و الأوتاد المستدخلة فی البناء و غیرها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رماداً أو دخاناً کما صار کذلک بالقوّة البرقیّة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الحکم بالنجاسة و توقّف زوالها علی الانقلاب خلّا موقوف علیٰ إحراز أنّه مع الغلیان بنفسه یصیر مسکراً، و مع الشکّ محکوم بالطهارة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التبعیّة لا یخلو من قوّة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الخرقة الملفوفة بها حین غسله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عدم اعتباره، بل یعامل معه معاملة الطهارة إلّا مع العلم ببقاء النجاسة؛ کان عالماً بها أم لا، معتقداً لنجاسة ما أصابه أم لا، و الاحتیاط حسن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 الإبل بما ذکر، و فی البقر عشرون یوماً، و فی الغنم بما ذکر، و فی البطّة خمسة أیّام، و فی الدجاجة بما ذکر، بل لا یخلو کلّ ذلک من قوّة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المحرّم الأکل و الشرب فیها أو منها؛ لا تناول المأکول و المشروب منها و لا نفس المأکول و المشروب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الأکل و الشرب، و أمّا فی غیرهما فالمحرّم استعمالها، فإذا اغترف منها للوضوء یکون الاغتراف محرّماً لا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التناول الذی هو مقدّمة للأکل و الشرب أیضاً محرّم من باب حرمة مطلق الاستعمال حتّی یکون فی الأکل و الشرب محرّمان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الأکل و الشرب، و الاستعمال بالتناول؟ فیه تأمّل و إشکال، و إن کان عدم حرمة الثانی لا یخلو من قوّة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عدم الحرمة لا یخلو من قرب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حرمته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المأمور؛ باستعمال الآنیة، و الآمر؛ بالأمر بالمنکر بناءً علیٰ حرمته کما لا تبعد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أدرج قضاء ولد الأکبر عن والده فی الیومیّة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وقتهما بعد مقدار إتیان صلاة اللیل من انتصافها، و لکن الأحوط عدم الإتیان بهما قبل الفجر الأوّل إلّا بالدسّ فی صلاة اللیل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ضیق الوقت، و فی غیره یأتی به رجاءً</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أفضل منه التفریق، کما کان یصنعه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الإتیان بها رجاءً</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بین صلاة المغرب و سقوط الشفق الغربیّ علی الأقویٰ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الجواز لا یخلو من قوّة، و مع العلم بعدم التمکّن من إتیانهما فی وقتهما فالأحوط الإتیان بهما رجاءً</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 بالإتیان بعده بقصد ما فی الذمّة و کذا فی العامد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مبدؤها بعد مقدار أداء الظهر و إن کان ما ذکره أظهر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الحمرة المغربیّة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حدوثها یساوق مع زمان التجلّل و الإسفار و تنوّر الصبح المنصوص بها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لو وقع تمامها فی وقت الظهر تصحّ علی الأقویٰ، کما لو اعتقد أنّه صلّی الظهر فصلّی العصر ثمّ تبیّن عدم الإتیان بالظهر و أنّ تمام العصر وقع فی الوقت المختصّ بالظهر، لکن لا یترک الاحتیاط فی أمثاله ممّا لم یدرک جزء من الوقت المشترک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 بالإتمام ثمّ الإتیان بالمغرب ثمّ العشاء، بل بطلانها لا یخلو من قوّة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کونها أداءً و إن کان الأحوط عدم نیّة الأداء و القضاء</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الأذان ظنّاً معتبراً علی الأحوط</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تحصیل المقدّمات کالطهارة المائیّة أو الترابیّة و غیرهما علیٰ حسب حاله، فإن کانت المقدّمات حاصلة أوّل الوقت کفیٰ مقدار أداء الصلاة حسب حاله و تکلیفه الفعلی، و إذا ارتفع العذر فی آخر الوقت فإن وسع الطهارة و الصلاتین وجبتا أو الطهارة و صلاة واحدة وجبت صاحبة الوقت، و کذا الحال فی إدراک رکعة مع الطهور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شهادتهما عن حسّ، کالشهادة بزیادة الظلّ بعد نقصه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تقوم مقامه البیّنة علی الأقویٰ مع استنادها إلی المبادئ الحسّیة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الجهة العرفیة محرزة بأن یکون التوجّه إلیها توجّهاً إلی القبلة عرفاً فهو داخل فی العلم بالقبلة، و إن کان المراد بالجهة العرفیة ما هی أوسع من ذلک کأن تکون محرزة فی نصف الدائرة أی لا تکون القبلة خارجة عنه فیدخل فی الصورة الآتیة من سقوط اعتبار سائر المحتملات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الأقویٰ جواز إتیان الثانیة عقیب الاولیٰ فی کلّ جهة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انکشف فی الأثناء انحرافه عمّا بین الیمین و الشمال فإن وسع الوقت حتّی لإدراک رکعة قطع الصلاة و أعادها مستقبلًا، و إلّا استقام للباقی و تصحّ صلاته علی الأقویٰ و لو مع الاستدبار، و الأحوط قضاؤها أیضاً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کالرکعة الاحتیاطیّة، و قضاء الأجزاء المنسیّة علی الأقویٰ، و سجدتی السهو علی الأحوط</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الستر فیه علیٰ نحو ما وجب فی الصلاة محلّ إشکال، و لکن لا یترک الاحتیاط</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یتوقَّع وجود ناظر تحتها، و أمّا الشبّاک علیٰ مثل البئر فلا یجب علی الأقویٰ إلّا مع وجود ناظر فیه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بعیدة، فالأقویٰ لمن لا یجد شیئاً یصلّی فیه حتّی مثل الحشیش و الورق إتیان صلاة فاقد الساتر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 الاحتیاط فی ترک الصلاة فی الأوّلین مع الاختیار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هو الغاصب فلا یخلو من إشکال، فلا یترک الاحتیاط بالإعادة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جریانه فی المصبوغ إذا لم یبق فی الثوب إلّا اللون، و أمّا مع بقاء الجوهر الذی صبغ به فالأقویٰ جریان حکمه علیه، کما أنّ الأقویٰ جریانه فی المخیط و إن لم یمکن ردّ الخیط بالفتق، فضلًا عمّا یمکن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الأحوط فی هذه الصورة الاقتصار علیٰ ما عمل المسلم معه معاملة المذکی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 و لکن لا ینبغی ترک الاحتیاط فیه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التغطّی به عند النوم، لا التلبّس به فوق الشعار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عدم لزومه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لا یبعد الصحّة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أنّه إذا لم یجد ساتراً حتّی الحشیش یصلّی عریاناً قائماً إن کان یأمن من ناظر محترم و إن لم یأمن صلّیٰ جالساً، و فی الحالین یومئ للرکوع و السجود و یجعل إیماءه للسجود أخفض، و إذا صلّیٰ قائماً یستر قبله بیده و إذا صلّیٰ جالساً یستره بفخذیه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الوجوب لا یخلو من قوّة، لکن لا ینبغی ترک الاحتیاط</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بأقوی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فیما إذا کان الناسی هو الغاصب، فلا یترک الاحتیاط بالإعادة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هو بطلانها فیها، و کذا لا یجوز التصرّف مطلقاً فی ترکته إذا کانت متعلّقة للزکاة و الخمس</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استرضاء ولیّ المیّت أیضاً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الجواز فی الأراضی المتّسعة جدّاً، کالصحاری التی من مرافق القری و توابعها العرفیة و مراتع دوابّها و مواشیها حتّی مع ظهور الکراهة و المنع، و أمّا الأراضی التی لم تکن بتلک المثابة من الاتّساع کالمزارع، فیجوز التصرّف مع الجهل بالحال، و أمّا مع ظهور الکراهة فیشکل ذلک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بالتساوی، و التقدّم سوء الأدب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المعفوّ عنها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هو الجواز</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جمیع أصنافه إلّا ما هو مصنوع و لا یعلم أنّ مادّته ممّا یصحّ السجود علیها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إشکال، ففی مثل قشر التفّاح و الخیار ممّا هو مأکول و لو بالتبع أو یؤکل أحیاناً أو یأکله بعض الأشخاص لا یجوز علی الأقویٰ، و یلحق به قشور الحبوب ممّا هی مأکولة معها تبعاً علی الأحوط، نعم لا بأس بقشر نوی الأثمار إذا انفصل عن اللبّ المأکول و مع عدم مأکولیة لبّه و لو بالعلاج لا بأس بالسجود علیه مطلقاً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جواز السجود علیه مطلقاً، لکن لا ینبغی ترک الاحتیاط</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الإیماء للسجود قائماً، و کذا إتیان التشهّد قائماً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فقدان ثوب من القطن و الکتّان یسجد علیٰ ثوبه من غیر جنسهما، و مع فقده یسجد علیٰ ظهر کفّه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الترتیب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الروایة هی أنّه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بنیٰ مسجداً فی الدنیا أعطاه اللّٰه بکلّ شبر منه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بکلّ ذراع منه مسیرة أربعین ألف عام مدینة من ذهب و فضّة و درّ و یاقوت و زمرّد و زبرجد و لؤلؤ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الکراهة فی بعض تلک الموارد محلّ نظر و الأمر سهل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استحبابها، لکن فی ترکها بل فی ترک الأذان حرمان عن ثواب جزیل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الأقوائیّة فی غیر عصر یوم عرفة و عشاء لیلة العید بمزدلفة ممنوعة، لکن لا یبعد عدم الاختصاص بالمسجد، بل لا یبعد أن یکون السقوط لمرید هذه الجماعة لأجل بقاء حکم الداخل فیها من الاکتفاء بأذانهم و إقامتهم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 مطلق الجمع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التفصیل فی بعضها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أعلیٰ منه مراتب أُخر تشیر إلیٰ بعضها ما وردت فی کیفیّة صلاة المعراج</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کونه مبطلًا فیها، و کذا فی الأوصاف المتّحدة معها خارجاً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 جمیع موارد اشتراک الداعی حتّی مع تبعیّة داعی الضمیمة، فضلًا عن کونهما مستقلّین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التعیّن بالتعیین، و لا یحتاج إلی العدول، بل القصر یحصل بالتسلیم بعد الرکعتین، کما أنّ الإتمام یحصل بضمّ الرکعتین إلیهما خارجاً من غیر دخل للقصد فیهما، فلا یبعد أن یکون العلاج مجدیاً؛ عدل أم لم یعدل، و لا یبعد أن یتعیّن العمل بحکم الشکّ، و لا ینبغی ترک الاحتیاط بما ذکر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الالتفات إلیٰ منافاته للصلاة، و إلّا فالأقویٰ عدم البطلان مع الإتمام أو الإتیان ببعض الأجزاء فی هذا الحال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الوقت المختصّ بالعصر، و کذا إذا شکّ فی إتیان الظهر علی الأقویٰ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فی الوقت المختصّ إن علم أنّه لم یأتِ بالظهر رفع الید عنها و استأنف العصر إن أدرک رکعة من الوقت و قضی الظهر بعده، و إن لم یدرک رفع الید عنها و قضی الصلاتین، و الأحوط الذی لا یترک إتمامها عصراً مع إدراک بعض الرکعة ثمّ قضاؤهما، و إن لم یدر إتیان الظهر فلا یبعد جواز عدم اعتنائه بشکّه، لکن الأحوط قضاؤه أیضاً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فیما إذا تجاوز محلّ العدول الإتمام ثمّ الإتیان بالمغرب و العشاء مرتّباً، و کذا فی الفرع الآتی و إن کان ما فی المتن لا یخلو من قوّة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 الصلوات القضائیّة علی الأحوط، لو لم یکن الأقویٰ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استحباب العدول إذا خاف فوت وقت فضیلة ما بیده تأمّل، بل عدمه لا یخلو من قوّة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القول بصحّة المعدول عنه إذا تذکّر قبل الدخول فی رکن، فعلیه الإتیان بما أتی بغیر عنوانه بعنوانه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ترک الاستقرار سهواً أتی بالمنافی احتیاطاً، ثمّ کبّر مستقرّاً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قائم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عدم التفریج الغیر المتعارف و إن صدق علیه القیام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الوقوف علیهما علی الأقویٰ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بعض مراتبهما المیسورة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یکون السقوط علیٰ وجه العزیمة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ضعیف</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جواز الاکتفاء بالإیماء و الاجتزاء بهذه السورة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المنافقین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 غیر العامد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ینبغی ترک الاحتیاط بالإخفات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ترک مثله؛ خصوصاً فی المقارب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بل لا تبعد أرجحیّة الأوّل، کما أنّه لا تبعد أرجحیّة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الفاء مع الواو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الأفضل للإمام القراءة و للمأموم التسبیح و هما للمنفرد سواء</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إن لم یتحقّق القصد منه و لو ارتکازاً إلیٰ عنوان القراءة، و إلّا فالأقویٰ هو الصحّة، و کذا فی الفرع الآتی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اختیار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الرکعة الاولیٰ من العشاءین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الثانیة منهما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بتفصیل یأتی فی محلّه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الاکتفاء به لا یخلو من شوب إشکال، لکن تکفی الکیفیّتان المذکورتان، و الأحوط الثانیة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و مع عدم تمکّنه من الإیماء یجعل غمض العینین رکوعاً و فتحهما رفعاً علی الأحوط، و أحوط منه أن ینوی الرکوع بالانحناء مع الإیماء و غمض العین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وجه آخر هو السجود بلا انتصاب و هو الأقویٰ من بین الوجوه، إذا عرض النسیان بعد وقوفه فی حدّ الرکوع آناً ما، و إلّا فلا یترک الاحتیاط برفع الرأس ثمّ الهویّ إلی السجود و إتمام الصلاة و إعادتها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الاجتزاء بمطلق الذکر، و الأحوط کونه بمقدار الثلاث من الصغریٰ أو الکبری الواحدة، کما أنّ الأحوط مع اختیار التسبیح هو اختیار الثلاث من الصغریٰ أو الکبری الواحدة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هو البطلان مطلقاً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بأنقص منه، حتّی مثل رأس الأنملة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المطبوخة علی الأقویٰ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حاله، فلا بأس بتغییر المحلّ فیما عدا الجبهة بین الذکر الواجب حال عدم اشتغاله به، فلو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رفع یده و وضع، و أتی بالبقیّة لا یضرّ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ملاحظة الرکبتین و الإبهامین حین السجدة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الأولیٰ، بل الأحوط</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عمد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المفروض عدم إمکان الجرّ إلیٰ ما یصحّ السجود علیه فلا وجه لإعادة الذکر، بل الأحوط إتمام الصلاة و الإعادة و إن فرض إمکانه فالواجب جرّه إلیه و إعادة الذکر و لا یلزم إعادة الصلاة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تحصیل هیئة السجود بوضع بعض الوجه علی الأرض أو مقدّم الرأس، و مع تعذّره تحصیل ما هو الأقرب إلیٰ هیئته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تحقّقه بمجرد الوضع و أن یکون العود القهری عوداً إلی السجدة الأُولیٰ عرفاً، فیجب الإتیان بالذکر الواجب، و حینئذٍ مع القدرة علیٰ إمساکها یحسب هذا الوضع سجدة مطلقاً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بترکه إذا لم یمکنه تحصیل بعض المراتب المیسورة من السجود، و مع إمکانه یجب وضع ما یتمکّن من المساجد فی محلّه علی الأقویٰ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بعدهما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القوّة إشکال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ینبغی ترک الاحتیاط</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التکرّر مع التعاقب لا یخلو من قوّة و لو لم یتخلّل السجود، و مع عدم التعاقب لا یبعد عدمه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بترکه، و لعلّ الاحتیاط فی قراءة النائم أشدّ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الأقویٰ عدم لزوم وضع ما عدا الجبهة، و عدم اعتبار ما یصحّ السجود علیه، و الأحوط ترکه علی المأکول و الملبوس، بل عدم الجواز لا یخلو من وجه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تعیّن هذه الصورة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قصد التوظیف و الخصوصیّة فی التشهّد الثانی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کراهته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کون الثانیة جزء واجباً علیٰ تقدیر عدم الإتیان بالأُولیٰ و مستحبّاً لو أتی بها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الأقوی استحبابه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الاجتزاء به کما مرّ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لو قدّم غیر رکن علیٰ رکن، کما لو قدّم التشهّد علی السجدتین فلا بأس، لکن مع إمکان التدارک یعود إلیٰ ما یحصل به الترتیب و تصحّ صلاته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فیه و فی الإبطال مع العمد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إذا لزم من تحصیل الموالاة زیادة مبطلة علی الأقویٰ، و فی غیره علی الأحوط</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استحبابه فیها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 لا یبعد التخییر بین تقدیم التسبیح علی التحمید و تأخیره عنه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الأقویٰ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یسیراً، و أما إذا کان فاحشاً بحیث یجعل صفحة وجهه مقابلًا لیمین القبلة أو شمالها فالأقویٰ کونه مبطلًا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استعمل اللفظ المهمل المرکّب من حرفین فی معنیً کنوعه و صنفه یکون مبطلًا علی الأقویٰ، و مع عدمه کذلک علی الأحوط، و کذا الحرف الواحد المستعمل فی المعنیٰ کقوله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رمزاً إلیٰ أوّل بعض الأسماء بقصد إفهامه کما هو المتعارف بل لا یخلو إبطاله من قوّة، فالحرف المفهم مطلقاً و إن لم یکن موضوعاً إذا کان بقصد الحکایة لا تخلو مبطلیّته من قوّة، کما أنّ اللفظ الموضوع إذا تلفّظ به لا بقصد الحکایة و کان حرفاً واحداً لا یبطل علی الأقویٰ، و إن کان حرفین فصاعداً فالأحوط مبطلیّته ما لم یصل إلیٰ حدّ محو اسم الصلاة و إلّا فهی الأقویٰ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إبطال مطلق مخاطبة غیر اللّٰه تعالیٰ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المماثلة فی تقدیم السلام علی الظرف واجبة، لا فی غیره و إن کان الأحوط مراعاة ما ذکر، و لو قدّم المسلّم الظرف علی السلام قدّم المجیب السلام علی الظرف علی الأقویٰ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یخرج عن صدق سلام التحیّة، و إلّا فلا یجوز فی الصلاة ردّه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عدم قصده، بل عدم جوازه قویّ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المسلّم بعیداً لا یمکن إسماعه الجواب لا یجب جوابه علی الظاهر، فلا یجوز ردّه فی الصلاة، و إذا کان بعیداً بحیث یحتاج إسماعه إلیٰ رفع الصوت یجب رفعه إلّا إذا کان حرجیّا، فلا یجب الردّ فإذا کان فی الصلاة ففی وجوب رفعه و إسماعه تردّد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یجب فی غیر حال الصلاة فضلًا عن حالها للشکّ فی الموضوع و عدم جریان الأصل الموضوعی بنحو التعلیق</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ضعیف الوجه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عدم وجوبه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هی الضحک المشتمل علی الصوت و الترجیع، و المشتمل علی الصوت ملحق به حکماً علی الأحوط</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یبطلها إلّا مع محو صورة الصلاة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إبطاله لا یخلو من قوّة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تلک الأمثلة مناقشة، و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 الاسم عند المتشرعة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لزم من تحصیل الموالاة زیادة مبطلة، و إلّا فعلی الأحوط</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الاجتناب عنه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الالتفات مع إتیانها حال المشی، و فی غیرها الأحوط الإبطال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الأحوط الاقتصار علیها، و أحوط منه الاقتصار علیٰ ما إذا حدث العطش بین الاشتغال بالوتر، بل الأقویٰ عدم استثناء من کان عطشاناً فدخل فی الوتر لیشرب بین الدعاء قبیل الفجر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الرکن مطلقاً، و فی غیره عمداً، و کذا فی النقصان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یحدث منه حرفان، و إلّا فالأحوط الاجتناب عنه، و کذا الحال فی التأوّه و الأنین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الأقویٰ جوازه فیها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سریع الزوال، کمرور بعض الأحجار الجوّیة عن مقابلهما بحیث ینطمس نورهما عن البصر لکن زال بسرعة، فإنّه لا اعتبار به أیضاً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القضاء علیهما فی الموقّت، و عدم لزوم أداء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الحیض و النفاس المستوعبین، و أمّا غیره ففیه تفصیل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وجوبها لا یخلو من قوّة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ینبغی ترک الاحتیاط برکوع الخامسة عن آخر السورة و افتتاح السورة فی الثانیة بعد الحمد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به رجاءً</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بتفصیل یأتی فی محلّه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إذا تذکّر فی الأثناء، فإنّه لا ینبغی ترک الاحتیاط فیه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بقصد الاحتیاط و الرجاء فی نسیان الطمأنینة، و کذا فی نسیانها فی الانتصاب من السجود فی الفرع الآتی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إذا کان وضع أحد المساجد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سجدتی السهو احتیاطاً فیه و فی نسیان التشهّد، و إن کان الأقویٰ فوت محلّ التدارک فیهما بعد السلام مطلقاً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یتلبّس بتکبیرة علیٰ فرض الإتیان به، و قبل الهویّ علیٰ فرض عدمه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بعد الشروع فی تکبیره، و الأقوی فی هذه الصورة هو الاکتفاء بالقراءة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 الفرعین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جواز الاکتفاء بالتشهّد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هذه الصورة قضاء الظهر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قضاء الظهر و کذا المغرب فی الفرع الآتی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یجب علی الأقویٰ، نعم یجب التدارک فی الشکّ فی السجود فی حال الأخذ بالقیام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الأقویٰ جریان الحکم فی مطلق ما ذکر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مجرّد کونه فی هیئته لا یکفی، نعم إذا اشتغل بفعل مترتّب علی التکبیرة و لو کان مثل الإنصات المستحبّ فی الجماعة و نحوه کفیٰ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هو الإعادة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صور الهدم یثبت عمل الشکّ؛ لکونه مندرجاً فی الموضوع حال القیام، فیجب الهدم للعمل بالشکّ لا أنّه یهدمه لانقلاب شکّه، ففی الشکّ بین الأربع و الخمس حال القیام یصدق علیه أنّه لم یدر ثلاثاً صلّیٰ أو أربعاً، فیجب علیه التسلیم و الانصراف و صلاة رکعتین جالساً أو رکعة قائماً، فلا بدّ له من هدم القیام مقدّمة للتسلیم، و کذا الحال فی سائر الصور الآتیة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مرّة وجوباً للشکّ بین الأربع و الخمس، و مرّة احتیاطاً لزیادة القیام، و إن کان عدم وجوبها لزیادته لا یخلو من قوّة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لعدم إحراز الرکعتین الأُولیین اللتین لا یقع فیهما الوهم حال القیام، فلا یجب الهدم بل تبطل حال حدوث الشکّ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 بالبناء و الإعادة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هو البطلان فیه و فی الفرع الآتی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شوب إشکال، فلا یترک الاحتیاط الآتی فی الفرعین، نعم لو حدث شکّه بعد الإتیان بالرکعة المفصولة لا یعتنی به و بنیٰ علی الصحّة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هذه الصورة أیضاً العمل بموجب الشکوک، ثمّ الإعادة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لزوم رکعة متّصلة فی الفرع الأوّل و لزوم عمل الشکّ الثانی فی الفرع الثانی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تعیّن الجلوسیّة التی تکون إحدیٰ طرفی التخییر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الصحّة فی غیر الشکّ فی الأُولیین، و الأحوط فی الشکّ فیهما الإعادة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أنّ العلاج یجدیه من غیر حاجة إلی العدول، و أنّه لا یبعد تعیّن العمل بحکم الشکّ و أنّه لا ینبغی ترک الاحتیاط بالعمل بحکمه و إعادة الصلاة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فیه و فی الفرع الآتی وجوب المضیّ و قضاؤه بعد الصلاة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الشبهة من جهة الأُمور الخارجیّة، و أمّا فی الشبهة المفهومیّة فیعمل عمل الشکّ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الإتیان و لو بقصد القربة من جهة مراعاة الواقع رجاءً، فالأحوط ترکه، بل لا یخلو عدم الجواز من قوّة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جریانه لا یخلو من وجه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یعمل الظانّ علیٰ طبق ظنّه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الرجوع فی هذه الصورة و العمل بشکّه هو الأقویٰ</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تذکّر بعد الصلاة یأتی به رجاءً</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اعتباره فی الرکعات مطلقاً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 العلاج بالاحتیاط لا یترک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النقص أحد طرفی شکّه کالفرض المذکور، و أمّا مجرّد موافقة الاحتیاط للنقص فی المقدار ففی جبره إشکال، کما لو شکّ بین الاثنین و الأربع و بنیٰ علی الأربع و أتی بصلاة الاحتیاط رکعة اشتباهاً فتبیّن النقص برکعة، فالأحوط فی مثله الإعادة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إتیان رکعة أو رکعتین متّصلة و فی الفرع الآتی بعد الإتیان برکعة متّصلة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الاکتفاء بما جعل الشارع جبراً و لو کان مخالفاً فی الکمّ و الکیف، فمن شکّ بین الثلاث و الأربع و بنیٰ علی الأربع و شرع فی الرکعتین جالساً فتبیّن کون صلاته ثلاث رکعات أتمّهما و اکتفیٰ بهما، لکن لا ینبغی ترک الاحتیاط مطلقاً بالإعادة، خصوصاً فی صورة المخالفة، و أمّا فی غیر صورة ما جعله جبراً کما لو شکّ بین الثلاث و الأربع و اشتغل بصلاة رکعتین جالساً فتبیّن کونها ثنتین، فالأحوط قطعها و جبر الصلاة برکعتین موصولتین ثمّ إعادتها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یخلّ بالفوریة، و إلّا فلا یبعد وجوب العدول إلیٰ أصل الصلاة إن کانت مرتّبة، و الأحوط إعادتها بعد ذلک أیضاً، و مع عدم الترتّب یرفع الید عنها و یعید أصل الصلاة، و الأحوط الإتیان بصلاة الاحتیاط ثمّ الإعادة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 أمّا أبعاضه حتّی الصلاة علی النبیّ و آله فلا یجب قضاؤها علی الأقویٰ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وجوب الإعادة، بل یأتی بهما، لکن لا ینبغی ترک الاحتیاط فی الترک العمدی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الأحوط إتیان سجدة السهو فیه و فی الفرع الآتی، لکن الأقویٰ کونها قضاءً و وقوع التشهّد و السلام فی محلّهما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الأقویٰ عدم وجوبه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قطعها إشکال، خصوصاً إذا کان المسهوّ التشهّد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تقدیم العصر لا یخلو من قوّة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فیه و فی نسیان التشهّد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وجوبه لا یخلو من قوّة، لکن لا ینبغی ترک الاحتیاط</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بل وجوب تقدیمها لا یخلو من رجحان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 شی‌ء ممّا لا یتوقّف مسمّی السجود علیه لا یخلو من قوّة، نعم لا یترک الاحتیاط فی ترک السجود علی الملبوس و المأکول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 إن کان عدم الوجوب سیّما المخصوص منه لا یخلو من قوّة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 الجمعة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فیقضی علی الأحوط</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الطهارة و لو کانت ترابیّة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سقوط الأداء عنه و لا ینبغی ترک الاحتیاط</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سویٰ بعض صور صلاة الآیات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الأحوط فی المنذورة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ینبغی ترک الاحتیاط بالجمع</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تتأکّد کراهة ترکه إذا شغله عنها جمع الدنیا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بقدر طوله، و أدنی ذلک ما ذکر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وجوبه مطلقاً مع العلم بالترتیب، و أمّا مع الجهل فالأحوط ذلک و إن کان عدمه لا یخلو من قوّة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یأتی بأربع مردّدة بین العصر و العشاء، و لا یجوز الاکتفاء بالعشاء؛ لاحتمال أن یکون المتروک الظهر و العصر، و له أن یأتی بأربع مردّدة بین الظهر و العصر و العشاء و أربع مردّدة بین العصر و العشاء، و إذا علم أنّه فی السفر أتی برکعتین مردّدتین بین الأربع و بمغرب و رکعتین مردّدتین بین الثلاث ما عدا الاولیٰ، و له أن یأتی برکعتین مردّدتین بین الصبح و الظهر و العصر و رکعتین مردّدتین بین الظهرین و العشاء، و لا یجوز الاکتفاء بما فی المتن؛ لاحتمال أن یکون المتروک الصبح و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یعلم أنّه کان مسافراً أو حاضراً أتی برکعتین مردّدتین بین الأربع و بمغرب و رکعتین مردّدتین بین الثلاث ما عدا الاولیٰ و أربع مردّدة بین الظهرین و العشاء و أربع مردّدة بین العصر و العشاء، و لا یجوز الاکتفاء بما فی المتن؛ لاحتمال أن یکون المتروک هو الصبح و الظهر فی السفر أو العصر و العشاء فی 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علم أنّ علیه ثلاثاً من الخمس یأتی بالخمس إن کان فی الحضر و إن کان فی السفر یأتی برکعتین مردّدتین بین الصبح و الظهرین و رکعتین مردّدتین بین الظهرین و العشاء و بمغرب و رکعتین مردّدتین بین العصر و العشاء، و لا یجوز الاکتفاء بما فی المتن؛ لاحتمال أن یکون المتروک الصبح و الظهر و تتصوّر طرق أُخر للتخلّص، و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العلم بإتیان جمیع المحتملات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بترکه، لکن ینبغی أن یأتی بها مکرّراً حتّی یغلب علیٰ ظنّه الإتیان، و لو کرّرها حتّی حصل العلم بالفراغ مطلقاً فهو أحسن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بظهور أماراته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 مع الرجاء و إن کان له وجه، فالأحوط تأخیره إلی الوجدان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ترکه و کذا ترک العدول منها إلی الفائتة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المرض عذراً یسوّغ ترک الصلاة رأساً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عدم الإلحاق</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الفرق بین العمد و غیره، نعم لا یبعد عدم إلحاق ما ترکه عصیاناً و طغیاناً، و إن کان الأحوط إلحاقه أیضاً، بل لا یترک هذا الاحتیاط</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وجوبه علیه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یعتبر فیه قصد تقرّب المنوب عنه، فإنّ النائب أجیر لإتیان ما فی ذمّة المنوب عنه لتقرّبه لا لتقرّب نفسه، نعم لو قصد فی تحصیل هذا التقرّب للمنوب عنه الإحسان إلیه للّٰه تعالیٰ یحصل له القرب أیضاً کالمتبرّع إذا کان قصده ذلک، و أمّا إعطاء الثواب علی الأجیر کما یظهر من بعض الأخبار فهو لمحض التفضّل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مباشرة الولد ذکراً کان أو أُنثی إذا أوصیٰ إلیه بالمباشرة و لم یکن حرجاً علیه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 إجارة نفسه لعمل یریٰ بحسب اجتهاده أو تقلیده أنّه باطل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وجوبه فی صورة العلم، فلو علم بأنّ المیّت کان عالماً به فالأقویٰ وجوب تحصیل الترتیب و تعیین الوقت لهم، و لو علم بأنّه لم یکن عالماً أو شکّ فیه لا یجب تحصیله و یجوز المقارنة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 فی المتن من أنّ المسلّم مع القول به عدم جواز تقدیم اللاحق لا وجوب تقدیم السابق فلا یضرّ المقارنة ضعیف</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انصراف فی البین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کونها متعارفة عند نوع المکلّفین تأمّل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 اجتماع سائر الشرائط</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إتیانها فرادی فی عصر الغیبة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یأتی به رجاءً</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الأحوط ترک الجماعة فیها، فلا موضوع للخطبة و لا لبعض الفروع المتفرّعة علی الجماعة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فی المحلّ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رجاءً و کذا الحال فی قضاء التشهّد و السجدة المنسیّین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و الأحوط أن یأتی بها رجاءً</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و زیاد القندی ضعیف علی الظاهر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بحیث تکون المحلّات کالقری المتقاربة، و إلّا ففیه الإشکال الآتی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إذا لوحظ من منزله و إن کان القول بأنّ مبدأ الحساب فی مثلها من منزله لیس ببعید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یتمکّن من التقلید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کون الذهاب هو السیر إلی النقطة المقابلة للبلد، فإذا کان إلیها أربعة تحصل المسافة و إن کان شغله فیما قبلها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بالشرط المتقدّم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عدم الوجوب</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العود إلی القصر، خصوصاً إذا کان القطع یسیراً، لکن لا ینبغی ترک الاحتیاط</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لا یعتنی به العقلاء، کاحتمال حدوث مرض أو غیره ممّا یکون مخالفاً للأصل العقلائی، و أمّا مع احتمال عروض عارض یعتنی به فمن قبیل التردّد فی النیّة، و کذا الحال فی احتمال عروض المقتضی لنیّة الإقامة أو المرور بالوطن فی الفرع الآتی</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أنّه لا یبعد العود إلی التقصیر، خصوصاً إذا کان القطع یسیراً، و لا ینبغی ترک الاحتیاط المزبور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إذا کانت تقویتها محرّمة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هذه الصورة و بین ما إذا کانا مستقلّین، و الأظهر فیهما التمام و إن کان ترک الاحتیاط لا ینبغی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انقطاعه بمجرّد قصد المعصیة قبل أن یتلبّس بالسیر مع قصدها إشکال، بل عدم الانقطاع أوجه، و الأحوط الجمع ما دام فی المنزل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التمام لا یخلو من قوّة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الفرع مع سابقه مشترک فی الإشکال و إن کان البقاء علی التمام فیه أیضاً لا یخلو من قوّة، و لا ینبغی ترک الاحتیاط بالجمع فیهما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البقیّة مسافة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فلا یترک الاحتیاط بالصوم و القضاء</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بعد عروض ما یخرج العود عن جزئیّة سفر المعصیة، کما لو کان محرّکه للرجوع غایة أُخری مستقلّة لا الرجوع إلیٰ وطنه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الملّاحین و أصحاب السفن الذین کانت منازلهم فیها معهم من هذا القبیل لا من الصنف الآتی، نعم إذا کان منزل الملّاح خارج السفینة و اتّخذ الملاحة صنعة یکون من الآتی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وجوب القصر فی السفر الأوّل مع صدق العناوین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غیر منویّة، و لا ینبغی ترک الاحتیاط فی هذه الصورة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لو کان له ذلک و لکن کان الرعی عمله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فیهما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مراعاة رفع الأمارتین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الأقویٰ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فیها تأمّل فالأحوط تقدیرها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استلزم محذوراً کمخالفة العلم الإجمالی أو التفصیلی ببطلان صلاته، کمن صلّی الظهر تماماً فی الذهاب فی مکان و أراد إتیان العصر فی الإیاب فیه قصراً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اعتقد إتمامها قبل حدّ الترخّص، و إلّا فإن لم یدخل فی الرکعة الثالثة و وصل إلی الحدّ أتمّها قصراً و صحّت، و مع الدخول فیها فمحلّ إشکال، فالأحوط إتمامها قصراً ثمّ إعادتها تماماً، أو تماماً ثمّ إعادتها قصراً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اعتبار هذه القیود فی الوطن الأصلی، بل المکان الذی هو مسقط رأسه و وطن أبویه وطنه و لو قصد الإعراض عنه و التوقیت فی السکنی فیه، و لا یخرج عن الوطنیّة إلّا بالإعراض العملی</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بل فی الثلاثة أیضاً إشکال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المناط فیه الصغر و الکبر الشرعیین، بل المناط هو الاستقلال فی الإرادة و التعیّش و عدمه، فربما یکون الصغیر الممیّز مستقلا فیهما عرفاً و ربما یکون بعض الکبار غیر مستقلّ کالبنات فی أوائل بلوغهنّ الشرعی، بل بعض البنین أیضاً، و لا یختصّ ذلک بأبویهما بل المیزان هو التبعیّة و إن کانت لسائر قراباته أو لأجنبی، هذا کلّه فی الوطن المستجدّ، و أمّا الوطن الأصلی فقد مرّ الکلام فیه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بقاؤه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عدم کفایته، و لکن لا یترک الاحتیاط حتّی الإمکان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و إن کان تعیّن القصر فیهما لا یخلو من وجه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بالعزم علی الإقامة و إتیان صلاة صحیحة تامّة، کما تقدّم من غیر مدخل لبقاء العشرة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إذا کان المقصد فی طریق بلده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بالأخصّ إذا کان محلّ الإقامة فی طریق بلده، بل لا ینبغی ترکه فی هذه الصورة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فی الذهاب و المقصد، بل لا یبعد وجوب التمام فیهما، لکن لا یترک الاحتیاط بالجمع</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هو البقاء علی التمام ما لم ینشئ سفراً جدیداً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الأقوی البطلان و الرجوع إلی القصر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المستقرّ علیه التمام بعد ثلاثین یوماً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الإتیان بها رجاءً</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الجهل لا فی النسیان، فمعه یجب علیه القضاء</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ینبغی ترک الاحتیاط بالجمع</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القوّة إشکال، فلا یترک الاحتیاط</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الأحوط إتیانها فرادی فی عصر الغیبة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صلاة الاحتیاط</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بعض فروض المعادة بناءً علی المشروعیّة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مجرّد هیئة الائتمام لا یکفی فی البناء علیه، بل لا بدّ فیه من الاشتغال بشی‌ء من أفعال المؤتمّین و لو مثل الإنصات المستحبّ فی الجماعة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بطلان صلاته لا یخلو من قوّة إذا لم یزد رکناً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صحّة جماعته و صلاته فی الصورتین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و لو کان لا یخلو من قوّة، خصوصاً فی الصورة الأُولیٰ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أدرک بعض الرکعة قبل الرکوع، و إلّا ففیه إشکال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تبعد الصحّة فرادی فی الفرعین، و الأحوط الإتمام و الإعادة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بالدخول فیها رجاءً علی الأقویٰ، فإن أدرکه صحّت صلاته و إلّا بطلت لو رکع</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یجوز إذا کان الإمام بطیئاً یخرج به عن صدق القدوة، نعم لا بأس به مع صدقها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عدم الدخول فی هذه الجماعة، فإن نویٰ لا یترک الاحتیاط بإتمام صلاته بعد تسلیم الإمام و إعادتها، و إن کان الاکتفاء بالنیّة و التکبیر و إلقاء ما زاد تبعاً للإمام و عدم بطلان صلاته لا یخلو من وجه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تأتمّ بالرجل، و فی السترة بین صفوف النساء بعضهنّ مع بعض إشکال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الاقتصار علی المقدار الیسیر الذی لا یری العرف أنّه أرفع منهم و لو مسامحة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کثرة متعارفة کسطح الدکّان و البیت، لا کالأبنیة العالیة المتداولة فی هذا العصر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الجواز لا یخلو من قرب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بطلان صلاة من علیٰ جانبیه ممّن کان بینهم و بین الإمام أو الصفّ المتقدّم حائل، بل البطلان لا یخلو من قوّة، و کذا الحال فی المحراب الداخل، نعم تصحّ صلاة الصفوف المتأخّرة أجمع</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فلا یترک الاحتیاط بالعدول إلی الانفراد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و إشکال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تهیّؤاً مشرفاً علی العمل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 القراءة فی الجهریّة مع سماع قراءة الإمام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جوازها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ینجرّ إلی التأخّر الفاحش</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جواز إتمام القراءة و اللحوق بالسجود و لعلّه أحوط أیضاً و إن کان قصد الانفراد جائزاً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الواجب فیها عدم التقدّم و التقارن، و الأحوط عدم الشروع فیها قبل تمامیّة تکبیر الإمام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مشکلة، بل ممنوعة فیما إذا رکع حال اشتغال الإمام بالقراءة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أتی بذکر رکوعه و سائر واجباته، و إلّا فالأحوط بطلانها، و أحوط منه الإتمام ثمّ الإعادة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الإتیان بواجباته، و إلّا بطلت صلاته إن کان الإخلال عمداً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 فلا یترک الاحتیاط فیه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حسبت ثانیة، فله قصد الانفراد و إتمام الصلاة و لا یبعد جواز المتابعة فی السجدة الثانیة و جواز الاستمرار إلی اللحوق بالإمام، و الأوّل أحوط، کما أنّه مع المتابعة إعادة الصلاة أحوط</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وجوبها محلّ إشکال و إن لا یخلو من وجه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استحبّ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جوازه لمثله أیضاً محلّ إشکال، بل عدمه لا یخلو من قرب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الصغائر علی الأقویٰ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الاجتناب عن منافیات المروءة فیها ممنوع، کما أنّ تفسیر منافیاتها بما ذکر محلّ منع، نعم ارتکاب أعمال دالّة عرفاً علیٰ عدم مبالاة فاعلها بالدین مضرّ بها لا من حیث اعتبار المروءة فیها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بالعقاب أو شدّد علیه تشدیداً عظیماً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دلّ علیٰ کونها أکبر من بعض الکبائر أو مثله أو حکم العقل علیه أو کان فی ارتکاز المتشرّعة کذلک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عدّ ذلک و ما یلیه و محاربة الأولیاء من الکبائر التی یعتبر اجتنابها فی العدالة مسامحة، کما أنّ التحدید بهذا العدد غیر معلوم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لو لم یحصل الظنّ منه علی الأقویٰ، فمجرّد حسن الظاهر کافٍ فی جواز الاقتداء</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الاقتداء بالمعذور فی غیر إمامة القاعد لمثله و المتیمّم لغیره و ذی الجبیرة لغیره مشکل لا یترک الاحتیاط بترکه، و إن کان إمامة المعذور لمثله أو لمن هو متأخّر عنه رتبةً کالقاعد للمضطجع لا یخلو من وجه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صحّة الاقتداء إذا رأی المأموم صحّة صلاته مع خطائه فی الاجتهاد و لو لم یکن متّحداً معه فی العمل، نعم یشکل الاقتداء فیما یتعلّق بالقراءة و لو رأی صحّة صلاته مع بطلان قراءته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الجهل بتخالفهما فی الرأی، و أمّا مع العلم به و الشکّ فی تخالفهما فی العمل فالأقویٰ عدم الجواز فی المسائل التی لا یجوز معها الاقتداء مع وضوح الحال، کما أنّه یعرض الإشکال فیه فی المسائل المحکومة بالإشکال معه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الإمام علیٰ وجه یحکم بصحّة صلاته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الأولیٰ ترک الاقتداء بهم جمیعاً، نعم إذا تشاحّوا فی تقدیم الغیر و کلّ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یا فلان، ینبغی للقوم و للأئمّة ملاحظة المرجّحات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لکنّه قبیح بل مخالف للمروءة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فیهما و فی المحدود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ممنوع، و الأظهر صحّة صلاته جماعةً، فیغتفر فیها ما یغتفر فی الجماعة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 شرعاً، بل المعیار حصول الصوم عن عزم باقٍ فی النفس و لو ذهل عنه بنوم و غیره، و لا فرق فی حدوث هذا العزم مقارناً لطلوع الفجر أو قبله فی أجزاء لیلة الیوم الذی یرید صومه أو قبلها، فلو عزم علیٰ صوم الغد من الیوم الماضی و نام علیٰ هذا العزم إلیٰ آخر النهار صحّ علی الأصحّ</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إشکال، و فی المرض لا یخلو من إشکال و إن لا یخلو من قرب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تبعد الصحّة فی هذا الفرع و لو علیٰ وجه التردید فی النیّة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و کذا لو رفع الید عنه لزعم اختلال صومه ثمّ بان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کلّه فی نیّة القطع، و أمّا نیّة القاطع؛ بمعنی نیّة ارتکاب المفطر، فلیس بمفطر علی الأقویٰ و إن کانت مستلزمة لنیّة القطع تبعاً، نعم لو نوی القاطع و التفت إلی استلزامها ذلک فنواه استقلالًا بطل علی الأقویٰ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التردّد فی إدامة الصوم أو رفع الید عنه، و کذا لو استتبع ذلک تردّده فی البطلان لعروض ما لم یدر أنّه مبطل أو لا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قهراً و بلا اختیار، لا مکرهاً فإنّه مبطل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عدم مبطلیّتها، فلا یبطل مع القصد إن لم یتحقّق الدخول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إبطال مسمّی الدخول فی المقطوع</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الغسل، و أمّا بعده فمع العلم بحدوث جنابة جدیدة فالأحوط ترکه، بل لا یخلو لزومه من قوّة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خلافه، نعم لا یترک الاحتیاط فی قضاء شهر رمضان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و لا یترک الاحتیاط بإتیان لیلیّة اللیلة الماضیة، و یکفی عنها الغسل قبل الفجر لإتیان صلاة اللیل أو الفجر، فصحّ صومها حینئذٍ علی الأقویٰ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الوجوب</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 ناوٍ له و إن لم یکن متردّداً و لا ذاهلًا و غافلًا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ینبغی أن یترک المحتلم الاحتیاط، لو استیقظ ثمّ نام و لم یستیقظ؛ بالجمع بین صوم یومه و قضائه و إن کان الأقویٰ صحّته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الثانی</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فیهما، و علی الأقویٰ فی اللّٰه و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من غیر فرق بین الکذب علیهم فی أقوالهم أو غیرها، کالإخبار کاذباً بأنّه فعل کذا أو کان کذا علی الأحوط</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صومه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عدم الإلحاق، نعم لا یترک فی مثل الجلّاب خصوصاً مع ذهاب رائحته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تقض العادة برمسة، و إلّا فمع الالتفات فالأحوط إلحاقه بالعمد إلّا مع العلم بعدمه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إطلاقه منافٍ لما اختاره من مفطریّة نیّة المفطر، نعم هو حقّ علیٰ تأمّل بناءً علیٰ عدمها کما هو الأقویٰ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تاب و نوی الغسل بالخروج صحّ غسله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عدم مفطریّته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لحوق البخار به، إلّا إذا انقلب فی الحلق ماءً و ابتلعه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الأقویٰ فی الدخان أیضاً عدم اللحوق، نعم یلحق به شرب الأدخنة علی الأحوط</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الاقتصار علیٰ مثل الشیاف للتداوی، و أمّا إدخال نحو التریاک للمعتادین به و غیرهم للتغذّی و الاستنعاش ففیه إشکال، فلا یترک الاحتیاط باجتنابه و کذا کلّ ما یحصل به التغذّی من هذا المجریٰ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الفساد فی مثل المغصوب ممّا یجب علیه ردّه و یکون القی‌ء مقدّمة له، فصحّ الصوم لو عصیٰ و لم یردّه و لو قلنا بأنّ ترک القی‌ء جزء للصوم فضلًا عن القول بأنّ القی‌ء ضدّه، نعم لو فرض ابتلاع ما حکم الشارع بقیئه بعنوانه ففی الصحّة و البطلان تردّد، و الصحّة أشبه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من عادته ذلک، و إلّا ففیه إشکال و لا یترک الاحتیاط</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 فی المقصّر، و علی الأحوط فی القاصر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اتّقیٰ من المخالفین فی أمر یرجع إلیٰ فتواهم أو حکمهم فلا یکون مفطراً، فلو ارتکب تقیّةً ما لا یری المخالف مفطراً صحّ صومه علی الأقویٰ، و کذا لو أفطر قبل ذهاب الحمرة، و کذا لو أفطر یوم الشکّ تقیّةً لحکم قضاتهم بحسب الموازین الشرعیّة التی عندهم لا یجب علیه القضاء علی الأقویٰ مع بقاء الشکّ، نعم لو علم بأنّ حکمهم بالعید مخالف للواقع یجب علیه الإفطار تقیّةً، و یجب علیه القضاء علی الأحوط</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علی الظاهر، نعم للشابّ الشبق و من یتحرّک شهوته أشدّ کراهةً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عدم کراهته ما لم یکن بالذرّ و ما یتلوه ممّا ذکر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 الکذب علی اللّٰه و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الارتماس و الحقنة، و علی الأقویٰ فی البقیّة، بل فی الکذب علیهم لا یخلو من قوّة، نعم القی‌ء لا یوجبها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تکرّرها، لکن لا ینبغی ترک الاحتیاط</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 لو سافر فراراً من الکفّارة، أو سافر بعد الزوال و علی الأحوط فی غیره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بترکه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أکرهها فی الابتداء علیٰ وجه سلب منها الاختیار و الإرادة ثمّ طاوعته فی الأثناء، فالأقویٰ ثبوت کفّارتین له و کفّارة لها، و إن کان الإکراه علیٰ وجه صدر الفعل بإرادتها و إن کانت مکرهة فیه، فالأقویٰ ثبوت الکفّارتین له و عدم کفّارة علیها، و کذا الحال فی التعزیر علی الظاهر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شوب إشکال، فلا یترک الاحتیاط</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التمکّن من الستّین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الوثوق بإعطائهم أو إطعامهم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الیوم الأوّل من الشهر الثانی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تعیّن علیه التصدّق بما یطیق و مع عدم التمکّن یستغفر اللّٰه و لو مرّة، و الأحوط الإتیان بالکفّارة إن تمکّن بعد ذلک فی الأخیرة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ینبغی ترک الاحتیاط الذی مرّ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أبطله بالریاء أو نیّة القطع</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القضاء فیه مبنیّ علی الاحتیاط</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مع حصول الظنّ بعد المراعاة عدم وجوب القضاء، بل عدمه مع الشکّ أیضاً لا یخلو من قوّة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عدم القضاء لمطلق الوضوء، بل لمطلق الطهارة لا یخلو من قوّة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و الأحوط لمن یفیق من السکر مع سبق النیّة الإتمام ثمّ القضاء، و من الإغماء الإتمام و إلّا فالقضاء</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له منشأ عقلائی یعتنی به العقلاء</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عدمها لا یخلو من قربٍ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بل التعمیم لا یخلو من قوّة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الوجوب فیه و فی تالیه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مرّ من لزوم الإفطار فی سفر الصید للتجارة، و الاحتیاط بالجمع فی الصلاة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جوازه فی النذر المعیّن، کما أنّ الأقویٰ عدم وجوب الإقامة فیه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الکفّارة علی الشیخین و ذی العطاش فی صورة تعذّر الصوم علیهم محلّ إشکال، بل عدمه لا یخلو من قوّة، کما أنّه علی الحامل المقرب و المرضعة القلیلة اللبن إذا أضرّ بهما لا بولدهما محلّ تأمّل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القوّة إشکال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القوّة إشکال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یصفاه بما یخالف الواقع؛ ککون تحدّبه إلیٰ فوق الأُفق، أو متمائلًا إلیه، أو متمائلًا إلی الجنوب فی بلاد تقرب الشمس فی شمال القمر، أو فی أشهر کانت کذلک أو بالعکس، و لا یبعد قبول شهادتهما إذا اختلفا فی بعض الأوصاف الخارجة ممّا یحتمل فیه اختلاف تشخیصهما، ککونه مرتفعاً أو مطوّقاً أو له عرض شمالی أو جنوبی إذا لم یکن فاحشاً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حجّیتهما مطلقاً، إلّا مع الصحو و اجتماع الناس للرؤیة و حصول الاختلاف و التکاذب بینهم بحیث یقوی احتمال الاشتباه فی العدلین، ففی هذه الصورة محلّ إشکال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بکون المخابر بیّنةً شرعیّة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عدم الوجوب فی الفرعین، فلا یجب القضاء علیهما لو أفطرا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لو سبقت منه النیّة و أتمّ الصوم، و علی الأقویٰ فی غیره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مذهب الحقّ إذا تحقّق منه قصد القربة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الأقویٰ وجوب القضاء فقط، و کذا فی الفرعین الآتیین، و لا ینبغی ترک الاحتیاط خصوصاً إذا کان العذر هو السفر، و کذا فی الفرع الأخیر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عدم الفرق بین أسباب الترک إلّا الترک علیٰ وجه الطغیان، فإنّه لا یبعد فیه عدم الإلحاق بالترک العذری و إن کان الأحوط الإلحاق أیضاً، بل لا یترک هذا الاحتیاط</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علی الأحوط فی الثانی، و علی الأقویٰ فی الأوّل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عجز عنها یفض ثمنها علی الطعام، و یتصدّق به علیٰ ستّین مسکیناً؛ لکلّ مسکین مدّ علی الأقویٰ، و الأحوط مدّان، و لو زاد عن الستّین اقتصر علیهم، و لو نقص لم یجب الإتمام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الاحتیاط بالمدّین إنّما هو فیما لا یوجب النقص عن الستّین و إلّا اقتصر علی المدّ و یتمّ الستّین، و لو عجز عن التصدّق صام علی الأحوط لکلّ مدّ یوماً إلی الستّین و هو غایة کفّارته، و لو عجز صام ثمانیة عشر یوماً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عجز عنه یفض ثمنها علی الطعام و یتصدّق به علیٰ ثلاثین مسکیناً؛ لکلّ واحد مدّ علی الأقویٰ، و الأحوط مدّان، فإن زاد فله و إن نقص لا یجب الإتمام و لا یحتاط بالمدّین مع إیجاب النقص کما تقدّم، و لو عجز عنه صام علی الأحوط عن کلّ مدّ یوماً إلی الثلاثین و هی غایة الکفّارة، و لو عجز صام تسعة أیّام، و حمار الوحش کذلک و الأحوط أنّه کالنعامة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عجز عنها یفض ثمنها علی الطعام و یتصدّق علیٰ عشرة مساکین؛ لکل مدّ علی الأقویٰ، و مدّان علی الأحوط و حکم الزیادة و النقیصة و مورد الاحتیاط کما تقدّم، و لو عجز صام علی الأحوط عن کلّ مدٍّ یوماً إلیٰ عشرة أیّام غایة کفّارته، و لو عجز صام ثلاثة أیّام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علیٰ ولده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الترتیب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یصوم بقصد القربة المطلقة، و شکراً لإظهار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فضیلة عظیمة من فضائل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دلیله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استحبابها بالخصوص تأمّل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به رجاءً أو للرجحان المطلق</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کراهة صومه بالمعنی المصطلح فی العبادات أیضاً فی الموردین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جوازه مع عدم الإیذاء، نعم لا یترک مع النهی و کذا فی الوالدة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تأمّل فیه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نعم لا یترک الاحتیاط فی هذه الصورة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انصراف فی البین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المساجد الأربعة محلّ إشکال، فلا یترک الاحتیاط بإتیانه رجاءً فی غیرها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الإجارة بحیث ملک منفعة الاعتکاف، و إلّا فغیر معلوم، بل فی بعض فروعه معلوم العدم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لکن لا یترک الاحتیاط</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یجوز فی المسجدین و یجب علیه التیمّم و الخروج للاغتسال، و فی غیرهما لا یجوز إذا استلزم اللبث</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 فی الثالث الأوّل و الثانی، و علی الأحوط فی البقیّة کما مرّ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الأحوط</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فروع جواز الاعتکاف فی کلّ مسجد جامع و قد مرّ الإشکال فیه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تشکل الصحّة فی بعض الفروض</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مکّة محلّ إشکال</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مطلقاً فیها و فیما بعدها، بل من کان له نحو تعلّق به حتّی یعدّ ذلک من ضروریّاته العرفیّة، و المیزان هو الذی یذکره قریباً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 إن کان الأقویٰ جوازه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لبث و تلویث، و إلّا یجب الخروج کما مرّ، و مرّ حکم المسجدین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البطلان لا یخلو من قوّة، و کذا فی الفرع الآتی</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شرط الرجوع متی شاء من غیر عروض عارض محلّ إشکال بل منع، نعم العارض أعمّ من الأعذار العرفیّة العادیّة کقدوم الزوج من السفر، و لا تختصّ بالضرورات التی تبیح المحظورات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جوازهما مع إمکان التوکیل، و الأحوط مع تعذّره النقل بغیر البیع، نعم لا بأس بهما مع تعذّره أیضاً إذا مسّت الحاجة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التفرقة بینها و بین الجماع محلّ إشکال، فالأحوط فی صورة ارتکابها عمداً أو سهواً إتمامه و قضاؤه إذا کان واجباً معیّناً و استئنافه فی غیره إذا کان فی الیومین الأوّلین، و إتمامه و استئنافه إذا کان فی الیوم الثالث</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المندوب علی الأحوط إذا جامع من غیر رفع الید عن الاعتکاف، و أمّا معه فالأقویٰ عدم الکفّارة علیه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بتفصیل مرّ فی کتاب الطهارة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الزکاة فیها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المنصور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عدم الوجوب معه أیضاً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مثل الخیار المشروط بردّ الثمن؛ ممّا تکون المعاملة مبنیّة علیٰ إبقاء العین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بل فی استحباب الزکاة لسنة واحدة إذا تمکّن بعد السنین أیضاً إشکال، و فی دعوی الإجماع مناقشة بعد معلومیّة المستند و الخدشة فیه، نعم لا یبعد القول بالاستحباب فی الدین بعد الأخذ لکلّ ما مرّ من السنین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استحبابها فی الحبوب لا یخلو من إشکال، و کذا فی مال التجارة و الخیل الإناث</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أربع شیاه فیها مبنیّ علی الاحتیاط، و المسألة مشکلة جدّاً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 ما وجب فی النصاب السابق یتعلّق بما بین النصابین إلی النصاب اللاحق، فما بین النصابین عفو بمعنی عدم تعلّق شی‌ء به أکثر ممّا تعلّق بالنصاب السابق، لا بمعنی عدم تعلّق شی‌ء به رأساً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الإجزاء فی حال الاختیار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 الاحتیاط بشراء بنت المخاض</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عدم القدح، بل عدم قدح أیّام قلائل إذا کانت متفرّقة جدّاً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یخلّ بالسوم هو الرعی فی الأراضی المعدّة للزرع إذا کان مزروعاً علی النحو المتعارف المألوف، و أمّا لو فرض بذر البذور التی هی من جنس کلأ المرعیٰ فی المراتع من غیر عمل فی نمائها فلا یبعد عدم إخلاله بالسوم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الزکاة تنتقل إلیٰ أربابها بحلول الشهر الثانی عشر، فتصیر ملکاً متزلزلًا لهم فیتبعه الوجوب الغیر المستقرّ، فلا یجوز للمالک التصرّف فی النصاب تصرّفاً معدماً لحقّهم و لو فعل ضمن، نعم لو اختلّ أحد الشروط من غیر اختیار کأن نقص من النصاب بالتلف فی خلال الشهر الثانی عشر یرجع الملک إلیٰ صاحبه الأوّل و ینقطع الوجوب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الظاهر أنّ الخمس من الإبل مکمّلة الخمس السابقة و لیست مستقلّة، فالخمس نصاب، و العشر نصاب واحد آخر لا نصابان، و خمسة عشر نصاب واحد فیها ثلاث شیاه و هکذا، فحینئذٍ یکون حکمه حکم القسم الآتی، نعم لو ملک فی أوّل السنة خمساً و بعد ستّة أشهر ستّاً و عشرین یجب علیه فی آخر سنة الخمس شاة و فی آخر سنة الجدید بنت مخاض، ثمّ یترک سنة الخمس و یستأنف للمجموع حولًا و کذا لو ملک بعد الخمس فی أثناء السنة نصاباً مستقلا کستّ و ثلاثین و ستّ و أربعین و هکذا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إخراجها من غیر الجنس فیما عدا الدرهم و الدینار محلّ تأمّل، إلّا إذا کان خیراً للفقراء، و إن کان الجواز لا یخلو من وجه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ما زاد علیها حتّی یبلغ أربعة دنانیر متعلّق للفرض الأوّل؛ أی نصف الدینار، فالعشرون مبدأ النصاب الأوّل إلیٰ أربعة و عشرین، فإذا بلغت أربعة و عشرین زاد قیراطان إلیٰ ثمانیة و عشرین فزاد قیراطان و هکذا، و هذا معنی العفو بین النصابین، لا عدم التعلّق رأساً کما قبل العشرین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یتغیّر، فلا تجب فیه الزکاة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فلا یجوز الاجتزاء بالفرد الأدون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عدم الوجوب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عدم الوجوب</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لکنّه ضعیف</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عدم الإلحاق</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لکن لا یترک الاحتیاط</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 الحبوب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 فیما إذا نمت مع ذلک فی ملکه، و علی الأحوط فی غیره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لدی المتأخّرین، و أمّا لدی القدماء فلم تثبت الشهرة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أنّ المدار علی التسمیة، لکن لا یترک الاحتیاط فی الزبیب</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جوازه مشکل، بل الأقویٰ عدمه إذا انجرّ الإخراج إلی الفساد و لو قلنا بأنّ وقت التعلّق حین بدوّ الصلاح</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 إن کان الأقویٰ عدم الوجوب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التعلّق</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قبل التعلّق فیما إذا نمت فی ملکه علی الأقویٰ، و فی غیره علی الأحوط</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فضولیّ یحتاج إلیٰ إجازة الحاکم إذا أحرز عدم التأدیة، فإن أجازه ردّ الثمن بالنسبة و رجع إلی البائع به، و إن ردّه أدّی الزکاة و له الرجوع إلی البائع بثمنه بالنسبة إن أدّاه إلیه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فیما إذا احتمل أنّ الشراء فی زمان تمّ نماء الزرع و لم ینم فی ملکه، و علی الأقویٰ فی غیره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الزکویّ؛ أی ما تعلّق به الزکاة إن کان موجوداً، و من ترکته إن تلف مضموناً علیه، نعم لورثته أداء قیمة الزکویّ مع بقائه أیضاً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فیما إذا انتقل إلیهم بعد تمام نموّه و قبل تعلّق الوجوب، و علی الأقویٰ إذا کان الانتقال قبل تمامه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بعض الفروض، لکن لا یترک الاحتیاط بالإخراج مطلقاً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استیعاب الدین الترکة و کونه زائداً علیها بحیث یستوعب النماءات لا تجب علی الورثة الزکاة، بل تکون کأصل الترکة بحکم مال المیّت علی الأقویٰ یؤدّیٰ منها دینه، و مع استیعابه إیّاها و عدم زیادته علیها لو ظهرت الثمرة بعد الموت یصیر مقدار الدین بعد ظهورها من الترکة أصلًا و نماءً بحکم مال المیّت؛ بنحو الإشاعة بینه و بین مال الورثة، و لا تجب الزکاة فیما یقابله و یحسب النصاب بعد توزیع الدین علی الأصل و الثمرة، فإن زادت حصّة الوارث من الثمرة بعد التوزیع و بلغت النصاب تجب علیه الزکاة، و لو تلف بعض الأعیان من الترکة یکشف عن عدم کونه ممّا یؤدّیٰ منه الدین و عدم کونه بحکم مال المیّت و کان ماله فیما سوی التالف واقعاً و التفصیل فی محلّه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التخریص هاهنا کالتخریص فی المزارعة و غیرها ممّا وردت فیها النصوص، و هو معاملة عقلائیّة برأسها، و فائدتها صیرورة المال المشاع معیّناً علی النحو الکلّی فی المعیّن فی مال المتقبّل، و لا بدّ فی صحّتها وقوعها بین المالک و ولیّ الأمر و هو الحاکم أو من یبعثه لعمل الخرص، فلا یجوز للمالک الاستبداد بالخرص و التصرّف بعده کیف شاء، و الظاهر أنّ التلف بآفة سماویة و ظلم ظالم علی المتقبّل إلّا أن یکون مستغرقاً أو بمقدار صارت البقیّة أنقص من الکلّی، فلا یضمن ما تلف و یجب ردّ ما بقی علی الحاکم إن کان المتقبّل هو المالک دون الحاکم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مضروباً علی الأرض باعتبار الجنس الزکوی</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احتسابه، لکن یقسّط علی التبن و الحنطة بالنسبة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صیرورة الفقراء شریکاً مع الزارع بمقدار حصّتهم، و تحسب البقیّة من المئونة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مضروباً علی الأرض باعتبار مطلق الزرع، لا خصوص الزکوی</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معلوم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التفصیل بین ما إذا عمل للسنین العدیدة فیوزّع علیها، و بین ما إذا عمل للسنة الأُولیٰ و إن انتفع منه فی سائر السنین قهراً، فیحسب من مئونة الاولیٰ</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ینبغی ترک الاحتیاط بإخراج العشر، إذا کان الأکثر بغیر علاج و لو مع صدق السقی بهما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المسبوق بالسقی بغیر علاج، و الشکّ فی سلب ذلک فیجب الأکثر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الزکاة فیه لا یخلو من تأمّل و إشکال</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الشرط علیٰ ما ذکروه محلّ إشکال، بل عدمه لا یخلو من قوّة، و الإجماع أو الشهرة لدی القدماء غیر ثابتین و الأدلّة علیٰ خلافه أدلّ، نعم لو طلب بالنقیصة طول الحول تسقط الزکاة، و لو بقی علیٰ هذا الحال سنتین أو أکثر فإذا باعه یزکّی سنة واحدة استحباباً، و یشترط بقاء النصاب طول الحول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شوب إشکال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عدم الجواز لا یخلو من قوّة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لا یترک الاحتیاط بعدم الإعطاء و الأخذ أزید من مئونة السنة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سهم سبیل اللّٰه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احتمال کونها زکاة فالظاهر ضمانه، نعم مع إعطائه بغیر عنوانها سقط الضمان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إذا کان إعطاؤه بإذن شرعی کدعوی الفقر بناءً علی اعتبارها، فالأقویٰ عدم الضمان، نعم لو کان إحراز الفقر بأمارة عقلیّة کالقطع فالظاهر ضمانه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سقوطه مع بسط ید الحاکم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مع وجوده أیضاً علی الأقویٰ، فهذا الصنف عامّ لکلّ عتق رقبة، لکن یشترط فی المکاتبین ما ذکر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سبیل اللّٰه هو المصالح العامّة للمسلمین و الإسلام کبناء القناطر، و تعمیر الطرق و الشوارع، و ما یحصل به تعظیم الشعائر و علوّ کلمة الإسلام، أو دفع الفتن و المفاسد عن حوزة الإسلام و بین القبیلتین من المسلمین و أشباه ذلک، لا مطلق القربات کالإصلاح بین الزوجین و الولد و الوالد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تعذّر الإیصال إلی الدافع أو وکیله أو حرجیّته، و إلّا فیجب إیصاله إلیه، بل علی الحاکم أیضاً إیصاله إلیه أو الاستئذان منه فی صرفه علی الأحوط، لو لم یکن أقوی</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یعطی</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إذا کان الأب مؤمناً دون الامّ مع عدم إیمان الأب</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بعدم الإعطاء لشارب الخمر، بل المتجاهر بمثل هذه الکبیرة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عمله و لا تبعد کفایة الوثوق و الاطمئنان به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 الزوجة، و أمّا فی غیرها فلا بأس بترکه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زاد علیٰ نفقته الواجبة فی الحضر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مئونة التزویج من سبیل اللّٰه محلّ إشکال</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من غیر جنسها قیمة فیوزّع علیها بالنسبة، و أمّا إذا کان من أحدها فینصرف إلیه إلّا مع نیّة کونه بدلًا أو قیمةً، نعم لو کان عنده أربعون من الغنم و خمس من الإبل فأخرج شاة زکاة من غیر تعیین یوزّع بینهما إلّا مع التردید فی کونه إمّا من الإبل أو من الغنم، فإنّ الظاهر عدم الصحّة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علی المالک أن ینوی کون ما أوصله الوکیل إلی الفقیر زکاة و یکفی بقاؤها فی خزانة نفسه و إن لم یحضرها وقت الأداء تفصیلًا، و لا أثر فی النیّة حین الدفع إلی الوکیل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لم یکن معصیة اللّٰه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و یحتمل أن یکون وقت الوجوب هو وقت الاستقرار بمضیّ السنة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أزید فی خلال السنة، و الأحوط عدم التأخیر عن أربعة أشهر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علیٰ نحو الحکم لمصلحة المسلمین لا یجوز التخطّی عنه و لو لم یکن مقلّداً له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و إن لا یخلو من وجه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التأخیر مع وجود المستحقّ</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الاتّجار لمصلحة الزکاة فأجاز الولیّ، و کذا فی الاتّجار بالنصاب علی الأقرب، و أمّا إذا اتّجر بهما لنفسه و أوقع التجارة بالعین الخارجی فتصحیحهما بالإجازة محلّ إشکال فیقع باطلًا فی الأوّل و بالنسبة فی الثانی، و إن أوقع التجارة بالذمّة و ادّی من المعزول أو النصاب یکون ضامناً و الربح له، إلّا إذا أراد الأداء بهما حال التجارة فإنّه حینئذٍ محلّ إشکال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أداء الوصیّ الزکاة إلی الوارث من مال المیّت أو أخذه منه، لکن جواز أخذه مشروط بعدم انصراف فی الوصیّة إلیٰ أدائها بالغیر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الاستحباب غیر ثابت فیما إذا أخذ الوصیّ و کان أجنبیّا؛ أی غیر وارث</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زوال الکراهة غیر معلوم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دور جنونه عند دخول لیلة العید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یحلّ فی هذه السنة دون غیره علی الأحوط</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یقتصر فی الإدارة بین المکلّفین و مع أخذ الولیّ عن القاصر یصرفها له و لا یردّها علیٰ غیره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قبله و لو بلحظة؛ بأن کان واجداً للشرائط فأدرک الغروب</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مع صدق کونه ممّن یعوله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یقویٰ سقوطها عنه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عدم الوجوب</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علیٰ صدق کونه ممّن یعوله و إن لم یصدق أنّه عیاله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وجوبها علی الضیف، لکن لا ینبغی ترکه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کانوا موثوقاً بهم فی الأداء</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الصورتین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أثر فی قصد التقرّب فی التوکیل، بل إذا وکّل غیره فی تأدیتها لا بدّ للوکیل من نیّة التقرّب، و إذا وکّله فی الإیصال یجب علی الموکّل أن ینوی کون ما أوصله الوکیل إلی الفقیر زکاة، و یکفی بقاء النیّة فی خزانة نفسه و لا یجب خطورها تفصیلًا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جواز التوکیل فی التبرّع</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جمیع ما ذکرها ما غلب فی القوت لغالب الناس ممنوع، کما أنّ کون الضابط ذلک محلّ إشکال و لا یبعد أن یکون الضابط ما یتعارف فی کلّ قوم أو قطر التغذّی به و إن لم یکتفوا به کالبرّ و الشعیر و الأرز فی أقطارنا، و التمر و الأقط و اللبن فی مثل الحجاز، و الأرز فی مثل الجیلان و إن کان الأقوی الجواز فی الغلّات الأربع مطلقاً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غلب التغذّی به فی قطر بالنسبة إلیه، و فی غیر هذه الصورة فالأحوط إخراج ما غلب التغذّی به أو إخراج الغلّات الأربع</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الاقتصار فی دفع القیمة بالأثمان، بل لا یخلو عدم اجتزاء غیرها قیمة من وجه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فیه، بل لو قلنا بجواز إخراج غیر الأثمان قیمة یشکل إعطاء المعیب و الممزوج من الأجناس الأصلیّة قیمة عن الصحیح و غیر الممزوج منها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و إشکال</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الأولی التأخیر إلی النهار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الأقوائیّة محلّ إشکال، لکن لا یترک الاحتیاط</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بل الأوجه الاقتصار علی الأثمان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أنّ مصرفها مصرف زکاة المال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فالأحوط عدم الإعطاء و الأخذ أزید من مئونة سنته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 شارب الخمر و المتجاهر بمثل هذه الکبیرة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سرقةً و غیلةً إذا کانتا فی الحرب و من شؤونه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التفصیل</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مائتی درهم عیناً أو قیمةً علی الأحوط، و إذا اختلفا فی القیمة یلاحظ أقلّهما علی الأحوط</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 هذا الاحتیاط</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قویّ</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یضمّ علی الأقویٰ، إلّا مع عدّها معدناً واحداً تخلّل بین أبعاضها الأجزاء الأرضیّة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إذن والی المسلمین و بدونه محلّ إشکال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المخالفین، دون من لا یعتقد وجوب بعض أقسام ما یتعلّق به الخمس من الإمامیّة اجتهاداً أو تقلیداً، و دون من یعتقد عدم وجوبه مطلقاً بأدلّة التحلیل بزعم 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أباحوا الخمس مطلقاً لشیعتهم، فمن وصل إلیه ما یتعلّق به الخمس ممّن لا یعتقد به من الإمامیّة یجب علیه التخمیس مع عدم تخمیسه، نعم مع الشکّ فی رأیه لا یجب علیه الفحص و لا الأداء مع احتمال أدائه، و لکن مع العلم بمخالفة اجتهادهما فالأحوط بل الأقوی التجنّب حتّی یخمّس</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یحتمل أنّه له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یتعارف إخراجه بالغوص</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ذلک شغله، و أمّا لو عثر علیه من باب الاتّفاق فیدخل فی مطلق الفائدة و یجی‌ء حکمه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من الجواهر، و أمّا غیرها فالأقویٰ عدم الإجراء علیه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أنّه من أرباح المکاسب إذا أخذه المشتغل بذلک، و مع العثور الاتّفاقی دخل فی مطلق الفائدة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التعلّق بغیر ما تقدّم من أرباح الصناعات و ما یتلوها لا یخلو من قوّة، لکن لا ینبغی ترک الاحتیاط و کذا الحال فیما یملک بالصدقة المندوبة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قصد بإبقائها الاسترباح و الاستنماء لا مطلقاً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أخذه، و لا یکفی مجرّد التملّک إلّا إذا کان کالموجود؛ بأن یستحصل بالمطالبة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 غیر اللائق بحاله الغیر المتعارف من مثله، بل لا یخلو من قوّة، نعم التوسعة المتعارفة من مثله من المئونة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احتاج إلیٰ مجموعة فی حفظ وجاهته أو إعاشته ممّا یلیق بحاله، کما لو فرض أنّه مع إخراج خمسه یتنزّل إلیٰ کسب لا یلیق بحاله أو لا یفی بمئونته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جبرانها فیما إذا تعارف الاتّجار بالأنواع المختلفة من الأجناس فی مرکز واحد أو شعبه، کما لو کان لتجارة واحدة بحسب الدفتر و الجمع و الخرج شعب کثیرة مختلفة کلّ شعبة تختصّ بنوع تجمعها شعبة مرکزیّة بحسب المحاسبات و الدخل و الخرج، نعم لو کانت أنواع مختلفة من التجارة و مراکز متعدّدة غیر مربوطة بعضها ببعض فالظاهر عدم جبر نقص بعض بالآخر، بل یمکن أن یقال إنّ المعیار استقلال التجارات لا اختلاف أنواعها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أنّه من المئونة إن اشتریٰ فی کلّ سنة بعض ما یحتاج إلیه الدار؛ فاشتریٰ فی سنة أرضها و فی اخریٰ أحجارها و فی ثالثة أخشابها و هکذا؛ إذا لم یمکنه بغیر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إبقاء الثمن للاشتراء فلا یعدّ من المئونة فیجب إخراج خمسه، کما أنّ جمع صوف غنمه من سنین متعدّدة لفراشه اللازم أو لباسه إذا لم یمکنه بغیره یعدّ من المئونة علی الأقویٰ</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أنّه من المئونة إذا أدّاه فی سنة الربح، خصوصاً إذا کانت تلک السنة وقت أدائه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 و إن کان التخییر لا یخلو من قرب إلّا فی الحلال المختلط بالحرام، فلا یترک الاحتیاط فیه بإخراج خمس العین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علم الآخذ بأنّه من باب التعجیل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عدم التعلّق</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الصحّة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عدم الخمس فیهما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 إن کان الأقویٰ عدمه فیما إذا قوّمت الأرض التی تعلّقت بها الخمس و ادّی قیمتها، نعم لو ردّ الأرض إلیٰ صاحب الخمس أو ولیّه، ثمّ بدا له اشتراؤها فالظاهر تعلّقه بها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الاستخراج بالقرعة هو الأقویٰ</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بإذن الحاکم علی الأحوط</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أحوط منه تسلیم المقدار المتیقّن إلی الحاکم و المصالحة معه فی المشکوک فیه، و یحتاط الحاکم بتطبیقه علی المصرفین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أنّ أقواها القرعة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 الاکتفاء بإخراج خمس القدر المتیقّن من الحلال إن کان أقلّ من خمس البقیّة بعد تخمیس التحلیل، و بخمس البقیّة إن کان بمقداره أو أکثر علی الأقویٰ، و الأحوط المصالحة مع الحاکم فی موارد الدوران بین الأقلّ و الأکثر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الأقوائیّة ممنوعة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عدم وجوبه لو علم الزیادة و لم یعلم مقدارها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بإذن الحاکم علی الأحوط</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أداء خمسه من مال آخر محلّ إشکال و تأثیره فی تصحیح البیع کذلک و إن لا یخلو من وجه، و کذا أداء المشتری خمسه من الخارج محلّ إشکال، فالأحوط مع بقاء العین أداء الخمس منها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الدفع إلی المتهتّک المتجاهر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یعمل علیٰ طبق نظر مقلّده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الاحتیاط فی مثله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لکنّه ضامن إلّا إذا تعیّن علیه النقل</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المصرف فی نظر مجتهد بلده موافقاً مع نظر المقلّد، أو کان یعمل علیٰ طبق نظره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اعتبار رضاهما، و إن کان عدمه لا یخلو من وجه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الاحتیاط فیه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یرجی زواله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الجملة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کلّ ما لم یوجف علیها بخیل و لا رکاب</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إطلاقه لا یخلو من إشکال و إن لا یخلو من قرب</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عمومه من إشکال، لکن لا یترک الاحتیاط</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الأقویٰ</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ممنوعة، فلا یترک الاحتیاط فیها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یثبت أنّها من ذوات أنفس سائلات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یبیع المادة ممّن یثق به أنّه یکسرها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وقعت المعاملة علیٰ مادّتها و یشترط علی المتعامل کسرها، أو یکون الموثوق به فیه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جدّاً، بل عدمه لا یخلو من وجه قویّ</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تفصیل لا یقتضی المقام ذکره، و لیس موضوع الحکم مطلق الهدنة و لا بدّ فی ذلک من ملاحظة مصالح الیوم و الأمر موکول إلیٰ والی المسلمین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عدم التحریم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الأشدّیّة و الآکدیّة غیر ثابتتین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الاقتصار علیٰ زفّ العرائس و المجلس المعدّ له مقدّماً و مؤخّراً، لا مطلق المجالس</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ذلک موجباً لازدیاد شوکتهم و قوّتهم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نحو الاستقلال أو الاشتراک مع اللّٰه تعالیٰ عمّا یقول الظالمون دون مطلق التأثیر و لو بإعطاء اللّٰه تعالیٰ إیّاها إذا کان عن دلیل قطعی</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أفضلیّتها من الزرع محلّ تأمّل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حرمة نفس المعاملة أیضاً کما هو کذلک علی الأحوط</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مستثنیات ربح المؤمن علی المؤمن لا ربح من وعده بالإحسان، فإنّ الظاهر کراهته مطلقاً، و یستثنی من ربح المؤمن ما إذا اشتریٰ أکثر من مائة درهم؛ فإنّ ربح قوت الیوم منه غیر مکروه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عدم اعتباره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تحقّقه إلّا فی الغلّات و السمن و الزیت، نعم هو أمر مرغوب عنه فی مطلق ما یحتاج إلیه الناس، لکن لا تثبت له أحکام الاحتکار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 عدم تعیینه یعیّن الحاکم بما یری المصلحة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بالنسبة إلیٰ تولّی بعض أنواع الظلم کهتک أعراض طائفة من المسلمین و نهب أموالهم و إیقاعهم فی الحرج مع خوفه علیٰ عرضه ببعض مراتبه الضعیفة أو علیٰ ماله إذا لم یقع فی الحرج إشکال بل منع</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شرائطها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کراهة فی هذه الصورة إلّا أن یحدث فیها حدثاً، کحفر نهر أو عمل فیها یعین المستأجر به، بل الأحوط ترک التقبیل بالزیادة إلّا معه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ینصرف اللفظ عنه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أُرید به إنشاء الشراء لا المعنی المطاوعی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تبعد الصحّة إذا أراد کلّ نصف مشاعاً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 مع إمکان التوکیل بل و المعاطاة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تحقّقها به لا یخلو من قوّة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ما هو الأقویٰ</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لزومها من الطرفین من وجه، فیسقط ما یتفرّع علیٰ جوازها، و لکن لا ینبغی ترک الاحتیاط فیحتاط کلّ من المتعاملین بعدم إلزام الطرف علی الاسترجاع و بإرجاع ما عنده بفسخ الطرف حتّی تتحقّق الإقالة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شقوق المسألة، و أمّا التعلیق علیٰ معلوم الحصول فالأقویٰ جوازه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 فی الأشیاء الخطیرة، و علی الأحوط فی غیرها، و إن کانت الصحّة فی هذه ممّا جرت علیها السیرة لا تخلو من وجه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کونه ظاهر المشهور محلّ تأمّل و إشکال، و عدم مسلوبیّة عبارته لا یخلو من قرب، و لا ینبغی ترک الاحتیاط</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التفاته إلیها حین العمل و سهولتها له محلّ إشکال، بل اعتبار عدم سهولة التفصّی کذلک لا یخلو من وجه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قصد إطاعة المکره بالثانی یقع الأوّل صحیحاً، فهل الثانی یقع صحیحاً أو لا؟ وجهان، أوجههما الأوّل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 و إن کان ما ذکر هو الأقرب</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مشکلة لا یترک الاحتیاط بالتخلّص بالصلح بالنسبة إلی النماءات</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البطلان بحیث لا تجدی الإجازة لا یخلو من قوّة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فیه، هذا بالنسبة إلی الردّ القولی، و أمّا الردّ الفعلی بما مثّل به؛ من إتلاف المحلّ و عتق العبد، فعدم تأثیر الإجازة لیس لأجل الردّ بل لفوات المحلّ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المستوفاة علی الأقویٰ</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مطالبة المشتری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 بل الظاهر أنّ له الرجوع إلیه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یلزم من التبعیض محذور کلزوم الربا و نحوه، و إلّا بطل من أصله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یصحّ فی نوع البیوع المتعارفة التی لا یختلف فیها المبتاعان حال الانفراد و الانضمام، و أمّا مع اختلافهما فیهما زیادة و نقیصة أو بالاختلاف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الضابطة هو تقویم کلّ منهما منفرداً بلحاظ حال الانضمام، ثمّ یؤخذ من الثمن جزء؛ نسبته إلیه کنسبة قیمته إلیٰ مجموع القیمتین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ینبغی ترک الاحتیاط بمراعاتها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قوّة فیه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إطلاقه محلّ إشکال، نعم تکفی المشاهدة فیما تعارف بیعه حملًا کالتبن و العشب و الرطبة و کبعض أنواع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تعارف فی بعض البلدان بیعه مطلقاً حملًا تکفی فیه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ما جرت العادة علیٰ عدم تغیّرها إشکال، بل عدم الجواز قریب</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یرجی العود، و إلّا فالأقویٰ عدم الجواز</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خصوصاً فیما إذا کان أداؤه مظنوناً، بل عدم الجواز فیه لا یخلو من قوّة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تحتاج إلیٰ زیادة مراجعة و تأمّل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من الأخیر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تحقّق الافتراق بها عرفاً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عدم الثبوت لا یخلو من قوّة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نوعیّة و کاشفاً غالبیّاً، فمثل لمس الجاریة و تقبیلها و النظر إلیٰ ما کان محرّماً علیه قبل الشراء یدلّ علیه؛ لخصوصیة فیها، دون مثل رکوب الدابّة رکوباً غیر معتدّ به و تعلیفها و سقیها، نعم مثل نعلها و أخذ حافرها یدلّ علیه، و کذا إحداث سائر الأحداث کقرض شعرها بل و صبغه، إلیٰ غیر ذلک، و لیس مطلق التصرّف إحداث الحدث</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الکلّیّة محلّ إشکال بل منع</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المشروط السلطنة علیٰ فسخ العقد فلا یبعد جوازهما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إشکال فی عدم الکفایة بعد سلب ولایته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کفایة الردّ إلیٰ حاکم آخر مع إمکان الردّ إلی الأوّل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التحدید غیر مطّرد، فإنّ خمسة آلاف دینار من الذهب غبن فی معاملة مائة ألف دینار و أکثر، و التحدید بالعشر أسوء حالًا، فالأولیٰ هو الإیکال إلی العرف</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السقوط لا یخلو من قوّة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الإسقاط بنحو التقیید؛ بأن یسقط الخیار الآتی من قبل العشر مثلًا بنحو العنوان الکلّی المنطبق علی الخارج بحسب وعائه المناسب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أسقط الخیار الخارجی بتوهّم أنّه مسبّب من العشر فالظاهر سقوطه؛ سواء وصفه بالوصف المتوهّم أم لا، فلو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أسقطت الخیار المتحقّق فی العقد الذی هو آت من قبل العشر، فتخلّف الوصف، سقط خیاره علی الأقویٰ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أولی بذلک ما لو أسقطه بتوهّم أنّه آت منه، و کذا الحال فی اشتراط سقوطه و إن کان فاحشاً بل أفحش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إسقاطه بعد العقد، بل و کذا یأتی ما ذکر فیما صالح عن خیاره فبطل إذا کان بنحو التقیید کما تقدّم دون النحوین الآخرین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کشفاً عقلائیّاً عن الالتزام بالبیع و إسقاط الخیار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له عین عرفاً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کونه شریکاً معه فی القیمة و لا یکون البائع ملزماً بالبیع، بل له أخذ المبیع و تأدیة ما للمشتری بالنسبة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صورة الاستهلاک فی عدّه تالفاً، و الظاهر أنّه کذلک فیما إذا انقلبا إلیٰ حقیقة أُخری عرفاً، و فی غیرهما لا یترک الاحتیاط المذکور و إن کان جریان حکم التالف فی الخلط الذی یرفع به الامتیاز غیر بعید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یسلّم المبیع إلی المشتری، و لم یشترط تأخیر تسلیم أحد العوضین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فیما إذا باع شیئاً بوصف غیره ثمّ وجده زائداً علیٰ ما وصف أو وجده زائداً علیٰ ما یراه سابقاً، فإنّه یثبت معه للبائع خیار الرؤیة، و کذا یثبت له إذا وجد الثمن علیٰ خلاف ما وصف؛ أی ناقصاً عنه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ناقصاً عنه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 إذا لم یحصل الاطمئنان بالبقاء</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 بأن حصل له الوثوق من توصیفه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یرفع به الوثوق الرافع للجهالة و إلّا فیفسد و یفسد العقد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لم یسقط الردّ قولًا أو بفعل دالّ علیه و ما لم یطأ الجاریة الغیر الحبلیٰ</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خیار المشتری المضمون علی البائع کخیار الحیوان و کخیار المجلس و الشرط إذا کانا له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المیزان فی سقوطه عدم قیام المبیع قائماً بعینه بتلف أو ما بحکمه أو عیب أو نقص و إن لم یکن عیباً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الظاهر أنّ التغییر بالزیادة لا یسقط إذا لم یستلزم نقصاً و لو بمثل حصول الشرکة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سقوطه بإسقاطه فی ضمن العقد أو بعده تابع للجعل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خیار المشتری المضمون علی البائع کما مرّ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الثبوت لا یخلو من قرب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اعتبار قول الواحد الموثوق به من أهل الخبرة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و الأحوط التخلّص بالتصالح، و لا تبعد القرعة خصوصاً فی بعض الصور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بعده فی زمان خیار المشتری المضمون علی البائع کما مرّ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ثبوته لأجله إشکال، بل عدمه لا یخلو من قرب</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زمان تحقّق الخیار، و أمّا قبله کخیار التأخیر فی الثلاثة، فقد مرّ أنّ الأقویٰ عدم سقوطه بالإسقاط</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جرت العادة بدخوله فیه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تعارف یوجب التقیید، کما أنّه کذلک نوعاً و کذا فی ثمر الشجر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تعارف یوجب التقیید، کما هو کذلک غالباً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یلزم محذور بیع الکالی بالکالی</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زمان شرطه، و أمّا لو اتفق التأخیر إلیٰ حلول الأجل، فالظاهر أنّ له ذلک إذا امتنع المشروط له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خروجه بها عن الضمان محلّ إشکال، بل لا یبعد عدمه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ینبغی ترک الاحتیاط</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الکفایة ضعیف، فالأقویٰ هو العدم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و لو قیل بصحّته و أنّ للبائع أقلّ الثمنین و لو عند الأجل، فلیس ببعید، لکن لا یترک الاحتیاط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إشکال فی البطلان فیما لو باع بثمن إلیٰ أجل و بأزید منه إلیٰ آخر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الشهرة غیر ثابتة فی شرط المشتری علی البائع، و لا یترک الاحتیاط فی الفرعین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 نعم هو من الکبائر العظیمة أعاذنا اللّٰه منها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الضابط الاتّحاد فی الجنس عرفاً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أحوطه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قوبل بین النقدین اللذین فیهما، و أمّا إذا قوبل بین الثوبین فالظاهر عدم جریان الصرف فیه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الکفایة إذا وقعت المعاملة بین عشر روبیّات من الفضّة و لیرة من الذهب، نعم لو وقعت بین الجامع بین نوت عشر روبیّات و الفضّة منها فالظاهر أنّها لیست صرفاً، کما أنّه یکفی تسلیم أیّهما شاء</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حصل التقابض</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بعید، و لهذا وقوع المعاملة بمجرّد ما ذکره مشکل، بل لا بدّ من إیقاعها بنفسه، أو بجهة التوکیل</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لو علموا، و لا یلزم العلم الفعلی</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 بعد إبانة حالها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 إبقائها غیر ثابتة، و لکن کسرها أحوط، و لا فرق بین ما یعمل للغشّ و غیره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للبائع أیضاً مع جهله بالحال</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کذلک فی مثل خشونة الجوهر و اضطراب السکّة، و أمّا الغشّ الزائد علی المتعارف فهو خارج عن المورد</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و لا یبعد أن یکون مخیّراً بین إمساک المعیب بالثمن و مطالبة البدل قبل التفرّق</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عدم ثبوت الأرش فیه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الشرط الخامس هو غلبة الوجود وقت الحلول بحیث یکون مأمون الانقطاع و مقدور التسلیم عادة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الأقویٰ</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الکراهة غیر معلومة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کان مصداق الموصوف مع کمال زائد و فی غیر ذلک فالظاهر عدم وجوبه، کما إذا أسلم فی العبد الجاهل و أراد إعطاء العالم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الأقویٰ</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الأحوط عدم أخذ الزائد علیٰ رأس المال مطلقاً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البطلان لا یخلو من قوّة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تکون للکراهة مراتب إلیٰ بلوغ الثمرة و ترتفع به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صیرورته مأموناً من الآفة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یعتبر کون الثمرة تابعة، أو لا؟ الأقویٰ عدمه، و لعلّ مراده ذلک و زیادة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النسّاخ و إن کان له وجه غیر وجیه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الوجه الذی مرّ فی باب القبض</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بالتصالح فی الثانی منهما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الأقویٰ عدم الإلحاق، نعم الأقویٰ عدم جواز بیعها بمقدار منها</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أرش نقصها علیٰ فرضه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لکن لا یترک الاحتیاط خصوصاً فی بیع سنبل الشعیر بالحنطة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جریانه فیها لکنّه أحوط، نعم الأقویٰ عدم جواز بیع کلّ بمقدار ممّا حصل منه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الاقتصار علی النخل و الشجر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علون کأُخت الجدّ و الجدّة، لا خالة الخالة و عمّة العمّة و لا خالة العمّة و عمّة الخالة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الأُمّهات</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بسبب اختیاری لا غیره کالإرث، فإنّه یرثه و یجبر علیٰ بیعه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یبعد سماع دعواه إذا أوّل إقراره بتأویل ممکن فی حقّه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بمعنی جواز وطئها حال صغرها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ترکه حتّی تضع حملها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الانتزاع بمعنی التملّک لا یخلو من إشکال</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قابلًا للتذکیة یجوز بیع جلده و کذا إذا لم یکن المقصود منه اللحم کالفرس و الحمار، لکن یراد ذبحه لإهابه، فإنّه یجوز بیعه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عدم قیامه مقامهما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فیه و فیما بعده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تثبت الشفعة إلّا بین الشریکین و العبارة توهم خلافه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الاحتیاط فیه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یترک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له؛ لضعفه جدّاً، بل لاحتمال قصور الأدلّة عن إثبات الشفعة فیه، لکنّه مدفوع بإطلاق بعضها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الثبوت حینئذٍ</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البلد بعیداً جدّاً یتضرّر المشتری بتأجیله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فی الأخذ بها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ینبغی لهما ترک الاحتیاط بمراعاة المصلحة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فی الفرعین، بل فی مثل الولیّ و الوکیل المطلق لا یخلو عدم الجواز من وجه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 یجوز له الأخذ بها و إعطاء الثمن عاجلًا و التأخیر فی الأخذ و الإعطاء إلیٰ وقته، لکن الأحوط الأخذ عاجلًا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ثانیهما هو الأقویٰ</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تردّد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بغیر فعله مع المماطلة فی التسلیم بعد الأخذ بها بشروطه، و کذا الحکم فی الفرع الآتی</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أوّلهما فیه أیضاً إن کان المراد به ترکه مع بقاء الحقّ، لا جعله کنایة عن سقوطه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الجواز أشبه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استثنی کما یأتی بعضها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ثبوت الردّ من أحداث السنة، بل الأقویٰ عدمه، کما أنّ عدم ثبوت الأرش لا یخلو من قوّة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اغتفارها فیه أیضاً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الحال لو لم یعلم مقدارهما لکن علم إجمالًا زیادة المصالح عنه عن مال الصلح</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جریان حکمه فیه کما مرّ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ما هو الأقویٰ</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یبقیٰ علیٰ ذمّته و لو کان محقّاً بحسب اعتقاده، و أمر الآخرة موکول إلی الآخرة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کونه إقراراً بعدم کونه ملکاً له، و أمّا کونه إقراراً بملکیّة المدّعی فلا یخلو من إشکال</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الحکم کما ذکره فی شقوق المسألة، لکن لا ینبغی ترک الاحتیاط بالتصالح فیها، خصوصاً فی غیر ما استودع رجل رجلًا دینارین و استودعه آخر دیناراً فضاع دینار منها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المثلیّان ممّا یقبل الامتزاج کالحنطة و الزیت و امتزجا، فتلف بعضه یکون التلف بنسبة المالین؛ ففی المنّین و المنّ إذا امتزجا و تلف منّ تکون البقیّة بین المالکین تثلیثاً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یبعد جریان حکم الدرهم و الدینار فیما إذا کانا ممتازین فتلف منّ و اشتبه الأمر، لکن لا ینبغی ترک الاحتیاط</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عدم الجواز إلّا بإذنه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 کذا فی الفرع الآتی</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الرجوع بلا أرش هو الأقرب، لکن لا یترک الاحتیاط المذکور</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یرفع أمره إلی الحاکم کالجدار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الدالّ علیٰ إیقاع الإضافة الخاصّة المستتبعة للتملیک المذکور، فلفظ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آجرتک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القبیل، فهما صریحان فی إفادة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تصحّ بمثل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ملّکتک منفعة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مریداً به الإجارة، لکنّه لیس من العبارة الصریحة فی إفادتها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قصد تحقّق معنی الإجارة؛ أی الإضافة الخاصّة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تحقّقها فیه أیضاً بجعل نفسه تحت اختیار الطرف بهذا العنوان، أو بالشروع فی العمل کذلک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کونها مملوکة أو مستأجرة، فلا تصحّ إجارة مال الغیر إلّا بإذنه أو إجازته، و کذا العوض لا بدّ و أن یکون مملوکاً له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دخل له فی الرغبات و إلّا فلا بدّ من تعیین منتهاه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ذلک هو الجعالة المعروفة، و لکن لا تبعد صحّته، و لعلّه یرجع إلی الإباحة بالعوض</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المناط فی عدم الاستحقاق عدم الإیصال و لو لم یکن عن تقصیر، کما لو ضلّ الطریق فلم یوصله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انصراف موجب للتقیید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التعیین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تکن مستأجرة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بطلانها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لزومها کما مرّ فی البیع، و لا ینبغی ترک الاحتیاط المذکور هناک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له ذلک علی الأقویٰ، نعم لو اقتضت المصلحة اللازمة المراعاة فیما قبل الرشد الإجارة مدّة زائدة علیٰ زمانه؛ بحیث تکون بأقلّ منها خلاف مصلحته لیس له فسخها بعد البلوغ و الرشد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کونه مضموناً بوصف المخیطیّة لا یکون من متفرّعات الوجه الأوّل، بل علی الثانی أیضاً یکون مضموناً بوصفها؛ لکون الوصف مملوکاً له تبعاً للعین، و بعد الخروج عن عهدة الموصوف مع وصفه تکون له المطالبة بأُجرة المسمّی لتسلیم العمل ببدله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بتقصیر من المستأجر فی حفظها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لا یخلو ثانیهما من رجحان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معه قبل مجی‌ء زمان الإجارة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مدخل للاستیفاء فیه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أثنائها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الانتفاع الذی هو مورد الإجارة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سنخ مورد الإجارة بوجه یعتدّ به عرفاً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تلفت تحت یده، أو فی ضمانه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استحقاقها فی غیر الإجارة بلا اجرة، أو بما لا یتموّل 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فرق فیهما بین العلم ببطلانها و الجهل به فی عدم الاستحقاق علی الأقویٰ</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التناوب</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الأجیر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یبعد جوازها إذا کانت الأُجرة من غیر جنس الأُجرة السابقة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عدم الإلحاق لا یخلو من قوّة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 جواز دفع متعلّق العمل و کذا العین المستأجرة إلیه بدون الإذن إشکال، و إن لا یخلو من وجه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یؤدّ إلیٰ ضعفه فی العمل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وقت معیّن، فرکبها فی ذلک الوقت إلیه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 کونه مانعاً یعتبر إذنه، أو إجازته فی صحّتها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الصحّة فیها أیضاً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حصول الملکیّة للمستأجر، إلّا إذا قصد المؤجر العمل له، فلو قصد ملکیّتها لنفسه تصیر ملکاً له، و لو لم یقصد شیئاً فالظاهر بقاؤها علیٰ إباحتها علیٰ إشکال</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لا بما یحصل منها مطلقاً؛ سواء کان بمقدار معیّن من حاصلها أو مع اشتراط أدائه منه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تکن بحاصلها و لا یشترط ذلک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الضمان فی التطبّب علی النحو المتعارف</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هی إنشاء الالتزام بعوض معلوم علیٰ عمل محلّل مقصود، أو جعل عوض معلوم علیٰ عمل محلّل مقصود، و الأمر سهل</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الفروق بینهما و لهما فروق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الإجارة من العقود و هی من الإیقاعات علی الأقویٰ</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تکن فیه و فی سائر المذکورات أغراض عقلائیّة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أنّه الأحوط فی الکفائیّة و کذا هاهنا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ینافی ما یأتی فی المسألة العاشرة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ممنوع، فلا یعتبر اطّلاعه علی التزامه، نعم یعتبر فیه أن لا یکون متبرّعاً بعمله، فلو عمله خطأً و غفلةً بل من غیر تمییز کالطفل الغیر الممیّز و المجنون فالظاهر استحقاقه له کما مرّ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فی یده علیٰ وجه الغصب</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الجعل علیٰ إتمامهما، و إلّا یکون الحکم کردّ الضالّة و الآبق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الفرق فی الصورتین إذا کان الفسخ من الجاعل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للعامل من المسمّی بالنسبة فی الأُولیٰ، و له اجرة المثل فی الثانیة، فإذا کان العمل مثل الخیاطة و البناء فأوجد بعضه فرجع الجاعل، یکون للعامل من المسمّی بالنسبة، و إذا کان مثل ردّ الضالّة و کذا إتمام الخیاطة تکون له اجرة المثل</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الجعل فی أمثاله إنّما هو علیٰ إتمام العمل، و إلّا فلو فرض کونه علی العمل فالظاهر استحقاقه علیٰ ما عمل بالنسبة، و علیه غرامة الضرر الوارد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هی عقد ثمرته ذلک، أو ثمرته التبرّع بالمنفعة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عدم الجواز</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إشکال فیها، بل الأوّل أیضاً لا یخلو من تأمّل؛ و إن کان الجواز فیهما لا یخلو من وجه و قوّة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الأحوط</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تعدّیٰ نوعاً، و أمّا إذا تعدّیٰ کیفیّة فلا یبعد أن تکون علیه أُجرة الزیادة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جواز الإلزام بلا أرش، و المسألة مشکلة جدّاً، فلا یترک الاحتیاط فی أشباهها بالتصالح و التراضی</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اشترط السقوط</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فی غیر یده بعد وقوعها علیها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غیر ما استوفاه من المنافع الفائتة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عقد یفیدها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تحقّقها به مشکل</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المودع أعجز منه فی الحفظ مع عدم مستودع آخر، فإنّ الجواز فی هذه الصورة غیر بعید، خصوصاً مع التفات المودع</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کانا ممیّزین صالحین للاستئمان لا یبعد ضمانهما مع تفریطهما فی الحفظ</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فهم منه القیدیّة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وصل إلیه أم لا، فنفس إظهارها فی محلّ کذائی موجب لانقلاب یده إلی الضمان، و هو لیس ببعید، و أمّا احتمال رجوع الإطلاق إلی الإظهار فبعید، و علیٰ فرضه ضعیف، کاحتمال رجوعه إلی الضمان فإنّه بعید و ضعیف بإطلاقه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علیه ذلک علی الأحوط، و له الرجوع إلیه مع قصده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ردّها إلیٰ مالکها أو القائم مقامه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 علیه علی الأولی الأحوط</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فرض کونها تحت یده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الإشهاد غیر موجب للتأخیر الکثیر، و إلّا فلا یجوز خصوصاً لو کان الإیداع بلا إشهاد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جریان حکم اللقطة علیه، لکن لا یترک الاحتیاط باختیار التصدّق مع الضمان کما فی المتن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معه و مع مساواة السفر للحضر فی الحفظ، و لو قیل باختلاف الودائع؛ فیجوز فی بعضها السفر بها لکان حسناً، لکن لا یترک الاحتیاط مطلقاً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جواز الإیداع</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عدّ مطلق السفر بها و السفر بمطلقها من التفریط منع</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کونه تعدّیاً مع احتمال تعلّق غرضه بانفصالهما، فضلًا عن إحرازه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جعلها المستودع فی حرزه، و أمّا لو کان المودع أخذ الحرز من المستودع، و جعلها فیه و ختمه أو خاطه فأودعها، فالوجه هو ضمان الجمیع بمجرّد الفتح من دون مصلحة أو ضرورة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جدّد عقد الودیعة بعد فسخ الأوّل</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أوجههما السقوط</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ذلک علیه الضمان، إذا کان إنکاره بغیر عذر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تمرّ الصورة الأُولیٰ، و الأقوی فیها التعیین بالقرعة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أوجههما عدم اعتباره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یعتبر قوله فیما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عندی فی هذه الترکة ودیعة من فلان، فمات بلا فصل یحتمل معه ردّها أو تلفها بلا تفریط، فیجب التخلّص بالصلح علی الأحوط، و یحتمل العمل بالقرعة قویّاً، و مع أحد الاحتمالین المتقدّمین ففی الوجوب تردّد فیما 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عندی فی هذه الترکة ودیعة، نعم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عندی ودیعة، من غیر تعیین مطلقاً أو مع تعیین ما، و لم یذکر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فی ترکتی، فالظاهر عدم وجوب شی‌ء فی الترکة مع الاحتمالین و مع عدمهما لو لم یعلم بالتفریط و التلف</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وقع تحت یده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ربّ المال عدم الحجر لفلس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العامل القدرة علی التجارة برأس المال، فلو کان عاجزاً مطلقاً بطلت و مع العجز فی بعضه لا تبعد الصحّة بالنسبة علیٰ إشکال، نعم لو طرأ فی أثناء التجارة تبطل من حین طروّه بالنسبة إلی الجمیع لو عجز مطلقاً، و إلی البعض لو عجز عنه علی الأقویٰ</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جوازها بمثل الإسکناس و الدینار العراقی و نحوهما من الأثمان غیر الذهب و الفضّة لا یخلو من قوّة، و کذا فی الفلوس السود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مالکیّته لما قصد لغیره محلّ إشکال، و یحتمل بقاؤه علیٰ إباحته و علیه اجرة مثل الشبکة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جعل کنایة عن لزومها مع ذکر قرینة دالّة علیه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لزوم العمل علیهما، و کذلک لو شرطاه فی ضمن عقد جائزٍ ما لم یفسخ</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الأقویٰ عدم الجواز</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 لو کان مرجعه إلی انتقالها إلیٰ عهدته بعد حصولها فی ملکه بنحو شرط النتیجة لا تبعد صحّته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أنّه لا یبعد لزوم الوفاء و لو کان فی ضمن عقد جائز ما دام باقیاً، نعم له فسخ عقد المضاربة و رفع موضوعه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بانصراف لأجل التعارف</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قبله، فإن کان بقاؤه لأجل إتمامه و غرض آخر، فلا یبعد التوزیع بالنسبة إلیهما، و الأحوط احتسابها علیٰ نفسه و إن لم یتوقّف الإتمام علی البقاء و إنّما بقی لغرض آخر تکون النفقة علیٰ نفسه، و نفقة الرجوع علیٰ مال القراض لو سافر للتجارة به و لو عرض فی الأثناء غرض آخر؛ و إن کان الأحوط التوزیع فی هذه الصورة، و أحوط منه الاحتساب علیٰ نفسه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عاملًا لنفسه و غیره، و أمّا إذا کان عاملًا لاثنین فالأحوط التخلّص بالتصالح بینهما و معهما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یجب علیه الأداء لعدم الإذن علیٰ هذا الوجه، و ما هو لازم عقد المضاربة هو الإذن بالشراء کلّیّاً متقیّداً بالأداء من مال المضاربة؛ لأنّه من الاتّجار بالمال عرفاً، نعم للعامل أن یعیّن دراهم شخصیّة و یشتری بها و إن کان غیر متعارف فی المعاملات، لکنّه مأذون فیه قطعاً و أحد مصادیق الاتّجار بالمال</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إیقاع بعض المعاملات التی تعارف إیکالها إلی الدلّال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الصحّة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تحقّقه بالفسخ فقط أو بتمام أمدها لو کان لها أمد لا یخلو من وجه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بعد الدوران فی التجارة أو قبله أو قبل الشروع فیها، تلف البعض أو الکلّ، فلو اشتریٰ فی الذمّة بألف و کان رأس المال ألفاً فتلف فباع المبیع بألفین فأدّی الألف بقی الألف الآخر جبراً لرأس المال، نعم لو تلف الکلّ قبل الشروع فی التجارة بطلت المضاربة إلّا مع الإتلاف بالضمان مع إمکان الوصول</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المناط فی استقرار ملک العامل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الأشبه عدم الوجوب، خصوصاً إذا استند الفسخ إلیٰ غیر العامل، لکن لا ینبغی ترک الاحتیاط، خصوصاً مع فسخه و طلب المالک منه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إذنه فی التجارة متقیّداً بالمضاربة، و إلّا فیتوقّف علیٰ إجازته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استحقاقه لُاجرة المثل فی هذه الصورة أیضاً لا یخلو من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حصل ربح بمقدار کان سهمه علیٰ فرض الصحّة مساویاً لُاجرة المثل أو أزید، و أمّا مع عدم الربح أو نقصان سهمه عنها فمع علمه بالفساد لا یبعد عدم استحقاق الأُجرة مع عدم الربح و عدم استحقاق الزیادة عن مقدار سهمه مع النقصان، و مع جهله به فالأحوط التخلّص بالصلح، بل لا یترک الاحتیاط مطلقاً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یعلم العامل بالحال، و إلّا ینعکس الأمر و یکون قرار الضمان علیٰ من تلف أو تعیّب عنده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یرجع نزاعهما فی مقدار نصیب العامل من الربح، و إلّا ففیه تفصیل</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تقدیم قوله ممنوع، و یحتمل التحالف بملاحظة محطّ الدعویٰ، و یحتمل تقدیم قول العامل بلحاظ مرجعها، و إذا حصل الربح فادّعی المالک قراضاً و العامل إقراضاً یحتمل التحالف أیضاً بلحاظ محطّها و تقدیم قول المالک بلحاظ مرجعها و لعلّ الثانی فی الصورتین أقرب</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 التحالف ضعیف فی هذا الفرع؛ لعدم جریان أصالة عدم البضاعة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ینبغی لهما ترک الاحتیاط بمراعاة المصلحة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وجه آخر؛ و هو التقسیم بینهم علیٰ نسبة أموالهم، و لکن الأقویٰ ما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کان دیّان للمیّت و مال مضاربة و لم یعلم أنّه بعینه لفلان فهو أُسوة الغرماء</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یأتی فیه الوجوه المتقدّمة إذا لم یکن ممتزجاً و اشتبه مع أموال الورثة، و الأقوی فیه القرعة أیضاً، خصوصاً إذا کانت الأجناس مختلفة فی الجودة و الرداءة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بل کون الأموال مورّثة لا یخلو من قوّة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لها سبب ثالث؛ و هو تشریک أحدهما الآخر فی ماله و یسمّی بالتشریک، و هو غیر الشرکة العقدیّة بوجه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بعید، و الأقوی ظاهریّتها مع امتزاج المتجانسین و عدم الشرکة مع امتزاج غیرهما، فیتخلّص بصلح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الجامدات الناعمة محلّ تأمّل و إشکال، و لا یبعد ظاهریّتها، نعم فی خلط المائعات الرافع للامتیاز عرفاً بحسب الواقع و إن لم یکن عقلًا کذلک، فالظاهر کونها واقعیّة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التخلّص بالصلح و نحوه فیه و فیما بعده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منع، بل الموارد مختلفة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أشهر معانیها علی المحکیّ</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الاشتراک شرطاً فی عقد الشرکة، بل الشرط فیه هو الامتزاج الرافع للتمیّز قبل العقد أو بعده؛ سواء کان المالان من النقود أم العروض، حصل به الشرکة کالمائعات أم لا کالدراهم و الدنانیر، کانا مثلیّین أم قیمیّین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 الأجناس المختلفة التی لا یجری فیها المزج الرافع للتمیّز لا بدّ من التوسّل بأحد أسباب الشرکة علی الأحوط، کما أنّه لو کان المال مشترکاً کالمورّث یجوز إیقاع العقد علیه و یفید الإذن فی التجارة فی مثله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ما هو الأقویٰ</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یقتضی عقد الشرکة و لا إطلاقه جواز تصرّف الشریکین فی مال الآخر، إلّا إذا دلّت قرینة حالیّة أو مقالیّة علیه، کما إذا کانت الشرکة حاصلة کالموروث فأوقعا العقد و مع عدم الدلالة لا بدّ من إذن صاحب المال و یتّبع فی الإطلاق و التقیید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منع، و کذا فی السفر، و الموارد مختلفة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البطلان فیما إذا تحقّقت الشرکة بعقدها لا بالمزج، کمزج اللوز باللوز و الجوز بالجوز و الدرهم و الدینار بمثلهما، فإذا انفسخ العقد یرجع کلّ مال إلیٰ صاحبه فیتخلّص فیه بالتصالح، نعم فی عروض الموت و ما یتلوه لأحدهما لا یبعد بقاء أصل الشرکة مطلقاً مع عدم جواز تصرّف الشریک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نعم لو شرطا فی ضمنه عدم الرجوع یجب علیهما الوفاء</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إذنهما متقیّداً بالشرکة إذا حصلت بالعقد أو بصحّة عقدها فی غیره، هذا إذا اتّجر کلّ منهما أو واحد منهما مستقلا و إلّا فلا إشکال</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هی تمیّز حصصهم؛ بمعنی جعل التعیین بعد ما لم یکن معیّناً بحسب الواقع، لا تمییز ما هو معیّن واقعاً و مشتبه ظاهراً</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تتأتّیٰ قسمة التعدیل فیما تتأتّیٰ فیها قسمة الإفراز و الردّ؛ بأن یجعل مقدار من الأکثر قیمة مع أقلّها بحیث یکون مجموعهما مساویاً للبقیّة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هذا من قسمة الردّ ینافی ما مرّ منه؛ من أنّه قد لا یتأتّیٰ فیها إلّا قسمة التعدیل، کما إذا اشترک اثنان فی ثلاثة عبید قد ساویٰ أحدهم مع اثنین منهم بحسب القیمة؛ لجریان قسمة الردّ فیها بما ذکره هاهنا، بل لازم ذلک جریان قسمة الردّ فی جمیع الصور حتّی فیما إذا کان من جنس واحد من المثلیّات</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إمکان الإفراز؛ بأن یصل إلیٰ کلّ بمقدار حصّته منهما، یقدّم علیٰ سائر الأنحاء، و کذا الحال فی مثله من الفروع الآتیة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لا یترک الاحتیاط المذکور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فی غیر صورة القرعة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تجوز معه أیضاً إذا کانت مخالفة لمقتضی الوقف بسبب اختلاف البطون قلّة و کثرة، و ترتفع غائلة التشاحّ بالتقسیم بین الطبقة الموجودة فقط</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لواحد، فوقف نصفه علیٰ زید و ذرّیّته و نصفه الآخر علیٰ عمرو کذلک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جریانها بعد تعیین ما یلزم تعیینه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الحجر لفلس إذا کان تصرّفه مالیّاً، و أمّا إذا کان من الزارع العمل فقط فلا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یکفی فیه تعارف یوجب الانصراف</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اشتراط الانتفاع بنفسه مباشرة فیها و فی أمثالها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أوجهها ضمان اجرة المثل فیما إذا کانت الأرض تحت یده و ترک الزراعة بتفریط منه، و فی غیره عدم الضمان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التعیین علیٰ وجه الشرطیّة فی ضمن عقد المزارعة، و أمّا إذا کان علیٰ وجه القیدیّة فله علیه أُجرة الأرض و أرش نقصها علیٰ فرضه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صحّة جعل الأرض و العمل من أحدهما و البذر و العوامل من الآخر، أو واحد منها من أحدهما و البقیّة من الآخر، بل الظاهر صحّة الاشتراک فی الکلّ، و الظاهر عدم لزوم کون المزارعة بین الاثنین، فیجوز أن یجعل الأرض من أحدهم و البذر من الآخر و العمل من الثالث و العوامل من الرابع و إن کان الأحوط ترک هذه الصورة و عدم التعدّی عن الاثنین، بل لا یترک حتّی الإمکان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من المزارعة، و لا یجوز عقدها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یجوز أن ینقل حصّته إلی الغیر و یشترط علیه القیام بأمر الزراعة، لکن الناقل طرف للمالک و علیه القیام بأمر الزراعة و لو بالتسبیب کما فعل</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تیسّر العلاج</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البطلان مستنداً إلیٰ جعل جمیع الحاصل لصاحب الأرض فالأقویٰ عدم اجرة العمل و العوامل علیه، و إذا کان مستنداً إلیٰ جعل جمیعه للزارع فالأقویٰ عدم أُجرة الأرض و العوامل علیه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یجعل البذر لأحدهما و الحشیش و القصیل و التبن للآخر مع الاشتراک فی الحبّ</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حاصله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صراحة هذا و تالیه باعتبار المتعلّقات</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یجری فیها المعاطاة علیٰ ما مرّ فی المزارعة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لسفه فیهما و لفلس من غیر العامل</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یکون المتعامل نافذ التصرّف؛ لولایة أو غیرها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الجزم مشکل، بل الصحّة محلّ إشکال</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محتاجة إلی السقی أو عمل آخر ممّا تستزاد به الثمرة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ورده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هو الصحّة إذا احتاجت إلیٰ عمل یستزاد به الثمر؛ کانت الزیادة عینیّة أو کیفیّة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العلم الرافع للغرر شرط فی المعاملة علی المجموع بحصّة متّحدة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الأعمال ممّا یستزاد بها الثمر، و مع عدمه فمحلّ إشکال</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بالفساد شرعاً لا یوجب سقوط اجرة المثل، نعم لو کان الفساد مستنداً إلی اشتراط جمیع الثمرة للمالک لم یستحقّ الأُجرة؛ من غیر فرق بین العلم بالفساد و الجهل به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یجوز تشریکه فی العمل علی الظاهر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ما ذکره فی المؤجّل من أحکامهما، لا معرّفهما کما یظهر من کلامه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 إشکال</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التأمّل فیه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إذا کانا مؤجّلین؛ سواء حلّا أم لا علی الأقویٰ، و فی غیره علی الأحوط</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سکناه فیها موجباً لمنقصة و حزازة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الأقوائیّة محلّ إشکال</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ترک و کان دینه مستوعباً، أو کالمستوعب</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هذا التکرار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التی عندی، نعم ما فی المتن موافق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کونها کبیرة محلّ تأمّل، و إثباته بروایة الحسین بن زید و یونس بن ظبیان مشکل</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مع علم المستدان منه بحاله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القیمیّات فلا یبعد عدم اعتبار إمکان ضبط الأوصاف، بل یکفی فیها العلم بالقیمة حین الإقراض، فیجوز إقراض الجواهر علی الأقرب مع العلم بقیمتها و إن لم یمکن ضبط أوصافها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للمقترض إرجاع العین فی القیمیّات</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یلحق به أمثال ما یخرج من المکائن کظروف البلّور و الصینی، بل و طاقات الملابس علی الأقرب</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الأقرب ثبوتها وقت القبض</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جواز امتناعه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کما أنّه لا یترک الاحتیاط فی القبول فیما إذا أدّی المقترض و لم یکن ضرر و مئونة علی المقرض</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 لکن الحکم کما ذکره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عقد شرّع للاستیثاق علی الدین و لا یتقوّم العقد باللفظ، بل یشمل المعاطاة علی الأصحّ</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صحّة هذا الشرط لا تخلو من إشکال</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 إن کان للصحّة وجه، و قبضه بقبض مصداقه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کانت مفتوحة عنوة و ما صولح علیها علیٰ أن تکون ملکاً للمسلمین</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المنع لا یخلو من قرب</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علی الأقویٰ، نعم لا یبعد جواز رهن الحقّ المتعلّق بها علیٰ إشکال</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بل الأقرب هو البطلان إذا لم یستفد اشتراط البیع کما لو جعل العین بمالیّتها رهناً، فیصحّ و تباع و یجعل ثمنها رهناً</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الفرق بین الکلّی فی المعیّن و غیره، و الصحّة فی مطلق الکلیّات لا تخلو من وجه، و سبیل الاحتیاط معلوم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کونه ممّا یتموّل، و أمّا مع علمه بذلک و جهله بعنوان العین فالأحوط ذلک و إن کان الجواز لا یخلو من وجه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صحّته فی مثلها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تعارف یوجب الدخول، و کذا فی الثمر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الجواز فیما هو بنفع الرهن إذا لم یخرج من ید المرتهن بمثله، کسقی الأشجار و علف الدابّة و مداواة المریض و أمثالها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تعارف یوجب التقیید کما مرّ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بل منع، إلّا إذا استفید من شرط أو قرینة أنّها رهن بمالیّتها</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إمکان الإذن من الحاکم و الوکالة منه لا یجوز أن یستقلّ المرتهن بالبیع و لو لم تکن للحاکم قدرة علی الإلزام بالبیع و علی البیع علیه، نعم مع فقد الحاکم أو عدم إمکان الإذن منه یجوز أن یستقلّ بالبیع، و العبارة لا تخلو من شی‌ء</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الأولی الأحوط عدم إخراجه من ظلّ رأسه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استفید الإذن فی بقائه فی خصوص المورد من ارتهانه، کما لا یبعد مع علم الراهن بالحال</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بعید، فالأموال مورّثة علی الأقویٰ</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وجوه، أوجهها بقاء الرهن علیٰ رهانته إلی الفکّ الیقینی</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استثنی کالوصیّة علیٰ ما سیأتی إن شاء اللّٰه تعالیٰ و نفوذ بیعه فی الأشیاء الغیر الخطیرة لا یخلو من قوّة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من بلغ عشراً، و لو طلّق یتخلّص بالاحتیاط</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إکمالها، و فی الأُنثیٰ إکمال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صفة العدالة مبنیّ علی الاحتیاط</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الأقرب جوازه مع وثاقته عنده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کونها للحاکم، لکن لا ینبغی ترک الاحتیاط</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توقّفه علیه ثبوتاً و زوالًا فی غیر من یکون سفهه متّصلًا بزمان صغره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جریانها فی الوقف محلّ تأمّل، بل الجریان لا یخلو من رجحان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یقبل فی غیر لوازمها المالیّة کالنفقة، و أمّا فیها فلا یخلو من إشکال و إن کان الثبوت لا یخلو من قرب</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محلّ تأمّل</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الضمان فی صورة الإتلاف</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بحکم الواقعة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ضمانه مع التفریط أشبه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یکون الدین لمن کان الحاکم ولیّه کالمجنون و الیتیم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یف ماله بدین ذلک البعض</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 نفوذه علیٰ فرض شموله إشکال</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مشارکته معهم، و کذا فی الإقرار بمثل الإتلاف و الجنایة و نحوهما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حلّ قبل فکّ الحجر، فالأصحّ الرجوع بها</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و الأحوط التخلّص بالصلح، و کذا فیما إذا استوفی المستأجر بعض المنفعة علیٰ ما یأتی فی الفرع اللاحق</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البائع کالأجنبی فیما یأتی، و یکون ما فی عهدته من ضمان المبیع جزء أموال المفلّس</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له أخذها کما هی و الضرب بالثمن کالتلف السماوی فحینئذٍ فالأحوط للبائع ذلک، لکن المسألة مشکلة، فالأحوط التخلّص بالصلح</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أحوط منه الرضا بالبقاء بغیر اجرة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الخلط الرافع للتمیّز</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الأقرب عدم الأحقّیّة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الکفن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انتقاضها؛ بمعنی انکشاف عدم صحّتها من رأس</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 ما هو الأقویٰ فیها</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أنّه منها و التعلیل علیل</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المرض مهلکاً لا یکون خارجاً و لو اتّفق الموت بسبب آخر علی الأقرب، و الأمر سهل بعد ما کان النفوذ من الأصل</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عدم النفوذ</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کون المضمون له غیر محجور علیه لفلس</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صرّح بضمانه حالّا أو بأقلّ من أجله؛ فإنّ الأقرب الرجوع علیه حینئذٍ مع أدائه</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عدم وقوعه لکلّ منهما مستقلا علیٰ ما یقتضی مذهبنا فی الضمان، فهل یقع باطلًا أو یقسّط علیهما بالاشتراک؟ وجهان، أقربهما الأوّل</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بقاء الثمن فی ید البائع محلّ تردّد، نعم لا إشکال فیه مع تلفه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جوازه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بلا إشکال</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الحجر للفلس، و کذا فی المحیل إلّا علی البری‌ء</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الأحوط فی هذه الصورة، و علی الأقویٰ فی الحوالة علی البری‌ء، أو بغیر جنس ما علی المحال علیه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صحّته مع التراضی</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الأقرب أنّه لیس له الرجوع</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الأقویٰ عدم اعتباره و عدم کونه طرفاً للعقد، نعم مع رضاه یلحق بها بعض الأحکام زائداً علی المجرّدة منه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حقوق اللّٰه کالمثالین لا من حقوق الخلق کعقوبة القصاص</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الحقّ ثابتاً علی المکفول کذلک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ثبوت الحقّ کذلک کما مرّ</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للحاکم حبسه بعد الرفع إلیه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مثل الدین، و أمّا فی غیره کحقّ القصاص و الکفالة عن الزوجة فیلزم بالإحضار و یحبس حتّی یحضره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رجاء الظفر به مع الفحص لا یبعد أن یکلّف بإحضاره و حبسه لذلک، خصوصاً إذا کان ذلک بتفریط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إلزامه بأداء الدین فمع رجاء الظفر به محلّ تأمّل، نعم لو أدّی تخلّصاً من الحبس یطلق منه</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تکفّل ابتداءً، و أمّا عروض البطلان بعروض عدم الرجاء بالظفر فمحلّ إشکال بل منع، خصوصاً إذا کان بتفریط من الکفیل فلا یبعد إلزامه بالأداء، أو حبسه حتّی یتخلّص بالأداء خصوصاً فی هذه الصورة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إشکال</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کانت الکفالة بإذنه، و کذا لو صرف لا بعنوان التبرّع، فإنّ الرجوع إلیه إنّما هو فیما إذا أذنه فیها</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التسلیم عن الکفیل، و إلّا فمحلّ إشکال بل منع، و کذا لو أخذه المکفول له، فإنّ براءة الکفیل بمجرّده محلّ إشکال بل منع</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ضمن إحضاره و لو أدّی ما علیه سقط ضمانه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مثل الدین، و أمّا فی مثل حقّ القصاص فضمن إحضاره، و مع تعذّره فمحلّ إشکال</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ضمن إحضاره و مع تعذّره بموت و نحوه تؤخذ منه 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القتل العمدی، و أمّا ما یوجب الدیة فلا یبعد جریان حکم الدین علیه؛ من ضمان إحضاره، و لو أدّی ما علیه سقط ضمانه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 حیاته، فتمتاز عن الوصایة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الوکیل فی مجرّد إجراء العقد علی الأقرب، فیصحّ توکیله فیه إذا کان ممیّزاً مراعیاً للشرائط</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 یکون إیقاعه جائزاً له و لو بالتسبیب، فلا یصحّ أن یوکّل المحرم فی عقد النکاح و لا ابتیاع الصید</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صحّتها فیما إذا کان لمسلم، خصوصاً إذا لم یقعا تحت یده و تسلّمهما المسلم فلا ینبغی الإشکال حینئذٍ فی جوازه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فی غیر محلّه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الظاهر جوازه إذا وقعت الوکالة علیٰ کلّی یکون هو من مصادیقه، کما لو وکّله علیٰ جمیع أُموره، فیکون وکیلًا فی المتجدّد فی ملکه بهبة أو إرث؛ بیعاً و رهناً و غیرهما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رکعتی الطواف تبعاً للحجّ للعاجز، و مستقلّا فی بعض الفروض علیٰ إشکال، و تدخل النیابة أیضاً فی غسل الأعضاء و مسحها عن العاجز</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صحّتها علیٰ وجه لا یکون صرف التوکیل تمسّکاً بالزوجیّة حتّی یکون رجعة و ارتفع بها متعلّق الوکالة، کما أنّه لا تبعد صحّتها فی النذر و العهد و الظهار</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الأمثلة المذکورة للمطلقة منها، بل هی وکالة مخیّرة کالواجب التخییریّ، و الوکالة المطلقة کالتوکیل فی بیع داره فی مقابل المقیّدة بثمن معیّن أو شخص معیّن، و الأمر سهل بعد صحّة جمیعها علی الأقویٰ</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الظاهر، کما أنّه فی الفرض اللاحق فضولیّ فی الظاهر، و أمّا الصحّة و الفضولیّة الواقعیّتان فتابعتان للواقع، فربّما یکون غرض صحیح فی التحدید و لم یحدّدها، و ربّما یکون الظاهر متخلّفاً عن الواقع</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ممنوع</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 لکلامه ظاهر متّبع</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 فی الإطباقیّ، و علی الأحوط فی غیره و فی الإغماء</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لکلامه ظاهر فیه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للمدّعیٰ علیه، أو وکیل المدّعی إقامة البیّنة علیٰ ثبوت الوکالة، و معها تثبت حقّیّة المدّعیٰ علیه فی ماهیّة الدعویٰ</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للوکیل أن یقبض نفسه بعد أخذه من المدیون بعنوان الوکالة عن الدائن فی الاستیفاء، إلّا أن یکون توکیل المدیون بنحو لا یشمل قبض الوکیل</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ارتفاع ضمانه بنفس البیع</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بما یستتبع حقّا أو حکماً علی المخبر، کالإقرار بالنسب و بما یوجب القصاص أو الحدّ، و فی جانب النفی أیضاً أعمّ من الإخبار بنفی الحقّ أو ما یستتبعه</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کونه إقراراً فی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لیس لی علیک کذا؟ محلّ تردّد</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 للمقرّ به حکم و أثر، کالإقرار بما یوجب حدّا</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الإنفاق مع إنکارها و عدم تمکینها ممنوع</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الظاهر، إذا کان فی مقام الإخبار عن الواقع لا إنشاء الإسقاط لو جوّزنا بمثله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هو الثانی</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إلی الفداء محلّ إشکال، بل الأقرب عدم القبول</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یقبل فی غیر ما یوجب الاسترقاق، و ما فی یده من مولاه و یتبع به بعد العتق، فالمراد من عدم القبول هو المعجّل منه؛ من غیر فرق بین ما یوجب حدّا و غیره علی الأقویٰ</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هو الأقویٰ؛ من عدم المشارکة مع الغرماء</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یرجع إلیٰ مالکیّتها، و أمّا إذا أقرّ باختصاص المقرّ به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الجلّ مختصّ بهذا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لهذا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یقبل علی الأقویٰ و یحکم بمالکیّة مالکها، نعم لو أقرّ بدین لحمار مثلًا بطل إقراره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بقائه علی الإقرار، و إلّا ففیه تأمّل</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للهبة بالمعنی الأعمّ، و أمّا المصطلح فی مقابل أخواتها فلا بدّ له من قیود تخرج بها الهدیّة و النحلة و الجائزة و الوقف و الصدقة و الوصیّة، و الأمر سهل</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القابل، فیصحّ قبول الولیّ عن المولّی علیه الموهوب له، و یشترط فی الموهوب له زائداً علیٰ ما ذکر أن یکون قابلًا لتملّک العین الموهوبة، فلا تصحّ هبة المصحف للکافر، و فی الواهب کونه مالکاً لها، فلا تصحّ هبة مال الغیر إلّا بإذنه أو إجازته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صحّتها، و یکون قبض الموهوب بقبض مصداقه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الصور</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جواز الرجوع للزوج و الزوجة علیٰ کراهة، و الأحوط عدم الرجوع</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یصدق معه عدم قیام العین بعینها عرفاً</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یتخیّر بین ردّ الهبة و دفع العوض، و الأحوط دفعه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 أحوط منه تعویضه بأکثر، خصوصاً إذا کان الواهب أدنیٰ من الموهوب له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الظاهر أنّ حصول الثمرة و الحمل بل و الولد أیضاً من ذلک، و معها لا تکون العین قائمة بعینها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روایة العامّة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عدم اعتباره فیه أیضاً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عدم اعتباره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بإذن الواقف و بعنوان التسلیم و القبض، و کذا فی المقبرة</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وجه</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بل الأوجه أن یقصد قبضه بما أنّه متولّی الوقف</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الوقفیّة علی الأحوط، بل الأوجه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خروجه عن ملکه فی بعض الصور محلّ منع</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الفرق بین الوقف المؤبّد و الحبس وجیه علیٰ إشکال فی بعض فروعه و أمّا بین الوقف المنقطع الآخر و بینه، خصوصاً بعض صوره فمحلّ تأمّل</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زواله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منع</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جواز التصرّفات الناقلة منع، بل الظاهر عدم جواز رهنها أیضاً</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الأوّل، و أمّا الثانی فالظاهر صحّته بالنسبة إلیٰ من یصحّ، و کذا الحال فی المنقطع الوسط فیصحّ علی الظاهر فی الطرفین، لکن الأحوط تجدید الوقف عند انقراض الأوّل فی الأوّل، و الوسط فی الثانی</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علی الأقویٰ</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رجع الشرط إلی الوقف لنفسه، و أمّا إن رجع إلی الشرط علی الموقوف علیهم؛ بأن یؤدّوا ما علیه من منافع الوقف التی صارت ملکاً لهم فالأقویٰ صحّته، کما أنّ الأقویٰ صحّة استثناء مقدار ما علیه من منافع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فی صورة بطلان الشرط تختلف الصور، ففی بعضها یمکن أن یقال بالصحّة بالنسبة إلیٰ ما یصحّ، و فی بعضها یصیر من قبیل الوقف المنقطع الأوّل فیصحّ علی الظاهر فیما بعده، لکن الاحتیاط بإجراء الصیغة فی مواردها لا ینبغی ترکه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یکفی عدم قصد الخروج فی جواز الانتفاع</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فیما یصحّ منه علیٰ مذهبه؛ إقراراً له علیٰ مذهبه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بقاءً معتدّاً به، فلا یصحّ وقف ریحانة للشمّ علی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الشرائط کون العین غیر متعلّقة لحقّ الغیر المانع من التصرّف، فلا یصحّ وقف العین المرهونة</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ممنوع علیٰ ما فصّل، بل ما یعتبر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الموقوف علیه حین الوقف، فلا یصحّ الوقف علی المعدوم أو الحمل ابتداء بنحو الاستقلال لا التبعیّة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لزوم وجود شخص فی کلّ زمان فممنوع، فلو وقف علیٰ ولده الموجود و علیٰ ولد ولده بعده و مات الولد قبل ولادة ولده فالظاهر صحّته، و یکون الموقوف علیه بعد موت الولد هو الحمل</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عددهم غیر محصور کبنی هاشم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الاستقصاء بمقدار الإمکان و عدم الحرج علی الأحوط، إلّا أن یکون علی الجهة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الواقف ممّن یریٰ أنّ غیر أهل مذهبه أیضاً من المسلمین</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یبعد أن یفصّل بین ما ذکر و بین ما إذا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وقفت علیٰ أولادی ثمّ علی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وقفت علیٰ أولادی و أولاد أولادی ثمّ علی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فیختصّ بالبطن الأوّل فی الأوّل، و بالبطنین فی الثانی، خصوصاً فی الصورة الأُولیٰ</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بل منع، فالظاهر فیما عدا قسمة الطبقة الأُولی الرجوع إلی القرعة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جواز الإدخال منصوراً أو مشهوراً محلّ إشکال، فلا یبعد عدم جواز الإدخال کالإخراج</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الأقویٰ</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عدم الخروج عن محلّ التردید</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جوازه</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فروضه محلّ تأمّل بل منع</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 المنقطع الآخر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اعتبار الوقف فی جمیع أقسامه إیقاف العین لدرّ المنفعة علی الموقوف علیه، فلا تصیر العین ملکاً لهم و تخرج عن ملک الواقف إلّا فی بعض صور المنقطع الآخر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مثل المساجد و المشاهد، و أمّا غیرها فمحلّ إشکال، لا یترک الاحتیاط بما ذکر</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ضمانها فی مثل المدارس و الخانات و الحمّامات</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یرجی العود، و إلّا فالأقویٰ عدم الجواز کما مرّ</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فیما إذا کان أداؤه مظنوناً لا یخلو عدم الجواز من قوّة کما مرّ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صرفه لأجل توفیر المنفعة بعید، کما أنّه مع إمکان تعمیر البعض الخراب من منافعه، فالأحوط تعمیره منها و صرف ثمن المبیع فی اشتراء مثل الموقوفة، نعم فیما إذا لم تکن له منفعة کذلک لا یبعد ما فی المتن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تکون نافذة بالنسبة إلی البطون اللاحقة، ففی الحقیقة تکون هذه القسمة قسمة المنافع، و الظاهر جوازها مطلقاً، و أمّا قسمة العین بحیث تکون نافذة بالنسبة إلیٰ سائر البطون فالأقویٰ عدم جوازها مطلقاً</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صحّتها بإجازتهم؛ کما مرّ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الإجارة</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نفوذها بدون إجازتهم؛ کما مرّ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الإجارة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الممیّز أیضاً إن أُرید عمل التولیة من إجارة الوقف و أمثالها منه مباشرة، و أمّا إذا جعل التولیة له حتّی یقوم القیّم بأمرها ما دام قاصراً، فالظاهر جوازه و لو کان غیر ممیّز</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کتاب الزکاة وقت التعلّق و المیزان فی الانتقال قبل وقته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القبض</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هل القبض شرط الصحّة أو اللزوم؟ وجهان، لا یبعد ترجیح الأوّل کما فی المتن</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السکنی المطلقة، إذا أُرید بالبیع فسخها و تسلیط المشتری علی المنافع</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المسألة محلّ تردّد؛ ناشئ من أنّ مقتضی العقد تملیک سکنی الدار فیرجع إلیٰ تملیک المنفعة الخاصّة، فله استیفاؤها بأیّ نحو شاء؛ من نفسه و غیره، و له الإجارة و الإعارة، و تورث إذا کانت المدّة عمر المالک و مات الساکن دون المالک، أو مقتضاه الالتزام بسکونة المعمّر علیٰ أن یکون له الانتفاع و السکنیٰ من غیر أن تنتقل إلیه المنافع، و لازمه ما فی المتن من جواز إسکان من جرت العادة بالسکنیٰ معه و عدم جواز الإجارة و الإعارة، و یورث ذلک الحقّ بموت الساکن، أو مقتضاه نحو إباحة لازمة، و لازمه عدم التوریث و عدم جواز الإجارة و الإعارة و جواز إسکان من جرت العادة بسکناه، و لعلّ الأوّل أقرب خصوصاً فی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 سکنی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العمریٰ و الرقبیٰ، و لا تخلو المسألة من إشکال</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کونها بحکم العمریٰ</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معتدّ به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قوّة فیه، و لا ینبغی ترک الاحتیاط</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الوصیّة بالفکّ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یتمکّن من إیصاله بنفسه، و إلّا فیجب علیه ذلک فیما عنده و علیه؛ خالقیّاً، أو خلقیّاً، إلّا الدیون المؤجّلة فیجب علیه قضاء الصلاة و الصوم و أداء الکفّارات و غیرها مع الإمکان، و مع عدمه یجب علیه الإیصاء و الإشهاد</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مبنیّ علی الاحتیاط، بل الاکتفاء بها لا یخلو من قوّة</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تحقّق الوصیّة و ترتّب أحکامها؛ من حرمة التبدیل و غیرها لا یتوقّف علی القبول، لکن تملّک الموصی له متوقّف علیه، فلا یتملّک قهراً، فالوصیّة من الإیقاعات لکنّها جزء سبب للملکیّة فی الفرض</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أوصیٰ بالمجموع من حیث المجموع</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الأقویٰ</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حجر الحاکم، إلّا إذا کان سفهه متّصلًا بصغره</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فیه و فی المرتدّ عن فطرة</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المکاتب المحرّر بعضه، فصحّت بالنسبة</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للمسألة صور بعضها محلّ تأمّل و إشکال، فتحتاج إلیٰ زیادة فحص و تدبّر</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المتّخذ للتخلیل</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تبعد صحّة ذلک و نفوذه بعد الإجازة</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فی بعض الصور</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جریان الحکم الآتی فی التبرّعیّة؛ من التفصیل فی ذلک أیضاً</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تقدّم الواجبات مطلقاً علی التبرّعی، و أمّا تقدّم المالی علیٰ غیره فممنوع، بل الظاهر أنّه إن أوصیٰ مرتّباً یقدّم المقدّم ثمّ المقدّم إلیٰ أن یفنی الثلث، فإن بقی من الواجب المالی شی‌ء یخرج من الأصل و إن بقی من البدنی یلغی، و إن لم یکن بینهما ترتیب یوزّع علیها و یتمّ الواجب المالی من الأصل دون البدنی</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یتوقّف علیٰ حصول مثلیه هو التصرّف فی الجمیع، أمّا التصرّف فی ثلثه بمثل الانتقال إلی الغیر فلا، بل له المطالبة بتعیین الثلث حتّی یتصرّف فیه کیف شاء و إن لم یکن للورثة التصرّف فی الثلثین بوجه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البطلان لا یخلو من وجه، و إن لم تنفذ تصرّفاته، فحینئذٍ لو أفاق جازت تصرّفاته، لکن الأحوط نصب الحاکم إیّاه، نعم لو کان بحیث لا یرجیٰ زواله فالظاهر بطلانها</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لا یردّ الابن وصیّة والده، و الأولی الأحوط أن لا یردّ الموصی إلیه غیر الولد أیضاً فیما إذا لم یتمکّن الموصی من الإیصاء إلیٰ غیره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لو کان لکلامه ظهور و لو بقرینة حال أو مقال فیتّبع</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التشاحّ لاختلاف اجتهادهما و نظرهما، و إلّا فألزمهما علیٰ نظر ثالث إذا کان فی أنظارهما تعطیل العمل بالوصایة، فإن امتنعا أو امتنع أحدهما استبدل به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فالأحوط ضمّ الحاکم شخصاً إلیه، بل اللزوم لا یخلو من قوّة</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علیه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العجز عن الاستقلال، و أمّا مع العجز عن التدبیر و العمل مطلقاً بحیث لا یرجیٰ زواله کالهرم الخرف، فالظاهر انعزاله، فعلی الحاکم نصب شخص آخر مکانه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النسیان مطلقاً، فلو تردّد بین أشخاص محصورة، یقرع بینهم علی الأقویٰ، أو جهات محصورة یقسّط بینها، و تحتمل القرعة، و یحتمل التخییر فی صرفه فی أیّ الجهات شاء، و لا یجوز صرفه فی مطلق الخیرات علی الأقرب</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المثال مناقشة بالنسبة إلی الأب، إلّا أن یراد تمثیل من یجب نفقته به، و هو خلاف ظاهره، أو یراد أب الأُمّ أو أب الأب مع عدم صلوحه للولایة بجنون أو غیره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ثبوتها علیه، و هو محلّ تأمّل و إشکال</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شهادة القرائن أو ظاهر حاله علیٰ تقیّدها، و إلّا فالأقرب الأخذ بها و لو مع طول المدّة</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عادلة و کذا فی سائرها</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ما یقع فی المستقبل</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فسّرت الیمین الغموس فی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الرجل یحلف علیٰ حقّ امرء مسلم علیٰ حبس ماله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عدم الانعقاد بها</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انعقادها بذلک، و بعلم اللّٰه تأمّل و إن لا یخلو من قرب</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عدم الانعقاد، و أمّا الإثم فغیر معلوم، و الاحتیاط بالکفّارة ضعیف</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حتّی إذا کان فعل واجب أو ترک حرام</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منعهم متوجّهاً إلی المحلوف علیه، و أمّا إذا کان متوجّهاً إلی الحلف، فلا یبعد عدم انعقاده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القوّة منع، بل أوّلهما لا یخلو من رجحان، فحینئذٍ لا یبعد عدم الانعقاد بدون إذنهم حتّی فی فعل الواجب أو ترک الحرام، لکن لا یترک الاحتیاط خصوصاً فیهما</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تمام الوقت المضروب للمحلوف علیه، أو أبداً إذا کان مطلقاً، و کذا الحال فی العسر و الحرج</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الأقویٰ</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ثابت</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لزومها</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اشتراط انعقاده بإذنه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الأوجه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ینبغی ترک الاحتیاط فیه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إجزاء رکعة الوتر، إلّا أن یکون قصده غیر الرواتب، فلا یجزی إلّا الإتیان بالرکعتین</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معلوم</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العیدین و السفر، و فیهما علی الأحوط و إن لا یخلو الأوّل من قوّة</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عدم الوجوب</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عدم الوجوب</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 الأحوط له سیاق بدنة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عدم انحلاله، إلّا إذا امتنع عن قبوله فی تمام الوقت المضروب له فی الموقّت، و مطلقاً فی غیره، فلو رجع عن امتناعه فی الموقّت قبل خروج وقته و فی غیره یجب التصدّق علیه، نعم لو کان نذره الصدقة بعین معیّنة فامتنع، جاز له إتلافه و لا ضمان علیه لو رجع و لا کفّارة</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بنحو نذر النتیجة فصحّته محلّ إشکال</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بل الأحوط أن یصرفه فی مصارف المشهد و إن لا یبعد جواز صرفه فی الخدّام</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انصراف</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 الحمل و اللبن، بل لا یخلو من وجه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الصوم، و علی الأحوط فی الصلاة، و أمّا فی غیرهما فالظاهر عدم الوجوب</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الأقویٰ</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کفّارة حنث النذر کفّارة إفطار شهر رمضان</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الأقوائیّة محلّ تأمّل</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إلحاق الحلق و الإحراق به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الشمول لولد البنت</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ینبغی ترک الاحتیاط فی القتل بعتق البالغ</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بحیث کان مضطرّاً إلیٰ خدمتها اضطراراً عرفیّاً</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عدم وجوب بیع ما لا بدّ منه عرفاً فی جریان معاشه؛ بحیث لو باع وقع فی ضیق و کلفة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یمکن له تجدید الفراش</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کذلک، و الإشکال ضعیف</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العموم محلّ تأمّل</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شخص الکفّارة لا نوعها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المنذور علیٰ وجه لا یمکن معه تحصیل التتابع، کما إذا نذر الصیام یوماً و یوماً لا</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أوجهها تکسیر الشهرین و تتمیم ما نقص، فلو شرع فیه عاشر شوال یتمّ بصیام تاسع ذی الحجّة؛ من غیر فرق بین نقص الشهرین أو تمامهما أو اختلافهما</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کفّارة الیمین و ما هو کفّارته کفّارتها، عدم کون الإطعام بل و التسلیم أدون ممّا یطعمون أهلیهم و إن کان الإجزاء بما ذکر لا یخلو من قوّة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الأحوط احتساب الاثنین بواحدة مطلقاً</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إعطاء المستضعف من الناس غیر الناصب لا یخلو من قوّة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الاکتفاء به، و الأحوط أن یکون بحیث یواری عورته</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فیما کان المتعارف فیه المخیطیّة دون ما لا یحتاج إلی الخیاطة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جاز لهم لبسه لضرورة أو غیرها</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ثقة</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کفّارة شهر رمضان، فإنّه مع العجز عن الخصال یتصدّق بما یطیق، و مع عدم التمکّن یستغفر اللّٰه و تکفی المرّة، و الأحوط فی هذه الصورة التکفیر إن تمکّن بعد ذلک</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الظهار علی الأقویٰ، و فی غیره علی الأحوط</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شقّی التخییر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ینوی حین دفع الوکیل إلی الفقیر، و یکفی أن یکون من نیّته أنّ دفع وکیله إلی الفقیر کفّارة، و لا یلزم العلم بوقت الأداء تفصیلًا</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دعوی القطع فی الثانیة غیر وجیهة، و الأحوط علی الولیّ الصیام مع عدم التمکّن من الإطعام بتلف الترکة، أو إباء الورثة</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الجملة، و إن لم ینزجر حین رؤیة الصید و قربه إلیه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ممیّزاً</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فلا یترک الاحتیاط</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المسارعة العرفیّة و کون الآلات علی النحو المتعارف، فلو کان السکّین فی غمد ضیّق غیر متعارف فلم یدرک الذکاة لأجل سلّه منه لم یحلّ، و کذا لو کان لأجل لصوقه به بدم و نحوه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یختصّ بالمعراض علی الأحوط، فلا یتجاوز المحدّدة غیر الحدید</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صدق السلاح علیها، و إلّا فلا علی الأحوط</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الاجتناب ممّا قتل بالبندق الذی لیس محدّداً نافذاً بحدّته و إن جرح و خرق بقوّته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تکون حرکته حرکة المذبوح، و الحکم مبنیّ علی الاحتیاط</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بقیت الحیاة المستقرّة حرم الجزء الآخر و یکون میتة و إن لم یتّسع الزمان للتذکیة، نعم تحلّ ما فیه الحیاة مع عدم الاتّساع للتذکیة</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بقصد الاصطیاد و التملّک و مع عدم القصد ففیه إشکال، کما أنّه مع قصد الخلاف لا یملک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مجرّد ذلک مع بقائها علی الامتناع لا یوجب الملکیّة علی الظاهر</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فأثبته</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من جهة وجود آثار الید فیه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الاجتناب عنه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الأوّل أیضاً إذا کان بقصد الاصطیاد، بل لا یبعد أن تکون إزالة امتناعه فی جمیع الصور بحکم الحیازة فی کونها مملّکاً</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اضطرّ إلیه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خلافه لا یخلو من رجحان إن کانا متّصلین، و الأحوط الاجتناب مع الانفصال و إن کان الجواز لا یخلو من قرب</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الأوّل أوجه</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الذبح، و أمّا قبله فقط فمحلّ إشکال إذا لم یخرج الدم المعتدل أیضاً</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ما بعده مشکل، فلا یترک الاحتیاط فیهما</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قبیله المتّصل به</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المتأخّرین و لا یخلو من وجه، لکن لا ینبغی ترک الاحتیاط</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قوّة فیه، بل الجواز لا یخلو من وجه و قوّة، بل لا یبعد التعدّی إلیٰ أسمائه الخاصّة، لکن لا یترک الاحتیاط فی هذا الأخیر، بل لا ینبغی ترکه فی مراعاة العربیّة</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الصائل المستصعب</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حکی الفتویٰ به عن جماعة</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بل لا یخلو من قوّة</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مجانس له، و أمّا غیره ففیه تأمّل و إن لا یخلو من وجه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الأقوائیّة محلّ تأمّل، و لا یترک الاحتیاط فیهما و إن کانت الطهارة فیهما لا تخلو من وجه</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تصرّفه فیه تصرّفاً مشروطاً بالتذکیة علی الأحوط</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الطیر فی الجملة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الانحصار بما ذکر</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فی مطلق الغراب لا تخلو من قرب</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بل الظاهر هو التفسیر الثانی</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الحلّ أقرب</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یعرف حاله مطلقاً فالأقرب الحلّ، و کذا فی الفرع الآتی</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 بعض أفراد الکلّیّة مبنیّ علی الاحتیاط</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اختصاص الحکم بالبهیمة و لا یجری فی سائر الحیوانات</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 فی نسل الأُنثیٰ، و علی الأحوط فی نسل الذکر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صوفهما و شعرهما</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فی النسخة الموجودة عندی ثلاثة عشر، و سقط منها الفرج ظاهره و باطنه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التفسیر الأوّل، لکن لا یترک الاحتیاط فیه أیضاً</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معلوم، فلو وجد شی‌ء منها فالأحوط حرمته، لو لم یکن الأقویٰ</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الأقویٰ</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 فیما یوجب التهلکة، و علی الأحوط فی غیره</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یورث ضرراً أعظم</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الإلحاق لا یخلو من قوّة، نعم مع إضراره محرّم بعنوانه، لکن لا ینبغی ترک الاحتیاط</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اختلط معهما و صارا دقیقاً و استهلک فیه، و أمّا مع صرف الاختلاط معهما فلا معنیٰ للاستهلاک المجوّز للأکل، کما أنّ الغبار الذی علیٰ وجه الفواکه و الحنطة و الشعیر، لیس مستهلکاً فیها، لکن یجوز أکلها معه لا للاستهلاک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الجواز أقرب مع الاستهلاک</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ما بعده مضمون بعض الروایات</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تردّد</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الاقتصار علی القبر الشریف و ما یلحق به عرفاً، و أحوط منه استعمال الأتربة التی فی هذه الأعصار ممزوجاً بالماء أو غیره علیٰ نحو الاستهلاک، بل لا یترک هذا الاحتیاط إذا کان المأخوذ طیناً أو مدراً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بناء علیٰ ما قدّمناه من عدم حرمة التراب مطلقاً لا بأس بأخذ التراب للاستشفاء من الحائر و غیره إلیٰ رأس میل، بل أزید ممّا اشتملت علیه الأخبار رجاء، و لا یحرم تناوله، لکن لا ینبغی ترک الاحتیاط</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الالتفات إلیٰ لازمه؛ أی تکذیب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العیاذ باللّٰه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الخلط للعلاج بمقدار متعارف، و أمّا مع الزیادة عنه فمحلّ إشکال، بل مع الغلبة فالأقویٰ حرمتها و نجاستها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حلّیّته</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ثبت أنّه بالغلیان بنفسه یصیر خمراً، و إلّا فلا</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بما یغلیه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إلّا إذا علم ذهاب ثلثی العصیر</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 هذا العمل فیطبخ کلّ علیٰ حدة، و إن کان لما ذکره وجه</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ما یطرح فیه ممّا یجذب العصیر بجوفه، فلا بدّ فی حلّیّته من ذهاب ثلثی ما فی جوفه أیضاً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 الأحوط الاجتناب عنه و عدم الاعتماد علیٰ قوله و عدم البناء علی التثلیث، بل لا یخلو من قوّة</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ینبغی ترک الاحتیاط، خصوصاً مع غلبته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یتحمّل عادة، أو لنفس الجوع و العطش اللذین لا یتحمّلان عادة</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یتحمّل عادة</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أو الاحتمال الذی یکون له منشأ عقلائی</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معتدّ به، ممّا یکون تحمّله حرجیّا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ینته إلی الحرج و إلّا فلیس له</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عدم الضمان فیهما أیضاً</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لکنّه أحوط</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صیرورة الشی‌ء تحت یده، و استیلائه علیه عدواناً، و لو کان المنقول فی بیته أو دکّانه و طالب المالک و لم یؤدّه إلیه یکفی فی الضمان</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یکفی مجرّد القصد ما لم یصدق الاستیلاء، و مجرّد قعوده لا یوجبه، بل الموارد مختلفة</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فرض اشتراکهما فی الغصب لا یکون کلّ واحد منهما مستقلا فی الاستیلاء و الید، فیکون کلّ منهما ضامناً للبعض بنسبة الاستیلاء؛ إن نصفاً فنصف و هکذا، و قیاسه بالأیادی المتعاقبة مع الفارق</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زمان فحبسه حتّی مضی</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عمله لمولاه، فالظاهر ضمانه له بالتفویت</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کالمعاوضی مثل المهر، بل و یلحق به المقبوض بمثل الجعالة الفاسدة ممّا لا یکون عقداً</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لغیر الغاصب الجاهل بالغصب، و إلّا ففیه تفصیل</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نحو التبادل</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غصبها و لم یکن فیها ساکن، و إلّا فلا یبعد وجوب الردّ إلی الطلبة الساکنین فیها حال الغصب</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لیس له ذلک</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یبعد ضمان السرایة أیضاً، فکلّما ازداد یجب دفع أرش الزیادة</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المصنوعات بالمکائن فی هذا العصر مثلیّات أو بحکمها، کما یأتی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فحینئذٍ ینافی تعریفه المثلی مع ما ذکر إلّا أن یرید الإلحاق الحکمی</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یؤدّ إلی الحرج</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مشکلة، فالأحوط التخلّص بالتصالح</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وجه آخر لا یخلو من قرب، و هو مراعاة قیمة یوم الدفع، لکن لا یترک الاحتیاط بأکثر الأمرین بین یوم التلف و یوم الدفع</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اعتبار محلّ الأداء، و لا یترک الاحتیاط المتقدّم</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ممّا هو نقد البلد کالإسکناس</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محترمة؛ لجواز اقتنائها علی الأقویٰ</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لو تلفت</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الغاصب أرش نقص الأرض و طمّ حفرها</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للصبغ عین متموّلة</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بقیت قیمتهما علیٰ ما هی علیها إلیٰ ما بعده، و إلّا فإن زادت قیمة الثوب و نقصت قیمة الصبغ لأجله فالزیادة لصاحب الثوب، کما لو ارتفعت قیمة الثوب إلی اثنی عشر و نقصت قیمة الصبغ إلیٰ ثمانیة، و لو انعکس ضمن الغاصب أرش نقص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الأمر فی سائر الأمثلة، و لو زادت قیمة الثوب بالصبغ و بقیت قیمة الصبغ علیٰ ما هی علیه کانت الزیادة لصاحب الثوب، و لو انعکس فالزیادة للغاصب</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للصبغ بعده عین متموّلة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ورد النقص علیهما بالسویّة و إلّا فبحسب النسبة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الأحوط</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طریقه إلیٰ ملک الغیر مسدوداً حین الإرسال، فدفع بغیر فعله فتعدّی فإنّه حینئذٍ لا یضمن</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مستنداً إلیه</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الفرعین</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ضمانه فیما إذا خرجت من اختیاره محلّ إشکال، و الأحوط الضمان</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تردّد ناشئ من التردّد فی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الید ما 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 أن تکون نفس المأخوذ علیٰ عهدته حتّی بعد التلف، و یکون أداء المثل أو القیمة نحو أداء له، فیکون القول قول المالک بیمینه، و احتمال أن ینتقل بالتلف إلی القیمة، فیکون القول قول الغاصب بیمینه و لا یخلو الثانی من قوّة، نعم فی الفرع الآتی و هو ما تنازعا فی وجود صفة أو حدوثها یکون القول قول الغاصب بلا إشکال</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حصول العلم غالباً بل مطلقاً مشکل و العهدة علیٰ مدّعیه، ثمّ کون ما لم یعلم مسبوقیّته بالإحیاء و الملک مواتاً بالأصل موضوعاً ممنوع، نعم هو کذلک حکماً</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 فالأحوط الاستئذان من الحاکم فی التصرّف و معاملة مجهول المالک معه</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غایة الإشکال، بل عدم الجواز لا یخلو من قوّة</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القیام بإحیائها، لکنّ الأحوط لمن أراد القیام به أن یستأذن من الحاکم فیه و فی الصرف المذکور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لیس له الإحیاء و التصرّف فیه مع المتولّی المعلوم إلّا بإذنه، أو الاستئذان من الحاکم مع عدمه فی الأوّل، و من المتولّی أو الموقوف علیهم إن کان خاصّاً أو الحاکم إن کان عامّاً فی الثانی</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إذا کان منشأ للماء؛ لعدم اختصاص الأخیرة بذلک نوعاً، بل الأحوط لحاظ الحریم کذلک بین القناتین مطلقاً و إن کان الجواز فی غیر ما کان منشأ أشبه</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 آنفاً</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أحدثها فی جنب المزرعة و البساتین فی أراضی الموات، فالظاهر ثبوت الحریم لها، بل لا یبعد ثبوت بعض الحریم من قبیل مرعی الماشیة لها مطلقاً</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تردّد و إن لا یخلو من وجه</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بل لا یخلو من قرب، إلّا إذا کان فی ترکه حرج أو ضرر علیه، فحینئذٍ یجوز له التصرّف</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بعد زمان طویل، بشرط أن لا یوجب تعطیل الموات</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بعید</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بنفسها لا بفعل غیر المحجّر و إلّا فلا یبعد بقاؤه مع قرب زمان المحو، و مع طول المدّة فالظاهر بطلانه مطلقاً، بل لا یبعد بقاء الحقّ مع المحو بنفسه إذا لم یکن لطول مدّة التعطیل</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متوقّعاً حصول الغنیٰ بحصول أسبابه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کلّ ما ذکره مشهوراً غیر ثابت</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ملکه و إن بدا له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اعتبار السقی، بل مجرّد غرس الأشجار القابلة للنموّ کاف فیه</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جوازه لمصلحة المارّة إذا کان الطریق واسعاً جدّاً، کالشوارع الوسیعة المستحدثة فی هذه الأعصار</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الکلام فیه فی المسألة الآتیة</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بل لا یبعد أن یشارک الداخل للأدخل إلیٰ قبالة بابه ممّا هو ممرّه مع ما یتعارف من المرافق المحتاج إلیها نوعاً، و لا یبعد أن یشارک الداخل إلیٰ منتهیٰ جدار داره و ینفرد الأدخل بما بعده، و مع تعدّد الشرکاء یشارک الأدخل من الجمیع معهم و ینفرد بما یکون طریقه الخاصّ، فیشترک الجمیع من أوّل الدریبة إلی الباب الأوّل أو منتهی الجدار، ثمّ یشترک فیما عداه ما عدا صاحب الباب الأوّل، و هکذا یقلّ الشرکاء إلیٰ آخر الزقاق، و لا یبعد اختصاص الآخر بالفضلة التی فی آخر الزقاق، فیجوز لمن هو أدخل من الجمیع أیّ تصرّف شاء فیما ینفرد به، بل و فی الفضلة المذکورة</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جوازه، و علیٰ صاحب الدریبة تحکیم سند المالکیّة لدفع الشبهة</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الحقّ فی أمثال ذلک محلّ إشکال، نعم لا یجوز لأحد إزعاج الجالس عن محلّه و لا التصرّف فی بساطه، فحینئذٍ لو قام و لو بنیّة العود و رفع بساطه فالظاهر جواز جلوس غیره مکانه و الاحتیاط حسن</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فیه، فیسقط ما یتفرّع علیه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فی المسبّل من إشکال</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الأوجه المنع، إلّا إذا کان الزائد معرضاً عنه</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التعریف من قصور و الأمر سهل</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سقوطه علیٰ فرض ثبوته أیضاً، کما یظهر منهم التسالم علیٰ ثبوت الحقّ فی خصوص المساجد و إن لا یخلو من تأمّل</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منّا أیضاً</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الظاهر ثبوت الحقّ لمن سبق فیها علیٰ نحو ما ذکر؛ و إن کان فی مثل المساجد تأمّل کما سبق</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یوجب تعطیل المحلّ زائداً عن المتعارف</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بعض التصرّفات التی مرّ بیانها فی کتاب الطهارة</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الحفر فی الممات</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 تساوی العمل</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بالمثل مع إمکانه و إلّا فبالقیمة</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یزید للنخل عن الکعب؛ أی قبّة القدم علی الأحوط و إن کان الجواز إلیٰ أوّل الساق لا یخلو من قوّة، و للشجر عن القدم، و للزرع عن الشراک</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الغیر المحتاج إلیٰ عمل معتدّ به کالنقب، و کذا فی غیره</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شاة حبسها ثلاثة أیّام، فإن لم یأت صاحبها باعها و تصدّق بثمنها، و الظاهر ضمانها لو جاء صاحبها و لم یرض بالتصدّق، و لا یبعد جواز حفظها لصاحبها و دفعها إلی الحاکم أیضاً</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یرجع کلّ ذی فضل بفضله</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فیما إذا عرف أنّ له مالکاً و لو من جهة آثار الید أن یعامل معه معاملة مجهول المالک</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 کذا فی تالیه</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أخذه</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بیده من غیر أخذ</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بیع ما لا یبقیٰ و یعرضه الفساد، أو تقویمه و صرفه، و الأحوط أن یکون البیع بإذن الحاکم مع الإمکان</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بثمنه فی الصورة المتقدّمة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الشهرة ممنوعة، فالأقویٰ کراهته، لکن لا ینبغی ترک الاحتیاط</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قبله إن تلفت من غیر تفریط منه</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الضمان کاللقطة فی غیر الحرم، فلو حفظها لمالکها فلا ضمان</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نعم لا یجوز التسامح و الإهمال و التساهل فیه</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المقدار</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الأُجرة فی هذه الصورة علی المالک تردّد، و الأحوط التصالح</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خصوصاً إذا علم بعثوره مع زیادة یسیرة</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عدم اعتبار إذنه، و الأحوط حفظها إلیٰ آخر زمان الخوف من الفساد، بل الوجوب لا یخلو من قوّة</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احتمال وجود صاحبها فیه</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تصدّی أحدهما لأداء تکلیفه و ترک الآخر عصیاناً أو لعذر، فالظاهر عدم جواز تملّک التارک حصّته، و أمّا المتصدّی فیجوز له تملّک حصّته إذا عرّفها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لهما فی صورة التوافق علی التوزیع أن ینوی کلّ منهما التعریف عنه و عن صاحبه و إلّا فیشکل تملّکهما</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قصدهما فیه محلّ إشکال بل منع</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صدق الکنز علیه</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إرجاع الأمر إلی الحاکم</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بل لا یبعد جریان حکم مجهول المالک علیه</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نسب إلی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لم یعرفه فهو لواجده</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أنّه لواجده</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الأقویٰ</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صورة العلم بالتعمّد محلّ إشکال و إن لا یخلو من قرب، لکن بعد الفحص عن صاحبه و الیأس منه، و کذا یجب الفحص فی صورة التعمّد</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إذا توقّف حفظه علیه</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تعذّر عدول المؤمنین علی الأحوط</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حصره فی ذلک ممنوع</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یجزی التحمید فقط</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الأقویٰ</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هذه الصورة</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عدم الوجوب</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عدم الکراهة فی التی علم أنّها لا تلد، و فی المسنّة و السلیطة و البذیئة و التی لا ترضع ولدها</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الأقوائیّة ممنوعة</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 بل الجواز لا یخلو من قرب</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یغمز کفّها احتیاطاً</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یمکن بآلة نحو الدرجة و غیرها</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فیما یضطرّ إلیه اقتصر علیٰ مقدار الضرورة</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بالنسبة إلی الوجه و الکفّین</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الوجوب؛ لمنع صدق الإعانة</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بغیر شهوة لا معها لو فرض ثورانها</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 لکن لا ینبغی ترکه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 فی الترتّب الفعلی، و علی الأحوط فی غیره</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بشرط أن یحتمل حصول زیادة بصیرة بها، و بشرط أن یجوز تزویجها فعلًا، لا مثل ذات البعل و العدّة</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جواز التعدّی إلی المعاصم، بل و سائر الجسد ما عدا العورة، و الأحوط أن یکون من وراء الثوب الرقیق</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وجوب التوکیل و یجوز بغیر العربی مع عجزه</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یجزی أن یقول الزوج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زوّجتک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 الزوجة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أشباهه</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وقوعه به مع الإتیان بما یجعله ظاهراً فی الدوام، لکن لا ینبغی ترک الاحتیاط</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الأولیٰ جعل الزوج مفعولًا أوّلًا؛ لأنّه بمنزلة الآخذ، کما ورد کذلک فی القرآن الکریم و فی الأخبار غالباً</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یتعدّی الثانی أیضاً باللام</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أنکحت موکّلک موکّلتی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الزوج کما مرّ، و هکذا فی سائر الصیغ</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جدّاً؛ لأنّه لحن مغیّر للمعنیٰ، إلّا إذا فرض صیرورته فی لغتهم کالمنقول</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جاهلًا باللغات بحیث لا یفهم أنّ العُلقة واقعة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موکّلتی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فصحّته مشکلة و إن علم إجمالًا أنّ هذه الجملة لهذا المعنیٰ</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جهله بالواقعة محلّ إشکال، و مع علمه بحصول المتوقّف علیه یکون من قبیل الأوّل</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سقوط عبارته و مع إیقاعه یتخلّص بالاحتیاط</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خصوص عقد السکری إذا عقّبه الإجازة حال الإفاقة لا یترک الاحتیاط بتجدید العقد أو الطلاق</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تقاولا و تعاهدا علیٰ واحدة فعقدا مبنیّاً علیه فالظاهر الصحّة، کما إذا قال بعد التقاول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 بنتی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 إحدیٰ بناتی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فتشکل الصحّة و لو مع التقاول</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الصورة لا یقع العقد علی الکبری بلا إشکال، و فی وقوعه علی المشار إلیها وجه، لکن لا یترک الاحتیاط بتجدید العقد أو الطلاق</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معتدّ به</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الاحتمال</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ثبوت الحقّ بمجرّد النکول، بل یردّ الحاکم الحلف علی المدّعی، فإن حلف یثبت الحقّ</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 النکول</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تشهد بأنّها کانت ذات بعل فتزوّجت حین کونها کذلک من الثانی</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ثبوتها أیضاً</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فیه لزوم إجراء حکم العلم الإجمالی بکونها زوجة لأحدهما</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تقدّم عقد الأب، لکن لا ینبغی ترک الاحتیاط</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حجر علیه للتبذیر، هذا فی غیر من کان سفهه متّصلًا بزمان صغره و إلّا فهو محجور مطلقاً</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علمه بالعیب، و إلّا ففیه تأمّل و تردّد و إن لا تبعد الصحّة مع إعمال جهده فی إحراز المصلحة، و علی الصحّة له الخیار فی العیوب الموجبة للفسخ، کما أنّ للمولّیٰ علیه ذلک بعد رفع الحجر عنه، و فی غیرها لا خیار له و لا للمولّیٰ علیه علی الأقویٰ</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مشکلة لا یترک فیها الاحتیاط</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یترک الاحتیاط بضمّ إجازة الوصیّ للأب أو الجدّ مع وجوده، و کذا فیمن بلغ فاسد العقل أو تجدّد فساد عقله؛ إذا کان البلوغ و التجدّد فی زمان حیاة الأب أو الجدّ</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له جدّ مسلم، و إلّا فلا یبعد ثبوت الولایة للمسلم دون الکافر</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صحّته بها</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یکون السکوت إجازة و إقراراً، و علیه تحمل الأخبار فی البکر و فی العبد إذا تزوّج بغیر إذن مولاه فسکت عنه بعد علمه، لا علی التعبّد</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فرض مراعاة المصلحة</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لکنّه ضعیف، فالأقویٰ ترتّب جمیع الآثار فی الظاهر علی الحلف</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جریان الحکم فیهما أیضاً، لکن الحلف مبنیّ علی الاحتیاط کالحلف فی بعض صور أُخر</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خلافه</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ضعیف جدّاً</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تمکین الزوجة من المدّعی فی هذه الصورة بل جوازه محلّ تأمّل، إلّا إذا رجع عدم درایة الرجل إلی الجهل حین إجراء العقد و احتمل تطبیقه علی الصحیح من باب الاتّفاق</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مصبّ الدعویٰ صحّة العقد و فساده لا السبق و عدمه، أو السبق و اللحوق، أو الزوجیة و عدمها، فالمیزان فی تشخیص المدّعی و المنکر نوعاً مصبّ الدعاوی و کذا فی الفرع الآتی</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بالزنا بامرأة أُخری</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الطریق المعتبر علیه، بل الأصل کذلک، و مع ذلک فالمسألة محلّ إشکال</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عصیان</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بحکمه، کسبق الماء إلی الفرج من غیر وطء</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یلحق به، أو من دون وطء و لو مع النکاح، بل الظاهر اعتبار کون الدرّ بعد الولادة، فلو درّ من غیر ولادة و لو مع الحمل لم ینشر به الحرمة علی الأقویٰ</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مع حدوثها إذا احتمل کونه للأوّل</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کون الأثر هو الأصل و الباقیان أمارتان علیه، لکن لا یترک الاحتیاط لو فرض حصول أحدهما دونه</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یخرج عن المتعارف</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رضاعاً تامّاً کاملًا علی الأقویٰ، و مطلقاً علی الأحوط، نعم لا یقدح القلیل جدّاً</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ینفسخ عقدها و إن لم یکن الرضاع من لبنه و لم یدخل بالکبیرة و إن لم تحرم علیه</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یترتّب علیه حرمة نکاح المطلّقة و أُختها، و کذا أُخت المتوفّاة</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فیما إذا تزوّج الأخوان الأُختین</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فالأحوط التخلّص بالصلح، بل الأحوط ذلک فی جمیع الصور و إن کان الاستحقاق أقرب</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علم عرفانهما شرائط الرضاع و أنّهما موافقان معه فی الرأی اجتهاداً أو تقلیداً</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لو عقد کذلک؛ أی الساعة أو الساعتین لا یترک الاحتیاط بترتیب آثار المصاهرة و عدم المحرمیّة؛ إذا قصد تحقّق الزوجیّة و لو بداعی بعض الآثار کالمحرمیّة</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أحوطهما</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الشبهة أیضاً</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الصحّة</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ضعیف و أضعف منه القیل</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ما لا یحلّ لغیره النظر إلیه إن کان نظره بشهوة، نعم النظر إلی الفرج محرِّم و لو بغیر شهوة علی الأظهر</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کون قبول هذا الشرط إذناً، نعم لو رجع عنه قبل العقد لم یصحّ العقد، و لو شرط علیه أنّ له ذلک و لو مع الرجوع بحیث یرجع إلیٰ إسقاط إذنه فالظاهر بطلان الشرط</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الأقویٰ</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الإشکال غیر معتدّ به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متعة</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موارد لموانع طارئة، کالطلاق الثالث المحتاج إلی المحلّل، و التاسع المحرّم أبداً</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بل لا یخلو من قوّة</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 هذه المسألة من سوء التأدیة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العبارة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للحرّ أن یجمع بین أزید من أربع حرائر بالعقد الدائم و لا أزید من أمتین کذلک؛ سواء کانتا من جملة الأربع أو لا، و یجوز له أمتان و حرّتان، و أمّا العبد فالحرّة فی حقّه بمنزلة الأمتین، فیجوز له أربع إماء أو حرّتان أو أمتان و حرّة لا غیر بالعقد الدائم</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ملک الیمین</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السابقات</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بالنسبة إلی الدائم لا یخلو من إشکال، فلا یترک الاحتیاط فیه</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حرمة نکاحها و یجوز بملک الیمین</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یفرّق بینهما</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یفرّق بینهما</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فرق بین المطلّقة تبرّعاً، أو المختلعة إذا رجعت فی البذل</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تمکینها</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یعتدّ به</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فیه إجراء الطلاق و تجدید النکاح لو أراد، و أحوط منه مع ذلک الصبر إلی انقضاء المدّة المقدّرة بالمرّة أو المرّتین أو هبتها</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محلّ منع</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یعلم أنّ نفیه کان عن إثم، و مع احتمال کونه منه</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توریث أحدهما أو کلیهما دون غیره، کاشتراط إرث غیر الزوج و الزوجة، و المسألة مشکلة جدّاً؛ فلا یترک الاحتیاط بترک هذا الشرط، و معه لا یترک الاحتیاط بالتصالح مع الورثة</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التزویج، و أمّا بعده فمکروه</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الإجازة بعد الردّ، و علی الأقویٰ فی العکس، بل الأوّل أیضاً لا یخلو من قوّة</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بمقدار مهر المثل و أطلق فی الإجازة، و لا یبعد أن یکون الزائد علیه بذمّة العبد یتبع به بعد التحریر، و کذا لو عیّن مقدار المهر فزاد علیه علیٰ إشکال فی الأخیر</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 الأحوط لها إعمال الخیار فوراً إن أراد، و مع عدم الإعمال فالأحوط لها أن لا تفسخ، و مع الفسخ فالأحوط الافتراق بالطلاق إن أرادت التزوّج أو الاجتماع بتجدید النکاح</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یصرّح بخلافه</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جدّاً، فلا یترک الاحتیاط</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الحادث بعده إذا لم یبلغ حدّا لا یعرف أوقات الصلاة تأمّل و إشکال، فلا یترک الاحتیاط</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لا یبعد عدم الخیار فی اللاحق مطلقاً</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دبراً</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غدّة أو عظم</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لو لم یمنع؛ إذا کان موجباً للتنفّر و الانقباض علی الأظهر</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المنصور</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أنّ نکول المنکر لا یوجب الثبوت، بل لا بدّ من ردّ الحاکم الحلف علیٰ المدّعی، فإن حلف یثبت به</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تنصیف المهر فی الفسخ بالعنن، کما یأتی</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السابقة</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فی صورة العلم بالتجدّد أو احتماله، فالأحوط التصالح و إن کان التنقیص لا یخلو من وجه</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الزوج مسلماً، و إلّا ففیه تفصیل</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هنا التصالح فیما زاد عن مهر السنّة، و للمرأة عدم أخذ الزائد مع عدم الصلح</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کونه متموّلًا</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فالأحوط الرجوع و دفع نصف العین إن طالبها الزوج</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الزیادة منفصلة، کما هو المفروض ظاهراً</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أنّه مع النکول لا تسقط دعواها، بل یردّ الحاکم الحلف علی الطرف، فإن حلف تسقط الدعویٰ</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تحتاج المسألة إلیٰ زیادة تأمّل و إن کان التداعی أرجح عجالة</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تبرّأ من ضمان العهدة فی ضمن العقد</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کما ذکره، لکن کون المثالین الأوّلین ممّا یخالف الشرع یحتاج إلیٰ تأوّل</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هو الذی ورد فی الأخبار، و أمّا حکمه و تفصیله فموکول إلیٰ محلّه</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شاء فضّل بعضهنّ ما لم یکن أربعاً، فإن تک عنده مرأتان یجوز له أن یأتی إحداهما ثلاث لیال و الأُخری لیلة، و إن تک ثلاث یجوز أن یأتی إحداهنّ لیلتین و اللیلتان الأُخریان للأُخریین</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الجواز</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ذات الأدوار حین دور جنونها</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بأیّ منهنّ و هکذا، و إن کانت القرعة فی تعیین ما عدا الأُولیٰ أشدّ احتیاطاً</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بعد ظهور الأمارات إذا وعظها و لم تسمع یتحقّق النشوز؛ لخروجها عن طاعته فیما یرجع إلی الاستمتاع، و إذا هجرها و لم ترجع و أصرّت علیه جاز الضرب؛ فالموعظة مترتّبة علیٰ ظهور أمارات النشوز، و الهجر فی المضجع علیٰ نفسه، و الضرب علیٰ إصرارها به</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خیف الشقاق و الفراق بینهما</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الإنزال فی الفرج و حوالیه، و فی الدخول بلا إنزال إشکال</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ینزل فی فرجها أو حوالیه بحیث یحتمل الجذب</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فیها</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بشرط أن لا تکون تحت زوج مع إمکان التولّد منه بشروطه</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ملازمة اطّلاعهم علیٰ ما یحرم علیهم</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الأقویٰ</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قطع الغلاف بحیث یظهر تمام الحشفة، کما هو المتعارف، بل لا یخلو من قوّة</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شروط الأُضحیّة فیها لا یخلو من إشکال، کما أنّ تعیین السنین بما ذکر لا یخلو بعضها من إشکال</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الأفضل أن یخصّها بالربع، و إن جمع بین الربع و الرجل و الورک بأن أعطاها الربع الذی هما فیه لا یبعد أن یکون عاملًا بالاستحبابین</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بأس بطبخه علیٰ ما هو المتعارف، و کون الأفضل ما ذکر غیر معلوم</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مع الانحصار لو أمکن حفظ الولد بلبن و مثله</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 و إن علا</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بغیره من طرق الحفظ إذا لم یکن مضرّاً</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لکن الأحوط عدم السقوط</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حرّة مسلمة عاقلة</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فطمته علی الأحوط</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الذکر فی مدّة الرضاع، و عن الأُنثیٰ کذلک إلیٰ أن تبلغ سبعاً</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العدّة</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دامت ناشزة، و إن رجعت إلی التمکین وجبت النفقة علی الأقرب</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تصدیقها بمجرّد دعواها محلّ إشکال، نعم لا یبعد قبول قول الثقة الخبیرة من القوابل قبل ظهور الحمل، من غیر احتیاج إلیٰ شهادة أربع منهنّ أو اثنین من الرجال المحارم</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الرجحان للثانی مع وجوب تصدیقها، و کذلک مع عدمه و إخبار الثقة من أهل الخبرة</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من ذوات الحشمة بحیث یتعارف من مثلها أن یکون لها خادم مخصوص، لا یکتفیٰ بأمره مملوکته أن یخدمها، بل لا بدّ من اختصاصها بها، و کذا لا یکتفیٰ أن یخدمها بنفسه و لو بلغت حشمتها إلیٰ حیث یتعارف من مثلها تعدّد الخادم لا یبعد وجوبه، و الأولی إیکال الأمر إلی العرف و العادة فی جمیع ما ذکر</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ملکاً متزلزلًا مراعیً بحصول تمام التمکین منها، و إلّا فبمقداره، و تستردّ البقیّة کما یأتی، و کذا یشترط فی الاستقرار مع انقضاء الیوم و الأیّام ذلک، فیستقرّ بمقدار التمکین</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خلاف المتعارف، و إلّا فیتّبع ما هو المتعارف</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نحو یلیق بحالها</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التفصیل الآتی</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صرفه فی إنفاق القریب، بل لا یخلو من قوّة</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إمکانه و إمکان انتفاعهم به، و إلّا فیقرع بینهم</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 فقدهم ففسّاقهم</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الزوجة محلّ إشکال بل منع، إلّا بإذن الحاکم فمعه جاز له الأخذ و إن لم یکن اقتصاصاً</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یترک</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نفوذ طلاقه و لا یلزم ضمّ الحاکم إلیه</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علیٰ من یجری مجری نفسه کأبیه و ولده</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خوف إیقاعه و إن لم یکن مظنوناً</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إذا کان بقصد تحمّل ما أوعده علیه فی ترک البقیّة</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کانت ذات عادة و مضت عادتها</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بحسب عادتها، فلو طلّقها فی زمان علم أنّ عادتها التحیّض فیه بطل إن صادف الحیض</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الجهل بعادتها و إلّا فیتبع العادة علی الأقویٰ</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بعد مضیّ مدّة علم بحسب عادتها خروجها عن الطهر الأوّل و الحیض الذی بعده</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بسهولة بلا تعسّر</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لا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الطالق</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 الاحتیاط بعدم توکیلها</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الأقویٰ</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کانت الرجعة فی مورد صحیحة عندهم</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الزوجیّة و لو بعقد جدید بعد الخروج من العدّة</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المسمّی فی مقطوعها لا تخلو من قوّة</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تحلّ بالمحلّل علی الأشبه</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البینونة إلّا بوضعهما، لکن لا ینبغی ترک الاحتیاط</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اتّصل نفاسها بالوضع، و لو تأخّر دم النفاس یحسب النقاء المتخلّل بین الوضع و الدم قرء من العدّة الثانیة و لو کان بلحظة</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قبول قولها بالنسبة إلیٰ بقاء العدّة، و الخروج منها لا بالنسبة إلیٰ آثار الحمل غیر ما ذکر</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تقدّم قولها فی بقاء العدّة و الخروج منها مطلقاً</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المسترابة بالحمل محلّ تأمّل، فالأحوط لها الاعتداد بأبعد الأجلین؛ من عدّة الوفاة و وظیفة المسترابة، فإذا مات الزوج بعد الطلاق بشهر مثلًا، تعتدّ عدّة الوفاة و تتمّ عدّة المسترابة إلیٰ رفع الریبة و ظهور التکلیف، و إذا مات بعد سبعة أشهر مثلًا مع بقاء الریبة تعتدّ عدّة الوفاة إلیٰ أن یتّضح الحال</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تنتقل منه إلیه للاعتداد</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محلّ إشکال</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أقواهما</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یجوز</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بحکمها فی الأحکام، فما لم یدلّ دلیل علی الاستثناء یترتّب علیها حکمها</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بالمرض المزبور، لا بسبب آخر علی الأقرب</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کلّ معصیة موجباً لجواز إخراجها، بل الموجب له إمّا ما یوجب الحدّ، أو ما یوجب النشوز علی الأظهر، و أمّا البذاء باللسان و إیذاء الأهل إذا لم ینته إلی النشوز ففیه إشکال و تأمّل، و لا یبعد أن یکون ما یوجب الحدّ موجباً لسقوط حقّها مطلقاً، و ما یوجب النشوز لسقوطه ما دام بقائها علیه و إذا رجعت رجع حقّها</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قصد عدم الرجوع و عدم التمسّک بالزوجیّة ففیه تأمّل، نعم فی خصوص الغشیان غیر بعید</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قولها بیمینها، و فی العکس قوله بیمینه، و الظاهر وقوع الاشتباه من قلم النسّاخ أو من قلمه الشریف</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ینبغی ترک الاحتیاط بالجمع بینهما، بل لا یترک</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الأقویٰ خلافه، لکن لا ینبغی ترکه</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أوقعه بلفظ الطلاق أو أتبعه بذلک</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الأمر فیه أوسع من ذلک، فیصحّ بما یؤول إلی العلم، کما لو بذلت ما فی الصندوق مع العلم بکونه متموّلًا، و یصحّ بما فی ذمّة الزوج من المهر و لو لم یعلما به فعلًا، بل فی مثله لو لم یعلما بعد أیضاً صحّ علی الأقویٰ</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تبعد صحّته مع التعیین بمثل قدوم الحاجّ و بلوغ الثمرة، و کذا فی تعیین الأجل فی الکلّی المؤجّل</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بل الثانی لا یخلو من رجحان</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الطلاق الرجعی و لا غیره، إلّا إذا أوقع بلفظ الطلاق أو أتبعه بصیغته</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وقوعه بصیغة الطلاق، أو إتباعه بها</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الشرط المتقدّم</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الشرط المتقدّم</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الشرط المتقدّم</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ما یقع به الفراق لفظ الطلاق من غیر دخل 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بارأتک</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أنّه لا یترک الاحتیاط بالجمع بین الصیغتین</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محلّ تأمّل، لکن لا یترک الاحتیاط</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القصد، فلا یقع من الهازل و السکران</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علی الأقویٰ</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المطلق مطلقاً، و فی المشروط بعد تحقّق شرطه، و لو علّقه علی الوطء لم یحرم الوطء الذی جعله شرطاً و لا تتعلّق به الکفّارة</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الأشبه عدم الحرمة</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الأقویٰ</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متجاهرة به لا یبعد عدم ثبوت التعزیر أیضاً، و یشترط فیه زائداً علیٰ ما ذکر فی المتن کمال الملاعنة و سلامتها عن الصمم و الخرس فی اللعان بالقذف، و أمّا فی نفی الولد فاعتبار سلامتها منهما محلّ تأمّل</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أمنی فی فرجها أو حوالیه؛ بحیث أمکن جذب الرحم إیّاه</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ثبوت الدخول لم یشرع اللعان مطلقاً</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خلافه</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لا یقع إلّا عند الحاکم فقط</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مع القدرة علیها، و إلّا أتی بالمیسور منها، و مع التعذّر أتی بغیرها</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یرث الولد أقارب أبیه بإقراره</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صدق الاسم عرفاً</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ممنوع من الإرث، و کذا یعتبر هذا الشرط فی جمیع الطبقات الآتیة</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و إن نزل، و کذا فی ولد الزوج فی الفرض الآتی، و کذا فی وجود الولد لهما فی الفرضین الآتیین</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للأبوین فی الفرض الأوّل، و للأب فی الثانی</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هی المشهورة، و إلّا فالموانع أکثر منها</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 الزوجة، فإنّ إسلامه ینفع قبل قسمة الترکة بین الزوجة و الإمام أو نائبه</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التصالح</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کتاب الطهارة میزان الکفر، فعدم إرثهم من المسلمین فرع الحکم بکفرهم</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یقف الفسخ علی انقضاء العدّة، فإن رجعت قبله کانت زوجته، و إلّا انکشف أنّها بانت من أوّل زمان الارتداد، و کذا الحکم فی ارتداد الزوج عن ملّة و قد مرّ ما ینافی منه فی النکاح</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حکمه آنفاً و فی کتاب النکاح</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ثانیهما</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 الزوجة کما مرّ فی الإسلام قبل القسمة، فمع انحصار الوارث بها یکون له نصیبه</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یشتری، و یکون المال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معهما ولد یعطیان کمال نصیبهما، و إلّا فیعطیان أقلّه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image" Target="media/image2.jpeg"/><Relationship Id="rId820" Type="http://schemas.openxmlformats.org/officeDocument/2006/relationships/image" Target="media/image2.jpeg"/><Relationship Id="rId821" Type="http://schemas.openxmlformats.org/officeDocument/2006/relationships/footer" Target="footer814.xml"/><Relationship Id="rId822" Type="http://schemas.openxmlformats.org/officeDocument/2006/relationships/footnotes" Target="footnotes.xml"/><Relationship Id="rId823" Type="http://schemas.openxmlformats.org/officeDocument/2006/relationships/numbering" Target="numbering.xml"/><Relationship Id="rId824" Type="http://schemas.openxmlformats.org/officeDocument/2006/relationships/fontTable" Target="fontTable.xml"/><Relationship Id="rId825" Type="http://schemas.openxmlformats.org/officeDocument/2006/relationships/settings" Target="settings.xml"/><Relationship Id="rId8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902</Pages>
  <Words>6514</Words>
  <Characters>25374</Characters>
  <CharactersWithSpaces>31703</CharactersWithSpaces>
  <Paragraphs>186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2026-08-16T18:52:41Z</dcterms:created>
  <dc:creator>ghaemiyeh.com</dc:creator>
  <dc:description/>
  <dc:language>en-US</dc:language>
  <cp:lastModifiedBy/>
  <dcterms:modified xsi:type="dcterms:W3CDTF">2026-08-16T22:23:24Z</dcterms:modified>
  <cp:revision>1</cp:revision>
  <dc:subject/>
  <dc:title>وسیله النجاه لایه الله العظمی مع تعالیق آیه الله العظمی الامام الخمینی</dc:title>
</cp:coreProperties>
</file>

<file path=docProps/custom.xml><?xml version="1.0" encoding="utf-8"?>
<Properties xmlns="http://schemas.openxmlformats.org/officeDocument/2006/custom-properties" xmlns:vt="http://schemas.openxmlformats.org/officeDocument/2006/docPropsVTypes"/>
</file>